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8.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2.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3.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DBCDC" w14:textId="34875835" w:rsidR="006B7B99" w:rsidRDefault="006B7B99" w:rsidP="006C613C">
      <w:pPr>
        <w:ind w:left="-1440" w:right="-1440"/>
      </w:pPr>
      <w:r>
        <w:rPr>
          <w:noProof/>
        </w:rPr>
        <w:drawing>
          <wp:inline distT="0" distB="0" distL="0" distR="0" wp14:anchorId="0DA22472" wp14:editId="6733022D">
            <wp:extent cx="7800582" cy="10125075"/>
            <wp:effectExtent l="0" t="0" r="0" b="0"/>
            <wp:docPr id="8" name="Picture 8"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ergy Affordability_front cover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00582" cy="10125075"/>
                    </a:xfrm>
                    <a:prstGeom prst="rect">
                      <a:avLst/>
                    </a:prstGeom>
                  </pic:spPr>
                </pic:pic>
              </a:graphicData>
            </a:graphic>
          </wp:inline>
        </w:drawing>
      </w:r>
      <w:r>
        <w:br w:type="page"/>
      </w:r>
    </w:p>
    <w:sdt>
      <w:sdtPr>
        <w:id w:val="971714508"/>
        <w:docPartObj>
          <w:docPartGallery w:val="Table of Contents"/>
          <w:docPartUnique/>
        </w:docPartObj>
      </w:sdtPr>
      <w:sdtEndPr>
        <w:rPr>
          <w:bCs/>
          <w:noProof/>
        </w:rPr>
      </w:sdtEndPr>
      <w:sdtContent>
        <w:p w14:paraId="58215FC1" w14:textId="08CB98B4" w:rsidR="08950AA6" w:rsidRPr="00EE5714" w:rsidRDefault="47D38521" w:rsidP="47D38521">
          <w:pPr>
            <w:spacing w:after="0" w:line="240" w:lineRule="auto"/>
            <w:jc w:val="center"/>
            <w:rPr>
              <w:rFonts w:ascii="Times New Roman" w:eastAsia="Times New Roman" w:hAnsi="Times New Roman" w:cs="Times New Roman"/>
              <w:b/>
              <w:color w:val="2F5496" w:themeColor="accent1" w:themeShade="BF"/>
              <w:sz w:val="36"/>
              <w:szCs w:val="36"/>
            </w:rPr>
          </w:pPr>
          <w:r w:rsidRPr="00EE5714">
            <w:rPr>
              <w:noProof/>
            </w:rPr>
            <w:drawing>
              <wp:inline distT="0" distB="0" distL="0" distR="0" wp14:anchorId="11669EC4" wp14:editId="4327ABAC">
                <wp:extent cx="1438275" cy="1438275"/>
                <wp:effectExtent l="0" t="0" r="0" b="0"/>
                <wp:docPr id="15733419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p w14:paraId="7400AC09" w14:textId="728EAFA2" w:rsidR="47D38521" w:rsidRPr="00EE5714" w:rsidRDefault="47D38521" w:rsidP="47D38521">
          <w:pPr>
            <w:spacing w:after="0" w:line="240" w:lineRule="auto"/>
            <w:jc w:val="center"/>
            <w:rPr>
              <w:rFonts w:ascii="Times New Roman" w:eastAsia="Times New Roman" w:hAnsi="Times New Roman" w:cs="Times New Roman"/>
              <w:b/>
              <w:bCs/>
              <w:color w:val="2F5496" w:themeColor="accent1" w:themeShade="BF"/>
              <w:sz w:val="36"/>
              <w:szCs w:val="36"/>
            </w:rPr>
          </w:pPr>
        </w:p>
        <w:p w14:paraId="6E7666CA" w14:textId="58592CF1"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36"/>
              <w:szCs w:val="36"/>
            </w:rPr>
          </w:pPr>
        </w:p>
        <w:p w14:paraId="7C362E76" w14:textId="2BCEF825"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48"/>
              <w:szCs w:val="48"/>
            </w:rPr>
          </w:pPr>
          <w:r w:rsidRPr="00EE5714">
            <w:rPr>
              <w:rFonts w:ascii="Times New Roman" w:eastAsia="Times New Roman" w:hAnsi="Times New Roman" w:cs="Times New Roman"/>
              <w:b/>
              <w:color w:val="2F5496" w:themeColor="accent1" w:themeShade="BF"/>
              <w:sz w:val="48"/>
              <w:szCs w:val="48"/>
            </w:rPr>
            <w:t>Home Energy Affordability</w:t>
          </w:r>
        </w:p>
        <w:p w14:paraId="1B38824D" w14:textId="6F43DC89"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48"/>
              <w:szCs w:val="48"/>
            </w:rPr>
          </w:pPr>
          <w:r w:rsidRPr="00EE5714">
            <w:rPr>
              <w:rFonts w:ascii="Times New Roman" w:eastAsia="Times New Roman" w:hAnsi="Times New Roman" w:cs="Times New Roman"/>
              <w:b/>
              <w:color w:val="2F5496" w:themeColor="accent1" w:themeShade="BF"/>
              <w:sz w:val="48"/>
              <w:szCs w:val="48"/>
            </w:rPr>
            <w:t>for Low-Income Customers</w:t>
          </w:r>
        </w:p>
        <w:p w14:paraId="33B1E4CB" w14:textId="69529BAB"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36"/>
              <w:szCs w:val="36"/>
            </w:rPr>
          </w:pPr>
          <w:r w:rsidRPr="00EE5714">
            <w:rPr>
              <w:rFonts w:ascii="Times New Roman" w:eastAsia="Times New Roman" w:hAnsi="Times New Roman" w:cs="Times New Roman"/>
              <w:b/>
              <w:color w:val="2F5496" w:themeColor="accent1" w:themeShade="BF"/>
              <w:sz w:val="48"/>
              <w:szCs w:val="48"/>
            </w:rPr>
            <w:t>in Pennsylvania</w:t>
          </w:r>
        </w:p>
        <w:p w14:paraId="0B75FB13" w14:textId="67C7067D" w:rsidR="47D38521" w:rsidRPr="00EE5714" w:rsidRDefault="47D38521" w:rsidP="47D38521">
          <w:pPr>
            <w:spacing w:after="0" w:line="240" w:lineRule="auto"/>
            <w:jc w:val="center"/>
            <w:rPr>
              <w:rFonts w:ascii="Times New Roman" w:eastAsia="Times New Roman" w:hAnsi="Times New Roman" w:cs="Times New Roman"/>
              <w:b/>
              <w:bCs/>
              <w:color w:val="2F5496" w:themeColor="accent1" w:themeShade="BF"/>
              <w:sz w:val="40"/>
              <w:szCs w:val="40"/>
            </w:rPr>
          </w:pPr>
        </w:p>
        <w:p w14:paraId="254D60FD" w14:textId="300B7E0E" w:rsidR="47D38521" w:rsidRPr="00EE5714" w:rsidRDefault="47D38521" w:rsidP="47D38521">
          <w:pPr>
            <w:spacing w:after="0" w:line="240" w:lineRule="auto"/>
            <w:jc w:val="center"/>
            <w:rPr>
              <w:rFonts w:ascii="Times New Roman" w:eastAsia="Times New Roman" w:hAnsi="Times New Roman" w:cs="Times New Roman"/>
              <w:b/>
              <w:bCs/>
              <w:color w:val="2F5496" w:themeColor="accent1" w:themeShade="BF"/>
              <w:sz w:val="40"/>
              <w:szCs w:val="40"/>
            </w:rPr>
          </w:pPr>
        </w:p>
        <w:p w14:paraId="60CEC004" w14:textId="1F633491"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40"/>
              <w:szCs w:val="40"/>
            </w:rPr>
          </w:pPr>
        </w:p>
        <w:p w14:paraId="6EB869A4" w14:textId="77777777" w:rsidR="001A47D9" w:rsidRDefault="001A47D9" w:rsidP="47D38521">
          <w:pPr>
            <w:spacing w:after="0" w:line="240" w:lineRule="auto"/>
            <w:jc w:val="center"/>
            <w:rPr>
              <w:rFonts w:ascii="Times New Roman" w:eastAsia="Times New Roman" w:hAnsi="Times New Roman" w:cs="Times New Roman"/>
              <w:b/>
              <w:bCs/>
              <w:color w:val="2F5496" w:themeColor="accent1" w:themeShade="BF"/>
              <w:sz w:val="32"/>
              <w:szCs w:val="32"/>
            </w:rPr>
          </w:pPr>
          <w:r w:rsidRPr="001A47D9">
            <w:rPr>
              <w:rFonts w:ascii="Times New Roman" w:eastAsia="Times New Roman" w:hAnsi="Times New Roman" w:cs="Times New Roman"/>
              <w:b/>
              <w:bCs/>
              <w:color w:val="2F5496" w:themeColor="accent1" w:themeShade="BF"/>
              <w:sz w:val="32"/>
              <w:szCs w:val="32"/>
            </w:rPr>
            <w:t>Docket No. M-2017-2587711</w:t>
          </w:r>
        </w:p>
        <w:p w14:paraId="5B597258" w14:textId="6AD49E7F" w:rsidR="47D38521" w:rsidRPr="00EE5714" w:rsidRDefault="47D38521" w:rsidP="006B50F7">
          <w:pPr>
            <w:spacing w:after="0" w:line="240" w:lineRule="auto"/>
            <w:jc w:val="center"/>
            <w:rPr>
              <w:rFonts w:ascii="Times New Roman" w:eastAsia="Times New Roman" w:hAnsi="Times New Roman" w:cs="Times New Roman"/>
              <w:b/>
              <w:bCs/>
              <w:color w:val="2F5496" w:themeColor="accent1" w:themeShade="BF"/>
              <w:sz w:val="28"/>
              <w:szCs w:val="28"/>
            </w:rPr>
          </w:pPr>
        </w:p>
        <w:p w14:paraId="7FB39515" w14:textId="3977A00A" w:rsidR="47D38521" w:rsidRPr="00296740" w:rsidRDefault="00296740" w:rsidP="47D38521">
          <w:pPr>
            <w:spacing w:after="0" w:line="240" w:lineRule="auto"/>
            <w:jc w:val="center"/>
            <w:rPr>
              <w:rFonts w:ascii="Times New Roman" w:eastAsia="Times New Roman" w:hAnsi="Times New Roman" w:cs="Times New Roman"/>
              <w:b/>
              <w:bCs/>
              <w:color w:val="2F5496" w:themeColor="accent1" w:themeShade="BF"/>
              <w:sz w:val="32"/>
              <w:szCs w:val="32"/>
            </w:rPr>
          </w:pPr>
          <w:r w:rsidRPr="00296740">
            <w:rPr>
              <w:rFonts w:ascii="Times New Roman" w:eastAsia="Times New Roman" w:hAnsi="Times New Roman" w:cs="Times New Roman"/>
              <w:b/>
              <w:bCs/>
              <w:color w:val="2F5496" w:themeColor="accent1" w:themeShade="BF"/>
              <w:sz w:val="32"/>
              <w:szCs w:val="32"/>
            </w:rPr>
            <w:t>January 2019</w:t>
          </w:r>
        </w:p>
        <w:p w14:paraId="0BFC0D37" w14:textId="39D9A246"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28"/>
              <w:szCs w:val="28"/>
            </w:rPr>
          </w:pPr>
        </w:p>
        <w:p w14:paraId="26005D47" w14:textId="3BBE932F"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28"/>
              <w:szCs w:val="28"/>
            </w:rPr>
          </w:pPr>
          <w:r w:rsidRPr="00EE5714">
            <w:rPr>
              <w:rFonts w:ascii="Times New Roman" w:eastAsia="Times New Roman" w:hAnsi="Times New Roman" w:cs="Times New Roman"/>
              <w:b/>
              <w:bCs/>
              <w:color w:val="2F5496" w:themeColor="accent1" w:themeShade="BF"/>
              <w:sz w:val="28"/>
              <w:szCs w:val="28"/>
            </w:rPr>
            <w:t>Published by:</w:t>
          </w:r>
        </w:p>
        <w:p w14:paraId="55D5AF79" w14:textId="63A5117B"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28"/>
              <w:szCs w:val="28"/>
            </w:rPr>
          </w:pPr>
          <w:r w:rsidRPr="00EE5714">
            <w:rPr>
              <w:rFonts w:ascii="Times New Roman" w:eastAsia="Times New Roman" w:hAnsi="Times New Roman" w:cs="Times New Roman"/>
              <w:b/>
              <w:bCs/>
              <w:color w:val="2F5496" w:themeColor="accent1" w:themeShade="BF"/>
              <w:sz w:val="28"/>
              <w:szCs w:val="28"/>
            </w:rPr>
            <w:t>Pennsylvania Public Utility Commission</w:t>
          </w:r>
        </w:p>
        <w:p w14:paraId="180D4DF2" w14:textId="69D8F1CB"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28"/>
              <w:szCs w:val="28"/>
            </w:rPr>
          </w:pPr>
          <w:r w:rsidRPr="00EE5714">
            <w:rPr>
              <w:rFonts w:ascii="Times New Roman" w:eastAsia="Times New Roman" w:hAnsi="Times New Roman" w:cs="Times New Roman"/>
              <w:b/>
              <w:bCs/>
              <w:color w:val="2F5496" w:themeColor="accent1" w:themeShade="BF"/>
              <w:sz w:val="28"/>
              <w:szCs w:val="28"/>
            </w:rPr>
            <w:t>PO Box 3265</w:t>
          </w:r>
        </w:p>
        <w:p w14:paraId="70804AC9" w14:textId="0204271C"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28"/>
              <w:szCs w:val="28"/>
            </w:rPr>
          </w:pPr>
          <w:r w:rsidRPr="00EE5714">
            <w:rPr>
              <w:rFonts w:ascii="Times New Roman" w:eastAsia="Times New Roman" w:hAnsi="Times New Roman" w:cs="Times New Roman"/>
              <w:b/>
              <w:bCs/>
              <w:color w:val="2F5496" w:themeColor="accent1" w:themeShade="BF"/>
              <w:sz w:val="28"/>
              <w:szCs w:val="28"/>
            </w:rPr>
            <w:t>Harrisburg, PA  17105-3265</w:t>
          </w:r>
        </w:p>
        <w:p w14:paraId="76E86E6B" w14:textId="114A2B35" w:rsidR="47D38521" w:rsidRPr="00EE5714" w:rsidRDefault="00AF5D0A" w:rsidP="47D38521">
          <w:pPr>
            <w:spacing w:after="0" w:line="240" w:lineRule="auto"/>
            <w:jc w:val="center"/>
            <w:rPr>
              <w:rFonts w:ascii="Times New Roman" w:eastAsia="Times New Roman" w:hAnsi="Times New Roman" w:cs="Times New Roman"/>
              <w:b/>
              <w:bCs/>
              <w:color w:val="2F5496" w:themeColor="accent1" w:themeShade="BF"/>
              <w:sz w:val="36"/>
              <w:szCs w:val="36"/>
            </w:rPr>
          </w:pPr>
          <w:hyperlink r:id="rId11">
            <w:r w:rsidR="47D38521" w:rsidRPr="00EE5714">
              <w:rPr>
                <w:rStyle w:val="Hyperlink"/>
                <w:rFonts w:ascii="Times New Roman" w:eastAsia="Times New Roman" w:hAnsi="Times New Roman" w:cs="Times New Roman"/>
                <w:b/>
                <w:bCs/>
                <w:color w:val="2F5496" w:themeColor="accent1" w:themeShade="BF"/>
                <w:sz w:val="28"/>
                <w:szCs w:val="28"/>
              </w:rPr>
              <w:t>www.puc.pa.gov</w:t>
            </w:r>
          </w:hyperlink>
        </w:p>
        <w:p w14:paraId="432763B2" w14:textId="754BCD60" w:rsidR="47D38521" w:rsidRPr="00EE5714" w:rsidRDefault="47D38521" w:rsidP="47D38521">
          <w:pPr>
            <w:spacing w:after="0" w:line="240" w:lineRule="auto"/>
            <w:jc w:val="center"/>
            <w:rPr>
              <w:rFonts w:ascii="Times New Roman" w:eastAsia="Times New Roman" w:hAnsi="Times New Roman" w:cs="Times New Roman"/>
              <w:b/>
              <w:bCs/>
              <w:color w:val="2F5496" w:themeColor="accent1" w:themeShade="BF"/>
              <w:sz w:val="36"/>
              <w:szCs w:val="36"/>
            </w:rPr>
          </w:pPr>
        </w:p>
        <w:p w14:paraId="5B88ACEB" w14:textId="237AE738" w:rsidR="47D38521" w:rsidRPr="00EE5714" w:rsidRDefault="47D38521" w:rsidP="47D38521">
          <w:pPr>
            <w:spacing w:after="0" w:line="240" w:lineRule="auto"/>
            <w:jc w:val="center"/>
            <w:rPr>
              <w:rFonts w:ascii="Times New Roman" w:eastAsia="Times New Roman" w:hAnsi="Times New Roman" w:cs="Times New Roman"/>
              <w:b/>
              <w:bCs/>
              <w:color w:val="2F5496" w:themeColor="accent1" w:themeShade="BF"/>
              <w:sz w:val="36"/>
              <w:szCs w:val="36"/>
            </w:rPr>
          </w:pPr>
        </w:p>
        <w:p w14:paraId="54CC8721" w14:textId="35696D20" w:rsidR="47D38521" w:rsidRPr="00EE5714" w:rsidRDefault="47D38521" w:rsidP="47D38521">
          <w:pPr>
            <w:spacing w:after="0" w:line="240" w:lineRule="auto"/>
            <w:jc w:val="center"/>
            <w:rPr>
              <w:rFonts w:ascii="Times New Roman" w:eastAsia="Times New Roman" w:hAnsi="Times New Roman" w:cs="Times New Roman"/>
              <w:b/>
              <w:bCs/>
              <w:color w:val="2F5496" w:themeColor="accent1" w:themeShade="BF"/>
              <w:sz w:val="36"/>
              <w:szCs w:val="36"/>
            </w:rPr>
          </w:pPr>
        </w:p>
        <w:p w14:paraId="0DFECFEB" w14:textId="4ECBBDF4"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36"/>
              <w:szCs w:val="36"/>
            </w:rPr>
          </w:pPr>
        </w:p>
        <w:p w14:paraId="4D611F86" w14:textId="0C934C3D"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28"/>
              <w:szCs w:val="28"/>
            </w:rPr>
          </w:pPr>
          <w:r w:rsidRPr="00EE5714">
            <w:rPr>
              <w:rFonts w:ascii="Times New Roman" w:eastAsia="Times New Roman" w:hAnsi="Times New Roman" w:cs="Times New Roman"/>
              <w:b/>
              <w:bCs/>
              <w:color w:val="2F5496" w:themeColor="accent1" w:themeShade="BF"/>
              <w:sz w:val="28"/>
              <w:szCs w:val="28"/>
            </w:rPr>
            <w:t>Bureau of Consumer Services</w:t>
          </w:r>
        </w:p>
        <w:p w14:paraId="6D09FDF7" w14:textId="3A1462C6" w:rsidR="08950AA6" w:rsidRPr="00EE5714" w:rsidRDefault="08950AA6" w:rsidP="47D38521">
          <w:pPr>
            <w:spacing w:after="0" w:line="240" w:lineRule="auto"/>
            <w:jc w:val="center"/>
            <w:rPr>
              <w:rFonts w:ascii="Times New Roman" w:eastAsia="Times New Roman" w:hAnsi="Times New Roman" w:cs="Times New Roman"/>
              <w:b/>
              <w:color w:val="2F5496" w:themeColor="accent1" w:themeShade="BF"/>
              <w:sz w:val="36"/>
              <w:szCs w:val="36"/>
            </w:rPr>
          </w:pPr>
          <w:r w:rsidRPr="00EE5714">
            <w:rPr>
              <w:rFonts w:ascii="Times New Roman" w:eastAsia="Times New Roman" w:hAnsi="Times New Roman" w:cs="Times New Roman"/>
              <w:b/>
              <w:bCs/>
              <w:color w:val="2F5496" w:themeColor="accent1" w:themeShade="BF"/>
              <w:sz w:val="28"/>
              <w:szCs w:val="28"/>
            </w:rPr>
            <w:t>Alexis Bechtel, Director</w:t>
          </w:r>
        </w:p>
        <w:p w14:paraId="4442D760" w14:textId="4D0511CA" w:rsidR="5250F17E" w:rsidRPr="00EE5714" w:rsidRDefault="5250F17E">
          <w:r w:rsidRPr="00EE5714">
            <w:br w:type="page"/>
          </w:r>
        </w:p>
        <w:p w14:paraId="4856A1BB" w14:textId="1F1E9A5E" w:rsidR="5250F17E" w:rsidRPr="00EE5714" w:rsidRDefault="5250F17E" w:rsidP="5250F17E">
          <w:pPr>
            <w:rPr>
              <w:rFonts w:ascii="Arial" w:hAnsi="Arial" w:cs="Arial"/>
            </w:rPr>
          </w:pPr>
        </w:p>
        <w:p w14:paraId="0EA2FD5A" w14:textId="77777777" w:rsidR="00C56670" w:rsidRPr="00EE5714" w:rsidRDefault="007643DF" w:rsidP="00A537E1">
          <w:pPr>
            <w:pStyle w:val="TOCHeading"/>
            <w:spacing w:before="0" w:line="240" w:lineRule="auto"/>
            <w:contextualSpacing/>
            <w:jc w:val="center"/>
            <w:rPr>
              <w:sz w:val="28"/>
              <w:szCs w:val="28"/>
            </w:rPr>
          </w:pPr>
          <w:r w:rsidRPr="00EE5714">
            <w:rPr>
              <w:sz w:val="28"/>
              <w:szCs w:val="28"/>
            </w:rPr>
            <w:t>TABLE OF CONTENTS</w:t>
          </w:r>
        </w:p>
        <w:p w14:paraId="1DDE2DC7" w14:textId="77777777" w:rsidR="00485DDD" w:rsidRPr="00EE5714" w:rsidRDefault="00485DDD" w:rsidP="00392FE0">
          <w:pPr>
            <w:spacing w:after="0" w:line="240" w:lineRule="auto"/>
            <w:contextualSpacing/>
            <w:rPr>
              <w:b/>
              <w:color w:val="2F5496" w:themeColor="accent1" w:themeShade="BF"/>
            </w:rPr>
          </w:pPr>
        </w:p>
        <w:p w14:paraId="2111BF43" w14:textId="6E049306" w:rsidR="00F86EE8" w:rsidRPr="001A5DEF" w:rsidRDefault="00C56670">
          <w:pPr>
            <w:pStyle w:val="TOC1"/>
            <w:rPr>
              <w:rFonts w:ascii="Times New Roman" w:eastAsiaTheme="minorEastAsia" w:hAnsi="Times New Roman" w:cs="Times New Roman"/>
              <w:b/>
              <w:noProof/>
              <w:color w:val="2F5496" w:themeColor="accent1" w:themeShade="BF"/>
              <w:sz w:val="24"/>
              <w:szCs w:val="24"/>
            </w:rPr>
          </w:pPr>
          <w:r w:rsidRPr="001A5DEF">
            <w:rPr>
              <w:rFonts w:ascii="Times New Roman" w:hAnsi="Times New Roman" w:cs="Times New Roman"/>
              <w:b/>
              <w:color w:val="2F5496" w:themeColor="accent1" w:themeShade="BF"/>
              <w:sz w:val="24"/>
              <w:szCs w:val="24"/>
            </w:rPr>
            <w:fldChar w:fldCharType="begin"/>
          </w:r>
          <w:r w:rsidRPr="001A5DEF">
            <w:rPr>
              <w:rFonts w:ascii="Times New Roman" w:hAnsi="Times New Roman" w:cs="Times New Roman"/>
              <w:b/>
              <w:color w:val="2F5496" w:themeColor="accent1" w:themeShade="BF"/>
              <w:sz w:val="24"/>
              <w:szCs w:val="24"/>
            </w:rPr>
            <w:instrText xml:space="preserve"> TOC \o "1-3" \h \z \u </w:instrText>
          </w:r>
          <w:r w:rsidRPr="001A5DEF">
            <w:rPr>
              <w:rFonts w:ascii="Times New Roman" w:hAnsi="Times New Roman" w:cs="Times New Roman"/>
              <w:b/>
              <w:color w:val="2F5496" w:themeColor="accent1" w:themeShade="BF"/>
              <w:sz w:val="24"/>
              <w:szCs w:val="24"/>
            </w:rPr>
            <w:fldChar w:fldCharType="separate"/>
          </w:r>
          <w:hyperlink w:anchor="_Toc534547863" w:history="1">
            <w:r w:rsidR="00F86EE8" w:rsidRPr="001A5DEF">
              <w:rPr>
                <w:rStyle w:val="Hyperlink"/>
                <w:rFonts w:ascii="Times New Roman" w:hAnsi="Times New Roman" w:cs="Times New Roman"/>
                <w:b/>
                <w:noProof/>
                <w:color w:val="2F5496" w:themeColor="accent1" w:themeShade="BF"/>
                <w:sz w:val="24"/>
                <w:szCs w:val="24"/>
                <w:u w:val="none"/>
              </w:rPr>
              <w:t>Executive Summary</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_Toc534547863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3</w:t>
            </w:r>
            <w:r w:rsidR="00F86EE8" w:rsidRPr="001A5DEF">
              <w:rPr>
                <w:rFonts w:ascii="Times New Roman" w:hAnsi="Times New Roman" w:cs="Times New Roman"/>
                <w:b/>
                <w:noProof/>
                <w:webHidden/>
                <w:color w:val="2F5496" w:themeColor="accent1" w:themeShade="BF"/>
                <w:sz w:val="24"/>
                <w:szCs w:val="24"/>
              </w:rPr>
              <w:fldChar w:fldCharType="end"/>
            </w:r>
          </w:hyperlink>
        </w:p>
        <w:p w14:paraId="40E33053" w14:textId="5C7E7610" w:rsidR="00F86EE8" w:rsidRPr="001A5DEF" w:rsidRDefault="00AF5D0A">
          <w:pPr>
            <w:pStyle w:val="TOC1"/>
            <w:rPr>
              <w:rFonts w:ascii="Times New Roman" w:eastAsiaTheme="minorEastAsia" w:hAnsi="Times New Roman" w:cs="Times New Roman"/>
              <w:b/>
              <w:noProof/>
              <w:color w:val="2F5496" w:themeColor="accent1" w:themeShade="BF"/>
              <w:sz w:val="24"/>
              <w:szCs w:val="24"/>
            </w:rPr>
          </w:pPr>
          <w:hyperlink w:anchor="_Toc534547864" w:history="1">
            <w:r w:rsidR="00F86EE8" w:rsidRPr="001A5DEF">
              <w:rPr>
                <w:rStyle w:val="Hyperlink"/>
                <w:rFonts w:ascii="Times New Roman" w:hAnsi="Times New Roman" w:cs="Times New Roman"/>
                <w:b/>
                <w:noProof/>
                <w:color w:val="2F5496" w:themeColor="accent1" w:themeShade="BF"/>
                <w:sz w:val="24"/>
                <w:szCs w:val="24"/>
                <w:u w:val="none"/>
              </w:rPr>
              <w:t>I.  Introduction</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_Toc534547864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9</w:t>
            </w:r>
            <w:r w:rsidR="00F86EE8" w:rsidRPr="001A5DEF">
              <w:rPr>
                <w:rFonts w:ascii="Times New Roman" w:hAnsi="Times New Roman" w:cs="Times New Roman"/>
                <w:b/>
                <w:noProof/>
                <w:webHidden/>
                <w:color w:val="2F5496" w:themeColor="accent1" w:themeShade="BF"/>
                <w:sz w:val="24"/>
                <w:szCs w:val="24"/>
              </w:rPr>
              <w:fldChar w:fldCharType="end"/>
            </w:r>
          </w:hyperlink>
        </w:p>
        <w:p w14:paraId="66C1C8D3" w14:textId="18AC81CA" w:rsidR="00F86EE8" w:rsidRPr="001A5DEF" w:rsidRDefault="00AF5D0A">
          <w:pPr>
            <w:pStyle w:val="TOC1"/>
            <w:rPr>
              <w:rFonts w:ascii="Times New Roman" w:eastAsiaTheme="minorEastAsia" w:hAnsi="Times New Roman" w:cs="Times New Roman"/>
              <w:b/>
              <w:noProof/>
              <w:color w:val="2F5496" w:themeColor="accent1" w:themeShade="BF"/>
              <w:sz w:val="24"/>
              <w:szCs w:val="24"/>
            </w:rPr>
          </w:pPr>
          <w:hyperlink w:anchor="_Toc534547865" w:history="1">
            <w:r w:rsidR="00F86EE8" w:rsidRPr="001A5DEF">
              <w:rPr>
                <w:rStyle w:val="Hyperlink"/>
                <w:rFonts w:ascii="Times New Roman" w:hAnsi="Times New Roman" w:cs="Times New Roman"/>
                <w:b/>
                <w:noProof/>
                <w:color w:val="2F5496" w:themeColor="accent1" w:themeShade="BF"/>
                <w:sz w:val="24"/>
                <w:szCs w:val="24"/>
                <w:u w:val="none"/>
              </w:rPr>
              <w:t>II.  Methodology</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_Toc534547865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14</w:t>
            </w:r>
            <w:r w:rsidR="00F86EE8" w:rsidRPr="001A5DEF">
              <w:rPr>
                <w:rFonts w:ascii="Times New Roman" w:hAnsi="Times New Roman" w:cs="Times New Roman"/>
                <w:b/>
                <w:noProof/>
                <w:webHidden/>
                <w:color w:val="2F5496" w:themeColor="accent1" w:themeShade="BF"/>
                <w:sz w:val="24"/>
                <w:szCs w:val="24"/>
              </w:rPr>
              <w:fldChar w:fldCharType="end"/>
            </w:r>
          </w:hyperlink>
        </w:p>
        <w:p w14:paraId="33423D57" w14:textId="4DEB7D59" w:rsidR="00F86EE8" w:rsidRPr="001A5DEF" w:rsidRDefault="00AF5D0A">
          <w:pPr>
            <w:pStyle w:val="TOC1"/>
            <w:rPr>
              <w:rFonts w:ascii="Times New Roman" w:eastAsiaTheme="minorEastAsia" w:hAnsi="Times New Roman" w:cs="Times New Roman"/>
              <w:b/>
              <w:noProof/>
              <w:color w:val="2F5496" w:themeColor="accent1" w:themeShade="BF"/>
              <w:sz w:val="24"/>
              <w:szCs w:val="24"/>
            </w:rPr>
          </w:pPr>
          <w:hyperlink w:anchor="_Toc534547866" w:history="1">
            <w:r w:rsidR="00F86EE8" w:rsidRPr="001A5DEF">
              <w:rPr>
                <w:rStyle w:val="Hyperlink"/>
                <w:rFonts w:ascii="Times New Roman" w:hAnsi="Times New Roman" w:cs="Times New Roman"/>
                <w:b/>
                <w:noProof/>
                <w:color w:val="2F5496" w:themeColor="accent1" w:themeShade="BF"/>
                <w:sz w:val="24"/>
                <w:szCs w:val="24"/>
                <w:u w:val="none"/>
              </w:rPr>
              <w:t>III.  Energy Burden Levels for Gas and Electric Service</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_Toc534547866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16</w:t>
            </w:r>
            <w:r w:rsidR="00F86EE8" w:rsidRPr="001A5DEF">
              <w:rPr>
                <w:rFonts w:ascii="Times New Roman" w:hAnsi="Times New Roman" w:cs="Times New Roman"/>
                <w:b/>
                <w:noProof/>
                <w:webHidden/>
                <w:color w:val="2F5496" w:themeColor="accent1" w:themeShade="BF"/>
                <w:sz w:val="24"/>
                <w:szCs w:val="24"/>
              </w:rPr>
              <w:fldChar w:fldCharType="end"/>
            </w:r>
          </w:hyperlink>
        </w:p>
        <w:p w14:paraId="0F3801A8" w14:textId="4C3B6D0A" w:rsidR="00F86EE8" w:rsidRPr="001A5DEF" w:rsidRDefault="00AF5D0A">
          <w:pPr>
            <w:pStyle w:val="TOC1"/>
            <w:rPr>
              <w:rFonts w:ascii="Times New Roman" w:eastAsiaTheme="minorEastAsia" w:hAnsi="Times New Roman" w:cs="Times New Roman"/>
              <w:b/>
              <w:noProof/>
              <w:color w:val="2F5496" w:themeColor="accent1" w:themeShade="BF"/>
              <w:sz w:val="24"/>
              <w:szCs w:val="24"/>
            </w:rPr>
          </w:pPr>
          <w:hyperlink w:anchor="_Toc534547867" w:history="1">
            <w:r w:rsidR="00F86EE8" w:rsidRPr="001A5DEF">
              <w:rPr>
                <w:rStyle w:val="Hyperlink"/>
                <w:rFonts w:ascii="Times New Roman" w:hAnsi="Times New Roman" w:cs="Times New Roman"/>
                <w:b/>
                <w:noProof/>
                <w:color w:val="2F5496" w:themeColor="accent1" w:themeShade="BF"/>
                <w:sz w:val="24"/>
                <w:szCs w:val="24"/>
                <w:u w:val="none"/>
              </w:rPr>
              <w:t>IV.  Impact of LIHEAP Grants on Energy Burden Levels</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_Toc534547867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30</w:t>
            </w:r>
            <w:r w:rsidR="00F86EE8" w:rsidRPr="001A5DEF">
              <w:rPr>
                <w:rFonts w:ascii="Times New Roman" w:hAnsi="Times New Roman" w:cs="Times New Roman"/>
                <w:b/>
                <w:noProof/>
                <w:webHidden/>
                <w:color w:val="2F5496" w:themeColor="accent1" w:themeShade="BF"/>
                <w:sz w:val="24"/>
                <w:szCs w:val="24"/>
              </w:rPr>
              <w:fldChar w:fldCharType="end"/>
            </w:r>
          </w:hyperlink>
        </w:p>
        <w:p w14:paraId="72A455B5" w14:textId="7FBA58F5" w:rsidR="00F86EE8" w:rsidRPr="001A5DEF" w:rsidRDefault="00AF5D0A">
          <w:pPr>
            <w:pStyle w:val="TOC1"/>
            <w:rPr>
              <w:rFonts w:ascii="Times New Roman" w:eastAsiaTheme="minorEastAsia" w:hAnsi="Times New Roman" w:cs="Times New Roman"/>
              <w:b/>
              <w:noProof/>
              <w:color w:val="2F5496" w:themeColor="accent1" w:themeShade="BF"/>
              <w:sz w:val="24"/>
              <w:szCs w:val="24"/>
            </w:rPr>
          </w:pPr>
          <w:hyperlink w:anchor="_Toc534547868" w:history="1">
            <w:r w:rsidR="00F86EE8" w:rsidRPr="001A5DEF">
              <w:rPr>
                <w:rStyle w:val="Hyperlink"/>
                <w:rFonts w:ascii="Times New Roman" w:hAnsi="Times New Roman" w:cs="Times New Roman"/>
                <w:b/>
                <w:noProof/>
                <w:color w:val="2F5496" w:themeColor="accent1" w:themeShade="BF"/>
                <w:sz w:val="24"/>
                <w:szCs w:val="24"/>
                <w:u w:val="none"/>
              </w:rPr>
              <w:t>V.  Pre-Program Arrearages (PPAs) and In-Program Arrears</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_Toc534547868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41</w:t>
            </w:r>
            <w:r w:rsidR="00F86EE8" w:rsidRPr="001A5DEF">
              <w:rPr>
                <w:rFonts w:ascii="Times New Roman" w:hAnsi="Times New Roman" w:cs="Times New Roman"/>
                <w:b/>
                <w:noProof/>
                <w:webHidden/>
                <w:color w:val="2F5496" w:themeColor="accent1" w:themeShade="BF"/>
                <w:sz w:val="24"/>
                <w:szCs w:val="24"/>
              </w:rPr>
              <w:fldChar w:fldCharType="end"/>
            </w:r>
          </w:hyperlink>
        </w:p>
        <w:p w14:paraId="2578EC21" w14:textId="2B82A7B3" w:rsidR="00F86EE8" w:rsidRPr="001A5DEF" w:rsidRDefault="00AF5D0A">
          <w:pPr>
            <w:pStyle w:val="TOC1"/>
            <w:rPr>
              <w:rFonts w:ascii="Times New Roman" w:eastAsiaTheme="minorEastAsia" w:hAnsi="Times New Roman" w:cs="Times New Roman"/>
              <w:b/>
              <w:noProof/>
              <w:color w:val="2F5496" w:themeColor="accent1" w:themeShade="BF"/>
              <w:sz w:val="24"/>
              <w:szCs w:val="24"/>
            </w:rPr>
          </w:pPr>
          <w:hyperlink w:anchor="_Toc534547869" w:history="1">
            <w:r w:rsidR="00F86EE8" w:rsidRPr="001A5DEF">
              <w:rPr>
                <w:rStyle w:val="Hyperlink"/>
                <w:rFonts w:ascii="Times New Roman" w:hAnsi="Times New Roman" w:cs="Times New Roman"/>
                <w:b/>
                <w:noProof/>
                <w:color w:val="2F5496" w:themeColor="accent1" w:themeShade="BF"/>
                <w:sz w:val="24"/>
                <w:szCs w:val="24"/>
                <w:u w:val="none"/>
              </w:rPr>
              <w:t>VI.  Percentage of CAP Bills Paid In-Full</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_Toc534547869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49</w:t>
            </w:r>
            <w:r w:rsidR="00F86EE8" w:rsidRPr="001A5DEF">
              <w:rPr>
                <w:rFonts w:ascii="Times New Roman" w:hAnsi="Times New Roman" w:cs="Times New Roman"/>
                <w:b/>
                <w:noProof/>
                <w:webHidden/>
                <w:color w:val="2F5496" w:themeColor="accent1" w:themeShade="BF"/>
                <w:sz w:val="24"/>
                <w:szCs w:val="24"/>
              </w:rPr>
              <w:fldChar w:fldCharType="end"/>
            </w:r>
          </w:hyperlink>
        </w:p>
        <w:p w14:paraId="2B076CB4" w14:textId="268B09DB" w:rsidR="00F86EE8" w:rsidRPr="001A5DEF" w:rsidRDefault="00AF5D0A">
          <w:pPr>
            <w:pStyle w:val="TOC1"/>
            <w:rPr>
              <w:rFonts w:ascii="Times New Roman" w:eastAsiaTheme="minorEastAsia" w:hAnsi="Times New Roman" w:cs="Times New Roman"/>
              <w:b/>
              <w:noProof/>
              <w:color w:val="2F5496" w:themeColor="accent1" w:themeShade="BF"/>
              <w:sz w:val="24"/>
              <w:szCs w:val="24"/>
            </w:rPr>
          </w:pPr>
          <w:hyperlink w:anchor="_Toc534547870" w:history="1">
            <w:r w:rsidR="00F86EE8" w:rsidRPr="001A5DEF">
              <w:rPr>
                <w:rStyle w:val="Hyperlink"/>
                <w:rFonts w:ascii="Times New Roman" w:hAnsi="Times New Roman" w:cs="Times New Roman"/>
                <w:b/>
                <w:noProof/>
                <w:color w:val="2F5496" w:themeColor="accent1" w:themeShade="BF"/>
                <w:sz w:val="24"/>
                <w:szCs w:val="24"/>
                <w:u w:val="none"/>
              </w:rPr>
              <w:t>VII.  CAP Default Exit and Termination Rates</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_Toc534547870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59</w:t>
            </w:r>
            <w:r w:rsidR="00F86EE8" w:rsidRPr="001A5DEF">
              <w:rPr>
                <w:rFonts w:ascii="Times New Roman" w:hAnsi="Times New Roman" w:cs="Times New Roman"/>
                <w:b/>
                <w:noProof/>
                <w:webHidden/>
                <w:color w:val="2F5496" w:themeColor="accent1" w:themeShade="BF"/>
                <w:sz w:val="24"/>
                <w:szCs w:val="24"/>
              </w:rPr>
              <w:fldChar w:fldCharType="end"/>
            </w:r>
          </w:hyperlink>
        </w:p>
        <w:p w14:paraId="56E21081" w14:textId="1057D659" w:rsidR="00F86EE8" w:rsidRPr="001A5DEF" w:rsidRDefault="00AF5D0A">
          <w:pPr>
            <w:pStyle w:val="TOC1"/>
            <w:rPr>
              <w:rFonts w:ascii="Times New Roman" w:eastAsiaTheme="minorEastAsia" w:hAnsi="Times New Roman" w:cs="Times New Roman"/>
              <w:b/>
              <w:noProof/>
              <w:color w:val="2F5496" w:themeColor="accent1" w:themeShade="BF"/>
              <w:sz w:val="24"/>
              <w:szCs w:val="24"/>
            </w:rPr>
          </w:pPr>
          <w:hyperlink w:anchor="_Toc534547871" w:history="1">
            <w:r w:rsidR="00F86EE8" w:rsidRPr="001A5DEF">
              <w:rPr>
                <w:rStyle w:val="Hyperlink"/>
                <w:rFonts w:ascii="Times New Roman" w:hAnsi="Times New Roman" w:cs="Times New Roman"/>
                <w:b/>
                <w:noProof/>
                <w:color w:val="2F5496" w:themeColor="accent1" w:themeShade="BF"/>
                <w:sz w:val="24"/>
                <w:szCs w:val="24"/>
                <w:u w:val="none"/>
              </w:rPr>
              <w:t>VIII.  Non-CAP Residential and Confirmed Low-Income Customer Debt</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_Toc534547871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68</w:t>
            </w:r>
            <w:r w:rsidR="00F86EE8" w:rsidRPr="001A5DEF">
              <w:rPr>
                <w:rFonts w:ascii="Times New Roman" w:hAnsi="Times New Roman" w:cs="Times New Roman"/>
                <w:b/>
                <w:noProof/>
                <w:webHidden/>
                <w:color w:val="2F5496" w:themeColor="accent1" w:themeShade="BF"/>
                <w:sz w:val="24"/>
                <w:szCs w:val="24"/>
              </w:rPr>
              <w:fldChar w:fldCharType="end"/>
            </w:r>
          </w:hyperlink>
        </w:p>
        <w:p w14:paraId="399FF9E8" w14:textId="6636DD4F" w:rsidR="00F86EE8" w:rsidRPr="001A5DEF" w:rsidRDefault="00AF5D0A">
          <w:pPr>
            <w:pStyle w:val="TOC1"/>
            <w:rPr>
              <w:rFonts w:ascii="Times New Roman" w:eastAsiaTheme="minorEastAsia" w:hAnsi="Times New Roman" w:cs="Times New Roman"/>
              <w:b/>
              <w:noProof/>
              <w:color w:val="2F5496" w:themeColor="accent1" w:themeShade="BF"/>
              <w:sz w:val="24"/>
              <w:szCs w:val="24"/>
            </w:rPr>
          </w:pPr>
          <w:hyperlink w:anchor="_Toc534547872" w:history="1">
            <w:r w:rsidR="00F86EE8" w:rsidRPr="001A5DEF">
              <w:rPr>
                <w:rStyle w:val="Hyperlink"/>
                <w:rFonts w:ascii="Times New Roman" w:hAnsi="Times New Roman" w:cs="Times New Roman"/>
                <w:b/>
                <w:noProof/>
                <w:color w:val="2F5496" w:themeColor="accent1" w:themeShade="BF"/>
                <w:sz w:val="24"/>
                <w:szCs w:val="24"/>
                <w:u w:val="none"/>
              </w:rPr>
              <w:t>IX.  Review of Other State Programs and Relevant Studies</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_Toc534547872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77</w:t>
            </w:r>
            <w:r w:rsidR="00F86EE8" w:rsidRPr="001A5DEF">
              <w:rPr>
                <w:rFonts w:ascii="Times New Roman" w:hAnsi="Times New Roman" w:cs="Times New Roman"/>
                <w:b/>
                <w:noProof/>
                <w:webHidden/>
                <w:color w:val="2F5496" w:themeColor="accent1" w:themeShade="BF"/>
                <w:sz w:val="24"/>
                <w:szCs w:val="24"/>
              </w:rPr>
              <w:fldChar w:fldCharType="end"/>
            </w:r>
          </w:hyperlink>
        </w:p>
        <w:p w14:paraId="49431957" w14:textId="5F604AB7" w:rsidR="00F86EE8" w:rsidRPr="001A5DEF" w:rsidRDefault="00AF5D0A">
          <w:pPr>
            <w:pStyle w:val="TOC1"/>
            <w:rPr>
              <w:rFonts w:ascii="Times New Roman" w:eastAsiaTheme="minorEastAsia" w:hAnsi="Times New Roman" w:cs="Times New Roman"/>
              <w:b/>
              <w:noProof/>
              <w:color w:val="2F5496" w:themeColor="accent1" w:themeShade="BF"/>
              <w:sz w:val="24"/>
              <w:szCs w:val="24"/>
            </w:rPr>
          </w:pPr>
          <w:hyperlink w:anchor="_Toc534547873" w:history="1">
            <w:r w:rsidR="00F86EE8" w:rsidRPr="001A5DEF">
              <w:rPr>
                <w:rStyle w:val="Hyperlink"/>
                <w:rFonts w:ascii="Times New Roman" w:hAnsi="Times New Roman" w:cs="Times New Roman"/>
                <w:b/>
                <w:noProof/>
                <w:color w:val="2F5496" w:themeColor="accent1" w:themeShade="BF"/>
                <w:sz w:val="24"/>
                <w:szCs w:val="24"/>
                <w:u w:val="none"/>
              </w:rPr>
              <w:t>X.  CAP Costs and Forecasts</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_Toc534547873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88</w:t>
            </w:r>
            <w:r w:rsidR="00F86EE8" w:rsidRPr="001A5DEF">
              <w:rPr>
                <w:rFonts w:ascii="Times New Roman" w:hAnsi="Times New Roman" w:cs="Times New Roman"/>
                <w:b/>
                <w:noProof/>
                <w:webHidden/>
                <w:color w:val="2F5496" w:themeColor="accent1" w:themeShade="BF"/>
                <w:sz w:val="24"/>
                <w:szCs w:val="24"/>
              </w:rPr>
              <w:fldChar w:fldCharType="end"/>
            </w:r>
          </w:hyperlink>
        </w:p>
        <w:p w14:paraId="2E2FF333" w14:textId="4A7682A6" w:rsidR="00F86EE8" w:rsidRPr="001A5DEF" w:rsidRDefault="00AF5D0A">
          <w:pPr>
            <w:pStyle w:val="TOC1"/>
            <w:rPr>
              <w:rFonts w:ascii="Times New Roman" w:eastAsiaTheme="minorEastAsia" w:hAnsi="Times New Roman" w:cs="Times New Roman"/>
              <w:b/>
              <w:noProof/>
              <w:color w:val="2F5496" w:themeColor="accent1" w:themeShade="BF"/>
              <w:sz w:val="24"/>
              <w:szCs w:val="24"/>
            </w:rPr>
          </w:pPr>
          <w:hyperlink w:anchor="_Toc534547874" w:history="1">
            <w:r w:rsidR="00F86EE8" w:rsidRPr="001A5DEF">
              <w:rPr>
                <w:rStyle w:val="Hyperlink"/>
                <w:rFonts w:ascii="Times New Roman" w:hAnsi="Times New Roman" w:cs="Times New Roman"/>
                <w:b/>
                <w:noProof/>
                <w:color w:val="2F5496" w:themeColor="accent1" w:themeShade="BF"/>
                <w:sz w:val="24"/>
                <w:szCs w:val="24"/>
                <w:u w:val="none"/>
              </w:rPr>
              <w:t>XI.  Conclusion</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_Toc534547874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102</w:t>
            </w:r>
            <w:r w:rsidR="00F86EE8" w:rsidRPr="001A5DEF">
              <w:rPr>
                <w:rFonts w:ascii="Times New Roman" w:hAnsi="Times New Roman" w:cs="Times New Roman"/>
                <w:b/>
                <w:noProof/>
                <w:webHidden/>
                <w:color w:val="2F5496" w:themeColor="accent1" w:themeShade="BF"/>
                <w:sz w:val="24"/>
                <w:szCs w:val="24"/>
              </w:rPr>
              <w:fldChar w:fldCharType="end"/>
            </w:r>
          </w:hyperlink>
        </w:p>
        <w:p w14:paraId="0091C825" w14:textId="148722C0" w:rsidR="00F86EE8" w:rsidRPr="001A5DEF" w:rsidRDefault="00AF5D0A">
          <w:pPr>
            <w:pStyle w:val="TOC1"/>
            <w:rPr>
              <w:rFonts w:ascii="Times New Roman" w:eastAsiaTheme="minorEastAsia" w:hAnsi="Times New Roman" w:cs="Times New Roman"/>
              <w:b/>
              <w:noProof/>
              <w:color w:val="2F5496" w:themeColor="accent1" w:themeShade="BF"/>
              <w:sz w:val="24"/>
              <w:szCs w:val="24"/>
            </w:rPr>
          </w:pPr>
          <w:hyperlink w:anchor="_Toc534547875" w:history="1">
            <w:r w:rsidR="00F86EE8" w:rsidRPr="001A5DEF">
              <w:rPr>
                <w:rStyle w:val="Hyperlink"/>
                <w:rFonts w:ascii="Times New Roman" w:hAnsi="Times New Roman" w:cs="Times New Roman"/>
                <w:b/>
                <w:noProof/>
                <w:color w:val="2F5496" w:themeColor="accent1" w:themeShade="BF"/>
                <w:sz w:val="24"/>
                <w:szCs w:val="24"/>
                <w:u w:val="none"/>
              </w:rPr>
              <w:t>XII.  Appendices</w:t>
            </w:r>
            <w:r w:rsidR="00F86EE8" w:rsidRPr="001A5DEF">
              <w:rPr>
                <w:rFonts w:ascii="Times New Roman" w:hAnsi="Times New Roman" w:cs="Times New Roman"/>
                <w:b/>
                <w:noProof/>
                <w:webHidden/>
                <w:color w:val="2F5496" w:themeColor="accent1" w:themeShade="BF"/>
                <w:sz w:val="24"/>
                <w:szCs w:val="24"/>
              </w:rPr>
              <w:tab/>
            </w:r>
            <w:r w:rsidR="00F86EE8" w:rsidRPr="001A5DEF">
              <w:rPr>
                <w:rFonts w:ascii="Times New Roman" w:hAnsi="Times New Roman" w:cs="Times New Roman"/>
                <w:b/>
                <w:noProof/>
                <w:webHidden/>
                <w:color w:val="2F5496" w:themeColor="accent1" w:themeShade="BF"/>
                <w:sz w:val="24"/>
                <w:szCs w:val="24"/>
              </w:rPr>
              <w:fldChar w:fldCharType="begin"/>
            </w:r>
            <w:r w:rsidR="00F86EE8" w:rsidRPr="001A5DEF">
              <w:rPr>
                <w:rFonts w:ascii="Times New Roman" w:hAnsi="Times New Roman" w:cs="Times New Roman"/>
                <w:b/>
                <w:noProof/>
                <w:webHidden/>
                <w:color w:val="2F5496" w:themeColor="accent1" w:themeShade="BF"/>
                <w:sz w:val="24"/>
                <w:szCs w:val="24"/>
              </w:rPr>
              <w:instrText xml:space="preserve"> PAGEREF _Toc534547875 \h </w:instrText>
            </w:r>
            <w:r w:rsidR="00F86EE8" w:rsidRPr="001A5DEF">
              <w:rPr>
                <w:rFonts w:ascii="Times New Roman" w:hAnsi="Times New Roman" w:cs="Times New Roman"/>
                <w:b/>
                <w:noProof/>
                <w:webHidden/>
                <w:color w:val="2F5496" w:themeColor="accent1" w:themeShade="BF"/>
                <w:sz w:val="24"/>
                <w:szCs w:val="24"/>
              </w:rPr>
            </w:r>
            <w:r w:rsidR="00F86EE8" w:rsidRPr="001A5DEF">
              <w:rPr>
                <w:rFonts w:ascii="Times New Roman" w:hAnsi="Times New Roman" w:cs="Times New Roman"/>
                <w:b/>
                <w:noProof/>
                <w:webHidden/>
                <w:color w:val="2F5496" w:themeColor="accent1" w:themeShade="BF"/>
                <w:sz w:val="24"/>
                <w:szCs w:val="24"/>
              </w:rPr>
              <w:fldChar w:fldCharType="separate"/>
            </w:r>
            <w:r w:rsidR="00784385">
              <w:rPr>
                <w:rFonts w:ascii="Times New Roman" w:hAnsi="Times New Roman" w:cs="Times New Roman"/>
                <w:b/>
                <w:noProof/>
                <w:webHidden/>
                <w:color w:val="2F5496" w:themeColor="accent1" w:themeShade="BF"/>
                <w:sz w:val="24"/>
                <w:szCs w:val="24"/>
              </w:rPr>
              <w:t>104</w:t>
            </w:r>
            <w:r w:rsidR="00F86EE8" w:rsidRPr="001A5DEF">
              <w:rPr>
                <w:rFonts w:ascii="Times New Roman" w:hAnsi="Times New Roman" w:cs="Times New Roman"/>
                <w:b/>
                <w:noProof/>
                <w:webHidden/>
                <w:color w:val="2F5496" w:themeColor="accent1" w:themeShade="BF"/>
                <w:sz w:val="24"/>
                <w:szCs w:val="24"/>
              </w:rPr>
              <w:fldChar w:fldCharType="end"/>
            </w:r>
          </w:hyperlink>
        </w:p>
        <w:p w14:paraId="73B7D408" w14:textId="21AB05CF" w:rsidR="00F86EE8" w:rsidRPr="001A5DEF" w:rsidRDefault="00AF5D0A">
          <w:pPr>
            <w:pStyle w:val="TOC2"/>
            <w:rPr>
              <w:rFonts w:ascii="Times New Roman" w:hAnsi="Times New Roman"/>
              <w:b/>
              <w:noProof/>
              <w:color w:val="2F5496" w:themeColor="accent1" w:themeShade="BF"/>
              <w:sz w:val="24"/>
              <w:szCs w:val="24"/>
            </w:rPr>
          </w:pPr>
          <w:hyperlink w:anchor="_Toc534547876" w:history="1">
            <w:r w:rsidR="00F86EE8" w:rsidRPr="001A5DEF">
              <w:rPr>
                <w:rStyle w:val="Hyperlink"/>
                <w:rFonts w:ascii="Times New Roman" w:hAnsi="Times New Roman"/>
                <w:b/>
                <w:noProof/>
                <w:color w:val="2F5496" w:themeColor="accent1" w:themeShade="BF"/>
                <w:sz w:val="24"/>
                <w:szCs w:val="24"/>
                <w:u w:val="none"/>
              </w:rPr>
              <w:t>Appendix 1 – NGDC and EDC Demographic Profiles</w:t>
            </w:r>
            <w:r w:rsidR="00F86EE8" w:rsidRPr="001A5DEF">
              <w:rPr>
                <w:rFonts w:ascii="Times New Roman" w:hAnsi="Times New Roman"/>
                <w:b/>
                <w:noProof/>
                <w:webHidden/>
                <w:color w:val="2F5496" w:themeColor="accent1" w:themeShade="BF"/>
                <w:sz w:val="24"/>
                <w:szCs w:val="24"/>
              </w:rPr>
              <w:tab/>
            </w:r>
            <w:r w:rsidR="00F86EE8" w:rsidRPr="001A5DEF">
              <w:rPr>
                <w:rFonts w:ascii="Times New Roman" w:hAnsi="Times New Roman"/>
                <w:b/>
                <w:noProof/>
                <w:webHidden/>
                <w:color w:val="2F5496" w:themeColor="accent1" w:themeShade="BF"/>
                <w:sz w:val="24"/>
                <w:szCs w:val="24"/>
              </w:rPr>
              <w:fldChar w:fldCharType="begin"/>
            </w:r>
            <w:r w:rsidR="00F86EE8" w:rsidRPr="001A5DEF">
              <w:rPr>
                <w:rFonts w:ascii="Times New Roman" w:hAnsi="Times New Roman"/>
                <w:b/>
                <w:noProof/>
                <w:webHidden/>
                <w:color w:val="2F5496" w:themeColor="accent1" w:themeShade="BF"/>
                <w:sz w:val="24"/>
                <w:szCs w:val="24"/>
              </w:rPr>
              <w:instrText xml:space="preserve"> PAGEREF _Toc534547876 \h </w:instrText>
            </w:r>
            <w:r w:rsidR="00F86EE8" w:rsidRPr="001A5DEF">
              <w:rPr>
                <w:rFonts w:ascii="Times New Roman" w:hAnsi="Times New Roman"/>
                <w:b/>
                <w:noProof/>
                <w:webHidden/>
                <w:color w:val="2F5496" w:themeColor="accent1" w:themeShade="BF"/>
                <w:sz w:val="24"/>
                <w:szCs w:val="24"/>
              </w:rPr>
            </w:r>
            <w:r w:rsidR="00F86EE8" w:rsidRPr="001A5DEF">
              <w:rPr>
                <w:rFonts w:ascii="Times New Roman" w:hAnsi="Times New Roman"/>
                <w:b/>
                <w:noProof/>
                <w:webHidden/>
                <w:color w:val="2F5496" w:themeColor="accent1" w:themeShade="BF"/>
                <w:sz w:val="24"/>
                <w:szCs w:val="24"/>
              </w:rPr>
              <w:fldChar w:fldCharType="separate"/>
            </w:r>
            <w:r w:rsidR="00784385">
              <w:rPr>
                <w:rFonts w:ascii="Times New Roman" w:hAnsi="Times New Roman"/>
                <w:b/>
                <w:noProof/>
                <w:webHidden/>
                <w:color w:val="2F5496" w:themeColor="accent1" w:themeShade="BF"/>
                <w:sz w:val="24"/>
                <w:szCs w:val="24"/>
              </w:rPr>
              <w:t>i</w:t>
            </w:r>
            <w:r w:rsidR="00F86EE8" w:rsidRPr="001A5DEF">
              <w:rPr>
                <w:rFonts w:ascii="Times New Roman" w:hAnsi="Times New Roman"/>
                <w:b/>
                <w:noProof/>
                <w:webHidden/>
                <w:color w:val="2F5496" w:themeColor="accent1" w:themeShade="BF"/>
                <w:sz w:val="24"/>
                <w:szCs w:val="24"/>
              </w:rPr>
              <w:fldChar w:fldCharType="end"/>
            </w:r>
          </w:hyperlink>
        </w:p>
        <w:p w14:paraId="6E4E37A2" w14:textId="467A7CEE" w:rsidR="00F86EE8" w:rsidRPr="001A5DEF" w:rsidRDefault="00AF5D0A">
          <w:pPr>
            <w:pStyle w:val="TOC2"/>
            <w:rPr>
              <w:rFonts w:ascii="Times New Roman" w:hAnsi="Times New Roman"/>
              <w:b/>
              <w:noProof/>
              <w:color w:val="2F5496" w:themeColor="accent1" w:themeShade="BF"/>
              <w:sz w:val="24"/>
              <w:szCs w:val="24"/>
            </w:rPr>
          </w:pPr>
          <w:hyperlink w:anchor="_Toc534547877" w:history="1">
            <w:r w:rsidR="00F86EE8" w:rsidRPr="001A5DEF">
              <w:rPr>
                <w:rStyle w:val="Hyperlink"/>
                <w:rFonts w:ascii="Times New Roman" w:hAnsi="Times New Roman"/>
                <w:b/>
                <w:noProof/>
                <w:color w:val="2F5496" w:themeColor="accent1" w:themeShade="BF"/>
                <w:sz w:val="24"/>
                <w:szCs w:val="24"/>
                <w:u w:val="none"/>
              </w:rPr>
              <w:t>Appendix 2 –Energy Burdens for Gas and Electric Service</w:t>
            </w:r>
            <w:r w:rsidR="00F86EE8" w:rsidRPr="001A5DEF">
              <w:rPr>
                <w:rFonts w:ascii="Times New Roman" w:hAnsi="Times New Roman"/>
                <w:b/>
                <w:noProof/>
                <w:webHidden/>
                <w:color w:val="2F5496" w:themeColor="accent1" w:themeShade="BF"/>
                <w:sz w:val="24"/>
                <w:szCs w:val="24"/>
              </w:rPr>
              <w:tab/>
            </w:r>
            <w:r w:rsidR="00F86EE8" w:rsidRPr="001A5DEF">
              <w:rPr>
                <w:rFonts w:ascii="Times New Roman" w:hAnsi="Times New Roman"/>
                <w:b/>
                <w:noProof/>
                <w:webHidden/>
                <w:color w:val="2F5496" w:themeColor="accent1" w:themeShade="BF"/>
                <w:sz w:val="24"/>
                <w:szCs w:val="24"/>
              </w:rPr>
              <w:fldChar w:fldCharType="begin"/>
            </w:r>
            <w:r w:rsidR="00F86EE8" w:rsidRPr="001A5DEF">
              <w:rPr>
                <w:rFonts w:ascii="Times New Roman" w:hAnsi="Times New Roman"/>
                <w:b/>
                <w:noProof/>
                <w:webHidden/>
                <w:color w:val="2F5496" w:themeColor="accent1" w:themeShade="BF"/>
                <w:sz w:val="24"/>
                <w:szCs w:val="24"/>
              </w:rPr>
              <w:instrText xml:space="preserve"> PAGEREF _Toc534547877 \h </w:instrText>
            </w:r>
            <w:r w:rsidR="00F86EE8" w:rsidRPr="001A5DEF">
              <w:rPr>
                <w:rFonts w:ascii="Times New Roman" w:hAnsi="Times New Roman"/>
                <w:b/>
                <w:noProof/>
                <w:webHidden/>
                <w:color w:val="2F5496" w:themeColor="accent1" w:themeShade="BF"/>
                <w:sz w:val="24"/>
                <w:szCs w:val="24"/>
              </w:rPr>
            </w:r>
            <w:r w:rsidR="00F86EE8" w:rsidRPr="001A5DEF">
              <w:rPr>
                <w:rFonts w:ascii="Times New Roman" w:hAnsi="Times New Roman"/>
                <w:b/>
                <w:noProof/>
                <w:webHidden/>
                <w:color w:val="2F5496" w:themeColor="accent1" w:themeShade="BF"/>
                <w:sz w:val="24"/>
                <w:szCs w:val="24"/>
              </w:rPr>
              <w:fldChar w:fldCharType="separate"/>
            </w:r>
            <w:r w:rsidR="00784385">
              <w:rPr>
                <w:rFonts w:ascii="Times New Roman" w:hAnsi="Times New Roman"/>
                <w:b/>
                <w:noProof/>
                <w:webHidden/>
                <w:color w:val="2F5496" w:themeColor="accent1" w:themeShade="BF"/>
                <w:sz w:val="24"/>
                <w:szCs w:val="24"/>
              </w:rPr>
              <w:t>xv</w:t>
            </w:r>
            <w:r w:rsidR="00F86EE8" w:rsidRPr="001A5DEF">
              <w:rPr>
                <w:rFonts w:ascii="Times New Roman" w:hAnsi="Times New Roman"/>
                <w:b/>
                <w:noProof/>
                <w:webHidden/>
                <w:color w:val="2F5496" w:themeColor="accent1" w:themeShade="BF"/>
                <w:sz w:val="24"/>
                <w:szCs w:val="24"/>
              </w:rPr>
              <w:fldChar w:fldCharType="end"/>
            </w:r>
          </w:hyperlink>
        </w:p>
        <w:p w14:paraId="49B9297A" w14:textId="0C236461" w:rsidR="00F86EE8" w:rsidRPr="001A5DEF" w:rsidRDefault="00AF5D0A">
          <w:pPr>
            <w:pStyle w:val="TOC2"/>
            <w:rPr>
              <w:rFonts w:ascii="Times New Roman" w:hAnsi="Times New Roman"/>
              <w:b/>
              <w:noProof/>
              <w:color w:val="2F5496" w:themeColor="accent1" w:themeShade="BF"/>
              <w:sz w:val="24"/>
              <w:szCs w:val="24"/>
            </w:rPr>
          </w:pPr>
          <w:hyperlink w:anchor="_Toc534547878" w:history="1">
            <w:r w:rsidR="00F86EE8" w:rsidRPr="001A5DEF">
              <w:rPr>
                <w:rStyle w:val="Hyperlink"/>
                <w:rFonts w:ascii="Times New Roman" w:hAnsi="Times New Roman"/>
                <w:b/>
                <w:noProof/>
                <w:color w:val="2F5496" w:themeColor="accent1" w:themeShade="BF"/>
                <w:sz w:val="24"/>
                <w:szCs w:val="24"/>
                <w:u w:val="none"/>
              </w:rPr>
              <w:t>Appendix 3 – Impact of LIHEAP Grants on Energy Burden Levels</w:t>
            </w:r>
            <w:r w:rsidR="00F86EE8" w:rsidRPr="001A5DEF">
              <w:rPr>
                <w:rFonts w:ascii="Times New Roman" w:hAnsi="Times New Roman"/>
                <w:b/>
                <w:noProof/>
                <w:webHidden/>
                <w:color w:val="2F5496" w:themeColor="accent1" w:themeShade="BF"/>
                <w:sz w:val="24"/>
                <w:szCs w:val="24"/>
              </w:rPr>
              <w:tab/>
            </w:r>
            <w:r w:rsidR="00F86EE8" w:rsidRPr="001A5DEF">
              <w:rPr>
                <w:rFonts w:ascii="Times New Roman" w:hAnsi="Times New Roman"/>
                <w:b/>
                <w:noProof/>
                <w:webHidden/>
                <w:color w:val="2F5496" w:themeColor="accent1" w:themeShade="BF"/>
                <w:sz w:val="24"/>
                <w:szCs w:val="24"/>
              </w:rPr>
              <w:fldChar w:fldCharType="begin"/>
            </w:r>
            <w:r w:rsidR="00F86EE8" w:rsidRPr="001A5DEF">
              <w:rPr>
                <w:rFonts w:ascii="Times New Roman" w:hAnsi="Times New Roman"/>
                <w:b/>
                <w:noProof/>
                <w:webHidden/>
                <w:color w:val="2F5496" w:themeColor="accent1" w:themeShade="BF"/>
                <w:sz w:val="24"/>
                <w:szCs w:val="24"/>
              </w:rPr>
              <w:instrText xml:space="preserve"> PAGEREF _Toc534547878 \h </w:instrText>
            </w:r>
            <w:r w:rsidR="00F86EE8" w:rsidRPr="001A5DEF">
              <w:rPr>
                <w:rFonts w:ascii="Times New Roman" w:hAnsi="Times New Roman"/>
                <w:b/>
                <w:noProof/>
                <w:webHidden/>
                <w:color w:val="2F5496" w:themeColor="accent1" w:themeShade="BF"/>
                <w:sz w:val="24"/>
                <w:szCs w:val="24"/>
              </w:rPr>
            </w:r>
            <w:r w:rsidR="00F86EE8" w:rsidRPr="001A5DEF">
              <w:rPr>
                <w:rFonts w:ascii="Times New Roman" w:hAnsi="Times New Roman"/>
                <w:b/>
                <w:noProof/>
                <w:webHidden/>
                <w:color w:val="2F5496" w:themeColor="accent1" w:themeShade="BF"/>
                <w:sz w:val="24"/>
                <w:szCs w:val="24"/>
              </w:rPr>
              <w:fldChar w:fldCharType="separate"/>
            </w:r>
            <w:r w:rsidR="00784385">
              <w:rPr>
                <w:rFonts w:ascii="Times New Roman" w:hAnsi="Times New Roman"/>
                <w:b/>
                <w:noProof/>
                <w:webHidden/>
                <w:color w:val="2F5496" w:themeColor="accent1" w:themeShade="BF"/>
                <w:sz w:val="24"/>
                <w:szCs w:val="24"/>
              </w:rPr>
              <w:t>xxiii</w:t>
            </w:r>
            <w:r w:rsidR="00F86EE8" w:rsidRPr="001A5DEF">
              <w:rPr>
                <w:rFonts w:ascii="Times New Roman" w:hAnsi="Times New Roman"/>
                <w:b/>
                <w:noProof/>
                <w:webHidden/>
                <w:color w:val="2F5496" w:themeColor="accent1" w:themeShade="BF"/>
                <w:sz w:val="24"/>
                <w:szCs w:val="24"/>
              </w:rPr>
              <w:fldChar w:fldCharType="end"/>
            </w:r>
          </w:hyperlink>
        </w:p>
        <w:p w14:paraId="5F790F40" w14:textId="7FB36CBF" w:rsidR="00F86EE8" w:rsidRPr="001A5DEF" w:rsidRDefault="00AF5D0A">
          <w:pPr>
            <w:pStyle w:val="TOC2"/>
            <w:rPr>
              <w:rFonts w:ascii="Times New Roman" w:hAnsi="Times New Roman"/>
              <w:b/>
              <w:noProof/>
              <w:color w:val="2F5496" w:themeColor="accent1" w:themeShade="BF"/>
              <w:sz w:val="24"/>
              <w:szCs w:val="24"/>
            </w:rPr>
          </w:pPr>
          <w:hyperlink w:anchor="_Toc534547879" w:history="1">
            <w:r w:rsidR="00F86EE8" w:rsidRPr="001A5DEF">
              <w:rPr>
                <w:rStyle w:val="Hyperlink"/>
                <w:rFonts w:ascii="Times New Roman" w:hAnsi="Times New Roman"/>
                <w:b/>
                <w:noProof/>
                <w:color w:val="2F5496" w:themeColor="accent1" w:themeShade="BF"/>
                <w:sz w:val="24"/>
                <w:szCs w:val="24"/>
                <w:u w:val="none"/>
              </w:rPr>
              <w:t>Appendix 4 – Pre-Program Arrearages and In-Program Arrears</w:t>
            </w:r>
            <w:r w:rsidR="00F86EE8" w:rsidRPr="001A5DEF">
              <w:rPr>
                <w:rFonts w:ascii="Times New Roman" w:hAnsi="Times New Roman"/>
                <w:b/>
                <w:noProof/>
                <w:webHidden/>
                <w:color w:val="2F5496" w:themeColor="accent1" w:themeShade="BF"/>
                <w:sz w:val="24"/>
                <w:szCs w:val="24"/>
              </w:rPr>
              <w:tab/>
            </w:r>
            <w:r w:rsidR="00F86EE8" w:rsidRPr="001A5DEF">
              <w:rPr>
                <w:rFonts w:ascii="Times New Roman" w:hAnsi="Times New Roman"/>
                <w:b/>
                <w:noProof/>
                <w:webHidden/>
                <w:color w:val="2F5496" w:themeColor="accent1" w:themeShade="BF"/>
                <w:sz w:val="24"/>
                <w:szCs w:val="24"/>
              </w:rPr>
              <w:fldChar w:fldCharType="begin"/>
            </w:r>
            <w:r w:rsidR="00F86EE8" w:rsidRPr="001A5DEF">
              <w:rPr>
                <w:rFonts w:ascii="Times New Roman" w:hAnsi="Times New Roman"/>
                <w:b/>
                <w:noProof/>
                <w:webHidden/>
                <w:color w:val="2F5496" w:themeColor="accent1" w:themeShade="BF"/>
                <w:sz w:val="24"/>
                <w:szCs w:val="24"/>
              </w:rPr>
              <w:instrText xml:space="preserve"> PAGEREF _Toc534547879 \h </w:instrText>
            </w:r>
            <w:r w:rsidR="00F86EE8" w:rsidRPr="001A5DEF">
              <w:rPr>
                <w:rFonts w:ascii="Times New Roman" w:hAnsi="Times New Roman"/>
                <w:b/>
                <w:noProof/>
                <w:webHidden/>
                <w:color w:val="2F5496" w:themeColor="accent1" w:themeShade="BF"/>
                <w:sz w:val="24"/>
                <w:szCs w:val="24"/>
              </w:rPr>
            </w:r>
            <w:r w:rsidR="00F86EE8" w:rsidRPr="001A5DEF">
              <w:rPr>
                <w:rFonts w:ascii="Times New Roman" w:hAnsi="Times New Roman"/>
                <w:b/>
                <w:noProof/>
                <w:webHidden/>
                <w:color w:val="2F5496" w:themeColor="accent1" w:themeShade="BF"/>
                <w:sz w:val="24"/>
                <w:szCs w:val="24"/>
              </w:rPr>
              <w:fldChar w:fldCharType="separate"/>
            </w:r>
            <w:r w:rsidR="00784385">
              <w:rPr>
                <w:rFonts w:ascii="Times New Roman" w:hAnsi="Times New Roman"/>
                <w:b/>
                <w:noProof/>
                <w:webHidden/>
                <w:color w:val="2F5496" w:themeColor="accent1" w:themeShade="BF"/>
                <w:sz w:val="24"/>
                <w:szCs w:val="24"/>
              </w:rPr>
              <w:t>xxxiii</w:t>
            </w:r>
            <w:r w:rsidR="00F86EE8" w:rsidRPr="001A5DEF">
              <w:rPr>
                <w:rFonts w:ascii="Times New Roman" w:hAnsi="Times New Roman"/>
                <w:b/>
                <w:noProof/>
                <w:webHidden/>
                <w:color w:val="2F5496" w:themeColor="accent1" w:themeShade="BF"/>
                <w:sz w:val="24"/>
                <w:szCs w:val="24"/>
              </w:rPr>
              <w:fldChar w:fldCharType="end"/>
            </w:r>
          </w:hyperlink>
        </w:p>
        <w:p w14:paraId="424AF399" w14:textId="3AF54655" w:rsidR="00F86EE8" w:rsidRPr="001A5DEF" w:rsidRDefault="00AF5D0A">
          <w:pPr>
            <w:pStyle w:val="TOC2"/>
            <w:rPr>
              <w:rFonts w:ascii="Times New Roman" w:hAnsi="Times New Roman"/>
              <w:b/>
              <w:noProof/>
              <w:color w:val="2F5496" w:themeColor="accent1" w:themeShade="BF"/>
              <w:sz w:val="24"/>
              <w:szCs w:val="24"/>
            </w:rPr>
          </w:pPr>
          <w:hyperlink w:anchor="_Toc534547880" w:history="1">
            <w:r w:rsidR="00F86EE8" w:rsidRPr="001A5DEF">
              <w:rPr>
                <w:rStyle w:val="Hyperlink"/>
                <w:rFonts w:ascii="Times New Roman" w:hAnsi="Times New Roman"/>
                <w:b/>
                <w:noProof/>
                <w:color w:val="2F5496" w:themeColor="accent1" w:themeShade="BF"/>
                <w:sz w:val="24"/>
                <w:szCs w:val="24"/>
                <w:u w:val="none"/>
              </w:rPr>
              <w:t>Appendix 5 – Percentage of CAP Bills Paid In-Full</w:t>
            </w:r>
            <w:r w:rsidR="00F86EE8" w:rsidRPr="001A5DEF">
              <w:rPr>
                <w:rFonts w:ascii="Times New Roman" w:hAnsi="Times New Roman"/>
                <w:b/>
                <w:noProof/>
                <w:webHidden/>
                <w:color w:val="2F5496" w:themeColor="accent1" w:themeShade="BF"/>
                <w:sz w:val="24"/>
                <w:szCs w:val="24"/>
              </w:rPr>
              <w:tab/>
            </w:r>
            <w:r w:rsidR="00F86EE8" w:rsidRPr="001A5DEF">
              <w:rPr>
                <w:rFonts w:ascii="Times New Roman" w:hAnsi="Times New Roman"/>
                <w:b/>
                <w:noProof/>
                <w:webHidden/>
                <w:color w:val="2F5496" w:themeColor="accent1" w:themeShade="BF"/>
                <w:sz w:val="24"/>
                <w:szCs w:val="24"/>
              </w:rPr>
              <w:fldChar w:fldCharType="begin"/>
            </w:r>
            <w:r w:rsidR="00F86EE8" w:rsidRPr="001A5DEF">
              <w:rPr>
                <w:rFonts w:ascii="Times New Roman" w:hAnsi="Times New Roman"/>
                <w:b/>
                <w:noProof/>
                <w:webHidden/>
                <w:color w:val="2F5496" w:themeColor="accent1" w:themeShade="BF"/>
                <w:sz w:val="24"/>
                <w:szCs w:val="24"/>
              </w:rPr>
              <w:instrText xml:space="preserve"> PAGEREF _Toc534547880 \h </w:instrText>
            </w:r>
            <w:r w:rsidR="00F86EE8" w:rsidRPr="001A5DEF">
              <w:rPr>
                <w:rFonts w:ascii="Times New Roman" w:hAnsi="Times New Roman"/>
                <w:b/>
                <w:noProof/>
                <w:webHidden/>
                <w:color w:val="2F5496" w:themeColor="accent1" w:themeShade="BF"/>
                <w:sz w:val="24"/>
                <w:szCs w:val="24"/>
              </w:rPr>
            </w:r>
            <w:r w:rsidR="00F86EE8" w:rsidRPr="001A5DEF">
              <w:rPr>
                <w:rFonts w:ascii="Times New Roman" w:hAnsi="Times New Roman"/>
                <w:b/>
                <w:noProof/>
                <w:webHidden/>
                <w:color w:val="2F5496" w:themeColor="accent1" w:themeShade="BF"/>
                <w:sz w:val="24"/>
                <w:szCs w:val="24"/>
              </w:rPr>
              <w:fldChar w:fldCharType="separate"/>
            </w:r>
            <w:r w:rsidR="00784385">
              <w:rPr>
                <w:rFonts w:ascii="Times New Roman" w:hAnsi="Times New Roman"/>
                <w:b/>
                <w:noProof/>
                <w:webHidden/>
                <w:color w:val="2F5496" w:themeColor="accent1" w:themeShade="BF"/>
                <w:sz w:val="24"/>
                <w:szCs w:val="24"/>
              </w:rPr>
              <w:t>xxxv</w:t>
            </w:r>
            <w:r w:rsidR="00F86EE8" w:rsidRPr="001A5DEF">
              <w:rPr>
                <w:rFonts w:ascii="Times New Roman" w:hAnsi="Times New Roman"/>
                <w:b/>
                <w:noProof/>
                <w:webHidden/>
                <w:color w:val="2F5496" w:themeColor="accent1" w:themeShade="BF"/>
                <w:sz w:val="24"/>
                <w:szCs w:val="24"/>
              </w:rPr>
              <w:fldChar w:fldCharType="end"/>
            </w:r>
          </w:hyperlink>
        </w:p>
        <w:p w14:paraId="50701D42" w14:textId="31A468AC" w:rsidR="00F86EE8" w:rsidRPr="001A5DEF" w:rsidRDefault="00AF5D0A">
          <w:pPr>
            <w:pStyle w:val="TOC2"/>
            <w:rPr>
              <w:rFonts w:ascii="Times New Roman" w:hAnsi="Times New Roman"/>
              <w:b/>
              <w:noProof/>
              <w:color w:val="2F5496" w:themeColor="accent1" w:themeShade="BF"/>
              <w:sz w:val="24"/>
              <w:szCs w:val="24"/>
            </w:rPr>
          </w:pPr>
          <w:hyperlink w:anchor="_Toc534547881" w:history="1">
            <w:r w:rsidR="00F86EE8" w:rsidRPr="001A5DEF">
              <w:rPr>
                <w:rStyle w:val="Hyperlink"/>
                <w:rFonts w:ascii="Times New Roman" w:hAnsi="Times New Roman"/>
                <w:b/>
                <w:noProof/>
                <w:color w:val="2F5496" w:themeColor="accent1" w:themeShade="BF"/>
                <w:sz w:val="24"/>
                <w:szCs w:val="24"/>
                <w:u w:val="none"/>
              </w:rPr>
              <w:t>Appendix 6 – CAP Default Exit and Termination Rates</w:t>
            </w:r>
            <w:r w:rsidR="00F86EE8" w:rsidRPr="001A5DEF">
              <w:rPr>
                <w:rFonts w:ascii="Times New Roman" w:hAnsi="Times New Roman"/>
                <w:b/>
                <w:noProof/>
                <w:webHidden/>
                <w:color w:val="2F5496" w:themeColor="accent1" w:themeShade="BF"/>
                <w:sz w:val="24"/>
                <w:szCs w:val="24"/>
              </w:rPr>
              <w:tab/>
            </w:r>
            <w:r w:rsidR="00F86EE8" w:rsidRPr="001A5DEF">
              <w:rPr>
                <w:rFonts w:ascii="Times New Roman" w:hAnsi="Times New Roman"/>
                <w:b/>
                <w:noProof/>
                <w:webHidden/>
                <w:color w:val="2F5496" w:themeColor="accent1" w:themeShade="BF"/>
                <w:sz w:val="24"/>
                <w:szCs w:val="24"/>
              </w:rPr>
              <w:fldChar w:fldCharType="begin"/>
            </w:r>
            <w:r w:rsidR="00F86EE8" w:rsidRPr="001A5DEF">
              <w:rPr>
                <w:rFonts w:ascii="Times New Roman" w:hAnsi="Times New Roman"/>
                <w:b/>
                <w:noProof/>
                <w:webHidden/>
                <w:color w:val="2F5496" w:themeColor="accent1" w:themeShade="BF"/>
                <w:sz w:val="24"/>
                <w:szCs w:val="24"/>
              </w:rPr>
              <w:instrText xml:space="preserve"> PAGEREF _Toc534547881 \h </w:instrText>
            </w:r>
            <w:r w:rsidR="00F86EE8" w:rsidRPr="001A5DEF">
              <w:rPr>
                <w:rFonts w:ascii="Times New Roman" w:hAnsi="Times New Roman"/>
                <w:b/>
                <w:noProof/>
                <w:webHidden/>
                <w:color w:val="2F5496" w:themeColor="accent1" w:themeShade="BF"/>
                <w:sz w:val="24"/>
                <w:szCs w:val="24"/>
              </w:rPr>
            </w:r>
            <w:r w:rsidR="00F86EE8" w:rsidRPr="001A5DEF">
              <w:rPr>
                <w:rFonts w:ascii="Times New Roman" w:hAnsi="Times New Roman"/>
                <w:b/>
                <w:noProof/>
                <w:webHidden/>
                <w:color w:val="2F5496" w:themeColor="accent1" w:themeShade="BF"/>
                <w:sz w:val="24"/>
                <w:szCs w:val="24"/>
              </w:rPr>
              <w:fldChar w:fldCharType="separate"/>
            </w:r>
            <w:r w:rsidR="00784385">
              <w:rPr>
                <w:rFonts w:ascii="Times New Roman" w:hAnsi="Times New Roman"/>
                <w:b/>
                <w:noProof/>
                <w:webHidden/>
                <w:color w:val="2F5496" w:themeColor="accent1" w:themeShade="BF"/>
                <w:sz w:val="24"/>
                <w:szCs w:val="24"/>
              </w:rPr>
              <w:t>xlvii</w:t>
            </w:r>
            <w:r w:rsidR="00F86EE8" w:rsidRPr="001A5DEF">
              <w:rPr>
                <w:rFonts w:ascii="Times New Roman" w:hAnsi="Times New Roman"/>
                <w:b/>
                <w:noProof/>
                <w:webHidden/>
                <w:color w:val="2F5496" w:themeColor="accent1" w:themeShade="BF"/>
                <w:sz w:val="24"/>
                <w:szCs w:val="24"/>
              </w:rPr>
              <w:fldChar w:fldCharType="end"/>
            </w:r>
          </w:hyperlink>
        </w:p>
        <w:p w14:paraId="781F3D4C" w14:textId="6288AB96" w:rsidR="00F86EE8" w:rsidRPr="001A5DEF" w:rsidRDefault="00AF5D0A">
          <w:pPr>
            <w:pStyle w:val="TOC2"/>
            <w:rPr>
              <w:rFonts w:ascii="Times New Roman" w:hAnsi="Times New Roman"/>
              <w:b/>
              <w:noProof/>
              <w:color w:val="2F5496" w:themeColor="accent1" w:themeShade="BF"/>
              <w:sz w:val="24"/>
              <w:szCs w:val="24"/>
            </w:rPr>
          </w:pPr>
          <w:hyperlink w:anchor="_Toc534547882" w:history="1">
            <w:r w:rsidR="00F86EE8" w:rsidRPr="001A5DEF">
              <w:rPr>
                <w:rStyle w:val="Hyperlink"/>
                <w:rFonts w:ascii="Times New Roman" w:hAnsi="Times New Roman"/>
                <w:b/>
                <w:noProof/>
                <w:color w:val="2F5496" w:themeColor="accent1" w:themeShade="BF"/>
                <w:sz w:val="24"/>
                <w:szCs w:val="24"/>
                <w:u w:val="none"/>
              </w:rPr>
              <w:t xml:space="preserve">Appendix 7 – Non-CAP Residential </w:t>
            </w:r>
            <w:r w:rsidR="00AB563C" w:rsidRPr="001A5DEF">
              <w:rPr>
                <w:rStyle w:val="Hyperlink"/>
                <w:rFonts w:ascii="Times New Roman" w:hAnsi="Times New Roman"/>
                <w:b/>
                <w:noProof/>
                <w:color w:val="2F5496" w:themeColor="accent1" w:themeShade="BF"/>
                <w:sz w:val="24"/>
                <w:szCs w:val="24"/>
                <w:u w:val="none"/>
              </w:rPr>
              <w:t>&amp;</w:t>
            </w:r>
            <w:r w:rsidR="00F86EE8" w:rsidRPr="001A5DEF">
              <w:rPr>
                <w:rStyle w:val="Hyperlink"/>
                <w:rFonts w:ascii="Times New Roman" w:hAnsi="Times New Roman"/>
                <w:b/>
                <w:noProof/>
                <w:color w:val="2F5496" w:themeColor="accent1" w:themeShade="BF"/>
                <w:sz w:val="24"/>
                <w:szCs w:val="24"/>
                <w:u w:val="none"/>
              </w:rPr>
              <w:t xml:space="preserve"> Confirmed Low-Income (CLI) Customer Debt</w:t>
            </w:r>
            <w:r w:rsidR="00F86EE8" w:rsidRPr="001A5DEF">
              <w:rPr>
                <w:rFonts w:ascii="Times New Roman" w:hAnsi="Times New Roman"/>
                <w:b/>
                <w:noProof/>
                <w:webHidden/>
                <w:color w:val="2F5496" w:themeColor="accent1" w:themeShade="BF"/>
                <w:sz w:val="24"/>
                <w:szCs w:val="24"/>
              </w:rPr>
              <w:tab/>
            </w:r>
            <w:r w:rsidR="00F86EE8" w:rsidRPr="001A5DEF">
              <w:rPr>
                <w:rFonts w:ascii="Times New Roman" w:hAnsi="Times New Roman"/>
                <w:b/>
                <w:noProof/>
                <w:webHidden/>
                <w:color w:val="2F5496" w:themeColor="accent1" w:themeShade="BF"/>
                <w:sz w:val="24"/>
                <w:szCs w:val="24"/>
              </w:rPr>
              <w:fldChar w:fldCharType="begin"/>
            </w:r>
            <w:r w:rsidR="00F86EE8" w:rsidRPr="001A5DEF">
              <w:rPr>
                <w:rFonts w:ascii="Times New Roman" w:hAnsi="Times New Roman"/>
                <w:b/>
                <w:noProof/>
                <w:webHidden/>
                <w:color w:val="2F5496" w:themeColor="accent1" w:themeShade="BF"/>
                <w:sz w:val="24"/>
                <w:szCs w:val="24"/>
              </w:rPr>
              <w:instrText xml:space="preserve"> PAGEREF _Toc534547882 \h </w:instrText>
            </w:r>
            <w:r w:rsidR="00F86EE8" w:rsidRPr="001A5DEF">
              <w:rPr>
                <w:rFonts w:ascii="Times New Roman" w:hAnsi="Times New Roman"/>
                <w:b/>
                <w:noProof/>
                <w:webHidden/>
                <w:color w:val="2F5496" w:themeColor="accent1" w:themeShade="BF"/>
                <w:sz w:val="24"/>
                <w:szCs w:val="24"/>
              </w:rPr>
            </w:r>
            <w:r w:rsidR="00F86EE8" w:rsidRPr="001A5DEF">
              <w:rPr>
                <w:rFonts w:ascii="Times New Roman" w:hAnsi="Times New Roman"/>
                <w:b/>
                <w:noProof/>
                <w:webHidden/>
                <w:color w:val="2F5496" w:themeColor="accent1" w:themeShade="BF"/>
                <w:sz w:val="24"/>
                <w:szCs w:val="24"/>
              </w:rPr>
              <w:fldChar w:fldCharType="separate"/>
            </w:r>
            <w:r w:rsidR="00784385">
              <w:rPr>
                <w:rFonts w:ascii="Times New Roman" w:hAnsi="Times New Roman"/>
                <w:b/>
                <w:noProof/>
                <w:webHidden/>
                <w:color w:val="2F5496" w:themeColor="accent1" w:themeShade="BF"/>
                <w:sz w:val="24"/>
                <w:szCs w:val="24"/>
              </w:rPr>
              <w:t>liii</w:t>
            </w:r>
            <w:r w:rsidR="00F86EE8" w:rsidRPr="001A5DEF">
              <w:rPr>
                <w:rFonts w:ascii="Times New Roman" w:hAnsi="Times New Roman"/>
                <w:b/>
                <w:noProof/>
                <w:webHidden/>
                <w:color w:val="2F5496" w:themeColor="accent1" w:themeShade="BF"/>
                <w:sz w:val="24"/>
                <w:szCs w:val="24"/>
              </w:rPr>
              <w:fldChar w:fldCharType="end"/>
            </w:r>
          </w:hyperlink>
        </w:p>
        <w:p w14:paraId="617F8205" w14:textId="74D42F4F" w:rsidR="00F86EE8" w:rsidRPr="001A5DEF" w:rsidRDefault="00AF5D0A">
          <w:pPr>
            <w:pStyle w:val="TOC2"/>
            <w:rPr>
              <w:rFonts w:ascii="Times New Roman" w:hAnsi="Times New Roman"/>
              <w:b/>
              <w:noProof/>
              <w:color w:val="2F5496" w:themeColor="accent1" w:themeShade="BF"/>
              <w:sz w:val="24"/>
              <w:szCs w:val="24"/>
            </w:rPr>
          </w:pPr>
          <w:hyperlink w:anchor="_Toc534547883" w:history="1">
            <w:r w:rsidR="00F86EE8" w:rsidRPr="001A5DEF">
              <w:rPr>
                <w:rStyle w:val="Hyperlink"/>
                <w:rFonts w:ascii="Times New Roman" w:hAnsi="Times New Roman"/>
                <w:b/>
                <w:noProof/>
                <w:color w:val="2F5496" w:themeColor="accent1" w:themeShade="BF"/>
                <w:sz w:val="24"/>
                <w:szCs w:val="24"/>
                <w:u w:val="none"/>
              </w:rPr>
              <w:t>Appendix 8 – State Survey Responses</w:t>
            </w:r>
            <w:r w:rsidR="00F86EE8" w:rsidRPr="001A5DEF">
              <w:rPr>
                <w:rFonts w:ascii="Times New Roman" w:hAnsi="Times New Roman"/>
                <w:b/>
                <w:noProof/>
                <w:webHidden/>
                <w:color w:val="2F5496" w:themeColor="accent1" w:themeShade="BF"/>
                <w:sz w:val="24"/>
                <w:szCs w:val="24"/>
              </w:rPr>
              <w:tab/>
            </w:r>
            <w:r w:rsidR="00F86EE8" w:rsidRPr="001A5DEF">
              <w:rPr>
                <w:rFonts w:ascii="Times New Roman" w:hAnsi="Times New Roman"/>
                <w:b/>
                <w:noProof/>
                <w:webHidden/>
                <w:color w:val="2F5496" w:themeColor="accent1" w:themeShade="BF"/>
                <w:sz w:val="24"/>
                <w:szCs w:val="24"/>
              </w:rPr>
              <w:fldChar w:fldCharType="begin"/>
            </w:r>
            <w:r w:rsidR="00F86EE8" w:rsidRPr="001A5DEF">
              <w:rPr>
                <w:rFonts w:ascii="Times New Roman" w:hAnsi="Times New Roman"/>
                <w:b/>
                <w:noProof/>
                <w:webHidden/>
                <w:color w:val="2F5496" w:themeColor="accent1" w:themeShade="BF"/>
                <w:sz w:val="24"/>
                <w:szCs w:val="24"/>
              </w:rPr>
              <w:instrText xml:space="preserve"> PAGEREF _Toc534547883 \h </w:instrText>
            </w:r>
            <w:r w:rsidR="00F86EE8" w:rsidRPr="001A5DEF">
              <w:rPr>
                <w:rFonts w:ascii="Times New Roman" w:hAnsi="Times New Roman"/>
                <w:b/>
                <w:noProof/>
                <w:webHidden/>
                <w:color w:val="2F5496" w:themeColor="accent1" w:themeShade="BF"/>
                <w:sz w:val="24"/>
                <w:szCs w:val="24"/>
              </w:rPr>
            </w:r>
            <w:r w:rsidR="00F86EE8" w:rsidRPr="001A5DEF">
              <w:rPr>
                <w:rFonts w:ascii="Times New Roman" w:hAnsi="Times New Roman"/>
                <w:b/>
                <w:noProof/>
                <w:webHidden/>
                <w:color w:val="2F5496" w:themeColor="accent1" w:themeShade="BF"/>
                <w:sz w:val="24"/>
                <w:szCs w:val="24"/>
              </w:rPr>
              <w:fldChar w:fldCharType="separate"/>
            </w:r>
            <w:r w:rsidR="00784385">
              <w:rPr>
                <w:rFonts w:ascii="Times New Roman" w:hAnsi="Times New Roman"/>
                <w:b/>
                <w:noProof/>
                <w:webHidden/>
                <w:color w:val="2F5496" w:themeColor="accent1" w:themeShade="BF"/>
                <w:sz w:val="24"/>
                <w:szCs w:val="24"/>
              </w:rPr>
              <w:t>lviii</w:t>
            </w:r>
            <w:r w:rsidR="00F86EE8" w:rsidRPr="001A5DEF">
              <w:rPr>
                <w:rFonts w:ascii="Times New Roman" w:hAnsi="Times New Roman"/>
                <w:b/>
                <w:noProof/>
                <w:webHidden/>
                <w:color w:val="2F5496" w:themeColor="accent1" w:themeShade="BF"/>
                <w:sz w:val="24"/>
                <w:szCs w:val="24"/>
              </w:rPr>
              <w:fldChar w:fldCharType="end"/>
            </w:r>
          </w:hyperlink>
        </w:p>
        <w:p w14:paraId="73ABEBEE" w14:textId="3BACEBA3" w:rsidR="00F86EE8" w:rsidRPr="001A5DEF" w:rsidRDefault="00AF5D0A">
          <w:pPr>
            <w:pStyle w:val="TOC2"/>
            <w:rPr>
              <w:rFonts w:ascii="Times New Roman" w:hAnsi="Times New Roman"/>
              <w:noProof/>
              <w:sz w:val="24"/>
              <w:szCs w:val="24"/>
            </w:rPr>
          </w:pPr>
          <w:hyperlink w:anchor="_Toc534547884" w:history="1">
            <w:r w:rsidR="00F86EE8" w:rsidRPr="001A5DEF">
              <w:rPr>
                <w:rStyle w:val="Hyperlink"/>
                <w:rFonts w:ascii="Times New Roman" w:hAnsi="Times New Roman"/>
                <w:b/>
                <w:noProof/>
                <w:color w:val="2F5496" w:themeColor="accent1" w:themeShade="BF"/>
                <w:sz w:val="24"/>
                <w:szCs w:val="24"/>
                <w:u w:val="none"/>
              </w:rPr>
              <w:t>Appendix 9 –CAP Costs and Forecasts</w:t>
            </w:r>
            <w:r w:rsidR="00F86EE8" w:rsidRPr="001A5DEF">
              <w:rPr>
                <w:rFonts w:ascii="Times New Roman" w:hAnsi="Times New Roman"/>
                <w:b/>
                <w:noProof/>
                <w:webHidden/>
                <w:color w:val="2F5496" w:themeColor="accent1" w:themeShade="BF"/>
                <w:sz w:val="24"/>
                <w:szCs w:val="24"/>
              </w:rPr>
              <w:tab/>
            </w:r>
            <w:r w:rsidR="00F86EE8" w:rsidRPr="001A5DEF">
              <w:rPr>
                <w:rFonts w:ascii="Times New Roman" w:hAnsi="Times New Roman"/>
                <w:b/>
                <w:noProof/>
                <w:webHidden/>
                <w:color w:val="2F5496" w:themeColor="accent1" w:themeShade="BF"/>
                <w:sz w:val="24"/>
                <w:szCs w:val="24"/>
              </w:rPr>
              <w:fldChar w:fldCharType="begin"/>
            </w:r>
            <w:r w:rsidR="00F86EE8" w:rsidRPr="001A5DEF">
              <w:rPr>
                <w:rFonts w:ascii="Times New Roman" w:hAnsi="Times New Roman"/>
                <w:b/>
                <w:noProof/>
                <w:webHidden/>
                <w:color w:val="2F5496" w:themeColor="accent1" w:themeShade="BF"/>
                <w:sz w:val="24"/>
                <w:szCs w:val="24"/>
              </w:rPr>
              <w:instrText xml:space="preserve"> PAGEREF _Toc534547884 \h </w:instrText>
            </w:r>
            <w:r w:rsidR="00F86EE8" w:rsidRPr="001A5DEF">
              <w:rPr>
                <w:rFonts w:ascii="Times New Roman" w:hAnsi="Times New Roman"/>
                <w:b/>
                <w:noProof/>
                <w:webHidden/>
                <w:color w:val="2F5496" w:themeColor="accent1" w:themeShade="BF"/>
                <w:sz w:val="24"/>
                <w:szCs w:val="24"/>
              </w:rPr>
            </w:r>
            <w:r w:rsidR="00F86EE8" w:rsidRPr="001A5DEF">
              <w:rPr>
                <w:rFonts w:ascii="Times New Roman" w:hAnsi="Times New Roman"/>
                <w:b/>
                <w:noProof/>
                <w:webHidden/>
                <w:color w:val="2F5496" w:themeColor="accent1" w:themeShade="BF"/>
                <w:sz w:val="24"/>
                <w:szCs w:val="24"/>
              </w:rPr>
              <w:fldChar w:fldCharType="separate"/>
            </w:r>
            <w:r w:rsidR="00784385">
              <w:rPr>
                <w:rFonts w:ascii="Times New Roman" w:hAnsi="Times New Roman"/>
                <w:b/>
                <w:noProof/>
                <w:webHidden/>
                <w:color w:val="2F5496" w:themeColor="accent1" w:themeShade="BF"/>
                <w:sz w:val="24"/>
                <w:szCs w:val="24"/>
              </w:rPr>
              <w:t>lxviii</w:t>
            </w:r>
            <w:r w:rsidR="00F86EE8" w:rsidRPr="001A5DEF">
              <w:rPr>
                <w:rFonts w:ascii="Times New Roman" w:hAnsi="Times New Roman"/>
                <w:b/>
                <w:noProof/>
                <w:webHidden/>
                <w:color w:val="2F5496" w:themeColor="accent1" w:themeShade="BF"/>
                <w:sz w:val="24"/>
                <w:szCs w:val="24"/>
              </w:rPr>
              <w:fldChar w:fldCharType="end"/>
            </w:r>
          </w:hyperlink>
        </w:p>
        <w:p w14:paraId="4CDE10E7" w14:textId="388D5564" w:rsidR="00C56670" w:rsidRPr="00EE5714" w:rsidRDefault="00C56670" w:rsidP="00485DDD">
          <w:pPr>
            <w:spacing w:after="0" w:line="240" w:lineRule="auto"/>
            <w:contextualSpacing/>
          </w:pPr>
          <w:r w:rsidRPr="001A5DEF">
            <w:rPr>
              <w:rFonts w:ascii="Times New Roman" w:hAnsi="Times New Roman" w:cs="Times New Roman"/>
              <w:b/>
              <w:bCs/>
              <w:noProof/>
              <w:color w:val="2F5496" w:themeColor="accent1" w:themeShade="BF"/>
              <w:sz w:val="24"/>
              <w:szCs w:val="24"/>
            </w:rPr>
            <w:fldChar w:fldCharType="end"/>
          </w:r>
        </w:p>
      </w:sdtContent>
    </w:sdt>
    <w:p w14:paraId="7E3B5AB6" w14:textId="77777777" w:rsidR="00BD6B9A" w:rsidRPr="00EE5714" w:rsidRDefault="00687798">
      <w:pPr>
        <w:rPr>
          <w:rFonts w:ascii="Arial" w:hAnsi="Arial" w:cs="Arial"/>
          <w:b/>
        </w:rPr>
      </w:pPr>
      <w:r w:rsidRPr="00EE5714">
        <w:rPr>
          <w:rFonts w:ascii="Times New Roman" w:hAnsi="Times New Roman" w:cs="Times New Roman"/>
          <w:b/>
          <w:color w:val="2F5496" w:themeColor="accent1" w:themeShade="BF"/>
          <w:sz w:val="26"/>
          <w:szCs w:val="26"/>
        </w:rPr>
        <w:br w:type="page"/>
      </w:r>
    </w:p>
    <w:p w14:paraId="4613EE6E" w14:textId="77777777" w:rsidR="003A0212" w:rsidRPr="00EE5714" w:rsidRDefault="00D624EA" w:rsidP="00CE1DE0">
      <w:pPr>
        <w:pStyle w:val="Heading1"/>
      </w:pPr>
      <w:bookmarkStart w:id="0" w:name="_Toc533674858"/>
      <w:bookmarkStart w:id="1" w:name="_Toc534547863"/>
      <w:bookmarkStart w:id="2" w:name="_Hlk526948860"/>
      <w:r w:rsidRPr="00EE5714">
        <w:lastRenderedPageBreak/>
        <w:t>Executive Summary</w:t>
      </w:r>
      <w:bookmarkEnd w:id="0"/>
      <w:bookmarkEnd w:id="1"/>
    </w:p>
    <w:p w14:paraId="05AEC49C" w14:textId="77777777" w:rsidR="003A0212" w:rsidRPr="00EE5714" w:rsidRDefault="003A0212" w:rsidP="003A0212">
      <w:pPr>
        <w:spacing w:after="0" w:line="240" w:lineRule="auto"/>
        <w:rPr>
          <w:rFonts w:ascii="Times New Roman" w:hAnsi="Times New Roman" w:cs="Times New Roman"/>
          <w:sz w:val="26"/>
          <w:szCs w:val="26"/>
        </w:rPr>
      </w:pPr>
    </w:p>
    <w:bookmarkEnd w:id="2"/>
    <w:p w14:paraId="1CB95590" w14:textId="77777777" w:rsidR="00381985" w:rsidRPr="00EE5714" w:rsidRDefault="00062137" w:rsidP="00062137">
      <w:pPr>
        <w:spacing w:after="0" w:line="240" w:lineRule="auto"/>
        <w:ind w:firstLine="720"/>
        <w:rPr>
          <w:rFonts w:ascii="Times New Roman" w:hAnsi="Times New Roman" w:cs="Times New Roman"/>
          <w:color w:val="0D0D0D" w:themeColor="text1" w:themeTint="F2"/>
          <w:sz w:val="26"/>
          <w:szCs w:val="26"/>
        </w:rPr>
      </w:pPr>
      <w:r w:rsidRPr="00EE5714">
        <w:rPr>
          <w:rFonts w:ascii="Times New Roman" w:hAnsi="Times New Roman" w:cs="Times New Roman"/>
          <w:color w:val="0D0D0D" w:themeColor="text1" w:themeTint="F2"/>
          <w:sz w:val="26"/>
          <w:szCs w:val="26"/>
        </w:rPr>
        <w:t xml:space="preserve">On May 5, 2017, the Pennsylvania Public Utility Commission (Commission) initiated a study to examine home energy burdens for low-income Pennsylvanians as “a necessary first step in evaluating the affordability, cost-effectiveness, and prudence of Universal Service Programs.”  </w:t>
      </w:r>
      <w:r w:rsidRPr="00EE5714">
        <w:rPr>
          <w:rFonts w:ascii="Times New Roman" w:hAnsi="Times New Roman"/>
          <w:i/>
          <w:iCs/>
          <w:sz w:val="26"/>
          <w:szCs w:val="26"/>
        </w:rPr>
        <w:t>Energy Affordability for Low Income Customers Order</w:t>
      </w:r>
      <w:r w:rsidRPr="00EE5714">
        <w:rPr>
          <w:rFonts w:ascii="Times New Roman" w:hAnsi="Times New Roman"/>
          <w:sz w:val="26"/>
          <w:szCs w:val="26"/>
        </w:rPr>
        <w:t>,</w:t>
      </w:r>
      <w:r w:rsidRPr="00EE5714">
        <w:rPr>
          <w:rFonts w:ascii="Times New Roman" w:hAnsi="Times New Roman" w:cs="Times New Roman"/>
          <w:sz w:val="26"/>
          <w:szCs w:val="26"/>
        </w:rPr>
        <w:t xml:space="preserve"> Docket No. M-2017-2587711 (order entered </w:t>
      </w:r>
      <w:r w:rsidR="00D44AE0" w:rsidRPr="00EE5714">
        <w:rPr>
          <w:rFonts w:ascii="Times New Roman" w:hAnsi="Times New Roman" w:cs="Times New Roman"/>
          <w:sz w:val="26"/>
          <w:szCs w:val="26"/>
        </w:rPr>
        <w:t xml:space="preserve">on </w:t>
      </w:r>
      <w:r w:rsidRPr="00EE5714">
        <w:rPr>
          <w:rFonts w:ascii="Times New Roman" w:hAnsi="Times New Roman" w:cs="Times New Roman"/>
          <w:sz w:val="26"/>
          <w:szCs w:val="26"/>
        </w:rPr>
        <w:t xml:space="preserve">May 5, 2017), at 1.  </w:t>
      </w:r>
      <w:r w:rsidRPr="00EE5714">
        <w:rPr>
          <w:rFonts w:ascii="Times New Roman" w:hAnsi="Times New Roman" w:cs="Times New Roman"/>
          <w:color w:val="0D0D0D" w:themeColor="text1" w:themeTint="F2"/>
          <w:sz w:val="26"/>
          <w:szCs w:val="26"/>
        </w:rPr>
        <w:t xml:space="preserve">  </w:t>
      </w:r>
    </w:p>
    <w:p w14:paraId="0D143455" w14:textId="77777777" w:rsidR="00062137" w:rsidRPr="00EE5714" w:rsidRDefault="00062137" w:rsidP="00062137">
      <w:pPr>
        <w:spacing w:after="0" w:line="240" w:lineRule="auto"/>
        <w:ind w:firstLine="720"/>
        <w:rPr>
          <w:rFonts w:ascii="Times New Roman" w:hAnsi="Times New Roman" w:cs="Times New Roman"/>
          <w:sz w:val="26"/>
          <w:szCs w:val="26"/>
        </w:rPr>
      </w:pPr>
    </w:p>
    <w:p w14:paraId="5B284B23" w14:textId="7DE58796" w:rsidR="00062137" w:rsidRPr="00EE5714" w:rsidRDefault="00062137"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This staff report</w:t>
      </w:r>
      <w:r w:rsidRPr="00EE5714">
        <w:rPr>
          <w:rStyle w:val="FootnoteReference"/>
          <w:rFonts w:ascii="Times New Roman" w:hAnsi="Times New Roman" w:cs="Times New Roman"/>
          <w:sz w:val="26"/>
          <w:szCs w:val="26"/>
        </w:rPr>
        <w:footnoteReference w:id="2"/>
      </w:r>
      <w:r w:rsidRPr="00EE5714">
        <w:rPr>
          <w:rFonts w:ascii="Times New Roman" w:hAnsi="Times New Roman" w:cs="Times New Roman"/>
          <w:sz w:val="26"/>
          <w:szCs w:val="26"/>
        </w:rPr>
        <w:t xml:space="preserve"> by the Commission’s Bureau of Consumer Services (BCS) and the Law Bureau tabulates 2012 to 2016 customer data </w:t>
      </w:r>
      <w:r w:rsidR="0067365B" w:rsidRPr="00EE5714">
        <w:rPr>
          <w:rFonts w:ascii="Times New Roman" w:hAnsi="Times New Roman" w:cs="Times New Roman"/>
          <w:sz w:val="26"/>
          <w:szCs w:val="26"/>
        </w:rPr>
        <w:t>related to energy burdens</w:t>
      </w:r>
      <w:r w:rsidR="007D5F83" w:rsidRPr="00EE5714">
        <w:rPr>
          <w:rStyle w:val="FootnoteReference"/>
          <w:rFonts w:ascii="Times New Roman" w:hAnsi="Times New Roman" w:cs="Times New Roman"/>
          <w:sz w:val="26"/>
          <w:szCs w:val="26"/>
        </w:rPr>
        <w:footnoteReference w:id="3"/>
      </w:r>
      <w:r w:rsidR="0067365B"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gathered from Pennsylvania’s </w:t>
      </w:r>
      <w:r w:rsidR="0067365B" w:rsidRPr="00EE5714">
        <w:rPr>
          <w:rFonts w:ascii="Times New Roman" w:hAnsi="Times New Roman" w:cs="Times New Roman"/>
          <w:sz w:val="26"/>
          <w:szCs w:val="26"/>
        </w:rPr>
        <w:t xml:space="preserve">larger </w:t>
      </w:r>
      <w:r w:rsidRPr="00EE5714">
        <w:rPr>
          <w:rFonts w:ascii="Times New Roman" w:hAnsi="Times New Roman" w:cs="Times New Roman"/>
          <w:sz w:val="26"/>
          <w:szCs w:val="26"/>
        </w:rPr>
        <w:t xml:space="preserve">natural gas distribution companies (NGDCs) and electric distribution companies (EDCs).  The report also incorporates information from </w:t>
      </w:r>
      <w:r w:rsidR="00C30239" w:rsidRPr="00EE5714">
        <w:rPr>
          <w:rFonts w:ascii="Times New Roman" w:hAnsi="Times New Roman" w:cs="Times New Roman"/>
          <w:sz w:val="26"/>
          <w:szCs w:val="26"/>
        </w:rPr>
        <w:t xml:space="preserve">other </w:t>
      </w:r>
      <w:r w:rsidR="00F15A3F" w:rsidRPr="00EE5714">
        <w:rPr>
          <w:rFonts w:ascii="Times New Roman" w:hAnsi="Times New Roman" w:cs="Times New Roman"/>
          <w:sz w:val="26"/>
          <w:szCs w:val="26"/>
        </w:rPr>
        <w:t>states</w:t>
      </w:r>
      <w:r w:rsidRPr="00EE5714">
        <w:rPr>
          <w:rFonts w:ascii="Times New Roman" w:hAnsi="Times New Roman" w:cs="Times New Roman"/>
          <w:sz w:val="26"/>
          <w:szCs w:val="26"/>
        </w:rPr>
        <w:t xml:space="preserve"> and several independent studies.</w:t>
      </w:r>
      <w:r w:rsidR="00275A84" w:rsidRPr="00EE5714">
        <w:rPr>
          <w:rStyle w:val="FootnoteReference"/>
          <w:rFonts w:ascii="Times New Roman" w:hAnsi="Times New Roman" w:cs="Times New Roman"/>
          <w:sz w:val="26"/>
          <w:szCs w:val="26"/>
        </w:rPr>
        <w:footnoteReference w:id="4"/>
      </w:r>
      <w:r w:rsidRPr="00EE5714">
        <w:rPr>
          <w:rFonts w:ascii="Times New Roman" w:hAnsi="Times New Roman" w:cs="Times New Roman"/>
          <w:sz w:val="26"/>
          <w:szCs w:val="26"/>
        </w:rPr>
        <w:t xml:space="preserve">  </w:t>
      </w:r>
    </w:p>
    <w:p w14:paraId="33D768A3" w14:textId="77777777" w:rsidR="00F15A3F" w:rsidRPr="00EE5714" w:rsidRDefault="00F15A3F" w:rsidP="00062137">
      <w:pPr>
        <w:spacing w:after="0" w:line="240" w:lineRule="auto"/>
        <w:ind w:firstLine="720"/>
        <w:rPr>
          <w:rFonts w:ascii="Times New Roman" w:hAnsi="Times New Roman" w:cs="Times New Roman"/>
          <w:sz w:val="26"/>
          <w:szCs w:val="26"/>
        </w:rPr>
      </w:pPr>
    </w:p>
    <w:p w14:paraId="69D616C5" w14:textId="5F7EBD4C" w:rsidR="00062137" w:rsidRPr="00EE5714" w:rsidRDefault="00062137" w:rsidP="00CD213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This is the first </w:t>
      </w:r>
      <w:r w:rsidR="00EE4B6A" w:rsidRPr="00EE5714">
        <w:rPr>
          <w:rFonts w:ascii="Times New Roman" w:hAnsi="Times New Roman" w:cs="Times New Roman"/>
          <w:sz w:val="26"/>
          <w:szCs w:val="26"/>
        </w:rPr>
        <w:t xml:space="preserve">comprehensive </w:t>
      </w:r>
      <w:r w:rsidRPr="00EE5714">
        <w:rPr>
          <w:rFonts w:ascii="Times New Roman" w:hAnsi="Times New Roman" w:cs="Times New Roman"/>
          <w:sz w:val="26"/>
          <w:szCs w:val="26"/>
        </w:rPr>
        <w:t xml:space="preserve">energy </w:t>
      </w:r>
      <w:r w:rsidR="00EE4B6A" w:rsidRPr="00EE5714">
        <w:rPr>
          <w:rFonts w:ascii="Times New Roman" w:hAnsi="Times New Roman" w:cs="Times New Roman"/>
          <w:sz w:val="26"/>
          <w:szCs w:val="26"/>
        </w:rPr>
        <w:t xml:space="preserve">burden and </w:t>
      </w:r>
      <w:r w:rsidRPr="00EE5714">
        <w:rPr>
          <w:rFonts w:ascii="Times New Roman" w:hAnsi="Times New Roman" w:cs="Times New Roman"/>
          <w:sz w:val="26"/>
          <w:szCs w:val="26"/>
        </w:rPr>
        <w:t xml:space="preserve">affordability study of Pennsylvania households using customer </w:t>
      </w:r>
      <w:r w:rsidR="0090286E" w:rsidRPr="00EE5714">
        <w:rPr>
          <w:rFonts w:ascii="Times New Roman" w:hAnsi="Times New Roman" w:cs="Times New Roman"/>
          <w:sz w:val="26"/>
          <w:szCs w:val="26"/>
        </w:rPr>
        <w:t xml:space="preserve">income, </w:t>
      </w:r>
      <w:r w:rsidRPr="00EE5714">
        <w:rPr>
          <w:rFonts w:ascii="Times New Roman" w:hAnsi="Times New Roman" w:cs="Times New Roman"/>
          <w:sz w:val="26"/>
          <w:szCs w:val="26"/>
        </w:rPr>
        <w:t>billing</w:t>
      </w:r>
      <w:r w:rsidR="0090286E" w:rsidRPr="00EE5714">
        <w:rPr>
          <w:rFonts w:ascii="Times New Roman" w:hAnsi="Times New Roman" w:cs="Times New Roman"/>
          <w:sz w:val="26"/>
          <w:szCs w:val="26"/>
        </w:rPr>
        <w:t>, and payment</w:t>
      </w:r>
      <w:r w:rsidRPr="00EE5714">
        <w:rPr>
          <w:rFonts w:ascii="Times New Roman" w:hAnsi="Times New Roman" w:cs="Times New Roman"/>
          <w:sz w:val="26"/>
          <w:szCs w:val="26"/>
        </w:rPr>
        <w:t xml:space="preserve"> information.  </w:t>
      </w:r>
      <w:r w:rsidR="5F6EA728" w:rsidRPr="00EE5714">
        <w:rPr>
          <w:rFonts w:ascii="Times New Roman" w:hAnsi="Times New Roman" w:cs="Times New Roman"/>
          <w:sz w:val="26"/>
          <w:szCs w:val="26"/>
        </w:rPr>
        <w:t>While</w:t>
      </w:r>
      <w:r w:rsidR="48CCD90F" w:rsidRPr="00EE5714">
        <w:rPr>
          <w:rFonts w:ascii="Times New Roman" w:hAnsi="Times New Roman" w:cs="Times New Roman"/>
          <w:sz w:val="26"/>
          <w:szCs w:val="26"/>
        </w:rPr>
        <w:t xml:space="preserve"> the information collected from utilities has allowed </w:t>
      </w:r>
      <w:r w:rsidR="00E85AF0" w:rsidRPr="00EE5714">
        <w:rPr>
          <w:rFonts w:ascii="Times New Roman" w:hAnsi="Times New Roman" w:cs="Times New Roman"/>
          <w:sz w:val="26"/>
          <w:szCs w:val="26"/>
        </w:rPr>
        <w:t xml:space="preserve">the Commission </w:t>
      </w:r>
      <w:r w:rsidR="48CCD90F" w:rsidRPr="00EE5714">
        <w:rPr>
          <w:rFonts w:ascii="Times New Roman" w:hAnsi="Times New Roman" w:cs="Times New Roman"/>
          <w:sz w:val="26"/>
          <w:szCs w:val="26"/>
        </w:rPr>
        <w:t xml:space="preserve">to fill in </w:t>
      </w:r>
      <w:r w:rsidR="00980AC3" w:rsidRPr="00EE5714">
        <w:rPr>
          <w:rFonts w:ascii="Times New Roman" w:hAnsi="Times New Roman" w:cs="Times New Roman"/>
          <w:sz w:val="26"/>
          <w:szCs w:val="26"/>
        </w:rPr>
        <w:t xml:space="preserve">perception </w:t>
      </w:r>
      <w:r w:rsidR="004E06AF" w:rsidRPr="00EE5714">
        <w:rPr>
          <w:rFonts w:ascii="Times New Roman" w:hAnsi="Times New Roman" w:cs="Times New Roman"/>
          <w:sz w:val="26"/>
          <w:szCs w:val="26"/>
        </w:rPr>
        <w:t>and presumption</w:t>
      </w:r>
      <w:r w:rsidR="48CCD90F" w:rsidRPr="00EE5714">
        <w:rPr>
          <w:rFonts w:ascii="Times New Roman" w:hAnsi="Times New Roman" w:cs="Times New Roman"/>
          <w:sz w:val="26"/>
          <w:szCs w:val="26"/>
        </w:rPr>
        <w:t xml:space="preserve"> gaps and review trends and details that have </w:t>
      </w:r>
      <w:proofErr w:type="gramStart"/>
      <w:r w:rsidR="48CCD90F" w:rsidRPr="00EE5714">
        <w:rPr>
          <w:rFonts w:ascii="Times New Roman" w:hAnsi="Times New Roman" w:cs="Times New Roman"/>
          <w:sz w:val="26"/>
          <w:szCs w:val="26"/>
        </w:rPr>
        <w:t xml:space="preserve">never </w:t>
      </w:r>
      <w:r w:rsidR="009D2D61" w:rsidRPr="00EE5714">
        <w:rPr>
          <w:rFonts w:ascii="Times New Roman" w:hAnsi="Times New Roman" w:cs="Times New Roman"/>
          <w:sz w:val="26"/>
          <w:szCs w:val="26"/>
        </w:rPr>
        <w:t>before</w:t>
      </w:r>
      <w:proofErr w:type="gramEnd"/>
      <w:r w:rsidR="009D2D61" w:rsidRPr="00EE5714">
        <w:rPr>
          <w:rFonts w:ascii="Times New Roman" w:hAnsi="Times New Roman" w:cs="Times New Roman"/>
          <w:sz w:val="26"/>
          <w:szCs w:val="26"/>
        </w:rPr>
        <w:t xml:space="preserve"> </w:t>
      </w:r>
      <w:r w:rsidR="48CCD90F" w:rsidRPr="00EE5714">
        <w:rPr>
          <w:rFonts w:ascii="Times New Roman" w:hAnsi="Times New Roman" w:cs="Times New Roman"/>
          <w:sz w:val="26"/>
          <w:szCs w:val="26"/>
        </w:rPr>
        <w:t xml:space="preserve">been analyzed for Pennsylvania, </w:t>
      </w:r>
      <w:r w:rsidR="5F6EA728" w:rsidRPr="00EE5714">
        <w:rPr>
          <w:rFonts w:ascii="Times New Roman" w:hAnsi="Times New Roman" w:cs="Times New Roman"/>
          <w:sz w:val="26"/>
          <w:szCs w:val="26"/>
        </w:rPr>
        <w:t>s</w:t>
      </w:r>
      <w:r w:rsidRPr="00EE5714">
        <w:rPr>
          <w:rFonts w:ascii="Times New Roman" w:hAnsi="Times New Roman" w:cs="Times New Roman"/>
          <w:sz w:val="26"/>
          <w:szCs w:val="26"/>
        </w:rPr>
        <w:t xml:space="preserve">taff </w:t>
      </w:r>
      <w:r w:rsidR="001A1E35" w:rsidRPr="00EE5714">
        <w:rPr>
          <w:rFonts w:ascii="Times New Roman" w:hAnsi="Times New Roman" w:cs="Times New Roman"/>
          <w:sz w:val="26"/>
          <w:szCs w:val="26"/>
        </w:rPr>
        <w:t xml:space="preserve">has </w:t>
      </w:r>
      <w:r w:rsidRPr="00EE5714">
        <w:rPr>
          <w:rFonts w:ascii="Times New Roman" w:hAnsi="Times New Roman" w:cs="Times New Roman"/>
          <w:sz w:val="26"/>
          <w:szCs w:val="26"/>
        </w:rPr>
        <w:t xml:space="preserve">identified </w:t>
      </w:r>
      <w:r w:rsidR="00F61EB5" w:rsidRPr="00EE5714">
        <w:rPr>
          <w:rFonts w:ascii="Times New Roman" w:hAnsi="Times New Roman" w:cs="Times New Roman"/>
          <w:sz w:val="26"/>
          <w:szCs w:val="26"/>
        </w:rPr>
        <w:t xml:space="preserve">limitations </w:t>
      </w:r>
      <w:r w:rsidR="008B0E0B" w:rsidRPr="00EE5714">
        <w:rPr>
          <w:rFonts w:ascii="Times New Roman" w:hAnsi="Times New Roman" w:cs="Times New Roman"/>
          <w:sz w:val="26"/>
          <w:szCs w:val="26"/>
        </w:rPr>
        <w:t xml:space="preserve">of </w:t>
      </w:r>
      <w:r w:rsidR="00A25332" w:rsidRPr="00EE5714">
        <w:rPr>
          <w:rFonts w:ascii="Times New Roman" w:hAnsi="Times New Roman" w:cs="Times New Roman"/>
          <w:sz w:val="26"/>
          <w:szCs w:val="26"/>
        </w:rPr>
        <w:t xml:space="preserve">and </w:t>
      </w:r>
      <w:r w:rsidRPr="00EE5714">
        <w:rPr>
          <w:rFonts w:ascii="Times New Roman" w:hAnsi="Times New Roman" w:cs="Times New Roman"/>
          <w:sz w:val="26"/>
          <w:szCs w:val="26"/>
        </w:rPr>
        <w:t xml:space="preserve">inconsistencies in the reported data that impacted the scope and </w:t>
      </w:r>
      <w:r w:rsidR="008B0E0B" w:rsidRPr="00EE5714">
        <w:rPr>
          <w:rFonts w:ascii="Times New Roman" w:hAnsi="Times New Roman" w:cs="Times New Roman"/>
          <w:sz w:val="26"/>
          <w:szCs w:val="26"/>
        </w:rPr>
        <w:t xml:space="preserve">the </w:t>
      </w:r>
      <w:r w:rsidR="00CA742C" w:rsidRPr="00EE5714">
        <w:rPr>
          <w:rFonts w:ascii="Times New Roman" w:hAnsi="Times New Roman" w:cs="Times New Roman"/>
          <w:sz w:val="26"/>
          <w:szCs w:val="26"/>
        </w:rPr>
        <w:t xml:space="preserve">extent </w:t>
      </w:r>
      <w:r w:rsidRPr="00EE5714">
        <w:rPr>
          <w:rFonts w:ascii="Times New Roman" w:hAnsi="Times New Roman" w:cs="Times New Roman"/>
          <w:sz w:val="26"/>
          <w:szCs w:val="26"/>
        </w:rPr>
        <w:t xml:space="preserve">of the analysis.  In particular, </w:t>
      </w:r>
      <w:r w:rsidR="007E7184" w:rsidRPr="00EE5714">
        <w:rPr>
          <w:rFonts w:ascii="Times New Roman" w:hAnsi="Times New Roman" w:cs="Times New Roman"/>
          <w:sz w:val="26"/>
          <w:szCs w:val="26"/>
        </w:rPr>
        <w:t xml:space="preserve">the </w:t>
      </w:r>
      <w:r w:rsidRPr="00EE5714">
        <w:rPr>
          <w:rFonts w:ascii="Times New Roman" w:hAnsi="Times New Roman" w:cs="Times New Roman"/>
          <w:sz w:val="26"/>
          <w:szCs w:val="26"/>
        </w:rPr>
        <w:t xml:space="preserve">utilities </w:t>
      </w:r>
      <w:r w:rsidR="007E7184" w:rsidRPr="00EE5714">
        <w:rPr>
          <w:rFonts w:ascii="Times New Roman" w:hAnsi="Times New Roman" w:cs="Times New Roman"/>
          <w:sz w:val="26"/>
          <w:szCs w:val="26"/>
        </w:rPr>
        <w:t>that were queried for this study</w:t>
      </w:r>
      <w:r w:rsidRPr="00EE5714">
        <w:rPr>
          <w:rFonts w:ascii="Times New Roman" w:hAnsi="Times New Roman" w:cs="Times New Roman"/>
          <w:sz w:val="26"/>
          <w:szCs w:val="26"/>
        </w:rPr>
        <w:t xml:space="preserve"> were unable to identify or provide income information on low-income households that did not participate in </w:t>
      </w:r>
      <w:r w:rsidR="00E03E25" w:rsidRPr="00EE5714">
        <w:rPr>
          <w:rFonts w:ascii="Times New Roman" w:hAnsi="Times New Roman" w:cs="Times New Roman"/>
          <w:sz w:val="26"/>
          <w:szCs w:val="26"/>
        </w:rPr>
        <w:t>customer assistance programs (</w:t>
      </w:r>
      <w:r w:rsidRPr="00EE5714">
        <w:rPr>
          <w:rFonts w:ascii="Times New Roman" w:hAnsi="Times New Roman" w:cs="Times New Roman"/>
          <w:sz w:val="26"/>
          <w:szCs w:val="26"/>
        </w:rPr>
        <w:t>CAPs</w:t>
      </w:r>
      <w:r w:rsidR="00E03E25" w:rsidRPr="00EE5714">
        <w:rPr>
          <w:rFonts w:ascii="Times New Roman" w:hAnsi="Times New Roman" w:cs="Times New Roman"/>
          <w:sz w:val="26"/>
          <w:szCs w:val="26"/>
        </w:rPr>
        <w:t>)</w:t>
      </w:r>
      <w:r w:rsidRPr="00EE5714">
        <w:rPr>
          <w:rFonts w:ascii="Times New Roman" w:hAnsi="Times New Roman" w:cs="Times New Roman"/>
          <w:sz w:val="26"/>
          <w:szCs w:val="26"/>
        </w:rPr>
        <w:t xml:space="preserve"> or other universal service programs.  </w:t>
      </w:r>
      <w:r w:rsidR="000A016E" w:rsidRPr="00EE5714">
        <w:rPr>
          <w:rFonts w:ascii="Times New Roman" w:hAnsi="Times New Roman" w:cs="Times New Roman"/>
          <w:sz w:val="26"/>
          <w:szCs w:val="26"/>
        </w:rPr>
        <w:t xml:space="preserve">Additionally, </w:t>
      </w:r>
      <w:r w:rsidRPr="00EE5714">
        <w:rPr>
          <w:rFonts w:ascii="Times New Roman" w:hAnsi="Times New Roman" w:cs="Times New Roman"/>
          <w:sz w:val="26"/>
          <w:szCs w:val="26"/>
        </w:rPr>
        <w:t xml:space="preserve">many </w:t>
      </w:r>
      <w:r w:rsidR="00E03E25" w:rsidRPr="00EE5714">
        <w:rPr>
          <w:rFonts w:ascii="Times New Roman" w:hAnsi="Times New Roman" w:cs="Times New Roman"/>
          <w:sz w:val="26"/>
          <w:szCs w:val="26"/>
        </w:rPr>
        <w:t xml:space="preserve">of the responding </w:t>
      </w:r>
      <w:r w:rsidRPr="00EE5714">
        <w:rPr>
          <w:rFonts w:ascii="Times New Roman" w:hAnsi="Times New Roman" w:cs="Times New Roman"/>
          <w:sz w:val="26"/>
          <w:szCs w:val="26"/>
        </w:rPr>
        <w:t>utilities interpreted, tracked, and reported information differently</w:t>
      </w:r>
      <w:r w:rsidR="00AE0894" w:rsidRPr="00EE5714">
        <w:rPr>
          <w:rFonts w:ascii="Times New Roman" w:hAnsi="Times New Roman" w:cs="Times New Roman"/>
          <w:sz w:val="26"/>
          <w:szCs w:val="26"/>
        </w:rPr>
        <w:t xml:space="preserve"> </w:t>
      </w:r>
      <w:r w:rsidR="00F41E7D" w:rsidRPr="00EE5714">
        <w:rPr>
          <w:rFonts w:ascii="Times New Roman" w:hAnsi="Times New Roman" w:cs="Times New Roman"/>
          <w:sz w:val="26"/>
          <w:szCs w:val="26"/>
        </w:rPr>
        <w:t xml:space="preserve">from utility to utility </w:t>
      </w:r>
      <w:r w:rsidR="000A016E" w:rsidRPr="00EE5714">
        <w:rPr>
          <w:rFonts w:ascii="Times New Roman" w:hAnsi="Times New Roman" w:cs="Times New Roman"/>
          <w:sz w:val="26"/>
          <w:szCs w:val="26"/>
        </w:rPr>
        <w:t>and sometimes within a utility from year to year</w:t>
      </w:r>
      <w:r w:rsidRPr="00EE5714">
        <w:rPr>
          <w:rFonts w:ascii="Times New Roman" w:hAnsi="Times New Roman" w:cs="Times New Roman"/>
          <w:sz w:val="26"/>
          <w:szCs w:val="26"/>
        </w:rPr>
        <w:t>.</w:t>
      </w:r>
      <w:r w:rsidR="009B0764" w:rsidRPr="00EE5714">
        <w:rPr>
          <w:rFonts w:ascii="Times New Roman" w:hAnsi="Times New Roman" w:cs="Times New Roman"/>
          <w:sz w:val="26"/>
          <w:szCs w:val="26"/>
        </w:rPr>
        <w:t xml:space="preserve">  For some years, data </w:t>
      </w:r>
      <w:r w:rsidR="00693A3A" w:rsidRPr="00EE5714">
        <w:rPr>
          <w:rFonts w:ascii="Times New Roman" w:hAnsi="Times New Roman" w:cs="Times New Roman"/>
          <w:sz w:val="26"/>
          <w:szCs w:val="26"/>
        </w:rPr>
        <w:t>w</w:t>
      </w:r>
      <w:r w:rsidR="000C5F22" w:rsidRPr="00EE5714">
        <w:rPr>
          <w:rFonts w:ascii="Times New Roman" w:hAnsi="Times New Roman" w:cs="Times New Roman"/>
          <w:sz w:val="26"/>
          <w:szCs w:val="26"/>
        </w:rPr>
        <w:t>ere</w:t>
      </w:r>
      <w:r w:rsidR="00693A3A" w:rsidRPr="00EE5714">
        <w:rPr>
          <w:rFonts w:ascii="Times New Roman" w:hAnsi="Times New Roman" w:cs="Times New Roman"/>
          <w:sz w:val="26"/>
          <w:szCs w:val="26"/>
        </w:rPr>
        <w:t xml:space="preserve"> </w:t>
      </w:r>
      <w:r w:rsidR="009B0764" w:rsidRPr="00EE5714">
        <w:rPr>
          <w:rFonts w:ascii="Times New Roman" w:hAnsi="Times New Roman" w:cs="Times New Roman"/>
          <w:sz w:val="26"/>
          <w:szCs w:val="26"/>
        </w:rPr>
        <w:t>not available.</w:t>
      </w:r>
    </w:p>
    <w:p w14:paraId="55347070" w14:textId="77777777" w:rsidR="00062137" w:rsidRPr="00EE5714" w:rsidRDefault="00062137" w:rsidP="00062137">
      <w:pPr>
        <w:spacing w:after="0" w:line="240" w:lineRule="auto"/>
        <w:ind w:firstLine="720"/>
        <w:rPr>
          <w:rFonts w:ascii="Times New Roman" w:hAnsi="Times New Roman" w:cs="Times New Roman"/>
          <w:sz w:val="26"/>
          <w:szCs w:val="26"/>
        </w:rPr>
      </w:pPr>
    </w:p>
    <w:p w14:paraId="57CA4F9A" w14:textId="0642B8EE" w:rsidR="00062137" w:rsidRPr="00EE5714" w:rsidRDefault="00062137" w:rsidP="00062137">
      <w:pPr>
        <w:tabs>
          <w:tab w:val="left" w:pos="720"/>
        </w:tabs>
        <w:spacing w:after="0" w:line="240" w:lineRule="auto"/>
        <w:ind w:firstLine="720"/>
        <w:rPr>
          <w:rFonts w:ascii="Times New Roman" w:hAnsi="Times New Roman" w:cs="Times New Roman"/>
          <w:sz w:val="26"/>
          <w:szCs w:val="26"/>
        </w:rPr>
      </w:pPr>
      <w:bookmarkStart w:id="3" w:name="_Hlk526148916"/>
      <w:r w:rsidRPr="00EE5714">
        <w:rPr>
          <w:rFonts w:ascii="Times New Roman" w:hAnsi="Times New Roman" w:cs="Times New Roman"/>
          <w:sz w:val="26"/>
          <w:szCs w:val="26"/>
        </w:rPr>
        <w:t xml:space="preserve">It was anticipated that work at this docket would allow </w:t>
      </w:r>
      <w:r w:rsidR="00C13C8E" w:rsidRPr="00EE5714">
        <w:rPr>
          <w:rFonts w:ascii="Times New Roman" w:hAnsi="Times New Roman" w:cs="Times New Roman"/>
          <w:sz w:val="26"/>
          <w:szCs w:val="26"/>
        </w:rPr>
        <w:t xml:space="preserve">Commission </w:t>
      </w:r>
      <w:r w:rsidRPr="00EE5714">
        <w:rPr>
          <w:rFonts w:ascii="Times New Roman" w:hAnsi="Times New Roman" w:cs="Times New Roman"/>
          <w:sz w:val="26"/>
          <w:szCs w:val="26"/>
        </w:rPr>
        <w:t xml:space="preserve">staff to make “recommendations concerning affordable energy burdens.”  </w:t>
      </w:r>
      <w:r w:rsidRPr="00EE5714">
        <w:rPr>
          <w:rFonts w:ascii="Times New Roman" w:hAnsi="Times New Roman"/>
          <w:i/>
          <w:iCs/>
          <w:sz w:val="26"/>
          <w:szCs w:val="26"/>
        </w:rPr>
        <w:t>Energy Affordability for Low Income Customers Order</w:t>
      </w:r>
      <w:r w:rsidRPr="00EE5714">
        <w:rPr>
          <w:rFonts w:ascii="Times New Roman" w:hAnsi="Times New Roman"/>
          <w:sz w:val="26"/>
          <w:szCs w:val="26"/>
        </w:rPr>
        <w:t xml:space="preserve"> at 5 (Ordering Paragraph #1).  However, </w:t>
      </w:r>
      <w:r w:rsidRPr="00EE5714">
        <w:rPr>
          <w:rFonts w:ascii="Times New Roman" w:hAnsi="Times New Roman" w:cs="Times New Roman"/>
          <w:sz w:val="26"/>
          <w:szCs w:val="26"/>
        </w:rPr>
        <w:t xml:space="preserve">making </w:t>
      </w:r>
      <w:r w:rsidR="001C5975" w:rsidRPr="00EE5714">
        <w:rPr>
          <w:rFonts w:ascii="Times New Roman" w:hAnsi="Times New Roman" w:cs="Times New Roman"/>
          <w:sz w:val="26"/>
          <w:szCs w:val="26"/>
        </w:rPr>
        <w:t xml:space="preserve">these </w:t>
      </w:r>
      <w:r w:rsidRPr="00EE5714">
        <w:rPr>
          <w:rFonts w:ascii="Times New Roman" w:hAnsi="Times New Roman" w:cs="Times New Roman"/>
          <w:sz w:val="26"/>
          <w:szCs w:val="26"/>
        </w:rPr>
        <w:t xml:space="preserve">recommendations has proved somewhat elusive for several reasons.  First, inconsistencies </w:t>
      </w:r>
      <w:r w:rsidR="003500D4" w:rsidRPr="00EE5714">
        <w:rPr>
          <w:rFonts w:ascii="Times New Roman" w:hAnsi="Times New Roman" w:cs="Times New Roman"/>
          <w:sz w:val="26"/>
          <w:szCs w:val="26"/>
        </w:rPr>
        <w:t>in utility reporting</w:t>
      </w:r>
      <w:r w:rsidRPr="00EE5714">
        <w:rPr>
          <w:rFonts w:ascii="Times New Roman" w:hAnsi="Times New Roman" w:cs="Times New Roman"/>
          <w:sz w:val="26"/>
          <w:szCs w:val="26"/>
        </w:rPr>
        <w:t xml:space="preserve"> and limitations in the utility data constrain the development of a specific statement of what constitutes energy “affordability” for low-income Pennsylvanians.  </w:t>
      </w:r>
      <w:r w:rsidR="003500D4" w:rsidRPr="00EE5714">
        <w:rPr>
          <w:rFonts w:ascii="Times New Roman" w:hAnsi="Times New Roman" w:cs="Times New Roman"/>
          <w:sz w:val="26"/>
          <w:szCs w:val="26"/>
        </w:rPr>
        <w:t>Further</w:t>
      </w:r>
      <w:r w:rsidR="00632822" w:rsidRPr="00EE5714">
        <w:rPr>
          <w:rFonts w:ascii="Times New Roman" w:hAnsi="Times New Roman" w:cs="Times New Roman"/>
          <w:sz w:val="26"/>
          <w:szCs w:val="26"/>
        </w:rPr>
        <w:t xml:space="preserve">, the utilities and </w:t>
      </w:r>
      <w:r w:rsidR="00C13C8E" w:rsidRPr="00EE5714">
        <w:rPr>
          <w:rFonts w:ascii="Times New Roman" w:hAnsi="Times New Roman" w:cs="Times New Roman"/>
          <w:sz w:val="26"/>
          <w:szCs w:val="26"/>
        </w:rPr>
        <w:t xml:space="preserve">Commission </w:t>
      </w:r>
      <w:r w:rsidR="00632822" w:rsidRPr="00EE5714">
        <w:rPr>
          <w:rFonts w:ascii="Times New Roman" w:hAnsi="Times New Roman" w:cs="Times New Roman"/>
          <w:sz w:val="26"/>
          <w:szCs w:val="26"/>
        </w:rPr>
        <w:t xml:space="preserve">staff were not generally privy to </w:t>
      </w:r>
      <w:r w:rsidR="00362419" w:rsidRPr="00EE5714">
        <w:rPr>
          <w:rFonts w:ascii="Times New Roman" w:hAnsi="Times New Roman" w:cs="Times New Roman"/>
          <w:sz w:val="26"/>
          <w:szCs w:val="26"/>
        </w:rPr>
        <w:t xml:space="preserve">corresponding </w:t>
      </w:r>
      <w:r w:rsidR="00632822" w:rsidRPr="00EE5714">
        <w:rPr>
          <w:rFonts w:ascii="Times New Roman" w:hAnsi="Times New Roman" w:cs="Times New Roman"/>
          <w:sz w:val="26"/>
          <w:szCs w:val="26"/>
        </w:rPr>
        <w:t xml:space="preserve">data </w:t>
      </w:r>
      <w:r w:rsidR="00362419" w:rsidRPr="00EE5714">
        <w:rPr>
          <w:rFonts w:ascii="Times New Roman" w:hAnsi="Times New Roman" w:cs="Times New Roman"/>
          <w:sz w:val="26"/>
          <w:szCs w:val="26"/>
        </w:rPr>
        <w:t>for</w:t>
      </w:r>
      <w:r w:rsidR="00632822" w:rsidRPr="00EE5714">
        <w:rPr>
          <w:rFonts w:ascii="Times New Roman" w:hAnsi="Times New Roman" w:cs="Times New Roman"/>
          <w:sz w:val="26"/>
          <w:szCs w:val="26"/>
        </w:rPr>
        <w:t xml:space="preserve"> low-income customers who did not participate in a utility CAP.  </w:t>
      </w:r>
      <w:r w:rsidRPr="00EE5714">
        <w:rPr>
          <w:rFonts w:ascii="Times New Roman" w:hAnsi="Times New Roman" w:cs="Times New Roman"/>
          <w:sz w:val="26"/>
          <w:szCs w:val="26"/>
        </w:rPr>
        <w:t xml:space="preserve">Second, energy efficiency </w:t>
      </w:r>
      <w:r w:rsidR="00693A3A" w:rsidRPr="00EE5714">
        <w:rPr>
          <w:rFonts w:ascii="Times New Roman" w:hAnsi="Times New Roman" w:cs="Times New Roman"/>
          <w:sz w:val="26"/>
          <w:szCs w:val="26"/>
        </w:rPr>
        <w:t xml:space="preserve">and </w:t>
      </w:r>
      <w:r w:rsidRPr="00EE5714">
        <w:rPr>
          <w:rFonts w:ascii="Times New Roman" w:hAnsi="Times New Roman" w:cs="Times New Roman"/>
          <w:sz w:val="26"/>
          <w:szCs w:val="26"/>
        </w:rPr>
        <w:t>conservation can play major roles in making energy bills more affordable.</w:t>
      </w:r>
      <w:r w:rsidR="00EF781F" w:rsidRPr="00EE5714">
        <w:rPr>
          <w:rFonts w:ascii="Times New Roman" w:hAnsi="Times New Roman" w:cs="Times New Roman"/>
          <w:sz w:val="26"/>
          <w:szCs w:val="26"/>
        </w:rPr>
        <w:t xml:space="preserve">  The impact of these programs </w:t>
      </w:r>
      <w:r w:rsidR="00AD313A" w:rsidRPr="00EE5714">
        <w:rPr>
          <w:rFonts w:ascii="Times New Roman" w:hAnsi="Times New Roman" w:cs="Times New Roman"/>
          <w:sz w:val="26"/>
          <w:szCs w:val="26"/>
        </w:rPr>
        <w:t xml:space="preserve">on energy burden levels </w:t>
      </w:r>
      <w:r w:rsidR="00EF781F" w:rsidRPr="00EE5714">
        <w:rPr>
          <w:rFonts w:ascii="Times New Roman" w:hAnsi="Times New Roman" w:cs="Times New Roman"/>
          <w:sz w:val="26"/>
          <w:szCs w:val="26"/>
        </w:rPr>
        <w:t>is not measured as part of this study</w:t>
      </w:r>
      <w:r w:rsidR="00F837E8" w:rsidRPr="00EE5714">
        <w:rPr>
          <w:rFonts w:ascii="Times New Roman" w:hAnsi="Times New Roman" w:cs="Times New Roman"/>
          <w:sz w:val="26"/>
          <w:szCs w:val="26"/>
        </w:rPr>
        <w:t>.</w:t>
      </w:r>
      <w:r w:rsidRPr="00EE5714">
        <w:rPr>
          <w:rFonts w:ascii="Times New Roman" w:hAnsi="Times New Roman" w:cs="Times New Roman"/>
          <w:sz w:val="26"/>
          <w:szCs w:val="26"/>
        </w:rPr>
        <w:t xml:space="preserve">  </w:t>
      </w:r>
      <w:r w:rsidR="00497EDA" w:rsidRPr="00EE5714">
        <w:rPr>
          <w:rFonts w:ascii="Times New Roman" w:hAnsi="Times New Roman" w:cs="Times New Roman"/>
          <w:sz w:val="26"/>
          <w:szCs w:val="26"/>
        </w:rPr>
        <w:t xml:space="preserve">Third, </w:t>
      </w:r>
      <w:r w:rsidR="00876400" w:rsidRPr="00EE5714">
        <w:rPr>
          <w:rFonts w:ascii="Times New Roman" w:hAnsi="Times New Roman" w:cs="Times New Roman"/>
          <w:sz w:val="26"/>
          <w:szCs w:val="26"/>
        </w:rPr>
        <w:t>the Pennsylvania Department of Human Services (</w:t>
      </w:r>
      <w:r w:rsidRPr="00EE5714">
        <w:rPr>
          <w:rFonts w:ascii="Times New Roman" w:hAnsi="Times New Roman" w:cs="Times New Roman"/>
          <w:sz w:val="26"/>
          <w:szCs w:val="26"/>
        </w:rPr>
        <w:t>DHS</w:t>
      </w:r>
      <w:r w:rsidR="00876400" w:rsidRPr="00EE5714">
        <w:rPr>
          <w:rFonts w:ascii="Times New Roman" w:hAnsi="Times New Roman" w:cs="Times New Roman"/>
          <w:sz w:val="26"/>
          <w:szCs w:val="26"/>
        </w:rPr>
        <w:t>)</w:t>
      </w:r>
      <w:r w:rsidRPr="00EE5714">
        <w:rPr>
          <w:rFonts w:ascii="Times New Roman" w:hAnsi="Times New Roman" w:cs="Times New Roman"/>
          <w:sz w:val="26"/>
          <w:szCs w:val="26"/>
        </w:rPr>
        <w:t xml:space="preserve"> administers the Commonwealth’s Low-Income Home Energy Assistance Program </w:t>
      </w:r>
      <w:r w:rsidRPr="00EE5714">
        <w:rPr>
          <w:rFonts w:ascii="Times New Roman" w:hAnsi="Times New Roman" w:cs="Times New Roman"/>
          <w:sz w:val="26"/>
          <w:szCs w:val="26"/>
        </w:rPr>
        <w:lastRenderedPageBreak/>
        <w:t>(LIHEAP)</w:t>
      </w:r>
      <w:r w:rsidR="006D608C" w:rsidRPr="00EE5714">
        <w:rPr>
          <w:rFonts w:ascii="Times New Roman" w:hAnsi="Times New Roman" w:cs="Times New Roman"/>
          <w:sz w:val="26"/>
          <w:szCs w:val="26"/>
        </w:rPr>
        <w:t>,</w:t>
      </w:r>
      <w:r w:rsidR="0078282D" w:rsidRPr="00EE5714">
        <w:rPr>
          <w:rFonts w:ascii="Times New Roman" w:hAnsi="Times New Roman" w:cs="Times New Roman"/>
          <w:sz w:val="26"/>
          <w:szCs w:val="26"/>
        </w:rPr>
        <w:t xml:space="preserve"> which provides </w:t>
      </w:r>
      <w:r w:rsidR="003F34BE" w:rsidRPr="00EE5714">
        <w:rPr>
          <w:rFonts w:ascii="Times New Roman" w:hAnsi="Times New Roman" w:cs="Times New Roman"/>
          <w:sz w:val="26"/>
          <w:szCs w:val="26"/>
        </w:rPr>
        <w:t xml:space="preserve">federally-funded </w:t>
      </w:r>
      <w:r w:rsidR="005452CD" w:rsidRPr="00EE5714">
        <w:rPr>
          <w:rFonts w:ascii="Times New Roman" w:hAnsi="Times New Roman" w:cs="Times New Roman"/>
          <w:sz w:val="26"/>
          <w:szCs w:val="26"/>
        </w:rPr>
        <w:t xml:space="preserve">energy assistance grants to </w:t>
      </w:r>
      <w:r w:rsidR="00AE6230" w:rsidRPr="00EE5714">
        <w:rPr>
          <w:rFonts w:ascii="Times New Roman" w:hAnsi="Times New Roman" w:cs="Times New Roman"/>
          <w:sz w:val="26"/>
          <w:szCs w:val="26"/>
        </w:rPr>
        <w:t>low-income customers</w:t>
      </w:r>
      <w:r w:rsidRPr="00EE5714">
        <w:rPr>
          <w:rFonts w:ascii="Times New Roman" w:hAnsi="Times New Roman" w:cs="Times New Roman"/>
          <w:sz w:val="26"/>
          <w:szCs w:val="26"/>
        </w:rPr>
        <w:t xml:space="preserve"> independent of </w:t>
      </w:r>
      <w:r w:rsidR="00492D07" w:rsidRPr="00EE5714">
        <w:rPr>
          <w:rFonts w:ascii="Times New Roman" w:hAnsi="Times New Roman" w:cs="Times New Roman"/>
          <w:sz w:val="26"/>
          <w:szCs w:val="26"/>
        </w:rPr>
        <w:t xml:space="preserve">Commonwealth- and </w:t>
      </w:r>
      <w:r w:rsidRPr="00EE5714">
        <w:rPr>
          <w:rFonts w:ascii="Times New Roman" w:hAnsi="Times New Roman" w:cs="Times New Roman"/>
          <w:sz w:val="26"/>
          <w:szCs w:val="26"/>
        </w:rPr>
        <w:t>Commission-mandated low-income benefits</w:t>
      </w:r>
      <w:r w:rsidR="00A46C79" w:rsidRPr="00EE5714">
        <w:rPr>
          <w:rFonts w:ascii="Times New Roman" w:hAnsi="Times New Roman" w:cs="Times New Roman"/>
          <w:sz w:val="26"/>
          <w:szCs w:val="26"/>
        </w:rPr>
        <w:t xml:space="preserve">.  </w:t>
      </w:r>
      <w:r w:rsidR="00076B03" w:rsidRPr="00EE5714">
        <w:rPr>
          <w:rFonts w:ascii="Times New Roman" w:hAnsi="Times New Roman" w:cs="Times New Roman"/>
          <w:sz w:val="26"/>
          <w:szCs w:val="26"/>
        </w:rPr>
        <w:t xml:space="preserve">As described in this </w:t>
      </w:r>
      <w:r w:rsidR="00FD0BA7" w:rsidRPr="00EE5714">
        <w:rPr>
          <w:rFonts w:ascii="Times New Roman" w:hAnsi="Times New Roman" w:cs="Times New Roman"/>
          <w:sz w:val="26"/>
          <w:szCs w:val="26"/>
        </w:rPr>
        <w:t>report</w:t>
      </w:r>
      <w:r w:rsidR="00076B03" w:rsidRPr="00EE5714">
        <w:rPr>
          <w:rFonts w:ascii="Times New Roman" w:hAnsi="Times New Roman" w:cs="Times New Roman"/>
          <w:sz w:val="26"/>
          <w:szCs w:val="26"/>
        </w:rPr>
        <w:t>, w</w:t>
      </w:r>
      <w:r w:rsidR="003403FC" w:rsidRPr="00EE5714">
        <w:rPr>
          <w:rFonts w:ascii="Times New Roman" w:hAnsi="Times New Roman" w:cs="Times New Roman"/>
          <w:sz w:val="26"/>
          <w:szCs w:val="26"/>
        </w:rPr>
        <w:t xml:space="preserve">hether low-income customers </w:t>
      </w:r>
      <w:r w:rsidR="009C150E" w:rsidRPr="00EE5714">
        <w:rPr>
          <w:rFonts w:ascii="Times New Roman" w:hAnsi="Times New Roman" w:cs="Times New Roman"/>
          <w:sz w:val="26"/>
          <w:szCs w:val="26"/>
        </w:rPr>
        <w:t xml:space="preserve">receive </w:t>
      </w:r>
      <w:r w:rsidR="00DC4166" w:rsidRPr="00EE5714">
        <w:rPr>
          <w:rFonts w:ascii="Times New Roman" w:hAnsi="Times New Roman" w:cs="Times New Roman"/>
          <w:sz w:val="26"/>
          <w:szCs w:val="26"/>
        </w:rPr>
        <w:t>LIHEAP grant</w:t>
      </w:r>
      <w:r w:rsidR="00C72203" w:rsidRPr="00EE5714">
        <w:rPr>
          <w:rFonts w:ascii="Times New Roman" w:hAnsi="Times New Roman" w:cs="Times New Roman"/>
          <w:sz w:val="26"/>
          <w:szCs w:val="26"/>
        </w:rPr>
        <w:t>s</w:t>
      </w:r>
      <w:r w:rsidR="00DC4166" w:rsidRPr="00EE5714">
        <w:rPr>
          <w:rFonts w:ascii="Times New Roman" w:hAnsi="Times New Roman" w:cs="Times New Roman"/>
          <w:sz w:val="26"/>
          <w:szCs w:val="26"/>
        </w:rPr>
        <w:t xml:space="preserve"> can have a </w:t>
      </w:r>
      <w:r w:rsidR="00135371" w:rsidRPr="00EE5714">
        <w:rPr>
          <w:rFonts w:ascii="Times New Roman" w:hAnsi="Times New Roman" w:cs="Times New Roman"/>
          <w:sz w:val="26"/>
          <w:szCs w:val="26"/>
        </w:rPr>
        <w:t>sizable</w:t>
      </w:r>
      <w:r w:rsidR="00DC4166" w:rsidRPr="00EE5714">
        <w:rPr>
          <w:rFonts w:ascii="Times New Roman" w:hAnsi="Times New Roman" w:cs="Times New Roman"/>
          <w:sz w:val="26"/>
          <w:szCs w:val="26"/>
        </w:rPr>
        <w:t xml:space="preserve"> impact </w:t>
      </w:r>
      <w:r w:rsidR="00497CE6" w:rsidRPr="00EE5714">
        <w:rPr>
          <w:rFonts w:ascii="Times New Roman" w:hAnsi="Times New Roman" w:cs="Times New Roman"/>
          <w:sz w:val="26"/>
          <w:szCs w:val="26"/>
        </w:rPr>
        <w:t xml:space="preserve">on customer energy burden </w:t>
      </w:r>
      <w:r w:rsidR="00AF4820" w:rsidRPr="00EE5714">
        <w:rPr>
          <w:rFonts w:ascii="Times New Roman" w:hAnsi="Times New Roman" w:cs="Times New Roman"/>
          <w:sz w:val="26"/>
          <w:szCs w:val="26"/>
        </w:rPr>
        <w:t>levels.</w:t>
      </w:r>
      <w:r w:rsidR="00632822" w:rsidRPr="00EE5714">
        <w:rPr>
          <w:rFonts w:ascii="Times New Roman" w:hAnsi="Times New Roman" w:cs="Times New Roman"/>
          <w:sz w:val="26"/>
          <w:szCs w:val="26"/>
        </w:rPr>
        <w:t xml:space="preserve">  </w:t>
      </w:r>
    </w:p>
    <w:p w14:paraId="075CBBC3" w14:textId="77777777" w:rsidR="00062137" w:rsidRPr="00EE5714" w:rsidRDefault="00062137" w:rsidP="00062137">
      <w:pPr>
        <w:pStyle w:val="ListParagraph"/>
        <w:spacing w:after="0" w:line="240" w:lineRule="auto"/>
        <w:ind w:left="0"/>
        <w:rPr>
          <w:rFonts w:ascii="Times New Roman" w:hAnsi="Times New Roman" w:cs="Times New Roman"/>
          <w:sz w:val="26"/>
          <w:szCs w:val="26"/>
        </w:rPr>
      </w:pPr>
    </w:p>
    <w:p w14:paraId="0B9BE223" w14:textId="6FADE6E8" w:rsidR="00844EDA" w:rsidRPr="00EE5714" w:rsidRDefault="00062137" w:rsidP="00844EDA">
      <w:pPr>
        <w:spacing w:after="0" w:line="240" w:lineRule="auto"/>
        <w:ind w:firstLine="720"/>
        <w:rPr>
          <w:rFonts w:ascii="Times New Roman" w:hAnsi="Times New Roman" w:cs="Times New Roman"/>
          <w:color w:val="0D0D0D" w:themeColor="text1" w:themeTint="F2"/>
          <w:sz w:val="26"/>
          <w:szCs w:val="26"/>
        </w:rPr>
      </w:pPr>
      <w:r w:rsidRPr="00EE5714">
        <w:rPr>
          <w:rFonts w:ascii="Times New Roman" w:hAnsi="Times New Roman" w:cs="Times New Roman"/>
          <w:sz w:val="26"/>
          <w:szCs w:val="26"/>
        </w:rPr>
        <w:t xml:space="preserve">Nevertheless, this study attempts to establish a starting point </w:t>
      </w:r>
      <w:r w:rsidR="00FA6055" w:rsidRPr="00EE5714">
        <w:rPr>
          <w:rFonts w:ascii="Times New Roman" w:hAnsi="Times New Roman" w:cs="Times New Roman"/>
          <w:sz w:val="26"/>
          <w:szCs w:val="26"/>
        </w:rPr>
        <w:t xml:space="preserve">or process </w:t>
      </w:r>
      <w:r w:rsidRPr="00EE5714">
        <w:rPr>
          <w:rFonts w:ascii="Times New Roman" w:hAnsi="Times New Roman" w:cs="Times New Roman"/>
          <w:sz w:val="26"/>
          <w:szCs w:val="26"/>
        </w:rPr>
        <w:t xml:space="preserve">for identifying an affordable energy burden level for Pennsylvania’s low-income population by evaluating the effectiveness of current utility CAPs.  </w:t>
      </w:r>
      <w:r w:rsidR="00844EDA" w:rsidRPr="00EE5714">
        <w:rPr>
          <w:rFonts w:ascii="Times New Roman" w:hAnsi="Times New Roman" w:cs="Times New Roman"/>
          <w:sz w:val="26"/>
          <w:szCs w:val="26"/>
        </w:rPr>
        <w:t xml:space="preserve">A </w:t>
      </w:r>
      <w:r w:rsidR="00844EDA" w:rsidRPr="00EE5714">
        <w:rPr>
          <w:rFonts w:ascii="Times New Roman" w:hAnsi="Times New Roman" w:cs="Times New Roman"/>
          <w:color w:val="0D0D0D" w:themeColor="text1" w:themeTint="F2"/>
          <w:sz w:val="26"/>
          <w:szCs w:val="26"/>
        </w:rPr>
        <w:t>CAP, as part of a jurisdictional energy utility’s universal service and energy conservation program (universal service program), assist</w:t>
      </w:r>
      <w:r w:rsidR="009C7355" w:rsidRPr="00EE5714">
        <w:rPr>
          <w:rFonts w:ascii="Times New Roman" w:hAnsi="Times New Roman" w:cs="Times New Roman"/>
          <w:color w:val="0D0D0D" w:themeColor="text1" w:themeTint="F2"/>
          <w:sz w:val="26"/>
          <w:szCs w:val="26"/>
        </w:rPr>
        <w:t>s</w:t>
      </w:r>
      <w:r w:rsidR="00844EDA" w:rsidRPr="00EE5714">
        <w:rPr>
          <w:rFonts w:ascii="Times New Roman" w:hAnsi="Times New Roman" w:cs="Times New Roman"/>
          <w:color w:val="0D0D0D" w:themeColor="text1" w:themeTint="F2"/>
          <w:sz w:val="26"/>
          <w:szCs w:val="26"/>
        </w:rPr>
        <w:t xml:space="preserve"> payment-troubled, low-income households by making their jurisdictional energy service more affordable through reduced bills and/or arrearage forgiveness.  </w:t>
      </w:r>
      <w:r w:rsidR="0033442A" w:rsidRPr="00EE5714">
        <w:rPr>
          <w:rFonts w:ascii="Times New Roman" w:hAnsi="Times New Roman" w:cs="Times New Roman"/>
          <w:color w:val="0D0D0D" w:themeColor="text1" w:themeTint="F2"/>
          <w:sz w:val="26"/>
          <w:szCs w:val="26"/>
        </w:rPr>
        <w:t xml:space="preserve">The Commission’s CAP Policy Statement at 52 Pa. Code §§ 69.261-69.267 provides guidelines relative to the maximum energy burdens that low-income residential customers in </w:t>
      </w:r>
      <w:r w:rsidR="00D738A2" w:rsidRPr="00EE5714">
        <w:rPr>
          <w:rFonts w:ascii="Times New Roman" w:hAnsi="Times New Roman" w:cs="Times New Roman"/>
          <w:color w:val="0D0D0D" w:themeColor="text1" w:themeTint="F2"/>
          <w:sz w:val="26"/>
          <w:szCs w:val="26"/>
        </w:rPr>
        <w:t xml:space="preserve">customer </w:t>
      </w:r>
      <w:r w:rsidR="0033442A" w:rsidRPr="00EE5714">
        <w:rPr>
          <w:rFonts w:ascii="Times New Roman" w:hAnsi="Times New Roman" w:cs="Times New Roman"/>
          <w:color w:val="0D0D0D" w:themeColor="text1" w:themeTint="F2"/>
          <w:sz w:val="26"/>
          <w:szCs w:val="26"/>
        </w:rPr>
        <w:t>assistance programs should be charged.</w:t>
      </w:r>
      <w:r w:rsidR="00D1760A" w:rsidRPr="00EE5714">
        <w:rPr>
          <w:rStyle w:val="FootnoteReference"/>
          <w:rFonts w:ascii="Times New Roman" w:hAnsi="Times New Roman" w:cs="Times New Roman"/>
          <w:color w:val="0D0D0D" w:themeColor="text1" w:themeTint="F2"/>
          <w:sz w:val="26"/>
          <w:szCs w:val="26"/>
        </w:rPr>
        <w:footnoteReference w:id="5"/>
      </w:r>
      <w:r w:rsidR="003721D7" w:rsidRPr="00EE5714">
        <w:rPr>
          <w:rFonts w:ascii="Times New Roman" w:hAnsi="Times New Roman" w:cs="Times New Roman"/>
          <w:color w:val="0D0D0D" w:themeColor="text1" w:themeTint="F2"/>
          <w:sz w:val="26"/>
          <w:szCs w:val="26"/>
        </w:rPr>
        <w:t xml:space="preserve">  </w:t>
      </w:r>
      <w:r w:rsidR="00844EDA" w:rsidRPr="00EE5714">
        <w:rPr>
          <w:rFonts w:ascii="Times New Roman" w:hAnsi="Times New Roman" w:cs="Times New Roman"/>
          <w:color w:val="0D0D0D" w:themeColor="text1" w:themeTint="F2"/>
          <w:sz w:val="26"/>
          <w:szCs w:val="26"/>
        </w:rPr>
        <w:t>Currently, many low-income customers</w:t>
      </w:r>
      <w:r w:rsidR="00F37BF1" w:rsidRPr="00EE5714">
        <w:rPr>
          <w:rFonts w:ascii="Times New Roman" w:hAnsi="Times New Roman" w:cs="Times New Roman"/>
          <w:color w:val="0D0D0D" w:themeColor="text1" w:themeTint="F2"/>
          <w:sz w:val="26"/>
          <w:szCs w:val="26"/>
        </w:rPr>
        <w:t xml:space="preserve">, both </w:t>
      </w:r>
      <w:r w:rsidR="001F5685" w:rsidRPr="00EE5714">
        <w:rPr>
          <w:rFonts w:ascii="Times New Roman" w:hAnsi="Times New Roman" w:cs="Times New Roman"/>
          <w:color w:val="0D0D0D" w:themeColor="text1" w:themeTint="F2"/>
          <w:sz w:val="26"/>
          <w:szCs w:val="26"/>
        </w:rPr>
        <w:t>in CAPs and not in CAPS,</w:t>
      </w:r>
      <w:r w:rsidR="00844EDA" w:rsidRPr="00EE5714">
        <w:rPr>
          <w:rFonts w:ascii="Times New Roman" w:hAnsi="Times New Roman" w:cs="Times New Roman"/>
          <w:color w:val="0D0D0D" w:themeColor="text1" w:themeTint="F2"/>
          <w:sz w:val="26"/>
          <w:szCs w:val="26"/>
        </w:rPr>
        <w:t xml:space="preserve"> </w:t>
      </w:r>
      <w:r w:rsidR="00E8417A" w:rsidRPr="00EE5714">
        <w:rPr>
          <w:rFonts w:ascii="Times New Roman" w:hAnsi="Times New Roman" w:cs="Times New Roman"/>
          <w:color w:val="0D0D0D" w:themeColor="text1" w:themeTint="F2"/>
          <w:sz w:val="26"/>
          <w:szCs w:val="26"/>
        </w:rPr>
        <w:t>have</w:t>
      </w:r>
      <w:r w:rsidR="00844EDA" w:rsidRPr="00EE5714">
        <w:rPr>
          <w:rFonts w:ascii="Times New Roman" w:hAnsi="Times New Roman" w:cs="Times New Roman"/>
          <w:color w:val="0D0D0D" w:themeColor="text1" w:themeTint="F2"/>
          <w:sz w:val="26"/>
          <w:szCs w:val="26"/>
        </w:rPr>
        <w:t xml:space="preserve"> energy burdens in excess of the Commission’s CAP Policy Statement guidelines.</w:t>
      </w:r>
    </w:p>
    <w:p w14:paraId="763F1853" w14:textId="77777777" w:rsidR="00BB7B3D" w:rsidRPr="00EE5714" w:rsidRDefault="00BB7B3D" w:rsidP="00844EDA">
      <w:pPr>
        <w:spacing w:after="0" w:line="240" w:lineRule="auto"/>
        <w:ind w:firstLine="720"/>
        <w:rPr>
          <w:rFonts w:ascii="Times New Roman" w:hAnsi="Times New Roman" w:cs="Times New Roman"/>
          <w:color w:val="0D0D0D" w:themeColor="text1" w:themeTint="F2"/>
          <w:sz w:val="26"/>
          <w:szCs w:val="26"/>
        </w:rPr>
      </w:pPr>
    </w:p>
    <w:p w14:paraId="6D953085" w14:textId="47343DC7" w:rsidR="00062137" w:rsidRPr="00EE5714" w:rsidRDefault="00D738A2"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Based on the available data, t</w:t>
      </w:r>
      <w:r w:rsidR="00BB7B3D" w:rsidRPr="00EE5714">
        <w:rPr>
          <w:rFonts w:ascii="Times New Roman" w:hAnsi="Times New Roman" w:cs="Times New Roman"/>
          <w:sz w:val="26"/>
          <w:szCs w:val="26"/>
        </w:rPr>
        <w:t>his study</w:t>
      </w:r>
      <w:r w:rsidR="00062137" w:rsidRPr="00EE5714">
        <w:rPr>
          <w:rFonts w:ascii="Times New Roman" w:hAnsi="Times New Roman" w:cs="Times New Roman"/>
          <w:sz w:val="26"/>
          <w:szCs w:val="26"/>
        </w:rPr>
        <w:t xml:space="preserve"> measure</w:t>
      </w:r>
      <w:r w:rsidR="008D6953" w:rsidRPr="00EE5714">
        <w:rPr>
          <w:rFonts w:ascii="Times New Roman" w:hAnsi="Times New Roman" w:cs="Times New Roman"/>
          <w:sz w:val="26"/>
          <w:szCs w:val="26"/>
        </w:rPr>
        <w:t>s</w:t>
      </w:r>
      <w:r w:rsidR="00062137" w:rsidRPr="00EE5714">
        <w:rPr>
          <w:rFonts w:ascii="Times New Roman" w:hAnsi="Times New Roman" w:cs="Times New Roman"/>
          <w:sz w:val="26"/>
          <w:szCs w:val="26"/>
        </w:rPr>
        <w:t xml:space="preserve"> whether the various CAP payment designs are meeting universal service goals such as reducing </w:t>
      </w:r>
      <w:r w:rsidR="00A32515" w:rsidRPr="00EE5714">
        <w:rPr>
          <w:rFonts w:ascii="Times New Roman" w:hAnsi="Times New Roman" w:cs="Times New Roman"/>
          <w:sz w:val="26"/>
          <w:szCs w:val="26"/>
        </w:rPr>
        <w:t xml:space="preserve">customer </w:t>
      </w:r>
      <w:r w:rsidR="00062137" w:rsidRPr="00EE5714">
        <w:rPr>
          <w:rFonts w:ascii="Times New Roman" w:hAnsi="Times New Roman" w:cs="Times New Roman"/>
          <w:sz w:val="26"/>
          <w:szCs w:val="26"/>
        </w:rPr>
        <w:t>debt, improving customer payment habits, reducing defaults and terminations, and reducing the number of customers in debt who are not on payment agreements.  The study also examine</w:t>
      </w:r>
      <w:r w:rsidR="00497A6F" w:rsidRPr="00EE5714">
        <w:rPr>
          <w:rFonts w:ascii="Times New Roman" w:hAnsi="Times New Roman" w:cs="Times New Roman"/>
          <w:sz w:val="26"/>
          <w:szCs w:val="26"/>
        </w:rPr>
        <w:t>d</w:t>
      </w:r>
      <w:r w:rsidR="00062137" w:rsidRPr="00EE5714">
        <w:rPr>
          <w:rFonts w:ascii="Times New Roman" w:hAnsi="Times New Roman" w:cs="Times New Roman"/>
          <w:sz w:val="26"/>
          <w:szCs w:val="26"/>
        </w:rPr>
        <w:t xml:space="preserve"> the impact of LIHEAP grants on CAP customer energy burden levels, </w:t>
      </w:r>
      <w:r w:rsidR="0056397F" w:rsidRPr="00EE5714">
        <w:rPr>
          <w:rFonts w:ascii="Times New Roman" w:hAnsi="Times New Roman" w:cs="Times New Roman"/>
          <w:sz w:val="26"/>
          <w:szCs w:val="26"/>
        </w:rPr>
        <w:t>outline</w:t>
      </w:r>
      <w:r w:rsidR="00497A6F" w:rsidRPr="00EE5714">
        <w:rPr>
          <w:rFonts w:ascii="Times New Roman" w:hAnsi="Times New Roman" w:cs="Times New Roman"/>
          <w:sz w:val="26"/>
          <w:szCs w:val="26"/>
        </w:rPr>
        <w:t>d</w:t>
      </w:r>
      <w:r w:rsidR="0056397F" w:rsidRPr="00EE5714">
        <w:rPr>
          <w:rFonts w:ascii="Times New Roman" w:hAnsi="Times New Roman" w:cs="Times New Roman"/>
          <w:sz w:val="26"/>
          <w:szCs w:val="26"/>
        </w:rPr>
        <w:t xml:space="preserve"> </w:t>
      </w:r>
      <w:r w:rsidR="00062137" w:rsidRPr="00EE5714">
        <w:rPr>
          <w:rFonts w:ascii="Times New Roman" w:hAnsi="Times New Roman" w:cs="Times New Roman"/>
          <w:sz w:val="26"/>
          <w:szCs w:val="26"/>
        </w:rPr>
        <w:t>the maximum energy burdens used by neighboring state programs, and review</w:t>
      </w:r>
      <w:r w:rsidR="00497A6F" w:rsidRPr="00EE5714">
        <w:rPr>
          <w:rFonts w:ascii="Times New Roman" w:hAnsi="Times New Roman" w:cs="Times New Roman"/>
          <w:sz w:val="26"/>
          <w:szCs w:val="26"/>
        </w:rPr>
        <w:t>ed</w:t>
      </w:r>
      <w:r w:rsidR="00062137" w:rsidRPr="00EE5714">
        <w:rPr>
          <w:rFonts w:ascii="Times New Roman" w:hAnsi="Times New Roman" w:cs="Times New Roman"/>
          <w:sz w:val="26"/>
          <w:szCs w:val="26"/>
        </w:rPr>
        <w:t xml:space="preserve"> previous </w:t>
      </w:r>
      <w:r w:rsidR="0093347F" w:rsidRPr="00EE5714">
        <w:rPr>
          <w:rFonts w:ascii="Times New Roman" w:hAnsi="Times New Roman" w:cs="Times New Roman"/>
          <w:sz w:val="26"/>
          <w:szCs w:val="26"/>
        </w:rPr>
        <w:t xml:space="preserve">third-party </w:t>
      </w:r>
      <w:r w:rsidR="00062137" w:rsidRPr="00EE5714">
        <w:rPr>
          <w:rFonts w:ascii="Times New Roman" w:hAnsi="Times New Roman" w:cs="Times New Roman"/>
          <w:sz w:val="26"/>
          <w:szCs w:val="26"/>
        </w:rPr>
        <w:t xml:space="preserve">studies </w:t>
      </w:r>
      <w:r w:rsidR="00062137" w:rsidRPr="00EE5714">
        <w:rPr>
          <w:rFonts w:ascii="Times New Roman" w:eastAsia="Calibri" w:hAnsi="Times New Roman" w:cs="Times New Roman"/>
          <w:sz w:val="26"/>
          <w:szCs w:val="26"/>
        </w:rPr>
        <w:t>dealing with related topics.  Finally, the study considers CAP cost trends and estimates the financial impact to CAP</w:t>
      </w:r>
      <w:r w:rsidR="002D0067" w:rsidRPr="00EE5714">
        <w:rPr>
          <w:rFonts w:ascii="Times New Roman" w:eastAsia="Calibri" w:hAnsi="Times New Roman" w:cs="Times New Roman"/>
          <w:sz w:val="26"/>
          <w:szCs w:val="26"/>
        </w:rPr>
        <w:t xml:space="preserve"> customers</w:t>
      </w:r>
      <w:r w:rsidR="00062137" w:rsidRPr="00EE5714">
        <w:rPr>
          <w:rFonts w:ascii="Times New Roman" w:eastAsia="Calibri" w:hAnsi="Times New Roman" w:cs="Times New Roman"/>
          <w:sz w:val="26"/>
          <w:szCs w:val="26"/>
        </w:rPr>
        <w:t xml:space="preserve"> and non-CAP residential ratepayers if Pennsylvania </w:t>
      </w:r>
      <w:r w:rsidR="002D0067" w:rsidRPr="00EE5714">
        <w:rPr>
          <w:rFonts w:ascii="Times New Roman" w:eastAsia="Calibri" w:hAnsi="Times New Roman" w:cs="Times New Roman"/>
          <w:sz w:val="26"/>
          <w:szCs w:val="26"/>
        </w:rPr>
        <w:t xml:space="preserve">were to </w:t>
      </w:r>
      <w:r w:rsidR="00062137" w:rsidRPr="00EE5714">
        <w:rPr>
          <w:rFonts w:ascii="Times New Roman" w:eastAsia="Calibri" w:hAnsi="Times New Roman" w:cs="Times New Roman"/>
          <w:sz w:val="26"/>
          <w:szCs w:val="26"/>
        </w:rPr>
        <w:t>adopt a maximum 10% energy burden.</w:t>
      </w:r>
    </w:p>
    <w:p w14:paraId="0F734EA3" w14:textId="77777777" w:rsidR="00062137" w:rsidRPr="00EE5714" w:rsidRDefault="00062137" w:rsidP="00062137">
      <w:pPr>
        <w:spacing w:after="0" w:line="240" w:lineRule="auto"/>
        <w:ind w:firstLine="720"/>
        <w:rPr>
          <w:rFonts w:ascii="Times New Roman" w:hAnsi="Times New Roman" w:cs="Times New Roman"/>
          <w:sz w:val="26"/>
          <w:szCs w:val="26"/>
        </w:rPr>
      </w:pPr>
    </w:p>
    <w:bookmarkEnd w:id="3"/>
    <w:p w14:paraId="559C817B" w14:textId="0C45553F" w:rsidR="00062137" w:rsidRPr="00EE5714" w:rsidRDefault="00062137" w:rsidP="00062137">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Summarized below are staff observations related to each topic in the report.</w:t>
      </w:r>
      <w:r w:rsidR="005476BE" w:rsidRPr="00EE5714">
        <w:rPr>
          <w:rFonts w:ascii="Times New Roman" w:hAnsi="Times New Roman" w:cs="Times New Roman"/>
          <w:sz w:val="26"/>
          <w:szCs w:val="26"/>
        </w:rPr>
        <w:t xml:space="preserve">  Citations </w:t>
      </w:r>
      <w:r w:rsidR="00016AA5" w:rsidRPr="00EE5714">
        <w:rPr>
          <w:rFonts w:ascii="Times New Roman" w:hAnsi="Times New Roman" w:cs="Times New Roman"/>
          <w:sz w:val="26"/>
          <w:szCs w:val="26"/>
        </w:rPr>
        <w:t xml:space="preserve">have been omitted from these </w:t>
      </w:r>
      <w:r w:rsidR="00DF18B7" w:rsidRPr="00EE5714">
        <w:rPr>
          <w:rFonts w:ascii="Times New Roman" w:hAnsi="Times New Roman" w:cs="Times New Roman"/>
          <w:sz w:val="26"/>
          <w:szCs w:val="26"/>
        </w:rPr>
        <w:t>summaries</w:t>
      </w:r>
      <w:r w:rsidR="00FF1463" w:rsidRPr="00EE5714">
        <w:rPr>
          <w:rFonts w:ascii="Times New Roman" w:hAnsi="Times New Roman" w:cs="Times New Roman"/>
          <w:sz w:val="26"/>
          <w:szCs w:val="26"/>
        </w:rPr>
        <w:t xml:space="preserve"> but </w:t>
      </w:r>
      <w:r w:rsidR="00AA4624" w:rsidRPr="00EE5714">
        <w:rPr>
          <w:rFonts w:ascii="Times New Roman" w:hAnsi="Times New Roman" w:cs="Times New Roman"/>
          <w:sz w:val="26"/>
          <w:szCs w:val="26"/>
        </w:rPr>
        <w:t xml:space="preserve">are included </w:t>
      </w:r>
      <w:r w:rsidR="00FF1463" w:rsidRPr="00EE5714">
        <w:rPr>
          <w:rFonts w:ascii="Times New Roman" w:hAnsi="Times New Roman" w:cs="Times New Roman"/>
          <w:sz w:val="26"/>
          <w:szCs w:val="26"/>
        </w:rPr>
        <w:t>in the expanded discussion of each segment.</w:t>
      </w:r>
      <w:r w:rsidR="00DF18B7" w:rsidRPr="00EE5714">
        <w:rPr>
          <w:rFonts w:ascii="Times New Roman" w:hAnsi="Times New Roman" w:cs="Times New Roman"/>
          <w:sz w:val="26"/>
          <w:szCs w:val="26"/>
        </w:rPr>
        <w:t xml:space="preserve">  </w:t>
      </w:r>
    </w:p>
    <w:p w14:paraId="70202359" w14:textId="77777777" w:rsidR="00062137" w:rsidRPr="00EE5714" w:rsidRDefault="00062137" w:rsidP="00062137">
      <w:pPr>
        <w:spacing w:after="0" w:line="240" w:lineRule="auto"/>
        <w:rPr>
          <w:rFonts w:ascii="Times New Roman" w:hAnsi="Times New Roman" w:cs="Times New Roman"/>
          <w:b/>
          <w:sz w:val="26"/>
          <w:szCs w:val="26"/>
        </w:rPr>
      </w:pPr>
    </w:p>
    <w:p w14:paraId="1BF8FB1B" w14:textId="77777777" w:rsidR="00062137" w:rsidRPr="00EE5714" w:rsidRDefault="00062137" w:rsidP="00062137">
      <w:pPr>
        <w:spacing w:after="0" w:line="240" w:lineRule="auto"/>
        <w:rPr>
          <w:rFonts w:ascii="Times New Roman" w:hAnsi="Times New Roman" w:cs="Times New Roman"/>
          <w:b/>
          <w:bCs/>
          <w:i/>
          <w:iCs/>
          <w:color w:val="2F5496" w:themeColor="accent1" w:themeShade="BF"/>
          <w:sz w:val="26"/>
          <w:szCs w:val="26"/>
        </w:rPr>
      </w:pPr>
      <w:r w:rsidRPr="00EE5714">
        <w:rPr>
          <w:rFonts w:ascii="Times New Roman" w:hAnsi="Times New Roman" w:cs="Times New Roman"/>
          <w:b/>
          <w:bCs/>
          <w:i/>
          <w:iCs/>
          <w:color w:val="2F5496" w:themeColor="accent1" w:themeShade="BF"/>
          <w:sz w:val="26"/>
          <w:szCs w:val="26"/>
        </w:rPr>
        <w:t>Energy Burden Levels for Gas and Electric Service</w:t>
      </w:r>
      <w:r w:rsidRPr="00EE5714" w:rsidDel="00DF1D65">
        <w:rPr>
          <w:rFonts w:ascii="Times New Roman" w:hAnsi="Times New Roman" w:cs="Times New Roman"/>
          <w:b/>
          <w:bCs/>
          <w:i/>
          <w:iCs/>
          <w:color w:val="2F5496" w:themeColor="accent1" w:themeShade="BF"/>
          <w:sz w:val="26"/>
          <w:szCs w:val="26"/>
        </w:rPr>
        <w:t xml:space="preserve"> </w:t>
      </w:r>
    </w:p>
    <w:p w14:paraId="39C5F255" w14:textId="77777777" w:rsidR="00062137" w:rsidRPr="00EE5714" w:rsidRDefault="00062137" w:rsidP="00062137">
      <w:pPr>
        <w:spacing w:after="0" w:line="240" w:lineRule="auto"/>
        <w:rPr>
          <w:rFonts w:ascii="Times New Roman" w:hAnsi="Times New Roman" w:cs="Times New Roman"/>
          <w:color w:val="2F5496" w:themeColor="accent1" w:themeShade="BF"/>
          <w:sz w:val="26"/>
          <w:szCs w:val="26"/>
        </w:rPr>
      </w:pPr>
    </w:p>
    <w:p w14:paraId="79EE7134" w14:textId="77777777" w:rsidR="00062137" w:rsidRPr="00EE5714" w:rsidRDefault="00E56737" w:rsidP="00062137">
      <w:pPr>
        <w:spacing w:after="0" w:line="240" w:lineRule="auto"/>
        <w:rPr>
          <w:rFonts w:ascii="Times New Roman" w:hAnsi="Times New Roman" w:cs="Times New Roman"/>
          <w:sz w:val="26"/>
          <w:szCs w:val="26"/>
        </w:rPr>
      </w:pPr>
      <w:r w:rsidRPr="00EE5714">
        <w:rPr>
          <w:rFonts w:ascii="Times New Roman" w:hAnsi="Times New Roman" w:cs="Times New Roman"/>
          <w:color w:val="2F5496" w:themeColor="accent1" w:themeShade="BF"/>
          <w:sz w:val="26"/>
          <w:szCs w:val="26"/>
        </w:rPr>
        <w:tab/>
      </w:r>
      <w:r w:rsidR="00062137" w:rsidRPr="00EE5714">
        <w:rPr>
          <w:rFonts w:ascii="Times New Roman" w:hAnsi="Times New Roman" w:cs="Times New Roman"/>
          <w:sz w:val="26"/>
          <w:szCs w:val="26"/>
        </w:rPr>
        <w:t xml:space="preserve">The study first examined the percent of </w:t>
      </w:r>
      <w:r w:rsidRPr="00EE5714">
        <w:rPr>
          <w:rFonts w:ascii="Times New Roman" w:hAnsi="Times New Roman" w:cs="Times New Roman"/>
          <w:sz w:val="26"/>
          <w:szCs w:val="26"/>
        </w:rPr>
        <w:t xml:space="preserve">household </w:t>
      </w:r>
      <w:r w:rsidR="00062137" w:rsidRPr="00EE5714">
        <w:rPr>
          <w:rFonts w:ascii="Times New Roman" w:hAnsi="Times New Roman" w:cs="Times New Roman"/>
          <w:sz w:val="26"/>
          <w:szCs w:val="26"/>
        </w:rPr>
        <w:t>income spent on electric and gas service (</w:t>
      </w:r>
      <w:r w:rsidR="00062137" w:rsidRPr="00EE5714">
        <w:rPr>
          <w:rFonts w:ascii="Times New Roman" w:hAnsi="Times New Roman" w:cs="Times New Roman"/>
          <w:i/>
          <w:sz w:val="26"/>
          <w:szCs w:val="26"/>
        </w:rPr>
        <w:t>i.e.</w:t>
      </w:r>
      <w:r w:rsidR="00062137" w:rsidRPr="00EE5714">
        <w:rPr>
          <w:rFonts w:ascii="Times New Roman" w:hAnsi="Times New Roman" w:cs="Times New Roman"/>
          <w:sz w:val="26"/>
          <w:szCs w:val="26"/>
        </w:rPr>
        <w:t xml:space="preserve">, energy burdens) by low-income customers enrolled in CAPs and </w:t>
      </w:r>
      <w:r w:rsidR="00E81754" w:rsidRPr="00EE5714">
        <w:rPr>
          <w:rFonts w:ascii="Times New Roman" w:hAnsi="Times New Roman" w:cs="Times New Roman"/>
          <w:sz w:val="26"/>
          <w:szCs w:val="26"/>
        </w:rPr>
        <w:t xml:space="preserve">by </w:t>
      </w:r>
      <w:r w:rsidR="00062137" w:rsidRPr="00EE5714">
        <w:rPr>
          <w:rFonts w:ascii="Times New Roman" w:hAnsi="Times New Roman" w:cs="Times New Roman"/>
          <w:sz w:val="26"/>
          <w:szCs w:val="26"/>
        </w:rPr>
        <w:t>non-CAP residential customers to determine the energy burden differences between these two groups.</w:t>
      </w:r>
    </w:p>
    <w:p w14:paraId="4B79DF49" w14:textId="77777777" w:rsidR="00062137" w:rsidRPr="00EE5714" w:rsidRDefault="00062137" w:rsidP="00062137">
      <w:pPr>
        <w:spacing w:after="0" w:line="240" w:lineRule="auto"/>
        <w:rPr>
          <w:rFonts w:ascii="Times New Roman" w:hAnsi="Times New Roman" w:cs="Times New Roman"/>
          <w:sz w:val="26"/>
          <w:szCs w:val="26"/>
        </w:rPr>
      </w:pPr>
    </w:p>
    <w:p w14:paraId="1D77D60D" w14:textId="32A64D22" w:rsidR="00062137" w:rsidRPr="00EE5714" w:rsidRDefault="00062137"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Even with discounted payments, CAP customers ha</w:t>
      </w:r>
      <w:r w:rsidR="007777AC" w:rsidRPr="00EE5714">
        <w:rPr>
          <w:rFonts w:ascii="Times New Roman" w:hAnsi="Times New Roman" w:cs="Times New Roman"/>
          <w:sz w:val="26"/>
          <w:szCs w:val="26"/>
        </w:rPr>
        <w:t>d</w:t>
      </w:r>
      <w:r w:rsidRPr="00EE5714">
        <w:rPr>
          <w:rFonts w:ascii="Times New Roman" w:hAnsi="Times New Roman" w:cs="Times New Roman"/>
          <w:sz w:val="26"/>
          <w:szCs w:val="26"/>
        </w:rPr>
        <w:t xml:space="preserve"> a higher energy burden than non-CAP residential customers.</w:t>
      </w:r>
      <w:r w:rsidR="00316327" w:rsidRPr="00EE5714">
        <w:rPr>
          <w:rStyle w:val="FootnoteReference"/>
          <w:rFonts w:ascii="Times New Roman" w:hAnsi="Times New Roman" w:cs="Times New Roman"/>
          <w:sz w:val="26"/>
          <w:szCs w:val="26"/>
        </w:rPr>
        <w:footnoteReference w:id="6"/>
      </w:r>
      <w:r w:rsidRPr="00EE5714">
        <w:rPr>
          <w:rFonts w:ascii="Times New Roman" w:hAnsi="Times New Roman" w:cs="Times New Roman"/>
          <w:sz w:val="26"/>
          <w:szCs w:val="26"/>
        </w:rPr>
        <w:t xml:space="preserve">  From 2012 to 2016, the average energy burden was 7% to 8% for NGDC CAP heating customers, 5 to 6% for EDC non-heating CAP customers, and 8 to10% for EDC CAP heating customers.</w:t>
      </w:r>
      <w:r w:rsidR="00531906" w:rsidRPr="00EE5714">
        <w:rPr>
          <w:rStyle w:val="FootnoteReference"/>
          <w:rFonts w:ascii="Times New Roman" w:hAnsi="Times New Roman" w:cs="Times New Roman"/>
          <w:sz w:val="26"/>
          <w:szCs w:val="26"/>
        </w:rPr>
        <w:footnoteReference w:id="7"/>
      </w:r>
      <w:r w:rsidRPr="00EE5714">
        <w:rPr>
          <w:rFonts w:ascii="Times New Roman" w:hAnsi="Times New Roman" w:cs="Times New Roman"/>
          <w:sz w:val="26"/>
          <w:szCs w:val="26"/>
        </w:rPr>
        <w:t xml:space="preserve">  </w:t>
      </w:r>
      <w:bookmarkStart w:id="4" w:name="_Hlk526348542"/>
      <w:r w:rsidRPr="00EE5714">
        <w:rPr>
          <w:rFonts w:ascii="Times New Roman" w:hAnsi="Times New Roman" w:cs="Times New Roman"/>
          <w:sz w:val="26"/>
          <w:szCs w:val="26"/>
        </w:rPr>
        <w:t xml:space="preserve">Residential non-CAP customers had an average annual energy burden of 4% for </w:t>
      </w:r>
      <w:r w:rsidR="00D66910" w:rsidRPr="00EE5714">
        <w:rPr>
          <w:rFonts w:ascii="Times New Roman" w:hAnsi="Times New Roman" w:cs="Times New Roman"/>
          <w:sz w:val="26"/>
          <w:szCs w:val="26"/>
        </w:rPr>
        <w:t xml:space="preserve">NGDC </w:t>
      </w:r>
      <w:r w:rsidRPr="00EE5714">
        <w:rPr>
          <w:rFonts w:ascii="Times New Roman" w:hAnsi="Times New Roman" w:cs="Times New Roman"/>
          <w:sz w:val="26"/>
          <w:szCs w:val="26"/>
        </w:rPr>
        <w:t xml:space="preserve">and </w:t>
      </w:r>
      <w:r w:rsidR="00D66910" w:rsidRPr="00EE5714">
        <w:rPr>
          <w:rFonts w:ascii="Times New Roman" w:hAnsi="Times New Roman" w:cs="Times New Roman"/>
          <w:sz w:val="26"/>
          <w:szCs w:val="26"/>
        </w:rPr>
        <w:t>EDC</w:t>
      </w:r>
      <w:r w:rsidRPr="00EE5714">
        <w:rPr>
          <w:rFonts w:ascii="Times New Roman" w:hAnsi="Times New Roman" w:cs="Times New Roman"/>
          <w:sz w:val="26"/>
          <w:szCs w:val="26"/>
        </w:rPr>
        <w:t xml:space="preserve"> service during this time period</w:t>
      </w:r>
      <w:r w:rsidR="00BD02CA" w:rsidRPr="00EE5714">
        <w:rPr>
          <w:rFonts w:ascii="Times New Roman" w:hAnsi="Times New Roman" w:cs="Times New Roman"/>
          <w:sz w:val="26"/>
          <w:szCs w:val="26"/>
        </w:rPr>
        <w:t>, regardless of heating or non-heating status and energy type</w:t>
      </w:r>
      <w:r w:rsidRPr="00EE5714">
        <w:rPr>
          <w:rFonts w:ascii="Times New Roman" w:hAnsi="Times New Roman" w:cs="Times New Roman"/>
          <w:sz w:val="26"/>
          <w:szCs w:val="26"/>
        </w:rPr>
        <w:t>.</w:t>
      </w:r>
      <w:bookmarkEnd w:id="4"/>
    </w:p>
    <w:p w14:paraId="195B8518" w14:textId="77777777" w:rsidR="00062137" w:rsidRPr="00EE5714" w:rsidRDefault="00062137" w:rsidP="00062137">
      <w:pPr>
        <w:spacing w:after="0" w:line="240" w:lineRule="auto"/>
        <w:ind w:firstLine="720"/>
        <w:rPr>
          <w:rFonts w:ascii="Times New Roman" w:hAnsi="Times New Roman" w:cs="Times New Roman"/>
          <w:sz w:val="26"/>
          <w:szCs w:val="26"/>
        </w:rPr>
      </w:pPr>
    </w:p>
    <w:p w14:paraId="670DB16C" w14:textId="77777777" w:rsidR="00062137" w:rsidRPr="00EE5714" w:rsidRDefault="00062137"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Customers in the 0 to 50% Federal Poverty Income Guidelines (FPIG) level, regardless of heating or non-heating status and energy type, often had energy burdens exceeding the CAP Policy Statement guidelines.</w:t>
      </w:r>
    </w:p>
    <w:p w14:paraId="135C75EC" w14:textId="77777777" w:rsidR="00062137" w:rsidRPr="00EE5714" w:rsidRDefault="00062137" w:rsidP="00062137">
      <w:pPr>
        <w:spacing w:after="0" w:line="240" w:lineRule="auto"/>
        <w:ind w:firstLine="720"/>
        <w:rPr>
          <w:rFonts w:ascii="Times New Roman" w:hAnsi="Times New Roman" w:cs="Times New Roman"/>
          <w:sz w:val="26"/>
          <w:szCs w:val="26"/>
        </w:rPr>
      </w:pPr>
    </w:p>
    <w:p w14:paraId="5D24919C" w14:textId="77777777" w:rsidR="00062137" w:rsidRPr="00EE5714" w:rsidRDefault="00062137" w:rsidP="00062137">
      <w:pPr>
        <w:keepNext/>
        <w:spacing w:after="0" w:line="240" w:lineRule="auto"/>
        <w:rPr>
          <w:rFonts w:ascii="Times New Roman" w:hAnsi="Times New Roman" w:cs="Times New Roman"/>
          <w:b/>
          <w:bCs/>
          <w:i/>
          <w:iCs/>
          <w:color w:val="2F5496" w:themeColor="accent1" w:themeShade="BF"/>
          <w:sz w:val="26"/>
          <w:szCs w:val="26"/>
        </w:rPr>
      </w:pPr>
      <w:r w:rsidRPr="00EE5714">
        <w:rPr>
          <w:rFonts w:ascii="Times New Roman" w:hAnsi="Times New Roman" w:cs="Times New Roman"/>
          <w:b/>
          <w:bCs/>
          <w:i/>
          <w:iCs/>
          <w:color w:val="2F5496" w:themeColor="accent1" w:themeShade="BF"/>
          <w:sz w:val="26"/>
          <w:szCs w:val="26"/>
        </w:rPr>
        <w:t xml:space="preserve">Impact of LIHEAP Grants on Energy Burden Levels </w:t>
      </w:r>
      <w:r w:rsidRPr="00EE5714">
        <w:rPr>
          <w:rFonts w:ascii="Times New Roman" w:hAnsi="Times New Roman" w:cs="Times New Roman"/>
          <w:b/>
          <w:i/>
          <w:color w:val="2F5496" w:themeColor="accent1" w:themeShade="BF"/>
          <w:sz w:val="26"/>
          <w:szCs w:val="26"/>
        </w:rPr>
        <w:tab/>
      </w:r>
    </w:p>
    <w:p w14:paraId="5EF2F452" w14:textId="77777777" w:rsidR="00062137" w:rsidRPr="00EE5714" w:rsidRDefault="00062137" w:rsidP="00062137">
      <w:pPr>
        <w:keepNext/>
        <w:spacing w:after="0" w:line="240" w:lineRule="auto"/>
        <w:rPr>
          <w:rFonts w:ascii="Times New Roman" w:hAnsi="Times New Roman" w:cs="Times New Roman"/>
          <w:b/>
          <w:i/>
          <w:color w:val="2F5496" w:themeColor="accent1" w:themeShade="BF"/>
          <w:sz w:val="26"/>
          <w:szCs w:val="26"/>
        </w:rPr>
      </w:pPr>
    </w:p>
    <w:p w14:paraId="2993E826" w14:textId="5760A7BB" w:rsidR="00473FEA" w:rsidRPr="00EE5714" w:rsidRDefault="00062137" w:rsidP="00B04A2A">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Unlike other states, Pennsylvania does not use LIHEAP grants to fund its CAPs.  </w:t>
      </w:r>
      <w:r w:rsidR="003412A7" w:rsidRPr="00EE5714">
        <w:rPr>
          <w:rFonts w:ascii="Times New Roman" w:hAnsi="Times New Roman" w:cs="Times New Roman"/>
          <w:sz w:val="26"/>
          <w:szCs w:val="26"/>
        </w:rPr>
        <w:t xml:space="preserve">In Pennsylvania, </w:t>
      </w:r>
      <w:r w:rsidRPr="00EE5714">
        <w:rPr>
          <w:rFonts w:ascii="Times New Roman" w:hAnsi="Times New Roman" w:cs="Times New Roman"/>
          <w:sz w:val="26"/>
          <w:szCs w:val="26"/>
        </w:rPr>
        <w:t>LIHEAP grants issued to CAP accounts are applied as customer payments to reduce energy bills</w:t>
      </w:r>
      <w:r w:rsidR="00776D04" w:rsidRPr="00EE5714">
        <w:rPr>
          <w:rFonts w:ascii="Times New Roman" w:hAnsi="Times New Roman" w:cs="Times New Roman"/>
          <w:sz w:val="26"/>
          <w:szCs w:val="26"/>
        </w:rPr>
        <w:t xml:space="preserve"> for the specific grantee-customer</w:t>
      </w:r>
      <w:r w:rsidRPr="00EE5714">
        <w:rPr>
          <w:rFonts w:ascii="Times New Roman" w:hAnsi="Times New Roman" w:cs="Times New Roman"/>
          <w:sz w:val="26"/>
          <w:szCs w:val="26"/>
        </w:rPr>
        <w:t>.  Since LIHEAP is often the sole or primary source of funding for state energy assistance programs</w:t>
      </w:r>
      <w:r w:rsidR="00614294" w:rsidRPr="00EE5714">
        <w:rPr>
          <w:rFonts w:ascii="Times New Roman" w:hAnsi="Times New Roman" w:cs="Times New Roman"/>
          <w:sz w:val="26"/>
          <w:szCs w:val="26"/>
        </w:rPr>
        <w:t xml:space="preserve"> in other states</w:t>
      </w:r>
      <w:r w:rsidRPr="00EE5714">
        <w:rPr>
          <w:rFonts w:ascii="Times New Roman" w:hAnsi="Times New Roman" w:cs="Times New Roman"/>
          <w:sz w:val="26"/>
          <w:szCs w:val="26"/>
        </w:rPr>
        <w:t>, th</w:t>
      </w:r>
      <w:r w:rsidR="00614294" w:rsidRPr="00EE5714">
        <w:rPr>
          <w:rFonts w:ascii="Times New Roman" w:hAnsi="Times New Roman" w:cs="Times New Roman"/>
          <w:sz w:val="26"/>
          <w:szCs w:val="26"/>
        </w:rPr>
        <w:t>is</w:t>
      </w:r>
      <w:r w:rsidRPr="00EE5714">
        <w:rPr>
          <w:rFonts w:ascii="Times New Roman" w:hAnsi="Times New Roman" w:cs="Times New Roman"/>
          <w:sz w:val="26"/>
          <w:szCs w:val="26"/>
        </w:rPr>
        <w:t xml:space="preserve"> study examined CAP accounts pre- and post</w:t>
      </w:r>
      <w:r w:rsidR="00614294" w:rsidRPr="00EE5714">
        <w:rPr>
          <w:rFonts w:ascii="Times New Roman" w:hAnsi="Times New Roman" w:cs="Times New Roman"/>
          <w:sz w:val="26"/>
          <w:szCs w:val="26"/>
        </w:rPr>
        <w:t>-</w:t>
      </w:r>
      <w:r w:rsidRPr="00EE5714">
        <w:rPr>
          <w:rFonts w:ascii="Times New Roman" w:hAnsi="Times New Roman" w:cs="Times New Roman"/>
          <w:sz w:val="26"/>
          <w:szCs w:val="26"/>
        </w:rPr>
        <w:t xml:space="preserve">application of LIHEAP </w:t>
      </w:r>
      <w:r w:rsidR="00614294" w:rsidRPr="00EE5714">
        <w:rPr>
          <w:rFonts w:ascii="Times New Roman" w:hAnsi="Times New Roman" w:cs="Times New Roman"/>
          <w:sz w:val="26"/>
          <w:szCs w:val="26"/>
        </w:rPr>
        <w:t xml:space="preserve">grants </w:t>
      </w:r>
      <w:r w:rsidRPr="00EE5714">
        <w:rPr>
          <w:rFonts w:ascii="Times New Roman" w:hAnsi="Times New Roman" w:cs="Times New Roman"/>
          <w:sz w:val="26"/>
          <w:szCs w:val="26"/>
        </w:rPr>
        <w:t xml:space="preserve">to determine </w:t>
      </w:r>
      <w:r w:rsidR="00473FEA" w:rsidRPr="00EE5714">
        <w:rPr>
          <w:rFonts w:ascii="Times New Roman" w:hAnsi="Times New Roman" w:cs="Times New Roman"/>
          <w:sz w:val="26"/>
          <w:szCs w:val="26"/>
        </w:rPr>
        <w:t xml:space="preserve">LIHEAP’s </w:t>
      </w:r>
      <w:r w:rsidRPr="00EE5714">
        <w:rPr>
          <w:rFonts w:ascii="Times New Roman" w:hAnsi="Times New Roman" w:cs="Times New Roman"/>
          <w:sz w:val="26"/>
          <w:szCs w:val="26"/>
        </w:rPr>
        <w:t>effect on energy burden levels</w:t>
      </w:r>
      <w:r w:rsidR="00473FEA" w:rsidRPr="00EE5714">
        <w:rPr>
          <w:rFonts w:ascii="Times New Roman" w:hAnsi="Times New Roman" w:cs="Times New Roman"/>
          <w:sz w:val="26"/>
          <w:szCs w:val="26"/>
        </w:rPr>
        <w:t xml:space="preserve"> in the Commonwealth</w:t>
      </w:r>
      <w:r w:rsidRPr="00EE5714">
        <w:rPr>
          <w:rFonts w:ascii="Times New Roman" w:hAnsi="Times New Roman" w:cs="Times New Roman"/>
          <w:sz w:val="26"/>
          <w:szCs w:val="26"/>
        </w:rPr>
        <w:t>.</w:t>
      </w:r>
    </w:p>
    <w:p w14:paraId="2A3DC509" w14:textId="77777777" w:rsidR="00062137" w:rsidRPr="00EE5714" w:rsidRDefault="00062137" w:rsidP="00062137">
      <w:pPr>
        <w:spacing w:after="0" w:line="240" w:lineRule="auto"/>
        <w:rPr>
          <w:rFonts w:ascii="Times New Roman" w:hAnsi="Times New Roman" w:cs="Times New Roman"/>
          <w:color w:val="2F5496" w:themeColor="accent1" w:themeShade="BF"/>
          <w:sz w:val="26"/>
          <w:szCs w:val="26"/>
        </w:rPr>
      </w:pPr>
    </w:p>
    <w:p w14:paraId="1EBCABD6" w14:textId="0A1EA091" w:rsidR="00062137" w:rsidRPr="00EE5714" w:rsidRDefault="00473FEA" w:rsidP="00062137">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r>
      <w:r w:rsidR="00062137" w:rsidRPr="00EE5714">
        <w:rPr>
          <w:rFonts w:ascii="Times New Roman" w:hAnsi="Times New Roman" w:cs="Times New Roman"/>
          <w:sz w:val="26"/>
          <w:szCs w:val="26"/>
        </w:rPr>
        <w:t xml:space="preserve">The study found </w:t>
      </w:r>
      <w:r w:rsidRPr="00EE5714">
        <w:rPr>
          <w:rFonts w:ascii="Times New Roman" w:hAnsi="Times New Roman" w:cs="Times New Roman"/>
          <w:sz w:val="26"/>
          <w:szCs w:val="26"/>
        </w:rPr>
        <w:t xml:space="preserve">that </w:t>
      </w:r>
      <w:r w:rsidR="00062137" w:rsidRPr="00EE5714">
        <w:rPr>
          <w:rFonts w:ascii="Times New Roman" w:hAnsi="Times New Roman" w:cs="Times New Roman"/>
          <w:sz w:val="26"/>
          <w:szCs w:val="26"/>
        </w:rPr>
        <w:t xml:space="preserve">LIHEAP had a measurable impact on energy burdens for CAP customers.  CAP customers with incomes at or below 50% of the FPIG experienced an </w:t>
      </w:r>
      <w:r w:rsidR="0030778F" w:rsidRPr="00EE5714">
        <w:rPr>
          <w:rFonts w:ascii="Times New Roman" w:hAnsi="Times New Roman" w:cs="Times New Roman"/>
          <w:sz w:val="26"/>
          <w:szCs w:val="26"/>
        </w:rPr>
        <w:t xml:space="preserve">average </w:t>
      </w:r>
      <w:r w:rsidR="00062137" w:rsidRPr="00EE5714">
        <w:rPr>
          <w:rFonts w:ascii="Times New Roman" w:hAnsi="Times New Roman" w:cs="Times New Roman"/>
          <w:sz w:val="26"/>
          <w:szCs w:val="26"/>
        </w:rPr>
        <w:t>energy burden decrease of approximately 5 to 6 percentage points for gas heating, 6 to 8 percentage points for electric non-heating, and approximately 7 to 9</w:t>
      </w:r>
      <w:r w:rsidR="00C13FA9" w:rsidRPr="00EE5714">
        <w:rPr>
          <w:rFonts w:ascii="Times New Roman" w:hAnsi="Times New Roman" w:cs="Times New Roman"/>
          <w:sz w:val="26"/>
          <w:szCs w:val="26"/>
        </w:rPr>
        <w:t> </w:t>
      </w:r>
      <w:r w:rsidR="00062137" w:rsidRPr="00EE5714">
        <w:rPr>
          <w:rFonts w:ascii="Times New Roman" w:hAnsi="Times New Roman" w:cs="Times New Roman"/>
          <w:sz w:val="26"/>
          <w:szCs w:val="26"/>
        </w:rPr>
        <w:t xml:space="preserve">percentage points for electric heating.  CAP customers with incomes between 51 and 100% of the FPIG experienced an </w:t>
      </w:r>
      <w:r w:rsidR="0030778F" w:rsidRPr="00EE5714">
        <w:rPr>
          <w:rFonts w:ascii="Times New Roman" w:hAnsi="Times New Roman" w:cs="Times New Roman"/>
          <w:sz w:val="26"/>
          <w:szCs w:val="26"/>
        </w:rPr>
        <w:t xml:space="preserve">average </w:t>
      </w:r>
      <w:r w:rsidR="00062137" w:rsidRPr="00EE5714">
        <w:rPr>
          <w:rFonts w:ascii="Times New Roman" w:hAnsi="Times New Roman" w:cs="Times New Roman"/>
          <w:sz w:val="26"/>
          <w:szCs w:val="26"/>
        </w:rPr>
        <w:t>energy burden</w:t>
      </w:r>
      <w:r w:rsidR="00062137" w:rsidRPr="00EE5714" w:rsidDel="004033D1">
        <w:rPr>
          <w:rFonts w:ascii="Times New Roman" w:hAnsi="Times New Roman" w:cs="Times New Roman"/>
          <w:sz w:val="26"/>
          <w:szCs w:val="26"/>
        </w:rPr>
        <w:t xml:space="preserve"> </w:t>
      </w:r>
      <w:r w:rsidR="00062137" w:rsidRPr="00EE5714">
        <w:rPr>
          <w:rFonts w:ascii="Times New Roman" w:hAnsi="Times New Roman" w:cs="Times New Roman"/>
          <w:sz w:val="26"/>
          <w:szCs w:val="26"/>
        </w:rPr>
        <w:t>decrease of approximately 2 to 3</w:t>
      </w:r>
      <w:r w:rsidR="00465DBD" w:rsidRPr="00EE5714">
        <w:rPr>
          <w:rFonts w:ascii="Times New Roman" w:hAnsi="Times New Roman" w:cs="Times New Roman"/>
          <w:sz w:val="26"/>
          <w:szCs w:val="26"/>
        </w:rPr>
        <w:t> </w:t>
      </w:r>
      <w:r w:rsidR="00062137" w:rsidRPr="00EE5714">
        <w:rPr>
          <w:rFonts w:ascii="Times New Roman" w:hAnsi="Times New Roman" w:cs="Times New Roman"/>
          <w:sz w:val="26"/>
          <w:szCs w:val="26"/>
        </w:rPr>
        <w:t xml:space="preserve">percentage points for gas heating and 3 percentage points for electric non-heating and heating.  CAP customers with incomes between 101 and 150% of the FPIG experienced an </w:t>
      </w:r>
      <w:r w:rsidR="0030778F" w:rsidRPr="00EE5714">
        <w:rPr>
          <w:rFonts w:ascii="Times New Roman" w:hAnsi="Times New Roman" w:cs="Times New Roman"/>
          <w:sz w:val="26"/>
          <w:szCs w:val="26"/>
        </w:rPr>
        <w:t xml:space="preserve">average </w:t>
      </w:r>
      <w:r w:rsidR="00062137" w:rsidRPr="00EE5714">
        <w:rPr>
          <w:rFonts w:ascii="Times New Roman" w:hAnsi="Times New Roman" w:cs="Times New Roman"/>
          <w:sz w:val="26"/>
          <w:szCs w:val="26"/>
        </w:rPr>
        <w:t>energy burden decrease of approximately 1 to 2 percentage points for gas heating, electric non-heating, and electric heating.</w:t>
      </w:r>
    </w:p>
    <w:p w14:paraId="4718E1BF" w14:textId="77777777" w:rsidR="00062137" w:rsidRPr="00EE5714" w:rsidRDefault="00062137" w:rsidP="00062137">
      <w:pPr>
        <w:spacing w:after="0" w:line="240" w:lineRule="auto"/>
        <w:contextualSpacing/>
        <w:rPr>
          <w:rFonts w:ascii="Times New Roman" w:hAnsi="Times New Roman" w:cs="Times New Roman"/>
          <w:sz w:val="26"/>
          <w:szCs w:val="26"/>
        </w:rPr>
      </w:pPr>
    </w:p>
    <w:p w14:paraId="20992E49" w14:textId="77777777" w:rsidR="00062137" w:rsidRPr="00EE5714" w:rsidRDefault="00062137" w:rsidP="0006213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Even with these decreases, however, the average energy burden for some CAP households at the 0 to 50% and 51 to 100% FPIG levels exceeded the maximum energy burden guidelines in the CAP Policy Statement.</w:t>
      </w:r>
    </w:p>
    <w:p w14:paraId="2F916E74" w14:textId="77777777" w:rsidR="00062137" w:rsidRPr="00EE5714" w:rsidRDefault="00062137" w:rsidP="00062137">
      <w:pPr>
        <w:spacing w:after="0" w:line="240" w:lineRule="auto"/>
        <w:rPr>
          <w:rFonts w:ascii="Times New Roman" w:hAnsi="Times New Roman" w:cs="Times New Roman"/>
          <w:sz w:val="26"/>
          <w:szCs w:val="26"/>
        </w:rPr>
      </w:pPr>
    </w:p>
    <w:p w14:paraId="79471A00" w14:textId="77777777" w:rsidR="00062137" w:rsidRPr="00EE5714" w:rsidRDefault="00062137" w:rsidP="00062137">
      <w:pPr>
        <w:keepNext/>
        <w:spacing w:after="0" w:line="240" w:lineRule="auto"/>
        <w:rPr>
          <w:rFonts w:ascii="Times New Roman" w:hAnsi="Times New Roman" w:cs="Times New Roman"/>
          <w:b/>
          <w:bCs/>
          <w:i/>
          <w:iCs/>
          <w:color w:val="2F5496" w:themeColor="accent1" w:themeShade="BF"/>
          <w:sz w:val="26"/>
          <w:szCs w:val="26"/>
        </w:rPr>
      </w:pPr>
      <w:r w:rsidRPr="00EE5714">
        <w:rPr>
          <w:rFonts w:ascii="Times New Roman" w:hAnsi="Times New Roman" w:cs="Times New Roman"/>
          <w:b/>
          <w:bCs/>
          <w:i/>
          <w:iCs/>
          <w:color w:val="2F5496" w:themeColor="accent1" w:themeShade="BF"/>
          <w:sz w:val="26"/>
          <w:szCs w:val="26"/>
        </w:rPr>
        <w:t xml:space="preserve">Pre-Program Arrearages (PPAs) and In-Program Arrears </w:t>
      </w:r>
    </w:p>
    <w:p w14:paraId="37BD653E" w14:textId="77777777" w:rsidR="00062137" w:rsidRPr="00EE5714" w:rsidRDefault="00062137" w:rsidP="00062137">
      <w:pPr>
        <w:keepNext/>
        <w:spacing w:after="0" w:line="240" w:lineRule="auto"/>
        <w:rPr>
          <w:rFonts w:ascii="Times New Roman" w:hAnsi="Times New Roman" w:cs="Times New Roman"/>
          <w:b/>
          <w:i/>
          <w:color w:val="2F5496" w:themeColor="accent1" w:themeShade="BF"/>
          <w:sz w:val="26"/>
          <w:szCs w:val="26"/>
        </w:rPr>
      </w:pPr>
    </w:p>
    <w:p w14:paraId="77E1BD15" w14:textId="589ACAC2" w:rsidR="00062137" w:rsidRPr="00EE5714" w:rsidRDefault="00062137"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CAPs are intended to eliminate customer debt by deferring </w:t>
      </w:r>
      <w:r w:rsidR="00B36044" w:rsidRPr="00EE5714">
        <w:rPr>
          <w:rFonts w:ascii="Times New Roman" w:hAnsi="Times New Roman" w:cs="Times New Roman"/>
          <w:sz w:val="26"/>
          <w:szCs w:val="26"/>
        </w:rPr>
        <w:t xml:space="preserve">collection and </w:t>
      </w:r>
      <w:r w:rsidRPr="00EE5714">
        <w:rPr>
          <w:rFonts w:ascii="Times New Roman" w:hAnsi="Times New Roman" w:cs="Times New Roman"/>
          <w:sz w:val="26"/>
          <w:szCs w:val="26"/>
        </w:rPr>
        <w:t xml:space="preserve">payment of </w:t>
      </w:r>
      <w:r w:rsidR="00B36044" w:rsidRPr="00EE5714">
        <w:rPr>
          <w:rFonts w:ascii="Times New Roman" w:hAnsi="Times New Roman" w:cs="Times New Roman"/>
          <w:sz w:val="26"/>
          <w:szCs w:val="26"/>
        </w:rPr>
        <w:t xml:space="preserve">a CAP customer’s </w:t>
      </w:r>
      <w:r w:rsidRPr="00EE5714">
        <w:rPr>
          <w:rFonts w:ascii="Times New Roman" w:hAnsi="Times New Roman" w:cs="Times New Roman"/>
          <w:sz w:val="26"/>
          <w:szCs w:val="26"/>
        </w:rPr>
        <w:t xml:space="preserve">pre-program </w:t>
      </w:r>
      <w:r w:rsidR="005670D1" w:rsidRPr="00EE5714">
        <w:rPr>
          <w:rFonts w:ascii="Times New Roman" w:hAnsi="Times New Roman" w:cs="Times New Roman"/>
          <w:sz w:val="26"/>
          <w:szCs w:val="26"/>
        </w:rPr>
        <w:t xml:space="preserve">arrearage (PPA) </w:t>
      </w:r>
      <w:r w:rsidRPr="00EE5714">
        <w:rPr>
          <w:rFonts w:ascii="Times New Roman" w:hAnsi="Times New Roman" w:cs="Times New Roman"/>
          <w:sz w:val="26"/>
          <w:szCs w:val="26"/>
        </w:rPr>
        <w:t>balance and reducing this debt with each monthly CAP payment.  Full PPA forgiveness can be achieved within one to three years, depending on the utility</w:t>
      </w:r>
      <w:r w:rsidR="00810716" w:rsidRPr="00EE5714">
        <w:rPr>
          <w:rFonts w:ascii="Times New Roman" w:hAnsi="Times New Roman" w:cs="Times New Roman"/>
          <w:sz w:val="26"/>
          <w:szCs w:val="26"/>
        </w:rPr>
        <w:t>’s</w:t>
      </w:r>
      <w:r w:rsidRPr="00EE5714">
        <w:rPr>
          <w:rFonts w:ascii="Times New Roman" w:hAnsi="Times New Roman" w:cs="Times New Roman"/>
          <w:sz w:val="26"/>
          <w:szCs w:val="26"/>
        </w:rPr>
        <w:t xml:space="preserve"> CAP</w:t>
      </w:r>
      <w:r w:rsidR="00810716" w:rsidRPr="00EE5714">
        <w:rPr>
          <w:rFonts w:ascii="Times New Roman" w:hAnsi="Times New Roman" w:cs="Times New Roman"/>
          <w:sz w:val="26"/>
          <w:szCs w:val="26"/>
        </w:rPr>
        <w:t xml:space="preserve"> provisions</w:t>
      </w:r>
      <w:r w:rsidRPr="00EE5714">
        <w:rPr>
          <w:rFonts w:ascii="Times New Roman" w:hAnsi="Times New Roman" w:cs="Times New Roman"/>
          <w:sz w:val="26"/>
          <w:szCs w:val="26"/>
        </w:rPr>
        <w:t>.  Presumably, if CAP bills are affordable, low-income participants should gradually reduce their PPA</w:t>
      </w:r>
      <w:r w:rsidR="002E78F6" w:rsidRPr="00EE5714">
        <w:rPr>
          <w:rFonts w:ascii="Times New Roman" w:hAnsi="Times New Roman" w:cs="Times New Roman"/>
          <w:sz w:val="26"/>
          <w:szCs w:val="26"/>
        </w:rPr>
        <w:t>s</w:t>
      </w:r>
      <w:r w:rsidRPr="00EE5714">
        <w:rPr>
          <w:rFonts w:ascii="Times New Roman" w:hAnsi="Times New Roman" w:cs="Times New Roman"/>
          <w:sz w:val="26"/>
          <w:szCs w:val="26"/>
        </w:rPr>
        <w:t xml:space="preserve"> and accrue minimal or no </w:t>
      </w:r>
      <w:r w:rsidR="00CD4AE6" w:rsidRPr="00EE5714">
        <w:rPr>
          <w:rFonts w:ascii="Times New Roman" w:hAnsi="Times New Roman" w:cs="Times New Roman"/>
          <w:sz w:val="26"/>
          <w:szCs w:val="26"/>
        </w:rPr>
        <w:t xml:space="preserve">new </w:t>
      </w:r>
      <w:r w:rsidRPr="00EE5714">
        <w:rPr>
          <w:rFonts w:ascii="Times New Roman" w:hAnsi="Times New Roman" w:cs="Times New Roman"/>
          <w:sz w:val="26"/>
          <w:szCs w:val="26"/>
        </w:rPr>
        <w:t xml:space="preserve">debt within the program.  </w:t>
      </w:r>
      <w:r w:rsidR="008C0B27" w:rsidRPr="00EE5714">
        <w:rPr>
          <w:rFonts w:ascii="Times New Roman" w:hAnsi="Times New Roman" w:cs="Times New Roman"/>
          <w:sz w:val="26"/>
          <w:szCs w:val="26"/>
        </w:rPr>
        <w:t>Staff</w:t>
      </w:r>
      <w:r w:rsidRPr="00EE5714">
        <w:rPr>
          <w:rFonts w:ascii="Times New Roman" w:hAnsi="Times New Roman" w:cs="Times New Roman"/>
          <w:sz w:val="26"/>
          <w:szCs w:val="26"/>
        </w:rPr>
        <w:t xml:space="preserve"> considered </w:t>
      </w:r>
      <w:r w:rsidR="001522CD" w:rsidRPr="00EE5714">
        <w:rPr>
          <w:rFonts w:ascii="Times New Roman" w:hAnsi="Times New Roman" w:cs="Times New Roman"/>
          <w:sz w:val="26"/>
          <w:szCs w:val="26"/>
        </w:rPr>
        <w:t xml:space="preserve">the levels of </w:t>
      </w:r>
      <w:r w:rsidRPr="00EE5714">
        <w:rPr>
          <w:rFonts w:ascii="Times New Roman" w:hAnsi="Times New Roman" w:cs="Times New Roman"/>
          <w:sz w:val="26"/>
          <w:szCs w:val="26"/>
        </w:rPr>
        <w:t xml:space="preserve">PPA and in-program arrearage </w:t>
      </w:r>
      <w:r w:rsidR="00C41150" w:rsidRPr="00EE5714">
        <w:rPr>
          <w:rFonts w:ascii="Times New Roman" w:hAnsi="Times New Roman" w:cs="Times New Roman"/>
          <w:sz w:val="26"/>
          <w:szCs w:val="26"/>
        </w:rPr>
        <w:t xml:space="preserve">potential </w:t>
      </w:r>
      <w:r w:rsidRPr="00EE5714">
        <w:rPr>
          <w:rFonts w:ascii="Times New Roman" w:hAnsi="Times New Roman" w:cs="Times New Roman"/>
          <w:sz w:val="26"/>
          <w:szCs w:val="26"/>
        </w:rPr>
        <w:t>indicator</w:t>
      </w:r>
      <w:r w:rsidR="001522CD" w:rsidRPr="00EE5714">
        <w:rPr>
          <w:rFonts w:ascii="Times New Roman" w:hAnsi="Times New Roman" w:cs="Times New Roman"/>
          <w:sz w:val="26"/>
          <w:szCs w:val="26"/>
        </w:rPr>
        <w:t>s</w:t>
      </w:r>
      <w:r w:rsidRPr="00EE5714">
        <w:rPr>
          <w:rFonts w:ascii="Times New Roman" w:hAnsi="Times New Roman" w:cs="Times New Roman"/>
          <w:sz w:val="26"/>
          <w:szCs w:val="26"/>
        </w:rPr>
        <w:t xml:space="preserve"> of affordability within CAPs.</w:t>
      </w:r>
    </w:p>
    <w:p w14:paraId="2A1FCC5C" w14:textId="77777777" w:rsidR="00062137" w:rsidRPr="00EE5714" w:rsidRDefault="00062137" w:rsidP="003C47E6">
      <w:pPr>
        <w:spacing w:after="0" w:line="240" w:lineRule="auto"/>
        <w:rPr>
          <w:rFonts w:ascii="Times New Roman" w:hAnsi="Times New Roman" w:cs="Times New Roman"/>
          <w:sz w:val="26"/>
          <w:szCs w:val="26"/>
        </w:rPr>
      </w:pPr>
    </w:p>
    <w:p w14:paraId="20EFB778" w14:textId="241AC151" w:rsidR="00926A64" w:rsidRPr="00EE5714" w:rsidRDefault="00062137"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The </w:t>
      </w:r>
      <w:r w:rsidR="0086482C" w:rsidRPr="00EE5714">
        <w:rPr>
          <w:rFonts w:ascii="Times New Roman" w:hAnsi="Times New Roman" w:cs="Times New Roman"/>
          <w:sz w:val="26"/>
          <w:szCs w:val="26"/>
        </w:rPr>
        <w:t>data indicate</w:t>
      </w:r>
      <w:r w:rsidR="00783D4D" w:rsidRPr="00EE5714">
        <w:rPr>
          <w:rFonts w:ascii="Times New Roman" w:hAnsi="Times New Roman" w:cs="Times New Roman"/>
          <w:sz w:val="26"/>
          <w:szCs w:val="26"/>
        </w:rPr>
        <w:t>d</w:t>
      </w:r>
      <w:r w:rsidR="0086482C" w:rsidRPr="00EE5714">
        <w:rPr>
          <w:rFonts w:ascii="Times New Roman" w:hAnsi="Times New Roman" w:cs="Times New Roman"/>
          <w:sz w:val="26"/>
          <w:szCs w:val="26"/>
        </w:rPr>
        <w:t xml:space="preserve"> that </w:t>
      </w:r>
      <w:r w:rsidRPr="00EE5714">
        <w:rPr>
          <w:rFonts w:ascii="Times New Roman" w:hAnsi="Times New Roman" w:cs="Times New Roman"/>
          <w:sz w:val="26"/>
          <w:szCs w:val="26"/>
        </w:rPr>
        <w:t xml:space="preserve">average PPAs and in-program arrears for most NGDCs showed decreasing arrearage trends, </w:t>
      </w:r>
      <w:r w:rsidR="00810136" w:rsidRPr="00EE5714">
        <w:rPr>
          <w:rFonts w:ascii="Times New Roman" w:hAnsi="Times New Roman" w:cs="Times New Roman"/>
          <w:sz w:val="26"/>
          <w:szCs w:val="26"/>
        </w:rPr>
        <w:t xml:space="preserve">possibly due to </w:t>
      </w:r>
      <w:r w:rsidRPr="00EE5714">
        <w:rPr>
          <w:rFonts w:ascii="Times New Roman" w:hAnsi="Times New Roman" w:cs="Times New Roman"/>
          <w:sz w:val="26"/>
          <w:szCs w:val="26"/>
        </w:rPr>
        <w:t xml:space="preserve">lower natural gas costs, warmer winters, and declining CAP enrollments during this study period.  </w:t>
      </w:r>
    </w:p>
    <w:p w14:paraId="275E4C77" w14:textId="77777777" w:rsidR="00926A64" w:rsidRPr="00EE5714" w:rsidRDefault="00926A64" w:rsidP="00062137">
      <w:pPr>
        <w:spacing w:after="0" w:line="240" w:lineRule="auto"/>
        <w:ind w:firstLine="720"/>
        <w:rPr>
          <w:rFonts w:ascii="Times New Roman" w:hAnsi="Times New Roman" w:cs="Times New Roman"/>
          <w:sz w:val="26"/>
          <w:szCs w:val="26"/>
        </w:rPr>
      </w:pPr>
    </w:p>
    <w:p w14:paraId="67A82AD9" w14:textId="77777777" w:rsidR="00062137" w:rsidRPr="00EE5714" w:rsidRDefault="00062137"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Most EDC CAP customers with in-program arrears carried an average balance of less than $200.</w:t>
      </w:r>
    </w:p>
    <w:p w14:paraId="3980BAD2" w14:textId="77777777" w:rsidR="00062137" w:rsidRPr="00EE5714" w:rsidRDefault="00062137" w:rsidP="00062137">
      <w:pPr>
        <w:spacing w:after="0" w:line="240" w:lineRule="auto"/>
        <w:ind w:firstLine="720"/>
        <w:rPr>
          <w:rFonts w:ascii="Times New Roman" w:hAnsi="Times New Roman" w:cs="Times New Roman"/>
          <w:sz w:val="26"/>
          <w:szCs w:val="26"/>
        </w:rPr>
      </w:pPr>
    </w:p>
    <w:p w14:paraId="1A8BEB06" w14:textId="77777777" w:rsidR="00062137" w:rsidRPr="00EE5714" w:rsidRDefault="00062137"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Since many utilities were unable to provide data for the PPA and in-program arrears balances by FPIG levels and/or by heating type, it is unclear whether customers at </w:t>
      </w:r>
      <w:r w:rsidRPr="00EE5714">
        <w:rPr>
          <w:rFonts w:ascii="Times New Roman" w:hAnsi="Times New Roman" w:cs="Times New Roman"/>
          <w:sz w:val="26"/>
          <w:szCs w:val="26"/>
        </w:rPr>
        <w:lastRenderedPageBreak/>
        <w:t>specific incomes (</w:t>
      </w:r>
      <w:r w:rsidRPr="00EE5714">
        <w:rPr>
          <w:rFonts w:ascii="Times New Roman" w:hAnsi="Times New Roman" w:cs="Times New Roman"/>
          <w:i/>
          <w:iCs/>
          <w:sz w:val="26"/>
          <w:szCs w:val="26"/>
        </w:rPr>
        <w:t>e.g.</w:t>
      </w:r>
      <w:r w:rsidRPr="00EE5714">
        <w:rPr>
          <w:rFonts w:ascii="Times New Roman" w:hAnsi="Times New Roman" w:cs="Times New Roman"/>
          <w:sz w:val="26"/>
          <w:szCs w:val="26"/>
        </w:rPr>
        <w:t xml:space="preserve">, at or below 50% of the FPIG) or with specific heating types carried a disproportionate share of CAP PPA or in-program arrears. </w:t>
      </w:r>
    </w:p>
    <w:p w14:paraId="04C40BC4" w14:textId="77777777" w:rsidR="00062137" w:rsidRPr="00EE5714" w:rsidRDefault="00062137" w:rsidP="00062137">
      <w:pPr>
        <w:spacing w:after="0" w:line="240" w:lineRule="auto"/>
        <w:rPr>
          <w:rFonts w:ascii="Times New Roman" w:hAnsi="Times New Roman" w:cs="Times New Roman"/>
          <w:b/>
          <w:i/>
          <w:color w:val="2F5496" w:themeColor="accent1" w:themeShade="BF"/>
          <w:sz w:val="26"/>
          <w:szCs w:val="26"/>
        </w:rPr>
      </w:pPr>
    </w:p>
    <w:p w14:paraId="700415B9" w14:textId="09C12750" w:rsidR="00062137" w:rsidRPr="00EE5714" w:rsidRDefault="0012453E" w:rsidP="005156AF">
      <w:pPr>
        <w:spacing w:after="0" w:line="240" w:lineRule="auto"/>
        <w:ind w:firstLine="720"/>
        <w:rPr>
          <w:rFonts w:ascii="Times New Roman" w:hAnsi="Times New Roman" w:cs="Times New Roman"/>
          <w:b/>
          <w:bCs/>
          <w:color w:val="2F5496" w:themeColor="accent1" w:themeShade="BF"/>
          <w:sz w:val="26"/>
          <w:szCs w:val="26"/>
        </w:rPr>
      </w:pPr>
      <w:r w:rsidRPr="00EE5714">
        <w:rPr>
          <w:rFonts w:ascii="Times New Roman" w:hAnsi="Times New Roman" w:cs="Times New Roman"/>
          <w:sz w:val="26"/>
          <w:szCs w:val="26"/>
        </w:rPr>
        <w:t xml:space="preserve">CAP enrollment eligibility </w:t>
      </w:r>
      <w:r w:rsidR="00FC17E9" w:rsidRPr="00EE5714">
        <w:rPr>
          <w:rFonts w:ascii="Times New Roman" w:hAnsi="Times New Roman" w:cs="Times New Roman"/>
          <w:sz w:val="26"/>
          <w:szCs w:val="26"/>
        </w:rPr>
        <w:t>varied among the</w:t>
      </w:r>
      <w:r w:rsidRPr="00EE5714">
        <w:rPr>
          <w:rFonts w:ascii="Times New Roman" w:hAnsi="Times New Roman" w:cs="Times New Roman"/>
          <w:sz w:val="26"/>
          <w:szCs w:val="26"/>
        </w:rPr>
        <w:t xml:space="preserve"> utilities</w:t>
      </w:r>
      <w:r w:rsidR="005F750D" w:rsidRPr="00EE5714">
        <w:rPr>
          <w:rFonts w:ascii="Times New Roman" w:hAnsi="Times New Roman" w:cs="Times New Roman"/>
          <w:sz w:val="26"/>
          <w:szCs w:val="26"/>
        </w:rPr>
        <w:t>.</w:t>
      </w:r>
      <w:r w:rsidRPr="00EE5714">
        <w:rPr>
          <w:rFonts w:ascii="Times New Roman" w:hAnsi="Times New Roman" w:cs="Times New Roman"/>
          <w:sz w:val="26"/>
          <w:szCs w:val="26"/>
        </w:rPr>
        <w:t xml:space="preserve">  </w:t>
      </w:r>
      <w:r w:rsidR="00062137" w:rsidRPr="00EE5714">
        <w:rPr>
          <w:rFonts w:ascii="Times New Roman" w:hAnsi="Times New Roman" w:cs="Times New Roman"/>
          <w:sz w:val="26"/>
          <w:szCs w:val="26"/>
        </w:rPr>
        <w:t xml:space="preserve">Utilities that </w:t>
      </w:r>
      <w:r w:rsidR="0090630A" w:rsidRPr="00EE5714">
        <w:rPr>
          <w:rFonts w:ascii="Times New Roman" w:hAnsi="Times New Roman" w:cs="Times New Roman"/>
          <w:sz w:val="26"/>
          <w:szCs w:val="26"/>
        </w:rPr>
        <w:t xml:space="preserve">required </w:t>
      </w:r>
      <w:r w:rsidR="00787814" w:rsidRPr="00EE5714">
        <w:rPr>
          <w:rFonts w:ascii="Times New Roman" w:hAnsi="Times New Roman" w:cs="Times New Roman"/>
          <w:sz w:val="26"/>
          <w:szCs w:val="26"/>
        </w:rPr>
        <w:t>low-income customers to be “payment troubled”</w:t>
      </w:r>
      <w:r w:rsidR="00A37E7A" w:rsidRPr="00EE5714">
        <w:rPr>
          <w:rFonts w:ascii="Times New Roman" w:hAnsi="Times New Roman" w:cs="Times New Roman"/>
          <w:sz w:val="26"/>
          <w:szCs w:val="26"/>
        </w:rPr>
        <w:t xml:space="preserve"> </w:t>
      </w:r>
      <w:r w:rsidR="00D1356F" w:rsidRPr="00EE5714">
        <w:rPr>
          <w:rFonts w:ascii="Times New Roman" w:hAnsi="Times New Roman" w:cs="Times New Roman"/>
          <w:sz w:val="26"/>
          <w:szCs w:val="26"/>
        </w:rPr>
        <w:t>(</w:t>
      </w:r>
      <w:r w:rsidR="00D1356F" w:rsidRPr="00EE5714">
        <w:rPr>
          <w:rFonts w:ascii="Times New Roman" w:hAnsi="Times New Roman" w:cs="Times New Roman"/>
          <w:i/>
          <w:sz w:val="26"/>
          <w:szCs w:val="26"/>
        </w:rPr>
        <w:t>e.g.</w:t>
      </w:r>
      <w:r w:rsidR="00D1356F" w:rsidRPr="00EE5714">
        <w:rPr>
          <w:rFonts w:ascii="Times New Roman" w:hAnsi="Times New Roman" w:cs="Times New Roman"/>
          <w:sz w:val="26"/>
          <w:szCs w:val="26"/>
        </w:rPr>
        <w:t xml:space="preserve">, </w:t>
      </w:r>
      <w:r w:rsidR="004A3ABF" w:rsidRPr="00EE5714">
        <w:rPr>
          <w:rFonts w:ascii="Times New Roman" w:hAnsi="Times New Roman" w:cs="Times New Roman"/>
          <w:sz w:val="26"/>
          <w:szCs w:val="26"/>
        </w:rPr>
        <w:t xml:space="preserve">had a payment arrangement in the past 12 months) </w:t>
      </w:r>
      <w:r w:rsidR="007C748B" w:rsidRPr="00EE5714">
        <w:rPr>
          <w:rFonts w:ascii="Times New Roman" w:hAnsi="Times New Roman" w:cs="Times New Roman"/>
          <w:sz w:val="26"/>
          <w:szCs w:val="26"/>
        </w:rPr>
        <w:t xml:space="preserve">to qualify for CAPs </w:t>
      </w:r>
      <w:r w:rsidR="00062137" w:rsidRPr="00EE5714">
        <w:rPr>
          <w:rFonts w:ascii="Times New Roman" w:hAnsi="Times New Roman" w:cs="Times New Roman"/>
          <w:sz w:val="26"/>
          <w:szCs w:val="26"/>
        </w:rPr>
        <w:t xml:space="preserve">had higher average PPA balances than CAPs that </w:t>
      </w:r>
      <w:r w:rsidR="00165882" w:rsidRPr="00EE5714">
        <w:rPr>
          <w:rFonts w:ascii="Times New Roman" w:hAnsi="Times New Roman" w:cs="Times New Roman"/>
          <w:sz w:val="26"/>
          <w:szCs w:val="26"/>
        </w:rPr>
        <w:t>did not have this restriction</w:t>
      </w:r>
      <w:r w:rsidR="00062137" w:rsidRPr="00EE5714">
        <w:rPr>
          <w:rFonts w:ascii="Times New Roman" w:hAnsi="Times New Roman" w:cs="Times New Roman"/>
          <w:sz w:val="26"/>
          <w:szCs w:val="26"/>
        </w:rPr>
        <w:t>.</w:t>
      </w:r>
    </w:p>
    <w:p w14:paraId="67C24AE6" w14:textId="77777777" w:rsidR="00062137" w:rsidRPr="00EE5714" w:rsidRDefault="00062137" w:rsidP="00062137">
      <w:pPr>
        <w:spacing w:after="0" w:line="240" w:lineRule="auto"/>
        <w:rPr>
          <w:rFonts w:ascii="Times New Roman" w:hAnsi="Times New Roman" w:cs="Times New Roman"/>
          <w:b/>
          <w:i/>
          <w:color w:val="2F5496" w:themeColor="accent1" w:themeShade="BF"/>
          <w:sz w:val="26"/>
          <w:szCs w:val="26"/>
        </w:rPr>
      </w:pPr>
    </w:p>
    <w:p w14:paraId="23C03A97" w14:textId="77777777" w:rsidR="00062137" w:rsidRPr="00EE5714" w:rsidRDefault="00062137" w:rsidP="00062137">
      <w:pPr>
        <w:keepNext/>
        <w:spacing w:after="0" w:line="240" w:lineRule="auto"/>
        <w:rPr>
          <w:rFonts w:ascii="Times New Roman" w:hAnsi="Times New Roman" w:cs="Times New Roman"/>
          <w:b/>
          <w:bCs/>
          <w:i/>
          <w:iCs/>
          <w:color w:val="2F5496" w:themeColor="accent1" w:themeShade="BF"/>
          <w:sz w:val="26"/>
          <w:szCs w:val="26"/>
        </w:rPr>
      </w:pPr>
      <w:r w:rsidRPr="00EE5714">
        <w:rPr>
          <w:rFonts w:ascii="Times New Roman" w:hAnsi="Times New Roman" w:cs="Times New Roman"/>
          <w:b/>
          <w:bCs/>
          <w:i/>
          <w:iCs/>
          <w:color w:val="2F5496" w:themeColor="accent1" w:themeShade="BF"/>
          <w:sz w:val="26"/>
          <w:szCs w:val="26"/>
        </w:rPr>
        <w:t xml:space="preserve">Percentage of CAP Bills Paid In-Full </w:t>
      </w:r>
    </w:p>
    <w:p w14:paraId="20946EF3" w14:textId="77777777" w:rsidR="00062137" w:rsidRPr="00EE5714" w:rsidRDefault="00062137" w:rsidP="00062137">
      <w:pPr>
        <w:keepNext/>
        <w:spacing w:after="0" w:line="240" w:lineRule="auto"/>
        <w:rPr>
          <w:rFonts w:ascii="Times New Roman" w:hAnsi="Times New Roman" w:cs="Times New Roman"/>
          <w:b/>
          <w:i/>
          <w:color w:val="2F5496" w:themeColor="accent1" w:themeShade="BF"/>
          <w:sz w:val="26"/>
          <w:szCs w:val="26"/>
        </w:rPr>
      </w:pPr>
    </w:p>
    <w:p w14:paraId="79712DAD" w14:textId="520DEEA5" w:rsidR="00062137" w:rsidRPr="00EE5714" w:rsidRDefault="00062137"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If a CAP provides affordable monthly bills, </w:t>
      </w:r>
      <w:r w:rsidR="00016091" w:rsidRPr="00EE5714">
        <w:rPr>
          <w:rFonts w:ascii="Times New Roman" w:hAnsi="Times New Roman" w:cs="Times New Roman"/>
          <w:sz w:val="26"/>
          <w:szCs w:val="26"/>
        </w:rPr>
        <w:t xml:space="preserve">the expectation </w:t>
      </w:r>
      <w:r w:rsidR="008C0B27" w:rsidRPr="00EE5714">
        <w:rPr>
          <w:rFonts w:ascii="Times New Roman" w:hAnsi="Times New Roman" w:cs="Times New Roman"/>
          <w:sz w:val="26"/>
          <w:szCs w:val="26"/>
        </w:rPr>
        <w:t>was</w:t>
      </w:r>
      <w:r w:rsidR="00016091" w:rsidRPr="00EE5714">
        <w:rPr>
          <w:rFonts w:ascii="Times New Roman" w:hAnsi="Times New Roman" w:cs="Times New Roman"/>
          <w:sz w:val="26"/>
          <w:szCs w:val="26"/>
        </w:rPr>
        <w:t xml:space="preserve"> that </w:t>
      </w:r>
      <w:r w:rsidRPr="00EE5714">
        <w:rPr>
          <w:rFonts w:ascii="Times New Roman" w:hAnsi="Times New Roman" w:cs="Times New Roman"/>
          <w:sz w:val="26"/>
          <w:szCs w:val="26"/>
        </w:rPr>
        <w:t xml:space="preserve">a large percentage of participating customers </w:t>
      </w:r>
      <w:r w:rsidR="00016091" w:rsidRPr="00EE5714">
        <w:rPr>
          <w:rFonts w:ascii="Times New Roman" w:hAnsi="Times New Roman" w:cs="Times New Roman"/>
          <w:sz w:val="26"/>
          <w:szCs w:val="26"/>
        </w:rPr>
        <w:t>w</w:t>
      </w:r>
      <w:r w:rsidRPr="00EE5714">
        <w:rPr>
          <w:rFonts w:ascii="Times New Roman" w:hAnsi="Times New Roman" w:cs="Times New Roman"/>
          <w:sz w:val="26"/>
          <w:szCs w:val="26"/>
        </w:rPr>
        <w:t xml:space="preserve">ould </w:t>
      </w:r>
      <w:r w:rsidR="00016091" w:rsidRPr="00EE5714">
        <w:rPr>
          <w:rFonts w:ascii="Times New Roman" w:hAnsi="Times New Roman" w:cs="Times New Roman"/>
          <w:sz w:val="26"/>
          <w:szCs w:val="26"/>
        </w:rPr>
        <w:t xml:space="preserve">be </w:t>
      </w:r>
      <w:r w:rsidRPr="00EE5714">
        <w:rPr>
          <w:rFonts w:ascii="Times New Roman" w:hAnsi="Times New Roman" w:cs="Times New Roman"/>
          <w:sz w:val="26"/>
          <w:szCs w:val="26"/>
        </w:rPr>
        <w:t>pay</w:t>
      </w:r>
      <w:r w:rsidR="00016091" w:rsidRPr="00EE5714">
        <w:rPr>
          <w:rFonts w:ascii="Times New Roman" w:hAnsi="Times New Roman" w:cs="Times New Roman"/>
          <w:sz w:val="26"/>
          <w:szCs w:val="26"/>
        </w:rPr>
        <w:t>ing</w:t>
      </w:r>
      <w:r w:rsidRPr="00EE5714">
        <w:rPr>
          <w:rFonts w:ascii="Times New Roman" w:hAnsi="Times New Roman" w:cs="Times New Roman"/>
          <w:sz w:val="26"/>
          <w:szCs w:val="26"/>
        </w:rPr>
        <w:t xml:space="preserve"> their </w:t>
      </w:r>
      <w:r w:rsidR="00E17358" w:rsidRPr="00EE5714">
        <w:rPr>
          <w:rFonts w:ascii="Times New Roman" w:hAnsi="Times New Roman" w:cs="Times New Roman"/>
          <w:sz w:val="26"/>
          <w:szCs w:val="26"/>
        </w:rPr>
        <w:t xml:space="preserve">CAP </w:t>
      </w:r>
      <w:r w:rsidRPr="00EE5714">
        <w:rPr>
          <w:rFonts w:ascii="Times New Roman" w:hAnsi="Times New Roman" w:cs="Times New Roman"/>
          <w:sz w:val="26"/>
          <w:szCs w:val="26"/>
        </w:rPr>
        <w:t>bills in-full</w:t>
      </w:r>
      <w:r w:rsidR="00016091" w:rsidRPr="00EE5714">
        <w:rPr>
          <w:rFonts w:ascii="Times New Roman" w:hAnsi="Times New Roman" w:cs="Times New Roman"/>
          <w:sz w:val="26"/>
          <w:szCs w:val="26"/>
        </w:rPr>
        <w:t xml:space="preserve"> </w:t>
      </w:r>
      <w:r w:rsidR="00956D2D" w:rsidRPr="00EE5714">
        <w:rPr>
          <w:rFonts w:ascii="Times New Roman" w:hAnsi="Times New Roman" w:cs="Times New Roman"/>
          <w:sz w:val="26"/>
          <w:szCs w:val="26"/>
        </w:rPr>
        <w:t xml:space="preserve">(i.e., </w:t>
      </w:r>
      <w:r w:rsidR="00AA63E3" w:rsidRPr="00EE5714">
        <w:rPr>
          <w:rFonts w:ascii="Times New Roman" w:hAnsi="Times New Roman" w:cs="Times New Roman"/>
          <w:sz w:val="26"/>
          <w:szCs w:val="26"/>
        </w:rPr>
        <w:t>100% of the bill) by the due date</w:t>
      </w:r>
      <w:r w:rsidRPr="00EE5714">
        <w:rPr>
          <w:rFonts w:ascii="Times New Roman" w:hAnsi="Times New Roman" w:cs="Times New Roman"/>
          <w:sz w:val="26"/>
          <w:szCs w:val="26"/>
        </w:rPr>
        <w:t xml:space="preserve">.  </w:t>
      </w:r>
      <w:r w:rsidR="008C0B27" w:rsidRPr="00EE5714">
        <w:rPr>
          <w:rFonts w:ascii="Times New Roman" w:hAnsi="Times New Roman" w:cs="Times New Roman"/>
          <w:sz w:val="26"/>
          <w:szCs w:val="26"/>
        </w:rPr>
        <w:t>S</w:t>
      </w:r>
      <w:r w:rsidRPr="00EE5714">
        <w:rPr>
          <w:rFonts w:ascii="Times New Roman" w:hAnsi="Times New Roman" w:cs="Times New Roman"/>
          <w:sz w:val="26"/>
          <w:szCs w:val="26"/>
        </w:rPr>
        <w:t xml:space="preserve">taff considered payment history another </w:t>
      </w:r>
      <w:r w:rsidR="008C0B27" w:rsidRPr="00EE5714">
        <w:rPr>
          <w:rFonts w:ascii="Times New Roman" w:hAnsi="Times New Roman" w:cs="Times New Roman"/>
          <w:sz w:val="26"/>
          <w:szCs w:val="26"/>
        </w:rPr>
        <w:t xml:space="preserve">possible </w:t>
      </w:r>
      <w:r w:rsidRPr="00EE5714">
        <w:rPr>
          <w:rFonts w:ascii="Times New Roman" w:hAnsi="Times New Roman" w:cs="Times New Roman"/>
          <w:sz w:val="26"/>
          <w:szCs w:val="26"/>
        </w:rPr>
        <w:t xml:space="preserve">indicator of affordability for utility CAPs.  </w:t>
      </w:r>
    </w:p>
    <w:p w14:paraId="05F2380B" w14:textId="77777777" w:rsidR="00062137" w:rsidRPr="00EE5714" w:rsidRDefault="00062137" w:rsidP="00062137">
      <w:pPr>
        <w:spacing w:after="0" w:line="240" w:lineRule="auto"/>
        <w:ind w:firstLine="720"/>
        <w:rPr>
          <w:rFonts w:ascii="Times New Roman" w:hAnsi="Times New Roman" w:cs="Times New Roman"/>
          <w:sz w:val="26"/>
          <w:szCs w:val="26"/>
        </w:rPr>
      </w:pPr>
    </w:p>
    <w:p w14:paraId="385CAA94" w14:textId="2601C7D0" w:rsidR="00062137" w:rsidRPr="00EE5714" w:rsidRDefault="00062137"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At the 0 to 50% FPIG level, a higher percentage of NGDC CAP bills were paid in comparison to the percentage of EDC CAP bills paid </w:t>
      </w:r>
      <w:r w:rsidR="00530760" w:rsidRPr="00EE5714">
        <w:rPr>
          <w:rFonts w:ascii="Times New Roman" w:hAnsi="Times New Roman" w:cs="Times New Roman"/>
          <w:sz w:val="26"/>
          <w:szCs w:val="26"/>
        </w:rPr>
        <w:t xml:space="preserve">in-full </w:t>
      </w:r>
      <w:r w:rsidRPr="00EE5714">
        <w:rPr>
          <w:rFonts w:ascii="Times New Roman" w:hAnsi="Times New Roman" w:cs="Times New Roman"/>
          <w:sz w:val="26"/>
          <w:szCs w:val="26"/>
        </w:rPr>
        <w:t>at the same FPIG level.  Given the low cost of natural gas compared to electricity, this observation may be indicative that the bills of NGDC CAP customers were more affordable in comparison to the bills of EDC CAP customers during this five-year study period</w:t>
      </w:r>
      <w:r w:rsidR="00E01CE7" w:rsidRPr="00EE5714">
        <w:rPr>
          <w:rFonts w:ascii="Times New Roman" w:hAnsi="Times New Roman" w:cs="Times New Roman"/>
          <w:sz w:val="26"/>
          <w:szCs w:val="26"/>
        </w:rPr>
        <w:t>.</w:t>
      </w:r>
    </w:p>
    <w:p w14:paraId="5608CC87" w14:textId="77777777" w:rsidR="00062137" w:rsidRPr="00EE5714" w:rsidRDefault="00062137" w:rsidP="00062137">
      <w:pPr>
        <w:spacing w:after="0" w:line="240" w:lineRule="auto"/>
        <w:ind w:firstLine="720"/>
        <w:rPr>
          <w:rFonts w:ascii="Times New Roman" w:hAnsi="Times New Roman" w:cs="Times New Roman"/>
          <w:sz w:val="26"/>
          <w:szCs w:val="26"/>
        </w:rPr>
      </w:pPr>
    </w:p>
    <w:p w14:paraId="2A9B2BF0" w14:textId="32BA56C5" w:rsidR="00062137" w:rsidRPr="00EE5714" w:rsidRDefault="00062137"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Payment behavior of CAP customers d</w:t>
      </w:r>
      <w:r w:rsidR="00F866CA" w:rsidRPr="00EE5714">
        <w:rPr>
          <w:rFonts w:ascii="Times New Roman" w:hAnsi="Times New Roman" w:cs="Times New Roman"/>
          <w:sz w:val="26"/>
          <w:szCs w:val="26"/>
        </w:rPr>
        <w:t>id</w:t>
      </w:r>
      <w:r w:rsidRPr="00EE5714">
        <w:rPr>
          <w:rFonts w:ascii="Times New Roman" w:hAnsi="Times New Roman" w:cs="Times New Roman"/>
          <w:sz w:val="26"/>
          <w:szCs w:val="26"/>
        </w:rPr>
        <w:t xml:space="preserve"> not appear to have been strongly or definitively correlated to household income.  EDCs reported </w:t>
      </w:r>
      <w:r w:rsidRPr="00EE5714">
        <w:rPr>
          <w:rFonts w:ascii="Times New Roman" w:eastAsiaTheme="minorEastAsia" w:hAnsi="Times New Roman" w:cs="Times New Roman"/>
          <w:i/>
          <w:iCs/>
          <w:sz w:val="26"/>
          <w:szCs w:val="26"/>
        </w:rPr>
        <w:t>fewer</w:t>
      </w:r>
      <w:r w:rsidRPr="00EE5714">
        <w:rPr>
          <w:rFonts w:ascii="Times New Roman" w:eastAsiaTheme="minorEastAsia" w:hAnsi="Times New Roman" w:cs="Times New Roman"/>
          <w:sz w:val="26"/>
          <w:szCs w:val="26"/>
        </w:rPr>
        <w:t xml:space="preserve"> CAP heating customers at the 101 to 150% FPIG level paid their bills in comparison to the percentage of bills paid by customers at the 51 to 100% FPIG level.  </w:t>
      </w:r>
      <w:r w:rsidRPr="00EE5714">
        <w:rPr>
          <w:rFonts w:ascii="Times New Roman" w:hAnsi="Times New Roman" w:cs="Times New Roman"/>
          <w:sz w:val="26"/>
          <w:szCs w:val="26"/>
        </w:rPr>
        <w:t>This pattern may indicate that other factors – beyond income – had an impact on whether CAP utility bills were regularly paid in full.</w:t>
      </w:r>
    </w:p>
    <w:p w14:paraId="1DF16850" w14:textId="77777777" w:rsidR="00062137" w:rsidRPr="00EE5714" w:rsidRDefault="00062137" w:rsidP="00062137">
      <w:pPr>
        <w:spacing w:after="0" w:line="240" w:lineRule="auto"/>
        <w:ind w:firstLine="720"/>
        <w:rPr>
          <w:rFonts w:ascii="Times New Roman" w:hAnsi="Times New Roman" w:cs="Times New Roman"/>
          <w:sz w:val="26"/>
          <w:szCs w:val="26"/>
        </w:rPr>
      </w:pPr>
    </w:p>
    <w:p w14:paraId="513B7B89" w14:textId="2F297654" w:rsidR="00062137" w:rsidRPr="00EE5714" w:rsidRDefault="00955945"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NGDC and EDC b</w:t>
      </w:r>
      <w:r w:rsidR="00062137" w:rsidRPr="00EE5714">
        <w:rPr>
          <w:rFonts w:ascii="Times New Roman" w:hAnsi="Times New Roman" w:cs="Times New Roman"/>
          <w:sz w:val="26"/>
          <w:szCs w:val="26"/>
        </w:rPr>
        <w:t>illing system changes and upgrades appear</w:t>
      </w:r>
      <w:r w:rsidR="009A4C74" w:rsidRPr="00EE5714">
        <w:rPr>
          <w:rFonts w:ascii="Times New Roman" w:hAnsi="Times New Roman" w:cs="Times New Roman"/>
          <w:sz w:val="26"/>
          <w:szCs w:val="26"/>
        </w:rPr>
        <w:t>ed</w:t>
      </w:r>
      <w:r w:rsidR="00062137" w:rsidRPr="00EE5714">
        <w:rPr>
          <w:rFonts w:ascii="Times New Roman" w:hAnsi="Times New Roman" w:cs="Times New Roman"/>
          <w:sz w:val="26"/>
          <w:szCs w:val="26"/>
        </w:rPr>
        <w:t xml:space="preserve"> to affect CAP monthly billing amounts and thus influence</w:t>
      </w:r>
      <w:r w:rsidR="00F13CB4" w:rsidRPr="00EE5714">
        <w:rPr>
          <w:rFonts w:ascii="Times New Roman" w:hAnsi="Times New Roman" w:cs="Times New Roman"/>
          <w:sz w:val="26"/>
          <w:szCs w:val="26"/>
        </w:rPr>
        <w:t>d</w:t>
      </w:r>
      <w:r w:rsidR="00062137" w:rsidRPr="00EE5714">
        <w:rPr>
          <w:rFonts w:ascii="Times New Roman" w:hAnsi="Times New Roman" w:cs="Times New Roman"/>
          <w:sz w:val="26"/>
          <w:szCs w:val="26"/>
        </w:rPr>
        <w:t xml:space="preserve"> whether utility bills </w:t>
      </w:r>
      <w:r w:rsidR="00023256" w:rsidRPr="00EE5714">
        <w:rPr>
          <w:rFonts w:ascii="Times New Roman" w:hAnsi="Times New Roman" w:cs="Times New Roman"/>
          <w:sz w:val="26"/>
          <w:szCs w:val="26"/>
        </w:rPr>
        <w:t>were</w:t>
      </w:r>
      <w:r w:rsidR="00062137" w:rsidRPr="00EE5714">
        <w:rPr>
          <w:rFonts w:ascii="Times New Roman" w:hAnsi="Times New Roman" w:cs="Times New Roman"/>
          <w:sz w:val="26"/>
          <w:szCs w:val="26"/>
        </w:rPr>
        <w:t xml:space="preserve"> paid in-full.</w:t>
      </w:r>
    </w:p>
    <w:p w14:paraId="71FF12A1" w14:textId="77777777" w:rsidR="00062137" w:rsidRPr="00EE5714" w:rsidRDefault="00062137" w:rsidP="00062137">
      <w:pPr>
        <w:spacing w:after="0" w:line="240" w:lineRule="auto"/>
        <w:ind w:firstLine="720"/>
        <w:rPr>
          <w:rFonts w:ascii="Times New Roman" w:hAnsi="Times New Roman" w:cs="Times New Roman"/>
          <w:b/>
          <w:i/>
          <w:color w:val="2F5496" w:themeColor="accent1" w:themeShade="BF"/>
          <w:sz w:val="26"/>
          <w:szCs w:val="26"/>
        </w:rPr>
      </w:pPr>
    </w:p>
    <w:p w14:paraId="617A9EDA" w14:textId="77777777" w:rsidR="00062137" w:rsidRPr="00EE5714" w:rsidRDefault="00062137" w:rsidP="00062137">
      <w:pPr>
        <w:keepNext/>
        <w:spacing w:after="0" w:line="240" w:lineRule="auto"/>
        <w:rPr>
          <w:rFonts w:ascii="Times New Roman" w:hAnsi="Times New Roman" w:cs="Times New Roman"/>
          <w:b/>
          <w:bCs/>
          <w:i/>
          <w:iCs/>
          <w:color w:val="2F5496" w:themeColor="accent1" w:themeShade="BF"/>
          <w:sz w:val="26"/>
          <w:szCs w:val="26"/>
        </w:rPr>
      </w:pPr>
      <w:r w:rsidRPr="00EE5714">
        <w:rPr>
          <w:rFonts w:ascii="Times New Roman" w:hAnsi="Times New Roman" w:cs="Times New Roman"/>
          <w:b/>
          <w:bCs/>
          <w:i/>
          <w:iCs/>
          <w:color w:val="2F5496" w:themeColor="accent1" w:themeShade="BF"/>
          <w:sz w:val="26"/>
          <w:szCs w:val="26"/>
        </w:rPr>
        <w:t>CAP Default Exit and Termination Rates</w:t>
      </w:r>
    </w:p>
    <w:p w14:paraId="382CEE7B" w14:textId="77777777" w:rsidR="00062137" w:rsidRPr="00EE5714" w:rsidRDefault="00062137" w:rsidP="00062137">
      <w:pPr>
        <w:keepNext/>
        <w:spacing w:after="0" w:line="240" w:lineRule="auto"/>
        <w:rPr>
          <w:rFonts w:ascii="Times New Roman" w:hAnsi="Times New Roman" w:cs="Times New Roman"/>
          <w:b/>
          <w:i/>
          <w:color w:val="2F5496" w:themeColor="accent1" w:themeShade="BF"/>
          <w:sz w:val="26"/>
          <w:szCs w:val="26"/>
        </w:rPr>
      </w:pPr>
    </w:p>
    <w:p w14:paraId="2EC5C3FE" w14:textId="0F4CA204" w:rsidR="00062137" w:rsidRPr="00EE5714" w:rsidRDefault="00062137" w:rsidP="0006213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Other indicators of affordability for CAP</w:t>
      </w:r>
      <w:r w:rsidR="00D94426" w:rsidRPr="00EE5714">
        <w:rPr>
          <w:rFonts w:ascii="Times New Roman" w:hAnsi="Times New Roman" w:cs="Times New Roman"/>
          <w:sz w:val="26"/>
          <w:szCs w:val="26"/>
        </w:rPr>
        <w:t xml:space="preserve"> customer</w:t>
      </w:r>
      <w:r w:rsidRPr="00EE5714">
        <w:rPr>
          <w:rFonts w:ascii="Times New Roman" w:hAnsi="Times New Roman" w:cs="Times New Roman"/>
          <w:sz w:val="26"/>
          <w:szCs w:val="26"/>
        </w:rPr>
        <w:t xml:space="preserve">s </w:t>
      </w:r>
      <w:r w:rsidR="00CC06A7" w:rsidRPr="00EE5714">
        <w:rPr>
          <w:rFonts w:ascii="Times New Roman" w:hAnsi="Times New Roman" w:cs="Times New Roman"/>
          <w:sz w:val="26"/>
          <w:szCs w:val="26"/>
        </w:rPr>
        <w:t xml:space="preserve">may </w:t>
      </w:r>
      <w:r w:rsidRPr="00EE5714">
        <w:rPr>
          <w:rFonts w:ascii="Times New Roman" w:hAnsi="Times New Roman" w:cs="Times New Roman"/>
          <w:sz w:val="26"/>
          <w:szCs w:val="26"/>
        </w:rPr>
        <w:t>include the rate of customers defaulting (</w:t>
      </w:r>
      <w:r w:rsidRPr="00EE5714">
        <w:rPr>
          <w:rFonts w:ascii="Times New Roman" w:hAnsi="Times New Roman" w:cs="Times New Roman"/>
          <w:i/>
          <w:iCs/>
          <w:sz w:val="26"/>
          <w:szCs w:val="26"/>
        </w:rPr>
        <w:t>i.e.</w:t>
      </w:r>
      <w:r w:rsidRPr="00EE5714">
        <w:rPr>
          <w:rFonts w:ascii="Times New Roman" w:hAnsi="Times New Roman" w:cs="Times New Roman"/>
          <w:sz w:val="26"/>
          <w:szCs w:val="26"/>
        </w:rPr>
        <w:t>, default exiting) on program requirements (</w:t>
      </w:r>
      <w:r w:rsidRPr="00EE5714">
        <w:rPr>
          <w:rFonts w:ascii="Times New Roman" w:hAnsi="Times New Roman" w:cs="Times New Roman"/>
          <w:i/>
          <w:iCs/>
          <w:sz w:val="26"/>
          <w:szCs w:val="26"/>
        </w:rPr>
        <w:t>e.g.</w:t>
      </w:r>
      <w:r w:rsidRPr="00EE5714">
        <w:rPr>
          <w:rFonts w:ascii="Times New Roman" w:hAnsi="Times New Roman" w:cs="Times New Roman"/>
          <w:sz w:val="26"/>
          <w:szCs w:val="26"/>
        </w:rPr>
        <w:t>, making full and timely payments) and termination rate for CAP customers.  Presumably, CAPs with affordable monthly payments should have low</w:t>
      </w:r>
      <w:r w:rsidR="008572B6" w:rsidRPr="00EE5714">
        <w:rPr>
          <w:rFonts w:ascii="Times New Roman" w:hAnsi="Times New Roman" w:cs="Times New Roman"/>
          <w:sz w:val="26"/>
          <w:szCs w:val="26"/>
        </w:rPr>
        <w:t>er</w:t>
      </w:r>
      <w:r w:rsidRPr="00EE5714">
        <w:rPr>
          <w:rFonts w:ascii="Times New Roman" w:hAnsi="Times New Roman" w:cs="Times New Roman"/>
          <w:sz w:val="26"/>
          <w:szCs w:val="26"/>
        </w:rPr>
        <w:t xml:space="preserve"> instances of customers defaulting on the programs and low</w:t>
      </w:r>
      <w:r w:rsidR="008572B6" w:rsidRPr="00EE5714">
        <w:rPr>
          <w:rFonts w:ascii="Times New Roman" w:hAnsi="Times New Roman" w:cs="Times New Roman"/>
          <w:sz w:val="26"/>
          <w:szCs w:val="26"/>
        </w:rPr>
        <w:t>er</w:t>
      </w:r>
      <w:r w:rsidRPr="00EE5714">
        <w:rPr>
          <w:rFonts w:ascii="Times New Roman" w:hAnsi="Times New Roman" w:cs="Times New Roman"/>
          <w:sz w:val="26"/>
          <w:szCs w:val="26"/>
        </w:rPr>
        <w:t xml:space="preserve"> termination rates. </w:t>
      </w:r>
    </w:p>
    <w:p w14:paraId="73FCC2E8" w14:textId="77777777" w:rsidR="00062137" w:rsidRPr="00EE5714" w:rsidRDefault="00062137" w:rsidP="00E01CE7">
      <w:pPr>
        <w:spacing w:after="0" w:line="240" w:lineRule="auto"/>
        <w:contextualSpacing/>
        <w:rPr>
          <w:rFonts w:ascii="Times New Roman" w:hAnsi="Times New Roman" w:cs="Times New Roman"/>
          <w:sz w:val="26"/>
          <w:szCs w:val="26"/>
        </w:rPr>
      </w:pPr>
    </w:p>
    <w:p w14:paraId="42CE441A" w14:textId="66F6B267" w:rsidR="00062137" w:rsidRPr="00EE5714" w:rsidRDefault="00062137" w:rsidP="0006213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Given the apparent inconsistencies between how utilities define</w:t>
      </w:r>
      <w:r w:rsidR="00CC06A7" w:rsidRPr="00EE5714">
        <w:rPr>
          <w:rFonts w:ascii="Times New Roman" w:hAnsi="Times New Roman" w:cs="Times New Roman"/>
          <w:sz w:val="26"/>
          <w:szCs w:val="26"/>
        </w:rPr>
        <w:t>d</w:t>
      </w:r>
      <w:r w:rsidRPr="00EE5714">
        <w:rPr>
          <w:rFonts w:ascii="Times New Roman" w:hAnsi="Times New Roman" w:cs="Times New Roman"/>
          <w:sz w:val="26"/>
          <w:szCs w:val="26"/>
        </w:rPr>
        <w:t xml:space="preserve"> and track</w:t>
      </w:r>
      <w:r w:rsidR="00CC06A7" w:rsidRPr="00EE5714">
        <w:rPr>
          <w:rFonts w:ascii="Times New Roman" w:hAnsi="Times New Roman" w:cs="Times New Roman"/>
          <w:sz w:val="26"/>
          <w:szCs w:val="26"/>
        </w:rPr>
        <w:t>ed</w:t>
      </w:r>
      <w:r w:rsidRPr="00EE5714">
        <w:rPr>
          <w:rFonts w:ascii="Times New Roman" w:hAnsi="Times New Roman" w:cs="Times New Roman"/>
          <w:sz w:val="26"/>
          <w:szCs w:val="26"/>
        </w:rPr>
        <w:t xml:space="preserve"> “default exits” and CAP terminations, staff was unable to compare these data points among utilities or to confidently establish a correlation.  However, differences in the CAP heating termination rates for Met-Ed and the other FirstEnergy companies suggested that other factors – besides CAP design – contributed to higher termination rates for CAP customers in Met-Ed’s service territory.</w:t>
      </w:r>
    </w:p>
    <w:p w14:paraId="7E17832A" w14:textId="77777777" w:rsidR="00062137" w:rsidRPr="00EE5714" w:rsidRDefault="00062137" w:rsidP="00062137">
      <w:pPr>
        <w:spacing w:after="0" w:line="240" w:lineRule="auto"/>
        <w:rPr>
          <w:rFonts w:ascii="Times New Roman" w:hAnsi="Times New Roman" w:cs="Times New Roman"/>
          <w:b/>
          <w:i/>
          <w:color w:val="2F5496" w:themeColor="accent1" w:themeShade="BF"/>
          <w:sz w:val="26"/>
          <w:szCs w:val="26"/>
        </w:rPr>
      </w:pPr>
      <w:r w:rsidRPr="00EE5714">
        <w:rPr>
          <w:rFonts w:ascii="Times New Roman" w:hAnsi="Times New Roman" w:cs="Times New Roman"/>
          <w:b/>
          <w:i/>
          <w:color w:val="2F5496" w:themeColor="accent1" w:themeShade="BF"/>
          <w:sz w:val="26"/>
          <w:szCs w:val="26"/>
        </w:rPr>
        <w:tab/>
      </w:r>
    </w:p>
    <w:p w14:paraId="670FEDC6" w14:textId="77777777" w:rsidR="00062137" w:rsidRPr="00EE5714" w:rsidRDefault="00062137" w:rsidP="00062137">
      <w:pPr>
        <w:keepNext/>
        <w:spacing w:after="0" w:line="240" w:lineRule="auto"/>
        <w:rPr>
          <w:rFonts w:ascii="Times New Roman" w:hAnsi="Times New Roman" w:cs="Times New Roman"/>
          <w:b/>
          <w:bCs/>
          <w:i/>
          <w:iCs/>
          <w:color w:val="2F5496" w:themeColor="accent1" w:themeShade="BF"/>
          <w:sz w:val="26"/>
          <w:szCs w:val="26"/>
        </w:rPr>
      </w:pPr>
      <w:r w:rsidRPr="00EE5714">
        <w:rPr>
          <w:rFonts w:ascii="Times New Roman" w:hAnsi="Times New Roman" w:cs="Times New Roman"/>
          <w:b/>
          <w:bCs/>
          <w:i/>
          <w:iCs/>
          <w:color w:val="2F5496" w:themeColor="accent1" w:themeShade="BF"/>
          <w:sz w:val="26"/>
          <w:szCs w:val="26"/>
        </w:rPr>
        <w:lastRenderedPageBreak/>
        <w:t xml:space="preserve">Non-CAP Residential and Confirmed Low-Income Customer Debt </w:t>
      </w:r>
    </w:p>
    <w:p w14:paraId="6921A729" w14:textId="77777777" w:rsidR="00062137" w:rsidRPr="00EE5714" w:rsidRDefault="00062137" w:rsidP="00062137">
      <w:pPr>
        <w:keepNext/>
        <w:spacing w:after="0" w:line="240" w:lineRule="auto"/>
        <w:rPr>
          <w:rFonts w:ascii="Times New Roman" w:hAnsi="Times New Roman" w:cs="Times New Roman"/>
          <w:b/>
          <w:i/>
          <w:color w:val="2F5496" w:themeColor="accent1" w:themeShade="BF"/>
          <w:sz w:val="26"/>
          <w:szCs w:val="26"/>
        </w:rPr>
      </w:pPr>
    </w:p>
    <w:p w14:paraId="4B16AEC1" w14:textId="64C791D4" w:rsidR="00062137" w:rsidRPr="00EE5714" w:rsidRDefault="00062137" w:rsidP="0006213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The final indicator of affordability reviewed was the amount of debt </w:t>
      </w:r>
      <w:r w:rsidR="0035776D" w:rsidRPr="00EE5714">
        <w:rPr>
          <w:rFonts w:ascii="Times New Roman" w:hAnsi="Times New Roman" w:cs="Times New Roman"/>
          <w:sz w:val="26"/>
          <w:szCs w:val="26"/>
        </w:rPr>
        <w:t xml:space="preserve">owed by customers </w:t>
      </w:r>
      <w:r w:rsidRPr="00EE5714">
        <w:rPr>
          <w:rFonts w:ascii="Times New Roman" w:hAnsi="Times New Roman" w:cs="Times New Roman"/>
          <w:sz w:val="26"/>
          <w:szCs w:val="26"/>
        </w:rPr>
        <w:t xml:space="preserve">on </w:t>
      </w:r>
      <w:r w:rsidR="0035776D" w:rsidRPr="00EE5714">
        <w:rPr>
          <w:rFonts w:ascii="Times New Roman" w:hAnsi="Times New Roman" w:cs="Times New Roman"/>
          <w:sz w:val="26"/>
          <w:szCs w:val="26"/>
        </w:rPr>
        <w:t>utility- or Commission-issued payment agreements</w:t>
      </w:r>
      <w:r w:rsidRPr="00EE5714">
        <w:rPr>
          <w:rFonts w:ascii="Times New Roman" w:hAnsi="Times New Roman" w:cs="Times New Roman"/>
          <w:sz w:val="26"/>
          <w:szCs w:val="26"/>
        </w:rPr>
        <w:t xml:space="preserve"> and </w:t>
      </w:r>
      <w:r w:rsidR="0035776D" w:rsidRPr="00EE5714">
        <w:rPr>
          <w:rFonts w:ascii="Times New Roman" w:hAnsi="Times New Roman" w:cs="Times New Roman"/>
          <w:sz w:val="26"/>
          <w:szCs w:val="26"/>
        </w:rPr>
        <w:t>those</w:t>
      </w:r>
      <w:r w:rsidR="001A2EDE"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not on </w:t>
      </w:r>
      <w:r w:rsidR="0035776D" w:rsidRPr="00EE5714">
        <w:rPr>
          <w:rFonts w:ascii="Times New Roman" w:hAnsi="Times New Roman" w:cs="Times New Roman"/>
          <w:sz w:val="26"/>
          <w:szCs w:val="26"/>
        </w:rPr>
        <w:t>agreements.</w:t>
      </w:r>
      <w:r w:rsidRPr="00EE5714">
        <w:rPr>
          <w:rFonts w:ascii="Times New Roman" w:hAnsi="Times New Roman" w:cs="Times New Roman"/>
          <w:sz w:val="26"/>
          <w:szCs w:val="26"/>
        </w:rPr>
        <w:t xml:space="preserve">  When customers have difficulty paying their bills on time and accrue debt, accounts may be terminated and the debt written-off to be recovered through base rates.  Debt that is on agreement is considered active and less at risk for write-off.  Debt that is not on agreement is considered a higher risk for write-off.</w:t>
      </w:r>
    </w:p>
    <w:p w14:paraId="403AFA4E" w14:textId="77777777" w:rsidR="00062137" w:rsidRPr="00EE5714" w:rsidRDefault="00062137" w:rsidP="00062137">
      <w:pPr>
        <w:spacing w:after="0" w:line="240" w:lineRule="auto"/>
        <w:ind w:firstLine="720"/>
        <w:contextualSpacing/>
        <w:rPr>
          <w:rFonts w:ascii="Times New Roman" w:hAnsi="Times New Roman" w:cs="Times New Roman"/>
          <w:sz w:val="26"/>
          <w:szCs w:val="26"/>
        </w:rPr>
      </w:pPr>
    </w:p>
    <w:p w14:paraId="31A15429" w14:textId="6D29FE61" w:rsidR="00062137" w:rsidRPr="00EE5714" w:rsidRDefault="00062137" w:rsidP="0006213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The number of NGDC and EDC confirmed low-income customers in debt </w:t>
      </w:r>
      <w:r w:rsidR="0024119E" w:rsidRPr="00EE5714">
        <w:rPr>
          <w:rFonts w:ascii="Times New Roman" w:hAnsi="Times New Roman" w:cs="Times New Roman"/>
          <w:sz w:val="26"/>
          <w:szCs w:val="26"/>
        </w:rPr>
        <w:t xml:space="preserve">to their utility </w:t>
      </w:r>
      <w:r w:rsidRPr="00EE5714">
        <w:rPr>
          <w:rFonts w:ascii="Times New Roman" w:hAnsi="Times New Roman" w:cs="Times New Roman"/>
          <w:sz w:val="26"/>
          <w:szCs w:val="26"/>
        </w:rPr>
        <w:t xml:space="preserve">who were not on payment agreements had declined from 2012 to 2016. </w:t>
      </w:r>
      <w:r w:rsidR="005B0547"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This may indicate that utilities were having greater success in either enrolling/maintaining low-income customers into CAPs or </w:t>
      </w:r>
      <w:r w:rsidR="00932960" w:rsidRPr="00EE5714">
        <w:rPr>
          <w:rFonts w:ascii="Times New Roman" w:hAnsi="Times New Roman" w:cs="Times New Roman"/>
          <w:sz w:val="26"/>
          <w:szCs w:val="26"/>
        </w:rPr>
        <w:t xml:space="preserve">in </w:t>
      </w:r>
      <w:r w:rsidRPr="00EE5714">
        <w:rPr>
          <w:rFonts w:ascii="Times New Roman" w:hAnsi="Times New Roman" w:cs="Times New Roman"/>
          <w:sz w:val="26"/>
          <w:szCs w:val="26"/>
        </w:rPr>
        <w:t>establishing payment agreements.</w:t>
      </w:r>
      <w:r w:rsidR="00485E66" w:rsidRPr="00EE5714">
        <w:rPr>
          <w:rStyle w:val="FootnoteReference"/>
          <w:rFonts w:ascii="Times New Roman" w:hAnsi="Times New Roman" w:cs="Times New Roman"/>
          <w:sz w:val="26"/>
          <w:szCs w:val="26"/>
        </w:rPr>
        <w:footnoteReference w:id="8"/>
      </w:r>
      <w:r w:rsidR="00814CE9" w:rsidRPr="00EE5714">
        <w:rPr>
          <w:rFonts w:ascii="Times New Roman" w:hAnsi="Times New Roman" w:cs="Times New Roman"/>
          <w:sz w:val="26"/>
          <w:szCs w:val="26"/>
        </w:rPr>
        <w:t xml:space="preserve">  </w:t>
      </w:r>
    </w:p>
    <w:p w14:paraId="152669DC" w14:textId="77777777" w:rsidR="00062137" w:rsidRPr="00EE5714" w:rsidRDefault="00062137" w:rsidP="00062137">
      <w:pPr>
        <w:spacing w:after="0" w:line="240" w:lineRule="auto"/>
        <w:rPr>
          <w:rFonts w:ascii="Times New Roman" w:hAnsi="Times New Roman" w:cs="Times New Roman"/>
          <w:b/>
          <w:i/>
          <w:color w:val="2F5496" w:themeColor="accent1" w:themeShade="BF"/>
          <w:sz w:val="26"/>
          <w:szCs w:val="26"/>
        </w:rPr>
      </w:pPr>
    </w:p>
    <w:p w14:paraId="7DB7E2E7" w14:textId="77777777" w:rsidR="00062137" w:rsidRPr="00EE5714" w:rsidRDefault="00062137" w:rsidP="00062137">
      <w:pPr>
        <w:keepNext/>
        <w:spacing w:after="0" w:line="240" w:lineRule="auto"/>
        <w:rPr>
          <w:rFonts w:ascii="Times New Roman" w:hAnsi="Times New Roman" w:cs="Times New Roman"/>
          <w:b/>
          <w:bCs/>
          <w:i/>
          <w:iCs/>
          <w:color w:val="2F5496" w:themeColor="accent1" w:themeShade="BF"/>
          <w:sz w:val="26"/>
          <w:szCs w:val="26"/>
        </w:rPr>
      </w:pPr>
      <w:r w:rsidRPr="00EE5714">
        <w:rPr>
          <w:rFonts w:ascii="Times New Roman" w:hAnsi="Times New Roman" w:cs="Times New Roman"/>
          <w:b/>
          <w:bCs/>
          <w:i/>
          <w:iCs/>
          <w:color w:val="2F5496" w:themeColor="accent1" w:themeShade="BF"/>
          <w:sz w:val="26"/>
          <w:szCs w:val="26"/>
        </w:rPr>
        <w:t>Review of Other State Programs and Relevant Studies</w:t>
      </w:r>
    </w:p>
    <w:p w14:paraId="1288AAC9" w14:textId="77777777" w:rsidR="00062137" w:rsidRPr="00EE5714" w:rsidRDefault="00062137" w:rsidP="00062137">
      <w:pPr>
        <w:keepNext/>
        <w:spacing w:after="0" w:line="240" w:lineRule="auto"/>
        <w:ind w:firstLine="720"/>
        <w:rPr>
          <w:rFonts w:ascii="Times New Roman" w:hAnsi="Times New Roman" w:cs="Times New Roman"/>
          <w:sz w:val="26"/>
          <w:szCs w:val="26"/>
        </w:rPr>
      </w:pPr>
    </w:p>
    <w:p w14:paraId="200CA608" w14:textId="30C01F07" w:rsidR="00062137" w:rsidRPr="00EE5714" w:rsidRDefault="00062137"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Pennsylvania’s maximum energy burdens </w:t>
      </w:r>
      <w:r w:rsidR="002D2BA0" w:rsidRPr="00EE5714">
        <w:rPr>
          <w:rFonts w:ascii="Times New Roman" w:hAnsi="Times New Roman" w:cs="Times New Roman"/>
          <w:sz w:val="26"/>
          <w:szCs w:val="26"/>
        </w:rPr>
        <w:t xml:space="preserve">as articulated </w:t>
      </w:r>
      <w:r w:rsidRPr="00EE5714">
        <w:rPr>
          <w:rFonts w:ascii="Times New Roman" w:hAnsi="Times New Roman" w:cs="Times New Roman"/>
          <w:sz w:val="26"/>
          <w:szCs w:val="26"/>
        </w:rPr>
        <w:t xml:space="preserve">in the CAP Policy Statement are higher than maximum energy burdens used by neighboring states.  </w:t>
      </w:r>
      <w:r w:rsidRPr="00EE5714">
        <w:rPr>
          <w:rFonts w:ascii="Times New Roman" w:eastAsia="Calibri" w:hAnsi="Times New Roman" w:cs="Times New Roman"/>
          <w:sz w:val="26"/>
          <w:szCs w:val="26"/>
        </w:rPr>
        <w:t xml:space="preserve">Ohio’s utility payment assistance program has a maximum energy burden of 10%.  </w:t>
      </w:r>
      <w:r w:rsidR="005C4FE4" w:rsidRPr="00EE5714">
        <w:rPr>
          <w:rFonts w:ascii="Times New Roman" w:eastAsia="Calibri" w:hAnsi="Times New Roman" w:cs="Times New Roman"/>
          <w:sz w:val="26"/>
          <w:szCs w:val="26"/>
        </w:rPr>
        <w:t xml:space="preserve">The </w:t>
      </w:r>
      <w:r w:rsidRPr="00EE5714">
        <w:rPr>
          <w:rFonts w:ascii="Times New Roman" w:eastAsia="Calibri" w:hAnsi="Times New Roman" w:cs="Times New Roman"/>
          <w:sz w:val="26"/>
          <w:szCs w:val="26"/>
        </w:rPr>
        <w:t>New York and New Jersey utility payment assistance programs both have a maximum energy burden level of 6%.</w:t>
      </w:r>
    </w:p>
    <w:p w14:paraId="204A3F8C" w14:textId="77777777" w:rsidR="00062137" w:rsidRPr="00EE5714" w:rsidRDefault="00062137" w:rsidP="00062137">
      <w:pPr>
        <w:spacing w:after="0" w:line="240" w:lineRule="auto"/>
        <w:rPr>
          <w:rFonts w:ascii="Times New Roman" w:hAnsi="Times New Roman" w:cs="Times New Roman"/>
          <w:sz w:val="26"/>
          <w:szCs w:val="26"/>
        </w:rPr>
      </w:pPr>
    </w:p>
    <w:p w14:paraId="5B74B201" w14:textId="77777777" w:rsidR="00062137" w:rsidRPr="00EE5714" w:rsidRDefault="00062137" w:rsidP="00062137">
      <w:pPr>
        <w:spacing w:after="0" w:line="240" w:lineRule="auto"/>
        <w:ind w:firstLine="360"/>
        <w:rPr>
          <w:rFonts w:ascii="Times New Roman" w:hAnsi="Times New Roman" w:cs="Times New Roman"/>
          <w:sz w:val="26"/>
          <w:szCs w:val="26"/>
        </w:rPr>
      </w:pPr>
      <w:r w:rsidRPr="00EE5714">
        <w:rPr>
          <w:rFonts w:ascii="Times New Roman" w:hAnsi="Times New Roman" w:cs="Times New Roman"/>
          <w:sz w:val="26"/>
          <w:szCs w:val="26"/>
        </w:rPr>
        <w:t>Staff reviewed multiple</w:t>
      </w:r>
      <w:r w:rsidRPr="00EE5714" w:rsidDel="001F5089">
        <w:rPr>
          <w:rFonts w:ascii="Times New Roman" w:hAnsi="Times New Roman" w:cs="Times New Roman"/>
          <w:sz w:val="26"/>
          <w:szCs w:val="26"/>
        </w:rPr>
        <w:t xml:space="preserve"> </w:t>
      </w:r>
      <w:r w:rsidRPr="00EE5714">
        <w:rPr>
          <w:rFonts w:ascii="Times New Roman" w:hAnsi="Times New Roman" w:cs="Times New Roman"/>
          <w:sz w:val="26"/>
          <w:szCs w:val="26"/>
        </w:rPr>
        <w:t xml:space="preserve">independent studies that dealt with topics </w:t>
      </w:r>
      <w:proofErr w:type="gramStart"/>
      <w:r w:rsidR="006B3BC4" w:rsidRPr="00EE5714">
        <w:rPr>
          <w:rFonts w:ascii="Times New Roman" w:hAnsi="Times New Roman" w:cs="Times New Roman"/>
          <w:sz w:val="26"/>
          <w:szCs w:val="26"/>
        </w:rPr>
        <w:t>similar to</w:t>
      </w:r>
      <w:proofErr w:type="gramEnd"/>
      <w:r w:rsidR="006B3BC4" w:rsidRPr="00EE5714">
        <w:rPr>
          <w:rFonts w:ascii="Times New Roman" w:hAnsi="Times New Roman" w:cs="Times New Roman"/>
          <w:sz w:val="26"/>
          <w:szCs w:val="26"/>
        </w:rPr>
        <w:t xml:space="preserve"> those addressed in </w:t>
      </w:r>
      <w:r w:rsidRPr="00EE5714">
        <w:rPr>
          <w:rFonts w:ascii="Times New Roman" w:hAnsi="Times New Roman" w:cs="Times New Roman"/>
          <w:sz w:val="26"/>
          <w:szCs w:val="26"/>
        </w:rPr>
        <w:t xml:space="preserve">this study.  Insights from these studies include: </w:t>
      </w:r>
    </w:p>
    <w:p w14:paraId="26DDA988" w14:textId="77777777" w:rsidR="00062137" w:rsidRPr="00EE5714" w:rsidRDefault="00062137" w:rsidP="00062137">
      <w:pPr>
        <w:spacing w:after="0" w:line="240" w:lineRule="auto"/>
        <w:ind w:firstLine="360"/>
        <w:rPr>
          <w:rFonts w:ascii="Times New Roman" w:hAnsi="Times New Roman" w:cs="Times New Roman"/>
          <w:sz w:val="26"/>
          <w:szCs w:val="26"/>
        </w:rPr>
      </w:pPr>
    </w:p>
    <w:p w14:paraId="20BD7FBB" w14:textId="30CF99EE" w:rsidR="00A52353" w:rsidRPr="00EE5714" w:rsidRDefault="00A52353" w:rsidP="00062137">
      <w:pPr>
        <w:pStyle w:val="ListParagraph"/>
        <w:numPr>
          <w:ilvl w:val="0"/>
          <w:numId w:val="13"/>
        </w:numPr>
        <w:spacing w:after="0" w:line="240" w:lineRule="auto"/>
        <w:rPr>
          <w:rFonts w:ascii="Times New Roman" w:hAnsi="Times New Roman" w:cs="Times New Roman"/>
          <w:sz w:val="26"/>
          <w:szCs w:val="26"/>
        </w:rPr>
      </w:pPr>
      <w:r w:rsidRPr="00EE5714">
        <w:rPr>
          <w:rFonts w:ascii="Times New Roman" w:eastAsia="Calibri" w:hAnsi="Times New Roman" w:cs="Times New Roman"/>
          <w:sz w:val="26"/>
          <w:szCs w:val="26"/>
        </w:rPr>
        <w:t xml:space="preserve">If the cost of all sources of household energy are counted – not just </w:t>
      </w:r>
      <w:r w:rsidR="00595E86" w:rsidRPr="00EE5714">
        <w:rPr>
          <w:rFonts w:ascii="Times New Roman" w:eastAsia="Calibri" w:hAnsi="Times New Roman" w:cs="Times New Roman"/>
          <w:sz w:val="26"/>
          <w:szCs w:val="26"/>
        </w:rPr>
        <w:t>natural ga</w:t>
      </w:r>
      <w:r w:rsidR="00F84EEB" w:rsidRPr="00EE5714">
        <w:rPr>
          <w:rFonts w:ascii="Times New Roman" w:eastAsia="Calibri" w:hAnsi="Times New Roman" w:cs="Times New Roman"/>
          <w:sz w:val="26"/>
          <w:szCs w:val="26"/>
        </w:rPr>
        <w:t>s and electric</w:t>
      </w:r>
      <w:r w:rsidR="00E17DA6" w:rsidRPr="00EE5714">
        <w:rPr>
          <w:rFonts w:ascii="Times New Roman" w:eastAsia="Calibri" w:hAnsi="Times New Roman" w:cs="Times New Roman"/>
          <w:sz w:val="26"/>
          <w:szCs w:val="26"/>
        </w:rPr>
        <w:t xml:space="preserve"> – </w:t>
      </w:r>
      <w:r w:rsidRPr="00EE5714">
        <w:rPr>
          <w:rFonts w:ascii="Times New Roman" w:eastAsia="Calibri" w:hAnsi="Times New Roman" w:cs="Times New Roman"/>
          <w:sz w:val="26"/>
          <w:szCs w:val="26"/>
        </w:rPr>
        <w:t xml:space="preserve">Pennsylvania households with incomes at or below 150% of the FPIG experience some of the highest energy burdens in the country.  Pennsylvania residents with incomes at or below 50% of the FPIG had energy burden levels at 30% or higher for four of the five years of this study.  </w:t>
      </w:r>
      <w:r w:rsidR="00A00E91" w:rsidRPr="00EE5714">
        <w:rPr>
          <w:rFonts w:ascii="Times New Roman" w:eastAsia="Calibri" w:hAnsi="Times New Roman" w:cs="Times New Roman"/>
          <w:sz w:val="26"/>
          <w:szCs w:val="26"/>
        </w:rPr>
        <w:t>This suggests that households that use non-electric heating (</w:t>
      </w:r>
      <w:r w:rsidR="007A7E8F" w:rsidRPr="00EE5714">
        <w:rPr>
          <w:rFonts w:ascii="Times New Roman" w:eastAsia="Calibri" w:hAnsi="Times New Roman" w:cs="Times New Roman"/>
          <w:i/>
          <w:sz w:val="26"/>
          <w:szCs w:val="26"/>
        </w:rPr>
        <w:t>e.g.</w:t>
      </w:r>
      <w:r w:rsidR="007A7E8F" w:rsidRPr="00EE5714">
        <w:rPr>
          <w:rFonts w:ascii="Times New Roman" w:eastAsia="Calibri" w:hAnsi="Times New Roman" w:cs="Times New Roman"/>
          <w:sz w:val="26"/>
          <w:szCs w:val="26"/>
        </w:rPr>
        <w:t xml:space="preserve">, </w:t>
      </w:r>
      <w:r w:rsidR="00A00E91" w:rsidRPr="00EE5714">
        <w:rPr>
          <w:rFonts w:ascii="Times New Roman" w:eastAsia="Calibri" w:hAnsi="Times New Roman" w:cs="Times New Roman"/>
          <w:sz w:val="26"/>
          <w:szCs w:val="26"/>
        </w:rPr>
        <w:t>propane, oil) may have higher energy burden levels than those reflected in this study.</w:t>
      </w:r>
    </w:p>
    <w:p w14:paraId="20D9DAB0" w14:textId="02B5BF23" w:rsidR="00A52353" w:rsidRPr="00EE5714" w:rsidRDefault="00A52353" w:rsidP="00062137">
      <w:pPr>
        <w:pStyle w:val="ListParagraph"/>
        <w:numPr>
          <w:ilvl w:val="0"/>
          <w:numId w:val="13"/>
        </w:num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Although nearly eight-in-ten Pennsylvanians live in urban areas,</w:t>
      </w:r>
      <w:r w:rsidR="00CD4B91" w:rsidRPr="00EE5714">
        <w:rPr>
          <w:rStyle w:val="FootnoteReference"/>
          <w:rFonts w:ascii="Times New Roman" w:hAnsi="Times New Roman" w:cs="Times New Roman"/>
          <w:sz w:val="26"/>
          <w:szCs w:val="26"/>
        </w:rPr>
        <w:footnoteReference w:id="9"/>
      </w:r>
      <w:r w:rsidRPr="00EE5714">
        <w:rPr>
          <w:rFonts w:ascii="Times New Roman" w:hAnsi="Times New Roman" w:cs="Times New Roman"/>
          <w:sz w:val="26"/>
          <w:szCs w:val="26"/>
        </w:rPr>
        <w:t xml:space="preserve"> households in rural areas may experience the highest energy burden levels due to poor housing stock.  Focusing energy-efficient education and weatherization services can help to reduce the energy burden disparity in these areas and help make CAPs more effective.</w:t>
      </w:r>
    </w:p>
    <w:p w14:paraId="60A75CCA" w14:textId="77777777" w:rsidR="00062137" w:rsidRPr="00EE5714" w:rsidRDefault="00062137" w:rsidP="00062137">
      <w:pPr>
        <w:pStyle w:val="ListParagraph"/>
        <w:numPr>
          <w:ilvl w:val="0"/>
          <w:numId w:val="13"/>
        </w:num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Payment behavior may not reflect affordability.  Customers may neglect other household expenses to pay their utility bill each month;</w:t>
      </w:r>
    </w:p>
    <w:p w14:paraId="0F9F9CD5" w14:textId="77777777" w:rsidR="00062137" w:rsidRPr="00EE5714" w:rsidRDefault="00062137" w:rsidP="00062137">
      <w:pPr>
        <w:pStyle w:val="ListParagraph"/>
        <w:numPr>
          <w:ilvl w:val="0"/>
          <w:numId w:val="13"/>
        </w:num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Not every household in poverty is payment-troubled;</w:t>
      </w:r>
    </w:p>
    <w:p w14:paraId="79505CFC" w14:textId="77777777" w:rsidR="00062137" w:rsidRPr="00EE5714" w:rsidRDefault="00062137" w:rsidP="00062137">
      <w:pPr>
        <w:pStyle w:val="ListParagraph"/>
        <w:numPr>
          <w:ilvl w:val="0"/>
          <w:numId w:val="13"/>
        </w:num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Factors other than income play a role in determining the effectiveness of an assistance program; and</w:t>
      </w:r>
    </w:p>
    <w:p w14:paraId="1B0C25F0" w14:textId="77777777" w:rsidR="00062137" w:rsidRPr="00EE5714" w:rsidRDefault="00062137" w:rsidP="00062137">
      <w:pPr>
        <w:pStyle w:val="ListParagraph"/>
        <w:numPr>
          <w:ilvl w:val="0"/>
          <w:numId w:val="13"/>
        </w:num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Customers that enter a payment assistance program with low</w:t>
      </w:r>
      <w:r w:rsidR="00107810" w:rsidRPr="00EE5714">
        <w:rPr>
          <w:rFonts w:ascii="Times New Roman" w:hAnsi="Times New Roman" w:cs="Times New Roman"/>
          <w:sz w:val="26"/>
          <w:szCs w:val="26"/>
        </w:rPr>
        <w:t>er</w:t>
      </w:r>
      <w:r w:rsidRPr="00EE5714">
        <w:rPr>
          <w:rFonts w:ascii="Times New Roman" w:hAnsi="Times New Roman" w:cs="Times New Roman"/>
          <w:sz w:val="26"/>
          <w:szCs w:val="26"/>
        </w:rPr>
        <w:t xml:space="preserve"> </w:t>
      </w:r>
      <w:r w:rsidR="008156B5" w:rsidRPr="00EE5714">
        <w:rPr>
          <w:rFonts w:ascii="Times New Roman" w:hAnsi="Times New Roman" w:cs="Times New Roman"/>
          <w:sz w:val="26"/>
          <w:szCs w:val="26"/>
        </w:rPr>
        <w:t xml:space="preserve">PPAs </w:t>
      </w:r>
      <w:r w:rsidRPr="00EE5714">
        <w:rPr>
          <w:rFonts w:ascii="Times New Roman" w:hAnsi="Times New Roman" w:cs="Times New Roman"/>
          <w:sz w:val="26"/>
          <w:szCs w:val="26"/>
        </w:rPr>
        <w:t>are more likely to improve their payment behavior</w:t>
      </w:r>
      <w:r w:rsidR="00107810" w:rsidRPr="00EE5714">
        <w:rPr>
          <w:rFonts w:ascii="Times New Roman" w:hAnsi="Times New Roman" w:cs="Times New Roman"/>
          <w:sz w:val="26"/>
          <w:szCs w:val="26"/>
        </w:rPr>
        <w:t xml:space="preserve"> than </w:t>
      </w:r>
      <w:r w:rsidR="008156B5" w:rsidRPr="00EE5714">
        <w:rPr>
          <w:rFonts w:ascii="Times New Roman" w:hAnsi="Times New Roman" w:cs="Times New Roman"/>
          <w:sz w:val="26"/>
          <w:szCs w:val="26"/>
        </w:rPr>
        <w:t>customers with higher PPAs</w:t>
      </w:r>
      <w:r w:rsidRPr="00EE5714">
        <w:rPr>
          <w:rFonts w:ascii="Times New Roman" w:hAnsi="Times New Roman" w:cs="Times New Roman"/>
          <w:sz w:val="26"/>
          <w:szCs w:val="26"/>
        </w:rPr>
        <w:t xml:space="preserve">. </w:t>
      </w:r>
    </w:p>
    <w:p w14:paraId="3C181B5D" w14:textId="77777777" w:rsidR="00062137" w:rsidRPr="00EE5714" w:rsidRDefault="00062137" w:rsidP="00062137">
      <w:pPr>
        <w:pStyle w:val="ListParagraph"/>
        <w:spacing w:after="0" w:line="240" w:lineRule="auto"/>
        <w:rPr>
          <w:rFonts w:ascii="Times New Roman" w:hAnsi="Times New Roman" w:cs="Times New Roman"/>
          <w:sz w:val="26"/>
          <w:szCs w:val="26"/>
        </w:rPr>
      </w:pPr>
    </w:p>
    <w:p w14:paraId="03DE9AF3" w14:textId="77777777" w:rsidR="00062137" w:rsidRPr="00EE5714" w:rsidRDefault="00062137" w:rsidP="00062137">
      <w:pPr>
        <w:keepNext/>
        <w:spacing w:after="0" w:line="240" w:lineRule="auto"/>
        <w:rPr>
          <w:rFonts w:ascii="Times New Roman" w:hAnsi="Times New Roman" w:cs="Times New Roman"/>
          <w:b/>
          <w:bCs/>
          <w:i/>
          <w:iCs/>
          <w:color w:val="2F5496" w:themeColor="accent1" w:themeShade="BF"/>
          <w:sz w:val="26"/>
          <w:szCs w:val="26"/>
        </w:rPr>
      </w:pPr>
      <w:r w:rsidRPr="00EE5714">
        <w:rPr>
          <w:rFonts w:ascii="Times New Roman" w:hAnsi="Times New Roman" w:cs="Times New Roman"/>
          <w:b/>
          <w:bCs/>
          <w:i/>
          <w:iCs/>
          <w:color w:val="2F5496" w:themeColor="accent1" w:themeShade="BF"/>
          <w:sz w:val="26"/>
          <w:szCs w:val="26"/>
        </w:rPr>
        <w:t xml:space="preserve">CAP Costs and Forecasts </w:t>
      </w:r>
    </w:p>
    <w:p w14:paraId="0DEB1FCB" w14:textId="77777777" w:rsidR="00062137" w:rsidRPr="00EE5714" w:rsidRDefault="00062137" w:rsidP="00062137">
      <w:pPr>
        <w:keepNext/>
        <w:spacing w:after="0" w:line="240" w:lineRule="auto"/>
        <w:rPr>
          <w:rFonts w:ascii="Times New Roman" w:hAnsi="Times New Roman" w:cs="Times New Roman"/>
          <w:i/>
          <w:color w:val="2F5496" w:themeColor="accent1" w:themeShade="BF"/>
          <w:sz w:val="26"/>
          <w:szCs w:val="26"/>
        </w:rPr>
      </w:pPr>
    </w:p>
    <w:p w14:paraId="02E0ED04" w14:textId="109D9CA9" w:rsidR="00F866CA" w:rsidRPr="00EE5714" w:rsidRDefault="0057363E" w:rsidP="00F866CA">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r>
      <w:r w:rsidR="003F61A5" w:rsidRPr="00EE5714">
        <w:rPr>
          <w:rFonts w:ascii="Times New Roman" w:hAnsi="Times New Roman" w:cs="Times New Roman"/>
          <w:sz w:val="26"/>
          <w:szCs w:val="26"/>
        </w:rPr>
        <w:t xml:space="preserve">Based on </w:t>
      </w:r>
      <w:r w:rsidR="00567381" w:rsidRPr="00EE5714">
        <w:rPr>
          <w:rFonts w:ascii="Times New Roman" w:hAnsi="Times New Roman" w:cs="Times New Roman"/>
          <w:sz w:val="26"/>
          <w:szCs w:val="26"/>
        </w:rPr>
        <w:t xml:space="preserve">information submitted by NGDCs and EDCs in support of USECPs </w:t>
      </w:r>
      <w:r w:rsidR="00030136" w:rsidRPr="00EE5714">
        <w:rPr>
          <w:rFonts w:ascii="Times New Roman" w:hAnsi="Times New Roman" w:cs="Times New Roman"/>
          <w:sz w:val="26"/>
          <w:szCs w:val="26"/>
        </w:rPr>
        <w:t xml:space="preserve">covering the period after 2016, </w:t>
      </w:r>
      <w:r w:rsidR="00DE2109" w:rsidRPr="00EE5714">
        <w:rPr>
          <w:rFonts w:ascii="Times New Roman" w:hAnsi="Times New Roman" w:cs="Times New Roman"/>
          <w:sz w:val="26"/>
          <w:szCs w:val="26"/>
        </w:rPr>
        <w:t>NDGC and EDC CAP costs are projected to increase annually through 2021</w:t>
      </w:r>
      <w:r w:rsidR="000124A8" w:rsidRPr="00EE5714">
        <w:rPr>
          <w:rFonts w:ascii="Times New Roman" w:hAnsi="Times New Roman" w:cs="Times New Roman"/>
          <w:sz w:val="26"/>
          <w:szCs w:val="26"/>
        </w:rPr>
        <w:t xml:space="preserve"> despite an industry drop in CAP expenditures from 2012-2016</w:t>
      </w:r>
      <w:r w:rsidR="00DE2109" w:rsidRPr="00EE5714">
        <w:rPr>
          <w:rFonts w:ascii="Times New Roman" w:hAnsi="Times New Roman" w:cs="Times New Roman"/>
          <w:sz w:val="26"/>
          <w:szCs w:val="26"/>
        </w:rPr>
        <w:t xml:space="preserve">.  The overall average costs per non-CAP residential customer </w:t>
      </w:r>
      <w:r w:rsidR="00C37169" w:rsidRPr="00EE5714">
        <w:rPr>
          <w:rFonts w:ascii="Times New Roman" w:hAnsi="Times New Roman" w:cs="Times New Roman"/>
          <w:sz w:val="26"/>
          <w:szCs w:val="26"/>
        </w:rPr>
        <w:t xml:space="preserve">are </w:t>
      </w:r>
      <w:r w:rsidR="00DE2109" w:rsidRPr="00EE5714">
        <w:rPr>
          <w:rFonts w:ascii="Times New Roman" w:hAnsi="Times New Roman" w:cs="Times New Roman"/>
          <w:sz w:val="26"/>
          <w:szCs w:val="26"/>
        </w:rPr>
        <w:t xml:space="preserve">also </w:t>
      </w:r>
      <w:r w:rsidR="00CF1054" w:rsidRPr="00EE5714">
        <w:rPr>
          <w:rFonts w:ascii="Times New Roman" w:hAnsi="Times New Roman" w:cs="Times New Roman"/>
          <w:sz w:val="26"/>
          <w:szCs w:val="26"/>
        </w:rPr>
        <w:t xml:space="preserve">projected </w:t>
      </w:r>
      <w:r w:rsidR="00DE2109" w:rsidRPr="00EE5714">
        <w:rPr>
          <w:rFonts w:ascii="Times New Roman" w:hAnsi="Times New Roman" w:cs="Times New Roman"/>
          <w:sz w:val="26"/>
          <w:szCs w:val="26"/>
        </w:rPr>
        <w:t xml:space="preserve">to increase through 2021, varying </w:t>
      </w:r>
      <w:r w:rsidR="00563A82" w:rsidRPr="00EE5714">
        <w:rPr>
          <w:rFonts w:ascii="Times New Roman" w:hAnsi="Times New Roman" w:cs="Times New Roman"/>
          <w:sz w:val="26"/>
          <w:szCs w:val="26"/>
        </w:rPr>
        <w:t xml:space="preserve">among the utilities and </w:t>
      </w:r>
      <w:r w:rsidR="00D66D4C" w:rsidRPr="00EE5714">
        <w:rPr>
          <w:rFonts w:ascii="Times New Roman" w:hAnsi="Times New Roman" w:cs="Times New Roman"/>
          <w:sz w:val="26"/>
          <w:szCs w:val="26"/>
        </w:rPr>
        <w:t xml:space="preserve">with </w:t>
      </w:r>
      <w:r w:rsidR="00DE2109" w:rsidRPr="00EE5714">
        <w:rPr>
          <w:rFonts w:ascii="Times New Roman" w:hAnsi="Times New Roman" w:cs="Times New Roman"/>
          <w:sz w:val="26"/>
          <w:szCs w:val="26"/>
        </w:rPr>
        <w:t xml:space="preserve">CAP enrollments levels.  EDC customers </w:t>
      </w:r>
      <w:r w:rsidR="00D66D4C" w:rsidRPr="00EE5714">
        <w:rPr>
          <w:rFonts w:ascii="Times New Roman" w:hAnsi="Times New Roman" w:cs="Times New Roman"/>
          <w:sz w:val="26"/>
          <w:szCs w:val="26"/>
        </w:rPr>
        <w:t xml:space="preserve">could </w:t>
      </w:r>
      <w:r w:rsidR="00DE2109" w:rsidRPr="00EE5714">
        <w:rPr>
          <w:rFonts w:ascii="Times New Roman" w:hAnsi="Times New Roman" w:cs="Times New Roman"/>
          <w:sz w:val="26"/>
          <w:szCs w:val="26"/>
        </w:rPr>
        <w:t xml:space="preserve">experience the </w:t>
      </w:r>
      <w:r w:rsidR="00D66D4C" w:rsidRPr="00EE5714">
        <w:rPr>
          <w:rFonts w:ascii="Times New Roman" w:hAnsi="Times New Roman" w:cs="Times New Roman"/>
          <w:sz w:val="26"/>
          <w:szCs w:val="26"/>
        </w:rPr>
        <w:t xml:space="preserve">largest </w:t>
      </w:r>
      <w:r w:rsidR="00DE2109" w:rsidRPr="00EE5714">
        <w:rPr>
          <w:rFonts w:ascii="Times New Roman" w:hAnsi="Times New Roman" w:cs="Times New Roman"/>
          <w:sz w:val="26"/>
          <w:szCs w:val="26"/>
        </w:rPr>
        <w:t xml:space="preserve">increase, with average annual CAP costs recovered from non-CAP residential customers </w:t>
      </w:r>
      <w:r w:rsidR="00C37169" w:rsidRPr="00EE5714">
        <w:rPr>
          <w:rFonts w:ascii="Times New Roman" w:hAnsi="Times New Roman" w:cs="Times New Roman"/>
          <w:sz w:val="26"/>
          <w:szCs w:val="26"/>
        </w:rPr>
        <w:t xml:space="preserve">projected to </w:t>
      </w:r>
      <w:r w:rsidR="00DE2109" w:rsidRPr="00EE5714">
        <w:rPr>
          <w:rFonts w:ascii="Times New Roman" w:hAnsi="Times New Roman" w:cs="Times New Roman"/>
          <w:sz w:val="26"/>
          <w:szCs w:val="26"/>
        </w:rPr>
        <w:t>increas</w:t>
      </w:r>
      <w:r w:rsidR="00C37169" w:rsidRPr="00EE5714">
        <w:rPr>
          <w:rFonts w:ascii="Times New Roman" w:hAnsi="Times New Roman" w:cs="Times New Roman"/>
          <w:sz w:val="26"/>
          <w:szCs w:val="26"/>
        </w:rPr>
        <w:t>e</w:t>
      </w:r>
      <w:r w:rsidR="00DE2109" w:rsidRPr="00EE5714">
        <w:rPr>
          <w:rFonts w:ascii="Times New Roman" w:hAnsi="Times New Roman" w:cs="Times New Roman"/>
          <w:sz w:val="26"/>
          <w:szCs w:val="26"/>
        </w:rPr>
        <w:t xml:space="preserve"> by approximately $</w:t>
      </w:r>
      <w:r w:rsidR="001669E2" w:rsidRPr="00EE5714">
        <w:rPr>
          <w:rFonts w:ascii="Times New Roman" w:hAnsi="Times New Roman" w:cs="Times New Roman"/>
          <w:sz w:val="26"/>
          <w:szCs w:val="26"/>
        </w:rPr>
        <w:t>2</w:t>
      </w:r>
      <w:r w:rsidR="00DE2109" w:rsidRPr="00EE5714">
        <w:rPr>
          <w:rFonts w:ascii="Times New Roman" w:hAnsi="Times New Roman" w:cs="Times New Roman"/>
          <w:sz w:val="26"/>
          <w:szCs w:val="26"/>
        </w:rPr>
        <w:t>0 from 2017 to 2021.</w:t>
      </w:r>
    </w:p>
    <w:p w14:paraId="11396B00" w14:textId="77777777" w:rsidR="002A50F6" w:rsidRPr="00EE5714" w:rsidRDefault="002A50F6" w:rsidP="00062137">
      <w:pPr>
        <w:spacing w:after="0" w:line="240" w:lineRule="auto"/>
        <w:rPr>
          <w:rFonts w:ascii="Times New Roman" w:hAnsi="Times New Roman" w:cs="Times New Roman"/>
          <w:sz w:val="26"/>
          <w:szCs w:val="26"/>
        </w:rPr>
      </w:pPr>
    </w:p>
    <w:p w14:paraId="09F15DC4" w14:textId="51134626" w:rsidR="00062137" w:rsidRPr="00EE5714" w:rsidRDefault="00FE39EC" w:rsidP="0006213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Based on a</w:t>
      </w:r>
      <w:r w:rsidR="00A24C3D" w:rsidRPr="00EE5714">
        <w:rPr>
          <w:rFonts w:ascii="Times New Roman" w:hAnsi="Times New Roman" w:cs="Times New Roman"/>
          <w:sz w:val="26"/>
          <w:szCs w:val="26"/>
        </w:rPr>
        <w:t xml:space="preserve">n energy burden </w:t>
      </w:r>
      <w:r w:rsidRPr="00EE5714">
        <w:rPr>
          <w:rFonts w:ascii="Times New Roman" w:hAnsi="Times New Roman" w:cs="Times New Roman"/>
          <w:sz w:val="26"/>
          <w:szCs w:val="26"/>
        </w:rPr>
        <w:t xml:space="preserve">model developed by Commission staff for this Report, </w:t>
      </w:r>
      <w:r w:rsidR="00F84628" w:rsidRPr="00EE5714">
        <w:rPr>
          <w:rFonts w:ascii="Times New Roman" w:hAnsi="Times New Roman" w:cs="Times New Roman"/>
          <w:sz w:val="26"/>
          <w:szCs w:val="26"/>
        </w:rPr>
        <w:t xml:space="preserve">staff estimated </w:t>
      </w:r>
      <w:r w:rsidR="00062137" w:rsidRPr="00EE5714">
        <w:rPr>
          <w:rFonts w:ascii="Times New Roman" w:hAnsi="Times New Roman" w:cs="Times New Roman"/>
          <w:sz w:val="26"/>
          <w:szCs w:val="26"/>
        </w:rPr>
        <w:t xml:space="preserve">the cost of establishing a 10% maximum energy burden level for CAPs, </w:t>
      </w:r>
      <w:r w:rsidR="00E44EF9" w:rsidRPr="00EE5714">
        <w:rPr>
          <w:rFonts w:ascii="Times New Roman" w:hAnsi="Times New Roman" w:cs="Times New Roman"/>
          <w:sz w:val="26"/>
          <w:szCs w:val="26"/>
        </w:rPr>
        <w:t xml:space="preserve">which </w:t>
      </w:r>
      <w:r w:rsidR="007F172F" w:rsidRPr="00EE5714">
        <w:rPr>
          <w:rFonts w:ascii="Times New Roman" w:hAnsi="Times New Roman" w:cs="Times New Roman"/>
          <w:sz w:val="26"/>
          <w:szCs w:val="26"/>
        </w:rPr>
        <w:t>parallel</w:t>
      </w:r>
      <w:r w:rsidR="00E44EF9" w:rsidRPr="00EE5714">
        <w:rPr>
          <w:rFonts w:ascii="Times New Roman" w:hAnsi="Times New Roman" w:cs="Times New Roman"/>
          <w:sz w:val="26"/>
          <w:szCs w:val="26"/>
        </w:rPr>
        <w:t>s</w:t>
      </w:r>
      <w:r w:rsidR="007F172F" w:rsidRPr="00EE5714">
        <w:rPr>
          <w:rFonts w:ascii="Times New Roman" w:hAnsi="Times New Roman" w:cs="Times New Roman"/>
          <w:sz w:val="26"/>
          <w:szCs w:val="26"/>
        </w:rPr>
        <w:t xml:space="preserve"> </w:t>
      </w:r>
      <w:r w:rsidR="00062137" w:rsidRPr="00EE5714">
        <w:rPr>
          <w:rFonts w:ascii="Times New Roman" w:hAnsi="Times New Roman" w:cs="Times New Roman"/>
          <w:sz w:val="26"/>
          <w:szCs w:val="26"/>
        </w:rPr>
        <w:t>Ohio</w:t>
      </w:r>
      <w:r w:rsidR="00E44EF9" w:rsidRPr="00EE5714">
        <w:rPr>
          <w:rFonts w:ascii="Times New Roman" w:hAnsi="Times New Roman" w:cs="Times New Roman"/>
          <w:sz w:val="26"/>
          <w:szCs w:val="26"/>
        </w:rPr>
        <w:t>’s maximum energy burden</w:t>
      </w:r>
      <w:r w:rsidR="00DC5CB5" w:rsidRPr="00EE5714">
        <w:rPr>
          <w:rFonts w:ascii="Times New Roman" w:hAnsi="Times New Roman" w:cs="Times New Roman"/>
          <w:sz w:val="26"/>
          <w:szCs w:val="26"/>
        </w:rPr>
        <w:t xml:space="preserve"> level</w:t>
      </w:r>
      <w:r w:rsidR="00062137" w:rsidRPr="00EE5714">
        <w:rPr>
          <w:rFonts w:ascii="Times New Roman" w:hAnsi="Times New Roman" w:cs="Times New Roman"/>
          <w:sz w:val="26"/>
          <w:szCs w:val="26"/>
        </w:rPr>
        <w:t>.  Based on 2012 to 2016 average CAP bill</w:t>
      </w:r>
      <w:r w:rsidR="00DC5CB5" w:rsidRPr="00EE5714">
        <w:rPr>
          <w:rFonts w:ascii="Times New Roman" w:hAnsi="Times New Roman" w:cs="Times New Roman"/>
          <w:sz w:val="26"/>
          <w:szCs w:val="26"/>
        </w:rPr>
        <w:t>s</w:t>
      </w:r>
      <w:r w:rsidR="00062137" w:rsidRPr="00EE5714">
        <w:rPr>
          <w:rFonts w:ascii="Times New Roman" w:hAnsi="Times New Roman" w:cs="Times New Roman"/>
          <w:sz w:val="26"/>
          <w:szCs w:val="26"/>
        </w:rPr>
        <w:t xml:space="preserve"> and income levels, the total amount of additional discounts (</w:t>
      </w:r>
      <w:r w:rsidR="00062137" w:rsidRPr="00EE5714">
        <w:rPr>
          <w:rFonts w:ascii="Times New Roman" w:hAnsi="Times New Roman" w:cs="Times New Roman"/>
          <w:i/>
          <w:iCs/>
          <w:sz w:val="26"/>
          <w:szCs w:val="26"/>
        </w:rPr>
        <w:t>i.e.</w:t>
      </w:r>
      <w:r w:rsidR="00062137" w:rsidRPr="00EE5714">
        <w:rPr>
          <w:rFonts w:ascii="Times New Roman" w:hAnsi="Times New Roman" w:cs="Times New Roman"/>
          <w:sz w:val="26"/>
          <w:szCs w:val="26"/>
        </w:rPr>
        <w:t>, CAP credits) that would have been needed to establish maximum energy burdens of 6% for gas heating, 4% for electric non-heating, and 10% for electric heating would be approximately $102 million</w:t>
      </w:r>
      <w:r w:rsidR="005D49D6" w:rsidRPr="00EE5714">
        <w:rPr>
          <w:rFonts w:ascii="Times New Roman" w:hAnsi="Times New Roman" w:cs="Times New Roman"/>
          <w:sz w:val="26"/>
          <w:szCs w:val="26"/>
        </w:rPr>
        <w:t xml:space="preserve"> per year</w:t>
      </w:r>
      <w:r w:rsidR="00246032" w:rsidRPr="00EE5714">
        <w:rPr>
          <w:rFonts w:ascii="Times New Roman" w:hAnsi="Times New Roman" w:cs="Times New Roman"/>
          <w:sz w:val="26"/>
          <w:szCs w:val="26"/>
        </w:rPr>
        <w:t>, not accounting for inflation</w:t>
      </w:r>
      <w:r w:rsidR="00062137" w:rsidRPr="00EE5714">
        <w:rPr>
          <w:rFonts w:ascii="Times New Roman" w:hAnsi="Times New Roman" w:cs="Times New Roman"/>
          <w:sz w:val="26"/>
          <w:szCs w:val="26"/>
        </w:rPr>
        <w:t xml:space="preserve">.  This amount breaks down to approximately $32 million for gas heating, $62 million for electric non-heating, and $9 million for electric heating.  </w:t>
      </w:r>
      <w:r w:rsidR="002E128D" w:rsidRPr="00EE5714">
        <w:rPr>
          <w:rFonts w:ascii="Times New Roman" w:hAnsi="Times New Roman" w:cs="Times New Roman"/>
          <w:sz w:val="26"/>
          <w:szCs w:val="26"/>
        </w:rPr>
        <w:t xml:space="preserve">Such a change </w:t>
      </w:r>
      <w:r w:rsidR="00062137" w:rsidRPr="00EE5714">
        <w:rPr>
          <w:rFonts w:ascii="Times New Roman" w:hAnsi="Times New Roman" w:cs="Times New Roman"/>
          <w:sz w:val="26"/>
          <w:szCs w:val="26"/>
        </w:rPr>
        <w:t>would have resulted in an average annual increase of $</w:t>
      </w:r>
      <w:r w:rsidR="009D40BD" w:rsidRPr="00EE5714">
        <w:rPr>
          <w:rFonts w:ascii="Times New Roman" w:hAnsi="Times New Roman" w:cs="Times New Roman"/>
          <w:sz w:val="26"/>
          <w:szCs w:val="26"/>
        </w:rPr>
        <w:t>14.52</w:t>
      </w:r>
      <w:r w:rsidR="00062137" w:rsidRPr="00EE5714">
        <w:rPr>
          <w:rFonts w:ascii="Times New Roman" w:hAnsi="Times New Roman" w:cs="Times New Roman"/>
          <w:sz w:val="26"/>
          <w:szCs w:val="26"/>
        </w:rPr>
        <w:t> to non-CAP residential ratepayers’ gas and electric bills.</w:t>
      </w:r>
      <w:r w:rsidR="00AD1E3D" w:rsidRPr="00EE5714">
        <w:rPr>
          <w:rFonts w:ascii="Times New Roman" w:hAnsi="Times New Roman" w:cs="Times New Roman"/>
          <w:sz w:val="26"/>
          <w:szCs w:val="26"/>
        </w:rPr>
        <w:t xml:space="preserve">  </w:t>
      </w:r>
      <w:r w:rsidR="00992B36" w:rsidRPr="00EE5714">
        <w:rPr>
          <w:rFonts w:ascii="Times New Roman" w:hAnsi="Times New Roman" w:cs="Times New Roman"/>
          <w:sz w:val="26"/>
          <w:szCs w:val="26"/>
        </w:rPr>
        <w:t xml:space="preserve">Average increases would vary among the </w:t>
      </w:r>
      <w:r w:rsidR="00B47C2B" w:rsidRPr="00EE5714">
        <w:rPr>
          <w:rFonts w:ascii="Times New Roman" w:hAnsi="Times New Roman" w:cs="Times New Roman"/>
          <w:sz w:val="26"/>
          <w:szCs w:val="26"/>
        </w:rPr>
        <w:t>utilities.</w:t>
      </w:r>
    </w:p>
    <w:p w14:paraId="0BA6DB3C" w14:textId="77777777" w:rsidR="00062137" w:rsidRPr="00EE5714" w:rsidRDefault="00062137" w:rsidP="00062137">
      <w:pPr>
        <w:spacing w:after="0" w:line="240" w:lineRule="auto"/>
        <w:ind w:firstLine="720"/>
        <w:rPr>
          <w:rFonts w:ascii="Times New Roman" w:hAnsi="Times New Roman" w:cs="Times New Roman"/>
          <w:color w:val="2F5496" w:themeColor="accent1" w:themeShade="BF"/>
          <w:sz w:val="26"/>
          <w:szCs w:val="26"/>
        </w:rPr>
      </w:pPr>
    </w:p>
    <w:p w14:paraId="1B354BA8" w14:textId="5C0F8EED" w:rsidR="00062137" w:rsidRPr="00EE5714" w:rsidRDefault="00062137" w:rsidP="00062137">
      <w:pPr>
        <w:spacing w:after="0" w:line="240" w:lineRule="auto"/>
        <w:ind w:firstLine="720"/>
        <w:rPr>
          <w:rFonts w:ascii="Times New Roman" w:hAnsi="Times New Roman" w:cs="Times New Roman"/>
          <w:color w:val="0D0D0D" w:themeColor="text1" w:themeTint="F2"/>
          <w:sz w:val="26"/>
          <w:szCs w:val="26"/>
        </w:rPr>
      </w:pPr>
      <w:r w:rsidRPr="00EE5714">
        <w:rPr>
          <w:rFonts w:ascii="Times New Roman" w:hAnsi="Times New Roman" w:cs="Times New Roman"/>
          <w:color w:val="0D0D0D" w:themeColor="text1" w:themeTint="F2"/>
          <w:sz w:val="26"/>
          <w:szCs w:val="26"/>
        </w:rPr>
        <w:t xml:space="preserve">The energy burden model </w:t>
      </w:r>
      <w:r w:rsidR="009F14EB" w:rsidRPr="00EE5714">
        <w:rPr>
          <w:rFonts w:ascii="Times New Roman" w:hAnsi="Times New Roman" w:cs="Times New Roman"/>
          <w:color w:val="0D0D0D" w:themeColor="text1" w:themeTint="F2"/>
          <w:sz w:val="26"/>
          <w:szCs w:val="26"/>
        </w:rPr>
        <w:t>developed by staff for</w:t>
      </w:r>
      <w:r w:rsidRPr="00EE5714">
        <w:rPr>
          <w:rFonts w:ascii="Times New Roman" w:hAnsi="Times New Roman" w:cs="Times New Roman"/>
          <w:color w:val="0D0D0D" w:themeColor="text1" w:themeTint="F2"/>
          <w:sz w:val="26"/>
          <w:szCs w:val="26"/>
        </w:rPr>
        <w:t xml:space="preserve"> this </w:t>
      </w:r>
      <w:r w:rsidR="00A24C3D" w:rsidRPr="00EE5714">
        <w:rPr>
          <w:rFonts w:ascii="Times New Roman" w:hAnsi="Times New Roman" w:cs="Times New Roman"/>
          <w:color w:val="0D0D0D" w:themeColor="text1" w:themeTint="F2"/>
          <w:sz w:val="26"/>
          <w:szCs w:val="26"/>
        </w:rPr>
        <w:t xml:space="preserve">Report </w:t>
      </w:r>
      <w:r w:rsidR="0036440C" w:rsidRPr="00EE5714">
        <w:rPr>
          <w:rFonts w:ascii="Times New Roman" w:hAnsi="Times New Roman" w:cs="Times New Roman"/>
          <w:color w:val="0D0D0D" w:themeColor="text1" w:themeTint="F2"/>
          <w:sz w:val="26"/>
          <w:szCs w:val="26"/>
        </w:rPr>
        <w:t xml:space="preserve">does not factor in all variables and specifically </w:t>
      </w:r>
      <w:r w:rsidRPr="00EE5714">
        <w:rPr>
          <w:rFonts w:ascii="Times New Roman" w:hAnsi="Times New Roman" w:cs="Times New Roman"/>
          <w:color w:val="0D0D0D" w:themeColor="text1" w:themeTint="F2"/>
          <w:sz w:val="26"/>
          <w:szCs w:val="26"/>
        </w:rPr>
        <w:t xml:space="preserve">does not take into consideration (1) any possible reductions in CAP costs if some CAP customers are required to pay more </w:t>
      </w:r>
      <w:r w:rsidR="004F67FA" w:rsidRPr="00EE5714">
        <w:rPr>
          <w:rFonts w:ascii="Times New Roman" w:hAnsi="Times New Roman" w:cs="Times New Roman"/>
          <w:color w:val="0D0D0D" w:themeColor="text1" w:themeTint="F2"/>
          <w:sz w:val="26"/>
          <w:szCs w:val="26"/>
        </w:rPr>
        <w:t>under a new energy burden level</w:t>
      </w:r>
      <w:r w:rsidRPr="00EE5714">
        <w:rPr>
          <w:rFonts w:ascii="Times New Roman" w:hAnsi="Times New Roman" w:cs="Times New Roman"/>
          <w:color w:val="0D0D0D" w:themeColor="text1" w:themeTint="F2"/>
          <w:sz w:val="26"/>
          <w:szCs w:val="26"/>
        </w:rPr>
        <w:t xml:space="preserve">; (2) whether rate discount pricing </w:t>
      </w:r>
      <w:r w:rsidR="00487372" w:rsidRPr="00EE5714">
        <w:rPr>
          <w:rFonts w:ascii="Times New Roman" w:hAnsi="Times New Roman" w:cs="Times New Roman"/>
          <w:color w:val="0D0D0D" w:themeColor="text1" w:themeTint="F2"/>
          <w:sz w:val="26"/>
          <w:szCs w:val="26"/>
        </w:rPr>
        <w:t>(rather than</w:t>
      </w:r>
      <w:r w:rsidR="00910A8F" w:rsidRPr="00EE5714">
        <w:rPr>
          <w:rFonts w:ascii="Times New Roman" w:hAnsi="Times New Roman" w:cs="Times New Roman"/>
          <w:color w:val="0D0D0D" w:themeColor="text1" w:themeTint="F2"/>
          <w:sz w:val="26"/>
          <w:szCs w:val="26"/>
        </w:rPr>
        <w:t>,</w:t>
      </w:r>
      <w:r w:rsidR="00487372" w:rsidRPr="00EE5714">
        <w:rPr>
          <w:rFonts w:ascii="Times New Roman" w:hAnsi="Times New Roman" w:cs="Times New Roman"/>
          <w:color w:val="0D0D0D" w:themeColor="text1" w:themeTint="F2"/>
          <w:sz w:val="26"/>
          <w:szCs w:val="26"/>
        </w:rPr>
        <w:t xml:space="preserve"> </w:t>
      </w:r>
      <w:r w:rsidR="00910A8F" w:rsidRPr="00EE5714">
        <w:rPr>
          <w:rFonts w:ascii="Times New Roman" w:hAnsi="Times New Roman" w:cs="Times New Roman"/>
          <w:i/>
          <w:color w:val="0D0D0D" w:themeColor="text1" w:themeTint="F2"/>
          <w:sz w:val="26"/>
          <w:szCs w:val="26"/>
        </w:rPr>
        <w:t>e.g.</w:t>
      </w:r>
      <w:r w:rsidR="00910A8F" w:rsidRPr="00EE5714">
        <w:rPr>
          <w:rFonts w:ascii="Times New Roman" w:hAnsi="Times New Roman" w:cs="Times New Roman"/>
          <w:color w:val="0D0D0D" w:themeColor="text1" w:themeTint="F2"/>
          <w:sz w:val="26"/>
          <w:szCs w:val="26"/>
        </w:rPr>
        <w:t xml:space="preserve">, </w:t>
      </w:r>
      <w:r w:rsidR="00487372" w:rsidRPr="00EE5714">
        <w:rPr>
          <w:rFonts w:ascii="Times New Roman" w:hAnsi="Times New Roman" w:cs="Times New Roman"/>
          <w:color w:val="0D0D0D" w:themeColor="text1" w:themeTint="F2"/>
          <w:sz w:val="26"/>
          <w:szCs w:val="26"/>
        </w:rPr>
        <w:t>percent of income</w:t>
      </w:r>
      <w:r w:rsidR="00C22B14" w:rsidRPr="00EE5714">
        <w:rPr>
          <w:rFonts w:ascii="Times New Roman" w:hAnsi="Times New Roman" w:cs="Times New Roman"/>
          <w:color w:val="0D0D0D" w:themeColor="text1" w:themeTint="F2"/>
          <w:sz w:val="26"/>
          <w:szCs w:val="26"/>
        </w:rPr>
        <w:t xml:space="preserve"> pricing</w:t>
      </w:r>
      <w:r w:rsidR="00487372" w:rsidRPr="00EE5714">
        <w:rPr>
          <w:rFonts w:ascii="Times New Roman" w:hAnsi="Times New Roman" w:cs="Times New Roman"/>
          <w:color w:val="0D0D0D" w:themeColor="text1" w:themeTint="F2"/>
          <w:sz w:val="26"/>
          <w:szCs w:val="26"/>
        </w:rPr>
        <w:t xml:space="preserve">) </w:t>
      </w:r>
      <w:r w:rsidRPr="00EE5714">
        <w:rPr>
          <w:rFonts w:ascii="Times New Roman" w:hAnsi="Times New Roman" w:cs="Times New Roman"/>
          <w:color w:val="0D0D0D" w:themeColor="text1" w:themeTint="F2"/>
          <w:sz w:val="26"/>
          <w:szCs w:val="26"/>
        </w:rPr>
        <w:t>might be better for some CAP customers</w:t>
      </w:r>
      <w:r w:rsidR="00C22B14" w:rsidRPr="00EE5714">
        <w:rPr>
          <w:rFonts w:ascii="Times New Roman" w:hAnsi="Times New Roman" w:cs="Times New Roman"/>
          <w:color w:val="0D0D0D" w:themeColor="text1" w:themeTint="F2"/>
          <w:sz w:val="26"/>
          <w:szCs w:val="26"/>
        </w:rPr>
        <w:t xml:space="preserve"> or reduce overall CAP costs</w:t>
      </w:r>
      <w:r w:rsidRPr="00EE5714">
        <w:rPr>
          <w:rFonts w:ascii="Times New Roman" w:hAnsi="Times New Roman" w:cs="Times New Roman"/>
          <w:color w:val="0D0D0D" w:themeColor="text1" w:themeTint="F2"/>
          <w:sz w:val="26"/>
          <w:szCs w:val="26"/>
        </w:rPr>
        <w:t>; (3) CAP costs borne by PGW’s non-residential ratepayers; (4) </w:t>
      </w:r>
      <w:r w:rsidR="00E5569B" w:rsidRPr="00EE5714">
        <w:rPr>
          <w:rFonts w:ascii="Times New Roman" w:hAnsi="Times New Roman" w:cs="Times New Roman"/>
          <w:color w:val="0D0D0D" w:themeColor="text1" w:themeTint="F2"/>
          <w:sz w:val="26"/>
          <w:szCs w:val="26"/>
        </w:rPr>
        <w:t xml:space="preserve">individual </w:t>
      </w:r>
      <w:r w:rsidRPr="00EE5714">
        <w:rPr>
          <w:rFonts w:ascii="Times New Roman" w:hAnsi="Times New Roman" w:cs="Times New Roman"/>
          <w:color w:val="0D0D0D" w:themeColor="text1" w:themeTint="F2"/>
          <w:sz w:val="26"/>
          <w:szCs w:val="26"/>
        </w:rPr>
        <w:t>utility CAP credit limits; (5)</w:t>
      </w:r>
      <w:r w:rsidR="003A3EB4" w:rsidRPr="00EE5714">
        <w:rPr>
          <w:rFonts w:ascii="Times New Roman" w:hAnsi="Times New Roman" w:cs="Times New Roman"/>
          <w:color w:val="0D0D0D" w:themeColor="text1" w:themeTint="F2"/>
          <w:sz w:val="26"/>
          <w:szCs w:val="26"/>
        </w:rPr>
        <w:t> </w:t>
      </w:r>
      <w:r w:rsidRPr="00EE5714">
        <w:rPr>
          <w:rFonts w:ascii="Times New Roman" w:hAnsi="Times New Roman" w:cs="Times New Roman"/>
          <w:color w:val="0D0D0D" w:themeColor="text1" w:themeTint="F2"/>
          <w:sz w:val="26"/>
          <w:szCs w:val="26"/>
        </w:rPr>
        <w:t>system/administrative costs associated with adopting new energy burdens; and (6)</w:t>
      </w:r>
      <w:r w:rsidR="00A73BC3" w:rsidRPr="00EE5714">
        <w:rPr>
          <w:rFonts w:ascii="Times New Roman" w:hAnsi="Times New Roman" w:cs="Times New Roman"/>
          <w:color w:val="0D0D0D" w:themeColor="text1" w:themeTint="F2"/>
          <w:sz w:val="26"/>
          <w:szCs w:val="26"/>
        </w:rPr>
        <w:t> </w:t>
      </w:r>
      <w:r w:rsidRPr="00EE5714">
        <w:rPr>
          <w:rFonts w:ascii="Times New Roman" w:hAnsi="Times New Roman" w:cs="Times New Roman"/>
          <w:color w:val="0D0D0D" w:themeColor="text1" w:themeTint="F2"/>
          <w:sz w:val="26"/>
          <w:szCs w:val="26"/>
        </w:rPr>
        <w:t>factors specific to each utility.</w:t>
      </w:r>
      <w:r w:rsidR="00AB16CE" w:rsidRPr="00EE5714">
        <w:rPr>
          <w:rFonts w:ascii="Times New Roman" w:hAnsi="Times New Roman" w:cs="Times New Roman"/>
          <w:color w:val="0D0D0D" w:themeColor="text1" w:themeTint="F2"/>
          <w:sz w:val="26"/>
          <w:szCs w:val="26"/>
        </w:rPr>
        <w:t xml:space="preserve"> </w:t>
      </w:r>
    </w:p>
    <w:p w14:paraId="66A41F75" w14:textId="77777777" w:rsidR="00062137" w:rsidRPr="00EE5714" w:rsidRDefault="00062137" w:rsidP="00062137">
      <w:pPr>
        <w:spacing w:after="0" w:line="240" w:lineRule="auto"/>
        <w:rPr>
          <w:rFonts w:ascii="Times New Roman" w:hAnsi="Times New Roman" w:cs="Times New Roman"/>
          <w:i/>
          <w:color w:val="2F5496" w:themeColor="accent1" w:themeShade="BF"/>
          <w:sz w:val="26"/>
          <w:szCs w:val="26"/>
        </w:rPr>
      </w:pPr>
    </w:p>
    <w:p w14:paraId="4157C3FD" w14:textId="77777777" w:rsidR="00062137" w:rsidRPr="00EE5714" w:rsidRDefault="00062137" w:rsidP="00062137">
      <w:pPr>
        <w:keepNext/>
        <w:spacing w:after="0" w:line="240" w:lineRule="auto"/>
        <w:rPr>
          <w:rFonts w:ascii="Times New Roman" w:hAnsi="Times New Roman" w:cs="Times New Roman"/>
          <w:b/>
          <w:bCs/>
          <w:i/>
          <w:iCs/>
          <w:color w:val="2F5496" w:themeColor="accent1" w:themeShade="BF"/>
          <w:sz w:val="26"/>
          <w:szCs w:val="26"/>
        </w:rPr>
      </w:pPr>
      <w:r w:rsidRPr="00EE5714">
        <w:rPr>
          <w:rFonts w:ascii="Times New Roman" w:hAnsi="Times New Roman" w:cs="Times New Roman"/>
          <w:b/>
          <w:bCs/>
          <w:i/>
          <w:iCs/>
          <w:color w:val="2F5496" w:themeColor="accent1" w:themeShade="BF"/>
          <w:sz w:val="26"/>
          <w:szCs w:val="26"/>
        </w:rPr>
        <w:t xml:space="preserve">Study Limitations </w:t>
      </w:r>
    </w:p>
    <w:p w14:paraId="5F069DBF" w14:textId="77777777" w:rsidR="00062137" w:rsidRPr="00EE5714" w:rsidRDefault="00062137" w:rsidP="00062137">
      <w:pPr>
        <w:keepNext/>
        <w:spacing w:after="0" w:line="240" w:lineRule="auto"/>
        <w:ind w:firstLine="720"/>
        <w:rPr>
          <w:rFonts w:ascii="Times New Roman" w:hAnsi="Times New Roman" w:cs="Times New Roman"/>
          <w:sz w:val="26"/>
          <w:szCs w:val="26"/>
        </w:rPr>
      </w:pPr>
    </w:p>
    <w:p w14:paraId="1BDE8440" w14:textId="77777777" w:rsidR="00062137" w:rsidRPr="00EE5714" w:rsidRDefault="00062137" w:rsidP="00062137">
      <w:pPr>
        <w:spacing w:after="0" w:line="240" w:lineRule="auto"/>
        <w:ind w:firstLine="720"/>
        <w:rPr>
          <w:rFonts w:ascii="Times New Roman" w:hAnsi="Times New Roman" w:cs="Times New Roman"/>
          <w:color w:val="0D0D0D" w:themeColor="text1" w:themeTint="F2"/>
          <w:sz w:val="26"/>
          <w:szCs w:val="26"/>
        </w:rPr>
      </w:pPr>
      <w:r w:rsidRPr="00EE5714">
        <w:rPr>
          <w:rFonts w:ascii="Times New Roman" w:hAnsi="Times New Roman" w:cs="Times New Roman"/>
          <w:color w:val="0D0D0D" w:themeColor="text1" w:themeTint="F2"/>
          <w:sz w:val="26"/>
          <w:szCs w:val="26"/>
        </w:rPr>
        <w:t xml:space="preserve">There have been changes in </w:t>
      </w:r>
      <w:r w:rsidR="00745C82" w:rsidRPr="00EE5714">
        <w:rPr>
          <w:rFonts w:ascii="Times New Roman" w:hAnsi="Times New Roman" w:cs="Times New Roman"/>
          <w:color w:val="0D0D0D" w:themeColor="text1" w:themeTint="F2"/>
          <w:sz w:val="26"/>
          <w:szCs w:val="26"/>
        </w:rPr>
        <w:t xml:space="preserve">utility </w:t>
      </w:r>
      <w:r w:rsidRPr="00EE5714">
        <w:rPr>
          <w:rFonts w:ascii="Times New Roman" w:hAnsi="Times New Roman" w:cs="Times New Roman"/>
          <w:color w:val="0D0D0D" w:themeColor="text1" w:themeTint="F2"/>
          <w:sz w:val="26"/>
          <w:szCs w:val="26"/>
        </w:rPr>
        <w:t xml:space="preserve">CAPs </w:t>
      </w:r>
      <w:r w:rsidR="00745C82" w:rsidRPr="00EE5714">
        <w:rPr>
          <w:rFonts w:ascii="Times New Roman" w:hAnsi="Times New Roman" w:cs="Times New Roman"/>
          <w:color w:val="0D0D0D" w:themeColor="text1" w:themeTint="F2"/>
          <w:sz w:val="26"/>
          <w:szCs w:val="26"/>
        </w:rPr>
        <w:t xml:space="preserve">and other universal service programs </w:t>
      </w:r>
      <w:r w:rsidRPr="00EE5714">
        <w:rPr>
          <w:rFonts w:ascii="Times New Roman" w:hAnsi="Times New Roman" w:cs="Times New Roman"/>
          <w:color w:val="0D0D0D" w:themeColor="text1" w:themeTint="F2"/>
          <w:sz w:val="26"/>
          <w:szCs w:val="26"/>
        </w:rPr>
        <w:t>since the data reviewed in this study w</w:t>
      </w:r>
      <w:r w:rsidR="00B158FA" w:rsidRPr="00EE5714">
        <w:rPr>
          <w:rFonts w:ascii="Times New Roman" w:hAnsi="Times New Roman" w:cs="Times New Roman"/>
          <w:color w:val="0D0D0D" w:themeColor="text1" w:themeTint="F2"/>
          <w:sz w:val="26"/>
          <w:szCs w:val="26"/>
        </w:rPr>
        <w:t>ere</w:t>
      </w:r>
      <w:r w:rsidRPr="00EE5714">
        <w:rPr>
          <w:rFonts w:ascii="Times New Roman" w:hAnsi="Times New Roman" w:cs="Times New Roman"/>
          <w:color w:val="0D0D0D" w:themeColor="text1" w:themeTint="F2"/>
          <w:sz w:val="26"/>
          <w:szCs w:val="26"/>
        </w:rPr>
        <w:t xml:space="preserve"> collected.  Such </w:t>
      </w:r>
      <w:r w:rsidR="00B158FA" w:rsidRPr="00EE5714">
        <w:rPr>
          <w:rFonts w:ascii="Times New Roman" w:hAnsi="Times New Roman" w:cs="Times New Roman"/>
          <w:color w:val="0D0D0D" w:themeColor="text1" w:themeTint="F2"/>
          <w:sz w:val="26"/>
          <w:szCs w:val="26"/>
        </w:rPr>
        <w:t>pro</w:t>
      </w:r>
      <w:r w:rsidR="009B1F29" w:rsidRPr="00EE5714">
        <w:rPr>
          <w:rFonts w:ascii="Times New Roman" w:hAnsi="Times New Roman" w:cs="Times New Roman"/>
          <w:color w:val="0D0D0D" w:themeColor="text1" w:themeTint="F2"/>
          <w:sz w:val="26"/>
          <w:szCs w:val="26"/>
        </w:rPr>
        <w:t xml:space="preserve">gram </w:t>
      </w:r>
      <w:r w:rsidRPr="00EE5714">
        <w:rPr>
          <w:rFonts w:ascii="Times New Roman" w:hAnsi="Times New Roman" w:cs="Times New Roman"/>
          <w:color w:val="0D0D0D" w:themeColor="text1" w:themeTint="F2"/>
          <w:sz w:val="26"/>
          <w:szCs w:val="26"/>
        </w:rPr>
        <w:t xml:space="preserve">changes are on-going.  More current data reflecting these changes may have an impact on the observations drawn </w:t>
      </w:r>
      <w:r w:rsidR="009B1F29" w:rsidRPr="00EE5714">
        <w:rPr>
          <w:rFonts w:ascii="Times New Roman" w:hAnsi="Times New Roman" w:cs="Times New Roman"/>
          <w:color w:val="0D0D0D" w:themeColor="text1" w:themeTint="F2"/>
          <w:sz w:val="26"/>
          <w:szCs w:val="26"/>
        </w:rPr>
        <w:t xml:space="preserve">in </w:t>
      </w:r>
      <w:r w:rsidRPr="00EE5714">
        <w:rPr>
          <w:rFonts w:ascii="Times New Roman" w:hAnsi="Times New Roman" w:cs="Times New Roman"/>
          <w:color w:val="0D0D0D" w:themeColor="text1" w:themeTint="F2"/>
          <w:sz w:val="26"/>
          <w:szCs w:val="26"/>
        </w:rPr>
        <w:t>this study.  Further inspection of future data may substantiate trends as well as identify the aspects of CAPs that appear to work well or that produce better customer outcomes.  Collection of valid data that can be consistently compared across income levels</w:t>
      </w:r>
      <w:r w:rsidR="0017715C" w:rsidRPr="00EE5714">
        <w:rPr>
          <w:rFonts w:ascii="Times New Roman" w:hAnsi="Times New Roman" w:cs="Times New Roman"/>
          <w:color w:val="0D0D0D" w:themeColor="text1" w:themeTint="F2"/>
          <w:sz w:val="26"/>
          <w:szCs w:val="26"/>
        </w:rPr>
        <w:t>,</w:t>
      </w:r>
      <w:r w:rsidRPr="00EE5714">
        <w:rPr>
          <w:rFonts w:ascii="Times New Roman" w:hAnsi="Times New Roman" w:cs="Times New Roman"/>
          <w:color w:val="0D0D0D" w:themeColor="text1" w:themeTint="F2"/>
          <w:sz w:val="26"/>
          <w:szCs w:val="26"/>
        </w:rPr>
        <w:t xml:space="preserve"> </w:t>
      </w:r>
      <w:r w:rsidR="0017715C" w:rsidRPr="00EE5714">
        <w:rPr>
          <w:rFonts w:ascii="Times New Roman" w:hAnsi="Times New Roman" w:cs="Times New Roman"/>
          <w:color w:val="0D0D0D" w:themeColor="text1" w:themeTint="F2"/>
          <w:sz w:val="26"/>
          <w:szCs w:val="26"/>
        </w:rPr>
        <w:t xml:space="preserve">among </w:t>
      </w:r>
      <w:r w:rsidRPr="00EE5714">
        <w:rPr>
          <w:rFonts w:ascii="Times New Roman" w:hAnsi="Times New Roman" w:cs="Times New Roman"/>
          <w:color w:val="0D0D0D" w:themeColor="text1" w:themeTint="F2"/>
          <w:sz w:val="26"/>
          <w:szCs w:val="26"/>
        </w:rPr>
        <w:t>utilities</w:t>
      </w:r>
      <w:r w:rsidR="0017715C" w:rsidRPr="00EE5714">
        <w:rPr>
          <w:rFonts w:ascii="Times New Roman" w:hAnsi="Times New Roman" w:cs="Times New Roman"/>
          <w:color w:val="0D0D0D" w:themeColor="text1" w:themeTint="F2"/>
          <w:sz w:val="26"/>
          <w:szCs w:val="26"/>
        </w:rPr>
        <w:t>,</w:t>
      </w:r>
      <w:r w:rsidRPr="00EE5714">
        <w:rPr>
          <w:rFonts w:ascii="Times New Roman" w:hAnsi="Times New Roman" w:cs="Times New Roman"/>
          <w:color w:val="0D0D0D" w:themeColor="text1" w:themeTint="F2"/>
          <w:sz w:val="26"/>
          <w:szCs w:val="26"/>
        </w:rPr>
        <w:t xml:space="preserve"> </w:t>
      </w:r>
      <w:r w:rsidR="0017715C" w:rsidRPr="00EE5714">
        <w:rPr>
          <w:rFonts w:ascii="Times New Roman" w:hAnsi="Times New Roman" w:cs="Times New Roman"/>
          <w:color w:val="0D0D0D" w:themeColor="text1" w:themeTint="F2"/>
          <w:sz w:val="26"/>
          <w:szCs w:val="26"/>
        </w:rPr>
        <w:t>and over time</w:t>
      </w:r>
      <w:r w:rsidRPr="00EE5714">
        <w:rPr>
          <w:rFonts w:ascii="Times New Roman" w:hAnsi="Times New Roman" w:cs="Times New Roman"/>
          <w:color w:val="0D0D0D" w:themeColor="text1" w:themeTint="F2"/>
          <w:sz w:val="26"/>
          <w:szCs w:val="26"/>
        </w:rPr>
        <w:t xml:space="preserve"> would increase the reliability of projections and </w:t>
      </w:r>
      <w:r w:rsidR="00E83165" w:rsidRPr="00EE5714">
        <w:rPr>
          <w:rFonts w:ascii="Times New Roman" w:hAnsi="Times New Roman" w:cs="Times New Roman"/>
          <w:color w:val="0D0D0D" w:themeColor="text1" w:themeTint="F2"/>
          <w:sz w:val="26"/>
          <w:szCs w:val="26"/>
        </w:rPr>
        <w:t xml:space="preserve">allow </w:t>
      </w:r>
      <w:r w:rsidRPr="00EE5714">
        <w:rPr>
          <w:rFonts w:ascii="Times New Roman" w:hAnsi="Times New Roman" w:cs="Times New Roman"/>
          <w:color w:val="0D0D0D" w:themeColor="text1" w:themeTint="F2"/>
          <w:sz w:val="26"/>
          <w:szCs w:val="26"/>
        </w:rPr>
        <w:t>better evaluat</w:t>
      </w:r>
      <w:r w:rsidR="00E83165" w:rsidRPr="00EE5714">
        <w:rPr>
          <w:rFonts w:ascii="Times New Roman" w:hAnsi="Times New Roman" w:cs="Times New Roman"/>
          <w:color w:val="0D0D0D" w:themeColor="text1" w:themeTint="F2"/>
          <w:sz w:val="26"/>
          <w:szCs w:val="26"/>
        </w:rPr>
        <w:t>ions</w:t>
      </w:r>
      <w:r w:rsidRPr="00EE5714">
        <w:rPr>
          <w:rFonts w:ascii="Times New Roman" w:hAnsi="Times New Roman" w:cs="Times New Roman"/>
          <w:color w:val="0D0D0D" w:themeColor="text1" w:themeTint="F2"/>
          <w:sz w:val="26"/>
          <w:szCs w:val="26"/>
        </w:rPr>
        <w:t xml:space="preserve"> </w:t>
      </w:r>
      <w:r w:rsidR="00D85213" w:rsidRPr="00EE5714">
        <w:rPr>
          <w:rFonts w:ascii="Times New Roman" w:hAnsi="Times New Roman" w:cs="Times New Roman"/>
          <w:color w:val="0D0D0D" w:themeColor="text1" w:themeTint="F2"/>
          <w:sz w:val="26"/>
          <w:szCs w:val="26"/>
        </w:rPr>
        <w:t xml:space="preserve">of </w:t>
      </w:r>
      <w:r w:rsidRPr="00EE5714">
        <w:rPr>
          <w:rFonts w:ascii="Times New Roman" w:hAnsi="Times New Roman" w:cs="Times New Roman"/>
          <w:color w:val="0D0D0D" w:themeColor="text1" w:themeTint="F2"/>
          <w:sz w:val="26"/>
          <w:szCs w:val="26"/>
        </w:rPr>
        <w:t>the success of CAPs.</w:t>
      </w:r>
    </w:p>
    <w:p w14:paraId="42845940" w14:textId="77777777" w:rsidR="0011162A" w:rsidRPr="00EE5714" w:rsidRDefault="0011162A" w:rsidP="0011162A">
      <w:pPr>
        <w:spacing w:after="0" w:line="240" w:lineRule="auto"/>
        <w:ind w:firstLine="720"/>
        <w:rPr>
          <w:rFonts w:ascii="Times New Roman" w:hAnsi="Times New Roman" w:cs="Times New Roman"/>
          <w:color w:val="0D0D0D" w:themeColor="text1" w:themeTint="F2"/>
          <w:sz w:val="26"/>
          <w:szCs w:val="26"/>
        </w:rPr>
      </w:pPr>
    </w:p>
    <w:p w14:paraId="6A60C975" w14:textId="77777777" w:rsidR="00187658" w:rsidRPr="00EE5714" w:rsidRDefault="00187658">
      <w:pPr>
        <w:rPr>
          <w:rFonts w:ascii="Times New Roman" w:eastAsiaTheme="majorEastAsia" w:hAnsi="Times New Roman" w:cs="Times New Roman"/>
          <w:b/>
          <w:color w:val="2F5496" w:themeColor="accent1" w:themeShade="BF"/>
          <w:sz w:val="26"/>
          <w:szCs w:val="26"/>
        </w:rPr>
      </w:pPr>
      <w:r w:rsidRPr="00EE5714">
        <w:rPr>
          <w:rFonts w:cs="Times New Roman"/>
          <w:szCs w:val="26"/>
        </w:rPr>
        <w:br w:type="page"/>
      </w:r>
    </w:p>
    <w:p w14:paraId="1E1D8C36" w14:textId="77777777" w:rsidR="00684B70" w:rsidRPr="00EE5714" w:rsidRDefault="00684B70">
      <w:pPr>
        <w:pStyle w:val="Heading1"/>
        <w:rPr>
          <w:rFonts w:cs="Times New Roman"/>
        </w:rPr>
      </w:pPr>
      <w:bookmarkStart w:id="5" w:name="_Toc533674859"/>
      <w:bookmarkStart w:id="6" w:name="_Toc534547864"/>
      <w:r w:rsidRPr="00EE5714">
        <w:rPr>
          <w:rFonts w:cs="Times New Roman"/>
        </w:rPr>
        <w:lastRenderedPageBreak/>
        <w:t xml:space="preserve">I.  </w:t>
      </w:r>
      <w:r w:rsidR="00D624EA" w:rsidRPr="00EE5714">
        <w:rPr>
          <w:rFonts w:cs="Times New Roman"/>
        </w:rPr>
        <w:t>Introduction</w:t>
      </w:r>
      <w:bookmarkEnd w:id="5"/>
      <w:bookmarkEnd w:id="6"/>
      <w:r w:rsidR="00D624EA" w:rsidRPr="00EE5714">
        <w:rPr>
          <w:rFonts w:cs="Times New Roman"/>
        </w:rPr>
        <w:t xml:space="preserve"> </w:t>
      </w:r>
    </w:p>
    <w:p w14:paraId="6E98AD02" w14:textId="77777777" w:rsidR="003A0212" w:rsidRPr="00EE5714" w:rsidRDefault="003A0212" w:rsidP="003A0212">
      <w:pPr>
        <w:tabs>
          <w:tab w:val="left" w:pos="3615"/>
        </w:tabs>
        <w:spacing w:after="0" w:line="240" w:lineRule="auto"/>
        <w:rPr>
          <w:rFonts w:ascii="Times New Roman" w:hAnsi="Times New Roman" w:cs="Times New Roman"/>
          <w:sz w:val="26"/>
          <w:szCs w:val="26"/>
        </w:rPr>
      </w:pPr>
    </w:p>
    <w:p w14:paraId="72322B2C" w14:textId="025D3092" w:rsidR="002001D5" w:rsidRPr="00EE5714" w:rsidRDefault="003861B2" w:rsidP="00BD3772">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According to </w:t>
      </w:r>
      <w:r w:rsidR="00CC41FA" w:rsidRPr="00EE5714">
        <w:rPr>
          <w:rFonts w:ascii="Times New Roman" w:hAnsi="Times New Roman" w:cs="Times New Roman"/>
          <w:sz w:val="26"/>
          <w:szCs w:val="26"/>
        </w:rPr>
        <w:t>the 2012-2016 American Community Survey (ACS) data</w:t>
      </w:r>
      <w:r w:rsidR="007767BB" w:rsidRPr="00EE5714">
        <w:rPr>
          <w:rFonts w:ascii="Times New Roman" w:hAnsi="Times New Roman" w:cs="Times New Roman"/>
          <w:sz w:val="26"/>
          <w:szCs w:val="26"/>
        </w:rPr>
        <w:t xml:space="preserve">, </w:t>
      </w:r>
      <w:r w:rsidR="00C80C23" w:rsidRPr="00EE5714">
        <w:rPr>
          <w:rFonts w:ascii="Times New Roman" w:hAnsi="Times New Roman" w:cs="Times New Roman"/>
          <w:sz w:val="26"/>
          <w:szCs w:val="26"/>
        </w:rPr>
        <w:t xml:space="preserve">Pennsylvania </w:t>
      </w:r>
      <w:r w:rsidR="006100C9" w:rsidRPr="00EE5714">
        <w:rPr>
          <w:rFonts w:ascii="Times New Roman" w:hAnsi="Times New Roman" w:cs="Times New Roman"/>
          <w:sz w:val="26"/>
          <w:szCs w:val="26"/>
        </w:rPr>
        <w:t>ha</w:t>
      </w:r>
      <w:r w:rsidR="007767BB" w:rsidRPr="00EE5714">
        <w:rPr>
          <w:rFonts w:ascii="Times New Roman" w:hAnsi="Times New Roman" w:cs="Times New Roman"/>
          <w:sz w:val="26"/>
          <w:szCs w:val="26"/>
        </w:rPr>
        <w:t>d</w:t>
      </w:r>
      <w:r w:rsidR="006100C9" w:rsidRPr="00EE5714">
        <w:rPr>
          <w:rFonts w:ascii="Times New Roman" w:hAnsi="Times New Roman" w:cs="Times New Roman"/>
          <w:sz w:val="26"/>
          <w:szCs w:val="26"/>
        </w:rPr>
        <w:t xml:space="preserve"> a population of approximately 12.</w:t>
      </w:r>
      <w:r w:rsidR="00345DA6" w:rsidRPr="00EE5714">
        <w:rPr>
          <w:rFonts w:ascii="Times New Roman" w:hAnsi="Times New Roman" w:cs="Times New Roman"/>
          <w:sz w:val="26"/>
          <w:szCs w:val="26"/>
        </w:rPr>
        <w:t>8</w:t>
      </w:r>
      <w:r w:rsidR="006100C9" w:rsidRPr="00EE5714">
        <w:rPr>
          <w:rFonts w:ascii="Times New Roman" w:hAnsi="Times New Roman" w:cs="Times New Roman"/>
          <w:sz w:val="26"/>
          <w:szCs w:val="26"/>
        </w:rPr>
        <w:t xml:space="preserve"> million</w:t>
      </w:r>
      <w:r w:rsidRPr="00EE5714">
        <w:rPr>
          <w:rFonts w:ascii="Times New Roman" w:hAnsi="Times New Roman" w:cs="Times New Roman"/>
          <w:sz w:val="26"/>
          <w:szCs w:val="26"/>
        </w:rPr>
        <w:t xml:space="preserve"> </w:t>
      </w:r>
      <w:r w:rsidR="007C1F16" w:rsidRPr="00EE5714">
        <w:rPr>
          <w:rFonts w:ascii="Times New Roman" w:hAnsi="Times New Roman" w:cs="Times New Roman"/>
          <w:sz w:val="26"/>
          <w:szCs w:val="26"/>
        </w:rPr>
        <w:t>and approximately</w:t>
      </w:r>
      <w:r w:rsidR="00C818A1" w:rsidRPr="00EE5714">
        <w:rPr>
          <w:rFonts w:ascii="Times New Roman" w:hAnsi="Times New Roman" w:cs="Times New Roman"/>
          <w:sz w:val="26"/>
          <w:szCs w:val="26"/>
        </w:rPr>
        <w:t xml:space="preserve"> 5</w:t>
      </w:r>
      <w:r w:rsidR="00950E19" w:rsidRPr="00EE5714">
        <w:rPr>
          <w:rFonts w:ascii="Times New Roman" w:hAnsi="Times New Roman" w:cs="Times New Roman"/>
          <w:sz w:val="26"/>
          <w:szCs w:val="26"/>
        </w:rPr>
        <w:t> </w:t>
      </w:r>
      <w:r w:rsidR="00C818A1" w:rsidRPr="00EE5714">
        <w:rPr>
          <w:rFonts w:ascii="Times New Roman" w:hAnsi="Times New Roman" w:cs="Times New Roman"/>
          <w:sz w:val="26"/>
          <w:szCs w:val="26"/>
        </w:rPr>
        <w:t>million housing un</w:t>
      </w:r>
      <w:r w:rsidR="00AC0691" w:rsidRPr="00EE5714">
        <w:rPr>
          <w:rFonts w:ascii="Times New Roman" w:hAnsi="Times New Roman" w:cs="Times New Roman"/>
          <w:sz w:val="26"/>
          <w:szCs w:val="26"/>
        </w:rPr>
        <w:t>its</w:t>
      </w:r>
      <w:r w:rsidR="00F95496" w:rsidRPr="00EE5714">
        <w:rPr>
          <w:rFonts w:ascii="Times New Roman" w:hAnsi="Times New Roman" w:cs="Times New Roman"/>
          <w:sz w:val="26"/>
          <w:szCs w:val="26"/>
        </w:rPr>
        <w:t>.</w:t>
      </w:r>
      <w:r w:rsidR="003E6D5B" w:rsidRPr="00EE5714">
        <w:rPr>
          <w:rStyle w:val="FootnoteReference"/>
          <w:rFonts w:ascii="Times New Roman" w:hAnsi="Times New Roman" w:cs="Times New Roman"/>
          <w:sz w:val="26"/>
          <w:szCs w:val="26"/>
        </w:rPr>
        <w:footnoteReference w:id="10"/>
      </w:r>
      <w:r w:rsidR="00F95496" w:rsidRPr="00EE5714">
        <w:rPr>
          <w:rFonts w:ascii="Times New Roman" w:hAnsi="Times New Roman" w:cs="Times New Roman"/>
          <w:sz w:val="26"/>
          <w:szCs w:val="26"/>
        </w:rPr>
        <w:t xml:space="preserve">  </w:t>
      </w:r>
      <w:r w:rsidR="007C1F16" w:rsidRPr="00EE5714">
        <w:rPr>
          <w:rFonts w:ascii="Times New Roman" w:hAnsi="Times New Roman" w:cs="Times New Roman"/>
          <w:sz w:val="26"/>
          <w:szCs w:val="26"/>
        </w:rPr>
        <w:t>A</w:t>
      </w:r>
      <w:r w:rsidR="00444D14" w:rsidRPr="00EE5714">
        <w:rPr>
          <w:rFonts w:ascii="Times New Roman" w:hAnsi="Times New Roman" w:cs="Times New Roman"/>
          <w:sz w:val="26"/>
          <w:szCs w:val="26"/>
        </w:rPr>
        <w:t xml:space="preserve">lmost </w:t>
      </w:r>
      <w:r w:rsidR="0032470D" w:rsidRPr="00EE5714">
        <w:rPr>
          <w:rFonts w:ascii="Times New Roman" w:hAnsi="Times New Roman" w:cs="Times New Roman"/>
          <w:sz w:val="26"/>
          <w:szCs w:val="26"/>
        </w:rPr>
        <w:t>38</w:t>
      </w:r>
      <w:r w:rsidR="00444D14" w:rsidRPr="00EE5714">
        <w:rPr>
          <w:rFonts w:ascii="Times New Roman" w:hAnsi="Times New Roman" w:cs="Times New Roman"/>
          <w:sz w:val="26"/>
          <w:szCs w:val="26"/>
        </w:rPr>
        <w:t xml:space="preserve">% </w:t>
      </w:r>
      <w:r w:rsidR="007C1F16" w:rsidRPr="00EE5714">
        <w:rPr>
          <w:rFonts w:ascii="Times New Roman" w:hAnsi="Times New Roman" w:cs="Times New Roman"/>
          <w:sz w:val="26"/>
          <w:szCs w:val="26"/>
        </w:rPr>
        <w:t xml:space="preserve">of </w:t>
      </w:r>
      <w:r w:rsidR="00B01638" w:rsidRPr="00EE5714">
        <w:rPr>
          <w:rFonts w:ascii="Times New Roman" w:hAnsi="Times New Roman" w:cs="Times New Roman"/>
          <w:sz w:val="26"/>
          <w:szCs w:val="26"/>
        </w:rPr>
        <w:t xml:space="preserve">Pennsylvania residents </w:t>
      </w:r>
      <w:r w:rsidR="006F739C" w:rsidRPr="00EE5714">
        <w:rPr>
          <w:rFonts w:ascii="Times New Roman" w:hAnsi="Times New Roman" w:cs="Times New Roman"/>
          <w:sz w:val="26"/>
          <w:szCs w:val="26"/>
        </w:rPr>
        <w:t>were</w:t>
      </w:r>
      <w:r w:rsidR="00D5280B" w:rsidRPr="00EE5714">
        <w:rPr>
          <w:rFonts w:ascii="Times New Roman" w:hAnsi="Times New Roman" w:cs="Times New Roman"/>
          <w:sz w:val="26"/>
          <w:szCs w:val="26"/>
        </w:rPr>
        <w:t xml:space="preserve"> either elderly</w:t>
      </w:r>
      <w:r w:rsidR="00D87926" w:rsidRPr="00EE5714">
        <w:rPr>
          <w:rFonts w:ascii="Times New Roman" w:hAnsi="Times New Roman" w:cs="Times New Roman"/>
          <w:sz w:val="26"/>
          <w:szCs w:val="26"/>
        </w:rPr>
        <w:t xml:space="preserve"> (age</w:t>
      </w:r>
      <w:r w:rsidR="00950E19" w:rsidRPr="00EE5714">
        <w:rPr>
          <w:rFonts w:ascii="Times New Roman" w:hAnsi="Times New Roman" w:cs="Times New Roman"/>
          <w:sz w:val="26"/>
          <w:szCs w:val="26"/>
        </w:rPr>
        <w:t> </w:t>
      </w:r>
      <w:r w:rsidR="00D87926" w:rsidRPr="00EE5714">
        <w:rPr>
          <w:rFonts w:ascii="Times New Roman" w:hAnsi="Times New Roman" w:cs="Times New Roman"/>
          <w:sz w:val="26"/>
          <w:szCs w:val="26"/>
        </w:rPr>
        <w:t>65 or over)</w:t>
      </w:r>
      <w:r w:rsidR="00D5280B" w:rsidRPr="00EE5714">
        <w:rPr>
          <w:rFonts w:ascii="Times New Roman" w:hAnsi="Times New Roman" w:cs="Times New Roman"/>
          <w:sz w:val="26"/>
          <w:szCs w:val="26"/>
        </w:rPr>
        <w:t xml:space="preserve"> or </w:t>
      </w:r>
      <w:r w:rsidR="00583C1D" w:rsidRPr="00EE5714">
        <w:rPr>
          <w:rFonts w:ascii="Times New Roman" w:hAnsi="Times New Roman" w:cs="Times New Roman"/>
          <w:sz w:val="26"/>
          <w:szCs w:val="26"/>
        </w:rPr>
        <w:t>minors</w:t>
      </w:r>
      <w:r w:rsidR="00D87926" w:rsidRPr="00EE5714">
        <w:rPr>
          <w:rFonts w:ascii="Times New Roman" w:hAnsi="Times New Roman" w:cs="Times New Roman"/>
          <w:sz w:val="26"/>
          <w:szCs w:val="26"/>
        </w:rPr>
        <w:t xml:space="preserve"> (</w:t>
      </w:r>
      <w:r w:rsidR="008F79DB" w:rsidRPr="00EE5714">
        <w:rPr>
          <w:rFonts w:ascii="Times New Roman" w:hAnsi="Times New Roman" w:cs="Times New Roman"/>
          <w:sz w:val="26"/>
          <w:szCs w:val="26"/>
        </w:rPr>
        <w:t>under 18)</w:t>
      </w:r>
      <w:r w:rsidR="00583C1D" w:rsidRPr="00EE5714">
        <w:rPr>
          <w:rFonts w:ascii="Times New Roman" w:hAnsi="Times New Roman" w:cs="Times New Roman"/>
          <w:sz w:val="26"/>
          <w:szCs w:val="26"/>
        </w:rPr>
        <w:t xml:space="preserve">.  </w:t>
      </w:r>
      <w:r w:rsidR="00913617" w:rsidRPr="00EE5714">
        <w:rPr>
          <w:rFonts w:ascii="Times New Roman" w:hAnsi="Times New Roman" w:cs="Times New Roman"/>
          <w:sz w:val="26"/>
          <w:szCs w:val="26"/>
        </w:rPr>
        <w:t>Over 70% of Pennsylvania households heat with either natural gas or electricity (51% of heat with natural gas and 22% heat with electricity).</w:t>
      </w:r>
      <w:r w:rsidR="005E5A3D" w:rsidRPr="00EE5714">
        <w:rPr>
          <w:rStyle w:val="FootnoteReference"/>
          <w:rFonts w:ascii="Times New Roman" w:hAnsi="Times New Roman" w:cs="Times New Roman"/>
          <w:sz w:val="26"/>
          <w:szCs w:val="26"/>
        </w:rPr>
        <w:footnoteReference w:id="11"/>
      </w:r>
      <w:r w:rsidR="00913617" w:rsidRPr="00EE5714">
        <w:rPr>
          <w:rFonts w:ascii="Times New Roman" w:hAnsi="Times New Roman" w:cs="Times New Roman"/>
          <w:sz w:val="26"/>
          <w:szCs w:val="26"/>
        </w:rPr>
        <w:t xml:space="preserve">    </w:t>
      </w:r>
      <w:r w:rsidR="004B6FF0" w:rsidRPr="00EE5714">
        <w:rPr>
          <w:rFonts w:ascii="Times New Roman" w:hAnsi="Times New Roman" w:cs="Times New Roman"/>
          <w:sz w:val="26"/>
          <w:szCs w:val="26"/>
        </w:rPr>
        <w:t>Over one-third</w:t>
      </w:r>
      <w:r w:rsidR="00F92E62" w:rsidRPr="00EE5714">
        <w:rPr>
          <w:rFonts w:ascii="Times New Roman" w:hAnsi="Times New Roman" w:cs="Times New Roman"/>
          <w:sz w:val="26"/>
          <w:szCs w:val="26"/>
        </w:rPr>
        <w:t xml:space="preserve"> of </w:t>
      </w:r>
      <w:r w:rsidR="004B6FF0" w:rsidRPr="00EE5714">
        <w:rPr>
          <w:rFonts w:ascii="Times New Roman" w:hAnsi="Times New Roman" w:cs="Times New Roman"/>
          <w:sz w:val="26"/>
          <w:szCs w:val="26"/>
        </w:rPr>
        <w:t>Pennsylvania households</w:t>
      </w:r>
      <w:r w:rsidR="00436DDB" w:rsidRPr="00EE5714">
        <w:rPr>
          <w:rFonts w:ascii="Times New Roman" w:hAnsi="Times New Roman" w:cs="Times New Roman"/>
          <w:sz w:val="26"/>
          <w:szCs w:val="26"/>
        </w:rPr>
        <w:t xml:space="preserve"> </w:t>
      </w:r>
      <w:r w:rsidR="000C2275" w:rsidRPr="00EE5714">
        <w:rPr>
          <w:rFonts w:ascii="Times New Roman" w:hAnsi="Times New Roman" w:cs="Times New Roman"/>
          <w:sz w:val="26"/>
          <w:szCs w:val="26"/>
        </w:rPr>
        <w:t>experience some level of poverty.</w:t>
      </w:r>
      <w:r w:rsidR="00FE0405" w:rsidRPr="00EE5714">
        <w:rPr>
          <w:rStyle w:val="FootnoteReference"/>
          <w:rFonts w:ascii="Times New Roman" w:hAnsi="Times New Roman" w:cs="Times New Roman"/>
          <w:sz w:val="26"/>
          <w:szCs w:val="26"/>
        </w:rPr>
        <w:footnoteReference w:id="12"/>
      </w:r>
      <w:r w:rsidR="000C2275" w:rsidRPr="00EE5714">
        <w:rPr>
          <w:rFonts w:ascii="Times New Roman" w:hAnsi="Times New Roman" w:cs="Times New Roman"/>
          <w:sz w:val="26"/>
          <w:szCs w:val="26"/>
        </w:rPr>
        <w:t xml:space="preserve">  </w:t>
      </w:r>
      <w:r w:rsidR="00FE0405" w:rsidRPr="00EE5714">
        <w:rPr>
          <w:rFonts w:ascii="Times New Roman" w:hAnsi="Times New Roman" w:cs="Times New Roman"/>
          <w:sz w:val="26"/>
          <w:szCs w:val="26"/>
        </w:rPr>
        <w:t xml:space="preserve">Approximately </w:t>
      </w:r>
      <w:r w:rsidR="00D17078" w:rsidRPr="00EE5714">
        <w:rPr>
          <w:rFonts w:ascii="Times New Roman" w:hAnsi="Times New Roman" w:cs="Times New Roman"/>
          <w:sz w:val="26"/>
          <w:szCs w:val="26"/>
        </w:rPr>
        <w:t>8</w:t>
      </w:r>
      <w:r w:rsidR="00436DDB" w:rsidRPr="00EE5714">
        <w:rPr>
          <w:rFonts w:ascii="Times New Roman" w:hAnsi="Times New Roman" w:cs="Times New Roman"/>
          <w:sz w:val="26"/>
          <w:szCs w:val="26"/>
        </w:rPr>
        <w:t xml:space="preserve">% of </w:t>
      </w:r>
      <w:r w:rsidR="007104D2" w:rsidRPr="00EE5714">
        <w:rPr>
          <w:rFonts w:ascii="Times New Roman" w:hAnsi="Times New Roman" w:cs="Times New Roman"/>
          <w:sz w:val="26"/>
          <w:szCs w:val="26"/>
        </w:rPr>
        <w:t>Pennsylvania’s</w:t>
      </w:r>
      <w:r w:rsidR="00436DDB" w:rsidRPr="00EE5714">
        <w:rPr>
          <w:rFonts w:ascii="Times New Roman" w:hAnsi="Times New Roman" w:cs="Times New Roman"/>
          <w:sz w:val="26"/>
          <w:szCs w:val="26"/>
        </w:rPr>
        <w:t xml:space="preserve"> </w:t>
      </w:r>
      <w:r w:rsidR="00D17078" w:rsidRPr="00EE5714">
        <w:rPr>
          <w:rFonts w:ascii="Times New Roman" w:hAnsi="Times New Roman" w:cs="Times New Roman"/>
          <w:sz w:val="26"/>
          <w:szCs w:val="26"/>
        </w:rPr>
        <w:t>households</w:t>
      </w:r>
      <w:r w:rsidR="00436DDB" w:rsidRPr="00EE5714">
        <w:rPr>
          <w:rFonts w:ascii="Times New Roman" w:hAnsi="Times New Roman" w:cs="Times New Roman"/>
          <w:sz w:val="26"/>
          <w:szCs w:val="26"/>
        </w:rPr>
        <w:t xml:space="preserve"> </w:t>
      </w:r>
      <w:r w:rsidR="0032470D" w:rsidRPr="00EE5714">
        <w:rPr>
          <w:rFonts w:ascii="Times New Roman" w:hAnsi="Times New Roman" w:cs="Times New Roman"/>
          <w:sz w:val="26"/>
          <w:szCs w:val="26"/>
        </w:rPr>
        <w:t>reported</w:t>
      </w:r>
      <w:r w:rsidR="00436DDB" w:rsidRPr="00EE5714">
        <w:rPr>
          <w:rFonts w:ascii="Times New Roman" w:hAnsi="Times New Roman" w:cs="Times New Roman"/>
          <w:sz w:val="26"/>
          <w:szCs w:val="26"/>
        </w:rPr>
        <w:t xml:space="preserve"> incomes below 50% of the FPIG; </w:t>
      </w:r>
      <w:r w:rsidR="00ED49DF" w:rsidRPr="00EE5714">
        <w:rPr>
          <w:rFonts w:ascii="Times New Roman" w:hAnsi="Times New Roman" w:cs="Times New Roman"/>
          <w:sz w:val="26"/>
          <w:szCs w:val="26"/>
        </w:rPr>
        <w:t>17</w:t>
      </w:r>
      <w:r w:rsidR="00436DDB" w:rsidRPr="00EE5714">
        <w:rPr>
          <w:rFonts w:ascii="Times New Roman" w:hAnsi="Times New Roman" w:cs="Times New Roman"/>
          <w:sz w:val="26"/>
          <w:szCs w:val="26"/>
        </w:rPr>
        <w:t xml:space="preserve">% </w:t>
      </w:r>
      <w:r w:rsidR="0032470D" w:rsidRPr="00EE5714">
        <w:rPr>
          <w:rFonts w:ascii="Times New Roman" w:hAnsi="Times New Roman" w:cs="Times New Roman"/>
          <w:sz w:val="26"/>
          <w:szCs w:val="26"/>
        </w:rPr>
        <w:t>reported</w:t>
      </w:r>
      <w:r w:rsidR="00436DDB" w:rsidRPr="00EE5714">
        <w:rPr>
          <w:rFonts w:ascii="Times New Roman" w:hAnsi="Times New Roman" w:cs="Times New Roman"/>
          <w:sz w:val="26"/>
          <w:szCs w:val="26"/>
        </w:rPr>
        <w:t xml:space="preserve"> incomes below 100%; </w:t>
      </w:r>
      <w:r w:rsidR="00A02594" w:rsidRPr="00EE5714">
        <w:rPr>
          <w:rFonts w:ascii="Times New Roman" w:hAnsi="Times New Roman" w:cs="Times New Roman"/>
          <w:sz w:val="26"/>
          <w:szCs w:val="26"/>
        </w:rPr>
        <w:t>27</w:t>
      </w:r>
      <w:r w:rsidR="00436DDB" w:rsidRPr="00EE5714">
        <w:rPr>
          <w:rFonts w:ascii="Times New Roman" w:hAnsi="Times New Roman" w:cs="Times New Roman"/>
          <w:sz w:val="26"/>
          <w:szCs w:val="26"/>
        </w:rPr>
        <w:t xml:space="preserve">% </w:t>
      </w:r>
      <w:r w:rsidR="0032470D" w:rsidRPr="00EE5714">
        <w:rPr>
          <w:rFonts w:ascii="Times New Roman" w:hAnsi="Times New Roman" w:cs="Times New Roman"/>
          <w:sz w:val="26"/>
          <w:szCs w:val="26"/>
        </w:rPr>
        <w:t>reported</w:t>
      </w:r>
      <w:r w:rsidR="00436DDB" w:rsidRPr="00EE5714">
        <w:rPr>
          <w:rFonts w:ascii="Times New Roman" w:hAnsi="Times New Roman" w:cs="Times New Roman"/>
          <w:sz w:val="26"/>
          <w:szCs w:val="26"/>
        </w:rPr>
        <w:t xml:space="preserve"> incomes below 1</w:t>
      </w:r>
      <w:r w:rsidR="00A02594" w:rsidRPr="00EE5714">
        <w:rPr>
          <w:rFonts w:ascii="Times New Roman" w:hAnsi="Times New Roman" w:cs="Times New Roman"/>
          <w:sz w:val="26"/>
          <w:szCs w:val="26"/>
        </w:rPr>
        <w:t>50</w:t>
      </w:r>
      <w:r w:rsidR="00436DDB" w:rsidRPr="00EE5714">
        <w:rPr>
          <w:rFonts w:ascii="Times New Roman" w:hAnsi="Times New Roman" w:cs="Times New Roman"/>
          <w:sz w:val="26"/>
          <w:szCs w:val="26"/>
        </w:rPr>
        <w:t>%</w:t>
      </w:r>
      <w:r w:rsidR="00A02594" w:rsidRPr="00EE5714">
        <w:rPr>
          <w:rFonts w:ascii="Times New Roman" w:hAnsi="Times New Roman" w:cs="Times New Roman"/>
          <w:sz w:val="26"/>
          <w:szCs w:val="26"/>
        </w:rPr>
        <w:t xml:space="preserve">, and </w:t>
      </w:r>
      <w:r w:rsidR="000B4573" w:rsidRPr="00EE5714">
        <w:rPr>
          <w:rFonts w:ascii="Times New Roman" w:hAnsi="Times New Roman" w:cs="Times New Roman"/>
          <w:sz w:val="26"/>
          <w:szCs w:val="26"/>
        </w:rPr>
        <w:t xml:space="preserve">37% had incomes below </w:t>
      </w:r>
      <w:r w:rsidR="00FC1FF4" w:rsidRPr="00EE5714">
        <w:rPr>
          <w:rFonts w:ascii="Times New Roman" w:hAnsi="Times New Roman" w:cs="Times New Roman"/>
          <w:sz w:val="26"/>
          <w:szCs w:val="26"/>
        </w:rPr>
        <w:t>200%</w:t>
      </w:r>
      <w:r w:rsidR="005B5C2D" w:rsidRPr="00EE5714">
        <w:rPr>
          <w:rFonts w:ascii="Times New Roman" w:hAnsi="Times New Roman" w:cs="Times New Roman"/>
          <w:sz w:val="26"/>
          <w:szCs w:val="26"/>
        </w:rPr>
        <w:t>,</w:t>
      </w:r>
      <w:r w:rsidR="00FC1FF4" w:rsidRPr="00EE5714">
        <w:rPr>
          <w:rFonts w:ascii="Times New Roman" w:hAnsi="Times New Roman" w:cs="Times New Roman"/>
          <w:sz w:val="26"/>
          <w:szCs w:val="26"/>
        </w:rPr>
        <w:t xml:space="preserve"> </w:t>
      </w:r>
      <w:r w:rsidR="005B5C2D" w:rsidRPr="00EE5714">
        <w:rPr>
          <w:rFonts w:ascii="Times New Roman" w:hAnsi="Times New Roman" w:cs="Times New Roman"/>
          <w:sz w:val="26"/>
          <w:szCs w:val="26"/>
        </w:rPr>
        <w:t>cum</w:t>
      </w:r>
      <w:r w:rsidR="00D06E30" w:rsidRPr="00EE5714">
        <w:rPr>
          <w:rFonts w:ascii="Times New Roman" w:hAnsi="Times New Roman" w:cs="Times New Roman"/>
          <w:sz w:val="26"/>
          <w:szCs w:val="26"/>
        </w:rPr>
        <w:t>ulatively</w:t>
      </w:r>
      <w:r w:rsidR="00436DDB" w:rsidRPr="00EE5714">
        <w:rPr>
          <w:rFonts w:ascii="Times New Roman" w:hAnsi="Times New Roman" w:cs="Times New Roman"/>
          <w:sz w:val="26"/>
          <w:szCs w:val="26"/>
        </w:rPr>
        <w:t>.</w:t>
      </w:r>
      <w:r w:rsidR="004A52DF" w:rsidRPr="00EE5714">
        <w:rPr>
          <w:rStyle w:val="FootnoteReference"/>
          <w:rFonts w:ascii="Times New Roman" w:hAnsi="Times New Roman" w:cs="Times New Roman"/>
          <w:sz w:val="26"/>
          <w:szCs w:val="26"/>
        </w:rPr>
        <w:footnoteReference w:id="13"/>
      </w:r>
      <w:r w:rsidR="00436DDB" w:rsidRPr="00EE5714">
        <w:rPr>
          <w:rFonts w:ascii="Times New Roman" w:hAnsi="Times New Roman" w:cs="Times New Roman"/>
          <w:sz w:val="26"/>
          <w:szCs w:val="26"/>
        </w:rPr>
        <w:t xml:space="preserve"> </w:t>
      </w:r>
      <w:r w:rsidR="00B1020E" w:rsidRPr="00EE5714">
        <w:rPr>
          <w:rFonts w:ascii="Times New Roman" w:hAnsi="Times New Roman" w:cs="Times New Roman"/>
          <w:sz w:val="26"/>
          <w:szCs w:val="26"/>
        </w:rPr>
        <w:t xml:space="preserve"> </w:t>
      </w:r>
    </w:p>
    <w:p w14:paraId="09AF2429" w14:textId="77777777" w:rsidR="00436DDB" w:rsidRPr="00EE5714" w:rsidRDefault="00436DDB" w:rsidP="00436DDB">
      <w:pPr>
        <w:pStyle w:val="NoSpacing"/>
        <w:rPr>
          <w:rFonts w:cs="Times New Roman"/>
          <w:b/>
          <w:color w:val="2F5496" w:themeColor="accent1" w:themeShade="BF"/>
          <w:szCs w:val="26"/>
        </w:rPr>
      </w:pPr>
    </w:p>
    <w:p w14:paraId="1F0ADF09" w14:textId="77777777" w:rsidR="00436DDB" w:rsidRPr="00EE5714" w:rsidRDefault="00436DDB" w:rsidP="00E45F8E">
      <w:pPr>
        <w:pStyle w:val="NoSpacing"/>
        <w:keepNext/>
        <w:rPr>
          <w:rFonts w:cs="Times New Roman"/>
          <w:b/>
          <w:color w:val="2F5496" w:themeColor="accent1" w:themeShade="BF"/>
          <w:szCs w:val="26"/>
        </w:rPr>
      </w:pPr>
      <w:r w:rsidRPr="00EE5714">
        <w:rPr>
          <w:rFonts w:cs="Times New Roman"/>
          <w:b/>
          <w:bCs/>
          <w:i/>
          <w:iCs/>
          <w:color w:val="2F5496" w:themeColor="accent1" w:themeShade="BF"/>
          <w:szCs w:val="26"/>
        </w:rPr>
        <w:t>Universal Service Programs in Pennsylvania</w:t>
      </w:r>
    </w:p>
    <w:p w14:paraId="7F1B2133" w14:textId="77777777" w:rsidR="00436DDB" w:rsidRPr="00EE5714" w:rsidRDefault="00436DDB" w:rsidP="00E45F8E">
      <w:pPr>
        <w:pStyle w:val="NoSpacing"/>
        <w:keepNext/>
        <w:rPr>
          <w:rFonts w:cs="Times New Roman"/>
          <w:b/>
          <w:color w:val="2F5496" w:themeColor="accent1" w:themeShade="BF"/>
          <w:szCs w:val="26"/>
        </w:rPr>
      </w:pPr>
    </w:p>
    <w:p w14:paraId="4ED5A5ED" w14:textId="77777777" w:rsidR="00436DDB" w:rsidRPr="00EE5714" w:rsidRDefault="00436DDB" w:rsidP="00436DDB">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 xml:space="preserve">The Commission’s leadership in addressing the home energy needs of low-income households in Pennsylvania began as early as 1984 when it </w:t>
      </w:r>
      <w:r w:rsidR="00DC67E2" w:rsidRPr="00EE5714">
        <w:rPr>
          <w:rFonts w:ascii="Times New Roman" w:hAnsi="Times New Roman" w:cs="Times New Roman"/>
          <w:sz w:val="26"/>
          <w:szCs w:val="26"/>
        </w:rPr>
        <w:t xml:space="preserve">commenced </w:t>
      </w:r>
      <w:r w:rsidRPr="00EE5714">
        <w:rPr>
          <w:rFonts w:ascii="Times New Roman" w:hAnsi="Times New Roman" w:cs="Times New Roman"/>
          <w:i/>
          <w:iCs/>
          <w:sz w:val="26"/>
          <w:szCs w:val="26"/>
        </w:rPr>
        <w:t xml:space="preserve">Recommendations for Dealing with Payment Troubled Customers </w:t>
      </w:r>
      <w:r w:rsidRPr="00EE5714">
        <w:rPr>
          <w:rFonts w:ascii="Times New Roman" w:hAnsi="Times New Roman" w:cs="Times New Roman"/>
          <w:sz w:val="26"/>
          <w:szCs w:val="26"/>
        </w:rPr>
        <w:t>at Docket No. M</w:t>
      </w:r>
      <w:r w:rsidRPr="00EE5714">
        <w:rPr>
          <w:rFonts w:ascii="Times New Roman" w:hAnsi="Times New Roman" w:cs="Times New Roman"/>
          <w:sz w:val="26"/>
          <w:szCs w:val="26"/>
        </w:rPr>
        <w:noBreakHyphen/>
        <w:t>840403.  As a result of that proceeding, energy utilities in Pennsylvania began implementing low-income usage reduction programs (LIURPs) and contemplating how to address the arrearages of low-income customers.</w:t>
      </w:r>
    </w:p>
    <w:p w14:paraId="754B4D6F" w14:textId="77777777" w:rsidR="00436DDB" w:rsidRPr="00EE5714" w:rsidRDefault="00436DDB" w:rsidP="00436DDB">
      <w:pPr>
        <w:pStyle w:val="NoSpacing"/>
        <w:rPr>
          <w:rFonts w:cs="Times New Roman"/>
          <w:szCs w:val="26"/>
        </w:rPr>
      </w:pPr>
    </w:p>
    <w:p w14:paraId="64E6A172" w14:textId="22AA06C8" w:rsidR="00436DDB" w:rsidRPr="00EE5714" w:rsidRDefault="00436DDB" w:rsidP="00436DDB">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 xml:space="preserve">In 1992, with the continued accumulation of arrearages and uncollectable debt by low-income utility customers, the Commission adopted a policy statement at 52 Pa. Code §§ 69.261-69.267 that established guidelines for major electric and natural gas utilities to voluntarily implement pilot CAPs.  The purpose of a CAP </w:t>
      </w:r>
      <w:r w:rsidR="00F47E8E" w:rsidRPr="00EE5714">
        <w:rPr>
          <w:rFonts w:ascii="Times New Roman" w:hAnsi="Times New Roman" w:cs="Times New Roman"/>
          <w:sz w:val="26"/>
          <w:szCs w:val="26"/>
        </w:rPr>
        <w:t>is two</w:t>
      </w:r>
      <w:r w:rsidR="00EC010B" w:rsidRPr="00EE5714">
        <w:rPr>
          <w:rFonts w:ascii="Times New Roman" w:hAnsi="Times New Roman" w:cs="Times New Roman"/>
          <w:sz w:val="26"/>
          <w:szCs w:val="26"/>
        </w:rPr>
        <w:t>-fold:</w:t>
      </w:r>
      <w:r w:rsidRPr="00EE5714">
        <w:rPr>
          <w:rFonts w:ascii="Times New Roman" w:hAnsi="Times New Roman" w:cs="Times New Roman"/>
          <w:sz w:val="26"/>
          <w:szCs w:val="26"/>
        </w:rPr>
        <w:t xml:space="preserve"> to help make utility services more affordable for low-income, payment-troubled individuals </w:t>
      </w:r>
      <w:r w:rsidR="00EC010B" w:rsidRPr="00EE5714">
        <w:rPr>
          <w:rFonts w:ascii="Times New Roman" w:hAnsi="Times New Roman" w:cs="Times New Roman"/>
          <w:sz w:val="26"/>
          <w:szCs w:val="26"/>
        </w:rPr>
        <w:t xml:space="preserve">and </w:t>
      </w:r>
      <w:r w:rsidR="00C201DA" w:rsidRPr="00EE5714">
        <w:rPr>
          <w:rFonts w:ascii="Times New Roman" w:hAnsi="Times New Roman" w:cs="Times New Roman"/>
          <w:sz w:val="26"/>
          <w:szCs w:val="26"/>
        </w:rPr>
        <w:t xml:space="preserve">to </w:t>
      </w:r>
      <w:r w:rsidRPr="00EE5714">
        <w:rPr>
          <w:rFonts w:ascii="Times New Roman" w:hAnsi="Times New Roman" w:cs="Times New Roman"/>
          <w:sz w:val="26"/>
          <w:szCs w:val="26"/>
        </w:rPr>
        <w:t xml:space="preserve">reduce the costs of a utility’s uncollectible amounts.  </w:t>
      </w:r>
      <w:r w:rsidR="001C788B" w:rsidRPr="00EE5714">
        <w:rPr>
          <w:rFonts w:ascii="Times New Roman" w:hAnsi="Times New Roman" w:cs="Times New Roman"/>
          <w:i/>
          <w:sz w:val="26"/>
          <w:szCs w:val="26"/>
        </w:rPr>
        <w:t>Investigation of Uncollectible Balances</w:t>
      </w:r>
      <w:r w:rsidR="00067DFC" w:rsidRPr="00EE5714">
        <w:rPr>
          <w:rFonts w:ascii="Times New Roman" w:hAnsi="Times New Roman" w:cs="Times New Roman"/>
          <w:sz w:val="26"/>
          <w:szCs w:val="26"/>
        </w:rPr>
        <w:t>,</w:t>
      </w:r>
      <w:r w:rsidR="001C788B" w:rsidRPr="00EE5714">
        <w:rPr>
          <w:rFonts w:ascii="Times New Roman" w:hAnsi="Times New Roman" w:cs="Times New Roman"/>
          <w:sz w:val="26"/>
          <w:szCs w:val="26"/>
        </w:rPr>
        <w:t xml:space="preserve"> </w:t>
      </w:r>
      <w:r w:rsidRPr="00EE5714">
        <w:rPr>
          <w:rFonts w:ascii="Times New Roman" w:hAnsi="Times New Roman" w:cs="Times New Roman"/>
          <w:sz w:val="26"/>
          <w:szCs w:val="26"/>
        </w:rPr>
        <w:t>Docket No. I-900002</w:t>
      </w:r>
      <w:r w:rsidR="00067DFC" w:rsidRPr="00EE5714">
        <w:rPr>
          <w:rFonts w:ascii="Times New Roman" w:hAnsi="Times New Roman" w:cs="Times New Roman"/>
          <w:sz w:val="26"/>
          <w:szCs w:val="26"/>
        </w:rPr>
        <w:t>, at 115 to 118</w:t>
      </w:r>
      <w:r w:rsidR="003C24DB"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 Low-income, payment-troubled customers are </w:t>
      </w:r>
      <w:r w:rsidR="004C5975" w:rsidRPr="00EE5714">
        <w:rPr>
          <w:rFonts w:ascii="Times New Roman" w:hAnsi="Times New Roman" w:cs="Times New Roman"/>
          <w:sz w:val="26"/>
          <w:szCs w:val="26"/>
        </w:rPr>
        <w:t xml:space="preserve">defined as </w:t>
      </w:r>
      <w:r w:rsidRPr="00EE5714">
        <w:rPr>
          <w:rFonts w:ascii="Times New Roman" w:hAnsi="Times New Roman" w:cs="Times New Roman"/>
          <w:sz w:val="26"/>
          <w:szCs w:val="26"/>
        </w:rPr>
        <w:t>residential utility customers whose annual household gross income is at or below 150% of the FPIG and who have failed to maintain one or more payment arrangements.</w:t>
      </w:r>
      <w:r w:rsidR="00A71B50" w:rsidRPr="00EE5714">
        <w:rPr>
          <w:rStyle w:val="FootnoteReference"/>
          <w:rFonts w:ascii="Times New Roman" w:hAnsi="Times New Roman" w:cs="Times New Roman"/>
          <w:sz w:val="26"/>
          <w:szCs w:val="26"/>
        </w:rPr>
        <w:footnoteReference w:id="14"/>
      </w:r>
      <w:r w:rsidRPr="00EE5714">
        <w:rPr>
          <w:rFonts w:ascii="Times New Roman" w:hAnsi="Times New Roman" w:cs="Times New Roman"/>
          <w:sz w:val="26"/>
          <w:szCs w:val="26"/>
        </w:rPr>
        <w:t xml:space="preserve">  52 Pa. Code §§ 54.</w:t>
      </w:r>
      <w:r w:rsidR="00DD560D" w:rsidRPr="00EE5714">
        <w:rPr>
          <w:rFonts w:ascii="Times New Roman" w:hAnsi="Times New Roman" w:cs="Times New Roman"/>
          <w:sz w:val="26"/>
          <w:szCs w:val="26"/>
        </w:rPr>
        <w:t>7</w:t>
      </w:r>
      <w:r w:rsidRPr="00EE5714">
        <w:rPr>
          <w:rFonts w:ascii="Times New Roman" w:hAnsi="Times New Roman" w:cs="Times New Roman"/>
          <w:sz w:val="26"/>
          <w:szCs w:val="26"/>
        </w:rPr>
        <w:t>2 and 62.2</w:t>
      </w:r>
      <w:r w:rsidR="00726793" w:rsidRPr="00EE5714">
        <w:rPr>
          <w:rFonts w:ascii="Times New Roman" w:hAnsi="Times New Roman" w:cs="Times New Roman"/>
          <w:sz w:val="26"/>
          <w:szCs w:val="26"/>
        </w:rPr>
        <w:t>.</w:t>
      </w:r>
      <w:r w:rsidRPr="00EE5714">
        <w:rPr>
          <w:rFonts w:ascii="Times New Roman" w:hAnsi="Times New Roman" w:cs="Times New Roman"/>
          <w:sz w:val="26"/>
          <w:szCs w:val="26"/>
        </w:rPr>
        <w:t xml:space="preserve">   </w:t>
      </w:r>
    </w:p>
    <w:p w14:paraId="7ECC71A5" w14:textId="77777777" w:rsidR="00436DDB" w:rsidRPr="00EE5714" w:rsidRDefault="00436DDB" w:rsidP="00436DDB">
      <w:pPr>
        <w:spacing w:after="0" w:line="240" w:lineRule="auto"/>
        <w:rPr>
          <w:rFonts w:ascii="Times New Roman" w:hAnsi="Times New Roman" w:cs="Times New Roman"/>
          <w:sz w:val="26"/>
          <w:szCs w:val="26"/>
        </w:rPr>
      </w:pPr>
    </w:p>
    <w:p w14:paraId="0430C1FA" w14:textId="77777777" w:rsidR="00436DDB" w:rsidRPr="00EE5714" w:rsidRDefault="00436DDB" w:rsidP="00436DDB">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 xml:space="preserve">The CAP Policy Statement, which was subsequently amended, in part, in 1999, provides guidelines on the design and operation of CAPs, including establishing guidance on maximum energy burden ranges that low-income customers could be expected to pay in exchange for continued utility services.  The 1992 CAP Policy Statement recommended that a CAP customer’s combined </w:t>
      </w:r>
      <w:r w:rsidR="003323FF" w:rsidRPr="00EE5714">
        <w:rPr>
          <w:rFonts w:ascii="Times New Roman" w:hAnsi="Times New Roman" w:cs="Times New Roman"/>
          <w:sz w:val="26"/>
          <w:szCs w:val="26"/>
        </w:rPr>
        <w:t xml:space="preserve">jurisdictional natural </w:t>
      </w:r>
      <w:r w:rsidRPr="00EE5714">
        <w:rPr>
          <w:rFonts w:ascii="Times New Roman" w:hAnsi="Times New Roman" w:cs="Times New Roman"/>
          <w:sz w:val="26"/>
          <w:szCs w:val="26"/>
        </w:rPr>
        <w:t xml:space="preserve">gas and electric energy burden should not exceed 15%.  The 1999 CAP Policy Statement amendment increased the maximum household energy burden to 17%.  Table 1-1 below indicates the </w:t>
      </w:r>
      <w:r w:rsidRPr="00EE5714">
        <w:rPr>
          <w:rFonts w:ascii="Times New Roman" w:hAnsi="Times New Roman" w:cs="Times New Roman"/>
          <w:sz w:val="26"/>
          <w:szCs w:val="26"/>
        </w:rPr>
        <w:lastRenderedPageBreak/>
        <w:t>energy burden levels based on the FPIG and the nature of the energy usage in the household from Section 69.625 in the CAP Policy Statement.</w:t>
      </w:r>
    </w:p>
    <w:p w14:paraId="5D8E512F" w14:textId="77777777" w:rsidR="00436DDB" w:rsidRPr="00EE5714" w:rsidRDefault="00436DDB" w:rsidP="00436DDB">
      <w:pPr>
        <w:spacing w:after="0" w:line="240" w:lineRule="auto"/>
        <w:rPr>
          <w:rFonts w:ascii="Times New Roman" w:hAnsi="Times New Roman" w:cs="Times New Roman"/>
          <w:sz w:val="26"/>
          <w:szCs w:val="26"/>
        </w:rPr>
      </w:pPr>
    </w:p>
    <w:p w14:paraId="37CD6F36" w14:textId="77777777" w:rsidR="00436DDB" w:rsidRPr="00EE5714" w:rsidRDefault="00436DDB" w:rsidP="00436DDB">
      <w:pPr>
        <w:keepNext/>
        <w:spacing w:after="0" w:line="240" w:lineRule="auto"/>
        <w:jc w:val="center"/>
        <w:rPr>
          <w:rFonts w:ascii="Times New Roman" w:hAnsi="Times New Roman" w:cs="Times New Roman"/>
          <w:b/>
          <w:bCs/>
          <w:sz w:val="24"/>
          <w:szCs w:val="24"/>
        </w:rPr>
      </w:pPr>
      <w:r w:rsidRPr="00EE5714">
        <w:rPr>
          <w:rFonts w:ascii="Times New Roman" w:hAnsi="Times New Roman" w:cs="Times New Roman"/>
          <w:b/>
          <w:bCs/>
          <w:sz w:val="24"/>
          <w:szCs w:val="24"/>
        </w:rPr>
        <w:t>Table 1-1</w:t>
      </w:r>
    </w:p>
    <w:p w14:paraId="5F303D1D" w14:textId="77777777" w:rsidR="00436DDB" w:rsidRPr="00EE5714" w:rsidRDefault="00436DDB" w:rsidP="00436DDB">
      <w:pPr>
        <w:keepNext/>
        <w:spacing w:after="0" w:line="240" w:lineRule="auto"/>
        <w:jc w:val="center"/>
        <w:rPr>
          <w:rFonts w:ascii="Times New Roman" w:hAnsi="Times New Roman" w:cs="Times New Roman"/>
          <w:b/>
          <w:bCs/>
          <w:sz w:val="24"/>
          <w:szCs w:val="24"/>
        </w:rPr>
      </w:pPr>
      <w:r w:rsidRPr="00EE5714">
        <w:rPr>
          <w:rFonts w:ascii="Times New Roman" w:hAnsi="Times New Roman" w:cs="Times New Roman"/>
          <w:b/>
          <w:bCs/>
          <w:sz w:val="24"/>
          <w:szCs w:val="24"/>
        </w:rPr>
        <w:t>CAP Policy Statement Maximum Energy Burden Levels</w:t>
      </w:r>
      <w:r w:rsidRPr="00EE5714">
        <w:rPr>
          <w:rFonts w:ascii="Times New Roman" w:hAnsi="Times New Roman" w:cs="Times New Roman"/>
          <w:b/>
          <w:bCs/>
          <w:sz w:val="24"/>
          <w:szCs w:val="24"/>
          <w:vertAlign w:val="superscript"/>
        </w:rPr>
        <w:footnoteReference w:id="15"/>
      </w:r>
    </w:p>
    <w:tbl>
      <w:tblPr>
        <w:tblW w:w="9270" w:type="dxa"/>
        <w:jc w:val="center"/>
        <w:tblCellMar>
          <w:left w:w="0" w:type="dxa"/>
          <w:right w:w="0" w:type="dxa"/>
        </w:tblCellMar>
        <w:tblLook w:val="04A0" w:firstRow="1" w:lastRow="0" w:firstColumn="1" w:lastColumn="0" w:noHBand="0" w:noVBand="1"/>
      </w:tblPr>
      <w:tblGrid>
        <w:gridCol w:w="2353"/>
        <w:gridCol w:w="2317"/>
        <w:gridCol w:w="2260"/>
        <w:gridCol w:w="2340"/>
      </w:tblGrid>
      <w:tr w:rsidR="00436DDB" w:rsidRPr="00EE5714" w14:paraId="74B1A47D" w14:textId="77777777" w:rsidTr="00FC17E9">
        <w:trPr>
          <w:jc w:val="center"/>
        </w:trPr>
        <w:tc>
          <w:tcPr>
            <w:tcW w:w="23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A55AD9" w14:textId="77777777" w:rsidR="00436DDB" w:rsidRPr="00EE5714" w:rsidRDefault="00436DDB" w:rsidP="00FC17E9">
            <w:pPr>
              <w:keepNext/>
              <w:spacing w:after="0" w:line="240" w:lineRule="auto"/>
              <w:rPr>
                <w:rFonts w:ascii="Times New Roman" w:hAnsi="Times New Roman" w:cs="Times New Roman"/>
                <w:sz w:val="24"/>
                <w:szCs w:val="24"/>
              </w:rPr>
            </w:pPr>
            <w:r w:rsidRPr="00EE5714">
              <w:rPr>
                <w:rFonts w:ascii="Times New Roman" w:hAnsi="Times New Roman" w:cs="Times New Roman"/>
                <w:sz w:val="24"/>
                <w:szCs w:val="24"/>
              </w:rPr>
              <w:t>Utility Service</w:t>
            </w:r>
          </w:p>
        </w:tc>
        <w:tc>
          <w:tcPr>
            <w:tcW w:w="23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9B2473" w14:textId="77777777" w:rsidR="00436DDB" w:rsidRPr="00EE5714" w:rsidRDefault="00436DDB" w:rsidP="00FC17E9">
            <w:pPr>
              <w:keepNext/>
              <w:spacing w:after="0" w:line="240" w:lineRule="auto"/>
              <w:jc w:val="center"/>
              <w:rPr>
                <w:rFonts w:ascii="Times New Roman" w:hAnsi="Times New Roman" w:cs="Times New Roman"/>
                <w:sz w:val="24"/>
                <w:szCs w:val="24"/>
              </w:rPr>
            </w:pPr>
            <w:r w:rsidRPr="00EE5714">
              <w:rPr>
                <w:rFonts w:ascii="Times New Roman" w:hAnsi="Times New Roman" w:cs="Times New Roman"/>
                <w:sz w:val="24"/>
                <w:szCs w:val="24"/>
              </w:rPr>
              <w:t>0-50% FPIG</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D24605" w14:textId="77777777" w:rsidR="00436DDB" w:rsidRPr="00EE5714" w:rsidRDefault="00436DDB" w:rsidP="00FC17E9">
            <w:pPr>
              <w:keepNext/>
              <w:spacing w:after="0" w:line="240" w:lineRule="auto"/>
              <w:jc w:val="center"/>
              <w:rPr>
                <w:rFonts w:ascii="Times New Roman" w:hAnsi="Times New Roman" w:cs="Times New Roman"/>
                <w:sz w:val="24"/>
                <w:szCs w:val="24"/>
              </w:rPr>
            </w:pPr>
            <w:r w:rsidRPr="00EE5714">
              <w:rPr>
                <w:rFonts w:ascii="Times New Roman" w:hAnsi="Times New Roman" w:cs="Times New Roman"/>
                <w:sz w:val="24"/>
                <w:szCs w:val="24"/>
              </w:rPr>
              <w:t>51-100% FPIG</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D4D30D" w14:textId="77777777" w:rsidR="00436DDB" w:rsidRPr="00EE5714" w:rsidRDefault="00436DDB" w:rsidP="00FC17E9">
            <w:pPr>
              <w:keepNext/>
              <w:spacing w:after="0" w:line="240" w:lineRule="auto"/>
              <w:jc w:val="center"/>
              <w:rPr>
                <w:rFonts w:ascii="Times New Roman" w:hAnsi="Times New Roman" w:cs="Times New Roman"/>
                <w:sz w:val="24"/>
                <w:szCs w:val="24"/>
              </w:rPr>
            </w:pPr>
            <w:r w:rsidRPr="00EE5714">
              <w:rPr>
                <w:rFonts w:ascii="Times New Roman" w:hAnsi="Times New Roman" w:cs="Times New Roman"/>
                <w:sz w:val="24"/>
                <w:szCs w:val="24"/>
              </w:rPr>
              <w:t>101-150% FPIG</w:t>
            </w:r>
          </w:p>
        </w:tc>
      </w:tr>
      <w:tr w:rsidR="00436DDB" w:rsidRPr="00EE5714" w14:paraId="0286AB6E" w14:textId="77777777" w:rsidTr="00FC17E9">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03888" w14:textId="77777777" w:rsidR="00436DDB" w:rsidRPr="00EE5714" w:rsidRDefault="00436DDB" w:rsidP="00FC17E9">
            <w:pPr>
              <w:keepNext/>
              <w:spacing w:after="0" w:line="240" w:lineRule="auto"/>
              <w:rPr>
                <w:rFonts w:ascii="Times New Roman" w:hAnsi="Times New Roman" w:cs="Times New Roman"/>
                <w:sz w:val="24"/>
                <w:szCs w:val="24"/>
              </w:rPr>
            </w:pPr>
            <w:r w:rsidRPr="00EE5714">
              <w:rPr>
                <w:rFonts w:ascii="Times New Roman" w:hAnsi="Times New Roman" w:cs="Times New Roman"/>
                <w:sz w:val="24"/>
                <w:szCs w:val="24"/>
              </w:rPr>
              <w:t xml:space="preserve">Non-Heat Electric </w:t>
            </w:r>
          </w:p>
        </w:tc>
        <w:tc>
          <w:tcPr>
            <w:tcW w:w="2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5B39D" w14:textId="77777777" w:rsidR="00436DDB" w:rsidRPr="00EE5714" w:rsidRDefault="00436DDB" w:rsidP="00FC17E9">
            <w:pPr>
              <w:keepNext/>
              <w:spacing w:after="0" w:line="240" w:lineRule="auto"/>
              <w:jc w:val="center"/>
              <w:rPr>
                <w:rFonts w:ascii="Times New Roman" w:hAnsi="Times New Roman" w:cs="Times New Roman"/>
                <w:sz w:val="24"/>
                <w:szCs w:val="24"/>
              </w:rPr>
            </w:pPr>
            <w:r w:rsidRPr="00EE5714">
              <w:rPr>
                <w:rFonts w:ascii="Times New Roman" w:hAnsi="Times New Roman" w:cs="Times New Roman"/>
                <w:sz w:val="24"/>
                <w:szCs w:val="24"/>
              </w:rPr>
              <w:t>2-5%</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4871B1" w14:textId="77777777" w:rsidR="00436DDB" w:rsidRPr="00EE5714" w:rsidRDefault="00436DDB" w:rsidP="00FC17E9">
            <w:pPr>
              <w:keepNext/>
              <w:spacing w:after="0" w:line="240" w:lineRule="auto"/>
              <w:jc w:val="center"/>
              <w:rPr>
                <w:rFonts w:ascii="Times New Roman" w:hAnsi="Times New Roman" w:cs="Times New Roman"/>
                <w:sz w:val="24"/>
                <w:szCs w:val="24"/>
              </w:rPr>
            </w:pPr>
            <w:r w:rsidRPr="00EE5714">
              <w:rPr>
                <w:rFonts w:ascii="Times New Roman" w:hAnsi="Times New Roman" w:cs="Times New Roman"/>
                <w:sz w:val="24"/>
                <w:szCs w:val="24"/>
              </w:rPr>
              <w:t>4-6%</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3E5D1B" w14:textId="77777777" w:rsidR="00436DDB" w:rsidRPr="00EE5714" w:rsidRDefault="00436DDB" w:rsidP="00FC17E9">
            <w:pPr>
              <w:keepNext/>
              <w:spacing w:after="0" w:line="240" w:lineRule="auto"/>
              <w:jc w:val="center"/>
              <w:rPr>
                <w:rFonts w:ascii="Times New Roman" w:hAnsi="Times New Roman" w:cs="Times New Roman"/>
                <w:sz w:val="24"/>
                <w:szCs w:val="24"/>
              </w:rPr>
            </w:pPr>
            <w:r w:rsidRPr="00EE5714">
              <w:rPr>
                <w:rFonts w:ascii="Times New Roman" w:hAnsi="Times New Roman" w:cs="Times New Roman"/>
                <w:sz w:val="24"/>
                <w:szCs w:val="24"/>
              </w:rPr>
              <w:t>6-7%</w:t>
            </w:r>
          </w:p>
        </w:tc>
      </w:tr>
      <w:tr w:rsidR="00436DDB" w:rsidRPr="00EE5714" w14:paraId="7E9B6AF3" w14:textId="77777777" w:rsidTr="00FC17E9">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B4D8B" w14:textId="77777777" w:rsidR="00436DDB" w:rsidRPr="00EE5714" w:rsidRDefault="00436DDB" w:rsidP="00FC17E9">
            <w:pPr>
              <w:keepNext/>
              <w:spacing w:after="0" w:line="240" w:lineRule="auto"/>
              <w:rPr>
                <w:rFonts w:ascii="Times New Roman" w:hAnsi="Times New Roman" w:cs="Times New Roman"/>
                <w:sz w:val="24"/>
                <w:szCs w:val="24"/>
              </w:rPr>
            </w:pPr>
            <w:r w:rsidRPr="00EE5714">
              <w:rPr>
                <w:rFonts w:ascii="Times New Roman" w:hAnsi="Times New Roman" w:cs="Times New Roman"/>
                <w:sz w:val="24"/>
                <w:szCs w:val="24"/>
              </w:rPr>
              <w:t>Gas Heat</w:t>
            </w:r>
          </w:p>
        </w:tc>
        <w:tc>
          <w:tcPr>
            <w:tcW w:w="2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A71EA" w14:textId="77777777" w:rsidR="00436DDB" w:rsidRPr="00EE5714" w:rsidRDefault="00436DDB" w:rsidP="00FC17E9">
            <w:pPr>
              <w:keepNext/>
              <w:spacing w:after="0" w:line="240" w:lineRule="auto"/>
              <w:jc w:val="center"/>
              <w:rPr>
                <w:rFonts w:ascii="Times New Roman" w:hAnsi="Times New Roman" w:cs="Times New Roman"/>
                <w:sz w:val="24"/>
                <w:szCs w:val="24"/>
              </w:rPr>
            </w:pPr>
            <w:r w:rsidRPr="00EE5714">
              <w:rPr>
                <w:rFonts w:ascii="Times New Roman" w:hAnsi="Times New Roman" w:cs="Times New Roman"/>
                <w:sz w:val="24"/>
                <w:szCs w:val="24"/>
              </w:rPr>
              <w:t>5-8%</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0F31E" w14:textId="77777777" w:rsidR="00436DDB" w:rsidRPr="00EE5714" w:rsidRDefault="00436DDB" w:rsidP="00FC17E9">
            <w:pPr>
              <w:keepNext/>
              <w:spacing w:after="0" w:line="240" w:lineRule="auto"/>
              <w:jc w:val="center"/>
              <w:rPr>
                <w:rFonts w:ascii="Times New Roman" w:hAnsi="Times New Roman" w:cs="Times New Roman"/>
                <w:sz w:val="24"/>
                <w:szCs w:val="24"/>
              </w:rPr>
            </w:pPr>
            <w:r w:rsidRPr="00EE5714">
              <w:rPr>
                <w:rFonts w:ascii="Times New Roman" w:hAnsi="Times New Roman" w:cs="Times New Roman"/>
                <w:sz w:val="24"/>
                <w:szCs w:val="24"/>
              </w:rPr>
              <w:t>7-10%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B9DA3" w14:textId="77777777" w:rsidR="00436DDB" w:rsidRPr="00EE5714" w:rsidRDefault="00436DDB" w:rsidP="00FC17E9">
            <w:pPr>
              <w:keepNext/>
              <w:spacing w:after="0" w:line="240" w:lineRule="auto"/>
              <w:jc w:val="center"/>
              <w:rPr>
                <w:rFonts w:ascii="Times New Roman" w:hAnsi="Times New Roman" w:cs="Times New Roman"/>
                <w:sz w:val="24"/>
                <w:szCs w:val="24"/>
              </w:rPr>
            </w:pPr>
            <w:r w:rsidRPr="00EE5714">
              <w:rPr>
                <w:rFonts w:ascii="Times New Roman" w:hAnsi="Times New Roman" w:cs="Times New Roman"/>
                <w:sz w:val="24"/>
                <w:szCs w:val="24"/>
              </w:rPr>
              <w:t>9-10%</w:t>
            </w:r>
          </w:p>
        </w:tc>
      </w:tr>
      <w:tr w:rsidR="00436DDB" w:rsidRPr="00EE5714" w14:paraId="31692C52" w14:textId="77777777" w:rsidTr="00FC17E9">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62EC7B" w14:textId="77777777" w:rsidR="00436DDB" w:rsidRPr="00EE5714" w:rsidRDefault="00436DDB" w:rsidP="00FC17E9">
            <w:pPr>
              <w:spacing w:after="0" w:line="240" w:lineRule="auto"/>
              <w:rPr>
                <w:rFonts w:ascii="Times New Roman" w:hAnsi="Times New Roman" w:cs="Times New Roman"/>
                <w:sz w:val="24"/>
                <w:szCs w:val="24"/>
              </w:rPr>
            </w:pPr>
            <w:r w:rsidRPr="00EE5714">
              <w:rPr>
                <w:rFonts w:ascii="Times New Roman" w:hAnsi="Times New Roman" w:cs="Times New Roman"/>
                <w:sz w:val="24"/>
                <w:szCs w:val="24"/>
              </w:rPr>
              <w:t>Electric Heat</w:t>
            </w:r>
          </w:p>
        </w:tc>
        <w:tc>
          <w:tcPr>
            <w:tcW w:w="2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16FC6F" w14:textId="77777777" w:rsidR="00436DDB" w:rsidRPr="00EE5714" w:rsidRDefault="00436DDB" w:rsidP="00FC17E9">
            <w:pPr>
              <w:spacing w:after="0" w:line="240" w:lineRule="auto"/>
              <w:jc w:val="center"/>
              <w:rPr>
                <w:rFonts w:ascii="Times New Roman" w:hAnsi="Times New Roman" w:cs="Times New Roman"/>
                <w:sz w:val="24"/>
                <w:szCs w:val="24"/>
              </w:rPr>
            </w:pPr>
            <w:r w:rsidRPr="00EE5714">
              <w:rPr>
                <w:rFonts w:ascii="Times New Roman" w:hAnsi="Times New Roman" w:cs="Times New Roman"/>
                <w:sz w:val="24"/>
                <w:szCs w:val="24"/>
              </w:rPr>
              <w:t>7-13%</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EE852" w14:textId="77777777" w:rsidR="00436DDB" w:rsidRPr="00EE5714" w:rsidRDefault="00436DDB" w:rsidP="00FC17E9">
            <w:pPr>
              <w:spacing w:after="0" w:line="240" w:lineRule="auto"/>
              <w:jc w:val="center"/>
              <w:rPr>
                <w:rFonts w:ascii="Times New Roman" w:hAnsi="Times New Roman" w:cs="Times New Roman"/>
                <w:sz w:val="24"/>
                <w:szCs w:val="24"/>
              </w:rPr>
            </w:pPr>
            <w:r w:rsidRPr="00EE5714">
              <w:rPr>
                <w:rFonts w:ascii="Times New Roman" w:hAnsi="Times New Roman" w:cs="Times New Roman"/>
                <w:sz w:val="24"/>
                <w:szCs w:val="24"/>
              </w:rPr>
              <w:t>11-16%</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835BE5" w14:textId="77777777" w:rsidR="00436DDB" w:rsidRPr="00EE5714" w:rsidRDefault="00436DDB" w:rsidP="00FC17E9">
            <w:pPr>
              <w:spacing w:after="0" w:line="240" w:lineRule="auto"/>
              <w:jc w:val="center"/>
              <w:rPr>
                <w:rFonts w:ascii="Times New Roman" w:hAnsi="Times New Roman" w:cs="Times New Roman"/>
                <w:sz w:val="24"/>
                <w:szCs w:val="24"/>
              </w:rPr>
            </w:pPr>
            <w:r w:rsidRPr="00EE5714">
              <w:rPr>
                <w:rFonts w:ascii="Times New Roman" w:hAnsi="Times New Roman" w:cs="Times New Roman"/>
                <w:sz w:val="24"/>
                <w:szCs w:val="24"/>
              </w:rPr>
              <w:t>15-17%</w:t>
            </w:r>
          </w:p>
        </w:tc>
      </w:tr>
    </w:tbl>
    <w:p w14:paraId="2AD60E3F" w14:textId="77777777" w:rsidR="00436DDB" w:rsidRPr="00EE5714" w:rsidRDefault="00436DDB" w:rsidP="00436DDB">
      <w:pPr>
        <w:spacing w:after="0" w:line="240" w:lineRule="auto"/>
        <w:rPr>
          <w:rFonts w:ascii="Times New Roman" w:hAnsi="Times New Roman" w:cs="Times New Roman"/>
          <w:i/>
          <w:color w:val="2F5496" w:themeColor="accent1" w:themeShade="BF"/>
          <w:sz w:val="26"/>
          <w:szCs w:val="26"/>
        </w:rPr>
      </w:pPr>
    </w:p>
    <w:p w14:paraId="70ED5329" w14:textId="77777777" w:rsidR="00436DDB" w:rsidRPr="00EE5714" w:rsidRDefault="00436DDB" w:rsidP="00436DDB">
      <w:pPr>
        <w:keepNext/>
        <w:spacing w:after="0" w:line="240" w:lineRule="auto"/>
        <w:rPr>
          <w:rFonts w:ascii="Times New Roman" w:hAnsi="Times New Roman" w:cs="Times New Roman"/>
          <w:b/>
          <w:bCs/>
          <w:color w:val="2F5496" w:themeColor="accent1" w:themeShade="BF"/>
          <w:sz w:val="26"/>
          <w:szCs w:val="26"/>
        </w:rPr>
      </w:pPr>
      <w:r w:rsidRPr="00EE5714">
        <w:rPr>
          <w:rFonts w:ascii="Times New Roman" w:hAnsi="Times New Roman" w:cs="Times New Roman"/>
          <w:b/>
          <w:bCs/>
          <w:i/>
          <w:iCs/>
          <w:color w:val="2F5496" w:themeColor="accent1" w:themeShade="BF"/>
          <w:sz w:val="26"/>
          <w:szCs w:val="26"/>
        </w:rPr>
        <w:t>The Competition Acts</w:t>
      </w:r>
    </w:p>
    <w:p w14:paraId="5B9C48A6" w14:textId="77777777" w:rsidR="00436DDB" w:rsidRPr="00EE5714" w:rsidRDefault="00436DDB" w:rsidP="00436DDB">
      <w:pPr>
        <w:keepNext/>
        <w:spacing w:after="0" w:line="240" w:lineRule="auto"/>
        <w:rPr>
          <w:rFonts w:ascii="Times New Roman" w:hAnsi="Times New Roman" w:cs="Times New Roman"/>
          <w:sz w:val="24"/>
          <w:szCs w:val="24"/>
        </w:rPr>
      </w:pPr>
    </w:p>
    <w:p w14:paraId="159BF2C8" w14:textId="754CA592" w:rsidR="00436DDB" w:rsidRPr="00EE5714" w:rsidRDefault="00436DDB" w:rsidP="00436DDB">
      <w:pPr>
        <w:spacing w:after="0" w:line="240" w:lineRule="auto"/>
        <w:rPr>
          <w:rFonts w:ascii="Times New Roman" w:hAnsi="Times New Roman" w:cs="Times New Roman"/>
          <w:sz w:val="26"/>
          <w:szCs w:val="26"/>
        </w:rPr>
      </w:pPr>
      <w:r w:rsidRPr="00EE5714">
        <w:rPr>
          <w:rFonts w:ascii="Times New Roman" w:hAnsi="Times New Roman" w:cs="Times New Roman"/>
          <w:sz w:val="24"/>
          <w:szCs w:val="24"/>
        </w:rPr>
        <w:tab/>
      </w:r>
      <w:r w:rsidRPr="00EE5714">
        <w:rPr>
          <w:rFonts w:ascii="Times New Roman" w:hAnsi="Times New Roman" w:cs="Times New Roman"/>
          <w:sz w:val="26"/>
          <w:szCs w:val="26"/>
        </w:rPr>
        <w:t>In 1997 and 1999, respectively, the Electricity Generation Customer Choice and Competition Act (Electric Competition Act), 66 Pa. C.S. §§ 2801-2812 and the Natural Gas Choice and Competition Act (Gas Competition Act), 66 Pa. C.S. §§ 2201-2212, were adopted.  (Collectively, Competition Acts.)  The primary purpose of the Competition Acts was to introduce competition into the retail electric and natural gas markets by establishing standards and procedures for the restructuring of the electric and natural gas utility industries.  The Competition Acts also included several provisions relating to universal service programs for low-income customers in the Commonwealth.  The Competition Acts require the Commission to continue, at a minimum, the policies, practices, and services that were in existence as of the effective date of the laws.  66 Pa. C.S. §§ 2203(7) and 2802(10).</w:t>
      </w:r>
    </w:p>
    <w:p w14:paraId="1ABD9A68" w14:textId="77777777" w:rsidR="00436DDB" w:rsidRPr="00EE5714" w:rsidRDefault="00436DDB" w:rsidP="00436DDB">
      <w:pPr>
        <w:spacing w:after="0" w:line="240" w:lineRule="auto"/>
        <w:rPr>
          <w:rFonts w:ascii="Times New Roman" w:hAnsi="Times New Roman" w:cs="Times New Roman"/>
          <w:sz w:val="26"/>
          <w:szCs w:val="26"/>
        </w:rPr>
      </w:pPr>
    </w:p>
    <w:p w14:paraId="76D940A6" w14:textId="77777777" w:rsidR="00684B70" w:rsidRPr="00EE5714" w:rsidRDefault="00436DDB" w:rsidP="00684B70">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The Competition Acts define “universal service and energy conservation” as the policies, practices, and services that help low-income customers maintain utility service.  Although the universal service provisions of the Competition Acts tie the affordability of electric and natural gas service to a customer’s ability to maintain utility service, the Competition Acts do not specifically define the term “affordable” as it relates to the provision of retail electric and natural gas services to customers.</w:t>
      </w:r>
      <w:r w:rsidRPr="00EE5714">
        <w:rPr>
          <w:rStyle w:val="FootnoteReference"/>
          <w:rFonts w:ascii="Times New Roman" w:hAnsi="Times New Roman" w:cs="Times New Roman"/>
          <w:sz w:val="26"/>
          <w:szCs w:val="26"/>
        </w:rPr>
        <w:footnoteReference w:id="16"/>
      </w:r>
      <w:r w:rsidRPr="00EE5714">
        <w:rPr>
          <w:rFonts w:ascii="Times New Roman" w:hAnsi="Times New Roman" w:cs="Times New Roman"/>
          <w:sz w:val="26"/>
          <w:szCs w:val="26"/>
        </w:rPr>
        <w:t xml:space="preserve">  </w:t>
      </w:r>
      <w:r w:rsidR="00684B70" w:rsidRPr="00EE5714">
        <w:rPr>
          <w:rFonts w:ascii="Times New Roman" w:hAnsi="Times New Roman" w:cs="Times New Roman"/>
          <w:sz w:val="26"/>
          <w:szCs w:val="26"/>
        </w:rPr>
        <w:t xml:space="preserve">  </w:t>
      </w:r>
    </w:p>
    <w:p w14:paraId="07921B57" w14:textId="77777777" w:rsidR="009A466E" w:rsidRPr="00EE5714" w:rsidRDefault="009A466E" w:rsidP="00684B70">
      <w:pPr>
        <w:spacing w:after="0" w:line="240" w:lineRule="auto"/>
        <w:rPr>
          <w:rFonts w:ascii="Times New Roman" w:hAnsi="Times New Roman" w:cs="Times New Roman"/>
          <w:sz w:val="26"/>
          <w:szCs w:val="26"/>
        </w:rPr>
      </w:pPr>
    </w:p>
    <w:p w14:paraId="0B2F95FA" w14:textId="77777777" w:rsidR="009A466E" w:rsidRPr="00EE5714" w:rsidRDefault="00071341" w:rsidP="00716BFD">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The Commission is tasked </w:t>
      </w:r>
      <w:r w:rsidR="007D707D" w:rsidRPr="00EE5714">
        <w:rPr>
          <w:rFonts w:ascii="Times New Roman" w:hAnsi="Times New Roman" w:cs="Times New Roman"/>
          <w:sz w:val="26"/>
          <w:szCs w:val="26"/>
        </w:rPr>
        <w:t xml:space="preserve">with ensuring </w:t>
      </w:r>
      <w:r w:rsidRPr="00EE5714">
        <w:rPr>
          <w:rFonts w:ascii="Times New Roman" w:hAnsi="Times New Roman" w:cs="Times New Roman"/>
          <w:sz w:val="26"/>
          <w:szCs w:val="26"/>
        </w:rPr>
        <w:t xml:space="preserve">that utilities administer </w:t>
      </w:r>
      <w:r w:rsidR="007D707D" w:rsidRPr="00EE5714">
        <w:rPr>
          <w:rFonts w:ascii="Times New Roman" w:hAnsi="Times New Roman" w:cs="Times New Roman"/>
          <w:sz w:val="26"/>
          <w:szCs w:val="26"/>
        </w:rPr>
        <w:t>universal</w:t>
      </w:r>
      <w:r w:rsidRPr="00EE5714">
        <w:rPr>
          <w:rFonts w:ascii="Times New Roman" w:hAnsi="Times New Roman" w:cs="Times New Roman"/>
          <w:sz w:val="26"/>
          <w:szCs w:val="26"/>
        </w:rPr>
        <w:t xml:space="preserve"> programs in a cost-effective manner and that services are appropriately funded and available in each utility distribution territory.  66 Pa. C.S. §§ 2203(8) and 2804(9).  </w:t>
      </w:r>
      <w:r w:rsidR="009A466E" w:rsidRPr="00EE5714">
        <w:rPr>
          <w:rFonts w:ascii="Times New Roman" w:hAnsi="Times New Roman" w:cs="Times New Roman"/>
          <w:sz w:val="26"/>
          <w:szCs w:val="26"/>
        </w:rPr>
        <w:t xml:space="preserve">In the exercise of this authority, the Commission balances the interests of customers who benefit from the programs with the interests of the residential customers who pay for the </w:t>
      </w:r>
      <w:r w:rsidR="009A466E" w:rsidRPr="00EE5714">
        <w:rPr>
          <w:rFonts w:ascii="Times New Roman" w:hAnsi="Times New Roman" w:cs="Times New Roman"/>
          <w:sz w:val="26"/>
          <w:szCs w:val="26"/>
        </w:rPr>
        <w:lastRenderedPageBreak/>
        <w:t xml:space="preserve">programs.  </w:t>
      </w:r>
      <w:r w:rsidR="009A466E" w:rsidRPr="00EE5714">
        <w:rPr>
          <w:rFonts w:ascii="Times New Roman" w:hAnsi="Times New Roman" w:cs="Times New Roman"/>
          <w:i/>
          <w:iCs/>
          <w:sz w:val="26"/>
          <w:szCs w:val="26"/>
        </w:rPr>
        <w:t>See</w:t>
      </w:r>
      <w:r w:rsidR="009A466E" w:rsidRPr="00EE5714">
        <w:rPr>
          <w:rFonts w:ascii="Times New Roman" w:hAnsi="Times New Roman" w:cs="Times New Roman"/>
          <w:sz w:val="26"/>
          <w:szCs w:val="26"/>
        </w:rPr>
        <w:t xml:space="preserve"> </w:t>
      </w:r>
      <w:r w:rsidR="009A466E" w:rsidRPr="00EE5714">
        <w:rPr>
          <w:rFonts w:ascii="Times New Roman" w:hAnsi="Times New Roman" w:cs="Times New Roman"/>
          <w:i/>
          <w:iCs/>
          <w:sz w:val="26"/>
          <w:szCs w:val="26"/>
        </w:rPr>
        <w:t>Final Investigatory Order on CAPs: Funding Levels and Cost Recovery Mechanisms</w:t>
      </w:r>
      <w:r w:rsidR="009A466E" w:rsidRPr="00EE5714">
        <w:rPr>
          <w:rFonts w:ascii="Times New Roman" w:hAnsi="Times New Roman" w:cs="Times New Roman"/>
          <w:sz w:val="26"/>
          <w:szCs w:val="26"/>
        </w:rPr>
        <w:t>, Docket No. M-00051923 (Dec. 18, 2006), (</w:t>
      </w:r>
      <w:r w:rsidR="009A466E" w:rsidRPr="00EE5714">
        <w:rPr>
          <w:rFonts w:ascii="Times New Roman" w:hAnsi="Times New Roman" w:cs="Times New Roman"/>
          <w:i/>
          <w:iCs/>
          <w:sz w:val="26"/>
          <w:szCs w:val="26"/>
        </w:rPr>
        <w:t>Final CAP Investigatory Order</w:t>
      </w:r>
      <w:r w:rsidR="009A466E" w:rsidRPr="00EE5714">
        <w:rPr>
          <w:rFonts w:ascii="Times New Roman" w:hAnsi="Times New Roman" w:cs="Times New Roman"/>
          <w:sz w:val="26"/>
          <w:szCs w:val="26"/>
        </w:rPr>
        <w:t>), at 6-7.</w:t>
      </w:r>
      <w:r w:rsidR="009A466E" w:rsidRPr="00EE5714">
        <w:rPr>
          <w:rStyle w:val="FootnoteReference"/>
          <w:sz w:val="26"/>
          <w:szCs w:val="26"/>
        </w:rPr>
        <w:footnoteReference w:id="17"/>
      </w:r>
    </w:p>
    <w:p w14:paraId="3B99423B" w14:textId="77777777" w:rsidR="00684B70" w:rsidRPr="00EE5714" w:rsidRDefault="00684B70" w:rsidP="00684B70">
      <w:pPr>
        <w:pStyle w:val="NoSpacing"/>
        <w:rPr>
          <w:rFonts w:cs="Times New Roman"/>
          <w:szCs w:val="26"/>
        </w:rPr>
      </w:pPr>
    </w:p>
    <w:p w14:paraId="018EA3EF" w14:textId="77777777" w:rsidR="004B2E32" w:rsidRPr="00EE5714" w:rsidRDefault="004B2E32" w:rsidP="004B2E32">
      <w:pPr>
        <w:keepNext/>
        <w:spacing w:after="0" w:line="240" w:lineRule="auto"/>
        <w:rPr>
          <w:rFonts w:ascii="Times New Roman" w:hAnsi="Times New Roman" w:cs="Times New Roman"/>
          <w:b/>
          <w:bCs/>
          <w:color w:val="2F5496" w:themeColor="accent1" w:themeShade="BF"/>
          <w:sz w:val="26"/>
          <w:szCs w:val="26"/>
        </w:rPr>
      </w:pPr>
      <w:r w:rsidRPr="00EE5714">
        <w:rPr>
          <w:rFonts w:ascii="Times New Roman" w:hAnsi="Times New Roman" w:cs="Times New Roman"/>
          <w:b/>
          <w:bCs/>
          <w:i/>
          <w:iCs/>
          <w:color w:val="2F5496" w:themeColor="accent1" w:themeShade="BF"/>
          <w:sz w:val="26"/>
          <w:szCs w:val="26"/>
        </w:rPr>
        <w:t>Universal Service Programs</w:t>
      </w:r>
    </w:p>
    <w:p w14:paraId="5833BAC6" w14:textId="77777777" w:rsidR="003E6DDB" w:rsidRPr="00EE5714" w:rsidRDefault="003E6DDB" w:rsidP="00684ECF">
      <w:pPr>
        <w:spacing w:after="0" w:line="240" w:lineRule="auto"/>
        <w:rPr>
          <w:rFonts w:ascii="Times New Roman" w:hAnsi="Times New Roman" w:cs="Times New Roman"/>
          <w:sz w:val="26"/>
          <w:szCs w:val="26"/>
        </w:rPr>
      </w:pPr>
    </w:p>
    <w:p w14:paraId="53912B8D" w14:textId="0F76397E" w:rsidR="007D0E4D" w:rsidRPr="00EE5714" w:rsidRDefault="007D0E4D" w:rsidP="007D0E4D">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Utility universal service programs include CAP, LIURP, Customer Assistance Referral and Evaluation Program (CARES), and Hardship Funds.  Of </w:t>
      </w:r>
      <w:proofErr w:type="gramStart"/>
      <w:r w:rsidRPr="00EE5714">
        <w:rPr>
          <w:rFonts w:ascii="Times New Roman" w:hAnsi="Times New Roman" w:cs="Times New Roman"/>
          <w:sz w:val="26"/>
          <w:szCs w:val="26"/>
        </w:rPr>
        <w:t>particular relevance</w:t>
      </w:r>
      <w:proofErr w:type="gramEnd"/>
      <w:r w:rsidRPr="00EE5714">
        <w:rPr>
          <w:rFonts w:ascii="Times New Roman" w:hAnsi="Times New Roman" w:cs="Times New Roman"/>
          <w:sz w:val="26"/>
          <w:szCs w:val="26"/>
        </w:rPr>
        <w:t xml:space="preserve"> to this study and report are the CAPs which are administered individually by the major EDCs and NGDCs.  CAPs, which vary in design by utility, provide an alternative to traditional collection methods for low-income, payment-troubled customers.  Customers who enroll in a CAP agree to make monthly payments in exchange for continued utility services and debt forgiveness.  Those monthly payments, which may be set at an amount less than the customer’s current bill based on usage at tariff rates, are generally based on factors such as household size and gross income of the household and may include an add-on amount to help offset the </w:t>
      </w:r>
      <w:r w:rsidR="005476F1" w:rsidRPr="00EE5714">
        <w:rPr>
          <w:rFonts w:ascii="Times New Roman" w:hAnsi="Times New Roman" w:cs="Times New Roman"/>
          <w:sz w:val="26"/>
          <w:szCs w:val="26"/>
        </w:rPr>
        <w:t>customer’</w:t>
      </w:r>
      <w:r w:rsidR="00246169" w:rsidRPr="00EE5714">
        <w:rPr>
          <w:rFonts w:ascii="Times New Roman" w:hAnsi="Times New Roman" w:cs="Times New Roman"/>
          <w:sz w:val="26"/>
          <w:szCs w:val="26"/>
        </w:rPr>
        <w:t>s</w:t>
      </w:r>
      <w:r w:rsidR="005476F1" w:rsidRPr="00EE5714">
        <w:rPr>
          <w:rFonts w:ascii="Times New Roman" w:hAnsi="Times New Roman" w:cs="Times New Roman"/>
          <w:sz w:val="26"/>
          <w:szCs w:val="26"/>
        </w:rPr>
        <w:t xml:space="preserve"> pre-program arrearages (PPAs)</w:t>
      </w:r>
      <w:r w:rsidRPr="00EE5714">
        <w:rPr>
          <w:rFonts w:ascii="Times New Roman" w:hAnsi="Times New Roman" w:cs="Times New Roman"/>
          <w:sz w:val="26"/>
          <w:szCs w:val="26"/>
        </w:rPr>
        <w:t>, if relevant.  EDCs and NGDCs may call their respective CAPs by different names (</w:t>
      </w:r>
      <w:r w:rsidRPr="00EE5714">
        <w:rPr>
          <w:rFonts w:ascii="Times New Roman" w:hAnsi="Times New Roman" w:cs="Times New Roman"/>
          <w:i/>
          <w:iCs/>
          <w:sz w:val="26"/>
          <w:szCs w:val="26"/>
        </w:rPr>
        <w:t>e.g.</w:t>
      </w:r>
      <w:r w:rsidRPr="00EE5714">
        <w:rPr>
          <w:rFonts w:ascii="Times New Roman" w:hAnsi="Times New Roman" w:cs="Times New Roman"/>
          <w:sz w:val="26"/>
          <w:szCs w:val="26"/>
        </w:rPr>
        <w:t>, PPL refers to its CAP as On</w:t>
      </w:r>
      <w:r w:rsidR="00246169" w:rsidRPr="00EE5714">
        <w:rPr>
          <w:rFonts w:ascii="Times New Roman" w:hAnsi="Times New Roman" w:cs="Times New Roman"/>
          <w:sz w:val="26"/>
          <w:szCs w:val="26"/>
        </w:rPr>
        <w:t>T</w:t>
      </w:r>
      <w:r w:rsidRPr="00EE5714">
        <w:rPr>
          <w:rFonts w:ascii="Times New Roman" w:hAnsi="Times New Roman" w:cs="Times New Roman"/>
          <w:sz w:val="26"/>
          <w:szCs w:val="26"/>
        </w:rPr>
        <w:t xml:space="preserve">rack, PGW refers to its CAP as the Customer Responsibility Program or CRP).  For the purposes of this report, staff will collectively refer to all utility customer assistance programs as CAPs.  </w:t>
      </w:r>
    </w:p>
    <w:p w14:paraId="03409B90" w14:textId="77777777" w:rsidR="007D0E4D" w:rsidRPr="00EE5714" w:rsidRDefault="007D0E4D" w:rsidP="007D0E4D">
      <w:pPr>
        <w:spacing w:after="0" w:line="240" w:lineRule="auto"/>
        <w:rPr>
          <w:rFonts w:ascii="Times New Roman" w:hAnsi="Times New Roman" w:cs="Times New Roman"/>
          <w:sz w:val="26"/>
          <w:szCs w:val="26"/>
        </w:rPr>
      </w:pPr>
    </w:p>
    <w:p w14:paraId="609CA6E5" w14:textId="77777777" w:rsidR="007D0E4D" w:rsidRPr="00EE5714" w:rsidRDefault="007D0E4D" w:rsidP="00C41915">
      <w:pPr>
        <w:keepNext/>
        <w:spacing w:after="0" w:line="240" w:lineRule="auto"/>
        <w:rPr>
          <w:rFonts w:ascii="Times New Roman" w:hAnsi="Times New Roman" w:cs="Times New Roman"/>
          <w:b/>
          <w:bCs/>
          <w:i/>
          <w:iCs/>
          <w:color w:val="2F5496" w:themeColor="accent1" w:themeShade="BF"/>
          <w:sz w:val="26"/>
          <w:szCs w:val="26"/>
        </w:rPr>
      </w:pPr>
      <w:r w:rsidRPr="00EE5714">
        <w:rPr>
          <w:rFonts w:ascii="Times New Roman" w:hAnsi="Times New Roman" w:cs="Times New Roman"/>
          <w:b/>
          <w:bCs/>
          <w:i/>
          <w:iCs/>
          <w:color w:val="2F5496" w:themeColor="accent1" w:themeShade="BF"/>
          <w:sz w:val="26"/>
          <w:szCs w:val="26"/>
        </w:rPr>
        <w:t xml:space="preserve">Energy Affordability for Low-Income Customers Study </w:t>
      </w:r>
    </w:p>
    <w:p w14:paraId="74BB9940" w14:textId="77777777" w:rsidR="007D0E4D" w:rsidRPr="00EE5714" w:rsidRDefault="007D0E4D" w:rsidP="00C41915">
      <w:pPr>
        <w:keepNext/>
        <w:spacing w:after="0" w:line="240" w:lineRule="auto"/>
        <w:rPr>
          <w:rFonts w:ascii="Times New Roman" w:hAnsi="Times New Roman" w:cs="Times New Roman"/>
          <w:sz w:val="24"/>
          <w:szCs w:val="24"/>
        </w:rPr>
      </w:pPr>
    </w:p>
    <w:p w14:paraId="5BF318F8" w14:textId="1780B5CE" w:rsidR="007D0E4D" w:rsidRPr="00EE5714" w:rsidRDefault="007D0E4D" w:rsidP="007D0E4D">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On May 5, 2017, at Docket No. M-2017-2587711, the Commission initiated a study to evaluate residential energy burdens for electric and gas service in Pennsylvania and to determine what may constitute an affordable energy burden for Pennsylvania’s low-income households.  May 5, 2017 Order.  Despite the programs and services designed to bridge the energy affordability gap</w:t>
      </w:r>
      <w:r w:rsidR="007078B5" w:rsidRPr="00EE5714">
        <w:rPr>
          <w:rStyle w:val="FootnoteReference"/>
          <w:rFonts w:ascii="Times New Roman" w:hAnsi="Times New Roman" w:cs="Times New Roman"/>
          <w:sz w:val="26"/>
          <w:szCs w:val="26"/>
        </w:rPr>
        <w:footnoteReference w:id="18"/>
      </w:r>
      <w:r w:rsidRPr="00EE5714">
        <w:rPr>
          <w:rFonts w:ascii="Times New Roman" w:hAnsi="Times New Roman" w:cs="Times New Roman"/>
          <w:sz w:val="26"/>
          <w:szCs w:val="26"/>
        </w:rPr>
        <w:t xml:space="preserve"> in Pennsylvania, the Commission routinely receives complaints from customers enrolled in CAPs who are failing to or </w:t>
      </w:r>
      <w:r w:rsidR="00895C6E" w:rsidRPr="00EE5714">
        <w:rPr>
          <w:rFonts w:ascii="Times New Roman" w:hAnsi="Times New Roman" w:cs="Times New Roman"/>
          <w:sz w:val="26"/>
          <w:szCs w:val="26"/>
        </w:rPr>
        <w:t xml:space="preserve">are </w:t>
      </w:r>
      <w:r w:rsidRPr="00EE5714">
        <w:rPr>
          <w:rFonts w:ascii="Times New Roman" w:hAnsi="Times New Roman" w:cs="Times New Roman"/>
          <w:sz w:val="26"/>
          <w:szCs w:val="26"/>
        </w:rPr>
        <w:t xml:space="preserve">unable to keep up with payments, accumulating in-program arrears, facing loss of program eligibility, and risking service termination.  </w:t>
      </w:r>
      <w:r w:rsidRPr="00EE5714">
        <w:rPr>
          <w:rFonts w:ascii="Times New Roman" w:hAnsi="Times New Roman" w:cs="Times New Roman"/>
          <w:i/>
          <w:iCs/>
          <w:sz w:val="26"/>
          <w:szCs w:val="26"/>
        </w:rPr>
        <w:t>See</w:t>
      </w:r>
      <w:r w:rsidR="00D64D2A" w:rsidRPr="00EE5714">
        <w:rPr>
          <w:rFonts w:ascii="Times New Roman" w:hAnsi="Times New Roman" w:cs="Times New Roman"/>
          <w:sz w:val="26"/>
          <w:szCs w:val="26"/>
        </w:rPr>
        <w:t>,</w:t>
      </w:r>
      <w:r w:rsidR="00D64D2A" w:rsidRPr="00EE5714">
        <w:rPr>
          <w:rFonts w:ascii="Times New Roman" w:hAnsi="Times New Roman" w:cs="Times New Roman"/>
          <w:i/>
          <w:iCs/>
          <w:sz w:val="26"/>
          <w:szCs w:val="26"/>
        </w:rPr>
        <w:t xml:space="preserve"> e.g.</w:t>
      </w:r>
      <w:r w:rsidR="00D64D2A" w:rsidRPr="00EE5714">
        <w:rPr>
          <w:rFonts w:ascii="Times New Roman" w:hAnsi="Times New Roman" w:cs="Times New Roman"/>
          <w:sz w:val="26"/>
          <w:szCs w:val="26"/>
        </w:rPr>
        <w:t>,</w:t>
      </w:r>
      <w:r w:rsidRPr="00EE5714">
        <w:rPr>
          <w:rFonts w:ascii="Times New Roman" w:hAnsi="Times New Roman" w:cs="Times New Roman"/>
          <w:sz w:val="26"/>
          <w:szCs w:val="26"/>
        </w:rPr>
        <w:t xml:space="preserve"> </w:t>
      </w:r>
      <w:r w:rsidRPr="00EE5714">
        <w:rPr>
          <w:rFonts w:ascii="Times New Roman" w:hAnsi="Times New Roman" w:cs="Times New Roman"/>
          <w:i/>
          <w:iCs/>
          <w:sz w:val="26"/>
          <w:szCs w:val="26"/>
        </w:rPr>
        <w:t xml:space="preserve">Knapp v. </w:t>
      </w:r>
      <w:proofErr w:type="spellStart"/>
      <w:r w:rsidRPr="00EE5714">
        <w:rPr>
          <w:rFonts w:ascii="Times New Roman" w:hAnsi="Times New Roman" w:cs="Times New Roman"/>
          <w:i/>
          <w:iCs/>
          <w:sz w:val="26"/>
          <w:szCs w:val="26"/>
        </w:rPr>
        <w:t>Penelec</w:t>
      </w:r>
      <w:proofErr w:type="spellEnd"/>
      <w:r w:rsidRPr="00EE5714">
        <w:rPr>
          <w:rFonts w:ascii="Times New Roman" w:hAnsi="Times New Roman" w:cs="Times New Roman"/>
          <w:sz w:val="26"/>
          <w:szCs w:val="26"/>
        </w:rPr>
        <w:t>, Docket No. C</w:t>
      </w:r>
      <w:r w:rsidRPr="00EE5714">
        <w:rPr>
          <w:rFonts w:ascii="Times New Roman" w:hAnsi="Times New Roman" w:cs="Times New Roman"/>
          <w:sz w:val="26"/>
          <w:szCs w:val="26"/>
        </w:rPr>
        <w:noBreakHyphen/>
        <w:t xml:space="preserve">2015-2511723 (Order entered October 27, 2016).  This payment, assistance, and arrearage cycle is a recurring issue for many low-income customers in the state.  </w:t>
      </w:r>
    </w:p>
    <w:p w14:paraId="1811D184" w14:textId="77777777" w:rsidR="007D0E4D" w:rsidRPr="00EE5714" w:rsidRDefault="007D0E4D" w:rsidP="007D0E4D">
      <w:pPr>
        <w:spacing w:after="0" w:line="240" w:lineRule="auto"/>
        <w:rPr>
          <w:rFonts w:ascii="Times New Roman" w:hAnsi="Times New Roman" w:cs="Times New Roman"/>
          <w:sz w:val="26"/>
          <w:szCs w:val="26"/>
        </w:rPr>
      </w:pPr>
    </w:p>
    <w:p w14:paraId="7E9F6C3F" w14:textId="77777777" w:rsidR="007D0E4D" w:rsidRPr="00EE5714" w:rsidRDefault="00D079C0" w:rsidP="007D0E4D">
      <w:pPr>
        <w:spacing w:after="0" w:line="240" w:lineRule="auto"/>
        <w:ind w:firstLine="720"/>
        <w:rPr>
          <w:rFonts w:ascii="Times New Roman" w:hAnsi="Times New Roman"/>
          <w:color w:val="000000"/>
          <w:sz w:val="26"/>
          <w:szCs w:val="26"/>
        </w:rPr>
      </w:pPr>
      <w:r w:rsidRPr="00EE5714">
        <w:rPr>
          <w:rFonts w:ascii="Times New Roman" w:hAnsi="Times New Roman"/>
          <w:color w:val="000000"/>
          <w:sz w:val="26"/>
          <w:szCs w:val="26"/>
        </w:rPr>
        <w:lastRenderedPageBreak/>
        <w:t>According to some sources, h</w:t>
      </w:r>
      <w:r w:rsidR="007D0E4D" w:rsidRPr="00EE5714">
        <w:rPr>
          <w:rFonts w:ascii="Times New Roman" w:hAnsi="Times New Roman"/>
          <w:color w:val="000000"/>
          <w:sz w:val="26"/>
          <w:szCs w:val="26"/>
        </w:rPr>
        <w:t>ouseholds falling below 50% of the FPIG are billed an average of 30% of their income for home energy costs.</w:t>
      </w:r>
      <w:r w:rsidR="007D0E4D" w:rsidRPr="00EE5714">
        <w:rPr>
          <w:rStyle w:val="FootnoteReference"/>
          <w:rFonts w:ascii="Times New Roman" w:hAnsi="Times New Roman"/>
          <w:color w:val="000000"/>
          <w:sz w:val="26"/>
          <w:szCs w:val="26"/>
        </w:rPr>
        <w:footnoteReference w:id="19"/>
      </w:r>
      <w:r w:rsidR="007D0E4D" w:rsidRPr="00EE5714">
        <w:rPr>
          <w:rFonts w:ascii="Times New Roman" w:hAnsi="Times New Roman"/>
          <w:color w:val="000000"/>
          <w:sz w:val="26"/>
          <w:szCs w:val="26"/>
        </w:rPr>
        <w:t xml:space="preserve">  However, only approximately 30% of eligible Pennsylvania households are enrolled in a CAP.</w:t>
      </w:r>
      <w:r w:rsidR="007D0E4D" w:rsidRPr="00EE5714">
        <w:rPr>
          <w:rStyle w:val="FootnoteReference"/>
          <w:rFonts w:ascii="Times New Roman" w:hAnsi="Times New Roman"/>
          <w:color w:val="000000"/>
          <w:sz w:val="26"/>
          <w:szCs w:val="26"/>
        </w:rPr>
        <w:footnoteReference w:id="20"/>
      </w:r>
      <w:r w:rsidR="007D0E4D" w:rsidRPr="00EE5714">
        <w:rPr>
          <w:rFonts w:ascii="Times New Roman" w:hAnsi="Times New Roman"/>
          <w:color w:val="000000"/>
          <w:sz w:val="26"/>
          <w:szCs w:val="26"/>
        </w:rPr>
        <w:t xml:space="preserve">  </w:t>
      </w:r>
      <w:r w:rsidR="007D0E4D" w:rsidRPr="00EE5714">
        <w:rPr>
          <w:rFonts w:ascii="Times New Roman" w:hAnsi="Times New Roman"/>
          <w:sz w:val="26"/>
          <w:szCs w:val="26"/>
        </w:rPr>
        <w:t xml:space="preserve">Given these realities, the Commission concluded that the necessary first step to evaluate the affordability, cost-effectiveness, and prudence of universal service programs would be to undertake an energy affordability study.  The Commission also </w:t>
      </w:r>
      <w:r w:rsidR="007D0E4D" w:rsidRPr="00EE5714">
        <w:rPr>
          <w:rFonts w:ascii="Times New Roman" w:hAnsi="Times New Roman"/>
          <w:color w:val="000000"/>
          <w:sz w:val="26"/>
          <w:szCs w:val="26"/>
        </w:rPr>
        <w:t>recognized its obligation to balance the costs</w:t>
      </w:r>
      <w:r w:rsidR="007D0E4D" w:rsidRPr="00EE5714">
        <w:rPr>
          <w:rStyle w:val="HeaderChar"/>
          <w:rFonts w:ascii="Times New Roman" w:hAnsi="Times New Roman"/>
          <w:color w:val="000000"/>
          <w:sz w:val="26"/>
          <w:szCs w:val="26"/>
          <w:vertAlign w:val="superscript"/>
        </w:rPr>
        <w:footnoteReference w:id="21"/>
      </w:r>
      <w:r w:rsidR="007D0E4D" w:rsidRPr="00EE5714">
        <w:rPr>
          <w:rFonts w:ascii="Times New Roman" w:hAnsi="Times New Roman"/>
          <w:color w:val="000000"/>
          <w:sz w:val="26"/>
          <w:szCs w:val="26"/>
        </w:rPr>
        <w:t xml:space="preserve"> and benefits of universal service programs as potential changes to affordability standards will inevitably require an examination of overall program funding.</w:t>
      </w:r>
      <w:r w:rsidR="007D0E4D" w:rsidRPr="00EE5714">
        <w:rPr>
          <w:rStyle w:val="HeaderChar"/>
          <w:rFonts w:ascii="Times New Roman" w:hAnsi="Times New Roman"/>
          <w:color w:val="000000"/>
          <w:sz w:val="26"/>
          <w:szCs w:val="26"/>
        </w:rPr>
        <w:t xml:space="preserve"> </w:t>
      </w:r>
      <w:r w:rsidR="007D0E4D" w:rsidRPr="00EE5714">
        <w:rPr>
          <w:rFonts w:ascii="Times New Roman" w:hAnsi="Times New Roman"/>
          <w:color w:val="000000"/>
          <w:sz w:val="26"/>
          <w:szCs w:val="26"/>
        </w:rPr>
        <w:t xml:space="preserve"> May 5, 2017 Order at</w:t>
      </w:r>
      <w:r w:rsidR="00F0694B" w:rsidRPr="00EE5714">
        <w:rPr>
          <w:rFonts w:ascii="Times New Roman" w:hAnsi="Times New Roman"/>
          <w:color w:val="000000"/>
          <w:sz w:val="26"/>
          <w:szCs w:val="26"/>
        </w:rPr>
        <w:t> </w:t>
      </w:r>
      <w:r w:rsidR="007D0E4D" w:rsidRPr="00EE5714">
        <w:rPr>
          <w:rFonts w:ascii="Times New Roman" w:hAnsi="Times New Roman"/>
          <w:color w:val="000000"/>
          <w:sz w:val="26"/>
          <w:szCs w:val="26"/>
        </w:rPr>
        <w:t>3-4.</w:t>
      </w:r>
    </w:p>
    <w:p w14:paraId="4508AF0A" w14:textId="77777777" w:rsidR="007D0E4D" w:rsidRPr="00EE5714" w:rsidRDefault="007D0E4D" w:rsidP="007D0E4D">
      <w:pPr>
        <w:spacing w:after="0" w:line="240" w:lineRule="auto"/>
        <w:rPr>
          <w:rFonts w:ascii="Times New Roman" w:hAnsi="Times New Roman" w:cs="Times New Roman"/>
          <w:sz w:val="26"/>
          <w:szCs w:val="26"/>
        </w:rPr>
      </w:pPr>
    </w:p>
    <w:p w14:paraId="792FD9BD" w14:textId="77777777" w:rsidR="007D0E4D" w:rsidRPr="00EE5714" w:rsidRDefault="007D0E4D" w:rsidP="007D0E4D">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While other fuel sources</w:t>
      </w:r>
      <w:r w:rsidR="00FC17E9" w:rsidRPr="00EE5714">
        <w:rPr>
          <w:rStyle w:val="FootnoteReference"/>
          <w:rFonts w:ascii="Times New Roman" w:hAnsi="Times New Roman" w:cs="Times New Roman"/>
          <w:sz w:val="26"/>
          <w:szCs w:val="26"/>
        </w:rPr>
        <w:footnoteReference w:id="22"/>
      </w:r>
      <w:r w:rsidRPr="00EE5714">
        <w:rPr>
          <w:rFonts w:ascii="Times New Roman" w:hAnsi="Times New Roman" w:cs="Times New Roman"/>
          <w:sz w:val="26"/>
          <w:szCs w:val="26"/>
        </w:rPr>
        <w:t xml:space="preserve"> are available and used by households in Pennsylvania, for purposes of this study the Commission is exclusively examining the affordability of </w:t>
      </w:r>
      <w:r w:rsidR="00846700" w:rsidRPr="00EE5714">
        <w:rPr>
          <w:rFonts w:ascii="Times New Roman" w:hAnsi="Times New Roman" w:cs="Times New Roman"/>
          <w:sz w:val="26"/>
          <w:szCs w:val="26"/>
        </w:rPr>
        <w:t xml:space="preserve">jurisdictional </w:t>
      </w:r>
      <w:r w:rsidRPr="00EE5714">
        <w:rPr>
          <w:rFonts w:ascii="Times New Roman" w:hAnsi="Times New Roman" w:cs="Times New Roman"/>
          <w:sz w:val="26"/>
          <w:szCs w:val="26"/>
        </w:rPr>
        <w:t xml:space="preserve">natural gas </w:t>
      </w:r>
      <w:r w:rsidR="00443D7A" w:rsidRPr="00EE5714">
        <w:rPr>
          <w:rFonts w:ascii="Times New Roman" w:hAnsi="Times New Roman" w:cs="Times New Roman"/>
          <w:sz w:val="26"/>
          <w:szCs w:val="26"/>
        </w:rPr>
        <w:t xml:space="preserve">and electric </w:t>
      </w:r>
      <w:r w:rsidRPr="00EE5714">
        <w:rPr>
          <w:rFonts w:ascii="Times New Roman" w:hAnsi="Times New Roman" w:cs="Times New Roman"/>
          <w:sz w:val="26"/>
          <w:szCs w:val="26"/>
        </w:rPr>
        <w:t xml:space="preserve">services to low-income customers in Pennsylvania.  The original intent of this study was to examine energy affordability for low-income customers both inside and outside of CAPs.  However, NGDCs and EDCs could not provide income information </w:t>
      </w:r>
      <w:r w:rsidR="00443D7A" w:rsidRPr="00EE5714">
        <w:rPr>
          <w:rFonts w:ascii="Times New Roman" w:hAnsi="Times New Roman" w:cs="Times New Roman"/>
          <w:sz w:val="26"/>
          <w:szCs w:val="26"/>
        </w:rPr>
        <w:t xml:space="preserve">and other data </w:t>
      </w:r>
      <w:r w:rsidRPr="00EE5714">
        <w:rPr>
          <w:rFonts w:ascii="Times New Roman" w:hAnsi="Times New Roman" w:cs="Times New Roman"/>
          <w:sz w:val="26"/>
          <w:szCs w:val="26"/>
        </w:rPr>
        <w:t xml:space="preserve">for customers who </w:t>
      </w:r>
      <w:r w:rsidR="00450CA4" w:rsidRPr="00EE5714">
        <w:rPr>
          <w:rFonts w:ascii="Times New Roman" w:hAnsi="Times New Roman" w:cs="Times New Roman"/>
          <w:sz w:val="26"/>
          <w:szCs w:val="26"/>
        </w:rPr>
        <w:t xml:space="preserve">were not </w:t>
      </w:r>
      <w:r w:rsidRPr="00EE5714">
        <w:rPr>
          <w:rFonts w:ascii="Times New Roman" w:hAnsi="Times New Roman" w:cs="Times New Roman"/>
          <w:sz w:val="26"/>
          <w:szCs w:val="26"/>
        </w:rPr>
        <w:t>participat</w:t>
      </w:r>
      <w:r w:rsidR="00450CA4" w:rsidRPr="00EE5714">
        <w:rPr>
          <w:rFonts w:ascii="Times New Roman" w:hAnsi="Times New Roman" w:cs="Times New Roman"/>
          <w:sz w:val="26"/>
          <w:szCs w:val="26"/>
        </w:rPr>
        <w:t>ing</w:t>
      </w:r>
      <w:r w:rsidRPr="00EE5714">
        <w:rPr>
          <w:rFonts w:ascii="Times New Roman" w:hAnsi="Times New Roman" w:cs="Times New Roman"/>
          <w:sz w:val="26"/>
          <w:szCs w:val="26"/>
        </w:rPr>
        <w:t xml:space="preserve"> in CAPs or other universal service programs.  </w:t>
      </w:r>
      <w:r w:rsidR="00F62D35" w:rsidRPr="00EE5714">
        <w:rPr>
          <w:rFonts w:ascii="Times New Roman" w:hAnsi="Times New Roman" w:cs="Times New Roman"/>
          <w:sz w:val="26"/>
          <w:szCs w:val="26"/>
        </w:rPr>
        <w:t xml:space="preserve">Further, </w:t>
      </w:r>
      <w:r w:rsidR="00182ECE" w:rsidRPr="00EE5714">
        <w:rPr>
          <w:rFonts w:ascii="Times New Roman" w:hAnsi="Times New Roman" w:cs="Times New Roman"/>
          <w:sz w:val="26"/>
          <w:szCs w:val="26"/>
        </w:rPr>
        <w:t xml:space="preserve">absent enrollment in a CAP, even a confirmed low-income residential customer </w:t>
      </w:r>
      <w:r w:rsidR="001238E2" w:rsidRPr="00EE5714">
        <w:rPr>
          <w:rFonts w:ascii="Times New Roman" w:hAnsi="Times New Roman" w:cs="Times New Roman"/>
          <w:sz w:val="26"/>
          <w:szCs w:val="26"/>
        </w:rPr>
        <w:t xml:space="preserve">is required to pay the full tariff rate for jurisdictional energy service.  </w:t>
      </w:r>
      <w:r w:rsidRPr="00EE5714">
        <w:rPr>
          <w:rFonts w:ascii="Times New Roman" w:hAnsi="Times New Roman" w:cs="Times New Roman"/>
          <w:sz w:val="26"/>
          <w:szCs w:val="26"/>
        </w:rPr>
        <w:t xml:space="preserve">As a result, </w:t>
      </w:r>
      <w:r w:rsidR="00161E68" w:rsidRPr="00EE5714">
        <w:rPr>
          <w:rFonts w:ascii="Times New Roman" w:hAnsi="Times New Roman" w:cs="Times New Roman"/>
          <w:sz w:val="26"/>
          <w:szCs w:val="26"/>
        </w:rPr>
        <w:t xml:space="preserve">the </w:t>
      </w:r>
      <w:r w:rsidRPr="00EE5714">
        <w:rPr>
          <w:rFonts w:ascii="Times New Roman" w:hAnsi="Times New Roman" w:cs="Times New Roman"/>
          <w:sz w:val="26"/>
          <w:szCs w:val="26"/>
        </w:rPr>
        <w:t xml:space="preserve">staff analysis focuses primarily on low-income customers enrolled in </w:t>
      </w:r>
      <w:r w:rsidR="00161E68" w:rsidRPr="00EE5714">
        <w:rPr>
          <w:rFonts w:ascii="Times New Roman" w:hAnsi="Times New Roman" w:cs="Times New Roman"/>
          <w:sz w:val="26"/>
          <w:szCs w:val="26"/>
        </w:rPr>
        <w:t xml:space="preserve">large-utility </w:t>
      </w:r>
      <w:r w:rsidRPr="00EE5714">
        <w:rPr>
          <w:rFonts w:ascii="Times New Roman" w:hAnsi="Times New Roman" w:cs="Times New Roman"/>
          <w:sz w:val="26"/>
          <w:szCs w:val="26"/>
        </w:rPr>
        <w:t>CAPs.</w:t>
      </w:r>
    </w:p>
    <w:p w14:paraId="3BC10FF6" w14:textId="77777777" w:rsidR="007D0E4D" w:rsidRPr="00EE5714" w:rsidRDefault="007D0E4D" w:rsidP="007D0E4D">
      <w:pPr>
        <w:spacing w:after="0" w:line="240" w:lineRule="auto"/>
        <w:rPr>
          <w:rFonts w:ascii="Times New Roman" w:hAnsi="Times New Roman" w:cs="Times New Roman"/>
          <w:sz w:val="26"/>
          <w:szCs w:val="26"/>
        </w:rPr>
      </w:pPr>
    </w:p>
    <w:p w14:paraId="788E2435" w14:textId="77777777" w:rsidR="007D0E4D" w:rsidRPr="00EE5714" w:rsidRDefault="00F0694B" w:rsidP="007D0E4D">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r>
      <w:r w:rsidR="007D0E4D" w:rsidRPr="00EE5714" w:rsidDel="00C560DB">
        <w:rPr>
          <w:rFonts w:ascii="Times New Roman" w:hAnsi="Times New Roman" w:cs="Times New Roman"/>
          <w:sz w:val="26"/>
          <w:szCs w:val="26"/>
        </w:rPr>
        <w:t>Specifically</w:t>
      </w:r>
      <w:r w:rsidR="007D0E4D" w:rsidRPr="00EE5714">
        <w:rPr>
          <w:rFonts w:ascii="Times New Roman" w:hAnsi="Times New Roman" w:cs="Times New Roman"/>
          <w:sz w:val="26"/>
          <w:szCs w:val="26"/>
        </w:rPr>
        <w:t>, the overarching objectives of this study are to:</w:t>
      </w:r>
    </w:p>
    <w:p w14:paraId="00100F47" w14:textId="77777777" w:rsidR="007D0E4D" w:rsidRPr="00EE5714" w:rsidRDefault="007D0E4D" w:rsidP="007D0E4D">
      <w:pPr>
        <w:spacing w:after="0" w:line="240" w:lineRule="auto"/>
        <w:rPr>
          <w:rFonts w:ascii="Times New Roman" w:hAnsi="Times New Roman" w:cs="Times New Roman"/>
          <w:sz w:val="26"/>
          <w:szCs w:val="26"/>
        </w:rPr>
      </w:pPr>
    </w:p>
    <w:p w14:paraId="0326BA63" w14:textId="77777777" w:rsidR="007D0E4D" w:rsidRPr="00EE5714" w:rsidRDefault="007D0E4D" w:rsidP="007D0E4D">
      <w:pPr>
        <w:pStyle w:val="TOC8"/>
        <w:numPr>
          <w:ilvl w:val="0"/>
          <w:numId w:val="12"/>
        </w:numPr>
        <w:tabs>
          <w:tab w:val="left" w:pos="1440"/>
        </w:tabs>
        <w:ind w:left="1440"/>
        <w:rPr>
          <w:rFonts w:ascii="Times New Roman" w:hAnsi="Times New Roman"/>
          <w:sz w:val="26"/>
          <w:szCs w:val="26"/>
        </w:rPr>
      </w:pPr>
      <w:r w:rsidRPr="00EE5714">
        <w:rPr>
          <w:rFonts w:ascii="Times New Roman" w:hAnsi="Times New Roman"/>
          <w:sz w:val="26"/>
          <w:szCs w:val="26"/>
        </w:rPr>
        <w:t xml:space="preserve">Identify the average energy burden of low-income customers enrolled in CAPs compared to the average energy burden of all other residential customers in Pennsylvania and the impact of LIHEAP grants on CAP energy burden levels; </w:t>
      </w:r>
    </w:p>
    <w:p w14:paraId="7FC92627" w14:textId="77777777" w:rsidR="007D0E4D" w:rsidRPr="00EE5714" w:rsidRDefault="007D0E4D" w:rsidP="007D0E4D">
      <w:pPr>
        <w:tabs>
          <w:tab w:val="left" w:pos="1440"/>
          <w:tab w:val="num" w:pos="2160"/>
        </w:tabs>
        <w:spacing w:after="0" w:line="240" w:lineRule="auto"/>
        <w:ind w:left="1440" w:hanging="720"/>
        <w:rPr>
          <w:rFonts w:ascii="Times New Roman" w:hAnsi="Times New Roman" w:cs="Times New Roman"/>
          <w:sz w:val="26"/>
          <w:szCs w:val="26"/>
        </w:rPr>
      </w:pPr>
    </w:p>
    <w:p w14:paraId="62C9AAE2" w14:textId="77777777" w:rsidR="007D0E4D" w:rsidRPr="00EE5714" w:rsidRDefault="007D0E4D" w:rsidP="007D0E4D">
      <w:pPr>
        <w:pStyle w:val="TOC8"/>
        <w:numPr>
          <w:ilvl w:val="0"/>
          <w:numId w:val="12"/>
        </w:numPr>
        <w:tabs>
          <w:tab w:val="left" w:pos="1440"/>
        </w:tabs>
        <w:ind w:left="1440"/>
        <w:rPr>
          <w:rFonts w:ascii="Times New Roman" w:hAnsi="Times New Roman"/>
          <w:sz w:val="26"/>
          <w:szCs w:val="26"/>
        </w:rPr>
      </w:pPr>
      <w:r w:rsidRPr="00EE5714">
        <w:rPr>
          <w:rFonts w:ascii="Times New Roman" w:hAnsi="Times New Roman"/>
          <w:sz w:val="26"/>
          <w:szCs w:val="26"/>
        </w:rPr>
        <w:t>Ascertain and analyze trends and indicators of energy affordability in Pennsylvania</w:t>
      </w:r>
      <w:bookmarkStart w:id="7" w:name="_Hlk523989977"/>
      <w:r w:rsidRPr="00EE5714">
        <w:rPr>
          <w:rFonts w:ascii="Times New Roman" w:hAnsi="Times New Roman"/>
          <w:sz w:val="26"/>
          <w:szCs w:val="26"/>
        </w:rPr>
        <w:t xml:space="preserve"> CAPs, including </w:t>
      </w:r>
      <w:r w:rsidR="00161E68" w:rsidRPr="00EE5714">
        <w:rPr>
          <w:rFonts w:ascii="Times New Roman" w:hAnsi="Times New Roman"/>
          <w:sz w:val="26"/>
          <w:szCs w:val="26"/>
        </w:rPr>
        <w:t>PPAs (</w:t>
      </w:r>
      <w:r w:rsidR="00161E68" w:rsidRPr="00EE5714">
        <w:rPr>
          <w:rFonts w:ascii="Times New Roman" w:hAnsi="Times New Roman"/>
          <w:i/>
          <w:sz w:val="26"/>
          <w:szCs w:val="26"/>
        </w:rPr>
        <w:t>i.e.</w:t>
      </w:r>
      <w:r w:rsidR="00161E68" w:rsidRPr="00EE5714">
        <w:rPr>
          <w:rFonts w:ascii="Times New Roman" w:hAnsi="Times New Roman"/>
          <w:sz w:val="26"/>
          <w:szCs w:val="26"/>
        </w:rPr>
        <w:t xml:space="preserve">, </w:t>
      </w:r>
      <w:r w:rsidRPr="00EE5714">
        <w:rPr>
          <w:rFonts w:ascii="Times New Roman" w:hAnsi="Times New Roman"/>
          <w:sz w:val="26"/>
          <w:szCs w:val="26"/>
        </w:rPr>
        <w:t>pre-CAP arrearages</w:t>
      </w:r>
      <w:r w:rsidR="00161E68" w:rsidRPr="00EE5714">
        <w:rPr>
          <w:rFonts w:ascii="Times New Roman" w:hAnsi="Times New Roman"/>
          <w:sz w:val="26"/>
          <w:szCs w:val="26"/>
        </w:rPr>
        <w:t>)</w:t>
      </w:r>
      <w:r w:rsidRPr="00EE5714">
        <w:rPr>
          <w:rFonts w:ascii="Times New Roman" w:hAnsi="Times New Roman"/>
          <w:sz w:val="26"/>
          <w:szCs w:val="26"/>
        </w:rPr>
        <w:t xml:space="preserve"> and in-program CAP arrears, the percentage of CAP bills paid in-full, and CAP default/termination rates; </w:t>
      </w:r>
    </w:p>
    <w:p w14:paraId="6DAD8C85" w14:textId="77777777" w:rsidR="007D0E4D" w:rsidRPr="00EE5714" w:rsidRDefault="007D0E4D" w:rsidP="007D0E4D">
      <w:pPr>
        <w:pStyle w:val="TOC8"/>
        <w:tabs>
          <w:tab w:val="left" w:pos="1440"/>
          <w:tab w:val="num" w:pos="2160"/>
        </w:tabs>
        <w:ind w:left="1440"/>
        <w:rPr>
          <w:rFonts w:ascii="Times New Roman" w:hAnsi="Times New Roman"/>
          <w:sz w:val="26"/>
          <w:szCs w:val="26"/>
        </w:rPr>
      </w:pPr>
    </w:p>
    <w:p w14:paraId="35F4C427" w14:textId="77777777" w:rsidR="007D0E4D" w:rsidRPr="00EE5714" w:rsidRDefault="007D0E4D" w:rsidP="007D0E4D">
      <w:pPr>
        <w:pStyle w:val="TOC8"/>
        <w:numPr>
          <w:ilvl w:val="0"/>
          <w:numId w:val="12"/>
        </w:numPr>
        <w:tabs>
          <w:tab w:val="left" w:pos="1440"/>
        </w:tabs>
        <w:ind w:left="1440"/>
        <w:rPr>
          <w:rFonts w:ascii="Times New Roman" w:hAnsi="Times New Roman"/>
          <w:sz w:val="26"/>
          <w:szCs w:val="26"/>
        </w:rPr>
      </w:pPr>
      <w:r w:rsidRPr="00EE5714">
        <w:rPr>
          <w:rFonts w:ascii="Times New Roman" w:hAnsi="Times New Roman"/>
          <w:sz w:val="26"/>
          <w:szCs w:val="26"/>
        </w:rPr>
        <w:t xml:space="preserve">Determine trends in residential/low-income debt and CAP costs for EDCs and NGDCs and identify the projected impacts of adjusting the household energy burden in the Commonwealth; and  </w:t>
      </w:r>
    </w:p>
    <w:p w14:paraId="0A15CD22" w14:textId="77777777" w:rsidR="007D0E4D" w:rsidRPr="00EE5714" w:rsidRDefault="007D0E4D" w:rsidP="007D0E4D">
      <w:pPr>
        <w:pStyle w:val="TOC8"/>
        <w:tabs>
          <w:tab w:val="left" w:pos="1440"/>
          <w:tab w:val="num" w:pos="2160"/>
        </w:tabs>
        <w:ind w:left="1440"/>
        <w:rPr>
          <w:rFonts w:ascii="Times New Roman" w:hAnsi="Times New Roman"/>
          <w:sz w:val="26"/>
          <w:szCs w:val="26"/>
        </w:rPr>
      </w:pPr>
    </w:p>
    <w:p w14:paraId="016B5757" w14:textId="77777777" w:rsidR="007D0E4D" w:rsidRPr="00EE5714" w:rsidRDefault="007D0E4D" w:rsidP="007D0E4D">
      <w:pPr>
        <w:pStyle w:val="TOC8"/>
        <w:numPr>
          <w:ilvl w:val="0"/>
          <w:numId w:val="12"/>
        </w:numPr>
        <w:tabs>
          <w:tab w:val="left" w:pos="1440"/>
        </w:tabs>
        <w:ind w:left="1440"/>
        <w:rPr>
          <w:rFonts w:ascii="Times New Roman" w:hAnsi="Times New Roman"/>
          <w:sz w:val="26"/>
          <w:szCs w:val="26"/>
        </w:rPr>
      </w:pPr>
      <w:bookmarkStart w:id="8" w:name="_Hlk523990283"/>
      <w:bookmarkEnd w:id="7"/>
      <w:r w:rsidRPr="00EE5714">
        <w:rPr>
          <w:rFonts w:ascii="Times New Roman" w:hAnsi="Times New Roman"/>
          <w:sz w:val="26"/>
          <w:szCs w:val="26"/>
        </w:rPr>
        <w:t xml:space="preserve">Compare and contrast the average energy burden of low-income residents in Pennsylvania with the energy burden </w:t>
      </w:r>
      <w:r w:rsidR="00161E68" w:rsidRPr="00EE5714">
        <w:rPr>
          <w:rFonts w:ascii="Times New Roman" w:hAnsi="Times New Roman"/>
          <w:sz w:val="26"/>
          <w:szCs w:val="26"/>
        </w:rPr>
        <w:t xml:space="preserve">of customers </w:t>
      </w:r>
      <w:r w:rsidRPr="00EE5714">
        <w:rPr>
          <w:rFonts w:ascii="Times New Roman" w:hAnsi="Times New Roman"/>
          <w:sz w:val="26"/>
          <w:szCs w:val="26"/>
        </w:rPr>
        <w:t xml:space="preserve">of </w:t>
      </w:r>
      <w:r w:rsidR="00C27ECE" w:rsidRPr="00EE5714">
        <w:rPr>
          <w:rFonts w:ascii="Times New Roman" w:hAnsi="Times New Roman"/>
          <w:sz w:val="26"/>
          <w:szCs w:val="26"/>
        </w:rPr>
        <w:t>neighboring</w:t>
      </w:r>
      <w:r w:rsidRPr="00EE5714">
        <w:rPr>
          <w:rFonts w:ascii="Times New Roman" w:hAnsi="Times New Roman"/>
          <w:sz w:val="26"/>
          <w:szCs w:val="26"/>
        </w:rPr>
        <w:t xml:space="preserve"> states.  </w:t>
      </w:r>
      <w:bookmarkEnd w:id="8"/>
    </w:p>
    <w:p w14:paraId="0E024ABF" w14:textId="77777777" w:rsidR="007D0E4D" w:rsidRPr="00EE5714" w:rsidRDefault="007D0E4D" w:rsidP="007D0E4D">
      <w:pPr>
        <w:tabs>
          <w:tab w:val="num" w:pos="2160"/>
        </w:tabs>
        <w:spacing w:after="0" w:line="240" w:lineRule="auto"/>
        <w:ind w:hanging="1440"/>
        <w:rPr>
          <w:rFonts w:ascii="Times New Roman" w:hAnsi="Times New Roman" w:cs="Times New Roman"/>
          <w:sz w:val="26"/>
          <w:szCs w:val="26"/>
        </w:rPr>
      </w:pPr>
    </w:p>
    <w:p w14:paraId="08FA4653" w14:textId="77777777" w:rsidR="002D6BD2" w:rsidRPr="00EE5714" w:rsidRDefault="007D0E4D" w:rsidP="007D0E4D">
      <w:pPr>
        <w:spacing w:after="0" w:line="240" w:lineRule="auto"/>
        <w:ind w:firstLine="720"/>
        <w:rPr>
          <w:rFonts w:ascii="Times New Roman" w:hAnsi="Times New Roman" w:cs="Times New Roman"/>
          <w:sz w:val="26"/>
          <w:szCs w:val="26"/>
        </w:rPr>
      </w:pPr>
      <w:r w:rsidRPr="00EE5714">
        <w:rPr>
          <w:rFonts w:ascii="Times New Roman" w:eastAsia="Calibri" w:hAnsi="Times New Roman" w:cs="Times New Roman"/>
          <w:sz w:val="26"/>
          <w:szCs w:val="26"/>
        </w:rPr>
        <w:t>Staff used the Commission’s CSIS Project at Penn State University to collect and collate the results of the utility responses and the state surveys and to review independent studies that may provide further insight into energy affordability issues.  The analyses and observations in this report are solely the work product of staff</w:t>
      </w:r>
      <w:r w:rsidRPr="00EE5714">
        <w:rPr>
          <w:rStyle w:val="FootnoteReference"/>
          <w:rFonts w:ascii="Times New Roman" w:eastAsia="Calibri" w:hAnsi="Times New Roman" w:cs="Times New Roman"/>
          <w:sz w:val="26"/>
          <w:szCs w:val="26"/>
        </w:rPr>
        <w:footnoteReference w:id="23"/>
      </w:r>
      <w:r w:rsidRPr="00EE5714">
        <w:rPr>
          <w:rFonts w:ascii="Times New Roman" w:eastAsia="Calibri" w:hAnsi="Times New Roman" w:cs="Times New Roman"/>
          <w:sz w:val="26"/>
          <w:szCs w:val="26"/>
        </w:rPr>
        <w:t xml:space="preserve"> and do not reflect the opinions of the Commission.  Nor is this report an indication of any action the Commission may take in the future. </w:t>
      </w:r>
      <w:r w:rsidR="00AC302A" w:rsidRPr="00EE5714">
        <w:rPr>
          <w:rFonts w:ascii="Times New Roman" w:eastAsia="Calibri" w:hAnsi="Times New Roman" w:cs="Times New Roman"/>
          <w:sz w:val="26"/>
          <w:szCs w:val="26"/>
        </w:rPr>
        <w:t xml:space="preserve"> </w:t>
      </w:r>
    </w:p>
    <w:p w14:paraId="0468A154" w14:textId="77777777" w:rsidR="00B10506" w:rsidRPr="00EE5714" w:rsidRDefault="00B10506" w:rsidP="009A6DA2">
      <w:pPr>
        <w:rPr>
          <w:rFonts w:ascii="Times New Roman" w:eastAsiaTheme="minorEastAsia" w:hAnsi="Times New Roman" w:cs="Times New Roman"/>
          <w:color w:val="2F5496" w:themeColor="accent1" w:themeShade="BF"/>
          <w:sz w:val="26"/>
          <w:szCs w:val="26"/>
        </w:rPr>
      </w:pPr>
      <w:r w:rsidRPr="00EE5714">
        <w:rPr>
          <w:rFonts w:ascii="Times New Roman" w:hAnsi="Times New Roman" w:cs="Times New Roman"/>
          <w:b/>
          <w:color w:val="2F5496" w:themeColor="accent1" w:themeShade="BF"/>
          <w:sz w:val="26"/>
          <w:szCs w:val="26"/>
        </w:rPr>
        <w:br w:type="page"/>
      </w:r>
    </w:p>
    <w:p w14:paraId="3D01D411" w14:textId="77777777" w:rsidR="00684B70" w:rsidRPr="00EE5714" w:rsidRDefault="00684B70" w:rsidP="562E8EF8">
      <w:pPr>
        <w:pStyle w:val="Heading1"/>
        <w:rPr>
          <w:szCs w:val="26"/>
        </w:rPr>
      </w:pPr>
      <w:bookmarkStart w:id="9" w:name="_Toc533674860"/>
      <w:bookmarkStart w:id="10" w:name="_Toc534547865"/>
      <w:r w:rsidRPr="00EE5714">
        <w:lastRenderedPageBreak/>
        <w:t xml:space="preserve">II.  </w:t>
      </w:r>
      <w:r w:rsidR="00CE1DE0" w:rsidRPr="00EE5714">
        <w:t>Methodology</w:t>
      </w:r>
      <w:bookmarkEnd w:id="9"/>
      <w:bookmarkEnd w:id="10"/>
    </w:p>
    <w:p w14:paraId="0A316962" w14:textId="77777777" w:rsidR="00684B70" w:rsidRPr="00EE5714" w:rsidRDefault="00684B70" w:rsidP="009A6DA2">
      <w:pPr>
        <w:pStyle w:val="EndnoteText"/>
        <w:keepNext/>
        <w:rPr>
          <w:rFonts w:ascii="Times New Roman" w:hAnsi="Times New Roman"/>
          <w:sz w:val="26"/>
          <w:szCs w:val="26"/>
        </w:rPr>
      </w:pPr>
    </w:p>
    <w:p w14:paraId="24A47E44" w14:textId="77777777" w:rsidR="00684B70" w:rsidRPr="00EE5714" w:rsidRDefault="00684B70" w:rsidP="00B67079">
      <w:pPr>
        <w:pStyle w:val="NoSpacing"/>
        <w:ind w:firstLine="720"/>
        <w:rPr>
          <w:rFonts w:cs="Times New Roman"/>
          <w:szCs w:val="26"/>
        </w:rPr>
      </w:pPr>
      <w:r w:rsidRPr="00EE5714">
        <w:rPr>
          <w:rFonts w:cs="Times New Roman"/>
          <w:szCs w:val="26"/>
        </w:rPr>
        <w:t xml:space="preserve">By </w:t>
      </w:r>
      <w:r w:rsidR="00080E65" w:rsidRPr="00EE5714">
        <w:rPr>
          <w:rFonts w:cs="Times New Roman"/>
          <w:szCs w:val="26"/>
        </w:rPr>
        <w:t>Secretarial Letter dated</w:t>
      </w:r>
      <w:r w:rsidRPr="00EE5714">
        <w:rPr>
          <w:rFonts w:cs="Times New Roman"/>
          <w:szCs w:val="26"/>
        </w:rPr>
        <w:t xml:space="preserve"> </w:t>
      </w:r>
      <w:r w:rsidR="00BB6A84" w:rsidRPr="00EE5714">
        <w:rPr>
          <w:rFonts w:cs="Times New Roman"/>
          <w:szCs w:val="26"/>
        </w:rPr>
        <w:t>October 16, 2017</w:t>
      </w:r>
      <w:r w:rsidRPr="00EE5714">
        <w:rPr>
          <w:rFonts w:cs="Times New Roman"/>
          <w:szCs w:val="26"/>
        </w:rPr>
        <w:t xml:space="preserve">, the Commission notified the major jurisdictional energy distribution companies of its intent to conduct an energy affordability study and requested </w:t>
      </w:r>
      <w:r w:rsidR="000F0D54" w:rsidRPr="00EE5714">
        <w:rPr>
          <w:rFonts w:cs="Times New Roman"/>
          <w:szCs w:val="26"/>
        </w:rPr>
        <w:t xml:space="preserve">specific </w:t>
      </w:r>
      <w:r w:rsidRPr="00EE5714">
        <w:rPr>
          <w:rFonts w:cs="Times New Roman"/>
          <w:szCs w:val="26"/>
        </w:rPr>
        <w:t xml:space="preserve">information from </w:t>
      </w:r>
      <w:r w:rsidR="00761616" w:rsidRPr="00EE5714">
        <w:rPr>
          <w:rFonts w:cs="Times New Roman"/>
          <w:szCs w:val="26"/>
        </w:rPr>
        <w:t xml:space="preserve">the </w:t>
      </w:r>
      <w:r w:rsidRPr="00EE5714">
        <w:rPr>
          <w:rFonts w:cs="Times New Roman"/>
          <w:szCs w:val="26"/>
        </w:rPr>
        <w:t xml:space="preserve">eight major </w:t>
      </w:r>
      <w:r w:rsidR="00761616" w:rsidRPr="00EE5714">
        <w:rPr>
          <w:rFonts w:cs="Times New Roman"/>
          <w:szCs w:val="26"/>
        </w:rPr>
        <w:t>NGDCs</w:t>
      </w:r>
      <w:r w:rsidRPr="00EE5714">
        <w:rPr>
          <w:rFonts w:cs="Times New Roman"/>
          <w:szCs w:val="26"/>
        </w:rPr>
        <w:t xml:space="preserve"> and seven major </w:t>
      </w:r>
      <w:r w:rsidR="00761616" w:rsidRPr="00EE5714">
        <w:rPr>
          <w:rFonts w:cs="Times New Roman"/>
          <w:szCs w:val="26"/>
        </w:rPr>
        <w:t>EDCs</w:t>
      </w:r>
      <w:r w:rsidRPr="00EE5714">
        <w:rPr>
          <w:rFonts w:cs="Times New Roman"/>
          <w:szCs w:val="26"/>
        </w:rPr>
        <w:t xml:space="preserve"> for the years 2012-2016</w:t>
      </w:r>
      <w:r w:rsidR="000F0D54" w:rsidRPr="00EE5714">
        <w:rPr>
          <w:rFonts w:cs="Times New Roman"/>
          <w:szCs w:val="26"/>
        </w:rPr>
        <w:t xml:space="preserve">.  </w:t>
      </w:r>
      <w:r w:rsidRPr="00EE5714">
        <w:rPr>
          <w:rFonts w:cs="Times New Roman"/>
          <w:szCs w:val="26"/>
        </w:rPr>
        <w:t xml:space="preserve">The </w:t>
      </w:r>
      <w:r w:rsidR="00EC0C0C" w:rsidRPr="00EE5714">
        <w:rPr>
          <w:rFonts w:cs="Times New Roman"/>
          <w:szCs w:val="26"/>
        </w:rPr>
        <w:t>NGDCs</w:t>
      </w:r>
      <w:r w:rsidR="000F0D54" w:rsidRPr="00EE5714">
        <w:rPr>
          <w:rFonts w:cs="Times New Roman"/>
          <w:szCs w:val="26"/>
        </w:rPr>
        <w:t xml:space="preserve"> and </w:t>
      </w:r>
      <w:r w:rsidR="00EC0C0C" w:rsidRPr="00EE5714">
        <w:rPr>
          <w:rFonts w:cs="Times New Roman"/>
          <w:szCs w:val="26"/>
        </w:rPr>
        <w:t>EDCs</w:t>
      </w:r>
      <w:r w:rsidR="000F0D54" w:rsidRPr="00EE5714">
        <w:rPr>
          <w:rFonts w:cs="Times New Roman"/>
          <w:szCs w:val="26"/>
        </w:rPr>
        <w:t xml:space="preserve"> </w:t>
      </w:r>
      <w:r w:rsidR="00984904" w:rsidRPr="00EE5714">
        <w:rPr>
          <w:rFonts w:cs="Times New Roman"/>
          <w:szCs w:val="26"/>
        </w:rPr>
        <w:t xml:space="preserve">that reported data to the Commission include the following:  </w:t>
      </w:r>
      <w:bookmarkStart w:id="11" w:name="_Hlk525308493"/>
    </w:p>
    <w:bookmarkEnd w:id="11"/>
    <w:p w14:paraId="558CA9E1" w14:textId="77777777" w:rsidR="00684B70" w:rsidRPr="00EE5714" w:rsidRDefault="00684B70" w:rsidP="00684B70">
      <w:pPr>
        <w:pStyle w:val="NoSpacing"/>
        <w:rPr>
          <w:rFonts w:cs="Times New Roman"/>
          <w:szCs w:val="26"/>
        </w:rPr>
      </w:pPr>
    </w:p>
    <w:p w14:paraId="105DF8E7" w14:textId="77777777" w:rsidR="00684B70" w:rsidRPr="00EE5714" w:rsidRDefault="00684B70" w:rsidP="00684B70">
      <w:pPr>
        <w:pStyle w:val="NoSpacing"/>
        <w:ind w:left="720"/>
        <w:rPr>
          <w:rFonts w:cs="Times New Roman"/>
          <w:szCs w:val="26"/>
        </w:rPr>
      </w:pPr>
      <w:r w:rsidRPr="00EE5714">
        <w:rPr>
          <w:rFonts w:cs="Times New Roman"/>
          <w:b/>
          <w:bCs/>
          <w:szCs w:val="26"/>
          <w:u w:val="single"/>
        </w:rPr>
        <w:t>Natural Gas</w:t>
      </w:r>
      <w:r w:rsidRPr="00EE5714">
        <w:rPr>
          <w:rFonts w:cs="Times New Roman"/>
          <w:szCs w:val="26"/>
        </w:rPr>
        <w:t>: Columbia Gas of Pennsylvania (Columbia), PECO Energy Co. (PECO Gas), National Fuel Gas Distribution Corp. (NFG), Peoples Natural Gas Co. (Peoples), Peoples-Equitable Division (Peoples Equitable), Philadelphia Gas Works (PGW), UGI Utilities Inc.–</w:t>
      </w:r>
      <w:r w:rsidR="008907DD" w:rsidRPr="00EE5714">
        <w:rPr>
          <w:rFonts w:cs="Times New Roman"/>
          <w:szCs w:val="26"/>
        </w:rPr>
        <w:t xml:space="preserve"> </w:t>
      </w:r>
      <w:r w:rsidRPr="00EE5714">
        <w:rPr>
          <w:rFonts w:cs="Times New Roman"/>
          <w:szCs w:val="26"/>
        </w:rPr>
        <w:t>Gas (UGI Gas) and UGI Penn Natural Gas (UGI PNG).</w:t>
      </w:r>
      <w:r w:rsidR="00A976E5" w:rsidRPr="00EE5714">
        <w:rPr>
          <w:rStyle w:val="FootnoteReference"/>
          <w:rFonts w:cs="Times New Roman"/>
          <w:szCs w:val="26"/>
        </w:rPr>
        <w:footnoteReference w:id="24"/>
      </w:r>
      <w:r w:rsidRPr="00EE5714">
        <w:rPr>
          <w:rFonts w:cs="Times New Roman"/>
          <w:szCs w:val="26"/>
        </w:rPr>
        <w:t xml:space="preserve">  </w:t>
      </w:r>
    </w:p>
    <w:p w14:paraId="0022796F" w14:textId="77777777" w:rsidR="00684B70" w:rsidRPr="00EE5714" w:rsidRDefault="00684B70" w:rsidP="00684B70">
      <w:pPr>
        <w:pStyle w:val="NoSpacing"/>
        <w:rPr>
          <w:rFonts w:cs="Times New Roman"/>
          <w:szCs w:val="26"/>
        </w:rPr>
      </w:pPr>
    </w:p>
    <w:p w14:paraId="45993DB0" w14:textId="4154A979" w:rsidR="00684B70" w:rsidRPr="00EE5714" w:rsidRDefault="00684B70" w:rsidP="00684B70">
      <w:pPr>
        <w:pStyle w:val="NoSpacing"/>
        <w:ind w:left="720"/>
        <w:rPr>
          <w:rFonts w:cs="Times New Roman"/>
          <w:szCs w:val="26"/>
        </w:rPr>
      </w:pPr>
      <w:r w:rsidRPr="00EE5714">
        <w:rPr>
          <w:rFonts w:cs="Times New Roman"/>
          <w:b/>
          <w:bCs/>
          <w:szCs w:val="26"/>
          <w:u w:val="single"/>
        </w:rPr>
        <w:t>Electric</w:t>
      </w:r>
      <w:r w:rsidRPr="00EE5714">
        <w:rPr>
          <w:rFonts w:cs="Times New Roman"/>
          <w:szCs w:val="26"/>
        </w:rPr>
        <w:t>: Duquesne Light Co. (Duquesne), Metropolitan Edison Co. (</w:t>
      </w:r>
      <w:r w:rsidR="00863EFE" w:rsidRPr="00EE5714">
        <w:rPr>
          <w:rFonts w:cs="Times New Roman"/>
          <w:szCs w:val="26"/>
        </w:rPr>
        <w:t>Met-Ed</w:t>
      </w:r>
      <w:r w:rsidRPr="00EE5714">
        <w:rPr>
          <w:rFonts w:cs="Times New Roman"/>
          <w:szCs w:val="26"/>
        </w:rPr>
        <w:t>), PECO Energy Co. (PECO Electric), Pennsylvania Electric Co. (</w:t>
      </w:r>
      <w:proofErr w:type="spellStart"/>
      <w:r w:rsidRPr="00EE5714">
        <w:rPr>
          <w:rFonts w:cs="Times New Roman"/>
          <w:szCs w:val="26"/>
        </w:rPr>
        <w:t>Penelec</w:t>
      </w:r>
      <w:proofErr w:type="spellEnd"/>
      <w:r w:rsidRPr="00EE5714">
        <w:rPr>
          <w:rFonts w:cs="Times New Roman"/>
          <w:szCs w:val="26"/>
        </w:rPr>
        <w:t xml:space="preserve">), Pennsylvania Power Co. (Penn Power), PPL Electric Utilities </w:t>
      </w:r>
      <w:r w:rsidR="006E30A3" w:rsidRPr="00EE5714">
        <w:rPr>
          <w:rFonts w:cs="Times New Roman"/>
          <w:szCs w:val="26"/>
        </w:rPr>
        <w:t>Corp</w:t>
      </w:r>
      <w:r w:rsidRPr="00EE5714">
        <w:rPr>
          <w:rFonts w:cs="Times New Roman"/>
          <w:szCs w:val="26"/>
        </w:rPr>
        <w:t xml:space="preserve">. (PPL), and West Penn Power Co. (West Penn). </w:t>
      </w:r>
    </w:p>
    <w:p w14:paraId="22E062C8" w14:textId="77777777" w:rsidR="000F0D54" w:rsidRPr="00EE5714" w:rsidRDefault="000F0D54" w:rsidP="003C6C27">
      <w:pPr>
        <w:spacing w:after="0" w:line="240" w:lineRule="auto"/>
        <w:rPr>
          <w:rFonts w:ascii="Times New Roman" w:hAnsi="Times New Roman" w:cs="Times New Roman"/>
          <w:sz w:val="26"/>
          <w:szCs w:val="26"/>
        </w:rPr>
      </w:pPr>
    </w:p>
    <w:p w14:paraId="153A4C5B" w14:textId="011D51AE" w:rsidR="00684B70" w:rsidRPr="00EE5714" w:rsidRDefault="00684B70" w:rsidP="00684B70">
      <w:pPr>
        <w:pStyle w:val="NoSpacing"/>
        <w:rPr>
          <w:rFonts w:cs="Times New Roman"/>
          <w:szCs w:val="26"/>
        </w:rPr>
      </w:pPr>
      <w:r w:rsidRPr="00EE5714">
        <w:rPr>
          <w:rFonts w:cs="Times New Roman"/>
          <w:szCs w:val="26"/>
        </w:rPr>
        <w:tab/>
      </w:r>
      <w:r w:rsidR="00C74451" w:rsidRPr="00EE5714">
        <w:rPr>
          <w:rFonts w:cs="Times New Roman"/>
          <w:szCs w:val="26"/>
        </w:rPr>
        <w:t>T</w:t>
      </w:r>
      <w:r w:rsidR="00833353" w:rsidRPr="00EE5714">
        <w:rPr>
          <w:rFonts w:cs="Times New Roman"/>
          <w:szCs w:val="26"/>
        </w:rPr>
        <w:t>he Commission’s</w:t>
      </w:r>
      <w:r w:rsidR="00514DE7" w:rsidRPr="00EE5714">
        <w:rPr>
          <w:rFonts w:cs="Times New Roman"/>
          <w:szCs w:val="26"/>
        </w:rPr>
        <w:t xml:space="preserve"> data</w:t>
      </w:r>
      <w:r w:rsidR="00833353" w:rsidRPr="00EE5714">
        <w:rPr>
          <w:rFonts w:cs="Times New Roman"/>
          <w:szCs w:val="26"/>
        </w:rPr>
        <w:t xml:space="preserve"> </w:t>
      </w:r>
      <w:r w:rsidRPr="00EE5714">
        <w:rPr>
          <w:rFonts w:cs="Times New Roman"/>
          <w:szCs w:val="26"/>
        </w:rPr>
        <w:t>request</w:t>
      </w:r>
      <w:r w:rsidR="00C74451" w:rsidRPr="00EE5714">
        <w:rPr>
          <w:rFonts w:cs="Times New Roman"/>
          <w:szCs w:val="26"/>
        </w:rPr>
        <w:t xml:space="preserve"> asked for the following</w:t>
      </w:r>
      <w:r w:rsidR="00815E2B" w:rsidRPr="00EE5714">
        <w:rPr>
          <w:rFonts w:cs="Times New Roman"/>
          <w:szCs w:val="26"/>
        </w:rPr>
        <w:t xml:space="preserve"> </w:t>
      </w:r>
      <w:r w:rsidR="00C74451" w:rsidRPr="00EE5714">
        <w:rPr>
          <w:rFonts w:cs="Times New Roman"/>
          <w:szCs w:val="26"/>
        </w:rPr>
        <w:t>information</w:t>
      </w:r>
      <w:r w:rsidR="00363C4D" w:rsidRPr="00EE5714">
        <w:rPr>
          <w:rFonts w:cs="Times New Roman"/>
          <w:szCs w:val="26"/>
        </w:rPr>
        <w:t xml:space="preserve">, broken down by </w:t>
      </w:r>
      <w:r w:rsidR="00931A8B" w:rsidRPr="00EE5714">
        <w:t>customer type (res</w:t>
      </w:r>
      <w:r w:rsidR="006A2725" w:rsidRPr="00EE5714">
        <w:t xml:space="preserve">idential, confirmed low-income [CLI], </w:t>
      </w:r>
      <w:r w:rsidR="00931A8B" w:rsidRPr="00EE5714">
        <w:t>CAP), by heating type</w:t>
      </w:r>
      <w:r w:rsidR="00980A8A" w:rsidRPr="00EE5714">
        <w:t>,</w:t>
      </w:r>
      <w:r w:rsidR="00931A8B" w:rsidRPr="00EE5714">
        <w:t xml:space="preserve"> and by poverty level</w:t>
      </w:r>
      <w:r w:rsidR="00931A8B" w:rsidRPr="00EE5714">
        <w:rPr>
          <w:rFonts w:cs="Times New Roman"/>
          <w:szCs w:val="26"/>
        </w:rPr>
        <w:t xml:space="preserve"> </w:t>
      </w:r>
      <w:r w:rsidR="003B56DC" w:rsidRPr="00EE5714">
        <w:rPr>
          <w:rFonts w:cs="Times New Roman"/>
          <w:szCs w:val="26"/>
        </w:rPr>
        <w:t>from</w:t>
      </w:r>
      <w:r w:rsidR="00514DE7" w:rsidRPr="00EE5714">
        <w:rPr>
          <w:rFonts w:cs="Times New Roman"/>
          <w:szCs w:val="26"/>
        </w:rPr>
        <w:t xml:space="preserve"> each NGDC and </w:t>
      </w:r>
      <w:r w:rsidR="002505E6" w:rsidRPr="00EE5714">
        <w:rPr>
          <w:rFonts w:cs="Times New Roman"/>
          <w:szCs w:val="26"/>
        </w:rPr>
        <w:t>EDC</w:t>
      </w:r>
      <w:r w:rsidR="005D18F6" w:rsidRPr="00EE5714">
        <w:rPr>
          <w:rFonts w:cs="Times New Roman"/>
          <w:szCs w:val="26"/>
        </w:rPr>
        <w:t>,</w:t>
      </w:r>
      <w:r w:rsidR="00F645A7" w:rsidRPr="00EE5714">
        <w:rPr>
          <w:rFonts w:cs="Times New Roman"/>
          <w:szCs w:val="26"/>
        </w:rPr>
        <w:t xml:space="preserve"> </w:t>
      </w:r>
      <w:r w:rsidR="005D18F6" w:rsidRPr="00EE5714">
        <w:rPr>
          <w:rFonts w:cs="Times New Roman"/>
          <w:szCs w:val="26"/>
        </w:rPr>
        <w:t xml:space="preserve">consistent with </w:t>
      </w:r>
      <w:r w:rsidR="00760FC2" w:rsidRPr="00EE5714">
        <w:rPr>
          <w:rFonts w:cs="Times New Roman"/>
          <w:szCs w:val="26"/>
        </w:rPr>
        <w:t>universal service and collections reporting (USR)</w:t>
      </w:r>
      <w:r w:rsidR="000F744C" w:rsidRPr="00EE5714">
        <w:rPr>
          <w:rFonts w:cs="Times New Roman"/>
          <w:szCs w:val="26"/>
        </w:rPr>
        <w:t xml:space="preserve"> requirements</w:t>
      </w:r>
      <w:r w:rsidR="00760FC2" w:rsidRPr="00EE5714">
        <w:rPr>
          <w:rStyle w:val="FootnoteReference"/>
          <w:rFonts w:cs="Times New Roman"/>
          <w:szCs w:val="26"/>
        </w:rPr>
        <w:footnoteReference w:id="25"/>
      </w:r>
      <w:r w:rsidR="003F5BA9" w:rsidRPr="00EE5714">
        <w:rPr>
          <w:rFonts w:cs="Times New Roman"/>
          <w:szCs w:val="26"/>
        </w:rPr>
        <w:t>:</w:t>
      </w:r>
      <w:r w:rsidR="00583B80" w:rsidRPr="00EE5714">
        <w:rPr>
          <w:rFonts w:cs="Times New Roman"/>
          <w:szCs w:val="26"/>
        </w:rPr>
        <w:t xml:space="preserve"> </w:t>
      </w:r>
      <w:r w:rsidR="00514DE7" w:rsidRPr="00EE5714">
        <w:rPr>
          <w:rFonts w:cs="Times New Roman"/>
          <w:szCs w:val="26"/>
        </w:rPr>
        <w:t xml:space="preserve"> </w:t>
      </w:r>
    </w:p>
    <w:p w14:paraId="788FED49" w14:textId="77777777" w:rsidR="00684B70" w:rsidRPr="00EE5714" w:rsidRDefault="00684B70" w:rsidP="00684B70">
      <w:pPr>
        <w:pStyle w:val="NoSpacing"/>
        <w:rPr>
          <w:rFonts w:cs="Times New Roman"/>
          <w:szCs w:val="26"/>
        </w:rPr>
      </w:pPr>
    </w:p>
    <w:p w14:paraId="448F0C7F" w14:textId="1197EB67" w:rsidR="00684B70" w:rsidRPr="00EE5714" w:rsidRDefault="00684B70">
      <w:pPr>
        <w:pStyle w:val="NoSpacing"/>
        <w:numPr>
          <w:ilvl w:val="0"/>
          <w:numId w:val="2"/>
        </w:numPr>
        <w:ind w:left="1440" w:hanging="720"/>
        <w:rPr>
          <w:rFonts w:cs="Times New Roman"/>
        </w:rPr>
      </w:pPr>
      <w:r w:rsidRPr="00EE5714">
        <w:rPr>
          <w:rFonts w:cs="Times New Roman"/>
        </w:rPr>
        <w:t xml:space="preserve">Number of monthly bills </w:t>
      </w:r>
      <w:r w:rsidR="00923EA8" w:rsidRPr="00EE5714">
        <w:rPr>
          <w:rFonts w:cs="Times New Roman"/>
        </w:rPr>
        <w:t>issued</w:t>
      </w:r>
    </w:p>
    <w:p w14:paraId="3EDF2B18" w14:textId="0C2E935B" w:rsidR="00684B70" w:rsidRPr="00EE5714" w:rsidRDefault="00684B70">
      <w:pPr>
        <w:pStyle w:val="NoSpacing"/>
        <w:numPr>
          <w:ilvl w:val="0"/>
          <w:numId w:val="2"/>
        </w:numPr>
        <w:ind w:left="1440" w:hanging="720"/>
        <w:rPr>
          <w:rFonts w:cs="Times New Roman"/>
        </w:rPr>
      </w:pPr>
      <w:r w:rsidRPr="00EE5714">
        <w:rPr>
          <w:rFonts w:cs="Times New Roman"/>
        </w:rPr>
        <w:t xml:space="preserve">Amount (in dollars) of monthly bills </w:t>
      </w:r>
      <w:r w:rsidR="00923EA8" w:rsidRPr="00EE5714">
        <w:rPr>
          <w:rFonts w:cs="Times New Roman"/>
        </w:rPr>
        <w:t>issued</w:t>
      </w:r>
    </w:p>
    <w:p w14:paraId="12851216"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Number of monthly bills paid in full</w:t>
      </w:r>
    </w:p>
    <w:p w14:paraId="16138BB8"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 xml:space="preserve">Amount (in dollars) of monthly bills paid in full </w:t>
      </w:r>
    </w:p>
    <w:p w14:paraId="06E3CE64"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 xml:space="preserve">Number of account terminations </w:t>
      </w:r>
    </w:p>
    <w:p w14:paraId="6C717CCF"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 xml:space="preserve">Number of account reconnections </w:t>
      </w:r>
    </w:p>
    <w:p w14:paraId="58CE1107"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Energy Burden Levels for LIHEAP recipients</w:t>
      </w:r>
    </w:p>
    <w:p w14:paraId="74700EE2"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 xml:space="preserve">Energy Burden Levels for non-LIHEAP recipients </w:t>
      </w:r>
    </w:p>
    <w:p w14:paraId="09F7F009"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Number of CAP Accounts with Pre-Program Arrears</w:t>
      </w:r>
    </w:p>
    <w:p w14:paraId="07C04D88"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 xml:space="preserve">Amount (in dollars) of Pre-Program Arrears </w:t>
      </w:r>
    </w:p>
    <w:p w14:paraId="776B2016"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Number of CAP Accounts with In-Program Arrears</w:t>
      </w:r>
    </w:p>
    <w:p w14:paraId="63BAE958"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 xml:space="preserve">Amount (in dollars) of In-Program Arrears </w:t>
      </w:r>
    </w:p>
    <w:p w14:paraId="1496D0D4"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lastRenderedPageBreak/>
        <w:t>Number of CAP and Confirmed Low</w:t>
      </w:r>
      <w:r w:rsidR="0093693F" w:rsidRPr="00EE5714">
        <w:rPr>
          <w:rFonts w:cs="Times New Roman"/>
          <w:szCs w:val="26"/>
        </w:rPr>
        <w:t>-</w:t>
      </w:r>
      <w:r w:rsidRPr="00EE5714">
        <w:rPr>
          <w:rFonts w:cs="Times New Roman"/>
          <w:szCs w:val="26"/>
        </w:rPr>
        <w:t xml:space="preserve">Income Accounts </w:t>
      </w:r>
    </w:p>
    <w:p w14:paraId="78D61227"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Annual average income of CAP and Confirmed</w:t>
      </w:r>
      <w:r w:rsidR="006178A2" w:rsidRPr="00EE5714">
        <w:rPr>
          <w:rFonts w:cs="Times New Roman"/>
          <w:szCs w:val="26"/>
        </w:rPr>
        <w:t xml:space="preserve"> </w:t>
      </w:r>
      <w:r w:rsidRPr="00EE5714">
        <w:rPr>
          <w:rFonts w:cs="Times New Roman"/>
          <w:szCs w:val="26"/>
        </w:rPr>
        <w:t>Low</w:t>
      </w:r>
      <w:r w:rsidR="006178A2" w:rsidRPr="00EE5714">
        <w:rPr>
          <w:rFonts w:cs="Times New Roman"/>
          <w:szCs w:val="26"/>
        </w:rPr>
        <w:t>-</w:t>
      </w:r>
      <w:r w:rsidRPr="00EE5714">
        <w:rPr>
          <w:rFonts w:cs="Times New Roman"/>
          <w:szCs w:val="26"/>
        </w:rPr>
        <w:t xml:space="preserve">Income accounts </w:t>
      </w:r>
    </w:p>
    <w:p w14:paraId="47836AC3"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Number of accounts in arrears on an agreement</w:t>
      </w:r>
    </w:p>
    <w:p w14:paraId="17A399C7"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Number of accounts in arrears not on an agreement</w:t>
      </w:r>
    </w:p>
    <w:p w14:paraId="7A4F2016"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 xml:space="preserve">Amount of arrears (in dollars) for accounts on an agreement </w:t>
      </w:r>
    </w:p>
    <w:p w14:paraId="488EE00E" w14:textId="77777777" w:rsidR="00684B70" w:rsidRPr="00EE5714" w:rsidRDefault="00684B70" w:rsidP="007D5276">
      <w:pPr>
        <w:pStyle w:val="NoSpacing"/>
        <w:numPr>
          <w:ilvl w:val="0"/>
          <w:numId w:val="2"/>
        </w:numPr>
        <w:ind w:left="1440" w:hanging="720"/>
        <w:rPr>
          <w:rFonts w:cs="Times New Roman"/>
          <w:szCs w:val="26"/>
        </w:rPr>
      </w:pPr>
      <w:r w:rsidRPr="00EE5714">
        <w:rPr>
          <w:rFonts w:cs="Times New Roman"/>
          <w:szCs w:val="26"/>
        </w:rPr>
        <w:t xml:space="preserve">Amount of arrears (in dollars) for accounts not on an agreement  </w:t>
      </w:r>
    </w:p>
    <w:p w14:paraId="2C3660DD" w14:textId="77777777" w:rsidR="006C09CE" w:rsidRPr="00EE5714" w:rsidRDefault="006C09CE" w:rsidP="00684B70">
      <w:pPr>
        <w:pStyle w:val="NoSpacing"/>
        <w:rPr>
          <w:rFonts w:cs="Times New Roman"/>
          <w:szCs w:val="26"/>
        </w:rPr>
      </w:pPr>
    </w:p>
    <w:p w14:paraId="3D2EC7B7" w14:textId="77777777" w:rsidR="006C09CE" w:rsidRPr="00EE5714" w:rsidRDefault="006C09CE" w:rsidP="00684B70">
      <w:pPr>
        <w:pStyle w:val="NoSpacing"/>
        <w:rPr>
          <w:rFonts w:cs="Times New Roman"/>
          <w:szCs w:val="26"/>
        </w:rPr>
      </w:pPr>
      <w:r w:rsidRPr="00EE5714">
        <w:rPr>
          <w:rFonts w:cs="Times New Roman"/>
          <w:szCs w:val="26"/>
        </w:rPr>
        <w:tab/>
        <w:t xml:space="preserve">When an analysis </w:t>
      </w:r>
      <w:r w:rsidR="004E533D" w:rsidRPr="00EE5714">
        <w:rPr>
          <w:rFonts w:cs="Times New Roman"/>
          <w:szCs w:val="26"/>
        </w:rPr>
        <w:t xml:space="preserve">in this report </w:t>
      </w:r>
      <w:r w:rsidRPr="00EE5714">
        <w:rPr>
          <w:rFonts w:cs="Times New Roman"/>
          <w:szCs w:val="26"/>
        </w:rPr>
        <w:t xml:space="preserve">refers to an </w:t>
      </w:r>
      <w:r w:rsidR="004E533D" w:rsidRPr="00EE5714">
        <w:rPr>
          <w:rFonts w:cs="Times New Roman"/>
          <w:szCs w:val="26"/>
        </w:rPr>
        <w:t>“</w:t>
      </w:r>
      <w:r w:rsidRPr="00EE5714">
        <w:rPr>
          <w:rFonts w:cs="Times New Roman"/>
          <w:szCs w:val="26"/>
        </w:rPr>
        <w:t>average</w:t>
      </w:r>
      <w:r w:rsidR="004E533D" w:rsidRPr="00EE5714">
        <w:rPr>
          <w:rFonts w:cs="Times New Roman"/>
          <w:szCs w:val="26"/>
        </w:rPr>
        <w:t>”</w:t>
      </w:r>
      <w:r w:rsidRPr="00EE5714">
        <w:rPr>
          <w:rFonts w:cs="Times New Roman"/>
          <w:szCs w:val="26"/>
        </w:rPr>
        <w:t xml:space="preserve"> </w:t>
      </w:r>
      <w:r w:rsidR="00C56291" w:rsidRPr="00EE5714">
        <w:rPr>
          <w:rFonts w:cs="Times New Roman"/>
          <w:szCs w:val="26"/>
        </w:rPr>
        <w:t>for multiple utilities, the average is a weighted average to compensate for the differences in si</w:t>
      </w:r>
      <w:r w:rsidR="004E533D" w:rsidRPr="00EE5714">
        <w:rPr>
          <w:rFonts w:cs="Times New Roman"/>
          <w:szCs w:val="26"/>
        </w:rPr>
        <w:t>ze among the utilities.</w:t>
      </w:r>
    </w:p>
    <w:p w14:paraId="46B0919E" w14:textId="77777777" w:rsidR="00684B70" w:rsidRPr="00EE5714" w:rsidRDefault="00684B70" w:rsidP="00684B70">
      <w:pPr>
        <w:pStyle w:val="NoSpacing"/>
        <w:rPr>
          <w:rFonts w:cs="Times New Roman"/>
          <w:szCs w:val="26"/>
        </w:rPr>
      </w:pPr>
    </w:p>
    <w:p w14:paraId="7ECF47F1" w14:textId="77777777" w:rsidR="00684B70" w:rsidRPr="00EE5714" w:rsidRDefault="00684B70">
      <w:pPr>
        <w:pStyle w:val="NoSpacing"/>
        <w:keepNext/>
        <w:rPr>
          <w:rFonts w:cs="Times New Roman"/>
          <w:b/>
          <w:bCs/>
          <w:i/>
          <w:iCs/>
          <w:color w:val="2F5496" w:themeColor="accent1" w:themeShade="BF"/>
          <w:szCs w:val="26"/>
        </w:rPr>
      </w:pPr>
      <w:r w:rsidRPr="00EE5714">
        <w:rPr>
          <w:rFonts w:cs="Times New Roman"/>
          <w:b/>
          <w:bCs/>
          <w:i/>
          <w:iCs/>
          <w:color w:val="2F5496" w:themeColor="accent1" w:themeShade="BF"/>
          <w:szCs w:val="26"/>
        </w:rPr>
        <w:t>Data Limitations</w:t>
      </w:r>
    </w:p>
    <w:p w14:paraId="7107D7D1" w14:textId="77777777" w:rsidR="0028503B" w:rsidRPr="00EE5714" w:rsidRDefault="0028503B" w:rsidP="001A3967">
      <w:pPr>
        <w:keepNext/>
        <w:tabs>
          <w:tab w:val="left" w:pos="720"/>
        </w:tabs>
        <w:spacing w:after="0" w:line="240" w:lineRule="auto"/>
        <w:rPr>
          <w:rFonts w:ascii="Times New Roman" w:hAnsi="Times New Roman" w:cs="Times New Roman"/>
          <w:sz w:val="26"/>
          <w:szCs w:val="26"/>
        </w:rPr>
      </w:pPr>
    </w:p>
    <w:p w14:paraId="54EF6316" w14:textId="77777777" w:rsidR="0028503B" w:rsidRPr="00EE5714" w:rsidRDefault="0028503B" w:rsidP="0028503B">
      <w:pPr>
        <w:tabs>
          <w:tab w:val="left" w:pos="720"/>
        </w:tabs>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Staff identified inconsistencies and limitations in the reported data that impacted the analysis.  Reasons for data variations included policy and procedure changes implemented by the utilities during the five-year time frame, specific enhancements to their systems, changes to their low-income programs, and</w:t>
      </w:r>
      <w:r w:rsidR="00B1425D" w:rsidRPr="00EE5714">
        <w:rPr>
          <w:rFonts w:ascii="Times New Roman" w:hAnsi="Times New Roman" w:cs="Times New Roman"/>
          <w:sz w:val="26"/>
          <w:szCs w:val="26"/>
        </w:rPr>
        <w:t>/or</w:t>
      </w:r>
      <w:r w:rsidRPr="00EE5714">
        <w:rPr>
          <w:rFonts w:ascii="Times New Roman" w:hAnsi="Times New Roman" w:cs="Times New Roman"/>
          <w:sz w:val="26"/>
          <w:szCs w:val="26"/>
        </w:rPr>
        <w:t xml:space="preserve"> mergers/acquisitions.  </w:t>
      </w:r>
      <w:r w:rsidR="00B1425D" w:rsidRPr="00EE5714">
        <w:rPr>
          <w:rFonts w:ascii="Times New Roman" w:hAnsi="Times New Roman" w:cs="Times New Roman"/>
          <w:sz w:val="26"/>
          <w:szCs w:val="26"/>
        </w:rPr>
        <w:t>Upon review of the data submitted, s</w:t>
      </w:r>
      <w:r w:rsidRPr="00EE5714">
        <w:rPr>
          <w:rFonts w:ascii="Times New Roman" w:hAnsi="Times New Roman" w:cs="Times New Roman"/>
          <w:sz w:val="26"/>
          <w:szCs w:val="26"/>
        </w:rPr>
        <w:t>taff also found many utilities interpreted, tracked, and reported information differently.</w:t>
      </w:r>
    </w:p>
    <w:p w14:paraId="7EB92E10" w14:textId="77777777" w:rsidR="00F028F2" w:rsidRPr="00EE5714" w:rsidRDefault="00F028F2" w:rsidP="00684B70">
      <w:pPr>
        <w:spacing w:after="0" w:line="240" w:lineRule="auto"/>
        <w:rPr>
          <w:rFonts w:ascii="Times New Roman" w:hAnsi="Times New Roman" w:cs="Times New Roman"/>
          <w:sz w:val="26"/>
          <w:szCs w:val="26"/>
        </w:rPr>
      </w:pPr>
    </w:p>
    <w:p w14:paraId="21290B4F" w14:textId="77777777" w:rsidR="001A1E22" w:rsidRPr="00EE5714" w:rsidRDefault="00684B70" w:rsidP="0028503B">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At the onset of the study, the Commission </w:t>
      </w:r>
      <w:r w:rsidR="00583B80" w:rsidRPr="00EE5714">
        <w:rPr>
          <w:rFonts w:ascii="Times New Roman" w:hAnsi="Times New Roman" w:cs="Times New Roman"/>
          <w:sz w:val="26"/>
          <w:szCs w:val="26"/>
        </w:rPr>
        <w:t xml:space="preserve">initially </w:t>
      </w:r>
      <w:r w:rsidRPr="00EE5714">
        <w:rPr>
          <w:rFonts w:ascii="Times New Roman" w:hAnsi="Times New Roman" w:cs="Times New Roman"/>
          <w:sz w:val="26"/>
          <w:szCs w:val="26"/>
        </w:rPr>
        <w:t xml:space="preserve">requested the above data be categorized by </w:t>
      </w:r>
      <w:r w:rsidR="00BB20EC" w:rsidRPr="00EE5714">
        <w:rPr>
          <w:rFonts w:ascii="Times New Roman" w:hAnsi="Times New Roman" w:cs="Times New Roman"/>
          <w:sz w:val="26"/>
          <w:szCs w:val="26"/>
        </w:rPr>
        <w:t>CAP</w:t>
      </w:r>
      <w:r w:rsidR="00B81AD6" w:rsidRPr="00EE5714">
        <w:rPr>
          <w:rFonts w:ascii="Times New Roman" w:hAnsi="Times New Roman" w:cs="Times New Roman"/>
          <w:sz w:val="26"/>
          <w:szCs w:val="26"/>
        </w:rPr>
        <w:t>, CLI, and non-CAP</w:t>
      </w:r>
      <w:r w:rsidRPr="00EE5714">
        <w:rPr>
          <w:rFonts w:ascii="Times New Roman" w:hAnsi="Times New Roman" w:cs="Times New Roman"/>
          <w:sz w:val="26"/>
          <w:szCs w:val="26"/>
        </w:rPr>
        <w:t xml:space="preserve"> </w:t>
      </w:r>
      <w:r w:rsidR="00534311" w:rsidRPr="00EE5714">
        <w:rPr>
          <w:rFonts w:ascii="Times New Roman" w:hAnsi="Times New Roman" w:cs="Times New Roman"/>
          <w:sz w:val="26"/>
          <w:szCs w:val="26"/>
        </w:rPr>
        <w:t>r</w:t>
      </w:r>
      <w:r w:rsidRPr="00EE5714">
        <w:rPr>
          <w:rFonts w:ascii="Times New Roman" w:hAnsi="Times New Roman" w:cs="Times New Roman"/>
          <w:sz w:val="26"/>
          <w:szCs w:val="26"/>
        </w:rPr>
        <w:t xml:space="preserve">esidential </w:t>
      </w:r>
      <w:r w:rsidR="00B81AD6" w:rsidRPr="00EE5714">
        <w:rPr>
          <w:rFonts w:ascii="Times New Roman" w:hAnsi="Times New Roman" w:cs="Times New Roman"/>
          <w:sz w:val="26"/>
          <w:szCs w:val="26"/>
        </w:rPr>
        <w:t>a</w:t>
      </w:r>
      <w:r w:rsidRPr="00EE5714">
        <w:rPr>
          <w:rFonts w:ascii="Times New Roman" w:hAnsi="Times New Roman" w:cs="Times New Roman"/>
          <w:sz w:val="26"/>
          <w:szCs w:val="26"/>
        </w:rPr>
        <w:t xml:space="preserve">ccounts.  Although the utilities responded to this request, staff </w:t>
      </w:r>
      <w:r w:rsidR="00173679" w:rsidRPr="00EE5714">
        <w:rPr>
          <w:rFonts w:ascii="Times New Roman" w:hAnsi="Times New Roman" w:cs="Times New Roman"/>
          <w:sz w:val="26"/>
          <w:szCs w:val="26"/>
        </w:rPr>
        <w:t xml:space="preserve">questioned </w:t>
      </w:r>
      <w:r w:rsidRPr="00EE5714">
        <w:rPr>
          <w:rFonts w:ascii="Times New Roman" w:hAnsi="Times New Roman" w:cs="Times New Roman"/>
          <w:sz w:val="26"/>
          <w:szCs w:val="26"/>
        </w:rPr>
        <w:t xml:space="preserve">the validity </w:t>
      </w:r>
      <w:r w:rsidR="00534311" w:rsidRPr="00EE5714">
        <w:rPr>
          <w:rFonts w:ascii="Times New Roman" w:hAnsi="Times New Roman" w:cs="Times New Roman"/>
          <w:sz w:val="26"/>
          <w:szCs w:val="26"/>
        </w:rPr>
        <w:t xml:space="preserve">and consistency </w:t>
      </w:r>
      <w:r w:rsidRPr="00EE5714">
        <w:rPr>
          <w:rFonts w:ascii="Times New Roman" w:hAnsi="Times New Roman" w:cs="Times New Roman"/>
          <w:sz w:val="26"/>
          <w:szCs w:val="26"/>
        </w:rPr>
        <w:t xml:space="preserve">of </w:t>
      </w:r>
      <w:r w:rsidR="00534311" w:rsidRPr="00EE5714">
        <w:rPr>
          <w:rFonts w:ascii="Times New Roman" w:hAnsi="Times New Roman" w:cs="Times New Roman"/>
          <w:sz w:val="26"/>
          <w:szCs w:val="26"/>
        </w:rPr>
        <w:t xml:space="preserve">some of </w:t>
      </w:r>
      <w:r w:rsidRPr="00EE5714">
        <w:rPr>
          <w:rFonts w:ascii="Times New Roman" w:hAnsi="Times New Roman" w:cs="Times New Roman"/>
          <w:sz w:val="26"/>
          <w:szCs w:val="26"/>
        </w:rPr>
        <w:t xml:space="preserve">the reported numbers of </w:t>
      </w:r>
      <w:r w:rsidR="00534311" w:rsidRPr="00EE5714">
        <w:rPr>
          <w:rFonts w:ascii="Times New Roman" w:hAnsi="Times New Roman" w:cs="Times New Roman"/>
          <w:sz w:val="26"/>
          <w:szCs w:val="26"/>
        </w:rPr>
        <w:t xml:space="preserve">CLI </w:t>
      </w:r>
      <w:r w:rsidRPr="00EE5714">
        <w:rPr>
          <w:rFonts w:ascii="Times New Roman" w:hAnsi="Times New Roman" w:cs="Times New Roman"/>
          <w:sz w:val="26"/>
          <w:szCs w:val="26"/>
        </w:rPr>
        <w:t>accounts</w:t>
      </w:r>
      <w:r w:rsidR="00583B80" w:rsidRPr="00EE5714">
        <w:rPr>
          <w:rFonts w:ascii="Times New Roman" w:hAnsi="Times New Roman" w:cs="Times New Roman"/>
          <w:sz w:val="26"/>
          <w:szCs w:val="26"/>
        </w:rPr>
        <w:t xml:space="preserve">; </w:t>
      </w:r>
      <w:r w:rsidRPr="00EE5714">
        <w:rPr>
          <w:rFonts w:ascii="Times New Roman" w:hAnsi="Times New Roman" w:cs="Times New Roman"/>
          <w:sz w:val="26"/>
          <w:szCs w:val="26"/>
        </w:rPr>
        <w:t>th</w:t>
      </w:r>
      <w:r w:rsidR="000E3638" w:rsidRPr="00EE5714">
        <w:rPr>
          <w:rFonts w:ascii="Times New Roman" w:hAnsi="Times New Roman" w:cs="Times New Roman"/>
          <w:sz w:val="26"/>
          <w:szCs w:val="26"/>
        </w:rPr>
        <w:t>us</w:t>
      </w:r>
      <w:r w:rsidRPr="00EE5714">
        <w:rPr>
          <w:rFonts w:ascii="Times New Roman" w:hAnsi="Times New Roman" w:cs="Times New Roman"/>
          <w:sz w:val="26"/>
          <w:szCs w:val="26"/>
        </w:rPr>
        <w:t xml:space="preserve">, </w:t>
      </w:r>
      <w:r w:rsidR="001A1E22" w:rsidRPr="00EE5714">
        <w:rPr>
          <w:rFonts w:ascii="Times New Roman" w:hAnsi="Times New Roman" w:cs="Times New Roman"/>
          <w:sz w:val="26"/>
          <w:szCs w:val="26"/>
        </w:rPr>
        <w:t xml:space="preserve">the data used in this report </w:t>
      </w:r>
      <w:r w:rsidR="00BA63B9" w:rsidRPr="00EE5714">
        <w:rPr>
          <w:rFonts w:ascii="Times New Roman" w:hAnsi="Times New Roman" w:cs="Times New Roman"/>
          <w:sz w:val="26"/>
          <w:szCs w:val="26"/>
        </w:rPr>
        <w:t xml:space="preserve">do not always </w:t>
      </w:r>
      <w:r w:rsidR="000E3638" w:rsidRPr="00EE5714">
        <w:rPr>
          <w:rFonts w:ascii="Times New Roman" w:hAnsi="Times New Roman" w:cs="Times New Roman"/>
          <w:sz w:val="26"/>
          <w:szCs w:val="26"/>
        </w:rPr>
        <w:t>differentiate between CLI and non-CAP residential</w:t>
      </w:r>
      <w:r w:rsidR="001A1E22" w:rsidRPr="00EE5714">
        <w:rPr>
          <w:rFonts w:ascii="Times New Roman" w:hAnsi="Times New Roman" w:cs="Times New Roman"/>
          <w:sz w:val="26"/>
          <w:szCs w:val="26"/>
        </w:rPr>
        <w:t xml:space="preserve">. </w:t>
      </w:r>
    </w:p>
    <w:p w14:paraId="3EA393F7" w14:textId="77777777" w:rsidR="00684B70" w:rsidRPr="00EE5714" w:rsidRDefault="00684B70" w:rsidP="00684B70">
      <w:pPr>
        <w:spacing w:after="0" w:line="240" w:lineRule="auto"/>
        <w:rPr>
          <w:rFonts w:ascii="Times New Roman" w:hAnsi="Times New Roman" w:cs="Times New Roman"/>
          <w:sz w:val="26"/>
          <w:szCs w:val="26"/>
        </w:rPr>
      </w:pPr>
    </w:p>
    <w:p w14:paraId="598E2EAD" w14:textId="000F665B" w:rsidR="00E920F9" w:rsidRPr="00EE5714" w:rsidRDefault="00684B70" w:rsidP="00024A9B">
      <w:pPr>
        <w:spacing w:after="0" w:line="240" w:lineRule="auto"/>
        <w:rPr>
          <w:rFonts w:ascii="Times New Roman" w:hAnsi="Times New Roman" w:cs="Times New Roman"/>
          <w:sz w:val="26"/>
          <w:szCs w:val="26"/>
        </w:rPr>
      </w:pPr>
      <w:r w:rsidRPr="00EE5714">
        <w:rPr>
          <w:rFonts w:ascii="Times New Roman" w:hAnsi="Times New Roman" w:cs="Times New Roman"/>
          <w:sz w:val="24"/>
          <w:szCs w:val="24"/>
        </w:rPr>
        <w:tab/>
      </w:r>
      <w:r w:rsidR="0093693F" w:rsidRPr="00EE5714">
        <w:rPr>
          <w:rFonts w:ascii="Times New Roman" w:hAnsi="Times New Roman" w:cs="Times New Roman"/>
          <w:sz w:val="26"/>
          <w:szCs w:val="26"/>
        </w:rPr>
        <w:t xml:space="preserve">Furthermore, </w:t>
      </w:r>
      <w:r w:rsidR="005B000A" w:rsidRPr="00EE5714">
        <w:rPr>
          <w:rFonts w:ascii="Times New Roman" w:hAnsi="Times New Roman" w:cs="Times New Roman"/>
          <w:sz w:val="26"/>
          <w:szCs w:val="26"/>
        </w:rPr>
        <w:t xml:space="preserve">there is marked variability among the </w:t>
      </w:r>
      <w:r w:rsidR="008069AF" w:rsidRPr="00EE5714">
        <w:rPr>
          <w:rFonts w:ascii="Times New Roman" w:hAnsi="Times New Roman" w:cs="Times New Roman"/>
          <w:sz w:val="26"/>
          <w:szCs w:val="26"/>
        </w:rPr>
        <w:t>utilities</w:t>
      </w:r>
      <w:r w:rsidR="00C351A3" w:rsidRPr="00EE5714">
        <w:rPr>
          <w:rFonts w:ascii="Times New Roman" w:hAnsi="Times New Roman" w:cs="Times New Roman"/>
          <w:sz w:val="26"/>
          <w:szCs w:val="26"/>
        </w:rPr>
        <w:t xml:space="preserve"> </w:t>
      </w:r>
      <w:r w:rsidR="008069AF" w:rsidRPr="00EE5714">
        <w:rPr>
          <w:rFonts w:ascii="Times New Roman" w:hAnsi="Times New Roman" w:cs="Times New Roman"/>
          <w:sz w:val="26"/>
          <w:szCs w:val="26"/>
        </w:rPr>
        <w:t>i</w:t>
      </w:r>
      <w:r w:rsidR="005B000A" w:rsidRPr="00EE5714">
        <w:rPr>
          <w:rFonts w:ascii="Times New Roman" w:hAnsi="Times New Roman" w:cs="Times New Roman"/>
          <w:sz w:val="26"/>
          <w:szCs w:val="26"/>
        </w:rPr>
        <w:t xml:space="preserve">n how they </w:t>
      </w:r>
      <w:r w:rsidR="00C351A3" w:rsidRPr="00EE5714">
        <w:rPr>
          <w:rFonts w:ascii="Times New Roman" w:hAnsi="Times New Roman" w:cs="Times New Roman"/>
          <w:sz w:val="26"/>
          <w:szCs w:val="26"/>
        </w:rPr>
        <w:t xml:space="preserve">determine and </w:t>
      </w:r>
      <w:r w:rsidR="005B000A" w:rsidRPr="00EE5714">
        <w:rPr>
          <w:rFonts w:ascii="Times New Roman" w:hAnsi="Times New Roman" w:cs="Times New Roman"/>
          <w:sz w:val="26"/>
          <w:szCs w:val="26"/>
        </w:rPr>
        <w:t xml:space="preserve">verify the income status of </w:t>
      </w:r>
      <w:r w:rsidR="00B1425D" w:rsidRPr="00EE5714">
        <w:rPr>
          <w:rFonts w:ascii="Times New Roman" w:hAnsi="Times New Roman" w:cs="Times New Roman"/>
          <w:sz w:val="26"/>
          <w:szCs w:val="26"/>
        </w:rPr>
        <w:t xml:space="preserve">their </w:t>
      </w:r>
      <w:r w:rsidR="005B000A" w:rsidRPr="00EE5714">
        <w:rPr>
          <w:rFonts w:ascii="Times New Roman" w:hAnsi="Times New Roman" w:cs="Times New Roman"/>
          <w:sz w:val="26"/>
          <w:szCs w:val="26"/>
        </w:rPr>
        <w:t>customers.  For example, some utilities allow customers to “self-certify” their income designation while others require documentation from the customer to verify income status.  As a result,</w:t>
      </w:r>
      <w:r w:rsidR="00C351A3" w:rsidRPr="00EE5714">
        <w:rPr>
          <w:rFonts w:ascii="Times New Roman" w:hAnsi="Times New Roman" w:cs="Times New Roman"/>
          <w:sz w:val="26"/>
          <w:szCs w:val="26"/>
        </w:rPr>
        <w:t xml:space="preserve"> staff </w:t>
      </w:r>
      <w:r w:rsidR="005B000A" w:rsidRPr="00EE5714">
        <w:rPr>
          <w:rFonts w:ascii="Times New Roman" w:hAnsi="Times New Roman" w:cs="Times New Roman"/>
          <w:sz w:val="26"/>
          <w:szCs w:val="26"/>
        </w:rPr>
        <w:t>used current U.S. Census data, when appropriate, to describe any relevant demographics of a utility’s service area</w:t>
      </w:r>
      <w:r w:rsidR="007B755C" w:rsidRPr="00EE5714">
        <w:rPr>
          <w:rFonts w:ascii="Times New Roman" w:hAnsi="Times New Roman" w:cs="Times New Roman"/>
          <w:sz w:val="26"/>
          <w:szCs w:val="26"/>
        </w:rPr>
        <w:t xml:space="preserve"> as opposed to the low-income account information submitted by the utilities. </w:t>
      </w:r>
    </w:p>
    <w:p w14:paraId="3EA18C93" w14:textId="77777777" w:rsidR="00E920F9" w:rsidRPr="00EE5714" w:rsidRDefault="00E920F9">
      <w:pPr>
        <w:rPr>
          <w:rFonts w:ascii="Times New Roman" w:hAnsi="Times New Roman" w:cs="Times New Roman"/>
          <w:sz w:val="26"/>
          <w:szCs w:val="26"/>
        </w:rPr>
      </w:pPr>
      <w:r w:rsidRPr="00EE5714">
        <w:rPr>
          <w:rFonts w:ascii="Times New Roman" w:hAnsi="Times New Roman" w:cs="Times New Roman"/>
          <w:sz w:val="26"/>
          <w:szCs w:val="26"/>
        </w:rPr>
        <w:br w:type="page"/>
      </w:r>
    </w:p>
    <w:p w14:paraId="569AB932" w14:textId="77777777" w:rsidR="00B10506" w:rsidRPr="00EE5714" w:rsidRDefault="001B1CDC" w:rsidP="00024A9B">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lastRenderedPageBreak/>
        <w:t xml:space="preserve">  </w:t>
      </w:r>
    </w:p>
    <w:p w14:paraId="08BF8C2F" w14:textId="77777777" w:rsidR="00F94C9C" w:rsidRPr="00EE5714" w:rsidRDefault="00F94C9C">
      <w:pPr>
        <w:pStyle w:val="Heading1"/>
        <w:rPr>
          <w:rFonts w:cs="Times New Roman"/>
        </w:rPr>
      </w:pPr>
      <w:bookmarkStart w:id="12" w:name="_Toc533674861"/>
      <w:bookmarkStart w:id="13" w:name="_Toc534547866"/>
      <w:r w:rsidRPr="00EE5714">
        <w:t>III.  Energy Burden Levels</w:t>
      </w:r>
      <w:r w:rsidR="008423DC" w:rsidRPr="00EE5714">
        <w:t xml:space="preserve"> for </w:t>
      </w:r>
      <w:r w:rsidR="0095743F" w:rsidRPr="00EE5714">
        <w:t>Gas and Electric</w:t>
      </w:r>
      <w:r w:rsidR="008423DC" w:rsidRPr="00EE5714">
        <w:t xml:space="preserve"> Service</w:t>
      </w:r>
      <w:bookmarkEnd w:id="12"/>
      <w:bookmarkEnd w:id="13"/>
      <w:r w:rsidR="008423DC" w:rsidRPr="00EE5714">
        <w:t xml:space="preserve"> </w:t>
      </w:r>
      <w:r w:rsidRPr="00EE5714">
        <w:t xml:space="preserve"> </w:t>
      </w:r>
    </w:p>
    <w:p w14:paraId="37719275" w14:textId="77777777" w:rsidR="004B3EBC" w:rsidRPr="00EE5714" w:rsidRDefault="004B3EBC" w:rsidP="00684B70">
      <w:pPr>
        <w:spacing w:after="0" w:line="240" w:lineRule="auto"/>
        <w:rPr>
          <w:rFonts w:ascii="Times New Roman" w:hAnsi="Times New Roman" w:cs="Times New Roman"/>
          <w:color w:val="2F5496" w:themeColor="accent1" w:themeShade="BF"/>
          <w:sz w:val="26"/>
          <w:szCs w:val="26"/>
        </w:rPr>
      </w:pPr>
    </w:p>
    <w:p w14:paraId="1B0C72DD" w14:textId="77777777" w:rsidR="00516929" w:rsidRPr="00EE5714" w:rsidRDefault="00516929" w:rsidP="001A3967">
      <w:pPr>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Objective</w:t>
      </w:r>
    </w:p>
    <w:p w14:paraId="479F5264" w14:textId="77777777" w:rsidR="00516929" w:rsidRPr="00EE5714" w:rsidRDefault="00516929" w:rsidP="00516929">
      <w:pPr>
        <w:spacing w:after="0" w:line="240" w:lineRule="auto"/>
        <w:ind w:firstLine="720"/>
        <w:jc w:val="center"/>
        <w:rPr>
          <w:rFonts w:ascii="Times New Roman" w:hAnsi="Times New Roman" w:cs="Times New Roman"/>
          <w:sz w:val="26"/>
          <w:szCs w:val="26"/>
        </w:rPr>
      </w:pPr>
    </w:p>
    <w:p w14:paraId="46289275" w14:textId="77777777" w:rsidR="005A3A7C" w:rsidRPr="00EE5714" w:rsidRDefault="009924FE" w:rsidP="000062C8">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E</w:t>
      </w:r>
      <w:r w:rsidR="005A3A7C" w:rsidRPr="00EE5714">
        <w:rPr>
          <w:rFonts w:ascii="Times New Roman" w:hAnsi="Times New Roman" w:cs="Times New Roman"/>
          <w:sz w:val="26"/>
          <w:szCs w:val="26"/>
        </w:rPr>
        <w:t>xamin</w:t>
      </w:r>
      <w:r w:rsidRPr="00EE5714">
        <w:rPr>
          <w:rFonts w:ascii="Times New Roman" w:hAnsi="Times New Roman" w:cs="Times New Roman"/>
          <w:sz w:val="26"/>
          <w:szCs w:val="26"/>
        </w:rPr>
        <w:t>ing</w:t>
      </w:r>
      <w:r w:rsidR="005A3A7C" w:rsidRPr="00EE5714">
        <w:rPr>
          <w:rFonts w:ascii="Times New Roman" w:hAnsi="Times New Roman" w:cs="Times New Roman"/>
          <w:sz w:val="26"/>
          <w:szCs w:val="26"/>
        </w:rPr>
        <w:t xml:space="preserve"> the percent of household income spent on electric and gas service (</w:t>
      </w:r>
      <w:r w:rsidR="005A3A7C" w:rsidRPr="00EE5714">
        <w:rPr>
          <w:rFonts w:ascii="Times New Roman" w:hAnsi="Times New Roman" w:cs="Times New Roman"/>
          <w:i/>
          <w:sz w:val="26"/>
          <w:szCs w:val="26"/>
        </w:rPr>
        <w:t>i.e.</w:t>
      </w:r>
      <w:r w:rsidR="005A3A7C" w:rsidRPr="00EE5714">
        <w:rPr>
          <w:rFonts w:ascii="Times New Roman" w:hAnsi="Times New Roman" w:cs="Times New Roman"/>
          <w:sz w:val="26"/>
          <w:szCs w:val="26"/>
        </w:rPr>
        <w:t>, energy burdens) by low-income customers enrolled in CAPs and by non-CAP residential customers to determine the energy burden differences between these two groups.</w:t>
      </w:r>
    </w:p>
    <w:p w14:paraId="1D875AF6" w14:textId="77777777" w:rsidR="00516929" w:rsidRPr="00EE5714" w:rsidRDefault="00516929" w:rsidP="00516929">
      <w:pPr>
        <w:spacing w:after="0" w:line="240" w:lineRule="auto"/>
        <w:ind w:firstLine="720"/>
        <w:rPr>
          <w:rFonts w:ascii="Times New Roman" w:hAnsi="Times New Roman" w:cs="Times New Roman"/>
          <w:sz w:val="26"/>
          <w:szCs w:val="26"/>
        </w:rPr>
      </w:pPr>
    </w:p>
    <w:p w14:paraId="6CB95BA4" w14:textId="77777777" w:rsidR="00516929" w:rsidRPr="00EE5714" w:rsidRDefault="00516929" w:rsidP="001A3967">
      <w:pPr>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Background</w:t>
      </w:r>
      <w:r w:rsidR="001712D4" w:rsidRPr="00EE5714">
        <w:rPr>
          <w:rStyle w:val="FootnoteReference"/>
          <w:rFonts w:ascii="Times New Roman" w:hAnsi="Times New Roman" w:cs="Times New Roman"/>
          <w:sz w:val="26"/>
          <w:szCs w:val="26"/>
        </w:rPr>
        <w:footnoteReference w:id="26"/>
      </w:r>
    </w:p>
    <w:p w14:paraId="1DFD9F56" w14:textId="77777777" w:rsidR="00516929" w:rsidRPr="00EE5714" w:rsidRDefault="00516929" w:rsidP="00516929">
      <w:pPr>
        <w:spacing w:after="0" w:line="240" w:lineRule="auto"/>
        <w:ind w:firstLine="720"/>
        <w:rPr>
          <w:rFonts w:ascii="Times New Roman" w:hAnsi="Times New Roman" w:cs="Times New Roman"/>
          <w:sz w:val="26"/>
          <w:szCs w:val="26"/>
        </w:rPr>
      </w:pPr>
    </w:p>
    <w:p w14:paraId="25D66A5B"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For the purposes of this segment, </w:t>
      </w:r>
      <w:r w:rsidR="000B11C2" w:rsidRPr="00EE5714">
        <w:rPr>
          <w:rFonts w:ascii="Times New Roman" w:hAnsi="Times New Roman" w:cs="Times New Roman"/>
          <w:sz w:val="26"/>
          <w:szCs w:val="26"/>
        </w:rPr>
        <w:t>staff</w:t>
      </w:r>
      <w:r w:rsidRPr="00EE5714">
        <w:rPr>
          <w:rFonts w:ascii="Times New Roman" w:hAnsi="Times New Roman" w:cs="Times New Roman"/>
          <w:sz w:val="26"/>
          <w:szCs w:val="26"/>
        </w:rPr>
        <w:t xml:space="preserve"> intended to compare three groups of residential customers: CAP households, residential non-CAP households, and CLI households.  While all three groups of residential customers comprise the Residential Class of customers, CAP households are tracked </w:t>
      </w:r>
      <w:r w:rsidR="007B42A6" w:rsidRPr="00EE5714">
        <w:rPr>
          <w:rFonts w:ascii="Times New Roman" w:hAnsi="Times New Roman" w:cs="Times New Roman"/>
          <w:sz w:val="26"/>
          <w:szCs w:val="26"/>
        </w:rPr>
        <w:t xml:space="preserve">separately </w:t>
      </w:r>
      <w:r w:rsidRPr="00EE5714">
        <w:rPr>
          <w:rFonts w:ascii="Times New Roman" w:hAnsi="Times New Roman" w:cs="Times New Roman"/>
          <w:sz w:val="26"/>
          <w:szCs w:val="26"/>
        </w:rPr>
        <w:t>as a group</w:t>
      </w:r>
      <w:r w:rsidR="009822F8"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 </w:t>
      </w:r>
      <w:r w:rsidR="009822F8" w:rsidRPr="00EE5714">
        <w:rPr>
          <w:rFonts w:ascii="Times New Roman" w:hAnsi="Times New Roman" w:cs="Times New Roman"/>
          <w:sz w:val="26"/>
          <w:szCs w:val="26"/>
        </w:rPr>
        <w:t>CLI</w:t>
      </w:r>
      <w:r w:rsidRPr="00EE5714">
        <w:rPr>
          <w:rFonts w:ascii="Times New Roman" w:hAnsi="Times New Roman" w:cs="Times New Roman"/>
          <w:sz w:val="26"/>
          <w:szCs w:val="26"/>
        </w:rPr>
        <w:t xml:space="preserve"> households are a subset of the non-CAP </w:t>
      </w:r>
      <w:r w:rsidR="009822F8" w:rsidRPr="00EE5714">
        <w:rPr>
          <w:rFonts w:ascii="Times New Roman" w:hAnsi="Times New Roman" w:cs="Times New Roman"/>
          <w:sz w:val="26"/>
          <w:szCs w:val="26"/>
        </w:rPr>
        <w:t xml:space="preserve">residential </w:t>
      </w:r>
      <w:r w:rsidRPr="00EE5714">
        <w:rPr>
          <w:rFonts w:ascii="Times New Roman" w:hAnsi="Times New Roman" w:cs="Times New Roman"/>
          <w:sz w:val="26"/>
          <w:szCs w:val="26"/>
        </w:rPr>
        <w:t xml:space="preserve">household group.  </w:t>
      </w:r>
      <w:r w:rsidR="00305EFB" w:rsidRPr="00EE5714">
        <w:rPr>
          <w:rFonts w:ascii="Times New Roman" w:hAnsi="Times New Roman" w:cs="Times New Roman"/>
          <w:sz w:val="26"/>
          <w:szCs w:val="26"/>
        </w:rPr>
        <w:t>T</w:t>
      </w:r>
      <w:r w:rsidRPr="00EE5714">
        <w:rPr>
          <w:rFonts w:ascii="Times New Roman" w:hAnsi="Times New Roman" w:cs="Times New Roman"/>
          <w:sz w:val="26"/>
          <w:szCs w:val="26"/>
        </w:rPr>
        <w:t xml:space="preserve">he utilities reported that they do not possess income information for </w:t>
      </w:r>
      <w:r w:rsidR="00305EFB" w:rsidRPr="00EE5714">
        <w:rPr>
          <w:rFonts w:ascii="Times New Roman" w:hAnsi="Times New Roman" w:cs="Times New Roman"/>
          <w:sz w:val="26"/>
          <w:szCs w:val="26"/>
        </w:rPr>
        <w:t xml:space="preserve">most </w:t>
      </w:r>
      <w:r w:rsidRPr="00EE5714">
        <w:rPr>
          <w:rFonts w:ascii="Times New Roman" w:hAnsi="Times New Roman" w:cs="Times New Roman"/>
          <w:sz w:val="26"/>
          <w:szCs w:val="26"/>
        </w:rPr>
        <w:t>CLI customers.</w:t>
      </w:r>
      <w:r w:rsidRPr="00EE5714">
        <w:rPr>
          <w:rFonts w:ascii="Times New Roman" w:hAnsi="Times New Roman" w:cs="Times New Roman"/>
          <w:sz w:val="26"/>
          <w:szCs w:val="26"/>
          <w:vertAlign w:val="superscript"/>
        </w:rPr>
        <w:footnoteReference w:id="27"/>
      </w:r>
      <w:r w:rsidRPr="00EE5714">
        <w:rPr>
          <w:rFonts w:ascii="Times New Roman" w:hAnsi="Times New Roman" w:cs="Times New Roman"/>
          <w:sz w:val="26"/>
          <w:szCs w:val="26"/>
        </w:rPr>
        <w:t xml:space="preserve">  Thus, this segment will only compare CAP energy burdens to non-CAP</w:t>
      </w:r>
      <w:r w:rsidR="00D510C5" w:rsidRPr="00EE5714">
        <w:rPr>
          <w:rFonts w:ascii="Times New Roman" w:hAnsi="Times New Roman" w:cs="Times New Roman"/>
          <w:sz w:val="26"/>
          <w:szCs w:val="26"/>
        </w:rPr>
        <w:t xml:space="preserve"> residential</w:t>
      </w:r>
      <w:r w:rsidRPr="00EE5714">
        <w:rPr>
          <w:rFonts w:ascii="Times New Roman" w:hAnsi="Times New Roman" w:cs="Times New Roman"/>
          <w:sz w:val="26"/>
          <w:szCs w:val="26"/>
        </w:rPr>
        <w:t xml:space="preserve"> energy burdens.</w:t>
      </w:r>
    </w:p>
    <w:p w14:paraId="2DBADCCF" w14:textId="77777777" w:rsidR="00516929" w:rsidRPr="00EE5714" w:rsidRDefault="00516929" w:rsidP="00516929">
      <w:pPr>
        <w:spacing w:after="0" w:line="240" w:lineRule="auto"/>
        <w:ind w:firstLine="720"/>
        <w:rPr>
          <w:rFonts w:ascii="Times New Roman" w:hAnsi="Times New Roman" w:cs="Times New Roman"/>
          <w:sz w:val="26"/>
          <w:szCs w:val="26"/>
        </w:rPr>
      </w:pPr>
    </w:p>
    <w:p w14:paraId="74B5AA11" w14:textId="77777777" w:rsidR="00516929" w:rsidRPr="00EE5714" w:rsidRDefault="00BA7C8F"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Staff </w:t>
      </w:r>
      <w:r w:rsidR="003147EB" w:rsidRPr="00EE5714">
        <w:rPr>
          <w:rFonts w:ascii="Times New Roman" w:hAnsi="Times New Roman" w:cs="Times New Roman"/>
          <w:sz w:val="26"/>
          <w:szCs w:val="26"/>
        </w:rPr>
        <w:t xml:space="preserve">considered </w:t>
      </w:r>
      <w:r w:rsidRPr="00EE5714">
        <w:rPr>
          <w:rFonts w:ascii="Times New Roman" w:hAnsi="Times New Roman" w:cs="Times New Roman"/>
          <w:sz w:val="26"/>
          <w:szCs w:val="26"/>
        </w:rPr>
        <w:t xml:space="preserve">the following </w:t>
      </w:r>
      <w:r w:rsidR="00516929" w:rsidRPr="00EE5714">
        <w:rPr>
          <w:rFonts w:ascii="Times New Roman" w:hAnsi="Times New Roman" w:cs="Times New Roman"/>
          <w:sz w:val="26"/>
          <w:szCs w:val="26"/>
        </w:rPr>
        <w:t xml:space="preserve">components: </w:t>
      </w:r>
    </w:p>
    <w:p w14:paraId="784A4934" w14:textId="77777777" w:rsidR="00516929" w:rsidRPr="00EE5714" w:rsidRDefault="00516929" w:rsidP="00516929">
      <w:pPr>
        <w:spacing w:after="0" w:line="240" w:lineRule="auto"/>
        <w:ind w:firstLine="720"/>
        <w:rPr>
          <w:rFonts w:ascii="Times New Roman" w:hAnsi="Times New Roman" w:cs="Times New Roman"/>
          <w:sz w:val="26"/>
          <w:szCs w:val="26"/>
        </w:rPr>
      </w:pPr>
    </w:p>
    <w:p w14:paraId="54E759FC" w14:textId="77777777" w:rsidR="00516929" w:rsidRPr="00EE5714" w:rsidRDefault="00516929" w:rsidP="007D5276">
      <w:pPr>
        <w:numPr>
          <w:ilvl w:val="0"/>
          <w:numId w:val="6"/>
        </w:numPr>
        <w:spacing w:after="0" w:line="240" w:lineRule="auto"/>
        <w:ind w:left="720" w:firstLine="0"/>
        <w:contextualSpacing/>
        <w:rPr>
          <w:rFonts w:ascii="Times New Roman" w:hAnsi="Times New Roman" w:cs="Times New Roman"/>
          <w:sz w:val="26"/>
          <w:szCs w:val="26"/>
        </w:rPr>
      </w:pPr>
      <w:r w:rsidRPr="00EE5714">
        <w:rPr>
          <w:rFonts w:ascii="Times New Roman" w:hAnsi="Times New Roman" w:cs="Times New Roman"/>
          <w:sz w:val="26"/>
          <w:szCs w:val="26"/>
        </w:rPr>
        <w:t xml:space="preserve">The average energy burden for households for electric and gas service; </w:t>
      </w:r>
    </w:p>
    <w:p w14:paraId="4A73E965" w14:textId="77777777" w:rsidR="00516929" w:rsidRPr="00EE5714" w:rsidRDefault="00516929" w:rsidP="007D5276">
      <w:pPr>
        <w:numPr>
          <w:ilvl w:val="0"/>
          <w:numId w:val="6"/>
        </w:numPr>
        <w:spacing w:after="0" w:line="240" w:lineRule="auto"/>
        <w:ind w:hanging="720"/>
        <w:contextualSpacing/>
        <w:rPr>
          <w:rFonts w:ascii="Times New Roman" w:hAnsi="Times New Roman" w:cs="Times New Roman"/>
          <w:sz w:val="26"/>
          <w:szCs w:val="26"/>
        </w:rPr>
      </w:pPr>
      <w:r w:rsidRPr="00EE5714">
        <w:rPr>
          <w:rFonts w:ascii="Times New Roman" w:hAnsi="Times New Roman" w:cs="Times New Roman"/>
          <w:sz w:val="26"/>
          <w:szCs w:val="26"/>
        </w:rPr>
        <w:t>Individual utility service type (electric heat</w:t>
      </w:r>
      <w:r w:rsidR="00C82450" w:rsidRPr="00EE5714">
        <w:rPr>
          <w:rFonts w:ascii="Times New Roman" w:hAnsi="Times New Roman" w:cs="Times New Roman"/>
          <w:sz w:val="26"/>
          <w:szCs w:val="26"/>
        </w:rPr>
        <w:t>ing</w:t>
      </w:r>
      <w:r w:rsidRPr="00EE5714">
        <w:rPr>
          <w:rFonts w:ascii="Times New Roman" w:hAnsi="Times New Roman" w:cs="Times New Roman"/>
          <w:sz w:val="26"/>
          <w:szCs w:val="26"/>
        </w:rPr>
        <w:t>, electric non-heat</w:t>
      </w:r>
      <w:r w:rsidR="00C82450" w:rsidRPr="00EE5714">
        <w:rPr>
          <w:rFonts w:ascii="Times New Roman" w:hAnsi="Times New Roman" w:cs="Times New Roman"/>
          <w:sz w:val="26"/>
          <w:szCs w:val="26"/>
        </w:rPr>
        <w:t>ing</w:t>
      </w:r>
      <w:r w:rsidRPr="00EE5714">
        <w:rPr>
          <w:rFonts w:ascii="Times New Roman" w:hAnsi="Times New Roman" w:cs="Times New Roman"/>
          <w:sz w:val="26"/>
          <w:szCs w:val="26"/>
        </w:rPr>
        <w:t xml:space="preserve">, </w:t>
      </w:r>
      <w:r w:rsidR="00D722A2" w:rsidRPr="00EE5714">
        <w:rPr>
          <w:rFonts w:ascii="Times New Roman" w:hAnsi="Times New Roman" w:cs="Times New Roman"/>
          <w:sz w:val="26"/>
          <w:szCs w:val="26"/>
        </w:rPr>
        <w:t xml:space="preserve">and </w:t>
      </w:r>
      <w:r w:rsidRPr="00EE5714">
        <w:rPr>
          <w:rFonts w:ascii="Times New Roman" w:hAnsi="Times New Roman" w:cs="Times New Roman"/>
          <w:sz w:val="26"/>
          <w:szCs w:val="26"/>
        </w:rPr>
        <w:t>natural gas</w:t>
      </w:r>
      <w:r w:rsidR="00D722A2" w:rsidRPr="00EE5714">
        <w:rPr>
          <w:rFonts w:ascii="Times New Roman" w:hAnsi="Times New Roman" w:cs="Times New Roman"/>
          <w:sz w:val="26"/>
          <w:szCs w:val="26"/>
        </w:rPr>
        <w:t xml:space="preserve"> heating</w:t>
      </w:r>
      <w:r w:rsidRPr="00EE5714">
        <w:rPr>
          <w:rFonts w:ascii="Times New Roman" w:hAnsi="Times New Roman" w:cs="Times New Roman"/>
          <w:sz w:val="26"/>
          <w:szCs w:val="26"/>
        </w:rPr>
        <w:t xml:space="preserve">);  </w:t>
      </w:r>
    </w:p>
    <w:p w14:paraId="5BCDA128" w14:textId="77777777" w:rsidR="004471D3" w:rsidRPr="00EE5714" w:rsidRDefault="00E966CB" w:rsidP="007D5276">
      <w:pPr>
        <w:numPr>
          <w:ilvl w:val="0"/>
          <w:numId w:val="6"/>
        </w:numPr>
        <w:spacing w:after="0" w:line="240" w:lineRule="auto"/>
        <w:ind w:left="720" w:firstLine="0"/>
        <w:contextualSpacing/>
        <w:rPr>
          <w:rFonts w:ascii="Times New Roman" w:hAnsi="Times New Roman" w:cs="Times New Roman"/>
          <w:sz w:val="26"/>
          <w:szCs w:val="26"/>
        </w:rPr>
      </w:pPr>
      <w:r w:rsidRPr="00EE5714">
        <w:rPr>
          <w:rFonts w:ascii="Times New Roman" w:hAnsi="Times New Roman" w:cs="Times New Roman"/>
          <w:sz w:val="26"/>
          <w:szCs w:val="26"/>
        </w:rPr>
        <w:t>FPIG level; and</w:t>
      </w:r>
    </w:p>
    <w:p w14:paraId="7AAC50B9" w14:textId="77777777" w:rsidR="00516929" w:rsidRPr="00EE5714" w:rsidRDefault="00516929" w:rsidP="007D5276">
      <w:pPr>
        <w:numPr>
          <w:ilvl w:val="0"/>
          <w:numId w:val="6"/>
        </w:numPr>
        <w:spacing w:after="0" w:line="240" w:lineRule="auto"/>
        <w:ind w:left="720" w:firstLine="0"/>
        <w:contextualSpacing/>
        <w:rPr>
          <w:rFonts w:ascii="Times New Roman" w:hAnsi="Times New Roman" w:cs="Times New Roman"/>
          <w:sz w:val="26"/>
          <w:szCs w:val="26"/>
        </w:rPr>
      </w:pPr>
      <w:r w:rsidRPr="00EE5714">
        <w:rPr>
          <w:rFonts w:ascii="Times New Roman" w:hAnsi="Times New Roman" w:cs="Times New Roman"/>
          <w:sz w:val="26"/>
          <w:szCs w:val="26"/>
        </w:rPr>
        <w:t xml:space="preserve">Status as residential non-CAP </w:t>
      </w:r>
      <w:r w:rsidR="004471D3" w:rsidRPr="00EE5714">
        <w:rPr>
          <w:rFonts w:ascii="Times New Roman" w:hAnsi="Times New Roman" w:cs="Times New Roman"/>
          <w:sz w:val="26"/>
          <w:szCs w:val="26"/>
        </w:rPr>
        <w:t xml:space="preserve">or </w:t>
      </w:r>
      <w:r w:rsidRPr="00EE5714">
        <w:rPr>
          <w:rFonts w:ascii="Times New Roman" w:hAnsi="Times New Roman" w:cs="Times New Roman"/>
          <w:sz w:val="26"/>
          <w:szCs w:val="26"/>
        </w:rPr>
        <w:t xml:space="preserve">CAP customer for the past five years.  </w:t>
      </w:r>
    </w:p>
    <w:p w14:paraId="3FA1B734" w14:textId="77777777" w:rsidR="00516929" w:rsidRPr="00EE5714" w:rsidRDefault="00516929" w:rsidP="00516929">
      <w:pPr>
        <w:spacing w:after="0" w:line="240" w:lineRule="auto"/>
        <w:ind w:firstLine="720"/>
        <w:rPr>
          <w:rFonts w:ascii="Times New Roman" w:hAnsi="Times New Roman" w:cs="Times New Roman"/>
          <w:sz w:val="26"/>
          <w:szCs w:val="26"/>
        </w:rPr>
      </w:pPr>
    </w:p>
    <w:p w14:paraId="39FE123E" w14:textId="77777777" w:rsidR="00516929" w:rsidRPr="00EE5714" w:rsidRDefault="00044723"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Additionally, </w:t>
      </w:r>
      <w:r w:rsidR="00320F67" w:rsidRPr="00EE5714">
        <w:rPr>
          <w:rFonts w:ascii="Times New Roman" w:hAnsi="Times New Roman" w:cs="Times New Roman"/>
          <w:sz w:val="26"/>
          <w:szCs w:val="26"/>
        </w:rPr>
        <w:t xml:space="preserve">utilities use </w:t>
      </w:r>
      <w:r w:rsidR="00516929" w:rsidRPr="00EE5714">
        <w:rPr>
          <w:rFonts w:ascii="Times New Roman" w:hAnsi="Times New Roman" w:cs="Times New Roman"/>
          <w:sz w:val="26"/>
          <w:szCs w:val="26"/>
        </w:rPr>
        <w:t>a variety of payment approaches to structure their CAP programs</w:t>
      </w:r>
      <w:r w:rsidR="006A579E" w:rsidRPr="00EE5714">
        <w:rPr>
          <w:rFonts w:ascii="Times New Roman" w:hAnsi="Times New Roman" w:cs="Times New Roman"/>
          <w:sz w:val="26"/>
          <w:szCs w:val="26"/>
        </w:rPr>
        <w:t>, consistent with the CAP Policy Statement guidelines</w:t>
      </w:r>
      <w:r w:rsidR="00516929" w:rsidRPr="00EE5714">
        <w:rPr>
          <w:rFonts w:ascii="Times New Roman" w:hAnsi="Times New Roman" w:cs="Times New Roman"/>
          <w:sz w:val="26"/>
          <w:szCs w:val="26"/>
        </w:rPr>
        <w:t xml:space="preserve">.  </w:t>
      </w:r>
      <w:r w:rsidR="00842280" w:rsidRPr="00EE5714">
        <w:rPr>
          <w:rFonts w:ascii="Times New Roman" w:hAnsi="Times New Roman" w:cs="Times New Roman"/>
          <w:sz w:val="26"/>
          <w:szCs w:val="26"/>
        </w:rPr>
        <w:t>U</w:t>
      </w:r>
      <w:r w:rsidR="00516929" w:rsidRPr="00EE5714">
        <w:rPr>
          <w:rFonts w:ascii="Times New Roman" w:hAnsi="Times New Roman" w:cs="Times New Roman"/>
          <w:sz w:val="26"/>
          <w:szCs w:val="26"/>
        </w:rPr>
        <w:t>tilities charge different amounts, offer various percentage discounts or billing options, and can have differing minimum payment requirements.  T</w:t>
      </w:r>
      <w:r w:rsidR="00C347FC" w:rsidRPr="00EE5714">
        <w:rPr>
          <w:rFonts w:ascii="Times New Roman" w:hAnsi="Times New Roman" w:cs="Times New Roman"/>
          <w:sz w:val="26"/>
          <w:szCs w:val="26"/>
        </w:rPr>
        <w:t>able 3-1 below</w:t>
      </w:r>
      <w:r w:rsidR="00516929" w:rsidRPr="00EE5714">
        <w:rPr>
          <w:rFonts w:ascii="Times New Roman" w:hAnsi="Times New Roman" w:cs="Times New Roman"/>
          <w:sz w:val="26"/>
          <w:szCs w:val="26"/>
        </w:rPr>
        <w:t xml:space="preserve"> shows each utility’s CAP payment method and any applicable minimum payments for both heating and non-heating accounts during the study.</w:t>
      </w:r>
    </w:p>
    <w:p w14:paraId="630EB1E2" w14:textId="77777777" w:rsidR="00516929" w:rsidRPr="00EE5714" w:rsidRDefault="00516929" w:rsidP="00516929">
      <w:pPr>
        <w:spacing w:after="0" w:line="240" w:lineRule="auto"/>
        <w:jc w:val="center"/>
        <w:rPr>
          <w:rFonts w:ascii="Times New Roman" w:hAnsi="Times New Roman" w:cs="Times New Roman"/>
          <w:sz w:val="26"/>
          <w:szCs w:val="26"/>
        </w:rPr>
      </w:pPr>
    </w:p>
    <w:p w14:paraId="45CB1161" w14:textId="77777777" w:rsidR="00EE6941" w:rsidRPr="00EE5714" w:rsidRDefault="00516929" w:rsidP="007B69AD">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 xml:space="preserve">Table </w:t>
      </w:r>
      <w:r w:rsidR="00763A53" w:rsidRPr="00EE5714">
        <w:rPr>
          <w:rFonts w:ascii="Times New Roman" w:hAnsi="Times New Roman" w:cs="Times New Roman"/>
          <w:b/>
          <w:bCs/>
          <w:sz w:val="26"/>
          <w:szCs w:val="26"/>
        </w:rPr>
        <w:t>3-1</w:t>
      </w:r>
    </w:p>
    <w:p w14:paraId="1A668DC2" w14:textId="77777777" w:rsidR="00516929" w:rsidRPr="00EE5714" w:rsidRDefault="00516929" w:rsidP="007B69AD">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CAP Billing Methods</w:t>
      </w:r>
      <w:r w:rsidRPr="00EE5714">
        <w:rPr>
          <w:b/>
          <w:bCs/>
        </w:rPr>
        <w:t xml:space="preserve"> </w:t>
      </w:r>
      <w:r w:rsidRPr="00EE5714">
        <w:rPr>
          <w:rFonts w:ascii="Times New Roman" w:hAnsi="Times New Roman" w:cs="Times New Roman"/>
          <w:b/>
          <w:bCs/>
          <w:sz w:val="26"/>
          <w:szCs w:val="26"/>
        </w:rPr>
        <w:t>by Utility</w:t>
      </w:r>
    </w:p>
    <w:tbl>
      <w:tblPr>
        <w:tblStyle w:val="TableGrid"/>
        <w:tblW w:w="0" w:type="auto"/>
        <w:tblLook w:val="04A0" w:firstRow="1" w:lastRow="0" w:firstColumn="1" w:lastColumn="0" w:noHBand="0" w:noVBand="1"/>
      </w:tblPr>
      <w:tblGrid>
        <w:gridCol w:w="2065"/>
        <w:gridCol w:w="5220"/>
        <w:gridCol w:w="2065"/>
      </w:tblGrid>
      <w:tr w:rsidR="00516929" w:rsidRPr="00EE5714" w14:paraId="1113A655" w14:textId="77777777" w:rsidTr="007B69AD">
        <w:tc>
          <w:tcPr>
            <w:tcW w:w="2065" w:type="dxa"/>
            <w:vAlign w:val="center"/>
          </w:tcPr>
          <w:p w14:paraId="6B5904F2" w14:textId="77777777" w:rsidR="00516929" w:rsidRPr="00EE5714" w:rsidRDefault="00516929">
            <w:pPr>
              <w:keepNext/>
              <w:jc w:val="center"/>
              <w:rPr>
                <w:rFonts w:ascii="Times New Roman" w:hAnsi="Times New Roman" w:cs="Times New Roman"/>
              </w:rPr>
            </w:pPr>
            <w:r w:rsidRPr="00EE5714">
              <w:rPr>
                <w:rFonts w:ascii="Times New Roman" w:hAnsi="Times New Roman" w:cs="Times New Roman"/>
                <w:b/>
                <w:bCs/>
              </w:rPr>
              <w:t>Utility</w:t>
            </w:r>
          </w:p>
        </w:tc>
        <w:tc>
          <w:tcPr>
            <w:tcW w:w="5220" w:type="dxa"/>
            <w:vAlign w:val="center"/>
          </w:tcPr>
          <w:p w14:paraId="511F9DF7" w14:textId="16DA8257" w:rsidR="00516929" w:rsidRPr="00EE5714" w:rsidRDefault="00516929">
            <w:pPr>
              <w:keepNext/>
              <w:jc w:val="center"/>
              <w:rPr>
                <w:rFonts w:ascii="Times New Roman" w:hAnsi="Times New Roman" w:cs="Times New Roman"/>
              </w:rPr>
            </w:pPr>
            <w:r w:rsidRPr="00EE5714">
              <w:rPr>
                <w:rFonts w:ascii="Times New Roman" w:hAnsi="Times New Roman" w:cs="Times New Roman"/>
                <w:b/>
                <w:bCs/>
              </w:rPr>
              <w:t xml:space="preserve">CAP </w:t>
            </w:r>
            <w:r w:rsidR="0023263C" w:rsidRPr="00EE5714">
              <w:rPr>
                <w:rFonts w:ascii="Times New Roman" w:hAnsi="Times New Roman" w:cs="Times New Roman"/>
                <w:b/>
                <w:bCs/>
              </w:rPr>
              <w:t xml:space="preserve">Billing </w:t>
            </w:r>
            <w:r w:rsidRPr="00EE5714">
              <w:rPr>
                <w:rFonts w:ascii="Times New Roman" w:hAnsi="Times New Roman" w:cs="Times New Roman"/>
                <w:b/>
                <w:bCs/>
              </w:rPr>
              <w:t>Method</w:t>
            </w:r>
          </w:p>
        </w:tc>
        <w:tc>
          <w:tcPr>
            <w:tcW w:w="2065" w:type="dxa"/>
            <w:vAlign w:val="center"/>
          </w:tcPr>
          <w:p w14:paraId="44FBF5DB" w14:textId="77777777" w:rsidR="00516929" w:rsidRPr="00EE5714" w:rsidRDefault="00516929">
            <w:pPr>
              <w:keepNext/>
              <w:jc w:val="center"/>
              <w:rPr>
                <w:rFonts w:ascii="Times New Roman" w:hAnsi="Times New Roman" w:cs="Times New Roman"/>
              </w:rPr>
            </w:pPr>
            <w:r w:rsidRPr="00EE5714">
              <w:rPr>
                <w:rFonts w:ascii="Times New Roman" w:hAnsi="Times New Roman" w:cs="Times New Roman"/>
                <w:b/>
                <w:bCs/>
              </w:rPr>
              <w:t>Minimum Payments</w:t>
            </w:r>
          </w:p>
        </w:tc>
      </w:tr>
      <w:tr w:rsidR="00516929" w:rsidRPr="00EE5714" w14:paraId="28855B97" w14:textId="77777777" w:rsidTr="007B69AD">
        <w:tc>
          <w:tcPr>
            <w:tcW w:w="2065" w:type="dxa"/>
          </w:tcPr>
          <w:p w14:paraId="39E0C134"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Duquesne</w:t>
            </w:r>
          </w:p>
        </w:tc>
        <w:tc>
          <w:tcPr>
            <w:tcW w:w="5220" w:type="dxa"/>
          </w:tcPr>
          <w:p w14:paraId="7E60B5D0"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i/>
                <w:iCs/>
                <w:u w:val="single"/>
              </w:rPr>
              <w:t>Percentage of Budget Billing</w:t>
            </w:r>
            <w:r w:rsidRPr="00EE5714">
              <w:rPr>
                <w:rFonts w:ascii="Times New Roman" w:hAnsi="Times New Roman" w:cs="Times New Roman"/>
              </w:rPr>
              <w:t xml:space="preserve"> </w:t>
            </w:r>
          </w:p>
          <w:p w14:paraId="5F2BE92B"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30% to 85% of Budget Billing</w:t>
            </w:r>
          </w:p>
        </w:tc>
        <w:tc>
          <w:tcPr>
            <w:tcW w:w="2065" w:type="dxa"/>
            <w:vAlign w:val="center"/>
          </w:tcPr>
          <w:p w14:paraId="329CF329" w14:textId="77777777" w:rsidR="00516929" w:rsidRPr="00EE5714" w:rsidRDefault="00516929">
            <w:pPr>
              <w:keepNext/>
              <w:keepLines/>
              <w:pageBreakBefore/>
              <w:jc w:val="center"/>
              <w:rPr>
                <w:rFonts w:ascii="Times New Roman" w:hAnsi="Times New Roman" w:cs="Times New Roman"/>
              </w:rPr>
            </w:pPr>
            <w:r w:rsidRPr="00EE5714">
              <w:rPr>
                <w:rFonts w:ascii="Times New Roman" w:hAnsi="Times New Roman" w:cs="Times New Roman"/>
                <w:b/>
                <w:bCs/>
              </w:rPr>
              <w:t>Heat:</w:t>
            </w:r>
            <w:r w:rsidRPr="00EE5714">
              <w:rPr>
                <w:rFonts w:ascii="Times New Roman" w:hAnsi="Times New Roman" w:cs="Times New Roman"/>
              </w:rPr>
              <w:t xml:space="preserve"> $40</w:t>
            </w:r>
          </w:p>
          <w:p w14:paraId="4A292BE2" w14:textId="77777777" w:rsidR="00516929" w:rsidRPr="00EE5714" w:rsidRDefault="00516929">
            <w:pPr>
              <w:keepNext/>
              <w:keepLines/>
              <w:pageBreakBefore/>
              <w:jc w:val="center"/>
              <w:rPr>
                <w:rFonts w:ascii="Times New Roman" w:hAnsi="Times New Roman" w:cs="Times New Roman"/>
              </w:rPr>
            </w:pPr>
            <w:r w:rsidRPr="00EE5714">
              <w:rPr>
                <w:rFonts w:ascii="Times New Roman" w:hAnsi="Times New Roman" w:cs="Times New Roman"/>
                <w:b/>
                <w:bCs/>
              </w:rPr>
              <w:t>Non-Heat:</w:t>
            </w:r>
            <w:r w:rsidRPr="00EE5714">
              <w:rPr>
                <w:rFonts w:ascii="Times New Roman" w:hAnsi="Times New Roman" w:cs="Times New Roman"/>
              </w:rPr>
              <w:t xml:space="preserve"> $15</w:t>
            </w:r>
          </w:p>
        </w:tc>
      </w:tr>
      <w:tr w:rsidR="00516929" w:rsidRPr="00EE5714" w14:paraId="3A8A719B" w14:textId="77777777" w:rsidTr="007B69AD">
        <w:tc>
          <w:tcPr>
            <w:tcW w:w="2065" w:type="dxa"/>
          </w:tcPr>
          <w:p w14:paraId="1F176535" w14:textId="77777777" w:rsidR="00516929" w:rsidRPr="00EE5714" w:rsidRDefault="00256221">
            <w:pPr>
              <w:keepNext/>
              <w:keepLines/>
              <w:pageBreakBefore/>
              <w:rPr>
                <w:rFonts w:ascii="Times New Roman" w:hAnsi="Times New Roman" w:cs="Times New Roman"/>
              </w:rPr>
            </w:pPr>
            <w:r w:rsidRPr="00EE5714">
              <w:rPr>
                <w:rFonts w:ascii="Times New Roman" w:hAnsi="Times New Roman" w:cs="Times New Roman"/>
              </w:rPr>
              <w:t xml:space="preserve">FE </w:t>
            </w:r>
            <w:r w:rsidR="00516929" w:rsidRPr="00EE5714">
              <w:rPr>
                <w:rFonts w:ascii="Times New Roman" w:hAnsi="Times New Roman" w:cs="Times New Roman"/>
              </w:rPr>
              <w:t>Companies:</w:t>
            </w:r>
            <w:r w:rsidR="00516929" w:rsidRPr="00EE5714">
              <w:rPr>
                <w:rFonts w:ascii="Times New Roman" w:hAnsi="Times New Roman" w:cs="Times New Roman"/>
                <w:szCs w:val="20"/>
              </w:rPr>
              <w:br/>
            </w:r>
            <w:r w:rsidR="00863EFE" w:rsidRPr="00EE5714">
              <w:rPr>
                <w:rFonts w:ascii="Times New Roman" w:hAnsi="Times New Roman" w:cs="Times New Roman"/>
              </w:rPr>
              <w:t>Met-Ed</w:t>
            </w:r>
            <w:r w:rsidR="00516929" w:rsidRPr="00EE5714">
              <w:rPr>
                <w:rFonts w:ascii="Times New Roman" w:hAnsi="Times New Roman" w:cs="Times New Roman"/>
              </w:rPr>
              <w:t xml:space="preserve">, </w:t>
            </w:r>
            <w:proofErr w:type="spellStart"/>
            <w:r w:rsidR="00516929" w:rsidRPr="00EE5714">
              <w:rPr>
                <w:rFonts w:ascii="Times New Roman" w:hAnsi="Times New Roman" w:cs="Times New Roman"/>
              </w:rPr>
              <w:t>Penelec</w:t>
            </w:r>
            <w:proofErr w:type="spellEnd"/>
            <w:r w:rsidR="00516929" w:rsidRPr="00EE5714">
              <w:rPr>
                <w:rFonts w:ascii="Times New Roman" w:hAnsi="Times New Roman" w:cs="Times New Roman"/>
              </w:rPr>
              <w:t xml:space="preserve">, and Penn Power </w:t>
            </w:r>
          </w:p>
          <w:p w14:paraId="5F926251" w14:textId="77777777" w:rsidR="00867477" w:rsidRPr="00EE5714" w:rsidRDefault="00867477" w:rsidP="00EE6941">
            <w:pPr>
              <w:keepNext/>
              <w:keepLines/>
              <w:pageBreakBefore/>
              <w:rPr>
                <w:rFonts w:ascii="Times New Roman" w:hAnsi="Times New Roman" w:cs="Times New Roman"/>
                <w:szCs w:val="20"/>
              </w:rPr>
            </w:pPr>
          </w:p>
          <w:p w14:paraId="0DD2A2E2" w14:textId="77777777" w:rsidR="00867477" w:rsidRPr="00EE5714" w:rsidRDefault="00867477">
            <w:pPr>
              <w:keepNext/>
              <w:keepLines/>
              <w:pageBreakBefore/>
              <w:rPr>
                <w:rFonts w:ascii="Times New Roman" w:hAnsi="Times New Roman" w:cs="Times New Roman"/>
              </w:rPr>
            </w:pPr>
            <w:r w:rsidRPr="00EE5714">
              <w:rPr>
                <w:rFonts w:ascii="Times New Roman" w:hAnsi="Times New Roman" w:cs="Times New Roman"/>
              </w:rPr>
              <w:t>West Penn (2016)</w:t>
            </w:r>
          </w:p>
        </w:tc>
        <w:tc>
          <w:tcPr>
            <w:tcW w:w="5220" w:type="dxa"/>
          </w:tcPr>
          <w:p w14:paraId="64BF6954" w14:textId="77777777" w:rsidR="00516929" w:rsidRPr="00EE5714" w:rsidRDefault="00516929">
            <w:pPr>
              <w:keepNext/>
              <w:keepLines/>
              <w:pageBreakBefore/>
              <w:rPr>
                <w:rFonts w:ascii="Times New Roman" w:hAnsi="Times New Roman" w:cs="Times New Roman"/>
                <w:u w:val="single"/>
              </w:rPr>
            </w:pPr>
            <w:r w:rsidRPr="00EE5714">
              <w:rPr>
                <w:rFonts w:ascii="Times New Roman" w:hAnsi="Times New Roman" w:cs="Times New Roman"/>
                <w:i/>
                <w:iCs/>
                <w:u w:val="single"/>
              </w:rPr>
              <w:t>Percent of Income and Fixed Annual Credits</w:t>
            </w:r>
            <w:r w:rsidRPr="00EE5714">
              <w:rPr>
                <w:rFonts w:ascii="Times New Roman" w:hAnsi="Times New Roman" w:cs="Times New Roman"/>
                <w:u w:val="single"/>
              </w:rPr>
              <w:t xml:space="preserve"> </w:t>
            </w:r>
          </w:p>
          <w:p w14:paraId="1E38A252"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 xml:space="preserve">Annual credits are calculated based on customer paying 3% of income for non-heat electric and 9% for electric heat.  </w:t>
            </w:r>
            <w:r w:rsidR="005B154E" w:rsidRPr="00EE5714">
              <w:rPr>
                <w:rFonts w:ascii="Times New Roman" w:hAnsi="Times New Roman" w:cs="Times New Roman"/>
              </w:rPr>
              <w:t xml:space="preserve">FE </w:t>
            </w:r>
            <w:r w:rsidR="0087190C" w:rsidRPr="00EE5714">
              <w:rPr>
                <w:rFonts w:ascii="Times New Roman" w:hAnsi="Times New Roman" w:cs="Times New Roman"/>
              </w:rPr>
              <w:t>Companies</w:t>
            </w:r>
            <w:r w:rsidR="005B154E" w:rsidRPr="00EE5714">
              <w:rPr>
                <w:rFonts w:ascii="Times New Roman" w:hAnsi="Times New Roman" w:cs="Times New Roman"/>
              </w:rPr>
              <w:t xml:space="preserve"> </w:t>
            </w:r>
            <w:r w:rsidRPr="00EE5714">
              <w:rPr>
                <w:rFonts w:ascii="Times New Roman" w:hAnsi="Times New Roman" w:cs="Times New Roman"/>
              </w:rPr>
              <w:t>provide 1/12</w:t>
            </w:r>
            <w:r w:rsidRPr="00EE5714">
              <w:rPr>
                <w:rFonts w:ascii="Times New Roman" w:hAnsi="Times New Roman" w:cs="Times New Roman"/>
                <w:vertAlign w:val="superscript"/>
              </w:rPr>
              <w:t>th</w:t>
            </w:r>
            <w:r w:rsidRPr="00EE5714">
              <w:rPr>
                <w:rFonts w:ascii="Times New Roman" w:hAnsi="Times New Roman" w:cs="Times New Roman"/>
              </w:rPr>
              <w:t xml:space="preserve"> of annual credits each month</w:t>
            </w:r>
            <w:proofErr w:type="gramStart"/>
            <w:r w:rsidRPr="00EE5714">
              <w:rPr>
                <w:rFonts w:ascii="Times New Roman" w:hAnsi="Times New Roman" w:cs="Times New Roman"/>
              </w:rPr>
              <w:t xml:space="preserve">. </w:t>
            </w:r>
            <w:proofErr w:type="gramEnd"/>
          </w:p>
        </w:tc>
        <w:tc>
          <w:tcPr>
            <w:tcW w:w="2065" w:type="dxa"/>
            <w:vAlign w:val="center"/>
          </w:tcPr>
          <w:p w14:paraId="7DB7DF5B" w14:textId="77777777" w:rsidR="00516929" w:rsidRPr="00EE5714" w:rsidRDefault="00516929">
            <w:pPr>
              <w:keepNext/>
              <w:keepLines/>
              <w:pageBreakBefore/>
              <w:jc w:val="center"/>
              <w:rPr>
                <w:rFonts w:ascii="Times New Roman" w:hAnsi="Times New Roman" w:cs="Times New Roman"/>
              </w:rPr>
            </w:pPr>
            <w:r w:rsidRPr="00EE5714">
              <w:rPr>
                <w:rFonts w:ascii="Times New Roman" w:hAnsi="Times New Roman" w:cs="Times New Roman"/>
                <w:b/>
                <w:bCs/>
              </w:rPr>
              <w:t>Heat:</w:t>
            </w:r>
            <w:r w:rsidRPr="00EE5714">
              <w:rPr>
                <w:rFonts w:ascii="Times New Roman" w:hAnsi="Times New Roman" w:cs="Times New Roman"/>
              </w:rPr>
              <w:t xml:space="preserve"> $45</w:t>
            </w:r>
          </w:p>
          <w:p w14:paraId="12008F69" w14:textId="77777777" w:rsidR="00516929" w:rsidRPr="00EE5714" w:rsidRDefault="00516929">
            <w:pPr>
              <w:keepNext/>
              <w:keepLines/>
              <w:pageBreakBefore/>
              <w:jc w:val="center"/>
              <w:rPr>
                <w:rFonts w:ascii="Times New Roman" w:hAnsi="Times New Roman" w:cs="Times New Roman"/>
              </w:rPr>
            </w:pPr>
            <w:r w:rsidRPr="00EE5714">
              <w:rPr>
                <w:rFonts w:ascii="Times New Roman" w:hAnsi="Times New Roman" w:cs="Times New Roman"/>
                <w:b/>
                <w:bCs/>
              </w:rPr>
              <w:t>Non-Heat:</w:t>
            </w:r>
            <w:r w:rsidRPr="00EE5714">
              <w:rPr>
                <w:rFonts w:ascii="Times New Roman" w:hAnsi="Times New Roman" w:cs="Times New Roman"/>
              </w:rPr>
              <w:t xml:space="preserve"> $12</w:t>
            </w:r>
          </w:p>
        </w:tc>
      </w:tr>
      <w:tr w:rsidR="00516929" w:rsidRPr="00EE5714" w14:paraId="04853169" w14:textId="77777777" w:rsidTr="007B69AD">
        <w:tc>
          <w:tcPr>
            <w:tcW w:w="2065" w:type="dxa"/>
          </w:tcPr>
          <w:p w14:paraId="6C352591" w14:textId="77777777" w:rsidR="00516929" w:rsidRPr="00EE5714" w:rsidRDefault="00516929">
            <w:pPr>
              <w:keepNext/>
              <w:keepLines/>
              <w:pageBreakBefore/>
              <w:rPr>
                <w:rFonts w:ascii="Times New Roman" w:hAnsi="Times New Roman" w:cs="Times New Roman"/>
              </w:rPr>
            </w:pPr>
            <w:bookmarkStart w:id="14" w:name="_Hlk525567941"/>
            <w:r w:rsidRPr="00EE5714">
              <w:rPr>
                <w:rFonts w:ascii="Times New Roman" w:hAnsi="Times New Roman" w:cs="Times New Roman"/>
              </w:rPr>
              <w:t>West Penn (formerly Allegheny Power)</w:t>
            </w:r>
            <w:bookmarkEnd w:id="14"/>
          </w:p>
          <w:p w14:paraId="4DEF18D9" w14:textId="77777777" w:rsidR="00867477" w:rsidRPr="00EE5714" w:rsidRDefault="00867477" w:rsidP="00EE6941">
            <w:pPr>
              <w:keepNext/>
              <w:keepLines/>
              <w:pageBreakBefore/>
              <w:rPr>
                <w:rFonts w:ascii="Times New Roman" w:hAnsi="Times New Roman" w:cs="Times New Roman"/>
                <w:szCs w:val="20"/>
              </w:rPr>
            </w:pPr>
          </w:p>
          <w:p w14:paraId="68990955" w14:textId="77777777" w:rsidR="00867477" w:rsidRPr="00EE5714" w:rsidRDefault="00867477">
            <w:pPr>
              <w:keepNext/>
              <w:keepLines/>
              <w:pageBreakBefore/>
              <w:rPr>
                <w:rFonts w:ascii="Times New Roman" w:hAnsi="Times New Roman" w:cs="Times New Roman"/>
              </w:rPr>
            </w:pPr>
            <w:r w:rsidRPr="00EE5714">
              <w:rPr>
                <w:rFonts w:ascii="Times New Roman" w:hAnsi="Times New Roman" w:cs="Times New Roman"/>
              </w:rPr>
              <w:t>West Penn (201</w:t>
            </w:r>
            <w:r w:rsidR="00860608" w:rsidRPr="00EE5714">
              <w:rPr>
                <w:rFonts w:ascii="Times New Roman" w:hAnsi="Times New Roman" w:cs="Times New Roman"/>
              </w:rPr>
              <w:t>2-2015)</w:t>
            </w:r>
          </w:p>
        </w:tc>
        <w:tc>
          <w:tcPr>
            <w:tcW w:w="5220" w:type="dxa"/>
          </w:tcPr>
          <w:p w14:paraId="5207ED2D" w14:textId="77777777" w:rsidR="00516929" w:rsidRPr="00EE5714" w:rsidRDefault="00516929">
            <w:pPr>
              <w:keepNext/>
              <w:keepLines/>
              <w:pageBreakBefore/>
              <w:rPr>
                <w:rFonts w:ascii="Times New Roman" w:hAnsi="Times New Roman" w:cs="Times New Roman"/>
                <w:i/>
                <w:iCs/>
                <w:u w:val="single"/>
              </w:rPr>
            </w:pPr>
            <w:r w:rsidRPr="00EE5714">
              <w:rPr>
                <w:rFonts w:ascii="Times New Roman" w:hAnsi="Times New Roman" w:cs="Times New Roman"/>
                <w:i/>
                <w:iCs/>
                <w:u w:val="single"/>
              </w:rPr>
              <w:t xml:space="preserve">Percentage of Income Payment Plan </w:t>
            </w:r>
          </w:p>
          <w:p w14:paraId="1522B563"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Subsidy credits are calculated based on total gross household income, primary heat source, and energy burden.</w:t>
            </w:r>
          </w:p>
          <w:p w14:paraId="6F9548DD"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1. Either 13%, 16%, or 17% of income for Electric Heat</w:t>
            </w:r>
          </w:p>
          <w:p w14:paraId="4D194570"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2. Either 8%, 12%, or 14% of income for Water Heat</w:t>
            </w:r>
          </w:p>
          <w:p w14:paraId="5D89BCF7"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3. Either 5%, 6%, or 7% for Baseload Heat</w:t>
            </w:r>
            <w:r w:rsidR="005A1177" w:rsidRPr="00EE5714">
              <w:rPr>
                <w:rFonts w:ascii="Times New Roman" w:hAnsi="Times New Roman" w:cs="Times New Roman"/>
              </w:rPr>
              <w:t xml:space="preserve"> </w:t>
            </w:r>
            <w:r w:rsidR="005A1177" w:rsidRPr="00EE5714">
              <w:rPr>
                <w:rFonts w:ascii="Times New Roman" w:hAnsi="Times New Roman" w:cs="Times New Roman"/>
                <w:i/>
                <w:iCs/>
              </w:rPr>
              <w:t>(i.e</w:t>
            </w:r>
            <w:r w:rsidR="00DB3C7A" w:rsidRPr="00EE5714">
              <w:rPr>
                <w:rFonts w:ascii="Times New Roman" w:hAnsi="Times New Roman" w:cs="Times New Roman"/>
              </w:rPr>
              <w:t>.</w:t>
            </w:r>
            <w:r w:rsidR="005A1177" w:rsidRPr="00EE5714">
              <w:rPr>
                <w:rFonts w:ascii="Times New Roman" w:hAnsi="Times New Roman" w:cs="Times New Roman"/>
              </w:rPr>
              <w:t>, electric non-heating)</w:t>
            </w:r>
          </w:p>
        </w:tc>
        <w:tc>
          <w:tcPr>
            <w:tcW w:w="2065" w:type="dxa"/>
            <w:vAlign w:val="center"/>
          </w:tcPr>
          <w:p w14:paraId="0823436C" w14:textId="77777777" w:rsidR="00516929" w:rsidRPr="00EE5714" w:rsidRDefault="00516929">
            <w:pPr>
              <w:keepNext/>
              <w:keepLines/>
              <w:pageBreakBefore/>
              <w:jc w:val="center"/>
              <w:rPr>
                <w:rFonts w:ascii="Times New Roman" w:hAnsi="Times New Roman" w:cs="Times New Roman"/>
              </w:rPr>
            </w:pPr>
            <w:r w:rsidRPr="00EE5714">
              <w:rPr>
                <w:rFonts w:ascii="Times New Roman" w:hAnsi="Times New Roman" w:cs="Times New Roman"/>
                <w:b/>
                <w:bCs/>
              </w:rPr>
              <w:t xml:space="preserve">Electric Heat: </w:t>
            </w:r>
            <w:r w:rsidRPr="00EE5714">
              <w:rPr>
                <w:rFonts w:ascii="Times New Roman" w:hAnsi="Times New Roman" w:cs="Times New Roman"/>
              </w:rPr>
              <w:t>$50</w:t>
            </w:r>
          </w:p>
          <w:p w14:paraId="4BDE4B18" w14:textId="77777777" w:rsidR="00516929" w:rsidRPr="00EE5714" w:rsidRDefault="00516929">
            <w:pPr>
              <w:keepNext/>
              <w:keepLines/>
              <w:pageBreakBefore/>
              <w:jc w:val="center"/>
              <w:rPr>
                <w:rFonts w:ascii="Times New Roman" w:hAnsi="Times New Roman" w:cs="Times New Roman"/>
                <w:b/>
                <w:bCs/>
              </w:rPr>
            </w:pPr>
            <w:r w:rsidRPr="00EE5714">
              <w:rPr>
                <w:rFonts w:ascii="Times New Roman" w:hAnsi="Times New Roman" w:cs="Times New Roman"/>
                <w:b/>
                <w:bCs/>
              </w:rPr>
              <w:t xml:space="preserve">Water Heat: </w:t>
            </w:r>
            <w:r w:rsidRPr="00EE5714">
              <w:rPr>
                <w:rFonts w:ascii="Times New Roman" w:hAnsi="Times New Roman" w:cs="Times New Roman"/>
              </w:rPr>
              <w:t>$30</w:t>
            </w:r>
          </w:p>
          <w:p w14:paraId="29F3AEC9" w14:textId="77777777" w:rsidR="00516929" w:rsidRPr="00EE5714" w:rsidRDefault="00516929">
            <w:pPr>
              <w:keepNext/>
              <w:keepLines/>
              <w:pageBreakBefore/>
              <w:jc w:val="center"/>
              <w:rPr>
                <w:rFonts w:ascii="Times New Roman" w:hAnsi="Times New Roman" w:cs="Times New Roman"/>
                <w:b/>
                <w:bCs/>
              </w:rPr>
            </w:pPr>
            <w:r w:rsidRPr="00EE5714">
              <w:rPr>
                <w:rFonts w:ascii="Times New Roman" w:hAnsi="Times New Roman" w:cs="Times New Roman"/>
                <w:b/>
                <w:bCs/>
              </w:rPr>
              <w:t xml:space="preserve">Baseload Heat: </w:t>
            </w:r>
            <w:r w:rsidRPr="00EE5714">
              <w:rPr>
                <w:rFonts w:ascii="Times New Roman" w:hAnsi="Times New Roman" w:cs="Times New Roman"/>
              </w:rPr>
              <w:t>$25</w:t>
            </w:r>
          </w:p>
        </w:tc>
      </w:tr>
      <w:tr w:rsidR="00516929" w:rsidRPr="00EE5714" w14:paraId="53F4E0FB" w14:textId="77777777" w:rsidTr="007B69AD">
        <w:tc>
          <w:tcPr>
            <w:tcW w:w="2065" w:type="dxa"/>
          </w:tcPr>
          <w:p w14:paraId="04C53B33"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PECO Electric*</w:t>
            </w:r>
          </w:p>
        </w:tc>
        <w:tc>
          <w:tcPr>
            <w:tcW w:w="5220" w:type="dxa"/>
          </w:tcPr>
          <w:p w14:paraId="1D7CD3E5"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i/>
                <w:iCs/>
                <w:u w:val="single"/>
              </w:rPr>
              <w:t>Rate Discount</w:t>
            </w:r>
          </w:p>
          <w:p w14:paraId="58D9ACCA"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Between 3-93% discount (</w:t>
            </w:r>
            <w:r w:rsidR="004B0FDB" w:rsidRPr="00EE5714">
              <w:rPr>
                <w:rFonts w:ascii="Times New Roman" w:hAnsi="Times New Roman" w:cs="Times New Roman"/>
              </w:rPr>
              <w:t>d</w:t>
            </w:r>
            <w:r w:rsidRPr="00EE5714">
              <w:rPr>
                <w:rFonts w:ascii="Times New Roman" w:hAnsi="Times New Roman" w:cs="Times New Roman"/>
              </w:rPr>
              <w:t xml:space="preserve">ependent upon the </w:t>
            </w:r>
            <w:r w:rsidR="004B0FDB" w:rsidRPr="00EE5714">
              <w:rPr>
                <w:rFonts w:ascii="Times New Roman" w:hAnsi="Times New Roman" w:cs="Times New Roman"/>
              </w:rPr>
              <w:t>h</w:t>
            </w:r>
            <w:r w:rsidRPr="00EE5714">
              <w:rPr>
                <w:rFonts w:ascii="Times New Roman" w:hAnsi="Times New Roman" w:cs="Times New Roman"/>
              </w:rPr>
              <w:t>ousehold’s FPIG level)</w:t>
            </w:r>
          </w:p>
        </w:tc>
        <w:tc>
          <w:tcPr>
            <w:tcW w:w="2065" w:type="dxa"/>
            <w:vAlign w:val="center"/>
          </w:tcPr>
          <w:p w14:paraId="31C6AEDB" w14:textId="77777777" w:rsidR="00516929" w:rsidRPr="00EE5714" w:rsidRDefault="00516929">
            <w:pPr>
              <w:keepNext/>
              <w:keepLines/>
              <w:pageBreakBefore/>
              <w:jc w:val="center"/>
              <w:rPr>
                <w:rFonts w:ascii="Times New Roman" w:hAnsi="Times New Roman" w:cs="Times New Roman"/>
              </w:rPr>
            </w:pPr>
            <w:r w:rsidRPr="00EE5714">
              <w:rPr>
                <w:rFonts w:ascii="Times New Roman" w:hAnsi="Times New Roman" w:cs="Times New Roman"/>
                <w:b/>
                <w:bCs/>
              </w:rPr>
              <w:t>Heat:</w:t>
            </w:r>
            <w:r w:rsidRPr="00EE5714">
              <w:rPr>
                <w:rFonts w:ascii="Times New Roman" w:hAnsi="Times New Roman" w:cs="Times New Roman"/>
              </w:rPr>
              <w:t xml:space="preserve"> $30</w:t>
            </w:r>
          </w:p>
          <w:p w14:paraId="2E2EC97F" w14:textId="77777777" w:rsidR="00516929" w:rsidRPr="00EE5714" w:rsidRDefault="00516929">
            <w:pPr>
              <w:keepNext/>
              <w:keepLines/>
              <w:pageBreakBefore/>
              <w:jc w:val="center"/>
              <w:rPr>
                <w:rFonts w:ascii="Times New Roman" w:hAnsi="Times New Roman" w:cs="Times New Roman"/>
              </w:rPr>
            </w:pPr>
            <w:r w:rsidRPr="00EE5714">
              <w:rPr>
                <w:rFonts w:ascii="Times New Roman" w:hAnsi="Times New Roman" w:cs="Times New Roman"/>
                <w:b/>
                <w:bCs/>
              </w:rPr>
              <w:t>Non-Heat:</w:t>
            </w:r>
            <w:r w:rsidRPr="00EE5714">
              <w:rPr>
                <w:rFonts w:ascii="Times New Roman" w:hAnsi="Times New Roman" w:cs="Times New Roman"/>
              </w:rPr>
              <w:t xml:space="preserve"> $12</w:t>
            </w:r>
          </w:p>
        </w:tc>
      </w:tr>
      <w:tr w:rsidR="00516929" w:rsidRPr="00EE5714" w14:paraId="31C6B712" w14:textId="77777777" w:rsidTr="007B69AD">
        <w:tc>
          <w:tcPr>
            <w:tcW w:w="2065" w:type="dxa"/>
          </w:tcPr>
          <w:p w14:paraId="7467E0D6"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PPL</w:t>
            </w:r>
          </w:p>
        </w:tc>
        <w:tc>
          <w:tcPr>
            <w:tcW w:w="5220" w:type="dxa"/>
          </w:tcPr>
          <w:p w14:paraId="502961E9" w14:textId="77777777" w:rsidR="00516929" w:rsidRPr="00EE5714" w:rsidRDefault="00516929">
            <w:pPr>
              <w:keepNext/>
              <w:keepLines/>
              <w:pageBreakBefore/>
              <w:rPr>
                <w:rFonts w:ascii="Times New Roman" w:hAnsi="Times New Roman" w:cs="Times New Roman"/>
                <w:i/>
                <w:iCs/>
                <w:u w:val="single"/>
              </w:rPr>
            </w:pPr>
            <w:r w:rsidRPr="00EE5714">
              <w:rPr>
                <w:rFonts w:ascii="Times New Roman" w:hAnsi="Times New Roman" w:cs="Times New Roman"/>
                <w:i/>
                <w:iCs/>
                <w:u w:val="single"/>
              </w:rPr>
              <w:t>Percentage of Budget Billing</w:t>
            </w:r>
          </w:p>
          <w:p w14:paraId="5E9DFE56"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3 options based on customer ability to pay:</w:t>
            </w:r>
          </w:p>
          <w:p w14:paraId="6E330926"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 xml:space="preserve">1. Minimum Payment (budget bill - maximum monthly CAP </w:t>
            </w:r>
            <w:r w:rsidR="00EA4221" w:rsidRPr="00EE5714">
              <w:rPr>
                <w:rFonts w:ascii="Times New Roman" w:hAnsi="Times New Roman" w:cs="Times New Roman"/>
              </w:rPr>
              <w:t>c</w:t>
            </w:r>
            <w:r w:rsidRPr="00EE5714">
              <w:rPr>
                <w:rFonts w:ascii="Times New Roman" w:hAnsi="Times New Roman" w:cs="Times New Roman"/>
              </w:rPr>
              <w:t>redit)</w:t>
            </w:r>
          </w:p>
          <w:p w14:paraId="36F2E3D4"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2. 50% to 80% of Budget Billing</w:t>
            </w:r>
          </w:p>
          <w:p w14:paraId="1F1AFA95"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3. Agency Selected (% of budget bill plus discounts)</w:t>
            </w:r>
          </w:p>
        </w:tc>
        <w:tc>
          <w:tcPr>
            <w:tcW w:w="2065" w:type="dxa"/>
            <w:vAlign w:val="center"/>
          </w:tcPr>
          <w:p w14:paraId="690BF34E" w14:textId="77777777" w:rsidR="00516929" w:rsidRPr="00EE5714" w:rsidRDefault="00516929">
            <w:pPr>
              <w:keepNext/>
              <w:keepLines/>
              <w:pageBreakBefore/>
              <w:jc w:val="center"/>
              <w:rPr>
                <w:rFonts w:ascii="Times New Roman" w:hAnsi="Times New Roman" w:cs="Times New Roman"/>
              </w:rPr>
            </w:pPr>
            <w:r w:rsidRPr="00EE5714">
              <w:rPr>
                <w:rFonts w:ascii="Times New Roman" w:hAnsi="Times New Roman" w:cs="Times New Roman"/>
                <w:b/>
                <w:bCs/>
              </w:rPr>
              <w:t>Heat:</w:t>
            </w:r>
            <w:r w:rsidRPr="00EE5714">
              <w:rPr>
                <w:rFonts w:ascii="Times New Roman" w:hAnsi="Times New Roman" w:cs="Times New Roman"/>
              </w:rPr>
              <w:t xml:space="preserve"> $30</w:t>
            </w:r>
          </w:p>
          <w:p w14:paraId="0A81D4A0" w14:textId="77777777" w:rsidR="00516929" w:rsidRPr="00EE5714" w:rsidRDefault="00516929">
            <w:pPr>
              <w:keepNext/>
              <w:keepLines/>
              <w:pageBreakBefore/>
              <w:jc w:val="center"/>
              <w:rPr>
                <w:rFonts w:ascii="Times New Roman" w:hAnsi="Times New Roman" w:cs="Times New Roman"/>
              </w:rPr>
            </w:pPr>
            <w:r w:rsidRPr="00EE5714">
              <w:rPr>
                <w:rFonts w:ascii="Times New Roman" w:hAnsi="Times New Roman" w:cs="Times New Roman"/>
                <w:b/>
                <w:bCs/>
              </w:rPr>
              <w:t>Non-Heat:</w:t>
            </w:r>
            <w:r w:rsidRPr="00EE5714">
              <w:rPr>
                <w:rFonts w:ascii="Times New Roman" w:hAnsi="Times New Roman" w:cs="Times New Roman"/>
              </w:rPr>
              <w:t xml:space="preserve"> $12</w:t>
            </w:r>
          </w:p>
        </w:tc>
      </w:tr>
      <w:tr w:rsidR="00516929" w:rsidRPr="00EE5714" w14:paraId="4E61CB93" w14:textId="77777777" w:rsidTr="007B69AD">
        <w:tc>
          <w:tcPr>
            <w:tcW w:w="2065" w:type="dxa"/>
          </w:tcPr>
          <w:p w14:paraId="2F6A092D"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Columbia</w:t>
            </w:r>
          </w:p>
        </w:tc>
        <w:tc>
          <w:tcPr>
            <w:tcW w:w="5220" w:type="dxa"/>
          </w:tcPr>
          <w:p w14:paraId="11EEE2CF" w14:textId="77777777" w:rsidR="00516929" w:rsidRPr="00EE5714" w:rsidRDefault="00516929">
            <w:pPr>
              <w:keepNext/>
              <w:keepLines/>
              <w:pageBreakBefore/>
              <w:rPr>
                <w:rFonts w:ascii="Times New Roman" w:hAnsi="Times New Roman" w:cs="Times New Roman"/>
                <w:i/>
                <w:iCs/>
                <w:u w:val="single"/>
              </w:rPr>
            </w:pPr>
            <w:r w:rsidRPr="00EE5714">
              <w:rPr>
                <w:rFonts w:ascii="Times New Roman" w:hAnsi="Times New Roman" w:cs="Times New Roman"/>
                <w:i/>
                <w:iCs/>
                <w:u w:val="single"/>
              </w:rPr>
              <w:t>Percent of Income, Budget Billing, or Average Payment</w:t>
            </w:r>
          </w:p>
          <w:p w14:paraId="147FE26A"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3 options based on customer ability to pay:</w:t>
            </w:r>
          </w:p>
          <w:p w14:paraId="091DAD5D"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1. 7% or 9% of income</w:t>
            </w:r>
          </w:p>
          <w:p w14:paraId="52908CBF"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 xml:space="preserve">2. Average payment </w:t>
            </w:r>
          </w:p>
          <w:p w14:paraId="0E744B90"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3. 50% of budget billing</w:t>
            </w:r>
          </w:p>
        </w:tc>
        <w:tc>
          <w:tcPr>
            <w:tcW w:w="2065" w:type="dxa"/>
            <w:vAlign w:val="center"/>
          </w:tcPr>
          <w:p w14:paraId="1E83946D" w14:textId="77777777" w:rsidR="00516929" w:rsidRPr="00EE5714" w:rsidRDefault="00516929">
            <w:pPr>
              <w:keepNext/>
              <w:keepLines/>
              <w:pageBreakBefore/>
              <w:jc w:val="center"/>
              <w:rPr>
                <w:rFonts w:ascii="Times New Roman" w:hAnsi="Times New Roman" w:cs="Times New Roman"/>
              </w:rPr>
            </w:pPr>
            <w:r w:rsidRPr="00EE5714">
              <w:rPr>
                <w:rFonts w:ascii="Times New Roman" w:hAnsi="Times New Roman" w:cs="Times New Roman"/>
                <w:b/>
                <w:bCs/>
              </w:rPr>
              <w:t>Heat:</w:t>
            </w:r>
            <w:r w:rsidRPr="00EE5714">
              <w:rPr>
                <w:rFonts w:ascii="Times New Roman" w:hAnsi="Times New Roman" w:cs="Times New Roman"/>
              </w:rPr>
              <w:t xml:space="preserve"> $25</w:t>
            </w:r>
          </w:p>
          <w:p w14:paraId="38E1ED85" w14:textId="77777777" w:rsidR="00516929" w:rsidRPr="00EE5714" w:rsidRDefault="00516929" w:rsidP="00EE6941">
            <w:pPr>
              <w:keepNext/>
              <w:keepLines/>
              <w:pageBreakBefore/>
              <w:jc w:val="center"/>
              <w:rPr>
                <w:rFonts w:ascii="Times New Roman" w:hAnsi="Times New Roman" w:cs="Times New Roman"/>
                <w:szCs w:val="20"/>
              </w:rPr>
            </w:pPr>
          </w:p>
        </w:tc>
      </w:tr>
      <w:tr w:rsidR="00516929" w:rsidRPr="00EE5714" w14:paraId="06D073D6" w14:textId="77777777" w:rsidTr="007B69AD">
        <w:tc>
          <w:tcPr>
            <w:tcW w:w="2065" w:type="dxa"/>
          </w:tcPr>
          <w:p w14:paraId="18CBB274"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PECO Gas*</w:t>
            </w:r>
          </w:p>
        </w:tc>
        <w:tc>
          <w:tcPr>
            <w:tcW w:w="5220" w:type="dxa"/>
          </w:tcPr>
          <w:p w14:paraId="5989BCC5"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i/>
                <w:iCs/>
                <w:u w:val="single"/>
              </w:rPr>
              <w:t>Rate Discount</w:t>
            </w:r>
          </w:p>
          <w:p w14:paraId="141BA6FD"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Between 14-79%</w:t>
            </w:r>
          </w:p>
          <w:p w14:paraId="03E1EE16"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w:t>
            </w:r>
            <w:r w:rsidR="00EA4221" w:rsidRPr="00EE5714">
              <w:rPr>
                <w:rFonts w:ascii="Times New Roman" w:hAnsi="Times New Roman" w:cs="Times New Roman"/>
              </w:rPr>
              <w:t>d</w:t>
            </w:r>
            <w:r w:rsidRPr="00EE5714">
              <w:rPr>
                <w:rFonts w:ascii="Times New Roman" w:hAnsi="Times New Roman" w:cs="Times New Roman"/>
              </w:rPr>
              <w:t xml:space="preserve">ependent upon the Household’s FPIG </w:t>
            </w:r>
            <w:r w:rsidR="00EA4221" w:rsidRPr="00EE5714">
              <w:rPr>
                <w:rFonts w:ascii="Times New Roman" w:hAnsi="Times New Roman" w:cs="Times New Roman"/>
              </w:rPr>
              <w:t>level</w:t>
            </w:r>
            <w:r w:rsidRPr="00EE5714">
              <w:rPr>
                <w:rFonts w:ascii="Times New Roman" w:hAnsi="Times New Roman" w:cs="Times New Roman"/>
              </w:rPr>
              <w:t>)</w:t>
            </w:r>
          </w:p>
        </w:tc>
        <w:tc>
          <w:tcPr>
            <w:tcW w:w="2065" w:type="dxa"/>
            <w:vAlign w:val="center"/>
          </w:tcPr>
          <w:p w14:paraId="0D7781FC" w14:textId="77777777" w:rsidR="00516929" w:rsidRPr="00EE5714" w:rsidRDefault="00516929">
            <w:pPr>
              <w:keepNext/>
              <w:keepLines/>
              <w:pageBreakBefore/>
              <w:jc w:val="center"/>
              <w:rPr>
                <w:rFonts w:ascii="Times New Roman" w:hAnsi="Times New Roman" w:cs="Times New Roman"/>
              </w:rPr>
            </w:pPr>
            <w:r w:rsidRPr="00EE5714">
              <w:rPr>
                <w:rFonts w:ascii="Times New Roman" w:hAnsi="Times New Roman" w:cs="Times New Roman"/>
                <w:b/>
                <w:bCs/>
              </w:rPr>
              <w:t>Heat:</w:t>
            </w:r>
            <w:r w:rsidRPr="00EE5714">
              <w:rPr>
                <w:rFonts w:ascii="Times New Roman" w:hAnsi="Times New Roman" w:cs="Times New Roman"/>
              </w:rPr>
              <w:t xml:space="preserve"> $25</w:t>
            </w:r>
          </w:p>
          <w:p w14:paraId="3CC258AB" w14:textId="77777777" w:rsidR="00516929" w:rsidRPr="00EE5714" w:rsidRDefault="00516929" w:rsidP="00EE6941">
            <w:pPr>
              <w:keepNext/>
              <w:keepLines/>
              <w:pageBreakBefore/>
              <w:jc w:val="center"/>
              <w:rPr>
                <w:rFonts w:ascii="Times New Roman" w:hAnsi="Times New Roman" w:cs="Times New Roman"/>
                <w:szCs w:val="20"/>
              </w:rPr>
            </w:pPr>
          </w:p>
        </w:tc>
      </w:tr>
      <w:tr w:rsidR="00516929" w:rsidRPr="00EE5714" w14:paraId="3D36A669" w14:textId="77777777" w:rsidTr="007B69AD">
        <w:tc>
          <w:tcPr>
            <w:tcW w:w="2065" w:type="dxa"/>
          </w:tcPr>
          <w:p w14:paraId="05F898CF"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rPr>
              <w:t>Peoples</w:t>
            </w:r>
          </w:p>
        </w:tc>
        <w:tc>
          <w:tcPr>
            <w:tcW w:w="5220" w:type="dxa"/>
          </w:tcPr>
          <w:p w14:paraId="2D0AFC4A" w14:textId="77777777" w:rsidR="00516929" w:rsidRPr="00EE5714" w:rsidRDefault="00516929">
            <w:pPr>
              <w:keepNext/>
              <w:keepLines/>
              <w:pageBreakBefore/>
              <w:rPr>
                <w:rFonts w:ascii="Times New Roman" w:hAnsi="Times New Roman" w:cs="Times New Roman"/>
              </w:rPr>
            </w:pPr>
            <w:r w:rsidRPr="00EE5714">
              <w:rPr>
                <w:rFonts w:ascii="Times New Roman" w:hAnsi="Times New Roman" w:cs="Times New Roman"/>
                <w:i/>
                <w:iCs/>
                <w:u w:val="single"/>
              </w:rPr>
              <w:t>Percentage of Income</w:t>
            </w:r>
            <w:r w:rsidRPr="00EE5714">
              <w:rPr>
                <w:rFonts w:ascii="Times New Roman" w:hAnsi="Times New Roman" w:cs="Times New Roman"/>
                <w:szCs w:val="20"/>
              </w:rPr>
              <w:br/>
            </w:r>
            <w:r w:rsidRPr="00EE5714">
              <w:rPr>
                <w:rFonts w:ascii="Times New Roman" w:hAnsi="Times New Roman" w:cs="Times New Roman"/>
              </w:rPr>
              <w:t xml:space="preserve">8% to 10% of income OR budget billing, whichever is lower   </w:t>
            </w:r>
          </w:p>
        </w:tc>
        <w:tc>
          <w:tcPr>
            <w:tcW w:w="2065" w:type="dxa"/>
            <w:vAlign w:val="center"/>
          </w:tcPr>
          <w:p w14:paraId="197D7A7A" w14:textId="77777777" w:rsidR="00516929" w:rsidRPr="00EE5714" w:rsidRDefault="00516929">
            <w:pPr>
              <w:keepNext/>
              <w:keepLines/>
              <w:pageBreakBefore/>
              <w:jc w:val="center"/>
              <w:rPr>
                <w:rFonts w:ascii="Times New Roman" w:hAnsi="Times New Roman" w:cs="Times New Roman"/>
              </w:rPr>
            </w:pPr>
            <w:r w:rsidRPr="00EE5714">
              <w:rPr>
                <w:rFonts w:ascii="Times New Roman" w:hAnsi="Times New Roman" w:cs="Times New Roman"/>
                <w:b/>
                <w:bCs/>
              </w:rPr>
              <w:t>Heat:</w:t>
            </w:r>
            <w:r w:rsidRPr="00EE5714">
              <w:rPr>
                <w:rFonts w:ascii="Times New Roman" w:hAnsi="Times New Roman" w:cs="Times New Roman"/>
              </w:rPr>
              <w:t xml:space="preserve"> $21</w:t>
            </w:r>
          </w:p>
          <w:p w14:paraId="7DD05AC1" w14:textId="77777777" w:rsidR="00516929" w:rsidRPr="00EE5714" w:rsidRDefault="00516929" w:rsidP="00EE6941">
            <w:pPr>
              <w:keepNext/>
              <w:keepLines/>
              <w:pageBreakBefore/>
              <w:jc w:val="center"/>
              <w:rPr>
                <w:rFonts w:ascii="Times New Roman" w:hAnsi="Times New Roman" w:cs="Times New Roman"/>
                <w:szCs w:val="20"/>
              </w:rPr>
            </w:pPr>
          </w:p>
        </w:tc>
      </w:tr>
      <w:tr w:rsidR="00516929" w:rsidRPr="00EE5714" w14:paraId="7CE5AC30" w14:textId="77777777" w:rsidTr="007B69AD">
        <w:tc>
          <w:tcPr>
            <w:tcW w:w="2065" w:type="dxa"/>
          </w:tcPr>
          <w:p w14:paraId="749ACD34" w14:textId="77777777" w:rsidR="00516929" w:rsidRPr="00EE5714" w:rsidRDefault="00516929">
            <w:pPr>
              <w:rPr>
                <w:rFonts w:ascii="Times New Roman" w:hAnsi="Times New Roman" w:cs="Times New Roman"/>
              </w:rPr>
            </w:pPr>
            <w:r w:rsidRPr="00EE5714">
              <w:rPr>
                <w:rFonts w:ascii="Times New Roman" w:hAnsi="Times New Roman" w:cs="Times New Roman"/>
              </w:rPr>
              <w:t>Peoples-Equitable</w:t>
            </w:r>
          </w:p>
        </w:tc>
        <w:tc>
          <w:tcPr>
            <w:tcW w:w="5220" w:type="dxa"/>
          </w:tcPr>
          <w:p w14:paraId="71BF3388" w14:textId="77777777" w:rsidR="00516929" w:rsidRPr="00EE5714" w:rsidRDefault="00516929">
            <w:pPr>
              <w:rPr>
                <w:rFonts w:ascii="Times New Roman" w:hAnsi="Times New Roman" w:cs="Times New Roman"/>
              </w:rPr>
            </w:pPr>
            <w:r w:rsidRPr="00EE5714">
              <w:rPr>
                <w:rFonts w:ascii="Times New Roman" w:hAnsi="Times New Roman" w:cs="Times New Roman"/>
                <w:i/>
                <w:iCs/>
                <w:u w:val="single"/>
              </w:rPr>
              <w:t>Percentage of Income</w:t>
            </w:r>
          </w:p>
          <w:p w14:paraId="4F28DB1F" w14:textId="77777777" w:rsidR="00516929" w:rsidRPr="00EE5714" w:rsidRDefault="00516929">
            <w:pPr>
              <w:rPr>
                <w:rFonts w:ascii="Times New Roman" w:hAnsi="Times New Roman" w:cs="Times New Roman"/>
              </w:rPr>
            </w:pPr>
            <w:r w:rsidRPr="00EE5714">
              <w:rPr>
                <w:rFonts w:ascii="Times New Roman" w:hAnsi="Times New Roman" w:cs="Times New Roman"/>
              </w:rPr>
              <w:t>8% to 10% of income</w:t>
            </w:r>
          </w:p>
        </w:tc>
        <w:tc>
          <w:tcPr>
            <w:tcW w:w="2065" w:type="dxa"/>
            <w:vAlign w:val="center"/>
          </w:tcPr>
          <w:p w14:paraId="6D6B11B2" w14:textId="77777777" w:rsidR="00516929" w:rsidRPr="00EE5714" w:rsidRDefault="00516929">
            <w:pPr>
              <w:jc w:val="center"/>
              <w:rPr>
                <w:rFonts w:ascii="Times New Roman" w:hAnsi="Times New Roman" w:cs="Times New Roman"/>
              </w:rPr>
            </w:pPr>
            <w:r w:rsidRPr="00EE5714">
              <w:rPr>
                <w:rFonts w:ascii="Times New Roman" w:hAnsi="Times New Roman" w:cs="Times New Roman"/>
                <w:b/>
                <w:bCs/>
              </w:rPr>
              <w:t>Heat:</w:t>
            </w:r>
            <w:r w:rsidRPr="00EE5714">
              <w:rPr>
                <w:rFonts w:ascii="Times New Roman" w:hAnsi="Times New Roman" w:cs="Times New Roman"/>
              </w:rPr>
              <w:t xml:space="preserve"> $39</w:t>
            </w:r>
          </w:p>
          <w:p w14:paraId="3F92C6E9" w14:textId="77777777" w:rsidR="00516929" w:rsidRPr="00EE5714" w:rsidRDefault="00516929" w:rsidP="00516929">
            <w:pPr>
              <w:jc w:val="center"/>
              <w:rPr>
                <w:rFonts w:ascii="Times New Roman" w:hAnsi="Times New Roman" w:cs="Times New Roman"/>
                <w:szCs w:val="20"/>
              </w:rPr>
            </w:pPr>
          </w:p>
        </w:tc>
      </w:tr>
      <w:tr w:rsidR="00516929" w:rsidRPr="00EE5714" w14:paraId="3424D81F" w14:textId="77777777" w:rsidTr="007B69AD">
        <w:tc>
          <w:tcPr>
            <w:tcW w:w="2065" w:type="dxa"/>
          </w:tcPr>
          <w:p w14:paraId="120B9B96" w14:textId="77777777" w:rsidR="00516929" w:rsidRPr="00EE5714" w:rsidRDefault="00516929">
            <w:pPr>
              <w:rPr>
                <w:rFonts w:ascii="Times New Roman" w:hAnsi="Times New Roman" w:cs="Times New Roman"/>
              </w:rPr>
            </w:pPr>
            <w:r w:rsidRPr="00EE5714">
              <w:rPr>
                <w:rFonts w:ascii="Times New Roman" w:hAnsi="Times New Roman" w:cs="Times New Roman"/>
              </w:rPr>
              <w:t>NFG</w:t>
            </w:r>
          </w:p>
        </w:tc>
        <w:tc>
          <w:tcPr>
            <w:tcW w:w="5220" w:type="dxa"/>
          </w:tcPr>
          <w:p w14:paraId="625C7D91" w14:textId="77777777" w:rsidR="00516929" w:rsidRPr="00EE5714" w:rsidRDefault="00516929">
            <w:pPr>
              <w:rPr>
                <w:rFonts w:ascii="Times New Roman" w:hAnsi="Times New Roman" w:cs="Times New Roman"/>
              </w:rPr>
            </w:pPr>
            <w:r w:rsidRPr="00EE5714">
              <w:rPr>
                <w:rFonts w:ascii="Times New Roman" w:hAnsi="Times New Roman" w:cs="Times New Roman"/>
                <w:i/>
                <w:iCs/>
                <w:u w:val="single"/>
              </w:rPr>
              <w:t>Rate Discount</w:t>
            </w:r>
            <w:r w:rsidRPr="00EE5714">
              <w:rPr>
                <w:rFonts w:ascii="Times New Roman" w:hAnsi="Times New Roman" w:cs="Times New Roman"/>
              </w:rPr>
              <w:t xml:space="preserve"> </w:t>
            </w:r>
          </w:p>
          <w:p w14:paraId="114A06BC" w14:textId="77777777" w:rsidR="00516929" w:rsidRPr="00EE5714" w:rsidRDefault="00516929">
            <w:pPr>
              <w:rPr>
                <w:rFonts w:ascii="Times New Roman" w:hAnsi="Times New Roman" w:cs="Times New Roman"/>
              </w:rPr>
            </w:pPr>
            <w:r w:rsidRPr="00EE5714">
              <w:rPr>
                <w:rFonts w:ascii="Times New Roman" w:hAnsi="Times New Roman" w:cs="Times New Roman"/>
              </w:rPr>
              <w:t xml:space="preserve">10-40% discount off budget billing  </w:t>
            </w:r>
          </w:p>
        </w:tc>
        <w:tc>
          <w:tcPr>
            <w:tcW w:w="2065" w:type="dxa"/>
            <w:vAlign w:val="center"/>
          </w:tcPr>
          <w:p w14:paraId="5FF112B7" w14:textId="77777777" w:rsidR="00516929" w:rsidRPr="00EE5714" w:rsidRDefault="00516929">
            <w:pPr>
              <w:jc w:val="center"/>
              <w:rPr>
                <w:rFonts w:ascii="Times New Roman" w:hAnsi="Times New Roman" w:cs="Times New Roman"/>
              </w:rPr>
            </w:pPr>
            <w:r w:rsidRPr="00EE5714">
              <w:rPr>
                <w:rFonts w:ascii="Times New Roman" w:hAnsi="Times New Roman" w:cs="Times New Roman"/>
                <w:b/>
                <w:bCs/>
              </w:rPr>
              <w:t>Heat:</w:t>
            </w:r>
            <w:r w:rsidRPr="00EE5714">
              <w:rPr>
                <w:rFonts w:ascii="Times New Roman" w:hAnsi="Times New Roman" w:cs="Times New Roman"/>
              </w:rPr>
              <w:t xml:space="preserve"> $12</w:t>
            </w:r>
          </w:p>
          <w:p w14:paraId="3E67EE11" w14:textId="77777777" w:rsidR="00516929" w:rsidRPr="00EE5714" w:rsidRDefault="00516929" w:rsidP="00516929">
            <w:pPr>
              <w:jc w:val="center"/>
              <w:rPr>
                <w:rFonts w:ascii="Times New Roman" w:hAnsi="Times New Roman" w:cs="Times New Roman"/>
                <w:szCs w:val="20"/>
              </w:rPr>
            </w:pPr>
          </w:p>
        </w:tc>
      </w:tr>
      <w:tr w:rsidR="00516929" w:rsidRPr="00EE5714" w14:paraId="340CD39C" w14:textId="77777777" w:rsidTr="007B69AD">
        <w:tc>
          <w:tcPr>
            <w:tcW w:w="2065" w:type="dxa"/>
          </w:tcPr>
          <w:p w14:paraId="0483DDDB" w14:textId="77777777" w:rsidR="00516929" w:rsidRPr="00EE5714" w:rsidRDefault="00516929">
            <w:pPr>
              <w:rPr>
                <w:rFonts w:ascii="Times New Roman" w:hAnsi="Times New Roman" w:cs="Times New Roman"/>
              </w:rPr>
            </w:pPr>
            <w:r w:rsidRPr="00EE5714">
              <w:rPr>
                <w:rFonts w:ascii="Times New Roman" w:hAnsi="Times New Roman" w:cs="Times New Roman"/>
              </w:rPr>
              <w:t>PGW</w:t>
            </w:r>
          </w:p>
        </w:tc>
        <w:tc>
          <w:tcPr>
            <w:tcW w:w="5220" w:type="dxa"/>
          </w:tcPr>
          <w:p w14:paraId="51E2BDB3" w14:textId="77777777" w:rsidR="00516929" w:rsidRPr="00EE5714" w:rsidRDefault="00516929">
            <w:pPr>
              <w:rPr>
                <w:rFonts w:ascii="Times New Roman" w:hAnsi="Times New Roman" w:cs="Times New Roman"/>
                <w:i/>
                <w:iCs/>
                <w:u w:val="single"/>
              </w:rPr>
            </w:pPr>
            <w:r w:rsidRPr="00EE5714">
              <w:rPr>
                <w:rFonts w:ascii="Times New Roman" w:hAnsi="Times New Roman" w:cs="Times New Roman"/>
                <w:i/>
                <w:iCs/>
                <w:u w:val="single"/>
              </w:rPr>
              <w:t xml:space="preserve">Percentage of Income </w:t>
            </w:r>
          </w:p>
          <w:p w14:paraId="02945D23" w14:textId="77777777" w:rsidR="00516929" w:rsidRPr="00EE5714" w:rsidRDefault="00516929">
            <w:pPr>
              <w:rPr>
                <w:rFonts w:ascii="Times New Roman" w:hAnsi="Times New Roman" w:cs="Times New Roman"/>
              </w:rPr>
            </w:pPr>
            <w:r w:rsidRPr="00EE5714">
              <w:rPr>
                <w:rFonts w:ascii="Times New Roman" w:hAnsi="Times New Roman" w:cs="Times New Roman"/>
              </w:rPr>
              <w:t>8% to 10% of income</w:t>
            </w:r>
          </w:p>
        </w:tc>
        <w:tc>
          <w:tcPr>
            <w:tcW w:w="2065" w:type="dxa"/>
            <w:vAlign w:val="center"/>
          </w:tcPr>
          <w:p w14:paraId="10C5CAC7" w14:textId="77777777" w:rsidR="00516929" w:rsidRPr="00EE5714" w:rsidRDefault="00516929">
            <w:pPr>
              <w:jc w:val="center"/>
              <w:rPr>
                <w:rFonts w:ascii="Times New Roman" w:hAnsi="Times New Roman" w:cs="Times New Roman"/>
              </w:rPr>
            </w:pPr>
            <w:r w:rsidRPr="00EE5714">
              <w:rPr>
                <w:rFonts w:ascii="Times New Roman" w:hAnsi="Times New Roman" w:cs="Times New Roman"/>
                <w:b/>
                <w:bCs/>
              </w:rPr>
              <w:t>Heat:</w:t>
            </w:r>
            <w:r w:rsidRPr="00EE5714">
              <w:rPr>
                <w:rFonts w:ascii="Times New Roman" w:hAnsi="Times New Roman" w:cs="Times New Roman"/>
              </w:rPr>
              <w:t xml:space="preserve"> $25</w:t>
            </w:r>
          </w:p>
          <w:p w14:paraId="0F00FD94" w14:textId="77777777" w:rsidR="00516929" w:rsidRPr="00EE5714" w:rsidRDefault="00516929" w:rsidP="00516929">
            <w:pPr>
              <w:jc w:val="center"/>
              <w:rPr>
                <w:rFonts w:ascii="Times New Roman" w:hAnsi="Times New Roman" w:cs="Times New Roman"/>
                <w:szCs w:val="20"/>
              </w:rPr>
            </w:pPr>
          </w:p>
        </w:tc>
      </w:tr>
      <w:tr w:rsidR="00516929" w:rsidRPr="00EE5714" w14:paraId="5C58377D" w14:textId="77777777" w:rsidTr="007B69AD">
        <w:tc>
          <w:tcPr>
            <w:tcW w:w="2065" w:type="dxa"/>
          </w:tcPr>
          <w:p w14:paraId="6B1ECE07" w14:textId="77777777" w:rsidR="00516929" w:rsidRPr="00EE5714" w:rsidRDefault="00516929">
            <w:pPr>
              <w:rPr>
                <w:rFonts w:ascii="Times New Roman" w:hAnsi="Times New Roman" w:cs="Times New Roman"/>
              </w:rPr>
            </w:pPr>
            <w:r w:rsidRPr="00EE5714">
              <w:rPr>
                <w:rFonts w:ascii="Times New Roman" w:hAnsi="Times New Roman" w:cs="Times New Roman"/>
              </w:rPr>
              <w:t>UGI Gas and UGI PNG</w:t>
            </w:r>
          </w:p>
        </w:tc>
        <w:tc>
          <w:tcPr>
            <w:tcW w:w="5220" w:type="dxa"/>
          </w:tcPr>
          <w:p w14:paraId="17D2D1E4" w14:textId="77777777" w:rsidR="00516929" w:rsidRPr="00EE5714" w:rsidRDefault="00516929">
            <w:pPr>
              <w:rPr>
                <w:rFonts w:ascii="Times New Roman" w:hAnsi="Times New Roman" w:cs="Times New Roman"/>
              </w:rPr>
            </w:pPr>
            <w:r w:rsidRPr="00EE5714">
              <w:rPr>
                <w:rFonts w:ascii="Times New Roman" w:hAnsi="Times New Roman" w:cs="Times New Roman"/>
                <w:i/>
                <w:iCs/>
                <w:u w:val="single"/>
              </w:rPr>
              <w:t>Percentage of Income</w:t>
            </w:r>
            <w:r w:rsidRPr="00EE5714">
              <w:rPr>
                <w:rFonts w:ascii="Times New Roman" w:hAnsi="Times New Roman" w:cs="Times New Roman"/>
                <w:szCs w:val="20"/>
              </w:rPr>
              <w:br/>
            </w:r>
            <w:r w:rsidRPr="00EE5714">
              <w:rPr>
                <w:rFonts w:ascii="Times New Roman" w:hAnsi="Times New Roman" w:cs="Times New Roman"/>
              </w:rPr>
              <w:t>7% to 9% of income OR average bill, whichever is lower</w:t>
            </w:r>
          </w:p>
        </w:tc>
        <w:tc>
          <w:tcPr>
            <w:tcW w:w="2065" w:type="dxa"/>
            <w:vAlign w:val="center"/>
          </w:tcPr>
          <w:p w14:paraId="0DCAC84F" w14:textId="77777777" w:rsidR="00516929" w:rsidRPr="00EE5714" w:rsidRDefault="00516929">
            <w:pPr>
              <w:jc w:val="center"/>
              <w:rPr>
                <w:rFonts w:ascii="Times New Roman" w:hAnsi="Times New Roman" w:cs="Times New Roman"/>
              </w:rPr>
            </w:pPr>
            <w:r w:rsidRPr="00EE5714">
              <w:rPr>
                <w:rFonts w:ascii="Times New Roman" w:hAnsi="Times New Roman" w:cs="Times New Roman"/>
                <w:b/>
                <w:bCs/>
              </w:rPr>
              <w:t>Heat:</w:t>
            </w:r>
            <w:r w:rsidRPr="00EE5714">
              <w:rPr>
                <w:rFonts w:ascii="Times New Roman" w:hAnsi="Times New Roman" w:cs="Times New Roman"/>
              </w:rPr>
              <w:t xml:space="preserve"> $25</w:t>
            </w:r>
          </w:p>
          <w:p w14:paraId="3773462F" w14:textId="77777777" w:rsidR="00516929" w:rsidRPr="00EE5714" w:rsidRDefault="00516929" w:rsidP="00516929">
            <w:pPr>
              <w:jc w:val="center"/>
              <w:rPr>
                <w:rFonts w:ascii="Times New Roman" w:hAnsi="Times New Roman" w:cs="Times New Roman"/>
                <w:szCs w:val="20"/>
              </w:rPr>
            </w:pPr>
          </w:p>
        </w:tc>
      </w:tr>
    </w:tbl>
    <w:p w14:paraId="3F559C03" w14:textId="77777777" w:rsidR="00516929" w:rsidRPr="00EE5714" w:rsidRDefault="00516929" w:rsidP="00516929">
      <w:pPr>
        <w:spacing w:after="0" w:line="240" w:lineRule="auto"/>
        <w:rPr>
          <w:rFonts w:ascii="Times New Roman" w:hAnsi="Times New Roman" w:cs="Times New Roman"/>
          <w:sz w:val="24"/>
          <w:szCs w:val="24"/>
        </w:rPr>
      </w:pPr>
      <w:r w:rsidRPr="00EE5714">
        <w:rPr>
          <w:rFonts w:ascii="Times New Roman" w:hAnsi="Times New Roman" w:cs="Times New Roman"/>
          <w:sz w:val="24"/>
          <w:szCs w:val="24"/>
        </w:rPr>
        <w:t xml:space="preserve">*PECO implemented a fixed credit methodology as part of its gas and electric </w:t>
      </w:r>
      <w:r w:rsidR="001E001F" w:rsidRPr="00EE5714">
        <w:rPr>
          <w:rFonts w:ascii="Times New Roman" w:hAnsi="Times New Roman" w:cs="Times New Roman"/>
          <w:sz w:val="24"/>
          <w:szCs w:val="24"/>
        </w:rPr>
        <w:t>CAP</w:t>
      </w:r>
      <w:r w:rsidRPr="00EE5714">
        <w:rPr>
          <w:rFonts w:ascii="Times New Roman" w:hAnsi="Times New Roman" w:cs="Times New Roman"/>
          <w:sz w:val="24"/>
          <w:szCs w:val="24"/>
        </w:rPr>
        <w:t xml:space="preserve"> on October 1, 2016.</w:t>
      </w:r>
    </w:p>
    <w:p w14:paraId="524F049E" w14:textId="77777777" w:rsidR="00516929" w:rsidRPr="00EE5714" w:rsidRDefault="00516929" w:rsidP="00516929">
      <w:pPr>
        <w:spacing w:after="0" w:line="240" w:lineRule="auto"/>
        <w:rPr>
          <w:rFonts w:ascii="Times New Roman" w:hAnsi="Times New Roman" w:cs="Times New Roman"/>
          <w:sz w:val="24"/>
          <w:szCs w:val="24"/>
        </w:rPr>
      </w:pPr>
    </w:p>
    <w:p w14:paraId="3C70FFF5" w14:textId="77777777" w:rsidR="00516929" w:rsidRPr="00EE5714" w:rsidRDefault="00516929" w:rsidP="00516929">
      <w:pPr>
        <w:spacing w:after="0" w:line="240" w:lineRule="auto"/>
        <w:rPr>
          <w:rFonts w:ascii="Times New Roman" w:hAnsi="Times New Roman" w:cs="Times New Roman"/>
          <w:sz w:val="26"/>
          <w:szCs w:val="26"/>
        </w:rPr>
      </w:pPr>
      <w:r w:rsidRPr="00EE5714">
        <w:rPr>
          <w:rFonts w:ascii="Times New Roman" w:hAnsi="Times New Roman" w:cs="Times New Roman"/>
          <w:sz w:val="24"/>
          <w:szCs w:val="24"/>
        </w:rPr>
        <w:lastRenderedPageBreak/>
        <w:tab/>
      </w:r>
      <w:r w:rsidRPr="00EE5714">
        <w:rPr>
          <w:rFonts w:ascii="Times New Roman" w:hAnsi="Times New Roman" w:cs="Times New Roman"/>
          <w:sz w:val="26"/>
          <w:szCs w:val="26"/>
        </w:rPr>
        <w:t>T</w:t>
      </w:r>
      <w:r w:rsidR="00C94B03" w:rsidRPr="00EE5714">
        <w:rPr>
          <w:rFonts w:ascii="Times New Roman" w:hAnsi="Times New Roman" w:cs="Times New Roman"/>
          <w:sz w:val="26"/>
          <w:szCs w:val="26"/>
        </w:rPr>
        <w:t>able 3-1</w:t>
      </w:r>
      <w:r w:rsidR="005F3A26"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above does not delineate the utilities that </w:t>
      </w:r>
      <w:r w:rsidR="00E33085" w:rsidRPr="00EE5714">
        <w:rPr>
          <w:rFonts w:ascii="Times New Roman" w:hAnsi="Times New Roman" w:cs="Times New Roman"/>
          <w:sz w:val="26"/>
          <w:szCs w:val="26"/>
        </w:rPr>
        <w:t xml:space="preserve">that </w:t>
      </w:r>
      <w:r w:rsidRPr="00EE5714">
        <w:rPr>
          <w:rFonts w:ascii="Times New Roman" w:hAnsi="Times New Roman" w:cs="Times New Roman"/>
          <w:sz w:val="26"/>
          <w:szCs w:val="26"/>
        </w:rPr>
        <w:t>add CAP Plus</w:t>
      </w:r>
      <w:r w:rsidR="00C225DC" w:rsidRPr="00EE5714">
        <w:rPr>
          <w:rStyle w:val="FootnoteReference"/>
          <w:rFonts w:ascii="Times New Roman" w:hAnsi="Times New Roman" w:cs="Times New Roman"/>
          <w:sz w:val="26"/>
          <w:szCs w:val="26"/>
        </w:rPr>
        <w:footnoteReference w:id="28"/>
      </w:r>
      <w:r w:rsidRPr="00EE5714">
        <w:rPr>
          <w:rFonts w:ascii="Times New Roman" w:hAnsi="Times New Roman" w:cs="Times New Roman"/>
          <w:sz w:val="26"/>
          <w:szCs w:val="26"/>
        </w:rPr>
        <w:t xml:space="preserve"> and/or monthly PPA co-payment amounts</w:t>
      </w:r>
      <w:r w:rsidR="00364D6E" w:rsidRPr="00EE5714">
        <w:rPr>
          <w:rStyle w:val="FootnoteReference"/>
          <w:rFonts w:ascii="Times New Roman" w:hAnsi="Times New Roman" w:cs="Times New Roman"/>
          <w:sz w:val="26"/>
          <w:szCs w:val="26"/>
        </w:rPr>
        <w:footnoteReference w:id="29"/>
      </w:r>
      <w:r w:rsidRPr="00EE5714">
        <w:rPr>
          <w:rFonts w:ascii="Times New Roman" w:hAnsi="Times New Roman" w:cs="Times New Roman"/>
          <w:sz w:val="26"/>
          <w:szCs w:val="26"/>
        </w:rPr>
        <w:t xml:space="preserve"> to the CAP customer bills.  </w:t>
      </w:r>
    </w:p>
    <w:p w14:paraId="56183CAF" w14:textId="77777777" w:rsidR="00871284" w:rsidRPr="00EE5714" w:rsidRDefault="00871284" w:rsidP="00516929">
      <w:pPr>
        <w:spacing w:after="0" w:line="240" w:lineRule="auto"/>
        <w:rPr>
          <w:rFonts w:ascii="Times New Roman" w:hAnsi="Times New Roman" w:cs="Times New Roman"/>
          <w:sz w:val="26"/>
          <w:szCs w:val="26"/>
        </w:rPr>
      </w:pPr>
    </w:p>
    <w:p w14:paraId="7ADCE7E0" w14:textId="77777777" w:rsidR="00F657F0" w:rsidRPr="00EE5714" w:rsidRDefault="00F657F0" w:rsidP="00F657F0">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3-2</w:t>
      </w:r>
    </w:p>
    <w:p w14:paraId="07B88892" w14:textId="04706B45" w:rsidR="00F657F0" w:rsidRPr="00EE5714" w:rsidRDefault="00F657F0" w:rsidP="00F657F0">
      <w:pPr>
        <w:keepNext/>
        <w:spacing w:after="0" w:line="240" w:lineRule="auto"/>
        <w:contextualSpacing/>
        <w:jc w:val="center"/>
        <w:rPr>
          <w:rFonts w:ascii="Times New Roman" w:hAnsi="Times New Roman" w:cs="Times New Roman"/>
          <w:sz w:val="26"/>
          <w:szCs w:val="26"/>
        </w:rPr>
      </w:pPr>
      <w:r w:rsidRPr="00EE5714">
        <w:rPr>
          <w:rFonts w:ascii="Times New Roman" w:hAnsi="Times New Roman" w:cs="Times New Roman"/>
          <w:b/>
          <w:sz w:val="26"/>
          <w:szCs w:val="26"/>
        </w:rPr>
        <w:t xml:space="preserve">Percent of EDC </w:t>
      </w:r>
      <w:r w:rsidR="003C2CB6" w:rsidRPr="00EE5714">
        <w:rPr>
          <w:rFonts w:ascii="Times New Roman" w:hAnsi="Times New Roman" w:cs="Times New Roman"/>
          <w:b/>
          <w:sz w:val="26"/>
          <w:szCs w:val="26"/>
        </w:rPr>
        <w:t xml:space="preserve">CAP Bills Rendered to </w:t>
      </w:r>
      <w:r w:rsidRPr="00EE5714">
        <w:rPr>
          <w:rFonts w:ascii="Times New Roman" w:hAnsi="Times New Roman" w:cs="Times New Roman"/>
          <w:b/>
          <w:sz w:val="26"/>
          <w:szCs w:val="26"/>
        </w:rPr>
        <w:t xml:space="preserve">Non-Heating </w:t>
      </w:r>
      <w:r w:rsidR="003C2CB6" w:rsidRPr="00EE5714">
        <w:rPr>
          <w:rFonts w:ascii="Times New Roman" w:hAnsi="Times New Roman" w:cs="Times New Roman"/>
          <w:b/>
          <w:sz w:val="26"/>
          <w:szCs w:val="26"/>
        </w:rPr>
        <w:t>Customers</w:t>
      </w:r>
    </w:p>
    <w:p w14:paraId="58D3B3B4" w14:textId="77777777" w:rsidR="00C945CF" w:rsidRPr="00EE5714" w:rsidRDefault="00C945CF" w:rsidP="00F657F0">
      <w:pPr>
        <w:spacing w:after="0" w:line="240" w:lineRule="auto"/>
        <w:jc w:val="center"/>
      </w:pPr>
    </w:p>
    <w:p w14:paraId="2150277D" w14:textId="50ED22A6" w:rsidR="2691098B" w:rsidRDefault="007405C1">
      <w:pPr>
        <w:spacing w:after="0" w:line="240" w:lineRule="auto"/>
        <w:jc w:val="center"/>
      </w:pPr>
      <w:r>
        <w:rPr>
          <w:noProof/>
        </w:rPr>
        <w:drawing>
          <wp:inline distT="0" distB="0" distL="0" distR="0" wp14:anchorId="713BA1B2" wp14:editId="17B71C15">
            <wp:extent cx="5357813" cy="2943224"/>
            <wp:effectExtent l="0" t="0" r="14605" b="10160"/>
            <wp:docPr id="2" name="Chart 2">
              <a:extLst xmlns:a="http://schemas.openxmlformats.org/drawingml/2006/main">
                <a:ext uri="{FF2B5EF4-FFF2-40B4-BE49-F238E27FC236}">
                  <a16:creationId xmlns:a16="http://schemas.microsoft.com/office/drawing/2014/main" id="{61412459-5110-4652-ABC4-9C1FCE018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98B0BD" w14:textId="26A29D3A" w:rsidR="00F657F0" w:rsidRPr="00EE5714" w:rsidRDefault="00F657F0" w:rsidP="00F657F0">
      <w:pPr>
        <w:spacing w:after="0" w:line="240" w:lineRule="auto"/>
        <w:jc w:val="center"/>
      </w:pPr>
    </w:p>
    <w:p w14:paraId="50AB87CD" w14:textId="77777777" w:rsidR="00F657F0" w:rsidRDefault="00F657F0" w:rsidP="00F657F0">
      <w:pPr>
        <w:spacing w:after="0" w:line="240" w:lineRule="auto"/>
        <w:jc w:val="center"/>
      </w:pPr>
    </w:p>
    <w:p w14:paraId="3A0FD4D3" w14:textId="4CA5BDE7" w:rsidR="00516929" w:rsidRPr="00EE5714" w:rsidRDefault="00D0696B"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Another consideration to note is that </w:t>
      </w:r>
      <w:r w:rsidR="00516929" w:rsidRPr="00EE5714">
        <w:rPr>
          <w:rFonts w:ascii="Times New Roman" w:hAnsi="Times New Roman" w:cs="Times New Roman"/>
          <w:sz w:val="26"/>
          <w:szCs w:val="26"/>
        </w:rPr>
        <w:t xml:space="preserve">Pennsylvania EDCs have </w:t>
      </w:r>
      <w:r w:rsidR="00E1274E" w:rsidRPr="00EE5714">
        <w:rPr>
          <w:rFonts w:ascii="Times New Roman" w:hAnsi="Times New Roman" w:cs="Times New Roman"/>
          <w:sz w:val="26"/>
          <w:szCs w:val="26"/>
        </w:rPr>
        <w:t>a higher percentage of</w:t>
      </w:r>
      <w:r w:rsidR="00516929" w:rsidRPr="00EE5714">
        <w:rPr>
          <w:rFonts w:ascii="Times New Roman" w:hAnsi="Times New Roman" w:cs="Times New Roman"/>
          <w:sz w:val="26"/>
          <w:szCs w:val="26"/>
        </w:rPr>
        <w:t xml:space="preserve"> non-heating accounts in CAP than heating accounts.  As seen in Table </w:t>
      </w:r>
      <w:r w:rsidR="008C4D39" w:rsidRPr="00EE5714">
        <w:rPr>
          <w:rFonts w:ascii="Times New Roman" w:hAnsi="Times New Roman" w:cs="Times New Roman"/>
          <w:sz w:val="26"/>
          <w:szCs w:val="26"/>
        </w:rPr>
        <w:t>3-2</w:t>
      </w:r>
      <w:r w:rsidR="00516929" w:rsidRPr="00EE5714">
        <w:rPr>
          <w:rFonts w:ascii="Times New Roman" w:hAnsi="Times New Roman" w:cs="Times New Roman"/>
          <w:sz w:val="26"/>
          <w:szCs w:val="26"/>
        </w:rPr>
        <w:t xml:space="preserve">, </w:t>
      </w:r>
      <w:r w:rsidR="00EE151A" w:rsidRPr="00EE5714">
        <w:rPr>
          <w:rFonts w:ascii="Times New Roman" w:hAnsi="Times New Roman" w:cs="Times New Roman"/>
          <w:sz w:val="26"/>
          <w:szCs w:val="26"/>
        </w:rPr>
        <w:t xml:space="preserve">based on the PA industry </w:t>
      </w:r>
      <w:r w:rsidR="00DA2D55" w:rsidRPr="00EE5714">
        <w:rPr>
          <w:rFonts w:ascii="Times New Roman" w:hAnsi="Times New Roman" w:cs="Times New Roman"/>
          <w:sz w:val="26"/>
          <w:szCs w:val="26"/>
        </w:rPr>
        <w:t xml:space="preserve">average, </w:t>
      </w:r>
      <w:r w:rsidR="00516929" w:rsidRPr="00EE5714">
        <w:rPr>
          <w:rFonts w:ascii="Times New Roman" w:hAnsi="Times New Roman" w:cs="Times New Roman"/>
          <w:sz w:val="26"/>
          <w:szCs w:val="26"/>
        </w:rPr>
        <w:t xml:space="preserve">over 75% of </w:t>
      </w:r>
      <w:r w:rsidR="00EA1CCB" w:rsidRPr="00EE5714">
        <w:rPr>
          <w:rFonts w:ascii="Times New Roman" w:hAnsi="Times New Roman" w:cs="Times New Roman"/>
          <w:sz w:val="26"/>
          <w:szCs w:val="26"/>
        </w:rPr>
        <w:t xml:space="preserve">EDC </w:t>
      </w:r>
      <w:r w:rsidR="00516929" w:rsidRPr="00EE5714">
        <w:rPr>
          <w:rFonts w:ascii="Times New Roman" w:hAnsi="Times New Roman" w:cs="Times New Roman"/>
          <w:sz w:val="26"/>
          <w:szCs w:val="26"/>
        </w:rPr>
        <w:t xml:space="preserve">CAP </w:t>
      </w:r>
      <w:r w:rsidR="00290059" w:rsidRPr="00EE5714">
        <w:rPr>
          <w:rFonts w:ascii="Times New Roman" w:hAnsi="Times New Roman" w:cs="Times New Roman"/>
          <w:sz w:val="26"/>
          <w:szCs w:val="26"/>
        </w:rPr>
        <w:t xml:space="preserve">bills </w:t>
      </w:r>
      <w:r w:rsidR="00923EA8" w:rsidRPr="00EE5714">
        <w:rPr>
          <w:rFonts w:ascii="Times New Roman" w:hAnsi="Times New Roman" w:cs="Times New Roman"/>
          <w:sz w:val="26"/>
          <w:szCs w:val="26"/>
        </w:rPr>
        <w:t>issued</w:t>
      </w:r>
      <w:r w:rsidR="00516929" w:rsidRPr="00EE5714">
        <w:rPr>
          <w:rFonts w:ascii="Times New Roman" w:hAnsi="Times New Roman" w:cs="Times New Roman"/>
          <w:sz w:val="26"/>
          <w:szCs w:val="26"/>
        </w:rPr>
        <w:t xml:space="preserve"> </w:t>
      </w:r>
      <w:r w:rsidR="00290059" w:rsidRPr="00EE5714">
        <w:rPr>
          <w:rFonts w:ascii="Times New Roman" w:hAnsi="Times New Roman" w:cs="Times New Roman"/>
          <w:sz w:val="26"/>
          <w:szCs w:val="26"/>
        </w:rPr>
        <w:t>were for non-heating accounts</w:t>
      </w:r>
      <w:r w:rsidR="004E6BF3" w:rsidRPr="00EE5714">
        <w:rPr>
          <w:rFonts w:ascii="Times New Roman" w:hAnsi="Times New Roman" w:cs="Times New Roman"/>
          <w:sz w:val="26"/>
          <w:szCs w:val="26"/>
        </w:rPr>
        <w:t xml:space="preserve">. </w:t>
      </w:r>
      <w:r w:rsidR="00157A59" w:rsidRPr="00EE5714">
        <w:rPr>
          <w:rFonts w:ascii="Times New Roman" w:hAnsi="Times New Roman" w:cs="Times New Roman"/>
          <w:sz w:val="26"/>
          <w:szCs w:val="26"/>
        </w:rPr>
        <w:t xml:space="preserve"> </w:t>
      </w:r>
      <w:r w:rsidR="001B173B" w:rsidRPr="00EE5714">
        <w:rPr>
          <w:rFonts w:ascii="Times New Roman" w:hAnsi="Times New Roman" w:cs="Times New Roman"/>
          <w:i/>
          <w:iCs/>
          <w:sz w:val="26"/>
          <w:szCs w:val="26"/>
        </w:rPr>
        <w:t>S</w:t>
      </w:r>
      <w:r w:rsidR="00157A59" w:rsidRPr="00EE5714">
        <w:rPr>
          <w:rFonts w:ascii="Times New Roman" w:hAnsi="Times New Roman" w:cs="Times New Roman"/>
          <w:i/>
          <w:iCs/>
          <w:sz w:val="26"/>
          <w:szCs w:val="26"/>
        </w:rPr>
        <w:t xml:space="preserve">ee </w:t>
      </w:r>
      <w:r w:rsidR="51C6EB28" w:rsidRPr="00EE5714">
        <w:rPr>
          <w:rFonts w:ascii="Times New Roman" w:hAnsi="Times New Roman" w:cs="Times New Roman"/>
          <w:sz w:val="26"/>
          <w:szCs w:val="26"/>
        </w:rPr>
        <w:t xml:space="preserve">Appendix </w:t>
      </w:r>
      <w:r w:rsidR="000728AC" w:rsidRPr="00EE5714">
        <w:rPr>
          <w:rFonts w:ascii="Times New Roman" w:hAnsi="Times New Roman" w:cs="Times New Roman"/>
          <w:sz w:val="26"/>
          <w:szCs w:val="26"/>
        </w:rPr>
        <w:t>5</w:t>
      </w:r>
      <w:r w:rsidR="51C6EB28" w:rsidRPr="00EE5714">
        <w:rPr>
          <w:rFonts w:ascii="Times New Roman" w:hAnsi="Times New Roman" w:cs="Times New Roman"/>
          <w:sz w:val="26"/>
          <w:szCs w:val="26"/>
        </w:rPr>
        <w:t>.D</w:t>
      </w:r>
      <w:r w:rsidR="00157A59" w:rsidRPr="00EE5714">
        <w:rPr>
          <w:rFonts w:ascii="Times New Roman" w:hAnsi="Times New Roman" w:cs="Times New Roman"/>
          <w:sz w:val="26"/>
          <w:szCs w:val="26"/>
        </w:rPr>
        <w:t xml:space="preserve"> </w:t>
      </w:r>
      <w:r w:rsidR="00157A59" w:rsidRPr="00EE5714">
        <w:rPr>
          <w:rFonts w:ascii="Times New Roman" w:hAnsi="Times New Roman" w:cs="Times New Roman"/>
          <w:i/>
          <w:iCs/>
          <w:sz w:val="26"/>
          <w:szCs w:val="26"/>
        </w:rPr>
        <w:t>for EDCs Number of CAP Bills Paid</w:t>
      </w:r>
      <w:r w:rsidR="00516929" w:rsidRPr="00EE5714">
        <w:rPr>
          <w:rFonts w:ascii="Times New Roman" w:hAnsi="Times New Roman" w:cs="Times New Roman"/>
          <w:sz w:val="26"/>
          <w:szCs w:val="26"/>
        </w:rPr>
        <w:t xml:space="preserve">.  </w:t>
      </w:r>
      <w:r w:rsidR="00E82351" w:rsidRPr="00EE5714">
        <w:rPr>
          <w:rFonts w:ascii="Times New Roman" w:hAnsi="Times New Roman" w:cs="Times New Roman"/>
          <w:sz w:val="26"/>
          <w:szCs w:val="26"/>
        </w:rPr>
        <w:t xml:space="preserve">Thus, </w:t>
      </w:r>
      <w:r w:rsidR="00FB4700" w:rsidRPr="00EE5714">
        <w:rPr>
          <w:rFonts w:ascii="Times New Roman" w:hAnsi="Times New Roman" w:cs="Times New Roman"/>
          <w:sz w:val="26"/>
          <w:szCs w:val="26"/>
        </w:rPr>
        <w:t xml:space="preserve">affordability issues </w:t>
      </w:r>
      <w:r w:rsidR="00206E92" w:rsidRPr="00EE5714">
        <w:rPr>
          <w:rFonts w:ascii="Times New Roman" w:hAnsi="Times New Roman" w:cs="Times New Roman"/>
          <w:sz w:val="26"/>
          <w:szCs w:val="26"/>
        </w:rPr>
        <w:t>involving</w:t>
      </w:r>
      <w:r w:rsidR="00FB4700" w:rsidRPr="00EE5714">
        <w:rPr>
          <w:rFonts w:ascii="Times New Roman" w:hAnsi="Times New Roman" w:cs="Times New Roman"/>
          <w:sz w:val="26"/>
          <w:szCs w:val="26"/>
        </w:rPr>
        <w:t xml:space="preserve"> </w:t>
      </w:r>
      <w:r w:rsidR="00206E92" w:rsidRPr="00EE5714">
        <w:rPr>
          <w:rFonts w:ascii="Times New Roman" w:hAnsi="Times New Roman" w:cs="Times New Roman"/>
          <w:sz w:val="26"/>
          <w:szCs w:val="26"/>
        </w:rPr>
        <w:t xml:space="preserve">electric non-heating accounts impact </w:t>
      </w:r>
      <w:proofErr w:type="gramStart"/>
      <w:r w:rsidR="00206E92" w:rsidRPr="00EE5714">
        <w:rPr>
          <w:rFonts w:ascii="Times New Roman" w:hAnsi="Times New Roman" w:cs="Times New Roman"/>
          <w:sz w:val="26"/>
          <w:szCs w:val="26"/>
        </w:rPr>
        <w:t xml:space="preserve">the majority </w:t>
      </w:r>
      <w:r w:rsidR="00F87D24" w:rsidRPr="00EE5714">
        <w:rPr>
          <w:rFonts w:ascii="Times New Roman" w:hAnsi="Times New Roman" w:cs="Times New Roman"/>
          <w:sz w:val="26"/>
          <w:szCs w:val="26"/>
        </w:rPr>
        <w:t>of</w:t>
      </w:r>
      <w:proofErr w:type="gramEnd"/>
      <w:r w:rsidR="00F87D24" w:rsidRPr="00EE5714">
        <w:rPr>
          <w:rFonts w:ascii="Times New Roman" w:hAnsi="Times New Roman" w:cs="Times New Roman"/>
          <w:sz w:val="26"/>
          <w:szCs w:val="26"/>
        </w:rPr>
        <w:t xml:space="preserve"> </w:t>
      </w:r>
      <w:r w:rsidR="00061946" w:rsidRPr="00EE5714">
        <w:rPr>
          <w:rFonts w:ascii="Times New Roman" w:hAnsi="Times New Roman" w:cs="Times New Roman"/>
          <w:sz w:val="26"/>
          <w:szCs w:val="26"/>
        </w:rPr>
        <w:t>EDC</w:t>
      </w:r>
      <w:r w:rsidR="00F87D24" w:rsidRPr="00EE5714">
        <w:rPr>
          <w:rFonts w:ascii="Times New Roman" w:hAnsi="Times New Roman" w:cs="Times New Roman"/>
          <w:sz w:val="26"/>
          <w:szCs w:val="26"/>
        </w:rPr>
        <w:t xml:space="preserve"> CAP customers.</w:t>
      </w:r>
    </w:p>
    <w:p w14:paraId="0C647AC6" w14:textId="77777777" w:rsidR="00516929" w:rsidRPr="00EE5714" w:rsidRDefault="00516929" w:rsidP="00516929">
      <w:pPr>
        <w:spacing w:after="0" w:line="240" w:lineRule="auto"/>
        <w:jc w:val="center"/>
        <w:rPr>
          <w:rFonts w:ascii="Times New Roman" w:hAnsi="Times New Roman" w:cs="Times New Roman"/>
          <w:sz w:val="26"/>
          <w:szCs w:val="26"/>
        </w:rPr>
      </w:pPr>
    </w:p>
    <w:p w14:paraId="05C6A26C" w14:textId="77777777" w:rsidR="00516929" w:rsidRPr="00EE5714" w:rsidRDefault="00516929" w:rsidP="00037448">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Methodology</w:t>
      </w:r>
    </w:p>
    <w:p w14:paraId="3051CE52" w14:textId="77777777" w:rsidR="00516929" w:rsidRPr="00EE5714" w:rsidRDefault="00516929" w:rsidP="002B04DF">
      <w:pPr>
        <w:keepNext/>
        <w:spacing w:after="0" w:line="240" w:lineRule="auto"/>
        <w:ind w:firstLine="720"/>
        <w:rPr>
          <w:rFonts w:ascii="Times New Roman" w:hAnsi="Times New Roman" w:cs="Times New Roman"/>
          <w:sz w:val="26"/>
          <w:szCs w:val="26"/>
        </w:rPr>
      </w:pPr>
    </w:p>
    <w:p w14:paraId="4D64E566" w14:textId="77777777" w:rsidR="00516929" w:rsidRPr="00EE5714" w:rsidRDefault="00516929" w:rsidP="00516929">
      <w:pPr>
        <w:spacing w:after="0" w:line="240" w:lineRule="auto"/>
      </w:pPr>
      <w:r w:rsidRPr="00EE5714">
        <w:rPr>
          <w:rFonts w:ascii="Times New Roman" w:hAnsi="Times New Roman" w:cs="Times New Roman"/>
          <w:sz w:val="26"/>
          <w:szCs w:val="26"/>
        </w:rPr>
        <w:tab/>
        <w:t xml:space="preserve">To calculate the energy burden levels </w:t>
      </w:r>
      <w:r w:rsidR="009A3524" w:rsidRPr="00EE5714">
        <w:rPr>
          <w:rFonts w:ascii="Times New Roman" w:hAnsi="Times New Roman" w:cs="Times New Roman"/>
          <w:sz w:val="26"/>
          <w:szCs w:val="26"/>
        </w:rPr>
        <w:t>for</w:t>
      </w:r>
      <w:r w:rsidR="007133ED" w:rsidRPr="00EE5714">
        <w:rPr>
          <w:rFonts w:ascii="Times New Roman" w:hAnsi="Times New Roman" w:cs="Times New Roman"/>
          <w:sz w:val="26"/>
          <w:szCs w:val="26"/>
        </w:rPr>
        <w:t xml:space="preserve"> </w:t>
      </w:r>
      <w:r w:rsidR="00B53D9C" w:rsidRPr="00EE5714">
        <w:rPr>
          <w:rFonts w:ascii="Times New Roman" w:hAnsi="Times New Roman" w:cs="Times New Roman"/>
          <w:sz w:val="26"/>
          <w:szCs w:val="26"/>
        </w:rPr>
        <w:t xml:space="preserve">non-CAP </w:t>
      </w:r>
      <w:r w:rsidRPr="00EE5714">
        <w:rPr>
          <w:rFonts w:ascii="Times New Roman" w:hAnsi="Times New Roman" w:cs="Times New Roman"/>
          <w:sz w:val="26"/>
          <w:szCs w:val="26"/>
        </w:rPr>
        <w:t>residential and CAP customers for the years 2012</w:t>
      </w:r>
      <w:r w:rsidR="00641048"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2016, </w:t>
      </w:r>
      <w:r w:rsidR="009A3524" w:rsidRPr="00EE5714">
        <w:rPr>
          <w:rFonts w:ascii="Times New Roman" w:hAnsi="Times New Roman" w:cs="Times New Roman"/>
          <w:sz w:val="26"/>
          <w:szCs w:val="26"/>
        </w:rPr>
        <w:t>staff</w:t>
      </w:r>
      <w:r w:rsidRPr="00EE5714">
        <w:rPr>
          <w:rFonts w:ascii="Times New Roman" w:hAnsi="Times New Roman" w:cs="Times New Roman"/>
          <w:sz w:val="26"/>
          <w:szCs w:val="26"/>
        </w:rPr>
        <w:t xml:space="preserve"> obtained </w:t>
      </w:r>
      <w:r w:rsidR="00367432" w:rsidRPr="00EE5714">
        <w:rPr>
          <w:rFonts w:ascii="Times New Roman" w:hAnsi="Times New Roman" w:cs="Times New Roman"/>
          <w:sz w:val="26"/>
          <w:szCs w:val="26"/>
        </w:rPr>
        <w:t>data</w:t>
      </w:r>
      <w:r w:rsidRPr="00EE5714">
        <w:rPr>
          <w:rFonts w:ascii="Times New Roman" w:hAnsi="Times New Roman" w:cs="Times New Roman"/>
          <w:sz w:val="26"/>
          <w:szCs w:val="26"/>
        </w:rPr>
        <w:t xml:space="preserve"> from the utilities and </w:t>
      </w:r>
      <w:r w:rsidR="00367432" w:rsidRPr="00EE5714">
        <w:rPr>
          <w:rFonts w:ascii="Times New Roman" w:hAnsi="Times New Roman" w:cs="Times New Roman"/>
          <w:sz w:val="26"/>
          <w:szCs w:val="26"/>
        </w:rPr>
        <w:t xml:space="preserve">information from </w:t>
      </w:r>
      <w:r w:rsidRPr="00EE5714">
        <w:rPr>
          <w:rFonts w:ascii="Times New Roman" w:hAnsi="Times New Roman" w:cs="Times New Roman"/>
          <w:sz w:val="26"/>
          <w:szCs w:val="26"/>
        </w:rPr>
        <w:t xml:space="preserve">the U.S. Census to determine average bills and average incomes for both sets of customers.  The average annual tariff rate, usage, and median income was used to determine the average energy burden levels for </w:t>
      </w:r>
      <w:r w:rsidR="00641048" w:rsidRPr="00EE5714">
        <w:rPr>
          <w:rFonts w:ascii="Times New Roman" w:hAnsi="Times New Roman" w:cs="Times New Roman"/>
          <w:sz w:val="26"/>
          <w:szCs w:val="26"/>
        </w:rPr>
        <w:t xml:space="preserve">non-CAP </w:t>
      </w:r>
      <w:r w:rsidRPr="00EE5714">
        <w:rPr>
          <w:rFonts w:ascii="Times New Roman" w:hAnsi="Times New Roman" w:cs="Times New Roman"/>
          <w:sz w:val="26"/>
          <w:szCs w:val="26"/>
        </w:rPr>
        <w:t>residential customers.  The average annual CAP bill amount and the average annual CAP income w</w:t>
      </w:r>
      <w:r w:rsidR="005C46E8" w:rsidRPr="00EE5714">
        <w:rPr>
          <w:rFonts w:ascii="Times New Roman" w:hAnsi="Times New Roman" w:cs="Times New Roman"/>
          <w:sz w:val="26"/>
          <w:szCs w:val="26"/>
        </w:rPr>
        <w:t>ere</w:t>
      </w:r>
      <w:r w:rsidRPr="00EE5714">
        <w:rPr>
          <w:rFonts w:ascii="Times New Roman" w:hAnsi="Times New Roman" w:cs="Times New Roman"/>
          <w:sz w:val="26"/>
          <w:szCs w:val="26"/>
        </w:rPr>
        <w:t xml:space="preserve"> used to determine the average energy burden levels for CAP customers.</w:t>
      </w:r>
    </w:p>
    <w:p w14:paraId="32C14A14" w14:textId="77777777" w:rsidR="00516929" w:rsidRPr="00EE5714" w:rsidRDefault="00516929" w:rsidP="00516929">
      <w:pPr>
        <w:spacing w:after="0" w:line="240" w:lineRule="auto"/>
        <w:rPr>
          <w:rFonts w:ascii="Times New Roman" w:hAnsi="Times New Roman" w:cs="Times New Roman"/>
          <w:sz w:val="26"/>
          <w:szCs w:val="26"/>
        </w:rPr>
      </w:pPr>
    </w:p>
    <w:p w14:paraId="3C43BACE" w14:textId="77777777" w:rsidR="00516929" w:rsidRPr="00EE5714" w:rsidRDefault="00516929" w:rsidP="00037448">
      <w:pPr>
        <w:keepNext/>
        <w:spacing w:after="0" w:line="240" w:lineRule="auto"/>
        <w:rPr>
          <w:rFonts w:ascii="Times New Roman" w:hAnsi="Times New Roman" w:cs="Times New Roman"/>
          <w:i/>
          <w:iCs/>
          <w:sz w:val="26"/>
          <w:szCs w:val="26"/>
        </w:rPr>
      </w:pPr>
      <w:r w:rsidRPr="00EE5714">
        <w:rPr>
          <w:rFonts w:ascii="Times New Roman" w:hAnsi="Times New Roman" w:cs="Times New Roman"/>
          <w:i/>
          <w:iCs/>
          <w:sz w:val="26"/>
          <w:szCs w:val="26"/>
        </w:rPr>
        <w:lastRenderedPageBreak/>
        <w:t>Data Limitations</w:t>
      </w:r>
    </w:p>
    <w:p w14:paraId="0D624D00" w14:textId="77777777" w:rsidR="00516929" w:rsidRPr="00EE5714" w:rsidRDefault="00516929" w:rsidP="00EF6059">
      <w:pPr>
        <w:keepNext/>
        <w:spacing w:after="0" w:line="240" w:lineRule="auto"/>
        <w:ind w:firstLine="720"/>
        <w:rPr>
          <w:rFonts w:ascii="Times New Roman" w:hAnsi="Times New Roman" w:cs="Times New Roman"/>
          <w:sz w:val="26"/>
          <w:szCs w:val="26"/>
        </w:rPr>
      </w:pPr>
    </w:p>
    <w:p w14:paraId="0F30BC84" w14:textId="141DCAC2" w:rsidR="00516929" w:rsidRPr="00EE5714" w:rsidRDefault="00516929" w:rsidP="00516929">
      <w:pPr>
        <w:spacing w:after="0" w:line="240" w:lineRule="auto"/>
        <w:ind w:firstLine="720"/>
        <w:rPr>
          <w:rFonts w:ascii="Times New Roman" w:hAnsi="Times New Roman" w:cs="Times New Roman"/>
          <w:sz w:val="26"/>
          <w:szCs w:val="26"/>
        </w:rPr>
      </w:pPr>
      <w:bookmarkStart w:id="15" w:name="_Hlk525824346"/>
      <w:r w:rsidRPr="00EE5714">
        <w:rPr>
          <w:rFonts w:ascii="Times New Roman" w:hAnsi="Times New Roman" w:cs="Times New Roman"/>
          <w:sz w:val="26"/>
          <w:szCs w:val="26"/>
        </w:rPr>
        <w:t>Customers who enroll in utility CAP</w:t>
      </w:r>
      <w:r w:rsidR="00763A53" w:rsidRPr="00EE5714">
        <w:rPr>
          <w:rFonts w:ascii="Times New Roman" w:hAnsi="Times New Roman" w:cs="Times New Roman"/>
          <w:sz w:val="26"/>
          <w:szCs w:val="26"/>
        </w:rPr>
        <w:t>s</w:t>
      </w:r>
      <w:r w:rsidRPr="00EE5714">
        <w:rPr>
          <w:rFonts w:ascii="Times New Roman" w:hAnsi="Times New Roman" w:cs="Times New Roman"/>
          <w:sz w:val="26"/>
          <w:szCs w:val="26"/>
        </w:rPr>
        <w:t xml:space="preserve"> with zero income (zero</w:t>
      </w:r>
      <w:r w:rsidR="00B253E1" w:rsidRPr="00EE5714">
        <w:rPr>
          <w:rFonts w:ascii="Times New Roman" w:hAnsi="Times New Roman" w:cs="Times New Roman"/>
          <w:sz w:val="26"/>
          <w:szCs w:val="26"/>
        </w:rPr>
        <w:t>-</w:t>
      </w:r>
      <w:r w:rsidRPr="00EE5714">
        <w:rPr>
          <w:rFonts w:ascii="Times New Roman" w:hAnsi="Times New Roman" w:cs="Times New Roman"/>
          <w:sz w:val="26"/>
          <w:szCs w:val="26"/>
        </w:rPr>
        <w:t xml:space="preserve">income customers) may inflate the average energy burdens levels, particularly for the analysis </w:t>
      </w:r>
      <w:r w:rsidR="005E162F" w:rsidRPr="00EE5714">
        <w:rPr>
          <w:rFonts w:ascii="Times New Roman" w:hAnsi="Times New Roman" w:cs="Times New Roman"/>
          <w:sz w:val="26"/>
          <w:szCs w:val="26"/>
        </w:rPr>
        <w:t>o</w:t>
      </w:r>
      <w:r w:rsidRPr="00EE5714">
        <w:rPr>
          <w:rFonts w:ascii="Times New Roman" w:hAnsi="Times New Roman" w:cs="Times New Roman"/>
          <w:sz w:val="26"/>
          <w:szCs w:val="26"/>
        </w:rPr>
        <w:t xml:space="preserve">f customers with incomes at or below 50% of the FPIG.  </w:t>
      </w:r>
      <w:bookmarkEnd w:id="15"/>
      <w:r w:rsidRPr="00EE5714">
        <w:rPr>
          <w:rFonts w:ascii="Times New Roman" w:hAnsi="Times New Roman" w:cs="Times New Roman"/>
          <w:sz w:val="26"/>
          <w:szCs w:val="26"/>
        </w:rPr>
        <w:t xml:space="preserve">Utilities require customers that report </w:t>
      </w:r>
      <w:r w:rsidR="00B253E1" w:rsidRPr="00EE5714">
        <w:rPr>
          <w:rFonts w:ascii="Times New Roman" w:hAnsi="Times New Roman" w:cs="Times New Roman"/>
          <w:sz w:val="26"/>
          <w:szCs w:val="26"/>
        </w:rPr>
        <w:t>zero</w:t>
      </w:r>
      <w:r w:rsidR="00066CA0" w:rsidRPr="00EE5714">
        <w:rPr>
          <w:rFonts w:ascii="Times New Roman" w:hAnsi="Times New Roman" w:cs="Times New Roman"/>
          <w:sz w:val="26"/>
          <w:szCs w:val="26"/>
        </w:rPr>
        <w:t xml:space="preserve"> </w:t>
      </w:r>
      <w:r w:rsidR="00B253E1" w:rsidRPr="00EE5714">
        <w:rPr>
          <w:rFonts w:ascii="Times New Roman" w:hAnsi="Times New Roman" w:cs="Times New Roman"/>
          <w:sz w:val="26"/>
          <w:szCs w:val="26"/>
        </w:rPr>
        <w:t>income</w:t>
      </w:r>
      <w:r w:rsidRPr="00EE5714">
        <w:rPr>
          <w:rFonts w:ascii="Times New Roman" w:hAnsi="Times New Roman" w:cs="Times New Roman"/>
          <w:sz w:val="26"/>
          <w:szCs w:val="26"/>
        </w:rPr>
        <w:t xml:space="preserve"> to pay the utility’s CAP minimum payment amount.  Thus, it is not mathematically possible for </w:t>
      </w:r>
      <w:r w:rsidR="00B253E1" w:rsidRPr="00EE5714">
        <w:rPr>
          <w:rFonts w:ascii="Times New Roman" w:hAnsi="Times New Roman" w:cs="Times New Roman"/>
          <w:sz w:val="26"/>
          <w:szCs w:val="26"/>
        </w:rPr>
        <w:t>zero-income</w:t>
      </w:r>
      <w:r w:rsidRPr="00EE5714">
        <w:rPr>
          <w:rFonts w:ascii="Times New Roman" w:hAnsi="Times New Roman" w:cs="Times New Roman"/>
          <w:sz w:val="26"/>
          <w:szCs w:val="26"/>
        </w:rPr>
        <w:t xml:space="preserve"> customers to receive bills below the maximum energy burden guidelines in the CAP Policy Statement because any billed amount will exceed 100% of their household income. </w:t>
      </w:r>
      <w:r w:rsidR="00B54D35" w:rsidRPr="00EE5714">
        <w:rPr>
          <w:rFonts w:ascii="Times New Roman" w:hAnsi="Times New Roman" w:cs="Times New Roman"/>
          <w:sz w:val="26"/>
          <w:szCs w:val="26"/>
        </w:rPr>
        <w:t xml:space="preserve"> </w:t>
      </w:r>
      <w:r w:rsidR="00E8472A" w:rsidRPr="00EE5714">
        <w:rPr>
          <w:rFonts w:ascii="Times New Roman" w:hAnsi="Times New Roman" w:cs="Times New Roman"/>
          <w:sz w:val="26"/>
          <w:szCs w:val="26"/>
        </w:rPr>
        <w:t xml:space="preserve">There is some question regarding </w:t>
      </w:r>
      <w:proofErr w:type="gramStart"/>
      <w:r w:rsidR="00CA0462" w:rsidRPr="00EE5714">
        <w:rPr>
          <w:rFonts w:ascii="Times New Roman" w:hAnsi="Times New Roman" w:cs="Times New Roman"/>
          <w:sz w:val="26"/>
          <w:szCs w:val="26"/>
        </w:rPr>
        <w:t>whether or not</w:t>
      </w:r>
      <w:proofErr w:type="gramEnd"/>
      <w:r w:rsidR="00CA0462" w:rsidRPr="00EE5714">
        <w:rPr>
          <w:rFonts w:ascii="Times New Roman" w:hAnsi="Times New Roman" w:cs="Times New Roman"/>
          <w:sz w:val="26"/>
          <w:szCs w:val="26"/>
        </w:rPr>
        <w:t xml:space="preserve"> </w:t>
      </w:r>
      <w:r w:rsidR="00B4428F" w:rsidRPr="00EE5714">
        <w:rPr>
          <w:rFonts w:ascii="Times New Roman" w:hAnsi="Times New Roman" w:cs="Times New Roman"/>
          <w:sz w:val="26"/>
          <w:szCs w:val="26"/>
        </w:rPr>
        <w:t>the utilities</w:t>
      </w:r>
      <w:r w:rsidR="00CA0462" w:rsidRPr="00EE5714">
        <w:rPr>
          <w:rFonts w:ascii="Times New Roman" w:hAnsi="Times New Roman" w:cs="Times New Roman"/>
          <w:sz w:val="26"/>
          <w:szCs w:val="26"/>
        </w:rPr>
        <w:t xml:space="preserve"> treated </w:t>
      </w:r>
      <w:r w:rsidR="00B4428F" w:rsidRPr="00EE5714">
        <w:rPr>
          <w:rFonts w:ascii="Times New Roman" w:hAnsi="Times New Roman" w:cs="Times New Roman"/>
          <w:sz w:val="26"/>
          <w:szCs w:val="26"/>
        </w:rPr>
        <w:t xml:space="preserve">the </w:t>
      </w:r>
      <w:r w:rsidR="00B253E1" w:rsidRPr="00EE5714">
        <w:rPr>
          <w:rFonts w:ascii="Times New Roman" w:hAnsi="Times New Roman" w:cs="Times New Roman"/>
          <w:sz w:val="26"/>
          <w:szCs w:val="26"/>
        </w:rPr>
        <w:t>zero-income</w:t>
      </w:r>
      <w:r w:rsidR="00B4428F" w:rsidRPr="00EE5714">
        <w:rPr>
          <w:rFonts w:ascii="Times New Roman" w:hAnsi="Times New Roman" w:cs="Times New Roman"/>
          <w:sz w:val="26"/>
          <w:szCs w:val="26"/>
        </w:rPr>
        <w:t xml:space="preserve"> customers consistently when reporting data</w:t>
      </w:r>
      <w:r w:rsidR="00CA7C23" w:rsidRPr="00EE5714">
        <w:rPr>
          <w:rFonts w:ascii="Times New Roman" w:hAnsi="Times New Roman" w:cs="Times New Roman"/>
          <w:sz w:val="26"/>
          <w:szCs w:val="26"/>
        </w:rPr>
        <w:t xml:space="preserve"> for this study.</w:t>
      </w:r>
      <w:r w:rsidR="00CA0462"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 </w:t>
      </w:r>
    </w:p>
    <w:p w14:paraId="5BBCBA51" w14:textId="77777777" w:rsidR="00516929" w:rsidRPr="00EE5714" w:rsidRDefault="00516929" w:rsidP="00516929">
      <w:pPr>
        <w:spacing w:after="0" w:line="240" w:lineRule="auto"/>
        <w:ind w:firstLine="720"/>
        <w:rPr>
          <w:rFonts w:ascii="Times New Roman" w:hAnsi="Times New Roman" w:cs="Times New Roman"/>
          <w:sz w:val="26"/>
          <w:szCs w:val="26"/>
        </w:rPr>
      </w:pPr>
    </w:p>
    <w:p w14:paraId="72448F43" w14:textId="77777777" w:rsidR="008F31D3" w:rsidRPr="00EE5714" w:rsidRDefault="00516929" w:rsidP="00516929">
      <w:pPr>
        <w:spacing w:after="0" w:line="240" w:lineRule="auto"/>
        <w:ind w:firstLine="720"/>
        <w:rPr>
          <w:rFonts w:ascii="Times New Roman" w:hAnsi="Times New Roman" w:cs="Times New Roman"/>
          <w:sz w:val="26"/>
          <w:szCs w:val="26"/>
        </w:rPr>
      </w:pPr>
      <w:bookmarkStart w:id="16" w:name="_Hlk525824375"/>
      <w:r w:rsidRPr="00EE5714">
        <w:rPr>
          <w:rFonts w:ascii="Times New Roman" w:hAnsi="Times New Roman" w:cs="Times New Roman"/>
          <w:sz w:val="26"/>
          <w:szCs w:val="26"/>
        </w:rPr>
        <w:t>PPL reported system issues that required it to reconstruct all data prior to 2016</w:t>
      </w:r>
      <w:r w:rsidR="00C71E40" w:rsidRPr="00EE5714">
        <w:rPr>
          <w:rFonts w:ascii="Times New Roman" w:hAnsi="Times New Roman" w:cs="Times New Roman"/>
          <w:sz w:val="26"/>
          <w:szCs w:val="26"/>
        </w:rPr>
        <w:t xml:space="preserve"> for several of the requested data points</w:t>
      </w:r>
      <w:r w:rsidRPr="00EE5714">
        <w:rPr>
          <w:rFonts w:ascii="Times New Roman" w:hAnsi="Times New Roman" w:cs="Times New Roman"/>
          <w:sz w:val="26"/>
          <w:szCs w:val="26"/>
        </w:rPr>
        <w:t xml:space="preserve">.  Thus, all PPL data for </w:t>
      </w:r>
      <w:r w:rsidR="001F5B43" w:rsidRPr="00EE5714">
        <w:rPr>
          <w:rFonts w:ascii="Times New Roman" w:hAnsi="Times New Roman" w:cs="Times New Roman"/>
          <w:sz w:val="26"/>
          <w:szCs w:val="26"/>
        </w:rPr>
        <w:t xml:space="preserve">the energy burden calculations </w:t>
      </w:r>
      <w:r w:rsidR="008F31D3" w:rsidRPr="00EE5714">
        <w:rPr>
          <w:rFonts w:ascii="Times New Roman" w:hAnsi="Times New Roman" w:cs="Times New Roman"/>
          <w:sz w:val="26"/>
          <w:szCs w:val="26"/>
        </w:rPr>
        <w:t xml:space="preserve">in </w:t>
      </w:r>
      <w:r w:rsidRPr="00EE5714">
        <w:rPr>
          <w:rFonts w:ascii="Times New Roman" w:hAnsi="Times New Roman" w:cs="Times New Roman"/>
          <w:sz w:val="26"/>
          <w:szCs w:val="26"/>
        </w:rPr>
        <w:t>2012</w:t>
      </w:r>
      <w:r w:rsidR="008F31D3" w:rsidRPr="00EE5714">
        <w:rPr>
          <w:rFonts w:ascii="Times New Roman" w:hAnsi="Times New Roman" w:cs="Times New Roman"/>
          <w:sz w:val="26"/>
          <w:szCs w:val="26"/>
        </w:rPr>
        <w:t xml:space="preserve"> to </w:t>
      </w:r>
      <w:r w:rsidRPr="00EE5714">
        <w:rPr>
          <w:rFonts w:ascii="Times New Roman" w:hAnsi="Times New Roman" w:cs="Times New Roman"/>
          <w:sz w:val="26"/>
          <w:szCs w:val="26"/>
        </w:rPr>
        <w:t>2015 should be considered estimates.</w:t>
      </w:r>
    </w:p>
    <w:p w14:paraId="4B38F560" w14:textId="77777777" w:rsidR="008F31D3" w:rsidRPr="00EE5714" w:rsidRDefault="008F31D3" w:rsidP="00516929">
      <w:pPr>
        <w:spacing w:after="0" w:line="240" w:lineRule="auto"/>
        <w:ind w:firstLine="720"/>
        <w:rPr>
          <w:rFonts w:ascii="Times New Roman" w:hAnsi="Times New Roman" w:cs="Times New Roman"/>
          <w:sz w:val="26"/>
          <w:szCs w:val="26"/>
        </w:rPr>
      </w:pPr>
    </w:p>
    <w:p w14:paraId="632A3D6A" w14:textId="77777777" w:rsidR="00516929" w:rsidRPr="00EE5714" w:rsidRDefault="008F31D3"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PECO</w:t>
      </w:r>
      <w:r w:rsidR="009D21D8" w:rsidRPr="00EE5714">
        <w:rPr>
          <w:rFonts w:ascii="Times New Roman" w:hAnsi="Times New Roman" w:cs="Times New Roman"/>
          <w:sz w:val="26"/>
          <w:szCs w:val="26"/>
        </w:rPr>
        <w:t xml:space="preserve"> originally reported </w:t>
      </w:r>
      <w:r w:rsidR="00C8233B" w:rsidRPr="00EE5714">
        <w:rPr>
          <w:rFonts w:ascii="Times New Roman" w:hAnsi="Times New Roman" w:cs="Times New Roman"/>
          <w:sz w:val="26"/>
          <w:szCs w:val="26"/>
        </w:rPr>
        <w:t xml:space="preserve">combined </w:t>
      </w:r>
      <w:r w:rsidR="009D21D8" w:rsidRPr="00EE5714">
        <w:rPr>
          <w:rFonts w:ascii="Times New Roman" w:hAnsi="Times New Roman" w:cs="Times New Roman"/>
          <w:sz w:val="26"/>
          <w:szCs w:val="26"/>
        </w:rPr>
        <w:t>data for all three customer types, electric heating, electric non-</w:t>
      </w:r>
      <w:proofErr w:type="gramStart"/>
      <w:r w:rsidR="009D21D8" w:rsidRPr="00EE5714">
        <w:rPr>
          <w:rFonts w:ascii="Times New Roman" w:hAnsi="Times New Roman" w:cs="Times New Roman"/>
          <w:sz w:val="26"/>
          <w:szCs w:val="26"/>
        </w:rPr>
        <w:t>heating</w:t>
      </w:r>
      <w:proofErr w:type="gramEnd"/>
      <w:r w:rsidR="009D21D8" w:rsidRPr="00EE5714">
        <w:rPr>
          <w:rFonts w:ascii="Times New Roman" w:hAnsi="Times New Roman" w:cs="Times New Roman"/>
          <w:sz w:val="26"/>
          <w:szCs w:val="26"/>
        </w:rPr>
        <w:t xml:space="preserve"> and gas </w:t>
      </w:r>
      <w:r w:rsidR="006557E3" w:rsidRPr="00EE5714">
        <w:rPr>
          <w:rFonts w:ascii="Times New Roman" w:hAnsi="Times New Roman" w:cs="Times New Roman"/>
          <w:sz w:val="26"/>
          <w:szCs w:val="26"/>
        </w:rPr>
        <w:t>heating</w:t>
      </w:r>
      <w:r w:rsidR="00C8233B" w:rsidRPr="00EE5714">
        <w:rPr>
          <w:rFonts w:ascii="Times New Roman" w:hAnsi="Times New Roman" w:cs="Times New Roman"/>
          <w:sz w:val="26"/>
          <w:szCs w:val="26"/>
        </w:rPr>
        <w:t xml:space="preserve">. </w:t>
      </w:r>
      <w:r w:rsidR="00433432" w:rsidRPr="00EE5714">
        <w:rPr>
          <w:rFonts w:ascii="Times New Roman" w:hAnsi="Times New Roman" w:cs="Times New Roman"/>
          <w:sz w:val="26"/>
          <w:szCs w:val="26"/>
        </w:rPr>
        <w:t xml:space="preserve"> </w:t>
      </w:r>
      <w:r w:rsidR="00C8233B" w:rsidRPr="00EE5714">
        <w:rPr>
          <w:rFonts w:ascii="Times New Roman" w:hAnsi="Times New Roman" w:cs="Times New Roman"/>
          <w:sz w:val="26"/>
          <w:szCs w:val="26"/>
        </w:rPr>
        <w:t xml:space="preserve">PECO was instructed to separate </w:t>
      </w:r>
      <w:r w:rsidR="00383984" w:rsidRPr="00EE5714">
        <w:rPr>
          <w:rFonts w:ascii="Times New Roman" w:hAnsi="Times New Roman" w:cs="Times New Roman"/>
          <w:sz w:val="26"/>
          <w:szCs w:val="26"/>
        </w:rPr>
        <w:t xml:space="preserve">electric from gas but had to apply an allocation percentage to separate the dual-enrolled customers. </w:t>
      </w:r>
      <w:r w:rsidR="00433432" w:rsidRPr="00EE5714">
        <w:rPr>
          <w:rFonts w:ascii="Times New Roman" w:hAnsi="Times New Roman" w:cs="Times New Roman"/>
          <w:sz w:val="26"/>
          <w:szCs w:val="26"/>
        </w:rPr>
        <w:t xml:space="preserve"> </w:t>
      </w:r>
      <w:r w:rsidR="00383984" w:rsidRPr="00EE5714">
        <w:rPr>
          <w:rFonts w:ascii="Times New Roman" w:hAnsi="Times New Roman" w:cs="Times New Roman"/>
          <w:sz w:val="26"/>
          <w:szCs w:val="26"/>
        </w:rPr>
        <w:t xml:space="preserve">PECO used actual 2016 data, but the </w:t>
      </w:r>
      <w:r w:rsidR="00BA6024" w:rsidRPr="00EE5714">
        <w:rPr>
          <w:rFonts w:ascii="Times New Roman" w:hAnsi="Times New Roman" w:cs="Times New Roman"/>
          <w:sz w:val="26"/>
          <w:szCs w:val="26"/>
        </w:rPr>
        <w:t>2012</w:t>
      </w:r>
      <w:r w:rsidR="00CC73B1" w:rsidRPr="00EE5714">
        <w:rPr>
          <w:rFonts w:ascii="Times New Roman" w:hAnsi="Times New Roman" w:cs="Times New Roman"/>
          <w:sz w:val="26"/>
          <w:szCs w:val="26"/>
        </w:rPr>
        <w:t xml:space="preserve"> to </w:t>
      </w:r>
      <w:r w:rsidR="00383984" w:rsidRPr="00EE5714">
        <w:rPr>
          <w:rFonts w:ascii="Times New Roman" w:hAnsi="Times New Roman" w:cs="Times New Roman"/>
          <w:sz w:val="26"/>
          <w:szCs w:val="26"/>
        </w:rPr>
        <w:t>2015</w:t>
      </w:r>
      <w:r w:rsidR="00BA6024" w:rsidRPr="00EE5714">
        <w:rPr>
          <w:rFonts w:ascii="Times New Roman" w:hAnsi="Times New Roman" w:cs="Times New Roman"/>
          <w:sz w:val="26"/>
          <w:szCs w:val="26"/>
        </w:rPr>
        <w:t xml:space="preserve"> data</w:t>
      </w:r>
      <w:r w:rsidR="006557E3" w:rsidRPr="00EE5714">
        <w:rPr>
          <w:rFonts w:ascii="Times New Roman" w:hAnsi="Times New Roman" w:cs="Times New Roman"/>
          <w:sz w:val="26"/>
          <w:szCs w:val="26"/>
        </w:rPr>
        <w:t xml:space="preserve"> </w:t>
      </w:r>
      <w:r w:rsidR="00CC73B1" w:rsidRPr="00EE5714">
        <w:rPr>
          <w:rFonts w:ascii="Times New Roman" w:hAnsi="Times New Roman" w:cs="Times New Roman"/>
          <w:sz w:val="26"/>
          <w:szCs w:val="26"/>
        </w:rPr>
        <w:t xml:space="preserve">had to be estimated. </w:t>
      </w:r>
      <w:r w:rsidR="006557E3" w:rsidRPr="00EE5714">
        <w:rPr>
          <w:rFonts w:ascii="Times New Roman" w:hAnsi="Times New Roman" w:cs="Times New Roman"/>
          <w:sz w:val="26"/>
          <w:szCs w:val="26"/>
        </w:rPr>
        <w:t xml:space="preserve"> </w:t>
      </w:r>
      <w:r w:rsidR="00516929" w:rsidRPr="00EE5714">
        <w:rPr>
          <w:rFonts w:ascii="Times New Roman" w:hAnsi="Times New Roman" w:cs="Times New Roman"/>
          <w:sz w:val="26"/>
          <w:szCs w:val="26"/>
        </w:rPr>
        <w:t xml:space="preserve">  </w:t>
      </w:r>
    </w:p>
    <w:bookmarkEnd w:id="16"/>
    <w:p w14:paraId="6682E7AB" w14:textId="77777777" w:rsidR="00516929" w:rsidRPr="00EE5714" w:rsidRDefault="00516929" w:rsidP="00516929">
      <w:pPr>
        <w:spacing w:after="0" w:line="240" w:lineRule="auto"/>
        <w:ind w:firstLine="720"/>
        <w:rPr>
          <w:rFonts w:ascii="Times New Roman" w:hAnsi="Times New Roman" w:cs="Times New Roman"/>
          <w:sz w:val="26"/>
          <w:szCs w:val="26"/>
        </w:rPr>
      </w:pPr>
    </w:p>
    <w:p w14:paraId="46FE74FF" w14:textId="77777777" w:rsidR="00516929" w:rsidRPr="00EE5714" w:rsidRDefault="00516929" w:rsidP="00516929">
      <w:pPr>
        <w:spacing w:after="0" w:line="240" w:lineRule="auto"/>
        <w:ind w:firstLine="720"/>
        <w:rPr>
          <w:rFonts w:ascii="Times New Roman" w:hAnsi="Times New Roman" w:cs="Times New Roman"/>
          <w:sz w:val="26"/>
          <w:szCs w:val="26"/>
        </w:rPr>
      </w:pPr>
      <w:bookmarkStart w:id="17" w:name="_Hlk525824419"/>
      <w:r w:rsidRPr="00EE5714">
        <w:rPr>
          <w:rFonts w:ascii="Times New Roman" w:hAnsi="Times New Roman" w:cs="Times New Roman"/>
          <w:sz w:val="26"/>
          <w:szCs w:val="26"/>
        </w:rPr>
        <w:t xml:space="preserve">NFG could not provide its data broken down by </w:t>
      </w:r>
      <w:r w:rsidR="00D43E26" w:rsidRPr="00EE5714">
        <w:rPr>
          <w:rFonts w:ascii="Times New Roman" w:hAnsi="Times New Roman" w:cs="Times New Roman"/>
          <w:sz w:val="26"/>
          <w:szCs w:val="26"/>
        </w:rPr>
        <w:t>FPIG level</w:t>
      </w:r>
      <w:r w:rsidRPr="00EE5714">
        <w:rPr>
          <w:rFonts w:ascii="Times New Roman" w:hAnsi="Times New Roman" w:cs="Times New Roman"/>
          <w:sz w:val="26"/>
          <w:szCs w:val="26"/>
        </w:rPr>
        <w:t xml:space="preserve">, </w:t>
      </w:r>
      <w:bookmarkEnd w:id="17"/>
      <w:r w:rsidRPr="00EE5714">
        <w:rPr>
          <w:rFonts w:ascii="Times New Roman" w:hAnsi="Times New Roman" w:cs="Times New Roman"/>
          <w:sz w:val="26"/>
          <w:szCs w:val="26"/>
        </w:rPr>
        <w:t>so</w:t>
      </w:r>
      <w:r w:rsidR="0045098F"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staff did not include NFG in the analysis of NGDC average energy burdens at different </w:t>
      </w:r>
      <w:r w:rsidR="00007AF6" w:rsidRPr="00EE5714">
        <w:rPr>
          <w:rFonts w:ascii="Times New Roman" w:hAnsi="Times New Roman" w:cs="Times New Roman"/>
          <w:sz w:val="26"/>
          <w:szCs w:val="26"/>
        </w:rPr>
        <w:t>FPIG</w:t>
      </w:r>
      <w:r w:rsidRPr="00EE5714">
        <w:rPr>
          <w:rFonts w:ascii="Times New Roman" w:hAnsi="Times New Roman" w:cs="Times New Roman"/>
          <w:sz w:val="26"/>
          <w:szCs w:val="26"/>
        </w:rPr>
        <w:t xml:space="preserve"> levels</w:t>
      </w:r>
      <w:r w:rsidR="008F31D3" w:rsidRPr="00EE5714">
        <w:rPr>
          <w:rFonts w:ascii="Times New Roman" w:hAnsi="Times New Roman" w:cs="Times New Roman"/>
          <w:sz w:val="26"/>
          <w:szCs w:val="26"/>
        </w:rPr>
        <w:t>, and only included NFG in the aggregate analysis</w:t>
      </w:r>
      <w:r w:rsidRPr="00EE5714">
        <w:rPr>
          <w:rFonts w:ascii="Times New Roman" w:hAnsi="Times New Roman" w:cs="Times New Roman"/>
          <w:sz w:val="26"/>
          <w:szCs w:val="26"/>
        </w:rPr>
        <w:t>.</w:t>
      </w:r>
    </w:p>
    <w:p w14:paraId="2ADB275D" w14:textId="77777777" w:rsidR="00516929" w:rsidRPr="00EE5714" w:rsidRDefault="00516929" w:rsidP="00516929">
      <w:pPr>
        <w:spacing w:after="0" w:line="240" w:lineRule="auto"/>
        <w:rPr>
          <w:rFonts w:ascii="Times New Roman" w:hAnsi="Times New Roman" w:cs="Times New Roman"/>
          <w:sz w:val="26"/>
          <w:szCs w:val="26"/>
        </w:rPr>
      </w:pPr>
    </w:p>
    <w:p w14:paraId="3481F4A0" w14:textId="77777777" w:rsidR="00516929" w:rsidRPr="00EE5714" w:rsidRDefault="00516929" w:rsidP="00516929">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 xml:space="preserve">As noted above, the utilities do not have income levels for the CLI customers so the CLI aspect of this </w:t>
      </w:r>
      <w:r w:rsidR="00DD3604" w:rsidRPr="00EE5714">
        <w:rPr>
          <w:rFonts w:ascii="Times New Roman" w:hAnsi="Times New Roman" w:cs="Times New Roman"/>
          <w:sz w:val="26"/>
          <w:szCs w:val="26"/>
        </w:rPr>
        <w:t xml:space="preserve">study </w:t>
      </w:r>
      <w:r w:rsidRPr="00EE5714">
        <w:rPr>
          <w:rFonts w:ascii="Times New Roman" w:hAnsi="Times New Roman" w:cs="Times New Roman"/>
          <w:sz w:val="26"/>
          <w:szCs w:val="26"/>
        </w:rPr>
        <w:t>has been eliminated.</w:t>
      </w:r>
    </w:p>
    <w:p w14:paraId="78926FCB" w14:textId="77777777" w:rsidR="00516929" w:rsidRPr="00EE5714" w:rsidRDefault="00516929" w:rsidP="00516929">
      <w:pPr>
        <w:spacing w:after="0" w:line="240" w:lineRule="auto"/>
        <w:rPr>
          <w:rFonts w:ascii="Times New Roman" w:hAnsi="Times New Roman" w:cs="Times New Roman"/>
          <w:sz w:val="26"/>
          <w:szCs w:val="26"/>
        </w:rPr>
      </w:pPr>
    </w:p>
    <w:p w14:paraId="24D7BE80" w14:textId="77777777" w:rsidR="00516929" w:rsidRPr="00EE5714" w:rsidRDefault="00516929" w:rsidP="00037448">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Analysis</w:t>
      </w:r>
    </w:p>
    <w:p w14:paraId="03B402CE" w14:textId="77777777" w:rsidR="00516929" w:rsidRPr="00EE5714" w:rsidRDefault="00516929" w:rsidP="00516929">
      <w:pPr>
        <w:keepNext/>
        <w:spacing w:after="0" w:line="240" w:lineRule="auto"/>
        <w:jc w:val="center"/>
        <w:rPr>
          <w:rFonts w:ascii="Times New Roman" w:hAnsi="Times New Roman" w:cs="Times New Roman"/>
          <w:sz w:val="26"/>
          <w:szCs w:val="26"/>
        </w:rPr>
      </w:pPr>
    </w:p>
    <w:p w14:paraId="2BDC4532" w14:textId="77777777" w:rsidR="00516929" w:rsidRPr="00EE5714" w:rsidRDefault="002E70A4" w:rsidP="00037448">
      <w:pPr>
        <w:keepNext/>
        <w:spacing w:after="0" w:line="240" w:lineRule="auto"/>
        <w:jc w:val="both"/>
        <w:rPr>
          <w:rFonts w:ascii="Times New Roman" w:hAnsi="Times New Roman" w:cs="Times New Roman"/>
          <w:i/>
          <w:iCs/>
          <w:sz w:val="26"/>
          <w:szCs w:val="26"/>
        </w:rPr>
      </w:pPr>
      <w:bookmarkStart w:id="18" w:name="_Hlk524354073"/>
      <w:r w:rsidRPr="00EE5714">
        <w:rPr>
          <w:rFonts w:ascii="Times New Roman" w:hAnsi="Times New Roman" w:cs="Times New Roman"/>
          <w:i/>
          <w:iCs/>
          <w:sz w:val="26"/>
          <w:szCs w:val="26"/>
        </w:rPr>
        <w:t xml:space="preserve">Non-CAP </w:t>
      </w:r>
      <w:r w:rsidR="00516929" w:rsidRPr="00EE5714">
        <w:rPr>
          <w:rFonts w:ascii="Times New Roman" w:hAnsi="Times New Roman" w:cs="Times New Roman"/>
          <w:i/>
          <w:iCs/>
          <w:sz w:val="26"/>
          <w:szCs w:val="26"/>
        </w:rPr>
        <w:t>Residential NGDC and EDC Customers</w:t>
      </w:r>
    </w:p>
    <w:p w14:paraId="3C575705" w14:textId="77777777" w:rsidR="00516929" w:rsidRPr="00EE5714" w:rsidRDefault="00516929" w:rsidP="00516929">
      <w:pPr>
        <w:keepNext/>
        <w:spacing w:after="0" w:line="240" w:lineRule="auto"/>
        <w:jc w:val="both"/>
        <w:rPr>
          <w:rFonts w:ascii="Times New Roman" w:hAnsi="Times New Roman" w:cs="Times New Roman"/>
          <w:i/>
          <w:sz w:val="26"/>
          <w:szCs w:val="26"/>
        </w:rPr>
      </w:pPr>
    </w:p>
    <w:p w14:paraId="7DB23C12"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The </w:t>
      </w:r>
      <w:r w:rsidR="00D80DFE" w:rsidRPr="00EE5714">
        <w:rPr>
          <w:rFonts w:ascii="Times New Roman" w:hAnsi="Times New Roman" w:cs="Times New Roman"/>
          <w:sz w:val="26"/>
          <w:szCs w:val="26"/>
        </w:rPr>
        <w:t xml:space="preserve">non-CAP </w:t>
      </w:r>
      <w:r w:rsidRPr="00EE5714">
        <w:rPr>
          <w:rFonts w:ascii="Times New Roman" w:hAnsi="Times New Roman" w:cs="Times New Roman"/>
          <w:sz w:val="26"/>
          <w:szCs w:val="26"/>
        </w:rPr>
        <w:t xml:space="preserve">residential data show that the average energy burden for residential customers </w:t>
      </w:r>
      <w:r w:rsidR="001E226A" w:rsidRPr="00EE5714">
        <w:rPr>
          <w:rFonts w:ascii="Times New Roman" w:hAnsi="Times New Roman" w:cs="Times New Roman"/>
          <w:sz w:val="26"/>
          <w:szCs w:val="26"/>
        </w:rPr>
        <w:t>wa</w:t>
      </w:r>
      <w:r w:rsidRPr="00EE5714">
        <w:rPr>
          <w:rFonts w:ascii="Times New Roman" w:hAnsi="Times New Roman" w:cs="Times New Roman"/>
          <w:sz w:val="26"/>
          <w:szCs w:val="26"/>
        </w:rPr>
        <w:t xml:space="preserve">s approximately 4% for combined gas heating and electric </w:t>
      </w:r>
      <w:r w:rsidR="0032268E" w:rsidRPr="00EE5714">
        <w:rPr>
          <w:rFonts w:ascii="Times New Roman" w:hAnsi="Times New Roman" w:cs="Times New Roman"/>
          <w:sz w:val="26"/>
          <w:szCs w:val="26"/>
        </w:rPr>
        <w:t xml:space="preserve">non-heating </w:t>
      </w:r>
      <w:r w:rsidRPr="00EE5714">
        <w:rPr>
          <w:rFonts w:ascii="Times New Roman" w:hAnsi="Times New Roman" w:cs="Times New Roman"/>
          <w:sz w:val="26"/>
          <w:szCs w:val="26"/>
        </w:rPr>
        <w:t>(</w:t>
      </w:r>
      <w:r w:rsidRPr="00EE5714">
        <w:rPr>
          <w:rFonts w:ascii="Times New Roman" w:hAnsi="Times New Roman" w:cs="Times New Roman"/>
          <w:i/>
          <w:iCs/>
          <w:sz w:val="26"/>
          <w:szCs w:val="26"/>
        </w:rPr>
        <w:t>i.e.</w:t>
      </w:r>
      <w:r w:rsidRPr="00EE5714">
        <w:rPr>
          <w:rFonts w:ascii="Times New Roman" w:hAnsi="Times New Roman" w:cs="Times New Roman"/>
          <w:sz w:val="26"/>
          <w:szCs w:val="26"/>
        </w:rPr>
        <w:t>, 2%</w:t>
      </w:r>
      <w:r w:rsidR="000C623A" w:rsidRPr="00EE5714">
        <w:rPr>
          <w:rFonts w:ascii="Times New Roman" w:hAnsi="Times New Roman" w:cs="Times New Roman"/>
          <w:sz w:val="26"/>
          <w:szCs w:val="26"/>
        </w:rPr>
        <w:t> </w:t>
      </w:r>
      <w:r w:rsidRPr="00EE5714">
        <w:rPr>
          <w:rFonts w:ascii="Times New Roman" w:hAnsi="Times New Roman" w:cs="Times New Roman"/>
          <w:sz w:val="26"/>
          <w:szCs w:val="26"/>
        </w:rPr>
        <w:t xml:space="preserve">for </w:t>
      </w:r>
      <w:r w:rsidR="0032268E" w:rsidRPr="00EE5714">
        <w:rPr>
          <w:rFonts w:ascii="Times New Roman" w:hAnsi="Times New Roman" w:cs="Times New Roman"/>
          <w:sz w:val="26"/>
          <w:szCs w:val="26"/>
        </w:rPr>
        <w:t>each</w:t>
      </w:r>
      <w:r w:rsidRPr="00EE5714">
        <w:rPr>
          <w:rFonts w:ascii="Times New Roman" w:hAnsi="Times New Roman" w:cs="Times New Roman"/>
          <w:sz w:val="26"/>
          <w:szCs w:val="26"/>
        </w:rPr>
        <w:t>) and 4% for electric heat</w:t>
      </w:r>
      <w:r w:rsidR="0032268E" w:rsidRPr="00EE5714">
        <w:rPr>
          <w:rFonts w:ascii="Times New Roman" w:hAnsi="Times New Roman" w:cs="Times New Roman"/>
          <w:sz w:val="26"/>
          <w:szCs w:val="26"/>
        </w:rPr>
        <w:t>ing</w:t>
      </w:r>
      <w:r w:rsidRPr="00EE5714">
        <w:rPr>
          <w:rFonts w:ascii="Times New Roman" w:hAnsi="Times New Roman" w:cs="Times New Roman"/>
          <w:sz w:val="26"/>
          <w:szCs w:val="26"/>
        </w:rPr>
        <w:t xml:space="preserve">.  These data can be found in Appendix </w:t>
      </w:r>
      <w:r w:rsidR="00B261D0" w:rsidRPr="00EE5714">
        <w:rPr>
          <w:rFonts w:ascii="Times New Roman" w:hAnsi="Times New Roman" w:cs="Times New Roman"/>
          <w:sz w:val="26"/>
          <w:szCs w:val="26"/>
        </w:rPr>
        <w:t>1</w:t>
      </w:r>
      <w:r w:rsidR="002A3C67" w:rsidRPr="00EE5714">
        <w:rPr>
          <w:rFonts w:ascii="Times New Roman" w:hAnsi="Times New Roman" w:cs="Times New Roman"/>
          <w:sz w:val="26"/>
          <w:szCs w:val="26"/>
        </w:rPr>
        <w:t>.A</w:t>
      </w:r>
      <w:r w:rsidR="008C413B" w:rsidRPr="00EE5714">
        <w:rPr>
          <w:rFonts w:ascii="Times New Roman" w:hAnsi="Times New Roman" w:cs="Times New Roman"/>
          <w:sz w:val="26"/>
          <w:szCs w:val="26"/>
        </w:rPr>
        <w:t>:</w:t>
      </w:r>
      <w:r w:rsidR="00696937" w:rsidRPr="00EE5714">
        <w:rPr>
          <w:rFonts w:ascii="Times New Roman" w:hAnsi="Times New Roman" w:cs="Times New Roman"/>
          <w:i/>
          <w:iCs/>
          <w:sz w:val="26"/>
          <w:szCs w:val="26"/>
        </w:rPr>
        <w:t xml:space="preserve"> Non-CAP Residential NGDC and EDC Average Energy Burdens</w:t>
      </w:r>
      <w:r w:rsidRPr="00EE5714">
        <w:rPr>
          <w:rFonts w:ascii="Times New Roman" w:hAnsi="Times New Roman" w:cs="Times New Roman"/>
          <w:sz w:val="26"/>
          <w:szCs w:val="26"/>
        </w:rPr>
        <w:t xml:space="preserve">.  For the residential categories, the averages did not vary widely throughout the years of the study or among the utilities and remained relatively consistent for the non-CAP residential customers. </w:t>
      </w:r>
    </w:p>
    <w:p w14:paraId="39B775E7" w14:textId="77777777" w:rsidR="00516929" w:rsidRPr="00EE5714" w:rsidRDefault="00516929" w:rsidP="00516929">
      <w:pPr>
        <w:spacing w:after="0" w:line="240" w:lineRule="auto"/>
        <w:jc w:val="both"/>
        <w:rPr>
          <w:rFonts w:ascii="Times New Roman" w:hAnsi="Times New Roman" w:cs="Times New Roman"/>
          <w:i/>
          <w:sz w:val="26"/>
          <w:szCs w:val="26"/>
        </w:rPr>
      </w:pPr>
    </w:p>
    <w:p w14:paraId="4E32E008" w14:textId="77777777" w:rsidR="00516929" w:rsidRPr="00EE5714" w:rsidRDefault="00516929" w:rsidP="00421F0C">
      <w:pPr>
        <w:keepNext/>
        <w:spacing w:after="0" w:line="240" w:lineRule="auto"/>
        <w:jc w:val="both"/>
        <w:rPr>
          <w:rFonts w:ascii="Times New Roman" w:hAnsi="Times New Roman" w:cs="Times New Roman"/>
          <w:i/>
          <w:sz w:val="26"/>
          <w:szCs w:val="26"/>
        </w:rPr>
      </w:pPr>
      <w:bookmarkStart w:id="19" w:name="_Hlk524596117"/>
      <w:r w:rsidRPr="00EE5714">
        <w:rPr>
          <w:rFonts w:ascii="Times New Roman" w:hAnsi="Times New Roman" w:cs="Times New Roman"/>
          <w:i/>
          <w:iCs/>
          <w:sz w:val="26"/>
          <w:szCs w:val="26"/>
        </w:rPr>
        <w:lastRenderedPageBreak/>
        <w:t>NGDC CAP Customers</w:t>
      </w:r>
      <w:r w:rsidR="00452828" w:rsidRPr="00EE5714">
        <w:rPr>
          <w:rStyle w:val="FootnoteReference"/>
          <w:rFonts w:ascii="Times New Roman" w:hAnsi="Times New Roman" w:cs="Times New Roman"/>
          <w:i/>
          <w:iCs/>
          <w:sz w:val="26"/>
          <w:szCs w:val="26"/>
        </w:rPr>
        <w:footnoteReference w:id="30"/>
      </w:r>
    </w:p>
    <w:bookmarkEnd w:id="18"/>
    <w:bookmarkEnd w:id="19"/>
    <w:p w14:paraId="10C966D4" w14:textId="77777777" w:rsidR="00516929" w:rsidRPr="00EE5714" w:rsidRDefault="00516929" w:rsidP="00516929">
      <w:pPr>
        <w:keepNext/>
        <w:spacing w:after="0" w:line="240" w:lineRule="auto"/>
        <w:ind w:firstLine="720"/>
        <w:rPr>
          <w:rFonts w:ascii="Times New Roman" w:hAnsi="Times New Roman" w:cs="Times New Roman"/>
          <w:sz w:val="26"/>
          <w:szCs w:val="26"/>
        </w:rPr>
      </w:pPr>
    </w:p>
    <w:p w14:paraId="197A9747" w14:textId="77777777" w:rsidR="00184739" w:rsidRPr="00EE5714" w:rsidRDefault="00184739" w:rsidP="00184739">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Table 3-3</w:t>
      </w:r>
    </w:p>
    <w:p w14:paraId="0F0A447B" w14:textId="77777777" w:rsidR="00184739" w:rsidRPr="00EE5714" w:rsidRDefault="00184739" w:rsidP="00184739">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NGDC CAP Energy Burden Levels for Heating Customers at</w:t>
      </w:r>
    </w:p>
    <w:p w14:paraId="17F1D351" w14:textId="77777777" w:rsidR="00184739" w:rsidRPr="00EE5714" w:rsidRDefault="00184739" w:rsidP="00184739">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0-50% of FPIG, 2012-2016</w:t>
      </w:r>
    </w:p>
    <w:p w14:paraId="3344797B" w14:textId="77777777" w:rsidR="00184739" w:rsidRPr="00EE5714" w:rsidRDefault="00184739" w:rsidP="006B023D">
      <w:pPr>
        <w:spacing w:after="0" w:line="360" w:lineRule="auto"/>
        <w:jc w:val="center"/>
        <w:rPr>
          <w:rFonts w:ascii="Times New Roman" w:hAnsi="Times New Roman" w:cs="Times New Roman"/>
          <w:sz w:val="26"/>
          <w:szCs w:val="26"/>
        </w:rPr>
      </w:pPr>
      <w:r w:rsidRPr="00EE5714">
        <w:rPr>
          <w:noProof/>
        </w:rPr>
        <w:drawing>
          <wp:inline distT="0" distB="0" distL="0" distR="0" wp14:anchorId="6E71D8F5" wp14:editId="209D1DC0">
            <wp:extent cx="5670778" cy="3810681"/>
            <wp:effectExtent l="0" t="0" r="6350" b="18415"/>
            <wp:docPr id="3" name="Chart 3">
              <a:extLst xmlns:a="http://schemas.openxmlformats.org/drawingml/2006/main">
                <a:ext uri="{FF2B5EF4-FFF2-40B4-BE49-F238E27FC236}">
                  <a16:creationId xmlns:a16="http://schemas.microsoft.com/office/drawing/2014/main" id="{9E62AB10-18C3-4975-9E9E-90BD842AA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F54038" w14:textId="77777777" w:rsidR="00184739" w:rsidRPr="00EE5714" w:rsidRDefault="00184739" w:rsidP="00184739">
      <w:pPr>
        <w:spacing w:after="0" w:line="240" w:lineRule="auto"/>
        <w:rPr>
          <w:rFonts w:ascii="Times New Roman" w:hAnsi="Times New Roman" w:cs="Times New Roman"/>
          <w:sz w:val="26"/>
          <w:szCs w:val="26"/>
        </w:rPr>
      </w:pPr>
    </w:p>
    <w:p w14:paraId="2FAD8AB2"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NGDC CAP customers in the 0-50% FPIG </w:t>
      </w:r>
      <w:r w:rsidR="0071652B" w:rsidRPr="00EE5714">
        <w:rPr>
          <w:rFonts w:ascii="Times New Roman" w:hAnsi="Times New Roman" w:cs="Times New Roman"/>
          <w:sz w:val="26"/>
          <w:szCs w:val="26"/>
        </w:rPr>
        <w:t>level</w:t>
      </w:r>
      <w:r w:rsidRPr="00EE5714">
        <w:rPr>
          <w:rFonts w:ascii="Times New Roman" w:hAnsi="Times New Roman" w:cs="Times New Roman"/>
          <w:sz w:val="26"/>
          <w:szCs w:val="26"/>
        </w:rPr>
        <w:t xml:space="preserve"> ha</w:t>
      </w:r>
      <w:r w:rsidR="00BE2603" w:rsidRPr="00EE5714">
        <w:rPr>
          <w:rFonts w:ascii="Times New Roman" w:hAnsi="Times New Roman" w:cs="Times New Roman"/>
          <w:sz w:val="26"/>
          <w:szCs w:val="26"/>
        </w:rPr>
        <w:t>d</w:t>
      </w:r>
      <w:r w:rsidRPr="00EE5714">
        <w:rPr>
          <w:rFonts w:ascii="Times New Roman" w:hAnsi="Times New Roman" w:cs="Times New Roman"/>
          <w:sz w:val="26"/>
          <w:szCs w:val="26"/>
        </w:rPr>
        <w:t xml:space="preserve"> the highest reported</w:t>
      </w:r>
      <w:r w:rsidR="00152349"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energy burdens.  </w:t>
      </w:r>
      <w:r w:rsidR="00046B9A" w:rsidRPr="00EE5714">
        <w:rPr>
          <w:rFonts w:ascii="Times New Roman" w:hAnsi="Times New Roman" w:cs="Times New Roman"/>
          <w:sz w:val="26"/>
          <w:szCs w:val="26"/>
        </w:rPr>
        <w:t xml:space="preserve">CAP customers </w:t>
      </w:r>
      <w:r w:rsidR="00517A6C" w:rsidRPr="00EE5714">
        <w:rPr>
          <w:rFonts w:ascii="Times New Roman" w:hAnsi="Times New Roman" w:cs="Times New Roman"/>
          <w:sz w:val="26"/>
          <w:szCs w:val="26"/>
        </w:rPr>
        <w:t xml:space="preserve">at this </w:t>
      </w:r>
      <w:r w:rsidR="009F5C9A" w:rsidRPr="00EE5714">
        <w:rPr>
          <w:rFonts w:ascii="Times New Roman" w:hAnsi="Times New Roman" w:cs="Times New Roman"/>
          <w:sz w:val="26"/>
          <w:szCs w:val="26"/>
        </w:rPr>
        <w:t>income</w:t>
      </w:r>
      <w:r w:rsidR="00517A6C" w:rsidRPr="00EE5714">
        <w:rPr>
          <w:rFonts w:ascii="Times New Roman" w:hAnsi="Times New Roman" w:cs="Times New Roman"/>
          <w:sz w:val="26"/>
          <w:szCs w:val="26"/>
        </w:rPr>
        <w:t xml:space="preserve"> level from</w:t>
      </w:r>
      <w:r w:rsidR="00046B9A" w:rsidRPr="00EE5714">
        <w:rPr>
          <w:rFonts w:ascii="Times New Roman" w:hAnsi="Times New Roman" w:cs="Times New Roman"/>
          <w:sz w:val="26"/>
          <w:szCs w:val="26"/>
        </w:rPr>
        <w:t xml:space="preserve"> Columbia, Peoples Equitable, PECO Gas, UGI Gas, and UGI PNG </w:t>
      </w:r>
      <w:r w:rsidR="0071652B" w:rsidRPr="00EE5714">
        <w:rPr>
          <w:rFonts w:ascii="Times New Roman" w:hAnsi="Times New Roman" w:cs="Times New Roman"/>
          <w:sz w:val="26"/>
          <w:szCs w:val="26"/>
        </w:rPr>
        <w:t>had e</w:t>
      </w:r>
      <w:r w:rsidRPr="00EE5714">
        <w:rPr>
          <w:rFonts w:ascii="Times New Roman" w:hAnsi="Times New Roman" w:cs="Times New Roman"/>
          <w:sz w:val="26"/>
          <w:szCs w:val="26"/>
        </w:rPr>
        <w:t xml:space="preserve">nergy burdens </w:t>
      </w:r>
      <w:r w:rsidR="0071652B" w:rsidRPr="00EE5714">
        <w:rPr>
          <w:rFonts w:ascii="Times New Roman" w:hAnsi="Times New Roman" w:cs="Times New Roman"/>
          <w:sz w:val="26"/>
          <w:szCs w:val="26"/>
        </w:rPr>
        <w:t xml:space="preserve">that </w:t>
      </w:r>
      <w:r w:rsidRPr="00EE5714">
        <w:rPr>
          <w:rFonts w:ascii="Times New Roman" w:hAnsi="Times New Roman" w:cs="Times New Roman"/>
          <w:sz w:val="26"/>
          <w:szCs w:val="26"/>
        </w:rPr>
        <w:t>exceed</w:t>
      </w:r>
      <w:r w:rsidR="00246520" w:rsidRPr="00EE5714">
        <w:rPr>
          <w:rFonts w:ascii="Times New Roman" w:hAnsi="Times New Roman" w:cs="Times New Roman"/>
          <w:sz w:val="26"/>
          <w:szCs w:val="26"/>
        </w:rPr>
        <w:t>ed</w:t>
      </w:r>
      <w:r w:rsidRPr="00EE5714">
        <w:rPr>
          <w:rFonts w:ascii="Times New Roman" w:hAnsi="Times New Roman" w:cs="Times New Roman"/>
          <w:sz w:val="26"/>
          <w:szCs w:val="26"/>
        </w:rPr>
        <w:t xml:space="preserve"> the guidelines in the CAP Policy Statement.  PECO Gas’ energy burdens for customers at this income level ranged from 17% to 22% over the five years of this study.  Columbia’s percentages remained in the 10% range</w:t>
      </w:r>
      <w:r w:rsidR="009F5C9A" w:rsidRPr="00EE5714">
        <w:rPr>
          <w:rFonts w:ascii="Times New Roman" w:hAnsi="Times New Roman" w:cs="Times New Roman"/>
          <w:sz w:val="26"/>
          <w:szCs w:val="26"/>
        </w:rPr>
        <w:t xml:space="preserve"> throughout this study</w:t>
      </w:r>
      <w:r w:rsidR="00B740F5" w:rsidRPr="00EE5714">
        <w:rPr>
          <w:rFonts w:ascii="Times New Roman" w:hAnsi="Times New Roman" w:cs="Times New Roman"/>
          <w:sz w:val="26"/>
          <w:szCs w:val="26"/>
        </w:rPr>
        <w:t>.</w:t>
      </w:r>
      <w:r w:rsidRPr="00EE5714">
        <w:rPr>
          <w:rFonts w:ascii="Times New Roman" w:hAnsi="Times New Roman" w:cs="Times New Roman"/>
          <w:sz w:val="26"/>
          <w:szCs w:val="26"/>
        </w:rPr>
        <w:t xml:space="preserve"> </w:t>
      </w:r>
      <w:r w:rsidR="00763A53" w:rsidRPr="00EE5714">
        <w:rPr>
          <w:rFonts w:ascii="Times New Roman" w:hAnsi="Times New Roman" w:cs="Times New Roman"/>
          <w:sz w:val="26"/>
          <w:szCs w:val="26"/>
        </w:rPr>
        <w:t xml:space="preserve"> </w:t>
      </w:r>
      <w:r w:rsidRPr="00EE5714">
        <w:rPr>
          <w:rFonts w:ascii="Times New Roman" w:hAnsi="Times New Roman" w:cs="Times New Roman"/>
          <w:sz w:val="26"/>
          <w:szCs w:val="26"/>
        </w:rPr>
        <w:t>Peoples Natural Gas</w:t>
      </w:r>
      <w:r w:rsidR="00ED14A3" w:rsidRPr="00EE5714">
        <w:rPr>
          <w:rFonts w:ascii="Times New Roman" w:hAnsi="Times New Roman" w:cs="Times New Roman"/>
          <w:sz w:val="26"/>
          <w:szCs w:val="26"/>
        </w:rPr>
        <w:t>’ energy burdens</w:t>
      </w:r>
      <w:r w:rsidRPr="00EE5714">
        <w:rPr>
          <w:rFonts w:ascii="Times New Roman" w:hAnsi="Times New Roman" w:cs="Times New Roman"/>
          <w:sz w:val="26"/>
          <w:szCs w:val="26"/>
        </w:rPr>
        <w:t xml:space="preserve"> w</w:t>
      </w:r>
      <w:r w:rsidR="00ED14A3" w:rsidRPr="00EE5714">
        <w:rPr>
          <w:rFonts w:ascii="Times New Roman" w:hAnsi="Times New Roman" w:cs="Times New Roman"/>
          <w:sz w:val="26"/>
          <w:szCs w:val="26"/>
        </w:rPr>
        <w:t>ere</w:t>
      </w:r>
      <w:r w:rsidRPr="00EE5714">
        <w:rPr>
          <w:rFonts w:ascii="Times New Roman" w:hAnsi="Times New Roman" w:cs="Times New Roman"/>
          <w:sz w:val="26"/>
          <w:szCs w:val="26"/>
        </w:rPr>
        <w:t xml:space="preserve"> also relatively cons</w:t>
      </w:r>
      <w:r w:rsidR="0059650A" w:rsidRPr="00EE5714">
        <w:rPr>
          <w:rFonts w:ascii="Times New Roman" w:hAnsi="Times New Roman" w:cs="Times New Roman"/>
          <w:sz w:val="26"/>
          <w:szCs w:val="26"/>
        </w:rPr>
        <w:t>isten</w:t>
      </w:r>
      <w:r w:rsidRPr="00EE5714">
        <w:rPr>
          <w:rFonts w:ascii="Times New Roman" w:hAnsi="Times New Roman" w:cs="Times New Roman"/>
          <w:sz w:val="26"/>
          <w:szCs w:val="26"/>
        </w:rPr>
        <w:t xml:space="preserve">t, but lower at </w:t>
      </w:r>
      <w:r w:rsidR="0059650A" w:rsidRPr="00EE5714">
        <w:rPr>
          <w:rFonts w:ascii="Times New Roman" w:hAnsi="Times New Roman" w:cs="Times New Roman"/>
          <w:sz w:val="26"/>
          <w:szCs w:val="26"/>
        </w:rPr>
        <w:t xml:space="preserve">the </w:t>
      </w:r>
      <w:r w:rsidRPr="00EE5714">
        <w:rPr>
          <w:rFonts w:ascii="Times New Roman" w:hAnsi="Times New Roman" w:cs="Times New Roman"/>
          <w:sz w:val="26"/>
          <w:szCs w:val="26"/>
        </w:rPr>
        <w:t>7</w:t>
      </w:r>
      <w:r w:rsidR="00017729" w:rsidRPr="00EE5714">
        <w:rPr>
          <w:rFonts w:ascii="Times New Roman" w:hAnsi="Times New Roman" w:cs="Times New Roman"/>
          <w:sz w:val="26"/>
          <w:szCs w:val="26"/>
        </w:rPr>
        <w:t> to </w:t>
      </w:r>
      <w:r w:rsidRPr="00EE5714">
        <w:rPr>
          <w:rFonts w:ascii="Times New Roman" w:hAnsi="Times New Roman" w:cs="Times New Roman"/>
          <w:sz w:val="26"/>
          <w:szCs w:val="26"/>
        </w:rPr>
        <w:t>8%</w:t>
      </w:r>
      <w:r w:rsidR="0059650A" w:rsidRPr="00EE5714">
        <w:rPr>
          <w:rFonts w:ascii="Times New Roman" w:hAnsi="Times New Roman" w:cs="Times New Roman"/>
          <w:sz w:val="26"/>
          <w:szCs w:val="26"/>
        </w:rPr>
        <w:t xml:space="preserve"> range</w:t>
      </w:r>
      <w:r w:rsidRPr="00EE5714">
        <w:rPr>
          <w:rFonts w:ascii="Times New Roman" w:hAnsi="Times New Roman" w:cs="Times New Roman"/>
          <w:sz w:val="26"/>
          <w:szCs w:val="26"/>
        </w:rPr>
        <w:t xml:space="preserve">.  The remaining NGDCs had energy burdens that varied from year to year but generally stayed within a few percentage points: Peoples Equitable </w:t>
      </w:r>
      <w:r w:rsidR="00E92A28" w:rsidRPr="00EE5714">
        <w:rPr>
          <w:rFonts w:ascii="Times New Roman" w:hAnsi="Times New Roman" w:cs="Times New Roman"/>
          <w:sz w:val="26"/>
          <w:szCs w:val="26"/>
        </w:rPr>
        <w:t>ranged from</w:t>
      </w:r>
      <w:r w:rsidRPr="00EE5714">
        <w:rPr>
          <w:rFonts w:ascii="Times New Roman" w:hAnsi="Times New Roman" w:cs="Times New Roman"/>
          <w:sz w:val="26"/>
          <w:szCs w:val="26"/>
        </w:rPr>
        <w:t xml:space="preserve"> 5-9%, UGI P</w:t>
      </w:r>
      <w:r w:rsidR="00E92A28" w:rsidRPr="00EE5714">
        <w:rPr>
          <w:rFonts w:ascii="Times New Roman" w:hAnsi="Times New Roman" w:cs="Times New Roman"/>
          <w:sz w:val="26"/>
          <w:szCs w:val="26"/>
        </w:rPr>
        <w:t>NG</w:t>
      </w:r>
      <w:r w:rsidRPr="00EE5714">
        <w:rPr>
          <w:rFonts w:ascii="Times New Roman" w:hAnsi="Times New Roman" w:cs="Times New Roman"/>
          <w:sz w:val="26"/>
          <w:szCs w:val="26"/>
        </w:rPr>
        <w:t xml:space="preserve"> </w:t>
      </w:r>
      <w:r w:rsidR="00E92A28" w:rsidRPr="00EE5714">
        <w:rPr>
          <w:rFonts w:ascii="Times New Roman" w:hAnsi="Times New Roman" w:cs="Times New Roman"/>
          <w:sz w:val="26"/>
          <w:szCs w:val="26"/>
        </w:rPr>
        <w:t>from</w:t>
      </w:r>
      <w:r w:rsidRPr="00EE5714">
        <w:rPr>
          <w:rFonts w:ascii="Times New Roman" w:hAnsi="Times New Roman" w:cs="Times New Roman"/>
          <w:sz w:val="26"/>
          <w:szCs w:val="26"/>
        </w:rPr>
        <w:t xml:space="preserve"> 7</w:t>
      </w:r>
      <w:r w:rsidR="00017729" w:rsidRPr="00EE5714">
        <w:rPr>
          <w:rFonts w:ascii="Times New Roman" w:hAnsi="Times New Roman" w:cs="Times New Roman"/>
          <w:sz w:val="26"/>
          <w:szCs w:val="26"/>
        </w:rPr>
        <w:t> to </w:t>
      </w:r>
      <w:r w:rsidRPr="00EE5714">
        <w:rPr>
          <w:rFonts w:ascii="Times New Roman" w:hAnsi="Times New Roman" w:cs="Times New Roman"/>
          <w:sz w:val="26"/>
          <w:szCs w:val="26"/>
        </w:rPr>
        <w:t xml:space="preserve">11%, UGI Gas </w:t>
      </w:r>
      <w:r w:rsidR="008311FA" w:rsidRPr="00EE5714">
        <w:rPr>
          <w:rFonts w:ascii="Times New Roman" w:hAnsi="Times New Roman" w:cs="Times New Roman"/>
          <w:sz w:val="26"/>
          <w:szCs w:val="26"/>
        </w:rPr>
        <w:t>from</w:t>
      </w:r>
      <w:r w:rsidRPr="00EE5714">
        <w:rPr>
          <w:rFonts w:ascii="Times New Roman" w:hAnsi="Times New Roman" w:cs="Times New Roman"/>
          <w:sz w:val="26"/>
          <w:szCs w:val="26"/>
        </w:rPr>
        <w:t xml:space="preserve"> 7</w:t>
      </w:r>
      <w:r w:rsidR="00965F31" w:rsidRPr="00EE5714">
        <w:rPr>
          <w:rFonts w:ascii="Times New Roman" w:hAnsi="Times New Roman" w:cs="Times New Roman"/>
          <w:sz w:val="26"/>
          <w:szCs w:val="26"/>
        </w:rPr>
        <w:t> </w:t>
      </w:r>
      <w:r w:rsidR="00863FBE" w:rsidRPr="00EE5714">
        <w:rPr>
          <w:rFonts w:ascii="Times New Roman" w:hAnsi="Times New Roman" w:cs="Times New Roman"/>
          <w:sz w:val="26"/>
          <w:szCs w:val="26"/>
        </w:rPr>
        <w:t>to</w:t>
      </w:r>
      <w:r w:rsidR="00965F31" w:rsidRPr="00EE5714">
        <w:rPr>
          <w:rFonts w:ascii="Times New Roman" w:hAnsi="Times New Roman" w:cs="Times New Roman"/>
          <w:sz w:val="26"/>
          <w:szCs w:val="26"/>
        </w:rPr>
        <w:t> </w:t>
      </w:r>
      <w:r w:rsidRPr="00EE5714">
        <w:rPr>
          <w:rFonts w:ascii="Times New Roman" w:hAnsi="Times New Roman" w:cs="Times New Roman"/>
          <w:sz w:val="26"/>
          <w:szCs w:val="26"/>
        </w:rPr>
        <w:t xml:space="preserve">10%, and PGW </w:t>
      </w:r>
      <w:r w:rsidR="008311FA" w:rsidRPr="00EE5714">
        <w:rPr>
          <w:rFonts w:ascii="Times New Roman" w:hAnsi="Times New Roman" w:cs="Times New Roman"/>
          <w:sz w:val="26"/>
          <w:szCs w:val="26"/>
        </w:rPr>
        <w:t>from</w:t>
      </w:r>
      <w:r w:rsidRPr="00EE5714">
        <w:rPr>
          <w:rFonts w:ascii="Times New Roman" w:hAnsi="Times New Roman" w:cs="Times New Roman"/>
          <w:sz w:val="26"/>
          <w:szCs w:val="26"/>
        </w:rPr>
        <w:t xml:space="preserve"> 6</w:t>
      </w:r>
      <w:r w:rsidR="00017729" w:rsidRPr="00EE5714">
        <w:rPr>
          <w:rFonts w:ascii="Times New Roman" w:hAnsi="Times New Roman" w:cs="Times New Roman"/>
          <w:sz w:val="26"/>
          <w:szCs w:val="26"/>
        </w:rPr>
        <w:t> to </w:t>
      </w:r>
      <w:r w:rsidRPr="00EE5714">
        <w:rPr>
          <w:rFonts w:ascii="Times New Roman" w:hAnsi="Times New Roman" w:cs="Times New Roman"/>
          <w:sz w:val="26"/>
          <w:szCs w:val="26"/>
        </w:rPr>
        <w:t>8%.  This pattern is illustrated in Table</w:t>
      </w:r>
      <w:r w:rsidR="00FE2058" w:rsidRPr="00EE5714">
        <w:rPr>
          <w:rFonts w:ascii="Times New Roman" w:hAnsi="Times New Roman" w:cs="Times New Roman"/>
          <w:sz w:val="26"/>
          <w:szCs w:val="26"/>
        </w:rPr>
        <w:t> </w:t>
      </w:r>
      <w:r w:rsidR="008C4D39" w:rsidRPr="00EE5714">
        <w:rPr>
          <w:rFonts w:ascii="Times New Roman" w:hAnsi="Times New Roman" w:cs="Times New Roman"/>
          <w:sz w:val="26"/>
          <w:szCs w:val="26"/>
        </w:rPr>
        <w:t>3-3</w:t>
      </w:r>
      <w:r w:rsidRPr="00EE5714">
        <w:rPr>
          <w:rFonts w:ascii="Times New Roman" w:hAnsi="Times New Roman" w:cs="Times New Roman"/>
          <w:sz w:val="26"/>
          <w:szCs w:val="26"/>
        </w:rPr>
        <w:t xml:space="preserve"> </w:t>
      </w:r>
      <w:r w:rsidR="00086A3E" w:rsidRPr="00EE5714">
        <w:rPr>
          <w:rFonts w:ascii="Times New Roman" w:hAnsi="Times New Roman" w:cs="Times New Roman"/>
          <w:sz w:val="26"/>
          <w:szCs w:val="26"/>
        </w:rPr>
        <w:t>above</w:t>
      </w:r>
      <w:r w:rsidRPr="00EE5714">
        <w:rPr>
          <w:rFonts w:ascii="Times New Roman" w:hAnsi="Times New Roman" w:cs="Times New Roman"/>
          <w:sz w:val="26"/>
          <w:szCs w:val="26"/>
        </w:rPr>
        <w:t>.</w:t>
      </w:r>
    </w:p>
    <w:p w14:paraId="2FAEAD26" w14:textId="77777777" w:rsidR="00C66C85" w:rsidRPr="00EE5714" w:rsidRDefault="00C66C85" w:rsidP="00516929">
      <w:pPr>
        <w:spacing w:after="0" w:line="240" w:lineRule="auto"/>
        <w:ind w:firstLine="720"/>
        <w:rPr>
          <w:rFonts w:ascii="Times New Roman" w:hAnsi="Times New Roman" w:cs="Times New Roman"/>
          <w:sz w:val="26"/>
          <w:szCs w:val="26"/>
        </w:rPr>
      </w:pPr>
    </w:p>
    <w:p w14:paraId="5B356684" w14:textId="77777777" w:rsidR="00EB45B6" w:rsidRPr="00EE5714" w:rsidRDefault="00EB45B6" w:rsidP="00EB45B6">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3-4</w:t>
      </w:r>
    </w:p>
    <w:p w14:paraId="2AAABC62" w14:textId="77777777" w:rsidR="00EB45B6" w:rsidRPr="00EE5714" w:rsidRDefault="00EB45B6" w:rsidP="00EB45B6">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NGDC CAP Energy Burden Levels for Heating Customers at</w:t>
      </w:r>
    </w:p>
    <w:p w14:paraId="7309BAB0" w14:textId="77777777" w:rsidR="00EB45B6" w:rsidRPr="00EE5714" w:rsidRDefault="00EB45B6" w:rsidP="00EB45B6">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51-100% of FPIG, 2012-2016</w:t>
      </w:r>
    </w:p>
    <w:p w14:paraId="574BEFE4" w14:textId="77777777" w:rsidR="00EB45B6" w:rsidRPr="00EE5714" w:rsidRDefault="00EB45B6" w:rsidP="00DD6547">
      <w:pPr>
        <w:spacing w:after="0" w:line="360" w:lineRule="auto"/>
        <w:jc w:val="center"/>
        <w:rPr>
          <w:rFonts w:ascii="Times New Roman" w:hAnsi="Times New Roman" w:cs="Times New Roman"/>
          <w:sz w:val="26"/>
          <w:szCs w:val="26"/>
        </w:rPr>
      </w:pPr>
      <w:r w:rsidRPr="00EE5714">
        <w:rPr>
          <w:noProof/>
        </w:rPr>
        <w:drawing>
          <wp:inline distT="0" distB="0" distL="0" distR="0" wp14:anchorId="468B1435" wp14:editId="60931DB4">
            <wp:extent cx="5677581" cy="3831092"/>
            <wp:effectExtent l="0" t="0" r="18415" b="17145"/>
            <wp:docPr id="16" name="Chart 16">
              <a:extLst xmlns:a="http://schemas.openxmlformats.org/drawingml/2006/main">
                <a:ext uri="{FF2B5EF4-FFF2-40B4-BE49-F238E27FC236}">
                  <a16:creationId xmlns:a16="http://schemas.microsoft.com/office/drawing/2014/main" id="{4E4F9B73-57FC-4AF1-B31A-9F6FC971C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3EE4B5" w14:textId="77777777" w:rsidR="00EB45B6" w:rsidRPr="00EE5714" w:rsidRDefault="00EB45B6" w:rsidP="00EB45B6">
      <w:pPr>
        <w:spacing w:after="0" w:line="240" w:lineRule="auto"/>
        <w:rPr>
          <w:rFonts w:ascii="Times New Roman" w:hAnsi="Times New Roman" w:cs="Times New Roman"/>
          <w:sz w:val="26"/>
          <w:szCs w:val="26"/>
        </w:rPr>
      </w:pPr>
    </w:p>
    <w:p w14:paraId="62D8B64A"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As seen in Table </w:t>
      </w:r>
      <w:r w:rsidR="008C4D39" w:rsidRPr="00EE5714">
        <w:rPr>
          <w:rFonts w:ascii="Times New Roman" w:hAnsi="Times New Roman" w:cs="Times New Roman"/>
          <w:sz w:val="26"/>
          <w:szCs w:val="26"/>
        </w:rPr>
        <w:t>3-4</w:t>
      </w:r>
      <w:r w:rsidRPr="00EE5714">
        <w:rPr>
          <w:rFonts w:ascii="Times New Roman" w:hAnsi="Times New Roman" w:cs="Times New Roman"/>
          <w:sz w:val="26"/>
          <w:szCs w:val="26"/>
        </w:rPr>
        <w:t>, on average, NGDC CAP customers with incomes in the 51</w:t>
      </w:r>
      <w:r w:rsidR="000B6F22"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100% FPIG </w:t>
      </w:r>
      <w:r w:rsidR="00421E52" w:rsidRPr="00EE5714">
        <w:rPr>
          <w:rFonts w:ascii="Times New Roman" w:hAnsi="Times New Roman" w:cs="Times New Roman"/>
          <w:sz w:val="26"/>
          <w:szCs w:val="26"/>
        </w:rPr>
        <w:t>level</w:t>
      </w:r>
      <w:r w:rsidRPr="00EE5714">
        <w:rPr>
          <w:rFonts w:ascii="Times New Roman" w:hAnsi="Times New Roman" w:cs="Times New Roman"/>
          <w:sz w:val="26"/>
          <w:szCs w:val="26"/>
        </w:rPr>
        <w:t xml:space="preserve"> </w:t>
      </w:r>
      <w:r w:rsidR="00CE719A" w:rsidRPr="00EE5714">
        <w:rPr>
          <w:rFonts w:ascii="Times New Roman" w:hAnsi="Times New Roman" w:cs="Times New Roman"/>
          <w:sz w:val="26"/>
          <w:szCs w:val="26"/>
        </w:rPr>
        <w:t>had energy burdens</w:t>
      </w:r>
      <w:r w:rsidR="003C1A8F" w:rsidRPr="00EE5714">
        <w:rPr>
          <w:rFonts w:ascii="Times New Roman" w:hAnsi="Times New Roman" w:cs="Times New Roman"/>
          <w:sz w:val="26"/>
          <w:szCs w:val="26"/>
        </w:rPr>
        <w:t xml:space="preserve"> that fell </w:t>
      </w:r>
      <w:r w:rsidRPr="00EE5714">
        <w:rPr>
          <w:rFonts w:ascii="Times New Roman" w:hAnsi="Times New Roman" w:cs="Times New Roman"/>
          <w:sz w:val="26"/>
          <w:szCs w:val="26"/>
        </w:rPr>
        <w:t xml:space="preserve">within </w:t>
      </w:r>
      <w:r w:rsidR="003C1A8F" w:rsidRPr="00EE5714">
        <w:rPr>
          <w:rFonts w:ascii="Times New Roman" w:hAnsi="Times New Roman" w:cs="Times New Roman"/>
          <w:sz w:val="26"/>
          <w:szCs w:val="26"/>
        </w:rPr>
        <w:t>or below</w:t>
      </w:r>
      <w:r w:rsidRPr="00EE5714">
        <w:rPr>
          <w:rFonts w:ascii="Times New Roman" w:hAnsi="Times New Roman" w:cs="Times New Roman"/>
          <w:sz w:val="26"/>
          <w:szCs w:val="26"/>
        </w:rPr>
        <w:t xml:space="preserve"> the CAP Policy Statement range of 7</w:t>
      </w:r>
      <w:r w:rsidR="000B6F22"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10%.  </w:t>
      </w:r>
      <w:bookmarkStart w:id="20" w:name="_Hlk524357998"/>
      <w:r w:rsidRPr="00EE5714">
        <w:rPr>
          <w:rFonts w:ascii="Times New Roman" w:hAnsi="Times New Roman" w:cs="Times New Roman"/>
          <w:sz w:val="26"/>
          <w:szCs w:val="26"/>
        </w:rPr>
        <w:t>PECO Gas</w:t>
      </w:r>
      <w:r w:rsidR="006901BC" w:rsidRPr="00EE5714">
        <w:rPr>
          <w:rFonts w:ascii="Times New Roman" w:hAnsi="Times New Roman" w:cs="Times New Roman"/>
          <w:sz w:val="26"/>
          <w:szCs w:val="26"/>
        </w:rPr>
        <w:t>, however,</w:t>
      </w:r>
      <w:r w:rsidRPr="00EE5714">
        <w:rPr>
          <w:rFonts w:ascii="Times New Roman" w:hAnsi="Times New Roman" w:cs="Times New Roman"/>
          <w:sz w:val="26"/>
          <w:szCs w:val="26"/>
        </w:rPr>
        <w:t xml:space="preserve"> ha</w:t>
      </w:r>
      <w:r w:rsidR="004A1DBE" w:rsidRPr="00EE5714">
        <w:rPr>
          <w:rFonts w:ascii="Times New Roman" w:hAnsi="Times New Roman" w:cs="Times New Roman"/>
          <w:sz w:val="26"/>
          <w:szCs w:val="26"/>
        </w:rPr>
        <w:t>d</w:t>
      </w:r>
      <w:r w:rsidRPr="00EE5714">
        <w:rPr>
          <w:rFonts w:ascii="Times New Roman" w:hAnsi="Times New Roman" w:cs="Times New Roman"/>
          <w:sz w:val="26"/>
          <w:szCs w:val="26"/>
        </w:rPr>
        <w:t xml:space="preserve"> the highest energy burdens in the category with </w:t>
      </w:r>
      <w:r w:rsidR="00B75B44" w:rsidRPr="00EE5714">
        <w:rPr>
          <w:rFonts w:ascii="Times New Roman" w:hAnsi="Times New Roman" w:cs="Times New Roman"/>
          <w:sz w:val="26"/>
          <w:szCs w:val="26"/>
        </w:rPr>
        <w:t>three</w:t>
      </w:r>
      <w:r w:rsidRPr="00EE5714">
        <w:rPr>
          <w:rFonts w:ascii="Times New Roman" w:hAnsi="Times New Roman" w:cs="Times New Roman"/>
          <w:sz w:val="26"/>
          <w:szCs w:val="26"/>
        </w:rPr>
        <w:t xml:space="preserve"> out of five years </w:t>
      </w:r>
      <w:r w:rsidR="00476B20" w:rsidRPr="00EE5714">
        <w:rPr>
          <w:rFonts w:ascii="Times New Roman" w:hAnsi="Times New Roman" w:cs="Times New Roman"/>
          <w:sz w:val="26"/>
          <w:szCs w:val="26"/>
        </w:rPr>
        <w:t>above</w:t>
      </w:r>
      <w:r w:rsidRPr="00EE5714">
        <w:rPr>
          <w:rFonts w:ascii="Times New Roman" w:hAnsi="Times New Roman" w:cs="Times New Roman"/>
          <w:sz w:val="26"/>
          <w:szCs w:val="26"/>
        </w:rPr>
        <w:t xml:space="preserve"> the CAP Policy Statement guidelines.  Overall, the PECO Gas energy burdens </w:t>
      </w:r>
      <w:r w:rsidR="00E96830" w:rsidRPr="00EE5714">
        <w:rPr>
          <w:rFonts w:ascii="Times New Roman" w:hAnsi="Times New Roman" w:cs="Times New Roman"/>
          <w:sz w:val="26"/>
          <w:szCs w:val="26"/>
        </w:rPr>
        <w:t>were</w:t>
      </w:r>
      <w:r w:rsidRPr="00EE5714">
        <w:rPr>
          <w:rFonts w:ascii="Times New Roman" w:hAnsi="Times New Roman" w:cs="Times New Roman"/>
          <w:sz w:val="26"/>
          <w:szCs w:val="26"/>
        </w:rPr>
        <w:t xml:space="preserve"> between 9</w:t>
      </w:r>
      <w:r w:rsidR="000B6F22" w:rsidRPr="00EE5714">
        <w:rPr>
          <w:rFonts w:ascii="Times New Roman" w:hAnsi="Times New Roman" w:cs="Times New Roman"/>
          <w:sz w:val="26"/>
          <w:szCs w:val="26"/>
        </w:rPr>
        <w:t xml:space="preserve"> and </w:t>
      </w:r>
      <w:r w:rsidRPr="00EE5714">
        <w:rPr>
          <w:rFonts w:ascii="Times New Roman" w:hAnsi="Times New Roman" w:cs="Times New Roman"/>
          <w:sz w:val="26"/>
          <w:szCs w:val="26"/>
        </w:rPr>
        <w:t>12</w:t>
      </w:r>
      <w:r w:rsidR="008B0CC2" w:rsidRPr="00EE5714">
        <w:rPr>
          <w:rFonts w:ascii="Times New Roman" w:hAnsi="Times New Roman" w:cs="Times New Roman"/>
          <w:sz w:val="26"/>
          <w:szCs w:val="26"/>
        </w:rPr>
        <w:t xml:space="preserve">% which is </w:t>
      </w:r>
      <w:r w:rsidR="00476B20" w:rsidRPr="00EE5714">
        <w:rPr>
          <w:rFonts w:ascii="Times New Roman" w:hAnsi="Times New Roman" w:cs="Times New Roman"/>
          <w:sz w:val="26"/>
          <w:szCs w:val="26"/>
        </w:rPr>
        <w:t xml:space="preserve">above </w:t>
      </w:r>
      <w:r w:rsidRPr="00EE5714">
        <w:rPr>
          <w:rFonts w:ascii="Times New Roman" w:hAnsi="Times New Roman" w:cs="Times New Roman"/>
          <w:sz w:val="26"/>
          <w:szCs w:val="26"/>
        </w:rPr>
        <w:t>the range in the CAP Policy Statement guidelines and replicat</w:t>
      </w:r>
      <w:r w:rsidR="0075237F" w:rsidRPr="00EE5714">
        <w:rPr>
          <w:rFonts w:ascii="Times New Roman" w:hAnsi="Times New Roman" w:cs="Times New Roman"/>
          <w:sz w:val="26"/>
          <w:szCs w:val="26"/>
        </w:rPr>
        <w:t>es</w:t>
      </w:r>
      <w:r w:rsidRPr="00EE5714">
        <w:rPr>
          <w:rFonts w:ascii="Times New Roman" w:hAnsi="Times New Roman" w:cs="Times New Roman"/>
          <w:sz w:val="26"/>
          <w:szCs w:val="26"/>
        </w:rPr>
        <w:t xml:space="preserve"> the trend from the 0</w:t>
      </w:r>
      <w:r w:rsidR="00905FB1"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50% </w:t>
      </w:r>
      <w:r w:rsidR="000F425C" w:rsidRPr="00EE5714">
        <w:rPr>
          <w:rFonts w:ascii="Times New Roman" w:hAnsi="Times New Roman" w:cs="Times New Roman"/>
          <w:sz w:val="26"/>
          <w:szCs w:val="26"/>
        </w:rPr>
        <w:t>FPIG level</w:t>
      </w:r>
      <w:r w:rsidR="003D5BAD" w:rsidRPr="00EE5714">
        <w:rPr>
          <w:rFonts w:ascii="Times New Roman" w:hAnsi="Times New Roman" w:cs="Times New Roman"/>
          <w:sz w:val="26"/>
          <w:szCs w:val="26"/>
        </w:rPr>
        <w:t>.</w:t>
      </w:r>
      <w:r w:rsidRPr="00EE5714">
        <w:rPr>
          <w:rFonts w:ascii="Times New Roman" w:hAnsi="Times New Roman" w:cs="Times New Roman"/>
          <w:sz w:val="26"/>
          <w:szCs w:val="26"/>
        </w:rPr>
        <w:t xml:space="preserve"> </w:t>
      </w:r>
      <w:r w:rsidR="003D5BAD" w:rsidRPr="00EE5714">
        <w:rPr>
          <w:rFonts w:ascii="Times New Roman" w:hAnsi="Times New Roman" w:cs="Times New Roman"/>
          <w:sz w:val="26"/>
          <w:szCs w:val="26"/>
        </w:rPr>
        <w:t xml:space="preserve"> </w:t>
      </w:r>
      <w:r w:rsidR="00803780" w:rsidRPr="00EE5714">
        <w:rPr>
          <w:rFonts w:ascii="Times New Roman" w:hAnsi="Times New Roman" w:cs="Times New Roman"/>
          <w:sz w:val="26"/>
          <w:szCs w:val="26"/>
        </w:rPr>
        <w:t>PECO’s</w:t>
      </w:r>
      <w:r w:rsidRPr="00EE5714">
        <w:rPr>
          <w:rFonts w:ascii="Times New Roman" w:hAnsi="Times New Roman" w:cs="Times New Roman"/>
          <w:sz w:val="26"/>
          <w:szCs w:val="26"/>
        </w:rPr>
        <w:t xml:space="preserve"> lowest energy burden in 2016, </w:t>
      </w:r>
      <w:r w:rsidR="00DF1281" w:rsidRPr="00EE5714">
        <w:rPr>
          <w:rFonts w:ascii="Times New Roman" w:hAnsi="Times New Roman" w:cs="Times New Roman"/>
          <w:sz w:val="26"/>
          <w:szCs w:val="26"/>
        </w:rPr>
        <w:t xml:space="preserve">was </w:t>
      </w:r>
      <w:r w:rsidRPr="00EE5714">
        <w:rPr>
          <w:rFonts w:ascii="Times New Roman" w:hAnsi="Times New Roman" w:cs="Times New Roman"/>
          <w:sz w:val="26"/>
          <w:szCs w:val="26"/>
        </w:rPr>
        <w:t>within the range in the CAP Policy Statement guidelines.</w:t>
      </w:r>
      <w:r w:rsidRPr="00EE5714">
        <w:rPr>
          <w:rFonts w:ascii="Times New Roman" w:hAnsi="Times New Roman" w:cs="Times New Roman"/>
          <w:sz w:val="26"/>
          <w:szCs w:val="26"/>
          <w:vertAlign w:val="superscript"/>
        </w:rPr>
        <w:footnoteReference w:id="31"/>
      </w:r>
      <w:r w:rsidRPr="00EE5714">
        <w:rPr>
          <w:rFonts w:ascii="Times New Roman" w:hAnsi="Times New Roman" w:cs="Times New Roman"/>
          <w:sz w:val="26"/>
          <w:szCs w:val="26"/>
        </w:rPr>
        <w:t xml:space="preserve">  Columbia</w:t>
      </w:r>
      <w:r w:rsidR="001F5D6D" w:rsidRPr="00EE5714">
        <w:rPr>
          <w:rFonts w:ascii="Times New Roman" w:hAnsi="Times New Roman" w:cs="Times New Roman"/>
          <w:sz w:val="26"/>
          <w:szCs w:val="26"/>
        </w:rPr>
        <w:t>’s energy burdens</w:t>
      </w:r>
      <w:r w:rsidRPr="00EE5714">
        <w:rPr>
          <w:rFonts w:ascii="Times New Roman" w:hAnsi="Times New Roman" w:cs="Times New Roman"/>
          <w:sz w:val="26"/>
          <w:szCs w:val="26"/>
        </w:rPr>
        <w:t xml:space="preserve"> fell </w:t>
      </w:r>
      <w:r w:rsidR="00B07F16" w:rsidRPr="00EE5714">
        <w:rPr>
          <w:rFonts w:ascii="Times New Roman" w:hAnsi="Times New Roman" w:cs="Times New Roman"/>
          <w:sz w:val="26"/>
          <w:szCs w:val="26"/>
        </w:rPr>
        <w:t xml:space="preserve">well </w:t>
      </w:r>
      <w:r w:rsidRPr="00EE5714">
        <w:rPr>
          <w:rFonts w:ascii="Times New Roman" w:hAnsi="Times New Roman" w:cs="Times New Roman"/>
          <w:sz w:val="26"/>
          <w:szCs w:val="26"/>
        </w:rPr>
        <w:t>below the range</w:t>
      </w:r>
      <w:r w:rsidR="00016C3A" w:rsidRPr="00EE5714">
        <w:rPr>
          <w:rFonts w:ascii="Times New Roman" w:hAnsi="Times New Roman" w:cs="Times New Roman"/>
          <w:sz w:val="26"/>
          <w:szCs w:val="26"/>
        </w:rPr>
        <w:t xml:space="preserve"> </w:t>
      </w:r>
      <w:r w:rsidR="00B07F16" w:rsidRPr="00EE5714">
        <w:rPr>
          <w:rFonts w:ascii="Times New Roman" w:hAnsi="Times New Roman" w:cs="Times New Roman"/>
          <w:sz w:val="26"/>
          <w:szCs w:val="26"/>
        </w:rPr>
        <w:t>and were</w:t>
      </w:r>
      <w:r w:rsidR="00016C3A" w:rsidRPr="00EE5714">
        <w:rPr>
          <w:rFonts w:ascii="Times New Roman" w:hAnsi="Times New Roman" w:cs="Times New Roman"/>
          <w:sz w:val="26"/>
          <w:szCs w:val="26"/>
        </w:rPr>
        <w:t xml:space="preserve"> consistently less than </w:t>
      </w:r>
      <w:r w:rsidRPr="00EE5714">
        <w:rPr>
          <w:rFonts w:ascii="Times New Roman" w:hAnsi="Times New Roman" w:cs="Times New Roman"/>
          <w:sz w:val="26"/>
          <w:szCs w:val="26"/>
        </w:rPr>
        <w:t>6%.  Peoples Gas</w:t>
      </w:r>
      <w:r w:rsidR="00016C3A" w:rsidRPr="00EE5714">
        <w:rPr>
          <w:rFonts w:ascii="Times New Roman" w:hAnsi="Times New Roman" w:cs="Times New Roman"/>
          <w:sz w:val="26"/>
          <w:szCs w:val="26"/>
        </w:rPr>
        <w:t xml:space="preserve">’ energy burdens </w:t>
      </w:r>
      <w:r w:rsidR="003547CB" w:rsidRPr="00EE5714">
        <w:rPr>
          <w:rFonts w:ascii="Times New Roman" w:hAnsi="Times New Roman" w:cs="Times New Roman"/>
          <w:sz w:val="26"/>
          <w:szCs w:val="26"/>
        </w:rPr>
        <w:t xml:space="preserve">averaged </w:t>
      </w:r>
      <w:r w:rsidRPr="00EE5714">
        <w:rPr>
          <w:rFonts w:ascii="Times New Roman" w:hAnsi="Times New Roman" w:cs="Times New Roman"/>
          <w:sz w:val="26"/>
          <w:szCs w:val="26"/>
        </w:rPr>
        <w:t>6</w:t>
      </w:r>
      <w:r w:rsidR="00905FB1" w:rsidRPr="00EE5714">
        <w:rPr>
          <w:rFonts w:ascii="Times New Roman" w:hAnsi="Times New Roman" w:cs="Times New Roman"/>
          <w:sz w:val="26"/>
          <w:szCs w:val="26"/>
        </w:rPr>
        <w:t xml:space="preserve"> to </w:t>
      </w:r>
      <w:r w:rsidRPr="00EE5714">
        <w:rPr>
          <w:rFonts w:ascii="Times New Roman" w:hAnsi="Times New Roman" w:cs="Times New Roman"/>
          <w:sz w:val="26"/>
          <w:szCs w:val="26"/>
        </w:rPr>
        <w:t>7%</w:t>
      </w:r>
      <w:r w:rsidR="00B32329" w:rsidRPr="00EE5714">
        <w:rPr>
          <w:rFonts w:ascii="Times New Roman" w:hAnsi="Times New Roman" w:cs="Times New Roman"/>
          <w:sz w:val="26"/>
          <w:szCs w:val="26"/>
        </w:rPr>
        <w:t>;</w:t>
      </w:r>
      <w:r w:rsidRPr="00EE5714">
        <w:rPr>
          <w:rFonts w:ascii="Times New Roman" w:hAnsi="Times New Roman" w:cs="Times New Roman"/>
          <w:sz w:val="26"/>
          <w:szCs w:val="26"/>
        </w:rPr>
        <w:t xml:space="preserve"> PGW</w:t>
      </w:r>
      <w:r w:rsidR="00B32329" w:rsidRPr="00EE5714">
        <w:rPr>
          <w:rFonts w:ascii="Times New Roman" w:hAnsi="Times New Roman" w:cs="Times New Roman"/>
          <w:sz w:val="26"/>
          <w:szCs w:val="26"/>
        </w:rPr>
        <w:t xml:space="preserve">’s energy burdens </w:t>
      </w:r>
      <w:r w:rsidR="003547CB" w:rsidRPr="00EE5714">
        <w:rPr>
          <w:rFonts w:ascii="Times New Roman" w:hAnsi="Times New Roman" w:cs="Times New Roman"/>
          <w:sz w:val="26"/>
          <w:szCs w:val="26"/>
        </w:rPr>
        <w:t>averaged</w:t>
      </w:r>
      <w:r w:rsidRPr="00EE5714">
        <w:rPr>
          <w:rFonts w:ascii="Times New Roman" w:hAnsi="Times New Roman" w:cs="Times New Roman"/>
          <w:sz w:val="26"/>
          <w:szCs w:val="26"/>
        </w:rPr>
        <w:t xml:space="preserve"> 8</w:t>
      </w:r>
      <w:r w:rsidR="00905FB1" w:rsidRPr="00EE5714">
        <w:rPr>
          <w:rFonts w:ascii="Times New Roman" w:hAnsi="Times New Roman" w:cs="Times New Roman"/>
          <w:sz w:val="26"/>
          <w:szCs w:val="26"/>
        </w:rPr>
        <w:t xml:space="preserve"> to </w:t>
      </w:r>
      <w:r w:rsidRPr="00EE5714">
        <w:rPr>
          <w:rFonts w:ascii="Times New Roman" w:hAnsi="Times New Roman" w:cs="Times New Roman"/>
          <w:sz w:val="26"/>
          <w:szCs w:val="26"/>
        </w:rPr>
        <w:t>9%</w:t>
      </w:r>
      <w:r w:rsidR="00B32329" w:rsidRPr="00EE5714">
        <w:rPr>
          <w:rFonts w:ascii="Times New Roman" w:hAnsi="Times New Roman" w:cs="Times New Roman"/>
          <w:sz w:val="26"/>
          <w:szCs w:val="26"/>
        </w:rPr>
        <w:t>.</w:t>
      </w:r>
      <w:r w:rsidRPr="00EE5714">
        <w:rPr>
          <w:rFonts w:ascii="Times New Roman" w:hAnsi="Times New Roman" w:cs="Times New Roman"/>
          <w:sz w:val="26"/>
          <w:szCs w:val="26"/>
        </w:rPr>
        <w:t xml:space="preserve">  Peoples Equitable and both UGI utilities also fell within the CAP Policy Statement </w:t>
      </w:r>
      <w:r w:rsidR="009861F3" w:rsidRPr="00EE5714">
        <w:rPr>
          <w:rFonts w:ascii="Times New Roman" w:hAnsi="Times New Roman" w:cs="Times New Roman"/>
          <w:sz w:val="26"/>
          <w:szCs w:val="26"/>
        </w:rPr>
        <w:t>gui</w:t>
      </w:r>
      <w:r w:rsidR="00235D34" w:rsidRPr="00EE5714">
        <w:rPr>
          <w:rFonts w:ascii="Times New Roman" w:hAnsi="Times New Roman" w:cs="Times New Roman"/>
          <w:sz w:val="26"/>
          <w:szCs w:val="26"/>
        </w:rPr>
        <w:t>delines</w:t>
      </w:r>
      <w:r w:rsidR="00427A28" w:rsidRPr="00EE5714">
        <w:rPr>
          <w:rFonts w:ascii="Times New Roman" w:hAnsi="Times New Roman" w:cs="Times New Roman"/>
          <w:sz w:val="26"/>
          <w:szCs w:val="26"/>
        </w:rPr>
        <w:t xml:space="preserve"> for this income level</w:t>
      </w:r>
      <w:r w:rsidRPr="00EE5714">
        <w:rPr>
          <w:rFonts w:ascii="Times New Roman" w:hAnsi="Times New Roman" w:cs="Times New Roman"/>
          <w:sz w:val="26"/>
          <w:szCs w:val="26"/>
        </w:rPr>
        <w:t>.</w:t>
      </w:r>
    </w:p>
    <w:bookmarkEnd w:id="20"/>
    <w:p w14:paraId="2ED61A1D" w14:textId="77777777" w:rsidR="00516929" w:rsidRPr="00EE5714" w:rsidRDefault="00516929" w:rsidP="00516929">
      <w:pPr>
        <w:spacing w:after="0" w:line="240" w:lineRule="auto"/>
        <w:rPr>
          <w:rFonts w:ascii="Times New Roman" w:hAnsi="Times New Roman" w:cs="Times New Roman"/>
          <w:sz w:val="26"/>
          <w:szCs w:val="26"/>
        </w:rPr>
      </w:pPr>
    </w:p>
    <w:p w14:paraId="66B48D38" w14:textId="77777777" w:rsidR="00546847" w:rsidRPr="00EE5714" w:rsidRDefault="00546847" w:rsidP="00546847">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3-5</w:t>
      </w:r>
    </w:p>
    <w:p w14:paraId="379A9082" w14:textId="77777777" w:rsidR="00546847" w:rsidRPr="00EE5714" w:rsidRDefault="00546847" w:rsidP="00546847">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NGDC CAP Energy Burden Levels for Heating Customers at</w:t>
      </w:r>
    </w:p>
    <w:p w14:paraId="3FA6AC09" w14:textId="77777777" w:rsidR="00546847" w:rsidRPr="00EE5714" w:rsidRDefault="00546847" w:rsidP="00546847">
      <w:pPr>
        <w:keepNext/>
        <w:spacing w:after="0" w:line="240" w:lineRule="auto"/>
        <w:jc w:val="center"/>
        <w:rPr>
          <w:rFonts w:ascii="Times New Roman" w:hAnsi="Times New Roman" w:cs="Times New Roman"/>
          <w:sz w:val="26"/>
          <w:szCs w:val="26"/>
        </w:rPr>
      </w:pPr>
      <w:r w:rsidRPr="00EE5714">
        <w:rPr>
          <w:rFonts w:ascii="Times New Roman" w:hAnsi="Times New Roman" w:cs="Times New Roman"/>
          <w:b/>
          <w:bCs/>
          <w:sz w:val="26"/>
          <w:szCs w:val="26"/>
        </w:rPr>
        <w:t>101-150% of FPIG 2012-2016</w:t>
      </w:r>
    </w:p>
    <w:p w14:paraId="7822A2D1" w14:textId="77777777" w:rsidR="00546847" w:rsidRPr="00EE5714" w:rsidRDefault="00546847" w:rsidP="00DD6547">
      <w:pPr>
        <w:spacing w:after="0" w:line="360" w:lineRule="auto"/>
        <w:jc w:val="center"/>
        <w:rPr>
          <w:rFonts w:ascii="Times New Roman" w:hAnsi="Times New Roman" w:cs="Times New Roman"/>
          <w:sz w:val="26"/>
          <w:szCs w:val="26"/>
        </w:rPr>
      </w:pPr>
      <w:r w:rsidRPr="00EE5714">
        <w:rPr>
          <w:noProof/>
        </w:rPr>
        <w:drawing>
          <wp:inline distT="0" distB="0" distL="0" distR="0" wp14:anchorId="06E7642D" wp14:editId="75FAC765">
            <wp:extent cx="5718403" cy="3823604"/>
            <wp:effectExtent l="0" t="0" r="15875" b="5715"/>
            <wp:docPr id="17" name="Chart 17">
              <a:extLst xmlns:a="http://schemas.openxmlformats.org/drawingml/2006/main">
                <a:ext uri="{FF2B5EF4-FFF2-40B4-BE49-F238E27FC236}">
                  <a16:creationId xmlns:a16="http://schemas.microsoft.com/office/drawing/2014/main" id="{548E8B9D-2169-4AD3-A2CF-B02668075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CD2C0D" w14:textId="77777777" w:rsidR="00546847" w:rsidRPr="00EE5714" w:rsidRDefault="00546847" w:rsidP="00546847">
      <w:pPr>
        <w:spacing w:after="0" w:line="240" w:lineRule="auto"/>
        <w:rPr>
          <w:rFonts w:ascii="Times New Roman" w:hAnsi="Times New Roman" w:cs="Times New Roman"/>
          <w:i/>
          <w:sz w:val="26"/>
          <w:szCs w:val="26"/>
        </w:rPr>
      </w:pPr>
    </w:p>
    <w:p w14:paraId="511FDFF0" w14:textId="77777777" w:rsidR="00516929" w:rsidRPr="00EE5714" w:rsidRDefault="00516929" w:rsidP="00516929">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 xml:space="preserve">As seen in Table </w:t>
      </w:r>
      <w:r w:rsidR="008C4D39" w:rsidRPr="00EE5714">
        <w:rPr>
          <w:rFonts w:ascii="Times New Roman" w:hAnsi="Times New Roman" w:cs="Times New Roman"/>
          <w:sz w:val="26"/>
          <w:szCs w:val="26"/>
        </w:rPr>
        <w:t>3-5</w:t>
      </w:r>
      <w:r w:rsidR="0045414C" w:rsidRPr="00EE5714">
        <w:rPr>
          <w:rFonts w:ascii="Times New Roman" w:hAnsi="Times New Roman" w:cs="Times New Roman"/>
          <w:sz w:val="26"/>
          <w:szCs w:val="26"/>
        </w:rPr>
        <w:t xml:space="preserve"> </w:t>
      </w:r>
      <w:r w:rsidR="00546847" w:rsidRPr="00EE5714">
        <w:rPr>
          <w:rFonts w:ascii="Times New Roman" w:hAnsi="Times New Roman" w:cs="Times New Roman"/>
          <w:sz w:val="26"/>
          <w:szCs w:val="26"/>
        </w:rPr>
        <w:t>above</w:t>
      </w:r>
      <w:r w:rsidRPr="00EE5714">
        <w:rPr>
          <w:rFonts w:ascii="Times New Roman" w:hAnsi="Times New Roman" w:cs="Times New Roman"/>
          <w:sz w:val="26"/>
          <w:szCs w:val="26"/>
        </w:rPr>
        <w:t>, most NGDC CAP customers with incomes between 101</w:t>
      </w:r>
      <w:r w:rsidR="007C577C" w:rsidRPr="00EE5714">
        <w:rPr>
          <w:rFonts w:ascii="Times New Roman" w:hAnsi="Times New Roman" w:cs="Times New Roman"/>
          <w:sz w:val="26"/>
          <w:szCs w:val="26"/>
        </w:rPr>
        <w:t xml:space="preserve"> and </w:t>
      </w:r>
      <w:r w:rsidRPr="00EE5714">
        <w:rPr>
          <w:rFonts w:ascii="Times New Roman" w:hAnsi="Times New Roman" w:cs="Times New Roman"/>
          <w:sz w:val="26"/>
          <w:szCs w:val="26"/>
        </w:rPr>
        <w:t>150% of the FPIG had energy burdens at or below the CAP Policy Statement guidelines of 9</w:t>
      </w:r>
      <w:r w:rsidR="0035649E"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10%.  CAP customers in Columbia, both Peoples utilities, and both UGI utilities </w:t>
      </w:r>
      <w:r w:rsidR="005B1EA3" w:rsidRPr="00EE5714">
        <w:rPr>
          <w:rFonts w:ascii="Times New Roman" w:hAnsi="Times New Roman" w:cs="Times New Roman"/>
          <w:sz w:val="26"/>
          <w:szCs w:val="26"/>
        </w:rPr>
        <w:t>had energy burdens of</w:t>
      </w:r>
      <w:r w:rsidRPr="00EE5714">
        <w:rPr>
          <w:rFonts w:ascii="Times New Roman" w:hAnsi="Times New Roman" w:cs="Times New Roman"/>
          <w:sz w:val="26"/>
          <w:szCs w:val="26"/>
        </w:rPr>
        <w:t xml:space="preserve"> less than 9</w:t>
      </w:r>
      <w:r w:rsidR="002B4994" w:rsidRPr="00EE5714">
        <w:rPr>
          <w:rFonts w:ascii="Times New Roman" w:hAnsi="Times New Roman" w:cs="Times New Roman"/>
          <w:sz w:val="26"/>
          <w:szCs w:val="26"/>
        </w:rPr>
        <w:t xml:space="preserve"> to </w:t>
      </w:r>
      <w:r w:rsidRPr="00EE5714">
        <w:rPr>
          <w:rFonts w:ascii="Times New Roman" w:hAnsi="Times New Roman" w:cs="Times New Roman"/>
          <w:sz w:val="26"/>
          <w:szCs w:val="26"/>
        </w:rPr>
        <w:t>10%.  Columbia had a consistent average energy burden of 3%</w:t>
      </w:r>
      <w:r w:rsidR="00DD4719" w:rsidRPr="00EE5714">
        <w:rPr>
          <w:rFonts w:ascii="Times New Roman" w:hAnsi="Times New Roman" w:cs="Times New Roman"/>
          <w:sz w:val="26"/>
          <w:szCs w:val="26"/>
        </w:rPr>
        <w:t>.</w:t>
      </w:r>
      <w:r w:rsidRPr="00EE5714">
        <w:rPr>
          <w:rFonts w:ascii="Times New Roman" w:hAnsi="Times New Roman" w:cs="Times New Roman"/>
          <w:sz w:val="26"/>
          <w:szCs w:val="26"/>
          <w:vertAlign w:val="superscript"/>
        </w:rPr>
        <w:footnoteReference w:id="32"/>
      </w:r>
      <w:r w:rsidRPr="00EE5714">
        <w:rPr>
          <w:rFonts w:ascii="Times New Roman" w:hAnsi="Times New Roman" w:cs="Times New Roman"/>
          <w:sz w:val="26"/>
          <w:szCs w:val="26"/>
        </w:rPr>
        <w:t xml:space="preserve"> Peoples Gas</w:t>
      </w:r>
      <w:r w:rsidR="00DD4719" w:rsidRPr="00EE5714">
        <w:rPr>
          <w:rFonts w:ascii="Times New Roman" w:hAnsi="Times New Roman" w:cs="Times New Roman"/>
          <w:sz w:val="26"/>
          <w:szCs w:val="26"/>
        </w:rPr>
        <w:t>’ energy burdens</w:t>
      </w:r>
      <w:r w:rsidRPr="00EE5714">
        <w:rPr>
          <w:rFonts w:ascii="Times New Roman" w:hAnsi="Times New Roman" w:cs="Times New Roman"/>
          <w:sz w:val="26"/>
          <w:szCs w:val="26"/>
        </w:rPr>
        <w:t xml:space="preserve"> </w:t>
      </w:r>
      <w:r w:rsidR="00D95CA8" w:rsidRPr="00EE5714">
        <w:rPr>
          <w:rFonts w:ascii="Times New Roman" w:hAnsi="Times New Roman" w:cs="Times New Roman"/>
          <w:sz w:val="26"/>
          <w:szCs w:val="26"/>
        </w:rPr>
        <w:t>ranged</w:t>
      </w:r>
      <w:r w:rsidRPr="00EE5714">
        <w:rPr>
          <w:rFonts w:ascii="Times New Roman" w:hAnsi="Times New Roman" w:cs="Times New Roman"/>
          <w:sz w:val="26"/>
          <w:szCs w:val="26"/>
        </w:rPr>
        <w:t xml:space="preserve"> between 5-6%, Peoples Equitable between 5</w:t>
      </w:r>
      <w:r w:rsidR="0035649E" w:rsidRPr="00EE5714">
        <w:rPr>
          <w:rFonts w:ascii="Times New Roman" w:hAnsi="Times New Roman" w:cs="Times New Roman"/>
          <w:sz w:val="26"/>
          <w:szCs w:val="26"/>
        </w:rPr>
        <w:t xml:space="preserve"> and </w:t>
      </w:r>
      <w:r w:rsidRPr="00EE5714">
        <w:rPr>
          <w:rFonts w:ascii="Times New Roman" w:hAnsi="Times New Roman" w:cs="Times New Roman"/>
          <w:sz w:val="26"/>
          <w:szCs w:val="26"/>
        </w:rPr>
        <w:t>9%, UGI Gas between 4</w:t>
      </w:r>
      <w:r w:rsidR="0035649E" w:rsidRPr="00EE5714">
        <w:rPr>
          <w:rFonts w:ascii="Times New Roman" w:hAnsi="Times New Roman" w:cs="Times New Roman"/>
          <w:sz w:val="26"/>
          <w:szCs w:val="26"/>
        </w:rPr>
        <w:t xml:space="preserve"> and </w:t>
      </w:r>
      <w:r w:rsidRPr="00EE5714">
        <w:rPr>
          <w:rFonts w:ascii="Times New Roman" w:hAnsi="Times New Roman" w:cs="Times New Roman"/>
          <w:sz w:val="26"/>
          <w:szCs w:val="26"/>
        </w:rPr>
        <w:t>8%, and UGI Penn between 5</w:t>
      </w:r>
      <w:r w:rsidR="0035649E" w:rsidRPr="00EE5714">
        <w:rPr>
          <w:rFonts w:ascii="Times New Roman" w:hAnsi="Times New Roman" w:cs="Times New Roman"/>
          <w:sz w:val="26"/>
          <w:szCs w:val="26"/>
        </w:rPr>
        <w:t> and </w:t>
      </w:r>
      <w:r w:rsidRPr="00EE5714">
        <w:rPr>
          <w:rFonts w:ascii="Times New Roman" w:hAnsi="Times New Roman" w:cs="Times New Roman"/>
          <w:sz w:val="26"/>
          <w:szCs w:val="26"/>
        </w:rPr>
        <w:t xml:space="preserve">8%.  </w:t>
      </w:r>
    </w:p>
    <w:p w14:paraId="4EDEE5A2" w14:textId="77777777" w:rsidR="00516929" w:rsidRPr="00EE5714" w:rsidRDefault="00516929" w:rsidP="00516929">
      <w:pPr>
        <w:spacing w:after="0" w:line="240" w:lineRule="auto"/>
        <w:rPr>
          <w:rFonts w:ascii="Times New Roman" w:hAnsi="Times New Roman" w:cs="Times New Roman"/>
          <w:sz w:val="26"/>
          <w:szCs w:val="26"/>
        </w:rPr>
      </w:pPr>
    </w:p>
    <w:p w14:paraId="581C63D2"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PGW CAP customers paid on average between 10% </w:t>
      </w:r>
      <w:r w:rsidR="007C577C" w:rsidRPr="00EE5714">
        <w:rPr>
          <w:rFonts w:ascii="Times New Roman" w:hAnsi="Times New Roman" w:cs="Times New Roman"/>
          <w:sz w:val="26"/>
          <w:szCs w:val="26"/>
        </w:rPr>
        <w:t>and</w:t>
      </w:r>
      <w:r w:rsidRPr="00EE5714">
        <w:rPr>
          <w:rFonts w:ascii="Times New Roman" w:hAnsi="Times New Roman" w:cs="Times New Roman"/>
          <w:sz w:val="26"/>
          <w:szCs w:val="26"/>
        </w:rPr>
        <w:t xml:space="preserve"> 11% of income for CAP bills </w:t>
      </w:r>
      <w:r w:rsidR="00E3422F" w:rsidRPr="00EE5714">
        <w:rPr>
          <w:rFonts w:ascii="Times New Roman" w:hAnsi="Times New Roman" w:cs="Times New Roman"/>
          <w:sz w:val="26"/>
          <w:szCs w:val="26"/>
        </w:rPr>
        <w:t xml:space="preserve">and thus </w:t>
      </w:r>
      <w:r w:rsidR="0052182D" w:rsidRPr="00EE5714">
        <w:rPr>
          <w:rFonts w:ascii="Times New Roman" w:hAnsi="Times New Roman" w:cs="Times New Roman"/>
          <w:sz w:val="26"/>
          <w:szCs w:val="26"/>
        </w:rPr>
        <w:t xml:space="preserve">had </w:t>
      </w:r>
      <w:r w:rsidR="00E3422F" w:rsidRPr="00EE5714">
        <w:rPr>
          <w:rFonts w:ascii="Times New Roman" w:hAnsi="Times New Roman" w:cs="Times New Roman"/>
          <w:sz w:val="26"/>
          <w:szCs w:val="26"/>
        </w:rPr>
        <w:t>energy burdens</w:t>
      </w:r>
      <w:r w:rsidRPr="00EE5714">
        <w:rPr>
          <w:rFonts w:ascii="Times New Roman" w:hAnsi="Times New Roman" w:cs="Times New Roman"/>
          <w:sz w:val="26"/>
          <w:szCs w:val="26"/>
        </w:rPr>
        <w:t xml:space="preserve"> during the five years of this study which </w:t>
      </w:r>
      <w:r w:rsidR="0052182D" w:rsidRPr="00EE5714">
        <w:rPr>
          <w:rFonts w:ascii="Times New Roman" w:hAnsi="Times New Roman" w:cs="Times New Roman"/>
          <w:sz w:val="26"/>
          <w:szCs w:val="26"/>
        </w:rPr>
        <w:t>were</w:t>
      </w:r>
      <w:r w:rsidRPr="00EE5714">
        <w:rPr>
          <w:rFonts w:ascii="Times New Roman" w:hAnsi="Times New Roman" w:cs="Times New Roman"/>
          <w:sz w:val="26"/>
          <w:szCs w:val="26"/>
        </w:rPr>
        <w:t xml:space="preserve"> above the range in the CAP Policy Statement guidelines.  In-program arrears </w:t>
      </w:r>
      <w:r w:rsidR="00D202F3" w:rsidRPr="00EE5714">
        <w:rPr>
          <w:rFonts w:ascii="Times New Roman" w:hAnsi="Times New Roman" w:cs="Times New Roman"/>
          <w:sz w:val="26"/>
          <w:szCs w:val="26"/>
        </w:rPr>
        <w:t>may have</w:t>
      </w:r>
      <w:r w:rsidRPr="00EE5714">
        <w:rPr>
          <w:rFonts w:ascii="Times New Roman" w:hAnsi="Times New Roman" w:cs="Times New Roman"/>
          <w:sz w:val="26"/>
          <w:szCs w:val="26"/>
        </w:rPr>
        <w:t xml:space="preserve"> </w:t>
      </w:r>
      <w:r w:rsidR="003C169E" w:rsidRPr="00EE5714">
        <w:rPr>
          <w:rFonts w:ascii="Times New Roman" w:hAnsi="Times New Roman" w:cs="Times New Roman"/>
          <w:sz w:val="26"/>
          <w:szCs w:val="26"/>
        </w:rPr>
        <w:t xml:space="preserve">also </w:t>
      </w:r>
      <w:r w:rsidRPr="00EE5714">
        <w:rPr>
          <w:rFonts w:ascii="Times New Roman" w:hAnsi="Times New Roman" w:cs="Times New Roman"/>
          <w:sz w:val="26"/>
          <w:szCs w:val="26"/>
        </w:rPr>
        <w:t xml:space="preserve">added to the monthly CAP bill </w:t>
      </w:r>
      <w:r w:rsidR="004038BD" w:rsidRPr="00EE5714">
        <w:rPr>
          <w:rFonts w:ascii="Times New Roman" w:hAnsi="Times New Roman" w:cs="Times New Roman"/>
          <w:sz w:val="26"/>
          <w:szCs w:val="26"/>
        </w:rPr>
        <w:t xml:space="preserve">of some PGW CAP customers </w:t>
      </w:r>
      <w:r w:rsidR="003C169E" w:rsidRPr="00EE5714">
        <w:rPr>
          <w:rFonts w:ascii="Times New Roman" w:hAnsi="Times New Roman" w:cs="Times New Roman"/>
          <w:sz w:val="26"/>
          <w:szCs w:val="26"/>
        </w:rPr>
        <w:t>and</w:t>
      </w:r>
      <w:r w:rsidR="004038BD"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may account for why </w:t>
      </w:r>
      <w:r w:rsidR="00D202F3" w:rsidRPr="00EE5714">
        <w:rPr>
          <w:rFonts w:ascii="Times New Roman" w:hAnsi="Times New Roman" w:cs="Times New Roman"/>
          <w:sz w:val="26"/>
          <w:szCs w:val="26"/>
        </w:rPr>
        <w:t>energy burdens</w:t>
      </w:r>
      <w:r w:rsidR="00940B78" w:rsidRPr="00EE5714">
        <w:rPr>
          <w:rFonts w:ascii="Times New Roman" w:hAnsi="Times New Roman" w:cs="Times New Roman"/>
          <w:sz w:val="26"/>
          <w:szCs w:val="26"/>
        </w:rPr>
        <w:t xml:space="preserve"> were</w:t>
      </w:r>
      <w:r w:rsidRPr="00EE5714">
        <w:rPr>
          <w:rFonts w:ascii="Times New Roman" w:hAnsi="Times New Roman" w:cs="Times New Roman"/>
          <w:sz w:val="26"/>
          <w:szCs w:val="26"/>
        </w:rPr>
        <w:t xml:space="preserve"> on average over 10%</w:t>
      </w:r>
      <w:r w:rsidR="00940B78" w:rsidRPr="00EE5714">
        <w:rPr>
          <w:rFonts w:ascii="Times New Roman" w:hAnsi="Times New Roman" w:cs="Times New Roman"/>
          <w:sz w:val="26"/>
          <w:szCs w:val="26"/>
        </w:rPr>
        <w:t>.</w:t>
      </w:r>
      <w:r w:rsidRPr="00EE5714">
        <w:rPr>
          <w:rFonts w:ascii="Times New Roman" w:hAnsi="Times New Roman" w:cs="Times New Roman"/>
          <w:sz w:val="26"/>
          <w:szCs w:val="26"/>
        </w:rPr>
        <w:t xml:space="preserve">  </w:t>
      </w:r>
    </w:p>
    <w:p w14:paraId="542E65AD" w14:textId="77777777" w:rsidR="00516929" w:rsidRPr="00EE5714" w:rsidRDefault="00516929" w:rsidP="00516929">
      <w:pPr>
        <w:spacing w:after="0" w:line="240" w:lineRule="auto"/>
        <w:jc w:val="center"/>
        <w:rPr>
          <w:rFonts w:ascii="Times New Roman" w:hAnsi="Times New Roman" w:cs="Times New Roman"/>
          <w:sz w:val="26"/>
          <w:szCs w:val="26"/>
        </w:rPr>
      </w:pPr>
    </w:p>
    <w:p w14:paraId="12FF7764" w14:textId="77777777" w:rsidR="00516929" w:rsidRPr="00EE5714" w:rsidRDefault="00516929" w:rsidP="00395F6D">
      <w:pPr>
        <w:keepNext/>
        <w:spacing w:after="0" w:line="240" w:lineRule="auto"/>
        <w:rPr>
          <w:rFonts w:ascii="Times New Roman" w:hAnsi="Times New Roman" w:cs="Times New Roman"/>
          <w:b/>
          <w:bCs/>
          <w:i/>
          <w:iCs/>
          <w:sz w:val="26"/>
          <w:szCs w:val="26"/>
        </w:rPr>
      </w:pPr>
      <w:bookmarkStart w:id="21" w:name="_Hlk524943544"/>
      <w:r w:rsidRPr="00EE5714">
        <w:rPr>
          <w:rFonts w:ascii="Times New Roman" w:hAnsi="Times New Roman" w:cs="Times New Roman"/>
          <w:b/>
          <w:bCs/>
          <w:i/>
          <w:iCs/>
          <w:sz w:val="26"/>
          <w:szCs w:val="26"/>
        </w:rPr>
        <w:lastRenderedPageBreak/>
        <w:t>EDC CAP Customers</w:t>
      </w:r>
    </w:p>
    <w:p w14:paraId="6D93ED20" w14:textId="77777777" w:rsidR="00AF2AA2" w:rsidRPr="00EE5714" w:rsidRDefault="00AF2AA2" w:rsidP="00395F6D">
      <w:pPr>
        <w:keepNext/>
        <w:spacing w:after="0" w:line="240" w:lineRule="auto"/>
        <w:rPr>
          <w:rFonts w:ascii="Times New Roman" w:hAnsi="Times New Roman" w:cs="Times New Roman"/>
          <w:b/>
          <w:bCs/>
          <w:i/>
          <w:iCs/>
          <w:sz w:val="26"/>
          <w:szCs w:val="26"/>
        </w:rPr>
      </w:pPr>
    </w:p>
    <w:p w14:paraId="5EFCCE7F" w14:textId="77777777" w:rsidR="00AF2AA2" w:rsidRPr="00EE5714" w:rsidRDefault="00AF2AA2" w:rsidP="00AF2AA2">
      <w:pPr>
        <w:keepNext/>
        <w:spacing w:after="0" w:line="240" w:lineRule="auto"/>
        <w:ind w:firstLine="720"/>
        <w:jc w:val="center"/>
        <w:rPr>
          <w:rFonts w:ascii="Times New Roman" w:hAnsi="Times New Roman" w:cs="Times New Roman"/>
          <w:sz w:val="26"/>
          <w:szCs w:val="26"/>
        </w:rPr>
      </w:pPr>
      <w:r w:rsidRPr="00EE5714">
        <w:rPr>
          <w:rFonts w:ascii="Times New Roman" w:hAnsi="Times New Roman" w:cs="Times New Roman"/>
          <w:b/>
          <w:bCs/>
          <w:sz w:val="26"/>
          <w:szCs w:val="26"/>
        </w:rPr>
        <w:t>Table 3-6</w:t>
      </w:r>
    </w:p>
    <w:p w14:paraId="238AD14E" w14:textId="77777777" w:rsidR="00AF2AA2" w:rsidRPr="00EE5714" w:rsidRDefault="00AF2AA2" w:rsidP="00AF2AA2">
      <w:pPr>
        <w:keepNext/>
        <w:spacing w:after="0" w:line="240" w:lineRule="auto"/>
        <w:ind w:firstLine="720"/>
        <w:jc w:val="center"/>
        <w:rPr>
          <w:rFonts w:ascii="Times New Roman" w:hAnsi="Times New Roman" w:cs="Times New Roman"/>
          <w:b/>
          <w:bCs/>
          <w:sz w:val="26"/>
          <w:szCs w:val="26"/>
        </w:rPr>
      </w:pPr>
      <w:r w:rsidRPr="00EE5714">
        <w:rPr>
          <w:rFonts w:ascii="Times New Roman" w:hAnsi="Times New Roman" w:cs="Times New Roman"/>
          <w:b/>
          <w:bCs/>
          <w:sz w:val="26"/>
          <w:szCs w:val="26"/>
        </w:rPr>
        <w:t>EDC CAP Energy Burden Levels for Heating Customers at</w:t>
      </w:r>
    </w:p>
    <w:p w14:paraId="1F8C57C8" w14:textId="77777777" w:rsidR="00AF2AA2" w:rsidRPr="00EE5714" w:rsidRDefault="00AF2AA2" w:rsidP="00AF2AA2">
      <w:pPr>
        <w:keepNext/>
        <w:spacing w:after="0" w:line="240" w:lineRule="auto"/>
        <w:ind w:firstLine="720"/>
        <w:jc w:val="center"/>
        <w:rPr>
          <w:rFonts w:ascii="Times New Roman" w:hAnsi="Times New Roman" w:cs="Times New Roman"/>
          <w:b/>
          <w:bCs/>
          <w:sz w:val="26"/>
          <w:szCs w:val="26"/>
        </w:rPr>
      </w:pPr>
      <w:r w:rsidRPr="00EE5714">
        <w:rPr>
          <w:rFonts w:ascii="Times New Roman" w:hAnsi="Times New Roman" w:cs="Times New Roman"/>
          <w:b/>
          <w:bCs/>
          <w:sz w:val="26"/>
          <w:szCs w:val="26"/>
        </w:rPr>
        <w:t>0-50% of FPIG 2012-2016</w:t>
      </w:r>
    </w:p>
    <w:p w14:paraId="66106134" w14:textId="77777777" w:rsidR="00AF2AA2" w:rsidRPr="00EE5714" w:rsidRDefault="00AF2AA2" w:rsidP="00C66C85">
      <w:pPr>
        <w:spacing w:after="0" w:line="360" w:lineRule="auto"/>
        <w:jc w:val="center"/>
        <w:rPr>
          <w:rFonts w:ascii="Times New Roman" w:hAnsi="Times New Roman" w:cs="Times New Roman"/>
          <w:sz w:val="26"/>
          <w:szCs w:val="26"/>
        </w:rPr>
      </w:pPr>
      <w:r w:rsidRPr="00EE5714">
        <w:rPr>
          <w:noProof/>
        </w:rPr>
        <w:drawing>
          <wp:inline distT="0" distB="0" distL="0" distR="0" wp14:anchorId="30C05E9C" wp14:editId="5EFA5652">
            <wp:extent cx="5634039" cy="3776663"/>
            <wp:effectExtent l="0" t="0" r="5080" b="14605"/>
            <wp:docPr id="18" name="Chart 18">
              <a:extLst xmlns:a="http://schemas.openxmlformats.org/drawingml/2006/main">
                <a:ext uri="{FF2B5EF4-FFF2-40B4-BE49-F238E27FC236}">
                  <a16:creationId xmlns:a16="http://schemas.microsoft.com/office/drawing/2014/main" id="{2F50934E-2495-41BC-B0DE-D04DBF030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6E0805" w14:textId="77777777" w:rsidR="00516929" w:rsidRPr="00EE5714" w:rsidRDefault="00516929" w:rsidP="00A264A6">
      <w:pPr>
        <w:keepNext/>
        <w:spacing w:after="0" w:line="240" w:lineRule="auto"/>
        <w:rPr>
          <w:rFonts w:ascii="Times New Roman" w:hAnsi="Times New Roman" w:cs="Times New Roman"/>
          <w:i/>
          <w:sz w:val="26"/>
          <w:szCs w:val="26"/>
        </w:rPr>
      </w:pPr>
    </w:p>
    <w:p w14:paraId="21367286"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As seen in Table </w:t>
      </w:r>
      <w:r w:rsidR="008C4D39" w:rsidRPr="00EE5714">
        <w:rPr>
          <w:rFonts w:ascii="Times New Roman" w:hAnsi="Times New Roman" w:cs="Times New Roman"/>
          <w:sz w:val="26"/>
          <w:szCs w:val="26"/>
        </w:rPr>
        <w:t>3-6</w:t>
      </w:r>
      <w:r w:rsidRPr="00EE5714">
        <w:rPr>
          <w:rFonts w:ascii="Times New Roman" w:hAnsi="Times New Roman" w:cs="Times New Roman"/>
          <w:sz w:val="26"/>
          <w:szCs w:val="26"/>
        </w:rPr>
        <w:t xml:space="preserve">, EDC CAP customers of Duquesne, </w:t>
      </w:r>
      <w:proofErr w:type="spellStart"/>
      <w:r w:rsidRPr="00EE5714">
        <w:rPr>
          <w:rFonts w:ascii="Times New Roman" w:hAnsi="Times New Roman" w:cs="Times New Roman"/>
          <w:sz w:val="26"/>
          <w:szCs w:val="26"/>
        </w:rPr>
        <w:t>Penelec</w:t>
      </w:r>
      <w:proofErr w:type="spellEnd"/>
      <w:r w:rsidRPr="00EE5714">
        <w:rPr>
          <w:rFonts w:ascii="Times New Roman" w:hAnsi="Times New Roman" w:cs="Times New Roman"/>
          <w:sz w:val="26"/>
          <w:szCs w:val="26"/>
        </w:rPr>
        <w:t xml:space="preserve">, Penn Power, PPL, West Penn, and PECO Electric at </w:t>
      </w:r>
      <w:r w:rsidR="002C11E2" w:rsidRPr="00EE5714">
        <w:rPr>
          <w:rFonts w:ascii="Times New Roman" w:hAnsi="Times New Roman" w:cs="Times New Roman"/>
          <w:sz w:val="26"/>
          <w:szCs w:val="26"/>
        </w:rPr>
        <w:t xml:space="preserve">the </w:t>
      </w:r>
      <w:r w:rsidRPr="00EE5714">
        <w:rPr>
          <w:rFonts w:ascii="Times New Roman" w:hAnsi="Times New Roman" w:cs="Times New Roman"/>
          <w:sz w:val="26"/>
          <w:szCs w:val="26"/>
        </w:rPr>
        <w:t>0</w:t>
      </w:r>
      <w:r w:rsidR="002C11E2" w:rsidRPr="00EE5714">
        <w:rPr>
          <w:rFonts w:ascii="Times New Roman" w:hAnsi="Times New Roman" w:cs="Times New Roman"/>
          <w:sz w:val="26"/>
          <w:szCs w:val="26"/>
        </w:rPr>
        <w:t xml:space="preserve"> to </w:t>
      </w:r>
      <w:r w:rsidRPr="00EE5714">
        <w:rPr>
          <w:rFonts w:ascii="Times New Roman" w:hAnsi="Times New Roman" w:cs="Times New Roman"/>
          <w:sz w:val="26"/>
          <w:szCs w:val="26"/>
        </w:rPr>
        <w:t>50% FPIG level with electric heating accounts exceeded the CAP Policy Statement energy burden range of 7</w:t>
      </w:r>
      <w:r w:rsidR="00A264A6"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13%.  The average energy burdens for most EDC CAP customers at this income level exceeded this range.  </w:t>
      </w:r>
      <w:r w:rsidR="00863EFE" w:rsidRPr="00EE5714">
        <w:rPr>
          <w:rFonts w:ascii="Times New Roman" w:hAnsi="Times New Roman" w:cs="Times New Roman"/>
          <w:sz w:val="26"/>
          <w:szCs w:val="26"/>
        </w:rPr>
        <w:t>Met-Ed</w:t>
      </w:r>
      <w:r w:rsidRPr="00EE5714">
        <w:rPr>
          <w:rFonts w:ascii="Times New Roman" w:hAnsi="Times New Roman" w:cs="Times New Roman"/>
          <w:sz w:val="26"/>
          <w:szCs w:val="26"/>
        </w:rPr>
        <w:t xml:space="preserve"> is the only EDC with energy burden levels within the CAP Policy Statement range for this income category.</w:t>
      </w:r>
      <w:r w:rsidRPr="00EE5714">
        <w:rPr>
          <w:rFonts w:ascii="Times New Roman" w:hAnsi="Times New Roman" w:cs="Times New Roman"/>
          <w:sz w:val="26"/>
          <w:szCs w:val="26"/>
          <w:vertAlign w:val="superscript"/>
        </w:rPr>
        <w:footnoteReference w:id="33"/>
      </w:r>
      <w:r w:rsidRPr="00EE5714">
        <w:rPr>
          <w:rFonts w:ascii="Times New Roman" w:hAnsi="Times New Roman" w:cs="Times New Roman"/>
          <w:sz w:val="26"/>
          <w:szCs w:val="26"/>
        </w:rPr>
        <w:t xml:space="preserve">  Most EDC CAP </w:t>
      </w:r>
      <w:r w:rsidR="009E157B" w:rsidRPr="00EE5714">
        <w:rPr>
          <w:rFonts w:ascii="Times New Roman" w:hAnsi="Times New Roman" w:cs="Times New Roman"/>
          <w:sz w:val="26"/>
          <w:szCs w:val="26"/>
        </w:rPr>
        <w:t xml:space="preserve">heating </w:t>
      </w:r>
      <w:r w:rsidRPr="00EE5714">
        <w:rPr>
          <w:rFonts w:ascii="Times New Roman" w:hAnsi="Times New Roman" w:cs="Times New Roman"/>
          <w:sz w:val="26"/>
          <w:szCs w:val="26"/>
        </w:rPr>
        <w:t xml:space="preserve">customers within this income category had average energy burden levels exceeding 20% for most years in this study. </w:t>
      </w:r>
      <w:r w:rsidR="00B07664" w:rsidRPr="00EE5714">
        <w:rPr>
          <w:rFonts w:ascii="Times New Roman" w:hAnsi="Times New Roman" w:cs="Times New Roman"/>
          <w:sz w:val="26"/>
          <w:szCs w:val="26"/>
        </w:rPr>
        <w:t xml:space="preserve"> </w:t>
      </w:r>
      <w:r w:rsidR="00220BDA" w:rsidRPr="00EE5714">
        <w:rPr>
          <w:rFonts w:ascii="Times New Roman" w:hAnsi="Times New Roman" w:cs="Times New Roman"/>
          <w:sz w:val="26"/>
          <w:szCs w:val="26"/>
        </w:rPr>
        <w:t xml:space="preserve">However, </w:t>
      </w:r>
      <w:r w:rsidR="00E72ED8" w:rsidRPr="00EE5714">
        <w:rPr>
          <w:rFonts w:ascii="Times New Roman" w:hAnsi="Times New Roman" w:cs="Times New Roman"/>
          <w:sz w:val="26"/>
          <w:szCs w:val="26"/>
        </w:rPr>
        <w:t>it is unclear whether</w:t>
      </w:r>
      <w:r w:rsidR="00454F48" w:rsidRPr="00EE5714">
        <w:rPr>
          <w:rFonts w:ascii="Times New Roman" w:hAnsi="Times New Roman" w:cs="Times New Roman"/>
          <w:sz w:val="26"/>
          <w:szCs w:val="26"/>
        </w:rPr>
        <w:t xml:space="preserve"> </w:t>
      </w:r>
      <w:r w:rsidR="00220BDA" w:rsidRPr="00EE5714">
        <w:rPr>
          <w:rFonts w:ascii="Times New Roman" w:hAnsi="Times New Roman" w:cs="Times New Roman"/>
          <w:sz w:val="26"/>
          <w:szCs w:val="26"/>
        </w:rPr>
        <w:t xml:space="preserve">utilities </w:t>
      </w:r>
      <w:r w:rsidR="00055F04" w:rsidRPr="00EE5714">
        <w:rPr>
          <w:rFonts w:ascii="Times New Roman" w:hAnsi="Times New Roman" w:cs="Times New Roman"/>
          <w:sz w:val="26"/>
          <w:szCs w:val="26"/>
        </w:rPr>
        <w:t>included</w:t>
      </w:r>
      <w:r w:rsidR="00220BDA" w:rsidRPr="00EE5714">
        <w:rPr>
          <w:rFonts w:ascii="Times New Roman" w:hAnsi="Times New Roman" w:cs="Times New Roman"/>
          <w:sz w:val="26"/>
          <w:szCs w:val="26"/>
        </w:rPr>
        <w:t xml:space="preserve"> zero</w:t>
      </w:r>
      <w:r w:rsidR="00B253E1" w:rsidRPr="00EE5714">
        <w:rPr>
          <w:rFonts w:ascii="Times New Roman" w:hAnsi="Times New Roman" w:cs="Times New Roman"/>
          <w:sz w:val="26"/>
          <w:szCs w:val="26"/>
        </w:rPr>
        <w:t>-</w:t>
      </w:r>
      <w:r w:rsidR="00220BDA" w:rsidRPr="00EE5714">
        <w:rPr>
          <w:rFonts w:ascii="Times New Roman" w:hAnsi="Times New Roman" w:cs="Times New Roman"/>
          <w:sz w:val="26"/>
          <w:szCs w:val="26"/>
        </w:rPr>
        <w:t>income customers</w:t>
      </w:r>
      <w:r w:rsidR="00055F04" w:rsidRPr="00EE5714">
        <w:rPr>
          <w:rFonts w:ascii="Times New Roman" w:hAnsi="Times New Roman" w:cs="Times New Roman"/>
          <w:sz w:val="26"/>
          <w:szCs w:val="26"/>
        </w:rPr>
        <w:t xml:space="preserve"> in the data used for th</w:t>
      </w:r>
      <w:r w:rsidR="00EB2C4F" w:rsidRPr="00EE5714">
        <w:rPr>
          <w:rFonts w:ascii="Times New Roman" w:hAnsi="Times New Roman" w:cs="Times New Roman"/>
          <w:sz w:val="26"/>
          <w:szCs w:val="26"/>
        </w:rPr>
        <w:t>ese energy burden</w:t>
      </w:r>
      <w:r w:rsidR="00A307A3" w:rsidRPr="00EE5714">
        <w:rPr>
          <w:rFonts w:ascii="Times New Roman" w:hAnsi="Times New Roman" w:cs="Times New Roman"/>
          <w:sz w:val="26"/>
          <w:szCs w:val="26"/>
        </w:rPr>
        <w:t xml:space="preserve"> calculations</w:t>
      </w:r>
      <w:r w:rsidR="00454F48" w:rsidRPr="00EE5714">
        <w:rPr>
          <w:rFonts w:ascii="Times New Roman" w:hAnsi="Times New Roman" w:cs="Times New Roman"/>
          <w:sz w:val="26"/>
          <w:szCs w:val="26"/>
        </w:rPr>
        <w:t>.</w:t>
      </w:r>
      <w:r w:rsidR="008562B3"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    </w:t>
      </w:r>
    </w:p>
    <w:p w14:paraId="40D435D4" w14:textId="77777777" w:rsidR="00516929" w:rsidRPr="00EE5714" w:rsidRDefault="00516929" w:rsidP="00516929">
      <w:pPr>
        <w:spacing w:after="0" w:line="240" w:lineRule="auto"/>
        <w:ind w:firstLine="720"/>
        <w:rPr>
          <w:rFonts w:ascii="Times New Roman" w:hAnsi="Times New Roman" w:cs="Times New Roman"/>
          <w:sz w:val="26"/>
          <w:szCs w:val="26"/>
        </w:rPr>
      </w:pPr>
    </w:p>
    <w:p w14:paraId="2821D3DE" w14:textId="77777777" w:rsidR="00EB0825" w:rsidRPr="00EE5714" w:rsidRDefault="00EB0825" w:rsidP="00EB0825">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3-7</w:t>
      </w:r>
    </w:p>
    <w:p w14:paraId="34C9BAEC" w14:textId="77777777" w:rsidR="00EB0825" w:rsidRPr="00EE5714" w:rsidRDefault="00EB0825" w:rsidP="00EB0825">
      <w:pPr>
        <w:keepNext/>
        <w:keepLines/>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EDC CAP Energy Burden Levels for Heating Customers at </w:t>
      </w:r>
    </w:p>
    <w:p w14:paraId="3A14D051" w14:textId="77777777" w:rsidR="00EB0825" w:rsidRPr="00EE5714" w:rsidRDefault="00EB0825" w:rsidP="00EB0825">
      <w:pPr>
        <w:keepNext/>
        <w:keepLines/>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51-100% of FPIG 2012-2016</w:t>
      </w:r>
    </w:p>
    <w:p w14:paraId="4B88926F" w14:textId="77777777" w:rsidR="00EB0825" w:rsidRPr="00EE5714" w:rsidRDefault="00EB0825" w:rsidP="008A2820">
      <w:pPr>
        <w:spacing w:after="0" w:line="360" w:lineRule="auto"/>
        <w:jc w:val="center"/>
        <w:rPr>
          <w:rFonts w:ascii="Times New Roman" w:hAnsi="Times New Roman" w:cs="Times New Roman"/>
          <w:sz w:val="26"/>
          <w:szCs w:val="26"/>
        </w:rPr>
      </w:pPr>
      <w:r w:rsidRPr="00EE5714">
        <w:rPr>
          <w:noProof/>
        </w:rPr>
        <w:drawing>
          <wp:inline distT="0" distB="0" distL="0" distR="0" wp14:anchorId="44CE64DA" wp14:editId="3CFFC99A">
            <wp:extent cx="5653088" cy="3814763"/>
            <wp:effectExtent l="0" t="0" r="5080" b="14605"/>
            <wp:docPr id="20" name="Chart 20">
              <a:extLst xmlns:a="http://schemas.openxmlformats.org/drawingml/2006/main">
                <a:ext uri="{FF2B5EF4-FFF2-40B4-BE49-F238E27FC236}">
                  <a16:creationId xmlns:a16="http://schemas.microsoft.com/office/drawing/2014/main" id="{CB903DA3-498F-44DB-9A1F-CD5429F3A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669273" w14:textId="77777777" w:rsidR="00EB0825" w:rsidRPr="00EE5714" w:rsidRDefault="00EB0825" w:rsidP="00EB0825">
      <w:pPr>
        <w:spacing w:after="0" w:line="240" w:lineRule="auto"/>
        <w:rPr>
          <w:rFonts w:ascii="Times New Roman" w:hAnsi="Times New Roman" w:cs="Times New Roman"/>
          <w:sz w:val="26"/>
          <w:szCs w:val="26"/>
        </w:rPr>
      </w:pPr>
    </w:p>
    <w:p w14:paraId="670D35B8"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As seen in Table </w:t>
      </w:r>
      <w:r w:rsidR="008C4D39" w:rsidRPr="00EE5714">
        <w:rPr>
          <w:rFonts w:ascii="Times New Roman" w:hAnsi="Times New Roman" w:cs="Times New Roman"/>
          <w:sz w:val="26"/>
          <w:szCs w:val="26"/>
        </w:rPr>
        <w:t>3-7</w:t>
      </w:r>
      <w:r w:rsidRPr="00EE5714">
        <w:rPr>
          <w:rFonts w:ascii="Times New Roman" w:hAnsi="Times New Roman" w:cs="Times New Roman"/>
          <w:sz w:val="26"/>
          <w:szCs w:val="26"/>
        </w:rPr>
        <w:t>, all utilit</w:t>
      </w:r>
      <w:r w:rsidR="00256221" w:rsidRPr="00EE5714">
        <w:rPr>
          <w:rFonts w:ascii="Times New Roman" w:hAnsi="Times New Roman" w:cs="Times New Roman"/>
          <w:sz w:val="26"/>
          <w:szCs w:val="26"/>
        </w:rPr>
        <w:t>ies</w:t>
      </w:r>
      <w:r w:rsidRPr="00EE5714">
        <w:rPr>
          <w:rFonts w:ascii="Times New Roman" w:hAnsi="Times New Roman" w:cs="Times New Roman"/>
          <w:sz w:val="26"/>
          <w:szCs w:val="26"/>
        </w:rPr>
        <w:t xml:space="preserve"> were below or within the CAP Policy Statement maximum energy burden range of 11-16%.  PECO Electric and Duquesne CAP heating energy burdens were within this range.  The remainder of the EDCs had CAP energy burdens at or below 11%.</w:t>
      </w:r>
    </w:p>
    <w:p w14:paraId="00D2BBEC" w14:textId="77777777" w:rsidR="00516929" w:rsidRPr="00EE5714" w:rsidRDefault="00516929" w:rsidP="00516929">
      <w:pPr>
        <w:spacing w:after="0" w:line="240" w:lineRule="auto"/>
        <w:ind w:firstLine="720"/>
        <w:rPr>
          <w:rFonts w:ascii="Times New Roman" w:hAnsi="Times New Roman" w:cs="Times New Roman"/>
          <w:sz w:val="26"/>
          <w:szCs w:val="26"/>
        </w:rPr>
      </w:pPr>
    </w:p>
    <w:p w14:paraId="2F800BAD" w14:textId="77777777" w:rsidR="00AF6B4E" w:rsidRPr="00EE5714" w:rsidRDefault="00AF6B4E" w:rsidP="00AF6B4E">
      <w:pPr>
        <w:keepNext/>
        <w:spacing w:after="0" w:line="240" w:lineRule="auto"/>
        <w:jc w:val="center"/>
        <w:rPr>
          <w:rFonts w:ascii="Times New Roman" w:hAnsi="Times New Roman" w:cs="Times New Roman"/>
          <w:b/>
          <w:noProof/>
          <w:sz w:val="26"/>
          <w:szCs w:val="26"/>
        </w:rPr>
      </w:pPr>
      <w:r w:rsidRPr="00EE5714">
        <w:rPr>
          <w:rFonts w:ascii="Times New Roman" w:hAnsi="Times New Roman" w:cs="Times New Roman"/>
          <w:b/>
          <w:noProof/>
          <w:sz w:val="26"/>
          <w:szCs w:val="26"/>
        </w:rPr>
        <w:lastRenderedPageBreak/>
        <w:t>Table 3-8</w:t>
      </w:r>
    </w:p>
    <w:p w14:paraId="5E4CB580" w14:textId="77777777" w:rsidR="00AF6B4E" w:rsidRPr="00EE5714" w:rsidRDefault="00AF6B4E" w:rsidP="00AF6B4E">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EDC CAP Energy Burden Levels for Heating Customers at </w:t>
      </w:r>
    </w:p>
    <w:p w14:paraId="3FDBEA0C" w14:textId="77777777" w:rsidR="00AF6B4E" w:rsidRPr="00EE5714" w:rsidRDefault="00AF6B4E" w:rsidP="00AF6B4E">
      <w:pPr>
        <w:keepNext/>
        <w:spacing w:after="0" w:line="240" w:lineRule="auto"/>
        <w:jc w:val="center"/>
        <w:rPr>
          <w:rFonts w:ascii="Times New Roman" w:hAnsi="Times New Roman" w:cs="Times New Roman"/>
          <w:b/>
          <w:bCs/>
          <w:noProof/>
          <w:sz w:val="26"/>
          <w:szCs w:val="26"/>
        </w:rPr>
      </w:pPr>
      <w:r w:rsidRPr="00EE5714">
        <w:rPr>
          <w:rFonts w:ascii="Times New Roman" w:hAnsi="Times New Roman" w:cs="Times New Roman"/>
          <w:b/>
          <w:bCs/>
          <w:sz w:val="26"/>
          <w:szCs w:val="26"/>
        </w:rPr>
        <w:t>101-150% of FPIG 2012-2016</w:t>
      </w:r>
    </w:p>
    <w:p w14:paraId="72AE97C9" w14:textId="77777777" w:rsidR="00AF6B4E" w:rsidRPr="00EE5714" w:rsidRDefault="00AF6B4E" w:rsidP="008A2820">
      <w:pPr>
        <w:spacing w:after="0" w:line="360" w:lineRule="auto"/>
        <w:jc w:val="center"/>
        <w:rPr>
          <w:rFonts w:ascii="Times New Roman" w:hAnsi="Times New Roman" w:cs="Times New Roman"/>
          <w:sz w:val="26"/>
          <w:szCs w:val="26"/>
        </w:rPr>
      </w:pPr>
      <w:r w:rsidRPr="00EE5714">
        <w:rPr>
          <w:noProof/>
        </w:rPr>
        <w:drawing>
          <wp:inline distT="0" distB="0" distL="0" distR="0" wp14:anchorId="3BE5DA95" wp14:editId="7BFF6476">
            <wp:extent cx="5634038" cy="3800475"/>
            <wp:effectExtent l="0" t="0" r="5080" b="9525"/>
            <wp:docPr id="21" name="Chart 21">
              <a:extLst xmlns:a="http://schemas.openxmlformats.org/drawingml/2006/main">
                <a:ext uri="{FF2B5EF4-FFF2-40B4-BE49-F238E27FC236}">
                  <a16:creationId xmlns:a16="http://schemas.microsoft.com/office/drawing/2014/main" id="{70F71074-B8D6-4AA9-AE48-4F2D0FF85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01FA86" w14:textId="77777777" w:rsidR="00AF6B4E" w:rsidRPr="00EE5714" w:rsidRDefault="00AF6B4E" w:rsidP="00AF6B4E">
      <w:pPr>
        <w:spacing w:after="0" w:line="240" w:lineRule="auto"/>
        <w:rPr>
          <w:rFonts w:ascii="Times New Roman" w:hAnsi="Times New Roman" w:cs="Times New Roman"/>
          <w:sz w:val="26"/>
          <w:szCs w:val="26"/>
        </w:rPr>
      </w:pPr>
    </w:p>
    <w:p w14:paraId="79F4ADEF"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The CAP Policy Statement suggests a maximum energy burden of 15-17% for electric heating customers in </w:t>
      </w:r>
      <w:bookmarkStart w:id="22" w:name="_Hlk525555839"/>
      <w:r w:rsidRPr="00EE5714">
        <w:rPr>
          <w:rFonts w:ascii="Times New Roman" w:hAnsi="Times New Roman" w:cs="Times New Roman"/>
          <w:sz w:val="26"/>
          <w:szCs w:val="26"/>
        </w:rPr>
        <w:t>households in the 101</w:t>
      </w:r>
      <w:r w:rsidR="00F06F27" w:rsidRPr="00EE5714">
        <w:rPr>
          <w:rFonts w:ascii="Times New Roman" w:hAnsi="Times New Roman" w:cs="Times New Roman"/>
          <w:sz w:val="26"/>
          <w:szCs w:val="26"/>
        </w:rPr>
        <w:t xml:space="preserve"> to </w:t>
      </w:r>
      <w:r w:rsidRPr="00EE5714">
        <w:rPr>
          <w:rFonts w:ascii="Times New Roman" w:hAnsi="Times New Roman" w:cs="Times New Roman"/>
          <w:sz w:val="26"/>
          <w:szCs w:val="26"/>
        </w:rPr>
        <w:t>150% FPIG</w:t>
      </w:r>
      <w:bookmarkEnd w:id="22"/>
      <w:r w:rsidRPr="00EE5714">
        <w:rPr>
          <w:rFonts w:ascii="Times New Roman" w:hAnsi="Times New Roman" w:cs="Times New Roman"/>
          <w:sz w:val="26"/>
          <w:szCs w:val="26"/>
        </w:rPr>
        <w:t xml:space="preserve"> group.  Section 69.265(2)(</w:t>
      </w:r>
      <w:proofErr w:type="spellStart"/>
      <w:r w:rsidRPr="00EE5714">
        <w:rPr>
          <w:rFonts w:ascii="Times New Roman" w:hAnsi="Times New Roman" w:cs="Times New Roman"/>
          <w:sz w:val="26"/>
          <w:szCs w:val="26"/>
        </w:rPr>
        <w:t>i</w:t>
      </w:r>
      <w:proofErr w:type="spellEnd"/>
      <w:r w:rsidRPr="00EE5714">
        <w:rPr>
          <w:rFonts w:ascii="Times New Roman" w:hAnsi="Times New Roman" w:cs="Times New Roman"/>
          <w:sz w:val="26"/>
          <w:szCs w:val="26"/>
        </w:rPr>
        <w:t>)(C)(III).  On average, EDC CAP heating customers with incomes between 101</w:t>
      </w:r>
      <w:r w:rsidR="00F06F27" w:rsidRPr="00EE5714">
        <w:rPr>
          <w:rFonts w:ascii="Times New Roman" w:hAnsi="Times New Roman" w:cs="Times New Roman"/>
          <w:sz w:val="26"/>
          <w:szCs w:val="26"/>
        </w:rPr>
        <w:t xml:space="preserve"> to </w:t>
      </w:r>
      <w:r w:rsidRPr="00EE5714">
        <w:rPr>
          <w:rFonts w:ascii="Times New Roman" w:hAnsi="Times New Roman" w:cs="Times New Roman"/>
          <w:sz w:val="26"/>
          <w:szCs w:val="26"/>
        </w:rPr>
        <w:t>150% of the FPIG ha</w:t>
      </w:r>
      <w:r w:rsidR="00973520" w:rsidRPr="00EE5714">
        <w:rPr>
          <w:rFonts w:ascii="Times New Roman" w:hAnsi="Times New Roman" w:cs="Times New Roman"/>
          <w:sz w:val="26"/>
          <w:szCs w:val="26"/>
        </w:rPr>
        <w:t>d</w:t>
      </w:r>
      <w:r w:rsidRPr="00EE5714">
        <w:rPr>
          <w:rFonts w:ascii="Times New Roman" w:hAnsi="Times New Roman" w:cs="Times New Roman"/>
          <w:sz w:val="26"/>
          <w:szCs w:val="26"/>
        </w:rPr>
        <w:t xml:space="preserve"> energy burdens </w:t>
      </w:r>
      <w:r w:rsidR="00460864" w:rsidRPr="00EE5714">
        <w:rPr>
          <w:rFonts w:ascii="Times New Roman" w:hAnsi="Times New Roman" w:cs="Times New Roman"/>
          <w:sz w:val="26"/>
          <w:szCs w:val="26"/>
        </w:rPr>
        <w:t xml:space="preserve">well </w:t>
      </w:r>
      <w:r w:rsidRPr="00EE5714">
        <w:rPr>
          <w:rFonts w:ascii="Times New Roman" w:hAnsi="Times New Roman" w:cs="Times New Roman"/>
          <w:sz w:val="26"/>
          <w:szCs w:val="26"/>
        </w:rPr>
        <w:t>below the CAP Policy Statement maximum range of 15</w:t>
      </w:r>
      <w:r w:rsidR="00F06F27"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17%.  As seen in Table </w:t>
      </w:r>
      <w:r w:rsidR="008C4D39" w:rsidRPr="00EE5714">
        <w:rPr>
          <w:rFonts w:ascii="Times New Roman" w:hAnsi="Times New Roman" w:cs="Times New Roman"/>
          <w:sz w:val="26"/>
          <w:szCs w:val="26"/>
        </w:rPr>
        <w:t>3-8</w:t>
      </w:r>
      <w:r w:rsidRPr="00EE5714">
        <w:rPr>
          <w:rFonts w:ascii="Times New Roman" w:hAnsi="Times New Roman" w:cs="Times New Roman"/>
          <w:sz w:val="26"/>
          <w:szCs w:val="26"/>
        </w:rPr>
        <w:t xml:space="preserve">, most EDC CAP customers at this income level </w:t>
      </w:r>
      <w:r w:rsidR="00460864" w:rsidRPr="00EE5714">
        <w:rPr>
          <w:rFonts w:ascii="Times New Roman" w:hAnsi="Times New Roman" w:cs="Times New Roman"/>
          <w:sz w:val="26"/>
          <w:szCs w:val="26"/>
        </w:rPr>
        <w:t>had energy burdens</w:t>
      </w:r>
      <w:r w:rsidRPr="00EE5714">
        <w:rPr>
          <w:rFonts w:ascii="Times New Roman" w:hAnsi="Times New Roman" w:cs="Times New Roman"/>
          <w:sz w:val="26"/>
          <w:szCs w:val="26"/>
        </w:rPr>
        <w:t xml:space="preserve"> between 5</w:t>
      </w:r>
      <w:r w:rsidR="00F06F27" w:rsidRPr="00EE5714">
        <w:rPr>
          <w:rFonts w:ascii="Times New Roman" w:hAnsi="Times New Roman" w:cs="Times New Roman"/>
          <w:sz w:val="26"/>
          <w:szCs w:val="26"/>
        </w:rPr>
        <w:t xml:space="preserve"> and </w:t>
      </w:r>
      <w:r w:rsidRPr="00EE5714">
        <w:rPr>
          <w:rFonts w:ascii="Times New Roman" w:hAnsi="Times New Roman" w:cs="Times New Roman"/>
          <w:sz w:val="26"/>
          <w:szCs w:val="26"/>
        </w:rPr>
        <w:t xml:space="preserve">8% for most years in this study.  PECO Electric’s energy burden levels dropped from 11% to 9% from 2012 to 2016 for customers in this category.  </w:t>
      </w:r>
    </w:p>
    <w:p w14:paraId="3AC1A010" w14:textId="77777777" w:rsidR="00516929" w:rsidRPr="00EE5714" w:rsidRDefault="00516929" w:rsidP="00516929">
      <w:pPr>
        <w:spacing w:after="0" w:line="240" w:lineRule="auto"/>
        <w:rPr>
          <w:rFonts w:ascii="Times New Roman" w:hAnsi="Times New Roman" w:cs="Times New Roman"/>
          <w:noProof/>
          <w:sz w:val="26"/>
          <w:szCs w:val="26"/>
        </w:rPr>
      </w:pPr>
    </w:p>
    <w:bookmarkEnd w:id="21"/>
    <w:p w14:paraId="31265191" w14:textId="77777777" w:rsidR="00516929" w:rsidRPr="00EE5714" w:rsidRDefault="00516929" w:rsidP="00A4205E">
      <w:pPr>
        <w:keepNext/>
        <w:spacing w:after="0" w:line="240" w:lineRule="auto"/>
        <w:rPr>
          <w:rFonts w:ascii="Times New Roman" w:hAnsi="Times New Roman" w:cs="Times New Roman"/>
          <w:b/>
          <w:bCs/>
          <w:i/>
          <w:iCs/>
          <w:sz w:val="26"/>
          <w:szCs w:val="26"/>
        </w:rPr>
      </w:pPr>
      <w:r w:rsidRPr="00EE5714">
        <w:rPr>
          <w:rFonts w:ascii="Times New Roman" w:hAnsi="Times New Roman" w:cs="Times New Roman"/>
          <w:b/>
          <w:bCs/>
          <w:i/>
          <w:iCs/>
          <w:sz w:val="26"/>
          <w:szCs w:val="26"/>
        </w:rPr>
        <w:lastRenderedPageBreak/>
        <w:t>EDC CAP Non-Heating Customers</w:t>
      </w:r>
    </w:p>
    <w:p w14:paraId="2613F3A8" w14:textId="77777777" w:rsidR="00516929" w:rsidRPr="00EE5714" w:rsidRDefault="00516929" w:rsidP="00F5571A">
      <w:pPr>
        <w:keepNext/>
        <w:spacing w:after="0" w:line="240" w:lineRule="auto"/>
        <w:ind w:firstLine="720"/>
        <w:rPr>
          <w:rFonts w:ascii="Times New Roman" w:hAnsi="Times New Roman" w:cs="Times New Roman"/>
          <w:sz w:val="26"/>
          <w:szCs w:val="26"/>
        </w:rPr>
      </w:pPr>
      <w:bookmarkStart w:id="23" w:name="_Hlk524945754"/>
    </w:p>
    <w:p w14:paraId="66772E8C" w14:textId="77777777" w:rsidR="00F16F5E" w:rsidRPr="00EE5714" w:rsidRDefault="00F16F5E" w:rsidP="00F16F5E">
      <w:pPr>
        <w:keepNext/>
        <w:spacing w:after="0" w:line="240" w:lineRule="auto"/>
        <w:ind w:firstLine="720"/>
        <w:jc w:val="center"/>
        <w:rPr>
          <w:rFonts w:ascii="Times New Roman" w:hAnsi="Times New Roman" w:cs="Times New Roman"/>
          <w:b/>
          <w:bCs/>
          <w:sz w:val="26"/>
          <w:szCs w:val="26"/>
        </w:rPr>
      </w:pPr>
      <w:r w:rsidRPr="00EE5714">
        <w:rPr>
          <w:rFonts w:ascii="Times New Roman" w:hAnsi="Times New Roman" w:cs="Times New Roman"/>
          <w:b/>
          <w:bCs/>
          <w:sz w:val="26"/>
          <w:szCs w:val="26"/>
        </w:rPr>
        <w:t>Table 3-9</w:t>
      </w:r>
    </w:p>
    <w:p w14:paraId="0541ABBF" w14:textId="77777777" w:rsidR="00F16F5E" w:rsidRPr="00EE5714" w:rsidRDefault="00F16F5E" w:rsidP="00F16F5E">
      <w:pPr>
        <w:keepNext/>
        <w:spacing w:after="0" w:line="240" w:lineRule="auto"/>
        <w:ind w:firstLine="720"/>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EDC CAP Energy Burden Levels for Non-Heating Customers at </w:t>
      </w:r>
    </w:p>
    <w:p w14:paraId="43666DAB" w14:textId="77777777" w:rsidR="00F16F5E" w:rsidRPr="00EE5714" w:rsidRDefault="00F16F5E" w:rsidP="00F16F5E">
      <w:pPr>
        <w:keepNext/>
        <w:spacing w:after="0" w:line="240" w:lineRule="auto"/>
        <w:ind w:firstLine="720"/>
        <w:jc w:val="center"/>
        <w:rPr>
          <w:rFonts w:ascii="Times New Roman" w:hAnsi="Times New Roman" w:cs="Times New Roman"/>
          <w:b/>
          <w:bCs/>
          <w:sz w:val="26"/>
          <w:szCs w:val="26"/>
        </w:rPr>
      </w:pPr>
      <w:r w:rsidRPr="00EE5714">
        <w:rPr>
          <w:rFonts w:ascii="Times New Roman" w:hAnsi="Times New Roman" w:cs="Times New Roman"/>
          <w:b/>
          <w:bCs/>
          <w:sz w:val="26"/>
          <w:szCs w:val="26"/>
        </w:rPr>
        <w:t>0-50% of FPIG 2012-2016</w:t>
      </w:r>
    </w:p>
    <w:p w14:paraId="4B8A0433" w14:textId="77777777" w:rsidR="00F16F5E" w:rsidRPr="00EE5714" w:rsidRDefault="00F16F5E" w:rsidP="008A2820">
      <w:pPr>
        <w:spacing w:after="0" w:line="360" w:lineRule="auto"/>
        <w:jc w:val="center"/>
        <w:rPr>
          <w:rFonts w:ascii="Times New Roman" w:hAnsi="Times New Roman" w:cs="Times New Roman"/>
          <w:sz w:val="26"/>
          <w:szCs w:val="26"/>
        </w:rPr>
      </w:pPr>
      <w:r w:rsidRPr="00EE5714">
        <w:rPr>
          <w:noProof/>
        </w:rPr>
        <mc:AlternateContent>
          <mc:Choice Requires="wps">
            <w:drawing>
              <wp:anchor distT="0" distB="0" distL="114300" distR="114300" simplePos="0" relativeHeight="251658241" behindDoc="0" locked="0" layoutInCell="1" allowOverlap="1" wp14:anchorId="0FBDF702" wp14:editId="05B9D030">
                <wp:simplePos x="0" y="0"/>
                <wp:positionH relativeFrom="column">
                  <wp:posOffset>561975</wp:posOffset>
                </wp:positionH>
                <wp:positionV relativeFrom="paragraph">
                  <wp:posOffset>2687955</wp:posOffset>
                </wp:positionV>
                <wp:extent cx="4962525" cy="361950"/>
                <wp:effectExtent l="0" t="0" r="9525" b="0"/>
                <wp:wrapNone/>
                <wp:docPr id="22" name="Rectangle 18">
                  <a:extLst xmlns:a="http://schemas.openxmlformats.org/drawingml/2006/main"/>
                </wp:docPr>
                <wp:cNvGraphicFramePr/>
                <a:graphic xmlns:a="http://schemas.openxmlformats.org/drawingml/2006/main">
                  <a:graphicData uri="http://schemas.microsoft.com/office/word/2010/wordprocessingShape">
                    <wps:wsp>
                      <wps:cNvSpPr/>
                      <wps:spPr>
                        <a:xfrm>
                          <a:off x="0" y="0"/>
                          <a:ext cx="4962525" cy="361950"/>
                        </a:xfrm>
                        <a:prstGeom prst="rect">
                          <a:avLst/>
                        </a:prstGeom>
                        <a:solidFill>
                          <a:srgbClr val="70AD47">
                            <a:alpha val="30196"/>
                          </a:srgbClr>
                        </a:solidFill>
                        <a:ln w="12700" cap="flat" cmpd="sng" algn="ctr">
                          <a:noFill/>
                          <a:prstDash val="solid"/>
                          <a:miter lim="800000"/>
                        </a:ln>
                        <a:effectLst/>
                      </wps:spPr>
                      <wps:bodyPr wrap="square" rtlCol="0" anchor="t"/>
                    </wps:wsp>
                  </a:graphicData>
                </a:graphic>
                <wp14:sizeRelH relativeFrom="margin">
                  <wp14:pctWidth>0</wp14:pctWidth>
                </wp14:sizeRelH>
                <wp14:sizeRelV relativeFrom="margin">
                  <wp14:pctHeight>0</wp14:pctHeight>
                </wp14:sizeRelV>
              </wp:anchor>
            </w:drawing>
          </mc:Choice>
          <mc:Fallback>
            <w:pict>
              <v:rect w14:anchorId="36CEF8E0" id="Rectangle 18" o:spid="_x0000_s1026" style="position:absolute;margin-left:44.25pt;margin-top:211.65pt;width:390.75pt;height: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" fillcolor="#70ad47" stroked="f" strokeweight="1pt">
                <v:fill opacity="19789f"/>
              </v:rect>
            </w:pict>
          </mc:Fallback>
        </mc:AlternateContent>
      </w:r>
      <w:r w:rsidRPr="00EE5714">
        <w:rPr>
          <w:noProof/>
        </w:rPr>
        <w:drawing>
          <wp:inline distT="0" distB="0" distL="0" distR="0" wp14:anchorId="4474675A" wp14:editId="40ADBE17">
            <wp:extent cx="5657850" cy="3814763"/>
            <wp:effectExtent l="0" t="0" r="0" b="14605"/>
            <wp:docPr id="23" name="Chart 23">
              <a:extLst xmlns:a="http://schemas.openxmlformats.org/drawingml/2006/main">
                <a:ext uri="{FF2B5EF4-FFF2-40B4-BE49-F238E27FC236}">
                  <a16:creationId xmlns:a16="http://schemas.microsoft.com/office/drawing/2014/main" id="{5D0B1C55-5152-41F5-8141-007621BC9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CFF285" w14:textId="77777777" w:rsidR="00F16F5E" w:rsidRPr="00EE5714" w:rsidRDefault="00F16F5E" w:rsidP="00F16F5E">
      <w:pPr>
        <w:spacing w:after="0" w:line="240" w:lineRule="auto"/>
        <w:rPr>
          <w:rFonts w:ascii="Times New Roman" w:hAnsi="Times New Roman" w:cs="Times New Roman"/>
          <w:sz w:val="26"/>
          <w:szCs w:val="26"/>
        </w:rPr>
      </w:pPr>
    </w:p>
    <w:p w14:paraId="2C979190"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The CAP Policy Statement </w:t>
      </w:r>
      <w:r w:rsidR="00B6237A" w:rsidRPr="00EE5714">
        <w:rPr>
          <w:rFonts w:ascii="Times New Roman" w:hAnsi="Times New Roman" w:cs="Times New Roman"/>
          <w:sz w:val="26"/>
          <w:szCs w:val="26"/>
        </w:rPr>
        <w:t>ha</w:t>
      </w:r>
      <w:r w:rsidRPr="00EE5714">
        <w:rPr>
          <w:rFonts w:ascii="Times New Roman" w:hAnsi="Times New Roman" w:cs="Times New Roman"/>
          <w:sz w:val="26"/>
          <w:szCs w:val="26"/>
        </w:rPr>
        <w:t xml:space="preserve">s a maximum energy burden range of 2-5% for EDC CAP non-heating customers with incomes at or below 50% of the FPIG.  </w:t>
      </w:r>
      <w:bookmarkEnd w:id="23"/>
      <w:r w:rsidRPr="00EE5714">
        <w:rPr>
          <w:rFonts w:ascii="Times New Roman" w:hAnsi="Times New Roman" w:cs="Times New Roman"/>
          <w:sz w:val="26"/>
          <w:szCs w:val="26"/>
        </w:rPr>
        <w:t xml:space="preserve">As seen in Table </w:t>
      </w:r>
      <w:r w:rsidR="008C4D39" w:rsidRPr="00EE5714">
        <w:rPr>
          <w:rFonts w:ascii="Times New Roman" w:hAnsi="Times New Roman" w:cs="Times New Roman"/>
          <w:sz w:val="26"/>
          <w:szCs w:val="26"/>
        </w:rPr>
        <w:t>3-9</w:t>
      </w:r>
      <w:r w:rsidRPr="00EE5714">
        <w:rPr>
          <w:rFonts w:ascii="Times New Roman" w:hAnsi="Times New Roman" w:cs="Times New Roman"/>
          <w:sz w:val="26"/>
          <w:szCs w:val="26"/>
        </w:rPr>
        <w:t xml:space="preserve">, all EDC CAP customers in this category </w:t>
      </w:r>
      <w:r w:rsidR="00B6237A" w:rsidRPr="00EE5714">
        <w:rPr>
          <w:rFonts w:ascii="Times New Roman" w:hAnsi="Times New Roman" w:cs="Times New Roman"/>
          <w:sz w:val="26"/>
          <w:szCs w:val="26"/>
        </w:rPr>
        <w:t>exceed</w:t>
      </w:r>
      <w:r w:rsidR="00273933" w:rsidRPr="00EE5714">
        <w:rPr>
          <w:rFonts w:ascii="Times New Roman" w:hAnsi="Times New Roman" w:cs="Times New Roman"/>
          <w:sz w:val="26"/>
          <w:szCs w:val="26"/>
        </w:rPr>
        <w:t>ed</w:t>
      </w:r>
      <w:r w:rsidRPr="00EE5714">
        <w:rPr>
          <w:rFonts w:ascii="Times New Roman" w:hAnsi="Times New Roman" w:cs="Times New Roman"/>
          <w:sz w:val="26"/>
          <w:szCs w:val="26"/>
        </w:rPr>
        <w:t xml:space="preserve"> this energy burden range, especially in the later years of the study.  Most EDC non-heating CAP customers at this income level ha</w:t>
      </w:r>
      <w:r w:rsidR="00BF5E81" w:rsidRPr="00EE5714">
        <w:rPr>
          <w:rFonts w:ascii="Times New Roman" w:hAnsi="Times New Roman" w:cs="Times New Roman"/>
          <w:sz w:val="26"/>
          <w:szCs w:val="26"/>
        </w:rPr>
        <w:t>d</w:t>
      </w:r>
      <w:r w:rsidRPr="00EE5714">
        <w:rPr>
          <w:rFonts w:ascii="Times New Roman" w:hAnsi="Times New Roman" w:cs="Times New Roman"/>
          <w:sz w:val="26"/>
          <w:szCs w:val="26"/>
        </w:rPr>
        <w:t xml:space="preserve"> energy burdens at or above 10% for most years in this study. </w:t>
      </w:r>
      <w:r w:rsidR="008C4D39" w:rsidRPr="00EE5714">
        <w:rPr>
          <w:rFonts w:ascii="Times New Roman" w:hAnsi="Times New Roman" w:cs="Times New Roman"/>
          <w:sz w:val="26"/>
          <w:szCs w:val="26"/>
        </w:rPr>
        <w:t xml:space="preserve"> </w:t>
      </w:r>
      <w:r w:rsidR="006B14A4" w:rsidRPr="00EE5714">
        <w:rPr>
          <w:rFonts w:ascii="Times New Roman" w:hAnsi="Times New Roman" w:cs="Times New Roman"/>
          <w:sz w:val="26"/>
          <w:szCs w:val="26"/>
        </w:rPr>
        <w:t xml:space="preserve">However, as with the EDC CAP heating customers, </w:t>
      </w:r>
      <w:r w:rsidR="001922CD" w:rsidRPr="00EE5714">
        <w:rPr>
          <w:rFonts w:ascii="Times New Roman" w:hAnsi="Times New Roman" w:cs="Times New Roman"/>
          <w:sz w:val="26"/>
          <w:szCs w:val="26"/>
        </w:rPr>
        <w:t xml:space="preserve">it is unclear whether </w:t>
      </w:r>
      <w:r w:rsidR="00CC172F" w:rsidRPr="00EE5714">
        <w:rPr>
          <w:rFonts w:ascii="Times New Roman" w:hAnsi="Times New Roman" w:cs="Times New Roman"/>
          <w:sz w:val="26"/>
          <w:szCs w:val="26"/>
        </w:rPr>
        <w:t xml:space="preserve">utilities included the </w:t>
      </w:r>
      <w:r w:rsidR="00B253E1" w:rsidRPr="00EE5714">
        <w:rPr>
          <w:rFonts w:ascii="Times New Roman" w:hAnsi="Times New Roman" w:cs="Times New Roman"/>
          <w:sz w:val="26"/>
          <w:szCs w:val="26"/>
        </w:rPr>
        <w:t>zero-income</w:t>
      </w:r>
      <w:r w:rsidR="00CC172F" w:rsidRPr="00EE5714">
        <w:rPr>
          <w:rFonts w:ascii="Times New Roman" w:hAnsi="Times New Roman" w:cs="Times New Roman"/>
          <w:sz w:val="26"/>
          <w:szCs w:val="26"/>
        </w:rPr>
        <w:t xml:space="preserve"> customers in the data reported for this study.</w:t>
      </w:r>
      <w:r w:rsidRPr="00EE5714">
        <w:rPr>
          <w:rFonts w:ascii="Times New Roman" w:hAnsi="Times New Roman" w:cs="Times New Roman"/>
          <w:sz w:val="26"/>
          <w:szCs w:val="26"/>
        </w:rPr>
        <w:t xml:space="preserve">  </w:t>
      </w:r>
    </w:p>
    <w:p w14:paraId="4DB81276" w14:textId="77777777" w:rsidR="00516929" w:rsidRPr="00EE5714" w:rsidRDefault="00516929" w:rsidP="00516929">
      <w:pPr>
        <w:spacing w:after="0" w:line="240" w:lineRule="auto"/>
        <w:ind w:firstLine="720"/>
        <w:rPr>
          <w:rFonts w:ascii="Times New Roman" w:hAnsi="Times New Roman" w:cs="Times New Roman"/>
          <w:sz w:val="26"/>
          <w:szCs w:val="26"/>
        </w:rPr>
      </w:pPr>
    </w:p>
    <w:p w14:paraId="29A907D8" w14:textId="77777777" w:rsidR="00EB21AE" w:rsidRPr="00EE5714" w:rsidRDefault="00EB21AE" w:rsidP="00EB21AE">
      <w:pPr>
        <w:keepNext/>
        <w:spacing w:after="0" w:line="240" w:lineRule="auto"/>
        <w:ind w:firstLine="720"/>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3-10</w:t>
      </w:r>
    </w:p>
    <w:p w14:paraId="549EAE2D" w14:textId="77777777" w:rsidR="00EB21AE" w:rsidRPr="00EE5714" w:rsidRDefault="00EB21AE" w:rsidP="00EB21AE">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EDC CAP Energy Burden Levels for Non-Heating Customers at </w:t>
      </w:r>
    </w:p>
    <w:p w14:paraId="668CE3D7" w14:textId="77777777" w:rsidR="00EB21AE" w:rsidRPr="00EE5714" w:rsidRDefault="00EB21AE" w:rsidP="00EB21AE">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51-100% of FPIG 2012-2016</w:t>
      </w:r>
    </w:p>
    <w:p w14:paraId="460D93BC" w14:textId="77777777" w:rsidR="00EB21AE" w:rsidRPr="00EE5714" w:rsidRDefault="00EB21AE" w:rsidP="00EB21AE">
      <w:pPr>
        <w:spacing w:after="0" w:line="240" w:lineRule="auto"/>
        <w:jc w:val="center"/>
        <w:rPr>
          <w:rFonts w:ascii="Times New Roman" w:hAnsi="Times New Roman" w:cs="Times New Roman"/>
          <w:sz w:val="24"/>
          <w:szCs w:val="24"/>
        </w:rPr>
      </w:pPr>
      <w:r w:rsidRPr="00EE5714">
        <w:rPr>
          <w:noProof/>
        </w:rPr>
        <w:drawing>
          <wp:inline distT="0" distB="0" distL="0" distR="0" wp14:anchorId="64623C63" wp14:editId="27B39F79">
            <wp:extent cx="5662613" cy="3795713"/>
            <wp:effectExtent l="0" t="0" r="14605" b="14605"/>
            <wp:docPr id="24" name="Chart 24">
              <a:extLst xmlns:a="http://schemas.openxmlformats.org/drawingml/2006/main">
                <a:ext uri="{FF2B5EF4-FFF2-40B4-BE49-F238E27FC236}">
                  <a16:creationId xmlns:a16="http://schemas.microsoft.com/office/drawing/2014/main" id="{A5844674-B0A1-4C76-BFC5-67D1489D2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E96AF7" w14:textId="77777777" w:rsidR="00EB21AE" w:rsidRPr="00EE5714" w:rsidRDefault="00EB21AE" w:rsidP="00EB21AE">
      <w:pPr>
        <w:spacing w:after="0" w:line="240" w:lineRule="auto"/>
        <w:rPr>
          <w:rFonts w:ascii="Times New Roman" w:hAnsi="Times New Roman" w:cs="Times New Roman"/>
          <w:noProof/>
          <w:sz w:val="26"/>
          <w:szCs w:val="26"/>
        </w:rPr>
      </w:pPr>
    </w:p>
    <w:p w14:paraId="42B94D23"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The CAP Policy Statement recommends a maximum energy burden range of 4</w:t>
      </w:r>
      <w:r w:rsidR="00F5571A" w:rsidRPr="00EE5714">
        <w:rPr>
          <w:rFonts w:ascii="Times New Roman" w:hAnsi="Times New Roman" w:cs="Times New Roman"/>
          <w:sz w:val="26"/>
          <w:szCs w:val="26"/>
        </w:rPr>
        <w:t> </w:t>
      </w:r>
      <w:r w:rsidR="00424278" w:rsidRPr="00EE5714">
        <w:rPr>
          <w:rFonts w:ascii="Times New Roman" w:hAnsi="Times New Roman" w:cs="Times New Roman"/>
          <w:sz w:val="26"/>
          <w:szCs w:val="26"/>
        </w:rPr>
        <w:t>to</w:t>
      </w:r>
      <w:r w:rsidR="00F5571A" w:rsidRPr="00EE5714">
        <w:rPr>
          <w:rFonts w:ascii="Times New Roman" w:hAnsi="Times New Roman" w:cs="Times New Roman"/>
          <w:sz w:val="26"/>
          <w:szCs w:val="26"/>
        </w:rPr>
        <w:t> </w:t>
      </w:r>
      <w:r w:rsidRPr="00EE5714">
        <w:rPr>
          <w:rFonts w:ascii="Times New Roman" w:hAnsi="Times New Roman" w:cs="Times New Roman"/>
          <w:sz w:val="26"/>
          <w:szCs w:val="26"/>
        </w:rPr>
        <w:t>6% for EDC CAP non-heating customers with incomes between 51</w:t>
      </w:r>
      <w:r w:rsidR="002F65C3" w:rsidRPr="00EE5714">
        <w:rPr>
          <w:rFonts w:ascii="Times New Roman" w:hAnsi="Times New Roman" w:cs="Times New Roman"/>
          <w:sz w:val="26"/>
          <w:szCs w:val="26"/>
        </w:rPr>
        <w:t xml:space="preserve"> </w:t>
      </w:r>
      <w:r w:rsidR="007D24FB" w:rsidRPr="00EE5714">
        <w:rPr>
          <w:rFonts w:ascii="Times New Roman" w:hAnsi="Times New Roman" w:cs="Times New Roman"/>
          <w:sz w:val="26"/>
          <w:szCs w:val="26"/>
        </w:rPr>
        <w:t>and</w:t>
      </w:r>
      <w:r w:rsidR="002F65C3"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100% of the FPIG.  </w:t>
      </w:r>
      <w:r w:rsidR="008C4D39" w:rsidRPr="00EE5714">
        <w:rPr>
          <w:rFonts w:ascii="Times New Roman" w:hAnsi="Times New Roman" w:cs="Times New Roman"/>
          <w:sz w:val="26"/>
          <w:szCs w:val="26"/>
        </w:rPr>
        <w:t xml:space="preserve">As seen in Table 3-10, </w:t>
      </w:r>
      <w:r w:rsidR="00CC6B23" w:rsidRPr="00EE5714">
        <w:rPr>
          <w:rFonts w:ascii="Times New Roman" w:hAnsi="Times New Roman" w:cs="Times New Roman"/>
          <w:sz w:val="26"/>
          <w:szCs w:val="26"/>
        </w:rPr>
        <w:t>o</w:t>
      </w:r>
      <w:r w:rsidRPr="00EE5714">
        <w:rPr>
          <w:rFonts w:ascii="Times New Roman" w:hAnsi="Times New Roman" w:cs="Times New Roman"/>
          <w:sz w:val="26"/>
          <w:szCs w:val="26"/>
        </w:rPr>
        <w:t>ver half of CAP customers in this category ha</w:t>
      </w:r>
      <w:r w:rsidR="00F3130B" w:rsidRPr="00EE5714">
        <w:rPr>
          <w:rFonts w:ascii="Times New Roman" w:hAnsi="Times New Roman" w:cs="Times New Roman"/>
          <w:sz w:val="26"/>
          <w:szCs w:val="26"/>
        </w:rPr>
        <w:t>d</w:t>
      </w:r>
      <w:r w:rsidRPr="00EE5714">
        <w:rPr>
          <w:rFonts w:ascii="Times New Roman" w:hAnsi="Times New Roman" w:cs="Times New Roman"/>
          <w:sz w:val="26"/>
          <w:szCs w:val="26"/>
        </w:rPr>
        <w:t xml:space="preserve"> energy burdens slightly above this range for most years of this study.  </w:t>
      </w:r>
      <w:r w:rsidR="00863EFE" w:rsidRPr="00EE5714">
        <w:rPr>
          <w:rFonts w:ascii="Times New Roman" w:hAnsi="Times New Roman" w:cs="Times New Roman"/>
          <w:sz w:val="26"/>
          <w:szCs w:val="26"/>
        </w:rPr>
        <w:t>Met-Ed</w:t>
      </w:r>
      <w:r w:rsidRPr="00EE5714">
        <w:rPr>
          <w:rFonts w:ascii="Times New Roman" w:hAnsi="Times New Roman" w:cs="Times New Roman"/>
          <w:sz w:val="26"/>
          <w:szCs w:val="26"/>
        </w:rPr>
        <w:t xml:space="preserve">, </w:t>
      </w:r>
      <w:proofErr w:type="spellStart"/>
      <w:r w:rsidRPr="00EE5714">
        <w:rPr>
          <w:rFonts w:ascii="Times New Roman" w:hAnsi="Times New Roman" w:cs="Times New Roman"/>
          <w:sz w:val="26"/>
          <w:szCs w:val="26"/>
        </w:rPr>
        <w:t>Penelec</w:t>
      </w:r>
      <w:proofErr w:type="spellEnd"/>
      <w:r w:rsidRPr="00EE5714">
        <w:rPr>
          <w:rFonts w:ascii="Times New Roman" w:hAnsi="Times New Roman" w:cs="Times New Roman"/>
          <w:sz w:val="26"/>
          <w:szCs w:val="26"/>
        </w:rPr>
        <w:t>, and Penn Power non-heating CAP customers had energy burdens between 3% to 5%</w:t>
      </w:r>
      <w:r w:rsidR="00424278" w:rsidRPr="00EE5714">
        <w:rPr>
          <w:rFonts w:ascii="Times New Roman" w:hAnsi="Times New Roman" w:cs="Times New Roman"/>
          <w:sz w:val="26"/>
          <w:szCs w:val="26"/>
        </w:rPr>
        <w:t>,</w:t>
      </w:r>
      <w:r w:rsidRPr="00EE5714">
        <w:rPr>
          <w:rFonts w:ascii="Times New Roman" w:hAnsi="Times New Roman" w:cs="Times New Roman"/>
          <w:sz w:val="26"/>
          <w:szCs w:val="26"/>
        </w:rPr>
        <w:t xml:space="preserve"> and Duquesne CAP customers in this category increased from 5% to 8% from 2014 to 2016.  However, this increase may </w:t>
      </w:r>
      <w:r w:rsidR="00F24D14" w:rsidRPr="00EE5714">
        <w:rPr>
          <w:rFonts w:ascii="Times New Roman" w:hAnsi="Times New Roman" w:cs="Times New Roman"/>
          <w:sz w:val="26"/>
          <w:szCs w:val="26"/>
        </w:rPr>
        <w:t>have</w:t>
      </w:r>
      <w:r w:rsidRPr="00EE5714">
        <w:rPr>
          <w:rFonts w:ascii="Times New Roman" w:hAnsi="Times New Roman" w:cs="Times New Roman"/>
          <w:sz w:val="26"/>
          <w:szCs w:val="26"/>
        </w:rPr>
        <w:t xml:space="preserve"> b</w:t>
      </w:r>
      <w:r w:rsidR="00F24D14" w:rsidRPr="00EE5714">
        <w:rPr>
          <w:rFonts w:ascii="Times New Roman" w:hAnsi="Times New Roman" w:cs="Times New Roman"/>
          <w:sz w:val="26"/>
          <w:szCs w:val="26"/>
        </w:rPr>
        <w:t>e</w:t>
      </w:r>
      <w:r w:rsidRPr="00EE5714">
        <w:rPr>
          <w:rFonts w:ascii="Times New Roman" w:hAnsi="Times New Roman" w:cs="Times New Roman"/>
          <w:sz w:val="26"/>
          <w:szCs w:val="26"/>
        </w:rPr>
        <w:t>e</w:t>
      </w:r>
      <w:r w:rsidR="00F24D14" w:rsidRPr="00EE5714">
        <w:rPr>
          <w:rFonts w:ascii="Times New Roman" w:hAnsi="Times New Roman" w:cs="Times New Roman"/>
          <w:sz w:val="26"/>
          <w:szCs w:val="26"/>
        </w:rPr>
        <w:t>n</w:t>
      </w:r>
      <w:r w:rsidRPr="00EE5714">
        <w:rPr>
          <w:rFonts w:ascii="Times New Roman" w:hAnsi="Times New Roman" w:cs="Times New Roman"/>
          <w:sz w:val="26"/>
          <w:szCs w:val="26"/>
        </w:rPr>
        <w:t xml:space="preserve"> due to </w:t>
      </w:r>
      <w:bookmarkStart w:id="24" w:name="_Hlk525824646"/>
      <w:r w:rsidRPr="00EE5714">
        <w:rPr>
          <w:rFonts w:ascii="Times New Roman" w:hAnsi="Times New Roman" w:cs="Times New Roman"/>
          <w:sz w:val="26"/>
          <w:szCs w:val="26"/>
        </w:rPr>
        <w:t xml:space="preserve">Duquesne’s budget billing issues </w:t>
      </w:r>
      <w:bookmarkEnd w:id="24"/>
      <w:r w:rsidRPr="00EE5714">
        <w:rPr>
          <w:rFonts w:ascii="Times New Roman" w:hAnsi="Times New Roman" w:cs="Times New Roman"/>
          <w:sz w:val="26"/>
          <w:szCs w:val="26"/>
        </w:rPr>
        <w:t>that occurred during this time period.</w:t>
      </w:r>
      <w:r w:rsidR="00CA514F" w:rsidRPr="00EE5714">
        <w:rPr>
          <w:rStyle w:val="FootnoteReference"/>
          <w:rFonts w:ascii="Times New Roman" w:hAnsi="Times New Roman" w:cs="Times New Roman"/>
          <w:sz w:val="26"/>
          <w:szCs w:val="26"/>
        </w:rPr>
        <w:t xml:space="preserve"> </w:t>
      </w:r>
      <w:r w:rsidR="00CA514F" w:rsidRPr="00EE5714">
        <w:rPr>
          <w:rStyle w:val="FootnoteReference"/>
          <w:rFonts w:ascii="Times New Roman" w:hAnsi="Times New Roman" w:cs="Times New Roman"/>
          <w:sz w:val="26"/>
          <w:szCs w:val="26"/>
        </w:rPr>
        <w:footnoteReference w:id="34"/>
      </w:r>
      <w:r w:rsidRPr="00EE5714">
        <w:rPr>
          <w:rFonts w:ascii="Times New Roman" w:hAnsi="Times New Roman" w:cs="Times New Roman"/>
          <w:sz w:val="26"/>
          <w:szCs w:val="26"/>
        </w:rPr>
        <w:t xml:space="preserve">    </w:t>
      </w:r>
    </w:p>
    <w:p w14:paraId="59D11586" w14:textId="77777777" w:rsidR="00FA1A92" w:rsidRPr="00EE5714" w:rsidRDefault="00FA1A92" w:rsidP="00FA1A92">
      <w:pPr>
        <w:keepNext/>
        <w:spacing w:after="0" w:line="240" w:lineRule="auto"/>
        <w:jc w:val="center"/>
        <w:rPr>
          <w:rFonts w:ascii="Times New Roman" w:hAnsi="Times New Roman" w:cs="Times New Roman"/>
          <w:b/>
          <w:noProof/>
          <w:sz w:val="26"/>
          <w:szCs w:val="26"/>
        </w:rPr>
      </w:pPr>
      <w:r w:rsidRPr="00EE5714">
        <w:rPr>
          <w:rFonts w:ascii="Times New Roman" w:hAnsi="Times New Roman" w:cs="Times New Roman"/>
          <w:b/>
          <w:noProof/>
          <w:sz w:val="26"/>
          <w:szCs w:val="26"/>
        </w:rPr>
        <w:lastRenderedPageBreak/>
        <w:t>Table 3-11</w:t>
      </w:r>
    </w:p>
    <w:p w14:paraId="45339F67" w14:textId="77777777" w:rsidR="00FA1A92" w:rsidRPr="00EE5714" w:rsidRDefault="00FA1A92" w:rsidP="00FA1A92">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EDC CAP Energy Burden Levels for Non-Heating Customers at </w:t>
      </w:r>
      <w:r w:rsidRPr="00EE5714">
        <w:rPr>
          <w:rFonts w:ascii="Times New Roman" w:hAnsi="Times New Roman" w:cs="Times New Roman"/>
          <w:b/>
          <w:sz w:val="26"/>
          <w:szCs w:val="26"/>
        </w:rPr>
        <w:br/>
      </w:r>
      <w:r w:rsidRPr="00EE5714">
        <w:rPr>
          <w:rFonts w:ascii="Times New Roman" w:hAnsi="Times New Roman" w:cs="Times New Roman"/>
          <w:b/>
          <w:bCs/>
          <w:sz w:val="26"/>
          <w:szCs w:val="26"/>
        </w:rPr>
        <w:t>101-150% of FPIG, 2012-2016</w:t>
      </w:r>
    </w:p>
    <w:p w14:paraId="68771792" w14:textId="77777777" w:rsidR="00FA1A92" w:rsidRPr="00EE5714" w:rsidRDefault="00FA1A92" w:rsidP="00FA1A92">
      <w:pPr>
        <w:spacing w:after="0" w:line="240" w:lineRule="auto"/>
        <w:jc w:val="center"/>
        <w:rPr>
          <w:rFonts w:ascii="Times New Roman" w:hAnsi="Times New Roman" w:cs="Times New Roman"/>
          <w:noProof/>
          <w:sz w:val="24"/>
          <w:szCs w:val="24"/>
        </w:rPr>
      </w:pPr>
      <w:r w:rsidRPr="00EE5714">
        <w:rPr>
          <w:noProof/>
        </w:rPr>
        <w:drawing>
          <wp:inline distT="0" distB="0" distL="0" distR="0" wp14:anchorId="30F9A1F3" wp14:editId="73C6BB92">
            <wp:extent cx="5653088" cy="3814763"/>
            <wp:effectExtent l="0" t="0" r="5080" b="14605"/>
            <wp:docPr id="25" name="Chart 25">
              <a:extLst xmlns:a="http://schemas.openxmlformats.org/drawingml/2006/main">
                <a:ext uri="{FF2B5EF4-FFF2-40B4-BE49-F238E27FC236}">
                  <a16:creationId xmlns:a16="http://schemas.microsoft.com/office/drawing/2014/main" id="{03F261DF-A16D-42A3-8C55-F65087B8E4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D01E1F" w14:textId="77777777" w:rsidR="00FA1A92" w:rsidRPr="00EE5714" w:rsidRDefault="00FA1A92" w:rsidP="00FA1A92">
      <w:pPr>
        <w:spacing w:after="0" w:line="240" w:lineRule="auto"/>
        <w:rPr>
          <w:rFonts w:ascii="Times New Roman" w:hAnsi="Times New Roman" w:cs="Times New Roman"/>
          <w:sz w:val="26"/>
          <w:szCs w:val="26"/>
        </w:rPr>
      </w:pPr>
    </w:p>
    <w:p w14:paraId="3A205C2F" w14:textId="55A5E9C7" w:rsidR="00516929" w:rsidRPr="00EE5714" w:rsidRDefault="00516929" w:rsidP="00516929">
      <w:pPr>
        <w:spacing w:after="0" w:line="240" w:lineRule="auto"/>
        <w:ind w:firstLine="720"/>
        <w:rPr>
          <w:rFonts w:ascii="Times New Roman" w:hAnsi="Times New Roman" w:cs="Times New Roman"/>
          <w:noProof/>
          <w:sz w:val="26"/>
          <w:szCs w:val="26"/>
        </w:rPr>
      </w:pPr>
      <w:r w:rsidRPr="00EE5714">
        <w:rPr>
          <w:rFonts w:ascii="Times New Roman" w:hAnsi="Times New Roman" w:cs="Times New Roman"/>
          <w:sz w:val="26"/>
          <w:szCs w:val="26"/>
        </w:rPr>
        <w:t>The CAP Policy Statement suggests a maximum energy burden range of 6</w:t>
      </w:r>
      <w:r w:rsidR="001D49EA" w:rsidRPr="00EE5714">
        <w:rPr>
          <w:rFonts w:ascii="Times New Roman" w:hAnsi="Times New Roman" w:cs="Times New Roman"/>
          <w:sz w:val="26"/>
          <w:szCs w:val="26"/>
        </w:rPr>
        <w:t>%</w:t>
      </w:r>
      <w:r w:rsidR="001D0533" w:rsidRPr="00EE5714">
        <w:rPr>
          <w:rFonts w:ascii="Times New Roman" w:hAnsi="Times New Roman" w:cs="Times New Roman"/>
          <w:sz w:val="26"/>
          <w:szCs w:val="26"/>
        </w:rPr>
        <w:t xml:space="preserve"> to</w:t>
      </w:r>
      <w:r w:rsidRPr="00EE5714">
        <w:rPr>
          <w:rFonts w:ascii="Times New Roman" w:hAnsi="Times New Roman" w:cs="Times New Roman"/>
          <w:sz w:val="26"/>
          <w:szCs w:val="26"/>
        </w:rPr>
        <w:t>7% for electric non-heating customers with income between 101</w:t>
      </w:r>
      <w:r w:rsidR="001D49EA" w:rsidRPr="00EE5714">
        <w:rPr>
          <w:rFonts w:ascii="Times New Roman" w:hAnsi="Times New Roman" w:cs="Times New Roman"/>
          <w:sz w:val="26"/>
          <w:szCs w:val="26"/>
        </w:rPr>
        <w:t>% and</w:t>
      </w:r>
      <w:r w:rsidR="00ED682A"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150% of the FPIG.  </w:t>
      </w:r>
      <w:r w:rsidR="007C20A9" w:rsidRPr="00EE5714">
        <w:rPr>
          <w:rFonts w:ascii="Times New Roman" w:hAnsi="Times New Roman" w:cs="Times New Roman"/>
          <w:sz w:val="26"/>
          <w:szCs w:val="26"/>
        </w:rPr>
        <w:t>As seen in Table 3-11, t</w:t>
      </w:r>
      <w:r w:rsidRPr="00EE5714">
        <w:rPr>
          <w:rFonts w:ascii="Times New Roman" w:hAnsi="Times New Roman" w:cs="Times New Roman"/>
          <w:sz w:val="26"/>
          <w:szCs w:val="26"/>
        </w:rPr>
        <w:t xml:space="preserve">he energy burdens for most EDC CAP customers in this category </w:t>
      </w:r>
      <w:r w:rsidRPr="00EE5714">
        <w:rPr>
          <w:rFonts w:ascii="Times New Roman" w:hAnsi="Times New Roman" w:cs="Times New Roman"/>
          <w:noProof/>
          <w:sz w:val="26"/>
          <w:szCs w:val="26"/>
        </w:rPr>
        <w:t xml:space="preserve">fell below the CAP Policy Statement guidelines for all five years of this study.  </w:t>
      </w:r>
      <w:r w:rsidRPr="00EE5714">
        <w:rPr>
          <w:rFonts w:ascii="Times New Roman" w:hAnsi="Times New Roman" w:cs="Times New Roman"/>
          <w:sz w:val="26"/>
          <w:szCs w:val="26"/>
        </w:rPr>
        <w:t>Duquesne CAP customers</w:t>
      </w:r>
      <w:r w:rsidR="00B958A1" w:rsidRPr="00EE5714">
        <w:rPr>
          <w:rFonts w:ascii="Times New Roman" w:hAnsi="Times New Roman" w:cs="Times New Roman"/>
          <w:sz w:val="26"/>
          <w:szCs w:val="26"/>
        </w:rPr>
        <w:t>’</w:t>
      </w:r>
      <w:r w:rsidRPr="00EE5714">
        <w:rPr>
          <w:rFonts w:ascii="Times New Roman" w:hAnsi="Times New Roman" w:cs="Times New Roman"/>
          <w:sz w:val="26"/>
          <w:szCs w:val="26"/>
        </w:rPr>
        <w:t xml:space="preserve"> energy burdens increased from 6% in 2015 to 7% in 2016.  This increase was likely due to Duquesne’s budget billing issues </w:t>
      </w:r>
      <w:proofErr w:type="gramStart"/>
      <w:r w:rsidRPr="00EE5714">
        <w:rPr>
          <w:rFonts w:ascii="Times New Roman" w:hAnsi="Times New Roman" w:cs="Times New Roman"/>
          <w:sz w:val="26"/>
          <w:szCs w:val="26"/>
        </w:rPr>
        <w:t>at this time</w:t>
      </w:r>
      <w:proofErr w:type="gramEnd"/>
      <w:r w:rsidRPr="00EE5714">
        <w:rPr>
          <w:rFonts w:ascii="Times New Roman" w:hAnsi="Times New Roman" w:cs="Times New Roman"/>
          <w:sz w:val="26"/>
          <w:szCs w:val="26"/>
        </w:rPr>
        <w:t>.</w:t>
      </w:r>
      <w:r w:rsidRPr="00EE5714">
        <w:rPr>
          <w:rFonts w:ascii="Times New Roman" w:hAnsi="Times New Roman" w:cs="Times New Roman"/>
          <w:noProof/>
          <w:sz w:val="26"/>
          <w:szCs w:val="26"/>
        </w:rPr>
        <w:t xml:space="preserve">    </w:t>
      </w:r>
    </w:p>
    <w:p w14:paraId="067D5783" w14:textId="77777777" w:rsidR="00516929" w:rsidRPr="00EE5714" w:rsidRDefault="00516929" w:rsidP="00516929">
      <w:pPr>
        <w:spacing w:after="0" w:line="360" w:lineRule="auto"/>
        <w:rPr>
          <w:rFonts w:ascii="Times New Roman" w:hAnsi="Times New Roman" w:cs="Times New Roman"/>
          <w:noProof/>
          <w:sz w:val="26"/>
          <w:szCs w:val="26"/>
        </w:rPr>
      </w:pPr>
      <w:r w:rsidRPr="00EE5714">
        <w:rPr>
          <w:rFonts w:ascii="Times New Roman" w:hAnsi="Times New Roman" w:cs="Times New Roman"/>
          <w:noProof/>
          <w:sz w:val="26"/>
          <w:szCs w:val="26"/>
        </w:rPr>
        <w:t xml:space="preserve">  </w:t>
      </w:r>
    </w:p>
    <w:p w14:paraId="1192E74D" w14:textId="77777777" w:rsidR="00516929" w:rsidRPr="00EE5714" w:rsidRDefault="00516929" w:rsidP="008E77A9">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Observations</w:t>
      </w:r>
    </w:p>
    <w:p w14:paraId="4BC03CFA" w14:textId="77777777" w:rsidR="00516929" w:rsidRPr="00EE5714" w:rsidRDefault="00516929" w:rsidP="004E4B6C">
      <w:pPr>
        <w:keepNext/>
        <w:spacing w:after="0" w:line="240" w:lineRule="auto"/>
        <w:rPr>
          <w:rFonts w:ascii="Times New Roman" w:hAnsi="Times New Roman" w:cs="Times New Roman"/>
          <w:sz w:val="26"/>
          <w:szCs w:val="26"/>
        </w:rPr>
      </w:pPr>
    </w:p>
    <w:p w14:paraId="28F03204"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From 2012</w:t>
      </w:r>
      <w:r w:rsidR="003B224E" w:rsidRPr="00EE5714">
        <w:rPr>
          <w:rFonts w:ascii="Times New Roman" w:hAnsi="Times New Roman" w:cs="Times New Roman"/>
          <w:sz w:val="26"/>
          <w:szCs w:val="26"/>
        </w:rPr>
        <w:t xml:space="preserve"> to </w:t>
      </w:r>
      <w:r w:rsidRPr="00EE5714">
        <w:rPr>
          <w:rFonts w:ascii="Times New Roman" w:hAnsi="Times New Roman" w:cs="Times New Roman"/>
          <w:sz w:val="26"/>
          <w:szCs w:val="26"/>
        </w:rPr>
        <w:t>2016, the average energy burden was 7</w:t>
      </w:r>
      <w:r w:rsidR="005C53B9" w:rsidRPr="00EE5714">
        <w:rPr>
          <w:rFonts w:ascii="Times New Roman" w:hAnsi="Times New Roman" w:cs="Times New Roman"/>
          <w:sz w:val="26"/>
          <w:szCs w:val="26"/>
        </w:rPr>
        <w:t>% to</w:t>
      </w:r>
      <w:r w:rsidR="00E11EDF" w:rsidRPr="00EE5714">
        <w:rPr>
          <w:rFonts w:ascii="Times New Roman" w:hAnsi="Times New Roman" w:cs="Times New Roman"/>
          <w:sz w:val="26"/>
          <w:szCs w:val="26"/>
        </w:rPr>
        <w:t xml:space="preserve"> </w:t>
      </w:r>
      <w:r w:rsidRPr="00EE5714">
        <w:rPr>
          <w:rFonts w:ascii="Times New Roman" w:hAnsi="Times New Roman" w:cs="Times New Roman"/>
          <w:sz w:val="26"/>
          <w:szCs w:val="26"/>
        </w:rPr>
        <w:t>8% for NGDC CAP heating customers, 5</w:t>
      </w:r>
      <w:r w:rsidR="00D15FFF" w:rsidRPr="00EE5714">
        <w:rPr>
          <w:rFonts w:ascii="Times New Roman" w:hAnsi="Times New Roman" w:cs="Times New Roman"/>
          <w:sz w:val="26"/>
          <w:szCs w:val="26"/>
        </w:rPr>
        <w:t xml:space="preserve"> to </w:t>
      </w:r>
      <w:r w:rsidRPr="00EE5714">
        <w:rPr>
          <w:rFonts w:ascii="Times New Roman" w:hAnsi="Times New Roman" w:cs="Times New Roman"/>
          <w:sz w:val="26"/>
          <w:szCs w:val="26"/>
        </w:rPr>
        <w:t>6% for EDC non-heating CAP customers, and 8</w:t>
      </w:r>
      <w:r w:rsidR="00D15FFF"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10% for EDC </w:t>
      </w:r>
      <w:r w:rsidR="00B1759F" w:rsidRPr="00EE5714">
        <w:rPr>
          <w:rFonts w:ascii="Times New Roman" w:hAnsi="Times New Roman" w:cs="Times New Roman"/>
          <w:sz w:val="26"/>
          <w:szCs w:val="26"/>
        </w:rPr>
        <w:t xml:space="preserve">CAP </w:t>
      </w:r>
      <w:r w:rsidRPr="00EE5714">
        <w:rPr>
          <w:rFonts w:ascii="Times New Roman" w:hAnsi="Times New Roman" w:cs="Times New Roman"/>
          <w:sz w:val="26"/>
          <w:szCs w:val="26"/>
        </w:rPr>
        <w:t>heating customers.  Residential non-CAP customers ha</w:t>
      </w:r>
      <w:r w:rsidR="00B1759F" w:rsidRPr="00EE5714">
        <w:rPr>
          <w:rFonts w:ascii="Times New Roman" w:hAnsi="Times New Roman" w:cs="Times New Roman"/>
          <w:sz w:val="26"/>
          <w:szCs w:val="26"/>
        </w:rPr>
        <w:t>d</w:t>
      </w:r>
      <w:r w:rsidRPr="00EE5714">
        <w:rPr>
          <w:rFonts w:ascii="Times New Roman" w:hAnsi="Times New Roman" w:cs="Times New Roman"/>
          <w:sz w:val="26"/>
          <w:szCs w:val="26"/>
        </w:rPr>
        <w:t xml:space="preserve"> an average energy burden of 4% for gas and electric service during this time period.</w:t>
      </w:r>
    </w:p>
    <w:p w14:paraId="21BB8C36" w14:textId="77777777" w:rsidR="00516929" w:rsidRPr="00EE5714" w:rsidRDefault="00516929" w:rsidP="00516929">
      <w:pPr>
        <w:spacing w:after="0" w:line="240" w:lineRule="auto"/>
        <w:rPr>
          <w:rFonts w:ascii="Times New Roman" w:hAnsi="Times New Roman" w:cs="Times New Roman"/>
          <w:sz w:val="26"/>
          <w:szCs w:val="26"/>
        </w:rPr>
      </w:pPr>
    </w:p>
    <w:p w14:paraId="32FEB568"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Although not consistent across all income levels, the staff noted less variance in energy burden</w:t>
      </w:r>
      <w:r w:rsidR="00610F65" w:rsidRPr="00EE5714">
        <w:rPr>
          <w:rFonts w:ascii="Times New Roman" w:hAnsi="Times New Roman" w:cs="Times New Roman"/>
          <w:sz w:val="26"/>
          <w:szCs w:val="26"/>
        </w:rPr>
        <w:t>s</w:t>
      </w:r>
      <w:r w:rsidRPr="00EE5714">
        <w:rPr>
          <w:rFonts w:ascii="Times New Roman" w:hAnsi="Times New Roman" w:cs="Times New Roman"/>
          <w:sz w:val="26"/>
          <w:szCs w:val="26"/>
        </w:rPr>
        <w:t xml:space="preserve"> of </w:t>
      </w:r>
      <w:r w:rsidR="008C0BBC" w:rsidRPr="00EE5714">
        <w:rPr>
          <w:rFonts w:ascii="Times New Roman" w:hAnsi="Times New Roman" w:cs="Times New Roman"/>
          <w:sz w:val="26"/>
          <w:szCs w:val="26"/>
        </w:rPr>
        <w:t>companies with</w:t>
      </w:r>
      <w:r w:rsidRPr="00EE5714">
        <w:rPr>
          <w:rFonts w:ascii="Times New Roman" w:hAnsi="Times New Roman" w:cs="Times New Roman"/>
          <w:sz w:val="26"/>
          <w:szCs w:val="26"/>
        </w:rPr>
        <w:t xml:space="preserve"> </w:t>
      </w:r>
      <w:r w:rsidR="007C20A9" w:rsidRPr="00EE5714">
        <w:rPr>
          <w:rFonts w:ascii="Times New Roman" w:hAnsi="Times New Roman" w:cs="Times New Roman"/>
          <w:sz w:val="26"/>
          <w:szCs w:val="26"/>
        </w:rPr>
        <w:t xml:space="preserve">percentage of income </w:t>
      </w:r>
      <w:r w:rsidRPr="00EE5714">
        <w:rPr>
          <w:rFonts w:ascii="Times New Roman" w:hAnsi="Times New Roman" w:cs="Times New Roman"/>
          <w:sz w:val="26"/>
          <w:szCs w:val="26"/>
        </w:rPr>
        <w:t xml:space="preserve">CAPs </w:t>
      </w:r>
      <w:r w:rsidR="008C0BBC" w:rsidRPr="00EE5714">
        <w:rPr>
          <w:rFonts w:ascii="Times New Roman" w:hAnsi="Times New Roman" w:cs="Times New Roman"/>
          <w:sz w:val="26"/>
          <w:szCs w:val="26"/>
        </w:rPr>
        <w:t xml:space="preserve">rather </w:t>
      </w:r>
      <w:r w:rsidRPr="00EE5714">
        <w:rPr>
          <w:rFonts w:ascii="Times New Roman" w:hAnsi="Times New Roman" w:cs="Times New Roman"/>
          <w:sz w:val="26"/>
          <w:szCs w:val="26"/>
        </w:rPr>
        <w:t xml:space="preserve">than rate discount CAPs.    </w:t>
      </w:r>
    </w:p>
    <w:p w14:paraId="70821CB0" w14:textId="77777777" w:rsidR="00516929" w:rsidRPr="00EE5714" w:rsidRDefault="00516929" w:rsidP="00516929">
      <w:pPr>
        <w:spacing w:after="0" w:line="240" w:lineRule="auto"/>
        <w:ind w:firstLine="720"/>
        <w:rPr>
          <w:rFonts w:ascii="Times New Roman" w:hAnsi="Times New Roman" w:cs="Times New Roman"/>
          <w:sz w:val="26"/>
          <w:szCs w:val="26"/>
        </w:rPr>
      </w:pPr>
    </w:p>
    <w:p w14:paraId="4A9377D5"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On average, NGDC CAP customers at or below 50% of the FPIG </w:t>
      </w:r>
      <w:r w:rsidR="00BC4F90" w:rsidRPr="00EE5714">
        <w:rPr>
          <w:rFonts w:ascii="Times New Roman" w:hAnsi="Times New Roman" w:cs="Times New Roman"/>
          <w:sz w:val="26"/>
          <w:szCs w:val="26"/>
        </w:rPr>
        <w:t xml:space="preserve">level </w:t>
      </w:r>
      <w:r w:rsidR="005D558F" w:rsidRPr="00EE5714">
        <w:rPr>
          <w:rFonts w:ascii="Times New Roman" w:hAnsi="Times New Roman" w:cs="Times New Roman"/>
          <w:sz w:val="26"/>
          <w:szCs w:val="26"/>
        </w:rPr>
        <w:t>have energy burdens</w:t>
      </w:r>
      <w:r w:rsidR="00BC4F90"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between 8% </w:t>
      </w:r>
      <w:r w:rsidR="00AB1064" w:rsidRPr="00EE5714">
        <w:rPr>
          <w:rFonts w:ascii="Times New Roman" w:hAnsi="Times New Roman" w:cs="Times New Roman"/>
          <w:sz w:val="26"/>
          <w:szCs w:val="26"/>
        </w:rPr>
        <w:t>and</w:t>
      </w:r>
      <w:r w:rsidRPr="00EE5714">
        <w:rPr>
          <w:rFonts w:ascii="Times New Roman" w:hAnsi="Times New Roman" w:cs="Times New Roman"/>
          <w:sz w:val="26"/>
          <w:szCs w:val="26"/>
        </w:rPr>
        <w:t xml:space="preserve"> 9% of their income, customers with incomes between 51% </w:t>
      </w:r>
      <w:r w:rsidR="0081285A" w:rsidRPr="00EE5714">
        <w:rPr>
          <w:rFonts w:ascii="Times New Roman" w:hAnsi="Times New Roman" w:cs="Times New Roman"/>
          <w:sz w:val="26"/>
          <w:szCs w:val="26"/>
        </w:rPr>
        <w:t xml:space="preserve">and </w:t>
      </w:r>
      <w:r w:rsidRPr="00EE5714">
        <w:rPr>
          <w:rFonts w:ascii="Times New Roman" w:hAnsi="Times New Roman" w:cs="Times New Roman"/>
          <w:sz w:val="26"/>
          <w:szCs w:val="26"/>
        </w:rPr>
        <w:t xml:space="preserve">100% of FPIG </w:t>
      </w:r>
      <w:r w:rsidR="00D50589" w:rsidRPr="00EE5714">
        <w:rPr>
          <w:rFonts w:ascii="Times New Roman" w:hAnsi="Times New Roman" w:cs="Times New Roman"/>
          <w:sz w:val="26"/>
          <w:szCs w:val="26"/>
        </w:rPr>
        <w:t>have energy burdens</w:t>
      </w:r>
      <w:r w:rsidR="00B532E6"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between 7% </w:t>
      </w:r>
      <w:r w:rsidR="00381F9D" w:rsidRPr="00EE5714">
        <w:rPr>
          <w:rFonts w:ascii="Times New Roman" w:hAnsi="Times New Roman" w:cs="Times New Roman"/>
          <w:sz w:val="26"/>
          <w:szCs w:val="26"/>
        </w:rPr>
        <w:t>and</w:t>
      </w:r>
      <w:r w:rsidRPr="00EE5714">
        <w:rPr>
          <w:rFonts w:ascii="Times New Roman" w:hAnsi="Times New Roman" w:cs="Times New Roman"/>
          <w:sz w:val="26"/>
          <w:szCs w:val="26"/>
        </w:rPr>
        <w:t xml:space="preserve"> 8% of income, and customers with incomes between 101% </w:t>
      </w:r>
      <w:r w:rsidR="0081285A" w:rsidRPr="00EE5714">
        <w:rPr>
          <w:rFonts w:ascii="Times New Roman" w:hAnsi="Times New Roman" w:cs="Times New Roman"/>
          <w:sz w:val="26"/>
          <w:szCs w:val="26"/>
        </w:rPr>
        <w:t xml:space="preserve">and </w:t>
      </w:r>
      <w:r w:rsidRPr="00EE5714">
        <w:rPr>
          <w:rFonts w:ascii="Times New Roman" w:hAnsi="Times New Roman" w:cs="Times New Roman"/>
          <w:sz w:val="26"/>
          <w:szCs w:val="26"/>
        </w:rPr>
        <w:t xml:space="preserve">150% of FPIG </w:t>
      </w:r>
      <w:r w:rsidR="00144F9B" w:rsidRPr="00EE5714">
        <w:rPr>
          <w:rFonts w:ascii="Times New Roman" w:hAnsi="Times New Roman" w:cs="Times New Roman"/>
          <w:sz w:val="26"/>
          <w:szCs w:val="26"/>
        </w:rPr>
        <w:t xml:space="preserve">have energy burdens between </w:t>
      </w:r>
      <w:r w:rsidRPr="00EE5714">
        <w:rPr>
          <w:rFonts w:ascii="Times New Roman" w:hAnsi="Times New Roman" w:cs="Times New Roman"/>
          <w:sz w:val="26"/>
          <w:szCs w:val="26"/>
        </w:rPr>
        <w:t xml:space="preserve">5% </w:t>
      </w:r>
      <w:r w:rsidR="00381F9D" w:rsidRPr="00EE5714">
        <w:rPr>
          <w:rFonts w:ascii="Times New Roman" w:hAnsi="Times New Roman" w:cs="Times New Roman"/>
          <w:sz w:val="26"/>
          <w:szCs w:val="26"/>
        </w:rPr>
        <w:t>and</w:t>
      </w:r>
      <w:r w:rsidRPr="00EE5714">
        <w:rPr>
          <w:rFonts w:ascii="Times New Roman" w:hAnsi="Times New Roman" w:cs="Times New Roman"/>
          <w:sz w:val="26"/>
          <w:szCs w:val="26"/>
        </w:rPr>
        <w:t xml:space="preserve"> 7% of their income.  These ranges are within the CAP Policy Statement for all</w:t>
      </w:r>
      <w:r w:rsidR="007807F1" w:rsidRPr="00EE5714">
        <w:rPr>
          <w:rFonts w:ascii="Times New Roman" w:hAnsi="Times New Roman" w:cs="Times New Roman"/>
          <w:sz w:val="26"/>
          <w:szCs w:val="26"/>
        </w:rPr>
        <w:t xml:space="preserve"> except</w:t>
      </w:r>
      <w:r w:rsidRPr="00EE5714">
        <w:rPr>
          <w:rFonts w:ascii="Times New Roman" w:hAnsi="Times New Roman" w:cs="Times New Roman"/>
          <w:sz w:val="26"/>
          <w:szCs w:val="26"/>
        </w:rPr>
        <w:t xml:space="preserve"> customers at the 0</w:t>
      </w:r>
      <w:r w:rsidR="009B2938" w:rsidRPr="00EE5714">
        <w:rPr>
          <w:rFonts w:ascii="Times New Roman" w:hAnsi="Times New Roman" w:cs="Times New Roman"/>
          <w:sz w:val="26"/>
          <w:szCs w:val="26"/>
        </w:rPr>
        <w:t xml:space="preserve"> </w:t>
      </w:r>
      <w:r w:rsidR="007807F1" w:rsidRPr="00EE5714">
        <w:rPr>
          <w:rFonts w:ascii="Times New Roman" w:hAnsi="Times New Roman" w:cs="Times New Roman"/>
          <w:sz w:val="26"/>
          <w:szCs w:val="26"/>
        </w:rPr>
        <w:t xml:space="preserve">to </w:t>
      </w:r>
      <w:r w:rsidRPr="00EE5714">
        <w:rPr>
          <w:rFonts w:ascii="Times New Roman" w:hAnsi="Times New Roman" w:cs="Times New Roman"/>
          <w:sz w:val="26"/>
          <w:szCs w:val="26"/>
        </w:rPr>
        <w:t xml:space="preserve">50% FPIG level.  </w:t>
      </w:r>
    </w:p>
    <w:p w14:paraId="166915CD" w14:textId="77777777" w:rsidR="00516929" w:rsidRPr="00EE5714" w:rsidRDefault="00516929" w:rsidP="00516929">
      <w:pPr>
        <w:spacing w:after="0" w:line="240" w:lineRule="auto"/>
        <w:rPr>
          <w:rFonts w:ascii="Times New Roman" w:hAnsi="Times New Roman" w:cs="Times New Roman"/>
          <w:sz w:val="26"/>
          <w:szCs w:val="26"/>
        </w:rPr>
      </w:pPr>
    </w:p>
    <w:p w14:paraId="587610C5" w14:textId="496990AB"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lastRenderedPageBreak/>
        <w:t xml:space="preserve">There are numerous generalizations that can be made from the </w:t>
      </w:r>
      <w:r w:rsidR="00DE67BB" w:rsidRPr="00EE5714">
        <w:rPr>
          <w:rFonts w:ascii="Times New Roman" w:hAnsi="Times New Roman" w:cs="Times New Roman"/>
          <w:sz w:val="26"/>
          <w:szCs w:val="26"/>
        </w:rPr>
        <w:t xml:space="preserve">data </w:t>
      </w:r>
      <w:r w:rsidRPr="00EE5714">
        <w:rPr>
          <w:rFonts w:ascii="Times New Roman" w:hAnsi="Times New Roman" w:cs="Times New Roman"/>
          <w:sz w:val="26"/>
          <w:szCs w:val="26"/>
        </w:rPr>
        <w:t>provided by the EDCs.  CAP customers in the lowest FPIG levels had the largest energy burden, and</w:t>
      </w:r>
      <w:r w:rsidR="00DE67BB" w:rsidRPr="00EE5714">
        <w:rPr>
          <w:rFonts w:ascii="Times New Roman" w:hAnsi="Times New Roman" w:cs="Times New Roman"/>
          <w:sz w:val="26"/>
          <w:szCs w:val="26"/>
        </w:rPr>
        <w:t>,</w:t>
      </w:r>
      <w:r w:rsidRPr="00EE5714">
        <w:rPr>
          <w:rFonts w:ascii="Times New Roman" w:hAnsi="Times New Roman" w:cs="Times New Roman"/>
          <w:sz w:val="26"/>
          <w:szCs w:val="26"/>
        </w:rPr>
        <w:t xml:space="preserve"> as income increased, energy burden</w:t>
      </w:r>
      <w:r w:rsidR="004E4B6C" w:rsidRPr="00EE5714">
        <w:rPr>
          <w:rFonts w:ascii="Times New Roman" w:hAnsi="Times New Roman" w:cs="Times New Roman"/>
          <w:sz w:val="26"/>
          <w:szCs w:val="26"/>
        </w:rPr>
        <w:t>s</w:t>
      </w:r>
      <w:r w:rsidRPr="00EE5714">
        <w:rPr>
          <w:rFonts w:ascii="Times New Roman" w:hAnsi="Times New Roman" w:cs="Times New Roman"/>
          <w:sz w:val="26"/>
          <w:szCs w:val="26"/>
        </w:rPr>
        <w:t xml:space="preserve"> tended to decrease across the board.  </w:t>
      </w:r>
    </w:p>
    <w:p w14:paraId="446E315B" w14:textId="77777777" w:rsidR="00516929" w:rsidRPr="00EE5714" w:rsidRDefault="00516929" w:rsidP="00516929">
      <w:pPr>
        <w:spacing w:after="0" w:line="240" w:lineRule="auto"/>
        <w:rPr>
          <w:rFonts w:ascii="Times New Roman" w:hAnsi="Times New Roman" w:cs="Times New Roman"/>
          <w:sz w:val="26"/>
          <w:szCs w:val="26"/>
        </w:rPr>
      </w:pPr>
    </w:p>
    <w:p w14:paraId="52683717"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There </w:t>
      </w:r>
      <w:r w:rsidR="00DE67BB" w:rsidRPr="00EE5714">
        <w:rPr>
          <w:rFonts w:ascii="Times New Roman" w:hAnsi="Times New Roman" w:cs="Times New Roman"/>
          <w:sz w:val="26"/>
          <w:szCs w:val="26"/>
        </w:rPr>
        <w:t>has been</w:t>
      </w:r>
      <w:r w:rsidRPr="00EE5714">
        <w:rPr>
          <w:rFonts w:ascii="Times New Roman" w:hAnsi="Times New Roman" w:cs="Times New Roman"/>
          <w:sz w:val="26"/>
          <w:szCs w:val="26"/>
        </w:rPr>
        <w:t xml:space="preserve"> variability in the energy burdens for CAP customers across Pennsylvania.  As each utility determine</w:t>
      </w:r>
      <w:r w:rsidR="007363E6" w:rsidRPr="00EE5714">
        <w:rPr>
          <w:rFonts w:ascii="Times New Roman" w:hAnsi="Times New Roman" w:cs="Times New Roman"/>
          <w:sz w:val="26"/>
          <w:szCs w:val="26"/>
        </w:rPr>
        <w:t>d</w:t>
      </w:r>
      <w:r w:rsidRPr="00EE5714">
        <w:rPr>
          <w:rFonts w:ascii="Times New Roman" w:hAnsi="Times New Roman" w:cs="Times New Roman"/>
          <w:sz w:val="26"/>
          <w:szCs w:val="26"/>
        </w:rPr>
        <w:t xml:space="preserve"> its own CAP billing calculation, there </w:t>
      </w:r>
      <w:r w:rsidR="004A5933" w:rsidRPr="00EE5714">
        <w:rPr>
          <w:rFonts w:ascii="Times New Roman" w:hAnsi="Times New Roman" w:cs="Times New Roman"/>
          <w:sz w:val="26"/>
          <w:szCs w:val="26"/>
        </w:rPr>
        <w:t>wa</w:t>
      </w:r>
      <w:r w:rsidRPr="00EE5714">
        <w:rPr>
          <w:rFonts w:ascii="Times New Roman" w:hAnsi="Times New Roman" w:cs="Times New Roman"/>
          <w:sz w:val="26"/>
          <w:szCs w:val="26"/>
        </w:rPr>
        <w:t>s no discernable consistency across energy programs.</w:t>
      </w:r>
    </w:p>
    <w:p w14:paraId="03164EB1" w14:textId="77777777" w:rsidR="00516929" w:rsidRPr="00EE5714" w:rsidRDefault="00516929" w:rsidP="00516929">
      <w:pPr>
        <w:spacing w:after="0" w:line="240" w:lineRule="auto"/>
        <w:ind w:firstLine="720"/>
        <w:rPr>
          <w:rFonts w:ascii="Times New Roman" w:hAnsi="Times New Roman" w:cs="Times New Roman"/>
          <w:sz w:val="26"/>
          <w:szCs w:val="26"/>
        </w:rPr>
      </w:pPr>
    </w:p>
    <w:p w14:paraId="09D58DE8" w14:textId="77777777" w:rsidR="00516929" w:rsidRPr="00EE5714" w:rsidRDefault="00516929" w:rsidP="0051692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Customers in the 0</w:t>
      </w:r>
      <w:r w:rsidR="00D53A83" w:rsidRPr="00EE5714">
        <w:rPr>
          <w:rFonts w:ascii="Times New Roman" w:hAnsi="Times New Roman" w:cs="Times New Roman"/>
          <w:sz w:val="26"/>
          <w:szCs w:val="26"/>
        </w:rPr>
        <w:t xml:space="preserve"> to </w:t>
      </w:r>
      <w:r w:rsidRPr="00EE5714">
        <w:rPr>
          <w:rFonts w:ascii="Times New Roman" w:hAnsi="Times New Roman" w:cs="Times New Roman"/>
          <w:sz w:val="26"/>
          <w:szCs w:val="26"/>
        </w:rPr>
        <w:t>50</w:t>
      </w:r>
      <w:r w:rsidR="00A45918" w:rsidRPr="00EE5714">
        <w:rPr>
          <w:rFonts w:ascii="Times New Roman" w:hAnsi="Times New Roman" w:cs="Times New Roman"/>
          <w:sz w:val="26"/>
          <w:szCs w:val="26"/>
        </w:rPr>
        <w:t>%</w:t>
      </w:r>
      <w:r w:rsidRPr="00EE5714">
        <w:rPr>
          <w:rFonts w:ascii="Times New Roman" w:hAnsi="Times New Roman" w:cs="Times New Roman"/>
          <w:sz w:val="26"/>
          <w:szCs w:val="26"/>
        </w:rPr>
        <w:t xml:space="preserve"> FPIG </w:t>
      </w:r>
      <w:r w:rsidR="00482654" w:rsidRPr="00EE5714">
        <w:rPr>
          <w:rFonts w:ascii="Times New Roman" w:hAnsi="Times New Roman" w:cs="Times New Roman"/>
          <w:sz w:val="26"/>
          <w:szCs w:val="26"/>
        </w:rPr>
        <w:t>level</w:t>
      </w:r>
      <w:r w:rsidRPr="00EE5714">
        <w:rPr>
          <w:rFonts w:ascii="Times New Roman" w:hAnsi="Times New Roman" w:cs="Times New Roman"/>
          <w:sz w:val="26"/>
          <w:szCs w:val="26"/>
        </w:rPr>
        <w:t>, regardless of heating or non-heating status and energy type, often ha</w:t>
      </w:r>
      <w:r w:rsidR="007363E6" w:rsidRPr="00EE5714">
        <w:rPr>
          <w:rFonts w:ascii="Times New Roman" w:hAnsi="Times New Roman" w:cs="Times New Roman"/>
          <w:sz w:val="26"/>
          <w:szCs w:val="26"/>
        </w:rPr>
        <w:t>d</w:t>
      </w:r>
      <w:r w:rsidRPr="00EE5714">
        <w:rPr>
          <w:rFonts w:ascii="Times New Roman" w:hAnsi="Times New Roman" w:cs="Times New Roman"/>
          <w:sz w:val="26"/>
          <w:szCs w:val="26"/>
        </w:rPr>
        <w:t xml:space="preserve"> energy burdens exceeding the CAP Policy Statement guidelines.  </w:t>
      </w:r>
      <w:r w:rsidR="00950976" w:rsidRPr="00EE5714">
        <w:rPr>
          <w:rFonts w:ascii="Times New Roman" w:hAnsi="Times New Roman" w:cs="Times New Roman"/>
          <w:sz w:val="26"/>
          <w:szCs w:val="26"/>
        </w:rPr>
        <w:t>In</w:t>
      </w:r>
      <w:r w:rsidR="00090839" w:rsidRPr="00EE5714">
        <w:rPr>
          <w:rFonts w:ascii="Times New Roman" w:hAnsi="Times New Roman" w:cs="Times New Roman"/>
          <w:sz w:val="26"/>
          <w:szCs w:val="26"/>
        </w:rPr>
        <w:t>clu</w:t>
      </w:r>
      <w:r w:rsidR="0048077F" w:rsidRPr="00EE5714">
        <w:rPr>
          <w:rFonts w:ascii="Times New Roman" w:hAnsi="Times New Roman" w:cs="Times New Roman"/>
          <w:sz w:val="26"/>
          <w:szCs w:val="26"/>
        </w:rPr>
        <w:t>sion of</w:t>
      </w:r>
      <w:r w:rsidR="00482654" w:rsidRPr="00EE5714">
        <w:rPr>
          <w:rFonts w:ascii="Times New Roman" w:hAnsi="Times New Roman" w:cs="Times New Roman"/>
          <w:sz w:val="26"/>
          <w:szCs w:val="26"/>
        </w:rPr>
        <w:t xml:space="preserve"> </w:t>
      </w:r>
      <w:r w:rsidR="00B253E1" w:rsidRPr="00EE5714">
        <w:rPr>
          <w:rFonts w:ascii="Times New Roman" w:hAnsi="Times New Roman" w:cs="Times New Roman"/>
          <w:sz w:val="26"/>
          <w:szCs w:val="26"/>
        </w:rPr>
        <w:t>zero-income</w:t>
      </w:r>
      <w:r w:rsidR="00950976" w:rsidRPr="00EE5714">
        <w:rPr>
          <w:rFonts w:ascii="Times New Roman" w:hAnsi="Times New Roman" w:cs="Times New Roman"/>
          <w:sz w:val="26"/>
          <w:szCs w:val="26"/>
        </w:rPr>
        <w:t xml:space="preserve"> customers</w:t>
      </w:r>
      <w:r w:rsidR="002041ED" w:rsidRPr="00EE5714">
        <w:rPr>
          <w:rFonts w:ascii="Times New Roman" w:hAnsi="Times New Roman" w:cs="Times New Roman"/>
          <w:sz w:val="26"/>
          <w:szCs w:val="26"/>
        </w:rPr>
        <w:t xml:space="preserve"> by some utilities</w:t>
      </w:r>
      <w:r w:rsidR="00950976" w:rsidRPr="00EE5714">
        <w:rPr>
          <w:rFonts w:ascii="Times New Roman" w:hAnsi="Times New Roman" w:cs="Times New Roman"/>
          <w:sz w:val="26"/>
          <w:szCs w:val="26"/>
        </w:rPr>
        <w:t xml:space="preserve"> may </w:t>
      </w:r>
      <w:r w:rsidR="002041ED" w:rsidRPr="00EE5714">
        <w:rPr>
          <w:rFonts w:ascii="Times New Roman" w:hAnsi="Times New Roman" w:cs="Times New Roman"/>
          <w:sz w:val="26"/>
          <w:szCs w:val="26"/>
        </w:rPr>
        <w:t xml:space="preserve">have </w:t>
      </w:r>
      <w:r w:rsidR="00950976" w:rsidRPr="00EE5714">
        <w:rPr>
          <w:rFonts w:ascii="Times New Roman" w:hAnsi="Times New Roman" w:cs="Times New Roman"/>
          <w:sz w:val="26"/>
          <w:szCs w:val="26"/>
        </w:rPr>
        <w:t>inflate</w:t>
      </w:r>
      <w:r w:rsidR="002041ED" w:rsidRPr="00EE5714">
        <w:rPr>
          <w:rFonts w:ascii="Times New Roman" w:hAnsi="Times New Roman" w:cs="Times New Roman"/>
          <w:sz w:val="26"/>
          <w:szCs w:val="26"/>
        </w:rPr>
        <w:t>d</w:t>
      </w:r>
      <w:r w:rsidR="00950976" w:rsidRPr="00EE5714">
        <w:rPr>
          <w:rFonts w:ascii="Times New Roman" w:hAnsi="Times New Roman" w:cs="Times New Roman"/>
          <w:sz w:val="26"/>
          <w:szCs w:val="26"/>
        </w:rPr>
        <w:t xml:space="preserve"> the energy burden</w:t>
      </w:r>
      <w:r w:rsidR="002041ED" w:rsidRPr="00EE5714">
        <w:rPr>
          <w:rFonts w:ascii="Times New Roman" w:hAnsi="Times New Roman" w:cs="Times New Roman"/>
          <w:sz w:val="26"/>
          <w:szCs w:val="26"/>
        </w:rPr>
        <w:t xml:space="preserve"> </w:t>
      </w:r>
      <w:r w:rsidR="0048077F" w:rsidRPr="00EE5714">
        <w:rPr>
          <w:rFonts w:ascii="Times New Roman" w:hAnsi="Times New Roman" w:cs="Times New Roman"/>
          <w:sz w:val="26"/>
          <w:szCs w:val="26"/>
        </w:rPr>
        <w:t>calculations for this FPIG level</w:t>
      </w:r>
      <w:r w:rsidR="002041ED" w:rsidRPr="00EE5714">
        <w:rPr>
          <w:rFonts w:ascii="Times New Roman" w:hAnsi="Times New Roman" w:cs="Times New Roman"/>
          <w:sz w:val="26"/>
          <w:szCs w:val="26"/>
        </w:rPr>
        <w:t>.</w:t>
      </w:r>
    </w:p>
    <w:p w14:paraId="60B1BA33" w14:textId="77777777" w:rsidR="00516929" w:rsidRPr="00EE5714" w:rsidRDefault="00516929" w:rsidP="00516929">
      <w:pPr>
        <w:spacing w:after="0" w:line="240" w:lineRule="auto"/>
        <w:ind w:firstLine="720"/>
        <w:rPr>
          <w:rFonts w:ascii="Times New Roman" w:hAnsi="Times New Roman" w:cs="Times New Roman"/>
          <w:sz w:val="26"/>
          <w:szCs w:val="26"/>
        </w:rPr>
      </w:pPr>
    </w:p>
    <w:p w14:paraId="1D411AD9" w14:textId="77777777" w:rsidR="004B3EBC" w:rsidRPr="00EE5714" w:rsidRDefault="001A29D5" w:rsidP="00516929">
      <w:pPr>
        <w:spacing w:after="0" w:line="240" w:lineRule="auto"/>
        <w:rPr>
          <w:rFonts w:ascii="Times New Roman" w:hAnsi="Times New Roman" w:cs="Times New Roman"/>
          <w:color w:val="2F5496" w:themeColor="accent1" w:themeShade="BF"/>
          <w:sz w:val="26"/>
          <w:szCs w:val="26"/>
        </w:rPr>
      </w:pPr>
      <w:r w:rsidRPr="00EE5714">
        <w:rPr>
          <w:rFonts w:ascii="Times New Roman" w:hAnsi="Times New Roman" w:cs="Times New Roman"/>
          <w:sz w:val="26"/>
          <w:szCs w:val="26"/>
        </w:rPr>
        <w:tab/>
      </w:r>
      <w:r w:rsidR="00516929" w:rsidRPr="00EE5714">
        <w:rPr>
          <w:rFonts w:ascii="Times New Roman" w:hAnsi="Times New Roman" w:cs="Times New Roman"/>
          <w:sz w:val="26"/>
          <w:szCs w:val="26"/>
        </w:rPr>
        <w:t>For the CAP customers in the 101</w:t>
      </w:r>
      <w:r w:rsidR="0042709A" w:rsidRPr="00EE5714">
        <w:rPr>
          <w:rFonts w:ascii="Times New Roman" w:hAnsi="Times New Roman" w:cs="Times New Roman"/>
          <w:sz w:val="26"/>
          <w:szCs w:val="26"/>
        </w:rPr>
        <w:t xml:space="preserve"> to </w:t>
      </w:r>
      <w:r w:rsidR="00516929" w:rsidRPr="00EE5714">
        <w:rPr>
          <w:rFonts w:ascii="Times New Roman" w:hAnsi="Times New Roman" w:cs="Times New Roman"/>
          <w:sz w:val="26"/>
          <w:szCs w:val="26"/>
        </w:rPr>
        <w:t xml:space="preserve">150% FPIG </w:t>
      </w:r>
      <w:r w:rsidR="005C0163" w:rsidRPr="00EE5714">
        <w:rPr>
          <w:rFonts w:ascii="Times New Roman" w:hAnsi="Times New Roman" w:cs="Times New Roman"/>
          <w:sz w:val="26"/>
          <w:szCs w:val="26"/>
        </w:rPr>
        <w:t>level</w:t>
      </w:r>
      <w:r w:rsidR="00516929" w:rsidRPr="00EE5714">
        <w:rPr>
          <w:rFonts w:ascii="Times New Roman" w:hAnsi="Times New Roman" w:cs="Times New Roman"/>
          <w:sz w:val="26"/>
          <w:szCs w:val="26"/>
        </w:rPr>
        <w:t>, all three types of energy service show that both NGDC and EDC CAPs ha</w:t>
      </w:r>
      <w:r w:rsidR="007363E6" w:rsidRPr="00EE5714">
        <w:rPr>
          <w:rFonts w:ascii="Times New Roman" w:hAnsi="Times New Roman" w:cs="Times New Roman"/>
          <w:sz w:val="26"/>
          <w:szCs w:val="26"/>
        </w:rPr>
        <w:t>d</w:t>
      </w:r>
      <w:r w:rsidR="00516929" w:rsidRPr="00EE5714">
        <w:rPr>
          <w:rFonts w:ascii="Times New Roman" w:hAnsi="Times New Roman" w:cs="Times New Roman"/>
          <w:sz w:val="26"/>
          <w:szCs w:val="26"/>
        </w:rPr>
        <w:t xml:space="preserve"> energy burdens within the CAP Policy Statement guidelines.  However, non-heating EDC CAP customer energy burdens at various FPIG levels seem</w:t>
      </w:r>
      <w:r w:rsidR="007363E6" w:rsidRPr="00EE5714">
        <w:rPr>
          <w:rFonts w:ascii="Times New Roman" w:hAnsi="Times New Roman" w:cs="Times New Roman"/>
          <w:sz w:val="26"/>
          <w:szCs w:val="26"/>
        </w:rPr>
        <w:t>ed</w:t>
      </w:r>
      <w:r w:rsidR="00516929" w:rsidRPr="00EE5714">
        <w:rPr>
          <w:rFonts w:ascii="Times New Roman" w:hAnsi="Times New Roman" w:cs="Times New Roman"/>
          <w:sz w:val="26"/>
          <w:szCs w:val="26"/>
        </w:rPr>
        <w:t xml:space="preserve"> to exceed the CAP Policy Statement guidelines at a greater proportion than EDC</w:t>
      </w:r>
      <w:r w:rsidR="001B17E1" w:rsidRPr="00EE5714">
        <w:rPr>
          <w:rFonts w:ascii="Times New Roman" w:hAnsi="Times New Roman" w:cs="Times New Roman"/>
          <w:sz w:val="26"/>
          <w:szCs w:val="26"/>
        </w:rPr>
        <w:t xml:space="preserve"> heating CAP customers. </w:t>
      </w:r>
    </w:p>
    <w:p w14:paraId="65AFC9B3" w14:textId="77777777" w:rsidR="006771F4" w:rsidRPr="00EE5714" w:rsidRDefault="006771F4">
      <w:pPr>
        <w:rPr>
          <w:rFonts w:ascii="Times New Roman" w:hAnsi="Times New Roman" w:cs="Times New Roman"/>
          <w:b/>
          <w:color w:val="2F5496" w:themeColor="accent1" w:themeShade="BF"/>
          <w:sz w:val="26"/>
          <w:szCs w:val="26"/>
        </w:rPr>
      </w:pPr>
      <w:r w:rsidRPr="00EE5714">
        <w:rPr>
          <w:rFonts w:ascii="Times New Roman" w:hAnsi="Times New Roman" w:cs="Times New Roman"/>
          <w:b/>
          <w:color w:val="2F5496" w:themeColor="accent1" w:themeShade="BF"/>
          <w:sz w:val="26"/>
          <w:szCs w:val="26"/>
        </w:rPr>
        <w:br w:type="page"/>
      </w:r>
    </w:p>
    <w:p w14:paraId="23D9D430" w14:textId="77777777" w:rsidR="0075247A" w:rsidRPr="00EE5714" w:rsidRDefault="004B3EBC">
      <w:pPr>
        <w:pStyle w:val="Heading1"/>
        <w:rPr>
          <w:rFonts w:cs="Times New Roman"/>
        </w:rPr>
      </w:pPr>
      <w:bookmarkStart w:id="25" w:name="_Toc533674862"/>
      <w:bookmarkStart w:id="26" w:name="_Toc534547867"/>
      <w:r w:rsidRPr="00EE5714">
        <w:lastRenderedPageBreak/>
        <w:t xml:space="preserve">IV.  Impact of LIHEAP </w:t>
      </w:r>
      <w:r w:rsidR="00D20A2E" w:rsidRPr="00EE5714">
        <w:t>Grants on Energy Burden Levels</w:t>
      </w:r>
      <w:bookmarkEnd w:id="25"/>
      <w:bookmarkEnd w:id="26"/>
    </w:p>
    <w:p w14:paraId="76ADE816" w14:textId="77777777" w:rsidR="00BB0DF2" w:rsidRPr="00EE5714" w:rsidRDefault="00BB0DF2" w:rsidP="00BB0DF2">
      <w:pPr>
        <w:pStyle w:val="ListParagraph"/>
        <w:spacing w:after="0" w:line="240" w:lineRule="auto"/>
        <w:ind w:left="0"/>
        <w:rPr>
          <w:rFonts w:ascii="Times New Roman" w:hAnsi="Times New Roman" w:cs="Times New Roman"/>
          <w:sz w:val="26"/>
          <w:szCs w:val="26"/>
        </w:rPr>
      </w:pPr>
    </w:p>
    <w:p w14:paraId="08AD8C1B" w14:textId="77777777" w:rsidR="00BB0DF2" w:rsidRPr="00EE5714" w:rsidRDefault="00BB0DF2" w:rsidP="008E77A9">
      <w:pPr>
        <w:pStyle w:val="ListParagraph"/>
        <w:spacing w:after="0" w:line="240" w:lineRule="auto"/>
        <w:ind w:left="0"/>
        <w:jc w:val="center"/>
        <w:rPr>
          <w:rFonts w:ascii="Times New Roman" w:hAnsi="Times New Roman" w:cs="Times New Roman"/>
          <w:b/>
          <w:bCs/>
          <w:sz w:val="26"/>
          <w:szCs w:val="26"/>
        </w:rPr>
      </w:pPr>
      <w:r w:rsidRPr="00EE5714">
        <w:rPr>
          <w:rFonts w:ascii="Times New Roman" w:hAnsi="Times New Roman" w:cs="Times New Roman"/>
          <w:b/>
          <w:bCs/>
          <w:sz w:val="26"/>
          <w:szCs w:val="26"/>
        </w:rPr>
        <w:t>Objective</w:t>
      </w:r>
    </w:p>
    <w:p w14:paraId="04E4A1E2" w14:textId="77777777" w:rsidR="00BB0DF2" w:rsidRPr="00EE5714" w:rsidRDefault="00BB0DF2" w:rsidP="00BB0DF2">
      <w:pPr>
        <w:pStyle w:val="ListParagraph"/>
        <w:spacing w:after="0" w:line="240" w:lineRule="auto"/>
        <w:ind w:left="0"/>
        <w:rPr>
          <w:rFonts w:ascii="Times New Roman" w:hAnsi="Times New Roman" w:cs="Times New Roman"/>
          <w:sz w:val="26"/>
          <w:szCs w:val="26"/>
        </w:rPr>
      </w:pPr>
    </w:p>
    <w:p w14:paraId="522305CF" w14:textId="77777777" w:rsidR="00BB0DF2" w:rsidRPr="00EE5714" w:rsidRDefault="00736148" w:rsidP="00BB0DF2">
      <w:pPr>
        <w:pStyle w:val="ListParagraph"/>
        <w:spacing w:after="0" w:line="240" w:lineRule="auto"/>
        <w:ind w:left="0"/>
        <w:rPr>
          <w:rFonts w:ascii="Times New Roman" w:hAnsi="Times New Roman" w:cs="Times New Roman"/>
          <w:sz w:val="26"/>
          <w:szCs w:val="26"/>
        </w:rPr>
      </w:pPr>
      <w:r w:rsidRPr="00EE5714">
        <w:rPr>
          <w:rFonts w:ascii="Times New Roman" w:hAnsi="Times New Roman" w:cs="Times New Roman"/>
          <w:sz w:val="26"/>
          <w:szCs w:val="26"/>
        </w:rPr>
        <w:tab/>
      </w:r>
      <w:r w:rsidR="00387100" w:rsidRPr="00EE5714">
        <w:rPr>
          <w:rFonts w:ascii="Times New Roman" w:hAnsi="Times New Roman" w:cs="Times New Roman"/>
          <w:sz w:val="26"/>
          <w:szCs w:val="26"/>
        </w:rPr>
        <w:t>As many states rely solely or primarily on LIHEAP funds as a means of energy assistance, this study examined the effect of LIHEAP grants on CAP customer bills to determine its impact on energy burden levels.</w:t>
      </w:r>
      <w:r w:rsidR="00BB0DF2" w:rsidRPr="00EE5714">
        <w:rPr>
          <w:rFonts w:ascii="Times New Roman" w:hAnsi="Times New Roman" w:cs="Times New Roman"/>
          <w:sz w:val="26"/>
          <w:szCs w:val="26"/>
        </w:rPr>
        <w:t xml:space="preserve"> </w:t>
      </w:r>
    </w:p>
    <w:p w14:paraId="24A2C492" w14:textId="77777777" w:rsidR="00BB0DF2" w:rsidRPr="00EE5714" w:rsidRDefault="00BB0DF2" w:rsidP="00BB0DF2">
      <w:pPr>
        <w:pStyle w:val="ListParagraph"/>
        <w:spacing w:after="0" w:line="240" w:lineRule="auto"/>
        <w:ind w:left="0"/>
        <w:rPr>
          <w:rFonts w:ascii="Times New Roman" w:hAnsi="Times New Roman" w:cs="Times New Roman"/>
          <w:sz w:val="26"/>
          <w:szCs w:val="26"/>
        </w:rPr>
      </w:pPr>
    </w:p>
    <w:p w14:paraId="135BDDDF" w14:textId="77777777" w:rsidR="00BB0DF2" w:rsidRPr="00EE5714" w:rsidRDefault="00BB0DF2" w:rsidP="008E77A9">
      <w:pPr>
        <w:pStyle w:val="ListParagraph"/>
        <w:spacing w:after="0" w:line="240" w:lineRule="auto"/>
        <w:ind w:left="0"/>
        <w:jc w:val="center"/>
        <w:rPr>
          <w:rFonts w:ascii="Times New Roman" w:hAnsi="Times New Roman" w:cs="Times New Roman"/>
          <w:b/>
          <w:bCs/>
          <w:sz w:val="26"/>
          <w:szCs w:val="26"/>
        </w:rPr>
      </w:pPr>
      <w:r w:rsidRPr="00EE5714">
        <w:rPr>
          <w:rFonts w:ascii="Times New Roman" w:hAnsi="Times New Roman" w:cs="Times New Roman"/>
          <w:b/>
          <w:bCs/>
          <w:sz w:val="26"/>
          <w:szCs w:val="26"/>
        </w:rPr>
        <w:t>Background</w:t>
      </w:r>
    </w:p>
    <w:p w14:paraId="465B7CC4" w14:textId="77777777" w:rsidR="00BB0DF2" w:rsidRPr="00EE5714" w:rsidRDefault="00BB0DF2" w:rsidP="00BB0DF2">
      <w:pPr>
        <w:pStyle w:val="ListParagraph"/>
        <w:spacing w:after="0" w:line="240" w:lineRule="auto"/>
        <w:ind w:left="0"/>
        <w:rPr>
          <w:rFonts w:ascii="Times New Roman" w:hAnsi="Times New Roman" w:cs="Times New Roman"/>
          <w:sz w:val="26"/>
          <w:szCs w:val="26"/>
        </w:rPr>
      </w:pPr>
    </w:p>
    <w:p w14:paraId="3ECE535B" w14:textId="77777777" w:rsidR="00BB0DF2" w:rsidRPr="00EE5714" w:rsidRDefault="00BB0DF2" w:rsidP="00BB0DF2">
      <w:pPr>
        <w:pStyle w:val="ListParagraph"/>
        <w:spacing w:after="0" w:line="240" w:lineRule="auto"/>
        <w:ind w:left="0"/>
        <w:rPr>
          <w:rFonts w:ascii="Times New Roman" w:hAnsi="Times New Roman" w:cs="Times New Roman"/>
          <w:sz w:val="26"/>
          <w:szCs w:val="26"/>
        </w:rPr>
      </w:pPr>
      <w:r w:rsidRPr="00EE5714">
        <w:rPr>
          <w:rFonts w:ascii="Times New Roman" w:hAnsi="Times New Roman" w:cs="Times New Roman"/>
          <w:sz w:val="26"/>
          <w:szCs w:val="26"/>
        </w:rPr>
        <w:tab/>
        <w:t>LIHEAP is a federally-funded grant</w:t>
      </w:r>
      <w:r w:rsidR="0064161F" w:rsidRPr="00EE5714">
        <w:rPr>
          <w:rStyle w:val="FootnoteReference"/>
          <w:rFonts w:ascii="Times New Roman" w:hAnsi="Times New Roman" w:cs="Times New Roman"/>
          <w:sz w:val="26"/>
          <w:szCs w:val="26"/>
        </w:rPr>
        <w:footnoteReference w:id="35"/>
      </w:r>
      <w:r w:rsidRPr="00EE5714">
        <w:rPr>
          <w:rFonts w:ascii="Times New Roman" w:hAnsi="Times New Roman" w:cs="Times New Roman"/>
          <w:sz w:val="26"/>
          <w:szCs w:val="26"/>
        </w:rPr>
        <w:t xml:space="preserve"> that helps low-income households pay for their </w:t>
      </w:r>
      <w:r w:rsidR="007A7F1E" w:rsidRPr="00EE5714">
        <w:rPr>
          <w:rFonts w:ascii="Times New Roman" w:hAnsi="Times New Roman" w:cs="Times New Roman"/>
          <w:sz w:val="26"/>
          <w:szCs w:val="26"/>
        </w:rPr>
        <w:t xml:space="preserve">home </w:t>
      </w:r>
      <w:r w:rsidRPr="00EE5714">
        <w:rPr>
          <w:rFonts w:ascii="Times New Roman" w:hAnsi="Times New Roman" w:cs="Times New Roman"/>
          <w:sz w:val="26"/>
          <w:szCs w:val="26"/>
        </w:rPr>
        <w:t>energy</w:t>
      </w:r>
      <w:r w:rsidR="007A7F1E" w:rsidRPr="00EE5714">
        <w:rPr>
          <w:rStyle w:val="FootnoteReference"/>
          <w:rFonts w:ascii="Times New Roman" w:hAnsi="Times New Roman" w:cs="Times New Roman"/>
          <w:sz w:val="26"/>
          <w:szCs w:val="26"/>
        </w:rPr>
        <w:footnoteReference w:id="36"/>
      </w:r>
      <w:r w:rsidRPr="00EE5714">
        <w:rPr>
          <w:rFonts w:ascii="Times New Roman" w:hAnsi="Times New Roman" w:cs="Times New Roman"/>
          <w:sz w:val="26"/>
          <w:szCs w:val="26"/>
        </w:rPr>
        <w:t xml:space="preserve"> bills.  </w:t>
      </w:r>
      <w:proofErr w:type="gramStart"/>
      <w:r w:rsidRPr="00EE5714">
        <w:rPr>
          <w:rFonts w:ascii="Times New Roman" w:hAnsi="Times New Roman" w:cs="Times New Roman"/>
          <w:sz w:val="26"/>
          <w:szCs w:val="26"/>
        </w:rPr>
        <w:t xml:space="preserve">Pennsylvania’s LIHEAP is administered by </w:t>
      </w:r>
      <w:r w:rsidR="000B6F2E" w:rsidRPr="00EE5714">
        <w:rPr>
          <w:rFonts w:ascii="Times New Roman" w:hAnsi="Times New Roman" w:cs="Times New Roman"/>
          <w:sz w:val="26"/>
          <w:szCs w:val="26"/>
        </w:rPr>
        <w:t>DHS</w:t>
      </w:r>
      <w:proofErr w:type="gramEnd"/>
      <w:r w:rsidRPr="00EE5714">
        <w:rPr>
          <w:rFonts w:ascii="Times New Roman" w:hAnsi="Times New Roman" w:cs="Times New Roman"/>
          <w:sz w:val="26"/>
          <w:szCs w:val="26"/>
        </w:rPr>
        <w:t>.</w:t>
      </w:r>
      <w:r w:rsidRPr="00EE5714">
        <w:rPr>
          <w:rStyle w:val="FootnoteReference"/>
          <w:rFonts w:ascii="Times New Roman" w:hAnsi="Times New Roman" w:cs="Times New Roman"/>
          <w:sz w:val="26"/>
          <w:szCs w:val="26"/>
        </w:rPr>
        <w:footnoteReference w:id="37"/>
      </w:r>
      <w:r w:rsidRPr="00EE5714">
        <w:rPr>
          <w:rFonts w:ascii="Times New Roman" w:hAnsi="Times New Roman" w:cs="Times New Roman"/>
          <w:sz w:val="26"/>
          <w:szCs w:val="26"/>
        </w:rPr>
        <w:t xml:space="preserve">  LIHEAP is traditionally available in Pennsylvania to eligible households from November through March, although DHS has extended the program into April when funding permits.  Other states have summer cooling LIHEAP grants.  LIHEAP grants are available to help pay for jurisdictional energy costs as well as deliverable energy costs. </w:t>
      </w:r>
      <w:r w:rsidR="00A0004C" w:rsidRPr="00EE5714">
        <w:rPr>
          <w:rFonts w:ascii="Times New Roman" w:hAnsi="Times New Roman" w:cs="Times New Roman"/>
          <w:sz w:val="26"/>
          <w:szCs w:val="26"/>
        </w:rPr>
        <w:t xml:space="preserve"> </w:t>
      </w:r>
      <w:r w:rsidRPr="00EE5714">
        <w:rPr>
          <w:rFonts w:ascii="Times New Roman" w:hAnsi="Times New Roman" w:cs="Times New Roman"/>
          <w:sz w:val="26"/>
          <w:szCs w:val="26"/>
        </w:rPr>
        <w:t>To qualify for Pennsylvania’s LIHEAP, household income must be at or below 150% of FPIG, and the customer must be responsible for heating costs.  55 Pa. Code § 601.31 (1-2) (1988).</w:t>
      </w:r>
      <w:r w:rsidRPr="00EE5714">
        <w:rPr>
          <w:rStyle w:val="FootnoteReference"/>
          <w:rFonts w:ascii="Times New Roman" w:hAnsi="Times New Roman" w:cs="Times New Roman"/>
          <w:sz w:val="26"/>
          <w:szCs w:val="26"/>
        </w:rPr>
        <w:footnoteReference w:id="38"/>
      </w:r>
      <w:r w:rsidRPr="00EE5714">
        <w:rPr>
          <w:rFonts w:ascii="Times New Roman" w:hAnsi="Times New Roman" w:cs="Times New Roman"/>
          <w:sz w:val="26"/>
          <w:szCs w:val="26"/>
        </w:rPr>
        <w:t xml:space="preserve"> </w:t>
      </w:r>
    </w:p>
    <w:p w14:paraId="0C608FF8" w14:textId="77777777" w:rsidR="00BB0DF2" w:rsidRPr="00EE5714" w:rsidRDefault="00BB0DF2" w:rsidP="00BB0DF2">
      <w:pPr>
        <w:pStyle w:val="ListParagraph"/>
        <w:spacing w:after="0" w:line="240" w:lineRule="auto"/>
        <w:ind w:left="0"/>
        <w:rPr>
          <w:rFonts w:ascii="Times New Roman" w:hAnsi="Times New Roman" w:cs="Times New Roman"/>
          <w:sz w:val="26"/>
          <w:szCs w:val="26"/>
        </w:rPr>
      </w:pPr>
    </w:p>
    <w:p w14:paraId="6F7FE2A0" w14:textId="77777777" w:rsidR="00BB0DF2" w:rsidRPr="00EE5714" w:rsidRDefault="00BB0DF2" w:rsidP="00BB0DF2">
      <w:pPr>
        <w:pStyle w:val="ListParagraph"/>
        <w:spacing w:after="0" w:line="240" w:lineRule="auto"/>
        <w:ind w:left="0"/>
        <w:rPr>
          <w:rFonts w:ascii="Times New Roman" w:hAnsi="Times New Roman" w:cs="Times New Roman"/>
          <w:sz w:val="26"/>
          <w:szCs w:val="26"/>
        </w:rPr>
      </w:pPr>
      <w:r w:rsidRPr="00EE5714">
        <w:rPr>
          <w:rFonts w:ascii="Times New Roman" w:hAnsi="Times New Roman" w:cs="Times New Roman"/>
          <w:sz w:val="26"/>
          <w:szCs w:val="26"/>
        </w:rPr>
        <w:tab/>
        <w:t>LIHEAP offers two types of grants: Cash and Crisis.  A LIHEAP Cash grant is available to all income-eligible customers that pay for their primary heating costs directly to a vendor or indirectly through rent.  Section 601.31 (1-2) (1988).  The amount of the LIHEAP Cash grant is calculated based on each household’s gross income, number of occupants, county of residence, and source of heat (</w:t>
      </w:r>
      <w:r w:rsidRPr="00EE5714">
        <w:rPr>
          <w:rFonts w:ascii="Times New Roman" w:hAnsi="Times New Roman" w:cs="Times New Roman"/>
          <w:i/>
          <w:iCs/>
          <w:sz w:val="26"/>
          <w:szCs w:val="26"/>
        </w:rPr>
        <w:t>i.e.</w:t>
      </w:r>
      <w:r w:rsidRPr="00EE5714">
        <w:rPr>
          <w:rFonts w:ascii="Times New Roman" w:hAnsi="Times New Roman" w:cs="Times New Roman"/>
          <w:sz w:val="26"/>
          <w:szCs w:val="26"/>
        </w:rPr>
        <w:t>, electric, gas, oil, etc.).  Section 601.41 (1988).  From 2012 through most of 2016, the minimum amount of a LIHEAP Cash grant was $100, and the maximum amount was $1,000.  For the 2016</w:t>
      </w:r>
      <w:r w:rsidR="00A2448D" w:rsidRPr="00EE5714">
        <w:rPr>
          <w:rFonts w:ascii="Times New Roman" w:hAnsi="Times New Roman" w:cs="Times New Roman"/>
          <w:sz w:val="26"/>
          <w:szCs w:val="26"/>
        </w:rPr>
        <w:t xml:space="preserve"> </w:t>
      </w:r>
      <w:r w:rsidR="00422CCA" w:rsidRPr="00EE5714">
        <w:rPr>
          <w:rFonts w:ascii="Times New Roman" w:hAnsi="Times New Roman" w:cs="Times New Roman"/>
          <w:sz w:val="26"/>
          <w:szCs w:val="26"/>
        </w:rPr>
        <w:noBreakHyphen/>
      </w:r>
      <w:r w:rsidR="00A2448D" w:rsidRPr="00EE5714">
        <w:rPr>
          <w:rFonts w:ascii="Times New Roman" w:hAnsi="Times New Roman" w:cs="Times New Roman"/>
          <w:sz w:val="26"/>
          <w:szCs w:val="26"/>
        </w:rPr>
        <w:t xml:space="preserve"> </w:t>
      </w:r>
      <w:r w:rsidRPr="00EE5714">
        <w:rPr>
          <w:rFonts w:ascii="Times New Roman" w:hAnsi="Times New Roman" w:cs="Times New Roman"/>
          <w:sz w:val="26"/>
          <w:szCs w:val="26"/>
        </w:rPr>
        <w:t>2017 LIHEAP season (beginning November 2016), DHS increased the minimum Cash grant to $200.  Households can receive only one LIHEAP Cash grant per LIHEAP season.  Section 601.43 (1988).</w:t>
      </w:r>
    </w:p>
    <w:p w14:paraId="1826038C" w14:textId="77777777" w:rsidR="00BB0DF2" w:rsidRPr="00EE5714" w:rsidRDefault="00BB0DF2" w:rsidP="00BB0DF2">
      <w:pPr>
        <w:pStyle w:val="ListParagraph"/>
        <w:spacing w:after="0" w:line="240" w:lineRule="auto"/>
        <w:ind w:left="0"/>
        <w:rPr>
          <w:rFonts w:ascii="Times New Roman" w:hAnsi="Times New Roman" w:cs="Times New Roman"/>
          <w:sz w:val="26"/>
          <w:szCs w:val="26"/>
        </w:rPr>
      </w:pPr>
    </w:p>
    <w:p w14:paraId="0562C93C" w14:textId="77777777" w:rsidR="00BB0DF2" w:rsidRPr="00EE5714" w:rsidRDefault="00BB0DF2" w:rsidP="00BB0DF2">
      <w:pPr>
        <w:pStyle w:val="ListParagraph"/>
        <w:spacing w:after="0" w:line="240" w:lineRule="auto"/>
        <w:ind w:left="0"/>
        <w:rPr>
          <w:rFonts w:ascii="Times New Roman" w:hAnsi="Times New Roman" w:cs="Times New Roman"/>
          <w:sz w:val="26"/>
          <w:szCs w:val="26"/>
        </w:rPr>
      </w:pPr>
      <w:r w:rsidRPr="00EE5714">
        <w:rPr>
          <w:rFonts w:ascii="Times New Roman" w:hAnsi="Times New Roman" w:cs="Times New Roman"/>
          <w:sz w:val="26"/>
          <w:szCs w:val="26"/>
        </w:rPr>
        <w:tab/>
        <w:t>A LIHEAP Crisis grant is available to all income-eligible households who are (1) responsible for paying for their primary or secondary heating costs directly or indirectly; and (2) are experiencing a home-heating emergency (</w:t>
      </w:r>
      <w:r w:rsidRPr="00EE5714">
        <w:rPr>
          <w:rFonts w:ascii="Times New Roman" w:hAnsi="Times New Roman" w:cs="Times New Roman"/>
          <w:i/>
          <w:iCs/>
          <w:sz w:val="26"/>
          <w:szCs w:val="26"/>
        </w:rPr>
        <w:t>i.e.</w:t>
      </w:r>
      <w:r w:rsidRPr="00EE5714">
        <w:rPr>
          <w:rFonts w:ascii="Times New Roman" w:hAnsi="Times New Roman" w:cs="Times New Roman"/>
          <w:sz w:val="26"/>
          <w:szCs w:val="26"/>
        </w:rPr>
        <w:t>, currently without heat or in imminent danger of being without heat).  Section 601.32 (1-2) (1988).  From 2012 through 2016, the minimum amount of a LIHEAP Crisis grant was $25, and the maximum amount was $500.</w:t>
      </w:r>
      <w:r w:rsidRPr="00EE5714">
        <w:rPr>
          <w:rStyle w:val="FootnoteReference"/>
          <w:rFonts w:ascii="Times New Roman" w:hAnsi="Times New Roman" w:cs="Times New Roman"/>
          <w:sz w:val="26"/>
          <w:szCs w:val="26"/>
        </w:rPr>
        <w:footnoteReference w:id="39"/>
      </w:r>
      <w:r w:rsidRPr="00EE5714">
        <w:rPr>
          <w:rFonts w:ascii="Times New Roman" w:hAnsi="Times New Roman" w:cs="Times New Roman"/>
          <w:sz w:val="26"/>
          <w:szCs w:val="26"/>
        </w:rPr>
        <w:t xml:space="preserve">  Households c</w:t>
      </w:r>
      <w:r w:rsidR="00645ACB" w:rsidRPr="00EE5714">
        <w:rPr>
          <w:rFonts w:ascii="Times New Roman" w:hAnsi="Times New Roman" w:cs="Times New Roman"/>
          <w:sz w:val="26"/>
          <w:szCs w:val="26"/>
        </w:rPr>
        <w:t xml:space="preserve">ould </w:t>
      </w:r>
      <w:r w:rsidRPr="00EE5714">
        <w:rPr>
          <w:rFonts w:ascii="Times New Roman" w:hAnsi="Times New Roman" w:cs="Times New Roman"/>
          <w:sz w:val="26"/>
          <w:szCs w:val="26"/>
        </w:rPr>
        <w:t xml:space="preserve">receive more than one Crisis grant, </w:t>
      </w:r>
      <w:proofErr w:type="gramStart"/>
      <w:r w:rsidRPr="00EE5714">
        <w:rPr>
          <w:rFonts w:ascii="Times New Roman" w:hAnsi="Times New Roman" w:cs="Times New Roman"/>
          <w:sz w:val="26"/>
          <w:szCs w:val="26"/>
        </w:rPr>
        <w:t>as long as</w:t>
      </w:r>
      <w:proofErr w:type="gramEnd"/>
      <w:r w:rsidRPr="00EE5714">
        <w:rPr>
          <w:rFonts w:ascii="Times New Roman" w:hAnsi="Times New Roman" w:cs="Times New Roman"/>
          <w:sz w:val="26"/>
          <w:szCs w:val="26"/>
        </w:rPr>
        <w:t xml:space="preserve"> the total amount of these grants d</w:t>
      </w:r>
      <w:r w:rsidR="00645ACB" w:rsidRPr="00EE5714">
        <w:rPr>
          <w:rFonts w:ascii="Times New Roman" w:hAnsi="Times New Roman" w:cs="Times New Roman"/>
          <w:sz w:val="26"/>
          <w:szCs w:val="26"/>
        </w:rPr>
        <w:t>id</w:t>
      </w:r>
      <w:r w:rsidRPr="00EE5714">
        <w:rPr>
          <w:rFonts w:ascii="Times New Roman" w:hAnsi="Times New Roman" w:cs="Times New Roman"/>
          <w:sz w:val="26"/>
          <w:szCs w:val="26"/>
        </w:rPr>
        <w:t xml:space="preserve"> not exceed $500.  Section 601.63 (1988).</w:t>
      </w:r>
    </w:p>
    <w:p w14:paraId="39CEBF31" w14:textId="77777777" w:rsidR="00BB0DF2" w:rsidRPr="00EE5714" w:rsidRDefault="00BB0DF2" w:rsidP="00BB0DF2">
      <w:pPr>
        <w:pStyle w:val="ListParagraph"/>
        <w:spacing w:after="0" w:line="240" w:lineRule="auto"/>
        <w:ind w:left="0"/>
        <w:rPr>
          <w:rFonts w:ascii="Times New Roman" w:hAnsi="Times New Roman" w:cs="Times New Roman"/>
          <w:sz w:val="26"/>
          <w:szCs w:val="26"/>
        </w:rPr>
      </w:pPr>
    </w:p>
    <w:p w14:paraId="4B897DB6" w14:textId="77777777" w:rsidR="00BB0DF2" w:rsidRPr="00EE5714" w:rsidRDefault="00BB0DF2" w:rsidP="00BB0DF2">
      <w:pPr>
        <w:pStyle w:val="ListParagraph"/>
        <w:spacing w:after="0" w:line="240" w:lineRule="auto"/>
        <w:ind w:left="0"/>
        <w:rPr>
          <w:rFonts w:ascii="Times New Roman" w:hAnsi="Times New Roman" w:cs="Times New Roman"/>
          <w:sz w:val="26"/>
          <w:szCs w:val="26"/>
        </w:rPr>
      </w:pPr>
      <w:r w:rsidRPr="00EE5714">
        <w:rPr>
          <w:rFonts w:ascii="Times New Roman" w:hAnsi="Times New Roman" w:cs="Times New Roman"/>
          <w:sz w:val="26"/>
          <w:szCs w:val="26"/>
        </w:rPr>
        <w:tab/>
        <w:t>In August/September of 2015 and 2016, DHS also administered a LIHEAP Summer Turn</w:t>
      </w:r>
      <w:r w:rsidR="00CD2896" w:rsidRPr="00EE5714">
        <w:rPr>
          <w:rFonts w:ascii="Times New Roman" w:hAnsi="Times New Roman" w:cs="Times New Roman"/>
          <w:sz w:val="26"/>
          <w:szCs w:val="26"/>
        </w:rPr>
        <w:t>-</w:t>
      </w:r>
      <w:r w:rsidRPr="00EE5714">
        <w:rPr>
          <w:rFonts w:ascii="Times New Roman" w:hAnsi="Times New Roman" w:cs="Times New Roman"/>
          <w:sz w:val="26"/>
          <w:szCs w:val="26"/>
        </w:rPr>
        <w:t xml:space="preserve">On program that provided supplemental Crisis grants (up to $500) to households who had received LIHEAP </w:t>
      </w:r>
      <w:r w:rsidR="006866F1" w:rsidRPr="00EE5714">
        <w:rPr>
          <w:rFonts w:ascii="Times New Roman" w:hAnsi="Times New Roman" w:cs="Times New Roman"/>
          <w:sz w:val="26"/>
          <w:szCs w:val="26"/>
        </w:rPr>
        <w:t xml:space="preserve">Cash and/or Crisis grants </w:t>
      </w:r>
      <w:r w:rsidRPr="00EE5714">
        <w:rPr>
          <w:rFonts w:ascii="Times New Roman" w:hAnsi="Times New Roman" w:cs="Times New Roman"/>
          <w:sz w:val="26"/>
          <w:szCs w:val="26"/>
        </w:rPr>
        <w:t>during the previous season and are experiencing a heating emergency.</w:t>
      </w:r>
      <w:r w:rsidRPr="00EE5714">
        <w:rPr>
          <w:rStyle w:val="FootnoteReference"/>
          <w:rFonts w:ascii="Times New Roman" w:hAnsi="Times New Roman" w:cs="Times New Roman"/>
          <w:sz w:val="26"/>
          <w:szCs w:val="26"/>
        </w:rPr>
        <w:footnoteReference w:id="40"/>
      </w:r>
      <w:r w:rsidR="006866F1" w:rsidRPr="00EE5714">
        <w:rPr>
          <w:rFonts w:ascii="Times New Roman" w:hAnsi="Times New Roman" w:cs="Times New Roman"/>
          <w:sz w:val="26"/>
          <w:szCs w:val="26"/>
        </w:rPr>
        <w:t xml:space="preserve">  </w:t>
      </w:r>
    </w:p>
    <w:p w14:paraId="74A890D2" w14:textId="77777777" w:rsidR="00BB0DF2" w:rsidRPr="00EE5714" w:rsidRDefault="00BB0DF2" w:rsidP="00BB0DF2">
      <w:pPr>
        <w:pStyle w:val="ListParagraph"/>
        <w:spacing w:after="0" w:line="240" w:lineRule="auto"/>
        <w:ind w:left="0"/>
        <w:rPr>
          <w:rFonts w:ascii="Times New Roman" w:hAnsi="Times New Roman" w:cs="Times New Roman"/>
          <w:sz w:val="26"/>
          <w:szCs w:val="26"/>
        </w:rPr>
      </w:pPr>
    </w:p>
    <w:p w14:paraId="01C8C31A" w14:textId="77777777" w:rsidR="00725FAC" w:rsidRPr="00EE5714" w:rsidRDefault="00725FAC" w:rsidP="0021511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Based on historical averages of the data reported by the utilities </w:t>
      </w:r>
      <w:r w:rsidR="00EE28BC" w:rsidRPr="00EE5714">
        <w:rPr>
          <w:rFonts w:ascii="Times New Roman" w:hAnsi="Times New Roman" w:cs="Times New Roman"/>
          <w:sz w:val="26"/>
          <w:szCs w:val="26"/>
        </w:rPr>
        <w:t>for</w:t>
      </w:r>
      <w:r w:rsidRPr="00EE5714">
        <w:rPr>
          <w:rFonts w:ascii="Times New Roman" w:hAnsi="Times New Roman" w:cs="Times New Roman"/>
          <w:sz w:val="26"/>
          <w:szCs w:val="26"/>
        </w:rPr>
        <w:t xml:space="preserve"> 2013</w:t>
      </w:r>
      <w:r w:rsidR="003B47C6" w:rsidRPr="00EE5714">
        <w:rPr>
          <w:rFonts w:ascii="Times New Roman" w:hAnsi="Times New Roman" w:cs="Times New Roman"/>
          <w:sz w:val="26"/>
          <w:szCs w:val="26"/>
        </w:rPr>
        <w:t xml:space="preserve"> </w:t>
      </w:r>
      <w:r w:rsidR="00EE28BC" w:rsidRPr="00EE5714">
        <w:rPr>
          <w:rFonts w:ascii="Times New Roman" w:hAnsi="Times New Roman" w:cs="Times New Roman"/>
          <w:sz w:val="26"/>
          <w:szCs w:val="26"/>
        </w:rPr>
        <w:t xml:space="preserve">to </w:t>
      </w:r>
      <w:r w:rsidRPr="00EE5714">
        <w:rPr>
          <w:rFonts w:ascii="Times New Roman" w:hAnsi="Times New Roman" w:cs="Times New Roman"/>
          <w:sz w:val="26"/>
          <w:szCs w:val="26"/>
        </w:rPr>
        <w:t>2016, low-income CAP customers who assigned their LIHEAP grants to gas utilities received average Cash and/or Crisis grants of $361 for those in the 0</w:t>
      </w:r>
      <w:r w:rsidR="00263C5C" w:rsidRPr="00EE5714">
        <w:rPr>
          <w:rFonts w:ascii="Times New Roman" w:hAnsi="Times New Roman" w:cs="Times New Roman"/>
          <w:sz w:val="26"/>
          <w:szCs w:val="26"/>
        </w:rPr>
        <w:t xml:space="preserve"> to </w:t>
      </w:r>
      <w:r w:rsidRPr="00EE5714">
        <w:rPr>
          <w:rFonts w:ascii="Times New Roman" w:hAnsi="Times New Roman" w:cs="Times New Roman"/>
          <w:sz w:val="26"/>
          <w:szCs w:val="26"/>
        </w:rPr>
        <w:t>50% FGIP level,</w:t>
      </w:r>
      <w:r w:rsidR="00414DA1" w:rsidRPr="00EE5714">
        <w:rPr>
          <w:rFonts w:ascii="Times New Roman" w:hAnsi="Times New Roman" w:cs="Times New Roman"/>
          <w:sz w:val="26"/>
          <w:szCs w:val="26"/>
        </w:rPr>
        <w:t xml:space="preserve"> </w:t>
      </w:r>
      <w:r w:rsidRPr="00EE5714">
        <w:rPr>
          <w:rFonts w:ascii="Times New Roman" w:hAnsi="Times New Roman" w:cs="Times New Roman"/>
          <w:sz w:val="26"/>
          <w:szCs w:val="26"/>
        </w:rPr>
        <w:t>$258 for those in the 51</w:t>
      </w:r>
      <w:r w:rsidR="00263C5C" w:rsidRPr="00EE5714">
        <w:rPr>
          <w:rFonts w:ascii="Times New Roman" w:hAnsi="Times New Roman" w:cs="Times New Roman"/>
          <w:sz w:val="26"/>
          <w:szCs w:val="26"/>
        </w:rPr>
        <w:t xml:space="preserve"> to </w:t>
      </w:r>
      <w:r w:rsidRPr="00EE5714">
        <w:rPr>
          <w:rFonts w:ascii="Times New Roman" w:hAnsi="Times New Roman" w:cs="Times New Roman"/>
          <w:sz w:val="26"/>
          <w:szCs w:val="26"/>
        </w:rPr>
        <w:t>100% FPIG level</w:t>
      </w:r>
      <w:r w:rsidR="001F35B5" w:rsidRPr="00EE5714">
        <w:rPr>
          <w:rFonts w:ascii="Times New Roman" w:hAnsi="Times New Roman" w:cs="Times New Roman"/>
          <w:sz w:val="26"/>
          <w:szCs w:val="26"/>
        </w:rPr>
        <w:t>,</w:t>
      </w:r>
      <w:r w:rsidRPr="00EE5714">
        <w:rPr>
          <w:rFonts w:ascii="Times New Roman" w:hAnsi="Times New Roman" w:cs="Times New Roman"/>
          <w:sz w:val="26"/>
          <w:szCs w:val="26"/>
        </w:rPr>
        <w:t xml:space="preserve"> and $216 for those in the 101</w:t>
      </w:r>
      <w:r w:rsidR="0042709A"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150% FPIG </w:t>
      </w:r>
      <w:r w:rsidR="006F3DCF" w:rsidRPr="00EE5714">
        <w:rPr>
          <w:rFonts w:ascii="Times New Roman" w:hAnsi="Times New Roman" w:cs="Times New Roman"/>
          <w:sz w:val="26"/>
          <w:szCs w:val="26"/>
        </w:rPr>
        <w:t>level</w:t>
      </w:r>
      <w:r w:rsidRPr="00EE5714">
        <w:rPr>
          <w:rFonts w:ascii="Times New Roman" w:hAnsi="Times New Roman" w:cs="Times New Roman"/>
          <w:sz w:val="26"/>
          <w:szCs w:val="26"/>
        </w:rPr>
        <w:t>.  Low-income CAP customers who assigned their LIHEAP grants to electric utilities received slightly more, on average.</w:t>
      </w:r>
      <w:r w:rsidR="006F78B0"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 Cash and/or Crisis grants to electric heating utilities averaged $474 for the 0</w:t>
      </w:r>
      <w:r w:rsidR="00263C5C" w:rsidRPr="00EE5714">
        <w:rPr>
          <w:rFonts w:ascii="Times New Roman" w:hAnsi="Times New Roman" w:cs="Times New Roman"/>
          <w:sz w:val="26"/>
          <w:szCs w:val="26"/>
        </w:rPr>
        <w:t xml:space="preserve"> to </w:t>
      </w:r>
      <w:r w:rsidRPr="00EE5714">
        <w:rPr>
          <w:rFonts w:ascii="Times New Roman" w:hAnsi="Times New Roman" w:cs="Times New Roman"/>
          <w:sz w:val="26"/>
          <w:szCs w:val="26"/>
        </w:rPr>
        <w:t>50% FPIG level, $333 for the 51</w:t>
      </w:r>
      <w:r w:rsidR="00263C5C" w:rsidRPr="00EE5714">
        <w:rPr>
          <w:rFonts w:ascii="Times New Roman" w:hAnsi="Times New Roman" w:cs="Times New Roman"/>
          <w:sz w:val="26"/>
          <w:szCs w:val="26"/>
        </w:rPr>
        <w:t xml:space="preserve"> to </w:t>
      </w:r>
      <w:r w:rsidRPr="00EE5714">
        <w:rPr>
          <w:rFonts w:ascii="Times New Roman" w:hAnsi="Times New Roman" w:cs="Times New Roman"/>
          <w:sz w:val="26"/>
          <w:szCs w:val="26"/>
        </w:rPr>
        <w:t>100% FPIG level</w:t>
      </w:r>
      <w:r w:rsidR="00AE058F" w:rsidRPr="00EE5714">
        <w:rPr>
          <w:rFonts w:ascii="Times New Roman" w:hAnsi="Times New Roman" w:cs="Times New Roman"/>
          <w:sz w:val="26"/>
          <w:szCs w:val="26"/>
        </w:rPr>
        <w:t>,</w:t>
      </w:r>
      <w:r w:rsidRPr="00EE5714">
        <w:rPr>
          <w:rFonts w:ascii="Times New Roman" w:hAnsi="Times New Roman" w:cs="Times New Roman"/>
          <w:sz w:val="26"/>
          <w:szCs w:val="26"/>
        </w:rPr>
        <w:t xml:space="preserve"> and $282 for the 101</w:t>
      </w:r>
      <w:r w:rsidR="0042709A"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150% FPIG level. </w:t>
      </w:r>
      <w:r w:rsidR="00414DA1" w:rsidRPr="00EE5714">
        <w:rPr>
          <w:rFonts w:ascii="Times New Roman" w:hAnsi="Times New Roman" w:cs="Times New Roman"/>
          <w:sz w:val="26"/>
          <w:szCs w:val="26"/>
        </w:rPr>
        <w:t xml:space="preserve"> </w:t>
      </w:r>
      <w:r w:rsidRPr="00EE5714">
        <w:rPr>
          <w:rFonts w:ascii="Times New Roman" w:hAnsi="Times New Roman" w:cs="Times New Roman"/>
          <w:sz w:val="26"/>
          <w:szCs w:val="26"/>
        </w:rPr>
        <w:t>Non-heating CAP customers received an average of $417 in the 0</w:t>
      </w:r>
      <w:r w:rsidR="0042709A" w:rsidRPr="00EE5714">
        <w:rPr>
          <w:rFonts w:ascii="Times New Roman" w:hAnsi="Times New Roman" w:cs="Times New Roman"/>
          <w:sz w:val="26"/>
          <w:szCs w:val="26"/>
        </w:rPr>
        <w:t xml:space="preserve"> to </w:t>
      </w:r>
      <w:r w:rsidRPr="00EE5714">
        <w:rPr>
          <w:rFonts w:ascii="Times New Roman" w:hAnsi="Times New Roman" w:cs="Times New Roman"/>
          <w:sz w:val="26"/>
          <w:szCs w:val="26"/>
        </w:rPr>
        <w:t>50% FPIG level, $319 in the 51</w:t>
      </w:r>
      <w:r w:rsidR="00263C5C" w:rsidRPr="00EE5714">
        <w:rPr>
          <w:rFonts w:ascii="Times New Roman" w:hAnsi="Times New Roman" w:cs="Times New Roman"/>
          <w:sz w:val="26"/>
          <w:szCs w:val="26"/>
        </w:rPr>
        <w:t xml:space="preserve"> to </w:t>
      </w:r>
      <w:r w:rsidRPr="00EE5714">
        <w:rPr>
          <w:rFonts w:ascii="Times New Roman" w:hAnsi="Times New Roman" w:cs="Times New Roman"/>
          <w:sz w:val="26"/>
          <w:szCs w:val="26"/>
        </w:rPr>
        <w:t>100% FPIG level</w:t>
      </w:r>
      <w:r w:rsidR="00AE058F" w:rsidRPr="00EE5714">
        <w:rPr>
          <w:rFonts w:ascii="Times New Roman" w:hAnsi="Times New Roman" w:cs="Times New Roman"/>
          <w:sz w:val="26"/>
          <w:szCs w:val="26"/>
        </w:rPr>
        <w:t>,</w:t>
      </w:r>
      <w:r w:rsidRPr="00EE5714">
        <w:rPr>
          <w:rFonts w:ascii="Times New Roman" w:hAnsi="Times New Roman" w:cs="Times New Roman"/>
          <w:sz w:val="26"/>
          <w:szCs w:val="26"/>
        </w:rPr>
        <w:t xml:space="preserve"> and $298 in the 101</w:t>
      </w:r>
      <w:r w:rsidR="0042709A"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150% FPIG level.  </w:t>
      </w:r>
    </w:p>
    <w:p w14:paraId="0DF164D6" w14:textId="77777777" w:rsidR="00215117" w:rsidRPr="00EE5714" w:rsidRDefault="00215117" w:rsidP="00215117">
      <w:pPr>
        <w:spacing w:after="0" w:line="240" w:lineRule="auto"/>
        <w:ind w:firstLine="720"/>
        <w:contextualSpacing/>
        <w:rPr>
          <w:rFonts w:ascii="Times New Roman" w:hAnsi="Times New Roman" w:cs="Times New Roman"/>
          <w:sz w:val="26"/>
          <w:szCs w:val="26"/>
        </w:rPr>
      </w:pPr>
    </w:p>
    <w:p w14:paraId="00B6158E" w14:textId="77777777" w:rsidR="00BB0DF2" w:rsidRPr="00EE5714" w:rsidRDefault="00BB0DF2" w:rsidP="00BB0DF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Most utilities apply LIHEAP Cash grants directly to the CAP customer’s “asked to pay” amount</w:t>
      </w:r>
      <w:r w:rsidR="00215117" w:rsidRPr="00EE5714">
        <w:rPr>
          <w:rFonts w:ascii="Times New Roman" w:hAnsi="Times New Roman" w:cs="Times New Roman"/>
          <w:sz w:val="26"/>
          <w:szCs w:val="26"/>
        </w:rPr>
        <w:t>”</w:t>
      </w:r>
      <w:r w:rsidRPr="00EE5714">
        <w:rPr>
          <w:rFonts w:ascii="Times New Roman" w:hAnsi="Times New Roman" w:cs="Times New Roman"/>
          <w:sz w:val="26"/>
          <w:szCs w:val="26"/>
        </w:rPr>
        <w:t xml:space="preserve"> (ATP), in compliance with the Pennsylvania LIHEAP State Plan.</w:t>
      </w:r>
      <w:r w:rsidRPr="00EE5714">
        <w:rPr>
          <w:rStyle w:val="FootnoteReference"/>
          <w:rFonts w:ascii="Times New Roman" w:hAnsi="Times New Roman" w:cs="Times New Roman"/>
          <w:sz w:val="26"/>
          <w:szCs w:val="26"/>
        </w:rPr>
        <w:footnoteReference w:id="41"/>
      </w:r>
      <w:r w:rsidRPr="00EE5714">
        <w:rPr>
          <w:rFonts w:ascii="Times New Roman" w:hAnsi="Times New Roman" w:cs="Times New Roman"/>
          <w:sz w:val="26"/>
          <w:szCs w:val="26"/>
        </w:rPr>
        <w:t xml:space="preserve">  This means the grant is first applied to any in-program arrears, then the current bill.  Any remaining amount is kept on the account as a credit toward the next month’s bill.  </w:t>
      </w:r>
    </w:p>
    <w:p w14:paraId="6465885B" w14:textId="77777777" w:rsidR="00BB0DF2" w:rsidRPr="00EE5714" w:rsidRDefault="00BB0DF2" w:rsidP="00BB0DF2">
      <w:pPr>
        <w:spacing w:after="0" w:line="240" w:lineRule="auto"/>
        <w:contextualSpacing/>
        <w:rPr>
          <w:rFonts w:ascii="Times New Roman" w:hAnsi="Times New Roman" w:cs="Times New Roman"/>
          <w:sz w:val="26"/>
          <w:szCs w:val="26"/>
        </w:rPr>
      </w:pPr>
    </w:p>
    <w:p w14:paraId="262CE580" w14:textId="77777777" w:rsidR="00BB0DF2" w:rsidRPr="00EE5714" w:rsidRDefault="00BB0DF2" w:rsidP="00BB0DF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CC450B" w:rsidRPr="00EE5714">
        <w:rPr>
          <w:rFonts w:ascii="Times New Roman" w:hAnsi="Times New Roman" w:cs="Times New Roman"/>
          <w:sz w:val="26"/>
          <w:szCs w:val="26"/>
        </w:rPr>
        <w:t xml:space="preserve">Rather than rely on LIHEAP </w:t>
      </w:r>
      <w:r w:rsidR="00BB03C9" w:rsidRPr="00EE5714">
        <w:rPr>
          <w:rFonts w:ascii="Times New Roman" w:hAnsi="Times New Roman" w:cs="Times New Roman"/>
          <w:sz w:val="26"/>
          <w:szCs w:val="26"/>
        </w:rPr>
        <w:t xml:space="preserve">to address affordability concerns, </w:t>
      </w:r>
      <w:r w:rsidRPr="00EE5714">
        <w:rPr>
          <w:rFonts w:ascii="Times New Roman" w:hAnsi="Times New Roman" w:cs="Times New Roman"/>
          <w:sz w:val="26"/>
          <w:szCs w:val="26"/>
        </w:rPr>
        <w:t>Pennsylvania CAPs and other universal service programs are funded primarily and significantly through residential ratepayer rates.</w:t>
      </w:r>
      <w:r w:rsidRPr="00EE5714">
        <w:rPr>
          <w:rStyle w:val="FootnoteReference"/>
          <w:rFonts w:ascii="Times New Roman" w:hAnsi="Times New Roman" w:cs="Times New Roman"/>
          <w:sz w:val="26"/>
          <w:szCs w:val="26"/>
        </w:rPr>
        <w:footnoteReference w:id="42"/>
      </w:r>
      <w:r w:rsidRPr="00EE5714">
        <w:rPr>
          <w:rFonts w:ascii="Times New Roman" w:hAnsi="Times New Roman" w:cs="Times New Roman"/>
          <w:sz w:val="26"/>
          <w:szCs w:val="26"/>
        </w:rPr>
        <w:t xml:space="preserve">  DHS prohibits utilities from </w:t>
      </w:r>
      <w:r w:rsidR="00AC4F09" w:rsidRPr="00EE5714">
        <w:rPr>
          <w:rFonts w:ascii="Times New Roman" w:hAnsi="Times New Roman" w:cs="Times New Roman"/>
          <w:sz w:val="26"/>
          <w:szCs w:val="26"/>
        </w:rPr>
        <w:t xml:space="preserve">using </w:t>
      </w:r>
      <w:r w:rsidRPr="00EE5714">
        <w:rPr>
          <w:rFonts w:ascii="Times New Roman" w:hAnsi="Times New Roman" w:cs="Times New Roman"/>
          <w:sz w:val="26"/>
          <w:szCs w:val="26"/>
        </w:rPr>
        <w:t xml:space="preserve">LIHEAP grants </w:t>
      </w:r>
      <w:r w:rsidR="006D1D19" w:rsidRPr="00EE5714">
        <w:rPr>
          <w:rFonts w:ascii="Times New Roman" w:hAnsi="Times New Roman" w:cs="Times New Roman"/>
          <w:sz w:val="26"/>
          <w:szCs w:val="26"/>
        </w:rPr>
        <w:t xml:space="preserve">to </w:t>
      </w:r>
      <w:r w:rsidR="00AC4F09" w:rsidRPr="00EE5714">
        <w:rPr>
          <w:rFonts w:ascii="Times New Roman" w:hAnsi="Times New Roman" w:cs="Times New Roman"/>
          <w:sz w:val="26"/>
          <w:szCs w:val="26"/>
        </w:rPr>
        <w:t xml:space="preserve">fund the discounts on a CAP bill </w:t>
      </w:r>
      <w:r w:rsidR="006D1D19" w:rsidRPr="00EE5714">
        <w:rPr>
          <w:rFonts w:ascii="Times New Roman" w:hAnsi="Times New Roman" w:cs="Times New Roman"/>
          <w:sz w:val="26"/>
          <w:szCs w:val="26"/>
        </w:rPr>
        <w:t xml:space="preserve">or </w:t>
      </w:r>
      <w:r w:rsidRPr="00EE5714">
        <w:rPr>
          <w:rFonts w:ascii="Times New Roman" w:hAnsi="Times New Roman" w:cs="Times New Roman"/>
          <w:sz w:val="26"/>
          <w:szCs w:val="26"/>
        </w:rPr>
        <w:t>to reduce any debt forgiveness.  DHS also prohibits pooling LIHEAP grants</w:t>
      </w:r>
      <w:r w:rsidR="00D064CB" w:rsidRPr="00EE5714">
        <w:rPr>
          <w:rFonts w:ascii="Times New Roman" w:hAnsi="Times New Roman" w:cs="Times New Roman"/>
          <w:sz w:val="26"/>
          <w:szCs w:val="26"/>
        </w:rPr>
        <w:t xml:space="preserve"> to fund CAPs</w:t>
      </w:r>
      <w:r w:rsidR="00BB39D5" w:rsidRPr="00EE5714">
        <w:rPr>
          <w:rFonts w:ascii="Times New Roman" w:hAnsi="Times New Roman" w:cs="Times New Roman"/>
          <w:sz w:val="26"/>
          <w:szCs w:val="26"/>
        </w:rPr>
        <w:t xml:space="preserve"> or other universal service benefits</w:t>
      </w:r>
      <w:r w:rsidRPr="00EE5714">
        <w:rPr>
          <w:rFonts w:ascii="Times New Roman" w:hAnsi="Times New Roman" w:cs="Times New Roman"/>
          <w:sz w:val="26"/>
          <w:szCs w:val="26"/>
        </w:rPr>
        <w:t xml:space="preserve">.  </w:t>
      </w:r>
    </w:p>
    <w:p w14:paraId="236D27A8" w14:textId="77777777" w:rsidR="00BB0DF2" w:rsidRPr="00EE5714" w:rsidRDefault="00BB0DF2" w:rsidP="00BB0DF2">
      <w:pPr>
        <w:spacing w:after="0" w:line="240" w:lineRule="auto"/>
        <w:contextualSpacing/>
        <w:rPr>
          <w:rFonts w:ascii="Times New Roman" w:hAnsi="Times New Roman" w:cs="Times New Roman"/>
          <w:sz w:val="26"/>
          <w:szCs w:val="26"/>
        </w:rPr>
      </w:pPr>
    </w:p>
    <w:p w14:paraId="2D972ECD" w14:textId="77777777" w:rsidR="00BB0DF2" w:rsidRPr="00EE5714" w:rsidRDefault="00BB0DF2" w:rsidP="00E17FBE">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Methodology</w:t>
      </w:r>
    </w:p>
    <w:p w14:paraId="1BEB2EFD" w14:textId="77777777" w:rsidR="00BB0DF2" w:rsidRPr="00EE5714" w:rsidRDefault="00BB0DF2" w:rsidP="00BB0DF2">
      <w:pPr>
        <w:keepNext/>
        <w:tabs>
          <w:tab w:val="left" w:pos="450"/>
        </w:tabs>
        <w:spacing w:after="0" w:line="240" w:lineRule="auto"/>
        <w:contextualSpacing/>
        <w:rPr>
          <w:rFonts w:ascii="Times New Roman" w:hAnsi="Times New Roman" w:cs="Times New Roman"/>
          <w:sz w:val="26"/>
          <w:szCs w:val="26"/>
        </w:rPr>
      </w:pPr>
    </w:p>
    <w:p w14:paraId="28766273" w14:textId="77777777" w:rsidR="00AC4F09" w:rsidRPr="00EE5714" w:rsidRDefault="00C670E3" w:rsidP="00BB0DF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 xml:space="preserve">Staff compared the average energy burdens of CAP customers before and after they received a LIHEAP grant to determine the impact that LIHEAP grants have in making CAP bills more affordable. </w:t>
      </w:r>
      <w:r w:rsidR="00B52CA4" w:rsidRPr="00EE5714">
        <w:rPr>
          <w:rFonts w:ascii="Times New Roman" w:hAnsi="Times New Roman" w:cs="Times New Roman"/>
          <w:sz w:val="26"/>
          <w:szCs w:val="26"/>
        </w:rPr>
        <w:t xml:space="preserve"> </w:t>
      </w:r>
      <w:r w:rsidR="00AE0A99" w:rsidRPr="00EE5714">
        <w:rPr>
          <w:rFonts w:ascii="Times New Roman" w:hAnsi="Times New Roman" w:cs="Times New Roman"/>
          <w:sz w:val="26"/>
          <w:szCs w:val="26"/>
        </w:rPr>
        <w:t>Staff</w:t>
      </w:r>
      <w:r w:rsidR="00BB0DF2" w:rsidRPr="00EE5714">
        <w:rPr>
          <w:rFonts w:ascii="Times New Roman" w:hAnsi="Times New Roman" w:cs="Times New Roman"/>
          <w:sz w:val="26"/>
          <w:szCs w:val="26"/>
        </w:rPr>
        <w:t xml:space="preserve"> examined the following information for CAP customers who received LIHEAP: total </w:t>
      </w:r>
      <w:r w:rsidR="00A758F9" w:rsidRPr="00EE5714">
        <w:rPr>
          <w:rFonts w:ascii="Times New Roman" w:hAnsi="Times New Roman" w:cs="Times New Roman"/>
          <w:sz w:val="26"/>
          <w:szCs w:val="26"/>
        </w:rPr>
        <w:t>number of customers who received LIHEAP</w:t>
      </w:r>
      <w:r w:rsidR="00BB0DF2" w:rsidRPr="00EE5714">
        <w:rPr>
          <w:rFonts w:ascii="Times New Roman" w:hAnsi="Times New Roman" w:cs="Times New Roman"/>
          <w:sz w:val="26"/>
          <w:szCs w:val="26"/>
        </w:rPr>
        <w:t xml:space="preserve">, average usage, average billing, average income, and the total amount of LIHEAP dollars received.  Most utilities provided this data by </w:t>
      </w:r>
      <w:r w:rsidR="003A159F" w:rsidRPr="00EE5714">
        <w:rPr>
          <w:rFonts w:ascii="Times New Roman" w:hAnsi="Times New Roman" w:cs="Times New Roman"/>
          <w:sz w:val="26"/>
          <w:szCs w:val="26"/>
        </w:rPr>
        <w:t>FPIG</w:t>
      </w:r>
      <w:r w:rsidR="00BB0DF2" w:rsidRPr="00EE5714">
        <w:rPr>
          <w:rFonts w:ascii="Times New Roman" w:hAnsi="Times New Roman" w:cs="Times New Roman"/>
          <w:sz w:val="26"/>
          <w:szCs w:val="26"/>
        </w:rPr>
        <w:t xml:space="preserve"> level and heating type. </w:t>
      </w:r>
    </w:p>
    <w:p w14:paraId="60AB94A4" w14:textId="77777777" w:rsidR="00385161" w:rsidRPr="00EE5714" w:rsidRDefault="00385161" w:rsidP="00BB0DF2">
      <w:pPr>
        <w:spacing w:after="0" w:line="240" w:lineRule="auto"/>
        <w:contextualSpacing/>
        <w:rPr>
          <w:rFonts w:ascii="Times New Roman" w:hAnsi="Times New Roman" w:cs="Times New Roman"/>
          <w:sz w:val="26"/>
          <w:szCs w:val="26"/>
        </w:rPr>
      </w:pPr>
    </w:p>
    <w:p w14:paraId="317240A1" w14:textId="77777777" w:rsidR="00AC4F09" w:rsidRPr="00EE5714" w:rsidRDefault="00AC4F09" w:rsidP="00BB0DF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lastRenderedPageBreak/>
        <w:tab/>
        <w:t xml:space="preserve">The impact of the LIHEAP grants on CAP energy burden levels was </w:t>
      </w:r>
      <w:r w:rsidR="00A11757" w:rsidRPr="00EE5714">
        <w:rPr>
          <w:rFonts w:ascii="Times New Roman" w:hAnsi="Times New Roman" w:cs="Times New Roman"/>
          <w:sz w:val="26"/>
          <w:szCs w:val="26"/>
        </w:rPr>
        <w:t xml:space="preserve">determined by comparing the </w:t>
      </w:r>
      <w:r w:rsidR="00385161" w:rsidRPr="00EE5714">
        <w:rPr>
          <w:rFonts w:ascii="Times New Roman" w:hAnsi="Times New Roman" w:cs="Times New Roman"/>
          <w:sz w:val="26"/>
          <w:szCs w:val="26"/>
        </w:rPr>
        <w:t>average energy burden</w:t>
      </w:r>
      <w:r w:rsidR="00BD438F" w:rsidRPr="00EE5714">
        <w:rPr>
          <w:rFonts w:ascii="Times New Roman" w:hAnsi="Times New Roman" w:cs="Times New Roman"/>
          <w:sz w:val="26"/>
          <w:szCs w:val="26"/>
        </w:rPr>
        <w:t>s</w:t>
      </w:r>
      <w:r w:rsidR="00385161" w:rsidRPr="00EE5714">
        <w:rPr>
          <w:rFonts w:ascii="Times New Roman" w:hAnsi="Times New Roman" w:cs="Times New Roman"/>
          <w:sz w:val="26"/>
          <w:szCs w:val="26"/>
        </w:rPr>
        <w:t xml:space="preserve"> for CAP customers prior to receiving LIHEAP</w:t>
      </w:r>
      <w:r w:rsidR="00A11757" w:rsidRPr="00EE5714">
        <w:rPr>
          <w:rFonts w:ascii="Times New Roman" w:hAnsi="Times New Roman" w:cs="Times New Roman"/>
          <w:sz w:val="26"/>
          <w:szCs w:val="26"/>
        </w:rPr>
        <w:t xml:space="preserve"> and then after the annual LIHEAP amount is applied to their average bill</w:t>
      </w:r>
      <w:r w:rsidR="00385161" w:rsidRPr="00EE5714">
        <w:rPr>
          <w:rFonts w:ascii="Times New Roman" w:hAnsi="Times New Roman" w:cs="Times New Roman"/>
          <w:sz w:val="26"/>
          <w:szCs w:val="26"/>
        </w:rPr>
        <w:t xml:space="preserve">. </w:t>
      </w:r>
      <w:r w:rsidR="00A11757" w:rsidRPr="00EE5714">
        <w:rPr>
          <w:rFonts w:ascii="Times New Roman" w:hAnsi="Times New Roman" w:cs="Times New Roman"/>
          <w:sz w:val="26"/>
          <w:szCs w:val="26"/>
        </w:rPr>
        <w:t xml:space="preserve"> This analysis </w:t>
      </w:r>
      <w:r w:rsidR="00764C89" w:rsidRPr="00EE5714">
        <w:rPr>
          <w:rFonts w:ascii="Times New Roman" w:hAnsi="Times New Roman" w:cs="Times New Roman"/>
          <w:sz w:val="26"/>
          <w:szCs w:val="26"/>
        </w:rPr>
        <w:t>examined the</w:t>
      </w:r>
      <w:r w:rsidR="00A11757" w:rsidRPr="00EE5714">
        <w:rPr>
          <w:rFonts w:ascii="Times New Roman" w:hAnsi="Times New Roman" w:cs="Times New Roman"/>
          <w:sz w:val="26"/>
          <w:szCs w:val="26"/>
        </w:rPr>
        <w:t xml:space="preserve"> change in energy burden</w:t>
      </w:r>
      <w:r w:rsidR="00BD438F" w:rsidRPr="00EE5714">
        <w:rPr>
          <w:rFonts w:ascii="Times New Roman" w:hAnsi="Times New Roman" w:cs="Times New Roman"/>
          <w:sz w:val="26"/>
          <w:szCs w:val="26"/>
        </w:rPr>
        <w:t>s</w:t>
      </w:r>
      <w:r w:rsidR="00A11757" w:rsidRPr="00EE5714">
        <w:rPr>
          <w:rFonts w:ascii="Times New Roman" w:hAnsi="Times New Roman" w:cs="Times New Roman"/>
          <w:sz w:val="26"/>
          <w:szCs w:val="26"/>
        </w:rPr>
        <w:t xml:space="preserve"> </w:t>
      </w:r>
      <w:r w:rsidR="00385161" w:rsidRPr="00EE5714">
        <w:rPr>
          <w:rFonts w:ascii="Times New Roman" w:hAnsi="Times New Roman" w:cs="Times New Roman"/>
          <w:sz w:val="26"/>
          <w:szCs w:val="26"/>
        </w:rPr>
        <w:t xml:space="preserve">for each </w:t>
      </w:r>
      <w:r w:rsidR="003A159F" w:rsidRPr="00EE5714">
        <w:rPr>
          <w:rFonts w:ascii="Times New Roman" w:hAnsi="Times New Roman" w:cs="Times New Roman"/>
          <w:sz w:val="26"/>
          <w:szCs w:val="26"/>
        </w:rPr>
        <w:t>FPIG</w:t>
      </w:r>
      <w:r w:rsidR="00385161" w:rsidRPr="00EE5714">
        <w:rPr>
          <w:rFonts w:ascii="Times New Roman" w:hAnsi="Times New Roman" w:cs="Times New Roman"/>
          <w:sz w:val="26"/>
          <w:szCs w:val="26"/>
        </w:rPr>
        <w:t xml:space="preserve"> level and heating type. </w:t>
      </w:r>
    </w:p>
    <w:p w14:paraId="07262D4B" w14:textId="77777777" w:rsidR="00BB0DF2" w:rsidRPr="00EE5714" w:rsidRDefault="00BB0DF2" w:rsidP="00BB0DF2">
      <w:pPr>
        <w:tabs>
          <w:tab w:val="left" w:pos="450"/>
        </w:tabs>
        <w:spacing w:after="0" w:line="240" w:lineRule="auto"/>
        <w:contextualSpacing/>
        <w:rPr>
          <w:rFonts w:ascii="Times New Roman" w:hAnsi="Times New Roman" w:cs="Times New Roman"/>
          <w:sz w:val="26"/>
          <w:szCs w:val="26"/>
        </w:rPr>
      </w:pPr>
    </w:p>
    <w:p w14:paraId="5EA450B0" w14:textId="77777777" w:rsidR="00BB0DF2" w:rsidRPr="00EE5714" w:rsidRDefault="00BB0DF2" w:rsidP="00CD5445">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The CAP energy burden</w:t>
      </w:r>
      <w:r w:rsidR="00D2642F" w:rsidRPr="00EE5714">
        <w:rPr>
          <w:rFonts w:ascii="Times New Roman" w:hAnsi="Times New Roman" w:cs="Times New Roman"/>
          <w:sz w:val="26"/>
          <w:szCs w:val="26"/>
        </w:rPr>
        <w:t>s</w:t>
      </w:r>
      <w:r w:rsidRPr="00EE5714">
        <w:rPr>
          <w:rFonts w:ascii="Times New Roman" w:hAnsi="Times New Roman" w:cs="Times New Roman"/>
          <w:sz w:val="26"/>
          <w:szCs w:val="26"/>
        </w:rPr>
        <w:t xml:space="preserve"> in this analysis are not comparable to the average energy burden</w:t>
      </w:r>
      <w:r w:rsidR="00D2642F" w:rsidRPr="00EE5714">
        <w:rPr>
          <w:rFonts w:ascii="Times New Roman" w:hAnsi="Times New Roman" w:cs="Times New Roman"/>
          <w:sz w:val="26"/>
          <w:szCs w:val="26"/>
        </w:rPr>
        <w:t>s</w:t>
      </w:r>
      <w:r w:rsidRPr="00EE5714">
        <w:rPr>
          <w:rFonts w:ascii="Times New Roman" w:hAnsi="Times New Roman" w:cs="Times New Roman"/>
          <w:sz w:val="26"/>
          <w:szCs w:val="26"/>
        </w:rPr>
        <w:t xml:space="preserve"> for CAP customers identified in Section </w:t>
      </w:r>
      <w:r w:rsidR="00A96B39" w:rsidRPr="00EE5714">
        <w:rPr>
          <w:rFonts w:ascii="Times New Roman" w:hAnsi="Times New Roman" w:cs="Times New Roman"/>
          <w:sz w:val="26"/>
          <w:szCs w:val="26"/>
        </w:rPr>
        <w:t>III</w:t>
      </w:r>
      <w:r w:rsidR="00D96683" w:rsidRPr="00EE5714">
        <w:rPr>
          <w:rFonts w:ascii="Times New Roman" w:hAnsi="Times New Roman" w:cs="Times New Roman"/>
          <w:sz w:val="26"/>
          <w:szCs w:val="26"/>
        </w:rPr>
        <w:t xml:space="preserve">, </w:t>
      </w:r>
      <w:r w:rsidR="00D96683" w:rsidRPr="00EE5714">
        <w:rPr>
          <w:rFonts w:ascii="Times New Roman" w:hAnsi="Times New Roman" w:cs="Times New Roman"/>
          <w:i/>
          <w:iCs/>
          <w:sz w:val="26"/>
          <w:szCs w:val="26"/>
        </w:rPr>
        <w:t>Energy Burden Levels for Gas and Electric Service</w:t>
      </w:r>
      <w:r w:rsidR="00CD45A0" w:rsidRPr="00EE5714">
        <w:rPr>
          <w:rFonts w:ascii="Times New Roman" w:hAnsi="Times New Roman" w:cs="Times New Roman"/>
          <w:sz w:val="26"/>
          <w:szCs w:val="26"/>
        </w:rPr>
        <w:t>.</w:t>
      </w:r>
      <w:r w:rsidR="003D760F" w:rsidRPr="00EE5714">
        <w:rPr>
          <w:rFonts w:ascii="Times New Roman" w:hAnsi="Times New Roman" w:cs="Times New Roman"/>
          <w:sz w:val="26"/>
          <w:szCs w:val="26"/>
        </w:rPr>
        <w:t xml:space="preserve">  </w:t>
      </w:r>
      <w:r w:rsidRPr="00EE5714">
        <w:rPr>
          <w:rFonts w:ascii="Times New Roman" w:hAnsi="Times New Roman" w:cs="Times New Roman"/>
          <w:sz w:val="26"/>
          <w:szCs w:val="26"/>
        </w:rPr>
        <w:t>Th</w:t>
      </w:r>
      <w:r w:rsidR="009F052D" w:rsidRPr="00EE5714">
        <w:rPr>
          <w:rFonts w:ascii="Times New Roman" w:hAnsi="Times New Roman" w:cs="Times New Roman"/>
          <w:sz w:val="26"/>
          <w:szCs w:val="26"/>
        </w:rPr>
        <w:t xml:space="preserve">is </w:t>
      </w:r>
      <w:r w:rsidR="0020336F" w:rsidRPr="00EE5714">
        <w:rPr>
          <w:rFonts w:ascii="Times New Roman" w:hAnsi="Times New Roman" w:cs="Times New Roman"/>
          <w:sz w:val="26"/>
          <w:szCs w:val="26"/>
        </w:rPr>
        <w:t xml:space="preserve">inconsistency is </w:t>
      </w:r>
      <w:r w:rsidR="009F052D" w:rsidRPr="00EE5714">
        <w:rPr>
          <w:rFonts w:ascii="Times New Roman" w:hAnsi="Times New Roman" w:cs="Times New Roman"/>
          <w:sz w:val="26"/>
          <w:szCs w:val="26"/>
        </w:rPr>
        <w:t xml:space="preserve">primarily </w:t>
      </w:r>
      <w:r w:rsidR="00B77F4C" w:rsidRPr="00EE5714">
        <w:rPr>
          <w:rFonts w:ascii="Times New Roman" w:hAnsi="Times New Roman" w:cs="Times New Roman"/>
          <w:sz w:val="26"/>
          <w:szCs w:val="26"/>
        </w:rPr>
        <w:t xml:space="preserve">due to the count </w:t>
      </w:r>
      <w:r w:rsidR="00CD5445" w:rsidRPr="00EE5714">
        <w:rPr>
          <w:rFonts w:ascii="Times New Roman" w:hAnsi="Times New Roman" w:cs="Times New Roman"/>
          <w:sz w:val="26"/>
          <w:szCs w:val="26"/>
        </w:rPr>
        <w:t>of LIHEAP households during a calendar year.</w:t>
      </w:r>
      <w:r w:rsidR="00E82CA5" w:rsidRPr="00EE5714">
        <w:rPr>
          <w:rFonts w:ascii="Times New Roman" w:hAnsi="Times New Roman" w:cs="Times New Roman"/>
          <w:sz w:val="26"/>
          <w:szCs w:val="26"/>
        </w:rPr>
        <w:t xml:space="preserve"> </w:t>
      </w:r>
      <w:r w:rsidR="00CD5445"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The number of CAP customers who received LIHEAP includes each household that received a LIHEAP Cash and/or Crisis grant during a LIHEAP season.  Since </w:t>
      </w:r>
      <w:r w:rsidR="00945FCA" w:rsidRPr="00EE5714">
        <w:rPr>
          <w:rFonts w:ascii="Times New Roman" w:hAnsi="Times New Roman" w:cs="Times New Roman"/>
          <w:sz w:val="26"/>
          <w:szCs w:val="26"/>
        </w:rPr>
        <w:t>a</w:t>
      </w:r>
      <w:r w:rsidRPr="00EE5714">
        <w:rPr>
          <w:rFonts w:ascii="Times New Roman" w:hAnsi="Times New Roman" w:cs="Times New Roman"/>
          <w:sz w:val="26"/>
          <w:szCs w:val="26"/>
        </w:rPr>
        <w:t xml:space="preserve"> calendar year encompasses two partial LIHEAP seasons (</w:t>
      </w:r>
      <w:r w:rsidRPr="00EE5714">
        <w:rPr>
          <w:rFonts w:ascii="Times New Roman" w:hAnsi="Times New Roman" w:cs="Times New Roman"/>
          <w:i/>
          <w:iCs/>
          <w:sz w:val="26"/>
          <w:szCs w:val="26"/>
        </w:rPr>
        <w:t>i.e.</w:t>
      </w:r>
      <w:r w:rsidRPr="00EE5714">
        <w:rPr>
          <w:rFonts w:ascii="Times New Roman" w:hAnsi="Times New Roman" w:cs="Times New Roman"/>
          <w:sz w:val="26"/>
          <w:szCs w:val="26"/>
        </w:rPr>
        <w:t>, January to March and November to December), households are counted twice if they received a grant in both seasons</w:t>
      </w:r>
      <w:r w:rsidR="005508FE" w:rsidRPr="00EE5714">
        <w:rPr>
          <w:rFonts w:ascii="Times New Roman" w:hAnsi="Times New Roman" w:cs="Times New Roman"/>
          <w:sz w:val="26"/>
          <w:szCs w:val="26"/>
        </w:rPr>
        <w:t xml:space="preserve"> for the same calendar year</w:t>
      </w:r>
      <w:r w:rsidRPr="00EE5714">
        <w:rPr>
          <w:rFonts w:ascii="Times New Roman" w:hAnsi="Times New Roman" w:cs="Times New Roman"/>
          <w:sz w:val="26"/>
          <w:szCs w:val="26"/>
        </w:rPr>
        <w:t xml:space="preserve">.  In 2015 and 2016, a CAP household could be counted three times if </w:t>
      </w:r>
      <w:r w:rsidR="008104A4" w:rsidRPr="00EE5714">
        <w:rPr>
          <w:rFonts w:ascii="Times New Roman" w:hAnsi="Times New Roman" w:cs="Times New Roman"/>
          <w:sz w:val="26"/>
          <w:szCs w:val="26"/>
        </w:rPr>
        <w:t>i</w:t>
      </w:r>
      <w:r w:rsidRPr="00EE5714">
        <w:rPr>
          <w:rFonts w:ascii="Times New Roman" w:hAnsi="Times New Roman" w:cs="Times New Roman"/>
          <w:sz w:val="26"/>
          <w:szCs w:val="26"/>
        </w:rPr>
        <w:t xml:space="preserve">t received a grant in both seasons </w:t>
      </w:r>
      <w:proofErr w:type="gramStart"/>
      <w:r w:rsidRPr="00EE5714">
        <w:rPr>
          <w:rFonts w:ascii="Times New Roman" w:hAnsi="Times New Roman" w:cs="Times New Roman"/>
          <w:sz w:val="26"/>
          <w:szCs w:val="26"/>
        </w:rPr>
        <w:t>and also</w:t>
      </w:r>
      <w:proofErr w:type="gramEnd"/>
      <w:r w:rsidRPr="00EE5714">
        <w:rPr>
          <w:rFonts w:ascii="Times New Roman" w:hAnsi="Times New Roman" w:cs="Times New Roman"/>
          <w:sz w:val="26"/>
          <w:szCs w:val="26"/>
        </w:rPr>
        <w:t xml:space="preserve"> received a LIHEAP Summer Turn-On grant.  </w:t>
      </w:r>
    </w:p>
    <w:p w14:paraId="60B863DA" w14:textId="77777777" w:rsidR="00BB0DF2" w:rsidRPr="00EE5714" w:rsidRDefault="00BB0DF2" w:rsidP="00BB0DF2">
      <w:pPr>
        <w:tabs>
          <w:tab w:val="left" w:pos="450"/>
        </w:tabs>
        <w:spacing w:after="0" w:line="240" w:lineRule="auto"/>
        <w:contextualSpacing/>
        <w:rPr>
          <w:rFonts w:ascii="Times New Roman" w:hAnsi="Times New Roman" w:cs="Times New Roman"/>
          <w:sz w:val="26"/>
          <w:szCs w:val="26"/>
        </w:rPr>
      </w:pPr>
    </w:p>
    <w:p w14:paraId="1CDB7BF6" w14:textId="77777777" w:rsidR="00BB0DF2" w:rsidRPr="00EE5714" w:rsidRDefault="00BB0DF2" w:rsidP="00BB0DF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There could also be differences in the</w:t>
      </w:r>
      <w:r w:rsidRPr="00EE5714" w:rsidDel="00953AE6">
        <w:rPr>
          <w:rFonts w:ascii="Times New Roman" w:hAnsi="Times New Roman" w:cs="Times New Roman"/>
          <w:sz w:val="26"/>
          <w:szCs w:val="26"/>
        </w:rPr>
        <w:t xml:space="preserve"> </w:t>
      </w:r>
      <w:r w:rsidR="00953AE6" w:rsidRPr="00EE5714">
        <w:rPr>
          <w:rFonts w:ascii="Times New Roman" w:hAnsi="Times New Roman" w:cs="Times New Roman"/>
          <w:sz w:val="26"/>
          <w:szCs w:val="26"/>
        </w:rPr>
        <w:t xml:space="preserve">value </w:t>
      </w:r>
      <w:r w:rsidRPr="00EE5714">
        <w:rPr>
          <w:rFonts w:ascii="Times New Roman" w:hAnsi="Times New Roman" w:cs="Times New Roman"/>
          <w:sz w:val="26"/>
          <w:szCs w:val="26"/>
        </w:rPr>
        <w:t>of LIHEAP grants received during each calendar year</w:t>
      </w:r>
      <w:r w:rsidR="00736E6D" w:rsidRPr="00EE5714">
        <w:rPr>
          <w:rFonts w:ascii="Times New Roman" w:hAnsi="Times New Roman" w:cs="Times New Roman"/>
          <w:sz w:val="26"/>
          <w:szCs w:val="26"/>
        </w:rPr>
        <w:t xml:space="preserve"> by a given household</w:t>
      </w:r>
      <w:r w:rsidRPr="00EE5714">
        <w:rPr>
          <w:rFonts w:ascii="Times New Roman" w:hAnsi="Times New Roman" w:cs="Times New Roman"/>
          <w:sz w:val="26"/>
          <w:szCs w:val="26"/>
        </w:rPr>
        <w:t xml:space="preserve">.  From 2012 through 2014, a CAP customer may have received </w:t>
      </w:r>
      <w:r w:rsidR="002266DF" w:rsidRPr="00EE5714">
        <w:rPr>
          <w:rFonts w:ascii="Times New Roman" w:hAnsi="Times New Roman" w:cs="Times New Roman"/>
          <w:sz w:val="26"/>
          <w:szCs w:val="26"/>
        </w:rPr>
        <w:t>multiple</w:t>
      </w:r>
      <w:r w:rsidRPr="00EE5714">
        <w:rPr>
          <w:rFonts w:ascii="Times New Roman" w:hAnsi="Times New Roman" w:cs="Times New Roman"/>
          <w:sz w:val="26"/>
          <w:szCs w:val="26"/>
        </w:rPr>
        <w:t xml:space="preserve"> LIHEAP grants within a calendar year: two CASH grants </w:t>
      </w:r>
      <w:r w:rsidR="00080DDA" w:rsidRPr="00EE5714">
        <w:rPr>
          <w:rFonts w:ascii="Times New Roman" w:hAnsi="Times New Roman" w:cs="Times New Roman"/>
          <w:sz w:val="26"/>
          <w:szCs w:val="26"/>
        </w:rPr>
        <w:t>(</w:t>
      </w:r>
      <w:r w:rsidR="001C27D8" w:rsidRPr="00EE5714">
        <w:rPr>
          <w:rFonts w:ascii="Times New Roman" w:hAnsi="Times New Roman" w:cs="Times New Roman"/>
          <w:sz w:val="26"/>
          <w:szCs w:val="26"/>
        </w:rPr>
        <w:t xml:space="preserve">January to March and November </w:t>
      </w:r>
      <w:r w:rsidR="00945FCA" w:rsidRPr="00EE5714">
        <w:rPr>
          <w:rFonts w:ascii="Times New Roman" w:hAnsi="Times New Roman" w:cs="Times New Roman"/>
          <w:sz w:val="26"/>
          <w:szCs w:val="26"/>
        </w:rPr>
        <w:t>to</w:t>
      </w:r>
      <w:r w:rsidR="001C27D8" w:rsidRPr="00EE5714">
        <w:rPr>
          <w:rFonts w:ascii="Times New Roman" w:hAnsi="Times New Roman" w:cs="Times New Roman"/>
          <w:sz w:val="26"/>
          <w:szCs w:val="26"/>
        </w:rPr>
        <w:t xml:space="preserve"> December) </w:t>
      </w:r>
      <w:r w:rsidRPr="00EE5714">
        <w:rPr>
          <w:rFonts w:ascii="Times New Roman" w:hAnsi="Times New Roman" w:cs="Times New Roman"/>
          <w:sz w:val="26"/>
          <w:szCs w:val="26"/>
        </w:rPr>
        <w:t>and Crisis grant</w:t>
      </w:r>
      <w:r w:rsidR="00B30F13" w:rsidRPr="00EE5714">
        <w:rPr>
          <w:rFonts w:ascii="Times New Roman" w:hAnsi="Times New Roman" w:cs="Times New Roman"/>
          <w:sz w:val="26"/>
          <w:szCs w:val="26"/>
        </w:rPr>
        <w:t>(</w:t>
      </w:r>
      <w:r w:rsidRPr="00EE5714">
        <w:rPr>
          <w:rFonts w:ascii="Times New Roman" w:hAnsi="Times New Roman" w:cs="Times New Roman"/>
          <w:sz w:val="26"/>
          <w:szCs w:val="26"/>
        </w:rPr>
        <w:t>s</w:t>
      </w:r>
      <w:r w:rsidR="00B30F13" w:rsidRPr="00EE5714">
        <w:rPr>
          <w:rFonts w:ascii="Times New Roman" w:hAnsi="Times New Roman" w:cs="Times New Roman"/>
          <w:sz w:val="26"/>
          <w:szCs w:val="26"/>
        </w:rPr>
        <w:t>)</w:t>
      </w:r>
      <w:r w:rsidR="001C27D8" w:rsidRPr="00EE5714">
        <w:rPr>
          <w:rFonts w:ascii="Times New Roman" w:hAnsi="Times New Roman" w:cs="Times New Roman"/>
          <w:sz w:val="26"/>
          <w:szCs w:val="26"/>
        </w:rPr>
        <w:t xml:space="preserve"> (</w:t>
      </w:r>
      <w:r w:rsidR="00A11757" w:rsidRPr="00EE5714">
        <w:rPr>
          <w:rFonts w:ascii="Times New Roman" w:hAnsi="Times New Roman" w:cs="Times New Roman"/>
          <w:sz w:val="26"/>
          <w:szCs w:val="26"/>
        </w:rPr>
        <w:t>up to $500 total</w:t>
      </w:r>
      <w:r w:rsidR="00945FCA" w:rsidRPr="00EE5714">
        <w:rPr>
          <w:rFonts w:ascii="Times New Roman" w:hAnsi="Times New Roman" w:cs="Times New Roman"/>
          <w:sz w:val="26"/>
          <w:szCs w:val="26"/>
        </w:rPr>
        <w:t>/season</w:t>
      </w:r>
      <w:r w:rsidR="004D47BD" w:rsidRPr="00EE5714">
        <w:rPr>
          <w:rFonts w:ascii="Times New Roman" w:hAnsi="Times New Roman" w:cs="Times New Roman"/>
          <w:sz w:val="26"/>
          <w:szCs w:val="26"/>
        </w:rPr>
        <w:t>)</w:t>
      </w:r>
      <w:r w:rsidRPr="00EE5714">
        <w:rPr>
          <w:rFonts w:ascii="Times New Roman" w:hAnsi="Times New Roman" w:cs="Times New Roman"/>
          <w:sz w:val="26"/>
          <w:szCs w:val="26"/>
        </w:rPr>
        <w:t xml:space="preserve">.  In 2015 and 2016, a CAP customer may have received </w:t>
      </w:r>
      <w:r w:rsidR="008018C1" w:rsidRPr="00EE5714">
        <w:rPr>
          <w:rFonts w:ascii="Times New Roman" w:hAnsi="Times New Roman" w:cs="Times New Roman"/>
          <w:sz w:val="26"/>
          <w:szCs w:val="26"/>
        </w:rPr>
        <w:t>an additional one or</w:t>
      </w:r>
      <w:r w:rsidRPr="00EE5714">
        <w:rPr>
          <w:rFonts w:ascii="Times New Roman" w:hAnsi="Times New Roman" w:cs="Times New Roman"/>
          <w:sz w:val="26"/>
          <w:szCs w:val="26"/>
        </w:rPr>
        <w:t xml:space="preserve"> two Summer </w:t>
      </w:r>
      <w:r w:rsidR="00CD2896" w:rsidRPr="00EE5714">
        <w:rPr>
          <w:rFonts w:ascii="Times New Roman" w:hAnsi="Times New Roman" w:cs="Times New Roman"/>
          <w:sz w:val="26"/>
          <w:szCs w:val="26"/>
        </w:rPr>
        <w:t>Turn-On</w:t>
      </w:r>
      <w:r w:rsidRPr="00EE5714">
        <w:rPr>
          <w:rFonts w:ascii="Times New Roman" w:hAnsi="Times New Roman" w:cs="Times New Roman"/>
          <w:sz w:val="26"/>
          <w:szCs w:val="26"/>
        </w:rPr>
        <w:t xml:space="preserve"> grants.</w:t>
      </w:r>
    </w:p>
    <w:p w14:paraId="2B2F5713" w14:textId="77777777" w:rsidR="00BB0DF2" w:rsidRPr="00EE5714" w:rsidRDefault="00BB0DF2" w:rsidP="00BB0DF2">
      <w:pPr>
        <w:pStyle w:val="ListParagraph"/>
        <w:spacing w:after="0" w:line="240" w:lineRule="auto"/>
        <w:rPr>
          <w:rFonts w:ascii="Times New Roman" w:hAnsi="Times New Roman" w:cs="Times New Roman"/>
          <w:sz w:val="26"/>
          <w:szCs w:val="26"/>
        </w:rPr>
      </w:pPr>
    </w:p>
    <w:p w14:paraId="522C2B0C" w14:textId="77777777" w:rsidR="00BB0DF2" w:rsidRPr="00EE5714" w:rsidRDefault="00BB0DF2" w:rsidP="00E17FBE">
      <w:pPr>
        <w:keepNext/>
        <w:spacing w:after="0" w:line="240" w:lineRule="auto"/>
        <w:rPr>
          <w:rFonts w:ascii="Times New Roman" w:hAnsi="Times New Roman" w:cs="Times New Roman"/>
          <w:i/>
          <w:iCs/>
          <w:sz w:val="26"/>
          <w:szCs w:val="26"/>
        </w:rPr>
      </w:pPr>
      <w:r w:rsidRPr="00EE5714">
        <w:rPr>
          <w:rFonts w:ascii="Times New Roman" w:hAnsi="Times New Roman" w:cs="Times New Roman"/>
          <w:i/>
          <w:iCs/>
          <w:sz w:val="26"/>
          <w:szCs w:val="26"/>
        </w:rPr>
        <w:t>Data Limitations</w:t>
      </w:r>
    </w:p>
    <w:p w14:paraId="037C5F94" w14:textId="77777777" w:rsidR="00BB0DF2" w:rsidRPr="00EE5714" w:rsidRDefault="00BB0DF2" w:rsidP="00AF3DD5">
      <w:pPr>
        <w:keepNext/>
        <w:spacing w:after="0" w:line="240" w:lineRule="auto"/>
        <w:rPr>
          <w:rFonts w:ascii="Times New Roman" w:hAnsi="Times New Roman" w:cs="Times New Roman"/>
          <w:sz w:val="26"/>
          <w:szCs w:val="26"/>
        </w:rPr>
      </w:pPr>
    </w:p>
    <w:p w14:paraId="556B59AD" w14:textId="77777777" w:rsidR="00BB0DF2" w:rsidRPr="00EE5714" w:rsidRDefault="00BB0DF2" w:rsidP="00BB0DF2">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r>
      <w:bookmarkStart w:id="27" w:name="_Hlk525824805"/>
      <w:r w:rsidRPr="00EE5714">
        <w:rPr>
          <w:rFonts w:ascii="Times New Roman" w:hAnsi="Times New Roman" w:cs="Times New Roman"/>
          <w:sz w:val="26"/>
          <w:szCs w:val="26"/>
        </w:rPr>
        <w:t>UGI Gas</w:t>
      </w:r>
      <w:r w:rsidR="00876316" w:rsidRPr="00EE5714">
        <w:rPr>
          <w:rFonts w:ascii="Times New Roman" w:hAnsi="Times New Roman" w:cs="Times New Roman"/>
          <w:sz w:val="26"/>
          <w:szCs w:val="26"/>
        </w:rPr>
        <w:t>,</w:t>
      </w:r>
      <w:r w:rsidRPr="00EE5714">
        <w:rPr>
          <w:rFonts w:ascii="Times New Roman" w:hAnsi="Times New Roman" w:cs="Times New Roman"/>
          <w:sz w:val="26"/>
          <w:szCs w:val="26"/>
        </w:rPr>
        <w:t xml:space="preserve"> UGI PNG</w:t>
      </w:r>
      <w:r w:rsidR="00876316" w:rsidRPr="00EE5714">
        <w:rPr>
          <w:rFonts w:ascii="Times New Roman" w:hAnsi="Times New Roman" w:cs="Times New Roman"/>
          <w:sz w:val="26"/>
          <w:szCs w:val="26"/>
        </w:rPr>
        <w:t>, and PECO Gas</w:t>
      </w:r>
      <w:r w:rsidRPr="00EE5714">
        <w:rPr>
          <w:rFonts w:ascii="Times New Roman" w:hAnsi="Times New Roman" w:cs="Times New Roman"/>
          <w:sz w:val="26"/>
          <w:szCs w:val="26"/>
        </w:rPr>
        <w:t xml:space="preserve"> are not included in this part of the analysis because these utilities could not provide average annual income for CAP customers who received LIHEAP.  NFG could not provide data by </w:t>
      </w:r>
      <w:r w:rsidR="003A159F" w:rsidRPr="00EE5714">
        <w:rPr>
          <w:rFonts w:ascii="Times New Roman" w:hAnsi="Times New Roman" w:cs="Times New Roman"/>
          <w:sz w:val="26"/>
          <w:szCs w:val="26"/>
        </w:rPr>
        <w:t>FPIG</w:t>
      </w:r>
      <w:r w:rsidRPr="00EE5714">
        <w:rPr>
          <w:rFonts w:ascii="Times New Roman" w:hAnsi="Times New Roman" w:cs="Times New Roman"/>
          <w:sz w:val="26"/>
          <w:szCs w:val="26"/>
        </w:rPr>
        <w:t xml:space="preserve"> level, so it is included only in the analysis of CAP customers at </w:t>
      </w:r>
      <w:r w:rsidR="00435F98" w:rsidRPr="00EE5714">
        <w:rPr>
          <w:rFonts w:ascii="Times New Roman" w:hAnsi="Times New Roman" w:cs="Times New Roman"/>
          <w:sz w:val="26"/>
          <w:szCs w:val="26"/>
        </w:rPr>
        <w:t>the aggregate</w:t>
      </w:r>
      <w:r w:rsidRPr="00EE5714">
        <w:rPr>
          <w:rFonts w:ascii="Times New Roman" w:hAnsi="Times New Roman" w:cs="Times New Roman"/>
          <w:sz w:val="26"/>
          <w:szCs w:val="26"/>
        </w:rPr>
        <w:t xml:space="preserve"> income level (</w:t>
      </w:r>
      <w:r w:rsidR="00F8224D" w:rsidRPr="00EE5714">
        <w:rPr>
          <w:rFonts w:ascii="Times New Roman" w:hAnsi="Times New Roman" w:cs="Times New Roman"/>
          <w:i/>
          <w:sz w:val="26"/>
          <w:szCs w:val="26"/>
        </w:rPr>
        <w:t>i.</w:t>
      </w:r>
      <w:r w:rsidR="0047623B" w:rsidRPr="00EE5714">
        <w:rPr>
          <w:rFonts w:ascii="Times New Roman" w:hAnsi="Times New Roman" w:cs="Times New Roman"/>
          <w:i/>
          <w:sz w:val="26"/>
          <w:szCs w:val="26"/>
        </w:rPr>
        <w:t>e.</w:t>
      </w:r>
      <w:r w:rsidR="0047623B"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up to 150% of the FPIG).  </w:t>
      </w:r>
    </w:p>
    <w:p w14:paraId="125C226F" w14:textId="77777777" w:rsidR="00BB0DF2" w:rsidRPr="00EE5714" w:rsidRDefault="00BB0DF2" w:rsidP="00BB0DF2">
      <w:pPr>
        <w:spacing w:after="0" w:line="240" w:lineRule="auto"/>
        <w:rPr>
          <w:rFonts w:ascii="Times New Roman" w:hAnsi="Times New Roman" w:cs="Times New Roman"/>
          <w:sz w:val="26"/>
          <w:szCs w:val="26"/>
        </w:rPr>
      </w:pPr>
    </w:p>
    <w:bookmarkEnd w:id="27"/>
    <w:p w14:paraId="73A1B4F8" w14:textId="77777777" w:rsidR="00BB0DF2" w:rsidRPr="00EE5714" w:rsidRDefault="00BB0DF2" w:rsidP="00975513">
      <w:pPr>
        <w:keepNext/>
        <w:keepLines/>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Analysis</w:t>
      </w:r>
    </w:p>
    <w:p w14:paraId="1DA87439" w14:textId="77777777" w:rsidR="00BB0DF2" w:rsidRPr="00EE5714" w:rsidRDefault="00BB0DF2" w:rsidP="00975513">
      <w:pPr>
        <w:keepNext/>
        <w:keepLines/>
        <w:spacing w:after="0" w:line="240" w:lineRule="auto"/>
        <w:contextualSpacing/>
        <w:rPr>
          <w:rFonts w:ascii="Times New Roman" w:hAnsi="Times New Roman" w:cs="Times New Roman"/>
          <w:sz w:val="26"/>
          <w:szCs w:val="26"/>
        </w:rPr>
      </w:pPr>
    </w:p>
    <w:p w14:paraId="627F785C" w14:textId="77777777" w:rsidR="008E6853" w:rsidRPr="00EE5714" w:rsidRDefault="00455EA9" w:rsidP="00975513">
      <w:pPr>
        <w:keepNext/>
        <w:keepLines/>
        <w:spacing w:after="0" w:line="240" w:lineRule="auto"/>
        <w:contextualSpacing/>
        <w:rPr>
          <w:rFonts w:ascii="Times New Roman" w:hAnsi="Times New Roman" w:cs="Times New Roman"/>
          <w:sz w:val="26"/>
          <w:szCs w:val="26"/>
        </w:rPr>
      </w:pPr>
      <w:r w:rsidRPr="00EE5714">
        <w:rPr>
          <w:rFonts w:ascii="Times New Roman" w:hAnsi="Times New Roman" w:cs="Times New Roman"/>
          <w:i/>
          <w:iCs/>
          <w:sz w:val="26"/>
          <w:szCs w:val="26"/>
        </w:rPr>
        <w:t xml:space="preserve">Average </w:t>
      </w:r>
      <w:r w:rsidR="0095287E" w:rsidRPr="00EE5714">
        <w:rPr>
          <w:rFonts w:ascii="Times New Roman" w:hAnsi="Times New Roman" w:cs="Times New Roman"/>
          <w:i/>
          <w:iCs/>
          <w:sz w:val="26"/>
          <w:szCs w:val="26"/>
        </w:rPr>
        <w:t xml:space="preserve">Impact of LIHEAP for CAP Customers at </w:t>
      </w:r>
      <w:r w:rsidR="00834768" w:rsidRPr="00EE5714">
        <w:rPr>
          <w:rFonts w:ascii="Times New Roman" w:hAnsi="Times New Roman" w:cs="Times New Roman"/>
          <w:i/>
          <w:iCs/>
          <w:sz w:val="26"/>
          <w:szCs w:val="26"/>
        </w:rPr>
        <w:t>0-50% of FPIG</w:t>
      </w:r>
    </w:p>
    <w:p w14:paraId="4F395077" w14:textId="77777777" w:rsidR="001F3CB6" w:rsidRPr="00EE5714" w:rsidRDefault="001F3CB6" w:rsidP="00975513">
      <w:pPr>
        <w:keepNext/>
        <w:keepLines/>
        <w:spacing w:after="0" w:line="240" w:lineRule="auto"/>
        <w:contextualSpacing/>
        <w:rPr>
          <w:rFonts w:ascii="Times New Roman" w:hAnsi="Times New Roman" w:cs="Times New Roman"/>
          <w:sz w:val="26"/>
          <w:szCs w:val="26"/>
        </w:rPr>
      </w:pPr>
    </w:p>
    <w:p w14:paraId="64D0C669" w14:textId="77777777" w:rsidR="009F490E" w:rsidRPr="00EE5714" w:rsidRDefault="009F490E" w:rsidP="00975513">
      <w:pPr>
        <w:keepNext/>
        <w:keepLines/>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4-1</w:t>
      </w:r>
    </w:p>
    <w:p w14:paraId="38589A8A" w14:textId="77777777" w:rsidR="009F490E" w:rsidRPr="00EE5714" w:rsidRDefault="009F490E" w:rsidP="00975513">
      <w:pPr>
        <w:keepNext/>
        <w:keepLines/>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NGDC CAP LIHEAP Recipients at 0-50% FPIG </w:t>
      </w:r>
    </w:p>
    <w:p w14:paraId="3A2D654B" w14:textId="77777777" w:rsidR="009F490E" w:rsidRPr="00EE5714" w:rsidRDefault="009F490E" w:rsidP="00975513">
      <w:pPr>
        <w:keepNext/>
        <w:keepLines/>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Without &amp; With LIHEAP Grants Applied to Average Bills 2012-2016</w:t>
      </w:r>
    </w:p>
    <w:p w14:paraId="00391E1F" w14:textId="6BF6EDC8" w:rsidR="411A2086" w:rsidRPr="00EE5714" w:rsidRDefault="411A2086" w:rsidP="00032E12">
      <w:pPr>
        <w:spacing w:after="0" w:line="240" w:lineRule="auto"/>
        <w:jc w:val="center"/>
      </w:pPr>
      <w:r w:rsidRPr="00EE5714">
        <w:rPr>
          <w:noProof/>
        </w:rPr>
        <w:drawing>
          <wp:inline distT="0" distB="0" distL="0" distR="0" wp14:anchorId="04446947" wp14:editId="257EC082">
            <wp:extent cx="5781674" cy="3667125"/>
            <wp:effectExtent l="0" t="0" r="0" b="0"/>
            <wp:docPr id="852751302" name="Picture 85275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81674" cy="3667125"/>
                    </a:xfrm>
                    <a:prstGeom prst="rect">
                      <a:avLst/>
                    </a:prstGeom>
                  </pic:spPr>
                </pic:pic>
              </a:graphicData>
            </a:graphic>
          </wp:inline>
        </w:drawing>
      </w:r>
    </w:p>
    <w:p w14:paraId="1072FC8F" w14:textId="77777777" w:rsidR="009F490E" w:rsidRPr="00EE5714" w:rsidRDefault="009F490E" w:rsidP="006F0B45">
      <w:pPr>
        <w:keepNext/>
        <w:spacing w:after="0" w:line="240" w:lineRule="auto"/>
        <w:contextualSpacing/>
        <w:rPr>
          <w:rFonts w:ascii="Times New Roman" w:hAnsi="Times New Roman" w:cs="Times New Roman"/>
          <w:sz w:val="26"/>
          <w:szCs w:val="26"/>
        </w:rPr>
      </w:pPr>
    </w:p>
    <w:p w14:paraId="264FAD94" w14:textId="77777777" w:rsidR="00DB0AD5" w:rsidRPr="00EE5714" w:rsidRDefault="00BB0DF2" w:rsidP="00BB0DF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153D67" w:rsidRPr="00EE5714">
        <w:rPr>
          <w:rFonts w:ascii="Times New Roman" w:hAnsi="Times New Roman" w:cs="Times New Roman"/>
          <w:sz w:val="26"/>
          <w:szCs w:val="26"/>
        </w:rPr>
        <w:t xml:space="preserve">The </w:t>
      </w:r>
      <w:r w:rsidR="00BC5144" w:rsidRPr="00EE5714">
        <w:rPr>
          <w:rFonts w:ascii="Times New Roman" w:hAnsi="Times New Roman" w:cs="Times New Roman"/>
          <w:sz w:val="26"/>
          <w:szCs w:val="26"/>
        </w:rPr>
        <w:t xml:space="preserve">average </w:t>
      </w:r>
      <w:r w:rsidR="00153D67" w:rsidRPr="00EE5714">
        <w:rPr>
          <w:rFonts w:ascii="Times New Roman" w:hAnsi="Times New Roman" w:cs="Times New Roman"/>
          <w:sz w:val="26"/>
          <w:szCs w:val="26"/>
        </w:rPr>
        <w:t>impact of LIHEAP on energy burden</w:t>
      </w:r>
      <w:r w:rsidR="005B5EA4" w:rsidRPr="00EE5714">
        <w:rPr>
          <w:rFonts w:ascii="Times New Roman" w:hAnsi="Times New Roman" w:cs="Times New Roman"/>
          <w:sz w:val="26"/>
          <w:szCs w:val="26"/>
        </w:rPr>
        <w:t>s</w:t>
      </w:r>
      <w:r w:rsidR="00153D67" w:rsidRPr="00EE5714">
        <w:rPr>
          <w:rFonts w:ascii="Times New Roman" w:hAnsi="Times New Roman" w:cs="Times New Roman"/>
          <w:sz w:val="26"/>
          <w:szCs w:val="26"/>
        </w:rPr>
        <w:t xml:space="preserve"> </w:t>
      </w:r>
      <w:r w:rsidR="000D258F" w:rsidRPr="00EE5714">
        <w:rPr>
          <w:rFonts w:ascii="Times New Roman" w:hAnsi="Times New Roman" w:cs="Times New Roman"/>
          <w:sz w:val="26"/>
          <w:szCs w:val="26"/>
        </w:rPr>
        <w:t>wa</w:t>
      </w:r>
      <w:r w:rsidR="00153D67" w:rsidRPr="00EE5714">
        <w:rPr>
          <w:rFonts w:ascii="Times New Roman" w:hAnsi="Times New Roman" w:cs="Times New Roman"/>
          <w:sz w:val="26"/>
          <w:szCs w:val="26"/>
        </w:rPr>
        <w:t xml:space="preserve">s </w:t>
      </w:r>
      <w:r w:rsidR="00173E07" w:rsidRPr="00EE5714">
        <w:rPr>
          <w:rFonts w:ascii="Times New Roman" w:hAnsi="Times New Roman" w:cs="Times New Roman"/>
          <w:sz w:val="26"/>
          <w:szCs w:val="26"/>
        </w:rPr>
        <w:t>greatest for</w:t>
      </w:r>
      <w:r w:rsidRPr="00EE5714">
        <w:rPr>
          <w:rFonts w:ascii="Times New Roman" w:hAnsi="Times New Roman" w:cs="Times New Roman"/>
          <w:sz w:val="26"/>
          <w:szCs w:val="26"/>
        </w:rPr>
        <w:t xml:space="preserve"> CAP households with the lowest incomes.  </w:t>
      </w:r>
      <w:r w:rsidR="00482813" w:rsidRPr="00EE5714">
        <w:rPr>
          <w:rFonts w:ascii="Times New Roman" w:hAnsi="Times New Roman" w:cs="Times New Roman"/>
          <w:sz w:val="26"/>
          <w:szCs w:val="26"/>
        </w:rPr>
        <w:t>Based on the industry average, t</w:t>
      </w:r>
      <w:r w:rsidR="00B93BCA" w:rsidRPr="00EE5714">
        <w:rPr>
          <w:rFonts w:ascii="Times New Roman" w:hAnsi="Times New Roman" w:cs="Times New Roman"/>
          <w:sz w:val="26"/>
          <w:szCs w:val="26"/>
        </w:rPr>
        <w:t>he</w:t>
      </w:r>
      <w:r w:rsidR="00482813" w:rsidRPr="00EE5714">
        <w:rPr>
          <w:rFonts w:ascii="Times New Roman" w:hAnsi="Times New Roman" w:cs="Times New Roman"/>
          <w:sz w:val="26"/>
          <w:szCs w:val="26"/>
        </w:rPr>
        <w:t xml:space="preserve"> </w:t>
      </w:r>
      <w:r w:rsidR="00B93BCA" w:rsidRPr="00EE5714">
        <w:rPr>
          <w:rFonts w:ascii="Times New Roman" w:hAnsi="Times New Roman" w:cs="Times New Roman"/>
          <w:sz w:val="26"/>
          <w:szCs w:val="26"/>
        </w:rPr>
        <w:t>energy burden</w:t>
      </w:r>
      <w:r w:rsidR="005B5EA4" w:rsidRPr="00EE5714">
        <w:rPr>
          <w:rFonts w:ascii="Times New Roman" w:hAnsi="Times New Roman" w:cs="Times New Roman"/>
          <w:sz w:val="26"/>
          <w:szCs w:val="26"/>
        </w:rPr>
        <w:t>s</w:t>
      </w:r>
      <w:r w:rsidR="00B93BCA" w:rsidRPr="00EE5714">
        <w:rPr>
          <w:rFonts w:ascii="Times New Roman" w:hAnsi="Times New Roman" w:cs="Times New Roman"/>
          <w:sz w:val="26"/>
          <w:szCs w:val="26"/>
        </w:rPr>
        <w:t xml:space="preserve"> for </w:t>
      </w:r>
      <w:r w:rsidRPr="00EE5714">
        <w:rPr>
          <w:rFonts w:ascii="Times New Roman" w:hAnsi="Times New Roman" w:cs="Times New Roman"/>
          <w:sz w:val="26"/>
          <w:szCs w:val="26"/>
        </w:rPr>
        <w:t xml:space="preserve">NGDC CAP customers with incomes at or below 50% of the FPIG </w:t>
      </w:r>
      <w:r w:rsidR="002F4E6C" w:rsidRPr="00EE5714">
        <w:rPr>
          <w:rFonts w:ascii="Times New Roman" w:hAnsi="Times New Roman" w:cs="Times New Roman"/>
          <w:sz w:val="26"/>
          <w:szCs w:val="26"/>
        </w:rPr>
        <w:t>decrease</w:t>
      </w:r>
      <w:r w:rsidR="008A25B8" w:rsidRPr="00EE5714">
        <w:rPr>
          <w:rFonts w:ascii="Times New Roman" w:hAnsi="Times New Roman" w:cs="Times New Roman"/>
          <w:sz w:val="26"/>
          <w:szCs w:val="26"/>
        </w:rPr>
        <w:t>d</w:t>
      </w:r>
      <w:r w:rsidR="002F4E6C" w:rsidRPr="00EE5714">
        <w:rPr>
          <w:rFonts w:ascii="Times New Roman" w:hAnsi="Times New Roman" w:cs="Times New Roman"/>
          <w:sz w:val="26"/>
          <w:szCs w:val="26"/>
        </w:rPr>
        <w:t xml:space="preserve"> </w:t>
      </w:r>
      <w:r w:rsidR="00315F12" w:rsidRPr="00EE5714">
        <w:rPr>
          <w:rFonts w:ascii="Times New Roman" w:hAnsi="Times New Roman" w:cs="Times New Roman"/>
          <w:sz w:val="26"/>
          <w:szCs w:val="26"/>
        </w:rPr>
        <w:t xml:space="preserve">by </w:t>
      </w:r>
      <w:r w:rsidR="00DB5E77" w:rsidRPr="00EE5714">
        <w:rPr>
          <w:rFonts w:ascii="Times New Roman" w:hAnsi="Times New Roman" w:cs="Times New Roman"/>
          <w:sz w:val="26"/>
          <w:szCs w:val="26"/>
        </w:rPr>
        <w:t>over 5</w:t>
      </w:r>
      <w:r w:rsidR="003D0ECF" w:rsidRPr="00EE5714">
        <w:rPr>
          <w:rFonts w:ascii="Times New Roman" w:hAnsi="Times New Roman" w:cs="Times New Roman"/>
          <w:sz w:val="26"/>
          <w:szCs w:val="26"/>
        </w:rPr>
        <w:t>.47</w:t>
      </w:r>
      <w:r w:rsidR="00315F12" w:rsidRPr="00EE5714">
        <w:rPr>
          <w:rFonts w:ascii="Times New Roman" w:hAnsi="Times New Roman" w:cs="Times New Roman"/>
          <w:sz w:val="26"/>
          <w:szCs w:val="26"/>
        </w:rPr>
        <w:t xml:space="preserve"> </w:t>
      </w:r>
      <w:r w:rsidR="002F4E6C" w:rsidRPr="00EE5714">
        <w:rPr>
          <w:rFonts w:ascii="Times New Roman" w:hAnsi="Times New Roman" w:cs="Times New Roman"/>
          <w:sz w:val="26"/>
          <w:szCs w:val="26"/>
        </w:rPr>
        <w:t>percentage points</w:t>
      </w:r>
      <w:r w:rsidRPr="00EE5714">
        <w:rPr>
          <w:rFonts w:ascii="Times New Roman" w:hAnsi="Times New Roman" w:cs="Times New Roman"/>
          <w:sz w:val="26"/>
          <w:szCs w:val="26"/>
        </w:rPr>
        <w:t xml:space="preserve"> after receipt of LIHEAP</w:t>
      </w:r>
      <w:r w:rsidR="00972D3D" w:rsidRPr="00EE5714">
        <w:rPr>
          <w:rFonts w:ascii="Times New Roman" w:hAnsi="Times New Roman" w:cs="Times New Roman"/>
          <w:sz w:val="26"/>
          <w:szCs w:val="26"/>
        </w:rPr>
        <w:t>,</w:t>
      </w:r>
      <w:r w:rsidR="00AA1D6B" w:rsidRPr="00EE5714">
        <w:rPr>
          <w:rFonts w:ascii="Times New Roman" w:hAnsi="Times New Roman" w:cs="Times New Roman"/>
          <w:sz w:val="26"/>
          <w:szCs w:val="26"/>
        </w:rPr>
        <w:t xml:space="preserve"> </w:t>
      </w:r>
      <w:r w:rsidR="00825FDF" w:rsidRPr="00EE5714">
        <w:rPr>
          <w:rFonts w:ascii="Times New Roman" w:hAnsi="Times New Roman" w:cs="Times New Roman"/>
          <w:sz w:val="26"/>
          <w:szCs w:val="26"/>
        </w:rPr>
        <w:t xml:space="preserve">from </w:t>
      </w:r>
      <w:r w:rsidR="00B26C36" w:rsidRPr="00EE5714">
        <w:rPr>
          <w:rFonts w:ascii="Times New Roman" w:hAnsi="Times New Roman" w:cs="Times New Roman"/>
          <w:sz w:val="26"/>
          <w:szCs w:val="26"/>
        </w:rPr>
        <w:t>1</w:t>
      </w:r>
      <w:r w:rsidR="003D0ECF" w:rsidRPr="00EE5714">
        <w:rPr>
          <w:rFonts w:ascii="Times New Roman" w:hAnsi="Times New Roman" w:cs="Times New Roman"/>
          <w:sz w:val="26"/>
          <w:szCs w:val="26"/>
        </w:rPr>
        <w:t>7</w:t>
      </w:r>
      <w:r w:rsidR="00B26C36" w:rsidRPr="00EE5714">
        <w:rPr>
          <w:rFonts w:ascii="Times New Roman" w:hAnsi="Times New Roman" w:cs="Times New Roman"/>
          <w:sz w:val="26"/>
          <w:szCs w:val="26"/>
        </w:rPr>
        <w:t>.</w:t>
      </w:r>
      <w:r w:rsidR="00315F12" w:rsidRPr="00EE5714">
        <w:rPr>
          <w:rFonts w:ascii="Times New Roman" w:hAnsi="Times New Roman" w:cs="Times New Roman"/>
          <w:sz w:val="26"/>
          <w:szCs w:val="26"/>
        </w:rPr>
        <w:t>74</w:t>
      </w:r>
      <w:r w:rsidR="00962B1E" w:rsidRPr="00EE5714">
        <w:rPr>
          <w:rFonts w:ascii="Times New Roman" w:hAnsi="Times New Roman" w:cs="Times New Roman"/>
          <w:sz w:val="26"/>
          <w:szCs w:val="26"/>
        </w:rPr>
        <w:t>%</w:t>
      </w:r>
      <w:r w:rsidR="00B26C36" w:rsidRPr="00EE5714">
        <w:rPr>
          <w:rFonts w:ascii="Times New Roman" w:hAnsi="Times New Roman" w:cs="Times New Roman"/>
          <w:sz w:val="26"/>
          <w:szCs w:val="26"/>
        </w:rPr>
        <w:t xml:space="preserve"> to </w:t>
      </w:r>
      <w:r w:rsidR="00315F12" w:rsidRPr="00EE5714">
        <w:rPr>
          <w:rFonts w:ascii="Times New Roman" w:hAnsi="Times New Roman" w:cs="Times New Roman"/>
          <w:sz w:val="26"/>
          <w:szCs w:val="26"/>
        </w:rPr>
        <w:t>1</w:t>
      </w:r>
      <w:r w:rsidR="003D0ECF" w:rsidRPr="00EE5714">
        <w:rPr>
          <w:rFonts w:ascii="Times New Roman" w:hAnsi="Times New Roman" w:cs="Times New Roman"/>
          <w:sz w:val="26"/>
          <w:szCs w:val="26"/>
        </w:rPr>
        <w:t>2</w:t>
      </w:r>
      <w:r w:rsidR="00B26C36" w:rsidRPr="00EE5714">
        <w:rPr>
          <w:rFonts w:ascii="Times New Roman" w:hAnsi="Times New Roman" w:cs="Times New Roman"/>
          <w:sz w:val="26"/>
          <w:szCs w:val="26"/>
        </w:rPr>
        <w:t>.2</w:t>
      </w:r>
      <w:r w:rsidR="003E3B6B" w:rsidRPr="00EE5714">
        <w:rPr>
          <w:rFonts w:ascii="Times New Roman" w:hAnsi="Times New Roman" w:cs="Times New Roman"/>
          <w:sz w:val="26"/>
          <w:szCs w:val="26"/>
        </w:rPr>
        <w:t>7</w:t>
      </w:r>
      <w:r w:rsidR="00962B1E" w:rsidRPr="00EE5714">
        <w:rPr>
          <w:rFonts w:ascii="Times New Roman" w:hAnsi="Times New Roman" w:cs="Times New Roman"/>
          <w:sz w:val="26"/>
          <w:szCs w:val="26"/>
        </w:rPr>
        <w:t>%</w:t>
      </w:r>
      <w:r w:rsidRPr="00EE5714">
        <w:rPr>
          <w:rFonts w:ascii="Times New Roman" w:hAnsi="Times New Roman" w:cs="Times New Roman"/>
          <w:sz w:val="26"/>
          <w:szCs w:val="26"/>
        </w:rPr>
        <w:t xml:space="preserve">.  </w:t>
      </w:r>
      <w:r w:rsidR="00DB0AD5" w:rsidRPr="00EE5714">
        <w:rPr>
          <w:rFonts w:ascii="Times New Roman" w:hAnsi="Times New Roman" w:cs="Times New Roman"/>
          <w:sz w:val="26"/>
          <w:szCs w:val="26"/>
        </w:rPr>
        <w:t xml:space="preserve">For the customers of some </w:t>
      </w:r>
      <w:r w:rsidR="003E3B6B" w:rsidRPr="00EE5714">
        <w:rPr>
          <w:rFonts w:ascii="Times New Roman" w:hAnsi="Times New Roman" w:cs="Times New Roman"/>
          <w:sz w:val="26"/>
          <w:szCs w:val="26"/>
        </w:rPr>
        <w:t xml:space="preserve">individual </w:t>
      </w:r>
      <w:r w:rsidR="00DB0AD5" w:rsidRPr="00EE5714">
        <w:rPr>
          <w:rFonts w:ascii="Times New Roman" w:hAnsi="Times New Roman" w:cs="Times New Roman"/>
          <w:sz w:val="26"/>
          <w:szCs w:val="26"/>
        </w:rPr>
        <w:t xml:space="preserve">NGDCs, </w:t>
      </w:r>
      <w:r w:rsidR="00482813" w:rsidRPr="00EE5714">
        <w:rPr>
          <w:rFonts w:ascii="Times New Roman" w:hAnsi="Times New Roman" w:cs="Times New Roman"/>
          <w:sz w:val="26"/>
          <w:szCs w:val="26"/>
        </w:rPr>
        <w:t>LIHEAP grants provide</w:t>
      </w:r>
      <w:r w:rsidR="00ED0423" w:rsidRPr="00EE5714">
        <w:rPr>
          <w:rFonts w:ascii="Times New Roman" w:hAnsi="Times New Roman" w:cs="Times New Roman"/>
          <w:sz w:val="26"/>
          <w:szCs w:val="26"/>
        </w:rPr>
        <w:t>d</w:t>
      </w:r>
      <w:r w:rsidR="00482813" w:rsidRPr="00EE5714">
        <w:rPr>
          <w:rFonts w:ascii="Times New Roman" w:hAnsi="Times New Roman" w:cs="Times New Roman"/>
          <w:sz w:val="26"/>
          <w:szCs w:val="26"/>
        </w:rPr>
        <w:t xml:space="preserve"> a</w:t>
      </w:r>
      <w:r w:rsidR="00AA1D6B" w:rsidRPr="00EE5714">
        <w:rPr>
          <w:rFonts w:ascii="Times New Roman" w:hAnsi="Times New Roman" w:cs="Times New Roman"/>
          <w:sz w:val="26"/>
          <w:szCs w:val="26"/>
        </w:rPr>
        <w:t xml:space="preserve"> </w:t>
      </w:r>
      <w:r w:rsidR="00DB0AD5" w:rsidRPr="00EE5714">
        <w:rPr>
          <w:rFonts w:ascii="Times New Roman" w:hAnsi="Times New Roman" w:cs="Times New Roman"/>
          <w:sz w:val="26"/>
          <w:szCs w:val="26"/>
        </w:rPr>
        <w:t>nearly 50% reduction in their energy burdens.</w:t>
      </w:r>
      <w:r w:rsidR="00C47A13" w:rsidRPr="00EE5714">
        <w:rPr>
          <w:rFonts w:ascii="Times New Roman" w:hAnsi="Times New Roman" w:cs="Times New Roman"/>
          <w:sz w:val="26"/>
          <w:szCs w:val="26"/>
        </w:rPr>
        <w:t xml:space="preserve">  Table </w:t>
      </w:r>
      <w:r w:rsidR="007C20A9" w:rsidRPr="00EE5714">
        <w:rPr>
          <w:rFonts w:ascii="Times New Roman" w:hAnsi="Times New Roman" w:cs="Times New Roman"/>
          <w:sz w:val="26"/>
          <w:szCs w:val="26"/>
        </w:rPr>
        <w:t>4-1</w:t>
      </w:r>
      <w:r w:rsidR="00C47A13" w:rsidRPr="00EE5714">
        <w:rPr>
          <w:rFonts w:ascii="Times New Roman" w:hAnsi="Times New Roman" w:cs="Times New Roman"/>
          <w:sz w:val="26"/>
          <w:szCs w:val="26"/>
        </w:rPr>
        <w:t xml:space="preserve"> shows the pre</w:t>
      </w:r>
      <w:r w:rsidR="00C037BE" w:rsidRPr="00EE5714">
        <w:rPr>
          <w:rFonts w:ascii="Times New Roman" w:hAnsi="Times New Roman" w:cs="Times New Roman"/>
          <w:sz w:val="26"/>
          <w:szCs w:val="26"/>
        </w:rPr>
        <w:t>-</w:t>
      </w:r>
      <w:r w:rsidR="00C47A13" w:rsidRPr="00EE5714">
        <w:rPr>
          <w:rFonts w:ascii="Times New Roman" w:hAnsi="Times New Roman" w:cs="Times New Roman"/>
          <w:sz w:val="26"/>
          <w:szCs w:val="26"/>
        </w:rPr>
        <w:t xml:space="preserve"> and post</w:t>
      </w:r>
      <w:r w:rsidR="00C037BE" w:rsidRPr="00EE5714">
        <w:rPr>
          <w:rFonts w:ascii="Times New Roman" w:hAnsi="Times New Roman" w:cs="Times New Roman"/>
          <w:sz w:val="26"/>
          <w:szCs w:val="26"/>
        </w:rPr>
        <w:t xml:space="preserve">-LIHEAP </w:t>
      </w:r>
      <w:r w:rsidR="00C47A13" w:rsidRPr="00EE5714">
        <w:rPr>
          <w:rFonts w:ascii="Times New Roman" w:hAnsi="Times New Roman" w:cs="Times New Roman"/>
          <w:sz w:val="26"/>
          <w:szCs w:val="26"/>
        </w:rPr>
        <w:t>energy burden</w:t>
      </w:r>
      <w:r w:rsidR="005B5EA4" w:rsidRPr="00EE5714">
        <w:rPr>
          <w:rFonts w:ascii="Times New Roman" w:hAnsi="Times New Roman" w:cs="Times New Roman"/>
          <w:sz w:val="26"/>
          <w:szCs w:val="26"/>
        </w:rPr>
        <w:t>s</w:t>
      </w:r>
      <w:r w:rsidR="00C47A13" w:rsidRPr="00EE5714">
        <w:rPr>
          <w:rFonts w:ascii="Times New Roman" w:hAnsi="Times New Roman" w:cs="Times New Roman"/>
          <w:sz w:val="26"/>
          <w:szCs w:val="26"/>
        </w:rPr>
        <w:t xml:space="preserve"> for NGDC CAP customers with incomes at 0-50% who received LIHEAP.</w:t>
      </w:r>
    </w:p>
    <w:p w14:paraId="59C2C002" w14:textId="77777777" w:rsidR="00DB0AD5" w:rsidRPr="00EE5714" w:rsidRDefault="00DB0AD5" w:rsidP="00BB0DF2">
      <w:pPr>
        <w:spacing w:after="0" w:line="240" w:lineRule="auto"/>
        <w:contextualSpacing/>
        <w:rPr>
          <w:rFonts w:ascii="Times New Roman" w:hAnsi="Times New Roman" w:cs="Times New Roman"/>
          <w:sz w:val="26"/>
          <w:szCs w:val="26"/>
        </w:rPr>
      </w:pPr>
    </w:p>
    <w:p w14:paraId="1F4D043D" w14:textId="77777777" w:rsidR="009F490E" w:rsidRPr="00EE5714" w:rsidRDefault="009F490E" w:rsidP="009F490E">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4-2</w:t>
      </w:r>
    </w:p>
    <w:p w14:paraId="68A86722" w14:textId="77777777" w:rsidR="009F490E" w:rsidRPr="00EE5714" w:rsidRDefault="009F490E" w:rsidP="009F490E">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EDC Non-Heating CAP LIHEAP Recipients at 0-50% FPIG</w:t>
      </w:r>
    </w:p>
    <w:p w14:paraId="1F896E6D" w14:textId="77777777" w:rsidR="009F490E" w:rsidRPr="00EE5714" w:rsidRDefault="009F490E" w:rsidP="009F490E">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Without &amp; With LIHEAP Grants Applied to Average Bills 2013-2016</w:t>
      </w:r>
    </w:p>
    <w:p w14:paraId="412DE39B" w14:textId="797DAC26" w:rsidR="573F2649" w:rsidRPr="00EE5714" w:rsidRDefault="573F2649" w:rsidP="006C23CF">
      <w:pPr>
        <w:spacing w:after="0" w:line="240" w:lineRule="auto"/>
        <w:jc w:val="center"/>
      </w:pPr>
      <w:r w:rsidRPr="00EE5714">
        <w:rPr>
          <w:noProof/>
        </w:rPr>
        <w:drawing>
          <wp:inline distT="0" distB="0" distL="0" distR="0" wp14:anchorId="730DA206" wp14:editId="71772FE2">
            <wp:extent cx="6076952" cy="3124200"/>
            <wp:effectExtent l="0" t="0" r="0" b="0"/>
            <wp:docPr id="151471007" name="Picture 15147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076952" cy="3124200"/>
                    </a:xfrm>
                    <a:prstGeom prst="rect">
                      <a:avLst/>
                    </a:prstGeom>
                  </pic:spPr>
                </pic:pic>
              </a:graphicData>
            </a:graphic>
          </wp:inline>
        </w:drawing>
      </w:r>
    </w:p>
    <w:p w14:paraId="124E0834" w14:textId="77777777" w:rsidR="009F490E" w:rsidRPr="00EE5714" w:rsidRDefault="00AA1D6B" w:rsidP="00196A23">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p>
    <w:p w14:paraId="569D6444" w14:textId="77777777" w:rsidR="00965ECE" w:rsidRPr="00EE5714" w:rsidRDefault="00AA1D6B" w:rsidP="0003709B">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EDC non-heating CAP customers at </w:t>
      </w:r>
      <w:r w:rsidR="003E795F" w:rsidRPr="00EE5714">
        <w:rPr>
          <w:rFonts w:ascii="Times New Roman" w:hAnsi="Times New Roman" w:cs="Times New Roman"/>
          <w:sz w:val="26"/>
          <w:szCs w:val="26"/>
        </w:rPr>
        <w:t xml:space="preserve">0% to 50% FPIG </w:t>
      </w:r>
      <w:r w:rsidRPr="00EE5714">
        <w:rPr>
          <w:rFonts w:ascii="Times New Roman" w:hAnsi="Times New Roman" w:cs="Times New Roman"/>
          <w:sz w:val="26"/>
          <w:szCs w:val="26"/>
        </w:rPr>
        <w:t xml:space="preserve">experienced an </w:t>
      </w:r>
      <w:r w:rsidR="000D6388" w:rsidRPr="00EE5714">
        <w:rPr>
          <w:rFonts w:ascii="Times New Roman" w:hAnsi="Times New Roman" w:cs="Times New Roman"/>
          <w:sz w:val="26"/>
          <w:szCs w:val="26"/>
        </w:rPr>
        <w:t xml:space="preserve">industry average </w:t>
      </w:r>
      <w:r w:rsidRPr="00EE5714">
        <w:rPr>
          <w:rFonts w:ascii="Times New Roman" w:hAnsi="Times New Roman" w:cs="Times New Roman"/>
          <w:sz w:val="26"/>
          <w:szCs w:val="26"/>
        </w:rPr>
        <w:t xml:space="preserve">energy burden decrease of </w:t>
      </w:r>
      <w:r w:rsidR="00C9437B" w:rsidRPr="00EE5714">
        <w:rPr>
          <w:rFonts w:ascii="Times New Roman" w:hAnsi="Times New Roman" w:cs="Times New Roman"/>
          <w:sz w:val="26"/>
          <w:szCs w:val="26"/>
        </w:rPr>
        <w:t>over 7.16</w:t>
      </w:r>
      <w:r w:rsidR="007273DB" w:rsidRPr="00EE5714">
        <w:rPr>
          <w:rFonts w:ascii="Times New Roman" w:hAnsi="Times New Roman" w:cs="Times New Roman"/>
          <w:sz w:val="26"/>
          <w:szCs w:val="26"/>
        </w:rPr>
        <w:t xml:space="preserve"> percentage points</w:t>
      </w:r>
      <w:r w:rsidRPr="00EE5714">
        <w:rPr>
          <w:rFonts w:ascii="Times New Roman" w:hAnsi="Times New Roman" w:cs="Times New Roman"/>
          <w:sz w:val="26"/>
          <w:szCs w:val="26"/>
        </w:rPr>
        <w:t xml:space="preserve"> after LIHEAP grants </w:t>
      </w:r>
      <w:r w:rsidR="00033611" w:rsidRPr="00EE5714">
        <w:rPr>
          <w:rFonts w:ascii="Times New Roman" w:hAnsi="Times New Roman" w:cs="Times New Roman"/>
          <w:sz w:val="26"/>
          <w:szCs w:val="26"/>
        </w:rPr>
        <w:t>we</w:t>
      </w:r>
      <w:r w:rsidRPr="00EE5714">
        <w:rPr>
          <w:rFonts w:ascii="Times New Roman" w:hAnsi="Times New Roman" w:cs="Times New Roman"/>
          <w:sz w:val="26"/>
          <w:szCs w:val="26"/>
        </w:rPr>
        <w:t>re applied to the average annual bill</w:t>
      </w:r>
      <w:r w:rsidR="00C9437B" w:rsidRPr="00EE5714">
        <w:rPr>
          <w:rFonts w:ascii="Times New Roman" w:hAnsi="Times New Roman" w:cs="Times New Roman"/>
          <w:sz w:val="26"/>
          <w:szCs w:val="26"/>
        </w:rPr>
        <w:t>, from 18.47</w:t>
      </w:r>
      <w:r w:rsidR="009C47FC" w:rsidRPr="00EE5714">
        <w:rPr>
          <w:rFonts w:ascii="Times New Roman" w:hAnsi="Times New Roman" w:cs="Times New Roman"/>
          <w:sz w:val="26"/>
          <w:szCs w:val="26"/>
        </w:rPr>
        <w:t>%</w:t>
      </w:r>
      <w:r w:rsidR="00C9437B" w:rsidRPr="00EE5714">
        <w:rPr>
          <w:rFonts w:ascii="Times New Roman" w:hAnsi="Times New Roman" w:cs="Times New Roman"/>
          <w:sz w:val="26"/>
          <w:szCs w:val="26"/>
        </w:rPr>
        <w:t xml:space="preserve"> to 11.31</w:t>
      </w:r>
      <w:r w:rsidR="009C47FC" w:rsidRPr="00EE5714">
        <w:rPr>
          <w:rFonts w:ascii="Times New Roman" w:hAnsi="Times New Roman" w:cs="Times New Roman"/>
          <w:sz w:val="26"/>
          <w:szCs w:val="26"/>
        </w:rPr>
        <w:t>%</w:t>
      </w:r>
      <w:r w:rsidRPr="00EE5714">
        <w:rPr>
          <w:rFonts w:ascii="Times New Roman" w:hAnsi="Times New Roman" w:cs="Times New Roman"/>
          <w:sz w:val="26"/>
          <w:szCs w:val="26"/>
        </w:rPr>
        <w:t xml:space="preserve">.  Table </w:t>
      </w:r>
      <w:r w:rsidR="007C20A9" w:rsidRPr="00EE5714">
        <w:rPr>
          <w:rFonts w:ascii="Times New Roman" w:hAnsi="Times New Roman" w:cs="Times New Roman"/>
          <w:sz w:val="26"/>
          <w:szCs w:val="26"/>
        </w:rPr>
        <w:t>4-2</w:t>
      </w:r>
      <w:r w:rsidRPr="00EE5714">
        <w:rPr>
          <w:rFonts w:ascii="Times New Roman" w:hAnsi="Times New Roman" w:cs="Times New Roman"/>
          <w:sz w:val="26"/>
          <w:szCs w:val="26"/>
        </w:rPr>
        <w:t xml:space="preserve"> show</w:t>
      </w:r>
      <w:r w:rsidR="00C037BE" w:rsidRPr="00EE5714">
        <w:rPr>
          <w:rFonts w:ascii="Times New Roman" w:hAnsi="Times New Roman" w:cs="Times New Roman"/>
          <w:sz w:val="26"/>
          <w:szCs w:val="26"/>
        </w:rPr>
        <w:t>s</w:t>
      </w:r>
      <w:r w:rsidRPr="00EE5714">
        <w:rPr>
          <w:rFonts w:ascii="Times New Roman" w:hAnsi="Times New Roman" w:cs="Times New Roman"/>
          <w:sz w:val="26"/>
          <w:szCs w:val="26"/>
        </w:rPr>
        <w:t xml:space="preserve"> the pre</w:t>
      </w:r>
      <w:r w:rsidR="004C2F1C" w:rsidRPr="00EE5714">
        <w:rPr>
          <w:rFonts w:ascii="Times New Roman" w:hAnsi="Times New Roman" w:cs="Times New Roman"/>
          <w:sz w:val="26"/>
          <w:szCs w:val="26"/>
        </w:rPr>
        <w:t>-</w:t>
      </w:r>
      <w:r w:rsidRPr="00EE5714">
        <w:rPr>
          <w:rFonts w:ascii="Times New Roman" w:hAnsi="Times New Roman" w:cs="Times New Roman"/>
          <w:sz w:val="26"/>
          <w:szCs w:val="26"/>
        </w:rPr>
        <w:t xml:space="preserve"> and post</w:t>
      </w:r>
      <w:r w:rsidR="004C2F1C" w:rsidRPr="00EE5714">
        <w:rPr>
          <w:rFonts w:ascii="Times New Roman" w:hAnsi="Times New Roman" w:cs="Times New Roman"/>
          <w:sz w:val="26"/>
          <w:szCs w:val="26"/>
        </w:rPr>
        <w:t>-LIHEAP</w:t>
      </w:r>
      <w:r w:rsidRPr="00EE5714">
        <w:rPr>
          <w:rFonts w:ascii="Times New Roman" w:hAnsi="Times New Roman" w:cs="Times New Roman"/>
          <w:sz w:val="26"/>
          <w:szCs w:val="26"/>
        </w:rPr>
        <w:t xml:space="preserve"> energy burden</w:t>
      </w:r>
      <w:r w:rsidR="0096220C" w:rsidRPr="00EE5714">
        <w:rPr>
          <w:rFonts w:ascii="Times New Roman" w:hAnsi="Times New Roman" w:cs="Times New Roman"/>
          <w:sz w:val="26"/>
          <w:szCs w:val="26"/>
        </w:rPr>
        <w:t>s</w:t>
      </w:r>
      <w:r w:rsidRPr="00EE5714">
        <w:rPr>
          <w:rFonts w:ascii="Times New Roman" w:hAnsi="Times New Roman" w:cs="Times New Roman"/>
          <w:sz w:val="26"/>
          <w:szCs w:val="26"/>
        </w:rPr>
        <w:t xml:space="preserve"> for </w:t>
      </w:r>
      <w:r w:rsidR="004C2F1C" w:rsidRPr="00EE5714">
        <w:rPr>
          <w:rFonts w:ascii="Times New Roman" w:hAnsi="Times New Roman" w:cs="Times New Roman"/>
          <w:sz w:val="26"/>
          <w:szCs w:val="26"/>
        </w:rPr>
        <w:t xml:space="preserve">EDC </w:t>
      </w:r>
      <w:r w:rsidR="007B4898" w:rsidRPr="00EE5714">
        <w:rPr>
          <w:rFonts w:ascii="Times New Roman" w:hAnsi="Times New Roman" w:cs="Times New Roman"/>
          <w:sz w:val="26"/>
          <w:szCs w:val="26"/>
        </w:rPr>
        <w:t xml:space="preserve">non-heating </w:t>
      </w:r>
      <w:r w:rsidRPr="00EE5714">
        <w:rPr>
          <w:rFonts w:ascii="Times New Roman" w:hAnsi="Times New Roman" w:cs="Times New Roman"/>
          <w:sz w:val="26"/>
          <w:szCs w:val="26"/>
        </w:rPr>
        <w:t>CAP customers with incomes at 0</w:t>
      </w:r>
      <w:r w:rsidR="00C8586A" w:rsidRPr="00EE5714">
        <w:rPr>
          <w:rFonts w:ascii="Times New Roman" w:hAnsi="Times New Roman" w:cs="Times New Roman"/>
          <w:sz w:val="26"/>
          <w:szCs w:val="26"/>
        </w:rPr>
        <w:t xml:space="preserve"> to </w:t>
      </w:r>
      <w:r w:rsidRPr="00EE5714">
        <w:rPr>
          <w:rFonts w:ascii="Times New Roman" w:hAnsi="Times New Roman" w:cs="Times New Roman"/>
          <w:sz w:val="26"/>
          <w:szCs w:val="26"/>
        </w:rPr>
        <w:t>50% who received LIHEAP.</w:t>
      </w:r>
      <w:r w:rsidR="00965ECE" w:rsidRPr="00EE5714">
        <w:rPr>
          <w:rFonts w:ascii="Times New Roman" w:hAnsi="Times New Roman" w:cs="Times New Roman"/>
          <w:sz w:val="26"/>
          <w:szCs w:val="26"/>
        </w:rPr>
        <w:t xml:space="preserve">  </w:t>
      </w:r>
      <w:r w:rsidR="000B5A18" w:rsidRPr="00EE5714">
        <w:rPr>
          <w:rFonts w:ascii="Times New Roman" w:hAnsi="Times New Roman" w:cs="Times New Roman"/>
          <w:sz w:val="26"/>
          <w:szCs w:val="26"/>
        </w:rPr>
        <w:t>EDC CAP customers with electric heat at this FPIG level saw the biggest benefits from LIHEAP.  Their industry average energy burden</w:t>
      </w:r>
      <w:r w:rsidR="0096220C" w:rsidRPr="00EE5714">
        <w:rPr>
          <w:rFonts w:ascii="Times New Roman" w:hAnsi="Times New Roman" w:cs="Times New Roman"/>
          <w:sz w:val="26"/>
          <w:szCs w:val="26"/>
        </w:rPr>
        <w:t>s</w:t>
      </w:r>
      <w:r w:rsidR="000B5A18" w:rsidRPr="00EE5714">
        <w:rPr>
          <w:rFonts w:ascii="Times New Roman" w:hAnsi="Times New Roman" w:cs="Times New Roman"/>
          <w:sz w:val="26"/>
          <w:szCs w:val="26"/>
        </w:rPr>
        <w:t xml:space="preserve"> decreased by over 7.68 percentage points after receipt of LIHEAP, from 27.07% to 19.39%.  </w:t>
      </w:r>
    </w:p>
    <w:p w14:paraId="6F1C7970" w14:textId="77777777" w:rsidR="00AA1D6B" w:rsidRPr="00EE5714" w:rsidRDefault="00AA1D6B" w:rsidP="00815101">
      <w:pPr>
        <w:spacing w:after="0" w:line="240" w:lineRule="auto"/>
        <w:contextualSpacing/>
        <w:rPr>
          <w:rFonts w:ascii="Times New Roman" w:hAnsi="Times New Roman" w:cs="Times New Roman"/>
          <w:sz w:val="26"/>
          <w:szCs w:val="26"/>
        </w:rPr>
      </w:pPr>
    </w:p>
    <w:p w14:paraId="326BBDBE" w14:textId="77777777" w:rsidR="009F490E" w:rsidRPr="00EE5714" w:rsidRDefault="009F490E" w:rsidP="009F490E">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4-3</w:t>
      </w:r>
    </w:p>
    <w:p w14:paraId="6A5AE5D5" w14:textId="77777777" w:rsidR="009F490E" w:rsidRPr="00EE5714" w:rsidRDefault="009F490E" w:rsidP="009F490E">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EDC Heating CAP LIHEAP Recipients at 0-50% FPIG</w:t>
      </w:r>
    </w:p>
    <w:p w14:paraId="569535BA" w14:textId="7D526864" w:rsidR="1869675E" w:rsidRPr="00EE5714" w:rsidRDefault="009F490E" w:rsidP="00F55364">
      <w:pPr>
        <w:keepNext/>
        <w:spacing w:after="0" w:line="240" w:lineRule="auto"/>
        <w:contextualSpacing/>
        <w:jc w:val="center"/>
      </w:pPr>
      <w:r w:rsidRPr="00EE5714">
        <w:rPr>
          <w:rFonts w:ascii="Times New Roman" w:hAnsi="Times New Roman" w:cs="Times New Roman"/>
          <w:b/>
          <w:bCs/>
          <w:sz w:val="26"/>
          <w:szCs w:val="26"/>
        </w:rPr>
        <w:t>Without &amp; With LIHEAP Grants Applied to Average Bills 2013-2016</w:t>
      </w:r>
    </w:p>
    <w:p w14:paraId="78E917D4" w14:textId="1C220DF5" w:rsidR="1869675E" w:rsidRPr="00EE5714" w:rsidRDefault="1869675E" w:rsidP="00BA4452">
      <w:pPr>
        <w:spacing w:after="0" w:line="240" w:lineRule="auto"/>
        <w:jc w:val="center"/>
      </w:pPr>
      <w:r w:rsidRPr="00EE5714">
        <w:rPr>
          <w:noProof/>
        </w:rPr>
        <w:drawing>
          <wp:inline distT="0" distB="0" distL="0" distR="0" wp14:anchorId="41B016D7" wp14:editId="5A6881D4">
            <wp:extent cx="5943600" cy="3134826"/>
            <wp:effectExtent l="0" t="0" r="0" b="0"/>
            <wp:docPr id="832590804" name="Picture 83259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134826"/>
                    </a:xfrm>
                    <a:prstGeom prst="rect">
                      <a:avLst/>
                    </a:prstGeom>
                  </pic:spPr>
                </pic:pic>
              </a:graphicData>
            </a:graphic>
          </wp:inline>
        </w:drawing>
      </w:r>
    </w:p>
    <w:p w14:paraId="726123DB" w14:textId="74BB622F" w:rsidR="1869675E" w:rsidRPr="00EE5714" w:rsidRDefault="1869675E" w:rsidP="00BA4452">
      <w:pPr>
        <w:spacing w:after="0" w:line="240" w:lineRule="auto"/>
        <w:jc w:val="center"/>
      </w:pPr>
    </w:p>
    <w:p w14:paraId="155A82A4" w14:textId="77777777" w:rsidR="000731A2" w:rsidRPr="00EE5714" w:rsidRDefault="006377FE" w:rsidP="00340A8A">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lastRenderedPageBreak/>
        <w:tab/>
      </w:r>
      <w:r w:rsidR="000731A2" w:rsidRPr="00EE5714">
        <w:rPr>
          <w:rFonts w:ascii="Times New Roman" w:hAnsi="Times New Roman" w:cs="Times New Roman"/>
          <w:sz w:val="26"/>
          <w:szCs w:val="26"/>
        </w:rPr>
        <w:t>Table 4-3 shows the pre- and post-LIHEAP energy burdens for EDC CAP heating customers with incomes at 0</w:t>
      </w:r>
      <w:r w:rsidR="00340A8A" w:rsidRPr="00EE5714">
        <w:rPr>
          <w:rFonts w:ascii="Times New Roman" w:hAnsi="Times New Roman" w:cs="Times New Roman"/>
          <w:sz w:val="26"/>
          <w:szCs w:val="26"/>
        </w:rPr>
        <w:t xml:space="preserve"> </w:t>
      </w:r>
      <w:r w:rsidR="000731A2" w:rsidRPr="00EE5714">
        <w:rPr>
          <w:rFonts w:ascii="Times New Roman" w:hAnsi="Times New Roman" w:cs="Times New Roman"/>
          <w:sz w:val="26"/>
          <w:szCs w:val="26"/>
        </w:rPr>
        <w:t>to 50% who received LIHEAP.</w:t>
      </w:r>
    </w:p>
    <w:p w14:paraId="4C52961C" w14:textId="77777777" w:rsidR="000731A2" w:rsidRPr="00EE5714" w:rsidRDefault="000731A2" w:rsidP="004E7379">
      <w:pPr>
        <w:spacing w:after="0" w:line="240" w:lineRule="auto"/>
        <w:contextualSpacing/>
        <w:rPr>
          <w:rFonts w:ascii="Times New Roman" w:hAnsi="Times New Roman" w:cs="Times New Roman"/>
          <w:bCs/>
          <w:sz w:val="26"/>
          <w:szCs w:val="26"/>
        </w:rPr>
      </w:pPr>
    </w:p>
    <w:p w14:paraId="1755836C" w14:textId="77777777" w:rsidR="004D3F17" w:rsidRPr="00EE5714" w:rsidRDefault="00455EA9" w:rsidP="004D3F17">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t xml:space="preserve">Average </w:t>
      </w:r>
      <w:r w:rsidR="004D3F17" w:rsidRPr="00EE5714">
        <w:rPr>
          <w:rFonts w:ascii="Times New Roman" w:hAnsi="Times New Roman" w:cs="Times New Roman"/>
          <w:i/>
          <w:iCs/>
          <w:sz w:val="26"/>
          <w:szCs w:val="26"/>
        </w:rPr>
        <w:t xml:space="preserve">Impact of LIHEAP for CAP Customers at </w:t>
      </w:r>
      <w:r w:rsidR="00B260A3" w:rsidRPr="00EE5714">
        <w:rPr>
          <w:rFonts w:ascii="Times New Roman" w:hAnsi="Times New Roman" w:cs="Times New Roman"/>
          <w:i/>
          <w:iCs/>
          <w:sz w:val="26"/>
          <w:szCs w:val="26"/>
        </w:rPr>
        <w:t>51</w:t>
      </w:r>
      <w:r w:rsidR="004D3F17" w:rsidRPr="00EE5714">
        <w:rPr>
          <w:rFonts w:ascii="Times New Roman" w:hAnsi="Times New Roman" w:cs="Times New Roman"/>
          <w:i/>
          <w:iCs/>
          <w:sz w:val="26"/>
          <w:szCs w:val="26"/>
        </w:rPr>
        <w:t>-</w:t>
      </w:r>
      <w:r w:rsidR="00B260A3" w:rsidRPr="00EE5714">
        <w:rPr>
          <w:rFonts w:ascii="Times New Roman" w:hAnsi="Times New Roman" w:cs="Times New Roman"/>
          <w:i/>
          <w:iCs/>
          <w:sz w:val="26"/>
          <w:szCs w:val="26"/>
        </w:rPr>
        <w:t>100</w:t>
      </w:r>
      <w:r w:rsidR="004D3F17" w:rsidRPr="00EE5714">
        <w:rPr>
          <w:rFonts w:ascii="Times New Roman" w:hAnsi="Times New Roman" w:cs="Times New Roman"/>
          <w:i/>
          <w:iCs/>
          <w:sz w:val="26"/>
          <w:szCs w:val="26"/>
        </w:rPr>
        <w:t>% of FPIG</w:t>
      </w:r>
    </w:p>
    <w:p w14:paraId="469F7224" w14:textId="77777777" w:rsidR="000A115F" w:rsidRPr="00EE5714" w:rsidRDefault="000A115F" w:rsidP="004D3F17">
      <w:pPr>
        <w:keepNext/>
        <w:spacing w:after="0" w:line="240" w:lineRule="auto"/>
        <w:contextualSpacing/>
        <w:rPr>
          <w:rFonts w:ascii="Times New Roman" w:hAnsi="Times New Roman" w:cs="Times New Roman"/>
          <w:sz w:val="26"/>
          <w:szCs w:val="26"/>
        </w:rPr>
      </w:pPr>
    </w:p>
    <w:p w14:paraId="1E74E56A" w14:textId="1038F97A" w:rsidR="22F3FFB5" w:rsidRPr="00EE5714" w:rsidRDefault="22F3FFB5">
      <w:r w:rsidRPr="00EE5714">
        <w:br w:type="page"/>
      </w:r>
    </w:p>
    <w:p w14:paraId="6DEAB9D9" w14:textId="77777777" w:rsidR="000A115F" w:rsidRPr="00EE5714" w:rsidRDefault="000A115F" w:rsidP="000A115F">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4-4</w:t>
      </w:r>
    </w:p>
    <w:p w14:paraId="60E8B3D0" w14:textId="77777777" w:rsidR="000A115F" w:rsidRPr="00EE5714" w:rsidRDefault="000A115F" w:rsidP="000A115F">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NGDC CAP LIHEAP Recipients at 51-100% FPIG </w:t>
      </w:r>
    </w:p>
    <w:p w14:paraId="06FA76B9" w14:textId="04024EC7" w:rsidR="0645768C" w:rsidRPr="00EE5714" w:rsidRDefault="000A115F" w:rsidP="00D66EAC">
      <w:pPr>
        <w:keepNext/>
        <w:spacing w:after="0" w:line="240" w:lineRule="auto"/>
        <w:contextualSpacing/>
        <w:jc w:val="center"/>
      </w:pPr>
      <w:r w:rsidRPr="00EE5714">
        <w:rPr>
          <w:rFonts w:ascii="Times New Roman" w:hAnsi="Times New Roman" w:cs="Times New Roman"/>
          <w:b/>
          <w:bCs/>
          <w:sz w:val="26"/>
          <w:szCs w:val="26"/>
        </w:rPr>
        <w:t>Without &amp; With LIHEAP Grants Applied to Average Bills 2012-2016</w:t>
      </w:r>
    </w:p>
    <w:p w14:paraId="463085CC" w14:textId="022F1861" w:rsidR="22F3FFB5" w:rsidRPr="00EE5714" w:rsidRDefault="22F3FFB5" w:rsidP="001C09E3">
      <w:pPr>
        <w:jc w:val="center"/>
      </w:pPr>
      <w:r w:rsidRPr="00EE5714">
        <w:rPr>
          <w:noProof/>
        </w:rPr>
        <w:drawing>
          <wp:inline distT="0" distB="0" distL="0" distR="0" wp14:anchorId="13D44313" wp14:editId="04E609D0">
            <wp:extent cx="5772150" cy="3676650"/>
            <wp:effectExtent l="0" t="0" r="0" b="0"/>
            <wp:docPr id="598536959" name="Picture 59853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72150" cy="3676650"/>
                    </a:xfrm>
                    <a:prstGeom prst="rect">
                      <a:avLst/>
                    </a:prstGeom>
                  </pic:spPr>
                </pic:pic>
              </a:graphicData>
            </a:graphic>
          </wp:inline>
        </w:drawing>
      </w:r>
    </w:p>
    <w:p w14:paraId="3BBCE4F2" w14:textId="77777777" w:rsidR="004D3F17" w:rsidRPr="00EE5714" w:rsidRDefault="004D3F17" w:rsidP="004D3F17">
      <w:pPr>
        <w:keepNext/>
        <w:spacing w:after="0" w:line="240" w:lineRule="auto"/>
        <w:contextualSpacing/>
        <w:rPr>
          <w:rFonts w:ascii="Times New Roman" w:hAnsi="Times New Roman" w:cs="Times New Roman"/>
          <w:sz w:val="26"/>
          <w:szCs w:val="26"/>
        </w:rPr>
      </w:pPr>
    </w:p>
    <w:p w14:paraId="58A7FB7E" w14:textId="77777777" w:rsidR="004D3F17" w:rsidRPr="00EE5714" w:rsidRDefault="004D3F17" w:rsidP="00906C2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7C20A9" w:rsidRPr="00EE5714">
        <w:rPr>
          <w:rFonts w:ascii="Times New Roman" w:hAnsi="Times New Roman" w:cs="Times New Roman"/>
          <w:sz w:val="26"/>
          <w:szCs w:val="26"/>
        </w:rPr>
        <w:t xml:space="preserve">As seen in Table 4-4, </w:t>
      </w:r>
      <w:r w:rsidR="00524E43" w:rsidRPr="00EE5714">
        <w:rPr>
          <w:rFonts w:ascii="Times New Roman" w:hAnsi="Times New Roman" w:cs="Times New Roman"/>
          <w:sz w:val="26"/>
          <w:szCs w:val="26"/>
        </w:rPr>
        <w:t>b</w:t>
      </w:r>
      <w:r w:rsidR="00113758" w:rsidRPr="00EE5714">
        <w:rPr>
          <w:rFonts w:ascii="Times New Roman" w:hAnsi="Times New Roman" w:cs="Times New Roman"/>
          <w:sz w:val="26"/>
          <w:szCs w:val="26"/>
        </w:rPr>
        <w:t xml:space="preserve">ased on the industry average, </w:t>
      </w:r>
      <w:r w:rsidR="006B2B17" w:rsidRPr="00EE5714">
        <w:rPr>
          <w:rFonts w:ascii="Times New Roman" w:hAnsi="Times New Roman" w:cs="Times New Roman"/>
          <w:sz w:val="26"/>
          <w:szCs w:val="26"/>
        </w:rPr>
        <w:t xml:space="preserve">LIHEAP reduced the energy burdens for </w:t>
      </w:r>
      <w:r w:rsidRPr="00EE5714">
        <w:rPr>
          <w:rFonts w:ascii="Times New Roman" w:hAnsi="Times New Roman" w:cs="Times New Roman"/>
          <w:sz w:val="26"/>
          <w:szCs w:val="26"/>
        </w:rPr>
        <w:t>NGDC CAP customers with incomes</w:t>
      </w:r>
      <w:r w:rsidR="00B260A3" w:rsidRPr="00EE5714">
        <w:rPr>
          <w:rFonts w:ascii="Times New Roman" w:hAnsi="Times New Roman" w:cs="Times New Roman"/>
          <w:sz w:val="26"/>
          <w:szCs w:val="26"/>
        </w:rPr>
        <w:t xml:space="preserve"> between 51</w:t>
      </w:r>
      <w:r w:rsidR="00B908E4" w:rsidRPr="00EE5714">
        <w:rPr>
          <w:rFonts w:ascii="Times New Roman" w:hAnsi="Times New Roman" w:cs="Times New Roman"/>
          <w:sz w:val="26"/>
          <w:szCs w:val="26"/>
        </w:rPr>
        <w:t xml:space="preserve"> and </w:t>
      </w:r>
      <w:r w:rsidR="009D3CA2" w:rsidRPr="00EE5714">
        <w:rPr>
          <w:rFonts w:ascii="Times New Roman" w:hAnsi="Times New Roman" w:cs="Times New Roman"/>
          <w:sz w:val="26"/>
          <w:szCs w:val="26"/>
        </w:rPr>
        <w:t>100</w:t>
      </w:r>
      <w:r w:rsidRPr="00EE5714">
        <w:rPr>
          <w:rFonts w:ascii="Times New Roman" w:hAnsi="Times New Roman" w:cs="Times New Roman"/>
          <w:sz w:val="26"/>
          <w:szCs w:val="26"/>
        </w:rPr>
        <w:t>%</w:t>
      </w:r>
      <w:r w:rsidR="00113758" w:rsidRPr="00EE5714">
        <w:rPr>
          <w:rFonts w:ascii="Times New Roman" w:hAnsi="Times New Roman" w:cs="Times New Roman"/>
          <w:sz w:val="26"/>
          <w:szCs w:val="26"/>
        </w:rPr>
        <w:t xml:space="preserve"> </w:t>
      </w:r>
      <w:r w:rsidR="002A3F49" w:rsidRPr="00EE5714">
        <w:rPr>
          <w:rFonts w:ascii="Times New Roman" w:hAnsi="Times New Roman" w:cs="Times New Roman"/>
          <w:sz w:val="26"/>
          <w:szCs w:val="26"/>
        </w:rPr>
        <w:t xml:space="preserve">of the </w:t>
      </w:r>
      <w:r w:rsidR="00113758" w:rsidRPr="00EE5714">
        <w:rPr>
          <w:rFonts w:ascii="Times New Roman" w:hAnsi="Times New Roman" w:cs="Times New Roman"/>
          <w:sz w:val="26"/>
          <w:szCs w:val="26"/>
        </w:rPr>
        <w:t xml:space="preserve">FPIG </w:t>
      </w:r>
      <w:r w:rsidR="004A62F9" w:rsidRPr="00EE5714">
        <w:rPr>
          <w:rFonts w:ascii="Times New Roman" w:hAnsi="Times New Roman" w:cs="Times New Roman"/>
          <w:sz w:val="26"/>
          <w:szCs w:val="26"/>
        </w:rPr>
        <w:t xml:space="preserve">by </w:t>
      </w:r>
      <w:r w:rsidR="00184EA2" w:rsidRPr="00EE5714">
        <w:rPr>
          <w:rFonts w:ascii="Times New Roman" w:hAnsi="Times New Roman" w:cs="Times New Roman"/>
          <w:sz w:val="26"/>
          <w:szCs w:val="26"/>
        </w:rPr>
        <w:t xml:space="preserve">over </w:t>
      </w:r>
      <w:r w:rsidR="009D3CA2" w:rsidRPr="00EE5714">
        <w:rPr>
          <w:rFonts w:ascii="Times New Roman" w:hAnsi="Times New Roman" w:cs="Times New Roman"/>
          <w:sz w:val="26"/>
          <w:szCs w:val="26"/>
        </w:rPr>
        <w:t>2</w:t>
      </w:r>
      <w:r w:rsidR="00184EA2" w:rsidRPr="00EE5714">
        <w:rPr>
          <w:rFonts w:ascii="Times New Roman" w:hAnsi="Times New Roman" w:cs="Times New Roman"/>
          <w:sz w:val="26"/>
          <w:szCs w:val="26"/>
        </w:rPr>
        <w:t>.69</w:t>
      </w:r>
      <w:r w:rsidRPr="00EE5714">
        <w:rPr>
          <w:rFonts w:ascii="Times New Roman" w:hAnsi="Times New Roman" w:cs="Times New Roman"/>
          <w:sz w:val="26"/>
          <w:szCs w:val="26"/>
        </w:rPr>
        <w:t xml:space="preserve"> </w:t>
      </w:r>
      <w:r w:rsidR="004A62F9" w:rsidRPr="00EE5714">
        <w:rPr>
          <w:rFonts w:ascii="Times New Roman" w:hAnsi="Times New Roman" w:cs="Times New Roman"/>
          <w:sz w:val="26"/>
          <w:szCs w:val="26"/>
        </w:rPr>
        <w:t>percentage points</w:t>
      </w:r>
      <w:r w:rsidR="00184EA2" w:rsidRPr="00EE5714">
        <w:rPr>
          <w:rFonts w:ascii="Times New Roman" w:hAnsi="Times New Roman" w:cs="Times New Roman"/>
          <w:sz w:val="26"/>
          <w:szCs w:val="26"/>
        </w:rPr>
        <w:t>, from 11.43</w:t>
      </w:r>
      <w:r w:rsidR="002A3F49" w:rsidRPr="00EE5714">
        <w:rPr>
          <w:rFonts w:ascii="Times New Roman" w:hAnsi="Times New Roman" w:cs="Times New Roman"/>
          <w:sz w:val="26"/>
          <w:szCs w:val="26"/>
        </w:rPr>
        <w:t>%</w:t>
      </w:r>
      <w:r w:rsidR="00184EA2" w:rsidRPr="00EE5714">
        <w:rPr>
          <w:rFonts w:ascii="Times New Roman" w:hAnsi="Times New Roman" w:cs="Times New Roman"/>
          <w:sz w:val="26"/>
          <w:szCs w:val="26"/>
        </w:rPr>
        <w:t xml:space="preserve"> to 8.74</w:t>
      </w:r>
      <w:r w:rsidR="002A3F49" w:rsidRPr="00EE5714">
        <w:rPr>
          <w:rFonts w:ascii="Times New Roman" w:hAnsi="Times New Roman" w:cs="Times New Roman"/>
          <w:sz w:val="26"/>
          <w:szCs w:val="26"/>
        </w:rPr>
        <w:t>%</w:t>
      </w:r>
      <w:r w:rsidR="004A62F9" w:rsidRPr="00EE5714">
        <w:rPr>
          <w:rFonts w:ascii="Times New Roman" w:hAnsi="Times New Roman" w:cs="Times New Roman"/>
          <w:sz w:val="26"/>
          <w:szCs w:val="26"/>
        </w:rPr>
        <w:t>.</w:t>
      </w:r>
      <w:r w:rsidRPr="00EE5714" w:rsidDel="00496617">
        <w:rPr>
          <w:rFonts w:ascii="Times New Roman" w:hAnsi="Times New Roman" w:cs="Times New Roman"/>
          <w:sz w:val="26"/>
          <w:szCs w:val="26"/>
        </w:rPr>
        <w:t xml:space="preserve"> </w:t>
      </w:r>
      <w:r w:rsidRPr="00EE5714">
        <w:rPr>
          <w:rFonts w:ascii="Times New Roman" w:hAnsi="Times New Roman" w:cs="Times New Roman"/>
          <w:sz w:val="26"/>
          <w:szCs w:val="26"/>
        </w:rPr>
        <w:t xml:space="preserve"> </w:t>
      </w:r>
    </w:p>
    <w:p w14:paraId="3F67F9F9" w14:textId="77777777" w:rsidR="004D3F17" w:rsidRPr="00EE5714" w:rsidRDefault="004D3F17" w:rsidP="00906C22">
      <w:pPr>
        <w:spacing w:after="0" w:line="240" w:lineRule="auto"/>
        <w:contextualSpacing/>
        <w:rPr>
          <w:rFonts w:ascii="Times New Roman" w:hAnsi="Times New Roman" w:cs="Times New Roman"/>
          <w:sz w:val="26"/>
          <w:szCs w:val="26"/>
        </w:rPr>
      </w:pPr>
    </w:p>
    <w:p w14:paraId="12EDA033" w14:textId="11D48E3C" w:rsidR="00B3280F" w:rsidRPr="00EE5714" w:rsidRDefault="00B3280F" w:rsidP="00D66EAC">
      <w:pPr>
        <w:keepNext/>
        <w:keepLines/>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Table </w:t>
      </w:r>
      <w:r w:rsidR="00524E43" w:rsidRPr="00EE5714">
        <w:rPr>
          <w:rFonts w:ascii="Times New Roman" w:hAnsi="Times New Roman" w:cs="Times New Roman"/>
          <w:b/>
          <w:bCs/>
          <w:sz w:val="26"/>
          <w:szCs w:val="26"/>
        </w:rPr>
        <w:t>4-5</w:t>
      </w:r>
    </w:p>
    <w:p w14:paraId="412776BB" w14:textId="77777777" w:rsidR="00B3280F" w:rsidRPr="00EE5714" w:rsidRDefault="00B3280F" w:rsidP="00C26A8E">
      <w:pPr>
        <w:keepNext/>
        <w:keepLines/>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EDC Non-Heating CAP LIHEAP Recipients at </w:t>
      </w:r>
      <w:r w:rsidR="001661A1" w:rsidRPr="00EE5714">
        <w:rPr>
          <w:rFonts w:ascii="Times New Roman" w:hAnsi="Times New Roman" w:cs="Times New Roman"/>
          <w:b/>
          <w:bCs/>
          <w:sz w:val="26"/>
          <w:szCs w:val="26"/>
        </w:rPr>
        <w:t>51</w:t>
      </w:r>
      <w:r w:rsidRPr="00EE5714">
        <w:rPr>
          <w:rFonts w:ascii="Times New Roman" w:hAnsi="Times New Roman" w:cs="Times New Roman"/>
          <w:b/>
          <w:bCs/>
          <w:sz w:val="26"/>
          <w:szCs w:val="26"/>
        </w:rPr>
        <w:t>-</w:t>
      </w:r>
      <w:r w:rsidR="001661A1" w:rsidRPr="00EE5714">
        <w:rPr>
          <w:rFonts w:ascii="Times New Roman" w:hAnsi="Times New Roman" w:cs="Times New Roman"/>
          <w:b/>
          <w:bCs/>
          <w:sz w:val="26"/>
          <w:szCs w:val="26"/>
        </w:rPr>
        <w:t>100</w:t>
      </w:r>
      <w:r w:rsidRPr="00EE5714">
        <w:rPr>
          <w:rFonts w:ascii="Times New Roman" w:hAnsi="Times New Roman" w:cs="Times New Roman"/>
          <w:b/>
          <w:bCs/>
          <w:sz w:val="26"/>
          <w:szCs w:val="26"/>
        </w:rPr>
        <w:t>% FPIG</w:t>
      </w:r>
    </w:p>
    <w:p w14:paraId="2202B23C" w14:textId="77777777" w:rsidR="000C7CC8" w:rsidRPr="00EE5714" w:rsidRDefault="00B3280F" w:rsidP="00C26A8E">
      <w:pPr>
        <w:keepNext/>
        <w:keepLines/>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Without &amp; With LIHEAP </w:t>
      </w:r>
      <w:r w:rsidR="009E74AF" w:rsidRPr="00EE5714">
        <w:rPr>
          <w:rFonts w:ascii="Times New Roman" w:hAnsi="Times New Roman" w:cs="Times New Roman"/>
          <w:b/>
          <w:bCs/>
          <w:sz w:val="26"/>
          <w:szCs w:val="26"/>
        </w:rPr>
        <w:t xml:space="preserve">Grants </w:t>
      </w:r>
      <w:r w:rsidRPr="00EE5714">
        <w:rPr>
          <w:rFonts w:ascii="Times New Roman" w:hAnsi="Times New Roman" w:cs="Times New Roman"/>
          <w:b/>
          <w:bCs/>
          <w:sz w:val="26"/>
          <w:szCs w:val="26"/>
        </w:rPr>
        <w:t>Applied to Average Bill</w:t>
      </w:r>
      <w:r w:rsidR="009E74AF" w:rsidRPr="00EE5714">
        <w:rPr>
          <w:rFonts w:ascii="Times New Roman" w:hAnsi="Times New Roman" w:cs="Times New Roman"/>
          <w:b/>
          <w:bCs/>
          <w:sz w:val="26"/>
          <w:szCs w:val="26"/>
        </w:rPr>
        <w:t>s</w:t>
      </w:r>
      <w:r w:rsidRPr="00EE5714">
        <w:rPr>
          <w:rFonts w:ascii="Times New Roman" w:hAnsi="Times New Roman" w:cs="Times New Roman"/>
          <w:b/>
          <w:bCs/>
          <w:sz w:val="26"/>
          <w:szCs w:val="26"/>
        </w:rPr>
        <w:t xml:space="preserve"> 2013-</w:t>
      </w:r>
      <w:r w:rsidR="009E74AF" w:rsidRPr="00EE5714">
        <w:rPr>
          <w:rFonts w:ascii="Times New Roman" w:hAnsi="Times New Roman" w:cs="Times New Roman"/>
          <w:b/>
          <w:bCs/>
          <w:sz w:val="26"/>
          <w:szCs w:val="26"/>
        </w:rPr>
        <w:t>20</w:t>
      </w:r>
      <w:r w:rsidRPr="00EE5714">
        <w:rPr>
          <w:rFonts w:ascii="Times New Roman" w:hAnsi="Times New Roman" w:cs="Times New Roman"/>
          <w:b/>
          <w:bCs/>
          <w:sz w:val="26"/>
          <w:szCs w:val="26"/>
        </w:rPr>
        <w:t>16</w:t>
      </w:r>
    </w:p>
    <w:p w14:paraId="5E1CE9C7" w14:textId="5855E394" w:rsidR="26BF0F72" w:rsidRPr="00EE5714" w:rsidRDefault="26BF0F72" w:rsidP="00D66EAC">
      <w:pPr>
        <w:spacing w:after="0" w:line="240" w:lineRule="auto"/>
        <w:jc w:val="center"/>
      </w:pPr>
      <w:r w:rsidRPr="00EE5714">
        <w:rPr>
          <w:noProof/>
        </w:rPr>
        <w:drawing>
          <wp:inline distT="0" distB="0" distL="0" distR="0" wp14:anchorId="0844D10C" wp14:editId="3B34A9CF">
            <wp:extent cx="5943600" cy="3219450"/>
            <wp:effectExtent l="0" t="0" r="0" b="0"/>
            <wp:docPr id="1970518210" name="Picture 197051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2E75082D" w14:textId="77777777" w:rsidR="00B3280F" w:rsidRPr="00EE5714" w:rsidRDefault="00B3280F" w:rsidP="00954E0A">
      <w:pPr>
        <w:spacing w:after="0" w:line="240" w:lineRule="auto"/>
        <w:contextualSpacing/>
        <w:rPr>
          <w:rFonts w:ascii="Times New Roman" w:hAnsi="Times New Roman" w:cs="Times New Roman"/>
          <w:sz w:val="26"/>
          <w:szCs w:val="26"/>
        </w:rPr>
      </w:pPr>
    </w:p>
    <w:p w14:paraId="5AC7613D" w14:textId="77777777" w:rsidR="00B3280F" w:rsidRPr="00EE5714" w:rsidRDefault="00B3280F" w:rsidP="001E082A">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 xml:space="preserve">Table </w:t>
      </w:r>
      <w:r w:rsidR="00524E43" w:rsidRPr="00EE5714">
        <w:rPr>
          <w:rFonts w:ascii="Times New Roman" w:hAnsi="Times New Roman" w:cs="Times New Roman"/>
          <w:b/>
          <w:bCs/>
          <w:sz w:val="26"/>
          <w:szCs w:val="26"/>
        </w:rPr>
        <w:t>4-6</w:t>
      </w:r>
    </w:p>
    <w:p w14:paraId="2DEA5886" w14:textId="77777777" w:rsidR="00B3280F" w:rsidRPr="00EE5714" w:rsidRDefault="00B3280F" w:rsidP="001E082A">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EDC Heating CAP LIHEAP Recipients at </w:t>
      </w:r>
      <w:r w:rsidR="001661A1" w:rsidRPr="00EE5714">
        <w:rPr>
          <w:rFonts w:ascii="Times New Roman" w:hAnsi="Times New Roman" w:cs="Times New Roman"/>
          <w:b/>
          <w:bCs/>
          <w:sz w:val="26"/>
          <w:szCs w:val="26"/>
        </w:rPr>
        <w:t>51</w:t>
      </w:r>
      <w:r w:rsidRPr="00EE5714">
        <w:rPr>
          <w:rFonts w:ascii="Times New Roman" w:hAnsi="Times New Roman" w:cs="Times New Roman"/>
          <w:b/>
          <w:bCs/>
          <w:sz w:val="26"/>
          <w:szCs w:val="26"/>
        </w:rPr>
        <w:t>-</w:t>
      </w:r>
      <w:r w:rsidR="001661A1" w:rsidRPr="00EE5714">
        <w:rPr>
          <w:rFonts w:ascii="Times New Roman" w:hAnsi="Times New Roman" w:cs="Times New Roman"/>
          <w:b/>
          <w:bCs/>
          <w:sz w:val="26"/>
          <w:szCs w:val="26"/>
        </w:rPr>
        <w:t>100</w:t>
      </w:r>
      <w:r w:rsidRPr="00EE5714">
        <w:rPr>
          <w:rFonts w:ascii="Times New Roman" w:hAnsi="Times New Roman" w:cs="Times New Roman"/>
          <w:b/>
          <w:bCs/>
          <w:sz w:val="26"/>
          <w:szCs w:val="26"/>
        </w:rPr>
        <w:t>% FPIG</w:t>
      </w:r>
    </w:p>
    <w:p w14:paraId="1252CDB8" w14:textId="77777777" w:rsidR="00B3280F" w:rsidRPr="00EE5714" w:rsidRDefault="00B3280F" w:rsidP="001E082A">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Without &amp; With LIHEAP </w:t>
      </w:r>
      <w:r w:rsidR="00BF5F88" w:rsidRPr="00EE5714">
        <w:rPr>
          <w:rFonts w:ascii="Times New Roman" w:hAnsi="Times New Roman" w:cs="Times New Roman"/>
          <w:b/>
          <w:bCs/>
          <w:sz w:val="26"/>
          <w:szCs w:val="26"/>
        </w:rPr>
        <w:t xml:space="preserve">Grants </w:t>
      </w:r>
      <w:r w:rsidRPr="00EE5714">
        <w:rPr>
          <w:rFonts w:ascii="Times New Roman" w:hAnsi="Times New Roman" w:cs="Times New Roman"/>
          <w:b/>
          <w:bCs/>
          <w:sz w:val="26"/>
          <w:szCs w:val="26"/>
        </w:rPr>
        <w:t>Applied to Average Bill</w:t>
      </w:r>
      <w:r w:rsidR="00BF5F88" w:rsidRPr="00EE5714">
        <w:rPr>
          <w:rFonts w:ascii="Times New Roman" w:hAnsi="Times New Roman" w:cs="Times New Roman"/>
          <w:b/>
          <w:bCs/>
          <w:sz w:val="26"/>
          <w:szCs w:val="26"/>
        </w:rPr>
        <w:t>s</w:t>
      </w:r>
      <w:r w:rsidRPr="00EE5714">
        <w:rPr>
          <w:rFonts w:ascii="Times New Roman" w:hAnsi="Times New Roman" w:cs="Times New Roman"/>
          <w:b/>
          <w:bCs/>
          <w:sz w:val="26"/>
          <w:szCs w:val="26"/>
        </w:rPr>
        <w:t xml:space="preserve"> 2013-</w:t>
      </w:r>
      <w:r w:rsidR="00BF5F88" w:rsidRPr="00EE5714">
        <w:rPr>
          <w:rFonts w:ascii="Times New Roman" w:hAnsi="Times New Roman" w:cs="Times New Roman"/>
          <w:b/>
          <w:bCs/>
          <w:sz w:val="26"/>
          <w:szCs w:val="26"/>
        </w:rPr>
        <w:t>20</w:t>
      </w:r>
      <w:r w:rsidRPr="00EE5714">
        <w:rPr>
          <w:rFonts w:ascii="Times New Roman" w:hAnsi="Times New Roman" w:cs="Times New Roman"/>
          <w:b/>
          <w:bCs/>
          <w:sz w:val="26"/>
          <w:szCs w:val="26"/>
        </w:rPr>
        <w:t>16</w:t>
      </w:r>
    </w:p>
    <w:p w14:paraId="5E63A1C8" w14:textId="3F89C96B" w:rsidR="73576C1D" w:rsidRPr="00EE5714" w:rsidRDefault="73576C1D" w:rsidP="00D66EAC">
      <w:pPr>
        <w:spacing w:after="0" w:line="240" w:lineRule="auto"/>
        <w:jc w:val="center"/>
      </w:pPr>
      <w:r w:rsidRPr="00EE5714">
        <w:rPr>
          <w:noProof/>
        </w:rPr>
        <w:drawing>
          <wp:inline distT="0" distB="0" distL="0" distR="0" wp14:anchorId="2A537A27" wp14:editId="7DF8E9D9">
            <wp:extent cx="5943600" cy="2809875"/>
            <wp:effectExtent l="0" t="0" r="0" b="0"/>
            <wp:docPr id="342753876" name="Picture 34275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2809875"/>
                    </a:xfrm>
                    <a:prstGeom prst="rect">
                      <a:avLst/>
                    </a:prstGeom>
                  </pic:spPr>
                </pic:pic>
              </a:graphicData>
            </a:graphic>
          </wp:inline>
        </w:drawing>
      </w:r>
    </w:p>
    <w:p w14:paraId="6E4BD27D" w14:textId="77777777" w:rsidR="0051011B" w:rsidRPr="00EE5714" w:rsidRDefault="0051011B" w:rsidP="00ED00DE">
      <w:pPr>
        <w:spacing w:after="0" w:line="240" w:lineRule="auto"/>
        <w:ind w:firstLine="720"/>
        <w:rPr>
          <w:rFonts w:ascii="Times New Roman" w:hAnsi="Times New Roman" w:cs="Times New Roman"/>
          <w:sz w:val="26"/>
          <w:szCs w:val="26"/>
        </w:rPr>
      </w:pPr>
    </w:p>
    <w:p w14:paraId="6DD6F114" w14:textId="77777777" w:rsidR="00A80C55" w:rsidRPr="00EE5714" w:rsidRDefault="00A80C55" w:rsidP="00ED00DE">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EDC non-heating CAP customers </w:t>
      </w:r>
      <w:r w:rsidR="001B2746" w:rsidRPr="00EE5714">
        <w:rPr>
          <w:rFonts w:ascii="Times New Roman" w:hAnsi="Times New Roman" w:cs="Times New Roman"/>
          <w:sz w:val="26"/>
          <w:szCs w:val="26"/>
        </w:rPr>
        <w:t xml:space="preserve">with incomes between </w:t>
      </w:r>
      <w:r w:rsidR="006648E1" w:rsidRPr="00EE5714">
        <w:rPr>
          <w:rFonts w:ascii="Times New Roman" w:hAnsi="Times New Roman" w:cs="Times New Roman"/>
          <w:sz w:val="26"/>
          <w:szCs w:val="26"/>
        </w:rPr>
        <w:t>51%</w:t>
      </w:r>
      <w:r w:rsidR="001B2746" w:rsidRPr="00EE5714">
        <w:rPr>
          <w:rFonts w:ascii="Times New Roman" w:hAnsi="Times New Roman" w:cs="Times New Roman"/>
          <w:sz w:val="26"/>
          <w:szCs w:val="26"/>
        </w:rPr>
        <w:t xml:space="preserve"> and </w:t>
      </w:r>
      <w:r w:rsidR="006648E1" w:rsidRPr="00EE5714">
        <w:rPr>
          <w:rFonts w:ascii="Times New Roman" w:hAnsi="Times New Roman" w:cs="Times New Roman"/>
          <w:sz w:val="26"/>
          <w:szCs w:val="26"/>
        </w:rPr>
        <w:t>100%</w:t>
      </w:r>
      <w:r w:rsidRPr="00EE5714">
        <w:rPr>
          <w:rFonts w:ascii="Times New Roman" w:hAnsi="Times New Roman" w:cs="Times New Roman"/>
          <w:sz w:val="26"/>
          <w:szCs w:val="26"/>
        </w:rPr>
        <w:t xml:space="preserve"> </w:t>
      </w:r>
      <w:r w:rsidR="008A1C19" w:rsidRPr="00EE5714">
        <w:rPr>
          <w:rFonts w:ascii="Times New Roman" w:hAnsi="Times New Roman" w:cs="Times New Roman"/>
          <w:sz w:val="26"/>
          <w:szCs w:val="26"/>
        </w:rPr>
        <w:t xml:space="preserve">of </w:t>
      </w:r>
      <w:r w:rsidRPr="00EE5714">
        <w:rPr>
          <w:rFonts w:ascii="Times New Roman" w:hAnsi="Times New Roman" w:cs="Times New Roman"/>
          <w:sz w:val="26"/>
          <w:szCs w:val="26"/>
        </w:rPr>
        <w:t>FPIG level experienced an industry average energy burden decrease of over 2.59</w:t>
      </w:r>
      <w:r w:rsidR="008A1C19" w:rsidRPr="00EE5714">
        <w:rPr>
          <w:rFonts w:ascii="Times New Roman" w:hAnsi="Times New Roman" w:cs="Times New Roman"/>
          <w:sz w:val="26"/>
          <w:szCs w:val="26"/>
        </w:rPr>
        <w:t> </w:t>
      </w:r>
      <w:r w:rsidRPr="00EE5714">
        <w:rPr>
          <w:rFonts w:ascii="Times New Roman" w:hAnsi="Times New Roman" w:cs="Times New Roman"/>
          <w:sz w:val="26"/>
          <w:szCs w:val="26"/>
        </w:rPr>
        <w:t xml:space="preserve">percentage points, from 9.81% to 7.22%, after applying LIHEAP to their average annual bills.  The industry average energy burdens for EDC heating CAP customers at this FPIG level decreased by over 2.94 percentage points, from 14.39% to 11.45%, after applying LIHEAP to their average bills.  Tables 4-5 and 4-6 show the pre- and post-LIHEAP energy burdens for EDC non-heating and heating CAP customers with incomes </w:t>
      </w:r>
      <w:r w:rsidR="00447281" w:rsidRPr="00EE5714">
        <w:rPr>
          <w:rFonts w:ascii="Times New Roman" w:hAnsi="Times New Roman" w:cs="Times New Roman"/>
          <w:sz w:val="26"/>
          <w:szCs w:val="26"/>
        </w:rPr>
        <w:t>between</w:t>
      </w:r>
      <w:r w:rsidRPr="00EE5714">
        <w:rPr>
          <w:rFonts w:ascii="Times New Roman" w:hAnsi="Times New Roman" w:cs="Times New Roman"/>
          <w:sz w:val="26"/>
          <w:szCs w:val="26"/>
        </w:rPr>
        <w:t xml:space="preserve"> 51</w:t>
      </w:r>
      <w:r w:rsidR="00304D35" w:rsidRPr="00EE5714">
        <w:rPr>
          <w:rFonts w:ascii="Times New Roman" w:hAnsi="Times New Roman" w:cs="Times New Roman"/>
          <w:sz w:val="26"/>
          <w:szCs w:val="26"/>
        </w:rPr>
        <w:t xml:space="preserve"> </w:t>
      </w:r>
      <w:r w:rsidR="00447281" w:rsidRPr="00EE5714">
        <w:rPr>
          <w:rFonts w:ascii="Times New Roman" w:hAnsi="Times New Roman" w:cs="Times New Roman"/>
          <w:sz w:val="26"/>
          <w:szCs w:val="26"/>
        </w:rPr>
        <w:t xml:space="preserve">and </w:t>
      </w:r>
      <w:r w:rsidRPr="00EE5714">
        <w:rPr>
          <w:rFonts w:ascii="Times New Roman" w:hAnsi="Times New Roman" w:cs="Times New Roman"/>
          <w:sz w:val="26"/>
          <w:szCs w:val="26"/>
        </w:rPr>
        <w:t xml:space="preserve">100% </w:t>
      </w:r>
      <w:r w:rsidR="00447281" w:rsidRPr="00EE5714">
        <w:rPr>
          <w:rFonts w:ascii="Times New Roman" w:hAnsi="Times New Roman" w:cs="Times New Roman"/>
          <w:sz w:val="26"/>
          <w:szCs w:val="26"/>
        </w:rPr>
        <w:t xml:space="preserve">of FPIG </w:t>
      </w:r>
      <w:r w:rsidRPr="00EE5714">
        <w:rPr>
          <w:rFonts w:ascii="Times New Roman" w:hAnsi="Times New Roman" w:cs="Times New Roman"/>
          <w:sz w:val="26"/>
          <w:szCs w:val="26"/>
        </w:rPr>
        <w:t>who received LIHEAP.</w:t>
      </w:r>
    </w:p>
    <w:p w14:paraId="69EB8D37" w14:textId="77777777" w:rsidR="00033193" w:rsidRPr="00EE5714" w:rsidRDefault="00033193" w:rsidP="00BB0DF2">
      <w:pPr>
        <w:spacing w:after="0" w:line="240" w:lineRule="auto"/>
        <w:contextualSpacing/>
        <w:rPr>
          <w:rFonts w:ascii="Times New Roman" w:hAnsi="Times New Roman" w:cs="Times New Roman"/>
          <w:sz w:val="26"/>
          <w:szCs w:val="26"/>
        </w:rPr>
      </w:pPr>
    </w:p>
    <w:p w14:paraId="0C95680D" w14:textId="77777777" w:rsidR="00771C8E" w:rsidRPr="00EE5714" w:rsidRDefault="00455EA9" w:rsidP="004D14F1">
      <w:pPr>
        <w:keepNext/>
        <w:keepLines/>
        <w:spacing w:after="0" w:line="240" w:lineRule="auto"/>
        <w:contextualSpacing/>
        <w:rPr>
          <w:rFonts w:ascii="Times New Roman" w:hAnsi="Times New Roman" w:cs="Times New Roman"/>
          <w:sz w:val="26"/>
          <w:szCs w:val="26"/>
        </w:rPr>
      </w:pPr>
      <w:r w:rsidRPr="00EE5714">
        <w:rPr>
          <w:rFonts w:ascii="Times New Roman" w:hAnsi="Times New Roman" w:cs="Times New Roman"/>
          <w:i/>
          <w:iCs/>
          <w:sz w:val="26"/>
          <w:szCs w:val="26"/>
        </w:rPr>
        <w:t xml:space="preserve">Average </w:t>
      </w:r>
      <w:r w:rsidR="00771C8E" w:rsidRPr="00EE5714">
        <w:rPr>
          <w:rFonts w:ascii="Times New Roman" w:hAnsi="Times New Roman" w:cs="Times New Roman"/>
          <w:i/>
          <w:iCs/>
          <w:sz w:val="26"/>
          <w:szCs w:val="26"/>
        </w:rPr>
        <w:t xml:space="preserve">Impact of LIHEAP for CAP Customers at </w:t>
      </w:r>
      <w:r w:rsidR="009D3CA2" w:rsidRPr="00EE5714">
        <w:rPr>
          <w:rFonts w:ascii="Times New Roman" w:hAnsi="Times New Roman" w:cs="Times New Roman"/>
          <w:i/>
          <w:iCs/>
          <w:sz w:val="26"/>
          <w:szCs w:val="26"/>
        </w:rPr>
        <w:t>101</w:t>
      </w:r>
      <w:r w:rsidR="00042443" w:rsidRPr="00EE5714">
        <w:rPr>
          <w:rFonts w:ascii="Times New Roman" w:hAnsi="Times New Roman" w:cs="Times New Roman"/>
          <w:i/>
          <w:iCs/>
          <w:sz w:val="26"/>
          <w:szCs w:val="26"/>
        </w:rPr>
        <w:t xml:space="preserve"> to </w:t>
      </w:r>
      <w:r w:rsidR="009D3CA2" w:rsidRPr="00EE5714">
        <w:rPr>
          <w:rFonts w:ascii="Times New Roman" w:hAnsi="Times New Roman" w:cs="Times New Roman"/>
          <w:i/>
          <w:iCs/>
          <w:sz w:val="26"/>
          <w:szCs w:val="26"/>
        </w:rPr>
        <w:t>1</w:t>
      </w:r>
      <w:r w:rsidR="00771C8E" w:rsidRPr="00EE5714">
        <w:rPr>
          <w:rFonts w:ascii="Times New Roman" w:hAnsi="Times New Roman" w:cs="Times New Roman"/>
          <w:i/>
          <w:iCs/>
          <w:sz w:val="26"/>
          <w:szCs w:val="26"/>
        </w:rPr>
        <w:t>50% of FPIG</w:t>
      </w:r>
    </w:p>
    <w:p w14:paraId="5AC571DE" w14:textId="77777777" w:rsidR="00771C8E" w:rsidRPr="00EE5714" w:rsidRDefault="00771C8E" w:rsidP="004D14F1">
      <w:pPr>
        <w:keepNext/>
        <w:keepLines/>
        <w:spacing w:after="0" w:line="240" w:lineRule="auto"/>
        <w:contextualSpacing/>
        <w:rPr>
          <w:rFonts w:ascii="Times New Roman" w:hAnsi="Times New Roman" w:cs="Times New Roman"/>
          <w:sz w:val="26"/>
          <w:szCs w:val="26"/>
        </w:rPr>
      </w:pPr>
    </w:p>
    <w:p w14:paraId="63AE45DC" w14:textId="77777777" w:rsidR="001661A1" w:rsidRPr="00EE5714" w:rsidRDefault="001661A1" w:rsidP="00527571">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Table </w:t>
      </w:r>
      <w:r w:rsidR="00524E43" w:rsidRPr="00EE5714">
        <w:rPr>
          <w:rFonts w:ascii="Times New Roman" w:hAnsi="Times New Roman" w:cs="Times New Roman"/>
          <w:b/>
          <w:bCs/>
          <w:sz w:val="26"/>
          <w:szCs w:val="26"/>
        </w:rPr>
        <w:t>4-7</w:t>
      </w:r>
    </w:p>
    <w:p w14:paraId="2FBAFE90" w14:textId="77777777" w:rsidR="001661A1" w:rsidRPr="00EE5714" w:rsidRDefault="001661A1" w:rsidP="00527571">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NGDC CAP LIHEAP Recipients at 101-150% FPIG </w:t>
      </w:r>
    </w:p>
    <w:p w14:paraId="33C49488" w14:textId="77777777" w:rsidR="001661A1" w:rsidRPr="00EE5714" w:rsidRDefault="001661A1" w:rsidP="00527571">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Without &amp; With LIHEAP </w:t>
      </w:r>
      <w:r w:rsidR="00EC00F8" w:rsidRPr="00EE5714">
        <w:rPr>
          <w:rFonts w:ascii="Times New Roman" w:hAnsi="Times New Roman" w:cs="Times New Roman"/>
          <w:b/>
          <w:bCs/>
          <w:sz w:val="26"/>
          <w:szCs w:val="26"/>
        </w:rPr>
        <w:t xml:space="preserve">Grants </w:t>
      </w:r>
      <w:r w:rsidRPr="00EE5714">
        <w:rPr>
          <w:rFonts w:ascii="Times New Roman" w:hAnsi="Times New Roman" w:cs="Times New Roman"/>
          <w:b/>
          <w:bCs/>
          <w:sz w:val="26"/>
          <w:szCs w:val="26"/>
        </w:rPr>
        <w:t>Applied to Average Bill</w:t>
      </w:r>
      <w:r w:rsidR="00EC00F8" w:rsidRPr="00EE5714">
        <w:rPr>
          <w:rFonts w:ascii="Times New Roman" w:hAnsi="Times New Roman" w:cs="Times New Roman"/>
          <w:b/>
          <w:bCs/>
          <w:sz w:val="26"/>
          <w:szCs w:val="26"/>
        </w:rPr>
        <w:t>s</w:t>
      </w:r>
      <w:r w:rsidRPr="00EE5714">
        <w:rPr>
          <w:rFonts w:ascii="Times New Roman" w:hAnsi="Times New Roman" w:cs="Times New Roman"/>
          <w:b/>
          <w:bCs/>
          <w:sz w:val="26"/>
          <w:szCs w:val="26"/>
        </w:rPr>
        <w:t xml:space="preserve"> 2012-</w:t>
      </w:r>
      <w:r w:rsidR="00EC00F8" w:rsidRPr="00EE5714">
        <w:rPr>
          <w:rFonts w:ascii="Times New Roman" w:hAnsi="Times New Roman" w:cs="Times New Roman"/>
          <w:b/>
          <w:bCs/>
          <w:sz w:val="26"/>
          <w:szCs w:val="26"/>
        </w:rPr>
        <w:t>20</w:t>
      </w:r>
      <w:r w:rsidRPr="00EE5714">
        <w:rPr>
          <w:rFonts w:ascii="Times New Roman" w:hAnsi="Times New Roman" w:cs="Times New Roman"/>
          <w:b/>
          <w:bCs/>
          <w:sz w:val="26"/>
          <w:szCs w:val="26"/>
        </w:rPr>
        <w:t>16</w:t>
      </w:r>
    </w:p>
    <w:p w14:paraId="0BC60913" w14:textId="6328DA6A" w:rsidR="5BF0547A" w:rsidRPr="00EE5714" w:rsidRDefault="5BF0547A" w:rsidP="00E83574">
      <w:pPr>
        <w:spacing w:after="0" w:line="240" w:lineRule="auto"/>
        <w:jc w:val="center"/>
      </w:pPr>
    </w:p>
    <w:p w14:paraId="2D04B0BB" w14:textId="38C4B4EE" w:rsidR="2E91AA7A" w:rsidRPr="00EE5714" w:rsidRDefault="2E91AA7A" w:rsidP="00E83574">
      <w:pPr>
        <w:spacing w:after="0" w:line="240" w:lineRule="auto"/>
        <w:jc w:val="center"/>
      </w:pPr>
      <w:r w:rsidRPr="00EE5714">
        <w:rPr>
          <w:noProof/>
        </w:rPr>
        <w:lastRenderedPageBreak/>
        <w:drawing>
          <wp:inline distT="0" distB="0" distL="0" distR="0" wp14:anchorId="0511CB36" wp14:editId="4C74E71D">
            <wp:extent cx="5591176" cy="3190875"/>
            <wp:effectExtent l="0" t="0" r="0" b="0"/>
            <wp:docPr id="1053291410" name="Picture 105329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591176" cy="3190875"/>
                    </a:xfrm>
                    <a:prstGeom prst="rect">
                      <a:avLst/>
                    </a:prstGeom>
                  </pic:spPr>
                </pic:pic>
              </a:graphicData>
            </a:graphic>
          </wp:inline>
        </w:drawing>
      </w:r>
    </w:p>
    <w:p w14:paraId="661C02CB" w14:textId="77777777" w:rsidR="00370B40" w:rsidRPr="00EE5714" w:rsidRDefault="00F42D08" w:rsidP="00370B40">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370B40" w:rsidRPr="00EE5714">
        <w:rPr>
          <w:rFonts w:ascii="Times New Roman" w:hAnsi="Times New Roman" w:cs="Times New Roman"/>
          <w:sz w:val="26"/>
          <w:szCs w:val="26"/>
        </w:rPr>
        <w:t>NGDC CAP customers with incomes between 101</w:t>
      </w:r>
      <w:r w:rsidR="00100691" w:rsidRPr="00EE5714">
        <w:rPr>
          <w:rFonts w:ascii="Times New Roman" w:hAnsi="Times New Roman" w:cs="Times New Roman"/>
          <w:sz w:val="26"/>
          <w:szCs w:val="26"/>
        </w:rPr>
        <w:t xml:space="preserve"> and</w:t>
      </w:r>
      <w:r w:rsidR="00370B40" w:rsidRPr="00EE5714">
        <w:rPr>
          <w:rFonts w:ascii="Times New Roman" w:hAnsi="Times New Roman" w:cs="Times New Roman"/>
          <w:sz w:val="26"/>
          <w:szCs w:val="26"/>
        </w:rPr>
        <w:t xml:space="preserve"> 150% of FPIG experienced an industry average decrease of over 1.54 percentage points, from 8.41% to 6.87%, in their energy burden levels after receipt of LIHEAP.  Tables</w:t>
      </w:r>
      <w:r w:rsidR="00370B40" w:rsidRPr="00EE5714" w:rsidDel="00353ED5">
        <w:rPr>
          <w:rFonts w:ascii="Times New Roman" w:hAnsi="Times New Roman" w:cs="Times New Roman"/>
          <w:sz w:val="26"/>
          <w:szCs w:val="26"/>
        </w:rPr>
        <w:t xml:space="preserve"> </w:t>
      </w:r>
      <w:r w:rsidR="00370B40" w:rsidRPr="00EE5714">
        <w:rPr>
          <w:rFonts w:ascii="Times New Roman" w:hAnsi="Times New Roman" w:cs="Times New Roman"/>
          <w:sz w:val="26"/>
          <w:szCs w:val="26"/>
        </w:rPr>
        <w:t>4-7</w:t>
      </w:r>
      <w:r w:rsidR="00370B40" w:rsidRPr="00EE5714" w:rsidDel="00353ED5">
        <w:rPr>
          <w:rFonts w:ascii="Times New Roman" w:hAnsi="Times New Roman" w:cs="Times New Roman"/>
          <w:sz w:val="26"/>
          <w:szCs w:val="26"/>
        </w:rPr>
        <w:t xml:space="preserve"> </w:t>
      </w:r>
      <w:r w:rsidR="00370B40" w:rsidRPr="00EE5714">
        <w:rPr>
          <w:rFonts w:ascii="Times New Roman" w:hAnsi="Times New Roman" w:cs="Times New Roman"/>
          <w:sz w:val="26"/>
          <w:szCs w:val="26"/>
        </w:rPr>
        <w:t>shows the pre- and post-LIHEAP energy burdens for NGDC CAP customers with incomes at 101</w:t>
      </w:r>
      <w:r w:rsidR="00456555" w:rsidRPr="00EE5714">
        <w:rPr>
          <w:rFonts w:ascii="Times New Roman" w:hAnsi="Times New Roman" w:cs="Times New Roman"/>
          <w:sz w:val="26"/>
          <w:szCs w:val="26"/>
        </w:rPr>
        <w:t xml:space="preserve">% </w:t>
      </w:r>
      <w:r w:rsidR="00370B40" w:rsidRPr="00EE5714">
        <w:rPr>
          <w:rFonts w:ascii="Times New Roman" w:hAnsi="Times New Roman" w:cs="Times New Roman"/>
          <w:sz w:val="26"/>
          <w:szCs w:val="26"/>
        </w:rPr>
        <w:t>to 150% FPIG level who received LIHEAP.</w:t>
      </w:r>
    </w:p>
    <w:p w14:paraId="5BA40DD2" w14:textId="77777777" w:rsidR="00370B40" w:rsidRPr="00EE5714" w:rsidRDefault="00370B40" w:rsidP="00B11EB8">
      <w:pPr>
        <w:spacing w:after="0" w:line="240" w:lineRule="auto"/>
        <w:contextualSpacing/>
        <w:rPr>
          <w:rFonts w:ascii="Times New Roman" w:hAnsi="Times New Roman" w:cs="Times New Roman"/>
          <w:sz w:val="26"/>
          <w:szCs w:val="26"/>
        </w:rPr>
      </w:pPr>
    </w:p>
    <w:p w14:paraId="3FB31698" w14:textId="77777777" w:rsidR="001661A1" w:rsidRPr="00EE5714" w:rsidRDefault="001661A1" w:rsidP="00527571">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Table </w:t>
      </w:r>
      <w:r w:rsidR="00524E43" w:rsidRPr="00EE5714">
        <w:rPr>
          <w:rFonts w:ascii="Times New Roman" w:hAnsi="Times New Roman" w:cs="Times New Roman"/>
          <w:b/>
          <w:bCs/>
          <w:sz w:val="26"/>
          <w:szCs w:val="26"/>
        </w:rPr>
        <w:t>4-8</w:t>
      </w:r>
    </w:p>
    <w:p w14:paraId="54768EDF" w14:textId="77777777" w:rsidR="001661A1" w:rsidRPr="00EE5714" w:rsidRDefault="001661A1" w:rsidP="00527571">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EDC Non-Heating CAP LIHEAP Recipients at 101-150% FPIG</w:t>
      </w:r>
    </w:p>
    <w:p w14:paraId="6353F00E" w14:textId="77777777" w:rsidR="004A704F" w:rsidRPr="00EE5714" w:rsidRDefault="001661A1" w:rsidP="00527571">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Without &amp; With LIHEAP </w:t>
      </w:r>
      <w:r w:rsidR="00913C76" w:rsidRPr="00EE5714">
        <w:rPr>
          <w:rFonts w:ascii="Times New Roman" w:hAnsi="Times New Roman" w:cs="Times New Roman"/>
          <w:b/>
          <w:bCs/>
          <w:sz w:val="26"/>
          <w:szCs w:val="26"/>
        </w:rPr>
        <w:t xml:space="preserve">Grants </w:t>
      </w:r>
      <w:r w:rsidRPr="00EE5714">
        <w:rPr>
          <w:rFonts w:ascii="Times New Roman" w:hAnsi="Times New Roman" w:cs="Times New Roman"/>
          <w:b/>
          <w:bCs/>
          <w:sz w:val="26"/>
          <w:szCs w:val="26"/>
        </w:rPr>
        <w:t>Applied to Average Bill</w:t>
      </w:r>
      <w:r w:rsidR="006D5A46" w:rsidRPr="00EE5714">
        <w:rPr>
          <w:rFonts w:ascii="Times New Roman" w:hAnsi="Times New Roman" w:cs="Times New Roman"/>
          <w:b/>
          <w:bCs/>
          <w:sz w:val="26"/>
          <w:szCs w:val="26"/>
        </w:rPr>
        <w:t>s</w:t>
      </w:r>
      <w:r w:rsidRPr="00EE5714">
        <w:rPr>
          <w:rFonts w:ascii="Times New Roman" w:hAnsi="Times New Roman" w:cs="Times New Roman"/>
          <w:b/>
          <w:bCs/>
          <w:sz w:val="26"/>
          <w:szCs w:val="26"/>
        </w:rPr>
        <w:t xml:space="preserve"> 2013-</w:t>
      </w:r>
      <w:r w:rsidR="00913C76" w:rsidRPr="00EE5714">
        <w:rPr>
          <w:rFonts w:ascii="Times New Roman" w:hAnsi="Times New Roman" w:cs="Times New Roman"/>
          <w:b/>
          <w:bCs/>
          <w:sz w:val="26"/>
          <w:szCs w:val="26"/>
        </w:rPr>
        <w:t>20</w:t>
      </w:r>
      <w:r w:rsidRPr="00EE5714">
        <w:rPr>
          <w:rFonts w:ascii="Times New Roman" w:hAnsi="Times New Roman" w:cs="Times New Roman"/>
          <w:b/>
          <w:bCs/>
          <w:sz w:val="26"/>
          <w:szCs w:val="26"/>
        </w:rPr>
        <w:t>16</w:t>
      </w:r>
    </w:p>
    <w:p w14:paraId="3A697464" w14:textId="79BA10EF" w:rsidR="768E10C0" w:rsidRPr="00EE5714" w:rsidRDefault="768E10C0" w:rsidP="00E83574">
      <w:pPr>
        <w:spacing w:after="0" w:line="240" w:lineRule="auto"/>
        <w:jc w:val="center"/>
      </w:pPr>
      <w:r w:rsidRPr="00EE5714">
        <w:rPr>
          <w:noProof/>
        </w:rPr>
        <w:drawing>
          <wp:inline distT="0" distB="0" distL="0" distR="0" wp14:anchorId="0BBA4678" wp14:editId="6FEC4E6B">
            <wp:extent cx="5943600" cy="3048000"/>
            <wp:effectExtent l="0" t="0" r="0" b="0"/>
            <wp:docPr id="769586436" name="Picture 76958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14:paraId="2DBB6319" w14:textId="77777777" w:rsidR="003E2752" w:rsidRPr="00EE5714" w:rsidRDefault="003E2752" w:rsidP="00F35DF1">
      <w:pPr>
        <w:spacing w:after="0" w:line="240" w:lineRule="auto"/>
        <w:contextualSpacing/>
        <w:jc w:val="center"/>
        <w:rPr>
          <w:rFonts w:ascii="Times New Roman" w:hAnsi="Times New Roman" w:cs="Times New Roman"/>
          <w:b/>
          <w:sz w:val="26"/>
          <w:szCs w:val="26"/>
        </w:rPr>
      </w:pPr>
    </w:p>
    <w:p w14:paraId="08D57B3F" w14:textId="77777777" w:rsidR="001661A1" w:rsidRPr="00EE5714" w:rsidRDefault="001661A1" w:rsidP="00527571">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 xml:space="preserve">Table </w:t>
      </w:r>
      <w:r w:rsidR="00524E43" w:rsidRPr="00EE5714">
        <w:rPr>
          <w:rFonts w:ascii="Times New Roman" w:hAnsi="Times New Roman" w:cs="Times New Roman"/>
          <w:b/>
          <w:bCs/>
          <w:sz w:val="26"/>
          <w:szCs w:val="26"/>
        </w:rPr>
        <w:t>4-9</w:t>
      </w:r>
    </w:p>
    <w:p w14:paraId="00E5C61B" w14:textId="77777777" w:rsidR="001661A1" w:rsidRPr="00EE5714" w:rsidRDefault="001661A1" w:rsidP="00527571">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EDC Heating CAP LIHEAP Recipients at 101-150% FPIG</w:t>
      </w:r>
    </w:p>
    <w:p w14:paraId="339EF637" w14:textId="1B29BE16" w:rsidR="16644335" w:rsidRPr="00EE5714" w:rsidRDefault="001661A1" w:rsidP="00F56D23">
      <w:pPr>
        <w:spacing w:after="0" w:line="240" w:lineRule="auto"/>
        <w:jc w:val="center"/>
      </w:pPr>
      <w:r w:rsidRPr="00EE5714">
        <w:rPr>
          <w:rFonts w:ascii="Times New Roman" w:hAnsi="Times New Roman" w:cs="Times New Roman"/>
          <w:b/>
          <w:bCs/>
          <w:sz w:val="26"/>
          <w:szCs w:val="26"/>
        </w:rPr>
        <w:t>Without &amp; With LIHEAP Dollars Applied to Average Bill 2013-16</w:t>
      </w:r>
      <w:r w:rsidRPr="00EE5714">
        <w:rPr>
          <w:noProof/>
        </w:rPr>
        <w:drawing>
          <wp:inline distT="0" distB="0" distL="0" distR="0" wp14:anchorId="04EF2A90" wp14:editId="4235A4DE">
            <wp:extent cx="5943600" cy="2819400"/>
            <wp:effectExtent l="0" t="0" r="0" b="0"/>
            <wp:docPr id="638618068" name="Picture 63861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14:paraId="7C06F33E" w14:textId="77777777" w:rsidR="004D46F3" w:rsidRPr="00EE5714" w:rsidRDefault="004D46F3" w:rsidP="00D20A2E">
      <w:pPr>
        <w:spacing w:after="0" w:line="240" w:lineRule="auto"/>
        <w:contextualSpacing/>
        <w:rPr>
          <w:rFonts w:ascii="Times New Roman" w:hAnsi="Times New Roman" w:cs="Times New Roman"/>
          <w:sz w:val="26"/>
          <w:szCs w:val="26"/>
        </w:rPr>
      </w:pPr>
    </w:p>
    <w:p w14:paraId="31AE9C08" w14:textId="77777777" w:rsidR="00537A5C" w:rsidRPr="00EE5714" w:rsidRDefault="00537A5C" w:rsidP="00537A5C">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EDC non-heating CAP customers at this FPIG level experienced an industry average energy burden decrease of over 1.5 percentage points, from 6.28% to 4.78%, after LIHEAP grants were applied to their average annual bill</w:t>
      </w:r>
      <w:r w:rsidR="00F350D2" w:rsidRPr="00EE5714">
        <w:rPr>
          <w:rFonts w:ascii="Times New Roman" w:hAnsi="Times New Roman" w:cs="Times New Roman"/>
          <w:sz w:val="26"/>
          <w:szCs w:val="26"/>
        </w:rPr>
        <w:t>s</w:t>
      </w:r>
      <w:r w:rsidRPr="00EE5714">
        <w:rPr>
          <w:rFonts w:ascii="Times New Roman" w:hAnsi="Times New Roman" w:cs="Times New Roman"/>
          <w:sz w:val="26"/>
          <w:szCs w:val="26"/>
        </w:rPr>
        <w:t>.  The industry average energy burden for EDC heating CAP customers at this FPIG level decreased by over 1.57</w:t>
      </w:r>
      <w:r w:rsidR="002B7E70" w:rsidRPr="00EE5714">
        <w:rPr>
          <w:rFonts w:ascii="Times New Roman" w:hAnsi="Times New Roman" w:cs="Times New Roman"/>
          <w:sz w:val="26"/>
          <w:szCs w:val="26"/>
        </w:rPr>
        <w:t> </w:t>
      </w:r>
      <w:r w:rsidRPr="00EE5714">
        <w:rPr>
          <w:rFonts w:ascii="Times New Roman" w:hAnsi="Times New Roman" w:cs="Times New Roman"/>
          <w:sz w:val="26"/>
          <w:szCs w:val="26"/>
        </w:rPr>
        <w:t>percentage points, from 9.7% to 8.13%, after LIHEAP grants were applied to their average bill</w:t>
      </w:r>
      <w:r w:rsidR="00F350D2" w:rsidRPr="00EE5714">
        <w:rPr>
          <w:rFonts w:ascii="Times New Roman" w:hAnsi="Times New Roman" w:cs="Times New Roman"/>
          <w:sz w:val="26"/>
          <w:szCs w:val="26"/>
        </w:rPr>
        <w:t>s</w:t>
      </w:r>
      <w:r w:rsidRPr="00EE5714">
        <w:rPr>
          <w:rFonts w:ascii="Times New Roman" w:hAnsi="Times New Roman" w:cs="Times New Roman"/>
          <w:sz w:val="26"/>
          <w:szCs w:val="26"/>
        </w:rPr>
        <w:t xml:space="preserve">.  Tables 4-8 and 4-9 show the pre- and post-LIHEAP energy burdens for EDC CAP customers with incomes at 101 to 150% </w:t>
      </w:r>
      <w:r w:rsidR="0074377D" w:rsidRPr="00EE5714">
        <w:rPr>
          <w:rFonts w:ascii="Times New Roman" w:hAnsi="Times New Roman" w:cs="Times New Roman"/>
          <w:sz w:val="26"/>
          <w:szCs w:val="26"/>
        </w:rPr>
        <w:t xml:space="preserve">of FPIG </w:t>
      </w:r>
      <w:r w:rsidRPr="00EE5714">
        <w:rPr>
          <w:rFonts w:ascii="Times New Roman" w:hAnsi="Times New Roman" w:cs="Times New Roman"/>
          <w:sz w:val="26"/>
          <w:szCs w:val="26"/>
        </w:rPr>
        <w:t>who received LIHEAP.</w:t>
      </w:r>
    </w:p>
    <w:p w14:paraId="12A49C93" w14:textId="77777777" w:rsidR="00537A5C" w:rsidRPr="00EE5714" w:rsidRDefault="00537A5C" w:rsidP="00527571">
      <w:pPr>
        <w:keepNext/>
        <w:spacing w:after="0" w:line="240" w:lineRule="auto"/>
        <w:contextualSpacing/>
        <w:jc w:val="center"/>
        <w:rPr>
          <w:rFonts w:ascii="Times New Roman" w:hAnsi="Times New Roman" w:cs="Times New Roman"/>
          <w:b/>
          <w:bCs/>
          <w:sz w:val="26"/>
          <w:szCs w:val="26"/>
        </w:rPr>
      </w:pPr>
    </w:p>
    <w:p w14:paraId="501779AF" w14:textId="77777777" w:rsidR="00BB0DF2" w:rsidRPr="00EE5714" w:rsidRDefault="00BB0DF2" w:rsidP="00527571">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Observations</w:t>
      </w:r>
    </w:p>
    <w:p w14:paraId="2FA416F3" w14:textId="77777777" w:rsidR="00BB0DF2" w:rsidRPr="00EE5714" w:rsidRDefault="00BB0DF2" w:rsidP="00BB0DF2">
      <w:pPr>
        <w:keepNext/>
        <w:spacing w:after="0" w:line="240" w:lineRule="auto"/>
        <w:contextualSpacing/>
        <w:jc w:val="center"/>
        <w:rPr>
          <w:rFonts w:ascii="Times New Roman" w:hAnsi="Times New Roman" w:cs="Times New Roman"/>
          <w:sz w:val="26"/>
          <w:szCs w:val="26"/>
        </w:rPr>
      </w:pPr>
    </w:p>
    <w:p w14:paraId="45114317" w14:textId="77777777" w:rsidR="00287080" w:rsidRPr="00EE5714" w:rsidRDefault="00C773F0" w:rsidP="00BB0DF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957A80" w:rsidRPr="00EE5714">
        <w:rPr>
          <w:rFonts w:ascii="Times New Roman" w:hAnsi="Times New Roman" w:cs="Times New Roman"/>
          <w:sz w:val="26"/>
          <w:szCs w:val="26"/>
        </w:rPr>
        <w:t xml:space="preserve">The analysis reflects that LIHEAP </w:t>
      </w:r>
      <w:r w:rsidR="00776278" w:rsidRPr="00EE5714">
        <w:rPr>
          <w:rFonts w:ascii="Times New Roman" w:hAnsi="Times New Roman" w:cs="Times New Roman"/>
          <w:sz w:val="26"/>
          <w:szCs w:val="26"/>
        </w:rPr>
        <w:t xml:space="preserve">has a </w:t>
      </w:r>
      <w:r w:rsidR="002F49AF" w:rsidRPr="00EE5714">
        <w:rPr>
          <w:rFonts w:ascii="Times New Roman" w:hAnsi="Times New Roman" w:cs="Times New Roman"/>
          <w:sz w:val="26"/>
          <w:szCs w:val="26"/>
        </w:rPr>
        <w:t xml:space="preserve">measurable </w:t>
      </w:r>
      <w:r w:rsidR="00776278" w:rsidRPr="00EE5714">
        <w:rPr>
          <w:rFonts w:ascii="Times New Roman" w:hAnsi="Times New Roman" w:cs="Times New Roman"/>
          <w:sz w:val="26"/>
          <w:szCs w:val="26"/>
        </w:rPr>
        <w:t>impact on energy burden</w:t>
      </w:r>
      <w:r w:rsidR="002F49AF" w:rsidRPr="00EE5714">
        <w:rPr>
          <w:rFonts w:ascii="Times New Roman" w:hAnsi="Times New Roman" w:cs="Times New Roman"/>
          <w:sz w:val="26"/>
          <w:szCs w:val="26"/>
        </w:rPr>
        <w:t>s</w:t>
      </w:r>
      <w:r w:rsidR="00776278" w:rsidRPr="00EE5714">
        <w:rPr>
          <w:rFonts w:ascii="Times New Roman" w:hAnsi="Times New Roman" w:cs="Times New Roman"/>
          <w:sz w:val="26"/>
          <w:szCs w:val="26"/>
        </w:rPr>
        <w:t xml:space="preserve"> for CAP customers. </w:t>
      </w:r>
    </w:p>
    <w:p w14:paraId="4247A8E4" w14:textId="77777777" w:rsidR="00287080" w:rsidRPr="00EE5714" w:rsidRDefault="00287080" w:rsidP="00BB0DF2">
      <w:pPr>
        <w:spacing w:after="0" w:line="240" w:lineRule="auto"/>
        <w:contextualSpacing/>
        <w:rPr>
          <w:rFonts w:ascii="Times New Roman" w:hAnsi="Times New Roman" w:cs="Times New Roman"/>
          <w:sz w:val="26"/>
          <w:szCs w:val="26"/>
        </w:rPr>
      </w:pPr>
    </w:p>
    <w:p w14:paraId="5226FD02" w14:textId="77777777" w:rsidR="00776278" w:rsidRPr="00EE5714" w:rsidRDefault="00B11EB8" w:rsidP="00BB0DF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081517" w:rsidRPr="00EE5714">
        <w:rPr>
          <w:rFonts w:ascii="Times New Roman" w:hAnsi="Times New Roman" w:cs="Times New Roman"/>
          <w:sz w:val="26"/>
          <w:szCs w:val="26"/>
        </w:rPr>
        <w:t xml:space="preserve">After applying LIHEAP, </w:t>
      </w:r>
      <w:r w:rsidR="00776278" w:rsidRPr="00EE5714">
        <w:rPr>
          <w:rFonts w:ascii="Times New Roman" w:hAnsi="Times New Roman" w:cs="Times New Roman"/>
          <w:sz w:val="26"/>
          <w:szCs w:val="26"/>
        </w:rPr>
        <w:t xml:space="preserve">CAP customers with incomes at or below 50% FPIG </w:t>
      </w:r>
      <w:r w:rsidR="002F49AF" w:rsidRPr="00EE5714">
        <w:rPr>
          <w:rFonts w:ascii="Times New Roman" w:hAnsi="Times New Roman" w:cs="Times New Roman"/>
          <w:sz w:val="26"/>
          <w:szCs w:val="26"/>
        </w:rPr>
        <w:t xml:space="preserve">level </w:t>
      </w:r>
      <w:r w:rsidR="00776278" w:rsidRPr="00EE5714">
        <w:rPr>
          <w:rFonts w:ascii="Times New Roman" w:hAnsi="Times New Roman" w:cs="Times New Roman"/>
          <w:sz w:val="26"/>
          <w:szCs w:val="26"/>
        </w:rPr>
        <w:t>experienced an energy burden decrease of approximately 5 to 6</w:t>
      </w:r>
      <w:r w:rsidR="003260FC" w:rsidRPr="00EE5714">
        <w:rPr>
          <w:rFonts w:ascii="Times New Roman" w:hAnsi="Times New Roman" w:cs="Times New Roman"/>
          <w:sz w:val="26"/>
          <w:szCs w:val="26"/>
        </w:rPr>
        <w:t xml:space="preserve"> percentage points</w:t>
      </w:r>
      <w:r w:rsidR="00776278" w:rsidRPr="00EE5714">
        <w:rPr>
          <w:rFonts w:ascii="Times New Roman" w:hAnsi="Times New Roman" w:cs="Times New Roman"/>
          <w:sz w:val="26"/>
          <w:szCs w:val="26"/>
        </w:rPr>
        <w:t xml:space="preserve"> for gas </w:t>
      </w:r>
      <w:r w:rsidR="00934DA1" w:rsidRPr="00EE5714">
        <w:rPr>
          <w:rFonts w:ascii="Times New Roman" w:hAnsi="Times New Roman" w:cs="Times New Roman"/>
          <w:sz w:val="26"/>
          <w:szCs w:val="26"/>
        </w:rPr>
        <w:t>heating</w:t>
      </w:r>
      <w:r w:rsidR="004C4BB5" w:rsidRPr="00EE5714">
        <w:rPr>
          <w:rFonts w:ascii="Times New Roman" w:hAnsi="Times New Roman" w:cs="Times New Roman"/>
          <w:sz w:val="26"/>
          <w:szCs w:val="26"/>
        </w:rPr>
        <w:t xml:space="preserve">, 6 to 8 </w:t>
      </w:r>
      <w:r w:rsidR="00D9423B" w:rsidRPr="00EE5714">
        <w:rPr>
          <w:rFonts w:ascii="Times New Roman" w:hAnsi="Times New Roman" w:cs="Times New Roman"/>
          <w:sz w:val="26"/>
          <w:szCs w:val="26"/>
        </w:rPr>
        <w:t xml:space="preserve">percentage points </w:t>
      </w:r>
      <w:r w:rsidR="004C4BB5" w:rsidRPr="00EE5714">
        <w:rPr>
          <w:rFonts w:ascii="Times New Roman" w:hAnsi="Times New Roman" w:cs="Times New Roman"/>
          <w:sz w:val="26"/>
          <w:szCs w:val="26"/>
        </w:rPr>
        <w:t xml:space="preserve">for </w:t>
      </w:r>
      <w:r w:rsidR="00776278" w:rsidRPr="00EE5714">
        <w:rPr>
          <w:rFonts w:ascii="Times New Roman" w:hAnsi="Times New Roman" w:cs="Times New Roman"/>
          <w:sz w:val="26"/>
          <w:szCs w:val="26"/>
        </w:rPr>
        <w:t>electric non-heating</w:t>
      </w:r>
      <w:r w:rsidR="004C4BB5" w:rsidRPr="00EE5714">
        <w:rPr>
          <w:rFonts w:ascii="Times New Roman" w:hAnsi="Times New Roman" w:cs="Times New Roman"/>
          <w:sz w:val="26"/>
          <w:szCs w:val="26"/>
        </w:rPr>
        <w:t>, and</w:t>
      </w:r>
      <w:r w:rsidR="00776278" w:rsidRPr="00EE5714">
        <w:rPr>
          <w:rFonts w:ascii="Times New Roman" w:hAnsi="Times New Roman" w:cs="Times New Roman"/>
          <w:sz w:val="26"/>
          <w:szCs w:val="26"/>
        </w:rPr>
        <w:t xml:space="preserve"> approximately </w:t>
      </w:r>
      <w:r w:rsidR="004C4BB5" w:rsidRPr="00EE5714">
        <w:rPr>
          <w:rFonts w:ascii="Times New Roman" w:hAnsi="Times New Roman" w:cs="Times New Roman"/>
          <w:sz w:val="26"/>
          <w:szCs w:val="26"/>
        </w:rPr>
        <w:t>7</w:t>
      </w:r>
      <w:r w:rsidRPr="00EE5714">
        <w:rPr>
          <w:rFonts w:ascii="Times New Roman" w:hAnsi="Times New Roman" w:cs="Times New Roman"/>
          <w:sz w:val="26"/>
          <w:szCs w:val="26"/>
        </w:rPr>
        <w:t> </w:t>
      </w:r>
      <w:r w:rsidR="00776278" w:rsidRPr="00EE5714">
        <w:rPr>
          <w:rFonts w:ascii="Times New Roman" w:hAnsi="Times New Roman" w:cs="Times New Roman"/>
          <w:sz w:val="26"/>
          <w:szCs w:val="26"/>
        </w:rPr>
        <w:t>to</w:t>
      </w:r>
      <w:r w:rsidRPr="00EE5714">
        <w:rPr>
          <w:rFonts w:ascii="Times New Roman" w:hAnsi="Times New Roman" w:cs="Times New Roman"/>
          <w:sz w:val="26"/>
          <w:szCs w:val="26"/>
        </w:rPr>
        <w:t> </w:t>
      </w:r>
      <w:r w:rsidR="004C4BB5" w:rsidRPr="00EE5714">
        <w:rPr>
          <w:rFonts w:ascii="Times New Roman" w:hAnsi="Times New Roman" w:cs="Times New Roman"/>
          <w:sz w:val="26"/>
          <w:szCs w:val="26"/>
        </w:rPr>
        <w:t>9</w:t>
      </w:r>
      <w:r w:rsidR="00D9423B" w:rsidRPr="00EE5714">
        <w:rPr>
          <w:rFonts w:ascii="Times New Roman" w:hAnsi="Times New Roman" w:cs="Times New Roman"/>
          <w:sz w:val="26"/>
          <w:szCs w:val="26"/>
        </w:rPr>
        <w:t xml:space="preserve"> percentage points</w:t>
      </w:r>
      <w:r w:rsidR="00776278" w:rsidRPr="00EE5714">
        <w:rPr>
          <w:rFonts w:ascii="Times New Roman" w:hAnsi="Times New Roman" w:cs="Times New Roman"/>
          <w:sz w:val="26"/>
          <w:szCs w:val="26"/>
        </w:rPr>
        <w:t xml:space="preserve"> for electric heating.</w:t>
      </w:r>
      <w:r w:rsidR="004C4BB5" w:rsidRPr="00EE5714">
        <w:rPr>
          <w:rFonts w:ascii="Times New Roman" w:hAnsi="Times New Roman" w:cs="Times New Roman"/>
          <w:sz w:val="26"/>
          <w:szCs w:val="26"/>
        </w:rPr>
        <w:t xml:space="preserve">  Even with these decreases, however, the average energy burden for </w:t>
      </w:r>
      <w:r w:rsidR="004B1723" w:rsidRPr="00EE5714">
        <w:rPr>
          <w:rFonts w:ascii="Times New Roman" w:hAnsi="Times New Roman" w:cs="Times New Roman"/>
          <w:sz w:val="26"/>
          <w:szCs w:val="26"/>
        </w:rPr>
        <w:t xml:space="preserve">CAP </w:t>
      </w:r>
      <w:r w:rsidR="004C4BB5" w:rsidRPr="00EE5714">
        <w:rPr>
          <w:rFonts w:ascii="Times New Roman" w:hAnsi="Times New Roman" w:cs="Times New Roman"/>
          <w:sz w:val="26"/>
          <w:szCs w:val="26"/>
        </w:rPr>
        <w:t xml:space="preserve">households at this </w:t>
      </w:r>
      <w:r w:rsidR="005401D2" w:rsidRPr="00EE5714">
        <w:rPr>
          <w:rFonts w:ascii="Times New Roman" w:hAnsi="Times New Roman" w:cs="Times New Roman"/>
          <w:sz w:val="26"/>
          <w:szCs w:val="26"/>
        </w:rPr>
        <w:t xml:space="preserve">FPIG </w:t>
      </w:r>
      <w:r w:rsidR="004C4BB5" w:rsidRPr="00EE5714">
        <w:rPr>
          <w:rFonts w:ascii="Times New Roman" w:hAnsi="Times New Roman" w:cs="Times New Roman"/>
          <w:sz w:val="26"/>
          <w:szCs w:val="26"/>
        </w:rPr>
        <w:t xml:space="preserve">level </w:t>
      </w:r>
      <w:r w:rsidR="004B1723" w:rsidRPr="00EE5714">
        <w:rPr>
          <w:rFonts w:ascii="Times New Roman" w:hAnsi="Times New Roman" w:cs="Times New Roman"/>
          <w:sz w:val="26"/>
          <w:szCs w:val="26"/>
        </w:rPr>
        <w:t xml:space="preserve">who received LIHEAP </w:t>
      </w:r>
      <w:r w:rsidR="004C4BB5" w:rsidRPr="00EE5714">
        <w:rPr>
          <w:rFonts w:ascii="Times New Roman" w:hAnsi="Times New Roman" w:cs="Times New Roman"/>
          <w:sz w:val="26"/>
          <w:szCs w:val="26"/>
        </w:rPr>
        <w:t>generally exceeded the maximum energy burden guidelines in the CAP Policy Statement.</w:t>
      </w:r>
    </w:p>
    <w:p w14:paraId="3CC508D3" w14:textId="77777777" w:rsidR="004B1723" w:rsidRPr="00EE5714" w:rsidRDefault="004B1723" w:rsidP="00BB0DF2">
      <w:pPr>
        <w:spacing w:after="0" w:line="240" w:lineRule="auto"/>
        <w:contextualSpacing/>
        <w:rPr>
          <w:rFonts w:ascii="Times New Roman" w:hAnsi="Times New Roman" w:cs="Times New Roman"/>
          <w:sz w:val="26"/>
          <w:szCs w:val="26"/>
        </w:rPr>
      </w:pPr>
    </w:p>
    <w:p w14:paraId="6DF04AFC" w14:textId="77777777" w:rsidR="004B1723" w:rsidRPr="00EE5714" w:rsidRDefault="00B46B87" w:rsidP="004B1723">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081517" w:rsidRPr="00EE5714">
        <w:rPr>
          <w:rFonts w:ascii="Times New Roman" w:hAnsi="Times New Roman" w:cs="Times New Roman"/>
          <w:sz w:val="26"/>
          <w:szCs w:val="26"/>
        </w:rPr>
        <w:t xml:space="preserve">After applying LIHEAP, </w:t>
      </w:r>
      <w:r w:rsidR="004B1723" w:rsidRPr="00EE5714">
        <w:rPr>
          <w:rFonts w:ascii="Times New Roman" w:hAnsi="Times New Roman" w:cs="Times New Roman"/>
          <w:sz w:val="26"/>
          <w:szCs w:val="26"/>
        </w:rPr>
        <w:t>CAP customers with incomes between 51</w:t>
      </w:r>
      <w:r w:rsidR="00287080" w:rsidRPr="00EE5714">
        <w:rPr>
          <w:rFonts w:ascii="Times New Roman" w:hAnsi="Times New Roman" w:cs="Times New Roman"/>
          <w:sz w:val="26"/>
          <w:szCs w:val="26"/>
        </w:rPr>
        <w:t xml:space="preserve"> </w:t>
      </w:r>
      <w:r w:rsidR="004033D1" w:rsidRPr="00EE5714">
        <w:rPr>
          <w:rFonts w:ascii="Times New Roman" w:hAnsi="Times New Roman" w:cs="Times New Roman"/>
          <w:sz w:val="26"/>
          <w:szCs w:val="26"/>
        </w:rPr>
        <w:t xml:space="preserve">and </w:t>
      </w:r>
      <w:r w:rsidR="004B1723" w:rsidRPr="00EE5714">
        <w:rPr>
          <w:rFonts w:ascii="Times New Roman" w:hAnsi="Times New Roman" w:cs="Times New Roman"/>
          <w:sz w:val="26"/>
          <w:szCs w:val="26"/>
        </w:rPr>
        <w:t>100% of the FPIG experienced an energy burden</w:t>
      </w:r>
      <w:r w:rsidR="004B1723" w:rsidRPr="00EE5714" w:rsidDel="004033D1">
        <w:rPr>
          <w:rFonts w:ascii="Times New Roman" w:hAnsi="Times New Roman" w:cs="Times New Roman"/>
          <w:sz w:val="26"/>
          <w:szCs w:val="26"/>
        </w:rPr>
        <w:t xml:space="preserve"> </w:t>
      </w:r>
      <w:r w:rsidR="004B1723" w:rsidRPr="00EE5714">
        <w:rPr>
          <w:rFonts w:ascii="Times New Roman" w:hAnsi="Times New Roman" w:cs="Times New Roman"/>
          <w:sz w:val="26"/>
          <w:szCs w:val="26"/>
        </w:rPr>
        <w:t>decrease of approximately 2 to 3</w:t>
      </w:r>
      <w:r w:rsidRPr="00EE5714">
        <w:rPr>
          <w:rFonts w:ascii="Times New Roman" w:hAnsi="Times New Roman" w:cs="Times New Roman"/>
          <w:sz w:val="26"/>
          <w:szCs w:val="26"/>
        </w:rPr>
        <w:t xml:space="preserve"> percentage points</w:t>
      </w:r>
      <w:r w:rsidR="004B1723" w:rsidRPr="00EE5714">
        <w:rPr>
          <w:rFonts w:ascii="Times New Roman" w:hAnsi="Times New Roman" w:cs="Times New Roman"/>
          <w:sz w:val="26"/>
          <w:szCs w:val="26"/>
        </w:rPr>
        <w:t xml:space="preserve"> for gas </w:t>
      </w:r>
      <w:r w:rsidR="00934DA1" w:rsidRPr="00EE5714">
        <w:rPr>
          <w:rFonts w:ascii="Times New Roman" w:hAnsi="Times New Roman" w:cs="Times New Roman"/>
          <w:sz w:val="26"/>
          <w:szCs w:val="26"/>
        </w:rPr>
        <w:t>heating</w:t>
      </w:r>
      <w:r w:rsidR="004B1723" w:rsidRPr="00EE5714">
        <w:rPr>
          <w:rFonts w:ascii="Times New Roman" w:hAnsi="Times New Roman" w:cs="Times New Roman"/>
          <w:sz w:val="26"/>
          <w:szCs w:val="26"/>
        </w:rPr>
        <w:t xml:space="preserve"> and 3</w:t>
      </w:r>
      <w:r w:rsidRPr="00EE5714">
        <w:rPr>
          <w:rFonts w:ascii="Times New Roman" w:hAnsi="Times New Roman" w:cs="Times New Roman"/>
          <w:sz w:val="26"/>
          <w:szCs w:val="26"/>
        </w:rPr>
        <w:t xml:space="preserve"> percentage points </w:t>
      </w:r>
      <w:r w:rsidR="004B1723" w:rsidRPr="00EE5714">
        <w:rPr>
          <w:rFonts w:ascii="Times New Roman" w:hAnsi="Times New Roman" w:cs="Times New Roman"/>
          <w:sz w:val="26"/>
          <w:szCs w:val="26"/>
        </w:rPr>
        <w:t>for electric non-heating and heating.  The energy burden</w:t>
      </w:r>
      <w:r w:rsidR="004033D1" w:rsidRPr="00EE5714">
        <w:rPr>
          <w:rFonts w:ascii="Times New Roman" w:hAnsi="Times New Roman" w:cs="Times New Roman"/>
          <w:sz w:val="26"/>
          <w:szCs w:val="26"/>
        </w:rPr>
        <w:t>s</w:t>
      </w:r>
      <w:r w:rsidR="004B1723" w:rsidRPr="00EE5714" w:rsidDel="004033D1">
        <w:rPr>
          <w:rFonts w:ascii="Times New Roman" w:hAnsi="Times New Roman" w:cs="Times New Roman"/>
          <w:sz w:val="26"/>
          <w:szCs w:val="26"/>
        </w:rPr>
        <w:t xml:space="preserve"> </w:t>
      </w:r>
      <w:r w:rsidR="004B1723" w:rsidRPr="00EE5714">
        <w:rPr>
          <w:rFonts w:ascii="Times New Roman" w:hAnsi="Times New Roman" w:cs="Times New Roman"/>
          <w:sz w:val="26"/>
          <w:szCs w:val="26"/>
        </w:rPr>
        <w:t xml:space="preserve">for some NGDC and EDC non-heating CAP customers at this income level remained above the CAP Policy Statement guidelines </w:t>
      </w:r>
      <w:r w:rsidR="00CC7D24" w:rsidRPr="00EE5714">
        <w:rPr>
          <w:rFonts w:ascii="Times New Roman" w:hAnsi="Times New Roman" w:cs="Times New Roman"/>
          <w:sz w:val="26"/>
          <w:szCs w:val="26"/>
        </w:rPr>
        <w:t xml:space="preserve">after application of LIHEAP.  </w:t>
      </w:r>
    </w:p>
    <w:p w14:paraId="36799890" w14:textId="77777777" w:rsidR="00CC7D24" w:rsidRPr="00EE5714" w:rsidRDefault="00CC7D24" w:rsidP="004B1723">
      <w:pPr>
        <w:spacing w:after="0" w:line="240" w:lineRule="auto"/>
        <w:contextualSpacing/>
        <w:rPr>
          <w:rFonts w:ascii="Times New Roman" w:hAnsi="Times New Roman" w:cs="Times New Roman"/>
          <w:sz w:val="26"/>
          <w:szCs w:val="26"/>
        </w:rPr>
      </w:pPr>
    </w:p>
    <w:p w14:paraId="71DE9F41" w14:textId="77777777" w:rsidR="00CC7D24" w:rsidRPr="00EE5714" w:rsidRDefault="00805530" w:rsidP="004B1723">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081517" w:rsidRPr="00EE5714">
        <w:rPr>
          <w:rFonts w:ascii="Times New Roman" w:hAnsi="Times New Roman" w:cs="Times New Roman"/>
          <w:sz w:val="26"/>
          <w:szCs w:val="26"/>
        </w:rPr>
        <w:t xml:space="preserve">After applying LIHEAP, </w:t>
      </w:r>
      <w:r w:rsidR="00CC7D24" w:rsidRPr="00EE5714">
        <w:rPr>
          <w:rFonts w:ascii="Times New Roman" w:hAnsi="Times New Roman" w:cs="Times New Roman"/>
          <w:sz w:val="26"/>
          <w:szCs w:val="26"/>
        </w:rPr>
        <w:t xml:space="preserve">CAP customers with incomes between </w:t>
      </w:r>
      <w:r w:rsidR="003F3EC4" w:rsidRPr="00EE5714">
        <w:rPr>
          <w:rFonts w:ascii="Times New Roman" w:hAnsi="Times New Roman" w:cs="Times New Roman"/>
          <w:sz w:val="26"/>
          <w:szCs w:val="26"/>
        </w:rPr>
        <w:t>10</w:t>
      </w:r>
      <w:r w:rsidR="00CC7D24" w:rsidRPr="00EE5714">
        <w:rPr>
          <w:rFonts w:ascii="Times New Roman" w:hAnsi="Times New Roman" w:cs="Times New Roman"/>
          <w:sz w:val="26"/>
          <w:szCs w:val="26"/>
        </w:rPr>
        <w:t>1</w:t>
      </w:r>
      <w:r w:rsidR="008158FD" w:rsidRPr="00EE5714">
        <w:rPr>
          <w:rFonts w:ascii="Times New Roman" w:hAnsi="Times New Roman" w:cs="Times New Roman"/>
          <w:sz w:val="26"/>
          <w:szCs w:val="26"/>
        </w:rPr>
        <w:t xml:space="preserve"> and </w:t>
      </w:r>
      <w:r w:rsidR="00CC7D24" w:rsidRPr="00EE5714">
        <w:rPr>
          <w:rFonts w:ascii="Times New Roman" w:hAnsi="Times New Roman" w:cs="Times New Roman"/>
          <w:sz w:val="26"/>
          <w:szCs w:val="26"/>
        </w:rPr>
        <w:t>1</w:t>
      </w:r>
      <w:r w:rsidR="003F3EC4" w:rsidRPr="00EE5714">
        <w:rPr>
          <w:rFonts w:ascii="Times New Roman" w:hAnsi="Times New Roman" w:cs="Times New Roman"/>
          <w:sz w:val="26"/>
          <w:szCs w:val="26"/>
        </w:rPr>
        <w:t>50</w:t>
      </w:r>
      <w:r w:rsidR="00CC7D24" w:rsidRPr="00EE5714">
        <w:rPr>
          <w:rFonts w:ascii="Times New Roman" w:hAnsi="Times New Roman" w:cs="Times New Roman"/>
          <w:sz w:val="26"/>
          <w:szCs w:val="26"/>
        </w:rPr>
        <w:t xml:space="preserve">% of the FPIG experienced an energy burden decrease of approximately </w:t>
      </w:r>
      <w:r w:rsidR="003F3EC4" w:rsidRPr="00EE5714">
        <w:rPr>
          <w:rFonts w:ascii="Times New Roman" w:hAnsi="Times New Roman" w:cs="Times New Roman"/>
          <w:sz w:val="26"/>
          <w:szCs w:val="26"/>
        </w:rPr>
        <w:t>1</w:t>
      </w:r>
      <w:r w:rsidR="00CC7D24" w:rsidRPr="00EE5714">
        <w:rPr>
          <w:rFonts w:ascii="Times New Roman" w:hAnsi="Times New Roman" w:cs="Times New Roman"/>
          <w:sz w:val="26"/>
          <w:szCs w:val="26"/>
        </w:rPr>
        <w:t xml:space="preserve"> to </w:t>
      </w:r>
      <w:r w:rsidR="003F3EC4" w:rsidRPr="00EE5714">
        <w:rPr>
          <w:rFonts w:ascii="Times New Roman" w:hAnsi="Times New Roman" w:cs="Times New Roman"/>
          <w:sz w:val="26"/>
          <w:szCs w:val="26"/>
        </w:rPr>
        <w:t>2</w:t>
      </w:r>
      <w:r w:rsidRPr="00EE5714">
        <w:rPr>
          <w:rFonts w:ascii="Times New Roman" w:hAnsi="Times New Roman" w:cs="Times New Roman"/>
          <w:sz w:val="26"/>
          <w:szCs w:val="26"/>
        </w:rPr>
        <w:t xml:space="preserve"> percentage points</w:t>
      </w:r>
      <w:r w:rsidR="00CC7D24" w:rsidRPr="00EE5714">
        <w:rPr>
          <w:rFonts w:ascii="Times New Roman" w:hAnsi="Times New Roman" w:cs="Times New Roman"/>
          <w:sz w:val="26"/>
          <w:szCs w:val="26"/>
        </w:rPr>
        <w:t xml:space="preserve"> for gas </w:t>
      </w:r>
      <w:r w:rsidR="00934DA1" w:rsidRPr="00EE5714">
        <w:rPr>
          <w:rFonts w:ascii="Times New Roman" w:hAnsi="Times New Roman" w:cs="Times New Roman"/>
          <w:sz w:val="26"/>
          <w:szCs w:val="26"/>
        </w:rPr>
        <w:t xml:space="preserve">heating, </w:t>
      </w:r>
      <w:r w:rsidR="00CC7D24" w:rsidRPr="00EE5714">
        <w:rPr>
          <w:rFonts w:ascii="Times New Roman" w:hAnsi="Times New Roman" w:cs="Times New Roman"/>
          <w:sz w:val="26"/>
          <w:szCs w:val="26"/>
        </w:rPr>
        <w:t>electric non-heating</w:t>
      </w:r>
      <w:r w:rsidR="00934DA1" w:rsidRPr="00EE5714">
        <w:rPr>
          <w:rFonts w:ascii="Times New Roman" w:hAnsi="Times New Roman" w:cs="Times New Roman"/>
          <w:sz w:val="26"/>
          <w:szCs w:val="26"/>
        </w:rPr>
        <w:t>,</w:t>
      </w:r>
      <w:r w:rsidR="00CC7D24" w:rsidRPr="00EE5714">
        <w:rPr>
          <w:rFonts w:ascii="Times New Roman" w:hAnsi="Times New Roman" w:cs="Times New Roman"/>
          <w:sz w:val="26"/>
          <w:szCs w:val="26"/>
        </w:rPr>
        <w:t xml:space="preserve"> and </w:t>
      </w:r>
      <w:r w:rsidR="00934DA1" w:rsidRPr="00EE5714">
        <w:rPr>
          <w:rFonts w:ascii="Times New Roman" w:hAnsi="Times New Roman" w:cs="Times New Roman"/>
          <w:sz w:val="26"/>
          <w:szCs w:val="26"/>
        </w:rPr>
        <w:t xml:space="preserve">electric </w:t>
      </w:r>
      <w:r w:rsidR="00CC7D24" w:rsidRPr="00EE5714">
        <w:rPr>
          <w:rFonts w:ascii="Times New Roman" w:hAnsi="Times New Roman" w:cs="Times New Roman"/>
          <w:sz w:val="26"/>
          <w:szCs w:val="26"/>
        </w:rPr>
        <w:t xml:space="preserve">heating.  The energy burden </w:t>
      </w:r>
      <w:r w:rsidR="00CC7D24" w:rsidRPr="00EE5714">
        <w:rPr>
          <w:rFonts w:ascii="Times New Roman" w:hAnsi="Times New Roman" w:cs="Times New Roman"/>
          <w:sz w:val="26"/>
          <w:szCs w:val="26"/>
        </w:rPr>
        <w:lastRenderedPageBreak/>
        <w:t xml:space="preserve">levels for NGDC and EDC CAP customers </w:t>
      </w:r>
      <w:r w:rsidR="00B01732" w:rsidRPr="00EE5714">
        <w:rPr>
          <w:rFonts w:ascii="Times New Roman" w:hAnsi="Times New Roman" w:cs="Times New Roman"/>
          <w:sz w:val="26"/>
          <w:szCs w:val="26"/>
        </w:rPr>
        <w:t>at this FPIG were</w:t>
      </w:r>
      <w:r w:rsidR="00934DA1" w:rsidRPr="00EE5714">
        <w:rPr>
          <w:rFonts w:ascii="Times New Roman" w:hAnsi="Times New Roman" w:cs="Times New Roman"/>
          <w:sz w:val="26"/>
          <w:szCs w:val="26"/>
        </w:rPr>
        <w:t xml:space="preserve"> generally below</w:t>
      </w:r>
      <w:r w:rsidR="00CC7D24" w:rsidRPr="00EE5714">
        <w:rPr>
          <w:rFonts w:ascii="Times New Roman" w:hAnsi="Times New Roman" w:cs="Times New Roman"/>
          <w:sz w:val="26"/>
          <w:szCs w:val="26"/>
        </w:rPr>
        <w:t xml:space="preserve"> the CAP Policy Statement guidelines after application of LIHEAP.</w:t>
      </w:r>
    </w:p>
    <w:p w14:paraId="049083BE" w14:textId="77777777" w:rsidR="00081517" w:rsidRPr="00EE5714" w:rsidRDefault="00081517" w:rsidP="004B1723">
      <w:pPr>
        <w:spacing w:after="0" w:line="240" w:lineRule="auto"/>
        <w:contextualSpacing/>
        <w:rPr>
          <w:rFonts w:ascii="Times New Roman" w:hAnsi="Times New Roman" w:cs="Times New Roman"/>
          <w:sz w:val="26"/>
          <w:szCs w:val="26"/>
        </w:rPr>
      </w:pPr>
    </w:p>
    <w:p w14:paraId="371ABEB4" w14:textId="77777777" w:rsidR="00081517" w:rsidRPr="00EE5714" w:rsidRDefault="00022E6F" w:rsidP="00FC3FD4">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LIHEAP had the most impact on </w:t>
      </w:r>
      <w:r w:rsidR="00F2727D" w:rsidRPr="00EE5714">
        <w:rPr>
          <w:rFonts w:ascii="Times New Roman" w:hAnsi="Times New Roman" w:cs="Times New Roman"/>
          <w:sz w:val="26"/>
          <w:szCs w:val="26"/>
        </w:rPr>
        <w:t xml:space="preserve">reducing </w:t>
      </w:r>
      <w:r w:rsidR="00081517" w:rsidRPr="00EE5714">
        <w:rPr>
          <w:rFonts w:ascii="Times New Roman" w:hAnsi="Times New Roman" w:cs="Times New Roman"/>
          <w:sz w:val="26"/>
          <w:szCs w:val="26"/>
        </w:rPr>
        <w:t>energy burden</w:t>
      </w:r>
      <w:r w:rsidR="005A61F5" w:rsidRPr="00EE5714">
        <w:rPr>
          <w:rFonts w:ascii="Times New Roman" w:hAnsi="Times New Roman" w:cs="Times New Roman"/>
          <w:sz w:val="26"/>
          <w:szCs w:val="26"/>
        </w:rPr>
        <w:t>s</w:t>
      </w:r>
      <w:r w:rsidR="00081517" w:rsidRPr="00EE5714">
        <w:rPr>
          <w:rFonts w:ascii="Times New Roman" w:hAnsi="Times New Roman" w:cs="Times New Roman"/>
          <w:sz w:val="26"/>
          <w:szCs w:val="26"/>
        </w:rPr>
        <w:t xml:space="preserve"> for NGDC CAP customers </w:t>
      </w:r>
      <w:r w:rsidRPr="00EE5714">
        <w:rPr>
          <w:rFonts w:ascii="Times New Roman" w:hAnsi="Times New Roman" w:cs="Times New Roman"/>
          <w:sz w:val="26"/>
          <w:szCs w:val="26"/>
        </w:rPr>
        <w:t>in 2016</w:t>
      </w:r>
      <w:r w:rsidR="007241B3" w:rsidRPr="00EE5714">
        <w:rPr>
          <w:rFonts w:ascii="Times New Roman" w:hAnsi="Times New Roman" w:cs="Times New Roman"/>
          <w:sz w:val="26"/>
          <w:szCs w:val="26"/>
        </w:rPr>
        <w:t>, across all FPIG levels</w:t>
      </w:r>
      <w:r w:rsidRPr="00EE5714">
        <w:rPr>
          <w:rFonts w:ascii="Times New Roman" w:hAnsi="Times New Roman" w:cs="Times New Roman"/>
          <w:sz w:val="26"/>
          <w:szCs w:val="26"/>
        </w:rPr>
        <w:t xml:space="preserve">.  This </w:t>
      </w:r>
      <w:r w:rsidR="00FC3FD4" w:rsidRPr="00EE5714">
        <w:rPr>
          <w:rFonts w:ascii="Times New Roman" w:hAnsi="Times New Roman" w:cs="Times New Roman"/>
          <w:sz w:val="26"/>
          <w:szCs w:val="26"/>
        </w:rPr>
        <w:t xml:space="preserve">may suggest that more CAP customers assigned their LIHEAP grants to their gas utility that year or the introduction of the </w:t>
      </w:r>
      <w:r w:rsidRPr="00EE5714">
        <w:rPr>
          <w:rFonts w:ascii="Times New Roman" w:hAnsi="Times New Roman" w:cs="Times New Roman"/>
          <w:sz w:val="26"/>
          <w:szCs w:val="26"/>
        </w:rPr>
        <w:t xml:space="preserve">Summer Turn-On grants </w:t>
      </w:r>
      <w:r w:rsidR="00FC3FD4" w:rsidRPr="00EE5714">
        <w:rPr>
          <w:rFonts w:ascii="Times New Roman" w:hAnsi="Times New Roman" w:cs="Times New Roman"/>
          <w:sz w:val="26"/>
          <w:szCs w:val="26"/>
        </w:rPr>
        <w:t xml:space="preserve">increased the amount of LIHEAP monies applied to </w:t>
      </w:r>
      <w:r w:rsidR="00024176" w:rsidRPr="00EE5714">
        <w:rPr>
          <w:rFonts w:ascii="Times New Roman" w:hAnsi="Times New Roman" w:cs="Times New Roman"/>
          <w:sz w:val="26"/>
          <w:szCs w:val="26"/>
        </w:rPr>
        <w:t xml:space="preserve">NGDC </w:t>
      </w:r>
      <w:r w:rsidR="00FC3FD4" w:rsidRPr="00EE5714">
        <w:rPr>
          <w:rFonts w:ascii="Times New Roman" w:hAnsi="Times New Roman" w:cs="Times New Roman"/>
          <w:sz w:val="26"/>
          <w:szCs w:val="26"/>
        </w:rPr>
        <w:t>CAP accounts.</w:t>
      </w:r>
      <w:r w:rsidRPr="00EE5714">
        <w:rPr>
          <w:rFonts w:ascii="Times New Roman" w:hAnsi="Times New Roman" w:cs="Times New Roman"/>
          <w:sz w:val="26"/>
          <w:szCs w:val="26"/>
        </w:rPr>
        <w:t xml:space="preserve"> </w:t>
      </w:r>
    </w:p>
    <w:p w14:paraId="1812DF74" w14:textId="77777777" w:rsidR="005D677A" w:rsidRPr="00EE5714" w:rsidRDefault="005D677A">
      <w:pPr>
        <w:rPr>
          <w:rFonts w:ascii="Times New Roman" w:hAnsi="Times New Roman" w:cs="Times New Roman"/>
          <w:b/>
          <w:color w:val="2F5496" w:themeColor="accent1" w:themeShade="BF"/>
          <w:sz w:val="26"/>
          <w:szCs w:val="26"/>
        </w:rPr>
      </w:pPr>
      <w:r w:rsidRPr="00EE5714">
        <w:rPr>
          <w:rFonts w:ascii="Times New Roman" w:hAnsi="Times New Roman" w:cs="Times New Roman"/>
          <w:b/>
          <w:color w:val="2F5496" w:themeColor="accent1" w:themeShade="BF"/>
          <w:sz w:val="26"/>
          <w:szCs w:val="26"/>
        </w:rPr>
        <w:br w:type="page"/>
      </w:r>
    </w:p>
    <w:p w14:paraId="27131360" w14:textId="77777777" w:rsidR="006665D3" w:rsidRPr="00EE5714" w:rsidRDefault="006665D3">
      <w:pPr>
        <w:pStyle w:val="Heading1"/>
        <w:rPr>
          <w:rFonts w:cs="Times New Roman"/>
          <w:b w:val="0"/>
        </w:rPr>
      </w:pPr>
      <w:bookmarkStart w:id="28" w:name="_Toc533674863"/>
      <w:bookmarkStart w:id="29" w:name="_Toc534547868"/>
      <w:r w:rsidRPr="00EE5714">
        <w:lastRenderedPageBreak/>
        <w:t>V</w:t>
      </w:r>
      <w:r w:rsidR="007D2BB1" w:rsidRPr="00EE5714">
        <w:rPr>
          <w:rFonts w:cs="Times New Roman"/>
        </w:rPr>
        <w:t xml:space="preserve">.  </w:t>
      </w:r>
      <w:r w:rsidRPr="00EE5714">
        <w:rPr>
          <w:rFonts w:cs="Times New Roman"/>
        </w:rPr>
        <w:t xml:space="preserve">Pre-Program </w:t>
      </w:r>
      <w:r w:rsidR="00ED2FA1" w:rsidRPr="00EE5714">
        <w:rPr>
          <w:rFonts w:cs="Times New Roman"/>
        </w:rPr>
        <w:t>Arrear</w:t>
      </w:r>
      <w:r w:rsidR="001C1128" w:rsidRPr="00EE5714">
        <w:rPr>
          <w:rFonts w:cs="Times New Roman"/>
        </w:rPr>
        <w:t xml:space="preserve">ages (PPAs) </w:t>
      </w:r>
      <w:r w:rsidRPr="00EE5714">
        <w:rPr>
          <w:rFonts w:cs="Times New Roman"/>
        </w:rPr>
        <w:t>and In-Program Arrears</w:t>
      </w:r>
      <w:bookmarkEnd w:id="28"/>
      <w:bookmarkEnd w:id="29"/>
      <w:r w:rsidRPr="00EE5714">
        <w:rPr>
          <w:rFonts w:cs="Times New Roman"/>
        </w:rPr>
        <w:t xml:space="preserve"> </w:t>
      </w:r>
    </w:p>
    <w:p w14:paraId="21DB0020" w14:textId="77777777" w:rsidR="00427476" w:rsidRPr="00EE5714" w:rsidRDefault="00427476" w:rsidP="001C532F">
      <w:pPr>
        <w:spacing w:after="0" w:line="240" w:lineRule="auto"/>
        <w:rPr>
          <w:rFonts w:ascii="Times New Roman" w:hAnsi="Times New Roman" w:cs="Times New Roman"/>
          <w:sz w:val="24"/>
          <w:szCs w:val="24"/>
        </w:rPr>
      </w:pPr>
    </w:p>
    <w:p w14:paraId="69A09294" w14:textId="77777777" w:rsidR="001A01B2" w:rsidRPr="00EE5714" w:rsidRDefault="001A01B2" w:rsidP="00527571">
      <w:pPr>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Objective</w:t>
      </w:r>
    </w:p>
    <w:p w14:paraId="5024387E" w14:textId="77777777" w:rsidR="001A01B2" w:rsidRPr="00EE5714" w:rsidRDefault="001A01B2" w:rsidP="001A01B2">
      <w:pPr>
        <w:spacing w:after="0" w:line="240" w:lineRule="auto"/>
        <w:contextualSpacing/>
        <w:jc w:val="center"/>
        <w:rPr>
          <w:rFonts w:ascii="Times New Roman" w:hAnsi="Times New Roman" w:cs="Times New Roman"/>
          <w:sz w:val="26"/>
          <w:szCs w:val="26"/>
        </w:rPr>
      </w:pPr>
    </w:p>
    <w:p w14:paraId="189815DD" w14:textId="29104AE5" w:rsidR="001A01B2" w:rsidRPr="00EE5714" w:rsidRDefault="001A01B2" w:rsidP="001A01B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C02B1C" w:rsidRPr="00EE5714">
        <w:rPr>
          <w:rFonts w:ascii="Times New Roman" w:hAnsi="Times New Roman" w:cs="Times New Roman"/>
          <w:sz w:val="26"/>
          <w:szCs w:val="26"/>
        </w:rPr>
        <w:t>D</w:t>
      </w:r>
      <w:r w:rsidRPr="00EE5714">
        <w:rPr>
          <w:rFonts w:ascii="Times New Roman" w:hAnsi="Times New Roman" w:cs="Times New Roman"/>
          <w:sz w:val="26"/>
          <w:szCs w:val="26"/>
        </w:rPr>
        <w:t xml:space="preserve">etermine what the amounts of PPA and/or in-program arrears accrued by CAP customers </w:t>
      </w:r>
      <w:r w:rsidR="00524E43" w:rsidRPr="00EE5714">
        <w:rPr>
          <w:rFonts w:ascii="Times New Roman" w:hAnsi="Times New Roman" w:cs="Times New Roman"/>
          <w:sz w:val="26"/>
          <w:szCs w:val="26"/>
        </w:rPr>
        <w:t xml:space="preserve">indicate </w:t>
      </w:r>
      <w:r w:rsidRPr="00EE5714">
        <w:rPr>
          <w:rFonts w:ascii="Times New Roman" w:hAnsi="Times New Roman" w:cs="Times New Roman"/>
          <w:sz w:val="26"/>
          <w:szCs w:val="26"/>
        </w:rPr>
        <w:t>about the affordability of utility CAPs and customer payment behavior.</w:t>
      </w:r>
    </w:p>
    <w:p w14:paraId="1D8B7BD4" w14:textId="77777777" w:rsidR="001A01B2" w:rsidRPr="00EE5714" w:rsidRDefault="001A01B2" w:rsidP="001A01B2">
      <w:pPr>
        <w:spacing w:after="0" w:line="240" w:lineRule="auto"/>
        <w:contextualSpacing/>
        <w:rPr>
          <w:rFonts w:ascii="Times New Roman" w:hAnsi="Times New Roman" w:cs="Times New Roman"/>
          <w:sz w:val="26"/>
          <w:szCs w:val="26"/>
        </w:rPr>
      </w:pPr>
    </w:p>
    <w:p w14:paraId="0B1A44DE" w14:textId="77777777" w:rsidR="001A01B2" w:rsidRPr="00EE5714" w:rsidRDefault="001A01B2" w:rsidP="001A01B2">
      <w:pPr>
        <w:spacing w:after="0" w:line="240" w:lineRule="auto"/>
        <w:contextualSpacing/>
        <w:jc w:val="center"/>
        <w:rPr>
          <w:rFonts w:ascii="Times New Roman" w:hAnsi="Times New Roman" w:cs="Times New Roman"/>
          <w:sz w:val="26"/>
          <w:szCs w:val="26"/>
        </w:rPr>
      </w:pPr>
      <w:r w:rsidRPr="00EE5714">
        <w:rPr>
          <w:rFonts w:ascii="Times New Roman" w:hAnsi="Times New Roman" w:cs="Times New Roman"/>
          <w:b/>
          <w:bCs/>
          <w:sz w:val="26"/>
          <w:szCs w:val="26"/>
        </w:rPr>
        <w:t>Background</w:t>
      </w:r>
    </w:p>
    <w:p w14:paraId="09D0ABC1" w14:textId="77777777" w:rsidR="001A01B2" w:rsidRPr="00EE5714" w:rsidRDefault="001A01B2" w:rsidP="001A01B2">
      <w:pPr>
        <w:spacing w:after="0" w:line="240" w:lineRule="auto"/>
        <w:contextualSpacing/>
        <w:rPr>
          <w:rFonts w:ascii="Times New Roman" w:hAnsi="Times New Roman" w:cs="Times New Roman"/>
          <w:i/>
          <w:sz w:val="26"/>
          <w:szCs w:val="26"/>
        </w:rPr>
      </w:pPr>
    </w:p>
    <w:p w14:paraId="2559B9F2" w14:textId="77777777" w:rsidR="001A01B2" w:rsidRPr="00EE5714" w:rsidRDefault="001A01B2" w:rsidP="00527571">
      <w:pPr>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t>Pre-Program Arrearages (PPAs)</w:t>
      </w:r>
    </w:p>
    <w:p w14:paraId="7E3F408B" w14:textId="77777777" w:rsidR="001A01B2" w:rsidRPr="00EE5714" w:rsidRDefault="001A01B2" w:rsidP="001A01B2">
      <w:pPr>
        <w:spacing w:after="0" w:line="240" w:lineRule="auto"/>
        <w:contextualSpacing/>
        <w:rPr>
          <w:rFonts w:ascii="Times New Roman" w:hAnsi="Times New Roman" w:cs="Times New Roman"/>
          <w:i/>
          <w:sz w:val="26"/>
          <w:szCs w:val="26"/>
        </w:rPr>
      </w:pPr>
    </w:p>
    <w:p w14:paraId="5B9C0736" w14:textId="77777777" w:rsidR="001A01B2" w:rsidRPr="00EE5714" w:rsidRDefault="001A01B2" w:rsidP="001A01B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 xml:space="preserve">When a low-income customer is initially enrolled in a CAP, any balance due which </w:t>
      </w:r>
      <w:r w:rsidR="00796826" w:rsidRPr="00EE5714">
        <w:rPr>
          <w:rFonts w:ascii="Times New Roman" w:hAnsi="Times New Roman" w:cs="Times New Roman"/>
          <w:sz w:val="26"/>
          <w:szCs w:val="26"/>
        </w:rPr>
        <w:t xml:space="preserve">was </w:t>
      </w:r>
      <w:r w:rsidRPr="00EE5714">
        <w:rPr>
          <w:rFonts w:ascii="Times New Roman" w:hAnsi="Times New Roman" w:cs="Times New Roman"/>
          <w:sz w:val="26"/>
          <w:szCs w:val="26"/>
        </w:rPr>
        <w:t>accrued prior to enrollment (</w:t>
      </w:r>
      <w:r w:rsidRPr="00EE5714">
        <w:rPr>
          <w:rFonts w:ascii="Times New Roman" w:hAnsi="Times New Roman" w:cs="Times New Roman"/>
          <w:i/>
          <w:iCs/>
          <w:sz w:val="26"/>
          <w:szCs w:val="26"/>
        </w:rPr>
        <w:t>i.e.</w:t>
      </w:r>
      <w:r w:rsidRPr="00EE5714">
        <w:rPr>
          <w:rFonts w:ascii="Times New Roman" w:hAnsi="Times New Roman" w:cs="Times New Roman"/>
          <w:sz w:val="26"/>
          <w:szCs w:val="26"/>
        </w:rPr>
        <w:t>, PPA) is deferred and is not counted as part of the customer’s CAP balance.  This allows the CAP customer to begin the program with a “clean slate” (</w:t>
      </w:r>
      <w:r w:rsidRPr="00EE5714">
        <w:rPr>
          <w:rFonts w:ascii="Times New Roman" w:hAnsi="Times New Roman" w:cs="Times New Roman"/>
          <w:i/>
          <w:iCs/>
          <w:sz w:val="26"/>
          <w:szCs w:val="26"/>
        </w:rPr>
        <w:t>i.e.</w:t>
      </w:r>
      <w:r w:rsidRPr="00EE5714">
        <w:rPr>
          <w:rFonts w:ascii="Times New Roman" w:hAnsi="Times New Roman" w:cs="Times New Roman"/>
          <w:sz w:val="26"/>
          <w:szCs w:val="26"/>
        </w:rPr>
        <w:t>, a zero balance).</w:t>
      </w:r>
    </w:p>
    <w:p w14:paraId="0BCD800E" w14:textId="77777777" w:rsidR="001A01B2" w:rsidRPr="00EE5714" w:rsidRDefault="001A01B2" w:rsidP="001A01B2">
      <w:pPr>
        <w:spacing w:after="0" w:line="240" w:lineRule="auto"/>
        <w:contextualSpacing/>
        <w:rPr>
          <w:rFonts w:ascii="Times New Roman" w:hAnsi="Times New Roman" w:cs="Times New Roman"/>
          <w:sz w:val="26"/>
          <w:szCs w:val="26"/>
        </w:rPr>
      </w:pPr>
    </w:p>
    <w:p w14:paraId="65B65FF7" w14:textId="77777777" w:rsidR="00503829" w:rsidRPr="00EE5714" w:rsidRDefault="00503829" w:rsidP="00503829">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5-1</w:t>
      </w:r>
    </w:p>
    <w:p w14:paraId="208C807E" w14:textId="77777777" w:rsidR="00503829" w:rsidRPr="00EE5714" w:rsidRDefault="00503829" w:rsidP="00503829">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Minimum Time frames for Full Forgiveness of PPA</w:t>
      </w:r>
    </w:p>
    <w:tbl>
      <w:tblPr>
        <w:tblStyle w:val="TableGrid"/>
        <w:tblW w:w="9625" w:type="dxa"/>
        <w:tblLook w:val="04A0" w:firstRow="1" w:lastRow="0" w:firstColumn="1" w:lastColumn="0" w:noHBand="0" w:noVBand="1"/>
      </w:tblPr>
      <w:tblGrid>
        <w:gridCol w:w="4225"/>
        <w:gridCol w:w="5400"/>
      </w:tblGrid>
      <w:tr w:rsidR="00503829" w:rsidRPr="00EE5714" w14:paraId="11B0A4D5" w14:textId="77777777" w:rsidTr="00C458C6">
        <w:tc>
          <w:tcPr>
            <w:tcW w:w="4225" w:type="dxa"/>
          </w:tcPr>
          <w:p w14:paraId="492A1B9E" w14:textId="77777777" w:rsidR="00503829" w:rsidRPr="00EE5714" w:rsidRDefault="00503829" w:rsidP="001C2BEF">
            <w:pPr>
              <w:keepNext/>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Minimum Time Frame </w:t>
            </w:r>
          </w:p>
        </w:tc>
        <w:tc>
          <w:tcPr>
            <w:tcW w:w="5400" w:type="dxa"/>
          </w:tcPr>
          <w:p w14:paraId="6F725EED" w14:textId="77777777" w:rsidR="00503829" w:rsidRPr="00EE5714" w:rsidRDefault="00503829" w:rsidP="001C2BEF">
            <w:pPr>
              <w:keepNext/>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Utilities</w:t>
            </w:r>
          </w:p>
        </w:tc>
      </w:tr>
      <w:tr w:rsidR="00503829" w:rsidRPr="00EE5714" w14:paraId="18EDAC16" w14:textId="77777777" w:rsidTr="00C458C6">
        <w:tc>
          <w:tcPr>
            <w:tcW w:w="4225" w:type="dxa"/>
            <w:vAlign w:val="center"/>
          </w:tcPr>
          <w:p w14:paraId="40B0473C" w14:textId="77777777" w:rsidR="00503829" w:rsidRPr="00EE5714" w:rsidRDefault="00503829" w:rsidP="001C2BEF">
            <w:pPr>
              <w:keepNext/>
              <w:contextualSpacing/>
              <w:jc w:val="center"/>
              <w:rPr>
                <w:rFonts w:ascii="Times New Roman" w:hAnsi="Times New Roman" w:cs="Times New Roman"/>
                <w:sz w:val="26"/>
                <w:szCs w:val="26"/>
              </w:rPr>
            </w:pPr>
            <w:r w:rsidRPr="00EE5714">
              <w:rPr>
                <w:rFonts w:ascii="Times New Roman" w:hAnsi="Times New Roman" w:cs="Times New Roman"/>
                <w:sz w:val="26"/>
                <w:szCs w:val="26"/>
              </w:rPr>
              <w:t>One-year (1/12</w:t>
            </w:r>
            <w:r w:rsidRPr="00EE5714">
              <w:rPr>
                <w:rFonts w:ascii="Times New Roman" w:hAnsi="Times New Roman" w:cs="Times New Roman"/>
                <w:sz w:val="26"/>
                <w:szCs w:val="26"/>
                <w:vertAlign w:val="superscript"/>
              </w:rPr>
              <w:t>th</w:t>
            </w:r>
            <w:r w:rsidRPr="00EE5714">
              <w:rPr>
                <w:rFonts w:ascii="Times New Roman" w:hAnsi="Times New Roman" w:cs="Times New Roman"/>
                <w:sz w:val="26"/>
                <w:szCs w:val="26"/>
              </w:rPr>
              <w:t xml:space="preserve"> forgiveness for each payment)</w:t>
            </w:r>
          </w:p>
        </w:tc>
        <w:tc>
          <w:tcPr>
            <w:tcW w:w="5400" w:type="dxa"/>
            <w:vAlign w:val="center"/>
          </w:tcPr>
          <w:p w14:paraId="45A9AA0E" w14:textId="77777777" w:rsidR="00503829" w:rsidRPr="00EE5714" w:rsidRDefault="00503829" w:rsidP="001C2BEF">
            <w:pPr>
              <w:keepNext/>
              <w:contextualSpacing/>
              <w:jc w:val="center"/>
              <w:rPr>
                <w:rFonts w:ascii="Times New Roman" w:hAnsi="Times New Roman" w:cs="Times New Roman"/>
                <w:sz w:val="26"/>
                <w:szCs w:val="26"/>
              </w:rPr>
            </w:pPr>
            <w:r w:rsidRPr="00EE5714">
              <w:rPr>
                <w:rFonts w:ascii="Times New Roman" w:hAnsi="Times New Roman" w:cs="Times New Roman"/>
                <w:sz w:val="26"/>
                <w:szCs w:val="26"/>
              </w:rPr>
              <w:t>PECO Electric, PECO Gas</w:t>
            </w:r>
          </w:p>
        </w:tc>
      </w:tr>
      <w:tr w:rsidR="00503829" w:rsidRPr="00EE5714" w14:paraId="3E54F461" w14:textId="77777777" w:rsidTr="00C458C6">
        <w:tc>
          <w:tcPr>
            <w:tcW w:w="4225" w:type="dxa"/>
            <w:vAlign w:val="center"/>
          </w:tcPr>
          <w:p w14:paraId="70EF8907" w14:textId="77777777" w:rsidR="00503829" w:rsidRPr="00EE5714" w:rsidRDefault="00503829" w:rsidP="001C2BEF">
            <w:pPr>
              <w:keepNext/>
              <w:contextualSpacing/>
              <w:jc w:val="center"/>
              <w:rPr>
                <w:rFonts w:ascii="Times New Roman" w:hAnsi="Times New Roman" w:cs="Times New Roman"/>
                <w:sz w:val="26"/>
                <w:szCs w:val="26"/>
              </w:rPr>
            </w:pPr>
            <w:r w:rsidRPr="00EE5714">
              <w:rPr>
                <w:rFonts w:ascii="Times New Roman" w:hAnsi="Times New Roman" w:cs="Times New Roman"/>
                <w:sz w:val="26"/>
                <w:szCs w:val="26"/>
              </w:rPr>
              <w:t>18 months (1/18</w:t>
            </w:r>
            <w:r w:rsidRPr="00EE5714">
              <w:rPr>
                <w:rFonts w:ascii="Times New Roman" w:hAnsi="Times New Roman" w:cs="Times New Roman"/>
                <w:sz w:val="26"/>
                <w:szCs w:val="26"/>
                <w:vertAlign w:val="superscript"/>
              </w:rPr>
              <w:t>th</w:t>
            </w:r>
            <w:r w:rsidRPr="00EE5714">
              <w:rPr>
                <w:rFonts w:ascii="Times New Roman" w:hAnsi="Times New Roman" w:cs="Times New Roman"/>
                <w:sz w:val="26"/>
                <w:szCs w:val="26"/>
              </w:rPr>
              <w:t xml:space="preserve"> forgiveness for each payment)</w:t>
            </w:r>
          </w:p>
        </w:tc>
        <w:tc>
          <w:tcPr>
            <w:tcW w:w="5400" w:type="dxa"/>
            <w:vAlign w:val="center"/>
          </w:tcPr>
          <w:p w14:paraId="3068C4DC" w14:textId="77777777" w:rsidR="00503829" w:rsidRPr="00EE5714" w:rsidRDefault="00503829" w:rsidP="001C2BEF">
            <w:pPr>
              <w:keepNext/>
              <w:contextualSpacing/>
              <w:jc w:val="center"/>
              <w:rPr>
                <w:rFonts w:ascii="Times New Roman" w:hAnsi="Times New Roman" w:cs="Times New Roman"/>
                <w:sz w:val="26"/>
                <w:szCs w:val="26"/>
              </w:rPr>
            </w:pPr>
            <w:r w:rsidRPr="00EE5714">
              <w:rPr>
                <w:rFonts w:ascii="Times New Roman" w:hAnsi="Times New Roman" w:cs="Times New Roman"/>
                <w:sz w:val="26"/>
                <w:szCs w:val="26"/>
              </w:rPr>
              <w:t>PPL</w:t>
            </w:r>
          </w:p>
        </w:tc>
      </w:tr>
      <w:tr w:rsidR="00503829" w:rsidRPr="00EE5714" w14:paraId="60E7015E" w14:textId="77777777" w:rsidTr="00C458C6">
        <w:tc>
          <w:tcPr>
            <w:tcW w:w="4225" w:type="dxa"/>
            <w:vAlign w:val="center"/>
          </w:tcPr>
          <w:p w14:paraId="5C2FF984" w14:textId="77777777" w:rsidR="00503829" w:rsidRPr="00EE5714" w:rsidRDefault="00503829" w:rsidP="001C2BEF">
            <w:pPr>
              <w:keepNext/>
              <w:contextualSpacing/>
              <w:jc w:val="center"/>
              <w:rPr>
                <w:rFonts w:ascii="Times New Roman" w:hAnsi="Times New Roman" w:cs="Times New Roman"/>
                <w:sz w:val="26"/>
                <w:szCs w:val="26"/>
              </w:rPr>
            </w:pPr>
            <w:r w:rsidRPr="00EE5714">
              <w:rPr>
                <w:rFonts w:ascii="Times New Roman" w:hAnsi="Times New Roman" w:cs="Times New Roman"/>
                <w:sz w:val="26"/>
                <w:szCs w:val="26"/>
              </w:rPr>
              <w:t>Two-years (1/24</w:t>
            </w:r>
            <w:r w:rsidRPr="00EE5714">
              <w:rPr>
                <w:rFonts w:ascii="Times New Roman" w:hAnsi="Times New Roman" w:cs="Times New Roman"/>
                <w:sz w:val="26"/>
                <w:szCs w:val="26"/>
                <w:vertAlign w:val="superscript"/>
              </w:rPr>
              <w:t>th</w:t>
            </w:r>
            <w:r w:rsidRPr="00EE5714">
              <w:rPr>
                <w:rFonts w:ascii="Times New Roman" w:hAnsi="Times New Roman" w:cs="Times New Roman"/>
                <w:sz w:val="26"/>
                <w:szCs w:val="26"/>
              </w:rPr>
              <w:t xml:space="preserve"> forgiveness for each payment)</w:t>
            </w:r>
          </w:p>
        </w:tc>
        <w:tc>
          <w:tcPr>
            <w:tcW w:w="5400" w:type="dxa"/>
            <w:vAlign w:val="center"/>
          </w:tcPr>
          <w:p w14:paraId="37841359" w14:textId="77777777" w:rsidR="00503829" w:rsidRPr="00EE5714" w:rsidRDefault="00503829" w:rsidP="001C2BEF">
            <w:pPr>
              <w:keepNext/>
              <w:contextualSpacing/>
              <w:jc w:val="center"/>
              <w:rPr>
                <w:rFonts w:ascii="Times New Roman" w:hAnsi="Times New Roman" w:cs="Times New Roman"/>
                <w:sz w:val="26"/>
                <w:szCs w:val="26"/>
              </w:rPr>
            </w:pPr>
            <w:r w:rsidRPr="00EE5714">
              <w:rPr>
                <w:rFonts w:ascii="Times New Roman" w:hAnsi="Times New Roman" w:cs="Times New Roman"/>
                <w:sz w:val="26"/>
                <w:szCs w:val="26"/>
              </w:rPr>
              <w:t>Duquesne, NFG</w:t>
            </w:r>
            <w:r w:rsidRPr="00EE5714">
              <w:rPr>
                <w:rStyle w:val="FootnoteReference"/>
                <w:rFonts w:ascii="Times New Roman" w:hAnsi="Times New Roman" w:cs="Times New Roman"/>
                <w:sz w:val="26"/>
                <w:szCs w:val="26"/>
              </w:rPr>
              <w:footnoteReference w:id="43"/>
            </w:r>
          </w:p>
        </w:tc>
      </w:tr>
      <w:tr w:rsidR="00503829" w:rsidRPr="00EE5714" w14:paraId="2E4FE475" w14:textId="77777777" w:rsidTr="00C458C6">
        <w:tc>
          <w:tcPr>
            <w:tcW w:w="4225" w:type="dxa"/>
            <w:vAlign w:val="center"/>
          </w:tcPr>
          <w:p w14:paraId="192C4A4B" w14:textId="77777777" w:rsidR="00503829" w:rsidRPr="00EE5714" w:rsidRDefault="00503829" w:rsidP="001C2BEF">
            <w:pPr>
              <w:keepNext/>
              <w:contextualSpacing/>
              <w:jc w:val="center"/>
              <w:rPr>
                <w:rFonts w:ascii="Times New Roman" w:hAnsi="Times New Roman" w:cs="Times New Roman"/>
                <w:sz w:val="26"/>
                <w:szCs w:val="26"/>
              </w:rPr>
            </w:pPr>
            <w:r w:rsidRPr="00EE5714">
              <w:rPr>
                <w:rFonts w:ascii="Times New Roman" w:hAnsi="Times New Roman" w:cs="Times New Roman"/>
                <w:sz w:val="26"/>
                <w:szCs w:val="26"/>
              </w:rPr>
              <w:t>Three-years (1/36</w:t>
            </w:r>
            <w:r w:rsidRPr="00EE5714">
              <w:rPr>
                <w:rFonts w:ascii="Times New Roman" w:hAnsi="Times New Roman" w:cs="Times New Roman"/>
                <w:sz w:val="26"/>
                <w:szCs w:val="26"/>
                <w:vertAlign w:val="superscript"/>
              </w:rPr>
              <w:t>th</w:t>
            </w:r>
            <w:r w:rsidRPr="00EE5714">
              <w:rPr>
                <w:rFonts w:ascii="Times New Roman" w:hAnsi="Times New Roman" w:cs="Times New Roman"/>
                <w:sz w:val="26"/>
                <w:szCs w:val="26"/>
              </w:rPr>
              <w:t xml:space="preserve"> forgiveness for each payment)</w:t>
            </w:r>
          </w:p>
        </w:tc>
        <w:tc>
          <w:tcPr>
            <w:tcW w:w="5400" w:type="dxa"/>
            <w:vAlign w:val="center"/>
          </w:tcPr>
          <w:p w14:paraId="532ADC3D" w14:textId="77777777" w:rsidR="00503829" w:rsidRPr="00EE5714" w:rsidRDefault="00503829" w:rsidP="001C2BEF">
            <w:pPr>
              <w:keepNext/>
              <w:contextualSpacing/>
              <w:jc w:val="center"/>
              <w:rPr>
                <w:rFonts w:ascii="Times New Roman" w:hAnsi="Times New Roman" w:cs="Times New Roman"/>
                <w:sz w:val="26"/>
                <w:szCs w:val="26"/>
              </w:rPr>
            </w:pPr>
            <w:r w:rsidRPr="00EE5714">
              <w:rPr>
                <w:rFonts w:ascii="Times New Roman" w:hAnsi="Times New Roman" w:cs="Times New Roman"/>
                <w:sz w:val="26"/>
                <w:szCs w:val="26"/>
              </w:rPr>
              <w:t xml:space="preserve">Columbia, FirstEnergy (Met-Ed, </w:t>
            </w:r>
            <w:proofErr w:type="spellStart"/>
            <w:r w:rsidRPr="00EE5714">
              <w:rPr>
                <w:rFonts w:ascii="Times New Roman" w:hAnsi="Times New Roman" w:cs="Times New Roman"/>
                <w:sz w:val="26"/>
                <w:szCs w:val="26"/>
              </w:rPr>
              <w:t>Penelec</w:t>
            </w:r>
            <w:proofErr w:type="spellEnd"/>
            <w:r w:rsidRPr="00EE5714">
              <w:rPr>
                <w:rFonts w:ascii="Times New Roman" w:hAnsi="Times New Roman" w:cs="Times New Roman"/>
                <w:sz w:val="26"/>
                <w:szCs w:val="26"/>
              </w:rPr>
              <w:t>, Penn Power, and West Penn), Peoples Natural Gas, Peoples Equitable, PGW, UGI Gas, UGI PNG</w:t>
            </w:r>
          </w:p>
        </w:tc>
      </w:tr>
    </w:tbl>
    <w:p w14:paraId="49FC1D3E" w14:textId="77777777" w:rsidR="00503829" w:rsidRPr="00EE5714" w:rsidRDefault="00503829" w:rsidP="001A01B2">
      <w:pPr>
        <w:spacing w:after="0" w:line="240" w:lineRule="auto"/>
        <w:contextualSpacing/>
        <w:rPr>
          <w:rFonts w:ascii="Times New Roman" w:hAnsi="Times New Roman" w:cs="Times New Roman"/>
          <w:sz w:val="26"/>
          <w:szCs w:val="26"/>
        </w:rPr>
      </w:pPr>
    </w:p>
    <w:p w14:paraId="67FAAAF6" w14:textId="77777777" w:rsidR="001A01B2" w:rsidRPr="00EE5714" w:rsidRDefault="001A01B2" w:rsidP="001A01B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E3273B" w:rsidRPr="00EE5714">
        <w:rPr>
          <w:rFonts w:ascii="Times New Roman" w:hAnsi="Times New Roman" w:cs="Times New Roman"/>
          <w:sz w:val="26"/>
          <w:szCs w:val="26"/>
        </w:rPr>
        <w:t>Table 5-1 reflects the PPA forgiveness time frames for utility CAPs during the 5</w:t>
      </w:r>
      <w:r w:rsidR="00E3273B" w:rsidRPr="00EE5714">
        <w:rPr>
          <w:rFonts w:ascii="Times New Roman" w:hAnsi="Times New Roman" w:cs="Times New Roman"/>
          <w:sz w:val="26"/>
          <w:szCs w:val="26"/>
        </w:rPr>
        <w:noBreakHyphen/>
        <w:t xml:space="preserve">year period of this study.  </w:t>
      </w:r>
      <w:r w:rsidRPr="00EE5714">
        <w:rPr>
          <w:rFonts w:ascii="Times New Roman" w:hAnsi="Times New Roman" w:cs="Times New Roman"/>
          <w:sz w:val="26"/>
          <w:szCs w:val="26"/>
        </w:rPr>
        <w:t>Each time a household pays its monthly CAP bill, the utility forgives a portion of the household’s deferred PPA balance.</w:t>
      </w:r>
      <w:r w:rsidRPr="00EE5714">
        <w:rPr>
          <w:rStyle w:val="FootnoteReference"/>
          <w:rFonts w:ascii="Times New Roman" w:hAnsi="Times New Roman" w:cs="Times New Roman"/>
          <w:sz w:val="26"/>
          <w:szCs w:val="26"/>
        </w:rPr>
        <w:footnoteReference w:id="44"/>
      </w:r>
      <w:r w:rsidRPr="00EE5714">
        <w:rPr>
          <w:rFonts w:ascii="Times New Roman" w:hAnsi="Times New Roman" w:cs="Times New Roman"/>
          <w:sz w:val="26"/>
          <w:szCs w:val="26"/>
        </w:rPr>
        <w:t xml:space="preserve">  The amount of time required for a CAP household to receive full PPA forgiveness differs by utility.  The utilities set the minimum period required to earn the PPA forgiveness</w:t>
      </w:r>
      <w:r w:rsidR="00B35A89" w:rsidRPr="00EE5714">
        <w:rPr>
          <w:rFonts w:ascii="Times New Roman" w:hAnsi="Times New Roman" w:cs="Times New Roman"/>
          <w:sz w:val="26"/>
          <w:szCs w:val="26"/>
        </w:rPr>
        <w:t>.</w:t>
      </w:r>
      <w:r w:rsidRPr="00EE5714">
        <w:rPr>
          <w:rStyle w:val="FootnoteReference"/>
          <w:rFonts w:ascii="Times New Roman" w:hAnsi="Times New Roman" w:cs="Times New Roman"/>
          <w:sz w:val="26"/>
          <w:szCs w:val="26"/>
        </w:rPr>
        <w:footnoteReference w:id="45"/>
      </w:r>
      <w:r w:rsidRPr="00EE5714">
        <w:rPr>
          <w:rFonts w:ascii="Times New Roman" w:hAnsi="Times New Roman" w:cs="Times New Roman"/>
          <w:sz w:val="26"/>
          <w:szCs w:val="26"/>
        </w:rPr>
        <w:t xml:space="preserve">  Only one utility limit</w:t>
      </w:r>
      <w:r w:rsidR="00443DE6" w:rsidRPr="00EE5714">
        <w:rPr>
          <w:rFonts w:ascii="Times New Roman" w:hAnsi="Times New Roman" w:cs="Times New Roman"/>
          <w:sz w:val="26"/>
          <w:szCs w:val="26"/>
        </w:rPr>
        <w:t>ed</w:t>
      </w:r>
      <w:r w:rsidRPr="00EE5714">
        <w:rPr>
          <w:rFonts w:ascii="Times New Roman" w:hAnsi="Times New Roman" w:cs="Times New Roman"/>
          <w:sz w:val="26"/>
          <w:szCs w:val="26"/>
        </w:rPr>
        <w:t xml:space="preserve"> the amount of time a CAP customer can take to achieve full PPA forgiveness.  </w:t>
      </w:r>
    </w:p>
    <w:p w14:paraId="167D9E99" w14:textId="77777777" w:rsidR="001A01B2" w:rsidRPr="00EE5714" w:rsidRDefault="001A01B2" w:rsidP="001A01B2">
      <w:pPr>
        <w:spacing w:after="0" w:line="240" w:lineRule="auto"/>
        <w:contextualSpacing/>
        <w:rPr>
          <w:rFonts w:ascii="Times New Roman" w:hAnsi="Times New Roman" w:cs="Times New Roman"/>
          <w:sz w:val="26"/>
          <w:szCs w:val="26"/>
        </w:rPr>
      </w:pPr>
    </w:p>
    <w:p w14:paraId="6C3A1764" w14:textId="77777777" w:rsidR="001A01B2" w:rsidRPr="00EE5714" w:rsidRDefault="001A01B2" w:rsidP="001A01B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Higher PPA balances may indicate the unaffordability of pre-CAP bills (</w:t>
      </w:r>
      <w:r w:rsidRPr="00EE5714">
        <w:rPr>
          <w:rFonts w:ascii="Times New Roman" w:hAnsi="Times New Roman" w:cs="Times New Roman"/>
          <w:i/>
          <w:iCs/>
          <w:sz w:val="26"/>
          <w:szCs w:val="26"/>
        </w:rPr>
        <w:t>i.e.</w:t>
      </w:r>
      <w:r w:rsidRPr="00EE5714">
        <w:rPr>
          <w:rFonts w:ascii="Times New Roman" w:hAnsi="Times New Roman" w:cs="Times New Roman"/>
          <w:sz w:val="26"/>
          <w:szCs w:val="26"/>
        </w:rPr>
        <w:t>, full-tariff bills).  Such balances could also indicate poor payment behavior.  Customers enrolling in CAPs with higher PPA balances have been found to have less success in payment assistance programs.</w:t>
      </w:r>
      <w:r w:rsidRPr="00EE5714">
        <w:rPr>
          <w:rStyle w:val="FootnoteReference"/>
          <w:rFonts w:ascii="Times New Roman" w:hAnsi="Times New Roman" w:cs="Times New Roman"/>
          <w:sz w:val="26"/>
          <w:szCs w:val="26"/>
        </w:rPr>
        <w:footnoteReference w:id="46"/>
      </w:r>
    </w:p>
    <w:p w14:paraId="0BA03FEE" w14:textId="77777777" w:rsidR="001A01B2" w:rsidRPr="00EE5714" w:rsidRDefault="001A01B2" w:rsidP="001A01B2">
      <w:pPr>
        <w:spacing w:after="0" w:line="240" w:lineRule="auto"/>
        <w:contextualSpacing/>
        <w:rPr>
          <w:rFonts w:ascii="Times New Roman" w:hAnsi="Times New Roman" w:cs="Times New Roman"/>
          <w:sz w:val="26"/>
          <w:szCs w:val="26"/>
        </w:rPr>
      </w:pPr>
    </w:p>
    <w:p w14:paraId="1DC156D1" w14:textId="77777777" w:rsidR="001A01B2" w:rsidRPr="00EE5714" w:rsidRDefault="001A01B2" w:rsidP="003D788F">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t>In-Program Arrears</w:t>
      </w:r>
    </w:p>
    <w:p w14:paraId="1D2C6319" w14:textId="77777777" w:rsidR="001A01B2" w:rsidRPr="00EE5714" w:rsidRDefault="001A01B2" w:rsidP="001A01B2">
      <w:pPr>
        <w:keepNext/>
        <w:spacing w:after="0" w:line="240" w:lineRule="auto"/>
        <w:contextualSpacing/>
        <w:rPr>
          <w:rFonts w:ascii="Times New Roman" w:hAnsi="Times New Roman" w:cs="Times New Roman"/>
          <w:i/>
          <w:sz w:val="26"/>
          <w:szCs w:val="26"/>
        </w:rPr>
      </w:pPr>
    </w:p>
    <w:p w14:paraId="4AE28162" w14:textId="77777777" w:rsidR="001A01B2" w:rsidRPr="00EE5714" w:rsidRDefault="001A01B2" w:rsidP="001A01B2">
      <w:pPr>
        <w:spacing w:after="0" w:line="240" w:lineRule="auto"/>
        <w:contextualSpacing/>
        <w:rPr>
          <w:rFonts w:ascii="Times New Roman" w:hAnsi="Times New Roman" w:cs="Times New Roman"/>
          <w:sz w:val="26"/>
          <w:szCs w:val="26"/>
        </w:rPr>
      </w:pPr>
      <w:r w:rsidRPr="00EE5714" w:rsidDel="00066A63">
        <w:rPr>
          <w:rFonts w:ascii="Times New Roman" w:hAnsi="Times New Roman" w:cs="Times New Roman"/>
          <w:sz w:val="26"/>
          <w:szCs w:val="26"/>
        </w:rPr>
        <w:tab/>
        <w:t xml:space="preserve">One of the benefits of a CAP is that it </w:t>
      </w:r>
      <w:r w:rsidRPr="00EE5714">
        <w:rPr>
          <w:rFonts w:ascii="Times New Roman" w:hAnsi="Times New Roman" w:cs="Times New Roman"/>
          <w:sz w:val="26"/>
          <w:szCs w:val="26"/>
        </w:rPr>
        <w:t xml:space="preserve">attempts to </w:t>
      </w:r>
      <w:r w:rsidRPr="00EE5714" w:rsidDel="00066A63">
        <w:rPr>
          <w:rFonts w:ascii="Times New Roman" w:hAnsi="Times New Roman" w:cs="Times New Roman"/>
          <w:sz w:val="26"/>
          <w:szCs w:val="26"/>
        </w:rPr>
        <w:t xml:space="preserve">provides the customer with </w:t>
      </w:r>
      <w:r w:rsidR="00921960" w:rsidRPr="00EE5714">
        <w:rPr>
          <w:rFonts w:ascii="Times New Roman" w:hAnsi="Times New Roman" w:cs="Times New Roman"/>
          <w:sz w:val="26"/>
          <w:szCs w:val="26"/>
        </w:rPr>
        <w:t xml:space="preserve">an </w:t>
      </w:r>
      <w:r w:rsidRPr="00EE5714" w:rsidDel="00066A63">
        <w:rPr>
          <w:rFonts w:ascii="Times New Roman" w:hAnsi="Times New Roman" w:cs="Times New Roman"/>
          <w:sz w:val="26"/>
          <w:szCs w:val="26"/>
        </w:rPr>
        <w:t>affordable monthly payment</w:t>
      </w:r>
      <w:r w:rsidRPr="00EE5714">
        <w:rPr>
          <w:rFonts w:ascii="Times New Roman" w:hAnsi="Times New Roman" w:cs="Times New Roman"/>
          <w:sz w:val="26"/>
          <w:szCs w:val="26"/>
        </w:rPr>
        <w:t xml:space="preserve"> while the customer is in CAP</w:t>
      </w:r>
      <w:r w:rsidRPr="00EE5714" w:rsidDel="00066A63">
        <w:rPr>
          <w:rFonts w:ascii="Times New Roman" w:hAnsi="Times New Roman" w:cs="Times New Roman"/>
          <w:sz w:val="26"/>
          <w:szCs w:val="26"/>
        </w:rPr>
        <w:t xml:space="preserve">.  </w:t>
      </w:r>
      <w:r w:rsidRPr="00EE5714">
        <w:rPr>
          <w:rFonts w:ascii="Times New Roman" w:hAnsi="Times New Roman" w:cs="Times New Roman"/>
          <w:sz w:val="26"/>
          <w:szCs w:val="26"/>
        </w:rPr>
        <w:t>Regardless of any PPA, all customers start with a “clean slate” when they are first enrolled into CAP.  If participants continue to accumulate arrearages while in CAP (</w:t>
      </w:r>
      <w:r w:rsidRPr="00EE5714">
        <w:rPr>
          <w:rFonts w:ascii="Times New Roman" w:hAnsi="Times New Roman" w:cs="Times New Roman"/>
          <w:i/>
          <w:iCs/>
          <w:sz w:val="26"/>
          <w:szCs w:val="26"/>
        </w:rPr>
        <w:t>i.e.</w:t>
      </w:r>
      <w:r w:rsidRPr="00EE5714">
        <w:rPr>
          <w:rFonts w:ascii="Times New Roman" w:hAnsi="Times New Roman" w:cs="Times New Roman"/>
          <w:sz w:val="26"/>
          <w:szCs w:val="26"/>
        </w:rPr>
        <w:t>,</w:t>
      </w:r>
      <w:r w:rsidRPr="00EE5714">
        <w:rPr>
          <w:rFonts w:ascii="Times New Roman" w:hAnsi="Times New Roman" w:cs="Times New Roman"/>
          <w:i/>
          <w:iCs/>
          <w:sz w:val="26"/>
          <w:szCs w:val="26"/>
        </w:rPr>
        <w:t xml:space="preserve"> </w:t>
      </w:r>
      <w:r w:rsidRPr="00EE5714">
        <w:rPr>
          <w:rFonts w:ascii="Times New Roman" w:hAnsi="Times New Roman" w:cs="Times New Roman"/>
          <w:sz w:val="26"/>
          <w:szCs w:val="26"/>
        </w:rPr>
        <w:t xml:space="preserve">in-program arrearages), it may indicate that the monthly CAP payment is not affordable and/or that the customer has poor or ineffective payment habits.  </w:t>
      </w:r>
    </w:p>
    <w:p w14:paraId="6E8A7B7E" w14:textId="77777777" w:rsidR="001A01B2" w:rsidRPr="00EE5714" w:rsidRDefault="001A01B2" w:rsidP="001A01B2">
      <w:pPr>
        <w:spacing w:after="0" w:line="240" w:lineRule="auto"/>
        <w:contextualSpacing/>
        <w:rPr>
          <w:rFonts w:ascii="Times New Roman" w:hAnsi="Times New Roman" w:cs="Times New Roman"/>
          <w:sz w:val="26"/>
          <w:szCs w:val="26"/>
        </w:rPr>
      </w:pPr>
    </w:p>
    <w:p w14:paraId="51B08A62" w14:textId="77777777" w:rsidR="001A01B2" w:rsidRPr="00EE5714" w:rsidRDefault="001A01B2" w:rsidP="001A01B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Accrual of in-program arrears may also indicate problems with the utility’s collection procedures.  Most utilities report initiating collection efforts up to and including service termination activity or removal from CAP after one or two missed CAP payments.  If collection activity or program removal is delayed, in-program CAP arrears may continue to accumulate</w:t>
      </w:r>
      <w:r w:rsidR="00471C9F" w:rsidRPr="00EE5714">
        <w:rPr>
          <w:rFonts w:ascii="Times New Roman" w:hAnsi="Times New Roman" w:cs="Times New Roman"/>
          <w:sz w:val="26"/>
          <w:szCs w:val="26"/>
        </w:rPr>
        <w:t>.</w:t>
      </w:r>
      <w:r w:rsidRPr="00EE5714">
        <w:rPr>
          <w:rFonts w:ascii="Times New Roman" w:hAnsi="Times New Roman" w:cs="Times New Roman"/>
          <w:sz w:val="26"/>
          <w:szCs w:val="26"/>
        </w:rPr>
        <w:t xml:space="preserve"> </w:t>
      </w:r>
    </w:p>
    <w:p w14:paraId="7CB9A3F2" w14:textId="77777777" w:rsidR="001A01B2" w:rsidRPr="00EE5714" w:rsidRDefault="001A01B2" w:rsidP="001A01B2">
      <w:pPr>
        <w:spacing w:after="0" w:line="240" w:lineRule="auto"/>
        <w:contextualSpacing/>
        <w:rPr>
          <w:rFonts w:ascii="Times New Roman" w:hAnsi="Times New Roman" w:cs="Times New Roman"/>
          <w:sz w:val="26"/>
          <w:szCs w:val="26"/>
        </w:rPr>
      </w:pPr>
    </w:p>
    <w:p w14:paraId="78D36CA7" w14:textId="77777777" w:rsidR="001A01B2" w:rsidRPr="00EE5714" w:rsidRDefault="001A01B2" w:rsidP="00A370A4">
      <w:pPr>
        <w:keepNext/>
        <w:keepLines/>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Methodology</w:t>
      </w:r>
    </w:p>
    <w:p w14:paraId="61FC38AE" w14:textId="77777777" w:rsidR="001A01B2" w:rsidRPr="00EE5714" w:rsidRDefault="001A01B2" w:rsidP="00A370A4">
      <w:pPr>
        <w:keepNext/>
        <w:keepLines/>
        <w:spacing w:after="0" w:line="240" w:lineRule="auto"/>
        <w:contextualSpacing/>
        <w:jc w:val="center"/>
        <w:rPr>
          <w:rFonts w:ascii="Times New Roman" w:hAnsi="Times New Roman" w:cs="Times New Roman"/>
          <w:sz w:val="26"/>
          <w:szCs w:val="26"/>
        </w:rPr>
      </w:pPr>
    </w:p>
    <w:p w14:paraId="2C3F4FB5" w14:textId="1669995E" w:rsidR="001A01B2" w:rsidRPr="00EE5714" w:rsidRDefault="001A01B2" w:rsidP="00A370A4">
      <w:pPr>
        <w:keepNext/>
        <w:keepLine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 xml:space="preserve">To determine the average amount of PPA and in-program arrears carried by CAP customers, </w:t>
      </w:r>
      <w:r w:rsidR="00D571CA" w:rsidRPr="00EE5714">
        <w:rPr>
          <w:rFonts w:ascii="Times New Roman" w:hAnsi="Times New Roman" w:cs="Times New Roman"/>
          <w:sz w:val="26"/>
          <w:szCs w:val="26"/>
        </w:rPr>
        <w:t xml:space="preserve">staff </w:t>
      </w:r>
      <w:r w:rsidRPr="00EE5714">
        <w:rPr>
          <w:rFonts w:ascii="Times New Roman" w:hAnsi="Times New Roman" w:cs="Times New Roman"/>
          <w:sz w:val="26"/>
          <w:szCs w:val="26"/>
        </w:rPr>
        <w:t xml:space="preserve">reviewed the following data from </w:t>
      </w:r>
      <w:r w:rsidR="00E40034" w:rsidRPr="00EE5714">
        <w:rPr>
          <w:rFonts w:ascii="Times New Roman" w:hAnsi="Times New Roman" w:cs="Times New Roman"/>
          <w:sz w:val="26"/>
          <w:szCs w:val="26"/>
        </w:rPr>
        <w:t>NGD</w:t>
      </w:r>
      <w:r w:rsidR="00AC629C" w:rsidRPr="00EE5714">
        <w:rPr>
          <w:rFonts w:ascii="Times New Roman" w:hAnsi="Times New Roman" w:cs="Times New Roman"/>
          <w:sz w:val="26"/>
          <w:szCs w:val="26"/>
        </w:rPr>
        <w:t>C</w:t>
      </w:r>
      <w:r w:rsidR="00E40034" w:rsidRPr="00EE5714">
        <w:rPr>
          <w:rFonts w:ascii="Times New Roman" w:hAnsi="Times New Roman" w:cs="Times New Roman"/>
          <w:sz w:val="26"/>
          <w:szCs w:val="26"/>
        </w:rPr>
        <w:t xml:space="preserve">s </w:t>
      </w:r>
      <w:r w:rsidRPr="00EE5714">
        <w:rPr>
          <w:rFonts w:ascii="Times New Roman" w:hAnsi="Times New Roman" w:cs="Times New Roman"/>
          <w:sz w:val="26"/>
          <w:szCs w:val="26"/>
        </w:rPr>
        <w:t xml:space="preserve">and </w:t>
      </w:r>
      <w:r w:rsidR="00C37A5C" w:rsidRPr="00EE5714">
        <w:rPr>
          <w:rFonts w:ascii="Times New Roman" w:hAnsi="Times New Roman" w:cs="Times New Roman"/>
          <w:sz w:val="26"/>
          <w:szCs w:val="26"/>
        </w:rPr>
        <w:t>EDCs</w:t>
      </w:r>
      <w:r w:rsidRPr="00EE5714">
        <w:rPr>
          <w:rFonts w:ascii="Times New Roman" w:hAnsi="Times New Roman" w:cs="Times New Roman"/>
          <w:sz w:val="26"/>
          <w:szCs w:val="26"/>
        </w:rPr>
        <w:t xml:space="preserve"> for the period from 2012 through 2016:</w:t>
      </w:r>
    </w:p>
    <w:p w14:paraId="13E19046" w14:textId="77777777" w:rsidR="001A01B2" w:rsidRPr="00EE5714" w:rsidRDefault="001A01B2" w:rsidP="00A370A4">
      <w:pPr>
        <w:keepNext/>
        <w:keepLines/>
        <w:spacing w:after="0" w:line="240" w:lineRule="auto"/>
        <w:contextualSpacing/>
        <w:rPr>
          <w:rFonts w:ascii="Times New Roman" w:hAnsi="Times New Roman" w:cs="Times New Roman"/>
          <w:sz w:val="26"/>
          <w:szCs w:val="26"/>
        </w:rPr>
      </w:pPr>
    </w:p>
    <w:p w14:paraId="4F6885C6" w14:textId="6E2A9EAE" w:rsidR="001A01B2" w:rsidRPr="00EE5714" w:rsidRDefault="001A01B2" w:rsidP="007D5276">
      <w:pPr>
        <w:pStyle w:val="ListParagraph"/>
        <w:keepNext/>
        <w:keepLines/>
        <w:numPr>
          <w:ilvl w:val="0"/>
          <w:numId w:val="7"/>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The number of CAP accounts with PPAs and the total dollar amounts of the PPAs;</w:t>
      </w:r>
      <w:r w:rsidR="00C75209" w:rsidRPr="00EE5714">
        <w:rPr>
          <w:rStyle w:val="FootnoteReference"/>
          <w:rFonts w:ascii="Times New Roman" w:hAnsi="Times New Roman" w:cs="Times New Roman"/>
          <w:sz w:val="26"/>
          <w:szCs w:val="26"/>
        </w:rPr>
        <w:t xml:space="preserve"> </w:t>
      </w:r>
      <w:r w:rsidRPr="00EE5714">
        <w:rPr>
          <w:rStyle w:val="FootnoteReference"/>
          <w:rFonts w:ascii="Times New Roman" w:hAnsi="Times New Roman" w:cs="Times New Roman"/>
          <w:sz w:val="26"/>
          <w:szCs w:val="26"/>
        </w:rPr>
        <w:footnoteReference w:id="47"/>
      </w:r>
      <w:r w:rsidRPr="00EE5714">
        <w:rPr>
          <w:rFonts w:ascii="Times New Roman" w:hAnsi="Times New Roman" w:cs="Times New Roman"/>
          <w:sz w:val="26"/>
          <w:szCs w:val="26"/>
        </w:rPr>
        <w:t xml:space="preserve"> and </w:t>
      </w:r>
    </w:p>
    <w:p w14:paraId="77E0ED8B" w14:textId="77777777" w:rsidR="001A01B2" w:rsidRPr="00EE5714" w:rsidRDefault="001A01B2" w:rsidP="007D5276">
      <w:pPr>
        <w:pStyle w:val="ListParagraph"/>
        <w:keepNext/>
        <w:keepLines/>
        <w:numPr>
          <w:ilvl w:val="0"/>
          <w:numId w:val="7"/>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The number of CAP accounts with in-program arrears and the total dollar amount of these arrears.</w:t>
      </w:r>
    </w:p>
    <w:p w14:paraId="0B05EDED" w14:textId="77777777" w:rsidR="001A01B2" w:rsidRPr="00EE5714" w:rsidRDefault="001A01B2" w:rsidP="001A01B2">
      <w:pPr>
        <w:spacing w:after="0" w:line="240" w:lineRule="auto"/>
        <w:contextualSpacing/>
        <w:rPr>
          <w:rFonts w:ascii="Times New Roman" w:hAnsi="Times New Roman" w:cs="Times New Roman"/>
          <w:sz w:val="26"/>
          <w:szCs w:val="26"/>
        </w:rPr>
      </w:pPr>
    </w:p>
    <w:p w14:paraId="7D855D75" w14:textId="77777777" w:rsidR="001A01B2" w:rsidRPr="00EE5714" w:rsidRDefault="001A01B2" w:rsidP="003D788F">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t>Data Limitations</w:t>
      </w:r>
    </w:p>
    <w:p w14:paraId="005F52D6" w14:textId="77777777" w:rsidR="001A01B2" w:rsidRPr="00EE5714" w:rsidRDefault="001A01B2" w:rsidP="003D788F">
      <w:pPr>
        <w:keepNext/>
        <w:spacing w:after="0" w:line="240" w:lineRule="auto"/>
        <w:rPr>
          <w:rFonts w:ascii="Times New Roman" w:hAnsi="Times New Roman" w:cs="Times New Roman"/>
          <w:sz w:val="26"/>
          <w:szCs w:val="26"/>
        </w:rPr>
      </w:pPr>
    </w:p>
    <w:p w14:paraId="63F97CA2" w14:textId="77777777" w:rsidR="001A01B2" w:rsidRPr="00EE5714" w:rsidRDefault="001A01B2" w:rsidP="001A01B2">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 xml:space="preserve">Some utilities could not provide PPA and in-program arrearage amounts by </w:t>
      </w:r>
      <w:r w:rsidR="00DF358A" w:rsidRPr="00EE5714">
        <w:rPr>
          <w:rFonts w:ascii="Times New Roman" w:hAnsi="Times New Roman" w:cs="Times New Roman"/>
          <w:sz w:val="26"/>
          <w:szCs w:val="26"/>
        </w:rPr>
        <w:t>FPIG</w:t>
      </w:r>
      <w:r w:rsidRPr="00EE5714">
        <w:rPr>
          <w:rFonts w:ascii="Times New Roman" w:hAnsi="Times New Roman" w:cs="Times New Roman"/>
          <w:sz w:val="26"/>
          <w:szCs w:val="26"/>
        </w:rPr>
        <w:t xml:space="preserve"> level or heating type (</w:t>
      </w:r>
      <w:r w:rsidRPr="00EE5714">
        <w:rPr>
          <w:rFonts w:ascii="Times New Roman" w:hAnsi="Times New Roman" w:cs="Times New Roman"/>
          <w:i/>
          <w:iCs/>
          <w:sz w:val="26"/>
          <w:szCs w:val="26"/>
        </w:rPr>
        <w:t>i.e</w:t>
      </w:r>
      <w:r w:rsidRPr="00EE5714">
        <w:rPr>
          <w:rFonts w:ascii="Times New Roman" w:hAnsi="Times New Roman" w:cs="Times New Roman"/>
          <w:sz w:val="26"/>
          <w:szCs w:val="26"/>
        </w:rPr>
        <w:t>., electric heating and electric non-heating).  Specifically:</w:t>
      </w:r>
    </w:p>
    <w:p w14:paraId="752F4916" w14:textId="77777777" w:rsidR="001A01B2" w:rsidRPr="00EE5714" w:rsidRDefault="001A01B2" w:rsidP="001A01B2">
      <w:pPr>
        <w:spacing w:after="0" w:line="240" w:lineRule="auto"/>
        <w:rPr>
          <w:rFonts w:ascii="Times New Roman" w:hAnsi="Times New Roman" w:cs="Times New Roman"/>
          <w:sz w:val="26"/>
          <w:szCs w:val="26"/>
        </w:rPr>
      </w:pPr>
    </w:p>
    <w:p w14:paraId="3213D158" w14:textId="77777777" w:rsidR="001A01B2" w:rsidRPr="00EE5714" w:rsidRDefault="001A01B2" w:rsidP="007D5276">
      <w:pPr>
        <w:pStyle w:val="ListParagraph"/>
        <w:numPr>
          <w:ilvl w:val="0"/>
          <w:numId w:val="9"/>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 xml:space="preserve">The FirstEnergy </w:t>
      </w:r>
      <w:r w:rsidR="00963363" w:rsidRPr="00EE5714">
        <w:rPr>
          <w:rFonts w:ascii="Times New Roman" w:hAnsi="Times New Roman" w:cs="Times New Roman"/>
          <w:sz w:val="26"/>
          <w:szCs w:val="26"/>
        </w:rPr>
        <w:t>C</w:t>
      </w:r>
      <w:r w:rsidRPr="00EE5714">
        <w:rPr>
          <w:rFonts w:ascii="Times New Roman" w:hAnsi="Times New Roman" w:cs="Times New Roman"/>
          <w:sz w:val="26"/>
          <w:szCs w:val="26"/>
        </w:rPr>
        <w:t xml:space="preserve">ompanies could not provide PPA data by </w:t>
      </w:r>
      <w:r w:rsidR="00DF358A" w:rsidRPr="00EE5714">
        <w:rPr>
          <w:rFonts w:ascii="Times New Roman" w:hAnsi="Times New Roman" w:cs="Times New Roman"/>
          <w:sz w:val="26"/>
          <w:szCs w:val="26"/>
        </w:rPr>
        <w:t>FPIG</w:t>
      </w:r>
      <w:r w:rsidRPr="00EE5714">
        <w:rPr>
          <w:rFonts w:ascii="Times New Roman" w:hAnsi="Times New Roman" w:cs="Times New Roman"/>
          <w:sz w:val="26"/>
          <w:szCs w:val="26"/>
        </w:rPr>
        <w:t xml:space="preserve"> level.</w:t>
      </w:r>
    </w:p>
    <w:p w14:paraId="3D52FCA7" w14:textId="77777777" w:rsidR="001A01B2" w:rsidRPr="00EE5714" w:rsidRDefault="001A01B2" w:rsidP="007D5276">
      <w:pPr>
        <w:pStyle w:val="ListParagraph"/>
        <w:numPr>
          <w:ilvl w:val="0"/>
          <w:numId w:val="9"/>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The FirstEnergy companies could not provide data by heating type for electric.</w:t>
      </w:r>
    </w:p>
    <w:p w14:paraId="33B36AC9" w14:textId="77777777" w:rsidR="001A01B2" w:rsidRPr="00EE5714" w:rsidRDefault="001A01B2" w:rsidP="001A01B2">
      <w:pPr>
        <w:spacing w:after="0" w:line="240" w:lineRule="auto"/>
        <w:rPr>
          <w:rFonts w:ascii="Times New Roman" w:hAnsi="Times New Roman" w:cs="Times New Roman"/>
          <w:sz w:val="26"/>
          <w:szCs w:val="26"/>
        </w:rPr>
      </w:pPr>
    </w:p>
    <w:p w14:paraId="05146BE0" w14:textId="77777777" w:rsidR="001A01B2" w:rsidRPr="00EE5714" w:rsidRDefault="001A01B2" w:rsidP="001A01B2">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lastRenderedPageBreak/>
        <w:tab/>
        <w:t>Some utilities could not provide PPA and in-program arrear</w:t>
      </w:r>
      <w:r w:rsidR="00007F36" w:rsidRPr="00EE5714">
        <w:rPr>
          <w:rFonts w:ascii="Times New Roman" w:hAnsi="Times New Roman" w:cs="Times New Roman"/>
          <w:sz w:val="26"/>
          <w:szCs w:val="26"/>
        </w:rPr>
        <w:t>s</w:t>
      </w:r>
      <w:r w:rsidRPr="00EE5714">
        <w:rPr>
          <w:rFonts w:ascii="Times New Roman" w:hAnsi="Times New Roman" w:cs="Times New Roman"/>
          <w:sz w:val="26"/>
          <w:szCs w:val="26"/>
        </w:rPr>
        <w:t xml:space="preserve"> data for e</w:t>
      </w:r>
      <w:r w:rsidR="00612F38" w:rsidRPr="00EE5714">
        <w:rPr>
          <w:rFonts w:ascii="Times New Roman" w:hAnsi="Times New Roman" w:cs="Times New Roman"/>
          <w:sz w:val="26"/>
          <w:szCs w:val="26"/>
        </w:rPr>
        <w:t>very</w:t>
      </w:r>
      <w:r w:rsidRPr="00EE5714">
        <w:rPr>
          <w:rFonts w:ascii="Times New Roman" w:hAnsi="Times New Roman" w:cs="Times New Roman"/>
          <w:sz w:val="26"/>
          <w:szCs w:val="26"/>
        </w:rPr>
        <w:t xml:space="preserve"> year of this study.  Specifically:</w:t>
      </w:r>
    </w:p>
    <w:p w14:paraId="7B7B3575" w14:textId="77777777" w:rsidR="001A01B2" w:rsidRPr="00EE5714" w:rsidRDefault="001A01B2" w:rsidP="001A01B2">
      <w:pPr>
        <w:spacing w:after="0" w:line="240" w:lineRule="auto"/>
        <w:rPr>
          <w:rFonts w:ascii="Times New Roman" w:hAnsi="Times New Roman" w:cs="Times New Roman"/>
          <w:sz w:val="26"/>
          <w:szCs w:val="26"/>
        </w:rPr>
      </w:pPr>
    </w:p>
    <w:p w14:paraId="40BEB57A" w14:textId="77777777" w:rsidR="001A01B2" w:rsidRPr="00EE5714" w:rsidRDefault="001A01B2" w:rsidP="007D5276">
      <w:pPr>
        <w:pStyle w:val="ListParagraph"/>
        <w:numPr>
          <w:ilvl w:val="0"/>
          <w:numId w:val="8"/>
        </w:numPr>
        <w:spacing w:after="0" w:line="240" w:lineRule="auto"/>
        <w:ind w:firstLine="0"/>
        <w:rPr>
          <w:rFonts w:ascii="Times New Roman" w:hAnsi="Times New Roman" w:cs="Times New Roman"/>
          <w:sz w:val="26"/>
          <w:szCs w:val="26"/>
        </w:rPr>
      </w:pPr>
      <w:r w:rsidRPr="00EE5714">
        <w:rPr>
          <w:rFonts w:ascii="Times New Roman" w:hAnsi="Times New Roman" w:cs="Times New Roman"/>
          <w:sz w:val="26"/>
          <w:szCs w:val="26"/>
        </w:rPr>
        <w:t>Columbia Gas could not provide data for 2012.</w:t>
      </w:r>
    </w:p>
    <w:p w14:paraId="6F44D96B" w14:textId="77777777" w:rsidR="001A01B2" w:rsidRPr="00EE5714" w:rsidRDefault="00626948" w:rsidP="007D5276">
      <w:pPr>
        <w:pStyle w:val="ListParagraph"/>
        <w:numPr>
          <w:ilvl w:val="0"/>
          <w:numId w:val="8"/>
        </w:numPr>
        <w:spacing w:after="0" w:line="240" w:lineRule="auto"/>
        <w:ind w:firstLine="0"/>
        <w:rPr>
          <w:rFonts w:ascii="Times New Roman" w:hAnsi="Times New Roman" w:cs="Times New Roman"/>
          <w:sz w:val="26"/>
          <w:szCs w:val="26"/>
        </w:rPr>
      </w:pPr>
      <w:r w:rsidRPr="00EE5714">
        <w:rPr>
          <w:rFonts w:ascii="Times New Roman" w:hAnsi="Times New Roman" w:cs="Times New Roman"/>
          <w:sz w:val="26"/>
          <w:szCs w:val="26"/>
        </w:rPr>
        <w:t xml:space="preserve">West Penn </w:t>
      </w:r>
      <w:r w:rsidR="001A01B2" w:rsidRPr="00EE5714">
        <w:rPr>
          <w:rFonts w:ascii="Times New Roman" w:hAnsi="Times New Roman" w:cs="Times New Roman"/>
          <w:sz w:val="26"/>
          <w:szCs w:val="26"/>
        </w:rPr>
        <w:t>could not provide data prior to 2015.</w:t>
      </w:r>
    </w:p>
    <w:p w14:paraId="3F55BE61" w14:textId="77777777" w:rsidR="001A01B2" w:rsidRPr="00EE5714" w:rsidRDefault="001A01B2" w:rsidP="007D5276">
      <w:pPr>
        <w:pStyle w:val="ListParagraph"/>
        <w:numPr>
          <w:ilvl w:val="0"/>
          <w:numId w:val="8"/>
        </w:numPr>
        <w:spacing w:after="0" w:line="240" w:lineRule="auto"/>
        <w:ind w:firstLine="0"/>
        <w:rPr>
          <w:rFonts w:ascii="Times New Roman" w:hAnsi="Times New Roman" w:cs="Times New Roman"/>
          <w:sz w:val="26"/>
          <w:szCs w:val="26"/>
        </w:rPr>
      </w:pPr>
      <w:r w:rsidRPr="00EE5714">
        <w:rPr>
          <w:rFonts w:ascii="Times New Roman" w:hAnsi="Times New Roman" w:cs="Times New Roman"/>
          <w:sz w:val="26"/>
          <w:szCs w:val="26"/>
        </w:rPr>
        <w:t xml:space="preserve">Duquesne could not provide data prior to 2015. </w:t>
      </w:r>
    </w:p>
    <w:p w14:paraId="57756747" w14:textId="77777777" w:rsidR="001A01B2" w:rsidRPr="00EE5714" w:rsidRDefault="001A01B2" w:rsidP="001A01B2">
      <w:pPr>
        <w:spacing w:after="0" w:line="240" w:lineRule="auto"/>
        <w:ind w:left="360"/>
        <w:rPr>
          <w:rFonts w:ascii="Times New Roman" w:hAnsi="Times New Roman" w:cs="Times New Roman"/>
          <w:sz w:val="26"/>
          <w:szCs w:val="26"/>
        </w:rPr>
      </w:pPr>
    </w:p>
    <w:p w14:paraId="32DBFABA" w14:textId="77777777" w:rsidR="009164F6" w:rsidRPr="00EE5714" w:rsidRDefault="009164F6" w:rsidP="001A01B2">
      <w:pPr>
        <w:spacing w:after="0" w:line="240" w:lineRule="auto"/>
        <w:rPr>
          <w:rFonts w:ascii="Times New Roman" w:hAnsi="Times New Roman" w:cs="Times New Roman"/>
          <w:sz w:val="26"/>
          <w:szCs w:val="26"/>
        </w:rPr>
      </w:pPr>
    </w:p>
    <w:p w14:paraId="5DCA0DCB" w14:textId="6FC58CC4" w:rsidR="009164F6" w:rsidRPr="00EE5714" w:rsidRDefault="00245276" w:rsidP="001A01B2">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Further, the PPA</w:t>
      </w:r>
      <w:r w:rsidR="00BF0C6B" w:rsidRPr="00EE5714">
        <w:rPr>
          <w:rFonts w:ascii="Times New Roman" w:hAnsi="Times New Roman" w:cs="Times New Roman"/>
          <w:sz w:val="26"/>
          <w:szCs w:val="26"/>
        </w:rPr>
        <w:t>s</w:t>
      </w:r>
      <w:r w:rsidRPr="00EE5714">
        <w:rPr>
          <w:rFonts w:ascii="Times New Roman" w:hAnsi="Times New Roman" w:cs="Times New Roman"/>
          <w:sz w:val="26"/>
          <w:szCs w:val="26"/>
        </w:rPr>
        <w:t xml:space="preserve"> and in-program arrears were </w:t>
      </w:r>
      <w:r w:rsidR="00433D68" w:rsidRPr="00EE5714">
        <w:rPr>
          <w:rFonts w:ascii="Times New Roman" w:hAnsi="Times New Roman" w:cs="Times New Roman"/>
          <w:sz w:val="26"/>
          <w:szCs w:val="26"/>
        </w:rPr>
        <w:t xml:space="preserve">not tallied in terms of the age of the debt.  </w:t>
      </w:r>
    </w:p>
    <w:p w14:paraId="5D225017" w14:textId="77777777" w:rsidR="00433D68" w:rsidRPr="00EE5714" w:rsidRDefault="00433D68" w:rsidP="001A01B2">
      <w:pPr>
        <w:spacing w:after="0" w:line="240" w:lineRule="auto"/>
        <w:rPr>
          <w:rFonts w:ascii="Times New Roman" w:hAnsi="Times New Roman" w:cs="Times New Roman"/>
          <w:sz w:val="26"/>
          <w:szCs w:val="26"/>
        </w:rPr>
      </w:pPr>
    </w:p>
    <w:p w14:paraId="4E07F90A" w14:textId="3C2E784E" w:rsidR="001A01B2" w:rsidRPr="00EE5714" w:rsidRDefault="001A01B2" w:rsidP="001A01B2">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r>
      <w:r w:rsidR="007E6BAA" w:rsidRPr="00EE5714">
        <w:rPr>
          <w:rFonts w:ascii="Times New Roman" w:hAnsi="Times New Roman" w:cs="Times New Roman"/>
          <w:sz w:val="26"/>
          <w:szCs w:val="26"/>
        </w:rPr>
        <w:t xml:space="preserve">As a result, staff analyzed </w:t>
      </w:r>
      <w:r w:rsidRPr="00EE5714" w:rsidDel="001004E4">
        <w:rPr>
          <w:rFonts w:ascii="Times New Roman" w:hAnsi="Times New Roman" w:cs="Times New Roman"/>
          <w:sz w:val="26"/>
          <w:szCs w:val="26"/>
        </w:rPr>
        <w:t>t</w:t>
      </w:r>
      <w:r w:rsidRPr="00EE5714">
        <w:rPr>
          <w:rFonts w:ascii="Times New Roman" w:hAnsi="Times New Roman" w:cs="Times New Roman"/>
          <w:sz w:val="26"/>
          <w:szCs w:val="26"/>
        </w:rPr>
        <w:t xml:space="preserve">he PPA and in-program arrearage amounts in the aggregate across all </w:t>
      </w:r>
      <w:r w:rsidR="00DF358A" w:rsidRPr="00EE5714">
        <w:rPr>
          <w:rFonts w:ascii="Times New Roman" w:hAnsi="Times New Roman" w:cs="Times New Roman"/>
          <w:sz w:val="26"/>
          <w:szCs w:val="26"/>
        </w:rPr>
        <w:t>FPIG</w:t>
      </w:r>
      <w:r w:rsidRPr="00EE5714">
        <w:rPr>
          <w:rFonts w:ascii="Times New Roman" w:hAnsi="Times New Roman" w:cs="Times New Roman"/>
          <w:sz w:val="26"/>
          <w:szCs w:val="26"/>
        </w:rPr>
        <w:t xml:space="preserve"> levels (</w:t>
      </w:r>
      <w:r w:rsidR="001431CF" w:rsidRPr="00EE5714">
        <w:rPr>
          <w:rFonts w:ascii="Times New Roman" w:hAnsi="Times New Roman" w:cs="Times New Roman"/>
          <w:i/>
          <w:iCs/>
          <w:sz w:val="26"/>
          <w:szCs w:val="26"/>
        </w:rPr>
        <w:t>i.e.</w:t>
      </w:r>
      <w:r w:rsidR="001431CF" w:rsidRPr="00EE5714">
        <w:rPr>
          <w:rFonts w:ascii="Times New Roman" w:hAnsi="Times New Roman" w:cs="Times New Roman"/>
          <w:sz w:val="26"/>
          <w:szCs w:val="26"/>
        </w:rPr>
        <w:t xml:space="preserve">, </w:t>
      </w:r>
      <w:r w:rsidRPr="00EE5714">
        <w:rPr>
          <w:rFonts w:ascii="Times New Roman" w:hAnsi="Times New Roman" w:cs="Times New Roman"/>
          <w:sz w:val="26"/>
          <w:szCs w:val="26"/>
        </w:rPr>
        <w:t>0-150%)</w:t>
      </w:r>
      <w:r w:rsidR="00C0305B"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 </w:t>
      </w:r>
      <w:r w:rsidR="00C0305B" w:rsidRPr="00EE5714">
        <w:rPr>
          <w:rFonts w:ascii="Times New Roman" w:hAnsi="Times New Roman" w:cs="Times New Roman"/>
          <w:sz w:val="26"/>
          <w:szCs w:val="26"/>
        </w:rPr>
        <w:t>E</w:t>
      </w:r>
      <w:r w:rsidRPr="00EE5714">
        <w:rPr>
          <w:rFonts w:ascii="Times New Roman" w:hAnsi="Times New Roman" w:cs="Times New Roman"/>
          <w:sz w:val="26"/>
          <w:szCs w:val="26"/>
        </w:rPr>
        <w:t>lectric heat and electric non-heating CAP accounts are combined.</w:t>
      </w:r>
    </w:p>
    <w:p w14:paraId="22E9E434" w14:textId="77777777" w:rsidR="001A01B2" w:rsidRPr="00EE5714" w:rsidRDefault="001A01B2" w:rsidP="001A01B2">
      <w:pPr>
        <w:spacing w:after="0" w:line="240" w:lineRule="auto"/>
        <w:ind w:left="360"/>
        <w:rPr>
          <w:rFonts w:ascii="Times New Roman" w:hAnsi="Times New Roman" w:cs="Times New Roman"/>
          <w:sz w:val="26"/>
          <w:szCs w:val="26"/>
        </w:rPr>
      </w:pPr>
    </w:p>
    <w:p w14:paraId="01E46421" w14:textId="77777777" w:rsidR="001A01B2" w:rsidRPr="00EE5714" w:rsidRDefault="001A01B2" w:rsidP="003D788F">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Analysis</w:t>
      </w:r>
    </w:p>
    <w:p w14:paraId="31E1F32C" w14:textId="77777777" w:rsidR="001A01B2" w:rsidRPr="00EE5714" w:rsidRDefault="001A01B2" w:rsidP="00031C0C">
      <w:pPr>
        <w:keepNext/>
        <w:spacing w:after="0" w:line="240" w:lineRule="auto"/>
        <w:contextualSpacing/>
        <w:jc w:val="center"/>
        <w:rPr>
          <w:rFonts w:ascii="Times New Roman" w:hAnsi="Times New Roman" w:cs="Times New Roman"/>
          <w:sz w:val="26"/>
          <w:szCs w:val="26"/>
        </w:rPr>
      </w:pPr>
    </w:p>
    <w:p w14:paraId="443AA6C5" w14:textId="77777777" w:rsidR="001A01B2" w:rsidRPr="00EE5714" w:rsidRDefault="001A01B2" w:rsidP="003D788F">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t>NGDCs–PPAs</w:t>
      </w:r>
    </w:p>
    <w:p w14:paraId="191C9E7F" w14:textId="77777777" w:rsidR="001A01B2" w:rsidRPr="00EE5714" w:rsidRDefault="001A01B2" w:rsidP="00031C0C">
      <w:pPr>
        <w:keepNext/>
        <w:spacing w:after="0" w:line="240" w:lineRule="auto"/>
        <w:contextualSpacing/>
        <w:rPr>
          <w:rFonts w:ascii="Times New Roman" w:hAnsi="Times New Roman" w:cs="Times New Roman"/>
          <w:i/>
          <w:sz w:val="26"/>
          <w:szCs w:val="26"/>
        </w:rPr>
      </w:pPr>
    </w:p>
    <w:p w14:paraId="79F93A30" w14:textId="77777777" w:rsidR="001A01B2" w:rsidRPr="00EE5714" w:rsidRDefault="001A01B2" w:rsidP="001A01B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 xml:space="preserve">For gas heating CAPs, </w:t>
      </w:r>
      <w:r w:rsidR="002423EC" w:rsidRPr="00EE5714">
        <w:rPr>
          <w:rFonts w:ascii="Times New Roman" w:hAnsi="Times New Roman" w:cs="Times New Roman"/>
          <w:sz w:val="26"/>
          <w:szCs w:val="26"/>
        </w:rPr>
        <w:t>staff</w:t>
      </w:r>
      <w:r w:rsidRPr="00EE5714">
        <w:rPr>
          <w:rFonts w:ascii="Times New Roman" w:hAnsi="Times New Roman" w:cs="Times New Roman"/>
          <w:sz w:val="26"/>
          <w:szCs w:val="26"/>
        </w:rPr>
        <w:t xml:space="preserve"> found a variance in the amount of PPAs carried by CAP customers.  Most gas utilities reported average PPA balances between $400 and $800 </w:t>
      </w:r>
      <w:r w:rsidR="00484B3C" w:rsidRPr="00EE5714">
        <w:rPr>
          <w:rFonts w:ascii="Times New Roman" w:hAnsi="Times New Roman" w:cs="Times New Roman"/>
          <w:sz w:val="26"/>
          <w:szCs w:val="26"/>
        </w:rPr>
        <w:t xml:space="preserve">for </w:t>
      </w:r>
      <w:r w:rsidRPr="00EE5714">
        <w:rPr>
          <w:rFonts w:ascii="Times New Roman" w:hAnsi="Times New Roman" w:cs="Times New Roman"/>
          <w:sz w:val="26"/>
          <w:szCs w:val="26"/>
        </w:rPr>
        <w:t>CAP customer</w:t>
      </w:r>
      <w:r w:rsidR="00484B3C" w:rsidRPr="00EE5714">
        <w:rPr>
          <w:rFonts w:ascii="Times New Roman" w:hAnsi="Times New Roman" w:cs="Times New Roman"/>
          <w:sz w:val="26"/>
          <w:szCs w:val="26"/>
        </w:rPr>
        <w:t>s with a PPA</w:t>
      </w:r>
      <w:r w:rsidRPr="00EE5714">
        <w:rPr>
          <w:rFonts w:ascii="Times New Roman" w:hAnsi="Times New Roman" w:cs="Times New Roman"/>
          <w:sz w:val="26"/>
          <w:szCs w:val="26"/>
        </w:rPr>
        <w:t>.  Columbia Gas had the lowest average amount of PPAs, ranging from $99 t</w:t>
      </w:r>
      <w:r w:rsidR="00DE1AAA" w:rsidRPr="00EE5714">
        <w:rPr>
          <w:rFonts w:ascii="Times New Roman" w:hAnsi="Times New Roman" w:cs="Times New Roman"/>
          <w:sz w:val="26"/>
          <w:szCs w:val="26"/>
        </w:rPr>
        <w:t>o</w:t>
      </w:r>
      <w:r w:rsidRPr="00EE5714">
        <w:rPr>
          <w:rFonts w:ascii="Times New Roman" w:hAnsi="Times New Roman" w:cs="Times New Roman"/>
          <w:sz w:val="26"/>
          <w:szCs w:val="26"/>
        </w:rPr>
        <w:t xml:space="preserve"> $133 per CAP customer for the four years of data provided (2013-2016).  PGW reported the highest average amount of PPA, ranging from $1,260 to $1,342 per CAP customer for 2012 through 2016.  </w:t>
      </w:r>
    </w:p>
    <w:p w14:paraId="693A2B49" w14:textId="77777777" w:rsidR="001A01B2" w:rsidRPr="00EE5714" w:rsidRDefault="001A01B2" w:rsidP="001A01B2">
      <w:pPr>
        <w:spacing w:after="0" w:line="240" w:lineRule="auto"/>
        <w:contextualSpacing/>
        <w:rPr>
          <w:rFonts w:ascii="Times New Roman" w:hAnsi="Times New Roman" w:cs="Times New Roman"/>
          <w:sz w:val="26"/>
          <w:szCs w:val="26"/>
        </w:rPr>
      </w:pPr>
    </w:p>
    <w:p w14:paraId="779B866D" w14:textId="77777777" w:rsidR="001A01B2" w:rsidRPr="00EE5714" w:rsidRDefault="001A01B2" w:rsidP="001A01B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 xml:space="preserve">One possible reason for the variance in the average amounts of PPAs between Columbia Gas and PGW may be the differences in their CAP enrollment restrictions.  Columbia Gas will enroll any low-income customer with a heating account into its CAP if the customer is “payment troubled,” which is defined as having received a termination notice or having broken a payment agreement within the past 12 months or having been identified through a utility referral or credit scoring.  Columbia Gas 2015-2018 </w:t>
      </w:r>
      <w:r w:rsidR="00E84A66" w:rsidRPr="00EE5714">
        <w:rPr>
          <w:rFonts w:ascii="Times New Roman" w:hAnsi="Times New Roman" w:cs="Times New Roman"/>
          <w:sz w:val="26"/>
          <w:szCs w:val="26"/>
        </w:rPr>
        <w:t>U</w:t>
      </w:r>
      <w:r w:rsidR="00DC3E09" w:rsidRPr="00EE5714">
        <w:rPr>
          <w:rFonts w:ascii="Times New Roman" w:hAnsi="Times New Roman" w:cs="Times New Roman"/>
          <w:sz w:val="26"/>
          <w:szCs w:val="26"/>
        </w:rPr>
        <w:t>SECP</w:t>
      </w:r>
      <w:r w:rsidRPr="00EE5714">
        <w:rPr>
          <w:rFonts w:ascii="Times New Roman" w:hAnsi="Times New Roman" w:cs="Times New Roman"/>
          <w:sz w:val="26"/>
          <w:szCs w:val="26"/>
        </w:rPr>
        <w:t xml:space="preserve"> at</w:t>
      </w:r>
      <w:r w:rsidR="00322C59" w:rsidRPr="00EE5714">
        <w:rPr>
          <w:rFonts w:ascii="Times New Roman" w:hAnsi="Times New Roman" w:cs="Times New Roman"/>
          <w:sz w:val="26"/>
          <w:szCs w:val="26"/>
        </w:rPr>
        <w:t> </w:t>
      </w:r>
      <w:r w:rsidRPr="00EE5714">
        <w:rPr>
          <w:rFonts w:ascii="Times New Roman" w:hAnsi="Times New Roman" w:cs="Times New Roman"/>
          <w:sz w:val="26"/>
          <w:szCs w:val="26"/>
        </w:rPr>
        <w:t>17, Docket No. M</w:t>
      </w:r>
      <w:r w:rsidRPr="00EE5714">
        <w:rPr>
          <w:rFonts w:ascii="Times New Roman" w:hAnsi="Times New Roman" w:cs="Times New Roman"/>
          <w:sz w:val="26"/>
          <w:szCs w:val="26"/>
        </w:rPr>
        <w:noBreakHyphen/>
        <w:t>2014-2424462 (filed on August 12, 2015).  During the time-period of this study, PGW enrolled low-income customers into its CAP only if the percentage-of-income payment (</w:t>
      </w:r>
      <w:r w:rsidRPr="00EE5714">
        <w:rPr>
          <w:rFonts w:ascii="Times New Roman" w:hAnsi="Times New Roman" w:cs="Times New Roman"/>
          <w:i/>
          <w:iCs/>
          <w:sz w:val="26"/>
          <w:szCs w:val="26"/>
        </w:rPr>
        <w:t>i.e.</w:t>
      </w:r>
      <w:r w:rsidRPr="00EE5714">
        <w:rPr>
          <w:rFonts w:ascii="Times New Roman" w:hAnsi="Times New Roman" w:cs="Times New Roman"/>
          <w:sz w:val="26"/>
          <w:szCs w:val="26"/>
        </w:rPr>
        <w:t xml:space="preserve">, 8-10%) was the most affordable option.  PGW 2014-2016 USECP at 9, </w:t>
      </w:r>
      <w:r w:rsidRPr="00EE5714">
        <w:rPr>
          <w:rFonts w:ascii="Times New Roman" w:eastAsia="Times New Roman" w:hAnsi="Times New Roman" w:cs="Times New Roman"/>
          <w:sz w:val="26"/>
          <w:szCs w:val="26"/>
        </w:rPr>
        <w:t>Docket No. M</w:t>
      </w:r>
      <w:r w:rsidRPr="00EE5714">
        <w:rPr>
          <w:rFonts w:ascii="Times New Roman" w:eastAsia="Times New Roman" w:hAnsi="Times New Roman" w:cs="Times New Roman"/>
          <w:sz w:val="26"/>
          <w:szCs w:val="26"/>
        </w:rPr>
        <w:noBreakHyphen/>
        <w:t>2013-2366301 (filed on September 22, 2014)</w:t>
      </w:r>
      <w:r w:rsidRPr="00EE5714">
        <w:rPr>
          <w:rFonts w:ascii="Times New Roman" w:hAnsi="Times New Roman" w:cs="Times New Roman"/>
          <w:sz w:val="26"/>
          <w:szCs w:val="26"/>
        </w:rPr>
        <w:t>.  Thus, low-income customers could qualify for Columbia Gas’ CAP after two missed payments, while PGW customers may have had to wait to qualify until CAP offered the most affordable payment.</w:t>
      </w:r>
    </w:p>
    <w:p w14:paraId="24810DEB" w14:textId="77777777" w:rsidR="001A01B2" w:rsidRPr="00EE5714" w:rsidRDefault="001A01B2" w:rsidP="001A01B2">
      <w:pPr>
        <w:spacing w:after="0" w:line="240" w:lineRule="auto"/>
        <w:contextualSpacing/>
        <w:rPr>
          <w:rFonts w:ascii="Times New Roman" w:hAnsi="Times New Roman" w:cs="Times New Roman"/>
          <w:sz w:val="26"/>
          <w:szCs w:val="26"/>
        </w:rPr>
      </w:pPr>
    </w:p>
    <w:p w14:paraId="05FFAFD7" w14:textId="77777777" w:rsidR="001A01B2" w:rsidRPr="00EE5714" w:rsidRDefault="001A01B2" w:rsidP="001A01B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Overall, PPA balances trend</w:t>
      </w:r>
      <w:r w:rsidR="00D30580" w:rsidRPr="00EE5714">
        <w:rPr>
          <w:rFonts w:ascii="Times New Roman" w:hAnsi="Times New Roman" w:cs="Times New Roman"/>
          <w:sz w:val="26"/>
          <w:szCs w:val="26"/>
        </w:rPr>
        <w:t>ed</w:t>
      </w:r>
      <w:r w:rsidRPr="00EE5714">
        <w:rPr>
          <w:rFonts w:ascii="Times New Roman" w:hAnsi="Times New Roman" w:cs="Times New Roman"/>
          <w:sz w:val="26"/>
          <w:szCs w:val="26"/>
        </w:rPr>
        <w:t xml:space="preserve"> downward for most gas utilities.  This decrease may be attributable to the lower cost of natural gas</w:t>
      </w:r>
      <w:r w:rsidR="00A816CD" w:rsidRPr="00EE5714">
        <w:rPr>
          <w:rStyle w:val="FootnoteReference"/>
          <w:rFonts w:ascii="Times New Roman" w:hAnsi="Times New Roman" w:cs="Times New Roman"/>
          <w:sz w:val="26"/>
          <w:szCs w:val="26"/>
        </w:rPr>
        <w:footnoteReference w:id="48"/>
      </w:r>
      <w:r w:rsidRPr="00EE5714">
        <w:rPr>
          <w:rFonts w:ascii="Times New Roman" w:hAnsi="Times New Roman" w:cs="Times New Roman"/>
          <w:sz w:val="26"/>
          <w:szCs w:val="26"/>
        </w:rPr>
        <w:t xml:space="preserve"> and the warmer winters Pennsylvania experienced after the polar vortex in 2014-2015.  Columbia (with the lowest average PPAs) and Peoples have, however, seen their average PPAs trend slightly upward over the five years.  </w:t>
      </w:r>
    </w:p>
    <w:p w14:paraId="3D0978D0" w14:textId="77777777" w:rsidR="001A01B2" w:rsidRPr="00EE5714" w:rsidRDefault="001A01B2" w:rsidP="001A01B2">
      <w:pPr>
        <w:spacing w:after="0" w:line="240" w:lineRule="auto"/>
        <w:contextualSpacing/>
        <w:rPr>
          <w:rFonts w:ascii="Times New Roman" w:hAnsi="Times New Roman" w:cs="Times New Roman"/>
          <w:sz w:val="26"/>
          <w:szCs w:val="26"/>
        </w:rPr>
      </w:pPr>
    </w:p>
    <w:p w14:paraId="2F6C95C3" w14:textId="77777777" w:rsidR="001A01B2" w:rsidRPr="00EE5714" w:rsidRDefault="001A01B2" w:rsidP="00626810">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Table </w:t>
      </w:r>
      <w:r w:rsidR="00524E43" w:rsidRPr="00EE5714">
        <w:rPr>
          <w:rFonts w:ascii="Times New Roman" w:hAnsi="Times New Roman" w:cs="Times New Roman"/>
          <w:b/>
          <w:bCs/>
          <w:sz w:val="26"/>
          <w:szCs w:val="26"/>
        </w:rPr>
        <w:t>5-2</w:t>
      </w:r>
    </w:p>
    <w:p w14:paraId="73BA1747" w14:textId="77777777" w:rsidR="001A01B2" w:rsidRPr="00EE5714" w:rsidRDefault="001A01B2" w:rsidP="00626810">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Average PPAs Carried by NGDC CAP Customers with PPA Balances</w:t>
      </w:r>
    </w:p>
    <w:p w14:paraId="451BFCE6" w14:textId="77777777" w:rsidR="001A01B2" w:rsidRPr="00EE5714" w:rsidRDefault="001A01B2" w:rsidP="00626810">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(Gas Heating Only)</w:t>
      </w:r>
    </w:p>
    <w:p w14:paraId="5DC1D201" w14:textId="77777777" w:rsidR="001A01B2" w:rsidRPr="00EE5714" w:rsidRDefault="00081D21" w:rsidP="00A370A4">
      <w:pPr>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42117888" wp14:editId="3349D8B7">
            <wp:extent cx="5934075" cy="3933825"/>
            <wp:effectExtent l="0" t="0" r="9525" b="9525"/>
            <wp:docPr id="42" name="Chart 42">
              <a:extLst xmlns:a="http://schemas.openxmlformats.org/drawingml/2006/main">
                <a:ext uri="{FF2B5EF4-FFF2-40B4-BE49-F238E27FC236}">
                  <a16:creationId xmlns:a16="http://schemas.microsoft.com/office/drawing/2014/main" id="{1412968A-5A91-410A-A137-D713EC133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A25105" w14:textId="77777777" w:rsidR="001A01B2" w:rsidRPr="00EE5714" w:rsidRDefault="001A01B2" w:rsidP="006F17D9">
      <w:pPr>
        <w:spacing w:after="0" w:line="240" w:lineRule="auto"/>
        <w:contextualSpacing/>
        <w:rPr>
          <w:rFonts w:ascii="Times New Roman" w:hAnsi="Times New Roman" w:cs="Times New Roman"/>
          <w:i/>
          <w:sz w:val="26"/>
          <w:szCs w:val="26"/>
        </w:rPr>
      </w:pPr>
    </w:p>
    <w:p w14:paraId="410B12CB" w14:textId="77777777" w:rsidR="00751787" w:rsidRPr="00EE5714" w:rsidRDefault="00751787" w:rsidP="00A370A4">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Table 5-2 reflects the average PPA per NGDC CAP customer with a PPA balance during the five-year</w:t>
      </w:r>
      <w:r w:rsidRPr="00EE5714">
        <w:rPr>
          <w:rFonts w:ascii="Times New Roman" w:hAnsi="Times New Roman" w:cs="Times New Roman"/>
          <w:sz w:val="26"/>
          <w:szCs w:val="26"/>
        </w:rPr>
        <w:noBreakHyphen/>
        <w:t xml:space="preserve"> period of this study.</w:t>
      </w:r>
    </w:p>
    <w:p w14:paraId="60DCD7D3" w14:textId="77777777" w:rsidR="00751787" w:rsidRPr="00EE5714" w:rsidRDefault="00751787" w:rsidP="00751787">
      <w:pPr>
        <w:spacing w:after="0" w:line="240" w:lineRule="auto"/>
        <w:contextualSpacing/>
        <w:rPr>
          <w:rFonts w:ascii="Times New Roman" w:hAnsi="Times New Roman" w:cs="Times New Roman"/>
          <w:sz w:val="26"/>
          <w:szCs w:val="26"/>
        </w:rPr>
      </w:pPr>
    </w:p>
    <w:p w14:paraId="1350B0F1" w14:textId="77777777" w:rsidR="001A01B2" w:rsidRPr="00EE5714" w:rsidRDefault="001A01B2" w:rsidP="00626810">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t>NGDCs–In-Program Arrears (IPAs)</w:t>
      </w:r>
    </w:p>
    <w:p w14:paraId="19A0C79F" w14:textId="77777777" w:rsidR="001A01B2" w:rsidRPr="00EE5714" w:rsidRDefault="001A01B2">
      <w:pPr>
        <w:keepNext/>
        <w:spacing w:after="0" w:line="240" w:lineRule="auto"/>
        <w:contextualSpacing/>
        <w:rPr>
          <w:rFonts w:ascii="Times New Roman" w:hAnsi="Times New Roman" w:cs="Times New Roman"/>
          <w:i/>
          <w:sz w:val="26"/>
          <w:szCs w:val="26"/>
        </w:rPr>
      </w:pPr>
    </w:p>
    <w:p w14:paraId="4816EFD5" w14:textId="77777777" w:rsidR="001A01B2" w:rsidRPr="00EE5714" w:rsidRDefault="001A01B2" w:rsidP="001A01B2">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Most NGDCs report</w:t>
      </w:r>
      <w:r w:rsidR="00C15E3B" w:rsidRPr="00EE5714">
        <w:rPr>
          <w:rFonts w:ascii="Times New Roman" w:hAnsi="Times New Roman" w:cs="Times New Roman"/>
          <w:sz w:val="26"/>
          <w:szCs w:val="26"/>
        </w:rPr>
        <w:t>ed</w:t>
      </w:r>
      <w:r w:rsidRPr="00EE5714">
        <w:rPr>
          <w:rFonts w:ascii="Times New Roman" w:hAnsi="Times New Roman" w:cs="Times New Roman"/>
          <w:sz w:val="26"/>
          <w:szCs w:val="26"/>
        </w:rPr>
        <w:t xml:space="preserve"> in-program arrears averaging from $100 to $400 for CAP customer</w:t>
      </w:r>
      <w:r w:rsidR="000762DD" w:rsidRPr="00EE5714">
        <w:rPr>
          <w:rFonts w:ascii="Times New Roman" w:hAnsi="Times New Roman" w:cs="Times New Roman"/>
          <w:sz w:val="26"/>
          <w:szCs w:val="26"/>
        </w:rPr>
        <w:t>s</w:t>
      </w:r>
      <w:r w:rsidRPr="00EE5714">
        <w:rPr>
          <w:rFonts w:ascii="Times New Roman" w:hAnsi="Times New Roman" w:cs="Times New Roman"/>
          <w:sz w:val="26"/>
          <w:szCs w:val="26"/>
        </w:rPr>
        <w:t xml:space="preserve"> who carried in-program arrears during 2012-2016.  All NGDCs reported decreasing in-program arrearage balances in 2016.  In addition to lower natural gas costs and warmer winters in 2015-2016, declining CAP enrollment may also be a factor.  The average 2016 CAP enrollment rate for both NFG and Peoples Equitable declined by 43% compared to their </w:t>
      </w:r>
      <w:r w:rsidR="00BF0657" w:rsidRPr="00EE5714">
        <w:rPr>
          <w:rFonts w:ascii="Times New Roman" w:hAnsi="Times New Roman" w:cs="Times New Roman"/>
          <w:sz w:val="26"/>
          <w:szCs w:val="26"/>
        </w:rPr>
        <w:t xml:space="preserve">average </w:t>
      </w:r>
      <w:r w:rsidRPr="00EE5714">
        <w:rPr>
          <w:rFonts w:ascii="Times New Roman" w:hAnsi="Times New Roman" w:cs="Times New Roman"/>
          <w:sz w:val="26"/>
          <w:szCs w:val="26"/>
        </w:rPr>
        <w:t>2012 CAP enrollment rates.  PGW’s average CAP enrollment in 2016 was 34% lower than 2012.</w:t>
      </w:r>
      <w:r w:rsidR="006A4525" w:rsidRPr="00EE5714">
        <w:rPr>
          <w:rFonts w:ascii="Times New Roman" w:hAnsi="Times New Roman" w:cs="Times New Roman"/>
          <w:sz w:val="26"/>
          <w:szCs w:val="26"/>
        </w:rPr>
        <w:t xml:space="preserve">  2012 </w:t>
      </w:r>
      <w:r w:rsidR="000C6CB5" w:rsidRPr="00EE5714">
        <w:rPr>
          <w:rFonts w:ascii="Times New Roman" w:hAnsi="Times New Roman" w:cs="Times New Roman"/>
          <w:sz w:val="26"/>
          <w:szCs w:val="26"/>
        </w:rPr>
        <w:t xml:space="preserve">and 2016 </w:t>
      </w:r>
      <w:r w:rsidR="006A4525" w:rsidRPr="00EE5714">
        <w:rPr>
          <w:rFonts w:ascii="Times New Roman" w:hAnsi="Times New Roman" w:cs="Times New Roman"/>
          <w:sz w:val="26"/>
          <w:szCs w:val="26"/>
        </w:rPr>
        <w:t xml:space="preserve">Report on Universal Service Programs &amp; Collections Performance at </w:t>
      </w:r>
      <w:r w:rsidR="00204265" w:rsidRPr="00EE5714">
        <w:rPr>
          <w:rFonts w:ascii="Times New Roman" w:hAnsi="Times New Roman" w:cs="Times New Roman"/>
          <w:sz w:val="26"/>
          <w:szCs w:val="26"/>
        </w:rPr>
        <w:t>39</w:t>
      </w:r>
      <w:r w:rsidR="000C6CB5" w:rsidRPr="00EE5714">
        <w:rPr>
          <w:rFonts w:ascii="Times New Roman" w:hAnsi="Times New Roman" w:cs="Times New Roman"/>
          <w:sz w:val="26"/>
          <w:szCs w:val="26"/>
        </w:rPr>
        <w:t xml:space="preserve"> and</w:t>
      </w:r>
      <w:r w:rsidR="00195E9C" w:rsidRPr="00EE5714">
        <w:rPr>
          <w:rFonts w:ascii="Times New Roman" w:hAnsi="Times New Roman" w:cs="Times New Roman"/>
          <w:sz w:val="26"/>
          <w:szCs w:val="26"/>
        </w:rPr>
        <w:t xml:space="preserve"> </w:t>
      </w:r>
      <w:r w:rsidR="000C6CB5" w:rsidRPr="00EE5714">
        <w:rPr>
          <w:rFonts w:ascii="Times New Roman" w:hAnsi="Times New Roman" w:cs="Times New Roman"/>
          <w:sz w:val="26"/>
          <w:szCs w:val="26"/>
        </w:rPr>
        <w:t>59, respectively.</w:t>
      </w:r>
    </w:p>
    <w:p w14:paraId="32FBACC0" w14:textId="77777777" w:rsidR="001A01B2" w:rsidRPr="00EE5714" w:rsidRDefault="001A01B2" w:rsidP="001A01B2">
      <w:pPr>
        <w:spacing w:after="0" w:line="240" w:lineRule="auto"/>
        <w:contextualSpacing/>
        <w:rPr>
          <w:rFonts w:ascii="Times New Roman" w:hAnsi="Times New Roman" w:cs="Times New Roman"/>
          <w:sz w:val="26"/>
          <w:szCs w:val="26"/>
        </w:rPr>
      </w:pPr>
    </w:p>
    <w:p w14:paraId="7C1F0A94" w14:textId="77777777" w:rsidR="00373644" w:rsidRPr="00EE5714" w:rsidRDefault="00373644" w:rsidP="007E215D">
      <w:pPr>
        <w:keepNext/>
        <w:keepLines/>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5-3</w:t>
      </w:r>
    </w:p>
    <w:p w14:paraId="4DE5BEE2" w14:textId="77777777" w:rsidR="00373644" w:rsidRPr="00EE5714" w:rsidRDefault="00373644" w:rsidP="007E215D">
      <w:pPr>
        <w:keepNext/>
        <w:keepLines/>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Average IPAs Carried by NGDC CAP Customer with IPAs Balances</w:t>
      </w:r>
    </w:p>
    <w:p w14:paraId="01D8CC55" w14:textId="77777777" w:rsidR="00373644" w:rsidRPr="00EE5714" w:rsidRDefault="00373644" w:rsidP="007E215D">
      <w:pPr>
        <w:keepNext/>
        <w:keepLines/>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(Gas Heating Only)</w:t>
      </w:r>
    </w:p>
    <w:p w14:paraId="75237F64" w14:textId="77777777" w:rsidR="00373644" w:rsidRPr="00EE5714" w:rsidRDefault="00373644" w:rsidP="007E215D">
      <w:pPr>
        <w:keepNext/>
        <w:keepLines/>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330BC01E" wp14:editId="64D61E5B">
            <wp:extent cx="5943600" cy="3800475"/>
            <wp:effectExtent l="0" t="0" r="0" b="9525"/>
            <wp:docPr id="36" name="Chart 36">
              <a:extLst xmlns:a="http://schemas.openxmlformats.org/drawingml/2006/main">
                <a:ext uri="{FF2B5EF4-FFF2-40B4-BE49-F238E27FC236}">
                  <a16:creationId xmlns:a16="http://schemas.microsoft.com/office/drawing/2014/main" id="{D8FE115E-D5BC-4E5B-A73C-A74E6D8EB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DB071B" w14:textId="77777777" w:rsidR="008D38FF" w:rsidRPr="00EE5714" w:rsidRDefault="008D38FF" w:rsidP="00B872F5">
      <w:pPr>
        <w:spacing w:after="0" w:line="240" w:lineRule="auto"/>
        <w:contextualSpacing/>
        <w:rPr>
          <w:rFonts w:ascii="Times New Roman" w:hAnsi="Times New Roman" w:cs="Times New Roman"/>
          <w:sz w:val="26"/>
          <w:szCs w:val="26"/>
        </w:rPr>
      </w:pPr>
    </w:p>
    <w:p w14:paraId="54FD6B8A" w14:textId="688F2D6F" w:rsidR="00B872F5" w:rsidRPr="00EE5714" w:rsidRDefault="00B872F5" w:rsidP="00B872F5">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Table 5-3 reflects the average in-program arrears for NGDC CAP customers who carried in-program arrears during the five-year period of this study.</w:t>
      </w:r>
    </w:p>
    <w:p w14:paraId="1759BC08" w14:textId="77777777" w:rsidR="00B872F5" w:rsidRPr="00EE5714" w:rsidRDefault="00B872F5" w:rsidP="00B872F5">
      <w:pPr>
        <w:spacing w:after="0" w:line="240" w:lineRule="auto"/>
        <w:contextualSpacing/>
        <w:rPr>
          <w:rFonts w:ascii="Times New Roman" w:hAnsi="Times New Roman" w:cs="Times New Roman"/>
          <w:sz w:val="26"/>
          <w:szCs w:val="26"/>
        </w:rPr>
      </w:pPr>
    </w:p>
    <w:p w14:paraId="06AC773F" w14:textId="77777777" w:rsidR="001A01B2" w:rsidRPr="00EE5714" w:rsidRDefault="001A01B2" w:rsidP="00164343">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Columbia reported the lowest amount of in-program arrears, ranging from $31 to $36 for CAP customers who carried in-program arrears during the </w:t>
      </w:r>
      <w:r w:rsidR="006D61A2" w:rsidRPr="00EE5714">
        <w:rPr>
          <w:rFonts w:ascii="Times New Roman" w:hAnsi="Times New Roman" w:cs="Times New Roman"/>
          <w:sz w:val="26"/>
          <w:szCs w:val="26"/>
        </w:rPr>
        <w:t>four </w:t>
      </w:r>
      <w:r w:rsidRPr="00EE5714">
        <w:rPr>
          <w:rFonts w:ascii="Times New Roman" w:hAnsi="Times New Roman" w:cs="Times New Roman"/>
          <w:sz w:val="26"/>
          <w:szCs w:val="26"/>
        </w:rPr>
        <w:t>years of data it provided (2013-2016).  Columbia initiate</w:t>
      </w:r>
      <w:r w:rsidR="001A011D" w:rsidRPr="00EE5714">
        <w:rPr>
          <w:rFonts w:ascii="Times New Roman" w:hAnsi="Times New Roman" w:cs="Times New Roman"/>
          <w:sz w:val="26"/>
          <w:szCs w:val="26"/>
        </w:rPr>
        <w:t>d</w:t>
      </w:r>
      <w:r w:rsidRPr="00EE5714">
        <w:rPr>
          <w:rFonts w:ascii="Times New Roman" w:hAnsi="Times New Roman" w:cs="Times New Roman"/>
          <w:sz w:val="26"/>
          <w:szCs w:val="26"/>
        </w:rPr>
        <w:t xml:space="preserve"> termination procedures after two missed CAP payments,</w:t>
      </w:r>
      <w:r w:rsidRPr="00EE5714">
        <w:rPr>
          <w:rStyle w:val="FootnoteReference"/>
          <w:rFonts w:ascii="Times New Roman" w:hAnsi="Times New Roman" w:cs="Times New Roman"/>
          <w:sz w:val="26"/>
          <w:szCs w:val="26"/>
        </w:rPr>
        <w:footnoteReference w:id="49"/>
      </w:r>
      <w:r w:rsidRPr="00EE5714">
        <w:rPr>
          <w:rFonts w:ascii="Times New Roman" w:hAnsi="Times New Roman" w:cs="Times New Roman"/>
          <w:sz w:val="26"/>
          <w:szCs w:val="26"/>
        </w:rPr>
        <w:t xml:space="preserve"> and it also reported higher CAP termination rates, on average, than most other NGDCs.  </w:t>
      </w:r>
      <w:r w:rsidRPr="00EE5714">
        <w:rPr>
          <w:rFonts w:ascii="Times New Roman" w:hAnsi="Times New Roman" w:cs="Times New Roman"/>
          <w:i/>
          <w:iCs/>
          <w:sz w:val="26"/>
          <w:szCs w:val="26"/>
        </w:rPr>
        <w:t>See</w:t>
      </w:r>
      <w:r w:rsidRPr="00EE5714">
        <w:rPr>
          <w:rFonts w:ascii="Times New Roman" w:hAnsi="Times New Roman" w:cs="Times New Roman"/>
          <w:sz w:val="26"/>
          <w:szCs w:val="26"/>
        </w:rPr>
        <w:t xml:space="preserve"> Table </w:t>
      </w:r>
      <w:r w:rsidRPr="00EE5714" w:rsidDel="00524E43">
        <w:rPr>
          <w:rFonts w:ascii="Times New Roman" w:hAnsi="Times New Roman" w:cs="Times New Roman"/>
          <w:sz w:val="26"/>
          <w:szCs w:val="26"/>
        </w:rPr>
        <w:t>5</w:t>
      </w:r>
      <w:r w:rsidR="00EC7F6B" w:rsidRPr="00EE5714">
        <w:rPr>
          <w:rFonts w:ascii="Times New Roman" w:hAnsi="Times New Roman" w:cs="Times New Roman"/>
          <w:sz w:val="26"/>
          <w:szCs w:val="26"/>
        </w:rPr>
        <w:t>-3</w:t>
      </w:r>
      <w:r w:rsidRPr="00EE5714">
        <w:rPr>
          <w:rFonts w:ascii="Times New Roman" w:hAnsi="Times New Roman" w:cs="Times New Roman"/>
          <w:sz w:val="26"/>
          <w:szCs w:val="26"/>
        </w:rPr>
        <w:t xml:space="preserve">.  Beginning collection activity before a CAP customer accrues </w:t>
      </w:r>
      <w:r w:rsidR="003F3FBF" w:rsidRPr="00EE5714">
        <w:rPr>
          <w:rFonts w:ascii="Times New Roman" w:hAnsi="Times New Roman" w:cs="Times New Roman"/>
          <w:sz w:val="26"/>
          <w:szCs w:val="26"/>
        </w:rPr>
        <w:t xml:space="preserve">a sizeable </w:t>
      </w:r>
      <w:r w:rsidRPr="00EE5714">
        <w:rPr>
          <w:rFonts w:ascii="Times New Roman" w:hAnsi="Times New Roman" w:cs="Times New Roman"/>
          <w:sz w:val="26"/>
          <w:szCs w:val="26"/>
        </w:rPr>
        <w:t xml:space="preserve">in-program arrears may prevent CAP customers from accruing high in-program arrears balances, but, besides Columbia, this study did not detect a </w:t>
      </w:r>
      <w:r w:rsidR="004A0F51" w:rsidRPr="00EE5714">
        <w:rPr>
          <w:rFonts w:ascii="Times New Roman" w:hAnsi="Times New Roman" w:cs="Times New Roman"/>
          <w:sz w:val="26"/>
          <w:szCs w:val="26"/>
        </w:rPr>
        <w:t xml:space="preserve">possible </w:t>
      </w:r>
      <w:r w:rsidRPr="00EE5714">
        <w:rPr>
          <w:rFonts w:ascii="Times New Roman" w:hAnsi="Times New Roman" w:cs="Times New Roman"/>
          <w:sz w:val="26"/>
          <w:szCs w:val="26"/>
        </w:rPr>
        <w:t xml:space="preserve">correlation between these two </w:t>
      </w:r>
      <w:r w:rsidR="001E3F21" w:rsidRPr="00EE5714">
        <w:rPr>
          <w:rFonts w:ascii="Times New Roman" w:hAnsi="Times New Roman" w:cs="Times New Roman"/>
          <w:sz w:val="26"/>
          <w:szCs w:val="26"/>
        </w:rPr>
        <w:t>variables</w:t>
      </w:r>
      <w:r w:rsidRPr="00EE5714">
        <w:rPr>
          <w:rFonts w:ascii="Times New Roman" w:hAnsi="Times New Roman" w:cs="Times New Roman"/>
          <w:sz w:val="26"/>
          <w:szCs w:val="26"/>
        </w:rPr>
        <w:t>.</w:t>
      </w:r>
    </w:p>
    <w:p w14:paraId="216756AC" w14:textId="77777777" w:rsidR="001A01B2" w:rsidRPr="00EE5714" w:rsidRDefault="001A01B2" w:rsidP="001A01B2">
      <w:pPr>
        <w:spacing w:after="0" w:line="240" w:lineRule="auto"/>
        <w:contextualSpacing/>
        <w:rPr>
          <w:rFonts w:ascii="Times New Roman" w:hAnsi="Times New Roman" w:cs="Times New Roman"/>
          <w:sz w:val="26"/>
          <w:szCs w:val="26"/>
        </w:rPr>
      </w:pPr>
    </w:p>
    <w:p w14:paraId="36C568E6" w14:textId="423224BE" w:rsidR="00A7488F" w:rsidRPr="00EE5714" w:rsidRDefault="001A01B2" w:rsidP="00B872F5">
      <w:pPr>
        <w:keepNext/>
        <w:keepLine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PECO Gas reported the highest amount of in-program arrears, ranging from $643 to $746 for CAP customers who carried in-program arrears for 2012 through 2016.  During this period, PECO Gas had allowed CAP customers to obtain payment agreements</w:t>
      </w:r>
      <w:r w:rsidR="00F32A6A" w:rsidRPr="00EE5714">
        <w:rPr>
          <w:rStyle w:val="FootnoteReference"/>
          <w:rFonts w:ascii="Times New Roman" w:hAnsi="Times New Roman" w:cs="Times New Roman"/>
          <w:sz w:val="26"/>
          <w:szCs w:val="26"/>
        </w:rPr>
        <w:footnoteReference w:id="50"/>
      </w:r>
      <w:r w:rsidRPr="00EE5714">
        <w:rPr>
          <w:rFonts w:ascii="Times New Roman" w:hAnsi="Times New Roman" w:cs="Times New Roman"/>
          <w:sz w:val="26"/>
          <w:szCs w:val="26"/>
        </w:rPr>
        <w:t xml:space="preserve"> for in-program arrears which likely is responsible for its higher levels.</w:t>
      </w:r>
      <w:r w:rsidRPr="00EE5714">
        <w:rPr>
          <w:rStyle w:val="FootnoteReference"/>
          <w:rFonts w:ascii="Times New Roman" w:hAnsi="Times New Roman" w:cs="Times New Roman"/>
          <w:sz w:val="26"/>
          <w:szCs w:val="26"/>
        </w:rPr>
        <w:footnoteReference w:id="51"/>
      </w:r>
      <w:r w:rsidRPr="00EE5714">
        <w:rPr>
          <w:rFonts w:ascii="Times New Roman" w:hAnsi="Times New Roman" w:cs="Times New Roman"/>
          <w:sz w:val="26"/>
          <w:szCs w:val="26"/>
        </w:rPr>
        <w:t xml:space="preserve">  </w:t>
      </w:r>
      <w:r w:rsidR="00A7488F" w:rsidRPr="00EE5714">
        <w:rPr>
          <w:rFonts w:ascii="Times New Roman" w:hAnsi="Times New Roman" w:cs="Times New Roman"/>
          <w:sz w:val="26"/>
          <w:szCs w:val="26"/>
        </w:rPr>
        <w:t xml:space="preserve"> </w:t>
      </w:r>
    </w:p>
    <w:p w14:paraId="4E55FDD2" w14:textId="77777777" w:rsidR="00A7488F" w:rsidRPr="00EE5714" w:rsidRDefault="00A7488F" w:rsidP="001A01B2">
      <w:pPr>
        <w:spacing w:after="0" w:line="240" w:lineRule="auto"/>
        <w:contextualSpacing/>
        <w:rPr>
          <w:rFonts w:ascii="Times New Roman" w:hAnsi="Times New Roman" w:cs="Times New Roman"/>
          <w:sz w:val="26"/>
          <w:szCs w:val="26"/>
        </w:rPr>
      </w:pPr>
    </w:p>
    <w:p w14:paraId="53F738F4" w14:textId="77777777" w:rsidR="001A01B2" w:rsidRPr="00EE5714" w:rsidRDefault="001A01B2" w:rsidP="001D103B">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lastRenderedPageBreak/>
        <w:t>EDCs – PPAs</w:t>
      </w:r>
    </w:p>
    <w:p w14:paraId="4E50D669" w14:textId="77777777" w:rsidR="00323E90" w:rsidRPr="00EE5714" w:rsidRDefault="00323E90" w:rsidP="001D103B">
      <w:pPr>
        <w:keepNext/>
        <w:spacing w:after="0" w:line="240" w:lineRule="auto"/>
        <w:contextualSpacing/>
        <w:rPr>
          <w:rFonts w:ascii="Times New Roman" w:hAnsi="Times New Roman" w:cs="Times New Roman"/>
          <w:i/>
          <w:iCs/>
          <w:sz w:val="26"/>
          <w:szCs w:val="26"/>
        </w:rPr>
      </w:pPr>
    </w:p>
    <w:p w14:paraId="0E3E57F5" w14:textId="77777777" w:rsidR="00323E90" w:rsidRPr="00EE5714" w:rsidRDefault="00323E90" w:rsidP="00323E90">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5-4</w:t>
      </w:r>
    </w:p>
    <w:p w14:paraId="08C1155E" w14:textId="77777777" w:rsidR="00323E90" w:rsidRPr="00EE5714" w:rsidRDefault="00323E90" w:rsidP="00323E90">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Average PPAs Carried by EDC CAP Customers with PPA Balances</w:t>
      </w:r>
    </w:p>
    <w:p w14:paraId="725D75F0" w14:textId="77777777" w:rsidR="00323E90" w:rsidRPr="00EE5714" w:rsidRDefault="00323E90" w:rsidP="00323E90">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(Electric Non-Heating and Electric Heating)</w:t>
      </w:r>
    </w:p>
    <w:p w14:paraId="06825A46" w14:textId="77777777" w:rsidR="00323E90" w:rsidRPr="00EE5714" w:rsidRDefault="00323E90" w:rsidP="000C759A">
      <w:pPr>
        <w:keepNext/>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055772A3" wp14:editId="06D58812">
            <wp:extent cx="5943600" cy="3324225"/>
            <wp:effectExtent l="0" t="0" r="0" b="9525"/>
            <wp:docPr id="37" name="Chart 37">
              <a:extLst xmlns:a="http://schemas.openxmlformats.org/drawingml/2006/main">
                <a:ext uri="{FF2B5EF4-FFF2-40B4-BE49-F238E27FC236}">
                  <a16:creationId xmlns:a16="http://schemas.microsoft.com/office/drawing/2014/main" id="{D34CBC12-4DDE-4690-A552-25E0F07B3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CDDA10" w14:textId="77777777" w:rsidR="005A4B94" w:rsidRPr="00EE5714" w:rsidRDefault="005A4B94" w:rsidP="001A01B2">
      <w:pPr>
        <w:pStyle w:val="ListParagraph"/>
        <w:spacing w:after="0" w:line="240" w:lineRule="auto"/>
        <w:ind w:left="0"/>
        <w:rPr>
          <w:rFonts w:ascii="Times New Roman" w:hAnsi="Times New Roman" w:cs="Times New Roman"/>
          <w:sz w:val="26"/>
          <w:szCs w:val="26"/>
        </w:rPr>
      </w:pPr>
    </w:p>
    <w:p w14:paraId="61337F36" w14:textId="39563AD2" w:rsidR="001A01B2" w:rsidRPr="00EE5714" w:rsidRDefault="001A01B2" w:rsidP="001A01B2">
      <w:pPr>
        <w:pStyle w:val="ListParagraph"/>
        <w:spacing w:after="0" w:line="240" w:lineRule="auto"/>
        <w:ind w:left="0"/>
        <w:rPr>
          <w:rFonts w:ascii="Times New Roman" w:hAnsi="Times New Roman" w:cs="Times New Roman"/>
          <w:sz w:val="26"/>
          <w:szCs w:val="26"/>
        </w:rPr>
      </w:pPr>
      <w:r w:rsidRPr="00EE5714">
        <w:rPr>
          <w:rFonts w:ascii="Times New Roman" w:hAnsi="Times New Roman" w:cs="Times New Roman"/>
          <w:sz w:val="26"/>
          <w:szCs w:val="26"/>
        </w:rPr>
        <w:tab/>
      </w:r>
      <w:r w:rsidR="00E65B25" w:rsidRPr="00EE5714">
        <w:rPr>
          <w:rFonts w:ascii="Times New Roman" w:hAnsi="Times New Roman" w:cs="Times New Roman"/>
          <w:sz w:val="26"/>
          <w:szCs w:val="26"/>
        </w:rPr>
        <w:t xml:space="preserve">Table 5-4 reflects the average PPA amounts for EDC CAP customers who carried a PPA balance.  </w:t>
      </w:r>
      <w:r w:rsidR="0015280E" w:rsidRPr="00EE5714">
        <w:rPr>
          <w:rFonts w:ascii="Times New Roman" w:hAnsi="Times New Roman" w:cs="Times New Roman"/>
          <w:sz w:val="26"/>
          <w:szCs w:val="26"/>
        </w:rPr>
        <w:t xml:space="preserve">Most EDCs reported a decrease in the average PPA balances carried by CAP customers by 2016.  </w:t>
      </w:r>
      <w:r w:rsidRPr="00EE5714">
        <w:rPr>
          <w:rFonts w:ascii="Times New Roman" w:hAnsi="Times New Roman" w:cs="Times New Roman"/>
          <w:sz w:val="26"/>
          <w:szCs w:val="26"/>
        </w:rPr>
        <w:t>PPL and West Penn CAP customers</w:t>
      </w:r>
      <w:r w:rsidR="00FD0D7F" w:rsidRPr="00EE5714">
        <w:rPr>
          <w:rFonts w:ascii="Times New Roman" w:hAnsi="Times New Roman" w:cs="Times New Roman"/>
          <w:sz w:val="26"/>
          <w:szCs w:val="26"/>
        </w:rPr>
        <w:t>, however,</w:t>
      </w:r>
      <w:r w:rsidRPr="00EE5714">
        <w:rPr>
          <w:rFonts w:ascii="Times New Roman" w:hAnsi="Times New Roman" w:cs="Times New Roman"/>
          <w:sz w:val="26"/>
          <w:szCs w:val="26"/>
        </w:rPr>
        <w:t xml:space="preserve"> carried the highest amount of average PPAs for EDC customers with PPAs, peaking at $1,034 for PPL in 2014 and $1,076 for West Penn in 2015.</w:t>
      </w:r>
      <w:r w:rsidRPr="00EE5714">
        <w:rPr>
          <w:rStyle w:val="FootnoteReference"/>
          <w:rFonts w:ascii="Times New Roman" w:hAnsi="Times New Roman" w:cs="Times New Roman"/>
          <w:sz w:val="26"/>
          <w:szCs w:val="26"/>
        </w:rPr>
        <w:footnoteReference w:id="52"/>
      </w:r>
      <w:r w:rsidRPr="00EE5714">
        <w:rPr>
          <w:rFonts w:ascii="Times New Roman" w:hAnsi="Times New Roman" w:cs="Times New Roman"/>
          <w:sz w:val="26"/>
          <w:szCs w:val="26"/>
          <w:vertAlign w:val="superscript"/>
        </w:rPr>
        <w:t xml:space="preserve">, </w:t>
      </w:r>
      <w:r w:rsidRPr="00EE5714">
        <w:rPr>
          <w:rStyle w:val="FootnoteReference"/>
          <w:rFonts w:ascii="Times New Roman" w:hAnsi="Times New Roman" w:cs="Times New Roman"/>
          <w:sz w:val="26"/>
          <w:szCs w:val="26"/>
        </w:rPr>
        <w:footnoteReference w:id="53"/>
      </w:r>
      <w:r w:rsidRPr="00EE5714">
        <w:rPr>
          <w:rFonts w:ascii="Times New Roman" w:hAnsi="Times New Roman" w:cs="Times New Roman"/>
          <w:sz w:val="26"/>
          <w:szCs w:val="26"/>
        </w:rPr>
        <w:t xml:space="preserve">    </w:t>
      </w:r>
    </w:p>
    <w:p w14:paraId="0FA42DEF" w14:textId="77777777" w:rsidR="001A01B2" w:rsidRPr="00EE5714" w:rsidRDefault="001A01B2" w:rsidP="001A01B2">
      <w:pPr>
        <w:pStyle w:val="ListParagraph"/>
        <w:spacing w:after="0" w:line="240" w:lineRule="auto"/>
        <w:ind w:left="0"/>
        <w:rPr>
          <w:rFonts w:ascii="Times New Roman" w:hAnsi="Times New Roman" w:cs="Times New Roman"/>
          <w:sz w:val="26"/>
          <w:szCs w:val="26"/>
        </w:rPr>
      </w:pPr>
    </w:p>
    <w:p w14:paraId="2882F235" w14:textId="77777777" w:rsidR="001A01B2" w:rsidRPr="00EE5714" w:rsidRDefault="001A01B2" w:rsidP="001D103B">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lastRenderedPageBreak/>
        <w:t>EDCs – In-Program Arrears</w:t>
      </w:r>
    </w:p>
    <w:p w14:paraId="4292A090" w14:textId="77777777" w:rsidR="001A01B2" w:rsidRPr="00EE5714" w:rsidRDefault="001A01B2" w:rsidP="00331CEC">
      <w:pPr>
        <w:keepNext/>
        <w:spacing w:after="0" w:line="240" w:lineRule="auto"/>
        <w:contextualSpacing/>
        <w:rPr>
          <w:rFonts w:ascii="Times New Roman" w:hAnsi="Times New Roman" w:cs="Times New Roman"/>
          <w:i/>
          <w:sz w:val="26"/>
          <w:szCs w:val="26"/>
        </w:rPr>
      </w:pPr>
    </w:p>
    <w:p w14:paraId="0E268ED4" w14:textId="77777777" w:rsidR="0094698D" w:rsidRPr="00EE5714" w:rsidRDefault="0094698D" w:rsidP="0094698D">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5-5</w:t>
      </w:r>
    </w:p>
    <w:p w14:paraId="78421EAC" w14:textId="77777777" w:rsidR="0094698D" w:rsidRPr="00EE5714" w:rsidRDefault="0094698D" w:rsidP="0094698D">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Average IPAs Carried by EDC CAP Customers with IPA Balances</w:t>
      </w:r>
    </w:p>
    <w:p w14:paraId="1B9FAD83" w14:textId="77777777" w:rsidR="0094698D" w:rsidRPr="00EE5714" w:rsidRDefault="0094698D" w:rsidP="0094698D">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(Electric Non-Heating and Electric Heating)</w:t>
      </w:r>
    </w:p>
    <w:p w14:paraId="57D04C56" w14:textId="77777777" w:rsidR="0094698D" w:rsidRPr="00EE5714" w:rsidRDefault="0094698D" w:rsidP="00164343">
      <w:pPr>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48D1DE80" wp14:editId="3651A4AD">
            <wp:extent cx="5895975" cy="3990975"/>
            <wp:effectExtent l="0" t="0" r="9525" b="9525"/>
            <wp:docPr id="38" name="Chart 38">
              <a:extLst xmlns:a="http://schemas.openxmlformats.org/drawingml/2006/main">
                <a:ext uri="{FF2B5EF4-FFF2-40B4-BE49-F238E27FC236}">
                  <a16:creationId xmlns:a16="http://schemas.microsoft.com/office/drawing/2014/main" id="{B9848CE2-AD4C-46CC-8661-FED47CB89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D0D5F99" w14:textId="77777777" w:rsidR="0094698D" w:rsidRPr="00EE5714" w:rsidRDefault="0094698D" w:rsidP="0094698D">
      <w:pPr>
        <w:spacing w:after="0" w:line="240" w:lineRule="auto"/>
        <w:contextualSpacing/>
        <w:jc w:val="center"/>
        <w:rPr>
          <w:rFonts w:ascii="Times New Roman" w:hAnsi="Times New Roman" w:cs="Times New Roman"/>
          <w:sz w:val="26"/>
          <w:szCs w:val="26"/>
        </w:rPr>
      </w:pPr>
    </w:p>
    <w:p w14:paraId="30AF0627" w14:textId="77777777" w:rsidR="005858C9" w:rsidRPr="00EE5714" w:rsidRDefault="001A01B2" w:rsidP="001A01B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5858C9" w:rsidRPr="00EE5714">
        <w:rPr>
          <w:rFonts w:ascii="Times New Roman" w:hAnsi="Times New Roman" w:cs="Times New Roman"/>
          <w:sz w:val="26"/>
          <w:szCs w:val="26"/>
        </w:rPr>
        <w:t>Table 5-5 reflects the average in-program arrears for EDC CAP customers who carried arrears during the five-year period of this study.</w:t>
      </w:r>
    </w:p>
    <w:p w14:paraId="224B7C55" w14:textId="77777777" w:rsidR="005858C9" w:rsidRPr="00EE5714" w:rsidRDefault="005858C9" w:rsidP="001A01B2">
      <w:pPr>
        <w:spacing w:after="0" w:line="240" w:lineRule="auto"/>
        <w:contextualSpacing/>
        <w:rPr>
          <w:rFonts w:ascii="Times New Roman" w:hAnsi="Times New Roman" w:cs="Times New Roman"/>
          <w:sz w:val="26"/>
          <w:szCs w:val="26"/>
        </w:rPr>
      </w:pPr>
    </w:p>
    <w:p w14:paraId="3519610D" w14:textId="458BE135" w:rsidR="001A01B2" w:rsidRPr="00EE5714" w:rsidRDefault="001A01B2" w:rsidP="005858C9">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Most EDCs reported an average in-program arrears balance of less than $200 per customer with an in-program arrears balance.  Duquesne and PECO Electric reported the highest average in-program arrears carried by electric CAP customers.  </w:t>
      </w:r>
    </w:p>
    <w:p w14:paraId="29ACFBED" w14:textId="77777777" w:rsidR="001A01B2" w:rsidRPr="00EE5714" w:rsidRDefault="001A01B2" w:rsidP="001A01B2">
      <w:pPr>
        <w:spacing w:after="0" w:line="240" w:lineRule="auto"/>
        <w:contextualSpacing/>
        <w:rPr>
          <w:rFonts w:ascii="Times New Roman" w:hAnsi="Times New Roman" w:cs="Times New Roman"/>
          <w:sz w:val="26"/>
          <w:szCs w:val="26"/>
        </w:rPr>
      </w:pPr>
    </w:p>
    <w:p w14:paraId="6C498285" w14:textId="693CFA25" w:rsidR="001A01B2" w:rsidRPr="00EE5714" w:rsidRDefault="001A01B2" w:rsidP="001A01B2">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Duquesne’s average in-program arrears were $532 in 2015 and increased to $620 in 2016.  Duquesne’s higher in-program arrearage amounts are most likely result of the budget billing issues Duquesne experienced during this time.</w:t>
      </w:r>
      <w:r w:rsidR="0022280B" w:rsidRPr="00EE5714">
        <w:rPr>
          <w:rStyle w:val="FootnoteReference"/>
          <w:rFonts w:ascii="Times New Roman" w:hAnsi="Times New Roman" w:cs="Times New Roman"/>
          <w:sz w:val="26"/>
          <w:szCs w:val="26"/>
        </w:rPr>
        <w:t xml:space="preserve"> </w:t>
      </w:r>
      <w:r w:rsidR="0022280B" w:rsidRPr="00EE5714">
        <w:rPr>
          <w:rStyle w:val="FootnoteReference"/>
          <w:rFonts w:ascii="Times New Roman" w:hAnsi="Times New Roman" w:cs="Times New Roman"/>
          <w:sz w:val="26"/>
          <w:szCs w:val="26"/>
        </w:rPr>
        <w:footnoteReference w:id="54"/>
      </w:r>
    </w:p>
    <w:p w14:paraId="5B2116D6" w14:textId="77777777" w:rsidR="001A01B2" w:rsidRPr="00EE5714" w:rsidRDefault="001A01B2" w:rsidP="001A01B2">
      <w:pPr>
        <w:spacing w:after="0" w:line="240" w:lineRule="auto"/>
        <w:contextualSpacing/>
        <w:rPr>
          <w:rFonts w:ascii="Times New Roman" w:hAnsi="Times New Roman" w:cs="Times New Roman"/>
          <w:sz w:val="26"/>
          <w:szCs w:val="26"/>
        </w:rPr>
      </w:pPr>
    </w:p>
    <w:p w14:paraId="0B06683D" w14:textId="5906570D" w:rsidR="001A01B2" w:rsidRPr="00EE5714" w:rsidRDefault="001A01B2" w:rsidP="001A01B2">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PECO Electric’s in-CAP payment agreements, which paralleled its NGDC CAP payment agreements, likely contributed to the higher in-program arrears reported during this time period.</w:t>
      </w:r>
      <w:r w:rsidR="00D41B6F" w:rsidRPr="00EE5714">
        <w:rPr>
          <w:rStyle w:val="FootnoteReference"/>
          <w:rFonts w:ascii="Times New Roman" w:hAnsi="Times New Roman" w:cs="Times New Roman"/>
          <w:sz w:val="26"/>
          <w:szCs w:val="26"/>
        </w:rPr>
        <w:t xml:space="preserve"> </w:t>
      </w:r>
      <w:r w:rsidR="00D41B6F" w:rsidRPr="00EE5714">
        <w:rPr>
          <w:rStyle w:val="FootnoteReference"/>
          <w:rFonts w:ascii="Times New Roman" w:hAnsi="Times New Roman" w:cs="Times New Roman"/>
          <w:sz w:val="26"/>
          <w:szCs w:val="26"/>
        </w:rPr>
        <w:footnoteReference w:id="55"/>
      </w:r>
    </w:p>
    <w:p w14:paraId="0FD9AB67" w14:textId="77777777" w:rsidR="001A01B2" w:rsidRPr="00EE5714" w:rsidRDefault="001A01B2" w:rsidP="001A01B2">
      <w:pPr>
        <w:spacing w:after="0" w:line="240" w:lineRule="auto"/>
        <w:contextualSpacing/>
        <w:rPr>
          <w:rFonts w:ascii="Times New Roman" w:hAnsi="Times New Roman" w:cs="Times New Roman"/>
          <w:sz w:val="26"/>
          <w:szCs w:val="26"/>
        </w:rPr>
      </w:pPr>
    </w:p>
    <w:p w14:paraId="2C914D96" w14:textId="77777777" w:rsidR="001A01B2" w:rsidRPr="00EE5714" w:rsidRDefault="001A01B2" w:rsidP="001D103B">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Observations</w:t>
      </w:r>
    </w:p>
    <w:p w14:paraId="5D5A2BB0" w14:textId="77777777" w:rsidR="001A01B2" w:rsidRPr="00EE5714" w:rsidRDefault="001A01B2" w:rsidP="001A01B2">
      <w:pPr>
        <w:keepNext/>
        <w:spacing w:after="0" w:line="240" w:lineRule="auto"/>
        <w:contextualSpacing/>
        <w:jc w:val="center"/>
        <w:rPr>
          <w:rFonts w:ascii="Times New Roman" w:hAnsi="Times New Roman" w:cs="Times New Roman"/>
          <w:sz w:val="26"/>
          <w:szCs w:val="26"/>
        </w:rPr>
      </w:pPr>
    </w:p>
    <w:p w14:paraId="674AE19E" w14:textId="77777777" w:rsidR="001A01B2" w:rsidRPr="00EE5714" w:rsidRDefault="001A01B2" w:rsidP="00445F59">
      <w:pPr>
        <w:pStyle w:val="NormalWeb"/>
        <w:keepNext/>
        <w:spacing w:after="0"/>
        <w:contextualSpacing/>
        <w:rPr>
          <w:sz w:val="26"/>
          <w:szCs w:val="26"/>
        </w:rPr>
      </w:pPr>
      <w:r w:rsidRPr="00EE5714">
        <w:rPr>
          <w:sz w:val="26"/>
          <w:szCs w:val="26"/>
        </w:rPr>
        <w:tab/>
        <w:t xml:space="preserve">With the collection and assessment of the data noted above, staff offers several observations:  </w:t>
      </w:r>
    </w:p>
    <w:p w14:paraId="3EBE4CB4" w14:textId="77777777" w:rsidR="001A01B2" w:rsidRPr="00EE5714" w:rsidRDefault="001A01B2" w:rsidP="001A01B2">
      <w:pPr>
        <w:pStyle w:val="NormalWeb"/>
        <w:spacing w:after="0"/>
        <w:contextualSpacing/>
        <w:rPr>
          <w:sz w:val="26"/>
          <w:szCs w:val="26"/>
        </w:rPr>
      </w:pPr>
    </w:p>
    <w:p w14:paraId="25917B38" w14:textId="0AF28091" w:rsidR="001A01B2" w:rsidRPr="00EE5714" w:rsidRDefault="001A01B2" w:rsidP="007D5276">
      <w:pPr>
        <w:pStyle w:val="ListParagraph"/>
        <w:numPr>
          <w:ilvl w:val="0"/>
          <w:numId w:val="11"/>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 xml:space="preserve">CAP eligibility requirements may </w:t>
      </w:r>
      <w:r w:rsidR="00445F59" w:rsidRPr="00EE5714">
        <w:rPr>
          <w:rFonts w:ascii="Times New Roman" w:hAnsi="Times New Roman" w:cs="Times New Roman"/>
          <w:sz w:val="26"/>
          <w:szCs w:val="26"/>
        </w:rPr>
        <w:t xml:space="preserve">have </w:t>
      </w:r>
      <w:r w:rsidRPr="00EE5714">
        <w:rPr>
          <w:rFonts w:ascii="Times New Roman" w:hAnsi="Times New Roman" w:cs="Times New Roman"/>
          <w:sz w:val="26"/>
          <w:szCs w:val="26"/>
        </w:rPr>
        <w:t>impact</w:t>
      </w:r>
      <w:r w:rsidR="00445F59" w:rsidRPr="00EE5714">
        <w:rPr>
          <w:rFonts w:ascii="Times New Roman" w:hAnsi="Times New Roman" w:cs="Times New Roman"/>
          <w:sz w:val="26"/>
          <w:szCs w:val="26"/>
        </w:rPr>
        <w:t>ed</w:t>
      </w:r>
      <w:r w:rsidRPr="00EE5714">
        <w:rPr>
          <w:rFonts w:ascii="Times New Roman" w:hAnsi="Times New Roman" w:cs="Times New Roman"/>
          <w:sz w:val="26"/>
          <w:szCs w:val="26"/>
        </w:rPr>
        <w:t xml:space="preserve"> the amount of PPA carried by customers when they enroll in the program.  Utilities that restricted CAP enrollments to customers with a broken payment agreement to households wh</w:t>
      </w:r>
      <w:r w:rsidR="006D548F" w:rsidRPr="00EE5714">
        <w:rPr>
          <w:rFonts w:ascii="Times New Roman" w:hAnsi="Times New Roman" w:cs="Times New Roman"/>
          <w:sz w:val="26"/>
          <w:szCs w:val="26"/>
        </w:rPr>
        <w:t>ich</w:t>
      </w:r>
      <w:r w:rsidRPr="00EE5714">
        <w:rPr>
          <w:rFonts w:ascii="Times New Roman" w:hAnsi="Times New Roman" w:cs="Times New Roman"/>
          <w:sz w:val="26"/>
          <w:szCs w:val="26"/>
        </w:rPr>
        <w:t xml:space="preserve"> would pay less on a percent of income plan or to accounts with existing arrearages reported higher average PPA balances.  </w:t>
      </w:r>
    </w:p>
    <w:p w14:paraId="5930E769" w14:textId="77777777" w:rsidR="001A01B2" w:rsidRPr="00EE5714" w:rsidRDefault="001A01B2" w:rsidP="001A01B2">
      <w:pPr>
        <w:spacing w:after="0" w:line="240" w:lineRule="auto"/>
        <w:contextualSpacing/>
        <w:rPr>
          <w:rFonts w:ascii="Times New Roman" w:hAnsi="Times New Roman" w:cs="Times New Roman"/>
          <w:sz w:val="26"/>
          <w:szCs w:val="26"/>
        </w:rPr>
      </w:pPr>
    </w:p>
    <w:p w14:paraId="442A9FB4" w14:textId="77777777" w:rsidR="001A01B2" w:rsidRPr="00EE5714" w:rsidRDefault="001A01B2" w:rsidP="007D5276">
      <w:pPr>
        <w:pStyle w:val="ListParagraph"/>
        <w:numPr>
          <w:ilvl w:val="0"/>
          <w:numId w:val="11"/>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PPA balances trend</w:t>
      </w:r>
      <w:r w:rsidR="00560187" w:rsidRPr="00EE5714">
        <w:rPr>
          <w:rFonts w:ascii="Times New Roman" w:hAnsi="Times New Roman" w:cs="Times New Roman"/>
          <w:sz w:val="26"/>
          <w:szCs w:val="26"/>
        </w:rPr>
        <w:t>ed</w:t>
      </w:r>
      <w:r w:rsidRPr="00EE5714">
        <w:rPr>
          <w:rFonts w:ascii="Times New Roman" w:hAnsi="Times New Roman" w:cs="Times New Roman"/>
          <w:sz w:val="26"/>
          <w:szCs w:val="26"/>
        </w:rPr>
        <w:t xml:space="preserve"> downward for most gas utilities.  This decrease may be attributable to the lower cost of natural gas and the warmer winters Pennsylvania experienced after the polar vortex in 2014-2015.</w:t>
      </w:r>
    </w:p>
    <w:p w14:paraId="323DA032" w14:textId="77777777" w:rsidR="001A01B2" w:rsidRPr="00EE5714" w:rsidRDefault="001A01B2" w:rsidP="00164343">
      <w:pPr>
        <w:spacing w:after="0" w:line="240" w:lineRule="auto"/>
        <w:ind w:left="1440" w:hanging="720"/>
        <w:contextualSpacing/>
        <w:rPr>
          <w:rFonts w:ascii="Times New Roman" w:hAnsi="Times New Roman" w:cs="Times New Roman"/>
          <w:sz w:val="26"/>
          <w:szCs w:val="26"/>
        </w:rPr>
      </w:pPr>
    </w:p>
    <w:p w14:paraId="013775E9" w14:textId="77777777" w:rsidR="001A01B2" w:rsidRPr="00EE5714" w:rsidRDefault="001A01B2" w:rsidP="007D5276">
      <w:pPr>
        <w:pStyle w:val="ListParagraph"/>
        <w:numPr>
          <w:ilvl w:val="0"/>
          <w:numId w:val="11"/>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 xml:space="preserve">The data show in-program arrears </w:t>
      </w:r>
      <w:r w:rsidR="00560187" w:rsidRPr="00EE5714">
        <w:rPr>
          <w:rFonts w:ascii="Times New Roman" w:hAnsi="Times New Roman" w:cs="Times New Roman"/>
          <w:sz w:val="26"/>
          <w:szCs w:val="26"/>
        </w:rPr>
        <w:t>were</w:t>
      </w:r>
      <w:r w:rsidR="008920A1"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generally decreasing for all NGDCs from 2012 to 2016.  Factors that may have contributed to this trend include lower natural gas costs, warmer winters, and declining CAP enrollments during this study period.  </w:t>
      </w:r>
    </w:p>
    <w:p w14:paraId="47B313A8" w14:textId="77777777" w:rsidR="001A01B2" w:rsidRPr="00EE5714" w:rsidRDefault="001A01B2" w:rsidP="001A01B2">
      <w:pPr>
        <w:spacing w:after="0" w:line="240" w:lineRule="auto"/>
        <w:contextualSpacing/>
        <w:rPr>
          <w:rFonts w:ascii="Times New Roman" w:hAnsi="Times New Roman" w:cs="Times New Roman"/>
          <w:sz w:val="26"/>
          <w:szCs w:val="26"/>
        </w:rPr>
      </w:pPr>
    </w:p>
    <w:p w14:paraId="3C05EDB9" w14:textId="77777777" w:rsidR="001A01B2" w:rsidRPr="00EE5714" w:rsidRDefault="001A01B2" w:rsidP="007D5276">
      <w:pPr>
        <w:pStyle w:val="ListParagraph"/>
        <w:numPr>
          <w:ilvl w:val="0"/>
          <w:numId w:val="11"/>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Most EDC CAP customers with in-program arrears carried a balance of less than $200 during this five-year period.</w:t>
      </w:r>
    </w:p>
    <w:p w14:paraId="4A7DA168" w14:textId="77777777" w:rsidR="001A01B2" w:rsidRPr="00EE5714" w:rsidRDefault="001A01B2" w:rsidP="001A01B2">
      <w:pPr>
        <w:pStyle w:val="ListParagraph"/>
        <w:rPr>
          <w:rFonts w:ascii="Times New Roman" w:hAnsi="Times New Roman" w:cs="Times New Roman"/>
          <w:sz w:val="26"/>
          <w:szCs w:val="26"/>
        </w:rPr>
      </w:pPr>
    </w:p>
    <w:p w14:paraId="086AC1D3" w14:textId="112BE247" w:rsidR="00545FF6" w:rsidRPr="00EE5714" w:rsidRDefault="001A01B2" w:rsidP="00CF0A71">
      <w:pPr>
        <w:pStyle w:val="ListParagraph"/>
        <w:numPr>
          <w:ilvl w:val="0"/>
          <w:numId w:val="11"/>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 xml:space="preserve">Since many utilities were unable to provide data for the PPA and in-program arrears balances by </w:t>
      </w:r>
      <w:r w:rsidR="00B45F8B" w:rsidRPr="00EE5714">
        <w:rPr>
          <w:rFonts w:ascii="Times New Roman" w:hAnsi="Times New Roman" w:cs="Times New Roman"/>
          <w:sz w:val="26"/>
          <w:szCs w:val="26"/>
        </w:rPr>
        <w:t>FPIG</w:t>
      </w:r>
      <w:r w:rsidRPr="00EE5714">
        <w:rPr>
          <w:rFonts w:ascii="Times New Roman" w:hAnsi="Times New Roman" w:cs="Times New Roman"/>
          <w:sz w:val="26"/>
          <w:szCs w:val="26"/>
        </w:rPr>
        <w:t xml:space="preserve"> levels and/or by heating type, </w:t>
      </w:r>
      <w:r w:rsidR="00D571CA" w:rsidRPr="00EE5714">
        <w:rPr>
          <w:rFonts w:ascii="Times New Roman" w:hAnsi="Times New Roman" w:cs="Times New Roman"/>
          <w:sz w:val="26"/>
          <w:szCs w:val="26"/>
        </w:rPr>
        <w:t>staff is</w:t>
      </w:r>
      <w:r w:rsidRPr="00EE5714">
        <w:rPr>
          <w:rFonts w:ascii="Times New Roman" w:hAnsi="Times New Roman" w:cs="Times New Roman"/>
          <w:sz w:val="26"/>
          <w:szCs w:val="26"/>
        </w:rPr>
        <w:t xml:space="preserve"> unable to determine if customers at specific incomes (</w:t>
      </w:r>
      <w:r w:rsidRPr="00EE5714">
        <w:rPr>
          <w:rFonts w:ascii="Times New Roman" w:hAnsi="Times New Roman" w:cs="Times New Roman"/>
          <w:i/>
          <w:iCs/>
          <w:sz w:val="26"/>
          <w:szCs w:val="26"/>
        </w:rPr>
        <w:t>e.g.</w:t>
      </w:r>
      <w:r w:rsidRPr="00EE5714">
        <w:rPr>
          <w:rFonts w:ascii="Times New Roman" w:hAnsi="Times New Roman" w:cs="Times New Roman"/>
          <w:sz w:val="26"/>
          <w:szCs w:val="26"/>
        </w:rPr>
        <w:t>, at or below 50% of the FPIG) or with specific heating types carried a disproportionate share of CAP PPA or in-program arrears</w:t>
      </w:r>
      <w:proofErr w:type="gramStart"/>
      <w:r w:rsidRPr="00EE5714">
        <w:rPr>
          <w:rFonts w:ascii="Times New Roman" w:hAnsi="Times New Roman" w:cs="Times New Roman"/>
          <w:sz w:val="26"/>
          <w:szCs w:val="26"/>
        </w:rPr>
        <w:t xml:space="preserve">. </w:t>
      </w:r>
      <w:proofErr w:type="gramEnd"/>
      <w:r w:rsidR="00545FF6" w:rsidRPr="00EE5714">
        <w:rPr>
          <w:rFonts w:ascii="Times New Roman" w:hAnsi="Times New Roman" w:cs="Times New Roman"/>
          <w:sz w:val="26"/>
          <w:szCs w:val="26"/>
        </w:rPr>
        <w:br w:type="page"/>
      </w:r>
    </w:p>
    <w:p w14:paraId="029A7B0C" w14:textId="77777777" w:rsidR="001A01B2" w:rsidRPr="00EE5714" w:rsidRDefault="001A01B2" w:rsidP="00445F59">
      <w:pPr>
        <w:pStyle w:val="ListParagraph"/>
        <w:spacing w:after="0" w:line="240" w:lineRule="auto"/>
        <w:ind w:left="1440"/>
        <w:rPr>
          <w:rFonts w:ascii="Times New Roman" w:hAnsi="Times New Roman" w:cs="Times New Roman"/>
          <w:sz w:val="26"/>
          <w:szCs w:val="26"/>
        </w:rPr>
      </w:pPr>
      <w:r w:rsidRPr="00EE5714">
        <w:rPr>
          <w:rFonts w:ascii="Times New Roman" w:hAnsi="Times New Roman" w:cs="Times New Roman"/>
          <w:sz w:val="26"/>
          <w:szCs w:val="26"/>
        </w:rPr>
        <w:lastRenderedPageBreak/>
        <w:t xml:space="preserve"> </w:t>
      </w:r>
    </w:p>
    <w:p w14:paraId="7B6F2218" w14:textId="77777777" w:rsidR="006665D3" w:rsidRPr="00EE5714" w:rsidRDefault="00D20A2E">
      <w:pPr>
        <w:pStyle w:val="Heading1"/>
        <w:rPr>
          <w:rFonts w:cs="Times New Roman"/>
          <w:b w:val="0"/>
        </w:rPr>
      </w:pPr>
      <w:bookmarkStart w:id="30" w:name="_Toc533674864"/>
      <w:bookmarkStart w:id="31" w:name="_Toc534547869"/>
      <w:r w:rsidRPr="00EE5714">
        <w:t>VI</w:t>
      </w:r>
      <w:r w:rsidR="006665D3" w:rsidRPr="00EE5714">
        <w:rPr>
          <w:rFonts w:cs="Times New Roman"/>
        </w:rPr>
        <w:t>.</w:t>
      </w:r>
      <w:r w:rsidR="007D2BB1" w:rsidRPr="00EE5714">
        <w:rPr>
          <w:rFonts w:cs="Times New Roman"/>
        </w:rPr>
        <w:t xml:space="preserve">  </w:t>
      </w:r>
      <w:r w:rsidR="006665D3" w:rsidRPr="00EE5714">
        <w:rPr>
          <w:rFonts w:cs="Times New Roman"/>
        </w:rPr>
        <w:t xml:space="preserve">Percentage of </w:t>
      </w:r>
      <w:r w:rsidR="008273DE" w:rsidRPr="00EE5714">
        <w:rPr>
          <w:rFonts w:cs="Times New Roman"/>
        </w:rPr>
        <w:t xml:space="preserve">CAP </w:t>
      </w:r>
      <w:r w:rsidR="006665D3" w:rsidRPr="00EE5714">
        <w:rPr>
          <w:rFonts w:cs="Times New Roman"/>
        </w:rPr>
        <w:t>Bills Paid In-Full</w:t>
      </w:r>
      <w:bookmarkEnd w:id="30"/>
      <w:bookmarkEnd w:id="31"/>
      <w:r w:rsidR="006665D3" w:rsidRPr="00EE5714">
        <w:rPr>
          <w:rFonts w:cs="Times New Roman"/>
        </w:rPr>
        <w:t xml:space="preserve"> </w:t>
      </w:r>
    </w:p>
    <w:p w14:paraId="717BEF66" w14:textId="77777777" w:rsidR="004D6006" w:rsidRPr="00EE5714" w:rsidRDefault="004D6006" w:rsidP="0079373B">
      <w:pPr>
        <w:spacing w:after="0" w:line="240" w:lineRule="auto"/>
        <w:rPr>
          <w:rFonts w:ascii="Times New Roman" w:hAnsi="Times New Roman" w:cs="Times New Roman"/>
          <w:sz w:val="26"/>
          <w:szCs w:val="26"/>
        </w:rPr>
      </w:pPr>
    </w:p>
    <w:p w14:paraId="3A9C1690" w14:textId="77777777" w:rsidR="00D60D87" w:rsidRPr="00EE5714" w:rsidRDefault="00D60D87" w:rsidP="001D103B">
      <w:pPr>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Objective</w:t>
      </w:r>
    </w:p>
    <w:p w14:paraId="111A6B8E" w14:textId="77777777" w:rsidR="00D60D87" w:rsidRPr="00EE5714" w:rsidRDefault="00D60D87" w:rsidP="00D60D87">
      <w:pPr>
        <w:spacing w:after="0" w:line="240" w:lineRule="auto"/>
        <w:jc w:val="center"/>
        <w:rPr>
          <w:rFonts w:ascii="Times New Roman" w:eastAsiaTheme="minorEastAsia" w:hAnsi="Times New Roman" w:cs="Times New Roman"/>
          <w:sz w:val="26"/>
          <w:szCs w:val="26"/>
        </w:rPr>
      </w:pPr>
    </w:p>
    <w:p w14:paraId="3D9CE6E0" w14:textId="77777777" w:rsidR="00D60D87" w:rsidRPr="00EE5714" w:rsidRDefault="00C02B1C" w:rsidP="001D103B">
      <w:pPr>
        <w:spacing w:after="0" w:line="240" w:lineRule="auto"/>
        <w:ind w:firstLine="720"/>
        <w:rPr>
          <w:rFonts w:ascii="Times New Roman" w:eastAsiaTheme="minorEastAsia" w:hAnsi="Times New Roman" w:cs="Times New Roman"/>
          <w:sz w:val="26"/>
          <w:szCs w:val="26"/>
        </w:rPr>
      </w:pPr>
      <w:r w:rsidRPr="00EE5714">
        <w:rPr>
          <w:rFonts w:ascii="Times New Roman" w:eastAsiaTheme="minorEastAsia" w:hAnsi="Times New Roman" w:cs="Times New Roman"/>
          <w:sz w:val="26"/>
          <w:szCs w:val="26"/>
        </w:rPr>
        <w:t>E</w:t>
      </w:r>
      <w:r w:rsidR="00AB79A9" w:rsidRPr="00EE5714">
        <w:rPr>
          <w:rFonts w:ascii="Times New Roman" w:eastAsiaTheme="minorEastAsia" w:hAnsi="Times New Roman" w:cs="Times New Roman"/>
          <w:sz w:val="26"/>
          <w:szCs w:val="26"/>
        </w:rPr>
        <w:t>xplore whether</w:t>
      </w:r>
      <w:r w:rsidR="00D60D87" w:rsidRPr="00EE5714">
        <w:rPr>
          <w:rFonts w:ascii="Times New Roman" w:eastAsiaTheme="minorEastAsia" w:hAnsi="Times New Roman" w:cs="Times New Roman"/>
          <w:sz w:val="26"/>
          <w:szCs w:val="26"/>
        </w:rPr>
        <w:t xml:space="preserve"> the percentage of CAP bills paid </w:t>
      </w:r>
      <w:r w:rsidR="00D20A2E" w:rsidRPr="00EE5714">
        <w:rPr>
          <w:rFonts w:ascii="Times New Roman" w:eastAsiaTheme="minorEastAsia" w:hAnsi="Times New Roman" w:cs="Times New Roman"/>
          <w:sz w:val="26"/>
          <w:szCs w:val="26"/>
        </w:rPr>
        <w:t xml:space="preserve">in-full </w:t>
      </w:r>
      <w:r w:rsidR="00054761" w:rsidRPr="00EE5714">
        <w:rPr>
          <w:rFonts w:ascii="Times New Roman" w:eastAsiaTheme="minorEastAsia" w:hAnsi="Times New Roman" w:cs="Times New Roman"/>
          <w:sz w:val="26"/>
          <w:szCs w:val="26"/>
        </w:rPr>
        <w:t xml:space="preserve">could be </w:t>
      </w:r>
      <w:r w:rsidR="00D60D87" w:rsidRPr="00EE5714">
        <w:rPr>
          <w:rFonts w:ascii="Times New Roman" w:eastAsiaTheme="minorEastAsia" w:hAnsi="Times New Roman" w:cs="Times New Roman"/>
          <w:sz w:val="26"/>
          <w:szCs w:val="26"/>
        </w:rPr>
        <w:t xml:space="preserve">an indicator of energy affordability for CAP customers.  </w:t>
      </w:r>
    </w:p>
    <w:p w14:paraId="4751F35F" w14:textId="77777777" w:rsidR="00D60D87" w:rsidRPr="00EE5714" w:rsidRDefault="00D60D87" w:rsidP="00D60D87">
      <w:pPr>
        <w:spacing w:after="0" w:line="240" w:lineRule="auto"/>
        <w:rPr>
          <w:rFonts w:ascii="Times New Roman" w:eastAsiaTheme="minorEastAsia" w:hAnsi="Times New Roman" w:cs="Times New Roman"/>
          <w:sz w:val="26"/>
          <w:szCs w:val="26"/>
        </w:rPr>
      </w:pPr>
    </w:p>
    <w:p w14:paraId="2DF24EBE" w14:textId="77777777" w:rsidR="00D60D87" w:rsidRPr="00EE5714" w:rsidRDefault="00D60D87" w:rsidP="001D103B">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Background</w:t>
      </w:r>
    </w:p>
    <w:p w14:paraId="43C39096" w14:textId="77777777" w:rsidR="00D60D87" w:rsidRPr="00EE5714" w:rsidRDefault="00D60D87" w:rsidP="0079373B">
      <w:pPr>
        <w:keepNext/>
        <w:spacing w:after="0" w:line="240" w:lineRule="auto"/>
        <w:rPr>
          <w:rFonts w:ascii="Times New Roman" w:eastAsiaTheme="minorEastAsia" w:hAnsi="Times New Roman" w:cs="Times New Roman"/>
          <w:sz w:val="26"/>
          <w:szCs w:val="26"/>
        </w:rPr>
      </w:pPr>
    </w:p>
    <w:p w14:paraId="408EA1DC" w14:textId="77777777" w:rsidR="00D60D87" w:rsidRPr="00EE5714" w:rsidRDefault="00D60D87" w:rsidP="00D60D8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CAPs are designed as alternatives to traditional collection methods for low-income, payment-troubled customers.  In exchange for continued utility services, customers participating in CAPs agree to make regular monthly payments, which may be set at an amount less than the customer’s current bill based on usage at tariff rates.  While participation in a CAP does not guarantee that low-income, payment-troubled customers will receive the most economical bill for utility services, CAPs and other universal service programs are intended and designed to make those energy bills more affordable.  Notwithstanding other factors that may affect a household’s ability to pay its monthly home energy </w:t>
      </w:r>
      <w:r w:rsidR="00490F13" w:rsidRPr="00EE5714">
        <w:rPr>
          <w:rFonts w:ascii="Times New Roman" w:hAnsi="Times New Roman" w:cs="Times New Roman"/>
          <w:sz w:val="26"/>
          <w:szCs w:val="26"/>
        </w:rPr>
        <w:t xml:space="preserve">bills, </w:t>
      </w:r>
      <w:r w:rsidRPr="00EE5714">
        <w:rPr>
          <w:rFonts w:ascii="Times New Roman" w:hAnsi="Times New Roman" w:cs="Times New Roman"/>
          <w:sz w:val="26"/>
          <w:szCs w:val="26"/>
        </w:rPr>
        <w:t xml:space="preserve">it is presumed that CAP customers are more likely to pay their monthly home energy bills if those bills </w:t>
      </w:r>
      <w:r w:rsidR="00301219" w:rsidRPr="00EE5714">
        <w:rPr>
          <w:rFonts w:ascii="Times New Roman" w:hAnsi="Times New Roman" w:cs="Times New Roman"/>
          <w:sz w:val="26"/>
          <w:szCs w:val="26"/>
        </w:rPr>
        <w:t xml:space="preserve">do not consume an unmanageable </w:t>
      </w:r>
      <w:r w:rsidR="008C393B" w:rsidRPr="00EE5714">
        <w:rPr>
          <w:rFonts w:ascii="Times New Roman" w:hAnsi="Times New Roman" w:cs="Times New Roman"/>
          <w:sz w:val="26"/>
          <w:szCs w:val="26"/>
        </w:rPr>
        <w:t>percentage of income</w:t>
      </w:r>
      <w:r w:rsidRPr="00EE5714">
        <w:rPr>
          <w:rFonts w:ascii="Times New Roman" w:hAnsi="Times New Roman" w:cs="Times New Roman"/>
          <w:sz w:val="26"/>
          <w:szCs w:val="26"/>
        </w:rPr>
        <w:t xml:space="preserve"> for low-income, payment-troubled customers. </w:t>
      </w:r>
    </w:p>
    <w:p w14:paraId="3AE446D2" w14:textId="77777777" w:rsidR="00D60D87" w:rsidRPr="00EE5714" w:rsidRDefault="00D60D87" w:rsidP="00D60D87">
      <w:pPr>
        <w:spacing w:after="0" w:line="240" w:lineRule="auto"/>
        <w:rPr>
          <w:rFonts w:ascii="Times New Roman" w:eastAsiaTheme="minorEastAsia" w:hAnsi="Times New Roman" w:cs="Times New Roman"/>
          <w:sz w:val="26"/>
          <w:szCs w:val="26"/>
        </w:rPr>
      </w:pPr>
    </w:p>
    <w:p w14:paraId="627DAE38" w14:textId="77777777" w:rsidR="00D60D87" w:rsidRPr="00EE5714" w:rsidRDefault="00D60D87" w:rsidP="00D60D8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As discussed previously in this report, NGDCs and EDCs have discretion in many aspects of the design and operation of their CAPs, including determining the monthly payment amounts of each CAP participant.  Section 69.265(2)(</w:t>
      </w:r>
      <w:proofErr w:type="spellStart"/>
      <w:r w:rsidRPr="00EE5714">
        <w:rPr>
          <w:rFonts w:ascii="Times New Roman" w:hAnsi="Times New Roman" w:cs="Times New Roman"/>
          <w:sz w:val="26"/>
          <w:szCs w:val="26"/>
        </w:rPr>
        <w:t>i</w:t>
      </w:r>
      <w:proofErr w:type="spellEnd"/>
      <w:r w:rsidRPr="00EE5714">
        <w:rPr>
          <w:rFonts w:ascii="Times New Roman" w:hAnsi="Times New Roman" w:cs="Times New Roman"/>
          <w:sz w:val="26"/>
          <w:szCs w:val="26"/>
        </w:rPr>
        <w:t xml:space="preserve">)-(vi) of the CAP Policy Statement provides guidelines for determining how CAP monthly payment plans should be established, including providing maximum home energy burden guidelines for total electric and natural gas home energy costs.  </w:t>
      </w:r>
      <w:proofErr w:type="gramStart"/>
      <w:r w:rsidRPr="00EE5714">
        <w:rPr>
          <w:rFonts w:ascii="Times New Roman" w:hAnsi="Times New Roman" w:cs="Times New Roman"/>
          <w:sz w:val="26"/>
          <w:szCs w:val="26"/>
        </w:rPr>
        <w:t>A majority of</w:t>
      </w:r>
      <w:proofErr w:type="gramEnd"/>
      <w:r w:rsidRPr="00EE5714">
        <w:rPr>
          <w:rFonts w:ascii="Times New Roman" w:hAnsi="Times New Roman" w:cs="Times New Roman"/>
          <w:sz w:val="26"/>
          <w:szCs w:val="26"/>
        </w:rPr>
        <w:t xml:space="preserve"> Pennsylvania utilities set CAP payment amounts based on the customer’s household family size and gross monthly income or the customer’s average monthly bill, whichever is less.  </w:t>
      </w:r>
      <w:r w:rsidRPr="00EE5714" w:rsidDel="009D2452">
        <w:rPr>
          <w:rFonts w:ascii="Times New Roman" w:hAnsi="Times New Roman" w:cs="Times New Roman"/>
          <w:bCs/>
          <w:i/>
          <w:iCs/>
          <w:sz w:val="26"/>
          <w:szCs w:val="26"/>
        </w:rPr>
        <w:t>See</w:t>
      </w:r>
      <w:r w:rsidRPr="00EE5714">
        <w:rPr>
          <w:rFonts w:ascii="Times New Roman" w:hAnsi="Times New Roman" w:cs="Times New Roman"/>
          <w:bCs/>
          <w:sz w:val="26"/>
          <w:szCs w:val="26"/>
        </w:rPr>
        <w:t xml:space="preserve"> Table </w:t>
      </w:r>
      <w:r w:rsidR="005A3E2E" w:rsidRPr="00EE5714">
        <w:rPr>
          <w:rFonts w:ascii="Times New Roman" w:hAnsi="Times New Roman" w:cs="Times New Roman"/>
          <w:bCs/>
          <w:sz w:val="26"/>
          <w:szCs w:val="26"/>
        </w:rPr>
        <w:t>3-1</w:t>
      </w:r>
      <w:r w:rsidRPr="00EE5714">
        <w:rPr>
          <w:rFonts w:ascii="Times New Roman" w:hAnsi="Times New Roman" w:cs="Times New Roman"/>
          <w:bCs/>
          <w:sz w:val="26"/>
          <w:szCs w:val="26"/>
        </w:rPr>
        <w:t xml:space="preserve"> </w:t>
      </w:r>
      <w:r w:rsidRPr="00EE5714">
        <w:rPr>
          <w:rFonts w:ascii="Times New Roman" w:hAnsi="Times New Roman" w:cs="Times New Roman"/>
          <w:sz w:val="26"/>
          <w:szCs w:val="26"/>
        </w:rPr>
        <w:t xml:space="preserve">for an overview of how the major utilities determine monthly CAP payment amounts, including the minimum monthly CAP payments established for those customers with no income.  </w:t>
      </w:r>
    </w:p>
    <w:p w14:paraId="0A918293" w14:textId="77777777" w:rsidR="00D60D87" w:rsidRPr="00EE5714" w:rsidRDefault="00D60D87" w:rsidP="0062613D">
      <w:pPr>
        <w:shd w:val="clear" w:color="auto" w:fill="FFFFFF" w:themeFill="background1"/>
        <w:tabs>
          <w:tab w:val="left" w:pos="720"/>
        </w:tabs>
        <w:spacing w:after="0" w:line="240" w:lineRule="auto"/>
        <w:jc w:val="center"/>
        <w:rPr>
          <w:rFonts w:ascii="Times New Roman" w:hAnsi="Times New Roman" w:cs="Times New Roman"/>
          <w:sz w:val="26"/>
          <w:szCs w:val="26"/>
        </w:rPr>
      </w:pPr>
    </w:p>
    <w:p w14:paraId="0B4AE7EB" w14:textId="77777777" w:rsidR="00D60D87" w:rsidRPr="00EE5714" w:rsidRDefault="00D60D87" w:rsidP="001D103B">
      <w:pPr>
        <w:keepNext/>
        <w:shd w:val="clear" w:color="auto" w:fill="FFFFFF" w:themeFill="background1"/>
        <w:tabs>
          <w:tab w:val="left" w:pos="720"/>
        </w:tabs>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Methodology</w:t>
      </w:r>
    </w:p>
    <w:p w14:paraId="53AFE3C8" w14:textId="77777777" w:rsidR="00D60D87" w:rsidRPr="00EE5714" w:rsidRDefault="00D60D87" w:rsidP="00B64567">
      <w:pPr>
        <w:keepNext/>
        <w:spacing w:after="0" w:line="240" w:lineRule="auto"/>
        <w:rPr>
          <w:rFonts w:ascii="Times New Roman" w:eastAsiaTheme="minorEastAsia" w:hAnsi="Times New Roman" w:cs="Times New Roman"/>
          <w:sz w:val="26"/>
          <w:szCs w:val="26"/>
        </w:rPr>
      </w:pPr>
    </w:p>
    <w:p w14:paraId="1DC25F74" w14:textId="63466CCE" w:rsidR="00D60D87" w:rsidRPr="00EE5714" w:rsidRDefault="00D60D87" w:rsidP="00D60D8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To assess whether monthly CAP bills are set at an amount that facilitates low-income customers to pay their monthly electric and/or natural gas bills in-full, the Commission requested CAP billing data from the major EDCs and NGDCs for the years 2012</w:t>
      </w:r>
      <w:r w:rsidR="00FD04C5" w:rsidRPr="00EE5714">
        <w:rPr>
          <w:rFonts w:ascii="Times New Roman" w:hAnsi="Times New Roman" w:cs="Times New Roman"/>
          <w:sz w:val="26"/>
          <w:szCs w:val="26"/>
        </w:rPr>
        <w:t>-</w:t>
      </w:r>
      <w:r w:rsidRPr="00EE5714">
        <w:rPr>
          <w:rFonts w:ascii="Times New Roman" w:hAnsi="Times New Roman" w:cs="Times New Roman"/>
          <w:sz w:val="26"/>
          <w:szCs w:val="26"/>
        </w:rPr>
        <w:t xml:space="preserve">2016.  The data requested included the number of monthly CAP bills </w:t>
      </w:r>
      <w:r w:rsidR="00923EA8" w:rsidRPr="00EE5714">
        <w:rPr>
          <w:rFonts w:ascii="Times New Roman" w:hAnsi="Times New Roman" w:cs="Times New Roman"/>
          <w:sz w:val="26"/>
          <w:szCs w:val="26"/>
        </w:rPr>
        <w:t>issued</w:t>
      </w:r>
      <w:r w:rsidRPr="00EE5714">
        <w:rPr>
          <w:rFonts w:ascii="Times New Roman" w:hAnsi="Times New Roman" w:cs="Times New Roman"/>
          <w:sz w:val="26"/>
          <w:szCs w:val="26"/>
        </w:rPr>
        <w:t xml:space="preserve"> and the amount (in dollars) of those bills.  The data submitted by the utilities were categorized by FPIG level and by account status (electric heating, electric non-heating, gas heating).</w:t>
      </w:r>
    </w:p>
    <w:p w14:paraId="44D498EB" w14:textId="77777777" w:rsidR="00D60D87" w:rsidRPr="00EE5714" w:rsidRDefault="00D60D87" w:rsidP="00D60D87">
      <w:pPr>
        <w:spacing w:after="0" w:line="240" w:lineRule="auto"/>
        <w:rPr>
          <w:rFonts w:ascii="Times New Roman" w:eastAsiaTheme="minorEastAsia" w:hAnsi="Times New Roman" w:cs="Times New Roman"/>
          <w:sz w:val="26"/>
          <w:szCs w:val="26"/>
        </w:rPr>
      </w:pPr>
    </w:p>
    <w:p w14:paraId="2AFB368E" w14:textId="77777777" w:rsidR="00D60D87" w:rsidRPr="00EE5714" w:rsidRDefault="00D60D87" w:rsidP="001D103B">
      <w:pPr>
        <w:keepNext/>
        <w:spacing w:after="0" w:line="240" w:lineRule="auto"/>
        <w:rPr>
          <w:rFonts w:ascii="Times New Roman" w:hAnsi="Times New Roman" w:cs="Times New Roman"/>
          <w:i/>
          <w:iCs/>
          <w:sz w:val="26"/>
          <w:szCs w:val="26"/>
        </w:rPr>
      </w:pPr>
      <w:r w:rsidRPr="00EE5714">
        <w:rPr>
          <w:rFonts w:ascii="Times New Roman" w:hAnsi="Times New Roman" w:cs="Times New Roman"/>
          <w:i/>
          <w:iCs/>
          <w:sz w:val="26"/>
          <w:szCs w:val="26"/>
        </w:rPr>
        <w:t>Data Limitations</w:t>
      </w:r>
    </w:p>
    <w:p w14:paraId="0268AE7F" w14:textId="77777777" w:rsidR="00D60D87" w:rsidRPr="00EE5714" w:rsidRDefault="00D60D87" w:rsidP="008E3F4D">
      <w:pPr>
        <w:keepNext/>
        <w:spacing w:after="0" w:line="240" w:lineRule="auto"/>
        <w:rPr>
          <w:rFonts w:ascii="Times New Roman" w:hAnsi="Times New Roman" w:cs="Times New Roman"/>
          <w:i/>
          <w:sz w:val="26"/>
          <w:szCs w:val="26"/>
        </w:rPr>
      </w:pPr>
    </w:p>
    <w:p w14:paraId="04FAE780" w14:textId="77777777" w:rsidR="00D60D87" w:rsidRPr="00EE5714" w:rsidRDefault="00D60D87" w:rsidP="00D60D8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Certain utilities experienced limitations regarding the availability of the data requested.  For example, NFG could not provide the data requested for CAP customers by FPIG level; thus, Commission staff w</w:t>
      </w:r>
      <w:r w:rsidR="00D571CA" w:rsidRPr="00EE5714">
        <w:rPr>
          <w:rFonts w:ascii="Times New Roman" w:hAnsi="Times New Roman" w:cs="Times New Roman"/>
          <w:sz w:val="26"/>
          <w:szCs w:val="26"/>
        </w:rPr>
        <w:t>as</w:t>
      </w:r>
      <w:r w:rsidRPr="00EE5714">
        <w:rPr>
          <w:rFonts w:ascii="Times New Roman" w:hAnsi="Times New Roman" w:cs="Times New Roman"/>
          <w:sz w:val="26"/>
          <w:szCs w:val="26"/>
        </w:rPr>
        <w:t xml:space="preserve"> not able to evaluate if there were differences in the percentage of bills paid among the FPIG levels within NFG’s CAP.  In addition, </w:t>
      </w:r>
      <w:r w:rsidRPr="00EE5714">
        <w:rPr>
          <w:rFonts w:ascii="Times New Roman" w:hAnsi="Times New Roman" w:cs="Times New Roman"/>
          <w:sz w:val="26"/>
          <w:szCs w:val="26"/>
        </w:rPr>
        <w:lastRenderedPageBreak/>
        <w:t xml:space="preserve">West Penn was unable to provide data for the years 2012 and 2013, and PPL could only provide estimated data for the years 2012-2015.  Furthermore, the EDCs and NGDCs had no meaningful way to distinguish if “payment in full” data exclusively included a full payment on current monthly charges or if “payment in full” data included the full payment of current plus any delinquent or “catch up” amounts.  Three of the FirstEnergy </w:t>
      </w:r>
      <w:r w:rsidR="007D3F8A" w:rsidRPr="00EE5714">
        <w:rPr>
          <w:rFonts w:ascii="Times New Roman" w:hAnsi="Times New Roman" w:cs="Times New Roman"/>
          <w:sz w:val="26"/>
          <w:szCs w:val="26"/>
        </w:rPr>
        <w:t>C</w:t>
      </w:r>
      <w:r w:rsidRPr="00EE5714">
        <w:rPr>
          <w:rFonts w:ascii="Times New Roman" w:hAnsi="Times New Roman" w:cs="Times New Roman"/>
          <w:sz w:val="26"/>
          <w:szCs w:val="26"/>
        </w:rPr>
        <w:t xml:space="preserve">ompanies, </w:t>
      </w:r>
      <w:r w:rsidR="00863EFE" w:rsidRPr="00EE5714">
        <w:rPr>
          <w:rFonts w:ascii="Times New Roman" w:hAnsi="Times New Roman" w:cs="Times New Roman"/>
          <w:sz w:val="26"/>
          <w:szCs w:val="26"/>
        </w:rPr>
        <w:t>Met-Ed</w:t>
      </w:r>
      <w:r w:rsidRPr="00EE5714">
        <w:rPr>
          <w:rFonts w:ascii="Times New Roman" w:hAnsi="Times New Roman" w:cs="Times New Roman"/>
          <w:sz w:val="26"/>
          <w:szCs w:val="26"/>
        </w:rPr>
        <w:t xml:space="preserve">, </w:t>
      </w:r>
      <w:proofErr w:type="spellStart"/>
      <w:r w:rsidRPr="00EE5714">
        <w:rPr>
          <w:rFonts w:ascii="Times New Roman" w:hAnsi="Times New Roman" w:cs="Times New Roman"/>
          <w:sz w:val="26"/>
          <w:szCs w:val="26"/>
        </w:rPr>
        <w:t>Penelec</w:t>
      </w:r>
      <w:proofErr w:type="spellEnd"/>
      <w:r w:rsidR="00143CD3" w:rsidRPr="00EE5714">
        <w:rPr>
          <w:rFonts w:ascii="Times New Roman" w:hAnsi="Times New Roman" w:cs="Times New Roman"/>
          <w:sz w:val="26"/>
          <w:szCs w:val="26"/>
        </w:rPr>
        <w:t>,</w:t>
      </w:r>
      <w:r w:rsidRPr="00EE5714">
        <w:rPr>
          <w:rFonts w:ascii="Times New Roman" w:hAnsi="Times New Roman" w:cs="Times New Roman"/>
          <w:sz w:val="26"/>
          <w:szCs w:val="26"/>
        </w:rPr>
        <w:t xml:space="preserve"> and Penn Power</w:t>
      </w:r>
      <w:r w:rsidR="00D46B25" w:rsidRPr="00EE5714">
        <w:rPr>
          <w:rFonts w:ascii="Times New Roman" w:hAnsi="Times New Roman" w:cs="Times New Roman"/>
          <w:sz w:val="26"/>
          <w:szCs w:val="26"/>
        </w:rPr>
        <w:t>,</w:t>
      </w:r>
      <w:r w:rsidRPr="00EE5714">
        <w:rPr>
          <w:rFonts w:ascii="Times New Roman" w:hAnsi="Times New Roman" w:cs="Times New Roman"/>
          <w:sz w:val="26"/>
          <w:szCs w:val="26"/>
        </w:rPr>
        <w:t xml:space="preserve"> submitted 2012</w:t>
      </w:r>
      <w:r w:rsidR="00DB0629" w:rsidRPr="00EE5714">
        <w:rPr>
          <w:rFonts w:ascii="Times New Roman" w:hAnsi="Times New Roman" w:cs="Times New Roman"/>
          <w:sz w:val="26"/>
          <w:szCs w:val="26"/>
        </w:rPr>
        <w:t xml:space="preserve"> to </w:t>
      </w:r>
      <w:r w:rsidRPr="00EE5714">
        <w:rPr>
          <w:rFonts w:ascii="Times New Roman" w:hAnsi="Times New Roman" w:cs="Times New Roman"/>
          <w:sz w:val="26"/>
          <w:szCs w:val="26"/>
        </w:rPr>
        <w:t>2015 data that showed several months of billings that were reported as negative dollar amounts</w:t>
      </w:r>
      <w:proofErr w:type="gramStart"/>
      <w:r w:rsidRPr="00EE5714">
        <w:rPr>
          <w:rFonts w:ascii="Times New Roman" w:hAnsi="Times New Roman" w:cs="Times New Roman"/>
          <w:sz w:val="26"/>
          <w:szCs w:val="26"/>
        </w:rPr>
        <w:t xml:space="preserve">. </w:t>
      </w:r>
      <w:proofErr w:type="gramEnd"/>
      <w:r w:rsidRPr="00EE5714">
        <w:rPr>
          <w:rFonts w:ascii="Times New Roman" w:hAnsi="Times New Roman" w:cs="Times New Roman"/>
          <w:sz w:val="26"/>
          <w:szCs w:val="26"/>
        </w:rPr>
        <w:t>Therefore, although the Commission requested data regarding the dollar amounts of CAP billings and payments, staff w</w:t>
      </w:r>
      <w:r w:rsidR="00D571CA" w:rsidRPr="00EE5714">
        <w:rPr>
          <w:rFonts w:ascii="Times New Roman" w:hAnsi="Times New Roman" w:cs="Times New Roman"/>
          <w:sz w:val="26"/>
          <w:szCs w:val="26"/>
        </w:rPr>
        <w:t>as</w:t>
      </w:r>
      <w:r w:rsidRPr="00EE5714">
        <w:rPr>
          <w:rFonts w:ascii="Times New Roman" w:hAnsi="Times New Roman" w:cs="Times New Roman"/>
          <w:sz w:val="26"/>
          <w:szCs w:val="26"/>
        </w:rPr>
        <w:t xml:space="preserve"> unable to use it in the analyses.</w:t>
      </w:r>
    </w:p>
    <w:p w14:paraId="288FD72C" w14:textId="77777777" w:rsidR="00B224CC" w:rsidRPr="00EE5714" w:rsidRDefault="00B224CC" w:rsidP="00D60D87">
      <w:pPr>
        <w:spacing w:after="0" w:line="240" w:lineRule="auto"/>
        <w:jc w:val="center"/>
        <w:rPr>
          <w:rFonts w:ascii="Times New Roman" w:hAnsi="Times New Roman" w:cs="Times New Roman"/>
          <w:sz w:val="26"/>
          <w:szCs w:val="26"/>
        </w:rPr>
      </w:pPr>
    </w:p>
    <w:p w14:paraId="313E69E6" w14:textId="77777777" w:rsidR="00D60D87" w:rsidRPr="00EE5714" w:rsidRDefault="00D60D87" w:rsidP="0067627B">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Analysis</w:t>
      </w:r>
    </w:p>
    <w:p w14:paraId="42716C9E" w14:textId="77777777" w:rsidR="004F6447" w:rsidRPr="00EE5714" w:rsidRDefault="004F6447" w:rsidP="00C315B1">
      <w:pPr>
        <w:keepNext/>
        <w:spacing w:after="0" w:line="240" w:lineRule="auto"/>
        <w:rPr>
          <w:rFonts w:ascii="Times New Roman" w:eastAsiaTheme="minorEastAsia" w:hAnsi="Times New Roman" w:cs="Times New Roman"/>
          <w:sz w:val="26"/>
          <w:szCs w:val="26"/>
        </w:rPr>
      </w:pPr>
    </w:p>
    <w:p w14:paraId="1460B33E" w14:textId="77777777" w:rsidR="00783B36" w:rsidRPr="00EE5714" w:rsidRDefault="00783B36" w:rsidP="0067627B">
      <w:pPr>
        <w:keepNext/>
        <w:spacing w:after="0" w:line="240" w:lineRule="auto"/>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 xml:space="preserve">CAP Customer Billing Data by </w:t>
      </w:r>
      <w:r w:rsidR="00E96E52" w:rsidRPr="00EE5714">
        <w:rPr>
          <w:rFonts w:ascii="Times New Roman" w:eastAsiaTheme="minorEastAsia" w:hAnsi="Times New Roman" w:cs="Times New Roman"/>
          <w:b/>
          <w:bCs/>
          <w:sz w:val="26"/>
          <w:szCs w:val="26"/>
        </w:rPr>
        <w:t>Heating Type</w:t>
      </w:r>
      <w:r w:rsidRPr="00EE5714">
        <w:rPr>
          <w:rFonts w:ascii="Times New Roman" w:eastAsiaTheme="minorEastAsia" w:hAnsi="Times New Roman" w:cs="Times New Roman"/>
          <w:b/>
          <w:bCs/>
          <w:sz w:val="26"/>
          <w:szCs w:val="26"/>
        </w:rPr>
        <w:t xml:space="preserve"> </w:t>
      </w:r>
    </w:p>
    <w:p w14:paraId="5CC91867" w14:textId="77777777" w:rsidR="00783B36" w:rsidRPr="00EE5714" w:rsidRDefault="00783B36" w:rsidP="00783B36">
      <w:pPr>
        <w:keepNext/>
        <w:spacing w:after="0" w:line="240" w:lineRule="auto"/>
        <w:rPr>
          <w:rFonts w:ascii="Times New Roman" w:eastAsiaTheme="minorEastAsia" w:hAnsi="Times New Roman" w:cs="Times New Roman"/>
          <w:sz w:val="26"/>
          <w:szCs w:val="26"/>
        </w:rPr>
      </w:pPr>
    </w:p>
    <w:p w14:paraId="29BA212E" w14:textId="6E919DC0" w:rsidR="00783B36" w:rsidRPr="00EE5714" w:rsidRDefault="009B2146" w:rsidP="0067627B">
      <w:pPr>
        <w:spacing w:after="0" w:line="240" w:lineRule="auto"/>
        <w:ind w:firstLine="720"/>
        <w:rPr>
          <w:rFonts w:ascii="Times New Roman" w:eastAsiaTheme="minorEastAsia" w:hAnsi="Times New Roman" w:cs="Times New Roman"/>
          <w:sz w:val="26"/>
          <w:szCs w:val="26"/>
        </w:rPr>
      </w:pPr>
      <w:r w:rsidRPr="00EE5714">
        <w:rPr>
          <w:rFonts w:ascii="Times New Roman" w:eastAsiaTheme="minorEastAsia" w:hAnsi="Times New Roman" w:cs="Times New Roman"/>
          <w:sz w:val="26"/>
          <w:szCs w:val="26"/>
        </w:rPr>
        <w:t xml:space="preserve">This analysis is </w:t>
      </w:r>
      <w:r w:rsidR="00A03A7F" w:rsidRPr="00EE5714">
        <w:rPr>
          <w:rFonts w:ascii="Times New Roman" w:eastAsiaTheme="minorEastAsia" w:hAnsi="Times New Roman" w:cs="Times New Roman"/>
          <w:sz w:val="26"/>
          <w:szCs w:val="26"/>
        </w:rPr>
        <w:t>in two parts</w:t>
      </w:r>
      <w:r w:rsidR="00EB14E6" w:rsidRPr="00EE5714">
        <w:rPr>
          <w:rFonts w:ascii="Times New Roman" w:eastAsiaTheme="minorEastAsia" w:hAnsi="Times New Roman" w:cs="Times New Roman"/>
          <w:sz w:val="26"/>
          <w:szCs w:val="26"/>
        </w:rPr>
        <w:t>.</w:t>
      </w:r>
      <w:r w:rsidR="00A03A7F" w:rsidRPr="00EE5714">
        <w:rPr>
          <w:rFonts w:ascii="Times New Roman" w:eastAsiaTheme="minorEastAsia" w:hAnsi="Times New Roman" w:cs="Times New Roman"/>
          <w:sz w:val="26"/>
          <w:szCs w:val="26"/>
        </w:rPr>
        <w:t xml:space="preserve">  </w:t>
      </w:r>
      <w:r w:rsidR="00D571CA" w:rsidRPr="00EE5714">
        <w:rPr>
          <w:rFonts w:ascii="Times New Roman" w:eastAsiaTheme="minorEastAsia" w:hAnsi="Times New Roman" w:cs="Times New Roman"/>
          <w:sz w:val="26"/>
          <w:szCs w:val="26"/>
        </w:rPr>
        <w:t>S</w:t>
      </w:r>
      <w:r w:rsidR="00783B36" w:rsidRPr="00EE5714">
        <w:rPr>
          <w:rFonts w:ascii="Times New Roman" w:eastAsiaTheme="minorEastAsia" w:hAnsi="Times New Roman" w:cs="Times New Roman"/>
          <w:sz w:val="26"/>
          <w:szCs w:val="26"/>
        </w:rPr>
        <w:t xml:space="preserve">taff </w:t>
      </w:r>
      <w:r w:rsidR="00A03A7F" w:rsidRPr="00EE5714">
        <w:rPr>
          <w:rFonts w:ascii="Times New Roman" w:eastAsiaTheme="minorEastAsia" w:hAnsi="Times New Roman" w:cs="Times New Roman"/>
          <w:sz w:val="26"/>
          <w:szCs w:val="26"/>
        </w:rPr>
        <w:t xml:space="preserve">first </w:t>
      </w:r>
      <w:r w:rsidR="00783B36" w:rsidRPr="00EE5714">
        <w:rPr>
          <w:rFonts w:ascii="Times New Roman" w:eastAsiaTheme="minorEastAsia" w:hAnsi="Times New Roman" w:cs="Times New Roman"/>
          <w:sz w:val="26"/>
          <w:szCs w:val="26"/>
        </w:rPr>
        <w:t>examined the</w:t>
      </w:r>
      <w:r w:rsidR="005F1F89" w:rsidRPr="00EE5714">
        <w:rPr>
          <w:rFonts w:ascii="Times New Roman" w:eastAsiaTheme="minorEastAsia" w:hAnsi="Times New Roman" w:cs="Times New Roman"/>
          <w:sz w:val="26"/>
          <w:szCs w:val="26"/>
        </w:rPr>
        <w:t xml:space="preserve"> bill</w:t>
      </w:r>
      <w:r w:rsidR="00067F62" w:rsidRPr="00EE5714">
        <w:rPr>
          <w:rFonts w:ascii="Times New Roman" w:eastAsiaTheme="minorEastAsia" w:hAnsi="Times New Roman" w:cs="Times New Roman"/>
          <w:sz w:val="26"/>
          <w:szCs w:val="26"/>
        </w:rPr>
        <w:t>-</w:t>
      </w:r>
      <w:r w:rsidR="005F1F89" w:rsidRPr="00EE5714">
        <w:rPr>
          <w:rFonts w:ascii="Times New Roman" w:eastAsiaTheme="minorEastAsia" w:hAnsi="Times New Roman" w:cs="Times New Roman"/>
          <w:sz w:val="26"/>
          <w:szCs w:val="26"/>
        </w:rPr>
        <w:t>paying patterns base</w:t>
      </w:r>
      <w:r w:rsidR="00067F62" w:rsidRPr="00EE5714">
        <w:rPr>
          <w:rFonts w:ascii="Times New Roman" w:eastAsiaTheme="minorEastAsia" w:hAnsi="Times New Roman" w:cs="Times New Roman"/>
          <w:sz w:val="26"/>
          <w:szCs w:val="26"/>
        </w:rPr>
        <w:t>d</w:t>
      </w:r>
      <w:r w:rsidR="005F1F89" w:rsidRPr="00EE5714">
        <w:rPr>
          <w:rFonts w:ascii="Times New Roman" w:eastAsiaTheme="minorEastAsia" w:hAnsi="Times New Roman" w:cs="Times New Roman"/>
          <w:sz w:val="26"/>
          <w:szCs w:val="26"/>
        </w:rPr>
        <w:t xml:space="preserve"> on heating type.  </w:t>
      </w:r>
      <w:r w:rsidR="00A03A7F" w:rsidRPr="00EE5714">
        <w:rPr>
          <w:rFonts w:ascii="Times New Roman" w:eastAsiaTheme="minorEastAsia" w:hAnsi="Times New Roman" w:cs="Times New Roman"/>
          <w:sz w:val="26"/>
          <w:szCs w:val="26"/>
        </w:rPr>
        <w:t xml:space="preserve">The second part looks </w:t>
      </w:r>
      <w:r w:rsidR="00067F62" w:rsidRPr="00EE5714">
        <w:rPr>
          <w:rFonts w:ascii="Times New Roman" w:eastAsiaTheme="minorEastAsia" w:hAnsi="Times New Roman" w:cs="Times New Roman"/>
          <w:sz w:val="26"/>
          <w:szCs w:val="26"/>
        </w:rPr>
        <w:t xml:space="preserve">at </w:t>
      </w:r>
      <w:r w:rsidR="00EB14E6" w:rsidRPr="00EE5714">
        <w:rPr>
          <w:rFonts w:ascii="Times New Roman" w:eastAsiaTheme="minorEastAsia" w:hAnsi="Times New Roman" w:cs="Times New Roman"/>
          <w:sz w:val="26"/>
          <w:szCs w:val="26"/>
        </w:rPr>
        <w:t>bill</w:t>
      </w:r>
      <w:r w:rsidR="00067F62" w:rsidRPr="00EE5714">
        <w:rPr>
          <w:rFonts w:ascii="Times New Roman" w:eastAsiaTheme="minorEastAsia" w:hAnsi="Times New Roman" w:cs="Times New Roman"/>
          <w:sz w:val="26"/>
          <w:szCs w:val="26"/>
        </w:rPr>
        <w:t>-</w:t>
      </w:r>
      <w:r w:rsidR="00EB14E6" w:rsidRPr="00EE5714">
        <w:rPr>
          <w:rFonts w:ascii="Times New Roman" w:eastAsiaTheme="minorEastAsia" w:hAnsi="Times New Roman" w:cs="Times New Roman"/>
          <w:sz w:val="26"/>
          <w:szCs w:val="26"/>
        </w:rPr>
        <w:t xml:space="preserve">paying patterns based on </w:t>
      </w:r>
      <w:r w:rsidR="0029489A" w:rsidRPr="00EE5714">
        <w:rPr>
          <w:rFonts w:ascii="Times New Roman" w:eastAsiaTheme="minorEastAsia" w:hAnsi="Times New Roman" w:cs="Times New Roman"/>
          <w:sz w:val="26"/>
          <w:szCs w:val="26"/>
        </w:rPr>
        <w:t>the customers</w:t>
      </w:r>
      <w:r w:rsidR="00307A1F" w:rsidRPr="00EE5714">
        <w:rPr>
          <w:rFonts w:ascii="Times New Roman" w:eastAsiaTheme="minorEastAsia" w:hAnsi="Times New Roman" w:cs="Times New Roman"/>
          <w:sz w:val="26"/>
          <w:szCs w:val="26"/>
        </w:rPr>
        <w:t>’</w:t>
      </w:r>
      <w:r w:rsidR="0029489A" w:rsidRPr="00EE5714">
        <w:rPr>
          <w:rFonts w:ascii="Times New Roman" w:eastAsiaTheme="minorEastAsia" w:hAnsi="Times New Roman" w:cs="Times New Roman"/>
          <w:sz w:val="26"/>
          <w:szCs w:val="26"/>
        </w:rPr>
        <w:t xml:space="preserve"> income levels.</w:t>
      </w:r>
      <w:r w:rsidR="00783B36" w:rsidRPr="00EE5714">
        <w:rPr>
          <w:rFonts w:ascii="Times New Roman" w:eastAsiaTheme="minorEastAsia" w:hAnsi="Times New Roman" w:cs="Times New Roman"/>
          <w:sz w:val="26"/>
          <w:szCs w:val="26"/>
        </w:rPr>
        <w:t xml:space="preserve">    </w:t>
      </w:r>
    </w:p>
    <w:p w14:paraId="64979B8E" w14:textId="77777777" w:rsidR="00712CAA" w:rsidRPr="00EE5714" w:rsidRDefault="00712CAA" w:rsidP="00BD6251">
      <w:pPr>
        <w:spacing w:after="0" w:line="240" w:lineRule="auto"/>
        <w:rPr>
          <w:rFonts w:ascii="Times New Roman" w:eastAsiaTheme="minorEastAsia" w:hAnsi="Times New Roman" w:cs="Times New Roman"/>
          <w:sz w:val="26"/>
          <w:szCs w:val="26"/>
        </w:rPr>
      </w:pPr>
    </w:p>
    <w:p w14:paraId="2737791E" w14:textId="77777777" w:rsidR="00D60D87" w:rsidRPr="00EE5714" w:rsidRDefault="00D60D87" w:rsidP="0067627B">
      <w:pPr>
        <w:keepNext/>
        <w:spacing w:after="0" w:line="240" w:lineRule="auto"/>
        <w:rPr>
          <w:rFonts w:ascii="Times New Roman" w:eastAsiaTheme="minorEastAsia" w:hAnsi="Times New Roman" w:cs="Times New Roman"/>
          <w:i/>
          <w:iCs/>
          <w:sz w:val="26"/>
          <w:szCs w:val="26"/>
        </w:rPr>
      </w:pPr>
      <w:r w:rsidRPr="00EE5714">
        <w:rPr>
          <w:rFonts w:ascii="Times New Roman" w:eastAsiaTheme="minorEastAsia" w:hAnsi="Times New Roman" w:cs="Times New Roman"/>
          <w:i/>
          <w:iCs/>
          <w:sz w:val="26"/>
          <w:szCs w:val="26"/>
        </w:rPr>
        <w:t xml:space="preserve">NGDC </w:t>
      </w:r>
      <w:r w:rsidR="006242B4" w:rsidRPr="00EE5714">
        <w:rPr>
          <w:rFonts w:ascii="Times New Roman" w:eastAsiaTheme="minorEastAsia" w:hAnsi="Times New Roman" w:cs="Times New Roman"/>
          <w:i/>
          <w:iCs/>
          <w:sz w:val="26"/>
          <w:szCs w:val="26"/>
        </w:rPr>
        <w:t xml:space="preserve">Percent of </w:t>
      </w:r>
      <w:r w:rsidR="00482A40" w:rsidRPr="00EE5714">
        <w:rPr>
          <w:rFonts w:ascii="Times New Roman" w:eastAsiaTheme="minorEastAsia" w:hAnsi="Times New Roman" w:cs="Times New Roman"/>
          <w:i/>
          <w:iCs/>
          <w:sz w:val="26"/>
          <w:szCs w:val="26"/>
        </w:rPr>
        <w:t>CAP Bills Paid</w:t>
      </w:r>
    </w:p>
    <w:p w14:paraId="162E4845" w14:textId="77777777" w:rsidR="00BD50AC" w:rsidRPr="00EE5714" w:rsidRDefault="00BD50AC" w:rsidP="00BD50AC">
      <w:pPr>
        <w:keepNext/>
        <w:spacing w:after="0" w:line="240" w:lineRule="auto"/>
        <w:jc w:val="center"/>
        <w:rPr>
          <w:rFonts w:ascii="Times New Roman" w:eastAsiaTheme="minorEastAsia" w:hAnsi="Times New Roman" w:cs="Times New Roman"/>
          <w:b/>
          <w:bCs/>
          <w:sz w:val="26"/>
          <w:szCs w:val="26"/>
        </w:rPr>
      </w:pPr>
    </w:p>
    <w:p w14:paraId="089746C7" w14:textId="77777777" w:rsidR="00BD50AC" w:rsidRPr="00EE5714" w:rsidRDefault="00BD50AC" w:rsidP="00BD50AC">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Table 6-1</w:t>
      </w:r>
    </w:p>
    <w:p w14:paraId="2E82ED40" w14:textId="77777777" w:rsidR="00BD50AC" w:rsidRPr="00EE5714" w:rsidRDefault="00BD50AC" w:rsidP="00BD50AC">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 xml:space="preserve">Percentage of NGDC CAP Bills Paid In-Full </w:t>
      </w:r>
    </w:p>
    <w:p w14:paraId="6FD4897D" w14:textId="77777777" w:rsidR="00BD50AC" w:rsidRPr="00EE5714" w:rsidRDefault="00BD50AC" w:rsidP="00BD50AC">
      <w:pPr>
        <w:spacing w:after="0" w:line="240" w:lineRule="auto"/>
        <w:jc w:val="center"/>
        <w:rPr>
          <w:rFonts w:ascii="Times New Roman" w:eastAsiaTheme="minorEastAsia" w:hAnsi="Times New Roman" w:cs="Times New Roman"/>
          <w:b/>
          <w:sz w:val="26"/>
          <w:szCs w:val="26"/>
        </w:rPr>
      </w:pPr>
      <w:r w:rsidRPr="00EE5714">
        <w:rPr>
          <w:noProof/>
        </w:rPr>
        <w:drawing>
          <wp:inline distT="0" distB="0" distL="0" distR="0" wp14:anchorId="752741F5" wp14:editId="7E1A4E49">
            <wp:extent cx="5943600" cy="3200400"/>
            <wp:effectExtent l="0" t="0" r="0" b="0"/>
            <wp:docPr id="39" name="Chart 39">
              <a:extLst xmlns:a="http://schemas.openxmlformats.org/drawingml/2006/main">
                <a:ext uri="{FF2B5EF4-FFF2-40B4-BE49-F238E27FC236}">
                  <a16:creationId xmlns:a16="http://schemas.microsoft.com/office/drawing/2014/main" id="{D42FA3E5-1FD9-46E5-A6C2-06FD4D1CE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AB6710" w14:textId="77777777" w:rsidR="00BD50AC" w:rsidRPr="00EE5714" w:rsidRDefault="00BD50AC" w:rsidP="00BD50AC">
      <w:pPr>
        <w:spacing w:after="0" w:line="240" w:lineRule="auto"/>
        <w:rPr>
          <w:rFonts w:ascii="Times New Roman" w:eastAsiaTheme="minorEastAsia" w:hAnsi="Times New Roman" w:cs="Times New Roman"/>
          <w:sz w:val="26"/>
          <w:szCs w:val="26"/>
        </w:rPr>
      </w:pPr>
    </w:p>
    <w:p w14:paraId="159DA4F6" w14:textId="1968CB99" w:rsidR="00D60D87" w:rsidRPr="00EE5714" w:rsidRDefault="00D60D87" w:rsidP="00D60D8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The data depicted in Table </w:t>
      </w:r>
      <w:r w:rsidR="00642DD9" w:rsidRPr="00EE5714">
        <w:rPr>
          <w:rFonts w:ascii="Times New Roman" w:hAnsi="Times New Roman" w:cs="Times New Roman"/>
          <w:sz w:val="26"/>
          <w:szCs w:val="26"/>
        </w:rPr>
        <w:t>6-1</w:t>
      </w:r>
      <w:r w:rsidRPr="00EE5714">
        <w:rPr>
          <w:rFonts w:ascii="Times New Roman" w:hAnsi="Times New Roman" w:cs="Times New Roman"/>
          <w:sz w:val="26"/>
          <w:szCs w:val="26"/>
        </w:rPr>
        <w:t xml:space="preserve"> </w:t>
      </w:r>
      <w:r w:rsidR="00127524" w:rsidRPr="00EE5714">
        <w:rPr>
          <w:rFonts w:ascii="Times New Roman" w:hAnsi="Times New Roman" w:cs="Times New Roman"/>
          <w:sz w:val="26"/>
          <w:szCs w:val="26"/>
        </w:rPr>
        <w:t>above</w:t>
      </w:r>
      <w:r w:rsidRPr="00EE5714">
        <w:rPr>
          <w:rFonts w:ascii="Times New Roman" w:hAnsi="Times New Roman" w:cs="Times New Roman"/>
          <w:sz w:val="26"/>
          <w:szCs w:val="26"/>
        </w:rPr>
        <w:t xml:space="preserve"> includes NGDC CAP customer billing information at all FPIG levels.  From this data, it appears that CAP customers of UGI Gas and UGI PNG are the most reliable in paying their natural gas bills in-full.  According to annual data submitted by UGI Gas and UGI PNG for the years 2012</w:t>
      </w:r>
      <w:r w:rsidR="00352A3D" w:rsidRPr="00EE5714">
        <w:rPr>
          <w:rFonts w:ascii="Times New Roman" w:hAnsi="Times New Roman" w:cs="Times New Roman"/>
          <w:sz w:val="26"/>
          <w:szCs w:val="26"/>
        </w:rPr>
        <w:t xml:space="preserve"> to </w:t>
      </w:r>
      <w:r w:rsidRPr="00EE5714">
        <w:rPr>
          <w:rFonts w:ascii="Times New Roman" w:hAnsi="Times New Roman" w:cs="Times New Roman"/>
          <w:sz w:val="26"/>
          <w:szCs w:val="26"/>
        </w:rPr>
        <w:t>2016, approximately 89</w:t>
      </w:r>
      <w:r w:rsidR="00352A3D"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93% of CAP customer bills were paid.  If this information is accurate, </w:t>
      </w:r>
      <w:r w:rsidR="00D571CA" w:rsidRPr="00EE5714">
        <w:rPr>
          <w:rFonts w:ascii="Times New Roman" w:hAnsi="Times New Roman" w:cs="Times New Roman"/>
          <w:sz w:val="26"/>
          <w:szCs w:val="26"/>
        </w:rPr>
        <w:t xml:space="preserve">staff </w:t>
      </w:r>
      <w:r w:rsidRPr="00EE5714">
        <w:rPr>
          <w:rFonts w:ascii="Times New Roman" w:hAnsi="Times New Roman" w:cs="Times New Roman"/>
          <w:sz w:val="26"/>
          <w:szCs w:val="26"/>
        </w:rPr>
        <w:t xml:space="preserve">would expect to see lower in-program arrears accrued by UGI Gas and UGI PNG CAP customers, as </w:t>
      </w:r>
      <w:proofErr w:type="gramStart"/>
      <w:r w:rsidRPr="00EE5714">
        <w:rPr>
          <w:rFonts w:ascii="Times New Roman" w:hAnsi="Times New Roman" w:cs="Times New Roman"/>
          <w:sz w:val="26"/>
          <w:szCs w:val="26"/>
        </w:rPr>
        <w:t>the majority of</w:t>
      </w:r>
      <w:proofErr w:type="gramEnd"/>
      <w:r w:rsidRPr="00EE5714">
        <w:rPr>
          <w:rFonts w:ascii="Times New Roman" w:hAnsi="Times New Roman" w:cs="Times New Roman"/>
          <w:sz w:val="26"/>
          <w:szCs w:val="26"/>
        </w:rPr>
        <w:t xml:space="preserve"> the CAP bills should have been paid in full</w:t>
      </w:r>
      <w:r w:rsidRPr="00EE5714" w:rsidDel="00566A40">
        <w:rPr>
          <w:rFonts w:ascii="Times New Roman" w:hAnsi="Times New Roman" w:cs="Times New Roman"/>
          <w:sz w:val="26"/>
          <w:szCs w:val="26"/>
        </w:rPr>
        <w:t>.</w:t>
      </w:r>
      <w:r w:rsidRPr="00EE5714">
        <w:rPr>
          <w:rFonts w:ascii="Times New Roman" w:hAnsi="Times New Roman" w:cs="Times New Roman"/>
          <w:sz w:val="26"/>
          <w:szCs w:val="26"/>
        </w:rPr>
        <w:t xml:space="preserve">  A</w:t>
      </w:r>
      <w:r w:rsidR="00FA2C58" w:rsidRPr="00EE5714">
        <w:rPr>
          <w:rFonts w:ascii="Times New Roman" w:hAnsi="Times New Roman" w:cs="Times New Roman"/>
          <w:sz w:val="26"/>
          <w:szCs w:val="26"/>
        </w:rPr>
        <w:t xml:space="preserve">ccording to </w:t>
      </w:r>
      <w:r w:rsidRPr="00EE5714">
        <w:rPr>
          <w:rFonts w:ascii="Times New Roman" w:hAnsi="Times New Roman" w:cs="Times New Roman"/>
          <w:sz w:val="26"/>
          <w:szCs w:val="26"/>
        </w:rPr>
        <w:t xml:space="preserve">Table </w:t>
      </w:r>
      <w:r w:rsidR="003D2199" w:rsidRPr="00EE5714">
        <w:rPr>
          <w:rFonts w:ascii="Times New Roman" w:hAnsi="Times New Roman" w:cs="Times New Roman"/>
          <w:sz w:val="26"/>
          <w:szCs w:val="26"/>
        </w:rPr>
        <w:t>5-3</w:t>
      </w:r>
      <w:r w:rsidRPr="00EE5714">
        <w:rPr>
          <w:rFonts w:ascii="Times New Roman" w:hAnsi="Times New Roman" w:cs="Times New Roman"/>
          <w:b/>
          <w:bCs/>
          <w:sz w:val="26"/>
          <w:szCs w:val="26"/>
        </w:rPr>
        <w:t>,</w:t>
      </w:r>
      <w:r w:rsidRPr="00EE5714">
        <w:rPr>
          <w:rFonts w:ascii="Times New Roman" w:hAnsi="Times New Roman" w:cs="Times New Roman"/>
          <w:sz w:val="26"/>
          <w:szCs w:val="26"/>
        </w:rPr>
        <w:t xml:space="preserve"> </w:t>
      </w:r>
      <w:r w:rsidR="00FA2C58" w:rsidRPr="00EE5714">
        <w:rPr>
          <w:rFonts w:ascii="Times New Roman" w:hAnsi="Times New Roman" w:cs="Times New Roman"/>
          <w:sz w:val="26"/>
          <w:szCs w:val="26"/>
        </w:rPr>
        <w:t>above</w:t>
      </w:r>
      <w:r w:rsidRPr="00EE5714">
        <w:rPr>
          <w:rFonts w:ascii="Times New Roman" w:hAnsi="Times New Roman" w:cs="Times New Roman"/>
          <w:sz w:val="26"/>
          <w:szCs w:val="26"/>
        </w:rPr>
        <w:t xml:space="preserve">, UGI Gas and UGI PNG CAP </w:t>
      </w:r>
      <w:r w:rsidR="00FA2C58" w:rsidRPr="00EE5714">
        <w:rPr>
          <w:rFonts w:ascii="Times New Roman" w:hAnsi="Times New Roman" w:cs="Times New Roman"/>
          <w:sz w:val="26"/>
          <w:szCs w:val="26"/>
        </w:rPr>
        <w:t xml:space="preserve">reported that their </w:t>
      </w:r>
      <w:r w:rsidRPr="00EE5714">
        <w:rPr>
          <w:rFonts w:ascii="Times New Roman" w:hAnsi="Times New Roman" w:cs="Times New Roman"/>
          <w:sz w:val="26"/>
          <w:szCs w:val="26"/>
        </w:rPr>
        <w:t xml:space="preserve">customers </w:t>
      </w:r>
      <w:r w:rsidR="003D2199" w:rsidRPr="00EE5714">
        <w:rPr>
          <w:rFonts w:ascii="Times New Roman" w:hAnsi="Times New Roman" w:cs="Times New Roman"/>
          <w:sz w:val="26"/>
          <w:szCs w:val="26"/>
        </w:rPr>
        <w:t>carried</w:t>
      </w:r>
      <w:r w:rsidRPr="00EE5714">
        <w:rPr>
          <w:rFonts w:ascii="Times New Roman" w:hAnsi="Times New Roman" w:cs="Times New Roman"/>
          <w:sz w:val="26"/>
          <w:szCs w:val="26"/>
        </w:rPr>
        <w:t xml:space="preserve"> average in-program arrears exceeding $100 during the years 2012</w:t>
      </w:r>
      <w:r w:rsidR="00352A3D" w:rsidRPr="00EE5714">
        <w:rPr>
          <w:rFonts w:ascii="Times New Roman" w:hAnsi="Times New Roman" w:cs="Times New Roman"/>
          <w:sz w:val="26"/>
          <w:szCs w:val="26"/>
        </w:rPr>
        <w:t xml:space="preserve"> to </w:t>
      </w:r>
      <w:r w:rsidRPr="00EE5714">
        <w:rPr>
          <w:rFonts w:ascii="Times New Roman" w:hAnsi="Times New Roman" w:cs="Times New Roman"/>
          <w:sz w:val="26"/>
          <w:szCs w:val="26"/>
        </w:rPr>
        <w:lastRenderedPageBreak/>
        <w:t xml:space="preserve">2016.  Based on the differences between these data points and that UGI Gas and UGI PNG’s percentage of CAP bills paid is much higher than any other NGDC, there may be </w:t>
      </w:r>
      <w:r w:rsidR="009C0FFF" w:rsidRPr="00EE5714">
        <w:rPr>
          <w:rFonts w:ascii="Times New Roman" w:hAnsi="Times New Roman" w:cs="Times New Roman"/>
          <w:sz w:val="26"/>
          <w:szCs w:val="26"/>
        </w:rPr>
        <w:t>inconsistencies</w:t>
      </w:r>
      <w:r w:rsidRPr="00EE5714">
        <w:rPr>
          <w:rFonts w:ascii="Times New Roman" w:hAnsi="Times New Roman" w:cs="Times New Roman"/>
          <w:sz w:val="26"/>
          <w:szCs w:val="26"/>
        </w:rPr>
        <w:t xml:space="preserve"> in how these </w:t>
      </w:r>
      <w:r w:rsidR="00935597" w:rsidRPr="00EE5714">
        <w:rPr>
          <w:rFonts w:ascii="Times New Roman" w:hAnsi="Times New Roman" w:cs="Times New Roman"/>
          <w:sz w:val="26"/>
          <w:szCs w:val="26"/>
        </w:rPr>
        <w:t>utilities</w:t>
      </w:r>
      <w:r w:rsidRPr="00EE5714">
        <w:rPr>
          <w:rFonts w:ascii="Times New Roman" w:hAnsi="Times New Roman" w:cs="Times New Roman"/>
          <w:sz w:val="26"/>
          <w:szCs w:val="26"/>
        </w:rPr>
        <w:t xml:space="preserve"> track the number of bills </w:t>
      </w:r>
      <w:r w:rsidR="00923EA8" w:rsidRPr="00EE5714">
        <w:rPr>
          <w:rFonts w:ascii="Times New Roman" w:hAnsi="Times New Roman" w:cs="Times New Roman"/>
          <w:sz w:val="26"/>
          <w:szCs w:val="26"/>
        </w:rPr>
        <w:t>issued</w:t>
      </w:r>
      <w:r w:rsidRPr="00EE5714">
        <w:rPr>
          <w:rFonts w:ascii="Times New Roman" w:hAnsi="Times New Roman" w:cs="Times New Roman"/>
          <w:sz w:val="26"/>
          <w:szCs w:val="26"/>
        </w:rPr>
        <w:t xml:space="preserve"> and the amount paid by CAP customers.</w:t>
      </w:r>
    </w:p>
    <w:p w14:paraId="5BCE242B" w14:textId="77777777" w:rsidR="00F6307A" w:rsidRPr="00EE5714" w:rsidRDefault="00F6307A" w:rsidP="00D60D87">
      <w:pPr>
        <w:spacing w:after="0" w:line="240" w:lineRule="auto"/>
        <w:ind w:firstLine="720"/>
        <w:rPr>
          <w:rFonts w:ascii="Times New Roman" w:hAnsi="Times New Roman" w:cs="Times New Roman"/>
          <w:sz w:val="26"/>
          <w:szCs w:val="26"/>
        </w:rPr>
      </w:pPr>
    </w:p>
    <w:p w14:paraId="0E4E654F" w14:textId="77777777" w:rsidR="00BB4D13" w:rsidRPr="00EE5714" w:rsidRDefault="00BB4D13" w:rsidP="00BB4D13">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Table 6-2</w:t>
      </w:r>
    </w:p>
    <w:p w14:paraId="70913973" w14:textId="77777777" w:rsidR="00BB4D13" w:rsidRPr="00EE5714" w:rsidRDefault="00BB4D13" w:rsidP="00BB4D13">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Percentage of NGDC CAP Bills Paid In-Full</w:t>
      </w:r>
    </w:p>
    <w:p w14:paraId="0E55E1FF" w14:textId="77777777" w:rsidR="00BB4D13" w:rsidRPr="00EE5714" w:rsidRDefault="00BB4D13" w:rsidP="00BB4D13">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0-50% FPIG</w:t>
      </w:r>
    </w:p>
    <w:p w14:paraId="0FCBB8CC" w14:textId="77777777" w:rsidR="00BB4D13" w:rsidRPr="00EE5714" w:rsidRDefault="00BB4D13" w:rsidP="00BB4D13">
      <w:pPr>
        <w:spacing w:after="0" w:line="240" w:lineRule="auto"/>
        <w:jc w:val="center"/>
        <w:rPr>
          <w:rFonts w:ascii="Times New Roman" w:eastAsiaTheme="minorEastAsia" w:hAnsi="Times New Roman" w:cs="Times New Roman"/>
          <w:b/>
          <w:sz w:val="26"/>
          <w:szCs w:val="26"/>
        </w:rPr>
      </w:pPr>
      <w:r w:rsidRPr="00EE5714">
        <w:rPr>
          <w:noProof/>
        </w:rPr>
        <w:drawing>
          <wp:inline distT="0" distB="0" distL="0" distR="0" wp14:anchorId="523A3124" wp14:editId="1D7C1E34">
            <wp:extent cx="5791200" cy="3471545"/>
            <wp:effectExtent l="0" t="0" r="0" b="14605"/>
            <wp:docPr id="51" name="Chart 51">
              <a:extLst xmlns:a="http://schemas.openxmlformats.org/drawingml/2006/main">
                <a:ext uri="{FF2B5EF4-FFF2-40B4-BE49-F238E27FC236}">
                  <a16:creationId xmlns:a16="http://schemas.microsoft.com/office/drawing/2014/main" id="{D483317A-D80F-4937-BE92-0CC9C8E29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543B6D" w14:textId="77777777" w:rsidR="00C0314E" w:rsidRPr="00EE5714" w:rsidRDefault="00C0314E" w:rsidP="00D60D87">
      <w:pPr>
        <w:spacing w:line="240" w:lineRule="auto"/>
        <w:ind w:firstLine="720"/>
        <w:rPr>
          <w:rFonts w:ascii="Times New Roman" w:hAnsi="Times New Roman" w:cs="Times New Roman"/>
          <w:sz w:val="26"/>
          <w:szCs w:val="26"/>
        </w:rPr>
      </w:pPr>
    </w:p>
    <w:p w14:paraId="157D36B0" w14:textId="716A43C7" w:rsidR="00D60D87" w:rsidRPr="00EE5714" w:rsidRDefault="00D21AC5" w:rsidP="00D60D87">
      <w:pPr>
        <w:spacing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S</w:t>
      </w:r>
      <w:r w:rsidR="00D60D87" w:rsidRPr="00EE5714">
        <w:rPr>
          <w:rFonts w:ascii="Times New Roman" w:hAnsi="Times New Roman" w:cs="Times New Roman"/>
          <w:sz w:val="26"/>
          <w:szCs w:val="26"/>
        </w:rPr>
        <w:t>taff also note</w:t>
      </w:r>
      <w:r w:rsidR="00566A40" w:rsidRPr="00EE5714">
        <w:rPr>
          <w:rFonts w:ascii="Times New Roman" w:hAnsi="Times New Roman" w:cs="Times New Roman"/>
          <w:sz w:val="26"/>
          <w:szCs w:val="26"/>
        </w:rPr>
        <w:t>s</w:t>
      </w:r>
      <w:r w:rsidR="00D60D87" w:rsidRPr="00EE5714">
        <w:rPr>
          <w:rFonts w:ascii="Times New Roman" w:hAnsi="Times New Roman" w:cs="Times New Roman"/>
          <w:sz w:val="26"/>
          <w:szCs w:val="26"/>
        </w:rPr>
        <w:t xml:space="preserve"> the differences in the percentage of bills paid by Peoples and Peoples Equitable CAP customers.  Peoples and Peoples Equitable have maintained the same CAP requirements since at least 2015, including charging CAP customers 8%</w:t>
      </w:r>
      <w:r w:rsidRPr="00EE5714">
        <w:rPr>
          <w:rFonts w:ascii="Times New Roman" w:hAnsi="Times New Roman" w:cs="Times New Roman"/>
          <w:sz w:val="26"/>
          <w:szCs w:val="26"/>
        </w:rPr>
        <w:t> </w:t>
      </w:r>
      <w:r w:rsidR="00D60D87" w:rsidRPr="00EE5714">
        <w:rPr>
          <w:rFonts w:ascii="Times New Roman" w:hAnsi="Times New Roman" w:cs="Times New Roman"/>
          <w:sz w:val="26"/>
          <w:szCs w:val="26"/>
        </w:rPr>
        <w:t>to</w:t>
      </w:r>
      <w:r w:rsidRPr="00EE5714">
        <w:rPr>
          <w:rFonts w:ascii="Times New Roman" w:hAnsi="Times New Roman" w:cs="Times New Roman"/>
          <w:sz w:val="26"/>
          <w:szCs w:val="26"/>
        </w:rPr>
        <w:t> </w:t>
      </w:r>
      <w:r w:rsidR="00D60D87" w:rsidRPr="00EE5714">
        <w:rPr>
          <w:rFonts w:ascii="Times New Roman" w:hAnsi="Times New Roman" w:cs="Times New Roman"/>
          <w:sz w:val="26"/>
          <w:szCs w:val="26"/>
        </w:rPr>
        <w:t>10% of their income or budget billing, whichever is less.  Despite these commonalities, the two utilities reported different CAP customer payment behaviors.  For example, while Peoples provided information that indicates that 57</w:t>
      </w:r>
      <w:r w:rsidR="00D571CA" w:rsidRPr="00EE5714">
        <w:rPr>
          <w:rFonts w:ascii="Times New Roman" w:hAnsi="Times New Roman" w:cs="Times New Roman"/>
          <w:sz w:val="26"/>
          <w:szCs w:val="26"/>
        </w:rPr>
        <w:t xml:space="preserve"> to </w:t>
      </w:r>
      <w:r w:rsidR="00D60D87" w:rsidRPr="00EE5714">
        <w:rPr>
          <w:rFonts w:ascii="Times New Roman" w:hAnsi="Times New Roman" w:cs="Times New Roman"/>
          <w:sz w:val="26"/>
          <w:szCs w:val="26"/>
        </w:rPr>
        <w:t>71% of CAP bills were paid in-full during 2012-2016, Peoples Equitable reported that 69</w:t>
      </w:r>
      <w:r w:rsidR="00D571CA" w:rsidRPr="00EE5714">
        <w:rPr>
          <w:rFonts w:ascii="Times New Roman" w:hAnsi="Times New Roman" w:cs="Times New Roman"/>
          <w:sz w:val="26"/>
          <w:szCs w:val="26"/>
        </w:rPr>
        <w:t xml:space="preserve"> to </w:t>
      </w:r>
      <w:r w:rsidR="00D60D87" w:rsidRPr="00EE5714">
        <w:rPr>
          <w:rFonts w:ascii="Times New Roman" w:hAnsi="Times New Roman" w:cs="Times New Roman"/>
          <w:sz w:val="26"/>
          <w:szCs w:val="26"/>
        </w:rPr>
        <w:t xml:space="preserve">75% of CAP bills were paid in-full during the same time period.  The differences between the </w:t>
      </w:r>
      <w:r w:rsidR="00326C05" w:rsidRPr="00EE5714">
        <w:rPr>
          <w:rFonts w:ascii="Times New Roman" w:hAnsi="Times New Roman" w:cs="Times New Roman"/>
          <w:sz w:val="26"/>
          <w:szCs w:val="26"/>
        </w:rPr>
        <w:t>utilities</w:t>
      </w:r>
      <w:r w:rsidR="00D60D87" w:rsidRPr="00EE5714">
        <w:rPr>
          <w:rFonts w:ascii="Times New Roman" w:hAnsi="Times New Roman" w:cs="Times New Roman"/>
          <w:sz w:val="26"/>
          <w:szCs w:val="26"/>
        </w:rPr>
        <w:t xml:space="preserve"> are particularly noteworthy when one examines and compares their </w:t>
      </w:r>
      <w:r w:rsidR="00EA4AE2" w:rsidRPr="00EE5714">
        <w:rPr>
          <w:rFonts w:ascii="Times New Roman" w:hAnsi="Times New Roman" w:cs="Times New Roman"/>
          <w:sz w:val="26"/>
          <w:szCs w:val="26"/>
        </w:rPr>
        <w:t xml:space="preserve">respective </w:t>
      </w:r>
      <w:r w:rsidR="00D60D87" w:rsidRPr="00EE5714">
        <w:rPr>
          <w:rFonts w:ascii="Times New Roman" w:hAnsi="Times New Roman" w:cs="Times New Roman"/>
          <w:sz w:val="26"/>
          <w:szCs w:val="26"/>
        </w:rPr>
        <w:t xml:space="preserve">data for CAP customers at or below the </w:t>
      </w:r>
      <w:r w:rsidR="003202C1" w:rsidRPr="00EE5714">
        <w:rPr>
          <w:rFonts w:ascii="Times New Roman" w:hAnsi="Times New Roman" w:cs="Times New Roman"/>
          <w:sz w:val="26"/>
          <w:szCs w:val="26"/>
        </w:rPr>
        <w:t xml:space="preserve">0 to </w:t>
      </w:r>
      <w:r w:rsidR="00D60D87" w:rsidRPr="00EE5714">
        <w:rPr>
          <w:rFonts w:ascii="Times New Roman" w:hAnsi="Times New Roman" w:cs="Times New Roman"/>
          <w:sz w:val="26"/>
          <w:szCs w:val="26"/>
        </w:rPr>
        <w:t xml:space="preserve">50% FPIG level.  </w:t>
      </w:r>
      <w:r w:rsidR="00D60D87" w:rsidRPr="00EE5714" w:rsidDel="009D2452">
        <w:rPr>
          <w:rFonts w:ascii="Times New Roman" w:hAnsi="Times New Roman" w:cs="Times New Roman"/>
          <w:i/>
          <w:iCs/>
          <w:sz w:val="26"/>
          <w:szCs w:val="26"/>
        </w:rPr>
        <w:t>See</w:t>
      </w:r>
      <w:r w:rsidR="00D60D87" w:rsidRPr="00EE5714">
        <w:rPr>
          <w:rFonts w:ascii="Times New Roman" w:hAnsi="Times New Roman" w:cs="Times New Roman"/>
          <w:sz w:val="26"/>
          <w:szCs w:val="26"/>
        </w:rPr>
        <w:t xml:space="preserve"> Table </w:t>
      </w:r>
      <w:r w:rsidR="003D2199" w:rsidRPr="00EE5714">
        <w:rPr>
          <w:rFonts w:ascii="Times New Roman" w:hAnsi="Times New Roman" w:cs="Times New Roman"/>
          <w:sz w:val="26"/>
          <w:szCs w:val="26"/>
        </w:rPr>
        <w:t>6-2</w:t>
      </w:r>
      <w:r w:rsidR="00D60D87" w:rsidRPr="00EE5714">
        <w:rPr>
          <w:rFonts w:ascii="Times New Roman" w:hAnsi="Times New Roman" w:cs="Times New Roman"/>
          <w:sz w:val="26"/>
          <w:szCs w:val="26"/>
        </w:rPr>
        <w:t>.  While Peoples Equitable reported that 65</w:t>
      </w:r>
      <w:r w:rsidR="00EA4AE2" w:rsidRPr="00EE5714">
        <w:rPr>
          <w:rFonts w:ascii="Times New Roman" w:hAnsi="Times New Roman" w:cs="Times New Roman"/>
          <w:sz w:val="26"/>
          <w:szCs w:val="26"/>
        </w:rPr>
        <w:t xml:space="preserve"> to </w:t>
      </w:r>
      <w:r w:rsidR="00D60D87" w:rsidRPr="00EE5714">
        <w:rPr>
          <w:rFonts w:ascii="Times New Roman" w:hAnsi="Times New Roman" w:cs="Times New Roman"/>
          <w:sz w:val="26"/>
          <w:szCs w:val="26"/>
        </w:rPr>
        <w:t xml:space="preserve">76% of CAP bills for customers at the </w:t>
      </w:r>
      <w:r w:rsidR="003202C1" w:rsidRPr="00EE5714">
        <w:rPr>
          <w:rFonts w:ascii="Times New Roman" w:hAnsi="Times New Roman" w:cs="Times New Roman"/>
          <w:sz w:val="26"/>
          <w:szCs w:val="26"/>
        </w:rPr>
        <w:t xml:space="preserve">0 to </w:t>
      </w:r>
      <w:r w:rsidR="00D60D87" w:rsidRPr="00EE5714">
        <w:rPr>
          <w:rFonts w:ascii="Times New Roman" w:hAnsi="Times New Roman" w:cs="Times New Roman"/>
          <w:sz w:val="26"/>
          <w:szCs w:val="26"/>
        </w:rPr>
        <w:t>50% FPIG level were paid in-full during 2012-2016, Peoples reported that only 33</w:t>
      </w:r>
      <w:r w:rsidR="00D571CA" w:rsidRPr="00EE5714">
        <w:rPr>
          <w:rFonts w:ascii="Times New Roman" w:hAnsi="Times New Roman" w:cs="Times New Roman"/>
          <w:sz w:val="26"/>
          <w:szCs w:val="26"/>
        </w:rPr>
        <w:t xml:space="preserve"> to </w:t>
      </w:r>
      <w:r w:rsidR="00D60D87" w:rsidRPr="00EE5714">
        <w:rPr>
          <w:rFonts w:ascii="Times New Roman" w:hAnsi="Times New Roman" w:cs="Times New Roman"/>
          <w:sz w:val="26"/>
          <w:szCs w:val="26"/>
        </w:rPr>
        <w:t xml:space="preserve">47% of its CAP bills at this income level were paid in-full.  </w:t>
      </w:r>
      <w:r w:rsidR="00DC5F69" w:rsidRPr="00EE5714">
        <w:rPr>
          <w:rFonts w:ascii="Times New Roman" w:hAnsi="Times New Roman" w:cs="Times New Roman"/>
          <w:sz w:val="26"/>
          <w:szCs w:val="26"/>
        </w:rPr>
        <w:t>T</w:t>
      </w:r>
      <w:r w:rsidR="00D60D87" w:rsidRPr="00EE5714">
        <w:rPr>
          <w:rFonts w:ascii="Times New Roman" w:hAnsi="Times New Roman" w:cs="Times New Roman"/>
          <w:sz w:val="26"/>
          <w:szCs w:val="26"/>
        </w:rPr>
        <w:t xml:space="preserve">hese variances between Peoples and Peoples Equitable may merit additional evaluation.    </w:t>
      </w:r>
    </w:p>
    <w:p w14:paraId="7FA7C9D6" w14:textId="77777777" w:rsidR="00D60D87" w:rsidRPr="00EE5714" w:rsidRDefault="00D60D87" w:rsidP="00D60D87">
      <w:pPr>
        <w:spacing w:after="0" w:line="360" w:lineRule="auto"/>
        <w:rPr>
          <w:rFonts w:ascii="Times New Roman" w:eastAsiaTheme="minorEastAsia" w:hAnsi="Times New Roman" w:cs="Times New Roman"/>
          <w:sz w:val="26"/>
          <w:szCs w:val="26"/>
        </w:rPr>
      </w:pPr>
    </w:p>
    <w:p w14:paraId="62F71705" w14:textId="77777777" w:rsidR="00D60D87" w:rsidRPr="00EE5714" w:rsidRDefault="00D60D87" w:rsidP="0067627B">
      <w:pPr>
        <w:keepNext/>
        <w:spacing w:after="0" w:line="240" w:lineRule="auto"/>
        <w:rPr>
          <w:rFonts w:ascii="Times New Roman" w:eastAsiaTheme="minorEastAsia" w:hAnsi="Times New Roman" w:cs="Times New Roman"/>
          <w:i/>
          <w:iCs/>
          <w:sz w:val="26"/>
          <w:szCs w:val="26"/>
        </w:rPr>
      </w:pPr>
      <w:r w:rsidRPr="00EE5714">
        <w:rPr>
          <w:rFonts w:ascii="Times New Roman" w:eastAsiaTheme="minorEastAsia" w:hAnsi="Times New Roman" w:cs="Times New Roman"/>
          <w:i/>
          <w:iCs/>
          <w:sz w:val="26"/>
          <w:szCs w:val="26"/>
        </w:rPr>
        <w:lastRenderedPageBreak/>
        <w:t xml:space="preserve">EDC </w:t>
      </w:r>
      <w:r w:rsidR="003202C1" w:rsidRPr="00EE5714">
        <w:rPr>
          <w:rFonts w:ascii="Times New Roman" w:eastAsiaTheme="minorEastAsia" w:hAnsi="Times New Roman" w:cs="Times New Roman"/>
          <w:i/>
          <w:iCs/>
          <w:sz w:val="26"/>
          <w:szCs w:val="26"/>
        </w:rPr>
        <w:t xml:space="preserve">Percent of </w:t>
      </w:r>
      <w:r w:rsidR="00C907E9" w:rsidRPr="00EE5714">
        <w:rPr>
          <w:rFonts w:ascii="Times New Roman" w:eastAsiaTheme="minorEastAsia" w:hAnsi="Times New Roman" w:cs="Times New Roman"/>
          <w:i/>
          <w:iCs/>
          <w:sz w:val="26"/>
          <w:szCs w:val="26"/>
        </w:rPr>
        <w:t>CAP Bills Paid</w:t>
      </w:r>
    </w:p>
    <w:p w14:paraId="3C3AF375" w14:textId="77777777" w:rsidR="00D60D87" w:rsidRPr="00EE5714" w:rsidRDefault="00D60D87" w:rsidP="00EA4AE2">
      <w:pPr>
        <w:keepNext/>
        <w:spacing w:after="0" w:line="240" w:lineRule="auto"/>
        <w:rPr>
          <w:rFonts w:eastAsiaTheme="minorEastAsia"/>
        </w:rPr>
      </w:pPr>
    </w:p>
    <w:p w14:paraId="3C9AA4C6" w14:textId="77777777" w:rsidR="006F30A1" w:rsidRPr="00EE5714" w:rsidRDefault="006F30A1" w:rsidP="006F30A1">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Table 6-3</w:t>
      </w:r>
    </w:p>
    <w:p w14:paraId="13B00E88" w14:textId="77777777" w:rsidR="006F30A1" w:rsidRPr="00EE5714" w:rsidRDefault="006F30A1" w:rsidP="006F30A1">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 xml:space="preserve">Percentage of EDC CAP Bills Paid In-Full </w:t>
      </w:r>
    </w:p>
    <w:p w14:paraId="642A3FA3" w14:textId="77777777" w:rsidR="006F30A1" w:rsidRPr="00EE5714" w:rsidRDefault="006F30A1" w:rsidP="006F30A1">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(Electric Heating and Non-Heating Accounts)</w:t>
      </w:r>
    </w:p>
    <w:p w14:paraId="43D82DF3" w14:textId="77777777" w:rsidR="006F30A1" w:rsidRPr="00EE5714" w:rsidRDefault="006F30A1" w:rsidP="006F30A1">
      <w:pPr>
        <w:spacing w:after="0" w:line="240" w:lineRule="auto"/>
        <w:jc w:val="center"/>
        <w:rPr>
          <w:rFonts w:ascii="Times New Roman" w:eastAsiaTheme="minorEastAsia" w:hAnsi="Times New Roman" w:cs="Times New Roman"/>
          <w:b/>
          <w:sz w:val="26"/>
          <w:szCs w:val="26"/>
        </w:rPr>
      </w:pPr>
      <w:r w:rsidRPr="00EE5714">
        <w:rPr>
          <w:noProof/>
        </w:rPr>
        <w:drawing>
          <wp:inline distT="0" distB="0" distL="0" distR="0" wp14:anchorId="3D9F687D" wp14:editId="277854B6">
            <wp:extent cx="5810250" cy="3028950"/>
            <wp:effectExtent l="0" t="0" r="0" b="0"/>
            <wp:docPr id="55" name="Chart 55">
              <a:extLst xmlns:a="http://schemas.openxmlformats.org/drawingml/2006/main">
                <a:ext uri="{FF2B5EF4-FFF2-40B4-BE49-F238E27FC236}">
                  <a16:creationId xmlns:a16="http://schemas.microsoft.com/office/drawing/2014/main" id="{E8E73C00-0D8E-45E0-B074-9823BA0F2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767A608" w14:textId="77777777" w:rsidR="006F30A1" w:rsidRPr="00EE5714" w:rsidRDefault="006F30A1" w:rsidP="006F30A1">
      <w:pPr>
        <w:spacing w:after="0" w:line="240" w:lineRule="auto"/>
        <w:rPr>
          <w:rFonts w:ascii="Times New Roman" w:eastAsiaTheme="minorEastAsia" w:hAnsi="Times New Roman" w:cs="Times New Roman"/>
          <w:sz w:val="26"/>
          <w:szCs w:val="26"/>
        </w:rPr>
      </w:pPr>
    </w:p>
    <w:p w14:paraId="3E596A2E" w14:textId="1565092F" w:rsidR="00D60D87" w:rsidRPr="00EE5714" w:rsidRDefault="00D60D87" w:rsidP="0067627B">
      <w:pPr>
        <w:spacing w:after="0" w:line="240" w:lineRule="auto"/>
        <w:ind w:firstLine="720"/>
        <w:rPr>
          <w:rFonts w:ascii="Times New Roman" w:eastAsiaTheme="minorEastAsia" w:hAnsi="Times New Roman" w:cs="Times New Roman"/>
          <w:sz w:val="26"/>
          <w:szCs w:val="26"/>
        </w:rPr>
      </w:pPr>
      <w:r w:rsidRPr="00EE5714">
        <w:rPr>
          <w:rFonts w:ascii="Times New Roman" w:eastAsiaTheme="minorEastAsia" w:hAnsi="Times New Roman" w:cs="Times New Roman"/>
          <w:sz w:val="26"/>
          <w:szCs w:val="26"/>
        </w:rPr>
        <w:t xml:space="preserve">The information displayed in Table </w:t>
      </w:r>
      <w:r w:rsidR="003D2199" w:rsidRPr="00EE5714">
        <w:rPr>
          <w:rFonts w:ascii="Times New Roman" w:eastAsiaTheme="minorEastAsia" w:hAnsi="Times New Roman" w:cs="Times New Roman"/>
          <w:sz w:val="26"/>
          <w:szCs w:val="26"/>
        </w:rPr>
        <w:t>6-3</w:t>
      </w:r>
      <w:r w:rsidRPr="00EE5714">
        <w:rPr>
          <w:rFonts w:ascii="Times New Roman" w:eastAsiaTheme="minorEastAsia" w:hAnsi="Times New Roman" w:cs="Times New Roman"/>
          <w:sz w:val="26"/>
          <w:szCs w:val="26"/>
        </w:rPr>
        <w:t xml:space="preserve"> includes 2012</w:t>
      </w:r>
      <w:r w:rsidR="006319BE" w:rsidRPr="00EE5714">
        <w:rPr>
          <w:rFonts w:ascii="Times New Roman" w:eastAsiaTheme="minorEastAsia" w:hAnsi="Times New Roman" w:cs="Times New Roman"/>
          <w:sz w:val="26"/>
          <w:szCs w:val="26"/>
        </w:rPr>
        <w:t>-</w:t>
      </w:r>
      <w:r w:rsidRPr="00EE5714">
        <w:rPr>
          <w:rFonts w:ascii="Times New Roman" w:eastAsiaTheme="minorEastAsia" w:hAnsi="Times New Roman" w:cs="Times New Roman"/>
          <w:sz w:val="26"/>
          <w:szCs w:val="26"/>
        </w:rPr>
        <w:t>2016 EDC CAP customer billing data aggregated from all FPIG levels, as well as by account status, including electric heating and electric non</w:t>
      </w:r>
      <w:r w:rsidR="00936D8E" w:rsidRPr="00EE5714">
        <w:rPr>
          <w:rFonts w:ascii="Times New Roman" w:eastAsiaTheme="minorEastAsia" w:hAnsi="Times New Roman" w:cs="Times New Roman"/>
          <w:sz w:val="26"/>
          <w:szCs w:val="26"/>
        </w:rPr>
        <w:t>-</w:t>
      </w:r>
      <w:r w:rsidRPr="00EE5714">
        <w:rPr>
          <w:rFonts w:ascii="Times New Roman" w:eastAsiaTheme="minorEastAsia" w:hAnsi="Times New Roman" w:cs="Times New Roman"/>
          <w:sz w:val="26"/>
          <w:szCs w:val="26"/>
        </w:rPr>
        <w:t xml:space="preserve">heating accounts.  Notable </w:t>
      </w:r>
      <w:r w:rsidR="00CF3187" w:rsidRPr="00EE5714">
        <w:rPr>
          <w:rFonts w:ascii="Times New Roman" w:eastAsiaTheme="minorEastAsia" w:hAnsi="Times New Roman" w:cs="Times New Roman"/>
          <w:sz w:val="26"/>
          <w:szCs w:val="26"/>
        </w:rPr>
        <w:t>in</w:t>
      </w:r>
      <w:r w:rsidRPr="00EE5714">
        <w:rPr>
          <w:rFonts w:ascii="Times New Roman" w:eastAsiaTheme="minorEastAsia" w:hAnsi="Times New Roman" w:cs="Times New Roman"/>
          <w:sz w:val="26"/>
          <w:szCs w:val="26"/>
        </w:rPr>
        <w:t xml:space="preserve"> this data is the information submitted by Duquesne, which indicates a dramatic decrease in the number of CAP customer bills paid in-full.  From a high of nearly 80% in 2012 and 2013, the utility reported that only 40% of CAP customers’ bills were paid in</w:t>
      </w:r>
      <w:r w:rsidR="00A9251E" w:rsidRPr="00EE5714">
        <w:rPr>
          <w:rFonts w:ascii="Times New Roman" w:eastAsiaTheme="minorEastAsia" w:hAnsi="Times New Roman" w:cs="Times New Roman"/>
          <w:sz w:val="26"/>
          <w:szCs w:val="26"/>
        </w:rPr>
        <w:t xml:space="preserve"> </w:t>
      </w:r>
      <w:r w:rsidRPr="00EE5714">
        <w:rPr>
          <w:rFonts w:ascii="Times New Roman" w:eastAsiaTheme="minorEastAsia" w:hAnsi="Times New Roman" w:cs="Times New Roman"/>
          <w:sz w:val="26"/>
          <w:szCs w:val="26"/>
        </w:rPr>
        <w:t xml:space="preserve">full in 2016.  </w:t>
      </w:r>
      <w:bookmarkStart w:id="32" w:name="_Hlk525043736"/>
      <w:r w:rsidRPr="00EE5714">
        <w:rPr>
          <w:rFonts w:ascii="Times New Roman" w:eastAsiaTheme="minorEastAsia" w:hAnsi="Times New Roman" w:cs="Times New Roman"/>
          <w:sz w:val="26"/>
          <w:szCs w:val="26"/>
        </w:rPr>
        <w:t xml:space="preserve">While this </w:t>
      </w:r>
      <w:r w:rsidR="00672C81" w:rsidRPr="00EE5714">
        <w:rPr>
          <w:rFonts w:ascii="Times New Roman" w:eastAsiaTheme="minorEastAsia" w:hAnsi="Times New Roman" w:cs="Times New Roman"/>
          <w:sz w:val="26"/>
          <w:szCs w:val="26"/>
        </w:rPr>
        <w:t xml:space="preserve">seemingly </w:t>
      </w:r>
      <w:r w:rsidRPr="00EE5714">
        <w:rPr>
          <w:rFonts w:ascii="Times New Roman" w:eastAsiaTheme="minorEastAsia" w:hAnsi="Times New Roman" w:cs="Times New Roman"/>
          <w:sz w:val="26"/>
          <w:szCs w:val="26"/>
        </w:rPr>
        <w:t xml:space="preserve">substantial decrease may be alarming, it is likely attributable to </w:t>
      </w:r>
      <w:r w:rsidR="00672C81" w:rsidRPr="00EE5714">
        <w:rPr>
          <w:rFonts w:ascii="Times New Roman" w:eastAsiaTheme="minorEastAsia" w:hAnsi="Times New Roman" w:cs="Times New Roman"/>
          <w:sz w:val="26"/>
          <w:szCs w:val="26"/>
        </w:rPr>
        <w:t xml:space="preserve">the </w:t>
      </w:r>
      <w:r w:rsidRPr="00EE5714">
        <w:rPr>
          <w:rFonts w:ascii="Times New Roman" w:eastAsiaTheme="minorEastAsia" w:hAnsi="Times New Roman" w:cs="Times New Roman"/>
          <w:sz w:val="26"/>
          <w:szCs w:val="26"/>
        </w:rPr>
        <w:t xml:space="preserve">changes </w:t>
      </w:r>
      <w:r w:rsidR="002074C3" w:rsidRPr="00EE5714">
        <w:rPr>
          <w:rFonts w:ascii="Times New Roman" w:eastAsiaTheme="minorEastAsia" w:hAnsi="Times New Roman" w:cs="Times New Roman"/>
          <w:sz w:val="26"/>
          <w:szCs w:val="26"/>
        </w:rPr>
        <w:t xml:space="preserve">that </w:t>
      </w:r>
      <w:r w:rsidRPr="00EE5714">
        <w:rPr>
          <w:rFonts w:ascii="Times New Roman" w:eastAsiaTheme="minorEastAsia" w:hAnsi="Times New Roman" w:cs="Times New Roman"/>
          <w:sz w:val="26"/>
          <w:szCs w:val="26"/>
        </w:rPr>
        <w:t xml:space="preserve">the utility implemented to its billing system in November 2014, resulting in higher monthly CAP bills in 2015 and 2016 due to budget bill corrections.  </w:t>
      </w:r>
      <w:r w:rsidRPr="00EE5714" w:rsidDel="009D2452">
        <w:rPr>
          <w:rFonts w:ascii="Times New Roman" w:eastAsiaTheme="minorEastAsia" w:hAnsi="Times New Roman" w:cs="Times New Roman"/>
          <w:i/>
          <w:iCs/>
          <w:sz w:val="26"/>
          <w:szCs w:val="26"/>
        </w:rPr>
        <w:t>See</w:t>
      </w:r>
      <w:r w:rsidRPr="00EE5714">
        <w:rPr>
          <w:rFonts w:ascii="Times New Roman" w:eastAsiaTheme="minorEastAsia" w:hAnsi="Times New Roman" w:cs="Times New Roman"/>
          <w:sz w:val="26"/>
          <w:szCs w:val="26"/>
        </w:rPr>
        <w:t xml:space="preserve"> </w:t>
      </w:r>
      <w:r w:rsidR="00D12ED1" w:rsidRPr="00EE5714">
        <w:rPr>
          <w:rFonts w:ascii="Times New Roman" w:eastAsiaTheme="minorEastAsia" w:hAnsi="Times New Roman" w:cs="Times New Roman"/>
          <w:sz w:val="26"/>
          <w:szCs w:val="26"/>
        </w:rPr>
        <w:t>Footnote 29</w:t>
      </w:r>
      <w:r w:rsidRPr="00EE5714">
        <w:rPr>
          <w:rFonts w:ascii="Times New Roman" w:eastAsiaTheme="minorEastAsia" w:hAnsi="Times New Roman" w:cs="Times New Roman"/>
          <w:sz w:val="26"/>
          <w:szCs w:val="26"/>
        </w:rPr>
        <w:t>.</w:t>
      </w:r>
    </w:p>
    <w:bookmarkEnd w:id="32"/>
    <w:p w14:paraId="074B486C" w14:textId="77777777" w:rsidR="00D60D87" w:rsidRPr="00EE5714" w:rsidRDefault="00D60D87" w:rsidP="00D60D87">
      <w:pPr>
        <w:spacing w:after="0" w:line="240" w:lineRule="auto"/>
        <w:rPr>
          <w:rFonts w:ascii="Times New Roman" w:eastAsiaTheme="minorEastAsia" w:hAnsi="Times New Roman" w:cs="Times New Roman"/>
          <w:sz w:val="26"/>
          <w:szCs w:val="26"/>
        </w:rPr>
      </w:pPr>
    </w:p>
    <w:p w14:paraId="6E260550" w14:textId="77777777" w:rsidR="00D60D87" w:rsidRPr="00EE5714" w:rsidRDefault="00D60D87" w:rsidP="00522DAC">
      <w:pPr>
        <w:spacing w:after="0" w:line="240" w:lineRule="auto"/>
        <w:ind w:firstLine="720"/>
        <w:rPr>
          <w:rFonts w:ascii="Times New Roman" w:eastAsiaTheme="minorEastAsia" w:hAnsi="Times New Roman" w:cs="Times New Roman"/>
          <w:sz w:val="26"/>
          <w:szCs w:val="26"/>
        </w:rPr>
      </w:pPr>
      <w:r w:rsidRPr="00EE5714">
        <w:rPr>
          <w:rFonts w:ascii="Times New Roman" w:eastAsiaTheme="minorEastAsia" w:hAnsi="Times New Roman" w:cs="Times New Roman"/>
          <w:sz w:val="26"/>
          <w:szCs w:val="26"/>
        </w:rPr>
        <w:t xml:space="preserve">Aside from the information provided by Duquesne, the data in Table </w:t>
      </w:r>
      <w:r w:rsidR="003D2199" w:rsidRPr="00EE5714">
        <w:rPr>
          <w:rFonts w:ascii="Times New Roman" w:eastAsiaTheme="minorEastAsia" w:hAnsi="Times New Roman" w:cs="Times New Roman"/>
          <w:sz w:val="26"/>
          <w:szCs w:val="26"/>
        </w:rPr>
        <w:t>6-3</w:t>
      </w:r>
      <w:r w:rsidRPr="00EE5714">
        <w:rPr>
          <w:rFonts w:ascii="Times New Roman" w:eastAsiaTheme="minorEastAsia" w:hAnsi="Times New Roman" w:cs="Times New Roman"/>
          <w:sz w:val="26"/>
          <w:szCs w:val="26"/>
        </w:rPr>
        <w:t xml:space="preserve"> </w:t>
      </w:r>
      <w:r w:rsidR="00A36D80" w:rsidRPr="00EE5714">
        <w:rPr>
          <w:rFonts w:ascii="Times New Roman" w:eastAsiaTheme="minorEastAsia" w:hAnsi="Times New Roman" w:cs="Times New Roman"/>
          <w:sz w:val="26"/>
          <w:szCs w:val="26"/>
        </w:rPr>
        <w:t xml:space="preserve">nevertheless still </w:t>
      </w:r>
      <w:r w:rsidRPr="00EE5714">
        <w:rPr>
          <w:rFonts w:ascii="Times New Roman" w:eastAsiaTheme="minorEastAsia" w:hAnsi="Times New Roman" w:cs="Times New Roman"/>
          <w:sz w:val="26"/>
          <w:szCs w:val="26"/>
        </w:rPr>
        <w:t xml:space="preserve">shows marked annual and EDC variability, ranging from a low of 40% to a high of 70% of EDC CAP customer bills paid in-full.  </w:t>
      </w:r>
      <w:r w:rsidR="0044481B" w:rsidRPr="00EE5714">
        <w:rPr>
          <w:rFonts w:ascii="Times New Roman" w:eastAsiaTheme="minorEastAsia" w:hAnsi="Times New Roman" w:cs="Times New Roman"/>
          <w:sz w:val="26"/>
          <w:szCs w:val="26"/>
        </w:rPr>
        <w:t xml:space="preserve">PECO and PPL appear to have the least variability over the </w:t>
      </w:r>
      <w:r w:rsidR="009A47BB" w:rsidRPr="00EE5714">
        <w:rPr>
          <w:rFonts w:ascii="Times New Roman" w:eastAsiaTheme="minorEastAsia" w:hAnsi="Times New Roman" w:cs="Times New Roman"/>
          <w:sz w:val="26"/>
          <w:szCs w:val="26"/>
        </w:rPr>
        <w:t xml:space="preserve">same </w:t>
      </w:r>
      <w:r w:rsidR="0044481B" w:rsidRPr="00EE5714">
        <w:rPr>
          <w:rFonts w:ascii="Times New Roman" w:eastAsiaTheme="minorEastAsia" w:hAnsi="Times New Roman" w:cs="Times New Roman"/>
          <w:sz w:val="26"/>
          <w:szCs w:val="26"/>
        </w:rPr>
        <w:t>time frame.</w:t>
      </w:r>
      <w:r w:rsidRPr="00EE5714">
        <w:rPr>
          <w:rFonts w:ascii="Times New Roman" w:eastAsiaTheme="minorEastAsia" w:hAnsi="Times New Roman" w:cs="Times New Roman"/>
          <w:sz w:val="26"/>
          <w:szCs w:val="26"/>
        </w:rPr>
        <w:t xml:space="preserve">  </w:t>
      </w:r>
    </w:p>
    <w:p w14:paraId="43A6C31A" w14:textId="77777777" w:rsidR="00D60D87" w:rsidRPr="00EE5714" w:rsidRDefault="00D60D87" w:rsidP="00D60D87">
      <w:pPr>
        <w:spacing w:after="0" w:line="240" w:lineRule="auto"/>
        <w:rPr>
          <w:rFonts w:ascii="Times New Roman" w:eastAsiaTheme="minorEastAsia" w:hAnsi="Times New Roman" w:cs="Times New Roman"/>
          <w:sz w:val="26"/>
          <w:szCs w:val="26"/>
        </w:rPr>
      </w:pPr>
    </w:p>
    <w:p w14:paraId="6F978BCB" w14:textId="77777777" w:rsidR="00D60D87" w:rsidRPr="00EE5714" w:rsidRDefault="008829F6" w:rsidP="00883972">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lastRenderedPageBreak/>
        <w:t>Table 6-4</w:t>
      </w:r>
    </w:p>
    <w:p w14:paraId="23DAD24D" w14:textId="77777777" w:rsidR="00D60D87" w:rsidRPr="00EE5714" w:rsidRDefault="00D60D87" w:rsidP="00883972">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 xml:space="preserve">Percentage of EDC CAP Bills Paid In-Full </w:t>
      </w:r>
    </w:p>
    <w:p w14:paraId="1CC288A6" w14:textId="77777777" w:rsidR="00D60D87" w:rsidRPr="00EE5714" w:rsidRDefault="00D60D87" w:rsidP="00883972">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(Electric Heating Accounts)</w:t>
      </w:r>
    </w:p>
    <w:p w14:paraId="6E011661" w14:textId="77777777" w:rsidR="00D60D87" w:rsidRPr="00EE5714" w:rsidRDefault="009004D6" w:rsidP="0011475D">
      <w:pPr>
        <w:spacing w:after="0" w:line="240" w:lineRule="auto"/>
        <w:jc w:val="center"/>
        <w:rPr>
          <w:rFonts w:ascii="Times New Roman" w:eastAsiaTheme="minorEastAsia" w:hAnsi="Times New Roman" w:cs="Times New Roman"/>
          <w:b/>
          <w:sz w:val="26"/>
          <w:szCs w:val="26"/>
        </w:rPr>
      </w:pPr>
      <w:r w:rsidRPr="00EE5714">
        <w:rPr>
          <w:noProof/>
        </w:rPr>
        <w:drawing>
          <wp:inline distT="0" distB="0" distL="0" distR="0" wp14:anchorId="4E5680AA" wp14:editId="6792DC96">
            <wp:extent cx="5648325" cy="3305175"/>
            <wp:effectExtent l="0" t="0" r="9525" b="9525"/>
            <wp:docPr id="143" name="Chart 143">
              <a:extLst xmlns:a="http://schemas.openxmlformats.org/drawingml/2006/main">
                <a:ext uri="{FF2B5EF4-FFF2-40B4-BE49-F238E27FC236}">
                  <a16:creationId xmlns:a16="http://schemas.microsoft.com/office/drawing/2014/main" id="{96FA08C1-4B8D-47B8-BD6B-81F09616E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C46B6B" w14:textId="77777777" w:rsidR="00D60D87" w:rsidRPr="00EE5714" w:rsidRDefault="00D60D87" w:rsidP="00D60D87">
      <w:pPr>
        <w:spacing w:after="0" w:line="240" w:lineRule="auto"/>
        <w:rPr>
          <w:rFonts w:ascii="Times New Roman" w:eastAsiaTheme="minorEastAsia" w:hAnsi="Times New Roman" w:cs="Times New Roman"/>
          <w:sz w:val="26"/>
          <w:szCs w:val="26"/>
        </w:rPr>
      </w:pPr>
    </w:p>
    <w:p w14:paraId="1C59BC2B" w14:textId="77777777" w:rsidR="00D60D87" w:rsidRPr="00EE5714" w:rsidRDefault="008829F6" w:rsidP="00883972">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Table 6-5</w:t>
      </w:r>
    </w:p>
    <w:p w14:paraId="39947E5C" w14:textId="77777777" w:rsidR="00D60D87" w:rsidRPr="00EE5714" w:rsidRDefault="00D60D87" w:rsidP="00883972">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Percentage of EDC CAP Bills Paid In-Full</w:t>
      </w:r>
    </w:p>
    <w:p w14:paraId="10C066DE" w14:textId="77777777" w:rsidR="00D60D87" w:rsidRPr="00EE5714" w:rsidRDefault="00D60D87" w:rsidP="00883972">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(Electric Non</w:t>
      </w:r>
      <w:r w:rsidR="00AA3EF6" w:rsidRPr="00EE5714">
        <w:rPr>
          <w:rFonts w:ascii="Times New Roman" w:eastAsiaTheme="minorEastAsia" w:hAnsi="Times New Roman" w:cs="Times New Roman"/>
          <w:b/>
          <w:bCs/>
          <w:sz w:val="26"/>
          <w:szCs w:val="26"/>
        </w:rPr>
        <w:t>-H</w:t>
      </w:r>
      <w:r w:rsidRPr="00EE5714">
        <w:rPr>
          <w:rFonts w:ascii="Times New Roman" w:eastAsiaTheme="minorEastAsia" w:hAnsi="Times New Roman" w:cs="Times New Roman"/>
          <w:b/>
          <w:bCs/>
          <w:sz w:val="26"/>
          <w:szCs w:val="26"/>
        </w:rPr>
        <w:t>eating Accounts)</w:t>
      </w:r>
    </w:p>
    <w:p w14:paraId="40370527" w14:textId="77777777" w:rsidR="00D60D87" w:rsidRPr="00EE5714" w:rsidRDefault="00A42F4F" w:rsidP="0011475D">
      <w:pPr>
        <w:spacing w:after="0" w:line="240" w:lineRule="auto"/>
        <w:jc w:val="center"/>
        <w:rPr>
          <w:rFonts w:ascii="Times New Roman" w:eastAsiaTheme="minorEastAsia" w:hAnsi="Times New Roman" w:cs="Times New Roman"/>
          <w:b/>
          <w:sz w:val="26"/>
          <w:szCs w:val="26"/>
        </w:rPr>
      </w:pPr>
      <w:r w:rsidRPr="00EE5714">
        <w:rPr>
          <w:noProof/>
        </w:rPr>
        <w:drawing>
          <wp:inline distT="0" distB="0" distL="0" distR="0" wp14:anchorId="082556BD" wp14:editId="1B7D47E3">
            <wp:extent cx="5648325" cy="3219450"/>
            <wp:effectExtent l="0" t="0" r="9525" b="0"/>
            <wp:docPr id="156" name="Chart 156">
              <a:extLst xmlns:a="http://schemas.openxmlformats.org/drawingml/2006/main">
                <a:ext uri="{FF2B5EF4-FFF2-40B4-BE49-F238E27FC236}">
                  <a16:creationId xmlns:a16="http://schemas.microsoft.com/office/drawing/2014/main" id="{4695BB85-73D8-4EC2-8D75-E02D4F06F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9CD6CFB" w14:textId="77777777" w:rsidR="00D60D87" w:rsidRPr="00EE5714" w:rsidRDefault="00D60D87" w:rsidP="00B74B64">
      <w:pPr>
        <w:spacing w:after="0" w:line="240" w:lineRule="auto"/>
        <w:jc w:val="center"/>
        <w:rPr>
          <w:rFonts w:ascii="Times New Roman" w:eastAsiaTheme="minorEastAsia" w:hAnsi="Times New Roman" w:cs="Times New Roman"/>
          <w:sz w:val="26"/>
          <w:szCs w:val="26"/>
        </w:rPr>
      </w:pPr>
    </w:p>
    <w:p w14:paraId="78DA9B6B" w14:textId="42AC4BBA" w:rsidR="00A56C6D" w:rsidRPr="00EE5714" w:rsidRDefault="00A56C6D" w:rsidP="00A56C6D">
      <w:pPr>
        <w:spacing w:after="0" w:line="240" w:lineRule="auto"/>
        <w:ind w:firstLine="720"/>
        <w:rPr>
          <w:rFonts w:ascii="Times New Roman" w:eastAsiaTheme="minorEastAsia" w:hAnsi="Times New Roman" w:cs="Times New Roman"/>
          <w:sz w:val="26"/>
          <w:szCs w:val="26"/>
        </w:rPr>
      </w:pPr>
      <w:r w:rsidRPr="00EE5714">
        <w:rPr>
          <w:rFonts w:ascii="Times New Roman" w:eastAsiaTheme="minorEastAsia" w:hAnsi="Times New Roman" w:cs="Times New Roman"/>
          <w:sz w:val="26"/>
          <w:szCs w:val="26"/>
        </w:rPr>
        <w:t xml:space="preserve">In Tables 6-4 and 6-5 </w:t>
      </w:r>
      <w:r w:rsidR="00081598" w:rsidRPr="00EE5714">
        <w:rPr>
          <w:rFonts w:ascii="Times New Roman" w:eastAsiaTheme="minorEastAsia" w:hAnsi="Times New Roman" w:cs="Times New Roman"/>
          <w:sz w:val="26"/>
          <w:szCs w:val="26"/>
        </w:rPr>
        <w:t>above</w:t>
      </w:r>
      <w:r w:rsidRPr="00EE5714">
        <w:rPr>
          <w:rFonts w:ascii="Times New Roman" w:eastAsiaTheme="minorEastAsia" w:hAnsi="Times New Roman" w:cs="Times New Roman"/>
          <w:sz w:val="26"/>
          <w:szCs w:val="26"/>
        </w:rPr>
        <w:t>, the data show some variability between the percentage of CAP electric heating bills paid in-full compared to the percentage of CAP electric non-heating bills paid in-full.  While seemingly negligible, there are differences</w:t>
      </w:r>
      <w:r w:rsidR="00C124E0" w:rsidRPr="00EE5714">
        <w:rPr>
          <w:rFonts w:ascii="Times New Roman" w:eastAsiaTheme="minorEastAsia" w:hAnsi="Times New Roman" w:cs="Times New Roman"/>
          <w:sz w:val="26"/>
          <w:szCs w:val="26"/>
        </w:rPr>
        <w:t>, such as electric heating generally being more expensive than gas heating,</w:t>
      </w:r>
      <w:r w:rsidRPr="00EE5714">
        <w:rPr>
          <w:rFonts w:ascii="Times New Roman" w:eastAsiaTheme="minorEastAsia" w:hAnsi="Times New Roman" w:cs="Times New Roman"/>
          <w:sz w:val="26"/>
          <w:szCs w:val="26"/>
        </w:rPr>
        <w:t xml:space="preserve"> that could indicate why a greater percentage of CAP electric non-heating bills were paid in-full compared to the percentage of CAP electric heating bills.  </w:t>
      </w:r>
      <w:r w:rsidR="00C124E0" w:rsidRPr="00EE5714">
        <w:rPr>
          <w:rFonts w:ascii="Times New Roman" w:eastAsiaTheme="minorEastAsia" w:hAnsi="Times New Roman" w:cs="Times New Roman"/>
          <w:sz w:val="26"/>
          <w:szCs w:val="26"/>
        </w:rPr>
        <w:t>This variability</w:t>
      </w:r>
      <w:r w:rsidRPr="00EE5714">
        <w:rPr>
          <w:rFonts w:ascii="Times New Roman" w:eastAsiaTheme="minorEastAsia" w:hAnsi="Times New Roman" w:cs="Times New Roman"/>
          <w:sz w:val="26"/>
          <w:szCs w:val="26"/>
        </w:rPr>
        <w:t xml:space="preserve"> warrants further scrutiny and examination.  </w:t>
      </w:r>
    </w:p>
    <w:p w14:paraId="75894796" w14:textId="77777777" w:rsidR="00A56C6D" w:rsidRPr="00EE5714" w:rsidRDefault="00A56C6D" w:rsidP="00883972">
      <w:pPr>
        <w:keepNext/>
        <w:spacing w:after="0" w:line="240" w:lineRule="auto"/>
        <w:rPr>
          <w:rFonts w:ascii="Times New Roman" w:eastAsiaTheme="minorEastAsia" w:hAnsi="Times New Roman" w:cs="Times New Roman"/>
          <w:b/>
          <w:bCs/>
          <w:sz w:val="26"/>
          <w:szCs w:val="26"/>
        </w:rPr>
      </w:pPr>
    </w:p>
    <w:p w14:paraId="2E8C3F1A" w14:textId="77777777" w:rsidR="00D60D87" w:rsidRPr="00EE5714" w:rsidRDefault="00D60D87" w:rsidP="00883972">
      <w:pPr>
        <w:keepNext/>
        <w:spacing w:after="0" w:line="240" w:lineRule="auto"/>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CAP Customer Billing Data by FPIG Level</w:t>
      </w:r>
    </w:p>
    <w:p w14:paraId="555D9ACA" w14:textId="77777777" w:rsidR="00D60D87" w:rsidRPr="00EE5714" w:rsidRDefault="00D60D87" w:rsidP="002A79E4">
      <w:pPr>
        <w:keepNext/>
        <w:spacing w:after="0" w:line="240" w:lineRule="auto"/>
        <w:rPr>
          <w:rFonts w:ascii="Times New Roman" w:eastAsiaTheme="minorEastAsia" w:hAnsi="Times New Roman" w:cs="Times New Roman"/>
          <w:sz w:val="26"/>
          <w:szCs w:val="26"/>
        </w:rPr>
      </w:pPr>
    </w:p>
    <w:p w14:paraId="03082921" w14:textId="77777777" w:rsidR="00D60D87" w:rsidRPr="00EE5714" w:rsidRDefault="00D571CA" w:rsidP="00883972">
      <w:pPr>
        <w:spacing w:after="0" w:line="240" w:lineRule="auto"/>
        <w:ind w:firstLine="720"/>
        <w:rPr>
          <w:rFonts w:ascii="Times New Roman" w:eastAsiaTheme="minorEastAsia" w:hAnsi="Times New Roman" w:cs="Times New Roman"/>
          <w:sz w:val="26"/>
          <w:szCs w:val="26"/>
        </w:rPr>
      </w:pPr>
      <w:r w:rsidRPr="00EE5714">
        <w:rPr>
          <w:rFonts w:ascii="Times New Roman" w:eastAsiaTheme="minorEastAsia" w:hAnsi="Times New Roman" w:cs="Times New Roman"/>
          <w:sz w:val="26"/>
          <w:szCs w:val="26"/>
        </w:rPr>
        <w:t>S</w:t>
      </w:r>
      <w:r w:rsidR="00D60D87" w:rsidRPr="00EE5714">
        <w:rPr>
          <w:rFonts w:ascii="Times New Roman" w:eastAsiaTheme="minorEastAsia" w:hAnsi="Times New Roman" w:cs="Times New Roman"/>
          <w:sz w:val="26"/>
          <w:szCs w:val="26"/>
        </w:rPr>
        <w:t xml:space="preserve">taff also examined the percentage of </w:t>
      </w:r>
      <w:proofErr w:type="gramStart"/>
      <w:r w:rsidR="00D60D87" w:rsidRPr="00EE5714">
        <w:rPr>
          <w:rFonts w:ascii="Times New Roman" w:eastAsiaTheme="minorEastAsia" w:hAnsi="Times New Roman" w:cs="Times New Roman"/>
          <w:sz w:val="26"/>
          <w:szCs w:val="26"/>
        </w:rPr>
        <w:t>NGDC</w:t>
      </w:r>
      <w:proofErr w:type="gramEnd"/>
      <w:r w:rsidR="00D60D87" w:rsidRPr="00EE5714">
        <w:rPr>
          <w:rFonts w:ascii="Times New Roman" w:eastAsiaTheme="minorEastAsia" w:hAnsi="Times New Roman" w:cs="Times New Roman"/>
          <w:sz w:val="26"/>
          <w:szCs w:val="26"/>
        </w:rPr>
        <w:t xml:space="preserve"> and EDC CAP customer bills paid at the 0</w:t>
      </w:r>
      <w:r w:rsidR="006B79EC" w:rsidRPr="00EE5714">
        <w:rPr>
          <w:rFonts w:ascii="Times New Roman" w:eastAsiaTheme="minorEastAsia" w:hAnsi="Times New Roman" w:cs="Times New Roman"/>
          <w:sz w:val="26"/>
          <w:szCs w:val="26"/>
        </w:rPr>
        <w:t xml:space="preserve"> to </w:t>
      </w:r>
      <w:r w:rsidR="00D60D87" w:rsidRPr="00EE5714">
        <w:rPr>
          <w:rFonts w:ascii="Times New Roman" w:eastAsiaTheme="minorEastAsia" w:hAnsi="Times New Roman" w:cs="Times New Roman"/>
          <w:sz w:val="26"/>
          <w:szCs w:val="26"/>
        </w:rPr>
        <w:t>50%, 51</w:t>
      </w:r>
      <w:r w:rsidR="00F672B0" w:rsidRPr="00EE5714">
        <w:rPr>
          <w:rFonts w:ascii="Times New Roman" w:eastAsiaTheme="minorEastAsia" w:hAnsi="Times New Roman" w:cs="Times New Roman"/>
          <w:sz w:val="26"/>
          <w:szCs w:val="26"/>
        </w:rPr>
        <w:t xml:space="preserve"> </w:t>
      </w:r>
      <w:r w:rsidR="006B79EC" w:rsidRPr="00EE5714">
        <w:rPr>
          <w:rFonts w:ascii="Times New Roman" w:eastAsiaTheme="minorEastAsia" w:hAnsi="Times New Roman" w:cs="Times New Roman"/>
          <w:sz w:val="26"/>
          <w:szCs w:val="26"/>
        </w:rPr>
        <w:t xml:space="preserve">to </w:t>
      </w:r>
      <w:r w:rsidR="00D60D87" w:rsidRPr="00EE5714">
        <w:rPr>
          <w:rFonts w:ascii="Times New Roman" w:eastAsiaTheme="minorEastAsia" w:hAnsi="Times New Roman" w:cs="Times New Roman"/>
          <w:sz w:val="26"/>
          <w:szCs w:val="26"/>
        </w:rPr>
        <w:t>100%</w:t>
      </w:r>
      <w:r w:rsidR="002F1E83" w:rsidRPr="00EE5714">
        <w:rPr>
          <w:rFonts w:ascii="Times New Roman" w:eastAsiaTheme="minorEastAsia" w:hAnsi="Times New Roman" w:cs="Times New Roman"/>
          <w:sz w:val="26"/>
          <w:szCs w:val="26"/>
        </w:rPr>
        <w:t>,</w:t>
      </w:r>
      <w:r w:rsidR="00D60D87" w:rsidRPr="00EE5714">
        <w:rPr>
          <w:rFonts w:ascii="Times New Roman" w:eastAsiaTheme="minorEastAsia" w:hAnsi="Times New Roman" w:cs="Times New Roman"/>
          <w:sz w:val="26"/>
          <w:szCs w:val="26"/>
        </w:rPr>
        <w:t xml:space="preserve"> and 101</w:t>
      </w:r>
      <w:r w:rsidR="00F672B0" w:rsidRPr="00EE5714">
        <w:rPr>
          <w:rFonts w:ascii="Times New Roman" w:eastAsiaTheme="minorEastAsia" w:hAnsi="Times New Roman" w:cs="Times New Roman"/>
          <w:sz w:val="26"/>
          <w:szCs w:val="26"/>
        </w:rPr>
        <w:t xml:space="preserve"> </w:t>
      </w:r>
      <w:r w:rsidR="006B79EC" w:rsidRPr="00EE5714">
        <w:rPr>
          <w:rFonts w:ascii="Times New Roman" w:eastAsiaTheme="minorEastAsia" w:hAnsi="Times New Roman" w:cs="Times New Roman"/>
          <w:sz w:val="26"/>
          <w:szCs w:val="26"/>
        </w:rPr>
        <w:t xml:space="preserve">to </w:t>
      </w:r>
      <w:r w:rsidR="00D60D87" w:rsidRPr="00EE5714">
        <w:rPr>
          <w:rFonts w:ascii="Times New Roman" w:eastAsiaTheme="minorEastAsia" w:hAnsi="Times New Roman" w:cs="Times New Roman"/>
          <w:sz w:val="26"/>
          <w:szCs w:val="26"/>
        </w:rPr>
        <w:t>150% FPIG levels.  This analysis was conducted to determine if the increased income f</w:t>
      </w:r>
      <w:r w:rsidR="00FF3F4F" w:rsidRPr="00EE5714">
        <w:rPr>
          <w:rFonts w:ascii="Times New Roman" w:eastAsiaTheme="minorEastAsia" w:hAnsi="Times New Roman" w:cs="Times New Roman"/>
          <w:sz w:val="26"/>
          <w:szCs w:val="26"/>
        </w:rPr>
        <w:t>or</w:t>
      </w:r>
      <w:r w:rsidR="00D60D87" w:rsidRPr="00EE5714">
        <w:rPr>
          <w:rFonts w:ascii="Times New Roman" w:eastAsiaTheme="minorEastAsia" w:hAnsi="Times New Roman" w:cs="Times New Roman"/>
          <w:sz w:val="26"/>
          <w:szCs w:val="26"/>
        </w:rPr>
        <w:t xml:space="preserve"> CAP customers positively influences the percentage of utility bills paid in-full.    </w:t>
      </w:r>
    </w:p>
    <w:p w14:paraId="6B1E801F" w14:textId="77777777" w:rsidR="00D60D87" w:rsidRPr="00EE5714" w:rsidRDefault="00D60D87" w:rsidP="00D60D87">
      <w:pPr>
        <w:spacing w:after="0" w:line="240" w:lineRule="auto"/>
        <w:ind w:firstLine="720"/>
        <w:rPr>
          <w:rFonts w:ascii="Times New Roman" w:eastAsiaTheme="minorEastAsia" w:hAnsi="Times New Roman" w:cs="Times New Roman"/>
          <w:sz w:val="26"/>
          <w:szCs w:val="26"/>
        </w:rPr>
      </w:pPr>
    </w:p>
    <w:p w14:paraId="0C261AC1" w14:textId="77777777" w:rsidR="00D60D87" w:rsidRPr="00EE5714" w:rsidRDefault="00D60D87" w:rsidP="00883972">
      <w:pPr>
        <w:keepNext/>
        <w:spacing w:after="0" w:line="240" w:lineRule="auto"/>
        <w:jc w:val="both"/>
        <w:rPr>
          <w:rFonts w:ascii="Times New Roman" w:eastAsiaTheme="minorEastAsia" w:hAnsi="Times New Roman" w:cs="Times New Roman"/>
          <w:i/>
          <w:iCs/>
          <w:sz w:val="26"/>
          <w:szCs w:val="26"/>
        </w:rPr>
      </w:pPr>
      <w:r w:rsidRPr="00EE5714">
        <w:rPr>
          <w:rFonts w:ascii="Times New Roman" w:eastAsiaTheme="minorEastAsia" w:hAnsi="Times New Roman" w:cs="Times New Roman"/>
          <w:i/>
          <w:iCs/>
          <w:sz w:val="26"/>
          <w:szCs w:val="26"/>
        </w:rPr>
        <w:t>NGDC</w:t>
      </w:r>
      <w:r w:rsidR="00B74B64" w:rsidRPr="00EE5714">
        <w:rPr>
          <w:rFonts w:ascii="Times New Roman" w:eastAsiaTheme="minorEastAsia" w:hAnsi="Times New Roman" w:cs="Times New Roman"/>
          <w:i/>
          <w:iCs/>
          <w:sz w:val="26"/>
          <w:szCs w:val="26"/>
        </w:rPr>
        <w:t>s</w:t>
      </w:r>
    </w:p>
    <w:p w14:paraId="2CDD217A" w14:textId="77777777" w:rsidR="00D60D87" w:rsidRPr="00EE5714" w:rsidRDefault="00D60D87" w:rsidP="00DE70B4">
      <w:pPr>
        <w:keepNext/>
        <w:spacing w:after="0" w:line="240" w:lineRule="auto"/>
        <w:ind w:firstLine="720"/>
        <w:rPr>
          <w:rFonts w:ascii="Times New Roman" w:eastAsiaTheme="minorEastAsia" w:hAnsi="Times New Roman" w:cs="Times New Roman"/>
          <w:sz w:val="26"/>
          <w:szCs w:val="26"/>
        </w:rPr>
      </w:pPr>
    </w:p>
    <w:p w14:paraId="3A5A041C" w14:textId="77777777" w:rsidR="00D60D87" w:rsidRPr="00EE5714" w:rsidRDefault="008829F6" w:rsidP="00883972">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Table 6-6</w:t>
      </w:r>
    </w:p>
    <w:p w14:paraId="2A5C8841" w14:textId="77777777" w:rsidR="00D60D87" w:rsidRPr="00EE5714" w:rsidRDefault="00D60D87" w:rsidP="00883972">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Percentage of NGDC CAP Bills Paid In-Full</w:t>
      </w:r>
    </w:p>
    <w:p w14:paraId="3AE3F689" w14:textId="77777777" w:rsidR="00D60D87" w:rsidRPr="00EE5714" w:rsidRDefault="00D60D87" w:rsidP="00883972">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(0-50% FPIG Level)</w:t>
      </w:r>
    </w:p>
    <w:p w14:paraId="5675C634" w14:textId="77777777" w:rsidR="00D60D87" w:rsidRPr="00EE5714" w:rsidRDefault="00C41B00" w:rsidP="008F48B4">
      <w:pPr>
        <w:spacing w:after="0" w:line="240" w:lineRule="auto"/>
        <w:jc w:val="center"/>
        <w:rPr>
          <w:rFonts w:ascii="Times New Roman" w:eastAsiaTheme="minorEastAsia" w:hAnsi="Times New Roman" w:cs="Times New Roman"/>
          <w:b/>
          <w:sz w:val="26"/>
          <w:szCs w:val="26"/>
        </w:rPr>
      </w:pPr>
      <w:r w:rsidRPr="00EE5714">
        <w:rPr>
          <w:noProof/>
        </w:rPr>
        <w:drawing>
          <wp:inline distT="0" distB="0" distL="0" distR="0" wp14:anchorId="303B7DEC" wp14:editId="755A91E2">
            <wp:extent cx="5943600" cy="3081655"/>
            <wp:effectExtent l="0" t="0" r="0" b="4445"/>
            <wp:docPr id="63" name="Chart 63">
              <a:extLst xmlns:a="http://schemas.openxmlformats.org/drawingml/2006/main">
                <a:ext uri="{FF2B5EF4-FFF2-40B4-BE49-F238E27FC236}">
                  <a16:creationId xmlns:a16="http://schemas.microsoft.com/office/drawing/2014/main" id="{D483317A-D80F-4937-BE92-0CC9C8E29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4189F6" w14:textId="77777777" w:rsidR="00997FC6" w:rsidRPr="00EE5714" w:rsidRDefault="00997FC6" w:rsidP="00997FC6">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Table 6-7</w:t>
      </w:r>
    </w:p>
    <w:p w14:paraId="105690BD" w14:textId="77777777" w:rsidR="00997FC6" w:rsidRPr="00EE5714" w:rsidRDefault="00997FC6" w:rsidP="00997FC6">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Percentage of NGDC CAP Bills Paid In-Full</w:t>
      </w:r>
    </w:p>
    <w:p w14:paraId="63FB6B90" w14:textId="77777777" w:rsidR="00997FC6" w:rsidRPr="00EE5714" w:rsidRDefault="00997FC6" w:rsidP="00997FC6">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(51-100% FPIG Level)</w:t>
      </w:r>
    </w:p>
    <w:p w14:paraId="3F5A6966" w14:textId="77777777" w:rsidR="00997FC6" w:rsidRPr="00EE5714" w:rsidRDefault="00997FC6" w:rsidP="008F48B4">
      <w:pPr>
        <w:spacing w:after="0" w:line="360" w:lineRule="auto"/>
        <w:jc w:val="center"/>
        <w:rPr>
          <w:rFonts w:ascii="Times New Roman" w:eastAsiaTheme="minorEastAsia" w:hAnsi="Times New Roman" w:cs="Times New Roman"/>
          <w:b/>
          <w:sz w:val="26"/>
          <w:szCs w:val="26"/>
        </w:rPr>
      </w:pPr>
      <w:r w:rsidRPr="00EE5714">
        <w:rPr>
          <w:noProof/>
        </w:rPr>
        <w:drawing>
          <wp:inline distT="0" distB="0" distL="0" distR="0" wp14:anchorId="2E9B926C" wp14:editId="214D14E0">
            <wp:extent cx="5943600" cy="3287395"/>
            <wp:effectExtent l="0" t="0" r="0" b="8255"/>
            <wp:docPr id="56" name="Chart 56">
              <a:extLst xmlns:a="http://schemas.openxmlformats.org/drawingml/2006/main">
                <a:ext uri="{FF2B5EF4-FFF2-40B4-BE49-F238E27FC236}">
                  <a16:creationId xmlns:a16="http://schemas.microsoft.com/office/drawing/2014/main" id="{2D9A3F1C-5E3C-45C1-B45F-47745D305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A8A5216" w14:textId="77777777" w:rsidR="006D1F3D" w:rsidRPr="00EE5714" w:rsidRDefault="006D1F3D" w:rsidP="008B149E">
      <w:pPr>
        <w:keepNext/>
        <w:spacing w:after="0" w:line="240" w:lineRule="auto"/>
        <w:jc w:val="center"/>
        <w:rPr>
          <w:rFonts w:ascii="Times New Roman" w:eastAsiaTheme="minorEastAsia" w:hAnsi="Times New Roman" w:cs="Times New Roman"/>
          <w:b/>
          <w:bCs/>
          <w:sz w:val="26"/>
          <w:szCs w:val="26"/>
        </w:rPr>
      </w:pPr>
    </w:p>
    <w:p w14:paraId="777BDC46" w14:textId="77777777" w:rsidR="008B149E" w:rsidRPr="00EE5714" w:rsidRDefault="008B149E" w:rsidP="008B149E">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 xml:space="preserve">Table 6-8 </w:t>
      </w:r>
    </w:p>
    <w:p w14:paraId="65BE51CE" w14:textId="77777777" w:rsidR="008B149E" w:rsidRPr="00EE5714" w:rsidRDefault="008B149E" w:rsidP="008B149E">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Percentage of NGDC CAP Bills Paid In-Full</w:t>
      </w:r>
    </w:p>
    <w:p w14:paraId="515526B9" w14:textId="77777777" w:rsidR="008B149E" w:rsidRPr="00EE5714" w:rsidRDefault="008B149E" w:rsidP="008B149E">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(101-150% FPIG Level)</w:t>
      </w:r>
    </w:p>
    <w:p w14:paraId="4ABB6DB5" w14:textId="77777777" w:rsidR="008B149E" w:rsidRPr="00EE5714" w:rsidRDefault="008B149E" w:rsidP="008F48B4">
      <w:pPr>
        <w:spacing w:after="0" w:line="360" w:lineRule="auto"/>
        <w:jc w:val="center"/>
        <w:rPr>
          <w:rFonts w:ascii="Times New Roman" w:eastAsiaTheme="minorEastAsia" w:hAnsi="Times New Roman" w:cs="Times New Roman"/>
          <w:b/>
          <w:sz w:val="26"/>
          <w:szCs w:val="26"/>
        </w:rPr>
      </w:pPr>
      <w:r w:rsidRPr="00EE5714">
        <w:rPr>
          <w:noProof/>
        </w:rPr>
        <w:drawing>
          <wp:inline distT="0" distB="0" distL="0" distR="0" wp14:anchorId="25268E79" wp14:editId="53347B2B">
            <wp:extent cx="5943600" cy="3328670"/>
            <wp:effectExtent l="0" t="0" r="0" b="5080"/>
            <wp:docPr id="726562208" name="Chart 726562208">
              <a:extLst xmlns:a="http://schemas.openxmlformats.org/drawingml/2006/main">
                <a:ext uri="{FF2B5EF4-FFF2-40B4-BE49-F238E27FC236}">
                  <a16:creationId xmlns:a16="http://schemas.microsoft.com/office/drawing/2014/main" id="{57FF521E-4BC2-4AC7-8CDC-6BFE6A9CB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6CA52E" w14:textId="77777777" w:rsidR="008B149E" w:rsidRPr="00EE5714" w:rsidRDefault="008B149E" w:rsidP="008B149E">
      <w:pPr>
        <w:spacing w:after="0" w:line="240" w:lineRule="auto"/>
        <w:rPr>
          <w:rFonts w:ascii="Times New Roman" w:eastAsiaTheme="minorEastAsia" w:hAnsi="Times New Roman" w:cs="Times New Roman"/>
          <w:sz w:val="26"/>
          <w:szCs w:val="26"/>
        </w:rPr>
      </w:pPr>
    </w:p>
    <w:p w14:paraId="4A0982D1" w14:textId="77777777" w:rsidR="00C71E54" w:rsidRPr="00EE5714" w:rsidRDefault="00C71E54" w:rsidP="00C71E54">
      <w:pPr>
        <w:spacing w:after="0" w:line="240" w:lineRule="auto"/>
        <w:ind w:firstLine="720"/>
        <w:rPr>
          <w:rFonts w:ascii="Times New Roman" w:eastAsiaTheme="minorEastAsia" w:hAnsi="Times New Roman" w:cs="Times New Roman"/>
          <w:sz w:val="26"/>
          <w:szCs w:val="26"/>
        </w:rPr>
      </w:pPr>
      <w:r w:rsidRPr="00EE5714">
        <w:rPr>
          <w:rFonts w:ascii="Times New Roman" w:eastAsiaTheme="minorEastAsia" w:hAnsi="Times New Roman" w:cs="Times New Roman"/>
          <w:sz w:val="26"/>
          <w:szCs w:val="26"/>
        </w:rPr>
        <w:t xml:space="preserve">Tables 6-6, 6-7, and 6-8 include the percent of CAP bills paid for each utility as well as the weighted industry average for CAP NGDC customers at the different FPIG levels (i.e., 0 to 50%, 51 to 100%, and 101 to 150%) for the period 2012-2016.  According to the data shown in Table 6-6, approximately 70% of NGDC CAP bills of customers at the 0 to 50% FPIG level were paid in-full.  In examining annual data for each NGDC, the range of NGDC CAP bills paid in-full ranged from a low of 33% to a high of 95%.  </w:t>
      </w:r>
    </w:p>
    <w:p w14:paraId="69EC731A" w14:textId="77777777" w:rsidR="00C71E54" w:rsidRPr="00EE5714" w:rsidRDefault="00C71E54" w:rsidP="00883972">
      <w:pPr>
        <w:spacing w:after="0" w:line="240" w:lineRule="auto"/>
        <w:ind w:firstLine="720"/>
        <w:contextualSpacing/>
        <w:rPr>
          <w:rFonts w:ascii="Times New Roman" w:eastAsiaTheme="minorEastAsia" w:hAnsi="Times New Roman" w:cs="Times New Roman"/>
          <w:sz w:val="26"/>
          <w:szCs w:val="26"/>
        </w:rPr>
      </w:pPr>
    </w:p>
    <w:p w14:paraId="2F088ADB" w14:textId="77777777" w:rsidR="00D60D87" w:rsidRPr="00EE5714" w:rsidRDefault="00D60D87" w:rsidP="00883972">
      <w:pPr>
        <w:spacing w:after="0" w:line="240" w:lineRule="auto"/>
        <w:ind w:firstLine="720"/>
        <w:contextualSpacing/>
        <w:rPr>
          <w:rFonts w:ascii="Times New Roman" w:eastAsiaTheme="minorEastAsia" w:hAnsi="Times New Roman" w:cs="Times New Roman"/>
          <w:sz w:val="26"/>
          <w:szCs w:val="26"/>
        </w:rPr>
      </w:pPr>
      <w:r w:rsidRPr="00EE5714">
        <w:rPr>
          <w:rFonts w:ascii="Times New Roman" w:eastAsiaTheme="minorEastAsia" w:hAnsi="Times New Roman" w:cs="Times New Roman"/>
          <w:sz w:val="26"/>
          <w:szCs w:val="26"/>
        </w:rPr>
        <w:t xml:space="preserve">In contrast, </w:t>
      </w:r>
      <w:r w:rsidR="008829F6" w:rsidRPr="00EE5714">
        <w:rPr>
          <w:rFonts w:ascii="Times New Roman" w:eastAsiaTheme="minorEastAsia" w:hAnsi="Times New Roman" w:cs="Times New Roman"/>
          <w:sz w:val="26"/>
          <w:szCs w:val="26"/>
        </w:rPr>
        <w:t xml:space="preserve">as seen in Table 6-7, </w:t>
      </w:r>
      <w:r w:rsidRPr="00EE5714">
        <w:rPr>
          <w:rFonts w:ascii="Times New Roman" w:eastAsiaTheme="minorEastAsia" w:hAnsi="Times New Roman" w:cs="Times New Roman"/>
          <w:sz w:val="26"/>
          <w:szCs w:val="26"/>
        </w:rPr>
        <w:t>a greater percentage of NGDC CAP bills of customers at the 51</w:t>
      </w:r>
      <w:r w:rsidR="00C75EA0" w:rsidRPr="00EE5714">
        <w:rPr>
          <w:rFonts w:ascii="Times New Roman" w:eastAsiaTheme="minorEastAsia" w:hAnsi="Times New Roman" w:cs="Times New Roman"/>
          <w:sz w:val="26"/>
          <w:szCs w:val="26"/>
        </w:rPr>
        <w:t xml:space="preserve"> to </w:t>
      </w:r>
      <w:r w:rsidRPr="00EE5714">
        <w:rPr>
          <w:rFonts w:ascii="Times New Roman" w:eastAsiaTheme="minorEastAsia" w:hAnsi="Times New Roman" w:cs="Times New Roman"/>
          <w:sz w:val="26"/>
          <w:szCs w:val="26"/>
        </w:rPr>
        <w:t>100% and 101</w:t>
      </w:r>
      <w:r w:rsidR="00C75EA0" w:rsidRPr="00EE5714">
        <w:rPr>
          <w:rFonts w:ascii="Times New Roman" w:eastAsiaTheme="minorEastAsia" w:hAnsi="Times New Roman" w:cs="Times New Roman"/>
          <w:sz w:val="26"/>
          <w:szCs w:val="26"/>
        </w:rPr>
        <w:t xml:space="preserve"> to </w:t>
      </w:r>
      <w:r w:rsidRPr="00EE5714">
        <w:rPr>
          <w:rFonts w:ascii="Times New Roman" w:eastAsiaTheme="minorEastAsia" w:hAnsi="Times New Roman" w:cs="Times New Roman"/>
          <w:sz w:val="26"/>
          <w:szCs w:val="26"/>
        </w:rPr>
        <w:t>150% FPIG levels were paid</w:t>
      </w:r>
      <w:r w:rsidR="0078092E" w:rsidRPr="00EE5714">
        <w:rPr>
          <w:rFonts w:ascii="Times New Roman" w:eastAsiaTheme="minorEastAsia" w:hAnsi="Times New Roman" w:cs="Times New Roman"/>
          <w:sz w:val="26"/>
          <w:szCs w:val="26"/>
        </w:rPr>
        <w:t xml:space="preserve"> in-full</w:t>
      </w:r>
      <w:r w:rsidRPr="00EE5714">
        <w:rPr>
          <w:rFonts w:ascii="Times New Roman" w:eastAsiaTheme="minorEastAsia" w:hAnsi="Times New Roman" w:cs="Times New Roman"/>
          <w:sz w:val="26"/>
          <w:szCs w:val="26"/>
        </w:rPr>
        <w:t xml:space="preserve">; however, the differences appear to be negligible.  Nevertheless, it is particularly noteworthy that several NGDCs showed that a </w:t>
      </w:r>
      <w:r w:rsidR="002A6866" w:rsidRPr="00EE5714">
        <w:rPr>
          <w:rFonts w:ascii="Times New Roman" w:eastAsiaTheme="minorEastAsia" w:hAnsi="Times New Roman" w:cs="Times New Roman"/>
          <w:sz w:val="26"/>
          <w:szCs w:val="26"/>
        </w:rPr>
        <w:t xml:space="preserve">lesser </w:t>
      </w:r>
      <w:r w:rsidRPr="00EE5714">
        <w:rPr>
          <w:rFonts w:ascii="Times New Roman" w:eastAsiaTheme="minorEastAsia" w:hAnsi="Times New Roman" w:cs="Times New Roman"/>
          <w:sz w:val="26"/>
          <w:szCs w:val="26"/>
        </w:rPr>
        <w:t>percentage of bills were paid in-full by CAP customers at the 101</w:t>
      </w:r>
      <w:r w:rsidR="00C75EA0" w:rsidRPr="00EE5714">
        <w:rPr>
          <w:rFonts w:ascii="Times New Roman" w:eastAsiaTheme="minorEastAsia" w:hAnsi="Times New Roman" w:cs="Times New Roman"/>
          <w:sz w:val="26"/>
          <w:szCs w:val="26"/>
        </w:rPr>
        <w:t xml:space="preserve"> to </w:t>
      </w:r>
      <w:r w:rsidRPr="00EE5714">
        <w:rPr>
          <w:rFonts w:ascii="Times New Roman" w:eastAsiaTheme="minorEastAsia" w:hAnsi="Times New Roman" w:cs="Times New Roman"/>
          <w:sz w:val="26"/>
          <w:szCs w:val="26"/>
        </w:rPr>
        <w:t>150% FPIG level in comparison to the percentage of CAP bills paid by customers at the 51</w:t>
      </w:r>
      <w:r w:rsidR="00C75EA0" w:rsidRPr="00EE5714">
        <w:rPr>
          <w:rFonts w:ascii="Times New Roman" w:eastAsiaTheme="minorEastAsia" w:hAnsi="Times New Roman" w:cs="Times New Roman"/>
          <w:sz w:val="26"/>
          <w:szCs w:val="26"/>
        </w:rPr>
        <w:t xml:space="preserve"> to </w:t>
      </w:r>
      <w:r w:rsidRPr="00EE5714">
        <w:rPr>
          <w:rFonts w:ascii="Times New Roman" w:eastAsiaTheme="minorEastAsia" w:hAnsi="Times New Roman" w:cs="Times New Roman"/>
          <w:sz w:val="26"/>
          <w:szCs w:val="26"/>
        </w:rPr>
        <w:t xml:space="preserve">100% FPIG level.  </w:t>
      </w:r>
      <w:r w:rsidR="009833C5" w:rsidRPr="00EE5714">
        <w:rPr>
          <w:rFonts w:ascii="Times New Roman" w:eastAsiaTheme="minorEastAsia" w:hAnsi="Times New Roman" w:cs="Times New Roman"/>
          <w:sz w:val="26"/>
          <w:szCs w:val="26"/>
        </w:rPr>
        <w:t xml:space="preserve">Thus, the extent to which household income impacts or influences the percent of NGDC CAP utility bills paid in-full is unclear.  </w:t>
      </w:r>
      <w:r w:rsidR="008829F6" w:rsidRPr="00EE5714">
        <w:rPr>
          <w:rFonts w:ascii="Times New Roman" w:eastAsiaTheme="minorEastAsia" w:hAnsi="Times New Roman" w:cs="Times New Roman"/>
          <w:i/>
          <w:iCs/>
          <w:sz w:val="26"/>
          <w:szCs w:val="26"/>
        </w:rPr>
        <w:t>See</w:t>
      </w:r>
      <w:r w:rsidR="008829F6" w:rsidRPr="00EE5714">
        <w:rPr>
          <w:rFonts w:ascii="Times New Roman" w:eastAsiaTheme="minorEastAsia" w:hAnsi="Times New Roman" w:cs="Times New Roman"/>
          <w:sz w:val="26"/>
          <w:szCs w:val="26"/>
        </w:rPr>
        <w:t xml:space="preserve"> Table 6-8.</w:t>
      </w:r>
    </w:p>
    <w:p w14:paraId="75C3C84D" w14:textId="77777777" w:rsidR="00D60D87" w:rsidRPr="00EE5714" w:rsidRDefault="00D60D87" w:rsidP="00C75EA0">
      <w:pPr>
        <w:spacing w:after="0" w:line="240" w:lineRule="auto"/>
        <w:contextualSpacing/>
        <w:rPr>
          <w:rFonts w:ascii="Times New Roman" w:eastAsiaTheme="minorEastAsia" w:hAnsi="Times New Roman" w:cs="Times New Roman"/>
          <w:sz w:val="26"/>
          <w:szCs w:val="26"/>
        </w:rPr>
      </w:pPr>
    </w:p>
    <w:p w14:paraId="72E81C85" w14:textId="77777777" w:rsidR="00D60D87" w:rsidRPr="00EE5714" w:rsidRDefault="00D60D87" w:rsidP="00185857">
      <w:pPr>
        <w:keepNext/>
        <w:spacing w:after="0" w:line="240" w:lineRule="auto"/>
        <w:rPr>
          <w:rFonts w:ascii="Times New Roman" w:eastAsiaTheme="minorEastAsia" w:hAnsi="Times New Roman" w:cs="Times New Roman"/>
          <w:i/>
          <w:iCs/>
          <w:sz w:val="26"/>
          <w:szCs w:val="26"/>
        </w:rPr>
      </w:pPr>
      <w:r w:rsidRPr="00EE5714">
        <w:rPr>
          <w:rFonts w:ascii="Times New Roman" w:eastAsiaTheme="minorEastAsia" w:hAnsi="Times New Roman" w:cs="Times New Roman"/>
          <w:i/>
          <w:iCs/>
          <w:sz w:val="26"/>
          <w:szCs w:val="26"/>
        </w:rPr>
        <w:lastRenderedPageBreak/>
        <w:t>EDC</w:t>
      </w:r>
      <w:r w:rsidR="00CC0AA6" w:rsidRPr="00EE5714">
        <w:rPr>
          <w:rFonts w:ascii="Times New Roman" w:eastAsiaTheme="minorEastAsia" w:hAnsi="Times New Roman" w:cs="Times New Roman"/>
          <w:i/>
          <w:iCs/>
          <w:sz w:val="26"/>
          <w:szCs w:val="26"/>
        </w:rPr>
        <w:t>s</w:t>
      </w:r>
    </w:p>
    <w:p w14:paraId="4D9AFF8B" w14:textId="77777777" w:rsidR="00D60D87" w:rsidRPr="00EE5714" w:rsidRDefault="00D60D87" w:rsidP="0087189C">
      <w:pPr>
        <w:keepNext/>
        <w:spacing w:after="0" w:line="240" w:lineRule="auto"/>
        <w:rPr>
          <w:rFonts w:ascii="Times New Roman" w:eastAsiaTheme="minorEastAsia" w:hAnsi="Times New Roman" w:cs="Times New Roman"/>
          <w:sz w:val="26"/>
          <w:szCs w:val="26"/>
        </w:rPr>
      </w:pPr>
    </w:p>
    <w:p w14:paraId="4E4A609F" w14:textId="77777777" w:rsidR="008B7168" w:rsidRPr="00EE5714" w:rsidRDefault="008B7168" w:rsidP="008B7168">
      <w:pPr>
        <w:keepNext/>
        <w:spacing w:after="0" w:line="240" w:lineRule="auto"/>
        <w:jc w:val="center"/>
      </w:pPr>
      <w:r w:rsidRPr="00EE5714">
        <w:rPr>
          <w:rFonts w:ascii="Times New Roman" w:eastAsiaTheme="minorEastAsia" w:hAnsi="Times New Roman" w:cs="Times New Roman"/>
          <w:b/>
          <w:bCs/>
          <w:sz w:val="26"/>
          <w:szCs w:val="26"/>
        </w:rPr>
        <w:t xml:space="preserve">Table 6-9 </w:t>
      </w:r>
    </w:p>
    <w:p w14:paraId="16698789" w14:textId="77777777" w:rsidR="008B7168" w:rsidRPr="00EE5714" w:rsidRDefault="008B7168" w:rsidP="008B7168">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Percentage of EDC CAP Heating Bills Paid In-Full</w:t>
      </w:r>
    </w:p>
    <w:p w14:paraId="69814917" w14:textId="77777777" w:rsidR="008B7168" w:rsidRPr="00EE5714" w:rsidRDefault="008B7168" w:rsidP="008B7168">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0-50% FPIG Level</w:t>
      </w:r>
    </w:p>
    <w:p w14:paraId="1FDDEBA5" w14:textId="77777777" w:rsidR="008B7168" w:rsidRPr="00EE5714" w:rsidRDefault="008B7168" w:rsidP="008F48B4">
      <w:pPr>
        <w:spacing w:after="0" w:line="240" w:lineRule="auto"/>
        <w:jc w:val="center"/>
        <w:rPr>
          <w:rFonts w:ascii="Times New Roman" w:eastAsiaTheme="minorEastAsia" w:hAnsi="Times New Roman" w:cs="Times New Roman"/>
          <w:b/>
          <w:sz w:val="26"/>
          <w:szCs w:val="26"/>
        </w:rPr>
      </w:pPr>
      <w:r w:rsidRPr="00EE5714">
        <w:rPr>
          <w:noProof/>
        </w:rPr>
        <w:drawing>
          <wp:inline distT="0" distB="0" distL="0" distR="0" wp14:anchorId="1F65F7D7" wp14:editId="25E1B711">
            <wp:extent cx="5943600" cy="3284855"/>
            <wp:effectExtent l="0" t="0" r="0" b="10795"/>
            <wp:docPr id="726562209" name="Chart 726562209">
              <a:extLst xmlns:a="http://schemas.openxmlformats.org/drawingml/2006/main">
                <a:ext uri="{FF2B5EF4-FFF2-40B4-BE49-F238E27FC236}">
                  <a16:creationId xmlns:a16="http://schemas.microsoft.com/office/drawing/2014/main" id="{370904CE-1773-4495-B646-3FC49A970D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FA5EF30" w14:textId="77777777" w:rsidR="008B7168" w:rsidRPr="00EE5714" w:rsidRDefault="008B7168" w:rsidP="008B7168">
      <w:pPr>
        <w:spacing w:after="0" w:line="240" w:lineRule="auto"/>
        <w:ind w:firstLine="720"/>
        <w:rPr>
          <w:rFonts w:ascii="Times New Roman" w:eastAsiaTheme="minorEastAsia" w:hAnsi="Times New Roman" w:cs="Times New Roman"/>
          <w:sz w:val="26"/>
          <w:szCs w:val="26"/>
        </w:rPr>
      </w:pPr>
    </w:p>
    <w:p w14:paraId="3BD5BA89" w14:textId="77777777" w:rsidR="00D60D87" w:rsidRPr="00EE5714" w:rsidRDefault="00165BC7" w:rsidP="0082542E">
      <w:pPr>
        <w:keepNext/>
        <w:spacing w:after="0" w:line="240" w:lineRule="auto"/>
        <w:jc w:val="center"/>
        <w:rPr>
          <w:rFonts w:ascii="Times New Roman" w:eastAsiaTheme="minorEastAsia" w:hAnsi="Times New Roman" w:cs="Times New Roman"/>
          <w:b/>
          <w:bCs/>
          <w:sz w:val="26"/>
          <w:szCs w:val="26"/>
        </w:rPr>
      </w:pPr>
      <w:bookmarkStart w:id="33" w:name="_Hlk525050823"/>
      <w:r w:rsidRPr="00EE5714">
        <w:rPr>
          <w:rFonts w:ascii="Times New Roman" w:eastAsiaTheme="minorEastAsia" w:hAnsi="Times New Roman" w:cs="Times New Roman"/>
          <w:b/>
          <w:bCs/>
          <w:sz w:val="26"/>
          <w:szCs w:val="26"/>
        </w:rPr>
        <w:t>Table 6-10</w:t>
      </w:r>
    </w:p>
    <w:p w14:paraId="1161F928" w14:textId="77777777" w:rsidR="00D60D87" w:rsidRPr="00EE5714" w:rsidRDefault="00D60D87" w:rsidP="0082542E">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Percentage of EDC CAP Heating Bills Paid In-Full</w:t>
      </w:r>
    </w:p>
    <w:p w14:paraId="76A02FC5" w14:textId="77777777" w:rsidR="00D60D87" w:rsidRPr="00EE5714" w:rsidRDefault="00D60D87" w:rsidP="0082542E">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(51-100% FPIG Level)</w:t>
      </w:r>
    </w:p>
    <w:bookmarkEnd w:id="33"/>
    <w:p w14:paraId="7A559A44" w14:textId="77777777" w:rsidR="00D60D87" w:rsidRPr="00EE5714" w:rsidRDefault="00573FDB" w:rsidP="008F48B4">
      <w:pPr>
        <w:spacing w:after="0" w:line="360" w:lineRule="auto"/>
        <w:jc w:val="center"/>
        <w:rPr>
          <w:rFonts w:ascii="Times New Roman" w:eastAsiaTheme="minorEastAsia" w:hAnsi="Times New Roman" w:cs="Times New Roman"/>
          <w:b/>
          <w:sz w:val="26"/>
          <w:szCs w:val="26"/>
        </w:rPr>
      </w:pPr>
      <w:r w:rsidRPr="00EE5714">
        <w:rPr>
          <w:noProof/>
        </w:rPr>
        <w:drawing>
          <wp:inline distT="0" distB="0" distL="0" distR="0" wp14:anchorId="5F38D759" wp14:editId="22AA58CF">
            <wp:extent cx="5943600" cy="3221665"/>
            <wp:effectExtent l="0" t="0" r="0" b="17145"/>
            <wp:docPr id="137" name="Chart 137">
              <a:extLst xmlns:a="http://schemas.openxmlformats.org/drawingml/2006/main">
                <a:ext uri="{FF2B5EF4-FFF2-40B4-BE49-F238E27FC236}">
                  <a16:creationId xmlns:a16="http://schemas.microsoft.com/office/drawing/2014/main" id="{98D4D546-4E23-4E07-8AA8-C947CE1D4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10C0CBA" w14:textId="77777777" w:rsidR="00D60D87" w:rsidRPr="00EE5714" w:rsidRDefault="00D60D87" w:rsidP="00D60D87">
      <w:pPr>
        <w:spacing w:after="0" w:line="240" w:lineRule="auto"/>
        <w:ind w:firstLine="720"/>
        <w:rPr>
          <w:rFonts w:ascii="Times New Roman" w:eastAsiaTheme="minorEastAsia" w:hAnsi="Times New Roman" w:cs="Times New Roman"/>
          <w:sz w:val="26"/>
          <w:szCs w:val="26"/>
        </w:rPr>
      </w:pPr>
    </w:p>
    <w:p w14:paraId="06511650" w14:textId="77777777" w:rsidR="00D60D87" w:rsidRPr="00EE5714" w:rsidRDefault="00F07C42" w:rsidP="00153E6F">
      <w:pPr>
        <w:keepNext/>
        <w:spacing w:after="0" w:line="240" w:lineRule="auto"/>
        <w:jc w:val="center"/>
        <w:rPr>
          <w:rFonts w:ascii="Times New Roman" w:eastAsiaTheme="minorEastAsia" w:hAnsi="Times New Roman" w:cs="Times New Roman"/>
          <w:b/>
          <w:bCs/>
          <w:sz w:val="26"/>
          <w:szCs w:val="26"/>
        </w:rPr>
      </w:pPr>
      <w:bookmarkStart w:id="34" w:name="_Hlk525051076"/>
      <w:r w:rsidRPr="00EE5714">
        <w:rPr>
          <w:rFonts w:ascii="Times New Roman" w:eastAsiaTheme="minorEastAsia" w:hAnsi="Times New Roman" w:cs="Times New Roman"/>
          <w:b/>
          <w:bCs/>
          <w:sz w:val="26"/>
          <w:szCs w:val="26"/>
        </w:rPr>
        <w:lastRenderedPageBreak/>
        <w:t>Table 6-11</w:t>
      </w:r>
    </w:p>
    <w:p w14:paraId="6FD1AD43" w14:textId="77777777" w:rsidR="00D60D87" w:rsidRPr="00EE5714" w:rsidRDefault="00D60D87" w:rsidP="00153E6F">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 xml:space="preserve">Percentage of EDC CAP Heating Bills Paid </w:t>
      </w:r>
    </w:p>
    <w:p w14:paraId="59F0D800" w14:textId="77777777" w:rsidR="00D60D87" w:rsidRPr="00EE5714" w:rsidRDefault="00D60D87" w:rsidP="00153E6F">
      <w:pPr>
        <w:keepNext/>
        <w:spacing w:after="0" w:line="240" w:lineRule="auto"/>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(101-150% FPIG Level)</w:t>
      </w:r>
    </w:p>
    <w:p w14:paraId="079B712A" w14:textId="77777777" w:rsidR="00D60D87" w:rsidRPr="00EE5714" w:rsidRDefault="00FE0407" w:rsidP="00D60D87">
      <w:pPr>
        <w:spacing w:after="0" w:line="240" w:lineRule="auto"/>
        <w:jc w:val="center"/>
        <w:rPr>
          <w:rFonts w:ascii="Times New Roman" w:eastAsiaTheme="minorEastAsia" w:hAnsi="Times New Roman" w:cs="Times New Roman"/>
          <w:b/>
          <w:sz w:val="26"/>
          <w:szCs w:val="26"/>
        </w:rPr>
      </w:pPr>
      <w:r w:rsidRPr="00EE5714">
        <w:rPr>
          <w:noProof/>
        </w:rPr>
        <w:drawing>
          <wp:inline distT="0" distB="0" distL="0" distR="0" wp14:anchorId="7C1DD11E" wp14:editId="1EEC5686">
            <wp:extent cx="5943600" cy="3317358"/>
            <wp:effectExtent l="0" t="0" r="0" b="16510"/>
            <wp:docPr id="138" name="Chart 138">
              <a:extLst xmlns:a="http://schemas.openxmlformats.org/drawingml/2006/main">
                <a:ext uri="{FF2B5EF4-FFF2-40B4-BE49-F238E27FC236}">
                  <a16:creationId xmlns:a16="http://schemas.microsoft.com/office/drawing/2014/main" id="{6519EDC1-A119-4B71-874F-CB60C7FB5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bookmarkEnd w:id="34"/>
    <w:p w14:paraId="715100B7" w14:textId="77777777" w:rsidR="00D60D87" w:rsidRPr="00EE5714" w:rsidRDefault="00D60D87" w:rsidP="00D60D87">
      <w:pPr>
        <w:spacing w:after="0" w:line="240" w:lineRule="auto"/>
        <w:rPr>
          <w:rFonts w:ascii="Times New Roman" w:eastAsiaTheme="minorEastAsia" w:hAnsi="Times New Roman" w:cs="Times New Roman"/>
          <w:sz w:val="26"/>
          <w:szCs w:val="26"/>
        </w:rPr>
      </w:pPr>
    </w:p>
    <w:p w14:paraId="4B956FFB" w14:textId="77777777" w:rsidR="00084D13" w:rsidRPr="00EE5714" w:rsidRDefault="00084D13" w:rsidP="00084D13">
      <w:pPr>
        <w:spacing w:after="0" w:line="240" w:lineRule="auto"/>
        <w:ind w:firstLine="720"/>
        <w:rPr>
          <w:rFonts w:ascii="Times New Roman" w:eastAsiaTheme="minorEastAsia" w:hAnsi="Times New Roman" w:cs="Times New Roman"/>
          <w:sz w:val="26"/>
          <w:szCs w:val="26"/>
        </w:rPr>
      </w:pPr>
      <w:r w:rsidRPr="00EE5714">
        <w:rPr>
          <w:rFonts w:ascii="Times New Roman" w:eastAsiaTheme="minorEastAsia" w:hAnsi="Times New Roman" w:cs="Times New Roman"/>
          <w:sz w:val="26"/>
          <w:szCs w:val="26"/>
        </w:rPr>
        <w:t xml:space="preserve">Tables 6-9, 6-10, and 6-11 include the percentage of CAP bills paid for each EDC as well as the weighted industry average for CAP electric heating customers at the different FPIG levels for the period 2012 to 2016.  </w:t>
      </w:r>
    </w:p>
    <w:p w14:paraId="3EF5C1A2" w14:textId="77777777" w:rsidR="00CF3449" w:rsidRPr="00EE5714" w:rsidRDefault="00CF3449" w:rsidP="00084D13">
      <w:pPr>
        <w:spacing w:after="0" w:line="240" w:lineRule="auto"/>
        <w:ind w:firstLine="720"/>
        <w:rPr>
          <w:rFonts w:ascii="Times New Roman" w:eastAsiaTheme="minorEastAsia" w:hAnsi="Times New Roman" w:cs="Times New Roman"/>
          <w:sz w:val="26"/>
          <w:szCs w:val="26"/>
        </w:rPr>
      </w:pPr>
    </w:p>
    <w:p w14:paraId="75122855" w14:textId="77777777" w:rsidR="00084D13" w:rsidRPr="00EE5714" w:rsidRDefault="00084D13" w:rsidP="00084D13">
      <w:pPr>
        <w:spacing w:after="0" w:line="240" w:lineRule="auto"/>
        <w:ind w:firstLine="720"/>
        <w:rPr>
          <w:rFonts w:ascii="Times New Roman" w:eastAsiaTheme="minorEastAsia" w:hAnsi="Times New Roman" w:cs="Times New Roman"/>
          <w:sz w:val="26"/>
          <w:szCs w:val="26"/>
        </w:rPr>
      </w:pPr>
      <w:r w:rsidRPr="00EE5714">
        <w:rPr>
          <w:rFonts w:ascii="Times New Roman" w:eastAsiaTheme="minorEastAsia" w:hAnsi="Times New Roman" w:cs="Times New Roman"/>
          <w:sz w:val="26"/>
          <w:szCs w:val="26"/>
        </w:rPr>
        <w:t>While noticeable variability exist</w:t>
      </w:r>
      <w:r w:rsidR="00CF3449" w:rsidRPr="00EE5714">
        <w:rPr>
          <w:rFonts w:ascii="Times New Roman" w:eastAsiaTheme="minorEastAsia" w:hAnsi="Times New Roman" w:cs="Times New Roman"/>
          <w:sz w:val="26"/>
          <w:szCs w:val="26"/>
        </w:rPr>
        <w:t>ed</w:t>
      </w:r>
      <w:r w:rsidRPr="00EE5714">
        <w:rPr>
          <w:rFonts w:ascii="Times New Roman" w:eastAsiaTheme="minorEastAsia" w:hAnsi="Times New Roman" w:cs="Times New Roman"/>
          <w:sz w:val="26"/>
          <w:szCs w:val="26"/>
        </w:rPr>
        <w:t xml:space="preserve"> among EDCs, it appear</w:t>
      </w:r>
      <w:r w:rsidR="00CF3449" w:rsidRPr="00EE5714">
        <w:rPr>
          <w:rFonts w:ascii="Times New Roman" w:eastAsiaTheme="minorEastAsia" w:hAnsi="Times New Roman" w:cs="Times New Roman"/>
          <w:sz w:val="26"/>
          <w:szCs w:val="26"/>
        </w:rPr>
        <w:t>ed</w:t>
      </w:r>
      <w:r w:rsidRPr="00EE5714">
        <w:rPr>
          <w:rFonts w:ascii="Times New Roman" w:eastAsiaTheme="minorEastAsia" w:hAnsi="Times New Roman" w:cs="Times New Roman"/>
          <w:sz w:val="26"/>
          <w:szCs w:val="26"/>
        </w:rPr>
        <w:t xml:space="preserve"> on average that approximately 50% of electric heating bills are paid by CAP customers at the 0</w:t>
      </w:r>
      <w:r w:rsidR="00CF3449" w:rsidRPr="00EE5714">
        <w:rPr>
          <w:rFonts w:ascii="Times New Roman" w:eastAsiaTheme="minorEastAsia" w:hAnsi="Times New Roman" w:cs="Times New Roman"/>
          <w:sz w:val="26"/>
          <w:szCs w:val="26"/>
        </w:rPr>
        <w:t>%</w:t>
      </w:r>
      <w:r w:rsidRPr="00EE5714">
        <w:rPr>
          <w:rFonts w:ascii="Times New Roman" w:eastAsiaTheme="minorEastAsia" w:hAnsi="Times New Roman" w:cs="Times New Roman"/>
          <w:sz w:val="26"/>
          <w:szCs w:val="26"/>
        </w:rPr>
        <w:t xml:space="preserve"> to 50%</w:t>
      </w:r>
      <w:r w:rsidR="00CF3449" w:rsidRPr="00EE5714">
        <w:rPr>
          <w:rFonts w:ascii="Times New Roman" w:eastAsiaTheme="minorEastAsia" w:hAnsi="Times New Roman" w:cs="Times New Roman"/>
          <w:sz w:val="26"/>
          <w:szCs w:val="26"/>
        </w:rPr>
        <w:t> </w:t>
      </w:r>
      <w:r w:rsidRPr="00EE5714">
        <w:rPr>
          <w:rFonts w:ascii="Times New Roman" w:eastAsiaTheme="minorEastAsia" w:hAnsi="Times New Roman" w:cs="Times New Roman"/>
          <w:sz w:val="26"/>
          <w:szCs w:val="26"/>
        </w:rPr>
        <w:t>FPIG level.  This contrasts markedly with the NGDC data, which show</w:t>
      </w:r>
      <w:r w:rsidR="00CF3449" w:rsidRPr="00EE5714">
        <w:rPr>
          <w:rFonts w:ascii="Times New Roman" w:eastAsiaTheme="minorEastAsia" w:hAnsi="Times New Roman" w:cs="Times New Roman"/>
          <w:sz w:val="26"/>
          <w:szCs w:val="26"/>
        </w:rPr>
        <w:t>ed</w:t>
      </w:r>
      <w:r w:rsidRPr="00EE5714">
        <w:rPr>
          <w:rFonts w:ascii="Times New Roman" w:eastAsiaTheme="minorEastAsia" w:hAnsi="Times New Roman" w:cs="Times New Roman"/>
          <w:sz w:val="26"/>
          <w:szCs w:val="26"/>
        </w:rPr>
        <w:t xml:space="preserve"> that approximately 70% of bills were paid by CAP customers at the 0</w:t>
      </w:r>
      <w:r w:rsidR="00CF3449" w:rsidRPr="00EE5714">
        <w:rPr>
          <w:rFonts w:ascii="Times New Roman" w:eastAsiaTheme="minorEastAsia" w:hAnsi="Times New Roman" w:cs="Times New Roman"/>
          <w:sz w:val="26"/>
          <w:szCs w:val="26"/>
        </w:rPr>
        <w:t>%</w:t>
      </w:r>
      <w:r w:rsidRPr="00EE5714">
        <w:rPr>
          <w:rFonts w:ascii="Times New Roman" w:eastAsiaTheme="minorEastAsia" w:hAnsi="Times New Roman" w:cs="Times New Roman"/>
          <w:sz w:val="26"/>
          <w:szCs w:val="26"/>
        </w:rPr>
        <w:t xml:space="preserve"> to 50% FPIG level.  This difference in the percentage of bills paid could be attribute</w:t>
      </w:r>
      <w:r w:rsidR="00CF3449" w:rsidRPr="00EE5714">
        <w:rPr>
          <w:rFonts w:ascii="Times New Roman" w:eastAsiaTheme="minorEastAsia" w:hAnsi="Times New Roman" w:cs="Times New Roman"/>
          <w:sz w:val="26"/>
          <w:szCs w:val="26"/>
        </w:rPr>
        <w:t>d</w:t>
      </w:r>
      <w:r w:rsidRPr="00EE5714">
        <w:rPr>
          <w:rFonts w:ascii="Times New Roman" w:eastAsiaTheme="minorEastAsia" w:hAnsi="Times New Roman" w:cs="Times New Roman"/>
          <w:sz w:val="26"/>
          <w:szCs w:val="26"/>
        </w:rPr>
        <w:t xml:space="preserve"> to the lower price of natural gas in comparison to electricity; however, this point cannot be determined without additional information from the utilities.</w:t>
      </w:r>
    </w:p>
    <w:p w14:paraId="54A245D4" w14:textId="77777777" w:rsidR="00084D13" w:rsidRPr="00EE5714" w:rsidRDefault="00084D13" w:rsidP="00084D13">
      <w:pPr>
        <w:spacing w:after="0" w:line="240" w:lineRule="auto"/>
        <w:ind w:firstLine="720"/>
        <w:rPr>
          <w:rFonts w:ascii="Times New Roman" w:eastAsiaTheme="minorEastAsia" w:hAnsi="Times New Roman" w:cs="Times New Roman"/>
          <w:sz w:val="26"/>
          <w:szCs w:val="26"/>
        </w:rPr>
      </w:pPr>
    </w:p>
    <w:p w14:paraId="705DC714" w14:textId="5BFAF310" w:rsidR="00084D13" w:rsidRPr="00EE5714" w:rsidRDefault="00084D13" w:rsidP="00084D13">
      <w:pPr>
        <w:spacing w:after="0" w:line="240" w:lineRule="auto"/>
        <w:ind w:firstLine="720"/>
        <w:rPr>
          <w:rFonts w:ascii="Times New Roman" w:eastAsiaTheme="minorEastAsia" w:hAnsi="Times New Roman" w:cs="Times New Roman"/>
          <w:sz w:val="26"/>
          <w:szCs w:val="26"/>
        </w:rPr>
      </w:pPr>
      <w:r w:rsidRPr="00EE5714">
        <w:rPr>
          <w:rFonts w:ascii="Times New Roman" w:eastAsiaTheme="minorEastAsia" w:hAnsi="Times New Roman" w:cs="Times New Roman"/>
          <w:sz w:val="26"/>
          <w:szCs w:val="26"/>
        </w:rPr>
        <w:t xml:space="preserve">In examining annual data for each EDC at the 0 to 50% FPIG level, most EDCs reported that at least 35 to 65% of electric heating bills were paid by CAP customers during this five-year period.  Staff notes more variability within the time frame for each EDC than is seen in the industry average.  Met-Ed, </w:t>
      </w:r>
      <w:proofErr w:type="spellStart"/>
      <w:r w:rsidRPr="00EE5714">
        <w:rPr>
          <w:rFonts w:ascii="Times New Roman" w:eastAsiaTheme="minorEastAsia" w:hAnsi="Times New Roman" w:cs="Times New Roman"/>
          <w:sz w:val="26"/>
          <w:szCs w:val="26"/>
        </w:rPr>
        <w:t>Penelec</w:t>
      </w:r>
      <w:proofErr w:type="spellEnd"/>
      <w:r w:rsidRPr="00EE5714">
        <w:rPr>
          <w:rFonts w:ascii="Times New Roman" w:eastAsiaTheme="minorEastAsia" w:hAnsi="Times New Roman" w:cs="Times New Roman"/>
          <w:sz w:val="26"/>
          <w:szCs w:val="26"/>
        </w:rPr>
        <w:t>, and Penn Power had similar profiles, but the other EDCs display profiles that do not parallel the three FirstEnergy profiles or each other.  The data do not provide any explanation for these regional differences or fluctuations.</w:t>
      </w:r>
    </w:p>
    <w:p w14:paraId="58AB4E23" w14:textId="77777777" w:rsidR="00084D13" w:rsidRPr="00EE5714" w:rsidRDefault="00084D13" w:rsidP="00084D13">
      <w:pPr>
        <w:spacing w:after="0" w:line="240" w:lineRule="auto"/>
        <w:ind w:firstLine="720"/>
        <w:rPr>
          <w:rFonts w:ascii="Times New Roman" w:eastAsiaTheme="minorEastAsia" w:hAnsi="Times New Roman" w:cs="Times New Roman"/>
          <w:sz w:val="26"/>
          <w:szCs w:val="26"/>
        </w:rPr>
      </w:pPr>
    </w:p>
    <w:p w14:paraId="3EE188EE" w14:textId="77777777" w:rsidR="00084D13" w:rsidRPr="00EE5714" w:rsidRDefault="00084D13" w:rsidP="00084D13">
      <w:pPr>
        <w:spacing w:after="0" w:line="240" w:lineRule="auto"/>
        <w:ind w:firstLine="720"/>
        <w:rPr>
          <w:rFonts w:ascii="Times New Roman" w:eastAsiaTheme="minorEastAsia" w:hAnsi="Times New Roman" w:cs="Times New Roman"/>
          <w:sz w:val="26"/>
          <w:szCs w:val="26"/>
        </w:rPr>
      </w:pPr>
      <w:r w:rsidRPr="00EE5714">
        <w:rPr>
          <w:rFonts w:ascii="Times New Roman" w:eastAsiaTheme="minorEastAsia" w:hAnsi="Times New Roman" w:cs="Times New Roman"/>
          <w:sz w:val="26"/>
          <w:szCs w:val="26"/>
        </w:rPr>
        <w:t>In contrast, the data at the 51 to 100% and 101 to 150% FPIG levels indicate</w:t>
      </w:r>
      <w:r w:rsidR="00B114CA" w:rsidRPr="00EE5714">
        <w:rPr>
          <w:rFonts w:ascii="Times New Roman" w:eastAsiaTheme="minorEastAsia" w:hAnsi="Times New Roman" w:cs="Times New Roman"/>
          <w:sz w:val="26"/>
          <w:szCs w:val="26"/>
        </w:rPr>
        <w:t>d</w:t>
      </w:r>
      <w:r w:rsidRPr="00EE5714">
        <w:rPr>
          <w:rFonts w:ascii="Times New Roman" w:eastAsiaTheme="minorEastAsia" w:hAnsi="Times New Roman" w:cs="Times New Roman"/>
          <w:sz w:val="26"/>
          <w:szCs w:val="26"/>
        </w:rPr>
        <w:t xml:space="preserve"> that a greater percentage of bills were paid by CAP electric heating customers at these FPIG levels in comparison to the percentage of bills paid by CAP electric heating customers at the 0 to 50% FPIG level.  Based on weighted industry average data, approximately 60% of CAP bills were paid by CAP electric heating customers at the 51 to 100% and 101 to 150% FPIG levels.  While this information show</w:t>
      </w:r>
      <w:r w:rsidR="0000466C" w:rsidRPr="00EE5714">
        <w:rPr>
          <w:rFonts w:ascii="Times New Roman" w:eastAsiaTheme="minorEastAsia" w:hAnsi="Times New Roman" w:cs="Times New Roman"/>
          <w:sz w:val="26"/>
          <w:szCs w:val="26"/>
        </w:rPr>
        <w:t>ed</w:t>
      </w:r>
      <w:r w:rsidRPr="00EE5714">
        <w:rPr>
          <w:rFonts w:ascii="Times New Roman" w:eastAsiaTheme="minorEastAsia" w:hAnsi="Times New Roman" w:cs="Times New Roman"/>
          <w:sz w:val="26"/>
          <w:szCs w:val="26"/>
        </w:rPr>
        <w:t xml:space="preserve"> a positive trend in payments made as household income increases, the increase in the percentage of CAP electric heating bills paid by customers at the 51 to 100% and 101 to 150% FPIG levels </w:t>
      </w:r>
      <w:r w:rsidR="0000466C" w:rsidRPr="00EE5714">
        <w:rPr>
          <w:rFonts w:ascii="Times New Roman" w:eastAsiaTheme="minorEastAsia" w:hAnsi="Times New Roman" w:cs="Times New Roman"/>
          <w:sz w:val="26"/>
          <w:szCs w:val="26"/>
        </w:rPr>
        <w:t>wa</w:t>
      </w:r>
      <w:r w:rsidRPr="00EE5714">
        <w:rPr>
          <w:rFonts w:ascii="Times New Roman" w:eastAsiaTheme="minorEastAsia" w:hAnsi="Times New Roman" w:cs="Times New Roman"/>
          <w:sz w:val="26"/>
          <w:szCs w:val="26"/>
        </w:rPr>
        <w:t xml:space="preserve">s </w:t>
      </w:r>
      <w:r w:rsidRPr="00EE5714">
        <w:rPr>
          <w:rFonts w:ascii="Times New Roman" w:eastAsiaTheme="minorEastAsia" w:hAnsi="Times New Roman" w:cs="Times New Roman"/>
          <w:sz w:val="26"/>
          <w:szCs w:val="26"/>
        </w:rPr>
        <w:lastRenderedPageBreak/>
        <w:t xml:space="preserve">nominal.  Particularly noteworthy are the data provided by several EDCs that show </w:t>
      </w:r>
      <w:r w:rsidRPr="00EE5714">
        <w:rPr>
          <w:rFonts w:ascii="Times New Roman" w:eastAsiaTheme="minorEastAsia" w:hAnsi="Times New Roman" w:cs="Times New Roman"/>
          <w:i/>
          <w:iCs/>
          <w:sz w:val="26"/>
          <w:szCs w:val="26"/>
        </w:rPr>
        <w:t>fewer</w:t>
      </w:r>
      <w:r w:rsidRPr="00EE5714">
        <w:rPr>
          <w:rFonts w:ascii="Times New Roman" w:eastAsiaTheme="minorEastAsia" w:hAnsi="Times New Roman" w:cs="Times New Roman"/>
          <w:sz w:val="26"/>
          <w:szCs w:val="26"/>
        </w:rPr>
        <w:t xml:space="preserve"> CAP electric heating customers at the 101 to 150% FPIG level paid their bills in comparison to the percentage of bills paid by CAP electric heating customers at the 51</w:t>
      </w:r>
      <w:r w:rsidR="0000466C" w:rsidRPr="00EE5714">
        <w:rPr>
          <w:rFonts w:ascii="Times New Roman" w:eastAsiaTheme="minorEastAsia" w:hAnsi="Times New Roman" w:cs="Times New Roman"/>
          <w:sz w:val="26"/>
          <w:szCs w:val="26"/>
        </w:rPr>
        <w:t>%</w:t>
      </w:r>
      <w:r w:rsidRPr="00EE5714">
        <w:rPr>
          <w:rFonts w:ascii="Times New Roman" w:eastAsiaTheme="minorEastAsia" w:hAnsi="Times New Roman" w:cs="Times New Roman"/>
          <w:sz w:val="26"/>
          <w:szCs w:val="26"/>
        </w:rPr>
        <w:t xml:space="preserve"> to 100% FPIG level.  Thus, the extent to which household income impact</w:t>
      </w:r>
      <w:r w:rsidR="0000466C" w:rsidRPr="00EE5714">
        <w:rPr>
          <w:rFonts w:ascii="Times New Roman" w:eastAsiaTheme="minorEastAsia" w:hAnsi="Times New Roman" w:cs="Times New Roman"/>
          <w:sz w:val="26"/>
          <w:szCs w:val="26"/>
        </w:rPr>
        <w:t>ed</w:t>
      </w:r>
      <w:r w:rsidRPr="00EE5714">
        <w:rPr>
          <w:rFonts w:ascii="Times New Roman" w:eastAsiaTheme="minorEastAsia" w:hAnsi="Times New Roman" w:cs="Times New Roman"/>
          <w:sz w:val="26"/>
          <w:szCs w:val="26"/>
        </w:rPr>
        <w:t xml:space="preserve"> or influence</w:t>
      </w:r>
      <w:r w:rsidR="0000466C" w:rsidRPr="00EE5714">
        <w:rPr>
          <w:rFonts w:ascii="Times New Roman" w:eastAsiaTheme="minorEastAsia" w:hAnsi="Times New Roman" w:cs="Times New Roman"/>
          <w:sz w:val="26"/>
          <w:szCs w:val="26"/>
        </w:rPr>
        <w:t>d</w:t>
      </w:r>
      <w:r w:rsidRPr="00EE5714">
        <w:rPr>
          <w:rFonts w:ascii="Times New Roman" w:eastAsiaTheme="minorEastAsia" w:hAnsi="Times New Roman" w:cs="Times New Roman"/>
          <w:sz w:val="26"/>
          <w:szCs w:val="26"/>
        </w:rPr>
        <w:t xml:space="preserve"> the percent of EDC CAP utility bills paid in-full is unclear.</w:t>
      </w:r>
    </w:p>
    <w:p w14:paraId="6D4EE1BC" w14:textId="77777777" w:rsidR="00084D13" w:rsidRPr="00EE5714" w:rsidRDefault="00084D13" w:rsidP="00084D13">
      <w:pPr>
        <w:spacing w:after="0" w:line="240" w:lineRule="auto"/>
        <w:ind w:firstLine="720"/>
        <w:rPr>
          <w:rFonts w:ascii="Times New Roman" w:eastAsiaTheme="minorEastAsia" w:hAnsi="Times New Roman" w:cs="Times New Roman"/>
          <w:sz w:val="26"/>
          <w:szCs w:val="26"/>
        </w:rPr>
      </w:pPr>
    </w:p>
    <w:p w14:paraId="0636C9E2" w14:textId="77777777" w:rsidR="00D60D87" w:rsidRPr="00EE5714" w:rsidRDefault="00D60D87" w:rsidP="008F48B4">
      <w:pPr>
        <w:keepNext/>
        <w:keepLines/>
        <w:spacing w:after="0" w:line="240" w:lineRule="auto"/>
        <w:contextualSpacing/>
        <w:jc w:val="center"/>
        <w:rPr>
          <w:rFonts w:ascii="Times New Roman" w:eastAsiaTheme="minorEastAsia" w:hAnsi="Times New Roman" w:cs="Times New Roman"/>
          <w:b/>
          <w:bCs/>
          <w:sz w:val="26"/>
          <w:szCs w:val="26"/>
        </w:rPr>
      </w:pPr>
      <w:r w:rsidRPr="00EE5714">
        <w:rPr>
          <w:rFonts w:ascii="Times New Roman" w:eastAsiaTheme="minorEastAsia" w:hAnsi="Times New Roman" w:cs="Times New Roman"/>
          <w:b/>
          <w:bCs/>
          <w:sz w:val="26"/>
          <w:szCs w:val="26"/>
        </w:rPr>
        <w:t xml:space="preserve">Observations </w:t>
      </w:r>
    </w:p>
    <w:p w14:paraId="7EEB9BD2" w14:textId="77777777" w:rsidR="00EF1D37" w:rsidRPr="00EE5714" w:rsidRDefault="00EF1D37" w:rsidP="008F48B4">
      <w:pPr>
        <w:keepNext/>
        <w:keepLines/>
        <w:spacing w:after="0" w:line="240" w:lineRule="auto"/>
        <w:contextualSpacing/>
        <w:jc w:val="center"/>
        <w:rPr>
          <w:rFonts w:ascii="Times New Roman" w:eastAsiaTheme="minorEastAsia" w:hAnsi="Times New Roman" w:cs="Times New Roman"/>
          <w:sz w:val="26"/>
          <w:szCs w:val="26"/>
        </w:rPr>
      </w:pPr>
    </w:p>
    <w:p w14:paraId="2FC5B463" w14:textId="77777777" w:rsidR="00D60D87" w:rsidRPr="00EE5714" w:rsidRDefault="00D60D87" w:rsidP="008F48B4">
      <w:pPr>
        <w:keepNext/>
        <w:keepLines/>
        <w:shd w:val="clear" w:color="auto" w:fill="FFFFFF" w:themeFill="background1"/>
        <w:spacing w:after="0" w:line="240" w:lineRule="auto"/>
        <w:contextualSpacing/>
        <w:rPr>
          <w:rFonts w:ascii="Times New Roman" w:hAnsi="Times New Roman" w:cs="Times New Roman"/>
          <w:sz w:val="26"/>
          <w:szCs w:val="26"/>
        </w:rPr>
      </w:pPr>
      <w:r w:rsidRPr="00EE5714">
        <w:rPr>
          <w:rFonts w:ascii="Times New Roman" w:hAnsi="Times New Roman" w:cs="Times New Roman"/>
          <w:b/>
          <w:sz w:val="26"/>
          <w:szCs w:val="26"/>
        </w:rPr>
        <w:tab/>
      </w:r>
      <w:r w:rsidRPr="00EE5714">
        <w:rPr>
          <w:rFonts w:ascii="Times New Roman" w:hAnsi="Times New Roman" w:cs="Times New Roman"/>
          <w:sz w:val="26"/>
          <w:szCs w:val="26"/>
        </w:rPr>
        <w:t>With the collection and assessment of the data noted above,</w:t>
      </w:r>
      <w:r w:rsidRPr="00EE5714">
        <w:rPr>
          <w:rFonts w:ascii="Times New Roman" w:hAnsi="Times New Roman" w:cs="Times New Roman"/>
          <w:b/>
          <w:bCs/>
          <w:sz w:val="26"/>
          <w:szCs w:val="26"/>
        </w:rPr>
        <w:t xml:space="preserve"> </w:t>
      </w:r>
      <w:r w:rsidRPr="00EE5714">
        <w:rPr>
          <w:rFonts w:ascii="Times New Roman" w:hAnsi="Times New Roman" w:cs="Times New Roman"/>
          <w:sz w:val="26"/>
          <w:szCs w:val="26"/>
        </w:rPr>
        <w:t xml:space="preserve">several observations </w:t>
      </w:r>
      <w:r w:rsidR="008A15A0" w:rsidRPr="00EE5714">
        <w:rPr>
          <w:rFonts w:ascii="Times New Roman" w:hAnsi="Times New Roman" w:cs="Times New Roman"/>
          <w:sz w:val="26"/>
          <w:szCs w:val="26"/>
        </w:rPr>
        <w:t>are offered</w:t>
      </w:r>
      <w:r w:rsidRPr="00EE5714">
        <w:rPr>
          <w:rFonts w:ascii="Times New Roman" w:hAnsi="Times New Roman" w:cs="Times New Roman"/>
          <w:sz w:val="26"/>
          <w:szCs w:val="26"/>
        </w:rPr>
        <w:t xml:space="preserve">:  </w:t>
      </w:r>
    </w:p>
    <w:p w14:paraId="4EA5FF6C" w14:textId="77777777" w:rsidR="00D60D87" w:rsidRPr="00EE5714" w:rsidRDefault="00D60D87" w:rsidP="008F48B4">
      <w:pPr>
        <w:keepNext/>
        <w:keepLines/>
        <w:spacing w:after="0" w:line="240" w:lineRule="auto"/>
        <w:contextualSpacing/>
        <w:rPr>
          <w:rFonts w:ascii="Times New Roman" w:eastAsiaTheme="minorEastAsia" w:hAnsi="Times New Roman" w:cs="Times New Roman"/>
          <w:sz w:val="26"/>
          <w:szCs w:val="26"/>
        </w:rPr>
      </w:pPr>
    </w:p>
    <w:p w14:paraId="5144BAAF" w14:textId="441656C8" w:rsidR="00D60D87" w:rsidRPr="00EE5714" w:rsidRDefault="00D60D87" w:rsidP="007D5276">
      <w:pPr>
        <w:keepNext/>
        <w:keepLines/>
        <w:numPr>
          <w:ilvl w:val="0"/>
          <w:numId w:val="10"/>
        </w:numPr>
        <w:shd w:val="clear" w:color="auto" w:fill="FFFFFF" w:themeFill="background1"/>
        <w:spacing w:after="0" w:line="240" w:lineRule="auto"/>
        <w:ind w:left="1440" w:hanging="720"/>
        <w:contextualSpacing/>
        <w:rPr>
          <w:rFonts w:ascii="Times New Roman" w:hAnsi="Times New Roman" w:cs="Times New Roman"/>
          <w:sz w:val="26"/>
          <w:szCs w:val="26"/>
        </w:rPr>
      </w:pPr>
      <w:r w:rsidRPr="00EE5714">
        <w:rPr>
          <w:rFonts w:ascii="Times New Roman" w:hAnsi="Times New Roman" w:cs="Times New Roman"/>
          <w:sz w:val="26"/>
          <w:szCs w:val="26"/>
        </w:rPr>
        <w:t>The billing system</w:t>
      </w:r>
      <w:r w:rsidR="00E277C2" w:rsidRPr="00EE5714">
        <w:rPr>
          <w:rFonts w:ascii="Times New Roman" w:hAnsi="Times New Roman" w:cs="Times New Roman"/>
          <w:sz w:val="26"/>
          <w:szCs w:val="26"/>
        </w:rPr>
        <w:t xml:space="preserve"> changes and upgrades </w:t>
      </w:r>
      <w:r w:rsidRPr="00EE5714">
        <w:rPr>
          <w:rFonts w:ascii="Times New Roman" w:hAnsi="Times New Roman" w:cs="Times New Roman"/>
          <w:sz w:val="26"/>
          <w:szCs w:val="26"/>
        </w:rPr>
        <w:t xml:space="preserve">of NGDCs </w:t>
      </w:r>
      <w:r w:rsidR="00DE271B" w:rsidRPr="00EE5714">
        <w:rPr>
          <w:rFonts w:ascii="Times New Roman" w:hAnsi="Times New Roman" w:cs="Times New Roman"/>
          <w:sz w:val="26"/>
          <w:szCs w:val="26"/>
        </w:rPr>
        <w:t xml:space="preserve">and EDCs </w:t>
      </w:r>
      <w:r w:rsidR="00115140" w:rsidRPr="00EE5714">
        <w:rPr>
          <w:rFonts w:ascii="Times New Roman" w:hAnsi="Times New Roman" w:cs="Times New Roman"/>
          <w:sz w:val="26"/>
          <w:szCs w:val="26"/>
        </w:rPr>
        <w:t>appear</w:t>
      </w:r>
      <w:r w:rsidR="0040566D" w:rsidRPr="00EE5714">
        <w:rPr>
          <w:rFonts w:ascii="Times New Roman" w:hAnsi="Times New Roman" w:cs="Times New Roman"/>
          <w:sz w:val="26"/>
          <w:szCs w:val="26"/>
        </w:rPr>
        <w:t>ed</w:t>
      </w:r>
      <w:r w:rsidR="00115140" w:rsidRPr="00EE5714">
        <w:rPr>
          <w:rFonts w:ascii="Times New Roman" w:hAnsi="Times New Roman" w:cs="Times New Roman"/>
          <w:sz w:val="26"/>
          <w:szCs w:val="26"/>
        </w:rPr>
        <w:t xml:space="preserve"> to a</w:t>
      </w:r>
      <w:r w:rsidRPr="00EE5714">
        <w:rPr>
          <w:rFonts w:ascii="Times New Roman" w:hAnsi="Times New Roman" w:cs="Times New Roman"/>
          <w:sz w:val="26"/>
          <w:szCs w:val="26"/>
        </w:rPr>
        <w:t>ffect CAP monthly billing amounts and th</w:t>
      </w:r>
      <w:r w:rsidR="009A590C" w:rsidRPr="00EE5714">
        <w:rPr>
          <w:rFonts w:ascii="Times New Roman" w:hAnsi="Times New Roman" w:cs="Times New Roman"/>
          <w:sz w:val="26"/>
          <w:szCs w:val="26"/>
        </w:rPr>
        <w:t>us</w:t>
      </w:r>
      <w:r w:rsidRPr="00EE5714">
        <w:rPr>
          <w:rFonts w:ascii="Times New Roman" w:hAnsi="Times New Roman" w:cs="Times New Roman"/>
          <w:sz w:val="26"/>
          <w:szCs w:val="26"/>
        </w:rPr>
        <w:t xml:space="preserve"> influence</w:t>
      </w:r>
      <w:r w:rsidR="0040566D" w:rsidRPr="00EE5714">
        <w:rPr>
          <w:rFonts w:ascii="Times New Roman" w:hAnsi="Times New Roman" w:cs="Times New Roman"/>
          <w:sz w:val="26"/>
          <w:szCs w:val="26"/>
        </w:rPr>
        <w:t>d</w:t>
      </w:r>
      <w:r w:rsidRPr="00EE5714">
        <w:rPr>
          <w:rFonts w:ascii="Times New Roman" w:hAnsi="Times New Roman" w:cs="Times New Roman"/>
          <w:sz w:val="26"/>
          <w:szCs w:val="26"/>
        </w:rPr>
        <w:t xml:space="preserve"> whether utility bills </w:t>
      </w:r>
      <w:r w:rsidR="0040566D" w:rsidRPr="00EE5714">
        <w:rPr>
          <w:rFonts w:ascii="Times New Roman" w:hAnsi="Times New Roman" w:cs="Times New Roman"/>
          <w:sz w:val="26"/>
          <w:szCs w:val="26"/>
        </w:rPr>
        <w:t>we</w:t>
      </w:r>
      <w:r w:rsidRPr="00EE5714">
        <w:rPr>
          <w:rFonts w:ascii="Times New Roman" w:hAnsi="Times New Roman" w:cs="Times New Roman"/>
          <w:sz w:val="26"/>
          <w:szCs w:val="26"/>
        </w:rPr>
        <w:t xml:space="preserve">re paid in-full.   </w:t>
      </w:r>
    </w:p>
    <w:p w14:paraId="54BAAD5B" w14:textId="77777777" w:rsidR="00D60D87" w:rsidRPr="00EE5714" w:rsidRDefault="00D60D87" w:rsidP="002175CB">
      <w:pPr>
        <w:spacing w:after="0" w:line="240" w:lineRule="auto"/>
        <w:contextualSpacing/>
        <w:rPr>
          <w:rFonts w:ascii="Times New Roman" w:eastAsiaTheme="minorEastAsia" w:hAnsi="Times New Roman" w:cs="Times New Roman"/>
          <w:sz w:val="26"/>
          <w:szCs w:val="26"/>
        </w:rPr>
      </w:pPr>
    </w:p>
    <w:p w14:paraId="18995779" w14:textId="4887AABB" w:rsidR="00D60D87" w:rsidRPr="00EE5714" w:rsidRDefault="00D105D6" w:rsidP="007D5276">
      <w:pPr>
        <w:numPr>
          <w:ilvl w:val="0"/>
          <w:numId w:val="10"/>
        </w:numPr>
        <w:shd w:val="clear" w:color="auto" w:fill="FFFFFF" w:themeFill="background1"/>
        <w:spacing w:after="0" w:line="240" w:lineRule="auto"/>
        <w:ind w:left="1440" w:hanging="720"/>
        <w:contextualSpacing/>
        <w:rPr>
          <w:rFonts w:ascii="Times New Roman" w:hAnsi="Times New Roman" w:cs="Times New Roman"/>
          <w:sz w:val="26"/>
          <w:szCs w:val="26"/>
        </w:rPr>
      </w:pPr>
      <w:r w:rsidRPr="00EE5714">
        <w:rPr>
          <w:rFonts w:ascii="Times New Roman" w:hAnsi="Times New Roman" w:cs="Times New Roman"/>
          <w:sz w:val="26"/>
          <w:szCs w:val="26"/>
        </w:rPr>
        <w:t>Some of t</w:t>
      </w:r>
      <w:r w:rsidR="00D60D87" w:rsidRPr="00EE5714">
        <w:rPr>
          <w:rFonts w:ascii="Times New Roman" w:hAnsi="Times New Roman" w:cs="Times New Roman"/>
          <w:sz w:val="26"/>
          <w:szCs w:val="26"/>
        </w:rPr>
        <w:t xml:space="preserve">he data submitted by </w:t>
      </w:r>
      <w:r w:rsidR="007D63EF" w:rsidRPr="00EE5714">
        <w:rPr>
          <w:rFonts w:ascii="Times New Roman" w:hAnsi="Times New Roman" w:cs="Times New Roman"/>
          <w:sz w:val="26"/>
          <w:szCs w:val="26"/>
        </w:rPr>
        <w:t xml:space="preserve">the </w:t>
      </w:r>
      <w:r w:rsidR="00D60D87" w:rsidRPr="00EE5714">
        <w:rPr>
          <w:rFonts w:ascii="Times New Roman" w:hAnsi="Times New Roman" w:cs="Times New Roman"/>
          <w:sz w:val="26"/>
          <w:szCs w:val="26"/>
        </w:rPr>
        <w:t xml:space="preserve">NGDCs </w:t>
      </w:r>
      <w:r w:rsidR="007D63EF" w:rsidRPr="00EE5714">
        <w:rPr>
          <w:rFonts w:ascii="Times New Roman" w:hAnsi="Times New Roman" w:cs="Times New Roman"/>
          <w:sz w:val="26"/>
          <w:szCs w:val="26"/>
        </w:rPr>
        <w:t xml:space="preserve">and NGDCs </w:t>
      </w:r>
      <w:r w:rsidR="00D60D87" w:rsidRPr="00EE5714">
        <w:rPr>
          <w:rFonts w:ascii="Times New Roman" w:hAnsi="Times New Roman" w:cs="Times New Roman"/>
          <w:sz w:val="26"/>
          <w:szCs w:val="26"/>
        </w:rPr>
        <w:t xml:space="preserve">in response to the data request for this report </w:t>
      </w:r>
      <w:r w:rsidR="007D63EF" w:rsidRPr="00EE5714">
        <w:rPr>
          <w:rFonts w:ascii="Times New Roman" w:hAnsi="Times New Roman" w:cs="Times New Roman"/>
          <w:sz w:val="26"/>
          <w:szCs w:val="26"/>
        </w:rPr>
        <w:t xml:space="preserve">were </w:t>
      </w:r>
      <w:r w:rsidR="00D60D87" w:rsidRPr="00EE5714">
        <w:rPr>
          <w:rFonts w:ascii="Times New Roman" w:hAnsi="Times New Roman" w:cs="Times New Roman"/>
          <w:sz w:val="26"/>
          <w:szCs w:val="26"/>
        </w:rPr>
        <w:t>inconsistent</w:t>
      </w:r>
      <w:r w:rsidR="00242F85" w:rsidRPr="00EE5714">
        <w:rPr>
          <w:rFonts w:ascii="Times New Roman" w:hAnsi="Times New Roman" w:cs="Times New Roman"/>
          <w:sz w:val="26"/>
          <w:szCs w:val="26"/>
        </w:rPr>
        <w:t>;</w:t>
      </w:r>
      <w:r w:rsidR="00227738" w:rsidRPr="00EE5714">
        <w:rPr>
          <w:rFonts w:ascii="Times New Roman" w:hAnsi="Times New Roman" w:cs="Times New Roman"/>
          <w:sz w:val="26"/>
          <w:szCs w:val="26"/>
        </w:rPr>
        <w:t xml:space="preserve"> </w:t>
      </w:r>
      <w:proofErr w:type="gramStart"/>
      <w:r w:rsidR="00242F85" w:rsidRPr="00EE5714">
        <w:rPr>
          <w:rFonts w:ascii="Times New Roman" w:hAnsi="Times New Roman" w:cs="Times New Roman"/>
          <w:sz w:val="26"/>
          <w:szCs w:val="26"/>
        </w:rPr>
        <w:t>therefore</w:t>
      </w:r>
      <w:proofErr w:type="gramEnd"/>
      <w:r w:rsidR="00227738" w:rsidRPr="00EE5714">
        <w:rPr>
          <w:rFonts w:ascii="Times New Roman" w:hAnsi="Times New Roman" w:cs="Times New Roman"/>
          <w:sz w:val="26"/>
          <w:szCs w:val="26"/>
        </w:rPr>
        <w:t xml:space="preserve"> staff </w:t>
      </w:r>
      <w:r w:rsidR="002C70DF" w:rsidRPr="00EE5714">
        <w:rPr>
          <w:rFonts w:ascii="Times New Roman" w:hAnsi="Times New Roman" w:cs="Times New Roman"/>
          <w:sz w:val="26"/>
          <w:szCs w:val="26"/>
        </w:rPr>
        <w:t>did</w:t>
      </w:r>
      <w:r w:rsidR="00227738" w:rsidRPr="00EE5714">
        <w:rPr>
          <w:rFonts w:ascii="Times New Roman" w:hAnsi="Times New Roman" w:cs="Times New Roman"/>
          <w:sz w:val="26"/>
          <w:szCs w:val="26"/>
        </w:rPr>
        <w:t xml:space="preserve"> not use </w:t>
      </w:r>
      <w:r w:rsidR="00242F85" w:rsidRPr="00EE5714">
        <w:rPr>
          <w:rFonts w:ascii="Times New Roman" w:hAnsi="Times New Roman" w:cs="Times New Roman"/>
          <w:sz w:val="26"/>
          <w:szCs w:val="26"/>
        </w:rPr>
        <w:t>it</w:t>
      </w:r>
      <w:r w:rsidR="00E114D0" w:rsidRPr="00EE5714">
        <w:rPr>
          <w:rFonts w:ascii="Times New Roman" w:hAnsi="Times New Roman" w:cs="Times New Roman"/>
          <w:sz w:val="26"/>
          <w:szCs w:val="26"/>
        </w:rPr>
        <w:t>.</w:t>
      </w:r>
      <w:r w:rsidR="00D60D87" w:rsidRPr="00EE5714">
        <w:rPr>
          <w:rFonts w:ascii="Times New Roman" w:hAnsi="Times New Roman" w:cs="Times New Roman"/>
          <w:sz w:val="26"/>
          <w:szCs w:val="26"/>
        </w:rPr>
        <w:t xml:space="preserve"> </w:t>
      </w:r>
      <w:r w:rsidR="004573C1" w:rsidRPr="00EE5714">
        <w:rPr>
          <w:rFonts w:ascii="Times New Roman" w:hAnsi="Times New Roman" w:cs="Times New Roman"/>
          <w:sz w:val="26"/>
          <w:szCs w:val="26"/>
        </w:rPr>
        <w:t xml:space="preserve"> </w:t>
      </w:r>
    </w:p>
    <w:p w14:paraId="4DBD8783" w14:textId="77777777" w:rsidR="00D60D87" w:rsidRPr="00EE5714" w:rsidRDefault="00D60D87" w:rsidP="002175CB">
      <w:pPr>
        <w:spacing w:after="0" w:line="240" w:lineRule="auto"/>
        <w:contextualSpacing/>
        <w:rPr>
          <w:rFonts w:ascii="Times New Roman" w:eastAsiaTheme="minorEastAsia" w:hAnsi="Times New Roman" w:cs="Times New Roman"/>
          <w:sz w:val="26"/>
          <w:szCs w:val="26"/>
        </w:rPr>
      </w:pPr>
    </w:p>
    <w:p w14:paraId="7B047C29" w14:textId="6206EEA7" w:rsidR="00D60D87" w:rsidRPr="00EE5714" w:rsidRDefault="00D60D87" w:rsidP="007D5276">
      <w:pPr>
        <w:numPr>
          <w:ilvl w:val="0"/>
          <w:numId w:val="3"/>
        </w:numPr>
        <w:shd w:val="clear" w:color="auto" w:fill="FFFFFF" w:themeFill="background1"/>
        <w:spacing w:after="0" w:line="240" w:lineRule="auto"/>
        <w:ind w:left="1440" w:hanging="720"/>
        <w:contextualSpacing/>
        <w:rPr>
          <w:rFonts w:ascii="Times New Roman" w:hAnsi="Times New Roman" w:cs="Times New Roman"/>
          <w:sz w:val="26"/>
          <w:szCs w:val="26"/>
        </w:rPr>
      </w:pPr>
      <w:r w:rsidRPr="00EE5714">
        <w:rPr>
          <w:rFonts w:ascii="Times New Roman" w:hAnsi="Times New Roman" w:cs="Times New Roman"/>
          <w:sz w:val="26"/>
          <w:szCs w:val="26"/>
        </w:rPr>
        <w:t>Payment behavior of CAP customers d</w:t>
      </w:r>
      <w:r w:rsidR="002C70DF" w:rsidRPr="00EE5714">
        <w:rPr>
          <w:rFonts w:ascii="Times New Roman" w:hAnsi="Times New Roman" w:cs="Times New Roman"/>
          <w:sz w:val="26"/>
          <w:szCs w:val="26"/>
        </w:rPr>
        <w:t>id</w:t>
      </w:r>
      <w:r w:rsidRPr="00EE5714">
        <w:rPr>
          <w:rFonts w:ascii="Times New Roman" w:hAnsi="Times New Roman" w:cs="Times New Roman"/>
          <w:sz w:val="26"/>
          <w:szCs w:val="26"/>
        </w:rPr>
        <w:t xml:space="preserve"> not appear to be strongly or definitively correlated to household income.  This observation is particularly applicable to those CAP customers at the 51</w:t>
      </w:r>
      <w:r w:rsidR="002C70DF" w:rsidRPr="00EE5714">
        <w:rPr>
          <w:rFonts w:ascii="Times New Roman" w:hAnsi="Times New Roman" w:cs="Times New Roman"/>
          <w:sz w:val="26"/>
          <w:szCs w:val="26"/>
        </w:rPr>
        <w:t>%</w:t>
      </w:r>
      <w:r w:rsidR="00227738" w:rsidRPr="00EE5714">
        <w:rPr>
          <w:rFonts w:ascii="Times New Roman" w:hAnsi="Times New Roman" w:cs="Times New Roman"/>
          <w:sz w:val="26"/>
          <w:szCs w:val="26"/>
        </w:rPr>
        <w:t xml:space="preserve"> to</w:t>
      </w:r>
      <w:r w:rsidR="000A6D26" w:rsidRPr="00EE5714">
        <w:rPr>
          <w:rFonts w:ascii="Times New Roman" w:hAnsi="Times New Roman" w:cs="Times New Roman"/>
          <w:sz w:val="26"/>
          <w:szCs w:val="26"/>
        </w:rPr>
        <w:t xml:space="preserve"> </w:t>
      </w:r>
      <w:r w:rsidRPr="00EE5714">
        <w:rPr>
          <w:rFonts w:ascii="Times New Roman" w:hAnsi="Times New Roman" w:cs="Times New Roman"/>
          <w:sz w:val="26"/>
          <w:szCs w:val="26"/>
        </w:rPr>
        <w:t>100% and 101</w:t>
      </w:r>
      <w:r w:rsidR="002C70DF" w:rsidRPr="00EE5714">
        <w:rPr>
          <w:rFonts w:ascii="Times New Roman" w:hAnsi="Times New Roman" w:cs="Times New Roman"/>
          <w:sz w:val="26"/>
          <w:szCs w:val="26"/>
        </w:rPr>
        <w:t>%</w:t>
      </w:r>
      <w:r w:rsidR="000A6D26"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150% FPIG levels where limited variability occurred in payment patterns between the two income levels.  This </w:t>
      </w:r>
      <w:r w:rsidR="00BC5479" w:rsidRPr="00EE5714">
        <w:rPr>
          <w:rFonts w:ascii="Times New Roman" w:hAnsi="Times New Roman" w:cs="Times New Roman"/>
          <w:sz w:val="26"/>
          <w:szCs w:val="26"/>
        </w:rPr>
        <w:t xml:space="preserve">pattern may indicate </w:t>
      </w:r>
      <w:r w:rsidRPr="00EE5714">
        <w:rPr>
          <w:rFonts w:ascii="Times New Roman" w:hAnsi="Times New Roman" w:cs="Times New Roman"/>
          <w:sz w:val="26"/>
          <w:szCs w:val="26"/>
        </w:rPr>
        <w:t>that other factors – beyond income – may hav</w:t>
      </w:r>
      <w:r w:rsidR="00AF494E" w:rsidRPr="00EE5714">
        <w:rPr>
          <w:rFonts w:ascii="Times New Roman" w:hAnsi="Times New Roman" w:cs="Times New Roman"/>
          <w:sz w:val="26"/>
          <w:szCs w:val="26"/>
        </w:rPr>
        <w:t>e had</w:t>
      </w:r>
      <w:r w:rsidRPr="00EE5714">
        <w:rPr>
          <w:rFonts w:ascii="Times New Roman" w:hAnsi="Times New Roman" w:cs="Times New Roman"/>
          <w:sz w:val="26"/>
          <w:szCs w:val="26"/>
        </w:rPr>
        <w:t xml:space="preserve"> an </w:t>
      </w:r>
      <w:r w:rsidR="00BC2CA8" w:rsidRPr="00EE5714">
        <w:rPr>
          <w:rFonts w:ascii="Times New Roman" w:hAnsi="Times New Roman" w:cs="Times New Roman"/>
          <w:sz w:val="26"/>
          <w:szCs w:val="26"/>
        </w:rPr>
        <w:t>impact</w:t>
      </w:r>
      <w:r w:rsidRPr="00EE5714">
        <w:rPr>
          <w:rFonts w:ascii="Times New Roman" w:hAnsi="Times New Roman" w:cs="Times New Roman"/>
          <w:sz w:val="26"/>
          <w:szCs w:val="26"/>
        </w:rPr>
        <w:t xml:space="preserve"> on whether </w:t>
      </w:r>
      <w:r w:rsidR="00BC2CA8" w:rsidRPr="00EE5714">
        <w:rPr>
          <w:rFonts w:ascii="Times New Roman" w:hAnsi="Times New Roman" w:cs="Times New Roman"/>
          <w:sz w:val="26"/>
          <w:szCs w:val="26"/>
        </w:rPr>
        <w:t xml:space="preserve">CAP </w:t>
      </w:r>
      <w:r w:rsidRPr="00EE5714">
        <w:rPr>
          <w:rFonts w:ascii="Times New Roman" w:hAnsi="Times New Roman" w:cs="Times New Roman"/>
          <w:sz w:val="26"/>
          <w:szCs w:val="26"/>
        </w:rPr>
        <w:t xml:space="preserve">utility bills </w:t>
      </w:r>
      <w:r w:rsidR="00AF494E" w:rsidRPr="00EE5714">
        <w:rPr>
          <w:rFonts w:ascii="Times New Roman" w:hAnsi="Times New Roman" w:cs="Times New Roman"/>
          <w:sz w:val="26"/>
          <w:szCs w:val="26"/>
        </w:rPr>
        <w:t>we</w:t>
      </w:r>
      <w:r w:rsidRPr="00EE5714">
        <w:rPr>
          <w:rFonts w:ascii="Times New Roman" w:hAnsi="Times New Roman" w:cs="Times New Roman"/>
          <w:sz w:val="26"/>
          <w:szCs w:val="26"/>
        </w:rPr>
        <w:t>re regularly paid</w:t>
      </w:r>
      <w:r w:rsidR="00BC2CA8" w:rsidRPr="00EE5714">
        <w:rPr>
          <w:rFonts w:ascii="Times New Roman" w:hAnsi="Times New Roman" w:cs="Times New Roman"/>
          <w:sz w:val="26"/>
          <w:szCs w:val="26"/>
        </w:rPr>
        <w:t xml:space="preserve"> in full</w:t>
      </w:r>
      <w:r w:rsidRPr="00EE5714">
        <w:rPr>
          <w:rFonts w:ascii="Times New Roman" w:hAnsi="Times New Roman" w:cs="Times New Roman"/>
          <w:sz w:val="26"/>
          <w:szCs w:val="26"/>
        </w:rPr>
        <w:t xml:space="preserve">.     </w:t>
      </w:r>
    </w:p>
    <w:p w14:paraId="761C2D59" w14:textId="77777777" w:rsidR="00D60D87" w:rsidRPr="00EE5714" w:rsidRDefault="00D60D87" w:rsidP="002175CB">
      <w:pPr>
        <w:spacing w:after="0" w:line="240" w:lineRule="auto"/>
        <w:contextualSpacing/>
        <w:rPr>
          <w:rFonts w:ascii="Times New Roman" w:eastAsiaTheme="minorEastAsia" w:hAnsi="Times New Roman" w:cs="Times New Roman"/>
          <w:sz w:val="26"/>
          <w:szCs w:val="26"/>
        </w:rPr>
      </w:pPr>
    </w:p>
    <w:p w14:paraId="0775DB67" w14:textId="79AE19A6" w:rsidR="002C41DF" w:rsidRPr="00EE5714" w:rsidRDefault="00D60D87" w:rsidP="00CF0A71">
      <w:pPr>
        <w:numPr>
          <w:ilvl w:val="0"/>
          <w:numId w:val="10"/>
        </w:numPr>
        <w:shd w:val="clear" w:color="auto" w:fill="FFFFFF" w:themeFill="background1"/>
        <w:spacing w:after="0" w:line="240" w:lineRule="auto"/>
        <w:ind w:left="1440" w:hanging="720"/>
        <w:contextualSpacing/>
        <w:rPr>
          <w:rFonts w:ascii="Times New Roman" w:hAnsi="Times New Roman" w:cs="Times New Roman"/>
          <w:color w:val="2F5496" w:themeColor="accent1" w:themeShade="BF"/>
          <w:sz w:val="26"/>
          <w:szCs w:val="26"/>
        </w:rPr>
      </w:pPr>
      <w:r w:rsidRPr="00EE5714">
        <w:rPr>
          <w:rFonts w:ascii="Times New Roman" w:hAnsi="Times New Roman" w:cs="Times New Roman"/>
          <w:sz w:val="26"/>
          <w:szCs w:val="26"/>
        </w:rPr>
        <w:t>At the 0</w:t>
      </w:r>
      <w:r w:rsidR="00AF494E" w:rsidRPr="00EE5714">
        <w:rPr>
          <w:rFonts w:ascii="Times New Roman" w:hAnsi="Times New Roman" w:cs="Times New Roman"/>
          <w:sz w:val="26"/>
          <w:szCs w:val="26"/>
        </w:rPr>
        <w:t>%</w:t>
      </w:r>
      <w:r w:rsidR="00C27B96"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50% FPIG level, a higher percentage of NGDC CAP bills were paid in comparison to the percentage of EDC CAP bills paid at the same FPIG level.  Given the low cost of natural gas compared to electricity, this observation may be indicative that the bills of NGDC CAP customers were more affordable in comparison to the bills of EDC CAP customers during this </w:t>
      </w:r>
      <w:r w:rsidR="003C53D2" w:rsidRPr="00EE5714">
        <w:rPr>
          <w:rFonts w:ascii="Times New Roman" w:hAnsi="Times New Roman" w:cs="Times New Roman"/>
          <w:sz w:val="26"/>
          <w:szCs w:val="26"/>
        </w:rPr>
        <w:t>five</w:t>
      </w:r>
      <w:r w:rsidRPr="00EE5714">
        <w:rPr>
          <w:rFonts w:ascii="Times New Roman" w:hAnsi="Times New Roman" w:cs="Times New Roman"/>
          <w:sz w:val="26"/>
          <w:szCs w:val="26"/>
        </w:rPr>
        <w:t xml:space="preserve">-year study period; however, to conclusively determine this observation, additional data </w:t>
      </w:r>
      <w:r w:rsidR="000A6D26" w:rsidRPr="00EE5714">
        <w:rPr>
          <w:rFonts w:ascii="Times New Roman" w:hAnsi="Times New Roman" w:cs="Times New Roman"/>
          <w:sz w:val="26"/>
          <w:szCs w:val="26"/>
        </w:rPr>
        <w:t xml:space="preserve">would </w:t>
      </w:r>
      <w:r w:rsidR="000F659B" w:rsidRPr="00EE5714">
        <w:rPr>
          <w:rFonts w:ascii="Times New Roman" w:hAnsi="Times New Roman" w:cs="Times New Roman"/>
          <w:sz w:val="26"/>
          <w:szCs w:val="26"/>
        </w:rPr>
        <w:t xml:space="preserve">need to be obtained </w:t>
      </w:r>
      <w:r w:rsidRPr="00EE5714">
        <w:rPr>
          <w:rFonts w:ascii="Times New Roman" w:hAnsi="Times New Roman" w:cs="Times New Roman"/>
          <w:sz w:val="26"/>
          <w:szCs w:val="26"/>
        </w:rPr>
        <w:t xml:space="preserve">from the utilities </w:t>
      </w:r>
      <w:r w:rsidR="00BD6E81" w:rsidRPr="00EE5714">
        <w:rPr>
          <w:rFonts w:ascii="Times New Roman" w:hAnsi="Times New Roman" w:cs="Times New Roman"/>
          <w:sz w:val="26"/>
          <w:szCs w:val="26"/>
        </w:rPr>
        <w:t xml:space="preserve">and </w:t>
      </w:r>
      <w:r w:rsidR="003836FF" w:rsidRPr="00EE5714">
        <w:rPr>
          <w:rFonts w:ascii="Times New Roman" w:hAnsi="Times New Roman" w:cs="Times New Roman"/>
          <w:sz w:val="26"/>
          <w:szCs w:val="26"/>
        </w:rPr>
        <w:t>evaluated</w:t>
      </w:r>
      <w:r w:rsidRPr="00EE5714">
        <w:rPr>
          <w:rFonts w:ascii="Times New Roman" w:hAnsi="Times New Roman" w:cs="Times New Roman"/>
          <w:sz w:val="26"/>
          <w:szCs w:val="26"/>
        </w:rPr>
        <w:t>.</w:t>
      </w:r>
      <w:r w:rsidR="002C41DF" w:rsidRPr="00EE5714">
        <w:rPr>
          <w:rFonts w:ascii="Times New Roman" w:hAnsi="Times New Roman" w:cs="Times New Roman"/>
          <w:b/>
          <w:color w:val="2F5496" w:themeColor="accent1" w:themeShade="BF"/>
          <w:sz w:val="26"/>
          <w:szCs w:val="26"/>
        </w:rPr>
        <w:br w:type="page"/>
      </w:r>
    </w:p>
    <w:p w14:paraId="4F6EB63D" w14:textId="77777777" w:rsidR="006665D3" w:rsidRPr="00EE5714" w:rsidRDefault="006665D3" w:rsidP="00F07C42">
      <w:pPr>
        <w:pStyle w:val="Heading1"/>
      </w:pPr>
      <w:bookmarkStart w:id="35" w:name="_Toc533674865"/>
      <w:bookmarkStart w:id="36" w:name="_Toc534547870"/>
      <w:r w:rsidRPr="00EE5714">
        <w:lastRenderedPageBreak/>
        <w:t>VII.</w:t>
      </w:r>
      <w:r w:rsidR="00BD0744" w:rsidRPr="00EE5714">
        <w:t xml:space="preserve">  </w:t>
      </w:r>
      <w:r w:rsidRPr="00EE5714">
        <w:t xml:space="preserve">CAP Default </w:t>
      </w:r>
      <w:r w:rsidR="005E25F3" w:rsidRPr="00EE5714">
        <w:t xml:space="preserve">Exit </w:t>
      </w:r>
      <w:r w:rsidRPr="00EE5714">
        <w:t>and Termination Rates</w:t>
      </w:r>
      <w:bookmarkEnd w:id="35"/>
      <w:bookmarkEnd w:id="36"/>
    </w:p>
    <w:p w14:paraId="6552285C" w14:textId="77777777" w:rsidR="002A3F6B" w:rsidRPr="00EE5714" w:rsidRDefault="002A3F6B" w:rsidP="00220E27">
      <w:pPr>
        <w:spacing w:after="0" w:line="240" w:lineRule="auto"/>
        <w:contextualSpacing/>
        <w:jc w:val="center"/>
        <w:rPr>
          <w:rFonts w:ascii="Times New Roman" w:hAnsi="Times New Roman" w:cs="Times New Roman"/>
          <w:sz w:val="26"/>
          <w:szCs w:val="26"/>
        </w:rPr>
      </w:pPr>
    </w:p>
    <w:p w14:paraId="1BE34856" w14:textId="77777777" w:rsidR="00220E27" w:rsidRPr="00EE5714" w:rsidRDefault="00220E27" w:rsidP="00153E6F">
      <w:pPr>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Objective</w:t>
      </w:r>
    </w:p>
    <w:p w14:paraId="795AC8D4" w14:textId="77777777" w:rsidR="00220E27" w:rsidRPr="00EE5714" w:rsidRDefault="00220E27" w:rsidP="00220E27">
      <w:pPr>
        <w:spacing w:after="0" w:line="240" w:lineRule="auto"/>
        <w:contextualSpacing/>
        <w:jc w:val="center"/>
        <w:rPr>
          <w:rFonts w:ascii="Times New Roman" w:hAnsi="Times New Roman" w:cs="Times New Roman"/>
          <w:sz w:val="26"/>
          <w:szCs w:val="26"/>
        </w:rPr>
      </w:pPr>
    </w:p>
    <w:p w14:paraId="2AD7790F"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Evaluate the CAP default exit rates and CAP termination rates as possible affordability indicators to determine customer success in meeting the requirements of CAPs.  Determine if a correlation exists between CAP default exit rates and CAP termination rates.</w:t>
      </w:r>
    </w:p>
    <w:p w14:paraId="274BFAA9" w14:textId="77777777" w:rsidR="00220E27" w:rsidRPr="00EE5714" w:rsidRDefault="00220E27" w:rsidP="00220E27">
      <w:pPr>
        <w:spacing w:after="0" w:line="240" w:lineRule="auto"/>
        <w:contextualSpacing/>
        <w:rPr>
          <w:rFonts w:ascii="Times New Roman" w:hAnsi="Times New Roman" w:cs="Times New Roman"/>
          <w:sz w:val="26"/>
          <w:szCs w:val="26"/>
        </w:rPr>
      </w:pPr>
    </w:p>
    <w:p w14:paraId="28DBE071" w14:textId="77777777" w:rsidR="00220E27" w:rsidRPr="00EE5714" w:rsidRDefault="00220E27" w:rsidP="00153E6F">
      <w:pPr>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Background</w:t>
      </w:r>
    </w:p>
    <w:p w14:paraId="163E07A0" w14:textId="77777777" w:rsidR="00220E27" w:rsidRPr="00EE5714" w:rsidRDefault="00220E27" w:rsidP="00220E27">
      <w:pPr>
        <w:spacing w:after="0" w:line="240" w:lineRule="auto"/>
        <w:contextualSpacing/>
        <w:jc w:val="center"/>
        <w:rPr>
          <w:rFonts w:ascii="Times New Roman" w:hAnsi="Times New Roman" w:cs="Times New Roman"/>
          <w:sz w:val="26"/>
          <w:szCs w:val="26"/>
        </w:rPr>
      </w:pPr>
    </w:p>
    <w:p w14:paraId="64B73DEB"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CAP participants are required to, among other things, make timely and in-full monthly payments, allow access to meters, </w:t>
      </w:r>
      <w:proofErr w:type="gramStart"/>
      <w:r w:rsidRPr="00EE5714">
        <w:rPr>
          <w:rFonts w:ascii="Times New Roman" w:hAnsi="Times New Roman" w:cs="Times New Roman"/>
          <w:sz w:val="26"/>
          <w:szCs w:val="26"/>
        </w:rPr>
        <w:t>maintain</w:t>
      </w:r>
      <w:proofErr w:type="gramEnd"/>
      <w:r w:rsidRPr="00EE5714">
        <w:rPr>
          <w:rFonts w:ascii="Times New Roman" w:hAnsi="Times New Roman" w:cs="Times New Roman"/>
          <w:sz w:val="26"/>
          <w:szCs w:val="26"/>
        </w:rPr>
        <w:t xml:space="preserve"> or reduce consumption, participate in LIHEAP, and recertify eligibility information when requested.  Failure to meet these program requirements can result in removal from CAP and/or loss of utility service.  </w:t>
      </w:r>
    </w:p>
    <w:p w14:paraId="64CF546F" w14:textId="77777777" w:rsidR="00220E27" w:rsidRPr="00EE5714" w:rsidRDefault="00220E27" w:rsidP="00220E27">
      <w:pPr>
        <w:spacing w:after="0" w:line="240" w:lineRule="auto"/>
        <w:contextualSpacing/>
        <w:rPr>
          <w:rFonts w:ascii="Times New Roman" w:hAnsi="Times New Roman" w:cs="Times New Roman"/>
          <w:sz w:val="26"/>
          <w:szCs w:val="26"/>
        </w:rPr>
      </w:pPr>
    </w:p>
    <w:p w14:paraId="00E70E07" w14:textId="008D81F6" w:rsidR="00567E35"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The default exit rate </w:t>
      </w:r>
      <w:r w:rsidR="00601EA2" w:rsidRPr="00EE5714">
        <w:rPr>
          <w:rFonts w:ascii="Times New Roman" w:hAnsi="Times New Roman" w:cs="Times New Roman"/>
          <w:sz w:val="26"/>
          <w:szCs w:val="26"/>
        </w:rPr>
        <w:t xml:space="preserve">is intended to </w:t>
      </w:r>
      <w:r w:rsidRPr="00EE5714">
        <w:rPr>
          <w:rFonts w:ascii="Times New Roman" w:hAnsi="Times New Roman" w:cs="Times New Roman"/>
          <w:sz w:val="26"/>
          <w:szCs w:val="26"/>
        </w:rPr>
        <w:t>track the number of customers who fail to meet the requirements of CAP.  This definition of default exit rate includes all participants who were non-compliant with program requirements, including nonpayment, late payments, missed meter reads, excess consumption, failure to apply for energy assistance</w:t>
      </w:r>
      <w:r w:rsidR="00646695" w:rsidRPr="00EE5714">
        <w:rPr>
          <w:rFonts w:ascii="Times New Roman" w:hAnsi="Times New Roman" w:cs="Times New Roman"/>
          <w:sz w:val="26"/>
          <w:szCs w:val="26"/>
        </w:rPr>
        <w:t xml:space="preserve"> if required</w:t>
      </w:r>
      <w:r w:rsidRPr="00EE5714">
        <w:rPr>
          <w:rFonts w:ascii="Times New Roman" w:hAnsi="Times New Roman" w:cs="Times New Roman"/>
          <w:sz w:val="26"/>
          <w:szCs w:val="26"/>
        </w:rPr>
        <w:t>, and failure to recertify eligibility.</w:t>
      </w:r>
      <w:r w:rsidRPr="00EE5714">
        <w:rPr>
          <w:rStyle w:val="FootnoteReference"/>
          <w:rFonts w:ascii="Times New Roman" w:hAnsi="Times New Roman" w:cs="Times New Roman"/>
          <w:sz w:val="26"/>
          <w:szCs w:val="26"/>
        </w:rPr>
        <w:footnoteReference w:id="56"/>
      </w:r>
      <w:r w:rsidRPr="00EE5714">
        <w:rPr>
          <w:rFonts w:ascii="Times New Roman" w:hAnsi="Times New Roman" w:cs="Times New Roman"/>
          <w:sz w:val="26"/>
          <w:szCs w:val="26"/>
        </w:rPr>
        <w:t xml:space="preserve">  A higher default exit rate may indicate affordability issues or that the requirements of the program are not clearly or routinely communicated or understood by the household.  </w:t>
      </w:r>
    </w:p>
    <w:p w14:paraId="3B11E501" w14:textId="77777777" w:rsidR="00567E35" w:rsidRPr="00EE5714" w:rsidRDefault="00567E35" w:rsidP="00220E27">
      <w:pPr>
        <w:spacing w:after="0" w:line="240" w:lineRule="auto"/>
        <w:ind w:firstLine="720"/>
        <w:contextualSpacing/>
        <w:rPr>
          <w:rFonts w:ascii="Times New Roman" w:hAnsi="Times New Roman" w:cs="Times New Roman"/>
          <w:sz w:val="26"/>
          <w:szCs w:val="26"/>
        </w:rPr>
      </w:pPr>
    </w:p>
    <w:p w14:paraId="388B35A0"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Households that are removed from CAP do not necessarily have their utility service terminated but are often left with debt that includes any non-forgiven </w:t>
      </w:r>
      <w:r w:rsidR="0042202A" w:rsidRPr="00EE5714">
        <w:rPr>
          <w:rFonts w:ascii="Times New Roman" w:hAnsi="Times New Roman" w:cs="Times New Roman"/>
          <w:sz w:val="26"/>
          <w:szCs w:val="26"/>
        </w:rPr>
        <w:t>PPA</w:t>
      </w:r>
      <w:r w:rsidRPr="00EE5714">
        <w:rPr>
          <w:rFonts w:ascii="Times New Roman" w:hAnsi="Times New Roman" w:cs="Times New Roman"/>
          <w:sz w:val="26"/>
          <w:szCs w:val="26"/>
        </w:rPr>
        <w:t xml:space="preserve"> which become due as part of the balance when the customer is placed back </w:t>
      </w:r>
      <w:r w:rsidR="00F6503C" w:rsidRPr="00EE5714">
        <w:rPr>
          <w:rFonts w:ascii="Times New Roman" w:hAnsi="Times New Roman" w:cs="Times New Roman"/>
          <w:sz w:val="26"/>
          <w:szCs w:val="26"/>
        </w:rPr>
        <w:t>on</w:t>
      </w:r>
      <w:r w:rsidRPr="00EE5714">
        <w:rPr>
          <w:rFonts w:ascii="Times New Roman" w:hAnsi="Times New Roman" w:cs="Times New Roman"/>
          <w:sz w:val="26"/>
          <w:szCs w:val="26"/>
        </w:rPr>
        <w:t xml:space="preserve">to full-tariff rates. </w:t>
      </w:r>
      <w:r w:rsidR="00F6503C" w:rsidRPr="00EE5714">
        <w:rPr>
          <w:rFonts w:ascii="Times New Roman" w:hAnsi="Times New Roman" w:cs="Times New Roman"/>
          <w:sz w:val="26"/>
          <w:szCs w:val="26"/>
        </w:rPr>
        <w:t xml:space="preserve"> </w:t>
      </w:r>
      <w:r w:rsidRPr="00EE5714">
        <w:rPr>
          <w:rFonts w:ascii="Times New Roman" w:hAnsi="Times New Roman" w:cs="Times New Roman"/>
          <w:sz w:val="26"/>
          <w:szCs w:val="26"/>
        </w:rPr>
        <w:t>Most utilities require customers to pay a balance to re</w:t>
      </w:r>
      <w:r w:rsidRPr="00EE5714">
        <w:rPr>
          <w:rFonts w:ascii="Times New Roman" w:hAnsi="Times New Roman" w:cs="Times New Roman"/>
          <w:sz w:val="26"/>
          <w:szCs w:val="26"/>
        </w:rPr>
        <w:noBreakHyphen/>
        <w:t>enroll in CAP.  This balance may consist o</w:t>
      </w:r>
      <w:r w:rsidR="00F6503C" w:rsidRPr="00EE5714">
        <w:rPr>
          <w:rFonts w:ascii="Times New Roman" w:hAnsi="Times New Roman" w:cs="Times New Roman"/>
          <w:sz w:val="26"/>
          <w:szCs w:val="26"/>
        </w:rPr>
        <w:t>f</w:t>
      </w:r>
      <w:r w:rsidRPr="00EE5714">
        <w:rPr>
          <w:rFonts w:ascii="Times New Roman" w:hAnsi="Times New Roman" w:cs="Times New Roman"/>
          <w:sz w:val="26"/>
          <w:szCs w:val="26"/>
        </w:rPr>
        <w:t xml:space="preserve"> a CAP catch-up amount (</w:t>
      </w:r>
      <w:r w:rsidRPr="00EE5714">
        <w:rPr>
          <w:rFonts w:ascii="Times New Roman" w:hAnsi="Times New Roman" w:cs="Times New Roman"/>
          <w:i/>
          <w:iCs/>
          <w:sz w:val="26"/>
          <w:szCs w:val="26"/>
        </w:rPr>
        <w:t>i.e.</w:t>
      </w:r>
      <w:r w:rsidRPr="00EE5714">
        <w:rPr>
          <w:rFonts w:ascii="Times New Roman" w:hAnsi="Times New Roman" w:cs="Times New Roman"/>
          <w:sz w:val="26"/>
          <w:szCs w:val="26"/>
        </w:rPr>
        <w:t xml:space="preserve">, any in-program arrears and the CAP billing price for the months spent out of the program).  Other utilities require CAP customers to pay any in-program arrears and the full-tariff residential rates for any months spent out of the program.  When former CAP customers are unable to </w:t>
      </w:r>
      <w:r w:rsidR="008705F2" w:rsidRPr="00EE5714">
        <w:rPr>
          <w:rFonts w:ascii="Times New Roman" w:hAnsi="Times New Roman" w:cs="Times New Roman"/>
          <w:sz w:val="26"/>
          <w:szCs w:val="26"/>
        </w:rPr>
        <w:t xml:space="preserve">re-enroll in CAP, </w:t>
      </w:r>
      <w:r w:rsidRPr="00EE5714">
        <w:rPr>
          <w:rFonts w:ascii="Times New Roman" w:hAnsi="Times New Roman" w:cs="Times New Roman"/>
          <w:sz w:val="26"/>
          <w:szCs w:val="26"/>
        </w:rPr>
        <w:t>pay their balance</w:t>
      </w:r>
      <w:r w:rsidR="008705F2" w:rsidRPr="00EE5714">
        <w:rPr>
          <w:rFonts w:ascii="Times New Roman" w:hAnsi="Times New Roman" w:cs="Times New Roman"/>
          <w:sz w:val="26"/>
          <w:szCs w:val="26"/>
        </w:rPr>
        <w:t>,</w:t>
      </w:r>
      <w:r w:rsidRPr="00EE5714">
        <w:rPr>
          <w:rFonts w:ascii="Times New Roman" w:hAnsi="Times New Roman" w:cs="Times New Roman"/>
          <w:sz w:val="26"/>
          <w:szCs w:val="26"/>
        </w:rPr>
        <w:t xml:space="preserve"> or obtain a payment agreement, it can lead to service termination (</w:t>
      </w:r>
      <w:r w:rsidRPr="00EE5714">
        <w:rPr>
          <w:rFonts w:ascii="Times New Roman" w:hAnsi="Times New Roman" w:cs="Times New Roman"/>
          <w:i/>
          <w:iCs/>
          <w:sz w:val="26"/>
          <w:szCs w:val="26"/>
        </w:rPr>
        <w:t>i.e.</w:t>
      </w:r>
      <w:r w:rsidRPr="00EE5714">
        <w:rPr>
          <w:rFonts w:ascii="Times New Roman" w:hAnsi="Times New Roman" w:cs="Times New Roman"/>
          <w:sz w:val="26"/>
          <w:szCs w:val="26"/>
        </w:rPr>
        <w:t xml:space="preserve">, loss of utility service). </w:t>
      </w:r>
    </w:p>
    <w:p w14:paraId="4F950D65"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p>
    <w:p w14:paraId="242FC677" w14:textId="7AFC570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Service terminations for CAP households are usually a direct result of non-payment.  Higher termination rates may indicate that CAP payments are unaffordable </w:t>
      </w:r>
      <w:r w:rsidR="00704C28" w:rsidRPr="00EE5714">
        <w:rPr>
          <w:rFonts w:ascii="Times New Roman" w:hAnsi="Times New Roman" w:cs="Times New Roman"/>
          <w:sz w:val="26"/>
          <w:szCs w:val="26"/>
        </w:rPr>
        <w:t xml:space="preserve">or </w:t>
      </w:r>
      <w:r w:rsidRPr="00EE5714">
        <w:rPr>
          <w:rFonts w:ascii="Times New Roman" w:hAnsi="Times New Roman" w:cs="Times New Roman"/>
          <w:sz w:val="26"/>
          <w:szCs w:val="26"/>
        </w:rPr>
        <w:t xml:space="preserve">may reflect strong enforcement of collection procedures to ensure customers do not accumulate high in-program arrears.  Terminated CAP accounts </w:t>
      </w:r>
      <w:r w:rsidR="00017F31" w:rsidRPr="00EE5714">
        <w:rPr>
          <w:rFonts w:ascii="Times New Roman" w:hAnsi="Times New Roman" w:cs="Times New Roman"/>
          <w:sz w:val="26"/>
          <w:szCs w:val="26"/>
        </w:rPr>
        <w:t>–</w:t>
      </w:r>
      <w:r w:rsidRPr="00EE5714">
        <w:rPr>
          <w:rFonts w:ascii="Times New Roman" w:hAnsi="Times New Roman" w:cs="Times New Roman"/>
          <w:sz w:val="26"/>
          <w:szCs w:val="26"/>
        </w:rPr>
        <w:t xml:space="preserve"> or accounts that are terminated after removal from CAP </w:t>
      </w:r>
      <w:r w:rsidR="00761B8A" w:rsidRPr="00EE5714">
        <w:rPr>
          <w:rFonts w:ascii="Times New Roman" w:hAnsi="Times New Roman" w:cs="Times New Roman"/>
          <w:sz w:val="26"/>
          <w:szCs w:val="26"/>
        </w:rPr>
        <w:t>–</w:t>
      </w:r>
      <w:r w:rsidRPr="00EE5714">
        <w:rPr>
          <w:rFonts w:ascii="Times New Roman" w:hAnsi="Times New Roman" w:cs="Times New Roman"/>
          <w:sz w:val="26"/>
          <w:szCs w:val="26"/>
        </w:rPr>
        <w:t xml:space="preserve"> may add to </w:t>
      </w:r>
      <w:r w:rsidR="00304BC8" w:rsidRPr="00EE5714">
        <w:rPr>
          <w:rFonts w:ascii="Times New Roman" w:hAnsi="Times New Roman" w:cs="Times New Roman"/>
          <w:sz w:val="26"/>
          <w:szCs w:val="26"/>
        </w:rPr>
        <w:t xml:space="preserve">the </w:t>
      </w:r>
      <w:r w:rsidRPr="00EE5714">
        <w:rPr>
          <w:rFonts w:ascii="Times New Roman" w:hAnsi="Times New Roman" w:cs="Times New Roman"/>
          <w:sz w:val="26"/>
          <w:szCs w:val="26"/>
        </w:rPr>
        <w:t xml:space="preserve">amount of uncollectible balances if the customer cannot pay the outstanding balance </w:t>
      </w:r>
      <w:r w:rsidR="000606EC" w:rsidRPr="00EE5714">
        <w:rPr>
          <w:rFonts w:ascii="Times New Roman" w:hAnsi="Times New Roman" w:cs="Times New Roman"/>
          <w:sz w:val="26"/>
          <w:szCs w:val="26"/>
        </w:rPr>
        <w:t>to get back into CAP</w:t>
      </w:r>
      <w:r w:rsidRPr="00EE5714">
        <w:rPr>
          <w:rFonts w:ascii="Times New Roman" w:hAnsi="Times New Roman" w:cs="Times New Roman"/>
          <w:sz w:val="26"/>
          <w:szCs w:val="26"/>
        </w:rPr>
        <w:t xml:space="preserve"> and is unable to obtain a payment agreement.  In these situations, utility service is terminated</w:t>
      </w:r>
      <w:r w:rsidR="00BD3C87" w:rsidRPr="00EE5714">
        <w:rPr>
          <w:rFonts w:ascii="Times New Roman" w:hAnsi="Times New Roman" w:cs="Times New Roman"/>
          <w:sz w:val="26"/>
          <w:szCs w:val="26"/>
        </w:rPr>
        <w:t>,</w:t>
      </w:r>
      <w:r w:rsidRPr="00EE5714">
        <w:rPr>
          <w:rFonts w:ascii="Times New Roman" w:hAnsi="Times New Roman" w:cs="Times New Roman"/>
          <w:sz w:val="26"/>
          <w:szCs w:val="26"/>
        </w:rPr>
        <w:t xml:space="preserve"> and the debt is eventually written</w:t>
      </w:r>
      <w:r w:rsidR="00A177F8"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off by utilities and recovered from </w:t>
      </w:r>
      <w:r w:rsidR="006D5F78" w:rsidRPr="00EE5714">
        <w:rPr>
          <w:rFonts w:ascii="Times New Roman" w:hAnsi="Times New Roman" w:cs="Times New Roman"/>
          <w:sz w:val="26"/>
          <w:szCs w:val="26"/>
        </w:rPr>
        <w:t xml:space="preserve">non-CAP residential </w:t>
      </w:r>
      <w:r w:rsidRPr="00EE5714">
        <w:rPr>
          <w:rFonts w:ascii="Times New Roman" w:hAnsi="Times New Roman" w:cs="Times New Roman"/>
          <w:sz w:val="26"/>
          <w:szCs w:val="26"/>
        </w:rPr>
        <w:t xml:space="preserve">ratepayers. </w:t>
      </w:r>
    </w:p>
    <w:p w14:paraId="57DD96D9" w14:textId="77777777" w:rsidR="00220E27" w:rsidRPr="00EE5714" w:rsidRDefault="00220E27" w:rsidP="00153E6F">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Methodology</w:t>
      </w:r>
    </w:p>
    <w:p w14:paraId="6AF0F7F1" w14:textId="77777777" w:rsidR="00220E27" w:rsidRPr="00EE5714" w:rsidRDefault="00220E27" w:rsidP="00017F31">
      <w:pPr>
        <w:keepNext/>
        <w:tabs>
          <w:tab w:val="left" w:pos="720"/>
        </w:tabs>
        <w:spacing w:after="0" w:line="240" w:lineRule="auto"/>
        <w:contextualSpacing/>
        <w:rPr>
          <w:rFonts w:ascii="Times New Roman" w:hAnsi="Times New Roman" w:cs="Times New Roman"/>
          <w:sz w:val="26"/>
          <w:szCs w:val="26"/>
        </w:rPr>
      </w:pPr>
    </w:p>
    <w:p w14:paraId="3964D515" w14:textId="77777777" w:rsidR="00220E27" w:rsidRPr="00EE5714" w:rsidRDefault="00220E27" w:rsidP="00220E27">
      <w:pPr>
        <w:tabs>
          <w:tab w:val="left" w:pos="720"/>
        </w:tab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980B59" w:rsidRPr="00EE5714">
        <w:rPr>
          <w:rFonts w:ascii="Times New Roman" w:hAnsi="Times New Roman" w:cs="Times New Roman"/>
          <w:sz w:val="26"/>
          <w:szCs w:val="26"/>
        </w:rPr>
        <w:t>D</w:t>
      </w:r>
      <w:r w:rsidRPr="00EE5714">
        <w:rPr>
          <w:rFonts w:ascii="Times New Roman" w:hAnsi="Times New Roman" w:cs="Times New Roman"/>
          <w:sz w:val="26"/>
          <w:szCs w:val="26"/>
        </w:rPr>
        <w:t>ata regarding the number of CAP default exits</w:t>
      </w:r>
      <w:r w:rsidRPr="00EE5714" w:rsidDel="008A6239">
        <w:rPr>
          <w:rFonts w:ascii="Times New Roman" w:hAnsi="Times New Roman" w:cs="Times New Roman"/>
          <w:sz w:val="26"/>
          <w:szCs w:val="26"/>
        </w:rPr>
        <w:t xml:space="preserve"> </w:t>
      </w:r>
      <w:r w:rsidR="008A6239" w:rsidRPr="00EE5714">
        <w:rPr>
          <w:rFonts w:ascii="Times New Roman" w:hAnsi="Times New Roman" w:cs="Times New Roman"/>
          <w:sz w:val="26"/>
          <w:szCs w:val="26"/>
        </w:rPr>
        <w:t xml:space="preserve">are </w:t>
      </w:r>
      <w:r w:rsidRPr="00EE5714">
        <w:rPr>
          <w:rFonts w:ascii="Times New Roman" w:hAnsi="Times New Roman" w:cs="Times New Roman"/>
          <w:sz w:val="26"/>
          <w:szCs w:val="26"/>
        </w:rPr>
        <w:t xml:space="preserve">collected as part of </w:t>
      </w:r>
      <w:r w:rsidR="006D5F78" w:rsidRPr="00EE5714">
        <w:rPr>
          <w:rFonts w:ascii="Times New Roman" w:hAnsi="Times New Roman" w:cs="Times New Roman"/>
          <w:sz w:val="26"/>
          <w:szCs w:val="26"/>
        </w:rPr>
        <w:t xml:space="preserve">the </w:t>
      </w:r>
      <w:r w:rsidRPr="00EE5714">
        <w:rPr>
          <w:rFonts w:ascii="Times New Roman" w:hAnsi="Times New Roman" w:cs="Times New Roman"/>
          <w:sz w:val="26"/>
          <w:szCs w:val="26"/>
        </w:rPr>
        <w:t xml:space="preserve">annual universal service and collections reporting (USR).  </w:t>
      </w:r>
      <w:r w:rsidR="00DC4F4F" w:rsidRPr="00EE5714">
        <w:rPr>
          <w:rFonts w:ascii="Times New Roman" w:hAnsi="Times New Roman" w:cs="Times New Roman"/>
          <w:sz w:val="26"/>
          <w:szCs w:val="26"/>
        </w:rPr>
        <w:t xml:space="preserve">The </w:t>
      </w:r>
      <w:r w:rsidR="00A1190D" w:rsidRPr="00EE5714">
        <w:rPr>
          <w:rFonts w:ascii="Times New Roman" w:hAnsi="Times New Roman" w:cs="Times New Roman"/>
          <w:sz w:val="26"/>
          <w:szCs w:val="26"/>
        </w:rPr>
        <w:t>survey</w:t>
      </w:r>
      <w:r w:rsidR="00DC4F4F" w:rsidRPr="00EE5714">
        <w:rPr>
          <w:rFonts w:ascii="Times New Roman" w:hAnsi="Times New Roman" w:cs="Times New Roman"/>
          <w:sz w:val="26"/>
          <w:szCs w:val="26"/>
        </w:rPr>
        <w:t xml:space="preserve"> data request called for the number of CAP terminations</w:t>
      </w:r>
      <w:r w:rsidR="0037349D" w:rsidRPr="00EE5714">
        <w:rPr>
          <w:rFonts w:ascii="Times New Roman" w:hAnsi="Times New Roman" w:cs="Times New Roman"/>
          <w:sz w:val="26"/>
          <w:szCs w:val="26"/>
        </w:rPr>
        <w:t xml:space="preserve">.  </w:t>
      </w:r>
      <w:r w:rsidR="00286E74" w:rsidRPr="00EE5714">
        <w:rPr>
          <w:rFonts w:ascii="Times New Roman" w:hAnsi="Times New Roman" w:cs="Times New Roman"/>
          <w:sz w:val="26"/>
          <w:szCs w:val="26"/>
        </w:rPr>
        <w:t>Staff</w:t>
      </w:r>
      <w:r w:rsidR="00AF0154" w:rsidRPr="00EE5714">
        <w:rPr>
          <w:rFonts w:ascii="Times New Roman" w:hAnsi="Times New Roman" w:cs="Times New Roman"/>
          <w:sz w:val="26"/>
          <w:szCs w:val="26"/>
        </w:rPr>
        <w:t xml:space="preserve"> anticipated that t</w:t>
      </w:r>
      <w:r w:rsidRPr="00EE5714">
        <w:rPr>
          <w:rFonts w:ascii="Times New Roman" w:hAnsi="Times New Roman" w:cs="Times New Roman"/>
          <w:sz w:val="26"/>
          <w:szCs w:val="26"/>
        </w:rPr>
        <w:t xml:space="preserve">he number of CAP terminations </w:t>
      </w:r>
      <w:r w:rsidR="00576F06" w:rsidRPr="00EE5714">
        <w:rPr>
          <w:rFonts w:ascii="Times New Roman" w:hAnsi="Times New Roman" w:cs="Times New Roman"/>
          <w:sz w:val="26"/>
          <w:szCs w:val="26"/>
        </w:rPr>
        <w:t>w</w:t>
      </w:r>
      <w:r w:rsidRPr="00EE5714">
        <w:rPr>
          <w:rFonts w:ascii="Times New Roman" w:hAnsi="Times New Roman" w:cs="Times New Roman"/>
          <w:sz w:val="26"/>
          <w:szCs w:val="26"/>
        </w:rPr>
        <w:t xml:space="preserve">ould be a subset of the default exit number.  The intent was to determine the relationship between those CAP customers who default from their CAP responsibilities and those CAP customers who have their service terminated. </w:t>
      </w:r>
    </w:p>
    <w:p w14:paraId="6C4F5C45" w14:textId="77777777" w:rsidR="00220E27" w:rsidRPr="00EE5714" w:rsidRDefault="00220E27" w:rsidP="00220E27">
      <w:pPr>
        <w:tabs>
          <w:tab w:val="left" w:pos="450"/>
        </w:tabs>
        <w:spacing w:after="0" w:line="240" w:lineRule="auto"/>
        <w:contextualSpacing/>
        <w:rPr>
          <w:rFonts w:ascii="Times New Roman" w:hAnsi="Times New Roman" w:cs="Times New Roman"/>
          <w:sz w:val="26"/>
          <w:szCs w:val="26"/>
        </w:rPr>
      </w:pPr>
    </w:p>
    <w:p w14:paraId="3B93B482" w14:textId="58446A15" w:rsidR="00220E27" w:rsidRPr="00EE5714" w:rsidRDefault="00220E27" w:rsidP="00220E27">
      <w:pPr>
        <w:tabs>
          <w:tab w:val="left" w:pos="720"/>
        </w:tab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 xml:space="preserve">To determine the CAP default exit and termination rates per year, the annual number of reported CAP default exits and CAP terminations were each divided by the </w:t>
      </w:r>
      <w:r w:rsidR="00835BBB" w:rsidRPr="00EE5714">
        <w:rPr>
          <w:rFonts w:ascii="Times New Roman" w:hAnsi="Times New Roman" w:cs="Times New Roman"/>
          <w:sz w:val="26"/>
          <w:szCs w:val="26"/>
        </w:rPr>
        <w:t xml:space="preserve">average </w:t>
      </w:r>
      <w:r w:rsidRPr="00EE5714">
        <w:rPr>
          <w:rFonts w:ascii="Times New Roman" w:hAnsi="Times New Roman" w:cs="Times New Roman"/>
          <w:sz w:val="26"/>
          <w:szCs w:val="26"/>
        </w:rPr>
        <w:t>number of annual CAP enrollments</w:t>
      </w:r>
      <w:r w:rsidR="00A36DB9" w:rsidRPr="00EE5714">
        <w:rPr>
          <w:rFonts w:ascii="Times New Roman" w:hAnsi="Times New Roman" w:cs="Times New Roman"/>
          <w:sz w:val="26"/>
          <w:szCs w:val="26"/>
        </w:rPr>
        <w:t xml:space="preserve">.  This allowed staff to </w:t>
      </w:r>
      <w:r w:rsidRPr="00EE5714">
        <w:rPr>
          <w:rFonts w:ascii="Times New Roman" w:hAnsi="Times New Roman" w:cs="Times New Roman"/>
          <w:sz w:val="26"/>
          <w:szCs w:val="26"/>
        </w:rPr>
        <w:t xml:space="preserve">compare </w:t>
      </w:r>
      <w:r w:rsidR="00A36DB9" w:rsidRPr="00EE5714">
        <w:rPr>
          <w:rFonts w:ascii="Times New Roman" w:hAnsi="Times New Roman" w:cs="Times New Roman"/>
          <w:sz w:val="26"/>
          <w:szCs w:val="26"/>
        </w:rPr>
        <w:t xml:space="preserve">these rates </w:t>
      </w:r>
      <w:r w:rsidRPr="00EE5714">
        <w:rPr>
          <w:rFonts w:ascii="Times New Roman" w:hAnsi="Times New Roman" w:cs="Times New Roman"/>
          <w:sz w:val="26"/>
          <w:szCs w:val="26"/>
        </w:rPr>
        <w:t xml:space="preserve">across the gas and electric utilities.  </w:t>
      </w:r>
      <w:r w:rsidR="00CD4934" w:rsidRPr="00EE5714">
        <w:rPr>
          <w:rFonts w:ascii="Times New Roman" w:hAnsi="Times New Roman" w:cs="Times New Roman"/>
          <w:i/>
          <w:sz w:val="26"/>
          <w:szCs w:val="26"/>
        </w:rPr>
        <w:t>See</w:t>
      </w:r>
      <w:r w:rsidR="00CD4934" w:rsidRPr="00EE5714">
        <w:rPr>
          <w:rFonts w:ascii="Times New Roman" w:hAnsi="Times New Roman" w:cs="Times New Roman"/>
          <w:sz w:val="26"/>
          <w:szCs w:val="26"/>
        </w:rPr>
        <w:t xml:space="preserve"> Appendix </w:t>
      </w:r>
      <w:r w:rsidR="00170403">
        <w:rPr>
          <w:rFonts w:ascii="Times New Roman" w:hAnsi="Times New Roman" w:cs="Times New Roman"/>
          <w:sz w:val="26"/>
          <w:szCs w:val="26"/>
        </w:rPr>
        <w:t>9</w:t>
      </w:r>
      <w:r w:rsidR="00856D42" w:rsidRPr="00EE5714">
        <w:rPr>
          <w:rFonts w:ascii="Times New Roman" w:hAnsi="Times New Roman" w:cs="Times New Roman"/>
          <w:sz w:val="26"/>
          <w:szCs w:val="26"/>
        </w:rPr>
        <w:t>.</w:t>
      </w:r>
      <w:r w:rsidR="00701472" w:rsidRPr="00EE5714">
        <w:rPr>
          <w:rFonts w:ascii="Times New Roman" w:hAnsi="Times New Roman" w:cs="Times New Roman"/>
          <w:sz w:val="26"/>
          <w:szCs w:val="26"/>
        </w:rPr>
        <w:t>C</w:t>
      </w:r>
      <w:r w:rsidR="00856D42" w:rsidRPr="00EE5714">
        <w:rPr>
          <w:rFonts w:ascii="Times New Roman" w:hAnsi="Times New Roman" w:cs="Times New Roman"/>
          <w:sz w:val="26"/>
          <w:szCs w:val="26"/>
        </w:rPr>
        <w:t xml:space="preserve"> for average </w:t>
      </w:r>
      <w:r w:rsidR="00A1190D" w:rsidRPr="00EE5714">
        <w:rPr>
          <w:rFonts w:ascii="Times New Roman" w:hAnsi="Times New Roman" w:cs="Times New Roman"/>
          <w:sz w:val="26"/>
          <w:szCs w:val="26"/>
        </w:rPr>
        <w:t>NG</w:t>
      </w:r>
      <w:r w:rsidR="00A26F87" w:rsidRPr="00EE5714">
        <w:rPr>
          <w:rFonts w:ascii="Times New Roman" w:hAnsi="Times New Roman" w:cs="Times New Roman"/>
          <w:sz w:val="26"/>
          <w:szCs w:val="26"/>
        </w:rPr>
        <w:t>C</w:t>
      </w:r>
      <w:r w:rsidR="00856D42" w:rsidRPr="00EE5714">
        <w:rPr>
          <w:rFonts w:ascii="Times New Roman" w:hAnsi="Times New Roman" w:cs="Times New Roman"/>
          <w:sz w:val="26"/>
          <w:szCs w:val="26"/>
        </w:rPr>
        <w:t xml:space="preserve"> and </w:t>
      </w:r>
      <w:r w:rsidR="00A26F87" w:rsidRPr="00EE5714">
        <w:rPr>
          <w:rFonts w:ascii="Times New Roman" w:hAnsi="Times New Roman" w:cs="Times New Roman"/>
          <w:sz w:val="26"/>
          <w:szCs w:val="26"/>
        </w:rPr>
        <w:t>EDC</w:t>
      </w:r>
      <w:r w:rsidR="00856D42" w:rsidRPr="00EE5714">
        <w:rPr>
          <w:rFonts w:ascii="Times New Roman" w:hAnsi="Times New Roman" w:cs="Times New Roman"/>
          <w:sz w:val="26"/>
          <w:szCs w:val="26"/>
        </w:rPr>
        <w:t xml:space="preserve"> CAP enrollments for 2012 through 2016.</w:t>
      </w:r>
    </w:p>
    <w:p w14:paraId="2C80B95E" w14:textId="77777777" w:rsidR="00220E27" w:rsidRPr="00EE5714" w:rsidRDefault="00220E27" w:rsidP="00220E27">
      <w:pPr>
        <w:pStyle w:val="ListParagraph"/>
        <w:tabs>
          <w:tab w:val="left" w:pos="450"/>
        </w:tabs>
        <w:spacing w:after="0" w:line="240" w:lineRule="auto"/>
        <w:ind w:left="0"/>
        <w:rPr>
          <w:rFonts w:ascii="Times New Roman" w:hAnsi="Times New Roman" w:cs="Times New Roman"/>
          <w:sz w:val="26"/>
          <w:szCs w:val="26"/>
        </w:rPr>
      </w:pPr>
    </w:p>
    <w:p w14:paraId="61541254" w14:textId="77777777" w:rsidR="00220E27" w:rsidRPr="00EE5714" w:rsidRDefault="00220E27" w:rsidP="00856D42">
      <w:pPr>
        <w:keepNext/>
        <w:spacing w:after="0" w:line="240" w:lineRule="auto"/>
        <w:rPr>
          <w:rFonts w:ascii="Times New Roman" w:hAnsi="Times New Roman" w:cs="Times New Roman"/>
          <w:i/>
          <w:iCs/>
          <w:sz w:val="26"/>
          <w:szCs w:val="26"/>
        </w:rPr>
      </w:pPr>
      <w:r w:rsidRPr="00EE5714">
        <w:rPr>
          <w:rFonts w:ascii="Times New Roman" w:hAnsi="Times New Roman" w:cs="Times New Roman"/>
          <w:i/>
          <w:iCs/>
          <w:sz w:val="26"/>
          <w:szCs w:val="26"/>
        </w:rPr>
        <w:t>Data Limitations - CAP Default Exits</w:t>
      </w:r>
    </w:p>
    <w:p w14:paraId="71500FC8" w14:textId="77777777" w:rsidR="00265C0A" w:rsidRPr="00EE5714" w:rsidRDefault="00265C0A" w:rsidP="00265C0A">
      <w:pPr>
        <w:keepNext/>
        <w:spacing w:after="0" w:line="240" w:lineRule="auto"/>
        <w:rPr>
          <w:rFonts w:ascii="Times New Roman" w:hAnsi="Times New Roman" w:cs="Times New Roman"/>
          <w:i/>
          <w:sz w:val="26"/>
          <w:szCs w:val="26"/>
        </w:rPr>
      </w:pPr>
    </w:p>
    <w:p w14:paraId="277A61BF" w14:textId="69CDD88A" w:rsidR="00220E27" w:rsidRPr="00EE5714" w:rsidRDefault="00220E27" w:rsidP="00265C0A">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Upon review of the CAP default exits as documented in the annual </w:t>
      </w:r>
      <w:r w:rsidR="00A26F87" w:rsidRPr="00EE5714">
        <w:rPr>
          <w:rFonts w:ascii="Times New Roman" w:hAnsi="Times New Roman" w:cs="Times New Roman"/>
          <w:sz w:val="26"/>
          <w:szCs w:val="26"/>
        </w:rPr>
        <w:t>USRs</w:t>
      </w:r>
      <w:r w:rsidRPr="00EE5714">
        <w:rPr>
          <w:rFonts w:ascii="Times New Roman" w:hAnsi="Times New Roman" w:cs="Times New Roman"/>
          <w:sz w:val="26"/>
          <w:szCs w:val="26"/>
        </w:rPr>
        <w:t xml:space="preserve"> and </w:t>
      </w:r>
      <w:r w:rsidR="00A26F87" w:rsidRPr="00EE5714">
        <w:rPr>
          <w:rFonts w:ascii="Times New Roman" w:hAnsi="Times New Roman" w:cs="Times New Roman"/>
          <w:sz w:val="26"/>
          <w:szCs w:val="26"/>
        </w:rPr>
        <w:t>after</w:t>
      </w:r>
      <w:r w:rsidRPr="00EE5714">
        <w:rPr>
          <w:rFonts w:ascii="Times New Roman" w:hAnsi="Times New Roman" w:cs="Times New Roman"/>
          <w:sz w:val="26"/>
          <w:szCs w:val="26"/>
        </w:rPr>
        <w:t xml:space="preserve"> consulting with several utilities, it became apparent that utilities were not consistently interpreting and reporting th</w:t>
      </w:r>
      <w:r w:rsidR="00D9645A" w:rsidRPr="00EE5714">
        <w:rPr>
          <w:rFonts w:ascii="Times New Roman" w:hAnsi="Times New Roman" w:cs="Times New Roman"/>
          <w:sz w:val="26"/>
          <w:szCs w:val="26"/>
        </w:rPr>
        <w:t>ese</w:t>
      </w:r>
      <w:r w:rsidRPr="00EE5714">
        <w:rPr>
          <w:rFonts w:ascii="Times New Roman" w:hAnsi="Times New Roman" w:cs="Times New Roman"/>
          <w:sz w:val="26"/>
          <w:szCs w:val="26"/>
        </w:rPr>
        <w:t xml:space="preserve"> data point</w:t>
      </w:r>
      <w:r w:rsidR="00D9645A" w:rsidRPr="00EE5714">
        <w:rPr>
          <w:rFonts w:ascii="Times New Roman" w:hAnsi="Times New Roman" w:cs="Times New Roman"/>
          <w:sz w:val="26"/>
          <w:szCs w:val="26"/>
        </w:rPr>
        <w:t>s</w:t>
      </w:r>
      <w:r w:rsidRPr="00EE5714">
        <w:rPr>
          <w:rFonts w:ascii="Times New Roman" w:hAnsi="Times New Roman" w:cs="Times New Roman"/>
          <w:sz w:val="26"/>
          <w:szCs w:val="26"/>
        </w:rPr>
        <w:t>.  While some utilities count</w:t>
      </w:r>
      <w:r w:rsidR="008A018B" w:rsidRPr="00EE5714">
        <w:rPr>
          <w:rFonts w:ascii="Times New Roman" w:hAnsi="Times New Roman" w:cs="Times New Roman"/>
          <w:sz w:val="26"/>
          <w:szCs w:val="26"/>
        </w:rPr>
        <w:t>ed</w:t>
      </w:r>
      <w:r w:rsidRPr="00EE5714">
        <w:rPr>
          <w:rFonts w:ascii="Times New Roman" w:hAnsi="Times New Roman" w:cs="Times New Roman"/>
          <w:sz w:val="26"/>
          <w:szCs w:val="26"/>
        </w:rPr>
        <w:t xml:space="preserve"> each </w:t>
      </w:r>
      <w:r w:rsidR="00D9645A" w:rsidRPr="00EE5714">
        <w:rPr>
          <w:rFonts w:ascii="Times New Roman" w:hAnsi="Times New Roman" w:cs="Times New Roman"/>
          <w:sz w:val="26"/>
          <w:szCs w:val="26"/>
        </w:rPr>
        <w:t xml:space="preserve">default </w:t>
      </w:r>
      <w:r w:rsidRPr="00EE5714">
        <w:rPr>
          <w:rFonts w:ascii="Times New Roman" w:hAnsi="Times New Roman" w:cs="Times New Roman"/>
          <w:sz w:val="26"/>
          <w:szCs w:val="26"/>
        </w:rPr>
        <w:t xml:space="preserve">occurrence as part of </w:t>
      </w:r>
      <w:r w:rsidR="00DC76C1" w:rsidRPr="00EE5714">
        <w:rPr>
          <w:rFonts w:ascii="Times New Roman" w:hAnsi="Times New Roman" w:cs="Times New Roman"/>
          <w:sz w:val="26"/>
          <w:szCs w:val="26"/>
        </w:rPr>
        <w:t xml:space="preserve">the </w:t>
      </w:r>
      <w:r w:rsidRPr="00EE5714">
        <w:rPr>
          <w:rFonts w:ascii="Times New Roman" w:hAnsi="Times New Roman" w:cs="Times New Roman"/>
          <w:sz w:val="26"/>
          <w:szCs w:val="26"/>
        </w:rPr>
        <w:t>default exit</w:t>
      </w:r>
      <w:r w:rsidR="00145591" w:rsidRPr="00EE5714">
        <w:rPr>
          <w:rFonts w:ascii="Times New Roman" w:hAnsi="Times New Roman" w:cs="Times New Roman"/>
          <w:sz w:val="26"/>
          <w:szCs w:val="26"/>
        </w:rPr>
        <w:t>s</w:t>
      </w:r>
      <w:r w:rsidRPr="00EE5714">
        <w:rPr>
          <w:rFonts w:ascii="Times New Roman" w:hAnsi="Times New Roman" w:cs="Times New Roman"/>
          <w:sz w:val="26"/>
          <w:szCs w:val="26"/>
        </w:rPr>
        <w:t xml:space="preserve"> total</w:t>
      </w:r>
      <w:r w:rsidR="006E4F60" w:rsidRPr="00EE5714">
        <w:rPr>
          <w:rFonts w:ascii="Times New Roman" w:hAnsi="Times New Roman" w:cs="Times New Roman"/>
          <w:sz w:val="26"/>
          <w:szCs w:val="26"/>
        </w:rPr>
        <w:t>,</w:t>
      </w:r>
      <w:r w:rsidRPr="00EE5714">
        <w:rPr>
          <w:rFonts w:ascii="Times New Roman" w:hAnsi="Times New Roman" w:cs="Times New Roman"/>
          <w:sz w:val="26"/>
          <w:szCs w:val="26"/>
        </w:rPr>
        <w:t xml:space="preserve"> some utilities </w:t>
      </w:r>
      <w:r w:rsidR="008A018B" w:rsidRPr="00EE5714">
        <w:rPr>
          <w:rFonts w:ascii="Times New Roman" w:hAnsi="Times New Roman" w:cs="Times New Roman"/>
          <w:sz w:val="26"/>
          <w:szCs w:val="26"/>
        </w:rPr>
        <w:t>did</w:t>
      </w:r>
      <w:r w:rsidRPr="00EE5714">
        <w:rPr>
          <w:rFonts w:ascii="Times New Roman" w:hAnsi="Times New Roman" w:cs="Times New Roman"/>
          <w:sz w:val="26"/>
          <w:szCs w:val="26"/>
        </w:rPr>
        <w:t xml:space="preserve"> not.  Columbia, for example, report</w:t>
      </w:r>
      <w:r w:rsidR="008A018B" w:rsidRPr="00EE5714">
        <w:rPr>
          <w:rFonts w:ascii="Times New Roman" w:hAnsi="Times New Roman" w:cs="Times New Roman"/>
          <w:sz w:val="26"/>
          <w:szCs w:val="26"/>
        </w:rPr>
        <w:t>ed</w:t>
      </w:r>
      <w:r w:rsidRPr="00EE5714">
        <w:rPr>
          <w:rFonts w:ascii="Times New Roman" w:hAnsi="Times New Roman" w:cs="Times New Roman"/>
          <w:sz w:val="26"/>
          <w:szCs w:val="26"/>
        </w:rPr>
        <w:t xml:space="preserve"> that its system only track</w:t>
      </w:r>
      <w:r w:rsidR="008A018B" w:rsidRPr="00EE5714">
        <w:rPr>
          <w:rFonts w:ascii="Times New Roman" w:hAnsi="Times New Roman" w:cs="Times New Roman"/>
          <w:sz w:val="26"/>
          <w:szCs w:val="26"/>
        </w:rPr>
        <w:t>ed</w:t>
      </w:r>
      <w:r w:rsidRPr="00EE5714">
        <w:rPr>
          <w:rFonts w:ascii="Times New Roman" w:hAnsi="Times New Roman" w:cs="Times New Roman"/>
          <w:sz w:val="26"/>
          <w:szCs w:val="26"/>
        </w:rPr>
        <w:t xml:space="preserve"> whether a customer has defaulted from CAP responsibilities during a calendar year (</w:t>
      </w:r>
      <w:r w:rsidRPr="00EE5714">
        <w:rPr>
          <w:rFonts w:ascii="Times New Roman" w:hAnsi="Times New Roman" w:cs="Times New Roman"/>
          <w:i/>
          <w:iCs/>
          <w:sz w:val="26"/>
          <w:szCs w:val="26"/>
        </w:rPr>
        <w:t>e.g.</w:t>
      </w:r>
      <w:r w:rsidRPr="00EE5714">
        <w:rPr>
          <w:rFonts w:ascii="Times New Roman" w:hAnsi="Times New Roman" w:cs="Times New Roman"/>
          <w:sz w:val="26"/>
          <w:szCs w:val="26"/>
        </w:rPr>
        <w:t xml:space="preserve">, </w:t>
      </w:r>
      <w:proofErr w:type="gramStart"/>
      <w:r w:rsidRPr="00EE5714">
        <w:rPr>
          <w:rFonts w:ascii="Times New Roman" w:hAnsi="Times New Roman" w:cs="Times New Roman"/>
          <w:sz w:val="26"/>
          <w:szCs w:val="26"/>
        </w:rPr>
        <w:t>yes</w:t>
      </w:r>
      <w:proofErr w:type="gramEnd"/>
      <w:r w:rsidRPr="00EE5714">
        <w:rPr>
          <w:rFonts w:ascii="Times New Roman" w:hAnsi="Times New Roman" w:cs="Times New Roman"/>
          <w:sz w:val="26"/>
          <w:szCs w:val="26"/>
        </w:rPr>
        <w:t xml:space="preserve"> or no).  It d</w:t>
      </w:r>
      <w:r w:rsidR="008A018B" w:rsidRPr="00EE5714">
        <w:rPr>
          <w:rFonts w:ascii="Times New Roman" w:hAnsi="Times New Roman" w:cs="Times New Roman"/>
          <w:sz w:val="26"/>
          <w:szCs w:val="26"/>
        </w:rPr>
        <w:t>id</w:t>
      </w:r>
      <w:r w:rsidRPr="00EE5714">
        <w:rPr>
          <w:rFonts w:ascii="Times New Roman" w:hAnsi="Times New Roman" w:cs="Times New Roman"/>
          <w:sz w:val="26"/>
          <w:szCs w:val="26"/>
        </w:rPr>
        <w:t xml:space="preserve"> not count the number of individual instances a CAP customer </w:t>
      </w:r>
      <w:r w:rsidR="008A018B" w:rsidRPr="00EE5714">
        <w:rPr>
          <w:rFonts w:ascii="Times New Roman" w:hAnsi="Times New Roman" w:cs="Times New Roman"/>
          <w:sz w:val="26"/>
          <w:szCs w:val="26"/>
        </w:rPr>
        <w:t>was</w:t>
      </w:r>
      <w:r w:rsidRPr="00EE5714">
        <w:rPr>
          <w:rFonts w:ascii="Times New Roman" w:hAnsi="Times New Roman" w:cs="Times New Roman"/>
          <w:sz w:val="26"/>
          <w:szCs w:val="26"/>
        </w:rPr>
        <w:t xml:space="preserve"> late on a payment or otherwise met the default exit definition.  Thus, a Columbia CAP customer who </w:t>
      </w:r>
      <w:r w:rsidR="00DB185A" w:rsidRPr="00EE5714">
        <w:rPr>
          <w:rFonts w:ascii="Times New Roman" w:hAnsi="Times New Roman" w:cs="Times New Roman"/>
          <w:sz w:val="26"/>
          <w:szCs w:val="26"/>
        </w:rPr>
        <w:t>wa</w:t>
      </w:r>
      <w:r w:rsidRPr="00EE5714">
        <w:rPr>
          <w:rFonts w:ascii="Times New Roman" w:hAnsi="Times New Roman" w:cs="Times New Roman"/>
          <w:sz w:val="26"/>
          <w:szCs w:val="26"/>
        </w:rPr>
        <w:t>s late with several payments and fail</w:t>
      </w:r>
      <w:r w:rsidR="00DB185A" w:rsidRPr="00EE5714">
        <w:rPr>
          <w:rFonts w:ascii="Times New Roman" w:hAnsi="Times New Roman" w:cs="Times New Roman"/>
          <w:sz w:val="26"/>
          <w:szCs w:val="26"/>
        </w:rPr>
        <w:t>ed</w:t>
      </w:r>
      <w:r w:rsidRPr="00EE5714">
        <w:rPr>
          <w:rFonts w:ascii="Times New Roman" w:hAnsi="Times New Roman" w:cs="Times New Roman"/>
          <w:sz w:val="26"/>
          <w:szCs w:val="26"/>
        </w:rPr>
        <w:t xml:space="preserve"> to recertify during a calendar year </w:t>
      </w:r>
      <w:r w:rsidR="00DB185A" w:rsidRPr="00EE5714">
        <w:rPr>
          <w:rFonts w:ascii="Times New Roman" w:hAnsi="Times New Roman" w:cs="Times New Roman"/>
          <w:sz w:val="26"/>
          <w:szCs w:val="26"/>
        </w:rPr>
        <w:t>wa</w:t>
      </w:r>
      <w:r w:rsidRPr="00EE5714">
        <w:rPr>
          <w:rFonts w:ascii="Times New Roman" w:hAnsi="Times New Roman" w:cs="Times New Roman"/>
          <w:sz w:val="26"/>
          <w:szCs w:val="26"/>
        </w:rPr>
        <w:t xml:space="preserve">s only counted once in the utility’s number of CAP default exits while other utilities would count each late payment and the failure to timely recertify as </w:t>
      </w:r>
      <w:r w:rsidR="00100284" w:rsidRPr="00EE5714">
        <w:rPr>
          <w:rFonts w:ascii="Times New Roman" w:hAnsi="Times New Roman" w:cs="Times New Roman"/>
          <w:sz w:val="26"/>
          <w:szCs w:val="26"/>
        </w:rPr>
        <w:t xml:space="preserve">a </w:t>
      </w:r>
      <w:r w:rsidRPr="00EE5714">
        <w:rPr>
          <w:rFonts w:ascii="Times New Roman" w:hAnsi="Times New Roman" w:cs="Times New Roman"/>
          <w:sz w:val="26"/>
          <w:szCs w:val="26"/>
        </w:rPr>
        <w:t xml:space="preserve">separate </w:t>
      </w:r>
      <w:r w:rsidR="008D3597" w:rsidRPr="00EE5714">
        <w:rPr>
          <w:rFonts w:ascii="Times New Roman" w:hAnsi="Times New Roman" w:cs="Times New Roman"/>
          <w:sz w:val="26"/>
          <w:szCs w:val="26"/>
        </w:rPr>
        <w:t>occurrence</w:t>
      </w:r>
      <w:r w:rsidR="00100284" w:rsidRPr="00EE5714">
        <w:rPr>
          <w:rFonts w:ascii="Times New Roman" w:hAnsi="Times New Roman" w:cs="Times New Roman"/>
          <w:sz w:val="26"/>
          <w:szCs w:val="26"/>
        </w:rPr>
        <w:t xml:space="preserve"> of </w:t>
      </w:r>
      <w:r w:rsidRPr="00EE5714">
        <w:rPr>
          <w:rFonts w:ascii="Times New Roman" w:hAnsi="Times New Roman" w:cs="Times New Roman"/>
          <w:sz w:val="26"/>
          <w:szCs w:val="26"/>
        </w:rPr>
        <w:t>default</w:t>
      </w:r>
      <w:r w:rsidR="00100284" w:rsidRPr="00EE5714">
        <w:rPr>
          <w:rFonts w:ascii="Times New Roman" w:hAnsi="Times New Roman" w:cs="Times New Roman"/>
          <w:sz w:val="26"/>
          <w:szCs w:val="26"/>
        </w:rPr>
        <w:t xml:space="preserve"> exit</w:t>
      </w:r>
      <w:r w:rsidRPr="00EE5714">
        <w:rPr>
          <w:rFonts w:ascii="Times New Roman" w:hAnsi="Times New Roman" w:cs="Times New Roman"/>
          <w:sz w:val="26"/>
          <w:szCs w:val="26"/>
        </w:rPr>
        <w:t>s.  Due to the differences in how utilities track</w:t>
      </w:r>
      <w:r w:rsidR="00DB185A" w:rsidRPr="00EE5714">
        <w:rPr>
          <w:rFonts w:ascii="Times New Roman" w:hAnsi="Times New Roman" w:cs="Times New Roman"/>
          <w:sz w:val="26"/>
          <w:szCs w:val="26"/>
        </w:rPr>
        <w:t>ed</w:t>
      </w:r>
      <w:r w:rsidRPr="00EE5714">
        <w:rPr>
          <w:rFonts w:ascii="Times New Roman" w:hAnsi="Times New Roman" w:cs="Times New Roman"/>
          <w:sz w:val="26"/>
          <w:szCs w:val="26"/>
        </w:rPr>
        <w:t xml:space="preserve"> default exits, this data </w:t>
      </w:r>
      <w:r w:rsidR="00980B59" w:rsidRPr="00EE5714">
        <w:rPr>
          <w:rFonts w:ascii="Times New Roman" w:hAnsi="Times New Roman" w:cs="Times New Roman"/>
          <w:sz w:val="26"/>
          <w:szCs w:val="26"/>
        </w:rPr>
        <w:t xml:space="preserve">set </w:t>
      </w:r>
      <w:r w:rsidRPr="00EE5714">
        <w:rPr>
          <w:rFonts w:ascii="Times New Roman" w:hAnsi="Times New Roman" w:cs="Times New Roman"/>
          <w:sz w:val="26"/>
          <w:szCs w:val="26"/>
        </w:rPr>
        <w:t xml:space="preserve">could not be evaluated for comparison purposes.  However, </w:t>
      </w:r>
      <w:r w:rsidR="00BB54EA" w:rsidRPr="00EE5714">
        <w:rPr>
          <w:rFonts w:ascii="Times New Roman" w:hAnsi="Times New Roman" w:cs="Times New Roman"/>
          <w:sz w:val="26"/>
          <w:szCs w:val="26"/>
        </w:rPr>
        <w:t xml:space="preserve">staff did </w:t>
      </w:r>
      <w:r w:rsidRPr="00EE5714">
        <w:rPr>
          <w:rFonts w:ascii="Times New Roman" w:hAnsi="Times New Roman" w:cs="Times New Roman"/>
          <w:sz w:val="26"/>
          <w:szCs w:val="26"/>
        </w:rPr>
        <w:t>observe some general trends from th</w:t>
      </w:r>
      <w:r w:rsidR="00341DF3" w:rsidRPr="00EE5714">
        <w:rPr>
          <w:rFonts w:ascii="Times New Roman" w:hAnsi="Times New Roman" w:cs="Times New Roman"/>
          <w:sz w:val="26"/>
          <w:szCs w:val="26"/>
        </w:rPr>
        <w:t>e</w:t>
      </w:r>
      <w:r w:rsidRPr="00EE5714">
        <w:rPr>
          <w:rFonts w:ascii="Times New Roman" w:hAnsi="Times New Roman" w:cs="Times New Roman"/>
          <w:sz w:val="26"/>
          <w:szCs w:val="26"/>
        </w:rPr>
        <w:t xml:space="preserve"> data</w:t>
      </w:r>
      <w:r w:rsidR="00341DF3" w:rsidRPr="00EE5714">
        <w:rPr>
          <w:rFonts w:ascii="Times New Roman" w:hAnsi="Times New Roman" w:cs="Times New Roman"/>
          <w:sz w:val="26"/>
          <w:szCs w:val="26"/>
        </w:rPr>
        <w:t>, as noted below</w:t>
      </w:r>
      <w:r w:rsidRPr="00EE5714">
        <w:rPr>
          <w:rFonts w:ascii="Times New Roman" w:hAnsi="Times New Roman" w:cs="Times New Roman"/>
          <w:sz w:val="26"/>
          <w:szCs w:val="26"/>
        </w:rPr>
        <w:t>.</w:t>
      </w:r>
    </w:p>
    <w:p w14:paraId="1D049A0E" w14:textId="77777777" w:rsidR="00220E27" w:rsidRPr="00EE5714" w:rsidRDefault="00220E27" w:rsidP="00220E27">
      <w:pPr>
        <w:spacing w:after="0" w:line="240" w:lineRule="auto"/>
        <w:rPr>
          <w:rFonts w:ascii="Times New Roman" w:hAnsi="Times New Roman" w:cs="Times New Roman"/>
          <w:sz w:val="26"/>
          <w:szCs w:val="26"/>
        </w:rPr>
      </w:pPr>
    </w:p>
    <w:p w14:paraId="5496D15E" w14:textId="77777777" w:rsidR="00220E27" w:rsidRPr="00EE5714" w:rsidRDefault="00220E27" w:rsidP="0039700C">
      <w:pPr>
        <w:keepNext/>
        <w:spacing w:after="0" w:line="240" w:lineRule="auto"/>
        <w:rPr>
          <w:rFonts w:ascii="Times New Roman" w:hAnsi="Times New Roman" w:cs="Times New Roman"/>
          <w:i/>
          <w:iCs/>
          <w:sz w:val="26"/>
          <w:szCs w:val="26"/>
        </w:rPr>
      </w:pPr>
      <w:r w:rsidRPr="00EE5714">
        <w:rPr>
          <w:rFonts w:ascii="Times New Roman" w:hAnsi="Times New Roman" w:cs="Times New Roman"/>
          <w:i/>
          <w:iCs/>
          <w:sz w:val="26"/>
          <w:szCs w:val="26"/>
        </w:rPr>
        <w:t>Data Limitations -</w:t>
      </w:r>
      <w:r w:rsidR="00A0267F" w:rsidRPr="00EE5714">
        <w:rPr>
          <w:rFonts w:ascii="Times New Roman" w:hAnsi="Times New Roman" w:cs="Times New Roman"/>
          <w:i/>
          <w:iCs/>
          <w:sz w:val="26"/>
          <w:szCs w:val="26"/>
        </w:rPr>
        <w:t xml:space="preserve"> </w:t>
      </w:r>
      <w:r w:rsidRPr="00EE5714">
        <w:rPr>
          <w:rFonts w:ascii="Times New Roman" w:hAnsi="Times New Roman" w:cs="Times New Roman"/>
          <w:i/>
          <w:iCs/>
          <w:sz w:val="26"/>
          <w:szCs w:val="26"/>
        </w:rPr>
        <w:t>CAP Terminations</w:t>
      </w:r>
      <w:r w:rsidR="000E0354" w:rsidRPr="00EE5714">
        <w:rPr>
          <w:rFonts w:ascii="Times New Roman" w:hAnsi="Times New Roman" w:cs="Times New Roman"/>
          <w:i/>
          <w:iCs/>
          <w:sz w:val="26"/>
          <w:szCs w:val="26"/>
        </w:rPr>
        <w:t xml:space="preserve"> </w:t>
      </w:r>
    </w:p>
    <w:p w14:paraId="38EAEB86" w14:textId="77777777" w:rsidR="00220E27" w:rsidRPr="00EE5714" w:rsidRDefault="00220E27" w:rsidP="00017F31">
      <w:pPr>
        <w:keepNext/>
        <w:tabs>
          <w:tab w:val="left" w:pos="450"/>
        </w:tabs>
        <w:spacing w:after="0" w:line="240" w:lineRule="auto"/>
        <w:contextualSpacing/>
        <w:rPr>
          <w:rFonts w:ascii="Times New Roman" w:hAnsi="Times New Roman" w:cs="Times New Roman"/>
          <w:sz w:val="26"/>
          <w:szCs w:val="26"/>
        </w:rPr>
      </w:pPr>
    </w:p>
    <w:p w14:paraId="275A4E7F" w14:textId="3FFE16E0" w:rsidR="00220E27" w:rsidRPr="00EE5714" w:rsidRDefault="00220E27" w:rsidP="00220E27">
      <w:pPr>
        <w:tabs>
          <w:tab w:val="left" w:pos="720"/>
        </w:tab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BB54EA" w:rsidRPr="00EE5714">
        <w:rPr>
          <w:rFonts w:ascii="Times New Roman" w:hAnsi="Times New Roman" w:cs="Times New Roman"/>
          <w:sz w:val="26"/>
          <w:szCs w:val="26"/>
        </w:rPr>
        <w:t>The data request called for</w:t>
      </w:r>
      <w:r w:rsidRPr="00EE5714">
        <w:rPr>
          <w:rFonts w:ascii="Times New Roman" w:hAnsi="Times New Roman" w:cs="Times New Roman"/>
          <w:sz w:val="26"/>
          <w:szCs w:val="26"/>
        </w:rPr>
        <w:t xml:space="preserve"> CAP termination numbers to determine the extent of CAP default exits that eventually ended in termination of service.  However, upon review of the reported data, it became apparent that there were inconsistencies in the way CAP terminations were reported.  This, in part, appears to be due to the difficulty in determining when a CAP customer is “removed” from CAP versus when a CAP customer has service terminated.  </w:t>
      </w:r>
      <w:r w:rsidR="00AE761F" w:rsidRPr="00EE5714">
        <w:rPr>
          <w:rFonts w:ascii="Times New Roman" w:hAnsi="Times New Roman" w:cs="Times New Roman"/>
          <w:sz w:val="26"/>
          <w:szCs w:val="26"/>
        </w:rPr>
        <w:t>S</w:t>
      </w:r>
      <w:r w:rsidRPr="00EE5714">
        <w:rPr>
          <w:rFonts w:ascii="Times New Roman" w:hAnsi="Times New Roman" w:cs="Times New Roman"/>
          <w:sz w:val="26"/>
          <w:szCs w:val="26"/>
        </w:rPr>
        <w:t>ome utilities remove</w:t>
      </w:r>
      <w:r w:rsidR="00AE761F" w:rsidRPr="00EE5714">
        <w:rPr>
          <w:rFonts w:ascii="Times New Roman" w:hAnsi="Times New Roman" w:cs="Times New Roman"/>
          <w:sz w:val="26"/>
          <w:szCs w:val="26"/>
        </w:rPr>
        <w:t>d</w:t>
      </w:r>
      <w:r w:rsidRPr="00EE5714">
        <w:rPr>
          <w:rFonts w:ascii="Times New Roman" w:hAnsi="Times New Roman" w:cs="Times New Roman"/>
          <w:sz w:val="26"/>
          <w:szCs w:val="26"/>
        </w:rPr>
        <w:t xml:space="preserve"> CAP customer</w:t>
      </w:r>
      <w:r w:rsidR="00DE496A" w:rsidRPr="00EE5714">
        <w:rPr>
          <w:rFonts w:ascii="Times New Roman" w:hAnsi="Times New Roman" w:cs="Times New Roman"/>
          <w:sz w:val="26"/>
          <w:szCs w:val="26"/>
        </w:rPr>
        <w:t>s</w:t>
      </w:r>
      <w:r w:rsidRPr="00EE5714">
        <w:rPr>
          <w:rFonts w:ascii="Times New Roman" w:hAnsi="Times New Roman" w:cs="Times New Roman"/>
          <w:sz w:val="26"/>
          <w:szCs w:val="26"/>
        </w:rPr>
        <w:t xml:space="preserve"> from the program but d</w:t>
      </w:r>
      <w:r w:rsidR="00DE496A" w:rsidRPr="00EE5714">
        <w:rPr>
          <w:rFonts w:ascii="Times New Roman" w:hAnsi="Times New Roman" w:cs="Times New Roman"/>
          <w:sz w:val="26"/>
          <w:szCs w:val="26"/>
        </w:rPr>
        <w:t>id</w:t>
      </w:r>
      <w:r w:rsidRPr="00EE5714">
        <w:rPr>
          <w:rFonts w:ascii="Times New Roman" w:hAnsi="Times New Roman" w:cs="Times New Roman"/>
          <w:sz w:val="26"/>
          <w:szCs w:val="26"/>
        </w:rPr>
        <w:t xml:space="preserve"> not immediately terminate service.  For example, </w:t>
      </w:r>
      <w:r w:rsidR="00863EFE" w:rsidRPr="00EE5714">
        <w:rPr>
          <w:rFonts w:ascii="Times New Roman" w:hAnsi="Times New Roman" w:cs="Times New Roman"/>
          <w:sz w:val="26"/>
          <w:szCs w:val="26"/>
        </w:rPr>
        <w:t>Met-Ed</w:t>
      </w:r>
      <w:r w:rsidRPr="00EE5714">
        <w:rPr>
          <w:rFonts w:ascii="Times New Roman" w:hAnsi="Times New Roman" w:cs="Times New Roman"/>
          <w:sz w:val="26"/>
          <w:szCs w:val="26"/>
        </w:rPr>
        <w:t xml:space="preserve">, </w:t>
      </w:r>
      <w:proofErr w:type="spellStart"/>
      <w:r w:rsidRPr="00EE5714">
        <w:rPr>
          <w:rFonts w:ascii="Times New Roman" w:hAnsi="Times New Roman" w:cs="Times New Roman"/>
          <w:sz w:val="26"/>
          <w:szCs w:val="26"/>
        </w:rPr>
        <w:t>Penelec</w:t>
      </w:r>
      <w:proofErr w:type="spellEnd"/>
      <w:r w:rsidRPr="00EE5714">
        <w:rPr>
          <w:rFonts w:ascii="Times New Roman" w:hAnsi="Times New Roman" w:cs="Times New Roman"/>
          <w:sz w:val="26"/>
          <w:szCs w:val="26"/>
        </w:rPr>
        <w:t>, Penn Power, PPL, and West Penn d</w:t>
      </w:r>
      <w:r w:rsidR="00DE496A" w:rsidRPr="00EE5714">
        <w:rPr>
          <w:rFonts w:ascii="Times New Roman" w:hAnsi="Times New Roman" w:cs="Times New Roman"/>
          <w:sz w:val="26"/>
          <w:szCs w:val="26"/>
        </w:rPr>
        <w:t>id</w:t>
      </w:r>
      <w:r w:rsidRPr="00EE5714">
        <w:rPr>
          <w:rFonts w:ascii="Times New Roman" w:hAnsi="Times New Roman" w:cs="Times New Roman"/>
          <w:sz w:val="26"/>
          <w:szCs w:val="26"/>
        </w:rPr>
        <w:t xml:space="preserve"> not terminate service while a household is enrolled in CAP.  Instead, they remove</w:t>
      </w:r>
      <w:r w:rsidR="00DE496A" w:rsidRPr="00EE5714">
        <w:rPr>
          <w:rFonts w:ascii="Times New Roman" w:hAnsi="Times New Roman" w:cs="Times New Roman"/>
          <w:sz w:val="26"/>
          <w:szCs w:val="26"/>
        </w:rPr>
        <w:t>d</w:t>
      </w:r>
      <w:r w:rsidRPr="00EE5714">
        <w:rPr>
          <w:rFonts w:ascii="Times New Roman" w:hAnsi="Times New Roman" w:cs="Times New Roman"/>
          <w:sz w:val="26"/>
          <w:szCs w:val="26"/>
        </w:rPr>
        <w:t xml:space="preserve"> the household from the program if the household failed to meet its </w:t>
      </w:r>
      <w:r w:rsidR="00F22BE0" w:rsidRPr="00EE5714">
        <w:rPr>
          <w:rFonts w:ascii="Times New Roman" w:hAnsi="Times New Roman" w:cs="Times New Roman"/>
          <w:sz w:val="26"/>
          <w:szCs w:val="26"/>
        </w:rPr>
        <w:t xml:space="preserve">CAP </w:t>
      </w:r>
      <w:r w:rsidRPr="00EE5714">
        <w:rPr>
          <w:rFonts w:ascii="Times New Roman" w:hAnsi="Times New Roman" w:cs="Times New Roman"/>
          <w:sz w:val="26"/>
          <w:szCs w:val="26"/>
        </w:rPr>
        <w:t>payment responsibilities</w:t>
      </w:r>
      <w:r w:rsidR="00040FC8" w:rsidRPr="00EE5714">
        <w:rPr>
          <w:rFonts w:ascii="Times New Roman" w:hAnsi="Times New Roman" w:cs="Times New Roman"/>
          <w:sz w:val="26"/>
          <w:szCs w:val="26"/>
        </w:rPr>
        <w:t xml:space="preserve"> and </w:t>
      </w:r>
      <w:r w:rsidR="001E5EE5" w:rsidRPr="00EE5714">
        <w:rPr>
          <w:rFonts w:ascii="Times New Roman" w:hAnsi="Times New Roman" w:cs="Times New Roman"/>
          <w:sz w:val="26"/>
          <w:szCs w:val="26"/>
        </w:rPr>
        <w:t xml:space="preserve">would </w:t>
      </w:r>
      <w:r w:rsidR="00040FC8" w:rsidRPr="00EE5714">
        <w:rPr>
          <w:rFonts w:ascii="Times New Roman" w:hAnsi="Times New Roman" w:cs="Times New Roman"/>
          <w:sz w:val="26"/>
          <w:szCs w:val="26"/>
        </w:rPr>
        <w:t xml:space="preserve">terminate </w:t>
      </w:r>
      <w:r w:rsidR="00F05721" w:rsidRPr="00EE5714">
        <w:rPr>
          <w:rFonts w:ascii="Times New Roman" w:hAnsi="Times New Roman" w:cs="Times New Roman"/>
          <w:sz w:val="26"/>
          <w:szCs w:val="26"/>
        </w:rPr>
        <w:t>service later</w:t>
      </w:r>
      <w:r w:rsidRPr="00EE5714">
        <w:rPr>
          <w:rFonts w:ascii="Times New Roman" w:hAnsi="Times New Roman" w:cs="Times New Roman"/>
          <w:sz w:val="26"/>
          <w:szCs w:val="26"/>
        </w:rPr>
        <w:t xml:space="preserve">.  Thus, some utilities could only provide an estimate of the number of CAP customers who were removed from the program and subsequently had their service terminated.  </w:t>
      </w:r>
    </w:p>
    <w:p w14:paraId="4E82174E" w14:textId="77777777" w:rsidR="00CB21C3" w:rsidRPr="00EE5714" w:rsidRDefault="00CB21C3" w:rsidP="00220E27">
      <w:pPr>
        <w:tabs>
          <w:tab w:val="left" w:pos="720"/>
        </w:tabs>
        <w:spacing w:after="0" w:line="240" w:lineRule="auto"/>
        <w:contextualSpacing/>
        <w:rPr>
          <w:rFonts w:ascii="Times New Roman" w:hAnsi="Times New Roman" w:cs="Times New Roman"/>
          <w:sz w:val="26"/>
          <w:szCs w:val="26"/>
        </w:rPr>
      </w:pPr>
    </w:p>
    <w:p w14:paraId="6FC4FBE0"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In addition to the reporting inconsistencies, several utilities could not provide data due to system limitations.  Specifically:</w:t>
      </w:r>
    </w:p>
    <w:p w14:paraId="72FFB9D5" w14:textId="77777777" w:rsidR="00220E27" w:rsidRPr="00EE5714" w:rsidRDefault="00220E27" w:rsidP="00220E27">
      <w:pPr>
        <w:pStyle w:val="ListParagraph"/>
        <w:spacing w:after="0" w:line="240" w:lineRule="auto"/>
        <w:rPr>
          <w:rFonts w:ascii="Times New Roman" w:hAnsi="Times New Roman" w:cs="Times New Roman"/>
          <w:sz w:val="26"/>
          <w:szCs w:val="26"/>
        </w:rPr>
      </w:pPr>
    </w:p>
    <w:p w14:paraId="57890B27" w14:textId="77777777" w:rsidR="00220E27" w:rsidRPr="00EE5714" w:rsidRDefault="00863EFE" w:rsidP="007D5276">
      <w:pPr>
        <w:pStyle w:val="ListParagraph"/>
        <w:numPr>
          <w:ilvl w:val="0"/>
          <w:numId w:val="1"/>
        </w:numPr>
        <w:tabs>
          <w:tab w:val="left" w:pos="450"/>
        </w:tabs>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Met-Ed</w:t>
      </w:r>
      <w:r w:rsidR="00220E27" w:rsidRPr="00EE5714">
        <w:rPr>
          <w:rFonts w:ascii="Times New Roman" w:hAnsi="Times New Roman" w:cs="Times New Roman"/>
          <w:sz w:val="26"/>
          <w:szCs w:val="26"/>
        </w:rPr>
        <w:t xml:space="preserve">, </w:t>
      </w:r>
      <w:proofErr w:type="spellStart"/>
      <w:r w:rsidR="00220E27" w:rsidRPr="00EE5714">
        <w:rPr>
          <w:rFonts w:ascii="Times New Roman" w:hAnsi="Times New Roman" w:cs="Times New Roman"/>
          <w:sz w:val="26"/>
          <w:szCs w:val="26"/>
        </w:rPr>
        <w:t>Penelec</w:t>
      </w:r>
      <w:proofErr w:type="spellEnd"/>
      <w:r w:rsidR="00220E27" w:rsidRPr="00EE5714">
        <w:rPr>
          <w:rFonts w:ascii="Times New Roman" w:hAnsi="Times New Roman" w:cs="Times New Roman"/>
          <w:sz w:val="26"/>
          <w:szCs w:val="26"/>
        </w:rPr>
        <w:t xml:space="preserve">, Penn Power, and West Penn could not provide CAP termination data prior to 2014.  </w:t>
      </w:r>
    </w:p>
    <w:p w14:paraId="3F7DAADD" w14:textId="77777777" w:rsidR="00220E27" w:rsidRPr="00EE5714" w:rsidRDefault="00220E27" w:rsidP="00220E27">
      <w:pPr>
        <w:pStyle w:val="ListParagraph"/>
        <w:spacing w:after="0" w:line="240" w:lineRule="auto"/>
        <w:rPr>
          <w:rFonts w:ascii="Times New Roman" w:hAnsi="Times New Roman" w:cs="Times New Roman"/>
          <w:sz w:val="26"/>
          <w:szCs w:val="26"/>
        </w:rPr>
      </w:pPr>
    </w:p>
    <w:p w14:paraId="5310B601" w14:textId="77777777" w:rsidR="00220E27" w:rsidRPr="00EE5714" w:rsidRDefault="00220E27" w:rsidP="007D5276">
      <w:pPr>
        <w:pStyle w:val="ListParagraph"/>
        <w:numPr>
          <w:ilvl w:val="0"/>
          <w:numId w:val="1"/>
        </w:numPr>
        <w:tabs>
          <w:tab w:val="left" w:pos="450"/>
        </w:tabs>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Peoples Equitable could not provide CAP termination data prior to 2015.</w:t>
      </w:r>
    </w:p>
    <w:p w14:paraId="43231669" w14:textId="77777777" w:rsidR="00220E27" w:rsidRPr="00EE5714" w:rsidRDefault="00220E27" w:rsidP="00220E27">
      <w:pPr>
        <w:spacing w:after="0" w:line="240" w:lineRule="auto"/>
        <w:rPr>
          <w:rFonts w:ascii="Times New Roman" w:hAnsi="Times New Roman" w:cs="Times New Roman"/>
          <w:sz w:val="26"/>
          <w:szCs w:val="26"/>
        </w:rPr>
      </w:pPr>
    </w:p>
    <w:p w14:paraId="341F9003" w14:textId="77777777" w:rsidR="00220E27" w:rsidRPr="00EE5714" w:rsidRDefault="00220E27" w:rsidP="0039700C">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Analysis</w:t>
      </w:r>
    </w:p>
    <w:p w14:paraId="39E4A313" w14:textId="77777777" w:rsidR="00220E27" w:rsidRPr="00EE5714" w:rsidRDefault="00220E27" w:rsidP="00265C0A">
      <w:pPr>
        <w:keepNext/>
        <w:spacing w:after="0" w:line="240" w:lineRule="auto"/>
        <w:contextualSpacing/>
        <w:jc w:val="center"/>
        <w:rPr>
          <w:rFonts w:ascii="Times New Roman" w:hAnsi="Times New Roman" w:cs="Times New Roman"/>
          <w:sz w:val="26"/>
          <w:szCs w:val="26"/>
        </w:rPr>
      </w:pPr>
    </w:p>
    <w:p w14:paraId="1350DD88" w14:textId="77777777" w:rsidR="00220E27" w:rsidRPr="00EE5714" w:rsidRDefault="00220E27" w:rsidP="0039700C">
      <w:pPr>
        <w:keepNext/>
        <w:spacing w:after="0" w:line="240" w:lineRule="auto"/>
        <w:contextualSpacing/>
        <w:rPr>
          <w:rFonts w:ascii="Times New Roman" w:hAnsi="Times New Roman" w:cs="Times New Roman"/>
          <w:i/>
          <w:iCs/>
          <w:sz w:val="26"/>
          <w:szCs w:val="26"/>
        </w:rPr>
      </w:pPr>
      <w:bookmarkStart w:id="37" w:name="_Hlk525221489"/>
      <w:r w:rsidRPr="00EE5714">
        <w:rPr>
          <w:rFonts w:ascii="Times New Roman" w:hAnsi="Times New Roman" w:cs="Times New Roman"/>
          <w:i/>
          <w:iCs/>
          <w:sz w:val="26"/>
          <w:szCs w:val="26"/>
        </w:rPr>
        <w:t>NGDCs – Default Exit and CAP Termination Rate</w:t>
      </w:r>
      <w:bookmarkEnd w:id="37"/>
      <w:r w:rsidRPr="00EE5714">
        <w:rPr>
          <w:rFonts w:ascii="Times New Roman" w:hAnsi="Times New Roman" w:cs="Times New Roman"/>
          <w:i/>
          <w:iCs/>
          <w:sz w:val="26"/>
          <w:szCs w:val="26"/>
        </w:rPr>
        <w:t>s</w:t>
      </w:r>
    </w:p>
    <w:p w14:paraId="204F64C7" w14:textId="77777777" w:rsidR="00220E27" w:rsidRPr="00EE5714" w:rsidRDefault="00220E27" w:rsidP="00265C0A">
      <w:pPr>
        <w:keepNext/>
        <w:tabs>
          <w:tab w:val="left" w:pos="450"/>
        </w:tabs>
        <w:spacing w:after="0" w:line="240" w:lineRule="auto"/>
        <w:contextualSpacing/>
        <w:rPr>
          <w:rFonts w:ascii="Times New Roman" w:hAnsi="Times New Roman" w:cs="Times New Roman"/>
          <w:sz w:val="26"/>
          <w:szCs w:val="26"/>
        </w:rPr>
      </w:pPr>
    </w:p>
    <w:p w14:paraId="20D9ECE1" w14:textId="77777777" w:rsidR="002F198E" w:rsidRPr="00EE5714" w:rsidRDefault="002F198E" w:rsidP="002F198E">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7-1</w:t>
      </w:r>
    </w:p>
    <w:p w14:paraId="63612B42" w14:textId="77777777" w:rsidR="002F198E" w:rsidRPr="00EE5714" w:rsidRDefault="002F198E" w:rsidP="002F198E">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CAP Gas Heating Default Exit Rates, 2012-2016</w:t>
      </w:r>
    </w:p>
    <w:p w14:paraId="21C573AC" w14:textId="77777777" w:rsidR="002F198E" w:rsidRPr="00EE5714" w:rsidRDefault="002F198E" w:rsidP="008F48B4">
      <w:pPr>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6BC01870" wp14:editId="43765EA6">
            <wp:extent cx="5943600" cy="4143375"/>
            <wp:effectExtent l="0" t="0" r="0" b="9525"/>
            <wp:docPr id="726562210" name="Chart 726562210">
              <a:extLst xmlns:a="http://schemas.openxmlformats.org/drawingml/2006/main">
                <a:ext uri="{FF2B5EF4-FFF2-40B4-BE49-F238E27FC236}">
                  <a16:creationId xmlns:a16="http://schemas.microsoft.com/office/drawing/2014/main" id="{1B81D7C2-7207-4A46-A281-258F6AF78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EF34828" w14:textId="77777777" w:rsidR="002F198E" w:rsidRPr="00EE5714" w:rsidRDefault="002F198E" w:rsidP="002F198E">
      <w:pPr>
        <w:spacing w:after="0" w:line="240" w:lineRule="auto"/>
        <w:contextualSpacing/>
        <w:rPr>
          <w:rFonts w:ascii="Times New Roman" w:hAnsi="Times New Roman" w:cs="Times New Roman"/>
          <w:sz w:val="26"/>
          <w:szCs w:val="26"/>
        </w:rPr>
      </w:pPr>
    </w:p>
    <w:p w14:paraId="4623E2A0" w14:textId="5AF1B9C7" w:rsidR="00220E27" w:rsidRPr="00EE5714" w:rsidRDefault="00220E27" w:rsidP="00220E27">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 xml:space="preserve">Despite the limitations of the reported CAP default exits and CAP termination data, there were some generalized observations that could be made.  </w:t>
      </w:r>
      <w:r w:rsidR="00F07C42" w:rsidRPr="00EE5714">
        <w:rPr>
          <w:rFonts w:ascii="Times New Roman" w:hAnsi="Times New Roman" w:cs="Times New Roman"/>
          <w:sz w:val="26"/>
          <w:szCs w:val="26"/>
        </w:rPr>
        <w:t xml:space="preserve">Table 7-1 shows </w:t>
      </w:r>
      <w:r w:rsidRPr="00EE5714">
        <w:rPr>
          <w:rFonts w:ascii="Times New Roman" w:hAnsi="Times New Roman" w:cs="Times New Roman"/>
          <w:sz w:val="26"/>
          <w:szCs w:val="26"/>
        </w:rPr>
        <w:t>PGW’s default exit rates exceeded 100% of its average annual CAP enrollments from 2012 through 2014.  The utility’s default exit rate peak</w:t>
      </w:r>
      <w:r w:rsidR="000122EA" w:rsidRPr="00EE5714">
        <w:rPr>
          <w:rFonts w:ascii="Times New Roman" w:hAnsi="Times New Roman" w:cs="Times New Roman"/>
          <w:sz w:val="26"/>
          <w:szCs w:val="26"/>
        </w:rPr>
        <w:t>ed</w:t>
      </w:r>
      <w:r w:rsidRPr="00EE5714">
        <w:rPr>
          <w:rFonts w:ascii="Times New Roman" w:hAnsi="Times New Roman" w:cs="Times New Roman"/>
          <w:sz w:val="26"/>
          <w:szCs w:val="26"/>
        </w:rPr>
        <w:t xml:space="preserve"> at 161% in 2014 but drop</w:t>
      </w:r>
      <w:r w:rsidR="001563FB" w:rsidRPr="00EE5714">
        <w:rPr>
          <w:rFonts w:ascii="Times New Roman" w:hAnsi="Times New Roman" w:cs="Times New Roman"/>
          <w:sz w:val="26"/>
          <w:szCs w:val="26"/>
        </w:rPr>
        <w:t>p</w:t>
      </w:r>
      <w:r w:rsidR="000122EA" w:rsidRPr="00EE5714">
        <w:rPr>
          <w:rFonts w:ascii="Times New Roman" w:hAnsi="Times New Roman" w:cs="Times New Roman"/>
          <w:sz w:val="26"/>
          <w:szCs w:val="26"/>
        </w:rPr>
        <w:t>ed</w:t>
      </w:r>
      <w:r w:rsidRPr="00EE5714">
        <w:rPr>
          <w:rFonts w:ascii="Times New Roman" w:hAnsi="Times New Roman" w:cs="Times New Roman"/>
          <w:sz w:val="26"/>
          <w:szCs w:val="26"/>
        </w:rPr>
        <w:t xml:space="preserve"> significantly to 16% and 19% in 2015 and 2016, respectively.  PGW’s 2015 and 2016 default exit levels </w:t>
      </w:r>
      <w:r w:rsidR="000122EA" w:rsidRPr="00EE5714">
        <w:rPr>
          <w:rFonts w:ascii="Times New Roman" w:hAnsi="Times New Roman" w:cs="Times New Roman"/>
          <w:sz w:val="26"/>
          <w:szCs w:val="26"/>
        </w:rPr>
        <w:t>we</w:t>
      </w:r>
      <w:r w:rsidRPr="00EE5714">
        <w:rPr>
          <w:rFonts w:ascii="Times New Roman" w:hAnsi="Times New Roman" w:cs="Times New Roman"/>
          <w:sz w:val="26"/>
          <w:szCs w:val="26"/>
        </w:rPr>
        <w:t>re more consistent with the counts reported by other NGDCs.</w:t>
      </w:r>
    </w:p>
    <w:p w14:paraId="69B9E186" w14:textId="77777777" w:rsidR="00220E27" w:rsidRPr="00EE5714" w:rsidRDefault="00220E27" w:rsidP="00220E27">
      <w:pPr>
        <w:spacing w:after="0" w:line="240" w:lineRule="auto"/>
        <w:contextualSpacing/>
        <w:rPr>
          <w:rFonts w:ascii="Times New Roman" w:hAnsi="Times New Roman" w:cs="Times New Roman"/>
          <w:sz w:val="26"/>
          <w:szCs w:val="26"/>
        </w:rPr>
      </w:pPr>
    </w:p>
    <w:p w14:paraId="1B0DC3DF"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Columbia reported three years (2012</w:t>
      </w:r>
      <w:r w:rsidR="008766DE" w:rsidRPr="00EE5714">
        <w:rPr>
          <w:rFonts w:ascii="Times New Roman" w:hAnsi="Times New Roman" w:cs="Times New Roman"/>
          <w:sz w:val="26"/>
          <w:szCs w:val="26"/>
        </w:rPr>
        <w:t xml:space="preserve"> to </w:t>
      </w:r>
      <w:r w:rsidRPr="00EE5714">
        <w:rPr>
          <w:rFonts w:ascii="Times New Roman" w:hAnsi="Times New Roman" w:cs="Times New Roman"/>
          <w:sz w:val="26"/>
          <w:szCs w:val="26"/>
        </w:rPr>
        <w:t>2014) and UGI PNG reported four years (2013</w:t>
      </w:r>
      <w:r w:rsidR="008766DE" w:rsidRPr="00EE5714">
        <w:rPr>
          <w:rFonts w:ascii="Times New Roman" w:hAnsi="Times New Roman" w:cs="Times New Roman"/>
          <w:sz w:val="26"/>
          <w:szCs w:val="26"/>
        </w:rPr>
        <w:t xml:space="preserve"> to </w:t>
      </w:r>
      <w:r w:rsidRPr="00EE5714">
        <w:rPr>
          <w:rFonts w:ascii="Times New Roman" w:hAnsi="Times New Roman" w:cs="Times New Roman"/>
          <w:sz w:val="26"/>
          <w:szCs w:val="26"/>
        </w:rPr>
        <w:t>2016) where their respective default exit rates exceeded their CAP termination rates; UGI Gas reported its CAP termination rate equaled its default exit rate in 2013 and exceeded this rate in 2016.</w:t>
      </w:r>
      <w:r w:rsidRPr="00EE5714">
        <w:rPr>
          <w:rStyle w:val="FootnoteReference"/>
          <w:rFonts w:ascii="Times New Roman" w:hAnsi="Times New Roman" w:cs="Times New Roman"/>
          <w:sz w:val="26"/>
          <w:szCs w:val="26"/>
        </w:rPr>
        <w:footnoteReference w:id="57"/>
      </w:r>
    </w:p>
    <w:p w14:paraId="7A2014F4" w14:textId="77777777" w:rsidR="004C5B18" w:rsidRPr="00EE5714" w:rsidRDefault="004C5B18" w:rsidP="004C5B18">
      <w:pPr>
        <w:keepNext/>
        <w:spacing w:after="0" w:line="240" w:lineRule="auto"/>
        <w:contextualSpacing/>
        <w:jc w:val="center"/>
        <w:rPr>
          <w:rFonts w:ascii="Times New Roman" w:hAnsi="Times New Roman" w:cs="Times New Roman"/>
          <w:sz w:val="26"/>
          <w:szCs w:val="26"/>
        </w:rPr>
      </w:pPr>
    </w:p>
    <w:p w14:paraId="3BD0D7C4" w14:textId="77777777" w:rsidR="004C5B18" w:rsidRPr="00EE5714" w:rsidRDefault="004C5B18" w:rsidP="004C5B18">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7-2</w:t>
      </w:r>
    </w:p>
    <w:p w14:paraId="55F24F3F" w14:textId="77777777" w:rsidR="004C5B18" w:rsidRPr="00EE5714" w:rsidRDefault="004C5B18" w:rsidP="004C5B18">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CAP Gas Heating Account Termination Rates, 2012-2016</w:t>
      </w:r>
    </w:p>
    <w:p w14:paraId="4BD703F2" w14:textId="77777777" w:rsidR="004C5B18" w:rsidRPr="00EE5714" w:rsidRDefault="004C5B18" w:rsidP="008F48B4">
      <w:pPr>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2F19D7C1" wp14:editId="0D76CB9A">
            <wp:extent cx="5943600" cy="4387215"/>
            <wp:effectExtent l="0" t="0" r="0" b="13335"/>
            <wp:docPr id="726562211" name="Chart 726562211">
              <a:extLst xmlns:a="http://schemas.openxmlformats.org/drawingml/2006/main">
                <a:ext uri="{FF2B5EF4-FFF2-40B4-BE49-F238E27FC236}">
                  <a16:creationId xmlns:a16="http://schemas.microsoft.com/office/drawing/2014/main" id="{80D4B91A-0F41-447B-A6C5-5411E1BE8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2BF2F83" w14:textId="77777777" w:rsidR="004C5B18" w:rsidRPr="00EE5714" w:rsidRDefault="004C5B18" w:rsidP="004C5B18">
      <w:pPr>
        <w:spacing w:after="0" w:line="240" w:lineRule="auto"/>
        <w:contextualSpacing/>
        <w:rPr>
          <w:rFonts w:ascii="Times New Roman" w:hAnsi="Times New Roman" w:cs="Times New Roman"/>
          <w:sz w:val="26"/>
          <w:szCs w:val="26"/>
        </w:rPr>
      </w:pPr>
    </w:p>
    <w:p w14:paraId="4B8E6AD6"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As seen in Table </w:t>
      </w:r>
      <w:r w:rsidR="00F07C42" w:rsidRPr="00EE5714">
        <w:rPr>
          <w:rFonts w:ascii="Times New Roman" w:hAnsi="Times New Roman" w:cs="Times New Roman"/>
          <w:sz w:val="26"/>
          <w:szCs w:val="26"/>
        </w:rPr>
        <w:t>7-2</w:t>
      </w:r>
      <w:r w:rsidRPr="00EE5714">
        <w:rPr>
          <w:rFonts w:ascii="Times New Roman" w:hAnsi="Times New Roman" w:cs="Times New Roman"/>
          <w:sz w:val="26"/>
          <w:szCs w:val="26"/>
        </w:rPr>
        <w:t xml:space="preserve">, UGI Gas and UGI PNG had the highest respective CAP termination rates during the study period, both peaking at 21% and 23% in 2012, respectively.  Between 2013 and 2016, CAP termination rates ranged from 12% to 16% for UGI Gas and from 16% to 19% for UGI PNG.  Columbia had relatively stable termination rates during this study period, ranging from 10% to 11% annually.  Termination rates for half of the NGDCs ranged between 5% and 9%.  PECO Gas reported the lowest termination rates, averaging less than 1% annually.  This may </w:t>
      </w:r>
      <w:r w:rsidR="00CB7539" w:rsidRPr="00EE5714">
        <w:rPr>
          <w:rFonts w:ascii="Times New Roman" w:hAnsi="Times New Roman" w:cs="Times New Roman"/>
          <w:sz w:val="26"/>
          <w:szCs w:val="26"/>
        </w:rPr>
        <w:t xml:space="preserve">have </w:t>
      </w:r>
      <w:r w:rsidRPr="00EE5714">
        <w:rPr>
          <w:rFonts w:ascii="Times New Roman" w:hAnsi="Times New Roman" w:cs="Times New Roman"/>
          <w:sz w:val="26"/>
          <w:szCs w:val="26"/>
        </w:rPr>
        <w:t>be</w:t>
      </w:r>
      <w:r w:rsidR="00CB7539" w:rsidRPr="00EE5714">
        <w:rPr>
          <w:rFonts w:ascii="Times New Roman" w:hAnsi="Times New Roman" w:cs="Times New Roman"/>
          <w:sz w:val="26"/>
          <w:szCs w:val="26"/>
        </w:rPr>
        <w:t>en</w:t>
      </w:r>
      <w:r w:rsidRPr="00EE5714">
        <w:rPr>
          <w:rFonts w:ascii="Times New Roman" w:hAnsi="Times New Roman" w:cs="Times New Roman"/>
          <w:sz w:val="26"/>
          <w:szCs w:val="26"/>
        </w:rPr>
        <w:t xml:space="preserve"> the result of the previous PECO Gas practice (which is shared with PECO Electric) of offering payment arrangements on CAP arrears – instead of issuing termination notices – during this study period.</w:t>
      </w:r>
      <w:r w:rsidRPr="00EE5714">
        <w:rPr>
          <w:rStyle w:val="FootnoteReference"/>
          <w:rFonts w:ascii="Times New Roman" w:hAnsi="Times New Roman" w:cs="Times New Roman"/>
          <w:sz w:val="26"/>
          <w:szCs w:val="26"/>
        </w:rPr>
        <w:footnoteReference w:id="58"/>
      </w:r>
      <w:r w:rsidRPr="00EE5714">
        <w:rPr>
          <w:rFonts w:ascii="Times New Roman" w:hAnsi="Times New Roman" w:cs="Times New Roman"/>
          <w:sz w:val="26"/>
          <w:szCs w:val="26"/>
        </w:rPr>
        <w:t xml:space="preserve">  </w:t>
      </w:r>
    </w:p>
    <w:p w14:paraId="31A58110" w14:textId="77777777" w:rsidR="00220E27" w:rsidRPr="00EE5714" w:rsidRDefault="00220E27" w:rsidP="00220E27">
      <w:pPr>
        <w:spacing w:after="0" w:line="240" w:lineRule="auto"/>
        <w:contextualSpacing/>
        <w:rPr>
          <w:rFonts w:ascii="Times New Roman" w:hAnsi="Times New Roman" w:cs="Times New Roman"/>
          <w:sz w:val="26"/>
          <w:szCs w:val="26"/>
        </w:rPr>
      </w:pPr>
    </w:p>
    <w:p w14:paraId="35551D2D" w14:textId="77777777" w:rsidR="00220E27" w:rsidRPr="00EE5714" w:rsidRDefault="00220E27" w:rsidP="00977BB3">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lastRenderedPageBreak/>
        <w:t>EDCs – Non-Heating Default Exit and CAP Termination Rates</w:t>
      </w:r>
    </w:p>
    <w:p w14:paraId="1D4D2370" w14:textId="77777777" w:rsidR="00220E27" w:rsidRPr="00EE5714" w:rsidRDefault="00220E27" w:rsidP="00326C05">
      <w:pPr>
        <w:keepNext/>
        <w:spacing w:after="0" w:line="240" w:lineRule="auto"/>
        <w:contextualSpacing/>
        <w:rPr>
          <w:rFonts w:ascii="Times New Roman" w:hAnsi="Times New Roman" w:cs="Times New Roman"/>
          <w:sz w:val="26"/>
          <w:szCs w:val="26"/>
        </w:rPr>
      </w:pPr>
    </w:p>
    <w:p w14:paraId="33553C3B" w14:textId="77777777" w:rsidR="004C5B18" w:rsidRPr="00EE5714" w:rsidRDefault="004C5B18" w:rsidP="004C5B18">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7-3</w:t>
      </w:r>
    </w:p>
    <w:p w14:paraId="67F47447" w14:textId="77777777" w:rsidR="004C5B18" w:rsidRPr="00EE5714" w:rsidRDefault="004C5B18" w:rsidP="004C5B18">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EDC Non-Heating CAP Default Exit Rates, 2012-2016</w:t>
      </w:r>
    </w:p>
    <w:p w14:paraId="281DC79F" w14:textId="77777777" w:rsidR="004C5B18" w:rsidRPr="00EE5714" w:rsidRDefault="004C5B18" w:rsidP="004C5B18">
      <w:pPr>
        <w:spacing w:after="0" w:line="240" w:lineRule="auto"/>
        <w:contextualSpacing/>
        <w:jc w:val="center"/>
        <w:rPr>
          <w:rFonts w:ascii="Times New Roman" w:hAnsi="Times New Roman" w:cs="Times New Roman"/>
          <w:b/>
          <w:sz w:val="26"/>
          <w:szCs w:val="26"/>
        </w:rPr>
      </w:pPr>
      <w:r w:rsidRPr="00EE5714">
        <w:rPr>
          <w:noProof/>
        </w:rPr>
        <w:t xml:space="preserve"> </w:t>
      </w:r>
      <w:r w:rsidRPr="00EE5714">
        <w:rPr>
          <w:noProof/>
        </w:rPr>
        <w:drawing>
          <wp:inline distT="0" distB="0" distL="0" distR="0" wp14:anchorId="216D872C" wp14:editId="01E76D9E">
            <wp:extent cx="5943600" cy="4255770"/>
            <wp:effectExtent l="0" t="0" r="0" b="11430"/>
            <wp:docPr id="726562212" name="Chart 726562212">
              <a:extLst xmlns:a="http://schemas.openxmlformats.org/drawingml/2006/main">
                <a:ext uri="{FF2B5EF4-FFF2-40B4-BE49-F238E27FC236}">
                  <a16:creationId xmlns:a16="http://schemas.microsoft.com/office/drawing/2014/main" id="{CA16BAA5-E59C-4460-AB20-3CD5CFC26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7FF3F5" w14:textId="77777777" w:rsidR="004C5B18" w:rsidRPr="00EE5714" w:rsidRDefault="004C5B18" w:rsidP="004C5B18">
      <w:pPr>
        <w:spacing w:after="0" w:line="240" w:lineRule="auto"/>
        <w:ind w:firstLine="720"/>
        <w:contextualSpacing/>
        <w:rPr>
          <w:rFonts w:ascii="Times New Roman" w:hAnsi="Times New Roman" w:cs="Times New Roman"/>
          <w:sz w:val="26"/>
          <w:szCs w:val="26"/>
        </w:rPr>
      </w:pPr>
    </w:p>
    <w:p w14:paraId="5CBEC5A2"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As seen in Table </w:t>
      </w:r>
      <w:r w:rsidR="00F07C42" w:rsidRPr="00EE5714">
        <w:rPr>
          <w:rFonts w:ascii="Times New Roman" w:hAnsi="Times New Roman" w:cs="Times New Roman"/>
          <w:sz w:val="26"/>
          <w:szCs w:val="26"/>
        </w:rPr>
        <w:t>7-3</w:t>
      </w:r>
      <w:r w:rsidRPr="00EE5714">
        <w:rPr>
          <w:rFonts w:ascii="Times New Roman" w:hAnsi="Times New Roman" w:cs="Times New Roman"/>
          <w:sz w:val="26"/>
          <w:szCs w:val="26"/>
        </w:rPr>
        <w:t xml:space="preserve">, the default exit rate for </w:t>
      </w:r>
      <w:r w:rsidR="00863EFE" w:rsidRPr="00EE5714">
        <w:rPr>
          <w:rFonts w:ascii="Times New Roman" w:hAnsi="Times New Roman" w:cs="Times New Roman"/>
          <w:sz w:val="26"/>
          <w:szCs w:val="26"/>
        </w:rPr>
        <w:t>Met-Ed</w:t>
      </w:r>
      <w:r w:rsidRPr="00EE5714">
        <w:rPr>
          <w:rFonts w:ascii="Times New Roman" w:hAnsi="Times New Roman" w:cs="Times New Roman"/>
          <w:sz w:val="26"/>
          <w:szCs w:val="26"/>
        </w:rPr>
        <w:t xml:space="preserve"> and </w:t>
      </w:r>
      <w:proofErr w:type="spellStart"/>
      <w:r w:rsidRPr="00EE5714">
        <w:rPr>
          <w:rFonts w:ascii="Times New Roman" w:hAnsi="Times New Roman" w:cs="Times New Roman"/>
          <w:sz w:val="26"/>
          <w:szCs w:val="26"/>
        </w:rPr>
        <w:t>Penelec</w:t>
      </w:r>
      <w:proofErr w:type="spellEnd"/>
      <w:r w:rsidRPr="00EE5714">
        <w:rPr>
          <w:rFonts w:ascii="Times New Roman" w:hAnsi="Times New Roman" w:cs="Times New Roman"/>
          <w:sz w:val="26"/>
          <w:szCs w:val="26"/>
        </w:rPr>
        <w:t xml:space="preserve"> peaked in 2013, exceeding 50%.  However, both </w:t>
      </w:r>
      <w:r w:rsidR="00326C05" w:rsidRPr="00EE5714">
        <w:rPr>
          <w:rFonts w:ascii="Times New Roman" w:hAnsi="Times New Roman" w:cs="Times New Roman"/>
          <w:sz w:val="26"/>
          <w:szCs w:val="26"/>
        </w:rPr>
        <w:t>utilities’</w:t>
      </w:r>
      <w:r w:rsidRPr="00EE5714">
        <w:rPr>
          <w:rFonts w:ascii="Times New Roman" w:hAnsi="Times New Roman" w:cs="Times New Roman"/>
          <w:sz w:val="26"/>
          <w:szCs w:val="26"/>
        </w:rPr>
        <w:t xml:space="preserve"> default exit rate declined below 40% for the last three years of this study, which is consistent with PECO Electric.  Duquesne and PPL reported CAP default exit rates ranging between 10% to 20% for most years of this study.  </w:t>
      </w:r>
    </w:p>
    <w:p w14:paraId="1DB0CA92" w14:textId="77777777" w:rsidR="00220E27" w:rsidRPr="00EE5714" w:rsidRDefault="00220E27" w:rsidP="00220E27">
      <w:pPr>
        <w:spacing w:after="0" w:line="240" w:lineRule="auto"/>
        <w:contextualSpacing/>
        <w:jc w:val="center"/>
        <w:rPr>
          <w:rFonts w:ascii="Times New Roman" w:hAnsi="Times New Roman" w:cs="Times New Roman"/>
          <w:b/>
          <w:sz w:val="26"/>
          <w:szCs w:val="26"/>
        </w:rPr>
      </w:pPr>
    </w:p>
    <w:p w14:paraId="2257FA0A" w14:textId="77777777" w:rsidR="009A68A2" w:rsidRPr="00EE5714" w:rsidRDefault="009A68A2" w:rsidP="009A68A2">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7-4</w:t>
      </w:r>
    </w:p>
    <w:p w14:paraId="2420118C" w14:textId="77777777" w:rsidR="009A68A2" w:rsidRPr="00EE5714" w:rsidRDefault="009A68A2" w:rsidP="009A68A2">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Electric Non-Heating CAP Account Termination Rates, 2012-2016</w:t>
      </w:r>
    </w:p>
    <w:p w14:paraId="7D4DFF5F" w14:textId="77777777" w:rsidR="009A68A2" w:rsidRPr="00EE5714" w:rsidRDefault="009A68A2" w:rsidP="009A68A2">
      <w:pPr>
        <w:spacing w:after="0" w:line="240" w:lineRule="auto"/>
        <w:contextualSpacing/>
        <w:jc w:val="center"/>
        <w:rPr>
          <w:rFonts w:ascii="Times New Roman" w:hAnsi="Times New Roman" w:cs="Times New Roman"/>
          <w:b/>
          <w:sz w:val="26"/>
          <w:szCs w:val="26"/>
        </w:rPr>
      </w:pPr>
      <w:r w:rsidRPr="00EE5714">
        <w:rPr>
          <w:noProof/>
        </w:rPr>
        <w:t xml:space="preserve"> </w:t>
      </w:r>
      <w:r w:rsidRPr="00EE5714">
        <w:rPr>
          <w:noProof/>
        </w:rPr>
        <w:drawing>
          <wp:inline distT="0" distB="0" distL="0" distR="0" wp14:anchorId="2664F694" wp14:editId="0A545DBE">
            <wp:extent cx="5943600" cy="4255770"/>
            <wp:effectExtent l="0" t="0" r="0" b="11430"/>
            <wp:docPr id="726562213" name="Chart 726562213">
              <a:extLst xmlns:a="http://schemas.openxmlformats.org/drawingml/2006/main">
                <a:ext uri="{FF2B5EF4-FFF2-40B4-BE49-F238E27FC236}">
                  <a16:creationId xmlns:a16="http://schemas.microsoft.com/office/drawing/2014/main" id="{43446EB0-18A8-44F3-B1EC-7EE465938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4AE5B6" w14:textId="77777777" w:rsidR="009A68A2" w:rsidRPr="00EE5714" w:rsidRDefault="009A68A2" w:rsidP="009A68A2">
      <w:pPr>
        <w:spacing w:after="0" w:line="240" w:lineRule="auto"/>
        <w:ind w:firstLine="720"/>
        <w:contextualSpacing/>
        <w:rPr>
          <w:rFonts w:ascii="Times New Roman" w:hAnsi="Times New Roman" w:cs="Times New Roman"/>
          <w:sz w:val="26"/>
          <w:szCs w:val="26"/>
        </w:rPr>
      </w:pPr>
    </w:p>
    <w:p w14:paraId="385B36E2" w14:textId="77777777" w:rsidR="00220E27" w:rsidRPr="00EE5714" w:rsidRDefault="00220E27" w:rsidP="00220E27">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 xml:space="preserve">As seen in Table </w:t>
      </w:r>
      <w:r w:rsidR="00F07C42" w:rsidRPr="00EE5714">
        <w:rPr>
          <w:rFonts w:ascii="Times New Roman" w:hAnsi="Times New Roman" w:cs="Times New Roman"/>
          <w:sz w:val="26"/>
          <w:szCs w:val="26"/>
        </w:rPr>
        <w:t>7-4</w:t>
      </w:r>
      <w:r w:rsidRPr="00EE5714">
        <w:rPr>
          <w:rFonts w:ascii="Times New Roman" w:hAnsi="Times New Roman" w:cs="Times New Roman"/>
          <w:sz w:val="26"/>
          <w:szCs w:val="26"/>
        </w:rPr>
        <w:t>, the higher default exit rates reported by</w:t>
      </w:r>
      <w:r w:rsidRPr="00EE5714" w:rsidDel="005366CE">
        <w:rPr>
          <w:rFonts w:ascii="Times New Roman" w:hAnsi="Times New Roman" w:cs="Times New Roman"/>
          <w:sz w:val="26"/>
          <w:szCs w:val="26"/>
        </w:rPr>
        <w:t xml:space="preserve"> </w:t>
      </w:r>
      <w:r w:rsidR="00863EFE" w:rsidRPr="00EE5714">
        <w:rPr>
          <w:rFonts w:ascii="Times New Roman" w:hAnsi="Times New Roman" w:cs="Times New Roman"/>
          <w:sz w:val="26"/>
          <w:szCs w:val="26"/>
        </w:rPr>
        <w:t>Met-Ed</w:t>
      </w:r>
      <w:r w:rsidRPr="00EE5714">
        <w:rPr>
          <w:rFonts w:ascii="Times New Roman" w:hAnsi="Times New Roman" w:cs="Times New Roman"/>
          <w:sz w:val="26"/>
          <w:szCs w:val="26"/>
        </w:rPr>
        <w:t xml:space="preserve"> and </w:t>
      </w:r>
      <w:proofErr w:type="spellStart"/>
      <w:r w:rsidRPr="00EE5714">
        <w:rPr>
          <w:rFonts w:ascii="Times New Roman" w:hAnsi="Times New Roman" w:cs="Times New Roman"/>
          <w:sz w:val="26"/>
          <w:szCs w:val="26"/>
        </w:rPr>
        <w:t>Penelec</w:t>
      </w:r>
      <w:proofErr w:type="spellEnd"/>
      <w:r w:rsidRPr="00EE5714">
        <w:rPr>
          <w:rFonts w:ascii="Times New Roman" w:hAnsi="Times New Roman" w:cs="Times New Roman"/>
          <w:sz w:val="26"/>
          <w:szCs w:val="26"/>
        </w:rPr>
        <w:t xml:space="preserve"> did not translate into a higher rate of CAP terminations.  Both </w:t>
      </w:r>
      <w:r w:rsidR="006F5530" w:rsidRPr="00EE5714">
        <w:rPr>
          <w:rFonts w:ascii="Times New Roman" w:hAnsi="Times New Roman" w:cs="Times New Roman"/>
          <w:sz w:val="26"/>
          <w:szCs w:val="26"/>
        </w:rPr>
        <w:t>utilities</w:t>
      </w:r>
      <w:r w:rsidRPr="00EE5714">
        <w:rPr>
          <w:rFonts w:ascii="Times New Roman" w:hAnsi="Times New Roman" w:cs="Times New Roman"/>
          <w:sz w:val="26"/>
          <w:szCs w:val="26"/>
        </w:rPr>
        <w:t xml:space="preserve"> reported CAP termination rates between 4-6% for 2014 to 2016.  Duquesne and PECO Electric reported higher CAP termination rates for electric non-heating accounts than other EDCs.  Duquesne’s termination rates ranged from 14% to 16% from 2012 through 2014 but dropped to less than 1% for 2015 and 2016.  This decrease in terminations </w:t>
      </w:r>
      <w:r w:rsidR="00B922C8" w:rsidRPr="00EE5714">
        <w:rPr>
          <w:rFonts w:ascii="Times New Roman" w:hAnsi="Times New Roman" w:cs="Times New Roman"/>
          <w:sz w:val="26"/>
          <w:szCs w:val="26"/>
        </w:rPr>
        <w:t>was</w:t>
      </w:r>
      <w:r w:rsidRPr="00EE5714">
        <w:rPr>
          <w:rFonts w:ascii="Times New Roman" w:hAnsi="Times New Roman" w:cs="Times New Roman"/>
          <w:sz w:val="26"/>
          <w:szCs w:val="26"/>
        </w:rPr>
        <w:t xml:space="preserve"> likely due to Duquesne’s CAP budget billing issues, which caused the </w:t>
      </w:r>
      <w:r w:rsidR="006F5530" w:rsidRPr="00EE5714">
        <w:rPr>
          <w:rFonts w:ascii="Times New Roman" w:hAnsi="Times New Roman" w:cs="Times New Roman"/>
          <w:sz w:val="26"/>
          <w:szCs w:val="26"/>
        </w:rPr>
        <w:t>utility</w:t>
      </w:r>
      <w:r w:rsidRPr="00EE5714">
        <w:rPr>
          <w:rFonts w:ascii="Times New Roman" w:hAnsi="Times New Roman" w:cs="Times New Roman"/>
          <w:sz w:val="26"/>
          <w:szCs w:val="26"/>
        </w:rPr>
        <w:t xml:space="preserve"> to place a temporary hold on CAP terminations.</w:t>
      </w:r>
      <w:r w:rsidRPr="00EE5714">
        <w:rPr>
          <w:rStyle w:val="FootnoteReference"/>
          <w:rFonts w:ascii="Times New Roman" w:hAnsi="Times New Roman" w:cs="Times New Roman"/>
          <w:sz w:val="26"/>
          <w:szCs w:val="26"/>
        </w:rPr>
        <w:footnoteReference w:id="59"/>
      </w:r>
      <w:r w:rsidRPr="00EE5714">
        <w:rPr>
          <w:rFonts w:ascii="Times New Roman" w:hAnsi="Times New Roman" w:cs="Times New Roman"/>
          <w:sz w:val="26"/>
          <w:szCs w:val="26"/>
        </w:rPr>
        <w:t xml:space="preserve">  PECO Electric’s CAP termination rates for non-heating accounts peaked at 18% in 2014 – during the polar vortex – but decreased to 9% and 7% in 2015 and 2016, respectively.  Penn Power and PPL reported CAP termination rates of approximately 4% or less.  </w:t>
      </w:r>
      <w:r w:rsidR="00D571CA" w:rsidRPr="00EE5714">
        <w:rPr>
          <w:rFonts w:ascii="Times New Roman" w:hAnsi="Times New Roman" w:cs="Times New Roman"/>
          <w:sz w:val="26"/>
          <w:szCs w:val="26"/>
        </w:rPr>
        <w:t xml:space="preserve">Staff </w:t>
      </w:r>
      <w:r w:rsidRPr="00EE5714">
        <w:rPr>
          <w:rFonts w:ascii="Times New Roman" w:hAnsi="Times New Roman" w:cs="Times New Roman"/>
          <w:sz w:val="26"/>
          <w:szCs w:val="26"/>
        </w:rPr>
        <w:t xml:space="preserve">also note a slight increase in CAP terminations for many utilities in 2014, which may be the result of higher usage during the polar vortex. </w:t>
      </w:r>
    </w:p>
    <w:p w14:paraId="1E5545AF" w14:textId="77777777" w:rsidR="00220E27" w:rsidRPr="00EE5714" w:rsidRDefault="00220E27" w:rsidP="00220E27">
      <w:pPr>
        <w:spacing w:after="0" w:line="240" w:lineRule="auto"/>
        <w:contextualSpacing/>
        <w:rPr>
          <w:rFonts w:ascii="Times New Roman" w:hAnsi="Times New Roman" w:cs="Times New Roman"/>
          <w:sz w:val="26"/>
          <w:szCs w:val="26"/>
        </w:rPr>
      </w:pPr>
    </w:p>
    <w:p w14:paraId="485F0C49" w14:textId="77777777" w:rsidR="00220E27" w:rsidRPr="00EE5714" w:rsidRDefault="00220E27" w:rsidP="003B7D77">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lastRenderedPageBreak/>
        <w:t>EDCs – Heating Default Exit</w:t>
      </w:r>
      <w:r w:rsidR="000C7F36" w:rsidRPr="00EE5714">
        <w:rPr>
          <w:rFonts w:ascii="Times New Roman" w:hAnsi="Times New Roman" w:cs="Times New Roman"/>
          <w:i/>
          <w:iCs/>
          <w:sz w:val="26"/>
          <w:szCs w:val="26"/>
        </w:rPr>
        <w:t>s</w:t>
      </w:r>
      <w:r w:rsidRPr="00EE5714">
        <w:rPr>
          <w:rFonts w:ascii="Times New Roman" w:hAnsi="Times New Roman" w:cs="Times New Roman"/>
          <w:i/>
          <w:iCs/>
          <w:sz w:val="26"/>
          <w:szCs w:val="26"/>
        </w:rPr>
        <w:t xml:space="preserve"> and CAP Termination Rates</w:t>
      </w:r>
    </w:p>
    <w:p w14:paraId="016731D4" w14:textId="77777777" w:rsidR="00220E27" w:rsidRPr="00EE5714" w:rsidRDefault="00220E27" w:rsidP="00EC3550">
      <w:pPr>
        <w:keepNext/>
        <w:spacing w:after="0" w:line="240" w:lineRule="auto"/>
        <w:contextualSpacing/>
        <w:rPr>
          <w:rFonts w:ascii="Times New Roman" w:hAnsi="Times New Roman" w:cs="Times New Roman"/>
          <w:sz w:val="26"/>
          <w:szCs w:val="26"/>
        </w:rPr>
      </w:pPr>
    </w:p>
    <w:p w14:paraId="6EEF354E" w14:textId="77777777" w:rsidR="002013CD" w:rsidRPr="00EE5714" w:rsidRDefault="002013CD" w:rsidP="002013CD">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7-5</w:t>
      </w:r>
    </w:p>
    <w:p w14:paraId="69DCE061" w14:textId="77777777" w:rsidR="002013CD" w:rsidRPr="00EE5714" w:rsidRDefault="002013CD" w:rsidP="002013CD">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EDC Heating CAP Default Exit Rates, 2012-2016</w:t>
      </w:r>
    </w:p>
    <w:p w14:paraId="5998D5F5" w14:textId="77777777" w:rsidR="002013CD" w:rsidRPr="00EE5714" w:rsidRDefault="002013CD" w:rsidP="00252488">
      <w:pPr>
        <w:spacing w:after="0" w:line="240" w:lineRule="auto"/>
        <w:contextualSpacing/>
        <w:jc w:val="center"/>
        <w:rPr>
          <w:rFonts w:ascii="Times New Roman" w:hAnsi="Times New Roman" w:cs="Times New Roman"/>
          <w:i/>
          <w:sz w:val="26"/>
          <w:szCs w:val="26"/>
        </w:rPr>
      </w:pPr>
      <w:r w:rsidRPr="00EE5714">
        <w:rPr>
          <w:noProof/>
        </w:rPr>
        <w:drawing>
          <wp:inline distT="0" distB="0" distL="0" distR="0" wp14:anchorId="619D0190" wp14:editId="5F51CC59">
            <wp:extent cx="5943600" cy="3546281"/>
            <wp:effectExtent l="0" t="0" r="0" b="16510"/>
            <wp:docPr id="726562214" name="Chart 726562214">
              <a:extLst xmlns:a="http://schemas.openxmlformats.org/drawingml/2006/main">
                <a:ext uri="{FF2B5EF4-FFF2-40B4-BE49-F238E27FC236}">
                  <a16:creationId xmlns:a16="http://schemas.microsoft.com/office/drawing/2014/main" id="{F5C76CB1-DFBB-4DFA-9010-2CB122725D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7550759" w14:textId="77777777" w:rsidR="002013CD" w:rsidRPr="00EE5714" w:rsidRDefault="002013CD" w:rsidP="00EC3550">
      <w:pPr>
        <w:keepNext/>
        <w:spacing w:after="0" w:line="240" w:lineRule="auto"/>
        <w:contextualSpacing/>
        <w:rPr>
          <w:rFonts w:ascii="Times New Roman" w:hAnsi="Times New Roman" w:cs="Times New Roman"/>
          <w:sz w:val="26"/>
          <w:szCs w:val="26"/>
        </w:rPr>
      </w:pPr>
    </w:p>
    <w:p w14:paraId="7407B805"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Table </w:t>
      </w:r>
      <w:r w:rsidR="00F07C42" w:rsidRPr="00EE5714">
        <w:rPr>
          <w:rFonts w:ascii="Times New Roman" w:hAnsi="Times New Roman" w:cs="Times New Roman"/>
          <w:sz w:val="26"/>
          <w:szCs w:val="26"/>
        </w:rPr>
        <w:t>7-5</w:t>
      </w:r>
      <w:r w:rsidRPr="00EE5714">
        <w:rPr>
          <w:rFonts w:ascii="Times New Roman" w:hAnsi="Times New Roman" w:cs="Times New Roman"/>
          <w:sz w:val="26"/>
          <w:szCs w:val="26"/>
        </w:rPr>
        <w:t xml:space="preserve"> shows the default exit rates for EDC heating CAP customers.  Duquesne reported the lowest default exit rate for these customers at 1% to 2% for the entire five-year period.  PECO Electric and </w:t>
      </w:r>
      <w:proofErr w:type="spellStart"/>
      <w:r w:rsidRPr="00EE5714">
        <w:rPr>
          <w:rFonts w:ascii="Times New Roman" w:hAnsi="Times New Roman" w:cs="Times New Roman"/>
          <w:sz w:val="26"/>
          <w:szCs w:val="26"/>
        </w:rPr>
        <w:t>Penelec</w:t>
      </w:r>
      <w:proofErr w:type="spellEnd"/>
      <w:r w:rsidRPr="00EE5714">
        <w:rPr>
          <w:rFonts w:ascii="Times New Roman" w:hAnsi="Times New Roman" w:cs="Times New Roman"/>
          <w:sz w:val="26"/>
          <w:szCs w:val="26"/>
        </w:rPr>
        <w:t xml:space="preserve"> reported default exit rates that ranged between 3% to 7% and 3% to 11%, respectively, for the five-year period.  Penn Power reported the highest default exit rate for electric heating CAP customers, peaking at 34% in 2013.  However, Penn Power’s default exit rate dropped each subsequent year, declining </w:t>
      </w:r>
      <w:r w:rsidR="009F182D" w:rsidRPr="00EE5714">
        <w:rPr>
          <w:rFonts w:ascii="Times New Roman" w:hAnsi="Times New Roman" w:cs="Times New Roman"/>
          <w:sz w:val="26"/>
          <w:szCs w:val="26"/>
        </w:rPr>
        <w:t>to 19</w:t>
      </w:r>
      <w:r w:rsidRPr="00EE5714">
        <w:rPr>
          <w:rFonts w:ascii="Times New Roman" w:hAnsi="Times New Roman" w:cs="Times New Roman"/>
          <w:sz w:val="26"/>
          <w:szCs w:val="26"/>
        </w:rPr>
        <w:t xml:space="preserve">% by 2016.  </w:t>
      </w:r>
    </w:p>
    <w:p w14:paraId="672B9E16" w14:textId="77777777" w:rsidR="002013CD" w:rsidRPr="00EE5714" w:rsidRDefault="002013CD" w:rsidP="002013CD">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7-6</w:t>
      </w:r>
    </w:p>
    <w:p w14:paraId="0F5C9F04" w14:textId="77777777" w:rsidR="002013CD" w:rsidRPr="00EE5714" w:rsidRDefault="002013CD" w:rsidP="002013CD">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Electric Heating CAP Account Termination Rates, 2012-2016</w:t>
      </w:r>
    </w:p>
    <w:p w14:paraId="6F4D1AF1" w14:textId="77777777" w:rsidR="002013CD" w:rsidRPr="00EE5714" w:rsidRDefault="002013CD" w:rsidP="002013CD">
      <w:pPr>
        <w:spacing w:after="0" w:line="240" w:lineRule="auto"/>
        <w:contextualSpacing/>
        <w:jc w:val="center"/>
        <w:rPr>
          <w:rFonts w:ascii="Times New Roman" w:hAnsi="Times New Roman" w:cs="Times New Roman"/>
          <w:b/>
          <w:sz w:val="26"/>
          <w:szCs w:val="26"/>
        </w:rPr>
      </w:pPr>
      <w:r w:rsidRPr="00EE5714">
        <w:rPr>
          <w:noProof/>
        </w:rPr>
        <w:drawing>
          <wp:inline distT="0" distB="0" distL="0" distR="0" wp14:anchorId="601966C5" wp14:editId="498877BF">
            <wp:extent cx="5915770" cy="3641697"/>
            <wp:effectExtent l="0" t="0" r="8890" b="16510"/>
            <wp:docPr id="726562215" name="Chart 726562215">
              <a:extLst xmlns:a="http://schemas.openxmlformats.org/drawingml/2006/main">
                <a:ext uri="{FF2B5EF4-FFF2-40B4-BE49-F238E27FC236}">
                  <a16:creationId xmlns:a16="http://schemas.microsoft.com/office/drawing/2014/main" id="{1226378A-07BE-4B86-81A7-288D2C705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C0F7C1E" w14:textId="77777777" w:rsidR="002013CD" w:rsidRPr="00EE5714" w:rsidRDefault="002013CD" w:rsidP="002013CD">
      <w:pPr>
        <w:spacing w:after="0" w:line="240" w:lineRule="auto"/>
        <w:contextualSpacing/>
        <w:rPr>
          <w:rFonts w:ascii="Times New Roman" w:hAnsi="Times New Roman" w:cs="Times New Roman"/>
          <w:sz w:val="26"/>
          <w:szCs w:val="26"/>
        </w:rPr>
      </w:pPr>
    </w:p>
    <w:p w14:paraId="791992BE"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Table </w:t>
      </w:r>
      <w:r w:rsidR="00E57DC0" w:rsidRPr="00EE5714">
        <w:rPr>
          <w:rFonts w:ascii="Times New Roman" w:hAnsi="Times New Roman" w:cs="Times New Roman"/>
          <w:sz w:val="26"/>
          <w:szCs w:val="26"/>
        </w:rPr>
        <w:t>7-6</w:t>
      </w:r>
      <w:r w:rsidRPr="00EE5714">
        <w:rPr>
          <w:rFonts w:ascii="Times New Roman" w:hAnsi="Times New Roman" w:cs="Times New Roman"/>
          <w:sz w:val="26"/>
          <w:szCs w:val="26"/>
        </w:rPr>
        <w:t xml:space="preserve"> shows the CAP termination rates for EDC heating CAP customers.</w:t>
      </w:r>
      <w:r w:rsidR="00863EFE"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 </w:t>
      </w:r>
      <w:r w:rsidR="00863EFE" w:rsidRPr="00EE5714">
        <w:rPr>
          <w:rFonts w:ascii="Times New Roman" w:hAnsi="Times New Roman" w:cs="Times New Roman"/>
          <w:sz w:val="26"/>
          <w:szCs w:val="26"/>
        </w:rPr>
        <w:t>Met-Ed</w:t>
      </w:r>
      <w:r w:rsidRPr="00EE5714">
        <w:rPr>
          <w:rFonts w:ascii="Times New Roman" w:hAnsi="Times New Roman" w:cs="Times New Roman"/>
          <w:sz w:val="26"/>
          <w:szCs w:val="26"/>
        </w:rPr>
        <w:t xml:space="preserve"> had an average termination rate of approximately </w:t>
      </w:r>
      <w:r w:rsidR="00863EFE" w:rsidRPr="00EE5714">
        <w:rPr>
          <w:rFonts w:ascii="Times New Roman" w:hAnsi="Times New Roman" w:cs="Times New Roman"/>
          <w:sz w:val="26"/>
          <w:szCs w:val="26"/>
        </w:rPr>
        <w:t>4</w:t>
      </w:r>
      <w:r w:rsidRPr="00EE5714">
        <w:rPr>
          <w:rFonts w:ascii="Times New Roman" w:hAnsi="Times New Roman" w:cs="Times New Roman"/>
          <w:sz w:val="26"/>
          <w:szCs w:val="26"/>
        </w:rPr>
        <w:t xml:space="preserve">% for electric heating accounts </w:t>
      </w:r>
      <w:r w:rsidR="00863EFE" w:rsidRPr="00EE5714">
        <w:rPr>
          <w:rFonts w:ascii="Times New Roman" w:hAnsi="Times New Roman" w:cs="Times New Roman"/>
          <w:sz w:val="26"/>
          <w:szCs w:val="26"/>
        </w:rPr>
        <w:t xml:space="preserve">for </w:t>
      </w:r>
      <w:r w:rsidRPr="00EE5714">
        <w:rPr>
          <w:rFonts w:ascii="Times New Roman" w:hAnsi="Times New Roman" w:cs="Times New Roman"/>
          <w:sz w:val="26"/>
          <w:szCs w:val="26"/>
        </w:rPr>
        <w:t>2014</w:t>
      </w:r>
      <w:r w:rsidR="00863EFE"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2016, which is higher than the termination rates for the other FirstEnergy </w:t>
      </w:r>
      <w:r w:rsidR="00932684" w:rsidRPr="00EE5714">
        <w:rPr>
          <w:rFonts w:ascii="Times New Roman" w:hAnsi="Times New Roman" w:cs="Times New Roman"/>
          <w:sz w:val="26"/>
          <w:szCs w:val="26"/>
        </w:rPr>
        <w:t>utilities</w:t>
      </w:r>
      <w:r w:rsidRPr="00EE5714">
        <w:rPr>
          <w:rFonts w:ascii="Times New Roman" w:hAnsi="Times New Roman" w:cs="Times New Roman"/>
          <w:sz w:val="26"/>
          <w:szCs w:val="26"/>
        </w:rPr>
        <w:t xml:space="preserve"> during this time period.  West Penn had an average termination rate of less than 3%; </w:t>
      </w:r>
      <w:proofErr w:type="spellStart"/>
      <w:r w:rsidRPr="00EE5714">
        <w:rPr>
          <w:rFonts w:ascii="Times New Roman" w:hAnsi="Times New Roman" w:cs="Times New Roman"/>
          <w:sz w:val="26"/>
          <w:szCs w:val="26"/>
        </w:rPr>
        <w:t>Penelec</w:t>
      </w:r>
      <w:proofErr w:type="spellEnd"/>
      <w:r w:rsidRPr="00EE5714">
        <w:rPr>
          <w:rFonts w:ascii="Times New Roman" w:hAnsi="Times New Roman" w:cs="Times New Roman"/>
          <w:sz w:val="26"/>
          <w:szCs w:val="26"/>
        </w:rPr>
        <w:t xml:space="preserve"> and Penn Power had an average termination rate of less than</w:t>
      </w:r>
      <w:r w:rsidR="00863EFE" w:rsidRPr="00EE5714">
        <w:rPr>
          <w:rFonts w:ascii="Times New Roman" w:hAnsi="Times New Roman" w:cs="Times New Roman"/>
          <w:sz w:val="26"/>
          <w:szCs w:val="26"/>
        </w:rPr>
        <w:t> </w:t>
      </w:r>
      <w:r w:rsidRPr="00EE5714">
        <w:rPr>
          <w:rFonts w:ascii="Times New Roman" w:hAnsi="Times New Roman" w:cs="Times New Roman"/>
          <w:sz w:val="26"/>
          <w:szCs w:val="26"/>
        </w:rPr>
        <w:t xml:space="preserve">2%.  This suggests that other factors, besides </w:t>
      </w:r>
      <w:r w:rsidR="00863EFE" w:rsidRPr="00EE5714">
        <w:rPr>
          <w:rFonts w:ascii="Times New Roman" w:hAnsi="Times New Roman" w:cs="Times New Roman"/>
          <w:sz w:val="26"/>
          <w:szCs w:val="26"/>
        </w:rPr>
        <w:t>Met-Ed</w:t>
      </w:r>
      <w:r w:rsidRPr="00EE5714">
        <w:rPr>
          <w:rFonts w:ascii="Times New Roman" w:hAnsi="Times New Roman" w:cs="Times New Roman"/>
          <w:sz w:val="26"/>
          <w:szCs w:val="26"/>
        </w:rPr>
        <w:t xml:space="preserve">’s CAP design, may </w:t>
      </w:r>
      <w:r w:rsidR="00EB6AF2" w:rsidRPr="00EE5714">
        <w:rPr>
          <w:rFonts w:ascii="Times New Roman" w:hAnsi="Times New Roman" w:cs="Times New Roman"/>
          <w:sz w:val="26"/>
          <w:szCs w:val="26"/>
        </w:rPr>
        <w:t xml:space="preserve">have </w:t>
      </w:r>
      <w:r w:rsidRPr="00EE5714">
        <w:rPr>
          <w:rFonts w:ascii="Times New Roman" w:hAnsi="Times New Roman" w:cs="Times New Roman"/>
          <w:sz w:val="26"/>
          <w:szCs w:val="26"/>
        </w:rPr>
        <w:t>contribute</w:t>
      </w:r>
      <w:r w:rsidR="00EB6AF2" w:rsidRPr="00EE5714">
        <w:rPr>
          <w:rFonts w:ascii="Times New Roman" w:hAnsi="Times New Roman" w:cs="Times New Roman"/>
          <w:sz w:val="26"/>
          <w:szCs w:val="26"/>
        </w:rPr>
        <w:t>d</w:t>
      </w:r>
      <w:r w:rsidRPr="00EE5714">
        <w:rPr>
          <w:rFonts w:ascii="Times New Roman" w:hAnsi="Times New Roman" w:cs="Times New Roman"/>
          <w:sz w:val="26"/>
          <w:szCs w:val="26"/>
        </w:rPr>
        <w:t xml:space="preserve"> to the higher number of terminations.  More than half of the EDCs reported CAP terminations rates of less than 2% for heating customers.  PECO Electric’s CAP termination rate for electric heating accounts was less than 0.5% for all five years of this study.  PECO Electric’s low termination rates for CAP heating accounts may be attributable to (1) the </w:t>
      </w:r>
      <w:r w:rsidR="006F5530" w:rsidRPr="00EE5714">
        <w:rPr>
          <w:rFonts w:ascii="Times New Roman" w:hAnsi="Times New Roman" w:cs="Times New Roman"/>
          <w:sz w:val="26"/>
          <w:szCs w:val="26"/>
        </w:rPr>
        <w:t>utilit</w:t>
      </w:r>
      <w:r w:rsidR="00884D74" w:rsidRPr="00EE5714">
        <w:rPr>
          <w:rFonts w:ascii="Times New Roman" w:hAnsi="Times New Roman" w:cs="Times New Roman"/>
          <w:sz w:val="26"/>
          <w:szCs w:val="26"/>
        </w:rPr>
        <w:t>y’s</w:t>
      </w:r>
      <w:r w:rsidRPr="00EE5714">
        <w:rPr>
          <w:rFonts w:ascii="Times New Roman" w:hAnsi="Times New Roman" w:cs="Times New Roman"/>
          <w:sz w:val="26"/>
          <w:szCs w:val="26"/>
        </w:rPr>
        <w:t xml:space="preserve"> previous practice of offering payment agreements on in-program arrears and (2) approximately 80% of PECO Electric CAP customers were non-heating during this time period.</w:t>
      </w:r>
      <w:r w:rsidRPr="00EE5714">
        <w:rPr>
          <w:rStyle w:val="FootnoteReference"/>
          <w:rFonts w:ascii="Times New Roman" w:hAnsi="Times New Roman" w:cs="Times New Roman"/>
          <w:sz w:val="26"/>
          <w:szCs w:val="26"/>
        </w:rPr>
        <w:footnoteReference w:id="60"/>
      </w:r>
      <w:r w:rsidRPr="00EE5714">
        <w:rPr>
          <w:rFonts w:ascii="Times New Roman" w:hAnsi="Times New Roman" w:cs="Times New Roman"/>
          <w:sz w:val="26"/>
          <w:szCs w:val="26"/>
        </w:rPr>
        <w:t xml:space="preserve">  </w:t>
      </w:r>
    </w:p>
    <w:p w14:paraId="651F6900" w14:textId="77777777" w:rsidR="00220E27" w:rsidRPr="00EE5714" w:rsidRDefault="00220E27" w:rsidP="00EC3550">
      <w:pPr>
        <w:spacing w:after="0" w:line="240" w:lineRule="auto"/>
        <w:contextualSpacing/>
        <w:rPr>
          <w:rFonts w:ascii="Times New Roman" w:hAnsi="Times New Roman" w:cs="Times New Roman"/>
          <w:sz w:val="26"/>
          <w:szCs w:val="26"/>
        </w:rPr>
      </w:pPr>
    </w:p>
    <w:p w14:paraId="010C0716" w14:textId="77777777" w:rsidR="00220E27" w:rsidRPr="00EE5714" w:rsidRDefault="00220E27" w:rsidP="003B7D77">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Observations</w:t>
      </w:r>
    </w:p>
    <w:p w14:paraId="4578818D" w14:textId="77777777" w:rsidR="00220E27" w:rsidRPr="00EE5714" w:rsidRDefault="00220E27" w:rsidP="00220E27">
      <w:pPr>
        <w:keepNext/>
        <w:spacing w:after="0" w:line="240" w:lineRule="auto"/>
        <w:contextualSpacing/>
        <w:rPr>
          <w:rFonts w:ascii="Times New Roman" w:hAnsi="Times New Roman" w:cs="Times New Roman"/>
          <w:sz w:val="26"/>
          <w:szCs w:val="26"/>
        </w:rPr>
      </w:pPr>
    </w:p>
    <w:p w14:paraId="3B0EDEA8"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Given the apparent inconsistencies between how utilities define and track default exits and CAP terminations, staff was unable to compare these data points among utilities or to confidently establish a correlation.</w:t>
      </w:r>
    </w:p>
    <w:p w14:paraId="4480AF91"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p>
    <w:p w14:paraId="17DC3408"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Not all customer removals from CAP result</w:t>
      </w:r>
      <w:r w:rsidR="00BF1CE9" w:rsidRPr="00EE5714">
        <w:rPr>
          <w:rFonts w:ascii="Times New Roman" w:hAnsi="Times New Roman" w:cs="Times New Roman"/>
          <w:sz w:val="26"/>
          <w:szCs w:val="26"/>
        </w:rPr>
        <w:t>ed</w:t>
      </w:r>
      <w:r w:rsidRPr="00EE5714">
        <w:rPr>
          <w:rFonts w:ascii="Times New Roman" w:hAnsi="Times New Roman" w:cs="Times New Roman"/>
          <w:sz w:val="26"/>
          <w:szCs w:val="26"/>
        </w:rPr>
        <w:t xml:space="preserve"> in service termination, but utilities </w:t>
      </w:r>
      <w:r w:rsidR="00BF1CE9" w:rsidRPr="00EE5714">
        <w:rPr>
          <w:rFonts w:ascii="Times New Roman" w:hAnsi="Times New Roman" w:cs="Times New Roman"/>
          <w:sz w:val="26"/>
          <w:szCs w:val="26"/>
        </w:rPr>
        <w:t xml:space="preserve">were and </w:t>
      </w:r>
      <w:r w:rsidRPr="00EE5714">
        <w:rPr>
          <w:rFonts w:ascii="Times New Roman" w:hAnsi="Times New Roman" w:cs="Times New Roman"/>
          <w:sz w:val="26"/>
          <w:szCs w:val="26"/>
        </w:rPr>
        <w:t xml:space="preserve">are currently unable to provide the data to gauge to what extent this has occurred.  </w:t>
      </w:r>
    </w:p>
    <w:p w14:paraId="75C4CF06" w14:textId="77777777" w:rsidR="00BF1CE9" w:rsidRPr="00EE5714" w:rsidRDefault="00BF1CE9" w:rsidP="00220E27">
      <w:pPr>
        <w:spacing w:after="0" w:line="240" w:lineRule="auto"/>
        <w:ind w:firstLine="720"/>
        <w:contextualSpacing/>
        <w:rPr>
          <w:rFonts w:ascii="Times New Roman" w:hAnsi="Times New Roman" w:cs="Times New Roman"/>
          <w:sz w:val="26"/>
          <w:szCs w:val="26"/>
        </w:rPr>
      </w:pPr>
    </w:p>
    <w:p w14:paraId="1A471B42"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lastRenderedPageBreak/>
        <w:t xml:space="preserve">Higher CAP terminations for EDC non-heating CAP accounts in 2014 were likely the result of higher usage </w:t>
      </w:r>
      <w:r w:rsidR="000D3816" w:rsidRPr="00EE5714">
        <w:rPr>
          <w:rFonts w:ascii="Times New Roman" w:hAnsi="Times New Roman" w:cs="Times New Roman"/>
          <w:sz w:val="26"/>
          <w:szCs w:val="26"/>
        </w:rPr>
        <w:t>and</w:t>
      </w:r>
      <w:r w:rsidR="000D662C" w:rsidRPr="00EE5714">
        <w:rPr>
          <w:rFonts w:ascii="Times New Roman" w:hAnsi="Times New Roman" w:cs="Times New Roman"/>
          <w:sz w:val="26"/>
          <w:szCs w:val="26"/>
        </w:rPr>
        <w:t>/or</w:t>
      </w:r>
      <w:r w:rsidR="000D3816" w:rsidRPr="00EE5714">
        <w:rPr>
          <w:rFonts w:ascii="Times New Roman" w:hAnsi="Times New Roman" w:cs="Times New Roman"/>
          <w:sz w:val="26"/>
          <w:szCs w:val="26"/>
        </w:rPr>
        <w:t xml:space="preserve"> higher bills </w:t>
      </w:r>
      <w:r w:rsidRPr="00EE5714">
        <w:rPr>
          <w:rFonts w:ascii="Times New Roman" w:hAnsi="Times New Roman" w:cs="Times New Roman"/>
          <w:sz w:val="26"/>
          <w:szCs w:val="26"/>
        </w:rPr>
        <w:t>during the polar vortex.</w:t>
      </w:r>
    </w:p>
    <w:p w14:paraId="34ED730B" w14:textId="77777777" w:rsidR="00220E27" w:rsidRPr="00EE5714" w:rsidRDefault="00220E27" w:rsidP="00220E27">
      <w:pPr>
        <w:spacing w:after="0" w:line="240" w:lineRule="auto"/>
        <w:ind w:firstLine="720"/>
        <w:contextualSpacing/>
        <w:rPr>
          <w:rFonts w:ascii="Times New Roman" w:hAnsi="Times New Roman" w:cs="Times New Roman"/>
          <w:sz w:val="26"/>
          <w:szCs w:val="26"/>
        </w:rPr>
      </w:pPr>
    </w:p>
    <w:p w14:paraId="3B9F1F95" w14:textId="6A86F0BA" w:rsidR="00785DD5" w:rsidRPr="00EE5714" w:rsidRDefault="00220E27" w:rsidP="00C539E3">
      <w:pPr>
        <w:spacing w:after="0" w:line="240" w:lineRule="auto"/>
        <w:ind w:firstLine="720"/>
        <w:contextualSpacing/>
        <w:rPr>
          <w:rFonts w:ascii="Times New Roman" w:hAnsi="Times New Roman" w:cs="Times New Roman"/>
          <w:color w:val="2F5496" w:themeColor="accent1" w:themeShade="BF"/>
          <w:sz w:val="26"/>
          <w:szCs w:val="26"/>
        </w:rPr>
      </w:pPr>
      <w:r w:rsidRPr="00EE5714">
        <w:rPr>
          <w:rFonts w:ascii="Times New Roman" w:hAnsi="Times New Roman" w:cs="Times New Roman"/>
          <w:sz w:val="26"/>
          <w:szCs w:val="26"/>
        </w:rPr>
        <w:t xml:space="preserve">Differences between the EDC CAP heating termination rates for </w:t>
      </w:r>
      <w:r w:rsidR="00863EFE" w:rsidRPr="00EE5714">
        <w:rPr>
          <w:rFonts w:ascii="Times New Roman" w:hAnsi="Times New Roman" w:cs="Times New Roman"/>
          <w:sz w:val="26"/>
          <w:szCs w:val="26"/>
        </w:rPr>
        <w:t>Met-Ed</w:t>
      </w:r>
      <w:r w:rsidRPr="00EE5714">
        <w:rPr>
          <w:rFonts w:ascii="Times New Roman" w:hAnsi="Times New Roman" w:cs="Times New Roman"/>
          <w:sz w:val="26"/>
          <w:szCs w:val="26"/>
        </w:rPr>
        <w:t xml:space="preserve"> and the other FirstEnergy companies suggest that other factors – besides CAP design – contribute</w:t>
      </w:r>
      <w:r w:rsidR="00982FFD" w:rsidRPr="00EE5714">
        <w:rPr>
          <w:rFonts w:ascii="Times New Roman" w:hAnsi="Times New Roman" w:cs="Times New Roman"/>
          <w:sz w:val="26"/>
          <w:szCs w:val="26"/>
        </w:rPr>
        <w:t>d</w:t>
      </w:r>
      <w:r w:rsidRPr="00EE5714">
        <w:rPr>
          <w:rFonts w:ascii="Times New Roman" w:hAnsi="Times New Roman" w:cs="Times New Roman"/>
          <w:sz w:val="26"/>
          <w:szCs w:val="26"/>
        </w:rPr>
        <w:t xml:space="preserve"> to </w:t>
      </w:r>
      <w:r w:rsidR="00E05531" w:rsidRPr="00EE5714">
        <w:rPr>
          <w:rFonts w:ascii="Times New Roman" w:hAnsi="Times New Roman" w:cs="Times New Roman"/>
          <w:sz w:val="26"/>
          <w:szCs w:val="26"/>
        </w:rPr>
        <w:t xml:space="preserve">a </w:t>
      </w:r>
      <w:r w:rsidRPr="00EE5714">
        <w:rPr>
          <w:rFonts w:ascii="Times New Roman" w:hAnsi="Times New Roman" w:cs="Times New Roman"/>
          <w:sz w:val="26"/>
          <w:szCs w:val="26"/>
        </w:rPr>
        <w:t>higher termination rate</w:t>
      </w:r>
      <w:r w:rsidR="00727652" w:rsidRPr="00EE5714">
        <w:rPr>
          <w:rFonts w:ascii="Times New Roman" w:hAnsi="Times New Roman" w:cs="Times New Roman"/>
          <w:sz w:val="26"/>
          <w:szCs w:val="26"/>
        </w:rPr>
        <w:t>s</w:t>
      </w:r>
      <w:r w:rsidRPr="00EE5714">
        <w:rPr>
          <w:rFonts w:ascii="Times New Roman" w:hAnsi="Times New Roman" w:cs="Times New Roman"/>
          <w:sz w:val="26"/>
          <w:szCs w:val="26"/>
        </w:rPr>
        <w:t xml:space="preserve"> for CAP customers in the </w:t>
      </w:r>
      <w:r w:rsidR="00863EFE" w:rsidRPr="00EE5714">
        <w:rPr>
          <w:rFonts w:ascii="Times New Roman" w:hAnsi="Times New Roman" w:cs="Times New Roman"/>
          <w:sz w:val="26"/>
          <w:szCs w:val="26"/>
        </w:rPr>
        <w:t>Met-Ed</w:t>
      </w:r>
      <w:r w:rsidRPr="00EE5714">
        <w:rPr>
          <w:rFonts w:ascii="Times New Roman" w:hAnsi="Times New Roman" w:cs="Times New Roman"/>
          <w:sz w:val="26"/>
          <w:szCs w:val="26"/>
        </w:rPr>
        <w:t xml:space="preserve"> service territory</w:t>
      </w:r>
      <w:proofErr w:type="gramStart"/>
      <w:r w:rsidRPr="00EE5714">
        <w:rPr>
          <w:rFonts w:ascii="Times New Roman" w:hAnsi="Times New Roman" w:cs="Times New Roman"/>
          <w:sz w:val="26"/>
          <w:szCs w:val="26"/>
        </w:rPr>
        <w:t xml:space="preserve">. </w:t>
      </w:r>
      <w:proofErr w:type="gramEnd"/>
      <w:r w:rsidR="00785DD5" w:rsidRPr="00EE5714">
        <w:rPr>
          <w:rFonts w:ascii="Times New Roman" w:hAnsi="Times New Roman" w:cs="Times New Roman"/>
          <w:b/>
          <w:color w:val="2F5496" w:themeColor="accent1" w:themeShade="BF"/>
          <w:sz w:val="26"/>
          <w:szCs w:val="26"/>
        </w:rPr>
        <w:br w:type="page"/>
      </w:r>
    </w:p>
    <w:p w14:paraId="628B7DEE" w14:textId="77777777" w:rsidR="006665D3" w:rsidRPr="00EE5714" w:rsidRDefault="006665D3" w:rsidP="00673148">
      <w:pPr>
        <w:pStyle w:val="Heading1"/>
        <w:spacing w:before="0" w:line="240" w:lineRule="auto"/>
      </w:pPr>
      <w:bookmarkStart w:id="38" w:name="_Toc533674866"/>
      <w:bookmarkStart w:id="39" w:name="_Toc534547871"/>
      <w:r w:rsidRPr="00EE5714">
        <w:lastRenderedPageBreak/>
        <w:t>VIII.</w:t>
      </w:r>
      <w:r w:rsidR="00570FAD" w:rsidRPr="00EE5714">
        <w:t xml:space="preserve">  </w:t>
      </w:r>
      <w:r w:rsidR="00863EFE" w:rsidRPr="00EE5714">
        <w:t xml:space="preserve">Non-CAP </w:t>
      </w:r>
      <w:r w:rsidR="00785DD5" w:rsidRPr="00EE5714">
        <w:t xml:space="preserve">Residential and </w:t>
      </w:r>
      <w:r w:rsidR="00A819FF" w:rsidRPr="00EE5714">
        <w:t>Confirmed Low-Income Customer Debt</w:t>
      </w:r>
      <w:bookmarkEnd w:id="38"/>
      <w:bookmarkEnd w:id="39"/>
      <w:r w:rsidR="00A819FF" w:rsidRPr="00EE5714">
        <w:t xml:space="preserve"> </w:t>
      </w:r>
    </w:p>
    <w:p w14:paraId="1C6AF565" w14:textId="77777777" w:rsidR="00A25F0A" w:rsidRPr="00EE5714" w:rsidRDefault="00A25F0A" w:rsidP="00673148">
      <w:pPr>
        <w:spacing w:after="0" w:line="240" w:lineRule="auto"/>
        <w:contextualSpacing/>
        <w:rPr>
          <w:rFonts w:ascii="Times New Roman" w:hAnsi="Times New Roman" w:cs="Times New Roman"/>
          <w:sz w:val="26"/>
          <w:szCs w:val="26"/>
        </w:rPr>
      </w:pPr>
    </w:p>
    <w:p w14:paraId="4E54E6AD" w14:textId="77777777" w:rsidR="00A25F0A" w:rsidRPr="00EE5714" w:rsidRDefault="00A25F0A" w:rsidP="00673148">
      <w:pPr>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Objective</w:t>
      </w:r>
    </w:p>
    <w:p w14:paraId="2A226386" w14:textId="77777777" w:rsidR="00A25F0A" w:rsidRPr="00EE5714" w:rsidRDefault="00A25F0A" w:rsidP="00673148">
      <w:pPr>
        <w:spacing w:after="0" w:line="240" w:lineRule="auto"/>
        <w:contextualSpacing/>
        <w:jc w:val="center"/>
        <w:rPr>
          <w:rFonts w:ascii="Times New Roman" w:hAnsi="Times New Roman" w:cs="Times New Roman"/>
          <w:sz w:val="26"/>
          <w:szCs w:val="26"/>
        </w:rPr>
      </w:pPr>
    </w:p>
    <w:p w14:paraId="0450DC02" w14:textId="77777777" w:rsidR="00642A68" w:rsidRPr="00EE5714" w:rsidRDefault="00D979B4" w:rsidP="00124EB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D</w:t>
      </w:r>
      <w:r w:rsidR="00642A68" w:rsidRPr="00EE5714">
        <w:rPr>
          <w:rFonts w:ascii="Times New Roman" w:hAnsi="Times New Roman" w:cs="Times New Roman"/>
          <w:sz w:val="26"/>
          <w:szCs w:val="26"/>
        </w:rPr>
        <w:t>etermine if the percent of debt from confirmed-low income (CLI) customers is an indicator of CAP customer affordability.</w:t>
      </w:r>
    </w:p>
    <w:p w14:paraId="2D14E16A" w14:textId="77777777" w:rsidR="00642A68" w:rsidRPr="00EE5714" w:rsidRDefault="00642A68" w:rsidP="00642A68">
      <w:pPr>
        <w:spacing w:after="0" w:line="240" w:lineRule="auto"/>
        <w:contextualSpacing/>
        <w:rPr>
          <w:rFonts w:ascii="Times New Roman" w:hAnsi="Times New Roman" w:cs="Times New Roman"/>
          <w:sz w:val="26"/>
          <w:szCs w:val="26"/>
        </w:rPr>
      </w:pPr>
    </w:p>
    <w:p w14:paraId="15186B30" w14:textId="77777777" w:rsidR="00642A68" w:rsidRPr="00EE5714" w:rsidRDefault="00642A68" w:rsidP="003B7D77">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Background</w:t>
      </w:r>
    </w:p>
    <w:p w14:paraId="64D4D572" w14:textId="77777777" w:rsidR="00642A68" w:rsidRPr="00EE5714" w:rsidRDefault="00642A68" w:rsidP="00F83332">
      <w:pPr>
        <w:keepNext/>
        <w:spacing w:after="0" w:line="240" w:lineRule="auto"/>
        <w:contextualSpacing/>
        <w:rPr>
          <w:rFonts w:ascii="Times New Roman" w:hAnsi="Times New Roman" w:cs="Times New Roman"/>
          <w:sz w:val="26"/>
          <w:szCs w:val="26"/>
        </w:rPr>
      </w:pPr>
    </w:p>
    <w:p w14:paraId="540D5B6B" w14:textId="77777777" w:rsidR="00642A68" w:rsidRPr="00EE5714" w:rsidRDefault="00642A68" w:rsidP="00642A6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Many factors affect the number of customers in debt, including customer income level and ability to pay, </w:t>
      </w:r>
      <w:r w:rsidR="00884D74" w:rsidRPr="00EE5714">
        <w:rPr>
          <w:rFonts w:ascii="Times New Roman" w:hAnsi="Times New Roman" w:cs="Times New Roman"/>
          <w:sz w:val="26"/>
          <w:szCs w:val="26"/>
        </w:rPr>
        <w:t>utility</w:t>
      </w:r>
      <w:r w:rsidRPr="00EE5714">
        <w:rPr>
          <w:rFonts w:ascii="Times New Roman" w:hAnsi="Times New Roman" w:cs="Times New Roman"/>
          <w:sz w:val="26"/>
          <w:szCs w:val="26"/>
        </w:rPr>
        <w:t xml:space="preserve"> collection practices, </w:t>
      </w:r>
      <w:r w:rsidR="00884D74" w:rsidRPr="00EE5714">
        <w:rPr>
          <w:rFonts w:ascii="Times New Roman" w:hAnsi="Times New Roman" w:cs="Times New Roman"/>
          <w:sz w:val="26"/>
          <w:szCs w:val="26"/>
        </w:rPr>
        <w:t>utility</w:t>
      </w:r>
      <w:r w:rsidRPr="00EE5714">
        <w:rPr>
          <w:rFonts w:ascii="Times New Roman" w:hAnsi="Times New Roman" w:cs="Times New Roman"/>
          <w:sz w:val="26"/>
          <w:szCs w:val="26"/>
        </w:rPr>
        <w:t xml:space="preserve"> termination practices, and the size of customer bills.  </w:t>
      </w:r>
      <w:r w:rsidR="00884D74" w:rsidRPr="00EE5714">
        <w:rPr>
          <w:rFonts w:ascii="Times New Roman" w:hAnsi="Times New Roman" w:cs="Times New Roman"/>
          <w:sz w:val="26"/>
          <w:szCs w:val="26"/>
        </w:rPr>
        <w:t>Utility</w:t>
      </w:r>
      <w:r w:rsidRPr="00EE5714">
        <w:rPr>
          <w:rFonts w:ascii="Times New Roman" w:hAnsi="Times New Roman" w:cs="Times New Roman"/>
          <w:sz w:val="26"/>
          <w:szCs w:val="26"/>
        </w:rPr>
        <w:t xml:space="preserve"> collection policies vary and therefore also influence the “overdue” or “in debt” categorization.</w:t>
      </w:r>
    </w:p>
    <w:p w14:paraId="1F78EC05" w14:textId="77777777" w:rsidR="00642A68" w:rsidRPr="00EE5714" w:rsidRDefault="00642A68" w:rsidP="00642A68">
      <w:pPr>
        <w:spacing w:after="0" w:line="240" w:lineRule="auto"/>
        <w:ind w:firstLine="720"/>
        <w:contextualSpacing/>
        <w:rPr>
          <w:rFonts w:ascii="Times New Roman" w:hAnsi="Times New Roman" w:cs="Times New Roman"/>
          <w:sz w:val="26"/>
          <w:szCs w:val="26"/>
        </w:rPr>
      </w:pPr>
    </w:p>
    <w:p w14:paraId="7D032E9D" w14:textId="3D842F01" w:rsidR="00642A68" w:rsidRPr="00EE5714" w:rsidRDefault="00863EFE" w:rsidP="00642A6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The USR categori</w:t>
      </w:r>
      <w:r w:rsidR="00E6227C" w:rsidRPr="00EE5714">
        <w:rPr>
          <w:rFonts w:ascii="Times New Roman" w:hAnsi="Times New Roman" w:cs="Times New Roman"/>
          <w:sz w:val="26"/>
          <w:szCs w:val="26"/>
        </w:rPr>
        <w:t>z</w:t>
      </w:r>
      <w:r w:rsidRPr="00EE5714">
        <w:rPr>
          <w:rFonts w:ascii="Times New Roman" w:hAnsi="Times New Roman" w:cs="Times New Roman"/>
          <w:sz w:val="26"/>
          <w:szCs w:val="26"/>
        </w:rPr>
        <w:t xml:space="preserve">es the Residential Class of customers as either non-CAP residential or CAP customers.  </w:t>
      </w:r>
      <w:r w:rsidR="00642A68" w:rsidRPr="00EE5714">
        <w:rPr>
          <w:rFonts w:ascii="Times New Roman" w:hAnsi="Times New Roman" w:cs="Times New Roman"/>
          <w:sz w:val="26"/>
          <w:szCs w:val="26"/>
        </w:rPr>
        <w:t xml:space="preserve">CLI customers are </w:t>
      </w:r>
      <w:r w:rsidR="00E6227C" w:rsidRPr="00EE5714">
        <w:rPr>
          <w:rFonts w:ascii="Times New Roman" w:hAnsi="Times New Roman" w:cs="Times New Roman"/>
          <w:sz w:val="26"/>
          <w:szCs w:val="26"/>
        </w:rPr>
        <w:t>a</w:t>
      </w:r>
      <w:r w:rsidR="00642A68" w:rsidRPr="00EE5714">
        <w:rPr>
          <w:rFonts w:ascii="Times New Roman" w:hAnsi="Times New Roman" w:cs="Times New Roman"/>
          <w:sz w:val="26"/>
          <w:szCs w:val="26"/>
        </w:rPr>
        <w:t xml:space="preserve"> subset of </w:t>
      </w:r>
      <w:r w:rsidRPr="00EE5714">
        <w:rPr>
          <w:rFonts w:ascii="Times New Roman" w:hAnsi="Times New Roman" w:cs="Times New Roman"/>
          <w:sz w:val="26"/>
          <w:szCs w:val="26"/>
        </w:rPr>
        <w:t xml:space="preserve">non-CAP </w:t>
      </w:r>
      <w:r w:rsidR="00642A68" w:rsidRPr="00EE5714">
        <w:rPr>
          <w:rFonts w:ascii="Times New Roman" w:hAnsi="Times New Roman" w:cs="Times New Roman"/>
          <w:sz w:val="26"/>
          <w:szCs w:val="26"/>
        </w:rPr>
        <w:t xml:space="preserve">residential ratepayers, comprising all non-CAP customers </w:t>
      </w:r>
      <w:r w:rsidR="00642A68" w:rsidRPr="00EE5714">
        <w:rPr>
          <w:rFonts w:ascii="Times New Roman" w:hAnsi="Times New Roman" w:cs="Times New Roman"/>
          <w:i/>
          <w:sz w:val="26"/>
          <w:szCs w:val="26"/>
        </w:rPr>
        <w:t>identified</w:t>
      </w:r>
      <w:r w:rsidR="00642A68" w:rsidRPr="00EE5714">
        <w:rPr>
          <w:rFonts w:ascii="Times New Roman" w:hAnsi="Times New Roman" w:cs="Times New Roman"/>
          <w:sz w:val="26"/>
          <w:szCs w:val="26"/>
        </w:rPr>
        <w:t xml:space="preserve"> as low-income.  These </w:t>
      </w:r>
      <w:r w:rsidRPr="00EE5714">
        <w:rPr>
          <w:rFonts w:ascii="Times New Roman" w:hAnsi="Times New Roman" w:cs="Times New Roman"/>
          <w:sz w:val="26"/>
          <w:szCs w:val="26"/>
        </w:rPr>
        <w:t xml:space="preserve">CLI </w:t>
      </w:r>
      <w:r w:rsidR="00642A68" w:rsidRPr="00EE5714">
        <w:rPr>
          <w:rFonts w:ascii="Times New Roman" w:hAnsi="Times New Roman" w:cs="Times New Roman"/>
          <w:sz w:val="26"/>
          <w:szCs w:val="26"/>
        </w:rPr>
        <w:t xml:space="preserve">customers are financially vulnerable and the most likely to be in debt.  Most CLI households are verified through the customer’s receipt of a LIHEAP grant, </w:t>
      </w:r>
      <w:r w:rsidRPr="00EE5714">
        <w:rPr>
          <w:rFonts w:ascii="Times New Roman" w:hAnsi="Times New Roman" w:cs="Times New Roman"/>
          <w:sz w:val="26"/>
          <w:szCs w:val="26"/>
        </w:rPr>
        <w:t xml:space="preserve">identified when </w:t>
      </w:r>
      <w:r w:rsidR="00642A68" w:rsidRPr="00EE5714">
        <w:rPr>
          <w:rFonts w:ascii="Times New Roman" w:hAnsi="Times New Roman" w:cs="Times New Roman"/>
          <w:sz w:val="26"/>
          <w:szCs w:val="26"/>
        </w:rPr>
        <w:t>enroll</w:t>
      </w:r>
      <w:r w:rsidRPr="00EE5714">
        <w:rPr>
          <w:rFonts w:ascii="Times New Roman" w:hAnsi="Times New Roman" w:cs="Times New Roman"/>
          <w:sz w:val="26"/>
          <w:szCs w:val="26"/>
        </w:rPr>
        <w:t>ed</w:t>
      </w:r>
      <w:r w:rsidR="00642A68" w:rsidRPr="00EE5714">
        <w:rPr>
          <w:rFonts w:ascii="Times New Roman" w:hAnsi="Times New Roman" w:cs="Times New Roman"/>
          <w:sz w:val="26"/>
          <w:szCs w:val="26"/>
        </w:rPr>
        <w:t xml:space="preserve"> in a universal service program</w:t>
      </w:r>
      <w:r w:rsidR="00B07354" w:rsidRPr="00EE5714">
        <w:rPr>
          <w:rFonts w:ascii="Times New Roman" w:hAnsi="Times New Roman" w:cs="Times New Roman"/>
          <w:sz w:val="26"/>
          <w:szCs w:val="26"/>
        </w:rPr>
        <w:t>,</w:t>
      </w:r>
      <w:r w:rsidR="00642A68" w:rsidRPr="00EE5714">
        <w:rPr>
          <w:rFonts w:ascii="Times New Roman" w:hAnsi="Times New Roman" w:cs="Times New Roman"/>
          <w:sz w:val="26"/>
          <w:szCs w:val="26"/>
        </w:rPr>
        <w:t xml:space="preserve"> or determined </w:t>
      </w:r>
      <w:proofErr w:type="gramStart"/>
      <w:r w:rsidR="00642A68" w:rsidRPr="00EE5714">
        <w:rPr>
          <w:rFonts w:ascii="Times New Roman" w:hAnsi="Times New Roman" w:cs="Times New Roman"/>
          <w:sz w:val="26"/>
          <w:szCs w:val="26"/>
        </w:rPr>
        <w:t>during the course of</w:t>
      </w:r>
      <w:proofErr w:type="gramEnd"/>
      <w:r w:rsidR="00642A68" w:rsidRPr="00EE5714">
        <w:rPr>
          <w:rFonts w:ascii="Times New Roman" w:hAnsi="Times New Roman" w:cs="Times New Roman"/>
          <w:sz w:val="26"/>
          <w:szCs w:val="26"/>
        </w:rPr>
        <w:t xml:space="preserve"> making a payment agreement. </w:t>
      </w:r>
      <w:r w:rsidRPr="00EE5714">
        <w:rPr>
          <w:rFonts w:ascii="Times New Roman" w:hAnsi="Times New Roman" w:cs="Times New Roman"/>
          <w:sz w:val="26"/>
          <w:szCs w:val="26"/>
        </w:rPr>
        <w:t xml:space="preserve"> </w:t>
      </w:r>
    </w:p>
    <w:p w14:paraId="7E204314" w14:textId="77777777" w:rsidR="00642A68" w:rsidRPr="00EE5714" w:rsidRDefault="00642A68" w:rsidP="00642A68">
      <w:pPr>
        <w:spacing w:after="0" w:line="240" w:lineRule="auto"/>
        <w:ind w:firstLine="720"/>
        <w:contextualSpacing/>
        <w:rPr>
          <w:rFonts w:ascii="Times New Roman" w:hAnsi="Times New Roman" w:cs="Times New Roman"/>
          <w:sz w:val="26"/>
          <w:szCs w:val="26"/>
        </w:rPr>
      </w:pPr>
    </w:p>
    <w:p w14:paraId="36BA54D2" w14:textId="77777777" w:rsidR="00642A68" w:rsidRPr="00EE5714" w:rsidRDefault="00642A68" w:rsidP="00642A6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There are also factors beyond customer choice that determine whether a customer may or may not be on a payment agreement.  If customers have defaulted on utility and Commission payment agreements and/or their debt consists of CAP (in-program) arrears, they may not qualify for further payment agreements.</w:t>
      </w:r>
      <w:r w:rsidRPr="00EE5714">
        <w:rPr>
          <w:rStyle w:val="FootnoteReference"/>
          <w:rFonts w:ascii="Times New Roman" w:hAnsi="Times New Roman" w:cs="Times New Roman"/>
          <w:sz w:val="26"/>
          <w:szCs w:val="26"/>
        </w:rPr>
        <w:footnoteReference w:id="61"/>
      </w:r>
      <w:r w:rsidRPr="00EE5714">
        <w:rPr>
          <w:rFonts w:ascii="Times New Roman" w:hAnsi="Times New Roman" w:cs="Times New Roman"/>
          <w:sz w:val="26"/>
          <w:szCs w:val="26"/>
        </w:rPr>
        <w:t xml:space="preserve">  </w:t>
      </w:r>
    </w:p>
    <w:p w14:paraId="2554CE30" w14:textId="77777777" w:rsidR="00642A68" w:rsidRPr="00EE5714" w:rsidRDefault="00642A68" w:rsidP="00642A68">
      <w:pPr>
        <w:spacing w:after="0" w:line="240" w:lineRule="auto"/>
        <w:contextualSpacing/>
        <w:rPr>
          <w:rFonts w:ascii="Times New Roman" w:hAnsi="Times New Roman" w:cs="Times New Roman"/>
          <w:sz w:val="26"/>
          <w:szCs w:val="26"/>
        </w:rPr>
      </w:pPr>
    </w:p>
    <w:p w14:paraId="4176CF5E" w14:textId="77777777" w:rsidR="00642A68" w:rsidRPr="00EE5714" w:rsidRDefault="00642A68" w:rsidP="00642A6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Debt that is on a payment agreement is considered active and is often easier to collect than debt not on a payment agreement.  Uncollectible debt represents more risk for the utility and often leads to higher gross write-offs, which are recovered from </w:t>
      </w:r>
      <w:r w:rsidR="00863EFE" w:rsidRPr="00EE5714">
        <w:rPr>
          <w:rFonts w:ascii="Times New Roman" w:hAnsi="Times New Roman" w:cs="Times New Roman"/>
          <w:sz w:val="26"/>
          <w:szCs w:val="26"/>
        </w:rPr>
        <w:t xml:space="preserve">non-CAP </w:t>
      </w:r>
      <w:r w:rsidRPr="00EE5714">
        <w:rPr>
          <w:rFonts w:ascii="Times New Roman" w:hAnsi="Times New Roman" w:cs="Times New Roman"/>
          <w:sz w:val="26"/>
          <w:szCs w:val="26"/>
        </w:rPr>
        <w:t xml:space="preserve">residential ratepayers. </w:t>
      </w:r>
    </w:p>
    <w:p w14:paraId="05FE3161" w14:textId="77777777" w:rsidR="00642A68" w:rsidRPr="00EE5714" w:rsidRDefault="00642A68" w:rsidP="00642A68">
      <w:pPr>
        <w:spacing w:after="0" w:line="240" w:lineRule="auto"/>
        <w:contextualSpacing/>
        <w:rPr>
          <w:rFonts w:ascii="Times New Roman" w:hAnsi="Times New Roman" w:cs="Times New Roman"/>
          <w:sz w:val="26"/>
          <w:szCs w:val="26"/>
        </w:rPr>
      </w:pPr>
    </w:p>
    <w:p w14:paraId="03B8FCC1" w14:textId="77777777" w:rsidR="00642A68" w:rsidRPr="00EE5714" w:rsidRDefault="00642A68" w:rsidP="00642A6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Low-income customers who are removed from CAP are less likely to qualify for additional payment agreements</w:t>
      </w:r>
      <w:r w:rsidR="007F256F" w:rsidRPr="00EE5714">
        <w:rPr>
          <w:rFonts w:ascii="Times New Roman" w:hAnsi="Times New Roman" w:cs="Times New Roman"/>
          <w:sz w:val="26"/>
          <w:szCs w:val="26"/>
        </w:rPr>
        <w:t>,</w:t>
      </w:r>
      <w:r w:rsidRPr="00EE5714">
        <w:rPr>
          <w:rFonts w:ascii="Times New Roman" w:hAnsi="Times New Roman" w:cs="Times New Roman"/>
          <w:sz w:val="26"/>
          <w:szCs w:val="26"/>
        </w:rPr>
        <w:t xml:space="preserve"> and their balances are more likely to be written off as uncollectible debt.</w:t>
      </w:r>
      <w:r w:rsidR="00B049AA"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 Th</w:t>
      </w:r>
      <w:r w:rsidR="00863EFE" w:rsidRPr="00EE5714">
        <w:rPr>
          <w:rFonts w:ascii="Times New Roman" w:hAnsi="Times New Roman" w:cs="Times New Roman"/>
          <w:sz w:val="26"/>
          <w:szCs w:val="26"/>
        </w:rPr>
        <w:t>us</w:t>
      </w:r>
      <w:r w:rsidRPr="00EE5714">
        <w:rPr>
          <w:rFonts w:ascii="Times New Roman" w:hAnsi="Times New Roman" w:cs="Times New Roman"/>
          <w:sz w:val="26"/>
          <w:szCs w:val="26"/>
        </w:rPr>
        <w:t>, the amount of CLI debt not on an agreement may indicate affordability issues within a utility’s CAP.</w:t>
      </w:r>
    </w:p>
    <w:p w14:paraId="6AC53986" w14:textId="77777777" w:rsidR="00642A68" w:rsidRPr="00EE5714" w:rsidRDefault="00642A68" w:rsidP="003B7D77">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Methodology</w:t>
      </w:r>
    </w:p>
    <w:p w14:paraId="2B3CB979" w14:textId="77777777" w:rsidR="00642A68" w:rsidRPr="00EE5714" w:rsidRDefault="00642A68" w:rsidP="00642A68">
      <w:pPr>
        <w:keepNext/>
        <w:spacing w:after="0" w:line="240" w:lineRule="auto"/>
        <w:contextualSpacing/>
        <w:rPr>
          <w:rFonts w:ascii="Times New Roman" w:hAnsi="Times New Roman" w:cs="Times New Roman"/>
          <w:sz w:val="26"/>
          <w:szCs w:val="26"/>
        </w:rPr>
      </w:pPr>
    </w:p>
    <w:p w14:paraId="53A43118" w14:textId="77777777" w:rsidR="00642A68" w:rsidRPr="00EE5714" w:rsidRDefault="00642A68" w:rsidP="00642A6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For USR reporting, two categories exist for customers overdue </w:t>
      </w:r>
      <w:r w:rsidR="00390690" w:rsidRPr="00EE5714">
        <w:rPr>
          <w:rFonts w:ascii="Times New Roman" w:hAnsi="Times New Roman" w:cs="Times New Roman"/>
          <w:sz w:val="26"/>
          <w:szCs w:val="26"/>
        </w:rPr>
        <w:t>and/</w:t>
      </w:r>
      <w:r w:rsidRPr="00EE5714">
        <w:rPr>
          <w:rFonts w:ascii="Times New Roman" w:hAnsi="Times New Roman" w:cs="Times New Roman"/>
          <w:sz w:val="26"/>
          <w:szCs w:val="26"/>
        </w:rPr>
        <w:t xml:space="preserve">or in debt.  The first includes customers who are on a payment agreement, and the second includes </w:t>
      </w:r>
      <w:r w:rsidRPr="00EE5714">
        <w:rPr>
          <w:rFonts w:ascii="Times New Roman" w:hAnsi="Times New Roman" w:cs="Times New Roman"/>
          <w:sz w:val="26"/>
          <w:szCs w:val="26"/>
        </w:rPr>
        <w:lastRenderedPageBreak/>
        <w:t xml:space="preserve">customers who are not on a payment agreement.  Those on a payment agreement include customers on both utility and Commission-granted payment agreements.  </w:t>
      </w:r>
    </w:p>
    <w:p w14:paraId="5CFC5343" w14:textId="77777777" w:rsidR="00642A68" w:rsidRPr="00EE5714" w:rsidRDefault="00642A68" w:rsidP="00642A68">
      <w:pPr>
        <w:spacing w:after="0" w:line="240" w:lineRule="auto"/>
        <w:ind w:firstLine="720"/>
        <w:contextualSpacing/>
        <w:rPr>
          <w:rFonts w:ascii="Times New Roman" w:hAnsi="Times New Roman" w:cs="Times New Roman"/>
          <w:sz w:val="26"/>
          <w:szCs w:val="26"/>
        </w:rPr>
      </w:pPr>
    </w:p>
    <w:p w14:paraId="5713209B" w14:textId="77777777" w:rsidR="00642A68" w:rsidRPr="00EE5714" w:rsidRDefault="00642A68" w:rsidP="00642A6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C</w:t>
      </w:r>
      <w:r w:rsidR="008A1FCD" w:rsidRPr="00EE5714">
        <w:rPr>
          <w:rFonts w:ascii="Times New Roman" w:hAnsi="Times New Roman" w:cs="Times New Roman"/>
          <w:sz w:val="26"/>
          <w:szCs w:val="26"/>
        </w:rPr>
        <w:t>onsistent with USR reporting, c</w:t>
      </w:r>
      <w:r w:rsidRPr="00EE5714">
        <w:rPr>
          <w:rFonts w:ascii="Times New Roman" w:hAnsi="Times New Roman" w:cs="Times New Roman"/>
          <w:sz w:val="26"/>
          <w:szCs w:val="26"/>
        </w:rPr>
        <w:t xml:space="preserve">ustomers enrolled in a CAP </w:t>
      </w:r>
      <w:r w:rsidR="008A1FCD" w:rsidRPr="00EE5714">
        <w:rPr>
          <w:rFonts w:ascii="Times New Roman" w:hAnsi="Times New Roman" w:cs="Times New Roman"/>
          <w:sz w:val="26"/>
          <w:szCs w:val="26"/>
        </w:rPr>
        <w:t xml:space="preserve">have </w:t>
      </w:r>
      <w:r w:rsidRPr="00EE5714">
        <w:rPr>
          <w:rFonts w:ascii="Times New Roman" w:hAnsi="Times New Roman" w:cs="Times New Roman"/>
          <w:sz w:val="26"/>
          <w:szCs w:val="26"/>
        </w:rPr>
        <w:t xml:space="preserve">not </w:t>
      </w:r>
      <w:r w:rsidR="00DA1154" w:rsidRPr="00EE5714">
        <w:rPr>
          <w:rFonts w:ascii="Times New Roman" w:hAnsi="Times New Roman" w:cs="Times New Roman"/>
          <w:sz w:val="26"/>
          <w:szCs w:val="26"/>
        </w:rPr>
        <w:t xml:space="preserve">been </w:t>
      </w:r>
      <w:r w:rsidRPr="00EE5714">
        <w:rPr>
          <w:rFonts w:ascii="Times New Roman" w:hAnsi="Times New Roman" w:cs="Times New Roman"/>
          <w:sz w:val="26"/>
          <w:szCs w:val="26"/>
        </w:rPr>
        <w:t xml:space="preserve">counted </w:t>
      </w:r>
      <w:r w:rsidR="00CD4E90" w:rsidRPr="00EE5714">
        <w:rPr>
          <w:rFonts w:ascii="Times New Roman" w:hAnsi="Times New Roman" w:cs="Times New Roman"/>
          <w:sz w:val="26"/>
          <w:szCs w:val="26"/>
        </w:rPr>
        <w:t xml:space="preserve">in this report </w:t>
      </w:r>
      <w:r w:rsidRPr="00EE5714">
        <w:rPr>
          <w:rFonts w:ascii="Times New Roman" w:hAnsi="Times New Roman" w:cs="Times New Roman"/>
          <w:sz w:val="26"/>
          <w:szCs w:val="26"/>
        </w:rPr>
        <w:t>as part of the number of customers in debt who are on a payment agreement or not on a payment agreement.</w:t>
      </w:r>
    </w:p>
    <w:p w14:paraId="13D6D066" w14:textId="77777777" w:rsidR="00642A68" w:rsidRPr="00EE5714" w:rsidRDefault="00642A68" w:rsidP="00642A68">
      <w:pPr>
        <w:spacing w:after="0" w:line="240" w:lineRule="auto"/>
        <w:contextualSpacing/>
        <w:rPr>
          <w:rFonts w:ascii="Times New Roman" w:hAnsi="Times New Roman" w:cs="Times New Roman"/>
          <w:sz w:val="26"/>
          <w:szCs w:val="26"/>
        </w:rPr>
      </w:pPr>
    </w:p>
    <w:p w14:paraId="330596B9" w14:textId="77777777" w:rsidR="00642A68" w:rsidRPr="00EE5714" w:rsidRDefault="00642A68" w:rsidP="00642A6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The amount of </w:t>
      </w:r>
      <w:r w:rsidR="00863EFE" w:rsidRPr="00EE5714">
        <w:rPr>
          <w:rFonts w:ascii="Times New Roman" w:hAnsi="Times New Roman" w:cs="Times New Roman"/>
          <w:sz w:val="26"/>
          <w:szCs w:val="26"/>
        </w:rPr>
        <w:t>non-CAP r</w:t>
      </w:r>
      <w:r w:rsidRPr="00EE5714">
        <w:rPr>
          <w:rFonts w:ascii="Times New Roman" w:hAnsi="Times New Roman" w:cs="Times New Roman"/>
          <w:sz w:val="26"/>
          <w:szCs w:val="26"/>
        </w:rPr>
        <w:t xml:space="preserve">esidential and CLI debt is shown as a percentage of revenue and is calculated by dividing the total dollars owed for each category by the overall residential revenue of each </w:t>
      </w:r>
      <w:r w:rsidR="00147BB9" w:rsidRPr="00EE5714">
        <w:rPr>
          <w:rFonts w:ascii="Times New Roman" w:hAnsi="Times New Roman" w:cs="Times New Roman"/>
          <w:sz w:val="26"/>
          <w:szCs w:val="26"/>
        </w:rPr>
        <w:t>utility</w:t>
      </w:r>
      <w:r w:rsidRPr="00EE5714">
        <w:rPr>
          <w:rFonts w:ascii="Times New Roman" w:hAnsi="Times New Roman" w:cs="Times New Roman"/>
          <w:sz w:val="26"/>
          <w:szCs w:val="26"/>
        </w:rPr>
        <w:t xml:space="preserve">. </w:t>
      </w:r>
      <w:r w:rsidR="00147BB9"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This is to allow comparison between utilities, regardless of the dollar amount of debt or revenues.  </w:t>
      </w:r>
    </w:p>
    <w:p w14:paraId="7873FD7D" w14:textId="77777777" w:rsidR="00642A68" w:rsidRPr="00EE5714" w:rsidRDefault="00642A68" w:rsidP="00642A68">
      <w:pPr>
        <w:spacing w:after="0" w:line="240" w:lineRule="auto"/>
        <w:contextualSpacing/>
        <w:rPr>
          <w:rFonts w:ascii="Times New Roman" w:hAnsi="Times New Roman" w:cs="Times New Roman"/>
          <w:sz w:val="26"/>
          <w:szCs w:val="26"/>
        </w:rPr>
      </w:pPr>
    </w:p>
    <w:p w14:paraId="14D08CCA" w14:textId="77777777" w:rsidR="00642A68" w:rsidRPr="00EE5714" w:rsidRDefault="00642A68" w:rsidP="00951EA6">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t xml:space="preserve">Data Limitations </w:t>
      </w:r>
    </w:p>
    <w:p w14:paraId="1FB5D5E9" w14:textId="77777777" w:rsidR="00642A68" w:rsidRPr="00EE5714" w:rsidRDefault="00642A68" w:rsidP="00CD4E90">
      <w:pPr>
        <w:keepNext/>
        <w:spacing w:after="0" w:line="240" w:lineRule="auto"/>
        <w:contextualSpacing/>
        <w:rPr>
          <w:rFonts w:ascii="Times New Roman" w:hAnsi="Times New Roman" w:cs="Times New Roman"/>
          <w:sz w:val="26"/>
          <w:szCs w:val="26"/>
        </w:rPr>
      </w:pPr>
    </w:p>
    <w:p w14:paraId="1DDC0BC9" w14:textId="1FB7E202" w:rsidR="00147BB9" w:rsidRPr="00EE5714" w:rsidRDefault="00642A68" w:rsidP="00642A6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Two factors affect the uniformity of the data reported regarding the number of overdue customers and the dollars in debt associated with those customers.  First</w:t>
      </w:r>
      <w:r w:rsidR="002C681E" w:rsidRPr="00EE5714">
        <w:rPr>
          <w:rFonts w:ascii="Times New Roman" w:hAnsi="Times New Roman" w:cs="Times New Roman"/>
          <w:sz w:val="26"/>
          <w:szCs w:val="26"/>
        </w:rPr>
        <w:t>,</w:t>
      </w:r>
      <w:r w:rsidRPr="00EE5714">
        <w:rPr>
          <w:rFonts w:ascii="Times New Roman" w:hAnsi="Times New Roman" w:cs="Times New Roman"/>
          <w:sz w:val="26"/>
          <w:szCs w:val="26"/>
        </w:rPr>
        <w:t xml:space="preserve"> </w:t>
      </w:r>
      <w:r w:rsidR="00147BB9" w:rsidRPr="00EE5714">
        <w:rPr>
          <w:rFonts w:ascii="Times New Roman" w:hAnsi="Times New Roman" w:cs="Times New Roman"/>
          <w:sz w:val="26"/>
          <w:szCs w:val="26"/>
        </w:rPr>
        <w:t>utilities</w:t>
      </w:r>
      <w:r w:rsidRPr="00EE5714">
        <w:rPr>
          <w:rFonts w:ascii="Times New Roman" w:hAnsi="Times New Roman" w:cs="Times New Roman"/>
          <w:sz w:val="26"/>
          <w:szCs w:val="26"/>
        </w:rPr>
        <w:t xml:space="preserve"> </w:t>
      </w:r>
      <w:r w:rsidR="00932684" w:rsidRPr="00EE5714">
        <w:rPr>
          <w:rFonts w:ascii="Times New Roman" w:hAnsi="Times New Roman" w:cs="Times New Roman"/>
          <w:sz w:val="26"/>
          <w:szCs w:val="26"/>
        </w:rPr>
        <w:t xml:space="preserve">have </w:t>
      </w:r>
      <w:r w:rsidRPr="00EE5714">
        <w:rPr>
          <w:rFonts w:ascii="Times New Roman" w:hAnsi="Times New Roman" w:cs="Times New Roman"/>
          <w:sz w:val="26"/>
          <w:szCs w:val="26"/>
        </w:rPr>
        <w:t>use</w:t>
      </w:r>
      <w:r w:rsidR="00932684" w:rsidRPr="00EE5714">
        <w:rPr>
          <w:rFonts w:ascii="Times New Roman" w:hAnsi="Times New Roman" w:cs="Times New Roman"/>
          <w:sz w:val="26"/>
          <w:szCs w:val="26"/>
        </w:rPr>
        <w:t>d</w:t>
      </w:r>
      <w:r w:rsidR="009D0C44" w:rsidRPr="00EE5714">
        <w:rPr>
          <w:rFonts w:ascii="Times New Roman" w:hAnsi="Times New Roman" w:cs="Times New Roman"/>
          <w:sz w:val="26"/>
          <w:szCs w:val="26"/>
        </w:rPr>
        <w:t>,</w:t>
      </w:r>
      <w:r w:rsidRPr="00EE5714">
        <w:rPr>
          <w:rFonts w:ascii="Times New Roman" w:hAnsi="Times New Roman" w:cs="Times New Roman"/>
          <w:sz w:val="26"/>
          <w:szCs w:val="26"/>
        </w:rPr>
        <w:t xml:space="preserve"> </w:t>
      </w:r>
      <w:r w:rsidR="009D0C44" w:rsidRPr="00EE5714">
        <w:rPr>
          <w:rFonts w:ascii="Times New Roman" w:hAnsi="Times New Roman" w:cs="Times New Roman"/>
          <w:sz w:val="26"/>
          <w:szCs w:val="26"/>
        </w:rPr>
        <w:t>and continue to use,</w:t>
      </w:r>
      <w:r w:rsidRPr="00EE5714">
        <w:rPr>
          <w:rFonts w:ascii="Times New Roman" w:hAnsi="Times New Roman" w:cs="Times New Roman"/>
          <w:sz w:val="26"/>
          <w:szCs w:val="26"/>
        </w:rPr>
        <w:t xml:space="preserve"> different methods for determining when an account is overdue.  </w:t>
      </w:r>
    </w:p>
    <w:p w14:paraId="1DBCE414" w14:textId="77777777" w:rsidR="00147BB9" w:rsidRPr="00EE5714" w:rsidRDefault="00147BB9" w:rsidP="00642A68">
      <w:pPr>
        <w:spacing w:after="0" w:line="240" w:lineRule="auto"/>
        <w:ind w:firstLine="720"/>
        <w:contextualSpacing/>
        <w:rPr>
          <w:rFonts w:ascii="Times New Roman" w:hAnsi="Times New Roman" w:cs="Times New Roman"/>
          <w:sz w:val="26"/>
          <w:szCs w:val="26"/>
        </w:rPr>
      </w:pPr>
    </w:p>
    <w:p w14:paraId="7286A6BC" w14:textId="77777777" w:rsidR="00642A68" w:rsidRPr="00EE5714" w:rsidRDefault="00147BB9" w:rsidP="00642A6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Utilities</w:t>
      </w:r>
      <w:r w:rsidR="00642A68" w:rsidRPr="00EE5714">
        <w:rPr>
          <w:rFonts w:ascii="Times New Roman" w:hAnsi="Times New Roman" w:cs="Times New Roman"/>
          <w:sz w:val="26"/>
          <w:szCs w:val="26"/>
        </w:rPr>
        <w:t xml:space="preserve"> consider either the due date of the bill or the transmittal date of the bill to be day zero.  The transmittal date is 20 days before the due date.  For USR reporting and comparative purposes, </w:t>
      </w:r>
      <w:r w:rsidR="00CB29F3" w:rsidRPr="00EE5714">
        <w:rPr>
          <w:rFonts w:ascii="Times New Roman" w:hAnsi="Times New Roman" w:cs="Times New Roman"/>
          <w:sz w:val="26"/>
          <w:szCs w:val="26"/>
        </w:rPr>
        <w:t>utilities</w:t>
      </w:r>
      <w:r w:rsidR="00642A68" w:rsidRPr="00EE5714">
        <w:rPr>
          <w:rFonts w:ascii="Times New Roman" w:hAnsi="Times New Roman" w:cs="Times New Roman"/>
          <w:sz w:val="26"/>
          <w:szCs w:val="26"/>
        </w:rPr>
        <w:t xml:space="preserve"> are requested to consider the due date as day zero and to report debt that is at least 30 days overdue.  </w:t>
      </w:r>
    </w:p>
    <w:p w14:paraId="32B76179" w14:textId="77777777" w:rsidR="00642A68" w:rsidRPr="00EE5714" w:rsidRDefault="00642A68" w:rsidP="00642A68">
      <w:pPr>
        <w:spacing w:after="0" w:line="240" w:lineRule="auto"/>
        <w:contextualSpacing/>
        <w:rPr>
          <w:rFonts w:ascii="Times New Roman" w:hAnsi="Times New Roman" w:cs="Times New Roman"/>
          <w:sz w:val="26"/>
          <w:szCs w:val="26"/>
        </w:rPr>
      </w:pPr>
    </w:p>
    <w:p w14:paraId="40233D71" w14:textId="77777777" w:rsidR="00642A68" w:rsidRPr="00EE5714" w:rsidRDefault="00642A68" w:rsidP="00642A6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Duquesne, </w:t>
      </w:r>
      <w:r w:rsidR="00863EFE" w:rsidRPr="00EE5714">
        <w:rPr>
          <w:rFonts w:ascii="Times New Roman" w:hAnsi="Times New Roman" w:cs="Times New Roman"/>
          <w:sz w:val="26"/>
          <w:szCs w:val="26"/>
        </w:rPr>
        <w:t>Met-Ed</w:t>
      </w:r>
      <w:r w:rsidRPr="00EE5714">
        <w:rPr>
          <w:rFonts w:ascii="Times New Roman" w:hAnsi="Times New Roman" w:cs="Times New Roman"/>
          <w:sz w:val="26"/>
          <w:szCs w:val="26"/>
        </w:rPr>
        <w:t xml:space="preserve">, </w:t>
      </w:r>
      <w:proofErr w:type="spellStart"/>
      <w:r w:rsidRPr="00EE5714">
        <w:rPr>
          <w:rFonts w:ascii="Times New Roman" w:hAnsi="Times New Roman" w:cs="Times New Roman"/>
          <w:sz w:val="26"/>
          <w:szCs w:val="26"/>
        </w:rPr>
        <w:t>Penelec</w:t>
      </w:r>
      <w:proofErr w:type="spellEnd"/>
      <w:r w:rsidRPr="00EE5714">
        <w:rPr>
          <w:rFonts w:ascii="Times New Roman" w:hAnsi="Times New Roman" w:cs="Times New Roman"/>
          <w:sz w:val="26"/>
          <w:szCs w:val="26"/>
        </w:rPr>
        <w:t>, Penn Power, West Penn, Columbia, Peoples</w:t>
      </w:r>
      <w:r w:rsidR="00863EFE" w:rsidRPr="00EE5714">
        <w:rPr>
          <w:rFonts w:ascii="Times New Roman" w:hAnsi="Times New Roman" w:cs="Times New Roman"/>
          <w:sz w:val="26"/>
          <w:szCs w:val="26"/>
        </w:rPr>
        <w:t xml:space="preserve"> </w:t>
      </w:r>
      <w:r w:rsidRPr="00EE5714">
        <w:rPr>
          <w:rFonts w:ascii="Times New Roman" w:hAnsi="Times New Roman" w:cs="Times New Roman"/>
          <w:sz w:val="26"/>
          <w:szCs w:val="26"/>
        </w:rPr>
        <w:t>Equitable, UGI Gas</w:t>
      </w:r>
      <w:r w:rsidR="00636880" w:rsidRPr="00EE5714">
        <w:rPr>
          <w:rFonts w:ascii="Times New Roman" w:hAnsi="Times New Roman" w:cs="Times New Roman"/>
          <w:sz w:val="26"/>
          <w:szCs w:val="26"/>
        </w:rPr>
        <w:t>,</w:t>
      </w:r>
      <w:r w:rsidRPr="00EE5714">
        <w:rPr>
          <w:rFonts w:ascii="Times New Roman" w:hAnsi="Times New Roman" w:cs="Times New Roman"/>
          <w:sz w:val="26"/>
          <w:szCs w:val="26"/>
        </w:rPr>
        <w:t xml:space="preserve"> and UGI PNG reported according to the method requested.  The variance among the other EDCs and NGDCs show</w:t>
      </w:r>
      <w:r w:rsidR="00863EFE" w:rsidRPr="00EE5714">
        <w:rPr>
          <w:rFonts w:ascii="Times New Roman" w:hAnsi="Times New Roman" w:cs="Times New Roman"/>
          <w:sz w:val="26"/>
          <w:szCs w:val="26"/>
        </w:rPr>
        <w:t>ed</w:t>
      </w:r>
      <w:r w:rsidRPr="00EE5714">
        <w:rPr>
          <w:rFonts w:ascii="Times New Roman" w:hAnsi="Times New Roman" w:cs="Times New Roman"/>
          <w:sz w:val="26"/>
          <w:szCs w:val="26"/>
        </w:rPr>
        <w:t xml:space="preserve"> a difference of no more than 20</w:t>
      </w:r>
      <w:r w:rsidR="00863EFE" w:rsidRPr="00EE5714">
        <w:rPr>
          <w:rFonts w:ascii="Times New Roman" w:hAnsi="Times New Roman" w:cs="Times New Roman"/>
          <w:sz w:val="26"/>
          <w:szCs w:val="26"/>
        </w:rPr>
        <w:t> </w:t>
      </w:r>
      <w:r w:rsidRPr="00EE5714">
        <w:rPr>
          <w:rFonts w:ascii="Times New Roman" w:hAnsi="Times New Roman" w:cs="Times New Roman"/>
          <w:sz w:val="26"/>
          <w:szCs w:val="26"/>
        </w:rPr>
        <w:t>days from that method.  PECO Electric and Gas, PPL, Peoples</w:t>
      </w:r>
      <w:r w:rsidR="00BD3635" w:rsidRPr="00EE5714">
        <w:rPr>
          <w:rFonts w:ascii="Times New Roman" w:hAnsi="Times New Roman" w:cs="Times New Roman"/>
          <w:sz w:val="26"/>
          <w:szCs w:val="26"/>
        </w:rPr>
        <w:t>,</w:t>
      </w:r>
      <w:r w:rsidRPr="00EE5714">
        <w:rPr>
          <w:rFonts w:ascii="Times New Roman" w:hAnsi="Times New Roman" w:cs="Times New Roman"/>
          <w:sz w:val="26"/>
          <w:szCs w:val="26"/>
        </w:rPr>
        <w:t xml:space="preserve"> and PGW report debt that is </w:t>
      </w:r>
      <w:r w:rsidRPr="00EE5714">
        <w:rPr>
          <w:rFonts w:ascii="Times New Roman" w:hAnsi="Times New Roman" w:cs="Times New Roman"/>
          <w:color w:val="0D0D0D" w:themeColor="text1" w:themeTint="F2"/>
          <w:sz w:val="26"/>
          <w:szCs w:val="26"/>
        </w:rPr>
        <w:t>10</w:t>
      </w:r>
      <w:r w:rsidR="00863EFE" w:rsidRPr="00EE5714">
        <w:rPr>
          <w:rFonts w:ascii="Times New Roman" w:hAnsi="Times New Roman" w:cs="Times New Roman"/>
          <w:color w:val="0D0D0D" w:themeColor="text1" w:themeTint="F2"/>
          <w:sz w:val="26"/>
          <w:szCs w:val="26"/>
        </w:rPr>
        <w:t> </w:t>
      </w:r>
      <w:r w:rsidRPr="00EE5714">
        <w:rPr>
          <w:rFonts w:ascii="Times New Roman" w:hAnsi="Times New Roman" w:cs="Times New Roman"/>
          <w:color w:val="0D0D0D" w:themeColor="text1" w:themeTint="F2"/>
          <w:sz w:val="26"/>
          <w:szCs w:val="26"/>
        </w:rPr>
        <w:t>days old</w:t>
      </w:r>
      <w:r w:rsidRPr="00EE5714">
        <w:rPr>
          <w:rFonts w:ascii="Times New Roman" w:hAnsi="Times New Roman" w:cs="Times New Roman"/>
          <w:sz w:val="26"/>
          <w:szCs w:val="26"/>
        </w:rPr>
        <w:t xml:space="preserve">, meaning these </w:t>
      </w:r>
      <w:r w:rsidR="00CB29F3" w:rsidRPr="00EE5714">
        <w:rPr>
          <w:rFonts w:ascii="Times New Roman" w:hAnsi="Times New Roman" w:cs="Times New Roman"/>
          <w:sz w:val="26"/>
          <w:szCs w:val="26"/>
        </w:rPr>
        <w:t>utilities</w:t>
      </w:r>
      <w:r w:rsidRPr="00EE5714">
        <w:rPr>
          <w:rFonts w:ascii="Times New Roman" w:hAnsi="Times New Roman" w:cs="Times New Roman"/>
          <w:sz w:val="26"/>
          <w:szCs w:val="26"/>
        </w:rPr>
        <w:t xml:space="preserve"> are overstating the debt compared to </w:t>
      </w:r>
      <w:r w:rsidR="00CB29F3" w:rsidRPr="00EE5714">
        <w:rPr>
          <w:rFonts w:ascii="Times New Roman" w:hAnsi="Times New Roman" w:cs="Times New Roman"/>
          <w:sz w:val="26"/>
          <w:szCs w:val="26"/>
        </w:rPr>
        <w:t>utilities</w:t>
      </w:r>
      <w:r w:rsidRPr="00EE5714">
        <w:rPr>
          <w:rFonts w:ascii="Times New Roman" w:hAnsi="Times New Roman" w:cs="Times New Roman"/>
          <w:sz w:val="26"/>
          <w:szCs w:val="26"/>
        </w:rPr>
        <w:t xml:space="preserve"> that reported debt as 30 days overdue.  NFG reports debt that is about 40 days old, meaning NFG is understating its debt relative to the other </w:t>
      </w:r>
      <w:r w:rsidR="00CB29F3" w:rsidRPr="00EE5714">
        <w:rPr>
          <w:rFonts w:ascii="Times New Roman" w:hAnsi="Times New Roman" w:cs="Times New Roman"/>
          <w:sz w:val="26"/>
          <w:szCs w:val="26"/>
        </w:rPr>
        <w:t>utilities</w:t>
      </w:r>
      <w:r w:rsidRPr="00EE5714">
        <w:rPr>
          <w:rFonts w:ascii="Times New Roman" w:hAnsi="Times New Roman" w:cs="Times New Roman"/>
          <w:sz w:val="26"/>
          <w:szCs w:val="26"/>
        </w:rPr>
        <w:t xml:space="preserve">.  </w:t>
      </w:r>
      <w:r w:rsidRPr="00EE5714">
        <w:rPr>
          <w:rFonts w:ascii="Times New Roman" w:hAnsi="Times New Roman" w:cs="Times New Roman"/>
          <w:i/>
          <w:iCs/>
          <w:sz w:val="26"/>
          <w:szCs w:val="26"/>
        </w:rPr>
        <w:t xml:space="preserve">See </w:t>
      </w:r>
      <w:r w:rsidR="005E7D29" w:rsidRPr="00EE5714">
        <w:rPr>
          <w:rFonts w:ascii="Times New Roman" w:hAnsi="Times New Roman" w:cs="Times New Roman"/>
          <w:iCs/>
          <w:sz w:val="26"/>
          <w:szCs w:val="26"/>
        </w:rPr>
        <w:t>Appendix 2 of the</w:t>
      </w:r>
      <w:r w:rsidRPr="00EE5714">
        <w:rPr>
          <w:rFonts w:ascii="Times New Roman" w:hAnsi="Times New Roman" w:cs="Times New Roman"/>
          <w:sz w:val="26"/>
          <w:szCs w:val="26"/>
        </w:rPr>
        <w:t xml:space="preserve"> </w:t>
      </w:r>
      <w:r w:rsidRPr="00EE5714">
        <w:rPr>
          <w:rFonts w:ascii="Times New Roman" w:hAnsi="Times New Roman" w:cs="Times New Roman"/>
          <w:i/>
          <w:iCs/>
          <w:sz w:val="26"/>
          <w:szCs w:val="26"/>
        </w:rPr>
        <w:t>2016 Report on Universal Service Programs and Collections Performance</w:t>
      </w:r>
      <w:r w:rsidRPr="00EE5714">
        <w:rPr>
          <w:rFonts w:ascii="Times New Roman" w:hAnsi="Times New Roman" w:cs="Times New Roman"/>
          <w:sz w:val="26"/>
          <w:szCs w:val="26"/>
        </w:rPr>
        <w:t xml:space="preserve"> </w:t>
      </w:r>
      <w:r w:rsidR="00E6734B" w:rsidRPr="00EE5714">
        <w:rPr>
          <w:rFonts w:ascii="Times New Roman" w:hAnsi="Times New Roman" w:cs="Times New Roman"/>
          <w:sz w:val="26"/>
          <w:szCs w:val="26"/>
        </w:rPr>
        <w:t xml:space="preserve">(USR) </w:t>
      </w:r>
      <w:r w:rsidRPr="00EE5714">
        <w:rPr>
          <w:rFonts w:ascii="Times New Roman" w:hAnsi="Times New Roman" w:cs="Times New Roman"/>
          <w:sz w:val="26"/>
          <w:szCs w:val="26"/>
        </w:rPr>
        <w:t xml:space="preserve">for </w:t>
      </w:r>
      <w:r w:rsidR="00CB29F3" w:rsidRPr="00EE5714">
        <w:rPr>
          <w:rFonts w:ascii="Times New Roman" w:hAnsi="Times New Roman" w:cs="Times New Roman"/>
          <w:sz w:val="26"/>
          <w:szCs w:val="26"/>
        </w:rPr>
        <w:t>utili</w:t>
      </w:r>
      <w:r w:rsidR="00864D02" w:rsidRPr="00EE5714">
        <w:rPr>
          <w:rFonts w:ascii="Times New Roman" w:hAnsi="Times New Roman" w:cs="Times New Roman"/>
          <w:sz w:val="26"/>
          <w:szCs w:val="26"/>
        </w:rPr>
        <w:t>ty-</w:t>
      </w:r>
      <w:r w:rsidRPr="00EE5714">
        <w:rPr>
          <w:rFonts w:ascii="Times New Roman" w:hAnsi="Times New Roman" w:cs="Times New Roman"/>
          <w:sz w:val="26"/>
          <w:szCs w:val="26"/>
        </w:rPr>
        <w:t>specific information.</w:t>
      </w:r>
      <w:r w:rsidRPr="00EE5714">
        <w:rPr>
          <w:rStyle w:val="FootnoteReference"/>
          <w:rFonts w:ascii="Times New Roman" w:hAnsi="Times New Roman" w:cs="Times New Roman"/>
          <w:sz w:val="26"/>
          <w:szCs w:val="26"/>
        </w:rPr>
        <w:footnoteReference w:id="62"/>
      </w:r>
    </w:p>
    <w:p w14:paraId="22F8F3C4" w14:textId="77777777" w:rsidR="00642A68" w:rsidRPr="00EE5714" w:rsidRDefault="00642A68" w:rsidP="00642A68">
      <w:pPr>
        <w:spacing w:after="0" w:line="240" w:lineRule="auto"/>
        <w:contextualSpacing/>
        <w:rPr>
          <w:rFonts w:ascii="Times New Roman" w:hAnsi="Times New Roman" w:cs="Times New Roman"/>
          <w:sz w:val="26"/>
          <w:szCs w:val="26"/>
        </w:rPr>
      </w:pPr>
    </w:p>
    <w:p w14:paraId="43AC6644" w14:textId="2A8FC2DE" w:rsidR="00642A68" w:rsidRPr="00EE5714" w:rsidRDefault="00642A68" w:rsidP="00642A68">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The second factor affecting the arrearage data uniformity is </w:t>
      </w:r>
      <w:r w:rsidR="00EC7408" w:rsidRPr="00EE5714">
        <w:rPr>
          <w:rFonts w:ascii="Times New Roman" w:hAnsi="Times New Roman" w:cs="Times New Roman"/>
          <w:sz w:val="26"/>
          <w:szCs w:val="26"/>
        </w:rPr>
        <w:t xml:space="preserve">the timing of </w:t>
      </w:r>
      <w:r w:rsidRPr="00EE5714">
        <w:rPr>
          <w:rFonts w:ascii="Times New Roman" w:hAnsi="Times New Roman" w:cs="Times New Roman"/>
          <w:sz w:val="26"/>
          <w:szCs w:val="26"/>
        </w:rPr>
        <w:t xml:space="preserve">when a </w:t>
      </w:r>
      <w:r w:rsidR="00864D02" w:rsidRPr="00EE5714">
        <w:rPr>
          <w:rFonts w:ascii="Times New Roman" w:hAnsi="Times New Roman" w:cs="Times New Roman"/>
          <w:sz w:val="26"/>
          <w:szCs w:val="26"/>
        </w:rPr>
        <w:t xml:space="preserve">utility </w:t>
      </w:r>
      <w:r w:rsidRPr="00EE5714">
        <w:rPr>
          <w:rFonts w:ascii="Times New Roman" w:hAnsi="Times New Roman" w:cs="Times New Roman"/>
          <w:sz w:val="26"/>
          <w:szCs w:val="26"/>
        </w:rPr>
        <w:t xml:space="preserve">moves a terminated or </w:t>
      </w:r>
      <w:r w:rsidR="006905ED" w:rsidRPr="00EE5714">
        <w:rPr>
          <w:rFonts w:ascii="Times New Roman" w:hAnsi="Times New Roman" w:cs="Times New Roman"/>
          <w:sz w:val="26"/>
          <w:szCs w:val="26"/>
        </w:rPr>
        <w:t>“</w:t>
      </w:r>
      <w:r w:rsidRPr="00EE5714">
        <w:rPr>
          <w:rFonts w:ascii="Times New Roman" w:hAnsi="Times New Roman" w:cs="Times New Roman"/>
          <w:sz w:val="26"/>
          <w:szCs w:val="26"/>
        </w:rPr>
        <w:t>discontinued</w:t>
      </w:r>
      <w:r w:rsidR="006905ED" w:rsidRPr="00EE5714">
        <w:rPr>
          <w:rFonts w:ascii="Times New Roman" w:hAnsi="Times New Roman" w:cs="Times New Roman"/>
          <w:sz w:val="26"/>
          <w:szCs w:val="26"/>
        </w:rPr>
        <w:t>”</w:t>
      </w:r>
      <w:r w:rsidRPr="00EE5714">
        <w:rPr>
          <w:rFonts w:ascii="Times New Roman" w:hAnsi="Times New Roman" w:cs="Times New Roman"/>
          <w:sz w:val="26"/>
          <w:szCs w:val="26"/>
        </w:rPr>
        <w:t xml:space="preserve"> account from active status (included in the USR reporting) to inactive status (excluded from the USR reporting). </w:t>
      </w:r>
      <w:r w:rsidR="00CD2431" w:rsidRPr="00EE5714">
        <w:rPr>
          <w:rFonts w:ascii="Times New Roman" w:hAnsi="Times New Roman" w:cs="Times New Roman"/>
          <w:sz w:val="26"/>
          <w:szCs w:val="26"/>
        </w:rPr>
        <w:t xml:space="preserve"> </w:t>
      </w:r>
      <w:r w:rsidR="001433B7" w:rsidRPr="00EE5714">
        <w:rPr>
          <w:rFonts w:ascii="Times New Roman" w:hAnsi="Times New Roman" w:cs="Times New Roman"/>
          <w:sz w:val="26"/>
          <w:szCs w:val="26"/>
        </w:rPr>
        <w:t>Utility</w:t>
      </w:r>
      <w:r w:rsidRPr="00EE5714">
        <w:rPr>
          <w:rFonts w:ascii="Times New Roman" w:hAnsi="Times New Roman" w:cs="Times New Roman"/>
          <w:sz w:val="26"/>
          <w:szCs w:val="26"/>
        </w:rPr>
        <w:t xml:space="preserve"> collection policies and accounting practices affect</w:t>
      </w:r>
      <w:r w:rsidR="00AC4A40" w:rsidRPr="00EE5714">
        <w:rPr>
          <w:rFonts w:ascii="Times New Roman" w:hAnsi="Times New Roman" w:cs="Times New Roman"/>
          <w:sz w:val="26"/>
          <w:szCs w:val="26"/>
        </w:rPr>
        <w:t>ed</w:t>
      </w:r>
      <w:r w:rsidRPr="00EE5714">
        <w:rPr>
          <w:rFonts w:ascii="Times New Roman" w:hAnsi="Times New Roman" w:cs="Times New Roman"/>
          <w:sz w:val="26"/>
          <w:szCs w:val="26"/>
        </w:rPr>
        <w:t xml:space="preserve"> the timing.  </w:t>
      </w:r>
      <w:r w:rsidRPr="00EE5714">
        <w:rPr>
          <w:rFonts w:ascii="Times New Roman" w:hAnsi="Times New Roman" w:cs="Times New Roman"/>
          <w:i/>
          <w:iCs/>
          <w:sz w:val="26"/>
          <w:szCs w:val="26"/>
        </w:rPr>
        <w:t>See</w:t>
      </w:r>
      <w:r w:rsidRPr="00EE5714">
        <w:rPr>
          <w:rFonts w:ascii="Times New Roman" w:hAnsi="Times New Roman" w:cs="Times New Roman"/>
          <w:i/>
          <w:sz w:val="26"/>
          <w:szCs w:val="26"/>
        </w:rPr>
        <w:t xml:space="preserve"> </w:t>
      </w:r>
      <w:r w:rsidRPr="00EE5714">
        <w:rPr>
          <w:rFonts w:ascii="Times New Roman" w:hAnsi="Times New Roman" w:cs="Times New Roman"/>
          <w:sz w:val="26"/>
          <w:szCs w:val="26"/>
        </w:rPr>
        <w:t xml:space="preserve">Appendix 2 </w:t>
      </w:r>
      <w:r w:rsidR="00FA20B0" w:rsidRPr="00EE5714">
        <w:rPr>
          <w:rFonts w:ascii="Times New Roman" w:hAnsi="Times New Roman" w:cs="Times New Roman"/>
          <w:iCs/>
          <w:sz w:val="26"/>
          <w:szCs w:val="26"/>
        </w:rPr>
        <w:t xml:space="preserve">of the </w:t>
      </w:r>
      <w:r w:rsidRPr="00EE5714">
        <w:rPr>
          <w:rFonts w:ascii="Times New Roman" w:hAnsi="Times New Roman" w:cs="Times New Roman"/>
          <w:i/>
          <w:iCs/>
          <w:sz w:val="26"/>
          <w:szCs w:val="26"/>
        </w:rPr>
        <w:t xml:space="preserve">2016 </w:t>
      </w:r>
      <w:r w:rsidR="00E30F80" w:rsidRPr="00EE5714">
        <w:rPr>
          <w:rFonts w:ascii="Times New Roman" w:hAnsi="Times New Roman" w:cs="Times New Roman"/>
          <w:iCs/>
          <w:sz w:val="26"/>
          <w:szCs w:val="26"/>
        </w:rPr>
        <w:t>USR</w:t>
      </w:r>
      <w:r w:rsidR="00E30F80" w:rsidRPr="00EE5714">
        <w:rPr>
          <w:rFonts w:ascii="Times New Roman" w:hAnsi="Times New Roman" w:cs="Times New Roman"/>
          <w:i/>
          <w:iCs/>
          <w:sz w:val="26"/>
          <w:szCs w:val="26"/>
        </w:rPr>
        <w:t xml:space="preserve"> </w:t>
      </w:r>
      <w:r w:rsidRPr="00EE5714">
        <w:rPr>
          <w:rFonts w:ascii="Times New Roman" w:hAnsi="Times New Roman" w:cs="Times New Roman"/>
          <w:sz w:val="26"/>
          <w:szCs w:val="26"/>
        </w:rPr>
        <w:t>for company specific information.</w:t>
      </w:r>
    </w:p>
    <w:p w14:paraId="47DC2428" w14:textId="77777777" w:rsidR="00642A68" w:rsidRPr="00EE5714" w:rsidRDefault="00642A68" w:rsidP="00642A68">
      <w:pPr>
        <w:spacing w:after="0" w:line="240" w:lineRule="auto"/>
        <w:contextualSpacing/>
        <w:rPr>
          <w:rFonts w:ascii="Times New Roman" w:hAnsi="Times New Roman" w:cs="Times New Roman"/>
          <w:sz w:val="26"/>
          <w:szCs w:val="26"/>
        </w:rPr>
      </w:pPr>
    </w:p>
    <w:p w14:paraId="6363EA1F" w14:textId="77777777" w:rsidR="00642A68" w:rsidRPr="00EE5714" w:rsidRDefault="00642A68" w:rsidP="00951EA6">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Analysis</w:t>
      </w:r>
    </w:p>
    <w:p w14:paraId="0B198E11" w14:textId="77777777" w:rsidR="00642A68" w:rsidRPr="00EE5714" w:rsidRDefault="00642A68" w:rsidP="00F84A57">
      <w:pPr>
        <w:keepNext/>
        <w:spacing w:after="0" w:line="240" w:lineRule="auto"/>
        <w:contextualSpacing/>
        <w:rPr>
          <w:rFonts w:ascii="Times New Roman" w:hAnsi="Times New Roman" w:cs="Times New Roman"/>
          <w:sz w:val="26"/>
          <w:szCs w:val="26"/>
        </w:rPr>
      </w:pPr>
    </w:p>
    <w:p w14:paraId="6E6BDDBE" w14:textId="77777777" w:rsidR="00642A68" w:rsidRPr="00EE5714" w:rsidRDefault="00863EFE" w:rsidP="00951EA6">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t xml:space="preserve">Non-CAP </w:t>
      </w:r>
      <w:r w:rsidR="00642A68" w:rsidRPr="00EE5714">
        <w:rPr>
          <w:rFonts w:ascii="Times New Roman" w:hAnsi="Times New Roman" w:cs="Times New Roman"/>
          <w:i/>
          <w:iCs/>
          <w:sz w:val="26"/>
          <w:szCs w:val="26"/>
        </w:rPr>
        <w:t xml:space="preserve">Residential Debt </w:t>
      </w:r>
      <w:r w:rsidR="00E30F80" w:rsidRPr="00EE5714">
        <w:rPr>
          <w:rFonts w:ascii="Times New Roman" w:hAnsi="Times New Roman" w:cs="Times New Roman"/>
          <w:i/>
          <w:iCs/>
          <w:sz w:val="26"/>
          <w:szCs w:val="26"/>
        </w:rPr>
        <w:t>o</w:t>
      </w:r>
      <w:r w:rsidR="00642A68" w:rsidRPr="00EE5714">
        <w:rPr>
          <w:rFonts w:ascii="Times New Roman" w:hAnsi="Times New Roman" w:cs="Times New Roman"/>
          <w:i/>
          <w:iCs/>
          <w:sz w:val="26"/>
          <w:szCs w:val="26"/>
        </w:rPr>
        <w:t>n Agreement</w:t>
      </w:r>
    </w:p>
    <w:p w14:paraId="3B26AB60" w14:textId="77777777" w:rsidR="00642A68" w:rsidRPr="00EE5714" w:rsidRDefault="00642A68" w:rsidP="00F84A57">
      <w:pPr>
        <w:keepNext/>
        <w:spacing w:after="0" w:line="240" w:lineRule="auto"/>
        <w:contextualSpacing/>
        <w:rPr>
          <w:rFonts w:ascii="Times New Roman" w:hAnsi="Times New Roman" w:cs="Times New Roman"/>
          <w:sz w:val="26"/>
          <w:szCs w:val="26"/>
        </w:rPr>
      </w:pPr>
    </w:p>
    <w:p w14:paraId="55894456" w14:textId="77777777" w:rsidR="003F0919" w:rsidRPr="00EE5714" w:rsidRDefault="003F0919" w:rsidP="003F0919">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8-1</w:t>
      </w:r>
    </w:p>
    <w:p w14:paraId="0E0F7581" w14:textId="77777777" w:rsidR="003F0919" w:rsidRPr="00EE5714" w:rsidRDefault="003F0919" w:rsidP="003F0919">
      <w:pPr>
        <w:keepNext/>
        <w:spacing w:after="0" w:line="240" w:lineRule="auto"/>
        <w:contextualSpacing/>
        <w:jc w:val="center"/>
        <w:rPr>
          <w:rFonts w:ascii="Times New Roman" w:hAnsi="Times New Roman" w:cs="Times New Roman"/>
          <w:sz w:val="26"/>
          <w:szCs w:val="26"/>
        </w:rPr>
      </w:pPr>
      <w:r w:rsidRPr="00EE5714">
        <w:rPr>
          <w:rFonts w:ascii="Times New Roman" w:hAnsi="Times New Roman" w:cs="Times New Roman"/>
          <w:b/>
          <w:bCs/>
          <w:sz w:val="26"/>
          <w:szCs w:val="26"/>
        </w:rPr>
        <w:t>NGDC Residential Customers, Debt on Agreement as % of Revenues</w:t>
      </w:r>
      <w:r w:rsidR="001433B7" w:rsidRPr="00EE5714">
        <w:rPr>
          <w:rFonts w:ascii="Times New Roman" w:hAnsi="Times New Roman" w:cs="Times New Roman"/>
          <w:b/>
          <w:bCs/>
          <w:sz w:val="26"/>
          <w:szCs w:val="26"/>
        </w:rPr>
        <w:t>,</w:t>
      </w:r>
      <w:r w:rsidRPr="00EE5714">
        <w:rPr>
          <w:rFonts w:ascii="Times New Roman" w:hAnsi="Times New Roman" w:cs="Times New Roman"/>
          <w:b/>
          <w:bCs/>
          <w:sz w:val="26"/>
          <w:szCs w:val="26"/>
        </w:rPr>
        <w:t xml:space="preserve"> 2012-2016</w:t>
      </w:r>
    </w:p>
    <w:p w14:paraId="021B9CAD" w14:textId="77777777" w:rsidR="003F0919" w:rsidRPr="00EE5714" w:rsidRDefault="003F0919" w:rsidP="00686016">
      <w:pPr>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1366AE9C" wp14:editId="65455071">
            <wp:extent cx="5943600" cy="3994785"/>
            <wp:effectExtent l="0" t="0" r="0" b="5715"/>
            <wp:docPr id="726562216" name="Chart 726562216">
              <a:extLst xmlns:a="http://schemas.openxmlformats.org/drawingml/2006/main">
                <a:ext uri="{FF2B5EF4-FFF2-40B4-BE49-F238E27FC236}">
                  <a16:creationId xmlns:a16="http://schemas.microsoft.com/office/drawing/2014/main" id="{5F1DAE36-0B7B-4456-AF0C-2D639763A4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8563EE8" w14:textId="77777777" w:rsidR="003F0919" w:rsidRPr="00EE5714" w:rsidRDefault="003F0919" w:rsidP="003F0919">
      <w:pPr>
        <w:spacing w:after="0" w:line="240" w:lineRule="auto"/>
        <w:contextualSpacing/>
        <w:rPr>
          <w:rFonts w:ascii="Times New Roman" w:hAnsi="Times New Roman" w:cs="Times New Roman"/>
          <w:sz w:val="26"/>
          <w:szCs w:val="26"/>
        </w:rPr>
      </w:pPr>
    </w:p>
    <w:p w14:paraId="1FB854FA" w14:textId="77777777" w:rsidR="003F0919" w:rsidRPr="00EE5714" w:rsidRDefault="003F0919" w:rsidP="003F0919">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8-2</w:t>
      </w:r>
    </w:p>
    <w:p w14:paraId="7DA0CD9D" w14:textId="77777777" w:rsidR="003F0919" w:rsidRPr="00EE5714" w:rsidRDefault="003F0919" w:rsidP="003F0919">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EDC Residential Customers, Debt on Agreement as % of Revenues</w:t>
      </w:r>
      <w:r w:rsidR="001433B7" w:rsidRPr="00EE5714">
        <w:rPr>
          <w:rFonts w:ascii="Times New Roman" w:hAnsi="Times New Roman" w:cs="Times New Roman"/>
          <w:b/>
          <w:bCs/>
          <w:sz w:val="26"/>
          <w:szCs w:val="26"/>
        </w:rPr>
        <w:t>,</w:t>
      </w:r>
      <w:r w:rsidRPr="00EE5714">
        <w:rPr>
          <w:rFonts w:ascii="Times New Roman" w:hAnsi="Times New Roman" w:cs="Times New Roman"/>
          <w:b/>
          <w:bCs/>
          <w:sz w:val="26"/>
          <w:szCs w:val="26"/>
        </w:rPr>
        <w:t xml:space="preserve"> 2012-2016</w:t>
      </w:r>
    </w:p>
    <w:p w14:paraId="1CFCF53A" w14:textId="77777777" w:rsidR="003F0919" w:rsidRPr="00EE5714" w:rsidRDefault="003F0919" w:rsidP="00686016">
      <w:pPr>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2F2BDA9D" wp14:editId="406E9187">
            <wp:extent cx="5943600" cy="3994785"/>
            <wp:effectExtent l="0" t="0" r="0" b="5715"/>
            <wp:docPr id="726562218" name="Chart 726562218">
              <a:extLst xmlns:a="http://schemas.openxmlformats.org/drawingml/2006/main">
                <a:ext uri="{FF2B5EF4-FFF2-40B4-BE49-F238E27FC236}">
                  <a16:creationId xmlns:a16="http://schemas.microsoft.com/office/drawing/2014/main" id="{C5DE1485-0C6C-4664-A7D2-84F0875BC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F5868D8" w14:textId="77777777" w:rsidR="003F0919" w:rsidRPr="00EE5714" w:rsidRDefault="003F0919" w:rsidP="003F0919">
      <w:pPr>
        <w:spacing w:after="0" w:line="240" w:lineRule="auto"/>
        <w:contextualSpacing/>
        <w:rPr>
          <w:rFonts w:ascii="Times New Roman" w:hAnsi="Times New Roman" w:cs="Times New Roman"/>
          <w:i/>
          <w:sz w:val="26"/>
          <w:szCs w:val="26"/>
        </w:rPr>
      </w:pPr>
    </w:p>
    <w:p w14:paraId="6DBAF7D7" w14:textId="77777777" w:rsidR="00642A68" w:rsidRPr="00EE5714" w:rsidRDefault="00951313" w:rsidP="00642A68">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642A68" w:rsidRPr="00EE5714">
        <w:rPr>
          <w:rFonts w:ascii="Times New Roman" w:hAnsi="Times New Roman" w:cs="Times New Roman"/>
          <w:sz w:val="26"/>
          <w:szCs w:val="26"/>
        </w:rPr>
        <w:t xml:space="preserve">As seen in Tables </w:t>
      </w:r>
      <w:r w:rsidR="003511EC" w:rsidRPr="00EE5714">
        <w:rPr>
          <w:rFonts w:ascii="Times New Roman" w:hAnsi="Times New Roman" w:cs="Times New Roman"/>
          <w:sz w:val="26"/>
          <w:szCs w:val="26"/>
        </w:rPr>
        <w:t>8-1</w:t>
      </w:r>
      <w:r w:rsidR="00642A68" w:rsidRPr="00EE5714">
        <w:rPr>
          <w:rFonts w:ascii="Times New Roman" w:hAnsi="Times New Roman" w:cs="Times New Roman"/>
          <w:sz w:val="26"/>
          <w:szCs w:val="26"/>
        </w:rPr>
        <w:t xml:space="preserve"> and </w:t>
      </w:r>
      <w:r w:rsidR="003511EC" w:rsidRPr="00EE5714">
        <w:rPr>
          <w:rFonts w:ascii="Times New Roman" w:hAnsi="Times New Roman" w:cs="Times New Roman"/>
          <w:sz w:val="26"/>
          <w:szCs w:val="26"/>
        </w:rPr>
        <w:t>8-2</w:t>
      </w:r>
      <w:r w:rsidR="00642A68" w:rsidRPr="00EE5714">
        <w:rPr>
          <w:rFonts w:ascii="Times New Roman" w:hAnsi="Times New Roman" w:cs="Times New Roman"/>
          <w:sz w:val="26"/>
          <w:szCs w:val="26"/>
        </w:rPr>
        <w:t xml:space="preserve">, most NGDCs reported their </w:t>
      </w:r>
      <w:r w:rsidR="00863EFE" w:rsidRPr="00EE5714">
        <w:rPr>
          <w:rFonts w:ascii="Times New Roman" w:hAnsi="Times New Roman" w:cs="Times New Roman"/>
          <w:sz w:val="26"/>
          <w:szCs w:val="26"/>
        </w:rPr>
        <w:t xml:space="preserve">non-CAP </w:t>
      </w:r>
      <w:r w:rsidR="00642A68" w:rsidRPr="00EE5714">
        <w:rPr>
          <w:rFonts w:ascii="Times New Roman" w:hAnsi="Times New Roman" w:cs="Times New Roman"/>
          <w:sz w:val="26"/>
          <w:szCs w:val="26"/>
        </w:rPr>
        <w:t>residential debt on agreement comprised less than 2% of revenues</w:t>
      </w:r>
      <w:r w:rsidR="00893FE9" w:rsidRPr="00EE5714">
        <w:rPr>
          <w:rFonts w:ascii="Times New Roman" w:hAnsi="Times New Roman" w:cs="Times New Roman"/>
          <w:sz w:val="26"/>
          <w:szCs w:val="26"/>
        </w:rPr>
        <w:t>.</w:t>
      </w:r>
      <w:r w:rsidR="00642A68" w:rsidRPr="00EE5714">
        <w:rPr>
          <w:rFonts w:ascii="Times New Roman" w:hAnsi="Times New Roman" w:cs="Times New Roman"/>
          <w:sz w:val="26"/>
          <w:szCs w:val="26"/>
        </w:rPr>
        <w:t xml:space="preserve">  Columbia and PGW</w:t>
      </w:r>
      <w:r w:rsidR="00893FE9" w:rsidRPr="00EE5714">
        <w:rPr>
          <w:rFonts w:ascii="Times New Roman" w:hAnsi="Times New Roman" w:cs="Times New Roman"/>
          <w:sz w:val="26"/>
          <w:szCs w:val="26"/>
        </w:rPr>
        <w:t>’s</w:t>
      </w:r>
      <w:r w:rsidR="00642A68" w:rsidRPr="00EE5714">
        <w:rPr>
          <w:rFonts w:ascii="Times New Roman" w:hAnsi="Times New Roman" w:cs="Times New Roman"/>
          <w:sz w:val="26"/>
          <w:szCs w:val="26"/>
        </w:rPr>
        <w:t xml:space="preserve"> </w:t>
      </w:r>
      <w:r w:rsidR="00863EFE" w:rsidRPr="00EE5714">
        <w:rPr>
          <w:rFonts w:ascii="Times New Roman" w:hAnsi="Times New Roman" w:cs="Times New Roman"/>
          <w:sz w:val="26"/>
          <w:szCs w:val="26"/>
        </w:rPr>
        <w:t xml:space="preserve">non-CAP </w:t>
      </w:r>
      <w:r w:rsidR="00642A68" w:rsidRPr="00EE5714">
        <w:rPr>
          <w:rFonts w:ascii="Times New Roman" w:hAnsi="Times New Roman" w:cs="Times New Roman"/>
          <w:sz w:val="26"/>
          <w:szCs w:val="26"/>
        </w:rPr>
        <w:t xml:space="preserve">residential debt on agreement comprised 2% to 3% of their revenues.  </w:t>
      </w:r>
      <w:r w:rsidR="00863EFE" w:rsidRPr="00EE5714">
        <w:rPr>
          <w:rFonts w:ascii="Times New Roman" w:hAnsi="Times New Roman" w:cs="Times New Roman"/>
          <w:sz w:val="26"/>
          <w:szCs w:val="26"/>
        </w:rPr>
        <w:t>Non-CAP r</w:t>
      </w:r>
      <w:r w:rsidR="00642A68" w:rsidRPr="00EE5714">
        <w:rPr>
          <w:rFonts w:ascii="Times New Roman" w:hAnsi="Times New Roman" w:cs="Times New Roman"/>
          <w:sz w:val="26"/>
          <w:szCs w:val="26"/>
        </w:rPr>
        <w:t xml:space="preserve">esidential customer debt on agreement </w:t>
      </w:r>
      <w:r w:rsidR="004B71E4" w:rsidRPr="00EE5714">
        <w:rPr>
          <w:rFonts w:ascii="Times New Roman" w:hAnsi="Times New Roman" w:cs="Times New Roman"/>
          <w:sz w:val="26"/>
          <w:szCs w:val="26"/>
        </w:rPr>
        <w:t xml:space="preserve">overall </w:t>
      </w:r>
      <w:r w:rsidR="00642A68" w:rsidRPr="00EE5714">
        <w:rPr>
          <w:rFonts w:ascii="Times New Roman" w:hAnsi="Times New Roman" w:cs="Times New Roman"/>
          <w:sz w:val="26"/>
          <w:szCs w:val="26"/>
        </w:rPr>
        <w:t xml:space="preserve">for EDCs </w:t>
      </w:r>
      <w:r w:rsidR="006E2B51" w:rsidRPr="00EE5714">
        <w:rPr>
          <w:rFonts w:ascii="Times New Roman" w:hAnsi="Times New Roman" w:cs="Times New Roman"/>
          <w:sz w:val="26"/>
          <w:szCs w:val="26"/>
        </w:rPr>
        <w:t xml:space="preserve">was less </w:t>
      </w:r>
      <w:r w:rsidR="00642A68" w:rsidRPr="00EE5714">
        <w:rPr>
          <w:rFonts w:ascii="Times New Roman" w:hAnsi="Times New Roman" w:cs="Times New Roman"/>
          <w:sz w:val="26"/>
          <w:szCs w:val="26"/>
        </w:rPr>
        <w:t>than 3%</w:t>
      </w:r>
      <w:r w:rsidR="000D46C6" w:rsidRPr="00EE5714">
        <w:rPr>
          <w:rFonts w:ascii="Times New Roman" w:hAnsi="Times New Roman" w:cs="Times New Roman"/>
          <w:sz w:val="26"/>
          <w:szCs w:val="26"/>
        </w:rPr>
        <w:t xml:space="preserve"> </w:t>
      </w:r>
      <w:r w:rsidR="00642A68" w:rsidRPr="00EE5714">
        <w:rPr>
          <w:rFonts w:ascii="Times New Roman" w:hAnsi="Times New Roman" w:cs="Times New Roman"/>
          <w:sz w:val="26"/>
          <w:szCs w:val="26"/>
        </w:rPr>
        <w:t xml:space="preserve">of residential revenues.  Peoples, Peoples Equitable, UGI Gas, and UGI PNG reported decreases in </w:t>
      </w:r>
      <w:r w:rsidR="00863EFE" w:rsidRPr="00EE5714">
        <w:rPr>
          <w:rFonts w:ascii="Times New Roman" w:hAnsi="Times New Roman" w:cs="Times New Roman"/>
          <w:sz w:val="26"/>
          <w:szCs w:val="26"/>
        </w:rPr>
        <w:t xml:space="preserve">non-CAP </w:t>
      </w:r>
      <w:r w:rsidR="00642A68" w:rsidRPr="00EE5714">
        <w:rPr>
          <w:rFonts w:ascii="Times New Roman" w:hAnsi="Times New Roman" w:cs="Times New Roman"/>
          <w:sz w:val="26"/>
          <w:szCs w:val="26"/>
        </w:rPr>
        <w:t>residential customer debt on agreement in 2016.</w:t>
      </w:r>
    </w:p>
    <w:p w14:paraId="38C2D6FC" w14:textId="77777777" w:rsidR="00642A68" w:rsidRPr="00EE5714" w:rsidRDefault="00642A68" w:rsidP="00642A68">
      <w:pPr>
        <w:spacing w:after="0" w:line="240" w:lineRule="auto"/>
        <w:contextualSpacing/>
        <w:rPr>
          <w:rFonts w:ascii="Times New Roman" w:hAnsi="Times New Roman" w:cs="Times New Roman"/>
          <w:sz w:val="26"/>
          <w:szCs w:val="26"/>
        </w:rPr>
      </w:pPr>
    </w:p>
    <w:p w14:paraId="25BE6055" w14:textId="77777777" w:rsidR="00642A68" w:rsidRPr="00EE5714" w:rsidRDefault="00642A68" w:rsidP="00DF23F2">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lastRenderedPageBreak/>
        <w:t xml:space="preserve">Residential Debt Not </w:t>
      </w:r>
      <w:proofErr w:type="gramStart"/>
      <w:r w:rsidRPr="00EE5714">
        <w:rPr>
          <w:rFonts w:ascii="Times New Roman" w:hAnsi="Times New Roman" w:cs="Times New Roman"/>
          <w:i/>
          <w:iCs/>
          <w:sz w:val="26"/>
          <w:szCs w:val="26"/>
        </w:rPr>
        <w:t>On</w:t>
      </w:r>
      <w:proofErr w:type="gramEnd"/>
      <w:r w:rsidRPr="00EE5714">
        <w:rPr>
          <w:rFonts w:ascii="Times New Roman" w:hAnsi="Times New Roman" w:cs="Times New Roman"/>
          <w:i/>
          <w:iCs/>
          <w:sz w:val="26"/>
          <w:szCs w:val="26"/>
        </w:rPr>
        <w:t xml:space="preserve"> Agreement</w:t>
      </w:r>
    </w:p>
    <w:p w14:paraId="13826E1B" w14:textId="77777777" w:rsidR="00C56754" w:rsidRPr="00EE5714" w:rsidRDefault="00C56754" w:rsidP="00DF23F2">
      <w:pPr>
        <w:keepNext/>
        <w:spacing w:after="0" w:line="240" w:lineRule="auto"/>
        <w:contextualSpacing/>
        <w:rPr>
          <w:rFonts w:ascii="Times New Roman" w:hAnsi="Times New Roman" w:cs="Times New Roman"/>
          <w:i/>
          <w:iCs/>
          <w:sz w:val="26"/>
          <w:szCs w:val="26"/>
        </w:rPr>
      </w:pPr>
    </w:p>
    <w:p w14:paraId="0DC6B164" w14:textId="77777777" w:rsidR="00C56754" w:rsidRPr="00EE5714" w:rsidRDefault="00C56754" w:rsidP="00C56754">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8-3</w:t>
      </w:r>
    </w:p>
    <w:p w14:paraId="1A9009EB" w14:textId="77777777" w:rsidR="00C56754" w:rsidRPr="00EE5714" w:rsidRDefault="00C56754" w:rsidP="00C56754">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NGDC Residential Customers, Debt not on Agreement as % of Revenues</w:t>
      </w:r>
      <w:r w:rsidR="00B47B83" w:rsidRPr="00EE5714">
        <w:rPr>
          <w:rFonts w:ascii="Times New Roman" w:hAnsi="Times New Roman" w:cs="Times New Roman"/>
          <w:b/>
          <w:bCs/>
          <w:sz w:val="26"/>
          <w:szCs w:val="26"/>
        </w:rPr>
        <w:t>,</w:t>
      </w:r>
      <w:r w:rsidRPr="00EE5714">
        <w:rPr>
          <w:rFonts w:ascii="Times New Roman" w:hAnsi="Times New Roman" w:cs="Times New Roman"/>
          <w:b/>
          <w:bCs/>
          <w:sz w:val="26"/>
          <w:szCs w:val="26"/>
        </w:rPr>
        <w:t xml:space="preserve"> 2012-2016</w:t>
      </w:r>
    </w:p>
    <w:p w14:paraId="22D945E1" w14:textId="77777777" w:rsidR="00C56754" w:rsidRPr="00EE5714" w:rsidRDefault="00C56754" w:rsidP="00686016">
      <w:pPr>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6CD1AF5F" wp14:editId="4341CCB8">
            <wp:extent cx="5943600" cy="3994785"/>
            <wp:effectExtent l="0" t="0" r="0" b="5715"/>
            <wp:docPr id="726562219" name="Chart 726562219">
              <a:extLst xmlns:a="http://schemas.openxmlformats.org/drawingml/2006/main">
                <a:ext uri="{FF2B5EF4-FFF2-40B4-BE49-F238E27FC236}">
                  <a16:creationId xmlns:a16="http://schemas.microsoft.com/office/drawing/2014/main" id="{B8A3AAA1-6EEB-468F-B033-CD4D17863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45A837C" w14:textId="77777777" w:rsidR="00642A68" w:rsidRPr="00EE5714" w:rsidRDefault="00642A68" w:rsidP="003B6B7D">
      <w:pPr>
        <w:keepNext/>
        <w:spacing w:after="0" w:line="240" w:lineRule="auto"/>
        <w:contextualSpacing/>
        <w:rPr>
          <w:rFonts w:ascii="Times New Roman" w:hAnsi="Times New Roman" w:cs="Times New Roman"/>
          <w:sz w:val="26"/>
          <w:szCs w:val="26"/>
        </w:rPr>
      </w:pPr>
    </w:p>
    <w:p w14:paraId="1F72EF1C" w14:textId="77777777" w:rsidR="00642A68" w:rsidRPr="00EE5714" w:rsidRDefault="00951313" w:rsidP="00642A68">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642A68" w:rsidRPr="00EE5714">
        <w:rPr>
          <w:rFonts w:ascii="Times New Roman" w:hAnsi="Times New Roman" w:cs="Times New Roman"/>
          <w:sz w:val="26"/>
          <w:szCs w:val="26"/>
        </w:rPr>
        <w:t xml:space="preserve">As seen in Table </w:t>
      </w:r>
      <w:r w:rsidR="003511EC" w:rsidRPr="00EE5714">
        <w:rPr>
          <w:rFonts w:ascii="Times New Roman" w:hAnsi="Times New Roman" w:cs="Times New Roman"/>
          <w:sz w:val="26"/>
          <w:szCs w:val="26"/>
        </w:rPr>
        <w:t>8-3</w:t>
      </w:r>
      <w:r w:rsidR="00642A68" w:rsidRPr="00EE5714">
        <w:rPr>
          <w:rFonts w:ascii="Times New Roman" w:hAnsi="Times New Roman" w:cs="Times New Roman"/>
          <w:sz w:val="26"/>
          <w:szCs w:val="26"/>
        </w:rPr>
        <w:t>, half of NGDCs reported residential customer debt not on agreements comprised approximately 1% to 2% of their revenues</w:t>
      </w:r>
      <w:r w:rsidR="00E05EDC" w:rsidRPr="00EE5714">
        <w:rPr>
          <w:rFonts w:ascii="Times New Roman" w:hAnsi="Times New Roman" w:cs="Times New Roman"/>
          <w:sz w:val="26"/>
          <w:szCs w:val="26"/>
        </w:rPr>
        <w:t>.</w:t>
      </w:r>
      <w:r w:rsidR="00642A68" w:rsidRPr="00EE5714">
        <w:rPr>
          <w:rFonts w:ascii="Times New Roman" w:hAnsi="Times New Roman" w:cs="Times New Roman"/>
          <w:sz w:val="26"/>
          <w:szCs w:val="26"/>
        </w:rPr>
        <w:t xml:space="preserve">  PECO Gas, UGI </w:t>
      </w:r>
      <w:r w:rsidR="00545984" w:rsidRPr="00EE5714">
        <w:rPr>
          <w:rFonts w:ascii="Times New Roman" w:hAnsi="Times New Roman" w:cs="Times New Roman"/>
          <w:sz w:val="26"/>
          <w:szCs w:val="26"/>
        </w:rPr>
        <w:t>G</w:t>
      </w:r>
      <w:r w:rsidR="00642A68" w:rsidRPr="00EE5714">
        <w:rPr>
          <w:rFonts w:ascii="Times New Roman" w:hAnsi="Times New Roman" w:cs="Times New Roman"/>
          <w:sz w:val="26"/>
          <w:szCs w:val="26"/>
        </w:rPr>
        <w:t>as, and UGI PNG averaged 2% to 3%</w:t>
      </w:r>
      <w:r w:rsidR="00B47B83" w:rsidRPr="00EE5714">
        <w:rPr>
          <w:rFonts w:ascii="Times New Roman" w:hAnsi="Times New Roman" w:cs="Times New Roman"/>
          <w:sz w:val="26"/>
          <w:szCs w:val="26"/>
        </w:rPr>
        <w:t>,</w:t>
      </w:r>
      <w:r w:rsidR="00642A68" w:rsidRPr="00EE5714">
        <w:rPr>
          <w:rFonts w:ascii="Times New Roman" w:hAnsi="Times New Roman" w:cs="Times New Roman"/>
          <w:sz w:val="26"/>
          <w:szCs w:val="26"/>
        </w:rPr>
        <w:t xml:space="preserve"> and PGW averaged 6%</w:t>
      </w:r>
      <w:r w:rsidR="004844FA" w:rsidRPr="00EE5714">
        <w:rPr>
          <w:rFonts w:ascii="Times New Roman" w:hAnsi="Times New Roman" w:cs="Times New Roman"/>
          <w:sz w:val="26"/>
          <w:szCs w:val="26"/>
        </w:rPr>
        <w:t> </w:t>
      </w:r>
      <w:r w:rsidR="00642A68" w:rsidRPr="00EE5714">
        <w:rPr>
          <w:rFonts w:ascii="Times New Roman" w:hAnsi="Times New Roman" w:cs="Times New Roman"/>
          <w:sz w:val="26"/>
          <w:szCs w:val="26"/>
        </w:rPr>
        <w:t>to</w:t>
      </w:r>
      <w:r w:rsidR="004844FA" w:rsidRPr="00EE5714">
        <w:rPr>
          <w:rFonts w:ascii="Times New Roman" w:hAnsi="Times New Roman" w:cs="Times New Roman"/>
          <w:sz w:val="26"/>
          <w:szCs w:val="26"/>
        </w:rPr>
        <w:t> </w:t>
      </w:r>
      <w:r w:rsidR="00642A68" w:rsidRPr="00EE5714">
        <w:rPr>
          <w:rFonts w:ascii="Times New Roman" w:hAnsi="Times New Roman" w:cs="Times New Roman"/>
          <w:sz w:val="26"/>
          <w:szCs w:val="26"/>
        </w:rPr>
        <w:t xml:space="preserve">7% for this five-year period.  </w:t>
      </w:r>
    </w:p>
    <w:p w14:paraId="174BCE74" w14:textId="77777777" w:rsidR="00BE1630" w:rsidRPr="00EE5714" w:rsidRDefault="00BE1630" w:rsidP="00BE1630">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8-4</w:t>
      </w:r>
    </w:p>
    <w:p w14:paraId="523C0458" w14:textId="77777777" w:rsidR="00BE1630" w:rsidRPr="00EE5714" w:rsidRDefault="00BE1630" w:rsidP="00BE1630">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EDC Residential Customers, Debt not on Agreement as % of Revenues</w:t>
      </w:r>
      <w:r w:rsidR="00036A07" w:rsidRPr="00EE5714">
        <w:rPr>
          <w:rFonts w:ascii="Times New Roman" w:hAnsi="Times New Roman" w:cs="Times New Roman"/>
          <w:b/>
          <w:bCs/>
          <w:sz w:val="26"/>
          <w:szCs w:val="26"/>
        </w:rPr>
        <w:t>,</w:t>
      </w:r>
      <w:r w:rsidRPr="00EE5714">
        <w:rPr>
          <w:rFonts w:ascii="Times New Roman" w:hAnsi="Times New Roman" w:cs="Times New Roman"/>
          <w:b/>
          <w:bCs/>
          <w:sz w:val="26"/>
          <w:szCs w:val="26"/>
        </w:rPr>
        <w:t xml:space="preserve"> 2012-2016</w:t>
      </w:r>
    </w:p>
    <w:p w14:paraId="637F7364" w14:textId="77777777" w:rsidR="00BE1630" w:rsidRPr="00EE5714" w:rsidRDefault="00BE1630" w:rsidP="00686016">
      <w:pPr>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4E577666" wp14:editId="0C6612CE">
            <wp:extent cx="5943600" cy="3994785"/>
            <wp:effectExtent l="0" t="0" r="0" b="5715"/>
            <wp:docPr id="726562220" name="Chart 726562220">
              <a:extLst xmlns:a="http://schemas.openxmlformats.org/drawingml/2006/main">
                <a:ext uri="{FF2B5EF4-FFF2-40B4-BE49-F238E27FC236}">
                  <a16:creationId xmlns:a16="http://schemas.microsoft.com/office/drawing/2014/main" id="{8073A7C5-0245-4121-948A-EE1CFCF38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B7AB1D9" w14:textId="77777777" w:rsidR="00BE1630" w:rsidRPr="00EE5714" w:rsidRDefault="00BE1630" w:rsidP="00BE1630">
      <w:pPr>
        <w:spacing w:after="0" w:line="240" w:lineRule="auto"/>
        <w:contextualSpacing/>
        <w:rPr>
          <w:rFonts w:ascii="Times New Roman" w:hAnsi="Times New Roman" w:cs="Times New Roman"/>
          <w:sz w:val="26"/>
          <w:szCs w:val="26"/>
        </w:rPr>
      </w:pPr>
    </w:p>
    <w:p w14:paraId="1D05A89A" w14:textId="77777777" w:rsidR="00642A68" w:rsidRPr="00EE5714" w:rsidRDefault="00036A07" w:rsidP="00642A68">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642A68" w:rsidRPr="00EE5714">
        <w:rPr>
          <w:rFonts w:ascii="Times New Roman" w:hAnsi="Times New Roman" w:cs="Times New Roman"/>
          <w:sz w:val="26"/>
          <w:szCs w:val="26"/>
        </w:rPr>
        <w:t xml:space="preserve">As seen in Table </w:t>
      </w:r>
      <w:r w:rsidR="003511EC" w:rsidRPr="00EE5714">
        <w:rPr>
          <w:rFonts w:ascii="Times New Roman" w:hAnsi="Times New Roman" w:cs="Times New Roman"/>
          <w:sz w:val="26"/>
          <w:szCs w:val="26"/>
        </w:rPr>
        <w:t>8-4</w:t>
      </w:r>
      <w:r w:rsidR="00642A68" w:rsidRPr="00EE5714">
        <w:rPr>
          <w:rFonts w:ascii="Times New Roman" w:hAnsi="Times New Roman" w:cs="Times New Roman"/>
          <w:sz w:val="26"/>
          <w:szCs w:val="26"/>
        </w:rPr>
        <w:t xml:space="preserve">, most EDCs reported </w:t>
      </w:r>
      <w:r w:rsidR="00863EFE" w:rsidRPr="00EE5714">
        <w:rPr>
          <w:rFonts w:ascii="Times New Roman" w:hAnsi="Times New Roman" w:cs="Times New Roman"/>
          <w:sz w:val="26"/>
          <w:szCs w:val="26"/>
        </w:rPr>
        <w:t xml:space="preserve">that </w:t>
      </w:r>
      <w:r w:rsidR="00642A68" w:rsidRPr="00EE5714">
        <w:rPr>
          <w:rFonts w:ascii="Times New Roman" w:hAnsi="Times New Roman" w:cs="Times New Roman"/>
          <w:sz w:val="26"/>
          <w:szCs w:val="26"/>
        </w:rPr>
        <w:t>residential customer debt not on agreements comprised approximately 1% to 2% of their revenue</w:t>
      </w:r>
      <w:r w:rsidR="00F832D3" w:rsidRPr="00EE5714">
        <w:rPr>
          <w:rFonts w:ascii="Times New Roman" w:hAnsi="Times New Roman" w:cs="Times New Roman"/>
          <w:sz w:val="26"/>
          <w:szCs w:val="26"/>
        </w:rPr>
        <w:t>.</w:t>
      </w:r>
      <w:r w:rsidR="00642A68" w:rsidRPr="00EE5714">
        <w:rPr>
          <w:rFonts w:ascii="Times New Roman" w:hAnsi="Times New Roman" w:cs="Times New Roman"/>
          <w:sz w:val="26"/>
          <w:szCs w:val="26"/>
        </w:rPr>
        <w:t xml:space="preserve">  The </w:t>
      </w:r>
      <w:r w:rsidR="00DF42BC" w:rsidRPr="00EE5714">
        <w:rPr>
          <w:rFonts w:ascii="Times New Roman" w:hAnsi="Times New Roman" w:cs="Times New Roman"/>
          <w:sz w:val="26"/>
          <w:szCs w:val="26"/>
        </w:rPr>
        <w:t>debt not on agreement</w:t>
      </w:r>
      <w:r w:rsidR="00642A68" w:rsidRPr="00EE5714">
        <w:rPr>
          <w:rFonts w:ascii="Times New Roman" w:hAnsi="Times New Roman" w:cs="Times New Roman"/>
          <w:sz w:val="26"/>
          <w:szCs w:val="26"/>
        </w:rPr>
        <w:t xml:space="preserve"> for </w:t>
      </w:r>
      <w:r w:rsidR="00863EFE" w:rsidRPr="00EE5714">
        <w:rPr>
          <w:rFonts w:ascii="Times New Roman" w:hAnsi="Times New Roman" w:cs="Times New Roman"/>
          <w:sz w:val="26"/>
          <w:szCs w:val="26"/>
        </w:rPr>
        <w:t>Met-Ed</w:t>
      </w:r>
      <w:r w:rsidR="00642A68" w:rsidRPr="00EE5714">
        <w:rPr>
          <w:rFonts w:ascii="Times New Roman" w:hAnsi="Times New Roman" w:cs="Times New Roman"/>
          <w:sz w:val="26"/>
          <w:szCs w:val="26"/>
        </w:rPr>
        <w:t xml:space="preserve">, </w:t>
      </w:r>
      <w:proofErr w:type="spellStart"/>
      <w:r w:rsidR="00642A68" w:rsidRPr="00EE5714">
        <w:rPr>
          <w:rFonts w:ascii="Times New Roman" w:hAnsi="Times New Roman" w:cs="Times New Roman"/>
          <w:sz w:val="26"/>
          <w:szCs w:val="26"/>
        </w:rPr>
        <w:t>Penelec</w:t>
      </w:r>
      <w:proofErr w:type="spellEnd"/>
      <w:r w:rsidR="00642A68" w:rsidRPr="00EE5714">
        <w:rPr>
          <w:rFonts w:ascii="Times New Roman" w:hAnsi="Times New Roman" w:cs="Times New Roman"/>
          <w:sz w:val="26"/>
          <w:szCs w:val="26"/>
        </w:rPr>
        <w:t xml:space="preserve">, Penn Power, and West Penn was 1% or less for the five-year period.  PPL’s residential debt not on agreement averaged 3% to 4% of revenue.  </w:t>
      </w:r>
      <w:r w:rsidR="00863EFE" w:rsidRPr="00EE5714">
        <w:rPr>
          <w:rFonts w:ascii="Times New Roman" w:hAnsi="Times New Roman" w:cs="Times New Roman"/>
          <w:sz w:val="26"/>
          <w:szCs w:val="26"/>
        </w:rPr>
        <w:t>Met-Ed</w:t>
      </w:r>
      <w:r w:rsidR="00642A68" w:rsidRPr="00EE5714">
        <w:rPr>
          <w:rFonts w:ascii="Times New Roman" w:hAnsi="Times New Roman" w:cs="Times New Roman"/>
          <w:sz w:val="26"/>
          <w:szCs w:val="26"/>
        </w:rPr>
        <w:t xml:space="preserve">, </w:t>
      </w:r>
      <w:proofErr w:type="spellStart"/>
      <w:r w:rsidR="00642A68" w:rsidRPr="00EE5714">
        <w:rPr>
          <w:rFonts w:ascii="Times New Roman" w:hAnsi="Times New Roman" w:cs="Times New Roman"/>
          <w:sz w:val="26"/>
          <w:szCs w:val="26"/>
        </w:rPr>
        <w:t>Penelec</w:t>
      </w:r>
      <w:proofErr w:type="spellEnd"/>
      <w:r w:rsidR="00642A68" w:rsidRPr="00EE5714">
        <w:rPr>
          <w:rFonts w:ascii="Times New Roman" w:hAnsi="Times New Roman" w:cs="Times New Roman"/>
          <w:sz w:val="26"/>
          <w:szCs w:val="26"/>
        </w:rPr>
        <w:t>, Penn Power, and PPL report</w:t>
      </w:r>
      <w:r w:rsidRPr="00EE5714">
        <w:rPr>
          <w:rFonts w:ascii="Times New Roman" w:hAnsi="Times New Roman" w:cs="Times New Roman"/>
          <w:sz w:val="26"/>
          <w:szCs w:val="26"/>
        </w:rPr>
        <w:t>ed</w:t>
      </w:r>
      <w:r w:rsidR="00642A68" w:rsidRPr="00EE5714">
        <w:rPr>
          <w:rFonts w:ascii="Times New Roman" w:hAnsi="Times New Roman" w:cs="Times New Roman"/>
          <w:sz w:val="26"/>
          <w:szCs w:val="26"/>
        </w:rPr>
        <w:t xml:space="preserve"> an increase in residential debt not on agreement in 2016.  </w:t>
      </w:r>
    </w:p>
    <w:p w14:paraId="7D21DC75" w14:textId="77777777" w:rsidR="00642A68" w:rsidRPr="00EE5714" w:rsidRDefault="00642A68" w:rsidP="00DF23F2">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lastRenderedPageBreak/>
        <w:t xml:space="preserve">CLI Debt </w:t>
      </w:r>
      <w:proofErr w:type="gramStart"/>
      <w:r w:rsidRPr="00EE5714">
        <w:rPr>
          <w:rFonts w:ascii="Times New Roman" w:hAnsi="Times New Roman" w:cs="Times New Roman"/>
          <w:i/>
          <w:iCs/>
          <w:sz w:val="26"/>
          <w:szCs w:val="26"/>
        </w:rPr>
        <w:t>On</w:t>
      </w:r>
      <w:proofErr w:type="gramEnd"/>
      <w:r w:rsidRPr="00EE5714">
        <w:rPr>
          <w:rFonts w:ascii="Times New Roman" w:hAnsi="Times New Roman" w:cs="Times New Roman"/>
          <w:i/>
          <w:iCs/>
          <w:sz w:val="26"/>
          <w:szCs w:val="26"/>
        </w:rPr>
        <w:t xml:space="preserve"> Agreement</w:t>
      </w:r>
    </w:p>
    <w:p w14:paraId="17135D68" w14:textId="77777777" w:rsidR="00204422" w:rsidRPr="00EE5714" w:rsidRDefault="00204422" w:rsidP="00DF23F2">
      <w:pPr>
        <w:keepNext/>
        <w:spacing w:after="0" w:line="240" w:lineRule="auto"/>
        <w:contextualSpacing/>
        <w:rPr>
          <w:rFonts w:ascii="Times New Roman" w:hAnsi="Times New Roman" w:cs="Times New Roman"/>
          <w:i/>
          <w:iCs/>
          <w:sz w:val="26"/>
          <w:szCs w:val="26"/>
        </w:rPr>
      </w:pPr>
    </w:p>
    <w:p w14:paraId="5CF31DA5" w14:textId="77777777" w:rsidR="00204422" w:rsidRPr="00EE5714" w:rsidRDefault="00204422" w:rsidP="00204422">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8-5</w:t>
      </w:r>
    </w:p>
    <w:p w14:paraId="75C52BFD" w14:textId="77777777" w:rsidR="00204422" w:rsidRPr="00EE5714" w:rsidRDefault="00204422" w:rsidP="00204422">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NGDC CLI Customers, Debt on Agreement as % of Revenues</w:t>
      </w:r>
      <w:r w:rsidR="00FB32DA" w:rsidRPr="00EE5714">
        <w:rPr>
          <w:rFonts w:ascii="Times New Roman" w:hAnsi="Times New Roman" w:cs="Times New Roman"/>
          <w:b/>
          <w:bCs/>
          <w:sz w:val="26"/>
          <w:szCs w:val="26"/>
        </w:rPr>
        <w:t>,</w:t>
      </w:r>
      <w:r w:rsidRPr="00EE5714">
        <w:rPr>
          <w:rFonts w:ascii="Times New Roman" w:hAnsi="Times New Roman" w:cs="Times New Roman"/>
          <w:b/>
          <w:bCs/>
          <w:sz w:val="26"/>
          <w:szCs w:val="26"/>
        </w:rPr>
        <w:t xml:space="preserve"> 2012-2016</w:t>
      </w:r>
    </w:p>
    <w:p w14:paraId="28357C14" w14:textId="77777777" w:rsidR="00204422" w:rsidRPr="00EE5714" w:rsidRDefault="00204422" w:rsidP="00686016">
      <w:pPr>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42EC23F4" wp14:editId="782C2D8A">
            <wp:extent cx="5943600" cy="3993515"/>
            <wp:effectExtent l="0" t="0" r="0" b="6985"/>
            <wp:docPr id="726562221" name="Chart 726562221">
              <a:extLst xmlns:a="http://schemas.openxmlformats.org/drawingml/2006/main">
                <a:ext uri="{FF2B5EF4-FFF2-40B4-BE49-F238E27FC236}">
                  <a16:creationId xmlns:a16="http://schemas.microsoft.com/office/drawing/2014/main" id="{13B23766-30D2-4F7A-8AC5-1877D59BF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6E5C5C9" w14:textId="77777777" w:rsidR="00204422" w:rsidRPr="00EE5714" w:rsidRDefault="00204422" w:rsidP="00204422">
      <w:pPr>
        <w:spacing w:after="0" w:line="240" w:lineRule="auto"/>
        <w:contextualSpacing/>
        <w:rPr>
          <w:rFonts w:ascii="Times New Roman" w:hAnsi="Times New Roman" w:cs="Times New Roman"/>
          <w:sz w:val="26"/>
          <w:szCs w:val="26"/>
        </w:rPr>
      </w:pPr>
    </w:p>
    <w:p w14:paraId="57E1848A" w14:textId="6AF0DA32" w:rsidR="00642A68" w:rsidRPr="00EE5714" w:rsidRDefault="00D31894" w:rsidP="00642A68">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642A68" w:rsidRPr="00EE5714">
        <w:rPr>
          <w:rFonts w:ascii="Times New Roman" w:hAnsi="Times New Roman" w:cs="Times New Roman"/>
          <w:sz w:val="26"/>
          <w:szCs w:val="26"/>
        </w:rPr>
        <w:t xml:space="preserve">As seen in Table </w:t>
      </w:r>
      <w:r w:rsidR="003511EC" w:rsidRPr="00EE5714">
        <w:rPr>
          <w:rFonts w:ascii="Times New Roman" w:hAnsi="Times New Roman" w:cs="Times New Roman"/>
          <w:sz w:val="26"/>
          <w:szCs w:val="26"/>
        </w:rPr>
        <w:t>8-5</w:t>
      </w:r>
      <w:r w:rsidR="00642A68" w:rsidRPr="00EE5714">
        <w:rPr>
          <w:rFonts w:ascii="Times New Roman" w:hAnsi="Times New Roman" w:cs="Times New Roman"/>
          <w:sz w:val="26"/>
          <w:szCs w:val="26"/>
        </w:rPr>
        <w:t>, there appear</w:t>
      </w:r>
      <w:r w:rsidR="00036A07" w:rsidRPr="00EE5714">
        <w:rPr>
          <w:rFonts w:ascii="Times New Roman" w:hAnsi="Times New Roman" w:cs="Times New Roman"/>
          <w:sz w:val="26"/>
          <w:szCs w:val="26"/>
        </w:rPr>
        <w:t>ed</w:t>
      </w:r>
      <w:r w:rsidR="00642A68" w:rsidRPr="00EE5714">
        <w:rPr>
          <w:rFonts w:ascii="Times New Roman" w:hAnsi="Times New Roman" w:cs="Times New Roman"/>
          <w:sz w:val="26"/>
          <w:szCs w:val="26"/>
        </w:rPr>
        <w:t xml:space="preserve"> to be variability in the </w:t>
      </w:r>
      <w:r w:rsidR="00210B91" w:rsidRPr="00EE5714">
        <w:rPr>
          <w:rFonts w:ascii="Times New Roman" w:hAnsi="Times New Roman" w:cs="Times New Roman"/>
          <w:sz w:val="26"/>
          <w:szCs w:val="26"/>
        </w:rPr>
        <w:t>amount</w:t>
      </w:r>
      <w:r w:rsidR="00642A68" w:rsidRPr="00EE5714">
        <w:rPr>
          <w:rFonts w:ascii="Times New Roman" w:hAnsi="Times New Roman" w:cs="Times New Roman"/>
          <w:sz w:val="26"/>
          <w:szCs w:val="26"/>
        </w:rPr>
        <w:t xml:space="preserve"> of CLI customer debt on agreement compared to revenue for NGDCs.  Most NGDCs averaged between 4% and 10% </w:t>
      </w:r>
      <w:r w:rsidR="00C87EC3" w:rsidRPr="00EE5714">
        <w:rPr>
          <w:rFonts w:ascii="Times New Roman" w:hAnsi="Times New Roman" w:cs="Times New Roman"/>
          <w:sz w:val="26"/>
          <w:szCs w:val="26"/>
        </w:rPr>
        <w:t xml:space="preserve">of revenue </w:t>
      </w:r>
      <w:r w:rsidR="00642A68" w:rsidRPr="00EE5714">
        <w:rPr>
          <w:rFonts w:ascii="Times New Roman" w:hAnsi="Times New Roman" w:cs="Times New Roman"/>
          <w:sz w:val="26"/>
          <w:szCs w:val="26"/>
        </w:rPr>
        <w:t>during this five-year period.  PGW and UGI Gas gradually increased the number of CLI customers on agreements, compared to revenue.</w:t>
      </w:r>
    </w:p>
    <w:p w14:paraId="01A677C8" w14:textId="77777777" w:rsidR="00227876" w:rsidRPr="00EE5714" w:rsidRDefault="00227876" w:rsidP="00227876">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8-6</w:t>
      </w:r>
    </w:p>
    <w:p w14:paraId="6A4DD85E" w14:textId="77777777" w:rsidR="00227876" w:rsidRPr="00EE5714" w:rsidRDefault="00227876" w:rsidP="00227876">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EDC CLI Customers, Debt on Agreement as % of Revenues 2012-2016</w:t>
      </w:r>
    </w:p>
    <w:p w14:paraId="47728E80" w14:textId="77777777" w:rsidR="00227876" w:rsidRPr="00EE5714" w:rsidRDefault="00227876" w:rsidP="00686016">
      <w:pPr>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51DC0889" wp14:editId="01403DED">
            <wp:extent cx="5943600" cy="3993515"/>
            <wp:effectExtent l="0" t="0" r="0" b="6985"/>
            <wp:docPr id="726562222" name="Chart 726562222">
              <a:extLst xmlns:a="http://schemas.openxmlformats.org/drawingml/2006/main">
                <a:ext uri="{FF2B5EF4-FFF2-40B4-BE49-F238E27FC236}">
                  <a16:creationId xmlns:a16="http://schemas.microsoft.com/office/drawing/2014/main" id="{CDBF96E4-5616-44C4-9717-A36D48A33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D1AF93" w14:textId="77777777" w:rsidR="00227876" w:rsidRPr="00EE5714" w:rsidRDefault="00227876" w:rsidP="00227876">
      <w:pPr>
        <w:spacing w:after="0" w:line="240" w:lineRule="auto"/>
        <w:contextualSpacing/>
        <w:rPr>
          <w:rFonts w:ascii="Times New Roman" w:hAnsi="Times New Roman" w:cs="Times New Roman"/>
          <w:sz w:val="26"/>
          <w:szCs w:val="26"/>
        </w:rPr>
      </w:pPr>
    </w:p>
    <w:p w14:paraId="57496388" w14:textId="77777777" w:rsidR="00642A68" w:rsidRPr="00EE5714" w:rsidRDefault="00642A68" w:rsidP="0078622E">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As seen in Table </w:t>
      </w:r>
      <w:r w:rsidR="003511EC" w:rsidRPr="00EE5714">
        <w:rPr>
          <w:rFonts w:ascii="Times New Roman" w:hAnsi="Times New Roman" w:cs="Times New Roman"/>
          <w:sz w:val="26"/>
          <w:szCs w:val="26"/>
        </w:rPr>
        <w:t>8-6</w:t>
      </w:r>
      <w:r w:rsidRPr="00EE5714">
        <w:rPr>
          <w:rFonts w:ascii="Times New Roman" w:hAnsi="Times New Roman" w:cs="Times New Roman"/>
          <w:sz w:val="26"/>
          <w:szCs w:val="26"/>
        </w:rPr>
        <w:t xml:space="preserve">, the </w:t>
      </w:r>
      <w:r w:rsidR="0059110B" w:rsidRPr="00EE5714">
        <w:rPr>
          <w:rFonts w:ascii="Times New Roman" w:hAnsi="Times New Roman" w:cs="Times New Roman"/>
          <w:sz w:val="26"/>
          <w:szCs w:val="26"/>
        </w:rPr>
        <w:t>amount</w:t>
      </w:r>
      <w:r w:rsidRPr="00EE5714">
        <w:rPr>
          <w:rFonts w:ascii="Times New Roman" w:hAnsi="Times New Roman" w:cs="Times New Roman"/>
          <w:sz w:val="26"/>
          <w:szCs w:val="26"/>
        </w:rPr>
        <w:t xml:space="preserve"> of CLI customer debt on agreement compared to revenue also varie</w:t>
      </w:r>
      <w:r w:rsidR="00863EFE" w:rsidRPr="00EE5714">
        <w:rPr>
          <w:rFonts w:ascii="Times New Roman" w:hAnsi="Times New Roman" w:cs="Times New Roman"/>
          <w:sz w:val="26"/>
          <w:szCs w:val="26"/>
        </w:rPr>
        <w:t>d</w:t>
      </w:r>
      <w:r w:rsidRPr="00EE5714">
        <w:rPr>
          <w:rFonts w:ascii="Times New Roman" w:hAnsi="Times New Roman" w:cs="Times New Roman"/>
          <w:sz w:val="26"/>
          <w:szCs w:val="26"/>
        </w:rPr>
        <w:t xml:space="preserve"> by EDC.  </w:t>
      </w:r>
      <w:r w:rsidR="00863EFE" w:rsidRPr="00EE5714">
        <w:rPr>
          <w:rFonts w:ascii="Times New Roman" w:hAnsi="Times New Roman" w:cs="Times New Roman"/>
          <w:sz w:val="26"/>
          <w:szCs w:val="26"/>
        </w:rPr>
        <w:t>Met-Ed</w:t>
      </w:r>
      <w:r w:rsidRPr="00EE5714">
        <w:rPr>
          <w:rFonts w:ascii="Times New Roman" w:hAnsi="Times New Roman" w:cs="Times New Roman"/>
          <w:sz w:val="26"/>
          <w:szCs w:val="26"/>
        </w:rPr>
        <w:t xml:space="preserve">, </w:t>
      </w:r>
      <w:proofErr w:type="spellStart"/>
      <w:r w:rsidRPr="00EE5714">
        <w:rPr>
          <w:rFonts w:ascii="Times New Roman" w:hAnsi="Times New Roman" w:cs="Times New Roman"/>
          <w:sz w:val="26"/>
          <w:szCs w:val="26"/>
        </w:rPr>
        <w:t>Penelec</w:t>
      </w:r>
      <w:proofErr w:type="spellEnd"/>
      <w:r w:rsidRPr="00EE5714">
        <w:rPr>
          <w:rFonts w:ascii="Times New Roman" w:hAnsi="Times New Roman" w:cs="Times New Roman"/>
          <w:sz w:val="26"/>
          <w:szCs w:val="26"/>
        </w:rPr>
        <w:t>, Penn Power, and West Penn reported CLI debt on agreement as 2% to 3% of revenue</w:t>
      </w:r>
      <w:r w:rsidR="00CD716E" w:rsidRPr="00EE5714">
        <w:rPr>
          <w:rFonts w:ascii="Times New Roman" w:hAnsi="Times New Roman" w:cs="Times New Roman"/>
          <w:sz w:val="26"/>
          <w:szCs w:val="26"/>
        </w:rPr>
        <w:t>.</w:t>
      </w:r>
      <w:r w:rsidRPr="00EE5714">
        <w:rPr>
          <w:rFonts w:ascii="Times New Roman" w:hAnsi="Times New Roman" w:cs="Times New Roman"/>
          <w:sz w:val="26"/>
          <w:szCs w:val="26"/>
        </w:rPr>
        <w:t xml:space="preserve">  Duquesne’s CLI debt on agreement fluctuated between 5% to 9% of revenue during this </w:t>
      </w:r>
      <w:r w:rsidR="00623702" w:rsidRPr="00EE5714">
        <w:rPr>
          <w:rFonts w:ascii="Times New Roman" w:hAnsi="Times New Roman" w:cs="Times New Roman"/>
          <w:sz w:val="26"/>
          <w:szCs w:val="26"/>
        </w:rPr>
        <w:t>five</w:t>
      </w:r>
      <w:r w:rsidRPr="00EE5714">
        <w:rPr>
          <w:rFonts w:ascii="Times New Roman" w:hAnsi="Times New Roman" w:cs="Times New Roman"/>
          <w:sz w:val="26"/>
          <w:szCs w:val="26"/>
        </w:rPr>
        <w:t>-year period.  PPL’s reported CLI debt on agreement declined annually since 2012, from 17% in 2012 to 10% in 2016.</w:t>
      </w:r>
    </w:p>
    <w:p w14:paraId="357C3D09" w14:textId="77777777" w:rsidR="00642A68" w:rsidRPr="00EE5714" w:rsidRDefault="00642A68" w:rsidP="00642A68">
      <w:pPr>
        <w:spacing w:after="0" w:line="240" w:lineRule="auto"/>
        <w:contextualSpacing/>
        <w:rPr>
          <w:rFonts w:ascii="Times New Roman" w:hAnsi="Times New Roman" w:cs="Times New Roman"/>
          <w:sz w:val="26"/>
          <w:szCs w:val="26"/>
        </w:rPr>
      </w:pPr>
    </w:p>
    <w:p w14:paraId="7A3E59EF" w14:textId="77777777" w:rsidR="00642A68" w:rsidRPr="00EE5714" w:rsidRDefault="00642A68" w:rsidP="004F46AA">
      <w:pPr>
        <w:keepNext/>
        <w:spacing w:after="0" w:line="240" w:lineRule="auto"/>
        <w:contextualSpacing/>
        <w:rPr>
          <w:rFonts w:ascii="Times New Roman" w:hAnsi="Times New Roman" w:cs="Times New Roman"/>
          <w:i/>
          <w:iCs/>
          <w:sz w:val="26"/>
          <w:szCs w:val="26"/>
        </w:rPr>
      </w:pPr>
      <w:r w:rsidRPr="00EE5714">
        <w:rPr>
          <w:rFonts w:ascii="Times New Roman" w:hAnsi="Times New Roman" w:cs="Times New Roman"/>
          <w:i/>
          <w:iCs/>
          <w:sz w:val="26"/>
          <w:szCs w:val="26"/>
        </w:rPr>
        <w:lastRenderedPageBreak/>
        <w:t xml:space="preserve">CLI Debt Not </w:t>
      </w:r>
      <w:proofErr w:type="gramStart"/>
      <w:r w:rsidRPr="00EE5714">
        <w:rPr>
          <w:rFonts w:ascii="Times New Roman" w:hAnsi="Times New Roman" w:cs="Times New Roman"/>
          <w:i/>
          <w:iCs/>
          <w:sz w:val="26"/>
          <w:szCs w:val="26"/>
        </w:rPr>
        <w:t>On</w:t>
      </w:r>
      <w:proofErr w:type="gramEnd"/>
      <w:r w:rsidRPr="00EE5714">
        <w:rPr>
          <w:rFonts w:ascii="Times New Roman" w:hAnsi="Times New Roman" w:cs="Times New Roman"/>
          <w:i/>
          <w:iCs/>
          <w:sz w:val="26"/>
          <w:szCs w:val="26"/>
        </w:rPr>
        <w:t xml:space="preserve"> Agreement</w:t>
      </w:r>
    </w:p>
    <w:p w14:paraId="450D1398" w14:textId="77777777" w:rsidR="00A31BD3" w:rsidRPr="00EE5714" w:rsidRDefault="00A31BD3" w:rsidP="004F46AA">
      <w:pPr>
        <w:keepNext/>
        <w:spacing w:after="0" w:line="240" w:lineRule="auto"/>
        <w:contextualSpacing/>
        <w:rPr>
          <w:rFonts w:ascii="Times New Roman" w:hAnsi="Times New Roman" w:cs="Times New Roman"/>
          <w:i/>
          <w:iCs/>
          <w:sz w:val="26"/>
          <w:szCs w:val="26"/>
        </w:rPr>
      </w:pPr>
    </w:p>
    <w:p w14:paraId="21B58C1B" w14:textId="77777777" w:rsidR="00227876" w:rsidRPr="00EE5714" w:rsidRDefault="00227876" w:rsidP="00227876">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Table 8-7</w:t>
      </w:r>
    </w:p>
    <w:p w14:paraId="4CCCB223" w14:textId="77777777" w:rsidR="00227876" w:rsidRPr="00EE5714" w:rsidRDefault="00227876" w:rsidP="00227876">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NGDC CLI Customers, Debt not on Agreement as % of Revenues</w:t>
      </w:r>
      <w:r w:rsidR="001C3FD0" w:rsidRPr="00EE5714">
        <w:rPr>
          <w:rFonts w:ascii="Times New Roman" w:hAnsi="Times New Roman" w:cs="Times New Roman"/>
          <w:b/>
          <w:bCs/>
          <w:sz w:val="26"/>
          <w:szCs w:val="26"/>
        </w:rPr>
        <w:t>,</w:t>
      </w:r>
      <w:r w:rsidRPr="00EE5714">
        <w:rPr>
          <w:rFonts w:ascii="Times New Roman" w:hAnsi="Times New Roman" w:cs="Times New Roman"/>
          <w:b/>
          <w:bCs/>
          <w:sz w:val="26"/>
          <w:szCs w:val="26"/>
        </w:rPr>
        <w:t xml:space="preserve"> 2012-2016</w:t>
      </w:r>
    </w:p>
    <w:p w14:paraId="63DAC9BF" w14:textId="77777777" w:rsidR="00227876" w:rsidRPr="00EE5714" w:rsidRDefault="00227876" w:rsidP="0078622E">
      <w:pPr>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18944B85" wp14:editId="0C21FD6B">
            <wp:extent cx="5943600" cy="3994785"/>
            <wp:effectExtent l="0" t="0" r="0" b="5715"/>
            <wp:docPr id="726562223" name="Chart 726562223">
              <a:extLst xmlns:a="http://schemas.openxmlformats.org/drawingml/2006/main">
                <a:ext uri="{FF2B5EF4-FFF2-40B4-BE49-F238E27FC236}">
                  <a16:creationId xmlns:a16="http://schemas.microsoft.com/office/drawing/2014/main" id="{D866BB7E-C90C-471E-AFBB-22C654B57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B7A86D7" w14:textId="77777777" w:rsidR="00227876" w:rsidRPr="00EE5714" w:rsidRDefault="00227876" w:rsidP="00227876">
      <w:pPr>
        <w:spacing w:after="0" w:line="240" w:lineRule="auto"/>
        <w:contextualSpacing/>
        <w:rPr>
          <w:rFonts w:ascii="Times New Roman" w:hAnsi="Times New Roman" w:cs="Times New Roman"/>
          <w:sz w:val="26"/>
          <w:szCs w:val="26"/>
        </w:rPr>
      </w:pPr>
    </w:p>
    <w:p w14:paraId="0693D9E0" w14:textId="77777777" w:rsidR="00642A68" w:rsidRPr="00EE5714" w:rsidRDefault="00D31894" w:rsidP="00642A68">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642A68" w:rsidRPr="00EE5714">
        <w:rPr>
          <w:rFonts w:ascii="Times New Roman" w:hAnsi="Times New Roman" w:cs="Times New Roman"/>
          <w:sz w:val="26"/>
          <w:szCs w:val="26"/>
        </w:rPr>
        <w:t xml:space="preserve">As seen in Table </w:t>
      </w:r>
      <w:r w:rsidR="003511EC" w:rsidRPr="00EE5714">
        <w:rPr>
          <w:rFonts w:ascii="Times New Roman" w:hAnsi="Times New Roman" w:cs="Times New Roman"/>
          <w:sz w:val="26"/>
          <w:szCs w:val="26"/>
        </w:rPr>
        <w:t>8-7</w:t>
      </w:r>
      <w:r w:rsidR="00642A68" w:rsidRPr="00EE5714">
        <w:rPr>
          <w:rFonts w:ascii="Times New Roman" w:hAnsi="Times New Roman" w:cs="Times New Roman"/>
          <w:sz w:val="26"/>
          <w:szCs w:val="26"/>
        </w:rPr>
        <w:t>, about half of NGDCs reported their CLI debt not on agreement comprised approximately 2% to 4% of revenues</w:t>
      </w:r>
      <w:r w:rsidR="00CD716E" w:rsidRPr="00EE5714">
        <w:rPr>
          <w:rFonts w:ascii="Times New Roman" w:hAnsi="Times New Roman" w:cs="Times New Roman"/>
          <w:sz w:val="26"/>
          <w:szCs w:val="26"/>
        </w:rPr>
        <w:t>.</w:t>
      </w:r>
      <w:r w:rsidR="00642A68" w:rsidRPr="00EE5714">
        <w:rPr>
          <w:rFonts w:ascii="Times New Roman" w:hAnsi="Times New Roman" w:cs="Times New Roman"/>
          <w:sz w:val="26"/>
          <w:szCs w:val="26"/>
        </w:rPr>
        <w:t xml:space="preserve">  Columbia had the lowest </w:t>
      </w:r>
      <w:r w:rsidR="009967BA" w:rsidRPr="00EE5714">
        <w:rPr>
          <w:rFonts w:ascii="Times New Roman" w:hAnsi="Times New Roman" w:cs="Times New Roman"/>
          <w:sz w:val="26"/>
          <w:szCs w:val="26"/>
        </w:rPr>
        <w:t>amount</w:t>
      </w:r>
      <w:r w:rsidR="00642A68" w:rsidRPr="00EE5714">
        <w:rPr>
          <w:rFonts w:ascii="Times New Roman" w:hAnsi="Times New Roman" w:cs="Times New Roman"/>
          <w:sz w:val="26"/>
          <w:szCs w:val="26"/>
        </w:rPr>
        <w:t xml:space="preserve">, ranging from 1% to 2% during the five-year period.  PECO Gas, UGI Gas, </w:t>
      </w:r>
      <w:r w:rsidR="00416290" w:rsidRPr="00EE5714">
        <w:rPr>
          <w:rFonts w:ascii="Times New Roman" w:hAnsi="Times New Roman" w:cs="Times New Roman"/>
          <w:sz w:val="26"/>
          <w:szCs w:val="26"/>
        </w:rPr>
        <w:t xml:space="preserve">and </w:t>
      </w:r>
      <w:r w:rsidR="00642A68" w:rsidRPr="00EE5714">
        <w:rPr>
          <w:rFonts w:ascii="Times New Roman" w:hAnsi="Times New Roman" w:cs="Times New Roman"/>
          <w:sz w:val="26"/>
          <w:szCs w:val="26"/>
        </w:rPr>
        <w:t xml:space="preserve">UGI PNG had the highest </w:t>
      </w:r>
      <w:r w:rsidR="009967BA" w:rsidRPr="00EE5714">
        <w:rPr>
          <w:rFonts w:ascii="Times New Roman" w:hAnsi="Times New Roman" w:cs="Times New Roman"/>
          <w:sz w:val="26"/>
          <w:szCs w:val="26"/>
        </w:rPr>
        <w:t>amount</w:t>
      </w:r>
      <w:r w:rsidR="00642A68" w:rsidRPr="00EE5714">
        <w:rPr>
          <w:rFonts w:ascii="Times New Roman" w:hAnsi="Times New Roman" w:cs="Times New Roman"/>
          <w:sz w:val="26"/>
          <w:szCs w:val="26"/>
        </w:rPr>
        <w:t>.  PECO Gas’ CLI debt not on agreement exceeded 17% of revenue in 2013, but this percentage declined annually after that year; by 2016, th</w:t>
      </w:r>
      <w:r w:rsidR="000D3FA9" w:rsidRPr="00EE5714">
        <w:rPr>
          <w:rFonts w:ascii="Times New Roman" w:hAnsi="Times New Roman" w:cs="Times New Roman"/>
          <w:sz w:val="26"/>
          <w:szCs w:val="26"/>
        </w:rPr>
        <w:t>e</w:t>
      </w:r>
      <w:r w:rsidR="00642A68" w:rsidRPr="00EE5714">
        <w:rPr>
          <w:rFonts w:ascii="Times New Roman" w:hAnsi="Times New Roman" w:cs="Times New Roman"/>
          <w:sz w:val="26"/>
          <w:szCs w:val="26"/>
        </w:rPr>
        <w:t xml:space="preserve"> </w:t>
      </w:r>
      <w:r w:rsidR="000D3FA9" w:rsidRPr="00EE5714">
        <w:rPr>
          <w:rFonts w:ascii="Times New Roman" w:hAnsi="Times New Roman" w:cs="Times New Roman"/>
          <w:sz w:val="26"/>
          <w:szCs w:val="26"/>
        </w:rPr>
        <w:t>amount</w:t>
      </w:r>
      <w:r w:rsidR="00642A68" w:rsidRPr="00EE5714">
        <w:rPr>
          <w:rFonts w:ascii="Times New Roman" w:hAnsi="Times New Roman" w:cs="Times New Roman"/>
          <w:sz w:val="26"/>
          <w:szCs w:val="26"/>
        </w:rPr>
        <w:t xml:space="preserve"> was less than 10%.  This high</w:t>
      </w:r>
      <w:r w:rsidR="000D3FA9" w:rsidRPr="00EE5714">
        <w:rPr>
          <w:rFonts w:ascii="Times New Roman" w:hAnsi="Times New Roman" w:cs="Times New Roman"/>
          <w:sz w:val="26"/>
          <w:szCs w:val="26"/>
        </w:rPr>
        <w:t>er</w:t>
      </w:r>
      <w:r w:rsidR="00642A68" w:rsidRPr="00EE5714">
        <w:rPr>
          <w:rFonts w:ascii="Times New Roman" w:hAnsi="Times New Roman" w:cs="Times New Roman"/>
          <w:sz w:val="26"/>
          <w:szCs w:val="26"/>
        </w:rPr>
        <w:t xml:space="preserve"> rate could be attributed to affordability issues within PECO Gas and Electric’s CAP during this period.  </w:t>
      </w:r>
      <w:r w:rsidR="00642A68" w:rsidRPr="00EE5714" w:rsidDel="009D2452">
        <w:rPr>
          <w:rFonts w:ascii="Times New Roman" w:hAnsi="Times New Roman" w:cs="Times New Roman"/>
          <w:i/>
          <w:iCs/>
          <w:sz w:val="26"/>
          <w:szCs w:val="26"/>
        </w:rPr>
        <w:t>See</w:t>
      </w:r>
      <w:r w:rsidR="00642A68" w:rsidRPr="00EE5714">
        <w:rPr>
          <w:rFonts w:ascii="Times New Roman" w:hAnsi="Times New Roman" w:cs="Times New Roman"/>
          <w:sz w:val="26"/>
          <w:szCs w:val="26"/>
        </w:rPr>
        <w:t xml:space="preserve"> Footnote </w:t>
      </w:r>
      <w:r w:rsidR="006031B7" w:rsidRPr="00EE5714">
        <w:rPr>
          <w:rFonts w:ascii="Times New Roman" w:hAnsi="Times New Roman" w:cs="Times New Roman"/>
          <w:sz w:val="26"/>
          <w:szCs w:val="26"/>
        </w:rPr>
        <w:t>46</w:t>
      </w:r>
      <w:r w:rsidR="00642A68" w:rsidRPr="00EE5714">
        <w:rPr>
          <w:rFonts w:ascii="Times New Roman" w:hAnsi="Times New Roman" w:cs="Times New Roman"/>
          <w:sz w:val="26"/>
          <w:szCs w:val="26"/>
        </w:rPr>
        <w:t>.</w:t>
      </w:r>
      <w:r w:rsidR="00C7768C" w:rsidRPr="00EE5714">
        <w:rPr>
          <w:rFonts w:ascii="Times New Roman" w:hAnsi="Times New Roman" w:cs="Times New Roman"/>
          <w:sz w:val="26"/>
          <w:szCs w:val="26"/>
        </w:rPr>
        <w:t xml:space="preserve">  </w:t>
      </w:r>
      <w:r w:rsidR="00642A68" w:rsidRPr="00EE5714">
        <w:rPr>
          <w:rFonts w:ascii="Times New Roman" w:hAnsi="Times New Roman" w:cs="Times New Roman"/>
          <w:sz w:val="26"/>
          <w:szCs w:val="26"/>
        </w:rPr>
        <w:t>UGI Gas and UGI PNG also experienced increases in CLI debt not on agreement as compared to revenue</w:t>
      </w:r>
      <w:r w:rsidR="000D3FA9" w:rsidRPr="00EE5714">
        <w:rPr>
          <w:rFonts w:ascii="Times New Roman" w:hAnsi="Times New Roman" w:cs="Times New Roman"/>
          <w:sz w:val="26"/>
          <w:szCs w:val="26"/>
        </w:rPr>
        <w:t>s</w:t>
      </w:r>
      <w:r w:rsidR="00642A68" w:rsidRPr="00EE5714">
        <w:rPr>
          <w:rFonts w:ascii="Times New Roman" w:hAnsi="Times New Roman" w:cs="Times New Roman"/>
          <w:sz w:val="26"/>
          <w:szCs w:val="26"/>
        </w:rPr>
        <w:t xml:space="preserve"> from 2012-2015, but 2016 show</w:t>
      </w:r>
      <w:r w:rsidR="001C3FD0" w:rsidRPr="00EE5714">
        <w:rPr>
          <w:rFonts w:ascii="Times New Roman" w:hAnsi="Times New Roman" w:cs="Times New Roman"/>
          <w:sz w:val="26"/>
          <w:szCs w:val="26"/>
        </w:rPr>
        <w:t>ed</w:t>
      </w:r>
      <w:r w:rsidR="00642A68" w:rsidRPr="00EE5714">
        <w:rPr>
          <w:rFonts w:ascii="Times New Roman" w:hAnsi="Times New Roman" w:cs="Times New Roman"/>
          <w:sz w:val="26"/>
          <w:szCs w:val="26"/>
        </w:rPr>
        <w:t xml:space="preserve"> a decrease in this category for both companies.   </w:t>
      </w:r>
    </w:p>
    <w:p w14:paraId="711A0BD6" w14:textId="77777777" w:rsidR="00A31BD3" w:rsidRPr="00EE5714" w:rsidRDefault="00A31BD3" w:rsidP="00A31BD3">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8-8</w:t>
      </w:r>
    </w:p>
    <w:p w14:paraId="0F450A0E" w14:textId="77777777" w:rsidR="00A31BD3" w:rsidRPr="00EE5714" w:rsidRDefault="00A31BD3" w:rsidP="00A31BD3">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EDC CLI Customers, Debt not on Agreement as % of Revenues 2012-2016</w:t>
      </w:r>
    </w:p>
    <w:p w14:paraId="669F718F" w14:textId="77777777" w:rsidR="00A31BD3" w:rsidRPr="00EE5714" w:rsidRDefault="00A31BD3" w:rsidP="0078622E">
      <w:pPr>
        <w:spacing w:after="0" w:line="240" w:lineRule="auto"/>
        <w:contextualSpacing/>
        <w:jc w:val="center"/>
        <w:rPr>
          <w:rFonts w:ascii="Times New Roman" w:hAnsi="Times New Roman" w:cs="Times New Roman"/>
          <w:sz w:val="26"/>
          <w:szCs w:val="26"/>
        </w:rPr>
      </w:pPr>
      <w:r w:rsidRPr="00EE5714">
        <w:rPr>
          <w:noProof/>
        </w:rPr>
        <w:drawing>
          <wp:inline distT="0" distB="0" distL="0" distR="0" wp14:anchorId="0F03B785" wp14:editId="1CA429A5">
            <wp:extent cx="5943600" cy="3994785"/>
            <wp:effectExtent l="0" t="0" r="0" b="5715"/>
            <wp:docPr id="726562224" name="Chart 726562224">
              <a:extLst xmlns:a="http://schemas.openxmlformats.org/drawingml/2006/main">
                <a:ext uri="{FF2B5EF4-FFF2-40B4-BE49-F238E27FC236}">
                  <a16:creationId xmlns:a16="http://schemas.microsoft.com/office/drawing/2014/main" id="{3690A553-3E2D-4094-83FF-6A1164212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DD456D1" w14:textId="77777777" w:rsidR="00A31BD3" w:rsidRPr="00EE5714" w:rsidRDefault="00A31BD3" w:rsidP="00A31BD3">
      <w:pPr>
        <w:spacing w:after="0" w:line="240" w:lineRule="auto"/>
        <w:contextualSpacing/>
        <w:rPr>
          <w:rFonts w:ascii="Times New Roman" w:hAnsi="Times New Roman" w:cs="Times New Roman"/>
          <w:sz w:val="26"/>
          <w:szCs w:val="26"/>
        </w:rPr>
      </w:pPr>
    </w:p>
    <w:p w14:paraId="26133791" w14:textId="77777777" w:rsidR="00642A68" w:rsidRPr="00EE5714" w:rsidRDefault="00880927" w:rsidP="00642A68">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642A68" w:rsidRPr="00EE5714">
        <w:rPr>
          <w:rFonts w:ascii="Times New Roman" w:hAnsi="Times New Roman" w:cs="Times New Roman"/>
          <w:sz w:val="26"/>
          <w:szCs w:val="26"/>
        </w:rPr>
        <w:t xml:space="preserve">As seen in Table </w:t>
      </w:r>
      <w:r w:rsidR="00E409C4" w:rsidRPr="00EE5714">
        <w:rPr>
          <w:rFonts w:ascii="Times New Roman" w:hAnsi="Times New Roman" w:cs="Times New Roman"/>
          <w:sz w:val="26"/>
          <w:szCs w:val="26"/>
        </w:rPr>
        <w:t>8-8</w:t>
      </w:r>
      <w:r w:rsidR="00642A68" w:rsidRPr="00EE5714">
        <w:rPr>
          <w:rFonts w:ascii="Times New Roman" w:hAnsi="Times New Roman" w:cs="Times New Roman"/>
          <w:sz w:val="26"/>
          <w:szCs w:val="26"/>
        </w:rPr>
        <w:t xml:space="preserve">, the </w:t>
      </w:r>
      <w:r w:rsidR="000D3FA9" w:rsidRPr="00EE5714">
        <w:rPr>
          <w:rFonts w:ascii="Times New Roman" w:hAnsi="Times New Roman" w:cs="Times New Roman"/>
          <w:sz w:val="26"/>
          <w:szCs w:val="26"/>
        </w:rPr>
        <w:t>amount</w:t>
      </w:r>
      <w:r w:rsidR="00642A68" w:rsidRPr="00EE5714">
        <w:rPr>
          <w:rFonts w:ascii="Times New Roman" w:hAnsi="Times New Roman" w:cs="Times New Roman"/>
          <w:sz w:val="26"/>
          <w:szCs w:val="26"/>
        </w:rPr>
        <w:t xml:space="preserve"> of CLI debt not on agreement average</w:t>
      </w:r>
      <w:r w:rsidR="007B0E83" w:rsidRPr="00EE5714">
        <w:rPr>
          <w:rFonts w:ascii="Times New Roman" w:hAnsi="Times New Roman" w:cs="Times New Roman"/>
          <w:sz w:val="26"/>
          <w:szCs w:val="26"/>
        </w:rPr>
        <w:t>d</w:t>
      </w:r>
      <w:r w:rsidR="00642A68" w:rsidRPr="00EE5714">
        <w:rPr>
          <w:rFonts w:ascii="Times New Roman" w:hAnsi="Times New Roman" w:cs="Times New Roman"/>
          <w:sz w:val="26"/>
          <w:szCs w:val="26"/>
        </w:rPr>
        <w:t xml:space="preserve"> 4% or less of revenue</w:t>
      </w:r>
      <w:r w:rsidR="000D3FA9" w:rsidRPr="00EE5714">
        <w:rPr>
          <w:rFonts w:ascii="Times New Roman" w:hAnsi="Times New Roman" w:cs="Times New Roman"/>
          <w:sz w:val="26"/>
          <w:szCs w:val="26"/>
        </w:rPr>
        <w:t>s</w:t>
      </w:r>
      <w:r w:rsidR="00642A68" w:rsidRPr="00EE5714">
        <w:rPr>
          <w:rFonts w:ascii="Times New Roman" w:hAnsi="Times New Roman" w:cs="Times New Roman"/>
          <w:sz w:val="26"/>
          <w:szCs w:val="26"/>
        </w:rPr>
        <w:t xml:space="preserve"> for most EDCs.  PECO Electric and PPL generally reported gradual decreases for this category from 2012 to 2016.  Based on a percent of revenue, PECO Electric’s CLI debt not on agreement decreased from 6% to 2%</w:t>
      </w:r>
      <w:r w:rsidR="00863EFE" w:rsidRPr="00EE5714">
        <w:rPr>
          <w:rFonts w:ascii="Times New Roman" w:hAnsi="Times New Roman" w:cs="Times New Roman"/>
          <w:sz w:val="26"/>
          <w:szCs w:val="26"/>
        </w:rPr>
        <w:t>,</w:t>
      </w:r>
      <w:r w:rsidR="00642A68" w:rsidRPr="00EE5714">
        <w:rPr>
          <w:rFonts w:ascii="Times New Roman" w:hAnsi="Times New Roman" w:cs="Times New Roman"/>
          <w:sz w:val="26"/>
          <w:szCs w:val="26"/>
        </w:rPr>
        <w:t xml:space="preserve"> and PPL’s decreased from 17% to 10% from 2012 to 2016.  The FirstEnergy Companies (</w:t>
      </w:r>
      <w:r w:rsidR="00863EFE" w:rsidRPr="00EE5714">
        <w:rPr>
          <w:rFonts w:ascii="Times New Roman" w:hAnsi="Times New Roman" w:cs="Times New Roman"/>
          <w:sz w:val="26"/>
          <w:szCs w:val="26"/>
        </w:rPr>
        <w:t>Met-Ed</w:t>
      </w:r>
      <w:r w:rsidR="00642A68" w:rsidRPr="00EE5714">
        <w:rPr>
          <w:rFonts w:ascii="Times New Roman" w:hAnsi="Times New Roman" w:cs="Times New Roman"/>
          <w:sz w:val="26"/>
          <w:szCs w:val="26"/>
        </w:rPr>
        <w:t xml:space="preserve">, </w:t>
      </w:r>
      <w:proofErr w:type="spellStart"/>
      <w:r w:rsidR="00642A68" w:rsidRPr="00EE5714">
        <w:rPr>
          <w:rFonts w:ascii="Times New Roman" w:hAnsi="Times New Roman" w:cs="Times New Roman"/>
          <w:sz w:val="26"/>
          <w:szCs w:val="26"/>
        </w:rPr>
        <w:t>Penelec</w:t>
      </w:r>
      <w:proofErr w:type="spellEnd"/>
      <w:r w:rsidR="00642A68" w:rsidRPr="00EE5714">
        <w:rPr>
          <w:rFonts w:ascii="Times New Roman" w:hAnsi="Times New Roman" w:cs="Times New Roman"/>
          <w:sz w:val="26"/>
          <w:szCs w:val="26"/>
        </w:rPr>
        <w:t>, Penn Power, and West Penn) reported increases in CLI debt not on agreement in 2016.</w:t>
      </w:r>
    </w:p>
    <w:p w14:paraId="4A476C86" w14:textId="77777777" w:rsidR="00A31BD3" w:rsidRPr="00EE5714" w:rsidRDefault="00A31BD3" w:rsidP="004F46AA">
      <w:pPr>
        <w:keepNext/>
        <w:spacing w:after="0" w:line="240" w:lineRule="auto"/>
        <w:contextualSpacing/>
        <w:jc w:val="center"/>
        <w:rPr>
          <w:rFonts w:ascii="Times New Roman" w:hAnsi="Times New Roman" w:cs="Times New Roman"/>
          <w:b/>
          <w:bCs/>
          <w:sz w:val="26"/>
          <w:szCs w:val="26"/>
        </w:rPr>
      </w:pPr>
    </w:p>
    <w:p w14:paraId="311B2905" w14:textId="77777777" w:rsidR="00642A68" w:rsidRPr="00EE5714" w:rsidRDefault="00642A68" w:rsidP="004F46AA">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Observations</w:t>
      </w:r>
    </w:p>
    <w:p w14:paraId="7A018492" w14:textId="77777777" w:rsidR="00642A68" w:rsidRPr="00EE5714" w:rsidRDefault="00642A68" w:rsidP="00DD2AC6">
      <w:pPr>
        <w:keepNext/>
        <w:spacing w:after="0" w:line="240" w:lineRule="auto"/>
        <w:contextualSpacing/>
        <w:rPr>
          <w:rFonts w:ascii="Times New Roman" w:hAnsi="Times New Roman" w:cs="Times New Roman"/>
          <w:sz w:val="26"/>
          <w:szCs w:val="26"/>
        </w:rPr>
      </w:pPr>
    </w:p>
    <w:p w14:paraId="2747DA7D" w14:textId="77777777" w:rsidR="00642A68" w:rsidRPr="00EE5714" w:rsidRDefault="00880927" w:rsidP="00642A68">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642A68" w:rsidRPr="00EE5714">
        <w:rPr>
          <w:rFonts w:ascii="Times New Roman" w:hAnsi="Times New Roman" w:cs="Times New Roman"/>
          <w:sz w:val="26"/>
          <w:szCs w:val="26"/>
        </w:rPr>
        <w:t xml:space="preserve">About half of </w:t>
      </w:r>
      <w:r w:rsidR="00187D9D" w:rsidRPr="00EE5714">
        <w:rPr>
          <w:rFonts w:ascii="Times New Roman" w:hAnsi="Times New Roman" w:cs="Times New Roman"/>
          <w:sz w:val="26"/>
          <w:szCs w:val="26"/>
        </w:rPr>
        <w:t>the</w:t>
      </w:r>
      <w:r w:rsidR="00642A68" w:rsidRPr="00EE5714">
        <w:rPr>
          <w:rFonts w:ascii="Times New Roman" w:hAnsi="Times New Roman" w:cs="Times New Roman"/>
          <w:sz w:val="26"/>
          <w:szCs w:val="26"/>
        </w:rPr>
        <w:t xml:space="preserve"> NGDCs saw a decrease in residential debt on agreements in 2016.  However, many of these utilities also saw a decrease in residential debt not on agreements.  This could indicate a</w:t>
      </w:r>
      <w:r w:rsidR="00355FBC" w:rsidRPr="00EE5714">
        <w:rPr>
          <w:rFonts w:ascii="Times New Roman" w:hAnsi="Times New Roman" w:cs="Times New Roman"/>
          <w:sz w:val="26"/>
          <w:szCs w:val="26"/>
        </w:rPr>
        <w:t>n overall</w:t>
      </w:r>
      <w:r w:rsidR="00642A68" w:rsidRPr="00EE5714">
        <w:rPr>
          <w:rFonts w:ascii="Times New Roman" w:hAnsi="Times New Roman" w:cs="Times New Roman"/>
          <w:sz w:val="26"/>
          <w:szCs w:val="26"/>
        </w:rPr>
        <w:t xml:space="preserve"> trend of decreasing residential debt carried by NGDC customers. </w:t>
      </w:r>
    </w:p>
    <w:p w14:paraId="0A95B439" w14:textId="77777777" w:rsidR="00642A68" w:rsidRPr="00EE5714" w:rsidRDefault="00642A68" w:rsidP="00642A68">
      <w:pPr>
        <w:spacing w:after="0" w:line="240" w:lineRule="auto"/>
        <w:contextualSpacing/>
        <w:rPr>
          <w:rFonts w:ascii="Times New Roman" w:hAnsi="Times New Roman" w:cs="Times New Roman"/>
          <w:sz w:val="26"/>
          <w:szCs w:val="26"/>
        </w:rPr>
      </w:pPr>
    </w:p>
    <w:p w14:paraId="2C2F94C6" w14:textId="77777777" w:rsidR="00642A68" w:rsidRPr="00EE5714" w:rsidRDefault="00880927" w:rsidP="00642A68">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642A68" w:rsidRPr="00EE5714">
        <w:rPr>
          <w:rFonts w:ascii="Times New Roman" w:hAnsi="Times New Roman" w:cs="Times New Roman"/>
          <w:sz w:val="26"/>
          <w:szCs w:val="26"/>
        </w:rPr>
        <w:t>There d</w:t>
      </w:r>
      <w:r w:rsidR="00D3368C" w:rsidRPr="00EE5714">
        <w:rPr>
          <w:rFonts w:ascii="Times New Roman" w:hAnsi="Times New Roman" w:cs="Times New Roman"/>
          <w:sz w:val="26"/>
          <w:szCs w:val="26"/>
        </w:rPr>
        <w:t>id</w:t>
      </w:r>
      <w:r w:rsidR="00642A68" w:rsidRPr="00EE5714">
        <w:rPr>
          <w:rFonts w:ascii="Times New Roman" w:hAnsi="Times New Roman" w:cs="Times New Roman"/>
          <w:sz w:val="26"/>
          <w:szCs w:val="26"/>
        </w:rPr>
        <w:t xml:space="preserve"> not appear to be a correlation between the different types of CAPs offered by utilities (</w:t>
      </w:r>
      <w:r w:rsidR="00642A68" w:rsidRPr="00EE5714">
        <w:rPr>
          <w:rFonts w:ascii="Times New Roman" w:hAnsi="Times New Roman" w:cs="Times New Roman"/>
          <w:i/>
          <w:iCs/>
          <w:sz w:val="26"/>
          <w:szCs w:val="26"/>
        </w:rPr>
        <w:t>e.g.</w:t>
      </w:r>
      <w:r w:rsidR="00642A68" w:rsidRPr="00EE5714">
        <w:rPr>
          <w:rFonts w:ascii="Times New Roman" w:hAnsi="Times New Roman" w:cs="Times New Roman"/>
          <w:sz w:val="26"/>
          <w:szCs w:val="26"/>
        </w:rPr>
        <w:t xml:space="preserve">, percent of income, rate discounts) and the </w:t>
      </w:r>
      <w:r w:rsidR="00D13560" w:rsidRPr="00EE5714">
        <w:rPr>
          <w:rFonts w:ascii="Times New Roman" w:hAnsi="Times New Roman" w:cs="Times New Roman"/>
          <w:sz w:val="26"/>
          <w:szCs w:val="26"/>
        </w:rPr>
        <w:t>n</w:t>
      </w:r>
      <w:r w:rsidR="007D02ED" w:rsidRPr="00EE5714">
        <w:rPr>
          <w:rFonts w:ascii="Times New Roman" w:hAnsi="Times New Roman" w:cs="Times New Roman"/>
          <w:sz w:val="26"/>
          <w:szCs w:val="26"/>
        </w:rPr>
        <w:t>u</w:t>
      </w:r>
      <w:r w:rsidR="00D13560" w:rsidRPr="00EE5714">
        <w:rPr>
          <w:rFonts w:ascii="Times New Roman" w:hAnsi="Times New Roman" w:cs="Times New Roman"/>
          <w:sz w:val="26"/>
          <w:szCs w:val="26"/>
        </w:rPr>
        <w:t>mber</w:t>
      </w:r>
      <w:r w:rsidR="00642A68" w:rsidRPr="00EE5714">
        <w:rPr>
          <w:rFonts w:ascii="Times New Roman" w:hAnsi="Times New Roman" w:cs="Times New Roman"/>
          <w:sz w:val="26"/>
          <w:szCs w:val="26"/>
        </w:rPr>
        <w:t xml:space="preserve"> of CLI customers in debt not on agreement, as compared to income.  </w:t>
      </w:r>
    </w:p>
    <w:p w14:paraId="386B2DE5" w14:textId="77777777" w:rsidR="00642A68" w:rsidRPr="00EE5714" w:rsidRDefault="00642A68" w:rsidP="00642A68">
      <w:pPr>
        <w:spacing w:after="0" w:line="240" w:lineRule="auto"/>
        <w:contextualSpacing/>
        <w:rPr>
          <w:rFonts w:ascii="Times New Roman" w:hAnsi="Times New Roman" w:cs="Times New Roman"/>
          <w:sz w:val="26"/>
          <w:szCs w:val="26"/>
        </w:rPr>
      </w:pPr>
    </w:p>
    <w:p w14:paraId="02CC8C5A" w14:textId="77777777" w:rsidR="00491DBA" w:rsidRPr="00EE5714" w:rsidRDefault="00880927" w:rsidP="00642A68">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642A68" w:rsidRPr="00EE5714">
        <w:rPr>
          <w:rFonts w:ascii="Times New Roman" w:hAnsi="Times New Roman" w:cs="Times New Roman"/>
          <w:sz w:val="26"/>
          <w:szCs w:val="26"/>
        </w:rPr>
        <w:t>The general increase</w:t>
      </w:r>
      <w:r w:rsidR="00191BBD" w:rsidRPr="00EE5714">
        <w:rPr>
          <w:rFonts w:ascii="Times New Roman" w:hAnsi="Times New Roman" w:cs="Times New Roman"/>
          <w:sz w:val="26"/>
          <w:szCs w:val="26"/>
        </w:rPr>
        <w:t>s</w:t>
      </w:r>
      <w:r w:rsidR="00642A68" w:rsidRPr="00EE5714">
        <w:rPr>
          <w:rFonts w:ascii="Times New Roman" w:hAnsi="Times New Roman" w:cs="Times New Roman"/>
          <w:sz w:val="26"/>
          <w:szCs w:val="26"/>
        </w:rPr>
        <w:t xml:space="preserve"> in the percent of CLI debt on agreements </w:t>
      </w:r>
      <w:r w:rsidR="005E6D4A" w:rsidRPr="00EE5714">
        <w:rPr>
          <w:rFonts w:ascii="Times New Roman" w:hAnsi="Times New Roman" w:cs="Times New Roman"/>
          <w:sz w:val="26"/>
          <w:szCs w:val="26"/>
        </w:rPr>
        <w:t>correspond</w:t>
      </w:r>
      <w:r w:rsidR="000307C2" w:rsidRPr="00EE5714">
        <w:rPr>
          <w:rFonts w:ascii="Times New Roman" w:hAnsi="Times New Roman" w:cs="Times New Roman"/>
          <w:sz w:val="26"/>
          <w:szCs w:val="26"/>
        </w:rPr>
        <w:t>ed</w:t>
      </w:r>
      <w:r w:rsidR="005E6D4A" w:rsidRPr="00EE5714">
        <w:rPr>
          <w:rFonts w:ascii="Times New Roman" w:hAnsi="Times New Roman" w:cs="Times New Roman"/>
          <w:sz w:val="26"/>
          <w:szCs w:val="26"/>
        </w:rPr>
        <w:t xml:space="preserve"> to</w:t>
      </w:r>
      <w:r w:rsidR="00D02C97" w:rsidRPr="00EE5714">
        <w:rPr>
          <w:rFonts w:ascii="Times New Roman" w:hAnsi="Times New Roman" w:cs="Times New Roman"/>
          <w:sz w:val="26"/>
          <w:szCs w:val="26"/>
        </w:rPr>
        <w:t xml:space="preserve"> </w:t>
      </w:r>
      <w:r w:rsidR="00642A68" w:rsidRPr="00EE5714">
        <w:rPr>
          <w:rFonts w:ascii="Times New Roman" w:hAnsi="Times New Roman" w:cs="Times New Roman"/>
          <w:sz w:val="26"/>
          <w:szCs w:val="26"/>
        </w:rPr>
        <w:t>a decline in the percent of CLI customers not on agreements</w:t>
      </w:r>
      <w:r w:rsidR="005E6D4A" w:rsidRPr="00EE5714">
        <w:rPr>
          <w:rFonts w:ascii="Times New Roman" w:hAnsi="Times New Roman" w:cs="Times New Roman"/>
          <w:sz w:val="26"/>
          <w:szCs w:val="26"/>
        </w:rPr>
        <w:t xml:space="preserve"> for many utilities</w:t>
      </w:r>
      <w:r w:rsidR="00642A68" w:rsidRPr="00EE5714">
        <w:rPr>
          <w:rFonts w:ascii="Times New Roman" w:hAnsi="Times New Roman" w:cs="Times New Roman"/>
          <w:sz w:val="26"/>
          <w:szCs w:val="26"/>
        </w:rPr>
        <w:t xml:space="preserve">. </w:t>
      </w:r>
      <w:r w:rsidR="00187D9D" w:rsidRPr="00EE5714">
        <w:rPr>
          <w:rFonts w:ascii="Times New Roman" w:hAnsi="Times New Roman" w:cs="Times New Roman"/>
          <w:sz w:val="26"/>
          <w:szCs w:val="26"/>
        </w:rPr>
        <w:t xml:space="preserve"> </w:t>
      </w:r>
      <w:r w:rsidR="00642A68" w:rsidRPr="00EE5714">
        <w:rPr>
          <w:rFonts w:ascii="Times New Roman" w:hAnsi="Times New Roman" w:cs="Times New Roman"/>
          <w:sz w:val="26"/>
          <w:szCs w:val="26"/>
        </w:rPr>
        <w:t xml:space="preserve">This may indicate that utilities </w:t>
      </w:r>
      <w:r w:rsidR="000307C2" w:rsidRPr="00EE5714">
        <w:rPr>
          <w:rFonts w:ascii="Times New Roman" w:hAnsi="Times New Roman" w:cs="Times New Roman"/>
          <w:sz w:val="26"/>
          <w:szCs w:val="26"/>
        </w:rPr>
        <w:t>we</w:t>
      </w:r>
      <w:r w:rsidR="00642A68" w:rsidRPr="00EE5714">
        <w:rPr>
          <w:rFonts w:ascii="Times New Roman" w:hAnsi="Times New Roman" w:cs="Times New Roman"/>
          <w:sz w:val="26"/>
          <w:szCs w:val="26"/>
        </w:rPr>
        <w:t xml:space="preserve">re having greater success in either enrolling CLI customers in CAPs or establishing payment agreements.   </w:t>
      </w:r>
    </w:p>
    <w:p w14:paraId="7C310A38" w14:textId="77777777" w:rsidR="006665D3" w:rsidRPr="00EE5714" w:rsidRDefault="00834462" w:rsidP="0041220B">
      <w:pPr>
        <w:pStyle w:val="Heading1"/>
      </w:pPr>
      <w:bookmarkStart w:id="40" w:name="_Toc533674867"/>
      <w:bookmarkStart w:id="41" w:name="_Toc534547872"/>
      <w:r w:rsidRPr="00EE5714">
        <w:t>I</w:t>
      </w:r>
      <w:r w:rsidR="006665D3" w:rsidRPr="00EE5714">
        <w:t>X.</w:t>
      </w:r>
      <w:r w:rsidR="007D2BB1" w:rsidRPr="00EE5714">
        <w:t xml:space="preserve">  </w:t>
      </w:r>
      <w:r w:rsidR="0086082A" w:rsidRPr="00EE5714">
        <w:t xml:space="preserve">Review of Other </w:t>
      </w:r>
      <w:r w:rsidR="006665D3" w:rsidRPr="00EE5714">
        <w:t xml:space="preserve">State </w:t>
      </w:r>
      <w:r w:rsidR="0086082A" w:rsidRPr="00EE5714">
        <w:t>Programs and Relevant Studies</w:t>
      </w:r>
      <w:bookmarkEnd w:id="40"/>
      <w:bookmarkEnd w:id="41"/>
      <w:r w:rsidR="006665D3" w:rsidRPr="00EE5714">
        <w:t xml:space="preserve"> </w:t>
      </w:r>
    </w:p>
    <w:p w14:paraId="00620906" w14:textId="77777777" w:rsidR="001E6ECA" w:rsidRPr="00EE5714" w:rsidRDefault="001E6ECA" w:rsidP="00DA40E5">
      <w:pPr>
        <w:spacing w:after="0" w:line="240" w:lineRule="auto"/>
        <w:jc w:val="center"/>
        <w:rPr>
          <w:rFonts w:ascii="Times New Roman" w:eastAsia="Calibri" w:hAnsi="Times New Roman" w:cs="Times New Roman"/>
          <w:sz w:val="26"/>
          <w:szCs w:val="26"/>
        </w:rPr>
      </w:pPr>
    </w:p>
    <w:p w14:paraId="4C00ED57" w14:textId="77777777" w:rsidR="007D2BB1" w:rsidRPr="00EE5714" w:rsidRDefault="007D2BB1" w:rsidP="004F46AA">
      <w:pPr>
        <w:spacing w:after="0" w:line="240" w:lineRule="auto"/>
        <w:jc w:val="center"/>
        <w:rPr>
          <w:rFonts w:ascii="Times New Roman" w:eastAsia="Calibri" w:hAnsi="Times New Roman" w:cs="Times New Roman"/>
          <w:b/>
          <w:bCs/>
          <w:sz w:val="26"/>
          <w:szCs w:val="26"/>
        </w:rPr>
      </w:pPr>
      <w:r w:rsidRPr="00EE5714">
        <w:rPr>
          <w:rFonts w:ascii="Times New Roman" w:eastAsia="Calibri" w:hAnsi="Times New Roman" w:cs="Times New Roman"/>
          <w:b/>
          <w:bCs/>
          <w:sz w:val="26"/>
          <w:szCs w:val="26"/>
        </w:rPr>
        <w:lastRenderedPageBreak/>
        <w:t>Objective</w:t>
      </w:r>
    </w:p>
    <w:p w14:paraId="5A9E0B5B" w14:textId="77777777" w:rsidR="007D2BB1" w:rsidRPr="00EE5714" w:rsidRDefault="007D2BB1">
      <w:pPr>
        <w:spacing w:after="0" w:line="240" w:lineRule="auto"/>
        <w:rPr>
          <w:rFonts w:ascii="Times New Roman" w:eastAsia="Calibri" w:hAnsi="Times New Roman" w:cs="Times New Roman"/>
          <w:sz w:val="26"/>
          <w:szCs w:val="26"/>
        </w:rPr>
      </w:pPr>
    </w:p>
    <w:p w14:paraId="7C2687BC" w14:textId="77777777" w:rsidR="007D2BB1" w:rsidRPr="00EE5714" w:rsidRDefault="00DA40E5">
      <w:pPr>
        <w:spacing w:after="0" w:line="240" w:lineRule="auto"/>
        <w:rPr>
          <w:rFonts w:ascii="Times New Roman" w:eastAsia="Calibri" w:hAnsi="Times New Roman" w:cs="Times New Roman"/>
          <w:sz w:val="26"/>
          <w:szCs w:val="26"/>
        </w:rPr>
      </w:pPr>
      <w:r w:rsidRPr="00EE5714">
        <w:rPr>
          <w:rFonts w:ascii="Times New Roman" w:eastAsia="Calibri" w:hAnsi="Times New Roman" w:cs="Times New Roman"/>
          <w:sz w:val="26"/>
          <w:szCs w:val="26"/>
        </w:rPr>
        <w:tab/>
      </w:r>
      <w:r w:rsidR="007D2BB1" w:rsidRPr="00EE5714">
        <w:rPr>
          <w:rFonts w:ascii="Times New Roman" w:eastAsia="Calibri" w:hAnsi="Times New Roman" w:cs="Times New Roman"/>
          <w:sz w:val="26"/>
          <w:szCs w:val="26"/>
        </w:rPr>
        <w:t xml:space="preserve">To understand how other states </w:t>
      </w:r>
      <w:r w:rsidR="005E2BDF" w:rsidRPr="00EE5714">
        <w:rPr>
          <w:rFonts w:ascii="Times New Roman" w:eastAsia="Calibri" w:hAnsi="Times New Roman" w:cs="Times New Roman"/>
          <w:sz w:val="26"/>
          <w:szCs w:val="26"/>
        </w:rPr>
        <w:t xml:space="preserve">and the District of Columbia (collectively, states) </w:t>
      </w:r>
      <w:r w:rsidR="007D2BB1" w:rsidRPr="00EE5714">
        <w:rPr>
          <w:rFonts w:ascii="Times New Roman" w:eastAsia="Calibri" w:hAnsi="Times New Roman" w:cs="Times New Roman"/>
          <w:sz w:val="26"/>
          <w:szCs w:val="26"/>
        </w:rPr>
        <w:t>address energy burdens and affordability issues for their low-income residents</w:t>
      </w:r>
      <w:r w:rsidR="00E82299" w:rsidRPr="00EE5714">
        <w:rPr>
          <w:rFonts w:ascii="Times New Roman" w:eastAsia="Calibri" w:hAnsi="Times New Roman" w:cs="Times New Roman"/>
          <w:sz w:val="26"/>
          <w:szCs w:val="26"/>
        </w:rPr>
        <w:t xml:space="preserve"> and gather information </w:t>
      </w:r>
      <w:r w:rsidR="008225A0" w:rsidRPr="00EE5714">
        <w:rPr>
          <w:rFonts w:ascii="Times New Roman" w:eastAsia="Calibri" w:hAnsi="Times New Roman" w:cs="Times New Roman"/>
          <w:sz w:val="26"/>
          <w:szCs w:val="26"/>
        </w:rPr>
        <w:t xml:space="preserve">from relevant </w:t>
      </w:r>
      <w:r w:rsidR="00F026B8" w:rsidRPr="00EE5714">
        <w:rPr>
          <w:rFonts w:ascii="Times New Roman" w:eastAsia="Calibri" w:hAnsi="Times New Roman" w:cs="Times New Roman"/>
          <w:sz w:val="26"/>
          <w:szCs w:val="26"/>
        </w:rPr>
        <w:t xml:space="preserve">independent </w:t>
      </w:r>
      <w:r w:rsidR="008225A0" w:rsidRPr="00EE5714">
        <w:rPr>
          <w:rFonts w:ascii="Times New Roman" w:eastAsia="Calibri" w:hAnsi="Times New Roman" w:cs="Times New Roman"/>
          <w:sz w:val="26"/>
          <w:szCs w:val="26"/>
        </w:rPr>
        <w:t>studies</w:t>
      </w:r>
      <w:r w:rsidR="007D2BB1" w:rsidRPr="00EE5714">
        <w:rPr>
          <w:rFonts w:ascii="Times New Roman" w:eastAsia="Calibri" w:hAnsi="Times New Roman" w:cs="Times New Roman"/>
          <w:sz w:val="26"/>
          <w:szCs w:val="26"/>
        </w:rPr>
        <w:t>.</w:t>
      </w:r>
    </w:p>
    <w:p w14:paraId="6D3223CA" w14:textId="77777777" w:rsidR="007D2BB1" w:rsidRPr="00EE5714" w:rsidRDefault="007D2BB1" w:rsidP="007D2BB1">
      <w:pPr>
        <w:spacing w:after="0" w:line="240" w:lineRule="auto"/>
        <w:rPr>
          <w:rFonts w:ascii="Times New Roman" w:eastAsia="Calibri" w:hAnsi="Times New Roman" w:cs="Times New Roman"/>
          <w:sz w:val="26"/>
          <w:szCs w:val="26"/>
        </w:rPr>
      </w:pPr>
    </w:p>
    <w:p w14:paraId="3793FD2F" w14:textId="77777777" w:rsidR="007D2BB1" w:rsidRPr="00EE5714" w:rsidRDefault="007D2BB1" w:rsidP="004F46AA">
      <w:pPr>
        <w:spacing w:after="0" w:line="240" w:lineRule="auto"/>
        <w:jc w:val="center"/>
        <w:rPr>
          <w:rFonts w:ascii="Times New Roman" w:eastAsia="Calibri" w:hAnsi="Times New Roman" w:cs="Times New Roman"/>
          <w:b/>
          <w:bCs/>
          <w:sz w:val="26"/>
          <w:szCs w:val="26"/>
        </w:rPr>
      </w:pPr>
      <w:r w:rsidRPr="00EE5714">
        <w:rPr>
          <w:rFonts w:ascii="Times New Roman" w:eastAsia="Calibri" w:hAnsi="Times New Roman" w:cs="Times New Roman"/>
          <w:b/>
          <w:bCs/>
          <w:sz w:val="26"/>
          <w:szCs w:val="26"/>
        </w:rPr>
        <w:t>Background</w:t>
      </w:r>
    </w:p>
    <w:p w14:paraId="4364D734" w14:textId="77777777" w:rsidR="0083034F" w:rsidRPr="00EE5714" w:rsidRDefault="0083034F" w:rsidP="001277E4">
      <w:pPr>
        <w:spacing w:after="0" w:line="240" w:lineRule="auto"/>
        <w:rPr>
          <w:rFonts w:ascii="Times New Roman" w:eastAsia="Calibri" w:hAnsi="Times New Roman" w:cs="Times New Roman"/>
          <w:sz w:val="26"/>
          <w:szCs w:val="26"/>
        </w:rPr>
      </w:pPr>
    </w:p>
    <w:p w14:paraId="0EA0CBA6" w14:textId="4ADC43E4" w:rsidR="007D2BB1" w:rsidRPr="00EE5714" w:rsidRDefault="002C0CDE" w:rsidP="009C0DF9">
      <w:pPr>
        <w:spacing w:after="0" w:line="240" w:lineRule="auto"/>
        <w:ind w:firstLine="720"/>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Pursuant to Commission direction </w:t>
      </w:r>
      <w:r w:rsidR="00E81B98" w:rsidRPr="00EE5714">
        <w:rPr>
          <w:rFonts w:ascii="Times New Roman" w:eastAsia="Calibri" w:hAnsi="Times New Roman" w:cs="Times New Roman"/>
          <w:sz w:val="26"/>
          <w:szCs w:val="26"/>
        </w:rPr>
        <w:t xml:space="preserve">in Docket No. </w:t>
      </w:r>
      <w:r w:rsidRPr="00EE5714">
        <w:rPr>
          <w:rFonts w:ascii="Times New Roman" w:eastAsia="Calibri" w:hAnsi="Times New Roman" w:cs="Times New Roman"/>
          <w:sz w:val="26"/>
          <w:szCs w:val="26"/>
        </w:rPr>
        <w:t>M-2017-2587711, staff develo</w:t>
      </w:r>
      <w:r w:rsidR="00C5213A" w:rsidRPr="00EE5714">
        <w:rPr>
          <w:rFonts w:ascii="Times New Roman" w:eastAsia="Calibri" w:hAnsi="Times New Roman" w:cs="Times New Roman"/>
          <w:sz w:val="26"/>
          <w:szCs w:val="26"/>
        </w:rPr>
        <w:t>ped a</w:t>
      </w:r>
      <w:r w:rsidR="001277E4" w:rsidRPr="00EE5714">
        <w:rPr>
          <w:rFonts w:ascii="Times New Roman" w:eastAsia="Calibri" w:hAnsi="Times New Roman" w:cs="Times New Roman"/>
          <w:sz w:val="26"/>
          <w:szCs w:val="26"/>
        </w:rPr>
        <w:t xml:space="preserve"> survey to gather information on how </w:t>
      </w:r>
      <w:r w:rsidR="00C5213A" w:rsidRPr="00EE5714">
        <w:rPr>
          <w:rFonts w:ascii="Times New Roman" w:eastAsia="Calibri" w:hAnsi="Times New Roman" w:cs="Times New Roman"/>
          <w:sz w:val="26"/>
          <w:szCs w:val="26"/>
        </w:rPr>
        <w:t xml:space="preserve">other </w:t>
      </w:r>
      <w:r w:rsidR="001277E4" w:rsidRPr="00EE5714">
        <w:rPr>
          <w:rFonts w:ascii="Times New Roman" w:eastAsia="Calibri" w:hAnsi="Times New Roman" w:cs="Times New Roman"/>
          <w:sz w:val="26"/>
          <w:szCs w:val="26"/>
        </w:rPr>
        <w:t xml:space="preserve">states address energy burdens and affordability issues for their low-income residents.  </w:t>
      </w:r>
      <w:r w:rsidR="00236754" w:rsidRPr="00EE5714">
        <w:rPr>
          <w:rFonts w:ascii="Times New Roman" w:eastAsia="Calibri" w:hAnsi="Times New Roman" w:cs="Times New Roman"/>
          <w:sz w:val="26"/>
          <w:szCs w:val="26"/>
        </w:rPr>
        <w:t>The state survey cover</w:t>
      </w:r>
      <w:r w:rsidR="00C5213A" w:rsidRPr="00EE5714">
        <w:rPr>
          <w:rFonts w:ascii="Times New Roman" w:eastAsia="Calibri" w:hAnsi="Times New Roman" w:cs="Times New Roman"/>
          <w:sz w:val="26"/>
          <w:szCs w:val="26"/>
        </w:rPr>
        <w:t>ed</w:t>
      </w:r>
      <w:r w:rsidR="00236754" w:rsidRPr="00EE5714">
        <w:rPr>
          <w:rFonts w:ascii="Times New Roman" w:eastAsia="Calibri" w:hAnsi="Times New Roman" w:cs="Times New Roman"/>
          <w:sz w:val="26"/>
          <w:szCs w:val="26"/>
        </w:rPr>
        <w:t xml:space="preserve"> an extensive array of factors.  </w:t>
      </w:r>
      <w:r w:rsidR="001277E4" w:rsidRPr="00EE5714">
        <w:rPr>
          <w:rFonts w:ascii="Times New Roman" w:eastAsia="Calibri" w:hAnsi="Times New Roman" w:cs="Times New Roman"/>
          <w:sz w:val="26"/>
          <w:szCs w:val="26"/>
        </w:rPr>
        <w:t xml:space="preserve">The </w:t>
      </w:r>
      <w:r w:rsidR="00436315" w:rsidRPr="00EE5714">
        <w:rPr>
          <w:rFonts w:ascii="Times New Roman" w:eastAsia="Calibri" w:hAnsi="Times New Roman" w:cs="Times New Roman"/>
          <w:sz w:val="26"/>
          <w:szCs w:val="26"/>
        </w:rPr>
        <w:t>state</w:t>
      </w:r>
      <w:r w:rsidR="001277E4" w:rsidRPr="00EE5714">
        <w:rPr>
          <w:rFonts w:ascii="Times New Roman" w:eastAsia="Calibri" w:hAnsi="Times New Roman" w:cs="Times New Roman"/>
          <w:sz w:val="26"/>
          <w:szCs w:val="26"/>
        </w:rPr>
        <w:t xml:space="preserve"> survey request</w:t>
      </w:r>
      <w:r w:rsidR="00DE117C" w:rsidRPr="00EE5714">
        <w:rPr>
          <w:rFonts w:ascii="Times New Roman" w:eastAsia="Calibri" w:hAnsi="Times New Roman" w:cs="Times New Roman"/>
          <w:sz w:val="26"/>
          <w:szCs w:val="26"/>
        </w:rPr>
        <w:t>ed</w:t>
      </w:r>
      <w:r w:rsidR="001277E4" w:rsidRPr="00EE5714">
        <w:rPr>
          <w:rFonts w:ascii="Times New Roman" w:eastAsia="Calibri" w:hAnsi="Times New Roman" w:cs="Times New Roman"/>
          <w:sz w:val="26"/>
          <w:szCs w:val="26"/>
        </w:rPr>
        <w:t xml:space="preserve"> information on the jurisdictional utility regulatory low-income programs in each state and collect</w:t>
      </w:r>
      <w:r w:rsidR="00E3339B" w:rsidRPr="00EE5714">
        <w:rPr>
          <w:rFonts w:ascii="Times New Roman" w:eastAsia="Calibri" w:hAnsi="Times New Roman" w:cs="Times New Roman"/>
          <w:sz w:val="26"/>
          <w:szCs w:val="26"/>
        </w:rPr>
        <w:t>ed</w:t>
      </w:r>
      <w:r w:rsidR="001277E4" w:rsidRPr="00EE5714">
        <w:rPr>
          <w:rFonts w:ascii="Times New Roman" w:eastAsia="Calibri" w:hAnsi="Times New Roman" w:cs="Times New Roman"/>
          <w:sz w:val="26"/>
          <w:szCs w:val="26"/>
        </w:rPr>
        <w:t xml:space="preserve"> information on how the utilities treat the relevant variables in their own programs and policies</w:t>
      </w:r>
      <w:r w:rsidR="005E2BDF" w:rsidRPr="00EE5714">
        <w:rPr>
          <w:rFonts w:ascii="Times New Roman" w:eastAsia="Calibri" w:hAnsi="Times New Roman" w:cs="Times New Roman"/>
          <w:sz w:val="26"/>
          <w:szCs w:val="26"/>
        </w:rPr>
        <w:t>.  The state surveys</w:t>
      </w:r>
      <w:r w:rsidR="00B20999" w:rsidRPr="00EE5714">
        <w:rPr>
          <w:rFonts w:ascii="Times New Roman" w:eastAsia="Calibri" w:hAnsi="Times New Roman" w:cs="Times New Roman"/>
          <w:sz w:val="26"/>
          <w:szCs w:val="26"/>
        </w:rPr>
        <w:t xml:space="preserve"> w</w:t>
      </w:r>
      <w:r w:rsidR="00F0645C" w:rsidRPr="00EE5714">
        <w:rPr>
          <w:rFonts w:ascii="Times New Roman" w:eastAsia="Calibri" w:hAnsi="Times New Roman" w:cs="Times New Roman"/>
          <w:sz w:val="26"/>
          <w:szCs w:val="26"/>
        </w:rPr>
        <w:t>ere</w:t>
      </w:r>
      <w:r w:rsidR="00B20999" w:rsidRPr="00EE5714">
        <w:rPr>
          <w:rFonts w:ascii="Times New Roman" w:eastAsia="Calibri" w:hAnsi="Times New Roman" w:cs="Times New Roman"/>
          <w:sz w:val="26"/>
          <w:szCs w:val="26"/>
        </w:rPr>
        <w:t xml:space="preserve"> sent </w:t>
      </w:r>
      <w:r w:rsidR="004E5BD7" w:rsidRPr="00EE5714">
        <w:rPr>
          <w:rFonts w:ascii="Times New Roman" w:eastAsia="Calibri" w:hAnsi="Times New Roman" w:cs="Times New Roman"/>
          <w:sz w:val="26"/>
          <w:szCs w:val="26"/>
        </w:rPr>
        <w:t>electronically</w:t>
      </w:r>
      <w:r w:rsidR="00B20999" w:rsidRPr="00EE5714">
        <w:rPr>
          <w:rFonts w:ascii="Times New Roman" w:eastAsia="Calibri" w:hAnsi="Times New Roman" w:cs="Times New Roman"/>
          <w:sz w:val="26"/>
          <w:szCs w:val="26"/>
        </w:rPr>
        <w:t xml:space="preserve"> to the various state </w:t>
      </w:r>
      <w:r w:rsidR="00C6455A" w:rsidRPr="00EE5714">
        <w:rPr>
          <w:rFonts w:ascii="Times New Roman" w:eastAsia="Calibri" w:hAnsi="Times New Roman" w:cs="Times New Roman"/>
          <w:sz w:val="26"/>
          <w:szCs w:val="26"/>
        </w:rPr>
        <w:t xml:space="preserve">utility </w:t>
      </w:r>
      <w:r w:rsidR="00B20999" w:rsidRPr="00EE5714">
        <w:rPr>
          <w:rFonts w:ascii="Times New Roman" w:eastAsia="Calibri" w:hAnsi="Times New Roman" w:cs="Times New Roman"/>
          <w:sz w:val="26"/>
          <w:szCs w:val="26"/>
        </w:rPr>
        <w:t>commissions</w:t>
      </w:r>
      <w:r w:rsidR="001277E4" w:rsidRPr="00EE5714">
        <w:rPr>
          <w:rFonts w:ascii="Times New Roman" w:eastAsia="Calibri" w:hAnsi="Times New Roman" w:cs="Times New Roman"/>
          <w:sz w:val="26"/>
          <w:szCs w:val="26"/>
        </w:rPr>
        <w:t>.</w:t>
      </w:r>
      <w:r w:rsidR="001923A1" w:rsidRPr="00EE5714">
        <w:rPr>
          <w:rFonts w:ascii="Times New Roman" w:eastAsia="Calibri" w:hAnsi="Times New Roman" w:cs="Times New Roman"/>
          <w:sz w:val="26"/>
          <w:szCs w:val="26"/>
        </w:rPr>
        <w:t xml:space="preserve">  </w:t>
      </w:r>
    </w:p>
    <w:p w14:paraId="49B1460B" w14:textId="77777777" w:rsidR="004633C0" w:rsidRPr="00EE5714" w:rsidRDefault="004633C0" w:rsidP="004633C0">
      <w:pPr>
        <w:spacing w:after="0" w:line="240" w:lineRule="auto"/>
        <w:ind w:firstLine="720"/>
        <w:rPr>
          <w:rFonts w:ascii="Times New Roman" w:eastAsia="Calibri" w:hAnsi="Times New Roman" w:cs="Times New Roman"/>
          <w:sz w:val="26"/>
          <w:szCs w:val="26"/>
        </w:rPr>
      </w:pPr>
    </w:p>
    <w:p w14:paraId="30D8EA51" w14:textId="77777777" w:rsidR="004633C0" w:rsidRPr="00EE5714" w:rsidRDefault="00D571CA" w:rsidP="004633C0">
      <w:pPr>
        <w:spacing w:after="0" w:line="240" w:lineRule="auto"/>
        <w:ind w:firstLine="720"/>
        <w:rPr>
          <w:rFonts w:ascii="Times New Roman" w:eastAsia="Calibri" w:hAnsi="Times New Roman" w:cs="Times New Roman"/>
          <w:sz w:val="26"/>
          <w:szCs w:val="26"/>
        </w:rPr>
      </w:pPr>
      <w:r w:rsidRPr="00EE5714">
        <w:rPr>
          <w:rFonts w:ascii="Times New Roman" w:eastAsia="Calibri" w:hAnsi="Times New Roman" w:cs="Times New Roman"/>
          <w:sz w:val="26"/>
          <w:szCs w:val="26"/>
        </w:rPr>
        <w:t>S</w:t>
      </w:r>
      <w:r w:rsidR="004633C0" w:rsidRPr="00EE5714">
        <w:rPr>
          <w:rFonts w:ascii="Times New Roman" w:eastAsia="Calibri" w:hAnsi="Times New Roman" w:cs="Times New Roman"/>
          <w:sz w:val="26"/>
          <w:szCs w:val="26"/>
        </w:rPr>
        <w:t xml:space="preserve">taff </w:t>
      </w:r>
      <w:r w:rsidR="00E7221F" w:rsidRPr="00EE5714">
        <w:rPr>
          <w:rFonts w:ascii="Times New Roman" w:eastAsia="Calibri" w:hAnsi="Times New Roman" w:cs="Times New Roman"/>
          <w:sz w:val="26"/>
          <w:szCs w:val="26"/>
        </w:rPr>
        <w:t>worked with</w:t>
      </w:r>
      <w:r w:rsidR="00B607C6" w:rsidRPr="00EE5714">
        <w:rPr>
          <w:rFonts w:ascii="Times New Roman" w:eastAsia="Calibri" w:hAnsi="Times New Roman" w:cs="Times New Roman"/>
          <w:sz w:val="26"/>
          <w:szCs w:val="26"/>
        </w:rPr>
        <w:t xml:space="preserve"> </w:t>
      </w:r>
      <w:r w:rsidRPr="00EE5714">
        <w:rPr>
          <w:rFonts w:ascii="Times New Roman" w:eastAsia="Calibri" w:hAnsi="Times New Roman" w:cs="Times New Roman"/>
          <w:sz w:val="26"/>
          <w:szCs w:val="26"/>
        </w:rPr>
        <w:t xml:space="preserve">the Commission’s </w:t>
      </w:r>
      <w:r w:rsidR="004633C0" w:rsidRPr="00EE5714">
        <w:rPr>
          <w:rFonts w:ascii="Times New Roman" w:eastAsia="Calibri" w:hAnsi="Times New Roman" w:cs="Times New Roman"/>
          <w:sz w:val="26"/>
          <w:szCs w:val="26"/>
        </w:rPr>
        <w:t xml:space="preserve">CSIS Project </w:t>
      </w:r>
      <w:r w:rsidR="003057D2" w:rsidRPr="00EE5714">
        <w:rPr>
          <w:rFonts w:ascii="Times New Roman" w:eastAsia="Calibri" w:hAnsi="Times New Roman" w:cs="Times New Roman"/>
          <w:sz w:val="26"/>
          <w:szCs w:val="26"/>
        </w:rPr>
        <w:t xml:space="preserve">to </w:t>
      </w:r>
      <w:r w:rsidR="003502A6" w:rsidRPr="00EE5714">
        <w:rPr>
          <w:rFonts w:ascii="Times New Roman" w:eastAsia="Calibri" w:hAnsi="Times New Roman" w:cs="Times New Roman"/>
          <w:sz w:val="26"/>
          <w:szCs w:val="26"/>
        </w:rPr>
        <w:t xml:space="preserve">collect and collate </w:t>
      </w:r>
      <w:r w:rsidR="004633C0" w:rsidRPr="00EE5714">
        <w:rPr>
          <w:rFonts w:ascii="Times New Roman" w:eastAsia="Calibri" w:hAnsi="Times New Roman" w:cs="Times New Roman"/>
          <w:sz w:val="26"/>
          <w:szCs w:val="26"/>
        </w:rPr>
        <w:t xml:space="preserve">the results of the state surveys and </w:t>
      </w:r>
      <w:r w:rsidR="003502A6" w:rsidRPr="00EE5714">
        <w:rPr>
          <w:rFonts w:ascii="Times New Roman" w:eastAsia="Calibri" w:hAnsi="Times New Roman" w:cs="Times New Roman"/>
          <w:sz w:val="26"/>
          <w:szCs w:val="26"/>
        </w:rPr>
        <w:t xml:space="preserve">to </w:t>
      </w:r>
      <w:r w:rsidR="004633C0" w:rsidRPr="00EE5714">
        <w:rPr>
          <w:rFonts w:ascii="Times New Roman" w:eastAsia="Calibri" w:hAnsi="Times New Roman" w:cs="Times New Roman"/>
          <w:sz w:val="26"/>
          <w:szCs w:val="26"/>
        </w:rPr>
        <w:t>review independent studies that may provide further insight into energy affordability issues.</w:t>
      </w:r>
      <w:r w:rsidR="003502A6" w:rsidRPr="00EE5714">
        <w:rPr>
          <w:rFonts w:ascii="Times New Roman" w:eastAsia="Calibri" w:hAnsi="Times New Roman" w:cs="Times New Roman"/>
          <w:sz w:val="26"/>
          <w:szCs w:val="26"/>
        </w:rPr>
        <w:t xml:space="preserve">  </w:t>
      </w:r>
    </w:p>
    <w:p w14:paraId="0CA1E27F" w14:textId="77777777" w:rsidR="00C15872" w:rsidRPr="00EE5714" w:rsidRDefault="00C15872" w:rsidP="004633C0">
      <w:pPr>
        <w:spacing w:after="0" w:line="240" w:lineRule="auto"/>
        <w:ind w:firstLine="720"/>
        <w:rPr>
          <w:rFonts w:ascii="Times New Roman" w:eastAsia="Calibri" w:hAnsi="Times New Roman" w:cs="Times New Roman"/>
          <w:sz w:val="26"/>
          <w:szCs w:val="26"/>
        </w:rPr>
      </w:pPr>
    </w:p>
    <w:p w14:paraId="397AD709" w14:textId="77777777" w:rsidR="00F94A8F" w:rsidRPr="00EE5714" w:rsidRDefault="00C15872" w:rsidP="004633C0">
      <w:pPr>
        <w:spacing w:after="0" w:line="240" w:lineRule="auto"/>
        <w:ind w:firstLine="720"/>
        <w:rPr>
          <w:rFonts w:ascii="Times New Roman" w:eastAsia="Calibri" w:hAnsi="Times New Roman" w:cs="Times New Roman"/>
          <w:sz w:val="26"/>
          <w:szCs w:val="26"/>
        </w:rPr>
      </w:pPr>
      <w:r w:rsidRPr="00EE5714">
        <w:rPr>
          <w:rFonts w:ascii="Times New Roman" w:eastAsia="Calibri" w:hAnsi="Times New Roman" w:cs="Times New Roman"/>
          <w:sz w:val="26"/>
          <w:szCs w:val="26"/>
        </w:rPr>
        <w:t>A</w:t>
      </w:r>
      <w:r w:rsidR="00F94A8F" w:rsidRPr="00EE5714">
        <w:rPr>
          <w:rFonts w:ascii="Times New Roman" w:eastAsia="Calibri" w:hAnsi="Times New Roman" w:cs="Times New Roman"/>
          <w:sz w:val="26"/>
          <w:szCs w:val="26"/>
        </w:rPr>
        <w:t>ddition</w:t>
      </w:r>
      <w:r w:rsidRPr="00EE5714">
        <w:rPr>
          <w:rFonts w:ascii="Times New Roman" w:eastAsia="Calibri" w:hAnsi="Times New Roman" w:cs="Times New Roman"/>
          <w:sz w:val="26"/>
          <w:szCs w:val="26"/>
        </w:rPr>
        <w:t xml:space="preserve">ally, several </w:t>
      </w:r>
      <w:r w:rsidR="00CA3887" w:rsidRPr="00EE5714">
        <w:rPr>
          <w:rFonts w:ascii="Times New Roman" w:eastAsia="Calibri" w:hAnsi="Times New Roman" w:cs="Times New Roman"/>
          <w:sz w:val="26"/>
          <w:szCs w:val="26"/>
        </w:rPr>
        <w:t xml:space="preserve">published independent reports and </w:t>
      </w:r>
      <w:r w:rsidRPr="00EE5714">
        <w:rPr>
          <w:rFonts w:ascii="Times New Roman" w:eastAsia="Calibri" w:hAnsi="Times New Roman" w:cs="Times New Roman"/>
          <w:sz w:val="26"/>
          <w:szCs w:val="26"/>
        </w:rPr>
        <w:t xml:space="preserve">studies were reviewed.  </w:t>
      </w:r>
      <w:r w:rsidR="00C31877" w:rsidRPr="00EE5714">
        <w:rPr>
          <w:rFonts w:ascii="Times New Roman" w:eastAsia="Calibri" w:hAnsi="Times New Roman" w:cs="Times New Roman"/>
          <w:sz w:val="26"/>
          <w:szCs w:val="26"/>
        </w:rPr>
        <w:t>Most of the independent reports and studies reviewed were performed by APPRISE</w:t>
      </w:r>
      <w:r w:rsidR="00C31877" w:rsidRPr="00EE5714">
        <w:rPr>
          <w:rStyle w:val="FootnoteReference"/>
          <w:rFonts w:ascii="Times New Roman" w:hAnsi="Times New Roman" w:cs="Times New Roman"/>
          <w:sz w:val="26"/>
          <w:szCs w:val="26"/>
        </w:rPr>
        <w:footnoteReference w:id="63"/>
      </w:r>
      <w:r w:rsidR="00C31877" w:rsidRPr="00EE5714">
        <w:rPr>
          <w:rFonts w:ascii="Times New Roman" w:eastAsia="Calibri" w:hAnsi="Times New Roman" w:cs="Times New Roman"/>
          <w:sz w:val="26"/>
          <w:szCs w:val="26"/>
        </w:rPr>
        <w:t xml:space="preserve"> or by Fisher, Sheehan, and Colton.  </w:t>
      </w:r>
      <w:r w:rsidR="003440D5" w:rsidRPr="00EE5714">
        <w:rPr>
          <w:rFonts w:ascii="Times New Roman" w:eastAsia="Calibri" w:hAnsi="Times New Roman" w:cs="Times New Roman"/>
          <w:sz w:val="26"/>
          <w:szCs w:val="26"/>
        </w:rPr>
        <w:t xml:space="preserve">The CSIS Project assisted with the review of the published </w:t>
      </w:r>
      <w:r w:rsidR="00385DFE" w:rsidRPr="00EE5714">
        <w:rPr>
          <w:rFonts w:ascii="Times New Roman" w:eastAsia="Calibri" w:hAnsi="Times New Roman" w:cs="Times New Roman"/>
          <w:sz w:val="26"/>
          <w:szCs w:val="26"/>
        </w:rPr>
        <w:t xml:space="preserve">reports and </w:t>
      </w:r>
      <w:r w:rsidR="003440D5" w:rsidRPr="00EE5714">
        <w:rPr>
          <w:rFonts w:ascii="Times New Roman" w:eastAsia="Calibri" w:hAnsi="Times New Roman" w:cs="Times New Roman"/>
          <w:sz w:val="26"/>
          <w:szCs w:val="26"/>
        </w:rPr>
        <w:t>studies.</w:t>
      </w:r>
    </w:p>
    <w:p w14:paraId="38985740" w14:textId="77777777" w:rsidR="00F94A8F" w:rsidRPr="00EE5714" w:rsidRDefault="00F94A8F" w:rsidP="004633C0">
      <w:pPr>
        <w:spacing w:after="0" w:line="240" w:lineRule="auto"/>
        <w:ind w:firstLine="720"/>
        <w:rPr>
          <w:rFonts w:ascii="Times New Roman" w:eastAsia="Calibri" w:hAnsi="Times New Roman" w:cs="Times New Roman"/>
          <w:sz w:val="26"/>
          <w:szCs w:val="26"/>
        </w:rPr>
      </w:pPr>
    </w:p>
    <w:p w14:paraId="47580A11" w14:textId="77777777" w:rsidR="007D2BB1" w:rsidRPr="00EE5714" w:rsidRDefault="007D2BB1" w:rsidP="007D2BB1">
      <w:pPr>
        <w:spacing w:after="0" w:line="240" w:lineRule="auto"/>
        <w:rPr>
          <w:rFonts w:ascii="Times New Roman" w:eastAsia="Calibri" w:hAnsi="Times New Roman" w:cs="Times New Roman"/>
          <w:sz w:val="26"/>
          <w:szCs w:val="26"/>
        </w:rPr>
      </w:pPr>
    </w:p>
    <w:p w14:paraId="17870386" w14:textId="77777777" w:rsidR="007D2BB1" w:rsidRPr="00EE5714" w:rsidRDefault="007D2BB1" w:rsidP="004F46AA">
      <w:pPr>
        <w:keepNext/>
        <w:spacing w:after="0" w:line="240" w:lineRule="auto"/>
        <w:jc w:val="center"/>
        <w:rPr>
          <w:rFonts w:ascii="Times New Roman" w:eastAsia="Calibri" w:hAnsi="Times New Roman" w:cs="Times New Roman"/>
          <w:b/>
          <w:bCs/>
          <w:sz w:val="26"/>
          <w:szCs w:val="26"/>
        </w:rPr>
      </w:pPr>
      <w:r w:rsidRPr="00EE5714">
        <w:rPr>
          <w:rFonts w:ascii="Times New Roman" w:eastAsia="Calibri" w:hAnsi="Times New Roman" w:cs="Times New Roman"/>
          <w:b/>
          <w:bCs/>
          <w:sz w:val="26"/>
          <w:szCs w:val="26"/>
        </w:rPr>
        <w:t>Methodology</w:t>
      </w:r>
    </w:p>
    <w:p w14:paraId="319EDAE3" w14:textId="77777777" w:rsidR="007D2BB1" w:rsidRPr="00EE5714" w:rsidRDefault="007D2BB1" w:rsidP="00F439CA">
      <w:pPr>
        <w:keepNext/>
        <w:spacing w:after="0" w:line="240" w:lineRule="auto"/>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 </w:t>
      </w:r>
    </w:p>
    <w:p w14:paraId="363FFA93" w14:textId="77777777" w:rsidR="007D2BB1" w:rsidRPr="00EE5714" w:rsidRDefault="007D2BB1" w:rsidP="007D2BB1">
      <w:pPr>
        <w:spacing w:after="0" w:line="240" w:lineRule="auto"/>
        <w:rPr>
          <w:rFonts w:ascii="Times New Roman" w:eastAsia="Calibri" w:hAnsi="Times New Roman" w:cs="Times New Roman"/>
          <w:sz w:val="26"/>
          <w:szCs w:val="26"/>
        </w:rPr>
      </w:pPr>
      <w:r w:rsidRPr="00EE5714">
        <w:rPr>
          <w:rFonts w:ascii="Times New Roman" w:eastAsia="Calibri" w:hAnsi="Times New Roman" w:cs="Times New Roman"/>
          <w:sz w:val="26"/>
          <w:szCs w:val="26"/>
        </w:rPr>
        <w:tab/>
        <w:t xml:space="preserve">To determine which states most closely resemble Pennsylvania in terms of energy burden, </w:t>
      </w:r>
      <w:r w:rsidR="00890676" w:rsidRPr="00EE5714">
        <w:rPr>
          <w:rFonts w:ascii="Times New Roman" w:eastAsia="Calibri" w:hAnsi="Times New Roman" w:cs="Times New Roman"/>
          <w:sz w:val="26"/>
          <w:szCs w:val="26"/>
        </w:rPr>
        <w:t>FPIG</w:t>
      </w:r>
      <w:r w:rsidRPr="00EE5714">
        <w:rPr>
          <w:rFonts w:ascii="Times New Roman" w:eastAsia="Calibri" w:hAnsi="Times New Roman" w:cs="Times New Roman"/>
          <w:sz w:val="26"/>
          <w:szCs w:val="26"/>
        </w:rPr>
        <w:t xml:space="preserve"> levels, residential profiles</w:t>
      </w:r>
      <w:r w:rsidR="004C5D3C" w:rsidRPr="00EE5714">
        <w:rPr>
          <w:rFonts w:ascii="Times New Roman" w:eastAsia="Calibri" w:hAnsi="Times New Roman" w:cs="Times New Roman"/>
          <w:sz w:val="26"/>
          <w:szCs w:val="26"/>
        </w:rPr>
        <w:t>,</w:t>
      </w:r>
      <w:r w:rsidRPr="00EE5714">
        <w:rPr>
          <w:rFonts w:ascii="Times New Roman" w:eastAsia="Calibri" w:hAnsi="Times New Roman" w:cs="Times New Roman"/>
          <w:sz w:val="26"/>
          <w:szCs w:val="26"/>
        </w:rPr>
        <w:t xml:space="preserve"> and other relevant factors, </w:t>
      </w:r>
      <w:r w:rsidR="003A38DF" w:rsidRPr="00EE5714">
        <w:rPr>
          <w:rFonts w:ascii="Times New Roman" w:eastAsia="Calibri" w:hAnsi="Times New Roman" w:cs="Times New Roman"/>
          <w:sz w:val="26"/>
          <w:szCs w:val="26"/>
        </w:rPr>
        <w:t xml:space="preserve">the Commission’s </w:t>
      </w:r>
      <w:r w:rsidRPr="00EE5714">
        <w:rPr>
          <w:rFonts w:ascii="Times New Roman" w:eastAsia="Calibri" w:hAnsi="Times New Roman" w:cs="Times New Roman"/>
          <w:sz w:val="26"/>
          <w:szCs w:val="26"/>
        </w:rPr>
        <w:t xml:space="preserve">CSIS </w:t>
      </w:r>
      <w:r w:rsidR="003A38DF" w:rsidRPr="00EE5714">
        <w:rPr>
          <w:rFonts w:ascii="Times New Roman" w:eastAsia="Calibri" w:hAnsi="Times New Roman" w:cs="Times New Roman"/>
          <w:sz w:val="26"/>
          <w:szCs w:val="26"/>
        </w:rPr>
        <w:t xml:space="preserve">Project </w:t>
      </w:r>
      <w:r w:rsidRPr="00EE5714">
        <w:rPr>
          <w:rFonts w:ascii="Times New Roman" w:eastAsia="Calibri" w:hAnsi="Times New Roman" w:cs="Times New Roman"/>
          <w:sz w:val="26"/>
          <w:szCs w:val="26"/>
        </w:rPr>
        <w:t xml:space="preserve">collected the following </w:t>
      </w:r>
      <w:r w:rsidR="00115A01" w:rsidRPr="00EE5714">
        <w:rPr>
          <w:rFonts w:ascii="Times New Roman" w:eastAsia="Calibri" w:hAnsi="Times New Roman" w:cs="Times New Roman"/>
          <w:sz w:val="26"/>
          <w:szCs w:val="26"/>
        </w:rPr>
        <w:t xml:space="preserve">U.S. </w:t>
      </w:r>
      <w:r w:rsidRPr="00EE5714">
        <w:rPr>
          <w:rFonts w:ascii="Times New Roman" w:eastAsia="Calibri" w:hAnsi="Times New Roman" w:cs="Times New Roman"/>
          <w:sz w:val="26"/>
          <w:szCs w:val="26"/>
        </w:rPr>
        <w:t>Census data for each state:</w:t>
      </w:r>
    </w:p>
    <w:p w14:paraId="4F7CB783" w14:textId="77777777" w:rsidR="007D2BB1" w:rsidRPr="00EE5714" w:rsidRDefault="007D2BB1" w:rsidP="007D2BB1">
      <w:pPr>
        <w:spacing w:after="0" w:line="240" w:lineRule="auto"/>
        <w:rPr>
          <w:rFonts w:ascii="Times New Roman" w:eastAsia="Calibri" w:hAnsi="Times New Roman" w:cs="Times New Roman"/>
          <w:sz w:val="26"/>
          <w:szCs w:val="26"/>
        </w:rPr>
      </w:pPr>
    </w:p>
    <w:p w14:paraId="7E98FBD2" w14:textId="77777777" w:rsidR="007D2BB1" w:rsidRPr="00EE5714" w:rsidRDefault="007D2BB1" w:rsidP="007D5276">
      <w:pPr>
        <w:numPr>
          <w:ilvl w:val="0"/>
          <w:numId w:val="5"/>
        </w:numPr>
        <w:spacing w:after="0" w:line="240" w:lineRule="auto"/>
        <w:ind w:left="1440" w:hanging="72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Urban/Rural population</w:t>
      </w:r>
    </w:p>
    <w:p w14:paraId="4E01A252" w14:textId="77777777" w:rsidR="007D2BB1" w:rsidRPr="00EE5714" w:rsidRDefault="007D2BB1" w:rsidP="007D5276">
      <w:pPr>
        <w:numPr>
          <w:ilvl w:val="0"/>
          <w:numId w:val="5"/>
        </w:numPr>
        <w:spacing w:after="0" w:line="240" w:lineRule="auto"/>
        <w:ind w:left="1440" w:hanging="72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Age Distribution</w:t>
      </w:r>
    </w:p>
    <w:p w14:paraId="2FBD0785" w14:textId="77777777" w:rsidR="007D2BB1" w:rsidRPr="00EE5714" w:rsidRDefault="007D2BB1" w:rsidP="007D5276">
      <w:pPr>
        <w:numPr>
          <w:ilvl w:val="0"/>
          <w:numId w:val="5"/>
        </w:numPr>
        <w:spacing w:after="0" w:line="240" w:lineRule="auto"/>
        <w:ind w:left="1440" w:hanging="72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Education Level</w:t>
      </w:r>
    </w:p>
    <w:p w14:paraId="01D64A18" w14:textId="77777777" w:rsidR="007D2BB1" w:rsidRPr="00EE5714" w:rsidRDefault="007D2BB1" w:rsidP="007D5276">
      <w:pPr>
        <w:numPr>
          <w:ilvl w:val="0"/>
          <w:numId w:val="5"/>
        </w:numPr>
        <w:spacing w:after="0" w:line="240" w:lineRule="auto"/>
        <w:ind w:left="1440" w:hanging="72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Fuel Type</w:t>
      </w:r>
    </w:p>
    <w:p w14:paraId="14E526DB" w14:textId="77777777" w:rsidR="007D2BB1" w:rsidRPr="00EE5714" w:rsidRDefault="007D2BB1" w:rsidP="007D5276">
      <w:pPr>
        <w:numPr>
          <w:ilvl w:val="0"/>
          <w:numId w:val="5"/>
        </w:numPr>
        <w:spacing w:after="0" w:line="240" w:lineRule="auto"/>
        <w:ind w:left="1440" w:hanging="72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xml:space="preserve">Household Size </w:t>
      </w:r>
    </w:p>
    <w:p w14:paraId="36105283" w14:textId="77777777" w:rsidR="007D2BB1" w:rsidRPr="00EE5714" w:rsidRDefault="007D2BB1" w:rsidP="007D5276">
      <w:pPr>
        <w:numPr>
          <w:ilvl w:val="0"/>
          <w:numId w:val="5"/>
        </w:numPr>
        <w:spacing w:after="0" w:line="240" w:lineRule="auto"/>
        <w:ind w:left="1440" w:hanging="72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Poverty Status</w:t>
      </w:r>
    </w:p>
    <w:p w14:paraId="2B3A49DA" w14:textId="77777777" w:rsidR="007D2BB1" w:rsidRPr="00EE5714" w:rsidRDefault="007D2BB1" w:rsidP="007D5276">
      <w:pPr>
        <w:numPr>
          <w:ilvl w:val="0"/>
          <w:numId w:val="5"/>
        </w:numPr>
        <w:spacing w:after="0" w:line="240" w:lineRule="auto"/>
        <w:ind w:left="1440" w:hanging="72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Retirement Population</w:t>
      </w:r>
    </w:p>
    <w:p w14:paraId="762FF700" w14:textId="77777777" w:rsidR="007D2BB1" w:rsidRPr="00EE5714" w:rsidRDefault="007D2BB1" w:rsidP="007D5276">
      <w:pPr>
        <w:numPr>
          <w:ilvl w:val="0"/>
          <w:numId w:val="5"/>
        </w:numPr>
        <w:spacing w:after="0" w:line="240" w:lineRule="auto"/>
        <w:ind w:left="1440" w:hanging="72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xml:space="preserve">Substandard Housing </w:t>
      </w:r>
    </w:p>
    <w:p w14:paraId="2923ADCB" w14:textId="77777777" w:rsidR="007D2BB1" w:rsidRPr="00EE5714" w:rsidRDefault="007D2BB1" w:rsidP="007D2BB1">
      <w:pPr>
        <w:spacing w:after="0" w:line="240" w:lineRule="auto"/>
        <w:rPr>
          <w:rFonts w:ascii="Times New Roman" w:eastAsia="Calibri" w:hAnsi="Times New Roman" w:cs="Times New Roman"/>
          <w:sz w:val="26"/>
          <w:szCs w:val="26"/>
        </w:rPr>
      </w:pPr>
    </w:p>
    <w:p w14:paraId="58CF02B6" w14:textId="77777777" w:rsidR="007D2BB1" w:rsidRPr="00EE5714" w:rsidRDefault="007D2BB1" w:rsidP="007D2BB1">
      <w:pPr>
        <w:spacing w:after="0" w:line="240" w:lineRule="auto"/>
        <w:rPr>
          <w:rFonts w:ascii="Times New Roman" w:eastAsia="Calibri" w:hAnsi="Times New Roman" w:cs="Times New Roman"/>
          <w:sz w:val="26"/>
          <w:szCs w:val="26"/>
        </w:rPr>
      </w:pPr>
      <w:r w:rsidRPr="00EE5714">
        <w:rPr>
          <w:rFonts w:ascii="Times New Roman" w:eastAsia="Calibri" w:hAnsi="Times New Roman" w:cs="Times New Roman"/>
          <w:sz w:val="26"/>
          <w:szCs w:val="26"/>
        </w:rPr>
        <w:tab/>
      </w:r>
      <w:r w:rsidR="0039475E" w:rsidRPr="00EE5714">
        <w:rPr>
          <w:rFonts w:ascii="Times New Roman" w:eastAsia="Calibri" w:hAnsi="Times New Roman" w:cs="Times New Roman"/>
          <w:sz w:val="26"/>
          <w:szCs w:val="26"/>
        </w:rPr>
        <w:t>I</w:t>
      </w:r>
      <w:r w:rsidRPr="00EE5714">
        <w:rPr>
          <w:rFonts w:ascii="Times New Roman" w:eastAsia="Calibri" w:hAnsi="Times New Roman" w:cs="Times New Roman"/>
          <w:sz w:val="26"/>
          <w:szCs w:val="26"/>
        </w:rPr>
        <w:t xml:space="preserve">nformation was </w:t>
      </w:r>
      <w:r w:rsidR="00607760" w:rsidRPr="00EE5714">
        <w:rPr>
          <w:rFonts w:ascii="Times New Roman" w:eastAsia="Calibri" w:hAnsi="Times New Roman" w:cs="Times New Roman"/>
          <w:sz w:val="26"/>
          <w:szCs w:val="26"/>
        </w:rPr>
        <w:t xml:space="preserve">requested </w:t>
      </w:r>
      <w:r w:rsidRPr="00EE5714">
        <w:rPr>
          <w:rFonts w:ascii="Times New Roman" w:eastAsia="Calibri" w:hAnsi="Times New Roman" w:cs="Times New Roman"/>
          <w:sz w:val="26"/>
          <w:szCs w:val="26"/>
        </w:rPr>
        <w:t xml:space="preserve">on </w:t>
      </w:r>
      <w:r w:rsidR="00FB7DBC" w:rsidRPr="00EE5714">
        <w:rPr>
          <w:rFonts w:ascii="Times New Roman" w:eastAsia="Calibri" w:hAnsi="Times New Roman" w:cs="Times New Roman"/>
          <w:sz w:val="26"/>
          <w:szCs w:val="26"/>
        </w:rPr>
        <w:t>27 </w:t>
      </w:r>
      <w:r w:rsidRPr="00EE5714">
        <w:rPr>
          <w:rFonts w:ascii="Times New Roman" w:eastAsia="Calibri" w:hAnsi="Times New Roman" w:cs="Times New Roman"/>
          <w:sz w:val="26"/>
          <w:szCs w:val="26"/>
        </w:rPr>
        <w:t>variables for the past five years</w:t>
      </w:r>
      <w:r w:rsidR="0039475E" w:rsidRPr="00EE5714">
        <w:rPr>
          <w:rFonts w:ascii="Times New Roman" w:eastAsia="Calibri" w:hAnsi="Times New Roman" w:cs="Times New Roman"/>
          <w:sz w:val="26"/>
          <w:szCs w:val="26"/>
        </w:rPr>
        <w:t>.</w:t>
      </w:r>
      <w:r w:rsidRPr="00EE5714">
        <w:rPr>
          <w:rFonts w:ascii="Times New Roman" w:eastAsia="Calibri" w:hAnsi="Times New Roman" w:cs="Times New Roman"/>
          <w:sz w:val="26"/>
          <w:szCs w:val="26"/>
        </w:rPr>
        <w:t xml:space="preserve">  The data were combined into a rating system to calculate overall scores for each state.  </w:t>
      </w:r>
      <w:r w:rsidR="00DC5A47" w:rsidRPr="00EE5714">
        <w:rPr>
          <w:rFonts w:ascii="Times New Roman" w:eastAsia="Calibri" w:hAnsi="Times New Roman" w:cs="Times New Roman"/>
          <w:sz w:val="26"/>
          <w:szCs w:val="26"/>
        </w:rPr>
        <w:t xml:space="preserve">Seven states </w:t>
      </w:r>
      <w:r w:rsidR="00824751" w:rsidRPr="00EE5714">
        <w:rPr>
          <w:rFonts w:ascii="Times New Roman" w:eastAsia="Calibri" w:hAnsi="Times New Roman" w:cs="Times New Roman"/>
          <w:sz w:val="26"/>
          <w:szCs w:val="26"/>
        </w:rPr>
        <w:t xml:space="preserve">and the District of Columbia </w:t>
      </w:r>
      <w:r w:rsidR="00304F34" w:rsidRPr="00EE5714">
        <w:rPr>
          <w:rFonts w:ascii="Times New Roman" w:eastAsia="Calibri" w:hAnsi="Times New Roman" w:cs="Times New Roman"/>
          <w:sz w:val="26"/>
          <w:szCs w:val="26"/>
        </w:rPr>
        <w:t xml:space="preserve">(D.C.) </w:t>
      </w:r>
      <w:r w:rsidR="00DC5A47" w:rsidRPr="00EE5714">
        <w:rPr>
          <w:rFonts w:ascii="Times New Roman" w:eastAsia="Calibri" w:hAnsi="Times New Roman" w:cs="Times New Roman"/>
          <w:sz w:val="26"/>
          <w:szCs w:val="26"/>
        </w:rPr>
        <w:t xml:space="preserve">responded.  </w:t>
      </w:r>
      <w:r w:rsidRPr="00EE5714">
        <w:rPr>
          <w:rFonts w:ascii="Times New Roman" w:eastAsia="Calibri" w:hAnsi="Times New Roman" w:cs="Times New Roman"/>
          <w:sz w:val="26"/>
          <w:szCs w:val="26"/>
        </w:rPr>
        <w:t xml:space="preserve">Each </w:t>
      </w:r>
      <w:r w:rsidR="00382140" w:rsidRPr="00EE5714">
        <w:rPr>
          <w:rFonts w:ascii="Times New Roman" w:eastAsia="Calibri" w:hAnsi="Times New Roman" w:cs="Times New Roman"/>
          <w:sz w:val="26"/>
          <w:szCs w:val="26"/>
        </w:rPr>
        <w:t xml:space="preserve">respondent </w:t>
      </w:r>
      <w:r w:rsidRPr="00EE5714">
        <w:rPr>
          <w:rFonts w:ascii="Times New Roman" w:eastAsia="Calibri" w:hAnsi="Times New Roman" w:cs="Times New Roman"/>
          <w:sz w:val="26"/>
          <w:szCs w:val="26"/>
        </w:rPr>
        <w:t xml:space="preserve">was then compared to Pennsylvania, with the highest possible comparison score being 27.  </w:t>
      </w:r>
      <w:r w:rsidR="00DA6DB4" w:rsidRPr="00EE5714">
        <w:rPr>
          <w:rFonts w:ascii="Times New Roman" w:eastAsia="Calibri" w:hAnsi="Times New Roman" w:cs="Times New Roman"/>
          <w:sz w:val="26"/>
          <w:szCs w:val="26"/>
        </w:rPr>
        <w:t>T</w:t>
      </w:r>
      <w:r w:rsidRPr="00EE5714">
        <w:rPr>
          <w:rFonts w:ascii="Times New Roman" w:eastAsia="Calibri" w:hAnsi="Times New Roman" w:cs="Times New Roman"/>
          <w:sz w:val="26"/>
          <w:szCs w:val="26"/>
        </w:rPr>
        <w:t xml:space="preserve">he state most closely resembling Pennsylvania on these factors was Ohio, with a score of 14.  </w:t>
      </w:r>
    </w:p>
    <w:p w14:paraId="18A7E247" w14:textId="77777777" w:rsidR="007D2BB1" w:rsidRPr="00EE5714" w:rsidRDefault="007D2BB1" w:rsidP="007D2BB1">
      <w:pPr>
        <w:spacing w:after="0" w:line="240" w:lineRule="auto"/>
        <w:rPr>
          <w:rFonts w:ascii="Times New Roman" w:eastAsia="Calibri" w:hAnsi="Times New Roman" w:cs="Times New Roman"/>
          <w:sz w:val="26"/>
          <w:szCs w:val="26"/>
        </w:rPr>
      </w:pPr>
    </w:p>
    <w:p w14:paraId="7BA06F51" w14:textId="77777777" w:rsidR="007D2BB1" w:rsidRPr="00EE5714" w:rsidRDefault="007D2BB1" w:rsidP="004F46AA">
      <w:pPr>
        <w:keepNext/>
        <w:spacing w:after="0" w:line="240" w:lineRule="auto"/>
        <w:rPr>
          <w:rFonts w:ascii="Times New Roman" w:eastAsia="Calibri" w:hAnsi="Times New Roman" w:cs="Times New Roman"/>
          <w:i/>
          <w:iCs/>
          <w:sz w:val="26"/>
          <w:szCs w:val="26"/>
        </w:rPr>
      </w:pPr>
      <w:r w:rsidRPr="00EE5714">
        <w:rPr>
          <w:rFonts w:ascii="Times New Roman" w:eastAsia="Calibri" w:hAnsi="Times New Roman" w:cs="Times New Roman"/>
          <w:sz w:val="26"/>
          <w:szCs w:val="26"/>
        </w:rPr>
        <w:tab/>
      </w:r>
      <w:r w:rsidRPr="00EE5714">
        <w:rPr>
          <w:rFonts w:ascii="Times New Roman" w:eastAsia="Calibri" w:hAnsi="Times New Roman" w:cs="Times New Roman"/>
          <w:i/>
          <w:iCs/>
          <w:sz w:val="26"/>
          <w:szCs w:val="26"/>
        </w:rPr>
        <w:t xml:space="preserve">Data Limitations </w:t>
      </w:r>
    </w:p>
    <w:p w14:paraId="54DB791A" w14:textId="77777777" w:rsidR="007D2BB1" w:rsidRPr="00EE5714" w:rsidRDefault="007D2BB1" w:rsidP="004F46AA">
      <w:pPr>
        <w:keepNext/>
        <w:spacing w:after="0" w:line="240" w:lineRule="auto"/>
        <w:rPr>
          <w:rFonts w:ascii="Times New Roman" w:eastAsia="Calibri" w:hAnsi="Times New Roman" w:cs="Times New Roman"/>
          <w:sz w:val="26"/>
          <w:szCs w:val="26"/>
        </w:rPr>
      </w:pPr>
    </w:p>
    <w:p w14:paraId="02C1ABE5" w14:textId="77777777" w:rsidR="00F456A3" w:rsidRPr="00EE5714" w:rsidRDefault="007D2BB1" w:rsidP="00AA784E">
      <w:pPr>
        <w:spacing w:after="0" w:line="240" w:lineRule="auto"/>
        <w:rPr>
          <w:rFonts w:ascii="Times New Roman" w:eastAsia="Calibri" w:hAnsi="Times New Roman" w:cs="Times New Roman"/>
          <w:sz w:val="26"/>
          <w:szCs w:val="26"/>
        </w:rPr>
      </w:pPr>
      <w:r w:rsidRPr="00EE5714">
        <w:rPr>
          <w:rFonts w:ascii="Times New Roman" w:eastAsia="Calibri" w:hAnsi="Times New Roman" w:cs="Times New Roman"/>
          <w:sz w:val="26"/>
          <w:szCs w:val="26"/>
        </w:rPr>
        <w:tab/>
        <w:t xml:space="preserve">No </w:t>
      </w:r>
      <w:r w:rsidR="000D4F4F" w:rsidRPr="00EE5714">
        <w:rPr>
          <w:rFonts w:ascii="Times New Roman" w:eastAsia="Calibri" w:hAnsi="Times New Roman" w:cs="Times New Roman"/>
          <w:sz w:val="26"/>
          <w:szCs w:val="26"/>
        </w:rPr>
        <w:t xml:space="preserve">respondent answered </w:t>
      </w:r>
      <w:r w:rsidRPr="00EE5714">
        <w:rPr>
          <w:rFonts w:ascii="Times New Roman" w:eastAsia="Calibri" w:hAnsi="Times New Roman" w:cs="Times New Roman"/>
          <w:sz w:val="26"/>
          <w:szCs w:val="26"/>
        </w:rPr>
        <w:t xml:space="preserve">every survey question.  No </w:t>
      </w:r>
      <w:r w:rsidR="000D4F4F" w:rsidRPr="00EE5714">
        <w:rPr>
          <w:rFonts w:ascii="Times New Roman" w:eastAsia="Calibri" w:hAnsi="Times New Roman" w:cs="Times New Roman"/>
          <w:sz w:val="26"/>
          <w:szCs w:val="26"/>
        </w:rPr>
        <w:t xml:space="preserve">respondent </w:t>
      </w:r>
      <w:r w:rsidRPr="00EE5714">
        <w:rPr>
          <w:rFonts w:ascii="Times New Roman" w:eastAsia="Calibri" w:hAnsi="Times New Roman" w:cs="Times New Roman"/>
          <w:sz w:val="26"/>
          <w:szCs w:val="26"/>
        </w:rPr>
        <w:t>prov</w:t>
      </w:r>
      <w:r w:rsidR="00555282" w:rsidRPr="00EE5714">
        <w:rPr>
          <w:rFonts w:ascii="Times New Roman" w:eastAsia="Calibri" w:hAnsi="Times New Roman" w:cs="Times New Roman"/>
          <w:sz w:val="26"/>
          <w:szCs w:val="26"/>
        </w:rPr>
        <w:t>id</w:t>
      </w:r>
      <w:r w:rsidRPr="00EE5714">
        <w:rPr>
          <w:rFonts w:ascii="Times New Roman" w:eastAsia="Calibri" w:hAnsi="Times New Roman" w:cs="Times New Roman"/>
          <w:sz w:val="26"/>
          <w:szCs w:val="26"/>
        </w:rPr>
        <w:t xml:space="preserve">ed average energy burdens for low-income or non-low-income households or for heating/non-heating households for all </w:t>
      </w:r>
      <w:r w:rsidR="00434112" w:rsidRPr="00EE5714">
        <w:rPr>
          <w:rFonts w:ascii="Times New Roman" w:eastAsia="Calibri" w:hAnsi="Times New Roman" w:cs="Times New Roman"/>
          <w:sz w:val="26"/>
          <w:szCs w:val="26"/>
        </w:rPr>
        <w:t xml:space="preserve">five </w:t>
      </w:r>
      <w:r w:rsidRPr="00EE5714">
        <w:rPr>
          <w:rFonts w:ascii="Times New Roman" w:eastAsia="Calibri" w:hAnsi="Times New Roman" w:cs="Times New Roman"/>
          <w:sz w:val="26"/>
          <w:szCs w:val="26"/>
        </w:rPr>
        <w:t xml:space="preserve">years.  </w:t>
      </w:r>
    </w:p>
    <w:p w14:paraId="5AEC34AD" w14:textId="77777777" w:rsidR="00F456A3" w:rsidRPr="00EE5714" w:rsidRDefault="00F456A3" w:rsidP="00AA784E">
      <w:pPr>
        <w:spacing w:after="0" w:line="240" w:lineRule="auto"/>
        <w:rPr>
          <w:rFonts w:ascii="Times New Roman" w:eastAsia="Calibri" w:hAnsi="Times New Roman" w:cs="Times New Roman"/>
          <w:sz w:val="26"/>
          <w:szCs w:val="26"/>
        </w:rPr>
      </w:pPr>
    </w:p>
    <w:p w14:paraId="32ADAB70" w14:textId="77777777" w:rsidR="007D2BB1" w:rsidRPr="00EE5714" w:rsidRDefault="00F456A3" w:rsidP="00AA784E">
      <w:pPr>
        <w:spacing w:after="0" w:line="240" w:lineRule="auto"/>
        <w:rPr>
          <w:rFonts w:ascii="Times New Roman" w:eastAsia="Calibri" w:hAnsi="Times New Roman" w:cs="Times New Roman"/>
          <w:sz w:val="26"/>
          <w:szCs w:val="26"/>
        </w:rPr>
      </w:pPr>
      <w:r w:rsidRPr="00EE5714">
        <w:rPr>
          <w:rFonts w:ascii="Times New Roman" w:eastAsia="Calibri" w:hAnsi="Times New Roman" w:cs="Times New Roman"/>
          <w:sz w:val="26"/>
          <w:szCs w:val="26"/>
        </w:rPr>
        <w:tab/>
      </w:r>
      <w:r w:rsidR="009D7817" w:rsidRPr="00EE5714">
        <w:rPr>
          <w:rFonts w:ascii="Times New Roman" w:eastAsia="Calibri" w:hAnsi="Times New Roman" w:cs="Times New Roman"/>
          <w:sz w:val="26"/>
          <w:szCs w:val="26"/>
        </w:rPr>
        <w:t xml:space="preserve">None of the </w:t>
      </w:r>
      <w:r w:rsidR="009F470A" w:rsidRPr="00EE5714">
        <w:rPr>
          <w:rFonts w:ascii="Times New Roman" w:eastAsia="Calibri" w:hAnsi="Times New Roman" w:cs="Times New Roman"/>
          <w:sz w:val="26"/>
          <w:szCs w:val="26"/>
        </w:rPr>
        <w:t xml:space="preserve">independent </w:t>
      </w:r>
      <w:r w:rsidR="009D7817" w:rsidRPr="00EE5714">
        <w:rPr>
          <w:rFonts w:ascii="Times New Roman" w:eastAsia="Calibri" w:hAnsi="Times New Roman" w:cs="Times New Roman"/>
          <w:sz w:val="26"/>
          <w:szCs w:val="26"/>
        </w:rPr>
        <w:t xml:space="preserve">reports or studies </w:t>
      </w:r>
      <w:r w:rsidR="00B676D5" w:rsidRPr="00EE5714">
        <w:rPr>
          <w:rFonts w:ascii="Times New Roman" w:eastAsia="Calibri" w:hAnsi="Times New Roman" w:cs="Times New Roman"/>
          <w:sz w:val="26"/>
          <w:szCs w:val="26"/>
        </w:rPr>
        <w:t xml:space="preserve">reviewed </w:t>
      </w:r>
      <w:r w:rsidR="009D7817" w:rsidRPr="00EE5714">
        <w:rPr>
          <w:rFonts w:ascii="Times New Roman" w:eastAsia="Calibri" w:hAnsi="Times New Roman" w:cs="Times New Roman"/>
          <w:sz w:val="26"/>
          <w:szCs w:val="26"/>
        </w:rPr>
        <w:t xml:space="preserve">considered </w:t>
      </w:r>
      <w:proofErr w:type="gramStart"/>
      <w:r w:rsidR="009D7817" w:rsidRPr="00EE5714">
        <w:rPr>
          <w:rFonts w:ascii="Times New Roman" w:eastAsia="Calibri" w:hAnsi="Times New Roman" w:cs="Times New Roman"/>
          <w:sz w:val="26"/>
          <w:szCs w:val="26"/>
        </w:rPr>
        <w:t>all of</w:t>
      </w:r>
      <w:proofErr w:type="gramEnd"/>
      <w:r w:rsidR="009D7817" w:rsidRPr="00EE5714">
        <w:rPr>
          <w:rFonts w:ascii="Times New Roman" w:eastAsia="Calibri" w:hAnsi="Times New Roman" w:cs="Times New Roman"/>
          <w:sz w:val="26"/>
          <w:szCs w:val="26"/>
        </w:rPr>
        <w:t xml:space="preserve"> the variables identified for this report.  Several studies did, however, examine the relationship between subsets of the identified variables, as well as several studies that dealt with similar topics and had findings related to th</w:t>
      </w:r>
      <w:r w:rsidR="009F470A" w:rsidRPr="00EE5714">
        <w:rPr>
          <w:rFonts w:ascii="Times New Roman" w:eastAsia="Calibri" w:hAnsi="Times New Roman" w:cs="Times New Roman"/>
          <w:sz w:val="26"/>
          <w:szCs w:val="26"/>
        </w:rPr>
        <w:t>is</w:t>
      </w:r>
      <w:r w:rsidR="009D7817" w:rsidRPr="00EE5714">
        <w:rPr>
          <w:rFonts w:ascii="Times New Roman" w:eastAsia="Calibri" w:hAnsi="Times New Roman" w:cs="Times New Roman"/>
          <w:sz w:val="26"/>
          <w:szCs w:val="26"/>
        </w:rPr>
        <w:t xml:space="preserve"> study.</w:t>
      </w:r>
    </w:p>
    <w:p w14:paraId="4B96C952" w14:textId="77777777" w:rsidR="0063705A" w:rsidRPr="00EE5714" w:rsidRDefault="0063705A" w:rsidP="00AA784E">
      <w:pPr>
        <w:spacing w:after="0" w:line="240" w:lineRule="auto"/>
        <w:rPr>
          <w:rFonts w:ascii="Times New Roman" w:eastAsia="Calibri" w:hAnsi="Times New Roman" w:cs="Times New Roman"/>
          <w:sz w:val="26"/>
          <w:szCs w:val="26"/>
        </w:rPr>
      </w:pPr>
    </w:p>
    <w:p w14:paraId="72B61C43" w14:textId="77777777" w:rsidR="007D2BB1" w:rsidRPr="00EE5714" w:rsidRDefault="007D2BB1" w:rsidP="004F46AA">
      <w:pPr>
        <w:keepNext/>
        <w:spacing w:after="0" w:line="240" w:lineRule="auto"/>
        <w:contextualSpacing/>
        <w:jc w:val="center"/>
        <w:rPr>
          <w:rFonts w:ascii="Times New Roman" w:eastAsia="Calibri" w:hAnsi="Times New Roman" w:cs="Times New Roman"/>
          <w:b/>
          <w:bCs/>
          <w:sz w:val="26"/>
          <w:szCs w:val="26"/>
        </w:rPr>
      </w:pPr>
      <w:r w:rsidRPr="00EE5714">
        <w:rPr>
          <w:rFonts w:ascii="Times New Roman" w:eastAsia="Calibri" w:hAnsi="Times New Roman" w:cs="Times New Roman"/>
          <w:b/>
          <w:bCs/>
          <w:sz w:val="26"/>
          <w:szCs w:val="26"/>
        </w:rPr>
        <w:t>Analysis</w:t>
      </w:r>
    </w:p>
    <w:p w14:paraId="4F672F80" w14:textId="77777777" w:rsidR="00C63DE8" w:rsidRPr="00EE5714" w:rsidRDefault="00C63DE8" w:rsidP="00F439CA">
      <w:pPr>
        <w:keepNext/>
        <w:spacing w:after="0" w:line="240" w:lineRule="auto"/>
        <w:contextualSpacing/>
        <w:rPr>
          <w:rFonts w:ascii="Times New Roman" w:eastAsia="Calibri" w:hAnsi="Times New Roman" w:cs="Times New Roman"/>
          <w:sz w:val="26"/>
          <w:szCs w:val="26"/>
        </w:rPr>
      </w:pPr>
    </w:p>
    <w:p w14:paraId="44961066" w14:textId="77777777" w:rsidR="00821768" w:rsidRPr="00EE5714" w:rsidRDefault="006A3F40" w:rsidP="004F46AA">
      <w:pPr>
        <w:keepNext/>
        <w:spacing w:after="0" w:line="240" w:lineRule="auto"/>
        <w:contextualSpacing/>
        <w:rPr>
          <w:rFonts w:ascii="Times New Roman" w:eastAsia="Calibri" w:hAnsi="Times New Roman" w:cs="Times New Roman"/>
          <w:i/>
          <w:iCs/>
          <w:sz w:val="26"/>
          <w:szCs w:val="26"/>
        </w:rPr>
      </w:pPr>
      <w:r w:rsidRPr="00EE5714">
        <w:rPr>
          <w:rFonts w:ascii="Times New Roman" w:eastAsia="Calibri" w:hAnsi="Times New Roman" w:cs="Times New Roman"/>
          <w:i/>
          <w:iCs/>
          <w:sz w:val="26"/>
          <w:szCs w:val="26"/>
        </w:rPr>
        <w:t>Energy Burden Levels of Neighboring States</w:t>
      </w:r>
    </w:p>
    <w:p w14:paraId="4BFFFD29" w14:textId="77777777" w:rsidR="00CE1161" w:rsidRPr="00EE5714" w:rsidRDefault="00CE1161" w:rsidP="00F439CA">
      <w:pPr>
        <w:pStyle w:val="ListParagraph"/>
        <w:keepNext/>
        <w:spacing w:after="0" w:line="240" w:lineRule="auto"/>
        <w:rPr>
          <w:rFonts w:ascii="Times New Roman" w:hAnsi="Times New Roman" w:cs="Times New Roman"/>
          <w:sz w:val="26"/>
          <w:szCs w:val="26"/>
        </w:rPr>
      </w:pPr>
    </w:p>
    <w:p w14:paraId="369FDB26" w14:textId="77777777" w:rsidR="005C6621" w:rsidRPr="00EE5714" w:rsidRDefault="00BA20B9" w:rsidP="0050695A">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DF4E68" w:rsidRPr="00EE5714">
        <w:rPr>
          <w:rFonts w:ascii="Times New Roman" w:hAnsi="Times New Roman" w:cs="Times New Roman"/>
          <w:sz w:val="26"/>
          <w:szCs w:val="26"/>
        </w:rPr>
        <w:t xml:space="preserve">Although </w:t>
      </w:r>
      <w:r w:rsidR="0039456D" w:rsidRPr="00EE5714">
        <w:rPr>
          <w:rFonts w:ascii="Times New Roman" w:hAnsi="Times New Roman" w:cs="Times New Roman"/>
          <w:sz w:val="26"/>
          <w:szCs w:val="26"/>
        </w:rPr>
        <w:t xml:space="preserve">respondents </w:t>
      </w:r>
      <w:r w:rsidR="00503892" w:rsidRPr="00EE5714">
        <w:rPr>
          <w:rFonts w:ascii="Times New Roman" w:hAnsi="Times New Roman" w:cs="Times New Roman"/>
          <w:sz w:val="26"/>
          <w:szCs w:val="26"/>
        </w:rPr>
        <w:t xml:space="preserve">to the survey </w:t>
      </w:r>
      <w:r w:rsidR="0072585A" w:rsidRPr="00EE5714">
        <w:rPr>
          <w:rFonts w:ascii="Times New Roman" w:hAnsi="Times New Roman" w:cs="Times New Roman"/>
          <w:sz w:val="26"/>
          <w:szCs w:val="26"/>
        </w:rPr>
        <w:t>did</w:t>
      </w:r>
      <w:r w:rsidR="00503892" w:rsidRPr="00EE5714">
        <w:rPr>
          <w:rFonts w:ascii="Times New Roman" w:hAnsi="Times New Roman" w:cs="Times New Roman"/>
          <w:sz w:val="26"/>
          <w:szCs w:val="26"/>
        </w:rPr>
        <w:t xml:space="preserve"> not provide </w:t>
      </w:r>
      <w:r w:rsidR="00821768" w:rsidRPr="00EE5714">
        <w:rPr>
          <w:rFonts w:ascii="Times New Roman" w:hAnsi="Times New Roman" w:cs="Times New Roman"/>
          <w:sz w:val="26"/>
          <w:szCs w:val="26"/>
        </w:rPr>
        <w:t>average energy burden</w:t>
      </w:r>
      <w:r w:rsidR="00502A74" w:rsidRPr="00EE5714">
        <w:rPr>
          <w:rFonts w:ascii="Times New Roman" w:hAnsi="Times New Roman" w:cs="Times New Roman"/>
          <w:sz w:val="26"/>
          <w:szCs w:val="26"/>
        </w:rPr>
        <w:t xml:space="preserve"> levels</w:t>
      </w:r>
      <w:r w:rsidR="00DB42AD" w:rsidRPr="00EE5714">
        <w:rPr>
          <w:rFonts w:ascii="Times New Roman" w:hAnsi="Times New Roman" w:cs="Times New Roman"/>
          <w:sz w:val="26"/>
          <w:szCs w:val="26"/>
        </w:rPr>
        <w:t xml:space="preserve"> for </w:t>
      </w:r>
      <w:r w:rsidR="00C26D93" w:rsidRPr="00EE5714">
        <w:rPr>
          <w:rFonts w:ascii="Times New Roman" w:hAnsi="Times New Roman" w:cs="Times New Roman"/>
          <w:sz w:val="26"/>
          <w:szCs w:val="26"/>
        </w:rPr>
        <w:t xml:space="preserve">their </w:t>
      </w:r>
      <w:r w:rsidR="00DB42AD" w:rsidRPr="00EE5714">
        <w:rPr>
          <w:rFonts w:ascii="Times New Roman" w:hAnsi="Times New Roman" w:cs="Times New Roman"/>
          <w:sz w:val="26"/>
          <w:szCs w:val="26"/>
        </w:rPr>
        <w:t xml:space="preserve">low-income and residential </w:t>
      </w:r>
      <w:r w:rsidR="00A9265A" w:rsidRPr="00EE5714">
        <w:rPr>
          <w:rFonts w:ascii="Times New Roman" w:hAnsi="Times New Roman" w:cs="Times New Roman"/>
          <w:sz w:val="26"/>
          <w:szCs w:val="26"/>
        </w:rPr>
        <w:t>utility customers</w:t>
      </w:r>
      <w:r w:rsidR="001D2321" w:rsidRPr="00EE5714">
        <w:rPr>
          <w:rFonts w:ascii="Times New Roman" w:hAnsi="Times New Roman" w:cs="Times New Roman"/>
          <w:sz w:val="26"/>
          <w:szCs w:val="26"/>
        </w:rPr>
        <w:t xml:space="preserve">, </w:t>
      </w:r>
      <w:r w:rsidR="00D81A39" w:rsidRPr="00EE5714">
        <w:rPr>
          <w:rFonts w:ascii="Times New Roman" w:hAnsi="Times New Roman" w:cs="Times New Roman"/>
          <w:sz w:val="26"/>
          <w:szCs w:val="26"/>
        </w:rPr>
        <w:t xml:space="preserve">each </w:t>
      </w:r>
      <w:r w:rsidR="00160151" w:rsidRPr="00EE5714">
        <w:rPr>
          <w:rFonts w:ascii="Times New Roman" w:hAnsi="Times New Roman" w:cs="Times New Roman"/>
          <w:sz w:val="26"/>
          <w:szCs w:val="26"/>
        </w:rPr>
        <w:t xml:space="preserve">respondent </w:t>
      </w:r>
      <w:r w:rsidR="00D81A39" w:rsidRPr="00EE5714">
        <w:rPr>
          <w:rFonts w:ascii="Times New Roman" w:hAnsi="Times New Roman" w:cs="Times New Roman"/>
          <w:sz w:val="26"/>
          <w:szCs w:val="26"/>
        </w:rPr>
        <w:t xml:space="preserve">provided valuable information about its own </w:t>
      </w:r>
      <w:r w:rsidR="00BD2AFC" w:rsidRPr="00EE5714">
        <w:rPr>
          <w:rFonts w:ascii="Times New Roman" w:hAnsi="Times New Roman" w:cs="Times New Roman"/>
          <w:sz w:val="26"/>
          <w:szCs w:val="26"/>
        </w:rPr>
        <w:t>payment assistance programs.</w:t>
      </w:r>
      <w:r w:rsidR="00900BDB" w:rsidRPr="00EE5714">
        <w:rPr>
          <w:rStyle w:val="FootnoteReference"/>
          <w:rFonts w:ascii="Times New Roman" w:hAnsi="Times New Roman" w:cs="Times New Roman"/>
          <w:sz w:val="26"/>
          <w:szCs w:val="26"/>
        </w:rPr>
        <w:footnoteReference w:id="64"/>
      </w:r>
      <w:r w:rsidR="00BD2AFC" w:rsidRPr="00EE5714">
        <w:rPr>
          <w:rFonts w:ascii="Times New Roman" w:hAnsi="Times New Roman" w:cs="Times New Roman"/>
          <w:sz w:val="26"/>
          <w:szCs w:val="26"/>
        </w:rPr>
        <w:t xml:space="preserve">  </w:t>
      </w:r>
      <w:r w:rsidR="00821768" w:rsidRPr="00EE5714">
        <w:rPr>
          <w:rFonts w:ascii="Times New Roman" w:hAnsi="Times New Roman" w:cs="Times New Roman"/>
          <w:sz w:val="26"/>
          <w:szCs w:val="26"/>
        </w:rPr>
        <w:t xml:space="preserve"> </w:t>
      </w:r>
    </w:p>
    <w:p w14:paraId="2DA6FEB2" w14:textId="77777777" w:rsidR="005C6621" w:rsidRPr="00EE5714" w:rsidRDefault="005C6621" w:rsidP="0050695A">
      <w:pPr>
        <w:spacing w:after="0" w:line="240" w:lineRule="auto"/>
        <w:contextualSpacing/>
        <w:rPr>
          <w:rFonts w:ascii="Times New Roman" w:hAnsi="Times New Roman" w:cs="Times New Roman"/>
          <w:sz w:val="26"/>
          <w:szCs w:val="26"/>
        </w:rPr>
      </w:pPr>
    </w:p>
    <w:p w14:paraId="7A85CDD9" w14:textId="77777777" w:rsidR="0076026A" w:rsidRPr="00EE5714" w:rsidRDefault="005C6621" w:rsidP="0050695A">
      <w:pPr>
        <w:spacing w:after="0" w:line="240" w:lineRule="auto"/>
        <w:ind w:firstLine="720"/>
        <w:contextualSpacing/>
        <w:rPr>
          <w:rFonts w:ascii="Times New Roman" w:eastAsia="Calibri" w:hAnsi="Times New Roman" w:cs="Times New Roman"/>
          <w:sz w:val="26"/>
          <w:szCs w:val="26"/>
        </w:rPr>
      </w:pPr>
      <w:r w:rsidRPr="00EE5714">
        <w:rPr>
          <w:rFonts w:ascii="Times New Roman" w:hAnsi="Times New Roman" w:cs="Times New Roman"/>
          <w:sz w:val="26"/>
          <w:szCs w:val="26"/>
        </w:rPr>
        <w:t>I</w:t>
      </w:r>
      <w:r w:rsidR="00821768" w:rsidRPr="00EE5714">
        <w:rPr>
          <w:rFonts w:ascii="Times New Roman" w:hAnsi="Times New Roman" w:cs="Times New Roman"/>
          <w:sz w:val="26"/>
          <w:szCs w:val="26"/>
        </w:rPr>
        <w:t xml:space="preserve">nformation provided by Ohio, a </w:t>
      </w:r>
      <w:r w:rsidR="00C8175E" w:rsidRPr="00EE5714">
        <w:rPr>
          <w:rFonts w:ascii="Times New Roman" w:hAnsi="Times New Roman" w:cs="Times New Roman"/>
          <w:sz w:val="26"/>
          <w:szCs w:val="26"/>
        </w:rPr>
        <w:t xml:space="preserve">state </w:t>
      </w:r>
      <w:r w:rsidR="00821768" w:rsidRPr="00EE5714">
        <w:rPr>
          <w:rFonts w:ascii="Times New Roman" w:hAnsi="Times New Roman" w:cs="Times New Roman"/>
          <w:sz w:val="26"/>
          <w:szCs w:val="26"/>
        </w:rPr>
        <w:t xml:space="preserve">similar (and geographically close) to Pennsylvania, </w:t>
      </w:r>
      <w:r w:rsidR="005A0738" w:rsidRPr="00EE5714">
        <w:rPr>
          <w:rFonts w:ascii="Times New Roman" w:hAnsi="Times New Roman" w:cs="Times New Roman"/>
          <w:sz w:val="26"/>
          <w:szCs w:val="26"/>
        </w:rPr>
        <w:t xml:space="preserve">is of </w:t>
      </w:r>
      <w:proofErr w:type="gramStart"/>
      <w:r w:rsidR="005A0738" w:rsidRPr="00EE5714">
        <w:rPr>
          <w:rFonts w:ascii="Times New Roman" w:hAnsi="Times New Roman" w:cs="Times New Roman"/>
          <w:sz w:val="26"/>
          <w:szCs w:val="26"/>
        </w:rPr>
        <w:t>particula</w:t>
      </w:r>
      <w:r w:rsidR="005E121C" w:rsidRPr="00EE5714">
        <w:rPr>
          <w:rFonts w:ascii="Times New Roman" w:hAnsi="Times New Roman" w:cs="Times New Roman"/>
          <w:sz w:val="26"/>
          <w:szCs w:val="26"/>
        </w:rPr>
        <w:t>r</w:t>
      </w:r>
      <w:r w:rsidR="00821768" w:rsidRPr="00EE5714">
        <w:rPr>
          <w:rFonts w:ascii="Times New Roman" w:hAnsi="Times New Roman" w:cs="Times New Roman"/>
          <w:sz w:val="26"/>
          <w:szCs w:val="26"/>
        </w:rPr>
        <w:t xml:space="preserve"> interest</w:t>
      </w:r>
      <w:proofErr w:type="gramEnd"/>
      <w:r w:rsidR="00821768" w:rsidRPr="00EE5714">
        <w:rPr>
          <w:rFonts w:ascii="Times New Roman" w:hAnsi="Times New Roman" w:cs="Times New Roman"/>
          <w:sz w:val="26"/>
          <w:szCs w:val="26"/>
        </w:rPr>
        <w:t xml:space="preserve">.  </w:t>
      </w:r>
      <w:r w:rsidR="0056673A" w:rsidRPr="00EE5714">
        <w:rPr>
          <w:rFonts w:ascii="Times New Roman" w:hAnsi="Times New Roman" w:cs="Times New Roman"/>
          <w:sz w:val="26"/>
          <w:szCs w:val="26"/>
        </w:rPr>
        <w:t xml:space="preserve">Ohio </w:t>
      </w:r>
      <w:r w:rsidR="00D9565E" w:rsidRPr="00EE5714">
        <w:rPr>
          <w:rFonts w:ascii="Times New Roman" w:hAnsi="Times New Roman" w:cs="Times New Roman"/>
          <w:sz w:val="26"/>
          <w:szCs w:val="26"/>
        </w:rPr>
        <w:t xml:space="preserve">has a mandated </w:t>
      </w:r>
      <w:r w:rsidR="00565329" w:rsidRPr="00EE5714">
        <w:rPr>
          <w:rFonts w:ascii="Times New Roman" w:hAnsi="Times New Roman" w:cs="Times New Roman"/>
          <w:sz w:val="26"/>
          <w:szCs w:val="26"/>
        </w:rPr>
        <w:t xml:space="preserve">Percentage of Income Payment Plan </w:t>
      </w:r>
      <w:r w:rsidR="00E21F82" w:rsidRPr="00EE5714">
        <w:rPr>
          <w:rFonts w:ascii="Times New Roman" w:hAnsi="Times New Roman" w:cs="Times New Roman"/>
          <w:sz w:val="26"/>
          <w:szCs w:val="26"/>
        </w:rPr>
        <w:t>(PIPP Plus)</w:t>
      </w:r>
      <w:r w:rsidR="006770D4" w:rsidRPr="00EE5714">
        <w:rPr>
          <w:rStyle w:val="FootnoteReference"/>
          <w:rFonts w:ascii="Times New Roman" w:hAnsi="Times New Roman" w:cs="Times New Roman"/>
          <w:sz w:val="26"/>
          <w:szCs w:val="26"/>
        </w:rPr>
        <w:footnoteReference w:id="65"/>
      </w:r>
      <w:r w:rsidR="00E21F82" w:rsidRPr="00EE5714">
        <w:rPr>
          <w:rFonts w:ascii="Times New Roman" w:hAnsi="Times New Roman" w:cs="Times New Roman"/>
          <w:sz w:val="26"/>
          <w:szCs w:val="26"/>
        </w:rPr>
        <w:t xml:space="preserve"> </w:t>
      </w:r>
      <w:r w:rsidR="00A116F9" w:rsidRPr="00EE5714">
        <w:rPr>
          <w:rFonts w:ascii="Times New Roman" w:hAnsi="Times New Roman" w:cs="Times New Roman"/>
          <w:sz w:val="26"/>
          <w:szCs w:val="26"/>
        </w:rPr>
        <w:t xml:space="preserve">which </w:t>
      </w:r>
      <w:r w:rsidR="009E1B81" w:rsidRPr="00EE5714">
        <w:rPr>
          <w:rFonts w:ascii="Times New Roman" w:hAnsi="Times New Roman" w:cs="Times New Roman"/>
          <w:sz w:val="26"/>
          <w:szCs w:val="26"/>
        </w:rPr>
        <w:t xml:space="preserve">limits </w:t>
      </w:r>
      <w:r w:rsidR="00126FE7" w:rsidRPr="00EE5714">
        <w:rPr>
          <w:rFonts w:ascii="Times New Roman" w:hAnsi="Times New Roman" w:cs="Times New Roman"/>
          <w:sz w:val="26"/>
          <w:szCs w:val="26"/>
        </w:rPr>
        <w:t xml:space="preserve">the amount spent on gas and electric service to 10% of the </w:t>
      </w:r>
      <w:r w:rsidR="003320B5" w:rsidRPr="00EE5714">
        <w:rPr>
          <w:rFonts w:ascii="Times New Roman" w:hAnsi="Times New Roman" w:cs="Times New Roman"/>
          <w:sz w:val="26"/>
          <w:szCs w:val="26"/>
        </w:rPr>
        <w:t>participating household’s gross monthly income</w:t>
      </w:r>
      <w:r w:rsidR="00431FC9" w:rsidRPr="00EE5714">
        <w:rPr>
          <w:rFonts w:ascii="Times New Roman" w:hAnsi="Times New Roman" w:cs="Times New Roman"/>
          <w:sz w:val="26"/>
          <w:szCs w:val="26"/>
        </w:rPr>
        <w:t>:</w:t>
      </w:r>
      <w:r w:rsidR="003320B5" w:rsidRPr="00EE5714">
        <w:rPr>
          <w:rFonts w:ascii="Times New Roman" w:hAnsi="Times New Roman" w:cs="Times New Roman"/>
          <w:sz w:val="26"/>
          <w:szCs w:val="26"/>
        </w:rPr>
        <w:t xml:space="preserve"> </w:t>
      </w:r>
    </w:p>
    <w:p w14:paraId="7A370034" w14:textId="77777777" w:rsidR="00CD73A1" w:rsidRPr="00EE5714" w:rsidRDefault="00CD73A1" w:rsidP="0050695A">
      <w:pPr>
        <w:spacing w:after="0" w:line="240" w:lineRule="auto"/>
        <w:contextualSpacing/>
        <w:rPr>
          <w:rFonts w:ascii="Times New Roman" w:eastAsia="Calibri" w:hAnsi="Times New Roman" w:cs="Times New Roman"/>
          <w:sz w:val="24"/>
        </w:rPr>
      </w:pPr>
    </w:p>
    <w:p w14:paraId="2B0FCD31" w14:textId="77777777" w:rsidR="00891E17" w:rsidRPr="00EE5714" w:rsidRDefault="00891E17">
      <w:pPr>
        <w:spacing w:after="0" w:line="240" w:lineRule="auto"/>
        <w:ind w:left="720" w:right="720"/>
        <w:contextualSpacing/>
        <w:rPr>
          <w:rFonts w:ascii="Times New Roman" w:hAnsi="Times New Roman" w:cs="Times New Roman"/>
          <w:sz w:val="26"/>
          <w:szCs w:val="26"/>
        </w:rPr>
      </w:pPr>
      <w:r w:rsidRPr="00EE5714">
        <w:rPr>
          <w:rFonts w:ascii="Times New Roman" w:hAnsi="Times New Roman" w:cs="Times New Roman"/>
          <w:sz w:val="26"/>
          <w:szCs w:val="26"/>
        </w:rPr>
        <w:t>Ohio</w:t>
      </w:r>
      <w:r w:rsidR="006770D4" w:rsidRPr="00EE5714">
        <w:rPr>
          <w:rFonts w:ascii="Times New Roman" w:hAnsi="Times New Roman" w:cs="Times New Roman"/>
          <w:sz w:val="26"/>
          <w:szCs w:val="26"/>
        </w:rPr>
        <w:t>’</w:t>
      </w:r>
      <w:r w:rsidR="00EE75B2" w:rsidRPr="00EE5714">
        <w:rPr>
          <w:rFonts w:ascii="Times New Roman" w:hAnsi="Times New Roman" w:cs="Times New Roman"/>
          <w:sz w:val="26"/>
          <w:szCs w:val="26"/>
        </w:rPr>
        <w:t xml:space="preserve">s </w:t>
      </w:r>
      <w:r w:rsidRPr="00EE5714">
        <w:rPr>
          <w:rFonts w:ascii="Times New Roman" w:hAnsi="Times New Roman" w:cs="Times New Roman"/>
          <w:sz w:val="26"/>
          <w:szCs w:val="26"/>
        </w:rPr>
        <w:t xml:space="preserve">PIPP Plus is an extended payment arrangement that requires regulated gas and electric companies to accept payments based on a percentage of the household income for those customers who are at or below 150% of the federal income guidelines. </w:t>
      </w:r>
      <w:r w:rsidR="008100F3" w:rsidRPr="00EE5714">
        <w:rPr>
          <w:rFonts w:ascii="Times New Roman" w:hAnsi="Times New Roman" w:cs="Times New Roman"/>
          <w:sz w:val="26"/>
          <w:szCs w:val="26"/>
        </w:rPr>
        <w:t xml:space="preserve"> </w:t>
      </w:r>
      <w:r w:rsidRPr="00EE5714">
        <w:rPr>
          <w:rFonts w:ascii="Times New Roman" w:hAnsi="Times New Roman" w:cs="Times New Roman"/>
          <w:sz w:val="26"/>
          <w:szCs w:val="26"/>
        </w:rPr>
        <w:t>The PIPP Plus payment amount is based on the household’s countable income received during the previous 30</w:t>
      </w:r>
      <w:r w:rsidR="004D661B" w:rsidRPr="00EE5714">
        <w:rPr>
          <w:rFonts w:ascii="Times New Roman" w:hAnsi="Times New Roman" w:cs="Times New Roman"/>
          <w:sz w:val="26"/>
          <w:szCs w:val="26"/>
        </w:rPr>
        <w:t xml:space="preserve"> </w:t>
      </w:r>
      <w:r w:rsidRPr="00EE5714">
        <w:rPr>
          <w:rFonts w:ascii="Times New Roman" w:hAnsi="Times New Roman" w:cs="Times New Roman"/>
          <w:sz w:val="26"/>
          <w:szCs w:val="26"/>
        </w:rPr>
        <w:t>days.  If a gas customer qualifies for PIPP Plus, he or she would pay 6% of the household’s current gross monthly income to the gas company or a minimum of ten dollars, whichever is greater,</w:t>
      </w:r>
      <w:r w:rsidRPr="00EE5714">
        <w:rPr>
          <w:rFonts w:ascii="Times New Roman" w:hAnsi="Times New Roman" w:cs="Times New Roman"/>
          <w:spacing w:val="10"/>
          <w:sz w:val="26"/>
          <w:szCs w:val="26"/>
        </w:rPr>
        <w:t xml:space="preserve"> </w:t>
      </w:r>
      <w:r w:rsidRPr="00EE5714">
        <w:rPr>
          <w:rFonts w:ascii="Times New Roman" w:hAnsi="Times New Roman" w:cs="Times New Roman"/>
          <w:sz w:val="26"/>
          <w:szCs w:val="26"/>
        </w:rPr>
        <w:t>year-round.  If electricity is not the primary heat source, a customer pays 6% of the household’s current gross monthly income to the electric company or a minimum of ten dollars, whichever is greater, year-round.  The customer of an all-electric household pays 10% of the household’s monthly income or a minimum of ten dollars, whichever is greater, year-round.</w:t>
      </w:r>
    </w:p>
    <w:p w14:paraId="183FA5D9" w14:textId="77777777" w:rsidR="006D50E9" w:rsidRPr="00EE5714" w:rsidRDefault="006D50E9">
      <w:pPr>
        <w:spacing w:after="0" w:line="240" w:lineRule="auto"/>
        <w:contextualSpacing/>
        <w:rPr>
          <w:rFonts w:ascii="Times New Roman" w:eastAsia="Calibri" w:hAnsi="Times New Roman" w:cs="Times New Roman"/>
          <w:sz w:val="26"/>
          <w:szCs w:val="26"/>
        </w:rPr>
      </w:pPr>
    </w:p>
    <w:p w14:paraId="5CCA2F86" w14:textId="77777777" w:rsidR="00431FC9" w:rsidRPr="00EE5714" w:rsidRDefault="001313C2" w:rsidP="003540EF">
      <w:pPr>
        <w:spacing w:after="0" w:line="240" w:lineRule="auto"/>
        <w:ind w:firstLine="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Ohio’s</w:t>
      </w:r>
      <w:r w:rsidR="00292F28" w:rsidRPr="00EE5714">
        <w:rPr>
          <w:rFonts w:ascii="Times New Roman" w:eastAsia="Calibri" w:hAnsi="Times New Roman" w:cs="Times New Roman"/>
          <w:sz w:val="26"/>
          <w:szCs w:val="26"/>
        </w:rPr>
        <w:t xml:space="preserve"> 10% </w:t>
      </w:r>
      <w:r w:rsidR="00D00CDA" w:rsidRPr="00EE5714">
        <w:rPr>
          <w:rFonts w:ascii="Times New Roman" w:eastAsia="Calibri" w:hAnsi="Times New Roman" w:cs="Times New Roman"/>
          <w:sz w:val="26"/>
          <w:szCs w:val="26"/>
        </w:rPr>
        <w:t>electr</w:t>
      </w:r>
      <w:r w:rsidR="005D415B" w:rsidRPr="00EE5714">
        <w:rPr>
          <w:rFonts w:ascii="Times New Roman" w:eastAsia="Calibri" w:hAnsi="Times New Roman" w:cs="Times New Roman"/>
          <w:sz w:val="26"/>
          <w:szCs w:val="26"/>
        </w:rPr>
        <w:t>i</w:t>
      </w:r>
      <w:r w:rsidR="00D00CDA" w:rsidRPr="00EE5714">
        <w:rPr>
          <w:rFonts w:ascii="Times New Roman" w:eastAsia="Calibri" w:hAnsi="Times New Roman" w:cs="Times New Roman"/>
          <w:sz w:val="26"/>
          <w:szCs w:val="26"/>
        </w:rPr>
        <w:t>c heat</w:t>
      </w:r>
      <w:r w:rsidR="005D7F3F" w:rsidRPr="00EE5714">
        <w:rPr>
          <w:rFonts w:ascii="Times New Roman" w:eastAsia="Calibri" w:hAnsi="Times New Roman" w:cs="Times New Roman"/>
          <w:sz w:val="26"/>
          <w:szCs w:val="26"/>
        </w:rPr>
        <w:t>ing</w:t>
      </w:r>
      <w:r w:rsidR="00D00CDA" w:rsidRPr="00EE5714">
        <w:rPr>
          <w:rFonts w:ascii="Times New Roman" w:eastAsia="Calibri" w:hAnsi="Times New Roman" w:cs="Times New Roman"/>
          <w:sz w:val="26"/>
          <w:szCs w:val="26"/>
        </w:rPr>
        <w:t xml:space="preserve"> </w:t>
      </w:r>
      <w:r w:rsidR="002E2342" w:rsidRPr="00EE5714">
        <w:rPr>
          <w:rFonts w:ascii="Times New Roman" w:eastAsia="Calibri" w:hAnsi="Times New Roman" w:cs="Times New Roman"/>
          <w:sz w:val="26"/>
          <w:szCs w:val="26"/>
        </w:rPr>
        <w:t xml:space="preserve">energy burden </w:t>
      </w:r>
      <w:r w:rsidR="00D00CDA" w:rsidRPr="00EE5714">
        <w:rPr>
          <w:rFonts w:ascii="Times New Roman" w:eastAsia="Calibri" w:hAnsi="Times New Roman" w:cs="Times New Roman"/>
          <w:sz w:val="26"/>
          <w:szCs w:val="26"/>
        </w:rPr>
        <w:t>and its combined gas</w:t>
      </w:r>
      <w:r w:rsidR="00A72F7D" w:rsidRPr="00EE5714">
        <w:rPr>
          <w:rFonts w:ascii="Times New Roman" w:eastAsia="Calibri" w:hAnsi="Times New Roman" w:cs="Times New Roman"/>
          <w:sz w:val="26"/>
          <w:szCs w:val="26"/>
        </w:rPr>
        <w:t xml:space="preserve">/electric energy burden are </w:t>
      </w:r>
      <w:r w:rsidR="00234F66" w:rsidRPr="00EE5714">
        <w:rPr>
          <w:rFonts w:ascii="Times New Roman" w:eastAsia="Calibri" w:hAnsi="Times New Roman" w:cs="Times New Roman"/>
          <w:sz w:val="26"/>
          <w:szCs w:val="26"/>
        </w:rPr>
        <w:t xml:space="preserve">the highest </w:t>
      </w:r>
      <w:r w:rsidR="00E4136D" w:rsidRPr="00EE5714">
        <w:rPr>
          <w:rFonts w:ascii="Times New Roman" w:eastAsia="Calibri" w:hAnsi="Times New Roman" w:cs="Times New Roman"/>
          <w:sz w:val="26"/>
          <w:szCs w:val="26"/>
        </w:rPr>
        <w:t>level</w:t>
      </w:r>
      <w:r w:rsidR="00A72F7D" w:rsidRPr="00EE5714">
        <w:rPr>
          <w:rFonts w:ascii="Times New Roman" w:eastAsia="Calibri" w:hAnsi="Times New Roman" w:cs="Times New Roman"/>
          <w:sz w:val="26"/>
          <w:szCs w:val="26"/>
        </w:rPr>
        <w:t>s</w:t>
      </w:r>
      <w:r w:rsidR="00E4136D" w:rsidRPr="00EE5714">
        <w:rPr>
          <w:rFonts w:ascii="Times New Roman" w:eastAsia="Calibri" w:hAnsi="Times New Roman" w:cs="Times New Roman"/>
          <w:sz w:val="26"/>
          <w:szCs w:val="26"/>
        </w:rPr>
        <w:t xml:space="preserve"> </w:t>
      </w:r>
      <w:r w:rsidR="00A72F7D" w:rsidRPr="00EE5714">
        <w:rPr>
          <w:rFonts w:ascii="Times New Roman" w:eastAsia="Calibri" w:hAnsi="Times New Roman" w:cs="Times New Roman"/>
          <w:sz w:val="26"/>
          <w:szCs w:val="26"/>
        </w:rPr>
        <w:t xml:space="preserve">compared to </w:t>
      </w:r>
      <w:r w:rsidR="00E4136D" w:rsidRPr="00EE5714">
        <w:rPr>
          <w:rFonts w:ascii="Times New Roman" w:eastAsia="Calibri" w:hAnsi="Times New Roman" w:cs="Times New Roman"/>
          <w:sz w:val="26"/>
          <w:szCs w:val="26"/>
        </w:rPr>
        <w:t xml:space="preserve">Pennsylvania’s </w:t>
      </w:r>
      <w:r w:rsidR="003540EF" w:rsidRPr="00EE5714">
        <w:rPr>
          <w:rFonts w:ascii="Times New Roman" w:eastAsia="Calibri" w:hAnsi="Times New Roman" w:cs="Times New Roman"/>
          <w:sz w:val="26"/>
          <w:szCs w:val="26"/>
        </w:rPr>
        <w:t xml:space="preserve">other </w:t>
      </w:r>
      <w:r w:rsidR="00E4136D" w:rsidRPr="00EE5714">
        <w:rPr>
          <w:rFonts w:ascii="Times New Roman" w:eastAsia="Calibri" w:hAnsi="Times New Roman" w:cs="Times New Roman"/>
          <w:sz w:val="26"/>
          <w:szCs w:val="26"/>
        </w:rPr>
        <w:t xml:space="preserve">neighboring states.  </w:t>
      </w:r>
      <w:bookmarkStart w:id="42" w:name="_Hlk527431179"/>
      <w:r w:rsidR="008137A3" w:rsidRPr="00EE5714">
        <w:rPr>
          <w:rFonts w:ascii="Times New Roman" w:eastAsia="Calibri" w:hAnsi="Times New Roman" w:cs="Times New Roman"/>
          <w:sz w:val="26"/>
          <w:szCs w:val="26"/>
        </w:rPr>
        <w:t>The</w:t>
      </w:r>
      <w:r w:rsidR="00D15F07" w:rsidRPr="00EE5714">
        <w:rPr>
          <w:rFonts w:ascii="Times New Roman" w:eastAsia="Calibri" w:hAnsi="Times New Roman" w:cs="Times New Roman"/>
          <w:sz w:val="26"/>
          <w:szCs w:val="26"/>
        </w:rPr>
        <w:t xml:space="preserve"> maximum energy burden </w:t>
      </w:r>
      <w:r w:rsidR="008137A3" w:rsidRPr="00EE5714">
        <w:rPr>
          <w:rFonts w:ascii="Times New Roman" w:eastAsia="Calibri" w:hAnsi="Times New Roman" w:cs="Times New Roman"/>
          <w:sz w:val="26"/>
          <w:szCs w:val="26"/>
        </w:rPr>
        <w:t>for New York</w:t>
      </w:r>
      <w:r w:rsidR="00F051CE" w:rsidRPr="00EE5714">
        <w:rPr>
          <w:rFonts w:ascii="Times New Roman" w:eastAsia="Calibri" w:hAnsi="Times New Roman" w:cs="Times New Roman"/>
          <w:sz w:val="26"/>
          <w:szCs w:val="26"/>
        </w:rPr>
        <w:t>’s payment assistance program</w:t>
      </w:r>
      <w:r w:rsidR="008137A3" w:rsidRPr="00EE5714">
        <w:rPr>
          <w:rFonts w:ascii="Times New Roman" w:eastAsia="Calibri" w:hAnsi="Times New Roman" w:cs="Times New Roman"/>
          <w:sz w:val="26"/>
          <w:szCs w:val="26"/>
        </w:rPr>
        <w:t xml:space="preserve"> is</w:t>
      </w:r>
      <w:r w:rsidR="00D15F07" w:rsidRPr="00EE5714">
        <w:rPr>
          <w:rFonts w:ascii="Times New Roman" w:eastAsia="Calibri" w:hAnsi="Times New Roman" w:cs="Times New Roman"/>
          <w:sz w:val="26"/>
          <w:szCs w:val="26"/>
        </w:rPr>
        <w:t xml:space="preserve"> 6% </w:t>
      </w:r>
      <w:r w:rsidR="00152E1E" w:rsidRPr="00EE5714">
        <w:rPr>
          <w:rFonts w:ascii="Times New Roman" w:eastAsia="Calibri" w:hAnsi="Times New Roman" w:cs="Times New Roman"/>
          <w:sz w:val="26"/>
          <w:szCs w:val="26"/>
        </w:rPr>
        <w:t xml:space="preserve">for gas and </w:t>
      </w:r>
      <w:r w:rsidR="00152E1E" w:rsidRPr="00EE5714">
        <w:rPr>
          <w:rFonts w:ascii="Times New Roman" w:eastAsia="Calibri" w:hAnsi="Times New Roman" w:cs="Times New Roman"/>
          <w:sz w:val="26"/>
          <w:szCs w:val="26"/>
        </w:rPr>
        <w:lastRenderedPageBreak/>
        <w:t>electric service.</w:t>
      </w:r>
      <w:r w:rsidR="00927C90" w:rsidRPr="00EE5714">
        <w:rPr>
          <w:rStyle w:val="FootnoteReference"/>
          <w:rFonts w:ascii="Times New Roman" w:eastAsia="Calibri" w:hAnsi="Times New Roman" w:cs="Times New Roman"/>
          <w:sz w:val="26"/>
          <w:szCs w:val="26"/>
        </w:rPr>
        <w:footnoteReference w:id="66"/>
      </w:r>
      <w:bookmarkEnd w:id="42"/>
      <w:r w:rsidR="00F26529" w:rsidRPr="00EE5714">
        <w:rPr>
          <w:rFonts w:ascii="Times New Roman" w:eastAsia="Calibri" w:hAnsi="Times New Roman" w:cs="Times New Roman"/>
          <w:sz w:val="26"/>
          <w:szCs w:val="26"/>
          <w:vertAlign w:val="superscript"/>
        </w:rPr>
        <w:t xml:space="preserve">, </w:t>
      </w:r>
      <w:r w:rsidR="00F57A65" w:rsidRPr="00EE5714">
        <w:rPr>
          <w:rStyle w:val="FootnoteReference"/>
          <w:rFonts w:ascii="Times New Roman" w:eastAsia="Calibri" w:hAnsi="Times New Roman" w:cs="Times New Roman"/>
          <w:sz w:val="26"/>
          <w:szCs w:val="26"/>
        </w:rPr>
        <w:footnoteReference w:id="67"/>
      </w:r>
      <w:r w:rsidR="00152E1E" w:rsidRPr="00EE5714">
        <w:rPr>
          <w:rFonts w:ascii="Times New Roman" w:eastAsia="Calibri" w:hAnsi="Times New Roman" w:cs="Times New Roman"/>
          <w:sz w:val="26"/>
          <w:szCs w:val="26"/>
        </w:rPr>
        <w:t xml:space="preserve">  </w:t>
      </w:r>
      <w:r w:rsidR="00D15F07" w:rsidRPr="00EE5714">
        <w:rPr>
          <w:rFonts w:ascii="Times New Roman" w:eastAsia="Calibri" w:hAnsi="Times New Roman" w:cs="Times New Roman"/>
          <w:sz w:val="26"/>
          <w:szCs w:val="26"/>
        </w:rPr>
        <w:t>New Jerse</w:t>
      </w:r>
      <w:r w:rsidR="008137A3" w:rsidRPr="00EE5714">
        <w:rPr>
          <w:rFonts w:ascii="Times New Roman" w:eastAsia="Calibri" w:hAnsi="Times New Roman" w:cs="Times New Roman"/>
          <w:sz w:val="26"/>
          <w:szCs w:val="26"/>
        </w:rPr>
        <w:t>y’s</w:t>
      </w:r>
      <w:r w:rsidR="00D15F07" w:rsidRPr="00EE5714">
        <w:rPr>
          <w:rFonts w:ascii="Times New Roman" w:eastAsia="Calibri" w:hAnsi="Times New Roman" w:cs="Times New Roman"/>
          <w:sz w:val="26"/>
          <w:szCs w:val="26"/>
        </w:rPr>
        <w:t xml:space="preserve"> maximum </w:t>
      </w:r>
      <w:r w:rsidR="0019473E" w:rsidRPr="00EE5714">
        <w:rPr>
          <w:rFonts w:ascii="Times New Roman" w:eastAsia="Calibri" w:hAnsi="Times New Roman" w:cs="Times New Roman"/>
          <w:sz w:val="26"/>
          <w:szCs w:val="26"/>
        </w:rPr>
        <w:t xml:space="preserve">energy burden for its Universal Service </w:t>
      </w:r>
      <w:r w:rsidR="00F7784E" w:rsidRPr="00EE5714">
        <w:rPr>
          <w:rFonts w:ascii="Times New Roman" w:eastAsia="Calibri" w:hAnsi="Times New Roman" w:cs="Times New Roman"/>
          <w:sz w:val="26"/>
          <w:szCs w:val="26"/>
        </w:rPr>
        <w:t>Fund is</w:t>
      </w:r>
      <w:r w:rsidR="00FF7D30" w:rsidRPr="00EE5714">
        <w:rPr>
          <w:rFonts w:ascii="Times New Roman" w:eastAsia="Calibri" w:hAnsi="Times New Roman" w:cs="Times New Roman"/>
          <w:sz w:val="26"/>
          <w:szCs w:val="26"/>
        </w:rPr>
        <w:t xml:space="preserve"> also 6%.</w:t>
      </w:r>
      <w:bookmarkStart w:id="43" w:name="_Hlk527431222"/>
      <w:r w:rsidR="00FF7D30" w:rsidRPr="00EE5714">
        <w:rPr>
          <w:rStyle w:val="FootnoteReference"/>
          <w:rFonts w:ascii="Times New Roman" w:eastAsia="Calibri" w:hAnsi="Times New Roman" w:cs="Times New Roman"/>
          <w:sz w:val="26"/>
          <w:szCs w:val="26"/>
        </w:rPr>
        <w:footnoteReference w:id="68"/>
      </w:r>
      <w:bookmarkEnd w:id="43"/>
      <w:r w:rsidR="001E40BA" w:rsidRPr="00EE5714">
        <w:rPr>
          <w:rFonts w:ascii="Times New Roman" w:eastAsia="Calibri" w:hAnsi="Times New Roman" w:cs="Times New Roman"/>
          <w:sz w:val="26"/>
          <w:szCs w:val="26"/>
          <w:vertAlign w:val="superscript"/>
        </w:rPr>
        <w:t>,</w:t>
      </w:r>
      <w:r w:rsidR="001E40BA" w:rsidRPr="00EE5714">
        <w:rPr>
          <w:rFonts w:ascii="Times New Roman" w:eastAsia="Calibri" w:hAnsi="Times New Roman" w:cs="Times New Roman"/>
          <w:sz w:val="26"/>
          <w:szCs w:val="26"/>
        </w:rPr>
        <w:t xml:space="preserve"> </w:t>
      </w:r>
      <w:r w:rsidR="00291366" w:rsidRPr="00EE5714">
        <w:rPr>
          <w:rStyle w:val="FootnoteReference"/>
          <w:rFonts w:ascii="Times New Roman" w:eastAsia="Calibri" w:hAnsi="Times New Roman" w:cs="Times New Roman"/>
          <w:sz w:val="26"/>
          <w:szCs w:val="26"/>
        </w:rPr>
        <w:footnoteReference w:id="69"/>
      </w:r>
      <w:r w:rsidR="00FF7D30" w:rsidRPr="00EE5714">
        <w:rPr>
          <w:rFonts w:ascii="Times New Roman" w:eastAsia="Calibri" w:hAnsi="Times New Roman" w:cs="Times New Roman"/>
          <w:sz w:val="26"/>
          <w:szCs w:val="26"/>
        </w:rPr>
        <w:t xml:space="preserve">  </w:t>
      </w:r>
      <w:r w:rsidR="00B13CD2" w:rsidRPr="00EE5714">
        <w:rPr>
          <w:rFonts w:ascii="Times New Roman" w:eastAsia="Calibri" w:hAnsi="Times New Roman" w:cs="Times New Roman"/>
          <w:sz w:val="26"/>
          <w:szCs w:val="26"/>
        </w:rPr>
        <w:t xml:space="preserve">Maryland </w:t>
      </w:r>
      <w:r w:rsidR="00FC6376" w:rsidRPr="00EE5714">
        <w:rPr>
          <w:rFonts w:ascii="Times New Roman" w:eastAsia="Calibri" w:hAnsi="Times New Roman" w:cs="Times New Roman"/>
          <w:sz w:val="26"/>
          <w:szCs w:val="26"/>
        </w:rPr>
        <w:t>has a</w:t>
      </w:r>
      <w:r w:rsidR="00707350" w:rsidRPr="00EE5714">
        <w:rPr>
          <w:rFonts w:ascii="Times New Roman" w:eastAsia="Calibri" w:hAnsi="Times New Roman" w:cs="Times New Roman"/>
          <w:sz w:val="26"/>
          <w:szCs w:val="26"/>
        </w:rPr>
        <w:t xml:space="preserve">n Electric Universal Service Program which provides an annual grant to reduce a low-income customer’s </w:t>
      </w:r>
      <w:r w:rsidR="009D73B2" w:rsidRPr="00EE5714">
        <w:rPr>
          <w:rFonts w:ascii="Times New Roman" w:eastAsia="Calibri" w:hAnsi="Times New Roman" w:cs="Times New Roman"/>
          <w:sz w:val="26"/>
          <w:szCs w:val="26"/>
        </w:rPr>
        <w:t>budget bill amount</w:t>
      </w:r>
      <w:r w:rsidR="00767BF7" w:rsidRPr="00EE5714">
        <w:rPr>
          <w:rFonts w:ascii="Times New Roman" w:eastAsia="Calibri" w:hAnsi="Times New Roman" w:cs="Times New Roman"/>
          <w:sz w:val="26"/>
          <w:szCs w:val="26"/>
        </w:rPr>
        <w:t xml:space="preserve"> based on household income and electric usage over the past 12 months</w:t>
      </w:r>
      <w:r w:rsidR="009D73B2" w:rsidRPr="00EE5714">
        <w:rPr>
          <w:rFonts w:ascii="Times New Roman" w:eastAsia="Calibri" w:hAnsi="Times New Roman" w:cs="Times New Roman"/>
          <w:sz w:val="26"/>
          <w:szCs w:val="26"/>
        </w:rPr>
        <w:t>.</w:t>
      </w:r>
      <w:r w:rsidR="00934CA8" w:rsidRPr="00EE5714">
        <w:rPr>
          <w:rStyle w:val="FootnoteReference"/>
          <w:rFonts w:ascii="Times New Roman" w:eastAsia="Calibri" w:hAnsi="Times New Roman" w:cs="Times New Roman"/>
          <w:sz w:val="26"/>
          <w:szCs w:val="26"/>
        </w:rPr>
        <w:footnoteReference w:id="70"/>
      </w:r>
      <w:r w:rsidR="009D73B2" w:rsidRPr="00EE5714">
        <w:rPr>
          <w:rFonts w:ascii="Times New Roman" w:eastAsia="Calibri" w:hAnsi="Times New Roman" w:cs="Times New Roman"/>
          <w:sz w:val="26"/>
          <w:szCs w:val="26"/>
        </w:rPr>
        <w:t xml:space="preserve">  </w:t>
      </w:r>
      <w:r w:rsidR="00FC6376" w:rsidRPr="00EE5714">
        <w:rPr>
          <w:rFonts w:ascii="Times New Roman" w:eastAsia="Calibri" w:hAnsi="Times New Roman" w:cs="Times New Roman"/>
          <w:sz w:val="26"/>
          <w:szCs w:val="26"/>
        </w:rPr>
        <w:t xml:space="preserve"> </w:t>
      </w:r>
    </w:p>
    <w:p w14:paraId="538E22A3" w14:textId="77777777" w:rsidR="00E40CCD" w:rsidRPr="00EE5714" w:rsidRDefault="00E40CCD" w:rsidP="00E40CCD">
      <w:pPr>
        <w:keepNext/>
        <w:spacing w:after="0" w:line="240" w:lineRule="auto"/>
        <w:contextualSpacing/>
        <w:rPr>
          <w:rFonts w:ascii="Times New Roman" w:eastAsia="Calibri" w:hAnsi="Times New Roman" w:cs="Times New Roman"/>
          <w:i/>
          <w:sz w:val="26"/>
          <w:szCs w:val="26"/>
        </w:rPr>
      </w:pPr>
      <w:r w:rsidRPr="00EE5714">
        <w:rPr>
          <w:rFonts w:ascii="Times New Roman" w:eastAsia="Calibri" w:hAnsi="Times New Roman" w:cs="Times New Roman"/>
          <w:i/>
          <w:iCs/>
          <w:sz w:val="26"/>
          <w:szCs w:val="26"/>
        </w:rPr>
        <w:t xml:space="preserve">Pennsylvania’s </w:t>
      </w:r>
      <w:r w:rsidR="003F3BCF" w:rsidRPr="00EE5714">
        <w:rPr>
          <w:rFonts w:ascii="Times New Roman" w:eastAsia="Calibri" w:hAnsi="Times New Roman" w:cs="Times New Roman"/>
          <w:i/>
          <w:iCs/>
          <w:sz w:val="26"/>
          <w:szCs w:val="26"/>
        </w:rPr>
        <w:t xml:space="preserve">Home Energy </w:t>
      </w:r>
      <w:r w:rsidRPr="00EE5714">
        <w:rPr>
          <w:rFonts w:ascii="Times New Roman" w:eastAsia="Calibri" w:hAnsi="Times New Roman" w:cs="Times New Roman"/>
          <w:i/>
          <w:iCs/>
          <w:sz w:val="26"/>
          <w:szCs w:val="26"/>
        </w:rPr>
        <w:t>Affordability Gap</w:t>
      </w:r>
    </w:p>
    <w:p w14:paraId="0ED3A3D4" w14:textId="77777777" w:rsidR="00E40CCD" w:rsidRPr="00EE5714" w:rsidRDefault="00E40CCD" w:rsidP="00E40CCD">
      <w:pPr>
        <w:keepNext/>
        <w:spacing w:after="0" w:line="240" w:lineRule="auto"/>
        <w:contextualSpacing/>
        <w:rPr>
          <w:rFonts w:ascii="Times New Roman" w:eastAsia="Calibri" w:hAnsi="Times New Roman" w:cs="Times New Roman"/>
          <w:i/>
          <w:sz w:val="26"/>
          <w:szCs w:val="26"/>
        </w:rPr>
      </w:pPr>
    </w:p>
    <w:p w14:paraId="6840C2F8" w14:textId="08F0A42C" w:rsidR="00803238" w:rsidRPr="00EE5714" w:rsidRDefault="00E40CCD" w:rsidP="00A67633">
      <w:pPr>
        <w:spacing w:after="0" w:line="240" w:lineRule="auto"/>
        <w:ind w:firstLine="720"/>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Fisher, Sheehan</w:t>
      </w:r>
      <w:r w:rsidR="003012F2" w:rsidRPr="00EE5714">
        <w:rPr>
          <w:rFonts w:ascii="Times New Roman" w:eastAsia="Times New Roman" w:hAnsi="Times New Roman" w:cs="Times New Roman"/>
          <w:sz w:val="26"/>
          <w:szCs w:val="26"/>
        </w:rPr>
        <w:t>,</w:t>
      </w:r>
      <w:r w:rsidRPr="00EE5714">
        <w:rPr>
          <w:rFonts w:ascii="Times New Roman" w:eastAsia="Times New Roman" w:hAnsi="Times New Roman" w:cs="Times New Roman"/>
          <w:sz w:val="26"/>
          <w:szCs w:val="26"/>
        </w:rPr>
        <w:t xml:space="preserve"> and Colton compile and publish </w:t>
      </w:r>
      <w:r w:rsidR="001E7EC7" w:rsidRPr="00EE5714">
        <w:rPr>
          <w:rFonts w:ascii="Times New Roman" w:eastAsia="Times New Roman" w:hAnsi="Times New Roman" w:cs="Times New Roman"/>
          <w:sz w:val="26"/>
          <w:szCs w:val="26"/>
        </w:rPr>
        <w:t>annually</w:t>
      </w:r>
      <w:r w:rsidRPr="00EE5714">
        <w:rPr>
          <w:rFonts w:ascii="Times New Roman" w:eastAsia="Times New Roman" w:hAnsi="Times New Roman" w:cs="Times New Roman"/>
          <w:sz w:val="26"/>
          <w:szCs w:val="26"/>
        </w:rPr>
        <w:t xml:space="preserve"> a Home Energy Affordability Gap report for each state</w:t>
      </w:r>
      <w:r w:rsidR="00C359EA" w:rsidRPr="00EE5714">
        <w:rPr>
          <w:rFonts w:ascii="Times New Roman" w:eastAsia="Times New Roman" w:hAnsi="Times New Roman" w:cs="Times New Roman"/>
          <w:sz w:val="26"/>
          <w:szCs w:val="26"/>
        </w:rPr>
        <w:t xml:space="preserve"> annually</w:t>
      </w:r>
      <w:r w:rsidRPr="00EE5714">
        <w:rPr>
          <w:rFonts w:ascii="Times New Roman" w:eastAsia="Times New Roman" w:hAnsi="Times New Roman" w:cs="Times New Roman"/>
          <w:sz w:val="26"/>
          <w:szCs w:val="26"/>
        </w:rPr>
        <w:t xml:space="preserve"> that reflects energy burden information for each state, using information from several sources, including the </w:t>
      </w:r>
      <w:r w:rsidR="00C64A5F" w:rsidRPr="00EE5714">
        <w:rPr>
          <w:rFonts w:ascii="Times New Roman" w:eastAsia="Times New Roman" w:hAnsi="Times New Roman" w:cs="Times New Roman"/>
          <w:sz w:val="26"/>
          <w:szCs w:val="26"/>
        </w:rPr>
        <w:t xml:space="preserve">U.S. </w:t>
      </w:r>
      <w:r w:rsidRPr="00EE5714">
        <w:rPr>
          <w:rFonts w:ascii="Times New Roman" w:eastAsia="Times New Roman" w:hAnsi="Times New Roman" w:cs="Times New Roman"/>
          <w:sz w:val="26"/>
          <w:szCs w:val="26"/>
        </w:rPr>
        <w:t xml:space="preserve">Census and </w:t>
      </w:r>
      <w:r w:rsidR="00584F9F" w:rsidRPr="00EE5714">
        <w:rPr>
          <w:rFonts w:ascii="Times New Roman" w:eastAsia="Times New Roman" w:hAnsi="Times New Roman" w:cs="Times New Roman"/>
          <w:sz w:val="26"/>
          <w:szCs w:val="26"/>
        </w:rPr>
        <w:t xml:space="preserve">the </w:t>
      </w:r>
      <w:r w:rsidRPr="00EE5714">
        <w:rPr>
          <w:rFonts w:ascii="Times New Roman" w:eastAsia="Times New Roman" w:hAnsi="Times New Roman" w:cs="Times New Roman"/>
          <w:sz w:val="26"/>
          <w:szCs w:val="26"/>
        </w:rPr>
        <w:t>five-year American Community Survey</w:t>
      </w:r>
      <w:r w:rsidR="00583D3B" w:rsidRPr="00EE5714">
        <w:rPr>
          <w:rFonts w:ascii="Times New Roman" w:eastAsia="Times New Roman" w:hAnsi="Times New Roman" w:cs="Times New Roman"/>
          <w:sz w:val="26"/>
          <w:szCs w:val="26"/>
        </w:rPr>
        <w:t xml:space="preserve"> (ACS)</w:t>
      </w:r>
      <w:r w:rsidRPr="00EE5714">
        <w:rPr>
          <w:rFonts w:ascii="Times New Roman" w:eastAsia="Times New Roman" w:hAnsi="Times New Roman" w:cs="Times New Roman"/>
          <w:sz w:val="26"/>
          <w:szCs w:val="26"/>
        </w:rPr>
        <w:t>.</w:t>
      </w:r>
      <w:r w:rsidRPr="00EE5714">
        <w:rPr>
          <w:rFonts w:ascii="Times New Roman" w:eastAsia="Times New Roman" w:hAnsi="Times New Roman" w:cs="Times New Roman"/>
          <w:sz w:val="26"/>
          <w:szCs w:val="26"/>
          <w:vertAlign w:val="superscript"/>
        </w:rPr>
        <w:footnoteReference w:id="71"/>
      </w:r>
      <w:r w:rsidRPr="00EE5714">
        <w:rPr>
          <w:rFonts w:ascii="Times New Roman" w:eastAsia="Times New Roman" w:hAnsi="Times New Roman" w:cs="Times New Roman"/>
          <w:sz w:val="26"/>
          <w:szCs w:val="26"/>
        </w:rPr>
        <w:t xml:space="preserve">  Information is compiled for each county in </w:t>
      </w:r>
      <w:r w:rsidR="00CB6DB7" w:rsidRPr="00EE5714">
        <w:rPr>
          <w:rFonts w:ascii="Times New Roman" w:eastAsia="Times New Roman" w:hAnsi="Times New Roman" w:cs="Times New Roman"/>
          <w:sz w:val="26"/>
          <w:szCs w:val="26"/>
        </w:rPr>
        <w:t>a</w:t>
      </w:r>
      <w:r w:rsidRPr="00EE5714">
        <w:rPr>
          <w:rFonts w:ascii="Times New Roman" w:eastAsia="Times New Roman" w:hAnsi="Times New Roman" w:cs="Times New Roman"/>
          <w:sz w:val="26"/>
          <w:szCs w:val="26"/>
        </w:rPr>
        <w:t xml:space="preserve"> state </w:t>
      </w:r>
      <w:r w:rsidR="00FE4D9C" w:rsidRPr="00EE5714">
        <w:rPr>
          <w:rFonts w:ascii="Times New Roman" w:eastAsia="Times New Roman" w:hAnsi="Times New Roman" w:cs="Times New Roman"/>
          <w:sz w:val="26"/>
          <w:szCs w:val="26"/>
        </w:rPr>
        <w:t>which is</w:t>
      </w:r>
      <w:r w:rsidRPr="00EE5714">
        <w:rPr>
          <w:rFonts w:ascii="Times New Roman" w:eastAsia="Times New Roman" w:hAnsi="Times New Roman" w:cs="Times New Roman"/>
          <w:sz w:val="26"/>
          <w:szCs w:val="26"/>
        </w:rPr>
        <w:t xml:space="preserve"> then </w:t>
      </w:r>
      <w:r w:rsidR="00FE4D9C" w:rsidRPr="00EE5714">
        <w:rPr>
          <w:rFonts w:ascii="Times New Roman" w:eastAsia="Times New Roman" w:hAnsi="Times New Roman" w:cs="Times New Roman"/>
          <w:sz w:val="26"/>
          <w:szCs w:val="26"/>
        </w:rPr>
        <w:t>used to calculate an statewide</w:t>
      </w:r>
      <w:r w:rsidR="00CB6DB7" w:rsidRPr="00EE5714">
        <w:rPr>
          <w:rFonts w:ascii="Times New Roman" w:eastAsia="Times New Roman" w:hAnsi="Times New Roman" w:cs="Times New Roman"/>
          <w:sz w:val="26"/>
          <w:szCs w:val="26"/>
        </w:rPr>
        <w:t xml:space="preserve"> energy burden </w:t>
      </w:r>
      <w:r w:rsidR="00FE4D9C" w:rsidRPr="00EE5714">
        <w:rPr>
          <w:rFonts w:ascii="Times New Roman" w:eastAsia="Times New Roman" w:hAnsi="Times New Roman" w:cs="Times New Roman"/>
          <w:sz w:val="26"/>
          <w:szCs w:val="26"/>
        </w:rPr>
        <w:t>value</w:t>
      </w:r>
      <w:r w:rsidRPr="00EE5714">
        <w:rPr>
          <w:rFonts w:ascii="Times New Roman" w:eastAsia="Times New Roman" w:hAnsi="Times New Roman" w:cs="Times New Roman"/>
          <w:sz w:val="26"/>
          <w:szCs w:val="26"/>
        </w:rPr>
        <w:t>.</w:t>
      </w:r>
      <w:r w:rsidRPr="00EE5714">
        <w:rPr>
          <w:rFonts w:ascii="Times New Roman" w:eastAsia="Times New Roman" w:hAnsi="Times New Roman" w:cs="Times New Roman"/>
          <w:sz w:val="26"/>
          <w:szCs w:val="26"/>
          <w:vertAlign w:val="superscript"/>
        </w:rPr>
        <w:footnoteReference w:id="72"/>
      </w:r>
      <w:r w:rsidRPr="00EE5714">
        <w:rPr>
          <w:rFonts w:ascii="Times New Roman" w:eastAsia="Times New Roman" w:hAnsi="Times New Roman" w:cs="Times New Roman"/>
          <w:sz w:val="26"/>
          <w:szCs w:val="26"/>
        </w:rPr>
        <w:t xml:space="preserve">  Additionally, Fisher, Sheehan and Colton report gross LIHEAP dollars, the number of households at or below 150 percent of the poverty level, and the number of heating/cooling bills covered by LIHEAP.  </w:t>
      </w:r>
    </w:p>
    <w:p w14:paraId="1784A4D3" w14:textId="77777777" w:rsidR="00803238" w:rsidRPr="00EE5714" w:rsidRDefault="00803238" w:rsidP="00A67633">
      <w:pPr>
        <w:spacing w:after="0" w:line="240" w:lineRule="auto"/>
        <w:ind w:firstLine="720"/>
        <w:rPr>
          <w:rFonts w:ascii="Times New Roman" w:eastAsia="Times New Roman" w:hAnsi="Times New Roman" w:cs="Times New Roman"/>
          <w:sz w:val="26"/>
          <w:szCs w:val="26"/>
        </w:rPr>
      </w:pPr>
    </w:p>
    <w:p w14:paraId="56B3E860" w14:textId="77777777" w:rsidR="00E40CCD" w:rsidRPr="00EE5714" w:rsidRDefault="000D695A" w:rsidP="00A67633">
      <w:pPr>
        <w:spacing w:after="0" w:line="240" w:lineRule="auto"/>
        <w:ind w:firstLine="720"/>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lastRenderedPageBreak/>
        <w:t>The energy burden levels in the Fisher, Sheehan</w:t>
      </w:r>
      <w:r w:rsidR="003012F2" w:rsidRPr="00EE5714">
        <w:rPr>
          <w:rFonts w:ascii="Times New Roman" w:eastAsia="Times New Roman" w:hAnsi="Times New Roman" w:cs="Times New Roman"/>
          <w:sz w:val="26"/>
          <w:szCs w:val="26"/>
        </w:rPr>
        <w:t>,</w:t>
      </w:r>
      <w:r w:rsidRPr="00EE5714">
        <w:rPr>
          <w:rFonts w:ascii="Times New Roman" w:eastAsia="Times New Roman" w:hAnsi="Times New Roman" w:cs="Times New Roman"/>
          <w:sz w:val="26"/>
          <w:szCs w:val="26"/>
        </w:rPr>
        <w:t xml:space="preserve"> and Colton reports reflect the cost of various household energy sources (</w:t>
      </w:r>
      <w:r w:rsidRPr="00EE5714">
        <w:rPr>
          <w:rFonts w:ascii="Times New Roman" w:eastAsia="Times New Roman" w:hAnsi="Times New Roman" w:cs="Times New Roman"/>
          <w:i/>
          <w:sz w:val="26"/>
          <w:szCs w:val="26"/>
        </w:rPr>
        <w:t>e.g.</w:t>
      </w:r>
      <w:r w:rsidRPr="00EE5714">
        <w:rPr>
          <w:rFonts w:ascii="Times New Roman" w:eastAsia="Times New Roman" w:hAnsi="Times New Roman" w:cs="Times New Roman"/>
          <w:sz w:val="26"/>
          <w:szCs w:val="26"/>
        </w:rPr>
        <w:t xml:space="preserve">, natural gas, electric, propane, oil, coal, etc.).  </w:t>
      </w:r>
      <w:r w:rsidR="00D079C0" w:rsidRPr="00EE5714">
        <w:rPr>
          <w:rFonts w:ascii="Times New Roman" w:eastAsia="Times New Roman" w:hAnsi="Times New Roman" w:cs="Times New Roman"/>
          <w:sz w:val="26"/>
          <w:szCs w:val="26"/>
        </w:rPr>
        <w:t>Thus, the energy burdens they calculate for Pennsylvania will not match precisely with the energy burdens reflected in this staff report.</w:t>
      </w:r>
    </w:p>
    <w:p w14:paraId="4EE68DC8" w14:textId="77777777" w:rsidR="00E40CCD" w:rsidRPr="00EE5714" w:rsidRDefault="00E40CCD" w:rsidP="00E40CCD">
      <w:pPr>
        <w:spacing w:after="0" w:line="240" w:lineRule="auto"/>
        <w:rPr>
          <w:rFonts w:ascii="Times New Roman" w:eastAsia="Times New Roman" w:hAnsi="Times New Roman" w:cs="Times New Roman"/>
          <w:sz w:val="26"/>
          <w:szCs w:val="26"/>
        </w:rPr>
      </w:pPr>
    </w:p>
    <w:p w14:paraId="7DDA0280" w14:textId="77777777" w:rsidR="00E40CCD" w:rsidRPr="00EE5714" w:rsidRDefault="00E40CCD" w:rsidP="00330CE9">
      <w:pPr>
        <w:keepNext/>
        <w:spacing w:after="0" w:line="240" w:lineRule="auto"/>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Table 9-1</w:t>
      </w:r>
    </w:p>
    <w:p w14:paraId="2F9EE854" w14:textId="77777777" w:rsidR="00E40CCD" w:rsidRPr="00EE5714" w:rsidRDefault="00E40CCD" w:rsidP="00E40CCD">
      <w:pPr>
        <w:keepNext/>
        <w:spacing w:after="0" w:line="240" w:lineRule="auto"/>
        <w:jc w:val="center"/>
        <w:rPr>
          <w:rFonts w:ascii="Times New Roman" w:eastAsia="Times New Roman" w:hAnsi="Times New Roman" w:cs="Times New Roman"/>
          <w:sz w:val="26"/>
          <w:szCs w:val="26"/>
        </w:rPr>
      </w:pPr>
      <w:r w:rsidRPr="00EE5714">
        <w:rPr>
          <w:rFonts w:ascii="Times New Roman" w:eastAsia="Times New Roman" w:hAnsi="Times New Roman" w:cs="Times New Roman"/>
          <w:b/>
          <w:sz w:val="26"/>
          <w:szCs w:val="26"/>
        </w:rPr>
        <w:t>Energy Burden for Pennsylvania Households, 2012 to 2016</w:t>
      </w:r>
      <w:r w:rsidRPr="00EE5714">
        <w:rPr>
          <w:rStyle w:val="FootnoteReference"/>
          <w:rFonts w:ascii="Times New Roman" w:eastAsia="Times New Roman" w:hAnsi="Times New Roman" w:cs="Times New Roman"/>
          <w:sz w:val="26"/>
          <w:szCs w:val="26"/>
        </w:rPr>
        <w:footnoteReference w:id="73"/>
      </w:r>
    </w:p>
    <w:tbl>
      <w:tblPr>
        <w:tblStyle w:val="TableGrid2"/>
        <w:tblW w:w="9895" w:type="dxa"/>
        <w:tblLook w:val="04A0" w:firstRow="1" w:lastRow="0" w:firstColumn="1" w:lastColumn="0" w:noHBand="0" w:noVBand="1"/>
      </w:tblPr>
      <w:tblGrid>
        <w:gridCol w:w="2062"/>
        <w:gridCol w:w="1443"/>
        <w:gridCol w:w="1530"/>
        <w:gridCol w:w="1620"/>
        <w:gridCol w:w="1620"/>
        <w:gridCol w:w="1620"/>
      </w:tblGrid>
      <w:tr w:rsidR="00E40CCD" w:rsidRPr="00EE5714" w14:paraId="0657D47E" w14:textId="77777777" w:rsidTr="00F2737E">
        <w:tc>
          <w:tcPr>
            <w:tcW w:w="9895" w:type="dxa"/>
            <w:gridSpan w:val="6"/>
            <w:shd w:val="clear" w:color="auto" w:fill="D9D9D9" w:themeFill="background1" w:themeFillShade="D9"/>
          </w:tcPr>
          <w:p w14:paraId="7E43B3DB" w14:textId="77777777" w:rsidR="00E40CCD" w:rsidRPr="00EE5714" w:rsidRDefault="00E40CCD" w:rsidP="009963F4">
            <w:pPr>
              <w:keepNext/>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Energy Burden</w:t>
            </w:r>
          </w:p>
        </w:tc>
      </w:tr>
      <w:tr w:rsidR="00E40CCD" w:rsidRPr="00EE5714" w14:paraId="6479B0B3" w14:textId="77777777" w:rsidTr="00F2737E">
        <w:tc>
          <w:tcPr>
            <w:tcW w:w="2062" w:type="dxa"/>
            <w:shd w:val="clear" w:color="auto" w:fill="D9D9D9" w:themeFill="background1" w:themeFillShade="D9"/>
          </w:tcPr>
          <w:p w14:paraId="727FAA08" w14:textId="77777777" w:rsidR="00E40CCD" w:rsidRPr="00EE5714" w:rsidRDefault="00E40CCD" w:rsidP="008869D4">
            <w:pPr>
              <w:keepNext/>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Poverty Level</w:t>
            </w:r>
          </w:p>
        </w:tc>
        <w:tc>
          <w:tcPr>
            <w:tcW w:w="1443" w:type="dxa"/>
            <w:tcBorders>
              <w:right w:val="single" w:sz="4" w:space="0" w:color="auto"/>
            </w:tcBorders>
            <w:shd w:val="clear" w:color="auto" w:fill="D9D9D9" w:themeFill="background1" w:themeFillShade="D9"/>
          </w:tcPr>
          <w:p w14:paraId="26AAE0F4" w14:textId="77777777" w:rsidR="00E40CCD" w:rsidRPr="00EE5714" w:rsidRDefault="00E40CCD" w:rsidP="008869D4">
            <w:pPr>
              <w:keepNext/>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2012</w:t>
            </w:r>
          </w:p>
        </w:tc>
        <w:tc>
          <w:tcPr>
            <w:tcW w:w="1530" w:type="dxa"/>
            <w:tcBorders>
              <w:left w:val="single" w:sz="4" w:space="0" w:color="auto"/>
              <w:right w:val="single" w:sz="4" w:space="0" w:color="auto"/>
            </w:tcBorders>
            <w:shd w:val="clear" w:color="auto" w:fill="D9D9D9" w:themeFill="background1" w:themeFillShade="D9"/>
          </w:tcPr>
          <w:p w14:paraId="0484C7C9" w14:textId="77777777" w:rsidR="00E40CCD" w:rsidRPr="00EE5714" w:rsidRDefault="00E40CCD" w:rsidP="008869D4">
            <w:pPr>
              <w:keepNext/>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2013</w:t>
            </w:r>
          </w:p>
        </w:tc>
        <w:tc>
          <w:tcPr>
            <w:tcW w:w="1620" w:type="dxa"/>
            <w:tcBorders>
              <w:left w:val="single" w:sz="4" w:space="0" w:color="auto"/>
            </w:tcBorders>
            <w:shd w:val="clear" w:color="auto" w:fill="D9D9D9" w:themeFill="background1" w:themeFillShade="D9"/>
          </w:tcPr>
          <w:p w14:paraId="74F12702" w14:textId="77777777" w:rsidR="00E40CCD" w:rsidRPr="00EE5714" w:rsidRDefault="00E40CCD" w:rsidP="008869D4">
            <w:pPr>
              <w:keepNext/>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2014</w:t>
            </w:r>
          </w:p>
        </w:tc>
        <w:tc>
          <w:tcPr>
            <w:tcW w:w="1620" w:type="dxa"/>
            <w:shd w:val="clear" w:color="auto" w:fill="D9D9D9" w:themeFill="background1" w:themeFillShade="D9"/>
          </w:tcPr>
          <w:p w14:paraId="62727262" w14:textId="77777777" w:rsidR="00E40CCD" w:rsidRPr="00EE5714" w:rsidRDefault="00E40CCD" w:rsidP="008869D4">
            <w:pPr>
              <w:keepNext/>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2015</w:t>
            </w:r>
          </w:p>
        </w:tc>
        <w:tc>
          <w:tcPr>
            <w:tcW w:w="1620" w:type="dxa"/>
            <w:shd w:val="clear" w:color="auto" w:fill="D9D9D9" w:themeFill="background1" w:themeFillShade="D9"/>
          </w:tcPr>
          <w:p w14:paraId="5B9B00C7" w14:textId="77777777" w:rsidR="00E40CCD" w:rsidRPr="00EE5714" w:rsidRDefault="00E40CCD" w:rsidP="008869D4">
            <w:pPr>
              <w:keepNext/>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2016</w:t>
            </w:r>
          </w:p>
        </w:tc>
      </w:tr>
      <w:tr w:rsidR="00E40CCD" w:rsidRPr="00EE5714" w14:paraId="0D124EB6" w14:textId="77777777" w:rsidTr="00F2737E">
        <w:tc>
          <w:tcPr>
            <w:tcW w:w="2062" w:type="dxa"/>
          </w:tcPr>
          <w:p w14:paraId="2B7CBE23"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Below 50%</w:t>
            </w:r>
          </w:p>
        </w:tc>
        <w:tc>
          <w:tcPr>
            <w:tcW w:w="1443" w:type="dxa"/>
            <w:tcBorders>
              <w:right w:val="single" w:sz="4" w:space="0" w:color="auto"/>
            </w:tcBorders>
          </w:tcPr>
          <w:p w14:paraId="6B9708E6"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34%</w:t>
            </w:r>
          </w:p>
        </w:tc>
        <w:tc>
          <w:tcPr>
            <w:tcW w:w="1530" w:type="dxa"/>
            <w:tcBorders>
              <w:right w:val="single" w:sz="4" w:space="0" w:color="auto"/>
            </w:tcBorders>
          </w:tcPr>
          <w:p w14:paraId="1C3D44A3"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33%</w:t>
            </w:r>
          </w:p>
        </w:tc>
        <w:tc>
          <w:tcPr>
            <w:tcW w:w="1620" w:type="dxa"/>
            <w:tcBorders>
              <w:right w:val="single" w:sz="4" w:space="0" w:color="auto"/>
            </w:tcBorders>
          </w:tcPr>
          <w:p w14:paraId="757ED609"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33%</w:t>
            </w:r>
          </w:p>
        </w:tc>
        <w:tc>
          <w:tcPr>
            <w:tcW w:w="1620" w:type="dxa"/>
            <w:tcBorders>
              <w:right w:val="single" w:sz="4" w:space="0" w:color="auto"/>
            </w:tcBorders>
          </w:tcPr>
          <w:p w14:paraId="1DE619A6"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30%</w:t>
            </w:r>
          </w:p>
        </w:tc>
        <w:tc>
          <w:tcPr>
            <w:tcW w:w="1620" w:type="dxa"/>
            <w:tcBorders>
              <w:right w:val="single" w:sz="4" w:space="0" w:color="auto"/>
            </w:tcBorders>
          </w:tcPr>
          <w:p w14:paraId="1F72AAE1"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28%</w:t>
            </w:r>
          </w:p>
        </w:tc>
      </w:tr>
      <w:tr w:rsidR="00E40CCD" w:rsidRPr="00EE5714" w14:paraId="0340CC8C" w14:textId="77777777" w:rsidTr="00F2737E">
        <w:tc>
          <w:tcPr>
            <w:tcW w:w="2062" w:type="dxa"/>
          </w:tcPr>
          <w:p w14:paraId="12624ED9"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50-100%</w:t>
            </w:r>
          </w:p>
        </w:tc>
        <w:tc>
          <w:tcPr>
            <w:tcW w:w="1443" w:type="dxa"/>
            <w:tcBorders>
              <w:right w:val="single" w:sz="4" w:space="0" w:color="auto"/>
            </w:tcBorders>
          </w:tcPr>
          <w:p w14:paraId="60778D2F"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19%</w:t>
            </w:r>
          </w:p>
        </w:tc>
        <w:tc>
          <w:tcPr>
            <w:tcW w:w="1530" w:type="dxa"/>
            <w:tcBorders>
              <w:right w:val="single" w:sz="4" w:space="0" w:color="auto"/>
            </w:tcBorders>
          </w:tcPr>
          <w:p w14:paraId="6570204F"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18%</w:t>
            </w:r>
          </w:p>
        </w:tc>
        <w:tc>
          <w:tcPr>
            <w:tcW w:w="1620" w:type="dxa"/>
            <w:tcBorders>
              <w:right w:val="single" w:sz="4" w:space="0" w:color="auto"/>
            </w:tcBorders>
          </w:tcPr>
          <w:p w14:paraId="1994678B"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18%</w:t>
            </w:r>
          </w:p>
        </w:tc>
        <w:tc>
          <w:tcPr>
            <w:tcW w:w="1620" w:type="dxa"/>
            <w:tcBorders>
              <w:right w:val="single" w:sz="4" w:space="0" w:color="auto"/>
            </w:tcBorders>
          </w:tcPr>
          <w:p w14:paraId="6D550819"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16%</w:t>
            </w:r>
          </w:p>
        </w:tc>
        <w:tc>
          <w:tcPr>
            <w:tcW w:w="1620" w:type="dxa"/>
            <w:tcBorders>
              <w:right w:val="single" w:sz="4" w:space="0" w:color="auto"/>
            </w:tcBorders>
          </w:tcPr>
          <w:p w14:paraId="7224A7A8"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15%</w:t>
            </w:r>
          </w:p>
        </w:tc>
      </w:tr>
      <w:tr w:rsidR="00E40CCD" w:rsidRPr="00EE5714" w14:paraId="0B6614C3" w14:textId="77777777" w:rsidTr="00F2737E">
        <w:tc>
          <w:tcPr>
            <w:tcW w:w="2062" w:type="dxa"/>
          </w:tcPr>
          <w:p w14:paraId="67F3DBB7"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100-125%</w:t>
            </w:r>
          </w:p>
        </w:tc>
        <w:tc>
          <w:tcPr>
            <w:tcW w:w="1443" w:type="dxa"/>
            <w:tcBorders>
              <w:right w:val="single" w:sz="4" w:space="0" w:color="auto"/>
            </w:tcBorders>
          </w:tcPr>
          <w:p w14:paraId="1140F8EA"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13%</w:t>
            </w:r>
          </w:p>
        </w:tc>
        <w:tc>
          <w:tcPr>
            <w:tcW w:w="1530" w:type="dxa"/>
            <w:tcBorders>
              <w:right w:val="single" w:sz="4" w:space="0" w:color="auto"/>
            </w:tcBorders>
          </w:tcPr>
          <w:p w14:paraId="0499F60A"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12%</w:t>
            </w:r>
          </w:p>
        </w:tc>
        <w:tc>
          <w:tcPr>
            <w:tcW w:w="1620" w:type="dxa"/>
            <w:tcBorders>
              <w:right w:val="single" w:sz="4" w:space="0" w:color="auto"/>
            </w:tcBorders>
          </w:tcPr>
          <w:p w14:paraId="2180869F"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12%</w:t>
            </w:r>
          </w:p>
        </w:tc>
        <w:tc>
          <w:tcPr>
            <w:tcW w:w="1620" w:type="dxa"/>
            <w:tcBorders>
              <w:right w:val="single" w:sz="4" w:space="0" w:color="auto"/>
            </w:tcBorders>
          </w:tcPr>
          <w:p w14:paraId="5AB942F3"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11%</w:t>
            </w:r>
          </w:p>
        </w:tc>
        <w:tc>
          <w:tcPr>
            <w:tcW w:w="1620" w:type="dxa"/>
            <w:tcBorders>
              <w:right w:val="single" w:sz="4" w:space="0" w:color="auto"/>
            </w:tcBorders>
          </w:tcPr>
          <w:p w14:paraId="104A3F2B"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w:t>
            </w:r>
          </w:p>
        </w:tc>
      </w:tr>
      <w:tr w:rsidR="00E40CCD" w:rsidRPr="00EE5714" w14:paraId="63F406BD" w14:textId="77777777" w:rsidTr="00F2737E">
        <w:tc>
          <w:tcPr>
            <w:tcW w:w="2062" w:type="dxa"/>
          </w:tcPr>
          <w:p w14:paraId="663742E5"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125-150%</w:t>
            </w:r>
          </w:p>
        </w:tc>
        <w:tc>
          <w:tcPr>
            <w:tcW w:w="1443" w:type="dxa"/>
            <w:tcBorders>
              <w:right w:val="single" w:sz="4" w:space="0" w:color="auto"/>
            </w:tcBorders>
          </w:tcPr>
          <w:p w14:paraId="710E4506"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w:t>
            </w:r>
          </w:p>
        </w:tc>
        <w:tc>
          <w:tcPr>
            <w:tcW w:w="1530" w:type="dxa"/>
            <w:tcBorders>
              <w:right w:val="single" w:sz="4" w:space="0" w:color="auto"/>
            </w:tcBorders>
          </w:tcPr>
          <w:p w14:paraId="4B7ADE5B"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w:t>
            </w:r>
          </w:p>
        </w:tc>
        <w:tc>
          <w:tcPr>
            <w:tcW w:w="1620" w:type="dxa"/>
            <w:tcBorders>
              <w:right w:val="single" w:sz="4" w:space="0" w:color="auto"/>
            </w:tcBorders>
          </w:tcPr>
          <w:p w14:paraId="43B1278B"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w:t>
            </w:r>
          </w:p>
        </w:tc>
        <w:tc>
          <w:tcPr>
            <w:tcW w:w="1620" w:type="dxa"/>
            <w:tcBorders>
              <w:right w:val="single" w:sz="4" w:space="0" w:color="auto"/>
            </w:tcBorders>
          </w:tcPr>
          <w:p w14:paraId="7E46DB34"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9%</w:t>
            </w:r>
          </w:p>
        </w:tc>
        <w:tc>
          <w:tcPr>
            <w:tcW w:w="1620" w:type="dxa"/>
            <w:tcBorders>
              <w:right w:val="single" w:sz="4" w:space="0" w:color="auto"/>
            </w:tcBorders>
          </w:tcPr>
          <w:p w14:paraId="7F5466AD"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8%</w:t>
            </w:r>
          </w:p>
        </w:tc>
      </w:tr>
      <w:tr w:rsidR="00E40CCD" w:rsidRPr="00EE5714" w14:paraId="2B8EE8A2" w14:textId="77777777" w:rsidTr="00F2737E">
        <w:tc>
          <w:tcPr>
            <w:tcW w:w="2062" w:type="dxa"/>
          </w:tcPr>
          <w:p w14:paraId="23B35F4C"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150-185%</w:t>
            </w:r>
          </w:p>
        </w:tc>
        <w:tc>
          <w:tcPr>
            <w:tcW w:w="1443" w:type="dxa"/>
            <w:tcBorders>
              <w:right w:val="single" w:sz="4" w:space="0" w:color="auto"/>
            </w:tcBorders>
          </w:tcPr>
          <w:p w14:paraId="335BA9E5"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9%</w:t>
            </w:r>
          </w:p>
        </w:tc>
        <w:tc>
          <w:tcPr>
            <w:tcW w:w="1530" w:type="dxa"/>
            <w:tcBorders>
              <w:right w:val="single" w:sz="4" w:space="0" w:color="auto"/>
            </w:tcBorders>
          </w:tcPr>
          <w:p w14:paraId="5E919460"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8%</w:t>
            </w:r>
          </w:p>
        </w:tc>
        <w:tc>
          <w:tcPr>
            <w:tcW w:w="1620" w:type="dxa"/>
            <w:tcBorders>
              <w:right w:val="single" w:sz="4" w:space="0" w:color="auto"/>
            </w:tcBorders>
          </w:tcPr>
          <w:p w14:paraId="11F60D15"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8%</w:t>
            </w:r>
          </w:p>
        </w:tc>
        <w:tc>
          <w:tcPr>
            <w:tcW w:w="1620" w:type="dxa"/>
            <w:tcBorders>
              <w:right w:val="single" w:sz="4" w:space="0" w:color="auto"/>
            </w:tcBorders>
          </w:tcPr>
          <w:p w14:paraId="276088D1"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7%</w:t>
            </w:r>
          </w:p>
        </w:tc>
        <w:tc>
          <w:tcPr>
            <w:tcW w:w="1620" w:type="dxa"/>
            <w:tcBorders>
              <w:right w:val="single" w:sz="4" w:space="0" w:color="auto"/>
            </w:tcBorders>
          </w:tcPr>
          <w:p w14:paraId="3D6D7784"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7%</w:t>
            </w:r>
          </w:p>
        </w:tc>
      </w:tr>
      <w:tr w:rsidR="00E40CCD" w:rsidRPr="00EE5714" w14:paraId="3EF7A8E9" w14:textId="77777777" w:rsidTr="00F2737E">
        <w:tc>
          <w:tcPr>
            <w:tcW w:w="2062" w:type="dxa"/>
          </w:tcPr>
          <w:p w14:paraId="247F54FD"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185-200%</w:t>
            </w:r>
          </w:p>
        </w:tc>
        <w:tc>
          <w:tcPr>
            <w:tcW w:w="1443" w:type="dxa"/>
            <w:tcBorders>
              <w:right w:val="single" w:sz="4" w:space="0" w:color="auto"/>
            </w:tcBorders>
          </w:tcPr>
          <w:p w14:paraId="43EC21FC"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7%</w:t>
            </w:r>
          </w:p>
        </w:tc>
        <w:tc>
          <w:tcPr>
            <w:tcW w:w="1530" w:type="dxa"/>
            <w:tcBorders>
              <w:right w:val="single" w:sz="4" w:space="0" w:color="auto"/>
            </w:tcBorders>
          </w:tcPr>
          <w:p w14:paraId="54E0A39A"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7%</w:t>
            </w:r>
          </w:p>
        </w:tc>
        <w:tc>
          <w:tcPr>
            <w:tcW w:w="1620" w:type="dxa"/>
            <w:tcBorders>
              <w:right w:val="single" w:sz="4" w:space="0" w:color="auto"/>
            </w:tcBorders>
          </w:tcPr>
          <w:p w14:paraId="48F129BB"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7%</w:t>
            </w:r>
          </w:p>
        </w:tc>
        <w:tc>
          <w:tcPr>
            <w:tcW w:w="1620" w:type="dxa"/>
            <w:tcBorders>
              <w:right w:val="single" w:sz="4" w:space="0" w:color="auto"/>
            </w:tcBorders>
          </w:tcPr>
          <w:p w14:paraId="66DABC27"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7%</w:t>
            </w:r>
          </w:p>
        </w:tc>
        <w:tc>
          <w:tcPr>
            <w:tcW w:w="1620" w:type="dxa"/>
            <w:tcBorders>
              <w:right w:val="single" w:sz="4" w:space="0" w:color="auto"/>
            </w:tcBorders>
          </w:tcPr>
          <w:p w14:paraId="70712079"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6%</w:t>
            </w:r>
          </w:p>
        </w:tc>
      </w:tr>
    </w:tbl>
    <w:p w14:paraId="3E17BC4D" w14:textId="77777777" w:rsidR="00E40CCD" w:rsidRPr="00EE5714" w:rsidRDefault="00E40CCD" w:rsidP="00E40CCD">
      <w:pPr>
        <w:spacing w:after="0" w:line="240" w:lineRule="auto"/>
        <w:rPr>
          <w:rFonts w:ascii="Times New Roman" w:eastAsia="Times New Roman" w:hAnsi="Times New Roman" w:cs="Times New Roman"/>
          <w:sz w:val="26"/>
          <w:szCs w:val="26"/>
        </w:rPr>
      </w:pPr>
      <w:r w:rsidRPr="00EE5714">
        <w:rPr>
          <w:rFonts w:ascii="Times New Roman" w:eastAsia="Times New Roman" w:hAnsi="Times New Roman" w:cs="Times New Roman"/>
          <w:i/>
          <w:sz w:val="26"/>
          <w:szCs w:val="26"/>
        </w:rPr>
        <w:t>Source</w:t>
      </w:r>
      <w:r w:rsidRPr="00EE5714">
        <w:rPr>
          <w:rFonts w:ascii="Times New Roman" w:eastAsia="Times New Roman" w:hAnsi="Times New Roman" w:cs="Times New Roman"/>
          <w:sz w:val="26"/>
          <w:szCs w:val="26"/>
        </w:rPr>
        <w:t xml:space="preserve">: </w:t>
      </w:r>
      <w:r w:rsidRPr="00EE5714">
        <w:rPr>
          <w:rFonts w:ascii="Times New Roman" w:eastAsia="Times New Roman" w:hAnsi="Times New Roman" w:cs="Times New Roman"/>
          <w:i/>
          <w:sz w:val="26"/>
          <w:szCs w:val="26"/>
        </w:rPr>
        <w:t>Home Energy Affordability Gap</w:t>
      </w:r>
      <w:r w:rsidR="008A1F01" w:rsidRPr="00EE5714">
        <w:rPr>
          <w:rFonts w:ascii="Times New Roman" w:eastAsia="Times New Roman" w:hAnsi="Times New Roman" w:cs="Times New Roman"/>
          <w:i/>
          <w:sz w:val="26"/>
          <w:szCs w:val="26"/>
        </w:rPr>
        <w:t>,</w:t>
      </w:r>
      <w:r w:rsidRPr="00EE5714">
        <w:rPr>
          <w:rFonts w:ascii="Times New Roman" w:eastAsia="Times New Roman" w:hAnsi="Times New Roman" w:cs="Times New Roman"/>
          <w:i/>
          <w:sz w:val="26"/>
          <w:szCs w:val="26"/>
        </w:rPr>
        <w:t xml:space="preserve"> 2012-2016</w:t>
      </w:r>
    </w:p>
    <w:p w14:paraId="2F9F9EA8" w14:textId="77777777" w:rsidR="00E40CCD" w:rsidRPr="00EE5714" w:rsidRDefault="00E40CCD" w:rsidP="00E40CCD">
      <w:pPr>
        <w:spacing w:after="0" w:line="240" w:lineRule="auto"/>
        <w:rPr>
          <w:rFonts w:ascii="Times New Roman" w:eastAsia="Times New Roman" w:hAnsi="Times New Roman" w:cs="Times New Roman"/>
          <w:sz w:val="26"/>
          <w:szCs w:val="26"/>
        </w:rPr>
      </w:pPr>
    </w:p>
    <w:p w14:paraId="19964DDA" w14:textId="77777777" w:rsidR="00280662" w:rsidRPr="00EE5714" w:rsidRDefault="00280662" w:rsidP="00280662">
      <w:pPr>
        <w:spacing w:after="0" w:line="240" w:lineRule="auto"/>
        <w:ind w:firstLine="720"/>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xml:space="preserve">As seen in Table 9-1 above, Pennsylvania households with incomes at or below 50% of the FPIG had energy burden levels ranging from 34% in 2012 to 28% in 2016.  Household with incomes between 50-100% and 100-150% had energy burdens ranging from 19% to 15% and from 10% to 8%, respectively, during this five-year period.  </w:t>
      </w:r>
    </w:p>
    <w:p w14:paraId="36356E3A" w14:textId="77777777" w:rsidR="00280662" w:rsidRPr="00EE5714" w:rsidRDefault="00280662" w:rsidP="00280662">
      <w:pPr>
        <w:spacing w:after="0" w:line="240" w:lineRule="auto"/>
        <w:rPr>
          <w:rFonts w:ascii="Times New Roman" w:eastAsia="Times New Roman" w:hAnsi="Times New Roman" w:cs="Times New Roman"/>
          <w:sz w:val="26"/>
          <w:szCs w:val="26"/>
        </w:rPr>
      </w:pPr>
    </w:p>
    <w:p w14:paraId="3AD26C3B" w14:textId="77777777" w:rsidR="00E40CCD" w:rsidRPr="00EE5714" w:rsidRDefault="00E40CCD" w:rsidP="00330CE9">
      <w:pPr>
        <w:keepNext/>
        <w:spacing w:after="0" w:line="240" w:lineRule="auto"/>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Table 9-2</w:t>
      </w:r>
    </w:p>
    <w:p w14:paraId="358EE003" w14:textId="77777777" w:rsidR="00E40CCD" w:rsidRPr="00EE5714" w:rsidRDefault="00E40CCD" w:rsidP="00CD2139">
      <w:pPr>
        <w:keepNext/>
        <w:spacing w:after="0" w:line="240" w:lineRule="auto"/>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LIHEAP Allocation, Households Below Poverty Level, and</w:t>
      </w:r>
    </w:p>
    <w:p w14:paraId="45349EFE" w14:textId="77777777" w:rsidR="00E40CCD" w:rsidRPr="00EE5714" w:rsidRDefault="00E40CCD" w:rsidP="00647159">
      <w:pPr>
        <w:keepNext/>
        <w:spacing w:after="0" w:line="240" w:lineRule="auto"/>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Covered Bills for Pennsylvania, 2012-2016</w:t>
      </w:r>
    </w:p>
    <w:tbl>
      <w:tblPr>
        <w:tblStyle w:val="TableGrid2"/>
        <w:tblW w:w="8640" w:type="dxa"/>
        <w:jc w:val="center"/>
        <w:tblLook w:val="04A0" w:firstRow="1" w:lastRow="0" w:firstColumn="1" w:lastColumn="0" w:noHBand="0" w:noVBand="1"/>
      </w:tblPr>
      <w:tblGrid>
        <w:gridCol w:w="1600"/>
        <w:gridCol w:w="2270"/>
        <w:gridCol w:w="2160"/>
        <w:gridCol w:w="2610"/>
      </w:tblGrid>
      <w:tr w:rsidR="00E40CCD" w:rsidRPr="00EE5714" w14:paraId="4D0BAEC2" w14:textId="77777777" w:rsidTr="005B6FD7">
        <w:trPr>
          <w:jc w:val="center"/>
        </w:trPr>
        <w:tc>
          <w:tcPr>
            <w:tcW w:w="1600" w:type="dxa"/>
            <w:tcBorders>
              <w:left w:val="single" w:sz="4" w:space="0" w:color="auto"/>
              <w:right w:val="single" w:sz="4" w:space="0" w:color="auto"/>
            </w:tcBorders>
          </w:tcPr>
          <w:p w14:paraId="0EC45031" w14:textId="77777777" w:rsidR="00E40CCD" w:rsidRPr="00EE5714" w:rsidRDefault="00E40CCD" w:rsidP="008869D4">
            <w:pPr>
              <w:keepNext/>
              <w:jc w:val="center"/>
              <w:rPr>
                <w:rFonts w:ascii="Times New Roman" w:eastAsia="Times New Roman" w:hAnsi="Times New Roman" w:cs="Times New Roman"/>
                <w:b/>
                <w:sz w:val="26"/>
                <w:szCs w:val="26"/>
              </w:rPr>
            </w:pPr>
          </w:p>
        </w:tc>
        <w:tc>
          <w:tcPr>
            <w:tcW w:w="2270" w:type="dxa"/>
            <w:tcBorders>
              <w:left w:val="single" w:sz="4" w:space="0" w:color="auto"/>
            </w:tcBorders>
            <w:shd w:val="clear" w:color="auto" w:fill="D9D9D9" w:themeFill="background1" w:themeFillShade="D9"/>
          </w:tcPr>
          <w:p w14:paraId="1C451A15" w14:textId="77777777" w:rsidR="00E40CCD" w:rsidRPr="00EE5714" w:rsidRDefault="00E40CCD" w:rsidP="008869D4">
            <w:pPr>
              <w:keepNext/>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Gross LIHEAP Allocation</w:t>
            </w:r>
          </w:p>
          <w:p w14:paraId="22064689" w14:textId="77777777" w:rsidR="00E40CCD" w:rsidRPr="00EE5714" w:rsidRDefault="00E40CCD" w:rsidP="008869D4">
            <w:pPr>
              <w:keepNext/>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(in millions)</w:t>
            </w:r>
          </w:p>
        </w:tc>
        <w:tc>
          <w:tcPr>
            <w:tcW w:w="2160" w:type="dxa"/>
            <w:shd w:val="clear" w:color="auto" w:fill="D9D9D9" w:themeFill="background1" w:themeFillShade="D9"/>
            <w:vAlign w:val="center"/>
          </w:tcPr>
          <w:p w14:paraId="65CCC45E" w14:textId="77777777" w:rsidR="00E40CCD" w:rsidRPr="00EE5714" w:rsidRDefault="00E40CCD" w:rsidP="005B6FD7">
            <w:pPr>
              <w:keepNext/>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 xml:space="preserve"># of Households </w:t>
            </w:r>
            <w:r w:rsidR="00550F45" w:rsidRPr="00EE5714">
              <w:rPr>
                <w:rFonts w:ascii="Times New Roman" w:eastAsia="Times New Roman" w:hAnsi="Times New Roman" w:cs="Times New Roman"/>
                <w:b/>
                <w:sz w:val="26"/>
                <w:szCs w:val="26"/>
              </w:rPr>
              <w:t>≤</w:t>
            </w:r>
            <w:r w:rsidRPr="00EE5714">
              <w:rPr>
                <w:rFonts w:ascii="Times New Roman" w:eastAsia="Times New Roman" w:hAnsi="Times New Roman" w:cs="Times New Roman"/>
                <w:b/>
                <w:sz w:val="26"/>
                <w:szCs w:val="26"/>
              </w:rPr>
              <w:t>150% FP</w:t>
            </w:r>
            <w:r w:rsidR="00F42A51" w:rsidRPr="00EE5714">
              <w:rPr>
                <w:rFonts w:ascii="Times New Roman" w:eastAsia="Times New Roman" w:hAnsi="Times New Roman" w:cs="Times New Roman"/>
                <w:b/>
                <w:sz w:val="26"/>
                <w:szCs w:val="26"/>
              </w:rPr>
              <w:t>IG</w:t>
            </w:r>
          </w:p>
        </w:tc>
        <w:tc>
          <w:tcPr>
            <w:tcW w:w="2610" w:type="dxa"/>
            <w:shd w:val="clear" w:color="auto" w:fill="D9D9D9" w:themeFill="background1" w:themeFillShade="D9"/>
          </w:tcPr>
          <w:p w14:paraId="7B9638BD" w14:textId="77777777" w:rsidR="00E40CCD" w:rsidRPr="00EE5714" w:rsidRDefault="00E40CCD" w:rsidP="008869D4">
            <w:pPr>
              <w:keepNext/>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Average Energy Bills “Covered” by LIHEAP</w:t>
            </w:r>
          </w:p>
        </w:tc>
      </w:tr>
      <w:tr w:rsidR="00E40CCD" w:rsidRPr="00EE5714" w14:paraId="3D3FDE1B" w14:textId="77777777" w:rsidTr="008624CE">
        <w:trPr>
          <w:jc w:val="center"/>
        </w:trPr>
        <w:tc>
          <w:tcPr>
            <w:tcW w:w="1600" w:type="dxa"/>
            <w:tcBorders>
              <w:left w:val="single" w:sz="4" w:space="0" w:color="auto"/>
              <w:right w:val="single" w:sz="4" w:space="0" w:color="auto"/>
            </w:tcBorders>
          </w:tcPr>
          <w:p w14:paraId="543C2B4E"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2012</w:t>
            </w:r>
          </w:p>
        </w:tc>
        <w:tc>
          <w:tcPr>
            <w:tcW w:w="2270" w:type="dxa"/>
            <w:tcBorders>
              <w:left w:val="single" w:sz="4" w:space="0" w:color="auto"/>
            </w:tcBorders>
          </w:tcPr>
          <w:p w14:paraId="23563F95"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$209,548</w:t>
            </w:r>
          </w:p>
        </w:tc>
        <w:tc>
          <w:tcPr>
            <w:tcW w:w="2160" w:type="dxa"/>
          </w:tcPr>
          <w:p w14:paraId="3ED1EE5A"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1,034,276</w:t>
            </w:r>
          </w:p>
        </w:tc>
        <w:tc>
          <w:tcPr>
            <w:tcW w:w="2610" w:type="dxa"/>
          </w:tcPr>
          <w:p w14:paraId="16B1C784"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182,533</w:t>
            </w:r>
          </w:p>
        </w:tc>
      </w:tr>
      <w:tr w:rsidR="00E40CCD" w:rsidRPr="00EE5714" w14:paraId="121E0747" w14:textId="77777777" w:rsidTr="008624CE">
        <w:trPr>
          <w:jc w:val="center"/>
        </w:trPr>
        <w:tc>
          <w:tcPr>
            <w:tcW w:w="1600" w:type="dxa"/>
            <w:tcBorders>
              <w:left w:val="single" w:sz="4" w:space="0" w:color="auto"/>
              <w:right w:val="single" w:sz="4" w:space="0" w:color="auto"/>
            </w:tcBorders>
          </w:tcPr>
          <w:p w14:paraId="563892C4"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2013</w:t>
            </w:r>
          </w:p>
        </w:tc>
        <w:tc>
          <w:tcPr>
            <w:tcW w:w="2270" w:type="dxa"/>
            <w:tcBorders>
              <w:left w:val="single" w:sz="4" w:space="0" w:color="auto"/>
            </w:tcBorders>
          </w:tcPr>
          <w:p w14:paraId="536344B1"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$184,642</w:t>
            </w:r>
          </w:p>
        </w:tc>
        <w:tc>
          <w:tcPr>
            <w:tcW w:w="2160" w:type="dxa"/>
          </w:tcPr>
          <w:p w14:paraId="224F0BD3"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1,063,068</w:t>
            </w:r>
          </w:p>
        </w:tc>
        <w:tc>
          <w:tcPr>
            <w:tcW w:w="2610" w:type="dxa"/>
          </w:tcPr>
          <w:p w14:paraId="4D85691B"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166,644</w:t>
            </w:r>
          </w:p>
        </w:tc>
      </w:tr>
      <w:tr w:rsidR="00E40CCD" w:rsidRPr="00EE5714" w14:paraId="5BD7F5E5" w14:textId="77777777" w:rsidTr="008624CE">
        <w:trPr>
          <w:jc w:val="center"/>
        </w:trPr>
        <w:tc>
          <w:tcPr>
            <w:tcW w:w="1600" w:type="dxa"/>
            <w:tcBorders>
              <w:left w:val="single" w:sz="4" w:space="0" w:color="auto"/>
              <w:right w:val="single" w:sz="4" w:space="0" w:color="auto"/>
            </w:tcBorders>
          </w:tcPr>
          <w:p w14:paraId="2509F9CC"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2014</w:t>
            </w:r>
          </w:p>
        </w:tc>
        <w:tc>
          <w:tcPr>
            <w:tcW w:w="2270" w:type="dxa"/>
            <w:tcBorders>
              <w:left w:val="single" w:sz="4" w:space="0" w:color="auto"/>
            </w:tcBorders>
          </w:tcPr>
          <w:p w14:paraId="0AC0DA22"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$175,603</w:t>
            </w:r>
          </w:p>
        </w:tc>
        <w:tc>
          <w:tcPr>
            <w:tcW w:w="2160" w:type="dxa"/>
          </w:tcPr>
          <w:p w14:paraId="237D07B8"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1,080,857</w:t>
            </w:r>
          </w:p>
        </w:tc>
        <w:tc>
          <w:tcPr>
            <w:tcW w:w="2610" w:type="dxa"/>
          </w:tcPr>
          <w:p w14:paraId="0E9DEE9F"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150,862</w:t>
            </w:r>
          </w:p>
        </w:tc>
      </w:tr>
      <w:tr w:rsidR="00E40CCD" w:rsidRPr="00EE5714" w14:paraId="679A95A5" w14:textId="77777777" w:rsidTr="008624CE">
        <w:trPr>
          <w:jc w:val="center"/>
        </w:trPr>
        <w:tc>
          <w:tcPr>
            <w:tcW w:w="1600" w:type="dxa"/>
            <w:tcBorders>
              <w:left w:val="single" w:sz="4" w:space="0" w:color="auto"/>
              <w:bottom w:val="single" w:sz="4" w:space="0" w:color="auto"/>
              <w:right w:val="single" w:sz="4" w:space="0" w:color="auto"/>
            </w:tcBorders>
          </w:tcPr>
          <w:p w14:paraId="07012B82"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2015</w:t>
            </w:r>
          </w:p>
        </w:tc>
        <w:tc>
          <w:tcPr>
            <w:tcW w:w="2270" w:type="dxa"/>
            <w:tcBorders>
              <w:left w:val="single" w:sz="4" w:space="0" w:color="auto"/>
              <w:bottom w:val="single" w:sz="4" w:space="0" w:color="auto"/>
            </w:tcBorders>
          </w:tcPr>
          <w:p w14:paraId="52EEE17C"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$204,099</w:t>
            </w:r>
          </w:p>
        </w:tc>
        <w:tc>
          <w:tcPr>
            <w:tcW w:w="2160" w:type="dxa"/>
            <w:tcBorders>
              <w:bottom w:val="single" w:sz="4" w:space="0" w:color="auto"/>
            </w:tcBorders>
          </w:tcPr>
          <w:p w14:paraId="314D21EC"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1,092,514</w:t>
            </w:r>
          </w:p>
        </w:tc>
        <w:tc>
          <w:tcPr>
            <w:tcW w:w="2610" w:type="dxa"/>
            <w:tcBorders>
              <w:bottom w:val="single" w:sz="4" w:space="0" w:color="auto"/>
            </w:tcBorders>
          </w:tcPr>
          <w:p w14:paraId="771B2656"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207,840</w:t>
            </w:r>
          </w:p>
        </w:tc>
      </w:tr>
      <w:tr w:rsidR="00E40CCD" w:rsidRPr="00EE5714" w14:paraId="032AFD42" w14:textId="77777777" w:rsidTr="008624CE">
        <w:trPr>
          <w:jc w:val="center"/>
        </w:trPr>
        <w:tc>
          <w:tcPr>
            <w:tcW w:w="1600" w:type="dxa"/>
            <w:tcBorders>
              <w:left w:val="single" w:sz="4" w:space="0" w:color="auto"/>
              <w:bottom w:val="single" w:sz="4" w:space="0" w:color="auto"/>
              <w:right w:val="single" w:sz="4" w:space="0" w:color="auto"/>
            </w:tcBorders>
          </w:tcPr>
          <w:p w14:paraId="306BC411"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2016</w:t>
            </w:r>
          </w:p>
        </w:tc>
        <w:tc>
          <w:tcPr>
            <w:tcW w:w="2270" w:type="dxa"/>
            <w:tcBorders>
              <w:left w:val="single" w:sz="4" w:space="0" w:color="auto"/>
              <w:bottom w:val="single" w:sz="4" w:space="0" w:color="auto"/>
            </w:tcBorders>
          </w:tcPr>
          <w:p w14:paraId="314D93F2"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$182,170</w:t>
            </w:r>
          </w:p>
        </w:tc>
        <w:tc>
          <w:tcPr>
            <w:tcW w:w="2160" w:type="dxa"/>
            <w:tcBorders>
              <w:bottom w:val="single" w:sz="4" w:space="0" w:color="auto"/>
            </w:tcBorders>
          </w:tcPr>
          <w:p w14:paraId="0831879B"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hAnsi="Times New Roman" w:cs="Times New Roman"/>
                <w:sz w:val="26"/>
                <w:szCs w:val="26"/>
              </w:rPr>
              <w:t>1,085,999</w:t>
            </w:r>
          </w:p>
        </w:tc>
        <w:tc>
          <w:tcPr>
            <w:tcW w:w="2610" w:type="dxa"/>
            <w:tcBorders>
              <w:bottom w:val="single" w:sz="4" w:space="0" w:color="auto"/>
            </w:tcBorders>
          </w:tcPr>
          <w:p w14:paraId="6F2BECDE" w14:textId="77777777" w:rsidR="00E40CCD" w:rsidRPr="00EE5714" w:rsidRDefault="00E40CCD" w:rsidP="008869D4">
            <w:pPr>
              <w:keepNext/>
              <w:jc w:val="right"/>
              <w:rPr>
                <w:rFonts w:ascii="Times New Roman" w:eastAsia="Times New Roman" w:hAnsi="Times New Roman" w:cs="Times New Roman"/>
                <w:sz w:val="26"/>
                <w:szCs w:val="26"/>
              </w:rPr>
            </w:pPr>
            <w:r w:rsidRPr="00EE5714">
              <w:rPr>
                <w:rFonts w:ascii="Times New Roman" w:hAnsi="Times New Roman" w:cs="Times New Roman"/>
                <w:sz w:val="26"/>
                <w:szCs w:val="26"/>
              </w:rPr>
              <w:t>216,354</w:t>
            </w:r>
          </w:p>
        </w:tc>
      </w:tr>
    </w:tbl>
    <w:p w14:paraId="23428327" w14:textId="77777777" w:rsidR="00E40CCD" w:rsidRPr="00EE5714" w:rsidRDefault="00E40CCD" w:rsidP="00E40CCD">
      <w:pPr>
        <w:spacing w:after="0" w:line="240" w:lineRule="auto"/>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xml:space="preserve">      </w:t>
      </w:r>
      <w:r w:rsidRPr="00EE5714">
        <w:rPr>
          <w:rFonts w:ascii="Times New Roman" w:eastAsia="Times New Roman" w:hAnsi="Times New Roman" w:cs="Times New Roman"/>
          <w:i/>
          <w:sz w:val="26"/>
          <w:szCs w:val="26"/>
        </w:rPr>
        <w:t>Source</w:t>
      </w:r>
      <w:r w:rsidRPr="00EE5714">
        <w:rPr>
          <w:rFonts w:ascii="Times New Roman" w:eastAsia="Times New Roman" w:hAnsi="Times New Roman" w:cs="Times New Roman"/>
          <w:sz w:val="26"/>
          <w:szCs w:val="26"/>
        </w:rPr>
        <w:t xml:space="preserve">: </w:t>
      </w:r>
      <w:r w:rsidRPr="00EE5714">
        <w:rPr>
          <w:rFonts w:ascii="Times New Roman" w:eastAsia="Times New Roman" w:hAnsi="Times New Roman" w:cs="Times New Roman"/>
          <w:i/>
          <w:sz w:val="26"/>
          <w:szCs w:val="26"/>
        </w:rPr>
        <w:t>Home Energy Affordability Gap</w:t>
      </w:r>
      <w:r w:rsidR="008624CE" w:rsidRPr="00EE5714">
        <w:rPr>
          <w:rFonts w:ascii="Times New Roman" w:eastAsia="Times New Roman" w:hAnsi="Times New Roman" w:cs="Times New Roman"/>
          <w:sz w:val="26"/>
          <w:szCs w:val="26"/>
        </w:rPr>
        <w:t>,</w:t>
      </w:r>
      <w:r w:rsidRPr="00EE5714">
        <w:rPr>
          <w:rFonts w:ascii="Times New Roman" w:eastAsia="Times New Roman" w:hAnsi="Times New Roman" w:cs="Times New Roman"/>
          <w:sz w:val="26"/>
          <w:szCs w:val="26"/>
        </w:rPr>
        <w:t xml:space="preserve"> 2012-2016</w:t>
      </w:r>
    </w:p>
    <w:p w14:paraId="49AE2F29" w14:textId="77777777" w:rsidR="00E40CCD" w:rsidRPr="00EE5714" w:rsidRDefault="00E40CCD" w:rsidP="00E40CCD">
      <w:pPr>
        <w:spacing w:after="0" w:line="240" w:lineRule="auto"/>
        <w:rPr>
          <w:rFonts w:ascii="Times New Roman" w:eastAsia="Times New Roman" w:hAnsi="Times New Roman" w:cs="Times New Roman"/>
          <w:sz w:val="26"/>
          <w:szCs w:val="26"/>
        </w:rPr>
      </w:pPr>
    </w:p>
    <w:p w14:paraId="3A540705" w14:textId="77777777" w:rsidR="00E40CCD" w:rsidRPr="00EE5714" w:rsidRDefault="00E40CCD" w:rsidP="008624CE">
      <w:pPr>
        <w:spacing w:after="0" w:line="240" w:lineRule="auto"/>
        <w:ind w:firstLine="720"/>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xml:space="preserve">Although there appeared to be a decrease in household energy burden levels from 2012 to 2016, the number of </w:t>
      </w:r>
      <w:r w:rsidR="00550F45" w:rsidRPr="00EE5714">
        <w:rPr>
          <w:rFonts w:ascii="Times New Roman" w:eastAsia="Times New Roman" w:hAnsi="Times New Roman" w:cs="Times New Roman"/>
          <w:sz w:val="26"/>
          <w:szCs w:val="26"/>
        </w:rPr>
        <w:t>LIHEAP-</w:t>
      </w:r>
      <w:r w:rsidRPr="00EE5714">
        <w:rPr>
          <w:rFonts w:ascii="Times New Roman" w:eastAsia="Times New Roman" w:hAnsi="Times New Roman" w:cs="Times New Roman"/>
          <w:sz w:val="26"/>
          <w:szCs w:val="26"/>
        </w:rPr>
        <w:t>income</w:t>
      </w:r>
      <w:r w:rsidR="007F1FF4" w:rsidRPr="00EE5714">
        <w:rPr>
          <w:rFonts w:ascii="Times New Roman" w:eastAsia="Times New Roman" w:hAnsi="Times New Roman" w:cs="Times New Roman"/>
          <w:sz w:val="26"/>
          <w:szCs w:val="26"/>
        </w:rPr>
        <w:t>-eligible</w:t>
      </w:r>
      <w:r w:rsidRPr="00EE5714">
        <w:rPr>
          <w:rFonts w:ascii="Times New Roman" w:eastAsia="Times New Roman" w:hAnsi="Times New Roman" w:cs="Times New Roman"/>
          <w:sz w:val="26"/>
          <w:szCs w:val="26"/>
        </w:rPr>
        <w:t xml:space="preserve"> Pennsylvania households reportedly increased.  Table 9-2 </w:t>
      </w:r>
      <w:r w:rsidR="00DD5B40" w:rsidRPr="00EE5714">
        <w:rPr>
          <w:rFonts w:ascii="Times New Roman" w:eastAsia="Times New Roman" w:hAnsi="Times New Roman" w:cs="Times New Roman"/>
          <w:sz w:val="26"/>
          <w:szCs w:val="26"/>
        </w:rPr>
        <w:t>above</w:t>
      </w:r>
      <w:r w:rsidRPr="00EE5714">
        <w:rPr>
          <w:rFonts w:ascii="Times New Roman" w:eastAsia="Times New Roman" w:hAnsi="Times New Roman" w:cs="Times New Roman"/>
          <w:sz w:val="26"/>
          <w:szCs w:val="26"/>
        </w:rPr>
        <w:t xml:space="preserve"> shows that households with incomes at or below 150% of the FPIG increased from approximately 1 million in 2012 to approximately 1.1 million in 2016.   </w:t>
      </w:r>
    </w:p>
    <w:p w14:paraId="449E1D76" w14:textId="77777777" w:rsidR="00E40CCD" w:rsidRPr="00EE5714" w:rsidRDefault="00E40CCD" w:rsidP="00E40CCD">
      <w:pPr>
        <w:spacing w:after="0" w:line="240" w:lineRule="auto"/>
        <w:jc w:val="center"/>
        <w:rPr>
          <w:rFonts w:ascii="Times New Roman" w:eastAsia="Times New Roman" w:hAnsi="Times New Roman" w:cs="Times New Roman"/>
          <w:sz w:val="26"/>
          <w:szCs w:val="26"/>
        </w:rPr>
      </w:pPr>
    </w:p>
    <w:p w14:paraId="00DD1F1F" w14:textId="77777777" w:rsidR="00E40CCD" w:rsidRPr="00EE5714" w:rsidRDefault="00E40CCD" w:rsidP="00330CE9">
      <w:pPr>
        <w:keepNext/>
        <w:spacing w:after="0" w:line="240" w:lineRule="auto"/>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lastRenderedPageBreak/>
        <w:t>Table 9-3</w:t>
      </w:r>
    </w:p>
    <w:p w14:paraId="3DFFA747" w14:textId="77777777" w:rsidR="00E40CCD" w:rsidRPr="00EE5714" w:rsidRDefault="00E40CCD" w:rsidP="00CD2139">
      <w:pPr>
        <w:keepNext/>
        <w:spacing w:after="0" w:line="240" w:lineRule="auto"/>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Energy Burden for Pennsylvania and Similar States, 2016</w:t>
      </w:r>
    </w:p>
    <w:tbl>
      <w:tblPr>
        <w:tblStyle w:val="TableGrid2"/>
        <w:tblW w:w="0" w:type="auto"/>
        <w:tblLook w:val="04A0" w:firstRow="1" w:lastRow="0" w:firstColumn="1" w:lastColumn="0" w:noHBand="0" w:noVBand="1"/>
      </w:tblPr>
      <w:tblGrid>
        <w:gridCol w:w="1870"/>
        <w:gridCol w:w="1870"/>
        <w:gridCol w:w="1870"/>
        <w:gridCol w:w="1870"/>
        <w:gridCol w:w="1870"/>
      </w:tblGrid>
      <w:tr w:rsidR="00E40CCD" w:rsidRPr="00EE5714" w14:paraId="72DF1BE4" w14:textId="77777777" w:rsidTr="00640799">
        <w:tc>
          <w:tcPr>
            <w:tcW w:w="9350" w:type="dxa"/>
            <w:gridSpan w:val="5"/>
            <w:shd w:val="clear" w:color="auto" w:fill="D9D9D9" w:themeFill="background1" w:themeFillShade="D9"/>
          </w:tcPr>
          <w:p w14:paraId="13C11F6C"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Energy Burden 2016</w:t>
            </w:r>
          </w:p>
        </w:tc>
      </w:tr>
      <w:tr w:rsidR="00E40CCD" w:rsidRPr="00EE5714" w14:paraId="601E6A5B" w14:textId="77777777" w:rsidTr="00640799">
        <w:tc>
          <w:tcPr>
            <w:tcW w:w="1870" w:type="dxa"/>
            <w:shd w:val="clear" w:color="auto" w:fill="D9D9D9" w:themeFill="background1" w:themeFillShade="D9"/>
          </w:tcPr>
          <w:p w14:paraId="743DF9BA" w14:textId="77777777" w:rsidR="00E40CCD" w:rsidRPr="00EE5714" w:rsidRDefault="00E40CCD" w:rsidP="008869D4">
            <w:pPr>
              <w:keepNext/>
              <w:jc w:val="center"/>
              <w:rPr>
                <w:rFonts w:ascii="Times New Roman" w:eastAsia="Times New Roman" w:hAnsi="Times New Roman" w:cs="Times New Roman"/>
                <w:sz w:val="26"/>
                <w:szCs w:val="26"/>
              </w:rPr>
            </w:pPr>
          </w:p>
        </w:tc>
        <w:tc>
          <w:tcPr>
            <w:tcW w:w="1870" w:type="dxa"/>
            <w:shd w:val="clear" w:color="auto" w:fill="D9D9D9" w:themeFill="background1" w:themeFillShade="D9"/>
          </w:tcPr>
          <w:p w14:paraId="08A2572D"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Below 50%</w:t>
            </w:r>
          </w:p>
        </w:tc>
        <w:tc>
          <w:tcPr>
            <w:tcW w:w="1870" w:type="dxa"/>
            <w:shd w:val="clear" w:color="auto" w:fill="D9D9D9" w:themeFill="background1" w:themeFillShade="D9"/>
          </w:tcPr>
          <w:p w14:paraId="56F6FD89"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50-100%</w:t>
            </w:r>
          </w:p>
        </w:tc>
        <w:tc>
          <w:tcPr>
            <w:tcW w:w="1870" w:type="dxa"/>
            <w:shd w:val="clear" w:color="auto" w:fill="D9D9D9" w:themeFill="background1" w:themeFillShade="D9"/>
          </w:tcPr>
          <w:p w14:paraId="5C6966B5"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100-125%</w:t>
            </w:r>
          </w:p>
        </w:tc>
        <w:tc>
          <w:tcPr>
            <w:tcW w:w="1870" w:type="dxa"/>
            <w:shd w:val="clear" w:color="auto" w:fill="D9D9D9" w:themeFill="background1" w:themeFillShade="D9"/>
          </w:tcPr>
          <w:p w14:paraId="529603D9"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125-150%</w:t>
            </w:r>
          </w:p>
        </w:tc>
      </w:tr>
      <w:tr w:rsidR="00E40CCD" w:rsidRPr="00EE5714" w14:paraId="6786EEB8" w14:textId="77777777" w:rsidTr="008869D4">
        <w:tc>
          <w:tcPr>
            <w:tcW w:w="1870" w:type="dxa"/>
          </w:tcPr>
          <w:p w14:paraId="09E30CB0"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Pennsylvania</w:t>
            </w:r>
          </w:p>
        </w:tc>
        <w:tc>
          <w:tcPr>
            <w:tcW w:w="1870" w:type="dxa"/>
          </w:tcPr>
          <w:p w14:paraId="666A776E"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28%</w:t>
            </w:r>
          </w:p>
        </w:tc>
        <w:tc>
          <w:tcPr>
            <w:tcW w:w="1870" w:type="dxa"/>
          </w:tcPr>
          <w:p w14:paraId="1D749958"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15%</w:t>
            </w:r>
          </w:p>
        </w:tc>
        <w:tc>
          <w:tcPr>
            <w:tcW w:w="1870" w:type="dxa"/>
          </w:tcPr>
          <w:p w14:paraId="1D2B8B67"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w:t>
            </w:r>
          </w:p>
        </w:tc>
        <w:tc>
          <w:tcPr>
            <w:tcW w:w="1870" w:type="dxa"/>
          </w:tcPr>
          <w:p w14:paraId="2A8FBE5E"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8%</w:t>
            </w:r>
          </w:p>
        </w:tc>
      </w:tr>
      <w:tr w:rsidR="00E40CCD" w:rsidRPr="00EE5714" w14:paraId="23B938DD" w14:textId="77777777" w:rsidTr="008869D4">
        <w:tc>
          <w:tcPr>
            <w:tcW w:w="1870" w:type="dxa"/>
          </w:tcPr>
          <w:p w14:paraId="3E80E921"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Ohio</w:t>
            </w:r>
          </w:p>
        </w:tc>
        <w:tc>
          <w:tcPr>
            <w:tcW w:w="1870" w:type="dxa"/>
          </w:tcPr>
          <w:p w14:paraId="727C5A1F"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29%</w:t>
            </w:r>
          </w:p>
        </w:tc>
        <w:tc>
          <w:tcPr>
            <w:tcW w:w="1870" w:type="dxa"/>
          </w:tcPr>
          <w:p w14:paraId="279A4DE0"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15%</w:t>
            </w:r>
          </w:p>
        </w:tc>
        <w:tc>
          <w:tcPr>
            <w:tcW w:w="1870" w:type="dxa"/>
          </w:tcPr>
          <w:p w14:paraId="65AA5287"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w:t>
            </w:r>
          </w:p>
        </w:tc>
        <w:tc>
          <w:tcPr>
            <w:tcW w:w="1870" w:type="dxa"/>
          </w:tcPr>
          <w:p w14:paraId="522D022C"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8%</w:t>
            </w:r>
          </w:p>
        </w:tc>
      </w:tr>
      <w:tr w:rsidR="00E40CCD" w:rsidRPr="00EE5714" w14:paraId="2D403AAC" w14:textId="77777777" w:rsidTr="008869D4">
        <w:tc>
          <w:tcPr>
            <w:tcW w:w="1870" w:type="dxa"/>
          </w:tcPr>
          <w:p w14:paraId="13C738D3"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Kansas</w:t>
            </w:r>
          </w:p>
        </w:tc>
        <w:tc>
          <w:tcPr>
            <w:tcW w:w="1870" w:type="dxa"/>
          </w:tcPr>
          <w:p w14:paraId="5CDBB584"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29%</w:t>
            </w:r>
          </w:p>
        </w:tc>
        <w:tc>
          <w:tcPr>
            <w:tcW w:w="1870" w:type="dxa"/>
          </w:tcPr>
          <w:p w14:paraId="73CF7200"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16%</w:t>
            </w:r>
          </w:p>
        </w:tc>
        <w:tc>
          <w:tcPr>
            <w:tcW w:w="1870" w:type="dxa"/>
          </w:tcPr>
          <w:p w14:paraId="78555D29"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11%</w:t>
            </w:r>
          </w:p>
        </w:tc>
        <w:tc>
          <w:tcPr>
            <w:tcW w:w="1870" w:type="dxa"/>
          </w:tcPr>
          <w:p w14:paraId="7DE3F523"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9%</w:t>
            </w:r>
          </w:p>
        </w:tc>
      </w:tr>
      <w:tr w:rsidR="00E40CCD" w:rsidRPr="00EE5714" w14:paraId="531F582E" w14:textId="77777777" w:rsidTr="008869D4">
        <w:tc>
          <w:tcPr>
            <w:tcW w:w="1870" w:type="dxa"/>
          </w:tcPr>
          <w:p w14:paraId="1417B52C"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Michigan</w:t>
            </w:r>
          </w:p>
        </w:tc>
        <w:tc>
          <w:tcPr>
            <w:tcW w:w="1870" w:type="dxa"/>
          </w:tcPr>
          <w:p w14:paraId="6C8E26E8"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33%</w:t>
            </w:r>
          </w:p>
        </w:tc>
        <w:tc>
          <w:tcPr>
            <w:tcW w:w="1870" w:type="dxa"/>
          </w:tcPr>
          <w:p w14:paraId="24778EE4"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18%</w:t>
            </w:r>
          </w:p>
        </w:tc>
        <w:tc>
          <w:tcPr>
            <w:tcW w:w="1870" w:type="dxa"/>
          </w:tcPr>
          <w:p w14:paraId="19B17701"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12%</w:t>
            </w:r>
          </w:p>
        </w:tc>
        <w:tc>
          <w:tcPr>
            <w:tcW w:w="1870" w:type="dxa"/>
          </w:tcPr>
          <w:p w14:paraId="482F215A"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w:t>
            </w:r>
          </w:p>
        </w:tc>
      </w:tr>
      <w:tr w:rsidR="00E40CCD" w:rsidRPr="00EE5714" w14:paraId="1087CFC3" w14:textId="77777777" w:rsidTr="008869D4">
        <w:tc>
          <w:tcPr>
            <w:tcW w:w="1870" w:type="dxa"/>
          </w:tcPr>
          <w:p w14:paraId="7486B86C"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Virginia</w:t>
            </w:r>
          </w:p>
        </w:tc>
        <w:tc>
          <w:tcPr>
            <w:tcW w:w="1870" w:type="dxa"/>
          </w:tcPr>
          <w:p w14:paraId="6F5DEDA9"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32%</w:t>
            </w:r>
          </w:p>
        </w:tc>
        <w:tc>
          <w:tcPr>
            <w:tcW w:w="1870" w:type="dxa"/>
          </w:tcPr>
          <w:p w14:paraId="017351ED"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17%</w:t>
            </w:r>
          </w:p>
        </w:tc>
        <w:tc>
          <w:tcPr>
            <w:tcW w:w="1870" w:type="dxa"/>
          </w:tcPr>
          <w:p w14:paraId="401AA95E"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12%</w:t>
            </w:r>
          </w:p>
        </w:tc>
        <w:tc>
          <w:tcPr>
            <w:tcW w:w="1870" w:type="dxa"/>
          </w:tcPr>
          <w:p w14:paraId="59E064CC"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9%</w:t>
            </w:r>
          </w:p>
        </w:tc>
      </w:tr>
      <w:tr w:rsidR="00E40CCD" w:rsidRPr="00EE5714" w14:paraId="646397A4" w14:textId="77777777" w:rsidTr="008869D4">
        <w:tc>
          <w:tcPr>
            <w:tcW w:w="1870" w:type="dxa"/>
          </w:tcPr>
          <w:p w14:paraId="453A23A9"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Missouri</w:t>
            </w:r>
          </w:p>
        </w:tc>
        <w:tc>
          <w:tcPr>
            <w:tcW w:w="1870" w:type="dxa"/>
          </w:tcPr>
          <w:p w14:paraId="6276F098"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27%</w:t>
            </w:r>
          </w:p>
        </w:tc>
        <w:tc>
          <w:tcPr>
            <w:tcW w:w="1870" w:type="dxa"/>
          </w:tcPr>
          <w:p w14:paraId="07F8EE22"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15%</w:t>
            </w:r>
          </w:p>
        </w:tc>
        <w:tc>
          <w:tcPr>
            <w:tcW w:w="1870" w:type="dxa"/>
          </w:tcPr>
          <w:p w14:paraId="73D44BF1"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w:t>
            </w:r>
          </w:p>
        </w:tc>
        <w:tc>
          <w:tcPr>
            <w:tcW w:w="1870" w:type="dxa"/>
          </w:tcPr>
          <w:p w14:paraId="3272423B"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8%</w:t>
            </w:r>
          </w:p>
        </w:tc>
      </w:tr>
      <w:tr w:rsidR="00E40CCD" w:rsidRPr="00EE5714" w14:paraId="40D8F99E" w14:textId="77777777" w:rsidTr="008869D4">
        <w:tc>
          <w:tcPr>
            <w:tcW w:w="1870" w:type="dxa"/>
          </w:tcPr>
          <w:p w14:paraId="5BBD4FFC"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Wisconsin</w:t>
            </w:r>
          </w:p>
        </w:tc>
        <w:tc>
          <w:tcPr>
            <w:tcW w:w="1870" w:type="dxa"/>
          </w:tcPr>
          <w:p w14:paraId="08B2557C"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33%</w:t>
            </w:r>
          </w:p>
        </w:tc>
        <w:tc>
          <w:tcPr>
            <w:tcW w:w="1870" w:type="dxa"/>
          </w:tcPr>
          <w:p w14:paraId="3C862ED8"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17%</w:t>
            </w:r>
          </w:p>
        </w:tc>
        <w:tc>
          <w:tcPr>
            <w:tcW w:w="1870" w:type="dxa"/>
          </w:tcPr>
          <w:p w14:paraId="02BFE22C"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12%</w:t>
            </w:r>
          </w:p>
        </w:tc>
        <w:tc>
          <w:tcPr>
            <w:tcW w:w="1870" w:type="dxa"/>
          </w:tcPr>
          <w:p w14:paraId="16547353"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w:t>
            </w:r>
          </w:p>
        </w:tc>
      </w:tr>
      <w:tr w:rsidR="00E40CCD" w:rsidRPr="00EE5714" w14:paraId="6C221D22" w14:textId="77777777" w:rsidTr="008869D4">
        <w:tc>
          <w:tcPr>
            <w:tcW w:w="1870" w:type="dxa"/>
          </w:tcPr>
          <w:p w14:paraId="5EECF14C"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Rhode Island</w:t>
            </w:r>
          </w:p>
        </w:tc>
        <w:tc>
          <w:tcPr>
            <w:tcW w:w="1870" w:type="dxa"/>
          </w:tcPr>
          <w:p w14:paraId="42F1D4B7"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36%</w:t>
            </w:r>
          </w:p>
        </w:tc>
        <w:tc>
          <w:tcPr>
            <w:tcW w:w="1870" w:type="dxa"/>
          </w:tcPr>
          <w:p w14:paraId="527A3DBB"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19%</w:t>
            </w:r>
          </w:p>
        </w:tc>
        <w:tc>
          <w:tcPr>
            <w:tcW w:w="1870" w:type="dxa"/>
          </w:tcPr>
          <w:p w14:paraId="369F1330"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13%</w:t>
            </w:r>
          </w:p>
        </w:tc>
        <w:tc>
          <w:tcPr>
            <w:tcW w:w="1870" w:type="dxa"/>
          </w:tcPr>
          <w:p w14:paraId="0FAFF3A1"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w:t>
            </w:r>
          </w:p>
        </w:tc>
      </w:tr>
      <w:tr w:rsidR="00E40CCD" w:rsidRPr="00EE5714" w14:paraId="42AA466B" w14:textId="77777777" w:rsidTr="008869D4">
        <w:tc>
          <w:tcPr>
            <w:tcW w:w="1870" w:type="dxa"/>
          </w:tcPr>
          <w:p w14:paraId="73C4A3A6"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Delaware</w:t>
            </w:r>
          </w:p>
        </w:tc>
        <w:tc>
          <w:tcPr>
            <w:tcW w:w="1870" w:type="dxa"/>
          </w:tcPr>
          <w:p w14:paraId="59C712B6"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39%</w:t>
            </w:r>
          </w:p>
        </w:tc>
        <w:tc>
          <w:tcPr>
            <w:tcW w:w="1870" w:type="dxa"/>
          </w:tcPr>
          <w:p w14:paraId="4525B040"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21%</w:t>
            </w:r>
          </w:p>
        </w:tc>
        <w:tc>
          <w:tcPr>
            <w:tcW w:w="1870" w:type="dxa"/>
          </w:tcPr>
          <w:p w14:paraId="51E762D0"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14%</w:t>
            </w:r>
          </w:p>
        </w:tc>
        <w:tc>
          <w:tcPr>
            <w:tcW w:w="1870" w:type="dxa"/>
          </w:tcPr>
          <w:p w14:paraId="34C69E0E"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11%</w:t>
            </w:r>
          </w:p>
        </w:tc>
      </w:tr>
      <w:tr w:rsidR="00E40CCD" w:rsidRPr="00EE5714" w14:paraId="64D1E150" w14:textId="77777777" w:rsidTr="008869D4">
        <w:tc>
          <w:tcPr>
            <w:tcW w:w="1870" w:type="dxa"/>
          </w:tcPr>
          <w:p w14:paraId="195C4DB7"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New York</w:t>
            </w:r>
          </w:p>
        </w:tc>
        <w:tc>
          <w:tcPr>
            <w:tcW w:w="1870" w:type="dxa"/>
          </w:tcPr>
          <w:p w14:paraId="051E2CF7"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32%</w:t>
            </w:r>
          </w:p>
        </w:tc>
        <w:tc>
          <w:tcPr>
            <w:tcW w:w="1870" w:type="dxa"/>
          </w:tcPr>
          <w:p w14:paraId="71AFBE25"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17%</w:t>
            </w:r>
          </w:p>
        </w:tc>
        <w:tc>
          <w:tcPr>
            <w:tcW w:w="1870" w:type="dxa"/>
          </w:tcPr>
          <w:p w14:paraId="7E1E770A"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11%</w:t>
            </w:r>
          </w:p>
        </w:tc>
        <w:tc>
          <w:tcPr>
            <w:tcW w:w="1870" w:type="dxa"/>
          </w:tcPr>
          <w:p w14:paraId="71C9C685"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9%</w:t>
            </w:r>
          </w:p>
        </w:tc>
      </w:tr>
      <w:tr w:rsidR="00E40CCD" w:rsidRPr="00EE5714" w14:paraId="222CF97E" w14:textId="77777777" w:rsidTr="008869D4">
        <w:tc>
          <w:tcPr>
            <w:tcW w:w="1870" w:type="dxa"/>
          </w:tcPr>
          <w:p w14:paraId="62BDA3C9"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West Virginia</w:t>
            </w:r>
          </w:p>
        </w:tc>
        <w:tc>
          <w:tcPr>
            <w:tcW w:w="1870" w:type="dxa"/>
          </w:tcPr>
          <w:p w14:paraId="20413B2D"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31%</w:t>
            </w:r>
          </w:p>
        </w:tc>
        <w:tc>
          <w:tcPr>
            <w:tcW w:w="1870" w:type="dxa"/>
          </w:tcPr>
          <w:p w14:paraId="0187E912"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17%</w:t>
            </w:r>
          </w:p>
        </w:tc>
        <w:tc>
          <w:tcPr>
            <w:tcW w:w="1870" w:type="dxa"/>
          </w:tcPr>
          <w:p w14:paraId="56050219"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11%</w:t>
            </w:r>
          </w:p>
        </w:tc>
        <w:tc>
          <w:tcPr>
            <w:tcW w:w="1870" w:type="dxa"/>
          </w:tcPr>
          <w:p w14:paraId="192E5985"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9%</w:t>
            </w:r>
          </w:p>
        </w:tc>
      </w:tr>
    </w:tbl>
    <w:p w14:paraId="326C16C3" w14:textId="77777777" w:rsidR="00E40CCD" w:rsidRPr="00EE5714" w:rsidRDefault="00E40CCD" w:rsidP="00E40CCD">
      <w:pPr>
        <w:spacing w:after="0" w:line="240" w:lineRule="auto"/>
        <w:rPr>
          <w:rFonts w:ascii="Times New Roman" w:eastAsia="Times New Roman" w:hAnsi="Times New Roman" w:cs="Times New Roman"/>
          <w:sz w:val="26"/>
          <w:szCs w:val="26"/>
        </w:rPr>
      </w:pPr>
      <w:r w:rsidRPr="00EE5714">
        <w:rPr>
          <w:rFonts w:ascii="Times New Roman" w:eastAsia="Times New Roman" w:hAnsi="Times New Roman" w:cs="Times New Roman"/>
          <w:i/>
          <w:sz w:val="26"/>
          <w:szCs w:val="26"/>
        </w:rPr>
        <w:t>Source</w:t>
      </w:r>
      <w:r w:rsidRPr="00EE5714">
        <w:rPr>
          <w:rFonts w:ascii="Times New Roman" w:eastAsia="Times New Roman" w:hAnsi="Times New Roman" w:cs="Times New Roman"/>
          <w:sz w:val="26"/>
          <w:szCs w:val="26"/>
        </w:rPr>
        <w:t xml:space="preserve">: </w:t>
      </w:r>
      <w:r w:rsidRPr="00EE5714">
        <w:rPr>
          <w:rFonts w:ascii="Times New Roman" w:eastAsia="Times New Roman" w:hAnsi="Times New Roman" w:cs="Times New Roman"/>
          <w:i/>
          <w:sz w:val="26"/>
          <w:szCs w:val="26"/>
        </w:rPr>
        <w:t>Home Energy Affordability Gap</w:t>
      </w:r>
      <w:r w:rsidR="00640799" w:rsidRPr="00EE5714">
        <w:rPr>
          <w:rFonts w:ascii="Times New Roman" w:eastAsia="Times New Roman" w:hAnsi="Times New Roman" w:cs="Times New Roman"/>
          <w:sz w:val="26"/>
          <w:szCs w:val="26"/>
        </w:rPr>
        <w:t xml:space="preserve">, </w:t>
      </w:r>
      <w:r w:rsidRPr="00EE5714">
        <w:rPr>
          <w:rFonts w:ascii="Times New Roman" w:eastAsia="Times New Roman" w:hAnsi="Times New Roman" w:cs="Times New Roman"/>
          <w:sz w:val="26"/>
          <w:szCs w:val="26"/>
        </w:rPr>
        <w:t>2012-2016</w:t>
      </w:r>
    </w:p>
    <w:p w14:paraId="77B21552" w14:textId="77777777" w:rsidR="00E40CCD" w:rsidRPr="00EE5714" w:rsidRDefault="00E40CCD" w:rsidP="00E40CCD">
      <w:pPr>
        <w:spacing w:after="0" w:line="240" w:lineRule="auto"/>
        <w:rPr>
          <w:rFonts w:ascii="Times New Roman" w:eastAsia="Times New Roman" w:hAnsi="Times New Roman" w:cs="Times New Roman"/>
          <w:sz w:val="26"/>
          <w:szCs w:val="26"/>
        </w:rPr>
      </w:pPr>
    </w:p>
    <w:p w14:paraId="05E8ECDE" w14:textId="77777777" w:rsidR="00E40CCD" w:rsidRPr="00EE5714" w:rsidRDefault="00E40CCD" w:rsidP="00CD2139">
      <w:pPr>
        <w:keepNext/>
        <w:spacing w:after="0" w:line="240" w:lineRule="auto"/>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 xml:space="preserve">Table 9-4 </w:t>
      </w:r>
    </w:p>
    <w:p w14:paraId="53D3C0B6" w14:textId="77777777" w:rsidR="00E40CCD" w:rsidRPr="00EE5714" w:rsidRDefault="00E40CCD" w:rsidP="00647159">
      <w:pPr>
        <w:keepNext/>
        <w:spacing w:after="0" w:line="240" w:lineRule="auto"/>
        <w:jc w:val="center"/>
        <w:rPr>
          <w:rFonts w:ascii="Times New Roman" w:eastAsia="Times New Roman" w:hAnsi="Times New Roman" w:cs="Times New Roman"/>
          <w:b/>
          <w:sz w:val="26"/>
          <w:szCs w:val="26"/>
        </w:rPr>
      </w:pPr>
      <w:r w:rsidRPr="00EE5714">
        <w:rPr>
          <w:rFonts w:ascii="Times New Roman" w:eastAsia="Times New Roman" w:hAnsi="Times New Roman" w:cs="Times New Roman"/>
          <w:b/>
          <w:sz w:val="26"/>
          <w:szCs w:val="26"/>
        </w:rPr>
        <w:t>LIHEAP Allocation, Households Below Poverty Level, and</w:t>
      </w:r>
    </w:p>
    <w:p w14:paraId="7D94EB91" w14:textId="77777777" w:rsidR="00E40CCD" w:rsidRPr="00EE5714" w:rsidRDefault="00E40CCD" w:rsidP="00E40CCD">
      <w:pPr>
        <w:keepNext/>
        <w:spacing w:after="0" w:line="240" w:lineRule="auto"/>
        <w:jc w:val="center"/>
        <w:rPr>
          <w:rFonts w:ascii="Times New Roman" w:eastAsia="Times New Roman" w:hAnsi="Times New Roman" w:cs="Times New Roman"/>
          <w:sz w:val="26"/>
          <w:szCs w:val="26"/>
        </w:rPr>
      </w:pPr>
      <w:r w:rsidRPr="00EE5714">
        <w:rPr>
          <w:rFonts w:ascii="Times New Roman" w:eastAsia="Times New Roman" w:hAnsi="Times New Roman" w:cs="Times New Roman"/>
          <w:b/>
          <w:sz w:val="26"/>
          <w:szCs w:val="26"/>
        </w:rPr>
        <w:t>Covered Bills for Pennsylvania and Similar States, 2016</w:t>
      </w:r>
    </w:p>
    <w:tbl>
      <w:tblPr>
        <w:tblStyle w:val="TableGrid2"/>
        <w:tblW w:w="0" w:type="auto"/>
        <w:jc w:val="center"/>
        <w:tblLook w:val="04A0" w:firstRow="1" w:lastRow="0" w:firstColumn="1" w:lastColumn="0" w:noHBand="0" w:noVBand="1"/>
      </w:tblPr>
      <w:tblGrid>
        <w:gridCol w:w="1870"/>
        <w:gridCol w:w="1870"/>
        <w:gridCol w:w="1870"/>
        <w:gridCol w:w="1950"/>
      </w:tblGrid>
      <w:tr w:rsidR="00E40CCD" w:rsidRPr="00EE5714" w14:paraId="3B640986" w14:textId="77777777" w:rsidTr="00F42A51">
        <w:trPr>
          <w:jc w:val="center"/>
        </w:trPr>
        <w:tc>
          <w:tcPr>
            <w:tcW w:w="1870" w:type="dxa"/>
            <w:shd w:val="clear" w:color="auto" w:fill="D9D9D9" w:themeFill="background1" w:themeFillShade="D9"/>
          </w:tcPr>
          <w:p w14:paraId="551E17A1" w14:textId="77777777" w:rsidR="00E40CCD" w:rsidRPr="00EE5714" w:rsidRDefault="00E40CCD" w:rsidP="008869D4">
            <w:pPr>
              <w:keepNext/>
              <w:jc w:val="center"/>
              <w:rPr>
                <w:rFonts w:ascii="Times New Roman" w:eastAsia="Times New Roman" w:hAnsi="Times New Roman" w:cs="Times New Roman"/>
                <w:sz w:val="26"/>
                <w:szCs w:val="26"/>
              </w:rPr>
            </w:pPr>
          </w:p>
        </w:tc>
        <w:tc>
          <w:tcPr>
            <w:tcW w:w="1870" w:type="dxa"/>
            <w:shd w:val="clear" w:color="auto" w:fill="D9D9D9" w:themeFill="background1" w:themeFillShade="D9"/>
            <w:vAlign w:val="center"/>
          </w:tcPr>
          <w:p w14:paraId="7E7D625D" w14:textId="77777777" w:rsidR="00E40CCD" w:rsidRPr="00EE5714" w:rsidRDefault="00E40CCD" w:rsidP="00F42A51">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Gross LIHEAP Allocation (in millions)</w:t>
            </w:r>
          </w:p>
        </w:tc>
        <w:tc>
          <w:tcPr>
            <w:tcW w:w="1870" w:type="dxa"/>
            <w:shd w:val="clear" w:color="auto" w:fill="D9D9D9" w:themeFill="background1" w:themeFillShade="D9"/>
            <w:vAlign w:val="center"/>
          </w:tcPr>
          <w:p w14:paraId="2B3372B0" w14:textId="77777777" w:rsidR="00E40CCD" w:rsidRPr="00EE5714" w:rsidRDefault="00E40CCD" w:rsidP="00F42A51">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of Households below 150% FP</w:t>
            </w:r>
            <w:r w:rsidR="00F42A51" w:rsidRPr="00EE5714">
              <w:rPr>
                <w:rFonts w:ascii="Times New Roman" w:eastAsia="Times New Roman" w:hAnsi="Times New Roman" w:cs="Times New Roman"/>
                <w:sz w:val="26"/>
                <w:szCs w:val="26"/>
              </w:rPr>
              <w:t>IG</w:t>
            </w:r>
          </w:p>
        </w:tc>
        <w:tc>
          <w:tcPr>
            <w:tcW w:w="1870" w:type="dxa"/>
            <w:shd w:val="clear" w:color="auto" w:fill="D9D9D9" w:themeFill="background1" w:themeFillShade="D9"/>
            <w:vAlign w:val="center"/>
          </w:tcPr>
          <w:p w14:paraId="6FC388CD" w14:textId="77777777" w:rsidR="00E40CCD" w:rsidRPr="00EE5714" w:rsidRDefault="00E40CCD" w:rsidP="00F42A51">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Heating/Cooling Bills “Covered” by LIHEAP</w:t>
            </w:r>
          </w:p>
        </w:tc>
      </w:tr>
      <w:tr w:rsidR="00E40CCD" w:rsidRPr="00EE5714" w14:paraId="2D762DD0" w14:textId="77777777" w:rsidTr="008869D4">
        <w:trPr>
          <w:jc w:val="center"/>
        </w:trPr>
        <w:tc>
          <w:tcPr>
            <w:tcW w:w="1870" w:type="dxa"/>
          </w:tcPr>
          <w:p w14:paraId="07CE26A3"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Pennsylvania</w:t>
            </w:r>
          </w:p>
        </w:tc>
        <w:tc>
          <w:tcPr>
            <w:tcW w:w="1870" w:type="dxa"/>
          </w:tcPr>
          <w:p w14:paraId="0AACDD3C"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182,170</w:t>
            </w:r>
          </w:p>
        </w:tc>
        <w:tc>
          <w:tcPr>
            <w:tcW w:w="1870" w:type="dxa"/>
          </w:tcPr>
          <w:p w14:paraId="24B00C1C"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1,085,999</w:t>
            </w:r>
          </w:p>
        </w:tc>
        <w:tc>
          <w:tcPr>
            <w:tcW w:w="1870" w:type="dxa"/>
          </w:tcPr>
          <w:p w14:paraId="10CD4253"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216,354</w:t>
            </w:r>
          </w:p>
        </w:tc>
      </w:tr>
      <w:tr w:rsidR="00E40CCD" w:rsidRPr="00EE5714" w14:paraId="4C2E12D9" w14:textId="77777777" w:rsidTr="008869D4">
        <w:trPr>
          <w:jc w:val="center"/>
        </w:trPr>
        <w:tc>
          <w:tcPr>
            <w:tcW w:w="1870" w:type="dxa"/>
          </w:tcPr>
          <w:p w14:paraId="29C85F3A"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Ohio</w:t>
            </w:r>
          </w:p>
        </w:tc>
        <w:tc>
          <w:tcPr>
            <w:tcW w:w="1870" w:type="dxa"/>
          </w:tcPr>
          <w:p w14:paraId="06FA05AC"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131,709</w:t>
            </w:r>
          </w:p>
        </w:tc>
        <w:tc>
          <w:tcPr>
            <w:tcW w:w="1870" w:type="dxa"/>
          </w:tcPr>
          <w:p w14:paraId="40B8438B"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1,142,393</w:t>
            </w:r>
          </w:p>
        </w:tc>
        <w:tc>
          <w:tcPr>
            <w:tcW w:w="1870" w:type="dxa"/>
          </w:tcPr>
          <w:p w14:paraId="7803FDD7"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181,919</w:t>
            </w:r>
          </w:p>
        </w:tc>
      </w:tr>
      <w:tr w:rsidR="00E40CCD" w:rsidRPr="00EE5714" w14:paraId="6F64ECCE" w14:textId="77777777" w:rsidTr="008869D4">
        <w:trPr>
          <w:jc w:val="center"/>
        </w:trPr>
        <w:tc>
          <w:tcPr>
            <w:tcW w:w="1870" w:type="dxa"/>
          </w:tcPr>
          <w:p w14:paraId="1E95DE7C"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Kansas</w:t>
            </w:r>
          </w:p>
        </w:tc>
        <w:tc>
          <w:tcPr>
            <w:tcW w:w="1870" w:type="dxa"/>
          </w:tcPr>
          <w:p w14:paraId="7684F1BE"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28,576</w:t>
            </w:r>
          </w:p>
        </w:tc>
        <w:tc>
          <w:tcPr>
            <w:tcW w:w="1870" w:type="dxa"/>
          </w:tcPr>
          <w:p w14:paraId="653AF6CA"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251,395</w:t>
            </w:r>
          </w:p>
        </w:tc>
        <w:tc>
          <w:tcPr>
            <w:tcW w:w="1870" w:type="dxa"/>
          </w:tcPr>
          <w:p w14:paraId="221A8B76"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41,595</w:t>
            </w:r>
          </w:p>
        </w:tc>
      </w:tr>
      <w:tr w:rsidR="00E40CCD" w:rsidRPr="00EE5714" w14:paraId="5D77805C" w14:textId="77777777" w:rsidTr="008869D4">
        <w:trPr>
          <w:jc w:val="center"/>
        </w:trPr>
        <w:tc>
          <w:tcPr>
            <w:tcW w:w="1870" w:type="dxa"/>
          </w:tcPr>
          <w:p w14:paraId="0DDD8ADB"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Michigan</w:t>
            </w:r>
          </w:p>
        </w:tc>
        <w:tc>
          <w:tcPr>
            <w:tcW w:w="1870" w:type="dxa"/>
          </w:tcPr>
          <w:p w14:paraId="0724BC51"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140,599</w:t>
            </w:r>
          </w:p>
        </w:tc>
        <w:tc>
          <w:tcPr>
            <w:tcW w:w="1870" w:type="dxa"/>
          </w:tcPr>
          <w:p w14:paraId="27593137"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995,442</w:t>
            </w:r>
          </w:p>
        </w:tc>
        <w:tc>
          <w:tcPr>
            <w:tcW w:w="1870" w:type="dxa"/>
          </w:tcPr>
          <w:p w14:paraId="23C1D0E4"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155,015</w:t>
            </w:r>
          </w:p>
        </w:tc>
      </w:tr>
      <w:tr w:rsidR="00E40CCD" w:rsidRPr="00EE5714" w14:paraId="093757AC" w14:textId="77777777" w:rsidTr="008869D4">
        <w:trPr>
          <w:jc w:val="center"/>
        </w:trPr>
        <w:tc>
          <w:tcPr>
            <w:tcW w:w="1870" w:type="dxa"/>
          </w:tcPr>
          <w:p w14:paraId="4C8438D7"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Virginia</w:t>
            </w:r>
          </w:p>
        </w:tc>
        <w:tc>
          <w:tcPr>
            <w:tcW w:w="1870" w:type="dxa"/>
          </w:tcPr>
          <w:p w14:paraId="07856DC5"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75,278</w:t>
            </w:r>
          </w:p>
        </w:tc>
        <w:tc>
          <w:tcPr>
            <w:tcW w:w="1870" w:type="dxa"/>
          </w:tcPr>
          <w:p w14:paraId="24D0D3FE"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599,916</w:t>
            </w:r>
          </w:p>
        </w:tc>
        <w:tc>
          <w:tcPr>
            <w:tcW w:w="1870" w:type="dxa"/>
          </w:tcPr>
          <w:p w14:paraId="7A617E4D"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74,019</w:t>
            </w:r>
          </w:p>
        </w:tc>
      </w:tr>
      <w:tr w:rsidR="00E40CCD" w:rsidRPr="00EE5714" w14:paraId="3E9B34AE" w14:textId="77777777" w:rsidTr="008869D4">
        <w:trPr>
          <w:jc w:val="center"/>
        </w:trPr>
        <w:tc>
          <w:tcPr>
            <w:tcW w:w="1870" w:type="dxa"/>
          </w:tcPr>
          <w:p w14:paraId="2B2B132A"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Missouri</w:t>
            </w:r>
          </w:p>
        </w:tc>
        <w:tc>
          <w:tcPr>
            <w:tcW w:w="1870" w:type="dxa"/>
          </w:tcPr>
          <w:p w14:paraId="2E8AF625"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65,662</w:t>
            </w:r>
          </w:p>
        </w:tc>
        <w:tc>
          <w:tcPr>
            <w:tcW w:w="1870" w:type="dxa"/>
          </w:tcPr>
          <w:p w14:paraId="2411B2A6"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602,511</w:t>
            </w:r>
          </w:p>
        </w:tc>
        <w:tc>
          <w:tcPr>
            <w:tcW w:w="1870" w:type="dxa"/>
          </w:tcPr>
          <w:p w14:paraId="55FF4F8A"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101,018</w:t>
            </w:r>
          </w:p>
        </w:tc>
      </w:tr>
      <w:tr w:rsidR="00E40CCD" w:rsidRPr="00EE5714" w14:paraId="5F107562" w14:textId="77777777" w:rsidTr="008869D4">
        <w:trPr>
          <w:jc w:val="center"/>
        </w:trPr>
        <w:tc>
          <w:tcPr>
            <w:tcW w:w="1870" w:type="dxa"/>
          </w:tcPr>
          <w:p w14:paraId="6340BEFE"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Wisconsin</w:t>
            </w:r>
          </w:p>
        </w:tc>
        <w:tc>
          <w:tcPr>
            <w:tcW w:w="1870" w:type="dxa"/>
          </w:tcPr>
          <w:p w14:paraId="45EBF090"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91,667</w:t>
            </w:r>
          </w:p>
        </w:tc>
        <w:tc>
          <w:tcPr>
            <w:tcW w:w="1870" w:type="dxa"/>
          </w:tcPr>
          <w:p w14:paraId="0778996F"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492,434</w:t>
            </w:r>
          </w:p>
        </w:tc>
        <w:tc>
          <w:tcPr>
            <w:tcW w:w="1870" w:type="dxa"/>
          </w:tcPr>
          <w:p w14:paraId="38A2F7FD"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103,931</w:t>
            </w:r>
          </w:p>
        </w:tc>
      </w:tr>
      <w:tr w:rsidR="00E40CCD" w:rsidRPr="00EE5714" w14:paraId="0947A19A" w14:textId="77777777" w:rsidTr="008869D4">
        <w:trPr>
          <w:jc w:val="center"/>
        </w:trPr>
        <w:tc>
          <w:tcPr>
            <w:tcW w:w="1870" w:type="dxa"/>
          </w:tcPr>
          <w:p w14:paraId="15740D97"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Rhode Island</w:t>
            </w:r>
          </w:p>
        </w:tc>
        <w:tc>
          <w:tcPr>
            <w:tcW w:w="1870" w:type="dxa"/>
          </w:tcPr>
          <w:p w14:paraId="203A1D4B"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23,271</w:t>
            </w:r>
          </w:p>
        </w:tc>
        <w:tc>
          <w:tcPr>
            <w:tcW w:w="1870" w:type="dxa"/>
          </w:tcPr>
          <w:p w14:paraId="70828C00"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91,177</w:t>
            </w:r>
          </w:p>
        </w:tc>
        <w:tc>
          <w:tcPr>
            <w:tcW w:w="1870" w:type="dxa"/>
          </w:tcPr>
          <w:p w14:paraId="5B41E052"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23,365</w:t>
            </w:r>
          </w:p>
        </w:tc>
      </w:tr>
      <w:tr w:rsidR="00E40CCD" w:rsidRPr="00EE5714" w14:paraId="717197A1" w14:textId="77777777" w:rsidTr="008869D4">
        <w:trPr>
          <w:jc w:val="center"/>
        </w:trPr>
        <w:tc>
          <w:tcPr>
            <w:tcW w:w="1870" w:type="dxa"/>
          </w:tcPr>
          <w:p w14:paraId="1C0F556F"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Delaware</w:t>
            </w:r>
          </w:p>
        </w:tc>
        <w:tc>
          <w:tcPr>
            <w:tcW w:w="1870" w:type="dxa"/>
          </w:tcPr>
          <w:p w14:paraId="134D378D"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11,280</w:t>
            </w:r>
          </w:p>
        </w:tc>
        <w:tc>
          <w:tcPr>
            <w:tcW w:w="1870" w:type="dxa"/>
          </w:tcPr>
          <w:p w14:paraId="1458E6DB"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69,369</w:t>
            </w:r>
          </w:p>
        </w:tc>
        <w:tc>
          <w:tcPr>
            <w:tcW w:w="1870" w:type="dxa"/>
          </w:tcPr>
          <w:p w14:paraId="319D0FBD"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8,945</w:t>
            </w:r>
          </w:p>
        </w:tc>
      </w:tr>
      <w:tr w:rsidR="00E40CCD" w:rsidRPr="00EE5714" w14:paraId="0F097D9C" w14:textId="77777777" w:rsidTr="008869D4">
        <w:trPr>
          <w:jc w:val="center"/>
        </w:trPr>
        <w:tc>
          <w:tcPr>
            <w:tcW w:w="1870" w:type="dxa"/>
          </w:tcPr>
          <w:p w14:paraId="2DD2F0C1"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New York</w:t>
            </w:r>
          </w:p>
        </w:tc>
        <w:tc>
          <w:tcPr>
            <w:tcW w:w="1870" w:type="dxa"/>
          </w:tcPr>
          <w:p w14:paraId="106AD9EF"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325,976</w:t>
            </w:r>
          </w:p>
        </w:tc>
        <w:tc>
          <w:tcPr>
            <w:tcW w:w="1870" w:type="dxa"/>
          </w:tcPr>
          <w:p w14:paraId="6E3753AE"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1,790,231</w:t>
            </w:r>
          </w:p>
        </w:tc>
        <w:tc>
          <w:tcPr>
            <w:tcW w:w="1870" w:type="dxa"/>
          </w:tcPr>
          <w:p w14:paraId="5B921A58"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373,826</w:t>
            </w:r>
          </w:p>
        </w:tc>
      </w:tr>
      <w:tr w:rsidR="00E40CCD" w:rsidRPr="00EE5714" w14:paraId="2D9E474A" w14:textId="77777777" w:rsidTr="008869D4">
        <w:trPr>
          <w:jc w:val="center"/>
        </w:trPr>
        <w:tc>
          <w:tcPr>
            <w:tcW w:w="1870" w:type="dxa"/>
          </w:tcPr>
          <w:p w14:paraId="7A2482C4" w14:textId="77777777" w:rsidR="00E40CCD" w:rsidRPr="00EE5714" w:rsidRDefault="00E40CCD" w:rsidP="008869D4">
            <w:pPr>
              <w:keepNext/>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West Virginia</w:t>
            </w:r>
          </w:p>
        </w:tc>
        <w:tc>
          <w:tcPr>
            <w:tcW w:w="1870" w:type="dxa"/>
          </w:tcPr>
          <w:p w14:paraId="65B982C6"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25,927</w:t>
            </w:r>
          </w:p>
        </w:tc>
        <w:tc>
          <w:tcPr>
            <w:tcW w:w="1870" w:type="dxa"/>
          </w:tcPr>
          <w:p w14:paraId="18DAE396"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213,221</w:t>
            </w:r>
          </w:p>
        </w:tc>
        <w:tc>
          <w:tcPr>
            <w:tcW w:w="1870" w:type="dxa"/>
          </w:tcPr>
          <w:p w14:paraId="2059BC6C" w14:textId="77777777" w:rsidR="00E40CCD" w:rsidRPr="00EE5714" w:rsidRDefault="00E40CCD" w:rsidP="008869D4">
            <w:pPr>
              <w:keepNext/>
              <w:jc w:val="center"/>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25,798</w:t>
            </w:r>
          </w:p>
        </w:tc>
      </w:tr>
    </w:tbl>
    <w:p w14:paraId="2C21A35F" w14:textId="77777777" w:rsidR="00E40CCD" w:rsidRPr="00EE5714" w:rsidRDefault="00E40CCD" w:rsidP="00556A1B">
      <w:pPr>
        <w:spacing w:after="0" w:line="240" w:lineRule="auto"/>
        <w:ind w:left="900"/>
        <w:rPr>
          <w:rFonts w:ascii="Times New Roman" w:eastAsia="Times New Roman" w:hAnsi="Times New Roman" w:cs="Times New Roman"/>
          <w:sz w:val="26"/>
          <w:szCs w:val="26"/>
        </w:rPr>
      </w:pPr>
      <w:r w:rsidRPr="00EE5714">
        <w:rPr>
          <w:rFonts w:ascii="Times New Roman" w:eastAsia="Times New Roman" w:hAnsi="Times New Roman" w:cs="Times New Roman"/>
          <w:i/>
          <w:sz w:val="26"/>
          <w:szCs w:val="26"/>
        </w:rPr>
        <w:t>Source</w:t>
      </w:r>
      <w:r w:rsidRPr="00EE5714">
        <w:rPr>
          <w:rFonts w:ascii="Times New Roman" w:eastAsia="Times New Roman" w:hAnsi="Times New Roman" w:cs="Times New Roman"/>
          <w:sz w:val="26"/>
          <w:szCs w:val="26"/>
        </w:rPr>
        <w:t xml:space="preserve">: </w:t>
      </w:r>
      <w:r w:rsidRPr="00EE5714">
        <w:rPr>
          <w:rFonts w:ascii="Times New Roman" w:eastAsia="Times New Roman" w:hAnsi="Times New Roman" w:cs="Times New Roman"/>
          <w:i/>
          <w:sz w:val="26"/>
          <w:szCs w:val="26"/>
        </w:rPr>
        <w:t>Home Energy Affordability Gap</w:t>
      </w:r>
      <w:r w:rsidR="009F4EBB" w:rsidRPr="00EE5714">
        <w:rPr>
          <w:rFonts w:ascii="Times New Roman" w:eastAsia="Times New Roman" w:hAnsi="Times New Roman" w:cs="Times New Roman"/>
          <w:sz w:val="26"/>
          <w:szCs w:val="26"/>
        </w:rPr>
        <w:t>,</w:t>
      </w:r>
      <w:r w:rsidRPr="00EE5714">
        <w:rPr>
          <w:rFonts w:ascii="Times New Roman" w:eastAsia="Times New Roman" w:hAnsi="Times New Roman" w:cs="Times New Roman"/>
          <w:sz w:val="26"/>
          <w:szCs w:val="26"/>
        </w:rPr>
        <w:t xml:space="preserve"> 2012-2016 </w:t>
      </w:r>
    </w:p>
    <w:p w14:paraId="218543E9" w14:textId="77777777" w:rsidR="00E40CCD" w:rsidRPr="00EE5714" w:rsidRDefault="00E40CCD" w:rsidP="00E40CCD">
      <w:pPr>
        <w:spacing w:after="0" w:line="240" w:lineRule="auto"/>
        <w:rPr>
          <w:rFonts w:ascii="Times New Roman" w:eastAsia="Times New Roman" w:hAnsi="Times New Roman" w:cs="Times New Roman"/>
          <w:sz w:val="26"/>
          <w:szCs w:val="26"/>
        </w:rPr>
      </w:pPr>
    </w:p>
    <w:p w14:paraId="108B17AA" w14:textId="4B9185C5" w:rsidR="00F02735" w:rsidRPr="00EE5714" w:rsidRDefault="00E40CCD" w:rsidP="0042757D">
      <w:pPr>
        <w:spacing w:after="0" w:line="240" w:lineRule="auto"/>
        <w:ind w:firstLine="72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xml:space="preserve">Of those states with </w:t>
      </w:r>
      <w:r w:rsidR="00CA1990" w:rsidRPr="00EE5714">
        <w:rPr>
          <w:rFonts w:ascii="Times New Roman" w:eastAsia="Times New Roman" w:hAnsi="Times New Roman" w:cs="Times New Roman"/>
          <w:sz w:val="26"/>
          <w:szCs w:val="26"/>
        </w:rPr>
        <w:t>similar</w:t>
      </w:r>
      <w:r w:rsidRPr="00EE5714">
        <w:rPr>
          <w:rFonts w:ascii="Times New Roman" w:eastAsia="Times New Roman" w:hAnsi="Times New Roman" w:cs="Times New Roman"/>
          <w:sz w:val="26"/>
          <w:szCs w:val="26"/>
        </w:rPr>
        <w:t xml:space="preserve"> energy burdens, none </w:t>
      </w:r>
      <w:r w:rsidR="000A6AA2" w:rsidRPr="00EE5714">
        <w:rPr>
          <w:rFonts w:ascii="Times New Roman" w:eastAsia="Times New Roman" w:hAnsi="Times New Roman" w:cs="Times New Roman"/>
          <w:sz w:val="26"/>
          <w:szCs w:val="26"/>
        </w:rPr>
        <w:t>have</w:t>
      </w:r>
      <w:r w:rsidRPr="00EE5714">
        <w:rPr>
          <w:rFonts w:ascii="Times New Roman" w:eastAsia="Times New Roman" w:hAnsi="Times New Roman" w:cs="Times New Roman"/>
          <w:sz w:val="26"/>
          <w:szCs w:val="26"/>
        </w:rPr>
        <w:t xml:space="preserve"> demographic/energy profiles</w:t>
      </w:r>
      <w:r w:rsidR="00556A1B" w:rsidRPr="00EE5714">
        <w:rPr>
          <w:rFonts w:ascii="Times New Roman" w:eastAsia="Times New Roman" w:hAnsi="Times New Roman" w:cs="Times New Roman"/>
          <w:sz w:val="26"/>
          <w:szCs w:val="26"/>
        </w:rPr>
        <w:t xml:space="preserve"> </w:t>
      </w:r>
      <w:proofErr w:type="gramStart"/>
      <w:r w:rsidR="00556A1B" w:rsidRPr="00EE5714">
        <w:rPr>
          <w:rFonts w:ascii="Times New Roman" w:eastAsia="Times New Roman" w:hAnsi="Times New Roman" w:cs="Times New Roman"/>
          <w:sz w:val="26"/>
          <w:szCs w:val="26"/>
        </w:rPr>
        <w:t>similar to</w:t>
      </w:r>
      <w:proofErr w:type="gramEnd"/>
      <w:r w:rsidR="00556A1B" w:rsidRPr="00EE5714">
        <w:rPr>
          <w:rFonts w:ascii="Times New Roman" w:eastAsia="Times New Roman" w:hAnsi="Times New Roman" w:cs="Times New Roman"/>
          <w:sz w:val="26"/>
          <w:szCs w:val="26"/>
        </w:rPr>
        <w:t xml:space="preserve"> Pennsylvania</w:t>
      </w:r>
      <w:r w:rsidRPr="00EE5714">
        <w:rPr>
          <w:rFonts w:ascii="Times New Roman" w:eastAsia="Times New Roman" w:hAnsi="Times New Roman" w:cs="Times New Roman"/>
          <w:sz w:val="26"/>
          <w:szCs w:val="26"/>
        </w:rPr>
        <w:t>.  However, Ohio is close, with identical energy burden for several poverty categories.  Only six states, including Ohio and New York, ha</w:t>
      </w:r>
      <w:r w:rsidR="00F113AD" w:rsidRPr="00EE5714">
        <w:rPr>
          <w:rFonts w:ascii="Times New Roman" w:eastAsia="Times New Roman" w:hAnsi="Times New Roman" w:cs="Times New Roman"/>
          <w:sz w:val="26"/>
          <w:szCs w:val="26"/>
        </w:rPr>
        <w:t>d</w:t>
      </w:r>
      <w:r w:rsidRPr="00EE5714">
        <w:rPr>
          <w:rFonts w:ascii="Times New Roman" w:eastAsia="Times New Roman" w:hAnsi="Times New Roman" w:cs="Times New Roman"/>
          <w:sz w:val="26"/>
          <w:szCs w:val="26"/>
        </w:rPr>
        <w:t xml:space="preserve"> a greater number of households at or below 150</w:t>
      </w:r>
      <w:r w:rsidR="00853104" w:rsidRPr="00EE5714">
        <w:rPr>
          <w:rFonts w:ascii="Times New Roman" w:eastAsia="Times New Roman" w:hAnsi="Times New Roman" w:cs="Times New Roman"/>
          <w:sz w:val="26"/>
          <w:szCs w:val="26"/>
        </w:rPr>
        <w:t>%</w:t>
      </w:r>
      <w:r w:rsidRPr="00EE5714">
        <w:rPr>
          <w:rFonts w:ascii="Times New Roman" w:eastAsia="Times New Roman" w:hAnsi="Times New Roman" w:cs="Times New Roman"/>
          <w:sz w:val="26"/>
          <w:szCs w:val="26"/>
        </w:rPr>
        <w:t xml:space="preserve"> of the poverty level.  As seen in Table</w:t>
      </w:r>
      <w:r w:rsidR="00F113AD" w:rsidRPr="00EE5714">
        <w:rPr>
          <w:rFonts w:ascii="Times New Roman" w:eastAsia="Times New Roman" w:hAnsi="Times New Roman" w:cs="Times New Roman"/>
          <w:sz w:val="26"/>
          <w:szCs w:val="26"/>
        </w:rPr>
        <w:t> </w:t>
      </w:r>
      <w:r w:rsidRPr="00EE5714">
        <w:rPr>
          <w:rFonts w:ascii="Times New Roman" w:eastAsia="Times New Roman" w:hAnsi="Times New Roman" w:cs="Times New Roman"/>
          <w:sz w:val="26"/>
          <w:szCs w:val="26"/>
        </w:rPr>
        <w:t>9</w:t>
      </w:r>
      <w:r w:rsidR="00F113AD" w:rsidRPr="00EE5714">
        <w:rPr>
          <w:rFonts w:ascii="Times New Roman" w:eastAsia="Times New Roman" w:hAnsi="Times New Roman" w:cs="Times New Roman"/>
          <w:sz w:val="26"/>
          <w:szCs w:val="26"/>
        </w:rPr>
        <w:noBreakHyphen/>
      </w:r>
      <w:r w:rsidRPr="00EE5714">
        <w:rPr>
          <w:rFonts w:ascii="Times New Roman" w:eastAsia="Times New Roman" w:hAnsi="Times New Roman" w:cs="Times New Roman"/>
          <w:sz w:val="26"/>
          <w:szCs w:val="26"/>
        </w:rPr>
        <w:t>4</w:t>
      </w:r>
      <w:r w:rsidR="00F53EE8" w:rsidRPr="00EE5714">
        <w:rPr>
          <w:rFonts w:ascii="Times New Roman" w:eastAsia="Times New Roman" w:hAnsi="Times New Roman" w:cs="Times New Roman"/>
          <w:sz w:val="26"/>
          <w:szCs w:val="26"/>
        </w:rPr>
        <w:t xml:space="preserve"> above</w:t>
      </w:r>
      <w:r w:rsidRPr="00EE5714">
        <w:rPr>
          <w:rFonts w:ascii="Times New Roman" w:eastAsia="Times New Roman" w:hAnsi="Times New Roman" w:cs="Times New Roman"/>
          <w:sz w:val="26"/>
          <w:szCs w:val="26"/>
        </w:rPr>
        <w:t xml:space="preserve">, New York </w:t>
      </w:r>
      <w:r w:rsidR="00F113AD" w:rsidRPr="00EE5714">
        <w:rPr>
          <w:rFonts w:ascii="Times New Roman" w:eastAsia="Times New Roman" w:hAnsi="Times New Roman" w:cs="Times New Roman"/>
          <w:sz w:val="26"/>
          <w:szCs w:val="26"/>
        </w:rPr>
        <w:t>wa</w:t>
      </w:r>
      <w:r w:rsidRPr="00EE5714">
        <w:rPr>
          <w:rFonts w:ascii="Times New Roman" w:eastAsia="Times New Roman" w:hAnsi="Times New Roman" w:cs="Times New Roman"/>
          <w:sz w:val="26"/>
          <w:szCs w:val="26"/>
        </w:rPr>
        <w:t>s the only state to receive a larger gross LIHEAP allocation in 2016, and only California (not shown) and New York cover</w:t>
      </w:r>
      <w:r w:rsidR="00F113AD" w:rsidRPr="00EE5714">
        <w:rPr>
          <w:rFonts w:ascii="Times New Roman" w:eastAsia="Times New Roman" w:hAnsi="Times New Roman" w:cs="Times New Roman"/>
          <w:sz w:val="26"/>
          <w:szCs w:val="26"/>
        </w:rPr>
        <w:t>ed</w:t>
      </w:r>
      <w:r w:rsidRPr="00EE5714">
        <w:rPr>
          <w:rFonts w:ascii="Times New Roman" w:eastAsia="Times New Roman" w:hAnsi="Times New Roman" w:cs="Times New Roman"/>
          <w:sz w:val="26"/>
          <w:szCs w:val="26"/>
        </w:rPr>
        <w:t xml:space="preserve"> a greater number of heating/cooling bills.</w:t>
      </w:r>
    </w:p>
    <w:p w14:paraId="43179C51" w14:textId="77777777" w:rsidR="00B8089A" w:rsidRPr="00EE5714" w:rsidRDefault="00B8089A" w:rsidP="0042757D">
      <w:pPr>
        <w:spacing w:after="0" w:line="240" w:lineRule="auto"/>
        <w:ind w:firstLine="720"/>
        <w:contextualSpacing/>
        <w:rPr>
          <w:rFonts w:ascii="Times New Roman" w:eastAsia="Times New Roman" w:hAnsi="Times New Roman" w:cs="Times New Roman"/>
          <w:sz w:val="26"/>
          <w:szCs w:val="26"/>
        </w:rPr>
      </w:pPr>
    </w:p>
    <w:p w14:paraId="7BD494CE" w14:textId="77777777" w:rsidR="00B8089A" w:rsidRPr="00EE5714" w:rsidRDefault="00B8089A" w:rsidP="0042757D">
      <w:pPr>
        <w:spacing w:after="0" w:line="240" w:lineRule="auto"/>
        <w:ind w:firstLine="72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xml:space="preserve">Examining all 50 states (plus the District of Columbia) reveals that Pennsylvania’s average energy burdens for all energy sources were among the highest in the country for households below 150% of the poverty level.  </w:t>
      </w:r>
    </w:p>
    <w:p w14:paraId="255DAAAF" w14:textId="77777777" w:rsidR="00F02735" w:rsidRPr="00EE5714" w:rsidRDefault="00F02735" w:rsidP="00B8089A">
      <w:pPr>
        <w:spacing w:after="0" w:line="240" w:lineRule="auto"/>
        <w:contextualSpacing/>
        <w:rPr>
          <w:rFonts w:ascii="Times New Roman" w:eastAsia="Calibri" w:hAnsi="Times New Roman" w:cs="Times New Roman"/>
          <w:i/>
          <w:sz w:val="26"/>
          <w:szCs w:val="26"/>
        </w:rPr>
      </w:pPr>
    </w:p>
    <w:p w14:paraId="1569BB31" w14:textId="77777777" w:rsidR="004C203D" w:rsidRPr="00EE5714" w:rsidDel="00C61461" w:rsidRDefault="001908B8" w:rsidP="00677B1A">
      <w:pPr>
        <w:keepNext/>
        <w:spacing w:after="0" w:line="240" w:lineRule="auto"/>
        <w:contextualSpacing/>
        <w:rPr>
          <w:rFonts w:ascii="Times New Roman" w:eastAsia="Calibri" w:hAnsi="Times New Roman" w:cs="Times New Roman"/>
          <w:i/>
          <w:sz w:val="26"/>
          <w:szCs w:val="26"/>
        </w:rPr>
      </w:pPr>
      <w:r w:rsidRPr="00EE5714" w:rsidDel="00456BFC">
        <w:rPr>
          <w:rFonts w:ascii="Times New Roman" w:eastAsia="Calibri" w:hAnsi="Times New Roman" w:cs="Times New Roman"/>
          <w:i/>
          <w:iCs/>
          <w:sz w:val="26"/>
          <w:szCs w:val="26"/>
        </w:rPr>
        <w:t xml:space="preserve">Review of </w:t>
      </w:r>
      <w:r w:rsidR="003F3BCF" w:rsidRPr="00EE5714">
        <w:rPr>
          <w:rFonts w:ascii="Times New Roman" w:eastAsia="Calibri" w:hAnsi="Times New Roman" w:cs="Times New Roman"/>
          <w:i/>
          <w:iCs/>
          <w:sz w:val="26"/>
          <w:szCs w:val="26"/>
        </w:rPr>
        <w:t xml:space="preserve">Other </w:t>
      </w:r>
      <w:r w:rsidRPr="00EE5714">
        <w:rPr>
          <w:rFonts w:ascii="Times New Roman" w:eastAsia="Calibri" w:hAnsi="Times New Roman" w:cs="Times New Roman"/>
          <w:i/>
          <w:iCs/>
          <w:sz w:val="26"/>
          <w:szCs w:val="26"/>
        </w:rPr>
        <w:t xml:space="preserve">Relevant Studies </w:t>
      </w:r>
    </w:p>
    <w:p w14:paraId="143F0272" w14:textId="77777777" w:rsidR="00C61461" w:rsidRPr="00EE5714" w:rsidRDefault="00C61461" w:rsidP="00F439CA">
      <w:pPr>
        <w:keepNext/>
        <w:spacing w:after="0" w:line="240" w:lineRule="auto"/>
        <w:contextualSpacing/>
        <w:rPr>
          <w:rFonts w:ascii="Times New Roman" w:eastAsia="Calibri" w:hAnsi="Times New Roman" w:cs="Times New Roman"/>
          <w:sz w:val="26"/>
          <w:szCs w:val="26"/>
        </w:rPr>
      </w:pPr>
    </w:p>
    <w:p w14:paraId="504D995E" w14:textId="77777777" w:rsidR="00E86229" w:rsidRPr="00EE5714" w:rsidRDefault="00D237D4" w:rsidP="007F177F">
      <w:pPr>
        <w:tabs>
          <w:tab w:val="left" w:pos="720"/>
        </w:tab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1908B8" w:rsidRPr="00EE5714">
        <w:rPr>
          <w:rFonts w:ascii="Times New Roman" w:hAnsi="Times New Roman" w:cs="Times New Roman"/>
          <w:sz w:val="26"/>
          <w:szCs w:val="26"/>
        </w:rPr>
        <w:t>S</w:t>
      </w:r>
      <w:r w:rsidR="00E86229" w:rsidRPr="00EE5714">
        <w:rPr>
          <w:rFonts w:ascii="Times New Roman" w:hAnsi="Times New Roman" w:cs="Times New Roman"/>
          <w:sz w:val="26"/>
          <w:szCs w:val="26"/>
        </w:rPr>
        <w:t xml:space="preserve">everal </w:t>
      </w:r>
      <w:r w:rsidR="00B366B4" w:rsidRPr="00EE5714">
        <w:rPr>
          <w:rFonts w:ascii="Times New Roman" w:hAnsi="Times New Roman" w:cs="Times New Roman"/>
          <w:sz w:val="26"/>
          <w:szCs w:val="26"/>
        </w:rPr>
        <w:t xml:space="preserve">independent </w:t>
      </w:r>
      <w:r w:rsidR="00E86229" w:rsidRPr="00EE5714">
        <w:rPr>
          <w:rFonts w:ascii="Times New Roman" w:hAnsi="Times New Roman" w:cs="Times New Roman"/>
          <w:sz w:val="26"/>
          <w:szCs w:val="26"/>
        </w:rPr>
        <w:t>studies examined relationship</w:t>
      </w:r>
      <w:r w:rsidR="001908B8" w:rsidRPr="00EE5714">
        <w:rPr>
          <w:rFonts w:ascii="Times New Roman" w:hAnsi="Times New Roman" w:cs="Times New Roman"/>
          <w:sz w:val="26"/>
          <w:szCs w:val="26"/>
        </w:rPr>
        <w:t>s</w:t>
      </w:r>
      <w:r w:rsidR="00E86229" w:rsidRPr="00EE5714">
        <w:rPr>
          <w:rFonts w:ascii="Times New Roman" w:hAnsi="Times New Roman" w:cs="Times New Roman"/>
          <w:sz w:val="26"/>
          <w:szCs w:val="26"/>
        </w:rPr>
        <w:t xml:space="preserve"> between subsets of variables</w:t>
      </w:r>
      <w:r w:rsidR="00422320" w:rsidRPr="00EE5714">
        <w:rPr>
          <w:rFonts w:ascii="Times New Roman" w:hAnsi="Times New Roman" w:cs="Times New Roman"/>
          <w:sz w:val="26"/>
          <w:szCs w:val="26"/>
        </w:rPr>
        <w:t xml:space="preserve"> </w:t>
      </w:r>
      <w:r w:rsidR="00DF41C8" w:rsidRPr="00EE5714">
        <w:rPr>
          <w:rFonts w:ascii="Times New Roman" w:hAnsi="Times New Roman" w:cs="Times New Roman"/>
          <w:sz w:val="26"/>
          <w:szCs w:val="26"/>
        </w:rPr>
        <w:t>examined</w:t>
      </w:r>
      <w:r w:rsidR="0089130E" w:rsidRPr="00EE5714">
        <w:rPr>
          <w:rFonts w:ascii="Times New Roman" w:hAnsi="Times New Roman" w:cs="Times New Roman"/>
          <w:sz w:val="26"/>
          <w:szCs w:val="26"/>
        </w:rPr>
        <w:t xml:space="preserve"> </w:t>
      </w:r>
      <w:r w:rsidR="00422320" w:rsidRPr="00EE5714">
        <w:rPr>
          <w:rFonts w:ascii="Times New Roman" w:hAnsi="Times New Roman" w:cs="Times New Roman"/>
          <w:sz w:val="26"/>
          <w:szCs w:val="26"/>
        </w:rPr>
        <w:t>in this report.  Other</w:t>
      </w:r>
      <w:r w:rsidR="00E86229" w:rsidRPr="00EE5714">
        <w:rPr>
          <w:rFonts w:ascii="Times New Roman" w:hAnsi="Times New Roman" w:cs="Times New Roman"/>
          <w:sz w:val="26"/>
          <w:szCs w:val="26"/>
        </w:rPr>
        <w:t xml:space="preserve"> studies dealt with similar topics and had findings related to </w:t>
      </w:r>
      <w:r w:rsidR="00B366B4" w:rsidRPr="00EE5714">
        <w:rPr>
          <w:rFonts w:ascii="Times New Roman" w:hAnsi="Times New Roman" w:cs="Times New Roman"/>
          <w:sz w:val="26"/>
          <w:szCs w:val="26"/>
        </w:rPr>
        <w:t>this report</w:t>
      </w:r>
      <w:r w:rsidR="00E86229" w:rsidRPr="00EE5714">
        <w:rPr>
          <w:rFonts w:ascii="Times New Roman" w:hAnsi="Times New Roman" w:cs="Times New Roman"/>
          <w:sz w:val="26"/>
          <w:szCs w:val="26"/>
        </w:rPr>
        <w:t xml:space="preserve">.  These </w:t>
      </w:r>
      <w:r w:rsidR="00556A1B" w:rsidRPr="00EE5714">
        <w:rPr>
          <w:rFonts w:ascii="Times New Roman" w:hAnsi="Times New Roman" w:cs="Times New Roman"/>
          <w:sz w:val="26"/>
          <w:szCs w:val="26"/>
        </w:rPr>
        <w:t>independent</w:t>
      </w:r>
      <w:r w:rsidR="00E86229" w:rsidRPr="00EE5714">
        <w:rPr>
          <w:rFonts w:ascii="Times New Roman" w:hAnsi="Times New Roman" w:cs="Times New Roman"/>
          <w:sz w:val="26"/>
          <w:szCs w:val="26"/>
        </w:rPr>
        <w:t xml:space="preserve"> </w:t>
      </w:r>
      <w:r w:rsidR="0042757D" w:rsidRPr="00EE5714">
        <w:rPr>
          <w:rFonts w:ascii="Times New Roman" w:hAnsi="Times New Roman" w:cs="Times New Roman"/>
          <w:sz w:val="26"/>
          <w:szCs w:val="26"/>
        </w:rPr>
        <w:t>studies</w:t>
      </w:r>
      <w:r w:rsidR="00E86229" w:rsidRPr="00EE5714">
        <w:rPr>
          <w:rFonts w:ascii="Times New Roman" w:hAnsi="Times New Roman" w:cs="Times New Roman"/>
          <w:sz w:val="26"/>
          <w:szCs w:val="26"/>
        </w:rPr>
        <w:t xml:space="preserve"> are summarized below</w:t>
      </w:r>
      <w:r w:rsidR="00422320" w:rsidRPr="00EE5714">
        <w:rPr>
          <w:rFonts w:ascii="Times New Roman" w:hAnsi="Times New Roman" w:cs="Times New Roman"/>
          <w:sz w:val="26"/>
          <w:szCs w:val="26"/>
        </w:rPr>
        <w:t>:</w:t>
      </w:r>
    </w:p>
    <w:p w14:paraId="4C018FB4" w14:textId="77777777" w:rsidR="00E86229" w:rsidRPr="00EE5714" w:rsidRDefault="00E86229" w:rsidP="007F177F">
      <w:pPr>
        <w:tabs>
          <w:tab w:val="left" w:pos="3489"/>
        </w:tabs>
        <w:spacing w:after="0" w:line="240" w:lineRule="auto"/>
        <w:contextualSpacing/>
        <w:rPr>
          <w:rFonts w:ascii="Times New Roman" w:hAnsi="Times New Roman" w:cs="Times New Roman"/>
          <w:sz w:val="26"/>
          <w:szCs w:val="26"/>
        </w:rPr>
      </w:pPr>
    </w:p>
    <w:p w14:paraId="72F2BD16" w14:textId="77777777" w:rsidR="0093755D" w:rsidRPr="00EE5714" w:rsidRDefault="0093755D" w:rsidP="009B7FE3">
      <w:pPr>
        <w:keepNext/>
        <w:tabs>
          <w:tab w:val="left" w:pos="720"/>
          <w:tab w:val="left" w:pos="3489"/>
        </w:tabs>
        <w:spacing w:after="0" w:line="240" w:lineRule="auto"/>
        <w:contextualSpacing/>
        <w:jc w:val="center"/>
        <w:rPr>
          <w:rFonts w:ascii="Times New Roman" w:hAnsi="Times New Roman" w:cs="Times New Roman"/>
          <w:b/>
          <w:i/>
          <w:sz w:val="26"/>
          <w:szCs w:val="26"/>
        </w:rPr>
      </w:pPr>
      <w:r w:rsidRPr="00EE5714">
        <w:rPr>
          <w:rFonts w:ascii="Times New Roman" w:hAnsi="Times New Roman" w:cs="Times New Roman"/>
          <w:b/>
          <w:i/>
          <w:sz w:val="26"/>
          <w:szCs w:val="26"/>
        </w:rPr>
        <w:t>The High Cost of Energy in Rural America (2018)</w:t>
      </w:r>
      <w:r w:rsidRPr="00EE5714">
        <w:rPr>
          <w:rStyle w:val="FootnoteReference"/>
          <w:rFonts w:ascii="Times New Roman" w:hAnsi="Times New Roman" w:cs="Times New Roman"/>
          <w:b/>
          <w:i/>
          <w:sz w:val="26"/>
          <w:szCs w:val="26"/>
        </w:rPr>
        <w:footnoteReference w:id="74"/>
      </w:r>
    </w:p>
    <w:p w14:paraId="654CE6E2" w14:textId="77777777" w:rsidR="0093755D" w:rsidRPr="00EE5714" w:rsidRDefault="0093755D" w:rsidP="009B7FE3">
      <w:pPr>
        <w:keepNext/>
        <w:tabs>
          <w:tab w:val="left" w:pos="720"/>
          <w:tab w:val="left" w:pos="3489"/>
        </w:tabs>
        <w:spacing w:after="0" w:line="240" w:lineRule="auto"/>
        <w:contextualSpacing/>
        <w:rPr>
          <w:rFonts w:ascii="Times New Roman" w:hAnsi="Times New Roman" w:cs="Times New Roman"/>
          <w:sz w:val="26"/>
          <w:szCs w:val="26"/>
        </w:rPr>
      </w:pPr>
    </w:p>
    <w:p w14:paraId="52424989" w14:textId="77777777" w:rsidR="0093755D" w:rsidRPr="00EE5714" w:rsidRDefault="0093755D" w:rsidP="0093755D">
      <w:pPr>
        <w:tabs>
          <w:tab w:val="left" w:pos="720"/>
          <w:tab w:val="left" w:pos="3489"/>
        </w:tab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 xml:space="preserve">This </w:t>
      </w:r>
      <w:r w:rsidR="0042757D" w:rsidRPr="00EE5714">
        <w:rPr>
          <w:rFonts w:ascii="Times New Roman" w:hAnsi="Times New Roman" w:cs="Times New Roman"/>
          <w:sz w:val="26"/>
          <w:szCs w:val="26"/>
        </w:rPr>
        <w:t>study</w:t>
      </w:r>
      <w:r w:rsidRPr="00EE5714">
        <w:rPr>
          <w:rFonts w:ascii="Times New Roman" w:hAnsi="Times New Roman" w:cs="Times New Roman"/>
          <w:sz w:val="26"/>
          <w:szCs w:val="26"/>
        </w:rPr>
        <w:t xml:space="preserve"> examines the energy burden levels for households living in rural areas in the United States.  Rural households have a higher median energy burden (4.4%) than the national median energy burden (3.3%).  Low-income households in rural areas spend the highest portion of their income on energy bills.  In the Mid-Atlantic states, the median energy burden level for these households is 9.5%.  Demographics also pay a factor in energy burden levels.  Rural elderly households have a median energy burden 44% high</w:t>
      </w:r>
      <w:r w:rsidR="00F661B6" w:rsidRPr="00EE5714">
        <w:rPr>
          <w:rFonts w:ascii="Times New Roman" w:hAnsi="Times New Roman" w:cs="Times New Roman"/>
          <w:sz w:val="26"/>
          <w:szCs w:val="26"/>
        </w:rPr>
        <w:t>er</w:t>
      </w:r>
      <w:r w:rsidRPr="00EE5714">
        <w:rPr>
          <w:rFonts w:ascii="Times New Roman" w:hAnsi="Times New Roman" w:cs="Times New Roman"/>
          <w:sz w:val="26"/>
          <w:szCs w:val="26"/>
        </w:rPr>
        <w:t xml:space="preserve"> than non-elderly households; rural renters have a median energy burden 29% higher than owners; and non-white households have a median energy burden 19% higher than white households.  Other factors, besides income level, may contribute to higher energy burden levels for rural households</w:t>
      </w:r>
      <w:r w:rsidR="00FB491C" w:rsidRPr="00EE5714">
        <w:rPr>
          <w:rFonts w:ascii="Times New Roman" w:hAnsi="Times New Roman" w:cs="Times New Roman"/>
          <w:sz w:val="26"/>
          <w:szCs w:val="26"/>
        </w:rPr>
        <w:t xml:space="preserve"> such as</w:t>
      </w:r>
      <w:r w:rsidRPr="00EE5714">
        <w:rPr>
          <w:rFonts w:ascii="Times New Roman" w:hAnsi="Times New Roman" w:cs="Times New Roman"/>
          <w:sz w:val="26"/>
          <w:szCs w:val="26"/>
        </w:rPr>
        <w:t xml:space="preserve"> the condition of the home, a household’s ability to invest in energy efficient equipment, and the availability of energy efficiency programs.  Energy efficiency upgrades were found to reduce energy burden levels up to 25%.  The study recommends, among other things, exploring low-risk or no-risk efficiency financing options, incorporating regional workshop development initiatives, and building relationships with area service providers to enhance program delivery.</w:t>
      </w:r>
    </w:p>
    <w:p w14:paraId="540BFA04" w14:textId="77777777" w:rsidR="0093755D" w:rsidRPr="00EE5714" w:rsidRDefault="0093755D" w:rsidP="007F177F">
      <w:pPr>
        <w:tabs>
          <w:tab w:val="left" w:pos="3489"/>
        </w:tabs>
        <w:spacing w:after="0" w:line="240" w:lineRule="auto"/>
        <w:contextualSpacing/>
        <w:rPr>
          <w:rFonts w:ascii="Times New Roman" w:hAnsi="Times New Roman" w:cs="Times New Roman"/>
          <w:sz w:val="26"/>
          <w:szCs w:val="26"/>
        </w:rPr>
      </w:pPr>
    </w:p>
    <w:p w14:paraId="6A833ED9" w14:textId="77777777" w:rsidR="00684E04" w:rsidRPr="00EE5714" w:rsidRDefault="00DB1ED2" w:rsidP="00C9235F">
      <w:pPr>
        <w:keepNext/>
        <w:tabs>
          <w:tab w:val="left" w:pos="720"/>
          <w:tab w:val="left" w:pos="3489"/>
        </w:tabs>
        <w:spacing w:after="0" w:line="240" w:lineRule="auto"/>
        <w:contextualSpacing/>
        <w:jc w:val="center"/>
        <w:rPr>
          <w:rFonts w:ascii="Times New Roman" w:hAnsi="Times New Roman" w:cs="Times New Roman"/>
          <w:b/>
          <w:i/>
          <w:sz w:val="26"/>
          <w:szCs w:val="26"/>
        </w:rPr>
      </w:pPr>
      <w:r w:rsidRPr="00EE5714">
        <w:rPr>
          <w:rFonts w:ascii="Times New Roman" w:hAnsi="Times New Roman" w:cs="Times New Roman"/>
          <w:b/>
          <w:i/>
          <w:sz w:val="26"/>
          <w:szCs w:val="26"/>
        </w:rPr>
        <w:t>Lifting the High Energy Burden in America’s Largest Cities</w:t>
      </w:r>
      <w:r w:rsidR="00057FDA" w:rsidRPr="00EE5714">
        <w:rPr>
          <w:rFonts w:ascii="Times New Roman" w:hAnsi="Times New Roman" w:cs="Times New Roman"/>
          <w:b/>
          <w:i/>
          <w:sz w:val="26"/>
          <w:szCs w:val="26"/>
        </w:rPr>
        <w:t xml:space="preserve"> (2016)</w:t>
      </w:r>
      <w:r w:rsidR="004648AA" w:rsidRPr="00EE5714">
        <w:rPr>
          <w:rStyle w:val="FootnoteReference"/>
          <w:rFonts w:ascii="Times New Roman" w:hAnsi="Times New Roman" w:cs="Times New Roman"/>
          <w:b/>
          <w:i/>
          <w:sz w:val="26"/>
          <w:szCs w:val="26"/>
        </w:rPr>
        <w:footnoteReference w:id="75"/>
      </w:r>
    </w:p>
    <w:p w14:paraId="480EEB0A" w14:textId="77777777" w:rsidR="00544D45" w:rsidRPr="00EE5714" w:rsidRDefault="00544D45" w:rsidP="00C9235F">
      <w:pPr>
        <w:keepNext/>
        <w:tabs>
          <w:tab w:val="left" w:pos="720"/>
          <w:tab w:val="left" w:pos="3489"/>
        </w:tabs>
        <w:spacing w:after="0" w:line="240" w:lineRule="auto"/>
        <w:contextualSpacing/>
        <w:rPr>
          <w:rFonts w:ascii="Times New Roman" w:hAnsi="Times New Roman" w:cs="Times New Roman"/>
          <w:b/>
          <w:i/>
          <w:sz w:val="26"/>
          <w:szCs w:val="26"/>
        </w:rPr>
      </w:pPr>
    </w:p>
    <w:p w14:paraId="7F5BC129" w14:textId="77777777" w:rsidR="00544D45" w:rsidRPr="00EE5714" w:rsidRDefault="00433AFB" w:rsidP="003E0541">
      <w:pPr>
        <w:tabs>
          <w:tab w:val="left" w:pos="720"/>
          <w:tab w:val="left" w:pos="3489"/>
        </w:tab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BB2836" w:rsidRPr="00EE5714">
        <w:rPr>
          <w:rFonts w:ascii="Times New Roman" w:hAnsi="Times New Roman" w:cs="Times New Roman"/>
          <w:sz w:val="26"/>
          <w:szCs w:val="26"/>
        </w:rPr>
        <w:t xml:space="preserve">This </w:t>
      </w:r>
      <w:r w:rsidR="0042757D" w:rsidRPr="00EE5714">
        <w:rPr>
          <w:rFonts w:ascii="Times New Roman" w:hAnsi="Times New Roman" w:cs="Times New Roman"/>
          <w:sz w:val="26"/>
          <w:szCs w:val="26"/>
        </w:rPr>
        <w:t xml:space="preserve">study </w:t>
      </w:r>
      <w:r w:rsidR="00BB2836" w:rsidRPr="00EE5714">
        <w:rPr>
          <w:rFonts w:ascii="Times New Roman" w:hAnsi="Times New Roman" w:cs="Times New Roman"/>
          <w:sz w:val="26"/>
          <w:szCs w:val="26"/>
        </w:rPr>
        <w:t xml:space="preserve">examined the energy burden levels </w:t>
      </w:r>
      <w:r w:rsidR="00C34570" w:rsidRPr="00EE5714">
        <w:rPr>
          <w:rFonts w:ascii="Times New Roman" w:hAnsi="Times New Roman" w:cs="Times New Roman"/>
          <w:sz w:val="26"/>
          <w:szCs w:val="26"/>
        </w:rPr>
        <w:t xml:space="preserve">of households living in </w:t>
      </w:r>
      <w:r w:rsidR="008A23AF" w:rsidRPr="00EE5714">
        <w:rPr>
          <w:rFonts w:ascii="Times New Roman" w:hAnsi="Times New Roman" w:cs="Times New Roman"/>
          <w:sz w:val="26"/>
          <w:szCs w:val="26"/>
        </w:rPr>
        <w:t xml:space="preserve">48 </w:t>
      </w:r>
      <w:r w:rsidR="00872012" w:rsidRPr="00EE5714">
        <w:rPr>
          <w:rFonts w:ascii="Times New Roman" w:hAnsi="Times New Roman" w:cs="Times New Roman"/>
          <w:sz w:val="26"/>
          <w:szCs w:val="26"/>
        </w:rPr>
        <w:t>of the largest cities across</w:t>
      </w:r>
      <w:r w:rsidR="00C34570" w:rsidRPr="00EE5714">
        <w:rPr>
          <w:rFonts w:ascii="Times New Roman" w:hAnsi="Times New Roman" w:cs="Times New Roman"/>
          <w:sz w:val="26"/>
          <w:szCs w:val="26"/>
        </w:rPr>
        <w:t xml:space="preserve"> the United States</w:t>
      </w:r>
      <w:r w:rsidR="00CC73B6" w:rsidRPr="00EE5714">
        <w:rPr>
          <w:rFonts w:ascii="Times New Roman" w:hAnsi="Times New Roman" w:cs="Times New Roman"/>
          <w:sz w:val="26"/>
          <w:szCs w:val="26"/>
        </w:rPr>
        <w:t>, including Philadelphia and Pittsburgh</w:t>
      </w:r>
      <w:r w:rsidR="00C34570" w:rsidRPr="00EE5714">
        <w:rPr>
          <w:rFonts w:ascii="Times New Roman" w:hAnsi="Times New Roman" w:cs="Times New Roman"/>
          <w:sz w:val="26"/>
          <w:szCs w:val="26"/>
        </w:rPr>
        <w:t xml:space="preserve">.  </w:t>
      </w:r>
      <w:r w:rsidR="00E60CE0" w:rsidRPr="00EE5714">
        <w:rPr>
          <w:rFonts w:ascii="Times New Roman" w:hAnsi="Times New Roman" w:cs="Times New Roman"/>
          <w:sz w:val="26"/>
          <w:szCs w:val="26"/>
        </w:rPr>
        <w:t xml:space="preserve">The median energy burden for </w:t>
      </w:r>
      <w:r w:rsidR="001A0795" w:rsidRPr="00EE5714">
        <w:rPr>
          <w:rFonts w:ascii="Times New Roman" w:hAnsi="Times New Roman" w:cs="Times New Roman"/>
          <w:sz w:val="26"/>
          <w:szCs w:val="26"/>
        </w:rPr>
        <w:t xml:space="preserve">all </w:t>
      </w:r>
      <w:r w:rsidR="00534AB3" w:rsidRPr="00EE5714">
        <w:rPr>
          <w:rFonts w:ascii="Times New Roman" w:hAnsi="Times New Roman" w:cs="Times New Roman"/>
          <w:sz w:val="26"/>
          <w:szCs w:val="26"/>
        </w:rPr>
        <w:t xml:space="preserve">households </w:t>
      </w:r>
      <w:r w:rsidR="00466734" w:rsidRPr="00EE5714">
        <w:rPr>
          <w:rFonts w:ascii="Times New Roman" w:hAnsi="Times New Roman" w:cs="Times New Roman"/>
          <w:sz w:val="26"/>
          <w:szCs w:val="26"/>
        </w:rPr>
        <w:t xml:space="preserve">in this </w:t>
      </w:r>
      <w:r w:rsidR="001A0795" w:rsidRPr="00EE5714">
        <w:rPr>
          <w:rFonts w:ascii="Times New Roman" w:hAnsi="Times New Roman" w:cs="Times New Roman"/>
          <w:sz w:val="26"/>
          <w:szCs w:val="26"/>
        </w:rPr>
        <w:t>sample</w:t>
      </w:r>
      <w:r w:rsidR="00466734" w:rsidRPr="00EE5714">
        <w:rPr>
          <w:rFonts w:ascii="Times New Roman" w:hAnsi="Times New Roman" w:cs="Times New Roman"/>
          <w:sz w:val="26"/>
          <w:szCs w:val="26"/>
        </w:rPr>
        <w:t xml:space="preserve"> </w:t>
      </w:r>
      <w:r w:rsidR="00534AB3" w:rsidRPr="00EE5714">
        <w:rPr>
          <w:rFonts w:ascii="Times New Roman" w:hAnsi="Times New Roman" w:cs="Times New Roman"/>
          <w:sz w:val="26"/>
          <w:szCs w:val="26"/>
        </w:rPr>
        <w:t xml:space="preserve">was </w:t>
      </w:r>
      <w:r w:rsidR="003271AC" w:rsidRPr="00EE5714">
        <w:rPr>
          <w:rFonts w:ascii="Times New Roman" w:hAnsi="Times New Roman" w:cs="Times New Roman"/>
          <w:sz w:val="26"/>
          <w:szCs w:val="26"/>
        </w:rPr>
        <w:t>3.5%</w:t>
      </w:r>
      <w:r w:rsidR="001A0795" w:rsidRPr="00EE5714">
        <w:rPr>
          <w:rFonts w:ascii="Times New Roman" w:hAnsi="Times New Roman" w:cs="Times New Roman"/>
          <w:sz w:val="26"/>
          <w:szCs w:val="26"/>
        </w:rPr>
        <w:t xml:space="preserve">, </w:t>
      </w:r>
      <w:r w:rsidR="00867CE6" w:rsidRPr="00EE5714">
        <w:rPr>
          <w:rFonts w:ascii="Times New Roman" w:hAnsi="Times New Roman" w:cs="Times New Roman"/>
          <w:sz w:val="26"/>
          <w:szCs w:val="26"/>
        </w:rPr>
        <w:t xml:space="preserve">but the median energy burden for low-income </w:t>
      </w:r>
      <w:r w:rsidR="00B60E01" w:rsidRPr="00EE5714">
        <w:rPr>
          <w:rFonts w:ascii="Times New Roman" w:hAnsi="Times New Roman" w:cs="Times New Roman"/>
          <w:sz w:val="26"/>
          <w:szCs w:val="26"/>
        </w:rPr>
        <w:t>households</w:t>
      </w:r>
      <w:r w:rsidR="00534C3F" w:rsidRPr="00EE5714">
        <w:rPr>
          <w:rFonts w:ascii="Times New Roman" w:hAnsi="Times New Roman" w:cs="Times New Roman"/>
          <w:sz w:val="26"/>
          <w:szCs w:val="26"/>
        </w:rPr>
        <w:t xml:space="preserve"> was more than twice as high at </w:t>
      </w:r>
      <w:r w:rsidR="008B6424" w:rsidRPr="00EE5714">
        <w:rPr>
          <w:rFonts w:ascii="Times New Roman" w:hAnsi="Times New Roman" w:cs="Times New Roman"/>
          <w:sz w:val="26"/>
          <w:szCs w:val="26"/>
        </w:rPr>
        <w:t xml:space="preserve">7.2%.  </w:t>
      </w:r>
      <w:r w:rsidR="008575E9" w:rsidRPr="00EE5714">
        <w:rPr>
          <w:rFonts w:ascii="Times New Roman" w:hAnsi="Times New Roman" w:cs="Times New Roman"/>
          <w:sz w:val="26"/>
          <w:szCs w:val="26"/>
        </w:rPr>
        <w:t xml:space="preserve">The study promotes the use of </w:t>
      </w:r>
      <w:r w:rsidR="006C6CA8" w:rsidRPr="00EE5714">
        <w:rPr>
          <w:rFonts w:ascii="Times New Roman" w:hAnsi="Times New Roman" w:cs="Times New Roman"/>
          <w:sz w:val="26"/>
          <w:szCs w:val="26"/>
        </w:rPr>
        <w:t>weatherization</w:t>
      </w:r>
      <w:r w:rsidR="008575E9" w:rsidRPr="00EE5714">
        <w:rPr>
          <w:rFonts w:ascii="Times New Roman" w:hAnsi="Times New Roman" w:cs="Times New Roman"/>
          <w:sz w:val="26"/>
          <w:szCs w:val="26"/>
        </w:rPr>
        <w:t xml:space="preserve"> programs to </w:t>
      </w:r>
      <w:r w:rsidR="009E53CF" w:rsidRPr="00EE5714">
        <w:rPr>
          <w:rFonts w:ascii="Times New Roman" w:hAnsi="Times New Roman" w:cs="Times New Roman"/>
          <w:sz w:val="26"/>
          <w:szCs w:val="26"/>
        </w:rPr>
        <w:t xml:space="preserve">help </w:t>
      </w:r>
      <w:r w:rsidR="00E80694" w:rsidRPr="00EE5714">
        <w:rPr>
          <w:rFonts w:ascii="Times New Roman" w:hAnsi="Times New Roman" w:cs="Times New Roman"/>
          <w:sz w:val="26"/>
          <w:szCs w:val="26"/>
        </w:rPr>
        <w:t>improve housing stock</w:t>
      </w:r>
      <w:r w:rsidR="0061753E" w:rsidRPr="00EE5714">
        <w:rPr>
          <w:rFonts w:ascii="Times New Roman" w:hAnsi="Times New Roman" w:cs="Times New Roman"/>
          <w:sz w:val="26"/>
          <w:szCs w:val="26"/>
        </w:rPr>
        <w:t xml:space="preserve"> for low-income households</w:t>
      </w:r>
      <w:r w:rsidR="00F92ED9" w:rsidRPr="00EE5714">
        <w:rPr>
          <w:rFonts w:ascii="Times New Roman" w:hAnsi="Times New Roman" w:cs="Times New Roman"/>
          <w:sz w:val="26"/>
          <w:szCs w:val="26"/>
        </w:rPr>
        <w:t>,</w:t>
      </w:r>
      <w:r w:rsidR="009E53CF" w:rsidRPr="00EE5714">
        <w:rPr>
          <w:rFonts w:ascii="Times New Roman" w:hAnsi="Times New Roman" w:cs="Times New Roman"/>
          <w:sz w:val="26"/>
          <w:szCs w:val="26"/>
        </w:rPr>
        <w:t xml:space="preserve"> noting that </w:t>
      </w:r>
      <w:r w:rsidR="00FA3F15" w:rsidRPr="00EE5714">
        <w:rPr>
          <w:rFonts w:ascii="Times New Roman" w:hAnsi="Times New Roman" w:cs="Times New Roman"/>
          <w:sz w:val="26"/>
          <w:szCs w:val="26"/>
        </w:rPr>
        <w:t xml:space="preserve">raising household efficiency to the median level could </w:t>
      </w:r>
      <w:r w:rsidR="00993A7B" w:rsidRPr="00EE5714">
        <w:rPr>
          <w:rFonts w:ascii="Times New Roman" w:hAnsi="Times New Roman" w:cs="Times New Roman"/>
          <w:sz w:val="26"/>
          <w:szCs w:val="26"/>
        </w:rPr>
        <w:t>reduce</w:t>
      </w:r>
      <w:r w:rsidR="009C0D85" w:rsidRPr="00EE5714">
        <w:rPr>
          <w:rFonts w:ascii="Times New Roman" w:hAnsi="Times New Roman" w:cs="Times New Roman"/>
          <w:sz w:val="26"/>
          <w:szCs w:val="26"/>
        </w:rPr>
        <w:t xml:space="preserve"> </w:t>
      </w:r>
      <w:r w:rsidR="00CD52D8" w:rsidRPr="00EE5714">
        <w:rPr>
          <w:rFonts w:ascii="Times New Roman" w:hAnsi="Times New Roman" w:cs="Times New Roman"/>
          <w:sz w:val="26"/>
          <w:szCs w:val="26"/>
        </w:rPr>
        <w:t xml:space="preserve">the energy burden level by 35%.  </w:t>
      </w:r>
      <w:r w:rsidR="00D06078" w:rsidRPr="00EE5714">
        <w:rPr>
          <w:rFonts w:ascii="Times New Roman" w:hAnsi="Times New Roman" w:cs="Times New Roman"/>
          <w:sz w:val="26"/>
          <w:szCs w:val="26"/>
        </w:rPr>
        <w:t xml:space="preserve">Benefits to </w:t>
      </w:r>
      <w:r w:rsidR="00773CD8" w:rsidRPr="00EE5714">
        <w:rPr>
          <w:rFonts w:ascii="Times New Roman" w:hAnsi="Times New Roman" w:cs="Times New Roman"/>
          <w:sz w:val="26"/>
          <w:szCs w:val="26"/>
        </w:rPr>
        <w:t>energy efficien</w:t>
      </w:r>
      <w:r w:rsidR="00880AC5" w:rsidRPr="00EE5714">
        <w:rPr>
          <w:rFonts w:ascii="Times New Roman" w:hAnsi="Times New Roman" w:cs="Times New Roman"/>
          <w:sz w:val="26"/>
          <w:szCs w:val="26"/>
        </w:rPr>
        <w:t>cy</w:t>
      </w:r>
      <w:r w:rsidR="00773CD8" w:rsidRPr="00EE5714">
        <w:rPr>
          <w:rFonts w:ascii="Times New Roman" w:hAnsi="Times New Roman" w:cs="Times New Roman"/>
          <w:sz w:val="26"/>
          <w:szCs w:val="26"/>
        </w:rPr>
        <w:t xml:space="preserve"> programs </w:t>
      </w:r>
      <w:r w:rsidR="00D06078" w:rsidRPr="00EE5714">
        <w:rPr>
          <w:rFonts w:ascii="Times New Roman" w:hAnsi="Times New Roman" w:cs="Times New Roman"/>
          <w:sz w:val="26"/>
          <w:szCs w:val="26"/>
        </w:rPr>
        <w:t xml:space="preserve">include </w:t>
      </w:r>
      <w:r w:rsidR="001128C7" w:rsidRPr="00EE5714">
        <w:rPr>
          <w:rFonts w:ascii="Times New Roman" w:hAnsi="Times New Roman" w:cs="Times New Roman"/>
          <w:sz w:val="26"/>
          <w:szCs w:val="26"/>
        </w:rPr>
        <w:t>improved health and safety</w:t>
      </w:r>
      <w:r w:rsidR="00885579" w:rsidRPr="00EE5714">
        <w:rPr>
          <w:rFonts w:ascii="Times New Roman" w:hAnsi="Times New Roman" w:cs="Times New Roman"/>
          <w:sz w:val="26"/>
          <w:szCs w:val="26"/>
        </w:rPr>
        <w:t xml:space="preserve">, reduced risk of rate increases, </w:t>
      </w:r>
      <w:r w:rsidR="008A2B1C" w:rsidRPr="00EE5714">
        <w:rPr>
          <w:rFonts w:ascii="Times New Roman" w:hAnsi="Times New Roman" w:cs="Times New Roman"/>
          <w:sz w:val="26"/>
          <w:szCs w:val="26"/>
        </w:rPr>
        <w:t xml:space="preserve">reduced costs associated with </w:t>
      </w:r>
      <w:r w:rsidR="00A1254D" w:rsidRPr="00EE5714">
        <w:rPr>
          <w:rFonts w:ascii="Times New Roman" w:hAnsi="Times New Roman" w:cs="Times New Roman"/>
          <w:sz w:val="26"/>
          <w:szCs w:val="26"/>
        </w:rPr>
        <w:t>collections</w:t>
      </w:r>
      <w:r w:rsidR="008A2B1C" w:rsidRPr="00EE5714">
        <w:rPr>
          <w:rFonts w:ascii="Times New Roman" w:hAnsi="Times New Roman" w:cs="Times New Roman"/>
          <w:sz w:val="26"/>
          <w:szCs w:val="26"/>
        </w:rPr>
        <w:t xml:space="preserve"> and shutoffs</w:t>
      </w:r>
      <w:r w:rsidR="003E55D6" w:rsidRPr="00EE5714">
        <w:rPr>
          <w:rFonts w:ascii="Times New Roman" w:hAnsi="Times New Roman" w:cs="Times New Roman"/>
          <w:sz w:val="26"/>
          <w:szCs w:val="26"/>
        </w:rPr>
        <w:t xml:space="preserve">, </w:t>
      </w:r>
      <w:r w:rsidR="00A1254D" w:rsidRPr="00EE5714">
        <w:rPr>
          <w:rFonts w:ascii="Times New Roman" w:hAnsi="Times New Roman" w:cs="Times New Roman"/>
          <w:sz w:val="26"/>
          <w:szCs w:val="26"/>
        </w:rPr>
        <w:t xml:space="preserve">and </w:t>
      </w:r>
      <w:r w:rsidR="003E55D6" w:rsidRPr="00EE5714">
        <w:rPr>
          <w:rFonts w:ascii="Times New Roman" w:hAnsi="Times New Roman" w:cs="Times New Roman"/>
          <w:sz w:val="26"/>
          <w:szCs w:val="26"/>
        </w:rPr>
        <w:t>investment in the local economy</w:t>
      </w:r>
      <w:r w:rsidR="00A1254D" w:rsidRPr="00EE5714">
        <w:rPr>
          <w:rFonts w:ascii="Times New Roman" w:hAnsi="Times New Roman" w:cs="Times New Roman"/>
          <w:sz w:val="26"/>
          <w:szCs w:val="26"/>
        </w:rPr>
        <w:t>.</w:t>
      </w:r>
      <w:r w:rsidR="00880AC5" w:rsidRPr="00EE5714">
        <w:rPr>
          <w:rFonts w:ascii="Times New Roman" w:hAnsi="Times New Roman" w:cs="Times New Roman"/>
          <w:sz w:val="26"/>
          <w:szCs w:val="26"/>
        </w:rPr>
        <w:t xml:space="preserve">  The study recommends </w:t>
      </w:r>
      <w:r w:rsidR="004D1D08" w:rsidRPr="00EE5714">
        <w:rPr>
          <w:rFonts w:ascii="Times New Roman" w:hAnsi="Times New Roman" w:cs="Times New Roman"/>
          <w:sz w:val="26"/>
          <w:szCs w:val="26"/>
        </w:rPr>
        <w:t xml:space="preserve">that utilities </w:t>
      </w:r>
      <w:r w:rsidR="002F2FB7" w:rsidRPr="00EE5714">
        <w:rPr>
          <w:rFonts w:ascii="Times New Roman" w:hAnsi="Times New Roman" w:cs="Times New Roman"/>
          <w:sz w:val="26"/>
          <w:szCs w:val="26"/>
        </w:rPr>
        <w:t xml:space="preserve">track program participation by income level, </w:t>
      </w:r>
      <w:r w:rsidR="00B32869" w:rsidRPr="00EE5714">
        <w:rPr>
          <w:rFonts w:ascii="Times New Roman" w:hAnsi="Times New Roman" w:cs="Times New Roman"/>
          <w:sz w:val="26"/>
          <w:szCs w:val="26"/>
        </w:rPr>
        <w:t>renter v</w:t>
      </w:r>
      <w:r w:rsidR="00F92ED9" w:rsidRPr="00EE5714">
        <w:rPr>
          <w:rFonts w:ascii="Times New Roman" w:hAnsi="Times New Roman" w:cs="Times New Roman"/>
          <w:sz w:val="26"/>
          <w:szCs w:val="26"/>
        </w:rPr>
        <w:t>ersu</w:t>
      </w:r>
      <w:r w:rsidR="00B32869" w:rsidRPr="00EE5714">
        <w:rPr>
          <w:rFonts w:ascii="Times New Roman" w:hAnsi="Times New Roman" w:cs="Times New Roman"/>
          <w:sz w:val="26"/>
          <w:szCs w:val="26"/>
        </w:rPr>
        <w:t>s owner, multifamily v</w:t>
      </w:r>
      <w:r w:rsidR="004D5A42" w:rsidRPr="00EE5714">
        <w:rPr>
          <w:rFonts w:ascii="Times New Roman" w:hAnsi="Times New Roman" w:cs="Times New Roman"/>
          <w:sz w:val="26"/>
          <w:szCs w:val="26"/>
        </w:rPr>
        <w:t>ersu</w:t>
      </w:r>
      <w:r w:rsidR="00B32869" w:rsidRPr="00EE5714">
        <w:rPr>
          <w:rFonts w:ascii="Times New Roman" w:hAnsi="Times New Roman" w:cs="Times New Roman"/>
          <w:sz w:val="26"/>
          <w:szCs w:val="26"/>
        </w:rPr>
        <w:t>s single family, and race/</w:t>
      </w:r>
      <w:r w:rsidR="00AB0174" w:rsidRPr="00EE5714">
        <w:rPr>
          <w:rFonts w:ascii="Times New Roman" w:hAnsi="Times New Roman" w:cs="Times New Roman"/>
          <w:sz w:val="26"/>
          <w:szCs w:val="26"/>
        </w:rPr>
        <w:t>ethnicity</w:t>
      </w:r>
      <w:r w:rsidR="00514E2B" w:rsidRPr="00EE5714">
        <w:rPr>
          <w:rFonts w:ascii="Times New Roman" w:hAnsi="Times New Roman" w:cs="Times New Roman"/>
          <w:sz w:val="26"/>
          <w:szCs w:val="26"/>
        </w:rPr>
        <w:t xml:space="preserve"> to assess </w:t>
      </w:r>
      <w:r w:rsidR="004D5A42" w:rsidRPr="00EE5714">
        <w:rPr>
          <w:rFonts w:ascii="Times New Roman" w:hAnsi="Times New Roman" w:cs="Times New Roman"/>
          <w:sz w:val="26"/>
          <w:szCs w:val="26"/>
        </w:rPr>
        <w:t xml:space="preserve">the </w:t>
      </w:r>
      <w:r w:rsidR="00514E2B" w:rsidRPr="00EE5714">
        <w:rPr>
          <w:rFonts w:ascii="Times New Roman" w:hAnsi="Times New Roman" w:cs="Times New Roman"/>
          <w:sz w:val="26"/>
          <w:szCs w:val="26"/>
        </w:rPr>
        <w:t>impact</w:t>
      </w:r>
      <w:r w:rsidR="00CC4B86" w:rsidRPr="00EE5714">
        <w:rPr>
          <w:rFonts w:ascii="Times New Roman" w:hAnsi="Times New Roman" w:cs="Times New Roman"/>
          <w:sz w:val="26"/>
          <w:szCs w:val="26"/>
        </w:rPr>
        <w:t>s</w:t>
      </w:r>
      <w:r w:rsidR="00514E2B" w:rsidRPr="00EE5714">
        <w:rPr>
          <w:rFonts w:ascii="Times New Roman" w:hAnsi="Times New Roman" w:cs="Times New Roman"/>
          <w:sz w:val="26"/>
          <w:szCs w:val="26"/>
        </w:rPr>
        <w:t xml:space="preserve"> on different segments of the population.  </w:t>
      </w:r>
      <w:r w:rsidR="00043703" w:rsidRPr="00EE5714">
        <w:rPr>
          <w:rFonts w:ascii="Times New Roman" w:hAnsi="Times New Roman" w:cs="Times New Roman"/>
          <w:sz w:val="26"/>
          <w:szCs w:val="26"/>
        </w:rPr>
        <w:t>It also recommends regulators set goals and guide</w:t>
      </w:r>
      <w:r w:rsidR="00DF7343" w:rsidRPr="00EE5714">
        <w:rPr>
          <w:rFonts w:ascii="Times New Roman" w:hAnsi="Times New Roman" w:cs="Times New Roman"/>
          <w:sz w:val="26"/>
          <w:szCs w:val="26"/>
        </w:rPr>
        <w:t xml:space="preserve">lines </w:t>
      </w:r>
      <w:r w:rsidR="00AE3D51" w:rsidRPr="00EE5714">
        <w:rPr>
          <w:rFonts w:ascii="Times New Roman" w:hAnsi="Times New Roman" w:cs="Times New Roman"/>
          <w:sz w:val="26"/>
          <w:szCs w:val="26"/>
        </w:rPr>
        <w:t xml:space="preserve">for </w:t>
      </w:r>
      <w:r w:rsidR="001A77F2" w:rsidRPr="00EE5714">
        <w:rPr>
          <w:rFonts w:ascii="Times New Roman" w:hAnsi="Times New Roman" w:cs="Times New Roman"/>
          <w:sz w:val="26"/>
          <w:szCs w:val="26"/>
        </w:rPr>
        <w:t>energy savings, cost recovery, and cost-effectiveness testing.</w:t>
      </w:r>
    </w:p>
    <w:p w14:paraId="7E0E3CA0" w14:textId="77777777" w:rsidR="00A73324" w:rsidRPr="00EE5714" w:rsidRDefault="00A73324" w:rsidP="003E0541">
      <w:pPr>
        <w:tabs>
          <w:tab w:val="left" w:pos="720"/>
          <w:tab w:val="left" w:pos="3489"/>
        </w:tabs>
        <w:spacing w:after="0" w:line="240" w:lineRule="auto"/>
        <w:contextualSpacing/>
        <w:rPr>
          <w:rFonts w:ascii="Times New Roman" w:hAnsi="Times New Roman" w:cs="Times New Roman"/>
          <w:sz w:val="26"/>
          <w:szCs w:val="26"/>
        </w:rPr>
      </w:pPr>
    </w:p>
    <w:p w14:paraId="0338B459" w14:textId="77777777" w:rsidR="00284485" w:rsidRPr="00EE5714" w:rsidRDefault="00284485" w:rsidP="000C58EE">
      <w:pPr>
        <w:keepNext/>
        <w:tabs>
          <w:tab w:val="left" w:pos="720"/>
          <w:tab w:val="left" w:pos="3489"/>
        </w:tabs>
        <w:spacing w:after="0" w:line="240" w:lineRule="auto"/>
        <w:contextualSpacing/>
        <w:jc w:val="center"/>
        <w:rPr>
          <w:rFonts w:ascii="Times New Roman" w:hAnsi="Times New Roman" w:cs="Times New Roman"/>
          <w:b/>
          <w:i/>
          <w:sz w:val="26"/>
          <w:szCs w:val="26"/>
        </w:rPr>
      </w:pPr>
      <w:r w:rsidRPr="00EE5714">
        <w:rPr>
          <w:rFonts w:ascii="Times New Roman" w:hAnsi="Times New Roman" w:cs="Times New Roman"/>
          <w:b/>
          <w:bCs/>
          <w:i/>
          <w:iCs/>
          <w:sz w:val="26"/>
          <w:szCs w:val="26"/>
        </w:rPr>
        <w:t>PPL Electric Evaluation Report (2014)</w:t>
      </w:r>
      <w:r w:rsidRPr="00EE5714">
        <w:rPr>
          <w:rStyle w:val="FootnoteReference"/>
          <w:rFonts w:ascii="Times New Roman" w:hAnsi="Times New Roman" w:cs="Times New Roman"/>
          <w:sz w:val="26"/>
          <w:szCs w:val="26"/>
        </w:rPr>
        <w:t xml:space="preserve"> </w:t>
      </w:r>
      <w:r w:rsidRPr="00EE5714">
        <w:rPr>
          <w:rStyle w:val="FootnoteReference"/>
          <w:rFonts w:ascii="Times New Roman" w:hAnsi="Times New Roman" w:cs="Times New Roman"/>
          <w:sz w:val="26"/>
          <w:szCs w:val="26"/>
        </w:rPr>
        <w:footnoteReference w:id="76"/>
      </w:r>
    </w:p>
    <w:p w14:paraId="316B754D" w14:textId="77777777" w:rsidR="00284485" w:rsidRPr="00EE5714" w:rsidRDefault="00284485" w:rsidP="00284485">
      <w:pPr>
        <w:keepNext/>
        <w:tabs>
          <w:tab w:val="left" w:pos="3489"/>
        </w:tabs>
        <w:spacing w:after="0" w:line="240" w:lineRule="auto"/>
        <w:contextualSpacing/>
        <w:rPr>
          <w:rFonts w:ascii="Times New Roman" w:hAnsi="Times New Roman" w:cs="Times New Roman"/>
          <w:sz w:val="26"/>
          <w:szCs w:val="26"/>
        </w:rPr>
      </w:pPr>
    </w:p>
    <w:p w14:paraId="740F6AD4" w14:textId="733B0099" w:rsidR="00284485" w:rsidRPr="00EE5714" w:rsidRDefault="00284485" w:rsidP="00474816">
      <w:pPr>
        <w:tabs>
          <w:tab w:val="left" w:pos="720"/>
        </w:tab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 xml:space="preserve">This </w:t>
      </w:r>
      <w:r w:rsidR="0093649B" w:rsidRPr="00EE5714">
        <w:rPr>
          <w:rFonts w:ascii="Times New Roman" w:hAnsi="Times New Roman" w:cs="Times New Roman"/>
          <w:sz w:val="26"/>
          <w:szCs w:val="26"/>
        </w:rPr>
        <w:t>study</w:t>
      </w:r>
      <w:r w:rsidRPr="00EE5714">
        <w:rPr>
          <w:rFonts w:ascii="Times New Roman" w:hAnsi="Times New Roman" w:cs="Times New Roman"/>
          <w:sz w:val="26"/>
          <w:szCs w:val="26"/>
        </w:rPr>
        <w:t xml:space="preserve"> conclude</w:t>
      </w:r>
      <w:r w:rsidR="00356073" w:rsidRPr="00EE5714">
        <w:rPr>
          <w:rFonts w:ascii="Times New Roman" w:hAnsi="Times New Roman" w:cs="Times New Roman"/>
          <w:sz w:val="26"/>
          <w:szCs w:val="26"/>
        </w:rPr>
        <w:t>d</w:t>
      </w:r>
      <w:r w:rsidRPr="00EE5714">
        <w:rPr>
          <w:rFonts w:ascii="Times New Roman" w:hAnsi="Times New Roman" w:cs="Times New Roman"/>
          <w:sz w:val="26"/>
          <w:szCs w:val="26"/>
        </w:rPr>
        <w:t xml:space="preserve"> that an energy conservation program, CARES, and a hardship fund can have a positive impact on reducing bills, increasing the ability to pay, and reducing arrearage.</w:t>
      </w:r>
    </w:p>
    <w:p w14:paraId="0E8243A0" w14:textId="77777777" w:rsidR="00F96E0C" w:rsidRPr="00EE5714" w:rsidRDefault="00F96E0C" w:rsidP="00284485">
      <w:pPr>
        <w:tabs>
          <w:tab w:val="left" w:pos="720"/>
          <w:tab w:val="left" w:pos="3489"/>
        </w:tabs>
        <w:spacing w:after="0" w:line="240" w:lineRule="auto"/>
        <w:contextualSpacing/>
        <w:rPr>
          <w:rFonts w:ascii="Times New Roman" w:hAnsi="Times New Roman" w:cs="Times New Roman"/>
          <w:sz w:val="26"/>
          <w:szCs w:val="26"/>
        </w:rPr>
      </w:pPr>
    </w:p>
    <w:p w14:paraId="3669074D" w14:textId="77777777" w:rsidR="00F96E0C" w:rsidRPr="00EE5714" w:rsidRDefault="00F96E0C" w:rsidP="00F96E0C">
      <w:pPr>
        <w:keepNext/>
        <w:tabs>
          <w:tab w:val="left" w:pos="3489"/>
        </w:tabs>
        <w:spacing w:after="0" w:line="240" w:lineRule="auto"/>
        <w:ind w:firstLine="720"/>
        <w:contextualSpacing/>
        <w:rPr>
          <w:rFonts w:ascii="Times New Roman" w:hAnsi="Times New Roman" w:cs="Times New Roman"/>
          <w:b/>
          <w:i/>
          <w:sz w:val="26"/>
          <w:szCs w:val="26"/>
        </w:rPr>
      </w:pPr>
      <w:r w:rsidRPr="00EE5714">
        <w:rPr>
          <w:rFonts w:ascii="Times New Roman" w:hAnsi="Times New Roman" w:cs="Times New Roman"/>
          <w:b/>
          <w:bCs/>
          <w:i/>
          <w:iCs/>
          <w:sz w:val="26"/>
          <w:szCs w:val="26"/>
        </w:rPr>
        <w:t>Opinion Dynamics Low-Income Assistance Program Evaluation (2013)</w:t>
      </w:r>
      <w:r w:rsidRPr="00EE5714">
        <w:rPr>
          <w:rStyle w:val="FootnoteReference"/>
          <w:rFonts w:ascii="Times New Roman" w:hAnsi="Times New Roman" w:cs="Times New Roman"/>
          <w:sz w:val="26"/>
          <w:szCs w:val="26"/>
        </w:rPr>
        <w:footnoteReference w:id="77"/>
      </w:r>
    </w:p>
    <w:p w14:paraId="7649D4F5" w14:textId="77777777" w:rsidR="00F96E0C" w:rsidRPr="00EE5714" w:rsidRDefault="00F96E0C" w:rsidP="00F96E0C">
      <w:pPr>
        <w:keepNext/>
        <w:tabs>
          <w:tab w:val="left" w:pos="3489"/>
        </w:tabs>
        <w:spacing w:after="0" w:line="240" w:lineRule="auto"/>
        <w:contextualSpacing/>
        <w:rPr>
          <w:rFonts w:ascii="Times New Roman" w:hAnsi="Times New Roman" w:cs="Times New Roman"/>
          <w:sz w:val="26"/>
          <w:szCs w:val="26"/>
        </w:rPr>
      </w:pPr>
    </w:p>
    <w:p w14:paraId="097BBFDB" w14:textId="2D309B3C" w:rsidR="00F96E0C" w:rsidRPr="00EE5714" w:rsidRDefault="00F96E0C" w:rsidP="00F96E0C">
      <w:pPr>
        <w:tabs>
          <w:tab w:val="left" w:pos="720"/>
        </w:tab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This study evaluated a</w:t>
      </w:r>
      <w:r w:rsidR="006424FD" w:rsidRPr="00EE5714">
        <w:rPr>
          <w:rFonts w:ascii="Times New Roman" w:hAnsi="Times New Roman" w:cs="Times New Roman"/>
          <w:sz w:val="26"/>
          <w:szCs w:val="26"/>
        </w:rPr>
        <w:t>n anonymous</w:t>
      </w:r>
      <w:r w:rsidRPr="00EE5714">
        <w:rPr>
          <w:rFonts w:ascii="Times New Roman" w:hAnsi="Times New Roman" w:cs="Times New Roman"/>
          <w:sz w:val="26"/>
          <w:szCs w:val="26"/>
        </w:rPr>
        <w:t xml:space="preserve"> utility’s energy assistance program </w:t>
      </w:r>
      <w:r w:rsidR="004F31D7" w:rsidRPr="00EE5714">
        <w:rPr>
          <w:rFonts w:ascii="Times New Roman" w:hAnsi="Times New Roman" w:cs="Times New Roman"/>
          <w:sz w:val="26"/>
          <w:szCs w:val="26"/>
        </w:rPr>
        <w:t xml:space="preserve">that </w:t>
      </w:r>
      <w:r w:rsidRPr="00EE5714">
        <w:rPr>
          <w:rFonts w:ascii="Times New Roman" w:hAnsi="Times New Roman" w:cs="Times New Roman"/>
          <w:sz w:val="26"/>
          <w:szCs w:val="26"/>
        </w:rPr>
        <w:t>provide</w:t>
      </w:r>
      <w:r w:rsidR="004F31D7" w:rsidRPr="00EE5714">
        <w:rPr>
          <w:rFonts w:ascii="Times New Roman" w:hAnsi="Times New Roman" w:cs="Times New Roman"/>
          <w:sz w:val="26"/>
          <w:szCs w:val="26"/>
        </w:rPr>
        <w:t>d</w:t>
      </w:r>
      <w:r w:rsidRPr="00EE5714">
        <w:rPr>
          <w:rFonts w:ascii="Times New Roman" w:hAnsi="Times New Roman" w:cs="Times New Roman"/>
          <w:sz w:val="26"/>
          <w:szCs w:val="26"/>
        </w:rPr>
        <w:t xml:space="preserve"> reduced monthly payments and debt forgiveness to payment-troubled households based on family size, income, and electric use.  The study noted that customers frequently le</w:t>
      </w:r>
      <w:r w:rsidR="009D09E5" w:rsidRPr="00EE5714">
        <w:rPr>
          <w:rFonts w:ascii="Times New Roman" w:hAnsi="Times New Roman" w:cs="Times New Roman"/>
          <w:sz w:val="26"/>
          <w:szCs w:val="26"/>
        </w:rPr>
        <w:t>ft</w:t>
      </w:r>
      <w:r w:rsidRPr="00EE5714">
        <w:rPr>
          <w:rFonts w:ascii="Times New Roman" w:hAnsi="Times New Roman" w:cs="Times New Roman"/>
          <w:sz w:val="26"/>
          <w:szCs w:val="26"/>
        </w:rPr>
        <w:t xml:space="preserve"> and re-enter</w:t>
      </w:r>
      <w:r w:rsidR="009D09E5" w:rsidRPr="00EE5714">
        <w:rPr>
          <w:rFonts w:ascii="Times New Roman" w:hAnsi="Times New Roman" w:cs="Times New Roman"/>
          <w:sz w:val="26"/>
          <w:szCs w:val="26"/>
        </w:rPr>
        <w:t>ed</w:t>
      </w:r>
      <w:r w:rsidRPr="00EE5714">
        <w:rPr>
          <w:rFonts w:ascii="Times New Roman" w:hAnsi="Times New Roman" w:cs="Times New Roman"/>
          <w:sz w:val="26"/>
          <w:szCs w:val="26"/>
        </w:rPr>
        <w:t xml:space="preserve"> the program (46% enrolled more than once).  Participants who also received LIHEAP had a 14%</w:t>
      </w:r>
      <w:r w:rsidRPr="00EE5714" w:rsidDel="006511A4">
        <w:rPr>
          <w:rFonts w:ascii="Times New Roman" w:hAnsi="Times New Roman" w:cs="Times New Roman"/>
          <w:sz w:val="26"/>
          <w:szCs w:val="26"/>
        </w:rPr>
        <w:t xml:space="preserve"> </w:t>
      </w:r>
      <w:r w:rsidRPr="00EE5714">
        <w:rPr>
          <w:rFonts w:ascii="Times New Roman" w:hAnsi="Times New Roman" w:cs="Times New Roman"/>
          <w:sz w:val="26"/>
          <w:szCs w:val="26"/>
        </w:rPr>
        <w:t>lower average on-time payment rate than non-LIHEAP participants.  Customers with lower PPAs had higher on-time payment rates, and more of these customers had on-time payment rates higher than the average.  A sampling of customers found that 81%</w:t>
      </w:r>
      <w:r w:rsidRPr="00EE5714" w:rsidDel="006511A4">
        <w:rPr>
          <w:rFonts w:ascii="Times New Roman" w:hAnsi="Times New Roman" w:cs="Times New Roman"/>
          <w:sz w:val="26"/>
          <w:szCs w:val="26"/>
        </w:rPr>
        <w:t xml:space="preserve"> </w:t>
      </w:r>
      <w:r w:rsidRPr="00EE5714">
        <w:rPr>
          <w:rFonts w:ascii="Times New Roman" w:hAnsi="Times New Roman" w:cs="Times New Roman"/>
          <w:sz w:val="26"/>
          <w:szCs w:val="26"/>
        </w:rPr>
        <w:t xml:space="preserve">of the respondents reported </w:t>
      </w:r>
      <w:proofErr w:type="gramStart"/>
      <w:r w:rsidRPr="00EE5714">
        <w:rPr>
          <w:rFonts w:ascii="Times New Roman" w:hAnsi="Times New Roman" w:cs="Times New Roman"/>
          <w:sz w:val="26"/>
          <w:szCs w:val="26"/>
        </w:rPr>
        <w:t>taking action</w:t>
      </w:r>
      <w:proofErr w:type="gramEnd"/>
      <w:r w:rsidRPr="00EE5714">
        <w:rPr>
          <w:rFonts w:ascii="Times New Roman" w:hAnsi="Times New Roman" w:cs="Times New Roman"/>
          <w:sz w:val="26"/>
          <w:szCs w:val="26"/>
        </w:rPr>
        <w:t xml:space="preserve"> to try to reduce their energy usage after enrolling in the program; 70%</w:t>
      </w:r>
      <w:r w:rsidRPr="00EE5714" w:rsidDel="006511A4">
        <w:rPr>
          <w:rFonts w:ascii="Times New Roman" w:hAnsi="Times New Roman" w:cs="Times New Roman"/>
          <w:sz w:val="26"/>
          <w:szCs w:val="26"/>
        </w:rPr>
        <w:t xml:space="preserve"> </w:t>
      </w:r>
      <w:r w:rsidRPr="00EE5714">
        <w:rPr>
          <w:rFonts w:ascii="Times New Roman" w:hAnsi="Times New Roman" w:cs="Times New Roman"/>
          <w:sz w:val="26"/>
          <w:szCs w:val="26"/>
        </w:rPr>
        <w:t>reported that their electric usage either stayed the same or increased during this period.</w:t>
      </w:r>
    </w:p>
    <w:p w14:paraId="6B7BE9FB" w14:textId="77777777" w:rsidR="009A1D24" w:rsidRPr="00EE5714" w:rsidRDefault="009A1D24" w:rsidP="00284485">
      <w:pPr>
        <w:tabs>
          <w:tab w:val="left" w:pos="720"/>
          <w:tab w:val="left" w:pos="3489"/>
        </w:tabs>
        <w:spacing w:after="0" w:line="240" w:lineRule="auto"/>
        <w:contextualSpacing/>
        <w:rPr>
          <w:rFonts w:ascii="Times New Roman" w:hAnsi="Times New Roman" w:cs="Times New Roman"/>
          <w:sz w:val="26"/>
          <w:szCs w:val="26"/>
        </w:rPr>
      </w:pPr>
    </w:p>
    <w:p w14:paraId="0BCC2F95" w14:textId="77777777" w:rsidR="009A1D24" w:rsidRPr="00EE5714" w:rsidRDefault="009A1D24" w:rsidP="000C58EE">
      <w:pPr>
        <w:keepNext/>
        <w:tabs>
          <w:tab w:val="left" w:pos="720"/>
          <w:tab w:val="left" w:pos="3489"/>
        </w:tabs>
        <w:spacing w:after="0" w:line="240" w:lineRule="auto"/>
        <w:contextualSpacing/>
        <w:jc w:val="center"/>
        <w:rPr>
          <w:rFonts w:ascii="Times New Roman" w:hAnsi="Times New Roman" w:cs="Times New Roman"/>
          <w:b/>
          <w:i/>
          <w:sz w:val="26"/>
          <w:szCs w:val="26"/>
        </w:rPr>
      </w:pPr>
      <w:r w:rsidRPr="00EE5714">
        <w:rPr>
          <w:rFonts w:ascii="Times New Roman" w:hAnsi="Times New Roman" w:cs="Times New Roman"/>
          <w:b/>
          <w:bCs/>
          <w:i/>
          <w:iCs/>
          <w:sz w:val="26"/>
          <w:szCs w:val="26"/>
        </w:rPr>
        <w:t>UGI Gas and Penn Natural Gas Evaluation Report (2012)</w:t>
      </w:r>
      <w:r w:rsidRPr="00EE5714">
        <w:rPr>
          <w:rStyle w:val="FootnoteReference"/>
          <w:rFonts w:ascii="Times New Roman" w:hAnsi="Times New Roman" w:cs="Times New Roman"/>
          <w:sz w:val="26"/>
          <w:szCs w:val="26"/>
        </w:rPr>
        <w:t xml:space="preserve"> </w:t>
      </w:r>
      <w:r w:rsidRPr="00EE5714">
        <w:rPr>
          <w:rStyle w:val="FootnoteReference"/>
          <w:rFonts w:ascii="Times New Roman" w:hAnsi="Times New Roman" w:cs="Times New Roman"/>
          <w:sz w:val="26"/>
          <w:szCs w:val="26"/>
        </w:rPr>
        <w:footnoteReference w:id="78"/>
      </w:r>
    </w:p>
    <w:p w14:paraId="334A2219" w14:textId="77777777" w:rsidR="009A1D24" w:rsidRPr="00EE5714" w:rsidRDefault="009A1D24" w:rsidP="009A1D24">
      <w:pPr>
        <w:keepNext/>
        <w:tabs>
          <w:tab w:val="left" w:pos="3489"/>
        </w:tabs>
        <w:spacing w:after="0" w:line="240" w:lineRule="auto"/>
        <w:contextualSpacing/>
        <w:rPr>
          <w:rFonts w:ascii="Times New Roman" w:hAnsi="Times New Roman" w:cs="Times New Roman"/>
          <w:sz w:val="26"/>
          <w:szCs w:val="26"/>
        </w:rPr>
      </w:pPr>
    </w:p>
    <w:p w14:paraId="3E0AF10C" w14:textId="77777777" w:rsidR="009A1D24" w:rsidRPr="00EE5714" w:rsidRDefault="009A1D24" w:rsidP="009E2919">
      <w:pPr>
        <w:tabs>
          <w:tab w:val="left" w:pos="720"/>
        </w:tab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This study concludes that CAP participation has a large impact on energy affordability, decreasing energy burden, and improving payment behavior.  On average,</w:t>
      </w:r>
      <w:r w:rsidR="005D5238" w:rsidRPr="00EE5714">
        <w:rPr>
          <w:rFonts w:ascii="Times New Roman" w:hAnsi="Times New Roman" w:cs="Times New Roman"/>
          <w:sz w:val="26"/>
          <w:szCs w:val="26"/>
        </w:rPr>
        <w:t xml:space="preserve"> </w:t>
      </w:r>
      <w:r w:rsidRPr="00EE5714">
        <w:rPr>
          <w:rFonts w:ascii="Times New Roman" w:hAnsi="Times New Roman" w:cs="Times New Roman"/>
          <w:sz w:val="26"/>
          <w:szCs w:val="26"/>
        </w:rPr>
        <w:t>energy burden</w:t>
      </w:r>
      <w:r w:rsidR="008452EF" w:rsidRPr="00EE5714">
        <w:rPr>
          <w:rFonts w:ascii="Times New Roman" w:hAnsi="Times New Roman" w:cs="Times New Roman"/>
          <w:sz w:val="26"/>
          <w:szCs w:val="26"/>
        </w:rPr>
        <w:t>s</w:t>
      </w:r>
      <w:r w:rsidRPr="00EE5714">
        <w:rPr>
          <w:rFonts w:ascii="Times New Roman" w:hAnsi="Times New Roman" w:cs="Times New Roman"/>
          <w:sz w:val="26"/>
          <w:szCs w:val="26"/>
        </w:rPr>
        <w:t xml:space="preserve"> among CAP participants decline</w:t>
      </w:r>
      <w:r w:rsidR="008452EF" w:rsidRPr="00EE5714">
        <w:rPr>
          <w:rFonts w:ascii="Times New Roman" w:hAnsi="Times New Roman" w:cs="Times New Roman"/>
          <w:sz w:val="26"/>
          <w:szCs w:val="26"/>
        </w:rPr>
        <w:t>d</w:t>
      </w:r>
      <w:r w:rsidRPr="00EE5714">
        <w:rPr>
          <w:rFonts w:ascii="Times New Roman" w:hAnsi="Times New Roman" w:cs="Times New Roman"/>
          <w:sz w:val="26"/>
          <w:szCs w:val="26"/>
        </w:rPr>
        <w:t xml:space="preserve"> from 15 to 10 percentage points</w:t>
      </w:r>
      <w:proofErr w:type="gramStart"/>
      <w:r w:rsidRPr="00EE5714">
        <w:rPr>
          <w:rFonts w:ascii="Times New Roman" w:hAnsi="Times New Roman" w:cs="Times New Roman"/>
          <w:sz w:val="26"/>
          <w:szCs w:val="26"/>
        </w:rPr>
        <w:t>.</w:t>
      </w:r>
      <w:r w:rsidR="005D5238" w:rsidRPr="00EE5714">
        <w:rPr>
          <w:rFonts w:ascii="Times New Roman" w:hAnsi="Times New Roman" w:cs="Times New Roman"/>
          <w:sz w:val="26"/>
          <w:szCs w:val="26"/>
        </w:rPr>
        <w:t xml:space="preserve"> </w:t>
      </w:r>
      <w:proofErr w:type="gramEnd"/>
      <w:r w:rsidR="005D5238" w:rsidRPr="00EE5714">
        <w:rPr>
          <w:rFonts w:ascii="Times New Roman" w:hAnsi="Times New Roman" w:cs="Times New Roman"/>
          <w:sz w:val="26"/>
          <w:szCs w:val="26"/>
        </w:rPr>
        <w:t>Compared to the pre-enrollment period</w:t>
      </w:r>
      <w:r w:rsidR="009E2919" w:rsidRPr="00EE5714">
        <w:rPr>
          <w:rFonts w:ascii="Times New Roman" w:hAnsi="Times New Roman" w:cs="Times New Roman"/>
          <w:sz w:val="26"/>
          <w:szCs w:val="26"/>
        </w:rPr>
        <w:t>,</w:t>
      </w:r>
      <w:r w:rsidRPr="00EE5714">
        <w:rPr>
          <w:rFonts w:ascii="Times New Roman" w:hAnsi="Times New Roman" w:cs="Times New Roman"/>
          <w:sz w:val="26"/>
          <w:szCs w:val="26"/>
        </w:rPr>
        <w:t xml:space="preserve"> CAP customers were nearly twice as likely to pay their bills in full compared to their payment behavior prior to enrolling in CAP.</w:t>
      </w:r>
    </w:p>
    <w:p w14:paraId="44CE3CA4" w14:textId="77777777" w:rsidR="00684E04" w:rsidRPr="00EE5714" w:rsidRDefault="00684E04" w:rsidP="003E0541">
      <w:pPr>
        <w:tabs>
          <w:tab w:val="left" w:pos="720"/>
          <w:tab w:val="left" w:pos="3489"/>
        </w:tabs>
        <w:spacing w:after="0" w:line="240" w:lineRule="auto"/>
        <w:contextualSpacing/>
        <w:rPr>
          <w:rFonts w:ascii="Times New Roman" w:hAnsi="Times New Roman" w:cs="Times New Roman"/>
          <w:i/>
          <w:sz w:val="26"/>
          <w:szCs w:val="26"/>
        </w:rPr>
      </w:pPr>
    </w:p>
    <w:p w14:paraId="36F92CE8" w14:textId="77777777" w:rsidR="00F80AE1" w:rsidRPr="00EE5714" w:rsidRDefault="009D03E2" w:rsidP="000C58EE">
      <w:pPr>
        <w:keepNext/>
        <w:tabs>
          <w:tab w:val="left" w:pos="720"/>
          <w:tab w:val="left" w:pos="3489"/>
        </w:tabs>
        <w:spacing w:after="0" w:line="240" w:lineRule="auto"/>
        <w:contextualSpacing/>
        <w:jc w:val="center"/>
        <w:rPr>
          <w:rFonts w:ascii="Times New Roman" w:hAnsi="Times New Roman" w:cs="Times New Roman"/>
          <w:b/>
          <w:i/>
          <w:sz w:val="26"/>
          <w:szCs w:val="26"/>
        </w:rPr>
      </w:pPr>
      <w:r w:rsidRPr="00EE5714">
        <w:rPr>
          <w:rFonts w:ascii="Times New Roman" w:hAnsi="Times New Roman" w:cs="Times New Roman"/>
          <w:b/>
          <w:bCs/>
          <w:i/>
          <w:iCs/>
          <w:sz w:val="26"/>
          <w:szCs w:val="26"/>
        </w:rPr>
        <w:t>Home Energy Affordability in New York: The Affordability Gap (2011)</w:t>
      </w:r>
      <w:r w:rsidR="00244588" w:rsidRPr="00EE5714">
        <w:rPr>
          <w:rStyle w:val="FootnoteReference"/>
          <w:rFonts w:ascii="Times New Roman" w:hAnsi="Times New Roman" w:cs="Times New Roman"/>
          <w:sz w:val="26"/>
          <w:szCs w:val="26"/>
        </w:rPr>
        <w:footnoteReference w:id="79"/>
      </w:r>
    </w:p>
    <w:p w14:paraId="103C8525" w14:textId="77777777" w:rsidR="009D03E2" w:rsidRPr="00EE5714" w:rsidRDefault="009D03E2" w:rsidP="000C58EE">
      <w:pPr>
        <w:keepNext/>
        <w:tabs>
          <w:tab w:val="left" w:pos="720"/>
          <w:tab w:val="left" w:pos="3489"/>
        </w:tabs>
        <w:spacing w:after="0" w:line="240" w:lineRule="auto"/>
        <w:contextualSpacing/>
        <w:rPr>
          <w:rFonts w:ascii="Times New Roman" w:hAnsi="Times New Roman" w:cs="Times New Roman"/>
          <w:b/>
          <w:i/>
          <w:sz w:val="26"/>
          <w:szCs w:val="26"/>
        </w:rPr>
      </w:pPr>
    </w:p>
    <w:p w14:paraId="7CCC8D24" w14:textId="25974C30" w:rsidR="009D03E2" w:rsidRPr="00EE5714" w:rsidRDefault="00FE779C" w:rsidP="00CD2139">
      <w:pPr>
        <w:tabs>
          <w:tab w:val="left" w:pos="720"/>
          <w:tab w:val="left" w:pos="3489"/>
        </w:tabs>
        <w:spacing w:after="0" w:line="240" w:lineRule="auto"/>
        <w:contextualSpacing/>
        <w:rPr>
          <w:rFonts w:ascii="Times New Roman" w:hAnsi="Times New Roman" w:cs="Times New Roman"/>
          <w:sz w:val="26"/>
          <w:szCs w:val="26"/>
        </w:rPr>
      </w:pPr>
      <w:r w:rsidRPr="00EE5714">
        <w:rPr>
          <w:rFonts w:ascii="Times New Roman" w:hAnsi="Times New Roman" w:cs="Times New Roman"/>
          <w:bCs/>
          <w:iCs/>
          <w:sz w:val="26"/>
          <w:szCs w:val="26"/>
        </w:rPr>
        <w:tab/>
      </w:r>
      <w:r w:rsidR="00B220F1" w:rsidRPr="00EE5714">
        <w:rPr>
          <w:rFonts w:ascii="Times New Roman" w:hAnsi="Times New Roman" w:cs="Times New Roman"/>
          <w:sz w:val="26"/>
          <w:szCs w:val="26"/>
        </w:rPr>
        <w:t xml:space="preserve">This study </w:t>
      </w:r>
      <w:r w:rsidR="00275C88" w:rsidRPr="00EE5714">
        <w:rPr>
          <w:rFonts w:ascii="Times New Roman" w:hAnsi="Times New Roman" w:cs="Times New Roman"/>
          <w:sz w:val="26"/>
          <w:szCs w:val="26"/>
        </w:rPr>
        <w:t>define</w:t>
      </w:r>
      <w:r w:rsidR="00BF0123" w:rsidRPr="00EE5714">
        <w:rPr>
          <w:rFonts w:ascii="Times New Roman" w:hAnsi="Times New Roman" w:cs="Times New Roman"/>
          <w:sz w:val="26"/>
          <w:szCs w:val="26"/>
        </w:rPr>
        <w:t>d</w:t>
      </w:r>
      <w:r w:rsidR="00275C88" w:rsidRPr="00EE5714">
        <w:rPr>
          <w:rFonts w:ascii="Times New Roman" w:hAnsi="Times New Roman" w:cs="Times New Roman"/>
          <w:sz w:val="26"/>
          <w:szCs w:val="26"/>
        </w:rPr>
        <w:t xml:space="preserve"> an </w:t>
      </w:r>
      <w:r w:rsidR="00793547" w:rsidRPr="00EE5714">
        <w:rPr>
          <w:rFonts w:ascii="Times New Roman" w:hAnsi="Times New Roman" w:cs="Times New Roman"/>
          <w:sz w:val="26"/>
          <w:szCs w:val="26"/>
        </w:rPr>
        <w:t>“</w:t>
      </w:r>
      <w:r w:rsidR="00275C88" w:rsidRPr="00EE5714">
        <w:rPr>
          <w:rFonts w:ascii="Times New Roman" w:hAnsi="Times New Roman" w:cs="Times New Roman"/>
          <w:sz w:val="26"/>
          <w:szCs w:val="26"/>
        </w:rPr>
        <w:t>affordable</w:t>
      </w:r>
      <w:r w:rsidR="00793547" w:rsidRPr="00EE5714">
        <w:rPr>
          <w:rFonts w:ascii="Times New Roman" w:hAnsi="Times New Roman" w:cs="Times New Roman"/>
          <w:sz w:val="26"/>
          <w:szCs w:val="26"/>
        </w:rPr>
        <w:t>”</w:t>
      </w:r>
      <w:r w:rsidR="00275C88" w:rsidRPr="00EE5714">
        <w:rPr>
          <w:rFonts w:ascii="Times New Roman" w:hAnsi="Times New Roman" w:cs="Times New Roman"/>
          <w:sz w:val="26"/>
          <w:szCs w:val="26"/>
        </w:rPr>
        <w:t xml:space="preserve"> energy burden as 6%</w:t>
      </w:r>
      <w:r w:rsidR="00C17F64" w:rsidRPr="00EE5714">
        <w:rPr>
          <w:rFonts w:ascii="Times New Roman" w:hAnsi="Times New Roman" w:cs="Times New Roman"/>
          <w:sz w:val="26"/>
          <w:szCs w:val="26"/>
        </w:rPr>
        <w:t xml:space="preserve">, based on the </w:t>
      </w:r>
      <w:r w:rsidR="00635423" w:rsidRPr="00EE5714">
        <w:rPr>
          <w:rFonts w:ascii="Times New Roman" w:hAnsi="Times New Roman" w:cs="Times New Roman"/>
          <w:sz w:val="26"/>
          <w:szCs w:val="26"/>
        </w:rPr>
        <w:t>theory</w:t>
      </w:r>
      <w:r w:rsidR="00C17F64" w:rsidRPr="00EE5714">
        <w:rPr>
          <w:rFonts w:ascii="Times New Roman" w:hAnsi="Times New Roman" w:cs="Times New Roman"/>
          <w:sz w:val="26"/>
          <w:szCs w:val="26"/>
        </w:rPr>
        <w:t xml:space="preserve"> that </w:t>
      </w:r>
      <w:r w:rsidR="00CE5CFC" w:rsidRPr="00EE5714">
        <w:rPr>
          <w:rFonts w:ascii="Times New Roman" w:hAnsi="Times New Roman" w:cs="Times New Roman"/>
          <w:sz w:val="26"/>
          <w:szCs w:val="26"/>
        </w:rPr>
        <w:t xml:space="preserve">shelter costs should not </w:t>
      </w:r>
      <w:r w:rsidR="00773234" w:rsidRPr="00EE5714">
        <w:rPr>
          <w:rFonts w:ascii="Times New Roman" w:hAnsi="Times New Roman" w:cs="Times New Roman"/>
          <w:sz w:val="26"/>
          <w:szCs w:val="26"/>
        </w:rPr>
        <w:t xml:space="preserve">exceed 30% of household income and </w:t>
      </w:r>
      <w:r w:rsidR="00635423" w:rsidRPr="00EE5714">
        <w:rPr>
          <w:rFonts w:ascii="Times New Roman" w:hAnsi="Times New Roman" w:cs="Times New Roman"/>
          <w:sz w:val="26"/>
          <w:szCs w:val="26"/>
        </w:rPr>
        <w:t xml:space="preserve">that </w:t>
      </w:r>
      <w:r w:rsidR="002833A5" w:rsidRPr="00EE5714">
        <w:rPr>
          <w:rFonts w:ascii="Times New Roman" w:hAnsi="Times New Roman" w:cs="Times New Roman"/>
          <w:sz w:val="26"/>
          <w:szCs w:val="26"/>
        </w:rPr>
        <w:t>utility costs should not exceed 20% of shelter costs.</w:t>
      </w:r>
      <w:r w:rsidR="00773234" w:rsidRPr="00EE5714">
        <w:rPr>
          <w:rFonts w:ascii="Times New Roman" w:hAnsi="Times New Roman" w:cs="Times New Roman"/>
          <w:sz w:val="26"/>
          <w:szCs w:val="26"/>
        </w:rPr>
        <w:t xml:space="preserve">  </w:t>
      </w:r>
      <w:r w:rsidR="00247B74" w:rsidRPr="00EE5714">
        <w:rPr>
          <w:rFonts w:ascii="Times New Roman" w:hAnsi="Times New Roman" w:cs="Times New Roman"/>
          <w:sz w:val="26"/>
          <w:szCs w:val="26"/>
        </w:rPr>
        <w:t xml:space="preserve">20% of 30% is 6%.  </w:t>
      </w:r>
      <w:r w:rsidR="00323DD5" w:rsidRPr="00EE5714">
        <w:rPr>
          <w:rFonts w:ascii="Times New Roman" w:hAnsi="Times New Roman" w:cs="Times New Roman"/>
          <w:sz w:val="26"/>
          <w:szCs w:val="26"/>
        </w:rPr>
        <w:t xml:space="preserve">Based on this </w:t>
      </w:r>
      <w:r w:rsidR="00CB40E2" w:rsidRPr="00EE5714">
        <w:rPr>
          <w:rFonts w:ascii="Times New Roman" w:hAnsi="Times New Roman" w:cs="Times New Roman"/>
          <w:sz w:val="26"/>
          <w:szCs w:val="26"/>
        </w:rPr>
        <w:t xml:space="preserve">measure, </w:t>
      </w:r>
      <w:r w:rsidR="00FC50BA" w:rsidRPr="00EE5714">
        <w:rPr>
          <w:rFonts w:ascii="Times New Roman" w:hAnsi="Times New Roman" w:cs="Times New Roman"/>
          <w:sz w:val="26"/>
          <w:szCs w:val="26"/>
        </w:rPr>
        <w:t>the study</w:t>
      </w:r>
      <w:r w:rsidR="00FB701B" w:rsidRPr="00EE5714">
        <w:rPr>
          <w:rFonts w:ascii="Times New Roman" w:hAnsi="Times New Roman" w:cs="Times New Roman"/>
          <w:sz w:val="26"/>
          <w:szCs w:val="26"/>
        </w:rPr>
        <w:t xml:space="preserve"> examine</w:t>
      </w:r>
      <w:r w:rsidR="00BF0123" w:rsidRPr="00EE5714">
        <w:rPr>
          <w:rFonts w:ascii="Times New Roman" w:hAnsi="Times New Roman" w:cs="Times New Roman"/>
          <w:sz w:val="26"/>
          <w:szCs w:val="26"/>
        </w:rPr>
        <w:t>d</w:t>
      </w:r>
      <w:r w:rsidR="00FB701B" w:rsidRPr="00EE5714">
        <w:rPr>
          <w:rFonts w:ascii="Times New Roman" w:hAnsi="Times New Roman" w:cs="Times New Roman"/>
          <w:sz w:val="26"/>
          <w:szCs w:val="26"/>
        </w:rPr>
        <w:t xml:space="preserve"> the energy affordability of </w:t>
      </w:r>
      <w:r w:rsidR="008455EE" w:rsidRPr="00EE5714">
        <w:rPr>
          <w:rFonts w:ascii="Times New Roman" w:hAnsi="Times New Roman" w:cs="Times New Roman"/>
          <w:sz w:val="26"/>
          <w:szCs w:val="26"/>
        </w:rPr>
        <w:t xml:space="preserve">New York </w:t>
      </w:r>
      <w:r w:rsidR="00162ECB" w:rsidRPr="00EE5714">
        <w:rPr>
          <w:rFonts w:ascii="Times New Roman" w:hAnsi="Times New Roman" w:cs="Times New Roman"/>
          <w:sz w:val="26"/>
          <w:szCs w:val="26"/>
        </w:rPr>
        <w:t>households</w:t>
      </w:r>
      <w:r w:rsidR="008455EE" w:rsidRPr="00EE5714">
        <w:rPr>
          <w:rFonts w:ascii="Times New Roman" w:hAnsi="Times New Roman" w:cs="Times New Roman"/>
          <w:sz w:val="26"/>
          <w:szCs w:val="26"/>
        </w:rPr>
        <w:t xml:space="preserve">.  </w:t>
      </w:r>
      <w:r w:rsidR="00F542B7" w:rsidRPr="00EE5714">
        <w:rPr>
          <w:rFonts w:ascii="Times New Roman" w:hAnsi="Times New Roman" w:cs="Times New Roman"/>
          <w:sz w:val="26"/>
          <w:szCs w:val="26"/>
        </w:rPr>
        <w:t xml:space="preserve">Among other things, the study found </w:t>
      </w:r>
      <w:r w:rsidR="00166B9A" w:rsidRPr="00EE5714">
        <w:rPr>
          <w:rFonts w:ascii="Times New Roman" w:hAnsi="Times New Roman" w:cs="Times New Roman"/>
          <w:sz w:val="26"/>
          <w:szCs w:val="26"/>
        </w:rPr>
        <w:t>demographic</w:t>
      </w:r>
      <w:r w:rsidR="00A3756E" w:rsidRPr="00EE5714">
        <w:rPr>
          <w:rFonts w:ascii="Times New Roman" w:hAnsi="Times New Roman" w:cs="Times New Roman"/>
          <w:sz w:val="26"/>
          <w:szCs w:val="26"/>
        </w:rPr>
        <w:t xml:space="preserve"> patterns </w:t>
      </w:r>
      <w:r w:rsidR="00BF0123" w:rsidRPr="00EE5714">
        <w:rPr>
          <w:rFonts w:ascii="Times New Roman" w:hAnsi="Times New Roman" w:cs="Times New Roman"/>
          <w:sz w:val="26"/>
          <w:szCs w:val="26"/>
        </w:rPr>
        <w:t xml:space="preserve">correlated </w:t>
      </w:r>
      <w:r w:rsidR="00A3756E" w:rsidRPr="00EE5714">
        <w:rPr>
          <w:rFonts w:ascii="Times New Roman" w:hAnsi="Times New Roman" w:cs="Times New Roman"/>
          <w:sz w:val="26"/>
          <w:szCs w:val="26"/>
        </w:rPr>
        <w:t>to energy affor</w:t>
      </w:r>
      <w:r w:rsidR="00804718" w:rsidRPr="00EE5714">
        <w:rPr>
          <w:rFonts w:ascii="Times New Roman" w:hAnsi="Times New Roman" w:cs="Times New Roman"/>
          <w:sz w:val="26"/>
          <w:szCs w:val="26"/>
        </w:rPr>
        <w:t>dability, including age</w:t>
      </w:r>
      <w:r w:rsidR="00040791" w:rsidRPr="00EE5714">
        <w:rPr>
          <w:rFonts w:ascii="Times New Roman" w:hAnsi="Times New Roman" w:cs="Times New Roman"/>
          <w:sz w:val="26"/>
          <w:szCs w:val="26"/>
        </w:rPr>
        <w:t>, education, and gender.</w:t>
      </w:r>
      <w:r w:rsidR="00804718" w:rsidRPr="00EE5714">
        <w:rPr>
          <w:rFonts w:ascii="Times New Roman" w:hAnsi="Times New Roman" w:cs="Times New Roman"/>
          <w:sz w:val="26"/>
          <w:szCs w:val="26"/>
        </w:rPr>
        <w:t xml:space="preserve">  E</w:t>
      </w:r>
      <w:r w:rsidR="00D504A0" w:rsidRPr="00EE5714">
        <w:rPr>
          <w:rFonts w:ascii="Times New Roman" w:hAnsi="Times New Roman" w:cs="Times New Roman"/>
          <w:sz w:val="26"/>
          <w:szCs w:val="26"/>
        </w:rPr>
        <w:t>lderly</w:t>
      </w:r>
      <w:r w:rsidR="00486BF2" w:rsidRPr="00EE5714">
        <w:rPr>
          <w:rFonts w:ascii="Times New Roman" w:hAnsi="Times New Roman" w:cs="Times New Roman"/>
          <w:sz w:val="26"/>
          <w:szCs w:val="26"/>
        </w:rPr>
        <w:t xml:space="preserve"> </w:t>
      </w:r>
      <w:r w:rsidR="00486911" w:rsidRPr="00EE5714">
        <w:rPr>
          <w:rFonts w:ascii="Times New Roman" w:hAnsi="Times New Roman" w:cs="Times New Roman"/>
          <w:sz w:val="26"/>
          <w:szCs w:val="26"/>
        </w:rPr>
        <w:t xml:space="preserve">households </w:t>
      </w:r>
      <w:r w:rsidR="009B20E9" w:rsidRPr="00EE5714">
        <w:rPr>
          <w:rFonts w:ascii="Times New Roman" w:hAnsi="Times New Roman" w:cs="Times New Roman"/>
          <w:sz w:val="26"/>
          <w:szCs w:val="26"/>
        </w:rPr>
        <w:t xml:space="preserve">were found to </w:t>
      </w:r>
      <w:r w:rsidR="002D7F19" w:rsidRPr="00EE5714">
        <w:rPr>
          <w:rFonts w:ascii="Times New Roman" w:hAnsi="Times New Roman" w:cs="Times New Roman"/>
          <w:sz w:val="26"/>
          <w:szCs w:val="26"/>
        </w:rPr>
        <w:t>have</w:t>
      </w:r>
      <w:r w:rsidR="009B20E9" w:rsidRPr="00EE5714">
        <w:rPr>
          <w:rFonts w:ascii="Times New Roman" w:hAnsi="Times New Roman" w:cs="Times New Roman"/>
          <w:sz w:val="26"/>
          <w:szCs w:val="26"/>
        </w:rPr>
        <w:t xml:space="preserve"> </w:t>
      </w:r>
      <w:r w:rsidR="00486911" w:rsidRPr="00EE5714">
        <w:rPr>
          <w:rFonts w:ascii="Times New Roman" w:hAnsi="Times New Roman" w:cs="Times New Roman"/>
          <w:sz w:val="26"/>
          <w:szCs w:val="26"/>
        </w:rPr>
        <w:t>smaller family sizes and less income</w:t>
      </w:r>
      <w:r w:rsidR="00CE3BA7" w:rsidRPr="00EE5714">
        <w:rPr>
          <w:rFonts w:ascii="Times New Roman" w:hAnsi="Times New Roman" w:cs="Times New Roman"/>
          <w:sz w:val="26"/>
          <w:szCs w:val="26"/>
        </w:rPr>
        <w:t>; t</w:t>
      </w:r>
      <w:r w:rsidR="000B3FBE" w:rsidRPr="00EE5714">
        <w:rPr>
          <w:rFonts w:ascii="Times New Roman" w:hAnsi="Times New Roman" w:cs="Times New Roman"/>
          <w:sz w:val="26"/>
          <w:szCs w:val="26"/>
        </w:rPr>
        <w:t>wo-thirds of me</w:t>
      </w:r>
      <w:r w:rsidR="009B20E9" w:rsidRPr="00EE5714">
        <w:rPr>
          <w:rFonts w:ascii="Times New Roman" w:hAnsi="Times New Roman" w:cs="Times New Roman"/>
          <w:sz w:val="26"/>
          <w:szCs w:val="26"/>
        </w:rPr>
        <w:t xml:space="preserve">n and women </w:t>
      </w:r>
      <w:r w:rsidR="00CD041B" w:rsidRPr="00EE5714">
        <w:rPr>
          <w:rFonts w:ascii="Times New Roman" w:hAnsi="Times New Roman" w:cs="Times New Roman"/>
          <w:sz w:val="26"/>
          <w:szCs w:val="26"/>
        </w:rPr>
        <w:t xml:space="preserve">living below the poverty level had </w:t>
      </w:r>
      <w:r w:rsidR="0080777C" w:rsidRPr="00EE5714">
        <w:rPr>
          <w:rFonts w:ascii="Times New Roman" w:hAnsi="Times New Roman" w:cs="Times New Roman"/>
          <w:sz w:val="26"/>
          <w:szCs w:val="26"/>
        </w:rPr>
        <w:t xml:space="preserve">only a high </w:t>
      </w:r>
      <w:r w:rsidR="0080777C" w:rsidRPr="00EE5714">
        <w:rPr>
          <w:rFonts w:ascii="Times New Roman" w:hAnsi="Times New Roman" w:cs="Times New Roman"/>
          <w:sz w:val="26"/>
          <w:szCs w:val="26"/>
        </w:rPr>
        <w:lastRenderedPageBreak/>
        <w:t>school d</w:t>
      </w:r>
      <w:r w:rsidR="00FA093A" w:rsidRPr="00EE5714">
        <w:rPr>
          <w:rFonts w:ascii="Times New Roman" w:hAnsi="Times New Roman" w:cs="Times New Roman"/>
          <w:sz w:val="26"/>
          <w:szCs w:val="26"/>
        </w:rPr>
        <w:t>iploma</w:t>
      </w:r>
      <w:r w:rsidR="0080777C" w:rsidRPr="00EE5714">
        <w:rPr>
          <w:rFonts w:ascii="Times New Roman" w:hAnsi="Times New Roman" w:cs="Times New Roman"/>
          <w:sz w:val="26"/>
          <w:szCs w:val="26"/>
        </w:rPr>
        <w:t xml:space="preserve"> or less</w:t>
      </w:r>
      <w:r w:rsidR="00CE3BA7" w:rsidRPr="00EE5714">
        <w:rPr>
          <w:rFonts w:ascii="Times New Roman" w:hAnsi="Times New Roman" w:cs="Times New Roman"/>
          <w:sz w:val="26"/>
          <w:szCs w:val="26"/>
        </w:rPr>
        <w:t xml:space="preserve">; and </w:t>
      </w:r>
      <w:r w:rsidR="006869E4" w:rsidRPr="00EE5714">
        <w:rPr>
          <w:rFonts w:ascii="Times New Roman" w:hAnsi="Times New Roman" w:cs="Times New Roman"/>
          <w:sz w:val="26"/>
          <w:szCs w:val="26"/>
        </w:rPr>
        <w:t>a</w:t>
      </w:r>
      <w:r w:rsidR="00AB1202" w:rsidRPr="00EE5714">
        <w:rPr>
          <w:rFonts w:ascii="Times New Roman" w:hAnsi="Times New Roman" w:cs="Times New Roman"/>
          <w:sz w:val="26"/>
          <w:szCs w:val="26"/>
        </w:rPr>
        <w:t xml:space="preserve">pproximately </w:t>
      </w:r>
      <w:r w:rsidR="0081340A" w:rsidRPr="00EE5714">
        <w:rPr>
          <w:rFonts w:ascii="Times New Roman" w:hAnsi="Times New Roman" w:cs="Times New Roman"/>
          <w:sz w:val="26"/>
          <w:szCs w:val="26"/>
        </w:rPr>
        <w:t xml:space="preserve">11% of men </w:t>
      </w:r>
      <w:r w:rsidR="00141418" w:rsidRPr="00EE5714">
        <w:rPr>
          <w:rFonts w:ascii="Times New Roman" w:hAnsi="Times New Roman" w:cs="Times New Roman"/>
          <w:sz w:val="26"/>
          <w:szCs w:val="26"/>
        </w:rPr>
        <w:t xml:space="preserve">with full-time jobs </w:t>
      </w:r>
      <w:r w:rsidR="0081340A" w:rsidRPr="00EE5714">
        <w:rPr>
          <w:rFonts w:ascii="Times New Roman" w:hAnsi="Times New Roman" w:cs="Times New Roman"/>
          <w:sz w:val="26"/>
          <w:szCs w:val="26"/>
        </w:rPr>
        <w:t xml:space="preserve">live in poverty, compared to </w:t>
      </w:r>
      <w:r w:rsidR="00811F55" w:rsidRPr="00EE5714">
        <w:rPr>
          <w:rFonts w:ascii="Times New Roman" w:hAnsi="Times New Roman" w:cs="Times New Roman"/>
          <w:sz w:val="26"/>
          <w:szCs w:val="26"/>
        </w:rPr>
        <w:t>6.5% of women</w:t>
      </w:r>
      <w:r w:rsidR="0080777C" w:rsidRPr="00EE5714">
        <w:rPr>
          <w:rFonts w:ascii="Times New Roman" w:hAnsi="Times New Roman" w:cs="Times New Roman"/>
          <w:sz w:val="26"/>
          <w:szCs w:val="26"/>
        </w:rPr>
        <w:t>.</w:t>
      </w:r>
      <w:r w:rsidR="00CE3BA7" w:rsidRPr="00EE5714">
        <w:rPr>
          <w:rFonts w:ascii="Times New Roman" w:hAnsi="Times New Roman" w:cs="Times New Roman"/>
          <w:sz w:val="26"/>
          <w:szCs w:val="26"/>
        </w:rPr>
        <w:t xml:space="preserve">  </w:t>
      </w:r>
    </w:p>
    <w:p w14:paraId="4E4FA0D4" w14:textId="77777777" w:rsidR="00EC11BC" w:rsidRPr="00EE5714" w:rsidRDefault="00EC11BC" w:rsidP="00CD2139">
      <w:pPr>
        <w:tabs>
          <w:tab w:val="left" w:pos="720"/>
          <w:tab w:val="left" w:pos="3489"/>
        </w:tabs>
        <w:spacing w:after="0" w:line="240" w:lineRule="auto"/>
        <w:contextualSpacing/>
        <w:rPr>
          <w:rFonts w:ascii="Times New Roman" w:hAnsi="Times New Roman" w:cs="Times New Roman"/>
          <w:sz w:val="26"/>
          <w:szCs w:val="26"/>
        </w:rPr>
      </w:pPr>
    </w:p>
    <w:p w14:paraId="5FD9BD81" w14:textId="77777777" w:rsidR="00D43E26" w:rsidRPr="00EE5714" w:rsidRDefault="00D56580" w:rsidP="00677B1A">
      <w:pPr>
        <w:keepNext/>
        <w:tabs>
          <w:tab w:val="left" w:pos="720"/>
          <w:tab w:val="left" w:pos="3489"/>
        </w:tabs>
        <w:spacing w:after="0" w:line="240" w:lineRule="auto"/>
        <w:contextualSpacing/>
        <w:rPr>
          <w:rFonts w:ascii="Times New Roman" w:hAnsi="Times New Roman" w:cs="Times New Roman"/>
          <w:b/>
          <w:i/>
          <w:sz w:val="26"/>
          <w:szCs w:val="26"/>
        </w:rPr>
      </w:pPr>
      <w:r w:rsidRPr="00EE5714">
        <w:rPr>
          <w:rFonts w:ascii="Times New Roman" w:hAnsi="Times New Roman" w:cs="Times New Roman"/>
          <w:b/>
          <w:i/>
          <w:sz w:val="26"/>
          <w:szCs w:val="26"/>
        </w:rPr>
        <w:tab/>
      </w:r>
      <w:r w:rsidR="00E86229" w:rsidRPr="00EE5714">
        <w:rPr>
          <w:rFonts w:ascii="Times New Roman" w:hAnsi="Times New Roman" w:cs="Times New Roman"/>
          <w:b/>
          <w:bCs/>
          <w:i/>
          <w:iCs/>
          <w:sz w:val="26"/>
          <w:szCs w:val="26"/>
        </w:rPr>
        <w:t>Allegheny Power Universal Services Evaluation Report (2010)</w:t>
      </w:r>
      <w:r w:rsidR="00645B28" w:rsidRPr="00EE5714">
        <w:rPr>
          <w:rStyle w:val="FootnoteReference"/>
          <w:rFonts w:ascii="Times New Roman" w:hAnsi="Times New Roman" w:cs="Times New Roman"/>
          <w:sz w:val="26"/>
          <w:szCs w:val="26"/>
        </w:rPr>
        <w:t xml:space="preserve"> </w:t>
      </w:r>
      <w:r w:rsidR="00645B28" w:rsidRPr="00EE5714">
        <w:rPr>
          <w:rStyle w:val="FootnoteReference"/>
          <w:rFonts w:ascii="Times New Roman" w:hAnsi="Times New Roman" w:cs="Times New Roman"/>
          <w:sz w:val="26"/>
          <w:szCs w:val="26"/>
        </w:rPr>
        <w:footnoteReference w:id="80"/>
      </w:r>
    </w:p>
    <w:p w14:paraId="3F47EB8F" w14:textId="77777777" w:rsidR="0056204D" w:rsidRPr="00EE5714" w:rsidRDefault="0056204D" w:rsidP="00D56580">
      <w:pPr>
        <w:keepNext/>
        <w:tabs>
          <w:tab w:val="left" w:pos="3489"/>
        </w:tabs>
        <w:spacing w:after="0" w:line="240" w:lineRule="auto"/>
        <w:contextualSpacing/>
        <w:rPr>
          <w:rFonts w:ascii="Times New Roman" w:hAnsi="Times New Roman" w:cs="Times New Roman"/>
          <w:i/>
          <w:sz w:val="26"/>
          <w:szCs w:val="26"/>
        </w:rPr>
      </w:pPr>
    </w:p>
    <w:p w14:paraId="4524A3CB" w14:textId="1B04DF90" w:rsidR="00E86229" w:rsidRPr="00EE5714" w:rsidRDefault="00D237D4" w:rsidP="00D56580">
      <w:pPr>
        <w:tabs>
          <w:tab w:val="left" w:pos="720"/>
        </w:tab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E86229" w:rsidRPr="00EE5714">
        <w:rPr>
          <w:rFonts w:ascii="Times New Roman" w:hAnsi="Times New Roman" w:cs="Times New Roman"/>
          <w:sz w:val="26"/>
          <w:szCs w:val="26"/>
        </w:rPr>
        <w:t xml:space="preserve">This </w:t>
      </w:r>
      <w:r w:rsidR="00EC11BC" w:rsidRPr="00EE5714">
        <w:rPr>
          <w:rFonts w:ascii="Times New Roman" w:hAnsi="Times New Roman" w:cs="Times New Roman"/>
          <w:sz w:val="26"/>
          <w:szCs w:val="26"/>
        </w:rPr>
        <w:t>study</w:t>
      </w:r>
      <w:r w:rsidR="002D2C3C" w:rsidRPr="00EE5714">
        <w:rPr>
          <w:rFonts w:ascii="Times New Roman" w:hAnsi="Times New Roman" w:cs="Times New Roman"/>
          <w:sz w:val="26"/>
          <w:szCs w:val="26"/>
        </w:rPr>
        <w:t xml:space="preserve"> </w:t>
      </w:r>
      <w:r w:rsidR="00E86229" w:rsidRPr="00EE5714">
        <w:rPr>
          <w:rFonts w:ascii="Times New Roman" w:hAnsi="Times New Roman" w:cs="Times New Roman"/>
          <w:sz w:val="26"/>
          <w:szCs w:val="26"/>
        </w:rPr>
        <w:t>f</w:t>
      </w:r>
      <w:r w:rsidR="00C7427B" w:rsidRPr="00EE5714">
        <w:rPr>
          <w:rFonts w:ascii="Times New Roman" w:hAnsi="Times New Roman" w:cs="Times New Roman"/>
          <w:sz w:val="26"/>
          <w:szCs w:val="26"/>
        </w:rPr>
        <w:t>ound</w:t>
      </w:r>
      <w:r w:rsidR="00E86229" w:rsidRPr="00EE5714">
        <w:rPr>
          <w:rFonts w:ascii="Times New Roman" w:hAnsi="Times New Roman" w:cs="Times New Roman"/>
          <w:sz w:val="26"/>
          <w:szCs w:val="26"/>
        </w:rPr>
        <w:t xml:space="preserve"> that participation in CAP improve</w:t>
      </w:r>
      <w:r w:rsidR="00D84BA6" w:rsidRPr="00EE5714">
        <w:rPr>
          <w:rFonts w:ascii="Times New Roman" w:hAnsi="Times New Roman" w:cs="Times New Roman"/>
          <w:sz w:val="26"/>
          <w:szCs w:val="26"/>
        </w:rPr>
        <w:t>d</w:t>
      </w:r>
      <w:r w:rsidR="00E86229" w:rsidRPr="00EE5714">
        <w:rPr>
          <w:rFonts w:ascii="Times New Roman" w:hAnsi="Times New Roman" w:cs="Times New Roman"/>
          <w:sz w:val="26"/>
          <w:szCs w:val="26"/>
        </w:rPr>
        <w:t xml:space="preserve"> payment behavior</w:t>
      </w:r>
      <w:r w:rsidR="00D84BA6" w:rsidRPr="00EE5714">
        <w:rPr>
          <w:rFonts w:ascii="Times New Roman" w:hAnsi="Times New Roman" w:cs="Times New Roman"/>
          <w:sz w:val="26"/>
          <w:szCs w:val="26"/>
        </w:rPr>
        <w:t>;</w:t>
      </w:r>
      <w:r w:rsidR="00E86229" w:rsidRPr="00EE5714">
        <w:rPr>
          <w:rFonts w:ascii="Times New Roman" w:hAnsi="Times New Roman" w:cs="Times New Roman"/>
          <w:sz w:val="26"/>
          <w:szCs w:val="26"/>
        </w:rPr>
        <w:t xml:space="preserve"> the average number of </w:t>
      </w:r>
      <w:r w:rsidR="0053222F" w:rsidRPr="00EE5714">
        <w:rPr>
          <w:rFonts w:ascii="Times New Roman" w:hAnsi="Times New Roman" w:cs="Times New Roman"/>
          <w:sz w:val="26"/>
          <w:szCs w:val="26"/>
        </w:rPr>
        <w:t xml:space="preserve">monthly </w:t>
      </w:r>
      <w:r w:rsidR="00E9532A" w:rsidRPr="00EE5714">
        <w:rPr>
          <w:rFonts w:ascii="Times New Roman" w:hAnsi="Times New Roman" w:cs="Times New Roman"/>
          <w:sz w:val="26"/>
          <w:szCs w:val="26"/>
        </w:rPr>
        <w:t xml:space="preserve">payments per </w:t>
      </w:r>
      <w:r w:rsidR="00E86229" w:rsidRPr="00EE5714">
        <w:rPr>
          <w:rFonts w:ascii="Times New Roman" w:hAnsi="Times New Roman" w:cs="Times New Roman"/>
          <w:sz w:val="26"/>
          <w:szCs w:val="26"/>
        </w:rPr>
        <w:t>year</w:t>
      </w:r>
      <w:r w:rsidR="00E86229" w:rsidRPr="00EE5714" w:rsidDel="00E9532A">
        <w:rPr>
          <w:rFonts w:ascii="Times New Roman" w:hAnsi="Times New Roman" w:cs="Times New Roman"/>
          <w:sz w:val="26"/>
          <w:szCs w:val="26"/>
        </w:rPr>
        <w:t xml:space="preserve"> </w:t>
      </w:r>
      <w:r w:rsidR="00E86229" w:rsidRPr="00EE5714">
        <w:rPr>
          <w:rFonts w:ascii="Times New Roman" w:hAnsi="Times New Roman" w:cs="Times New Roman"/>
          <w:sz w:val="26"/>
          <w:szCs w:val="26"/>
        </w:rPr>
        <w:t>increas</w:t>
      </w:r>
      <w:r w:rsidR="001E078B" w:rsidRPr="00EE5714">
        <w:rPr>
          <w:rFonts w:ascii="Times New Roman" w:hAnsi="Times New Roman" w:cs="Times New Roman"/>
          <w:sz w:val="26"/>
          <w:szCs w:val="26"/>
        </w:rPr>
        <w:t>ed</w:t>
      </w:r>
      <w:r w:rsidR="00E86229" w:rsidRPr="00EE5714">
        <w:rPr>
          <w:rFonts w:ascii="Times New Roman" w:hAnsi="Times New Roman" w:cs="Times New Roman"/>
          <w:sz w:val="26"/>
          <w:szCs w:val="26"/>
        </w:rPr>
        <w:t xml:space="preserve"> from 8.6 to 9.4, while the coverage of the total bill </w:t>
      </w:r>
      <w:r w:rsidR="001A774E" w:rsidRPr="00EE5714">
        <w:rPr>
          <w:rFonts w:ascii="Times New Roman" w:hAnsi="Times New Roman" w:cs="Times New Roman"/>
          <w:sz w:val="26"/>
          <w:szCs w:val="26"/>
        </w:rPr>
        <w:t>–</w:t>
      </w:r>
      <w:r w:rsidR="00E86229" w:rsidRPr="00EE5714">
        <w:rPr>
          <w:rFonts w:ascii="Times New Roman" w:hAnsi="Times New Roman" w:cs="Times New Roman"/>
          <w:sz w:val="26"/>
          <w:szCs w:val="26"/>
        </w:rPr>
        <w:t xml:space="preserve"> from </w:t>
      </w:r>
      <w:r w:rsidR="001A774E" w:rsidRPr="00EE5714">
        <w:rPr>
          <w:rFonts w:ascii="Times New Roman" w:hAnsi="Times New Roman" w:cs="Times New Roman"/>
          <w:sz w:val="26"/>
          <w:szCs w:val="26"/>
        </w:rPr>
        <w:t>cash and assistance payments -</w:t>
      </w:r>
      <w:r w:rsidR="00E86229" w:rsidRPr="00EE5714">
        <w:rPr>
          <w:rFonts w:ascii="Times New Roman" w:hAnsi="Times New Roman" w:cs="Times New Roman"/>
          <w:sz w:val="26"/>
          <w:szCs w:val="26"/>
        </w:rPr>
        <w:t xml:space="preserve"> increased from 88</w:t>
      </w:r>
      <w:r w:rsidR="00B90740" w:rsidRPr="00EE5714">
        <w:rPr>
          <w:rFonts w:ascii="Times New Roman" w:hAnsi="Times New Roman" w:cs="Times New Roman"/>
          <w:sz w:val="26"/>
          <w:szCs w:val="26"/>
        </w:rPr>
        <w:t>%</w:t>
      </w:r>
      <w:r w:rsidR="00E86229" w:rsidRPr="00EE5714">
        <w:rPr>
          <w:rFonts w:ascii="Times New Roman" w:hAnsi="Times New Roman" w:cs="Times New Roman"/>
          <w:sz w:val="26"/>
          <w:szCs w:val="26"/>
        </w:rPr>
        <w:t xml:space="preserve"> to 111</w:t>
      </w:r>
      <w:r w:rsidR="00B90740" w:rsidRPr="00EE5714">
        <w:rPr>
          <w:rFonts w:ascii="Times New Roman" w:hAnsi="Times New Roman" w:cs="Times New Roman"/>
          <w:sz w:val="26"/>
          <w:szCs w:val="26"/>
        </w:rPr>
        <w:t>%</w:t>
      </w:r>
      <w:r w:rsidR="00E86229" w:rsidRPr="00EE5714">
        <w:rPr>
          <w:rFonts w:ascii="Times New Roman" w:hAnsi="Times New Roman" w:cs="Times New Roman"/>
          <w:sz w:val="26"/>
          <w:szCs w:val="26"/>
        </w:rPr>
        <w:t>.  While roughly 33</w:t>
      </w:r>
      <w:r w:rsidR="00B90740" w:rsidRPr="00EE5714">
        <w:rPr>
          <w:rFonts w:ascii="Times New Roman" w:hAnsi="Times New Roman" w:cs="Times New Roman"/>
          <w:sz w:val="26"/>
          <w:szCs w:val="26"/>
        </w:rPr>
        <w:t>%</w:t>
      </w:r>
      <w:r w:rsidR="00E86229" w:rsidRPr="00EE5714">
        <w:rPr>
          <w:rFonts w:ascii="Times New Roman" w:hAnsi="Times New Roman" w:cs="Times New Roman"/>
          <w:sz w:val="26"/>
          <w:szCs w:val="26"/>
        </w:rPr>
        <w:t xml:space="preserve"> of participants paid their full bill in the prior year, 68</w:t>
      </w:r>
      <w:r w:rsidR="00D84BA6" w:rsidRPr="00EE5714">
        <w:rPr>
          <w:rFonts w:ascii="Times New Roman" w:hAnsi="Times New Roman" w:cs="Times New Roman"/>
          <w:sz w:val="26"/>
          <w:szCs w:val="26"/>
        </w:rPr>
        <w:t>%</w:t>
      </w:r>
      <w:r w:rsidR="00E86229" w:rsidRPr="00EE5714">
        <w:rPr>
          <w:rFonts w:ascii="Times New Roman" w:hAnsi="Times New Roman" w:cs="Times New Roman"/>
          <w:sz w:val="26"/>
          <w:szCs w:val="26"/>
        </w:rPr>
        <w:t xml:space="preserve"> pa</w:t>
      </w:r>
      <w:r w:rsidR="001E078B" w:rsidRPr="00EE5714">
        <w:rPr>
          <w:rFonts w:ascii="Times New Roman" w:hAnsi="Times New Roman" w:cs="Times New Roman"/>
          <w:sz w:val="26"/>
          <w:szCs w:val="26"/>
        </w:rPr>
        <w:t>id</w:t>
      </w:r>
      <w:r w:rsidR="00E86229" w:rsidRPr="00EE5714">
        <w:rPr>
          <w:rFonts w:ascii="Times New Roman" w:hAnsi="Times New Roman" w:cs="Times New Roman"/>
          <w:sz w:val="26"/>
          <w:szCs w:val="26"/>
        </w:rPr>
        <w:t xml:space="preserve"> </w:t>
      </w:r>
      <w:r w:rsidR="002042B4" w:rsidRPr="00EE5714">
        <w:rPr>
          <w:rFonts w:ascii="Times New Roman" w:hAnsi="Times New Roman" w:cs="Times New Roman"/>
          <w:sz w:val="26"/>
          <w:szCs w:val="26"/>
        </w:rPr>
        <w:t>their full bill</w:t>
      </w:r>
      <w:r w:rsidR="00E86229" w:rsidRPr="00EE5714">
        <w:rPr>
          <w:rFonts w:ascii="Times New Roman" w:hAnsi="Times New Roman" w:cs="Times New Roman"/>
          <w:sz w:val="26"/>
          <w:szCs w:val="26"/>
        </w:rPr>
        <w:t xml:space="preserve"> in the year after enrolling in CAP.  Other positive results include</w:t>
      </w:r>
      <w:r w:rsidR="002042B4" w:rsidRPr="00EE5714">
        <w:rPr>
          <w:rFonts w:ascii="Times New Roman" w:hAnsi="Times New Roman" w:cs="Times New Roman"/>
          <w:sz w:val="26"/>
          <w:szCs w:val="26"/>
        </w:rPr>
        <w:t>d</w:t>
      </w:r>
      <w:r w:rsidR="00E86229" w:rsidRPr="00EE5714">
        <w:rPr>
          <w:rFonts w:ascii="Times New Roman" w:hAnsi="Times New Roman" w:cs="Times New Roman"/>
          <w:sz w:val="26"/>
          <w:szCs w:val="26"/>
        </w:rPr>
        <w:t xml:space="preserve"> a reduction in arrearage and the number of customers receiving termination notices</w:t>
      </w:r>
      <w:r w:rsidR="00EB59DB" w:rsidRPr="00EE5714">
        <w:rPr>
          <w:rFonts w:ascii="Times New Roman" w:hAnsi="Times New Roman" w:cs="Times New Roman"/>
          <w:sz w:val="26"/>
          <w:szCs w:val="26"/>
        </w:rPr>
        <w:t>;</w:t>
      </w:r>
      <w:r w:rsidR="00E86229" w:rsidRPr="00EE5714">
        <w:rPr>
          <w:rFonts w:ascii="Times New Roman" w:hAnsi="Times New Roman" w:cs="Times New Roman"/>
          <w:sz w:val="26"/>
          <w:szCs w:val="26"/>
        </w:rPr>
        <w:t xml:space="preserve"> however, the actual termination rate d</w:t>
      </w:r>
      <w:r w:rsidR="00D6296C" w:rsidRPr="00EE5714">
        <w:rPr>
          <w:rFonts w:ascii="Times New Roman" w:hAnsi="Times New Roman" w:cs="Times New Roman"/>
          <w:sz w:val="26"/>
          <w:szCs w:val="26"/>
        </w:rPr>
        <w:t>id</w:t>
      </w:r>
      <w:r w:rsidR="00E86229" w:rsidRPr="00EE5714">
        <w:rPr>
          <w:rFonts w:ascii="Times New Roman" w:hAnsi="Times New Roman" w:cs="Times New Roman"/>
          <w:sz w:val="26"/>
          <w:szCs w:val="26"/>
        </w:rPr>
        <w:t xml:space="preserve"> not change. </w:t>
      </w:r>
    </w:p>
    <w:p w14:paraId="29AC6A3B" w14:textId="77777777" w:rsidR="00F96E0C" w:rsidRPr="00EE5714" w:rsidRDefault="00F96E0C" w:rsidP="00D56580">
      <w:pPr>
        <w:tabs>
          <w:tab w:val="left" w:pos="720"/>
        </w:tabs>
        <w:spacing w:after="0" w:line="240" w:lineRule="auto"/>
        <w:contextualSpacing/>
        <w:rPr>
          <w:rFonts w:ascii="Times New Roman" w:hAnsi="Times New Roman" w:cs="Times New Roman"/>
          <w:sz w:val="26"/>
          <w:szCs w:val="26"/>
        </w:rPr>
      </w:pPr>
    </w:p>
    <w:p w14:paraId="567417D9" w14:textId="77777777" w:rsidR="00F96E0C" w:rsidRPr="00EE5714" w:rsidRDefault="00F96E0C" w:rsidP="00F96E0C">
      <w:pPr>
        <w:keepNext/>
        <w:tabs>
          <w:tab w:val="left" w:pos="720"/>
          <w:tab w:val="left" w:pos="3489"/>
        </w:tabs>
        <w:spacing w:after="0" w:line="240" w:lineRule="auto"/>
        <w:contextualSpacing/>
        <w:jc w:val="center"/>
        <w:rPr>
          <w:rFonts w:ascii="Times New Roman" w:hAnsi="Times New Roman" w:cs="Times New Roman"/>
          <w:b/>
          <w:i/>
          <w:sz w:val="26"/>
          <w:szCs w:val="26"/>
        </w:rPr>
      </w:pPr>
      <w:r w:rsidRPr="00EE5714">
        <w:rPr>
          <w:rFonts w:ascii="Times New Roman" w:hAnsi="Times New Roman" w:cs="Times New Roman"/>
          <w:b/>
          <w:bCs/>
          <w:i/>
          <w:iCs/>
          <w:sz w:val="26"/>
          <w:szCs w:val="26"/>
        </w:rPr>
        <w:t>The Illinois PIPP Program Impact Evaluation (2009)</w:t>
      </w:r>
      <w:r w:rsidRPr="00EE5714">
        <w:rPr>
          <w:rStyle w:val="FootnoteReference"/>
          <w:rFonts w:ascii="Times New Roman" w:hAnsi="Times New Roman" w:cs="Times New Roman"/>
          <w:sz w:val="26"/>
          <w:szCs w:val="26"/>
        </w:rPr>
        <w:footnoteReference w:id="81"/>
      </w:r>
    </w:p>
    <w:p w14:paraId="3EC3C56F" w14:textId="77777777" w:rsidR="00F96E0C" w:rsidRPr="00EE5714" w:rsidRDefault="00F96E0C" w:rsidP="00F96E0C">
      <w:pPr>
        <w:keepNext/>
        <w:tabs>
          <w:tab w:val="left" w:pos="3489"/>
        </w:tabs>
        <w:spacing w:after="0" w:line="240" w:lineRule="auto"/>
        <w:contextualSpacing/>
        <w:rPr>
          <w:rFonts w:ascii="Times New Roman" w:hAnsi="Times New Roman" w:cs="Times New Roman"/>
          <w:b/>
          <w:i/>
          <w:sz w:val="26"/>
          <w:szCs w:val="26"/>
        </w:rPr>
      </w:pPr>
    </w:p>
    <w:p w14:paraId="777A18D9" w14:textId="2EBA9444" w:rsidR="00F96E0C" w:rsidRPr="00EE5714" w:rsidRDefault="00F96E0C" w:rsidP="00F96E0C">
      <w:pPr>
        <w:tabs>
          <w:tab w:val="left" w:pos="720"/>
        </w:tab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This study found that enrollment in a PIP can increase the amount of energy used by households.  Increased energy usage generally falls between 0.9</w:t>
      </w:r>
      <w:r w:rsidR="007C3104" w:rsidRPr="00EE5714">
        <w:rPr>
          <w:rFonts w:ascii="Times New Roman" w:hAnsi="Times New Roman" w:cs="Times New Roman"/>
          <w:sz w:val="26"/>
          <w:szCs w:val="26"/>
        </w:rPr>
        <w:t>%</w:t>
      </w:r>
      <w:r w:rsidRPr="00EE5714">
        <w:rPr>
          <w:rFonts w:ascii="Times New Roman" w:hAnsi="Times New Roman" w:cs="Times New Roman"/>
          <w:sz w:val="26"/>
          <w:szCs w:val="26"/>
        </w:rPr>
        <w:t xml:space="preserve"> and 3.8</w:t>
      </w:r>
      <w:r w:rsidR="007C3104" w:rsidRPr="00EE5714">
        <w:rPr>
          <w:rFonts w:ascii="Times New Roman" w:hAnsi="Times New Roman" w:cs="Times New Roman"/>
          <w:sz w:val="26"/>
          <w:szCs w:val="26"/>
        </w:rPr>
        <w:t>%</w:t>
      </w:r>
      <w:r w:rsidRPr="00EE5714">
        <w:rPr>
          <w:rFonts w:ascii="Times New Roman" w:hAnsi="Times New Roman" w:cs="Times New Roman"/>
          <w:sz w:val="26"/>
          <w:szCs w:val="26"/>
        </w:rPr>
        <w:t>.  However, data show</w:t>
      </w:r>
      <w:r w:rsidR="00567A9E" w:rsidRPr="00EE5714">
        <w:rPr>
          <w:rFonts w:ascii="Times New Roman" w:hAnsi="Times New Roman" w:cs="Times New Roman"/>
          <w:sz w:val="26"/>
          <w:szCs w:val="26"/>
        </w:rPr>
        <w:t>ed</w:t>
      </w:r>
      <w:r w:rsidRPr="00EE5714">
        <w:rPr>
          <w:rFonts w:ascii="Times New Roman" w:hAnsi="Times New Roman" w:cs="Times New Roman"/>
          <w:sz w:val="26"/>
          <w:szCs w:val="26"/>
        </w:rPr>
        <w:t xml:space="preserve"> that a significant number of those households that increase their energy usage reported keeping their household temperature at unsafe heating levels prior to enrolling in a PIP.  The </w:t>
      </w:r>
      <w:r w:rsidR="0093649B" w:rsidRPr="00EE5714">
        <w:rPr>
          <w:rFonts w:ascii="Times New Roman" w:hAnsi="Times New Roman" w:cs="Times New Roman"/>
          <w:sz w:val="26"/>
          <w:szCs w:val="26"/>
        </w:rPr>
        <w:t>study</w:t>
      </w:r>
      <w:r w:rsidRPr="00EE5714">
        <w:rPr>
          <w:rFonts w:ascii="Times New Roman" w:hAnsi="Times New Roman" w:cs="Times New Roman"/>
          <w:sz w:val="26"/>
          <w:szCs w:val="26"/>
        </w:rPr>
        <w:t xml:space="preserve"> recommend</w:t>
      </w:r>
      <w:r w:rsidR="00567A9E" w:rsidRPr="00EE5714">
        <w:rPr>
          <w:rFonts w:ascii="Times New Roman" w:hAnsi="Times New Roman" w:cs="Times New Roman"/>
          <w:sz w:val="26"/>
          <w:szCs w:val="26"/>
        </w:rPr>
        <w:t>ed</w:t>
      </w:r>
      <w:r w:rsidRPr="00EE5714">
        <w:rPr>
          <w:rFonts w:ascii="Times New Roman" w:hAnsi="Times New Roman" w:cs="Times New Roman"/>
          <w:sz w:val="26"/>
          <w:szCs w:val="26"/>
        </w:rPr>
        <w:t xml:space="preserve"> coordinating PIP participants with weatherization and other energy conservation programs to offset any increases in energy usage.</w:t>
      </w:r>
    </w:p>
    <w:p w14:paraId="221841C2" w14:textId="77777777" w:rsidR="0042757D" w:rsidRPr="00EE5714" w:rsidRDefault="0042757D" w:rsidP="0042757D">
      <w:pPr>
        <w:tabs>
          <w:tab w:val="left" w:pos="720"/>
        </w:tabs>
        <w:spacing w:after="0" w:line="240" w:lineRule="auto"/>
        <w:contextualSpacing/>
        <w:jc w:val="center"/>
        <w:rPr>
          <w:rStyle w:val="CommentReference"/>
          <w:rFonts w:ascii="Times New Roman" w:hAnsi="Times New Roman" w:cs="Times New Roman"/>
          <w:sz w:val="26"/>
          <w:szCs w:val="26"/>
        </w:rPr>
      </w:pPr>
    </w:p>
    <w:p w14:paraId="179F6BF2" w14:textId="77777777" w:rsidR="00D60143" w:rsidRPr="00EE5714" w:rsidRDefault="00D60143" w:rsidP="00473E57">
      <w:pPr>
        <w:keepNext/>
        <w:tabs>
          <w:tab w:val="left" w:pos="720"/>
        </w:tabs>
        <w:spacing w:after="0" w:line="240" w:lineRule="auto"/>
        <w:contextualSpacing/>
        <w:jc w:val="center"/>
        <w:rPr>
          <w:rFonts w:ascii="Times New Roman" w:eastAsia="Calibri" w:hAnsi="Times New Roman" w:cs="Times New Roman"/>
          <w:b/>
          <w:sz w:val="26"/>
          <w:szCs w:val="26"/>
        </w:rPr>
      </w:pPr>
      <w:r w:rsidRPr="00EE5714">
        <w:rPr>
          <w:rFonts w:ascii="Times New Roman" w:eastAsia="Calibri" w:hAnsi="Times New Roman" w:cs="Times New Roman"/>
          <w:b/>
          <w:i/>
          <w:sz w:val="26"/>
          <w:szCs w:val="26"/>
        </w:rPr>
        <w:t>LIHEAP Energy Burden Evaluation Study (2005)</w:t>
      </w:r>
      <w:r w:rsidR="001032F8" w:rsidRPr="00EE5714">
        <w:rPr>
          <w:rStyle w:val="FootnoteReference"/>
          <w:rFonts w:ascii="Times New Roman" w:eastAsia="Calibri" w:hAnsi="Times New Roman" w:cs="Times New Roman"/>
          <w:sz w:val="26"/>
          <w:szCs w:val="26"/>
        </w:rPr>
        <w:footnoteReference w:id="82"/>
      </w:r>
    </w:p>
    <w:p w14:paraId="59FCECCB" w14:textId="77777777" w:rsidR="00D60143" w:rsidRPr="00EE5714" w:rsidRDefault="00FE4937" w:rsidP="0042757D">
      <w:pPr>
        <w:keepNext/>
        <w:spacing w:after="0" w:line="240" w:lineRule="auto"/>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 </w:t>
      </w:r>
    </w:p>
    <w:p w14:paraId="57150555" w14:textId="77777777" w:rsidR="00D60143" w:rsidRPr="00EE5714" w:rsidRDefault="00D60143" w:rsidP="00EE7AE6">
      <w:pPr>
        <w:spacing w:after="0" w:line="240" w:lineRule="auto"/>
        <w:ind w:firstLine="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Th</w:t>
      </w:r>
      <w:r w:rsidR="002E6514" w:rsidRPr="00EE5714">
        <w:rPr>
          <w:rFonts w:ascii="Times New Roman" w:eastAsia="Calibri" w:hAnsi="Times New Roman" w:cs="Times New Roman"/>
          <w:sz w:val="26"/>
          <w:szCs w:val="26"/>
        </w:rPr>
        <w:t>is</w:t>
      </w:r>
      <w:r w:rsidRPr="00EE5714">
        <w:rPr>
          <w:rFonts w:ascii="Times New Roman" w:eastAsia="Calibri" w:hAnsi="Times New Roman" w:cs="Times New Roman"/>
          <w:sz w:val="26"/>
          <w:szCs w:val="26"/>
        </w:rPr>
        <w:t xml:space="preserve"> study found that LIHEAP </w:t>
      </w:r>
      <w:r w:rsidR="00D50732" w:rsidRPr="00EE5714">
        <w:rPr>
          <w:rFonts w:ascii="Times New Roman" w:eastAsia="Calibri" w:hAnsi="Times New Roman" w:cs="Times New Roman"/>
          <w:sz w:val="26"/>
          <w:szCs w:val="26"/>
        </w:rPr>
        <w:t xml:space="preserve">was </w:t>
      </w:r>
      <w:r w:rsidRPr="00EE5714">
        <w:rPr>
          <w:rFonts w:ascii="Times New Roman" w:eastAsia="Calibri" w:hAnsi="Times New Roman" w:cs="Times New Roman"/>
          <w:sz w:val="26"/>
          <w:szCs w:val="26"/>
        </w:rPr>
        <w:t>effectively target</w:t>
      </w:r>
      <w:r w:rsidR="00D50732" w:rsidRPr="00EE5714">
        <w:rPr>
          <w:rFonts w:ascii="Times New Roman" w:eastAsia="Calibri" w:hAnsi="Times New Roman" w:cs="Times New Roman"/>
          <w:sz w:val="26"/>
          <w:szCs w:val="26"/>
        </w:rPr>
        <w:t>ing</w:t>
      </w:r>
      <w:r w:rsidRPr="00EE5714">
        <w:rPr>
          <w:rFonts w:ascii="Times New Roman" w:eastAsia="Calibri" w:hAnsi="Times New Roman" w:cs="Times New Roman"/>
          <w:sz w:val="26"/>
          <w:szCs w:val="26"/>
        </w:rPr>
        <w:t xml:space="preserve"> the highest burden households (62</w:t>
      </w:r>
      <w:r w:rsidR="008F2B1F" w:rsidRPr="00EE5714">
        <w:rPr>
          <w:rFonts w:ascii="Times New Roman" w:eastAsia="Calibri" w:hAnsi="Times New Roman" w:cs="Times New Roman"/>
          <w:sz w:val="26"/>
          <w:szCs w:val="26"/>
        </w:rPr>
        <w:t>%</w:t>
      </w:r>
      <w:r w:rsidRPr="00EE5714" w:rsidDel="008F2B1F">
        <w:rPr>
          <w:rFonts w:ascii="Times New Roman" w:eastAsia="Calibri" w:hAnsi="Times New Roman" w:cs="Times New Roman"/>
          <w:sz w:val="26"/>
          <w:szCs w:val="26"/>
        </w:rPr>
        <w:t xml:space="preserve"> </w:t>
      </w:r>
      <w:r w:rsidRPr="00EE5714">
        <w:rPr>
          <w:rFonts w:ascii="Times New Roman" w:eastAsia="Calibri" w:hAnsi="Times New Roman" w:cs="Times New Roman"/>
          <w:sz w:val="26"/>
          <w:szCs w:val="26"/>
        </w:rPr>
        <w:t>of LIHEAP recipients had high energy burdens)</w:t>
      </w:r>
      <w:r w:rsidR="0069317E" w:rsidRPr="00EE5714">
        <w:rPr>
          <w:rFonts w:ascii="Times New Roman" w:eastAsia="Calibri" w:hAnsi="Times New Roman" w:cs="Times New Roman"/>
          <w:sz w:val="26"/>
          <w:szCs w:val="26"/>
        </w:rPr>
        <w:t xml:space="preserve"> but that</w:t>
      </w:r>
      <w:r w:rsidRPr="00EE5714">
        <w:rPr>
          <w:rFonts w:ascii="Times New Roman" w:eastAsia="Calibri" w:hAnsi="Times New Roman" w:cs="Times New Roman"/>
          <w:sz w:val="26"/>
          <w:szCs w:val="26"/>
        </w:rPr>
        <w:t xml:space="preserve"> LIHEAP </w:t>
      </w:r>
      <w:r w:rsidR="005110E6" w:rsidRPr="00EE5714">
        <w:rPr>
          <w:rFonts w:ascii="Times New Roman" w:eastAsia="Calibri" w:hAnsi="Times New Roman" w:cs="Times New Roman"/>
          <w:sz w:val="26"/>
          <w:szCs w:val="26"/>
        </w:rPr>
        <w:t>wa</w:t>
      </w:r>
      <w:r w:rsidRPr="00EE5714">
        <w:rPr>
          <w:rFonts w:ascii="Times New Roman" w:eastAsia="Calibri" w:hAnsi="Times New Roman" w:cs="Times New Roman"/>
          <w:sz w:val="26"/>
          <w:szCs w:val="26"/>
        </w:rPr>
        <w:t xml:space="preserve">s not as successful in furnishing </w:t>
      </w:r>
      <w:proofErr w:type="gramStart"/>
      <w:r w:rsidR="00473E57" w:rsidRPr="00EE5714">
        <w:rPr>
          <w:rFonts w:ascii="Times New Roman" w:eastAsia="Calibri" w:hAnsi="Times New Roman" w:cs="Times New Roman"/>
          <w:sz w:val="26"/>
          <w:szCs w:val="26"/>
        </w:rPr>
        <w:t>sufficient</w:t>
      </w:r>
      <w:proofErr w:type="gramEnd"/>
      <w:r w:rsidRPr="00EE5714">
        <w:rPr>
          <w:rFonts w:ascii="Times New Roman" w:eastAsia="Calibri" w:hAnsi="Times New Roman" w:cs="Times New Roman"/>
          <w:sz w:val="26"/>
          <w:szCs w:val="26"/>
        </w:rPr>
        <w:t xml:space="preserve"> benefits to high</w:t>
      </w:r>
      <w:r w:rsidR="00081F7E" w:rsidRPr="00EE5714">
        <w:rPr>
          <w:rFonts w:ascii="Times New Roman" w:eastAsia="Calibri" w:hAnsi="Times New Roman" w:cs="Times New Roman"/>
          <w:sz w:val="26"/>
          <w:szCs w:val="26"/>
        </w:rPr>
        <w:t xml:space="preserve">ly </w:t>
      </w:r>
      <w:r w:rsidRPr="00EE5714">
        <w:rPr>
          <w:rFonts w:ascii="Times New Roman" w:eastAsia="Calibri" w:hAnsi="Times New Roman" w:cs="Times New Roman"/>
          <w:sz w:val="26"/>
          <w:szCs w:val="26"/>
        </w:rPr>
        <w:t>burden</w:t>
      </w:r>
      <w:r w:rsidR="00081F7E" w:rsidRPr="00EE5714">
        <w:rPr>
          <w:rFonts w:ascii="Times New Roman" w:eastAsia="Calibri" w:hAnsi="Times New Roman" w:cs="Times New Roman"/>
          <w:sz w:val="26"/>
          <w:szCs w:val="26"/>
        </w:rPr>
        <w:t>ed</w:t>
      </w:r>
      <w:r w:rsidRPr="00EE5714">
        <w:rPr>
          <w:rFonts w:ascii="Times New Roman" w:eastAsia="Calibri" w:hAnsi="Times New Roman" w:cs="Times New Roman"/>
          <w:sz w:val="26"/>
          <w:szCs w:val="26"/>
        </w:rPr>
        <w:t xml:space="preserve"> and vulnerable households.  The distinction </w:t>
      </w:r>
      <w:r w:rsidR="00081F7E" w:rsidRPr="00EE5714">
        <w:rPr>
          <w:rFonts w:ascii="Times New Roman" w:eastAsia="Calibri" w:hAnsi="Times New Roman" w:cs="Times New Roman"/>
          <w:sz w:val="26"/>
          <w:szCs w:val="26"/>
        </w:rPr>
        <w:t>was</w:t>
      </w:r>
      <w:r w:rsidRPr="00EE5714">
        <w:rPr>
          <w:rFonts w:ascii="Times New Roman" w:eastAsia="Calibri" w:hAnsi="Times New Roman" w:cs="Times New Roman"/>
          <w:sz w:val="26"/>
          <w:szCs w:val="26"/>
        </w:rPr>
        <w:t xml:space="preserve"> vulnerability.  Vulnerable households are sensitive to the characteristics of household members, particularly households with at least one member age</w:t>
      </w:r>
      <w:r w:rsidR="008175D6" w:rsidRPr="00EE5714">
        <w:rPr>
          <w:rFonts w:ascii="Times New Roman" w:eastAsia="Calibri" w:hAnsi="Times New Roman" w:cs="Times New Roman"/>
          <w:sz w:val="26"/>
          <w:szCs w:val="26"/>
        </w:rPr>
        <w:t>d</w:t>
      </w:r>
      <w:r w:rsidRPr="00EE5714">
        <w:rPr>
          <w:rFonts w:ascii="Times New Roman" w:eastAsia="Calibri" w:hAnsi="Times New Roman" w:cs="Times New Roman"/>
          <w:sz w:val="26"/>
          <w:szCs w:val="26"/>
        </w:rPr>
        <w:t xml:space="preserve"> 60 or over or with one or more members who are age 5 or younger.  Under certain circumstances, non</w:t>
      </w:r>
      <w:r w:rsidR="00AB0599" w:rsidRPr="00EE5714">
        <w:rPr>
          <w:rFonts w:ascii="Times New Roman" w:eastAsia="Calibri" w:hAnsi="Times New Roman" w:cs="Times New Roman"/>
          <w:sz w:val="26"/>
          <w:szCs w:val="26"/>
        </w:rPr>
        <w:t>-</w:t>
      </w:r>
      <w:r w:rsidRPr="00EE5714">
        <w:rPr>
          <w:rFonts w:ascii="Times New Roman" w:eastAsia="Calibri" w:hAnsi="Times New Roman" w:cs="Times New Roman"/>
          <w:sz w:val="26"/>
          <w:szCs w:val="26"/>
        </w:rPr>
        <w:t>low-income households can be vulnerable, and not all low-income households are vulnerable.</w:t>
      </w:r>
      <w:r w:rsidR="00540CD5" w:rsidRPr="00EE5714">
        <w:rPr>
          <w:rFonts w:ascii="Times New Roman" w:eastAsia="Calibri" w:hAnsi="Times New Roman" w:cs="Times New Roman"/>
          <w:sz w:val="26"/>
          <w:szCs w:val="26"/>
        </w:rPr>
        <w:t xml:space="preserve">  This</w:t>
      </w:r>
      <w:r w:rsidRPr="00EE5714">
        <w:rPr>
          <w:rFonts w:ascii="Times New Roman" w:eastAsia="Calibri" w:hAnsi="Times New Roman" w:cs="Times New Roman"/>
          <w:sz w:val="26"/>
          <w:szCs w:val="26"/>
        </w:rPr>
        <w:t xml:space="preserve"> highlight</w:t>
      </w:r>
      <w:r w:rsidR="00876875" w:rsidRPr="00EE5714">
        <w:rPr>
          <w:rFonts w:ascii="Times New Roman" w:eastAsia="Calibri" w:hAnsi="Times New Roman" w:cs="Times New Roman"/>
          <w:sz w:val="26"/>
          <w:szCs w:val="26"/>
        </w:rPr>
        <w:t>ed</w:t>
      </w:r>
      <w:r w:rsidRPr="00EE5714">
        <w:rPr>
          <w:rFonts w:ascii="Times New Roman" w:eastAsia="Calibri" w:hAnsi="Times New Roman" w:cs="Times New Roman"/>
          <w:sz w:val="26"/>
          <w:szCs w:val="26"/>
        </w:rPr>
        <w:t xml:space="preserve"> the need to consider </w:t>
      </w:r>
      <w:r w:rsidR="00D64096" w:rsidRPr="00EE5714">
        <w:rPr>
          <w:rFonts w:ascii="Times New Roman" w:eastAsia="Calibri" w:hAnsi="Times New Roman" w:cs="Times New Roman"/>
          <w:sz w:val="26"/>
          <w:szCs w:val="26"/>
        </w:rPr>
        <w:t xml:space="preserve">other </w:t>
      </w:r>
      <w:r w:rsidRPr="00EE5714">
        <w:rPr>
          <w:rFonts w:ascii="Times New Roman" w:eastAsia="Calibri" w:hAnsi="Times New Roman" w:cs="Times New Roman"/>
          <w:sz w:val="26"/>
          <w:szCs w:val="26"/>
        </w:rPr>
        <w:t xml:space="preserve">factors </w:t>
      </w:r>
      <w:r w:rsidR="00D64096" w:rsidRPr="00EE5714">
        <w:rPr>
          <w:rFonts w:ascii="Times New Roman" w:eastAsia="Calibri" w:hAnsi="Times New Roman" w:cs="Times New Roman"/>
          <w:sz w:val="26"/>
          <w:szCs w:val="26"/>
        </w:rPr>
        <w:t xml:space="preserve">in addition to </w:t>
      </w:r>
      <w:r w:rsidRPr="00EE5714">
        <w:rPr>
          <w:rFonts w:ascii="Times New Roman" w:eastAsia="Calibri" w:hAnsi="Times New Roman" w:cs="Times New Roman"/>
          <w:sz w:val="26"/>
          <w:szCs w:val="26"/>
        </w:rPr>
        <w:t>household income</w:t>
      </w:r>
      <w:r w:rsidR="00540CD5" w:rsidRPr="00EE5714">
        <w:rPr>
          <w:rFonts w:ascii="Times New Roman" w:eastAsia="Calibri" w:hAnsi="Times New Roman" w:cs="Times New Roman"/>
          <w:sz w:val="26"/>
          <w:szCs w:val="26"/>
        </w:rPr>
        <w:t xml:space="preserve"> and</w:t>
      </w:r>
      <w:r w:rsidRPr="00EE5714">
        <w:rPr>
          <w:rFonts w:ascii="Times New Roman" w:eastAsia="Calibri" w:hAnsi="Times New Roman" w:cs="Times New Roman"/>
          <w:sz w:val="26"/>
          <w:szCs w:val="26"/>
        </w:rPr>
        <w:t xml:space="preserve"> to segment the eligible population to identify certain characteristics, such as the elderly.  Geographic location</w:t>
      </w:r>
      <w:r w:rsidR="0084359F" w:rsidRPr="00EE5714">
        <w:rPr>
          <w:rFonts w:ascii="Times New Roman" w:eastAsia="Calibri" w:hAnsi="Times New Roman" w:cs="Times New Roman"/>
          <w:sz w:val="26"/>
          <w:szCs w:val="26"/>
        </w:rPr>
        <w:t>, home ownership,</w:t>
      </w:r>
      <w:r w:rsidRPr="00EE5714">
        <w:rPr>
          <w:rFonts w:ascii="Times New Roman" w:eastAsia="Calibri" w:hAnsi="Times New Roman" w:cs="Times New Roman"/>
          <w:sz w:val="26"/>
          <w:szCs w:val="26"/>
        </w:rPr>
        <w:t xml:space="preserve"> </w:t>
      </w:r>
      <w:r w:rsidR="0084359F" w:rsidRPr="00EE5714">
        <w:rPr>
          <w:rFonts w:ascii="Times New Roman" w:eastAsia="Calibri" w:hAnsi="Times New Roman" w:cs="Times New Roman"/>
          <w:sz w:val="26"/>
          <w:szCs w:val="26"/>
        </w:rPr>
        <w:t xml:space="preserve">and household size </w:t>
      </w:r>
      <w:r w:rsidRPr="00EE5714">
        <w:rPr>
          <w:rFonts w:ascii="Times New Roman" w:eastAsia="Calibri" w:hAnsi="Times New Roman" w:cs="Times New Roman"/>
          <w:sz w:val="26"/>
          <w:szCs w:val="26"/>
        </w:rPr>
        <w:t>play</w:t>
      </w:r>
      <w:r w:rsidR="00876875" w:rsidRPr="00EE5714">
        <w:rPr>
          <w:rFonts w:ascii="Times New Roman" w:eastAsia="Calibri" w:hAnsi="Times New Roman" w:cs="Times New Roman"/>
          <w:sz w:val="26"/>
          <w:szCs w:val="26"/>
        </w:rPr>
        <w:t>ed</w:t>
      </w:r>
      <w:r w:rsidRPr="00EE5714">
        <w:rPr>
          <w:rFonts w:ascii="Times New Roman" w:eastAsia="Calibri" w:hAnsi="Times New Roman" w:cs="Times New Roman"/>
          <w:sz w:val="26"/>
          <w:szCs w:val="26"/>
        </w:rPr>
        <w:t xml:space="preserve"> important role</w:t>
      </w:r>
      <w:r w:rsidR="0084359F" w:rsidRPr="00EE5714">
        <w:rPr>
          <w:rFonts w:ascii="Times New Roman" w:eastAsia="Calibri" w:hAnsi="Times New Roman" w:cs="Times New Roman"/>
          <w:sz w:val="26"/>
          <w:szCs w:val="26"/>
        </w:rPr>
        <w:t>s</w:t>
      </w:r>
      <w:r w:rsidRPr="00EE5714">
        <w:rPr>
          <w:rFonts w:ascii="Times New Roman" w:eastAsia="Calibri" w:hAnsi="Times New Roman" w:cs="Times New Roman"/>
          <w:sz w:val="26"/>
          <w:szCs w:val="26"/>
        </w:rPr>
        <w:t xml:space="preserve">.  </w:t>
      </w:r>
    </w:p>
    <w:p w14:paraId="5C7A62B2" w14:textId="77777777" w:rsidR="000C58EE" w:rsidRPr="00EE5714" w:rsidRDefault="000C58EE" w:rsidP="00EE7AE6">
      <w:pPr>
        <w:spacing w:after="0" w:line="240" w:lineRule="auto"/>
        <w:ind w:firstLine="720"/>
        <w:contextualSpacing/>
        <w:rPr>
          <w:rFonts w:ascii="Times New Roman" w:eastAsia="Calibri" w:hAnsi="Times New Roman" w:cs="Times New Roman"/>
          <w:sz w:val="26"/>
          <w:szCs w:val="26"/>
        </w:rPr>
      </w:pPr>
    </w:p>
    <w:p w14:paraId="5E29382E" w14:textId="77777777" w:rsidR="000C58EE" w:rsidRPr="00EE5714" w:rsidRDefault="000C58EE" w:rsidP="000C58EE">
      <w:pPr>
        <w:keepNext/>
        <w:tabs>
          <w:tab w:val="left" w:pos="720"/>
          <w:tab w:val="left" w:pos="3489"/>
        </w:tabs>
        <w:spacing w:after="0" w:line="240" w:lineRule="auto"/>
        <w:contextualSpacing/>
        <w:jc w:val="center"/>
        <w:rPr>
          <w:rFonts w:ascii="Times New Roman" w:hAnsi="Times New Roman" w:cs="Times New Roman"/>
          <w:b/>
          <w:i/>
          <w:sz w:val="26"/>
          <w:szCs w:val="26"/>
        </w:rPr>
      </w:pPr>
      <w:r w:rsidRPr="00EE5714">
        <w:rPr>
          <w:rFonts w:ascii="Times New Roman" w:hAnsi="Times New Roman" w:cs="Times New Roman"/>
          <w:b/>
          <w:bCs/>
          <w:i/>
          <w:iCs/>
          <w:sz w:val="26"/>
          <w:szCs w:val="26"/>
        </w:rPr>
        <w:lastRenderedPageBreak/>
        <w:t>Measuring LIHEAP’s Results: Responding to Home Energy Unaffordability (1999)</w:t>
      </w:r>
      <w:r w:rsidRPr="00EE5714">
        <w:rPr>
          <w:rStyle w:val="FootnoteReference"/>
          <w:rFonts w:ascii="Times New Roman" w:hAnsi="Times New Roman" w:cs="Times New Roman"/>
          <w:sz w:val="26"/>
          <w:szCs w:val="26"/>
        </w:rPr>
        <w:footnoteReference w:id="83"/>
      </w:r>
    </w:p>
    <w:p w14:paraId="6E5D1DAA" w14:textId="77777777" w:rsidR="000C58EE" w:rsidRPr="00EE5714" w:rsidRDefault="000C58EE" w:rsidP="000C58EE">
      <w:pPr>
        <w:keepNext/>
        <w:tabs>
          <w:tab w:val="left" w:pos="3489"/>
        </w:tabs>
        <w:spacing w:after="0" w:line="240" w:lineRule="auto"/>
        <w:contextualSpacing/>
        <w:rPr>
          <w:rFonts w:ascii="Times New Roman" w:hAnsi="Times New Roman" w:cs="Times New Roman"/>
          <w:sz w:val="26"/>
          <w:szCs w:val="26"/>
        </w:rPr>
      </w:pPr>
    </w:p>
    <w:p w14:paraId="0548049D" w14:textId="77777777" w:rsidR="000C58EE" w:rsidRPr="00EE5714" w:rsidRDefault="000C58EE" w:rsidP="000C58EE">
      <w:pPr>
        <w:spacing w:after="0" w:line="240" w:lineRule="auto"/>
        <w:ind w:firstLine="720"/>
        <w:contextualSpacing/>
        <w:rPr>
          <w:rFonts w:ascii="Times New Roman" w:eastAsia="Calibri" w:hAnsi="Times New Roman" w:cs="Times New Roman"/>
          <w:sz w:val="26"/>
          <w:szCs w:val="26"/>
        </w:rPr>
      </w:pPr>
      <w:r w:rsidRPr="00EE5714">
        <w:rPr>
          <w:rFonts w:ascii="Times New Roman" w:hAnsi="Times New Roman" w:cs="Times New Roman"/>
          <w:sz w:val="26"/>
          <w:szCs w:val="26"/>
        </w:rPr>
        <w:t xml:space="preserve">This study tested empirically whether it </w:t>
      </w:r>
      <w:r w:rsidR="006A2301" w:rsidRPr="00EE5714">
        <w:rPr>
          <w:rFonts w:ascii="Times New Roman" w:hAnsi="Times New Roman" w:cs="Times New Roman"/>
          <w:sz w:val="26"/>
          <w:szCs w:val="26"/>
        </w:rPr>
        <w:t>would be</w:t>
      </w:r>
      <w:r w:rsidRPr="00EE5714">
        <w:rPr>
          <w:rFonts w:ascii="Times New Roman" w:hAnsi="Times New Roman" w:cs="Times New Roman"/>
          <w:sz w:val="26"/>
          <w:szCs w:val="26"/>
        </w:rPr>
        <w:t xml:space="preserve"> accurate to equate “unaffordability” and “bill nonpayment” and concluded that the two are not the same.  </w:t>
      </w:r>
      <w:r w:rsidR="006260FC" w:rsidRPr="00EE5714">
        <w:rPr>
          <w:rFonts w:ascii="Times New Roman" w:hAnsi="Times New Roman" w:cs="Times New Roman"/>
          <w:sz w:val="26"/>
          <w:szCs w:val="26"/>
        </w:rPr>
        <w:t>According to this study, p</w:t>
      </w:r>
      <w:r w:rsidRPr="00EE5714">
        <w:rPr>
          <w:rFonts w:ascii="Times New Roman" w:hAnsi="Times New Roman" w:cs="Times New Roman"/>
          <w:sz w:val="26"/>
          <w:szCs w:val="26"/>
        </w:rPr>
        <w:t xml:space="preserve">aying utility bills in full and on time does not mean that these bills are affordable.  Households may strive to make these </w:t>
      </w:r>
      <w:r w:rsidR="0098649E" w:rsidRPr="00EE5714">
        <w:rPr>
          <w:rFonts w:ascii="Times New Roman" w:hAnsi="Times New Roman" w:cs="Times New Roman"/>
          <w:sz w:val="26"/>
          <w:szCs w:val="26"/>
        </w:rPr>
        <w:t xml:space="preserve">utility </w:t>
      </w:r>
      <w:r w:rsidRPr="00EE5714">
        <w:rPr>
          <w:rFonts w:ascii="Times New Roman" w:hAnsi="Times New Roman" w:cs="Times New Roman"/>
          <w:sz w:val="26"/>
          <w:szCs w:val="26"/>
        </w:rPr>
        <w:t xml:space="preserve">payments and then struggle to afford other things such as food or medical care.  </w:t>
      </w:r>
      <w:r w:rsidR="003817AC" w:rsidRPr="00EE5714">
        <w:rPr>
          <w:rFonts w:ascii="Times New Roman" w:hAnsi="Times New Roman" w:cs="Times New Roman"/>
          <w:sz w:val="26"/>
          <w:szCs w:val="26"/>
        </w:rPr>
        <w:t>The authors concluded that p</w:t>
      </w:r>
      <w:r w:rsidRPr="00EE5714">
        <w:rPr>
          <w:rFonts w:ascii="Times New Roman" w:hAnsi="Times New Roman" w:cs="Times New Roman"/>
          <w:sz w:val="26"/>
          <w:szCs w:val="26"/>
        </w:rPr>
        <w:t>ayment rates d</w:t>
      </w:r>
      <w:r w:rsidR="003817AC" w:rsidRPr="00EE5714">
        <w:rPr>
          <w:rFonts w:ascii="Times New Roman" w:hAnsi="Times New Roman" w:cs="Times New Roman"/>
          <w:sz w:val="26"/>
          <w:szCs w:val="26"/>
        </w:rPr>
        <w:t>id</w:t>
      </w:r>
      <w:r w:rsidRPr="00EE5714">
        <w:rPr>
          <w:rFonts w:ascii="Times New Roman" w:hAnsi="Times New Roman" w:cs="Times New Roman"/>
          <w:sz w:val="26"/>
          <w:szCs w:val="26"/>
        </w:rPr>
        <w:t xml:space="preserve"> not necessarily reflect the affordability of utility bills</w:t>
      </w:r>
      <w:r w:rsidR="006E4558" w:rsidRPr="00EE5714">
        <w:rPr>
          <w:rFonts w:ascii="Times New Roman" w:hAnsi="Times New Roman" w:cs="Times New Roman"/>
          <w:sz w:val="26"/>
          <w:szCs w:val="26"/>
        </w:rPr>
        <w:t xml:space="preserve"> and</w:t>
      </w:r>
      <w:r w:rsidRPr="00EE5714">
        <w:rPr>
          <w:rFonts w:ascii="Times New Roman" w:hAnsi="Times New Roman" w:cs="Times New Roman"/>
          <w:sz w:val="26"/>
          <w:szCs w:val="26"/>
        </w:rPr>
        <w:t xml:space="preserve"> recommended that “the concept of bill affordability should be replaced with a concept of bill sustainability” when evaluating the impact of energy assistance programs such as LIHEAP.</w:t>
      </w:r>
    </w:p>
    <w:p w14:paraId="36E5A645" w14:textId="77777777" w:rsidR="000C58EE" w:rsidRPr="00EE5714" w:rsidRDefault="000C58EE" w:rsidP="00EE7AE6">
      <w:pPr>
        <w:spacing w:after="0" w:line="240" w:lineRule="auto"/>
        <w:ind w:firstLine="720"/>
        <w:contextualSpacing/>
        <w:rPr>
          <w:rFonts w:ascii="Times New Roman" w:eastAsia="Calibri" w:hAnsi="Times New Roman" w:cs="Times New Roman"/>
          <w:sz w:val="26"/>
          <w:szCs w:val="26"/>
        </w:rPr>
      </w:pPr>
    </w:p>
    <w:p w14:paraId="2328777D" w14:textId="77777777" w:rsidR="000C58EE" w:rsidRPr="00EE5714" w:rsidRDefault="000C58EE" w:rsidP="000C58EE">
      <w:pPr>
        <w:keepNext/>
        <w:tabs>
          <w:tab w:val="left" w:pos="720"/>
          <w:tab w:val="left" w:pos="3489"/>
        </w:tabs>
        <w:spacing w:after="0" w:line="240" w:lineRule="auto"/>
        <w:jc w:val="center"/>
        <w:rPr>
          <w:rFonts w:ascii="Times New Roman" w:hAnsi="Times New Roman" w:cs="Times New Roman"/>
          <w:b/>
          <w:i/>
          <w:sz w:val="26"/>
          <w:szCs w:val="26"/>
        </w:rPr>
      </w:pPr>
      <w:r w:rsidRPr="00EE5714">
        <w:rPr>
          <w:rFonts w:ascii="Times New Roman" w:hAnsi="Times New Roman" w:cs="Times New Roman"/>
          <w:b/>
          <w:bCs/>
          <w:i/>
          <w:iCs/>
          <w:sz w:val="26"/>
          <w:szCs w:val="26"/>
        </w:rPr>
        <w:t>Determining the Cost-Effectiveness of Utility Late Payment Charges (1994)</w:t>
      </w:r>
      <w:r w:rsidRPr="00EE5714">
        <w:rPr>
          <w:rStyle w:val="FootnoteReference"/>
          <w:rFonts w:ascii="Times New Roman" w:hAnsi="Times New Roman" w:cs="Times New Roman"/>
          <w:sz w:val="26"/>
          <w:szCs w:val="26"/>
        </w:rPr>
        <w:footnoteReference w:id="84"/>
      </w:r>
    </w:p>
    <w:p w14:paraId="627CC8C1" w14:textId="77777777" w:rsidR="000C58EE" w:rsidRPr="00EE5714" w:rsidRDefault="000C58EE" w:rsidP="000C58EE">
      <w:pPr>
        <w:keepNext/>
        <w:tabs>
          <w:tab w:val="left" w:pos="3489"/>
        </w:tabs>
        <w:spacing w:after="0" w:line="240" w:lineRule="auto"/>
        <w:contextualSpacing/>
        <w:rPr>
          <w:rFonts w:ascii="Times New Roman" w:hAnsi="Times New Roman" w:cs="Times New Roman"/>
          <w:sz w:val="26"/>
          <w:szCs w:val="26"/>
        </w:rPr>
      </w:pPr>
    </w:p>
    <w:p w14:paraId="682E85DA" w14:textId="77777777" w:rsidR="000C58EE" w:rsidRPr="00EE5714" w:rsidRDefault="000C58EE" w:rsidP="000C58EE">
      <w:pPr>
        <w:tabs>
          <w:tab w:val="left" w:pos="720"/>
        </w:tabs>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t>This study, which included analysis of households in Columbia Gas’ Budget Plus Plan, determined that late charges for non-payment do not necessarily provide an incentive for more timely payments.</w:t>
      </w:r>
    </w:p>
    <w:p w14:paraId="5BD1F20E" w14:textId="77777777" w:rsidR="00EF07E8" w:rsidRPr="00EE5714" w:rsidRDefault="00EF07E8" w:rsidP="00022ECF">
      <w:pPr>
        <w:spacing w:after="0" w:line="240" w:lineRule="auto"/>
        <w:contextualSpacing/>
        <w:rPr>
          <w:rFonts w:ascii="Times New Roman" w:eastAsia="Calibri" w:hAnsi="Times New Roman" w:cs="Times New Roman"/>
          <w:sz w:val="26"/>
          <w:szCs w:val="26"/>
        </w:rPr>
      </w:pPr>
    </w:p>
    <w:p w14:paraId="203FF893" w14:textId="77777777" w:rsidR="007D2BB1" w:rsidRPr="00EE5714" w:rsidRDefault="00022ECF" w:rsidP="00B660BD">
      <w:pPr>
        <w:keepNext/>
        <w:spacing w:after="0" w:line="240" w:lineRule="auto"/>
        <w:contextualSpacing/>
        <w:jc w:val="center"/>
        <w:rPr>
          <w:rFonts w:ascii="Times New Roman" w:eastAsia="Calibri" w:hAnsi="Times New Roman" w:cs="Times New Roman"/>
          <w:b/>
          <w:bCs/>
          <w:sz w:val="26"/>
          <w:szCs w:val="26"/>
        </w:rPr>
      </w:pPr>
      <w:r w:rsidRPr="00EE5714">
        <w:rPr>
          <w:rFonts w:ascii="Times New Roman" w:eastAsia="Calibri" w:hAnsi="Times New Roman" w:cs="Times New Roman"/>
          <w:b/>
          <w:bCs/>
          <w:sz w:val="26"/>
          <w:szCs w:val="26"/>
        </w:rPr>
        <w:t>Observations</w:t>
      </w:r>
    </w:p>
    <w:p w14:paraId="512FF20C" w14:textId="77777777" w:rsidR="007D2BB1" w:rsidRPr="00EE5714" w:rsidRDefault="007D2BB1" w:rsidP="000E3BC1">
      <w:pPr>
        <w:keepNext/>
        <w:tabs>
          <w:tab w:val="left" w:pos="3489"/>
        </w:tabs>
        <w:spacing w:after="0" w:line="240" w:lineRule="auto"/>
        <w:contextualSpacing/>
        <w:rPr>
          <w:rFonts w:ascii="Times New Roman" w:eastAsia="Calibri" w:hAnsi="Times New Roman" w:cs="Times New Roman"/>
          <w:sz w:val="26"/>
          <w:szCs w:val="26"/>
        </w:rPr>
      </w:pPr>
    </w:p>
    <w:p w14:paraId="37659D9D" w14:textId="77777777" w:rsidR="00607B13" w:rsidRPr="00EE5714" w:rsidRDefault="007D2BB1" w:rsidP="005C6588">
      <w:pPr>
        <w:tabs>
          <w:tab w:val="left" w:pos="720"/>
        </w:tabs>
        <w:spacing w:after="0" w:line="240" w:lineRule="auto"/>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ab/>
      </w:r>
      <w:r w:rsidR="000F78F0" w:rsidRPr="00EE5714">
        <w:rPr>
          <w:rFonts w:ascii="Times New Roman" w:eastAsia="Calibri" w:hAnsi="Times New Roman" w:cs="Times New Roman"/>
          <w:sz w:val="26"/>
          <w:szCs w:val="26"/>
        </w:rPr>
        <w:t>Pennsylvania’s maximum energy burden</w:t>
      </w:r>
      <w:r w:rsidR="00A73481" w:rsidRPr="00EE5714">
        <w:rPr>
          <w:rFonts w:ascii="Times New Roman" w:eastAsia="Calibri" w:hAnsi="Times New Roman" w:cs="Times New Roman"/>
          <w:sz w:val="26"/>
          <w:szCs w:val="26"/>
        </w:rPr>
        <w:t>s</w:t>
      </w:r>
      <w:r w:rsidR="000F78F0" w:rsidRPr="00EE5714">
        <w:rPr>
          <w:rFonts w:ascii="Times New Roman" w:eastAsia="Calibri" w:hAnsi="Times New Roman" w:cs="Times New Roman"/>
          <w:sz w:val="26"/>
          <w:szCs w:val="26"/>
        </w:rPr>
        <w:t xml:space="preserve"> for CAPs</w:t>
      </w:r>
      <w:r w:rsidR="00201A5D" w:rsidRPr="00EE5714">
        <w:rPr>
          <w:rFonts w:ascii="Times New Roman" w:eastAsia="Calibri" w:hAnsi="Times New Roman" w:cs="Times New Roman"/>
          <w:sz w:val="26"/>
          <w:szCs w:val="26"/>
        </w:rPr>
        <w:t>, which range from 5% to 17%</w:t>
      </w:r>
      <w:r w:rsidR="00C53A70" w:rsidRPr="00EE5714">
        <w:rPr>
          <w:rFonts w:ascii="Times New Roman" w:eastAsia="Calibri" w:hAnsi="Times New Roman" w:cs="Times New Roman"/>
          <w:sz w:val="26"/>
          <w:szCs w:val="26"/>
        </w:rPr>
        <w:t xml:space="preserve"> of household income</w:t>
      </w:r>
      <w:r w:rsidR="003B6FBD" w:rsidRPr="00EE5714">
        <w:rPr>
          <w:rFonts w:ascii="Times New Roman" w:eastAsia="Calibri" w:hAnsi="Times New Roman" w:cs="Times New Roman"/>
          <w:sz w:val="26"/>
          <w:szCs w:val="26"/>
        </w:rPr>
        <w:t xml:space="preserve">, are much higher than </w:t>
      </w:r>
      <w:r w:rsidR="00B047BB" w:rsidRPr="00EE5714">
        <w:rPr>
          <w:rFonts w:ascii="Times New Roman" w:eastAsia="Calibri" w:hAnsi="Times New Roman" w:cs="Times New Roman"/>
          <w:sz w:val="26"/>
          <w:szCs w:val="26"/>
        </w:rPr>
        <w:t>neighboring states.  Ohio has the second highest ene</w:t>
      </w:r>
      <w:r w:rsidR="003A68FB" w:rsidRPr="00EE5714">
        <w:rPr>
          <w:rFonts w:ascii="Times New Roman" w:eastAsia="Calibri" w:hAnsi="Times New Roman" w:cs="Times New Roman"/>
          <w:sz w:val="26"/>
          <w:szCs w:val="26"/>
        </w:rPr>
        <w:t xml:space="preserve">rgy burden level for its </w:t>
      </w:r>
      <w:r w:rsidR="004F2771" w:rsidRPr="00EE5714">
        <w:rPr>
          <w:rFonts w:ascii="Times New Roman" w:eastAsia="Calibri" w:hAnsi="Times New Roman" w:cs="Times New Roman"/>
          <w:sz w:val="26"/>
          <w:szCs w:val="26"/>
        </w:rPr>
        <w:t xml:space="preserve">utility </w:t>
      </w:r>
      <w:r w:rsidR="003A68FB" w:rsidRPr="00EE5714">
        <w:rPr>
          <w:rFonts w:ascii="Times New Roman" w:eastAsia="Calibri" w:hAnsi="Times New Roman" w:cs="Times New Roman"/>
          <w:sz w:val="26"/>
          <w:szCs w:val="26"/>
        </w:rPr>
        <w:t>payment assistance programs at 10%</w:t>
      </w:r>
      <w:r w:rsidR="00C53A70" w:rsidRPr="00EE5714">
        <w:rPr>
          <w:rFonts w:ascii="Times New Roman" w:eastAsia="Calibri" w:hAnsi="Times New Roman" w:cs="Times New Roman"/>
          <w:sz w:val="26"/>
          <w:szCs w:val="26"/>
        </w:rPr>
        <w:t xml:space="preserve"> of household</w:t>
      </w:r>
      <w:r w:rsidR="00A73481" w:rsidRPr="00EE5714">
        <w:rPr>
          <w:rFonts w:ascii="Times New Roman" w:eastAsia="Calibri" w:hAnsi="Times New Roman" w:cs="Times New Roman"/>
          <w:sz w:val="26"/>
          <w:szCs w:val="26"/>
        </w:rPr>
        <w:t xml:space="preserve"> income</w:t>
      </w:r>
      <w:r w:rsidR="00C53A70" w:rsidRPr="00EE5714">
        <w:rPr>
          <w:rFonts w:ascii="Times New Roman" w:eastAsia="Calibri" w:hAnsi="Times New Roman" w:cs="Times New Roman"/>
          <w:sz w:val="26"/>
          <w:szCs w:val="26"/>
        </w:rPr>
        <w:t xml:space="preserve">.  </w:t>
      </w:r>
      <w:r w:rsidR="00DA1035" w:rsidRPr="00EE5714">
        <w:rPr>
          <w:rFonts w:ascii="Times New Roman" w:eastAsia="Calibri" w:hAnsi="Times New Roman" w:cs="Times New Roman"/>
          <w:sz w:val="26"/>
          <w:szCs w:val="26"/>
        </w:rPr>
        <w:t>New York and New Jersey</w:t>
      </w:r>
      <w:r w:rsidR="004F2771" w:rsidRPr="00EE5714">
        <w:rPr>
          <w:rFonts w:ascii="Times New Roman" w:eastAsia="Calibri" w:hAnsi="Times New Roman" w:cs="Times New Roman"/>
          <w:sz w:val="26"/>
          <w:szCs w:val="26"/>
        </w:rPr>
        <w:t>’s utility payment assistance program</w:t>
      </w:r>
      <w:r w:rsidR="001E1FAB" w:rsidRPr="00EE5714">
        <w:rPr>
          <w:rFonts w:ascii="Times New Roman" w:eastAsia="Calibri" w:hAnsi="Times New Roman" w:cs="Times New Roman"/>
          <w:sz w:val="26"/>
          <w:szCs w:val="26"/>
        </w:rPr>
        <w:t xml:space="preserve">s </w:t>
      </w:r>
      <w:r w:rsidR="00194290" w:rsidRPr="00EE5714">
        <w:rPr>
          <w:rFonts w:ascii="Times New Roman" w:eastAsia="Calibri" w:hAnsi="Times New Roman" w:cs="Times New Roman"/>
          <w:sz w:val="26"/>
          <w:szCs w:val="26"/>
        </w:rPr>
        <w:t xml:space="preserve">both </w:t>
      </w:r>
      <w:r w:rsidR="001E1FAB" w:rsidRPr="00EE5714">
        <w:rPr>
          <w:rFonts w:ascii="Times New Roman" w:eastAsia="Calibri" w:hAnsi="Times New Roman" w:cs="Times New Roman"/>
          <w:sz w:val="26"/>
          <w:szCs w:val="26"/>
        </w:rPr>
        <w:t xml:space="preserve">have a </w:t>
      </w:r>
      <w:r w:rsidR="00194290" w:rsidRPr="00EE5714">
        <w:rPr>
          <w:rFonts w:ascii="Times New Roman" w:eastAsia="Calibri" w:hAnsi="Times New Roman" w:cs="Times New Roman"/>
          <w:sz w:val="26"/>
          <w:szCs w:val="26"/>
        </w:rPr>
        <w:t>maximum energy burden of 6%.</w:t>
      </w:r>
    </w:p>
    <w:p w14:paraId="505C4F0D" w14:textId="77777777" w:rsidR="006507FE" w:rsidRPr="00EE5714" w:rsidRDefault="006507FE" w:rsidP="005C6588">
      <w:pPr>
        <w:tabs>
          <w:tab w:val="left" w:pos="720"/>
        </w:tabs>
        <w:spacing w:after="0" w:line="240" w:lineRule="auto"/>
        <w:contextualSpacing/>
        <w:rPr>
          <w:rFonts w:ascii="Times New Roman" w:eastAsia="Calibri" w:hAnsi="Times New Roman" w:cs="Times New Roman"/>
          <w:sz w:val="26"/>
          <w:szCs w:val="26"/>
        </w:rPr>
      </w:pPr>
    </w:p>
    <w:p w14:paraId="0051765A" w14:textId="4E3EC197" w:rsidR="006507FE" w:rsidRPr="00EE5714" w:rsidRDefault="00EC11BC" w:rsidP="006507FE">
      <w:pPr>
        <w:tabs>
          <w:tab w:val="left" w:pos="720"/>
        </w:tabs>
        <w:spacing w:after="0" w:line="240" w:lineRule="auto"/>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ab/>
      </w:r>
      <w:r w:rsidR="006507FE" w:rsidRPr="00EE5714">
        <w:rPr>
          <w:rFonts w:ascii="Times New Roman" w:eastAsia="Calibri" w:hAnsi="Times New Roman" w:cs="Times New Roman"/>
          <w:sz w:val="26"/>
          <w:szCs w:val="26"/>
        </w:rPr>
        <w:t>Pennsylvania households with incomes at or below 150% of the FPIG experience some of the highest energy burdens in the country.  When counting the cost</w:t>
      </w:r>
      <w:r w:rsidR="00FF1906" w:rsidRPr="00EE5714">
        <w:rPr>
          <w:rFonts w:ascii="Times New Roman" w:eastAsia="Calibri" w:hAnsi="Times New Roman" w:cs="Times New Roman"/>
          <w:sz w:val="26"/>
          <w:szCs w:val="26"/>
        </w:rPr>
        <w:t>s</w:t>
      </w:r>
      <w:r w:rsidR="006507FE" w:rsidRPr="00EE5714">
        <w:rPr>
          <w:rFonts w:ascii="Times New Roman" w:eastAsia="Calibri" w:hAnsi="Times New Roman" w:cs="Times New Roman"/>
          <w:sz w:val="26"/>
          <w:szCs w:val="26"/>
        </w:rPr>
        <w:t xml:space="preserve"> of all sources of energy, Pennsylvania residents with incomes at or below 50% of the FPIG had energy burden levels at 30% or higher for four of the five years of this study.  </w:t>
      </w:r>
      <w:r w:rsidR="00EA0A9E" w:rsidRPr="00EE5714">
        <w:rPr>
          <w:rFonts w:ascii="Times New Roman" w:eastAsia="Calibri" w:hAnsi="Times New Roman" w:cs="Times New Roman"/>
          <w:sz w:val="26"/>
          <w:szCs w:val="26"/>
        </w:rPr>
        <w:t>H</w:t>
      </w:r>
      <w:r w:rsidR="006C2D98" w:rsidRPr="00EE5714">
        <w:rPr>
          <w:rFonts w:ascii="Times New Roman" w:eastAsia="Calibri" w:hAnsi="Times New Roman" w:cs="Times New Roman"/>
          <w:sz w:val="26"/>
          <w:szCs w:val="26"/>
        </w:rPr>
        <w:t>ouseholds that use electric non-heating may have higher energy burden levels</w:t>
      </w:r>
      <w:r w:rsidR="00EA0A9E" w:rsidRPr="00EE5714">
        <w:rPr>
          <w:rFonts w:ascii="Times New Roman" w:eastAsia="Calibri" w:hAnsi="Times New Roman" w:cs="Times New Roman"/>
          <w:sz w:val="26"/>
          <w:szCs w:val="26"/>
        </w:rPr>
        <w:t xml:space="preserve"> than those reflected in this study if they use </w:t>
      </w:r>
      <w:r w:rsidR="00B14029" w:rsidRPr="00EE5714">
        <w:rPr>
          <w:rFonts w:ascii="Times New Roman" w:eastAsia="Calibri" w:hAnsi="Times New Roman" w:cs="Times New Roman"/>
          <w:sz w:val="26"/>
          <w:szCs w:val="26"/>
        </w:rPr>
        <w:t>more expensive heating fuels, such as oil</w:t>
      </w:r>
      <w:r w:rsidR="00A52353" w:rsidRPr="00EE5714">
        <w:rPr>
          <w:rFonts w:ascii="Times New Roman" w:eastAsia="Calibri" w:hAnsi="Times New Roman" w:cs="Times New Roman"/>
          <w:sz w:val="26"/>
          <w:szCs w:val="26"/>
        </w:rPr>
        <w:t xml:space="preserve"> or propane</w:t>
      </w:r>
      <w:r w:rsidR="00397EA2" w:rsidRPr="00EE5714">
        <w:rPr>
          <w:rFonts w:ascii="Times New Roman" w:eastAsia="Calibri" w:hAnsi="Times New Roman" w:cs="Times New Roman"/>
          <w:sz w:val="26"/>
          <w:szCs w:val="26"/>
        </w:rPr>
        <w:t xml:space="preserve">. </w:t>
      </w:r>
      <w:r w:rsidR="006C2D98" w:rsidRPr="00EE5714">
        <w:rPr>
          <w:rFonts w:ascii="Times New Roman" w:eastAsia="Calibri" w:hAnsi="Times New Roman" w:cs="Times New Roman"/>
          <w:sz w:val="26"/>
          <w:szCs w:val="26"/>
        </w:rPr>
        <w:t xml:space="preserve"> </w:t>
      </w:r>
    </w:p>
    <w:p w14:paraId="5035F8E4" w14:textId="77777777" w:rsidR="006507FE" w:rsidRPr="00EE5714" w:rsidRDefault="006507FE" w:rsidP="005C6588">
      <w:pPr>
        <w:tabs>
          <w:tab w:val="left" w:pos="720"/>
        </w:tabs>
        <w:spacing w:after="0" w:line="240" w:lineRule="auto"/>
        <w:contextualSpacing/>
        <w:rPr>
          <w:rFonts w:ascii="Times New Roman" w:eastAsia="Calibri" w:hAnsi="Times New Roman" w:cs="Times New Roman"/>
          <w:sz w:val="26"/>
          <w:szCs w:val="26"/>
        </w:rPr>
      </w:pPr>
    </w:p>
    <w:p w14:paraId="419A2463" w14:textId="77777777" w:rsidR="00CA2266" w:rsidRPr="00EE5714" w:rsidRDefault="00CA2266" w:rsidP="00EE7AE6">
      <w:pPr>
        <w:spacing w:after="0" w:line="240" w:lineRule="auto"/>
        <w:contextualSpacing/>
        <w:rPr>
          <w:rFonts w:ascii="Times New Roman" w:hAnsi="Times New Roman" w:cs="Times New Roman"/>
          <w:sz w:val="26"/>
          <w:szCs w:val="26"/>
        </w:rPr>
      </w:pPr>
    </w:p>
    <w:p w14:paraId="5172BEDC" w14:textId="77777777" w:rsidR="00607B13" w:rsidRPr="00EE5714" w:rsidRDefault="00EE7AE6" w:rsidP="00CA2266">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372368" w:rsidRPr="00EE5714">
        <w:rPr>
          <w:rFonts w:ascii="Times New Roman" w:hAnsi="Times New Roman" w:cs="Times New Roman"/>
          <w:sz w:val="26"/>
          <w:szCs w:val="26"/>
        </w:rPr>
        <w:t xml:space="preserve">A review of the </w:t>
      </w:r>
      <w:r w:rsidR="003F402C" w:rsidRPr="00EE5714">
        <w:rPr>
          <w:rFonts w:ascii="Times New Roman" w:hAnsi="Times New Roman" w:cs="Times New Roman"/>
          <w:sz w:val="26"/>
          <w:szCs w:val="26"/>
        </w:rPr>
        <w:t xml:space="preserve">other </w:t>
      </w:r>
      <w:r w:rsidR="006372C8" w:rsidRPr="00EE5714">
        <w:rPr>
          <w:rFonts w:ascii="Times New Roman" w:hAnsi="Times New Roman" w:cs="Times New Roman"/>
          <w:sz w:val="26"/>
          <w:szCs w:val="26"/>
        </w:rPr>
        <w:t xml:space="preserve">independent </w:t>
      </w:r>
      <w:r w:rsidR="00372368" w:rsidRPr="00EE5714">
        <w:rPr>
          <w:rFonts w:ascii="Times New Roman" w:hAnsi="Times New Roman" w:cs="Times New Roman"/>
          <w:sz w:val="26"/>
          <w:szCs w:val="26"/>
        </w:rPr>
        <w:t xml:space="preserve">studies </w:t>
      </w:r>
      <w:r w:rsidR="006372C8" w:rsidRPr="00EE5714">
        <w:rPr>
          <w:rFonts w:ascii="Times New Roman" w:hAnsi="Times New Roman" w:cs="Times New Roman"/>
          <w:sz w:val="26"/>
          <w:szCs w:val="26"/>
        </w:rPr>
        <w:t xml:space="preserve">referenced </w:t>
      </w:r>
      <w:r w:rsidR="00372368" w:rsidRPr="00EE5714">
        <w:rPr>
          <w:rFonts w:ascii="Times New Roman" w:hAnsi="Times New Roman" w:cs="Times New Roman"/>
          <w:sz w:val="26"/>
          <w:szCs w:val="26"/>
        </w:rPr>
        <w:t xml:space="preserve">above provides the following </w:t>
      </w:r>
      <w:r w:rsidR="00455ADC" w:rsidRPr="00EE5714">
        <w:rPr>
          <w:rFonts w:ascii="Times New Roman" w:hAnsi="Times New Roman" w:cs="Times New Roman"/>
          <w:sz w:val="26"/>
          <w:szCs w:val="26"/>
        </w:rPr>
        <w:t>guidance</w:t>
      </w:r>
      <w:r w:rsidR="00372368" w:rsidRPr="00EE5714">
        <w:rPr>
          <w:rFonts w:ascii="Times New Roman" w:hAnsi="Times New Roman" w:cs="Times New Roman"/>
          <w:sz w:val="26"/>
          <w:szCs w:val="26"/>
        </w:rPr>
        <w:t>:</w:t>
      </w:r>
    </w:p>
    <w:p w14:paraId="3A10D00B" w14:textId="77777777" w:rsidR="00CA2266" w:rsidRPr="00EE5714" w:rsidRDefault="00CA2266" w:rsidP="00EE7AE6">
      <w:pPr>
        <w:spacing w:after="0" w:line="240" w:lineRule="auto"/>
        <w:contextualSpacing/>
        <w:rPr>
          <w:rFonts w:ascii="Times New Roman" w:hAnsi="Times New Roman" w:cs="Times New Roman"/>
          <w:sz w:val="26"/>
          <w:szCs w:val="26"/>
        </w:rPr>
      </w:pPr>
    </w:p>
    <w:p w14:paraId="320A12D5" w14:textId="77777777" w:rsidR="00B56C4A" w:rsidRPr="00EE5714" w:rsidRDefault="00BA1501" w:rsidP="007D5276">
      <w:pPr>
        <w:pStyle w:val="ListParagraph"/>
        <w:numPr>
          <w:ilvl w:val="0"/>
          <w:numId w:val="4"/>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lastRenderedPageBreak/>
        <w:t xml:space="preserve">Although nearly </w:t>
      </w:r>
      <w:r w:rsidR="003C65CE" w:rsidRPr="00EE5714">
        <w:rPr>
          <w:rFonts w:ascii="Times New Roman" w:hAnsi="Times New Roman" w:cs="Times New Roman"/>
          <w:sz w:val="26"/>
          <w:szCs w:val="26"/>
        </w:rPr>
        <w:t>eight-in-ten Pennsylvanians live in an urban area</w:t>
      </w:r>
      <w:r w:rsidR="00653B9C" w:rsidRPr="00EE5714">
        <w:rPr>
          <w:rFonts w:ascii="Times New Roman" w:hAnsi="Times New Roman" w:cs="Times New Roman"/>
          <w:sz w:val="26"/>
          <w:szCs w:val="26"/>
        </w:rPr>
        <w:t xml:space="preserve"> (78.7%)</w:t>
      </w:r>
      <w:r w:rsidR="003C65CE" w:rsidRPr="00EE5714">
        <w:rPr>
          <w:rFonts w:ascii="Times New Roman" w:hAnsi="Times New Roman" w:cs="Times New Roman"/>
          <w:sz w:val="26"/>
          <w:szCs w:val="26"/>
        </w:rPr>
        <w:t>,</w:t>
      </w:r>
      <w:r w:rsidR="00137FE0" w:rsidRPr="00EE5714">
        <w:rPr>
          <w:rStyle w:val="FootnoteReference"/>
          <w:rFonts w:ascii="Times New Roman" w:hAnsi="Times New Roman" w:cs="Times New Roman"/>
          <w:sz w:val="26"/>
          <w:szCs w:val="26"/>
        </w:rPr>
        <w:footnoteReference w:id="85"/>
      </w:r>
      <w:r w:rsidR="00653B9C" w:rsidRPr="00EE5714">
        <w:rPr>
          <w:rFonts w:ascii="Times New Roman" w:hAnsi="Times New Roman" w:cs="Times New Roman"/>
          <w:sz w:val="26"/>
          <w:szCs w:val="26"/>
        </w:rPr>
        <w:t xml:space="preserve"> households in rural </w:t>
      </w:r>
      <w:r w:rsidR="00ED6868" w:rsidRPr="00EE5714">
        <w:rPr>
          <w:rFonts w:ascii="Times New Roman" w:hAnsi="Times New Roman" w:cs="Times New Roman"/>
          <w:sz w:val="26"/>
          <w:szCs w:val="26"/>
        </w:rPr>
        <w:t xml:space="preserve">areas may experience </w:t>
      </w:r>
      <w:r w:rsidR="008B1C74" w:rsidRPr="00EE5714">
        <w:rPr>
          <w:rFonts w:ascii="Times New Roman" w:hAnsi="Times New Roman" w:cs="Times New Roman"/>
          <w:sz w:val="26"/>
          <w:szCs w:val="26"/>
        </w:rPr>
        <w:t xml:space="preserve">the </w:t>
      </w:r>
      <w:r w:rsidR="00ED6868" w:rsidRPr="00EE5714">
        <w:rPr>
          <w:rFonts w:ascii="Times New Roman" w:hAnsi="Times New Roman" w:cs="Times New Roman"/>
          <w:sz w:val="26"/>
          <w:szCs w:val="26"/>
        </w:rPr>
        <w:t>highe</w:t>
      </w:r>
      <w:r w:rsidR="008B1C74" w:rsidRPr="00EE5714">
        <w:rPr>
          <w:rFonts w:ascii="Times New Roman" w:hAnsi="Times New Roman" w:cs="Times New Roman"/>
          <w:sz w:val="26"/>
          <w:szCs w:val="26"/>
        </w:rPr>
        <w:t>st</w:t>
      </w:r>
      <w:r w:rsidR="00ED6868" w:rsidRPr="00EE5714">
        <w:rPr>
          <w:rFonts w:ascii="Times New Roman" w:hAnsi="Times New Roman" w:cs="Times New Roman"/>
          <w:sz w:val="26"/>
          <w:szCs w:val="26"/>
        </w:rPr>
        <w:t xml:space="preserve"> energy burden</w:t>
      </w:r>
      <w:r w:rsidR="001C625C" w:rsidRPr="00EE5714">
        <w:rPr>
          <w:rFonts w:ascii="Times New Roman" w:hAnsi="Times New Roman" w:cs="Times New Roman"/>
          <w:sz w:val="26"/>
          <w:szCs w:val="26"/>
        </w:rPr>
        <w:t xml:space="preserve"> levels</w:t>
      </w:r>
      <w:r w:rsidR="00357253" w:rsidRPr="00EE5714">
        <w:rPr>
          <w:rFonts w:ascii="Times New Roman" w:hAnsi="Times New Roman" w:cs="Times New Roman"/>
          <w:sz w:val="26"/>
          <w:szCs w:val="26"/>
        </w:rPr>
        <w:t xml:space="preserve"> due to poor housing stock in these areas</w:t>
      </w:r>
      <w:r w:rsidR="001C625C" w:rsidRPr="00EE5714">
        <w:rPr>
          <w:rFonts w:ascii="Times New Roman" w:hAnsi="Times New Roman" w:cs="Times New Roman"/>
          <w:sz w:val="26"/>
          <w:szCs w:val="26"/>
        </w:rPr>
        <w:t xml:space="preserve">.  </w:t>
      </w:r>
      <w:r w:rsidR="000A52D7" w:rsidRPr="00EE5714">
        <w:rPr>
          <w:rFonts w:ascii="Times New Roman" w:hAnsi="Times New Roman" w:cs="Times New Roman"/>
          <w:sz w:val="26"/>
          <w:szCs w:val="26"/>
        </w:rPr>
        <w:t>Focusing energy</w:t>
      </w:r>
      <w:r w:rsidR="00071519" w:rsidRPr="00EE5714">
        <w:rPr>
          <w:rFonts w:ascii="Times New Roman" w:hAnsi="Times New Roman" w:cs="Times New Roman"/>
          <w:sz w:val="26"/>
          <w:szCs w:val="26"/>
        </w:rPr>
        <w:t>-</w:t>
      </w:r>
      <w:r w:rsidR="000A52D7" w:rsidRPr="00EE5714">
        <w:rPr>
          <w:rFonts w:ascii="Times New Roman" w:hAnsi="Times New Roman" w:cs="Times New Roman"/>
          <w:sz w:val="26"/>
          <w:szCs w:val="26"/>
        </w:rPr>
        <w:t>efficien</w:t>
      </w:r>
      <w:r w:rsidR="00A311F4" w:rsidRPr="00EE5714">
        <w:rPr>
          <w:rFonts w:ascii="Times New Roman" w:hAnsi="Times New Roman" w:cs="Times New Roman"/>
          <w:sz w:val="26"/>
          <w:szCs w:val="26"/>
        </w:rPr>
        <w:t>cy</w:t>
      </w:r>
      <w:r w:rsidR="000A52D7" w:rsidRPr="00EE5714">
        <w:rPr>
          <w:rFonts w:ascii="Times New Roman" w:hAnsi="Times New Roman" w:cs="Times New Roman"/>
          <w:sz w:val="26"/>
          <w:szCs w:val="26"/>
        </w:rPr>
        <w:t xml:space="preserve"> education and weatherization services </w:t>
      </w:r>
      <w:r w:rsidR="00710F8B" w:rsidRPr="00EE5714">
        <w:rPr>
          <w:rFonts w:ascii="Times New Roman" w:hAnsi="Times New Roman" w:cs="Times New Roman"/>
          <w:sz w:val="26"/>
          <w:szCs w:val="26"/>
        </w:rPr>
        <w:t>can help to reduce the energy burden disparity in these areas and</w:t>
      </w:r>
      <w:r w:rsidR="00340D04" w:rsidRPr="00EE5714">
        <w:rPr>
          <w:rFonts w:ascii="Times New Roman" w:hAnsi="Times New Roman" w:cs="Times New Roman"/>
          <w:sz w:val="26"/>
          <w:szCs w:val="26"/>
        </w:rPr>
        <w:t xml:space="preserve"> help make CAPs more effective.</w:t>
      </w:r>
    </w:p>
    <w:p w14:paraId="4781513E" w14:textId="77777777" w:rsidR="00B56C4A" w:rsidRPr="00EE5714" w:rsidRDefault="00B56C4A" w:rsidP="00267287">
      <w:pPr>
        <w:pStyle w:val="ListParagraph"/>
        <w:spacing w:after="0" w:line="240" w:lineRule="auto"/>
        <w:ind w:left="1440"/>
        <w:rPr>
          <w:rFonts w:ascii="Times New Roman" w:hAnsi="Times New Roman" w:cs="Times New Roman"/>
          <w:sz w:val="26"/>
          <w:szCs w:val="26"/>
        </w:rPr>
      </w:pPr>
    </w:p>
    <w:p w14:paraId="47168586" w14:textId="77777777" w:rsidR="00372368" w:rsidRPr="00EE5714" w:rsidRDefault="00372368" w:rsidP="007D5276">
      <w:pPr>
        <w:pStyle w:val="ListParagraph"/>
        <w:numPr>
          <w:ilvl w:val="0"/>
          <w:numId w:val="4"/>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Policymakers should not confuse unaffordability with non-payment behavior.  Customers can make payments in full and on time, yet their bill</w:t>
      </w:r>
      <w:r w:rsidR="00584565" w:rsidRPr="00EE5714">
        <w:rPr>
          <w:rFonts w:ascii="Times New Roman" w:hAnsi="Times New Roman" w:cs="Times New Roman"/>
          <w:sz w:val="26"/>
          <w:szCs w:val="26"/>
        </w:rPr>
        <w:t>s</w:t>
      </w:r>
      <w:r w:rsidRPr="00EE5714">
        <w:rPr>
          <w:rFonts w:ascii="Times New Roman" w:hAnsi="Times New Roman" w:cs="Times New Roman"/>
          <w:sz w:val="26"/>
          <w:szCs w:val="26"/>
        </w:rPr>
        <w:t xml:space="preserve"> </w:t>
      </w:r>
      <w:r w:rsidR="00584565" w:rsidRPr="00EE5714">
        <w:rPr>
          <w:rFonts w:ascii="Times New Roman" w:hAnsi="Times New Roman" w:cs="Times New Roman"/>
          <w:sz w:val="26"/>
          <w:szCs w:val="26"/>
        </w:rPr>
        <w:t>may</w:t>
      </w:r>
      <w:r w:rsidRPr="00EE5714">
        <w:rPr>
          <w:rFonts w:ascii="Times New Roman" w:hAnsi="Times New Roman" w:cs="Times New Roman"/>
          <w:sz w:val="26"/>
          <w:szCs w:val="26"/>
        </w:rPr>
        <w:t xml:space="preserve"> still not </w:t>
      </w:r>
      <w:r w:rsidR="00584565" w:rsidRPr="00EE5714">
        <w:rPr>
          <w:rFonts w:ascii="Times New Roman" w:hAnsi="Times New Roman" w:cs="Times New Roman"/>
          <w:sz w:val="26"/>
          <w:szCs w:val="26"/>
        </w:rPr>
        <w:t xml:space="preserve">be </w:t>
      </w:r>
      <w:r w:rsidRPr="00EE5714">
        <w:rPr>
          <w:rFonts w:ascii="Times New Roman" w:hAnsi="Times New Roman" w:cs="Times New Roman"/>
          <w:sz w:val="26"/>
          <w:szCs w:val="26"/>
        </w:rPr>
        <w:t xml:space="preserve">affordable when other (possibly neglected) household expenses are </w:t>
      </w:r>
      <w:proofErr w:type="gramStart"/>
      <w:r w:rsidRPr="00EE5714">
        <w:rPr>
          <w:rFonts w:ascii="Times New Roman" w:hAnsi="Times New Roman" w:cs="Times New Roman"/>
          <w:sz w:val="26"/>
          <w:szCs w:val="26"/>
        </w:rPr>
        <w:t>taken into account</w:t>
      </w:r>
      <w:proofErr w:type="gramEnd"/>
      <w:r w:rsidRPr="00EE5714">
        <w:rPr>
          <w:rFonts w:ascii="Times New Roman" w:hAnsi="Times New Roman" w:cs="Times New Roman"/>
          <w:sz w:val="26"/>
          <w:szCs w:val="26"/>
        </w:rPr>
        <w:t>.</w:t>
      </w:r>
    </w:p>
    <w:p w14:paraId="460D42E4" w14:textId="77777777" w:rsidR="00372368" w:rsidRPr="00EE5714" w:rsidRDefault="00372368" w:rsidP="00EE7AE6">
      <w:pPr>
        <w:pStyle w:val="ListParagraph"/>
        <w:spacing w:after="0" w:line="240" w:lineRule="auto"/>
        <w:rPr>
          <w:rFonts w:ascii="Times New Roman" w:hAnsi="Times New Roman" w:cs="Times New Roman"/>
          <w:sz w:val="26"/>
          <w:szCs w:val="26"/>
        </w:rPr>
      </w:pPr>
    </w:p>
    <w:p w14:paraId="05CBFD2C" w14:textId="77777777" w:rsidR="00372368" w:rsidRPr="00EE5714" w:rsidRDefault="00C96275" w:rsidP="007D5276">
      <w:pPr>
        <w:pStyle w:val="ListParagraph"/>
        <w:numPr>
          <w:ilvl w:val="0"/>
          <w:numId w:val="4"/>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N</w:t>
      </w:r>
      <w:r w:rsidR="00372368" w:rsidRPr="00EE5714">
        <w:rPr>
          <w:rFonts w:ascii="Times New Roman" w:hAnsi="Times New Roman" w:cs="Times New Roman"/>
          <w:sz w:val="26"/>
          <w:szCs w:val="26"/>
        </w:rPr>
        <w:t xml:space="preserve">ot every household in poverty or with high energy burdens will automatically experience </w:t>
      </w:r>
      <w:r w:rsidR="002A1D9F" w:rsidRPr="00EE5714">
        <w:rPr>
          <w:rFonts w:ascii="Times New Roman" w:hAnsi="Times New Roman" w:cs="Times New Roman"/>
          <w:sz w:val="26"/>
          <w:szCs w:val="26"/>
        </w:rPr>
        <w:t xml:space="preserve">energy bill </w:t>
      </w:r>
      <w:r w:rsidR="00372368" w:rsidRPr="00EE5714">
        <w:rPr>
          <w:rFonts w:ascii="Times New Roman" w:hAnsi="Times New Roman" w:cs="Times New Roman"/>
          <w:sz w:val="26"/>
          <w:szCs w:val="26"/>
        </w:rPr>
        <w:t>payment problems.</w:t>
      </w:r>
    </w:p>
    <w:p w14:paraId="7DBC3A60" w14:textId="77777777" w:rsidR="00372368" w:rsidRPr="00EE5714" w:rsidRDefault="00372368" w:rsidP="00EE7AE6">
      <w:pPr>
        <w:pStyle w:val="ListParagraph"/>
        <w:spacing w:after="0" w:line="240" w:lineRule="auto"/>
        <w:rPr>
          <w:rFonts w:ascii="Times New Roman" w:hAnsi="Times New Roman" w:cs="Times New Roman"/>
          <w:sz w:val="26"/>
          <w:szCs w:val="26"/>
        </w:rPr>
      </w:pPr>
    </w:p>
    <w:p w14:paraId="39187A53" w14:textId="77777777" w:rsidR="00372368" w:rsidRPr="00EE5714" w:rsidRDefault="00372368" w:rsidP="007D5276">
      <w:pPr>
        <w:pStyle w:val="ListParagraph"/>
        <w:numPr>
          <w:ilvl w:val="0"/>
          <w:numId w:val="4"/>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Although LIHEAP does serve the lowest income households with the highest energy burden, the concept of vulnerability must also be considered.  Some populations, such as the elderly and families with young children or members with certain medical conditions, are more vulnerable than others.</w:t>
      </w:r>
    </w:p>
    <w:p w14:paraId="7B1988F5" w14:textId="77777777" w:rsidR="00372368" w:rsidRPr="00EE5714" w:rsidRDefault="00372368" w:rsidP="00891E6B">
      <w:pPr>
        <w:pStyle w:val="ListParagraph"/>
        <w:spacing w:after="0" w:line="240" w:lineRule="auto"/>
        <w:ind w:left="1440" w:hanging="720"/>
        <w:rPr>
          <w:rFonts w:ascii="Times New Roman" w:hAnsi="Times New Roman" w:cs="Times New Roman"/>
          <w:sz w:val="26"/>
          <w:szCs w:val="26"/>
        </w:rPr>
      </w:pPr>
    </w:p>
    <w:p w14:paraId="1DA811CC" w14:textId="31501FD5" w:rsidR="00372368" w:rsidRPr="00EE5714" w:rsidRDefault="00584565" w:rsidP="00A52353">
      <w:pPr>
        <w:pStyle w:val="ListParagraph"/>
        <w:numPr>
          <w:ilvl w:val="0"/>
          <w:numId w:val="4"/>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K</w:t>
      </w:r>
      <w:r w:rsidR="00372368" w:rsidRPr="00EE5714">
        <w:rPr>
          <w:rFonts w:ascii="Times New Roman" w:hAnsi="Times New Roman" w:cs="Times New Roman"/>
          <w:sz w:val="26"/>
          <w:szCs w:val="26"/>
        </w:rPr>
        <w:t>now</w:t>
      </w:r>
      <w:r w:rsidR="0068266A" w:rsidRPr="00EE5714">
        <w:rPr>
          <w:rFonts w:ascii="Times New Roman" w:hAnsi="Times New Roman" w:cs="Times New Roman"/>
          <w:sz w:val="26"/>
          <w:szCs w:val="26"/>
        </w:rPr>
        <w:t>ing</w:t>
      </w:r>
      <w:r w:rsidR="00372368" w:rsidRPr="00EE5714">
        <w:rPr>
          <w:rFonts w:ascii="Times New Roman" w:hAnsi="Times New Roman" w:cs="Times New Roman"/>
          <w:sz w:val="26"/>
          <w:szCs w:val="26"/>
        </w:rPr>
        <w:t xml:space="preserve"> the characteristics of the intended population </w:t>
      </w:r>
      <w:r w:rsidR="00B82103" w:rsidRPr="00EE5714">
        <w:rPr>
          <w:rFonts w:ascii="Times New Roman" w:hAnsi="Times New Roman" w:cs="Times New Roman"/>
          <w:sz w:val="26"/>
          <w:szCs w:val="26"/>
        </w:rPr>
        <w:t xml:space="preserve">enables </w:t>
      </w:r>
      <w:r w:rsidR="00A663A6" w:rsidRPr="00EE5714">
        <w:rPr>
          <w:rFonts w:ascii="Times New Roman" w:hAnsi="Times New Roman" w:cs="Times New Roman"/>
          <w:sz w:val="26"/>
          <w:szCs w:val="26"/>
        </w:rPr>
        <w:t xml:space="preserve">prioritization according to </w:t>
      </w:r>
      <w:r w:rsidR="00B431D0" w:rsidRPr="00EE5714">
        <w:rPr>
          <w:rFonts w:ascii="Times New Roman" w:hAnsi="Times New Roman" w:cs="Times New Roman"/>
          <w:sz w:val="26"/>
          <w:szCs w:val="26"/>
        </w:rPr>
        <w:t>need.</w:t>
      </w:r>
      <w:r w:rsidR="00372368" w:rsidRPr="00EE5714">
        <w:rPr>
          <w:rFonts w:ascii="Times New Roman" w:hAnsi="Times New Roman" w:cs="Times New Roman"/>
          <w:sz w:val="26"/>
          <w:szCs w:val="26"/>
        </w:rPr>
        <w:t xml:space="preserve">  </w:t>
      </w:r>
      <w:r w:rsidR="0054500E" w:rsidRPr="00EE5714">
        <w:rPr>
          <w:rFonts w:ascii="Times New Roman" w:hAnsi="Times New Roman" w:cs="Times New Roman"/>
          <w:sz w:val="26"/>
          <w:szCs w:val="26"/>
        </w:rPr>
        <w:t>Demographic patterns – including age, education, and gender – may correlate to energy affordability.  Elderly households may be more vulnerable to high energy burdens because they are more likely to live in smaller family sizes and with l</w:t>
      </w:r>
      <w:r w:rsidR="00A52353" w:rsidRPr="00EE5714">
        <w:rPr>
          <w:rFonts w:ascii="Times New Roman" w:hAnsi="Times New Roman" w:cs="Times New Roman"/>
          <w:sz w:val="26"/>
          <w:szCs w:val="26"/>
        </w:rPr>
        <w:t>imited and fixed</w:t>
      </w:r>
      <w:r w:rsidR="0054500E" w:rsidRPr="00EE5714">
        <w:rPr>
          <w:rFonts w:ascii="Times New Roman" w:hAnsi="Times New Roman" w:cs="Times New Roman"/>
          <w:sz w:val="26"/>
          <w:szCs w:val="26"/>
        </w:rPr>
        <w:t xml:space="preserve"> income</w:t>
      </w:r>
      <w:r w:rsidR="00A52353" w:rsidRPr="00EE5714">
        <w:rPr>
          <w:rFonts w:ascii="Times New Roman" w:hAnsi="Times New Roman" w:cs="Times New Roman"/>
          <w:sz w:val="26"/>
          <w:szCs w:val="26"/>
        </w:rPr>
        <w:t>.</w:t>
      </w:r>
    </w:p>
    <w:p w14:paraId="69E1EF1D" w14:textId="77777777" w:rsidR="00C43505" w:rsidRPr="00EE5714" w:rsidRDefault="00C43505" w:rsidP="00C43505">
      <w:pPr>
        <w:spacing w:after="0" w:line="240" w:lineRule="auto"/>
        <w:rPr>
          <w:rFonts w:ascii="Times New Roman" w:hAnsi="Times New Roman" w:cs="Times New Roman"/>
          <w:sz w:val="26"/>
          <w:szCs w:val="26"/>
        </w:rPr>
      </w:pPr>
    </w:p>
    <w:p w14:paraId="53BF7D13" w14:textId="77777777" w:rsidR="00372368" w:rsidRPr="00EE5714" w:rsidRDefault="001071EE" w:rsidP="007D5276">
      <w:pPr>
        <w:pStyle w:val="ListParagraph"/>
        <w:numPr>
          <w:ilvl w:val="0"/>
          <w:numId w:val="4"/>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F</w:t>
      </w:r>
      <w:r w:rsidR="00372368" w:rsidRPr="00EE5714">
        <w:rPr>
          <w:rFonts w:ascii="Times New Roman" w:hAnsi="Times New Roman" w:cs="Times New Roman"/>
          <w:sz w:val="26"/>
          <w:szCs w:val="26"/>
        </w:rPr>
        <w:t>actors other than income and customer characteristics will play a role in determining the effectiveness of an assistance program.  Program design is important, including the application process and leveraging of resources.</w:t>
      </w:r>
    </w:p>
    <w:p w14:paraId="742E240E" w14:textId="77777777" w:rsidR="00372368" w:rsidRPr="00EE5714" w:rsidRDefault="00372368" w:rsidP="00891E6B">
      <w:pPr>
        <w:pStyle w:val="ListParagraph"/>
        <w:spacing w:after="0" w:line="240" w:lineRule="auto"/>
        <w:ind w:left="1440" w:hanging="720"/>
        <w:rPr>
          <w:rFonts w:ascii="Times New Roman" w:hAnsi="Times New Roman" w:cs="Times New Roman"/>
          <w:sz w:val="26"/>
          <w:szCs w:val="26"/>
        </w:rPr>
      </w:pPr>
    </w:p>
    <w:p w14:paraId="292A2B58" w14:textId="77777777" w:rsidR="00372368" w:rsidRPr="00EE5714" w:rsidRDefault="00925BC3" w:rsidP="007D5276">
      <w:pPr>
        <w:pStyle w:val="ListParagraph"/>
        <w:numPr>
          <w:ilvl w:val="0"/>
          <w:numId w:val="4"/>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T</w:t>
      </w:r>
      <w:r w:rsidR="00372368" w:rsidRPr="00EE5714">
        <w:rPr>
          <w:rFonts w:ascii="Times New Roman" w:hAnsi="Times New Roman" w:cs="Times New Roman"/>
          <w:sz w:val="26"/>
          <w:szCs w:val="26"/>
        </w:rPr>
        <w:t>he ability to coordinate multiple programs so that the strengths and goals of one can offset or compensate for weaknesses of another</w:t>
      </w:r>
      <w:r w:rsidRPr="00EE5714">
        <w:rPr>
          <w:rFonts w:ascii="Times New Roman" w:hAnsi="Times New Roman" w:cs="Times New Roman"/>
          <w:sz w:val="26"/>
          <w:szCs w:val="26"/>
        </w:rPr>
        <w:t xml:space="preserve"> is crucial</w:t>
      </w:r>
      <w:r w:rsidR="00CD4704" w:rsidRPr="00EE5714">
        <w:rPr>
          <w:rFonts w:ascii="Times New Roman" w:hAnsi="Times New Roman" w:cs="Times New Roman"/>
          <w:sz w:val="26"/>
          <w:szCs w:val="26"/>
        </w:rPr>
        <w:t>.</w:t>
      </w:r>
    </w:p>
    <w:p w14:paraId="51CD84FE" w14:textId="77777777" w:rsidR="00372368" w:rsidRPr="00EE5714" w:rsidRDefault="00372368" w:rsidP="00891E6B">
      <w:pPr>
        <w:pStyle w:val="ListParagraph"/>
        <w:spacing w:after="0" w:line="240" w:lineRule="auto"/>
        <w:ind w:left="1440" w:hanging="720"/>
        <w:rPr>
          <w:rFonts w:ascii="Times New Roman" w:hAnsi="Times New Roman" w:cs="Times New Roman"/>
          <w:sz w:val="26"/>
          <w:szCs w:val="26"/>
        </w:rPr>
      </w:pPr>
    </w:p>
    <w:p w14:paraId="5473DCB0" w14:textId="77777777" w:rsidR="00372368" w:rsidRPr="00EE5714" w:rsidRDefault="00925BC3" w:rsidP="007D5276">
      <w:pPr>
        <w:pStyle w:val="ListParagraph"/>
        <w:numPr>
          <w:ilvl w:val="0"/>
          <w:numId w:val="4"/>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C</w:t>
      </w:r>
      <w:r w:rsidR="00372368" w:rsidRPr="00EE5714">
        <w:rPr>
          <w:rFonts w:ascii="Times New Roman" w:hAnsi="Times New Roman" w:cs="Times New Roman"/>
          <w:sz w:val="26"/>
          <w:szCs w:val="26"/>
        </w:rPr>
        <w:t xml:space="preserve">ustomers </w:t>
      </w:r>
      <w:r w:rsidR="00EC11BC" w:rsidRPr="00EE5714">
        <w:rPr>
          <w:rFonts w:ascii="Times New Roman" w:hAnsi="Times New Roman" w:cs="Times New Roman"/>
          <w:sz w:val="26"/>
          <w:szCs w:val="26"/>
        </w:rPr>
        <w:t xml:space="preserve">enrolled in CAPs </w:t>
      </w:r>
      <w:r w:rsidR="00372368" w:rsidRPr="00EE5714">
        <w:rPr>
          <w:rFonts w:ascii="Times New Roman" w:hAnsi="Times New Roman" w:cs="Times New Roman"/>
          <w:sz w:val="26"/>
          <w:szCs w:val="26"/>
        </w:rPr>
        <w:t xml:space="preserve">with lower arrearages are more likely to successfully improve their payment behavior.  </w:t>
      </w:r>
      <w:r w:rsidR="00C776C2" w:rsidRPr="00EE5714">
        <w:rPr>
          <w:rFonts w:ascii="Times New Roman" w:hAnsi="Times New Roman" w:cs="Times New Roman"/>
          <w:sz w:val="26"/>
          <w:szCs w:val="26"/>
        </w:rPr>
        <w:t>L</w:t>
      </w:r>
      <w:r w:rsidR="00372368" w:rsidRPr="00EE5714">
        <w:rPr>
          <w:rFonts w:ascii="Times New Roman" w:hAnsi="Times New Roman" w:cs="Times New Roman"/>
          <w:sz w:val="26"/>
          <w:szCs w:val="26"/>
        </w:rPr>
        <w:t xml:space="preserve">ower </w:t>
      </w:r>
      <w:r w:rsidR="004B6527" w:rsidRPr="00EE5714">
        <w:rPr>
          <w:rFonts w:ascii="Times New Roman" w:hAnsi="Times New Roman" w:cs="Times New Roman"/>
          <w:sz w:val="26"/>
          <w:szCs w:val="26"/>
        </w:rPr>
        <w:t>PPAs</w:t>
      </w:r>
      <w:r w:rsidR="00372368" w:rsidRPr="00EE5714">
        <w:rPr>
          <w:rFonts w:ascii="Times New Roman" w:hAnsi="Times New Roman" w:cs="Times New Roman"/>
          <w:sz w:val="26"/>
          <w:szCs w:val="26"/>
        </w:rPr>
        <w:t xml:space="preserve"> at the </w:t>
      </w:r>
      <w:r w:rsidR="009334B7" w:rsidRPr="00EE5714">
        <w:rPr>
          <w:rFonts w:ascii="Times New Roman" w:hAnsi="Times New Roman" w:cs="Times New Roman"/>
          <w:sz w:val="26"/>
          <w:szCs w:val="26"/>
        </w:rPr>
        <w:t>time</w:t>
      </w:r>
      <w:r w:rsidR="00372368" w:rsidRPr="00EE5714">
        <w:rPr>
          <w:rFonts w:ascii="Times New Roman" w:hAnsi="Times New Roman" w:cs="Times New Roman"/>
          <w:sz w:val="26"/>
          <w:szCs w:val="26"/>
        </w:rPr>
        <w:t xml:space="preserve"> of entry into a program result in a greater likelihood of making payments in full and on time.  The average account balance can potentially predict the likelihood that program participants will be successful or unsuccessful.</w:t>
      </w:r>
    </w:p>
    <w:p w14:paraId="7BE632A9" w14:textId="77777777" w:rsidR="00372368" w:rsidRPr="00EE5714" w:rsidRDefault="00372368" w:rsidP="00891E6B">
      <w:pPr>
        <w:pStyle w:val="ListParagraph"/>
        <w:spacing w:after="0" w:line="240" w:lineRule="auto"/>
        <w:ind w:left="1440" w:hanging="720"/>
        <w:rPr>
          <w:rFonts w:ascii="Times New Roman" w:hAnsi="Times New Roman" w:cs="Times New Roman"/>
          <w:sz w:val="26"/>
          <w:szCs w:val="26"/>
        </w:rPr>
      </w:pPr>
    </w:p>
    <w:p w14:paraId="49327EB8" w14:textId="77777777" w:rsidR="00372368" w:rsidRPr="00EE5714" w:rsidRDefault="000F3A90" w:rsidP="007D5276">
      <w:pPr>
        <w:pStyle w:val="ListParagraph"/>
        <w:numPr>
          <w:ilvl w:val="0"/>
          <w:numId w:val="4"/>
        </w:numPr>
        <w:spacing w:after="0" w:line="240" w:lineRule="auto"/>
        <w:ind w:left="1440" w:hanging="720"/>
        <w:rPr>
          <w:rFonts w:ascii="Times New Roman" w:hAnsi="Times New Roman" w:cs="Times New Roman"/>
          <w:sz w:val="26"/>
          <w:szCs w:val="26"/>
        </w:rPr>
      </w:pPr>
      <w:r w:rsidRPr="00EE5714">
        <w:rPr>
          <w:rFonts w:ascii="Times New Roman" w:hAnsi="Times New Roman" w:cs="Times New Roman"/>
          <w:sz w:val="26"/>
          <w:szCs w:val="26"/>
        </w:rPr>
        <w:t>CAPs</w:t>
      </w:r>
      <w:r w:rsidR="00372368" w:rsidRPr="00EE5714">
        <w:rPr>
          <w:rFonts w:ascii="Times New Roman" w:hAnsi="Times New Roman" w:cs="Times New Roman"/>
          <w:sz w:val="26"/>
          <w:szCs w:val="26"/>
        </w:rPr>
        <w:t xml:space="preserve"> </w:t>
      </w:r>
      <w:r w:rsidR="00BC541E" w:rsidRPr="00EE5714">
        <w:rPr>
          <w:rFonts w:ascii="Times New Roman" w:hAnsi="Times New Roman" w:cs="Times New Roman"/>
          <w:sz w:val="26"/>
          <w:szCs w:val="26"/>
        </w:rPr>
        <w:t xml:space="preserve">can </w:t>
      </w:r>
      <w:r w:rsidR="00372368" w:rsidRPr="00EE5714">
        <w:rPr>
          <w:rFonts w:ascii="Times New Roman" w:hAnsi="Times New Roman" w:cs="Times New Roman"/>
          <w:sz w:val="26"/>
          <w:szCs w:val="26"/>
        </w:rPr>
        <w:t>reduce energy burden</w:t>
      </w:r>
      <w:r w:rsidR="00AB7FD7" w:rsidRPr="00EE5714">
        <w:rPr>
          <w:rFonts w:ascii="Times New Roman" w:hAnsi="Times New Roman" w:cs="Times New Roman"/>
          <w:sz w:val="26"/>
          <w:szCs w:val="26"/>
        </w:rPr>
        <w:t>s</w:t>
      </w:r>
      <w:r w:rsidR="00372368" w:rsidRPr="00EE5714">
        <w:rPr>
          <w:rFonts w:ascii="Times New Roman" w:hAnsi="Times New Roman" w:cs="Times New Roman"/>
          <w:sz w:val="26"/>
          <w:szCs w:val="26"/>
        </w:rPr>
        <w:t xml:space="preserve"> and improve payment behavior.  Customers in a CAP will be more likely to pay their bills in full or on time.</w:t>
      </w:r>
    </w:p>
    <w:p w14:paraId="31344677" w14:textId="77777777" w:rsidR="00372368" w:rsidRPr="00EE5714" w:rsidRDefault="00372368" w:rsidP="00891E6B">
      <w:pPr>
        <w:pStyle w:val="ListParagraph"/>
        <w:spacing w:after="0" w:line="240" w:lineRule="auto"/>
        <w:ind w:left="1440" w:hanging="720"/>
        <w:rPr>
          <w:rFonts w:ascii="Times New Roman" w:hAnsi="Times New Roman" w:cs="Times New Roman"/>
          <w:sz w:val="26"/>
          <w:szCs w:val="26"/>
        </w:rPr>
      </w:pPr>
    </w:p>
    <w:p w14:paraId="7569BE69" w14:textId="08E99B84" w:rsidR="005F315B" w:rsidRPr="000B001A" w:rsidRDefault="005E283B" w:rsidP="000B001A">
      <w:pPr>
        <w:pStyle w:val="ListParagraph"/>
        <w:numPr>
          <w:ilvl w:val="0"/>
          <w:numId w:val="4"/>
        </w:numPr>
        <w:spacing w:after="0" w:line="240" w:lineRule="auto"/>
        <w:ind w:left="1440" w:hanging="720"/>
        <w:rPr>
          <w:rFonts w:ascii="Times New Roman" w:hAnsi="Times New Roman" w:cs="Times New Roman"/>
          <w:color w:val="2F5496" w:themeColor="accent1" w:themeShade="BF"/>
          <w:sz w:val="26"/>
          <w:szCs w:val="26"/>
        </w:rPr>
      </w:pPr>
      <w:r w:rsidRPr="000B001A">
        <w:rPr>
          <w:rFonts w:ascii="Times New Roman" w:hAnsi="Times New Roman" w:cs="Times New Roman"/>
          <w:sz w:val="26"/>
          <w:szCs w:val="26"/>
        </w:rPr>
        <w:t>N</w:t>
      </w:r>
      <w:r w:rsidR="00372368" w:rsidRPr="000B001A">
        <w:rPr>
          <w:rFonts w:ascii="Times New Roman" w:hAnsi="Times New Roman" w:cs="Times New Roman"/>
          <w:sz w:val="26"/>
          <w:szCs w:val="26"/>
        </w:rPr>
        <w:t>egative penalties such as late charges have little impact on encouraging more timely payment behavior.</w:t>
      </w:r>
      <w:r w:rsidR="005B3BB1" w:rsidRPr="000B001A">
        <w:rPr>
          <w:rFonts w:ascii="Times New Roman" w:hAnsi="Times New Roman" w:cs="Times New Roman"/>
          <w:color w:val="2F5496" w:themeColor="accent1" w:themeShade="BF"/>
          <w:sz w:val="26"/>
          <w:szCs w:val="26"/>
        </w:rPr>
        <w:br w:type="page"/>
      </w:r>
    </w:p>
    <w:p w14:paraId="74BAA68C" w14:textId="77777777" w:rsidR="00A609B2" w:rsidRPr="00EE5714" w:rsidRDefault="00A609B2" w:rsidP="007E513C">
      <w:pPr>
        <w:pStyle w:val="Heading1"/>
      </w:pPr>
      <w:bookmarkStart w:id="45" w:name="_Toc533674868"/>
      <w:bookmarkStart w:id="46" w:name="_Toc534547873"/>
      <w:r w:rsidRPr="00EE5714">
        <w:lastRenderedPageBreak/>
        <w:t>X.  CAP Cost</w:t>
      </w:r>
      <w:r w:rsidR="007E513C" w:rsidRPr="00EE5714">
        <w:t>s and Forecasts</w:t>
      </w:r>
      <w:bookmarkEnd w:id="45"/>
      <w:bookmarkEnd w:id="46"/>
      <w:r w:rsidRPr="00EE5714">
        <w:t xml:space="preserve"> </w:t>
      </w:r>
    </w:p>
    <w:p w14:paraId="379431FC" w14:textId="77777777" w:rsidR="00A609B2" w:rsidRPr="00EE5714" w:rsidRDefault="00A609B2" w:rsidP="0003649F">
      <w:pPr>
        <w:keepNext/>
        <w:spacing w:after="0" w:line="240" w:lineRule="auto"/>
        <w:contextualSpacing/>
        <w:rPr>
          <w:rFonts w:ascii="Times New Roman" w:hAnsi="Times New Roman" w:cs="Times New Roman"/>
          <w:color w:val="2F5496" w:themeColor="accent1" w:themeShade="BF"/>
          <w:sz w:val="26"/>
          <w:szCs w:val="26"/>
        </w:rPr>
      </w:pPr>
    </w:p>
    <w:p w14:paraId="4B4E6464" w14:textId="77777777" w:rsidR="005B5C1E" w:rsidRPr="00EE5714" w:rsidRDefault="005B5C1E" w:rsidP="00B660BD">
      <w:pPr>
        <w:keepNext/>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Objective</w:t>
      </w:r>
    </w:p>
    <w:p w14:paraId="196E33FC" w14:textId="77777777" w:rsidR="005B5C1E" w:rsidRPr="00EE5714" w:rsidRDefault="005B5C1E" w:rsidP="0003649F">
      <w:pPr>
        <w:keepNext/>
        <w:spacing w:after="0" w:line="240" w:lineRule="auto"/>
        <w:contextualSpacing/>
        <w:rPr>
          <w:rFonts w:ascii="Times New Roman" w:hAnsi="Times New Roman" w:cs="Times New Roman"/>
          <w:sz w:val="26"/>
          <w:szCs w:val="26"/>
        </w:rPr>
      </w:pPr>
    </w:p>
    <w:p w14:paraId="33CD145A" w14:textId="77777777" w:rsidR="005B5C1E" w:rsidRPr="00EE5714" w:rsidRDefault="00C41E62" w:rsidP="00EE7AE6">
      <w:pPr>
        <w:spacing w:after="0" w:line="240" w:lineRule="auto"/>
        <w:contextualSpacing/>
        <w:rPr>
          <w:rFonts w:ascii="Times New Roman" w:hAnsi="Times New Roman" w:cs="Times New Roman"/>
          <w:sz w:val="26"/>
          <w:szCs w:val="26"/>
        </w:rPr>
      </w:pPr>
      <w:r w:rsidRPr="00EE5714">
        <w:rPr>
          <w:rFonts w:ascii="Times New Roman" w:hAnsi="Times New Roman" w:cs="Times New Roman"/>
          <w:sz w:val="26"/>
          <w:szCs w:val="26"/>
        </w:rPr>
        <w:tab/>
      </w:r>
      <w:r w:rsidR="005B5C1E" w:rsidRPr="00EE5714">
        <w:rPr>
          <w:rFonts w:ascii="Times New Roman" w:hAnsi="Times New Roman" w:cs="Times New Roman"/>
          <w:sz w:val="26"/>
          <w:szCs w:val="26"/>
        </w:rPr>
        <w:t xml:space="preserve">To identify the cost components of CAP and forecast the future costs of the program under current conditions and with adjustments to CAP enrollment </w:t>
      </w:r>
      <w:r w:rsidR="000B08A0" w:rsidRPr="00EE5714">
        <w:rPr>
          <w:rFonts w:ascii="Times New Roman" w:hAnsi="Times New Roman" w:cs="Times New Roman"/>
          <w:sz w:val="26"/>
          <w:szCs w:val="26"/>
        </w:rPr>
        <w:t xml:space="preserve">numbers </w:t>
      </w:r>
      <w:r w:rsidR="005B5C1E" w:rsidRPr="00EE5714">
        <w:rPr>
          <w:rFonts w:ascii="Times New Roman" w:hAnsi="Times New Roman" w:cs="Times New Roman"/>
          <w:sz w:val="26"/>
          <w:szCs w:val="26"/>
        </w:rPr>
        <w:t>and energy burden</w:t>
      </w:r>
      <w:r w:rsidR="00AA6A07" w:rsidRPr="00EE5714">
        <w:rPr>
          <w:rFonts w:ascii="Times New Roman" w:hAnsi="Times New Roman" w:cs="Times New Roman"/>
          <w:sz w:val="26"/>
          <w:szCs w:val="26"/>
        </w:rPr>
        <w:t>s</w:t>
      </w:r>
      <w:r w:rsidR="005B5C1E" w:rsidRPr="00EE5714">
        <w:rPr>
          <w:rFonts w:ascii="Times New Roman" w:hAnsi="Times New Roman" w:cs="Times New Roman"/>
          <w:sz w:val="26"/>
          <w:szCs w:val="26"/>
        </w:rPr>
        <w:t>.</w:t>
      </w:r>
    </w:p>
    <w:p w14:paraId="5D929750" w14:textId="77777777" w:rsidR="005B5C1E" w:rsidRPr="00EE5714" w:rsidRDefault="005B5C1E" w:rsidP="00EE7AE6">
      <w:pPr>
        <w:spacing w:after="0" w:line="240" w:lineRule="auto"/>
        <w:rPr>
          <w:rFonts w:ascii="Times New Roman" w:hAnsi="Times New Roman" w:cs="Times New Roman"/>
          <w:sz w:val="26"/>
          <w:szCs w:val="26"/>
        </w:rPr>
      </w:pPr>
    </w:p>
    <w:p w14:paraId="5BC3B100" w14:textId="77777777" w:rsidR="005B5C1E" w:rsidRPr="00EE5714" w:rsidRDefault="005B5C1E" w:rsidP="00B660BD">
      <w:pPr>
        <w:spacing w:after="0" w:line="240" w:lineRule="auto"/>
        <w:contextualSpacing/>
        <w:jc w:val="center"/>
        <w:rPr>
          <w:rFonts w:ascii="Times New Roman" w:hAnsi="Times New Roman" w:cs="Times New Roman"/>
          <w:b/>
          <w:bCs/>
          <w:sz w:val="26"/>
          <w:szCs w:val="26"/>
        </w:rPr>
      </w:pPr>
      <w:r w:rsidRPr="00EE5714">
        <w:rPr>
          <w:rFonts w:ascii="Times New Roman" w:hAnsi="Times New Roman" w:cs="Times New Roman"/>
          <w:b/>
          <w:bCs/>
          <w:sz w:val="26"/>
          <w:szCs w:val="26"/>
        </w:rPr>
        <w:t>Background</w:t>
      </w:r>
    </w:p>
    <w:p w14:paraId="7D6A3E23" w14:textId="77777777" w:rsidR="0037067F" w:rsidRPr="00EE5714" w:rsidRDefault="0037067F" w:rsidP="002A55E6">
      <w:pPr>
        <w:spacing w:after="0" w:line="240" w:lineRule="auto"/>
        <w:contextualSpacing/>
        <w:jc w:val="center"/>
        <w:rPr>
          <w:rFonts w:ascii="Times New Roman" w:hAnsi="Times New Roman" w:cs="Times New Roman"/>
          <w:sz w:val="26"/>
          <w:szCs w:val="26"/>
        </w:rPr>
      </w:pPr>
    </w:p>
    <w:p w14:paraId="6FDECF8E" w14:textId="77777777" w:rsidR="002F0E67" w:rsidRPr="00EE5714" w:rsidRDefault="005B5C1E" w:rsidP="00EE7AE6">
      <w:pPr>
        <w:spacing w:after="0" w:line="240" w:lineRule="auto"/>
        <w:rPr>
          <w:rFonts w:ascii="Times New Roman" w:hAnsi="Times New Roman" w:cs="Times New Roman"/>
          <w:sz w:val="26"/>
          <w:szCs w:val="26"/>
          <w:lang w:val="pt-BR"/>
        </w:rPr>
      </w:pPr>
      <w:r w:rsidRPr="00EE5714">
        <w:rPr>
          <w:rFonts w:ascii="Times New Roman" w:hAnsi="Times New Roman" w:cs="Times New Roman"/>
          <w:sz w:val="26"/>
          <w:szCs w:val="26"/>
          <w:lang w:val="pt-BR"/>
        </w:rPr>
        <w:tab/>
        <w:t>The U</w:t>
      </w:r>
      <w:r w:rsidR="009F7A1F" w:rsidRPr="00EE5714">
        <w:rPr>
          <w:rFonts w:ascii="Times New Roman" w:hAnsi="Times New Roman" w:cs="Times New Roman"/>
          <w:sz w:val="26"/>
          <w:szCs w:val="26"/>
          <w:lang w:val="pt-BR"/>
        </w:rPr>
        <w:t xml:space="preserve">niveral </w:t>
      </w:r>
      <w:r w:rsidRPr="00EE5714">
        <w:rPr>
          <w:rFonts w:ascii="Times New Roman" w:hAnsi="Times New Roman" w:cs="Times New Roman"/>
          <w:sz w:val="26"/>
          <w:szCs w:val="26"/>
          <w:lang w:val="pt-BR"/>
        </w:rPr>
        <w:t>S</w:t>
      </w:r>
      <w:r w:rsidR="009F7A1F" w:rsidRPr="00EE5714">
        <w:rPr>
          <w:rFonts w:ascii="Times New Roman" w:hAnsi="Times New Roman" w:cs="Times New Roman"/>
          <w:sz w:val="26"/>
          <w:szCs w:val="26"/>
          <w:lang w:val="pt-BR"/>
        </w:rPr>
        <w:t xml:space="preserve">ervice </w:t>
      </w:r>
      <w:r w:rsidRPr="00EE5714">
        <w:rPr>
          <w:rFonts w:ascii="Times New Roman" w:hAnsi="Times New Roman" w:cs="Times New Roman"/>
          <w:sz w:val="26"/>
          <w:szCs w:val="26"/>
          <w:lang w:val="pt-BR"/>
        </w:rPr>
        <w:t>R</w:t>
      </w:r>
      <w:r w:rsidR="009F7A1F" w:rsidRPr="00EE5714">
        <w:rPr>
          <w:rFonts w:ascii="Times New Roman" w:hAnsi="Times New Roman" w:cs="Times New Roman"/>
          <w:sz w:val="26"/>
          <w:szCs w:val="26"/>
          <w:lang w:val="pt-BR"/>
        </w:rPr>
        <w:t>eporting Requirements (</w:t>
      </w:r>
      <w:r w:rsidRPr="00EE5714">
        <w:rPr>
          <w:rFonts w:ascii="Times New Roman" w:hAnsi="Times New Roman" w:cs="Times New Roman"/>
          <w:sz w:val="26"/>
          <w:szCs w:val="26"/>
          <w:lang w:val="pt-BR"/>
        </w:rPr>
        <w:t>USR</w:t>
      </w:r>
      <w:r w:rsidR="00FD3631" w:rsidRPr="00EE5714">
        <w:rPr>
          <w:rFonts w:ascii="Times New Roman" w:hAnsi="Times New Roman" w:cs="Times New Roman"/>
          <w:sz w:val="26"/>
          <w:szCs w:val="26"/>
          <w:lang w:val="pt-BR"/>
        </w:rPr>
        <w:t>R</w:t>
      </w:r>
      <w:r w:rsidR="009F7A1F" w:rsidRPr="00EE5714">
        <w:rPr>
          <w:rFonts w:ascii="Times New Roman" w:hAnsi="Times New Roman" w:cs="Times New Roman"/>
          <w:sz w:val="26"/>
          <w:szCs w:val="26"/>
          <w:lang w:val="pt-BR"/>
        </w:rPr>
        <w:t>)</w:t>
      </w:r>
      <w:r w:rsidR="00FD3631" w:rsidRPr="00EE5714">
        <w:rPr>
          <w:rStyle w:val="FootnoteReference"/>
          <w:rFonts w:ascii="Times New Roman" w:hAnsi="Times New Roman" w:cs="Times New Roman"/>
          <w:sz w:val="26"/>
          <w:szCs w:val="26"/>
          <w:lang w:val="pt-BR"/>
        </w:rPr>
        <w:footnoteReference w:id="86"/>
      </w:r>
      <w:r w:rsidRPr="00EE5714">
        <w:rPr>
          <w:rFonts w:ascii="Times New Roman" w:hAnsi="Times New Roman" w:cs="Times New Roman"/>
          <w:sz w:val="26"/>
          <w:szCs w:val="26"/>
          <w:lang w:val="pt-BR"/>
        </w:rPr>
        <w:t xml:space="preserve"> require the </w:t>
      </w:r>
      <w:r w:rsidR="005F3B2C" w:rsidRPr="00EE5714">
        <w:rPr>
          <w:rFonts w:ascii="Times New Roman" w:hAnsi="Times New Roman" w:cs="Times New Roman"/>
          <w:sz w:val="26"/>
          <w:szCs w:val="26"/>
          <w:lang w:val="pt-BR"/>
        </w:rPr>
        <w:t xml:space="preserve">major </w:t>
      </w:r>
      <w:r w:rsidR="00B161B3" w:rsidRPr="00EE5714">
        <w:rPr>
          <w:rFonts w:ascii="Times New Roman" w:hAnsi="Times New Roman" w:cs="Times New Roman"/>
          <w:sz w:val="26"/>
          <w:szCs w:val="26"/>
          <w:lang w:val="pt-BR"/>
        </w:rPr>
        <w:t xml:space="preserve">gas and electric </w:t>
      </w:r>
      <w:r w:rsidR="0072097C" w:rsidRPr="00EE5714">
        <w:rPr>
          <w:rFonts w:ascii="Times New Roman" w:hAnsi="Times New Roman" w:cs="Times New Roman"/>
          <w:sz w:val="26"/>
          <w:szCs w:val="26"/>
          <w:lang w:val="pt-BR"/>
        </w:rPr>
        <w:t xml:space="preserve">utilities </w:t>
      </w:r>
      <w:r w:rsidRPr="00EE5714">
        <w:rPr>
          <w:rFonts w:ascii="Times New Roman" w:hAnsi="Times New Roman" w:cs="Times New Roman"/>
          <w:sz w:val="26"/>
          <w:szCs w:val="26"/>
          <w:lang w:val="pt-BR"/>
        </w:rPr>
        <w:t>to report data on the three components of CAP program costs: CAP administration</w:t>
      </w:r>
      <w:r w:rsidR="00803BCE" w:rsidRPr="00EE5714">
        <w:rPr>
          <w:rFonts w:ascii="Times New Roman" w:hAnsi="Times New Roman" w:cs="Times New Roman"/>
          <w:sz w:val="26"/>
          <w:szCs w:val="26"/>
          <w:lang w:val="pt-BR"/>
        </w:rPr>
        <w:t xml:space="preserve"> and monitoring</w:t>
      </w:r>
      <w:r w:rsidRPr="00EE5714">
        <w:rPr>
          <w:rFonts w:ascii="Times New Roman" w:hAnsi="Times New Roman" w:cs="Times New Roman"/>
          <w:sz w:val="26"/>
          <w:szCs w:val="26"/>
          <w:lang w:val="pt-BR"/>
        </w:rPr>
        <w:t>, CAP credits</w:t>
      </w:r>
      <w:r w:rsidR="0072097C" w:rsidRPr="00EE5714">
        <w:rPr>
          <w:rFonts w:ascii="Times New Roman" w:hAnsi="Times New Roman" w:cs="Times New Roman"/>
          <w:sz w:val="26"/>
          <w:szCs w:val="26"/>
          <w:lang w:val="pt-BR"/>
        </w:rPr>
        <w:t>,</w:t>
      </w:r>
      <w:r w:rsidRPr="00EE5714">
        <w:rPr>
          <w:rFonts w:ascii="Times New Roman" w:hAnsi="Times New Roman" w:cs="Times New Roman"/>
          <w:sz w:val="26"/>
          <w:szCs w:val="26"/>
          <w:lang w:val="pt-BR"/>
        </w:rPr>
        <w:t xml:space="preserve"> and arrearage forgiveness.  </w:t>
      </w:r>
    </w:p>
    <w:p w14:paraId="51CD6AC1" w14:textId="77777777" w:rsidR="002F0E67" w:rsidRPr="00EE5714" w:rsidRDefault="002F0E67" w:rsidP="00EE7AE6">
      <w:pPr>
        <w:spacing w:after="0" w:line="240" w:lineRule="auto"/>
        <w:rPr>
          <w:rFonts w:ascii="Times New Roman" w:hAnsi="Times New Roman" w:cs="Times New Roman"/>
          <w:sz w:val="26"/>
          <w:szCs w:val="26"/>
          <w:lang w:val="pt-BR"/>
        </w:rPr>
      </w:pPr>
    </w:p>
    <w:p w14:paraId="508544CE" w14:textId="77777777" w:rsidR="002F0E67" w:rsidRPr="00EE5714" w:rsidRDefault="005B5C1E" w:rsidP="002F0E67">
      <w:pPr>
        <w:spacing w:after="0" w:line="240" w:lineRule="auto"/>
        <w:ind w:firstLine="720"/>
        <w:rPr>
          <w:rFonts w:ascii="Times New Roman" w:hAnsi="Times New Roman" w:cs="Times New Roman"/>
          <w:sz w:val="26"/>
          <w:szCs w:val="26"/>
          <w:lang w:val="pt-BR"/>
        </w:rPr>
      </w:pPr>
      <w:r w:rsidRPr="00EE5714">
        <w:rPr>
          <w:rFonts w:ascii="Times New Roman" w:hAnsi="Times New Roman" w:cs="Times New Roman"/>
          <w:sz w:val="26"/>
          <w:szCs w:val="26"/>
          <w:lang w:val="pt-BR"/>
        </w:rPr>
        <w:t xml:space="preserve">Administrative costs include: contract and utility staffing, account monitoring, intake, outreach, consumer education and conservation training, recertification processing, computer programming, program evaluation, and other fixed overhead costs.  Account monitoring costs include collection expenses, as well as other operation and maintenance expenses. </w:t>
      </w:r>
      <w:r w:rsidR="00803BCE" w:rsidRPr="00EE5714">
        <w:rPr>
          <w:rFonts w:ascii="Times New Roman" w:hAnsi="Times New Roman" w:cs="Times New Roman"/>
          <w:sz w:val="26"/>
          <w:szCs w:val="26"/>
          <w:lang w:val="pt-BR"/>
        </w:rPr>
        <w:t xml:space="preserve"> </w:t>
      </w:r>
    </w:p>
    <w:p w14:paraId="23AD72BF" w14:textId="77777777" w:rsidR="002F0E67" w:rsidRPr="00EE5714" w:rsidRDefault="002F0E67" w:rsidP="002F0E67">
      <w:pPr>
        <w:spacing w:after="0" w:line="240" w:lineRule="auto"/>
        <w:ind w:firstLine="720"/>
        <w:rPr>
          <w:rFonts w:ascii="Times New Roman" w:hAnsi="Times New Roman" w:cs="Times New Roman"/>
          <w:sz w:val="26"/>
          <w:szCs w:val="26"/>
          <w:lang w:val="pt-BR"/>
        </w:rPr>
      </w:pPr>
    </w:p>
    <w:p w14:paraId="5017D00B" w14:textId="77777777" w:rsidR="002F0E67" w:rsidRPr="00EE5714" w:rsidRDefault="005B5C1E" w:rsidP="002F0E67">
      <w:pPr>
        <w:spacing w:after="0" w:line="240" w:lineRule="auto"/>
        <w:ind w:firstLine="720"/>
        <w:rPr>
          <w:rFonts w:ascii="Times New Roman" w:hAnsi="Times New Roman" w:cs="Times New Roman"/>
          <w:sz w:val="26"/>
          <w:szCs w:val="26"/>
          <w:lang w:val="pt-BR"/>
        </w:rPr>
      </w:pPr>
      <w:r w:rsidRPr="00EE5714">
        <w:rPr>
          <w:rFonts w:ascii="Times New Roman" w:hAnsi="Times New Roman" w:cs="Times New Roman"/>
          <w:sz w:val="26"/>
          <w:szCs w:val="26"/>
          <w:lang w:val="pt-BR"/>
        </w:rPr>
        <w:t xml:space="preserve">Of the three CAP cost components, CAP credits comprise the largest portion. </w:t>
      </w:r>
      <w:r w:rsidR="00803BCE" w:rsidRPr="00EE5714">
        <w:rPr>
          <w:rFonts w:ascii="Times New Roman" w:hAnsi="Times New Roman" w:cs="Times New Roman"/>
          <w:sz w:val="26"/>
          <w:szCs w:val="26"/>
          <w:lang w:val="pt-BR"/>
        </w:rPr>
        <w:t xml:space="preserve"> </w:t>
      </w:r>
      <w:r w:rsidR="00A04533" w:rsidRPr="00EE5714">
        <w:rPr>
          <w:rFonts w:ascii="Times New Roman" w:hAnsi="Times New Roman" w:cs="Times New Roman"/>
          <w:sz w:val="26"/>
          <w:szCs w:val="26"/>
          <w:lang w:val="pt-BR"/>
        </w:rPr>
        <w:t xml:space="preserve">CAP credits are the difference between the cost of utility service at tariff </w:t>
      </w:r>
      <w:r w:rsidR="00586DB6" w:rsidRPr="00EE5714">
        <w:rPr>
          <w:rFonts w:ascii="Times New Roman" w:hAnsi="Times New Roman" w:cs="Times New Roman"/>
          <w:sz w:val="26"/>
          <w:szCs w:val="26"/>
          <w:lang w:val="pt-BR"/>
        </w:rPr>
        <w:t xml:space="preserve">rates and price of utility service that CAP participants are asked to pay. </w:t>
      </w:r>
      <w:r w:rsidR="00A04533" w:rsidRPr="00EE5714">
        <w:rPr>
          <w:rFonts w:ascii="Times New Roman" w:hAnsi="Times New Roman" w:cs="Times New Roman"/>
          <w:sz w:val="26"/>
          <w:szCs w:val="26"/>
          <w:lang w:val="pt-BR"/>
        </w:rPr>
        <w:t xml:space="preserve"> </w:t>
      </w:r>
      <w:r w:rsidRPr="00EE5714">
        <w:rPr>
          <w:rFonts w:ascii="Times New Roman" w:hAnsi="Times New Roman" w:cs="Times New Roman"/>
          <w:sz w:val="26"/>
          <w:szCs w:val="26"/>
          <w:lang w:val="pt-BR"/>
        </w:rPr>
        <w:t xml:space="preserve">Another key factor that drives the total cost of </w:t>
      </w:r>
      <w:r w:rsidR="00930DEF" w:rsidRPr="00EE5714">
        <w:rPr>
          <w:rFonts w:ascii="Times New Roman" w:hAnsi="Times New Roman" w:cs="Times New Roman"/>
          <w:sz w:val="26"/>
          <w:szCs w:val="26"/>
          <w:lang w:val="pt-BR"/>
        </w:rPr>
        <w:t xml:space="preserve">a </w:t>
      </w:r>
      <w:r w:rsidRPr="00EE5714">
        <w:rPr>
          <w:rFonts w:ascii="Times New Roman" w:hAnsi="Times New Roman" w:cs="Times New Roman"/>
          <w:sz w:val="26"/>
          <w:szCs w:val="26"/>
          <w:lang w:val="pt-BR"/>
        </w:rPr>
        <w:t xml:space="preserve">CAP is the average CAP enrollment.  </w:t>
      </w:r>
    </w:p>
    <w:p w14:paraId="3C951ADA" w14:textId="77777777" w:rsidR="002F0E67" w:rsidRPr="00EE5714" w:rsidRDefault="002F0E67" w:rsidP="002F0E67">
      <w:pPr>
        <w:spacing w:after="0" w:line="240" w:lineRule="auto"/>
        <w:ind w:firstLine="720"/>
        <w:rPr>
          <w:rFonts w:ascii="Times New Roman" w:hAnsi="Times New Roman" w:cs="Times New Roman"/>
          <w:sz w:val="26"/>
          <w:szCs w:val="26"/>
          <w:lang w:val="pt-BR"/>
        </w:rPr>
      </w:pPr>
    </w:p>
    <w:p w14:paraId="3F33E367" w14:textId="77777777" w:rsidR="00682A0F" w:rsidRPr="00EE5714" w:rsidRDefault="00734B02" w:rsidP="002F0E67">
      <w:pPr>
        <w:spacing w:after="0" w:line="240" w:lineRule="auto"/>
        <w:ind w:firstLine="720"/>
        <w:rPr>
          <w:rFonts w:ascii="Times New Roman" w:hAnsi="Times New Roman" w:cs="Times New Roman"/>
          <w:sz w:val="26"/>
          <w:szCs w:val="26"/>
          <w:lang w:val="pt-BR"/>
        </w:rPr>
      </w:pPr>
      <w:r w:rsidRPr="00EE5714">
        <w:rPr>
          <w:rFonts w:ascii="Times New Roman" w:hAnsi="Times New Roman" w:cs="Times New Roman"/>
          <w:sz w:val="26"/>
          <w:szCs w:val="26"/>
          <w:lang w:val="pt-BR"/>
        </w:rPr>
        <w:t>The cost of a</w:t>
      </w:r>
      <w:r w:rsidR="00F35FCA" w:rsidRPr="00EE5714">
        <w:rPr>
          <w:rFonts w:ascii="Times New Roman" w:hAnsi="Times New Roman" w:cs="Times New Roman"/>
          <w:sz w:val="26"/>
          <w:szCs w:val="26"/>
          <w:lang w:val="pt-BR"/>
        </w:rPr>
        <w:t xml:space="preserve">rrearage forgiveness is dependent on the PPAs of households </w:t>
      </w:r>
      <w:r w:rsidR="00973A31" w:rsidRPr="00EE5714">
        <w:rPr>
          <w:rFonts w:ascii="Times New Roman" w:hAnsi="Times New Roman" w:cs="Times New Roman"/>
          <w:sz w:val="26"/>
          <w:szCs w:val="26"/>
          <w:lang w:val="pt-BR"/>
        </w:rPr>
        <w:t xml:space="preserve">when they enroll in </w:t>
      </w:r>
      <w:r w:rsidR="00F35FCA" w:rsidRPr="00EE5714">
        <w:rPr>
          <w:rFonts w:ascii="Times New Roman" w:hAnsi="Times New Roman" w:cs="Times New Roman"/>
          <w:sz w:val="26"/>
          <w:szCs w:val="26"/>
          <w:lang w:val="pt-BR"/>
        </w:rPr>
        <w:t xml:space="preserve">CAPs and their adherence to </w:t>
      </w:r>
      <w:r w:rsidR="0047231B" w:rsidRPr="00EE5714">
        <w:rPr>
          <w:rFonts w:ascii="Times New Roman" w:hAnsi="Times New Roman" w:cs="Times New Roman"/>
          <w:sz w:val="26"/>
          <w:szCs w:val="26"/>
          <w:lang w:val="pt-BR"/>
        </w:rPr>
        <w:t xml:space="preserve">CAP requirements.  The </w:t>
      </w:r>
      <w:r w:rsidR="00973A31" w:rsidRPr="00EE5714">
        <w:rPr>
          <w:rFonts w:ascii="Times New Roman" w:hAnsi="Times New Roman" w:cs="Times New Roman"/>
          <w:sz w:val="26"/>
          <w:szCs w:val="26"/>
          <w:lang w:val="pt-BR"/>
        </w:rPr>
        <w:t xml:space="preserve">more frequently the </w:t>
      </w:r>
      <w:r w:rsidR="00304900" w:rsidRPr="00EE5714">
        <w:rPr>
          <w:rFonts w:ascii="Times New Roman" w:hAnsi="Times New Roman" w:cs="Times New Roman"/>
          <w:sz w:val="26"/>
          <w:szCs w:val="26"/>
          <w:lang w:val="pt-BR"/>
        </w:rPr>
        <w:t>CAP customer</w:t>
      </w:r>
      <w:r w:rsidR="00DB2521" w:rsidRPr="00EE5714">
        <w:rPr>
          <w:rFonts w:ascii="Times New Roman" w:hAnsi="Times New Roman" w:cs="Times New Roman"/>
          <w:sz w:val="26"/>
          <w:szCs w:val="26"/>
          <w:lang w:val="pt-BR"/>
        </w:rPr>
        <w:t>s</w:t>
      </w:r>
      <w:r w:rsidR="00973A31" w:rsidRPr="00EE5714">
        <w:rPr>
          <w:rFonts w:ascii="Times New Roman" w:hAnsi="Times New Roman" w:cs="Times New Roman"/>
          <w:sz w:val="26"/>
          <w:szCs w:val="26"/>
          <w:lang w:val="pt-BR"/>
        </w:rPr>
        <w:t xml:space="preserve"> pay their bills </w:t>
      </w:r>
      <w:r w:rsidR="00304900" w:rsidRPr="00EE5714">
        <w:rPr>
          <w:rFonts w:ascii="Times New Roman" w:hAnsi="Times New Roman" w:cs="Times New Roman"/>
          <w:sz w:val="26"/>
          <w:szCs w:val="26"/>
          <w:lang w:val="pt-BR"/>
        </w:rPr>
        <w:t xml:space="preserve">in full and </w:t>
      </w:r>
      <w:r w:rsidR="00973A31" w:rsidRPr="00EE5714">
        <w:rPr>
          <w:rFonts w:ascii="Times New Roman" w:hAnsi="Times New Roman" w:cs="Times New Roman"/>
          <w:sz w:val="26"/>
          <w:szCs w:val="26"/>
          <w:lang w:val="pt-BR"/>
        </w:rPr>
        <w:t>on-time</w:t>
      </w:r>
      <w:r w:rsidR="0047231B" w:rsidRPr="00EE5714">
        <w:rPr>
          <w:rFonts w:ascii="Times New Roman" w:hAnsi="Times New Roman" w:cs="Times New Roman"/>
          <w:sz w:val="26"/>
          <w:szCs w:val="26"/>
          <w:lang w:val="pt-BR"/>
        </w:rPr>
        <w:t>, the greater the amount of PPA forgiveness.</w:t>
      </w:r>
      <w:r w:rsidR="005B5C1E" w:rsidRPr="00EE5714">
        <w:rPr>
          <w:rFonts w:ascii="Times New Roman" w:hAnsi="Times New Roman" w:cs="Times New Roman"/>
          <w:sz w:val="26"/>
          <w:szCs w:val="26"/>
          <w:lang w:val="pt-BR"/>
        </w:rPr>
        <w:t xml:space="preserve"> </w:t>
      </w:r>
    </w:p>
    <w:p w14:paraId="44A7C7D3" w14:textId="77777777" w:rsidR="005B5C1E" w:rsidRPr="00EE5714" w:rsidRDefault="005B5C1E" w:rsidP="00EE7AE6">
      <w:pPr>
        <w:spacing w:after="0" w:line="240" w:lineRule="auto"/>
        <w:rPr>
          <w:rFonts w:ascii="Times New Roman" w:hAnsi="Times New Roman" w:cs="Times New Roman"/>
          <w:sz w:val="26"/>
          <w:szCs w:val="26"/>
          <w:lang w:val="pt-BR"/>
        </w:rPr>
      </w:pPr>
    </w:p>
    <w:p w14:paraId="73A9C895" w14:textId="77777777" w:rsidR="005B5C1E" w:rsidRPr="00EE5714" w:rsidRDefault="005B5C1E" w:rsidP="00B660BD">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Methodology</w:t>
      </w:r>
    </w:p>
    <w:p w14:paraId="538101A6" w14:textId="77777777" w:rsidR="00682A0F" w:rsidRPr="00EE5714" w:rsidRDefault="00682A0F" w:rsidP="00682A0F">
      <w:pPr>
        <w:keepNext/>
        <w:spacing w:after="0" w:line="240" w:lineRule="auto"/>
        <w:rPr>
          <w:rFonts w:ascii="Times New Roman" w:hAnsi="Times New Roman" w:cs="Times New Roman"/>
          <w:sz w:val="26"/>
          <w:szCs w:val="26"/>
        </w:rPr>
      </w:pPr>
    </w:p>
    <w:p w14:paraId="17293185" w14:textId="03B5F163" w:rsidR="005B5C1E" w:rsidRPr="00EE5714" w:rsidRDefault="005B5C1E" w:rsidP="00EE7AE6">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 xml:space="preserve">To perform the analysis of total CAP costs, </w:t>
      </w:r>
      <w:r w:rsidR="00734B02" w:rsidRPr="00EE5714">
        <w:rPr>
          <w:rFonts w:ascii="Times New Roman" w:hAnsi="Times New Roman" w:cs="Times New Roman"/>
          <w:sz w:val="26"/>
          <w:szCs w:val="26"/>
        </w:rPr>
        <w:t>staff</w:t>
      </w:r>
      <w:r w:rsidRPr="00EE5714">
        <w:rPr>
          <w:rFonts w:ascii="Times New Roman" w:hAnsi="Times New Roman" w:cs="Times New Roman"/>
          <w:sz w:val="26"/>
          <w:szCs w:val="26"/>
        </w:rPr>
        <w:t xml:space="preserve"> reviewed the total </w:t>
      </w:r>
      <w:r w:rsidR="00973A31" w:rsidRPr="00EE5714">
        <w:rPr>
          <w:rFonts w:ascii="Times New Roman" w:hAnsi="Times New Roman" w:cs="Times New Roman"/>
          <w:sz w:val="26"/>
          <w:szCs w:val="26"/>
        </w:rPr>
        <w:t xml:space="preserve">gross </w:t>
      </w:r>
      <w:r w:rsidRPr="00EE5714">
        <w:rPr>
          <w:rFonts w:ascii="Times New Roman" w:hAnsi="Times New Roman" w:cs="Times New Roman"/>
          <w:sz w:val="26"/>
          <w:szCs w:val="26"/>
        </w:rPr>
        <w:t>cost of all CAP components</w:t>
      </w:r>
      <w:r w:rsidR="00973A31" w:rsidRPr="00EE5714">
        <w:rPr>
          <w:rFonts w:ascii="Times New Roman" w:hAnsi="Times New Roman" w:cs="Times New Roman"/>
          <w:sz w:val="26"/>
          <w:szCs w:val="26"/>
        </w:rPr>
        <w:t xml:space="preserve">, average CAP enrollments, and the average number of residential customers </w:t>
      </w:r>
      <w:r w:rsidRPr="00EE5714">
        <w:rPr>
          <w:rFonts w:ascii="Times New Roman" w:hAnsi="Times New Roman" w:cs="Times New Roman"/>
          <w:sz w:val="26"/>
          <w:szCs w:val="26"/>
        </w:rPr>
        <w:t xml:space="preserve">for each of the EDC and NGDC utilities as reported in the </w:t>
      </w:r>
      <w:r w:rsidRPr="00EE5714">
        <w:rPr>
          <w:rFonts w:ascii="Times New Roman" w:hAnsi="Times New Roman" w:cs="Times New Roman"/>
          <w:i/>
          <w:iCs/>
          <w:sz w:val="26"/>
          <w:szCs w:val="26"/>
        </w:rPr>
        <w:t>Universal Service Programs and Collection Performance</w:t>
      </w:r>
      <w:r w:rsidRPr="00EE5714">
        <w:rPr>
          <w:rFonts w:ascii="Times New Roman" w:hAnsi="Times New Roman" w:cs="Times New Roman"/>
          <w:sz w:val="26"/>
          <w:szCs w:val="26"/>
        </w:rPr>
        <w:t xml:space="preserve"> </w:t>
      </w:r>
      <w:r w:rsidRPr="00EE5714">
        <w:rPr>
          <w:rFonts w:ascii="Times New Roman" w:hAnsi="Times New Roman" w:cs="Times New Roman"/>
          <w:i/>
          <w:iCs/>
          <w:sz w:val="26"/>
          <w:szCs w:val="26"/>
        </w:rPr>
        <w:t>Reports</w:t>
      </w:r>
      <w:r w:rsidRPr="00EE5714">
        <w:rPr>
          <w:rFonts w:ascii="Times New Roman" w:hAnsi="Times New Roman" w:cs="Times New Roman"/>
          <w:sz w:val="26"/>
          <w:szCs w:val="26"/>
        </w:rPr>
        <w:t xml:space="preserve"> </w:t>
      </w:r>
      <w:r w:rsidR="003B36A2" w:rsidRPr="00EE5714">
        <w:rPr>
          <w:rFonts w:ascii="Times New Roman" w:hAnsi="Times New Roman" w:cs="Times New Roman"/>
          <w:sz w:val="26"/>
          <w:szCs w:val="26"/>
        </w:rPr>
        <w:t>(USR</w:t>
      </w:r>
      <w:r w:rsidR="00930DEF" w:rsidRPr="00EE5714">
        <w:rPr>
          <w:rFonts w:ascii="Times New Roman" w:hAnsi="Times New Roman" w:cs="Times New Roman"/>
          <w:sz w:val="26"/>
          <w:szCs w:val="26"/>
        </w:rPr>
        <w:t>s</w:t>
      </w:r>
      <w:r w:rsidR="003B36A2" w:rsidRPr="00EE5714">
        <w:rPr>
          <w:rFonts w:ascii="Times New Roman" w:hAnsi="Times New Roman" w:cs="Times New Roman"/>
          <w:sz w:val="26"/>
          <w:szCs w:val="26"/>
        </w:rPr>
        <w:t xml:space="preserve">) </w:t>
      </w:r>
      <w:r w:rsidRPr="00EE5714">
        <w:rPr>
          <w:rFonts w:ascii="Times New Roman" w:hAnsi="Times New Roman" w:cs="Times New Roman"/>
          <w:sz w:val="26"/>
          <w:szCs w:val="26"/>
        </w:rPr>
        <w:t>from 2012-201</w:t>
      </w:r>
      <w:r w:rsidR="00FE4F58" w:rsidRPr="00EE5714">
        <w:rPr>
          <w:rFonts w:ascii="Times New Roman" w:hAnsi="Times New Roman" w:cs="Times New Roman"/>
          <w:sz w:val="26"/>
          <w:szCs w:val="26"/>
        </w:rPr>
        <w:t>7</w:t>
      </w:r>
      <w:r w:rsidR="00973A31" w:rsidRPr="00EE5714">
        <w:rPr>
          <w:rFonts w:ascii="Times New Roman" w:hAnsi="Times New Roman" w:cs="Times New Roman"/>
          <w:sz w:val="26"/>
          <w:szCs w:val="26"/>
        </w:rPr>
        <w:t>.</w:t>
      </w:r>
      <w:r w:rsidR="00B161B3" w:rsidRPr="00EE5714">
        <w:rPr>
          <w:rStyle w:val="FootnoteReference"/>
          <w:rFonts w:ascii="Times New Roman" w:hAnsi="Times New Roman" w:cs="Times New Roman"/>
          <w:sz w:val="26"/>
          <w:szCs w:val="26"/>
        </w:rPr>
        <w:footnoteReference w:id="87"/>
      </w:r>
      <w:r w:rsidRPr="00EE5714" w:rsidDel="00973A31">
        <w:rPr>
          <w:rFonts w:ascii="Times New Roman" w:hAnsi="Times New Roman" w:cs="Times New Roman"/>
          <w:sz w:val="26"/>
          <w:szCs w:val="26"/>
        </w:rPr>
        <w:t xml:space="preserve"> </w:t>
      </w:r>
      <w:r w:rsidRPr="00EE5714">
        <w:rPr>
          <w:rFonts w:ascii="Times New Roman" w:hAnsi="Times New Roman" w:cs="Times New Roman"/>
          <w:sz w:val="26"/>
          <w:szCs w:val="26"/>
        </w:rPr>
        <w:t xml:space="preserve"> </w:t>
      </w:r>
    </w:p>
    <w:p w14:paraId="225D8A98" w14:textId="77777777" w:rsidR="00682A0F" w:rsidRPr="00EE5714" w:rsidRDefault="00682A0F" w:rsidP="00EE7AE6">
      <w:pPr>
        <w:spacing w:after="0" w:line="240" w:lineRule="auto"/>
        <w:rPr>
          <w:rFonts w:ascii="Times New Roman" w:hAnsi="Times New Roman" w:cs="Times New Roman"/>
          <w:sz w:val="26"/>
          <w:szCs w:val="26"/>
        </w:rPr>
      </w:pPr>
    </w:p>
    <w:p w14:paraId="1D7838CB" w14:textId="2794D663" w:rsidR="005B5C1E" w:rsidRPr="00EE5714" w:rsidRDefault="005B5C1E" w:rsidP="00461778">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r>
      <w:r w:rsidR="00500A97" w:rsidRPr="00EE5714">
        <w:rPr>
          <w:rFonts w:ascii="Times New Roman" w:hAnsi="Times New Roman" w:cs="Times New Roman"/>
          <w:sz w:val="26"/>
          <w:szCs w:val="26"/>
        </w:rPr>
        <w:t xml:space="preserve">CAP budgets from approved or proposed utility USECPs were used </w:t>
      </w:r>
      <w:r w:rsidRPr="00EE5714">
        <w:rPr>
          <w:rFonts w:ascii="Times New Roman" w:hAnsi="Times New Roman" w:cs="Times New Roman"/>
          <w:sz w:val="26"/>
          <w:szCs w:val="26"/>
        </w:rPr>
        <w:t xml:space="preserve">to </w:t>
      </w:r>
      <w:r w:rsidR="00F102F7">
        <w:rPr>
          <w:rFonts w:ascii="Times New Roman" w:hAnsi="Times New Roman" w:cs="Times New Roman"/>
          <w:sz w:val="26"/>
          <w:szCs w:val="26"/>
        </w:rPr>
        <w:t>determine</w:t>
      </w:r>
      <w:r w:rsidRPr="00EE5714">
        <w:rPr>
          <w:rFonts w:ascii="Times New Roman" w:hAnsi="Times New Roman" w:cs="Times New Roman"/>
          <w:sz w:val="26"/>
          <w:szCs w:val="26"/>
        </w:rPr>
        <w:t xml:space="preserve"> cost projections f</w:t>
      </w:r>
      <w:r w:rsidR="00A87F79">
        <w:rPr>
          <w:rFonts w:ascii="Times New Roman" w:hAnsi="Times New Roman" w:cs="Times New Roman"/>
          <w:sz w:val="26"/>
          <w:szCs w:val="26"/>
        </w:rPr>
        <w:t>our</w:t>
      </w:r>
      <w:r w:rsidRPr="00EE5714">
        <w:rPr>
          <w:rFonts w:ascii="Times New Roman" w:hAnsi="Times New Roman" w:cs="Times New Roman"/>
          <w:sz w:val="26"/>
          <w:szCs w:val="26"/>
        </w:rPr>
        <w:t xml:space="preserve"> years into the future, until 2021.</w:t>
      </w:r>
      <w:r w:rsidR="00500A97" w:rsidRPr="00EE5714">
        <w:rPr>
          <w:rStyle w:val="FootnoteReference"/>
          <w:rFonts w:ascii="Times New Roman" w:hAnsi="Times New Roman" w:cs="Times New Roman"/>
          <w:sz w:val="26"/>
          <w:szCs w:val="26"/>
        </w:rPr>
        <w:footnoteReference w:id="88"/>
      </w:r>
      <w:r w:rsidRPr="00EE5714">
        <w:rPr>
          <w:rFonts w:ascii="Times New Roman" w:hAnsi="Times New Roman" w:cs="Times New Roman"/>
          <w:sz w:val="26"/>
          <w:szCs w:val="26"/>
        </w:rPr>
        <w:t xml:space="preserve"> </w:t>
      </w:r>
      <w:r w:rsidR="00620F68" w:rsidRPr="00EE5714">
        <w:rPr>
          <w:rFonts w:ascii="Times New Roman" w:hAnsi="Times New Roman" w:cs="Times New Roman"/>
          <w:sz w:val="26"/>
          <w:szCs w:val="26"/>
        </w:rPr>
        <w:t xml:space="preserve"> </w:t>
      </w:r>
      <w:r w:rsidR="00500A97" w:rsidRPr="00EE5714">
        <w:rPr>
          <w:rFonts w:ascii="Times New Roman" w:hAnsi="Times New Roman" w:cs="Times New Roman"/>
          <w:sz w:val="26"/>
          <w:szCs w:val="26"/>
        </w:rPr>
        <w:t>These projections are shown</w:t>
      </w:r>
      <w:r w:rsidRPr="00EE5714">
        <w:rPr>
          <w:rFonts w:ascii="Times New Roman" w:hAnsi="Times New Roman" w:cs="Times New Roman"/>
          <w:sz w:val="26"/>
          <w:szCs w:val="26"/>
        </w:rPr>
        <w:t xml:space="preserve"> two ways</w:t>
      </w:r>
      <w:r w:rsidR="001B18A8" w:rsidRPr="00EE5714">
        <w:rPr>
          <w:rFonts w:ascii="Times New Roman" w:hAnsi="Times New Roman" w:cs="Times New Roman"/>
          <w:sz w:val="26"/>
          <w:szCs w:val="26"/>
        </w:rPr>
        <w:t>: (1)</w:t>
      </w:r>
      <w:r w:rsidRPr="00EE5714" w:rsidDel="000C3DC7">
        <w:rPr>
          <w:rFonts w:ascii="Times New Roman" w:hAnsi="Times New Roman" w:cs="Times New Roman"/>
          <w:sz w:val="26"/>
          <w:szCs w:val="26"/>
        </w:rPr>
        <w:t xml:space="preserve"> </w:t>
      </w:r>
      <w:r w:rsidRPr="00EE5714">
        <w:rPr>
          <w:rFonts w:ascii="Times New Roman" w:hAnsi="Times New Roman" w:cs="Times New Roman"/>
          <w:sz w:val="26"/>
          <w:szCs w:val="26"/>
        </w:rPr>
        <w:t>the total CAP costs</w:t>
      </w:r>
      <w:r w:rsidR="004F2F36">
        <w:rPr>
          <w:rFonts w:ascii="Times New Roman" w:hAnsi="Times New Roman" w:cs="Times New Roman"/>
          <w:sz w:val="26"/>
          <w:szCs w:val="26"/>
        </w:rPr>
        <w:t xml:space="preserve"> from utility USECPs</w:t>
      </w:r>
      <w:r w:rsidRPr="00EE5714">
        <w:rPr>
          <w:rFonts w:ascii="Times New Roman" w:hAnsi="Times New Roman" w:cs="Times New Roman"/>
          <w:sz w:val="26"/>
          <w:szCs w:val="26"/>
        </w:rPr>
        <w:t xml:space="preserve"> and </w:t>
      </w:r>
      <w:r w:rsidR="001B18A8" w:rsidRPr="00EE5714">
        <w:rPr>
          <w:rFonts w:ascii="Times New Roman" w:hAnsi="Times New Roman" w:cs="Times New Roman"/>
          <w:sz w:val="26"/>
          <w:szCs w:val="26"/>
        </w:rPr>
        <w:t>(2)</w:t>
      </w:r>
      <w:r w:rsidR="00E90527" w:rsidRPr="00EE5714">
        <w:rPr>
          <w:rFonts w:ascii="Times New Roman" w:hAnsi="Times New Roman" w:cs="Times New Roman"/>
          <w:sz w:val="26"/>
          <w:szCs w:val="26"/>
        </w:rPr>
        <w:t> </w:t>
      </w:r>
      <w:r w:rsidRPr="00EE5714">
        <w:rPr>
          <w:rFonts w:ascii="Times New Roman" w:hAnsi="Times New Roman" w:cs="Times New Roman"/>
          <w:sz w:val="26"/>
          <w:szCs w:val="26"/>
        </w:rPr>
        <w:t xml:space="preserve">the </w:t>
      </w:r>
      <w:r w:rsidR="001B18A8" w:rsidRPr="00EE5714">
        <w:rPr>
          <w:rFonts w:ascii="Times New Roman" w:hAnsi="Times New Roman" w:cs="Times New Roman"/>
          <w:sz w:val="26"/>
          <w:szCs w:val="26"/>
        </w:rPr>
        <w:t xml:space="preserve">impact of the </w:t>
      </w:r>
      <w:r w:rsidRPr="00EE5714">
        <w:rPr>
          <w:rFonts w:ascii="Times New Roman" w:hAnsi="Times New Roman" w:cs="Times New Roman"/>
          <w:sz w:val="26"/>
          <w:szCs w:val="26"/>
        </w:rPr>
        <w:t xml:space="preserve">CAP costs per </w:t>
      </w:r>
      <w:r w:rsidR="000C3DC7" w:rsidRPr="00EE5714">
        <w:rPr>
          <w:rFonts w:ascii="Times New Roman" w:hAnsi="Times New Roman" w:cs="Times New Roman"/>
          <w:sz w:val="26"/>
          <w:szCs w:val="26"/>
        </w:rPr>
        <w:t>n</w:t>
      </w:r>
      <w:r w:rsidRPr="00EE5714">
        <w:rPr>
          <w:rFonts w:ascii="Times New Roman" w:hAnsi="Times New Roman" w:cs="Times New Roman"/>
          <w:sz w:val="26"/>
          <w:szCs w:val="26"/>
        </w:rPr>
        <w:t>on-CAP residential customer.</w:t>
      </w:r>
      <w:r w:rsidR="004F2F36">
        <w:rPr>
          <w:rFonts w:ascii="Times New Roman" w:hAnsi="Times New Roman" w:cs="Times New Roman"/>
          <w:sz w:val="26"/>
          <w:szCs w:val="26"/>
        </w:rPr>
        <w:t xml:space="preserve">  Staff forecast</w:t>
      </w:r>
      <w:r w:rsidR="00F068A7">
        <w:rPr>
          <w:rFonts w:ascii="Times New Roman" w:hAnsi="Times New Roman" w:cs="Times New Roman"/>
          <w:sz w:val="26"/>
          <w:szCs w:val="26"/>
        </w:rPr>
        <w:t xml:space="preserve"> the 2018-2021 average CAP enrollment </w:t>
      </w:r>
      <w:r w:rsidR="00F068A7">
        <w:rPr>
          <w:rFonts w:ascii="Times New Roman" w:hAnsi="Times New Roman" w:cs="Times New Roman"/>
          <w:sz w:val="26"/>
          <w:szCs w:val="26"/>
        </w:rPr>
        <w:lastRenderedPageBreak/>
        <w:t>and residential customer numbers</w:t>
      </w:r>
      <w:proofErr w:type="gramStart"/>
      <w:r w:rsidR="00183E05">
        <w:rPr>
          <w:rFonts w:ascii="Times New Roman" w:hAnsi="Times New Roman" w:cs="Times New Roman"/>
          <w:sz w:val="26"/>
          <w:szCs w:val="26"/>
        </w:rPr>
        <w:t xml:space="preserve">. </w:t>
      </w:r>
      <w:proofErr w:type="gramEnd"/>
      <w:r w:rsidR="00183E05">
        <w:rPr>
          <w:rFonts w:ascii="Times New Roman" w:hAnsi="Times New Roman" w:cs="Times New Roman"/>
          <w:sz w:val="26"/>
          <w:szCs w:val="26"/>
        </w:rPr>
        <w:t xml:space="preserve">Staff then adjusted the </w:t>
      </w:r>
      <w:r w:rsidR="0086652D">
        <w:rPr>
          <w:rFonts w:ascii="Times New Roman" w:hAnsi="Times New Roman" w:cs="Times New Roman"/>
          <w:sz w:val="26"/>
          <w:szCs w:val="26"/>
        </w:rPr>
        <w:t>costs</w:t>
      </w:r>
      <w:r w:rsidR="00F068A7">
        <w:rPr>
          <w:rFonts w:ascii="Times New Roman" w:hAnsi="Times New Roman" w:cs="Times New Roman"/>
          <w:sz w:val="26"/>
          <w:szCs w:val="26"/>
        </w:rPr>
        <w:t xml:space="preserve"> to show </w:t>
      </w:r>
      <w:r w:rsidR="008055FE">
        <w:rPr>
          <w:rFonts w:ascii="Times New Roman" w:hAnsi="Times New Roman" w:cs="Times New Roman"/>
          <w:sz w:val="26"/>
          <w:szCs w:val="26"/>
        </w:rPr>
        <w:t xml:space="preserve">a range of </w:t>
      </w:r>
      <w:r w:rsidR="0068195B">
        <w:rPr>
          <w:rFonts w:ascii="Times New Roman" w:hAnsi="Times New Roman" w:cs="Times New Roman"/>
          <w:sz w:val="26"/>
          <w:szCs w:val="26"/>
        </w:rPr>
        <w:t>potential increases and decreases (</w:t>
      </w:r>
      <w:r w:rsidRPr="00EE5714">
        <w:rPr>
          <w:rFonts w:ascii="Times New Roman" w:hAnsi="Times New Roman" w:cs="Times New Roman"/>
          <w:sz w:val="26"/>
          <w:szCs w:val="26"/>
        </w:rPr>
        <w:t xml:space="preserve">+10%, +5%, +1%, -1%, -5%, -10%) to the </w:t>
      </w:r>
      <w:r w:rsidR="00097842">
        <w:rPr>
          <w:rFonts w:ascii="Times New Roman" w:hAnsi="Times New Roman" w:cs="Times New Roman"/>
          <w:sz w:val="26"/>
          <w:szCs w:val="26"/>
        </w:rPr>
        <w:t xml:space="preserve">2018-2021 </w:t>
      </w:r>
      <w:r w:rsidR="00461778">
        <w:rPr>
          <w:rFonts w:ascii="Times New Roman" w:hAnsi="Times New Roman" w:cs="Times New Roman"/>
          <w:sz w:val="26"/>
          <w:szCs w:val="26"/>
        </w:rPr>
        <w:t>projected residential non-CAP costs</w:t>
      </w:r>
      <w:r w:rsidRPr="00EE5714">
        <w:rPr>
          <w:rFonts w:ascii="Times New Roman" w:hAnsi="Times New Roman" w:cs="Times New Roman"/>
          <w:sz w:val="26"/>
          <w:szCs w:val="26"/>
        </w:rPr>
        <w:t xml:space="preserve">.  </w:t>
      </w:r>
    </w:p>
    <w:p w14:paraId="28278D54" w14:textId="77777777" w:rsidR="00682A0F" w:rsidRPr="00EE5714" w:rsidRDefault="00682A0F" w:rsidP="00EE7AE6">
      <w:pPr>
        <w:spacing w:after="0" w:line="240" w:lineRule="auto"/>
        <w:ind w:firstLine="720"/>
        <w:rPr>
          <w:rFonts w:ascii="Times New Roman" w:hAnsi="Times New Roman" w:cs="Times New Roman"/>
          <w:sz w:val="26"/>
          <w:szCs w:val="26"/>
        </w:rPr>
      </w:pPr>
    </w:p>
    <w:p w14:paraId="1065913B" w14:textId="6F68E374" w:rsidR="00682A0F" w:rsidRPr="00EE5714" w:rsidRDefault="005B5C1E" w:rsidP="00EE7AE6">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Finally, </w:t>
      </w:r>
      <w:r w:rsidR="000C3DC7" w:rsidRPr="00EE5714">
        <w:rPr>
          <w:rFonts w:ascii="Times New Roman" w:hAnsi="Times New Roman" w:cs="Times New Roman"/>
          <w:sz w:val="26"/>
          <w:szCs w:val="26"/>
        </w:rPr>
        <w:t>staff</w:t>
      </w:r>
      <w:r w:rsidRPr="00EE5714">
        <w:rPr>
          <w:rFonts w:ascii="Times New Roman" w:hAnsi="Times New Roman" w:cs="Times New Roman"/>
          <w:sz w:val="26"/>
          <w:szCs w:val="26"/>
        </w:rPr>
        <w:t xml:space="preserve"> created a model based on </w:t>
      </w:r>
      <w:r w:rsidR="00D27F42">
        <w:rPr>
          <w:rFonts w:ascii="Times New Roman" w:hAnsi="Times New Roman" w:cs="Times New Roman"/>
          <w:sz w:val="26"/>
          <w:szCs w:val="26"/>
        </w:rPr>
        <w:t>actual 2012-201</w:t>
      </w:r>
      <w:r w:rsidR="00D00A64">
        <w:rPr>
          <w:rFonts w:ascii="Times New Roman" w:hAnsi="Times New Roman" w:cs="Times New Roman"/>
          <w:sz w:val="26"/>
          <w:szCs w:val="26"/>
        </w:rPr>
        <w:t>6</w:t>
      </w:r>
      <w:r w:rsidRPr="00EE5714">
        <w:rPr>
          <w:rFonts w:ascii="Times New Roman" w:hAnsi="Times New Roman" w:cs="Times New Roman"/>
          <w:sz w:val="26"/>
          <w:szCs w:val="26"/>
        </w:rPr>
        <w:t xml:space="preserve"> CAP costs and energy burden levels. </w:t>
      </w:r>
      <w:r w:rsidR="000C3DC7" w:rsidRPr="00EE5714">
        <w:rPr>
          <w:rFonts w:ascii="Times New Roman" w:hAnsi="Times New Roman" w:cs="Times New Roman"/>
          <w:sz w:val="26"/>
          <w:szCs w:val="26"/>
        </w:rPr>
        <w:t xml:space="preserve"> Staff</w:t>
      </w:r>
      <w:r w:rsidRPr="00EE5714">
        <w:rPr>
          <w:rFonts w:ascii="Times New Roman" w:hAnsi="Times New Roman" w:cs="Times New Roman"/>
          <w:sz w:val="26"/>
          <w:szCs w:val="26"/>
        </w:rPr>
        <w:t xml:space="preserve"> w</w:t>
      </w:r>
      <w:r w:rsidR="000E123C" w:rsidRPr="00EE5714">
        <w:rPr>
          <w:rFonts w:ascii="Times New Roman" w:hAnsi="Times New Roman" w:cs="Times New Roman"/>
          <w:sz w:val="26"/>
          <w:szCs w:val="26"/>
        </w:rPr>
        <w:t>as</w:t>
      </w:r>
      <w:r w:rsidRPr="00EE5714">
        <w:rPr>
          <w:rFonts w:ascii="Times New Roman" w:hAnsi="Times New Roman" w:cs="Times New Roman"/>
          <w:sz w:val="26"/>
          <w:szCs w:val="26"/>
        </w:rPr>
        <w:t xml:space="preserve"> able to adjust the energy burden levels, holding the other variables static, and estimate the incremental CAP costs based on </w:t>
      </w:r>
      <w:r w:rsidR="000E123C" w:rsidRPr="00EE5714">
        <w:rPr>
          <w:rFonts w:ascii="Times New Roman" w:hAnsi="Times New Roman" w:cs="Times New Roman"/>
          <w:sz w:val="26"/>
          <w:szCs w:val="26"/>
        </w:rPr>
        <w:t xml:space="preserve">potential </w:t>
      </w:r>
      <w:r w:rsidRPr="00EE5714">
        <w:rPr>
          <w:rFonts w:ascii="Times New Roman" w:hAnsi="Times New Roman" w:cs="Times New Roman"/>
          <w:sz w:val="26"/>
          <w:szCs w:val="26"/>
        </w:rPr>
        <w:t>new</w:t>
      </w:r>
      <w:r w:rsidRPr="00EE5714" w:rsidDel="006C1C0F">
        <w:rPr>
          <w:rFonts w:ascii="Times New Roman" w:hAnsi="Times New Roman" w:cs="Times New Roman"/>
          <w:sz w:val="26"/>
          <w:szCs w:val="26"/>
        </w:rPr>
        <w:t xml:space="preserve"> </w:t>
      </w:r>
      <w:r w:rsidR="001E64AE" w:rsidRPr="00EE5714">
        <w:rPr>
          <w:rFonts w:ascii="Times New Roman" w:hAnsi="Times New Roman" w:cs="Times New Roman"/>
          <w:sz w:val="26"/>
          <w:szCs w:val="26"/>
        </w:rPr>
        <w:t xml:space="preserve">percent-of-income </w:t>
      </w:r>
      <w:r w:rsidRPr="00EE5714">
        <w:rPr>
          <w:rFonts w:ascii="Times New Roman" w:hAnsi="Times New Roman" w:cs="Times New Roman"/>
          <w:sz w:val="26"/>
          <w:szCs w:val="26"/>
        </w:rPr>
        <w:t xml:space="preserve">energy burden levels.  </w:t>
      </w:r>
      <w:r w:rsidR="008A5A76" w:rsidRPr="00EE5714">
        <w:rPr>
          <w:rFonts w:ascii="Times New Roman" w:hAnsi="Times New Roman" w:cs="Times New Roman"/>
          <w:sz w:val="26"/>
          <w:szCs w:val="26"/>
        </w:rPr>
        <w:t>The mode</w:t>
      </w:r>
      <w:r w:rsidR="001E64AE" w:rsidRPr="00EE5714">
        <w:rPr>
          <w:rFonts w:ascii="Times New Roman" w:hAnsi="Times New Roman" w:cs="Times New Roman"/>
          <w:sz w:val="26"/>
          <w:szCs w:val="26"/>
        </w:rPr>
        <w:t>l</w:t>
      </w:r>
      <w:r w:rsidR="008A5A76" w:rsidRPr="00EE5714">
        <w:rPr>
          <w:rFonts w:ascii="Times New Roman" w:hAnsi="Times New Roman" w:cs="Times New Roman"/>
          <w:sz w:val="26"/>
          <w:szCs w:val="26"/>
        </w:rPr>
        <w:t xml:space="preserve"> can be used to examine other potential </w:t>
      </w:r>
      <w:r w:rsidR="001E64AE" w:rsidRPr="00EE5714">
        <w:rPr>
          <w:rFonts w:ascii="Times New Roman" w:hAnsi="Times New Roman" w:cs="Times New Roman"/>
          <w:sz w:val="26"/>
          <w:szCs w:val="26"/>
        </w:rPr>
        <w:t xml:space="preserve">percent-of-income </w:t>
      </w:r>
      <w:r w:rsidR="008A5A76" w:rsidRPr="00EE5714">
        <w:rPr>
          <w:rFonts w:ascii="Times New Roman" w:hAnsi="Times New Roman" w:cs="Times New Roman"/>
          <w:sz w:val="26"/>
          <w:szCs w:val="26"/>
        </w:rPr>
        <w:t>energy burdens</w:t>
      </w:r>
      <w:r w:rsidR="00B45FE1" w:rsidRPr="00EE5714">
        <w:rPr>
          <w:rFonts w:ascii="Times New Roman" w:hAnsi="Times New Roman" w:cs="Times New Roman"/>
          <w:sz w:val="26"/>
          <w:szCs w:val="26"/>
        </w:rPr>
        <w:t>.</w:t>
      </w:r>
      <w:r w:rsidR="008A5A76" w:rsidRPr="00EE5714">
        <w:rPr>
          <w:rFonts w:ascii="Times New Roman" w:hAnsi="Times New Roman" w:cs="Times New Roman"/>
          <w:sz w:val="26"/>
          <w:szCs w:val="26"/>
        </w:rPr>
        <w:t xml:space="preserve"> </w:t>
      </w:r>
    </w:p>
    <w:p w14:paraId="23814360" w14:textId="77777777" w:rsidR="005B5C1E" w:rsidRPr="00EE5714" w:rsidRDefault="005B5C1E" w:rsidP="00EE7AE6">
      <w:pPr>
        <w:spacing w:after="0" w:line="240" w:lineRule="auto"/>
        <w:ind w:firstLine="720"/>
        <w:rPr>
          <w:rFonts w:ascii="Times New Roman" w:hAnsi="Times New Roman" w:cs="Times New Roman"/>
          <w:sz w:val="26"/>
          <w:szCs w:val="26"/>
        </w:rPr>
      </w:pPr>
    </w:p>
    <w:p w14:paraId="31028388" w14:textId="77777777" w:rsidR="005B5C1E" w:rsidRPr="00EE5714" w:rsidRDefault="005B5C1E" w:rsidP="00043DC8">
      <w:pPr>
        <w:keepNext/>
        <w:spacing w:after="0" w:line="240" w:lineRule="auto"/>
        <w:rPr>
          <w:rFonts w:ascii="Times New Roman" w:hAnsi="Times New Roman" w:cs="Times New Roman"/>
          <w:i/>
          <w:iCs/>
          <w:sz w:val="26"/>
          <w:szCs w:val="26"/>
        </w:rPr>
      </w:pPr>
      <w:r w:rsidRPr="00EE5714">
        <w:rPr>
          <w:rFonts w:ascii="Times New Roman" w:hAnsi="Times New Roman" w:cs="Times New Roman"/>
          <w:i/>
          <w:iCs/>
          <w:sz w:val="26"/>
          <w:szCs w:val="26"/>
        </w:rPr>
        <w:t>Data Limitations</w:t>
      </w:r>
    </w:p>
    <w:p w14:paraId="487CC116" w14:textId="77777777" w:rsidR="00682A0F" w:rsidRPr="00EE5714" w:rsidRDefault="00682A0F" w:rsidP="00CC39B2">
      <w:pPr>
        <w:keepNext/>
        <w:spacing w:after="0" w:line="240" w:lineRule="auto"/>
        <w:rPr>
          <w:rFonts w:ascii="Times New Roman" w:hAnsi="Times New Roman" w:cs="Times New Roman"/>
          <w:sz w:val="26"/>
          <w:szCs w:val="26"/>
        </w:rPr>
      </w:pPr>
    </w:p>
    <w:p w14:paraId="75084A2C" w14:textId="77777777" w:rsidR="005B5C1E" w:rsidRPr="00EE5714" w:rsidRDefault="005B5C1E" w:rsidP="00EE7AE6">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 xml:space="preserve">The total CAP cost data and cost components were reviewed in aggregate for each </w:t>
      </w:r>
      <w:r w:rsidR="00E60FBC" w:rsidRPr="00EE5714">
        <w:rPr>
          <w:rFonts w:ascii="Times New Roman" w:hAnsi="Times New Roman" w:cs="Times New Roman"/>
          <w:sz w:val="26"/>
          <w:szCs w:val="26"/>
        </w:rPr>
        <w:t>utility</w:t>
      </w:r>
      <w:r w:rsidRPr="00EE5714">
        <w:rPr>
          <w:rFonts w:ascii="Times New Roman" w:hAnsi="Times New Roman" w:cs="Times New Roman"/>
          <w:sz w:val="26"/>
          <w:szCs w:val="26"/>
        </w:rPr>
        <w:t xml:space="preserve">, as the utilities do not report costs broken down by heating/non-heating or by poverty level </w:t>
      </w:r>
      <w:r w:rsidR="001B18A8" w:rsidRPr="00EE5714">
        <w:rPr>
          <w:rFonts w:ascii="Times New Roman" w:hAnsi="Times New Roman" w:cs="Times New Roman"/>
          <w:sz w:val="26"/>
          <w:szCs w:val="26"/>
        </w:rPr>
        <w:t>as part of the</w:t>
      </w:r>
      <w:r w:rsidRPr="00EE5714">
        <w:rPr>
          <w:rFonts w:ascii="Times New Roman" w:hAnsi="Times New Roman" w:cs="Times New Roman"/>
          <w:sz w:val="26"/>
          <w:szCs w:val="26"/>
        </w:rPr>
        <w:t xml:space="preserve"> USR.</w:t>
      </w:r>
    </w:p>
    <w:p w14:paraId="5A126A60" w14:textId="77777777" w:rsidR="00CC39B2" w:rsidRPr="00EE5714" w:rsidRDefault="00CC39B2" w:rsidP="00EE7AE6">
      <w:pPr>
        <w:spacing w:after="0" w:line="240" w:lineRule="auto"/>
        <w:rPr>
          <w:rFonts w:ascii="Times New Roman" w:hAnsi="Times New Roman" w:cs="Times New Roman"/>
          <w:sz w:val="26"/>
          <w:szCs w:val="26"/>
        </w:rPr>
      </w:pPr>
    </w:p>
    <w:p w14:paraId="0F87D066" w14:textId="4B5667AD" w:rsidR="005B5C1E" w:rsidRDefault="005B5C1E" w:rsidP="00043DC8">
      <w:pPr>
        <w:keepNext/>
        <w:spacing w:after="0" w:line="240" w:lineRule="auto"/>
        <w:contextualSpacing/>
        <w:jc w:val="center"/>
        <w:rPr>
          <w:rFonts w:ascii="Times New Roman" w:eastAsia="Calibri" w:hAnsi="Times New Roman" w:cs="Times New Roman"/>
          <w:b/>
          <w:bCs/>
          <w:sz w:val="26"/>
          <w:szCs w:val="26"/>
        </w:rPr>
      </w:pPr>
      <w:r w:rsidRPr="00EE5714">
        <w:rPr>
          <w:rFonts w:ascii="Times New Roman" w:eastAsia="Calibri" w:hAnsi="Times New Roman" w:cs="Times New Roman"/>
          <w:b/>
          <w:bCs/>
          <w:sz w:val="26"/>
          <w:szCs w:val="26"/>
        </w:rPr>
        <w:t>Analysis</w:t>
      </w:r>
    </w:p>
    <w:p w14:paraId="4CD43881" w14:textId="77777777" w:rsidR="00804A09" w:rsidRPr="00EE5714" w:rsidRDefault="00804A09" w:rsidP="00043DC8">
      <w:pPr>
        <w:keepNext/>
        <w:spacing w:after="0" w:line="240" w:lineRule="auto"/>
        <w:contextualSpacing/>
        <w:jc w:val="center"/>
        <w:rPr>
          <w:rFonts w:ascii="Times New Roman" w:eastAsia="Calibri" w:hAnsi="Times New Roman" w:cs="Times New Roman"/>
          <w:b/>
          <w:bCs/>
          <w:sz w:val="26"/>
          <w:szCs w:val="26"/>
        </w:rPr>
      </w:pPr>
    </w:p>
    <w:p w14:paraId="15E34305" w14:textId="0C2511DA" w:rsidR="00DF6FE8" w:rsidRPr="00DF6FE8" w:rsidRDefault="00DF6FE8" w:rsidP="00804A09">
      <w:pPr>
        <w:spacing w:after="0" w:line="240" w:lineRule="auto"/>
        <w:ind w:firstLine="720"/>
        <w:rPr>
          <w:rFonts w:ascii="Times New Roman" w:hAnsi="Times New Roman" w:cs="Times New Roman"/>
          <w:sz w:val="26"/>
          <w:szCs w:val="26"/>
        </w:rPr>
      </w:pPr>
      <w:r w:rsidRPr="00DF6FE8">
        <w:rPr>
          <w:rFonts w:ascii="Times New Roman" w:hAnsi="Times New Roman" w:cs="Times New Roman"/>
          <w:sz w:val="26"/>
          <w:szCs w:val="26"/>
        </w:rPr>
        <w:t>Staff analyzed the actual 2012-2017 costs of CAPs, number of residential customers, and average CAP enrollments from USR data in order to determine the costs of CAPs per non-CAP residential customer, calculated: CAP costs</w:t>
      </w:r>
      <w:proofErr w:type="gramStart"/>
      <w:r w:rsidRPr="00DF6FE8">
        <w:rPr>
          <w:rFonts w:ascii="Times New Roman" w:hAnsi="Times New Roman" w:cs="Times New Roman"/>
          <w:sz w:val="26"/>
          <w:szCs w:val="26"/>
        </w:rPr>
        <w:t>/(</w:t>
      </w:r>
      <w:proofErr w:type="gramEnd"/>
      <w:r w:rsidRPr="00DF6FE8">
        <w:rPr>
          <w:rFonts w:ascii="Times New Roman" w:hAnsi="Times New Roman" w:cs="Times New Roman"/>
          <w:sz w:val="26"/>
          <w:szCs w:val="26"/>
        </w:rPr>
        <w:t xml:space="preserve">residential customers-average CAP enrollment).  Staff used approved and proposed USECP CAP budgets for 2018-2021 and then forecast </w:t>
      </w:r>
      <w:r w:rsidR="009A6CAD">
        <w:rPr>
          <w:rFonts w:ascii="Times New Roman" w:hAnsi="Times New Roman" w:cs="Times New Roman"/>
          <w:sz w:val="26"/>
          <w:szCs w:val="26"/>
        </w:rPr>
        <w:t xml:space="preserve">the </w:t>
      </w:r>
      <w:r w:rsidRPr="00DF6FE8">
        <w:rPr>
          <w:rFonts w:ascii="Times New Roman" w:hAnsi="Times New Roman" w:cs="Times New Roman"/>
          <w:sz w:val="26"/>
          <w:szCs w:val="26"/>
        </w:rPr>
        <w:t xml:space="preserve">2018-2021 residential customer and average CAP enrollment levels using a regression analysis (when necessary).   </w:t>
      </w:r>
    </w:p>
    <w:p w14:paraId="4A8ECF76" w14:textId="77777777" w:rsidR="00DF6FE8" w:rsidRPr="00DF6FE8" w:rsidRDefault="00DF6FE8" w:rsidP="00DF6FE8">
      <w:pPr>
        <w:spacing w:after="0" w:line="240" w:lineRule="auto"/>
        <w:rPr>
          <w:rFonts w:ascii="Times New Roman" w:hAnsi="Times New Roman" w:cs="Times New Roman"/>
          <w:sz w:val="26"/>
          <w:szCs w:val="26"/>
        </w:rPr>
      </w:pPr>
    </w:p>
    <w:p w14:paraId="0001DD08" w14:textId="63B9C7FE" w:rsidR="00CC39B2" w:rsidRPr="00EE5714" w:rsidRDefault="00DF6FE8" w:rsidP="009A6CAD">
      <w:pPr>
        <w:spacing w:after="0" w:line="240" w:lineRule="auto"/>
        <w:ind w:firstLine="720"/>
        <w:rPr>
          <w:rFonts w:ascii="Times New Roman" w:hAnsi="Times New Roman" w:cs="Times New Roman"/>
          <w:sz w:val="26"/>
          <w:szCs w:val="26"/>
        </w:rPr>
      </w:pPr>
      <w:r w:rsidRPr="00DF6FE8">
        <w:rPr>
          <w:rFonts w:ascii="Times New Roman" w:hAnsi="Times New Roman" w:cs="Times New Roman"/>
          <w:sz w:val="26"/>
          <w:szCs w:val="26"/>
        </w:rPr>
        <w:t>Staff also created a separate model to estimate the impacts of adjusting the energy burden levels going forward.</w:t>
      </w:r>
    </w:p>
    <w:p w14:paraId="62892E2E" w14:textId="77777777" w:rsidR="008E0A32" w:rsidRPr="00EE5714" w:rsidRDefault="00806B4B" w:rsidP="00043DC8">
      <w:pPr>
        <w:keepNext/>
        <w:spacing w:after="0" w:line="240" w:lineRule="auto"/>
        <w:rPr>
          <w:rFonts w:ascii="Times New Roman" w:hAnsi="Times New Roman" w:cs="Times New Roman"/>
          <w:i/>
          <w:iCs/>
          <w:sz w:val="26"/>
          <w:szCs w:val="26"/>
        </w:rPr>
      </w:pPr>
      <w:r w:rsidRPr="00EE5714">
        <w:rPr>
          <w:rFonts w:ascii="Times New Roman" w:hAnsi="Times New Roman" w:cs="Times New Roman"/>
          <w:i/>
          <w:iCs/>
          <w:sz w:val="26"/>
          <w:szCs w:val="26"/>
        </w:rPr>
        <w:lastRenderedPageBreak/>
        <w:t>NGDC</w:t>
      </w:r>
      <w:r w:rsidR="008E0A32" w:rsidRPr="00EE5714">
        <w:rPr>
          <w:rFonts w:ascii="Times New Roman" w:hAnsi="Times New Roman" w:cs="Times New Roman"/>
          <w:i/>
          <w:iCs/>
          <w:sz w:val="26"/>
          <w:szCs w:val="26"/>
        </w:rPr>
        <w:t xml:space="preserve"> CAP Costs</w:t>
      </w:r>
    </w:p>
    <w:p w14:paraId="43BD9658" w14:textId="77777777" w:rsidR="00C2593A" w:rsidRPr="00EE5714" w:rsidRDefault="00C2593A" w:rsidP="00043DC8">
      <w:pPr>
        <w:keepNext/>
        <w:spacing w:after="0" w:line="240" w:lineRule="auto"/>
        <w:rPr>
          <w:rFonts w:ascii="Times New Roman" w:hAnsi="Times New Roman" w:cs="Times New Roman"/>
          <w:i/>
          <w:iCs/>
          <w:sz w:val="26"/>
          <w:szCs w:val="26"/>
        </w:rPr>
      </w:pPr>
    </w:p>
    <w:p w14:paraId="5B3D8A6E" w14:textId="77777777" w:rsidR="00FF009A" w:rsidRPr="00EE5714" w:rsidRDefault="00FF009A" w:rsidP="00FF009A">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Table 10-1</w:t>
      </w:r>
    </w:p>
    <w:p w14:paraId="62F47D58" w14:textId="77777777" w:rsidR="00FF009A" w:rsidRPr="00EE5714" w:rsidRDefault="00806B4B" w:rsidP="00FF009A">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NGDC</w:t>
      </w:r>
      <w:r w:rsidR="00FF009A" w:rsidRPr="00EE5714">
        <w:rPr>
          <w:rFonts w:ascii="Times New Roman" w:hAnsi="Times New Roman" w:cs="Times New Roman"/>
          <w:b/>
          <w:bCs/>
          <w:sz w:val="26"/>
          <w:szCs w:val="26"/>
        </w:rPr>
        <w:t xml:space="preserve"> - CAP Totals With </w:t>
      </w:r>
      <w:r w:rsidR="006C0E62" w:rsidRPr="00EE5714">
        <w:rPr>
          <w:rFonts w:ascii="Times New Roman" w:hAnsi="Times New Roman" w:cs="Times New Roman"/>
          <w:b/>
          <w:bCs/>
          <w:sz w:val="26"/>
          <w:szCs w:val="26"/>
        </w:rPr>
        <w:t>4</w:t>
      </w:r>
      <w:r w:rsidR="00FF009A" w:rsidRPr="00EE5714">
        <w:rPr>
          <w:rFonts w:ascii="Times New Roman" w:hAnsi="Times New Roman" w:cs="Times New Roman"/>
          <w:b/>
          <w:bCs/>
          <w:sz w:val="26"/>
          <w:szCs w:val="26"/>
        </w:rPr>
        <w:t>-Year Forecasting</w:t>
      </w:r>
    </w:p>
    <w:p w14:paraId="58797B93" w14:textId="77777777" w:rsidR="00FF009A" w:rsidRPr="00EE5714" w:rsidRDefault="00FF009A" w:rsidP="00FF009A">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(201</w:t>
      </w:r>
      <w:r w:rsidR="006C0E62" w:rsidRPr="00EE5714">
        <w:rPr>
          <w:rFonts w:ascii="Times New Roman" w:hAnsi="Times New Roman" w:cs="Times New Roman"/>
          <w:b/>
          <w:bCs/>
          <w:sz w:val="26"/>
          <w:szCs w:val="26"/>
        </w:rPr>
        <w:t>8</w:t>
      </w:r>
      <w:r w:rsidRPr="00EE5714">
        <w:rPr>
          <w:rFonts w:ascii="Times New Roman" w:hAnsi="Times New Roman" w:cs="Times New Roman"/>
          <w:b/>
          <w:bCs/>
          <w:sz w:val="26"/>
          <w:szCs w:val="26"/>
        </w:rPr>
        <w:t>-2021)</w:t>
      </w:r>
    </w:p>
    <w:p w14:paraId="478691BD" w14:textId="77777777" w:rsidR="00EF65E8" w:rsidRPr="00EE5714" w:rsidRDefault="00EF65E8" w:rsidP="00FF009A">
      <w:pPr>
        <w:keepNext/>
        <w:spacing w:after="0" w:line="240" w:lineRule="auto"/>
        <w:jc w:val="center"/>
        <w:rPr>
          <w:rFonts w:ascii="Times New Roman" w:hAnsi="Times New Roman" w:cs="Times New Roman"/>
          <w:b/>
          <w:bCs/>
          <w:sz w:val="26"/>
          <w:szCs w:val="26"/>
        </w:rPr>
      </w:pPr>
      <w:r w:rsidRPr="00EE5714">
        <w:rPr>
          <w:noProof/>
        </w:rPr>
        <w:drawing>
          <wp:inline distT="0" distB="0" distL="0" distR="0" wp14:anchorId="60DE633D" wp14:editId="4E91F782">
            <wp:extent cx="5862638" cy="3505199"/>
            <wp:effectExtent l="0" t="0" r="5080" b="635"/>
            <wp:docPr id="4" name="Chart 4">
              <a:extLst xmlns:a="http://schemas.openxmlformats.org/drawingml/2006/main">
                <a:ext uri="{FF2B5EF4-FFF2-40B4-BE49-F238E27FC236}">
                  <a16:creationId xmlns:a16="http://schemas.microsoft.com/office/drawing/2014/main" id="{F1CE3DD5-6DC8-4B6F-8B73-D82B90709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091E99D" w14:textId="77777777" w:rsidR="00FF009A" w:rsidRPr="00EE5714" w:rsidRDefault="00FF009A" w:rsidP="00891E6B">
      <w:pPr>
        <w:jc w:val="center"/>
        <w:rPr>
          <w:rFonts w:ascii="Times New Roman" w:hAnsi="Times New Roman" w:cs="Times New Roman"/>
          <w:sz w:val="26"/>
          <w:szCs w:val="26"/>
        </w:rPr>
      </w:pPr>
    </w:p>
    <w:p w14:paraId="48BBD95E" w14:textId="461DF3DF" w:rsidR="00A321C2" w:rsidRPr="00EE5714" w:rsidRDefault="00A321C2" w:rsidP="00935766">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The historic CAP cost data show that PGW ha</w:t>
      </w:r>
      <w:r w:rsidR="00005282" w:rsidRPr="00EE5714">
        <w:rPr>
          <w:rFonts w:ascii="Times New Roman" w:hAnsi="Times New Roman" w:cs="Times New Roman"/>
          <w:sz w:val="26"/>
          <w:szCs w:val="26"/>
        </w:rPr>
        <w:t>d</w:t>
      </w:r>
      <w:r w:rsidRPr="00EE5714">
        <w:rPr>
          <w:rFonts w:ascii="Times New Roman" w:hAnsi="Times New Roman" w:cs="Times New Roman"/>
          <w:sz w:val="26"/>
          <w:szCs w:val="26"/>
        </w:rPr>
        <w:t xml:space="preserve"> the highest CAP costs of the NGDCs.  PGW’s CAP costs are recovered from rate classes other than just residential</w:t>
      </w:r>
      <w:r w:rsidR="00C656B7" w:rsidRPr="00EE5714">
        <w:rPr>
          <w:rFonts w:ascii="Times New Roman" w:hAnsi="Times New Roman" w:cs="Times New Roman"/>
          <w:sz w:val="26"/>
          <w:szCs w:val="26"/>
        </w:rPr>
        <w:t>.</w:t>
      </w:r>
      <w:r w:rsidRPr="00EE5714">
        <w:rPr>
          <w:rStyle w:val="FootnoteReference"/>
          <w:rFonts w:ascii="Times New Roman" w:hAnsi="Times New Roman" w:cs="Times New Roman"/>
          <w:sz w:val="26"/>
          <w:szCs w:val="26"/>
        </w:rPr>
        <w:footnoteReference w:id="89"/>
      </w:r>
      <w:r w:rsidR="00C656B7"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 </w:t>
      </w:r>
      <w:r w:rsidR="006A6295" w:rsidRPr="00EE5714">
        <w:rPr>
          <w:rFonts w:ascii="Times New Roman" w:hAnsi="Times New Roman" w:cs="Times New Roman"/>
          <w:sz w:val="26"/>
          <w:szCs w:val="26"/>
        </w:rPr>
        <w:t xml:space="preserve">While CAP costs for PGW </w:t>
      </w:r>
      <w:r w:rsidR="00D605CA" w:rsidRPr="00EE5714">
        <w:rPr>
          <w:rFonts w:ascii="Times New Roman" w:hAnsi="Times New Roman" w:cs="Times New Roman"/>
          <w:sz w:val="26"/>
          <w:szCs w:val="26"/>
        </w:rPr>
        <w:t>were</w:t>
      </w:r>
      <w:r w:rsidR="006A6295" w:rsidRPr="00EE5714">
        <w:rPr>
          <w:rFonts w:ascii="Times New Roman" w:hAnsi="Times New Roman" w:cs="Times New Roman"/>
          <w:sz w:val="26"/>
          <w:szCs w:val="26"/>
        </w:rPr>
        <w:t xml:space="preserve"> still much higher than any other NGDC, they decreased from a peak of over $</w:t>
      </w:r>
      <w:r w:rsidR="00B21255" w:rsidRPr="00EE5714">
        <w:rPr>
          <w:rFonts w:ascii="Times New Roman" w:hAnsi="Times New Roman" w:cs="Times New Roman"/>
          <w:sz w:val="26"/>
          <w:szCs w:val="26"/>
        </w:rPr>
        <w:t>77</w:t>
      </w:r>
      <w:r w:rsidR="006A6295" w:rsidRPr="00EE5714">
        <w:rPr>
          <w:rFonts w:ascii="Times New Roman" w:hAnsi="Times New Roman" w:cs="Times New Roman"/>
          <w:sz w:val="26"/>
          <w:szCs w:val="26"/>
        </w:rPr>
        <w:t>.</w:t>
      </w:r>
      <w:r w:rsidR="00B21255" w:rsidRPr="00EE5714">
        <w:rPr>
          <w:rFonts w:ascii="Times New Roman" w:hAnsi="Times New Roman" w:cs="Times New Roman"/>
          <w:sz w:val="26"/>
          <w:szCs w:val="26"/>
        </w:rPr>
        <w:t>2</w:t>
      </w:r>
      <w:r w:rsidR="006A6295" w:rsidRPr="00EE5714">
        <w:rPr>
          <w:rFonts w:ascii="Times New Roman" w:hAnsi="Times New Roman" w:cs="Times New Roman"/>
          <w:sz w:val="26"/>
          <w:szCs w:val="26"/>
        </w:rPr>
        <w:t xml:space="preserve"> million in 2013 to $</w:t>
      </w:r>
      <w:r w:rsidR="00B21255" w:rsidRPr="00EE5714">
        <w:rPr>
          <w:rFonts w:ascii="Times New Roman" w:hAnsi="Times New Roman" w:cs="Times New Roman"/>
          <w:sz w:val="26"/>
          <w:szCs w:val="26"/>
        </w:rPr>
        <w:t>47</w:t>
      </w:r>
      <w:r w:rsidR="006A6295" w:rsidRPr="00EE5714">
        <w:rPr>
          <w:rFonts w:ascii="Times New Roman" w:hAnsi="Times New Roman" w:cs="Times New Roman"/>
          <w:sz w:val="26"/>
          <w:szCs w:val="26"/>
        </w:rPr>
        <w:t>.</w:t>
      </w:r>
      <w:r w:rsidR="00B21255" w:rsidRPr="00EE5714">
        <w:rPr>
          <w:rFonts w:ascii="Times New Roman" w:hAnsi="Times New Roman" w:cs="Times New Roman"/>
          <w:sz w:val="26"/>
          <w:szCs w:val="26"/>
        </w:rPr>
        <w:t>3</w:t>
      </w:r>
      <w:r w:rsidR="006A6295" w:rsidRPr="00EE5714">
        <w:rPr>
          <w:rFonts w:ascii="Times New Roman" w:hAnsi="Times New Roman" w:cs="Times New Roman"/>
          <w:sz w:val="26"/>
          <w:szCs w:val="26"/>
        </w:rPr>
        <w:t xml:space="preserve"> million in 2016</w:t>
      </w:r>
      <w:r w:rsidR="00B21255" w:rsidRPr="00EE5714">
        <w:rPr>
          <w:rFonts w:ascii="Times New Roman" w:hAnsi="Times New Roman" w:cs="Times New Roman"/>
          <w:sz w:val="26"/>
          <w:szCs w:val="26"/>
        </w:rPr>
        <w:t xml:space="preserve">.  </w:t>
      </w:r>
      <w:r w:rsidR="00FE4F58" w:rsidRPr="00EE5714">
        <w:rPr>
          <w:rFonts w:ascii="Times New Roman" w:hAnsi="Times New Roman" w:cs="Times New Roman"/>
          <w:sz w:val="26"/>
          <w:szCs w:val="26"/>
        </w:rPr>
        <w:t>However, based on PGW’s projected CAP budgets in its 2017-2020 USECP, PGW’s CAP costs are anticipated to increase annually</w:t>
      </w:r>
      <w:r w:rsidR="00870528" w:rsidRPr="00EE5714">
        <w:rPr>
          <w:rFonts w:ascii="Times New Roman" w:hAnsi="Times New Roman" w:cs="Times New Roman"/>
          <w:sz w:val="26"/>
          <w:szCs w:val="26"/>
        </w:rPr>
        <w:t>, growing to $63.6 million by 2021.</w:t>
      </w:r>
      <w:r w:rsidR="006A6295"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Peoples’ CAP costs have remained </w:t>
      </w:r>
      <w:proofErr w:type="gramStart"/>
      <w:r w:rsidRPr="00EE5714">
        <w:rPr>
          <w:rFonts w:ascii="Times New Roman" w:hAnsi="Times New Roman" w:cs="Times New Roman"/>
          <w:sz w:val="26"/>
          <w:szCs w:val="26"/>
        </w:rPr>
        <w:t>fairly steady</w:t>
      </w:r>
      <w:proofErr w:type="gramEnd"/>
      <w:r w:rsidRPr="00EE5714">
        <w:rPr>
          <w:rFonts w:ascii="Times New Roman" w:hAnsi="Times New Roman" w:cs="Times New Roman"/>
          <w:sz w:val="26"/>
          <w:szCs w:val="26"/>
        </w:rPr>
        <w:t xml:space="preserve"> since 2012</w:t>
      </w:r>
      <w:r w:rsidR="007B0AA7" w:rsidRPr="00EE5714">
        <w:rPr>
          <w:rFonts w:ascii="Times New Roman" w:hAnsi="Times New Roman" w:cs="Times New Roman"/>
          <w:sz w:val="26"/>
          <w:szCs w:val="26"/>
        </w:rPr>
        <w:t xml:space="preserve"> and are projected to remain fairly constant.</w:t>
      </w:r>
      <w:r w:rsidR="004D5C73"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 Columbia Gas’ CAP costs have risen from $8.1 million in 2012 </w:t>
      </w:r>
      <w:r w:rsidR="005E4770" w:rsidRPr="00EE5714">
        <w:rPr>
          <w:rFonts w:ascii="Times New Roman" w:hAnsi="Times New Roman" w:cs="Times New Roman"/>
          <w:sz w:val="26"/>
          <w:szCs w:val="26"/>
        </w:rPr>
        <w:t xml:space="preserve">and may reach </w:t>
      </w:r>
      <w:r w:rsidRPr="00EE5714">
        <w:rPr>
          <w:rFonts w:ascii="Times New Roman" w:hAnsi="Times New Roman" w:cs="Times New Roman"/>
          <w:sz w:val="26"/>
          <w:szCs w:val="26"/>
        </w:rPr>
        <w:t>a projected cost of over $22.</w:t>
      </w:r>
      <w:r w:rsidR="002A4879" w:rsidRPr="00EE5714">
        <w:rPr>
          <w:rFonts w:ascii="Times New Roman" w:hAnsi="Times New Roman" w:cs="Times New Roman"/>
          <w:sz w:val="26"/>
          <w:szCs w:val="26"/>
        </w:rPr>
        <w:t>7</w:t>
      </w:r>
      <w:r w:rsidRPr="00EE5714">
        <w:rPr>
          <w:rFonts w:ascii="Times New Roman" w:hAnsi="Times New Roman" w:cs="Times New Roman"/>
          <w:sz w:val="26"/>
          <w:szCs w:val="26"/>
        </w:rPr>
        <w:t xml:space="preserve"> million in 2021</w:t>
      </w:r>
      <w:r w:rsidR="004D5C73" w:rsidRPr="00EE5714">
        <w:rPr>
          <w:rFonts w:ascii="Times New Roman" w:hAnsi="Times New Roman" w:cs="Times New Roman"/>
          <w:sz w:val="26"/>
          <w:szCs w:val="26"/>
        </w:rPr>
        <w:t>;</w:t>
      </w:r>
      <w:r w:rsidRPr="00EE5714">
        <w:rPr>
          <w:rFonts w:ascii="Times New Roman" w:hAnsi="Times New Roman" w:cs="Times New Roman"/>
          <w:sz w:val="26"/>
          <w:szCs w:val="26"/>
        </w:rPr>
        <w:t xml:space="preserve"> Columbia Gas has the second highest </w:t>
      </w:r>
      <w:r w:rsidR="004140A5" w:rsidRPr="00EE5714">
        <w:rPr>
          <w:rFonts w:ascii="Times New Roman" w:hAnsi="Times New Roman" w:cs="Times New Roman"/>
          <w:sz w:val="26"/>
          <w:szCs w:val="26"/>
        </w:rPr>
        <w:t xml:space="preserve">NGDC </w:t>
      </w:r>
      <w:r w:rsidRPr="00EE5714">
        <w:rPr>
          <w:rFonts w:ascii="Times New Roman" w:hAnsi="Times New Roman" w:cs="Times New Roman"/>
          <w:sz w:val="26"/>
          <w:szCs w:val="26"/>
        </w:rPr>
        <w:t xml:space="preserve">CAP costs overall. </w:t>
      </w:r>
      <w:r w:rsidR="004D5C73"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NFG’s CAP costs are forecast to </w:t>
      </w:r>
      <w:r w:rsidR="002A4879" w:rsidRPr="00EE5714">
        <w:rPr>
          <w:rFonts w:ascii="Times New Roman" w:hAnsi="Times New Roman" w:cs="Times New Roman"/>
          <w:sz w:val="26"/>
          <w:szCs w:val="26"/>
        </w:rPr>
        <w:t>increase from $1.2 million in 2017</w:t>
      </w:r>
      <w:r w:rsidRPr="00EE5714">
        <w:rPr>
          <w:rFonts w:ascii="Times New Roman" w:hAnsi="Times New Roman" w:cs="Times New Roman"/>
          <w:sz w:val="26"/>
          <w:szCs w:val="26"/>
        </w:rPr>
        <w:t xml:space="preserve"> to just over $</w:t>
      </w:r>
      <w:r w:rsidR="002A4879" w:rsidRPr="00EE5714">
        <w:rPr>
          <w:rFonts w:ascii="Times New Roman" w:hAnsi="Times New Roman" w:cs="Times New Roman"/>
          <w:sz w:val="26"/>
          <w:szCs w:val="26"/>
        </w:rPr>
        <w:t>3 million</w:t>
      </w:r>
      <w:r w:rsidRPr="00EE5714">
        <w:rPr>
          <w:rFonts w:ascii="Times New Roman" w:hAnsi="Times New Roman" w:cs="Times New Roman"/>
          <w:sz w:val="26"/>
          <w:szCs w:val="26"/>
        </w:rPr>
        <w:t xml:space="preserve"> in 2021.</w:t>
      </w:r>
      <w:r w:rsidR="00D4659E" w:rsidRPr="00EE5714">
        <w:rPr>
          <w:rFonts w:ascii="Times New Roman" w:hAnsi="Times New Roman" w:cs="Times New Roman"/>
          <w:sz w:val="26"/>
          <w:szCs w:val="26"/>
        </w:rPr>
        <w:t xml:space="preserve">  The forecasting model </w:t>
      </w:r>
      <w:r w:rsidR="00AC61A5" w:rsidRPr="00EE5714">
        <w:rPr>
          <w:rFonts w:ascii="Times New Roman" w:hAnsi="Times New Roman" w:cs="Times New Roman"/>
          <w:sz w:val="26"/>
          <w:szCs w:val="26"/>
        </w:rPr>
        <w:t>projects</w:t>
      </w:r>
      <w:r w:rsidR="00D4659E" w:rsidRPr="00EE5714">
        <w:rPr>
          <w:rFonts w:ascii="Times New Roman" w:hAnsi="Times New Roman" w:cs="Times New Roman"/>
          <w:sz w:val="26"/>
          <w:szCs w:val="26"/>
        </w:rPr>
        <w:t xml:space="preserve"> the overall industry average for </w:t>
      </w:r>
      <w:r w:rsidR="004140A5" w:rsidRPr="00EE5714">
        <w:rPr>
          <w:rFonts w:ascii="Times New Roman" w:hAnsi="Times New Roman" w:cs="Times New Roman"/>
          <w:sz w:val="26"/>
          <w:szCs w:val="26"/>
        </w:rPr>
        <w:t>NGDC</w:t>
      </w:r>
      <w:r w:rsidR="00D4659E" w:rsidRPr="00EE5714">
        <w:rPr>
          <w:rFonts w:ascii="Times New Roman" w:hAnsi="Times New Roman" w:cs="Times New Roman"/>
          <w:sz w:val="26"/>
          <w:szCs w:val="26"/>
        </w:rPr>
        <w:t xml:space="preserve"> CAP costs </w:t>
      </w:r>
      <w:r w:rsidR="00AC61A5" w:rsidRPr="00EE5714">
        <w:rPr>
          <w:rFonts w:ascii="Times New Roman" w:hAnsi="Times New Roman" w:cs="Times New Roman"/>
          <w:sz w:val="26"/>
          <w:szCs w:val="26"/>
        </w:rPr>
        <w:t>will</w:t>
      </w:r>
      <w:r w:rsidR="00D4659E" w:rsidRPr="00EE5714">
        <w:rPr>
          <w:rFonts w:ascii="Times New Roman" w:hAnsi="Times New Roman" w:cs="Times New Roman"/>
          <w:sz w:val="26"/>
          <w:szCs w:val="26"/>
        </w:rPr>
        <w:t xml:space="preserve"> </w:t>
      </w:r>
      <w:r w:rsidR="002A4879" w:rsidRPr="00EE5714">
        <w:rPr>
          <w:rFonts w:ascii="Times New Roman" w:hAnsi="Times New Roman" w:cs="Times New Roman"/>
          <w:sz w:val="26"/>
          <w:szCs w:val="26"/>
        </w:rPr>
        <w:t>increase annually</w:t>
      </w:r>
      <w:r w:rsidR="00D4659E" w:rsidRPr="00EE5714">
        <w:rPr>
          <w:rFonts w:ascii="Times New Roman" w:hAnsi="Times New Roman" w:cs="Times New Roman"/>
          <w:sz w:val="26"/>
          <w:szCs w:val="26"/>
        </w:rPr>
        <w:t xml:space="preserve"> over the next </w:t>
      </w:r>
      <w:r w:rsidR="002A4879" w:rsidRPr="00EE5714">
        <w:rPr>
          <w:rFonts w:ascii="Times New Roman" w:hAnsi="Times New Roman" w:cs="Times New Roman"/>
          <w:sz w:val="26"/>
          <w:szCs w:val="26"/>
        </w:rPr>
        <w:t>four</w:t>
      </w:r>
      <w:r w:rsidR="00D4659E" w:rsidRPr="00EE5714">
        <w:rPr>
          <w:rFonts w:ascii="Times New Roman" w:hAnsi="Times New Roman" w:cs="Times New Roman"/>
          <w:sz w:val="26"/>
          <w:szCs w:val="26"/>
        </w:rPr>
        <w:t xml:space="preserve"> years</w:t>
      </w:r>
      <w:r w:rsidR="002A4879" w:rsidRPr="00EE5714">
        <w:rPr>
          <w:rFonts w:ascii="Times New Roman" w:hAnsi="Times New Roman" w:cs="Times New Roman"/>
          <w:sz w:val="26"/>
          <w:szCs w:val="26"/>
        </w:rPr>
        <w:t>, from $11.4 million in 2017 to over $14 million in 2021</w:t>
      </w:r>
      <w:r w:rsidR="00D4659E" w:rsidRPr="00EE5714">
        <w:rPr>
          <w:rFonts w:ascii="Times New Roman" w:hAnsi="Times New Roman" w:cs="Times New Roman"/>
          <w:sz w:val="26"/>
          <w:szCs w:val="26"/>
        </w:rPr>
        <w:t>.</w:t>
      </w:r>
      <w:r w:rsidR="00294A22" w:rsidRPr="00EE5714">
        <w:rPr>
          <w:rFonts w:ascii="Times New Roman" w:hAnsi="Times New Roman" w:cs="Times New Roman"/>
          <w:sz w:val="26"/>
          <w:szCs w:val="26"/>
        </w:rPr>
        <w:t xml:space="preserve">  </w:t>
      </w:r>
      <w:r w:rsidR="0064040F" w:rsidRPr="00EE5714">
        <w:rPr>
          <w:rFonts w:ascii="Times New Roman" w:hAnsi="Times New Roman" w:cs="Times New Roman"/>
          <w:i/>
          <w:iCs/>
          <w:sz w:val="26"/>
          <w:szCs w:val="26"/>
        </w:rPr>
        <w:t>See</w:t>
      </w:r>
      <w:r w:rsidR="0064040F" w:rsidRPr="00EE5714">
        <w:rPr>
          <w:rFonts w:ascii="Times New Roman" w:hAnsi="Times New Roman" w:cs="Times New Roman"/>
          <w:sz w:val="26"/>
          <w:szCs w:val="26"/>
        </w:rPr>
        <w:t xml:space="preserve"> Table 10-1.</w:t>
      </w:r>
    </w:p>
    <w:p w14:paraId="698EC0DD" w14:textId="77777777" w:rsidR="00A321C2" w:rsidRPr="00EE5714" w:rsidRDefault="00A321C2" w:rsidP="00935766">
      <w:pPr>
        <w:spacing w:after="0" w:line="240" w:lineRule="auto"/>
        <w:ind w:firstLine="720"/>
        <w:rPr>
          <w:rFonts w:ascii="Times New Roman" w:hAnsi="Times New Roman" w:cs="Times New Roman"/>
          <w:sz w:val="26"/>
          <w:szCs w:val="26"/>
        </w:rPr>
      </w:pPr>
    </w:p>
    <w:p w14:paraId="2489D6B2" w14:textId="77777777" w:rsidR="00EB6721" w:rsidRPr="00EE5714" w:rsidRDefault="00806B4B" w:rsidP="00DC2799">
      <w:pPr>
        <w:keepNext/>
        <w:spacing w:after="0" w:line="240" w:lineRule="auto"/>
        <w:rPr>
          <w:rFonts w:ascii="Times New Roman" w:hAnsi="Times New Roman" w:cs="Times New Roman"/>
          <w:i/>
          <w:iCs/>
          <w:sz w:val="26"/>
          <w:szCs w:val="26"/>
        </w:rPr>
      </w:pPr>
      <w:r w:rsidRPr="00EE5714">
        <w:rPr>
          <w:rFonts w:ascii="Times New Roman" w:hAnsi="Times New Roman" w:cs="Times New Roman"/>
          <w:i/>
          <w:iCs/>
          <w:sz w:val="26"/>
          <w:szCs w:val="26"/>
        </w:rPr>
        <w:lastRenderedPageBreak/>
        <w:t>EDC</w:t>
      </w:r>
      <w:r w:rsidR="00EB6721" w:rsidRPr="00EE5714">
        <w:rPr>
          <w:rFonts w:ascii="Times New Roman" w:hAnsi="Times New Roman" w:cs="Times New Roman"/>
          <w:i/>
          <w:iCs/>
          <w:sz w:val="26"/>
          <w:szCs w:val="26"/>
        </w:rPr>
        <w:t xml:space="preserve"> CAP Costs</w:t>
      </w:r>
    </w:p>
    <w:p w14:paraId="56FE4088" w14:textId="77777777" w:rsidR="008241FC" w:rsidRPr="00EE5714" w:rsidRDefault="008241FC" w:rsidP="00DC2799">
      <w:pPr>
        <w:keepNext/>
        <w:spacing w:after="0" w:line="240" w:lineRule="auto"/>
        <w:rPr>
          <w:rFonts w:ascii="Times New Roman" w:hAnsi="Times New Roman" w:cs="Times New Roman"/>
          <w:i/>
          <w:iCs/>
          <w:sz w:val="26"/>
          <w:szCs w:val="26"/>
        </w:rPr>
      </w:pPr>
    </w:p>
    <w:p w14:paraId="72FE8163" w14:textId="77777777" w:rsidR="008241FC" w:rsidRPr="00EE5714" w:rsidRDefault="008241FC" w:rsidP="008241FC">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Table 10-2</w:t>
      </w:r>
    </w:p>
    <w:p w14:paraId="28B6A6F5" w14:textId="645F353E" w:rsidR="008241FC" w:rsidRPr="00EE5714" w:rsidRDefault="00806B4B" w:rsidP="008241FC">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EDC</w:t>
      </w:r>
      <w:r w:rsidR="008241FC" w:rsidRPr="00EE5714">
        <w:rPr>
          <w:rFonts w:ascii="Times New Roman" w:hAnsi="Times New Roman" w:cs="Times New Roman"/>
          <w:b/>
          <w:bCs/>
          <w:sz w:val="26"/>
          <w:szCs w:val="26"/>
        </w:rPr>
        <w:t xml:space="preserve"> - Total Gross CAP Totals With </w:t>
      </w:r>
      <w:r w:rsidR="00AF6B66">
        <w:rPr>
          <w:rFonts w:ascii="Times New Roman" w:hAnsi="Times New Roman" w:cs="Times New Roman"/>
          <w:b/>
          <w:bCs/>
          <w:sz w:val="26"/>
          <w:szCs w:val="26"/>
        </w:rPr>
        <w:t>4</w:t>
      </w:r>
      <w:r w:rsidR="008241FC" w:rsidRPr="00EE5714">
        <w:rPr>
          <w:rFonts w:ascii="Times New Roman" w:hAnsi="Times New Roman" w:cs="Times New Roman"/>
          <w:b/>
          <w:bCs/>
          <w:sz w:val="26"/>
          <w:szCs w:val="26"/>
        </w:rPr>
        <w:t>-Year Forecasting</w:t>
      </w:r>
    </w:p>
    <w:p w14:paraId="022FBF61" w14:textId="77777777" w:rsidR="008241FC" w:rsidRPr="00EE5714" w:rsidRDefault="008241FC" w:rsidP="008241FC">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(201</w:t>
      </w:r>
      <w:r w:rsidR="00EF65E8" w:rsidRPr="00EE5714">
        <w:rPr>
          <w:rFonts w:ascii="Times New Roman" w:hAnsi="Times New Roman" w:cs="Times New Roman"/>
          <w:b/>
          <w:bCs/>
          <w:sz w:val="26"/>
          <w:szCs w:val="26"/>
        </w:rPr>
        <w:t>8</w:t>
      </w:r>
      <w:r w:rsidRPr="00EE5714">
        <w:rPr>
          <w:rFonts w:ascii="Times New Roman" w:hAnsi="Times New Roman" w:cs="Times New Roman"/>
          <w:b/>
          <w:bCs/>
          <w:sz w:val="26"/>
          <w:szCs w:val="26"/>
        </w:rPr>
        <w:t>-2021)</w:t>
      </w:r>
    </w:p>
    <w:p w14:paraId="7CCD8C74" w14:textId="046FF37B" w:rsidR="00EF65E8" w:rsidRPr="00EE5714" w:rsidRDefault="00A055A6" w:rsidP="008241FC">
      <w:pPr>
        <w:keepNext/>
        <w:spacing w:after="0" w:line="240" w:lineRule="auto"/>
        <w:jc w:val="center"/>
        <w:rPr>
          <w:rFonts w:ascii="Times New Roman" w:hAnsi="Times New Roman" w:cs="Times New Roman"/>
          <w:b/>
          <w:bCs/>
          <w:sz w:val="26"/>
          <w:szCs w:val="26"/>
        </w:rPr>
      </w:pPr>
      <w:r w:rsidRPr="00EE5714">
        <w:rPr>
          <w:noProof/>
        </w:rPr>
        <w:drawing>
          <wp:inline distT="0" distB="0" distL="0" distR="0" wp14:anchorId="55DC5A53" wp14:editId="1666B1D5">
            <wp:extent cx="5943600" cy="3288665"/>
            <wp:effectExtent l="0" t="0" r="0" b="6985"/>
            <wp:docPr id="10" name="Chart 10">
              <a:extLst xmlns:a="http://schemas.openxmlformats.org/drawingml/2006/main">
                <a:ext uri="{FF2B5EF4-FFF2-40B4-BE49-F238E27FC236}">
                  <a16:creationId xmlns:a16="http://schemas.microsoft.com/office/drawing/2014/main" id="{94936AA3-7159-42DA-9C06-9F1A9C8BF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924263" w14:textId="77777777" w:rsidR="00EF65E8" w:rsidRPr="00EE5714" w:rsidRDefault="00EF65E8" w:rsidP="008241FC">
      <w:pPr>
        <w:keepNext/>
        <w:spacing w:after="0" w:line="240" w:lineRule="auto"/>
        <w:jc w:val="center"/>
        <w:rPr>
          <w:rFonts w:ascii="Times New Roman" w:hAnsi="Times New Roman" w:cs="Times New Roman"/>
          <w:b/>
          <w:bCs/>
          <w:sz w:val="26"/>
          <w:szCs w:val="26"/>
        </w:rPr>
      </w:pPr>
    </w:p>
    <w:p w14:paraId="2A09D7A9" w14:textId="77777777" w:rsidR="008241FC" w:rsidRPr="00EE5714" w:rsidRDefault="008241FC" w:rsidP="008241FC">
      <w:pPr>
        <w:spacing w:after="0" w:line="240" w:lineRule="auto"/>
        <w:rPr>
          <w:rFonts w:ascii="Times New Roman" w:hAnsi="Times New Roman" w:cs="Times New Roman"/>
          <w:sz w:val="26"/>
          <w:szCs w:val="26"/>
        </w:rPr>
      </w:pPr>
    </w:p>
    <w:p w14:paraId="56A3466F" w14:textId="256E4713" w:rsidR="00D840FE" w:rsidRPr="00EE5714" w:rsidRDefault="00E5564E" w:rsidP="00E5564E">
      <w:pPr>
        <w:keepNext/>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The historic CAP cost data show that PECO </w:t>
      </w:r>
      <w:r w:rsidR="00717BE0" w:rsidRPr="00EE5714">
        <w:rPr>
          <w:rFonts w:ascii="Times New Roman" w:hAnsi="Times New Roman" w:cs="Times New Roman"/>
          <w:sz w:val="26"/>
          <w:szCs w:val="26"/>
        </w:rPr>
        <w:t>E</w:t>
      </w:r>
      <w:r w:rsidRPr="00EE5714">
        <w:rPr>
          <w:rFonts w:ascii="Times New Roman" w:hAnsi="Times New Roman" w:cs="Times New Roman"/>
          <w:sz w:val="26"/>
          <w:szCs w:val="26"/>
        </w:rPr>
        <w:t>lectric and PPL ha</w:t>
      </w:r>
      <w:r w:rsidR="00864B1B" w:rsidRPr="00EE5714">
        <w:rPr>
          <w:rFonts w:ascii="Times New Roman" w:hAnsi="Times New Roman" w:cs="Times New Roman"/>
          <w:sz w:val="26"/>
          <w:szCs w:val="26"/>
        </w:rPr>
        <w:t>d</w:t>
      </w:r>
      <w:r w:rsidRPr="00EE5714">
        <w:rPr>
          <w:rFonts w:ascii="Times New Roman" w:hAnsi="Times New Roman" w:cs="Times New Roman"/>
          <w:sz w:val="26"/>
          <w:szCs w:val="26"/>
        </w:rPr>
        <w:t xml:space="preserve"> the highest CAP costs of the EDCs.  </w:t>
      </w:r>
      <w:r w:rsidR="00A71E04" w:rsidRPr="00EE5714">
        <w:rPr>
          <w:rFonts w:ascii="Times New Roman" w:hAnsi="Times New Roman" w:cs="Times New Roman"/>
          <w:sz w:val="26"/>
          <w:szCs w:val="26"/>
        </w:rPr>
        <w:t xml:space="preserve">PECO Electric’s CAP costs remained </w:t>
      </w:r>
      <w:proofErr w:type="gramStart"/>
      <w:r w:rsidR="00A71E04" w:rsidRPr="00EE5714">
        <w:rPr>
          <w:rFonts w:ascii="Times New Roman" w:hAnsi="Times New Roman" w:cs="Times New Roman"/>
          <w:sz w:val="26"/>
          <w:szCs w:val="26"/>
        </w:rPr>
        <w:t>fairly steady</w:t>
      </w:r>
      <w:proofErr w:type="gramEnd"/>
      <w:r w:rsidR="00A71E04" w:rsidRPr="00EE5714">
        <w:rPr>
          <w:rFonts w:ascii="Times New Roman" w:hAnsi="Times New Roman" w:cs="Times New Roman"/>
          <w:sz w:val="26"/>
          <w:szCs w:val="26"/>
        </w:rPr>
        <w:t xml:space="preserve"> </w:t>
      </w:r>
      <w:r w:rsidR="007274D0" w:rsidRPr="00EE5714">
        <w:rPr>
          <w:rFonts w:ascii="Times New Roman" w:hAnsi="Times New Roman" w:cs="Times New Roman"/>
          <w:sz w:val="26"/>
          <w:szCs w:val="26"/>
        </w:rPr>
        <w:t xml:space="preserve">(between $92 to 96 million) </w:t>
      </w:r>
      <w:r w:rsidR="00F504EB" w:rsidRPr="00EE5714">
        <w:rPr>
          <w:rFonts w:ascii="Times New Roman" w:hAnsi="Times New Roman" w:cs="Times New Roman"/>
          <w:sz w:val="26"/>
          <w:szCs w:val="26"/>
        </w:rPr>
        <w:t>from</w:t>
      </w:r>
      <w:r w:rsidR="00A71E04" w:rsidRPr="00EE5714">
        <w:rPr>
          <w:rFonts w:ascii="Times New Roman" w:hAnsi="Times New Roman" w:cs="Times New Roman"/>
          <w:sz w:val="26"/>
          <w:szCs w:val="26"/>
        </w:rPr>
        <w:t>2012</w:t>
      </w:r>
      <w:r w:rsidR="007274D0" w:rsidRPr="00EE5714">
        <w:rPr>
          <w:rFonts w:ascii="Times New Roman" w:hAnsi="Times New Roman" w:cs="Times New Roman"/>
          <w:sz w:val="26"/>
          <w:szCs w:val="26"/>
        </w:rPr>
        <w:t xml:space="preserve"> through 2016</w:t>
      </w:r>
      <w:r w:rsidR="00A71E04" w:rsidRPr="00EE5714">
        <w:rPr>
          <w:rFonts w:ascii="Times New Roman" w:hAnsi="Times New Roman" w:cs="Times New Roman"/>
          <w:sz w:val="26"/>
          <w:szCs w:val="26"/>
        </w:rPr>
        <w:t xml:space="preserve">.  However, </w:t>
      </w:r>
      <w:r w:rsidR="006E5E34" w:rsidRPr="00EE5714">
        <w:rPr>
          <w:rFonts w:ascii="Times New Roman" w:hAnsi="Times New Roman" w:cs="Times New Roman"/>
          <w:sz w:val="26"/>
          <w:szCs w:val="26"/>
        </w:rPr>
        <w:t>PECO Electric</w:t>
      </w:r>
      <w:r w:rsidRPr="00EE5714">
        <w:rPr>
          <w:rFonts w:ascii="Times New Roman" w:hAnsi="Times New Roman" w:cs="Times New Roman"/>
          <w:sz w:val="26"/>
          <w:szCs w:val="26"/>
        </w:rPr>
        <w:t xml:space="preserve"> changed from a rate discount to </w:t>
      </w:r>
      <w:r w:rsidR="00A71E04" w:rsidRPr="00EE5714">
        <w:rPr>
          <w:rFonts w:ascii="Times New Roman" w:hAnsi="Times New Roman" w:cs="Times New Roman"/>
          <w:sz w:val="26"/>
          <w:szCs w:val="26"/>
        </w:rPr>
        <w:t xml:space="preserve">a </w:t>
      </w:r>
      <w:r w:rsidRPr="00EE5714">
        <w:rPr>
          <w:rFonts w:ascii="Times New Roman" w:hAnsi="Times New Roman" w:cs="Times New Roman"/>
          <w:sz w:val="26"/>
          <w:szCs w:val="26"/>
        </w:rPr>
        <w:t>p</w:t>
      </w:r>
      <w:r w:rsidR="00A71E04" w:rsidRPr="00EE5714">
        <w:rPr>
          <w:rFonts w:ascii="Times New Roman" w:hAnsi="Times New Roman" w:cs="Times New Roman"/>
          <w:sz w:val="26"/>
          <w:szCs w:val="26"/>
        </w:rPr>
        <w:t xml:space="preserve">ercent of income </w:t>
      </w:r>
      <w:r w:rsidR="004244CC" w:rsidRPr="00EE5714">
        <w:rPr>
          <w:rFonts w:ascii="Times New Roman" w:hAnsi="Times New Roman" w:cs="Times New Roman"/>
          <w:sz w:val="26"/>
          <w:szCs w:val="26"/>
        </w:rPr>
        <w:t xml:space="preserve">(PIP) </w:t>
      </w:r>
      <w:r w:rsidR="00A71E04" w:rsidRPr="00EE5714">
        <w:rPr>
          <w:rFonts w:ascii="Times New Roman" w:hAnsi="Times New Roman" w:cs="Times New Roman"/>
          <w:sz w:val="26"/>
          <w:szCs w:val="26"/>
        </w:rPr>
        <w:t xml:space="preserve">CAP billing </w:t>
      </w:r>
      <w:r w:rsidR="00DD2F80" w:rsidRPr="00EE5714">
        <w:rPr>
          <w:rFonts w:ascii="Times New Roman" w:hAnsi="Times New Roman" w:cs="Times New Roman"/>
          <w:sz w:val="26"/>
          <w:szCs w:val="26"/>
        </w:rPr>
        <w:t>structure</w:t>
      </w:r>
      <w:r w:rsidR="00A71E04" w:rsidRPr="00EE5714">
        <w:rPr>
          <w:rFonts w:ascii="Times New Roman" w:hAnsi="Times New Roman" w:cs="Times New Roman"/>
          <w:sz w:val="26"/>
          <w:szCs w:val="26"/>
        </w:rPr>
        <w:t xml:space="preserve"> in October 2016</w:t>
      </w:r>
      <w:r w:rsidR="004244CC" w:rsidRPr="00EE5714">
        <w:rPr>
          <w:rFonts w:ascii="Times New Roman" w:hAnsi="Times New Roman" w:cs="Times New Roman"/>
          <w:sz w:val="26"/>
          <w:szCs w:val="26"/>
        </w:rPr>
        <w:t>,</w:t>
      </w:r>
      <w:r w:rsidR="00A71E04" w:rsidRPr="00EE5714">
        <w:rPr>
          <w:rFonts w:ascii="Times New Roman" w:hAnsi="Times New Roman" w:cs="Times New Roman"/>
          <w:sz w:val="26"/>
          <w:szCs w:val="26"/>
        </w:rPr>
        <w:t xml:space="preserve"> and this change is reflected in the </w:t>
      </w:r>
      <w:r w:rsidR="007274D0" w:rsidRPr="00EE5714">
        <w:rPr>
          <w:rFonts w:ascii="Times New Roman" w:hAnsi="Times New Roman" w:cs="Times New Roman"/>
          <w:sz w:val="26"/>
          <w:szCs w:val="26"/>
        </w:rPr>
        <w:t>lower projected CAP costs (between $73 to $77 million) through 2021</w:t>
      </w:r>
      <w:r w:rsidRPr="00EE5714">
        <w:rPr>
          <w:rFonts w:ascii="Times New Roman" w:hAnsi="Times New Roman" w:cs="Times New Roman"/>
          <w:sz w:val="26"/>
          <w:szCs w:val="26"/>
        </w:rPr>
        <w:t>.  PPL’s CAP costs have risen from $49.1 million in 2012 and may reach a projected cost of over $1</w:t>
      </w:r>
      <w:r w:rsidR="0083371E" w:rsidRPr="00EE5714">
        <w:rPr>
          <w:rFonts w:ascii="Times New Roman" w:hAnsi="Times New Roman" w:cs="Times New Roman"/>
          <w:sz w:val="26"/>
          <w:szCs w:val="26"/>
        </w:rPr>
        <w:t>81</w:t>
      </w:r>
      <w:r w:rsidRPr="00EE5714">
        <w:rPr>
          <w:rFonts w:ascii="Times New Roman" w:hAnsi="Times New Roman" w:cs="Times New Roman"/>
          <w:sz w:val="26"/>
          <w:szCs w:val="26"/>
        </w:rPr>
        <w:t>.</w:t>
      </w:r>
      <w:r w:rsidR="0083371E" w:rsidRPr="00EE5714">
        <w:rPr>
          <w:rFonts w:ascii="Times New Roman" w:hAnsi="Times New Roman" w:cs="Times New Roman"/>
          <w:sz w:val="26"/>
          <w:szCs w:val="26"/>
        </w:rPr>
        <w:t>4</w:t>
      </w:r>
      <w:r w:rsidRPr="00EE5714">
        <w:rPr>
          <w:rFonts w:ascii="Times New Roman" w:hAnsi="Times New Roman" w:cs="Times New Roman"/>
          <w:sz w:val="26"/>
          <w:szCs w:val="26"/>
        </w:rPr>
        <w:t xml:space="preserve"> million in 2021.  While </w:t>
      </w:r>
      <w:r w:rsidR="0083371E" w:rsidRPr="00EE5714">
        <w:rPr>
          <w:rFonts w:ascii="Times New Roman" w:hAnsi="Times New Roman" w:cs="Times New Roman"/>
          <w:sz w:val="26"/>
          <w:szCs w:val="26"/>
        </w:rPr>
        <w:t>PPL’s 2020 and 2021 CAP costs are based on staff</w:t>
      </w:r>
      <w:r w:rsidRPr="00EE5714">
        <w:rPr>
          <w:rFonts w:ascii="Times New Roman" w:hAnsi="Times New Roman" w:cs="Times New Roman"/>
          <w:sz w:val="26"/>
          <w:szCs w:val="26"/>
        </w:rPr>
        <w:t xml:space="preserve"> forecasting </w:t>
      </w:r>
      <w:r w:rsidR="0083371E" w:rsidRPr="00EE5714">
        <w:rPr>
          <w:rFonts w:ascii="Times New Roman" w:hAnsi="Times New Roman" w:cs="Times New Roman"/>
          <w:sz w:val="26"/>
          <w:szCs w:val="26"/>
        </w:rPr>
        <w:t xml:space="preserve">that </w:t>
      </w:r>
      <w:r w:rsidRPr="00EE5714">
        <w:rPr>
          <w:rFonts w:ascii="Times New Roman" w:hAnsi="Times New Roman" w:cs="Times New Roman"/>
          <w:sz w:val="26"/>
          <w:szCs w:val="26"/>
        </w:rPr>
        <w:t xml:space="preserve">does not </w:t>
      </w:r>
      <w:proofErr w:type="gramStart"/>
      <w:r w:rsidRPr="00EE5714">
        <w:rPr>
          <w:rFonts w:ascii="Times New Roman" w:hAnsi="Times New Roman" w:cs="Times New Roman"/>
          <w:sz w:val="26"/>
          <w:szCs w:val="26"/>
        </w:rPr>
        <w:t>take into account</w:t>
      </w:r>
      <w:proofErr w:type="gramEnd"/>
      <w:r w:rsidRPr="00EE5714">
        <w:rPr>
          <w:rFonts w:ascii="Times New Roman" w:hAnsi="Times New Roman" w:cs="Times New Roman"/>
          <w:sz w:val="26"/>
          <w:szCs w:val="26"/>
        </w:rPr>
        <w:t xml:space="preserve"> all possible factors, PPL’s costs will likely continue to increase.  </w:t>
      </w:r>
    </w:p>
    <w:p w14:paraId="50D1FA92" w14:textId="77777777" w:rsidR="00D840FE" w:rsidRPr="00EE5714" w:rsidRDefault="00D840FE" w:rsidP="00E5564E">
      <w:pPr>
        <w:keepNext/>
        <w:spacing w:after="0" w:line="240" w:lineRule="auto"/>
        <w:ind w:firstLine="720"/>
        <w:rPr>
          <w:rFonts w:ascii="Times New Roman" w:hAnsi="Times New Roman" w:cs="Times New Roman"/>
          <w:sz w:val="26"/>
          <w:szCs w:val="26"/>
        </w:rPr>
      </w:pPr>
    </w:p>
    <w:p w14:paraId="2286A29C" w14:textId="20E79A2E" w:rsidR="00E5564E" w:rsidRPr="00EE5714" w:rsidRDefault="00E5564E" w:rsidP="00E5564E">
      <w:pPr>
        <w:keepNext/>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Forecasting shows the overall industry average for electric CAP costs </w:t>
      </w:r>
      <w:r w:rsidR="002B0F2A" w:rsidRPr="00EE5714">
        <w:rPr>
          <w:rFonts w:ascii="Times New Roman" w:hAnsi="Times New Roman" w:cs="Times New Roman"/>
          <w:sz w:val="26"/>
          <w:szCs w:val="26"/>
        </w:rPr>
        <w:t>will experience a sizeable increase over the next four years; from $34.3 million in 2017 to over $54 million by 2021.</w:t>
      </w:r>
      <w:r w:rsidRPr="00EE5714">
        <w:rPr>
          <w:rFonts w:ascii="Times New Roman" w:hAnsi="Times New Roman" w:cs="Times New Roman"/>
          <w:sz w:val="26"/>
          <w:szCs w:val="26"/>
        </w:rPr>
        <w:t xml:space="preserve">  </w:t>
      </w:r>
      <w:r w:rsidR="00F76021" w:rsidRPr="00EE5714">
        <w:rPr>
          <w:rFonts w:ascii="Times New Roman" w:hAnsi="Times New Roman" w:cs="Times New Roman"/>
          <w:i/>
          <w:iCs/>
          <w:sz w:val="26"/>
          <w:szCs w:val="26"/>
        </w:rPr>
        <w:t>See</w:t>
      </w:r>
      <w:r w:rsidR="00F76021" w:rsidRPr="00EE5714">
        <w:rPr>
          <w:rFonts w:ascii="Times New Roman" w:hAnsi="Times New Roman" w:cs="Times New Roman"/>
          <w:sz w:val="26"/>
          <w:szCs w:val="26"/>
        </w:rPr>
        <w:t xml:space="preserve"> Table 10-2.</w:t>
      </w:r>
    </w:p>
    <w:p w14:paraId="2218FFE8" w14:textId="77777777" w:rsidR="00E5564E" w:rsidRPr="00EE5714" w:rsidRDefault="00E5564E" w:rsidP="00E5564E">
      <w:pPr>
        <w:spacing w:after="0" w:line="240" w:lineRule="auto"/>
        <w:rPr>
          <w:rFonts w:ascii="Times New Roman" w:hAnsi="Times New Roman" w:cs="Times New Roman"/>
          <w:sz w:val="26"/>
          <w:szCs w:val="26"/>
        </w:rPr>
      </w:pPr>
    </w:p>
    <w:p w14:paraId="341E3AD4" w14:textId="77777777" w:rsidR="002434D7" w:rsidRPr="00EE5714" w:rsidRDefault="002434D7" w:rsidP="00DC2799">
      <w:pPr>
        <w:keepNext/>
        <w:spacing w:after="0" w:line="240" w:lineRule="auto"/>
        <w:rPr>
          <w:rFonts w:ascii="Times New Roman" w:hAnsi="Times New Roman" w:cs="Times New Roman"/>
          <w:i/>
          <w:iCs/>
          <w:sz w:val="26"/>
          <w:szCs w:val="26"/>
        </w:rPr>
      </w:pPr>
      <w:r w:rsidRPr="00EE5714">
        <w:rPr>
          <w:rFonts w:ascii="Times New Roman" w:hAnsi="Times New Roman" w:cs="Times New Roman"/>
          <w:i/>
          <w:iCs/>
          <w:sz w:val="26"/>
          <w:szCs w:val="26"/>
        </w:rPr>
        <w:t xml:space="preserve">Costs of CAP per Non-CAP </w:t>
      </w:r>
      <w:r w:rsidR="009F2F82" w:rsidRPr="00EE5714">
        <w:rPr>
          <w:rFonts w:ascii="Times New Roman" w:hAnsi="Times New Roman" w:cs="Times New Roman"/>
          <w:i/>
          <w:iCs/>
          <w:sz w:val="26"/>
          <w:szCs w:val="26"/>
        </w:rPr>
        <w:t>R</w:t>
      </w:r>
      <w:r w:rsidRPr="00EE5714">
        <w:rPr>
          <w:rFonts w:ascii="Times New Roman" w:hAnsi="Times New Roman" w:cs="Times New Roman"/>
          <w:i/>
          <w:iCs/>
          <w:sz w:val="26"/>
          <w:szCs w:val="26"/>
        </w:rPr>
        <w:t>esidential Customer</w:t>
      </w:r>
    </w:p>
    <w:p w14:paraId="06C39ECD" w14:textId="77777777" w:rsidR="00A934C5" w:rsidRPr="00EE5714" w:rsidRDefault="00A934C5" w:rsidP="00DC2799">
      <w:pPr>
        <w:keepNext/>
        <w:spacing w:after="0" w:line="240" w:lineRule="auto"/>
        <w:rPr>
          <w:rFonts w:ascii="Times New Roman" w:hAnsi="Times New Roman" w:cs="Times New Roman"/>
          <w:i/>
          <w:iCs/>
          <w:sz w:val="26"/>
          <w:szCs w:val="26"/>
        </w:rPr>
      </w:pPr>
    </w:p>
    <w:p w14:paraId="19AFD267" w14:textId="77777777" w:rsidR="00C9078F" w:rsidRPr="00EE5714" w:rsidRDefault="00C9078F" w:rsidP="00C9078F">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Another way to show the impact of CAP costs is to calculate costs per non-CAP residential customer.  To do this, staff subtracted the average CAP enrollment from the number of residential customers to obtain the non-CAP residential customer totals.  Staff then divided the total CAP cost by the average number of non-CAP residential customers for each utility: (</w:t>
      </w:r>
      <w:r w:rsidRPr="00EE5714">
        <w:rPr>
          <w:rFonts w:ascii="Times New Roman" w:hAnsi="Times New Roman" w:cs="Times New Roman"/>
          <w:i/>
          <w:iCs/>
          <w:sz w:val="26"/>
          <w:szCs w:val="26"/>
        </w:rPr>
        <w:t>i.e.</w:t>
      </w:r>
      <w:r w:rsidRPr="00EE5714">
        <w:rPr>
          <w:rFonts w:ascii="Times New Roman" w:hAnsi="Times New Roman" w:cs="Times New Roman"/>
          <w:sz w:val="26"/>
          <w:szCs w:val="26"/>
        </w:rPr>
        <w:t xml:space="preserve">, Total CAP Costs/Residential Customers-Average CAP Enrollment). </w:t>
      </w:r>
    </w:p>
    <w:p w14:paraId="0927682D" w14:textId="77777777" w:rsidR="00C9078F" w:rsidRPr="00EE5714" w:rsidRDefault="00C9078F" w:rsidP="00C9078F">
      <w:pPr>
        <w:spacing w:after="0" w:line="240" w:lineRule="auto"/>
        <w:rPr>
          <w:rFonts w:ascii="Times New Roman" w:hAnsi="Times New Roman" w:cs="Times New Roman"/>
          <w:sz w:val="26"/>
          <w:szCs w:val="26"/>
        </w:rPr>
      </w:pPr>
    </w:p>
    <w:p w14:paraId="47D44703" w14:textId="77777777" w:rsidR="00A934C5" w:rsidRPr="00EE5714" w:rsidRDefault="00A934C5" w:rsidP="00A934C5">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10-3</w:t>
      </w:r>
    </w:p>
    <w:p w14:paraId="35B50E90" w14:textId="77777777" w:rsidR="00A934C5" w:rsidRPr="00EE5714" w:rsidRDefault="00A934C5" w:rsidP="00A934C5">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Annual NGDC CAP Costs per Non-CAP Residential Customer 2012-2016</w:t>
      </w:r>
    </w:p>
    <w:p w14:paraId="7DFC874C" w14:textId="77777777" w:rsidR="00A934C5" w:rsidRPr="00EE5714" w:rsidRDefault="00A934C5" w:rsidP="00891E6B">
      <w:pPr>
        <w:jc w:val="center"/>
        <w:rPr>
          <w:rFonts w:ascii="Times New Roman" w:hAnsi="Times New Roman" w:cs="Times New Roman"/>
          <w:sz w:val="26"/>
          <w:szCs w:val="26"/>
        </w:rPr>
      </w:pPr>
      <w:r w:rsidRPr="00EE5714">
        <w:rPr>
          <w:noProof/>
        </w:rPr>
        <w:drawing>
          <wp:inline distT="0" distB="0" distL="0" distR="0" wp14:anchorId="3B0EB857" wp14:editId="3EC2AAAA">
            <wp:extent cx="5943600" cy="2257425"/>
            <wp:effectExtent l="0" t="0" r="0" b="9525"/>
            <wp:docPr id="726562227" name="Chart 726562227">
              <a:extLst xmlns:a="http://schemas.openxmlformats.org/drawingml/2006/main">
                <a:ext uri="{FF2B5EF4-FFF2-40B4-BE49-F238E27FC236}">
                  <a16:creationId xmlns:a16="http://schemas.microsoft.com/office/drawing/2014/main" id="{61D0C95C-F713-49D6-83CB-4F80002E6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BDF5868" w14:textId="77777777" w:rsidR="00A934C5" w:rsidRPr="00EE5714" w:rsidRDefault="00A934C5" w:rsidP="00A934C5">
      <w:pPr>
        <w:spacing w:after="0" w:line="240" w:lineRule="auto"/>
        <w:rPr>
          <w:rFonts w:ascii="Times New Roman" w:hAnsi="Times New Roman" w:cs="Times New Roman"/>
          <w:sz w:val="26"/>
          <w:szCs w:val="26"/>
        </w:rPr>
      </w:pPr>
    </w:p>
    <w:p w14:paraId="224F79E8" w14:textId="77777777" w:rsidR="00F8326B" w:rsidRPr="00EE5714" w:rsidRDefault="00F8326B" w:rsidP="004376AE">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r>
      <w:r w:rsidR="004B3F31" w:rsidRPr="00EE5714">
        <w:rPr>
          <w:rFonts w:ascii="Times New Roman" w:hAnsi="Times New Roman" w:cs="Times New Roman"/>
          <w:sz w:val="26"/>
          <w:szCs w:val="26"/>
        </w:rPr>
        <w:t>Based on historic data from 2012</w:t>
      </w:r>
      <w:r w:rsidR="00E14BA2" w:rsidRPr="00EE5714">
        <w:rPr>
          <w:rFonts w:ascii="Times New Roman" w:hAnsi="Times New Roman" w:cs="Times New Roman"/>
          <w:sz w:val="26"/>
          <w:szCs w:val="26"/>
        </w:rPr>
        <w:t xml:space="preserve"> to</w:t>
      </w:r>
      <w:r w:rsidR="002103E3" w:rsidRPr="00EE5714">
        <w:rPr>
          <w:rFonts w:ascii="Times New Roman" w:hAnsi="Times New Roman" w:cs="Times New Roman"/>
          <w:sz w:val="26"/>
          <w:szCs w:val="26"/>
        </w:rPr>
        <w:t xml:space="preserve"> </w:t>
      </w:r>
      <w:r w:rsidR="004B3F31" w:rsidRPr="00EE5714">
        <w:rPr>
          <w:rFonts w:ascii="Times New Roman" w:hAnsi="Times New Roman" w:cs="Times New Roman"/>
          <w:sz w:val="26"/>
          <w:szCs w:val="26"/>
        </w:rPr>
        <w:t>2016,</w:t>
      </w:r>
      <w:r w:rsidRPr="00EE5714" w:rsidDel="00686B53">
        <w:rPr>
          <w:rFonts w:ascii="Times New Roman" w:hAnsi="Times New Roman" w:cs="Times New Roman"/>
          <w:sz w:val="26"/>
          <w:szCs w:val="26"/>
        </w:rPr>
        <w:t xml:space="preserve"> </w:t>
      </w:r>
      <w:r w:rsidRPr="00EE5714">
        <w:rPr>
          <w:rFonts w:ascii="Times New Roman" w:hAnsi="Times New Roman" w:cs="Times New Roman"/>
          <w:sz w:val="26"/>
          <w:szCs w:val="26"/>
        </w:rPr>
        <w:t>PGW ha</w:t>
      </w:r>
      <w:r w:rsidR="00E14BA2" w:rsidRPr="00EE5714">
        <w:rPr>
          <w:rFonts w:ascii="Times New Roman" w:hAnsi="Times New Roman" w:cs="Times New Roman"/>
          <w:sz w:val="26"/>
          <w:szCs w:val="26"/>
        </w:rPr>
        <w:t>d</w:t>
      </w:r>
      <w:r w:rsidRPr="00EE5714">
        <w:rPr>
          <w:rFonts w:ascii="Times New Roman" w:hAnsi="Times New Roman" w:cs="Times New Roman"/>
          <w:sz w:val="26"/>
          <w:szCs w:val="26"/>
        </w:rPr>
        <w:t xml:space="preserve"> significantly higher costs per non-CAP residential customer</w:t>
      </w:r>
      <w:r w:rsidR="00686B53" w:rsidRPr="00EE5714">
        <w:rPr>
          <w:rFonts w:ascii="Times New Roman" w:hAnsi="Times New Roman" w:cs="Times New Roman"/>
          <w:sz w:val="26"/>
          <w:szCs w:val="26"/>
        </w:rPr>
        <w:t xml:space="preserve"> than other NGDCs</w:t>
      </w:r>
      <w:r w:rsidR="00B92F02" w:rsidRPr="00EE5714">
        <w:rPr>
          <w:rFonts w:ascii="Times New Roman" w:hAnsi="Times New Roman" w:cs="Times New Roman"/>
          <w:sz w:val="26"/>
          <w:szCs w:val="26"/>
        </w:rPr>
        <w:t>,</w:t>
      </w:r>
      <w:r w:rsidR="00FA3449" w:rsidRPr="00EE5714">
        <w:rPr>
          <w:rFonts w:ascii="Times New Roman" w:hAnsi="Times New Roman" w:cs="Times New Roman"/>
          <w:sz w:val="26"/>
          <w:szCs w:val="26"/>
        </w:rPr>
        <w:t xml:space="preserve"> even though</w:t>
      </w:r>
      <w:r w:rsidR="0059321D" w:rsidRPr="00EE5714">
        <w:rPr>
          <w:rFonts w:ascii="Times New Roman" w:hAnsi="Times New Roman" w:cs="Times New Roman"/>
          <w:sz w:val="26"/>
          <w:szCs w:val="26"/>
        </w:rPr>
        <w:t xml:space="preserve"> </w:t>
      </w:r>
      <w:r w:rsidRPr="00EE5714">
        <w:rPr>
          <w:rFonts w:ascii="Times New Roman" w:hAnsi="Times New Roman" w:cs="Times New Roman"/>
          <w:sz w:val="26"/>
          <w:szCs w:val="26"/>
        </w:rPr>
        <w:t>PGW recover</w:t>
      </w:r>
      <w:r w:rsidR="00F41571" w:rsidRPr="00EE5714">
        <w:rPr>
          <w:rFonts w:ascii="Times New Roman" w:hAnsi="Times New Roman" w:cs="Times New Roman"/>
          <w:sz w:val="26"/>
          <w:szCs w:val="26"/>
        </w:rPr>
        <w:t>ed</w:t>
      </w:r>
      <w:r w:rsidRPr="00EE5714">
        <w:rPr>
          <w:rFonts w:ascii="Times New Roman" w:hAnsi="Times New Roman" w:cs="Times New Roman"/>
          <w:sz w:val="26"/>
          <w:szCs w:val="26"/>
        </w:rPr>
        <w:t xml:space="preserve"> </w:t>
      </w:r>
      <w:r w:rsidR="007733E1" w:rsidRPr="00EE5714">
        <w:rPr>
          <w:rFonts w:ascii="Times New Roman" w:hAnsi="Times New Roman" w:cs="Times New Roman"/>
          <w:sz w:val="26"/>
          <w:szCs w:val="26"/>
        </w:rPr>
        <w:t>its u</w:t>
      </w:r>
      <w:r w:rsidRPr="00EE5714">
        <w:rPr>
          <w:rFonts w:ascii="Times New Roman" w:hAnsi="Times New Roman" w:cs="Times New Roman"/>
          <w:sz w:val="26"/>
          <w:szCs w:val="26"/>
        </w:rPr>
        <w:t xml:space="preserve">niversal </w:t>
      </w:r>
      <w:r w:rsidR="007733E1" w:rsidRPr="00EE5714">
        <w:rPr>
          <w:rFonts w:ascii="Times New Roman" w:hAnsi="Times New Roman" w:cs="Times New Roman"/>
          <w:sz w:val="26"/>
          <w:szCs w:val="26"/>
        </w:rPr>
        <w:t>s</w:t>
      </w:r>
      <w:r w:rsidRPr="00EE5714">
        <w:rPr>
          <w:rFonts w:ascii="Times New Roman" w:hAnsi="Times New Roman" w:cs="Times New Roman"/>
          <w:sz w:val="26"/>
          <w:szCs w:val="26"/>
        </w:rPr>
        <w:t xml:space="preserve">ervice program costs </w:t>
      </w:r>
      <w:r w:rsidR="007733E1" w:rsidRPr="00EE5714">
        <w:rPr>
          <w:rFonts w:ascii="Times New Roman" w:hAnsi="Times New Roman" w:cs="Times New Roman"/>
          <w:sz w:val="26"/>
          <w:szCs w:val="26"/>
        </w:rPr>
        <w:t xml:space="preserve">from </w:t>
      </w:r>
      <w:r w:rsidRPr="00EE5714">
        <w:rPr>
          <w:rFonts w:ascii="Times New Roman" w:hAnsi="Times New Roman" w:cs="Times New Roman"/>
          <w:sz w:val="26"/>
          <w:szCs w:val="26"/>
        </w:rPr>
        <w:t>other rate classes</w:t>
      </w:r>
      <w:r w:rsidR="00576A1C" w:rsidRPr="00EE5714">
        <w:rPr>
          <w:rFonts w:ascii="Times New Roman" w:hAnsi="Times New Roman" w:cs="Times New Roman"/>
          <w:sz w:val="26"/>
          <w:szCs w:val="26"/>
        </w:rPr>
        <w:t xml:space="preserve"> </w:t>
      </w:r>
      <w:r w:rsidR="00213227" w:rsidRPr="00EE5714">
        <w:rPr>
          <w:rFonts w:ascii="Times New Roman" w:hAnsi="Times New Roman" w:cs="Times New Roman"/>
          <w:sz w:val="26"/>
          <w:szCs w:val="26"/>
        </w:rPr>
        <w:t xml:space="preserve">in </w:t>
      </w:r>
      <w:r w:rsidR="00576A1C" w:rsidRPr="00EE5714">
        <w:rPr>
          <w:rFonts w:ascii="Times New Roman" w:hAnsi="Times New Roman" w:cs="Times New Roman"/>
          <w:sz w:val="26"/>
          <w:szCs w:val="26"/>
        </w:rPr>
        <w:t>addition to its residential class</w:t>
      </w:r>
      <w:r w:rsidRPr="00EE5714">
        <w:rPr>
          <w:rFonts w:ascii="Times New Roman" w:hAnsi="Times New Roman" w:cs="Times New Roman"/>
          <w:sz w:val="26"/>
          <w:szCs w:val="26"/>
        </w:rPr>
        <w:t xml:space="preserve">. </w:t>
      </w:r>
      <w:r w:rsidR="00576A1C"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The costs in the table </w:t>
      </w:r>
      <w:r w:rsidR="00864FD6" w:rsidRPr="00EE5714">
        <w:rPr>
          <w:rFonts w:ascii="Times New Roman" w:hAnsi="Times New Roman" w:cs="Times New Roman"/>
          <w:sz w:val="26"/>
          <w:szCs w:val="26"/>
        </w:rPr>
        <w:t>above</w:t>
      </w:r>
      <w:r w:rsidR="00576A1C"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reflect </w:t>
      </w:r>
      <w:r w:rsidR="00B92F02" w:rsidRPr="00EE5714">
        <w:rPr>
          <w:rFonts w:ascii="Times New Roman" w:hAnsi="Times New Roman" w:cs="Times New Roman"/>
          <w:sz w:val="26"/>
          <w:szCs w:val="26"/>
        </w:rPr>
        <w:t xml:space="preserve">only </w:t>
      </w:r>
      <w:r w:rsidRPr="00EE5714">
        <w:rPr>
          <w:rFonts w:ascii="Times New Roman" w:hAnsi="Times New Roman" w:cs="Times New Roman"/>
          <w:sz w:val="26"/>
          <w:szCs w:val="26"/>
        </w:rPr>
        <w:t xml:space="preserve">the historic residential portion of CAP costs for all </w:t>
      </w:r>
      <w:r w:rsidR="0059321D" w:rsidRPr="00EE5714">
        <w:rPr>
          <w:rFonts w:ascii="Times New Roman" w:hAnsi="Times New Roman" w:cs="Times New Roman"/>
          <w:sz w:val="26"/>
          <w:szCs w:val="26"/>
        </w:rPr>
        <w:t>utilities</w:t>
      </w:r>
      <w:r w:rsidRPr="00EE5714">
        <w:rPr>
          <w:rFonts w:ascii="Times New Roman" w:hAnsi="Times New Roman" w:cs="Times New Roman"/>
          <w:sz w:val="26"/>
          <w:szCs w:val="26"/>
        </w:rPr>
        <w:t>.</w:t>
      </w:r>
      <w:r w:rsidR="001959DB" w:rsidRPr="00EE5714">
        <w:rPr>
          <w:rFonts w:ascii="Times New Roman" w:hAnsi="Times New Roman" w:cs="Times New Roman"/>
          <w:sz w:val="26"/>
          <w:szCs w:val="26"/>
        </w:rPr>
        <w:t xml:space="preserve">  </w:t>
      </w:r>
      <w:r w:rsidR="001959DB" w:rsidRPr="00EE5714">
        <w:rPr>
          <w:rFonts w:ascii="Times New Roman" w:hAnsi="Times New Roman" w:cs="Times New Roman"/>
          <w:i/>
          <w:iCs/>
          <w:sz w:val="26"/>
          <w:szCs w:val="26"/>
        </w:rPr>
        <w:t>See</w:t>
      </w:r>
      <w:r w:rsidR="001959DB" w:rsidRPr="00EE5714">
        <w:rPr>
          <w:rFonts w:ascii="Times New Roman" w:hAnsi="Times New Roman" w:cs="Times New Roman"/>
          <w:sz w:val="26"/>
          <w:szCs w:val="26"/>
        </w:rPr>
        <w:t xml:space="preserve"> Table 10-3.</w:t>
      </w:r>
    </w:p>
    <w:p w14:paraId="5E0470E0" w14:textId="77777777" w:rsidR="00740907" w:rsidRPr="00EE5714" w:rsidRDefault="00740907" w:rsidP="004376AE">
      <w:pPr>
        <w:spacing w:after="0" w:line="240" w:lineRule="auto"/>
        <w:rPr>
          <w:rFonts w:ascii="Times New Roman" w:hAnsi="Times New Roman" w:cs="Times New Roman"/>
          <w:sz w:val="26"/>
          <w:szCs w:val="26"/>
        </w:rPr>
      </w:pPr>
    </w:p>
    <w:p w14:paraId="6B6B3908" w14:textId="77777777" w:rsidR="00740907" w:rsidRPr="00EE5714" w:rsidRDefault="00740907" w:rsidP="00B551B3">
      <w:pPr>
        <w:keepNext/>
        <w:keepLines/>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Table 10-4</w:t>
      </w:r>
    </w:p>
    <w:p w14:paraId="0B77EB2F" w14:textId="77777777" w:rsidR="00740907" w:rsidRPr="00EE5714" w:rsidRDefault="00740907" w:rsidP="00B551B3">
      <w:pPr>
        <w:keepNext/>
        <w:keepLines/>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Annual EDC CAP Costs per Non-CAP Residential Customer 2012-2016</w:t>
      </w:r>
    </w:p>
    <w:p w14:paraId="1286268B" w14:textId="77777777" w:rsidR="00740907" w:rsidRPr="00EE5714" w:rsidRDefault="00740907" w:rsidP="00B551B3">
      <w:pPr>
        <w:keepNext/>
        <w:keepLines/>
        <w:rPr>
          <w:rFonts w:ascii="Times New Roman" w:hAnsi="Times New Roman" w:cs="Times New Roman"/>
          <w:sz w:val="26"/>
          <w:szCs w:val="26"/>
        </w:rPr>
      </w:pPr>
      <w:r w:rsidRPr="00EE5714">
        <w:rPr>
          <w:noProof/>
        </w:rPr>
        <w:drawing>
          <wp:inline distT="0" distB="0" distL="0" distR="0" wp14:anchorId="4D19FE85" wp14:editId="79460815">
            <wp:extent cx="5943600" cy="1726565"/>
            <wp:effectExtent l="0" t="0" r="0" b="6985"/>
            <wp:docPr id="726562228" name="Chart 726562228">
              <a:extLst xmlns:a="http://schemas.openxmlformats.org/drawingml/2006/main">
                <a:ext uri="{FF2B5EF4-FFF2-40B4-BE49-F238E27FC236}">
                  <a16:creationId xmlns:a16="http://schemas.microsoft.com/office/drawing/2014/main" id="{489563AE-96D9-440F-8AC6-CF221B5F5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F816C60" w14:textId="77777777" w:rsidR="00740907" w:rsidRPr="00EE5714" w:rsidRDefault="00740907" w:rsidP="00B551B3">
      <w:pPr>
        <w:keepNext/>
        <w:keepLines/>
        <w:spacing w:after="0" w:line="240" w:lineRule="auto"/>
        <w:rPr>
          <w:rFonts w:ascii="Times New Roman" w:hAnsi="Times New Roman" w:cs="Times New Roman"/>
          <w:sz w:val="26"/>
          <w:szCs w:val="26"/>
        </w:rPr>
      </w:pPr>
    </w:p>
    <w:p w14:paraId="63277C75" w14:textId="77777777" w:rsidR="008F65F8" w:rsidRPr="00EE5714" w:rsidRDefault="008F65F8" w:rsidP="00B551B3">
      <w:pPr>
        <w:keepNext/>
        <w:keepLines/>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PECO Electric had the highest annual cost per non-CAP residential customer throughout the first four years of the study and w</w:t>
      </w:r>
      <w:r w:rsidR="009265A6" w:rsidRPr="00EE5714">
        <w:rPr>
          <w:rFonts w:ascii="Times New Roman" w:hAnsi="Times New Roman" w:cs="Times New Roman"/>
          <w:sz w:val="26"/>
          <w:szCs w:val="26"/>
        </w:rPr>
        <w:t>as</w:t>
      </w:r>
      <w:r w:rsidRPr="00EE5714">
        <w:rPr>
          <w:rFonts w:ascii="Times New Roman" w:hAnsi="Times New Roman" w:cs="Times New Roman"/>
          <w:sz w:val="26"/>
          <w:szCs w:val="26"/>
        </w:rPr>
        <w:t xml:space="preserve"> second highest in 2016.  PPL’s costs </w:t>
      </w:r>
      <w:r w:rsidR="009265A6" w:rsidRPr="00EE5714">
        <w:rPr>
          <w:rFonts w:ascii="Times New Roman" w:hAnsi="Times New Roman" w:cs="Times New Roman"/>
          <w:sz w:val="26"/>
          <w:szCs w:val="26"/>
        </w:rPr>
        <w:t>rose</w:t>
      </w:r>
      <w:r w:rsidRPr="00EE5714">
        <w:rPr>
          <w:rFonts w:ascii="Times New Roman" w:hAnsi="Times New Roman" w:cs="Times New Roman"/>
          <w:sz w:val="26"/>
          <w:szCs w:val="26"/>
        </w:rPr>
        <w:t xml:space="preserve"> steadily and by the end of the study </w:t>
      </w:r>
      <w:r w:rsidR="00F60BFA" w:rsidRPr="00EE5714">
        <w:rPr>
          <w:rFonts w:ascii="Times New Roman" w:hAnsi="Times New Roman" w:cs="Times New Roman"/>
          <w:sz w:val="26"/>
          <w:szCs w:val="26"/>
        </w:rPr>
        <w:t xml:space="preserve">period </w:t>
      </w:r>
      <w:r w:rsidRPr="00EE5714">
        <w:rPr>
          <w:rFonts w:ascii="Times New Roman" w:hAnsi="Times New Roman" w:cs="Times New Roman"/>
          <w:sz w:val="26"/>
          <w:szCs w:val="26"/>
        </w:rPr>
        <w:t>were higher than PECO Electric’s.  Met</w:t>
      </w:r>
      <w:r w:rsidR="00F54E1A" w:rsidRPr="00EE5714">
        <w:rPr>
          <w:rFonts w:ascii="Times New Roman" w:hAnsi="Times New Roman" w:cs="Times New Roman"/>
          <w:sz w:val="26"/>
          <w:szCs w:val="26"/>
        </w:rPr>
        <w:noBreakHyphen/>
      </w:r>
      <w:r w:rsidRPr="00EE5714">
        <w:rPr>
          <w:rFonts w:ascii="Times New Roman" w:hAnsi="Times New Roman" w:cs="Times New Roman"/>
          <w:sz w:val="26"/>
          <w:szCs w:val="26"/>
        </w:rPr>
        <w:t xml:space="preserve">Ed’s and Duquesne’s annual CAP costs appear to have declined over the </w:t>
      </w:r>
      <w:r w:rsidR="004B3F31" w:rsidRPr="00EE5714">
        <w:rPr>
          <w:rFonts w:ascii="Times New Roman" w:hAnsi="Times New Roman" w:cs="Times New Roman"/>
          <w:sz w:val="26"/>
          <w:szCs w:val="26"/>
        </w:rPr>
        <w:t>five-year period</w:t>
      </w:r>
      <w:r w:rsidRPr="00EE5714">
        <w:rPr>
          <w:rFonts w:ascii="Times New Roman" w:hAnsi="Times New Roman" w:cs="Times New Roman"/>
          <w:sz w:val="26"/>
          <w:szCs w:val="26"/>
        </w:rPr>
        <w:t xml:space="preserve"> while West Penn’s appear to have increased.  </w:t>
      </w:r>
      <w:r w:rsidR="00B3651F" w:rsidRPr="00EE5714">
        <w:rPr>
          <w:rFonts w:ascii="Times New Roman" w:hAnsi="Times New Roman" w:cs="Times New Roman"/>
          <w:i/>
          <w:iCs/>
          <w:sz w:val="26"/>
          <w:szCs w:val="26"/>
        </w:rPr>
        <w:t>See</w:t>
      </w:r>
      <w:r w:rsidR="00B3651F" w:rsidRPr="00EE5714">
        <w:rPr>
          <w:rFonts w:ascii="Times New Roman" w:hAnsi="Times New Roman" w:cs="Times New Roman"/>
          <w:sz w:val="26"/>
          <w:szCs w:val="26"/>
        </w:rPr>
        <w:t xml:space="preserve"> Table </w:t>
      </w:r>
      <w:r w:rsidR="002448F4" w:rsidRPr="00EE5714">
        <w:rPr>
          <w:rFonts w:ascii="Times New Roman" w:hAnsi="Times New Roman" w:cs="Times New Roman"/>
          <w:sz w:val="26"/>
          <w:szCs w:val="26"/>
        </w:rPr>
        <w:t>10-4.</w:t>
      </w:r>
    </w:p>
    <w:p w14:paraId="7CDE8FAF" w14:textId="77777777" w:rsidR="008F65F8" w:rsidRPr="00EE5714" w:rsidRDefault="008F65F8" w:rsidP="00863EFE">
      <w:pPr>
        <w:spacing w:after="0" w:line="240" w:lineRule="auto"/>
        <w:rPr>
          <w:rFonts w:ascii="Times New Roman" w:hAnsi="Times New Roman" w:cs="Times New Roman"/>
          <w:sz w:val="26"/>
          <w:szCs w:val="26"/>
        </w:rPr>
      </w:pPr>
    </w:p>
    <w:p w14:paraId="013B1E18" w14:textId="4D632CFB" w:rsidR="00351A80" w:rsidRPr="00EE5714" w:rsidRDefault="00351A80" w:rsidP="00351A80">
      <w:pPr>
        <w:keepNext/>
        <w:spacing w:after="0" w:line="240" w:lineRule="auto"/>
        <w:rPr>
          <w:rFonts w:ascii="Times New Roman" w:hAnsi="Times New Roman" w:cs="Times New Roman"/>
          <w:i/>
          <w:iCs/>
          <w:sz w:val="26"/>
          <w:szCs w:val="26"/>
        </w:rPr>
      </w:pPr>
      <w:r w:rsidRPr="00EE5714">
        <w:rPr>
          <w:rFonts w:ascii="Times New Roman" w:hAnsi="Times New Roman" w:cs="Times New Roman"/>
          <w:i/>
          <w:iCs/>
          <w:sz w:val="26"/>
          <w:szCs w:val="26"/>
        </w:rPr>
        <w:t>Projected Costs of CAPs Per Non-CAP Residential Customer</w:t>
      </w:r>
      <w:r w:rsidR="005E5CA5">
        <w:rPr>
          <w:rFonts w:ascii="Times New Roman" w:hAnsi="Times New Roman" w:cs="Times New Roman"/>
          <w:i/>
          <w:iCs/>
          <w:sz w:val="26"/>
          <w:szCs w:val="26"/>
        </w:rPr>
        <w:t>s</w:t>
      </w:r>
      <w:r w:rsidRPr="00EE5714">
        <w:rPr>
          <w:rFonts w:ascii="Times New Roman" w:hAnsi="Times New Roman" w:cs="Times New Roman"/>
          <w:i/>
          <w:iCs/>
          <w:sz w:val="26"/>
          <w:szCs w:val="26"/>
        </w:rPr>
        <w:t xml:space="preserve"> </w:t>
      </w:r>
      <w:r w:rsidR="00BE0609">
        <w:rPr>
          <w:rFonts w:ascii="Times New Roman" w:hAnsi="Times New Roman" w:cs="Times New Roman"/>
          <w:i/>
          <w:iCs/>
          <w:sz w:val="26"/>
          <w:szCs w:val="26"/>
        </w:rPr>
        <w:t>with Cost Adjustments</w:t>
      </w:r>
      <w:r w:rsidRPr="00EE5714">
        <w:rPr>
          <w:rFonts w:ascii="Times New Roman" w:hAnsi="Times New Roman" w:cs="Times New Roman"/>
          <w:i/>
          <w:iCs/>
          <w:sz w:val="26"/>
          <w:szCs w:val="26"/>
        </w:rPr>
        <w:t xml:space="preserve"> </w:t>
      </w:r>
    </w:p>
    <w:p w14:paraId="53FE3963" w14:textId="77777777" w:rsidR="00351A80" w:rsidRPr="00EE5714" w:rsidRDefault="00351A80" w:rsidP="00351A80">
      <w:pPr>
        <w:keepNext/>
        <w:spacing w:after="0" w:line="240" w:lineRule="auto"/>
        <w:rPr>
          <w:rFonts w:ascii="Times New Roman" w:hAnsi="Times New Roman" w:cs="Times New Roman"/>
          <w:i/>
          <w:iCs/>
          <w:sz w:val="26"/>
          <w:szCs w:val="26"/>
        </w:rPr>
      </w:pPr>
    </w:p>
    <w:p w14:paraId="5AEC6D6C" w14:textId="39C5C0FA" w:rsidR="00AB5EDD" w:rsidRPr="00EE5714" w:rsidRDefault="003B540A" w:rsidP="00AB5EDD">
      <w:pPr>
        <w:spacing w:after="0" w:line="240" w:lineRule="auto"/>
        <w:rPr>
          <w:rFonts w:ascii="Times New Roman" w:hAnsi="Times New Roman" w:cs="Times New Roman"/>
          <w:i/>
          <w:iCs/>
          <w:sz w:val="26"/>
          <w:szCs w:val="26"/>
        </w:rPr>
      </w:pPr>
      <w:r w:rsidRPr="00EE5714">
        <w:rPr>
          <w:rFonts w:ascii="Times New Roman" w:hAnsi="Times New Roman" w:cs="Times New Roman"/>
          <w:sz w:val="26"/>
          <w:szCs w:val="26"/>
        </w:rPr>
        <w:tab/>
        <w:t xml:space="preserve">Staff </w:t>
      </w:r>
      <w:r w:rsidR="005440C9" w:rsidRPr="00EE5714">
        <w:rPr>
          <w:rFonts w:ascii="Times New Roman" w:hAnsi="Times New Roman" w:cs="Times New Roman"/>
          <w:sz w:val="26"/>
          <w:szCs w:val="26"/>
        </w:rPr>
        <w:t xml:space="preserve">used </w:t>
      </w:r>
      <w:r w:rsidR="00A408F4" w:rsidRPr="00EE5714">
        <w:rPr>
          <w:rFonts w:ascii="Times New Roman" w:hAnsi="Times New Roman" w:cs="Times New Roman"/>
          <w:sz w:val="26"/>
          <w:szCs w:val="26"/>
        </w:rPr>
        <w:t xml:space="preserve">projected CAP budgets from utility USECPs and </w:t>
      </w:r>
      <w:r w:rsidRPr="00EE5714">
        <w:rPr>
          <w:rFonts w:ascii="Times New Roman" w:hAnsi="Times New Roman" w:cs="Times New Roman"/>
          <w:sz w:val="26"/>
          <w:szCs w:val="26"/>
        </w:rPr>
        <w:t xml:space="preserve">regression analysis </w:t>
      </w:r>
      <w:r w:rsidR="00A408F4" w:rsidRPr="00EE5714">
        <w:rPr>
          <w:rFonts w:ascii="Times New Roman" w:hAnsi="Times New Roman" w:cs="Times New Roman"/>
          <w:sz w:val="26"/>
          <w:szCs w:val="26"/>
        </w:rPr>
        <w:t xml:space="preserve">(for years in which no projected CAP budget was available) </w:t>
      </w:r>
      <w:r w:rsidRPr="00EE5714">
        <w:rPr>
          <w:rFonts w:ascii="Times New Roman" w:hAnsi="Times New Roman" w:cs="Times New Roman"/>
          <w:sz w:val="26"/>
          <w:szCs w:val="26"/>
        </w:rPr>
        <w:t>to forecast CAP costs for 201</w:t>
      </w:r>
      <w:r w:rsidR="00A408F4" w:rsidRPr="00EE5714">
        <w:rPr>
          <w:rFonts w:ascii="Times New Roman" w:hAnsi="Times New Roman" w:cs="Times New Roman"/>
          <w:sz w:val="26"/>
          <w:szCs w:val="26"/>
        </w:rPr>
        <w:t>8</w:t>
      </w:r>
      <w:r w:rsidRPr="00EE5714">
        <w:rPr>
          <w:rFonts w:ascii="Times New Roman" w:hAnsi="Times New Roman" w:cs="Times New Roman"/>
          <w:sz w:val="26"/>
          <w:szCs w:val="26"/>
        </w:rPr>
        <w:t xml:space="preserve"> to 2021.  Staff used the following adjustments to </w:t>
      </w:r>
      <w:r w:rsidR="00336003">
        <w:rPr>
          <w:rFonts w:ascii="Times New Roman" w:hAnsi="Times New Roman" w:cs="Times New Roman"/>
          <w:sz w:val="26"/>
          <w:szCs w:val="26"/>
        </w:rPr>
        <w:t>the</w:t>
      </w:r>
      <w:r w:rsidR="004C4CD5">
        <w:rPr>
          <w:rFonts w:ascii="Times New Roman" w:hAnsi="Times New Roman" w:cs="Times New Roman"/>
          <w:sz w:val="26"/>
          <w:szCs w:val="26"/>
        </w:rPr>
        <w:t xml:space="preserve"> costs per non-</w:t>
      </w:r>
      <w:r w:rsidRPr="00EE5714">
        <w:rPr>
          <w:rFonts w:ascii="Times New Roman" w:hAnsi="Times New Roman" w:cs="Times New Roman"/>
          <w:sz w:val="26"/>
          <w:szCs w:val="26"/>
        </w:rPr>
        <w:t xml:space="preserve">CAP </w:t>
      </w:r>
      <w:r w:rsidR="004C4CD5">
        <w:rPr>
          <w:rFonts w:ascii="Times New Roman" w:hAnsi="Times New Roman" w:cs="Times New Roman"/>
          <w:sz w:val="26"/>
          <w:szCs w:val="26"/>
        </w:rPr>
        <w:t>residential customer</w:t>
      </w:r>
      <w:r w:rsidRPr="00EE5714">
        <w:rPr>
          <w:rFonts w:ascii="Times New Roman" w:hAnsi="Times New Roman" w:cs="Times New Roman"/>
          <w:sz w:val="26"/>
          <w:szCs w:val="26"/>
        </w:rPr>
        <w:t>:</w:t>
      </w:r>
      <w:r w:rsidRPr="00EE5714" w:rsidDel="00063309">
        <w:rPr>
          <w:rFonts w:ascii="Times New Roman" w:hAnsi="Times New Roman" w:cs="Times New Roman"/>
          <w:sz w:val="26"/>
          <w:szCs w:val="26"/>
        </w:rPr>
        <w:t xml:space="preserve"> </w:t>
      </w:r>
      <w:r w:rsidRPr="00EE5714">
        <w:rPr>
          <w:rFonts w:ascii="Times New Roman" w:hAnsi="Times New Roman" w:cs="Times New Roman"/>
          <w:sz w:val="26"/>
          <w:szCs w:val="26"/>
        </w:rPr>
        <w:t>+10%, +5%, +1%, -1%, -5%, -10%.  Due to the wide range in individual utility CAP costs, staff chose to perform this forecast at the EDC and NGDC industry level.  The tables below show the</w:t>
      </w:r>
      <w:r w:rsidRPr="00EE5714" w:rsidDel="00191F65">
        <w:rPr>
          <w:rFonts w:ascii="Times New Roman" w:hAnsi="Times New Roman" w:cs="Times New Roman"/>
          <w:sz w:val="26"/>
          <w:szCs w:val="26"/>
        </w:rPr>
        <w:t xml:space="preserve"> </w:t>
      </w:r>
      <w:r w:rsidRPr="00EE5714">
        <w:rPr>
          <w:rFonts w:ascii="Times New Roman" w:hAnsi="Times New Roman" w:cs="Times New Roman"/>
          <w:sz w:val="26"/>
          <w:szCs w:val="26"/>
        </w:rPr>
        <w:t>energy industry CAP costs to non-CAP residential customers, as forecast for 201</w:t>
      </w:r>
      <w:r w:rsidR="00C82F74">
        <w:rPr>
          <w:rFonts w:ascii="Times New Roman" w:hAnsi="Times New Roman" w:cs="Times New Roman"/>
          <w:sz w:val="26"/>
          <w:szCs w:val="26"/>
        </w:rPr>
        <w:t>8</w:t>
      </w:r>
      <w:r w:rsidRPr="00EE5714">
        <w:rPr>
          <w:rFonts w:ascii="Times New Roman" w:hAnsi="Times New Roman" w:cs="Times New Roman"/>
          <w:sz w:val="26"/>
          <w:szCs w:val="26"/>
        </w:rPr>
        <w:t xml:space="preserve"> to 2021</w:t>
      </w:r>
      <w:r w:rsidR="00A524C4">
        <w:rPr>
          <w:rFonts w:ascii="Times New Roman" w:hAnsi="Times New Roman" w:cs="Times New Roman"/>
          <w:sz w:val="26"/>
          <w:szCs w:val="26"/>
        </w:rPr>
        <w:t>, but</w:t>
      </w:r>
      <w:r w:rsidR="004C645E">
        <w:rPr>
          <w:rFonts w:ascii="Times New Roman" w:hAnsi="Times New Roman" w:cs="Times New Roman"/>
          <w:sz w:val="26"/>
          <w:szCs w:val="26"/>
        </w:rPr>
        <w:t xml:space="preserve"> include the</w:t>
      </w:r>
      <w:r w:rsidRPr="00EE5714">
        <w:rPr>
          <w:rFonts w:ascii="Times New Roman" w:hAnsi="Times New Roman" w:cs="Times New Roman"/>
          <w:sz w:val="26"/>
          <w:szCs w:val="26"/>
        </w:rPr>
        <w:t xml:space="preserve"> </w:t>
      </w:r>
      <w:r w:rsidR="004C645E">
        <w:rPr>
          <w:rFonts w:ascii="Times New Roman" w:hAnsi="Times New Roman" w:cs="Times New Roman"/>
          <w:sz w:val="26"/>
          <w:szCs w:val="26"/>
        </w:rPr>
        <w:t>a</w:t>
      </w:r>
      <w:r w:rsidR="007A1313">
        <w:rPr>
          <w:rFonts w:ascii="Times New Roman" w:hAnsi="Times New Roman" w:cs="Times New Roman"/>
          <w:sz w:val="26"/>
          <w:szCs w:val="26"/>
        </w:rPr>
        <w:t xml:space="preserve">ctual </w:t>
      </w:r>
      <w:r w:rsidR="007A1313" w:rsidRPr="00EE5714">
        <w:rPr>
          <w:rFonts w:ascii="Times New Roman" w:hAnsi="Times New Roman" w:cs="Times New Roman"/>
          <w:sz w:val="26"/>
          <w:szCs w:val="26"/>
        </w:rPr>
        <w:t>CAP costs for 2017</w:t>
      </w:r>
      <w:r w:rsidR="004C645E">
        <w:rPr>
          <w:rFonts w:ascii="Times New Roman" w:hAnsi="Times New Roman" w:cs="Times New Roman"/>
          <w:sz w:val="26"/>
          <w:szCs w:val="26"/>
        </w:rPr>
        <w:t>, which</w:t>
      </w:r>
      <w:r w:rsidR="007A1313" w:rsidRPr="00EE5714">
        <w:rPr>
          <w:rFonts w:ascii="Times New Roman" w:hAnsi="Times New Roman" w:cs="Times New Roman"/>
          <w:sz w:val="26"/>
          <w:szCs w:val="26"/>
        </w:rPr>
        <w:t xml:space="preserve"> w</w:t>
      </w:r>
      <w:r w:rsidR="00A524C4">
        <w:rPr>
          <w:rFonts w:ascii="Times New Roman" w:hAnsi="Times New Roman" w:cs="Times New Roman"/>
          <w:sz w:val="26"/>
          <w:szCs w:val="26"/>
        </w:rPr>
        <w:t>ere</w:t>
      </w:r>
      <w:r w:rsidR="007A1313" w:rsidRPr="00EE5714">
        <w:rPr>
          <w:rFonts w:ascii="Times New Roman" w:hAnsi="Times New Roman" w:cs="Times New Roman"/>
          <w:sz w:val="26"/>
          <w:szCs w:val="26"/>
        </w:rPr>
        <w:t xml:space="preserve"> </w:t>
      </w:r>
      <w:r w:rsidR="007A1313" w:rsidRPr="00EE5714">
        <w:rPr>
          <w:rFonts w:ascii="Times New Roman" w:hAnsi="Times New Roman" w:cs="Times New Roman"/>
          <w:sz w:val="26"/>
          <w:szCs w:val="26"/>
        </w:rPr>
        <w:lastRenderedPageBreak/>
        <w:t>obtained from USR data</w:t>
      </w:r>
      <w:r w:rsidR="004C645E">
        <w:rPr>
          <w:rFonts w:ascii="Times New Roman" w:hAnsi="Times New Roman" w:cs="Times New Roman"/>
          <w:sz w:val="26"/>
          <w:szCs w:val="26"/>
        </w:rPr>
        <w:t>.</w:t>
      </w:r>
      <w:r w:rsidRPr="00EE5714">
        <w:rPr>
          <w:rFonts w:ascii="Times New Roman" w:hAnsi="Times New Roman" w:cs="Times New Roman"/>
          <w:sz w:val="26"/>
          <w:szCs w:val="26"/>
        </w:rPr>
        <w:t xml:space="preserve"> </w:t>
      </w:r>
      <w:r w:rsidR="00F974A8">
        <w:rPr>
          <w:rFonts w:ascii="Times New Roman" w:hAnsi="Times New Roman" w:cs="Times New Roman"/>
          <w:sz w:val="26"/>
          <w:szCs w:val="26"/>
        </w:rPr>
        <w:t xml:space="preserve"> </w:t>
      </w:r>
      <w:r w:rsidRPr="00EE5714">
        <w:rPr>
          <w:rFonts w:ascii="Times New Roman" w:hAnsi="Times New Roman" w:cs="Times New Roman"/>
          <w:sz w:val="26"/>
          <w:szCs w:val="26"/>
        </w:rPr>
        <w:t xml:space="preserve">Staff has included the individual utility forecasts for non-CAP residential costs in the </w:t>
      </w:r>
      <w:r w:rsidR="00A4691B" w:rsidRPr="00EE5714">
        <w:rPr>
          <w:rFonts w:ascii="Times New Roman" w:hAnsi="Times New Roman" w:cs="Times New Roman"/>
          <w:sz w:val="26"/>
          <w:szCs w:val="26"/>
        </w:rPr>
        <w:t>A</w:t>
      </w:r>
      <w:r w:rsidRPr="00EE5714">
        <w:rPr>
          <w:rFonts w:ascii="Times New Roman" w:hAnsi="Times New Roman" w:cs="Times New Roman"/>
          <w:sz w:val="26"/>
          <w:szCs w:val="26"/>
        </w:rPr>
        <w:t>ppendix.</w:t>
      </w:r>
      <w:r w:rsidR="00A4691B" w:rsidRPr="00EE5714">
        <w:rPr>
          <w:rStyle w:val="FootnoteReference"/>
          <w:rFonts w:ascii="Times New Roman" w:hAnsi="Times New Roman" w:cs="Times New Roman"/>
          <w:sz w:val="26"/>
          <w:szCs w:val="26"/>
        </w:rPr>
        <w:footnoteReference w:id="90"/>
      </w:r>
      <w:r w:rsidRPr="00EE5714">
        <w:rPr>
          <w:rFonts w:ascii="Times New Roman" w:hAnsi="Times New Roman" w:cs="Times New Roman"/>
          <w:sz w:val="26"/>
          <w:szCs w:val="26"/>
        </w:rPr>
        <w:t xml:space="preserve">  </w:t>
      </w:r>
    </w:p>
    <w:p w14:paraId="3B2EA11A" w14:textId="77777777" w:rsidR="00AB5EDD" w:rsidRPr="00EE5714" w:rsidRDefault="00AB5EDD" w:rsidP="00AB5EDD">
      <w:pPr>
        <w:spacing w:after="0" w:line="240" w:lineRule="auto"/>
        <w:rPr>
          <w:rFonts w:ascii="Times New Roman" w:hAnsi="Times New Roman" w:cs="Times New Roman"/>
          <w:sz w:val="26"/>
          <w:szCs w:val="26"/>
        </w:rPr>
      </w:pPr>
    </w:p>
    <w:p w14:paraId="06E72642" w14:textId="77777777" w:rsidR="005F5AEC" w:rsidRPr="00EE5714" w:rsidRDefault="005F5AEC" w:rsidP="005F5AEC">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Table 10-5</w:t>
      </w:r>
    </w:p>
    <w:p w14:paraId="6CB37436" w14:textId="77777777" w:rsidR="005F5AEC" w:rsidRPr="00EE5714" w:rsidRDefault="005F5AEC" w:rsidP="005F5AEC">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NGDC Industry Predictions per Non-CAP Residential Customer</w:t>
      </w:r>
    </w:p>
    <w:p w14:paraId="0490D061" w14:textId="5CC96EE8" w:rsidR="00FC4EEE" w:rsidRPr="00EE5714" w:rsidRDefault="005F5AEC" w:rsidP="00B167BD">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with C</w:t>
      </w:r>
      <w:r w:rsidR="00BE0609">
        <w:rPr>
          <w:rFonts w:ascii="Times New Roman" w:hAnsi="Times New Roman" w:cs="Times New Roman"/>
          <w:b/>
          <w:bCs/>
          <w:sz w:val="26"/>
          <w:szCs w:val="26"/>
        </w:rPr>
        <w:t>ost</w:t>
      </w:r>
      <w:r w:rsidRPr="00EE5714">
        <w:rPr>
          <w:rFonts w:ascii="Times New Roman" w:hAnsi="Times New Roman" w:cs="Times New Roman"/>
          <w:b/>
          <w:bCs/>
          <w:sz w:val="26"/>
          <w:szCs w:val="26"/>
        </w:rPr>
        <w:t xml:space="preserve"> Adjustments 2017-2021</w:t>
      </w:r>
    </w:p>
    <w:p w14:paraId="24CE5F15" w14:textId="136A4E2B" w:rsidR="00FC4EEE" w:rsidRPr="00EE5714" w:rsidRDefault="00A45585" w:rsidP="005F5AEC">
      <w:pPr>
        <w:keepNext/>
        <w:spacing w:after="0" w:line="240" w:lineRule="auto"/>
        <w:jc w:val="center"/>
        <w:rPr>
          <w:rFonts w:ascii="Times New Roman" w:hAnsi="Times New Roman" w:cs="Times New Roman"/>
          <w:b/>
          <w:bCs/>
          <w:sz w:val="26"/>
          <w:szCs w:val="26"/>
        </w:rPr>
      </w:pPr>
      <w:r w:rsidRPr="00EE5714">
        <w:rPr>
          <w:noProof/>
        </w:rPr>
        <w:drawing>
          <wp:inline distT="0" distB="0" distL="0" distR="0" wp14:anchorId="70458CDA" wp14:editId="3739811B">
            <wp:extent cx="5538788" cy="2743200"/>
            <wp:effectExtent l="0" t="0" r="5080" b="0"/>
            <wp:docPr id="1" name="Chart 1">
              <a:extLst xmlns:a="http://schemas.openxmlformats.org/drawingml/2006/main">
                <a:ext uri="{FF2B5EF4-FFF2-40B4-BE49-F238E27FC236}">
                  <a16:creationId xmlns:a16="http://schemas.microsoft.com/office/drawing/2014/main" id="{C02E7324-566B-471D-A04C-B6844EBB70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52710D0" w14:textId="46BCBC86" w:rsidR="00FC4EEE" w:rsidRPr="00EE5714" w:rsidRDefault="00FC4EEE" w:rsidP="00B167BD">
      <w:pPr>
        <w:keepNext/>
        <w:spacing w:after="0" w:line="240" w:lineRule="auto"/>
        <w:rPr>
          <w:rFonts w:ascii="Times New Roman" w:hAnsi="Times New Roman" w:cs="Times New Roman"/>
          <w:b/>
          <w:bCs/>
          <w:sz w:val="26"/>
          <w:szCs w:val="26"/>
        </w:rPr>
      </w:pPr>
    </w:p>
    <w:p w14:paraId="5D27F422" w14:textId="3D364D9F" w:rsidR="00107DF6" w:rsidRPr="00EE5714" w:rsidRDefault="00107DF6" w:rsidP="00107DF6">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By presenting the NGDC forecast at the industry level</w:t>
      </w:r>
      <w:r w:rsidR="00EE7D80" w:rsidRPr="00EE5714">
        <w:rPr>
          <w:rFonts w:ascii="Times New Roman" w:hAnsi="Times New Roman" w:cs="Times New Roman"/>
          <w:sz w:val="26"/>
          <w:szCs w:val="26"/>
        </w:rPr>
        <w:t xml:space="preserve"> in </w:t>
      </w:r>
      <w:r w:rsidR="0058567F" w:rsidRPr="00EE5714">
        <w:rPr>
          <w:rFonts w:ascii="Times New Roman" w:hAnsi="Times New Roman" w:cs="Times New Roman"/>
          <w:sz w:val="26"/>
          <w:szCs w:val="26"/>
        </w:rPr>
        <w:t xml:space="preserve">Table 10-5 </w:t>
      </w:r>
      <w:r w:rsidR="00703482" w:rsidRPr="00EE5714">
        <w:rPr>
          <w:rFonts w:ascii="Times New Roman" w:hAnsi="Times New Roman" w:cs="Times New Roman"/>
          <w:sz w:val="26"/>
          <w:szCs w:val="26"/>
        </w:rPr>
        <w:t>above</w:t>
      </w:r>
      <w:r w:rsidRPr="00EE5714">
        <w:rPr>
          <w:rFonts w:ascii="Times New Roman" w:hAnsi="Times New Roman" w:cs="Times New Roman"/>
          <w:sz w:val="26"/>
          <w:szCs w:val="26"/>
        </w:rPr>
        <w:t xml:space="preserve">, </w:t>
      </w:r>
      <w:r w:rsidR="00F6337F" w:rsidRPr="00EE5714">
        <w:rPr>
          <w:rFonts w:ascii="Times New Roman" w:hAnsi="Times New Roman" w:cs="Times New Roman"/>
          <w:sz w:val="26"/>
          <w:szCs w:val="26"/>
        </w:rPr>
        <w:t xml:space="preserve">staff </w:t>
      </w:r>
      <w:r w:rsidRPr="00EE5714">
        <w:rPr>
          <w:rFonts w:ascii="Times New Roman" w:hAnsi="Times New Roman" w:cs="Times New Roman"/>
          <w:sz w:val="26"/>
          <w:szCs w:val="26"/>
        </w:rPr>
        <w:t>note</w:t>
      </w:r>
      <w:r w:rsidR="00F6337F" w:rsidRPr="00EE5714">
        <w:rPr>
          <w:rFonts w:ascii="Times New Roman" w:hAnsi="Times New Roman" w:cs="Times New Roman"/>
          <w:sz w:val="26"/>
          <w:szCs w:val="26"/>
        </w:rPr>
        <w:t>s</w:t>
      </w:r>
      <w:r w:rsidRPr="00EE5714">
        <w:rPr>
          <w:rFonts w:ascii="Times New Roman" w:hAnsi="Times New Roman" w:cs="Times New Roman"/>
          <w:sz w:val="26"/>
          <w:szCs w:val="26"/>
        </w:rPr>
        <w:t xml:space="preserve"> </w:t>
      </w:r>
      <w:r w:rsidR="00F6337F" w:rsidRPr="00EE5714">
        <w:rPr>
          <w:rFonts w:ascii="Times New Roman" w:hAnsi="Times New Roman" w:cs="Times New Roman"/>
          <w:sz w:val="26"/>
          <w:szCs w:val="26"/>
        </w:rPr>
        <w:t xml:space="preserve">NGDC </w:t>
      </w:r>
      <w:r w:rsidRPr="00EE5714">
        <w:rPr>
          <w:rFonts w:ascii="Times New Roman" w:hAnsi="Times New Roman" w:cs="Times New Roman"/>
          <w:sz w:val="26"/>
          <w:szCs w:val="26"/>
        </w:rPr>
        <w:t>CAP costs per non-CAP residential customer</w:t>
      </w:r>
      <w:r w:rsidR="00293CFC" w:rsidRPr="00EE5714">
        <w:rPr>
          <w:rFonts w:ascii="Times New Roman" w:hAnsi="Times New Roman" w:cs="Times New Roman"/>
          <w:sz w:val="26"/>
          <w:szCs w:val="26"/>
        </w:rPr>
        <w:t xml:space="preserve"> will </w:t>
      </w:r>
      <w:r w:rsidR="004A5059" w:rsidRPr="00EE5714">
        <w:rPr>
          <w:rFonts w:ascii="Times New Roman" w:hAnsi="Times New Roman" w:cs="Times New Roman"/>
          <w:sz w:val="26"/>
          <w:szCs w:val="26"/>
        </w:rPr>
        <w:t>increase slightl</w:t>
      </w:r>
      <w:r w:rsidR="00614346" w:rsidRPr="00EE5714">
        <w:rPr>
          <w:rFonts w:ascii="Times New Roman" w:hAnsi="Times New Roman" w:cs="Times New Roman"/>
          <w:sz w:val="26"/>
          <w:szCs w:val="26"/>
        </w:rPr>
        <w:t>y by 2019</w:t>
      </w:r>
      <w:r w:rsidR="0058211B" w:rsidRPr="00EE5714">
        <w:rPr>
          <w:rFonts w:ascii="Times New Roman" w:hAnsi="Times New Roman" w:cs="Times New Roman"/>
          <w:sz w:val="26"/>
          <w:szCs w:val="26"/>
        </w:rPr>
        <w:t xml:space="preserve">, but otherwise </w:t>
      </w:r>
      <w:r w:rsidR="00293CFC" w:rsidRPr="00EE5714">
        <w:rPr>
          <w:rFonts w:ascii="Times New Roman" w:hAnsi="Times New Roman" w:cs="Times New Roman"/>
          <w:sz w:val="26"/>
          <w:szCs w:val="26"/>
        </w:rPr>
        <w:t>remain relatively stable through 2021</w:t>
      </w:r>
      <w:r w:rsidRPr="00EE5714">
        <w:rPr>
          <w:rFonts w:ascii="Times New Roman" w:hAnsi="Times New Roman" w:cs="Times New Roman"/>
          <w:sz w:val="26"/>
          <w:szCs w:val="26"/>
        </w:rPr>
        <w:t xml:space="preserve">. </w:t>
      </w:r>
      <w:r w:rsidR="00F6337F" w:rsidRPr="00EE5714">
        <w:rPr>
          <w:rFonts w:ascii="Times New Roman" w:hAnsi="Times New Roman" w:cs="Times New Roman"/>
          <w:sz w:val="26"/>
          <w:szCs w:val="26"/>
        </w:rPr>
        <w:t xml:space="preserve"> </w:t>
      </w:r>
      <w:r w:rsidR="00A923EB"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 </w:t>
      </w:r>
    </w:p>
    <w:p w14:paraId="60CD9DE8" w14:textId="77777777" w:rsidR="00277FF4" w:rsidRPr="00EE5714" w:rsidRDefault="00277FF4" w:rsidP="00107DF6">
      <w:pPr>
        <w:spacing w:after="0" w:line="240" w:lineRule="auto"/>
        <w:rPr>
          <w:rFonts w:ascii="Times New Roman" w:hAnsi="Times New Roman" w:cs="Times New Roman"/>
          <w:sz w:val="26"/>
          <w:szCs w:val="26"/>
        </w:rPr>
      </w:pPr>
    </w:p>
    <w:p w14:paraId="4B2FBA27" w14:textId="77777777" w:rsidR="00DA69F8" w:rsidRPr="00EE5714" w:rsidRDefault="00DA69F8" w:rsidP="00DA69F8">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Table 10-</w:t>
      </w:r>
      <w:r w:rsidR="004164FB" w:rsidRPr="00EE5714">
        <w:rPr>
          <w:rFonts w:ascii="Times New Roman" w:hAnsi="Times New Roman" w:cs="Times New Roman"/>
          <w:b/>
          <w:bCs/>
          <w:sz w:val="26"/>
          <w:szCs w:val="26"/>
        </w:rPr>
        <w:t>6</w:t>
      </w:r>
    </w:p>
    <w:p w14:paraId="01054117" w14:textId="77777777" w:rsidR="00DA69F8" w:rsidRPr="00EE5714" w:rsidRDefault="00DA69F8" w:rsidP="00DA69F8">
      <w:pPr>
        <w:keepNext/>
        <w:spacing w:after="0" w:line="240" w:lineRule="auto"/>
        <w:jc w:val="center"/>
        <w:rPr>
          <w:rFonts w:ascii="Times New Roman" w:hAnsi="Times New Roman" w:cs="Times New Roman"/>
          <w:sz w:val="26"/>
          <w:szCs w:val="26"/>
        </w:rPr>
      </w:pPr>
      <w:r w:rsidRPr="00EE5714">
        <w:rPr>
          <w:rFonts w:ascii="Times New Roman" w:hAnsi="Times New Roman" w:cs="Times New Roman"/>
          <w:b/>
          <w:bCs/>
          <w:sz w:val="26"/>
          <w:szCs w:val="26"/>
        </w:rPr>
        <w:t>EDC Industry Predictions per Non-CAP Residential Customer</w:t>
      </w:r>
    </w:p>
    <w:p w14:paraId="3F77F2F0" w14:textId="45E5AEC0" w:rsidR="00B9304F" w:rsidRPr="00EE5714" w:rsidRDefault="00DA69F8" w:rsidP="005B1155">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with C</w:t>
      </w:r>
      <w:r w:rsidR="001A1960">
        <w:rPr>
          <w:rFonts w:ascii="Times New Roman" w:hAnsi="Times New Roman" w:cs="Times New Roman"/>
          <w:b/>
          <w:bCs/>
          <w:sz w:val="26"/>
          <w:szCs w:val="26"/>
        </w:rPr>
        <w:t>ost</w:t>
      </w:r>
      <w:r w:rsidRPr="00EE5714">
        <w:rPr>
          <w:rFonts w:ascii="Times New Roman" w:hAnsi="Times New Roman" w:cs="Times New Roman"/>
          <w:b/>
          <w:bCs/>
          <w:sz w:val="26"/>
          <w:szCs w:val="26"/>
        </w:rPr>
        <w:t xml:space="preserve"> Adjustments 2017-2021</w:t>
      </w:r>
    </w:p>
    <w:p w14:paraId="1D6EF333" w14:textId="27FB7C07" w:rsidR="00DA69F8" w:rsidRPr="00EE5714" w:rsidRDefault="005E789F" w:rsidP="00D50BE1">
      <w:pPr>
        <w:keepNext/>
        <w:spacing w:after="0" w:line="240" w:lineRule="auto"/>
        <w:jc w:val="center"/>
        <w:rPr>
          <w:rFonts w:ascii="Times New Roman" w:hAnsi="Times New Roman" w:cs="Times New Roman"/>
          <w:sz w:val="26"/>
          <w:szCs w:val="26"/>
        </w:rPr>
      </w:pPr>
      <w:r w:rsidRPr="00EE5714">
        <w:rPr>
          <w:noProof/>
        </w:rPr>
        <w:drawing>
          <wp:inline distT="0" distB="0" distL="0" distR="0" wp14:anchorId="75D1F0F5" wp14:editId="1215CDBC">
            <wp:extent cx="5791200" cy="2743200"/>
            <wp:effectExtent l="0" t="0" r="0" b="0"/>
            <wp:docPr id="7" name="Chart 7">
              <a:extLst xmlns:a="http://schemas.openxmlformats.org/drawingml/2006/main">
                <a:ext uri="{FF2B5EF4-FFF2-40B4-BE49-F238E27FC236}">
                  <a16:creationId xmlns:a16="http://schemas.microsoft.com/office/drawing/2014/main" id="{9B997C09-4BB4-4E47-B44C-B03E7864B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1E1ADE9" w14:textId="77777777" w:rsidR="000F2317" w:rsidRPr="00EE5714" w:rsidRDefault="000F2317" w:rsidP="00863EFE">
      <w:pPr>
        <w:spacing w:after="0" w:line="240" w:lineRule="auto"/>
        <w:ind w:firstLine="720"/>
        <w:rPr>
          <w:rFonts w:ascii="Times New Roman" w:hAnsi="Times New Roman" w:cs="Times New Roman"/>
          <w:sz w:val="26"/>
          <w:szCs w:val="26"/>
        </w:rPr>
      </w:pPr>
    </w:p>
    <w:p w14:paraId="44749F27" w14:textId="49168A32" w:rsidR="00365D81" w:rsidRPr="00EE5714" w:rsidRDefault="008F65F8" w:rsidP="00863EFE">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By presenting the EDC forecast at the industry level in </w:t>
      </w:r>
      <w:r w:rsidR="00EE7D80" w:rsidRPr="00EE5714">
        <w:rPr>
          <w:rFonts w:ascii="Times New Roman" w:hAnsi="Times New Roman" w:cs="Times New Roman"/>
          <w:sz w:val="26"/>
          <w:szCs w:val="26"/>
        </w:rPr>
        <w:t>Table 10-</w:t>
      </w:r>
      <w:r w:rsidR="002E0D63" w:rsidRPr="00EE5714">
        <w:rPr>
          <w:rFonts w:ascii="Times New Roman" w:hAnsi="Times New Roman" w:cs="Times New Roman"/>
          <w:sz w:val="26"/>
          <w:szCs w:val="26"/>
        </w:rPr>
        <w:t xml:space="preserve">6 </w:t>
      </w:r>
      <w:r w:rsidR="00DD4EC0" w:rsidRPr="00EE5714">
        <w:rPr>
          <w:rFonts w:ascii="Times New Roman" w:hAnsi="Times New Roman" w:cs="Times New Roman"/>
          <w:sz w:val="26"/>
          <w:szCs w:val="26"/>
        </w:rPr>
        <w:t>above</w:t>
      </w:r>
      <w:r w:rsidRPr="00EE5714">
        <w:rPr>
          <w:rFonts w:ascii="Times New Roman" w:hAnsi="Times New Roman" w:cs="Times New Roman"/>
          <w:sz w:val="26"/>
          <w:szCs w:val="26"/>
        </w:rPr>
        <w:t xml:space="preserve">, staff notes an overall slightly </w:t>
      </w:r>
      <w:r w:rsidR="00C0076D" w:rsidRPr="00EE5714">
        <w:rPr>
          <w:rFonts w:ascii="Times New Roman" w:hAnsi="Times New Roman" w:cs="Times New Roman"/>
          <w:sz w:val="26"/>
          <w:szCs w:val="26"/>
        </w:rPr>
        <w:t xml:space="preserve">increasing </w:t>
      </w:r>
      <w:r w:rsidRPr="00EE5714">
        <w:rPr>
          <w:rFonts w:ascii="Times New Roman" w:hAnsi="Times New Roman" w:cs="Times New Roman"/>
          <w:sz w:val="26"/>
          <w:szCs w:val="26"/>
        </w:rPr>
        <w:t xml:space="preserve">annual trend in the CAP costs per non-CAP residential customer.  This </w:t>
      </w:r>
      <w:r w:rsidR="00C0076D" w:rsidRPr="00EE5714">
        <w:rPr>
          <w:rFonts w:ascii="Times New Roman" w:hAnsi="Times New Roman" w:cs="Times New Roman"/>
          <w:sz w:val="26"/>
          <w:szCs w:val="26"/>
        </w:rPr>
        <w:t xml:space="preserve">increasing </w:t>
      </w:r>
      <w:r w:rsidRPr="00EE5714">
        <w:rPr>
          <w:rFonts w:ascii="Times New Roman" w:hAnsi="Times New Roman" w:cs="Times New Roman"/>
          <w:sz w:val="26"/>
          <w:szCs w:val="26"/>
        </w:rPr>
        <w:t xml:space="preserve">trend is </w:t>
      </w:r>
      <w:r w:rsidR="00C0076D" w:rsidRPr="00EE5714">
        <w:rPr>
          <w:rFonts w:ascii="Times New Roman" w:hAnsi="Times New Roman" w:cs="Times New Roman"/>
          <w:sz w:val="26"/>
          <w:szCs w:val="26"/>
        </w:rPr>
        <w:t>consistent with</w:t>
      </w:r>
      <w:r w:rsidRPr="00EE5714">
        <w:rPr>
          <w:rFonts w:ascii="Times New Roman" w:hAnsi="Times New Roman" w:cs="Times New Roman"/>
          <w:sz w:val="26"/>
          <w:szCs w:val="26"/>
        </w:rPr>
        <w:t xml:space="preserve"> the forecast trend </w:t>
      </w:r>
      <w:r w:rsidR="00CE50A8" w:rsidRPr="00EE5714">
        <w:rPr>
          <w:rFonts w:ascii="Times New Roman" w:hAnsi="Times New Roman" w:cs="Times New Roman"/>
          <w:sz w:val="26"/>
          <w:szCs w:val="26"/>
        </w:rPr>
        <w:t xml:space="preserve">noted above in the forecast for each individual </w:t>
      </w:r>
      <w:r w:rsidR="00086C2F" w:rsidRPr="00EE5714">
        <w:rPr>
          <w:rFonts w:ascii="Times New Roman" w:hAnsi="Times New Roman" w:cs="Times New Roman"/>
          <w:sz w:val="26"/>
          <w:szCs w:val="26"/>
        </w:rPr>
        <w:t>E</w:t>
      </w:r>
      <w:r w:rsidR="00CE50A8" w:rsidRPr="00EE5714">
        <w:rPr>
          <w:rFonts w:ascii="Times New Roman" w:hAnsi="Times New Roman" w:cs="Times New Roman"/>
          <w:sz w:val="26"/>
          <w:szCs w:val="26"/>
        </w:rPr>
        <w:t>DC’s CAP costs from 201</w:t>
      </w:r>
      <w:r w:rsidR="00C0076D" w:rsidRPr="00EE5714">
        <w:rPr>
          <w:rFonts w:ascii="Times New Roman" w:hAnsi="Times New Roman" w:cs="Times New Roman"/>
          <w:sz w:val="26"/>
          <w:szCs w:val="26"/>
        </w:rPr>
        <w:t>8</w:t>
      </w:r>
      <w:r w:rsidR="00CE50A8" w:rsidRPr="00EE5714">
        <w:rPr>
          <w:rFonts w:ascii="Times New Roman" w:hAnsi="Times New Roman" w:cs="Times New Roman"/>
          <w:sz w:val="26"/>
          <w:szCs w:val="26"/>
        </w:rPr>
        <w:t xml:space="preserve"> to 2021</w:t>
      </w:r>
      <w:r w:rsidRPr="00EE5714">
        <w:rPr>
          <w:rFonts w:ascii="Times New Roman" w:hAnsi="Times New Roman" w:cs="Times New Roman"/>
          <w:sz w:val="26"/>
          <w:szCs w:val="26"/>
        </w:rPr>
        <w:t xml:space="preserve">.  </w:t>
      </w:r>
    </w:p>
    <w:p w14:paraId="490A8647" w14:textId="77777777" w:rsidR="0081540D" w:rsidRPr="00EE5714" w:rsidRDefault="0081540D" w:rsidP="00863EFE">
      <w:pPr>
        <w:spacing w:after="0" w:line="240" w:lineRule="auto"/>
        <w:ind w:firstLine="720"/>
        <w:rPr>
          <w:rFonts w:ascii="Times New Roman" w:hAnsi="Times New Roman" w:cs="Times New Roman"/>
          <w:sz w:val="26"/>
          <w:szCs w:val="26"/>
        </w:rPr>
      </w:pPr>
    </w:p>
    <w:p w14:paraId="33CE318D" w14:textId="77777777" w:rsidR="005B5C1E" w:rsidRPr="00EE5714" w:rsidRDefault="005B5C1E" w:rsidP="005D2796">
      <w:pPr>
        <w:keepNext/>
        <w:spacing w:after="0" w:line="240" w:lineRule="auto"/>
        <w:rPr>
          <w:rFonts w:ascii="Times New Roman" w:hAnsi="Times New Roman" w:cs="Times New Roman"/>
          <w:i/>
          <w:iCs/>
          <w:sz w:val="26"/>
          <w:szCs w:val="26"/>
        </w:rPr>
      </w:pPr>
      <w:r w:rsidRPr="00EE5714">
        <w:rPr>
          <w:rFonts w:ascii="Times New Roman" w:hAnsi="Times New Roman" w:cs="Times New Roman"/>
          <w:i/>
          <w:iCs/>
          <w:sz w:val="26"/>
          <w:szCs w:val="26"/>
        </w:rPr>
        <w:t>Energy Burden Model</w:t>
      </w:r>
    </w:p>
    <w:p w14:paraId="084FCD4F" w14:textId="77777777" w:rsidR="00D70C12" w:rsidRPr="00EE5714" w:rsidRDefault="00D70C12" w:rsidP="00D70C12">
      <w:pPr>
        <w:keepNext/>
        <w:spacing w:after="0" w:line="240" w:lineRule="auto"/>
        <w:ind w:firstLine="720"/>
        <w:rPr>
          <w:rFonts w:ascii="Times New Roman" w:hAnsi="Times New Roman" w:cs="Times New Roman"/>
          <w:sz w:val="26"/>
          <w:szCs w:val="26"/>
        </w:rPr>
      </w:pPr>
    </w:p>
    <w:p w14:paraId="7884166E" w14:textId="19D0A21D" w:rsidR="005B5C1E" w:rsidRPr="00EE5714" w:rsidRDefault="0059178A" w:rsidP="002F508A">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Staff developed</w:t>
      </w:r>
      <w:r w:rsidR="005B5C1E" w:rsidRPr="00EE5714">
        <w:rPr>
          <w:rFonts w:ascii="Times New Roman" w:hAnsi="Times New Roman" w:cs="Times New Roman"/>
          <w:sz w:val="26"/>
          <w:szCs w:val="26"/>
        </w:rPr>
        <w:t xml:space="preserve"> a model that estimates the incremental costs to </w:t>
      </w:r>
      <w:r w:rsidRPr="00EE5714">
        <w:rPr>
          <w:rFonts w:ascii="Times New Roman" w:hAnsi="Times New Roman" w:cs="Times New Roman"/>
          <w:sz w:val="26"/>
          <w:szCs w:val="26"/>
        </w:rPr>
        <w:t>a</w:t>
      </w:r>
      <w:r w:rsidR="005B5C1E" w:rsidRPr="00EE5714">
        <w:rPr>
          <w:rFonts w:ascii="Times New Roman" w:hAnsi="Times New Roman" w:cs="Times New Roman"/>
          <w:sz w:val="26"/>
          <w:szCs w:val="26"/>
        </w:rPr>
        <w:t xml:space="preserve"> CAP if energy burden</w:t>
      </w:r>
      <w:r w:rsidR="001C5734" w:rsidRPr="00EE5714">
        <w:rPr>
          <w:rFonts w:ascii="Times New Roman" w:hAnsi="Times New Roman" w:cs="Times New Roman"/>
          <w:sz w:val="26"/>
          <w:szCs w:val="26"/>
        </w:rPr>
        <w:t>s</w:t>
      </w:r>
      <w:r w:rsidR="005B5C1E"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are adjusted.  </w:t>
      </w:r>
      <w:r w:rsidR="001B072D" w:rsidRPr="00EE5714">
        <w:rPr>
          <w:rFonts w:ascii="Times New Roman" w:hAnsi="Times New Roman" w:cs="Times New Roman"/>
          <w:sz w:val="26"/>
          <w:szCs w:val="26"/>
        </w:rPr>
        <w:t>As noted earlier, most of Pennsylvania’s neighboring states use lower maximum energy burden</w:t>
      </w:r>
      <w:r w:rsidR="00EC1DF6" w:rsidRPr="00EE5714">
        <w:rPr>
          <w:rFonts w:ascii="Times New Roman" w:hAnsi="Times New Roman" w:cs="Times New Roman"/>
          <w:sz w:val="26"/>
          <w:szCs w:val="26"/>
        </w:rPr>
        <w:t>s</w:t>
      </w:r>
      <w:r w:rsidR="001B072D" w:rsidRPr="00EE5714">
        <w:rPr>
          <w:rFonts w:ascii="Times New Roman" w:hAnsi="Times New Roman" w:cs="Times New Roman"/>
          <w:sz w:val="26"/>
          <w:szCs w:val="26"/>
        </w:rPr>
        <w:t xml:space="preserve">.  Ohio has a maximum energy burden of 10%, New York and New Jersey have maximums of 6%.  </w:t>
      </w:r>
      <w:r w:rsidR="00926BB3" w:rsidRPr="00EE5714">
        <w:rPr>
          <w:rFonts w:ascii="Times New Roman" w:hAnsi="Times New Roman" w:cs="Times New Roman"/>
          <w:sz w:val="26"/>
          <w:szCs w:val="26"/>
        </w:rPr>
        <w:t xml:space="preserve">For comparison purposes, staff projected the impact to Pennsylvania’s CAP costs </w:t>
      </w:r>
      <w:r w:rsidR="002A7DE0" w:rsidRPr="00EE5714">
        <w:rPr>
          <w:rFonts w:ascii="Times New Roman" w:hAnsi="Times New Roman" w:cs="Times New Roman"/>
          <w:sz w:val="26"/>
          <w:szCs w:val="26"/>
        </w:rPr>
        <w:t xml:space="preserve">as </w:t>
      </w:r>
      <w:r w:rsidR="00926BB3" w:rsidRPr="00EE5714">
        <w:rPr>
          <w:rFonts w:ascii="Times New Roman" w:hAnsi="Times New Roman" w:cs="Times New Roman"/>
          <w:sz w:val="26"/>
          <w:szCs w:val="26"/>
        </w:rPr>
        <w:t xml:space="preserve">if it adopted Ohio’s 10% maximum energy burden based on </w:t>
      </w:r>
      <w:r w:rsidRPr="00EE5714">
        <w:rPr>
          <w:rFonts w:ascii="Times New Roman" w:hAnsi="Times New Roman" w:cs="Times New Roman"/>
          <w:sz w:val="26"/>
          <w:szCs w:val="26"/>
        </w:rPr>
        <w:t xml:space="preserve">the following levels: </w:t>
      </w:r>
      <w:r w:rsidR="005B5C1E" w:rsidRPr="00EE5714">
        <w:rPr>
          <w:rFonts w:ascii="Times New Roman" w:hAnsi="Times New Roman" w:cs="Times New Roman"/>
          <w:sz w:val="26"/>
          <w:szCs w:val="26"/>
        </w:rPr>
        <w:t xml:space="preserve">10% for </w:t>
      </w:r>
      <w:r w:rsidR="00C003B1" w:rsidRPr="00EE5714">
        <w:rPr>
          <w:rFonts w:ascii="Times New Roman" w:hAnsi="Times New Roman" w:cs="Times New Roman"/>
          <w:sz w:val="26"/>
          <w:szCs w:val="26"/>
        </w:rPr>
        <w:t>e</w:t>
      </w:r>
      <w:r w:rsidR="005B5C1E" w:rsidRPr="00EE5714">
        <w:rPr>
          <w:rFonts w:ascii="Times New Roman" w:hAnsi="Times New Roman" w:cs="Times New Roman"/>
          <w:sz w:val="26"/>
          <w:szCs w:val="26"/>
        </w:rPr>
        <w:t xml:space="preserve">lectric </w:t>
      </w:r>
      <w:r w:rsidR="00C003B1" w:rsidRPr="00EE5714">
        <w:rPr>
          <w:rFonts w:ascii="Times New Roman" w:hAnsi="Times New Roman" w:cs="Times New Roman"/>
          <w:sz w:val="26"/>
          <w:szCs w:val="26"/>
        </w:rPr>
        <w:t>h</w:t>
      </w:r>
      <w:r w:rsidR="005B5C1E" w:rsidRPr="00EE5714">
        <w:rPr>
          <w:rFonts w:ascii="Times New Roman" w:hAnsi="Times New Roman" w:cs="Times New Roman"/>
          <w:sz w:val="26"/>
          <w:szCs w:val="26"/>
        </w:rPr>
        <w:t xml:space="preserve">eating </w:t>
      </w:r>
      <w:r w:rsidR="00084FB9" w:rsidRPr="00EE5714">
        <w:rPr>
          <w:rFonts w:ascii="Times New Roman" w:hAnsi="Times New Roman" w:cs="Times New Roman"/>
          <w:sz w:val="26"/>
          <w:szCs w:val="26"/>
        </w:rPr>
        <w:t>a</w:t>
      </w:r>
      <w:r w:rsidR="005B5C1E" w:rsidRPr="00EE5714">
        <w:rPr>
          <w:rFonts w:ascii="Times New Roman" w:hAnsi="Times New Roman" w:cs="Times New Roman"/>
          <w:sz w:val="26"/>
          <w:szCs w:val="26"/>
        </w:rPr>
        <w:t xml:space="preserve">ccounts, 4% for </w:t>
      </w:r>
      <w:r w:rsidR="002A0FFE" w:rsidRPr="00EE5714">
        <w:rPr>
          <w:rFonts w:ascii="Times New Roman" w:hAnsi="Times New Roman" w:cs="Times New Roman"/>
          <w:sz w:val="26"/>
          <w:szCs w:val="26"/>
        </w:rPr>
        <w:t>e</w:t>
      </w:r>
      <w:r w:rsidR="005B5C1E" w:rsidRPr="00EE5714">
        <w:rPr>
          <w:rFonts w:ascii="Times New Roman" w:hAnsi="Times New Roman" w:cs="Times New Roman"/>
          <w:sz w:val="26"/>
          <w:szCs w:val="26"/>
        </w:rPr>
        <w:t xml:space="preserve">lectric </w:t>
      </w:r>
      <w:r w:rsidR="00084FB9" w:rsidRPr="00EE5714">
        <w:rPr>
          <w:rFonts w:ascii="Times New Roman" w:hAnsi="Times New Roman" w:cs="Times New Roman"/>
          <w:sz w:val="26"/>
          <w:szCs w:val="26"/>
        </w:rPr>
        <w:t>n</w:t>
      </w:r>
      <w:r w:rsidR="005B5C1E" w:rsidRPr="00EE5714">
        <w:rPr>
          <w:rFonts w:ascii="Times New Roman" w:hAnsi="Times New Roman" w:cs="Times New Roman"/>
          <w:sz w:val="26"/>
          <w:szCs w:val="26"/>
        </w:rPr>
        <w:t>on-</w:t>
      </w:r>
      <w:r w:rsidR="00084FB9" w:rsidRPr="00EE5714">
        <w:rPr>
          <w:rFonts w:ascii="Times New Roman" w:hAnsi="Times New Roman" w:cs="Times New Roman"/>
          <w:sz w:val="26"/>
          <w:szCs w:val="26"/>
        </w:rPr>
        <w:t>h</w:t>
      </w:r>
      <w:r w:rsidR="005B5C1E" w:rsidRPr="00EE5714">
        <w:rPr>
          <w:rFonts w:ascii="Times New Roman" w:hAnsi="Times New Roman" w:cs="Times New Roman"/>
          <w:sz w:val="26"/>
          <w:szCs w:val="26"/>
        </w:rPr>
        <w:t xml:space="preserve">eating </w:t>
      </w:r>
      <w:r w:rsidR="00084FB9" w:rsidRPr="00EE5714">
        <w:rPr>
          <w:rFonts w:ascii="Times New Roman" w:hAnsi="Times New Roman" w:cs="Times New Roman"/>
          <w:sz w:val="26"/>
          <w:szCs w:val="26"/>
        </w:rPr>
        <w:t>a</w:t>
      </w:r>
      <w:r w:rsidR="005B5C1E" w:rsidRPr="00EE5714">
        <w:rPr>
          <w:rFonts w:ascii="Times New Roman" w:hAnsi="Times New Roman" w:cs="Times New Roman"/>
          <w:sz w:val="26"/>
          <w:szCs w:val="26"/>
        </w:rPr>
        <w:t>ccounts</w:t>
      </w:r>
      <w:r w:rsidR="00084FB9" w:rsidRPr="00EE5714">
        <w:rPr>
          <w:rFonts w:ascii="Times New Roman" w:hAnsi="Times New Roman" w:cs="Times New Roman"/>
          <w:sz w:val="26"/>
          <w:szCs w:val="26"/>
        </w:rPr>
        <w:t>, and 6% for gas heating accounts</w:t>
      </w:r>
      <w:r w:rsidR="005B5C1E" w:rsidRPr="00EE5714">
        <w:rPr>
          <w:rFonts w:ascii="Times New Roman" w:hAnsi="Times New Roman" w:cs="Times New Roman"/>
          <w:sz w:val="26"/>
          <w:szCs w:val="26"/>
        </w:rPr>
        <w:t>.</w:t>
      </w:r>
    </w:p>
    <w:p w14:paraId="7E5D65C7" w14:textId="77777777" w:rsidR="00C50245" w:rsidRPr="00EE5714" w:rsidRDefault="00C50245" w:rsidP="00425F0C">
      <w:pPr>
        <w:spacing w:after="0" w:line="240" w:lineRule="auto"/>
        <w:rPr>
          <w:rFonts w:ascii="Times New Roman" w:hAnsi="Times New Roman" w:cs="Times New Roman"/>
          <w:sz w:val="26"/>
          <w:szCs w:val="26"/>
        </w:rPr>
      </w:pPr>
    </w:p>
    <w:p w14:paraId="6016922E" w14:textId="77777777" w:rsidR="005B5C1E" w:rsidRPr="00EE5714" w:rsidRDefault="005B5C1E" w:rsidP="002F508A">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This model is based on the data collected from the </w:t>
      </w:r>
      <w:r w:rsidR="002467E5" w:rsidRPr="00EE5714">
        <w:rPr>
          <w:rFonts w:ascii="Times New Roman" w:hAnsi="Times New Roman" w:cs="Times New Roman"/>
          <w:sz w:val="26"/>
          <w:szCs w:val="26"/>
        </w:rPr>
        <w:t>utilities</w:t>
      </w:r>
      <w:r w:rsidRPr="00EE5714">
        <w:rPr>
          <w:rFonts w:ascii="Times New Roman" w:hAnsi="Times New Roman" w:cs="Times New Roman"/>
          <w:sz w:val="26"/>
          <w:szCs w:val="26"/>
        </w:rPr>
        <w:t xml:space="preserve"> for this report from 2012</w:t>
      </w:r>
      <w:r w:rsidR="00996C0C"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2016. </w:t>
      </w:r>
      <w:r w:rsidR="00C50245" w:rsidRPr="00EE5714">
        <w:rPr>
          <w:rFonts w:ascii="Times New Roman" w:hAnsi="Times New Roman" w:cs="Times New Roman"/>
          <w:sz w:val="26"/>
          <w:szCs w:val="26"/>
        </w:rPr>
        <w:t xml:space="preserve"> </w:t>
      </w:r>
      <w:r w:rsidRPr="00EE5714">
        <w:rPr>
          <w:rFonts w:ascii="Times New Roman" w:hAnsi="Times New Roman" w:cs="Times New Roman"/>
          <w:sz w:val="26"/>
          <w:szCs w:val="26"/>
        </w:rPr>
        <w:t>The components</w:t>
      </w:r>
      <w:r w:rsidRPr="00EE5714" w:rsidDel="00996C0C">
        <w:rPr>
          <w:rFonts w:ascii="Times New Roman" w:hAnsi="Times New Roman" w:cs="Times New Roman"/>
          <w:sz w:val="26"/>
          <w:szCs w:val="26"/>
        </w:rPr>
        <w:t xml:space="preserve"> </w:t>
      </w:r>
      <w:r w:rsidRPr="00EE5714">
        <w:rPr>
          <w:rFonts w:ascii="Times New Roman" w:hAnsi="Times New Roman" w:cs="Times New Roman"/>
          <w:sz w:val="26"/>
          <w:szCs w:val="26"/>
        </w:rPr>
        <w:t>used included the 2012</w:t>
      </w:r>
      <w:r w:rsidR="001A560E"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2016 calculated energy burdens by </w:t>
      </w:r>
      <w:r w:rsidR="00E5578E" w:rsidRPr="00EE5714">
        <w:rPr>
          <w:rFonts w:ascii="Times New Roman" w:hAnsi="Times New Roman" w:cs="Times New Roman"/>
          <w:sz w:val="26"/>
          <w:szCs w:val="26"/>
        </w:rPr>
        <w:t xml:space="preserve">FPIG </w:t>
      </w:r>
      <w:r w:rsidRPr="00EE5714">
        <w:rPr>
          <w:rFonts w:ascii="Times New Roman" w:hAnsi="Times New Roman" w:cs="Times New Roman"/>
          <w:sz w:val="26"/>
          <w:szCs w:val="26"/>
        </w:rPr>
        <w:t>level for each utility, the 2012</w:t>
      </w:r>
      <w:r w:rsidR="001A560E" w:rsidRPr="00EE5714">
        <w:rPr>
          <w:rFonts w:ascii="Times New Roman" w:hAnsi="Times New Roman" w:cs="Times New Roman"/>
          <w:sz w:val="26"/>
          <w:szCs w:val="26"/>
        </w:rPr>
        <w:t xml:space="preserve"> to </w:t>
      </w:r>
      <w:r w:rsidRPr="00EE5714">
        <w:rPr>
          <w:rFonts w:ascii="Times New Roman" w:hAnsi="Times New Roman" w:cs="Times New Roman"/>
          <w:sz w:val="26"/>
          <w:szCs w:val="26"/>
        </w:rPr>
        <w:t>2016 average annual CAP bill amounts, the 2012</w:t>
      </w:r>
      <w:r w:rsidR="001A560E" w:rsidRPr="00EE5714">
        <w:rPr>
          <w:rFonts w:ascii="Times New Roman" w:hAnsi="Times New Roman" w:cs="Times New Roman"/>
          <w:sz w:val="26"/>
          <w:szCs w:val="26"/>
        </w:rPr>
        <w:t xml:space="preserve"> to </w:t>
      </w:r>
      <w:r w:rsidRPr="00EE5714">
        <w:rPr>
          <w:rFonts w:ascii="Times New Roman" w:hAnsi="Times New Roman" w:cs="Times New Roman"/>
          <w:sz w:val="26"/>
          <w:szCs w:val="26"/>
        </w:rPr>
        <w:t>2016 average annual CAP customer income</w:t>
      </w:r>
      <w:r w:rsidR="0055271D" w:rsidRPr="00EE5714">
        <w:rPr>
          <w:rFonts w:ascii="Times New Roman" w:hAnsi="Times New Roman" w:cs="Times New Roman"/>
          <w:sz w:val="26"/>
          <w:szCs w:val="26"/>
        </w:rPr>
        <w:t>,</w:t>
      </w:r>
      <w:r w:rsidRPr="00EE5714">
        <w:rPr>
          <w:rFonts w:ascii="Times New Roman" w:hAnsi="Times New Roman" w:cs="Times New Roman"/>
          <w:sz w:val="26"/>
          <w:szCs w:val="26"/>
        </w:rPr>
        <w:t xml:space="preserve"> and the 2012</w:t>
      </w:r>
      <w:r w:rsidR="001A560E" w:rsidRPr="00EE5714">
        <w:rPr>
          <w:rFonts w:ascii="Times New Roman" w:hAnsi="Times New Roman" w:cs="Times New Roman"/>
          <w:sz w:val="26"/>
          <w:szCs w:val="26"/>
        </w:rPr>
        <w:t xml:space="preserve"> to </w:t>
      </w:r>
      <w:r w:rsidRPr="00EE5714">
        <w:rPr>
          <w:rFonts w:ascii="Times New Roman" w:hAnsi="Times New Roman" w:cs="Times New Roman"/>
          <w:sz w:val="26"/>
          <w:szCs w:val="26"/>
        </w:rPr>
        <w:t>2016 average annual number of CAP accounts billed.</w:t>
      </w:r>
    </w:p>
    <w:p w14:paraId="5CF2D789" w14:textId="77777777" w:rsidR="001F5390" w:rsidRPr="00EE5714" w:rsidRDefault="001F5390" w:rsidP="002F508A">
      <w:pPr>
        <w:spacing w:after="0" w:line="240" w:lineRule="auto"/>
        <w:ind w:firstLine="720"/>
        <w:rPr>
          <w:rFonts w:ascii="Times New Roman" w:hAnsi="Times New Roman" w:cs="Times New Roman"/>
          <w:sz w:val="26"/>
          <w:szCs w:val="26"/>
        </w:rPr>
      </w:pPr>
    </w:p>
    <w:p w14:paraId="6B438107" w14:textId="63FA4ECB" w:rsidR="001F5390" w:rsidRPr="00EE5714" w:rsidRDefault="001F5390" w:rsidP="001F5390">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Staff did not incorporate any national energy prices</w:t>
      </w:r>
      <w:r w:rsidRPr="00EE5714">
        <w:rPr>
          <w:rStyle w:val="FootnoteReference"/>
          <w:rFonts w:ascii="Times New Roman" w:hAnsi="Times New Roman" w:cs="Times New Roman"/>
          <w:sz w:val="26"/>
          <w:szCs w:val="26"/>
        </w:rPr>
        <w:footnoteReference w:id="91"/>
      </w:r>
      <w:r w:rsidRPr="00EE5714">
        <w:rPr>
          <w:rFonts w:ascii="Times New Roman" w:hAnsi="Times New Roman" w:cs="Times New Roman"/>
          <w:sz w:val="26"/>
          <w:szCs w:val="26"/>
        </w:rPr>
        <w:t xml:space="preserve"> or usage forecasts into the model, as that data would be outdated by the time this report is released.  Staff has, however, included a summary table and links to the most recent NGDC and EDC forecasts, published in their respective reports on the PUC website.</w:t>
      </w:r>
      <w:r w:rsidR="000F50B5" w:rsidRPr="00EE5714">
        <w:rPr>
          <w:rStyle w:val="FootnoteReference"/>
          <w:rFonts w:ascii="Times New Roman" w:hAnsi="Times New Roman" w:cs="Times New Roman"/>
          <w:sz w:val="26"/>
          <w:szCs w:val="26"/>
        </w:rPr>
        <w:footnoteReference w:id="92"/>
      </w:r>
    </w:p>
    <w:p w14:paraId="14ADAC39" w14:textId="38FE9121" w:rsidR="009B7466" w:rsidRPr="00EE5714" w:rsidRDefault="009B7466" w:rsidP="001F5390">
      <w:pPr>
        <w:spacing w:after="0" w:line="240" w:lineRule="auto"/>
        <w:ind w:firstLine="720"/>
        <w:rPr>
          <w:rFonts w:ascii="Times New Roman" w:hAnsi="Times New Roman" w:cs="Times New Roman"/>
          <w:sz w:val="26"/>
          <w:szCs w:val="26"/>
        </w:rPr>
      </w:pPr>
    </w:p>
    <w:p w14:paraId="19127682" w14:textId="3D288A14" w:rsidR="009B7466" w:rsidRPr="00EE5714" w:rsidRDefault="009B7466" w:rsidP="001F5390">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Additionally, </w:t>
      </w:r>
      <w:r w:rsidR="00034703" w:rsidRPr="00EE5714">
        <w:rPr>
          <w:rFonts w:ascii="Times New Roman" w:hAnsi="Times New Roman" w:cs="Times New Roman"/>
          <w:sz w:val="26"/>
          <w:szCs w:val="26"/>
        </w:rPr>
        <w:t xml:space="preserve">staff’s </w:t>
      </w:r>
      <w:r w:rsidRPr="00EE5714">
        <w:rPr>
          <w:rFonts w:ascii="Times New Roman" w:hAnsi="Times New Roman" w:cs="Times New Roman"/>
          <w:color w:val="0D0D0D" w:themeColor="text1" w:themeTint="F2"/>
          <w:sz w:val="26"/>
          <w:szCs w:val="26"/>
        </w:rPr>
        <w:t>energy burden model does not take into consideration: (1) any possible reductions in CAP costs if some CAP customers are required to pay more at the selected energy burdens; (2) whether rate discount pricing might be better for some CAP customers; (3) CAP costs borne by PGW’s non-residential ratepayers; (4) utility CAP credit limits; (5) system/administrative costs associated with adopting new energy burdens; and (6) factors specific to each utility</w:t>
      </w:r>
      <w:r w:rsidR="006E5D8C" w:rsidRPr="00EE5714">
        <w:rPr>
          <w:rFonts w:ascii="Times New Roman" w:hAnsi="Times New Roman" w:cs="Times New Roman"/>
          <w:color w:val="0D0D0D" w:themeColor="text1" w:themeTint="F2"/>
          <w:sz w:val="26"/>
          <w:szCs w:val="26"/>
        </w:rPr>
        <w:t>.</w:t>
      </w:r>
    </w:p>
    <w:p w14:paraId="17B9D6B7" w14:textId="77777777" w:rsidR="00EB48EC" w:rsidRPr="00EE5714" w:rsidRDefault="00EB48EC" w:rsidP="002F508A">
      <w:pPr>
        <w:spacing w:after="0" w:line="240" w:lineRule="auto"/>
        <w:ind w:firstLine="720"/>
        <w:rPr>
          <w:rFonts w:ascii="Times New Roman" w:hAnsi="Times New Roman" w:cs="Times New Roman"/>
          <w:sz w:val="26"/>
          <w:szCs w:val="26"/>
        </w:rPr>
      </w:pPr>
    </w:p>
    <w:p w14:paraId="4F6EF6FB" w14:textId="77777777" w:rsidR="00BD2F75" w:rsidRPr="00EE5714" w:rsidRDefault="005B5C1E" w:rsidP="002F508A">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The</w:t>
      </w:r>
      <w:r w:rsidRPr="00EE5714" w:rsidDel="009E37FC">
        <w:rPr>
          <w:rFonts w:ascii="Times New Roman" w:hAnsi="Times New Roman" w:cs="Times New Roman"/>
          <w:sz w:val="26"/>
          <w:szCs w:val="26"/>
        </w:rPr>
        <w:t xml:space="preserve"> </w:t>
      </w:r>
      <w:r w:rsidR="009E37FC" w:rsidRPr="00EE5714">
        <w:rPr>
          <w:rFonts w:ascii="Times New Roman" w:hAnsi="Times New Roman" w:cs="Times New Roman"/>
          <w:sz w:val="26"/>
          <w:szCs w:val="26"/>
        </w:rPr>
        <w:t xml:space="preserve">average </w:t>
      </w:r>
      <w:r w:rsidRPr="00EE5714">
        <w:rPr>
          <w:rFonts w:ascii="Times New Roman" w:hAnsi="Times New Roman" w:cs="Times New Roman"/>
          <w:sz w:val="26"/>
          <w:szCs w:val="26"/>
        </w:rPr>
        <w:t>energy burden</w:t>
      </w:r>
      <w:r w:rsidR="001C5734" w:rsidRPr="00EE5714">
        <w:rPr>
          <w:rFonts w:ascii="Times New Roman" w:hAnsi="Times New Roman" w:cs="Times New Roman"/>
          <w:sz w:val="26"/>
          <w:szCs w:val="26"/>
        </w:rPr>
        <w:t>s</w:t>
      </w:r>
      <w:r w:rsidRPr="00EE5714">
        <w:rPr>
          <w:rFonts w:ascii="Times New Roman" w:hAnsi="Times New Roman" w:cs="Times New Roman"/>
          <w:sz w:val="26"/>
          <w:szCs w:val="26"/>
        </w:rPr>
        <w:t xml:space="preserve"> </w:t>
      </w:r>
      <w:r w:rsidR="009E37FC" w:rsidRPr="00EE5714">
        <w:rPr>
          <w:rFonts w:ascii="Times New Roman" w:hAnsi="Times New Roman" w:cs="Times New Roman"/>
          <w:sz w:val="26"/>
          <w:szCs w:val="26"/>
        </w:rPr>
        <w:t xml:space="preserve">during the study </w:t>
      </w:r>
      <w:r w:rsidR="00323722" w:rsidRPr="00EE5714">
        <w:rPr>
          <w:rFonts w:ascii="Times New Roman" w:hAnsi="Times New Roman" w:cs="Times New Roman"/>
          <w:sz w:val="26"/>
          <w:szCs w:val="26"/>
        </w:rPr>
        <w:t>period</w:t>
      </w:r>
      <w:r w:rsidRPr="00EE5714">
        <w:rPr>
          <w:rFonts w:ascii="Times New Roman" w:hAnsi="Times New Roman" w:cs="Times New Roman"/>
          <w:sz w:val="26"/>
          <w:szCs w:val="26"/>
        </w:rPr>
        <w:t xml:space="preserve"> were calculated by dividing the average annual CAP bill by the average annual CAP income. </w:t>
      </w:r>
      <w:r w:rsidR="0055271D" w:rsidRPr="00EE5714">
        <w:rPr>
          <w:rFonts w:ascii="Times New Roman" w:hAnsi="Times New Roman" w:cs="Times New Roman"/>
          <w:sz w:val="26"/>
          <w:szCs w:val="26"/>
        </w:rPr>
        <w:t xml:space="preserve"> </w:t>
      </w:r>
      <w:r w:rsidR="006E5FE3" w:rsidRPr="00EE5714">
        <w:rPr>
          <w:rFonts w:ascii="Times New Roman" w:hAnsi="Times New Roman" w:cs="Times New Roman"/>
          <w:sz w:val="26"/>
          <w:szCs w:val="26"/>
        </w:rPr>
        <w:t>N</w:t>
      </w:r>
      <w:r w:rsidRPr="00EE5714">
        <w:rPr>
          <w:rFonts w:ascii="Times New Roman" w:hAnsi="Times New Roman" w:cs="Times New Roman"/>
          <w:sz w:val="26"/>
          <w:szCs w:val="26"/>
        </w:rPr>
        <w:t xml:space="preserve">ew average annual CAP bills (by </w:t>
      </w:r>
      <w:r w:rsidR="00323722" w:rsidRPr="00EE5714">
        <w:rPr>
          <w:rFonts w:ascii="Times New Roman" w:hAnsi="Times New Roman" w:cs="Times New Roman"/>
          <w:sz w:val="26"/>
          <w:szCs w:val="26"/>
        </w:rPr>
        <w:t xml:space="preserve">FPIG </w:t>
      </w:r>
      <w:r w:rsidRPr="00EE5714">
        <w:rPr>
          <w:rFonts w:ascii="Times New Roman" w:hAnsi="Times New Roman" w:cs="Times New Roman"/>
          <w:sz w:val="26"/>
          <w:szCs w:val="26"/>
        </w:rPr>
        <w:t xml:space="preserve">level), </w:t>
      </w:r>
      <w:r w:rsidR="0019269D" w:rsidRPr="00EE5714">
        <w:rPr>
          <w:rFonts w:ascii="Times New Roman" w:hAnsi="Times New Roman" w:cs="Times New Roman"/>
          <w:sz w:val="26"/>
          <w:szCs w:val="26"/>
        </w:rPr>
        <w:t>tied</w:t>
      </w:r>
      <w:r w:rsidRPr="00EE5714">
        <w:rPr>
          <w:rFonts w:ascii="Times New Roman" w:hAnsi="Times New Roman" w:cs="Times New Roman"/>
          <w:sz w:val="26"/>
          <w:szCs w:val="26"/>
        </w:rPr>
        <w:t xml:space="preserve"> to a percent of income, </w:t>
      </w:r>
      <w:r w:rsidR="006E5FE3" w:rsidRPr="00EE5714">
        <w:rPr>
          <w:rFonts w:ascii="Times New Roman" w:hAnsi="Times New Roman" w:cs="Times New Roman"/>
          <w:sz w:val="26"/>
          <w:szCs w:val="26"/>
        </w:rPr>
        <w:t xml:space="preserve">were calculated </w:t>
      </w:r>
      <w:r w:rsidRPr="00EE5714">
        <w:rPr>
          <w:rFonts w:ascii="Times New Roman" w:hAnsi="Times New Roman" w:cs="Times New Roman"/>
          <w:sz w:val="26"/>
          <w:szCs w:val="26"/>
        </w:rPr>
        <w:t xml:space="preserve">using average annual CAP income. </w:t>
      </w:r>
      <w:r w:rsidR="0055271D"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 </w:t>
      </w:r>
      <w:r w:rsidR="00B32915" w:rsidRPr="00EE5714">
        <w:rPr>
          <w:rFonts w:ascii="Times New Roman" w:hAnsi="Times New Roman" w:cs="Times New Roman"/>
          <w:sz w:val="26"/>
          <w:szCs w:val="26"/>
        </w:rPr>
        <w:t xml:space="preserve"> </w:t>
      </w:r>
    </w:p>
    <w:p w14:paraId="6F05E67A" w14:textId="77777777" w:rsidR="00BD2F75" w:rsidRPr="00EE5714" w:rsidRDefault="00BD2F75" w:rsidP="002F508A">
      <w:pPr>
        <w:spacing w:after="0" w:line="240" w:lineRule="auto"/>
        <w:ind w:firstLine="720"/>
        <w:rPr>
          <w:rFonts w:ascii="Times New Roman" w:hAnsi="Times New Roman" w:cs="Times New Roman"/>
          <w:sz w:val="26"/>
          <w:szCs w:val="26"/>
        </w:rPr>
      </w:pPr>
    </w:p>
    <w:p w14:paraId="5067DAB8" w14:textId="77777777" w:rsidR="005B5C1E" w:rsidRPr="00EE5714" w:rsidRDefault="00BD2F75" w:rsidP="002F508A">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Staff used Columbia Gas </w:t>
      </w:r>
      <w:r w:rsidR="0001041D" w:rsidRPr="00EE5714">
        <w:rPr>
          <w:rFonts w:ascii="Times New Roman" w:hAnsi="Times New Roman" w:cs="Times New Roman"/>
          <w:sz w:val="26"/>
          <w:szCs w:val="26"/>
        </w:rPr>
        <w:t xml:space="preserve">data </w:t>
      </w:r>
      <w:r w:rsidRPr="00EE5714">
        <w:rPr>
          <w:rFonts w:ascii="Times New Roman" w:hAnsi="Times New Roman" w:cs="Times New Roman"/>
          <w:sz w:val="26"/>
          <w:szCs w:val="26"/>
        </w:rPr>
        <w:t xml:space="preserve">to demonstrate this energy burden model.  </w:t>
      </w:r>
      <w:r w:rsidR="005B5C1E" w:rsidRPr="00EE5714">
        <w:rPr>
          <w:rFonts w:ascii="Times New Roman" w:hAnsi="Times New Roman" w:cs="Times New Roman"/>
          <w:sz w:val="26"/>
          <w:szCs w:val="26"/>
        </w:rPr>
        <w:t>Dollar amounts and numbers may have been rounded to nearest whole amounts for the following example</w:t>
      </w:r>
      <w:r w:rsidR="00914AAC" w:rsidRPr="00EE5714">
        <w:rPr>
          <w:rFonts w:ascii="Times New Roman" w:hAnsi="Times New Roman" w:cs="Times New Roman"/>
          <w:sz w:val="26"/>
          <w:szCs w:val="26"/>
        </w:rPr>
        <w:t>:</w:t>
      </w:r>
      <w:r w:rsidR="005B5C1E" w:rsidRPr="00EE5714">
        <w:rPr>
          <w:rFonts w:ascii="Times New Roman" w:hAnsi="Times New Roman" w:cs="Times New Roman"/>
          <w:sz w:val="26"/>
          <w:szCs w:val="26"/>
        </w:rPr>
        <w:t xml:space="preserve">  </w:t>
      </w:r>
    </w:p>
    <w:p w14:paraId="3B3E9D2F" w14:textId="77777777" w:rsidR="00EB48EC" w:rsidRPr="00EE5714" w:rsidRDefault="00EB48EC" w:rsidP="00120E0A">
      <w:pPr>
        <w:spacing w:after="0" w:line="240" w:lineRule="auto"/>
        <w:rPr>
          <w:rFonts w:ascii="Times New Roman" w:hAnsi="Times New Roman" w:cs="Times New Roman"/>
          <w:sz w:val="26"/>
          <w:szCs w:val="26"/>
        </w:rPr>
      </w:pPr>
    </w:p>
    <w:p w14:paraId="6C20F3D5" w14:textId="77777777" w:rsidR="005B5C1E" w:rsidRPr="00EE5714" w:rsidRDefault="00914AAC" w:rsidP="005D2796">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Step</w:t>
      </w:r>
      <w:r w:rsidR="003B4543" w:rsidRPr="00EE5714">
        <w:rPr>
          <w:rFonts w:ascii="Times New Roman" w:hAnsi="Times New Roman" w:cs="Times New Roman"/>
          <w:b/>
          <w:bCs/>
          <w:sz w:val="26"/>
          <w:szCs w:val="26"/>
        </w:rPr>
        <w:t xml:space="preserve"> 1</w:t>
      </w:r>
      <w:r w:rsidR="005B5C1E" w:rsidRPr="00EE5714">
        <w:rPr>
          <w:rFonts w:ascii="Times New Roman" w:hAnsi="Times New Roman" w:cs="Times New Roman"/>
          <w:b/>
          <w:bCs/>
          <w:sz w:val="26"/>
          <w:szCs w:val="26"/>
        </w:rPr>
        <w:t xml:space="preserve">: Columbia Gas’ Average Annual CAP Bill by </w:t>
      </w:r>
      <w:r w:rsidR="00094DF1" w:rsidRPr="00EE5714">
        <w:rPr>
          <w:rFonts w:ascii="Times New Roman" w:hAnsi="Times New Roman" w:cs="Times New Roman"/>
          <w:b/>
          <w:bCs/>
          <w:sz w:val="26"/>
          <w:szCs w:val="26"/>
        </w:rPr>
        <w:t>FPIG</w:t>
      </w:r>
      <w:r w:rsidR="00AE7B6A" w:rsidRPr="00EE5714">
        <w:rPr>
          <w:rFonts w:ascii="Times New Roman" w:hAnsi="Times New Roman" w:cs="Times New Roman"/>
          <w:b/>
          <w:bCs/>
          <w:sz w:val="26"/>
          <w:szCs w:val="26"/>
        </w:rPr>
        <w:t xml:space="preserve"> Level</w:t>
      </w:r>
    </w:p>
    <w:p w14:paraId="47371176" w14:textId="77777777" w:rsidR="001E2526" w:rsidRPr="00EE5714" w:rsidRDefault="001E2526" w:rsidP="005D2796">
      <w:pPr>
        <w:keepNext/>
        <w:spacing w:after="0" w:line="240" w:lineRule="auto"/>
        <w:jc w:val="center"/>
        <w:rPr>
          <w:rFonts w:ascii="Times New Roman" w:hAnsi="Times New Roman" w:cs="Times New Roman"/>
          <w:b/>
          <w:bCs/>
          <w:sz w:val="26"/>
          <w:szCs w:val="26"/>
        </w:rPr>
      </w:pPr>
    </w:p>
    <w:p w14:paraId="26A5C90A" w14:textId="77777777" w:rsidR="005B5C1E" w:rsidRPr="00EE5714" w:rsidRDefault="005B5C1E" w:rsidP="00120E0A">
      <w:pPr>
        <w:spacing w:after="0" w:line="240" w:lineRule="auto"/>
        <w:jc w:val="center"/>
        <w:rPr>
          <w:rFonts w:ascii="Times New Roman" w:hAnsi="Times New Roman" w:cs="Times New Roman"/>
          <w:sz w:val="26"/>
          <w:szCs w:val="26"/>
        </w:rPr>
      </w:pPr>
      <w:r w:rsidRPr="00EE5714">
        <w:rPr>
          <w:noProof/>
        </w:rPr>
        <w:drawing>
          <wp:inline distT="0" distB="0" distL="0" distR="0" wp14:anchorId="77BD94E4" wp14:editId="3F05D4E1">
            <wp:extent cx="1857375" cy="600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57375" cy="600075"/>
                    </a:xfrm>
                    <a:prstGeom prst="rect">
                      <a:avLst/>
                    </a:prstGeom>
                    <a:noFill/>
                    <a:ln>
                      <a:noFill/>
                    </a:ln>
                  </pic:spPr>
                </pic:pic>
              </a:graphicData>
            </a:graphic>
          </wp:inline>
        </w:drawing>
      </w:r>
    </w:p>
    <w:p w14:paraId="411E510F" w14:textId="77777777" w:rsidR="00120E0A" w:rsidRPr="00EE5714" w:rsidRDefault="00120E0A" w:rsidP="00120E0A">
      <w:pPr>
        <w:spacing w:after="0" w:line="240" w:lineRule="auto"/>
        <w:jc w:val="center"/>
        <w:rPr>
          <w:rFonts w:ascii="Times New Roman" w:hAnsi="Times New Roman" w:cs="Times New Roman"/>
          <w:sz w:val="26"/>
          <w:szCs w:val="26"/>
        </w:rPr>
      </w:pPr>
    </w:p>
    <w:p w14:paraId="431890C7" w14:textId="77777777" w:rsidR="005B5C1E" w:rsidRPr="00EE5714" w:rsidRDefault="00914AAC" w:rsidP="005D2796">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Step</w:t>
      </w:r>
      <w:r w:rsidR="003B4543" w:rsidRPr="00EE5714">
        <w:rPr>
          <w:rFonts w:ascii="Times New Roman" w:hAnsi="Times New Roman" w:cs="Times New Roman"/>
          <w:b/>
          <w:bCs/>
          <w:sz w:val="26"/>
          <w:szCs w:val="26"/>
        </w:rPr>
        <w:t xml:space="preserve"> 2</w:t>
      </w:r>
      <w:r w:rsidR="00017B45" w:rsidRPr="00EE5714">
        <w:rPr>
          <w:rFonts w:ascii="Times New Roman" w:hAnsi="Times New Roman" w:cs="Times New Roman"/>
          <w:b/>
          <w:bCs/>
          <w:sz w:val="26"/>
          <w:szCs w:val="26"/>
        </w:rPr>
        <w:t xml:space="preserve">: </w:t>
      </w:r>
      <w:r w:rsidR="005B5C1E" w:rsidRPr="00EE5714">
        <w:rPr>
          <w:rFonts w:ascii="Times New Roman" w:hAnsi="Times New Roman" w:cs="Times New Roman"/>
          <w:b/>
          <w:bCs/>
          <w:sz w:val="26"/>
          <w:szCs w:val="26"/>
        </w:rPr>
        <w:t xml:space="preserve">Columbia Gas’ Average Annual CAP Income by </w:t>
      </w:r>
      <w:r w:rsidR="00094DF1" w:rsidRPr="00EE5714">
        <w:rPr>
          <w:rFonts w:ascii="Times New Roman" w:hAnsi="Times New Roman" w:cs="Times New Roman"/>
          <w:b/>
          <w:bCs/>
          <w:sz w:val="26"/>
          <w:szCs w:val="26"/>
        </w:rPr>
        <w:t>FPIG</w:t>
      </w:r>
      <w:r w:rsidR="00AE7B6A" w:rsidRPr="00EE5714">
        <w:rPr>
          <w:rFonts w:ascii="Times New Roman" w:hAnsi="Times New Roman" w:cs="Times New Roman"/>
          <w:b/>
          <w:bCs/>
          <w:sz w:val="26"/>
          <w:szCs w:val="26"/>
        </w:rPr>
        <w:t xml:space="preserve"> Level</w:t>
      </w:r>
    </w:p>
    <w:p w14:paraId="20770474" w14:textId="77777777" w:rsidR="001E2526" w:rsidRPr="00EE5714" w:rsidRDefault="001E2526" w:rsidP="005D2796">
      <w:pPr>
        <w:keepNext/>
        <w:spacing w:after="0" w:line="240" w:lineRule="auto"/>
        <w:jc w:val="center"/>
        <w:rPr>
          <w:rFonts w:ascii="Times New Roman" w:hAnsi="Times New Roman" w:cs="Times New Roman"/>
          <w:b/>
          <w:bCs/>
          <w:sz w:val="26"/>
          <w:szCs w:val="26"/>
        </w:rPr>
      </w:pPr>
    </w:p>
    <w:p w14:paraId="10F287AC" w14:textId="77777777" w:rsidR="005B5C1E" w:rsidRPr="00EE5714" w:rsidRDefault="005B5C1E" w:rsidP="00120E0A">
      <w:pPr>
        <w:spacing w:after="0" w:line="240" w:lineRule="auto"/>
        <w:jc w:val="center"/>
        <w:rPr>
          <w:rFonts w:ascii="Times New Roman" w:hAnsi="Times New Roman" w:cs="Times New Roman"/>
          <w:sz w:val="26"/>
          <w:szCs w:val="26"/>
        </w:rPr>
      </w:pPr>
      <w:r w:rsidRPr="00EE5714">
        <w:rPr>
          <w:noProof/>
        </w:rPr>
        <w:drawing>
          <wp:inline distT="0" distB="0" distL="0" distR="0" wp14:anchorId="5DC4A4DC" wp14:editId="5BF5860E">
            <wp:extent cx="1857375" cy="5905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7375" cy="590550"/>
                    </a:xfrm>
                    <a:prstGeom prst="rect">
                      <a:avLst/>
                    </a:prstGeom>
                    <a:noFill/>
                    <a:ln>
                      <a:noFill/>
                    </a:ln>
                  </pic:spPr>
                </pic:pic>
              </a:graphicData>
            </a:graphic>
          </wp:inline>
        </w:drawing>
      </w:r>
    </w:p>
    <w:p w14:paraId="434B876F" w14:textId="77777777" w:rsidR="00120E0A" w:rsidRPr="00EE5714" w:rsidRDefault="00120E0A" w:rsidP="00120E0A">
      <w:pPr>
        <w:spacing w:after="0" w:line="240" w:lineRule="auto"/>
        <w:jc w:val="center"/>
        <w:rPr>
          <w:rFonts w:ascii="Times New Roman" w:hAnsi="Times New Roman" w:cs="Times New Roman"/>
          <w:sz w:val="26"/>
          <w:szCs w:val="26"/>
        </w:rPr>
      </w:pPr>
    </w:p>
    <w:p w14:paraId="43977EC5" w14:textId="77777777" w:rsidR="005B5C1E" w:rsidRPr="00EE5714" w:rsidRDefault="00914AAC" w:rsidP="005D2796">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Step</w:t>
      </w:r>
      <w:r w:rsidR="003B4543" w:rsidRPr="00EE5714">
        <w:rPr>
          <w:rFonts w:ascii="Times New Roman" w:hAnsi="Times New Roman" w:cs="Times New Roman"/>
          <w:b/>
          <w:bCs/>
          <w:sz w:val="26"/>
          <w:szCs w:val="26"/>
        </w:rPr>
        <w:t xml:space="preserve"> 3</w:t>
      </w:r>
      <w:r w:rsidR="00017B45" w:rsidRPr="00EE5714">
        <w:rPr>
          <w:rFonts w:ascii="Times New Roman" w:hAnsi="Times New Roman" w:cs="Times New Roman"/>
          <w:b/>
          <w:bCs/>
          <w:sz w:val="26"/>
          <w:szCs w:val="26"/>
        </w:rPr>
        <w:t xml:space="preserve">: </w:t>
      </w:r>
      <w:r w:rsidR="005B5C1E" w:rsidRPr="00EE5714">
        <w:rPr>
          <w:rFonts w:ascii="Times New Roman" w:hAnsi="Times New Roman" w:cs="Times New Roman"/>
          <w:b/>
          <w:bCs/>
          <w:sz w:val="26"/>
          <w:szCs w:val="26"/>
        </w:rPr>
        <w:t xml:space="preserve">Columbia Gas’ Calculated </w:t>
      </w:r>
      <w:r w:rsidR="008608A8" w:rsidRPr="00EE5714">
        <w:rPr>
          <w:rFonts w:ascii="Times New Roman" w:hAnsi="Times New Roman" w:cs="Times New Roman"/>
          <w:b/>
          <w:bCs/>
          <w:sz w:val="26"/>
          <w:szCs w:val="26"/>
        </w:rPr>
        <w:t xml:space="preserve">Average </w:t>
      </w:r>
      <w:r w:rsidR="005B5C1E" w:rsidRPr="00EE5714">
        <w:rPr>
          <w:rFonts w:ascii="Times New Roman" w:hAnsi="Times New Roman" w:cs="Times New Roman"/>
          <w:b/>
          <w:bCs/>
          <w:sz w:val="26"/>
          <w:szCs w:val="26"/>
        </w:rPr>
        <w:t xml:space="preserve">Energy Burden by </w:t>
      </w:r>
      <w:r w:rsidR="00AE7B6A" w:rsidRPr="00EE5714">
        <w:rPr>
          <w:rFonts w:ascii="Times New Roman" w:hAnsi="Times New Roman" w:cs="Times New Roman"/>
          <w:b/>
          <w:bCs/>
          <w:sz w:val="26"/>
          <w:szCs w:val="26"/>
        </w:rPr>
        <w:t xml:space="preserve">FPIG </w:t>
      </w:r>
      <w:r w:rsidR="005B5C1E" w:rsidRPr="00EE5714">
        <w:rPr>
          <w:rFonts w:ascii="Times New Roman" w:hAnsi="Times New Roman" w:cs="Times New Roman"/>
          <w:b/>
          <w:bCs/>
          <w:sz w:val="26"/>
          <w:szCs w:val="26"/>
        </w:rPr>
        <w:t>Level</w:t>
      </w:r>
    </w:p>
    <w:p w14:paraId="25E7366B" w14:textId="77777777" w:rsidR="001E2526" w:rsidRPr="00EE5714" w:rsidRDefault="001E2526" w:rsidP="005D2796">
      <w:pPr>
        <w:keepNext/>
        <w:spacing w:after="0" w:line="240" w:lineRule="auto"/>
        <w:jc w:val="center"/>
        <w:rPr>
          <w:rFonts w:ascii="Times New Roman" w:hAnsi="Times New Roman" w:cs="Times New Roman"/>
          <w:b/>
          <w:bCs/>
          <w:sz w:val="26"/>
          <w:szCs w:val="26"/>
        </w:rPr>
      </w:pPr>
    </w:p>
    <w:p w14:paraId="321F5B19" w14:textId="77777777" w:rsidR="005B5C1E" w:rsidRPr="00EE5714" w:rsidRDefault="005B5C1E" w:rsidP="00120E0A">
      <w:pPr>
        <w:spacing w:after="0" w:line="240" w:lineRule="auto"/>
        <w:jc w:val="center"/>
        <w:rPr>
          <w:rFonts w:ascii="Times New Roman" w:hAnsi="Times New Roman" w:cs="Times New Roman"/>
          <w:sz w:val="26"/>
          <w:szCs w:val="26"/>
        </w:rPr>
      </w:pPr>
      <w:r w:rsidRPr="00EE5714">
        <w:rPr>
          <w:noProof/>
        </w:rPr>
        <w:drawing>
          <wp:inline distT="0" distB="0" distL="0" distR="0" wp14:anchorId="7524A3C5" wp14:editId="19ABB0DC">
            <wp:extent cx="1857375" cy="5905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7375" cy="590550"/>
                    </a:xfrm>
                    <a:prstGeom prst="rect">
                      <a:avLst/>
                    </a:prstGeom>
                    <a:noFill/>
                    <a:ln>
                      <a:noFill/>
                    </a:ln>
                  </pic:spPr>
                </pic:pic>
              </a:graphicData>
            </a:graphic>
          </wp:inline>
        </w:drawing>
      </w:r>
    </w:p>
    <w:p w14:paraId="77F698B5" w14:textId="77777777" w:rsidR="00120E0A" w:rsidRPr="00EE5714" w:rsidRDefault="00120E0A" w:rsidP="00120E0A">
      <w:pPr>
        <w:spacing w:after="0" w:line="240" w:lineRule="auto"/>
        <w:jc w:val="center"/>
        <w:rPr>
          <w:rFonts w:ascii="Times New Roman" w:hAnsi="Times New Roman" w:cs="Times New Roman"/>
          <w:sz w:val="26"/>
          <w:szCs w:val="26"/>
        </w:rPr>
      </w:pPr>
    </w:p>
    <w:p w14:paraId="4A4D54A9" w14:textId="77777777" w:rsidR="005B5C1E" w:rsidRPr="00EE5714" w:rsidRDefault="00914AAC" w:rsidP="005D2796">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Step</w:t>
      </w:r>
      <w:r w:rsidR="003B4543" w:rsidRPr="00EE5714">
        <w:rPr>
          <w:rFonts w:ascii="Times New Roman" w:hAnsi="Times New Roman" w:cs="Times New Roman"/>
          <w:b/>
          <w:bCs/>
          <w:sz w:val="26"/>
          <w:szCs w:val="26"/>
        </w:rPr>
        <w:t xml:space="preserve"> 4</w:t>
      </w:r>
      <w:r w:rsidR="00017B45" w:rsidRPr="00EE5714">
        <w:rPr>
          <w:rFonts w:ascii="Times New Roman" w:hAnsi="Times New Roman" w:cs="Times New Roman"/>
          <w:b/>
          <w:bCs/>
          <w:sz w:val="26"/>
          <w:szCs w:val="26"/>
        </w:rPr>
        <w:t xml:space="preserve">: </w:t>
      </w:r>
      <w:r w:rsidR="005B5C1E" w:rsidRPr="00EE5714">
        <w:rPr>
          <w:rFonts w:ascii="Times New Roman" w:hAnsi="Times New Roman" w:cs="Times New Roman"/>
          <w:b/>
          <w:bCs/>
          <w:sz w:val="26"/>
          <w:szCs w:val="26"/>
        </w:rPr>
        <w:t xml:space="preserve">Columbia Gas’ Estimated Average </w:t>
      </w:r>
      <w:r w:rsidR="00956C13" w:rsidRPr="00EE5714">
        <w:rPr>
          <w:rFonts w:ascii="Times New Roman" w:hAnsi="Times New Roman" w:cs="Times New Roman"/>
          <w:b/>
          <w:bCs/>
          <w:sz w:val="26"/>
          <w:szCs w:val="26"/>
        </w:rPr>
        <w:t xml:space="preserve">Annual </w:t>
      </w:r>
      <w:r w:rsidR="005B5C1E" w:rsidRPr="00EE5714">
        <w:rPr>
          <w:rFonts w:ascii="Times New Roman" w:hAnsi="Times New Roman" w:cs="Times New Roman"/>
          <w:b/>
          <w:bCs/>
          <w:sz w:val="26"/>
          <w:szCs w:val="26"/>
        </w:rPr>
        <w:t>CAP Bill at 6%</w:t>
      </w:r>
      <w:r w:rsidR="00F3252E" w:rsidRPr="00EE5714">
        <w:rPr>
          <w:rFonts w:ascii="Times New Roman" w:hAnsi="Times New Roman" w:cs="Times New Roman"/>
          <w:b/>
          <w:bCs/>
          <w:sz w:val="26"/>
          <w:szCs w:val="26"/>
        </w:rPr>
        <w:t xml:space="preserve"> </w:t>
      </w:r>
      <w:r w:rsidR="005B5C1E" w:rsidRPr="00EE5714">
        <w:rPr>
          <w:rFonts w:ascii="Times New Roman" w:hAnsi="Times New Roman" w:cs="Times New Roman"/>
          <w:b/>
          <w:bCs/>
          <w:sz w:val="26"/>
          <w:szCs w:val="26"/>
        </w:rPr>
        <w:t xml:space="preserve">by </w:t>
      </w:r>
      <w:r w:rsidR="00094DF1" w:rsidRPr="00EE5714">
        <w:rPr>
          <w:rFonts w:ascii="Times New Roman" w:hAnsi="Times New Roman" w:cs="Times New Roman"/>
          <w:b/>
          <w:bCs/>
          <w:sz w:val="26"/>
          <w:szCs w:val="26"/>
        </w:rPr>
        <w:t>FPIG</w:t>
      </w:r>
      <w:r w:rsidR="00AE7B6A" w:rsidRPr="00EE5714">
        <w:rPr>
          <w:rFonts w:ascii="Times New Roman" w:hAnsi="Times New Roman" w:cs="Times New Roman"/>
          <w:b/>
          <w:bCs/>
          <w:sz w:val="26"/>
          <w:szCs w:val="26"/>
        </w:rPr>
        <w:t xml:space="preserve"> Level</w:t>
      </w:r>
    </w:p>
    <w:p w14:paraId="13B5A972" w14:textId="77777777" w:rsidR="001E2526" w:rsidRPr="00EE5714" w:rsidRDefault="001E2526" w:rsidP="005D2796">
      <w:pPr>
        <w:keepNext/>
        <w:spacing w:after="0" w:line="240" w:lineRule="auto"/>
        <w:jc w:val="center"/>
        <w:rPr>
          <w:rFonts w:ascii="Times New Roman" w:hAnsi="Times New Roman" w:cs="Times New Roman"/>
          <w:b/>
          <w:bCs/>
          <w:sz w:val="26"/>
          <w:szCs w:val="26"/>
        </w:rPr>
      </w:pPr>
    </w:p>
    <w:p w14:paraId="3B3229EB" w14:textId="77777777" w:rsidR="005B5C1E" w:rsidRPr="00EE5714" w:rsidRDefault="005B5C1E" w:rsidP="00120E0A">
      <w:pPr>
        <w:spacing w:after="0" w:line="240" w:lineRule="auto"/>
        <w:jc w:val="center"/>
        <w:rPr>
          <w:rFonts w:ascii="Times New Roman" w:hAnsi="Times New Roman" w:cs="Times New Roman"/>
          <w:sz w:val="26"/>
          <w:szCs w:val="26"/>
        </w:rPr>
      </w:pPr>
      <w:r w:rsidRPr="00EE5714">
        <w:rPr>
          <w:noProof/>
        </w:rPr>
        <w:drawing>
          <wp:inline distT="0" distB="0" distL="0" distR="0" wp14:anchorId="6AAC97CC" wp14:editId="7A486FEE">
            <wp:extent cx="1933575" cy="590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inline>
        </w:drawing>
      </w:r>
    </w:p>
    <w:p w14:paraId="0E7EFC5C" w14:textId="77777777" w:rsidR="00790DB1" w:rsidRPr="00EE5714" w:rsidRDefault="00790DB1" w:rsidP="00120E0A">
      <w:pPr>
        <w:spacing w:after="0" w:line="240" w:lineRule="auto"/>
        <w:rPr>
          <w:rFonts w:ascii="Times New Roman" w:hAnsi="Times New Roman" w:cs="Times New Roman"/>
          <w:sz w:val="26"/>
          <w:szCs w:val="26"/>
        </w:rPr>
      </w:pPr>
    </w:p>
    <w:p w14:paraId="38A3FCAF" w14:textId="77777777" w:rsidR="005B5C1E" w:rsidRPr="00EE5714" w:rsidRDefault="00790DB1" w:rsidP="00120E0A">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r>
      <w:r w:rsidR="00311BC0" w:rsidRPr="00EE5714">
        <w:rPr>
          <w:rFonts w:ascii="Times New Roman" w:hAnsi="Times New Roman" w:cs="Times New Roman"/>
          <w:sz w:val="26"/>
          <w:szCs w:val="26"/>
        </w:rPr>
        <w:t xml:space="preserve">The model </w:t>
      </w:r>
      <w:r w:rsidR="005B5C1E" w:rsidRPr="00EE5714">
        <w:rPr>
          <w:rFonts w:ascii="Times New Roman" w:hAnsi="Times New Roman" w:cs="Times New Roman"/>
          <w:sz w:val="26"/>
          <w:szCs w:val="26"/>
        </w:rPr>
        <w:t>compare</w:t>
      </w:r>
      <w:r w:rsidR="00311BC0" w:rsidRPr="00EE5714">
        <w:rPr>
          <w:rFonts w:ascii="Times New Roman" w:hAnsi="Times New Roman" w:cs="Times New Roman"/>
          <w:sz w:val="26"/>
          <w:szCs w:val="26"/>
        </w:rPr>
        <w:t>s</w:t>
      </w:r>
      <w:r w:rsidR="005B5C1E" w:rsidRPr="00EE5714">
        <w:rPr>
          <w:rFonts w:ascii="Times New Roman" w:hAnsi="Times New Roman" w:cs="Times New Roman"/>
          <w:sz w:val="26"/>
          <w:szCs w:val="26"/>
        </w:rPr>
        <w:t xml:space="preserve"> the resulting estimated average CAP bill amounts to the corresponding </w:t>
      </w:r>
      <w:r w:rsidR="00FD040C" w:rsidRPr="00EE5714">
        <w:rPr>
          <w:rFonts w:ascii="Times New Roman" w:hAnsi="Times New Roman" w:cs="Times New Roman"/>
          <w:sz w:val="26"/>
          <w:szCs w:val="26"/>
        </w:rPr>
        <w:t xml:space="preserve">actual </w:t>
      </w:r>
      <w:r w:rsidR="005B5C1E" w:rsidRPr="00EE5714">
        <w:rPr>
          <w:rFonts w:ascii="Times New Roman" w:hAnsi="Times New Roman" w:cs="Times New Roman"/>
          <w:sz w:val="26"/>
          <w:szCs w:val="26"/>
        </w:rPr>
        <w:t xml:space="preserve">annual average CAP bill amounts, by </w:t>
      </w:r>
      <w:r w:rsidR="00094DF1" w:rsidRPr="00EE5714">
        <w:rPr>
          <w:rFonts w:ascii="Times New Roman" w:hAnsi="Times New Roman" w:cs="Times New Roman"/>
          <w:sz w:val="26"/>
          <w:szCs w:val="26"/>
        </w:rPr>
        <w:t>FPIG</w:t>
      </w:r>
      <w:r w:rsidR="008A41A8" w:rsidRPr="00EE5714">
        <w:rPr>
          <w:rFonts w:ascii="Times New Roman" w:hAnsi="Times New Roman" w:cs="Times New Roman"/>
          <w:sz w:val="26"/>
          <w:szCs w:val="26"/>
        </w:rPr>
        <w:t xml:space="preserve"> level</w:t>
      </w:r>
      <w:r w:rsidR="0027292A" w:rsidRPr="00EE5714">
        <w:rPr>
          <w:rFonts w:ascii="Times New Roman" w:hAnsi="Times New Roman" w:cs="Times New Roman"/>
          <w:sz w:val="26"/>
          <w:szCs w:val="26"/>
        </w:rPr>
        <w:t>,</w:t>
      </w:r>
      <w:r w:rsidR="005B5C1E" w:rsidRPr="00EE5714">
        <w:rPr>
          <w:rFonts w:ascii="Times New Roman" w:hAnsi="Times New Roman" w:cs="Times New Roman"/>
          <w:sz w:val="26"/>
          <w:szCs w:val="26"/>
        </w:rPr>
        <w:t xml:space="preserve"> for 2012</w:t>
      </w:r>
      <w:r w:rsidR="008A41A8" w:rsidRPr="00EE5714">
        <w:rPr>
          <w:rFonts w:ascii="Times New Roman" w:hAnsi="Times New Roman" w:cs="Times New Roman"/>
          <w:sz w:val="26"/>
          <w:szCs w:val="26"/>
        </w:rPr>
        <w:t xml:space="preserve"> to </w:t>
      </w:r>
      <w:r w:rsidR="005B5C1E" w:rsidRPr="00EE5714">
        <w:rPr>
          <w:rFonts w:ascii="Times New Roman" w:hAnsi="Times New Roman" w:cs="Times New Roman"/>
          <w:sz w:val="26"/>
          <w:szCs w:val="26"/>
        </w:rPr>
        <w:t xml:space="preserve">2016. </w:t>
      </w:r>
      <w:r w:rsidR="00311BC0" w:rsidRPr="00EE5714">
        <w:rPr>
          <w:rFonts w:ascii="Times New Roman" w:hAnsi="Times New Roman" w:cs="Times New Roman"/>
          <w:sz w:val="26"/>
          <w:szCs w:val="26"/>
        </w:rPr>
        <w:t xml:space="preserve"> </w:t>
      </w:r>
      <w:r w:rsidR="005B5C1E" w:rsidRPr="00EE5714">
        <w:rPr>
          <w:rFonts w:ascii="Times New Roman" w:hAnsi="Times New Roman" w:cs="Times New Roman"/>
          <w:sz w:val="26"/>
          <w:szCs w:val="26"/>
        </w:rPr>
        <w:t xml:space="preserve">Some </w:t>
      </w:r>
      <w:r w:rsidR="00094DF1" w:rsidRPr="00EE5714">
        <w:rPr>
          <w:rFonts w:ascii="Times New Roman" w:hAnsi="Times New Roman" w:cs="Times New Roman"/>
          <w:sz w:val="26"/>
          <w:szCs w:val="26"/>
        </w:rPr>
        <w:t>FPIG</w:t>
      </w:r>
      <w:r w:rsidR="005B5C1E" w:rsidRPr="00EE5714">
        <w:rPr>
          <w:rFonts w:ascii="Times New Roman" w:hAnsi="Times New Roman" w:cs="Times New Roman"/>
          <w:sz w:val="26"/>
          <w:szCs w:val="26"/>
        </w:rPr>
        <w:t xml:space="preserve"> </w:t>
      </w:r>
      <w:r w:rsidR="009C1336" w:rsidRPr="00EE5714">
        <w:rPr>
          <w:rFonts w:ascii="Times New Roman" w:hAnsi="Times New Roman" w:cs="Times New Roman"/>
          <w:sz w:val="26"/>
          <w:szCs w:val="26"/>
        </w:rPr>
        <w:t xml:space="preserve">levels </w:t>
      </w:r>
      <w:r w:rsidR="005B5C1E" w:rsidRPr="00EE5714">
        <w:rPr>
          <w:rFonts w:ascii="Times New Roman" w:hAnsi="Times New Roman" w:cs="Times New Roman"/>
          <w:sz w:val="26"/>
          <w:szCs w:val="26"/>
        </w:rPr>
        <w:t>showed the difference as a negative number</w:t>
      </w:r>
      <w:r w:rsidR="00311BC0" w:rsidRPr="00EE5714">
        <w:rPr>
          <w:rFonts w:ascii="Times New Roman" w:hAnsi="Times New Roman" w:cs="Times New Roman"/>
          <w:sz w:val="26"/>
          <w:szCs w:val="26"/>
        </w:rPr>
        <w:t xml:space="preserve"> – </w:t>
      </w:r>
      <w:r w:rsidR="005B5C1E" w:rsidRPr="00EE5714">
        <w:rPr>
          <w:rFonts w:ascii="Times New Roman" w:hAnsi="Times New Roman" w:cs="Times New Roman"/>
          <w:sz w:val="26"/>
          <w:szCs w:val="26"/>
        </w:rPr>
        <w:t>which represent</w:t>
      </w:r>
      <w:r w:rsidR="00602E02" w:rsidRPr="00EE5714">
        <w:rPr>
          <w:rFonts w:ascii="Times New Roman" w:hAnsi="Times New Roman" w:cs="Times New Roman"/>
          <w:sz w:val="26"/>
          <w:szCs w:val="26"/>
        </w:rPr>
        <w:t>s</w:t>
      </w:r>
      <w:r w:rsidR="005B5C1E" w:rsidRPr="00EE5714">
        <w:rPr>
          <w:rFonts w:ascii="Times New Roman" w:hAnsi="Times New Roman" w:cs="Times New Roman"/>
          <w:sz w:val="26"/>
          <w:szCs w:val="26"/>
        </w:rPr>
        <w:t xml:space="preserve"> the amount of discount/CAP Credit/LIHEAP that would be needed to </w:t>
      </w:r>
      <w:r w:rsidR="005B5C1E" w:rsidRPr="00EE5714">
        <w:rPr>
          <w:rFonts w:ascii="Times New Roman" w:hAnsi="Times New Roman" w:cs="Times New Roman"/>
          <w:b/>
          <w:bCs/>
          <w:i/>
          <w:iCs/>
          <w:sz w:val="26"/>
          <w:szCs w:val="26"/>
        </w:rPr>
        <w:t>decrease</w:t>
      </w:r>
      <w:r w:rsidR="005B5C1E" w:rsidRPr="00EE5714">
        <w:rPr>
          <w:rFonts w:ascii="Times New Roman" w:hAnsi="Times New Roman" w:cs="Times New Roman"/>
          <w:sz w:val="26"/>
          <w:szCs w:val="26"/>
        </w:rPr>
        <w:t xml:space="preserve"> the average </w:t>
      </w:r>
      <w:r w:rsidR="009C1336" w:rsidRPr="00EE5714">
        <w:rPr>
          <w:rFonts w:ascii="Times New Roman" w:hAnsi="Times New Roman" w:cs="Times New Roman"/>
          <w:sz w:val="26"/>
          <w:szCs w:val="26"/>
        </w:rPr>
        <w:t xml:space="preserve">annual </w:t>
      </w:r>
      <w:r w:rsidR="005B5C1E" w:rsidRPr="00EE5714">
        <w:rPr>
          <w:rFonts w:ascii="Times New Roman" w:hAnsi="Times New Roman" w:cs="Times New Roman"/>
          <w:sz w:val="26"/>
          <w:szCs w:val="26"/>
        </w:rPr>
        <w:t xml:space="preserve">CAP bill to </w:t>
      </w:r>
      <w:r w:rsidR="007062B0" w:rsidRPr="00EE5714">
        <w:rPr>
          <w:rFonts w:ascii="Times New Roman" w:hAnsi="Times New Roman" w:cs="Times New Roman"/>
          <w:sz w:val="26"/>
          <w:szCs w:val="26"/>
        </w:rPr>
        <w:t xml:space="preserve">the new </w:t>
      </w:r>
      <w:r w:rsidR="005B5C1E" w:rsidRPr="00EE5714">
        <w:rPr>
          <w:rFonts w:ascii="Times New Roman" w:hAnsi="Times New Roman" w:cs="Times New Roman"/>
          <w:sz w:val="26"/>
          <w:szCs w:val="26"/>
        </w:rPr>
        <w:t xml:space="preserve">estimated </w:t>
      </w:r>
      <w:r w:rsidR="007062B0" w:rsidRPr="00EE5714">
        <w:rPr>
          <w:rFonts w:ascii="Times New Roman" w:hAnsi="Times New Roman" w:cs="Times New Roman"/>
          <w:sz w:val="26"/>
          <w:szCs w:val="26"/>
        </w:rPr>
        <w:t xml:space="preserve">average CAP </w:t>
      </w:r>
      <w:r w:rsidR="005B5C1E" w:rsidRPr="00EE5714">
        <w:rPr>
          <w:rFonts w:ascii="Times New Roman" w:hAnsi="Times New Roman" w:cs="Times New Roman"/>
          <w:sz w:val="26"/>
          <w:szCs w:val="26"/>
        </w:rPr>
        <w:t xml:space="preserve">bill amount. </w:t>
      </w:r>
      <w:r w:rsidR="00E000A7" w:rsidRPr="00EE5714">
        <w:rPr>
          <w:rFonts w:ascii="Times New Roman" w:hAnsi="Times New Roman" w:cs="Times New Roman"/>
          <w:sz w:val="26"/>
          <w:szCs w:val="26"/>
        </w:rPr>
        <w:t xml:space="preserve"> </w:t>
      </w:r>
      <w:r w:rsidR="005B5C1E" w:rsidRPr="00EE5714">
        <w:rPr>
          <w:rFonts w:ascii="Times New Roman" w:hAnsi="Times New Roman" w:cs="Times New Roman"/>
          <w:sz w:val="26"/>
          <w:szCs w:val="26"/>
        </w:rPr>
        <w:t xml:space="preserve">Some </w:t>
      </w:r>
      <w:r w:rsidR="00094DF1" w:rsidRPr="00EE5714">
        <w:rPr>
          <w:rFonts w:ascii="Times New Roman" w:hAnsi="Times New Roman" w:cs="Times New Roman"/>
          <w:sz w:val="26"/>
          <w:szCs w:val="26"/>
        </w:rPr>
        <w:t>FPIG</w:t>
      </w:r>
      <w:r w:rsidR="005B5C1E" w:rsidRPr="00EE5714">
        <w:rPr>
          <w:rFonts w:ascii="Times New Roman" w:hAnsi="Times New Roman" w:cs="Times New Roman"/>
          <w:sz w:val="26"/>
          <w:szCs w:val="26"/>
        </w:rPr>
        <w:t xml:space="preserve"> </w:t>
      </w:r>
      <w:r w:rsidR="00DD4A08" w:rsidRPr="00EE5714">
        <w:rPr>
          <w:rFonts w:ascii="Times New Roman" w:hAnsi="Times New Roman" w:cs="Times New Roman"/>
          <w:sz w:val="26"/>
          <w:szCs w:val="26"/>
        </w:rPr>
        <w:t xml:space="preserve">levels </w:t>
      </w:r>
      <w:r w:rsidR="005B5C1E" w:rsidRPr="00EE5714">
        <w:rPr>
          <w:rFonts w:ascii="Times New Roman" w:hAnsi="Times New Roman" w:cs="Times New Roman"/>
          <w:sz w:val="26"/>
          <w:szCs w:val="26"/>
        </w:rPr>
        <w:t>show the difference as a positive number</w:t>
      </w:r>
      <w:r w:rsidR="00E000A7" w:rsidRPr="00EE5714">
        <w:rPr>
          <w:rFonts w:ascii="Times New Roman" w:hAnsi="Times New Roman" w:cs="Times New Roman"/>
          <w:sz w:val="26"/>
          <w:szCs w:val="26"/>
        </w:rPr>
        <w:t xml:space="preserve"> – </w:t>
      </w:r>
      <w:r w:rsidR="005B5C1E" w:rsidRPr="00EE5714">
        <w:rPr>
          <w:rFonts w:ascii="Times New Roman" w:hAnsi="Times New Roman" w:cs="Times New Roman"/>
          <w:sz w:val="26"/>
          <w:szCs w:val="26"/>
        </w:rPr>
        <w:t xml:space="preserve">which </w:t>
      </w:r>
      <w:r w:rsidR="00E000A7" w:rsidRPr="00EE5714">
        <w:rPr>
          <w:rFonts w:ascii="Times New Roman" w:hAnsi="Times New Roman" w:cs="Times New Roman"/>
          <w:sz w:val="26"/>
          <w:szCs w:val="26"/>
        </w:rPr>
        <w:t>mean</w:t>
      </w:r>
      <w:r w:rsidR="00A7334F" w:rsidRPr="00EE5714">
        <w:rPr>
          <w:rFonts w:ascii="Times New Roman" w:hAnsi="Times New Roman" w:cs="Times New Roman"/>
          <w:sz w:val="26"/>
          <w:szCs w:val="26"/>
        </w:rPr>
        <w:t>s</w:t>
      </w:r>
      <w:r w:rsidR="00E000A7" w:rsidRPr="00EE5714">
        <w:rPr>
          <w:rFonts w:ascii="Times New Roman" w:hAnsi="Times New Roman" w:cs="Times New Roman"/>
          <w:sz w:val="26"/>
          <w:szCs w:val="26"/>
        </w:rPr>
        <w:t xml:space="preserve"> </w:t>
      </w:r>
      <w:r w:rsidR="000B1991" w:rsidRPr="00EE5714">
        <w:rPr>
          <w:rFonts w:ascii="Times New Roman" w:hAnsi="Times New Roman" w:cs="Times New Roman"/>
          <w:sz w:val="26"/>
          <w:szCs w:val="26"/>
        </w:rPr>
        <w:t xml:space="preserve">that </w:t>
      </w:r>
      <w:r w:rsidR="005B5C1E" w:rsidRPr="00EE5714">
        <w:rPr>
          <w:rFonts w:ascii="Times New Roman" w:hAnsi="Times New Roman" w:cs="Times New Roman"/>
          <w:sz w:val="26"/>
          <w:szCs w:val="26"/>
        </w:rPr>
        <w:t xml:space="preserve">the average CAP bill </w:t>
      </w:r>
      <w:r w:rsidR="007E53D2" w:rsidRPr="00EE5714">
        <w:rPr>
          <w:rFonts w:ascii="Times New Roman" w:hAnsi="Times New Roman" w:cs="Times New Roman"/>
          <w:sz w:val="26"/>
          <w:szCs w:val="26"/>
        </w:rPr>
        <w:t>is</w:t>
      </w:r>
      <w:r w:rsidR="005B5C1E" w:rsidRPr="00EE5714">
        <w:rPr>
          <w:rFonts w:ascii="Times New Roman" w:hAnsi="Times New Roman" w:cs="Times New Roman"/>
          <w:sz w:val="26"/>
          <w:szCs w:val="26"/>
        </w:rPr>
        <w:t xml:space="preserve"> already below the </w:t>
      </w:r>
      <w:r w:rsidR="00C315F5" w:rsidRPr="00EE5714">
        <w:rPr>
          <w:rFonts w:ascii="Times New Roman" w:hAnsi="Times New Roman" w:cs="Times New Roman"/>
          <w:sz w:val="26"/>
          <w:szCs w:val="26"/>
        </w:rPr>
        <w:t>selected</w:t>
      </w:r>
      <w:r w:rsidR="005B5C1E" w:rsidRPr="00EE5714">
        <w:rPr>
          <w:rFonts w:ascii="Times New Roman" w:hAnsi="Times New Roman" w:cs="Times New Roman"/>
          <w:sz w:val="26"/>
          <w:szCs w:val="26"/>
        </w:rPr>
        <w:t xml:space="preserve"> energy burden</w:t>
      </w:r>
      <w:r w:rsidR="00C94DBE" w:rsidRPr="00EE5714">
        <w:rPr>
          <w:rFonts w:ascii="Times New Roman" w:hAnsi="Times New Roman" w:cs="Times New Roman"/>
          <w:sz w:val="26"/>
          <w:szCs w:val="26"/>
        </w:rPr>
        <w:t>s</w:t>
      </w:r>
      <w:r w:rsidR="005B5C1E" w:rsidRPr="00EE5714">
        <w:rPr>
          <w:rFonts w:ascii="Times New Roman" w:hAnsi="Times New Roman" w:cs="Times New Roman"/>
          <w:sz w:val="26"/>
          <w:szCs w:val="26"/>
        </w:rPr>
        <w:t xml:space="preserve">. </w:t>
      </w:r>
      <w:r w:rsidR="00E000A7" w:rsidRPr="00EE5714">
        <w:rPr>
          <w:rFonts w:ascii="Times New Roman" w:hAnsi="Times New Roman" w:cs="Times New Roman"/>
          <w:sz w:val="26"/>
          <w:szCs w:val="26"/>
        </w:rPr>
        <w:t xml:space="preserve"> </w:t>
      </w:r>
      <w:r w:rsidR="005B5C1E" w:rsidRPr="00EE5714">
        <w:rPr>
          <w:rFonts w:ascii="Times New Roman" w:hAnsi="Times New Roman" w:cs="Times New Roman"/>
          <w:sz w:val="26"/>
          <w:szCs w:val="26"/>
        </w:rPr>
        <w:t>This would not add directly to the CAP cost</w:t>
      </w:r>
      <w:r w:rsidR="0008495B" w:rsidRPr="00EE5714">
        <w:rPr>
          <w:rFonts w:ascii="Times New Roman" w:hAnsi="Times New Roman" w:cs="Times New Roman"/>
          <w:sz w:val="26"/>
          <w:szCs w:val="26"/>
        </w:rPr>
        <w:t>s</w:t>
      </w:r>
      <w:r w:rsidR="00C17AD4" w:rsidRPr="00EE5714">
        <w:rPr>
          <w:rFonts w:ascii="Times New Roman" w:hAnsi="Times New Roman" w:cs="Times New Roman"/>
          <w:sz w:val="26"/>
          <w:szCs w:val="26"/>
        </w:rPr>
        <w:t xml:space="preserve"> in this model</w:t>
      </w:r>
      <w:r w:rsidR="005B5C1E" w:rsidRPr="00EE5714">
        <w:rPr>
          <w:rFonts w:ascii="Times New Roman" w:hAnsi="Times New Roman" w:cs="Times New Roman"/>
          <w:sz w:val="26"/>
          <w:szCs w:val="26"/>
        </w:rPr>
        <w:t>, as CAP customer</w:t>
      </w:r>
      <w:r w:rsidR="00EA2FEF" w:rsidRPr="00EE5714">
        <w:rPr>
          <w:rFonts w:ascii="Times New Roman" w:hAnsi="Times New Roman" w:cs="Times New Roman"/>
          <w:sz w:val="26"/>
          <w:szCs w:val="26"/>
        </w:rPr>
        <w:t>s</w:t>
      </w:r>
      <w:r w:rsidR="005B5C1E" w:rsidRPr="00EE5714">
        <w:rPr>
          <w:rFonts w:ascii="Times New Roman" w:hAnsi="Times New Roman" w:cs="Times New Roman"/>
          <w:sz w:val="26"/>
          <w:szCs w:val="26"/>
        </w:rPr>
        <w:t xml:space="preserve"> would have to pay the incremental increase</w:t>
      </w:r>
      <w:r w:rsidR="0008495B" w:rsidRPr="00EE5714">
        <w:rPr>
          <w:rFonts w:ascii="Times New Roman" w:hAnsi="Times New Roman" w:cs="Times New Roman"/>
          <w:sz w:val="26"/>
          <w:szCs w:val="26"/>
        </w:rPr>
        <w:t>s</w:t>
      </w:r>
      <w:r w:rsidR="005B5C1E" w:rsidRPr="00EE5714">
        <w:rPr>
          <w:rFonts w:ascii="Times New Roman" w:hAnsi="Times New Roman" w:cs="Times New Roman"/>
          <w:sz w:val="26"/>
          <w:szCs w:val="26"/>
        </w:rPr>
        <w:t xml:space="preserve"> in the bill.</w:t>
      </w:r>
      <w:r w:rsidR="000B1991" w:rsidRPr="00EE5714">
        <w:rPr>
          <w:rFonts w:ascii="Times New Roman" w:hAnsi="Times New Roman" w:cs="Times New Roman"/>
          <w:sz w:val="26"/>
          <w:szCs w:val="26"/>
        </w:rPr>
        <w:t xml:space="preserve"> </w:t>
      </w:r>
      <w:r w:rsidR="00F86070" w:rsidRPr="00EE5714">
        <w:rPr>
          <w:rFonts w:ascii="Times New Roman" w:hAnsi="Times New Roman" w:cs="Times New Roman"/>
          <w:sz w:val="26"/>
          <w:szCs w:val="26"/>
        </w:rPr>
        <w:t xml:space="preserve"> Staff set the estimated </w:t>
      </w:r>
      <w:r w:rsidR="00390B9E" w:rsidRPr="00EE5714">
        <w:rPr>
          <w:rFonts w:ascii="Times New Roman" w:hAnsi="Times New Roman" w:cs="Times New Roman"/>
          <w:sz w:val="26"/>
          <w:szCs w:val="26"/>
        </w:rPr>
        <w:t xml:space="preserve">average CAP </w:t>
      </w:r>
      <w:r w:rsidR="00F86070" w:rsidRPr="00EE5714">
        <w:rPr>
          <w:rFonts w:ascii="Times New Roman" w:hAnsi="Times New Roman" w:cs="Times New Roman"/>
          <w:sz w:val="26"/>
          <w:szCs w:val="26"/>
        </w:rPr>
        <w:t xml:space="preserve">bills </w:t>
      </w:r>
      <w:r w:rsidR="00C03AFB" w:rsidRPr="00EE5714">
        <w:rPr>
          <w:rFonts w:ascii="Times New Roman" w:hAnsi="Times New Roman" w:cs="Times New Roman"/>
          <w:sz w:val="26"/>
          <w:szCs w:val="26"/>
        </w:rPr>
        <w:t>for</w:t>
      </w:r>
      <w:r w:rsidR="00F86070" w:rsidRPr="00EE5714">
        <w:rPr>
          <w:rFonts w:ascii="Times New Roman" w:hAnsi="Times New Roman" w:cs="Times New Roman"/>
          <w:sz w:val="26"/>
          <w:szCs w:val="26"/>
        </w:rPr>
        <w:t xml:space="preserve"> those </w:t>
      </w:r>
      <w:r w:rsidR="00EA2FEF" w:rsidRPr="00EE5714">
        <w:rPr>
          <w:rFonts w:ascii="Times New Roman" w:hAnsi="Times New Roman" w:cs="Times New Roman"/>
          <w:sz w:val="26"/>
          <w:szCs w:val="26"/>
        </w:rPr>
        <w:t>FPIG levels</w:t>
      </w:r>
      <w:r w:rsidR="00F86070" w:rsidRPr="00EE5714">
        <w:rPr>
          <w:rFonts w:ascii="Times New Roman" w:hAnsi="Times New Roman" w:cs="Times New Roman"/>
          <w:sz w:val="26"/>
          <w:szCs w:val="26"/>
        </w:rPr>
        <w:t xml:space="preserve"> to $0 in the model and then calculated the </w:t>
      </w:r>
      <w:r w:rsidR="00D9249A" w:rsidRPr="00EE5714">
        <w:rPr>
          <w:rFonts w:ascii="Times New Roman" w:hAnsi="Times New Roman" w:cs="Times New Roman"/>
          <w:sz w:val="26"/>
          <w:szCs w:val="26"/>
        </w:rPr>
        <w:t xml:space="preserve">change needed </w:t>
      </w:r>
      <w:r w:rsidR="00F86070" w:rsidRPr="00EE5714">
        <w:rPr>
          <w:rFonts w:ascii="Times New Roman" w:hAnsi="Times New Roman" w:cs="Times New Roman"/>
          <w:sz w:val="26"/>
          <w:szCs w:val="26"/>
        </w:rPr>
        <w:t xml:space="preserve">to obtain the average cost of change for each </w:t>
      </w:r>
      <w:r w:rsidR="00094DF1" w:rsidRPr="00EE5714">
        <w:rPr>
          <w:rFonts w:ascii="Times New Roman" w:hAnsi="Times New Roman" w:cs="Times New Roman"/>
          <w:sz w:val="26"/>
          <w:szCs w:val="26"/>
        </w:rPr>
        <w:t>FPIG</w:t>
      </w:r>
      <w:r w:rsidR="003D218F" w:rsidRPr="00EE5714">
        <w:rPr>
          <w:rFonts w:ascii="Times New Roman" w:hAnsi="Times New Roman" w:cs="Times New Roman"/>
          <w:sz w:val="26"/>
          <w:szCs w:val="26"/>
        </w:rPr>
        <w:t xml:space="preserve"> level</w:t>
      </w:r>
      <w:r w:rsidR="00F86070" w:rsidRPr="00EE5714">
        <w:rPr>
          <w:rFonts w:ascii="Times New Roman" w:hAnsi="Times New Roman" w:cs="Times New Roman"/>
          <w:sz w:val="26"/>
          <w:szCs w:val="26"/>
        </w:rPr>
        <w:t xml:space="preserve">. </w:t>
      </w:r>
      <w:r w:rsidR="005B5C1E" w:rsidRPr="00EE5714">
        <w:rPr>
          <w:rFonts w:ascii="Times New Roman" w:hAnsi="Times New Roman" w:cs="Times New Roman"/>
          <w:sz w:val="26"/>
          <w:szCs w:val="26"/>
        </w:rPr>
        <w:t xml:space="preserve">  </w:t>
      </w:r>
    </w:p>
    <w:p w14:paraId="0621A64F" w14:textId="77777777" w:rsidR="005B5C1E" w:rsidRPr="00EE5714" w:rsidRDefault="005B5C1E" w:rsidP="00183BD6">
      <w:pPr>
        <w:spacing w:after="0" w:line="240" w:lineRule="auto"/>
        <w:ind w:firstLine="720"/>
        <w:jc w:val="center"/>
        <w:rPr>
          <w:rFonts w:ascii="Times New Roman" w:hAnsi="Times New Roman" w:cs="Times New Roman"/>
          <w:sz w:val="26"/>
          <w:szCs w:val="26"/>
        </w:rPr>
      </w:pPr>
    </w:p>
    <w:p w14:paraId="53F5EB48" w14:textId="77777777" w:rsidR="000A2797" w:rsidRPr="00EE5714" w:rsidRDefault="00914AAC" w:rsidP="000A2797">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Step</w:t>
      </w:r>
      <w:r w:rsidR="003B4543" w:rsidRPr="00EE5714">
        <w:rPr>
          <w:rFonts w:ascii="Times New Roman" w:hAnsi="Times New Roman" w:cs="Times New Roman"/>
          <w:b/>
          <w:bCs/>
          <w:sz w:val="26"/>
          <w:szCs w:val="26"/>
        </w:rPr>
        <w:t xml:space="preserve"> 5</w:t>
      </w:r>
      <w:r w:rsidR="00017B45" w:rsidRPr="00EE5714">
        <w:rPr>
          <w:rFonts w:ascii="Times New Roman" w:hAnsi="Times New Roman" w:cs="Times New Roman"/>
          <w:b/>
          <w:bCs/>
          <w:sz w:val="26"/>
          <w:szCs w:val="26"/>
        </w:rPr>
        <w:t xml:space="preserve">: </w:t>
      </w:r>
      <w:r w:rsidR="005B5C1E" w:rsidRPr="00EE5714">
        <w:rPr>
          <w:rFonts w:ascii="Times New Roman" w:hAnsi="Times New Roman" w:cs="Times New Roman"/>
          <w:b/>
          <w:bCs/>
          <w:sz w:val="26"/>
          <w:szCs w:val="26"/>
        </w:rPr>
        <w:t xml:space="preserve">Columbia Gas’ Change Needed to Reach 6% CAP Bill by </w:t>
      </w:r>
      <w:r w:rsidR="00094DF1" w:rsidRPr="00EE5714">
        <w:rPr>
          <w:rFonts w:ascii="Times New Roman" w:hAnsi="Times New Roman" w:cs="Times New Roman"/>
          <w:b/>
          <w:bCs/>
          <w:sz w:val="26"/>
          <w:szCs w:val="26"/>
        </w:rPr>
        <w:t>FPIG</w:t>
      </w:r>
      <w:r w:rsidR="005B5C1E" w:rsidRPr="00EE5714">
        <w:rPr>
          <w:rFonts w:ascii="Times New Roman" w:hAnsi="Times New Roman" w:cs="Times New Roman"/>
          <w:b/>
          <w:bCs/>
          <w:sz w:val="26"/>
          <w:szCs w:val="26"/>
        </w:rPr>
        <w:t xml:space="preserve"> </w:t>
      </w:r>
      <w:r w:rsidR="00F56249" w:rsidRPr="00EE5714">
        <w:rPr>
          <w:rFonts w:ascii="Times New Roman" w:hAnsi="Times New Roman" w:cs="Times New Roman"/>
          <w:b/>
          <w:bCs/>
          <w:sz w:val="26"/>
          <w:szCs w:val="26"/>
        </w:rPr>
        <w:t>Level</w:t>
      </w:r>
    </w:p>
    <w:p w14:paraId="1C50070B" w14:textId="77777777" w:rsidR="000A2797" w:rsidRPr="00EE5714" w:rsidRDefault="000A2797" w:rsidP="00F56249">
      <w:pPr>
        <w:keepNext/>
        <w:spacing w:after="0" w:line="240" w:lineRule="auto"/>
        <w:jc w:val="center"/>
        <w:rPr>
          <w:rFonts w:ascii="Times New Roman" w:hAnsi="Times New Roman" w:cs="Times New Roman"/>
          <w:sz w:val="26"/>
          <w:szCs w:val="26"/>
        </w:rPr>
      </w:pPr>
    </w:p>
    <w:p w14:paraId="452AFB53" w14:textId="77777777" w:rsidR="000B3555" w:rsidRPr="00EE5714" w:rsidRDefault="00EA5E08" w:rsidP="000B3555">
      <w:pPr>
        <w:spacing w:after="0" w:line="240" w:lineRule="auto"/>
        <w:jc w:val="center"/>
        <w:rPr>
          <w:rFonts w:ascii="Times New Roman" w:hAnsi="Times New Roman" w:cs="Times New Roman"/>
          <w:sz w:val="26"/>
          <w:szCs w:val="26"/>
        </w:rPr>
      </w:pPr>
      <w:r w:rsidRPr="00EE5714">
        <w:rPr>
          <w:noProof/>
        </w:rPr>
        <w:drawing>
          <wp:inline distT="0" distB="0" distL="0" distR="0" wp14:anchorId="47FB0335" wp14:editId="03B6EAF0">
            <wp:extent cx="3248025" cy="981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8025" cy="981075"/>
                    </a:xfrm>
                    <a:prstGeom prst="rect">
                      <a:avLst/>
                    </a:prstGeom>
                    <a:noFill/>
                    <a:ln>
                      <a:noFill/>
                    </a:ln>
                  </pic:spPr>
                </pic:pic>
              </a:graphicData>
            </a:graphic>
          </wp:inline>
        </w:drawing>
      </w:r>
    </w:p>
    <w:p w14:paraId="1CF88030" w14:textId="77777777" w:rsidR="00406D0A" w:rsidRPr="00EE5714" w:rsidRDefault="00406D0A" w:rsidP="000B3555">
      <w:pPr>
        <w:spacing w:after="0" w:line="240" w:lineRule="auto"/>
        <w:jc w:val="center"/>
        <w:rPr>
          <w:rFonts w:ascii="Times New Roman" w:hAnsi="Times New Roman" w:cs="Times New Roman"/>
          <w:sz w:val="26"/>
          <w:szCs w:val="26"/>
        </w:rPr>
      </w:pPr>
    </w:p>
    <w:p w14:paraId="045A6D89" w14:textId="77777777" w:rsidR="005B5C1E" w:rsidRPr="00EE5714" w:rsidRDefault="00017B45" w:rsidP="004611AC">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Staff</w:t>
      </w:r>
      <w:r w:rsidR="005B5C1E" w:rsidRPr="00EE5714">
        <w:rPr>
          <w:rFonts w:ascii="Times New Roman" w:hAnsi="Times New Roman" w:cs="Times New Roman"/>
          <w:sz w:val="26"/>
          <w:szCs w:val="26"/>
        </w:rPr>
        <w:t xml:space="preserve"> </w:t>
      </w:r>
      <w:r w:rsidR="00606F84" w:rsidRPr="00EE5714">
        <w:rPr>
          <w:rFonts w:ascii="Times New Roman" w:hAnsi="Times New Roman" w:cs="Times New Roman"/>
          <w:sz w:val="26"/>
          <w:szCs w:val="26"/>
        </w:rPr>
        <w:t xml:space="preserve">then </w:t>
      </w:r>
      <w:r w:rsidR="005B5C1E" w:rsidRPr="00EE5714">
        <w:rPr>
          <w:rFonts w:ascii="Times New Roman" w:hAnsi="Times New Roman" w:cs="Times New Roman"/>
          <w:sz w:val="26"/>
          <w:szCs w:val="26"/>
        </w:rPr>
        <w:t xml:space="preserve">multiplied the average estimated </w:t>
      </w:r>
      <w:r w:rsidR="00A6086F" w:rsidRPr="00EE5714">
        <w:rPr>
          <w:rFonts w:ascii="Times New Roman" w:hAnsi="Times New Roman" w:cs="Times New Roman"/>
          <w:sz w:val="26"/>
          <w:szCs w:val="26"/>
        </w:rPr>
        <w:t xml:space="preserve">change in </w:t>
      </w:r>
      <w:r w:rsidR="005B5C1E" w:rsidRPr="00EE5714">
        <w:rPr>
          <w:rFonts w:ascii="Times New Roman" w:hAnsi="Times New Roman" w:cs="Times New Roman"/>
          <w:sz w:val="26"/>
          <w:szCs w:val="26"/>
        </w:rPr>
        <w:t>CAP bill</w:t>
      </w:r>
      <w:r w:rsidR="00A6086F" w:rsidRPr="00EE5714">
        <w:rPr>
          <w:rFonts w:ascii="Times New Roman" w:hAnsi="Times New Roman" w:cs="Times New Roman"/>
          <w:sz w:val="26"/>
          <w:szCs w:val="26"/>
        </w:rPr>
        <w:t>ing</w:t>
      </w:r>
      <w:r w:rsidR="005B5C1E" w:rsidRPr="00EE5714" w:rsidDel="00A6086F">
        <w:rPr>
          <w:rFonts w:ascii="Times New Roman" w:hAnsi="Times New Roman" w:cs="Times New Roman"/>
          <w:sz w:val="26"/>
          <w:szCs w:val="26"/>
        </w:rPr>
        <w:t xml:space="preserve"> </w:t>
      </w:r>
      <w:r w:rsidR="005B5C1E" w:rsidRPr="00EE5714">
        <w:rPr>
          <w:rFonts w:ascii="Times New Roman" w:hAnsi="Times New Roman" w:cs="Times New Roman"/>
          <w:sz w:val="26"/>
          <w:szCs w:val="26"/>
        </w:rPr>
        <w:t xml:space="preserve">by the average number of CAP accounts billed </w:t>
      </w:r>
      <w:r w:rsidR="00606F84" w:rsidRPr="00EE5714">
        <w:rPr>
          <w:rFonts w:ascii="Times New Roman" w:hAnsi="Times New Roman" w:cs="Times New Roman"/>
          <w:sz w:val="26"/>
          <w:szCs w:val="26"/>
        </w:rPr>
        <w:t xml:space="preserve">from </w:t>
      </w:r>
      <w:r w:rsidR="005B5C1E" w:rsidRPr="00EE5714">
        <w:rPr>
          <w:rFonts w:ascii="Times New Roman" w:hAnsi="Times New Roman" w:cs="Times New Roman"/>
          <w:sz w:val="26"/>
          <w:szCs w:val="26"/>
        </w:rPr>
        <w:t>2012</w:t>
      </w:r>
      <w:r w:rsidR="00606F84" w:rsidRPr="00EE5714">
        <w:rPr>
          <w:rFonts w:ascii="Times New Roman" w:hAnsi="Times New Roman" w:cs="Times New Roman"/>
          <w:sz w:val="26"/>
          <w:szCs w:val="26"/>
        </w:rPr>
        <w:t xml:space="preserve"> to </w:t>
      </w:r>
      <w:r w:rsidR="005B5C1E" w:rsidRPr="00EE5714">
        <w:rPr>
          <w:rFonts w:ascii="Times New Roman" w:hAnsi="Times New Roman" w:cs="Times New Roman"/>
          <w:sz w:val="26"/>
          <w:szCs w:val="26"/>
        </w:rPr>
        <w:t xml:space="preserve">2016 for each </w:t>
      </w:r>
      <w:r w:rsidR="00094DF1" w:rsidRPr="00EE5714">
        <w:rPr>
          <w:rFonts w:ascii="Times New Roman" w:hAnsi="Times New Roman" w:cs="Times New Roman"/>
          <w:sz w:val="26"/>
          <w:szCs w:val="26"/>
        </w:rPr>
        <w:t>FPIG</w:t>
      </w:r>
      <w:r w:rsidR="004611AC" w:rsidRPr="00EE5714">
        <w:rPr>
          <w:rFonts w:ascii="Times New Roman" w:hAnsi="Times New Roman" w:cs="Times New Roman"/>
          <w:sz w:val="26"/>
          <w:szCs w:val="26"/>
        </w:rPr>
        <w:t xml:space="preserve"> level</w:t>
      </w:r>
      <w:r w:rsidR="005B5C1E" w:rsidRPr="00EE5714">
        <w:rPr>
          <w:rFonts w:ascii="Times New Roman" w:hAnsi="Times New Roman" w:cs="Times New Roman"/>
          <w:sz w:val="26"/>
          <w:szCs w:val="26"/>
        </w:rPr>
        <w:t>.</w:t>
      </w:r>
    </w:p>
    <w:p w14:paraId="1C28C7CF" w14:textId="77777777" w:rsidR="00790DB1" w:rsidRPr="00EE5714" w:rsidRDefault="00790DB1" w:rsidP="00790DB1">
      <w:pPr>
        <w:spacing w:after="0" w:line="240" w:lineRule="auto"/>
        <w:jc w:val="center"/>
        <w:rPr>
          <w:rFonts w:ascii="Times New Roman" w:hAnsi="Times New Roman" w:cs="Times New Roman"/>
          <w:sz w:val="26"/>
          <w:szCs w:val="26"/>
        </w:rPr>
      </w:pPr>
    </w:p>
    <w:p w14:paraId="63861C06" w14:textId="77777777" w:rsidR="005B5C1E" w:rsidRPr="00EE5714" w:rsidRDefault="00914AAC" w:rsidP="00A77138">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Step</w:t>
      </w:r>
      <w:r w:rsidR="0007255F" w:rsidRPr="00EE5714">
        <w:rPr>
          <w:rFonts w:ascii="Times New Roman" w:hAnsi="Times New Roman" w:cs="Times New Roman"/>
          <w:b/>
          <w:bCs/>
          <w:sz w:val="26"/>
          <w:szCs w:val="26"/>
        </w:rPr>
        <w:t xml:space="preserve"> 6</w:t>
      </w:r>
      <w:r w:rsidR="00BC5BC5" w:rsidRPr="00EE5714">
        <w:rPr>
          <w:rFonts w:ascii="Times New Roman" w:hAnsi="Times New Roman" w:cs="Times New Roman"/>
          <w:b/>
          <w:bCs/>
          <w:sz w:val="26"/>
          <w:szCs w:val="26"/>
        </w:rPr>
        <w:t xml:space="preserve">: </w:t>
      </w:r>
      <w:r w:rsidR="005B5C1E" w:rsidRPr="00EE5714">
        <w:rPr>
          <w:rFonts w:ascii="Times New Roman" w:hAnsi="Times New Roman" w:cs="Times New Roman"/>
          <w:b/>
          <w:bCs/>
          <w:sz w:val="26"/>
          <w:szCs w:val="26"/>
        </w:rPr>
        <w:t xml:space="preserve">Columbia Gas’ Incremental CAP Cost for Customers in </w:t>
      </w:r>
      <w:r w:rsidR="00BC5BC5" w:rsidRPr="00EE5714">
        <w:rPr>
          <w:rFonts w:ascii="Times New Roman" w:hAnsi="Times New Roman" w:cs="Times New Roman"/>
          <w:b/>
          <w:bCs/>
          <w:sz w:val="26"/>
          <w:szCs w:val="26"/>
        </w:rPr>
        <w:t xml:space="preserve">&lt; </w:t>
      </w:r>
      <w:r w:rsidR="005B5C1E" w:rsidRPr="00EE5714">
        <w:rPr>
          <w:rFonts w:ascii="Times New Roman" w:hAnsi="Times New Roman" w:cs="Times New Roman"/>
          <w:b/>
          <w:bCs/>
          <w:sz w:val="26"/>
          <w:szCs w:val="26"/>
        </w:rPr>
        <w:t xml:space="preserve">50% </w:t>
      </w:r>
      <w:r w:rsidR="00BC5BC5" w:rsidRPr="00EE5714">
        <w:rPr>
          <w:rFonts w:ascii="Times New Roman" w:hAnsi="Times New Roman" w:cs="Times New Roman"/>
          <w:b/>
          <w:bCs/>
          <w:sz w:val="26"/>
          <w:szCs w:val="26"/>
        </w:rPr>
        <w:t>FPIG</w:t>
      </w:r>
    </w:p>
    <w:p w14:paraId="2AEE0B7D" w14:textId="77777777" w:rsidR="00CC3D81" w:rsidRPr="00EE5714" w:rsidRDefault="00CC3D81" w:rsidP="00A77138">
      <w:pPr>
        <w:keepNext/>
        <w:spacing w:after="0" w:line="240" w:lineRule="auto"/>
        <w:jc w:val="center"/>
        <w:rPr>
          <w:rFonts w:ascii="Times New Roman" w:hAnsi="Times New Roman" w:cs="Times New Roman"/>
          <w:b/>
          <w:bCs/>
          <w:sz w:val="26"/>
          <w:szCs w:val="26"/>
        </w:rPr>
      </w:pPr>
    </w:p>
    <w:p w14:paraId="093B972D" w14:textId="77777777" w:rsidR="005B5C1E" w:rsidRPr="00EE5714" w:rsidRDefault="005B5C1E" w:rsidP="00790DB1">
      <w:pPr>
        <w:spacing w:after="0" w:line="240" w:lineRule="auto"/>
        <w:jc w:val="center"/>
        <w:rPr>
          <w:rFonts w:ascii="Times New Roman" w:hAnsi="Times New Roman" w:cs="Times New Roman"/>
          <w:sz w:val="26"/>
          <w:szCs w:val="26"/>
        </w:rPr>
      </w:pPr>
      <w:r w:rsidRPr="00EE5714">
        <w:rPr>
          <w:noProof/>
        </w:rPr>
        <w:drawing>
          <wp:inline distT="0" distB="0" distL="0" distR="0" wp14:anchorId="1B5FB522" wp14:editId="41B498D1">
            <wp:extent cx="600075" cy="4000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00BA7D8D"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X   </w:t>
      </w:r>
      <w:r w:rsidRPr="00EE5714">
        <w:rPr>
          <w:noProof/>
        </w:rPr>
        <w:drawing>
          <wp:inline distT="0" distB="0" distL="0" distR="0" wp14:anchorId="48575DFF" wp14:editId="5ABDD1D5">
            <wp:extent cx="619125" cy="4000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r w:rsidRPr="00EE5714">
        <w:rPr>
          <w:rFonts w:ascii="Times New Roman" w:hAnsi="Times New Roman" w:cs="Times New Roman"/>
          <w:sz w:val="26"/>
          <w:szCs w:val="26"/>
        </w:rPr>
        <w:t xml:space="preserve"> </w:t>
      </w:r>
      <w:r w:rsidRPr="00EE5714">
        <w:rPr>
          <w:rFonts w:ascii="Times New Roman" w:hAnsi="Times New Roman" w:cs="Times New Roman"/>
          <w:b/>
          <w:bCs/>
          <w:sz w:val="26"/>
          <w:szCs w:val="26"/>
        </w:rPr>
        <w:t xml:space="preserve">= </w:t>
      </w:r>
      <w:r w:rsidRPr="00EE5714">
        <w:rPr>
          <w:rFonts w:ascii="Times New Roman" w:hAnsi="Times New Roman" w:cs="Times New Roman"/>
          <w:sz w:val="26"/>
          <w:szCs w:val="26"/>
        </w:rPr>
        <w:t xml:space="preserve"> </w:t>
      </w:r>
      <w:r w:rsidRPr="00EE5714">
        <w:rPr>
          <w:noProof/>
        </w:rPr>
        <w:drawing>
          <wp:inline distT="0" distB="0" distL="0" distR="0" wp14:anchorId="3F27BC2F" wp14:editId="726B2ED0">
            <wp:extent cx="809625" cy="4000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p>
    <w:p w14:paraId="4E2347E1" w14:textId="77777777" w:rsidR="00790DB1" w:rsidRPr="00EE5714" w:rsidRDefault="00790DB1" w:rsidP="00790DB1">
      <w:pPr>
        <w:spacing w:after="0" w:line="240" w:lineRule="auto"/>
        <w:jc w:val="center"/>
        <w:rPr>
          <w:rFonts w:ascii="Times New Roman" w:hAnsi="Times New Roman" w:cs="Times New Roman"/>
          <w:sz w:val="26"/>
          <w:szCs w:val="26"/>
        </w:rPr>
      </w:pPr>
    </w:p>
    <w:p w14:paraId="3A8954DC" w14:textId="77777777" w:rsidR="0030787B" w:rsidRPr="00EE5714" w:rsidRDefault="005B5C1E" w:rsidP="00176BF1">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The resulting dollar amounts represent the incremental cost</w:t>
      </w:r>
      <w:r w:rsidR="008D5BEB" w:rsidRPr="00EE5714">
        <w:rPr>
          <w:rFonts w:ascii="Times New Roman" w:hAnsi="Times New Roman" w:cs="Times New Roman"/>
          <w:sz w:val="26"/>
          <w:szCs w:val="26"/>
        </w:rPr>
        <w:t xml:space="preserve"> </w:t>
      </w:r>
      <w:r w:rsidR="004C176C" w:rsidRPr="00EE5714">
        <w:rPr>
          <w:rFonts w:ascii="Times New Roman" w:hAnsi="Times New Roman" w:cs="Times New Roman"/>
          <w:sz w:val="26"/>
          <w:szCs w:val="26"/>
        </w:rPr>
        <w:t xml:space="preserve">that would be </w:t>
      </w:r>
      <w:r w:rsidRPr="00EE5714">
        <w:rPr>
          <w:rFonts w:ascii="Times New Roman" w:hAnsi="Times New Roman" w:cs="Times New Roman"/>
          <w:sz w:val="26"/>
          <w:szCs w:val="26"/>
        </w:rPr>
        <w:t xml:space="preserve">necessary to bring the </w:t>
      </w:r>
      <w:r w:rsidR="003C0C21" w:rsidRPr="00EE5714">
        <w:rPr>
          <w:rFonts w:ascii="Times New Roman" w:hAnsi="Times New Roman" w:cs="Times New Roman"/>
          <w:sz w:val="26"/>
          <w:szCs w:val="26"/>
        </w:rPr>
        <w:t>average CAP bills</w:t>
      </w:r>
      <w:r w:rsidRPr="00EE5714">
        <w:rPr>
          <w:rFonts w:ascii="Times New Roman" w:hAnsi="Times New Roman" w:cs="Times New Roman"/>
          <w:sz w:val="26"/>
          <w:szCs w:val="26"/>
        </w:rPr>
        <w:t xml:space="preserve"> in each </w:t>
      </w:r>
      <w:r w:rsidR="00094DF1" w:rsidRPr="00EE5714">
        <w:rPr>
          <w:rFonts w:ascii="Times New Roman" w:hAnsi="Times New Roman" w:cs="Times New Roman"/>
          <w:sz w:val="26"/>
          <w:szCs w:val="26"/>
        </w:rPr>
        <w:t>FPIG</w:t>
      </w:r>
      <w:r w:rsidRPr="00EE5714">
        <w:rPr>
          <w:rFonts w:ascii="Times New Roman" w:hAnsi="Times New Roman" w:cs="Times New Roman"/>
          <w:sz w:val="26"/>
          <w:szCs w:val="26"/>
        </w:rPr>
        <w:t xml:space="preserve"> </w:t>
      </w:r>
      <w:r w:rsidR="009C4EC8" w:rsidRPr="00EE5714">
        <w:rPr>
          <w:rFonts w:ascii="Times New Roman" w:hAnsi="Times New Roman" w:cs="Times New Roman"/>
          <w:sz w:val="26"/>
          <w:szCs w:val="26"/>
        </w:rPr>
        <w:t xml:space="preserve">level </w:t>
      </w:r>
      <w:r w:rsidRPr="00EE5714">
        <w:rPr>
          <w:rFonts w:ascii="Times New Roman" w:hAnsi="Times New Roman" w:cs="Times New Roman"/>
          <w:sz w:val="26"/>
          <w:szCs w:val="26"/>
        </w:rPr>
        <w:t xml:space="preserve">to the </w:t>
      </w:r>
      <w:r w:rsidR="00C315F5" w:rsidRPr="00EE5714">
        <w:rPr>
          <w:rFonts w:ascii="Times New Roman" w:hAnsi="Times New Roman" w:cs="Times New Roman"/>
          <w:sz w:val="26"/>
          <w:szCs w:val="26"/>
        </w:rPr>
        <w:t>selected</w:t>
      </w:r>
      <w:r w:rsidRPr="00EE5714">
        <w:rPr>
          <w:rFonts w:ascii="Times New Roman" w:hAnsi="Times New Roman" w:cs="Times New Roman"/>
          <w:sz w:val="26"/>
          <w:szCs w:val="26"/>
        </w:rPr>
        <w:t xml:space="preserve"> energy burdens. </w:t>
      </w:r>
      <w:r w:rsidR="00912995"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The dollar amounts are presented in the graphs </w:t>
      </w:r>
      <w:r w:rsidR="00F32FD6" w:rsidRPr="00EE5714">
        <w:rPr>
          <w:rFonts w:ascii="Times New Roman" w:hAnsi="Times New Roman" w:cs="Times New Roman"/>
          <w:sz w:val="26"/>
          <w:szCs w:val="26"/>
        </w:rPr>
        <w:t xml:space="preserve">below </w:t>
      </w:r>
      <w:r w:rsidRPr="00EE5714">
        <w:rPr>
          <w:rFonts w:ascii="Times New Roman" w:hAnsi="Times New Roman" w:cs="Times New Roman"/>
          <w:sz w:val="26"/>
          <w:szCs w:val="26"/>
        </w:rPr>
        <w:t xml:space="preserve">by individual utility and </w:t>
      </w:r>
      <w:r w:rsidRPr="00EE5714">
        <w:rPr>
          <w:rFonts w:ascii="Times New Roman" w:hAnsi="Times New Roman" w:cs="Times New Roman"/>
          <w:sz w:val="26"/>
          <w:szCs w:val="26"/>
        </w:rPr>
        <w:lastRenderedPageBreak/>
        <w:t xml:space="preserve">are expressed as negative numbers because they represent the </w:t>
      </w:r>
      <w:r w:rsidR="00F32FD6" w:rsidRPr="00EE5714">
        <w:rPr>
          <w:rFonts w:ascii="Times New Roman" w:hAnsi="Times New Roman" w:cs="Times New Roman"/>
          <w:sz w:val="26"/>
          <w:szCs w:val="26"/>
        </w:rPr>
        <w:t>addition</w:t>
      </w:r>
      <w:r w:rsidR="00A6086F" w:rsidRPr="00EE5714">
        <w:rPr>
          <w:rFonts w:ascii="Times New Roman" w:hAnsi="Times New Roman" w:cs="Times New Roman"/>
          <w:sz w:val="26"/>
          <w:szCs w:val="26"/>
        </w:rPr>
        <w:t>al</w:t>
      </w:r>
      <w:r w:rsidR="00F32FD6"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discount </w:t>
      </w:r>
      <w:r w:rsidR="00F32FD6" w:rsidRPr="00EE5714">
        <w:rPr>
          <w:rFonts w:ascii="Times New Roman" w:hAnsi="Times New Roman" w:cs="Times New Roman"/>
          <w:sz w:val="26"/>
          <w:szCs w:val="26"/>
        </w:rPr>
        <w:t>(</w:t>
      </w:r>
      <w:r w:rsidR="00C423F2" w:rsidRPr="00EE5714">
        <w:rPr>
          <w:rFonts w:ascii="Times New Roman" w:hAnsi="Times New Roman" w:cs="Times New Roman"/>
          <w:i/>
          <w:iCs/>
          <w:sz w:val="26"/>
          <w:szCs w:val="26"/>
        </w:rPr>
        <w:t>i.e.</w:t>
      </w:r>
      <w:r w:rsidR="00C423F2" w:rsidRPr="00EE5714">
        <w:rPr>
          <w:rFonts w:ascii="Times New Roman" w:hAnsi="Times New Roman" w:cs="Times New Roman"/>
          <w:sz w:val="26"/>
          <w:szCs w:val="26"/>
        </w:rPr>
        <w:t xml:space="preserve">, </w:t>
      </w:r>
      <w:r w:rsidR="00F32FD6" w:rsidRPr="00EE5714">
        <w:rPr>
          <w:rFonts w:ascii="Times New Roman" w:hAnsi="Times New Roman" w:cs="Times New Roman"/>
          <w:sz w:val="26"/>
          <w:szCs w:val="26"/>
        </w:rPr>
        <w:t>CAP credits)</w:t>
      </w:r>
      <w:r w:rsidRPr="00EE5714">
        <w:rPr>
          <w:rFonts w:ascii="Times New Roman" w:hAnsi="Times New Roman" w:cs="Times New Roman"/>
          <w:sz w:val="26"/>
          <w:szCs w:val="26"/>
        </w:rPr>
        <w:t xml:space="preserve">. </w:t>
      </w:r>
      <w:r w:rsidR="00912995"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The </w:t>
      </w:r>
      <w:r w:rsidR="00252804" w:rsidRPr="00EE5714">
        <w:rPr>
          <w:rFonts w:ascii="Times New Roman" w:hAnsi="Times New Roman" w:cs="Times New Roman"/>
          <w:sz w:val="26"/>
          <w:szCs w:val="26"/>
        </w:rPr>
        <w:t xml:space="preserve">customers in the </w:t>
      </w:r>
      <w:r w:rsidR="00094DF1" w:rsidRPr="00EE5714">
        <w:rPr>
          <w:rFonts w:ascii="Times New Roman" w:hAnsi="Times New Roman" w:cs="Times New Roman"/>
          <w:sz w:val="26"/>
          <w:szCs w:val="26"/>
        </w:rPr>
        <w:t>FPIG</w:t>
      </w:r>
      <w:r w:rsidRPr="00EE5714">
        <w:rPr>
          <w:rFonts w:ascii="Times New Roman" w:hAnsi="Times New Roman" w:cs="Times New Roman"/>
          <w:sz w:val="26"/>
          <w:szCs w:val="26"/>
        </w:rPr>
        <w:t xml:space="preserve"> </w:t>
      </w:r>
      <w:r w:rsidR="00EC6152" w:rsidRPr="00EE5714">
        <w:rPr>
          <w:rFonts w:ascii="Times New Roman" w:hAnsi="Times New Roman" w:cs="Times New Roman"/>
          <w:sz w:val="26"/>
          <w:szCs w:val="26"/>
        </w:rPr>
        <w:t xml:space="preserve">levels </w:t>
      </w:r>
      <w:r w:rsidRPr="00EE5714">
        <w:rPr>
          <w:rFonts w:ascii="Times New Roman" w:hAnsi="Times New Roman" w:cs="Times New Roman"/>
          <w:sz w:val="26"/>
          <w:szCs w:val="26"/>
        </w:rPr>
        <w:t xml:space="preserve">that </w:t>
      </w:r>
      <w:r w:rsidR="001D2442" w:rsidRPr="00EE5714">
        <w:rPr>
          <w:rFonts w:ascii="Times New Roman" w:hAnsi="Times New Roman" w:cs="Times New Roman"/>
          <w:sz w:val="26"/>
          <w:szCs w:val="26"/>
        </w:rPr>
        <w:t>were</w:t>
      </w:r>
      <w:r w:rsidR="005C3D68" w:rsidRPr="00EE5714">
        <w:rPr>
          <w:rFonts w:ascii="Times New Roman" w:hAnsi="Times New Roman" w:cs="Times New Roman"/>
          <w:sz w:val="26"/>
          <w:szCs w:val="26"/>
        </w:rPr>
        <w:t xml:space="preserve"> </w:t>
      </w:r>
      <w:r w:rsidRPr="00EE5714">
        <w:rPr>
          <w:rFonts w:ascii="Times New Roman" w:hAnsi="Times New Roman" w:cs="Times New Roman"/>
          <w:sz w:val="26"/>
          <w:szCs w:val="26"/>
        </w:rPr>
        <w:t xml:space="preserve">currently under the </w:t>
      </w:r>
      <w:r w:rsidR="00243993" w:rsidRPr="00EE5714">
        <w:rPr>
          <w:rFonts w:ascii="Times New Roman" w:hAnsi="Times New Roman" w:cs="Times New Roman"/>
          <w:sz w:val="26"/>
          <w:szCs w:val="26"/>
        </w:rPr>
        <w:t>selected</w:t>
      </w:r>
      <w:r w:rsidRPr="00EE5714">
        <w:rPr>
          <w:rFonts w:ascii="Times New Roman" w:hAnsi="Times New Roman" w:cs="Times New Roman"/>
          <w:sz w:val="26"/>
          <w:szCs w:val="26"/>
        </w:rPr>
        <w:t xml:space="preserve"> energy burden</w:t>
      </w:r>
      <w:r w:rsidR="00EC6152" w:rsidRPr="00EE5714">
        <w:rPr>
          <w:rFonts w:ascii="Times New Roman" w:hAnsi="Times New Roman" w:cs="Times New Roman"/>
          <w:sz w:val="26"/>
          <w:szCs w:val="26"/>
        </w:rPr>
        <w:t>s</w:t>
      </w:r>
      <w:r w:rsidRPr="00EE5714">
        <w:rPr>
          <w:rFonts w:ascii="Times New Roman" w:hAnsi="Times New Roman" w:cs="Times New Roman"/>
          <w:sz w:val="26"/>
          <w:szCs w:val="26"/>
        </w:rPr>
        <w:t xml:space="preserve"> are represented with $0 and </w:t>
      </w:r>
      <w:r w:rsidR="00566416" w:rsidRPr="00EE5714">
        <w:rPr>
          <w:rFonts w:ascii="Times New Roman" w:hAnsi="Times New Roman" w:cs="Times New Roman"/>
          <w:sz w:val="26"/>
          <w:szCs w:val="26"/>
        </w:rPr>
        <w:t xml:space="preserve">may </w:t>
      </w:r>
      <w:r w:rsidRPr="00EE5714">
        <w:rPr>
          <w:rFonts w:ascii="Times New Roman" w:hAnsi="Times New Roman" w:cs="Times New Roman"/>
          <w:sz w:val="26"/>
          <w:szCs w:val="26"/>
        </w:rPr>
        <w:t>see an increase in average CAP bill</w:t>
      </w:r>
      <w:r w:rsidR="0000072D" w:rsidRPr="00EE5714">
        <w:rPr>
          <w:rFonts w:ascii="Times New Roman" w:hAnsi="Times New Roman" w:cs="Times New Roman"/>
          <w:sz w:val="26"/>
          <w:szCs w:val="26"/>
        </w:rPr>
        <w:t>s</w:t>
      </w:r>
      <w:r w:rsidRPr="00EE5714">
        <w:rPr>
          <w:rFonts w:ascii="Times New Roman" w:hAnsi="Times New Roman" w:cs="Times New Roman"/>
          <w:sz w:val="26"/>
          <w:szCs w:val="26"/>
        </w:rPr>
        <w:t>.</w:t>
      </w:r>
      <w:r w:rsidR="006F0462" w:rsidRPr="00EE5714">
        <w:rPr>
          <w:rFonts w:ascii="Times New Roman" w:hAnsi="Times New Roman" w:cs="Times New Roman"/>
          <w:sz w:val="26"/>
          <w:szCs w:val="26"/>
        </w:rPr>
        <w:t xml:space="preserve">  </w:t>
      </w:r>
    </w:p>
    <w:p w14:paraId="418958C2" w14:textId="77777777" w:rsidR="007B6264" w:rsidRPr="00EE5714" w:rsidDel="00B5502A" w:rsidRDefault="007B6264" w:rsidP="007B6264">
      <w:pPr>
        <w:spacing w:after="0" w:line="240" w:lineRule="auto"/>
        <w:ind w:firstLine="720"/>
        <w:rPr>
          <w:rFonts w:ascii="Times New Roman" w:hAnsi="Times New Roman" w:cs="Times New Roman"/>
          <w:sz w:val="26"/>
          <w:szCs w:val="26"/>
        </w:rPr>
      </w:pPr>
    </w:p>
    <w:p w14:paraId="4D1EE657" w14:textId="65EF318D" w:rsidR="00F52F65" w:rsidRPr="00EE5714" w:rsidRDefault="00B5502A" w:rsidP="00F239D3">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The cost </w:t>
      </w:r>
      <w:r w:rsidR="003E24CB" w:rsidRPr="00EE5714">
        <w:rPr>
          <w:rFonts w:ascii="Times New Roman" w:hAnsi="Times New Roman" w:cs="Times New Roman"/>
          <w:sz w:val="26"/>
          <w:szCs w:val="26"/>
        </w:rPr>
        <w:t xml:space="preserve">projections </w:t>
      </w:r>
      <w:r w:rsidRPr="00EE5714">
        <w:rPr>
          <w:rFonts w:ascii="Times New Roman" w:hAnsi="Times New Roman" w:cs="Times New Roman"/>
          <w:sz w:val="26"/>
          <w:szCs w:val="26"/>
        </w:rPr>
        <w:t xml:space="preserve">presented in the following graphs do not </w:t>
      </w:r>
      <w:proofErr w:type="gramStart"/>
      <w:r w:rsidRPr="00EE5714">
        <w:rPr>
          <w:rFonts w:ascii="Times New Roman" w:hAnsi="Times New Roman" w:cs="Times New Roman"/>
          <w:sz w:val="26"/>
          <w:szCs w:val="26"/>
        </w:rPr>
        <w:t>take into account</w:t>
      </w:r>
      <w:proofErr w:type="gramEnd"/>
      <w:r w:rsidRPr="00EE5714">
        <w:rPr>
          <w:rFonts w:ascii="Times New Roman" w:hAnsi="Times New Roman" w:cs="Times New Roman"/>
          <w:sz w:val="26"/>
          <w:szCs w:val="26"/>
        </w:rPr>
        <w:t xml:space="preserve"> any administrative or programming costs that the utilities would incur to transition the CAP customers to new </w:t>
      </w:r>
      <w:r w:rsidR="00243993" w:rsidRPr="00EE5714">
        <w:rPr>
          <w:rFonts w:ascii="Times New Roman" w:hAnsi="Times New Roman" w:cs="Times New Roman"/>
          <w:sz w:val="26"/>
          <w:szCs w:val="26"/>
        </w:rPr>
        <w:t>energy burden</w:t>
      </w:r>
      <w:r w:rsidRPr="00EE5714">
        <w:rPr>
          <w:rFonts w:ascii="Times New Roman" w:hAnsi="Times New Roman" w:cs="Times New Roman"/>
          <w:sz w:val="26"/>
          <w:szCs w:val="26"/>
        </w:rPr>
        <w:t xml:space="preserve">s.  </w:t>
      </w:r>
      <w:r w:rsidR="00DD03C6" w:rsidRPr="00EE5714">
        <w:rPr>
          <w:rFonts w:ascii="Times New Roman" w:hAnsi="Times New Roman" w:cs="Times New Roman"/>
          <w:sz w:val="26"/>
          <w:szCs w:val="26"/>
        </w:rPr>
        <w:t>In addition, t</w:t>
      </w:r>
      <w:r w:rsidR="00274671" w:rsidRPr="00EE5714">
        <w:rPr>
          <w:rFonts w:ascii="Times New Roman" w:hAnsi="Times New Roman" w:cs="Times New Roman"/>
          <w:sz w:val="26"/>
          <w:szCs w:val="26"/>
        </w:rPr>
        <w:t>hese estimated costs</w:t>
      </w:r>
      <w:r w:rsidR="00DD03C6" w:rsidRPr="00EE5714">
        <w:rPr>
          <w:rFonts w:ascii="Times New Roman" w:hAnsi="Times New Roman" w:cs="Times New Roman"/>
          <w:sz w:val="26"/>
          <w:szCs w:val="26"/>
        </w:rPr>
        <w:t xml:space="preserve"> do not consider any limits </w:t>
      </w:r>
      <w:r w:rsidR="008A7B81" w:rsidRPr="00EE5714">
        <w:rPr>
          <w:rFonts w:ascii="Times New Roman" w:hAnsi="Times New Roman" w:cs="Times New Roman"/>
          <w:sz w:val="26"/>
          <w:szCs w:val="26"/>
        </w:rPr>
        <w:t>placed on</w:t>
      </w:r>
      <w:r w:rsidR="00DD03C6" w:rsidRPr="00EE5714">
        <w:rPr>
          <w:rFonts w:ascii="Times New Roman" w:hAnsi="Times New Roman" w:cs="Times New Roman"/>
          <w:sz w:val="26"/>
          <w:szCs w:val="26"/>
        </w:rPr>
        <w:t xml:space="preserve"> CAP credits</w:t>
      </w:r>
      <w:r w:rsidR="008A7B81" w:rsidRPr="00EE5714">
        <w:rPr>
          <w:rFonts w:ascii="Times New Roman" w:hAnsi="Times New Roman" w:cs="Times New Roman"/>
          <w:sz w:val="26"/>
          <w:szCs w:val="26"/>
        </w:rPr>
        <w:t xml:space="preserve"> by individual utilities</w:t>
      </w:r>
      <w:r w:rsidR="0030787B" w:rsidRPr="00EE5714">
        <w:rPr>
          <w:rFonts w:ascii="Times New Roman" w:hAnsi="Times New Roman" w:cs="Times New Roman"/>
          <w:sz w:val="26"/>
          <w:szCs w:val="26"/>
        </w:rPr>
        <w:t xml:space="preserve">.  </w:t>
      </w:r>
      <w:r w:rsidR="00034F3E" w:rsidRPr="00EE5714">
        <w:rPr>
          <w:rFonts w:ascii="Times New Roman" w:hAnsi="Times New Roman" w:cs="Times New Roman"/>
          <w:sz w:val="26"/>
          <w:szCs w:val="26"/>
        </w:rPr>
        <w:t>The m</w:t>
      </w:r>
      <w:r w:rsidR="00176BF1" w:rsidRPr="00EE5714">
        <w:rPr>
          <w:rFonts w:ascii="Times New Roman" w:hAnsi="Times New Roman" w:cs="Times New Roman"/>
          <w:sz w:val="26"/>
          <w:szCs w:val="26"/>
        </w:rPr>
        <w:t>odel</w:t>
      </w:r>
      <w:r w:rsidR="00F239D3" w:rsidRPr="00EE5714">
        <w:rPr>
          <w:rFonts w:ascii="Times New Roman" w:hAnsi="Times New Roman" w:cs="Times New Roman"/>
          <w:sz w:val="26"/>
          <w:szCs w:val="26"/>
        </w:rPr>
        <w:t xml:space="preserve"> does not consider the possibility of a reduction in CAP credits resulting from increased payments from those CAP customers who currently have less than a 10% energy burden. </w:t>
      </w:r>
      <w:r w:rsidR="00176BF1" w:rsidRPr="00EE5714">
        <w:rPr>
          <w:rFonts w:ascii="Times New Roman" w:hAnsi="Times New Roman" w:cs="Times New Roman"/>
          <w:sz w:val="26"/>
          <w:szCs w:val="26"/>
        </w:rPr>
        <w:t xml:space="preserve"> </w:t>
      </w:r>
      <w:r w:rsidR="00502F53" w:rsidRPr="00EE5714">
        <w:rPr>
          <w:rFonts w:ascii="Times New Roman" w:hAnsi="Times New Roman" w:cs="Times New Roman"/>
          <w:sz w:val="26"/>
          <w:szCs w:val="26"/>
        </w:rPr>
        <w:t>F</w:t>
      </w:r>
      <w:r w:rsidR="00E97BEE" w:rsidRPr="00EE5714">
        <w:rPr>
          <w:rFonts w:ascii="Times New Roman" w:hAnsi="Times New Roman" w:cs="Times New Roman"/>
          <w:sz w:val="26"/>
          <w:szCs w:val="26"/>
        </w:rPr>
        <w:t xml:space="preserve">urther, this model does not consider rate discount pricing.  </w:t>
      </w:r>
      <w:r w:rsidRPr="00EE5714">
        <w:rPr>
          <w:rFonts w:ascii="Times New Roman" w:hAnsi="Times New Roman" w:cs="Times New Roman"/>
          <w:sz w:val="26"/>
          <w:szCs w:val="26"/>
        </w:rPr>
        <w:t xml:space="preserve">The estimates in this model are not meant to be inclusive of all costs or factors but are provided to give an approximation of costs and are based on the data reported by the utilities for this study.  </w:t>
      </w:r>
    </w:p>
    <w:p w14:paraId="3577659B" w14:textId="77777777" w:rsidR="00F52F65" w:rsidRPr="00EE5714" w:rsidRDefault="00F52F65" w:rsidP="00B5502A">
      <w:pPr>
        <w:spacing w:after="0" w:line="240" w:lineRule="auto"/>
        <w:ind w:firstLine="720"/>
        <w:rPr>
          <w:rFonts w:ascii="Times New Roman" w:hAnsi="Times New Roman" w:cs="Times New Roman"/>
          <w:sz w:val="26"/>
          <w:szCs w:val="26"/>
        </w:rPr>
      </w:pPr>
    </w:p>
    <w:p w14:paraId="4081C885" w14:textId="77777777" w:rsidR="00B5502A" w:rsidRPr="00EE5714" w:rsidRDefault="00B5502A" w:rsidP="00A77138">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Table </w:t>
      </w:r>
      <w:r w:rsidR="007000A8" w:rsidRPr="00EE5714">
        <w:rPr>
          <w:rFonts w:ascii="Times New Roman" w:hAnsi="Times New Roman" w:cs="Times New Roman"/>
          <w:b/>
          <w:bCs/>
          <w:sz w:val="26"/>
          <w:szCs w:val="26"/>
        </w:rPr>
        <w:t>10-</w:t>
      </w:r>
      <w:r w:rsidR="00417D0E" w:rsidRPr="00EE5714">
        <w:rPr>
          <w:rFonts w:ascii="Times New Roman" w:hAnsi="Times New Roman" w:cs="Times New Roman"/>
          <w:b/>
          <w:bCs/>
          <w:sz w:val="26"/>
          <w:szCs w:val="26"/>
        </w:rPr>
        <w:t>7</w:t>
      </w:r>
    </w:p>
    <w:p w14:paraId="4DF66EA8" w14:textId="77777777" w:rsidR="00B5502A" w:rsidRPr="00EE5714" w:rsidRDefault="00B5502A" w:rsidP="00A77138">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NGDC </w:t>
      </w:r>
      <w:r w:rsidR="00FB6943" w:rsidRPr="00EE5714">
        <w:rPr>
          <w:rFonts w:ascii="Times New Roman" w:hAnsi="Times New Roman" w:cs="Times New Roman"/>
          <w:b/>
          <w:bCs/>
          <w:sz w:val="26"/>
          <w:szCs w:val="26"/>
        </w:rPr>
        <w:t>CAP Heating –</w:t>
      </w:r>
      <w:r w:rsidRPr="00EE5714">
        <w:rPr>
          <w:rFonts w:ascii="Times New Roman" w:hAnsi="Times New Roman" w:cs="Times New Roman"/>
          <w:b/>
          <w:bCs/>
          <w:sz w:val="26"/>
          <w:szCs w:val="26"/>
        </w:rPr>
        <w:t xml:space="preserve"> Discount Needed </w:t>
      </w:r>
      <w:proofErr w:type="gramStart"/>
      <w:r w:rsidR="00E11C5E" w:rsidRPr="00EE5714">
        <w:rPr>
          <w:rFonts w:ascii="Times New Roman" w:hAnsi="Times New Roman" w:cs="Times New Roman"/>
          <w:b/>
          <w:bCs/>
          <w:sz w:val="26"/>
          <w:szCs w:val="26"/>
        </w:rPr>
        <w:t>To</w:t>
      </w:r>
      <w:proofErr w:type="gramEnd"/>
      <w:r w:rsidR="00E11C5E" w:rsidRPr="00EE5714">
        <w:rPr>
          <w:rFonts w:ascii="Times New Roman" w:hAnsi="Times New Roman" w:cs="Times New Roman"/>
          <w:b/>
          <w:bCs/>
          <w:sz w:val="26"/>
          <w:szCs w:val="26"/>
        </w:rPr>
        <w:t xml:space="preserve"> Reach</w:t>
      </w:r>
      <w:r w:rsidRPr="00EE5714">
        <w:rPr>
          <w:rFonts w:ascii="Times New Roman" w:hAnsi="Times New Roman" w:cs="Times New Roman"/>
          <w:b/>
          <w:bCs/>
          <w:sz w:val="26"/>
          <w:szCs w:val="26"/>
        </w:rPr>
        <w:t xml:space="preserve"> 6% Energy Burden </w:t>
      </w:r>
    </w:p>
    <w:p w14:paraId="020002CB" w14:textId="77777777" w:rsidR="00B5502A" w:rsidRPr="00EE5714" w:rsidRDefault="00B5502A" w:rsidP="000745EA">
      <w:pPr>
        <w:jc w:val="center"/>
        <w:rPr>
          <w:rFonts w:ascii="Times New Roman" w:hAnsi="Times New Roman" w:cs="Times New Roman"/>
          <w:sz w:val="26"/>
          <w:szCs w:val="26"/>
        </w:rPr>
      </w:pPr>
      <w:r w:rsidRPr="00EE5714">
        <w:rPr>
          <w:noProof/>
        </w:rPr>
        <w:drawing>
          <wp:inline distT="0" distB="0" distL="0" distR="0" wp14:anchorId="14EFD64E" wp14:editId="4FFD21D0">
            <wp:extent cx="5943600" cy="2766695"/>
            <wp:effectExtent l="0" t="0" r="0" b="14605"/>
            <wp:docPr id="40" name="Chart 40">
              <a:extLst xmlns:a="http://schemas.openxmlformats.org/drawingml/2006/main">
                <a:ext uri="{FF2B5EF4-FFF2-40B4-BE49-F238E27FC236}">
                  <a16:creationId xmlns:a16="http://schemas.microsoft.com/office/drawing/2014/main" id="{2B9ABBDF-3866-4A8E-8D46-99A369EC7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577DE77" w14:textId="77777777" w:rsidR="002B03E1" w:rsidRPr="00EE5714" w:rsidRDefault="002B03E1" w:rsidP="002B03E1">
      <w:pPr>
        <w:spacing w:after="0" w:line="240" w:lineRule="auto"/>
        <w:ind w:firstLine="720"/>
        <w:rPr>
          <w:rFonts w:ascii="Times New Roman" w:hAnsi="Times New Roman" w:cs="Times New Roman"/>
          <w:sz w:val="26"/>
          <w:szCs w:val="26"/>
        </w:rPr>
      </w:pPr>
    </w:p>
    <w:p w14:paraId="729E6853" w14:textId="294E4DA4" w:rsidR="002B03E1" w:rsidRPr="00EE5714" w:rsidRDefault="002B03E1" w:rsidP="002B03E1">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Columbia Gas would only incur costs in this model for customers at the 0 to 50% FPIG level.  Peoples Gas would incur costs from the 0 to</w:t>
      </w:r>
      <w:r w:rsidR="001909A8">
        <w:rPr>
          <w:rFonts w:ascii="Times New Roman" w:hAnsi="Times New Roman" w:cs="Times New Roman"/>
          <w:sz w:val="26"/>
          <w:szCs w:val="26"/>
        </w:rPr>
        <w:t xml:space="preserve"> </w:t>
      </w:r>
      <w:r w:rsidRPr="00EE5714">
        <w:rPr>
          <w:rFonts w:ascii="Times New Roman" w:hAnsi="Times New Roman" w:cs="Times New Roman"/>
          <w:sz w:val="26"/>
          <w:szCs w:val="26"/>
        </w:rPr>
        <w:t xml:space="preserve">50% and 51 to 100% </w:t>
      </w:r>
      <w:r w:rsidR="003E24CB" w:rsidRPr="00EE5714">
        <w:rPr>
          <w:rFonts w:ascii="Times New Roman" w:hAnsi="Times New Roman" w:cs="Times New Roman"/>
          <w:sz w:val="26"/>
          <w:szCs w:val="26"/>
        </w:rPr>
        <w:t xml:space="preserve">FPIG levels </w:t>
      </w:r>
      <w:r w:rsidRPr="00EE5714">
        <w:rPr>
          <w:rFonts w:ascii="Times New Roman" w:hAnsi="Times New Roman" w:cs="Times New Roman"/>
          <w:sz w:val="26"/>
          <w:szCs w:val="26"/>
        </w:rPr>
        <w:t xml:space="preserve">but not from the 101 to 150% FPIG level.  PGW would incur the costliest transition, particularly in the 51 to 100% FPIG level.  </w:t>
      </w:r>
      <w:r w:rsidRPr="00EE5714">
        <w:rPr>
          <w:rFonts w:ascii="Times New Roman" w:hAnsi="Times New Roman" w:cs="Times New Roman"/>
          <w:i/>
          <w:iCs/>
          <w:sz w:val="26"/>
          <w:szCs w:val="26"/>
        </w:rPr>
        <w:t>See</w:t>
      </w:r>
      <w:r w:rsidRPr="00EE5714">
        <w:rPr>
          <w:rFonts w:ascii="Times New Roman" w:hAnsi="Times New Roman" w:cs="Times New Roman"/>
          <w:sz w:val="26"/>
          <w:szCs w:val="26"/>
        </w:rPr>
        <w:t xml:space="preserve"> Table 10-7.</w:t>
      </w:r>
    </w:p>
    <w:p w14:paraId="42153AFA" w14:textId="77777777" w:rsidR="000650D2" w:rsidRPr="00EE5714" w:rsidRDefault="000650D2" w:rsidP="002B03E1">
      <w:pPr>
        <w:spacing w:after="0" w:line="240" w:lineRule="auto"/>
        <w:ind w:firstLine="720"/>
        <w:rPr>
          <w:rFonts w:ascii="Times New Roman" w:hAnsi="Times New Roman" w:cs="Times New Roman"/>
          <w:sz w:val="26"/>
          <w:szCs w:val="26"/>
        </w:rPr>
      </w:pPr>
    </w:p>
    <w:p w14:paraId="4384685B" w14:textId="77777777" w:rsidR="002B03E1" w:rsidRPr="00EE5714" w:rsidRDefault="002B03E1" w:rsidP="002B03E1">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10-8</w:t>
      </w:r>
    </w:p>
    <w:p w14:paraId="49A4353D" w14:textId="77777777" w:rsidR="002B03E1" w:rsidRPr="00EE5714" w:rsidRDefault="002B03E1" w:rsidP="002B03E1">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EDC CAP Electric Heating – Additional Discount Needed for 10% Energy Burden</w:t>
      </w:r>
    </w:p>
    <w:p w14:paraId="3B9B3842" w14:textId="77777777" w:rsidR="002B03E1" w:rsidRPr="00EE5714" w:rsidRDefault="002B03E1" w:rsidP="000745EA">
      <w:pPr>
        <w:spacing w:after="0" w:line="240" w:lineRule="auto"/>
        <w:ind w:firstLine="90"/>
        <w:jc w:val="center"/>
        <w:rPr>
          <w:rFonts w:ascii="Times New Roman" w:hAnsi="Times New Roman" w:cs="Times New Roman"/>
          <w:sz w:val="26"/>
          <w:szCs w:val="26"/>
        </w:rPr>
      </w:pPr>
      <w:r w:rsidRPr="00EE5714">
        <w:rPr>
          <w:noProof/>
        </w:rPr>
        <w:drawing>
          <wp:inline distT="0" distB="0" distL="0" distR="0" wp14:anchorId="3D06FA3C" wp14:editId="4FBAA930">
            <wp:extent cx="5943600" cy="2950845"/>
            <wp:effectExtent l="0" t="0" r="0" b="1905"/>
            <wp:docPr id="57" name="Chart 57">
              <a:extLst xmlns:a="http://schemas.openxmlformats.org/drawingml/2006/main">
                <a:ext uri="{FF2B5EF4-FFF2-40B4-BE49-F238E27FC236}">
                  <a16:creationId xmlns:a16="http://schemas.microsoft.com/office/drawing/2014/main" id="{3D375E7E-0FF9-4B5C-8F49-2528C0021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CCA0050" w14:textId="77777777" w:rsidR="002B03E1" w:rsidRPr="00EE5714" w:rsidRDefault="002B03E1" w:rsidP="002B03E1">
      <w:pPr>
        <w:spacing w:after="0" w:line="240" w:lineRule="auto"/>
        <w:rPr>
          <w:rFonts w:ascii="Times New Roman" w:hAnsi="Times New Roman" w:cs="Times New Roman"/>
          <w:sz w:val="26"/>
          <w:szCs w:val="26"/>
        </w:rPr>
      </w:pPr>
    </w:p>
    <w:p w14:paraId="7C7AC9B6" w14:textId="77777777" w:rsidR="000F4935" w:rsidRPr="00EE5714" w:rsidRDefault="000F4935" w:rsidP="00863EFE">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All EDCs would incur costs at the 0</w:t>
      </w:r>
      <w:r w:rsidR="00551A0A"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50% FPIG level to bring </w:t>
      </w:r>
      <w:proofErr w:type="gramStart"/>
      <w:r w:rsidRPr="00EE5714">
        <w:rPr>
          <w:rFonts w:ascii="Times New Roman" w:hAnsi="Times New Roman" w:cs="Times New Roman"/>
          <w:sz w:val="26"/>
          <w:szCs w:val="26"/>
        </w:rPr>
        <w:t>all of</w:t>
      </w:r>
      <w:proofErr w:type="gramEnd"/>
      <w:r w:rsidRPr="00EE5714">
        <w:rPr>
          <w:rFonts w:ascii="Times New Roman" w:hAnsi="Times New Roman" w:cs="Times New Roman"/>
          <w:sz w:val="26"/>
          <w:szCs w:val="26"/>
        </w:rPr>
        <w:t xml:space="preserve"> the CAP electric heating customers to a 10% energy burden.  PECO Electric and PPL would incur the largest overall costs to align all heating customers to a 10% energy burden.  However, all the EDCs except for PECO Electric would have no incremental change </w:t>
      </w:r>
      <w:r w:rsidR="009604A8" w:rsidRPr="00EE5714">
        <w:rPr>
          <w:rFonts w:ascii="Times New Roman" w:hAnsi="Times New Roman" w:cs="Times New Roman"/>
          <w:sz w:val="26"/>
          <w:szCs w:val="26"/>
        </w:rPr>
        <w:t xml:space="preserve">of </w:t>
      </w:r>
      <w:r w:rsidRPr="00EE5714">
        <w:rPr>
          <w:rFonts w:ascii="Times New Roman" w:hAnsi="Times New Roman" w:cs="Times New Roman"/>
          <w:sz w:val="26"/>
          <w:szCs w:val="26"/>
        </w:rPr>
        <w:t xml:space="preserve">costs </w:t>
      </w:r>
      <w:r w:rsidR="00327D76" w:rsidRPr="00EE5714">
        <w:rPr>
          <w:rFonts w:ascii="Times New Roman" w:hAnsi="Times New Roman" w:cs="Times New Roman"/>
          <w:sz w:val="26"/>
          <w:szCs w:val="26"/>
        </w:rPr>
        <w:t>in</w:t>
      </w:r>
      <w:r w:rsidRPr="00EE5714">
        <w:rPr>
          <w:rFonts w:ascii="Times New Roman" w:hAnsi="Times New Roman" w:cs="Times New Roman"/>
          <w:sz w:val="26"/>
          <w:szCs w:val="26"/>
        </w:rPr>
        <w:t xml:space="preserve"> the 101</w:t>
      </w:r>
      <w:r w:rsidR="006E4EB9" w:rsidRPr="00EE5714">
        <w:rPr>
          <w:rFonts w:ascii="Times New Roman" w:hAnsi="Times New Roman" w:cs="Times New Roman"/>
          <w:sz w:val="26"/>
          <w:szCs w:val="26"/>
        </w:rPr>
        <w:t xml:space="preserve"> to </w:t>
      </w:r>
      <w:r w:rsidRPr="00EE5714">
        <w:rPr>
          <w:rFonts w:ascii="Times New Roman" w:hAnsi="Times New Roman" w:cs="Times New Roman"/>
          <w:sz w:val="26"/>
          <w:szCs w:val="26"/>
        </w:rPr>
        <w:t>150% FPIG level.</w:t>
      </w:r>
      <w:r w:rsidR="00C2323F" w:rsidRPr="00EE5714">
        <w:rPr>
          <w:rFonts w:ascii="Times New Roman" w:hAnsi="Times New Roman" w:cs="Times New Roman"/>
          <w:sz w:val="26"/>
          <w:szCs w:val="26"/>
        </w:rPr>
        <w:t xml:space="preserve">  </w:t>
      </w:r>
      <w:r w:rsidR="00C2323F" w:rsidRPr="00EE5714">
        <w:rPr>
          <w:rFonts w:ascii="Times New Roman" w:hAnsi="Times New Roman" w:cs="Times New Roman"/>
          <w:i/>
          <w:iCs/>
          <w:sz w:val="26"/>
          <w:szCs w:val="26"/>
        </w:rPr>
        <w:t>See</w:t>
      </w:r>
      <w:r w:rsidR="00C2323F" w:rsidRPr="00EE5714">
        <w:rPr>
          <w:rFonts w:ascii="Times New Roman" w:hAnsi="Times New Roman" w:cs="Times New Roman"/>
          <w:sz w:val="26"/>
          <w:szCs w:val="26"/>
        </w:rPr>
        <w:t xml:space="preserve"> Table 10-</w:t>
      </w:r>
      <w:r w:rsidR="002B03E1" w:rsidRPr="00EE5714">
        <w:rPr>
          <w:rFonts w:ascii="Times New Roman" w:hAnsi="Times New Roman" w:cs="Times New Roman"/>
          <w:sz w:val="26"/>
          <w:szCs w:val="26"/>
        </w:rPr>
        <w:t>8</w:t>
      </w:r>
      <w:r w:rsidR="00C2323F" w:rsidRPr="00EE5714">
        <w:rPr>
          <w:rFonts w:ascii="Times New Roman" w:hAnsi="Times New Roman" w:cs="Times New Roman"/>
          <w:sz w:val="26"/>
          <w:szCs w:val="26"/>
        </w:rPr>
        <w:t>.</w:t>
      </w:r>
    </w:p>
    <w:p w14:paraId="0D99445B" w14:textId="77777777" w:rsidR="002B03E1" w:rsidRPr="00EE5714" w:rsidRDefault="002B03E1" w:rsidP="002B03E1">
      <w:pPr>
        <w:keepNext/>
        <w:spacing w:after="0" w:line="240" w:lineRule="auto"/>
        <w:jc w:val="center"/>
        <w:rPr>
          <w:rFonts w:ascii="Times New Roman" w:hAnsi="Times New Roman" w:cs="Times New Roman"/>
          <w:sz w:val="26"/>
          <w:szCs w:val="26"/>
        </w:rPr>
      </w:pPr>
    </w:p>
    <w:p w14:paraId="4BE006A3" w14:textId="77777777" w:rsidR="002B03E1" w:rsidRPr="00EE5714" w:rsidRDefault="002B03E1" w:rsidP="002B03E1">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Table 10-9</w:t>
      </w:r>
    </w:p>
    <w:p w14:paraId="6C6B822A" w14:textId="77777777" w:rsidR="002B03E1" w:rsidRPr="00EE5714" w:rsidRDefault="002B03E1" w:rsidP="002B03E1">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EDC CAP Electric Non-Heat – Discount Needed </w:t>
      </w:r>
      <w:proofErr w:type="gramStart"/>
      <w:r w:rsidRPr="00EE5714">
        <w:rPr>
          <w:rFonts w:ascii="Times New Roman" w:hAnsi="Times New Roman" w:cs="Times New Roman"/>
          <w:b/>
          <w:bCs/>
          <w:sz w:val="26"/>
          <w:szCs w:val="26"/>
        </w:rPr>
        <w:t>To</w:t>
      </w:r>
      <w:proofErr w:type="gramEnd"/>
      <w:r w:rsidRPr="00EE5714">
        <w:rPr>
          <w:rFonts w:ascii="Times New Roman" w:hAnsi="Times New Roman" w:cs="Times New Roman"/>
          <w:b/>
          <w:bCs/>
          <w:sz w:val="26"/>
          <w:szCs w:val="26"/>
        </w:rPr>
        <w:t xml:space="preserve"> Reach 4% Energy Burden </w:t>
      </w:r>
    </w:p>
    <w:p w14:paraId="736D751F" w14:textId="77777777" w:rsidR="002B03E1" w:rsidRPr="00EE5714" w:rsidRDefault="002B03E1" w:rsidP="000745EA">
      <w:pPr>
        <w:jc w:val="center"/>
        <w:rPr>
          <w:rFonts w:ascii="Times New Roman" w:hAnsi="Times New Roman" w:cs="Times New Roman"/>
          <w:sz w:val="26"/>
          <w:szCs w:val="26"/>
        </w:rPr>
      </w:pPr>
      <w:r w:rsidRPr="00EE5714">
        <w:rPr>
          <w:noProof/>
        </w:rPr>
        <w:drawing>
          <wp:inline distT="0" distB="0" distL="0" distR="0" wp14:anchorId="46F964AA" wp14:editId="68979982">
            <wp:extent cx="5943600" cy="2937510"/>
            <wp:effectExtent l="0" t="0" r="0" b="15240"/>
            <wp:docPr id="726562274" name="Chart 726562274">
              <a:extLst xmlns:a="http://schemas.openxmlformats.org/drawingml/2006/main">
                <a:ext uri="{FF2B5EF4-FFF2-40B4-BE49-F238E27FC236}">
                  <a16:creationId xmlns:a16="http://schemas.microsoft.com/office/drawing/2014/main" id="{488262F2-E1B9-4C7E-9A45-B92BECDC7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9332DCF" w14:textId="77777777" w:rsidR="000F4935" w:rsidRPr="00EE5714" w:rsidRDefault="000F4935" w:rsidP="00863EFE">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b/>
        <w:t xml:space="preserve">The CAP electric non-heating customers make up the costliest of the account types to transition to a lower energy burden.  Currently, </w:t>
      </w:r>
      <w:proofErr w:type="gramStart"/>
      <w:r w:rsidRPr="00EE5714">
        <w:rPr>
          <w:rFonts w:ascii="Times New Roman" w:hAnsi="Times New Roman" w:cs="Times New Roman"/>
          <w:sz w:val="26"/>
          <w:szCs w:val="26"/>
        </w:rPr>
        <w:t>the majority of</w:t>
      </w:r>
      <w:proofErr w:type="gramEnd"/>
      <w:r w:rsidRPr="00EE5714">
        <w:rPr>
          <w:rFonts w:ascii="Times New Roman" w:hAnsi="Times New Roman" w:cs="Times New Roman"/>
          <w:sz w:val="26"/>
          <w:szCs w:val="26"/>
        </w:rPr>
        <w:t xml:space="preserve"> </w:t>
      </w:r>
      <w:r w:rsidR="00F32D1B" w:rsidRPr="00EE5714">
        <w:rPr>
          <w:rFonts w:ascii="Times New Roman" w:hAnsi="Times New Roman" w:cs="Times New Roman"/>
          <w:sz w:val="26"/>
          <w:szCs w:val="26"/>
        </w:rPr>
        <w:t xml:space="preserve">EDC non-heating </w:t>
      </w:r>
      <w:r w:rsidRPr="00EE5714">
        <w:rPr>
          <w:rFonts w:ascii="Times New Roman" w:hAnsi="Times New Roman" w:cs="Times New Roman"/>
          <w:sz w:val="26"/>
          <w:szCs w:val="26"/>
        </w:rPr>
        <w:t>CAP customers have energy burden</w:t>
      </w:r>
      <w:r w:rsidR="00466C85" w:rsidRPr="00EE5714">
        <w:rPr>
          <w:rFonts w:ascii="Times New Roman" w:hAnsi="Times New Roman" w:cs="Times New Roman"/>
          <w:sz w:val="26"/>
          <w:szCs w:val="26"/>
        </w:rPr>
        <w:t>s</w:t>
      </w:r>
      <w:r w:rsidRPr="00EE5714">
        <w:rPr>
          <w:rFonts w:ascii="Times New Roman" w:hAnsi="Times New Roman" w:cs="Times New Roman"/>
          <w:sz w:val="26"/>
          <w:szCs w:val="26"/>
        </w:rPr>
        <w:t xml:space="preserve"> that would exceed 4%.  </w:t>
      </w:r>
      <w:proofErr w:type="spellStart"/>
      <w:r w:rsidRPr="00EE5714">
        <w:rPr>
          <w:rFonts w:ascii="Times New Roman" w:hAnsi="Times New Roman" w:cs="Times New Roman"/>
          <w:sz w:val="26"/>
          <w:szCs w:val="26"/>
        </w:rPr>
        <w:t>Penelec</w:t>
      </w:r>
      <w:proofErr w:type="spellEnd"/>
      <w:r w:rsidRPr="00EE5714">
        <w:rPr>
          <w:rFonts w:ascii="Times New Roman" w:hAnsi="Times New Roman" w:cs="Times New Roman"/>
          <w:sz w:val="26"/>
          <w:szCs w:val="26"/>
        </w:rPr>
        <w:t xml:space="preserve"> would have the fewest CAP customers to transition and would only incur </w:t>
      </w:r>
      <w:r w:rsidR="00537966" w:rsidRPr="00EE5714">
        <w:rPr>
          <w:rFonts w:ascii="Times New Roman" w:hAnsi="Times New Roman" w:cs="Times New Roman"/>
          <w:sz w:val="26"/>
          <w:szCs w:val="26"/>
        </w:rPr>
        <w:t xml:space="preserve">increased </w:t>
      </w:r>
      <w:r w:rsidRPr="00EE5714">
        <w:rPr>
          <w:rFonts w:ascii="Times New Roman" w:hAnsi="Times New Roman" w:cs="Times New Roman"/>
          <w:sz w:val="26"/>
          <w:szCs w:val="26"/>
        </w:rPr>
        <w:t>costs from the 0</w:t>
      </w:r>
      <w:r w:rsidR="00D666F8" w:rsidRPr="00EE5714">
        <w:rPr>
          <w:rFonts w:ascii="Times New Roman" w:hAnsi="Times New Roman" w:cs="Times New Roman"/>
          <w:sz w:val="26"/>
          <w:szCs w:val="26"/>
        </w:rPr>
        <w:t xml:space="preserve"> to </w:t>
      </w:r>
      <w:r w:rsidRPr="00EE5714">
        <w:rPr>
          <w:rFonts w:ascii="Times New Roman" w:hAnsi="Times New Roman" w:cs="Times New Roman"/>
          <w:sz w:val="26"/>
          <w:szCs w:val="26"/>
        </w:rPr>
        <w:t xml:space="preserve">50% </w:t>
      </w:r>
      <w:r w:rsidR="00FB6943" w:rsidRPr="00EE5714">
        <w:rPr>
          <w:rFonts w:ascii="Times New Roman" w:hAnsi="Times New Roman" w:cs="Times New Roman"/>
          <w:sz w:val="26"/>
          <w:szCs w:val="26"/>
        </w:rPr>
        <w:t>FPIG</w:t>
      </w:r>
      <w:r w:rsidRPr="00EE5714">
        <w:rPr>
          <w:rFonts w:ascii="Times New Roman" w:hAnsi="Times New Roman" w:cs="Times New Roman"/>
          <w:sz w:val="26"/>
          <w:szCs w:val="26"/>
        </w:rPr>
        <w:t xml:space="preserve"> </w:t>
      </w:r>
      <w:r w:rsidR="00D666F8" w:rsidRPr="00EE5714">
        <w:rPr>
          <w:rFonts w:ascii="Times New Roman" w:hAnsi="Times New Roman" w:cs="Times New Roman"/>
          <w:sz w:val="26"/>
          <w:szCs w:val="26"/>
        </w:rPr>
        <w:t>level</w:t>
      </w:r>
      <w:r w:rsidRPr="00EE5714">
        <w:rPr>
          <w:rFonts w:ascii="Times New Roman" w:hAnsi="Times New Roman" w:cs="Times New Roman"/>
          <w:sz w:val="26"/>
          <w:szCs w:val="26"/>
        </w:rPr>
        <w:t xml:space="preserve">. </w:t>
      </w:r>
      <w:r w:rsidR="00C2323F" w:rsidRPr="00EE5714">
        <w:rPr>
          <w:rFonts w:ascii="Times New Roman" w:hAnsi="Times New Roman" w:cs="Times New Roman"/>
          <w:sz w:val="26"/>
          <w:szCs w:val="26"/>
        </w:rPr>
        <w:t xml:space="preserve"> </w:t>
      </w:r>
      <w:r w:rsidR="00C2323F" w:rsidRPr="00EE5714">
        <w:rPr>
          <w:rFonts w:ascii="Times New Roman" w:hAnsi="Times New Roman" w:cs="Times New Roman"/>
          <w:i/>
          <w:iCs/>
          <w:sz w:val="26"/>
          <w:szCs w:val="26"/>
        </w:rPr>
        <w:t>See</w:t>
      </w:r>
      <w:r w:rsidR="00C2323F" w:rsidRPr="00EE5714">
        <w:rPr>
          <w:rFonts w:ascii="Times New Roman" w:hAnsi="Times New Roman" w:cs="Times New Roman"/>
          <w:sz w:val="26"/>
          <w:szCs w:val="26"/>
        </w:rPr>
        <w:t xml:space="preserve"> Table 10-</w:t>
      </w:r>
      <w:r w:rsidR="002B03E1" w:rsidRPr="00EE5714">
        <w:rPr>
          <w:rFonts w:ascii="Times New Roman" w:hAnsi="Times New Roman" w:cs="Times New Roman"/>
          <w:sz w:val="26"/>
          <w:szCs w:val="26"/>
        </w:rPr>
        <w:t>9</w:t>
      </w:r>
      <w:r w:rsidR="00C2323F" w:rsidRPr="00EE5714">
        <w:rPr>
          <w:rFonts w:ascii="Times New Roman" w:hAnsi="Times New Roman" w:cs="Times New Roman"/>
          <w:sz w:val="26"/>
          <w:szCs w:val="26"/>
        </w:rPr>
        <w:t>.</w:t>
      </w:r>
    </w:p>
    <w:p w14:paraId="4B71284E" w14:textId="77777777" w:rsidR="00B5502A" w:rsidRPr="00EE5714" w:rsidRDefault="00B5502A" w:rsidP="000745EA">
      <w:pPr>
        <w:spacing w:after="0" w:line="240" w:lineRule="auto"/>
        <w:ind w:firstLine="720"/>
        <w:rPr>
          <w:rFonts w:ascii="Times New Roman" w:hAnsi="Times New Roman" w:cs="Times New Roman"/>
          <w:sz w:val="26"/>
          <w:szCs w:val="26"/>
        </w:rPr>
      </w:pPr>
    </w:p>
    <w:p w14:paraId="4F240476" w14:textId="77777777" w:rsidR="00B5502A" w:rsidRPr="00EE5714" w:rsidRDefault="00B5502A" w:rsidP="00A77138">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 xml:space="preserve">Table </w:t>
      </w:r>
      <w:r w:rsidR="000236F1" w:rsidRPr="00EE5714">
        <w:rPr>
          <w:rFonts w:ascii="Times New Roman" w:hAnsi="Times New Roman" w:cs="Times New Roman"/>
          <w:b/>
          <w:bCs/>
          <w:sz w:val="26"/>
          <w:szCs w:val="26"/>
        </w:rPr>
        <w:t>10-</w:t>
      </w:r>
      <w:r w:rsidR="00655FE9" w:rsidRPr="00EE5714">
        <w:rPr>
          <w:rFonts w:ascii="Times New Roman" w:hAnsi="Times New Roman" w:cs="Times New Roman"/>
          <w:b/>
          <w:bCs/>
          <w:sz w:val="26"/>
          <w:szCs w:val="26"/>
        </w:rPr>
        <w:t>10</w:t>
      </w:r>
    </w:p>
    <w:p w14:paraId="33CC11B0" w14:textId="77777777" w:rsidR="00B5502A" w:rsidRPr="00EE5714" w:rsidRDefault="00B5502A" w:rsidP="00A77138">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Estimated Total Cost to Change </w:t>
      </w:r>
      <w:r w:rsidR="00960722" w:rsidRPr="00EE5714">
        <w:rPr>
          <w:rFonts w:ascii="Times New Roman" w:hAnsi="Times New Roman" w:cs="Times New Roman"/>
          <w:b/>
          <w:bCs/>
          <w:sz w:val="26"/>
          <w:szCs w:val="26"/>
        </w:rPr>
        <w:t>A</w:t>
      </w:r>
      <w:r w:rsidRPr="00EE5714">
        <w:rPr>
          <w:rFonts w:ascii="Times New Roman" w:hAnsi="Times New Roman" w:cs="Times New Roman"/>
          <w:b/>
          <w:bCs/>
          <w:sz w:val="26"/>
          <w:szCs w:val="26"/>
        </w:rPr>
        <w:t xml:space="preserve">ll </w:t>
      </w:r>
      <w:r w:rsidR="00A040CF" w:rsidRPr="00EE5714">
        <w:rPr>
          <w:rFonts w:ascii="Times New Roman" w:hAnsi="Times New Roman" w:cs="Times New Roman"/>
          <w:b/>
          <w:bCs/>
          <w:sz w:val="26"/>
          <w:szCs w:val="26"/>
        </w:rPr>
        <w:t>FPIG</w:t>
      </w:r>
      <w:r w:rsidRPr="00EE5714">
        <w:rPr>
          <w:rFonts w:ascii="Times New Roman" w:hAnsi="Times New Roman" w:cs="Times New Roman"/>
          <w:b/>
          <w:bCs/>
          <w:sz w:val="26"/>
          <w:szCs w:val="26"/>
        </w:rPr>
        <w:t xml:space="preserve"> Levels of CAP Gas Heating Customers to Energy Burden</w:t>
      </w:r>
      <w:r w:rsidR="00A040CF" w:rsidRPr="00EE5714">
        <w:rPr>
          <w:rFonts w:ascii="Times New Roman" w:hAnsi="Times New Roman" w:cs="Times New Roman"/>
          <w:b/>
          <w:bCs/>
          <w:sz w:val="26"/>
          <w:szCs w:val="26"/>
        </w:rPr>
        <w:t>s</w:t>
      </w:r>
      <w:r w:rsidRPr="00EE5714">
        <w:rPr>
          <w:rFonts w:ascii="Times New Roman" w:hAnsi="Times New Roman" w:cs="Times New Roman"/>
          <w:b/>
          <w:bCs/>
          <w:sz w:val="26"/>
          <w:szCs w:val="26"/>
        </w:rPr>
        <w:t xml:space="preserve"> of 6%</w:t>
      </w:r>
    </w:p>
    <w:p w14:paraId="36CF5937" w14:textId="77777777" w:rsidR="00B5502A" w:rsidRPr="00EE5714" w:rsidRDefault="00B5502A" w:rsidP="00B5502A">
      <w:pPr>
        <w:jc w:val="center"/>
        <w:rPr>
          <w:rFonts w:ascii="Times New Roman" w:hAnsi="Times New Roman" w:cs="Times New Roman"/>
          <w:b/>
          <w:sz w:val="26"/>
          <w:szCs w:val="26"/>
        </w:rPr>
      </w:pPr>
      <w:r w:rsidRPr="00EE5714">
        <w:rPr>
          <w:noProof/>
        </w:rPr>
        <w:drawing>
          <wp:inline distT="0" distB="0" distL="0" distR="0" wp14:anchorId="1AE90292" wp14:editId="7814558E">
            <wp:extent cx="5943600" cy="2818765"/>
            <wp:effectExtent l="0" t="0" r="0" b="635"/>
            <wp:docPr id="58" name="Chart 58">
              <a:extLst xmlns:a="http://schemas.openxmlformats.org/drawingml/2006/main">
                <a:ext uri="{FF2B5EF4-FFF2-40B4-BE49-F238E27FC236}">
                  <a16:creationId xmlns:a16="http://schemas.microsoft.com/office/drawing/2014/main" id="{75B60216-BA88-4A94-82BE-C310B9A93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B9E695F" w14:textId="77777777" w:rsidR="00F32D1B" w:rsidRPr="00EE5714" w:rsidRDefault="00F32D1B" w:rsidP="00890ED4">
      <w:pPr>
        <w:spacing w:after="0" w:line="240" w:lineRule="auto"/>
        <w:ind w:firstLine="720"/>
        <w:rPr>
          <w:rFonts w:ascii="Times New Roman" w:hAnsi="Times New Roman" w:cs="Times New Roman"/>
          <w:sz w:val="26"/>
          <w:szCs w:val="26"/>
        </w:rPr>
      </w:pPr>
    </w:p>
    <w:p w14:paraId="173D4BEA" w14:textId="77777777" w:rsidR="00F32D1B" w:rsidRPr="00EE5714" w:rsidRDefault="00F32D1B" w:rsidP="00A77138">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Table </w:t>
      </w:r>
      <w:r w:rsidR="00C12430" w:rsidRPr="00EE5714">
        <w:rPr>
          <w:rFonts w:ascii="Times New Roman" w:hAnsi="Times New Roman" w:cs="Times New Roman"/>
          <w:b/>
          <w:bCs/>
          <w:sz w:val="26"/>
          <w:szCs w:val="26"/>
        </w:rPr>
        <w:t>10-</w:t>
      </w:r>
      <w:r w:rsidR="00655FE9" w:rsidRPr="00EE5714">
        <w:rPr>
          <w:rFonts w:ascii="Times New Roman" w:hAnsi="Times New Roman" w:cs="Times New Roman"/>
          <w:b/>
          <w:bCs/>
          <w:sz w:val="26"/>
          <w:szCs w:val="26"/>
        </w:rPr>
        <w:t>11</w:t>
      </w:r>
    </w:p>
    <w:p w14:paraId="259600CA" w14:textId="77777777" w:rsidR="00F32D1B" w:rsidRPr="00EE5714" w:rsidRDefault="00F32D1B" w:rsidP="00A77138">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Estimated Total Cost to Change </w:t>
      </w:r>
      <w:r w:rsidR="005B657F" w:rsidRPr="00EE5714">
        <w:rPr>
          <w:rFonts w:ascii="Times New Roman" w:hAnsi="Times New Roman" w:cs="Times New Roman"/>
          <w:b/>
          <w:bCs/>
          <w:sz w:val="26"/>
          <w:szCs w:val="26"/>
        </w:rPr>
        <w:t>A</w:t>
      </w:r>
      <w:r w:rsidRPr="00EE5714">
        <w:rPr>
          <w:rFonts w:ascii="Times New Roman" w:hAnsi="Times New Roman" w:cs="Times New Roman"/>
          <w:b/>
          <w:bCs/>
          <w:sz w:val="26"/>
          <w:szCs w:val="26"/>
        </w:rPr>
        <w:t xml:space="preserve">ll </w:t>
      </w:r>
      <w:r w:rsidR="00A040CF" w:rsidRPr="00EE5714">
        <w:rPr>
          <w:rFonts w:ascii="Times New Roman" w:hAnsi="Times New Roman" w:cs="Times New Roman"/>
          <w:b/>
          <w:bCs/>
          <w:sz w:val="26"/>
          <w:szCs w:val="26"/>
        </w:rPr>
        <w:t>FPIG</w:t>
      </w:r>
      <w:r w:rsidRPr="00EE5714">
        <w:rPr>
          <w:rFonts w:ascii="Times New Roman" w:hAnsi="Times New Roman" w:cs="Times New Roman"/>
          <w:b/>
          <w:bCs/>
          <w:sz w:val="26"/>
          <w:szCs w:val="26"/>
        </w:rPr>
        <w:t xml:space="preserve"> Levels of CAP Electric Heating Customers to Energy Burdens of 10%</w:t>
      </w:r>
    </w:p>
    <w:p w14:paraId="06A90261" w14:textId="77777777" w:rsidR="00F32D1B" w:rsidRPr="00EE5714" w:rsidRDefault="00F32D1B" w:rsidP="00F32D1B">
      <w:pPr>
        <w:jc w:val="center"/>
        <w:rPr>
          <w:rFonts w:ascii="Times New Roman" w:hAnsi="Times New Roman" w:cs="Times New Roman"/>
          <w:b/>
          <w:sz w:val="26"/>
          <w:szCs w:val="26"/>
        </w:rPr>
      </w:pPr>
      <w:r w:rsidRPr="00EE5714">
        <w:rPr>
          <w:noProof/>
        </w:rPr>
        <w:drawing>
          <wp:inline distT="0" distB="0" distL="0" distR="0" wp14:anchorId="3F232378" wp14:editId="4214883D">
            <wp:extent cx="5943600" cy="2782570"/>
            <wp:effectExtent l="0" t="0" r="0" b="17780"/>
            <wp:docPr id="60" name="Chart 60">
              <a:extLst xmlns:a="http://schemas.openxmlformats.org/drawingml/2006/main">
                <a:ext uri="{FF2B5EF4-FFF2-40B4-BE49-F238E27FC236}">
                  <a16:creationId xmlns:a16="http://schemas.microsoft.com/office/drawing/2014/main" id="{BF00A599-07A5-4B0C-93DA-EF1EB58605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CCCF12C" w14:textId="77777777" w:rsidR="00660233" w:rsidRPr="00EE5714" w:rsidRDefault="00660233" w:rsidP="00F32D1B">
      <w:pPr>
        <w:jc w:val="center"/>
        <w:rPr>
          <w:rFonts w:ascii="Times New Roman" w:hAnsi="Times New Roman" w:cs="Times New Roman"/>
          <w:b/>
          <w:sz w:val="26"/>
          <w:szCs w:val="26"/>
        </w:rPr>
      </w:pPr>
    </w:p>
    <w:p w14:paraId="7D4CE5B8" w14:textId="77777777" w:rsidR="00F32D1B" w:rsidRPr="00EE5714" w:rsidRDefault="00F32D1B" w:rsidP="00A77138">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 xml:space="preserve">Table </w:t>
      </w:r>
      <w:r w:rsidR="00C12430" w:rsidRPr="00EE5714">
        <w:rPr>
          <w:rFonts w:ascii="Times New Roman" w:hAnsi="Times New Roman" w:cs="Times New Roman"/>
          <w:b/>
          <w:bCs/>
          <w:sz w:val="26"/>
          <w:szCs w:val="26"/>
        </w:rPr>
        <w:t>10-1</w:t>
      </w:r>
      <w:r w:rsidR="00655FE9" w:rsidRPr="00EE5714">
        <w:rPr>
          <w:rFonts w:ascii="Times New Roman" w:hAnsi="Times New Roman" w:cs="Times New Roman"/>
          <w:b/>
          <w:bCs/>
          <w:sz w:val="26"/>
          <w:szCs w:val="26"/>
        </w:rPr>
        <w:t>2</w:t>
      </w:r>
    </w:p>
    <w:p w14:paraId="0A15C1A7" w14:textId="77777777" w:rsidR="00F32D1B" w:rsidRPr="00EE5714" w:rsidRDefault="00F32D1B" w:rsidP="00A77138">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 xml:space="preserve">Estimated Total Cost to Change </w:t>
      </w:r>
      <w:r w:rsidR="005B657F" w:rsidRPr="00EE5714">
        <w:rPr>
          <w:rFonts w:ascii="Times New Roman" w:hAnsi="Times New Roman" w:cs="Times New Roman"/>
          <w:b/>
          <w:bCs/>
          <w:sz w:val="26"/>
          <w:szCs w:val="26"/>
        </w:rPr>
        <w:t>A</w:t>
      </w:r>
      <w:r w:rsidRPr="00EE5714">
        <w:rPr>
          <w:rFonts w:ascii="Times New Roman" w:hAnsi="Times New Roman" w:cs="Times New Roman"/>
          <w:b/>
          <w:bCs/>
          <w:sz w:val="26"/>
          <w:szCs w:val="26"/>
        </w:rPr>
        <w:t xml:space="preserve">ll </w:t>
      </w:r>
      <w:r w:rsidR="00A040CF" w:rsidRPr="00EE5714">
        <w:rPr>
          <w:rFonts w:ascii="Times New Roman" w:hAnsi="Times New Roman" w:cs="Times New Roman"/>
          <w:b/>
          <w:bCs/>
          <w:sz w:val="26"/>
          <w:szCs w:val="26"/>
        </w:rPr>
        <w:t>FPIG</w:t>
      </w:r>
      <w:r w:rsidRPr="00EE5714">
        <w:rPr>
          <w:rFonts w:ascii="Times New Roman" w:hAnsi="Times New Roman" w:cs="Times New Roman"/>
          <w:b/>
          <w:bCs/>
          <w:sz w:val="26"/>
          <w:szCs w:val="26"/>
        </w:rPr>
        <w:t xml:space="preserve"> Levels of CAP Electric Non-Heating Customers to Energy Burdens of 4%</w:t>
      </w:r>
    </w:p>
    <w:p w14:paraId="7FB2D63E" w14:textId="77777777" w:rsidR="00F32D1B" w:rsidRPr="00EE5714" w:rsidRDefault="00F32D1B" w:rsidP="00F32D1B">
      <w:pPr>
        <w:jc w:val="center"/>
        <w:rPr>
          <w:rFonts w:ascii="Times New Roman" w:hAnsi="Times New Roman" w:cs="Times New Roman"/>
          <w:b/>
          <w:sz w:val="26"/>
          <w:szCs w:val="26"/>
        </w:rPr>
      </w:pPr>
      <w:r w:rsidRPr="00EE5714">
        <w:rPr>
          <w:noProof/>
        </w:rPr>
        <w:drawing>
          <wp:inline distT="0" distB="0" distL="0" distR="0" wp14:anchorId="28BB573D" wp14:editId="360E9926">
            <wp:extent cx="5943600" cy="2821940"/>
            <wp:effectExtent l="0" t="0" r="0" b="16510"/>
            <wp:docPr id="61" name="Chart 61">
              <a:extLst xmlns:a="http://schemas.openxmlformats.org/drawingml/2006/main">
                <a:ext uri="{FF2B5EF4-FFF2-40B4-BE49-F238E27FC236}">
                  <a16:creationId xmlns:a16="http://schemas.microsoft.com/office/drawing/2014/main" id="{2A17EFB8-568E-4AA0-BB49-2D4B81D95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AD1F9AB" w14:textId="77777777" w:rsidR="00F32D1B" w:rsidRPr="00EE5714" w:rsidRDefault="00F32D1B" w:rsidP="00F55D90">
      <w:pPr>
        <w:spacing w:after="0" w:line="240" w:lineRule="auto"/>
        <w:rPr>
          <w:rFonts w:ascii="Times New Roman" w:hAnsi="Times New Roman" w:cs="Times New Roman"/>
          <w:sz w:val="26"/>
          <w:szCs w:val="26"/>
        </w:rPr>
      </w:pPr>
    </w:p>
    <w:p w14:paraId="762D30D2" w14:textId="4B7C31C6" w:rsidR="00455D75" w:rsidRPr="00EE5714" w:rsidRDefault="009B5695" w:rsidP="000A279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The total costs </w:t>
      </w:r>
      <w:r w:rsidR="006C50D8">
        <w:rPr>
          <w:rFonts w:ascii="Times New Roman" w:hAnsi="Times New Roman" w:cs="Times New Roman"/>
          <w:sz w:val="26"/>
          <w:szCs w:val="26"/>
        </w:rPr>
        <w:t xml:space="preserve">for each </w:t>
      </w:r>
      <w:r w:rsidR="00937437">
        <w:rPr>
          <w:rFonts w:ascii="Times New Roman" w:hAnsi="Times New Roman" w:cs="Times New Roman"/>
          <w:sz w:val="26"/>
          <w:szCs w:val="26"/>
        </w:rPr>
        <w:t xml:space="preserve">utility within the </w:t>
      </w:r>
      <w:r w:rsidR="00FC39E7">
        <w:rPr>
          <w:rFonts w:ascii="Times New Roman" w:hAnsi="Times New Roman" w:cs="Times New Roman"/>
          <w:sz w:val="26"/>
          <w:szCs w:val="26"/>
        </w:rPr>
        <w:t xml:space="preserve">respective </w:t>
      </w:r>
      <w:r w:rsidR="006C50D8">
        <w:rPr>
          <w:rFonts w:ascii="Times New Roman" w:hAnsi="Times New Roman" w:cs="Times New Roman"/>
          <w:sz w:val="26"/>
          <w:szCs w:val="26"/>
        </w:rPr>
        <w:t xml:space="preserve">CAP segment are </w:t>
      </w:r>
      <w:r w:rsidRPr="00EE5714">
        <w:rPr>
          <w:rFonts w:ascii="Times New Roman" w:hAnsi="Times New Roman" w:cs="Times New Roman"/>
          <w:sz w:val="26"/>
          <w:szCs w:val="26"/>
        </w:rPr>
        <w:t>illustrated in the previous tables presented in Tables 10-10 to 10-1</w:t>
      </w:r>
      <w:r w:rsidR="00F96481">
        <w:rPr>
          <w:rFonts w:ascii="Times New Roman" w:hAnsi="Times New Roman" w:cs="Times New Roman"/>
          <w:sz w:val="26"/>
          <w:szCs w:val="26"/>
        </w:rPr>
        <w:t>2</w:t>
      </w:r>
      <w:r w:rsidRPr="00EE5714">
        <w:rPr>
          <w:rFonts w:ascii="Times New Roman" w:hAnsi="Times New Roman" w:cs="Times New Roman"/>
          <w:sz w:val="26"/>
          <w:szCs w:val="26"/>
        </w:rPr>
        <w:t xml:space="preserve">.  </w:t>
      </w:r>
    </w:p>
    <w:p w14:paraId="0907E6B3" w14:textId="77777777" w:rsidR="00455D75" w:rsidRPr="00EE5714" w:rsidRDefault="00455D75" w:rsidP="000A2797">
      <w:pPr>
        <w:spacing w:after="0" w:line="240" w:lineRule="auto"/>
        <w:ind w:firstLine="720"/>
        <w:rPr>
          <w:rFonts w:ascii="Times New Roman" w:hAnsi="Times New Roman" w:cs="Times New Roman"/>
          <w:sz w:val="26"/>
          <w:szCs w:val="26"/>
        </w:rPr>
      </w:pPr>
    </w:p>
    <w:p w14:paraId="5DA10AAA" w14:textId="5C57C60A" w:rsidR="00455D75" w:rsidRPr="00EE5714" w:rsidRDefault="009B5695" w:rsidP="000A279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Most NGDCs would see CAP cost increases of approximately $1</w:t>
      </w:r>
      <w:r w:rsidR="00960722" w:rsidRPr="00EE5714">
        <w:rPr>
          <w:rFonts w:ascii="Times New Roman" w:hAnsi="Times New Roman" w:cs="Times New Roman"/>
          <w:sz w:val="26"/>
          <w:szCs w:val="26"/>
        </w:rPr>
        <w:t> </w:t>
      </w:r>
      <w:r w:rsidRPr="00EE5714">
        <w:rPr>
          <w:rFonts w:ascii="Times New Roman" w:hAnsi="Times New Roman" w:cs="Times New Roman"/>
          <w:sz w:val="26"/>
          <w:szCs w:val="26"/>
        </w:rPr>
        <w:t xml:space="preserve">million.  PGW’s CAP budget, however, would increase by approximately $21 million.  The EDCs would have more overall costs because of the need to transition both heating and non-heating CAP customers from current energy burdens to new lower energy burdens.  </w:t>
      </w:r>
      <w:r w:rsidR="00DF3A13" w:rsidRPr="00EE5714">
        <w:rPr>
          <w:rFonts w:ascii="Times New Roman" w:hAnsi="Times New Roman" w:cs="Times New Roman"/>
          <w:i/>
          <w:iCs/>
          <w:sz w:val="26"/>
          <w:szCs w:val="26"/>
        </w:rPr>
        <w:t>See</w:t>
      </w:r>
      <w:r w:rsidR="00DF3A13" w:rsidRPr="00EE5714">
        <w:rPr>
          <w:rFonts w:ascii="Times New Roman" w:hAnsi="Times New Roman" w:cs="Times New Roman"/>
          <w:sz w:val="26"/>
          <w:szCs w:val="26"/>
        </w:rPr>
        <w:t xml:space="preserve"> Table 10-</w:t>
      </w:r>
      <w:r w:rsidR="00DF3A13">
        <w:rPr>
          <w:rFonts w:ascii="Times New Roman" w:hAnsi="Times New Roman" w:cs="Times New Roman"/>
          <w:sz w:val="26"/>
          <w:szCs w:val="26"/>
        </w:rPr>
        <w:t>10</w:t>
      </w:r>
    </w:p>
    <w:p w14:paraId="07291544" w14:textId="77777777" w:rsidR="00455D75" w:rsidRPr="00EE5714" w:rsidRDefault="00455D75" w:rsidP="000A2797">
      <w:pPr>
        <w:spacing w:after="0" w:line="240" w:lineRule="auto"/>
        <w:ind w:firstLine="720"/>
        <w:rPr>
          <w:rFonts w:ascii="Times New Roman" w:hAnsi="Times New Roman" w:cs="Times New Roman"/>
          <w:sz w:val="26"/>
          <w:szCs w:val="26"/>
        </w:rPr>
      </w:pPr>
    </w:p>
    <w:p w14:paraId="1A12BAFE" w14:textId="5EC69072" w:rsidR="00FF1573" w:rsidRDefault="009B61CC" w:rsidP="000A279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M</w:t>
      </w:r>
      <w:r w:rsidR="009B5695" w:rsidRPr="00EE5714">
        <w:rPr>
          <w:rFonts w:ascii="Times New Roman" w:hAnsi="Times New Roman" w:cs="Times New Roman"/>
          <w:sz w:val="26"/>
          <w:szCs w:val="26"/>
        </w:rPr>
        <w:t xml:space="preserve">ost EDCs would </w:t>
      </w:r>
      <w:r w:rsidR="00542221" w:rsidRPr="00EE5714">
        <w:rPr>
          <w:rFonts w:ascii="Times New Roman" w:hAnsi="Times New Roman" w:cs="Times New Roman"/>
          <w:sz w:val="26"/>
          <w:szCs w:val="26"/>
        </w:rPr>
        <w:t xml:space="preserve">see CAP cost increases of </w:t>
      </w:r>
      <w:r w:rsidR="009B5695" w:rsidRPr="00EE5714">
        <w:rPr>
          <w:rFonts w:ascii="Times New Roman" w:hAnsi="Times New Roman" w:cs="Times New Roman"/>
          <w:sz w:val="26"/>
          <w:szCs w:val="26"/>
        </w:rPr>
        <w:t>less than $9</w:t>
      </w:r>
      <w:r w:rsidR="006F3C44" w:rsidRPr="00EE5714">
        <w:rPr>
          <w:rFonts w:ascii="Times New Roman" w:hAnsi="Times New Roman" w:cs="Times New Roman"/>
          <w:sz w:val="26"/>
          <w:szCs w:val="26"/>
        </w:rPr>
        <w:t> </w:t>
      </w:r>
      <w:r w:rsidR="009B5695" w:rsidRPr="00EE5714">
        <w:rPr>
          <w:rFonts w:ascii="Times New Roman" w:hAnsi="Times New Roman" w:cs="Times New Roman"/>
          <w:sz w:val="26"/>
          <w:szCs w:val="26"/>
        </w:rPr>
        <w:t>million</w:t>
      </w:r>
      <w:r w:rsidR="006F3C44" w:rsidRPr="00EE5714">
        <w:rPr>
          <w:rFonts w:ascii="Times New Roman" w:hAnsi="Times New Roman" w:cs="Times New Roman"/>
          <w:sz w:val="26"/>
          <w:szCs w:val="26"/>
        </w:rPr>
        <w:t xml:space="preserve">. </w:t>
      </w:r>
      <w:r w:rsidR="009B5695" w:rsidRPr="00EE5714">
        <w:rPr>
          <w:rFonts w:ascii="Times New Roman" w:hAnsi="Times New Roman" w:cs="Times New Roman"/>
          <w:sz w:val="26"/>
          <w:szCs w:val="26"/>
        </w:rPr>
        <w:t xml:space="preserve"> Met-Ed, Penn Power, and </w:t>
      </w:r>
      <w:proofErr w:type="spellStart"/>
      <w:r w:rsidR="009B5695" w:rsidRPr="00EE5714">
        <w:rPr>
          <w:rFonts w:ascii="Times New Roman" w:hAnsi="Times New Roman" w:cs="Times New Roman"/>
          <w:sz w:val="26"/>
          <w:szCs w:val="26"/>
        </w:rPr>
        <w:t>Penelec</w:t>
      </w:r>
      <w:proofErr w:type="spellEnd"/>
      <w:r w:rsidR="009B5695" w:rsidRPr="00EE5714">
        <w:rPr>
          <w:rFonts w:ascii="Times New Roman" w:hAnsi="Times New Roman" w:cs="Times New Roman"/>
          <w:sz w:val="26"/>
          <w:szCs w:val="26"/>
        </w:rPr>
        <w:t xml:space="preserve"> CAP costs would increase between $1 to 2 million.  PECO Electric would experience a $38 million increase to its CAP costs.</w:t>
      </w:r>
      <w:r w:rsidR="00DF3A13">
        <w:rPr>
          <w:rFonts w:ascii="Times New Roman" w:hAnsi="Times New Roman" w:cs="Times New Roman"/>
          <w:sz w:val="26"/>
          <w:szCs w:val="26"/>
        </w:rPr>
        <w:t xml:space="preserve">  </w:t>
      </w:r>
      <w:r w:rsidR="00DF3A13" w:rsidRPr="00EE5714">
        <w:rPr>
          <w:rFonts w:ascii="Times New Roman" w:hAnsi="Times New Roman" w:cs="Times New Roman"/>
          <w:i/>
          <w:iCs/>
          <w:sz w:val="26"/>
          <w:szCs w:val="26"/>
        </w:rPr>
        <w:t>See</w:t>
      </w:r>
      <w:r w:rsidR="00DF3A13" w:rsidRPr="00EE5714">
        <w:rPr>
          <w:rFonts w:ascii="Times New Roman" w:hAnsi="Times New Roman" w:cs="Times New Roman"/>
          <w:sz w:val="26"/>
          <w:szCs w:val="26"/>
        </w:rPr>
        <w:t xml:space="preserve"> Table 10-</w:t>
      </w:r>
      <w:r w:rsidR="00DF3A13">
        <w:rPr>
          <w:rFonts w:ascii="Times New Roman" w:hAnsi="Times New Roman" w:cs="Times New Roman"/>
          <w:sz w:val="26"/>
          <w:szCs w:val="26"/>
        </w:rPr>
        <w:t>11 and 10-12.</w:t>
      </w:r>
    </w:p>
    <w:p w14:paraId="1C49D91C" w14:textId="77777777" w:rsidR="00FF1573" w:rsidRDefault="00FF1573" w:rsidP="000A2797">
      <w:pPr>
        <w:spacing w:after="0" w:line="240" w:lineRule="auto"/>
        <w:ind w:firstLine="720"/>
        <w:rPr>
          <w:rFonts w:ascii="Times New Roman" w:hAnsi="Times New Roman" w:cs="Times New Roman"/>
          <w:sz w:val="26"/>
          <w:szCs w:val="26"/>
        </w:rPr>
      </w:pPr>
    </w:p>
    <w:p w14:paraId="24D24320" w14:textId="77777777" w:rsidR="00B63DDE" w:rsidRDefault="00CB57E1" w:rsidP="000A2797">
      <w:pPr>
        <w:spacing w:after="0" w:line="240" w:lineRule="auto"/>
        <w:ind w:firstLine="720"/>
        <w:rPr>
          <w:rFonts w:ascii="Times New Roman" w:hAnsi="Times New Roman" w:cs="Times New Roman"/>
          <w:sz w:val="26"/>
          <w:szCs w:val="26"/>
        </w:rPr>
      </w:pPr>
      <w:r>
        <w:rPr>
          <w:rFonts w:ascii="Times New Roman" w:hAnsi="Times New Roman" w:cs="Times New Roman"/>
          <w:sz w:val="26"/>
          <w:szCs w:val="26"/>
        </w:rPr>
        <w:t xml:space="preserve">The total cost to change </w:t>
      </w:r>
      <w:r w:rsidR="00403A21">
        <w:rPr>
          <w:rFonts w:ascii="Times New Roman" w:hAnsi="Times New Roman" w:cs="Times New Roman"/>
          <w:sz w:val="26"/>
          <w:szCs w:val="26"/>
        </w:rPr>
        <w:t xml:space="preserve">all CAP customers in each segment represented in </w:t>
      </w:r>
      <w:r w:rsidR="00FF1573">
        <w:rPr>
          <w:rFonts w:ascii="Times New Roman" w:hAnsi="Times New Roman" w:cs="Times New Roman"/>
          <w:sz w:val="26"/>
          <w:szCs w:val="26"/>
        </w:rPr>
        <w:t>Tables 10-10</w:t>
      </w:r>
      <w:r w:rsidR="00D65F35">
        <w:rPr>
          <w:rFonts w:ascii="Times New Roman" w:hAnsi="Times New Roman" w:cs="Times New Roman"/>
          <w:sz w:val="26"/>
          <w:szCs w:val="26"/>
        </w:rPr>
        <w:t xml:space="preserve"> to 10-12 are summarized in Table 10-13 below.</w:t>
      </w:r>
      <w:r w:rsidR="00EE2A10">
        <w:rPr>
          <w:rFonts w:ascii="Times New Roman" w:hAnsi="Times New Roman" w:cs="Times New Roman"/>
          <w:sz w:val="26"/>
          <w:szCs w:val="26"/>
        </w:rPr>
        <w:t xml:space="preserve"> </w:t>
      </w:r>
    </w:p>
    <w:p w14:paraId="2C910113" w14:textId="77777777" w:rsidR="00B63DDE" w:rsidRDefault="00B63DDE" w:rsidP="000A2797">
      <w:pPr>
        <w:spacing w:after="0" w:line="240" w:lineRule="auto"/>
        <w:ind w:firstLine="720"/>
        <w:rPr>
          <w:rFonts w:ascii="Times New Roman" w:hAnsi="Times New Roman" w:cs="Times New Roman"/>
          <w:sz w:val="26"/>
          <w:szCs w:val="26"/>
        </w:rPr>
      </w:pPr>
    </w:p>
    <w:p w14:paraId="435517F1" w14:textId="6266BFFA" w:rsidR="000F6813" w:rsidRPr="00EE5714" w:rsidRDefault="000F6813" w:rsidP="00A25580">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lastRenderedPageBreak/>
        <w:t>Table 10-1</w:t>
      </w:r>
      <w:r>
        <w:rPr>
          <w:rFonts w:ascii="Times New Roman" w:hAnsi="Times New Roman" w:cs="Times New Roman"/>
          <w:b/>
          <w:bCs/>
          <w:sz w:val="26"/>
          <w:szCs w:val="26"/>
        </w:rPr>
        <w:t>3</w:t>
      </w:r>
    </w:p>
    <w:p w14:paraId="716A0866" w14:textId="4B7DB85D" w:rsidR="00C2121E" w:rsidRDefault="00E815D0">
      <w:pPr>
        <w:keepNext/>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 xml:space="preserve">Incremental </w:t>
      </w:r>
      <w:r w:rsidR="000F6813" w:rsidRPr="00EE5714">
        <w:rPr>
          <w:rFonts w:ascii="Times New Roman" w:hAnsi="Times New Roman" w:cs="Times New Roman"/>
          <w:b/>
          <w:bCs/>
          <w:sz w:val="26"/>
          <w:szCs w:val="26"/>
        </w:rPr>
        <w:t xml:space="preserve">Cost to Change </w:t>
      </w:r>
      <w:r>
        <w:rPr>
          <w:rFonts w:ascii="Times New Roman" w:hAnsi="Times New Roman" w:cs="Times New Roman"/>
          <w:b/>
          <w:bCs/>
          <w:sz w:val="26"/>
          <w:szCs w:val="26"/>
        </w:rPr>
        <w:t xml:space="preserve">Current </w:t>
      </w:r>
      <w:r w:rsidR="000F6813" w:rsidRPr="00EE5714">
        <w:rPr>
          <w:rFonts w:ascii="Times New Roman" w:hAnsi="Times New Roman" w:cs="Times New Roman"/>
          <w:b/>
          <w:bCs/>
          <w:sz w:val="26"/>
          <w:szCs w:val="26"/>
        </w:rPr>
        <w:t>CAP Customer</w:t>
      </w:r>
      <w:r w:rsidR="00D7709C">
        <w:rPr>
          <w:rFonts w:ascii="Times New Roman" w:hAnsi="Times New Roman" w:cs="Times New Roman"/>
          <w:b/>
          <w:bCs/>
          <w:sz w:val="26"/>
          <w:szCs w:val="26"/>
        </w:rPr>
        <w:t>s in Each Segment</w:t>
      </w:r>
      <w:r w:rsidR="00B62741">
        <w:rPr>
          <w:rFonts w:ascii="Times New Roman" w:hAnsi="Times New Roman" w:cs="Times New Roman"/>
          <w:b/>
          <w:bCs/>
          <w:sz w:val="26"/>
          <w:szCs w:val="26"/>
        </w:rPr>
        <w:t xml:space="preserve"> </w:t>
      </w:r>
      <w:r w:rsidR="00EE2A10">
        <w:rPr>
          <w:rFonts w:ascii="Times New Roman" w:hAnsi="Times New Roman" w:cs="Times New Roman"/>
          <w:b/>
          <w:bCs/>
          <w:sz w:val="26"/>
          <w:szCs w:val="26"/>
        </w:rPr>
        <w:t>w</w:t>
      </w:r>
      <w:r w:rsidR="00B62741">
        <w:rPr>
          <w:rFonts w:ascii="Times New Roman" w:hAnsi="Times New Roman" w:cs="Times New Roman"/>
          <w:b/>
          <w:bCs/>
          <w:sz w:val="26"/>
          <w:szCs w:val="26"/>
        </w:rPr>
        <w:t>ith Energy</w:t>
      </w:r>
      <w:r w:rsidR="000F6813" w:rsidRPr="00EE5714">
        <w:rPr>
          <w:rFonts w:ascii="Times New Roman" w:hAnsi="Times New Roman" w:cs="Times New Roman"/>
          <w:b/>
          <w:bCs/>
          <w:sz w:val="26"/>
          <w:szCs w:val="26"/>
        </w:rPr>
        <w:t xml:space="preserve"> Burdens</w:t>
      </w:r>
      <w:r w:rsidR="00B62741">
        <w:rPr>
          <w:rFonts w:ascii="Times New Roman" w:hAnsi="Times New Roman" w:cs="Times New Roman"/>
          <w:b/>
          <w:bCs/>
          <w:sz w:val="26"/>
          <w:szCs w:val="26"/>
        </w:rPr>
        <w:t xml:space="preserve"> Higher than 10%, 6%,</w:t>
      </w:r>
      <w:r w:rsidR="000F6813" w:rsidRPr="00EE5714">
        <w:rPr>
          <w:rFonts w:ascii="Times New Roman" w:hAnsi="Times New Roman" w:cs="Times New Roman"/>
          <w:b/>
          <w:bCs/>
          <w:sz w:val="26"/>
          <w:szCs w:val="26"/>
        </w:rPr>
        <w:t xml:space="preserve"> 4%</w:t>
      </w:r>
      <w:r w:rsidR="00712DD5">
        <w:rPr>
          <w:rFonts w:ascii="Times New Roman" w:hAnsi="Times New Roman" w:cs="Times New Roman"/>
          <w:b/>
          <w:bCs/>
          <w:sz w:val="26"/>
          <w:szCs w:val="26"/>
        </w:rPr>
        <w:t>, to the Targeted Energy Burdens</w:t>
      </w:r>
      <w:r w:rsidR="00EE2A10">
        <w:rPr>
          <w:rFonts w:ascii="Times New Roman" w:hAnsi="Times New Roman" w:cs="Times New Roman"/>
          <w:b/>
          <w:bCs/>
          <w:sz w:val="26"/>
          <w:szCs w:val="26"/>
        </w:rPr>
        <w:t xml:space="preserve"> Levels</w:t>
      </w:r>
    </w:p>
    <w:tbl>
      <w:tblPr>
        <w:tblW w:w="10720" w:type="dxa"/>
        <w:jc w:val="center"/>
        <w:tblLook w:val="04A0" w:firstRow="1" w:lastRow="0" w:firstColumn="1" w:lastColumn="0" w:noHBand="0" w:noVBand="1"/>
      </w:tblPr>
      <w:tblGrid>
        <w:gridCol w:w="3140"/>
        <w:gridCol w:w="1720"/>
        <w:gridCol w:w="2340"/>
        <w:gridCol w:w="2220"/>
        <w:gridCol w:w="1300"/>
      </w:tblGrid>
      <w:tr w:rsidR="00C2121E" w:rsidRPr="00C2121E" w14:paraId="75667E11" w14:textId="77777777" w:rsidTr="00862344">
        <w:trPr>
          <w:trHeight w:val="300"/>
          <w:jc w:val="center"/>
        </w:trPr>
        <w:tc>
          <w:tcPr>
            <w:tcW w:w="3140"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0BD132D6" w14:textId="77777777" w:rsidR="00C2121E" w:rsidRPr="00C2121E" w:rsidRDefault="00C2121E" w:rsidP="00241D61">
            <w:pPr>
              <w:keepNext/>
              <w:spacing w:after="0" w:line="240" w:lineRule="auto"/>
              <w:jc w:val="center"/>
              <w:rPr>
                <w:rFonts w:ascii="Calibri" w:eastAsia="Times New Roman" w:hAnsi="Calibri" w:cs="Calibri"/>
                <w:b/>
                <w:bCs/>
                <w:color w:val="000000"/>
              </w:rPr>
            </w:pPr>
            <w:r w:rsidRPr="00C2121E">
              <w:rPr>
                <w:rFonts w:ascii="Calibri" w:eastAsia="Times New Roman" w:hAnsi="Calibri" w:cs="Calibri"/>
                <w:b/>
                <w:bCs/>
                <w:color w:val="000000"/>
              </w:rPr>
              <w:t>CAP Customer Segment</w:t>
            </w:r>
          </w:p>
        </w:tc>
        <w:tc>
          <w:tcPr>
            <w:tcW w:w="1720"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397DFEE" w14:textId="77777777" w:rsidR="00C2121E" w:rsidRPr="00C2121E" w:rsidRDefault="00C2121E" w:rsidP="00241D61">
            <w:pPr>
              <w:keepNext/>
              <w:spacing w:after="0" w:line="240" w:lineRule="auto"/>
              <w:jc w:val="center"/>
              <w:rPr>
                <w:rFonts w:ascii="Calibri" w:eastAsia="Times New Roman" w:hAnsi="Calibri" w:cs="Calibri"/>
                <w:b/>
                <w:bCs/>
                <w:color w:val="000000"/>
              </w:rPr>
            </w:pPr>
            <w:r w:rsidRPr="00C2121E">
              <w:rPr>
                <w:rFonts w:ascii="Calibri" w:eastAsia="Times New Roman" w:hAnsi="Calibri" w:cs="Calibri"/>
                <w:b/>
                <w:bCs/>
                <w:color w:val="000000"/>
              </w:rPr>
              <w:t>Segment Cost</w:t>
            </w:r>
          </w:p>
        </w:tc>
        <w:tc>
          <w:tcPr>
            <w:tcW w:w="2340"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476A366" w14:textId="77777777" w:rsidR="00C2121E" w:rsidRPr="00C2121E" w:rsidRDefault="00C2121E" w:rsidP="00241D61">
            <w:pPr>
              <w:keepNext/>
              <w:spacing w:after="0" w:line="240" w:lineRule="auto"/>
              <w:jc w:val="center"/>
              <w:rPr>
                <w:rFonts w:ascii="Calibri" w:eastAsia="Times New Roman" w:hAnsi="Calibri" w:cs="Calibri"/>
                <w:b/>
                <w:bCs/>
                <w:color w:val="000000"/>
              </w:rPr>
            </w:pPr>
            <w:r w:rsidRPr="00C2121E">
              <w:rPr>
                <w:rFonts w:ascii="Calibri" w:eastAsia="Times New Roman" w:hAnsi="Calibri" w:cs="Calibri"/>
                <w:b/>
                <w:bCs/>
                <w:color w:val="000000"/>
              </w:rPr>
              <w:t>Incremental Additional Cost per Non-CAP Residential Customer</w:t>
            </w:r>
          </w:p>
        </w:tc>
        <w:tc>
          <w:tcPr>
            <w:tcW w:w="3520" w:type="dxa"/>
            <w:gridSpan w:val="2"/>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7667564B" w14:textId="77777777" w:rsidR="00C2121E" w:rsidRPr="00C2121E" w:rsidRDefault="00C2121E" w:rsidP="00241D61">
            <w:pPr>
              <w:keepNext/>
              <w:spacing w:after="0" w:line="240" w:lineRule="auto"/>
              <w:jc w:val="center"/>
              <w:rPr>
                <w:rFonts w:ascii="Calibri" w:eastAsia="Times New Roman" w:hAnsi="Calibri" w:cs="Calibri"/>
                <w:b/>
                <w:bCs/>
                <w:color w:val="000000"/>
              </w:rPr>
            </w:pPr>
            <w:r w:rsidRPr="00C2121E">
              <w:rPr>
                <w:rFonts w:ascii="Calibri" w:eastAsia="Times New Roman" w:hAnsi="Calibri" w:cs="Calibri"/>
                <w:b/>
                <w:bCs/>
                <w:color w:val="000000"/>
              </w:rPr>
              <w:t>2012-2016</w:t>
            </w:r>
          </w:p>
        </w:tc>
      </w:tr>
      <w:tr w:rsidR="00C2121E" w:rsidRPr="00C2121E" w14:paraId="1C717945" w14:textId="77777777" w:rsidTr="00862344">
        <w:trPr>
          <w:trHeight w:val="450"/>
          <w:jc w:val="center"/>
        </w:trPr>
        <w:tc>
          <w:tcPr>
            <w:tcW w:w="3140" w:type="dxa"/>
            <w:vMerge/>
            <w:tcBorders>
              <w:top w:val="single" w:sz="8" w:space="0" w:color="auto"/>
              <w:left w:val="single" w:sz="8" w:space="0" w:color="auto"/>
              <w:bottom w:val="single" w:sz="8" w:space="0" w:color="auto"/>
              <w:right w:val="single" w:sz="8" w:space="0" w:color="auto"/>
            </w:tcBorders>
            <w:vAlign w:val="center"/>
            <w:hideMark/>
          </w:tcPr>
          <w:p w14:paraId="77FF5812" w14:textId="77777777" w:rsidR="00C2121E" w:rsidRPr="00C2121E" w:rsidRDefault="00C2121E" w:rsidP="00E3207C">
            <w:pPr>
              <w:keepNext/>
              <w:spacing w:after="0" w:line="240" w:lineRule="auto"/>
              <w:rPr>
                <w:rFonts w:ascii="Calibri" w:eastAsia="Times New Roman" w:hAnsi="Calibri" w:cs="Calibri"/>
                <w:b/>
                <w:bCs/>
                <w:color w:val="000000"/>
              </w:rPr>
            </w:pPr>
          </w:p>
        </w:tc>
        <w:tc>
          <w:tcPr>
            <w:tcW w:w="1720" w:type="dxa"/>
            <w:vMerge/>
            <w:tcBorders>
              <w:top w:val="single" w:sz="8" w:space="0" w:color="auto"/>
              <w:left w:val="single" w:sz="8" w:space="0" w:color="auto"/>
              <w:bottom w:val="single" w:sz="8" w:space="0" w:color="auto"/>
              <w:right w:val="single" w:sz="8" w:space="0" w:color="auto"/>
            </w:tcBorders>
            <w:vAlign w:val="center"/>
            <w:hideMark/>
          </w:tcPr>
          <w:p w14:paraId="19E29B29" w14:textId="77777777" w:rsidR="00C2121E" w:rsidRPr="00C2121E" w:rsidRDefault="00C2121E" w:rsidP="00E3207C">
            <w:pPr>
              <w:keepNext/>
              <w:spacing w:after="0" w:line="240" w:lineRule="auto"/>
              <w:rPr>
                <w:rFonts w:ascii="Calibri" w:eastAsia="Times New Roman" w:hAnsi="Calibri" w:cs="Calibri"/>
                <w:b/>
                <w:bCs/>
                <w:color w:val="000000"/>
              </w:rPr>
            </w:pPr>
          </w:p>
        </w:tc>
        <w:tc>
          <w:tcPr>
            <w:tcW w:w="2340" w:type="dxa"/>
            <w:vMerge/>
            <w:tcBorders>
              <w:top w:val="single" w:sz="8" w:space="0" w:color="auto"/>
              <w:left w:val="single" w:sz="8" w:space="0" w:color="auto"/>
              <w:bottom w:val="single" w:sz="8" w:space="0" w:color="auto"/>
              <w:right w:val="single" w:sz="8" w:space="0" w:color="auto"/>
            </w:tcBorders>
            <w:vAlign w:val="center"/>
            <w:hideMark/>
          </w:tcPr>
          <w:p w14:paraId="256727AC" w14:textId="77777777" w:rsidR="00C2121E" w:rsidRPr="00C2121E" w:rsidRDefault="00C2121E" w:rsidP="00E3207C">
            <w:pPr>
              <w:keepNext/>
              <w:spacing w:after="0" w:line="240" w:lineRule="auto"/>
              <w:rPr>
                <w:rFonts w:ascii="Calibri" w:eastAsia="Times New Roman" w:hAnsi="Calibri" w:cs="Calibri"/>
                <w:b/>
                <w:bCs/>
                <w:color w:val="000000"/>
              </w:rPr>
            </w:pPr>
          </w:p>
        </w:tc>
        <w:tc>
          <w:tcPr>
            <w:tcW w:w="2220"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0169B8AC" w14:textId="77777777" w:rsidR="00C2121E" w:rsidRPr="00C2121E" w:rsidRDefault="00C2121E" w:rsidP="00E3207C">
            <w:pPr>
              <w:keepNext/>
              <w:spacing w:after="0" w:line="240" w:lineRule="auto"/>
              <w:jc w:val="center"/>
              <w:rPr>
                <w:rFonts w:ascii="Calibri" w:eastAsia="Times New Roman" w:hAnsi="Calibri" w:cs="Calibri"/>
                <w:b/>
                <w:bCs/>
                <w:color w:val="000000"/>
              </w:rPr>
            </w:pPr>
            <w:r w:rsidRPr="00C2121E">
              <w:rPr>
                <w:rFonts w:ascii="Calibri" w:eastAsia="Times New Roman" w:hAnsi="Calibri" w:cs="Calibri"/>
                <w:b/>
                <w:bCs/>
                <w:color w:val="000000"/>
              </w:rPr>
              <w:t>Average Number Residential Customers</w:t>
            </w:r>
          </w:p>
        </w:tc>
        <w:tc>
          <w:tcPr>
            <w:tcW w:w="1300"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4FDE4107" w14:textId="77777777" w:rsidR="00C2121E" w:rsidRPr="00C2121E" w:rsidRDefault="00C2121E" w:rsidP="00E3207C">
            <w:pPr>
              <w:keepNext/>
              <w:spacing w:after="0" w:line="240" w:lineRule="auto"/>
              <w:jc w:val="center"/>
              <w:rPr>
                <w:rFonts w:ascii="Calibri" w:eastAsia="Times New Roman" w:hAnsi="Calibri" w:cs="Calibri"/>
                <w:b/>
                <w:bCs/>
                <w:color w:val="000000"/>
              </w:rPr>
            </w:pPr>
            <w:r w:rsidRPr="00C2121E">
              <w:rPr>
                <w:rFonts w:ascii="Calibri" w:eastAsia="Times New Roman" w:hAnsi="Calibri" w:cs="Calibri"/>
                <w:b/>
                <w:bCs/>
                <w:color w:val="000000"/>
              </w:rPr>
              <w:t>Average CAP Enrollment</w:t>
            </w:r>
          </w:p>
        </w:tc>
      </w:tr>
      <w:tr w:rsidR="00C2121E" w:rsidRPr="00C2121E" w14:paraId="64BF24A6" w14:textId="77777777" w:rsidTr="00FF5D1A">
        <w:trPr>
          <w:trHeight w:val="450"/>
          <w:jc w:val="center"/>
        </w:trPr>
        <w:tc>
          <w:tcPr>
            <w:tcW w:w="3140" w:type="dxa"/>
            <w:vMerge/>
            <w:tcBorders>
              <w:top w:val="single" w:sz="8" w:space="0" w:color="auto"/>
              <w:left w:val="single" w:sz="8" w:space="0" w:color="auto"/>
              <w:bottom w:val="single" w:sz="8" w:space="0" w:color="auto"/>
              <w:right w:val="single" w:sz="8" w:space="0" w:color="auto"/>
            </w:tcBorders>
            <w:vAlign w:val="center"/>
            <w:hideMark/>
          </w:tcPr>
          <w:p w14:paraId="48461532" w14:textId="77777777" w:rsidR="00C2121E" w:rsidRPr="00C2121E" w:rsidRDefault="00C2121E" w:rsidP="00E3207C">
            <w:pPr>
              <w:keepNext/>
              <w:spacing w:after="0" w:line="240" w:lineRule="auto"/>
              <w:rPr>
                <w:rFonts w:ascii="Calibri" w:eastAsia="Times New Roman" w:hAnsi="Calibri" w:cs="Calibri"/>
                <w:b/>
                <w:bCs/>
                <w:color w:val="000000"/>
              </w:rPr>
            </w:pPr>
          </w:p>
        </w:tc>
        <w:tc>
          <w:tcPr>
            <w:tcW w:w="1720" w:type="dxa"/>
            <w:vMerge/>
            <w:tcBorders>
              <w:top w:val="single" w:sz="8" w:space="0" w:color="auto"/>
              <w:left w:val="single" w:sz="8" w:space="0" w:color="auto"/>
              <w:bottom w:val="single" w:sz="8" w:space="0" w:color="auto"/>
              <w:right w:val="single" w:sz="8" w:space="0" w:color="auto"/>
            </w:tcBorders>
            <w:vAlign w:val="center"/>
            <w:hideMark/>
          </w:tcPr>
          <w:p w14:paraId="43A803CB" w14:textId="77777777" w:rsidR="00C2121E" w:rsidRPr="00C2121E" w:rsidRDefault="00C2121E" w:rsidP="00E3207C">
            <w:pPr>
              <w:keepNext/>
              <w:spacing w:after="0" w:line="240" w:lineRule="auto"/>
              <w:rPr>
                <w:rFonts w:ascii="Calibri" w:eastAsia="Times New Roman" w:hAnsi="Calibri" w:cs="Calibri"/>
                <w:b/>
                <w:bCs/>
                <w:color w:val="000000"/>
              </w:rPr>
            </w:pPr>
          </w:p>
        </w:tc>
        <w:tc>
          <w:tcPr>
            <w:tcW w:w="2340" w:type="dxa"/>
            <w:vMerge/>
            <w:tcBorders>
              <w:top w:val="single" w:sz="8" w:space="0" w:color="auto"/>
              <w:left w:val="single" w:sz="8" w:space="0" w:color="auto"/>
              <w:bottom w:val="single" w:sz="8" w:space="0" w:color="auto"/>
              <w:right w:val="single" w:sz="8" w:space="0" w:color="auto"/>
            </w:tcBorders>
            <w:vAlign w:val="center"/>
            <w:hideMark/>
          </w:tcPr>
          <w:p w14:paraId="1FA65A6A" w14:textId="77777777" w:rsidR="00C2121E" w:rsidRPr="00C2121E" w:rsidRDefault="00C2121E" w:rsidP="00E3207C">
            <w:pPr>
              <w:keepNext/>
              <w:spacing w:after="0" w:line="240" w:lineRule="auto"/>
              <w:rPr>
                <w:rFonts w:ascii="Calibri" w:eastAsia="Times New Roman" w:hAnsi="Calibri" w:cs="Calibri"/>
                <w:b/>
                <w:bCs/>
                <w:color w:val="000000"/>
              </w:rPr>
            </w:pPr>
          </w:p>
        </w:tc>
        <w:tc>
          <w:tcPr>
            <w:tcW w:w="2220" w:type="dxa"/>
            <w:vMerge/>
            <w:tcBorders>
              <w:top w:val="single" w:sz="8" w:space="0" w:color="auto"/>
              <w:left w:val="single" w:sz="8" w:space="0" w:color="auto"/>
              <w:bottom w:val="single" w:sz="8" w:space="0" w:color="auto"/>
              <w:right w:val="single" w:sz="8" w:space="0" w:color="auto"/>
            </w:tcBorders>
            <w:vAlign w:val="center"/>
            <w:hideMark/>
          </w:tcPr>
          <w:p w14:paraId="4BE75BEA" w14:textId="77777777" w:rsidR="00C2121E" w:rsidRPr="00C2121E" w:rsidRDefault="00C2121E" w:rsidP="00E3207C">
            <w:pPr>
              <w:keepNext/>
              <w:spacing w:after="0" w:line="240" w:lineRule="auto"/>
              <w:rPr>
                <w:rFonts w:ascii="Calibri" w:eastAsia="Times New Roman" w:hAnsi="Calibri" w:cs="Calibri"/>
                <w:b/>
                <w:bCs/>
                <w:color w:val="000000"/>
              </w:rPr>
            </w:pPr>
          </w:p>
        </w:tc>
        <w:tc>
          <w:tcPr>
            <w:tcW w:w="1300" w:type="dxa"/>
            <w:vMerge/>
            <w:tcBorders>
              <w:top w:val="single" w:sz="8" w:space="0" w:color="auto"/>
              <w:left w:val="single" w:sz="8" w:space="0" w:color="auto"/>
              <w:bottom w:val="single" w:sz="8" w:space="0" w:color="auto"/>
              <w:right w:val="single" w:sz="8" w:space="0" w:color="auto"/>
            </w:tcBorders>
            <w:vAlign w:val="center"/>
            <w:hideMark/>
          </w:tcPr>
          <w:p w14:paraId="05BDFDD2" w14:textId="77777777" w:rsidR="00C2121E" w:rsidRPr="00C2121E" w:rsidRDefault="00C2121E" w:rsidP="00E3207C">
            <w:pPr>
              <w:keepNext/>
              <w:spacing w:after="0" w:line="240" w:lineRule="auto"/>
              <w:rPr>
                <w:rFonts w:ascii="Calibri" w:eastAsia="Times New Roman" w:hAnsi="Calibri" w:cs="Calibri"/>
                <w:b/>
                <w:bCs/>
                <w:color w:val="000000"/>
              </w:rPr>
            </w:pPr>
          </w:p>
        </w:tc>
      </w:tr>
      <w:tr w:rsidR="00C2121E" w:rsidRPr="00C2121E" w14:paraId="2A5E7022" w14:textId="77777777" w:rsidTr="00FF5D1A">
        <w:trPr>
          <w:trHeight w:val="300"/>
          <w:jc w:val="center"/>
        </w:trPr>
        <w:tc>
          <w:tcPr>
            <w:tcW w:w="3140" w:type="dxa"/>
            <w:tcBorders>
              <w:top w:val="single" w:sz="8" w:space="0" w:color="auto"/>
              <w:left w:val="single" w:sz="8" w:space="0" w:color="auto"/>
              <w:bottom w:val="nil"/>
              <w:right w:val="single" w:sz="4" w:space="0" w:color="auto"/>
            </w:tcBorders>
            <w:shd w:val="clear" w:color="auto" w:fill="D9D9D9" w:themeFill="background1" w:themeFillShade="D9"/>
            <w:noWrap/>
            <w:vAlign w:val="bottom"/>
            <w:hideMark/>
          </w:tcPr>
          <w:p w14:paraId="13EDD976"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EDC Heating Segment (10%)</w:t>
            </w:r>
          </w:p>
        </w:tc>
        <w:tc>
          <w:tcPr>
            <w:tcW w:w="1720" w:type="dxa"/>
            <w:tcBorders>
              <w:top w:val="single" w:sz="8" w:space="0" w:color="auto"/>
              <w:left w:val="nil"/>
              <w:bottom w:val="nil"/>
              <w:right w:val="single" w:sz="4" w:space="0" w:color="auto"/>
            </w:tcBorders>
            <w:shd w:val="clear" w:color="auto" w:fill="D9D9D9" w:themeFill="background1" w:themeFillShade="D9"/>
            <w:noWrap/>
            <w:vAlign w:val="bottom"/>
            <w:hideMark/>
          </w:tcPr>
          <w:p w14:paraId="26BC3F96" w14:textId="77777777" w:rsidR="00C2121E" w:rsidRPr="00C2121E" w:rsidRDefault="00C2121E" w:rsidP="00241D61">
            <w:pPr>
              <w:keepNext/>
              <w:spacing w:after="0" w:line="240" w:lineRule="auto"/>
              <w:jc w:val="right"/>
              <w:rPr>
                <w:rFonts w:ascii="Calibri" w:eastAsia="Times New Roman" w:hAnsi="Calibri" w:cs="Calibri"/>
                <w:b/>
                <w:bCs/>
                <w:color w:val="000000"/>
              </w:rPr>
            </w:pPr>
            <w:r w:rsidRPr="00C2121E">
              <w:rPr>
                <w:rFonts w:ascii="Calibri" w:eastAsia="Times New Roman" w:hAnsi="Calibri" w:cs="Calibri"/>
                <w:b/>
                <w:bCs/>
                <w:color w:val="000000"/>
              </w:rPr>
              <w:t>$9,275,741</w:t>
            </w:r>
          </w:p>
        </w:tc>
        <w:tc>
          <w:tcPr>
            <w:tcW w:w="2340" w:type="dxa"/>
            <w:tcBorders>
              <w:top w:val="single" w:sz="8" w:space="0" w:color="auto"/>
              <w:left w:val="nil"/>
              <w:bottom w:val="nil"/>
              <w:right w:val="single" w:sz="4" w:space="0" w:color="auto"/>
            </w:tcBorders>
            <w:shd w:val="clear" w:color="auto" w:fill="D9D9D9" w:themeFill="background1" w:themeFillShade="D9"/>
            <w:noWrap/>
            <w:vAlign w:val="bottom"/>
            <w:hideMark/>
          </w:tcPr>
          <w:p w14:paraId="1EE02E6B" w14:textId="77777777" w:rsidR="00C2121E" w:rsidRPr="00C2121E" w:rsidRDefault="00C2121E" w:rsidP="00241D61">
            <w:pPr>
              <w:keepNext/>
              <w:spacing w:after="0" w:line="240" w:lineRule="auto"/>
              <w:jc w:val="right"/>
              <w:rPr>
                <w:rFonts w:ascii="Calibri" w:eastAsia="Times New Roman" w:hAnsi="Calibri" w:cs="Calibri"/>
                <w:b/>
                <w:bCs/>
                <w:color w:val="000000"/>
              </w:rPr>
            </w:pPr>
            <w:r w:rsidRPr="00C2121E">
              <w:rPr>
                <w:rFonts w:ascii="Calibri" w:eastAsia="Times New Roman" w:hAnsi="Calibri" w:cs="Calibri"/>
                <w:b/>
                <w:bCs/>
                <w:color w:val="000000"/>
              </w:rPr>
              <w:t>$2.00</w:t>
            </w:r>
          </w:p>
        </w:tc>
        <w:tc>
          <w:tcPr>
            <w:tcW w:w="2220" w:type="dxa"/>
            <w:vMerge w:val="restart"/>
            <w:tcBorders>
              <w:top w:val="single" w:sz="8" w:space="0" w:color="auto"/>
              <w:left w:val="nil"/>
              <w:bottom w:val="single" w:sz="4" w:space="0" w:color="000000" w:themeColor="text1"/>
              <w:right w:val="single" w:sz="8" w:space="0" w:color="auto"/>
            </w:tcBorders>
            <w:shd w:val="clear" w:color="auto" w:fill="D9D9D9" w:themeFill="background1" w:themeFillShade="D9"/>
            <w:noWrap/>
            <w:vAlign w:val="center"/>
            <w:hideMark/>
          </w:tcPr>
          <w:p w14:paraId="196178F1" w14:textId="77777777" w:rsidR="00C2121E" w:rsidRPr="00C2121E" w:rsidRDefault="00C2121E" w:rsidP="00241D61">
            <w:pPr>
              <w:keepNext/>
              <w:spacing w:after="0" w:line="240" w:lineRule="auto"/>
              <w:jc w:val="center"/>
              <w:rPr>
                <w:rFonts w:ascii="Calibri" w:eastAsia="Times New Roman" w:hAnsi="Calibri" w:cs="Calibri"/>
                <w:b/>
                <w:bCs/>
                <w:color w:val="000000"/>
              </w:rPr>
            </w:pPr>
            <w:r w:rsidRPr="00C2121E">
              <w:rPr>
                <w:rFonts w:ascii="Calibri" w:eastAsia="Times New Roman" w:hAnsi="Calibri" w:cs="Calibri"/>
                <w:b/>
                <w:bCs/>
                <w:color w:val="000000"/>
              </w:rPr>
              <w:t>4,938,754</w:t>
            </w:r>
          </w:p>
        </w:tc>
        <w:tc>
          <w:tcPr>
            <w:tcW w:w="1300" w:type="dxa"/>
            <w:vMerge w:val="restart"/>
            <w:tcBorders>
              <w:top w:val="single" w:sz="8"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14:paraId="4B69869F" w14:textId="77777777" w:rsidR="00C2121E" w:rsidRPr="00C2121E" w:rsidRDefault="00C2121E" w:rsidP="00241D61">
            <w:pPr>
              <w:keepNext/>
              <w:spacing w:after="0" w:line="240" w:lineRule="auto"/>
              <w:jc w:val="center"/>
              <w:rPr>
                <w:rFonts w:ascii="Calibri" w:eastAsia="Times New Roman" w:hAnsi="Calibri" w:cs="Calibri"/>
                <w:b/>
                <w:bCs/>
                <w:color w:val="000000"/>
              </w:rPr>
            </w:pPr>
            <w:r w:rsidRPr="00C2121E">
              <w:rPr>
                <w:rFonts w:ascii="Calibri" w:eastAsia="Times New Roman" w:hAnsi="Calibri" w:cs="Calibri"/>
                <w:b/>
                <w:bCs/>
                <w:color w:val="000000"/>
              </w:rPr>
              <w:t>293,023</w:t>
            </w:r>
          </w:p>
        </w:tc>
      </w:tr>
      <w:tr w:rsidR="00C2121E" w:rsidRPr="00C2121E" w14:paraId="04AEC49C" w14:textId="77777777" w:rsidTr="00FF5D1A">
        <w:trPr>
          <w:trHeight w:val="300"/>
          <w:jc w:val="center"/>
        </w:trPr>
        <w:tc>
          <w:tcPr>
            <w:tcW w:w="3140" w:type="dxa"/>
            <w:tcBorders>
              <w:top w:val="nil"/>
              <w:left w:val="single" w:sz="8" w:space="0" w:color="auto"/>
              <w:bottom w:val="nil"/>
              <w:right w:val="nil"/>
            </w:tcBorders>
            <w:shd w:val="clear" w:color="auto" w:fill="D9D9D9" w:themeFill="background1" w:themeFillShade="D9"/>
            <w:noWrap/>
            <w:vAlign w:val="bottom"/>
            <w:hideMark/>
          </w:tcPr>
          <w:p w14:paraId="04009130" w14:textId="1AFEE124" w:rsidR="00C2121E" w:rsidRPr="00C2121E" w:rsidRDefault="00C2121E" w:rsidP="00241D61">
            <w:pPr>
              <w:keepNext/>
              <w:spacing w:after="0" w:line="240" w:lineRule="auto"/>
              <w:rPr>
                <w:rFonts w:ascii="Calibri" w:eastAsia="Times New Roman" w:hAnsi="Calibri" w:cs="Calibri"/>
                <w:b/>
                <w:bCs/>
                <w:color w:val="000000"/>
              </w:rPr>
            </w:pPr>
          </w:p>
        </w:tc>
        <w:tc>
          <w:tcPr>
            <w:tcW w:w="1720" w:type="dxa"/>
            <w:tcBorders>
              <w:top w:val="nil"/>
              <w:left w:val="single" w:sz="4" w:space="0" w:color="auto"/>
              <w:bottom w:val="nil"/>
              <w:right w:val="single" w:sz="4" w:space="0" w:color="auto"/>
            </w:tcBorders>
            <w:shd w:val="clear" w:color="auto" w:fill="D9D9D9" w:themeFill="background1" w:themeFillShade="D9"/>
            <w:noWrap/>
            <w:vAlign w:val="bottom"/>
            <w:hideMark/>
          </w:tcPr>
          <w:p w14:paraId="24CE80D5" w14:textId="3F0FDB19" w:rsidR="00C2121E" w:rsidRPr="00C2121E" w:rsidRDefault="00C2121E" w:rsidP="00241D61">
            <w:pPr>
              <w:keepNext/>
              <w:spacing w:after="0" w:line="240" w:lineRule="auto"/>
              <w:rPr>
                <w:rFonts w:ascii="Calibri" w:eastAsia="Times New Roman" w:hAnsi="Calibri" w:cs="Calibri"/>
                <w:b/>
                <w:bCs/>
                <w:color w:val="000000"/>
              </w:rPr>
            </w:pPr>
          </w:p>
        </w:tc>
        <w:tc>
          <w:tcPr>
            <w:tcW w:w="2340" w:type="dxa"/>
            <w:tcBorders>
              <w:top w:val="nil"/>
              <w:left w:val="nil"/>
              <w:bottom w:val="nil"/>
              <w:right w:val="single" w:sz="4" w:space="0" w:color="auto"/>
            </w:tcBorders>
            <w:shd w:val="clear" w:color="auto" w:fill="D9D9D9" w:themeFill="background1" w:themeFillShade="D9"/>
            <w:noWrap/>
            <w:vAlign w:val="bottom"/>
            <w:hideMark/>
          </w:tcPr>
          <w:p w14:paraId="21312D2B" w14:textId="5E5530B0" w:rsidR="00C2121E" w:rsidRPr="00C2121E" w:rsidRDefault="00C2121E" w:rsidP="00241D61">
            <w:pPr>
              <w:keepNext/>
              <w:spacing w:after="0" w:line="240" w:lineRule="auto"/>
              <w:rPr>
                <w:rFonts w:ascii="Calibri" w:eastAsia="Times New Roman" w:hAnsi="Calibri" w:cs="Calibri"/>
                <w:color w:val="000000"/>
              </w:rPr>
            </w:pPr>
          </w:p>
        </w:tc>
        <w:tc>
          <w:tcPr>
            <w:tcW w:w="2220" w:type="dxa"/>
            <w:vMerge/>
            <w:tcBorders>
              <w:right w:val="single" w:sz="8" w:space="0" w:color="auto"/>
            </w:tcBorders>
            <w:vAlign w:val="center"/>
            <w:hideMark/>
          </w:tcPr>
          <w:p w14:paraId="769E9087" w14:textId="77777777" w:rsidR="00C2121E" w:rsidRPr="00C2121E" w:rsidRDefault="00C2121E" w:rsidP="00241D61">
            <w:pPr>
              <w:keepNext/>
              <w:spacing w:after="0" w:line="240" w:lineRule="auto"/>
              <w:rPr>
                <w:rFonts w:ascii="Calibri" w:eastAsia="Times New Roman" w:hAnsi="Calibri" w:cs="Calibri"/>
                <w:b/>
                <w:bCs/>
                <w:color w:val="000000"/>
              </w:rPr>
            </w:pPr>
          </w:p>
        </w:tc>
        <w:tc>
          <w:tcPr>
            <w:tcW w:w="1300" w:type="dxa"/>
            <w:vMerge/>
            <w:tcBorders>
              <w:top w:val="single" w:sz="4" w:space="0" w:color="auto"/>
              <w:left w:val="single" w:sz="8" w:space="0" w:color="auto"/>
              <w:bottom w:val="single" w:sz="4" w:space="0" w:color="auto"/>
              <w:right w:val="single" w:sz="8" w:space="0" w:color="auto"/>
            </w:tcBorders>
            <w:vAlign w:val="center"/>
            <w:hideMark/>
          </w:tcPr>
          <w:p w14:paraId="3C1B76F1" w14:textId="77777777" w:rsidR="00C2121E" w:rsidRPr="00C2121E" w:rsidRDefault="00C2121E" w:rsidP="00241D61">
            <w:pPr>
              <w:keepNext/>
              <w:spacing w:after="0" w:line="240" w:lineRule="auto"/>
              <w:rPr>
                <w:rFonts w:ascii="Calibri" w:eastAsia="Times New Roman" w:hAnsi="Calibri" w:cs="Calibri"/>
                <w:b/>
                <w:bCs/>
                <w:color w:val="000000"/>
              </w:rPr>
            </w:pPr>
          </w:p>
        </w:tc>
      </w:tr>
      <w:tr w:rsidR="00C2121E" w:rsidRPr="00C2121E" w14:paraId="0912FC6B" w14:textId="77777777" w:rsidTr="00FF5D1A">
        <w:trPr>
          <w:trHeight w:val="300"/>
          <w:jc w:val="center"/>
        </w:trPr>
        <w:tc>
          <w:tcPr>
            <w:tcW w:w="3140" w:type="dxa"/>
            <w:tcBorders>
              <w:top w:val="nil"/>
              <w:left w:val="single" w:sz="8" w:space="0" w:color="auto"/>
              <w:bottom w:val="nil"/>
              <w:right w:val="nil"/>
            </w:tcBorders>
            <w:shd w:val="clear" w:color="auto" w:fill="D9D9D9" w:themeFill="background1" w:themeFillShade="D9"/>
            <w:noWrap/>
            <w:vAlign w:val="bottom"/>
            <w:hideMark/>
          </w:tcPr>
          <w:p w14:paraId="3FB94BF8"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EDC Non-Heating Segment (4%)</w:t>
            </w:r>
          </w:p>
        </w:tc>
        <w:tc>
          <w:tcPr>
            <w:tcW w:w="17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2A444E2" w14:textId="77777777" w:rsidR="00C2121E" w:rsidRPr="00C2121E" w:rsidRDefault="00C2121E" w:rsidP="00241D61">
            <w:pPr>
              <w:keepNext/>
              <w:spacing w:after="0" w:line="240" w:lineRule="auto"/>
              <w:jc w:val="right"/>
              <w:rPr>
                <w:rFonts w:ascii="Calibri" w:eastAsia="Times New Roman" w:hAnsi="Calibri" w:cs="Calibri"/>
                <w:b/>
                <w:bCs/>
                <w:color w:val="000000"/>
              </w:rPr>
            </w:pPr>
            <w:r w:rsidRPr="00C2121E">
              <w:rPr>
                <w:rFonts w:ascii="Calibri" w:eastAsia="Times New Roman" w:hAnsi="Calibri" w:cs="Calibri"/>
                <w:b/>
                <w:bCs/>
                <w:color w:val="000000"/>
              </w:rPr>
              <w:t>$61,657,570</w:t>
            </w:r>
          </w:p>
        </w:tc>
        <w:tc>
          <w:tcPr>
            <w:tcW w:w="23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2F35922" w14:textId="77777777" w:rsidR="00C2121E" w:rsidRPr="00C2121E" w:rsidRDefault="00C2121E" w:rsidP="00241D61">
            <w:pPr>
              <w:keepNext/>
              <w:spacing w:after="0" w:line="240" w:lineRule="auto"/>
              <w:jc w:val="right"/>
              <w:rPr>
                <w:rFonts w:ascii="Calibri" w:eastAsia="Times New Roman" w:hAnsi="Calibri" w:cs="Calibri"/>
                <w:b/>
                <w:bCs/>
                <w:color w:val="000000"/>
              </w:rPr>
            </w:pPr>
            <w:r w:rsidRPr="00C2121E">
              <w:rPr>
                <w:rFonts w:ascii="Calibri" w:eastAsia="Times New Roman" w:hAnsi="Calibri" w:cs="Calibri"/>
                <w:b/>
                <w:bCs/>
                <w:color w:val="000000"/>
              </w:rPr>
              <w:t>$13.27</w:t>
            </w:r>
          </w:p>
        </w:tc>
        <w:tc>
          <w:tcPr>
            <w:tcW w:w="2220" w:type="dxa"/>
            <w:vMerge/>
            <w:tcBorders>
              <w:right w:val="single" w:sz="8" w:space="0" w:color="auto"/>
            </w:tcBorders>
            <w:vAlign w:val="center"/>
            <w:hideMark/>
          </w:tcPr>
          <w:p w14:paraId="3CAF4EAF" w14:textId="77777777" w:rsidR="00C2121E" w:rsidRPr="00C2121E" w:rsidRDefault="00C2121E" w:rsidP="00241D61">
            <w:pPr>
              <w:keepNext/>
              <w:spacing w:after="0" w:line="240" w:lineRule="auto"/>
              <w:rPr>
                <w:rFonts w:ascii="Calibri" w:eastAsia="Times New Roman" w:hAnsi="Calibri" w:cs="Calibri"/>
                <w:b/>
                <w:bCs/>
                <w:color w:val="000000"/>
              </w:rPr>
            </w:pPr>
          </w:p>
        </w:tc>
        <w:tc>
          <w:tcPr>
            <w:tcW w:w="1300" w:type="dxa"/>
            <w:vMerge/>
            <w:tcBorders>
              <w:top w:val="single" w:sz="4" w:space="0" w:color="auto"/>
              <w:left w:val="single" w:sz="8" w:space="0" w:color="auto"/>
              <w:bottom w:val="single" w:sz="4" w:space="0" w:color="auto"/>
              <w:right w:val="single" w:sz="8" w:space="0" w:color="auto"/>
            </w:tcBorders>
            <w:vAlign w:val="center"/>
            <w:hideMark/>
          </w:tcPr>
          <w:p w14:paraId="2C6A678B" w14:textId="77777777" w:rsidR="00C2121E" w:rsidRPr="00C2121E" w:rsidRDefault="00C2121E" w:rsidP="00241D61">
            <w:pPr>
              <w:keepNext/>
              <w:spacing w:after="0" w:line="240" w:lineRule="auto"/>
              <w:rPr>
                <w:rFonts w:ascii="Calibri" w:eastAsia="Times New Roman" w:hAnsi="Calibri" w:cs="Calibri"/>
                <w:b/>
                <w:bCs/>
                <w:color w:val="000000"/>
              </w:rPr>
            </w:pPr>
          </w:p>
        </w:tc>
      </w:tr>
      <w:tr w:rsidR="00BD46D2" w:rsidRPr="00C2121E" w14:paraId="2FAAA606" w14:textId="77777777" w:rsidTr="007D5D2C">
        <w:trPr>
          <w:trHeight w:val="300"/>
          <w:jc w:val="center"/>
        </w:trPr>
        <w:tc>
          <w:tcPr>
            <w:tcW w:w="3140" w:type="dxa"/>
            <w:tcBorders>
              <w:top w:val="single" w:sz="4" w:space="0" w:color="auto"/>
              <w:left w:val="single" w:sz="8" w:space="0" w:color="auto"/>
              <w:bottom w:val="nil"/>
              <w:right w:val="nil"/>
            </w:tcBorders>
            <w:shd w:val="clear" w:color="auto" w:fill="FFFFFF" w:themeFill="background1"/>
            <w:noWrap/>
            <w:vAlign w:val="bottom"/>
            <w:hideMark/>
          </w:tcPr>
          <w:p w14:paraId="386A3BD6"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EDC Total</w:t>
            </w:r>
          </w:p>
        </w:tc>
        <w:tc>
          <w:tcPr>
            <w:tcW w:w="1720" w:type="dxa"/>
            <w:tcBorders>
              <w:top w:val="nil"/>
              <w:left w:val="single" w:sz="4" w:space="0" w:color="auto"/>
              <w:bottom w:val="nil"/>
              <w:right w:val="single" w:sz="4" w:space="0" w:color="auto"/>
            </w:tcBorders>
            <w:shd w:val="clear" w:color="auto" w:fill="FFFFFF" w:themeFill="background1"/>
            <w:noWrap/>
            <w:vAlign w:val="bottom"/>
            <w:hideMark/>
          </w:tcPr>
          <w:p w14:paraId="5E86459A"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 </w:t>
            </w:r>
          </w:p>
        </w:tc>
        <w:tc>
          <w:tcPr>
            <w:tcW w:w="2340" w:type="dxa"/>
            <w:tcBorders>
              <w:top w:val="nil"/>
              <w:left w:val="nil"/>
              <w:bottom w:val="nil"/>
              <w:right w:val="single" w:sz="4" w:space="0" w:color="auto"/>
            </w:tcBorders>
            <w:shd w:val="clear" w:color="auto" w:fill="FFFFFF" w:themeFill="background1"/>
            <w:noWrap/>
            <w:vAlign w:val="bottom"/>
            <w:hideMark/>
          </w:tcPr>
          <w:p w14:paraId="6028FC03" w14:textId="77777777" w:rsidR="00C2121E" w:rsidRPr="00C2121E" w:rsidRDefault="00C2121E" w:rsidP="00241D61">
            <w:pPr>
              <w:keepNext/>
              <w:spacing w:after="0" w:line="240" w:lineRule="auto"/>
              <w:jc w:val="right"/>
              <w:rPr>
                <w:rFonts w:ascii="Calibri" w:eastAsia="Times New Roman" w:hAnsi="Calibri" w:cs="Calibri"/>
                <w:b/>
                <w:bCs/>
                <w:color w:val="000000"/>
              </w:rPr>
            </w:pPr>
            <w:r w:rsidRPr="00C2121E">
              <w:rPr>
                <w:rFonts w:ascii="Calibri" w:eastAsia="Times New Roman" w:hAnsi="Calibri" w:cs="Calibri"/>
                <w:b/>
                <w:bCs/>
                <w:color w:val="000000"/>
              </w:rPr>
              <w:t>$15.27</w:t>
            </w:r>
          </w:p>
        </w:tc>
        <w:tc>
          <w:tcPr>
            <w:tcW w:w="2220" w:type="dxa"/>
            <w:tcBorders>
              <w:top w:val="single" w:sz="4" w:space="0" w:color="auto"/>
              <w:left w:val="nil"/>
              <w:bottom w:val="nil"/>
              <w:right w:val="nil"/>
            </w:tcBorders>
            <w:shd w:val="clear" w:color="auto" w:fill="FFFFFF" w:themeFill="background1"/>
            <w:noWrap/>
            <w:vAlign w:val="bottom"/>
            <w:hideMark/>
          </w:tcPr>
          <w:p w14:paraId="1F58DB7B"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 </w:t>
            </w:r>
          </w:p>
        </w:tc>
        <w:tc>
          <w:tcPr>
            <w:tcW w:w="1300"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2EE8AFBD"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 </w:t>
            </w:r>
          </w:p>
        </w:tc>
      </w:tr>
      <w:tr w:rsidR="00C2121E" w:rsidRPr="00C2121E" w14:paraId="1508873C" w14:textId="77777777" w:rsidTr="54D20F66">
        <w:trPr>
          <w:trHeight w:val="300"/>
          <w:jc w:val="center"/>
        </w:trPr>
        <w:tc>
          <w:tcPr>
            <w:tcW w:w="3140" w:type="dxa"/>
            <w:tcBorders>
              <w:top w:val="nil"/>
              <w:left w:val="single" w:sz="8" w:space="0" w:color="auto"/>
              <w:bottom w:val="nil"/>
              <w:right w:val="nil"/>
            </w:tcBorders>
            <w:shd w:val="clear" w:color="auto" w:fill="FFFFFF" w:themeFill="background1"/>
            <w:noWrap/>
            <w:vAlign w:val="bottom"/>
            <w:hideMark/>
          </w:tcPr>
          <w:p w14:paraId="40B00F25"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 </w:t>
            </w:r>
          </w:p>
        </w:tc>
        <w:tc>
          <w:tcPr>
            <w:tcW w:w="1720" w:type="dxa"/>
            <w:tcBorders>
              <w:top w:val="nil"/>
              <w:left w:val="single" w:sz="4" w:space="0" w:color="auto"/>
              <w:bottom w:val="nil"/>
              <w:right w:val="single" w:sz="4" w:space="0" w:color="auto"/>
            </w:tcBorders>
            <w:shd w:val="clear" w:color="auto" w:fill="FFFFFF" w:themeFill="background1"/>
            <w:noWrap/>
            <w:vAlign w:val="bottom"/>
            <w:hideMark/>
          </w:tcPr>
          <w:p w14:paraId="3D41C58D"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 </w:t>
            </w:r>
          </w:p>
        </w:tc>
        <w:tc>
          <w:tcPr>
            <w:tcW w:w="2340" w:type="dxa"/>
            <w:tcBorders>
              <w:top w:val="nil"/>
              <w:left w:val="nil"/>
              <w:bottom w:val="nil"/>
              <w:right w:val="single" w:sz="4" w:space="0" w:color="auto"/>
            </w:tcBorders>
            <w:shd w:val="clear" w:color="auto" w:fill="FFFFFF" w:themeFill="background1"/>
            <w:noWrap/>
            <w:vAlign w:val="bottom"/>
            <w:hideMark/>
          </w:tcPr>
          <w:p w14:paraId="1F447429"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 </w:t>
            </w:r>
          </w:p>
        </w:tc>
        <w:tc>
          <w:tcPr>
            <w:tcW w:w="2220" w:type="dxa"/>
            <w:tcBorders>
              <w:top w:val="nil"/>
              <w:left w:val="nil"/>
              <w:bottom w:val="nil"/>
              <w:right w:val="nil"/>
            </w:tcBorders>
            <w:shd w:val="clear" w:color="auto" w:fill="FFFFFF" w:themeFill="background1"/>
            <w:noWrap/>
            <w:vAlign w:val="bottom"/>
            <w:hideMark/>
          </w:tcPr>
          <w:p w14:paraId="20291CBE"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 </w:t>
            </w:r>
          </w:p>
        </w:tc>
        <w:tc>
          <w:tcPr>
            <w:tcW w:w="1300" w:type="dxa"/>
            <w:tcBorders>
              <w:top w:val="nil"/>
              <w:left w:val="single" w:sz="4" w:space="0" w:color="auto"/>
              <w:bottom w:val="nil"/>
              <w:right w:val="single" w:sz="8" w:space="0" w:color="auto"/>
            </w:tcBorders>
            <w:shd w:val="clear" w:color="auto" w:fill="FFFFFF" w:themeFill="background1"/>
            <w:noWrap/>
            <w:vAlign w:val="bottom"/>
            <w:hideMark/>
          </w:tcPr>
          <w:p w14:paraId="64406250"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 </w:t>
            </w:r>
          </w:p>
        </w:tc>
      </w:tr>
      <w:tr w:rsidR="00C2121E" w:rsidRPr="00C2121E" w14:paraId="55FD6944" w14:textId="77777777" w:rsidTr="54D20F66">
        <w:trPr>
          <w:trHeight w:val="300"/>
          <w:jc w:val="center"/>
        </w:trPr>
        <w:tc>
          <w:tcPr>
            <w:tcW w:w="3140" w:type="dxa"/>
            <w:tcBorders>
              <w:top w:val="single" w:sz="4" w:space="0" w:color="auto"/>
              <w:left w:val="single" w:sz="8" w:space="0" w:color="auto"/>
              <w:bottom w:val="single" w:sz="4" w:space="0" w:color="auto"/>
              <w:right w:val="nil"/>
            </w:tcBorders>
            <w:shd w:val="clear" w:color="auto" w:fill="D9D9D9" w:themeFill="background1" w:themeFillShade="D9"/>
            <w:noWrap/>
            <w:vAlign w:val="bottom"/>
            <w:hideMark/>
          </w:tcPr>
          <w:p w14:paraId="0338B90E"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Gas Heating Segment (6%)</w:t>
            </w:r>
          </w:p>
        </w:tc>
        <w:tc>
          <w:tcPr>
            <w:tcW w:w="1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2000AA" w14:textId="77777777" w:rsidR="00C2121E" w:rsidRPr="00C2121E" w:rsidRDefault="00C2121E" w:rsidP="00241D61">
            <w:pPr>
              <w:keepNext/>
              <w:spacing w:after="0" w:line="240" w:lineRule="auto"/>
              <w:jc w:val="right"/>
              <w:rPr>
                <w:rFonts w:ascii="Calibri" w:eastAsia="Times New Roman" w:hAnsi="Calibri" w:cs="Calibri"/>
                <w:b/>
                <w:bCs/>
                <w:color w:val="000000"/>
              </w:rPr>
            </w:pPr>
            <w:r w:rsidRPr="00C2121E">
              <w:rPr>
                <w:rFonts w:ascii="Calibri" w:eastAsia="Times New Roman" w:hAnsi="Calibri" w:cs="Calibri"/>
                <w:b/>
                <w:bCs/>
                <w:color w:val="000000"/>
              </w:rPr>
              <w:t>$31,506,457</w:t>
            </w:r>
          </w:p>
        </w:tc>
        <w:tc>
          <w:tcPr>
            <w:tcW w:w="23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0C6448B" w14:textId="77777777" w:rsidR="00C2121E" w:rsidRPr="00C2121E" w:rsidRDefault="00C2121E" w:rsidP="00241D61">
            <w:pPr>
              <w:keepNext/>
              <w:spacing w:after="0" w:line="240" w:lineRule="auto"/>
              <w:jc w:val="right"/>
              <w:rPr>
                <w:rFonts w:ascii="Calibri" w:eastAsia="Times New Roman" w:hAnsi="Calibri" w:cs="Calibri"/>
                <w:b/>
                <w:bCs/>
                <w:color w:val="000000"/>
              </w:rPr>
            </w:pPr>
            <w:r w:rsidRPr="00C2121E">
              <w:rPr>
                <w:rFonts w:ascii="Calibri" w:eastAsia="Times New Roman" w:hAnsi="Calibri" w:cs="Calibri"/>
                <w:b/>
                <w:bCs/>
                <w:color w:val="000000"/>
              </w:rPr>
              <w:t>$13.08</w:t>
            </w:r>
          </w:p>
        </w:tc>
        <w:tc>
          <w:tcPr>
            <w:tcW w:w="2220" w:type="dxa"/>
            <w:tcBorders>
              <w:top w:val="single" w:sz="4" w:space="0" w:color="auto"/>
              <w:left w:val="nil"/>
              <w:bottom w:val="single" w:sz="4" w:space="0" w:color="auto"/>
              <w:right w:val="nil"/>
            </w:tcBorders>
            <w:shd w:val="clear" w:color="auto" w:fill="D9D9D9" w:themeFill="background1" w:themeFillShade="D9"/>
            <w:noWrap/>
            <w:vAlign w:val="center"/>
            <w:hideMark/>
          </w:tcPr>
          <w:p w14:paraId="21403741" w14:textId="77777777" w:rsidR="00C2121E" w:rsidRPr="00C2121E" w:rsidRDefault="00C2121E" w:rsidP="00241D61">
            <w:pPr>
              <w:keepNext/>
              <w:spacing w:after="0" w:line="240" w:lineRule="auto"/>
              <w:jc w:val="center"/>
              <w:rPr>
                <w:rFonts w:ascii="Calibri" w:eastAsia="Times New Roman" w:hAnsi="Calibri" w:cs="Calibri"/>
                <w:b/>
                <w:bCs/>
                <w:color w:val="000000"/>
              </w:rPr>
            </w:pPr>
            <w:r w:rsidRPr="00C2121E">
              <w:rPr>
                <w:rFonts w:ascii="Calibri" w:eastAsia="Times New Roman" w:hAnsi="Calibri" w:cs="Calibri"/>
                <w:b/>
                <w:bCs/>
                <w:color w:val="000000"/>
              </w:rPr>
              <w:t>2,574,806</w:t>
            </w:r>
          </w:p>
        </w:tc>
        <w:tc>
          <w:tcPr>
            <w:tcW w:w="1300" w:type="dxa"/>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14:paraId="37947947" w14:textId="77777777" w:rsidR="00C2121E" w:rsidRPr="00C2121E" w:rsidRDefault="00C2121E" w:rsidP="00241D61">
            <w:pPr>
              <w:keepNext/>
              <w:spacing w:after="0" w:line="240" w:lineRule="auto"/>
              <w:jc w:val="center"/>
              <w:rPr>
                <w:rFonts w:ascii="Calibri" w:eastAsia="Times New Roman" w:hAnsi="Calibri" w:cs="Calibri"/>
                <w:b/>
                <w:bCs/>
                <w:color w:val="000000"/>
              </w:rPr>
            </w:pPr>
            <w:r w:rsidRPr="00C2121E">
              <w:rPr>
                <w:rFonts w:ascii="Calibri" w:eastAsia="Times New Roman" w:hAnsi="Calibri" w:cs="Calibri"/>
                <w:b/>
                <w:bCs/>
                <w:color w:val="000000"/>
              </w:rPr>
              <w:t>165,392</w:t>
            </w:r>
          </w:p>
        </w:tc>
      </w:tr>
      <w:tr w:rsidR="002F034B" w:rsidRPr="00C2121E" w14:paraId="0BC4C681" w14:textId="77777777" w:rsidTr="54D20F66">
        <w:trPr>
          <w:trHeight w:val="645"/>
          <w:jc w:val="center"/>
        </w:trPr>
        <w:tc>
          <w:tcPr>
            <w:tcW w:w="3140" w:type="dxa"/>
            <w:tcBorders>
              <w:top w:val="nil"/>
              <w:left w:val="single" w:sz="8" w:space="0" w:color="auto"/>
              <w:bottom w:val="single" w:sz="4" w:space="0" w:color="auto"/>
              <w:right w:val="nil"/>
            </w:tcBorders>
            <w:shd w:val="clear" w:color="auto" w:fill="FFFFFF" w:themeFill="background1"/>
            <w:vAlign w:val="center"/>
            <w:hideMark/>
          </w:tcPr>
          <w:p w14:paraId="75BC32B0" w14:textId="77777777" w:rsidR="00C2121E" w:rsidRPr="00C2121E" w:rsidRDefault="00C2121E" w:rsidP="00241D61">
            <w:pPr>
              <w:keepNext/>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Total for EDC and NGDC Segments (10%, 4%, 6%)</w:t>
            </w:r>
          </w:p>
        </w:tc>
        <w:tc>
          <w:tcPr>
            <w:tcW w:w="17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FF173BC" w14:textId="77777777" w:rsidR="00C2121E" w:rsidRPr="00C2121E" w:rsidRDefault="00C2121E" w:rsidP="00241D61">
            <w:pPr>
              <w:keepNext/>
              <w:spacing w:after="0" w:line="240" w:lineRule="auto"/>
              <w:jc w:val="right"/>
              <w:rPr>
                <w:rFonts w:ascii="Calibri" w:eastAsia="Times New Roman" w:hAnsi="Calibri" w:cs="Calibri"/>
                <w:b/>
                <w:bCs/>
                <w:color w:val="000000"/>
              </w:rPr>
            </w:pPr>
            <w:r w:rsidRPr="00C2121E">
              <w:rPr>
                <w:rFonts w:ascii="Calibri" w:eastAsia="Times New Roman" w:hAnsi="Calibri" w:cs="Calibri"/>
                <w:b/>
                <w:bCs/>
                <w:color w:val="000000"/>
              </w:rPr>
              <w:t>$102,439,768</w:t>
            </w:r>
          </w:p>
        </w:tc>
        <w:tc>
          <w:tcPr>
            <w:tcW w:w="2340" w:type="dxa"/>
            <w:tcBorders>
              <w:top w:val="nil"/>
              <w:left w:val="nil"/>
              <w:bottom w:val="single" w:sz="4" w:space="0" w:color="auto"/>
              <w:right w:val="single" w:sz="4" w:space="0" w:color="auto"/>
            </w:tcBorders>
            <w:shd w:val="clear" w:color="auto" w:fill="FFFFFF" w:themeFill="background1"/>
            <w:noWrap/>
            <w:vAlign w:val="bottom"/>
            <w:hideMark/>
          </w:tcPr>
          <w:p w14:paraId="7CF1DF6A" w14:textId="77777777" w:rsidR="00C2121E" w:rsidRPr="00C2121E" w:rsidRDefault="00C2121E" w:rsidP="00241D61">
            <w:pPr>
              <w:keepNext/>
              <w:spacing w:after="0" w:line="240" w:lineRule="auto"/>
              <w:rPr>
                <w:rFonts w:ascii="Calibri" w:eastAsia="Times New Roman" w:hAnsi="Calibri" w:cs="Calibri"/>
                <w:color w:val="000000"/>
              </w:rPr>
            </w:pPr>
            <w:r w:rsidRPr="00C2121E">
              <w:rPr>
                <w:rFonts w:ascii="Calibri" w:eastAsia="Times New Roman" w:hAnsi="Calibri" w:cs="Calibri"/>
                <w:color w:val="000000"/>
              </w:rPr>
              <w:t> </w:t>
            </w:r>
          </w:p>
        </w:tc>
        <w:tc>
          <w:tcPr>
            <w:tcW w:w="2220" w:type="dxa"/>
            <w:tcBorders>
              <w:top w:val="nil"/>
              <w:left w:val="nil"/>
              <w:bottom w:val="single" w:sz="4" w:space="0" w:color="auto"/>
              <w:right w:val="nil"/>
            </w:tcBorders>
            <w:shd w:val="clear" w:color="auto" w:fill="FFFFFF" w:themeFill="background1"/>
            <w:noWrap/>
            <w:vAlign w:val="bottom"/>
            <w:hideMark/>
          </w:tcPr>
          <w:p w14:paraId="6614E9D4" w14:textId="77777777" w:rsidR="00C2121E" w:rsidRPr="00C2121E" w:rsidRDefault="00C2121E" w:rsidP="00241D61">
            <w:pPr>
              <w:keepNext/>
              <w:spacing w:after="0" w:line="240" w:lineRule="auto"/>
              <w:jc w:val="center"/>
              <w:rPr>
                <w:rFonts w:ascii="Calibri" w:eastAsia="Times New Roman" w:hAnsi="Calibri" w:cs="Calibri"/>
                <w:b/>
                <w:bCs/>
                <w:color w:val="000000"/>
              </w:rPr>
            </w:pPr>
            <w:r w:rsidRPr="00C2121E">
              <w:rPr>
                <w:rFonts w:ascii="Calibri" w:eastAsia="Times New Roman" w:hAnsi="Calibri" w:cs="Calibri"/>
                <w:b/>
                <w:bCs/>
                <w:color w:val="000000"/>
              </w:rPr>
              <w:t>7,513,560</w:t>
            </w:r>
          </w:p>
        </w:tc>
        <w:tc>
          <w:tcPr>
            <w:tcW w:w="130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4B5B61D3" w14:textId="77777777" w:rsidR="00C2121E" w:rsidRPr="00C2121E" w:rsidRDefault="00C2121E" w:rsidP="00241D61">
            <w:pPr>
              <w:keepNext/>
              <w:spacing w:after="0" w:line="240" w:lineRule="auto"/>
              <w:jc w:val="center"/>
              <w:rPr>
                <w:rFonts w:ascii="Calibri" w:eastAsia="Times New Roman" w:hAnsi="Calibri" w:cs="Calibri"/>
                <w:b/>
                <w:bCs/>
                <w:color w:val="000000"/>
              </w:rPr>
            </w:pPr>
            <w:r w:rsidRPr="00C2121E">
              <w:rPr>
                <w:rFonts w:ascii="Calibri" w:eastAsia="Times New Roman" w:hAnsi="Calibri" w:cs="Calibri"/>
                <w:b/>
                <w:bCs/>
                <w:color w:val="000000"/>
              </w:rPr>
              <w:t>458,415</w:t>
            </w:r>
          </w:p>
        </w:tc>
      </w:tr>
      <w:tr w:rsidR="00C2121E" w:rsidRPr="00C2121E" w14:paraId="4414B649" w14:textId="77777777" w:rsidTr="54D20F66">
        <w:trPr>
          <w:trHeight w:val="675"/>
          <w:jc w:val="center"/>
        </w:trPr>
        <w:tc>
          <w:tcPr>
            <w:tcW w:w="4860" w:type="dxa"/>
            <w:gridSpan w:val="2"/>
            <w:tcBorders>
              <w:top w:val="single" w:sz="4" w:space="0" w:color="auto"/>
              <w:left w:val="single" w:sz="8" w:space="0" w:color="auto"/>
              <w:bottom w:val="single" w:sz="8" w:space="0" w:color="auto"/>
              <w:right w:val="single" w:sz="4" w:space="0" w:color="000000" w:themeColor="text1"/>
            </w:tcBorders>
            <w:shd w:val="clear" w:color="auto" w:fill="D9D9D9" w:themeFill="background1" w:themeFillShade="D9"/>
            <w:vAlign w:val="center"/>
            <w:hideMark/>
          </w:tcPr>
          <w:p w14:paraId="16FFF717" w14:textId="77777777" w:rsidR="00C2121E" w:rsidRPr="00C2121E" w:rsidRDefault="00C2121E" w:rsidP="00F237C0">
            <w:pPr>
              <w:spacing w:after="0" w:line="240" w:lineRule="auto"/>
              <w:rPr>
                <w:rFonts w:ascii="Calibri" w:eastAsia="Times New Roman" w:hAnsi="Calibri" w:cs="Calibri"/>
                <w:b/>
                <w:bCs/>
                <w:color w:val="000000"/>
              </w:rPr>
            </w:pPr>
            <w:r w:rsidRPr="00C2121E">
              <w:rPr>
                <w:rFonts w:ascii="Calibri" w:eastAsia="Times New Roman" w:hAnsi="Calibri" w:cs="Calibri"/>
                <w:b/>
                <w:bCs/>
                <w:color w:val="000000"/>
              </w:rPr>
              <w:t>Weighted Average of Annual Cost Impact to Each EDC and NGDC Residential Non-CAP Customer</w:t>
            </w:r>
          </w:p>
        </w:tc>
        <w:tc>
          <w:tcPr>
            <w:tcW w:w="2340" w:type="dxa"/>
            <w:tcBorders>
              <w:top w:val="nil"/>
              <w:left w:val="nil"/>
              <w:bottom w:val="single" w:sz="8" w:space="0" w:color="auto"/>
              <w:right w:val="single" w:sz="4" w:space="0" w:color="auto"/>
            </w:tcBorders>
            <w:shd w:val="clear" w:color="auto" w:fill="D9D9D9" w:themeFill="background1" w:themeFillShade="D9"/>
            <w:noWrap/>
            <w:vAlign w:val="bottom"/>
            <w:hideMark/>
          </w:tcPr>
          <w:p w14:paraId="74B6F7FB" w14:textId="77777777" w:rsidR="00C2121E" w:rsidRPr="00C2121E" w:rsidRDefault="00C2121E" w:rsidP="00C2121E">
            <w:pPr>
              <w:spacing w:after="0" w:line="240" w:lineRule="auto"/>
              <w:jc w:val="right"/>
              <w:rPr>
                <w:rFonts w:ascii="Calibri" w:eastAsia="Times New Roman" w:hAnsi="Calibri" w:cs="Calibri"/>
                <w:b/>
                <w:bCs/>
                <w:color w:val="000000"/>
              </w:rPr>
            </w:pPr>
            <w:r w:rsidRPr="00C2121E">
              <w:rPr>
                <w:rFonts w:ascii="Calibri" w:eastAsia="Times New Roman" w:hAnsi="Calibri" w:cs="Calibri"/>
                <w:b/>
                <w:bCs/>
                <w:color w:val="000000"/>
              </w:rPr>
              <w:t>$14.52</w:t>
            </w:r>
          </w:p>
        </w:tc>
        <w:tc>
          <w:tcPr>
            <w:tcW w:w="2220" w:type="dxa"/>
            <w:tcBorders>
              <w:top w:val="nil"/>
              <w:left w:val="nil"/>
              <w:bottom w:val="single" w:sz="8" w:space="0" w:color="auto"/>
              <w:right w:val="nil"/>
            </w:tcBorders>
            <w:shd w:val="clear" w:color="auto" w:fill="D9D9D9" w:themeFill="background1" w:themeFillShade="D9"/>
            <w:noWrap/>
            <w:vAlign w:val="bottom"/>
            <w:hideMark/>
          </w:tcPr>
          <w:p w14:paraId="2A545517" w14:textId="77777777" w:rsidR="00C2121E" w:rsidRPr="00C2121E" w:rsidRDefault="00C2121E" w:rsidP="00C2121E">
            <w:pPr>
              <w:spacing w:after="0" w:line="240" w:lineRule="auto"/>
              <w:rPr>
                <w:rFonts w:ascii="Calibri" w:eastAsia="Times New Roman" w:hAnsi="Calibri" w:cs="Calibri"/>
                <w:color w:val="000000"/>
              </w:rPr>
            </w:pPr>
            <w:r w:rsidRPr="00C2121E">
              <w:rPr>
                <w:rFonts w:ascii="Calibri" w:eastAsia="Times New Roman" w:hAnsi="Calibri" w:cs="Calibri"/>
                <w:color w:val="000000"/>
              </w:rPr>
              <w:t> </w:t>
            </w:r>
          </w:p>
        </w:tc>
        <w:tc>
          <w:tcPr>
            <w:tcW w:w="1300" w:type="dxa"/>
            <w:tcBorders>
              <w:top w:val="nil"/>
              <w:left w:val="nil"/>
              <w:bottom w:val="single" w:sz="8" w:space="0" w:color="auto"/>
              <w:right w:val="single" w:sz="8" w:space="0" w:color="auto"/>
            </w:tcBorders>
            <w:shd w:val="clear" w:color="auto" w:fill="D9D9D9" w:themeFill="background1" w:themeFillShade="D9"/>
            <w:noWrap/>
            <w:vAlign w:val="bottom"/>
            <w:hideMark/>
          </w:tcPr>
          <w:p w14:paraId="00512568" w14:textId="77777777" w:rsidR="00C2121E" w:rsidRPr="00C2121E" w:rsidRDefault="00C2121E" w:rsidP="00C2121E">
            <w:pPr>
              <w:spacing w:after="0" w:line="240" w:lineRule="auto"/>
              <w:rPr>
                <w:rFonts w:ascii="Calibri" w:eastAsia="Times New Roman" w:hAnsi="Calibri" w:cs="Calibri"/>
                <w:color w:val="000000"/>
              </w:rPr>
            </w:pPr>
            <w:r w:rsidRPr="00C2121E">
              <w:rPr>
                <w:rFonts w:ascii="Calibri" w:eastAsia="Times New Roman" w:hAnsi="Calibri" w:cs="Calibri"/>
                <w:color w:val="000000"/>
              </w:rPr>
              <w:t> </w:t>
            </w:r>
          </w:p>
        </w:tc>
      </w:tr>
    </w:tbl>
    <w:p w14:paraId="4EEA2BA4" w14:textId="103C392C" w:rsidR="00FC39E7" w:rsidRDefault="00FC39E7" w:rsidP="00144905">
      <w:pPr>
        <w:spacing w:after="0" w:line="240" w:lineRule="auto"/>
        <w:ind w:firstLine="720"/>
        <w:jc w:val="center"/>
        <w:rPr>
          <w:rFonts w:ascii="Times New Roman" w:hAnsi="Times New Roman" w:cs="Times New Roman"/>
          <w:sz w:val="26"/>
          <w:szCs w:val="26"/>
        </w:rPr>
      </w:pPr>
    </w:p>
    <w:p w14:paraId="477037D4" w14:textId="4DCF7E6C" w:rsidR="00241D61" w:rsidRDefault="00241D61" w:rsidP="00241D61">
      <w:pPr>
        <w:spacing w:after="0" w:line="240" w:lineRule="auto"/>
        <w:ind w:firstLine="720"/>
        <w:rPr>
          <w:rFonts w:ascii="Times New Roman" w:hAnsi="Times New Roman" w:cs="Times New Roman"/>
          <w:sz w:val="26"/>
          <w:szCs w:val="26"/>
        </w:rPr>
      </w:pPr>
      <w:r>
        <w:rPr>
          <w:rFonts w:ascii="Times New Roman" w:hAnsi="Times New Roman" w:cs="Times New Roman"/>
          <w:sz w:val="26"/>
          <w:szCs w:val="26"/>
        </w:rPr>
        <w:t xml:space="preserve">The incremental cost to non-CAP residential customers is calculated by first subtracting the average CAP enrollment from the average number of residential customers to get the non-CAP customer number.  Then, the segment cost is divided by the non-CAP residential customer number to produce an incremental cost for each segment.  The weighted cost represents the incremental cost across all EDC and NGDC non-CAP residential customers. </w:t>
      </w:r>
    </w:p>
    <w:p w14:paraId="7D9CA79C" w14:textId="055C494D" w:rsidR="009B5695" w:rsidRPr="00EE5714" w:rsidRDefault="009B5695" w:rsidP="000A2797">
      <w:pPr>
        <w:spacing w:after="0" w:line="240" w:lineRule="auto"/>
        <w:ind w:firstLine="720"/>
        <w:rPr>
          <w:rFonts w:ascii="Times New Roman" w:hAnsi="Times New Roman" w:cs="Times New Roman"/>
          <w:sz w:val="26"/>
          <w:szCs w:val="26"/>
        </w:rPr>
      </w:pPr>
    </w:p>
    <w:p w14:paraId="3F0355B5" w14:textId="4CF5604B" w:rsidR="009B5695" w:rsidRPr="00EE5714" w:rsidRDefault="009B5695" w:rsidP="000A2797">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The additional CAP discounts, based on </w:t>
      </w:r>
      <w:r w:rsidR="009D2281" w:rsidRPr="00EE5714">
        <w:rPr>
          <w:rFonts w:ascii="Times New Roman" w:hAnsi="Times New Roman" w:cs="Times New Roman"/>
          <w:sz w:val="26"/>
          <w:szCs w:val="26"/>
        </w:rPr>
        <w:t xml:space="preserve">the </w:t>
      </w:r>
      <w:r w:rsidRPr="00EE5714">
        <w:rPr>
          <w:rFonts w:ascii="Times New Roman" w:hAnsi="Times New Roman" w:cs="Times New Roman"/>
          <w:sz w:val="26"/>
          <w:szCs w:val="26"/>
        </w:rPr>
        <w:t xml:space="preserve">2012 to 2016 data used in the </w:t>
      </w:r>
      <w:r w:rsidR="009D2281" w:rsidRPr="00EE5714">
        <w:rPr>
          <w:rFonts w:ascii="Times New Roman" w:hAnsi="Times New Roman" w:cs="Times New Roman"/>
          <w:sz w:val="26"/>
          <w:szCs w:val="26"/>
        </w:rPr>
        <w:t xml:space="preserve">staff </w:t>
      </w:r>
      <w:r w:rsidRPr="00EE5714">
        <w:rPr>
          <w:rFonts w:ascii="Times New Roman" w:hAnsi="Times New Roman" w:cs="Times New Roman"/>
          <w:sz w:val="26"/>
          <w:szCs w:val="26"/>
        </w:rPr>
        <w:t>model, would have resulted in a</w:t>
      </w:r>
      <w:r w:rsidR="00F10A01" w:rsidRPr="00EE5714">
        <w:rPr>
          <w:rFonts w:ascii="Times New Roman" w:hAnsi="Times New Roman" w:cs="Times New Roman"/>
          <w:sz w:val="26"/>
          <w:szCs w:val="26"/>
        </w:rPr>
        <w:t xml:space="preserve"> weighted</w:t>
      </w:r>
      <w:r w:rsidRPr="00EE5714">
        <w:rPr>
          <w:rFonts w:ascii="Times New Roman" w:hAnsi="Times New Roman" w:cs="Times New Roman"/>
          <w:sz w:val="26"/>
          <w:szCs w:val="26"/>
        </w:rPr>
        <w:t xml:space="preserve"> average annual increase of $1</w:t>
      </w:r>
      <w:r w:rsidR="00FA62F5" w:rsidRPr="00EE5714">
        <w:rPr>
          <w:rFonts w:ascii="Times New Roman" w:hAnsi="Times New Roman" w:cs="Times New Roman"/>
          <w:sz w:val="26"/>
          <w:szCs w:val="26"/>
        </w:rPr>
        <w:t>4.</w:t>
      </w:r>
      <w:r w:rsidRPr="00EE5714">
        <w:rPr>
          <w:rFonts w:ascii="Times New Roman" w:hAnsi="Times New Roman" w:cs="Times New Roman"/>
          <w:sz w:val="26"/>
          <w:szCs w:val="26"/>
        </w:rPr>
        <w:t>5</w:t>
      </w:r>
      <w:r w:rsidR="00FA62F5" w:rsidRPr="00EE5714">
        <w:rPr>
          <w:rFonts w:ascii="Times New Roman" w:hAnsi="Times New Roman" w:cs="Times New Roman"/>
          <w:sz w:val="26"/>
          <w:szCs w:val="26"/>
        </w:rPr>
        <w:t>2</w:t>
      </w:r>
      <w:r w:rsidRPr="00EE5714">
        <w:rPr>
          <w:rFonts w:ascii="Times New Roman" w:hAnsi="Times New Roman" w:cs="Times New Roman"/>
          <w:sz w:val="26"/>
          <w:szCs w:val="26"/>
        </w:rPr>
        <w:t xml:space="preserve"> to non-CAP residential ratepayer </w:t>
      </w:r>
      <w:r w:rsidR="00F3307B" w:rsidRPr="00EE5714">
        <w:rPr>
          <w:rFonts w:ascii="Times New Roman" w:hAnsi="Times New Roman" w:cs="Times New Roman"/>
          <w:sz w:val="26"/>
          <w:szCs w:val="26"/>
        </w:rPr>
        <w:t xml:space="preserve">energy </w:t>
      </w:r>
      <w:r w:rsidRPr="00EE5714">
        <w:rPr>
          <w:rFonts w:ascii="Times New Roman" w:hAnsi="Times New Roman" w:cs="Times New Roman"/>
          <w:sz w:val="26"/>
          <w:szCs w:val="26"/>
        </w:rPr>
        <w:t>bills</w:t>
      </w:r>
      <w:r w:rsidR="007B2AFE" w:rsidRPr="00EE5714">
        <w:rPr>
          <w:rFonts w:ascii="Times New Roman" w:hAnsi="Times New Roman" w:cs="Times New Roman"/>
          <w:sz w:val="26"/>
          <w:szCs w:val="26"/>
        </w:rPr>
        <w:t xml:space="preserve"> for the utilities in this study</w:t>
      </w:r>
      <w:r w:rsidR="003803FE" w:rsidRPr="00EE5714">
        <w:rPr>
          <w:rFonts w:ascii="Times New Roman" w:hAnsi="Times New Roman" w:cs="Times New Roman"/>
          <w:sz w:val="26"/>
          <w:szCs w:val="26"/>
        </w:rPr>
        <w:t xml:space="preserve"> based on average customer counts </w:t>
      </w:r>
      <w:r w:rsidR="009D2281" w:rsidRPr="00EE5714">
        <w:rPr>
          <w:rFonts w:ascii="Times New Roman" w:hAnsi="Times New Roman" w:cs="Times New Roman"/>
          <w:sz w:val="26"/>
          <w:szCs w:val="26"/>
        </w:rPr>
        <w:t>from 2012 through 2016</w:t>
      </w:r>
      <w:r w:rsidRPr="00EE5714">
        <w:rPr>
          <w:rFonts w:ascii="Times New Roman" w:hAnsi="Times New Roman" w:cs="Times New Roman"/>
          <w:sz w:val="26"/>
          <w:szCs w:val="26"/>
        </w:rPr>
        <w:t>.</w:t>
      </w:r>
      <w:r w:rsidRPr="00EE5714">
        <w:rPr>
          <w:rStyle w:val="FootnoteReference"/>
          <w:rFonts w:ascii="Times New Roman" w:hAnsi="Times New Roman" w:cs="Times New Roman"/>
          <w:sz w:val="26"/>
          <w:szCs w:val="26"/>
        </w:rPr>
        <w:footnoteReference w:id="93"/>
      </w:r>
    </w:p>
    <w:p w14:paraId="7DFBD532" w14:textId="77777777" w:rsidR="009B5695" w:rsidRPr="00EE5714" w:rsidRDefault="009B5695" w:rsidP="000A2797">
      <w:pPr>
        <w:spacing w:after="0" w:line="240" w:lineRule="auto"/>
        <w:rPr>
          <w:rFonts w:ascii="Times New Roman" w:hAnsi="Times New Roman" w:cs="Times New Roman"/>
          <w:sz w:val="26"/>
          <w:szCs w:val="26"/>
        </w:rPr>
      </w:pPr>
    </w:p>
    <w:p w14:paraId="412ED434" w14:textId="77777777" w:rsidR="005B5C1E" w:rsidRPr="00EE5714" w:rsidRDefault="005B5C1E" w:rsidP="00A66D61">
      <w:pPr>
        <w:keepNext/>
        <w:spacing w:after="0" w:line="240" w:lineRule="auto"/>
        <w:jc w:val="center"/>
        <w:rPr>
          <w:rFonts w:ascii="Times New Roman" w:hAnsi="Times New Roman" w:cs="Times New Roman"/>
          <w:b/>
          <w:bCs/>
          <w:sz w:val="26"/>
          <w:szCs w:val="26"/>
        </w:rPr>
      </w:pPr>
      <w:r w:rsidRPr="00EE5714">
        <w:rPr>
          <w:rFonts w:ascii="Times New Roman" w:hAnsi="Times New Roman" w:cs="Times New Roman"/>
          <w:b/>
          <w:bCs/>
          <w:sz w:val="26"/>
          <w:szCs w:val="26"/>
        </w:rPr>
        <w:t>Observations</w:t>
      </w:r>
    </w:p>
    <w:p w14:paraId="3C8F9E3D" w14:textId="77777777" w:rsidR="001F276F" w:rsidRPr="00EE5714" w:rsidRDefault="001F276F" w:rsidP="001F5390">
      <w:pPr>
        <w:pStyle w:val="CommentText"/>
        <w:spacing w:after="0"/>
        <w:rPr>
          <w:rFonts w:ascii="Times New Roman" w:hAnsi="Times New Roman" w:cs="Times New Roman"/>
          <w:sz w:val="26"/>
          <w:szCs w:val="26"/>
        </w:rPr>
      </w:pPr>
    </w:p>
    <w:p w14:paraId="6CB671B5" w14:textId="77777777" w:rsidR="00BC45E0" w:rsidRPr="00EE5714" w:rsidRDefault="00863EFE" w:rsidP="00280EBC">
      <w:pPr>
        <w:pStyle w:val="CommentText"/>
        <w:spacing w:after="0"/>
        <w:ind w:firstLine="720"/>
        <w:rPr>
          <w:rFonts w:ascii="Times New Roman" w:hAnsi="Times New Roman" w:cs="Times New Roman"/>
          <w:sz w:val="26"/>
          <w:szCs w:val="26"/>
        </w:rPr>
      </w:pPr>
      <w:r w:rsidRPr="00EE5714">
        <w:rPr>
          <w:rFonts w:ascii="Times New Roman" w:hAnsi="Times New Roman" w:cs="Times New Roman"/>
          <w:sz w:val="26"/>
          <w:szCs w:val="26"/>
        </w:rPr>
        <w:t xml:space="preserve">Depending on the utility, </w:t>
      </w:r>
      <w:r w:rsidR="00BC45E0" w:rsidRPr="00EE5714">
        <w:rPr>
          <w:rFonts w:ascii="Times New Roman" w:hAnsi="Times New Roman" w:cs="Times New Roman"/>
          <w:sz w:val="26"/>
          <w:szCs w:val="26"/>
        </w:rPr>
        <w:t>NGDC non-CAP residential customers have paid between $10 and $145</w:t>
      </w:r>
      <w:r w:rsidRPr="00EE5714">
        <w:rPr>
          <w:rFonts w:ascii="Times New Roman" w:hAnsi="Times New Roman" w:cs="Times New Roman"/>
          <w:sz w:val="26"/>
          <w:szCs w:val="26"/>
        </w:rPr>
        <w:t xml:space="preserve"> annually</w:t>
      </w:r>
      <w:r w:rsidR="00BC45E0" w:rsidRPr="00EE5714">
        <w:rPr>
          <w:rFonts w:ascii="Times New Roman" w:hAnsi="Times New Roman" w:cs="Times New Roman"/>
          <w:sz w:val="26"/>
          <w:szCs w:val="26"/>
        </w:rPr>
        <w:t xml:space="preserve"> to cover CAP costs over the study period.  This does not factor in how much PGW commercial and industrial customers paid</w:t>
      </w:r>
      <w:r w:rsidR="00D47A62" w:rsidRPr="00EE5714">
        <w:rPr>
          <w:rFonts w:ascii="Times New Roman" w:hAnsi="Times New Roman" w:cs="Times New Roman"/>
          <w:sz w:val="26"/>
          <w:szCs w:val="26"/>
        </w:rPr>
        <w:t xml:space="preserve"> to cover CAP costs.</w:t>
      </w:r>
    </w:p>
    <w:p w14:paraId="2E352E02" w14:textId="77777777" w:rsidR="00E52672" w:rsidRPr="00EE5714" w:rsidRDefault="00E52672" w:rsidP="00834462">
      <w:pPr>
        <w:spacing w:after="0" w:line="240" w:lineRule="auto"/>
        <w:rPr>
          <w:rFonts w:ascii="Times New Roman" w:hAnsi="Times New Roman" w:cs="Times New Roman"/>
          <w:color w:val="2F5496" w:themeColor="accent1" w:themeShade="BF"/>
          <w:sz w:val="26"/>
          <w:szCs w:val="26"/>
        </w:rPr>
      </w:pPr>
    </w:p>
    <w:p w14:paraId="4932C2F1" w14:textId="77777777" w:rsidR="002D2F86" w:rsidRPr="00EE5714" w:rsidRDefault="002D2F86" w:rsidP="002D2F86">
      <w:pPr>
        <w:pStyle w:val="CommentText"/>
        <w:spacing w:after="0"/>
        <w:ind w:firstLine="720"/>
        <w:rPr>
          <w:rFonts w:ascii="Times New Roman" w:hAnsi="Times New Roman" w:cs="Times New Roman"/>
          <w:sz w:val="26"/>
          <w:szCs w:val="26"/>
        </w:rPr>
      </w:pPr>
      <w:r w:rsidRPr="00EE5714">
        <w:rPr>
          <w:rFonts w:ascii="Times New Roman" w:hAnsi="Times New Roman" w:cs="Times New Roman"/>
          <w:sz w:val="26"/>
          <w:szCs w:val="26"/>
        </w:rPr>
        <w:t xml:space="preserve">Depending on the utility, EDC non-CAP residential customers have paid between $15 and nearly $80 annually to cover CAP costs over the study period.  </w:t>
      </w:r>
    </w:p>
    <w:p w14:paraId="560527EF" w14:textId="1ED9DB6F" w:rsidR="00554737" w:rsidRPr="00EE5714" w:rsidRDefault="00554737" w:rsidP="00876534">
      <w:pPr>
        <w:spacing w:after="0" w:line="240" w:lineRule="auto"/>
        <w:rPr>
          <w:rFonts w:ascii="Times New Roman" w:hAnsi="Times New Roman" w:cs="Times New Roman"/>
          <w:sz w:val="26"/>
          <w:szCs w:val="26"/>
        </w:rPr>
      </w:pPr>
    </w:p>
    <w:p w14:paraId="26C40279" w14:textId="4B4F2CEF" w:rsidR="00554737" w:rsidRPr="00EE5714" w:rsidRDefault="00554737" w:rsidP="000010C5">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Despite an industry drop in CAP expenditures from 2012-2016, NDGC and EDC CAP costs are projected to increase annually through 2021.</w:t>
      </w:r>
      <w:r w:rsidR="00B2330B" w:rsidRPr="00EE5714">
        <w:rPr>
          <w:rFonts w:ascii="Times New Roman" w:hAnsi="Times New Roman" w:cs="Times New Roman"/>
          <w:sz w:val="26"/>
          <w:szCs w:val="26"/>
        </w:rPr>
        <w:t xml:space="preserve">  </w:t>
      </w:r>
    </w:p>
    <w:p w14:paraId="377BA6F7" w14:textId="1DC118EA" w:rsidR="00B2330B" w:rsidRPr="00EE5714" w:rsidRDefault="00B2330B" w:rsidP="000010C5">
      <w:pPr>
        <w:spacing w:after="0" w:line="240" w:lineRule="auto"/>
        <w:ind w:firstLine="720"/>
        <w:rPr>
          <w:rFonts w:ascii="Times New Roman" w:hAnsi="Times New Roman" w:cs="Times New Roman"/>
          <w:sz w:val="26"/>
          <w:szCs w:val="26"/>
        </w:rPr>
      </w:pPr>
    </w:p>
    <w:p w14:paraId="2F03ED7C" w14:textId="5EF921CB" w:rsidR="002259C7" w:rsidRPr="00EE5714" w:rsidRDefault="00B2330B" w:rsidP="005C43B9">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The overall average costs per non-CAP residential customer </w:t>
      </w:r>
      <w:r w:rsidR="009F79FE" w:rsidRPr="00EE5714">
        <w:rPr>
          <w:rFonts w:ascii="Times New Roman" w:hAnsi="Times New Roman" w:cs="Times New Roman"/>
          <w:sz w:val="26"/>
          <w:szCs w:val="26"/>
        </w:rPr>
        <w:t>are</w:t>
      </w:r>
      <w:r w:rsidRPr="00EE5714">
        <w:rPr>
          <w:rFonts w:ascii="Times New Roman" w:hAnsi="Times New Roman" w:cs="Times New Roman"/>
          <w:sz w:val="26"/>
          <w:szCs w:val="26"/>
        </w:rPr>
        <w:t xml:space="preserve"> also anticipated to increase through 2021, </w:t>
      </w:r>
      <w:r w:rsidR="001A3D84" w:rsidRPr="00EE5714">
        <w:rPr>
          <w:rFonts w:ascii="Times New Roman" w:hAnsi="Times New Roman" w:cs="Times New Roman"/>
          <w:sz w:val="26"/>
          <w:szCs w:val="26"/>
        </w:rPr>
        <w:t xml:space="preserve">varying </w:t>
      </w:r>
      <w:r w:rsidR="00876534" w:rsidRPr="00EE5714">
        <w:rPr>
          <w:rFonts w:ascii="Times New Roman" w:hAnsi="Times New Roman" w:cs="Times New Roman"/>
          <w:sz w:val="26"/>
          <w:szCs w:val="26"/>
        </w:rPr>
        <w:t>by</w:t>
      </w:r>
      <w:r w:rsidRPr="00EE5714">
        <w:rPr>
          <w:rFonts w:ascii="Times New Roman" w:hAnsi="Times New Roman" w:cs="Times New Roman"/>
          <w:sz w:val="26"/>
          <w:szCs w:val="26"/>
        </w:rPr>
        <w:t xml:space="preserve"> CAP enrollments levels.  EDC</w:t>
      </w:r>
      <w:r w:rsidR="00DE6783" w:rsidRPr="00EE5714">
        <w:rPr>
          <w:rFonts w:ascii="Times New Roman" w:hAnsi="Times New Roman" w:cs="Times New Roman"/>
          <w:sz w:val="26"/>
          <w:szCs w:val="26"/>
        </w:rPr>
        <w:t xml:space="preserve"> customers</w:t>
      </w:r>
      <w:r w:rsidRPr="00EE5714">
        <w:rPr>
          <w:rFonts w:ascii="Times New Roman" w:hAnsi="Times New Roman" w:cs="Times New Roman"/>
          <w:sz w:val="26"/>
          <w:szCs w:val="26"/>
        </w:rPr>
        <w:t xml:space="preserve"> will </w:t>
      </w:r>
      <w:r w:rsidRPr="00EE5714">
        <w:rPr>
          <w:rFonts w:ascii="Times New Roman" w:hAnsi="Times New Roman" w:cs="Times New Roman"/>
          <w:sz w:val="26"/>
          <w:szCs w:val="26"/>
        </w:rPr>
        <w:lastRenderedPageBreak/>
        <w:t xml:space="preserve">experience the biggest increase, with average </w:t>
      </w:r>
      <w:r w:rsidR="00DE6783" w:rsidRPr="00EE5714">
        <w:rPr>
          <w:rFonts w:ascii="Times New Roman" w:hAnsi="Times New Roman" w:cs="Times New Roman"/>
          <w:sz w:val="26"/>
          <w:szCs w:val="26"/>
        </w:rPr>
        <w:t>annual CAP costs recovered from non-CAP residential customers increasing by approximately $</w:t>
      </w:r>
      <w:r w:rsidR="009B4588" w:rsidRPr="00EE5714">
        <w:rPr>
          <w:rFonts w:ascii="Times New Roman" w:hAnsi="Times New Roman" w:cs="Times New Roman"/>
          <w:sz w:val="26"/>
          <w:szCs w:val="26"/>
        </w:rPr>
        <w:t>2</w:t>
      </w:r>
      <w:r w:rsidR="00DE6783" w:rsidRPr="00EE5714">
        <w:rPr>
          <w:rFonts w:ascii="Times New Roman" w:hAnsi="Times New Roman" w:cs="Times New Roman"/>
          <w:sz w:val="26"/>
          <w:szCs w:val="26"/>
        </w:rPr>
        <w:t>0 from 2017 to 2021.</w:t>
      </w:r>
    </w:p>
    <w:p w14:paraId="3F94F4FB" w14:textId="77777777" w:rsidR="009B4588" w:rsidRPr="00EE5714" w:rsidRDefault="009B4588" w:rsidP="00DE6783">
      <w:pPr>
        <w:spacing w:after="0" w:line="240" w:lineRule="auto"/>
        <w:rPr>
          <w:rFonts w:ascii="Times New Roman" w:hAnsi="Times New Roman" w:cs="Times New Roman"/>
          <w:sz w:val="26"/>
          <w:szCs w:val="26"/>
        </w:rPr>
      </w:pPr>
    </w:p>
    <w:p w14:paraId="71590007" w14:textId="77777777" w:rsidR="00051255" w:rsidRPr="00EE5714" w:rsidRDefault="000F1288" w:rsidP="005A00E2">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Based on </w:t>
      </w:r>
      <w:r w:rsidR="00D7309C" w:rsidRPr="00EE5714">
        <w:rPr>
          <w:rFonts w:ascii="Times New Roman" w:hAnsi="Times New Roman" w:cs="Times New Roman"/>
          <w:sz w:val="26"/>
          <w:szCs w:val="26"/>
        </w:rPr>
        <w:t>average CAP bill and income levels, t</w:t>
      </w:r>
      <w:r w:rsidR="00B5031E" w:rsidRPr="00EE5714">
        <w:rPr>
          <w:rFonts w:ascii="Times New Roman" w:hAnsi="Times New Roman" w:cs="Times New Roman"/>
          <w:sz w:val="26"/>
          <w:szCs w:val="26"/>
        </w:rPr>
        <w:t xml:space="preserve">he </w:t>
      </w:r>
      <w:r w:rsidR="00863EFE" w:rsidRPr="00EE5714">
        <w:rPr>
          <w:rFonts w:ascii="Times New Roman" w:hAnsi="Times New Roman" w:cs="Times New Roman"/>
          <w:sz w:val="26"/>
          <w:szCs w:val="26"/>
        </w:rPr>
        <w:t xml:space="preserve">total </w:t>
      </w:r>
      <w:r w:rsidR="00B5031E" w:rsidRPr="00EE5714">
        <w:rPr>
          <w:rFonts w:ascii="Times New Roman" w:hAnsi="Times New Roman" w:cs="Times New Roman"/>
          <w:sz w:val="26"/>
          <w:szCs w:val="26"/>
        </w:rPr>
        <w:t xml:space="preserve">amount of additional </w:t>
      </w:r>
      <w:r w:rsidR="007F394F" w:rsidRPr="00EE5714">
        <w:rPr>
          <w:rFonts w:ascii="Times New Roman" w:hAnsi="Times New Roman" w:cs="Times New Roman"/>
          <w:sz w:val="26"/>
          <w:szCs w:val="26"/>
        </w:rPr>
        <w:t>discounts (</w:t>
      </w:r>
      <w:r w:rsidR="00863EFE" w:rsidRPr="00EE5714">
        <w:rPr>
          <w:rFonts w:ascii="Times New Roman" w:hAnsi="Times New Roman" w:cs="Times New Roman"/>
          <w:i/>
          <w:iCs/>
          <w:sz w:val="26"/>
          <w:szCs w:val="26"/>
        </w:rPr>
        <w:t>i.e.</w:t>
      </w:r>
      <w:r w:rsidR="00863EFE" w:rsidRPr="00EE5714">
        <w:rPr>
          <w:rFonts w:ascii="Times New Roman" w:hAnsi="Times New Roman" w:cs="Times New Roman"/>
          <w:sz w:val="26"/>
          <w:szCs w:val="26"/>
        </w:rPr>
        <w:t xml:space="preserve">, </w:t>
      </w:r>
      <w:r w:rsidR="007F394F" w:rsidRPr="00EE5714">
        <w:rPr>
          <w:rFonts w:ascii="Times New Roman" w:hAnsi="Times New Roman" w:cs="Times New Roman"/>
          <w:sz w:val="26"/>
          <w:szCs w:val="26"/>
        </w:rPr>
        <w:t xml:space="preserve">CAP credits) needed to </w:t>
      </w:r>
      <w:r w:rsidR="00872FC8" w:rsidRPr="00EE5714">
        <w:rPr>
          <w:rFonts w:ascii="Times New Roman" w:hAnsi="Times New Roman" w:cs="Times New Roman"/>
          <w:sz w:val="26"/>
          <w:szCs w:val="26"/>
        </w:rPr>
        <w:t>establish maximum energy burden</w:t>
      </w:r>
      <w:r w:rsidR="00BC0B05" w:rsidRPr="00EE5714">
        <w:rPr>
          <w:rFonts w:ascii="Times New Roman" w:hAnsi="Times New Roman" w:cs="Times New Roman"/>
          <w:sz w:val="26"/>
          <w:szCs w:val="26"/>
        </w:rPr>
        <w:t>s</w:t>
      </w:r>
      <w:r w:rsidR="00872FC8" w:rsidRPr="00EE5714">
        <w:rPr>
          <w:rFonts w:ascii="Times New Roman" w:hAnsi="Times New Roman" w:cs="Times New Roman"/>
          <w:sz w:val="26"/>
          <w:szCs w:val="26"/>
        </w:rPr>
        <w:t xml:space="preserve"> of 6% </w:t>
      </w:r>
      <w:r w:rsidR="00BC0B05" w:rsidRPr="00EE5714">
        <w:rPr>
          <w:rFonts w:ascii="Times New Roman" w:hAnsi="Times New Roman" w:cs="Times New Roman"/>
          <w:sz w:val="26"/>
          <w:szCs w:val="26"/>
        </w:rPr>
        <w:t xml:space="preserve">for gas heating, </w:t>
      </w:r>
      <w:r w:rsidR="00961BC5" w:rsidRPr="00EE5714">
        <w:rPr>
          <w:rFonts w:ascii="Times New Roman" w:hAnsi="Times New Roman" w:cs="Times New Roman"/>
          <w:sz w:val="26"/>
          <w:szCs w:val="26"/>
        </w:rPr>
        <w:t xml:space="preserve">4% for electric non-heating, and 10% for electric heating </w:t>
      </w:r>
      <w:r w:rsidR="00872FC8" w:rsidRPr="00EE5714">
        <w:rPr>
          <w:rFonts w:ascii="Times New Roman" w:hAnsi="Times New Roman" w:cs="Times New Roman"/>
          <w:sz w:val="26"/>
          <w:szCs w:val="26"/>
        </w:rPr>
        <w:t xml:space="preserve">would be </w:t>
      </w:r>
      <w:r w:rsidR="00015F65" w:rsidRPr="00EE5714">
        <w:rPr>
          <w:rFonts w:ascii="Times New Roman" w:hAnsi="Times New Roman" w:cs="Times New Roman"/>
          <w:sz w:val="26"/>
          <w:szCs w:val="26"/>
        </w:rPr>
        <w:t xml:space="preserve">approximately </w:t>
      </w:r>
      <w:r w:rsidR="0058733F" w:rsidRPr="00EE5714">
        <w:rPr>
          <w:rFonts w:ascii="Times New Roman" w:hAnsi="Times New Roman" w:cs="Times New Roman"/>
          <w:sz w:val="26"/>
          <w:szCs w:val="26"/>
        </w:rPr>
        <w:t>$</w:t>
      </w:r>
      <w:r w:rsidR="00961BC5" w:rsidRPr="00EE5714">
        <w:rPr>
          <w:rFonts w:ascii="Times New Roman" w:hAnsi="Times New Roman" w:cs="Times New Roman"/>
          <w:sz w:val="26"/>
          <w:szCs w:val="26"/>
        </w:rPr>
        <w:t>102</w:t>
      </w:r>
      <w:r w:rsidR="006C036E" w:rsidRPr="00EE5714">
        <w:rPr>
          <w:rFonts w:ascii="Times New Roman" w:hAnsi="Times New Roman" w:cs="Times New Roman"/>
          <w:sz w:val="26"/>
          <w:szCs w:val="26"/>
        </w:rPr>
        <w:t> </w:t>
      </w:r>
      <w:r w:rsidR="00015F65" w:rsidRPr="00EE5714">
        <w:rPr>
          <w:rFonts w:ascii="Times New Roman" w:hAnsi="Times New Roman" w:cs="Times New Roman"/>
          <w:sz w:val="26"/>
          <w:szCs w:val="26"/>
        </w:rPr>
        <w:t>million</w:t>
      </w:r>
      <w:r w:rsidR="002160EB" w:rsidRPr="00EE5714">
        <w:rPr>
          <w:rFonts w:ascii="Times New Roman" w:hAnsi="Times New Roman" w:cs="Times New Roman"/>
          <w:sz w:val="26"/>
          <w:szCs w:val="26"/>
        </w:rPr>
        <w:t>.</w:t>
      </w:r>
      <w:r w:rsidR="0058733F" w:rsidRPr="00EE5714">
        <w:rPr>
          <w:rFonts w:ascii="Times New Roman" w:hAnsi="Times New Roman" w:cs="Times New Roman"/>
          <w:sz w:val="26"/>
          <w:szCs w:val="26"/>
        </w:rPr>
        <w:t xml:space="preserve">  Th</w:t>
      </w:r>
      <w:r w:rsidR="009B01CE" w:rsidRPr="00EE5714">
        <w:rPr>
          <w:rFonts w:ascii="Times New Roman" w:hAnsi="Times New Roman" w:cs="Times New Roman"/>
          <w:sz w:val="26"/>
          <w:szCs w:val="26"/>
        </w:rPr>
        <w:t xml:space="preserve">is amount breaks down </w:t>
      </w:r>
      <w:r w:rsidR="00DB2F84" w:rsidRPr="00EE5714">
        <w:rPr>
          <w:rFonts w:ascii="Times New Roman" w:hAnsi="Times New Roman" w:cs="Times New Roman"/>
          <w:sz w:val="26"/>
          <w:szCs w:val="26"/>
        </w:rPr>
        <w:t xml:space="preserve">to </w:t>
      </w:r>
      <w:r w:rsidR="00BC33C6" w:rsidRPr="00EE5714">
        <w:rPr>
          <w:rFonts w:ascii="Times New Roman" w:hAnsi="Times New Roman" w:cs="Times New Roman"/>
          <w:sz w:val="26"/>
          <w:szCs w:val="26"/>
        </w:rPr>
        <w:t xml:space="preserve">approximately </w:t>
      </w:r>
      <w:r w:rsidR="00DB2F84" w:rsidRPr="00EE5714">
        <w:rPr>
          <w:rFonts w:ascii="Times New Roman" w:hAnsi="Times New Roman" w:cs="Times New Roman"/>
          <w:sz w:val="26"/>
          <w:szCs w:val="26"/>
        </w:rPr>
        <w:t>$3</w:t>
      </w:r>
      <w:r w:rsidR="00BC33C6" w:rsidRPr="00EE5714">
        <w:rPr>
          <w:rFonts w:ascii="Times New Roman" w:hAnsi="Times New Roman" w:cs="Times New Roman"/>
          <w:sz w:val="26"/>
          <w:szCs w:val="26"/>
        </w:rPr>
        <w:t>2</w:t>
      </w:r>
      <w:r w:rsidR="00015F65" w:rsidRPr="00EE5714">
        <w:rPr>
          <w:rFonts w:ascii="Times New Roman" w:hAnsi="Times New Roman" w:cs="Times New Roman"/>
          <w:sz w:val="26"/>
          <w:szCs w:val="26"/>
        </w:rPr>
        <w:t xml:space="preserve"> </w:t>
      </w:r>
      <w:r w:rsidR="00BC33C6" w:rsidRPr="00EE5714">
        <w:rPr>
          <w:rFonts w:ascii="Times New Roman" w:hAnsi="Times New Roman" w:cs="Times New Roman"/>
          <w:sz w:val="26"/>
          <w:szCs w:val="26"/>
        </w:rPr>
        <w:t xml:space="preserve">million for </w:t>
      </w:r>
      <w:r w:rsidR="00015F65" w:rsidRPr="00EE5714">
        <w:rPr>
          <w:rFonts w:ascii="Times New Roman" w:hAnsi="Times New Roman" w:cs="Times New Roman"/>
          <w:sz w:val="26"/>
          <w:szCs w:val="26"/>
        </w:rPr>
        <w:t>gas heating, $</w:t>
      </w:r>
      <w:r w:rsidR="001D29B8" w:rsidRPr="00EE5714">
        <w:rPr>
          <w:rFonts w:ascii="Times New Roman" w:hAnsi="Times New Roman" w:cs="Times New Roman"/>
          <w:sz w:val="26"/>
          <w:szCs w:val="26"/>
        </w:rPr>
        <w:t xml:space="preserve">62 million for electric non-heating, and </w:t>
      </w:r>
      <w:r w:rsidR="00015F65" w:rsidRPr="00EE5714">
        <w:rPr>
          <w:rFonts w:ascii="Times New Roman" w:hAnsi="Times New Roman" w:cs="Times New Roman"/>
          <w:sz w:val="26"/>
          <w:szCs w:val="26"/>
        </w:rPr>
        <w:t>$9 million</w:t>
      </w:r>
      <w:r w:rsidR="00DB2F84" w:rsidRPr="00EE5714">
        <w:rPr>
          <w:rFonts w:ascii="Times New Roman" w:hAnsi="Times New Roman" w:cs="Times New Roman"/>
          <w:sz w:val="26"/>
          <w:szCs w:val="26"/>
        </w:rPr>
        <w:t xml:space="preserve"> </w:t>
      </w:r>
      <w:r w:rsidR="00015F65" w:rsidRPr="00EE5714">
        <w:rPr>
          <w:rFonts w:ascii="Times New Roman" w:hAnsi="Times New Roman" w:cs="Times New Roman"/>
          <w:sz w:val="26"/>
          <w:szCs w:val="26"/>
        </w:rPr>
        <w:t>for electric heating</w:t>
      </w:r>
      <w:r w:rsidR="001D29B8" w:rsidRPr="00EE5714">
        <w:rPr>
          <w:rFonts w:ascii="Times New Roman" w:hAnsi="Times New Roman" w:cs="Times New Roman"/>
          <w:sz w:val="26"/>
          <w:szCs w:val="26"/>
        </w:rPr>
        <w:t>.</w:t>
      </w:r>
      <w:r w:rsidR="00015F65" w:rsidRPr="00EE5714">
        <w:rPr>
          <w:rFonts w:ascii="Times New Roman" w:hAnsi="Times New Roman" w:cs="Times New Roman"/>
          <w:sz w:val="26"/>
          <w:szCs w:val="26"/>
        </w:rPr>
        <w:t xml:space="preserve"> </w:t>
      </w:r>
      <w:r w:rsidR="0058733F" w:rsidRPr="00EE5714">
        <w:rPr>
          <w:rFonts w:ascii="Times New Roman" w:hAnsi="Times New Roman" w:cs="Times New Roman"/>
          <w:sz w:val="26"/>
          <w:szCs w:val="26"/>
        </w:rPr>
        <w:t xml:space="preserve"> </w:t>
      </w:r>
      <w:r w:rsidR="007946AE" w:rsidRPr="00EE5714">
        <w:rPr>
          <w:rFonts w:ascii="Times New Roman" w:hAnsi="Times New Roman" w:cs="Times New Roman"/>
          <w:sz w:val="26"/>
          <w:szCs w:val="26"/>
        </w:rPr>
        <w:t>This additional CAP cost w</w:t>
      </w:r>
      <w:r w:rsidR="00B0566D" w:rsidRPr="00EE5714">
        <w:rPr>
          <w:rFonts w:ascii="Times New Roman" w:hAnsi="Times New Roman" w:cs="Times New Roman"/>
          <w:sz w:val="26"/>
          <w:szCs w:val="26"/>
        </w:rPr>
        <w:t>ould</w:t>
      </w:r>
      <w:r w:rsidR="007946AE" w:rsidRPr="00EE5714">
        <w:rPr>
          <w:rFonts w:ascii="Times New Roman" w:hAnsi="Times New Roman" w:cs="Times New Roman"/>
          <w:sz w:val="26"/>
          <w:szCs w:val="26"/>
        </w:rPr>
        <w:t xml:space="preserve"> increase </w:t>
      </w:r>
      <w:r w:rsidR="00861AEC" w:rsidRPr="00EE5714">
        <w:rPr>
          <w:rFonts w:ascii="Times New Roman" w:hAnsi="Times New Roman" w:cs="Times New Roman"/>
          <w:sz w:val="26"/>
          <w:szCs w:val="26"/>
        </w:rPr>
        <w:t>gas and electric bills for non-CAP residential ratepayers by</w:t>
      </w:r>
      <w:r w:rsidR="00863EFE" w:rsidRPr="00EE5714">
        <w:rPr>
          <w:rFonts w:ascii="Times New Roman" w:hAnsi="Times New Roman" w:cs="Times New Roman"/>
          <w:sz w:val="26"/>
          <w:szCs w:val="26"/>
        </w:rPr>
        <w:t xml:space="preserve"> approximately</w:t>
      </w:r>
      <w:r w:rsidR="00861AEC" w:rsidRPr="00EE5714">
        <w:rPr>
          <w:rFonts w:ascii="Times New Roman" w:hAnsi="Times New Roman" w:cs="Times New Roman"/>
          <w:sz w:val="26"/>
          <w:szCs w:val="26"/>
        </w:rPr>
        <w:t xml:space="preserve"> </w:t>
      </w:r>
      <w:r w:rsidR="00F34CF2" w:rsidRPr="00EE5714">
        <w:rPr>
          <w:rFonts w:ascii="Times New Roman" w:hAnsi="Times New Roman" w:cs="Times New Roman"/>
          <w:sz w:val="26"/>
          <w:szCs w:val="26"/>
        </w:rPr>
        <w:t>$15</w:t>
      </w:r>
      <w:r w:rsidR="00245572" w:rsidRPr="00EE5714">
        <w:rPr>
          <w:rFonts w:ascii="Times New Roman" w:hAnsi="Times New Roman" w:cs="Times New Roman"/>
          <w:sz w:val="26"/>
          <w:szCs w:val="26"/>
        </w:rPr>
        <w:t xml:space="preserve"> as a statewide average for customers of the larger energy utilities</w:t>
      </w:r>
      <w:r w:rsidR="004F6381" w:rsidRPr="00EE5714">
        <w:rPr>
          <w:rFonts w:ascii="Times New Roman" w:hAnsi="Times New Roman" w:cs="Times New Roman"/>
          <w:sz w:val="26"/>
          <w:szCs w:val="26"/>
        </w:rPr>
        <w:t>.</w:t>
      </w:r>
      <w:r w:rsidR="00F34CF2" w:rsidRPr="00EE5714">
        <w:rPr>
          <w:rFonts w:ascii="Times New Roman" w:hAnsi="Times New Roman" w:cs="Times New Roman"/>
          <w:sz w:val="26"/>
          <w:szCs w:val="26"/>
        </w:rPr>
        <w:t xml:space="preserve">  </w:t>
      </w:r>
    </w:p>
    <w:p w14:paraId="7E6300FA" w14:textId="77777777" w:rsidR="00863EFE" w:rsidRPr="00EE5714" w:rsidRDefault="00863EFE" w:rsidP="005A00E2">
      <w:pPr>
        <w:spacing w:after="0" w:line="240" w:lineRule="auto"/>
        <w:ind w:firstLine="720"/>
        <w:rPr>
          <w:rFonts w:ascii="Times New Roman" w:hAnsi="Times New Roman" w:cs="Times New Roman"/>
          <w:sz w:val="26"/>
          <w:szCs w:val="26"/>
        </w:rPr>
      </w:pPr>
    </w:p>
    <w:p w14:paraId="37298183" w14:textId="3ED45DD2" w:rsidR="006E6A71" w:rsidRPr="00EE5714" w:rsidRDefault="00396D1D" w:rsidP="00D2208A">
      <w:pPr>
        <w:spacing w:after="0" w:line="240" w:lineRule="auto"/>
        <w:rPr>
          <w:rFonts w:ascii="Times New Roman" w:hAnsi="Times New Roman" w:cs="Times New Roman"/>
          <w:b/>
          <w:color w:val="0D0D0D" w:themeColor="text1" w:themeTint="F2"/>
          <w:sz w:val="26"/>
          <w:szCs w:val="26"/>
        </w:rPr>
      </w:pPr>
      <w:r w:rsidRPr="00EE5714">
        <w:rPr>
          <w:rFonts w:ascii="Times New Roman" w:hAnsi="Times New Roman" w:cs="Times New Roman"/>
          <w:color w:val="0D0D0D" w:themeColor="text1" w:themeTint="F2"/>
          <w:sz w:val="26"/>
          <w:szCs w:val="26"/>
        </w:rPr>
        <w:tab/>
      </w:r>
      <w:r w:rsidR="00B141C3" w:rsidRPr="00EE5714">
        <w:rPr>
          <w:rFonts w:ascii="Times New Roman" w:hAnsi="Times New Roman" w:cs="Times New Roman"/>
          <w:color w:val="0D0D0D" w:themeColor="text1" w:themeTint="F2"/>
          <w:sz w:val="26"/>
          <w:szCs w:val="26"/>
        </w:rPr>
        <w:t xml:space="preserve">The </w:t>
      </w:r>
      <w:r w:rsidR="00764FEE" w:rsidRPr="00EE5714">
        <w:rPr>
          <w:rFonts w:ascii="Times New Roman" w:hAnsi="Times New Roman" w:cs="Times New Roman"/>
          <w:color w:val="0D0D0D" w:themeColor="text1" w:themeTint="F2"/>
          <w:sz w:val="26"/>
          <w:szCs w:val="26"/>
        </w:rPr>
        <w:t xml:space="preserve">energy burden </w:t>
      </w:r>
      <w:r w:rsidR="00B141C3" w:rsidRPr="00EE5714">
        <w:rPr>
          <w:rFonts w:ascii="Times New Roman" w:hAnsi="Times New Roman" w:cs="Times New Roman"/>
          <w:color w:val="0D0D0D" w:themeColor="text1" w:themeTint="F2"/>
          <w:sz w:val="26"/>
          <w:szCs w:val="26"/>
        </w:rPr>
        <w:t>model</w:t>
      </w:r>
      <w:r w:rsidR="00925213" w:rsidRPr="00EE5714">
        <w:rPr>
          <w:rFonts w:ascii="Times New Roman" w:hAnsi="Times New Roman" w:cs="Times New Roman"/>
          <w:color w:val="0D0D0D" w:themeColor="text1" w:themeTint="F2"/>
          <w:sz w:val="26"/>
          <w:szCs w:val="26"/>
        </w:rPr>
        <w:t>, developed by staff,</w:t>
      </w:r>
      <w:r w:rsidR="00B141C3" w:rsidRPr="00EE5714">
        <w:rPr>
          <w:rFonts w:ascii="Times New Roman" w:hAnsi="Times New Roman" w:cs="Times New Roman"/>
          <w:color w:val="0D0D0D" w:themeColor="text1" w:themeTint="F2"/>
          <w:sz w:val="26"/>
          <w:szCs w:val="26"/>
        </w:rPr>
        <w:t xml:space="preserve"> </w:t>
      </w:r>
      <w:r w:rsidR="00764FEE" w:rsidRPr="00EE5714">
        <w:rPr>
          <w:rFonts w:ascii="Times New Roman" w:hAnsi="Times New Roman" w:cs="Times New Roman"/>
          <w:color w:val="0D0D0D" w:themeColor="text1" w:themeTint="F2"/>
          <w:sz w:val="26"/>
          <w:szCs w:val="26"/>
        </w:rPr>
        <w:t xml:space="preserve">used in this study </w:t>
      </w:r>
      <w:r w:rsidR="00B141C3" w:rsidRPr="00EE5714">
        <w:rPr>
          <w:rFonts w:ascii="Times New Roman" w:hAnsi="Times New Roman" w:cs="Times New Roman"/>
          <w:color w:val="0D0D0D" w:themeColor="text1" w:themeTint="F2"/>
          <w:sz w:val="26"/>
          <w:szCs w:val="26"/>
        </w:rPr>
        <w:t xml:space="preserve">does not </w:t>
      </w:r>
      <w:r w:rsidR="00C25BEB" w:rsidRPr="00EE5714">
        <w:rPr>
          <w:rFonts w:ascii="Times New Roman" w:hAnsi="Times New Roman" w:cs="Times New Roman"/>
          <w:color w:val="0D0D0D" w:themeColor="text1" w:themeTint="F2"/>
          <w:sz w:val="26"/>
          <w:szCs w:val="26"/>
        </w:rPr>
        <w:t>take into consideration</w:t>
      </w:r>
      <w:r w:rsidR="007A6966" w:rsidRPr="00EE5714">
        <w:rPr>
          <w:rFonts w:ascii="Times New Roman" w:hAnsi="Times New Roman" w:cs="Times New Roman"/>
          <w:color w:val="0D0D0D" w:themeColor="text1" w:themeTint="F2"/>
          <w:sz w:val="26"/>
          <w:szCs w:val="26"/>
        </w:rPr>
        <w:t>:</w:t>
      </w:r>
      <w:r w:rsidR="00B141C3" w:rsidRPr="00EE5714">
        <w:rPr>
          <w:rFonts w:ascii="Times New Roman" w:hAnsi="Times New Roman" w:cs="Times New Roman"/>
          <w:color w:val="0D0D0D" w:themeColor="text1" w:themeTint="F2"/>
          <w:sz w:val="26"/>
          <w:szCs w:val="26"/>
        </w:rPr>
        <w:t xml:space="preserve"> </w:t>
      </w:r>
      <w:r w:rsidR="00764FEE" w:rsidRPr="00EE5714">
        <w:rPr>
          <w:rFonts w:ascii="Times New Roman" w:hAnsi="Times New Roman" w:cs="Times New Roman"/>
          <w:color w:val="0D0D0D" w:themeColor="text1" w:themeTint="F2"/>
          <w:sz w:val="26"/>
          <w:szCs w:val="26"/>
        </w:rPr>
        <w:t>(1)</w:t>
      </w:r>
      <w:r w:rsidR="00A268BB" w:rsidRPr="00EE5714">
        <w:rPr>
          <w:rFonts w:ascii="Times New Roman" w:hAnsi="Times New Roman" w:cs="Times New Roman"/>
          <w:color w:val="0D0D0D" w:themeColor="text1" w:themeTint="F2"/>
          <w:sz w:val="26"/>
          <w:szCs w:val="26"/>
        </w:rPr>
        <w:t> </w:t>
      </w:r>
      <w:r w:rsidR="00065157" w:rsidRPr="00EE5714">
        <w:rPr>
          <w:rFonts w:ascii="Times New Roman" w:hAnsi="Times New Roman" w:cs="Times New Roman"/>
          <w:color w:val="0D0D0D" w:themeColor="text1" w:themeTint="F2"/>
          <w:sz w:val="26"/>
          <w:szCs w:val="26"/>
        </w:rPr>
        <w:t>any possible reductions in CAP costs if some CAP customers</w:t>
      </w:r>
      <w:r w:rsidR="00D94D1A" w:rsidRPr="00EE5714">
        <w:rPr>
          <w:rFonts w:ascii="Times New Roman" w:hAnsi="Times New Roman" w:cs="Times New Roman"/>
          <w:color w:val="0D0D0D" w:themeColor="text1" w:themeTint="F2"/>
          <w:sz w:val="26"/>
          <w:szCs w:val="26"/>
        </w:rPr>
        <w:t xml:space="preserve"> are required to pay more at the selected energy burden</w:t>
      </w:r>
      <w:r w:rsidR="000B3C8F" w:rsidRPr="00EE5714">
        <w:rPr>
          <w:rFonts w:ascii="Times New Roman" w:hAnsi="Times New Roman" w:cs="Times New Roman"/>
          <w:color w:val="0D0D0D" w:themeColor="text1" w:themeTint="F2"/>
          <w:sz w:val="26"/>
          <w:szCs w:val="26"/>
        </w:rPr>
        <w:t>s</w:t>
      </w:r>
      <w:r w:rsidR="00D94D1A" w:rsidRPr="00EE5714">
        <w:rPr>
          <w:rFonts w:ascii="Times New Roman" w:hAnsi="Times New Roman" w:cs="Times New Roman"/>
          <w:color w:val="0D0D0D" w:themeColor="text1" w:themeTint="F2"/>
          <w:sz w:val="26"/>
          <w:szCs w:val="26"/>
        </w:rPr>
        <w:t xml:space="preserve">; (2) </w:t>
      </w:r>
      <w:r w:rsidR="008D3159" w:rsidRPr="00EE5714">
        <w:rPr>
          <w:rFonts w:ascii="Times New Roman" w:hAnsi="Times New Roman" w:cs="Times New Roman"/>
          <w:color w:val="0D0D0D" w:themeColor="text1" w:themeTint="F2"/>
          <w:sz w:val="26"/>
          <w:szCs w:val="26"/>
        </w:rPr>
        <w:t>whether rate discount pricing might be better for some CAP customers</w:t>
      </w:r>
      <w:r w:rsidR="00C25BEB" w:rsidRPr="00EE5714">
        <w:rPr>
          <w:rFonts w:ascii="Times New Roman" w:hAnsi="Times New Roman" w:cs="Times New Roman"/>
          <w:color w:val="0D0D0D" w:themeColor="text1" w:themeTint="F2"/>
          <w:sz w:val="26"/>
          <w:szCs w:val="26"/>
        </w:rPr>
        <w:t xml:space="preserve">; (3) </w:t>
      </w:r>
      <w:r w:rsidR="00B141C3" w:rsidRPr="00EE5714">
        <w:rPr>
          <w:rFonts w:ascii="Times New Roman" w:hAnsi="Times New Roman" w:cs="Times New Roman"/>
          <w:color w:val="0D0D0D" w:themeColor="text1" w:themeTint="F2"/>
          <w:sz w:val="26"/>
          <w:szCs w:val="26"/>
        </w:rPr>
        <w:t xml:space="preserve">CAP costs borne by PGW’s </w:t>
      </w:r>
      <w:r w:rsidR="00FF5DDB" w:rsidRPr="00EE5714">
        <w:rPr>
          <w:rFonts w:ascii="Times New Roman" w:hAnsi="Times New Roman" w:cs="Times New Roman"/>
          <w:color w:val="0D0D0D" w:themeColor="text1" w:themeTint="F2"/>
          <w:sz w:val="26"/>
          <w:szCs w:val="26"/>
        </w:rPr>
        <w:t>non-residential ratepayers;</w:t>
      </w:r>
      <w:r w:rsidR="00CB75D5" w:rsidRPr="00EE5714">
        <w:rPr>
          <w:rFonts w:ascii="Times New Roman" w:hAnsi="Times New Roman" w:cs="Times New Roman"/>
          <w:color w:val="0D0D0D" w:themeColor="text1" w:themeTint="F2"/>
          <w:sz w:val="26"/>
          <w:szCs w:val="26"/>
        </w:rPr>
        <w:t xml:space="preserve"> </w:t>
      </w:r>
      <w:r w:rsidR="00FF5DDB" w:rsidRPr="00EE5714">
        <w:rPr>
          <w:rFonts w:ascii="Times New Roman" w:hAnsi="Times New Roman" w:cs="Times New Roman"/>
          <w:color w:val="0D0D0D" w:themeColor="text1" w:themeTint="F2"/>
          <w:sz w:val="26"/>
          <w:szCs w:val="26"/>
        </w:rPr>
        <w:t>(4)</w:t>
      </w:r>
      <w:r w:rsidR="00A268BB" w:rsidRPr="00EE5714">
        <w:rPr>
          <w:rFonts w:ascii="Times New Roman" w:hAnsi="Times New Roman" w:cs="Times New Roman"/>
          <w:color w:val="0D0D0D" w:themeColor="text1" w:themeTint="F2"/>
          <w:sz w:val="26"/>
          <w:szCs w:val="26"/>
        </w:rPr>
        <w:t> </w:t>
      </w:r>
      <w:r w:rsidR="00CB75D5" w:rsidRPr="00EE5714">
        <w:rPr>
          <w:rFonts w:ascii="Times New Roman" w:hAnsi="Times New Roman" w:cs="Times New Roman"/>
          <w:color w:val="0D0D0D" w:themeColor="text1" w:themeTint="F2"/>
          <w:sz w:val="26"/>
          <w:szCs w:val="26"/>
        </w:rPr>
        <w:t>utility CAP credit limits; (</w:t>
      </w:r>
      <w:r w:rsidR="00E55E6C" w:rsidRPr="00EE5714">
        <w:rPr>
          <w:rFonts w:ascii="Times New Roman" w:hAnsi="Times New Roman" w:cs="Times New Roman"/>
          <w:color w:val="0D0D0D" w:themeColor="text1" w:themeTint="F2"/>
          <w:sz w:val="26"/>
          <w:szCs w:val="26"/>
        </w:rPr>
        <w:t>5) system/administrative costs associated with adopting new energy burden</w:t>
      </w:r>
      <w:r w:rsidR="000B3C8F" w:rsidRPr="00EE5714">
        <w:rPr>
          <w:rFonts w:ascii="Times New Roman" w:hAnsi="Times New Roman" w:cs="Times New Roman"/>
          <w:color w:val="0D0D0D" w:themeColor="text1" w:themeTint="F2"/>
          <w:sz w:val="26"/>
          <w:szCs w:val="26"/>
        </w:rPr>
        <w:t>s</w:t>
      </w:r>
      <w:r w:rsidR="00B571E1" w:rsidRPr="00EE5714">
        <w:rPr>
          <w:rFonts w:ascii="Times New Roman" w:hAnsi="Times New Roman" w:cs="Times New Roman"/>
          <w:color w:val="0D0D0D" w:themeColor="text1" w:themeTint="F2"/>
          <w:sz w:val="26"/>
          <w:szCs w:val="26"/>
        </w:rPr>
        <w:t>; and (6) factors specific to each utility.</w:t>
      </w:r>
      <w:r w:rsidR="006E6A71" w:rsidRPr="00EE5714">
        <w:rPr>
          <w:rFonts w:ascii="Times New Roman" w:hAnsi="Times New Roman" w:cs="Times New Roman"/>
          <w:b/>
          <w:color w:val="0D0D0D" w:themeColor="text1" w:themeTint="F2"/>
          <w:sz w:val="26"/>
          <w:szCs w:val="26"/>
        </w:rPr>
        <w:br w:type="page"/>
      </w:r>
    </w:p>
    <w:p w14:paraId="4E5A60D2" w14:textId="77777777" w:rsidR="00E76399" w:rsidRPr="00EE5714" w:rsidRDefault="004A4E70" w:rsidP="00C65949">
      <w:pPr>
        <w:pStyle w:val="Heading1"/>
      </w:pPr>
      <w:bookmarkStart w:id="47" w:name="_Toc533674869"/>
      <w:bookmarkStart w:id="48" w:name="_Toc534547874"/>
      <w:r w:rsidRPr="00EE5714">
        <w:lastRenderedPageBreak/>
        <w:t>XI</w:t>
      </w:r>
      <w:r w:rsidR="007A037D" w:rsidRPr="00EE5714">
        <w:t xml:space="preserve">.  </w:t>
      </w:r>
      <w:r w:rsidR="003B4598" w:rsidRPr="00EE5714">
        <w:t>Conclusion</w:t>
      </w:r>
      <w:bookmarkEnd w:id="47"/>
      <w:bookmarkEnd w:id="48"/>
    </w:p>
    <w:p w14:paraId="7C413725" w14:textId="77777777" w:rsidR="006F6879" w:rsidRPr="00EE5714" w:rsidRDefault="006F6879" w:rsidP="002A7A89">
      <w:pPr>
        <w:pStyle w:val="ListParagraph"/>
        <w:spacing w:after="0" w:line="240" w:lineRule="auto"/>
        <w:ind w:left="1080"/>
        <w:rPr>
          <w:rFonts w:ascii="Times New Roman" w:hAnsi="Times New Roman" w:cs="Times New Roman"/>
          <w:color w:val="2F5496" w:themeColor="accent1" w:themeShade="BF"/>
          <w:sz w:val="26"/>
          <w:szCs w:val="26"/>
        </w:rPr>
      </w:pPr>
    </w:p>
    <w:p w14:paraId="6CED84FE" w14:textId="77777777" w:rsidR="00870692" w:rsidRPr="00EE5714" w:rsidRDefault="00870692" w:rsidP="00870692">
      <w:pPr>
        <w:pStyle w:val="ListParagraph"/>
        <w:spacing w:after="0" w:line="240" w:lineRule="auto"/>
        <w:ind w:left="0" w:firstLine="720"/>
        <w:rPr>
          <w:rFonts w:ascii="Times New Roman" w:hAnsi="Times New Roman" w:cs="Times New Roman"/>
          <w:color w:val="2F5496" w:themeColor="accent1" w:themeShade="BF"/>
          <w:sz w:val="26"/>
          <w:szCs w:val="26"/>
        </w:rPr>
      </w:pPr>
      <w:r w:rsidRPr="00EE5714">
        <w:rPr>
          <w:rFonts w:ascii="Times New Roman" w:hAnsi="Times New Roman" w:cs="Times New Roman"/>
          <w:sz w:val="26"/>
          <w:szCs w:val="26"/>
        </w:rPr>
        <w:t xml:space="preserve">The Commission initiated a study of energy affordability for low-income customers in Pennsylvania in </w:t>
      </w:r>
      <w:r w:rsidR="000730DB" w:rsidRPr="00EE5714">
        <w:rPr>
          <w:rFonts w:ascii="Times New Roman" w:hAnsi="Times New Roman" w:cs="Times New Roman"/>
          <w:sz w:val="26"/>
          <w:szCs w:val="26"/>
        </w:rPr>
        <w:t xml:space="preserve">its </w:t>
      </w:r>
      <w:r w:rsidR="00112C50" w:rsidRPr="00EE5714">
        <w:rPr>
          <w:rFonts w:ascii="Times New Roman" w:hAnsi="Times New Roman" w:cs="Times New Roman"/>
          <w:sz w:val="26"/>
          <w:szCs w:val="26"/>
        </w:rPr>
        <w:t xml:space="preserve">Order at Docket No. M-2017-2587711 </w:t>
      </w:r>
      <w:r w:rsidRPr="00EE5714">
        <w:rPr>
          <w:rFonts w:ascii="Times New Roman" w:hAnsi="Times New Roman" w:cs="Times New Roman"/>
          <w:sz w:val="26"/>
          <w:szCs w:val="26"/>
        </w:rPr>
        <w:t xml:space="preserve">entered on May 5, 2017.  This staff report, notice of which will be published in the </w:t>
      </w:r>
      <w:r w:rsidRPr="00EE5714">
        <w:rPr>
          <w:rFonts w:ascii="Times New Roman" w:hAnsi="Times New Roman" w:cs="Times New Roman"/>
          <w:i/>
          <w:iCs/>
          <w:sz w:val="26"/>
          <w:szCs w:val="26"/>
        </w:rPr>
        <w:t>Pennsylvania Bulletin</w:t>
      </w:r>
      <w:r w:rsidRPr="00EE5714">
        <w:rPr>
          <w:rFonts w:ascii="Times New Roman" w:hAnsi="Times New Roman" w:cs="Times New Roman"/>
          <w:sz w:val="26"/>
          <w:szCs w:val="26"/>
        </w:rPr>
        <w:t xml:space="preserve"> with provisions for comment and reply comment periods as necessary, will be published to the Commission’s website.  This report is a staff work product and is not binding on the Commission.  Nor is this staff report indicative of how the Commission may decide to act on universal service matters in this or other dockets.  52 Pa. Code § 1.96.  The legal, policy, and procedural issues </w:t>
      </w:r>
      <w:r w:rsidR="00DB6822" w:rsidRPr="00EE5714">
        <w:rPr>
          <w:rFonts w:ascii="Times New Roman" w:hAnsi="Times New Roman" w:cs="Times New Roman"/>
          <w:sz w:val="26"/>
          <w:szCs w:val="26"/>
        </w:rPr>
        <w:t xml:space="preserve">regarding energy burdens </w:t>
      </w:r>
      <w:r w:rsidRPr="00EE5714">
        <w:rPr>
          <w:rFonts w:ascii="Times New Roman" w:hAnsi="Times New Roman" w:cs="Times New Roman"/>
          <w:sz w:val="26"/>
          <w:szCs w:val="26"/>
        </w:rPr>
        <w:t>remain under Commission review and may be factored into a subsequent order at this or other dockets.</w:t>
      </w:r>
    </w:p>
    <w:p w14:paraId="6F13FC88" w14:textId="77777777" w:rsidR="00870692" w:rsidRPr="00EE5714" w:rsidRDefault="00870692" w:rsidP="00870692">
      <w:pPr>
        <w:pStyle w:val="ListParagraph"/>
        <w:spacing w:after="0" w:line="240" w:lineRule="auto"/>
        <w:ind w:left="0"/>
        <w:rPr>
          <w:rFonts w:ascii="Times New Roman" w:hAnsi="Times New Roman" w:cs="Times New Roman"/>
          <w:sz w:val="26"/>
          <w:szCs w:val="26"/>
        </w:rPr>
      </w:pPr>
    </w:p>
    <w:p w14:paraId="6CCBDBC6" w14:textId="77777777" w:rsidR="00760FC2" w:rsidRPr="00EE5714" w:rsidRDefault="00870692" w:rsidP="00FE51F5">
      <w:pPr>
        <w:pStyle w:val="ListParagraph"/>
        <w:spacing w:after="0" w:line="240" w:lineRule="auto"/>
        <w:ind w:left="0"/>
        <w:rPr>
          <w:rFonts w:ascii="Times New Roman" w:hAnsi="Times New Roman" w:cs="Times New Roman"/>
          <w:sz w:val="26"/>
          <w:szCs w:val="26"/>
        </w:rPr>
      </w:pPr>
      <w:r w:rsidRPr="00EE5714">
        <w:rPr>
          <w:rFonts w:ascii="Times New Roman" w:hAnsi="Times New Roman" w:cs="Times New Roman"/>
          <w:sz w:val="26"/>
          <w:szCs w:val="26"/>
        </w:rPr>
        <w:tab/>
        <w:t xml:space="preserve">This study serves as a starting point for </w:t>
      </w:r>
      <w:r w:rsidR="0094474F" w:rsidRPr="00EE5714">
        <w:rPr>
          <w:rFonts w:ascii="Times New Roman" w:hAnsi="Times New Roman" w:cs="Times New Roman"/>
          <w:sz w:val="26"/>
          <w:szCs w:val="26"/>
        </w:rPr>
        <w:t>the Commission’s review of energy burdens</w:t>
      </w:r>
      <w:r w:rsidR="001B3A65" w:rsidRPr="00EE5714">
        <w:rPr>
          <w:rFonts w:ascii="Times New Roman" w:hAnsi="Times New Roman" w:cs="Times New Roman"/>
          <w:sz w:val="26"/>
          <w:szCs w:val="26"/>
        </w:rPr>
        <w:t>.</w:t>
      </w:r>
      <w:r w:rsidR="00567293" w:rsidRPr="00EE5714">
        <w:rPr>
          <w:rStyle w:val="FootnoteReference"/>
          <w:rFonts w:ascii="Times New Roman" w:hAnsi="Times New Roman" w:cs="Times New Roman"/>
          <w:sz w:val="26"/>
          <w:szCs w:val="26"/>
        </w:rPr>
        <w:footnoteReference w:id="94"/>
      </w:r>
      <w:r w:rsidR="001B3A65" w:rsidRPr="00EE5714">
        <w:rPr>
          <w:rFonts w:ascii="Times New Roman" w:hAnsi="Times New Roman" w:cs="Times New Roman"/>
          <w:sz w:val="26"/>
          <w:szCs w:val="26"/>
        </w:rPr>
        <w:t xml:space="preserve">  It </w:t>
      </w:r>
      <w:r w:rsidR="008E1082" w:rsidRPr="00EE5714">
        <w:rPr>
          <w:rFonts w:ascii="Times New Roman" w:hAnsi="Times New Roman" w:cs="Times New Roman"/>
          <w:sz w:val="26"/>
          <w:szCs w:val="26"/>
        </w:rPr>
        <w:t xml:space="preserve">provides insight into </w:t>
      </w:r>
      <w:r w:rsidRPr="00EE5714">
        <w:rPr>
          <w:rFonts w:ascii="Times New Roman" w:hAnsi="Times New Roman" w:cs="Times New Roman"/>
          <w:sz w:val="26"/>
          <w:szCs w:val="26"/>
        </w:rPr>
        <w:t xml:space="preserve">the effectiveness of CAPs in serving Pennsylvania’s low-income population.  Although this study does not identify an “affordable” energy burden level for </w:t>
      </w:r>
      <w:r w:rsidR="00E978D4" w:rsidRPr="00EE5714">
        <w:rPr>
          <w:rFonts w:ascii="Times New Roman" w:hAnsi="Times New Roman" w:cs="Times New Roman"/>
          <w:sz w:val="26"/>
          <w:szCs w:val="26"/>
        </w:rPr>
        <w:t xml:space="preserve">customers enrolled in </w:t>
      </w:r>
      <w:r w:rsidR="008E1082" w:rsidRPr="00EE5714">
        <w:rPr>
          <w:rFonts w:ascii="Times New Roman" w:hAnsi="Times New Roman" w:cs="Times New Roman"/>
          <w:sz w:val="26"/>
          <w:szCs w:val="26"/>
        </w:rPr>
        <w:t xml:space="preserve">customer assistance </w:t>
      </w:r>
      <w:r w:rsidRPr="00EE5714">
        <w:rPr>
          <w:rFonts w:ascii="Times New Roman" w:hAnsi="Times New Roman" w:cs="Times New Roman"/>
          <w:sz w:val="26"/>
          <w:szCs w:val="26"/>
        </w:rPr>
        <w:t xml:space="preserve">programs, it attempts to measure whether the various CAP payment designs </w:t>
      </w:r>
      <w:r w:rsidR="00642A01" w:rsidRPr="00EE5714">
        <w:rPr>
          <w:rFonts w:ascii="Times New Roman" w:hAnsi="Times New Roman" w:cs="Times New Roman"/>
          <w:sz w:val="26"/>
          <w:szCs w:val="26"/>
        </w:rPr>
        <w:t xml:space="preserve">met </w:t>
      </w:r>
      <w:r w:rsidRPr="00EE5714">
        <w:rPr>
          <w:rFonts w:ascii="Times New Roman" w:hAnsi="Times New Roman" w:cs="Times New Roman"/>
          <w:sz w:val="26"/>
          <w:szCs w:val="26"/>
        </w:rPr>
        <w:t xml:space="preserve">universal service goals such as reducing debt, improving customer payment habits, reducing defaults and terminations, and reducing the number of customers in debt who are not on payment agreements.  </w:t>
      </w:r>
    </w:p>
    <w:p w14:paraId="63BB2A32" w14:textId="77777777" w:rsidR="0028503B" w:rsidRPr="00EE5714" w:rsidRDefault="0028503B" w:rsidP="00FE51F5">
      <w:pPr>
        <w:pStyle w:val="ListParagraph"/>
        <w:spacing w:after="0" w:line="240" w:lineRule="auto"/>
        <w:ind w:left="0"/>
        <w:rPr>
          <w:rFonts w:ascii="Times New Roman" w:hAnsi="Times New Roman" w:cs="Times New Roman"/>
          <w:sz w:val="26"/>
          <w:szCs w:val="26"/>
        </w:rPr>
      </w:pPr>
    </w:p>
    <w:p w14:paraId="1E4EB654" w14:textId="77777777" w:rsidR="0028503B" w:rsidRPr="00EE5714" w:rsidRDefault="0028503B" w:rsidP="0028503B">
      <w:pPr>
        <w:tabs>
          <w:tab w:val="left" w:pos="720"/>
        </w:tabs>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Staff identified inconsistencies and limitations in the reported data that impacted the analysis.  Reasons for data variations included policy and procedure changes implemented by the utilities during the five-year time frame, specific enhancements to their systems, changes to their low-income programs, and mergers/acquisitions.  Staff also found many utilities interpreted, tracked, and reported information differently.</w:t>
      </w:r>
    </w:p>
    <w:p w14:paraId="4CB57926" w14:textId="77777777" w:rsidR="005B4AB5" w:rsidRPr="00EE5714" w:rsidRDefault="005B4AB5" w:rsidP="00FE51F5">
      <w:pPr>
        <w:pStyle w:val="ListParagraph"/>
        <w:spacing w:after="0" w:line="240" w:lineRule="auto"/>
        <w:ind w:left="0"/>
        <w:rPr>
          <w:rFonts w:ascii="Times New Roman" w:hAnsi="Times New Roman" w:cs="Times New Roman"/>
          <w:sz w:val="26"/>
          <w:szCs w:val="26"/>
        </w:rPr>
      </w:pPr>
    </w:p>
    <w:p w14:paraId="68F58F54" w14:textId="77777777" w:rsidR="00CB60F5" w:rsidRPr="00EE5714" w:rsidRDefault="000B63DB" w:rsidP="005D2AAD">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The </w:t>
      </w:r>
      <w:r w:rsidR="00EF4A55" w:rsidRPr="00EE5714">
        <w:rPr>
          <w:rFonts w:ascii="Times New Roman" w:hAnsi="Times New Roman" w:cs="Times New Roman"/>
          <w:sz w:val="26"/>
          <w:szCs w:val="26"/>
        </w:rPr>
        <w:t>report</w:t>
      </w:r>
      <w:r w:rsidRPr="00EE5714">
        <w:rPr>
          <w:rFonts w:ascii="Times New Roman" w:hAnsi="Times New Roman" w:cs="Times New Roman"/>
          <w:sz w:val="26"/>
          <w:szCs w:val="26"/>
        </w:rPr>
        <w:t xml:space="preserve"> </w:t>
      </w:r>
      <w:r w:rsidR="000A0FD3" w:rsidRPr="00EE5714">
        <w:rPr>
          <w:rFonts w:ascii="Times New Roman" w:hAnsi="Times New Roman" w:cs="Times New Roman"/>
          <w:sz w:val="26"/>
          <w:szCs w:val="26"/>
        </w:rPr>
        <w:t>notes</w:t>
      </w:r>
      <w:r w:rsidR="0056456E" w:rsidRPr="00EE5714">
        <w:rPr>
          <w:rFonts w:ascii="Times New Roman" w:hAnsi="Times New Roman" w:cs="Times New Roman"/>
          <w:sz w:val="26"/>
          <w:szCs w:val="26"/>
        </w:rPr>
        <w:t xml:space="preserve"> </w:t>
      </w:r>
      <w:r w:rsidRPr="00EE5714">
        <w:rPr>
          <w:rFonts w:ascii="Times New Roman" w:hAnsi="Times New Roman" w:cs="Times New Roman"/>
          <w:sz w:val="26"/>
          <w:szCs w:val="26"/>
        </w:rPr>
        <w:t>a wide disparity in the</w:t>
      </w:r>
      <w:r w:rsidR="00EF1180" w:rsidRPr="00EE5714">
        <w:rPr>
          <w:rFonts w:ascii="Times New Roman" w:hAnsi="Times New Roman" w:cs="Times New Roman"/>
          <w:sz w:val="26"/>
          <w:szCs w:val="26"/>
        </w:rPr>
        <w:t xml:space="preserve"> average</w:t>
      </w:r>
      <w:r w:rsidRPr="00EE5714">
        <w:rPr>
          <w:rFonts w:ascii="Times New Roman" w:hAnsi="Times New Roman" w:cs="Times New Roman"/>
          <w:sz w:val="26"/>
          <w:szCs w:val="26"/>
        </w:rPr>
        <w:t xml:space="preserve"> </w:t>
      </w:r>
      <w:r w:rsidR="004A6FA0" w:rsidRPr="00EE5714">
        <w:rPr>
          <w:rFonts w:ascii="Times New Roman" w:hAnsi="Times New Roman" w:cs="Times New Roman"/>
          <w:sz w:val="26"/>
          <w:szCs w:val="26"/>
        </w:rPr>
        <w:t xml:space="preserve">percent of </w:t>
      </w:r>
      <w:r w:rsidR="00786319" w:rsidRPr="00EE5714">
        <w:rPr>
          <w:rFonts w:ascii="Times New Roman" w:hAnsi="Times New Roman" w:cs="Times New Roman"/>
          <w:sz w:val="26"/>
          <w:szCs w:val="26"/>
        </w:rPr>
        <w:t xml:space="preserve">household </w:t>
      </w:r>
      <w:r w:rsidR="004A6FA0" w:rsidRPr="00EE5714">
        <w:rPr>
          <w:rFonts w:ascii="Times New Roman" w:hAnsi="Times New Roman" w:cs="Times New Roman"/>
          <w:sz w:val="26"/>
          <w:szCs w:val="26"/>
        </w:rPr>
        <w:t xml:space="preserve">income spent on </w:t>
      </w:r>
      <w:r w:rsidR="00DD4D9E" w:rsidRPr="00EE5714">
        <w:rPr>
          <w:rFonts w:ascii="Times New Roman" w:hAnsi="Times New Roman" w:cs="Times New Roman"/>
          <w:sz w:val="26"/>
          <w:szCs w:val="26"/>
        </w:rPr>
        <w:t xml:space="preserve">natural </w:t>
      </w:r>
      <w:r w:rsidR="004A6FA0" w:rsidRPr="00EE5714">
        <w:rPr>
          <w:rFonts w:ascii="Times New Roman" w:hAnsi="Times New Roman" w:cs="Times New Roman"/>
          <w:sz w:val="26"/>
          <w:szCs w:val="26"/>
        </w:rPr>
        <w:t>gas and electric service</w:t>
      </w:r>
      <w:r w:rsidR="00DD4D9E" w:rsidRPr="00EE5714">
        <w:rPr>
          <w:rFonts w:ascii="Times New Roman" w:hAnsi="Times New Roman" w:cs="Times New Roman"/>
          <w:sz w:val="26"/>
          <w:szCs w:val="26"/>
        </w:rPr>
        <w:t>s</w:t>
      </w:r>
      <w:r w:rsidR="004A6FA0" w:rsidRPr="00EE5714">
        <w:rPr>
          <w:rFonts w:ascii="Times New Roman" w:hAnsi="Times New Roman" w:cs="Times New Roman"/>
          <w:sz w:val="26"/>
          <w:szCs w:val="26"/>
        </w:rPr>
        <w:t xml:space="preserve"> </w:t>
      </w:r>
      <w:r w:rsidR="0005056C" w:rsidRPr="00EE5714">
        <w:rPr>
          <w:rFonts w:ascii="Times New Roman" w:hAnsi="Times New Roman" w:cs="Times New Roman"/>
          <w:sz w:val="26"/>
          <w:szCs w:val="26"/>
        </w:rPr>
        <w:t>by</w:t>
      </w:r>
      <w:r w:rsidR="004A6FA0" w:rsidRPr="00EE5714">
        <w:rPr>
          <w:rFonts w:ascii="Times New Roman" w:hAnsi="Times New Roman" w:cs="Times New Roman"/>
          <w:sz w:val="26"/>
          <w:szCs w:val="26"/>
        </w:rPr>
        <w:t xml:space="preserve"> </w:t>
      </w:r>
      <w:r w:rsidR="002C002E" w:rsidRPr="00EE5714">
        <w:rPr>
          <w:rFonts w:ascii="Times New Roman" w:hAnsi="Times New Roman" w:cs="Times New Roman"/>
          <w:sz w:val="26"/>
          <w:szCs w:val="26"/>
        </w:rPr>
        <w:t>non-</w:t>
      </w:r>
      <w:r w:rsidR="0005056C" w:rsidRPr="00EE5714">
        <w:rPr>
          <w:rFonts w:ascii="Times New Roman" w:hAnsi="Times New Roman" w:cs="Times New Roman"/>
          <w:sz w:val="26"/>
          <w:szCs w:val="26"/>
        </w:rPr>
        <w:t xml:space="preserve">CAP </w:t>
      </w:r>
      <w:r w:rsidR="002C002E" w:rsidRPr="00EE5714">
        <w:rPr>
          <w:rFonts w:ascii="Times New Roman" w:hAnsi="Times New Roman" w:cs="Times New Roman"/>
          <w:sz w:val="26"/>
          <w:szCs w:val="26"/>
        </w:rPr>
        <w:t>residential</w:t>
      </w:r>
      <w:r w:rsidR="0005056C" w:rsidRPr="00EE5714">
        <w:rPr>
          <w:rFonts w:ascii="Times New Roman" w:hAnsi="Times New Roman" w:cs="Times New Roman"/>
          <w:sz w:val="26"/>
          <w:szCs w:val="26"/>
        </w:rPr>
        <w:t xml:space="preserve"> and CAP customers</w:t>
      </w:r>
      <w:r w:rsidR="0019500A" w:rsidRPr="00EE5714">
        <w:rPr>
          <w:rFonts w:ascii="Times New Roman" w:hAnsi="Times New Roman" w:cs="Times New Roman"/>
          <w:sz w:val="26"/>
          <w:szCs w:val="26"/>
        </w:rPr>
        <w:t xml:space="preserve">.  </w:t>
      </w:r>
      <w:r w:rsidR="0056456E" w:rsidRPr="00EE5714">
        <w:rPr>
          <w:rFonts w:ascii="Times New Roman" w:hAnsi="Times New Roman" w:cs="Times New Roman"/>
          <w:sz w:val="26"/>
          <w:szCs w:val="26"/>
        </w:rPr>
        <w:t xml:space="preserve">Non-CAP </w:t>
      </w:r>
      <w:r w:rsidR="00F42645" w:rsidRPr="00EE5714">
        <w:rPr>
          <w:rFonts w:ascii="Times New Roman" w:hAnsi="Times New Roman" w:cs="Times New Roman"/>
          <w:sz w:val="26"/>
          <w:szCs w:val="26"/>
        </w:rPr>
        <w:t>r</w:t>
      </w:r>
      <w:r w:rsidR="0065786E" w:rsidRPr="00EE5714">
        <w:rPr>
          <w:rFonts w:ascii="Times New Roman" w:hAnsi="Times New Roman" w:cs="Times New Roman"/>
          <w:sz w:val="26"/>
          <w:szCs w:val="26"/>
        </w:rPr>
        <w:t xml:space="preserve">esidential accounts </w:t>
      </w:r>
      <w:r w:rsidR="00DD2202" w:rsidRPr="00EE5714">
        <w:rPr>
          <w:rFonts w:ascii="Times New Roman" w:hAnsi="Times New Roman" w:cs="Times New Roman"/>
          <w:sz w:val="26"/>
          <w:szCs w:val="26"/>
        </w:rPr>
        <w:t>ha</w:t>
      </w:r>
      <w:r w:rsidR="00C53D53" w:rsidRPr="00EE5714">
        <w:rPr>
          <w:rFonts w:ascii="Times New Roman" w:hAnsi="Times New Roman" w:cs="Times New Roman"/>
          <w:sz w:val="26"/>
          <w:szCs w:val="26"/>
        </w:rPr>
        <w:t>d</w:t>
      </w:r>
      <w:r w:rsidR="0065786E" w:rsidRPr="00EE5714">
        <w:rPr>
          <w:rFonts w:ascii="Times New Roman" w:hAnsi="Times New Roman" w:cs="Times New Roman"/>
          <w:sz w:val="26"/>
          <w:szCs w:val="26"/>
        </w:rPr>
        <w:t xml:space="preserve"> </w:t>
      </w:r>
      <w:r w:rsidR="00DD2202" w:rsidRPr="00EE5714">
        <w:rPr>
          <w:rFonts w:ascii="Times New Roman" w:hAnsi="Times New Roman" w:cs="Times New Roman"/>
          <w:sz w:val="26"/>
          <w:szCs w:val="26"/>
        </w:rPr>
        <w:t>a</w:t>
      </w:r>
      <w:r w:rsidR="008050F8" w:rsidRPr="00EE5714">
        <w:rPr>
          <w:rFonts w:ascii="Times New Roman" w:hAnsi="Times New Roman" w:cs="Times New Roman"/>
          <w:sz w:val="26"/>
          <w:szCs w:val="26"/>
        </w:rPr>
        <w:t>n</w:t>
      </w:r>
      <w:r w:rsidR="00DD2202" w:rsidRPr="00EE5714">
        <w:rPr>
          <w:rFonts w:ascii="Times New Roman" w:hAnsi="Times New Roman" w:cs="Times New Roman"/>
          <w:sz w:val="26"/>
          <w:szCs w:val="26"/>
        </w:rPr>
        <w:t xml:space="preserve"> </w:t>
      </w:r>
      <w:r w:rsidR="0065786E" w:rsidRPr="00EE5714">
        <w:rPr>
          <w:rFonts w:ascii="Times New Roman" w:hAnsi="Times New Roman" w:cs="Times New Roman"/>
          <w:sz w:val="26"/>
          <w:szCs w:val="26"/>
        </w:rPr>
        <w:t xml:space="preserve">average </w:t>
      </w:r>
      <w:r w:rsidR="00DD2202" w:rsidRPr="00EE5714">
        <w:rPr>
          <w:rFonts w:ascii="Times New Roman" w:hAnsi="Times New Roman" w:cs="Times New Roman"/>
          <w:sz w:val="26"/>
          <w:szCs w:val="26"/>
        </w:rPr>
        <w:t>energy burden of 4% for gas heating and electric non-heating</w:t>
      </w:r>
      <w:r w:rsidR="008050F8" w:rsidRPr="00EE5714">
        <w:rPr>
          <w:rFonts w:ascii="Times New Roman" w:hAnsi="Times New Roman" w:cs="Times New Roman"/>
          <w:sz w:val="26"/>
          <w:szCs w:val="26"/>
        </w:rPr>
        <w:t xml:space="preserve"> or </w:t>
      </w:r>
      <w:r w:rsidR="00AB0364" w:rsidRPr="00EE5714">
        <w:rPr>
          <w:rFonts w:ascii="Times New Roman" w:hAnsi="Times New Roman" w:cs="Times New Roman"/>
          <w:sz w:val="26"/>
          <w:szCs w:val="26"/>
        </w:rPr>
        <w:t>4% for</w:t>
      </w:r>
      <w:r w:rsidR="008050F8" w:rsidRPr="00EE5714">
        <w:rPr>
          <w:rFonts w:ascii="Times New Roman" w:hAnsi="Times New Roman" w:cs="Times New Roman"/>
          <w:sz w:val="26"/>
          <w:szCs w:val="26"/>
        </w:rPr>
        <w:t xml:space="preserve"> electric heating</w:t>
      </w:r>
      <w:r w:rsidR="005B7639" w:rsidRPr="00EE5714">
        <w:rPr>
          <w:rFonts w:ascii="Times New Roman" w:hAnsi="Times New Roman" w:cs="Times New Roman"/>
          <w:sz w:val="26"/>
          <w:szCs w:val="26"/>
        </w:rPr>
        <w:t xml:space="preserve">.  </w:t>
      </w:r>
      <w:r w:rsidR="005F52DC" w:rsidRPr="00EE5714">
        <w:rPr>
          <w:rFonts w:ascii="Times New Roman" w:hAnsi="Times New Roman" w:cs="Times New Roman"/>
          <w:sz w:val="26"/>
          <w:szCs w:val="26"/>
        </w:rPr>
        <w:t xml:space="preserve">In comparison, </w:t>
      </w:r>
      <w:r w:rsidR="00CB60F5" w:rsidRPr="00EE5714">
        <w:rPr>
          <w:rFonts w:ascii="Times New Roman" w:hAnsi="Times New Roman" w:cs="Times New Roman"/>
          <w:sz w:val="26"/>
          <w:szCs w:val="26"/>
        </w:rPr>
        <w:t xml:space="preserve">CAP customers with </w:t>
      </w:r>
      <w:r w:rsidR="00C40224" w:rsidRPr="00EE5714">
        <w:rPr>
          <w:rFonts w:ascii="Times New Roman" w:hAnsi="Times New Roman" w:cs="Times New Roman"/>
          <w:sz w:val="26"/>
          <w:szCs w:val="26"/>
        </w:rPr>
        <w:t xml:space="preserve">gas heating </w:t>
      </w:r>
      <w:r w:rsidR="00AC47F8" w:rsidRPr="00EE5714">
        <w:rPr>
          <w:rFonts w:ascii="Times New Roman" w:hAnsi="Times New Roman" w:cs="Times New Roman"/>
          <w:sz w:val="26"/>
          <w:szCs w:val="26"/>
        </w:rPr>
        <w:t xml:space="preserve">and electric non-heating </w:t>
      </w:r>
      <w:r w:rsidR="00C40224" w:rsidRPr="00EE5714">
        <w:rPr>
          <w:rFonts w:ascii="Times New Roman" w:hAnsi="Times New Roman" w:cs="Times New Roman"/>
          <w:sz w:val="26"/>
          <w:szCs w:val="26"/>
        </w:rPr>
        <w:t>ha</w:t>
      </w:r>
      <w:r w:rsidR="00C53D53" w:rsidRPr="00EE5714">
        <w:rPr>
          <w:rFonts w:ascii="Times New Roman" w:hAnsi="Times New Roman" w:cs="Times New Roman"/>
          <w:sz w:val="26"/>
          <w:szCs w:val="26"/>
        </w:rPr>
        <w:t>d</w:t>
      </w:r>
      <w:r w:rsidR="00C40224" w:rsidRPr="00EE5714">
        <w:rPr>
          <w:rFonts w:ascii="Times New Roman" w:hAnsi="Times New Roman" w:cs="Times New Roman"/>
          <w:sz w:val="26"/>
          <w:szCs w:val="26"/>
        </w:rPr>
        <w:t xml:space="preserve"> a</w:t>
      </w:r>
      <w:r w:rsidR="00A42015" w:rsidRPr="00EE5714">
        <w:rPr>
          <w:rFonts w:ascii="Times New Roman" w:hAnsi="Times New Roman" w:cs="Times New Roman"/>
          <w:sz w:val="26"/>
          <w:szCs w:val="26"/>
        </w:rPr>
        <w:t xml:space="preserve"> combined average energy burden </w:t>
      </w:r>
      <w:r w:rsidR="00AC47F8" w:rsidRPr="00EE5714">
        <w:rPr>
          <w:rFonts w:ascii="Times New Roman" w:hAnsi="Times New Roman" w:cs="Times New Roman"/>
          <w:sz w:val="26"/>
          <w:szCs w:val="26"/>
        </w:rPr>
        <w:t>of 12% to 14%</w:t>
      </w:r>
      <w:r w:rsidR="00B27C83" w:rsidRPr="00EE5714">
        <w:rPr>
          <w:rFonts w:ascii="Times New Roman" w:hAnsi="Times New Roman" w:cs="Times New Roman"/>
          <w:sz w:val="26"/>
          <w:szCs w:val="26"/>
        </w:rPr>
        <w:t>,</w:t>
      </w:r>
      <w:r w:rsidR="00BA6945" w:rsidRPr="00EE5714">
        <w:rPr>
          <w:rStyle w:val="FootnoteReference"/>
          <w:rFonts w:ascii="Times New Roman" w:hAnsi="Times New Roman" w:cs="Times New Roman"/>
          <w:sz w:val="26"/>
          <w:szCs w:val="26"/>
        </w:rPr>
        <w:footnoteReference w:id="95"/>
      </w:r>
      <w:r w:rsidR="00AC47F8" w:rsidRPr="00EE5714">
        <w:rPr>
          <w:rFonts w:ascii="Times New Roman" w:hAnsi="Times New Roman" w:cs="Times New Roman"/>
          <w:sz w:val="26"/>
          <w:szCs w:val="26"/>
        </w:rPr>
        <w:t xml:space="preserve"> </w:t>
      </w:r>
      <w:r w:rsidR="005F52DC" w:rsidRPr="00EE5714">
        <w:rPr>
          <w:rFonts w:ascii="Times New Roman" w:hAnsi="Times New Roman" w:cs="Times New Roman"/>
          <w:sz w:val="26"/>
          <w:szCs w:val="26"/>
        </w:rPr>
        <w:t>and</w:t>
      </w:r>
      <w:r w:rsidR="00AC47F8" w:rsidRPr="00EE5714">
        <w:rPr>
          <w:rFonts w:ascii="Times New Roman" w:hAnsi="Times New Roman" w:cs="Times New Roman"/>
          <w:sz w:val="26"/>
          <w:szCs w:val="26"/>
        </w:rPr>
        <w:t xml:space="preserve"> CAP customers with electric heat have an average energy burden of </w:t>
      </w:r>
      <w:r w:rsidR="00AB08E4" w:rsidRPr="00EE5714">
        <w:rPr>
          <w:rFonts w:ascii="Times New Roman" w:hAnsi="Times New Roman" w:cs="Times New Roman"/>
          <w:sz w:val="26"/>
          <w:szCs w:val="26"/>
        </w:rPr>
        <w:t>8 to 10%</w:t>
      </w:r>
      <w:r w:rsidR="005B4AB5" w:rsidRPr="00EE5714">
        <w:rPr>
          <w:rFonts w:ascii="Times New Roman" w:hAnsi="Times New Roman" w:cs="Times New Roman"/>
          <w:sz w:val="26"/>
          <w:szCs w:val="26"/>
        </w:rPr>
        <w:t>.</w:t>
      </w:r>
    </w:p>
    <w:p w14:paraId="2F887244" w14:textId="77777777" w:rsidR="00A42015" w:rsidRPr="00EE5714" w:rsidRDefault="00A42015" w:rsidP="005D2AAD">
      <w:pPr>
        <w:spacing w:after="0" w:line="240" w:lineRule="auto"/>
        <w:ind w:firstLine="720"/>
        <w:contextualSpacing/>
        <w:rPr>
          <w:rFonts w:ascii="Times New Roman" w:hAnsi="Times New Roman" w:cs="Times New Roman"/>
          <w:sz w:val="26"/>
          <w:szCs w:val="26"/>
        </w:rPr>
      </w:pPr>
    </w:p>
    <w:p w14:paraId="209471FF" w14:textId="77777777" w:rsidR="00CD33B8" w:rsidRPr="00EE5714" w:rsidRDefault="00E80828" w:rsidP="005D2AAD">
      <w:pPr>
        <w:spacing w:after="0" w:line="240" w:lineRule="auto"/>
        <w:ind w:firstLine="720"/>
        <w:contextualSpacing/>
      </w:pPr>
      <w:r w:rsidRPr="00EE5714">
        <w:rPr>
          <w:rFonts w:ascii="Times New Roman" w:hAnsi="Times New Roman" w:cs="Times New Roman"/>
          <w:sz w:val="26"/>
          <w:szCs w:val="26"/>
        </w:rPr>
        <w:t>M</w:t>
      </w:r>
      <w:r w:rsidR="00CD33B8" w:rsidRPr="00EE5714">
        <w:rPr>
          <w:rFonts w:ascii="Times New Roman" w:hAnsi="Times New Roman" w:cs="Times New Roman"/>
          <w:sz w:val="26"/>
          <w:szCs w:val="26"/>
        </w:rPr>
        <w:t xml:space="preserve">any CAP customers with incomes in the 0% to 50% FPIG </w:t>
      </w:r>
      <w:r w:rsidRPr="00EE5714">
        <w:rPr>
          <w:rFonts w:ascii="Times New Roman" w:hAnsi="Times New Roman" w:cs="Times New Roman"/>
          <w:sz w:val="26"/>
          <w:szCs w:val="26"/>
        </w:rPr>
        <w:t xml:space="preserve">level </w:t>
      </w:r>
      <w:r w:rsidR="006A2730" w:rsidRPr="00EE5714">
        <w:rPr>
          <w:rFonts w:ascii="Times New Roman" w:hAnsi="Times New Roman" w:cs="Times New Roman"/>
          <w:sz w:val="26"/>
          <w:szCs w:val="26"/>
        </w:rPr>
        <w:t>were</w:t>
      </w:r>
      <w:r w:rsidR="00CD33B8" w:rsidRPr="00EE5714">
        <w:rPr>
          <w:rFonts w:ascii="Times New Roman" w:hAnsi="Times New Roman" w:cs="Times New Roman"/>
          <w:sz w:val="26"/>
          <w:szCs w:val="26"/>
        </w:rPr>
        <w:t xml:space="preserve"> </w:t>
      </w:r>
      <w:r w:rsidRPr="00EE5714">
        <w:rPr>
          <w:rFonts w:ascii="Times New Roman" w:hAnsi="Times New Roman" w:cs="Times New Roman"/>
          <w:sz w:val="26"/>
          <w:szCs w:val="26"/>
        </w:rPr>
        <w:t>billed</w:t>
      </w:r>
      <w:r w:rsidR="00CD33B8" w:rsidRPr="00EE5714">
        <w:rPr>
          <w:rFonts w:ascii="Times New Roman" w:hAnsi="Times New Roman" w:cs="Times New Roman"/>
          <w:sz w:val="26"/>
          <w:szCs w:val="26"/>
        </w:rPr>
        <w:t xml:space="preserve">, on average, </w:t>
      </w:r>
      <w:r w:rsidR="001C68D1" w:rsidRPr="00EE5714">
        <w:rPr>
          <w:rFonts w:ascii="Times New Roman" w:hAnsi="Times New Roman" w:cs="Times New Roman"/>
          <w:sz w:val="26"/>
          <w:szCs w:val="26"/>
        </w:rPr>
        <w:t xml:space="preserve">at </w:t>
      </w:r>
      <w:r w:rsidR="00FF19C5" w:rsidRPr="00EE5714">
        <w:rPr>
          <w:rFonts w:ascii="Times New Roman" w:hAnsi="Times New Roman" w:cs="Times New Roman"/>
          <w:sz w:val="26"/>
          <w:szCs w:val="26"/>
        </w:rPr>
        <w:t>energy burden</w:t>
      </w:r>
      <w:r w:rsidR="001C68D1" w:rsidRPr="00EE5714">
        <w:rPr>
          <w:rFonts w:ascii="Times New Roman" w:hAnsi="Times New Roman" w:cs="Times New Roman"/>
          <w:sz w:val="26"/>
          <w:szCs w:val="26"/>
        </w:rPr>
        <w:t>s</w:t>
      </w:r>
      <w:r w:rsidR="00FF19C5" w:rsidRPr="00EE5714">
        <w:rPr>
          <w:rFonts w:ascii="Times New Roman" w:hAnsi="Times New Roman" w:cs="Times New Roman"/>
          <w:sz w:val="26"/>
          <w:szCs w:val="26"/>
        </w:rPr>
        <w:t xml:space="preserve"> higher than the maximum </w:t>
      </w:r>
      <w:r w:rsidR="0082551D" w:rsidRPr="00EE5714">
        <w:rPr>
          <w:rFonts w:ascii="Times New Roman" w:hAnsi="Times New Roman" w:cs="Times New Roman"/>
          <w:sz w:val="26"/>
          <w:szCs w:val="26"/>
        </w:rPr>
        <w:t>ranges</w:t>
      </w:r>
      <w:r w:rsidR="00CD33B8" w:rsidRPr="00EE5714">
        <w:rPr>
          <w:rFonts w:ascii="Times New Roman" w:hAnsi="Times New Roman" w:cs="Times New Roman"/>
          <w:sz w:val="26"/>
          <w:szCs w:val="26"/>
        </w:rPr>
        <w:t xml:space="preserve"> in the CAP Policy Statement.  This pattern </w:t>
      </w:r>
      <w:r w:rsidR="00715695" w:rsidRPr="00EE5714">
        <w:rPr>
          <w:rFonts w:ascii="Times New Roman" w:hAnsi="Times New Roman" w:cs="Times New Roman"/>
          <w:sz w:val="26"/>
          <w:szCs w:val="26"/>
        </w:rPr>
        <w:t>was</w:t>
      </w:r>
      <w:r w:rsidR="00CD33B8" w:rsidRPr="00EE5714">
        <w:rPr>
          <w:rFonts w:ascii="Times New Roman" w:hAnsi="Times New Roman" w:cs="Times New Roman"/>
          <w:sz w:val="26"/>
          <w:szCs w:val="26"/>
        </w:rPr>
        <w:t xml:space="preserve"> not as apparent </w:t>
      </w:r>
      <w:r w:rsidR="0082551D" w:rsidRPr="00EE5714">
        <w:rPr>
          <w:rFonts w:ascii="Times New Roman" w:hAnsi="Times New Roman" w:cs="Times New Roman"/>
          <w:sz w:val="26"/>
          <w:szCs w:val="26"/>
        </w:rPr>
        <w:t>for CAP customers at</w:t>
      </w:r>
      <w:r w:rsidR="00CD33B8" w:rsidRPr="00EE5714">
        <w:rPr>
          <w:rFonts w:ascii="Times New Roman" w:hAnsi="Times New Roman" w:cs="Times New Roman"/>
          <w:sz w:val="26"/>
          <w:szCs w:val="26"/>
        </w:rPr>
        <w:t xml:space="preserve"> the higher </w:t>
      </w:r>
      <w:r w:rsidR="00514F88" w:rsidRPr="00EE5714">
        <w:rPr>
          <w:rFonts w:ascii="Times New Roman" w:hAnsi="Times New Roman" w:cs="Times New Roman"/>
          <w:sz w:val="26"/>
          <w:szCs w:val="26"/>
        </w:rPr>
        <w:t>FPIG</w:t>
      </w:r>
      <w:r w:rsidR="00CD33B8" w:rsidRPr="00EE5714">
        <w:rPr>
          <w:rFonts w:ascii="Times New Roman" w:hAnsi="Times New Roman" w:cs="Times New Roman"/>
          <w:sz w:val="26"/>
          <w:szCs w:val="26"/>
        </w:rPr>
        <w:t xml:space="preserve"> levels.  </w:t>
      </w:r>
    </w:p>
    <w:p w14:paraId="79E60E90" w14:textId="77777777" w:rsidR="00CD33B8" w:rsidRPr="00EE5714" w:rsidRDefault="00CD33B8" w:rsidP="00FE51F5">
      <w:pPr>
        <w:pStyle w:val="ListParagraph"/>
        <w:spacing w:after="0" w:line="240" w:lineRule="auto"/>
        <w:ind w:left="0"/>
        <w:rPr>
          <w:rFonts w:ascii="Times New Roman" w:hAnsi="Times New Roman" w:cs="Times New Roman"/>
          <w:sz w:val="26"/>
          <w:szCs w:val="26"/>
        </w:rPr>
      </w:pPr>
    </w:p>
    <w:p w14:paraId="09C99CBB" w14:textId="77777777" w:rsidR="00167D58" w:rsidRPr="00EE5714" w:rsidRDefault="00167D58" w:rsidP="00167D58">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Despite </w:t>
      </w:r>
      <w:r w:rsidR="007940BD" w:rsidRPr="00EE5714">
        <w:rPr>
          <w:rFonts w:ascii="Times New Roman" w:hAnsi="Times New Roman" w:cs="Times New Roman"/>
          <w:sz w:val="26"/>
          <w:szCs w:val="26"/>
        </w:rPr>
        <w:t xml:space="preserve">the </w:t>
      </w:r>
      <w:r w:rsidR="0087201B" w:rsidRPr="00EE5714">
        <w:rPr>
          <w:rFonts w:ascii="Times New Roman" w:hAnsi="Times New Roman" w:cs="Times New Roman"/>
          <w:sz w:val="26"/>
          <w:szCs w:val="26"/>
        </w:rPr>
        <w:t xml:space="preserve">LIHEAP </w:t>
      </w:r>
      <w:r w:rsidRPr="00EE5714">
        <w:rPr>
          <w:rFonts w:ascii="Times New Roman" w:hAnsi="Times New Roman" w:cs="Times New Roman"/>
          <w:sz w:val="26"/>
          <w:szCs w:val="26"/>
        </w:rPr>
        <w:t>impact</w:t>
      </w:r>
      <w:r w:rsidR="007940BD" w:rsidRPr="00EE5714">
        <w:rPr>
          <w:rFonts w:ascii="Times New Roman" w:hAnsi="Times New Roman" w:cs="Times New Roman"/>
          <w:sz w:val="26"/>
          <w:szCs w:val="26"/>
        </w:rPr>
        <w:t>s</w:t>
      </w:r>
      <w:r w:rsidRPr="00EE5714">
        <w:rPr>
          <w:rFonts w:ascii="Times New Roman" w:hAnsi="Times New Roman" w:cs="Times New Roman"/>
          <w:sz w:val="26"/>
          <w:szCs w:val="26"/>
        </w:rPr>
        <w:t xml:space="preserve"> on energy burden</w:t>
      </w:r>
      <w:r w:rsidR="00BF300C" w:rsidRPr="00EE5714">
        <w:rPr>
          <w:rFonts w:ascii="Times New Roman" w:hAnsi="Times New Roman" w:cs="Times New Roman"/>
          <w:sz w:val="26"/>
          <w:szCs w:val="26"/>
        </w:rPr>
        <w:t>s</w:t>
      </w:r>
      <w:r w:rsidRPr="00EE5714">
        <w:rPr>
          <w:rFonts w:ascii="Times New Roman" w:hAnsi="Times New Roman" w:cs="Times New Roman"/>
          <w:sz w:val="26"/>
          <w:szCs w:val="26"/>
        </w:rPr>
        <w:t xml:space="preserve"> for CAP customers across all FPIG levels and energy types, average CAP household</w:t>
      </w:r>
      <w:r w:rsidR="00DC253F" w:rsidRPr="00EE5714">
        <w:rPr>
          <w:rFonts w:ascii="Times New Roman" w:hAnsi="Times New Roman" w:cs="Times New Roman"/>
          <w:sz w:val="26"/>
          <w:szCs w:val="26"/>
        </w:rPr>
        <w:t>s at</w:t>
      </w:r>
      <w:r w:rsidRPr="00EE5714">
        <w:rPr>
          <w:rFonts w:ascii="Times New Roman" w:hAnsi="Times New Roman" w:cs="Times New Roman"/>
          <w:sz w:val="26"/>
          <w:szCs w:val="26"/>
        </w:rPr>
        <w:t xml:space="preserve"> </w:t>
      </w:r>
      <w:r w:rsidR="00D509A7" w:rsidRPr="00EE5714">
        <w:rPr>
          <w:rFonts w:ascii="Times New Roman" w:hAnsi="Times New Roman" w:cs="Times New Roman"/>
          <w:sz w:val="26"/>
          <w:szCs w:val="26"/>
        </w:rPr>
        <w:t>0</w:t>
      </w:r>
      <w:r w:rsidR="00A31210" w:rsidRPr="00EE5714">
        <w:rPr>
          <w:rFonts w:ascii="Times New Roman" w:hAnsi="Times New Roman" w:cs="Times New Roman"/>
          <w:sz w:val="26"/>
          <w:szCs w:val="26"/>
        </w:rPr>
        <w:t xml:space="preserve"> to</w:t>
      </w:r>
      <w:r w:rsidR="0013454E" w:rsidRPr="00EE5714">
        <w:rPr>
          <w:rFonts w:ascii="Times New Roman" w:hAnsi="Times New Roman" w:cs="Times New Roman"/>
          <w:sz w:val="26"/>
          <w:szCs w:val="26"/>
        </w:rPr>
        <w:t xml:space="preserve"> </w:t>
      </w:r>
      <w:r w:rsidR="00D509A7" w:rsidRPr="00EE5714">
        <w:rPr>
          <w:rFonts w:ascii="Times New Roman" w:hAnsi="Times New Roman" w:cs="Times New Roman"/>
          <w:sz w:val="26"/>
          <w:szCs w:val="26"/>
        </w:rPr>
        <w:t>50% FPIG level</w:t>
      </w:r>
      <w:r w:rsidR="00DC253F" w:rsidRPr="00EE5714">
        <w:rPr>
          <w:rFonts w:ascii="Times New Roman" w:hAnsi="Times New Roman" w:cs="Times New Roman"/>
          <w:sz w:val="26"/>
          <w:szCs w:val="26"/>
        </w:rPr>
        <w:t xml:space="preserve"> had </w:t>
      </w:r>
      <w:r w:rsidR="00CF1F85" w:rsidRPr="00EE5714">
        <w:rPr>
          <w:rFonts w:ascii="Times New Roman" w:hAnsi="Times New Roman" w:cs="Times New Roman"/>
          <w:sz w:val="26"/>
          <w:szCs w:val="26"/>
        </w:rPr>
        <w:t xml:space="preserve">average </w:t>
      </w:r>
      <w:r w:rsidR="00DC253F" w:rsidRPr="00EE5714">
        <w:rPr>
          <w:rFonts w:ascii="Times New Roman" w:hAnsi="Times New Roman" w:cs="Times New Roman"/>
          <w:sz w:val="26"/>
          <w:szCs w:val="26"/>
        </w:rPr>
        <w:t>energy burdens that exceeded the CAP Policy Statement guidelines</w:t>
      </w:r>
      <w:r w:rsidRPr="00EE5714">
        <w:rPr>
          <w:rFonts w:ascii="Times New Roman" w:hAnsi="Times New Roman" w:cs="Times New Roman"/>
          <w:sz w:val="26"/>
          <w:szCs w:val="26"/>
        </w:rPr>
        <w:t xml:space="preserve">.  </w:t>
      </w:r>
    </w:p>
    <w:p w14:paraId="168E7380" w14:textId="77777777" w:rsidR="00167D58" w:rsidRPr="00EE5714" w:rsidRDefault="00167D58" w:rsidP="00FE51F5">
      <w:pPr>
        <w:pStyle w:val="ListParagraph"/>
        <w:spacing w:after="0" w:line="240" w:lineRule="auto"/>
        <w:ind w:left="0"/>
        <w:rPr>
          <w:rFonts w:ascii="Times New Roman" w:hAnsi="Times New Roman" w:cs="Times New Roman"/>
          <w:color w:val="2F5496" w:themeColor="accent1" w:themeShade="BF"/>
          <w:sz w:val="26"/>
          <w:szCs w:val="26"/>
        </w:rPr>
      </w:pPr>
    </w:p>
    <w:p w14:paraId="71F1A680" w14:textId="77777777" w:rsidR="00F234B3" w:rsidRPr="00EE5714" w:rsidRDefault="00C8584D" w:rsidP="00A52AED">
      <w:pPr>
        <w:pStyle w:val="ListParagraph"/>
        <w:spacing w:after="0" w:line="240" w:lineRule="auto"/>
        <w:ind w:left="0" w:firstLine="720"/>
        <w:rPr>
          <w:rFonts w:ascii="Times New Roman" w:hAnsi="Times New Roman" w:cs="Times New Roman"/>
          <w:sz w:val="26"/>
          <w:szCs w:val="26"/>
        </w:rPr>
      </w:pPr>
      <w:r w:rsidRPr="00EE5714">
        <w:rPr>
          <w:rFonts w:ascii="Times New Roman" w:hAnsi="Times New Roman" w:cs="Times New Roman"/>
          <w:sz w:val="26"/>
          <w:szCs w:val="26"/>
        </w:rPr>
        <w:t xml:space="preserve">Utilities with </w:t>
      </w:r>
      <w:r w:rsidR="005D2AAD" w:rsidRPr="00EE5714">
        <w:rPr>
          <w:rFonts w:ascii="Times New Roman" w:hAnsi="Times New Roman" w:cs="Times New Roman"/>
          <w:sz w:val="26"/>
          <w:szCs w:val="26"/>
        </w:rPr>
        <w:t xml:space="preserve">CAP enrollment restrictions beyond income-qualifications </w:t>
      </w:r>
      <w:r w:rsidR="00D05B39" w:rsidRPr="00EE5714">
        <w:rPr>
          <w:rFonts w:ascii="Times New Roman" w:hAnsi="Times New Roman" w:cs="Times New Roman"/>
          <w:sz w:val="26"/>
          <w:szCs w:val="26"/>
        </w:rPr>
        <w:t>report</w:t>
      </w:r>
      <w:r w:rsidR="003A5AA4" w:rsidRPr="00EE5714">
        <w:rPr>
          <w:rFonts w:ascii="Times New Roman" w:hAnsi="Times New Roman" w:cs="Times New Roman"/>
          <w:sz w:val="26"/>
          <w:szCs w:val="26"/>
        </w:rPr>
        <w:t>ed</w:t>
      </w:r>
      <w:r w:rsidR="00D05B39" w:rsidRPr="00EE5714">
        <w:rPr>
          <w:rFonts w:ascii="Times New Roman" w:hAnsi="Times New Roman" w:cs="Times New Roman"/>
          <w:sz w:val="26"/>
          <w:szCs w:val="26"/>
        </w:rPr>
        <w:t xml:space="preserve"> higher PPA balances</w:t>
      </w:r>
      <w:r w:rsidR="005D2AAD" w:rsidRPr="00EE5714">
        <w:rPr>
          <w:rFonts w:ascii="Times New Roman" w:hAnsi="Times New Roman" w:cs="Times New Roman"/>
          <w:sz w:val="26"/>
          <w:szCs w:val="26"/>
        </w:rPr>
        <w:t xml:space="preserve">.  </w:t>
      </w:r>
      <w:r w:rsidR="009965D1" w:rsidRPr="00EE5714">
        <w:rPr>
          <w:rFonts w:ascii="Times New Roman" w:hAnsi="Times New Roman" w:cs="Times New Roman"/>
          <w:sz w:val="26"/>
          <w:szCs w:val="26"/>
        </w:rPr>
        <w:t xml:space="preserve">EDCs reported </w:t>
      </w:r>
      <w:r w:rsidR="009965D1" w:rsidRPr="00EE5714">
        <w:rPr>
          <w:rFonts w:ascii="Times New Roman" w:eastAsiaTheme="minorEastAsia" w:hAnsi="Times New Roman" w:cs="Times New Roman"/>
          <w:i/>
          <w:iCs/>
          <w:sz w:val="26"/>
          <w:szCs w:val="26"/>
        </w:rPr>
        <w:t>fewer</w:t>
      </w:r>
      <w:r w:rsidR="009965D1" w:rsidRPr="00EE5714">
        <w:rPr>
          <w:rFonts w:ascii="Times New Roman" w:eastAsiaTheme="minorEastAsia" w:hAnsi="Times New Roman" w:cs="Times New Roman"/>
          <w:sz w:val="26"/>
          <w:szCs w:val="26"/>
        </w:rPr>
        <w:t xml:space="preserve"> CAP heating customers at the 101 to 150% </w:t>
      </w:r>
      <w:r w:rsidR="009965D1" w:rsidRPr="00EE5714">
        <w:rPr>
          <w:rFonts w:ascii="Times New Roman" w:eastAsiaTheme="minorEastAsia" w:hAnsi="Times New Roman" w:cs="Times New Roman"/>
          <w:sz w:val="26"/>
          <w:szCs w:val="26"/>
        </w:rPr>
        <w:lastRenderedPageBreak/>
        <w:t>FPIG level paid their bills in comparison to the percentage of bills paid by customers at the 51 to 100% FPIG level.</w:t>
      </w:r>
      <w:r w:rsidR="005D2AAD" w:rsidRPr="00EE5714">
        <w:rPr>
          <w:rFonts w:ascii="Times New Roman" w:hAnsi="Times New Roman" w:cs="Times New Roman"/>
          <w:sz w:val="26"/>
          <w:szCs w:val="26"/>
        </w:rPr>
        <w:t xml:space="preserve">  </w:t>
      </w:r>
    </w:p>
    <w:p w14:paraId="5E8D74C2" w14:textId="77777777" w:rsidR="00F234B3" w:rsidRPr="00EE5714" w:rsidRDefault="00F234B3" w:rsidP="00A52AED">
      <w:pPr>
        <w:pStyle w:val="ListParagraph"/>
        <w:spacing w:after="0" w:line="240" w:lineRule="auto"/>
        <w:ind w:left="0" w:firstLine="720"/>
        <w:rPr>
          <w:rFonts w:ascii="Times New Roman" w:hAnsi="Times New Roman" w:cs="Times New Roman"/>
          <w:sz w:val="26"/>
          <w:szCs w:val="26"/>
        </w:rPr>
      </w:pPr>
    </w:p>
    <w:p w14:paraId="73C524D8" w14:textId="77777777" w:rsidR="004947BF" w:rsidRPr="00EE5714" w:rsidRDefault="005D2AAD" w:rsidP="00A52AED">
      <w:pPr>
        <w:pStyle w:val="ListParagraph"/>
        <w:spacing w:after="0" w:line="240" w:lineRule="auto"/>
        <w:ind w:left="0" w:firstLine="720"/>
        <w:rPr>
          <w:rFonts w:ascii="Times New Roman" w:hAnsi="Times New Roman" w:cs="Times New Roman"/>
          <w:sz w:val="26"/>
          <w:szCs w:val="26"/>
        </w:rPr>
      </w:pPr>
      <w:r w:rsidRPr="00EE5714">
        <w:rPr>
          <w:rFonts w:ascii="Times New Roman" w:hAnsi="Times New Roman" w:cs="Times New Roman"/>
          <w:sz w:val="26"/>
          <w:szCs w:val="26"/>
        </w:rPr>
        <w:t>There was little consistency in the way the utilities report, track, and respond to CAP defaults.  Further, utilit</w:t>
      </w:r>
      <w:r w:rsidR="003A5AA4" w:rsidRPr="00EE5714">
        <w:rPr>
          <w:rFonts w:ascii="Times New Roman" w:hAnsi="Times New Roman" w:cs="Times New Roman"/>
          <w:sz w:val="26"/>
          <w:szCs w:val="26"/>
        </w:rPr>
        <w:t>ies</w:t>
      </w:r>
      <w:r w:rsidRPr="00EE5714">
        <w:rPr>
          <w:rFonts w:ascii="Times New Roman" w:hAnsi="Times New Roman" w:cs="Times New Roman"/>
          <w:sz w:val="26"/>
          <w:szCs w:val="26"/>
        </w:rPr>
        <w:t xml:space="preserve"> var</w:t>
      </w:r>
      <w:r w:rsidR="003A5AA4" w:rsidRPr="00EE5714">
        <w:rPr>
          <w:rFonts w:ascii="Times New Roman" w:hAnsi="Times New Roman" w:cs="Times New Roman"/>
          <w:sz w:val="26"/>
          <w:szCs w:val="26"/>
        </w:rPr>
        <w:t>ied</w:t>
      </w:r>
      <w:r w:rsidRPr="00EE5714">
        <w:rPr>
          <w:rFonts w:ascii="Times New Roman" w:hAnsi="Times New Roman" w:cs="Times New Roman"/>
          <w:sz w:val="26"/>
          <w:szCs w:val="26"/>
        </w:rPr>
        <w:t xml:space="preserve"> in </w:t>
      </w:r>
      <w:r w:rsidR="00780DB8" w:rsidRPr="00EE5714">
        <w:rPr>
          <w:rFonts w:ascii="Times New Roman" w:hAnsi="Times New Roman" w:cs="Times New Roman"/>
          <w:sz w:val="26"/>
          <w:szCs w:val="26"/>
        </w:rPr>
        <w:t xml:space="preserve">how they </w:t>
      </w:r>
      <w:r w:rsidR="002214A7" w:rsidRPr="00EE5714">
        <w:rPr>
          <w:rFonts w:ascii="Times New Roman" w:hAnsi="Times New Roman" w:cs="Times New Roman"/>
          <w:sz w:val="26"/>
          <w:szCs w:val="26"/>
        </w:rPr>
        <w:t>track</w:t>
      </w:r>
      <w:r w:rsidR="008B5754" w:rsidRPr="00EE5714">
        <w:rPr>
          <w:rFonts w:ascii="Times New Roman" w:hAnsi="Times New Roman" w:cs="Times New Roman"/>
          <w:sz w:val="26"/>
          <w:szCs w:val="26"/>
        </w:rPr>
        <w:t>ed</w:t>
      </w:r>
      <w:r w:rsidR="002214A7" w:rsidRPr="00EE5714">
        <w:rPr>
          <w:rFonts w:ascii="Times New Roman" w:hAnsi="Times New Roman" w:cs="Times New Roman"/>
          <w:sz w:val="26"/>
          <w:szCs w:val="26"/>
        </w:rPr>
        <w:t xml:space="preserve"> and report</w:t>
      </w:r>
      <w:r w:rsidR="008B5754" w:rsidRPr="00EE5714">
        <w:rPr>
          <w:rFonts w:ascii="Times New Roman" w:hAnsi="Times New Roman" w:cs="Times New Roman"/>
          <w:sz w:val="26"/>
          <w:szCs w:val="26"/>
        </w:rPr>
        <w:t>ed</w:t>
      </w:r>
      <w:r w:rsidR="002214A7" w:rsidRPr="00EE5714">
        <w:rPr>
          <w:rFonts w:ascii="Times New Roman" w:hAnsi="Times New Roman" w:cs="Times New Roman"/>
          <w:sz w:val="26"/>
          <w:szCs w:val="26"/>
        </w:rPr>
        <w:t xml:space="preserve"> CAP</w:t>
      </w:r>
      <w:r w:rsidRPr="00EE5714">
        <w:rPr>
          <w:rFonts w:ascii="Times New Roman" w:hAnsi="Times New Roman" w:cs="Times New Roman"/>
          <w:sz w:val="26"/>
          <w:szCs w:val="26"/>
        </w:rPr>
        <w:t xml:space="preserve"> termination</w:t>
      </w:r>
      <w:r w:rsidR="002214A7" w:rsidRPr="00EE5714">
        <w:rPr>
          <w:rFonts w:ascii="Times New Roman" w:hAnsi="Times New Roman" w:cs="Times New Roman"/>
          <w:sz w:val="26"/>
          <w:szCs w:val="26"/>
        </w:rPr>
        <w:t>s</w:t>
      </w:r>
      <w:r w:rsidRPr="00EE5714">
        <w:rPr>
          <w:rFonts w:ascii="Times New Roman" w:hAnsi="Times New Roman" w:cs="Times New Roman"/>
          <w:sz w:val="26"/>
          <w:szCs w:val="26"/>
        </w:rPr>
        <w:t>.</w:t>
      </w:r>
      <w:r w:rsidR="00A52AED" w:rsidRPr="00EE5714">
        <w:rPr>
          <w:rFonts w:ascii="Times New Roman" w:hAnsi="Times New Roman" w:cs="Times New Roman"/>
          <w:sz w:val="26"/>
          <w:szCs w:val="26"/>
        </w:rPr>
        <w:t xml:space="preserve">  </w:t>
      </w:r>
    </w:p>
    <w:p w14:paraId="6D2361A9" w14:textId="77777777" w:rsidR="004947BF" w:rsidRPr="00EE5714" w:rsidRDefault="004947BF" w:rsidP="00A52AED">
      <w:pPr>
        <w:pStyle w:val="ListParagraph"/>
        <w:spacing w:after="0" w:line="240" w:lineRule="auto"/>
        <w:ind w:left="0" w:firstLine="720"/>
        <w:rPr>
          <w:rFonts w:ascii="Times New Roman" w:hAnsi="Times New Roman" w:cs="Times New Roman"/>
          <w:sz w:val="26"/>
          <w:szCs w:val="26"/>
        </w:rPr>
      </w:pPr>
    </w:p>
    <w:p w14:paraId="01667F84" w14:textId="77777777" w:rsidR="004947BF" w:rsidRPr="00EE5714" w:rsidRDefault="004947BF" w:rsidP="00A52AED">
      <w:pPr>
        <w:pStyle w:val="ListParagraph"/>
        <w:spacing w:after="0" w:line="240" w:lineRule="auto"/>
        <w:ind w:left="0" w:firstLine="720"/>
        <w:rPr>
          <w:rFonts w:ascii="Times New Roman" w:hAnsi="Times New Roman" w:cs="Times New Roman"/>
          <w:sz w:val="26"/>
          <w:szCs w:val="26"/>
        </w:rPr>
      </w:pPr>
      <w:r w:rsidRPr="00EE5714">
        <w:rPr>
          <w:rFonts w:ascii="Times New Roman" w:hAnsi="Times New Roman" w:cs="Times New Roman"/>
          <w:sz w:val="26"/>
          <w:szCs w:val="26"/>
        </w:rPr>
        <w:t xml:space="preserve">The number of CLI customers in debt </w:t>
      </w:r>
      <w:r w:rsidR="008850D2" w:rsidRPr="00EE5714">
        <w:rPr>
          <w:rFonts w:ascii="Times New Roman" w:hAnsi="Times New Roman" w:cs="Times New Roman"/>
          <w:sz w:val="26"/>
          <w:szCs w:val="26"/>
        </w:rPr>
        <w:t xml:space="preserve">and </w:t>
      </w:r>
      <w:r w:rsidRPr="00EE5714">
        <w:rPr>
          <w:rFonts w:ascii="Times New Roman" w:hAnsi="Times New Roman" w:cs="Times New Roman"/>
          <w:sz w:val="26"/>
          <w:szCs w:val="26"/>
        </w:rPr>
        <w:t xml:space="preserve">not on </w:t>
      </w:r>
      <w:r w:rsidR="008850D2" w:rsidRPr="00EE5714">
        <w:rPr>
          <w:rFonts w:ascii="Times New Roman" w:hAnsi="Times New Roman" w:cs="Times New Roman"/>
          <w:sz w:val="26"/>
          <w:szCs w:val="26"/>
        </w:rPr>
        <w:t xml:space="preserve">a payment </w:t>
      </w:r>
      <w:r w:rsidRPr="00EE5714">
        <w:rPr>
          <w:rFonts w:ascii="Times New Roman" w:hAnsi="Times New Roman" w:cs="Times New Roman"/>
          <w:sz w:val="26"/>
          <w:szCs w:val="26"/>
        </w:rPr>
        <w:t>agreement</w:t>
      </w:r>
      <w:r w:rsidR="008850D2" w:rsidRPr="00EE5714">
        <w:rPr>
          <w:rFonts w:ascii="Times New Roman" w:hAnsi="Times New Roman" w:cs="Times New Roman"/>
          <w:sz w:val="26"/>
          <w:szCs w:val="26"/>
        </w:rPr>
        <w:t xml:space="preserve"> </w:t>
      </w:r>
      <w:r w:rsidR="0029350F" w:rsidRPr="00EE5714">
        <w:rPr>
          <w:rFonts w:ascii="Times New Roman" w:hAnsi="Times New Roman" w:cs="Times New Roman"/>
          <w:sz w:val="26"/>
          <w:szCs w:val="26"/>
        </w:rPr>
        <w:t>generally decreas</w:t>
      </w:r>
      <w:r w:rsidR="00BA1D22" w:rsidRPr="00EE5714">
        <w:rPr>
          <w:rFonts w:ascii="Times New Roman" w:hAnsi="Times New Roman" w:cs="Times New Roman"/>
          <w:sz w:val="26"/>
          <w:szCs w:val="26"/>
        </w:rPr>
        <w:t>ed</w:t>
      </w:r>
      <w:r w:rsidR="008D18D4" w:rsidRPr="00EE5714">
        <w:rPr>
          <w:rFonts w:ascii="Times New Roman" w:hAnsi="Times New Roman" w:cs="Times New Roman"/>
          <w:sz w:val="26"/>
          <w:szCs w:val="26"/>
        </w:rPr>
        <w:t xml:space="preserve"> across utilities</w:t>
      </w:r>
      <w:r w:rsidR="008922D2" w:rsidRPr="00EE5714">
        <w:rPr>
          <w:rFonts w:ascii="Times New Roman" w:hAnsi="Times New Roman" w:cs="Times New Roman"/>
          <w:sz w:val="26"/>
          <w:szCs w:val="26"/>
        </w:rPr>
        <w:t xml:space="preserve"> during this study period</w:t>
      </w:r>
      <w:r w:rsidR="0029350F" w:rsidRPr="00EE5714">
        <w:rPr>
          <w:rFonts w:ascii="Times New Roman" w:hAnsi="Times New Roman" w:cs="Times New Roman"/>
          <w:sz w:val="26"/>
          <w:szCs w:val="26"/>
        </w:rPr>
        <w:t xml:space="preserve">, which suggests that </w:t>
      </w:r>
      <w:r w:rsidR="003543CB" w:rsidRPr="00EE5714">
        <w:rPr>
          <w:rFonts w:ascii="Times New Roman" w:hAnsi="Times New Roman" w:cs="Times New Roman"/>
          <w:sz w:val="26"/>
          <w:szCs w:val="26"/>
        </w:rPr>
        <w:t xml:space="preserve">CLI customers </w:t>
      </w:r>
      <w:r w:rsidR="00BA1D22" w:rsidRPr="00EE5714">
        <w:rPr>
          <w:rFonts w:ascii="Times New Roman" w:hAnsi="Times New Roman" w:cs="Times New Roman"/>
          <w:sz w:val="26"/>
          <w:szCs w:val="26"/>
        </w:rPr>
        <w:t>were</w:t>
      </w:r>
      <w:r w:rsidR="008D18D4" w:rsidRPr="00EE5714">
        <w:rPr>
          <w:rFonts w:ascii="Times New Roman" w:hAnsi="Times New Roman" w:cs="Times New Roman"/>
          <w:sz w:val="26"/>
          <w:szCs w:val="26"/>
        </w:rPr>
        <w:t xml:space="preserve"> enrolling </w:t>
      </w:r>
      <w:r w:rsidR="00D86506" w:rsidRPr="00EE5714">
        <w:rPr>
          <w:rFonts w:ascii="Times New Roman" w:hAnsi="Times New Roman" w:cs="Times New Roman"/>
          <w:sz w:val="26"/>
          <w:szCs w:val="26"/>
        </w:rPr>
        <w:t>in CAPs or payment agreements</w:t>
      </w:r>
      <w:r w:rsidR="004F6229" w:rsidRPr="00EE5714">
        <w:rPr>
          <w:rFonts w:ascii="Times New Roman" w:hAnsi="Times New Roman" w:cs="Times New Roman"/>
          <w:sz w:val="26"/>
          <w:szCs w:val="26"/>
        </w:rPr>
        <w:t xml:space="preserve"> and </w:t>
      </w:r>
      <w:r w:rsidR="00BA1D22" w:rsidRPr="00EE5714">
        <w:rPr>
          <w:rFonts w:ascii="Times New Roman" w:hAnsi="Times New Roman" w:cs="Times New Roman"/>
          <w:sz w:val="26"/>
          <w:szCs w:val="26"/>
        </w:rPr>
        <w:t>were</w:t>
      </w:r>
      <w:r w:rsidR="004F6229" w:rsidRPr="00EE5714">
        <w:rPr>
          <w:rFonts w:ascii="Times New Roman" w:hAnsi="Times New Roman" w:cs="Times New Roman"/>
          <w:sz w:val="26"/>
          <w:szCs w:val="26"/>
        </w:rPr>
        <w:t xml:space="preserve"> </w:t>
      </w:r>
      <w:r w:rsidR="005B5062" w:rsidRPr="00EE5714">
        <w:rPr>
          <w:rFonts w:ascii="Times New Roman" w:hAnsi="Times New Roman" w:cs="Times New Roman"/>
          <w:sz w:val="26"/>
          <w:szCs w:val="26"/>
        </w:rPr>
        <w:t xml:space="preserve">thus </w:t>
      </w:r>
      <w:r w:rsidR="004F6229" w:rsidRPr="00EE5714">
        <w:rPr>
          <w:rFonts w:ascii="Times New Roman" w:hAnsi="Times New Roman" w:cs="Times New Roman"/>
          <w:sz w:val="26"/>
          <w:szCs w:val="26"/>
        </w:rPr>
        <w:t xml:space="preserve">less vulnerable to </w:t>
      </w:r>
      <w:r w:rsidR="005D44C0" w:rsidRPr="00EE5714">
        <w:rPr>
          <w:rFonts w:ascii="Times New Roman" w:hAnsi="Times New Roman" w:cs="Times New Roman"/>
          <w:sz w:val="26"/>
          <w:szCs w:val="26"/>
        </w:rPr>
        <w:t xml:space="preserve">service </w:t>
      </w:r>
      <w:r w:rsidR="004F6229" w:rsidRPr="00EE5714">
        <w:rPr>
          <w:rFonts w:ascii="Times New Roman" w:hAnsi="Times New Roman" w:cs="Times New Roman"/>
          <w:sz w:val="26"/>
          <w:szCs w:val="26"/>
        </w:rPr>
        <w:t>termination</w:t>
      </w:r>
      <w:r w:rsidR="00D86506" w:rsidRPr="00EE5714">
        <w:rPr>
          <w:rFonts w:ascii="Times New Roman" w:hAnsi="Times New Roman" w:cs="Times New Roman"/>
          <w:sz w:val="26"/>
          <w:szCs w:val="26"/>
        </w:rPr>
        <w:t>.</w:t>
      </w:r>
    </w:p>
    <w:p w14:paraId="5436ACD0" w14:textId="77777777" w:rsidR="00B248C2" w:rsidRPr="00EE5714" w:rsidRDefault="00B248C2" w:rsidP="00A52AED">
      <w:pPr>
        <w:pStyle w:val="ListParagraph"/>
        <w:spacing w:after="0" w:line="240" w:lineRule="auto"/>
        <w:ind w:left="0" w:firstLine="720"/>
        <w:rPr>
          <w:rFonts w:ascii="Times New Roman" w:hAnsi="Times New Roman" w:cs="Times New Roman"/>
          <w:sz w:val="26"/>
          <w:szCs w:val="26"/>
        </w:rPr>
      </w:pPr>
    </w:p>
    <w:p w14:paraId="568F9DB6" w14:textId="566F2540" w:rsidR="00146154" w:rsidRPr="00EE5714" w:rsidRDefault="00C239A2" w:rsidP="005D5773">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Despite an industry drop in CAP expenditures from 2012-2016, NDGC and EDC CAP costs are projected to increase annually through 2021.  The overall average costs per non-CAP residential customer </w:t>
      </w:r>
      <w:r w:rsidR="003B3061" w:rsidRPr="00EE5714">
        <w:rPr>
          <w:rFonts w:ascii="Times New Roman" w:hAnsi="Times New Roman" w:cs="Times New Roman"/>
          <w:sz w:val="26"/>
          <w:szCs w:val="26"/>
        </w:rPr>
        <w:t>are</w:t>
      </w:r>
      <w:r w:rsidRPr="00EE5714">
        <w:rPr>
          <w:rFonts w:ascii="Times New Roman" w:hAnsi="Times New Roman" w:cs="Times New Roman"/>
          <w:sz w:val="26"/>
          <w:szCs w:val="26"/>
        </w:rPr>
        <w:t xml:space="preserve"> also anticipated to increase through 2021, varying by CAP enrollments levels.  EDC customers will experience the biggest increase, with average annual CAP costs recovered from non-CAP residential customers increasing by approximately $</w:t>
      </w:r>
      <w:r w:rsidR="009764C0" w:rsidRPr="00EE5714">
        <w:rPr>
          <w:rFonts w:ascii="Times New Roman" w:hAnsi="Times New Roman" w:cs="Times New Roman"/>
          <w:sz w:val="26"/>
          <w:szCs w:val="26"/>
        </w:rPr>
        <w:t>2</w:t>
      </w:r>
      <w:r w:rsidRPr="00EE5714">
        <w:rPr>
          <w:rFonts w:ascii="Times New Roman" w:hAnsi="Times New Roman" w:cs="Times New Roman"/>
          <w:sz w:val="26"/>
          <w:szCs w:val="26"/>
        </w:rPr>
        <w:t>0 from 2017 to 2021.</w:t>
      </w:r>
    </w:p>
    <w:p w14:paraId="22EA8CD7" w14:textId="77777777" w:rsidR="00491039" w:rsidRPr="00EE5714" w:rsidRDefault="00491039" w:rsidP="005D5773">
      <w:pPr>
        <w:spacing w:after="0" w:line="240" w:lineRule="auto"/>
        <w:ind w:firstLine="720"/>
        <w:rPr>
          <w:rFonts w:ascii="Times New Roman" w:hAnsi="Times New Roman" w:cs="Times New Roman"/>
          <w:sz w:val="26"/>
          <w:szCs w:val="26"/>
        </w:rPr>
      </w:pPr>
    </w:p>
    <w:p w14:paraId="5EA236E4" w14:textId="77777777" w:rsidR="00AE6BCB" w:rsidRPr="00EE5714" w:rsidRDefault="00AE6BCB" w:rsidP="005D5773">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 xml:space="preserve">Historically, non-CAP residential customers have paid on average between </w:t>
      </w:r>
      <w:r w:rsidR="00F94EEC" w:rsidRPr="00EE5714">
        <w:rPr>
          <w:rFonts w:ascii="Times New Roman" w:hAnsi="Times New Roman" w:cs="Times New Roman"/>
          <w:sz w:val="26"/>
          <w:szCs w:val="26"/>
        </w:rPr>
        <w:t>approxima</w:t>
      </w:r>
      <w:r w:rsidR="00C64C40" w:rsidRPr="00EE5714">
        <w:rPr>
          <w:rFonts w:ascii="Times New Roman" w:hAnsi="Times New Roman" w:cs="Times New Roman"/>
          <w:sz w:val="26"/>
          <w:szCs w:val="26"/>
        </w:rPr>
        <w:t xml:space="preserve">tely </w:t>
      </w:r>
      <w:r w:rsidRPr="00EE5714">
        <w:rPr>
          <w:rFonts w:ascii="Times New Roman" w:hAnsi="Times New Roman" w:cs="Times New Roman"/>
          <w:sz w:val="26"/>
          <w:szCs w:val="26"/>
        </w:rPr>
        <w:t xml:space="preserve">$10/year and $145/year to cover CAP costs over the study period.  CAP costs borne by PGW </w:t>
      </w:r>
      <w:r w:rsidR="00746D89" w:rsidRPr="00EE5714">
        <w:rPr>
          <w:rFonts w:ascii="Times New Roman" w:hAnsi="Times New Roman" w:cs="Times New Roman"/>
          <w:sz w:val="26"/>
          <w:szCs w:val="26"/>
        </w:rPr>
        <w:t>non</w:t>
      </w:r>
      <w:r w:rsidR="002766FA" w:rsidRPr="00EE5714">
        <w:rPr>
          <w:rFonts w:ascii="Times New Roman" w:hAnsi="Times New Roman" w:cs="Times New Roman"/>
          <w:sz w:val="26"/>
          <w:szCs w:val="26"/>
        </w:rPr>
        <w:noBreakHyphen/>
      </w:r>
      <w:r w:rsidR="00746D89" w:rsidRPr="00EE5714">
        <w:rPr>
          <w:rFonts w:ascii="Times New Roman" w:hAnsi="Times New Roman" w:cs="Times New Roman"/>
          <w:sz w:val="26"/>
          <w:szCs w:val="26"/>
        </w:rPr>
        <w:t>residential</w:t>
      </w:r>
      <w:r w:rsidRPr="00EE5714">
        <w:rPr>
          <w:rFonts w:ascii="Times New Roman" w:hAnsi="Times New Roman" w:cs="Times New Roman"/>
          <w:sz w:val="26"/>
          <w:szCs w:val="26"/>
        </w:rPr>
        <w:t xml:space="preserve"> customers have not been factored in.</w:t>
      </w:r>
    </w:p>
    <w:p w14:paraId="1020B8A0" w14:textId="77777777" w:rsidR="00AE6BCB" w:rsidRPr="00EE5714" w:rsidRDefault="00AE6BCB" w:rsidP="005D5773">
      <w:pPr>
        <w:spacing w:after="0" w:line="240" w:lineRule="auto"/>
        <w:ind w:firstLine="720"/>
        <w:rPr>
          <w:rFonts w:ascii="Times New Roman" w:hAnsi="Times New Roman" w:cs="Times New Roman"/>
          <w:sz w:val="26"/>
          <w:szCs w:val="26"/>
        </w:rPr>
      </w:pPr>
    </w:p>
    <w:p w14:paraId="525785E6" w14:textId="77777777" w:rsidR="008A3918" w:rsidRPr="00EE5714" w:rsidRDefault="00B248C2" w:rsidP="002F77A4">
      <w:pPr>
        <w:spacing w:after="0" w:line="240" w:lineRule="auto"/>
        <w:ind w:firstLine="720"/>
        <w:rPr>
          <w:rFonts w:ascii="Times New Roman" w:hAnsi="Times New Roman" w:cs="Times New Roman"/>
          <w:sz w:val="26"/>
          <w:szCs w:val="26"/>
        </w:rPr>
      </w:pPr>
      <w:r w:rsidRPr="00EE5714">
        <w:rPr>
          <w:rFonts w:ascii="Times New Roman" w:hAnsi="Times New Roman" w:cs="Times New Roman"/>
          <w:sz w:val="26"/>
          <w:szCs w:val="26"/>
        </w:rPr>
        <w:t>Pennsylvania</w:t>
      </w:r>
      <w:r w:rsidR="003D070A" w:rsidRPr="00EE5714">
        <w:rPr>
          <w:rFonts w:ascii="Times New Roman" w:hAnsi="Times New Roman" w:cs="Times New Roman"/>
          <w:sz w:val="26"/>
          <w:szCs w:val="26"/>
        </w:rPr>
        <w:t>’</w:t>
      </w:r>
      <w:r w:rsidR="00C256EE" w:rsidRPr="00EE5714">
        <w:rPr>
          <w:rFonts w:ascii="Times New Roman" w:hAnsi="Times New Roman" w:cs="Times New Roman"/>
          <w:sz w:val="26"/>
          <w:szCs w:val="26"/>
        </w:rPr>
        <w:t>s maximum energy burden</w:t>
      </w:r>
      <w:r w:rsidR="009D2CF9" w:rsidRPr="00EE5714">
        <w:rPr>
          <w:rFonts w:ascii="Times New Roman" w:hAnsi="Times New Roman" w:cs="Times New Roman"/>
          <w:sz w:val="26"/>
          <w:szCs w:val="26"/>
        </w:rPr>
        <w:t>s</w:t>
      </w:r>
      <w:r w:rsidR="00C256EE" w:rsidRPr="00EE5714">
        <w:rPr>
          <w:rFonts w:ascii="Times New Roman" w:hAnsi="Times New Roman" w:cs="Times New Roman"/>
          <w:sz w:val="26"/>
          <w:szCs w:val="26"/>
        </w:rPr>
        <w:t xml:space="preserve"> </w:t>
      </w:r>
      <w:r w:rsidR="009D2CF9" w:rsidRPr="00EE5714">
        <w:rPr>
          <w:rFonts w:ascii="Times New Roman" w:hAnsi="Times New Roman" w:cs="Times New Roman"/>
          <w:sz w:val="26"/>
          <w:szCs w:val="26"/>
        </w:rPr>
        <w:t xml:space="preserve">in </w:t>
      </w:r>
      <w:r w:rsidR="00AA05A5" w:rsidRPr="00EE5714">
        <w:rPr>
          <w:rFonts w:ascii="Times New Roman" w:hAnsi="Times New Roman" w:cs="Times New Roman"/>
          <w:sz w:val="26"/>
          <w:szCs w:val="26"/>
        </w:rPr>
        <w:t xml:space="preserve">the CAP Policy Statement </w:t>
      </w:r>
      <w:r w:rsidR="001F1A71" w:rsidRPr="00EE5714">
        <w:rPr>
          <w:rFonts w:ascii="Times New Roman" w:hAnsi="Times New Roman" w:cs="Times New Roman"/>
          <w:sz w:val="26"/>
          <w:szCs w:val="26"/>
        </w:rPr>
        <w:t xml:space="preserve">are higher than </w:t>
      </w:r>
      <w:r w:rsidR="008C0E29" w:rsidRPr="00EE5714">
        <w:rPr>
          <w:rFonts w:ascii="Times New Roman" w:hAnsi="Times New Roman" w:cs="Times New Roman"/>
          <w:sz w:val="26"/>
          <w:szCs w:val="26"/>
        </w:rPr>
        <w:t xml:space="preserve">maximum </w:t>
      </w:r>
      <w:r w:rsidR="00AA05A5" w:rsidRPr="00EE5714">
        <w:rPr>
          <w:rFonts w:ascii="Times New Roman" w:hAnsi="Times New Roman" w:cs="Times New Roman"/>
          <w:sz w:val="26"/>
          <w:szCs w:val="26"/>
        </w:rPr>
        <w:t>energy burde</w:t>
      </w:r>
      <w:r w:rsidR="008C0E29" w:rsidRPr="00EE5714">
        <w:rPr>
          <w:rFonts w:ascii="Times New Roman" w:hAnsi="Times New Roman" w:cs="Times New Roman"/>
          <w:sz w:val="26"/>
          <w:szCs w:val="26"/>
        </w:rPr>
        <w:t>ns u</w:t>
      </w:r>
      <w:r w:rsidR="00EE10F7" w:rsidRPr="00EE5714">
        <w:rPr>
          <w:rFonts w:ascii="Times New Roman" w:hAnsi="Times New Roman" w:cs="Times New Roman"/>
          <w:sz w:val="26"/>
          <w:szCs w:val="26"/>
        </w:rPr>
        <w:t xml:space="preserve">sed by </w:t>
      </w:r>
      <w:r w:rsidR="008B6F38" w:rsidRPr="00EE5714">
        <w:rPr>
          <w:rFonts w:ascii="Times New Roman" w:hAnsi="Times New Roman" w:cs="Times New Roman"/>
          <w:sz w:val="26"/>
          <w:szCs w:val="26"/>
        </w:rPr>
        <w:t>neighboring states</w:t>
      </w:r>
      <w:r w:rsidR="007C48D0" w:rsidRPr="00EE5714">
        <w:rPr>
          <w:rFonts w:ascii="Times New Roman" w:hAnsi="Times New Roman" w:cs="Times New Roman"/>
          <w:sz w:val="26"/>
          <w:szCs w:val="26"/>
        </w:rPr>
        <w:t xml:space="preserve">.  </w:t>
      </w:r>
      <w:r w:rsidR="009B6FA3" w:rsidRPr="00EE5714">
        <w:rPr>
          <w:rFonts w:ascii="Times New Roman" w:hAnsi="Times New Roman" w:cs="Times New Roman"/>
          <w:sz w:val="26"/>
          <w:szCs w:val="26"/>
        </w:rPr>
        <w:t>Ohio</w:t>
      </w:r>
      <w:r w:rsidR="00B56A3A" w:rsidRPr="00EE5714">
        <w:rPr>
          <w:rFonts w:ascii="Times New Roman" w:hAnsi="Times New Roman" w:cs="Times New Roman"/>
          <w:sz w:val="26"/>
          <w:szCs w:val="26"/>
        </w:rPr>
        <w:t xml:space="preserve"> –</w:t>
      </w:r>
      <w:r w:rsidR="009B6FA3" w:rsidRPr="00EE5714">
        <w:rPr>
          <w:rFonts w:ascii="Times New Roman" w:hAnsi="Times New Roman" w:cs="Times New Roman"/>
          <w:sz w:val="26"/>
          <w:szCs w:val="26"/>
        </w:rPr>
        <w:t xml:space="preserve"> a state </w:t>
      </w:r>
      <w:r w:rsidR="00B56A3A" w:rsidRPr="00EE5714">
        <w:rPr>
          <w:rFonts w:ascii="Times New Roman" w:hAnsi="Times New Roman" w:cs="Times New Roman"/>
          <w:sz w:val="26"/>
          <w:szCs w:val="26"/>
        </w:rPr>
        <w:t xml:space="preserve">with </w:t>
      </w:r>
      <w:r w:rsidR="009B6FA3" w:rsidRPr="00EE5714">
        <w:rPr>
          <w:rFonts w:ascii="Times New Roman" w:hAnsi="Times New Roman" w:cs="Times New Roman"/>
          <w:sz w:val="26"/>
          <w:szCs w:val="26"/>
        </w:rPr>
        <w:t xml:space="preserve">similar </w:t>
      </w:r>
      <w:r w:rsidR="00BF03DD" w:rsidRPr="00EE5714">
        <w:rPr>
          <w:rFonts w:ascii="Times New Roman" w:hAnsi="Times New Roman" w:cs="Times New Roman"/>
          <w:sz w:val="26"/>
          <w:szCs w:val="26"/>
        </w:rPr>
        <w:t>climate</w:t>
      </w:r>
      <w:r w:rsidR="00B56A3A" w:rsidRPr="00EE5714">
        <w:rPr>
          <w:rFonts w:ascii="Times New Roman" w:hAnsi="Times New Roman" w:cs="Times New Roman"/>
          <w:sz w:val="26"/>
          <w:szCs w:val="26"/>
        </w:rPr>
        <w:t>, energy use,</w:t>
      </w:r>
      <w:r w:rsidR="00BF03DD" w:rsidRPr="00EE5714">
        <w:rPr>
          <w:rFonts w:ascii="Times New Roman" w:hAnsi="Times New Roman" w:cs="Times New Roman"/>
          <w:sz w:val="26"/>
          <w:szCs w:val="26"/>
        </w:rPr>
        <w:t xml:space="preserve"> and demographics</w:t>
      </w:r>
      <w:r w:rsidR="008F18DE" w:rsidRPr="00EE5714">
        <w:rPr>
          <w:rFonts w:ascii="Times New Roman" w:hAnsi="Times New Roman" w:cs="Times New Roman"/>
          <w:sz w:val="26"/>
          <w:szCs w:val="26"/>
        </w:rPr>
        <w:t xml:space="preserve"> – has a maximum energy burden of 10%</w:t>
      </w:r>
      <w:r w:rsidR="00334758" w:rsidRPr="00EE5714">
        <w:rPr>
          <w:rFonts w:ascii="Times New Roman" w:hAnsi="Times New Roman" w:cs="Times New Roman"/>
          <w:sz w:val="26"/>
          <w:szCs w:val="26"/>
        </w:rPr>
        <w:t xml:space="preserve"> for its payment assistance program</w:t>
      </w:r>
      <w:r w:rsidR="008F18DE" w:rsidRPr="00EE5714">
        <w:rPr>
          <w:rFonts w:ascii="Times New Roman" w:hAnsi="Times New Roman" w:cs="Times New Roman"/>
          <w:sz w:val="26"/>
          <w:szCs w:val="26"/>
        </w:rPr>
        <w:t xml:space="preserve">.  </w:t>
      </w:r>
      <w:r w:rsidR="009D3F68" w:rsidRPr="00EE5714">
        <w:rPr>
          <w:rFonts w:ascii="Times New Roman" w:hAnsi="Times New Roman" w:cs="Times New Roman"/>
          <w:sz w:val="26"/>
          <w:szCs w:val="26"/>
        </w:rPr>
        <w:t xml:space="preserve">Based </w:t>
      </w:r>
      <w:r w:rsidR="002E23A8" w:rsidRPr="00EE5714">
        <w:rPr>
          <w:rFonts w:ascii="Times New Roman" w:hAnsi="Times New Roman" w:cs="Times New Roman"/>
          <w:sz w:val="26"/>
          <w:szCs w:val="26"/>
        </w:rPr>
        <w:t>on a model developed by staff, a</w:t>
      </w:r>
      <w:r w:rsidR="000F63C4" w:rsidRPr="00EE5714">
        <w:rPr>
          <w:rFonts w:ascii="Times New Roman" w:hAnsi="Times New Roman" w:cs="Times New Roman"/>
          <w:sz w:val="26"/>
          <w:szCs w:val="26"/>
        </w:rPr>
        <w:t xml:space="preserve">dopting a 10% </w:t>
      </w:r>
      <w:r w:rsidR="00A118D0" w:rsidRPr="00EE5714">
        <w:rPr>
          <w:rFonts w:ascii="Times New Roman" w:hAnsi="Times New Roman" w:cs="Times New Roman"/>
          <w:sz w:val="26"/>
          <w:szCs w:val="26"/>
        </w:rPr>
        <w:t>maximum</w:t>
      </w:r>
      <w:r w:rsidR="000F63C4" w:rsidRPr="00EE5714">
        <w:rPr>
          <w:rFonts w:ascii="Times New Roman" w:hAnsi="Times New Roman" w:cs="Times New Roman"/>
          <w:sz w:val="26"/>
          <w:szCs w:val="26"/>
        </w:rPr>
        <w:t xml:space="preserve"> energy burden</w:t>
      </w:r>
      <w:r w:rsidR="004649D6" w:rsidRPr="00EE5714">
        <w:rPr>
          <w:rStyle w:val="FootnoteReference"/>
          <w:rFonts w:ascii="Times New Roman" w:hAnsi="Times New Roman" w:cs="Times New Roman"/>
          <w:sz w:val="26"/>
          <w:szCs w:val="26"/>
        </w:rPr>
        <w:footnoteReference w:id="96"/>
      </w:r>
      <w:r w:rsidR="000F63C4" w:rsidRPr="00EE5714">
        <w:rPr>
          <w:rFonts w:ascii="Times New Roman" w:hAnsi="Times New Roman" w:cs="Times New Roman"/>
          <w:sz w:val="26"/>
          <w:szCs w:val="26"/>
        </w:rPr>
        <w:t xml:space="preserve"> </w:t>
      </w:r>
      <w:r w:rsidR="00024373" w:rsidRPr="00EE5714">
        <w:rPr>
          <w:rFonts w:ascii="Times New Roman" w:hAnsi="Times New Roman" w:cs="Times New Roman"/>
          <w:sz w:val="26"/>
          <w:szCs w:val="26"/>
        </w:rPr>
        <w:t xml:space="preserve">across all FPIG levels </w:t>
      </w:r>
      <w:r w:rsidR="000F63C4" w:rsidRPr="00EE5714">
        <w:rPr>
          <w:rFonts w:ascii="Times New Roman" w:hAnsi="Times New Roman" w:cs="Times New Roman"/>
          <w:sz w:val="26"/>
          <w:szCs w:val="26"/>
        </w:rPr>
        <w:t>in Pennsy</w:t>
      </w:r>
      <w:r w:rsidR="00BB79C0" w:rsidRPr="00EE5714">
        <w:rPr>
          <w:rFonts w:ascii="Times New Roman" w:hAnsi="Times New Roman" w:cs="Times New Roman"/>
          <w:sz w:val="26"/>
          <w:szCs w:val="26"/>
        </w:rPr>
        <w:t xml:space="preserve">lvania </w:t>
      </w:r>
      <w:r w:rsidR="00A118D0" w:rsidRPr="00EE5714">
        <w:rPr>
          <w:rFonts w:ascii="Times New Roman" w:hAnsi="Times New Roman" w:cs="Times New Roman"/>
          <w:sz w:val="26"/>
          <w:szCs w:val="26"/>
        </w:rPr>
        <w:t xml:space="preserve">would increase CAP </w:t>
      </w:r>
      <w:r w:rsidR="00C84DB5" w:rsidRPr="00EE5714">
        <w:rPr>
          <w:rFonts w:ascii="Times New Roman" w:hAnsi="Times New Roman" w:cs="Times New Roman"/>
          <w:sz w:val="26"/>
          <w:szCs w:val="26"/>
        </w:rPr>
        <w:t xml:space="preserve">discounts </w:t>
      </w:r>
      <w:r w:rsidR="00D9261D" w:rsidRPr="00EE5714">
        <w:rPr>
          <w:rFonts w:ascii="Times New Roman" w:hAnsi="Times New Roman" w:cs="Times New Roman"/>
          <w:sz w:val="26"/>
          <w:szCs w:val="26"/>
        </w:rPr>
        <w:t>(</w:t>
      </w:r>
      <w:r w:rsidR="00D9261D" w:rsidRPr="00EE5714">
        <w:rPr>
          <w:rFonts w:ascii="Times New Roman" w:hAnsi="Times New Roman" w:cs="Times New Roman"/>
          <w:i/>
          <w:sz w:val="26"/>
          <w:szCs w:val="26"/>
        </w:rPr>
        <w:t>i.e.</w:t>
      </w:r>
      <w:r w:rsidR="00D9261D" w:rsidRPr="00EE5714">
        <w:rPr>
          <w:rFonts w:ascii="Times New Roman" w:hAnsi="Times New Roman" w:cs="Times New Roman"/>
          <w:sz w:val="26"/>
          <w:szCs w:val="26"/>
        </w:rPr>
        <w:t xml:space="preserve">, the costs borne by non-CAP </w:t>
      </w:r>
      <w:r w:rsidR="000D4FD3" w:rsidRPr="00EE5714">
        <w:rPr>
          <w:rFonts w:ascii="Times New Roman" w:hAnsi="Times New Roman" w:cs="Times New Roman"/>
          <w:sz w:val="26"/>
          <w:szCs w:val="26"/>
        </w:rPr>
        <w:t xml:space="preserve">residential customers) </w:t>
      </w:r>
      <w:r w:rsidR="00C84DB5" w:rsidRPr="00EE5714">
        <w:rPr>
          <w:rFonts w:ascii="Times New Roman" w:hAnsi="Times New Roman" w:cs="Times New Roman"/>
          <w:sz w:val="26"/>
          <w:szCs w:val="26"/>
        </w:rPr>
        <w:t>by approximately $102</w:t>
      </w:r>
      <w:r w:rsidR="00616A9D" w:rsidRPr="00EE5714">
        <w:rPr>
          <w:rFonts w:ascii="Times New Roman" w:hAnsi="Times New Roman" w:cs="Times New Roman"/>
          <w:sz w:val="26"/>
          <w:szCs w:val="26"/>
        </w:rPr>
        <w:t> </w:t>
      </w:r>
      <w:r w:rsidR="00C84DB5" w:rsidRPr="00EE5714">
        <w:rPr>
          <w:rFonts w:ascii="Times New Roman" w:hAnsi="Times New Roman" w:cs="Times New Roman"/>
          <w:sz w:val="26"/>
          <w:szCs w:val="26"/>
        </w:rPr>
        <w:t>million</w:t>
      </w:r>
      <w:r w:rsidR="00936815" w:rsidRPr="00EE5714">
        <w:rPr>
          <w:rFonts w:ascii="Times New Roman" w:hAnsi="Times New Roman" w:cs="Times New Roman"/>
          <w:sz w:val="26"/>
          <w:szCs w:val="26"/>
        </w:rPr>
        <w:t xml:space="preserve"> per year</w:t>
      </w:r>
      <w:r w:rsidR="00C84DB5" w:rsidRPr="00EE5714">
        <w:rPr>
          <w:rFonts w:ascii="Times New Roman" w:hAnsi="Times New Roman" w:cs="Times New Roman"/>
          <w:sz w:val="26"/>
          <w:szCs w:val="26"/>
        </w:rPr>
        <w:t xml:space="preserve">.  </w:t>
      </w:r>
      <w:r w:rsidR="005D5773" w:rsidRPr="00EE5714">
        <w:rPr>
          <w:rFonts w:ascii="Times New Roman" w:hAnsi="Times New Roman" w:cs="Times New Roman"/>
          <w:sz w:val="26"/>
          <w:szCs w:val="26"/>
        </w:rPr>
        <w:t xml:space="preserve">This </w:t>
      </w:r>
      <w:r w:rsidR="002E23A8" w:rsidRPr="00EE5714">
        <w:rPr>
          <w:rFonts w:ascii="Times New Roman" w:hAnsi="Times New Roman" w:cs="Times New Roman"/>
          <w:sz w:val="26"/>
          <w:szCs w:val="26"/>
        </w:rPr>
        <w:t>staff forecast</w:t>
      </w:r>
      <w:r w:rsidR="00043F72" w:rsidRPr="00EE5714">
        <w:rPr>
          <w:rFonts w:ascii="Times New Roman" w:hAnsi="Times New Roman" w:cs="Times New Roman"/>
          <w:sz w:val="26"/>
          <w:szCs w:val="26"/>
        </w:rPr>
        <w:t>, however,</w:t>
      </w:r>
      <w:r w:rsidR="005D5773" w:rsidRPr="00EE5714">
        <w:rPr>
          <w:rFonts w:ascii="Times New Roman" w:hAnsi="Times New Roman" w:cs="Times New Roman"/>
          <w:sz w:val="26"/>
          <w:szCs w:val="26"/>
        </w:rPr>
        <w:t xml:space="preserve"> does not factor in </w:t>
      </w:r>
      <w:r w:rsidR="00057CC5" w:rsidRPr="00EE5714">
        <w:rPr>
          <w:rFonts w:ascii="Times New Roman" w:hAnsi="Times New Roman" w:cs="Times New Roman"/>
          <w:sz w:val="26"/>
          <w:szCs w:val="26"/>
        </w:rPr>
        <w:t xml:space="preserve">all </w:t>
      </w:r>
      <w:r w:rsidR="000D6AFE" w:rsidRPr="00EE5714">
        <w:rPr>
          <w:rFonts w:ascii="Times New Roman" w:hAnsi="Times New Roman" w:cs="Times New Roman"/>
          <w:sz w:val="26"/>
          <w:szCs w:val="26"/>
        </w:rPr>
        <w:t xml:space="preserve">the </w:t>
      </w:r>
      <w:r w:rsidR="00057CC5" w:rsidRPr="00EE5714">
        <w:rPr>
          <w:rFonts w:ascii="Times New Roman" w:hAnsi="Times New Roman" w:cs="Times New Roman"/>
          <w:sz w:val="26"/>
          <w:szCs w:val="26"/>
        </w:rPr>
        <w:t>impacts</w:t>
      </w:r>
      <w:r w:rsidR="00945049" w:rsidRPr="00EE5714">
        <w:rPr>
          <w:rFonts w:ascii="Times New Roman" w:hAnsi="Times New Roman" w:cs="Times New Roman"/>
          <w:sz w:val="26"/>
          <w:szCs w:val="26"/>
        </w:rPr>
        <w:t xml:space="preserve"> associated with an energy burden change</w:t>
      </w:r>
      <w:r w:rsidR="00BC4651" w:rsidRPr="00EE5714">
        <w:rPr>
          <w:rFonts w:ascii="Times New Roman" w:hAnsi="Times New Roman" w:cs="Times New Roman"/>
          <w:sz w:val="26"/>
          <w:szCs w:val="26"/>
        </w:rPr>
        <w:t xml:space="preserve"> </w:t>
      </w:r>
      <w:r w:rsidR="00E2526A" w:rsidRPr="00EE5714">
        <w:rPr>
          <w:rFonts w:ascii="Times New Roman" w:hAnsi="Times New Roman" w:cs="Times New Roman"/>
          <w:sz w:val="26"/>
          <w:szCs w:val="26"/>
        </w:rPr>
        <w:t>(</w:t>
      </w:r>
      <w:r w:rsidR="00E2526A" w:rsidRPr="00EE5714">
        <w:rPr>
          <w:rFonts w:ascii="Times New Roman" w:hAnsi="Times New Roman" w:cs="Times New Roman"/>
          <w:i/>
          <w:iCs/>
          <w:sz w:val="26"/>
          <w:szCs w:val="26"/>
        </w:rPr>
        <w:t>e.g.</w:t>
      </w:r>
      <w:r w:rsidR="00945049" w:rsidRPr="00EE5714">
        <w:rPr>
          <w:rFonts w:ascii="Times New Roman" w:hAnsi="Times New Roman" w:cs="Times New Roman"/>
          <w:sz w:val="26"/>
          <w:szCs w:val="26"/>
        </w:rPr>
        <w:t>,</w:t>
      </w:r>
      <w:r w:rsidR="005D5773" w:rsidRPr="00EE5714">
        <w:rPr>
          <w:rFonts w:ascii="Times New Roman" w:hAnsi="Times New Roman" w:cs="Times New Roman"/>
          <w:sz w:val="26"/>
          <w:szCs w:val="26"/>
        </w:rPr>
        <w:t xml:space="preserve"> </w:t>
      </w:r>
      <w:r w:rsidR="00057CC5" w:rsidRPr="00EE5714">
        <w:rPr>
          <w:rFonts w:ascii="Times New Roman" w:hAnsi="Times New Roman" w:cs="Times New Roman"/>
          <w:sz w:val="26"/>
          <w:szCs w:val="26"/>
        </w:rPr>
        <w:t xml:space="preserve">costs of </w:t>
      </w:r>
      <w:r w:rsidR="000700C1" w:rsidRPr="00EE5714">
        <w:rPr>
          <w:rFonts w:ascii="Times New Roman" w:hAnsi="Times New Roman" w:cs="Times New Roman"/>
          <w:sz w:val="26"/>
          <w:szCs w:val="26"/>
        </w:rPr>
        <w:t>implementing a system change,</w:t>
      </w:r>
      <w:r w:rsidR="00945049" w:rsidRPr="00EE5714">
        <w:rPr>
          <w:rFonts w:ascii="Times New Roman" w:hAnsi="Times New Roman" w:cs="Times New Roman"/>
          <w:sz w:val="26"/>
          <w:szCs w:val="26"/>
        </w:rPr>
        <w:t xml:space="preserve"> </w:t>
      </w:r>
      <w:r w:rsidR="005D5773" w:rsidRPr="00EE5714">
        <w:rPr>
          <w:rFonts w:ascii="Times New Roman" w:hAnsi="Times New Roman" w:cs="Times New Roman"/>
          <w:sz w:val="26"/>
          <w:szCs w:val="26"/>
        </w:rPr>
        <w:t>whether rate discount pricing might be better for some CAP customers</w:t>
      </w:r>
      <w:r w:rsidR="00C547F5" w:rsidRPr="00EE5714">
        <w:rPr>
          <w:rFonts w:ascii="Times New Roman" w:hAnsi="Times New Roman" w:cs="Times New Roman"/>
          <w:sz w:val="26"/>
          <w:szCs w:val="26"/>
        </w:rPr>
        <w:t>, etc.)</w:t>
      </w:r>
      <w:r w:rsidR="005D5773" w:rsidRPr="00EE5714">
        <w:rPr>
          <w:rFonts w:ascii="Times New Roman" w:hAnsi="Times New Roman" w:cs="Times New Roman"/>
          <w:sz w:val="26"/>
          <w:szCs w:val="26"/>
        </w:rPr>
        <w:t>.</w:t>
      </w:r>
      <w:r w:rsidR="004F1C2A" w:rsidRPr="00EE5714">
        <w:rPr>
          <w:rFonts w:ascii="Times New Roman" w:hAnsi="Times New Roman" w:cs="Times New Roman"/>
          <w:sz w:val="26"/>
          <w:szCs w:val="26"/>
        </w:rPr>
        <w:t xml:space="preserve">  Furthe</w:t>
      </w:r>
      <w:r w:rsidR="00867F9A" w:rsidRPr="00EE5714">
        <w:rPr>
          <w:rFonts w:ascii="Times New Roman" w:hAnsi="Times New Roman" w:cs="Times New Roman"/>
          <w:sz w:val="26"/>
          <w:szCs w:val="26"/>
        </w:rPr>
        <w:t>r</w:t>
      </w:r>
      <w:r w:rsidR="004F1C2A" w:rsidRPr="00EE5714">
        <w:rPr>
          <w:rFonts w:ascii="Times New Roman" w:hAnsi="Times New Roman" w:cs="Times New Roman"/>
          <w:sz w:val="26"/>
          <w:szCs w:val="26"/>
        </w:rPr>
        <w:t xml:space="preserve">, the </w:t>
      </w:r>
      <w:r w:rsidR="009D3F68" w:rsidRPr="00EE5714">
        <w:rPr>
          <w:rFonts w:ascii="Times New Roman" w:hAnsi="Times New Roman" w:cs="Times New Roman"/>
          <w:sz w:val="26"/>
          <w:szCs w:val="26"/>
        </w:rPr>
        <w:t xml:space="preserve">staff forecast </w:t>
      </w:r>
      <w:r w:rsidR="00867F9A" w:rsidRPr="00EE5714">
        <w:rPr>
          <w:rFonts w:ascii="Times New Roman" w:hAnsi="Times New Roman" w:cs="Times New Roman"/>
          <w:sz w:val="26"/>
          <w:szCs w:val="26"/>
        </w:rPr>
        <w:t xml:space="preserve">does not consider the possibility of </w:t>
      </w:r>
      <w:r w:rsidR="00903060" w:rsidRPr="00EE5714">
        <w:rPr>
          <w:rFonts w:ascii="Times New Roman" w:hAnsi="Times New Roman" w:cs="Times New Roman"/>
          <w:sz w:val="26"/>
          <w:szCs w:val="26"/>
        </w:rPr>
        <w:t xml:space="preserve">a reduction in </w:t>
      </w:r>
      <w:r w:rsidR="00867F9A" w:rsidRPr="00EE5714">
        <w:rPr>
          <w:rFonts w:ascii="Times New Roman" w:hAnsi="Times New Roman" w:cs="Times New Roman"/>
          <w:sz w:val="26"/>
          <w:szCs w:val="26"/>
        </w:rPr>
        <w:t>CAP c</w:t>
      </w:r>
      <w:r w:rsidR="00903060" w:rsidRPr="00EE5714">
        <w:rPr>
          <w:rFonts w:ascii="Times New Roman" w:hAnsi="Times New Roman" w:cs="Times New Roman"/>
          <w:sz w:val="26"/>
          <w:szCs w:val="26"/>
        </w:rPr>
        <w:t xml:space="preserve">redits </w:t>
      </w:r>
      <w:r w:rsidR="00C86C61" w:rsidRPr="00EE5714">
        <w:rPr>
          <w:rFonts w:ascii="Times New Roman" w:hAnsi="Times New Roman" w:cs="Times New Roman"/>
          <w:sz w:val="26"/>
          <w:szCs w:val="26"/>
        </w:rPr>
        <w:t xml:space="preserve">resulting from </w:t>
      </w:r>
      <w:r w:rsidR="00867F9A" w:rsidRPr="00EE5714">
        <w:rPr>
          <w:rFonts w:ascii="Times New Roman" w:hAnsi="Times New Roman" w:cs="Times New Roman"/>
          <w:sz w:val="26"/>
          <w:szCs w:val="26"/>
        </w:rPr>
        <w:t xml:space="preserve">increased </w:t>
      </w:r>
      <w:r w:rsidR="00BA30C6" w:rsidRPr="00EE5714">
        <w:rPr>
          <w:rFonts w:ascii="Times New Roman" w:hAnsi="Times New Roman" w:cs="Times New Roman"/>
          <w:sz w:val="26"/>
          <w:szCs w:val="26"/>
        </w:rPr>
        <w:t xml:space="preserve">payments </w:t>
      </w:r>
      <w:r w:rsidR="00867F9A" w:rsidRPr="00EE5714">
        <w:rPr>
          <w:rFonts w:ascii="Times New Roman" w:hAnsi="Times New Roman" w:cs="Times New Roman"/>
          <w:sz w:val="26"/>
          <w:szCs w:val="26"/>
        </w:rPr>
        <w:t>fr</w:t>
      </w:r>
      <w:r w:rsidR="00BA30C6" w:rsidRPr="00EE5714">
        <w:rPr>
          <w:rFonts w:ascii="Times New Roman" w:hAnsi="Times New Roman" w:cs="Times New Roman"/>
          <w:sz w:val="26"/>
          <w:szCs w:val="26"/>
        </w:rPr>
        <w:t>om</w:t>
      </w:r>
      <w:r w:rsidR="00867F9A" w:rsidRPr="00EE5714">
        <w:rPr>
          <w:rFonts w:ascii="Times New Roman" w:hAnsi="Times New Roman" w:cs="Times New Roman"/>
          <w:sz w:val="26"/>
          <w:szCs w:val="26"/>
        </w:rPr>
        <w:t xml:space="preserve"> </w:t>
      </w:r>
      <w:r w:rsidR="00BA30C6" w:rsidRPr="00EE5714">
        <w:rPr>
          <w:rFonts w:ascii="Times New Roman" w:hAnsi="Times New Roman" w:cs="Times New Roman"/>
          <w:sz w:val="26"/>
          <w:szCs w:val="26"/>
        </w:rPr>
        <w:t xml:space="preserve">those CAP </w:t>
      </w:r>
      <w:r w:rsidR="00867F9A" w:rsidRPr="00EE5714">
        <w:rPr>
          <w:rFonts w:ascii="Times New Roman" w:hAnsi="Times New Roman" w:cs="Times New Roman"/>
          <w:sz w:val="26"/>
          <w:szCs w:val="26"/>
        </w:rPr>
        <w:t xml:space="preserve">customers who </w:t>
      </w:r>
      <w:r w:rsidR="00502705" w:rsidRPr="00EE5714">
        <w:rPr>
          <w:rFonts w:ascii="Times New Roman" w:hAnsi="Times New Roman" w:cs="Times New Roman"/>
          <w:sz w:val="26"/>
          <w:szCs w:val="26"/>
        </w:rPr>
        <w:t>currently have less than a 10%</w:t>
      </w:r>
      <w:r w:rsidR="00B02896" w:rsidRPr="00EE5714">
        <w:rPr>
          <w:rFonts w:ascii="Times New Roman" w:hAnsi="Times New Roman" w:cs="Times New Roman"/>
          <w:sz w:val="26"/>
          <w:szCs w:val="26"/>
        </w:rPr>
        <w:t> </w:t>
      </w:r>
      <w:r w:rsidR="00502705" w:rsidRPr="00EE5714">
        <w:rPr>
          <w:rFonts w:ascii="Times New Roman" w:hAnsi="Times New Roman" w:cs="Times New Roman"/>
          <w:sz w:val="26"/>
          <w:szCs w:val="26"/>
        </w:rPr>
        <w:t>energy burden</w:t>
      </w:r>
      <w:r w:rsidR="00187440" w:rsidRPr="00EE5714">
        <w:rPr>
          <w:rFonts w:ascii="Times New Roman" w:hAnsi="Times New Roman" w:cs="Times New Roman"/>
          <w:sz w:val="26"/>
          <w:szCs w:val="26"/>
        </w:rPr>
        <w:t xml:space="preserve">. </w:t>
      </w:r>
    </w:p>
    <w:p w14:paraId="02B8B61B" w14:textId="77777777" w:rsidR="00717DCD" w:rsidRPr="00EE5714" w:rsidRDefault="00717DCD" w:rsidP="008A3918">
      <w:pPr>
        <w:spacing w:after="0" w:line="240" w:lineRule="auto"/>
        <w:ind w:firstLine="720"/>
        <w:rPr>
          <w:rFonts w:ascii="Times New Roman" w:hAnsi="Times New Roman" w:cs="Times New Roman"/>
          <w:color w:val="2F5496" w:themeColor="accent1" w:themeShade="BF"/>
          <w:sz w:val="26"/>
          <w:szCs w:val="26"/>
        </w:rPr>
      </w:pPr>
    </w:p>
    <w:p w14:paraId="032ECC5B" w14:textId="77777777" w:rsidR="008B74CD" w:rsidRPr="00EE5714" w:rsidRDefault="00A8745F" w:rsidP="00A66D61">
      <w:pPr>
        <w:spacing w:after="0" w:line="240" w:lineRule="auto"/>
        <w:ind w:firstLine="720"/>
        <w:rPr>
          <w:rFonts w:ascii="Times New Roman" w:hAnsi="Times New Roman" w:cs="Times New Roman"/>
          <w:color w:val="0D0D0D" w:themeColor="text1" w:themeTint="F2"/>
          <w:sz w:val="26"/>
          <w:szCs w:val="26"/>
        </w:rPr>
      </w:pPr>
      <w:r w:rsidRPr="00EE5714">
        <w:rPr>
          <w:rFonts w:ascii="Times New Roman" w:hAnsi="Times New Roman" w:cs="Times New Roman"/>
          <w:color w:val="0D0D0D" w:themeColor="text1" w:themeTint="F2"/>
          <w:sz w:val="26"/>
          <w:szCs w:val="26"/>
        </w:rPr>
        <w:t>S</w:t>
      </w:r>
      <w:r w:rsidR="004A01A7" w:rsidRPr="00EE5714">
        <w:rPr>
          <w:rFonts w:ascii="Times New Roman" w:hAnsi="Times New Roman" w:cs="Times New Roman"/>
          <w:color w:val="0D0D0D" w:themeColor="text1" w:themeTint="F2"/>
          <w:sz w:val="26"/>
          <w:szCs w:val="26"/>
        </w:rPr>
        <w:t xml:space="preserve">taff </w:t>
      </w:r>
      <w:r w:rsidRPr="00EE5714">
        <w:rPr>
          <w:rFonts w:ascii="Times New Roman" w:hAnsi="Times New Roman" w:cs="Times New Roman"/>
          <w:color w:val="0D0D0D" w:themeColor="text1" w:themeTint="F2"/>
          <w:sz w:val="26"/>
          <w:szCs w:val="26"/>
        </w:rPr>
        <w:t>further</w:t>
      </w:r>
      <w:r w:rsidR="004A01A7" w:rsidRPr="00EE5714">
        <w:rPr>
          <w:rFonts w:ascii="Times New Roman" w:hAnsi="Times New Roman" w:cs="Times New Roman"/>
          <w:color w:val="0D0D0D" w:themeColor="text1" w:themeTint="F2"/>
          <w:sz w:val="26"/>
          <w:szCs w:val="26"/>
        </w:rPr>
        <w:t xml:space="preserve"> notes that</w:t>
      </w:r>
      <w:r w:rsidR="000A1E95" w:rsidRPr="00EE5714">
        <w:rPr>
          <w:rFonts w:ascii="Times New Roman" w:hAnsi="Times New Roman" w:cs="Times New Roman"/>
          <w:color w:val="0D0D0D" w:themeColor="text1" w:themeTint="F2"/>
          <w:sz w:val="26"/>
          <w:szCs w:val="26"/>
        </w:rPr>
        <w:t xml:space="preserve">, in addition to changes </w:t>
      </w:r>
      <w:r w:rsidR="00271DCD" w:rsidRPr="00EE5714">
        <w:rPr>
          <w:rFonts w:ascii="Times New Roman" w:hAnsi="Times New Roman" w:cs="Times New Roman"/>
          <w:color w:val="0D0D0D" w:themeColor="text1" w:themeTint="F2"/>
          <w:sz w:val="26"/>
          <w:szCs w:val="26"/>
        </w:rPr>
        <w:t xml:space="preserve">implemented </w:t>
      </w:r>
      <w:r w:rsidR="000A1E95" w:rsidRPr="00EE5714">
        <w:rPr>
          <w:rFonts w:ascii="Times New Roman" w:hAnsi="Times New Roman" w:cs="Times New Roman"/>
          <w:color w:val="0D0D0D" w:themeColor="text1" w:themeTint="F2"/>
          <w:sz w:val="26"/>
          <w:szCs w:val="26"/>
        </w:rPr>
        <w:t>during the study time frame,</w:t>
      </w:r>
      <w:r w:rsidR="004A01A7" w:rsidRPr="00EE5714">
        <w:rPr>
          <w:rFonts w:ascii="Times New Roman" w:hAnsi="Times New Roman" w:cs="Times New Roman"/>
          <w:color w:val="0D0D0D" w:themeColor="text1" w:themeTint="F2"/>
          <w:sz w:val="26"/>
          <w:szCs w:val="26"/>
        </w:rPr>
        <w:t xml:space="preserve"> </w:t>
      </w:r>
      <w:r w:rsidR="00271DCD" w:rsidRPr="00EE5714">
        <w:rPr>
          <w:rFonts w:ascii="Times New Roman" w:hAnsi="Times New Roman" w:cs="Times New Roman"/>
          <w:color w:val="0D0D0D" w:themeColor="text1" w:themeTint="F2"/>
          <w:sz w:val="26"/>
          <w:szCs w:val="26"/>
        </w:rPr>
        <w:t xml:space="preserve">utilities </w:t>
      </w:r>
      <w:r w:rsidR="005870AC" w:rsidRPr="00EE5714">
        <w:rPr>
          <w:rFonts w:ascii="Times New Roman" w:hAnsi="Times New Roman" w:cs="Times New Roman"/>
          <w:color w:val="0D0D0D" w:themeColor="text1" w:themeTint="F2"/>
          <w:sz w:val="26"/>
          <w:szCs w:val="26"/>
        </w:rPr>
        <w:t xml:space="preserve">have </w:t>
      </w:r>
      <w:r w:rsidR="000A1E95" w:rsidRPr="00EE5714">
        <w:rPr>
          <w:rFonts w:ascii="Times New Roman" w:hAnsi="Times New Roman" w:cs="Times New Roman"/>
          <w:color w:val="0D0D0D" w:themeColor="text1" w:themeTint="F2"/>
          <w:sz w:val="26"/>
          <w:szCs w:val="26"/>
        </w:rPr>
        <w:t xml:space="preserve">also </w:t>
      </w:r>
      <w:r w:rsidR="00271DCD" w:rsidRPr="00EE5714">
        <w:rPr>
          <w:rFonts w:ascii="Times New Roman" w:hAnsi="Times New Roman" w:cs="Times New Roman"/>
          <w:color w:val="0D0D0D" w:themeColor="text1" w:themeTint="F2"/>
          <w:sz w:val="26"/>
          <w:szCs w:val="26"/>
        </w:rPr>
        <w:t xml:space="preserve">implemented </w:t>
      </w:r>
      <w:r w:rsidR="00112E48" w:rsidRPr="00EE5714">
        <w:rPr>
          <w:rFonts w:ascii="Times New Roman" w:hAnsi="Times New Roman" w:cs="Times New Roman"/>
          <w:color w:val="0D0D0D" w:themeColor="text1" w:themeTint="F2"/>
          <w:sz w:val="26"/>
          <w:szCs w:val="26"/>
        </w:rPr>
        <w:t xml:space="preserve">changes in </w:t>
      </w:r>
      <w:r w:rsidR="00271DCD" w:rsidRPr="00EE5714">
        <w:rPr>
          <w:rFonts w:ascii="Times New Roman" w:hAnsi="Times New Roman" w:cs="Times New Roman"/>
          <w:color w:val="0D0D0D" w:themeColor="text1" w:themeTint="F2"/>
          <w:sz w:val="26"/>
          <w:szCs w:val="26"/>
        </w:rPr>
        <w:t xml:space="preserve">their </w:t>
      </w:r>
      <w:r w:rsidR="00112E48" w:rsidRPr="00EE5714">
        <w:rPr>
          <w:rFonts w:ascii="Times New Roman" w:hAnsi="Times New Roman" w:cs="Times New Roman"/>
          <w:color w:val="0D0D0D" w:themeColor="text1" w:themeTint="F2"/>
          <w:sz w:val="26"/>
          <w:szCs w:val="26"/>
        </w:rPr>
        <w:t xml:space="preserve">CAPs </w:t>
      </w:r>
      <w:r w:rsidR="00291852" w:rsidRPr="00EE5714">
        <w:rPr>
          <w:rFonts w:ascii="Times New Roman" w:hAnsi="Times New Roman" w:cs="Times New Roman"/>
          <w:color w:val="0D0D0D" w:themeColor="text1" w:themeTint="F2"/>
          <w:sz w:val="26"/>
          <w:szCs w:val="26"/>
        </w:rPr>
        <w:t xml:space="preserve">and other universal service programs </w:t>
      </w:r>
      <w:r w:rsidR="00112E48" w:rsidRPr="00EE5714">
        <w:rPr>
          <w:rFonts w:ascii="Times New Roman" w:hAnsi="Times New Roman" w:cs="Times New Roman"/>
          <w:color w:val="0D0D0D" w:themeColor="text1" w:themeTint="F2"/>
          <w:sz w:val="26"/>
          <w:szCs w:val="26"/>
        </w:rPr>
        <w:t xml:space="preserve">since </w:t>
      </w:r>
      <w:r w:rsidR="00FA47B1" w:rsidRPr="00EE5714">
        <w:rPr>
          <w:rFonts w:ascii="Times New Roman" w:hAnsi="Times New Roman" w:cs="Times New Roman"/>
          <w:color w:val="0D0D0D" w:themeColor="text1" w:themeTint="F2"/>
          <w:sz w:val="26"/>
          <w:szCs w:val="26"/>
        </w:rPr>
        <w:t>2016</w:t>
      </w:r>
      <w:r w:rsidR="005870AC" w:rsidRPr="00EE5714">
        <w:rPr>
          <w:rFonts w:ascii="Times New Roman" w:hAnsi="Times New Roman" w:cs="Times New Roman"/>
          <w:color w:val="0D0D0D" w:themeColor="text1" w:themeTint="F2"/>
          <w:sz w:val="26"/>
          <w:szCs w:val="26"/>
        </w:rPr>
        <w:t xml:space="preserve">.  </w:t>
      </w:r>
      <w:r w:rsidR="00DB67E8" w:rsidRPr="00EE5714">
        <w:rPr>
          <w:rFonts w:ascii="Times New Roman" w:hAnsi="Times New Roman" w:cs="Times New Roman"/>
          <w:color w:val="0D0D0D" w:themeColor="text1" w:themeTint="F2"/>
          <w:sz w:val="26"/>
          <w:szCs w:val="26"/>
        </w:rPr>
        <w:t>Such changes are on-going</w:t>
      </w:r>
      <w:r w:rsidR="00AA4188" w:rsidRPr="00EE5714">
        <w:rPr>
          <w:rFonts w:ascii="Times New Roman" w:hAnsi="Times New Roman" w:cs="Times New Roman"/>
          <w:color w:val="0D0D0D" w:themeColor="text1" w:themeTint="F2"/>
          <w:sz w:val="26"/>
          <w:szCs w:val="26"/>
        </w:rPr>
        <w:t xml:space="preserve"> and</w:t>
      </w:r>
      <w:r w:rsidR="005870AC" w:rsidRPr="00EE5714">
        <w:rPr>
          <w:rFonts w:ascii="Times New Roman" w:hAnsi="Times New Roman" w:cs="Times New Roman"/>
          <w:color w:val="0D0D0D" w:themeColor="text1" w:themeTint="F2"/>
          <w:sz w:val="26"/>
          <w:szCs w:val="26"/>
        </w:rPr>
        <w:t xml:space="preserve"> </w:t>
      </w:r>
      <w:r w:rsidR="00312B0A" w:rsidRPr="00EE5714">
        <w:rPr>
          <w:rFonts w:ascii="Times New Roman" w:hAnsi="Times New Roman" w:cs="Times New Roman"/>
          <w:color w:val="0D0D0D" w:themeColor="text1" w:themeTint="F2"/>
          <w:sz w:val="26"/>
          <w:szCs w:val="26"/>
        </w:rPr>
        <w:t xml:space="preserve">may </w:t>
      </w:r>
      <w:r w:rsidR="005870AC" w:rsidRPr="00EE5714">
        <w:rPr>
          <w:rFonts w:ascii="Times New Roman" w:hAnsi="Times New Roman" w:cs="Times New Roman"/>
          <w:color w:val="0D0D0D" w:themeColor="text1" w:themeTint="F2"/>
          <w:sz w:val="26"/>
          <w:szCs w:val="26"/>
        </w:rPr>
        <w:t xml:space="preserve">have an impact on the </w:t>
      </w:r>
      <w:r w:rsidR="00CA6B5F" w:rsidRPr="00EE5714">
        <w:rPr>
          <w:rFonts w:ascii="Times New Roman" w:hAnsi="Times New Roman" w:cs="Times New Roman"/>
          <w:color w:val="0D0D0D" w:themeColor="text1" w:themeTint="F2"/>
          <w:sz w:val="26"/>
          <w:szCs w:val="26"/>
        </w:rPr>
        <w:t>observations drawn</w:t>
      </w:r>
      <w:r w:rsidR="00915560" w:rsidRPr="00EE5714">
        <w:rPr>
          <w:rFonts w:ascii="Times New Roman" w:hAnsi="Times New Roman" w:cs="Times New Roman"/>
          <w:color w:val="0D0D0D" w:themeColor="text1" w:themeTint="F2"/>
          <w:sz w:val="26"/>
          <w:szCs w:val="26"/>
        </w:rPr>
        <w:t xml:space="preserve"> by this study</w:t>
      </w:r>
      <w:r w:rsidR="00CA6B5F" w:rsidRPr="00EE5714">
        <w:rPr>
          <w:rFonts w:ascii="Times New Roman" w:hAnsi="Times New Roman" w:cs="Times New Roman"/>
          <w:color w:val="0D0D0D" w:themeColor="text1" w:themeTint="F2"/>
          <w:sz w:val="26"/>
          <w:szCs w:val="26"/>
        </w:rPr>
        <w:t xml:space="preserve">.  </w:t>
      </w:r>
      <w:r w:rsidR="00F302E6" w:rsidRPr="00EE5714">
        <w:rPr>
          <w:rFonts w:ascii="Times New Roman" w:hAnsi="Times New Roman" w:cs="Times New Roman"/>
          <w:color w:val="0D0D0D" w:themeColor="text1" w:themeTint="F2"/>
          <w:sz w:val="26"/>
          <w:szCs w:val="26"/>
        </w:rPr>
        <w:t>I</w:t>
      </w:r>
      <w:r w:rsidR="00717DCD" w:rsidRPr="00EE5714">
        <w:rPr>
          <w:rFonts w:ascii="Times New Roman" w:hAnsi="Times New Roman" w:cs="Times New Roman"/>
          <w:color w:val="0D0D0D" w:themeColor="text1" w:themeTint="F2"/>
          <w:sz w:val="26"/>
          <w:szCs w:val="26"/>
        </w:rPr>
        <w:t xml:space="preserve">nspection of future data </w:t>
      </w:r>
      <w:r w:rsidR="004B2875" w:rsidRPr="00EE5714">
        <w:rPr>
          <w:rFonts w:ascii="Times New Roman" w:hAnsi="Times New Roman" w:cs="Times New Roman"/>
          <w:color w:val="0D0D0D" w:themeColor="text1" w:themeTint="F2"/>
          <w:sz w:val="26"/>
          <w:szCs w:val="26"/>
        </w:rPr>
        <w:t>may</w:t>
      </w:r>
      <w:r w:rsidR="00717DCD" w:rsidRPr="00EE5714">
        <w:rPr>
          <w:rFonts w:ascii="Times New Roman" w:hAnsi="Times New Roman" w:cs="Times New Roman"/>
          <w:color w:val="0D0D0D" w:themeColor="text1" w:themeTint="F2"/>
          <w:sz w:val="26"/>
          <w:szCs w:val="26"/>
        </w:rPr>
        <w:t xml:space="preserve"> substantiate trends as well as </w:t>
      </w:r>
      <w:r w:rsidR="001F46EA" w:rsidRPr="00EE5714">
        <w:rPr>
          <w:rFonts w:ascii="Times New Roman" w:hAnsi="Times New Roman" w:cs="Times New Roman"/>
          <w:color w:val="0D0D0D" w:themeColor="text1" w:themeTint="F2"/>
          <w:sz w:val="26"/>
          <w:szCs w:val="26"/>
        </w:rPr>
        <w:t>identify</w:t>
      </w:r>
      <w:r w:rsidR="00717DCD" w:rsidRPr="00EE5714">
        <w:rPr>
          <w:rFonts w:ascii="Times New Roman" w:hAnsi="Times New Roman" w:cs="Times New Roman"/>
          <w:color w:val="0D0D0D" w:themeColor="text1" w:themeTint="F2"/>
          <w:sz w:val="26"/>
          <w:szCs w:val="26"/>
        </w:rPr>
        <w:t xml:space="preserve"> the aspects of CAPs that appear to work well </w:t>
      </w:r>
      <w:r w:rsidR="003E4D3D" w:rsidRPr="00EE5714">
        <w:rPr>
          <w:rFonts w:ascii="Times New Roman" w:hAnsi="Times New Roman" w:cs="Times New Roman"/>
          <w:color w:val="0D0D0D" w:themeColor="text1" w:themeTint="F2"/>
          <w:sz w:val="26"/>
          <w:szCs w:val="26"/>
        </w:rPr>
        <w:t>or</w:t>
      </w:r>
      <w:r w:rsidR="00717DCD" w:rsidRPr="00EE5714">
        <w:rPr>
          <w:rFonts w:ascii="Times New Roman" w:hAnsi="Times New Roman" w:cs="Times New Roman"/>
          <w:color w:val="0D0D0D" w:themeColor="text1" w:themeTint="F2"/>
          <w:sz w:val="26"/>
          <w:szCs w:val="26"/>
        </w:rPr>
        <w:t xml:space="preserve"> that produce </w:t>
      </w:r>
      <w:r w:rsidR="003E4D3D" w:rsidRPr="00EE5714">
        <w:rPr>
          <w:rFonts w:ascii="Times New Roman" w:hAnsi="Times New Roman" w:cs="Times New Roman"/>
          <w:color w:val="0D0D0D" w:themeColor="text1" w:themeTint="F2"/>
          <w:sz w:val="26"/>
          <w:szCs w:val="26"/>
        </w:rPr>
        <w:t>better</w:t>
      </w:r>
      <w:r w:rsidR="00717DCD" w:rsidRPr="00EE5714">
        <w:rPr>
          <w:rFonts w:ascii="Times New Roman" w:hAnsi="Times New Roman" w:cs="Times New Roman"/>
          <w:color w:val="0D0D0D" w:themeColor="text1" w:themeTint="F2"/>
          <w:sz w:val="26"/>
          <w:szCs w:val="26"/>
        </w:rPr>
        <w:t xml:space="preserve"> customer outcomes.  Collection of valid data that can be compared across income levels, within industry groups, and between industry groups would increase the reliability of projections and </w:t>
      </w:r>
      <w:r w:rsidR="006A4344" w:rsidRPr="00EE5714">
        <w:rPr>
          <w:rFonts w:ascii="Times New Roman" w:hAnsi="Times New Roman" w:cs="Times New Roman"/>
          <w:color w:val="0D0D0D" w:themeColor="text1" w:themeTint="F2"/>
          <w:sz w:val="26"/>
          <w:szCs w:val="26"/>
        </w:rPr>
        <w:t xml:space="preserve">better evaluate </w:t>
      </w:r>
      <w:r w:rsidR="00717DCD" w:rsidRPr="00EE5714">
        <w:rPr>
          <w:rFonts w:ascii="Times New Roman" w:hAnsi="Times New Roman" w:cs="Times New Roman"/>
          <w:color w:val="0D0D0D" w:themeColor="text1" w:themeTint="F2"/>
          <w:sz w:val="26"/>
          <w:szCs w:val="26"/>
        </w:rPr>
        <w:t>the success of CAPs.</w:t>
      </w:r>
    </w:p>
    <w:p w14:paraId="3562686C" w14:textId="77777777" w:rsidR="008B74CD" w:rsidRPr="00EE5714" w:rsidRDefault="008B74CD" w:rsidP="00A66D61">
      <w:pPr>
        <w:spacing w:after="0" w:line="240" w:lineRule="auto"/>
        <w:ind w:firstLine="720"/>
        <w:rPr>
          <w:rFonts w:ascii="Times New Roman" w:hAnsi="Times New Roman" w:cs="Times New Roman"/>
          <w:b/>
          <w:bCs/>
          <w:color w:val="2F5496" w:themeColor="accent1" w:themeShade="BF"/>
          <w:sz w:val="26"/>
          <w:szCs w:val="26"/>
        </w:rPr>
      </w:pPr>
    </w:p>
    <w:p w14:paraId="1B4CCBE7" w14:textId="63FE19AE" w:rsidR="001C07CB" w:rsidRPr="00EE5714" w:rsidRDefault="00644872" w:rsidP="00A66D61">
      <w:pPr>
        <w:spacing w:after="0" w:line="240" w:lineRule="auto"/>
        <w:ind w:firstLine="720"/>
        <w:rPr>
          <w:rFonts w:ascii="Times New Roman" w:hAnsi="Times New Roman" w:cs="Times New Roman"/>
          <w:bCs/>
          <w:color w:val="2F5496" w:themeColor="accent1" w:themeShade="BF"/>
          <w:sz w:val="26"/>
          <w:szCs w:val="26"/>
        </w:rPr>
      </w:pPr>
      <w:r w:rsidRPr="00EE5714">
        <w:rPr>
          <w:rFonts w:ascii="Times New Roman" w:hAnsi="Times New Roman" w:cs="Times New Roman"/>
          <w:bCs/>
          <w:sz w:val="26"/>
          <w:szCs w:val="26"/>
        </w:rPr>
        <w:t xml:space="preserve">The appendices that follow </w:t>
      </w:r>
      <w:r w:rsidR="00461C66" w:rsidRPr="00EE5714">
        <w:rPr>
          <w:rFonts w:ascii="Times New Roman" w:hAnsi="Times New Roman" w:cs="Times New Roman"/>
          <w:bCs/>
          <w:sz w:val="26"/>
          <w:szCs w:val="26"/>
        </w:rPr>
        <w:t>provide more details on the data</w:t>
      </w:r>
      <w:r w:rsidR="00AF6BFA" w:rsidRPr="00EE5714">
        <w:rPr>
          <w:rFonts w:ascii="Times New Roman" w:hAnsi="Times New Roman" w:cs="Times New Roman"/>
          <w:bCs/>
          <w:sz w:val="26"/>
          <w:szCs w:val="26"/>
        </w:rPr>
        <w:t>,</w:t>
      </w:r>
      <w:r w:rsidR="00461C66" w:rsidRPr="00EE5714">
        <w:rPr>
          <w:rFonts w:ascii="Times New Roman" w:hAnsi="Times New Roman" w:cs="Times New Roman"/>
          <w:bCs/>
          <w:sz w:val="26"/>
          <w:szCs w:val="26"/>
        </w:rPr>
        <w:t xml:space="preserve"> third-party </w:t>
      </w:r>
      <w:r w:rsidR="00AF6BFA" w:rsidRPr="00EE5714">
        <w:rPr>
          <w:rFonts w:ascii="Times New Roman" w:hAnsi="Times New Roman" w:cs="Times New Roman"/>
          <w:bCs/>
          <w:sz w:val="26"/>
          <w:szCs w:val="26"/>
        </w:rPr>
        <w:t>articles, staff model</w:t>
      </w:r>
      <w:r w:rsidR="0007540B" w:rsidRPr="00EE5714">
        <w:rPr>
          <w:rFonts w:ascii="Times New Roman" w:hAnsi="Times New Roman" w:cs="Times New Roman"/>
          <w:bCs/>
          <w:sz w:val="26"/>
          <w:szCs w:val="26"/>
        </w:rPr>
        <w:t>s</w:t>
      </w:r>
      <w:r w:rsidR="00AF6BFA" w:rsidRPr="00EE5714">
        <w:rPr>
          <w:rFonts w:ascii="Times New Roman" w:hAnsi="Times New Roman" w:cs="Times New Roman"/>
          <w:bCs/>
          <w:sz w:val="26"/>
          <w:szCs w:val="26"/>
        </w:rPr>
        <w:t>, and demographics referenced in this staff report.</w:t>
      </w:r>
      <w:r w:rsidR="001C07CB" w:rsidRPr="00EE5714">
        <w:rPr>
          <w:rFonts w:ascii="Times New Roman" w:hAnsi="Times New Roman" w:cs="Times New Roman"/>
          <w:bCs/>
          <w:color w:val="2F5496" w:themeColor="accent1" w:themeShade="BF"/>
          <w:sz w:val="26"/>
          <w:szCs w:val="26"/>
        </w:rPr>
        <w:br w:type="page"/>
      </w:r>
    </w:p>
    <w:p w14:paraId="6C37127D" w14:textId="77777777" w:rsidR="006665D3" w:rsidRPr="00EE5714" w:rsidRDefault="006665D3" w:rsidP="00D16EAC">
      <w:pPr>
        <w:pStyle w:val="Heading1"/>
      </w:pPr>
      <w:bookmarkStart w:id="49" w:name="_Toc533674870"/>
      <w:bookmarkStart w:id="50" w:name="_Toc534547875"/>
      <w:r w:rsidRPr="00EE5714">
        <w:lastRenderedPageBreak/>
        <w:t>XII.</w:t>
      </w:r>
      <w:r w:rsidR="004A4E70" w:rsidRPr="00EE5714">
        <w:t xml:space="preserve">  </w:t>
      </w:r>
      <w:r w:rsidRPr="00EE5714">
        <w:t>Appendi</w:t>
      </w:r>
      <w:r w:rsidR="007A037D" w:rsidRPr="00EE5714">
        <w:t>ces</w:t>
      </w:r>
      <w:bookmarkEnd w:id="49"/>
      <w:bookmarkEnd w:id="50"/>
      <w:r w:rsidRPr="00EE5714">
        <w:t xml:space="preserve"> </w:t>
      </w:r>
    </w:p>
    <w:p w14:paraId="17CD40BF" w14:textId="77777777" w:rsidR="006665D3" w:rsidRPr="00EE5714" w:rsidRDefault="006665D3" w:rsidP="00684B70">
      <w:pPr>
        <w:spacing w:after="0" w:line="240" w:lineRule="auto"/>
        <w:rPr>
          <w:rFonts w:ascii="Times New Roman" w:hAnsi="Times New Roman" w:cs="Times New Roman"/>
          <w:b/>
          <w:color w:val="2F5496" w:themeColor="accent1" w:themeShade="BF"/>
          <w:sz w:val="26"/>
          <w:szCs w:val="26"/>
        </w:rPr>
      </w:pPr>
    </w:p>
    <w:p w14:paraId="38399244" w14:textId="77777777" w:rsidR="00F303E0" w:rsidRPr="00EE5714" w:rsidRDefault="00F303E0" w:rsidP="00F303E0">
      <w:pPr>
        <w:jc w:val="center"/>
        <w:rPr>
          <w:rFonts w:ascii="Times New Roman" w:hAnsi="Times New Roman" w:cs="Times New Roman"/>
          <w:b/>
          <w:color w:val="2F5496" w:themeColor="accent1" w:themeShade="BF"/>
          <w:sz w:val="26"/>
          <w:szCs w:val="26"/>
        </w:rPr>
      </w:pPr>
      <w:r w:rsidRPr="00EE5714">
        <w:rPr>
          <w:rFonts w:ascii="Times New Roman" w:hAnsi="Times New Roman" w:cs="Times New Roman"/>
          <w:b/>
          <w:color w:val="2F5496" w:themeColor="accent1" w:themeShade="BF"/>
          <w:sz w:val="26"/>
          <w:szCs w:val="26"/>
        </w:rPr>
        <w:t>Table of Appendices</w:t>
      </w:r>
    </w:p>
    <w:sdt>
      <w:sdtPr>
        <w:rPr>
          <w:rFonts w:ascii="Arial" w:eastAsiaTheme="minorHAnsi" w:hAnsi="Arial" w:cstheme="minorBidi"/>
          <w:b w:val="0"/>
          <w:color w:val="auto"/>
          <w:sz w:val="24"/>
          <w:szCs w:val="22"/>
        </w:rPr>
        <w:id w:val="-82841946"/>
        <w:docPartObj>
          <w:docPartGallery w:val="Table of Contents"/>
          <w:docPartUnique/>
        </w:docPartObj>
      </w:sdtPr>
      <w:sdtEndPr>
        <w:rPr>
          <w:rFonts w:asciiTheme="minorHAnsi" w:hAnsiTheme="minorHAnsi"/>
          <w:bCs/>
          <w:noProof/>
          <w:sz w:val="22"/>
        </w:rPr>
      </w:sdtEndPr>
      <w:sdtContent>
        <w:p w14:paraId="2187A6D8" w14:textId="22DFFCB7" w:rsidR="00AA5CC0" w:rsidRPr="00180FC6" w:rsidRDefault="00F303E0" w:rsidP="004C609C">
          <w:pPr>
            <w:pStyle w:val="TOCHeading"/>
            <w:rPr>
              <w:rFonts w:eastAsiaTheme="minorEastAsia" w:cs="Times New Roman"/>
              <w:noProof/>
              <w:szCs w:val="26"/>
            </w:rPr>
          </w:pPr>
          <w:r w:rsidRPr="00EE5714">
            <w:rPr>
              <w:rFonts w:cs="Times New Roman"/>
              <w:b w:val="0"/>
              <w:szCs w:val="26"/>
            </w:rPr>
            <w:fldChar w:fldCharType="begin"/>
          </w:r>
          <w:r w:rsidRPr="00EE5714">
            <w:rPr>
              <w:rFonts w:cs="Times New Roman"/>
              <w:b w:val="0"/>
              <w:szCs w:val="26"/>
            </w:rPr>
            <w:instrText xml:space="preserve"> TOC \o "1-3" \h \z \u </w:instrText>
          </w:r>
          <w:r w:rsidRPr="00EE5714">
            <w:rPr>
              <w:rFonts w:cs="Times New Roman"/>
              <w:b w:val="0"/>
              <w:szCs w:val="26"/>
            </w:rPr>
            <w:fldChar w:fldCharType="separate"/>
          </w:r>
        </w:p>
        <w:p w14:paraId="6C186D34" w14:textId="4F29042E" w:rsidR="00AA5CC0" w:rsidRPr="00180FC6" w:rsidRDefault="00AF5D0A" w:rsidP="0034056A">
          <w:pPr>
            <w:pStyle w:val="TOC2"/>
            <w:rPr>
              <w:b/>
              <w:noProof/>
            </w:rPr>
          </w:pPr>
          <w:hyperlink w:anchor="_Toc533674871" w:history="1">
            <w:r w:rsidR="00AA5CC0" w:rsidRPr="00180FC6">
              <w:rPr>
                <w:rStyle w:val="Hyperlink"/>
                <w:rFonts w:ascii="Times New Roman" w:hAnsi="Times New Roman"/>
                <w:b/>
                <w:noProof/>
                <w:sz w:val="26"/>
                <w:szCs w:val="26"/>
                <w:u w:val="none"/>
              </w:rPr>
              <w:t>Appendix 1</w:t>
            </w:r>
            <w:r w:rsidR="00B54903" w:rsidRPr="00180FC6">
              <w:rPr>
                <w:rStyle w:val="Hyperlink"/>
                <w:rFonts w:ascii="Times New Roman" w:hAnsi="Times New Roman"/>
                <w:b/>
                <w:noProof/>
                <w:sz w:val="26"/>
                <w:szCs w:val="26"/>
                <w:u w:val="none"/>
              </w:rPr>
              <w:t xml:space="preserve"> – NGDC and EDC Demographic Profiles</w:t>
            </w:r>
            <w:r w:rsidR="00AA5CC0" w:rsidRPr="00180FC6">
              <w:rPr>
                <w:b/>
                <w:noProof/>
                <w:webHidden/>
              </w:rPr>
              <w:tab/>
            </w:r>
            <w:r w:rsidR="00AA5CC0" w:rsidRPr="00180FC6">
              <w:rPr>
                <w:b/>
                <w:noProof/>
                <w:webHidden/>
              </w:rPr>
              <w:fldChar w:fldCharType="begin"/>
            </w:r>
            <w:r w:rsidR="00AA5CC0" w:rsidRPr="00180FC6">
              <w:rPr>
                <w:b/>
                <w:noProof/>
                <w:webHidden/>
              </w:rPr>
              <w:instrText xml:space="preserve"> PAGEREF _Toc533674871 \h </w:instrText>
            </w:r>
            <w:r w:rsidR="00AA5CC0" w:rsidRPr="00180FC6">
              <w:rPr>
                <w:b/>
                <w:noProof/>
                <w:webHidden/>
              </w:rPr>
            </w:r>
            <w:r w:rsidR="00AA5CC0" w:rsidRPr="00180FC6">
              <w:rPr>
                <w:b/>
                <w:noProof/>
                <w:webHidden/>
              </w:rPr>
              <w:fldChar w:fldCharType="separate"/>
            </w:r>
            <w:r w:rsidR="00180FC6" w:rsidRPr="00180FC6">
              <w:rPr>
                <w:b/>
                <w:noProof/>
                <w:webHidden/>
              </w:rPr>
              <w:t>i</w:t>
            </w:r>
            <w:r w:rsidR="00AA5CC0" w:rsidRPr="00180FC6">
              <w:rPr>
                <w:b/>
                <w:noProof/>
                <w:webHidden/>
              </w:rPr>
              <w:fldChar w:fldCharType="end"/>
            </w:r>
          </w:hyperlink>
        </w:p>
        <w:p w14:paraId="002261B3" w14:textId="457A1FE6" w:rsidR="00AA5CC0" w:rsidRPr="00180FC6" w:rsidRDefault="00AF5D0A" w:rsidP="0034056A">
          <w:pPr>
            <w:pStyle w:val="TOC2"/>
            <w:rPr>
              <w:b/>
              <w:noProof/>
            </w:rPr>
          </w:pPr>
          <w:hyperlink w:anchor="_Toc533674872" w:history="1">
            <w:r w:rsidR="00AA5CC0" w:rsidRPr="00180FC6">
              <w:rPr>
                <w:rStyle w:val="Hyperlink"/>
                <w:rFonts w:ascii="Times New Roman" w:hAnsi="Times New Roman"/>
                <w:b/>
                <w:noProof/>
                <w:sz w:val="26"/>
                <w:szCs w:val="26"/>
                <w:u w:val="none"/>
              </w:rPr>
              <w:t>Appendix 2</w:t>
            </w:r>
            <w:r w:rsidR="00B54903" w:rsidRPr="00180FC6">
              <w:rPr>
                <w:rStyle w:val="Hyperlink"/>
                <w:rFonts w:ascii="Times New Roman" w:hAnsi="Times New Roman"/>
                <w:b/>
                <w:noProof/>
                <w:sz w:val="26"/>
                <w:szCs w:val="26"/>
                <w:u w:val="none"/>
              </w:rPr>
              <w:t xml:space="preserve"> – </w:t>
            </w:r>
            <w:r w:rsidR="00AA5CC0" w:rsidRPr="00180FC6">
              <w:rPr>
                <w:rStyle w:val="Hyperlink"/>
                <w:rFonts w:ascii="Times New Roman" w:hAnsi="Times New Roman"/>
                <w:b/>
                <w:noProof/>
                <w:sz w:val="26"/>
                <w:szCs w:val="26"/>
                <w:u w:val="none"/>
              </w:rPr>
              <w:t>Energy Burdens for Gas and Electric Service</w:t>
            </w:r>
            <w:r w:rsidR="00AA5CC0" w:rsidRPr="00180FC6">
              <w:rPr>
                <w:b/>
                <w:noProof/>
                <w:webHidden/>
              </w:rPr>
              <w:tab/>
            </w:r>
            <w:r w:rsidR="00AA5CC0" w:rsidRPr="00180FC6">
              <w:rPr>
                <w:b/>
                <w:noProof/>
                <w:webHidden/>
              </w:rPr>
              <w:fldChar w:fldCharType="begin"/>
            </w:r>
            <w:r w:rsidR="00AA5CC0" w:rsidRPr="00180FC6">
              <w:rPr>
                <w:rFonts w:ascii="Times New Roman" w:hAnsi="Times New Roman"/>
                <w:b/>
                <w:noProof/>
                <w:webHidden/>
                <w:sz w:val="26"/>
                <w:szCs w:val="26"/>
              </w:rPr>
              <w:instrText xml:space="preserve"> PAGEREF _Toc533674872 \h </w:instrText>
            </w:r>
            <w:r w:rsidR="00AA5CC0" w:rsidRPr="00180FC6">
              <w:rPr>
                <w:b/>
                <w:noProof/>
                <w:webHidden/>
              </w:rPr>
            </w:r>
            <w:r w:rsidR="00AA5CC0" w:rsidRPr="00180FC6">
              <w:rPr>
                <w:b/>
                <w:noProof/>
                <w:webHidden/>
              </w:rPr>
              <w:fldChar w:fldCharType="separate"/>
            </w:r>
            <w:r w:rsidR="00180FC6" w:rsidRPr="00180FC6">
              <w:rPr>
                <w:rFonts w:ascii="Times New Roman" w:hAnsi="Times New Roman"/>
                <w:b/>
                <w:noProof/>
                <w:webHidden/>
                <w:sz w:val="26"/>
                <w:szCs w:val="26"/>
              </w:rPr>
              <w:t>xv</w:t>
            </w:r>
            <w:r w:rsidR="00AA5CC0" w:rsidRPr="00180FC6">
              <w:rPr>
                <w:b/>
                <w:noProof/>
                <w:webHidden/>
              </w:rPr>
              <w:fldChar w:fldCharType="end"/>
            </w:r>
          </w:hyperlink>
        </w:p>
        <w:p w14:paraId="420AC29B" w14:textId="46055A36" w:rsidR="00AA5CC0" w:rsidRPr="00180FC6" w:rsidRDefault="00AF5D0A" w:rsidP="0034056A">
          <w:pPr>
            <w:pStyle w:val="TOC2"/>
            <w:rPr>
              <w:b/>
              <w:noProof/>
            </w:rPr>
          </w:pPr>
          <w:hyperlink w:anchor="_Toc533674873" w:history="1">
            <w:r w:rsidR="00AA5CC0" w:rsidRPr="00180FC6">
              <w:rPr>
                <w:rStyle w:val="Hyperlink"/>
                <w:rFonts w:ascii="Times New Roman" w:hAnsi="Times New Roman"/>
                <w:b/>
                <w:noProof/>
                <w:sz w:val="26"/>
                <w:szCs w:val="26"/>
                <w:u w:val="none"/>
              </w:rPr>
              <w:t>Appendix 3</w:t>
            </w:r>
            <w:r w:rsidR="00B54903" w:rsidRPr="00180FC6">
              <w:rPr>
                <w:rStyle w:val="Hyperlink"/>
                <w:rFonts w:ascii="Times New Roman" w:hAnsi="Times New Roman"/>
                <w:b/>
                <w:noProof/>
                <w:sz w:val="26"/>
                <w:szCs w:val="26"/>
                <w:u w:val="none"/>
              </w:rPr>
              <w:t xml:space="preserve"> – </w:t>
            </w:r>
            <w:r w:rsidR="00AA5CC0" w:rsidRPr="00180FC6">
              <w:rPr>
                <w:rStyle w:val="Hyperlink"/>
                <w:rFonts w:ascii="Times New Roman" w:hAnsi="Times New Roman"/>
                <w:b/>
                <w:noProof/>
                <w:sz w:val="26"/>
                <w:szCs w:val="26"/>
                <w:u w:val="none"/>
              </w:rPr>
              <w:t>Impact of LIHEAP Grants on Energy Burden Levels</w:t>
            </w:r>
            <w:r w:rsidR="00AA5CC0" w:rsidRPr="00180FC6">
              <w:rPr>
                <w:b/>
                <w:noProof/>
                <w:webHidden/>
              </w:rPr>
              <w:tab/>
            </w:r>
            <w:r w:rsidR="00AA5CC0" w:rsidRPr="00180FC6">
              <w:rPr>
                <w:b/>
                <w:noProof/>
                <w:webHidden/>
              </w:rPr>
              <w:fldChar w:fldCharType="begin"/>
            </w:r>
            <w:r w:rsidR="00AA5CC0" w:rsidRPr="00180FC6">
              <w:rPr>
                <w:b/>
                <w:noProof/>
                <w:webHidden/>
              </w:rPr>
              <w:instrText xml:space="preserve"> PAGEREF _Toc533674873 \h </w:instrText>
            </w:r>
            <w:r w:rsidR="00AA5CC0" w:rsidRPr="00180FC6">
              <w:rPr>
                <w:b/>
                <w:noProof/>
                <w:webHidden/>
              </w:rPr>
            </w:r>
            <w:r w:rsidR="00AA5CC0" w:rsidRPr="00180FC6">
              <w:rPr>
                <w:b/>
                <w:noProof/>
                <w:webHidden/>
              </w:rPr>
              <w:fldChar w:fldCharType="separate"/>
            </w:r>
            <w:r w:rsidR="00180FC6" w:rsidRPr="00180FC6">
              <w:rPr>
                <w:b/>
                <w:noProof/>
                <w:webHidden/>
              </w:rPr>
              <w:t>xxiii</w:t>
            </w:r>
            <w:r w:rsidR="00AA5CC0" w:rsidRPr="00180FC6">
              <w:rPr>
                <w:b/>
                <w:noProof/>
                <w:webHidden/>
              </w:rPr>
              <w:fldChar w:fldCharType="end"/>
            </w:r>
          </w:hyperlink>
        </w:p>
        <w:p w14:paraId="31D87F17" w14:textId="2379AC4A" w:rsidR="00AA5CC0" w:rsidRPr="00180FC6" w:rsidRDefault="00AF5D0A" w:rsidP="0034056A">
          <w:pPr>
            <w:pStyle w:val="TOC2"/>
            <w:rPr>
              <w:b/>
              <w:noProof/>
            </w:rPr>
          </w:pPr>
          <w:hyperlink w:anchor="_Toc533674874" w:history="1">
            <w:r w:rsidR="00AA5CC0" w:rsidRPr="00180FC6">
              <w:rPr>
                <w:rStyle w:val="Hyperlink"/>
                <w:rFonts w:ascii="Times New Roman" w:hAnsi="Times New Roman"/>
                <w:b/>
                <w:noProof/>
                <w:sz w:val="26"/>
                <w:szCs w:val="26"/>
                <w:u w:val="none"/>
              </w:rPr>
              <w:t>Appendix 4</w:t>
            </w:r>
            <w:r w:rsidR="00C2180A" w:rsidRPr="00180FC6">
              <w:rPr>
                <w:rStyle w:val="Hyperlink"/>
                <w:rFonts w:ascii="Times New Roman" w:hAnsi="Times New Roman"/>
                <w:b/>
                <w:noProof/>
                <w:sz w:val="26"/>
                <w:szCs w:val="26"/>
                <w:u w:val="none"/>
              </w:rPr>
              <w:t xml:space="preserve"> – </w:t>
            </w:r>
            <w:r w:rsidR="00AA5CC0" w:rsidRPr="00180FC6">
              <w:rPr>
                <w:rStyle w:val="Hyperlink"/>
                <w:rFonts w:ascii="Times New Roman" w:hAnsi="Times New Roman"/>
                <w:b/>
                <w:noProof/>
                <w:sz w:val="26"/>
                <w:szCs w:val="26"/>
                <w:u w:val="none"/>
              </w:rPr>
              <w:t>Pre-Program Arrearages and In-Program Arrears</w:t>
            </w:r>
            <w:r w:rsidR="00AA5CC0" w:rsidRPr="00180FC6">
              <w:rPr>
                <w:b/>
                <w:noProof/>
                <w:webHidden/>
              </w:rPr>
              <w:tab/>
            </w:r>
            <w:r w:rsidR="00AA5CC0" w:rsidRPr="00180FC6">
              <w:rPr>
                <w:b/>
                <w:noProof/>
                <w:webHidden/>
              </w:rPr>
              <w:fldChar w:fldCharType="begin"/>
            </w:r>
            <w:r w:rsidR="00AA5CC0" w:rsidRPr="00180FC6">
              <w:rPr>
                <w:b/>
                <w:noProof/>
                <w:webHidden/>
              </w:rPr>
              <w:instrText xml:space="preserve"> PAGEREF _Toc533674874 \h </w:instrText>
            </w:r>
            <w:r w:rsidR="00AA5CC0" w:rsidRPr="00180FC6">
              <w:rPr>
                <w:b/>
                <w:noProof/>
                <w:webHidden/>
              </w:rPr>
            </w:r>
            <w:r w:rsidR="00AA5CC0" w:rsidRPr="00180FC6">
              <w:rPr>
                <w:b/>
                <w:noProof/>
                <w:webHidden/>
              </w:rPr>
              <w:fldChar w:fldCharType="separate"/>
            </w:r>
            <w:r w:rsidR="00180FC6" w:rsidRPr="00180FC6">
              <w:rPr>
                <w:b/>
                <w:noProof/>
                <w:webHidden/>
              </w:rPr>
              <w:t>xxxiii</w:t>
            </w:r>
            <w:r w:rsidR="00AA5CC0" w:rsidRPr="00180FC6">
              <w:rPr>
                <w:b/>
                <w:noProof/>
                <w:webHidden/>
              </w:rPr>
              <w:fldChar w:fldCharType="end"/>
            </w:r>
          </w:hyperlink>
        </w:p>
        <w:p w14:paraId="599061DB" w14:textId="44CE9FCD" w:rsidR="00AA5CC0" w:rsidRPr="00180FC6" w:rsidRDefault="00AF5D0A" w:rsidP="0034056A">
          <w:pPr>
            <w:pStyle w:val="TOC2"/>
            <w:rPr>
              <w:b/>
              <w:noProof/>
            </w:rPr>
          </w:pPr>
          <w:hyperlink w:anchor="_Toc533674875" w:history="1">
            <w:r w:rsidR="00AA5CC0" w:rsidRPr="00180FC6">
              <w:rPr>
                <w:rStyle w:val="Hyperlink"/>
                <w:rFonts w:ascii="Times New Roman" w:hAnsi="Times New Roman"/>
                <w:b/>
                <w:noProof/>
                <w:sz w:val="26"/>
                <w:szCs w:val="26"/>
                <w:u w:val="none"/>
              </w:rPr>
              <w:t>Appendix 5</w:t>
            </w:r>
            <w:r w:rsidR="00C2180A" w:rsidRPr="00180FC6">
              <w:rPr>
                <w:rStyle w:val="Hyperlink"/>
                <w:rFonts w:ascii="Times New Roman" w:hAnsi="Times New Roman"/>
                <w:b/>
                <w:noProof/>
                <w:sz w:val="26"/>
                <w:szCs w:val="26"/>
                <w:u w:val="none"/>
              </w:rPr>
              <w:t xml:space="preserve"> – </w:t>
            </w:r>
            <w:r w:rsidR="00AA5CC0" w:rsidRPr="00180FC6">
              <w:rPr>
                <w:rStyle w:val="Hyperlink"/>
                <w:rFonts w:ascii="Times New Roman" w:hAnsi="Times New Roman"/>
                <w:b/>
                <w:noProof/>
                <w:sz w:val="26"/>
                <w:szCs w:val="26"/>
                <w:u w:val="none"/>
              </w:rPr>
              <w:t>Percentage of CAP Bills Paid In-Full</w:t>
            </w:r>
            <w:r w:rsidR="00AA5CC0" w:rsidRPr="00180FC6">
              <w:rPr>
                <w:b/>
                <w:noProof/>
                <w:webHidden/>
              </w:rPr>
              <w:tab/>
            </w:r>
            <w:r w:rsidR="00AA5CC0" w:rsidRPr="00180FC6">
              <w:rPr>
                <w:b/>
                <w:noProof/>
                <w:webHidden/>
              </w:rPr>
              <w:fldChar w:fldCharType="begin"/>
            </w:r>
            <w:r w:rsidR="00AA5CC0" w:rsidRPr="00180FC6">
              <w:rPr>
                <w:b/>
                <w:noProof/>
                <w:webHidden/>
              </w:rPr>
              <w:instrText xml:space="preserve"> PAGEREF _Toc533674875 \h </w:instrText>
            </w:r>
            <w:r w:rsidR="00AA5CC0" w:rsidRPr="00180FC6">
              <w:rPr>
                <w:b/>
                <w:noProof/>
                <w:webHidden/>
              </w:rPr>
            </w:r>
            <w:r w:rsidR="00AA5CC0" w:rsidRPr="00180FC6">
              <w:rPr>
                <w:b/>
                <w:noProof/>
                <w:webHidden/>
              </w:rPr>
              <w:fldChar w:fldCharType="separate"/>
            </w:r>
            <w:r w:rsidR="00180FC6" w:rsidRPr="00180FC6">
              <w:rPr>
                <w:b/>
                <w:noProof/>
                <w:webHidden/>
              </w:rPr>
              <w:t>xxxv</w:t>
            </w:r>
            <w:r w:rsidR="00AA5CC0" w:rsidRPr="00180FC6">
              <w:rPr>
                <w:b/>
                <w:noProof/>
                <w:webHidden/>
              </w:rPr>
              <w:fldChar w:fldCharType="end"/>
            </w:r>
          </w:hyperlink>
        </w:p>
        <w:p w14:paraId="1306F9DC" w14:textId="065AA8F9" w:rsidR="00AA5CC0" w:rsidRPr="00180FC6" w:rsidRDefault="00AF5D0A" w:rsidP="0034056A">
          <w:pPr>
            <w:pStyle w:val="TOC2"/>
            <w:rPr>
              <w:b/>
              <w:noProof/>
            </w:rPr>
          </w:pPr>
          <w:hyperlink w:anchor="_Toc533674876" w:history="1">
            <w:r w:rsidR="00AA5CC0" w:rsidRPr="00180FC6">
              <w:rPr>
                <w:rStyle w:val="Hyperlink"/>
                <w:rFonts w:ascii="Times New Roman" w:hAnsi="Times New Roman"/>
                <w:b/>
                <w:noProof/>
                <w:sz w:val="26"/>
                <w:szCs w:val="26"/>
                <w:u w:val="none"/>
              </w:rPr>
              <w:t>Appendix 6</w:t>
            </w:r>
            <w:r w:rsidR="00C2180A" w:rsidRPr="00180FC6">
              <w:rPr>
                <w:rStyle w:val="Hyperlink"/>
                <w:rFonts w:ascii="Times New Roman" w:hAnsi="Times New Roman"/>
                <w:b/>
                <w:noProof/>
                <w:sz w:val="26"/>
                <w:szCs w:val="26"/>
                <w:u w:val="none"/>
              </w:rPr>
              <w:t xml:space="preserve"> – </w:t>
            </w:r>
            <w:r w:rsidR="00AA5CC0" w:rsidRPr="00180FC6">
              <w:rPr>
                <w:rStyle w:val="Hyperlink"/>
                <w:rFonts w:ascii="Times New Roman" w:hAnsi="Times New Roman"/>
                <w:b/>
                <w:noProof/>
                <w:sz w:val="26"/>
                <w:szCs w:val="26"/>
                <w:u w:val="none"/>
              </w:rPr>
              <w:t>CAP Default Exit and Termination Rates</w:t>
            </w:r>
            <w:r w:rsidR="00AA5CC0" w:rsidRPr="00180FC6">
              <w:rPr>
                <w:b/>
                <w:noProof/>
                <w:webHidden/>
              </w:rPr>
              <w:tab/>
            </w:r>
            <w:r w:rsidR="00AA5CC0" w:rsidRPr="00180FC6">
              <w:rPr>
                <w:b/>
                <w:noProof/>
                <w:webHidden/>
              </w:rPr>
              <w:fldChar w:fldCharType="begin"/>
            </w:r>
            <w:r w:rsidR="00AA5CC0" w:rsidRPr="00180FC6">
              <w:rPr>
                <w:b/>
                <w:noProof/>
                <w:webHidden/>
              </w:rPr>
              <w:instrText xml:space="preserve"> PAGEREF _Toc533674876 \h </w:instrText>
            </w:r>
            <w:r w:rsidR="00AA5CC0" w:rsidRPr="00180FC6">
              <w:rPr>
                <w:b/>
                <w:noProof/>
                <w:webHidden/>
              </w:rPr>
            </w:r>
            <w:r w:rsidR="00AA5CC0" w:rsidRPr="00180FC6">
              <w:rPr>
                <w:b/>
                <w:noProof/>
                <w:webHidden/>
              </w:rPr>
              <w:fldChar w:fldCharType="separate"/>
            </w:r>
            <w:r w:rsidR="00180FC6" w:rsidRPr="00180FC6">
              <w:rPr>
                <w:b/>
                <w:noProof/>
                <w:webHidden/>
              </w:rPr>
              <w:t>xlvii</w:t>
            </w:r>
            <w:r w:rsidR="00AA5CC0" w:rsidRPr="00180FC6">
              <w:rPr>
                <w:b/>
                <w:noProof/>
                <w:webHidden/>
              </w:rPr>
              <w:fldChar w:fldCharType="end"/>
            </w:r>
          </w:hyperlink>
        </w:p>
        <w:p w14:paraId="0DAC2499" w14:textId="187792E4" w:rsidR="00AA5CC0" w:rsidRPr="00180FC6" w:rsidRDefault="00AF5D0A" w:rsidP="0034056A">
          <w:pPr>
            <w:pStyle w:val="TOC2"/>
            <w:rPr>
              <w:b/>
              <w:noProof/>
            </w:rPr>
          </w:pPr>
          <w:hyperlink w:anchor="_Toc533674877" w:history="1">
            <w:r w:rsidR="00AA5CC0" w:rsidRPr="00180FC6">
              <w:rPr>
                <w:rStyle w:val="Hyperlink"/>
                <w:rFonts w:ascii="Times New Roman" w:hAnsi="Times New Roman"/>
                <w:b/>
                <w:noProof/>
                <w:sz w:val="26"/>
                <w:szCs w:val="26"/>
                <w:u w:val="none"/>
              </w:rPr>
              <w:t>Appendix 7</w:t>
            </w:r>
            <w:r w:rsidR="00C2180A" w:rsidRPr="00180FC6">
              <w:rPr>
                <w:rStyle w:val="Hyperlink"/>
                <w:rFonts w:ascii="Times New Roman" w:hAnsi="Times New Roman"/>
                <w:b/>
                <w:noProof/>
                <w:sz w:val="26"/>
                <w:szCs w:val="26"/>
                <w:u w:val="none"/>
              </w:rPr>
              <w:t xml:space="preserve"> – </w:t>
            </w:r>
            <w:r w:rsidR="00AA5CC0" w:rsidRPr="00180FC6">
              <w:rPr>
                <w:rStyle w:val="Hyperlink"/>
                <w:rFonts w:ascii="Times New Roman" w:hAnsi="Times New Roman"/>
                <w:b/>
                <w:noProof/>
                <w:sz w:val="26"/>
                <w:szCs w:val="26"/>
                <w:u w:val="none"/>
              </w:rPr>
              <w:t>Non-CAP Residential and Confirmed Low-Income (CLI) Customer Debt</w:t>
            </w:r>
            <w:r w:rsidR="00AA5CC0" w:rsidRPr="00180FC6">
              <w:rPr>
                <w:b/>
                <w:noProof/>
                <w:webHidden/>
              </w:rPr>
              <w:tab/>
            </w:r>
            <w:r w:rsidR="00AA5CC0" w:rsidRPr="00180FC6">
              <w:rPr>
                <w:b/>
                <w:noProof/>
                <w:webHidden/>
              </w:rPr>
              <w:fldChar w:fldCharType="begin"/>
            </w:r>
            <w:r w:rsidR="00AA5CC0" w:rsidRPr="00180FC6">
              <w:rPr>
                <w:b/>
                <w:noProof/>
                <w:webHidden/>
              </w:rPr>
              <w:instrText xml:space="preserve"> PAGEREF _Toc533674877 \h </w:instrText>
            </w:r>
            <w:r w:rsidR="00AA5CC0" w:rsidRPr="00180FC6">
              <w:rPr>
                <w:b/>
                <w:noProof/>
                <w:webHidden/>
              </w:rPr>
            </w:r>
            <w:r w:rsidR="00AA5CC0" w:rsidRPr="00180FC6">
              <w:rPr>
                <w:b/>
                <w:noProof/>
                <w:webHidden/>
              </w:rPr>
              <w:fldChar w:fldCharType="separate"/>
            </w:r>
            <w:r w:rsidR="00180FC6" w:rsidRPr="00180FC6">
              <w:rPr>
                <w:b/>
                <w:noProof/>
                <w:webHidden/>
              </w:rPr>
              <w:t>liii</w:t>
            </w:r>
            <w:r w:rsidR="00AA5CC0" w:rsidRPr="00180FC6">
              <w:rPr>
                <w:b/>
                <w:noProof/>
                <w:webHidden/>
              </w:rPr>
              <w:fldChar w:fldCharType="end"/>
            </w:r>
          </w:hyperlink>
        </w:p>
        <w:p w14:paraId="2004B37D" w14:textId="6E5770DC" w:rsidR="00AA5CC0" w:rsidRPr="00180FC6" w:rsidRDefault="00AF5D0A" w:rsidP="0034056A">
          <w:pPr>
            <w:pStyle w:val="TOC2"/>
            <w:rPr>
              <w:b/>
              <w:noProof/>
            </w:rPr>
          </w:pPr>
          <w:hyperlink w:anchor="_Toc533674878" w:history="1">
            <w:r w:rsidR="00AA5CC0" w:rsidRPr="00180FC6">
              <w:rPr>
                <w:rStyle w:val="Hyperlink"/>
                <w:rFonts w:ascii="Times New Roman" w:hAnsi="Times New Roman"/>
                <w:b/>
                <w:noProof/>
                <w:sz w:val="26"/>
                <w:szCs w:val="26"/>
                <w:u w:val="none"/>
              </w:rPr>
              <w:t>Appendix 8</w:t>
            </w:r>
            <w:r w:rsidR="00C2180A" w:rsidRPr="00180FC6">
              <w:rPr>
                <w:rStyle w:val="Hyperlink"/>
                <w:rFonts w:ascii="Times New Roman" w:hAnsi="Times New Roman"/>
                <w:b/>
                <w:noProof/>
                <w:sz w:val="26"/>
                <w:szCs w:val="26"/>
                <w:u w:val="none"/>
              </w:rPr>
              <w:t xml:space="preserve"> – State Survey Responses</w:t>
            </w:r>
            <w:r w:rsidR="00AA5CC0" w:rsidRPr="00180FC6">
              <w:rPr>
                <w:b/>
                <w:noProof/>
                <w:webHidden/>
              </w:rPr>
              <w:tab/>
            </w:r>
            <w:r w:rsidR="00AA5CC0" w:rsidRPr="00180FC6">
              <w:rPr>
                <w:b/>
                <w:noProof/>
                <w:webHidden/>
              </w:rPr>
              <w:fldChar w:fldCharType="begin"/>
            </w:r>
            <w:r w:rsidR="00AA5CC0" w:rsidRPr="00180FC6">
              <w:rPr>
                <w:rFonts w:ascii="Times New Roman" w:hAnsi="Times New Roman"/>
                <w:b/>
                <w:noProof/>
                <w:webHidden/>
                <w:sz w:val="26"/>
                <w:szCs w:val="26"/>
              </w:rPr>
              <w:instrText xml:space="preserve"> PAGEREF _Toc533674878 \h </w:instrText>
            </w:r>
            <w:r w:rsidR="00AA5CC0" w:rsidRPr="00180FC6">
              <w:rPr>
                <w:b/>
                <w:noProof/>
                <w:webHidden/>
              </w:rPr>
            </w:r>
            <w:r w:rsidR="00AA5CC0" w:rsidRPr="00180FC6">
              <w:rPr>
                <w:b/>
                <w:noProof/>
                <w:webHidden/>
              </w:rPr>
              <w:fldChar w:fldCharType="separate"/>
            </w:r>
            <w:r w:rsidR="00180FC6" w:rsidRPr="00180FC6">
              <w:rPr>
                <w:rFonts w:ascii="Times New Roman" w:hAnsi="Times New Roman"/>
                <w:b/>
                <w:noProof/>
                <w:webHidden/>
                <w:sz w:val="26"/>
                <w:szCs w:val="26"/>
              </w:rPr>
              <w:t>lviii</w:t>
            </w:r>
            <w:r w:rsidR="00AA5CC0" w:rsidRPr="00180FC6">
              <w:rPr>
                <w:b/>
                <w:noProof/>
                <w:webHidden/>
              </w:rPr>
              <w:fldChar w:fldCharType="end"/>
            </w:r>
          </w:hyperlink>
        </w:p>
        <w:p w14:paraId="6F6674D6" w14:textId="1E5D64B4" w:rsidR="00AA5CC0" w:rsidRPr="00EE5714" w:rsidRDefault="00AF5D0A" w:rsidP="0034056A">
          <w:pPr>
            <w:pStyle w:val="TOC2"/>
            <w:rPr>
              <w:noProof/>
            </w:rPr>
          </w:pPr>
          <w:hyperlink w:anchor="_Toc533674879" w:history="1">
            <w:r w:rsidR="00AA5CC0" w:rsidRPr="00180FC6">
              <w:rPr>
                <w:rStyle w:val="Hyperlink"/>
                <w:rFonts w:ascii="Times New Roman" w:hAnsi="Times New Roman"/>
                <w:b/>
                <w:noProof/>
                <w:sz w:val="26"/>
                <w:szCs w:val="26"/>
                <w:u w:val="none"/>
              </w:rPr>
              <w:t>Appendix 9</w:t>
            </w:r>
            <w:r w:rsidR="00C2180A" w:rsidRPr="00180FC6">
              <w:rPr>
                <w:rStyle w:val="Hyperlink"/>
                <w:rFonts w:ascii="Times New Roman" w:hAnsi="Times New Roman"/>
                <w:b/>
                <w:noProof/>
                <w:sz w:val="26"/>
                <w:szCs w:val="26"/>
                <w:u w:val="none"/>
              </w:rPr>
              <w:t xml:space="preserve"> – </w:t>
            </w:r>
            <w:r w:rsidR="00AA5CC0" w:rsidRPr="00180FC6">
              <w:rPr>
                <w:rStyle w:val="Hyperlink"/>
                <w:rFonts w:ascii="Times New Roman" w:hAnsi="Times New Roman"/>
                <w:b/>
                <w:noProof/>
                <w:sz w:val="26"/>
                <w:szCs w:val="26"/>
                <w:u w:val="none"/>
              </w:rPr>
              <w:t>CAP Costs and Forecasts</w:t>
            </w:r>
            <w:r w:rsidR="00AA5CC0" w:rsidRPr="00180FC6">
              <w:rPr>
                <w:b/>
                <w:noProof/>
                <w:webHidden/>
              </w:rPr>
              <w:tab/>
            </w:r>
            <w:r w:rsidR="00AA5CC0" w:rsidRPr="00180FC6">
              <w:rPr>
                <w:b/>
                <w:noProof/>
                <w:webHidden/>
              </w:rPr>
              <w:fldChar w:fldCharType="begin"/>
            </w:r>
            <w:r w:rsidR="00AA5CC0" w:rsidRPr="00180FC6">
              <w:rPr>
                <w:rFonts w:ascii="Times New Roman" w:hAnsi="Times New Roman"/>
                <w:b/>
                <w:noProof/>
                <w:webHidden/>
                <w:sz w:val="26"/>
                <w:szCs w:val="26"/>
              </w:rPr>
              <w:instrText xml:space="preserve"> PAGEREF _Toc533674879 \h </w:instrText>
            </w:r>
            <w:r w:rsidR="00AA5CC0" w:rsidRPr="00180FC6">
              <w:rPr>
                <w:b/>
                <w:noProof/>
                <w:webHidden/>
              </w:rPr>
            </w:r>
            <w:r w:rsidR="00AA5CC0" w:rsidRPr="00180FC6">
              <w:rPr>
                <w:b/>
                <w:noProof/>
                <w:webHidden/>
              </w:rPr>
              <w:fldChar w:fldCharType="separate"/>
            </w:r>
            <w:r w:rsidR="00180FC6" w:rsidRPr="00180FC6">
              <w:rPr>
                <w:rFonts w:ascii="Times New Roman" w:hAnsi="Times New Roman"/>
                <w:b/>
                <w:noProof/>
                <w:webHidden/>
                <w:sz w:val="26"/>
                <w:szCs w:val="26"/>
              </w:rPr>
              <w:t>lxviii</w:t>
            </w:r>
            <w:r w:rsidR="00AA5CC0" w:rsidRPr="00180FC6">
              <w:rPr>
                <w:b/>
                <w:noProof/>
                <w:webHidden/>
              </w:rPr>
              <w:fldChar w:fldCharType="end"/>
            </w:r>
          </w:hyperlink>
        </w:p>
        <w:p w14:paraId="163F0163" w14:textId="55EF5078" w:rsidR="00F303E0" w:rsidRPr="00EE5714" w:rsidRDefault="00F303E0" w:rsidP="00F303E0">
          <w:pPr>
            <w:spacing w:line="360" w:lineRule="auto"/>
          </w:pPr>
          <w:r w:rsidRPr="00EE5714">
            <w:rPr>
              <w:rFonts w:ascii="Times New Roman" w:hAnsi="Times New Roman" w:cs="Times New Roman"/>
              <w:b/>
              <w:bCs/>
              <w:noProof/>
              <w:sz w:val="26"/>
              <w:szCs w:val="26"/>
            </w:rPr>
            <w:fldChar w:fldCharType="end"/>
          </w:r>
        </w:p>
      </w:sdtContent>
    </w:sdt>
    <w:p w14:paraId="0A24E8D8" w14:textId="77777777" w:rsidR="00F303E0" w:rsidRPr="00EE5714" w:rsidRDefault="00F303E0" w:rsidP="00F303E0">
      <w:pPr>
        <w:spacing w:line="360" w:lineRule="auto"/>
        <w:rPr>
          <w:rFonts w:ascii="Times New Roman" w:hAnsi="Times New Roman" w:cs="Times New Roman"/>
          <w:b/>
          <w:color w:val="2F5496" w:themeColor="accent1" w:themeShade="BF"/>
          <w:sz w:val="26"/>
          <w:szCs w:val="26"/>
        </w:rPr>
      </w:pPr>
    </w:p>
    <w:p w14:paraId="45054A96" w14:textId="77777777" w:rsidR="00F303E0" w:rsidRPr="00EE5714" w:rsidRDefault="00F303E0" w:rsidP="00F303E0">
      <w:pPr>
        <w:rPr>
          <w:rFonts w:ascii="Times New Roman" w:hAnsi="Times New Roman" w:cs="Times New Roman"/>
          <w:b/>
          <w:color w:val="2F5496" w:themeColor="accent1" w:themeShade="BF"/>
          <w:sz w:val="26"/>
          <w:szCs w:val="26"/>
        </w:rPr>
        <w:sectPr w:rsidR="00F303E0" w:rsidRPr="00EE5714" w:rsidSect="00784385">
          <w:footerReference w:type="default" r:id="rId80"/>
          <w:footerReference w:type="first" r:id="rId81"/>
          <w:pgSz w:w="12240" w:h="15840" w:code="1"/>
          <w:pgMar w:top="0" w:right="1440" w:bottom="0" w:left="1440" w:header="720" w:footer="720" w:gutter="0"/>
          <w:pgNumType w:start="0"/>
          <w:cols w:space="720"/>
          <w:docGrid w:linePitch="360"/>
        </w:sectPr>
      </w:pPr>
    </w:p>
    <w:p w14:paraId="019B0A4D" w14:textId="00CE82CA" w:rsidR="00B10C9B" w:rsidRPr="00EE5714" w:rsidRDefault="00B10C9B" w:rsidP="00F86EE8">
      <w:pPr>
        <w:pStyle w:val="Heading2"/>
      </w:pPr>
      <w:bookmarkStart w:id="51" w:name="_Toc533674871"/>
      <w:bookmarkStart w:id="52" w:name="_Toc534547876"/>
      <w:r w:rsidRPr="00EE5714">
        <w:lastRenderedPageBreak/>
        <w:t xml:space="preserve">Appendix 1 – </w:t>
      </w:r>
      <w:bookmarkEnd w:id="51"/>
      <w:r w:rsidR="00CF0A71" w:rsidRPr="00EE5714">
        <w:t>NGDC and EDC Demographic Profiles</w:t>
      </w:r>
      <w:bookmarkEnd w:id="52"/>
    </w:p>
    <w:p w14:paraId="33E6D3C3" w14:textId="77777777" w:rsidR="00B10C9B" w:rsidRPr="00EE5714" w:rsidRDefault="00B10C9B" w:rsidP="00F303E0">
      <w:pPr>
        <w:pStyle w:val="Heading2"/>
      </w:pPr>
    </w:p>
    <w:p w14:paraId="3956A4A0" w14:textId="77777777" w:rsidR="00B10C9B" w:rsidRPr="00EE5714" w:rsidRDefault="000F5F32" w:rsidP="004D1D94">
      <w:pPr>
        <w:pStyle w:val="NoSpacing"/>
      </w:pPr>
      <w:r w:rsidRPr="00EE5714">
        <w:t xml:space="preserve">Appendix 1.A: </w:t>
      </w:r>
      <w:r w:rsidR="00BB38FC" w:rsidRPr="00EE5714">
        <w:t>NGDC</w:t>
      </w:r>
      <w:r w:rsidR="00F618F5" w:rsidRPr="00EE5714">
        <w:t xml:space="preserve"> </w:t>
      </w:r>
      <w:r w:rsidR="00DC7213" w:rsidRPr="00EE5714">
        <w:t>Service Territory Demographic Profile</w:t>
      </w:r>
      <w:r w:rsidR="00EE2332" w:rsidRPr="00EE5714">
        <w:t>s</w:t>
      </w:r>
    </w:p>
    <w:p w14:paraId="4BF669B9" w14:textId="77777777" w:rsidR="0079243A" w:rsidRPr="00931F16" w:rsidRDefault="0079243A" w:rsidP="0079243A">
      <w:pPr>
        <w:rPr>
          <w:rFonts w:ascii="Times New Roman" w:hAnsi="Times New Roman" w:cs="Times New Roman"/>
          <w:sz w:val="26"/>
          <w:szCs w:val="26"/>
        </w:rPr>
      </w:pPr>
    </w:p>
    <w:p w14:paraId="4742CD67" w14:textId="6CDE06FA" w:rsidR="0079243A" w:rsidRPr="00EE5714" w:rsidRDefault="0079243A" w:rsidP="0079243A">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This </w:t>
      </w:r>
      <w:r w:rsidR="00E34453">
        <w:rPr>
          <w:rFonts w:ascii="Times New Roman" w:hAnsi="Times New Roman" w:cs="Times New Roman"/>
          <w:sz w:val="26"/>
          <w:szCs w:val="26"/>
        </w:rPr>
        <w:t>Appendix</w:t>
      </w:r>
      <w:r w:rsidRPr="00EE5714">
        <w:rPr>
          <w:rFonts w:ascii="Times New Roman" w:hAnsi="Times New Roman" w:cs="Times New Roman"/>
          <w:sz w:val="26"/>
          <w:szCs w:val="26"/>
        </w:rPr>
        <w:t xml:space="preserve"> provides a</w:t>
      </w:r>
      <w:r w:rsidR="00630810" w:rsidRPr="00EE5714">
        <w:rPr>
          <w:rFonts w:ascii="Times New Roman" w:hAnsi="Times New Roman" w:cs="Times New Roman"/>
          <w:sz w:val="26"/>
          <w:szCs w:val="26"/>
        </w:rPr>
        <w:t xml:space="preserve"> demographic profile</w:t>
      </w:r>
      <w:r w:rsidRPr="00EE5714">
        <w:rPr>
          <w:rFonts w:ascii="Times New Roman" w:hAnsi="Times New Roman" w:cs="Times New Roman"/>
          <w:sz w:val="26"/>
          <w:szCs w:val="26"/>
        </w:rPr>
        <w:t xml:space="preserve"> </w:t>
      </w:r>
      <w:r w:rsidR="00630810" w:rsidRPr="00EE5714">
        <w:rPr>
          <w:rFonts w:ascii="Times New Roman" w:hAnsi="Times New Roman" w:cs="Times New Roman"/>
          <w:sz w:val="26"/>
          <w:szCs w:val="26"/>
        </w:rPr>
        <w:t>of</w:t>
      </w:r>
      <w:r w:rsidRPr="00EE5714">
        <w:rPr>
          <w:rFonts w:ascii="Times New Roman" w:hAnsi="Times New Roman" w:cs="Times New Roman"/>
          <w:sz w:val="26"/>
          <w:szCs w:val="26"/>
        </w:rPr>
        <w:t xml:space="preserve"> each EDC and NGDC service </w:t>
      </w:r>
      <w:r w:rsidR="00695CE6" w:rsidRPr="00EE5714">
        <w:rPr>
          <w:rFonts w:ascii="Times New Roman" w:hAnsi="Times New Roman" w:cs="Times New Roman"/>
          <w:sz w:val="26"/>
          <w:szCs w:val="26"/>
        </w:rPr>
        <w:t>territory</w:t>
      </w:r>
      <w:r w:rsidRPr="00EE5714">
        <w:rPr>
          <w:rFonts w:ascii="Times New Roman" w:hAnsi="Times New Roman" w:cs="Times New Roman"/>
          <w:sz w:val="26"/>
          <w:szCs w:val="26"/>
        </w:rPr>
        <w:t xml:space="preserve">.  In many cases, the jurisdictional boundary of a utility’s service territory does not match municipal and county boundaries.  The demographic data is not based on utility service area boundaries </w:t>
      </w:r>
    </w:p>
    <w:p w14:paraId="68CEB12C" w14:textId="77777777" w:rsidR="0079243A" w:rsidRPr="00EE5714" w:rsidRDefault="0079243A" w:rsidP="0079243A">
      <w:pPr>
        <w:spacing w:after="0" w:line="240" w:lineRule="auto"/>
        <w:ind w:firstLine="720"/>
        <w:contextualSpacing/>
        <w:rPr>
          <w:rFonts w:ascii="Times New Roman" w:hAnsi="Times New Roman" w:cs="Times New Roman"/>
          <w:sz w:val="26"/>
          <w:szCs w:val="26"/>
        </w:rPr>
      </w:pPr>
    </w:p>
    <w:p w14:paraId="5C6FCD22" w14:textId="77777777" w:rsidR="0079243A" w:rsidRPr="00EE5714" w:rsidRDefault="0079243A" w:rsidP="0079243A">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Staff worked with Pennsylvania Spatial Data Access (PASDA) to create a census-based profile for each utility, based on a service area Geographic Information System (GIS) layer provided to the Commission by the utilities.  PASDA utilized the GIS service area layers along with data from the Environmental Systems Research Institute (</w:t>
      </w:r>
      <w:proofErr w:type="spellStart"/>
      <w:r w:rsidRPr="00EE5714">
        <w:rPr>
          <w:rFonts w:ascii="Times New Roman" w:hAnsi="Times New Roman" w:cs="Times New Roman"/>
          <w:sz w:val="26"/>
          <w:szCs w:val="26"/>
        </w:rPr>
        <w:t>Esri</w:t>
      </w:r>
      <w:proofErr w:type="spellEnd"/>
      <w:r w:rsidRPr="00EE5714">
        <w:rPr>
          <w:rFonts w:ascii="Times New Roman" w:hAnsi="Times New Roman" w:cs="Times New Roman"/>
          <w:sz w:val="26"/>
          <w:szCs w:val="26"/>
        </w:rPr>
        <w:t>) and the American Community Survey (ACS).  The demographic data provided for each utility is data from the latest ACS survey (2012-2016) unless otherwise noted.  The ACS demographic data is presented by households and/or population.</w:t>
      </w:r>
      <w:r w:rsidRPr="00EE5714">
        <w:rPr>
          <w:rStyle w:val="FootnoteReference"/>
          <w:rFonts w:ascii="Times New Roman" w:hAnsi="Times New Roman" w:cs="Times New Roman"/>
          <w:sz w:val="26"/>
          <w:szCs w:val="26"/>
        </w:rPr>
        <w:footnoteReference w:id="97"/>
      </w:r>
      <w:r w:rsidRPr="00EE5714">
        <w:rPr>
          <w:rFonts w:ascii="Times New Roman" w:hAnsi="Times New Roman" w:cs="Times New Roman"/>
          <w:sz w:val="26"/>
          <w:szCs w:val="26"/>
        </w:rPr>
        <w:t xml:space="preserve">  </w:t>
      </w:r>
    </w:p>
    <w:p w14:paraId="481D7D9F" w14:textId="77777777" w:rsidR="0079243A" w:rsidRPr="00EE5714" w:rsidRDefault="0079243A" w:rsidP="0079243A">
      <w:pPr>
        <w:spacing w:after="0" w:line="240" w:lineRule="auto"/>
        <w:contextualSpacing/>
        <w:rPr>
          <w:rFonts w:ascii="Times New Roman" w:hAnsi="Times New Roman" w:cs="Times New Roman"/>
          <w:sz w:val="26"/>
          <w:szCs w:val="26"/>
        </w:rPr>
      </w:pPr>
    </w:p>
    <w:p w14:paraId="2E6928A9" w14:textId="77777777" w:rsidR="0079243A" w:rsidRPr="00EE5714" w:rsidRDefault="0079243A" w:rsidP="0079243A">
      <w:pPr>
        <w:spacing w:after="0" w:line="240" w:lineRule="auto"/>
        <w:ind w:firstLine="720"/>
        <w:contextualSpacing/>
        <w:rPr>
          <w:rFonts w:ascii="Times New Roman" w:hAnsi="Times New Roman" w:cs="Times New Roman"/>
          <w:sz w:val="26"/>
          <w:szCs w:val="26"/>
        </w:rPr>
      </w:pPr>
      <w:r w:rsidRPr="00EE5714">
        <w:rPr>
          <w:rFonts w:ascii="Times New Roman" w:hAnsi="Times New Roman" w:cs="Times New Roman"/>
          <w:sz w:val="26"/>
          <w:szCs w:val="26"/>
        </w:rPr>
        <w:t xml:space="preserve">Each service area profile is specific to the utility, although staff recognizes that the utility service areas overlap and, therefore, some demographic data will be counted in multiple service areas.  This section also includes data about median and </w:t>
      </w:r>
      <w:r w:rsidRPr="00EE5714">
        <w:rPr>
          <w:rFonts w:ascii="Times New Roman" w:hAnsi="Times New Roman" w:cs="Times New Roman"/>
          <w:i/>
          <w:sz w:val="26"/>
          <w:szCs w:val="26"/>
        </w:rPr>
        <w:t>per capita</w:t>
      </w:r>
      <w:r w:rsidRPr="00EE5714">
        <w:rPr>
          <w:rFonts w:ascii="Times New Roman" w:hAnsi="Times New Roman" w:cs="Times New Roman"/>
          <w:sz w:val="26"/>
          <w:szCs w:val="26"/>
        </w:rPr>
        <w:t xml:space="preserve"> incomes.</w:t>
      </w:r>
      <w:r w:rsidRPr="00EE5714">
        <w:rPr>
          <w:rStyle w:val="FootnoteReference"/>
          <w:rFonts w:ascii="Times New Roman" w:hAnsi="Times New Roman" w:cs="Times New Roman"/>
          <w:sz w:val="26"/>
          <w:szCs w:val="26"/>
        </w:rPr>
        <w:footnoteReference w:id="98"/>
      </w:r>
      <w:r w:rsidRPr="00EE5714">
        <w:rPr>
          <w:rFonts w:ascii="Times New Roman" w:hAnsi="Times New Roman" w:cs="Times New Roman"/>
          <w:sz w:val="26"/>
          <w:szCs w:val="26"/>
        </w:rPr>
        <w:t xml:space="preserve">  </w:t>
      </w:r>
    </w:p>
    <w:p w14:paraId="1349A474" w14:textId="77777777" w:rsidR="0079243A" w:rsidRPr="00EE5714" w:rsidRDefault="0079243A" w:rsidP="0079243A">
      <w:pPr>
        <w:rPr>
          <w:rFonts w:ascii="Times New Roman" w:hAnsi="Times New Roman" w:cs="Times New Roman"/>
          <w:sz w:val="26"/>
          <w:szCs w:val="26"/>
        </w:rPr>
      </w:pPr>
    </w:p>
    <w:p w14:paraId="0B36AD71" w14:textId="77777777" w:rsidR="008F7C19" w:rsidRPr="00EE5714" w:rsidRDefault="00EE2332" w:rsidP="00661388">
      <w:pPr>
        <w:pStyle w:val="NoSpacing"/>
        <w:keepNext/>
      </w:pPr>
      <w:r w:rsidRPr="00EE5714">
        <w:lastRenderedPageBreak/>
        <w:t>Appendix 1.</w:t>
      </w:r>
      <w:r w:rsidR="0082309C" w:rsidRPr="00EE5714">
        <w:t>A.1</w:t>
      </w:r>
      <w:r w:rsidRPr="00EE5714">
        <w:t xml:space="preserve">: </w:t>
      </w:r>
      <w:r w:rsidR="0082309C" w:rsidRPr="00EE5714">
        <w:rPr>
          <w:b/>
        </w:rPr>
        <w:t xml:space="preserve">Columbia </w:t>
      </w:r>
      <w:r w:rsidRPr="00EE5714">
        <w:rPr>
          <w:b/>
        </w:rPr>
        <w:t>Service Territory Demographic Profile</w:t>
      </w:r>
    </w:p>
    <w:tbl>
      <w:tblPr>
        <w:tblW w:w="10494" w:type="dxa"/>
        <w:jc w:val="center"/>
        <w:tblLook w:val="04A0" w:firstRow="1" w:lastRow="0" w:firstColumn="1" w:lastColumn="0" w:noHBand="0" w:noVBand="1"/>
      </w:tblPr>
      <w:tblGrid>
        <w:gridCol w:w="1189"/>
        <w:gridCol w:w="763"/>
        <w:gridCol w:w="1109"/>
        <w:gridCol w:w="1109"/>
        <w:gridCol w:w="1546"/>
        <w:gridCol w:w="1029"/>
        <w:gridCol w:w="714"/>
        <w:gridCol w:w="1189"/>
        <w:gridCol w:w="1126"/>
        <w:gridCol w:w="720"/>
      </w:tblGrid>
      <w:tr w:rsidR="003F689D" w:rsidRPr="00EE5714" w14:paraId="3A3240A1" w14:textId="77777777" w:rsidTr="00D21AFC">
        <w:trPr>
          <w:trHeight w:val="631"/>
          <w:jc w:val="center"/>
        </w:trPr>
        <w:tc>
          <w:tcPr>
            <w:tcW w:w="118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BA87D79"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Columbia</w:t>
            </w:r>
          </w:p>
        </w:tc>
        <w:tc>
          <w:tcPr>
            <w:tcW w:w="1872" w:type="dxa"/>
            <w:gridSpan w:val="2"/>
            <w:tcBorders>
              <w:top w:val="single" w:sz="4" w:space="0" w:color="auto"/>
              <w:left w:val="nil"/>
              <w:bottom w:val="single" w:sz="4" w:space="0" w:color="auto"/>
              <w:right w:val="single" w:sz="4" w:space="0" w:color="auto"/>
            </w:tcBorders>
            <w:shd w:val="clear" w:color="000000" w:fill="E7E6E6"/>
            <w:vAlign w:val="center"/>
            <w:hideMark/>
          </w:tcPr>
          <w:p w14:paraId="19E2785B"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109"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02FF608"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289" w:type="dxa"/>
            <w:gridSpan w:val="3"/>
            <w:tcBorders>
              <w:top w:val="single" w:sz="4" w:space="0" w:color="auto"/>
              <w:left w:val="nil"/>
              <w:bottom w:val="single" w:sz="4" w:space="0" w:color="auto"/>
              <w:right w:val="single" w:sz="4" w:space="0" w:color="auto"/>
            </w:tcBorders>
            <w:shd w:val="clear" w:color="000000" w:fill="E7E6E6"/>
            <w:vAlign w:val="center"/>
            <w:hideMark/>
          </w:tcPr>
          <w:p w14:paraId="6AFE4282"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035" w:type="dxa"/>
            <w:gridSpan w:val="3"/>
            <w:tcBorders>
              <w:top w:val="single" w:sz="4" w:space="0" w:color="auto"/>
              <w:left w:val="nil"/>
              <w:bottom w:val="single" w:sz="4" w:space="0" w:color="auto"/>
              <w:right w:val="single" w:sz="4" w:space="0" w:color="auto"/>
            </w:tcBorders>
            <w:shd w:val="clear" w:color="000000" w:fill="E7E6E6"/>
            <w:vAlign w:val="center"/>
            <w:hideMark/>
          </w:tcPr>
          <w:p w14:paraId="374A5882"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3F689D" w:rsidRPr="00EE5714" w14:paraId="0F5EA806" w14:textId="77777777" w:rsidTr="00D21AFC">
        <w:trPr>
          <w:trHeight w:val="499"/>
          <w:jc w:val="center"/>
        </w:trPr>
        <w:tc>
          <w:tcPr>
            <w:tcW w:w="1189" w:type="dxa"/>
            <w:tcBorders>
              <w:top w:val="nil"/>
              <w:left w:val="single" w:sz="4" w:space="0" w:color="auto"/>
              <w:bottom w:val="single" w:sz="4" w:space="0" w:color="auto"/>
              <w:right w:val="single" w:sz="4" w:space="0" w:color="auto"/>
            </w:tcBorders>
            <w:shd w:val="clear" w:color="000000" w:fill="E7E6E6"/>
            <w:vAlign w:val="center"/>
            <w:hideMark/>
          </w:tcPr>
          <w:p w14:paraId="34E62C51"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64.20%</w:t>
            </w:r>
          </w:p>
        </w:tc>
        <w:tc>
          <w:tcPr>
            <w:tcW w:w="763" w:type="dxa"/>
            <w:tcBorders>
              <w:top w:val="nil"/>
              <w:left w:val="nil"/>
              <w:bottom w:val="single" w:sz="4" w:space="0" w:color="auto"/>
              <w:right w:val="single" w:sz="4" w:space="0" w:color="auto"/>
            </w:tcBorders>
            <w:shd w:val="clear" w:color="000000" w:fill="E7E6E6"/>
            <w:vAlign w:val="center"/>
            <w:hideMark/>
          </w:tcPr>
          <w:p w14:paraId="7D3EF25E"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109" w:type="dxa"/>
            <w:tcBorders>
              <w:top w:val="nil"/>
              <w:left w:val="nil"/>
              <w:bottom w:val="single" w:sz="4" w:space="0" w:color="auto"/>
              <w:right w:val="single" w:sz="4" w:space="0" w:color="auto"/>
            </w:tcBorders>
            <w:shd w:val="clear" w:color="000000" w:fill="E7E6E6"/>
            <w:vAlign w:val="center"/>
            <w:hideMark/>
          </w:tcPr>
          <w:p w14:paraId="72E50345"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56BB6979" w14:textId="77777777" w:rsidR="003F689D" w:rsidRPr="00EE5714" w:rsidRDefault="003F689D" w:rsidP="0071621F">
            <w:pPr>
              <w:keepNext/>
              <w:spacing w:after="0" w:line="240" w:lineRule="auto"/>
              <w:rPr>
                <w:rFonts w:ascii="Calibri" w:eastAsia="Times New Roman" w:hAnsi="Calibri" w:cs="Calibri"/>
                <w:b/>
                <w:bCs/>
                <w:color w:val="000000"/>
                <w:sz w:val="20"/>
                <w:szCs w:val="20"/>
              </w:rPr>
            </w:pPr>
          </w:p>
        </w:tc>
        <w:tc>
          <w:tcPr>
            <w:tcW w:w="2575" w:type="dxa"/>
            <w:gridSpan w:val="2"/>
            <w:tcBorders>
              <w:top w:val="single" w:sz="4" w:space="0" w:color="auto"/>
              <w:left w:val="nil"/>
              <w:bottom w:val="single" w:sz="4" w:space="0" w:color="auto"/>
              <w:right w:val="single" w:sz="4" w:space="0" w:color="auto"/>
            </w:tcBorders>
            <w:shd w:val="clear" w:color="000000" w:fill="E7E6E6"/>
            <w:vAlign w:val="center"/>
            <w:hideMark/>
          </w:tcPr>
          <w:p w14:paraId="6ECA2716"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14" w:type="dxa"/>
            <w:tcBorders>
              <w:top w:val="nil"/>
              <w:left w:val="nil"/>
              <w:bottom w:val="single" w:sz="4" w:space="0" w:color="auto"/>
              <w:right w:val="single" w:sz="4" w:space="0" w:color="auto"/>
            </w:tcBorders>
            <w:shd w:val="clear" w:color="000000" w:fill="E7E6E6"/>
            <w:vAlign w:val="center"/>
            <w:hideMark/>
          </w:tcPr>
          <w:p w14:paraId="5C4A78EB"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315" w:type="dxa"/>
            <w:gridSpan w:val="2"/>
            <w:tcBorders>
              <w:top w:val="single" w:sz="4" w:space="0" w:color="auto"/>
              <w:left w:val="nil"/>
              <w:bottom w:val="single" w:sz="4" w:space="0" w:color="auto"/>
              <w:right w:val="single" w:sz="4" w:space="0" w:color="auto"/>
            </w:tcBorders>
            <w:shd w:val="clear" w:color="000000" w:fill="E7E6E6"/>
            <w:vAlign w:val="center"/>
            <w:hideMark/>
          </w:tcPr>
          <w:p w14:paraId="300DA803"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20" w:type="dxa"/>
            <w:tcBorders>
              <w:top w:val="nil"/>
              <w:left w:val="nil"/>
              <w:bottom w:val="single" w:sz="4" w:space="0" w:color="auto"/>
              <w:right w:val="single" w:sz="4" w:space="0" w:color="auto"/>
            </w:tcBorders>
            <w:shd w:val="clear" w:color="000000" w:fill="E7E6E6"/>
            <w:vAlign w:val="center"/>
            <w:hideMark/>
          </w:tcPr>
          <w:p w14:paraId="16F3505C"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3F689D" w:rsidRPr="00EE5714" w14:paraId="41075F85" w14:textId="77777777" w:rsidTr="00D21AFC">
        <w:trPr>
          <w:trHeight w:val="26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D60B669"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297,900</w:t>
            </w:r>
          </w:p>
        </w:tc>
        <w:tc>
          <w:tcPr>
            <w:tcW w:w="763" w:type="dxa"/>
            <w:tcBorders>
              <w:top w:val="nil"/>
              <w:left w:val="nil"/>
              <w:bottom w:val="single" w:sz="4" w:space="0" w:color="auto"/>
              <w:right w:val="single" w:sz="4" w:space="0" w:color="auto"/>
            </w:tcBorders>
            <w:shd w:val="clear" w:color="auto" w:fill="auto"/>
            <w:vAlign w:val="center"/>
            <w:hideMark/>
          </w:tcPr>
          <w:p w14:paraId="4242B7E1"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31.0%</w:t>
            </w:r>
          </w:p>
        </w:tc>
        <w:tc>
          <w:tcPr>
            <w:tcW w:w="1109" w:type="dxa"/>
            <w:tcBorders>
              <w:top w:val="nil"/>
              <w:left w:val="nil"/>
              <w:bottom w:val="single" w:sz="4" w:space="0" w:color="auto"/>
              <w:right w:val="single" w:sz="4" w:space="0" w:color="auto"/>
            </w:tcBorders>
            <w:shd w:val="clear" w:color="auto" w:fill="auto"/>
            <w:vAlign w:val="center"/>
            <w:hideMark/>
          </w:tcPr>
          <w:p w14:paraId="1495157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1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666C0C"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124BEA12"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1029" w:type="dxa"/>
            <w:tcBorders>
              <w:top w:val="nil"/>
              <w:left w:val="nil"/>
              <w:bottom w:val="single" w:sz="4" w:space="0" w:color="auto"/>
              <w:right w:val="single" w:sz="4" w:space="0" w:color="auto"/>
            </w:tcBorders>
            <w:shd w:val="clear" w:color="auto" w:fill="auto"/>
            <w:vAlign w:val="center"/>
            <w:hideMark/>
          </w:tcPr>
          <w:p w14:paraId="055F62A0"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122,979</w:t>
            </w:r>
          </w:p>
        </w:tc>
        <w:tc>
          <w:tcPr>
            <w:tcW w:w="714" w:type="dxa"/>
            <w:tcBorders>
              <w:top w:val="nil"/>
              <w:left w:val="nil"/>
              <w:bottom w:val="single" w:sz="4" w:space="0" w:color="auto"/>
              <w:right w:val="single" w:sz="4" w:space="0" w:color="auto"/>
            </w:tcBorders>
            <w:shd w:val="clear" w:color="auto" w:fill="auto"/>
            <w:vAlign w:val="center"/>
            <w:hideMark/>
          </w:tcPr>
          <w:p w14:paraId="37573C70"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5.3%</w:t>
            </w:r>
          </w:p>
        </w:tc>
        <w:tc>
          <w:tcPr>
            <w:tcW w:w="1189" w:type="dxa"/>
            <w:tcBorders>
              <w:top w:val="nil"/>
              <w:left w:val="nil"/>
              <w:bottom w:val="single" w:sz="4" w:space="0" w:color="auto"/>
              <w:right w:val="single" w:sz="4" w:space="0" w:color="auto"/>
            </w:tcBorders>
            <w:shd w:val="clear" w:color="auto" w:fill="auto"/>
            <w:vAlign w:val="center"/>
            <w:hideMark/>
          </w:tcPr>
          <w:p w14:paraId="28B663E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126" w:type="dxa"/>
            <w:tcBorders>
              <w:top w:val="nil"/>
              <w:left w:val="nil"/>
              <w:bottom w:val="single" w:sz="4" w:space="0" w:color="auto"/>
              <w:right w:val="single" w:sz="4" w:space="0" w:color="auto"/>
            </w:tcBorders>
            <w:shd w:val="clear" w:color="auto" w:fill="auto"/>
            <w:vAlign w:val="center"/>
            <w:hideMark/>
          </w:tcPr>
          <w:p w14:paraId="7822D51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98,960</w:t>
            </w:r>
          </w:p>
        </w:tc>
        <w:tc>
          <w:tcPr>
            <w:tcW w:w="720" w:type="dxa"/>
            <w:tcBorders>
              <w:top w:val="nil"/>
              <w:left w:val="nil"/>
              <w:bottom w:val="single" w:sz="4" w:space="0" w:color="auto"/>
              <w:right w:val="single" w:sz="4" w:space="0" w:color="auto"/>
            </w:tcBorders>
            <w:shd w:val="clear" w:color="auto" w:fill="auto"/>
            <w:vAlign w:val="center"/>
            <w:hideMark/>
          </w:tcPr>
          <w:p w14:paraId="6B55436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w:t>
            </w:r>
          </w:p>
        </w:tc>
      </w:tr>
      <w:tr w:rsidR="003F689D" w:rsidRPr="00EE5714" w14:paraId="750EF9FA" w14:textId="77777777" w:rsidTr="00D21AFC">
        <w:trPr>
          <w:trHeight w:val="26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52E84576"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141,398</w:t>
            </w:r>
          </w:p>
        </w:tc>
        <w:tc>
          <w:tcPr>
            <w:tcW w:w="763" w:type="dxa"/>
            <w:tcBorders>
              <w:top w:val="nil"/>
              <w:left w:val="nil"/>
              <w:bottom w:val="single" w:sz="4" w:space="0" w:color="auto"/>
              <w:right w:val="single" w:sz="4" w:space="0" w:color="auto"/>
            </w:tcBorders>
            <w:shd w:val="clear" w:color="auto" w:fill="auto"/>
            <w:vAlign w:val="center"/>
            <w:hideMark/>
          </w:tcPr>
          <w:p w14:paraId="33BD990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14.7%</w:t>
            </w:r>
          </w:p>
        </w:tc>
        <w:tc>
          <w:tcPr>
            <w:tcW w:w="1109" w:type="dxa"/>
            <w:tcBorders>
              <w:top w:val="nil"/>
              <w:left w:val="nil"/>
              <w:bottom w:val="single" w:sz="4" w:space="0" w:color="auto"/>
              <w:right w:val="single" w:sz="4" w:space="0" w:color="auto"/>
            </w:tcBorders>
            <w:shd w:val="clear" w:color="auto" w:fill="auto"/>
            <w:vAlign w:val="center"/>
            <w:hideMark/>
          </w:tcPr>
          <w:p w14:paraId="0BA4A79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46BE23F9" w14:textId="77777777" w:rsidR="003F689D" w:rsidRPr="00EE5714" w:rsidRDefault="003F689D" w:rsidP="0071621F">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0776D250"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1029" w:type="dxa"/>
            <w:tcBorders>
              <w:top w:val="nil"/>
              <w:left w:val="nil"/>
              <w:bottom w:val="single" w:sz="4" w:space="0" w:color="auto"/>
              <w:right w:val="single" w:sz="4" w:space="0" w:color="auto"/>
            </w:tcBorders>
            <w:shd w:val="clear" w:color="auto" w:fill="auto"/>
            <w:vAlign w:val="center"/>
            <w:hideMark/>
          </w:tcPr>
          <w:p w14:paraId="746F0C2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146,419</w:t>
            </w:r>
          </w:p>
        </w:tc>
        <w:tc>
          <w:tcPr>
            <w:tcW w:w="714" w:type="dxa"/>
            <w:tcBorders>
              <w:top w:val="nil"/>
              <w:left w:val="nil"/>
              <w:bottom w:val="single" w:sz="4" w:space="0" w:color="auto"/>
              <w:right w:val="single" w:sz="4" w:space="0" w:color="auto"/>
            </w:tcBorders>
            <w:shd w:val="clear" w:color="auto" w:fill="auto"/>
            <w:vAlign w:val="center"/>
            <w:hideMark/>
          </w:tcPr>
          <w:p w14:paraId="6331D369"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w:t>
            </w:r>
          </w:p>
        </w:tc>
        <w:tc>
          <w:tcPr>
            <w:tcW w:w="1189" w:type="dxa"/>
            <w:tcBorders>
              <w:top w:val="nil"/>
              <w:left w:val="nil"/>
              <w:bottom w:val="single" w:sz="4" w:space="0" w:color="auto"/>
              <w:right w:val="single" w:sz="4" w:space="0" w:color="auto"/>
            </w:tcBorders>
            <w:shd w:val="clear" w:color="auto" w:fill="auto"/>
            <w:vAlign w:val="center"/>
            <w:hideMark/>
          </w:tcPr>
          <w:p w14:paraId="0988599C"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126" w:type="dxa"/>
            <w:tcBorders>
              <w:top w:val="nil"/>
              <w:left w:val="nil"/>
              <w:bottom w:val="single" w:sz="4" w:space="0" w:color="auto"/>
              <w:right w:val="single" w:sz="4" w:space="0" w:color="auto"/>
            </w:tcBorders>
            <w:shd w:val="clear" w:color="auto" w:fill="auto"/>
            <w:vAlign w:val="center"/>
            <w:hideMark/>
          </w:tcPr>
          <w:p w14:paraId="4EE26FD1"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99,195</w:t>
            </w:r>
          </w:p>
        </w:tc>
        <w:tc>
          <w:tcPr>
            <w:tcW w:w="720" w:type="dxa"/>
            <w:tcBorders>
              <w:top w:val="nil"/>
              <w:left w:val="nil"/>
              <w:bottom w:val="single" w:sz="4" w:space="0" w:color="auto"/>
              <w:right w:val="single" w:sz="4" w:space="0" w:color="auto"/>
            </w:tcBorders>
            <w:shd w:val="clear" w:color="auto" w:fill="auto"/>
            <w:vAlign w:val="center"/>
            <w:hideMark/>
          </w:tcPr>
          <w:p w14:paraId="5FE87CF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10.1%</w:t>
            </w:r>
          </w:p>
        </w:tc>
      </w:tr>
      <w:tr w:rsidR="003F689D" w:rsidRPr="00EE5714" w14:paraId="0A6642D8" w14:textId="77777777" w:rsidTr="00D21AFC">
        <w:trPr>
          <w:trHeight w:val="26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5A98DB6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113,212</w:t>
            </w:r>
          </w:p>
        </w:tc>
        <w:tc>
          <w:tcPr>
            <w:tcW w:w="763" w:type="dxa"/>
            <w:tcBorders>
              <w:top w:val="nil"/>
              <w:left w:val="nil"/>
              <w:bottom w:val="single" w:sz="4" w:space="0" w:color="auto"/>
              <w:right w:val="single" w:sz="4" w:space="0" w:color="auto"/>
            </w:tcBorders>
            <w:shd w:val="clear" w:color="auto" w:fill="auto"/>
            <w:vAlign w:val="center"/>
            <w:hideMark/>
          </w:tcPr>
          <w:p w14:paraId="352550A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11.8%</w:t>
            </w:r>
          </w:p>
        </w:tc>
        <w:tc>
          <w:tcPr>
            <w:tcW w:w="1109" w:type="dxa"/>
            <w:tcBorders>
              <w:top w:val="nil"/>
              <w:left w:val="nil"/>
              <w:bottom w:val="single" w:sz="4" w:space="0" w:color="auto"/>
              <w:right w:val="single" w:sz="4" w:space="0" w:color="auto"/>
            </w:tcBorders>
            <w:shd w:val="clear" w:color="auto" w:fill="auto"/>
            <w:vAlign w:val="center"/>
            <w:hideMark/>
          </w:tcPr>
          <w:p w14:paraId="739357BA"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76996497" w14:textId="77777777" w:rsidR="003F689D" w:rsidRPr="00EE5714" w:rsidRDefault="003F689D" w:rsidP="0071621F">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75B4F5F4"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1029" w:type="dxa"/>
            <w:tcBorders>
              <w:top w:val="nil"/>
              <w:left w:val="nil"/>
              <w:bottom w:val="single" w:sz="4" w:space="0" w:color="auto"/>
              <w:right w:val="single" w:sz="4" w:space="0" w:color="auto"/>
            </w:tcBorders>
            <w:shd w:val="clear" w:color="auto" w:fill="auto"/>
            <w:vAlign w:val="center"/>
            <w:hideMark/>
          </w:tcPr>
          <w:p w14:paraId="3A4C90A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85,423</w:t>
            </w:r>
          </w:p>
        </w:tc>
        <w:tc>
          <w:tcPr>
            <w:tcW w:w="714" w:type="dxa"/>
            <w:tcBorders>
              <w:top w:val="nil"/>
              <w:left w:val="nil"/>
              <w:bottom w:val="single" w:sz="4" w:space="0" w:color="auto"/>
              <w:right w:val="single" w:sz="4" w:space="0" w:color="auto"/>
            </w:tcBorders>
            <w:shd w:val="clear" w:color="auto" w:fill="auto"/>
            <w:vAlign w:val="center"/>
            <w:hideMark/>
          </w:tcPr>
          <w:p w14:paraId="2655DF49"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3.7%</w:t>
            </w:r>
          </w:p>
        </w:tc>
        <w:tc>
          <w:tcPr>
            <w:tcW w:w="1189" w:type="dxa"/>
            <w:tcBorders>
              <w:top w:val="nil"/>
              <w:left w:val="nil"/>
              <w:bottom w:val="single" w:sz="4" w:space="0" w:color="auto"/>
              <w:right w:val="single" w:sz="4" w:space="0" w:color="auto"/>
            </w:tcBorders>
            <w:shd w:val="clear" w:color="auto" w:fill="auto"/>
            <w:vAlign w:val="center"/>
            <w:hideMark/>
          </w:tcPr>
          <w:p w14:paraId="4763C916"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126" w:type="dxa"/>
            <w:tcBorders>
              <w:top w:val="nil"/>
              <w:left w:val="nil"/>
              <w:bottom w:val="single" w:sz="4" w:space="0" w:color="auto"/>
              <w:right w:val="single" w:sz="4" w:space="0" w:color="auto"/>
            </w:tcBorders>
            <w:shd w:val="clear" w:color="auto" w:fill="auto"/>
            <w:vAlign w:val="center"/>
            <w:hideMark/>
          </w:tcPr>
          <w:p w14:paraId="5A263B7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94,579</w:t>
            </w:r>
          </w:p>
        </w:tc>
        <w:tc>
          <w:tcPr>
            <w:tcW w:w="720" w:type="dxa"/>
            <w:tcBorders>
              <w:top w:val="nil"/>
              <w:left w:val="nil"/>
              <w:bottom w:val="single" w:sz="4" w:space="0" w:color="auto"/>
              <w:right w:val="single" w:sz="4" w:space="0" w:color="auto"/>
            </w:tcBorders>
            <w:shd w:val="clear" w:color="auto" w:fill="auto"/>
            <w:vAlign w:val="center"/>
            <w:hideMark/>
          </w:tcPr>
          <w:p w14:paraId="07C4225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9.6%</w:t>
            </w:r>
          </w:p>
        </w:tc>
      </w:tr>
      <w:tr w:rsidR="003F689D" w:rsidRPr="00EE5714" w14:paraId="768EE9AB" w14:textId="77777777" w:rsidTr="00D21AFC">
        <w:trPr>
          <w:trHeight w:val="26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101F06C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43,564</w:t>
            </w:r>
          </w:p>
        </w:tc>
        <w:tc>
          <w:tcPr>
            <w:tcW w:w="763" w:type="dxa"/>
            <w:tcBorders>
              <w:top w:val="nil"/>
              <w:left w:val="nil"/>
              <w:bottom w:val="single" w:sz="4" w:space="0" w:color="auto"/>
              <w:right w:val="single" w:sz="4" w:space="0" w:color="auto"/>
            </w:tcBorders>
            <w:shd w:val="clear" w:color="auto" w:fill="auto"/>
            <w:vAlign w:val="center"/>
            <w:hideMark/>
          </w:tcPr>
          <w:p w14:paraId="1153BD8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4.5%</w:t>
            </w:r>
          </w:p>
        </w:tc>
        <w:tc>
          <w:tcPr>
            <w:tcW w:w="1109" w:type="dxa"/>
            <w:tcBorders>
              <w:top w:val="nil"/>
              <w:left w:val="nil"/>
              <w:bottom w:val="single" w:sz="4" w:space="0" w:color="auto"/>
              <w:right w:val="single" w:sz="4" w:space="0" w:color="auto"/>
            </w:tcBorders>
            <w:shd w:val="clear" w:color="auto" w:fill="auto"/>
            <w:vAlign w:val="center"/>
            <w:hideMark/>
          </w:tcPr>
          <w:p w14:paraId="549A0D6D"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3501E956" w14:textId="77777777" w:rsidR="003F689D" w:rsidRPr="00EE5714" w:rsidRDefault="003F689D" w:rsidP="0071621F">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256160C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1029" w:type="dxa"/>
            <w:tcBorders>
              <w:top w:val="nil"/>
              <w:left w:val="nil"/>
              <w:bottom w:val="single" w:sz="4" w:space="0" w:color="auto"/>
              <w:right w:val="single" w:sz="4" w:space="0" w:color="auto"/>
            </w:tcBorders>
            <w:shd w:val="clear" w:color="auto" w:fill="auto"/>
            <w:vAlign w:val="center"/>
            <w:hideMark/>
          </w:tcPr>
          <w:p w14:paraId="23CBB380"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88,530</w:t>
            </w:r>
          </w:p>
        </w:tc>
        <w:tc>
          <w:tcPr>
            <w:tcW w:w="714" w:type="dxa"/>
            <w:tcBorders>
              <w:top w:val="nil"/>
              <w:left w:val="nil"/>
              <w:bottom w:val="single" w:sz="4" w:space="0" w:color="auto"/>
              <w:right w:val="single" w:sz="4" w:space="0" w:color="auto"/>
            </w:tcBorders>
            <w:shd w:val="clear" w:color="auto" w:fill="auto"/>
            <w:vAlign w:val="center"/>
            <w:hideMark/>
          </w:tcPr>
          <w:p w14:paraId="58B2083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3.8%</w:t>
            </w:r>
          </w:p>
        </w:tc>
        <w:tc>
          <w:tcPr>
            <w:tcW w:w="1189" w:type="dxa"/>
            <w:tcBorders>
              <w:top w:val="nil"/>
              <w:left w:val="nil"/>
              <w:bottom w:val="single" w:sz="4" w:space="0" w:color="auto"/>
              <w:right w:val="single" w:sz="4" w:space="0" w:color="auto"/>
            </w:tcBorders>
            <w:shd w:val="clear" w:color="auto" w:fill="auto"/>
            <w:vAlign w:val="center"/>
            <w:hideMark/>
          </w:tcPr>
          <w:p w14:paraId="40F23A90"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126" w:type="dxa"/>
            <w:tcBorders>
              <w:top w:val="nil"/>
              <w:left w:val="nil"/>
              <w:bottom w:val="single" w:sz="4" w:space="0" w:color="auto"/>
              <w:right w:val="single" w:sz="4" w:space="0" w:color="auto"/>
            </w:tcBorders>
            <w:shd w:val="clear" w:color="auto" w:fill="auto"/>
            <w:vAlign w:val="center"/>
            <w:hideMark/>
          </w:tcPr>
          <w:p w14:paraId="27BD8792"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129,768</w:t>
            </w:r>
          </w:p>
        </w:tc>
        <w:tc>
          <w:tcPr>
            <w:tcW w:w="720" w:type="dxa"/>
            <w:tcBorders>
              <w:top w:val="nil"/>
              <w:left w:val="nil"/>
              <w:bottom w:val="single" w:sz="4" w:space="0" w:color="auto"/>
              <w:right w:val="single" w:sz="4" w:space="0" w:color="auto"/>
            </w:tcBorders>
            <w:shd w:val="clear" w:color="auto" w:fill="auto"/>
            <w:vAlign w:val="center"/>
            <w:hideMark/>
          </w:tcPr>
          <w:p w14:paraId="2D06BD0A"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13.2%</w:t>
            </w:r>
          </w:p>
        </w:tc>
      </w:tr>
      <w:tr w:rsidR="003F689D" w:rsidRPr="00EE5714" w14:paraId="555159AB" w14:textId="77777777" w:rsidTr="00D21AFC">
        <w:trPr>
          <w:trHeight w:val="26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63A7386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13,827</w:t>
            </w:r>
          </w:p>
        </w:tc>
        <w:tc>
          <w:tcPr>
            <w:tcW w:w="763" w:type="dxa"/>
            <w:tcBorders>
              <w:top w:val="nil"/>
              <w:left w:val="nil"/>
              <w:bottom w:val="single" w:sz="4" w:space="0" w:color="auto"/>
              <w:right w:val="single" w:sz="4" w:space="0" w:color="auto"/>
            </w:tcBorders>
            <w:shd w:val="clear" w:color="auto" w:fill="auto"/>
            <w:vAlign w:val="center"/>
            <w:hideMark/>
          </w:tcPr>
          <w:p w14:paraId="212CE92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w:t>
            </w:r>
          </w:p>
        </w:tc>
        <w:tc>
          <w:tcPr>
            <w:tcW w:w="1109" w:type="dxa"/>
            <w:tcBorders>
              <w:top w:val="nil"/>
              <w:left w:val="nil"/>
              <w:bottom w:val="single" w:sz="4" w:space="0" w:color="auto"/>
              <w:right w:val="single" w:sz="4" w:space="0" w:color="auto"/>
            </w:tcBorders>
            <w:shd w:val="clear" w:color="auto" w:fill="auto"/>
            <w:vAlign w:val="center"/>
            <w:hideMark/>
          </w:tcPr>
          <w:p w14:paraId="52F8FCB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3503F53D" w14:textId="77777777" w:rsidR="003F689D" w:rsidRPr="00EE5714" w:rsidRDefault="003F689D" w:rsidP="0071621F">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73E3E931"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1029" w:type="dxa"/>
            <w:tcBorders>
              <w:top w:val="nil"/>
              <w:left w:val="nil"/>
              <w:bottom w:val="single" w:sz="4" w:space="0" w:color="auto"/>
              <w:right w:val="single" w:sz="4" w:space="0" w:color="auto"/>
            </w:tcBorders>
            <w:shd w:val="clear" w:color="auto" w:fill="auto"/>
            <w:vAlign w:val="center"/>
            <w:hideMark/>
          </w:tcPr>
          <w:p w14:paraId="0975FA4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131,701</w:t>
            </w:r>
          </w:p>
        </w:tc>
        <w:tc>
          <w:tcPr>
            <w:tcW w:w="714" w:type="dxa"/>
            <w:tcBorders>
              <w:top w:val="nil"/>
              <w:left w:val="nil"/>
              <w:bottom w:val="single" w:sz="4" w:space="0" w:color="auto"/>
              <w:right w:val="single" w:sz="4" w:space="0" w:color="auto"/>
            </w:tcBorders>
            <w:shd w:val="clear" w:color="auto" w:fill="auto"/>
            <w:vAlign w:val="center"/>
            <w:hideMark/>
          </w:tcPr>
          <w:p w14:paraId="0E1065C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5.7%</w:t>
            </w:r>
          </w:p>
        </w:tc>
        <w:tc>
          <w:tcPr>
            <w:tcW w:w="1189" w:type="dxa"/>
            <w:tcBorders>
              <w:top w:val="nil"/>
              <w:left w:val="nil"/>
              <w:bottom w:val="single" w:sz="4" w:space="0" w:color="auto"/>
              <w:right w:val="single" w:sz="4" w:space="0" w:color="auto"/>
            </w:tcBorders>
            <w:shd w:val="clear" w:color="auto" w:fill="auto"/>
            <w:vAlign w:val="center"/>
            <w:hideMark/>
          </w:tcPr>
          <w:p w14:paraId="261CEB7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126" w:type="dxa"/>
            <w:tcBorders>
              <w:top w:val="nil"/>
              <w:left w:val="nil"/>
              <w:bottom w:val="single" w:sz="4" w:space="0" w:color="auto"/>
              <w:right w:val="single" w:sz="4" w:space="0" w:color="auto"/>
            </w:tcBorders>
            <w:shd w:val="clear" w:color="auto" w:fill="auto"/>
            <w:vAlign w:val="center"/>
            <w:hideMark/>
          </w:tcPr>
          <w:p w14:paraId="3E821736"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186,287</w:t>
            </w:r>
          </w:p>
        </w:tc>
        <w:tc>
          <w:tcPr>
            <w:tcW w:w="720" w:type="dxa"/>
            <w:tcBorders>
              <w:top w:val="nil"/>
              <w:left w:val="nil"/>
              <w:bottom w:val="single" w:sz="4" w:space="0" w:color="auto"/>
              <w:right w:val="single" w:sz="4" w:space="0" w:color="auto"/>
            </w:tcBorders>
            <w:shd w:val="clear" w:color="auto" w:fill="auto"/>
            <w:vAlign w:val="center"/>
            <w:hideMark/>
          </w:tcPr>
          <w:p w14:paraId="1FC14A6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18.9%</w:t>
            </w:r>
          </w:p>
        </w:tc>
      </w:tr>
      <w:tr w:rsidR="003F689D" w:rsidRPr="00EE5714" w14:paraId="399DDE63" w14:textId="77777777" w:rsidTr="00D21AFC">
        <w:trPr>
          <w:trHeight w:val="26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CE9CAB1"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6,464</w:t>
            </w:r>
          </w:p>
        </w:tc>
        <w:tc>
          <w:tcPr>
            <w:tcW w:w="763" w:type="dxa"/>
            <w:tcBorders>
              <w:top w:val="nil"/>
              <w:left w:val="nil"/>
              <w:bottom w:val="single" w:sz="4" w:space="0" w:color="auto"/>
              <w:right w:val="single" w:sz="4" w:space="0" w:color="auto"/>
            </w:tcBorders>
            <w:shd w:val="clear" w:color="auto" w:fill="auto"/>
            <w:vAlign w:val="center"/>
            <w:hideMark/>
          </w:tcPr>
          <w:p w14:paraId="2011AC6A"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109" w:type="dxa"/>
            <w:tcBorders>
              <w:top w:val="nil"/>
              <w:left w:val="nil"/>
              <w:bottom w:val="single" w:sz="4" w:space="0" w:color="auto"/>
              <w:right w:val="single" w:sz="4" w:space="0" w:color="auto"/>
            </w:tcBorders>
            <w:shd w:val="clear" w:color="auto" w:fill="auto"/>
            <w:vAlign w:val="center"/>
            <w:hideMark/>
          </w:tcPr>
          <w:p w14:paraId="61101641"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41329AD9" w14:textId="77777777" w:rsidR="003F689D" w:rsidRPr="00EE5714" w:rsidRDefault="003F689D" w:rsidP="0071621F">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4D6B4B80"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1029" w:type="dxa"/>
            <w:tcBorders>
              <w:top w:val="nil"/>
              <w:left w:val="nil"/>
              <w:bottom w:val="single" w:sz="4" w:space="0" w:color="auto"/>
              <w:right w:val="single" w:sz="4" w:space="0" w:color="auto"/>
            </w:tcBorders>
            <w:shd w:val="clear" w:color="auto" w:fill="auto"/>
            <w:vAlign w:val="center"/>
            <w:hideMark/>
          </w:tcPr>
          <w:p w14:paraId="283C511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58,502</w:t>
            </w:r>
          </w:p>
        </w:tc>
        <w:tc>
          <w:tcPr>
            <w:tcW w:w="714" w:type="dxa"/>
            <w:tcBorders>
              <w:top w:val="nil"/>
              <w:left w:val="nil"/>
              <w:bottom w:val="single" w:sz="4" w:space="0" w:color="auto"/>
              <w:right w:val="single" w:sz="4" w:space="0" w:color="auto"/>
            </w:tcBorders>
            <w:shd w:val="clear" w:color="auto" w:fill="auto"/>
            <w:vAlign w:val="center"/>
            <w:hideMark/>
          </w:tcPr>
          <w:p w14:paraId="2CFF557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w:t>
            </w:r>
          </w:p>
        </w:tc>
        <w:tc>
          <w:tcPr>
            <w:tcW w:w="1189" w:type="dxa"/>
            <w:tcBorders>
              <w:top w:val="nil"/>
              <w:left w:val="nil"/>
              <w:bottom w:val="single" w:sz="4" w:space="0" w:color="auto"/>
              <w:right w:val="single" w:sz="4" w:space="0" w:color="auto"/>
            </w:tcBorders>
            <w:shd w:val="clear" w:color="auto" w:fill="auto"/>
            <w:vAlign w:val="center"/>
            <w:hideMark/>
          </w:tcPr>
          <w:p w14:paraId="5A7E90F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126" w:type="dxa"/>
            <w:tcBorders>
              <w:top w:val="nil"/>
              <w:left w:val="nil"/>
              <w:bottom w:val="single" w:sz="4" w:space="0" w:color="auto"/>
              <w:right w:val="single" w:sz="4" w:space="0" w:color="auto"/>
            </w:tcBorders>
            <w:shd w:val="clear" w:color="auto" w:fill="auto"/>
            <w:vAlign w:val="center"/>
            <w:hideMark/>
          </w:tcPr>
          <w:p w14:paraId="448C52A9"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128,863</w:t>
            </w:r>
          </w:p>
        </w:tc>
        <w:tc>
          <w:tcPr>
            <w:tcW w:w="720" w:type="dxa"/>
            <w:tcBorders>
              <w:top w:val="nil"/>
              <w:left w:val="nil"/>
              <w:bottom w:val="single" w:sz="4" w:space="0" w:color="auto"/>
              <w:right w:val="single" w:sz="4" w:space="0" w:color="auto"/>
            </w:tcBorders>
            <w:shd w:val="clear" w:color="auto" w:fill="auto"/>
            <w:vAlign w:val="center"/>
            <w:hideMark/>
          </w:tcPr>
          <w:p w14:paraId="564BEBB2"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13.1%</w:t>
            </w:r>
          </w:p>
        </w:tc>
      </w:tr>
      <w:tr w:rsidR="003F689D" w:rsidRPr="00EE5714" w14:paraId="6000D208" w14:textId="77777777" w:rsidTr="00D21AFC">
        <w:trPr>
          <w:trHeight w:val="263"/>
          <w:jc w:val="center"/>
        </w:trPr>
        <w:tc>
          <w:tcPr>
            <w:tcW w:w="1189" w:type="dxa"/>
            <w:tcBorders>
              <w:top w:val="nil"/>
              <w:left w:val="single" w:sz="4" w:space="0" w:color="auto"/>
              <w:bottom w:val="single" w:sz="4" w:space="0" w:color="auto"/>
              <w:right w:val="single" w:sz="4" w:space="0" w:color="auto"/>
            </w:tcBorders>
            <w:shd w:val="clear" w:color="000000" w:fill="E7E6E6"/>
            <w:vAlign w:val="center"/>
            <w:hideMark/>
          </w:tcPr>
          <w:p w14:paraId="786943D1"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35.80%</w:t>
            </w:r>
          </w:p>
        </w:tc>
        <w:tc>
          <w:tcPr>
            <w:tcW w:w="763" w:type="dxa"/>
            <w:tcBorders>
              <w:top w:val="nil"/>
              <w:left w:val="nil"/>
              <w:bottom w:val="single" w:sz="4" w:space="0" w:color="auto"/>
              <w:right w:val="single" w:sz="4" w:space="0" w:color="auto"/>
            </w:tcBorders>
            <w:shd w:val="clear" w:color="000000" w:fill="E7E6E6"/>
            <w:vAlign w:val="center"/>
            <w:hideMark/>
          </w:tcPr>
          <w:p w14:paraId="795BB08B"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218"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4D90BC02"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448967C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1029" w:type="dxa"/>
            <w:tcBorders>
              <w:top w:val="nil"/>
              <w:left w:val="nil"/>
              <w:bottom w:val="single" w:sz="4" w:space="0" w:color="auto"/>
              <w:right w:val="single" w:sz="4" w:space="0" w:color="auto"/>
            </w:tcBorders>
            <w:shd w:val="clear" w:color="auto" w:fill="auto"/>
            <w:vAlign w:val="center"/>
            <w:hideMark/>
          </w:tcPr>
          <w:p w14:paraId="665F08F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1,674,040</w:t>
            </w:r>
          </w:p>
        </w:tc>
        <w:tc>
          <w:tcPr>
            <w:tcW w:w="714" w:type="dxa"/>
            <w:tcBorders>
              <w:top w:val="nil"/>
              <w:left w:val="nil"/>
              <w:bottom w:val="single" w:sz="4" w:space="0" w:color="auto"/>
              <w:right w:val="single" w:sz="4" w:space="0" w:color="auto"/>
            </w:tcBorders>
            <w:shd w:val="clear" w:color="auto" w:fill="auto"/>
            <w:vAlign w:val="center"/>
            <w:hideMark/>
          </w:tcPr>
          <w:p w14:paraId="66E7FD7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72.5%</w:t>
            </w:r>
          </w:p>
        </w:tc>
        <w:tc>
          <w:tcPr>
            <w:tcW w:w="1189" w:type="dxa"/>
            <w:tcBorders>
              <w:top w:val="nil"/>
              <w:left w:val="nil"/>
              <w:bottom w:val="single" w:sz="4" w:space="0" w:color="auto"/>
              <w:right w:val="single" w:sz="4" w:space="0" w:color="auto"/>
            </w:tcBorders>
            <w:shd w:val="clear" w:color="auto" w:fill="auto"/>
            <w:vAlign w:val="center"/>
            <w:hideMark/>
          </w:tcPr>
          <w:p w14:paraId="6CF3A33B"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126" w:type="dxa"/>
            <w:tcBorders>
              <w:top w:val="nil"/>
              <w:left w:val="nil"/>
              <w:bottom w:val="single" w:sz="4" w:space="0" w:color="auto"/>
              <w:right w:val="single" w:sz="4" w:space="0" w:color="auto"/>
            </w:tcBorders>
            <w:shd w:val="clear" w:color="auto" w:fill="auto"/>
            <w:vAlign w:val="center"/>
            <w:hideMark/>
          </w:tcPr>
          <w:p w14:paraId="59CA08F1"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144,832</w:t>
            </w:r>
          </w:p>
        </w:tc>
        <w:tc>
          <w:tcPr>
            <w:tcW w:w="720" w:type="dxa"/>
            <w:tcBorders>
              <w:top w:val="nil"/>
              <w:left w:val="nil"/>
              <w:bottom w:val="single" w:sz="4" w:space="0" w:color="auto"/>
              <w:right w:val="single" w:sz="4" w:space="0" w:color="auto"/>
            </w:tcBorders>
            <w:shd w:val="clear" w:color="auto" w:fill="auto"/>
            <w:vAlign w:val="center"/>
            <w:hideMark/>
          </w:tcPr>
          <w:p w14:paraId="36C5DECB"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14.7%</w:t>
            </w:r>
          </w:p>
        </w:tc>
      </w:tr>
      <w:tr w:rsidR="003F689D" w:rsidRPr="00EE5714" w14:paraId="418910D8" w14:textId="77777777" w:rsidTr="00D21AFC">
        <w:trPr>
          <w:trHeight w:val="26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1A867744"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285,067</w:t>
            </w:r>
          </w:p>
        </w:tc>
        <w:tc>
          <w:tcPr>
            <w:tcW w:w="763" w:type="dxa"/>
            <w:tcBorders>
              <w:top w:val="nil"/>
              <w:left w:val="nil"/>
              <w:bottom w:val="single" w:sz="4" w:space="0" w:color="auto"/>
              <w:right w:val="single" w:sz="4" w:space="0" w:color="auto"/>
            </w:tcBorders>
            <w:shd w:val="clear" w:color="auto" w:fill="auto"/>
            <w:vAlign w:val="center"/>
            <w:hideMark/>
          </w:tcPr>
          <w:p w14:paraId="339A36E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29.7%</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E3A306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595F1D54"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29.7%</w:t>
            </w:r>
          </w:p>
        </w:tc>
        <w:tc>
          <w:tcPr>
            <w:tcW w:w="1546" w:type="dxa"/>
            <w:tcBorders>
              <w:top w:val="nil"/>
              <w:left w:val="nil"/>
              <w:bottom w:val="single" w:sz="4" w:space="0" w:color="auto"/>
              <w:right w:val="single" w:sz="4" w:space="0" w:color="auto"/>
            </w:tcBorders>
            <w:shd w:val="clear" w:color="auto" w:fill="auto"/>
            <w:vAlign w:val="center"/>
            <w:hideMark/>
          </w:tcPr>
          <w:p w14:paraId="30F517C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29" w:type="dxa"/>
            <w:tcBorders>
              <w:top w:val="nil"/>
              <w:left w:val="nil"/>
              <w:bottom w:val="single" w:sz="4" w:space="0" w:color="auto"/>
              <w:right w:val="single" w:sz="4" w:space="0" w:color="auto"/>
            </w:tcBorders>
            <w:shd w:val="clear" w:color="auto" w:fill="auto"/>
            <w:vAlign w:val="center"/>
            <w:hideMark/>
          </w:tcPr>
          <w:p w14:paraId="459DF539"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2,307,594</w:t>
            </w:r>
          </w:p>
        </w:tc>
        <w:tc>
          <w:tcPr>
            <w:tcW w:w="714" w:type="dxa"/>
            <w:tcBorders>
              <w:top w:val="nil"/>
              <w:left w:val="nil"/>
              <w:bottom w:val="single" w:sz="4" w:space="0" w:color="auto"/>
              <w:right w:val="single" w:sz="4" w:space="0" w:color="auto"/>
            </w:tcBorders>
            <w:shd w:val="clear" w:color="auto" w:fill="auto"/>
            <w:vAlign w:val="center"/>
            <w:hideMark/>
          </w:tcPr>
          <w:p w14:paraId="57D573EE"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89" w:type="dxa"/>
            <w:tcBorders>
              <w:top w:val="nil"/>
              <w:left w:val="nil"/>
              <w:bottom w:val="single" w:sz="4" w:space="0" w:color="auto"/>
              <w:right w:val="single" w:sz="4" w:space="0" w:color="auto"/>
            </w:tcBorders>
            <w:shd w:val="clear" w:color="auto" w:fill="auto"/>
            <w:vAlign w:val="center"/>
            <w:hideMark/>
          </w:tcPr>
          <w:p w14:paraId="32CD64B4"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126" w:type="dxa"/>
            <w:tcBorders>
              <w:top w:val="nil"/>
              <w:left w:val="nil"/>
              <w:bottom w:val="single" w:sz="4" w:space="0" w:color="auto"/>
              <w:right w:val="single" w:sz="4" w:space="0" w:color="auto"/>
            </w:tcBorders>
            <w:shd w:val="clear" w:color="auto" w:fill="auto"/>
            <w:vAlign w:val="center"/>
            <w:hideMark/>
          </w:tcPr>
          <w:p w14:paraId="0C9D0ECE"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54,475</w:t>
            </w:r>
          </w:p>
        </w:tc>
        <w:tc>
          <w:tcPr>
            <w:tcW w:w="720" w:type="dxa"/>
            <w:tcBorders>
              <w:top w:val="nil"/>
              <w:left w:val="nil"/>
              <w:bottom w:val="single" w:sz="4" w:space="0" w:color="auto"/>
              <w:right w:val="single" w:sz="4" w:space="0" w:color="auto"/>
            </w:tcBorders>
            <w:shd w:val="clear" w:color="auto" w:fill="auto"/>
            <w:vAlign w:val="center"/>
            <w:hideMark/>
          </w:tcPr>
          <w:p w14:paraId="004DBE4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5.5%</w:t>
            </w:r>
          </w:p>
        </w:tc>
      </w:tr>
      <w:tr w:rsidR="003F689D" w:rsidRPr="00EE5714" w14:paraId="02E07418" w14:textId="77777777" w:rsidTr="00D21AFC">
        <w:trPr>
          <w:trHeight w:val="26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257F5A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47,804</w:t>
            </w:r>
          </w:p>
        </w:tc>
        <w:tc>
          <w:tcPr>
            <w:tcW w:w="763" w:type="dxa"/>
            <w:tcBorders>
              <w:top w:val="nil"/>
              <w:left w:val="nil"/>
              <w:bottom w:val="single" w:sz="4" w:space="0" w:color="auto"/>
              <w:right w:val="single" w:sz="4" w:space="0" w:color="auto"/>
            </w:tcBorders>
            <w:shd w:val="clear" w:color="auto" w:fill="auto"/>
            <w:vAlign w:val="center"/>
            <w:hideMark/>
          </w:tcPr>
          <w:p w14:paraId="4377DEF6"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w:t>
            </w:r>
          </w:p>
        </w:tc>
        <w:tc>
          <w:tcPr>
            <w:tcW w:w="1109" w:type="dxa"/>
            <w:tcBorders>
              <w:top w:val="nil"/>
              <w:left w:val="nil"/>
              <w:bottom w:val="single" w:sz="4" w:space="0" w:color="auto"/>
              <w:right w:val="single" w:sz="4" w:space="0" w:color="auto"/>
            </w:tcBorders>
            <w:shd w:val="clear" w:color="auto" w:fill="auto"/>
            <w:vAlign w:val="center"/>
            <w:hideMark/>
          </w:tcPr>
          <w:p w14:paraId="68B14E4B"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109" w:type="dxa"/>
            <w:tcBorders>
              <w:top w:val="nil"/>
              <w:left w:val="nil"/>
              <w:bottom w:val="single" w:sz="4" w:space="0" w:color="auto"/>
              <w:right w:val="single" w:sz="4" w:space="0" w:color="auto"/>
            </w:tcBorders>
            <w:shd w:val="clear" w:color="auto" w:fill="auto"/>
            <w:vAlign w:val="center"/>
            <w:hideMark/>
          </w:tcPr>
          <w:p w14:paraId="751585A9"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36.0%</w:t>
            </w:r>
          </w:p>
        </w:tc>
        <w:tc>
          <w:tcPr>
            <w:tcW w:w="328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5B58C3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30D21D70"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126" w:type="dxa"/>
            <w:tcBorders>
              <w:top w:val="nil"/>
              <w:left w:val="nil"/>
              <w:bottom w:val="single" w:sz="4" w:space="0" w:color="auto"/>
              <w:right w:val="single" w:sz="4" w:space="0" w:color="auto"/>
            </w:tcBorders>
            <w:shd w:val="clear" w:color="auto" w:fill="auto"/>
            <w:vAlign w:val="center"/>
            <w:hideMark/>
          </w:tcPr>
          <w:p w14:paraId="07C00F4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48,942</w:t>
            </w:r>
          </w:p>
        </w:tc>
        <w:tc>
          <w:tcPr>
            <w:tcW w:w="720" w:type="dxa"/>
            <w:tcBorders>
              <w:top w:val="nil"/>
              <w:left w:val="nil"/>
              <w:bottom w:val="single" w:sz="4" w:space="0" w:color="auto"/>
              <w:right w:val="single" w:sz="4" w:space="0" w:color="auto"/>
            </w:tcBorders>
            <w:shd w:val="clear" w:color="auto" w:fill="auto"/>
            <w:vAlign w:val="center"/>
            <w:hideMark/>
          </w:tcPr>
          <w:p w14:paraId="6E16FC7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w:t>
            </w:r>
          </w:p>
        </w:tc>
      </w:tr>
      <w:tr w:rsidR="003F689D" w:rsidRPr="00EE5714" w14:paraId="27820720" w14:textId="77777777" w:rsidTr="00D21AFC">
        <w:trPr>
          <w:trHeight w:val="44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7D270CA"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7,037</w:t>
            </w:r>
          </w:p>
        </w:tc>
        <w:tc>
          <w:tcPr>
            <w:tcW w:w="763" w:type="dxa"/>
            <w:tcBorders>
              <w:top w:val="nil"/>
              <w:left w:val="nil"/>
              <w:bottom w:val="single" w:sz="4" w:space="0" w:color="auto"/>
              <w:right w:val="single" w:sz="4" w:space="0" w:color="auto"/>
            </w:tcBorders>
            <w:shd w:val="clear" w:color="auto" w:fill="auto"/>
            <w:vAlign w:val="center"/>
            <w:hideMark/>
          </w:tcPr>
          <w:p w14:paraId="5F3DFECD"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109" w:type="dxa"/>
            <w:tcBorders>
              <w:top w:val="nil"/>
              <w:left w:val="nil"/>
              <w:bottom w:val="single" w:sz="4" w:space="0" w:color="auto"/>
              <w:right w:val="single" w:sz="4" w:space="0" w:color="auto"/>
            </w:tcBorders>
            <w:shd w:val="clear" w:color="auto" w:fill="auto"/>
            <w:vAlign w:val="center"/>
            <w:hideMark/>
          </w:tcPr>
          <w:p w14:paraId="6864F45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109" w:type="dxa"/>
            <w:tcBorders>
              <w:top w:val="nil"/>
              <w:left w:val="nil"/>
              <w:bottom w:val="single" w:sz="4" w:space="0" w:color="auto"/>
              <w:right w:val="single" w:sz="4" w:space="0" w:color="auto"/>
            </w:tcBorders>
            <w:shd w:val="clear" w:color="auto" w:fill="auto"/>
            <w:vAlign w:val="center"/>
            <w:hideMark/>
          </w:tcPr>
          <w:p w14:paraId="03FE565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15.5%</w:t>
            </w:r>
          </w:p>
        </w:tc>
        <w:tc>
          <w:tcPr>
            <w:tcW w:w="1546" w:type="dxa"/>
            <w:tcBorders>
              <w:top w:val="single" w:sz="4" w:space="0" w:color="auto"/>
              <w:left w:val="nil"/>
              <w:bottom w:val="single" w:sz="4" w:space="0" w:color="auto"/>
              <w:right w:val="single" w:sz="4" w:space="0" w:color="auto"/>
            </w:tcBorders>
            <w:shd w:val="clear" w:color="000000" w:fill="E7E6E6"/>
            <w:vAlign w:val="center"/>
            <w:hideMark/>
          </w:tcPr>
          <w:p w14:paraId="4F4426CB"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1029" w:type="dxa"/>
            <w:tcBorders>
              <w:top w:val="single" w:sz="4" w:space="0" w:color="auto"/>
              <w:left w:val="nil"/>
              <w:bottom w:val="single" w:sz="4" w:space="0" w:color="auto"/>
              <w:right w:val="single" w:sz="4" w:space="0" w:color="auto"/>
            </w:tcBorders>
            <w:shd w:val="clear" w:color="000000" w:fill="E7E6E6"/>
            <w:vAlign w:val="center"/>
            <w:hideMark/>
          </w:tcPr>
          <w:p w14:paraId="04912100"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14" w:type="dxa"/>
            <w:tcBorders>
              <w:top w:val="single" w:sz="4" w:space="0" w:color="auto"/>
              <w:left w:val="nil"/>
              <w:bottom w:val="single" w:sz="4" w:space="0" w:color="auto"/>
              <w:right w:val="single" w:sz="4" w:space="0" w:color="auto"/>
            </w:tcBorders>
            <w:shd w:val="clear" w:color="000000" w:fill="E7E6E6"/>
            <w:vAlign w:val="center"/>
            <w:hideMark/>
          </w:tcPr>
          <w:p w14:paraId="4EABBC04"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189" w:type="dxa"/>
            <w:tcBorders>
              <w:top w:val="nil"/>
              <w:left w:val="nil"/>
              <w:bottom w:val="single" w:sz="4" w:space="0" w:color="auto"/>
              <w:right w:val="single" w:sz="4" w:space="0" w:color="auto"/>
            </w:tcBorders>
            <w:shd w:val="clear" w:color="auto" w:fill="auto"/>
            <w:vAlign w:val="center"/>
            <w:hideMark/>
          </w:tcPr>
          <w:p w14:paraId="2D58B614"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26" w:type="dxa"/>
            <w:tcBorders>
              <w:top w:val="nil"/>
              <w:left w:val="nil"/>
              <w:bottom w:val="single" w:sz="4" w:space="0" w:color="auto"/>
              <w:right w:val="single" w:sz="4" w:space="0" w:color="auto"/>
            </w:tcBorders>
            <w:shd w:val="clear" w:color="auto" w:fill="auto"/>
            <w:vAlign w:val="center"/>
            <w:hideMark/>
          </w:tcPr>
          <w:p w14:paraId="3F4DE1D3"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985,901</w:t>
            </w:r>
          </w:p>
        </w:tc>
        <w:tc>
          <w:tcPr>
            <w:tcW w:w="720" w:type="dxa"/>
            <w:tcBorders>
              <w:top w:val="nil"/>
              <w:left w:val="nil"/>
              <w:bottom w:val="single" w:sz="4" w:space="0" w:color="auto"/>
              <w:right w:val="single" w:sz="4" w:space="0" w:color="auto"/>
            </w:tcBorders>
            <w:shd w:val="clear" w:color="auto" w:fill="auto"/>
            <w:vAlign w:val="center"/>
            <w:hideMark/>
          </w:tcPr>
          <w:p w14:paraId="29DD3D36"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3F689D" w:rsidRPr="00EE5714" w14:paraId="27A59168" w14:textId="77777777" w:rsidTr="00D21AFC">
        <w:trPr>
          <w:trHeight w:val="26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2582D8B"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3,191</w:t>
            </w:r>
          </w:p>
        </w:tc>
        <w:tc>
          <w:tcPr>
            <w:tcW w:w="763" w:type="dxa"/>
            <w:tcBorders>
              <w:top w:val="nil"/>
              <w:left w:val="nil"/>
              <w:bottom w:val="single" w:sz="4" w:space="0" w:color="auto"/>
              <w:right w:val="single" w:sz="4" w:space="0" w:color="auto"/>
            </w:tcBorders>
            <w:shd w:val="clear" w:color="auto" w:fill="auto"/>
            <w:vAlign w:val="center"/>
            <w:hideMark/>
          </w:tcPr>
          <w:p w14:paraId="4BD7FBF2"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109" w:type="dxa"/>
            <w:tcBorders>
              <w:top w:val="nil"/>
              <w:left w:val="nil"/>
              <w:bottom w:val="single" w:sz="4" w:space="0" w:color="auto"/>
              <w:right w:val="single" w:sz="4" w:space="0" w:color="auto"/>
            </w:tcBorders>
            <w:shd w:val="clear" w:color="auto" w:fill="auto"/>
            <w:vAlign w:val="center"/>
            <w:hideMark/>
          </w:tcPr>
          <w:p w14:paraId="37E9539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109" w:type="dxa"/>
            <w:tcBorders>
              <w:top w:val="nil"/>
              <w:left w:val="nil"/>
              <w:bottom w:val="single" w:sz="4" w:space="0" w:color="auto"/>
              <w:right w:val="single" w:sz="4" w:space="0" w:color="auto"/>
            </w:tcBorders>
            <w:shd w:val="clear" w:color="auto" w:fill="auto"/>
            <w:vAlign w:val="center"/>
            <w:hideMark/>
          </w:tcPr>
          <w:p w14:paraId="0D37EE0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12.1%</w:t>
            </w:r>
          </w:p>
        </w:tc>
        <w:tc>
          <w:tcPr>
            <w:tcW w:w="1546" w:type="dxa"/>
            <w:tcBorders>
              <w:top w:val="nil"/>
              <w:left w:val="nil"/>
              <w:bottom w:val="single" w:sz="4" w:space="0" w:color="auto"/>
              <w:right w:val="single" w:sz="4" w:space="0" w:color="auto"/>
            </w:tcBorders>
            <w:shd w:val="clear" w:color="auto" w:fill="auto"/>
            <w:vAlign w:val="center"/>
            <w:hideMark/>
          </w:tcPr>
          <w:p w14:paraId="35B2F176"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1029" w:type="dxa"/>
            <w:tcBorders>
              <w:top w:val="nil"/>
              <w:left w:val="nil"/>
              <w:bottom w:val="single" w:sz="4" w:space="0" w:color="auto"/>
              <w:right w:val="single" w:sz="4" w:space="0" w:color="auto"/>
            </w:tcBorders>
            <w:shd w:val="clear" w:color="auto" w:fill="auto"/>
            <w:vAlign w:val="center"/>
            <w:hideMark/>
          </w:tcPr>
          <w:p w14:paraId="2CE605D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619,353</w:t>
            </w:r>
          </w:p>
        </w:tc>
        <w:tc>
          <w:tcPr>
            <w:tcW w:w="714" w:type="dxa"/>
            <w:tcBorders>
              <w:top w:val="nil"/>
              <w:left w:val="nil"/>
              <w:bottom w:val="single" w:sz="4" w:space="0" w:color="auto"/>
              <w:right w:val="single" w:sz="4" w:space="0" w:color="auto"/>
            </w:tcBorders>
            <w:shd w:val="clear" w:color="auto" w:fill="auto"/>
            <w:vAlign w:val="center"/>
            <w:hideMark/>
          </w:tcPr>
          <w:p w14:paraId="0F7A2DD9"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64.5%</w:t>
            </w:r>
          </w:p>
        </w:tc>
        <w:tc>
          <w:tcPr>
            <w:tcW w:w="1189" w:type="dxa"/>
            <w:tcBorders>
              <w:top w:val="nil"/>
              <w:left w:val="nil"/>
              <w:bottom w:val="single" w:sz="4" w:space="0" w:color="auto"/>
              <w:right w:val="single" w:sz="4" w:space="0" w:color="auto"/>
            </w:tcBorders>
            <w:shd w:val="clear" w:color="auto" w:fill="auto"/>
            <w:vAlign w:val="center"/>
            <w:hideMark/>
          </w:tcPr>
          <w:p w14:paraId="5D3D882A"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126" w:type="dxa"/>
            <w:tcBorders>
              <w:top w:val="nil"/>
              <w:left w:val="nil"/>
              <w:bottom w:val="single" w:sz="4" w:space="0" w:color="auto"/>
              <w:right w:val="single" w:sz="4" w:space="0" w:color="auto"/>
            </w:tcBorders>
            <w:shd w:val="clear" w:color="auto" w:fill="auto"/>
            <w:vAlign w:val="center"/>
            <w:hideMark/>
          </w:tcPr>
          <w:p w14:paraId="1C9DA52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$57,222</w:t>
            </w:r>
          </w:p>
        </w:tc>
        <w:tc>
          <w:tcPr>
            <w:tcW w:w="720" w:type="dxa"/>
            <w:tcBorders>
              <w:top w:val="nil"/>
              <w:left w:val="nil"/>
              <w:bottom w:val="single" w:sz="4" w:space="0" w:color="auto"/>
              <w:right w:val="single" w:sz="4" w:space="0" w:color="auto"/>
            </w:tcBorders>
            <w:shd w:val="clear" w:color="auto" w:fill="auto"/>
            <w:vAlign w:val="center"/>
            <w:hideMark/>
          </w:tcPr>
          <w:p w14:paraId="66D5803D"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3F689D" w:rsidRPr="00EE5714" w14:paraId="3E5C1E8B" w14:textId="77777777" w:rsidTr="00D21AFC">
        <w:trPr>
          <w:trHeight w:val="44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15C8162E"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800</w:t>
            </w:r>
          </w:p>
        </w:tc>
        <w:tc>
          <w:tcPr>
            <w:tcW w:w="763" w:type="dxa"/>
            <w:tcBorders>
              <w:top w:val="nil"/>
              <w:left w:val="nil"/>
              <w:bottom w:val="single" w:sz="4" w:space="0" w:color="auto"/>
              <w:right w:val="single" w:sz="4" w:space="0" w:color="auto"/>
            </w:tcBorders>
            <w:shd w:val="clear" w:color="auto" w:fill="auto"/>
            <w:vAlign w:val="center"/>
            <w:hideMark/>
          </w:tcPr>
          <w:p w14:paraId="38079C8E"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109" w:type="dxa"/>
            <w:tcBorders>
              <w:top w:val="nil"/>
              <w:left w:val="nil"/>
              <w:bottom w:val="single" w:sz="4" w:space="0" w:color="auto"/>
              <w:right w:val="single" w:sz="4" w:space="0" w:color="auto"/>
            </w:tcBorders>
            <w:shd w:val="clear" w:color="auto" w:fill="auto"/>
            <w:vAlign w:val="center"/>
            <w:hideMark/>
          </w:tcPr>
          <w:p w14:paraId="170DD61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109" w:type="dxa"/>
            <w:tcBorders>
              <w:top w:val="nil"/>
              <w:left w:val="nil"/>
              <w:bottom w:val="single" w:sz="4" w:space="0" w:color="auto"/>
              <w:right w:val="single" w:sz="4" w:space="0" w:color="auto"/>
            </w:tcBorders>
            <w:shd w:val="clear" w:color="auto" w:fill="auto"/>
            <w:vAlign w:val="center"/>
            <w:hideMark/>
          </w:tcPr>
          <w:p w14:paraId="08DC114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4.6%</w:t>
            </w:r>
          </w:p>
        </w:tc>
        <w:tc>
          <w:tcPr>
            <w:tcW w:w="1546" w:type="dxa"/>
            <w:tcBorders>
              <w:top w:val="nil"/>
              <w:left w:val="nil"/>
              <w:bottom w:val="single" w:sz="4" w:space="0" w:color="auto"/>
              <w:right w:val="single" w:sz="4" w:space="0" w:color="auto"/>
            </w:tcBorders>
            <w:shd w:val="clear" w:color="auto" w:fill="auto"/>
            <w:vAlign w:val="center"/>
            <w:hideMark/>
          </w:tcPr>
          <w:p w14:paraId="7D8F4BC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1029" w:type="dxa"/>
            <w:tcBorders>
              <w:top w:val="nil"/>
              <w:left w:val="nil"/>
              <w:bottom w:val="single" w:sz="4" w:space="0" w:color="auto"/>
              <w:right w:val="single" w:sz="4" w:space="0" w:color="auto"/>
            </w:tcBorders>
            <w:shd w:val="clear" w:color="auto" w:fill="auto"/>
            <w:vAlign w:val="center"/>
            <w:hideMark/>
          </w:tcPr>
          <w:p w14:paraId="7D5ABE3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32,160</w:t>
            </w:r>
          </w:p>
        </w:tc>
        <w:tc>
          <w:tcPr>
            <w:tcW w:w="714" w:type="dxa"/>
            <w:tcBorders>
              <w:top w:val="nil"/>
              <w:left w:val="nil"/>
              <w:bottom w:val="single" w:sz="4" w:space="0" w:color="auto"/>
              <w:right w:val="single" w:sz="4" w:space="0" w:color="auto"/>
            </w:tcBorders>
            <w:shd w:val="clear" w:color="auto" w:fill="auto"/>
            <w:vAlign w:val="center"/>
            <w:hideMark/>
          </w:tcPr>
          <w:p w14:paraId="1D41767E"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3.3%</w:t>
            </w:r>
          </w:p>
        </w:tc>
        <w:tc>
          <w:tcPr>
            <w:tcW w:w="1189" w:type="dxa"/>
            <w:tcBorders>
              <w:top w:val="nil"/>
              <w:left w:val="nil"/>
              <w:bottom w:val="single" w:sz="4" w:space="0" w:color="auto"/>
              <w:right w:val="single" w:sz="4" w:space="0" w:color="auto"/>
            </w:tcBorders>
            <w:shd w:val="clear" w:color="auto" w:fill="auto"/>
            <w:vAlign w:val="center"/>
            <w:hideMark/>
          </w:tcPr>
          <w:p w14:paraId="736B8022"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126" w:type="dxa"/>
            <w:tcBorders>
              <w:top w:val="nil"/>
              <w:left w:val="nil"/>
              <w:bottom w:val="single" w:sz="4" w:space="0" w:color="auto"/>
              <w:right w:val="single" w:sz="4" w:space="0" w:color="auto"/>
            </w:tcBorders>
            <w:shd w:val="clear" w:color="auto" w:fill="auto"/>
            <w:vAlign w:val="center"/>
            <w:hideMark/>
          </w:tcPr>
          <w:p w14:paraId="7E1F99AD"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$78,414</w:t>
            </w:r>
          </w:p>
        </w:tc>
        <w:tc>
          <w:tcPr>
            <w:tcW w:w="720" w:type="dxa"/>
            <w:tcBorders>
              <w:top w:val="nil"/>
              <w:left w:val="nil"/>
              <w:bottom w:val="single" w:sz="4" w:space="0" w:color="auto"/>
              <w:right w:val="single" w:sz="4" w:space="0" w:color="auto"/>
            </w:tcBorders>
            <w:shd w:val="clear" w:color="auto" w:fill="auto"/>
            <w:vAlign w:val="center"/>
            <w:hideMark/>
          </w:tcPr>
          <w:p w14:paraId="1D576F7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3F689D" w:rsidRPr="00EE5714" w14:paraId="2491F050" w14:textId="77777777" w:rsidTr="00D21AFC">
        <w:trPr>
          <w:trHeight w:val="26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6F0C8D11"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144</w:t>
            </w:r>
          </w:p>
        </w:tc>
        <w:tc>
          <w:tcPr>
            <w:tcW w:w="763" w:type="dxa"/>
            <w:tcBorders>
              <w:top w:val="nil"/>
              <w:left w:val="nil"/>
              <w:bottom w:val="single" w:sz="4" w:space="0" w:color="auto"/>
              <w:right w:val="single" w:sz="4" w:space="0" w:color="auto"/>
            </w:tcBorders>
            <w:shd w:val="clear" w:color="auto" w:fill="auto"/>
            <w:vAlign w:val="center"/>
            <w:hideMark/>
          </w:tcPr>
          <w:p w14:paraId="4F8CA57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09" w:type="dxa"/>
            <w:tcBorders>
              <w:top w:val="nil"/>
              <w:left w:val="nil"/>
              <w:bottom w:val="single" w:sz="4" w:space="0" w:color="auto"/>
              <w:right w:val="single" w:sz="4" w:space="0" w:color="auto"/>
            </w:tcBorders>
            <w:shd w:val="clear" w:color="auto" w:fill="auto"/>
            <w:vAlign w:val="center"/>
            <w:hideMark/>
          </w:tcPr>
          <w:p w14:paraId="61B4631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109" w:type="dxa"/>
            <w:tcBorders>
              <w:top w:val="nil"/>
              <w:left w:val="nil"/>
              <w:bottom w:val="single" w:sz="4" w:space="0" w:color="auto"/>
              <w:right w:val="single" w:sz="4" w:space="0" w:color="auto"/>
            </w:tcBorders>
            <w:shd w:val="clear" w:color="auto" w:fill="auto"/>
            <w:vAlign w:val="center"/>
            <w:hideMark/>
          </w:tcPr>
          <w:p w14:paraId="6049CD7B"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w:t>
            </w:r>
          </w:p>
        </w:tc>
        <w:tc>
          <w:tcPr>
            <w:tcW w:w="1546" w:type="dxa"/>
            <w:tcBorders>
              <w:top w:val="nil"/>
              <w:left w:val="nil"/>
              <w:bottom w:val="single" w:sz="4" w:space="0" w:color="auto"/>
              <w:right w:val="single" w:sz="4" w:space="0" w:color="auto"/>
            </w:tcBorders>
            <w:shd w:val="clear" w:color="auto" w:fill="auto"/>
            <w:vAlign w:val="center"/>
            <w:hideMark/>
          </w:tcPr>
          <w:p w14:paraId="0A5CD20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1029" w:type="dxa"/>
            <w:tcBorders>
              <w:top w:val="nil"/>
              <w:left w:val="nil"/>
              <w:bottom w:val="single" w:sz="4" w:space="0" w:color="auto"/>
              <w:right w:val="single" w:sz="4" w:space="0" w:color="auto"/>
            </w:tcBorders>
            <w:shd w:val="clear" w:color="auto" w:fill="auto"/>
            <w:vAlign w:val="center"/>
            <w:hideMark/>
          </w:tcPr>
          <w:p w14:paraId="25F166E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174,950</w:t>
            </w:r>
          </w:p>
        </w:tc>
        <w:tc>
          <w:tcPr>
            <w:tcW w:w="714" w:type="dxa"/>
            <w:tcBorders>
              <w:top w:val="nil"/>
              <w:left w:val="nil"/>
              <w:bottom w:val="single" w:sz="4" w:space="0" w:color="auto"/>
              <w:right w:val="single" w:sz="4" w:space="0" w:color="auto"/>
            </w:tcBorders>
            <w:shd w:val="clear" w:color="auto" w:fill="auto"/>
            <w:vAlign w:val="center"/>
            <w:hideMark/>
          </w:tcPr>
          <w:p w14:paraId="39056D0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18.2%</w:t>
            </w:r>
          </w:p>
        </w:tc>
        <w:tc>
          <w:tcPr>
            <w:tcW w:w="1189" w:type="dxa"/>
            <w:tcBorders>
              <w:top w:val="nil"/>
              <w:left w:val="nil"/>
              <w:bottom w:val="single" w:sz="4" w:space="0" w:color="auto"/>
              <w:right w:val="single" w:sz="4" w:space="0" w:color="auto"/>
            </w:tcBorders>
            <w:shd w:val="clear" w:color="auto" w:fill="auto"/>
            <w:vAlign w:val="center"/>
            <w:hideMark/>
          </w:tcPr>
          <w:p w14:paraId="20349FD4"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126" w:type="dxa"/>
            <w:tcBorders>
              <w:top w:val="nil"/>
              <w:left w:val="nil"/>
              <w:bottom w:val="single" w:sz="4" w:space="0" w:color="auto"/>
              <w:right w:val="single" w:sz="4" w:space="0" w:color="auto"/>
            </w:tcBorders>
            <w:shd w:val="clear" w:color="auto" w:fill="auto"/>
            <w:vAlign w:val="center"/>
            <w:hideMark/>
          </w:tcPr>
          <w:p w14:paraId="1DE44C4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$32,380</w:t>
            </w:r>
          </w:p>
        </w:tc>
        <w:tc>
          <w:tcPr>
            <w:tcW w:w="720" w:type="dxa"/>
            <w:tcBorders>
              <w:top w:val="nil"/>
              <w:left w:val="nil"/>
              <w:bottom w:val="single" w:sz="4" w:space="0" w:color="auto"/>
              <w:right w:val="single" w:sz="4" w:space="0" w:color="auto"/>
            </w:tcBorders>
            <w:shd w:val="clear" w:color="auto" w:fill="auto"/>
            <w:vAlign w:val="center"/>
            <w:hideMark/>
          </w:tcPr>
          <w:p w14:paraId="5A4F057A"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3F689D" w:rsidRPr="00EE5714" w14:paraId="5845E4FF" w14:textId="77777777" w:rsidTr="00D21AFC">
        <w:trPr>
          <w:trHeight w:val="44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0DBD027C"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152</w:t>
            </w:r>
          </w:p>
        </w:tc>
        <w:tc>
          <w:tcPr>
            <w:tcW w:w="763" w:type="dxa"/>
            <w:tcBorders>
              <w:top w:val="nil"/>
              <w:left w:val="nil"/>
              <w:bottom w:val="single" w:sz="4" w:space="0" w:color="auto"/>
              <w:right w:val="single" w:sz="4" w:space="0" w:color="auto"/>
            </w:tcBorders>
            <w:shd w:val="clear" w:color="auto" w:fill="auto"/>
            <w:vAlign w:val="center"/>
            <w:hideMark/>
          </w:tcPr>
          <w:p w14:paraId="27150539"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09" w:type="dxa"/>
            <w:tcBorders>
              <w:top w:val="nil"/>
              <w:left w:val="nil"/>
              <w:bottom w:val="single" w:sz="4" w:space="0" w:color="auto"/>
              <w:right w:val="single" w:sz="4" w:space="0" w:color="auto"/>
            </w:tcBorders>
            <w:shd w:val="clear" w:color="auto" w:fill="auto"/>
            <w:vAlign w:val="center"/>
            <w:hideMark/>
          </w:tcPr>
          <w:p w14:paraId="6C761BB2"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109" w:type="dxa"/>
            <w:tcBorders>
              <w:top w:val="nil"/>
              <w:left w:val="nil"/>
              <w:bottom w:val="single" w:sz="4" w:space="0" w:color="auto"/>
              <w:right w:val="single" w:sz="4" w:space="0" w:color="auto"/>
            </w:tcBorders>
            <w:shd w:val="clear" w:color="auto" w:fill="auto"/>
            <w:vAlign w:val="center"/>
            <w:hideMark/>
          </w:tcPr>
          <w:p w14:paraId="0A115A2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546" w:type="dxa"/>
            <w:tcBorders>
              <w:top w:val="nil"/>
              <w:left w:val="nil"/>
              <w:bottom w:val="single" w:sz="4" w:space="0" w:color="auto"/>
              <w:right w:val="single" w:sz="4" w:space="0" w:color="auto"/>
            </w:tcBorders>
            <w:shd w:val="clear" w:color="auto" w:fill="auto"/>
            <w:vAlign w:val="center"/>
            <w:hideMark/>
          </w:tcPr>
          <w:p w14:paraId="56BC3F9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1029" w:type="dxa"/>
            <w:tcBorders>
              <w:top w:val="nil"/>
              <w:left w:val="nil"/>
              <w:bottom w:val="single" w:sz="4" w:space="0" w:color="auto"/>
              <w:right w:val="single" w:sz="4" w:space="0" w:color="auto"/>
            </w:tcBorders>
            <w:shd w:val="clear" w:color="auto" w:fill="auto"/>
            <w:vAlign w:val="center"/>
            <w:hideMark/>
          </w:tcPr>
          <w:p w14:paraId="0EE07141"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95,151</w:t>
            </w:r>
          </w:p>
        </w:tc>
        <w:tc>
          <w:tcPr>
            <w:tcW w:w="714" w:type="dxa"/>
            <w:tcBorders>
              <w:top w:val="nil"/>
              <w:left w:val="nil"/>
              <w:bottom w:val="single" w:sz="4" w:space="0" w:color="auto"/>
              <w:right w:val="single" w:sz="4" w:space="0" w:color="auto"/>
            </w:tcBorders>
            <w:shd w:val="clear" w:color="auto" w:fill="auto"/>
            <w:vAlign w:val="center"/>
            <w:hideMark/>
          </w:tcPr>
          <w:p w14:paraId="5365859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9.9%</w:t>
            </w:r>
          </w:p>
        </w:tc>
        <w:tc>
          <w:tcPr>
            <w:tcW w:w="3035"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78C27D17"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Columbia Service Area                                            2012-2016 ACS</w:t>
            </w:r>
          </w:p>
        </w:tc>
      </w:tr>
      <w:tr w:rsidR="003F689D" w:rsidRPr="00EE5714" w14:paraId="16216B48" w14:textId="77777777" w:rsidTr="00D21AFC">
        <w:trPr>
          <w:trHeight w:val="44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0C6EFE68"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960,561</w:t>
            </w:r>
          </w:p>
        </w:tc>
        <w:tc>
          <w:tcPr>
            <w:tcW w:w="763" w:type="dxa"/>
            <w:tcBorders>
              <w:top w:val="nil"/>
              <w:left w:val="nil"/>
              <w:bottom w:val="single" w:sz="4" w:space="0" w:color="auto"/>
              <w:right w:val="single" w:sz="4" w:space="0" w:color="auto"/>
            </w:tcBorders>
            <w:shd w:val="clear" w:color="auto" w:fill="auto"/>
            <w:vAlign w:val="center"/>
            <w:hideMark/>
          </w:tcPr>
          <w:p w14:paraId="19228140"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14:paraId="5BC520D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14:paraId="34896824"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nil"/>
              <w:bottom w:val="single" w:sz="4" w:space="0" w:color="auto"/>
              <w:right w:val="single" w:sz="4" w:space="0" w:color="auto"/>
            </w:tcBorders>
            <w:shd w:val="clear" w:color="auto" w:fill="auto"/>
            <w:vAlign w:val="center"/>
            <w:hideMark/>
          </w:tcPr>
          <w:p w14:paraId="166D01FA"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1029" w:type="dxa"/>
            <w:tcBorders>
              <w:top w:val="nil"/>
              <w:left w:val="nil"/>
              <w:bottom w:val="single" w:sz="4" w:space="0" w:color="auto"/>
              <w:right w:val="single" w:sz="4" w:space="0" w:color="auto"/>
            </w:tcBorders>
            <w:shd w:val="clear" w:color="auto" w:fill="auto"/>
            <w:vAlign w:val="center"/>
            <w:hideMark/>
          </w:tcPr>
          <w:p w14:paraId="6EF17F9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5,762</w:t>
            </w:r>
          </w:p>
        </w:tc>
        <w:tc>
          <w:tcPr>
            <w:tcW w:w="714" w:type="dxa"/>
            <w:tcBorders>
              <w:top w:val="nil"/>
              <w:left w:val="nil"/>
              <w:bottom w:val="single" w:sz="4" w:space="0" w:color="auto"/>
              <w:right w:val="single" w:sz="4" w:space="0" w:color="auto"/>
            </w:tcBorders>
            <w:shd w:val="clear" w:color="auto" w:fill="auto"/>
            <w:vAlign w:val="center"/>
            <w:hideMark/>
          </w:tcPr>
          <w:p w14:paraId="41B82D9A"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189" w:type="dxa"/>
            <w:tcBorders>
              <w:top w:val="single" w:sz="4" w:space="0" w:color="auto"/>
              <w:left w:val="nil"/>
              <w:bottom w:val="single" w:sz="4" w:space="0" w:color="auto"/>
              <w:right w:val="single" w:sz="4" w:space="0" w:color="auto"/>
            </w:tcBorders>
            <w:shd w:val="clear" w:color="000000" w:fill="E7E6E6"/>
            <w:vAlign w:val="center"/>
            <w:hideMark/>
          </w:tcPr>
          <w:p w14:paraId="51BA48E2"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126" w:type="dxa"/>
            <w:tcBorders>
              <w:top w:val="single" w:sz="4" w:space="0" w:color="auto"/>
              <w:left w:val="nil"/>
              <w:bottom w:val="single" w:sz="4" w:space="0" w:color="auto"/>
              <w:right w:val="single" w:sz="4" w:space="0" w:color="auto"/>
            </w:tcBorders>
            <w:shd w:val="clear" w:color="000000" w:fill="E7E6E6"/>
            <w:vAlign w:val="center"/>
            <w:hideMark/>
          </w:tcPr>
          <w:p w14:paraId="728ADB11"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20" w:type="dxa"/>
            <w:tcBorders>
              <w:top w:val="single" w:sz="4" w:space="0" w:color="auto"/>
              <w:left w:val="nil"/>
              <w:bottom w:val="single" w:sz="4" w:space="0" w:color="auto"/>
              <w:right w:val="single" w:sz="4" w:space="0" w:color="auto"/>
            </w:tcBorders>
            <w:shd w:val="clear" w:color="000000" w:fill="E7E6E6"/>
            <w:vAlign w:val="center"/>
            <w:hideMark/>
          </w:tcPr>
          <w:p w14:paraId="54031AA1"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3F689D" w:rsidRPr="00EE5714" w14:paraId="0FE2845D" w14:textId="77777777" w:rsidTr="00D21AFC">
        <w:trPr>
          <w:trHeight w:val="381"/>
          <w:jc w:val="center"/>
        </w:trPr>
        <w:tc>
          <w:tcPr>
            <w:tcW w:w="4170" w:type="dxa"/>
            <w:gridSpan w:val="4"/>
            <w:tcBorders>
              <w:top w:val="single" w:sz="4" w:space="0" w:color="auto"/>
              <w:left w:val="single" w:sz="4" w:space="0" w:color="auto"/>
              <w:bottom w:val="single" w:sz="4" w:space="0" w:color="auto"/>
              <w:right w:val="single" w:sz="4" w:space="0" w:color="000000"/>
            </w:tcBorders>
            <w:shd w:val="clear" w:color="000000" w:fill="E7E6E6"/>
            <w:vAlign w:val="center"/>
            <w:hideMark/>
          </w:tcPr>
          <w:p w14:paraId="1B1D6600" w14:textId="7D6C2F3A"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Columbia Service Area - 2012-2016 ACS</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1DED45B"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1029" w:type="dxa"/>
            <w:tcBorders>
              <w:top w:val="nil"/>
              <w:left w:val="nil"/>
              <w:bottom w:val="single" w:sz="4" w:space="0" w:color="auto"/>
              <w:right w:val="single" w:sz="4" w:space="0" w:color="auto"/>
            </w:tcBorders>
            <w:shd w:val="clear" w:color="auto" w:fill="auto"/>
            <w:vAlign w:val="center"/>
            <w:hideMark/>
          </w:tcPr>
          <w:p w14:paraId="6C859666"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24,013</w:t>
            </w:r>
          </w:p>
        </w:tc>
        <w:tc>
          <w:tcPr>
            <w:tcW w:w="714" w:type="dxa"/>
            <w:tcBorders>
              <w:top w:val="nil"/>
              <w:left w:val="nil"/>
              <w:bottom w:val="single" w:sz="4" w:space="0" w:color="auto"/>
              <w:right w:val="single" w:sz="4" w:space="0" w:color="auto"/>
            </w:tcBorders>
            <w:shd w:val="clear" w:color="auto" w:fill="auto"/>
            <w:vAlign w:val="center"/>
            <w:hideMark/>
          </w:tcPr>
          <w:p w14:paraId="5BE7C41C"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w:t>
            </w:r>
          </w:p>
        </w:tc>
        <w:tc>
          <w:tcPr>
            <w:tcW w:w="1189" w:type="dxa"/>
            <w:tcBorders>
              <w:top w:val="nil"/>
              <w:left w:val="nil"/>
              <w:bottom w:val="single" w:sz="4" w:space="0" w:color="auto"/>
              <w:right w:val="single" w:sz="4" w:space="0" w:color="auto"/>
            </w:tcBorders>
            <w:shd w:val="clear" w:color="auto" w:fill="auto"/>
            <w:vAlign w:val="center"/>
            <w:hideMark/>
          </w:tcPr>
          <w:p w14:paraId="655B462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260,904</w:t>
            </w:r>
          </w:p>
        </w:tc>
        <w:tc>
          <w:tcPr>
            <w:tcW w:w="1126" w:type="dxa"/>
            <w:tcBorders>
              <w:top w:val="nil"/>
              <w:left w:val="nil"/>
              <w:bottom w:val="single" w:sz="4" w:space="0" w:color="auto"/>
              <w:right w:val="single" w:sz="4" w:space="0" w:color="auto"/>
            </w:tcBorders>
            <w:shd w:val="clear" w:color="auto" w:fill="auto"/>
            <w:vAlign w:val="center"/>
            <w:hideMark/>
          </w:tcPr>
          <w:p w14:paraId="799F3A27"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20" w:type="dxa"/>
            <w:tcBorders>
              <w:top w:val="nil"/>
              <w:left w:val="nil"/>
              <w:bottom w:val="single" w:sz="4" w:space="0" w:color="auto"/>
              <w:right w:val="single" w:sz="4" w:space="0" w:color="auto"/>
            </w:tcBorders>
            <w:shd w:val="clear" w:color="auto" w:fill="auto"/>
            <w:vAlign w:val="center"/>
            <w:hideMark/>
          </w:tcPr>
          <w:p w14:paraId="6C86F143"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37.3%</w:t>
            </w:r>
          </w:p>
        </w:tc>
      </w:tr>
      <w:tr w:rsidR="003F689D" w:rsidRPr="00EE5714" w14:paraId="4AAFC7F3" w14:textId="77777777" w:rsidTr="00D21AFC">
        <w:trPr>
          <w:trHeight w:val="263"/>
          <w:jc w:val="center"/>
        </w:trPr>
        <w:tc>
          <w:tcPr>
            <w:tcW w:w="118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FFCA259"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2981"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19ED23E0"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3985FF7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1029" w:type="dxa"/>
            <w:tcBorders>
              <w:top w:val="nil"/>
              <w:left w:val="nil"/>
              <w:bottom w:val="single" w:sz="4" w:space="0" w:color="auto"/>
              <w:right w:val="single" w:sz="4" w:space="0" w:color="auto"/>
            </w:tcBorders>
            <w:shd w:val="clear" w:color="auto" w:fill="auto"/>
            <w:vAlign w:val="center"/>
            <w:hideMark/>
          </w:tcPr>
          <w:p w14:paraId="64A5A5A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189</w:t>
            </w:r>
          </w:p>
        </w:tc>
        <w:tc>
          <w:tcPr>
            <w:tcW w:w="714" w:type="dxa"/>
            <w:tcBorders>
              <w:top w:val="nil"/>
              <w:left w:val="nil"/>
              <w:bottom w:val="single" w:sz="4" w:space="0" w:color="auto"/>
              <w:right w:val="single" w:sz="4" w:space="0" w:color="auto"/>
            </w:tcBorders>
            <w:shd w:val="clear" w:color="auto" w:fill="auto"/>
            <w:vAlign w:val="center"/>
            <w:hideMark/>
          </w:tcPr>
          <w:p w14:paraId="41D117CA"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89" w:type="dxa"/>
            <w:tcBorders>
              <w:top w:val="nil"/>
              <w:left w:val="nil"/>
              <w:bottom w:val="single" w:sz="4" w:space="0" w:color="auto"/>
              <w:right w:val="single" w:sz="4" w:space="0" w:color="auto"/>
            </w:tcBorders>
            <w:shd w:val="clear" w:color="auto" w:fill="auto"/>
            <w:vAlign w:val="center"/>
            <w:hideMark/>
          </w:tcPr>
          <w:p w14:paraId="0D8A8098"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699,655</w:t>
            </w:r>
          </w:p>
        </w:tc>
        <w:tc>
          <w:tcPr>
            <w:tcW w:w="1126" w:type="dxa"/>
            <w:tcBorders>
              <w:top w:val="nil"/>
              <w:left w:val="nil"/>
              <w:bottom w:val="single" w:sz="4" w:space="0" w:color="auto"/>
              <w:right w:val="single" w:sz="4" w:space="0" w:color="auto"/>
            </w:tcBorders>
            <w:shd w:val="clear" w:color="auto" w:fill="auto"/>
            <w:vAlign w:val="center"/>
            <w:hideMark/>
          </w:tcPr>
          <w:p w14:paraId="15740364"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20" w:type="dxa"/>
            <w:tcBorders>
              <w:top w:val="nil"/>
              <w:left w:val="nil"/>
              <w:bottom w:val="single" w:sz="4" w:space="0" w:color="auto"/>
              <w:right w:val="single" w:sz="4" w:space="0" w:color="auto"/>
            </w:tcBorders>
            <w:shd w:val="clear" w:color="auto" w:fill="auto"/>
            <w:vAlign w:val="center"/>
            <w:hideMark/>
          </w:tcPr>
          <w:p w14:paraId="1EB2C156"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62.7%</w:t>
            </w:r>
          </w:p>
        </w:tc>
      </w:tr>
      <w:tr w:rsidR="003F689D" w:rsidRPr="00EE5714" w14:paraId="5BB388F6" w14:textId="77777777" w:rsidTr="00D21AFC">
        <w:trPr>
          <w:trHeight w:val="499"/>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54968899"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109,903</w:t>
            </w:r>
          </w:p>
        </w:tc>
        <w:tc>
          <w:tcPr>
            <w:tcW w:w="763" w:type="dxa"/>
            <w:tcBorders>
              <w:top w:val="single" w:sz="4" w:space="0" w:color="auto"/>
              <w:left w:val="nil"/>
              <w:bottom w:val="single" w:sz="4" w:space="0" w:color="auto"/>
              <w:right w:val="single" w:sz="4" w:space="0" w:color="auto"/>
            </w:tcBorders>
            <w:shd w:val="clear" w:color="auto" w:fill="auto"/>
            <w:vAlign w:val="center"/>
            <w:hideMark/>
          </w:tcPr>
          <w:p w14:paraId="2E032ED3"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11.4%</w:t>
            </w:r>
          </w:p>
        </w:tc>
        <w:tc>
          <w:tcPr>
            <w:tcW w:w="22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B2814F1"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BB8358B"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1029" w:type="dxa"/>
            <w:tcBorders>
              <w:top w:val="nil"/>
              <w:left w:val="nil"/>
              <w:bottom w:val="single" w:sz="4" w:space="0" w:color="auto"/>
              <w:right w:val="single" w:sz="4" w:space="0" w:color="auto"/>
            </w:tcBorders>
            <w:shd w:val="clear" w:color="auto" w:fill="auto"/>
            <w:vAlign w:val="center"/>
            <w:hideMark/>
          </w:tcPr>
          <w:p w14:paraId="44EB0716"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6,191</w:t>
            </w:r>
          </w:p>
        </w:tc>
        <w:tc>
          <w:tcPr>
            <w:tcW w:w="714" w:type="dxa"/>
            <w:tcBorders>
              <w:top w:val="nil"/>
              <w:left w:val="nil"/>
              <w:bottom w:val="single" w:sz="4" w:space="0" w:color="auto"/>
              <w:right w:val="single" w:sz="4" w:space="0" w:color="auto"/>
            </w:tcBorders>
            <w:shd w:val="clear" w:color="auto" w:fill="auto"/>
            <w:vAlign w:val="center"/>
            <w:hideMark/>
          </w:tcPr>
          <w:p w14:paraId="077BBEEC"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189" w:type="dxa"/>
            <w:tcBorders>
              <w:top w:val="nil"/>
              <w:left w:val="nil"/>
              <w:bottom w:val="single" w:sz="4" w:space="0" w:color="auto"/>
              <w:right w:val="single" w:sz="4" w:space="0" w:color="auto"/>
            </w:tcBorders>
            <w:shd w:val="clear" w:color="auto" w:fill="auto"/>
            <w:vAlign w:val="center"/>
            <w:hideMark/>
          </w:tcPr>
          <w:p w14:paraId="315814BD"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294,787</w:t>
            </w:r>
          </w:p>
        </w:tc>
        <w:tc>
          <w:tcPr>
            <w:tcW w:w="1126" w:type="dxa"/>
            <w:tcBorders>
              <w:top w:val="nil"/>
              <w:left w:val="nil"/>
              <w:bottom w:val="single" w:sz="4" w:space="0" w:color="auto"/>
              <w:right w:val="single" w:sz="4" w:space="0" w:color="auto"/>
            </w:tcBorders>
            <w:shd w:val="clear" w:color="auto" w:fill="auto"/>
            <w:vAlign w:val="center"/>
            <w:hideMark/>
          </w:tcPr>
          <w:p w14:paraId="1B20688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20" w:type="dxa"/>
            <w:tcBorders>
              <w:top w:val="nil"/>
              <w:left w:val="nil"/>
              <w:bottom w:val="single" w:sz="4" w:space="0" w:color="auto"/>
              <w:right w:val="single" w:sz="4" w:space="0" w:color="auto"/>
            </w:tcBorders>
            <w:shd w:val="clear" w:color="auto" w:fill="auto"/>
            <w:vAlign w:val="center"/>
            <w:hideMark/>
          </w:tcPr>
          <w:p w14:paraId="4557FDE1" w14:textId="77777777" w:rsidR="003F689D" w:rsidRPr="00EE5714" w:rsidRDefault="003F689D"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44.3%</w:t>
            </w:r>
          </w:p>
        </w:tc>
      </w:tr>
      <w:tr w:rsidR="003F689D" w:rsidRPr="00EE5714" w14:paraId="50FDCEB8" w14:textId="77777777" w:rsidTr="00D21AFC">
        <w:trPr>
          <w:trHeight w:val="44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119A389C"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850,656</w:t>
            </w:r>
          </w:p>
        </w:tc>
        <w:tc>
          <w:tcPr>
            <w:tcW w:w="763" w:type="dxa"/>
            <w:tcBorders>
              <w:top w:val="nil"/>
              <w:left w:val="nil"/>
              <w:bottom w:val="single" w:sz="4" w:space="0" w:color="auto"/>
              <w:right w:val="single" w:sz="4" w:space="0" w:color="auto"/>
            </w:tcBorders>
            <w:shd w:val="clear" w:color="auto" w:fill="auto"/>
            <w:vAlign w:val="center"/>
            <w:hideMark/>
          </w:tcPr>
          <w:p w14:paraId="647A7A15"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88.6%</w:t>
            </w:r>
          </w:p>
        </w:tc>
        <w:tc>
          <w:tcPr>
            <w:tcW w:w="22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9AA676C"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294E7460"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1029" w:type="dxa"/>
            <w:tcBorders>
              <w:top w:val="nil"/>
              <w:left w:val="nil"/>
              <w:bottom w:val="single" w:sz="4" w:space="0" w:color="auto"/>
              <w:right w:val="single" w:sz="4" w:space="0" w:color="auto"/>
            </w:tcBorders>
            <w:shd w:val="clear" w:color="auto" w:fill="auto"/>
            <w:vAlign w:val="center"/>
            <w:hideMark/>
          </w:tcPr>
          <w:p w14:paraId="41D34E0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2,791</w:t>
            </w:r>
          </w:p>
        </w:tc>
        <w:tc>
          <w:tcPr>
            <w:tcW w:w="714" w:type="dxa"/>
            <w:tcBorders>
              <w:top w:val="nil"/>
              <w:left w:val="nil"/>
              <w:bottom w:val="single" w:sz="4" w:space="0" w:color="auto"/>
              <w:right w:val="single" w:sz="4" w:space="0" w:color="auto"/>
            </w:tcBorders>
            <w:shd w:val="clear" w:color="auto" w:fill="auto"/>
            <w:vAlign w:val="center"/>
            <w:hideMark/>
          </w:tcPr>
          <w:p w14:paraId="62665E5A"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189" w:type="dxa"/>
            <w:tcBorders>
              <w:top w:val="nil"/>
              <w:left w:val="nil"/>
              <w:bottom w:val="single" w:sz="4" w:space="0" w:color="auto"/>
              <w:right w:val="single" w:sz="4" w:space="0" w:color="auto"/>
            </w:tcBorders>
            <w:shd w:val="clear" w:color="auto" w:fill="auto"/>
            <w:vAlign w:val="center"/>
            <w:hideMark/>
          </w:tcPr>
          <w:p w14:paraId="0C3E98C9"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665,772</w:t>
            </w:r>
          </w:p>
        </w:tc>
        <w:tc>
          <w:tcPr>
            <w:tcW w:w="1126" w:type="dxa"/>
            <w:tcBorders>
              <w:top w:val="nil"/>
              <w:left w:val="nil"/>
              <w:bottom w:val="single" w:sz="4" w:space="0" w:color="auto"/>
              <w:right w:val="single" w:sz="4" w:space="0" w:color="auto"/>
            </w:tcBorders>
            <w:shd w:val="clear" w:color="auto" w:fill="auto"/>
            <w:vAlign w:val="center"/>
            <w:hideMark/>
          </w:tcPr>
          <w:p w14:paraId="587814AF"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20" w:type="dxa"/>
            <w:tcBorders>
              <w:top w:val="nil"/>
              <w:left w:val="nil"/>
              <w:bottom w:val="single" w:sz="4" w:space="0" w:color="auto"/>
              <w:right w:val="single" w:sz="4" w:space="0" w:color="auto"/>
            </w:tcBorders>
            <w:shd w:val="clear" w:color="auto" w:fill="auto"/>
            <w:vAlign w:val="center"/>
            <w:hideMark/>
          </w:tcPr>
          <w:p w14:paraId="11BE6A39" w14:textId="77777777" w:rsidR="003F689D" w:rsidRPr="00EE5714" w:rsidRDefault="003F689D"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55.7%</w:t>
            </w:r>
          </w:p>
        </w:tc>
      </w:tr>
      <w:tr w:rsidR="003F689D" w:rsidRPr="00EE5714" w14:paraId="6F856EC2" w14:textId="77777777" w:rsidTr="00D21AFC">
        <w:trPr>
          <w:trHeight w:val="26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3F043A8" w14:textId="77777777" w:rsidR="003F689D" w:rsidRPr="00EE5714" w:rsidRDefault="003F689D" w:rsidP="003F689D">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960,559</w:t>
            </w:r>
          </w:p>
        </w:tc>
        <w:tc>
          <w:tcPr>
            <w:tcW w:w="298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3606391" w14:textId="77777777" w:rsidR="003F689D" w:rsidRPr="00EE5714" w:rsidRDefault="003F689D" w:rsidP="003F689D">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43D87BDB" w14:textId="77777777" w:rsidR="003F689D" w:rsidRPr="00EE5714" w:rsidRDefault="003F689D" w:rsidP="003F689D">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29" w:type="dxa"/>
            <w:tcBorders>
              <w:top w:val="nil"/>
              <w:left w:val="nil"/>
              <w:bottom w:val="single" w:sz="4" w:space="0" w:color="auto"/>
              <w:right w:val="single" w:sz="4" w:space="0" w:color="auto"/>
            </w:tcBorders>
            <w:shd w:val="clear" w:color="auto" w:fill="auto"/>
            <w:vAlign w:val="center"/>
            <w:hideMark/>
          </w:tcPr>
          <w:p w14:paraId="631453A7" w14:textId="77777777" w:rsidR="003F689D" w:rsidRPr="00EE5714" w:rsidRDefault="003F689D" w:rsidP="003F689D">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960,560</w:t>
            </w:r>
          </w:p>
        </w:tc>
        <w:tc>
          <w:tcPr>
            <w:tcW w:w="714" w:type="dxa"/>
            <w:tcBorders>
              <w:top w:val="nil"/>
              <w:left w:val="nil"/>
              <w:bottom w:val="single" w:sz="4" w:space="0" w:color="auto"/>
              <w:right w:val="single" w:sz="4" w:space="0" w:color="auto"/>
            </w:tcBorders>
            <w:shd w:val="clear" w:color="auto" w:fill="auto"/>
            <w:vAlign w:val="center"/>
            <w:hideMark/>
          </w:tcPr>
          <w:p w14:paraId="1DDA185E" w14:textId="77777777" w:rsidR="003F689D" w:rsidRPr="00EE5714" w:rsidRDefault="003F689D" w:rsidP="003F689D">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89" w:type="dxa"/>
            <w:tcBorders>
              <w:top w:val="nil"/>
              <w:left w:val="nil"/>
              <w:bottom w:val="single" w:sz="4" w:space="0" w:color="auto"/>
              <w:right w:val="single" w:sz="4" w:space="0" w:color="auto"/>
            </w:tcBorders>
            <w:shd w:val="clear" w:color="auto" w:fill="auto"/>
            <w:vAlign w:val="center"/>
            <w:hideMark/>
          </w:tcPr>
          <w:p w14:paraId="52E59ACD" w14:textId="77777777" w:rsidR="003F689D" w:rsidRPr="00EE5714" w:rsidRDefault="003F689D" w:rsidP="003F689D">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960,559</w:t>
            </w:r>
          </w:p>
        </w:tc>
        <w:tc>
          <w:tcPr>
            <w:tcW w:w="18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707D58" w14:textId="77777777" w:rsidR="003F689D" w:rsidRPr="00EE5714" w:rsidRDefault="003F689D" w:rsidP="003F689D">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6CF707DA" w14:textId="77777777" w:rsidR="00D21AFC" w:rsidRPr="00EE5714" w:rsidRDefault="00D21AFC" w:rsidP="00D21AFC">
      <w:pPr>
        <w:spacing w:after="0" w:line="240" w:lineRule="auto"/>
        <w:rPr>
          <w:rFonts w:ascii="Times New Roman" w:hAnsi="Times New Roman" w:cs="Times New Roman"/>
          <w:sz w:val="26"/>
          <w:szCs w:val="26"/>
        </w:rPr>
      </w:pPr>
    </w:p>
    <w:p w14:paraId="5BF52E4E" w14:textId="77777777" w:rsidR="00D21AFC" w:rsidRPr="00EE5714" w:rsidRDefault="00D21AFC" w:rsidP="00D21AFC">
      <w:pPr>
        <w:spacing w:after="0" w:line="240" w:lineRule="auto"/>
        <w:rPr>
          <w:rFonts w:ascii="Times New Roman" w:hAnsi="Times New Roman" w:cs="Times New Roman"/>
          <w:sz w:val="26"/>
          <w:szCs w:val="26"/>
        </w:rPr>
      </w:pPr>
    </w:p>
    <w:p w14:paraId="67FE46C4" w14:textId="77777777" w:rsidR="005E17B3" w:rsidRPr="00EE5714" w:rsidRDefault="005E17B3" w:rsidP="00661388">
      <w:pPr>
        <w:pStyle w:val="NoSpacing"/>
        <w:keepNext/>
      </w:pPr>
      <w:r w:rsidRPr="00EE5714">
        <w:lastRenderedPageBreak/>
        <w:t>Appendix 1.</w:t>
      </w:r>
      <w:r w:rsidR="006166C1" w:rsidRPr="00EE5714">
        <w:t>A.2</w:t>
      </w:r>
      <w:r w:rsidRPr="00EE5714">
        <w:t xml:space="preserve">: </w:t>
      </w:r>
      <w:r w:rsidR="007C2A53" w:rsidRPr="00EE5714">
        <w:rPr>
          <w:b/>
        </w:rPr>
        <w:t>NFG</w:t>
      </w:r>
      <w:r w:rsidRPr="00EE5714">
        <w:rPr>
          <w:b/>
        </w:rPr>
        <w:t xml:space="preserve"> Service Territory Demographic Profile</w:t>
      </w:r>
    </w:p>
    <w:tbl>
      <w:tblPr>
        <w:tblW w:w="10542" w:type="dxa"/>
        <w:jc w:val="center"/>
        <w:tblLook w:val="04A0" w:firstRow="1" w:lastRow="0" w:firstColumn="1" w:lastColumn="0" w:noHBand="0" w:noVBand="1"/>
      </w:tblPr>
      <w:tblGrid>
        <w:gridCol w:w="1189"/>
        <w:gridCol w:w="815"/>
        <w:gridCol w:w="1109"/>
        <w:gridCol w:w="1109"/>
        <w:gridCol w:w="1546"/>
        <w:gridCol w:w="1029"/>
        <w:gridCol w:w="714"/>
        <w:gridCol w:w="1189"/>
        <w:gridCol w:w="1126"/>
        <w:gridCol w:w="720"/>
      </w:tblGrid>
      <w:tr w:rsidR="00ED1A23" w:rsidRPr="00EE5714" w14:paraId="6A4EEA61" w14:textId="77777777" w:rsidTr="007517EB">
        <w:trPr>
          <w:trHeight w:val="709"/>
          <w:jc w:val="center"/>
        </w:trPr>
        <w:tc>
          <w:tcPr>
            <w:tcW w:w="116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0EDC4A4"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NFG</w:t>
            </w:r>
          </w:p>
        </w:tc>
        <w:tc>
          <w:tcPr>
            <w:tcW w:w="1942" w:type="dxa"/>
            <w:gridSpan w:val="2"/>
            <w:tcBorders>
              <w:top w:val="single" w:sz="4" w:space="0" w:color="auto"/>
              <w:left w:val="nil"/>
              <w:bottom w:val="single" w:sz="4" w:space="0" w:color="auto"/>
              <w:right w:val="single" w:sz="4" w:space="0" w:color="auto"/>
            </w:tcBorders>
            <w:shd w:val="clear" w:color="000000" w:fill="E7E6E6"/>
            <w:vAlign w:val="center"/>
            <w:hideMark/>
          </w:tcPr>
          <w:p w14:paraId="5C9D8F95"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082"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39A3653"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211" w:type="dxa"/>
            <w:gridSpan w:val="3"/>
            <w:tcBorders>
              <w:top w:val="single" w:sz="4" w:space="0" w:color="auto"/>
              <w:left w:val="nil"/>
              <w:bottom w:val="single" w:sz="4" w:space="0" w:color="auto"/>
              <w:right w:val="single" w:sz="4" w:space="0" w:color="auto"/>
            </w:tcBorders>
            <w:shd w:val="clear" w:color="000000" w:fill="E7E6E6"/>
            <w:vAlign w:val="center"/>
            <w:hideMark/>
          </w:tcPr>
          <w:p w14:paraId="6E22D6E8"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147" w:type="dxa"/>
            <w:gridSpan w:val="3"/>
            <w:tcBorders>
              <w:top w:val="single" w:sz="4" w:space="0" w:color="auto"/>
              <w:left w:val="nil"/>
              <w:bottom w:val="single" w:sz="4" w:space="0" w:color="auto"/>
              <w:right w:val="single" w:sz="4" w:space="0" w:color="auto"/>
            </w:tcBorders>
            <w:shd w:val="clear" w:color="000000" w:fill="E7E6E6"/>
            <w:vAlign w:val="center"/>
            <w:hideMark/>
          </w:tcPr>
          <w:p w14:paraId="499B6A6E"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ED1A23" w:rsidRPr="00EE5714" w14:paraId="3FDE159D" w14:textId="77777777" w:rsidTr="007517EB">
        <w:trPr>
          <w:trHeight w:val="561"/>
          <w:jc w:val="center"/>
        </w:trPr>
        <w:tc>
          <w:tcPr>
            <w:tcW w:w="1160" w:type="dxa"/>
            <w:tcBorders>
              <w:top w:val="nil"/>
              <w:left w:val="single" w:sz="4" w:space="0" w:color="auto"/>
              <w:bottom w:val="single" w:sz="4" w:space="0" w:color="auto"/>
              <w:right w:val="single" w:sz="4" w:space="0" w:color="auto"/>
            </w:tcBorders>
            <w:shd w:val="clear" w:color="000000" w:fill="E7E6E6"/>
            <w:vAlign w:val="center"/>
            <w:hideMark/>
          </w:tcPr>
          <w:p w14:paraId="70828512"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62.50%</w:t>
            </w:r>
          </w:p>
        </w:tc>
        <w:tc>
          <w:tcPr>
            <w:tcW w:w="859" w:type="dxa"/>
            <w:tcBorders>
              <w:top w:val="nil"/>
              <w:left w:val="nil"/>
              <w:bottom w:val="single" w:sz="4" w:space="0" w:color="auto"/>
              <w:right w:val="single" w:sz="4" w:space="0" w:color="auto"/>
            </w:tcBorders>
            <w:shd w:val="clear" w:color="000000" w:fill="E7E6E6"/>
            <w:vAlign w:val="center"/>
            <w:hideMark/>
          </w:tcPr>
          <w:p w14:paraId="5A37EAB7"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082" w:type="dxa"/>
            <w:tcBorders>
              <w:top w:val="nil"/>
              <w:left w:val="nil"/>
              <w:bottom w:val="single" w:sz="4" w:space="0" w:color="auto"/>
              <w:right w:val="single" w:sz="4" w:space="0" w:color="auto"/>
            </w:tcBorders>
            <w:shd w:val="clear" w:color="000000" w:fill="E7E6E6"/>
            <w:vAlign w:val="center"/>
            <w:hideMark/>
          </w:tcPr>
          <w:p w14:paraId="2E344CF7"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082" w:type="dxa"/>
            <w:vMerge/>
            <w:tcBorders>
              <w:top w:val="single" w:sz="4" w:space="0" w:color="auto"/>
              <w:left w:val="single" w:sz="4" w:space="0" w:color="auto"/>
              <w:bottom w:val="single" w:sz="4" w:space="0" w:color="auto"/>
              <w:right w:val="single" w:sz="4" w:space="0" w:color="auto"/>
            </w:tcBorders>
            <w:vAlign w:val="center"/>
            <w:hideMark/>
          </w:tcPr>
          <w:p w14:paraId="27797B72" w14:textId="77777777" w:rsidR="00ED1A23" w:rsidRPr="00EE5714" w:rsidRDefault="00ED1A23" w:rsidP="0071621F">
            <w:pPr>
              <w:keepNext/>
              <w:spacing w:after="0" w:line="240" w:lineRule="auto"/>
              <w:rPr>
                <w:rFonts w:ascii="Calibri" w:eastAsia="Times New Roman" w:hAnsi="Calibri" w:cs="Calibri"/>
                <w:b/>
                <w:bCs/>
                <w:color w:val="000000"/>
                <w:sz w:val="20"/>
                <w:szCs w:val="20"/>
              </w:rPr>
            </w:pPr>
          </w:p>
        </w:tc>
        <w:tc>
          <w:tcPr>
            <w:tcW w:w="2514" w:type="dxa"/>
            <w:gridSpan w:val="2"/>
            <w:tcBorders>
              <w:top w:val="single" w:sz="4" w:space="0" w:color="auto"/>
              <w:left w:val="nil"/>
              <w:bottom w:val="single" w:sz="4" w:space="0" w:color="auto"/>
              <w:right w:val="single" w:sz="4" w:space="0" w:color="auto"/>
            </w:tcBorders>
            <w:shd w:val="clear" w:color="000000" w:fill="E7E6E6"/>
            <w:vAlign w:val="center"/>
            <w:hideMark/>
          </w:tcPr>
          <w:p w14:paraId="7A818479"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697" w:type="dxa"/>
            <w:tcBorders>
              <w:top w:val="nil"/>
              <w:left w:val="nil"/>
              <w:bottom w:val="single" w:sz="4" w:space="0" w:color="auto"/>
              <w:right w:val="single" w:sz="4" w:space="0" w:color="auto"/>
            </w:tcBorders>
            <w:shd w:val="clear" w:color="000000" w:fill="E7E6E6"/>
            <w:vAlign w:val="center"/>
            <w:hideMark/>
          </w:tcPr>
          <w:p w14:paraId="55C421C6"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429" w:type="dxa"/>
            <w:gridSpan w:val="2"/>
            <w:tcBorders>
              <w:top w:val="single" w:sz="4" w:space="0" w:color="auto"/>
              <w:left w:val="nil"/>
              <w:bottom w:val="single" w:sz="4" w:space="0" w:color="auto"/>
              <w:right w:val="single" w:sz="4" w:space="0" w:color="auto"/>
            </w:tcBorders>
            <w:shd w:val="clear" w:color="000000" w:fill="E7E6E6"/>
            <w:vAlign w:val="center"/>
            <w:hideMark/>
          </w:tcPr>
          <w:p w14:paraId="605080AB"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18" w:type="dxa"/>
            <w:tcBorders>
              <w:top w:val="nil"/>
              <w:left w:val="nil"/>
              <w:bottom w:val="single" w:sz="4" w:space="0" w:color="auto"/>
              <w:right w:val="single" w:sz="4" w:space="0" w:color="auto"/>
            </w:tcBorders>
            <w:shd w:val="clear" w:color="000000" w:fill="E7E6E6"/>
            <w:vAlign w:val="center"/>
            <w:hideMark/>
          </w:tcPr>
          <w:p w14:paraId="0B6514DD"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ED1A23" w:rsidRPr="00EE5714" w14:paraId="6EB01EE6" w14:textId="77777777" w:rsidTr="007517EB">
        <w:trPr>
          <w:trHeight w:val="29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45EFEBC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501,413</w:t>
            </w:r>
          </w:p>
        </w:tc>
        <w:tc>
          <w:tcPr>
            <w:tcW w:w="859" w:type="dxa"/>
            <w:tcBorders>
              <w:top w:val="nil"/>
              <w:left w:val="nil"/>
              <w:bottom w:val="single" w:sz="4" w:space="0" w:color="auto"/>
              <w:right w:val="single" w:sz="4" w:space="0" w:color="auto"/>
            </w:tcBorders>
            <w:shd w:val="clear" w:color="auto" w:fill="auto"/>
            <w:vAlign w:val="center"/>
            <w:hideMark/>
          </w:tcPr>
          <w:p w14:paraId="2034C633"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30.9%</w:t>
            </w:r>
          </w:p>
        </w:tc>
        <w:tc>
          <w:tcPr>
            <w:tcW w:w="1082" w:type="dxa"/>
            <w:tcBorders>
              <w:top w:val="nil"/>
              <w:left w:val="nil"/>
              <w:bottom w:val="single" w:sz="4" w:space="0" w:color="auto"/>
              <w:right w:val="single" w:sz="4" w:space="0" w:color="auto"/>
            </w:tcBorders>
            <w:shd w:val="clear" w:color="auto" w:fill="auto"/>
            <w:vAlign w:val="center"/>
            <w:hideMark/>
          </w:tcPr>
          <w:p w14:paraId="23A46001"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03D928"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52AEC8B8"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1004" w:type="dxa"/>
            <w:tcBorders>
              <w:top w:val="nil"/>
              <w:left w:val="nil"/>
              <w:bottom w:val="single" w:sz="4" w:space="0" w:color="auto"/>
              <w:right w:val="single" w:sz="4" w:space="0" w:color="auto"/>
            </w:tcBorders>
            <w:shd w:val="clear" w:color="auto" w:fill="auto"/>
            <w:vAlign w:val="center"/>
            <w:hideMark/>
          </w:tcPr>
          <w:p w14:paraId="165717FC"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224,686</w:t>
            </w:r>
          </w:p>
        </w:tc>
        <w:tc>
          <w:tcPr>
            <w:tcW w:w="697" w:type="dxa"/>
            <w:tcBorders>
              <w:top w:val="nil"/>
              <w:left w:val="nil"/>
              <w:bottom w:val="single" w:sz="4" w:space="0" w:color="auto"/>
              <w:right w:val="single" w:sz="4" w:space="0" w:color="auto"/>
            </w:tcBorders>
            <w:shd w:val="clear" w:color="auto" w:fill="auto"/>
            <w:vAlign w:val="center"/>
            <w:hideMark/>
          </w:tcPr>
          <w:p w14:paraId="263FC98F"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5.9%</w:t>
            </w:r>
          </w:p>
        </w:tc>
        <w:tc>
          <w:tcPr>
            <w:tcW w:w="1329" w:type="dxa"/>
            <w:tcBorders>
              <w:top w:val="nil"/>
              <w:left w:val="nil"/>
              <w:bottom w:val="single" w:sz="4" w:space="0" w:color="auto"/>
              <w:right w:val="single" w:sz="4" w:space="0" w:color="auto"/>
            </w:tcBorders>
            <w:shd w:val="clear" w:color="auto" w:fill="auto"/>
            <w:vAlign w:val="center"/>
            <w:hideMark/>
          </w:tcPr>
          <w:p w14:paraId="78243076"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099" w:type="dxa"/>
            <w:tcBorders>
              <w:top w:val="nil"/>
              <w:left w:val="nil"/>
              <w:bottom w:val="single" w:sz="4" w:space="0" w:color="auto"/>
              <w:right w:val="single" w:sz="4" w:space="0" w:color="auto"/>
            </w:tcBorders>
            <w:shd w:val="clear" w:color="auto" w:fill="auto"/>
            <w:vAlign w:val="center"/>
            <w:hideMark/>
          </w:tcPr>
          <w:p w14:paraId="1F6423F1"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194,181</w:t>
            </w:r>
          </w:p>
        </w:tc>
        <w:tc>
          <w:tcPr>
            <w:tcW w:w="718" w:type="dxa"/>
            <w:tcBorders>
              <w:top w:val="nil"/>
              <w:left w:val="nil"/>
              <w:bottom w:val="single" w:sz="4" w:space="0" w:color="auto"/>
              <w:right w:val="single" w:sz="4" w:space="0" w:color="auto"/>
            </w:tcBorders>
            <w:shd w:val="clear" w:color="auto" w:fill="auto"/>
            <w:vAlign w:val="center"/>
            <w:hideMark/>
          </w:tcPr>
          <w:p w14:paraId="5FC39EC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11.8%</w:t>
            </w:r>
          </w:p>
        </w:tc>
      </w:tr>
      <w:tr w:rsidR="00ED1A23" w:rsidRPr="00EE5714" w14:paraId="2466AF95" w14:textId="77777777" w:rsidTr="007517EB">
        <w:trPr>
          <w:trHeight w:val="29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759E4421"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229,798</w:t>
            </w:r>
          </w:p>
        </w:tc>
        <w:tc>
          <w:tcPr>
            <w:tcW w:w="859" w:type="dxa"/>
            <w:tcBorders>
              <w:top w:val="nil"/>
              <w:left w:val="nil"/>
              <w:bottom w:val="single" w:sz="4" w:space="0" w:color="auto"/>
              <w:right w:val="single" w:sz="4" w:space="0" w:color="auto"/>
            </w:tcBorders>
            <w:shd w:val="clear" w:color="auto" w:fill="auto"/>
            <w:vAlign w:val="center"/>
            <w:hideMark/>
          </w:tcPr>
          <w:p w14:paraId="53A89974"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14.2%</w:t>
            </w:r>
          </w:p>
        </w:tc>
        <w:tc>
          <w:tcPr>
            <w:tcW w:w="1082" w:type="dxa"/>
            <w:tcBorders>
              <w:top w:val="nil"/>
              <w:left w:val="nil"/>
              <w:bottom w:val="single" w:sz="4" w:space="0" w:color="auto"/>
              <w:right w:val="single" w:sz="4" w:space="0" w:color="auto"/>
            </w:tcBorders>
            <w:shd w:val="clear" w:color="auto" w:fill="auto"/>
            <w:vAlign w:val="center"/>
            <w:hideMark/>
          </w:tcPr>
          <w:p w14:paraId="0613CD89"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82" w:type="dxa"/>
            <w:vMerge/>
            <w:tcBorders>
              <w:top w:val="single" w:sz="4" w:space="0" w:color="auto"/>
              <w:left w:val="single" w:sz="4" w:space="0" w:color="auto"/>
              <w:bottom w:val="single" w:sz="4" w:space="0" w:color="000000"/>
              <w:right w:val="single" w:sz="4" w:space="0" w:color="auto"/>
            </w:tcBorders>
            <w:vAlign w:val="center"/>
            <w:hideMark/>
          </w:tcPr>
          <w:p w14:paraId="40C0C4CE" w14:textId="77777777" w:rsidR="00ED1A23" w:rsidRPr="00EE5714" w:rsidRDefault="00ED1A23" w:rsidP="0071621F">
            <w:pPr>
              <w:keepNext/>
              <w:spacing w:after="0" w:line="240" w:lineRule="auto"/>
              <w:rPr>
                <w:rFonts w:ascii="Calibri" w:eastAsia="Times New Roman" w:hAnsi="Calibri" w:cs="Calibri"/>
                <w:color w:val="000000"/>
                <w:sz w:val="20"/>
                <w:szCs w:val="20"/>
              </w:rPr>
            </w:pP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3E4AE9FA"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1004" w:type="dxa"/>
            <w:tcBorders>
              <w:top w:val="nil"/>
              <w:left w:val="nil"/>
              <w:bottom w:val="single" w:sz="4" w:space="0" w:color="auto"/>
              <w:right w:val="single" w:sz="4" w:space="0" w:color="auto"/>
            </w:tcBorders>
            <w:shd w:val="clear" w:color="auto" w:fill="auto"/>
            <w:vAlign w:val="center"/>
            <w:hideMark/>
          </w:tcPr>
          <w:p w14:paraId="5AFEFF2D"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279,535</w:t>
            </w:r>
          </w:p>
        </w:tc>
        <w:tc>
          <w:tcPr>
            <w:tcW w:w="697" w:type="dxa"/>
            <w:tcBorders>
              <w:top w:val="nil"/>
              <w:left w:val="nil"/>
              <w:bottom w:val="single" w:sz="4" w:space="0" w:color="auto"/>
              <w:right w:val="single" w:sz="4" w:space="0" w:color="auto"/>
            </w:tcBorders>
            <w:shd w:val="clear" w:color="auto" w:fill="auto"/>
            <w:vAlign w:val="center"/>
            <w:hideMark/>
          </w:tcPr>
          <w:p w14:paraId="039035A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7.4%</w:t>
            </w:r>
          </w:p>
        </w:tc>
        <w:tc>
          <w:tcPr>
            <w:tcW w:w="1329" w:type="dxa"/>
            <w:tcBorders>
              <w:top w:val="nil"/>
              <w:left w:val="nil"/>
              <w:bottom w:val="single" w:sz="4" w:space="0" w:color="auto"/>
              <w:right w:val="single" w:sz="4" w:space="0" w:color="auto"/>
            </w:tcBorders>
            <w:shd w:val="clear" w:color="auto" w:fill="auto"/>
            <w:vAlign w:val="center"/>
            <w:hideMark/>
          </w:tcPr>
          <w:p w14:paraId="4E66BBA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099" w:type="dxa"/>
            <w:tcBorders>
              <w:top w:val="nil"/>
              <w:left w:val="nil"/>
              <w:bottom w:val="single" w:sz="4" w:space="0" w:color="auto"/>
              <w:right w:val="single" w:sz="4" w:space="0" w:color="auto"/>
            </w:tcBorders>
            <w:shd w:val="clear" w:color="auto" w:fill="auto"/>
            <w:vAlign w:val="center"/>
            <w:hideMark/>
          </w:tcPr>
          <w:p w14:paraId="563AD9A7"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185,379</w:t>
            </w:r>
          </w:p>
        </w:tc>
        <w:tc>
          <w:tcPr>
            <w:tcW w:w="718" w:type="dxa"/>
            <w:tcBorders>
              <w:top w:val="nil"/>
              <w:left w:val="nil"/>
              <w:bottom w:val="single" w:sz="4" w:space="0" w:color="auto"/>
              <w:right w:val="single" w:sz="4" w:space="0" w:color="auto"/>
            </w:tcBorders>
            <w:shd w:val="clear" w:color="auto" w:fill="auto"/>
            <w:vAlign w:val="center"/>
            <w:hideMark/>
          </w:tcPr>
          <w:p w14:paraId="2ABCB489"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11.2%</w:t>
            </w:r>
          </w:p>
        </w:tc>
      </w:tr>
      <w:tr w:rsidR="00ED1A23" w:rsidRPr="00EE5714" w14:paraId="5EA9539E" w14:textId="77777777" w:rsidTr="007517EB">
        <w:trPr>
          <w:trHeight w:val="29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126AA95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177,621</w:t>
            </w:r>
          </w:p>
        </w:tc>
        <w:tc>
          <w:tcPr>
            <w:tcW w:w="859" w:type="dxa"/>
            <w:tcBorders>
              <w:top w:val="nil"/>
              <w:left w:val="nil"/>
              <w:bottom w:val="single" w:sz="4" w:space="0" w:color="auto"/>
              <w:right w:val="single" w:sz="4" w:space="0" w:color="auto"/>
            </w:tcBorders>
            <w:shd w:val="clear" w:color="auto" w:fill="auto"/>
            <w:vAlign w:val="center"/>
            <w:hideMark/>
          </w:tcPr>
          <w:p w14:paraId="20F04481"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11.0%</w:t>
            </w:r>
          </w:p>
        </w:tc>
        <w:tc>
          <w:tcPr>
            <w:tcW w:w="1082" w:type="dxa"/>
            <w:tcBorders>
              <w:top w:val="nil"/>
              <w:left w:val="nil"/>
              <w:bottom w:val="single" w:sz="4" w:space="0" w:color="auto"/>
              <w:right w:val="single" w:sz="4" w:space="0" w:color="auto"/>
            </w:tcBorders>
            <w:shd w:val="clear" w:color="auto" w:fill="auto"/>
            <w:vAlign w:val="center"/>
            <w:hideMark/>
          </w:tcPr>
          <w:p w14:paraId="3C80DC09"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82" w:type="dxa"/>
            <w:vMerge/>
            <w:tcBorders>
              <w:top w:val="single" w:sz="4" w:space="0" w:color="auto"/>
              <w:left w:val="single" w:sz="4" w:space="0" w:color="auto"/>
              <w:bottom w:val="single" w:sz="4" w:space="0" w:color="000000"/>
              <w:right w:val="single" w:sz="4" w:space="0" w:color="auto"/>
            </w:tcBorders>
            <w:vAlign w:val="center"/>
            <w:hideMark/>
          </w:tcPr>
          <w:p w14:paraId="36861093" w14:textId="77777777" w:rsidR="00ED1A23" w:rsidRPr="00EE5714" w:rsidRDefault="00ED1A23" w:rsidP="0071621F">
            <w:pPr>
              <w:keepNext/>
              <w:spacing w:after="0" w:line="240" w:lineRule="auto"/>
              <w:rPr>
                <w:rFonts w:ascii="Calibri" w:eastAsia="Times New Roman" w:hAnsi="Calibri" w:cs="Calibri"/>
                <w:color w:val="000000"/>
                <w:sz w:val="20"/>
                <w:szCs w:val="20"/>
              </w:rPr>
            </w:pP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50369FEF"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1004" w:type="dxa"/>
            <w:tcBorders>
              <w:top w:val="nil"/>
              <w:left w:val="nil"/>
              <w:bottom w:val="single" w:sz="4" w:space="0" w:color="auto"/>
              <w:right w:val="single" w:sz="4" w:space="0" w:color="auto"/>
            </w:tcBorders>
            <w:shd w:val="clear" w:color="auto" w:fill="auto"/>
            <w:vAlign w:val="center"/>
            <w:hideMark/>
          </w:tcPr>
          <w:p w14:paraId="5AA26711"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154,805</w:t>
            </w:r>
          </w:p>
        </w:tc>
        <w:tc>
          <w:tcPr>
            <w:tcW w:w="697" w:type="dxa"/>
            <w:tcBorders>
              <w:top w:val="nil"/>
              <w:left w:val="nil"/>
              <w:bottom w:val="single" w:sz="4" w:space="0" w:color="auto"/>
              <w:right w:val="single" w:sz="4" w:space="0" w:color="auto"/>
            </w:tcBorders>
            <w:shd w:val="clear" w:color="auto" w:fill="auto"/>
            <w:vAlign w:val="center"/>
            <w:hideMark/>
          </w:tcPr>
          <w:p w14:paraId="2358EFD0"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4.1%</w:t>
            </w:r>
          </w:p>
        </w:tc>
        <w:tc>
          <w:tcPr>
            <w:tcW w:w="1329" w:type="dxa"/>
            <w:tcBorders>
              <w:top w:val="nil"/>
              <w:left w:val="nil"/>
              <w:bottom w:val="single" w:sz="4" w:space="0" w:color="auto"/>
              <w:right w:val="single" w:sz="4" w:space="0" w:color="auto"/>
            </w:tcBorders>
            <w:shd w:val="clear" w:color="auto" w:fill="auto"/>
            <w:vAlign w:val="center"/>
            <w:hideMark/>
          </w:tcPr>
          <w:p w14:paraId="25F4C2F9"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099" w:type="dxa"/>
            <w:tcBorders>
              <w:top w:val="nil"/>
              <w:left w:val="nil"/>
              <w:bottom w:val="single" w:sz="4" w:space="0" w:color="auto"/>
              <w:right w:val="single" w:sz="4" w:space="0" w:color="auto"/>
            </w:tcBorders>
            <w:shd w:val="clear" w:color="auto" w:fill="auto"/>
            <w:vAlign w:val="center"/>
            <w:hideMark/>
          </w:tcPr>
          <w:p w14:paraId="39E89E14"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170,317</w:t>
            </w:r>
          </w:p>
        </w:tc>
        <w:tc>
          <w:tcPr>
            <w:tcW w:w="718" w:type="dxa"/>
            <w:tcBorders>
              <w:top w:val="nil"/>
              <w:left w:val="nil"/>
              <w:bottom w:val="single" w:sz="4" w:space="0" w:color="auto"/>
              <w:right w:val="single" w:sz="4" w:space="0" w:color="auto"/>
            </w:tcBorders>
            <w:shd w:val="clear" w:color="auto" w:fill="auto"/>
            <w:vAlign w:val="center"/>
            <w:hideMark/>
          </w:tcPr>
          <w:p w14:paraId="2C053404"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10.3%</w:t>
            </w:r>
          </w:p>
        </w:tc>
      </w:tr>
      <w:tr w:rsidR="00ED1A23" w:rsidRPr="00EE5714" w14:paraId="77B781A4" w14:textId="77777777" w:rsidTr="007517EB">
        <w:trPr>
          <w:trHeight w:val="29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20F9D042"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69,664</w:t>
            </w:r>
          </w:p>
        </w:tc>
        <w:tc>
          <w:tcPr>
            <w:tcW w:w="859" w:type="dxa"/>
            <w:tcBorders>
              <w:top w:val="nil"/>
              <w:left w:val="nil"/>
              <w:bottom w:val="single" w:sz="4" w:space="0" w:color="auto"/>
              <w:right w:val="single" w:sz="4" w:space="0" w:color="auto"/>
            </w:tcBorders>
            <w:shd w:val="clear" w:color="auto" w:fill="auto"/>
            <w:vAlign w:val="center"/>
            <w:hideMark/>
          </w:tcPr>
          <w:p w14:paraId="2AB7311F"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w:t>
            </w:r>
          </w:p>
        </w:tc>
        <w:tc>
          <w:tcPr>
            <w:tcW w:w="1082" w:type="dxa"/>
            <w:tcBorders>
              <w:top w:val="nil"/>
              <w:left w:val="nil"/>
              <w:bottom w:val="single" w:sz="4" w:space="0" w:color="auto"/>
              <w:right w:val="single" w:sz="4" w:space="0" w:color="auto"/>
            </w:tcBorders>
            <w:shd w:val="clear" w:color="auto" w:fill="auto"/>
            <w:vAlign w:val="center"/>
            <w:hideMark/>
          </w:tcPr>
          <w:p w14:paraId="50E42E21"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82" w:type="dxa"/>
            <w:vMerge/>
            <w:tcBorders>
              <w:top w:val="single" w:sz="4" w:space="0" w:color="auto"/>
              <w:left w:val="single" w:sz="4" w:space="0" w:color="auto"/>
              <w:bottom w:val="single" w:sz="4" w:space="0" w:color="000000"/>
              <w:right w:val="single" w:sz="4" w:space="0" w:color="auto"/>
            </w:tcBorders>
            <w:vAlign w:val="center"/>
            <w:hideMark/>
          </w:tcPr>
          <w:p w14:paraId="5CCA86D9" w14:textId="77777777" w:rsidR="00ED1A23" w:rsidRPr="00EE5714" w:rsidRDefault="00ED1A23" w:rsidP="0071621F">
            <w:pPr>
              <w:keepNext/>
              <w:spacing w:after="0" w:line="240" w:lineRule="auto"/>
              <w:rPr>
                <w:rFonts w:ascii="Calibri" w:eastAsia="Times New Roman" w:hAnsi="Calibri" w:cs="Calibri"/>
                <w:color w:val="000000"/>
                <w:sz w:val="20"/>
                <w:szCs w:val="20"/>
              </w:rPr>
            </w:pP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60A40B0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1004" w:type="dxa"/>
            <w:tcBorders>
              <w:top w:val="nil"/>
              <w:left w:val="nil"/>
              <w:bottom w:val="single" w:sz="4" w:space="0" w:color="auto"/>
              <w:right w:val="single" w:sz="4" w:space="0" w:color="auto"/>
            </w:tcBorders>
            <w:shd w:val="clear" w:color="auto" w:fill="auto"/>
            <w:vAlign w:val="center"/>
            <w:hideMark/>
          </w:tcPr>
          <w:p w14:paraId="1047B701"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162,221</w:t>
            </w:r>
          </w:p>
        </w:tc>
        <w:tc>
          <w:tcPr>
            <w:tcW w:w="697" w:type="dxa"/>
            <w:tcBorders>
              <w:top w:val="nil"/>
              <w:left w:val="nil"/>
              <w:bottom w:val="single" w:sz="4" w:space="0" w:color="auto"/>
              <w:right w:val="single" w:sz="4" w:space="0" w:color="auto"/>
            </w:tcBorders>
            <w:shd w:val="clear" w:color="auto" w:fill="auto"/>
            <w:vAlign w:val="center"/>
            <w:hideMark/>
          </w:tcPr>
          <w:p w14:paraId="2A446254"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w:t>
            </w:r>
          </w:p>
        </w:tc>
        <w:tc>
          <w:tcPr>
            <w:tcW w:w="1329" w:type="dxa"/>
            <w:tcBorders>
              <w:top w:val="nil"/>
              <w:left w:val="nil"/>
              <w:bottom w:val="single" w:sz="4" w:space="0" w:color="auto"/>
              <w:right w:val="single" w:sz="4" w:space="0" w:color="auto"/>
            </w:tcBorders>
            <w:shd w:val="clear" w:color="auto" w:fill="auto"/>
            <w:vAlign w:val="center"/>
            <w:hideMark/>
          </w:tcPr>
          <w:p w14:paraId="1C7CF680"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099" w:type="dxa"/>
            <w:tcBorders>
              <w:top w:val="nil"/>
              <w:left w:val="nil"/>
              <w:bottom w:val="single" w:sz="4" w:space="0" w:color="auto"/>
              <w:right w:val="single" w:sz="4" w:space="0" w:color="auto"/>
            </w:tcBorders>
            <w:shd w:val="clear" w:color="auto" w:fill="auto"/>
            <w:vAlign w:val="center"/>
            <w:hideMark/>
          </w:tcPr>
          <w:p w14:paraId="01095902"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227,295</w:t>
            </w:r>
          </w:p>
        </w:tc>
        <w:tc>
          <w:tcPr>
            <w:tcW w:w="718" w:type="dxa"/>
            <w:tcBorders>
              <w:top w:val="nil"/>
              <w:left w:val="nil"/>
              <w:bottom w:val="single" w:sz="4" w:space="0" w:color="auto"/>
              <w:right w:val="single" w:sz="4" w:space="0" w:color="auto"/>
            </w:tcBorders>
            <w:shd w:val="clear" w:color="auto" w:fill="auto"/>
            <w:vAlign w:val="center"/>
            <w:hideMark/>
          </w:tcPr>
          <w:p w14:paraId="5EA8404C"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13.8%</w:t>
            </w:r>
          </w:p>
        </w:tc>
      </w:tr>
      <w:tr w:rsidR="00ED1A23" w:rsidRPr="00EE5714" w14:paraId="5FD32682" w14:textId="77777777" w:rsidTr="007517EB">
        <w:trPr>
          <w:trHeight w:val="29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55F57AAC"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22,867</w:t>
            </w:r>
          </w:p>
        </w:tc>
        <w:tc>
          <w:tcPr>
            <w:tcW w:w="859" w:type="dxa"/>
            <w:tcBorders>
              <w:top w:val="nil"/>
              <w:left w:val="nil"/>
              <w:bottom w:val="single" w:sz="4" w:space="0" w:color="auto"/>
              <w:right w:val="single" w:sz="4" w:space="0" w:color="auto"/>
            </w:tcBorders>
            <w:shd w:val="clear" w:color="auto" w:fill="auto"/>
            <w:vAlign w:val="center"/>
            <w:hideMark/>
          </w:tcPr>
          <w:p w14:paraId="456FE95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w:t>
            </w:r>
          </w:p>
        </w:tc>
        <w:tc>
          <w:tcPr>
            <w:tcW w:w="1082" w:type="dxa"/>
            <w:tcBorders>
              <w:top w:val="nil"/>
              <w:left w:val="nil"/>
              <w:bottom w:val="single" w:sz="4" w:space="0" w:color="auto"/>
              <w:right w:val="single" w:sz="4" w:space="0" w:color="auto"/>
            </w:tcBorders>
            <w:shd w:val="clear" w:color="auto" w:fill="auto"/>
            <w:vAlign w:val="center"/>
            <w:hideMark/>
          </w:tcPr>
          <w:p w14:paraId="71573B57"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82" w:type="dxa"/>
            <w:vMerge/>
            <w:tcBorders>
              <w:top w:val="single" w:sz="4" w:space="0" w:color="auto"/>
              <w:left w:val="single" w:sz="4" w:space="0" w:color="auto"/>
              <w:bottom w:val="single" w:sz="4" w:space="0" w:color="000000"/>
              <w:right w:val="single" w:sz="4" w:space="0" w:color="auto"/>
            </w:tcBorders>
            <w:vAlign w:val="center"/>
            <w:hideMark/>
          </w:tcPr>
          <w:p w14:paraId="3A8C742A" w14:textId="77777777" w:rsidR="00ED1A23" w:rsidRPr="00EE5714" w:rsidRDefault="00ED1A23" w:rsidP="0071621F">
            <w:pPr>
              <w:keepNext/>
              <w:spacing w:after="0" w:line="240" w:lineRule="auto"/>
              <w:rPr>
                <w:rFonts w:ascii="Calibri" w:eastAsia="Times New Roman" w:hAnsi="Calibri" w:cs="Calibri"/>
                <w:color w:val="000000"/>
                <w:sz w:val="20"/>
                <w:szCs w:val="20"/>
              </w:rPr>
            </w:pP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395136F7"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1004" w:type="dxa"/>
            <w:tcBorders>
              <w:top w:val="nil"/>
              <w:left w:val="nil"/>
              <w:bottom w:val="single" w:sz="4" w:space="0" w:color="auto"/>
              <w:right w:val="single" w:sz="4" w:space="0" w:color="auto"/>
            </w:tcBorders>
            <w:shd w:val="clear" w:color="auto" w:fill="auto"/>
            <w:vAlign w:val="center"/>
            <w:hideMark/>
          </w:tcPr>
          <w:p w14:paraId="7BB6750C"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240,025</w:t>
            </w:r>
          </w:p>
        </w:tc>
        <w:tc>
          <w:tcPr>
            <w:tcW w:w="697" w:type="dxa"/>
            <w:tcBorders>
              <w:top w:val="nil"/>
              <w:left w:val="nil"/>
              <w:bottom w:val="single" w:sz="4" w:space="0" w:color="auto"/>
              <w:right w:val="single" w:sz="4" w:space="0" w:color="auto"/>
            </w:tcBorders>
            <w:shd w:val="clear" w:color="auto" w:fill="auto"/>
            <w:vAlign w:val="center"/>
            <w:hideMark/>
          </w:tcPr>
          <w:p w14:paraId="21B54CF7"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w:t>
            </w:r>
          </w:p>
        </w:tc>
        <w:tc>
          <w:tcPr>
            <w:tcW w:w="1329" w:type="dxa"/>
            <w:tcBorders>
              <w:top w:val="nil"/>
              <w:left w:val="nil"/>
              <w:bottom w:val="single" w:sz="4" w:space="0" w:color="auto"/>
              <w:right w:val="single" w:sz="4" w:space="0" w:color="auto"/>
            </w:tcBorders>
            <w:shd w:val="clear" w:color="auto" w:fill="auto"/>
            <w:vAlign w:val="center"/>
            <w:hideMark/>
          </w:tcPr>
          <w:p w14:paraId="43566018"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099" w:type="dxa"/>
            <w:tcBorders>
              <w:top w:val="nil"/>
              <w:left w:val="nil"/>
              <w:bottom w:val="single" w:sz="4" w:space="0" w:color="auto"/>
              <w:right w:val="single" w:sz="4" w:space="0" w:color="auto"/>
            </w:tcBorders>
            <w:shd w:val="clear" w:color="auto" w:fill="auto"/>
            <w:vAlign w:val="center"/>
            <w:hideMark/>
          </w:tcPr>
          <w:p w14:paraId="63B153A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307,008</w:t>
            </w:r>
          </w:p>
        </w:tc>
        <w:tc>
          <w:tcPr>
            <w:tcW w:w="718" w:type="dxa"/>
            <w:tcBorders>
              <w:top w:val="nil"/>
              <w:left w:val="nil"/>
              <w:bottom w:val="single" w:sz="4" w:space="0" w:color="auto"/>
              <w:right w:val="single" w:sz="4" w:space="0" w:color="auto"/>
            </w:tcBorders>
            <w:shd w:val="clear" w:color="auto" w:fill="auto"/>
            <w:vAlign w:val="center"/>
            <w:hideMark/>
          </w:tcPr>
          <w:p w14:paraId="24E427AF"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18.6%</w:t>
            </w:r>
          </w:p>
        </w:tc>
      </w:tr>
      <w:tr w:rsidR="00ED1A23" w:rsidRPr="00EE5714" w14:paraId="3C5A0277" w14:textId="77777777" w:rsidTr="007517EB">
        <w:trPr>
          <w:trHeight w:val="29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4279436F"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11,519</w:t>
            </w:r>
          </w:p>
        </w:tc>
        <w:tc>
          <w:tcPr>
            <w:tcW w:w="859" w:type="dxa"/>
            <w:tcBorders>
              <w:top w:val="nil"/>
              <w:left w:val="nil"/>
              <w:bottom w:val="single" w:sz="4" w:space="0" w:color="auto"/>
              <w:right w:val="single" w:sz="4" w:space="0" w:color="auto"/>
            </w:tcBorders>
            <w:shd w:val="clear" w:color="auto" w:fill="auto"/>
            <w:vAlign w:val="center"/>
            <w:hideMark/>
          </w:tcPr>
          <w:p w14:paraId="411CDCFB"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082" w:type="dxa"/>
            <w:tcBorders>
              <w:top w:val="nil"/>
              <w:left w:val="nil"/>
              <w:bottom w:val="single" w:sz="4" w:space="0" w:color="auto"/>
              <w:right w:val="single" w:sz="4" w:space="0" w:color="auto"/>
            </w:tcBorders>
            <w:shd w:val="clear" w:color="auto" w:fill="auto"/>
            <w:vAlign w:val="center"/>
            <w:hideMark/>
          </w:tcPr>
          <w:p w14:paraId="0B5652F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82" w:type="dxa"/>
            <w:vMerge/>
            <w:tcBorders>
              <w:top w:val="single" w:sz="4" w:space="0" w:color="auto"/>
              <w:left w:val="single" w:sz="4" w:space="0" w:color="auto"/>
              <w:bottom w:val="single" w:sz="4" w:space="0" w:color="000000"/>
              <w:right w:val="single" w:sz="4" w:space="0" w:color="auto"/>
            </w:tcBorders>
            <w:vAlign w:val="center"/>
            <w:hideMark/>
          </w:tcPr>
          <w:p w14:paraId="09BA8A88" w14:textId="77777777" w:rsidR="00ED1A23" w:rsidRPr="00EE5714" w:rsidRDefault="00ED1A23" w:rsidP="0071621F">
            <w:pPr>
              <w:keepNext/>
              <w:spacing w:after="0" w:line="240" w:lineRule="auto"/>
              <w:rPr>
                <w:rFonts w:ascii="Calibri" w:eastAsia="Times New Roman" w:hAnsi="Calibri" w:cs="Calibri"/>
                <w:color w:val="000000"/>
                <w:sz w:val="20"/>
                <w:szCs w:val="20"/>
              </w:rPr>
            </w:pP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546135FB"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1004" w:type="dxa"/>
            <w:tcBorders>
              <w:top w:val="nil"/>
              <w:left w:val="nil"/>
              <w:bottom w:val="single" w:sz="4" w:space="0" w:color="auto"/>
              <w:right w:val="single" w:sz="4" w:space="0" w:color="auto"/>
            </w:tcBorders>
            <w:shd w:val="clear" w:color="auto" w:fill="auto"/>
            <w:vAlign w:val="center"/>
            <w:hideMark/>
          </w:tcPr>
          <w:p w14:paraId="3060CF54"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100,664</w:t>
            </w:r>
          </w:p>
        </w:tc>
        <w:tc>
          <w:tcPr>
            <w:tcW w:w="697" w:type="dxa"/>
            <w:tcBorders>
              <w:top w:val="nil"/>
              <w:left w:val="nil"/>
              <w:bottom w:val="single" w:sz="4" w:space="0" w:color="auto"/>
              <w:right w:val="single" w:sz="4" w:space="0" w:color="auto"/>
            </w:tcBorders>
            <w:shd w:val="clear" w:color="auto" w:fill="auto"/>
            <w:vAlign w:val="center"/>
            <w:hideMark/>
          </w:tcPr>
          <w:p w14:paraId="0CFE87A2"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w:t>
            </w:r>
          </w:p>
        </w:tc>
        <w:tc>
          <w:tcPr>
            <w:tcW w:w="1329" w:type="dxa"/>
            <w:tcBorders>
              <w:top w:val="nil"/>
              <w:left w:val="nil"/>
              <w:bottom w:val="single" w:sz="4" w:space="0" w:color="auto"/>
              <w:right w:val="single" w:sz="4" w:space="0" w:color="auto"/>
            </w:tcBorders>
            <w:shd w:val="clear" w:color="auto" w:fill="auto"/>
            <w:vAlign w:val="center"/>
            <w:hideMark/>
          </w:tcPr>
          <w:p w14:paraId="1BA61B9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099" w:type="dxa"/>
            <w:tcBorders>
              <w:top w:val="nil"/>
              <w:left w:val="nil"/>
              <w:bottom w:val="single" w:sz="4" w:space="0" w:color="auto"/>
              <w:right w:val="single" w:sz="4" w:space="0" w:color="auto"/>
            </w:tcBorders>
            <w:shd w:val="clear" w:color="auto" w:fill="auto"/>
            <w:vAlign w:val="center"/>
            <w:hideMark/>
          </w:tcPr>
          <w:p w14:paraId="4E7CF2C7"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204,399</w:t>
            </w:r>
          </w:p>
        </w:tc>
        <w:tc>
          <w:tcPr>
            <w:tcW w:w="718" w:type="dxa"/>
            <w:tcBorders>
              <w:top w:val="nil"/>
              <w:left w:val="nil"/>
              <w:bottom w:val="single" w:sz="4" w:space="0" w:color="auto"/>
              <w:right w:val="single" w:sz="4" w:space="0" w:color="auto"/>
            </w:tcBorders>
            <w:shd w:val="clear" w:color="auto" w:fill="auto"/>
            <w:vAlign w:val="center"/>
            <w:hideMark/>
          </w:tcPr>
          <w:p w14:paraId="2A7A995B"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12.4%</w:t>
            </w:r>
          </w:p>
        </w:tc>
      </w:tr>
      <w:tr w:rsidR="00ED1A23" w:rsidRPr="00EE5714" w14:paraId="1BD334C8" w14:textId="77777777" w:rsidTr="007517EB">
        <w:trPr>
          <w:trHeight w:val="295"/>
          <w:jc w:val="center"/>
        </w:trPr>
        <w:tc>
          <w:tcPr>
            <w:tcW w:w="1160" w:type="dxa"/>
            <w:tcBorders>
              <w:top w:val="nil"/>
              <w:left w:val="single" w:sz="4" w:space="0" w:color="auto"/>
              <w:bottom w:val="single" w:sz="4" w:space="0" w:color="auto"/>
              <w:right w:val="single" w:sz="4" w:space="0" w:color="auto"/>
            </w:tcBorders>
            <w:shd w:val="clear" w:color="000000" w:fill="E7E6E6"/>
            <w:vAlign w:val="center"/>
            <w:hideMark/>
          </w:tcPr>
          <w:p w14:paraId="641D50DE"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37.50%</w:t>
            </w:r>
          </w:p>
        </w:tc>
        <w:tc>
          <w:tcPr>
            <w:tcW w:w="859" w:type="dxa"/>
            <w:tcBorders>
              <w:top w:val="nil"/>
              <w:left w:val="nil"/>
              <w:bottom w:val="single" w:sz="4" w:space="0" w:color="auto"/>
              <w:right w:val="single" w:sz="4" w:space="0" w:color="auto"/>
            </w:tcBorders>
            <w:shd w:val="clear" w:color="000000" w:fill="E7E6E6"/>
            <w:vAlign w:val="center"/>
            <w:hideMark/>
          </w:tcPr>
          <w:p w14:paraId="53B432FB"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165"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4314BB53"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0D632776"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1004" w:type="dxa"/>
            <w:tcBorders>
              <w:top w:val="nil"/>
              <w:left w:val="nil"/>
              <w:bottom w:val="single" w:sz="4" w:space="0" w:color="auto"/>
              <w:right w:val="single" w:sz="4" w:space="0" w:color="auto"/>
            </w:tcBorders>
            <w:shd w:val="clear" w:color="auto" w:fill="auto"/>
            <w:vAlign w:val="center"/>
            <w:hideMark/>
          </w:tcPr>
          <w:p w14:paraId="2FED983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2,636,607</w:t>
            </w:r>
          </w:p>
        </w:tc>
        <w:tc>
          <w:tcPr>
            <w:tcW w:w="697" w:type="dxa"/>
            <w:tcBorders>
              <w:top w:val="nil"/>
              <w:left w:val="nil"/>
              <w:bottom w:val="single" w:sz="4" w:space="0" w:color="auto"/>
              <w:right w:val="single" w:sz="4" w:space="0" w:color="auto"/>
            </w:tcBorders>
            <w:shd w:val="clear" w:color="auto" w:fill="auto"/>
            <w:vAlign w:val="center"/>
            <w:hideMark/>
          </w:tcPr>
          <w:p w14:paraId="48F507E3"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69.4%</w:t>
            </w:r>
          </w:p>
        </w:tc>
        <w:tc>
          <w:tcPr>
            <w:tcW w:w="1329" w:type="dxa"/>
            <w:tcBorders>
              <w:top w:val="nil"/>
              <w:left w:val="nil"/>
              <w:bottom w:val="single" w:sz="4" w:space="0" w:color="auto"/>
              <w:right w:val="single" w:sz="4" w:space="0" w:color="auto"/>
            </w:tcBorders>
            <w:shd w:val="clear" w:color="auto" w:fill="auto"/>
            <w:vAlign w:val="center"/>
            <w:hideMark/>
          </w:tcPr>
          <w:p w14:paraId="7B3C791C"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099" w:type="dxa"/>
            <w:tcBorders>
              <w:top w:val="nil"/>
              <w:left w:val="nil"/>
              <w:bottom w:val="single" w:sz="4" w:space="0" w:color="auto"/>
              <w:right w:val="single" w:sz="4" w:space="0" w:color="auto"/>
            </w:tcBorders>
            <w:shd w:val="clear" w:color="auto" w:fill="auto"/>
            <w:vAlign w:val="center"/>
            <w:hideMark/>
          </w:tcPr>
          <w:p w14:paraId="59FF2BB8"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213,949</w:t>
            </w:r>
          </w:p>
        </w:tc>
        <w:tc>
          <w:tcPr>
            <w:tcW w:w="718" w:type="dxa"/>
            <w:tcBorders>
              <w:top w:val="nil"/>
              <w:left w:val="nil"/>
              <w:bottom w:val="single" w:sz="4" w:space="0" w:color="auto"/>
              <w:right w:val="single" w:sz="4" w:space="0" w:color="auto"/>
            </w:tcBorders>
            <w:shd w:val="clear" w:color="auto" w:fill="auto"/>
            <w:vAlign w:val="center"/>
            <w:hideMark/>
          </w:tcPr>
          <w:p w14:paraId="2D3D181F"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13.0%</w:t>
            </w:r>
          </w:p>
        </w:tc>
      </w:tr>
      <w:tr w:rsidR="00ED1A23" w:rsidRPr="00EE5714" w14:paraId="5D7C193C" w14:textId="77777777" w:rsidTr="007517EB">
        <w:trPr>
          <w:trHeight w:val="29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109C9621"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505,705</w:t>
            </w:r>
          </w:p>
        </w:tc>
        <w:tc>
          <w:tcPr>
            <w:tcW w:w="859" w:type="dxa"/>
            <w:tcBorders>
              <w:top w:val="nil"/>
              <w:left w:val="nil"/>
              <w:bottom w:val="single" w:sz="4" w:space="0" w:color="auto"/>
              <w:right w:val="single" w:sz="4" w:space="0" w:color="auto"/>
            </w:tcBorders>
            <w:shd w:val="clear" w:color="auto" w:fill="auto"/>
            <w:vAlign w:val="center"/>
            <w:hideMark/>
          </w:tcPr>
          <w:p w14:paraId="62382FAD"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31.2%</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089E8D3"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65B5AC7C"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31.2%</w:t>
            </w:r>
          </w:p>
        </w:tc>
        <w:tc>
          <w:tcPr>
            <w:tcW w:w="1509" w:type="dxa"/>
            <w:tcBorders>
              <w:top w:val="nil"/>
              <w:left w:val="nil"/>
              <w:bottom w:val="single" w:sz="4" w:space="0" w:color="auto"/>
              <w:right w:val="single" w:sz="4" w:space="0" w:color="auto"/>
            </w:tcBorders>
            <w:shd w:val="clear" w:color="auto" w:fill="auto"/>
            <w:vAlign w:val="center"/>
            <w:hideMark/>
          </w:tcPr>
          <w:p w14:paraId="05A6F5FB"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04" w:type="dxa"/>
            <w:tcBorders>
              <w:top w:val="nil"/>
              <w:left w:val="nil"/>
              <w:bottom w:val="single" w:sz="4" w:space="0" w:color="auto"/>
              <w:right w:val="single" w:sz="4" w:space="0" w:color="auto"/>
            </w:tcBorders>
            <w:shd w:val="clear" w:color="auto" w:fill="auto"/>
            <w:vAlign w:val="center"/>
            <w:hideMark/>
          </w:tcPr>
          <w:p w14:paraId="713744FE"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3,798,543</w:t>
            </w:r>
          </w:p>
        </w:tc>
        <w:tc>
          <w:tcPr>
            <w:tcW w:w="697" w:type="dxa"/>
            <w:tcBorders>
              <w:top w:val="nil"/>
              <w:left w:val="nil"/>
              <w:bottom w:val="single" w:sz="4" w:space="0" w:color="auto"/>
              <w:right w:val="single" w:sz="4" w:space="0" w:color="auto"/>
            </w:tcBorders>
            <w:shd w:val="clear" w:color="auto" w:fill="auto"/>
            <w:vAlign w:val="center"/>
            <w:hideMark/>
          </w:tcPr>
          <w:p w14:paraId="705EC7EB"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29" w:type="dxa"/>
            <w:tcBorders>
              <w:top w:val="nil"/>
              <w:left w:val="nil"/>
              <w:bottom w:val="single" w:sz="4" w:space="0" w:color="auto"/>
              <w:right w:val="single" w:sz="4" w:space="0" w:color="auto"/>
            </w:tcBorders>
            <w:shd w:val="clear" w:color="auto" w:fill="auto"/>
            <w:vAlign w:val="center"/>
            <w:hideMark/>
          </w:tcPr>
          <w:p w14:paraId="7F28881D"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099" w:type="dxa"/>
            <w:tcBorders>
              <w:top w:val="nil"/>
              <w:left w:val="nil"/>
              <w:bottom w:val="single" w:sz="4" w:space="0" w:color="auto"/>
              <w:right w:val="single" w:sz="4" w:space="0" w:color="auto"/>
            </w:tcBorders>
            <w:shd w:val="clear" w:color="auto" w:fill="auto"/>
            <w:vAlign w:val="center"/>
            <w:hideMark/>
          </w:tcPr>
          <w:p w14:paraId="50FAC994"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75,661</w:t>
            </w:r>
          </w:p>
        </w:tc>
        <w:tc>
          <w:tcPr>
            <w:tcW w:w="718" w:type="dxa"/>
            <w:tcBorders>
              <w:top w:val="nil"/>
              <w:left w:val="nil"/>
              <w:bottom w:val="single" w:sz="4" w:space="0" w:color="auto"/>
              <w:right w:val="single" w:sz="4" w:space="0" w:color="auto"/>
            </w:tcBorders>
            <w:shd w:val="clear" w:color="auto" w:fill="auto"/>
            <w:vAlign w:val="center"/>
            <w:hideMark/>
          </w:tcPr>
          <w:p w14:paraId="40141526"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4.6%</w:t>
            </w:r>
          </w:p>
        </w:tc>
      </w:tr>
      <w:tr w:rsidR="00ED1A23" w:rsidRPr="00EE5714" w14:paraId="60E2BA6B" w14:textId="77777777" w:rsidTr="007517EB">
        <w:trPr>
          <w:trHeight w:val="29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7CE1091B"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83,070</w:t>
            </w:r>
          </w:p>
        </w:tc>
        <w:tc>
          <w:tcPr>
            <w:tcW w:w="859" w:type="dxa"/>
            <w:tcBorders>
              <w:top w:val="nil"/>
              <w:left w:val="nil"/>
              <w:bottom w:val="single" w:sz="4" w:space="0" w:color="auto"/>
              <w:right w:val="single" w:sz="4" w:space="0" w:color="auto"/>
            </w:tcBorders>
            <w:shd w:val="clear" w:color="auto" w:fill="auto"/>
            <w:vAlign w:val="center"/>
            <w:hideMark/>
          </w:tcPr>
          <w:p w14:paraId="602749B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w:t>
            </w:r>
          </w:p>
        </w:tc>
        <w:tc>
          <w:tcPr>
            <w:tcW w:w="1082" w:type="dxa"/>
            <w:tcBorders>
              <w:top w:val="nil"/>
              <w:left w:val="nil"/>
              <w:bottom w:val="single" w:sz="4" w:space="0" w:color="auto"/>
              <w:right w:val="single" w:sz="4" w:space="0" w:color="auto"/>
            </w:tcBorders>
            <w:shd w:val="clear" w:color="auto" w:fill="auto"/>
            <w:vAlign w:val="center"/>
            <w:hideMark/>
          </w:tcPr>
          <w:p w14:paraId="5E44DE74"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82" w:type="dxa"/>
            <w:tcBorders>
              <w:top w:val="nil"/>
              <w:left w:val="nil"/>
              <w:bottom w:val="single" w:sz="4" w:space="0" w:color="auto"/>
              <w:right w:val="single" w:sz="4" w:space="0" w:color="auto"/>
            </w:tcBorders>
            <w:shd w:val="clear" w:color="auto" w:fill="auto"/>
            <w:vAlign w:val="center"/>
            <w:hideMark/>
          </w:tcPr>
          <w:p w14:paraId="1316FF94"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36.1%</w:t>
            </w:r>
          </w:p>
        </w:tc>
        <w:tc>
          <w:tcPr>
            <w:tcW w:w="32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45798C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29" w:type="dxa"/>
            <w:tcBorders>
              <w:top w:val="nil"/>
              <w:left w:val="single" w:sz="4" w:space="0" w:color="auto"/>
              <w:bottom w:val="single" w:sz="4" w:space="0" w:color="auto"/>
              <w:right w:val="single" w:sz="4" w:space="0" w:color="auto"/>
            </w:tcBorders>
            <w:shd w:val="clear" w:color="auto" w:fill="auto"/>
            <w:vAlign w:val="center"/>
            <w:hideMark/>
          </w:tcPr>
          <w:p w14:paraId="5F8CACC2"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099" w:type="dxa"/>
            <w:tcBorders>
              <w:top w:val="nil"/>
              <w:left w:val="nil"/>
              <w:bottom w:val="single" w:sz="4" w:space="0" w:color="auto"/>
              <w:right w:val="single" w:sz="4" w:space="0" w:color="auto"/>
            </w:tcBorders>
            <w:shd w:val="clear" w:color="auto" w:fill="auto"/>
            <w:vAlign w:val="center"/>
            <w:hideMark/>
          </w:tcPr>
          <w:p w14:paraId="32CC7D99"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70,353</w:t>
            </w:r>
          </w:p>
        </w:tc>
        <w:tc>
          <w:tcPr>
            <w:tcW w:w="718" w:type="dxa"/>
            <w:tcBorders>
              <w:top w:val="nil"/>
              <w:left w:val="nil"/>
              <w:bottom w:val="single" w:sz="4" w:space="0" w:color="auto"/>
              <w:right w:val="single" w:sz="4" w:space="0" w:color="auto"/>
            </w:tcBorders>
            <w:shd w:val="clear" w:color="auto" w:fill="auto"/>
            <w:vAlign w:val="center"/>
            <w:hideMark/>
          </w:tcPr>
          <w:p w14:paraId="69FB185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w:t>
            </w:r>
          </w:p>
        </w:tc>
      </w:tr>
      <w:tr w:rsidR="00ED1A23" w:rsidRPr="00EE5714" w14:paraId="586F79A6" w14:textId="77777777" w:rsidTr="007517EB">
        <w:trPr>
          <w:trHeight w:val="502"/>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751686C4"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11,593</w:t>
            </w:r>
          </w:p>
        </w:tc>
        <w:tc>
          <w:tcPr>
            <w:tcW w:w="859" w:type="dxa"/>
            <w:tcBorders>
              <w:top w:val="nil"/>
              <w:left w:val="nil"/>
              <w:bottom w:val="single" w:sz="4" w:space="0" w:color="auto"/>
              <w:right w:val="single" w:sz="4" w:space="0" w:color="auto"/>
            </w:tcBorders>
            <w:shd w:val="clear" w:color="auto" w:fill="auto"/>
            <w:vAlign w:val="center"/>
            <w:hideMark/>
          </w:tcPr>
          <w:p w14:paraId="7C3CFC9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082" w:type="dxa"/>
            <w:tcBorders>
              <w:top w:val="nil"/>
              <w:left w:val="nil"/>
              <w:bottom w:val="single" w:sz="4" w:space="0" w:color="auto"/>
              <w:right w:val="single" w:sz="4" w:space="0" w:color="auto"/>
            </w:tcBorders>
            <w:shd w:val="clear" w:color="auto" w:fill="auto"/>
            <w:vAlign w:val="center"/>
            <w:hideMark/>
          </w:tcPr>
          <w:p w14:paraId="4AB43D7F"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82" w:type="dxa"/>
            <w:tcBorders>
              <w:top w:val="nil"/>
              <w:left w:val="nil"/>
              <w:bottom w:val="single" w:sz="4" w:space="0" w:color="auto"/>
              <w:right w:val="single" w:sz="4" w:space="0" w:color="auto"/>
            </w:tcBorders>
            <w:shd w:val="clear" w:color="auto" w:fill="auto"/>
            <w:vAlign w:val="center"/>
            <w:hideMark/>
          </w:tcPr>
          <w:p w14:paraId="7FA813F7"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14.9%</w:t>
            </w:r>
          </w:p>
        </w:tc>
        <w:tc>
          <w:tcPr>
            <w:tcW w:w="1509" w:type="dxa"/>
            <w:tcBorders>
              <w:top w:val="single" w:sz="4" w:space="0" w:color="auto"/>
              <w:left w:val="nil"/>
              <w:bottom w:val="single" w:sz="4" w:space="0" w:color="auto"/>
              <w:right w:val="single" w:sz="4" w:space="0" w:color="auto"/>
            </w:tcBorders>
            <w:shd w:val="clear" w:color="000000" w:fill="E7E6E6"/>
            <w:vAlign w:val="center"/>
            <w:hideMark/>
          </w:tcPr>
          <w:p w14:paraId="6E12DAF8"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1004" w:type="dxa"/>
            <w:tcBorders>
              <w:top w:val="single" w:sz="4" w:space="0" w:color="auto"/>
              <w:left w:val="nil"/>
              <w:bottom w:val="single" w:sz="4" w:space="0" w:color="auto"/>
              <w:right w:val="single" w:sz="4" w:space="0" w:color="auto"/>
            </w:tcBorders>
            <w:shd w:val="clear" w:color="000000" w:fill="E7E6E6"/>
            <w:vAlign w:val="center"/>
            <w:hideMark/>
          </w:tcPr>
          <w:p w14:paraId="64676031"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697" w:type="dxa"/>
            <w:tcBorders>
              <w:top w:val="single" w:sz="4" w:space="0" w:color="auto"/>
              <w:left w:val="nil"/>
              <w:bottom w:val="single" w:sz="4" w:space="0" w:color="auto"/>
              <w:right w:val="single" w:sz="4" w:space="0" w:color="auto"/>
            </w:tcBorders>
            <w:shd w:val="clear" w:color="000000" w:fill="E7E6E6"/>
            <w:vAlign w:val="center"/>
            <w:hideMark/>
          </w:tcPr>
          <w:p w14:paraId="6CE21AA1"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329" w:type="dxa"/>
            <w:tcBorders>
              <w:top w:val="nil"/>
              <w:left w:val="nil"/>
              <w:bottom w:val="single" w:sz="4" w:space="0" w:color="auto"/>
              <w:right w:val="single" w:sz="4" w:space="0" w:color="auto"/>
            </w:tcBorders>
            <w:shd w:val="clear" w:color="auto" w:fill="auto"/>
            <w:vAlign w:val="center"/>
            <w:hideMark/>
          </w:tcPr>
          <w:p w14:paraId="392482BB"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99" w:type="dxa"/>
            <w:tcBorders>
              <w:top w:val="nil"/>
              <w:left w:val="nil"/>
              <w:bottom w:val="single" w:sz="4" w:space="0" w:color="auto"/>
              <w:right w:val="single" w:sz="4" w:space="0" w:color="auto"/>
            </w:tcBorders>
            <w:shd w:val="clear" w:color="auto" w:fill="auto"/>
            <w:vAlign w:val="center"/>
            <w:hideMark/>
          </w:tcPr>
          <w:p w14:paraId="48B81DAB"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1,648,542</w:t>
            </w:r>
          </w:p>
        </w:tc>
        <w:tc>
          <w:tcPr>
            <w:tcW w:w="718" w:type="dxa"/>
            <w:tcBorders>
              <w:top w:val="nil"/>
              <w:left w:val="nil"/>
              <w:bottom w:val="single" w:sz="4" w:space="0" w:color="auto"/>
              <w:right w:val="single" w:sz="4" w:space="0" w:color="auto"/>
            </w:tcBorders>
            <w:shd w:val="clear" w:color="auto" w:fill="auto"/>
            <w:vAlign w:val="center"/>
            <w:hideMark/>
          </w:tcPr>
          <w:p w14:paraId="5A570BE0"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ED1A23" w:rsidRPr="00EE5714" w14:paraId="1AFD9907" w14:textId="77777777" w:rsidTr="007517EB">
        <w:trPr>
          <w:trHeight w:val="29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479AB703"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5,142</w:t>
            </w:r>
          </w:p>
        </w:tc>
        <w:tc>
          <w:tcPr>
            <w:tcW w:w="859" w:type="dxa"/>
            <w:tcBorders>
              <w:top w:val="nil"/>
              <w:left w:val="nil"/>
              <w:bottom w:val="single" w:sz="4" w:space="0" w:color="auto"/>
              <w:right w:val="single" w:sz="4" w:space="0" w:color="auto"/>
            </w:tcBorders>
            <w:shd w:val="clear" w:color="auto" w:fill="auto"/>
            <w:vAlign w:val="center"/>
            <w:hideMark/>
          </w:tcPr>
          <w:p w14:paraId="156BC289"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082" w:type="dxa"/>
            <w:tcBorders>
              <w:top w:val="nil"/>
              <w:left w:val="nil"/>
              <w:bottom w:val="single" w:sz="4" w:space="0" w:color="auto"/>
              <w:right w:val="single" w:sz="4" w:space="0" w:color="auto"/>
            </w:tcBorders>
            <w:shd w:val="clear" w:color="auto" w:fill="auto"/>
            <w:vAlign w:val="center"/>
            <w:hideMark/>
          </w:tcPr>
          <w:p w14:paraId="6212D071"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82" w:type="dxa"/>
            <w:tcBorders>
              <w:top w:val="nil"/>
              <w:left w:val="nil"/>
              <w:bottom w:val="single" w:sz="4" w:space="0" w:color="auto"/>
              <w:right w:val="single" w:sz="4" w:space="0" w:color="auto"/>
            </w:tcBorders>
            <w:shd w:val="clear" w:color="auto" w:fill="auto"/>
            <w:vAlign w:val="center"/>
            <w:hideMark/>
          </w:tcPr>
          <w:p w14:paraId="06D3749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11.3%</w:t>
            </w:r>
          </w:p>
        </w:tc>
        <w:tc>
          <w:tcPr>
            <w:tcW w:w="1509" w:type="dxa"/>
            <w:tcBorders>
              <w:top w:val="nil"/>
              <w:left w:val="nil"/>
              <w:bottom w:val="single" w:sz="4" w:space="0" w:color="auto"/>
              <w:right w:val="single" w:sz="4" w:space="0" w:color="auto"/>
            </w:tcBorders>
            <w:shd w:val="clear" w:color="auto" w:fill="auto"/>
            <w:vAlign w:val="center"/>
            <w:hideMark/>
          </w:tcPr>
          <w:p w14:paraId="792D84A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1004" w:type="dxa"/>
            <w:tcBorders>
              <w:top w:val="nil"/>
              <w:left w:val="nil"/>
              <w:bottom w:val="single" w:sz="4" w:space="0" w:color="auto"/>
              <w:right w:val="single" w:sz="4" w:space="0" w:color="auto"/>
            </w:tcBorders>
            <w:shd w:val="clear" w:color="auto" w:fill="auto"/>
            <w:vAlign w:val="center"/>
            <w:hideMark/>
          </w:tcPr>
          <w:p w14:paraId="6246B76F"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1,085,439</w:t>
            </w:r>
          </w:p>
        </w:tc>
        <w:tc>
          <w:tcPr>
            <w:tcW w:w="697" w:type="dxa"/>
            <w:tcBorders>
              <w:top w:val="nil"/>
              <w:left w:val="nil"/>
              <w:bottom w:val="single" w:sz="4" w:space="0" w:color="auto"/>
              <w:right w:val="single" w:sz="4" w:space="0" w:color="auto"/>
            </w:tcBorders>
            <w:shd w:val="clear" w:color="auto" w:fill="auto"/>
            <w:vAlign w:val="center"/>
            <w:hideMark/>
          </w:tcPr>
          <w:p w14:paraId="4DF80327"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67.0%</w:t>
            </w:r>
          </w:p>
        </w:tc>
        <w:tc>
          <w:tcPr>
            <w:tcW w:w="1329" w:type="dxa"/>
            <w:tcBorders>
              <w:top w:val="nil"/>
              <w:left w:val="nil"/>
              <w:bottom w:val="single" w:sz="4" w:space="0" w:color="auto"/>
              <w:right w:val="single" w:sz="4" w:space="0" w:color="auto"/>
            </w:tcBorders>
            <w:shd w:val="clear" w:color="auto" w:fill="auto"/>
            <w:vAlign w:val="center"/>
            <w:hideMark/>
          </w:tcPr>
          <w:p w14:paraId="3E9DC33D"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099" w:type="dxa"/>
            <w:tcBorders>
              <w:top w:val="nil"/>
              <w:left w:val="nil"/>
              <w:bottom w:val="single" w:sz="4" w:space="0" w:color="auto"/>
              <w:right w:val="single" w:sz="4" w:space="0" w:color="auto"/>
            </w:tcBorders>
            <w:shd w:val="clear" w:color="auto" w:fill="auto"/>
            <w:vAlign w:val="center"/>
            <w:hideMark/>
          </w:tcPr>
          <w:p w14:paraId="4557CD5B"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$52,662</w:t>
            </w:r>
          </w:p>
        </w:tc>
        <w:tc>
          <w:tcPr>
            <w:tcW w:w="718" w:type="dxa"/>
            <w:tcBorders>
              <w:top w:val="nil"/>
              <w:left w:val="nil"/>
              <w:bottom w:val="single" w:sz="4" w:space="0" w:color="auto"/>
              <w:right w:val="single" w:sz="4" w:space="0" w:color="auto"/>
            </w:tcBorders>
            <w:shd w:val="clear" w:color="auto" w:fill="auto"/>
            <w:vAlign w:val="center"/>
            <w:hideMark/>
          </w:tcPr>
          <w:p w14:paraId="546DFFDD"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ED1A23" w:rsidRPr="00EE5714" w14:paraId="1D111D4D" w14:textId="77777777" w:rsidTr="007517EB">
        <w:trPr>
          <w:trHeight w:val="502"/>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0DE46FEC"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1,332</w:t>
            </w:r>
          </w:p>
        </w:tc>
        <w:tc>
          <w:tcPr>
            <w:tcW w:w="859" w:type="dxa"/>
            <w:tcBorders>
              <w:top w:val="nil"/>
              <w:left w:val="nil"/>
              <w:bottom w:val="single" w:sz="4" w:space="0" w:color="auto"/>
              <w:right w:val="single" w:sz="4" w:space="0" w:color="auto"/>
            </w:tcBorders>
            <w:shd w:val="clear" w:color="auto" w:fill="auto"/>
            <w:vAlign w:val="center"/>
            <w:hideMark/>
          </w:tcPr>
          <w:p w14:paraId="0FA66410"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082" w:type="dxa"/>
            <w:tcBorders>
              <w:top w:val="nil"/>
              <w:left w:val="nil"/>
              <w:bottom w:val="single" w:sz="4" w:space="0" w:color="auto"/>
              <w:right w:val="single" w:sz="4" w:space="0" w:color="auto"/>
            </w:tcBorders>
            <w:shd w:val="clear" w:color="auto" w:fill="auto"/>
            <w:vAlign w:val="center"/>
            <w:hideMark/>
          </w:tcPr>
          <w:p w14:paraId="7D597D8B"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82" w:type="dxa"/>
            <w:tcBorders>
              <w:top w:val="nil"/>
              <w:left w:val="nil"/>
              <w:bottom w:val="single" w:sz="4" w:space="0" w:color="auto"/>
              <w:right w:val="single" w:sz="4" w:space="0" w:color="auto"/>
            </w:tcBorders>
            <w:shd w:val="clear" w:color="auto" w:fill="auto"/>
            <w:vAlign w:val="center"/>
            <w:hideMark/>
          </w:tcPr>
          <w:p w14:paraId="6D32457D"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4.4%</w:t>
            </w:r>
          </w:p>
        </w:tc>
        <w:tc>
          <w:tcPr>
            <w:tcW w:w="1509" w:type="dxa"/>
            <w:tcBorders>
              <w:top w:val="nil"/>
              <w:left w:val="nil"/>
              <w:bottom w:val="single" w:sz="4" w:space="0" w:color="auto"/>
              <w:right w:val="single" w:sz="4" w:space="0" w:color="auto"/>
            </w:tcBorders>
            <w:shd w:val="clear" w:color="auto" w:fill="auto"/>
            <w:vAlign w:val="center"/>
            <w:hideMark/>
          </w:tcPr>
          <w:p w14:paraId="3CA0C053"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1004" w:type="dxa"/>
            <w:tcBorders>
              <w:top w:val="nil"/>
              <w:left w:val="nil"/>
              <w:bottom w:val="single" w:sz="4" w:space="0" w:color="auto"/>
              <w:right w:val="single" w:sz="4" w:space="0" w:color="auto"/>
            </w:tcBorders>
            <w:shd w:val="clear" w:color="auto" w:fill="auto"/>
            <w:vAlign w:val="center"/>
            <w:hideMark/>
          </w:tcPr>
          <w:p w14:paraId="7DFF09FD"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44,815</w:t>
            </w:r>
          </w:p>
        </w:tc>
        <w:tc>
          <w:tcPr>
            <w:tcW w:w="697" w:type="dxa"/>
            <w:tcBorders>
              <w:top w:val="nil"/>
              <w:left w:val="nil"/>
              <w:bottom w:val="single" w:sz="4" w:space="0" w:color="auto"/>
              <w:right w:val="single" w:sz="4" w:space="0" w:color="auto"/>
            </w:tcBorders>
            <w:shd w:val="clear" w:color="auto" w:fill="auto"/>
            <w:vAlign w:val="center"/>
            <w:hideMark/>
          </w:tcPr>
          <w:p w14:paraId="3C2F26F2"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w:t>
            </w:r>
          </w:p>
        </w:tc>
        <w:tc>
          <w:tcPr>
            <w:tcW w:w="1329" w:type="dxa"/>
            <w:tcBorders>
              <w:top w:val="nil"/>
              <w:left w:val="nil"/>
              <w:bottom w:val="single" w:sz="4" w:space="0" w:color="auto"/>
              <w:right w:val="single" w:sz="4" w:space="0" w:color="auto"/>
            </w:tcBorders>
            <w:shd w:val="clear" w:color="auto" w:fill="auto"/>
            <w:vAlign w:val="center"/>
            <w:hideMark/>
          </w:tcPr>
          <w:p w14:paraId="77F5EB73"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099" w:type="dxa"/>
            <w:tcBorders>
              <w:top w:val="nil"/>
              <w:left w:val="nil"/>
              <w:bottom w:val="single" w:sz="4" w:space="0" w:color="auto"/>
              <w:right w:val="single" w:sz="4" w:space="0" w:color="auto"/>
            </w:tcBorders>
            <w:shd w:val="clear" w:color="auto" w:fill="auto"/>
            <w:vAlign w:val="center"/>
            <w:hideMark/>
          </w:tcPr>
          <w:p w14:paraId="30569D4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$72,608</w:t>
            </w:r>
          </w:p>
        </w:tc>
        <w:tc>
          <w:tcPr>
            <w:tcW w:w="718" w:type="dxa"/>
            <w:tcBorders>
              <w:top w:val="nil"/>
              <w:left w:val="nil"/>
              <w:bottom w:val="single" w:sz="4" w:space="0" w:color="auto"/>
              <w:right w:val="single" w:sz="4" w:space="0" w:color="auto"/>
            </w:tcBorders>
            <w:shd w:val="clear" w:color="auto" w:fill="auto"/>
            <w:vAlign w:val="center"/>
            <w:hideMark/>
          </w:tcPr>
          <w:p w14:paraId="05DD7D00"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ED1A23" w:rsidRPr="00EE5714" w14:paraId="4CA29D79" w14:textId="77777777" w:rsidTr="007517EB">
        <w:trPr>
          <w:trHeight w:val="29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349DE492"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245</w:t>
            </w:r>
          </w:p>
        </w:tc>
        <w:tc>
          <w:tcPr>
            <w:tcW w:w="859" w:type="dxa"/>
            <w:tcBorders>
              <w:top w:val="nil"/>
              <w:left w:val="nil"/>
              <w:bottom w:val="single" w:sz="4" w:space="0" w:color="auto"/>
              <w:right w:val="single" w:sz="4" w:space="0" w:color="auto"/>
            </w:tcBorders>
            <w:shd w:val="clear" w:color="auto" w:fill="auto"/>
            <w:vAlign w:val="center"/>
            <w:hideMark/>
          </w:tcPr>
          <w:p w14:paraId="28568776"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82" w:type="dxa"/>
            <w:tcBorders>
              <w:top w:val="nil"/>
              <w:left w:val="nil"/>
              <w:bottom w:val="single" w:sz="4" w:space="0" w:color="auto"/>
              <w:right w:val="single" w:sz="4" w:space="0" w:color="auto"/>
            </w:tcBorders>
            <w:shd w:val="clear" w:color="auto" w:fill="auto"/>
            <w:vAlign w:val="center"/>
            <w:hideMark/>
          </w:tcPr>
          <w:p w14:paraId="1A978C37"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82" w:type="dxa"/>
            <w:tcBorders>
              <w:top w:val="nil"/>
              <w:left w:val="nil"/>
              <w:bottom w:val="single" w:sz="4" w:space="0" w:color="auto"/>
              <w:right w:val="single" w:sz="4" w:space="0" w:color="auto"/>
            </w:tcBorders>
            <w:shd w:val="clear" w:color="auto" w:fill="auto"/>
            <w:vAlign w:val="center"/>
            <w:hideMark/>
          </w:tcPr>
          <w:p w14:paraId="42EAE55C"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w:t>
            </w:r>
          </w:p>
        </w:tc>
        <w:tc>
          <w:tcPr>
            <w:tcW w:w="1509" w:type="dxa"/>
            <w:tcBorders>
              <w:top w:val="nil"/>
              <w:left w:val="nil"/>
              <w:bottom w:val="single" w:sz="4" w:space="0" w:color="auto"/>
              <w:right w:val="single" w:sz="4" w:space="0" w:color="auto"/>
            </w:tcBorders>
            <w:shd w:val="clear" w:color="auto" w:fill="auto"/>
            <w:vAlign w:val="center"/>
            <w:hideMark/>
          </w:tcPr>
          <w:p w14:paraId="486DC9EC"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1004" w:type="dxa"/>
            <w:tcBorders>
              <w:top w:val="nil"/>
              <w:left w:val="nil"/>
              <w:bottom w:val="single" w:sz="4" w:space="0" w:color="auto"/>
              <w:right w:val="single" w:sz="4" w:space="0" w:color="auto"/>
            </w:tcBorders>
            <w:shd w:val="clear" w:color="auto" w:fill="auto"/>
            <w:vAlign w:val="center"/>
            <w:hideMark/>
          </w:tcPr>
          <w:p w14:paraId="36E831DC"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240,348</w:t>
            </w:r>
          </w:p>
        </w:tc>
        <w:tc>
          <w:tcPr>
            <w:tcW w:w="697" w:type="dxa"/>
            <w:tcBorders>
              <w:top w:val="nil"/>
              <w:left w:val="nil"/>
              <w:bottom w:val="single" w:sz="4" w:space="0" w:color="auto"/>
              <w:right w:val="single" w:sz="4" w:space="0" w:color="auto"/>
            </w:tcBorders>
            <w:shd w:val="clear" w:color="auto" w:fill="auto"/>
            <w:vAlign w:val="center"/>
            <w:hideMark/>
          </w:tcPr>
          <w:p w14:paraId="04CD9792"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14.8%</w:t>
            </w:r>
          </w:p>
        </w:tc>
        <w:tc>
          <w:tcPr>
            <w:tcW w:w="1329" w:type="dxa"/>
            <w:tcBorders>
              <w:top w:val="nil"/>
              <w:left w:val="nil"/>
              <w:bottom w:val="single" w:sz="4" w:space="0" w:color="auto"/>
              <w:right w:val="single" w:sz="4" w:space="0" w:color="auto"/>
            </w:tcBorders>
            <w:shd w:val="clear" w:color="auto" w:fill="auto"/>
            <w:vAlign w:val="center"/>
            <w:hideMark/>
          </w:tcPr>
          <w:p w14:paraId="5E3C7CED"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099" w:type="dxa"/>
            <w:tcBorders>
              <w:top w:val="nil"/>
              <w:left w:val="nil"/>
              <w:bottom w:val="single" w:sz="4" w:space="0" w:color="auto"/>
              <w:right w:val="single" w:sz="4" w:space="0" w:color="auto"/>
            </w:tcBorders>
            <w:shd w:val="clear" w:color="auto" w:fill="auto"/>
            <w:vAlign w:val="center"/>
            <w:hideMark/>
          </w:tcPr>
          <w:p w14:paraId="5191757A"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$30,649</w:t>
            </w:r>
          </w:p>
        </w:tc>
        <w:tc>
          <w:tcPr>
            <w:tcW w:w="718" w:type="dxa"/>
            <w:tcBorders>
              <w:top w:val="nil"/>
              <w:left w:val="nil"/>
              <w:bottom w:val="single" w:sz="4" w:space="0" w:color="auto"/>
              <w:right w:val="single" w:sz="4" w:space="0" w:color="auto"/>
            </w:tcBorders>
            <w:shd w:val="clear" w:color="auto" w:fill="auto"/>
            <w:vAlign w:val="center"/>
            <w:hideMark/>
          </w:tcPr>
          <w:p w14:paraId="545499F1"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ED1A23" w:rsidRPr="00EE5714" w14:paraId="122FA7A9" w14:textId="77777777" w:rsidTr="007517EB">
        <w:trPr>
          <w:trHeight w:val="502"/>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15800C84"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175</w:t>
            </w:r>
          </w:p>
        </w:tc>
        <w:tc>
          <w:tcPr>
            <w:tcW w:w="859" w:type="dxa"/>
            <w:tcBorders>
              <w:top w:val="nil"/>
              <w:left w:val="nil"/>
              <w:bottom w:val="single" w:sz="4" w:space="0" w:color="auto"/>
              <w:right w:val="single" w:sz="4" w:space="0" w:color="auto"/>
            </w:tcBorders>
            <w:shd w:val="clear" w:color="auto" w:fill="auto"/>
            <w:vAlign w:val="center"/>
            <w:hideMark/>
          </w:tcPr>
          <w:p w14:paraId="6C6CEA7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82" w:type="dxa"/>
            <w:tcBorders>
              <w:top w:val="nil"/>
              <w:left w:val="nil"/>
              <w:bottom w:val="single" w:sz="4" w:space="0" w:color="auto"/>
              <w:right w:val="single" w:sz="4" w:space="0" w:color="auto"/>
            </w:tcBorders>
            <w:shd w:val="clear" w:color="auto" w:fill="auto"/>
            <w:vAlign w:val="center"/>
            <w:hideMark/>
          </w:tcPr>
          <w:p w14:paraId="296B87C9"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82" w:type="dxa"/>
            <w:tcBorders>
              <w:top w:val="nil"/>
              <w:left w:val="nil"/>
              <w:bottom w:val="single" w:sz="4" w:space="0" w:color="auto"/>
              <w:right w:val="single" w:sz="4" w:space="0" w:color="auto"/>
            </w:tcBorders>
            <w:shd w:val="clear" w:color="auto" w:fill="auto"/>
            <w:vAlign w:val="center"/>
            <w:hideMark/>
          </w:tcPr>
          <w:p w14:paraId="1D44F879"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509" w:type="dxa"/>
            <w:tcBorders>
              <w:top w:val="nil"/>
              <w:left w:val="nil"/>
              <w:bottom w:val="single" w:sz="4" w:space="0" w:color="auto"/>
              <w:right w:val="single" w:sz="4" w:space="0" w:color="auto"/>
            </w:tcBorders>
            <w:shd w:val="clear" w:color="auto" w:fill="auto"/>
            <w:vAlign w:val="center"/>
            <w:hideMark/>
          </w:tcPr>
          <w:p w14:paraId="79FCF43F"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1004" w:type="dxa"/>
            <w:tcBorders>
              <w:top w:val="nil"/>
              <w:left w:val="nil"/>
              <w:bottom w:val="single" w:sz="4" w:space="0" w:color="auto"/>
              <w:right w:val="single" w:sz="4" w:space="0" w:color="auto"/>
            </w:tcBorders>
            <w:shd w:val="clear" w:color="auto" w:fill="auto"/>
            <w:vAlign w:val="center"/>
            <w:hideMark/>
          </w:tcPr>
          <w:p w14:paraId="78332139"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163,326</w:t>
            </w:r>
          </w:p>
        </w:tc>
        <w:tc>
          <w:tcPr>
            <w:tcW w:w="697" w:type="dxa"/>
            <w:tcBorders>
              <w:top w:val="nil"/>
              <w:left w:val="nil"/>
              <w:bottom w:val="single" w:sz="4" w:space="0" w:color="auto"/>
              <w:right w:val="single" w:sz="4" w:space="0" w:color="auto"/>
            </w:tcBorders>
            <w:shd w:val="clear" w:color="auto" w:fill="auto"/>
            <w:vAlign w:val="center"/>
            <w:hideMark/>
          </w:tcPr>
          <w:p w14:paraId="5C8E9026"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10.1%</w:t>
            </w:r>
          </w:p>
        </w:tc>
        <w:tc>
          <w:tcPr>
            <w:tcW w:w="3147"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643CF92A"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NFG Service Area                                            2012-2016 ACS</w:t>
            </w:r>
          </w:p>
        </w:tc>
      </w:tr>
      <w:tr w:rsidR="00ED1A23" w:rsidRPr="00EE5714" w14:paraId="423B3CAA" w14:textId="77777777" w:rsidTr="007517EB">
        <w:trPr>
          <w:trHeight w:val="502"/>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493FCB58"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1,620,145</w:t>
            </w:r>
          </w:p>
        </w:tc>
        <w:tc>
          <w:tcPr>
            <w:tcW w:w="859" w:type="dxa"/>
            <w:tcBorders>
              <w:top w:val="nil"/>
              <w:left w:val="nil"/>
              <w:bottom w:val="single" w:sz="4" w:space="0" w:color="auto"/>
              <w:right w:val="single" w:sz="4" w:space="0" w:color="auto"/>
            </w:tcBorders>
            <w:shd w:val="clear" w:color="auto" w:fill="auto"/>
            <w:vAlign w:val="center"/>
            <w:hideMark/>
          </w:tcPr>
          <w:p w14:paraId="2F68DDB7"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82" w:type="dxa"/>
            <w:tcBorders>
              <w:top w:val="nil"/>
              <w:left w:val="nil"/>
              <w:bottom w:val="single" w:sz="4" w:space="0" w:color="auto"/>
              <w:right w:val="single" w:sz="4" w:space="0" w:color="auto"/>
            </w:tcBorders>
            <w:shd w:val="clear" w:color="auto" w:fill="auto"/>
            <w:vAlign w:val="center"/>
            <w:hideMark/>
          </w:tcPr>
          <w:p w14:paraId="650E7ACA"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82" w:type="dxa"/>
            <w:tcBorders>
              <w:top w:val="nil"/>
              <w:left w:val="nil"/>
              <w:bottom w:val="single" w:sz="4" w:space="0" w:color="auto"/>
              <w:right w:val="single" w:sz="4" w:space="0" w:color="auto"/>
            </w:tcBorders>
            <w:shd w:val="clear" w:color="auto" w:fill="auto"/>
            <w:vAlign w:val="center"/>
            <w:hideMark/>
          </w:tcPr>
          <w:p w14:paraId="778971E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09" w:type="dxa"/>
            <w:tcBorders>
              <w:top w:val="nil"/>
              <w:left w:val="nil"/>
              <w:bottom w:val="single" w:sz="4" w:space="0" w:color="auto"/>
              <w:right w:val="single" w:sz="4" w:space="0" w:color="auto"/>
            </w:tcBorders>
            <w:shd w:val="clear" w:color="auto" w:fill="auto"/>
            <w:vAlign w:val="center"/>
            <w:hideMark/>
          </w:tcPr>
          <w:p w14:paraId="6EE34836"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1004" w:type="dxa"/>
            <w:tcBorders>
              <w:top w:val="nil"/>
              <w:left w:val="nil"/>
              <w:bottom w:val="single" w:sz="4" w:space="0" w:color="auto"/>
              <w:right w:val="single" w:sz="4" w:space="0" w:color="auto"/>
            </w:tcBorders>
            <w:shd w:val="clear" w:color="auto" w:fill="auto"/>
            <w:vAlign w:val="center"/>
            <w:hideMark/>
          </w:tcPr>
          <w:p w14:paraId="205640B9"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16,933</w:t>
            </w:r>
          </w:p>
        </w:tc>
        <w:tc>
          <w:tcPr>
            <w:tcW w:w="697" w:type="dxa"/>
            <w:tcBorders>
              <w:top w:val="nil"/>
              <w:left w:val="nil"/>
              <w:bottom w:val="single" w:sz="4" w:space="0" w:color="auto"/>
              <w:right w:val="single" w:sz="4" w:space="0" w:color="auto"/>
            </w:tcBorders>
            <w:shd w:val="clear" w:color="auto" w:fill="auto"/>
            <w:vAlign w:val="center"/>
            <w:hideMark/>
          </w:tcPr>
          <w:p w14:paraId="27FDAB7C"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w:t>
            </w:r>
          </w:p>
        </w:tc>
        <w:tc>
          <w:tcPr>
            <w:tcW w:w="1329" w:type="dxa"/>
            <w:tcBorders>
              <w:top w:val="single" w:sz="4" w:space="0" w:color="auto"/>
              <w:left w:val="nil"/>
              <w:bottom w:val="single" w:sz="4" w:space="0" w:color="auto"/>
              <w:right w:val="single" w:sz="4" w:space="0" w:color="auto"/>
            </w:tcBorders>
            <w:shd w:val="clear" w:color="000000" w:fill="E7E6E6"/>
            <w:vAlign w:val="center"/>
            <w:hideMark/>
          </w:tcPr>
          <w:p w14:paraId="49A88951"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099" w:type="dxa"/>
            <w:tcBorders>
              <w:top w:val="single" w:sz="4" w:space="0" w:color="auto"/>
              <w:left w:val="nil"/>
              <w:bottom w:val="single" w:sz="4" w:space="0" w:color="auto"/>
              <w:right w:val="single" w:sz="4" w:space="0" w:color="auto"/>
            </w:tcBorders>
            <w:shd w:val="clear" w:color="000000" w:fill="E7E6E6"/>
            <w:vAlign w:val="center"/>
            <w:hideMark/>
          </w:tcPr>
          <w:p w14:paraId="61A8B706"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18" w:type="dxa"/>
            <w:tcBorders>
              <w:top w:val="single" w:sz="4" w:space="0" w:color="auto"/>
              <w:left w:val="nil"/>
              <w:bottom w:val="single" w:sz="4" w:space="0" w:color="auto"/>
              <w:right w:val="single" w:sz="4" w:space="0" w:color="auto"/>
            </w:tcBorders>
            <w:shd w:val="clear" w:color="000000" w:fill="E7E6E6"/>
            <w:vAlign w:val="center"/>
            <w:hideMark/>
          </w:tcPr>
          <w:p w14:paraId="20824FC7"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ED1A23" w:rsidRPr="00EE5714" w14:paraId="5FF1A0B6" w14:textId="77777777" w:rsidTr="007517EB">
        <w:trPr>
          <w:trHeight w:val="428"/>
          <w:jc w:val="center"/>
        </w:trPr>
        <w:tc>
          <w:tcPr>
            <w:tcW w:w="4185" w:type="dxa"/>
            <w:gridSpan w:val="4"/>
            <w:tcBorders>
              <w:top w:val="single" w:sz="4" w:space="0" w:color="auto"/>
              <w:left w:val="single" w:sz="4" w:space="0" w:color="auto"/>
              <w:bottom w:val="single" w:sz="4" w:space="0" w:color="auto"/>
              <w:right w:val="single" w:sz="4" w:space="0" w:color="000000"/>
            </w:tcBorders>
            <w:shd w:val="clear" w:color="000000" w:fill="E7E6E6"/>
            <w:vAlign w:val="center"/>
            <w:hideMark/>
          </w:tcPr>
          <w:p w14:paraId="75932883" w14:textId="3A5CBA4F"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NFG Service Area - 2012-2016 ACS</w:t>
            </w: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298612D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1004" w:type="dxa"/>
            <w:tcBorders>
              <w:top w:val="nil"/>
              <w:left w:val="nil"/>
              <w:bottom w:val="single" w:sz="4" w:space="0" w:color="auto"/>
              <w:right w:val="single" w:sz="4" w:space="0" w:color="auto"/>
            </w:tcBorders>
            <w:shd w:val="clear" w:color="auto" w:fill="auto"/>
            <w:vAlign w:val="center"/>
            <w:hideMark/>
          </w:tcPr>
          <w:p w14:paraId="178E8A12"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51,423</w:t>
            </w:r>
          </w:p>
        </w:tc>
        <w:tc>
          <w:tcPr>
            <w:tcW w:w="697" w:type="dxa"/>
            <w:tcBorders>
              <w:top w:val="nil"/>
              <w:left w:val="nil"/>
              <w:bottom w:val="single" w:sz="4" w:space="0" w:color="auto"/>
              <w:right w:val="single" w:sz="4" w:space="0" w:color="auto"/>
            </w:tcBorders>
            <w:shd w:val="clear" w:color="auto" w:fill="auto"/>
            <w:vAlign w:val="center"/>
            <w:hideMark/>
          </w:tcPr>
          <w:p w14:paraId="52538996"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w:t>
            </w:r>
          </w:p>
        </w:tc>
        <w:tc>
          <w:tcPr>
            <w:tcW w:w="1329" w:type="dxa"/>
            <w:tcBorders>
              <w:top w:val="nil"/>
              <w:left w:val="nil"/>
              <w:bottom w:val="single" w:sz="4" w:space="0" w:color="auto"/>
              <w:right w:val="single" w:sz="4" w:space="0" w:color="auto"/>
            </w:tcBorders>
            <w:shd w:val="clear" w:color="auto" w:fill="auto"/>
            <w:vAlign w:val="center"/>
            <w:hideMark/>
          </w:tcPr>
          <w:p w14:paraId="69D23068"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421,154</w:t>
            </w:r>
          </w:p>
        </w:tc>
        <w:tc>
          <w:tcPr>
            <w:tcW w:w="1099" w:type="dxa"/>
            <w:tcBorders>
              <w:top w:val="nil"/>
              <w:left w:val="nil"/>
              <w:bottom w:val="single" w:sz="4" w:space="0" w:color="auto"/>
              <w:right w:val="single" w:sz="4" w:space="0" w:color="auto"/>
            </w:tcBorders>
            <w:shd w:val="clear" w:color="auto" w:fill="auto"/>
            <w:vAlign w:val="center"/>
            <w:hideMark/>
          </w:tcPr>
          <w:p w14:paraId="3F97FBB8"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18" w:type="dxa"/>
            <w:tcBorders>
              <w:top w:val="nil"/>
              <w:left w:val="nil"/>
              <w:bottom w:val="single" w:sz="4" w:space="0" w:color="auto"/>
              <w:right w:val="single" w:sz="4" w:space="0" w:color="auto"/>
            </w:tcBorders>
            <w:shd w:val="clear" w:color="auto" w:fill="auto"/>
            <w:vAlign w:val="center"/>
            <w:hideMark/>
          </w:tcPr>
          <w:p w14:paraId="44A097F0"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35.1%</w:t>
            </w:r>
          </w:p>
        </w:tc>
      </w:tr>
      <w:tr w:rsidR="00ED1A23" w:rsidRPr="00EE5714" w14:paraId="5A773082" w14:textId="77777777" w:rsidTr="007517EB">
        <w:trPr>
          <w:trHeight w:val="295"/>
          <w:jc w:val="center"/>
        </w:trPr>
        <w:tc>
          <w:tcPr>
            <w:tcW w:w="116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3AF4DBE"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24"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074653E2"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300CC11F"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1004" w:type="dxa"/>
            <w:tcBorders>
              <w:top w:val="nil"/>
              <w:left w:val="nil"/>
              <w:bottom w:val="single" w:sz="4" w:space="0" w:color="auto"/>
              <w:right w:val="single" w:sz="4" w:space="0" w:color="auto"/>
            </w:tcBorders>
            <w:shd w:val="clear" w:color="auto" w:fill="auto"/>
            <w:vAlign w:val="center"/>
            <w:hideMark/>
          </w:tcPr>
          <w:p w14:paraId="745988B1"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235</w:t>
            </w:r>
          </w:p>
        </w:tc>
        <w:tc>
          <w:tcPr>
            <w:tcW w:w="697" w:type="dxa"/>
            <w:tcBorders>
              <w:top w:val="nil"/>
              <w:left w:val="nil"/>
              <w:bottom w:val="single" w:sz="4" w:space="0" w:color="auto"/>
              <w:right w:val="single" w:sz="4" w:space="0" w:color="auto"/>
            </w:tcBorders>
            <w:shd w:val="clear" w:color="auto" w:fill="auto"/>
            <w:vAlign w:val="center"/>
            <w:hideMark/>
          </w:tcPr>
          <w:p w14:paraId="29DDE49D"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329" w:type="dxa"/>
            <w:tcBorders>
              <w:top w:val="nil"/>
              <w:left w:val="nil"/>
              <w:bottom w:val="single" w:sz="4" w:space="0" w:color="auto"/>
              <w:right w:val="single" w:sz="4" w:space="0" w:color="auto"/>
            </w:tcBorders>
            <w:shd w:val="clear" w:color="auto" w:fill="auto"/>
            <w:vAlign w:val="center"/>
            <w:hideMark/>
          </w:tcPr>
          <w:p w14:paraId="40982DA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1,198,991</w:t>
            </w:r>
          </w:p>
        </w:tc>
        <w:tc>
          <w:tcPr>
            <w:tcW w:w="1099" w:type="dxa"/>
            <w:tcBorders>
              <w:top w:val="nil"/>
              <w:left w:val="nil"/>
              <w:bottom w:val="single" w:sz="4" w:space="0" w:color="auto"/>
              <w:right w:val="single" w:sz="4" w:space="0" w:color="auto"/>
            </w:tcBorders>
            <w:shd w:val="clear" w:color="auto" w:fill="auto"/>
            <w:vAlign w:val="center"/>
            <w:hideMark/>
          </w:tcPr>
          <w:p w14:paraId="291D5377"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18" w:type="dxa"/>
            <w:tcBorders>
              <w:top w:val="nil"/>
              <w:left w:val="nil"/>
              <w:bottom w:val="single" w:sz="4" w:space="0" w:color="auto"/>
              <w:right w:val="single" w:sz="4" w:space="0" w:color="auto"/>
            </w:tcBorders>
            <w:shd w:val="clear" w:color="auto" w:fill="auto"/>
            <w:vAlign w:val="center"/>
            <w:hideMark/>
          </w:tcPr>
          <w:p w14:paraId="6517BB3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64.9%</w:t>
            </w:r>
          </w:p>
        </w:tc>
      </w:tr>
      <w:tr w:rsidR="00ED1A23" w:rsidRPr="00EE5714" w14:paraId="78602C42" w14:textId="77777777" w:rsidTr="007517EB">
        <w:trPr>
          <w:trHeight w:val="561"/>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298CD627"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212,600</w:t>
            </w:r>
          </w:p>
        </w:tc>
        <w:tc>
          <w:tcPr>
            <w:tcW w:w="859" w:type="dxa"/>
            <w:tcBorders>
              <w:top w:val="single" w:sz="4" w:space="0" w:color="auto"/>
              <w:left w:val="nil"/>
              <w:bottom w:val="single" w:sz="4" w:space="0" w:color="auto"/>
              <w:right w:val="single" w:sz="4" w:space="0" w:color="auto"/>
            </w:tcBorders>
            <w:shd w:val="clear" w:color="auto" w:fill="auto"/>
            <w:vAlign w:val="center"/>
            <w:hideMark/>
          </w:tcPr>
          <w:p w14:paraId="1B00515D"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13.12%</w:t>
            </w:r>
          </w:p>
        </w:tc>
        <w:tc>
          <w:tcPr>
            <w:tcW w:w="21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3E234A"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48DCCB2A"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1004" w:type="dxa"/>
            <w:tcBorders>
              <w:top w:val="nil"/>
              <w:left w:val="nil"/>
              <w:bottom w:val="single" w:sz="4" w:space="0" w:color="auto"/>
              <w:right w:val="single" w:sz="4" w:space="0" w:color="auto"/>
            </w:tcBorders>
            <w:shd w:val="clear" w:color="auto" w:fill="auto"/>
            <w:vAlign w:val="center"/>
            <w:hideMark/>
          </w:tcPr>
          <w:p w14:paraId="596AD8B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13,043</w:t>
            </w:r>
          </w:p>
        </w:tc>
        <w:tc>
          <w:tcPr>
            <w:tcW w:w="697" w:type="dxa"/>
            <w:tcBorders>
              <w:top w:val="nil"/>
              <w:left w:val="nil"/>
              <w:bottom w:val="single" w:sz="4" w:space="0" w:color="auto"/>
              <w:right w:val="single" w:sz="4" w:space="0" w:color="auto"/>
            </w:tcBorders>
            <w:shd w:val="clear" w:color="auto" w:fill="auto"/>
            <w:vAlign w:val="center"/>
            <w:hideMark/>
          </w:tcPr>
          <w:p w14:paraId="73087869"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0.8%</w:t>
            </w:r>
          </w:p>
        </w:tc>
        <w:tc>
          <w:tcPr>
            <w:tcW w:w="1329" w:type="dxa"/>
            <w:tcBorders>
              <w:top w:val="nil"/>
              <w:left w:val="nil"/>
              <w:bottom w:val="single" w:sz="4" w:space="0" w:color="auto"/>
              <w:right w:val="single" w:sz="4" w:space="0" w:color="auto"/>
            </w:tcBorders>
            <w:shd w:val="clear" w:color="auto" w:fill="auto"/>
            <w:vAlign w:val="center"/>
            <w:hideMark/>
          </w:tcPr>
          <w:p w14:paraId="27003A20"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505,617</w:t>
            </w:r>
          </w:p>
        </w:tc>
        <w:tc>
          <w:tcPr>
            <w:tcW w:w="1099" w:type="dxa"/>
            <w:tcBorders>
              <w:top w:val="nil"/>
              <w:left w:val="nil"/>
              <w:bottom w:val="single" w:sz="4" w:space="0" w:color="auto"/>
              <w:right w:val="single" w:sz="4" w:space="0" w:color="auto"/>
            </w:tcBorders>
            <w:shd w:val="clear" w:color="auto" w:fill="auto"/>
            <w:vAlign w:val="center"/>
            <w:hideMark/>
          </w:tcPr>
          <w:p w14:paraId="4EC29958"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18" w:type="dxa"/>
            <w:tcBorders>
              <w:top w:val="nil"/>
              <w:left w:val="nil"/>
              <w:bottom w:val="single" w:sz="4" w:space="0" w:color="auto"/>
              <w:right w:val="single" w:sz="4" w:space="0" w:color="auto"/>
            </w:tcBorders>
            <w:shd w:val="clear" w:color="auto" w:fill="auto"/>
            <w:vAlign w:val="center"/>
            <w:hideMark/>
          </w:tcPr>
          <w:p w14:paraId="1A8195E5" w14:textId="77777777" w:rsidR="00ED1A23" w:rsidRPr="00EE5714" w:rsidRDefault="00ED1A23" w:rsidP="0071621F">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45.4%</w:t>
            </w:r>
          </w:p>
        </w:tc>
      </w:tr>
      <w:tr w:rsidR="00ED1A23" w:rsidRPr="00EE5714" w14:paraId="0D22B605" w14:textId="77777777" w:rsidTr="007517EB">
        <w:trPr>
          <w:trHeight w:val="502"/>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1C8ED76A"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1,407,546</w:t>
            </w:r>
          </w:p>
        </w:tc>
        <w:tc>
          <w:tcPr>
            <w:tcW w:w="859" w:type="dxa"/>
            <w:tcBorders>
              <w:top w:val="nil"/>
              <w:left w:val="nil"/>
              <w:bottom w:val="single" w:sz="4" w:space="0" w:color="auto"/>
              <w:right w:val="single" w:sz="4" w:space="0" w:color="auto"/>
            </w:tcBorders>
            <w:shd w:val="clear" w:color="auto" w:fill="auto"/>
            <w:vAlign w:val="center"/>
            <w:hideMark/>
          </w:tcPr>
          <w:p w14:paraId="2EEAC5AA"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86.88%</w:t>
            </w:r>
          </w:p>
        </w:tc>
        <w:tc>
          <w:tcPr>
            <w:tcW w:w="21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FADE18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4CB1B88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1004" w:type="dxa"/>
            <w:tcBorders>
              <w:top w:val="nil"/>
              <w:left w:val="nil"/>
              <w:bottom w:val="single" w:sz="4" w:space="0" w:color="auto"/>
              <w:right w:val="single" w:sz="4" w:space="0" w:color="auto"/>
            </w:tcBorders>
            <w:shd w:val="clear" w:color="auto" w:fill="auto"/>
            <w:vAlign w:val="center"/>
            <w:hideMark/>
          </w:tcPr>
          <w:p w14:paraId="5902088F"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4,582</w:t>
            </w:r>
          </w:p>
        </w:tc>
        <w:tc>
          <w:tcPr>
            <w:tcW w:w="697" w:type="dxa"/>
            <w:tcBorders>
              <w:top w:val="nil"/>
              <w:left w:val="nil"/>
              <w:bottom w:val="single" w:sz="4" w:space="0" w:color="auto"/>
              <w:right w:val="single" w:sz="4" w:space="0" w:color="auto"/>
            </w:tcBorders>
            <w:shd w:val="clear" w:color="auto" w:fill="auto"/>
            <w:vAlign w:val="center"/>
            <w:hideMark/>
          </w:tcPr>
          <w:p w14:paraId="3E0F4225"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329" w:type="dxa"/>
            <w:tcBorders>
              <w:top w:val="nil"/>
              <w:left w:val="nil"/>
              <w:bottom w:val="single" w:sz="4" w:space="0" w:color="auto"/>
              <w:right w:val="single" w:sz="4" w:space="0" w:color="auto"/>
            </w:tcBorders>
            <w:shd w:val="clear" w:color="auto" w:fill="auto"/>
            <w:vAlign w:val="center"/>
            <w:hideMark/>
          </w:tcPr>
          <w:p w14:paraId="6A696A5E"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1,114,529</w:t>
            </w:r>
          </w:p>
        </w:tc>
        <w:tc>
          <w:tcPr>
            <w:tcW w:w="1099" w:type="dxa"/>
            <w:tcBorders>
              <w:top w:val="nil"/>
              <w:left w:val="nil"/>
              <w:bottom w:val="single" w:sz="4" w:space="0" w:color="auto"/>
              <w:right w:val="single" w:sz="4" w:space="0" w:color="auto"/>
            </w:tcBorders>
            <w:shd w:val="clear" w:color="auto" w:fill="auto"/>
            <w:vAlign w:val="center"/>
            <w:hideMark/>
          </w:tcPr>
          <w:p w14:paraId="69228BB0"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18" w:type="dxa"/>
            <w:tcBorders>
              <w:top w:val="nil"/>
              <w:left w:val="nil"/>
              <w:bottom w:val="single" w:sz="4" w:space="0" w:color="auto"/>
              <w:right w:val="single" w:sz="4" w:space="0" w:color="auto"/>
            </w:tcBorders>
            <w:shd w:val="clear" w:color="auto" w:fill="auto"/>
            <w:vAlign w:val="center"/>
            <w:hideMark/>
          </w:tcPr>
          <w:p w14:paraId="6D55BC39" w14:textId="77777777" w:rsidR="00ED1A23" w:rsidRPr="00EE5714" w:rsidRDefault="00ED1A23" w:rsidP="0071621F">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54.6%</w:t>
            </w:r>
          </w:p>
        </w:tc>
      </w:tr>
      <w:tr w:rsidR="00ED1A23" w:rsidRPr="00EE5714" w14:paraId="3CFB73B7" w14:textId="77777777" w:rsidTr="007517EB">
        <w:trPr>
          <w:trHeight w:val="29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07AD9318" w14:textId="77777777" w:rsidR="00ED1A23" w:rsidRPr="00EE5714" w:rsidRDefault="00ED1A23" w:rsidP="00ED1A23">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1,620,146</w:t>
            </w:r>
          </w:p>
        </w:tc>
        <w:tc>
          <w:tcPr>
            <w:tcW w:w="302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8F0B8D1" w14:textId="77777777" w:rsidR="00ED1A23" w:rsidRPr="00EE5714" w:rsidRDefault="00ED1A23" w:rsidP="00ED1A23">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09" w:type="dxa"/>
            <w:tcBorders>
              <w:top w:val="nil"/>
              <w:left w:val="single" w:sz="4" w:space="0" w:color="auto"/>
              <w:bottom w:val="single" w:sz="4" w:space="0" w:color="auto"/>
              <w:right w:val="single" w:sz="4" w:space="0" w:color="auto"/>
            </w:tcBorders>
            <w:shd w:val="clear" w:color="auto" w:fill="auto"/>
            <w:vAlign w:val="center"/>
            <w:hideMark/>
          </w:tcPr>
          <w:p w14:paraId="35EEED23" w14:textId="77777777" w:rsidR="00ED1A23" w:rsidRPr="00EE5714" w:rsidRDefault="00ED1A23" w:rsidP="00ED1A23">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04" w:type="dxa"/>
            <w:tcBorders>
              <w:top w:val="nil"/>
              <w:left w:val="nil"/>
              <w:bottom w:val="single" w:sz="4" w:space="0" w:color="auto"/>
              <w:right w:val="single" w:sz="4" w:space="0" w:color="auto"/>
            </w:tcBorders>
            <w:shd w:val="clear" w:color="auto" w:fill="auto"/>
            <w:vAlign w:val="center"/>
            <w:hideMark/>
          </w:tcPr>
          <w:p w14:paraId="2A0C2EEF" w14:textId="77777777" w:rsidR="00ED1A23" w:rsidRPr="00EE5714" w:rsidRDefault="00ED1A23" w:rsidP="00ED1A23">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1,620,144</w:t>
            </w:r>
          </w:p>
        </w:tc>
        <w:tc>
          <w:tcPr>
            <w:tcW w:w="697" w:type="dxa"/>
            <w:tcBorders>
              <w:top w:val="nil"/>
              <w:left w:val="nil"/>
              <w:bottom w:val="single" w:sz="4" w:space="0" w:color="auto"/>
              <w:right w:val="single" w:sz="4" w:space="0" w:color="auto"/>
            </w:tcBorders>
            <w:shd w:val="clear" w:color="auto" w:fill="auto"/>
            <w:vAlign w:val="center"/>
            <w:hideMark/>
          </w:tcPr>
          <w:p w14:paraId="30714AC9" w14:textId="77777777" w:rsidR="00ED1A23" w:rsidRPr="00EE5714" w:rsidRDefault="00ED1A23" w:rsidP="00ED1A23">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29" w:type="dxa"/>
            <w:tcBorders>
              <w:top w:val="nil"/>
              <w:left w:val="nil"/>
              <w:bottom w:val="single" w:sz="4" w:space="0" w:color="auto"/>
              <w:right w:val="single" w:sz="4" w:space="0" w:color="auto"/>
            </w:tcBorders>
            <w:shd w:val="clear" w:color="auto" w:fill="auto"/>
            <w:vAlign w:val="center"/>
            <w:hideMark/>
          </w:tcPr>
          <w:p w14:paraId="054ED132" w14:textId="77777777" w:rsidR="00ED1A23" w:rsidRPr="00EE5714" w:rsidRDefault="00ED1A23" w:rsidP="00ED1A23">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1,620,146</w:t>
            </w:r>
          </w:p>
        </w:tc>
        <w:tc>
          <w:tcPr>
            <w:tcW w:w="18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BBC2C47" w14:textId="77777777" w:rsidR="00ED1A23" w:rsidRPr="00EE5714" w:rsidRDefault="00ED1A23" w:rsidP="00ED1A23">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1592F7BE" w14:textId="77777777" w:rsidR="00ED1A23" w:rsidRPr="00EE5714" w:rsidRDefault="00ED1A23" w:rsidP="00D21AFC">
      <w:pPr>
        <w:spacing w:after="0" w:line="240" w:lineRule="auto"/>
        <w:rPr>
          <w:rFonts w:ascii="Times New Roman" w:hAnsi="Times New Roman" w:cs="Times New Roman"/>
          <w:sz w:val="26"/>
          <w:szCs w:val="26"/>
        </w:rPr>
      </w:pPr>
    </w:p>
    <w:p w14:paraId="4236F9B5" w14:textId="77777777" w:rsidR="00BB3D9B" w:rsidRPr="00EE5714" w:rsidRDefault="00BB3D9B" w:rsidP="00D21AFC">
      <w:pPr>
        <w:spacing w:after="0" w:line="240" w:lineRule="auto"/>
        <w:rPr>
          <w:rFonts w:ascii="Times New Roman" w:hAnsi="Times New Roman" w:cs="Times New Roman"/>
          <w:sz w:val="26"/>
          <w:szCs w:val="26"/>
        </w:rPr>
      </w:pPr>
    </w:p>
    <w:p w14:paraId="52166BBF" w14:textId="77777777" w:rsidR="008C76B7" w:rsidRPr="00EE5714" w:rsidRDefault="007C2A53" w:rsidP="00661388">
      <w:pPr>
        <w:pStyle w:val="NoSpacing"/>
        <w:keepNext/>
      </w:pPr>
      <w:r w:rsidRPr="00EE5714">
        <w:lastRenderedPageBreak/>
        <w:t>Appendix 1.</w:t>
      </w:r>
      <w:r w:rsidR="006166C1" w:rsidRPr="00EE5714">
        <w:t>A.3</w:t>
      </w:r>
      <w:r w:rsidRPr="00EE5714">
        <w:t xml:space="preserve">: </w:t>
      </w:r>
      <w:r w:rsidRPr="00EE5714">
        <w:rPr>
          <w:b/>
        </w:rPr>
        <w:t>Peoples Service Territory Demographic Profile</w:t>
      </w:r>
    </w:p>
    <w:tbl>
      <w:tblPr>
        <w:tblW w:w="10709" w:type="dxa"/>
        <w:jc w:val="center"/>
        <w:tblLook w:val="04A0" w:firstRow="1" w:lastRow="0" w:firstColumn="1" w:lastColumn="0" w:noHBand="0" w:noVBand="1"/>
      </w:tblPr>
      <w:tblGrid>
        <w:gridCol w:w="1206"/>
        <w:gridCol w:w="827"/>
        <w:gridCol w:w="1127"/>
        <w:gridCol w:w="1127"/>
        <w:gridCol w:w="1570"/>
        <w:gridCol w:w="1045"/>
        <w:gridCol w:w="725"/>
        <w:gridCol w:w="1207"/>
        <w:gridCol w:w="1144"/>
        <w:gridCol w:w="731"/>
      </w:tblGrid>
      <w:tr w:rsidR="008C76B7" w:rsidRPr="00EE5714" w14:paraId="164FA301" w14:textId="77777777" w:rsidTr="00701518">
        <w:trPr>
          <w:trHeight w:val="720"/>
          <w:jc w:val="center"/>
        </w:trPr>
        <w:tc>
          <w:tcPr>
            <w:tcW w:w="120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3053CE"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Peoples</w:t>
            </w:r>
          </w:p>
        </w:tc>
        <w:tc>
          <w:tcPr>
            <w:tcW w:w="1954" w:type="dxa"/>
            <w:gridSpan w:val="2"/>
            <w:tcBorders>
              <w:top w:val="single" w:sz="4" w:space="0" w:color="auto"/>
              <w:left w:val="nil"/>
              <w:bottom w:val="single" w:sz="4" w:space="0" w:color="auto"/>
              <w:right w:val="single" w:sz="4" w:space="0" w:color="auto"/>
            </w:tcBorders>
            <w:shd w:val="clear" w:color="000000" w:fill="E7E6E6"/>
            <w:vAlign w:val="center"/>
            <w:hideMark/>
          </w:tcPr>
          <w:p w14:paraId="760BE25F"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127"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40F83CDD"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340" w:type="dxa"/>
            <w:gridSpan w:val="3"/>
            <w:tcBorders>
              <w:top w:val="single" w:sz="4" w:space="0" w:color="auto"/>
              <w:left w:val="nil"/>
              <w:bottom w:val="single" w:sz="4" w:space="0" w:color="auto"/>
              <w:right w:val="single" w:sz="4" w:space="0" w:color="auto"/>
            </w:tcBorders>
            <w:shd w:val="clear" w:color="000000" w:fill="E7E6E6"/>
            <w:vAlign w:val="center"/>
            <w:hideMark/>
          </w:tcPr>
          <w:p w14:paraId="0E43C8EC"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082" w:type="dxa"/>
            <w:gridSpan w:val="3"/>
            <w:tcBorders>
              <w:top w:val="single" w:sz="4" w:space="0" w:color="auto"/>
              <w:left w:val="nil"/>
              <w:bottom w:val="single" w:sz="4" w:space="0" w:color="auto"/>
              <w:right w:val="single" w:sz="4" w:space="0" w:color="auto"/>
            </w:tcBorders>
            <w:shd w:val="clear" w:color="000000" w:fill="E7E6E6"/>
            <w:vAlign w:val="center"/>
            <w:hideMark/>
          </w:tcPr>
          <w:p w14:paraId="597FC905"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8C76B7" w:rsidRPr="00EE5714" w14:paraId="3036E05B" w14:textId="77777777" w:rsidTr="00701518">
        <w:trPr>
          <w:trHeight w:val="570"/>
          <w:jc w:val="center"/>
        </w:trPr>
        <w:tc>
          <w:tcPr>
            <w:tcW w:w="1206" w:type="dxa"/>
            <w:tcBorders>
              <w:top w:val="nil"/>
              <w:left w:val="single" w:sz="4" w:space="0" w:color="auto"/>
              <w:bottom w:val="single" w:sz="4" w:space="0" w:color="auto"/>
              <w:right w:val="single" w:sz="4" w:space="0" w:color="auto"/>
            </w:tcBorders>
            <w:shd w:val="clear" w:color="000000" w:fill="E7E6E6"/>
            <w:vAlign w:val="center"/>
            <w:hideMark/>
          </w:tcPr>
          <w:p w14:paraId="082D1D35"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61.90%</w:t>
            </w:r>
          </w:p>
        </w:tc>
        <w:tc>
          <w:tcPr>
            <w:tcW w:w="827" w:type="dxa"/>
            <w:tcBorders>
              <w:top w:val="nil"/>
              <w:left w:val="nil"/>
              <w:bottom w:val="single" w:sz="4" w:space="0" w:color="auto"/>
              <w:right w:val="single" w:sz="4" w:space="0" w:color="auto"/>
            </w:tcBorders>
            <w:shd w:val="clear" w:color="000000" w:fill="E7E6E6"/>
            <w:vAlign w:val="center"/>
            <w:hideMark/>
          </w:tcPr>
          <w:p w14:paraId="45C62470"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127" w:type="dxa"/>
            <w:tcBorders>
              <w:top w:val="nil"/>
              <w:left w:val="nil"/>
              <w:bottom w:val="single" w:sz="4" w:space="0" w:color="auto"/>
              <w:right w:val="single" w:sz="4" w:space="0" w:color="auto"/>
            </w:tcBorders>
            <w:shd w:val="clear" w:color="000000" w:fill="E7E6E6"/>
            <w:vAlign w:val="center"/>
            <w:hideMark/>
          </w:tcPr>
          <w:p w14:paraId="5D70C0A4"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499B3941" w14:textId="77777777" w:rsidR="008C76B7" w:rsidRPr="00EE5714" w:rsidRDefault="008C76B7" w:rsidP="006166C1">
            <w:pPr>
              <w:keepNext/>
              <w:spacing w:after="0" w:line="240" w:lineRule="auto"/>
              <w:rPr>
                <w:rFonts w:ascii="Calibri" w:eastAsia="Times New Roman" w:hAnsi="Calibri" w:cs="Calibri"/>
                <w:b/>
                <w:bCs/>
                <w:color w:val="000000"/>
                <w:sz w:val="20"/>
                <w:szCs w:val="20"/>
              </w:rPr>
            </w:pPr>
          </w:p>
        </w:tc>
        <w:tc>
          <w:tcPr>
            <w:tcW w:w="2615" w:type="dxa"/>
            <w:gridSpan w:val="2"/>
            <w:tcBorders>
              <w:top w:val="single" w:sz="4" w:space="0" w:color="auto"/>
              <w:left w:val="nil"/>
              <w:bottom w:val="single" w:sz="4" w:space="0" w:color="auto"/>
              <w:right w:val="single" w:sz="4" w:space="0" w:color="auto"/>
            </w:tcBorders>
            <w:shd w:val="clear" w:color="000000" w:fill="E7E6E6"/>
            <w:vAlign w:val="center"/>
            <w:hideMark/>
          </w:tcPr>
          <w:p w14:paraId="62F05F1C"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25" w:type="dxa"/>
            <w:tcBorders>
              <w:top w:val="nil"/>
              <w:left w:val="nil"/>
              <w:bottom w:val="single" w:sz="4" w:space="0" w:color="auto"/>
              <w:right w:val="single" w:sz="4" w:space="0" w:color="auto"/>
            </w:tcBorders>
            <w:shd w:val="clear" w:color="000000" w:fill="E7E6E6"/>
            <w:vAlign w:val="center"/>
            <w:hideMark/>
          </w:tcPr>
          <w:p w14:paraId="3A7D8F9C"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351" w:type="dxa"/>
            <w:gridSpan w:val="2"/>
            <w:tcBorders>
              <w:top w:val="single" w:sz="4" w:space="0" w:color="auto"/>
              <w:left w:val="nil"/>
              <w:bottom w:val="single" w:sz="4" w:space="0" w:color="auto"/>
              <w:right w:val="single" w:sz="4" w:space="0" w:color="auto"/>
            </w:tcBorders>
            <w:shd w:val="clear" w:color="000000" w:fill="E7E6E6"/>
            <w:vAlign w:val="center"/>
            <w:hideMark/>
          </w:tcPr>
          <w:p w14:paraId="7DFB36B9"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31" w:type="dxa"/>
            <w:tcBorders>
              <w:top w:val="nil"/>
              <w:left w:val="nil"/>
              <w:bottom w:val="single" w:sz="4" w:space="0" w:color="auto"/>
              <w:right w:val="single" w:sz="4" w:space="0" w:color="auto"/>
            </w:tcBorders>
            <w:shd w:val="clear" w:color="000000" w:fill="E7E6E6"/>
            <w:vAlign w:val="center"/>
            <w:hideMark/>
          </w:tcPr>
          <w:p w14:paraId="296F5C5B"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8C76B7" w:rsidRPr="00EE5714" w14:paraId="53C788C8" w14:textId="77777777" w:rsidTr="00701518">
        <w:trPr>
          <w:trHeight w:val="30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4449DFF8"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282,341</w:t>
            </w:r>
          </w:p>
        </w:tc>
        <w:tc>
          <w:tcPr>
            <w:tcW w:w="827" w:type="dxa"/>
            <w:tcBorders>
              <w:top w:val="nil"/>
              <w:left w:val="nil"/>
              <w:bottom w:val="single" w:sz="4" w:space="0" w:color="auto"/>
              <w:right w:val="single" w:sz="4" w:space="0" w:color="auto"/>
            </w:tcBorders>
            <w:shd w:val="clear" w:color="auto" w:fill="auto"/>
            <w:vAlign w:val="center"/>
            <w:hideMark/>
          </w:tcPr>
          <w:p w14:paraId="61220FEC"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30.6%</w:t>
            </w:r>
          </w:p>
        </w:tc>
        <w:tc>
          <w:tcPr>
            <w:tcW w:w="1127" w:type="dxa"/>
            <w:tcBorders>
              <w:top w:val="nil"/>
              <w:left w:val="nil"/>
              <w:bottom w:val="single" w:sz="4" w:space="0" w:color="auto"/>
              <w:right w:val="single" w:sz="4" w:space="0" w:color="auto"/>
            </w:tcBorders>
            <w:shd w:val="clear" w:color="auto" w:fill="auto"/>
            <w:vAlign w:val="center"/>
            <w:hideMark/>
          </w:tcPr>
          <w:p w14:paraId="72C9C0F9"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FD1468"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4804AEAD"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1045" w:type="dxa"/>
            <w:tcBorders>
              <w:top w:val="nil"/>
              <w:left w:val="nil"/>
              <w:bottom w:val="single" w:sz="4" w:space="0" w:color="auto"/>
              <w:right w:val="single" w:sz="4" w:space="0" w:color="auto"/>
            </w:tcBorders>
            <w:shd w:val="clear" w:color="auto" w:fill="auto"/>
            <w:vAlign w:val="center"/>
            <w:hideMark/>
          </w:tcPr>
          <w:p w14:paraId="76ADF4F7"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118,930</w:t>
            </w:r>
          </w:p>
        </w:tc>
        <w:tc>
          <w:tcPr>
            <w:tcW w:w="725" w:type="dxa"/>
            <w:tcBorders>
              <w:top w:val="nil"/>
              <w:left w:val="nil"/>
              <w:bottom w:val="single" w:sz="4" w:space="0" w:color="auto"/>
              <w:right w:val="single" w:sz="4" w:space="0" w:color="auto"/>
            </w:tcBorders>
            <w:shd w:val="clear" w:color="auto" w:fill="auto"/>
            <w:vAlign w:val="center"/>
            <w:hideMark/>
          </w:tcPr>
          <w:p w14:paraId="0A9BAAEF"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5.5%</w:t>
            </w:r>
          </w:p>
        </w:tc>
        <w:tc>
          <w:tcPr>
            <w:tcW w:w="1207" w:type="dxa"/>
            <w:tcBorders>
              <w:top w:val="nil"/>
              <w:left w:val="nil"/>
              <w:bottom w:val="single" w:sz="4" w:space="0" w:color="auto"/>
              <w:right w:val="single" w:sz="4" w:space="0" w:color="auto"/>
            </w:tcBorders>
            <w:shd w:val="clear" w:color="auto" w:fill="auto"/>
            <w:vAlign w:val="center"/>
            <w:hideMark/>
          </w:tcPr>
          <w:p w14:paraId="10F94867"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144" w:type="dxa"/>
            <w:tcBorders>
              <w:top w:val="nil"/>
              <w:left w:val="nil"/>
              <w:bottom w:val="single" w:sz="4" w:space="0" w:color="auto"/>
              <w:right w:val="single" w:sz="4" w:space="0" w:color="auto"/>
            </w:tcBorders>
            <w:shd w:val="clear" w:color="auto" w:fill="auto"/>
            <w:vAlign w:val="center"/>
            <w:hideMark/>
          </w:tcPr>
          <w:p w14:paraId="465B4606"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106,088</w:t>
            </w:r>
          </w:p>
        </w:tc>
        <w:tc>
          <w:tcPr>
            <w:tcW w:w="731" w:type="dxa"/>
            <w:tcBorders>
              <w:top w:val="nil"/>
              <w:left w:val="nil"/>
              <w:bottom w:val="single" w:sz="4" w:space="0" w:color="auto"/>
              <w:right w:val="single" w:sz="4" w:space="0" w:color="auto"/>
            </w:tcBorders>
            <w:shd w:val="clear" w:color="auto" w:fill="auto"/>
            <w:vAlign w:val="center"/>
            <w:hideMark/>
          </w:tcPr>
          <w:p w14:paraId="369A2D45"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11.3%</w:t>
            </w:r>
          </w:p>
        </w:tc>
      </w:tr>
      <w:tr w:rsidR="008C76B7" w:rsidRPr="00EE5714" w14:paraId="57B66E7E" w14:textId="77777777" w:rsidTr="00701518">
        <w:trPr>
          <w:trHeight w:val="30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28D73CE5"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131,207</w:t>
            </w:r>
          </w:p>
        </w:tc>
        <w:tc>
          <w:tcPr>
            <w:tcW w:w="827" w:type="dxa"/>
            <w:tcBorders>
              <w:top w:val="nil"/>
              <w:left w:val="nil"/>
              <w:bottom w:val="single" w:sz="4" w:space="0" w:color="auto"/>
              <w:right w:val="single" w:sz="4" w:space="0" w:color="auto"/>
            </w:tcBorders>
            <w:shd w:val="clear" w:color="auto" w:fill="auto"/>
            <w:vAlign w:val="center"/>
            <w:hideMark/>
          </w:tcPr>
          <w:p w14:paraId="6447E7AB"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14.2%</w:t>
            </w:r>
          </w:p>
        </w:tc>
        <w:tc>
          <w:tcPr>
            <w:tcW w:w="1127" w:type="dxa"/>
            <w:tcBorders>
              <w:top w:val="nil"/>
              <w:left w:val="nil"/>
              <w:bottom w:val="single" w:sz="4" w:space="0" w:color="auto"/>
              <w:right w:val="single" w:sz="4" w:space="0" w:color="auto"/>
            </w:tcBorders>
            <w:shd w:val="clear" w:color="auto" w:fill="auto"/>
            <w:vAlign w:val="center"/>
            <w:hideMark/>
          </w:tcPr>
          <w:p w14:paraId="358F7A17"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5C4B9E91" w14:textId="77777777" w:rsidR="008C76B7" w:rsidRPr="00EE5714" w:rsidRDefault="008C76B7" w:rsidP="006166C1">
            <w:pPr>
              <w:keepNext/>
              <w:spacing w:after="0" w:line="240" w:lineRule="auto"/>
              <w:rPr>
                <w:rFonts w:ascii="Calibri" w:eastAsia="Times New Roman" w:hAnsi="Calibri" w:cs="Calibri"/>
                <w:color w:val="000000"/>
                <w:sz w:val="20"/>
                <w:szCs w:val="20"/>
              </w:rPr>
            </w:pP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5C0F1530"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1045" w:type="dxa"/>
            <w:tcBorders>
              <w:top w:val="nil"/>
              <w:left w:val="nil"/>
              <w:bottom w:val="single" w:sz="4" w:space="0" w:color="auto"/>
              <w:right w:val="single" w:sz="4" w:space="0" w:color="auto"/>
            </w:tcBorders>
            <w:shd w:val="clear" w:color="auto" w:fill="auto"/>
            <w:vAlign w:val="center"/>
            <w:hideMark/>
          </w:tcPr>
          <w:p w14:paraId="49ACBD96"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141,784</w:t>
            </w:r>
          </w:p>
        </w:tc>
        <w:tc>
          <w:tcPr>
            <w:tcW w:w="725" w:type="dxa"/>
            <w:tcBorders>
              <w:top w:val="nil"/>
              <w:left w:val="nil"/>
              <w:bottom w:val="single" w:sz="4" w:space="0" w:color="auto"/>
              <w:right w:val="single" w:sz="4" w:space="0" w:color="auto"/>
            </w:tcBorders>
            <w:shd w:val="clear" w:color="auto" w:fill="auto"/>
            <w:vAlign w:val="center"/>
            <w:hideMark/>
          </w:tcPr>
          <w:p w14:paraId="02F1F398"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6.6%</w:t>
            </w:r>
          </w:p>
        </w:tc>
        <w:tc>
          <w:tcPr>
            <w:tcW w:w="1207" w:type="dxa"/>
            <w:tcBorders>
              <w:top w:val="nil"/>
              <w:left w:val="nil"/>
              <w:bottom w:val="single" w:sz="4" w:space="0" w:color="auto"/>
              <w:right w:val="single" w:sz="4" w:space="0" w:color="auto"/>
            </w:tcBorders>
            <w:shd w:val="clear" w:color="auto" w:fill="auto"/>
            <w:vAlign w:val="center"/>
            <w:hideMark/>
          </w:tcPr>
          <w:p w14:paraId="171AC85E"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144" w:type="dxa"/>
            <w:tcBorders>
              <w:top w:val="nil"/>
              <w:left w:val="nil"/>
              <w:bottom w:val="single" w:sz="4" w:space="0" w:color="auto"/>
              <w:right w:val="single" w:sz="4" w:space="0" w:color="auto"/>
            </w:tcBorders>
            <w:shd w:val="clear" w:color="auto" w:fill="auto"/>
            <w:vAlign w:val="center"/>
            <w:hideMark/>
          </w:tcPr>
          <w:p w14:paraId="79856FD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99,777</w:t>
            </w:r>
          </w:p>
        </w:tc>
        <w:tc>
          <w:tcPr>
            <w:tcW w:w="731" w:type="dxa"/>
            <w:tcBorders>
              <w:top w:val="nil"/>
              <w:left w:val="nil"/>
              <w:bottom w:val="single" w:sz="4" w:space="0" w:color="auto"/>
              <w:right w:val="single" w:sz="4" w:space="0" w:color="auto"/>
            </w:tcBorders>
            <w:shd w:val="clear" w:color="auto" w:fill="auto"/>
            <w:vAlign w:val="center"/>
            <w:hideMark/>
          </w:tcPr>
          <w:p w14:paraId="0F1FF2E8"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10.6%</w:t>
            </w:r>
          </w:p>
        </w:tc>
      </w:tr>
      <w:tr w:rsidR="008C76B7" w:rsidRPr="00EE5714" w14:paraId="4002BA53" w14:textId="77777777" w:rsidTr="00701518">
        <w:trPr>
          <w:trHeight w:val="30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0CB9CB2B"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101,053</w:t>
            </w:r>
          </w:p>
        </w:tc>
        <w:tc>
          <w:tcPr>
            <w:tcW w:w="827" w:type="dxa"/>
            <w:tcBorders>
              <w:top w:val="nil"/>
              <w:left w:val="nil"/>
              <w:bottom w:val="single" w:sz="4" w:space="0" w:color="auto"/>
              <w:right w:val="single" w:sz="4" w:space="0" w:color="auto"/>
            </w:tcBorders>
            <w:shd w:val="clear" w:color="auto" w:fill="auto"/>
            <w:vAlign w:val="center"/>
            <w:hideMark/>
          </w:tcPr>
          <w:p w14:paraId="4EB3D99B"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10.9%</w:t>
            </w:r>
          </w:p>
        </w:tc>
        <w:tc>
          <w:tcPr>
            <w:tcW w:w="1127" w:type="dxa"/>
            <w:tcBorders>
              <w:top w:val="nil"/>
              <w:left w:val="nil"/>
              <w:bottom w:val="single" w:sz="4" w:space="0" w:color="auto"/>
              <w:right w:val="single" w:sz="4" w:space="0" w:color="auto"/>
            </w:tcBorders>
            <w:shd w:val="clear" w:color="auto" w:fill="auto"/>
            <w:vAlign w:val="center"/>
            <w:hideMark/>
          </w:tcPr>
          <w:p w14:paraId="64AFF6DC"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4D9E30CF" w14:textId="77777777" w:rsidR="008C76B7" w:rsidRPr="00EE5714" w:rsidRDefault="008C76B7" w:rsidP="006166C1">
            <w:pPr>
              <w:keepNext/>
              <w:spacing w:after="0" w:line="240" w:lineRule="auto"/>
              <w:rPr>
                <w:rFonts w:ascii="Calibri" w:eastAsia="Times New Roman" w:hAnsi="Calibri" w:cs="Calibri"/>
                <w:color w:val="000000"/>
                <w:sz w:val="20"/>
                <w:szCs w:val="20"/>
              </w:rPr>
            </w:pP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48C35BB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1045" w:type="dxa"/>
            <w:tcBorders>
              <w:top w:val="nil"/>
              <w:left w:val="nil"/>
              <w:bottom w:val="single" w:sz="4" w:space="0" w:color="auto"/>
              <w:right w:val="single" w:sz="4" w:space="0" w:color="auto"/>
            </w:tcBorders>
            <w:shd w:val="clear" w:color="auto" w:fill="auto"/>
            <w:vAlign w:val="center"/>
            <w:hideMark/>
          </w:tcPr>
          <w:p w14:paraId="09A1CE74"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78,484</w:t>
            </w:r>
          </w:p>
        </w:tc>
        <w:tc>
          <w:tcPr>
            <w:tcW w:w="725" w:type="dxa"/>
            <w:tcBorders>
              <w:top w:val="nil"/>
              <w:left w:val="nil"/>
              <w:bottom w:val="single" w:sz="4" w:space="0" w:color="auto"/>
              <w:right w:val="single" w:sz="4" w:space="0" w:color="auto"/>
            </w:tcBorders>
            <w:shd w:val="clear" w:color="auto" w:fill="auto"/>
            <w:vAlign w:val="center"/>
            <w:hideMark/>
          </w:tcPr>
          <w:p w14:paraId="1F79E540"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3.7%</w:t>
            </w:r>
          </w:p>
        </w:tc>
        <w:tc>
          <w:tcPr>
            <w:tcW w:w="1207" w:type="dxa"/>
            <w:tcBorders>
              <w:top w:val="nil"/>
              <w:left w:val="nil"/>
              <w:bottom w:val="single" w:sz="4" w:space="0" w:color="auto"/>
              <w:right w:val="single" w:sz="4" w:space="0" w:color="auto"/>
            </w:tcBorders>
            <w:shd w:val="clear" w:color="auto" w:fill="auto"/>
            <w:vAlign w:val="center"/>
            <w:hideMark/>
          </w:tcPr>
          <w:p w14:paraId="225C8911"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144" w:type="dxa"/>
            <w:tcBorders>
              <w:top w:val="nil"/>
              <w:left w:val="nil"/>
              <w:bottom w:val="single" w:sz="4" w:space="0" w:color="auto"/>
              <w:right w:val="single" w:sz="4" w:space="0" w:color="auto"/>
            </w:tcBorders>
            <w:shd w:val="clear" w:color="auto" w:fill="auto"/>
            <w:vAlign w:val="center"/>
            <w:hideMark/>
          </w:tcPr>
          <w:p w14:paraId="53030939"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91,634</w:t>
            </w:r>
          </w:p>
        </w:tc>
        <w:tc>
          <w:tcPr>
            <w:tcW w:w="731" w:type="dxa"/>
            <w:tcBorders>
              <w:top w:val="nil"/>
              <w:left w:val="nil"/>
              <w:bottom w:val="single" w:sz="4" w:space="0" w:color="auto"/>
              <w:right w:val="single" w:sz="4" w:space="0" w:color="auto"/>
            </w:tcBorders>
            <w:shd w:val="clear" w:color="auto" w:fill="auto"/>
            <w:vAlign w:val="center"/>
            <w:hideMark/>
          </w:tcPr>
          <w:p w14:paraId="3685A474"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9.8%</w:t>
            </w:r>
          </w:p>
        </w:tc>
      </w:tr>
      <w:tr w:rsidR="008C76B7" w:rsidRPr="00EE5714" w14:paraId="6D449ADE" w14:textId="77777777" w:rsidTr="00701518">
        <w:trPr>
          <w:trHeight w:val="30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43B2E73B"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39,202</w:t>
            </w:r>
          </w:p>
        </w:tc>
        <w:tc>
          <w:tcPr>
            <w:tcW w:w="827" w:type="dxa"/>
            <w:tcBorders>
              <w:top w:val="nil"/>
              <w:left w:val="nil"/>
              <w:bottom w:val="single" w:sz="4" w:space="0" w:color="auto"/>
              <w:right w:val="single" w:sz="4" w:space="0" w:color="auto"/>
            </w:tcBorders>
            <w:shd w:val="clear" w:color="auto" w:fill="auto"/>
            <w:vAlign w:val="center"/>
            <w:hideMark/>
          </w:tcPr>
          <w:p w14:paraId="415D9D8C"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4.2%</w:t>
            </w:r>
          </w:p>
        </w:tc>
        <w:tc>
          <w:tcPr>
            <w:tcW w:w="1127" w:type="dxa"/>
            <w:tcBorders>
              <w:top w:val="nil"/>
              <w:left w:val="nil"/>
              <w:bottom w:val="single" w:sz="4" w:space="0" w:color="auto"/>
              <w:right w:val="single" w:sz="4" w:space="0" w:color="auto"/>
            </w:tcBorders>
            <w:shd w:val="clear" w:color="auto" w:fill="auto"/>
            <w:vAlign w:val="center"/>
            <w:hideMark/>
          </w:tcPr>
          <w:p w14:paraId="3F71D8E7"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0D9AF5FB" w14:textId="77777777" w:rsidR="008C76B7" w:rsidRPr="00EE5714" w:rsidRDefault="008C76B7" w:rsidP="006166C1">
            <w:pPr>
              <w:keepNext/>
              <w:spacing w:after="0" w:line="240" w:lineRule="auto"/>
              <w:rPr>
                <w:rFonts w:ascii="Calibri" w:eastAsia="Times New Roman" w:hAnsi="Calibri" w:cs="Calibri"/>
                <w:color w:val="000000"/>
                <w:sz w:val="20"/>
                <w:szCs w:val="20"/>
              </w:rPr>
            </w:pP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0CDB4C6B"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1045" w:type="dxa"/>
            <w:tcBorders>
              <w:top w:val="nil"/>
              <w:left w:val="nil"/>
              <w:bottom w:val="single" w:sz="4" w:space="0" w:color="auto"/>
              <w:right w:val="single" w:sz="4" w:space="0" w:color="auto"/>
            </w:tcBorders>
            <w:shd w:val="clear" w:color="auto" w:fill="auto"/>
            <w:vAlign w:val="center"/>
            <w:hideMark/>
          </w:tcPr>
          <w:p w14:paraId="540F5B1E"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83,273</w:t>
            </w:r>
          </w:p>
        </w:tc>
        <w:tc>
          <w:tcPr>
            <w:tcW w:w="725" w:type="dxa"/>
            <w:tcBorders>
              <w:top w:val="nil"/>
              <w:left w:val="nil"/>
              <w:bottom w:val="single" w:sz="4" w:space="0" w:color="auto"/>
              <w:right w:val="single" w:sz="4" w:space="0" w:color="auto"/>
            </w:tcBorders>
            <w:shd w:val="clear" w:color="auto" w:fill="auto"/>
            <w:vAlign w:val="center"/>
            <w:hideMark/>
          </w:tcPr>
          <w:p w14:paraId="6C277B37"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w:t>
            </w:r>
          </w:p>
        </w:tc>
        <w:tc>
          <w:tcPr>
            <w:tcW w:w="1207" w:type="dxa"/>
            <w:tcBorders>
              <w:top w:val="nil"/>
              <w:left w:val="nil"/>
              <w:bottom w:val="single" w:sz="4" w:space="0" w:color="auto"/>
              <w:right w:val="single" w:sz="4" w:space="0" w:color="auto"/>
            </w:tcBorders>
            <w:shd w:val="clear" w:color="auto" w:fill="auto"/>
            <w:vAlign w:val="center"/>
            <w:hideMark/>
          </w:tcPr>
          <w:p w14:paraId="41AEEDB5"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144" w:type="dxa"/>
            <w:tcBorders>
              <w:top w:val="nil"/>
              <w:left w:val="nil"/>
              <w:bottom w:val="single" w:sz="4" w:space="0" w:color="auto"/>
              <w:right w:val="single" w:sz="4" w:space="0" w:color="auto"/>
            </w:tcBorders>
            <w:shd w:val="clear" w:color="auto" w:fill="auto"/>
            <w:vAlign w:val="center"/>
            <w:hideMark/>
          </w:tcPr>
          <w:p w14:paraId="6EE214FD"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121,631</w:t>
            </w:r>
          </w:p>
        </w:tc>
        <w:tc>
          <w:tcPr>
            <w:tcW w:w="731" w:type="dxa"/>
            <w:tcBorders>
              <w:top w:val="nil"/>
              <w:left w:val="nil"/>
              <w:bottom w:val="single" w:sz="4" w:space="0" w:color="auto"/>
              <w:right w:val="single" w:sz="4" w:space="0" w:color="auto"/>
            </w:tcBorders>
            <w:shd w:val="clear" w:color="auto" w:fill="auto"/>
            <w:vAlign w:val="center"/>
            <w:hideMark/>
          </w:tcPr>
          <w:p w14:paraId="724C1EC0"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12.9%</w:t>
            </w:r>
          </w:p>
        </w:tc>
      </w:tr>
      <w:tr w:rsidR="008C76B7" w:rsidRPr="00EE5714" w14:paraId="6AB6FC7D" w14:textId="77777777" w:rsidTr="00701518">
        <w:trPr>
          <w:trHeight w:val="30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7BF61EDF"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12,297</w:t>
            </w:r>
          </w:p>
        </w:tc>
        <w:tc>
          <w:tcPr>
            <w:tcW w:w="827" w:type="dxa"/>
            <w:tcBorders>
              <w:top w:val="nil"/>
              <w:left w:val="nil"/>
              <w:bottom w:val="single" w:sz="4" w:space="0" w:color="auto"/>
              <w:right w:val="single" w:sz="4" w:space="0" w:color="auto"/>
            </w:tcBorders>
            <w:shd w:val="clear" w:color="auto" w:fill="auto"/>
            <w:vAlign w:val="center"/>
            <w:hideMark/>
          </w:tcPr>
          <w:p w14:paraId="2C0B4454"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w:t>
            </w:r>
          </w:p>
        </w:tc>
        <w:tc>
          <w:tcPr>
            <w:tcW w:w="1127" w:type="dxa"/>
            <w:tcBorders>
              <w:top w:val="nil"/>
              <w:left w:val="nil"/>
              <w:bottom w:val="single" w:sz="4" w:space="0" w:color="auto"/>
              <w:right w:val="single" w:sz="4" w:space="0" w:color="auto"/>
            </w:tcBorders>
            <w:shd w:val="clear" w:color="auto" w:fill="auto"/>
            <w:vAlign w:val="center"/>
            <w:hideMark/>
          </w:tcPr>
          <w:p w14:paraId="474912F9"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5969A6BC" w14:textId="77777777" w:rsidR="008C76B7" w:rsidRPr="00EE5714" w:rsidRDefault="008C76B7" w:rsidP="006166C1">
            <w:pPr>
              <w:keepNext/>
              <w:spacing w:after="0" w:line="240" w:lineRule="auto"/>
              <w:rPr>
                <w:rFonts w:ascii="Calibri" w:eastAsia="Times New Roman" w:hAnsi="Calibri" w:cs="Calibri"/>
                <w:color w:val="000000"/>
                <w:sz w:val="20"/>
                <w:szCs w:val="20"/>
              </w:rPr>
            </w:pP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452E50B0"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1045" w:type="dxa"/>
            <w:tcBorders>
              <w:top w:val="nil"/>
              <w:left w:val="nil"/>
              <w:bottom w:val="single" w:sz="4" w:space="0" w:color="auto"/>
              <w:right w:val="single" w:sz="4" w:space="0" w:color="auto"/>
            </w:tcBorders>
            <w:shd w:val="clear" w:color="auto" w:fill="auto"/>
            <w:vAlign w:val="center"/>
            <w:hideMark/>
          </w:tcPr>
          <w:p w14:paraId="1CDA5A57"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121,762</w:t>
            </w:r>
          </w:p>
        </w:tc>
        <w:tc>
          <w:tcPr>
            <w:tcW w:w="725" w:type="dxa"/>
            <w:tcBorders>
              <w:top w:val="nil"/>
              <w:left w:val="nil"/>
              <w:bottom w:val="single" w:sz="4" w:space="0" w:color="auto"/>
              <w:right w:val="single" w:sz="4" w:space="0" w:color="auto"/>
            </w:tcBorders>
            <w:shd w:val="clear" w:color="auto" w:fill="auto"/>
            <w:vAlign w:val="center"/>
            <w:hideMark/>
          </w:tcPr>
          <w:p w14:paraId="7FC86C61"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5.7%</w:t>
            </w:r>
          </w:p>
        </w:tc>
        <w:tc>
          <w:tcPr>
            <w:tcW w:w="1207" w:type="dxa"/>
            <w:tcBorders>
              <w:top w:val="nil"/>
              <w:left w:val="nil"/>
              <w:bottom w:val="single" w:sz="4" w:space="0" w:color="auto"/>
              <w:right w:val="single" w:sz="4" w:space="0" w:color="auto"/>
            </w:tcBorders>
            <w:shd w:val="clear" w:color="auto" w:fill="auto"/>
            <w:vAlign w:val="center"/>
            <w:hideMark/>
          </w:tcPr>
          <w:p w14:paraId="46F2CEF5"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144" w:type="dxa"/>
            <w:tcBorders>
              <w:top w:val="nil"/>
              <w:left w:val="nil"/>
              <w:bottom w:val="single" w:sz="4" w:space="0" w:color="auto"/>
              <w:right w:val="single" w:sz="4" w:space="0" w:color="auto"/>
            </w:tcBorders>
            <w:shd w:val="clear" w:color="auto" w:fill="auto"/>
            <w:vAlign w:val="center"/>
            <w:hideMark/>
          </w:tcPr>
          <w:p w14:paraId="6BFA6172"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169,983</w:t>
            </w:r>
          </w:p>
        </w:tc>
        <w:tc>
          <w:tcPr>
            <w:tcW w:w="731" w:type="dxa"/>
            <w:tcBorders>
              <w:top w:val="nil"/>
              <w:left w:val="nil"/>
              <w:bottom w:val="single" w:sz="4" w:space="0" w:color="auto"/>
              <w:right w:val="single" w:sz="4" w:space="0" w:color="auto"/>
            </w:tcBorders>
            <w:shd w:val="clear" w:color="auto" w:fill="auto"/>
            <w:vAlign w:val="center"/>
            <w:hideMark/>
          </w:tcPr>
          <w:p w14:paraId="7F79477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18.1%</w:t>
            </w:r>
          </w:p>
        </w:tc>
      </w:tr>
      <w:tr w:rsidR="008C76B7" w:rsidRPr="00EE5714" w14:paraId="5C1FA628" w14:textId="77777777" w:rsidTr="00701518">
        <w:trPr>
          <w:trHeight w:val="30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09012F0A"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5,405</w:t>
            </w:r>
          </w:p>
        </w:tc>
        <w:tc>
          <w:tcPr>
            <w:tcW w:w="827" w:type="dxa"/>
            <w:tcBorders>
              <w:top w:val="nil"/>
              <w:left w:val="nil"/>
              <w:bottom w:val="single" w:sz="4" w:space="0" w:color="auto"/>
              <w:right w:val="single" w:sz="4" w:space="0" w:color="auto"/>
            </w:tcBorders>
            <w:shd w:val="clear" w:color="auto" w:fill="auto"/>
            <w:vAlign w:val="center"/>
            <w:hideMark/>
          </w:tcPr>
          <w:p w14:paraId="0D764E21"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127" w:type="dxa"/>
            <w:tcBorders>
              <w:top w:val="nil"/>
              <w:left w:val="nil"/>
              <w:bottom w:val="single" w:sz="4" w:space="0" w:color="auto"/>
              <w:right w:val="single" w:sz="4" w:space="0" w:color="auto"/>
            </w:tcBorders>
            <w:shd w:val="clear" w:color="auto" w:fill="auto"/>
            <w:vAlign w:val="center"/>
            <w:hideMark/>
          </w:tcPr>
          <w:p w14:paraId="0EA00402"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127" w:type="dxa"/>
            <w:vMerge/>
            <w:tcBorders>
              <w:top w:val="single" w:sz="4" w:space="0" w:color="auto"/>
              <w:left w:val="single" w:sz="4" w:space="0" w:color="auto"/>
              <w:bottom w:val="single" w:sz="4" w:space="0" w:color="000000"/>
              <w:right w:val="single" w:sz="4" w:space="0" w:color="auto"/>
            </w:tcBorders>
            <w:vAlign w:val="center"/>
            <w:hideMark/>
          </w:tcPr>
          <w:p w14:paraId="2BC68729" w14:textId="77777777" w:rsidR="008C76B7" w:rsidRPr="00EE5714" w:rsidRDefault="008C76B7" w:rsidP="006166C1">
            <w:pPr>
              <w:keepNext/>
              <w:spacing w:after="0" w:line="240" w:lineRule="auto"/>
              <w:rPr>
                <w:rFonts w:ascii="Calibri" w:eastAsia="Times New Roman" w:hAnsi="Calibri" w:cs="Calibri"/>
                <w:color w:val="000000"/>
                <w:sz w:val="20"/>
                <w:szCs w:val="20"/>
              </w:rPr>
            </w:pP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7A3BFFD7"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1045" w:type="dxa"/>
            <w:tcBorders>
              <w:top w:val="nil"/>
              <w:left w:val="nil"/>
              <w:bottom w:val="single" w:sz="4" w:space="0" w:color="auto"/>
              <w:right w:val="single" w:sz="4" w:space="0" w:color="auto"/>
            </w:tcBorders>
            <w:shd w:val="clear" w:color="auto" w:fill="auto"/>
            <w:vAlign w:val="center"/>
            <w:hideMark/>
          </w:tcPr>
          <w:p w14:paraId="6AD2D40A"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52,308</w:t>
            </w:r>
          </w:p>
        </w:tc>
        <w:tc>
          <w:tcPr>
            <w:tcW w:w="725" w:type="dxa"/>
            <w:tcBorders>
              <w:top w:val="nil"/>
              <w:left w:val="nil"/>
              <w:bottom w:val="single" w:sz="4" w:space="0" w:color="auto"/>
              <w:right w:val="single" w:sz="4" w:space="0" w:color="auto"/>
            </w:tcBorders>
            <w:shd w:val="clear" w:color="auto" w:fill="auto"/>
            <w:vAlign w:val="center"/>
            <w:hideMark/>
          </w:tcPr>
          <w:p w14:paraId="351D6411"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w:t>
            </w:r>
          </w:p>
        </w:tc>
        <w:tc>
          <w:tcPr>
            <w:tcW w:w="1207" w:type="dxa"/>
            <w:tcBorders>
              <w:top w:val="nil"/>
              <w:left w:val="nil"/>
              <w:bottom w:val="single" w:sz="4" w:space="0" w:color="auto"/>
              <w:right w:val="single" w:sz="4" w:space="0" w:color="auto"/>
            </w:tcBorders>
            <w:shd w:val="clear" w:color="auto" w:fill="auto"/>
            <w:vAlign w:val="center"/>
            <w:hideMark/>
          </w:tcPr>
          <w:p w14:paraId="4394B15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144" w:type="dxa"/>
            <w:tcBorders>
              <w:top w:val="nil"/>
              <w:left w:val="nil"/>
              <w:bottom w:val="single" w:sz="4" w:space="0" w:color="auto"/>
              <w:right w:val="single" w:sz="4" w:space="0" w:color="auto"/>
            </w:tcBorders>
            <w:shd w:val="clear" w:color="auto" w:fill="auto"/>
            <w:vAlign w:val="center"/>
            <w:hideMark/>
          </w:tcPr>
          <w:p w14:paraId="3A638C21"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117,131</w:t>
            </w:r>
          </w:p>
        </w:tc>
        <w:tc>
          <w:tcPr>
            <w:tcW w:w="731" w:type="dxa"/>
            <w:tcBorders>
              <w:top w:val="nil"/>
              <w:left w:val="nil"/>
              <w:bottom w:val="single" w:sz="4" w:space="0" w:color="auto"/>
              <w:right w:val="single" w:sz="4" w:space="0" w:color="auto"/>
            </w:tcBorders>
            <w:shd w:val="clear" w:color="auto" w:fill="auto"/>
            <w:vAlign w:val="center"/>
            <w:hideMark/>
          </w:tcPr>
          <w:p w14:paraId="180392B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w:t>
            </w:r>
          </w:p>
        </w:tc>
      </w:tr>
      <w:tr w:rsidR="008C76B7" w:rsidRPr="00EE5714" w14:paraId="66F054E3" w14:textId="77777777" w:rsidTr="00701518">
        <w:trPr>
          <w:trHeight w:val="300"/>
          <w:jc w:val="center"/>
        </w:trPr>
        <w:tc>
          <w:tcPr>
            <w:tcW w:w="1206" w:type="dxa"/>
            <w:tcBorders>
              <w:top w:val="nil"/>
              <w:left w:val="single" w:sz="4" w:space="0" w:color="auto"/>
              <w:bottom w:val="single" w:sz="4" w:space="0" w:color="auto"/>
              <w:right w:val="single" w:sz="4" w:space="0" w:color="auto"/>
            </w:tcBorders>
            <w:shd w:val="clear" w:color="000000" w:fill="E7E6E6"/>
            <w:vAlign w:val="center"/>
            <w:hideMark/>
          </w:tcPr>
          <w:p w14:paraId="45363129"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38.10%</w:t>
            </w:r>
          </w:p>
        </w:tc>
        <w:tc>
          <w:tcPr>
            <w:tcW w:w="827" w:type="dxa"/>
            <w:tcBorders>
              <w:top w:val="nil"/>
              <w:left w:val="nil"/>
              <w:bottom w:val="single" w:sz="4" w:space="0" w:color="auto"/>
              <w:right w:val="single" w:sz="4" w:space="0" w:color="auto"/>
            </w:tcBorders>
            <w:shd w:val="clear" w:color="000000" w:fill="E7E6E6"/>
            <w:vAlign w:val="center"/>
            <w:hideMark/>
          </w:tcPr>
          <w:p w14:paraId="4B08C98F"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254"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2B2960B9"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6D7050A7"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1045" w:type="dxa"/>
            <w:tcBorders>
              <w:top w:val="nil"/>
              <w:left w:val="nil"/>
              <w:bottom w:val="single" w:sz="4" w:space="0" w:color="auto"/>
              <w:right w:val="single" w:sz="4" w:space="0" w:color="auto"/>
            </w:tcBorders>
            <w:shd w:val="clear" w:color="auto" w:fill="auto"/>
            <w:vAlign w:val="center"/>
            <w:hideMark/>
          </w:tcPr>
          <w:p w14:paraId="08D30065"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1,546,825</w:t>
            </w:r>
          </w:p>
        </w:tc>
        <w:tc>
          <w:tcPr>
            <w:tcW w:w="725" w:type="dxa"/>
            <w:tcBorders>
              <w:top w:val="nil"/>
              <w:left w:val="nil"/>
              <w:bottom w:val="single" w:sz="4" w:space="0" w:color="auto"/>
              <w:right w:val="single" w:sz="4" w:space="0" w:color="auto"/>
            </w:tcBorders>
            <w:shd w:val="clear" w:color="auto" w:fill="auto"/>
            <w:vAlign w:val="center"/>
            <w:hideMark/>
          </w:tcPr>
          <w:p w14:paraId="21C2E18F"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72.2%</w:t>
            </w:r>
          </w:p>
        </w:tc>
        <w:tc>
          <w:tcPr>
            <w:tcW w:w="1207" w:type="dxa"/>
            <w:tcBorders>
              <w:top w:val="nil"/>
              <w:left w:val="nil"/>
              <w:bottom w:val="single" w:sz="4" w:space="0" w:color="auto"/>
              <w:right w:val="single" w:sz="4" w:space="0" w:color="auto"/>
            </w:tcBorders>
            <w:shd w:val="clear" w:color="auto" w:fill="auto"/>
            <w:vAlign w:val="center"/>
            <w:hideMark/>
          </w:tcPr>
          <w:p w14:paraId="4C53EDA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144" w:type="dxa"/>
            <w:tcBorders>
              <w:top w:val="nil"/>
              <w:left w:val="nil"/>
              <w:bottom w:val="single" w:sz="4" w:space="0" w:color="auto"/>
              <w:right w:val="single" w:sz="4" w:space="0" w:color="auto"/>
            </w:tcBorders>
            <w:shd w:val="clear" w:color="auto" w:fill="auto"/>
            <w:vAlign w:val="center"/>
            <w:hideMark/>
          </w:tcPr>
          <w:p w14:paraId="4AD05304"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131,274</w:t>
            </w:r>
          </w:p>
        </w:tc>
        <w:tc>
          <w:tcPr>
            <w:tcW w:w="731" w:type="dxa"/>
            <w:tcBorders>
              <w:top w:val="nil"/>
              <w:left w:val="nil"/>
              <w:bottom w:val="single" w:sz="4" w:space="0" w:color="auto"/>
              <w:right w:val="single" w:sz="4" w:space="0" w:color="auto"/>
            </w:tcBorders>
            <w:shd w:val="clear" w:color="auto" w:fill="auto"/>
            <w:vAlign w:val="center"/>
            <w:hideMark/>
          </w:tcPr>
          <w:p w14:paraId="350DA14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14.0%</w:t>
            </w:r>
          </w:p>
        </w:tc>
      </w:tr>
      <w:tr w:rsidR="008C76B7" w:rsidRPr="00EE5714" w14:paraId="1967510B" w14:textId="77777777" w:rsidTr="00701518">
        <w:trPr>
          <w:trHeight w:val="30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2CF58898"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294,208</w:t>
            </w:r>
          </w:p>
        </w:tc>
        <w:tc>
          <w:tcPr>
            <w:tcW w:w="827" w:type="dxa"/>
            <w:tcBorders>
              <w:top w:val="nil"/>
              <w:left w:val="nil"/>
              <w:bottom w:val="single" w:sz="4" w:space="0" w:color="auto"/>
              <w:right w:val="single" w:sz="4" w:space="0" w:color="auto"/>
            </w:tcBorders>
            <w:shd w:val="clear" w:color="auto" w:fill="auto"/>
            <w:vAlign w:val="center"/>
            <w:hideMark/>
          </w:tcPr>
          <w:p w14:paraId="6285F9EC"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31.9%</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48D1B03F"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2F632EBD"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31.9%</w:t>
            </w:r>
          </w:p>
        </w:tc>
        <w:tc>
          <w:tcPr>
            <w:tcW w:w="1570" w:type="dxa"/>
            <w:tcBorders>
              <w:top w:val="nil"/>
              <w:left w:val="nil"/>
              <w:bottom w:val="single" w:sz="4" w:space="0" w:color="auto"/>
              <w:right w:val="single" w:sz="4" w:space="0" w:color="auto"/>
            </w:tcBorders>
            <w:shd w:val="clear" w:color="auto" w:fill="auto"/>
            <w:vAlign w:val="center"/>
            <w:hideMark/>
          </w:tcPr>
          <w:p w14:paraId="0B04D7F0"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45" w:type="dxa"/>
            <w:tcBorders>
              <w:top w:val="nil"/>
              <w:left w:val="nil"/>
              <w:bottom w:val="single" w:sz="4" w:space="0" w:color="auto"/>
              <w:right w:val="single" w:sz="4" w:space="0" w:color="auto"/>
            </w:tcBorders>
            <w:shd w:val="clear" w:color="auto" w:fill="auto"/>
            <w:vAlign w:val="center"/>
            <w:hideMark/>
          </w:tcPr>
          <w:p w14:paraId="53DCCC68"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2,143,366</w:t>
            </w:r>
          </w:p>
        </w:tc>
        <w:tc>
          <w:tcPr>
            <w:tcW w:w="725" w:type="dxa"/>
            <w:tcBorders>
              <w:top w:val="nil"/>
              <w:left w:val="nil"/>
              <w:bottom w:val="single" w:sz="4" w:space="0" w:color="auto"/>
              <w:right w:val="single" w:sz="4" w:space="0" w:color="auto"/>
            </w:tcBorders>
            <w:shd w:val="clear" w:color="auto" w:fill="auto"/>
            <w:vAlign w:val="center"/>
            <w:hideMark/>
          </w:tcPr>
          <w:p w14:paraId="589A90CA"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207" w:type="dxa"/>
            <w:tcBorders>
              <w:top w:val="nil"/>
              <w:left w:val="nil"/>
              <w:bottom w:val="single" w:sz="4" w:space="0" w:color="auto"/>
              <w:right w:val="single" w:sz="4" w:space="0" w:color="auto"/>
            </w:tcBorders>
            <w:shd w:val="clear" w:color="auto" w:fill="auto"/>
            <w:vAlign w:val="center"/>
            <w:hideMark/>
          </w:tcPr>
          <w:p w14:paraId="3CB17B8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144" w:type="dxa"/>
            <w:tcBorders>
              <w:top w:val="nil"/>
              <w:left w:val="nil"/>
              <w:bottom w:val="single" w:sz="4" w:space="0" w:color="auto"/>
              <w:right w:val="single" w:sz="4" w:space="0" w:color="auto"/>
            </w:tcBorders>
            <w:shd w:val="clear" w:color="auto" w:fill="auto"/>
            <w:vAlign w:val="center"/>
            <w:hideMark/>
          </w:tcPr>
          <w:p w14:paraId="7FDC1A2A"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51,807</w:t>
            </w:r>
          </w:p>
        </w:tc>
        <w:tc>
          <w:tcPr>
            <w:tcW w:w="731" w:type="dxa"/>
            <w:tcBorders>
              <w:top w:val="nil"/>
              <w:left w:val="nil"/>
              <w:bottom w:val="single" w:sz="4" w:space="0" w:color="auto"/>
              <w:right w:val="single" w:sz="4" w:space="0" w:color="auto"/>
            </w:tcBorders>
            <w:shd w:val="clear" w:color="auto" w:fill="auto"/>
            <w:vAlign w:val="center"/>
            <w:hideMark/>
          </w:tcPr>
          <w:p w14:paraId="39E4CBB2"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5.5%</w:t>
            </w:r>
          </w:p>
        </w:tc>
      </w:tr>
      <w:tr w:rsidR="008C76B7" w:rsidRPr="00EE5714" w14:paraId="4F53F4E1" w14:textId="77777777" w:rsidTr="00701518">
        <w:trPr>
          <w:trHeight w:val="30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2B9CE39F"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47,721</w:t>
            </w:r>
          </w:p>
        </w:tc>
        <w:tc>
          <w:tcPr>
            <w:tcW w:w="827" w:type="dxa"/>
            <w:tcBorders>
              <w:top w:val="nil"/>
              <w:left w:val="nil"/>
              <w:bottom w:val="single" w:sz="4" w:space="0" w:color="auto"/>
              <w:right w:val="single" w:sz="4" w:space="0" w:color="auto"/>
            </w:tcBorders>
            <w:shd w:val="clear" w:color="auto" w:fill="auto"/>
            <w:vAlign w:val="center"/>
            <w:hideMark/>
          </w:tcPr>
          <w:p w14:paraId="3CD50F52"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w:t>
            </w:r>
          </w:p>
        </w:tc>
        <w:tc>
          <w:tcPr>
            <w:tcW w:w="1127" w:type="dxa"/>
            <w:tcBorders>
              <w:top w:val="nil"/>
              <w:left w:val="nil"/>
              <w:bottom w:val="single" w:sz="4" w:space="0" w:color="auto"/>
              <w:right w:val="single" w:sz="4" w:space="0" w:color="auto"/>
            </w:tcBorders>
            <w:shd w:val="clear" w:color="auto" w:fill="auto"/>
            <w:vAlign w:val="center"/>
            <w:hideMark/>
          </w:tcPr>
          <w:p w14:paraId="54B99E58"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127" w:type="dxa"/>
            <w:tcBorders>
              <w:top w:val="nil"/>
              <w:left w:val="nil"/>
              <w:bottom w:val="single" w:sz="4" w:space="0" w:color="auto"/>
              <w:right w:val="single" w:sz="4" w:space="0" w:color="auto"/>
            </w:tcBorders>
            <w:shd w:val="clear" w:color="auto" w:fill="auto"/>
            <w:vAlign w:val="center"/>
            <w:hideMark/>
          </w:tcPr>
          <w:p w14:paraId="6FFC82D6"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35.8%</w:t>
            </w:r>
          </w:p>
        </w:tc>
        <w:tc>
          <w:tcPr>
            <w:tcW w:w="33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5344906"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207" w:type="dxa"/>
            <w:tcBorders>
              <w:top w:val="nil"/>
              <w:left w:val="single" w:sz="4" w:space="0" w:color="auto"/>
              <w:bottom w:val="single" w:sz="4" w:space="0" w:color="auto"/>
              <w:right w:val="single" w:sz="4" w:space="0" w:color="auto"/>
            </w:tcBorders>
            <w:shd w:val="clear" w:color="auto" w:fill="auto"/>
            <w:vAlign w:val="center"/>
            <w:hideMark/>
          </w:tcPr>
          <w:p w14:paraId="01E239A2"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144" w:type="dxa"/>
            <w:tcBorders>
              <w:top w:val="nil"/>
              <w:left w:val="nil"/>
              <w:bottom w:val="single" w:sz="4" w:space="0" w:color="auto"/>
              <w:right w:val="single" w:sz="4" w:space="0" w:color="auto"/>
            </w:tcBorders>
            <w:shd w:val="clear" w:color="auto" w:fill="auto"/>
            <w:vAlign w:val="center"/>
            <w:hideMark/>
          </w:tcPr>
          <w:p w14:paraId="5EC9B625"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50,231</w:t>
            </w:r>
          </w:p>
        </w:tc>
        <w:tc>
          <w:tcPr>
            <w:tcW w:w="731" w:type="dxa"/>
            <w:tcBorders>
              <w:top w:val="nil"/>
              <w:left w:val="nil"/>
              <w:bottom w:val="single" w:sz="4" w:space="0" w:color="auto"/>
              <w:right w:val="single" w:sz="4" w:space="0" w:color="auto"/>
            </w:tcBorders>
            <w:shd w:val="clear" w:color="auto" w:fill="auto"/>
            <w:vAlign w:val="center"/>
            <w:hideMark/>
          </w:tcPr>
          <w:p w14:paraId="7B5D8F6B"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5.3%</w:t>
            </w:r>
          </w:p>
        </w:tc>
      </w:tr>
      <w:tr w:rsidR="008C76B7" w:rsidRPr="00EE5714" w14:paraId="1DE555A6" w14:textId="77777777" w:rsidTr="00701518">
        <w:trPr>
          <w:trHeight w:val="51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62E64310"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6,436</w:t>
            </w:r>
          </w:p>
        </w:tc>
        <w:tc>
          <w:tcPr>
            <w:tcW w:w="827" w:type="dxa"/>
            <w:tcBorders>
              <w:top w:val="nil"/>
              <w:left w:val="nil"/>
              <w:bottom w:val="single" w:sz="4" w:space="0" w:color="auto"/>
              <w:right w:val="single" w:sz="4" w:space="0" w:color="auto"/>
            </w:tcBorders>
            <w:shd w:val="clear" w:color="auto" w:fill="auto"/>
            <w:vAlign w:val="center"/>
            <w:hideMark/>
          </w:tcPr>
          <w:p w14:paraId="36A7A929"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127" w:type="dxa"/>
            <w:tcBorders>
              <w:top w:val="nil"/>
              <w:left w:val="nil"/>
              <w:bottom w:val="single" w:sz="4" w:space="0" w:color="auto"/>
              <w:right w:val="single" w:sz="4" w:space="0" w:color="auto"/>
            </w:tcBorders>
            <w:shd w:val="clear" w:color="auto" w:fill="auto"/>
            <w:vAlign w:val="center"/>
            <w:hideMark/>
          </w:tcPr>
          <w:p w14:paraId="59115665"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127" w:type="dxa"/>
            <w:tcBorders>
              <w:top w:val="nil"/>
              <w:left w:val="nil"/>
              <w:bottom w:val="single" w:sz="4" w:space="0" w:color="auto"/>
              <w:right w:val="single" w:sz="4" w:space="0" w:color="auto"/>
            </w:tcBorders>
            <w:shd w:val="clear" w:color="auto" w:fill="auto"/>
            <w:vAlign w:val="center"/>
            <w:hideMark/>
          </w:tcPr>
          <w:p w14:paraId="092C4BFE"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14.9%</w:t>
            </w:r>
          </w:p>
        </w:tc>
        <w:tc>
          <w:tcPr>
            <w:tcW w:w="1570" w:type="dxa"/>
            <w:tcBorders>
              <w:top w:val="single" w:sz="4" w:space="0" w:color="auto"/>
              <w:left w:val="nil"/>
              <w:bottom w:val="single" w:sz="4" w:space="0" w:color="auto"/>
              <w:right w:val="single" w:sz="4" w:space="0" w:color="auto"/>
            </w:tcBorders>
            <w:shd w:val="clear" w:color="000000" w:fill="E7E6E6"/>
            <w:vAlign w:val="center"/>
            <w:hideMark/>
          </w:tcPr>
          <w:p w14:paraId="036C06F3"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1045" w:type="dxa"/>
            <w:tcBorders>
              <w:top w:val="single" w:sz="4" w:space="0" w:color="auto"/>
              <w:left w:val="nil"/>
              <w:bottom w:val="single" w:sz="4" w:space="0" w:color="auto"/>
              <w:right w:val="single" w:sz="4" w:space="0" w:color="auto"/>
            </w:tcBorders>
            <w:shd w:val="clear" w:color="000000" w:fill="E7E6E6"/>
            <w:vAlign w:val="center"/>
            <w:hideMark/>
          </w:tcPr>
          <w:p w14:paraId="62534A2E"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25" w:type="dxa"/>
            <w:tcBorders>
              <w:top w:val="single" w:sz="4" w:space="0" w:color="auto"/>
              <w:left w:val="nil"/>
              <w:bottom w:val="single" w:sz="4" w:space="0" w:color="auto"/>
              <w:right w:val="single" w:sz="4" w:space="0" w:color="auto"/>
            </w:tcBorders>
            <w:shd w:val="clear" w:color="000000" w:fill="E7E6E6"/>
            <w:vAlign w:val="center"/>
            <w:hideMark/>
          </w:tcPr>
          <w:p w14:paraId="30519F81"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207" w:type="dxa"/>
            <w:tcBorders>
              <w:top w:val="nil"/>
              <w:left w:val="nil"/>
              <w:bottom w:val="single" w:sz="4" w:space="0" w:color="auto"/>
              <w:right w:val="single" w:sz="4" w:space="0" w:color="auto"/>
            </w:tcBorders>
            <w:shd w:val="clear" w:color="auto" w:fill="auto"/>
            <w:vAlign w:val="center"/>
            <w:hideMark/>
          </w:tcPr>
          <w:p w14:paraId="4660D4B4"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hideMark/>
          </w:tcPr>
          <w:p w14:paraId="0BCCEA1D"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939,556</w:t>
            </w:r>
          </w:p>
        </w:tc>
        <w:tc>
          <w:tcPr>
            <w:tcW w:w="731" w:type="dxa"/>
            <w:tcBorders>
              <w:top w:val="nil"/>
              <w:left w:val="nil"/>
              <w:bottom w:val="single" w:sz="4" w:space="0" w:color="auto"/>
              <w:right w:val="single" w:sz="4" w:space="0" w:color="auto"/>
            </w:tcBorders>
            <w:shd w:val="clear" w:color="auto" w:fill="auto"/>
            <w:vAlign w:val="center"/>
            <w:hideMark/>
          </w:tcPr>
          <w:p w14:paraId="4F3E2384"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8C76B7" w:rsidRPr="00EE5714" w14:paraId="7585407E" w14:textId="77777777" w:rsidTr="00701518">
        <w:trPr>
          <w:trHeight w:val="30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02137ADB"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2,445</w:t>
            </w:r>
          </w:p>
        </w:tc>
        <w:tc>
          <w:tcPr>
            <w:tcW w:w="827" w:type="dxa"/>
            <w:tcBorders>
              <w:top w:val="nil"/>
              <w:left w:val="nil"/>
              <w:bottom w:val="single" w:sz="4" w:space="0" w:color="auto"/>
              <w:right w:val="single" w:sz="4" w:space="0" w:color="auto"/>
            </w:tcBorders>
            <w:shd w:val="clear" w:color="auto" w:fill="auto"/>
            <w:vAlign w:val="center"/>
            <w:hideMark/>
          </w:tcPr>
          <w:p w14:paraId="405CC3DA"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127" w:type="dxa"/>
            <w:tcBorders>
              <w:top w:val="nil"/>
              <w:left w:val="nil"/>
              <w:bottom w:val="single" w:sz="4" w:space="0" w:color="auto"/>
              <w:right w:val="single" w:sz="4" w:space="0" w:color="auto"/>
            </w:tcBorders>
            <w:shd w:val="clear" w:color="auto" w:fill="auto"/>
            <w:vAlign w:val="center"/>
            <w:hideMark/>
          </w:tcPr>
          <w:p w14:paraId="41D2670D"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127" w:type="dxa"/>
            <w:tcBorders>
              <w:top w:val="nil"/>
              <w:left w:val="nil"/>
              <w:bottom w:val="single" w:sz="4" w:space="0" w:color="auto"/>
              <w:right w:val="single" w:sz="4" w:space="0" w:color="auto"/>
            </w:tcBorders>
            <w:shd w:val="clear" w:color="auto" w:fill="auto"/>
            <w:vAlign w:val="center"/>
            <w:hideMark/>
          </w:tcPr>
          <w:p w14:paraId="3FC83AEF"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11.2%</w:t>
            </w:r>
          </w:p>
        </w:tc>
        <w:tc>
          <w:tcPr>
            <w:tcW w:w="1570" w:type="dxa"/>
            <w:tcBorders>
              <w:top w:val="nil"/>
              <w:left w:val="nil"/>
              <w:bottom w:val="single" w:sz="4" w:space="0" w:color="auto"/>
              <w:right w:val="single" w:sz="4" w:space="0" w:color="auto"/>
            </w:tcBorders>
            <w:shd w:val="clear" w:color="auto" w:fill="auto"/>
            <w:vAlign w:val="center"/>
            <w:hideMark/>
          </w:tcPr>
          <w:p w14:paraId="7F89BB29"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1045" w:type="dxa"/>
            <w:tcBorders>
              <w:top w:val="nil"/>
              <w:left w:val="nil"/>
              <w:bottom w:val="single" w:sz="4" w:space="0" w:color="auto"/>
              <w:right w:val="single" w:sz="4" w:space="0" w:color="auto"/>
            </w:tcBorders>
            <w:shd w:val="clear" w:color="auto" w:fill="auto"/>
            <w:vAlign w:val="center"/>
            <w:hideMark/>
          </w:tcPr>
          <w:p w14:paraId="61DE1A04"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669,291</w:t>
            </w:r>
          </w:p>
        </w:tc>
        <w:tc>
          <w:tcPr>
            <w:tcW w:w="725" w:type="dxa"/>
            <w:tcBorders>
              <w:top w:val="nil"/>
              <w:left w:val="nil"/>
              <w:bottom w:val="single" w:sz="4" w:space="0" w:color="auto"/>
              <w:right w:val="single" w:sz="4" w:space="0" w:color="auto"/>
            </w:tcBorders>
            <w:shd w:val="clear" w:color="auto" w:fill="auto"/>
            <w:vAlign w:val="center"/>
            <w:hideMark/>
          </w:tcPr>
          <w:p w14:paraId="2098EAB0"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72.5%</w:t>
            </w:r>
          </w:p>
        </w:tc>
        <w:tc>
          <w:tcPr>
            <w:tcW w:w="1207" w:type="dxa"/>
            <w:tcBorders>
              <w:top w:val="nil"/>
              <w:left w:val="nil"/>
              <w:bottom w:val="single" w:sz="4" w:space="0" w:color="auto"/>
              <w:right w:val="single" w:sz="4" w:space="0" w:color="auto"/>
            </w:tcBorders>
            <w:shd w:val="clear" w:color="auto" w:fill="auto"/>
            <w:vAlign w:val="center"/>
            <w:hideMark/>
          </w:tcPr>
          <w:p w14:paraId="2570369C"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144" w:type="dxa"/>
            <w:tcBorders>
              <w:top w:val="nil"/>
              <w:left w:val="nil"/>
              <w:bottom w:val="single" w:sz="4" w:space="0" w:color="auto"/>
              <w:right w:val="single" w:sz="4" w:space="0" w:color="auto"/>
            </w:tcBorders>
            <w:shd w:val="clear" w:color="auto" w:fill="auto"/>
            <w:vAlign w:val="center"/>
            <w:hideMark/>
          </w:tcPr>
          <w:p w14:paraId="5CEBBBE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$55,534</w:t>
            </w:r>
          </w:p>
        </w:tc>
        <w:tc>
          <w:tcPr>
            <w:tcW w:w="731" w:type="dxa"/>
            <w:tcBorders>
              <w:top w:val="nil"/>
              <w:left w:val="nil"/>
              <w:bottom w:val="single" w:sz="4" w:space="0" w:color="auto"/>
              <w:right w:val="single" w:sz="4" w:space="0" w:color="auto"/>
            </w:tcBorders>
            <w:shd w:val="clear" w:color="auto" w:fill="auto"/>
            <w:vAlign w:val="center"/>
            <w:hideMark/>
          </w:tcPr>
          <w:p w14:paraId="5A93DCAA"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8C76B7" w:rsidRPr="00EE5714" w14:paraId="70871D42" w14:textId="77777777" w:rsidTr="00701518">
        <w:trPr>
          <w:trHeight w:val="51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140820B4"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516</w:t>
            </w:r>
          </w:p>
        </w:tc>
        <w:tc>
          <w:tcPr>
            <w:tcW w:w="827" w:type="dxa"/>
            <w:tcBorders>
              <w:top w:val="nil"/>
              <w:left w:val="nil"/>
              <w:bottom w:val="single" w:sz="4" w:space="0" w:color="auto"/>
              <w:right w:val="single" w:sz="4" w:space="0" w:color="auto"/>
            </w:tcBorders>
            <w:shd w:val="clear" w:color="auto" w:fill="auto"/>
            <w:vAlign w:val="center"/>
            <w:hideMark/>
          </w:tcPr>
          <w:p w14:paraId="16DB67D8"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127" w:type="dxa"/>
            <w:tcBorders>
              <w:top w:val="nil"/>
              <w:left w:val="nil"/>
              <w:bottom w:val="single" w:sz="4" w:space="0" w:color="auto"/>
              <w:right w:val="single" w:sz="4" w:space="0" w:color="auto"/>
            </w:tcBorders>
            <w:shd w:val="clear" w:color="auto" w:fill="auto"/>
            <w:vAlign w:val="center"/>
            <w:hideMark/>
          </w:tcPr>
          <w:p w14:paraId="7A2B83C2"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127" w:type="dxa"/>
            <w:tcBorders>
              <w:top w:val="nil"/>
              <w:left w:val="nil"/>
              <w:bottom w:val="single" w:sz="4" w:space="0" w:color="auto"/>
              <w:right w:val="single" w:sz="4" w:space="0" w:color="auto"/>
            </w:tcBorders>
            <w:shd w:val="clear" w:color="auto" w:fill="auto"/>
            <w:vAlign w:val="center"/>
            <w:hideMark/>
          </w:tcPr>
          <w:p w14:paraId="726AB5D1"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w:t>
            </w:r>
          </w:p>
        </w:tc>
        <w:tc>
          <w:tcPr>
            <w:tcW w:w="1570" w:type="dxa"/>
            <w:tcBorders>
              <w:top w:val="nil"/>
              <w:left w:val="nil"/>
              <w:bottom w:val="single" w:sz="4" w:space="0" w:color="auto"/>
              <w:right w:val="single" w:sz="4" w:space="0" w:color="auto"/>
            </w:tcBorders>
            <w:shd w:val="clear" w:color="auto" w:fill="auto"/>
            <w:vAlign w:val="center"/>
            <w:hideMark/>
          </w:tcPr>
          <w:p w14:paraId="02CDF50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1045" w:type="dxa"/>
            <w:tcBorders>
              <w:top w:val="nil"/>
              <w:left w:val="nil"/>
              <w:bottom w:val="single" w:sz="4" w:space="0" w:color="auto"/>
              <w:right w:val="single" w:sz="4" w:space="0" w:color="auto"/>
            </w:tcBorders>
            <w:shd w:val="clear" w:color="auto" w:fill="auto"/>
            <w:vAlign w:val="center"/>
            <w:hideMark/>
          </w:tcPr>
          <w:p w14:paraId="323D1EBA"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16,958</w:t>
            </w:r>
          </w:p>
        </w:tc>
        <w:tc>
          <w:tcPr>
            <w:tcW w:w="725" w:type="dxa"/>
            <w:tcBorders>
              <w:top w:val="nil"/>
              <w:left w:val="nil"/>
              <w:bottom w:val="single" w:sz="4" w:space="0" w:color="auto"/>
              <w:right w:val="single" w:sz="4" w:space="0" w:color="auto"/>
            </w:tcBorders>
            <w:shd w:val="clear" w:color="auto" w:fill="auto"/>
            <w:vAlign w:val="center"/>
            <w:hideMark/>
          </w:tcPr>
          <w:p w14:paraId="6DD0869C"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w:t>
            </w:r>
          </w:p>
        </w:tc>
        <w:tc>
          <w:tcPr>
            <w:tcW w:w="1207" w:type="dxa"/>
            <w:tcBorders>
              <w:top w:val="nil"/>
              <w:left w:val="nil"/>
              <w:bottom w:val="single" w:sz="4" w:space="0" w:color="auto"/>
              <w:right w:val="single" w:sz="4" w:space="0" w:color="auto"/>
            </w:tcBorders>
            <w:shd w:val="clear" w:color="auto" w:fill="auto"/>
            <w:vAlign w:val="center"/>
            <w:hideMark/>
          </w:tcPr>
          <w:p w14:paraId="73C8F2A0"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144" w:type="dxa"/>
            <w:tcBorders>
              <w:top w:val="nil"/>
              <w:left w:val="nil"/>
              <w:bottom w:val="single" w:sz="4" w:space="0" w:color="auto"/>
              <w:right w:val="single" w:sz="4" w:space="0" w:color="auto"/>
            </w:tcBorders>
            <w:shd w:val="clear" w:color="auto" w:fill="auto"/>
            <w:vAlign w:val="center"/>
            <w:hideMark/>
          </w:tcPr>
          <w:p w14:paraId="7F10C9F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$78,189</w:t>
            </w:r>
          </w:p>
        </w:tc>
        <w:tc>
          <w:tcPr>
            <w:tcW w:w="731" w:type="dxa"/>
            <w:tcBorders>
              <w:top w:val="nil"/>
              <w:left w:val="nil"/>
              <w:bottom w:val="single" w:sz="4" w:space="0" w:color="auto"/>
              <w:right w:val="single" w:sz="4" w:space="0" w:color="auto"/>
            </w:tcBorders>
            <w:shd w:val="clear" w:color="auto" w:fill="auto"/>
            <w:vAlign w:val="center"/>
            <w:hideMark/>
          </w:tcPr>
          <w:p w14:paraId="422069C9"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8C76B7" w:rsidRPr="00EE5714" w14:paraId="2ABD26C9" w14:textId="77777777" w:rsidTr="00701518">
        <w:trPr>
          <w:trHeight w:val="30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0A7A53A2"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159</w:t>
            </w:r>
          </w:p>
        </w:tc>
        <w:tc>
          <w:tcPr>
            <w:tcW w:w="827" w:type="dxa"/>
            <w:tcBorders>
              <w:top w:val="nil"/>
              <w:left w:val="nil"/>
              <w:bottom w:val="single" w:sz="4" w:space="0" w:color="auto"/>
              <w:right w:val="single" w:sz="4" w:space="0" w:color="auto"/>
            </w:tcBorders>
            <w:shd w:val="clear" w:color="auto" w:fill="auto"/>
            <w:vAlign w:val="center"/>
            <w:hideMark/>
          </w:tcPr>
          <w:p w14:paraId="11E71BA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27" w:type="dxa"/>
            <w:tcBorders>
              <w:top w:val="nil"/>
              <w:left w:val="nil"/>
              <w:bottom w:val="single" w:sz="4" w:space="0" w:color="auto"/>
              <w:right w:val="single" w:sz="4" w:space="0" w:color="auto"/>
            </w:tcBorders>
            <w:shd w:val="clear" w:color="auto" w:fill="auto"/>
            <w:vAlign w:val="center"/>
            <w:hideMark/>
          </w:tcPr>
          <w:p w14:paraId="6A1BEF04"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127" w:type="dxa"/>
            <w:tcBorders>
              <w:top w:val="nil"/>
              <w:left w:val="nil"/>
              <w:bottom w:val="single" w:sz="4" w:space="0" w:color="auto"/>
              <w:right w:val="single" w:sz="4" w:space="0" w:color="auto"/>
            </w:tcBorders>
            <w:shd w:val="clear" w:color="auto" w:fill="auto"/>
            <w:vAlign w:val="center"/>
            <w:hideMark/>
          </w:tcPr>
          <w:p w14:paraId="4CAD4C2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w:t>
            </w:r>
          </w:p>
        </w:tc>
        <w:tc>
          <w:tcPr>
            <w:tcW w:w="1570" w:type="dxa"/>
            <w:tcBorders>
              <w:top w:val="nil"/>
              <w:left w:val="nil"/>
              <w:bottom w:val="single" w:sz="4" w:space="0" w:color="auto"/>
              <w:right w:val="single" w:sz="4" w:space="0" w:color="auto"/>
            </w:tcBorders>
            <w:shd w:val="clear" w:color="auto" w:fill="auto"/>
            <w:vAlign w:val="center"/>
            <w:hideMark/>
          </w:tcPr>
          <w:p w14:paraId="2F4EB2D5"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1045" w:type="dxa"/>
            <w:tcBorders>
              <w:top w:val="nil"/>
              <w:left w:val="nil"/>
              <w:bottom w:val="single" w:sz="4" w:space="0" w:color="auto"/>
              <w:right w:val="single" w:sz="4" w:space="0" w:color="auto"/>
            </w:tcBorders>
            <w:shd w:val="clear" w:color="auto" w:fill="auto"/>
            <w:vAlign w:val="center"/>
            <w:hideMark/>
          </w:tcPr>
          <w:p w14:paraId="792F603B"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130,845</w:t>
            </w:r>
          </w:p>
        </w:tc>
        <w:tc>
          <w:tcPr>
            <w:tcW w:w="725" w:type="dxa"/>
            <w:tcBorders>
              <w:top w:val="nil"/>
              <w:left w:val="nil"/>
              <w:bottom w:val="single" w:sz="4" w:space="0" w:color="auto"/>
              <w:right w:val="single" w:sz="4" w:space="0" w:color="auto"/>
            </w:tcBorders>
            <w:shd w:val="clear" w:color="auto" w:fill="auto"/>
            <w:vAlign w:val="center"/>
            <w:hideMark/>
          </w:tcPr>
          <w:p w14:paraId="298BA2E2"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14.2%</w:t>
            </w:r>
          </w:p>
        </w:tc>
        <w:tc>
          <w:tcPr>
            <w:tcW w:w="1207" w:type="dxa"/>
            <w:tcBorders>
              <w:top w:val="nil"/>
              <w:left w:val="nil"/>
              <w:bottom w:val="single" w:sz="4" w:space="0" w:color="auto"/>
              <w:right w:val="single" w:sz="4" w:space="0" w:color="auto"/>
            </w:tcBorders>
            <w:shd w:val="clear" w:color="auto" w:fill="auto"/>
            <w:vAlign w:val="center"/>
            <w:hideMark/>
          </w:tcPr>
          <w:p w14:paraId="6CF47DDB"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144" w:type="dxa"/>
            <w:tcBorders>
              <w:top w:val="nil"/>
              <w:left w:val="nil"/>
              <w:bottom w:val="single" w:sz="4" w:space="0" w:color="auto"/>
              <w:right w:val="single" w:sz="4" w:space="0" w:color="auto"/>
            </w:tcBorders>
            <w:shd w:val="clear" w:color="auto" w:fill="auto"/>
            <w:vAlign w:val="center"/>
            <w:hideMark/>
          </w:tcPr>
          <w:p w14:paraId="7A8D3EE1"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$33,384</w:t>
            </w:r>
          </w:p>
        </w:tc>
        <w:tc>
          <w:tcPr>
            <w:tcW w:w="731" w:type="dxa"/>
            <w:tcBorders>
              <w:top w:val="nil"/>
              <w:left w:val="nil"/>
              <w:bottom w:val="single" w:sz="4" w:space="0" w:color="auto"/>
              <w:right w:val="single" w:sz="4" w:space="0" w:color="auto"/>
            </w:tcBorders>
            <w:shd w:val="clear" w:color="auto" w:fill="auto"/>
            <w:vAlign w:val="center"/>
            <w:hideMark/>
          </w:tcPr>
          <w:p w14:paraId="17B2358D"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8C76B7" w:rsidRPr="00EE5714" w14:paraId="3F4DD25E" w14:textId="77777777" w:rsidTr="00701518">
        <w:trPr>
          <w:trHeight w:val="51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3585A837"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93</w:t>
            </w:r>
          </w:p>
        </w:tc>
        <w:tc>
          <w:tcPr>
            <w:tcW w:w="827" w:type="dxa"/>
            <w:tcBorders>
              <w:top w:val="nil"/>
              <w:left w:val="nil"/>
              <w:bottom w:val="single" w:sz="4" w:space="0" w:color="auto"/>
              <w:right w:val="single" w:sz="4" w:space="0" w:color="auto"/>
            </w:tcBorders>
            <w:shd w:val="clear" w:color="auto" w:fill="auto"/>
            <w:vAlign w:val="center"/>
            <w:hideMark/>
          </w:tcPr>
          <w:p w14:paraId="63930C7C"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27" w:type="dxa"/>
            <w:tcBorders>
              <w:top w:val="nil"/>
              <w:left w:val="nil"/>
              <w:bottom w:val="single" w:sz="4" w:space="0" w:color="auto"/>
              <w:right w:val="single" w:sz="4" w:space="0" w:color="auto"/>
            </w:tcBorders>
            <w:shd w:val="clear" w:color="auto" w:fill="auto"/>
            <w:vAlign w:val="center"/>
            <w:hideMark/>
          </w:tcPr>
          <w:p w14:paraId="1B52EE54"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127" w:type="dxa"/>
            <w:tcBorders>
              <w:top w:val="nil"/>
              <w:left w:val="nil"/>
              <w:bottom w:val="single" w:sz="4" w:space="0" w:color="auto"/>
              <w:right w:val="single" w:sz="4" w:space="0" w:color="auto"/>
            </w:tcBorders>
            <w:shd w:val="clear" w:color="auto" w:fill="auto"/>
            <w:vAlign w:val="center"/>
            <w:hideMark/>
          </w:tcPr>
          <w:p w14:paraId="578DDAF7"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570" w:type="dxa"/>
            <w:tcBorders>
              <w:top w:val="nil"/>
              <w:left w:val="nil"/>
              <w:bottom w:val="single" w:sz="4" w:space="0" w:color="auto"/>
              <w:right w:val="single" w:sz="4" w:space="0" w:color="auto"/>
            </w:tcBorders>
            <w:shd w:val="clear" w:color="auto" w:fill="auto"/>
            <w:vAlign w:val="center"/>
            <w:hideMark/>
          </w:tcPr>
          <w:p w14:paraId="7816166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1045" w:type="dxa"/>
            <w:tcBorders>
              <w:top w:val="nil"/>
              <w:left w:val="nil"/>
              <w:bottom w:val="single" w:sz="4" w:space="0" w:color="auto"/>
              <w:right w:val="single" w:sz="4" w:space="0" w:color="auto"/>
            </w:tcBorders>
            <w:shd w:val="clear" w:color="auto" w:fill="auto"/>
            <w:vAlign w:val="center"/>
            <w:hideMark/>
          </w:tcPr>
          <w:p w14:paraId="0265B9F2"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76,684</w:t>
            </w:r>
          </w:p>
        </w:tc>
        <w:tc>
          <w:tcPr>
            <w:tcW w:w="725" w:type="dxa"/>
            <w:tcBorders>
              <w:top w:val="nil"/>
              <w:left w:val="nil"/>
              <w:bottom w:val="single" w:sz="4" w:space="0" w:color="auto"/>
              <w:right w:val="single" w:sz="4" w:space="0" w:color="auto"/>
            </w:tcBorders>
            <w:shd w:val="clear" w:color="auto" w:fill="auto"/>
            <w:vAlign w:val="center"/>
            <w:hideMark/>
          </w:tcPr>
          <w:p w14:paraId="139B34A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8.3%</w:t>
            </w:r>
          </w:p>
        </w:tc>
        <w:tc>
          <w:tcPr>
            <w:tcW w:w="3082"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443EFBC7"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Peoples Service Area                                            2012-2016 ACS</w:t>
            </w:r>
          </w:p>
        </w:tc>
      </w:tr>
      <w:tr w:rsidR="008C76B7" w:rsidRPr="00EE5714" w14:paraId="07AD7B26" w14:textId="77777777" w:rsidTr="00701518">
        <w:trPr>
          <w:trHeight w:val="51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278C2828"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923,084</w:t>
            </w:r>
          </w:p>
        </w:tc>
        <w:tc>
          <w:tcPr>
            <w:tcW w:w="827" w:type="dxa"/>
            <w:tcBorders>
              <w:top w:val="nil"/>
              <w:left w:val="nil"/>
              <w:bottom w:val="single" w:sz="4" w:space="0" w:color="auto"/>
              <w:right w:val="single" w:sz="4" w:space="0" w:color="auto"/>
            </w:tcBorders>
            <w:shd w:val="clear" w:color="auto" w:fill="auto"/>
            <w:vAlign w:val="center"/>
            <w:hideMark/>
          </w:tcPr>
          <w:p w14:paraId="46ED4F5D"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27" w:type="dxa"/>
            <w:tcBorders>
              <w:top w:val="nil"/>
              <w:left w:val="nil"/>
              <w:bottom w:val="single" w:sz="4" w:space="0" w:color="auto"/>
              <w:right w:val="single" w:sz="4" w:space="0" w:color="auto"/>
            </w:tcBorders>
            <w:shd w:val="clear" w:color="auto" w:fill="auto"/>
            <w:vAlign w:val="center"/>
            <w:hideMark/>
          </w:tcPr>
          <w:p w14:paraId="190A6B8B"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27" w:type="dxa"/>
            <w:tcBorders>
              <w:top w:val="nil"/>
              <w:left w:val="nil"/>
              <w:bottom w:val="single" w:sz="4" w:space="0" w:color="auto"/>
              <w:right w:val="single" w:sz="4" w:space="0" w:color="auto"/>
            </w:tcBorders>
            <w:shd w:val="clear" w:color="auto" w:fill="auto"/>
            <w:vAlign w:val="center"/>
            <w:hideMark/>
          </w:tcPr>
          <w:p w14:paraId="3FCC7549"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70" w:type="dxa"/>
            <w:tcBorders>
              <w:top w:val="nil"/>
              <w:left w:val="nil"/>
              <w:bottom w:val="single" w:sz="4" w:space="0" w:color="auto"/>
              <w:right w:val="single" w:sz="4" w:space="0" w:color="auto"/>
            </w:tcBorders>
            <w:shd w:val="clear" w:color="auto" w:fill="auto"/>
            <w:vAlign w:val="center"/>
            <w:hideMark/>
          </w:tcPr>
          <w:p w14:paraId="21BC376E"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1045" w:type="dxa"/>
            <w:tcBorders>
              <w:top w:val="nil"/>
              <w:left w:val="nil"/>
              <w:bottom w:val="single" w:sz="4" w:space="0" w:color="auto"/>
              <w:right w:val="single" w:sz="4" w:space="0" w:color="auto"/>
            </w:tcBorders>
            <w:shd w:val="clear" w:color="auto" w:fill="auto"/>
            <w:vAlign w:val="center"/>
            <w:hideMark/>
          </w:tcPr>
          <w:p w14:paraId="4CA73C7E"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6,046</w:t>
            </w:r>
          </w:p>
        </w:tc>
        <w:tc>
          <w:tcPr>
            <w:tcW w:w="725" w:type="dxa"/>
            <w:tcBorders>
              <w:top w:val="nil"/>
              <w:left w:val="nil"/>
              <w:bottom w:val="single" w:sz="4" w:space="0" w:color="auto"/>
              <w:right w:val="single" w:sz="4" w:space="0" w:color="auto"/>
            </w:tcBorders>
            <w:shd w:val="clear" w:color="auto" w:fill="auto"/>
            <w:vAlign w:val="center"/>
            <w:hideMark/>
          </w:tcPr>
          <w:p w14:paraId="46C89D31"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207" w:type="dxa"/>
            <w:tcBorders>
              <w:top w:val="single" w:sz="4" w:space="0" w:color="auto"/>
              <w:left w:val="nil"/>
              <w:bottom w:val="single" w:sz="4" w:space="0" w:color="auto"/>
              <w:right w:val="single" w:sz="4" w:space="0" w:color="auto"/>
            </w:tcBorders>
            <w:shd w:val="clear" w:color="000000" w:fill="E7E6E6"/>
            <w:vAlign w:val="center"/>
            <w:hideMark/>
          </w:tcPr>
          <w:p w14:paraId="19433E77"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144" w:type="dxa"/>
            <w:tcBorders>
              <w:top w:val="single" w:sz="4" w:space="0" w:color="auto"/>
              <w:left w:val="nil"/>
              <w:bottom w:val="single" w:sz="4" w:space="0" w:color="auto"/>
              <w:right w:val="single" w:sz="4" w:space="0" w:color="auto"/>
            </w:tcBorders>
            <w:shd w:val="clear" w:color="000000" w:fill="E7E6E6"/>
            <w:vAlign w:val="center"/>
            <w:hideMark/>
          </w:tcPr>
          <w:p w14:paraId="43C010A8"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31" w:type="dxa"/>
            <w:tcBorders>
              <w:top w:val="single" w:sz="4" w:space="0" w:color="auto"/>
              <w:left w:val="nil"/>
              <w:bottom w:val="single" w:sz="4" w:space="0" w:color="auto"/>
              <w:right w:val="single" w:sz="4" w:space="0" w:color="auto"/>
            </w:tcBorders>
            <w:shd w:val="clear" w:color="000000" w:fill="E7E6E6"/>
            <w:vAlign w:val="center"/>
            <w:hideMark/>
          </w:tcPr>
          <w:p w14:paraId="3A4BC410"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8C76B7" w:rsidRPr="00EE5714" w14:paraId="115A7C71" w14:textId="77777777" w:rsidTr="00701518">
        <w:trPr>
          <w:trHeight w:val="434"/>
          <w:jc w:val="center"/>
        </w:trPr>
        <w:tc>
          <w:tcPr>
            <w:tcW w:w="4287" w:type="dxa"/>
            <w:gridSpan w:val="4"/>
            <w:tcBorders>
              <w:top w:val="single" w:sz="4" w:space="0" w:color="auto"/>
              <w:left w:val="single" w:sz="4" w:space="0" w:color="auto"/>
              <w:bottom w:val="single" w:sz="4" w:space="0" w:color="auto"/>
              <w:right w:val="single" w:sz="4" w:space="0" w:color="000000"/>
            </w:tcBorders>
            <w:shd w:val="clear" w:color="000000" w:fill="E7E6E6"/>
            <w:vAlign w:val="center"/>
            <w:hideMark/>
          </w:tcPr>
          <w:p w14:paraId="255A1269" w14:textId="12643474"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Peoples Service Area - 2012-2016 ACS</w:t>
            </w: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0B810311"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1045" w:type="dxa"/>
            <w:tcBorders>
              <w:top w:val="nil"/>
              <w:left w:val="nil"/>
              <w:bottom w:val="single" w:sz="4" w:space="0" w:color="auto"/>
              <w:right w:val="single" w:sz="4" w:space="0" w:color="auto"/>
            </w:tcBorders>
            <w:shd w:val="clear" w:color="auto" w:fill="auto"/>
            <w:vAlign w:val="center"/>
            <w:hideMark/>
          </w:tcPr>
          <w:p w14:paraId="6F5F4A23"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15,162</w:t>
            </w:r>
          </w:p>
        </w:tc>
        <w:tc>
          <w:tcPr>
            <w:tcW w:w="725" w:type="dxa"/>
            <w:tcBorders>
              <w:top w:val="nil"/>
              <w:left w:val="nil"/>
              <w:bottom w:val="single" w:sz="4" w:space="0" w:color="auto"/>
              <w:right w:val="single" w:sz="4" w:space="0" w:color="auto"/>
            </w:tcBorders>
            <w:shd w:val="clear" w:color="auto" w:fill="auto"/>
            <w:vAlign w:val="center"/>
            <w:hideMark/>
          </w:tcPr>
          <w:p w14:paraId="35AC0BF0"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w:t>
            </w:r>
          </w:p>
        </w:tc>
        <w:tc>
          <w:tcPr>
            <w:tcW w:w="1207" w:type="dxa"/>
            <w:tcBorders>
              <w:top w:val="nil"/>
              <w:left w:val="nil"/>
              <w:bottom w:val="single" w:sz="4" w:space="0" w:color="auto"/>
              <w:right w:val="single" w:sz="4" w:space="0" w:color="auto"/>
            </w:tcBorders>
            <w:shd w:val="clear" w:color="auto" w:fill="auto"/>
            <w:vAlign w:val="center"/>
            <w:hideMark/>
          </w:tcPr>
          <w:p w14:paraId="2452CD55"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235,713</w:t>
            </w:r>
          </w:p>
        </w:tc>
        <w:tc>
          <w:tcPr>
            <w:tcW w:w="1144" w:type="dxa"/>
            <w:tcBorders>
              <w:top w:val="nil"/>
              <w:left w:val="nil"/>
              <w:bottom w:val="single" w:sz="4" w:space="0" w:color="auto"/>
              <w:right w:val="single" w:sz="4" w:space="0" w:color="auto"/>
            </w:tcBorders>
            <w:shd w:val="clear" w:color="auto" w:fill="auto"/>
            <w:vAlign w:val="center"/>
            <w:hideMark/>
          </w:tcPr>
          <w:p w14:paraId="179BF2E0"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31" w:type="dxa"/>
            <w:tcBorders>
              <w:top w:val="nil"/>
              <w:left w:val="nil"/>
              <w:bottom w:val="single" w:sz="4" w:space="0" w:color="auto"/>
              <w:right w:val="single" w:sz="4" w:space="0" w:color="auto"/>
            </w:tcBorders>
            <w:shd w:val="clear" w:color="auto" w:fill="auto"/>
            <w:vAlign w:val="center"/>
            <w:hideMark/>
          </w:tcPr>
          <w:p w14:paraId="54C1294E"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34.3%</w:t>
            </w:r>
          </w:p>
        </w:tc>
      </w:tr>
      <w:tr w:rsidR="008C76B7" w:rsidRPr="00EE5714" w14:paraId="553D05FF" w14:textId="77777777" w:rsidTr="00701518">
        <w:trPr>
          <w:trHeight w:val="300"/>
          <w:jc w:val="center"/>
        </w:trPr>
        <w:tc>
          <w:tcPr>
            <w:tcW w:w="120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764AC21"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81"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4C2C46DA"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59A7035E"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1045" w:type="dxa"/>
            <w:tcBorders>
              <w:top w:val="nil"/>
              <w:left w:val="nil"/>
              <w:bottom w:val="single" w:sz="4" w:space="0" w:color="auto"/>
              <w:right w:val="single" w:sz="4" w:space="0" w:color="auto"/>
            </w:tcBorders>
            <w:shd w:val="clear" w:color="auto" w:fill="auto"/>
            <w:vAlign w:val="center"/>
            <w:hideMark/>
          </w:tcPr>
          <w:p w14:paraId="773915BF"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91</w:t>
            </w:r>
          </w:p>
        </w:tc>
        <w:tc>
          <w:tcPr>
            <w:tcW w:w="725" w:type="dxa"/>
            <w:tcBorders>
              <w:top w:val="nil"/>
              <w:left w:val="nil"/>
              <w:bottom w:val="single" w:sz="4" w:space="0" w:color="auto"/>
              <w:right w:val="single" w:sz="4" w:space="0" w:color="auto"/>
            </w:tcBorders>
            <w:shd w:val="clear" w:color="auto" w:fill="auto"/>
            <w:vAlign w:val="center"/>
            <w:hideMark/>
          </w:tcPr>
          <w:p w14:paraId="6404301A"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207" w:type="dxa"/>
            <w:tcBorders>
              <w:top w:val="nil"/>
              <w:left w:val="nil"/>
              <w:bottom w:val="single" w:sz="4" w:space="0" w:color="auto"/>
              <w:right w:val="single" w:sz="4" w:space="0" w:color="auto"/>
            </w:tcBorders>
            <w:shd w:val="clear" w:color="auto" w:fill="auto"/>
            <w:vAlign w:val="center"/>
            <w:hideMark/>
          </w:tcPr>
          <w:p w14:paraId="0FB64F0F"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687,370</w:t>
            </w:r>
          </w:p>
        </w:tc>
        <w:tc>
          <w:tcPr>
            <w:tcW w:w="1144" w:type="dxa"/>
            <w:tcBorders>
              <w:top w:val="nil"/>
              <w:left w:val="nil"/>
              <w:bottom w:val="single" w:sz="4" w:space="0" w:color="auto"/>
              <w:right w:val="single" w:sz="4" w:space="0" w:color="auto"/>
            </w:tcBorders>
            <w:shd w:val="clear" w:color="auto" w:fill="auto"/>
            <w:vAlign w:val="center"/>
            <w:hideMark/>
          </w:tcPr>
          <w:p w14:paraId="60039E5B"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31" w:type="dxa"/>
            <w:tcBorders>
              <w:top w:val="nil"/>
              <w:left w:val="nil"/>
              <w:bottom w:val="single" w:sz="4" w:space="0" w:color="auto"/>
              <w:right w:val="single" w:sz="4" w:space="0" w:color="auto"/>
            </w:tcBorders>
            <w:shd w:val="clear" w:color="auto" w:fill="auto"/>
            <w:vAlign w:val="center"/>
            <w:hideMark/>
          </w:tcPr>
          <w:p w14:paraId="05DEF3D6"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65.7%</w:t>
            </w:r>
          </w:p>
        </w:tc>
      </w:tr>
      <w:tr w:rsidR="008C76B7" w:rsidRPr="00EE5714" w14:paraId="58E09A4B" w14:textId="77777777" w:rsidTr="00701518">
        <w:trPr>
          <w:trHeight w:val="57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211BFCC0"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115,250</w:t>
            </w:r>
          </w:p>
        </w:tc>
        <w:tc>
          <w:tcPr>
            <w:tcW w:w="827" w:type="dxa"/>
            <w:tcBorders>
              <w:top w:val="single" w:sz="4" w:space="0" w:color="auto"/>
              <w:left w:val="nil"/>
              <w:bottom w:val="single" w:sz="4" w:space="0" w:color="auto"/>
              <w:right w:val="single" w:sz="4" w:space="0" w:color="auto"/>
            </w:tcBorders>
            <w:shd w:val="clear" w:color="auto" w:fill="auto"/>
            <w:vAlign w:val="center"/>
            <w:hideMark/>
          </w:tcPr>
          <w:p w14:paraId="49BC27EB"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12.49%</w:t>
            </w:r>
          </w:p>
        </w:tc>
        <w:tc>
          <w:tcPr>
            <w:tcW w:w="2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5437DD"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03EFFCCB"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1045" w:type="dxa"/>
            <w:tcBorders>
              <w:top w:val="nil"/>
              <w:left w:val="nil"/>
              <w:bottom w:val="single" w:sz="4" w:space="0" w:color="auto"/>
              <w:right w:val="single" w:sz="4" w:space="0" w:color="auto"/>
            </w:tcBorders>
            <w:shd w:val="clear" w:color="auto" w:fill="auto"/>
            <w:vAlign w:val="center"/>
            <w:hideMark/>
          </w:tcPr>
          <w:p w14:paraId="28C1B39E"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5,455</w:t>
            </w:r>
          </w:p>
        </w:tc>
        <w:tc>
          <w:tcPr>
            <w:tcW w:w="725" w:type="dxa"/>
            <w:tcBorders>
              <w:top w:val="nil"/>
              <w:left w:val="nil"/>
              <w:bottom w:val="single" w:sz="4" w:space="0" w:color="auto"/>
              <w:right w:val="single" w:sz="4" w:space="0" w:color="auto"/>
            </w:tcBorders>
            <w:shd w:val="clear" w:color="auto" w:fill="auto"/>
            <w:vAlign w:val="center"/>
            <w:hideMark/>
          </w:tcPr>
          <w:p w14:paraId="2A146CE5"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207" w:type="dxa"/>
            <w:tcBorders>
              <w:top w:val="nil"/>
              <w:left w:val="nil"/>
              <w:bottom w:val="single" w:sz="4" w:space="0" w:color="auto"/>
              <w:right w:val="single" w:sz="4" w:space="0" w:color="auto"/>
            </w:tcBorders>
            <w:shd w:val="clear" w:color="auto" w:fill="auto"/>
            <w:vAlign w:val="center"/>
            <w:hideMark/>
          </w:tcPr>
          <w:p w14:paraId="6CA26561"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289,898</w:t>
            </w:r>
          </w:p>
        </w:tc>
        <w:tc>
          <w:tcPr>
            <w:tcW w:w="1144" w:type="dxa"/>
            <w:tcBorders>
              <w:top w:val="nil"/>
              <w:left w:val="nil"/>
              <w:bottom w:val="single" w:sz="4" w:space="0" w:color="auto"/>
              <w:right w:val="single" w:sz="4" w:space="0" w:color="auto"/>
            </w:tcBorders>
            <w:shd w:val="clear" w:color="auto" w:fill="auto"/>
            <w:vAlign w:val="center"/>
            <w:hideMark/>
          </w:tcPr>
          <w:p w14:paraId="2D18326D"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31" w:type="dxa"/>
            <w:tcBorders>
              <w:top w:val="nil"/>
              <w:left w:val="nil"/>
              <w:bottom w:val="single" w:sz="4" w:space="0" w:color="auto"/>
              <w:right w:val="single" w:sz="4" w:space="0" w:color="auto"/>
            </w:tcBorders>
            <w:shd w:val="clear" w:color="auto" w:fill="auto"/>
            <w:vAlign w:val="center"/>
            <w:hideMark/>
          </w:tcPr>
          <w:p w14:paraId="14534090" w14:textId="77777777" w:rsidR="008C76B7" w:rsidRPr="00EE5714" w:rsidRDefault="008C76B7" w:rsidP="006166C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45.8%</w:t>
            </w:r>
          </w:p>
        </w:tc>
      </w:tr>
      <w:tr w:rsidR="008C76B7" w:rsidRPr="00EE5714" w14:paraId="4A1A9B48" w14:textId="77777777" w:rsidTr="00701518">
        <w:trPr>
          <w:trHeight w:val="51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3B8C221D"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807,832</w:t>
            </w:r>
          </w:p>
        </w:tc>
        <w:tc>
          <w:tcPr>
            <w:tcW w:w="827" w:type="dxa"/>
            <w:tcBorders>
              <w:top w:val="nil"/>
              <w:left w:val="nil"/>
              <w:bottom w:val="single" w:sz="4" w:space="0" w:color="auto"/>
              <w:right w:val="single" w:sz="4" w:space="0" w:color="auto"/>
            </w:tcBorders>
            <w:shd w:val="clear" w:color="auto" w:fill="auto"/>
            <w:vAlign w:val="center"/>
            <w:hideMark/>
          </w:tcPr>
          <w:p w14:paraId="0A057779"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87.51%</w:t>
            </w:r>
          </w:p>
        </w:tc>
        <w:tc>
          <w:tcPr>
            <w:tcW w:w="22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C514A2"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39B53CC1"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1045" w:type="dxa"/>
            <w:tcBorders>
              <w:top w:val="nil"/>
              <w:left w:val="nil"/>
              <w:bottom w:val="single" w:sz="4" w:space="0" w:color="auto"/>
              <w:right w:val="single" w:sz="4" w:space="0" w:color="auto"/>
            </w:tcBorders>
            <w:shd w:val="clear" w:color="auto" w:fill="auto"/>
            <w:vAlign w:val="center"/>
            <w:hideMark/>
          </w:tcPr>
          <w:p w14:paraId="78E890E6"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2,552</w:t>
            </w:r>
          </w:p>
        </w:tc>
        <w:tc>
          <w:tcPr>
            <w:tcW w:w="725" w:type="dxa"/>
            <w:tcBorders>
              <w:top w:val="nil"/>
              <w:left w:val="nil"/>
              <w:bottom w:val="single" w:sz="4" w:space="0" w:color="auto"/>
              <w:right w:val="single" w:sz="4" w:space="0" w:color="auto"/>
            </w:tcBorders>
            <w:shd w:val="clear" w:color="auto" w:fill="auto"/>
            <w:vAlign w:val="center"/>
            <w:hideMark/>
          </w:tcPr>
          <w:p w14:paraId="0D0BD120"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207" w:type="dxa"/>
            <w:tcBorders>
              <w:top w:val="nil"/>
              <w:left w:val="nil"/>
              <w:bottom w:val="single" w:sz="4" w:space="0" w:color="auto"/>
              <w:right w:val="single" w:sz="4" w:space="0" w:color="auto"/>
            </w:tcBorders>
            <w:shd w:val="clear" w:color="auto" w:fill="auto"/>
            <w:vAlign w:val="center"/>
            <w:hideMark/>
          </w:tcPr>
          <w:p w14:paraId="19627EFC"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633,185</w:t>
            </w:r>
          </w:p>
        </w:tc>
        <w:tc>
          <w:tcPr>
            <w:tcW w:w="1144" w:type="dxa"/>
            <w:tcBorders>
              <w:top w:val="nil"/>
              <w:left w:val="nil"/>
              <w:bottom w:val="single" w:sz="4" w:space="0" w:color="auto"/>
              <w:right w:val="single" w:sz="4" w:space="0" w:color="auto"/>
            </w:tcBorders>
            <w:shd w:val="clear" w:color="auto" w:fill="auto"/>
            <w:vAlign w:val="center"/>
            <w:hideMark/>
          </w:tcPr>
          <w:p w14:paraId="72AE5286"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31" w:type="dxa"/>
            <w:tcBorders>
              <w:top w:val="nil"/>
              <w:left w:val="nil"/>
              <w:bottom w:val="single" w:sz="4" w:space="0" w:color="auto"/>
              <w:right w:val="single" w:sz="4" w:space="0" w:color="auto"/>
            </w:tcBorders>
            <w:shd w:val="clear" w:color="auto" w:fill="auto"/>
            <w:vAlign w:val="center"/>
            <w:hideMark/>
          </w:tcPr>
          <w:p w14:paraId="24A0DBBD" w14:textId="77777777" w:rsidR="008C76B7" w:rsidRPr="00EE5714" w:rsidRDefault="008C76B7" w:rsidP="006166C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54.2%</w:t>
            </w:r>
          </w:p>
        </w:tc>
      </w:tr>
      <w:tr w:rsidR="008C76B7" w:rsidRPr="00EE5714" w14:paraId="0618A0EB" w14:textId="77777777" w:rsidTr="00701518">
        <w:trPr>
          <w:trHeight w:val="300"/>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79C3E6C7" w14:textId="77777777" w:rsidR="008C76B7" w:rsidRPr="00EE5714" w:rsidRDefault="008C76B7" w:rsidP="008C76B7">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923,082</w:t>
            </w:r>
          </w:p>
        </w:tc>
        <w:tc>
          <w:tcPr>
            <w:tcW w:w="308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B796763" w14:textId="77777777" w:rsidR="008C76B7" w:rsidRPr="00EE5714" w:rsidRDefault="008C76B7" w:rsidP="008C76B7">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2B802DFD" w14:textId="77777777" w:rsidR="008C76B7" w:rsidRPr="00EE5714" w:rsidRDefault="008C76B7" w:rsidP="008C76B7">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45" w:type="dxa"/>
            <w:tcBorders>
              <w:top w:val="nil"/>
              <w:left w:val="nil"/>
              <w:bottom w:val="single" w:sz="4" w:space="0" w:color="auto"/>
              <w:right w:val="single" w:sz="4" w:space="0" w:color="auto"/>
            </w:tcBorders>
            <w:shd w:val="clear" w:color="auto" w:fill="auto"/>
            <w:vAlign w:val="center"/>
            <w:hideMark/>
          </w:tcPr>
          <w:p w14:paraId="6F710179" w14:textId="77777777" w:rsidR="008C76B7" w:rsidRPr="00EE5714" w:rsidRDefault="008C76B7" w:rsidP="008C76B7">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923,084</w:t>
            </w:r>
          </w:p>
        </w:tc>
        <w:tc>
          <w:tcPr>
            <w:tcW w:w="725" w:type="dxa"/>
            <w:tcBorders>
              <w:top w:val="nil"/>
              <w:left w:val="nil"/>
              <w:bottom w:val="single" w:sz="4" w:space="0" w:color="auto"/>
              <w:right w:val="single" w:sz="4" w:space="0" w:color="auto"/>
            </w:tcBorders>
            <w:shd w:val="clear" w:color="auto" w:fill="auto"/>
            <w:vAlign w:val="center"/>
            <w:hideMark/>
          </w:tcPr>
          <w:p w14:paraId="5D52727F" w14:textId="77777777" w:rsidR="008C76B7" w:rsidRPr="00EE5714" w:rsidRDefault="008C76B7" w:rsidP="008C76B7">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207" w:type="dxa"/>
            <w:tcBorders>
              <w:top w:val="nil"/>
              <w:left w:val="nil"/>
              <w:bottom w:val="single" w:sz="4" w:space="0" w:color="auto"/>
              <w:right w:val="single" w:sz="4" w:space="0" w:color="auto"/>
            </w:tcBorders>
            <w:shd w:val="clear" w:color="auto" w:fill="auto"/>
            <w:vAlign w:val="center"/>
            <w:hideMark/>
          </w:tcPr>
          <w:p w14:paraId="3EFF4F93" w14:textId="77777777" w:rsidR="008C76B7" w:rsidRPr="00EE5714" w:rsidRDefault="008C76B7" w:rsidP="008C76B7">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923,083</w:t>
            </w:r>
          </w:p>
        </w:tc>
        <w:tc>
          <w:tcPr>
            <w:tcW w:w="18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9C8148" w14:textId="77777777" w:rsidR="008C76B7" w:rsidRPr="00EE5714" w:rsidRDefault="008C76B7" w:rsidP="008C76B7">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79E21136" w14:textId="77777777" w:rsidR="00701518" w:rsidRPr="00EE5714" w:rsidRDefault="00701518" w:rsidP="00701518">
      <w:pPr>
        <w:spacing w:after="0" w:line="240" w:lineRule="auto"/>
        <w:rPr>
          <w:rFonts w:ascii="Times New Roman" w:hAnsi="Times New Roman" w:cs="Times New Roman"/>
          <w:sz w:val="26"/>
          <w:szCs w:val="26"/>
        </w:rPr>
      </w:pPr>
    </w:p>
    <w:p w14:paraId="70BB4D82" w14:textId="77777777" w:rsidR="00701518" w:rsidRPr="00EE5714" w:rsidRDefault="00701518" w:rsidP="00701518">
      <w:pPr>
        <w:spacing w:after="0" w:line="240" w:lineRule="auto"/>
        <w:rPr>
          <w:rFonts w:ascii="Times New Roman" w:hAnsi="Times New Roman" w:cs="Times New Roman"/>
          <w:sz w:val="26"/>
          <w:szCs w:val="26"/>
        </w:rPr>
      </w:pPr>
    </w:p>
    <w:p w14:paraId="5C996F08" w14:textId="77777777" w:rsidR="008C76B7" w:rsidRPr="00EE5714" w:rsidRDefault="007C2A53" w:rsidP="00661388">
      <w:pPr>
        <w:pStyle w:val="NoSpacing"/>
        <w:keepNext/>
      </w:pPr>
      <w:r w:rsidRPr="00EE5714">
        <w:lastRenderedPageBreak/>
        <w:t>Appendix 1.</w:t>
      </w:r>
      <w:r w:rsidR="00AB1895" w:rsidRPr="00EE5714">
        <w:t>A.4</w:t>
      </w:r>
      <w:r w:rsidRPr="00EE5714">
        <w:t xml:space="preserve">: </w:t>
      </w:r>
      <w:r w:rsidRPr="00EE5714">
        <w:rPr>
          <w:b/>
        </w:rPr>
        <w:t>Peoples Equitable Service Territory Demographic Profile</w:t>
      </w:r>
    </w:p>
    <w:tbl>
      <w:tblPr>
        <w:tblW w:w="10557" w:type="dxa"/>
        <w:jc w:val="center"/>
        <w:tblLook w:val="04A0" w:firstRow="1" w:lastRow="0" w:firstColumn="1" w:lastColumn="0" w:noHBand="0" w:noVBand="1"/>
      </w:tblPr>
      <w:tblGrid>
        <w:gridCol w:w="1189"/>
        <w:gridCol w:w="818"/>
        <w:gridCol w:w="1109"/>
        <w:gridCol w:w="1109"/>
        <w:gridCol w:w="1546"/>
        <w:gridCol w:w="1029"/>
        <w:gridCol w:w="714"/>
        <w:gridCol w:w="1197"/>
        <w:gridCol w:w="1126"/>
        <w:gridCol w:w="720"/>
      </w:tblGrid>
      <w:tr w:rsidR="006D1903" w:rsidRPr="00EE5714" w14:paraId="351EFEC6" w14:textId="77777777" w:rsidTr="00701518">
        <w:trPr>
          <w:trHeight w:val="712"/>
          <w:jc w:val="center"/>
        </w:trPr>
        <w:tc>
          <w:tcPr>
            <w:tcW w:w="118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5457B06"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EQT</w:t>
            </w:r>
          </w:p>
        </w:tc>
        <w:tc>
          <w:tcPr>
            <w:tcW w:w="1927" w:type="dxa"/>
            <w:gridSpan w:val="2"/>
            <w:tcBorders>
              <w:top w:val="single" w:sz="4" w:space="0" w:color="auto"/>
              <w:left w:val="nil"/>
              <w:bottom w:val="single" w:sz="4" w:space="0" w:color="auto"/>
              <w:right w:val="single" w:sz="4" w:space="0" w:color="auto"/>
            </w:tcBorders>
            <w:shd w:val="clear" w:color="000000" w:fill="E7E6E6"/>
            <w:vAlign w:val="center"/>
            <w:hideMark/>
          </w:tcPr>
          <w:p w14:paraId="558D44FC"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109"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79C4D0B"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289" w:type="dxa"/>
            <w:gridSpan w:val="3"/>
            <w:tcBorders>
              <w:top w:val="single" w:sz="4" w:space="0" w:color="auto"/>
              <w:left w:val="nil"/>
              <w:bottom w:val="single" w:sz="4" w:space="0" w:color="auto"/>
              <w:right w:val="single" w:sz="4" w:space="0" w:color="auto"/>
            </w:tcBorders>
            <w:shd w:val="clear" w:color="000000" w:fill="E7E6E6"/>
            <w:vAlign w:val="center"/>
            <w:hideMark/>
          </w:tcPr>
          <w:p w14:paraId="32445C24"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043" w:type="dxa"/>
            <w:gridSpan w:val="3"/>
            <w:tcBorders>
              <w:top w:val="single" w:sz="4" w:space="0" w:color="auto"/>
              <w:left w:val="nil"/>
              <w:bottom w:val="single" w:sz="4" w:space="0" w:color="auto"/>
              <w:right w:val="single" w:sz="4" w:space="0" w:color="auto"/>
            </w:tcBorders>
            <w:shd w:val="clear" w:color="000000" w:fill="E7E6E6"/>
            <w:vAlign w:val="center"/>
            <w:hideMark/>
          </w:tcPr>
          <w:p w14:paraId="038F8CF3"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6D1903" w:rsidRPr="00EE5714" w14:paraId="30F19C9A" w14:textId="77777777" w:rsidTr="00701518">
        <w:trPr>
          <w:trHeight w:val="563"/>
          <w:jc w:val="center"/>
        </w:trPr>
        <w:tc>
          <w:tcPr>
            <w:tcW w:w="1189" w:type="dxa"/>
            <w:tcBorders>
              <w:top w:val="nil"/>
              <w:left w:val="single" w:sz="4" w:space="0" w:color="auto"/>
              <w:bottom w:val="single" w:sz="4" w:space="0" w:color="auto"/>
              <w:right w:val="single" w:sz="4" w:space="0" w:color="auto"/>
            </w:tcBorders>
            <w:shd w:val="clear" w:color="000000" w:fill="E7E6E6"/>
            <w:vAlign w:val="center"/>
            <w:hideMark/>
          </w:tcPr>
          <w:p w14:paraId="0120CA20"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60.00%</w:t>
            </w:r>
          </w:p>
        </w:tc>
        <w:tc>
          <w:tcPr>
            <w:tcW w:w="818" w:type="dxa"/>
            <w:tcBorders>
              <w:top w:val="nil"/>
              <w:left w:val="nil"/>
              <w:bottom w:val="single" w:sz="4" w:space="0" w:color="auto"/>
              <w:right w:val="single" w:sz="4" w:space="0" w:color="auto"/>
            </w:tcBorders>
            <w:shd w:val="clear" w:color="000000" w:fill="E7E6E6"/>
            <w:vAlign w:val="center"/>
            <w:hideMark/>
          </w:tcPr>
          <w:p w14:paraId="61F6D915"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109" w:type="dxa"/>
            <w:tcBorders>
              <w:top w:val="nil"/>
              <w:left w:val="nil"/>
              <w:bottom w:val="single" w:sz="4" w:space="0" w:color="auto"/>
              <w:right w:val="single" w:sz="4" w:space="0" w:color="auto"/>
            </w:tcBorders>
            <w:shd w:val="clear" w:color="000000" w:fill="E7E6E6"/>
            <w:vAlign w:val="center"/>
            <w:hideMark/>
          </w:tcPr>
          <w:p w14:paraId="55F2E1F5"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61D34573" w14:textId="77777777" w:rsidR="006D1903" w:rsidRPr="00EE5714" w:rsidRDefault="006D1903" w:rsidP="00F0682D">
            <w:pPr>
              <w:keepNext/>
              <w:spacing w:after="0" w:line="240" w:lineRule="auto"/>
              <w:rPr>
                <w:rFonts w:ascii="Calibri" w:eastAsia="Times New Roman" w:hAnsi="Calibri" w:cs="Calibri"/>
                <w:b/>
                <w:bCs/>
                <w:color w:val="000000"/>
                <w:sz w:val="20"/>
                <w:szCs w:val="20"/>
              </w:rPr>
            </w:pPr>
          </w:p>
        </w:tc>
        <w:tc>
          <w:tcPr>
            <w:tcW w:w="2575" w:type="dxa"/>
            <w:gridSpan w:val="2"/>
            <w:tcBorders>
              <w:top w:val="single" w:sz="4" w:space="0" w:color="auto"/>
              <w:left w:val="nil"/>
              <w:bottom w:val="single" w:sz="4" w:space="0" w:color="auto"/>
              <w:right w:val="single" w:sz="4" w:space="0" w:color="auto"/>
            </w:tcBorders>
            <w:shd w:val="clear" w:color="000000" w:fill="E7E6E6"/>
            <w:vAlign w:val="center"/>
            <w:hideMark/>
          </w:tcPr>
          <w:p w14:paraId="011C37A1"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14" w:type="dxa"/>
            <w:tcBorders>
              <w:top w:val="nil"/>
              <w:left w:val="nil"/>
              <w:bottom w:val="single" w:sz="4" w:space="0" w:color="auto"/>
              <w:right w:val="single" w:sz="4" w:space="0" w:color="auto"/>
            </w:tcBorders>
            <w:shd w:val="clear" w:color="000000" w:fill="E7E6E6"/>
            <w:vAlign w:val="center"/>
            <w:hideMark/>
          </w:tcPr>
          <w:p w14:paraId="328ECFB7"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323" w:type="dxa"/>
            <w:gridSpan w:val="2"/>
            <w:tcBorders>
              <w:top w:val="single" w:sz="4" w:space="0" w:color="auto"/>
              <w:left w:val="nil"/>
              <w:bottom w:val="single" w:sz="4" w:space="0" w:color="auto"/>
              <w:right w:val="single" w:sz="4" w:space="0" w:color="auto"/>
            </w:tcBorders>
            <w:shd w:val="clear" w:color="000000" w:fill="E7E6E6"/>
            <w:vAlign w:val="center"/>
            <w:hideMark/>
          </w:tcPr>
          <w:p w14:paraId="2BC36A1D"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20" w:type="dxa"/>
            <w:tcBorders>
              <w:top w:val="nil"/>
              <w:left w:val="nil"/>
              <w:bottom w:val="single" w:sz="4" w:space="0" w:color="auto"/>
              <w:right w:val="single" w:sz="4" w:space="0" w:color="auto"/>
            </w:tcBorders>
            <w:shd w:val="clear" w:color="000000" w:fill="E7E6E6"/>
            <w:vAlign w:val="center"/>
            <w:hideMark/>
          </w:tcPr>
          <w:p w14:paraId="02CA9638"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6D1903" w:rsidRPr="00EE5714" w14:paraId="1A86FFD4" w14:textId="77777777" w:rsidTr="00701518">
        <w:trPr>
          <w:trHeight w:val="296"/>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0118F42"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191,872</w:t>
            </w:r>
          </w:p>
        </w:tc>
        <w:tc>
          <w:tcPr>
            <w:tcW w:w="818" w:type="dxa"/>
            <w:tcBorders>
              <w:top w:val="nil"/>
              <w:left w:val="nil"/>
              <w:bottom w:val="single" w:sz="4" w:space="0" w:color="auto"/>
              <w:right w:val="single" w:sz="4" w:space="0" w:color="auto"/>
            </w:tcBorders>
            <w:shd w:val="clear" w:color="auto" w:fill="auto"/>
            <w:vAlign w:val="center"/>
            <w:hideMark/>
          </w:tcPr>
          <w:p w14:paraId="7CB1BED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29.2%</w:t>
            </w:r>
          </w:p>
        </w:tc>
        <w:tc>
          <w:tcPr>
            <w:tcW w:w="1109" w:type="dxa"/>
            <w:tcBorders>
              <w:top w:val="nil"/>
              <w:left w:val="nil"/>
              <w:bottom w:val="single" w:sz="4" w:space="0" w:color="auto"/>
              <w:right w:val="single" w:sz="4" w:space="0" w:color="auto"/>
            </w:tcBorders>
            <w:shd w:val="clear" w:color="auto" w:fill="auto"/>
            <w:vAlign w:val="center"/>
            <w:hideMark/>
          </w:tcPr>
          <w:p w14:paraId="49F40B6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1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65AC68"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0193EAA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1029" w:type="dxa"/>
            <w:tcBorders>
              <w:top w:val="nil"/>
              <w:left w:val="nil"/>
              <w:bottom w:val="single" w:sz="4" w:space="0" w:color="auto"/>
              <w:right w:val="single" w:sz="4" w:space="0" w:color="auto"/>
            </w:tcBorders>
            <w:shd w:val="clear" w:color="auto" w:fill="auto"/>
            <w:vAlign w:val="center"/>
            <w:hideMark/>
          </w:tcPr>
          <w:p w14:paraId="229DA61E"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84,109</w:t>
            </w:r>
          </w:p>
        </w:tc>
        <w:tc>
          <w:tcPr>
            <w:tcW w:w="714" w:type="dxa"/>
            <w:tcBorders>
              <w:top w:val="nil"/>
              <w:left w:val="nil"/>
              <w:bottom w:val="single" w:sz="4" w:space="0" w:color="auto"/>
              <w:right w:val="single" w:sz="4" w:space="0" w:color="auto"/>
            </w:tcBorders>
            <w:shd w:val="clear" w:color="auto" w:fill="auto"/>
            <w:vAlign w:val="center"/>
            <w:hideMark/>
          </w:tcPr>
          <w:p w14:paraId="14FA8F2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w:t>
            </w:r>
          </w:p>
        </w:tc>
        <w:tc>
          <w:tcPr>
            <w:tcW w:w="1197" w:type="dxa"/>
            <w:tcBorders>
              <w:top w:val="nil"/>
              <w:left w:val="nil"/>
              <w:bottom w:val="single" w:sz="4" w:space="0" w:color="auto"/>
              <w:right w:val="single" w:sz="4" w:space="0" w:color="auto"/>
            </w:tcBorders>
            <w:shd w:val="clear" w:color="auto" w:fill="auto"/>
            <w:vAlign w:val="center"/>
            <w:hideMark/>
          </w:tcPr>
          <w:p w14:paraId="6B520692"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126" w:type="dxa"/>
            <w:tcBorders>
              <w:top w:val="nil"/>
              <w:left w:val="nil"/>
              <w:bottom w:val="single" w:sz="4" w:space="0" w:color="auto"/>
              <w:right w:val="single" w:sz="4" w:space="0" w:color="auto"/>
            </w:tcBorders>
            <w:shd w:val="clear" w:color="auto" w:fill="auto"/>
            <w:vAlign w:val="center"/>
            <w:hideMark/>
          </w:tcPr>
          <w:p w14:paraId="44D2F0D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76,358</w:t>
            </w:r>
          </w:p>
        </w:tc>
        <w:tc>
          <w:tcPr>
            <w:tcW w:w="720" w:type="dxa"/>
            <w:tcBorders>
              <w:top w:val="nil"/>
              <w:left w:val="nil"/>
              <w:bottom w:val="single" w:sz="4" w:space="0" w:color="auto"/>
              <w:right w:val="single" w:sz="4" w:space="0" w:color="auto"/>
            </w:tcBorders>
            <w:shd w:val="clear" w:color="auto" w:fill="auto"/>
            <w:vAlign w:val="center"/>
            <w:hideMark/>
          </w:tcPr>
          <w:p w14:paraId="6B6EF3A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11.4%</w:t>
            </w:r>
          </w:p>
        </w:tc>
      </w:tr>
      <w:tr w:rsidR="006D1903" w:rsidRPr="00EE5714" w14:paraId="32644633" w14:textId="77777777" w:rsidTr="00701518">
        <w:trPr>
          <w:trHeight w:val="296"/>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81122AF"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92,921</w:t>
            </w:r>
          </w:p>
        </w:tc>
        <w:tc>
          <w:tcPr>
            <w:tcW w:w="818" w:type="dxa"/>
            <w:tcBorders>
              <w:top w:val="nil"/>
              <w:left w:val="nil"/>
              <w:bottom w:val="single" w:sz="4" w:space="0" w:color="auto"/>
              <w:right w:val="single" w:sz="4" w:space="0" w:color="auto"/>
            </w:tcBorders>
            <w:shd w:val="clear" w:color="auto" w:fill="auto"/>
            <w:vAlign w:val="center"/>
            <w:hideMark/>
          </w:tcPr>
          <w:p w14:paraId="546C7607"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14.1%</w:t>
            </w:r>
          </w:p>
        </w:tc>
        <w:tc>
          <w:tcPr>
            <w:tcW w:w="1109" w:type="dxa"/>
            <w:tcBorders>
              <w:top w:val="nil"/>
              <w:left w:val="nil"/>
              <w:bottom w:val="single" w:sz="4" w:space="0" w:color="auto"/>
              <w:right w:val="single" w:sz="4" w:space="0" w:color="auto"/>
            </w:tcBorders>
            <w:shd w:val="clear" w:color="auto" w:fill="auto"/>
            <w:vAlign w:val="center"/>
            <w:hideMark/>
          </w:tcPr>
          <w:p w14:paraId="5FF8DE4E"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69754886" w14:textId="77777777" w:rsidR="006D1903" w:rsidRPr="00EE5714" w:rsidRDefault="006D1903" w:rsidP="00F0682D">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36C35FD"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1029" w:type="dxa"/>
            <w:tcBorders>
              <w:top w:val="nil"/>
              <w:left w:val="nil"/>
              <w:bottom w:val="single" w:sz="4" w:space="0" w:color="auto"/>
              <w:right w:val="single" w:sz="4" w:space="0" w:color="auto"/>
            </w:tcBorders>
            <w:shd w:val="clear" w:color="auto" w:fill="auto"/>
            <w:vAlign w:val="center"/>
            <w:hideMark/>
          </w:tcPr>
          <w:p w14:paraId="796007AB"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100,023</w:t>
            </w:r>
          </w:p>
        </w:tc>
        <w:tc>
          <w:tcPr>
            <w:tcW w:w="714" w:type="dxa"/>
            <w:tcBorders>
              <w:top w:val="nil"/>
              <w:left w:val="nil"/>
              <w:bottom w:val="single" w:sz="4" w:space="0" w:color="auto"/>
              <w:right w:val="single" w:sz="4" w:space="0" w:color="auto"/>
            </w:tcBorders>
            <w:shd w:val="clear" w:color="auto" w:fill="auto"/>
            <w:vAlign w:val="center"/>
            <w:hideMark/>
          </w:tcPr>
          <w:p w14:paraId="74132660"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6.6%</w:t>
            </w:r>
          </w:p>
        </w:tc>
        <w:tc>
          <w:tcPr>
            <w:tcW w:w="1197" w:type="dxa"/>
            <w:tcBorders>
              <w:top w:val="nil"/>
              <w:left w:val="nil"/>
              <w:bottom w:val="single" w:sz="4" w:space="0" w:color="auto"/>
              <w:right w:val="single" w:sz="4" w:space="0" w:color="auto"/>
            </w:tcBorders>
            <w:shd w:val="clear" w:color="auto" w:fill="auto"/>
            <w:vAlign w:val="center"/>
            <w:hideMark/>
          </w:tcPr>
          <w:p w14:paraId="1DB42970"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126" w:type="dxa"/>
            <w:tcBorders>
              <w:top w:val="nil"/>
              <w:left w:val="nil"/>
              <w:bottom w:val="single" w:sz="4" w:space="0" w:color="auto"/>
              <w:right w:val="single" w:sz="4" w:space="0" w:color="auto"/>
            </w:tcBorders>
            <w:shd w:val="clear" w:color="auto" w:fill="auto"/>
            <w:vAlign w:val="center"/>
            <w:hideMark/>
          </w:tcPr>
          <w:p w14:paraId="23A66B35"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69,354</w:t>
            </w:r>
          </w:p>
        </w:tc>
        <w:tc>
          <w:tcPr>
            <w:tcW w:w="720" w:type="dxa"/>
            <w:tcBorders>
              <w:top w:val="nil"/>
              <w:left w:val="nil"/>
              <w:bottom w:val="single" w:sz="4" w:space="0" w:color="auto"/>
              <w:right w:val="single" w:sz="4" w:space="0" w:color="auto"/>
            </w:tcBorders>
            <w:shd w:val="clear" w:color="auto" w:fill="auto"/>
            <w:vAlign w:val="center"/>
            <w:hideMark/>
          </w:tcPr>
          <w:p w14:paraId="426B889A"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10.3%</w:t>
            </w:r>
          </w:p>
        </w:tc>
      </w:tr>
      <w:tr w:rsidR="006D1903" w:rsidRPr="00EE5714" w14:paraId="3CB88269" w14:textId="77777777" w:rsidTr="00701518">
        <w:trPr>
          <w:trHeight w:val="296"/>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BE5EC97"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71,876</w:t>
            </w:r>
          </w:p>
        </w:tc>
        <w:tc>
          <w:tcPr>
            <w:tcW w:w="818" w:type="dxa"/>
            <w:tcBorders>
              <w:top w:val="nil"/>
              <w:left w:val="nil"/>
              <w:bottom w:val="single" w:sz="4" w:space="0" w:color="auto"/>
              <w:right w:val="single" w:sz="4" w:space="0" w:color="auto"/>
            </w:tcBorders>
            <w:shd w:val="clear" w:color="auto" w:fill="auto"/>
            <w:vAlign w:val="center"/>
            <w:hideMark/>
          </w:tcPr>
          <w:p w14:paraId="4EB2436F"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10.9%</w:t>
            </w:r>
          </w:p>
        </w:tc>
        <w:tc>
          <w:tcPr>
            <w:tcW w:w="1109" w:type="dxa"/>
            <w:tcBorders>
              <w:top w:val="nil"/>
              <w:left w:val="nil"/>
              <w:bottom w:val="single" w:sz="4" w:space="0" w:color="auto"/>
              <w:right w:val="single" w:sz="4" w:space="0" w:color="auto"/>
            </w:tcBorders>
            <w:shd w:val="clear" w:color="auto" w:fill="auto"/>
            <w:vAlign w:val="center"/>
            <w:hideMark/>
          </w:tcPr>
          <w:p w14:paraId="27D1C65A"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35B33A0C" w14:textId="77777777" w:rsidR="006D1903" w:rsidRPr="00EE5714" w:rsidRDefault="006D1903" w:rsidP="00F0682D">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37C69F8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1029" w:type="dxa"/>
            <w:tcBorders>
              <w:top w:val="nil"/>
              <w:left w:val="nil"/>
              <w:bottom w:val="single" w:sz="4" w:space="0" w:color="auto"/>
              <w:right w:val="single" w:sz="4" w:space="0" w:color="auto"/>
            </w:tcBorders>
            <w:shd w:val="clear" w:color="auto" w:fill="auto"/>
            <w:vAlign w:val="center"/>
            <w:hideMark/>
          </w:tcPr>
          <w:p w14:paraId="59E398BF"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52,672</w:t>
            </w:r>
          </w:p>
        </w:tc>
        <w:tc>
          <w:tcPr>
            <w:tcW w:w="714" w:type="dxa"/>
            <w:tcBorders>
              <w:top w:val="nil"/>
              <w:left w:val="nil"/>
              <w:bottom w:val="single" w:sz="4" w:space="0" w:color="auto"/>
              <w:right w:val="single" w:sz="4" w:space="0" w:color="auto"/>
            </w:tcBorders>
            <w:shd w:val="clear" w:color="auto" w:fill="auto"/>
            <w:vAlign w:val="center"/>
            <w:hideMark/>
          </w:tcPr>
          <w:p w14:paraId="0B67BDE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w:t>
            </w:r>
          </w:p>
        </w:tc>
        <w:tc>
          <w:tcPr>
            <w:tcW w:w="1197" w:type="dxa"/>
            <w:tcBorders>
              <w:top w:val="nil"/>
              <w:left w:val="nil"/>
              <w:bottom w:val="single" w:sz="4" w:space="0" w:color="auto"/>
              <w:right w:val="single" w:sz="4" w:space="0" w:color="auto"/>
            </w:tcBorders>
            <w:shd w:val="clear" w:color="auto" w:fill="auto"/>
            <w:vAlign w:val="center"/>
            <w:hideMark/>
          </w:tcPr>
          <w:p w14:paraId="25EC99E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126" w:type="dxa"/>
            <w:tcBorders>
              <w:top w:val="nil"/>
              <w:left w:val="nil"/>
              <w:bottom w:val="single" w:sz="4" w:space="0" w:color="auto"/>
              <w:right w:val="single" w:sz="4" w:space="0" w:color="auto"/>
            </w:tcBorders>
            <w:shd w:val="clear" w:color="auto" w:fill="auto"/>
            <w:vAlign w:val="center"/>
            <w:hideMark/>
          </w:tcPr>
          <w:p w14:paraId="00D86CF0"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63,283</w:t>
            </w:r>
          </w:p>
        </w:tc>
        <w:tc>
          <w:tcPr>
            <w:tcW w:w="720" w:type="dxa"/>
            <w:tcBorders>
              <w:top w:val="nil"/>
              <w:left w:val="nil"/>
              <w:bottom w:val="single" w:sz="4" w:space="0" w:color="auto"/>
              <w:right w:val="single" w:sz="4" w:space="0" w:color="auto"/>
            </w:tcBorders>
            <w:shd w:val="clear" w:color="auto" w:fill="auto"/>
            <w:vAlign w:val="center"/>
            <w:hideMark/>
          </w:tcPr>
          <w:p w14:paraId="09D7F401"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9.4%</w:t>
            </w:r>
          </w:p>
        </w:tc>
      </w:tr>
      <w:tr w:rsidR="006D1903" w:rsidRPr="00EE5714" w14:paraId="7EB2A78C" w14:textId="77777777" w:rsidTr="00701518">
        <w:trPr>
          <w:trHeight w:val="296"/>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0D6FD665"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26,640</w:t>
            </w:r>
          </w:p>
        </w:tc>
        <w:tc>
          <w:tcPr>
            <w:tcW w:w="818" w:type="dxa"/>
            <w:tcBorders>
              <w:top w:val="nil"/>
              <w:left w:val="nil"/>
              <w:bottom w:val="single" w:sz="4" w:space="0" w:color="auto"/>
              <w:right w:val="single" w:sz="4" w:space="0" w:color="auto"/>
            </w:tcBorders>
            <w:shd w:val="clear" w:color="auto" w:fill="auto"/>
            <w:vAlign w:val="center"/>
            <w:hideMark/>
          </w:tcPr>
          <w:p w14:paraId="16808D3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4.0%</w:t>
            </w:r>
          </w:p>
        </w:tc>
        <w:tc>
          <w:tcPr>
            <w:tcW w:w="1109" w:type="dxa"/>
            <w:tcBorders>
              <w:top w:val="nil"/>
              <w:left w:val="nil"/>
              <w:bottom w:val="single" w:sz="4" w:space="0" w:color="auto"/>
              <w:right w:val="single" w:sz="4" w:space="0" w:color="auto"/>
            </w:tcBorders>
            <w:shd w:val="clear" w:color="auto" w:fill="auto"/>
            <w:vAlign w:val="center"/>
            <w:hideMark/>
          </w:tcPr>
          <w:p w14:paraId="5CB5B352"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41AD29CE" w14:textId="77777777" w:rsidR="006D1903" w:rsidRPr="00EE5714" w:rsidRDefault="006D1903" w:rsidP="00F0682D">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2B29959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1029" w:type="dxa"/>
            <w:tcBorders>
              <w:top w:val="nil"/>
              <w:left w:val="nil"/>
              <w:bottom w:val="single" w:sz="4" w:space="0" w:color="auto"/>
              <w:right w:val="single" w:sz="4" w:space="0" w:color="auto"/>
            </w:tcBorders>
            <w:shd w:val="clear" w:color="auto" w:fill="auto"/>
            <w:vAlign w:val="center"/>
            <w:hideMark/>
          </w:tcPr>
          <w:p w14:paraId="755C557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56,022</w:t>
            </w:r>
          </w:p>
        </w:tc>
        <w:tc>
          <w:tcPr>
            <w:tcW w:w="714" w:type="dxa"/>
            <w:tcBorders>
              <w:top w:val="nil"/>
              <w:left w:val="nil"/>
              <w:bottom w:val="single" w:sz="4" w:space="0" w:color="auto"/>
              <w:right w:val="single" w:sz="4" w:space="0" w:color="auto"/>
            </w:tcBorders>
            <w:shd w:val="clear" w:color="auto" w:fill="auto"/>
            <w:vAlign w:val="center"/>
            <w:hideMark/>
          </w:tcPr>
          <w:p w14:paraId="7248668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3.7%</w:t>
            </w:r>
          </w:p>
        </w:tc>
        <w:tc>
          <w:tcPr>
            <w:tcW w:w="1197" w:type="dxa"/>
            <w:tcBorders>
              <w:top w:val="nil"/>
              <w:left w:val="nil"/>
              <w:bottom w:val="single" w:sz="4" w:space="0" w:color="auto"/>
              <w:right w:val="single" w:sz="4" w:space="0" w:color="auto"/>
            </w:tcBorders>
            <w:shd w:val="clear" w:color="auto" w:fill="auto"/>
            <w:vAlign w:val="center"/>
            <w:hideMark/>
          </w:tcPr>
          <w:p w14:paraId="5E91A227"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126" w:type="dxa"/>
            <w:tcBorders>
              <w:top w:val="nil"/>
              <w:left w:val="nil"/>
              <w:bottom w:val="single" w:sz="4" w:space="0" w:color="auto"/>
              <w:right w:val="single" w:sz="4" w:space="0" w:color="auto"/>
            </w:tcBorders>
            <w:shd w:val="clear" w:color="auto" w:fill="auto"/>
            <w:vAlign w:val="center"/>
            <w:hideMark/>
          </w:tcPr>
          <w:p w14:paraId="1406A808"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84,300</w:t>
            </w:r>
          </w:p>
        </w:tc>
        <w:tc>
          <w:tcPr>
            <w:tcW w:w="720" w:type="dxa"/>
            <w:tcBorders>
              <w:top w:val="nil"/>
              <w:left w:val="nil"/>
              <w:bottom w:val="single" w:sz="4" w:space="0" w:color="auto"/>
              <w:right w:val="single" w:sz="4" w:space="0" w:color="auto"/>
            </w:tcBorders>
            <w:shd w:val="clear" w:color="auto" w:fill="auto"/>
            <w:vAlign w:val="center"/>
            <w:hideMark/>
          </w:tcPr>
          <w:p w14:paraId="5E690A07"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w:t>
            </w:r>
          </w:p>
        </w:tc>
      </w:tr>
      <w:tr w:rsidR="006D1903" w:rsidRPr="00EE5714" w14:paraId="2453AC55" w14:textId="77777777" w:rsidTr="00701518">
        <w:trPr>
          <w:trHeight w:val="296"/>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6D2B37A"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8,310</w:t>
            </w:r>
          </w:p>
        </w:tc>
        <w:tc>
          <w:tcPr>
            <w:tcW w:w="818" w:type="dxa"/>
            <w:tcBorders>
              <w:top w:val="nil"/>
              <w:left w:val="nil"/>
              <w:bottom w:val="single" w:sz="4" w:space="0" w:color="auto"/>
              <w:right w:val="single" w:sz="4" w:space="0" w:color="auto"/>
            </w:tcBorders>
            <w:shd w:val="clear" w:color="auto" w:fill="auto"/>
            <w:vAlign w:val="center"/>
            <w:hideMark/>
          </w:tcPr>
          <w:p w14:paraId="7C3C0E7B"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w:t>
            </w:r>
          </w:p>
        </w:tc>
        <w:tc>
          <w:tcPr>
            <w:tcW w:w="1109" w:type="dxa"/>
            <w:tcBorders>
              <w:top w:val="nil"/>
              <w:left w:val="nil"/>
              <w:bottom w:val="single" w:sz="4" w:space="0" w:color="auto"/>
              <w:right w:val="single" w:sz="4" w:space="0" w:color="auto"/>
            </w:tcBorders>
            <w:shd w:val="clear" w:color="auto" w:fill="auto"/>
            <w:vAlign w:val="center"/>
            <w:hideMark/>
          </w:tcPr>
          <w:p w14:paraId="2704899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741FE223" w14:textId="77777777" w:rsidR="006D1903" w:rsidRPr="00EE5714" w:rsidRDefault="006D1903" w:rsidP="00F0682D">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063348F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1029" w:type="dxa"/>
            <w:tcBorders>
              <w:top w:val="nil"/>
              <w:left w:val="nil"/>
              <w:bottom w:val="single" w:sz="4" w:space="0" w:color="auto"/>
              <w:right w:val="single" w:sz="4" w:space="0" w:color="auto"/>
            </w:tcBorders>
            <w:shd w:val="clear" w:color="auto" w:fill="auto"/>
            <w:vAlign w:val="center"/>
            <w:hideMark/>
          </w:tcPr>
          <w:p w14:paraId="7882BCB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81,143</w:t>
            </w:r>
          </w:p>
        </w:tc>
        <w:tc>
          <w:tcPr>
            <w:tcW w:w="714" w:type="dxa"/>
            <w:tcBorders>
              <w:top w:val="nil"/>
              <w:left w:val="nil"/>
              <w:bottom w:val="single" w:sz="4" w:space="0" w:color="auto"/>
              <w:right w:val="single" w:sz="4" w:space="0" w:color="auto"/>
            </w:tcBorders>
            <w:shd w:val="clear" w:color="auto" w:fill="auto"/>
            <w:vAlign w:val="center"/>
            <w:hideMark/>
          </w:tcPr>
          <w:p w14:paraId="4A8F816A"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w:t>
            </w:r>
          </w:p>
        </w:tc>
        <w:tc>
          <w:tcPr>
            <w:tcW w:w="1197" w:type="dxa"/>
            <w:tcBorders>
              <w:top w:val="nil"/>
              <w:left w:val="nil"/>
              <w:bottom w:val="single" w:sz="4" w:space="0" w:color="auto"/>
              <w:right w:val="single" w:sz="4" w:space="0" w:color="auto"/>
            </w:tcBorders>
            <w:shd w:val="clear" w:color="auto" w:fill="auto"/>
            <w:vAlign w:val="center"/>
            <w:hideMark/>
          </w:tcPr>
          <w:p w14:paraId="7E64A8EE"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126" w:type="dxa"/>
            <w:tcBorders>
              <w:top w:val="nil"/>
              <w:left w:val="nil"/>
              <w:bottom w:val="single" w:sz="4" w:space="0" w:color="auto"/>
              <w:right w:val="single" w:sz="4" w:space="0" w:color="auto"/>
            </w:tcBorders>
            <w:shd w:val="clear" w:color="auto" w:fill="auto"/>
            <w:vAlign w:val="center"/>
            <w:hideMark/>
          </w:tcPr>
          <w:p w14:paraId="76B1A21A"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119,670</w:t>
            </w:r>
          </w:p>
        </w:tc>
        <w:tc>
          <w:tcPr>
            <w:tcW w:w="720" w:type="dxa"/>
            <w:tcBorders>
              <w:top w:val="nil"/>
              <w:left w:val="nil"/>
              <w:bottom w:val="single" w:sz="4" w:space="0" w:color="auto"/>
              <w:right w:val="single" w:sz="4" w:space="0" w:color="auto"/>
            </w:tcBorders>
            <w:shd w:val="clear" w:color="auto" w:fill="auto"/>
            <w:vAlign w:val="center"/>
            <w:hideMark/>
          </w:tcPr>
          <w:p w14:paraId="17A4B22A"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17.8%</w:t>
            </w:r>
          </w:p>
        </w:tc>
      </w:tr>
      <w:tr w:rsidR="006D1903" w:rsidRPr="00EE5714" w14:paraId="6570811E" w14:textId="77777777" w:rsidTr="00701518">
        <w:trPr>
          <w:trHeight w:val="296"/>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906FFC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3,579</w:t>
            </w:r>
          </w:p>
        </w:tc>
        <w:tc>
          <w:tcPr>
            <w:tcW w:w="818" w:type="dxa"/>
            <w:tcBorders>
              <w:top w:val="nil"/>
              <w:left w:val="nil"/>
              <w:bottom w:val="single" w:sz="4" w:space="0" w:color="auto"/>
              <w:right w:val="single" w:sz="4" w:space="0" w:color="auto"/>
            </w:tcBorders>
            <w:shd w:val="clear" w:color="auto" w:fill="auto"/>
            <w:vAlign w:val="center"/>
            <w:hideMark/>
          </w:tcPr>
          <w:p w14:paraId="5C8EAF3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w:t>
            </w:r>
          </w:p>
        </w:tc>
        <w:tc>
          <w:tcPr>
            <w:tcW w:w="1109" w:type="dxa"/>
            <w:tcBorders>
              <w:top w:val="nil"/>
              <w:left w:val="nil"/>
              <w:bottom w:val="single" w:sz="4" w:space="0" w:color="auto"/>
              <w:right w:val="single" w:sz="4" w:space="0" w:color="auto"/>
            </w:tcBorders>
            <w:shd w:val="clear" w:color="auto" w:fill="auto"/>
            <w:vAlign w:val="center"/>
            <w:hideMark/>
          </w:tcPr>
          <w:p w14:paraId="68E57101"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452D15E5" w14:textId="77777777" w:rsidR="006D1903" w:rsidRPr="00EE5714" w:rsidRDefault="006D1903" w:rsidP="00F0682D">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6DADC68F"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1029" w:type="dxa"/>
            <w:tcBorders>
              <w:top w:val="nil"/>
              <w:left w:val="nil"/>
              <w:bottom w:val="single" w:sz="4" w:space="0" w:color="auto"/>
              <w:right w:val="single" w:sz="4" w:space="0" w:color="auto"/>
            </w:tcBorders>
            <w:shd w:val="clear" w:color="auto" w:fill="auto"/>
            <w:vAlign w:val="center"/>
            <w:hideMark/>
          </w:tcPr>
          <w:p w14:paraId="3EA74A05"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35,603</w:t>
            </w:r>
          </w:p>
        </w:tc>
        <w:tc>
          <w:tcPr>
            <w:tcW w:w="714" w:type="dxa"/>
            <w:tcBorders>
              <w:top w:val="nil"/>
              <w:left w:val="nil"/>
              <w:bottom w:val="single" w:sz="4" w:space="0" w:color="auto"/>
              <w:right w:val="single" w:sz="4" w:space="0" w:color="auto"/>
            </w:tcBorders>
            <w:shd w:val="clear" w:color="auto" w:fill="auto"/>
            <w:vAlign w:val="center"/>
            <w:hideMark/>
          </w:tcPr>
          <w:p w14:paraId="32CF753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w:t>
            </w:r>
          </w:p>
        </w:tc>
        <w:tc>
          <w:tcPr>
            <w:tcW w:w="1197" w:type="dxa"/>
            <w:tcBorders>
              <w:top w:val="nil"/>
              <w:left w:val="nil"/>
              <w:bottom w:val="single" w:sz="4" w:space="0" w:color="auto"/>
              <w:right w:val="single" w:sz="4" w:space="0" w:color="auto"/>
            </w:tcBorders>
            <w:shd w:val="clear" w:color="auto" w:fill="auto"/>
            <w:vAlign w:val="center"/>
            <w:hideMark/>
          </w:tcPr>
          <w:p w14:paraId="5BD078D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126" w:type="dxa"/>
            <w:tcBorders>
              <w:top w:val="nil"/>
              <w:left w:val="nil"/>
              <w:bottom w:val="single" w:sz="4" w:space="0" w:color="auto"/>
              <w:right w:val="single" w:sz="4" w:space="0" w:color="auto"/>
            </w:tcBorders>
            <w:shd w:val="clear" w:color="auto" w:fill="auto"/>
            <w:vAlign w:val="center"/>
            <w:hideMark/>
          </w:tcPr>
          <w:p w14:paraId="67B8192E"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83,337</w:t>
            </w:r>
          </w:p>
        </w:tc>
        <w:tc>
          <w:tcPr>
            <w:tcW w:w="720" w:type="dxa"/>
            <w:tcBorders>
              <w:top w:val="nil"/>
              <w:left w:val="nil"/>
              <w:bottom w:val="single" w:sz="4" w:space="0" w:color="auto"/>
              <w:right w:val="single" w:sz="4" w:space="0" w:color="auto"/>
            </w:tcBorders>
            <w:shd w:val="clear" w:color="auto" w:fill="auto"/>
            <w:vAlign w:val="center"/>
            <w:hideMark/>
          </w:tcPr>
          <w:p w14:paraId="1CAAF472"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12.4%</w:t>
            </w:r>
          </w:p>
        </w:tc>
      </w:tr>
      <w:tr w:rsidR="006D1903" w:rsidRPr="00EE5714" w14:paraId="20CDC052" w14:textId="77777777" w:rsidTr="00701518">
        <w:trPr>
          <w:trHeight w:val="296"/>
          <w:jc w:val="center"/>
        </w:trPr>
        <w:tc>
          <w:tcPr>
            <w:tcW w:w="1189" w:type="dxa"/>
            <w:tcBorders>
              <w:top w:val="nil"/>
              <w:left w:val="single" w:sz="4" w:space="0" w:color="auto"/>
              <w:bottom w:val="single" w:sz="4" w:space="0" w:color="auto"/>
              <w:right w:val="single" w:sz="4" w:space="0" w:color="auto"/>
            </w:tcBorders>
            <w:shd w:val="clear" w:color="000000" w:fill="E7E6E6"/>
            <w:vAlign w:val="center"/>
            <w:hideMark/>
          </w:tcPr>
          <w:p w14:paraId="28165595"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40.00%</w:t>
            </w:r>
          </w:p>
        </w:tc>
        <w:tc>
          <w:tcPr>
            <w:tcW w:w="818" w:type="dxa"/>
            <w:tcBorders>
              <w:top w:val="nil"/>
              <w:left w:val="nil"/>
              <w:bottom w:val="single" w:sz="4" w:space="0" w:color="auto"/>
              <w:right w:val="single" w:sz="4" w:space="0" w:color="auto"/>
            </w:tcBorders>
            <w:shd w:val="clear" w:color="000000" w:fill="E7E6E6"/>
            <w:vAlign w:val="center"/>
            <w:hideMark/>
          </w:tcPr>
          <w:p w14:paraId="7BDE0E5D"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218"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10DA12CE"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1910169F"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1029" w:type="dxa"/>
            <w:tcBorders>
              <w:top w:val="nil"/>
              <w:left w:val="nil"/>
              <w:bottom w:val="single" w:sz="4" w:space="0" w:color="auto"/>
              <w:right w:val="single" w:sz="4" w:space="0" w:color="auto"/>
            </w:tcBorders>
            <w:shd w:val="clear" w:color="auto" w:fill="auto"/>
            <w:vAlign w:val="center"/>
            <w:hideMark/>
          </w:tcPr>
          <w:p w14:paraId="19408491"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1,103,565</w:t>
            </w:r>
          </w:p>
        </w:tc>
        <w:tc>
          <w:tcPr>
            <w:tcW w:w="714" w:type="dxa"/>
            <w:tcBorders>
              <w:top w:val="nil"/>
              <w:left w:val="nil"/>
              <w:bottom w:val="single" w:sz="4" w:space="0" w:color="auto"/>
              <w:right w:val="single" w:sz="4" w:space="0" w:color="auto"/>
            </w:tcBorders>
            <w:shd w:val="clear" w:color="auto" w:fill="auto"/>
            <w:vAlign w:val="center"/>
            <w:hideMark/>
          </w:tcPr>
          <w:p w14:paraId="5B2A67FF"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72.9%</w:t>
            </w:r>
          </w:p>
        </w:tc>
        <w:tc>
          <w:tcPr>
            <w:tcW w:w="1197" w:type="dxa"/>
            <w:tcBorders>
              <w:top w:val="nil"/>
              <w:left w:val="nil"/>
              <w:bottom w:val="single" w:sz="4" w:space="0" w:color="auto"/>
              <w:right w:val="single" w:sz="4" w:space="0" w:color="auto"/>
            </w:tcBorders>
            <w:shd w:val="clear" w:color="auto" w:fill="auto"/>
            <w:vAlign w:val="center"/>
            <w:hideMark/>
          </w:tcPr>
          <w:p w14:paraId="04E479C2"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126" w:type="dxa"/>
            <w:tcBorders>
              <w:top w:val="nil"/>
              <w:left w:val="nil"/>
              <w:bottom w:val="single" w:sz="4" w:space="0" w:color="auto"/>
              <w:right w:val="single" w:sz="4" w:space="0" w:color="auto"/>
            </w:tcBorders>
            <w:shd w:val="clear" w:color="auto" w:fill="auto"/>
            <w:vAlign w:val="center"/>
            <w:hideMark/>
          </w:tcPr>
          <w:p w14:paraId="4C1FABF7"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95,691</w:t>
            </w:r>
          </w:p>
        </w:tc>
        <w:tc>
          <w:tcPr>
            <w:tcW w:w="720" w:type="dxa"/>
            <w:tcBorders>
              <w:top w:val="nil"/>
              <w:left w:val="nil"/>
              <w:bottom w:val="single" w:sz="4" w:space="0" w:color="auto"/>
              <w:right w:val="single" w:sz="4" w:space="0" w:color="auto"/>
            </w:tcBorders>
            <w:shd w:val="clear" w:color="auto" w:fill="auto"/>
            <w:vAlign w:val="center"/>
            <w:hideMark/>
          </w:tcPr>
          <w:p w14:paraId="76150E2D"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14.2%</w:t>
            </w:r>
          </w:p>
        </w:tc>
      </w:tr>
      <w:tr w:rsidR="006D1903" w:rsidRPr="00EE5714" w14:paraId="54464813" w14:textId="77777777" w:rsidTr="00701518">
        <w:trPr>
          <w:trHeight w:val="296"/>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1057D9E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219,049</w:t>
            </w:r>
          </w:p>
        </w:tc>
        <w:tc>
          <w:tcPr>
            <w:tcW w:w="818" w:type="dxa"/>
            <w:tcBorders>
              <w:top w:val="nil"/>
              <w:left w:val="nil"/>
              <w:bottom w:val="single" w:sz="4" w:space="0" w:color="auto"/>
              <w:right w:val="single" w:sz="4" w:space="0" w:color="auto"/>
            </w:tcBorders>
            <w:shd w:val="clear" w:color="auto" w:fill="auto"/>
            <w:vAlign w:val="center"/>
            <w:hideMark/>
          </w:tcPr>
          <w:p w14:paraId="154EB9FA"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33.3%</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08415D80"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4EACBB62"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33.3%</w:t>
            </w:r>
          </w:p>
        </w:tc>
        <w:tc>
          <w:tcPr>
            <w:tcW w:w="1546" w:type="dxa"/>
            <w:tcBorders>
              <w:top w:val="nil"/>
              <w:left w:val="nil"/>
              <w:bottom w:val="single" w:sz="4" w:space="0" w:color="auto"/>
              <w:right w:val="single" w:sz="4" w:space="0" w:color="auto"/>
            </w:tcBorders>
            <w:shd w:val="clear" w:color="auto" w:fill="auto"/>
            <w:vAlign w:val="center"/>
            <w:hideMark/>
          </w:tcPr>
          <w:p w14:paraId="539D8E2B"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29" w:type="dxa"/>
            <w:tcBorders>
              <w:top w:val="nil"/>
              <w:left w:val="nil"/>
              <w:bottom w:val="single" w:sz="4" w:space="0" w:color="auto"/>
              <w:right w:val="single" w:sz="4" w:space="0" w:color="auto"/>
            </w:tcBorders>
            <w:shd w:val="clear" w:color="auto" w:fill="auto"/>
            <w:vAlign w:val="center"/>
            <w:hideMark/>
          </w:tcPr>
          <w:p w14:paraId="5E63F337"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1,513,137</w:t>
            </w:r>
          </w:p>
        </w:tc>
        <w:tc>
          <w:tcPr>
            <w:tcW w:w="714" w:type="dxa"/>
            <w:tcBorders>
              <w:top w:val="nil"/>
              <w:left w:val="nil"/>
              <w:bottom w:val="single" w:sz="4" w:space="0" w:color="auto"/>
              <w:right w:val="single" w:sz="4" w:space="0" w:color="auto"/>
            </w:tcBorders>
            <w:shd w:val="clear" w:color="auto" w:fill="auto"/>
            <w:vAlign w:val="center"/>
            <w:hideMark/>
          </w:tcPr>
          <w:p w14:paraId="3B767EE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4BEEB89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126" w:type="dxa"/>
            <w:tcBorders>
              <w:top w:val="nil"/>
              <w:left w:val="nil"/>
              <w:bottom w:val="single" w:sz="4" w:space="0" w:color="auto"/>
              <w:right w:val="single" w:sz="4" w:space="0" w:color="auto"/>
            </w:tcBorders>
            <w:shd w:val="clear" w:color="auto" w:fill="auto"/>
            <w:vAlign w:val="center"/>
            <w:hideMark/>
          </w:tcPr>
          <w:p w14:paraId="202D12F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40,222</w:t>
            </w:r>
          </w:p>
        </w:tc>
        <w:tc>
          <w:tcPr>
            <w:tcW w:w="720" w:type="dxa"/>
            <w:tcBorders>
              <w:top w:val="nil"/>
              <w:left w:val="nil"/>
              <w:bottom w:val="single" w:sz="4" w:space="0" w:color="auto"/>
              <w:right w:val="single" w:sz="4" w:space="0" w:color="auto"/>
            </w:tcBorders>
            <w:shd w:val="clear" w:color="auto" w:fill="auto"/>
            <w:vAlign w:val="center"/>
            <w:hideMark/>
          </w:tcPr>
          <w:p w14:paraId="7C3D3C7B"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6.0%</w:t>
            </w:r>
          </w:p>
        </w:tc>
      </w:tr>
      <w:tr w:rsidR="006D1903" w:rsidRPr="00EE5714" w14:paraId="60672AC4" w14:textId="77777777" w:rsidTr="00701518">
        <w:trPr>
          <w:trHeight w:val="296"/>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747D17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36,751</w:t>
            </w:r>
          </w:p>
        </w:tc>
        <w:tc>
          <w:tcPr>
            <w:tcW w:w="818" w:type="dxa"/>
            <w:tcBorders>
              <w:top w:val="nil"/>
              <w:left w:val="nil"/>
              <w:bottom w:val="single" w:sz="4" w:space="0" w:color="auto"/>
              <w:right w:val="single" w:sz="4" w:space="0" w:color="auto"/>
            </w:tcBorders>
            <w:shd w:val="clear" w:color="auto" w:fill="auto"/>
            <w:vAlign w:val="center"/>
            <w:hideMark/>
          </w:tcPr>
          <w:p w14:paraId="093B0CB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w:t>
            </w:r>
          </w:p>
        </w:tc>
        <w:tc>
          <w:tcPr>
            <w:tcW w:w="1109" w:type="dxa"/>
            <w:tcBorders>
              <w:top w:val="nil"/>
              <w:left w:val="nil"/>
              <w:bottom w:val="single" w:sz="4" w:space="0" w:color="auto"/>
              <w:right w:val="single" w:sz="4" w:space="0" w:color="auto"/>
            </w:tcBorders>
            <w:shd w:val="clear" w:color="auto" w:fill="auto"/>
            <w:vAlign w:val="center"/>
            <w:hideMark/>
          </w:tcPr>
          <w:p w14:paraId="3964479D"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109" w:type="dxa"/>
            <w:tcBorders>
              <w:top w:val="nil"/>
              <w:left w:val="nil"/>
              <w:bottom w:val="single" w:sz="4" w:space="0" w:color="auto"/>
              <w:right w:val="single" w:sz="4" w:space="0" w:color="auto"/>
            </w:tcBorders>
            <w:shd w:val="clear" w:color="auto" w:fill="auto"/>
            <w:vAlign w:val="center"/>
            <w:hideMark/>
          </w:tcPr>
          <w:p w14:paraId="571C182B"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34.7%</w:t>
            </w:r>
          </w:p>
        </w:tc>
        <w:tc>
          <w:tcPr>
            <w:tcW w:w="328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BD8040F"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97" w:type="dxa"/>
            <w:tcBorders>
              <w:top w:val="nil"/>
              <w:left w:val="single" w:sz="4" w:space="0" w:color="auto"/>
              <w:bottom w:val="single" w:sz="4" w:space="0" w:color="auto"/>
              <w:right w:val="single" w:sz="4" w:space="0" w:color="auto"/>
            </w:tcBorders>
            <w:shd w:val="clear" w:color="auto" w:fill="auto"/>
            <w:vAlign w:val="center"/>
            <w:hideMark/>
          </w:tcPr>
          <w:p w14:paraId="59209681"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126" w:type="dxa"/>
            <w:tcBorders>
              <w:top w:val="nil"/>
              <w:left w:val="nil"/>
              <w:bottom w:val="single" w:sz="4" w:space="0" w:color="auto"/>
              <w:right w:val="single" w:sz="4" w:space="0" w:color="auto"/>
            </w:tcBorders>
            <w:shd w:val="clear" w:color="auto" w:fill="auto"/>
            <w:vAlign w:val="center"/>
            <w:hideMark/>
          </w:tcPr>
          <w:p w14:paraId="523AB1C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40,515</w:t>
            </w:r>
          </w:p>
        </w:tc>
        <w:tc>
          <w:tcPr>
            <w:tcW w:w="720" w:type="dxa"/>
            <w:tcBorders>
              <w:top w:val="nil"/>
              <w:left w:val="nil"/>
              <w:bottom w:val="single" w:sz="4" w:space="0" w:color="auto"/>
              <w:right w:val="single" w:sz="4" w:space="0" w:color="auto"/>
            </w:tcBorders>
            <w:shd w:val="clear" w:color="auto" w:fill="auto"/>
            <w:vAlign w:val="center"/>
            <w:hideMark/>
          </w:tcPr>
          <w:p w14:paraId="30C3BE45"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6.0%</w:t>
            </w:r>
          </w:p>
        </w:tc>
      </w:tr>
      <w:tr w:rsidR="006D1903" w:rsidRPr="00EE5714" w14:paraId="60911834" w14:textId="77777777" w:rsidTr="00701518">
        <w:trPr>
          <w:trHeight w:val="504"/>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0E088E7"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4,750</w:t>
            </w:r>
          </w:p>
        </w:tc>
        <w:tc>
          <w:tcPr>
            <w:tcW w:w="818" w:type="dxa"/>
            <w:tcBorders>
              <w:top w:val="nil"/>
              <w:left w:val="nil"/>
              <w:bottom w:val="single" w:sz="4" w:space="0" w:color="auto"/>
              <w:right w:val="single" w:sz="4" w:space="0" w:color="auto"/>
            </w:tcBorders>
            <w:shd w:val="clear" w:color="auto" w:fill="auto"/>
            <w:vAlign w:val="center"/>
            <w:hideMark/>
          </w:tcPr>
          <w:p w14:paraId="70F0EEBD"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109" w:type="dxa"/>
            <w:tcBorders>
              <w:top w:val="nil"/>
              <w:left w:val="nil"/>
              <w:bottom w:val="single" w:sz="4" w:space="0" w:color="auto"/>
              <w:right w:val="single" w:sz="4" w:space="0" w:color="auto"/>
            </w:tcBorders>
            <w:shd w:val="clear" w:color="auto" w:fill="auto"/>
            <w:vAlign w:val="center"/>
            <w:hideMark/>
          </w:tcPr>
          <w:p w14:paraId="6603CD5B"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109" w:type="dxa"/>
            <w:tcBorders>
              <w:top w:val="nil"/>
              <w:left w:val="nil"/>
              <w:bottom w:val="single" w:sz="4" w:space="0" w:color="auto"/>
              <w:right w:val="single" w:sz="4" w:space="0" w:color="auto"/>
            </w:tcBorders>
            <w:shd w:val="clear" w:color="auto" w:fill="auto"/>
            <w:vAlign w:val="center"/>
            <w:hideMark/>
          </w:tcPr>
          <w:p w14:paraId="3AEA104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14.8%</w:t>
            </w:r>
          </w:p>
        </w:tc>
        <w:tc>
          <w:tcPr>
            <w:tcW w:w="1546" w:type="dxa"/>
            <w:tcBorders>
              <w:top w:val="single" w:sz="4" w:space="0" w:color="auto"/>
              <w:left w:val="nil"/>
              <w:bottom w:val="single" w:sz="4" w:space="0" w:color="auto"/>
              <w:right w:val="single" w:sz="4" w:space="0" w:color="auto"/>
            </w:tcBorders>
            <w:shd w:val="clear" w:color="000000" w:fill="E7E6E6"/>
            <w:vAlign w:val="center"/>
            <w:hideMark/>
          </w:tcPr>
          <w:p w14:paraId="407F1CB4"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1029" w:type="dxa"/>
            <w:tcBorders>
              <w:top w:val="single" w:sz="4" w:space="0" w:color="auto"/>
              <w:left w:val="nil"/>
              <w:bottom w:val="single" w:sz="4" w:space="0" w:color="auto"/>
              <w:right w:val="single" w:sz="4" w:space="0" w:color="auto"/>
            </w:tcBorders>
            <w:shd w:val="clear" w:color="000000" w:fill="E7E6E6"/>
            <w:vAlign w:val="center"/>
            <w:hideMark/>
          </w:tcPr>
          <w:p w14:paraId="677D05F9"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14" w:type="dxa"/>
            <w:tcBorders>
              <w:top w:val="single" w:sz="4" w:space="0" w:color="auto"/>
              <w:left w:val="nil"/>
              <w:bottom w:val="single" w:sz="4" w:space="0" w:color="auto"/>
              <w:right w:val="single" w:sz="4" w:space="0" w:color="auto"/>
            </w:tcBorders>
            <w:shd w:val="clear" w:color="000000" w:fill="E7E6E6"/>
            <w:vAlign w:val="center"/>
            <w:hideMark/>
          </w:tcPr>
          <w:p w14:paraId="425B0077"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197" w:type="dxa"/>
            <w:tcBorders>
              <w:top w:val="nil"/>
              <w:left w:val="nil"/>
              <w:bottom w:val="single" w:sz="4" w:space="0" w:color="auto"/>
              <w:right w:val="single" w:sz="4" w:space="0" w:color="auto"/>
            </w:tcBorders>
            <w:shd w:val="clear" w:color="auto" w:fill="auto"/>
            <w:vAlign w:val="center"/>
            <w:hideMark/>
          </w:tcPr>
          <w:p w14:paraId="382DBB5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26" w:type="dxa"/>
            <w:tcBorders>
              <w:top w:val="nil"/>
              <w:left w:val="nil"/>
              <w:bottom w:val="single" w:sz="4" w:space="0" w:color="auto"/>
              <w:right w:val="single" w:sz="4" w:space="0" w:color="auto"/>
            </w:tcBorders>
            <w:shd w:val="clear" w:color="auto" w:fill="auto"/>
            <w:vAlign w:val="center"/>
            <w:hideMark/>
          </w:tcPr>
          <w:p w14:paraId="4D798200"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672,730</w:t>
            </w:r>
          </w:p>
        </w:tc>
        <w:tc>
          <w:tcPr>
            <w:tcW w:w="720" w:type="dxa"/>
            <w:tcBorders>
              <w:top w:val="nil"/>
              <w:left w:val="nil"/>
              <w:bottom w:val="single" w:sz="4" w:space="0" w:color="auto"/>
              <w:right w:val="single" w:sz="4" w:space="0" w:color="auto"/>
            </w:tcBorders>
            <w:shd w:val="clear" w:color="auto" w:fill="auto"/>
            <w:vAlign w:val="center"/>
            <w:hideMark/>
          </w:tcPr>
          <w:p w14:paraId="497D221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6D1903" w:rsidRPr="00EE5714" w14:paraId="45616D17" w14:textId="77777777" w:rsidTr="00701518">
        <w:trPr>
          <w:trHeight w:val="296"/>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95A72E9"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1,772</w:t>
            </w:r>
          </w:p>
        </w:tc>
        <w:tc>
          <w:tcPr>
            <w:tcW w:w="818" w:type="dxa"/>
            <w:tcBorders>
              <w:top w:val="nil"/>
              <w:left w:val="nil"/>
              <w:bottom w:val="single" w:sz="4" w:space="0" w:color="auto"/>
              <w:right w:val="single" w:sz="4" w:space="0" w:color="auto"/>
            </w:tcBorders>
            <w:shd w:val="clear" w:color="auto" w:fill="auto"/>
            <w:vAlign w:val="center"/>
            <w:hideMark/>
          </w:tcPr>
          <w:p w14:paraId="5DF71D5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109" w:type="dxa"/>
            <w:tcBorders>
              <w:top w:val="nil"/>
              <w:left w:val="nil"/>
              <w:bottom w:val="single" w:sz="4" w:space="0" w:color="auto"/>
              <w:right w:val="single" w:sz="4" w:space="0" w:color="auto"/>
            </w:tcBorders>
            <w:shd w:val="clear" w:color="auto" w:fill="auto"/>
            <w:vAlign w:val="center"/>
            <w:hideMark/>
          </w:tcPr>
          <w:p w14:paraId="6C2CDA55"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109" w:type="dxa"/>
            <w:tcBorders>
              <w:top w:val="nil"/>
              <w:left w:val="nil"/>
              <w:bottom w:val="single" w:sz="4" w:space="0" w:color="auto"/>
              <w:right w:val="single" w:sz="4" w:space="0" w:color="auto"/>
            </w:tcBorders>
            <w:shd w:val="clear" w:color="auto" w:fill="auto"/>
            <w:vAlign w:val="center"/>
            <w:hideMark/>
          </w:tcPr>
          <w:p w14:paraId="0FC0DF4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11.2%</w:t>
            </w:r>
          </w:p>
        </w:tc>
        <w:tc>
          <w:tcPr>
            <w:tcW w:w="1546" w:type="dxa"/>
            <w:tcBorders>
              <w:top w:val="nil"/>
              <w:left w:val="nil"/>
              <w:bottom w:val="single" w:sz="4" w:space="0" w:color="auto"/>
              <w:right w:val="single" w:sz="4" w:space="0" w:color="auto"/>
            </w:tcBorders>
            <w:shd w:val="clear" w:color="auto" w:fill="auto"/>
            <w:vAlign w:val="center"/>
            <w:hideMark/>
          </w:tcPr>
          <w:p w14:paraId="7542459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1029" w:type="dxa"/>
            <w:tcBorders>
              <w:top w:val="nil"/>
              <w:left w:val="nil"/>
              <w:bottom w:val="single" w:sz="4" w:space="0" w:color="auto"/>
              <w:right w:val="single" w:sz="4" w:space="0" w:color="auto"/>
            </w:tcBorders>
            <w:shd w:val="clear" w:color="auto" w:fill="auto"/>
            <w:vAlign w:val="center"/>
            <w:hideMark/>
          </w:tcPr>
          <w:p w14:paraId="0A747E70"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530,197</w:t>
            </w:r>
          </w:p>
        </w:tc>
        <w:tc>
          <w:tcPr>
            <w:tcW w:w="714" w:type="dxa"/>
            <w:tcBorders>
              <w:top w:val="nil"/>
              <w:left w:val="nil"/>
              <w:bottom w:val="single" w:sz="4" w:space="0" w:color="auto"/>
              <w:right w:val="single" w:sz="4" w:space="0" w:color="auto"/>
            </w:tcBorders>
            <w:shd w:val="clear" w:color="auto" w:fill="auto"/>
            <w:vAlign w:val="center"/>
            <w:hideMark/>
          </w:tcPr>
          <w:p w14:paraId="32233461"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80.6%</w:t>
            </w:r>
          </w:p>
        </w:tc>
        <w:tc>
          <w:tcPr>
            <w:tcW w:w="1197" w:type="dxa"/>
            <w:tcBorders>
              <w:top w:val="nil"/>
              <w:left w:val="nil"/>
              <w:bottom w:val="single" w:sz="4" w:space="0" w:color="auto"/>
              <w:right w:val="single" w:sz="4" w:space="0" w:color="auto"/>
            </w:tcBorders>
            <w:shd w:val="clear" w:color="auto" w:fill="auto"/>
            <w:vAlign w:val="center"/>
            <w:hideMark/>
          </w:tcPr>
          <w:p w14:paraId="0B9D2EBB"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126" w:type="dxa"/>
            <w:tcBorders>
              <w:top w:val="nil"/>
              <w:left w:val="nil"/>
              <w:bottom w:val="single" w:sz="4" w:space="0" w:color="auto"/>
              <w:right w:val="single" w:sz="4" w:space="0" w:color="auto"/>
            </w:tcBorders>
            <w:shd w:val="clear" w:color="auto" w:fill="auto"/>
            <w:vAlign w:val="center"/>
            <w:hideMark/>
          </w:tcPr>
          <w:p w14:paraId="281665F8"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$56,881</w:t>
            </w:r>
          </w:p>
        </w:tc>
        <w:tc>
          <w:tcPr>
            <w:tcW w:w="720" w:type="dxa"/>
            <w:tcBorders>
              <w:top w:val="nil"/>
              <w:left w:val="nil"/>
              <w:bottom w:val="single" w:sz="4" w:space="0" w:color="auto"/>
              <w:right w:val="single" w:sz="4" w:space="0" w:color="auto"/>
            </w:tcBorders>
            <w:shd w:val="clear" w:color="auto" w:fill="auto"/>
            <w:vAlign w:val="center"/>
            <w:hideMark/>
          </w:tcPr>
          <w:p w14:paraId="7E52B11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6D1903" w:rsidRPr="00EE5714" w14:paraId="1FD533D2" w14:textId="77777777" w:rsidTr="00701518">
        <w:trPr>
          <w:trHeight w:val="504"/>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5A2F72D"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396</w:t>
            </w:r>
          </w:p>
        </w:tc>
        <w:tc>
          <w:tcPr>
            <w:tcW w:w="818" w:type="dxa"/>
            <w:tcBorders>
              <w:top w:val="nil"/>
              <w:left w:val="nil"/>
              <w:bottom w:val="single" w:sz="4" w:space="0" w:color="auto"/>
              <w:right w:val="single" w:sz="4" w:space="0" w:color="auto"/>
            </w:tcBorders>
            <w:shd w:val="clear" w:color="auto" w:fill="auto"/>
            <w:vAlign w:val="center"/>
            <w:hideMark/>
          </w:tcPr>
          <w:p w14:paraId="17F161CD"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109" w:type="dxa"/>
            <w:tcBorders>
              <w:top w:val="nil"/>
              <w:left w:val="nil"/>
              <w:bottom w:val="single" w:sz="4" w:space="0" w:color="auto"/>
              <w:right w:val="single" w:sz="4" w:space="0" w:color="auto"/>
            </w:tcBorders>
            <w:shd w:val="clear" w:color="auto" w:fill="auto"/>
            <w:vAlign w:val="center"/>
            <w:hideMark/>
          </w:tcPr>
          <w:p w14:paraId="2241B0E5"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109" w:type="dxa"/>
            <w:tcBorders>
              <w:top w:val="nil"/>
              <w:left w:val="nil"/>
              <w:bottom w:val="single" w:sz="4" w:space="0" w:color="auto"/>
              <w:right w:val="single" w:sz="4" w:space="0" w:color="auto"/>
            </w:tcBorders>
            <w:shd w:val="clear" w:color="auto" w:fill="auto"/>
            <w:vAlign w:val="center"/>
            <w:hideMark/>
          </w:tcPr>
          <w:p w14:paraId="4D2BF63D"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4.1%</w:t>
            </w:r>
          </w:p>
        </w:tc>
        <w:tc>
          <w:tcPr>
            <w:tcW w:w="1546" w:type="dxa"/>
            <w:tcBorders>
              <w:top w:val="nil"/>
              <w:left w:val="nil"/>
              <w:bottom w:val="single" w:sz="4" w:space="0" w:color="auto"/>
              <w:right w:val="single" w:sz="4" w:space="0" w:color="auto"/>
            </w:tcBorders>
            <w:shd w:val="clear" w:color="auto" w:fill="auto"/>
            <w:vAlign w:val="center"/>
            <w:hideMark/>
          </w:tcPr>
          <w:p w14:paraId="2A92731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1029" w:type="dxa"/>
            <w:tcBorders>
              <w:top w:val="nil"/>
              <w:left w:val="nil"/>
              <w:bottom w:val="single" w:sz="4" w:space="0" w:color="auto"/>
              <w:right w:val="single" w:sz="4" w:space="0" w:color="auto"/>
            </w:tcBorders>
            <w:shd w:val="clear" w:color="auto" w:fill="auto"/>
            <w:vAlign w:val="center"/>
            <w:hideMark/>
          </w:tcPr>
          <w:p w14:paraId="4F5595D7"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8,606</w:t>
            </w:r>
          </w:p>
        </w:tc>
        <w:tc>
          <w:tcPr>
            <w:tcW w:w="714" w:type="dxa"/>
            <w:tcBorders>
              <w:top w:val="nil"/>
              <w:left w:val="nil"/>
              <w:bottom w:val="single" w:sz="4" w:space="0" w:color="auto"/>
              <w:right w:val="single" w:sz="4" w:space="0" w:color="auto"/>
            </w:tcBorders>
            <w:shd w:val="clear" w:color="auto" w:fill="auto"/>
            <w:vAlign w:val="center"/>
            <w:hideMark/>
          </w:tcPr>
          <w:p w14:paraId="21622F3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w:t>
            </w:r>
          </w:p>
        </w:tc>
        <w:tc>
          <w:tcPr>
            <w:tcW w:w="1197" w:type="dxa"/>
            <w:tcBorders>
              <w:top w:val="nil"/>
              <w:left w:val="nil"/>
              <w:bottom w:val="single" w:sz="4" w:space="0" w:color="auto"/>
              <w:right w:val="single" w:sz="4" w:space="0" w:color="auto"/>
            </w:tcBorders>
            <w:shd w:val="clear" w:color="auto" w:fill="auto"/>
            <w:vAlign w:val="center"/>
            <w:hideMark/>
          </w:tcPr>
          <w:p w14:paraId="4EB9860D"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126" w:type="dxa"/>
            <w:tcBorders>
              <w:top w:val="nil"/>
              <w:left w:val="nil"/>
              <w:bottom w:val="single" w:sz="4" w:space="0" w:color="auto"/>
              <w:right w:val="single" w:sz="4" w:space="0" w:color="auto"/>
            </w:tcBorders>
            <w:shd w:val="clear" w:color="auto" w:fill="auto"/>
            <w:vAlign w:val="center"/>
            <w:hideMark/>
          </w:tcPr>
          <w:p w14:paraId="3E588859"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$81,139</w:t>
            </w:r>
          </w:p>
        </w:tc>
        <w:tc>
          <w:tcPr>
            <w:tcW w:w="720" w:type="dxa"/>
            <w:tcBorders>
              <w:top w:val="nil"/>
              <w:left w:val="nil"/>
              <w:bottom w:val="single" w:sz="4" w:space="0" w:color="auto"/>
              <w:right w:val="single" w:sz="4" w:space="0" w:color="auto"/>
            </w:tcBorders>
            <w:shd w:val="clear" w:color="auto" w:fill="auto"/>
            <w:vAlign w:val="center"/>
            <w:hideMark/>
          </w:tcPr>
          <w:p w14:paraId="6573A030"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6D1903" w:rsidRPr="00EE5714" w14:paraId="6608B9EE" w14:textId="77777777" w:rsidTr="00701518">
        <w:trPr>
          <w:trHeight w:val="296"/>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5131C5B9"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w:t>
            </w:r>
          </w:p>
        </w:tc>
        <w:tc>
          <w:tcPr>
            <w:tcW w:w="818" w:type="dxa"/>
            <w:tcBorders>
              <w:top w:val="nil"/>
              <w:left w:val="nil"/>
              <w:bottom w:val="single" w:sz="4" w:space="0" w:color="auto"/>
              <w:right w:val="single" w:sz="4" w:space="0" w:color="auto"/>
            </w:tcBorders>
            <w:shd w:val="clear" w:color="auto" w:fill="auto"/>
            <w:vAlign w:val="center"/>
            <w:hideMark/>
          </w:tcPr>
          <w:p w14:paraId="7D7B1A27"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09" w:type="dxa"/>
            <w:tcBorders>
              <w:top w:val="nil"/>
              <w:left w:val="nil"/>
              <w:bottom w:val="single" w:sz="4" w:space="0" w:color="auto"/>
              <w:right w:val="single" w:sz="4" w:space="0" w:color="auto"/>
            </w:tcBorders>
            <w:shd w:val="clear" w:color="auto" w:fill="auto"/>
            <w:vAlign w:val="center"/>
            <w:hideMark/>
          </w:tcPr>
          <w:p w14:paraId="76A74319"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109" w:type="dxa"/>
            <w:tcBorders>
              <w:top w:val="nil"/>
              <w:left w:val="nil"/>
              <w:bottom w:val="single" w:sz="4" w:space="0" w:color="auto"/>
              <w:right w:val="single" w:sz="4" w:space="0" w:color="auto"/>
            </w:tcBorders>
            <w:shd w:val="clear" w:color="auto" w:fill="auto"/>
            <w:vAlign w:val="center"/>
            <w:hideMark/>
          </w:tcPr>
          <w:p w14:paraId="09C61CE2"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w:t>
            </w:r>
          </w:p>
        </w:tc>
        <w:tc>
          <w:tcPr>
            <w:tcW w:w="1546" w:type="dxa"/>
            <w:tcBorders>
              <w:top w:val="nil"/>
              <w:left w:val="nil"/>
              <w:bottom w:val="single" w:sz="4" w:space="0" w:color="auto"/>
              <w:right w:val="single" w:sz="4" w:space="0" w:color="auto"/>
            </w:tcBorders>
            <w:shd w:val="clear" w:color="auto" w:fill="auto"/>
            <w:vAlign w:val="center"/>
            <w:hideMark/>
          </w:tcPr>
          <w:p w14:paraId="104EB4E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1029" w:type="dxa"/>
            <w:tcBorders>
              <w:top w:val="nil"/>
              <w:left w:val="nil"/>
              <w:bottom w:val="single" w:sz="4" w:space="0" w:color="auto"/>
              <w:right w:val="single" w:sz="4" w:space="0" w:color="auto"/>
            </w:tcBorders>
            <w:shd w:val="clear" w:color="auto" w:fill="auto"/>
            <w:vAlign w:val="center"/>
            <w:hideMark/>
          </w:tcPr>
          <w:p w14:paraId="367E3771"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86,007</w:t>
            </w:r>
          </w:p>
        </w:tc>
        <w:tc>
          <w:tcPr>
            <w:tcW w:w="714" w:type="dxa"/>
            <w:tcBorders>
              <w:top w:val="nil"/>
              <w:left w:val="nil"/>
              <w:bottom w:val="single" w:sz="4" w:space="0" w:color="auto"/>
              <w:right w:val="single" w:sz="4" w:space="0" w:color="auto"/>
            </w:tcBorders>
            <w:shd w:val="clear" w:color="auto" w:fill="auto"/>
            <w:vAlign w:val="center"/>
            <w:hideMark/>
          </w:tcPr>
          <w:p w14:paraId="2321AEC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13.1%</w:t>
            </w:r>
          </w:p>
        </w:tc>
        <w:tc>
          <w:tcPr>
            <w:tcW w:w="1197" w:type="dxa"/>
            <w:tcBorders>
              <w:top w:val="nil"/>
              <w:left w:val="nil"/>
              <w:bottom w:val="single" w:sz="4" w:space="0" w:color="auto"/>
              <w:right w:val="single" w:sz="4" w:space="0" w:color="auto"/>
            </w:tcBorders>
            <w:shd w:val="clear" w:color="auto" w:fill="auto"/>
            <w:vAlign w:val="center"/>
            <w:hideMark/>
          </w:tcPr>
          <w:p w14:paraId="5E3A37F8"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126" w:type="dxa"/>
            <w:tcBorders>
              <w:top w:val="nil"/>
              <w:left w:val="nil"/>
              <w:bottom w:val="single" w:sz="4" w:space="0" w:color="auto"/>
              <w:right w:val="single" w:sz="4" w:space="0" w:color="auto"/>
            </w:tcBorders>
            <w:shd w:val="clear" w:color="auto" w:fill="auto"/>
            <w:vAlign w:val="center"/>
            <w:hideMark/>
          </w:tcPr>
          <w:p w14:paraId="7A8209B8"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$35,192</w:t>
            </w:r>
          </w:p>
        </w:tc>
        <w:tc>
          <w:tcPr>
            <w:tcW w:w="720" w:type="dxa"/>
            <w:tcBorders>
              <w:top w:val="nil"/>
              <w:left w:val="nil"/>
              <w:bottom w:val="single" w:sz="4" w:space="0" w:color="auto"/>
              <w:right w:val="single" w:sz="4" w:space="0" w:color="auto"/>
            </w:tcBorders>
            <w:shd w:val="clear" w:color="auto" w:fill="auto"/>
            <w:vAlign w:val="center"/>
            <w:hideMark/>
          </w:tcPr>
          <w:p w14:paraId="69BBD5DF"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6D1903" w:rsidRPr="00EE5714" w14:paraId="277049C8" w14:textId="77777777" w:rsidTr="00701518">
        <w:trPr>
          <w:trHeight w:val="504"/>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7D1CB3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w:t>
            </w:r>
          </w:p>
        </w:tc>
        <w:tc>
          <w:tcPr>
            <w:tcW w:w="818" w:type="dxa"/>
            <w:tcBorders>
              <w:top w:val="nil"/>
              <w:left w:val="nil"/>
              <w:bottom w:val="single" w:sz="4" w:space="0" w:color="auto"/>
              <w:right w:val="single" w:sz="4" w:space="0" w:color="auto"/>
            </w:tcBorders>
            <w:shd w:val="clear" w:color="auto" w:fill="auto"/>
            <w:vAlign w:val="center"/>
            <w:hideMark/>
          </w:tcPr>
          <w:p w14:paraId="466D91B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09" w:type="dxa"/>
            <w:tcBorders>
              <w:top w:val="nil"/>
              <w:left w:val="nil"/>
              <w:bottom w:val="single" w:sz="4" w:space="0" w:color="auto"/>
              <w:right w:val="single" w:sz="4" w:space="0" w:color="auto"/>
            </w:tcBorders>
            <w:shd w:val="clear" w:color="auto" w:fill="auto"/>
            <w:vAlign w:val="center"/>
            <w:hideMark/>
          </w:tcPr>
          <w:p w14:paraId="747CBF45"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109" w:type="dxa"/>
            <w:tcBorders>
              <w:top w:val="nil"/>
              <w:left w:val="nil"/>
              <w:bottom w:val="single" w:sz="4" w:space="0" w:color="auto"/>
              <w:right w:val="single" w:sz="4" w:space="0" w:color="auto"/>
            </w:tcBorders>
            <w:shd w:val="clear" w:color="auto" w:fill="auto"/>
            <w:vAlign w:val="center"/>
            <w:hideMark/>
          </w:tcPr>
          <w:p w14:paraId="70C2C26F"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546" w:type="dxa"/>
            <w:tcBorders>
              <w:top w:val="nil"/>
              <w:left w:val="nil"/>
              <w:bottom w:val="single" w:sz="4" w:space="0" w:color="auto"/>
              <w:right w:val="single" w:sz="4" w:space="0" w:color="auto"/>
            </w:tcBorders>
            <w:shd w:val="clear" w:color="auto" w:fill="auto"/>
            <w:vAlign w:val="center"/>
            <w:hideMark/>
          </w:tcPr>
          <w:p w14:paraId="7AAA0CA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1029" w:type="dxa"/>
            <w:tcBorders>
              <w:top w:val="nil"/>
              <w:left w:val="nil"/>
              <w:bottom w:val="single" w:sz="4" w:space="0" w:color="auto"/>
              <w:right w:val="single" w:sz="4" w:space="0" w:color="auto"/>
            </w:tcBorders>
            <w:shd w:val="clear" w:color="auto" w:fill="auto"/>
            <w:vAlign w:val="center"/>
            <w:hideMark/>
          </w:tcPr>
          <w:p w14:paraId="68B3D43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21,314</w:t>
            </w:r>
          </w:p>
        </w:tc>
        <w:tc>
          <w:tcPr>
            <w:tcW w:w="714" w:type="dxa"/>
            <w:tcBorders>
              <w:top w:val="nil"/>
              <w:left w:val="nil"/>
              <w:bottom w:val="single" w:sz="4" w:space="0" w:color="auto"/>
              <w:right w:val="single" w:sz="4" w:space="0" w:color="auto"/>
            </w:tcBorders>
            <w:shd w:val="clear" w:color="auto" w:fill="auto"/>
            <w:vAlign w:val="center"/>
            <w:hideMark/>
          </w:tcPr>
          <w:p w14:paraId="55E0CCFE"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w:t>
            </w:r>
          </w:p>
        </w:tc>
        <w:tc>
          <w:tcPr>
            <w:tcW w:w="3043"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2C252103"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EQT Service Area                                            2012-2016 ACS</w:t>
            </w:r>
          </w:p>
        </w:tc>
      </w:tr>
      <w:tr w:rsidR="006D1903" w:rsidRPr="00EE5714" w14:paraId="0BF5017D" w14:textId="77777777" w:rsidTr="00701518">
        <w:trPr>
          <w:trHeight w:val="504"/>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19CB4165"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658,130</w:t>
            </w:r>
          </w:p>
        </w:tc>
        <w:tc>
          <w:tcPr>
            <w:tcW w:w="818" w:type="dxa"/>
            <w:tcBorders>
              <w:top w:val="nil"/>
              <w:left w:val="nil"/>
              <w:bottom w:val="single" w:sz="4" w:space="0" w:color="auto"/>
              <w:right w:val="single" w:sz="4" w:space="0" w:color="auto"/>
            </w:tcBorders>
            <w:shd w:val="clear" w:color="auto" w:fill="auto"/>
            <w:vAlign w:val="center"/>
            <w:hideMark/>
          </w:tcPr>
          <w:p w14:paraId="25987AF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14:paraId="65B1FCD7"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14:paraId="783DBD4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nil"/>
              <w:bottom w:val="single" w:sz="4" w:space="0" w:color="auto"/>
              <w:right w:val="single" w:sz="4" w:space="0" w:color="auto"/>
            </w:tcBorders>
            <w:shd w:val="clear" w:color="auto" w:fill="auto"/>
            <w:vAlign w:val="center"/>
            <w:hideMark/>
          </w:tcPr>
          <w:p w14:paraId="7392A88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1029" w:type="dxa"/>
            <w:tcBorders>
              <w:top w:val="nil"/>
              <w:left w:val="nil"/>
              <w:bottom w:val="single" w:sz="4" w:space="0" w:color="auto"/>
              <w:right w:val="single" w:sz="4" w:space="0" w:color="auto"/>
            </w:tcBorders>
            <w:shd w:val="clear" w:color="auto" w:fill="auto"/>
            <w:vAlign w:val="center"/>
            <w:hideMark/>
          </w:tcPr>
          <w:p w14:paraId="5C58202D"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771</w:t>
            </w:r>
          </w:p>
        </w:tc>
        <w:tc>
          <w:tcPr>
            <w:tcW w:w="714" w:type="dxa"/>
            <w:tcBorders>
              <w:top w:val="nil"/>
              <w:left w:val="nil"/>
              <w:bottom w:val="single" w:sz="4" w:space="0" w:color="auto"/>
              <w:right w:val="single" w:sz="4" w:space="0" w:color="auto"/>
            </w:tcBorders>
            <w:shd w:val="clear" w:color="auto" w:fill="auto"/>
            <w:vAlign w:val="center"/>
            <w:hideMark/>
          </w:tcPr>
          <w:p w14:paraId="3BD75629"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197" w:type="dxa"/>
            <w:tcBorders>
              <w:top w:val="single" w:sz="4" w:space="0" w:color="auto"/>
              <w:left w:val="nil"/>
              <w:bottom w:val="single" w:sz="4" w:space="0" w:color="auto"/>
              <w:right w:val="single" w:sz="4" w:space="0" w:color="auto"/>
            </w:tcBorders>
            <w:shd w:val="clear" w:color="000000" w:fill="E7E6E6"/>
            <w:vAlign w:val="center"/>
            <w:hideMark/>
          </w:tcPr>
          <w:p w14:paraId="4F112761"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126" w:type="dxa"/>
            <w:tcBorders>
              <w:top w:val="single" w:sz="4" w:space="0" w:color="auto"/>
              <w:left w:val="nil"/>
              <w:bottom w:val="single" w:sz="4" w:space="0" w:color="auto"/>
              <w:right w:val="single" w:sz="4" w:space="0" w:color="auto"/>
            </w:tcBorders>
            <w:shd w:val="clear" w:color="000000" w:fill="E7E6E6"/>
            <w:vAlign w:val="center"/>
            <w:hideMark/>
          </w:tcPr>
          <w:p w14:paraId="60208ED3"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20" w:type="dxa"/>
            <w:tcBorders>
              <w:top w:val="single" w:sz="4" w:space="0" w:color="auto"/>
              <w:left w:val="nil"/>
              <w:bottom w:val="single" w:sz="4" w:space="0" w:color="auto"/>
              <w:right w:val="single" w:sz="4" w:space="0" w:color="auto"/>
            </w:tcBorders>
            <w:shd w:val="clear" w:color="000000" w:fill="E7E6E6"/>
            <w:vAlign w:val="center"/>
            <w:hideMark/>
          </w:tcPr>
          <w:p w14:paraId="5C1425A5"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6D1903" w:rsidRPr="00EE5714" w14:paraId="60BEE6F8" w14:textId="77777777" w:rsidTr="00701518">
        <w:trPr>
          <w:trHeight w:val="430"/>
          <w:jc w:val="center"/>
        </w:trPr>
        <w:tc>
          <w:tcPr>
            <w:tcW w:w="4225" w:type="dxa"/>
            <w:gridSpan w:val="4"/>
            <w:tcBorders>
              <w:top w:val="single" w:sz="4" w:space="0" w:color="auto"/>
              <w:left w:val="single" w:sz="4" w:space="0" w:color="auto"/>
              <w:bottom w:val="single" w:sz="4" w:space="0" w:color="auto"/>
              <w:right w:val="single" w:sz="4" w:space="0" w:color="000000"/>
            </w:tcBorders>
            <w:shd w:val="clear" w:color="000000" w:fill="E7E6E6"/>
            <w:vAlign w:val="center"/>
            <w:hideMark/>
          </w:tcPr>
          <w:p w14:paraId="5146C405" w14:textId="293D121F"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EQT Service Area - 2012-2016 ACS</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22DAC2B8"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1029" w:type="dxa"/>
            <w:tcBorders>
              <w:top w:val="nil"/>
              <w:left w:val="nil"/>
              <w:bottom w:val="single" w:sz="4" w:space="0" w:color="auto"/>
              <w:right w:val="single" w:sz="4" w:space="0" w:color="auto"/>
            </w:tcBorders>
            <w:shd w:val="clear" w:color="auto" w:fill="auto"/>
            <w:vAlign w:val="center"/>
            <w:hideMark/>
          </w:tcPr>
          <w:p w14:paraId="3D6CCA9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5,895</w:t>
            </w:r>
          </w:p>
        </w:tc>
        <w:tc>
          <w:tcPr>
            <w:tcW w:w="714" w:type="dxa"/>
            <w:tcBorders>
              <w:top w:val="nil"/>
              <w:left w:val="nil"/>
              <w:bottom w:val="single" w:sz="4" w:space="0" w:color="auto"/>
              <w:right w:val="single" w:sz="4" w:space="0" w:color="auto"/>
            </w:tcBorders>
            <w:shd w:val="clear" w:color="auto" w:fill="auto"/>
            <w:vAlign w:val="center"/>
            <w:hideMark/>
          </w:tcPr>
          <w:p w14:paraId="11A4A9BF"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0.9%</w:t>
            </w:r>
          </w:p>
        </w:tc>
        <w:tc>
          <w:tcPr>
            <w:tcW w:w="1197" w:type="dxa"/>
            <w:tcBorders>
              <w:top w:val="nil"/>
              <w:left w:val="nil"/>
              <w:bottom w:val="single" w:sz="4" w:space="0" w:color="auto"/>
              <w:right w:val="single" w:sz="4" w:space="0" w:color="auto"/>
            </w:tcBorders>
            <w:shd w:val="clear" w:color="auto" w:fill="auto"/>
            <w:vAlign w:val="center"/>
            <w:hideMark/>
          </w:tcPr>
          <w:p w14:paraId="7510C24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169,447</w:t>
            </w:r>
          </w:p>
        </w:tc>
        <w:tc>
          <w:tcPr>
            <w:tcW w:w="1126" w:type="dxa"/>
            <w:tcBorders>
              <w:top w:val="nil"/>
              <w:left w:val="nil"/>
              <w:bottom w:val="single" w:sz="4" w:space="0" w:color="auto"/>
              <w:right w:val="single" w:sz="4" w:space="0" w:color="auto"/>
            </w:tcBorders>
            <w:shd w:val="clear" w:color="auto" w:fill="auto"/>
            <w:vAlign w:val="center"/>
            <w:hideMark/>
          </w:tcPr>
          <w:p w14:paraId="1EF9F8F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20" w:type="dxa"/>
            <w:tcBorders>
              <w:top w:val="nil"/>
              <w:left w:val="nil"/>
              <w:bottom w:val="single" w:sz="4" w:space="0" w:color="auto"/>
              <w:right w:val="single" w:sz="4" w:space="0" w:color="auto"/>
            </w:tcBorders>
            <w:shd w:val="clear" w:color="auto" w:fill="auto"/>
            <w:vAlign w:val="center"/>
            <w:hideMark/>
          </w:tcPr>
          <w:p w14:paraId="76D19144"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34.7%</w:t>
            </w:r>
          </w:p>
        </w:tc>
      </w:tr>
      <w:tr w:rsidR="006D1903" w:rsidRPr="00EE5714" w14:paraId="195A1722" w14:textId="77777777" w:rsidTr="00701518">
        <w:trPr>
          <w:trHeight w:val="296"/>
          <w:jc w:val="center"/>
        </w:trPr>
        <w:tc>
          <w:tcPr>
            <w:tcW w:w="118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6AFAF4F"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36"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6CE51CCC"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2C8EB9AB"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1029" w:type="dxa"/>
            <w:tcBorders>
              <w:top w:val="nil"/>
              <w:left w:val="nil"/>
              <w:bottom w:val="single" w:sz="4" w:space="0" w:color="auto"/>
              <w:right w:val="single" w:sz="4" w:space="0" w:color="auto"/>
            </w:tcBorders>
            <w:shd w:val="clear" w:color="auto" w:fill="auto"/>
            <w:vAlign w:val="center"/>
            <w:hideMark/>
          </w:tcPr>
          <w:p w14:paraId="7A759CD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w:t>
            </w:r>
          </w:p>
        </w:tc>
        <w:tc>
          <w:tcPr>
            <w:tcW w:w="714" w:type="dxa"/>
            <w:tcBorders>
              <w:top w:val="nil"/>
              <w:left w:val="nil"/>
              <w:bottom w:val="single" w:sz="4" w:space="0" w:color="auto"/>
              <w:right w:val="single" w:sz="4" w:space="0" w:color="auto"/>
            </w:tcBorders>
            <w:shd w:val="clear" w:color="auto" w:fill="auto"/>
            <w:vAlign w:val="center"/>
            <w:hideMark/>
          </w:tcPr>
          <w:p w14:paraId="0D0E4457"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97" w:type="dxa"/>
            <w:tcBorders>
              <w:top w:val="nil"/>
              <w:left w:val="nil"/>
              <w:bottom w:val="single" w:sz="4" w:space="0" w:color="auto"/>
              <w:right w:val="single" w:sz="4" w:space="0" w:color="auto"/>
            </w:tcBorders>
            <w:shd w:val="clear" w:color="auto" w:fill="auto"/>
            <w:vAlign w:val="center"/>
            <w:hideMark/>
          </w:tcPr>
          <w:p w14:paraId="7760707B"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488,684</w:t>
            </w:r>
          </w:p>
        </w:tc>
        <w:tc>
          <w:tcPr>
            <w:tcW w:w="1126" w:type="dxa"/>
            <w:tcBorders>
              <w:top w:val="nil"/>
              <w:left w:val="nil"/>
              <w:bottom w:val="single" w:sz="4" w:space="0" w:color="auto"/>
              <w:right w:val="single" w:sz="4" w:space="0" w:color="auto"/>
            </w:tcBorders>
            <w:shd w:val="clear" w:color="auto" w:fill="auto"/>
            <w:vAlign w:val="center"/>
            <w:hideMark/>
          </w:tcPr>
          <w:p w14:paraId="49C8055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20" w:type="dxa"/>
            <w:tcBorders>
              <w:top w:val="nil"/>
              <w:left w:val="nil"/>
              <w:bottom w:val="single" w:sz="4" w:space="0" w:color="auto"/>
              <w:right w:val="single" w:sz="4" w:space="0" w:color="auto"/>
            </w:tcBorders>
            <w:shd w:val="clear" w:color="auto" w:fill="auto"/>
            <w:vAlign w:val="center"/>
            <w:hideMark/>
          </w:tcPr>
          <w:p w14:paraId="1981886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65.3%</w:t>
            </w:r>
          </w:p>
        </w:tc>
      </w:tr>
      <w:tr w:rsidR="006D1903" w:rsidRPr="00EE5714" w14:paraId="4AB73704" w14:textId="77777777" w:rsidTr="00701518">
        <w:trPr>
          <w:trHeight w:val="56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0362CA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81,511</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295C9A9A"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12.39%</w:t>
            </w:r>
          </w:p>
        </w:tc>
        <w:tc>
          <w:tcPr>
            <w:tcW w:w="22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A3D0C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078E0D8F"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1029" w:type="dxa"/>
            <w:tcBorders>
              <w:top w:val="nil"/>
              <w:left w:val="nil"/>
              <w:bottom w:val="single" w:sz="4" w:space="0" w:color="auto"/>
              <w:right w:val="single" w:sz="4" w:space="0" w:color="auto"/>
            </w:tcBorders>
            <w:shd w:val="clear" w:color="auto" w:fill="auto"/>
            <w:vAlign w:val="center"/>
            <w:hideMark/>
          </w:tcPr>
          <w:p w14:paraId="6FAAEC8E"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3,418</w:t>
            </w:r>
          </w:p>
        </w:tc>
        <w:tc>
          <w:tcPr>
            <w:tcW w:w="714" w:type="dxa"/>
            <w:tcBorders>
              <w:top w:val="nil"/>
              <w:left w:val="nil"/>
              <w:bottom w:val="single" w:sz="4" w:space="0" w:color="auto"/>
              <w:right w:val="single" w:sz="4" w:space="0" w:color="auto"/>
            </w:tcBorders>
            <w:shd w:val="clear" w:color="auto" w:fill="auto"/>
            <w:vAlign w:val="center"/>
            <w:hideMark/>
          </w:tcPr>
          <w:p w14:paraId="0B41F9FA"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w:t>
            </w:r>
          </w:p>
        </w:tc>
        <w:tc>
          <w:tcPr>
            <w:tcW w:w="1197" w:type="dxa"/>
            <w:tcBorders>
              <w:top w:val="nil"/>
              <w:left w:val="nil"/>
              <w:bottom w:val="single" w:sz="4" w:space="0" w:color="auto"/>
              <w:right w:val="single" w:sz="4" w:space="0" w:color="auto"/>
            </w:tcBorders>
            <w:shd w:val="clear" w:color="auto" w:fill="auto"/>
            <w:vAlign w:val="center"/>
            <w:hideMark/>
          </w:tcPr>
          <w:p w14:paraId="7D1F9EFE"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196,039</w:t>
            </w:r>
          </w:p>
        </w:tc>
        <w:tc>
          <w:tcPr>
            <w:tcW w:w="1126" w:type="dxa"/>
            <w:tcBorders>
              <w:top w:val="nil"/>
              <w:left w:val="nil"/>
              <w:bottom w:val="single" w:sz="4" w:space="0" w:color="auto"/>
              <w:right w:val="single" w:sz="4" w:space="0" w:color="auto"/>
            </w:tcBorders>
            <w:shd w:val="clear" w:color="auto" w:fill="auto"/>
            <w:vAlign w:val="center"/>
            <w:hideMark/>
          </w:tcPr>
          <w:p w14:paraId="412378C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20" w:type="dxa"/>
            <w:tcBorders>
              <w:top w:val="nil"/>
              <w:left w:val="nil"/>
              <w:bottom w:val="single" w:sz="4" w:space="0" w:color="auto"/>
              <w:right w:val="single" w:sz="4" w:space="0" w:color="auto"/>
            </w:tcBorders>
            <w:shd w:val="clear" w:color="auto" w:fill="auto"/>
            <w:vAlign w:val="center"/>
            <w:hideMark/>
          </w:tcPr>
          <w:p w14:paraId="08DE1423" w14:textId="77777777" w:rsidR="006D1903" w:rsidRPr="00EE5714" w:rsidRDefault="006D1903"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42.4%</w:t>
            </w:r>
          </w:p>
        </w:tc>
      </w:tr>
      <w:tr w:rsidR="006D1903" w:rsidRPr="00EE5714" w14:paraId="4D85DB00" w14:textId="77777777" w:rsidTr="00701518">
        <w:trPr>
          <w:trHeight w:val="504"/>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1C6660C"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576,620</w:t>
            </w:r>
          </w:p>
        </w:tc>
        <w:tc>
          <w:tcPr>
            <w:tcW w:w="818" w:type="dxa"/>
            <w:tcBorders>
              <w:top w:val="nil"/>
              <w:left w:val="nil"/>
              <w:bottom w:val="single" w:sz="4" w:space="0" w:color="auto"/>
              <w:right w:val="single" w:sz="4" w:space="0" w:color="auto"/>
            </w:tcBorders>
            <w:shd w:val="clear" w:color="auto" w:fill="auto"/>
            <w:vAlign w:val="center"/>
            <w:hideMark/>
          </w:tcPr>
          <w:p w14:paraId="6345D32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87.61%</w:t>
            </w:r>
          </w:p>
        </w:tc>
        <w:tc>
          <w:tcPr>
            <w:tcW w:w="22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8C204CB"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163E84C3"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1029" w:type="dxa"/>
            <w:tcBorders>
              <w:top w:val="nil"/>
              <w:left w:val="nil"/>
              <w:bottom w:val="single" w:sz="4" w:space="0" w:color="auto"/>
              <w:right w:val="single" w:sz="4" w:space="0" w:color="auto"/>
            </w:tcBorders>
            <w:shd w:val="clear" w:color="auto" w:fill="auto"/>
            <w:vAlign w:val="center"/>
            <w:hideMark/>
          </w:tcPr>
          <w:p w14:paraId="7777FC56"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1,893</w:t>
            </w:r>
          </w:p>
        </w:tc>
        <w:tc>
          <w:tcPr>
            <w:tcW w:w="714" w:type="dxa"/>
            <w:tcBorders>
              <w:top w:val="nil"/>
              <w:left w:val="nil"/>
              <w:bottom w:val="single" w:sz="4" w:space="0" w:color="auto"/>
              <w:right w:val="single" w:sz="4" w:space="0" w:color="auto"/>
            </w:tcBorders>
            <w:shd w:val="clear" w:color="auto" w:fill="auto"/>
            <w:vAlign w:val="center"/>
            <w:hideMark/>
          </w:tcPr>
          <w:p w14:paraId="511864BB"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197" w:type="dxa"/>
            <w:tcBorders>
              <w:top w:val="nil"/>
              <w:left w:val="nil"/>
              <w:bottom w:val="single" w:sz="4" w:space="0" w:color="auto"/>
              <w:right w:val="single" w:sz="4" w:space="0" w:color="auto"/>
            </w:tcBorders>
            <w:shd w:val="clear" w:color="auto" w:fill="auto"/>
            <w:vAlign w:val="center"/>
            <w:hideMark/>
          </w:tcPr>
          <w:p w14:paraId="2FDD2C95"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462,093</w:t>
            </w:r>
          </w:p>
        </w:tc>
        <w:tc>
          <w:tcPr>
            <w:tcW w:w="1126" w:type="dxa"/>
            <w:tcBorders>
              <w:top w:val="nil"/>
              <w:left w:val="nil"/>
              <w:bottom w:val="single" w:sz="4" w:space="0" w:color="auto"/>
              <w:right w:val="single" w:sz="4" w:space="0" w:color="auto"/>
            </w:tcBorders>
            <w:shd w:val="clear" w:color="auto" w:fill="auto"/>
            <w:vAlign w:val="center"/>
            <w:hideMark/>
          </w:tcPr>
          <w:p w14:paraId="5304110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20" w:type="dxa"/>
            <w:tcBorders>
              <w:top w:val="nil"/>
              <w:left w:val="nil"/>
              <w:bottom w:val="single" w:sz="4" w:space="0" w:color="auto"/>
              <w:right w:val="single" w:sz="4" w:space="0" w:color="auto"/>
            </w:tcBorders>
            <w:shd w:val="clear" w:color="auto" w:fill="auto"/>
            <w:vAlign w:val="center"/>
            <w:hideMark/>
          </w:tcPr>
          <w:p w14:paraId="5E0DABD4" w14:textId="77777777" w:rsidR="006D1903" w:rsidRPr="00EE5714" w:rsidRDefault="006D1903"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57.6%</w:t>
            </w:r>
          </w:p>
        </w:tc>
      </w:tr>
      <w:tr w:rsidR="006D1903" w:rsidRPr="00EE5714" w14:paraId="194510E0" w14:textId="77777777" w:rsidTr="00701518">
        <w:trPr>
          <w:trHeight w:val="296"/>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32F79ED" w14:textId="77777777" w:rsidR="006D1903" w:rsidRPr="00EE5714" w:rsidRDefault="006D1903" w:rsidP="006D1903">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658,131</w:t>
            </w:r>
          </w:p>
        </w:tc>
        <w:tc>
          <w:tcPr>
            <w:tcW w:w="303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F65344A" w14:textId="77777777" w:rsidR="006D1903" w:rsidRPr="00EE5714" w:rsidRDefault="006D1903" w:rsidP="006D1903">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1893E7C2" w14:textId="77777777" w:rsidR="006D1903" w:rsidRPr="00EE5714" w:rsidRDefault="006D1903" w:rsidP="006D1903">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29" w:type="dxa"/>
            <w:tcBorders>
              <w:top w:val="nil"/>
              <w:left w:val="nil"/>
              <w:bottom w:val="single" w:sz="4" w:space="0" w:color="auto"/>
              <w:right w:val="single" w:sz="4" w:space="0" w:color="auto"/>
            </w:tcBorders>
            <w:shd w:val="clear" w:color="auto" w:fill="auto"/>
            <w:vAlign w:val="center"/>
            <w:hideMark/>
          </w:tcPr>
          <w:p w14:paraId="7D2EAE1A" w14:textId="77777777" w:rsidR="006D1903" w:rsidRPr="00EE5714" w:rsidRDefault="006D1903" w:rsidP="006D1903">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658,132</w:t>
            </w:r>
          </w:p>
        </w:tc>
        <w:tc>
          <w:tcPr>
            <w:tcW w:w="714" w:type="dxa"/>
            <w:tcBorders>
              <w:top w:val="nil"/>
              <w:left w:val="nil"/>
              <w:bottom w:val="single" w:sz="4" w:space="0" w:color="auto"/>
              <w:right w:val="single" w:sz="4" w:space="0" w:color="auto"/>
            </w:tcBorders>
            <w:shd w:val="clear" w:color="auto" w:fill="auto"/>
            <w:vAlign w:val="center"/>
            <w:hideMark/>
          </w:tcPr>
          <w:p w14:paraId="02DA173B" w14:textId="77777777" w:rsidR="006D1903" w:rsidRPr="00EE5714" w:rsidRDefault="006D1903" w:rsidP="006D1903">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03B9E89C" w14:textId="77777777" w:rsidR="006D1903" w:rsidRPr="00EE5714" w:rsidRDefault="006D1903" w:rsidP="006D1903">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658,132</w:t>
            </w:r>
          </w:p>
        </w:tc>
        <w:tc>
          <w:tcPr>
            <w:tcW w:w="18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1D68AB" w14:textId="77777777" w:rsidR="006D1903" w:rsidRPr="00EE5714" w:rsidRDefault="006D1903" w:rsidP="006D1903">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09A524C7" w14:textId="77777777" w:rsidR="00701518" w:rsidRPr="00EE5714" w:rsidRDefault="00701518" w:rsidP="00701518">
      <w:pPr>
        <w:spacing w:after="0" w:line="240" w:lineRule="auto"/>
        <w:rPr>
          <w:rFonts w:ascii="Times New Roman" w:hAnsi="Times New Roman" w:cs="Times New Roman"/>
          <w:sz w:val="26"/>
          <w:szCs w:val="26"/>
        </w:rPr>
      </w:pPr>
    </w:p>
    <w:p w14:paraId="1F809563" w14:textId="77777777" w:rsidR="00701518" w:rsidRPr="00EE5714" w:rsidRDefault="00701518" w:rsidP="00701518">
      <w:pPr>
        <w:spacing w:after="0" w:line="240" w:lineRule="auto"/>
        <w:rPr>
          <w:rFonts w:ascii="Times New Roman" w:hAnsi="Times New Roman" w:cs="Times New Roman"/>
          <w:sz w:val="26"/>
          <w:szCs w:val="26"/>
        </w:rPr>
      </w:pPr>
    </w:p>
    <w:p w14:paraId="22EFC3CE" w14:textId="77777777" w:rsidR="007E1D1B" w:rsidRPr="00EE5714" w:rsidRDefault="003A198F" w:rsidP="00661388">
      <w:pPr>
        <w:pStyle w:val="NoSpacing"/>
        <w:keepNext/>
        <w:rPr>
          <w:b/>
        </w:rPr>
      </w:pPr>
      <w:r w:rsidRPr="00EE5714">
        <w:lastRenderedPageBreak/>
        <w:t>Appendix 1.</w:t>
      </w:r>
      <w:r w:rsidR="00AB1895" w:rsidRPr="00EE5714">
        <w:t>A.5</w:t>
      </w:r>
      <w:r w:rsidRPr="00EE5714">
        <w:t xml:space="preserve">: </w:t>
      </w:r>
      <w:r w:rsidRPr="00EE5714">
        <w:rPr>
          <w:b/>
        </w:rPr>
        <w:t>PGW Service Territory Demographic Profile</w:t>
      </w:r>
    </w:p>
    <w:tbl>
      <w:tblPr>
        <w:tblW w:w="10603" w:type="dxa"/>
        <w:jc w:val="center"/>
        <w:tblLook w:val="04A0" w:firstRow="1" w:lastRow="0" w:firstColumn="1" w:lastColumn="0" w:noHBand="0" w:noVBand="1"/>
      </w:tblPr>
      <w:tblGrid>
        <w:gridCol w:w="1189"/>
        <w:gridCol w:w="829"/>
        <w:gridCol w:w="1109"/>
        <w:gridCol w:w="1109"/>
        <w:gridCol w:w="1546"/>
        <w:gridCol w:w="1029"/>
        <w:gridCol w:w="714"/>
        <w:gridCol w:w="1231"/>
        <w:gridCol w:w="1126"/>
        <w:gridCol w:w="721"/>
      </w:tblGrid>
      <w:tr w:rsidR="007E1D1B" w:rsidRPr="00EE5714" w14:paraId="65B5699C" w14:textId="77777777" w:rsidTr="00701518">
        <w:trPr>
          <w:trHeight w:val="709"/>
          <w:jc w:val="center"/>
        </w:trPr>
        <w:tc>
          <w:tcPr>
            <w:tcW w:w="118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33786F2"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PGW</w:t>
            </w:r>
          </w:p>
        </w:tc>
        <w:tc>
          <w:tcPr>
            <w:tcW w:w="1938" w:type="dxa"/>
            <w:gridSpan w:val="2"/>
            <w:tcBorders>
              <w:top w:val="single" w:sz="4" w:space="0" w:color="auto"/>
              <w:left w:val="nil"/>
              <w:bottom w:val="single" w:sz="4" w:space="0" w:color="auto"/>
              <w:right w:val="single" w:sz="4" w:space="0" w:color="auto"/>
            </w:tcBorders>
            <w:shd w:val="clear" w:color="000000" w:fill="E7E6E6"/>
            <w:vAlign w:val="center"/>
            <w:hideMark/>
          </w:tcPr>
          <w:p w14:paraId="6440D096"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109"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58EE468"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289" w:type="dxa"/>
            <w:gridSpan w:val="3"/>
            <w:tcBorders>
              <w:top w:val="single" w:sz="4" w:space="0" w:color="auto"/>
              <w:left w:val="nil"/>
              <w:bottom w:val="single" w:sz="4" w:space="0" w:color="auto"/>
              <w:right w:val="single" w:sz="4" w:space="0" w:color="auto"/>
            </w:tcBorders>
            <w:shd w:val="clear" w:color="000000" w:fill="E7E6E6"/>
            <w:vAlign w:val="center"/>
            <w:hideMark/>
          </w:tcPr>
          <w:p w14:paraId="75DD426B"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078" w:type="dxa"/>
            <w:gridSpan w:val="3"/>
            <w:tcBorders>
              <w:top w:val="single" w:sz="4" w:space="0" w:color="auto"/>
              <w:left w:val="nil"/>
              <w:bottom w:val="single" w:sz="4" w:space="0" w:color="auto"/>
              <w:right w:val="single" w:sz="4" w:space="0" w:color="auto"/>
            </w:tcBorders>
            <w:shd w:val="clear" w:color="000000" w:fill="E7E6E6"/>
            <w:vAlign w:val="center"/>
            <w:hideMark/>
          </w:tcPr>
          <w:p w14:paraId="4449FE81"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7E1D1B" w:rsidRPr="00EE5714" w14:paraId="3C27FD44" w14:textId="77777777" w:rsidTr="00701518">
        <w:trPr>
          <w:trHeight w:val="561"/>
          <w:jc w:val="center"/>
        </w:trPr>
        <w:tc>
          <w:tcPr>
            <w:tcW w:w="1189" w:type="dxa"/>
            <w:tcBorders>
              <w:top w:val="nil"/>
              <w:left w:val="single" w:sz="4" w:space="0" w:color="auto"/>
              <w:bottom w:val="single" w:sz="4" w:space="0" w:color="auto"/>
              <w:right w:val="single" w:sz="4" w:space="0" w:color="auto"/>
            </w:tcBorders>
            <w:shd w:val="clear" w:color="000000" w:fill="E7E6E6"/>
            <w:vAlign w:val="center"/>
            <w:hideMark/>
          </w:tcPr>
          <w:p w14:paraId="7BA18233"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53.30%</w:t>
            </w:r>
          </w:p>
        </w:tc>
        <w:tc>
          <w:tcPr>
            <w:tcW w:w="829" w:type="dxa"/>
            <w:tcBorders>
              <w:top w:val="nil"/>
              <w:left w:val="nil"/>
              <w:bottom w:val="single" w:sz="4" w:space="0" w:color="auto"/>
              <w:right w:val="single" w:sz="4" w:space="0" w:color="auto"/>
            </w:tcBorders>
            <w:shd w:val="clear" w:color="000000" w:fill="E7E6E6"/>
            <w:vAlign w:val="center"/>
            <w:hideMark/>
          </w:tcPr>
          <w:p w14:paraId="7E0CDA61"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109" w:type="dxa"/>
            <w:tcBorders>
              <w:top w:val="nil"/>
              <w:left w:val="nil"/>
              <w:bottom w:val="single" w:sz="4" w:space="0" w:color="auto"/>
              <w:right w:val="single" w:sz="4" w:space="0" w:color="auto"/>
            </w:tcBorders>
            <w:shd w:val="clear" w:color="000000" w:fill="E7E6E6"/>
            <w:vAlign w:val="center"/>
            <w:hideMark/>
          </w:tcPr>
          <w:p w14:paraId="4E22C52E"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26F35EFD" w14:textId="77777777" w:rsidR="007E1D1B" w:rsidRPr="00EE5714" w:rsidRDefault="007E1D1B" w:rsidP="00F0682D">
            <w:pPr>
              <w:keepNext/>
              <w:spacing w:after="0" w:line="240" w:lineRule="auto"/>
              <w:rPr>
                <w:rFonts w:ascii="Calibri" w:eastAsia="Times New Roman" w:hAnsi="Calibri" w:cs="Calibri"/>
                <w:b/>
                <w:bCs/>
                <w:color w:val="000000"/>
                <w:sz w:val="20"/>
                <w:szCs w:val="20"/>
              </w:rPr>
            </w:pPr>
          </w:p>
        </w:tc>
        <w:tc>
          <w:tcPr>
            <w:tcW w:w="2575" w:type="dxa"/>
            <w:gridSpan w:val="2"/>
            <w:tcBorders>
              <w:top w:val="single" w:sz="4" w:space="0" w:color="auto"/>
              <w:left w:val="nil"/>
              <w:bottom w:val="single" w:sz="4" w:space="0" w:color="auto"/>
              <w:right w:val="single" w:sz="4" w:space="0" w:color="auto"/>
            </w:tcBorders>
            <w:shd w:val="clear" w:color="000000" w:fill="E7E6E6"/>
            <w:vAlign w:val="center"/>
            <w:hideMark/>
          </w:tcPr>
          <w:p w14:paraId="618FCB40"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14" w:type="dxa"/>
            <w:tcBorders>
              <w:top w:val="nil"/>
              <w:left w:val="nil"/>
              <w:bottom w:val="single" w:sz="4" w:space="0" w:color="auto"/>
              <w:right w:val="single" w:sz="4" w:space="0" w:color="auto"/>
            </w:tcBorders>
            <w:shd w:val="clear" w:color="000000" w:fill="E7E6E6"/>
            <w:vAlign w:val="center"/>
            <w:hideMark/>
          </w:tcPr>
          <w:p w14:paraId="6475510E"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357" w:type="dxa"/>
            <w:gridSpan w:val="2"/>
            <w:tcBorders>
              <w:top w:val="single" w:sz="4" w:space="0" w:color="auto"/>
              <w:left w:val="nil"/>
              <w:bottom w:val="single" w:sz="4" w:space="0" w:color="auto"/>
              <w:right w:val="single" w:sz="4" w:space="0" w:color="auto"/>
            </w:tcBorders>
            <w:shd w:val="clear" w:color="000000" w:fill="E7E6E6"/>
            <w:vAlign w:val="center"/>
            <w:hideMark/>
          </w:tcPr>
          <w:p w14:paraId="03B37B21"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21" w:type="dxa"/>
            <w:tcBorders>
              <w:top w:val="nil"/>
              <w:left w:val="nil"/>
              <w:bottom w:val="single" w:sz="4" w:space="0" w:color="auto"/>
              <w:right w:val="single" w:sz="4" w:space="0" w:color="auto"/>
            </w:tcBorders>
            <w:shd w:val="clear" w:color="000000" w:fill="E7E6E6"/>
            <w:vAlign w:val="center"/>
            <w:hideMark/>
          </w:tcPr>
          <w:p w14:paraId="178749D4"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7E1D1B" w:rsidRPr="00EE5714" w14:paraId="50A47F97" w14:textId="77777777" w:rsidTr="00701518">
        <w:trPr>
          <w:trHeight w:val="295"/>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652BFCD5"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127,582</w:t>
            </w:r>
          </w:p>
        </w:tc>
        <w:tc>
          <w:tcPr>
            <w:tcW w:w="829" w:type="dxa"/>
            <w:tcBorders>
              <w:top w:val="nil"/>
              <w:left w:val="nil"/>
              <w:bottom w:val="single" w:sz="4" w:space="0" w:color="auto"/>
              <w:right w:val="single" w:sz="4" w:space="0" w:color="auto"/>
            </w:tcBorders>
            <w:shd w:val="clear" w:color="auto" w:fill="auto"/>
            <w:vAlign w:val="center"/>
            <w:hideMark/>
          </w:tcPr>
          <w:p w14:paraId="638F5D21"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21.9%</w:t>
            </w:r>
          </w:p>
        </w:tc>
        <w:tc>
          <w:tcPr>
            <w:tcW w:w="1109" w:type="dxa"/>
            <w:tcBorders>
              <w:top w:val="nil"/>
              <w:left w:val="nil"/>
              <w:bottom w:val="single" w:sz="4" w:space="0" w:color="auto"/>
              <w:right w:val="single" w:sz="4" w:space="0" w:color="auto"/>
            </w:tcBorders>
            <w:shd w:val="clear" w:color="auto" w:fill="auto"/>
            <w:vAlign w:val="center"/>
            <w:hideMark/>
          </w:tcPr>
          <w:p w14:paraId="0DF4AE75"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1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D56E74"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CFB61EF"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1029" w:type="dxa"/>
            <w:tcBorders>
              <w:top w:val="nil"/>
              <w:left w:val="nil"/>
              <w:bottom w:val="single" w:sz="4" w:space="0" w:color="auto"/>
              <w:right w:val="single" w:sz="4" w:space="0" w:color="auto"/>
            </w:tcBorders>
            <w:shd w:val="clear" w:color="auto" w:fill="auto"/>
            <w:vAlign w:val="center"/>
            <w:hideMark/>
          </w:tcPr>
          <w:p w14:paraId="32E8E92A"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183,208</w:t>
            </w:r>
          </w:p>
        </w:tc>
        <w:tc>
          <w:tcPr>
            <w:tcW w:w="714" w:type="dxa"/>
            <w:tcBorders>
              <w:top w:val="nil"/>
              <w:left w:val="nil"/>
              <w:bottom w:val="single" w:sz="4" w:space="0" w:color="auto"/>
              <w:right w:val="single" w:sz="4" w:space="0" w:color="auto"/>
            </w:tcBorders>
            <w:shd w:val="clear" w:color="auto" w:fill="auto"/>
            <w:vAlign w:val="center"/>
            <w:hideMark/>
          </w:tcPr>
          <w:p w14:paraId="2C45B3D8"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12.1%</w:t>
            </w:r>
          </w:p>
        </w:tc>
        <w:tc>
          <w:tcPr>
            <w:tcW w:w="1231" w:type="dxa"/>
            <w:tcBorders>
              <w:top w:val="nil"/>
              <w:left w:val="nil"/>
              <w:bottom w:val="single" w:sz="4" w:space="0" w:color="auto"/>
              <w:right w:val="single" w:sz="4" w:space="0" w:color="auto"/>
            </w:tcBorders>
            <w:shd w:val="clear" w:color="auto" w:fill="auto"/>
            <w:vAlign w:val="center"/>
            <w:hideMark/>
          </w:tcPr>
          <w:p w14:paraId="0911392B"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126" w:type="dxa"/>
            <w:tcBorders>
              <w:top w:val="nil"/>
              <w:left w:val="nil"/>
              <w:bottom w:val="single" w:sz="4" w:space="0" w:color="auto"/>
              <w:right w:val="single" w:sz="4" w:space="0" w:color="auto"/>
            </w:tcBorders>
            <w:shd w:val="clear" w:color="auto" w:fill="auto"/>
            <w:vAlign w:val="center"/>
            <w:hideMark/>
          </w:tcPr>
          <w:p w14:paraId="74CAD5F9"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120,095</w:t>
            </w:r>
          </w:p>
        </w:tc>
        <w:tc>
          <w:tcPr>
            <w:tcW w:w="721" w:type="dxa"/>
            <w:tcBorders>
              <w:top w:val="nil"/>
              <w:left w:val="nil"/>
              <w:bottom w:val="single" w:sz="4" w:space="0" w:color="auto"/>
              <w:right w:val="single" w:sz="4" w:space="0" w:color="auto"/>
            </w:tcBorders>
            <w:shd w:val="clear" w:color="auto" w:fill="auto"/>
            <w:vAlign w:val="center"/>
            <w:hideMark/>
          </w:tcPr>
          <w:p w14:paraId="247FA9DE"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19.3%</w:t>
            </w:r>
          </w:p>
        </w:tc>
      </w:tr>
      <w:tr w:rsidR="007E1D1B" w:rsidRPr="00EE5714" w14:paraId="5F5C108F" w14:textId="77777777" w:rsidTr="00701518">
        <w:trPr>
          <w:trHeight w:val="295"/>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51BFAACE"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80,726</w:t>
            </w:r>
          </w:p>
        </w:tc>
        <w:tc>
          <w:tcPr>
            <w:tcW w:w="829" w:type="dxa"/>
            <w:tcBorders>
              <w:top w:val="nil"/>
              <w:left w:val="nil"/>
              <w:bottom w:val="single" w:sz="4" w:space="0" w:color="auto"/>
              <w:right w:val="single" w:sz="4" w:space="0" w:color="auto"/>
            </w:tcBorders>
            <w:shd w:val="clear" w:color="auto" w:fill="auto"/>
            <w:vAlign w:val="center"/>
            <w:hideMark/>
          </w:tcPr>
          <w:p w14:paraId="410890B4"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13.9%</w:t>
            </w:r>
          </w:p>
        </w:tc>
        <w:tc>
          <w:tcPr>
            <w:tcW w:w="1109" w:type="dxa"/>
            <w:tcBorders>
              <w:top w:val="nil"/>
              <w:left w:val="nil"/>
              <w:bottom w:val="single" w:sz="4" w:space="0" w:color="auto"/>
              <w:right w:val="single" w:sz="4" w:space="0" w:color="auto"/>
            </w:tcBorders>
            <w:shd w:val="clear" w:color="auto" w:fill="auto"/>
            <w:vAlign w:val="center"/>
            <w:hideMark/>
          </w:tcPr>
          <w:p w14:paraId="00A42A80"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34FF3390" w14:textId="77777777" w:rsidR="007E1D1B" w:rsidRPr="00EE5714" w:rsidRDefault="007E1D1B" w:rsidP="00F0682D">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3D69E498"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1029" w:type="dxa"/>
            <w:tcBorders>
              <w:top w:val="nil"/>
              <w:left w:val="nil"/>
              <w:bottom w:val="single" w:sz="4" w:space="0" w:color="auto"/>
              <w:right w:val="single" w:sz="4" w:space="0" w:color="auto"/>
            </w:tcBorders>
            <w:shd w:val="clear" w:color="auto" w:fill="auto"/>
            <w:vAlign w:val="center"/>
            <w:hideMark/>
          </w:tcPr>
          <w:p w14:paraId="227372ED"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209,148</w:t>
            </w:r>
          </w:p>
        </w:tc>
        <w:tc>
          <w:tcPr>
            <w:tcW w:w="714" w:type="dxa"/>
            <w:tcBorders>
              <w:top w:val="nil"/>
              <w:left w:val="nil"/>
              <w:bottom w:val="single" w:sz="4" w:space="0" w:color="auto"/>
              <w:right w:val="single" w:sz="4" w:space="0" w:color="auto"/>
            </w:tcBorders>
            <w:shd w:val="clear" w:color="auto" w:fill="auto"/>
            <w:vAlign w:val="center"/>
            <w:hideMark/>
          </w:tcPr>
          <w:p w14:paraId="420CA5D8"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13.8%</w:t>
            </w:r>
          </w:p>
        </w:tc>
        <w:tc>
          <w:tcPr>
            <w:tcW w:w="1231" w:type="dxa"/>
            <w:tcBorders>
              <w:top w:val="nil"/>
              <w:left w:val="nil"/>
              <w:bottom w:val="single" w:sz="4" w:space="0" w:color="auto"/>
              <w:right w:val="single" w:sz="4" w:space="0" w:color="auto"/>
            </w:tcBorders>
            <w:shd w:val="clear" w:color="auto" w:fill="auto"/>
            <w:vAlign w:val="center"/>
            <w:hideMark/>
          </w:tcPr>
          <w:p w14:paraId="7A432EB3"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126" w:type="dxa"/>
            <w:tcBorders>
              <w:top w:val="nil"/>
              <w:left w:val="nil"/>
              <w:bottom w:val="single" w:sz="4" w:space="0" w:color="auto"/>
              <w:right w:val="single" w:sz="4" w:space="0" w:color="auto"/>
            </w:tcBorders>
            <w:shd w:val="clear" w:color="auto" w:fill="auto"/>
            <w:vAlign w:val="center"/>
            <w:hideMark/>
          </w:tcPr>
          <w:p w14:paraId="7E63840E"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78,242</w:t>
            </w:r>
          </w:p>
        </w:tc>
        <w:tc>
          <w:tcPr>
            <w:tcW w:w="721" w:type="dxa"/>
            <w:tcBorders>
              <w:top w:val="nil"/>
              <w:left w:val="nil"/>
              <w:bottom w:val="single" w:sz="4" w:space="0" w:color="auto"/>
              <w:right w:val="single" w:sz="4" w:space="0" w:color="auto"/>
            </w:tcBorders>
            <w:shd w:val="clear" w:color="auto" w:fill="auto"/>
            <w:vAlign w:val="center"/>
            <w:hideMark/>
          </w:tcPr>
          <w:p w14:paraId="4ACE172E"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12.6%</w:t>
            </w:r>
          </w:p>
        </w:tc>
      </w:tr>
      <w:tr w:rsidR="007E1D1B" w:rsidRPr="00EE5714" w14:paraId="3AC93BE8" w14:textId="77777777" w:rsidTr="00701518">
        <w:trPr>
          <w:trHeight w:val="295"/>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69F41769"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56,658</w:t>
            </w:r>
          </w:p>
        </w:tc>
        <w:tc>
          <w:tcPr>
            <w:tcW w:w="829" w:type="dxa"/>
            <w:tcBorders>
              <w:top w:val="nil"/>
              <w:left w:val="nil"/>
              <w:bottom w:val="single" w:sz="4" w:space="0" w:color="auto"/>
              <w:right w:val="single" w:sz="4" w:space="0" w:color="auto"/>
            </w:tcBorders>
            <w:shd w:val="clear" w:color="auto" w:fill="auto"/>
            <w:vAlign w:val="center"/>
            <w:hideMark/>
          </w:tcPr>
          <w:p w14:paraId="543312B3"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9.7%</w:t>
            </w:r>
          </w:p>
        </w:tc>
        <w:tc>
          <w:tcPr>
            <w:tcW w:w="1109" w:type="dxa"/>
            <w:tcBorders>
              <w:top w:val="nil"/>
              <w:left w:val="nil"/>
              <w:bottom w:val="single" w:sz="4" w:space="0" w:color="auto"/>
              <w:right w:val="single" w:sz="4" w:space="0" w:color="auto"/>
            </w:tcBorders>
            <w:shd w:val="clear" w:color="auto" w:fill="auto"/>
            <w:vAlign w:val="center"/>
            <w:hideMark/>
          </w:tcPr>
          <w:p w14:paraId="46614B06"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1D87F189" w14:textId="77777777" w:rsidR="007E1D1B" w:rsidRPr="00EE5714" w:rsidRDefault="007E1D1B" w:rsidP="00F0682D">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0349CBC5"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1029" w:type="dxa"/>
            <w:tcBorders>
              <w:top w:val="nil"/>
              <w:left w:val="nil"/>
              <w:bottom w:val="single" w:sz="4" w:space="0" w:color="auto"/>
              <w:right w:val="single" w:sz="4" w:space="0" w:color="auto"/>
            </w:tcBorders>
            <w:shd w:val="clear" w:color="auto" w:fill="auto"/>
            <w:vAlign w:val="center"/>
            <w:hideMark/>
          </w:tcPr>
          <w:p w14:paraId="411B047B"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89,098</w:t>
            </w:r>
          </w:p>
        </w:tc>
        <w:tc>
          <w:tcPr>
            <w:tcW w:w="714" w:type="dxa"/>
            <w:tcBorders>
              <w:top w:val="nil"/>
              <w:left w:val="nil"/>
              <w:bottom w:val="single" w:sz="4" w:space="0" w:color="auto"/>
              <w:right w:val="single" w:sz="4" w:space="0" w:color="auto"/>
            </w:tcBorders>
            <w:shd w:val="clear" w:color="auto" w:fill="auto"/>
            <w:vAlign w:val="center"/>
            <w:hideMark/>
          </w:tcPr>
          <w:p w14:paraId="4487BA34"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5.9%</w:t>
            </w:r>
          </w:p>
        </w:tc>
        <w:tc>
          <w:tcPr>
            <w:tcW w:w="1231" w:type="dxa"/>
            <w:tcBorders>
              <w:top w:val="nil"/>
              <w:left w:val="nil"/>
              <w:bottom w:val="single" w:sz="4" w:space="0" w:color="auto"/>
              <w:right w:val="single" w:sz="4" w:space="0" w:color="auto"/>
            </w:tcBorders>
            <w:shd w:val="clear" w:color="auto" w:fill="auto"/>
            <w:vAlign w:val="center"/>
            <w:hideMark/>
          </w:tcPr>
          <w:p w14:paraId="25FF2D5E"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126" w:type="dxa"/>
            <w:tcBorders>
              <w:top w:val="nil"/>
              <w:left w:val="nil"/>
              <w:bottom w:val="single" w:sz="4" w:space="0" w:color="auto"/>
              <w:right w:val="single" w:sz="4" w:space="0" w:color="auto"/>
            </w:tcBorders>
            <w:shd w:val="clear" w:color="auto" w:fill="auto"/>
            <w:vAlign w:val="center"/>
            <w:hideMark/>
          </w:tcPr>
          <w:p w14:paraId="497C25C5"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69,545</w:t>
            </w:r>
          </w:p>
        </w:tc>
        <w:tc>
          <w:tcPr>
            <w:tcW w:w="721" w:type="dxa"/>
            <w:tcBorders>
              <w:top w:val="nil"/>
              <w:left w:val="nil"/>
              <w:bottom w:val="single" w:sz="4" w:space="0" w:color="auto"/>
              <w:right w:val="single" w:sz="4" w:space="0" w:color="auto"/>
            </w:tcBorders>
            <w:shd w:val="clear" w:color="auto" w:fill="auto"/>
            <w:vAlign w:val="center"/>
            <w:hideMark/>
          </w:tcPr>
          <w:p w14:paraId="3AC1E05E"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11.2%</w:t>
            </w:r>
          </w:p>
        </w:tc>
      </w:tr>
      <w:tr w:rsidR="007E1D1B" w:rsidRPr="00EE5714" w14:paraId="151A1043" w14:textId="77777777" w:rsidTr="00701518">
        <w:trPr>
          <w:trHeight w:val="295"/>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550C113E"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27,168</w:t>
            </w:r>
          </w:p>
        </w:tc>
        <w:tc>
          <w:tcPr>
            <w:tcW w:w="829" w:type="dxa"/>
            <w:tcBorders>
              <w:top w:val="nil"/>
              <w:left w:val="nil"/>
              <w:bottom w:val="single" w:sz="4" w:space="0" w:color="auto"/>
              <w:right w:val="single" w:sz="4" w:space="0" w:color="auto"/>
            </w:tcBorders>
            <w:shd w:val="clear" w:color="auto" w:fill="auto"/>
            <w:vAlign w:val="center"/>
            <w:hideMark/>
          </w:tcPr>
          <w:p w14:paraId="4AFE48D2"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w:t>
            </w:r>
          </w:p>
        </w:tc>
        <w:tc>
          <w:tcPr>
            <w:tcW w:w="1109" w:type="dxa"/>
            <w:tcBorders>
              <w:top w:val="nil"/>
              <w:left w:val="nil"/>
              <w:bottom w:val="single" w:sz="4" w:space="0" w:color="auto"/>
              <w:right w:val="single" w:sz="4" w:space="0" w:color="auto"/>
            </w:tcBorders>
            <w:shd w:val="clear" w:color="auto" w:fill="auto"/>
            <w:vAlign w:val="center"/>
            <w:hideMark/>
          </w:tcPr>
          <w:p w14:paraId="183C7D34"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639BF05B" w14:textId="77777777" w:rsidR="007E1D1B" w:rsidRPr="00EE5714" w:rsidRDefault="007E1D1B" w:rsidP="00F0682D">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7060C34C"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1029" w:type="dxa"/>
            <w:tcBorders>
              <w:top w:val="nil"/>
              <w:left w:val="nil"/>
              <w:bottom w:val="single" w:sz="4" w:space="0" w:color="auto"/>
              <w:right w:val="single" w:sz="4" w:space="0" w:color="auto"/>
            </w:tcBorders>
            <w:shd w:val="clear" w:color="auto" w:fill="auto"/>
            <w:vAlign w:val="center"/>
            <w:hideMark/>
          </w:tcPr>
          <w:p w14:paraId="4B313E8F"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85,794</w:t>
            </w:r>
          </w:p>
        </w:tc>
        <w:tc>
          <w:tcPr>
            <w:tcW w:w="714" w:type="dxa"/>
            <w:tcBorders>
              <w:top w:val="nil"/>
              <w:left w:val="nil"/>
              <w:bottom w:val="single" w:sz="4" w:space="0" w:color="auto"/>
              <w:right w:val="single" w:sz="4" w:space="0" w:color="auto"/>
            </w:tcBorders>
            <w:shd w:val="clear" w:color="auto" w:fill="auto"/>
            <w:vAlign w:val="center"/>
            <w:hideMark/>
          </w:tcPr>
          <w:p w14:paraId="3B39C8D8"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5.7%</w:t>
            </w:r>
          </w:p>
        </w:tc>
        <w:tc>
          <w:tcPr>
            <w:tcW w:w="1231" w:type="dxa"/>
            <w:tcBorders>
              <w:top w:val="nil"/>
              <w:left w:val="nil"/>
              <w:bottom w:val="single" w:sz="4" w:space="0" w:color="auto"/>
              <w:right w:val="single" w:sz="4" w:space="0" w:color="auto"/>
            </w:tcBorders>
            <w:shd w:val="clear" w:color="auto" w:fill="auto"/>
            <w:vAlign w:val="center"/>
            <w:hideMark/>
          </w:tcPr>
          <w:p w14:paraId="32DAD897"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126" w:type="dxa"/>
            <w:tcBorders>
              <w:top w:val="nil"/>
              <w:left w:val="nil"/>
              <w:bottom w:val="single" w:sz="4" w:space="0" w:color="auto"/>
              <w:right w:val="single" w:sz="4" w:space="0" w:color="auto"/>
            </w:tcBorders>
            <w:shd w:val="clear" w:color="auto" w:fill="auto"/>
            <w:vAlign w:val="center"/>
            <w:hideMark/>
          </w:tcPr>
          <w:p w14:paraId="10B3F5B2"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83,827</w:t>
            </w:r>
          </w:p>
        </w:tc>
        <w:tc>
          <w:tcPr>
            <w:tcW w:w="721" w:type="dxa"/>
            <w:tcBorders>
              <w:top w:val="nil"/>
              <w:left w:val="nil"/>
              <w:bottom w:val="single" w:sz="4" w:space="0" w:color="auto"/>
              <w:right w:val="single" w:sz="4" w:space="0" w:color="auto"/>
            </w:tcBorders>
            <w:shd w:val="clear" w:color="auto" w:fill="auto"/>
            <w:vAlign w:val="center"/>
            <w:hideMark/>
          </w:tcPr>
          <w:p w14:paraId="62E56329"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13.5%</w:t>
            </w:r>
          </w:p>
        </w:tc>
      </w:tr>
      <w:tr w:rsidR="007E1D1B" w:rsidRPr="00EE5714" w14:paraId="391BB476" w14:textId="77777777" w:rsidTr="00701518">
        <w:trPr>
          <w:trHeight w:val="295"/>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3EE9130"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11,453</w:t>
            </w:r>
          </w:p>
        </w:tc>
        <w:tc>
          <w:tcPr>
            <w:tcW w:w="829" w:type="dxa"/>
            <w:tcBorders>
              <w:top w:val="nil"/>
              <w:left w:val="nil"/>
              <w:bottom w:val="single" w:sz="4" w:space="0" w:color="auto"/>
              <w:right w:val="single" w:sz="4" w:space="0" w:color="auto"/>
            </w:tcBorders>
            <w:shd w:val="clear" w:color="auto" w:fill="auto"/>
            <w:vAlign w:val="center"/>
            <w:hideMark/>
          </w:tcPr>
          <w:p w14:paraId="1244B6C8"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w:t>
            </w:r>
          </w:p>
        </w:tc>
        <w:tc>
          <w:tcPr>
            <w:tcW w:w="1109" w:type="dxa"/>
            <w:tcBorders>
              <w:top w:val="nil"/>
              <w:left w:val="nil"/>
              <w:bottom w:val="single" w:sz="4" w:space="0" w:color="auto"/>
              <w:right w:val="single" w:sz="4" w:space="0" w:color="auto"/>
            </w:tcBorders>
            <w:shd w:val="clear" w:color="auto" w:fill="auto"/>
            <w:vAlign w:val="center"/>
            <w:hideMark/>
          </w:tcPr>
          <w:p w14:paraId="7124D00C"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2C4E61CF" w14:textId="77777777" w:rsidR="007E1D1B" w:rsidRPr="00EE5714" w:rsidRDefault="007E1D1B" w:rsidP="00F0682D">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60B0901"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1029" w:type="dxa"/>
            <w:tcBorders>
              <w:top w:val="nil"/>
              <w:left w:val="nil"/>
              <w:bottom w:val="single" w:sz="4" w:space="0" w:color="auto"/>
              <w:right w:val="single" w:sz="4" w:space="0" w:color="auto"/>
            </w:tcBorders>
            <w:shd w:val="clear" w:color="auto" w:fill="auto"/>
            <w:vAlign w:val="center"/>
            <w:hideMark/>
          </w:tcPr>
          <w:p w14:paraId="00655E28"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111,039</w:t>
            </w:r>
          </w:p>
        </w:tc>
        <w:tc>
          <w:tcPr>
            <w:tcW w:w="714" w:type="dxa"/>
            <w:tcBorders>
              <w:top w:val="nil"/>
              <w:left w:val="nil"/>
              <w:bottom w:val="single" w:sz="4" w:space="0" w:color="auto"/>
              <w:right w:val="single" w:sz="4" w:space="0" w:color="auto"/>
            </w:tcBorders>
            <w:shd w:val="clear" w:color="auto" w:fill="auto"/>
            <w:vAlign w:val="center"/>
            <w:hideMark/>
          </w:tcPr>
          <w:p w14:paraId="4BD9E27F"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7.3%</w:t>
            </w:r>
          </w:p>
        </w:tc>
        <w:tc>
          <w:tcPr>
            <w:tcW w:w="1231" w:type="dxa"/>
            <w:tcBorders>
              <w:top w:val="nil"/>
              <w:left w:val="nil"/>
              <w:bottom w:val="single" w:sz="4" w:space="0" w:color="auto"/>
              <w:right w:val="single" w:sz="4" w:space="0" w:color="auto"/>
            </w:tcBorders>
            <w:shd w:val="clear" w:color="auto" w:fill="auto"/>
            <w:vAlign w:val="center"/>
            <w:hideMark/>
          </w:tcPr>
          <w:p w14:paraId="00D3044C"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126" w:type="dxa"/>
            <w:tcBorders>
              <w:top w:val="nil"/>
              <w:left w:val="nil"/>
              <w:bottom w:val="single" w:sz="4" w:space="0" w:color="auto"/>
              <w:right w:val="single" w:sz="4" w:space="0" w:color="auto"/>
            </w:tcBorders>
            <w:shd w:val="clear" w:color="auto" w:fill="auto"/>
            <w:vAlign w:val="center"/>
            <w:hideMark/>
          </w:tcPr>
          <w:p w14:paraId="3A589786"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100,542</w:t>
            </w:r>
          </w:p>
        </w:tc>
        <w:tc>
          <w:tcPr>
            <w:tcW w:w="721" w:type="dxa"/>
            <w:tcBorders>
              <w:top w:val="nil"/>
              <w:left w:val="nil"/>
              <w:bottom w:val="single" w:sz="4" w:space="0" w:color="auto"/>
              <w:right w:val="single" w:sz="4" w:space="0" w:color="auto"/>
            </w:tcBorders>
            <w:shd w:val="clear" w:color="auto" w:fill="auto"/>
            <w:vAlign w:val="center"/>
            <w:hideMark/>
          </w:tcPr>
          <w:p w14:paraId="73B9C732"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16.2%</w:t>
            </w:r>
          </w:p>
        </w:tc>
      </w:tr>
      <w:tr w:rsidR="007E1D1B" w:rsidRPr="00EE5714" w14:paraId="7CA0F452" w14:textId="77777777" w:rsidTr="00701518">
        <w:trPr>
          <w:trHeight w:val="295"/>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6E6F0E6"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7,142</w:t>
            </w:r>
          </w:p>
        </w:tc>
        <w:tc>
          <w:tcPr>
            <w:tcW w:w="829" w:type="dxa"/>
            <w:tcBorders>
              <w:top w:val="nil"/>
              <w:left w:val="nil"/>
              <w:bottom w:val="single" w:sz="4" w:space="0" w:color="auto"/>
              <w:right w:val="single" w:sz="4" w:space="0" w:color="auto"/>
            </w:tcBorders>
            <w:shd w:val="clear" w:color="auto" w:fill="auto"/>
            <w:vAlign w:val="center"/>
            <w:hideMark/>
          </w:tcPr>
          <w:p w14:paraId="14B4A630"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w:t>
            </w:r>
          </w:p>
        </w:tc>
        <w:tc>
          <w:tcPr>
            <w:tcW w:w="1109" w:type="dxa"/>
            <w:tcBorders>
              <w:top w:val="nil"/>
              <w:left w:val="nil"/>
              <w:bottom w:val="single" w:sz="4" w:space="0" w:color="auto"/>
              <w:right w:val="single" w:sz="4" w:space="0" w:color="auto"/>
            </w:tcBorders>
            <w:shd w:val="clear" w:color="auto" w:fill="auto"/>
            <w:vAlign w:val="center"/>
            <w:hideMark/>
          </w:tcPr>
          <w:p w14:paraId="71583203"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5F838E3B" w14:textId="77777777" w:rsidR="007E1D1B" w:rsidRPr="00EE5714" w:rsidRDefault="007E1D1B" w:rsidP="00F0682D">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4F45210"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1029" w:type="dxa"/>
            <w:tcBorders>
              <w:top w:val="nil"/>
              <w:left w:val="nil"/>
              <w:bottom w:val="single" w:sz="4" w:space="0" w:color="auto"/>
              <w:right w:val="single" w:sz="4" w:space="0" w:color="auto"/>
            </w:tcBorders>
            <w:shd w:val="clear" w:color="auto" w:fill="auto"/>
            <w:vAlign w:val="center"/>
            <w:hideMark/>
          </w:tcPr>
          <w:p w14:paraId="3BFD077B"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45,712</w:t>
            </w:r>
          </w:p>
        </w:tc>
        <w:tc>
          <w:tcPr>
            <w:tcW w:w="714" w:type="dxa"/>
            <w:tcBorders>
              <w:top w:val="nil"/>
              <w:left w:val="nil"/>
              <w:bottom w:val="single" w:sz="4" w:space="0" w:color="auto"/>
              <w:right w:val="single" w:sz="4" w:space="0" w:color="auto"/>
            </w:tcBorders>
            <w:shd w:val="clear" w:color="auto" w:fill="auto"/>
            <w:vAlign w:val="center"/>
            <w:hideMark/>
          </w:tcPr>
          <w:p w14:paraId="7514C116"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w:t>
            </w:r>
          </w:p>
        </w:tc>
        <w:tc>
          <w:tcPr>
            <w:tcW w:w="1231" w:type="dxa"/>
            <w:tcBorders>
              <w:top w:val="nil"/>
              <w:left w:val="nil"/>
              <w:bottom w:val="single" w:sz="4" w:space="0" w:color="auto"/>
              <w:right w:val="single" w:sz="4" w:space="0" w:color="auto"/>
            </w:tcBorders>
            <w:shd w:val="clear" w:color="auto" w:fill="auto"/>
            <w:vAlign w:val="center"/>
            <w:hideMark/>
          </w:tcPr>
          <w:p w14:paraId="38406D2B"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126" w:type="dxa"/>
            <w:tcBorders>
              <w:top w:val="nil"/>
              <w:left w:val="nil"/>
              <w:bottom w:val="single" w:sz="4" w:space="0" w:color="auto"/>
              <w:right w:val="single" w:sz="4" w:space="0" w:color="auto"/>
            </w:tcBorders>
            <w:shd w:val="clear" w:color="auto" w:fill="auto"/>
            <w:vAlign w:val="center"/>
            <w:hideMark/>
          </w:tcPr>
          <w:p w14:paraId="1AA8CDFC"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61,623</w:t>
            </w:r>
          </w:p>
        </w:tc>
        <w:tc>
          <w:tcPr>
            <w:tcW w:w="721" w:type="dxa"/>
            <w:tcBorders>
              <w:top w:val="nil"/>
              <w:left w:val="nil"/>
              <w:bottom w:val="single" w:sz="4" w:space="0" w:color="auto"/>
              <w:right w:val="single" w:sz="4" w:space="0" w:color="auto"/>
            </w:tcBorders>
            <w:shd w:val="clear" w:color="auto" w:fill="auto"/>
            <w:vAlign w:val="center"/>
            <w:hideMark/>
          </w:tcPr>
          <w:p w14:paraId="58F2FB56"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9.9%</w:t>
            </w:r>
          </w:p>
        </w:tc>
      </w:tr>
      <w:tr w:rsidR="007E1D1B" w:rsidRPr="00EE5714" w14:paraId="0774E7B7" w14:textId="77777777" w:rsidTr="00701518">
        <w:trPr>
          <w:trHeight w:val="295"/>
          <w:jc w:val="center"/>
        </w:trPr>
        <w:tc>
          <w:tcPr>
            <w:tcW w:w="1189" w:type="dxa"/>
            <w:tcBorders>
              <w:top w:val="nil"/>
              <w:left w:val="single" w:sz="4" w:space="0" w:color="auto"/>
              <w:bottom w:val="single" w:sz="4" w:space="0" w:color="auto"/>
              <w:right w:val="single" w:sz="4" w:space="0" w:color="auto"/>
            </w:tcBorders>
            <w:shd w:val="clear" w:color="000000" w:fill="E7E6E6"/>
            <w:vAlign w:val="center"/>
            <w:hideMark/>
          </w:tcPr>
          <w:p w14:paraId="45C9E513"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46.70%</w:t>
            </w:r>
          </w:p>
        </w:tc>
        <w:tc>
          <w:tcPr>
            <w:tcW w:w="829" w:type="dxa"/>
            <w:tcBorders>
              <w:top w:val="nil"/>
              <w:left w:val="nil"/>
              <w:bottom w:val="single" w:sz="4" w:space="0" w:color="auto"/>
              <w:right w:val="single" w:sz="4" w:space="0" w:color="auto"/>
            </w:tcBorders>
            <w:shd w:val="clear" w:color="000000" w:fill="E7E6E6"/>
            <w:vAlign w:val="center"/>
            <w:hideMark/>
          </w:tcPr>
          <w:p w14:paraId="6D65EA55"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218"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79DBB650"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7CEE0994"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1029" w:type="dxa"/>
            <w:tcBorders>
              <w:top w:val="nil"/>
              <w:left w:val="nil"/>
              <w:bottom w:val="single" w:sz="4" w:space="0" w:color="auto"/>
              <w:right w:val="single" w:sz="4" w:space="0" w:color="auto"/>
            </w:tcBorders>
            <w:shd w:val="clear" w:color="auto" w:fill="auto"/>
            <w:vAlign w:val="center"/>
            <w:hideMark/>
          </w:tcPr>
          <w:p w14:paraId="52F26FF8"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793,070</w:t>
            </w:r>
          </w:p>
        </w:tc>
        <w:tc>
          <w:tcPr>
            <w:tcW w:w="714" w:type="dxa"/>
            <w:tcBorders>
              <w:top w:val="nil"/>
              <w:left w:val="nil"/>
              <w:bottom w:val="single" w:sz="4" w:space="0" w:color="auto"/>
              <w:right w:val="single" w:sz="4" w:space="0" w:color="auto"/>
            </w:tcBorders>
            <w:shd w:val="clear" w:color="auto" w:fill="auto"/>
            <w:vAlign w:val="center"/>
            <w:hideMark/>
          </w:tcPr>
          <w:p w14:paraId="39BE6B04"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52.3%</w:t>
            </w:r>
          </w:p>
        </w:tc>
        <w:tc>
          <w:tcPr>
            <w:tcW w:w="1231" w:type="dxa"/>
            <w:tcBorders>
              <w:top w:val="nil"/>
              <w:left w:val="nil"/>
              <w:bottom w:val="single" w:sz="4" w:space="0" w:color="auto"/>
              <w:right w:val="single" w:sz="4" w:space="0" w:color="auto"/>
            </w:tcBorders>
            <w:shd w:val="clear" w:color="auto" w:fill="auto"/>
            <w:vAlign w:val="center"/>
            <w:hideMark/>
          </w:tcPr>
          <w:p w14:paraId="591C3DD6"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126" w:type="dxa"/>
            <w:tcBorders>
              <w:top w:val="nil"/>
              <w:left w:val="nil"/>
              <w:bottom w:val="single" w:sz="4" w:space="0" w:color="auto"/>
              <w:right w:val="single" w:sz="4" w:space="0" w:color="auto"/>
            </w:tcBorders>
            <w:shd w:val="clear" w:color="auto" w:fill="auto"/>
            <w:vAlign w:val="center"/>
            <w:hideMark/>
          </w:tcPr>
          <w:p w14:paraId="2B7D1C3A"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63,232</w:t>
            </w:r>
          </w:p>
        </w:tc>
        <w:tc>
          <w:tcPr>
            <w:tcW w:w="721" w:type="dxa"/>
            <w:tcBorders>
              <w:top w:val="nil"/>
              <w:left w:val="nil"/>
              <w:bottom w:val="single" w:sz="4" w:space="0" w:color="auto"/>
              <w:right w:val="single" w:sz="4" w:space="0" w:color="auto"/>
            </w:tcBorders>
            <w:shd w:val="clear" w:color="auto" w:fill="auto"/>
            <w:vAlign w:val="center"/>
            <w:hideMark/>
          </w:tcPr>
          <w:p w14:paraId="79B09C9B"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10.2%</w:t>
            </w:r>
          </w:p>
        </w:tc>
      </w:tr>
      <w:tr w:rsidR="007E1D1B" w:rsidRPr="00EE5714" w14:paraId="2024D297" w14:textId="77777777" w:rsidTr="00701518">
        <w:trPr>
          <w:trHeight w:val="295"/>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AE9FF45"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225,587</w:t>
            </w:r>
          </w:p>
        </w:tc>
        <w:tc>
          <w:tcPr>
            <w:tcW w:w="829" w:type="dxa"/>
            <w:tcBorders>
              <w:top w:val="nil"/>
              <w:left w:val="nil"/>
              <w:bottom w:val="single" w:sz="4" w:space="0" w:color="auto"/>
              <w:right w:val="single" w:sz="4" w:space="0" w:color="auto"/>
            </w:tcBorders>
            <w:shd w:val="clear" w:color="auto" w:fill="auto"/>
            <w:vAlign w:val="center"/>
            <w:hideMark/>
          </w:tcPr>
          <w:p w14:paraId="6DF2BED9"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38.7%</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1490814C"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06BCFAD5"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38.7%</w:t>
            </w:r>
          </w:p>
        </w:tc>
        <w:tc>
          <w:tcPr>
            <w:tcW w:w="1546" w:type="dxa"/>
            <w:tcBorders>
              <w:top w:val="nil"/>
              <w:left w:val="nil"/>
              <w:bottom w:val="single" w:sz="4" w:space="0" w:color="auto"/>
              <w:right w:val="single" w:sz="4" w:space="0" w:color="auto"/>
            </w:tcBorders>
            <w:shd w:val="clear" w:color="auto" w:fill="auto"/>
            <w:vAlign w:val="center"/>
            <w:hideMark/>
          </w:tcPr>
          <w:p w14:paraId="1AEF7607"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29" w:type="dxa"/>
            <w:tcBorders>
              <w:top w:val="nil"/>
              <w:left w:val="nil"/>
              <w:bottom w:val="single" w:sz="4" w:space="0" w:color="auto"/>
              <w:right w:val="single" w:sz="4" w:space="0" w:color="auto"/>
            </w:tcBorders>
            <w:shd w:val="clear" w:color="auto" w:fill="auto"/>
            <w:vAlign w:val="center"/>
            <w:hideMark/>
          </w:tcPr>
          <w:p w14:paraId="6F8FAA4E"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1,517,069</w:t>
            </w:r>
          </w:p>
        </w:tc>
        <w:tc>
          <w:tcPr>
            <w:tcW w:w="714" w:type="dxa"/>
            <w:tcBorders>
              <w:top w:val="nil"/>
              <w:left w:val="nil"/>
              <w:bottom w:val="single" w:sz="4" w:space="0" w:color="auto"/>
              <w:right w:val="single" w:sz="4" w:space="0" w:color="auto"/>
            </w:tcBorders>
            <w:shd w:val="clear" w:color="auto" w:fill="auto"/>
            <w:vAlign w:val="center"/>
            <w:hideMark/>
          </w:tcPr>
          <w:p w14:paraId="75856247"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231" w:type="dxa"/>
            <w:tcBorders>
              <w:top w:val="nil"/>
              <w:left w:val="nil"/>
              <w:bottom w:val="single" w:sz="4" w:space="0" w:color="auto"/>
              <w:right w:val="single" w:sz="4" w:space="0" w:color="auto"/>
            </w:tcBorders>
            <w:shd w:val="clear" w:color="auto" w:fill="auto"/>
            <w:vAlign w:val="center"/>
            <w:hideMark/>
          </w:tcPr>
          <w:p w14:paraId="19182605"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126" w:type="dxa"/>
            <w:tcBorders>
              <w:top w:val="nil"/>
              <w:left w:val="nil"/>
              <w:bottom w:val="single" w:sz="4" w:space="0" w:color="auto"/>
              <w:right w:val="single" w:sz="4" w:space="0" w:color="auto"/>
            </w:tcBorders>
            <w:shd w:val="clear" w:color="auto" w:fill="auto"/>
            <w:vAlign w:val="center"/>
            <w:hideMark/>
          </w:tcPr>
          <w:p w14:paraId="4E775AC4"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23,317</w:t>
            </w:r>
          </w:p>
        </w:tc>
        <w:tc>
          <w:tcPr>
            <w:tcW w:w="721" w:type="dxa"/>
            <w:tcBorders>
              <w:top w:val="nil"/>
              <w:left w:val="nil"/>
              <w:bottom w:val="single" w:sz="4" w:space="0" w:color="auto"/>
              <w:right w:val="single" w:sz="4" w:space="0" w:color="auto"/>
            </w:tcBorders>
            <w:shd w:val="clear" w:color="auto" w:fill="auto"/>
            <w:vAlign w:val="center"/>
            <w:hideMark/>
          </w:tcPr>
          <w:p w14:paraId="53E1FFF2"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3.8%</w:t>
            </w:r>
          </w:p>
        </w:tc>
      </w:tr>
      <w:tr w:rsidR="007E1D1B" w:rsidRPr="00EE5714" w14:paraId="492C8DF4" w14:textId="77777777" w:rsidTr="00701518">
        <w:trPr>
          <w:trHeight w:val="295"/>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FAF9F02"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36,661</w:t>
            </w:r>
          </w:p>
        </w:tc>
        <w:tc>
          <w:tcPr>
            <w:tcW w:w="829" w:type="dxa"/>
            <w:tcBorders>
              <w:top w:val="nil"/>
              <w:left w:val="nil"/>
              <w:bottom w:val="single" w:sz="4" w:space="0" w:color="auto"/>
              <w:right w:val="single" w:sz="4" w:space="0" w:color="auto"/>
            </w:tcBorders>
            <w:shd w:val="clear" w:color="auto" w:fill="auto"/>
            <w:vAlign w:val="center"/>
            <w:hideMark/>
          </w:tcPr>
          <w:p w14:paraId="4F73D363"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w:t>
            </w:r>
          </w:p>
        </w:tc>
        <w:tc>
          <w:tcPr>
            <w:tcW w:w="1109" w:type="dxa"/>
            <w:tcBorders>
              <w:top w:val="nil"/>
              <w:left w:val="nil"/>
              <w:bottom w:val="single" w:sz="4" w:space="0" w:color="auto"/>
              <w:right w:val="single" w:sz="4" w:space="0" w:color="auto"/>
            </w:tcBorders>
            <w:shd w:val="clear" w:color="auto" w:fill="auto"/>
            <w:vAlign w:val="center"/>
            <w:hideMark/>
          </w:tcPr>
          <w:p w14:paraId="298157A1"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109" w:type="dxa"/>
            <w:tcBorders>
              <w:top w:val="nil"/>
              <w:left w:val="nil"/>
              <w:bottom w:val="single" w:sz="4" w:space="0" w:color="auto"/>
              <w:right w:val="single" w:sz="4" w:space="0" w:color="auto"/>
            </w:tcBorders>
            <w:shd w:val="clear" w:color="auto" w:fill="auto"/>
            <w:vAlign w:val="center"/>
            <w:hideMark/>
          </w:tcPr>
          <w:p w14:paraId="620B8D15"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28.2%</w:t>
            </w:r>
          </w:p>
        </w:tc>
        <w:tc>
          <w:tcPr>
            <w:tcW w:w="328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0305769"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14:paraId="09964FDC"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126" w:type="dxa"/>
            <w:tcBorders>
              <w:top w:val="nil"/>
              <w:left w:val="nil"/>
              <w:bottom w:val="single" w:sz="4" w:space="0" w:color="auto"/>
              <w:right w:val="single" w:sz="4" w:space="0" w:color="auto"/>
            </w:tcBorders>
            <w:shd w:val="clear" w:color="auto" w:fill="auto"/>
            <w:vAlign w:val="center"/>
            <w:hideMark/>
          </w:tcPr>
          <w:p w14:paraId="66825002"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21,142</w:t>
            </w:r>
          </w:p>
        </w:tc>
        <w:tc>
          <w:tcPr>
            <w:tcW w:w="721" w:type="dxa"/>
            <w:tcBorders>
              <w:top w:val="nil"/>
              <w:left w:val="nil"/>
              <w:bottom w:val="single" w:sz="4" w:space="0" w:color="auto"/>
              <w:right w:val="single" w:sz="4" w:space="0" w:color="auto"/>
            </w:tcBorders>
            <w:shd w:val="clear" w:color="auto" w:fill="auto"/>
            <w:vAlign w:val="center"/>
            <w:hideMark/>
          </w:tcPr>
          <w:p w14:paraId="3044598F"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w:t>
            </w:r>
          </w:p>
        </w:tc>
      </w:tr>
      <w:tr w:rsidR="007E1D1B" w:rsidRPr="00EE5714" w14:paraId="42891D21" w14:textId="77777777" w:rsidTr="00701518">
        <w:trPr>
          <w:trHeight w:val="502"/>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D4E9CA9"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6,264</w:t>
            </w:r>
          </w:p>
        </w:tc>
        <w:tc>
          <w:tcPr>
            <w:tcW w:w="829" w:type="dxa"/>
            <w:tcBorders>
              <w:top w:val="nil"/>
              <w:left w:val="nil"/>
              <w:bottom w:val="single" w:sz="4" w:space="0" w:color="auto"/>
              <w:right w:val="single" w:sz="4" w:space="0" w:color="auto"/>
            </w:tcBorders>
            <w:shd w:val="clear" w:color="auto" w:fill="auto"/>
            <w:vAlign w:val="center"/>
            <w:hideMark/>
          </w:tcPr>
          <w:p w14:paraId="5BDCE31F"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w:t>
            </w:r>
          </w:p>
        </w:tc>
        <w:tc>
          <w:tcPr>
            <w:tcW w:w="1109" w:type="dxa"/>
            <w:tcBorders>
              <w:top w:val="nil"/>
              <w:left w:val="nil"/>
              <w:bottom w:val="single" w:sz="4" w:space="0" w:color="auto"/>
              <w:right w:val="single" w:sz="4" w:space="0" w:color="auto"/>
            </w:tcBorders>
            <w:shd w:val="clear" w:color="auto" w:fill="auto"/>
            <w:vAlign w:val="center"/>
            <w:hideMark/>
          </w:tcPr>
          <w:p w14:paraId="44021366"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109" w:type="dxa"/>
            <w:tcBorders>
              <w:top w:val="nil"/>
              <w:left w:val="nil"/>
              <w:bottom w:val="single" w:sz="4" w:space="0" w:color="auto"/>
              <w:right w:val="single" w:sz="4" w:space="0" w:color="auto"/>
            </w:tcBorders>
            <w:shd w:val="clear" w:color="auto" w:fill="auto"/>
            <w:vAlign w:val="center"/>
            <w:hideMark/>
          </w:tcPr>
          <w:p w14:paraId="1EAF028E"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14.9%</w:t>
            </w:r>
          </w:p>
        </w:tc>
        <w:tc>
          <w:tcPr>
            <w:tcW w:w="1546" w:type="dxa"/>
            <w:tcBorders>
              <w:top w:val="single" w:sz="4" w:space="0" w:color="auto"/>
              <w:left w:val="nil"/>
              <w:bottom w:val="single" w:sz="4" w:space="0" w:color="auto"/>
              <w:right w:val="single" w:sz="4" w:space="0" w:color="auto"/>
            </w:tcBorders>
            <w:shd w:val="clear" w:color="000000" w:fill="E7E6E6"/>
            <w:vAlign w:val="center"/>
            <w:hideMark/>
          </w:tcPr>
          <w:p w14:paraId="3B01B48A" w14:textId="77777777" w:rsidR="00701518"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w:t>
            </w:r>
          </w:p>
          <w:p w14:paraId="4B77D964"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Fuel Type</w:t>
            </w:r>
          </w:p>
        </w:tc>
        <w:tc>
          <w:tcPr>
            <w:tcW w:w="1029" w:type="dxa"/>
            <w:tcBorders>
              <w:top w:val="single" w:sz="4" w:space="0" w:color="auto"/>
              <w:left w:val="nil"/>
              <w:bottom w:val="single" w:sz="4" w:space="0" w:color="auto"/>
              <w:right w:val="single" w:sz="4" w:space="0" w:color="auto"/>
            </w:tcBorders>
            <w:shd w:val="clear" w:color="000000" w:fill="E7E6E6"/>
            <w:vAlign w:val="center"/>
            <w:hideMark/>
          </w:tcPr>
          <w:p w14:paraId="4FDBA133"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14" w:type="dxa"/>
            <w:tcBorders>
              <w:top w:val="single" w:sz="4" w:space="0" w:color="auto"/>
              <w:left w:val="nil"/>
              <w:bottom w:val="single" w:sz="4" w:space="0" w:color="auto"/>
              <w:right w:val="single" w:sz="4" w:space="0" w:color="auto"/>
            </w:tcBorders>
            <w:shd w:val="clear" w:color="000000" w:fill="E7E6E6"/>
            <w:vAlign w:val="center"/>
            <w:hideMark/>
          </w:tcPr>
          <w:p w14:paraId="37C4137E"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231" w:type="dxa"/>
            <w:tcBorders>
              <w:top w:val="nil"/>
              <w:left w:val="nil"/>
              <w:bottom w:val="single" w:sz="4" w:space="0" w:color="auto"/>
              <w:right w:val="single" w:sz="4" w:space="0" w:color="auto"/>
            </w:tcBorders>
            <w:shd w:val="clear" w:color="auto" w:fill="auto"/>
            <w:vAlign w:val="center"/>
            <w:hideMark/>
          </w:tcPr>
          <w:p w14:paraId="782CAD2D"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26" w:type="dxa"/>
            <w:tcBorders>
              <w:top w:val="nil"/>
              <w:left w:val="nil"/>
              <w:bottom w:val="single" w:sz="4" w:space="0" w:color="auto"/>
              <w:right w:val="single" w:sz="4" w:space="0" w:color="auto"/>
            </w:tcBorders>
            <w:shd w:val="clear" w:color="auto" w:fill="auto"/>
            <w:vAlign w:val="center"/>
            <w:hideMark/>
          </w:tcPr>
          <w:p w14:paraId="64FC8078"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621,565</w:t>
            </w:r>
          </w:p>
        </w:tc>
        <w:tc>
          <w:tcPr>
            <w:tcW w:w="721" w:type="dxa"/>
            <w:tcBorders>
              <w:top w:val="nil"/>
              <w:left w:val="nil"/>
              <w:bottom w:val="single" w:sz="4" w:space="0" w:color="auto"/>
              <w:right w:val="single" w:sz="4" w:space="0" w:color="auto"/>
            </w:tcBorders>
            <w:shd w:val="clear" w:color="auto" w:fill="auto"/>
            <w:vAlign w:val="center"/>
            <w:hideMark/>
          </w:tcPr>
          <w:p w14:paraId="45D975CD"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E1D1B" w:rsidRPr="00EE5714" w14:paraId="6812BE41" w14:textId="77777777" w:rsidTr="00701518">
        <w:trPr>
          <w:trHeight w:val="295"/>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12F44CB"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2,189</w:t>
            </w:r>
          </w:p>
        </w:tc>
        <w:tc>
          <w:tcPr>
            <w:tcW w:w="829" w:type="dxa"/>
            <w:tcBorders>
              <w:top w:val="nil"/>
              <w:left w:val="nil"/>
              <w:bottom w:val="single" w:sz="4" w:space="0" w:color="auto"/>
              <w:right w:val="single" w:sz="4" w:space="0" w:color="auto"/>
            </w:tcBorders>
            <w:shd w:val="clear" w:color="auto" w:fill="auto"/>
            <w:vAlign w:val="center"/>
            <w:hideMark/>
          </w:tcPr>
          <w:p w14:paraId="2D6EF65D"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0.4%</w:t>
            </w:r>
          </w:p>
        </w:tc>
        <w:tc>
          <w:tcPr>
            <w:tcW w:w="1109" w:type="dxa"/>
            <w:tcBorders>
              <w:top w:val="nil"/>
              <w:left w:val="nil"/>
              <w:bottom w:val="single" w:sz="4" w:space="0" w:color="auto"/>
              <w:right w:val="single" w:sz="4" w:space="0" w:color="auto"/>
            </w:tcBorders>
            <w:shd w:val="clear" w:color="auto" w:fill="auto"/>
            <w:vAlign w:val="center"/>
            <w:hideMark/>
          </w:tcPr>
          <w:p w14:paraId="14EE26BA"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109" w:type="dxa"/>
            <w:tcBorders>
              <w:top w:val="nil"/>
              <w:left w:val="nil"/>
              <w:bottom w:val="single" w:sz="4" w:space="0" w:color="auto"/>
              <w:right w:val="single" w:sz="4" w:space="0" w:color="auto"/>
            </w:tcBorders>
            <w:shd w:val="clear" w:color="auto" w:fill="auto"/>
            <w:vAlign w:val="center"/>
            <w:hideMark/>
          </w:tcPr>
          <w:p w14:paraId="0F50785A"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10.1%</w:t>
            </w:r>
          </w:p>
        </w:tc>
        <w:tc>
          <w:tcPr>
            <w:tcW w:w="1546" w:type="dxa"/>
            <w:tcBorders>
              <w:top w:val="nil"/>
              <w:left w:val="nil"/>
              <w:bottom w:val="single" w:sz="4" w:space="0" w:color="auto"/>
              <w:right w:val="single" w:sz="4" w:space="0" w:color="auto"/>
            </w:tcBorders>
            <w:shd w:val="clear" w:color="auto" w:fill="auto"/>
            <w:vAlign w:val="center"/>
            <w:hideMark/>
          </w:tcPr>
          <w:p w14:paraId="1D25D2D0"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1029" w:type="dxa"/>
            <w:tcBorders>
              <w:top w:val="nil"/>
              <w:left w:val="nil"/>
              <w:bottom w:val="single" w:sz="4" w:space="0" w:color="auto"/>
              <w:right w:val="single" w:sz="4" w:space="0" w:color="auto"/>
            </w:tcBorders>
            <w:shd w:val="clear" w:color="auto" w:fill="auto"/>
            <w:vAlign w:val="center"/>
            <w:hideMark/>
          </w:tcPr>
          <w:p w14:paraId="4F153F4B"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441,669</w:t>
            </w:r>
          </w:p>
        </w:tc>
        <w:tc>
          <w:tcPr>
            <w:tcW w:w="714" w:type="dxa"/>
            <w:tcBorders>
              <w:top w:val="nil"/>
              <w:left w:val="nil"/>
              <w:bottom w:val="single" w:sz="4" w:space="0" w:color="auto"/>
              <w:right w:val="single" w:sz="4" w:space="0" w:color="auto"/>
            </w:tcBorders>
            <w:shd w:val="clear" w:color="auto" w:fill="auto"/>
            <w:vAlign w:val="center"/>
            <w:hideMark/>
          </w:tcPr>
          <w:p w14:paraId="7D29EFE4"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75.8%</w:t>
            </w:r>
          </w:p>
        </w:tc>
        <w:tc>
          <w:tcPr>
            <w:tcW w:w="1231" w:type="dxa"/>
            <w:tcBorders>
              <w:top w:val="nil"/>
              <w:left w:val="nil"/>
              <w:bottom w:val="single" w:sz="4" w:space="0" w:color="auto"/>
              <w:right w:val="single" w:sz="4" w:space="0" w:color="auto"/>
            </w:tcBorders>
            <w:shd w:val="clear" w:color="auto" w:fill="auto"/>
            <w:vAlign w:val="center"/>
            <w:hideMark/>
          </w:tcPr>
          <w:p w14:paraId="4CE50140"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126" w:type="dxa"/>
            <w:tcBorders>
              <w:top w:val="nil"/>
              <w:left w:val="nil"/>
              <w:bottom w:val="single" w:sz="4" w:space="0" w:color="auto"/>
              <w:right w:val="single" w:sz="4" w:space="0" w:color="auto"/>
            </w:tcBorders>
            <w:shd w:val="clear" w:color="auto" w:fill="auto"/>
            <w:vAlign w:val="center"/>
            <w:hideMark/>
          </w:tcPr>
          <w:p w14:paraId="086DE52C"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$41,506</w:t>
            </w:r>
          </w:p>
        </w:tc>
        <w:tc>
          <w:tcPr>
            <w:tcW w:w="721" w:type="dxa"/>
            <w:tcBorders>
              <w:top w:val="nil"/>
              <w:left w:val="nil"/>
              <w:bottom w:val="single" w:sz="4" w:space="0" w:color="auto"/>
              <w:right w:val="single" w:sz="4" w:space="0" w:color="auto"/>
            </w:tcBorders>
            <w:shd w:val="clear" w:color="auto" w:fill="auto"/>
            <w:vAlign w:val="center"/>
            <w:hideMark/>
          </w:tcPr>
          <w:p w14:paraId="7AFD7231"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E1D1B" w:rsidRPr="00EE5714" w14:paraId="1115D7A4" w14:textId="77777777" w:rsidTr="00701518">
        <w:trPr>
          <w:trHeight w:val="502"/>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219B894"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744</w:t>
            </w:r>
          </w:p>
        </w:tc>
        <w:tc>
          <w:tcPr>
            <w:tcW w:w="829" w:type="dxa"/>
            <w:tcBorders>
              <w:top w:val="nil"/>
              <w:left w:val="nil"/>
              <w:bottom w:val="single" w:sz="4" w:space="0" w:color="auto"/>
              <w:right w:val="single" w:sz="4" w:space="0" w:color="auto"/>
            </w:tcBorders>
            <w:shd w:val="clear" w:color="auto" w:fill="auto"/>
            <w:vAlign w:val="center"/>
            <w:hideMark/>
          </w:tcPr>
          <w:p w14:paraId="1FCACE00"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109" w:type="dxa"/>
            <w:tcBorders>
              <w:top w:val="nil"/>
              <w:left w:val="nil"/>
              <w:bottom w:val="single" w:sz="4" w:space="0" w:color="auto"/>
              <w:right w:val="single" w:sz="4" w:space="0" w:color="auto"/>
            </w:tcBorders>
            <w:shd w:val="clear" w:color="auto" w:fill="auto"/>
            <w:vAlign w:val="center"/>
            <w:hideMark/>
          </w:tcPr>
          <w:p w14:paraId="424D8D5F"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109" w:type="dxa"/>
            <w:tcBorders>
              <w:top w:val="nil"/>
              <w:left w:val="nil"/>
              <w:bottom w:val="single" w:sz="4" w:space="0" w:color="auto"/>
              <w:right w:val="single" w:sz="4" w:space="0" w:color="auto"/>
            </w:tcBorders>
            <w:shd w:val="clear" w:color="auto" w:fill="auto"/>
            <w:vAlign w:val="center"/>
            <w:hideMark/>
          </w:tcPr>
          <w:p w14:paraId="34355845"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w:t>
            </w:r>
          </w:p>
        </w:tc>
        <w:tc>
          <w:tcPr>
            <w:tcW w:w="1546" w:type="dxa"/>
            <w:tcBorders>
              <w:top w:val="nil"/>
              <w:left w:val="nil"/>
              <w:bottom w:val="single" w:sz="4" w:space="0" w:color="auto"/>
              <w:right w:val="single" w:sz="4" w:space="0" w:color="auto"/>
            </w:tcBorders>
            <w:shd w:val="clear" w:color="auto" w:fill="auto"/>
            <w:vAlign w:val="center"/>
            <w:hideMark/>
          </w:tcPr>
          <w:p w14:paraId="7D8811F9"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1029" w:type="dxa"/>
            <w:tcBorders>
              <w:top w:val="nil"/>
              <w:left w:val="nil"/>
              <w:bottom w:val="single" w:sz="4" w:space="0" w:color="auto"/>
              <w:right w:val="single" w:sz="4" w:space="0" w:color="auto"/>
            </w:tcBorders>
            <w:shd w:val="clear" w:color="auto" w:fill="auto"/>
            <w:vAlign w:val="center"/>
            <w:hideMark/>
          </w:tcPr>
          <w:p w14:paraId="68268586"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5,794</w:t>
            </w:r>
          </w:p>
        </w:tc>
        <w:tc>
          <w:tcPr>
            <w:tcW w:w="714" w:type="dxa"/>
            <w:tcBorders>
              <w:top w:val="nil"/>
              <w:left w:val="nil"/>
              <w:bottom w:val="single" w:sz="4" w:space="0" w:color="auto"/>
              <w:right w:val="single" w:sz="4" w:space="0" w:color="auto"/>
            </w:tcBorders>
            <w:shd w:val="clear" w:color="auto" w:fill="auto"/>
            <w:vAlign w:val="center"/>
            <w:hideMark/>
          </w:tcPr>
          <w:p w14:paraId="28DD607D"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w:t>
            </w:r>
          </w:p>
        </w:tc>
        <w:tc>
          <w:tcPr>
            <w:tcW w:w="1231" w:type="dxa"/>
            <w:tcBorders>
              <w:top w:val="nil"/>
              <w:left w:val="nil"/>
              <w:bottom w:val="single" w:sz="4" w:space="0" w:color="auto"/>
              <w:right w:val="single" w:sz="4" w:space="0" w:color="auto"/>
            </w:tcBorders>
            <w:shd w:val="clear" w:color="auto" w:fill="auto"/>
            <w:vAlign w:val="center"/>
            <w:hideMark/>
          </w:tcPr>
          <w:p w14:paraId="4FCB6A16"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126" w:type="dxa"/>
            <w:tcBorders>
              <w:top w:val="nil"/>
              <w:left w:val="nil"/>
              <w:bottom w:val="single" w:sz="4" w:space="0" w:color="auto"/>
              <w:right w:val="single" w:sz="4" w:space="0" w:color="auto"/>
            </w:tcBorders>
            <w:shd w:val="clear" w:color="auto" w:fill="auto"/>
            <w:vAlign w:val="center"/>
            <w:hideMark/>
          </w:tcPr>
          <w:p w14:paraId="49B19D31"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$62,170</w:t>
            </w:r>
          </w:p>
        </w:tc>
        <w:tc>
          <w:tcPr>
            <w:tcW w:w="721" w:type="dxa"/>
            <w:tcBorders>
              <w:top w:val="nil"/>
              <w:left w:val="nil"/>
              <w:bottom w:val="single" w:sz="4" w:space="0" w:color="auto"/>
              <w:right w:val="single" w:sz="4" w:space="0" w:color="auto"/>
            </w:tcBorders>
            <w:shd w:val="clear" w:color="auto" w:fill="auto"/>
            <w:vAlign w:val="center"/>
            <w:hideMark/>
          </w:tcPr>
          <w:p w14:paraId="3DE83A6A"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E1D1B" w:rsidRPr="00EE5714" w14:paraId="2441148F" w14:textId="77777777" w:rsidTr="00701518">
        <w:trPr>
          <w:trHeight w:val="295"/>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0DFE6DF9"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262</w:t>
            </w:r>
          </w:p>
        </w:tc>
        <w:tc>
          <w:tcPr>
            <w:tcW w:w="829" w:type="dxa"/>
            <w:tcBorders>
              <w:top w:val="nil"/>
              <w:left w:val="nil"/>
              <w:bottom w:val="single" w:sz="4" w:space="0" w:color="auto"/>
              <w:right w:val="single" w:sz="4" w:space="0" w:color="auto"/>
            </w:tcBorders>
            <w:shd w:val="clear" w:color="auto" w:fill="auto"/>
            <w:vAlign w:val="center"/>
            <w:hideMark/>
          </w:tcPr>
          <w:p w14:paraId="74CD9031"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09" w:type="dxa"/>
            <w:tcBorders>
              <w:top w:val="nil"/>
              <w:left w:val="nil"/>
              <w:bottom w:val="single" w:sz="4" w:space="0" w:color="auto"/>
              <w:right w:val="single" w:sz="4" w:space="0" w:color="auto"/>
            </w:tcBorders>
            <w:shd w:val="clear" w:color="auto" w:fill="auto"/>
            <w:vAlign w:val="center"/>
            <w:hideMark/>
          </w:tcPr>
          <w:p w14:paraId="0D21A47C"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109" w:type="dxa"/>
            <w:tcBorders>
              <w:top w:val="nil"/>
              <w:left w:val="nil"/>
              <w:bottom w:val="single" w:sz="4" w:space="0" w:color="auto"/>
              <w:right w:val="single" w:sz="4" w:space="0" w:color="auto"/>
            </w:tcBorders>
            <w:shd w:val="clear" w:color="auto" w:fill="auto"/>
            <w:vAlign w:val="center"/>
            <w:hideMark/>
          </w:tcPr>
          <w:p w14:paraId="5EAFE61D"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w:t>
            </w:r>
          </w:p>
        </w:tc>
        <w:tc>
          <w:tcPr>
            <w:tcW w:w="1546" w:type="dxa"/>
            <w:tcBorders>
              <w:top w:val="nil"/>
              <w:left w:val="nil"/>
              <w:bottom w:val="single" w:sz="4" w:space="0" w:color="auto"/>
              <w:right w:val="single" w:sz="4" w:space="0" w:color="auto"/>
            </w:tcBorders>
            <w:shd w:val="clear" w:color="auto" w:fill="auto"/>
            <w:vAlign w:val="center"/>
            <w:hideMark/>
          </w:tcPr>
          <w:p w14:paraId="1D1BC1CD"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1029" w:type="dxa"/>
            <w:tcBorders>
              <w:top w:val="nil"/>
              <w:left w:val="nil"/>
              <w:bottom w:val="single" w:sz="4" w:space="0" w:color="auto"/>
              <w:right w:val="single" w:sz="4" w:space="0" w:color="auto"/>
            </w:tcBorders>
            <w:shd w:val="clear" w:color="auto" w:fill="auto"/>
            <w:vAlign w:val="center"/>
            <w:hideMark/>
          </w:tcPr>
          <w:p w14:paraId="4CE69217"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101,885</w:t>
            </w:r>
          </w:p>
        </w:tc>
        <w:tc>
          <w:tcPr>
            <w:tcW w:w="714" w:type="dxa"/>
            <w:tcBorders>
              <w:top w:val="nil"/>
              <w:left w:val="nil"/>
              <w:bottom w:val="single" w:sz="4" w:space="0" w:color="auto"/>
              <w:right w:val="single" w:sz="4" w:space="0" w:color="auto"/>
            </w:tcBorders>
            <w:shd w:val="clear" w:color="auto" w:fill="auto"/>
            <w:vAlign w:val="center"/>
            <w:hideMark/>
          </w:tcPr>
          <w:p w14:paraId="447F542C"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17.5%</w:t>
            </w:r>
          </w:p>
        </w:tc>
        <w:tc>
          <w:tcPr>
            <w:tcW w:w="1231" w:type="dxa"/>
            <w:tcBorders>
              <w:top w:val="nil"/>
              <w:left w:val="nil"/>
              <w:bottom w:val="single" w:sz="4" w:space="0" w:color="auto"/>
              <w:right w:val="single" w:sz="4" w:space="0" w:color="auto"/>
            </w:tcBorders>
            <w:shd w:val="clear" w:color="auto" w:fill="auto"/>
            <w:vAlign w:val="center"/>
            <w:hideMark/>
          </w:tcPr>
          <w:p w14:paraId="63CCF153"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126" w:type="dxa"/>
            <w:tcBorders>
              <w:top w:val="nil"/>
              <w:left w:val="nil"/>
              <w:bottom w:val="single" w:sz="4" w:space="0" w:color="auto"/>
              <w:right w:val="single" w:sz="4" w:space="0" w:color="auto"/>
            </w:tcBorders>
            <w:shd w:val="clear" w:color="auto" w:fill="auto"/>
            <w:vAlign w:val="center"/>
            <w:hideMark/>
          </w:tcPr>
          <w:p w14:paraId="4852F915"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$24,833</w:t>
            </w:r>
          </w:p>
        </w:tc>
        <w:tc>
          <w:tcPr>
            <w:tcW w:w="721" w:type="dxa"/>
            <w:tcBorders>
              <w:top w:val="nil"/>
              <w:left w:val="nil"/>
              <w:bottom w:val="single" w:sz="4" w:space="0" w:color="auto"/>
              <w:right w:val="single" w:sz="4" w:space="0" w:color="auto"/>
            </w:tcBorders>
            <w:shd w:val="clear" w:color="auto" w:fill="auto"/>
            <w:vAlign w:val="center"/>
            <w:hideMark/>
          </w:tcPr>
          <w:p w14:paraId="322A851A"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E1D1B" w:rsidRPr="00EE5714" w14:paraId="6C297208" w14:textId="77777777" w:rsidTr="00701518">
        <w:trPr>
          <w:trHeight w:val="502"/>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6FBE6AD1"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158</w:t>
            </w:r>
          </w:p>
        </w:tc>
        <w:tc>
          <w:tcPr>
            <w:tcW w:w="829" w:type="dxa"/>
            <w:tcBorders>
              <w:top w:val="nil"/>
              <w:left w:val="nil"/>
              <w:bottom w:val="single" w:sz="4" w:space="0" w:color="auto"/>
              <w:right w:val="single" w:sz="4" w:space="0" w:color="auto"/>
            </w:tcBorders>
            <w:shd w:val="clear" w:color="auto" w:fill="auto"/>
            <w:vAlign w:val="center"/>
            <w:hideMark/>
          </w:tcPr>
          <w:p w14:paraId="7714CEF4"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09" w:type="dxa"/>
            <w:tcBorders>
              <w:top w:val="nil"/>
              <w:left w:val="nil"/>
              <w:bottom w:val="single" w:sz="4" w:space="0" w:color="auto"/>
              <w:right w:val="single" w:sz="4" w:space="0" w:color="auto"/>
            </w:tcBorders>
            <w:shd w:val="clear" w:color="auto" w:fill="auto"/>
            <w:vAlign w:val="center"/>
            <w:hideMark/>
          </w:tcPr>
          <w:p w14:paraId="745470BB"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109" w:type="dxa"/>
            <w:tcBorders>
              <w:top w:val="nil"/>
              <w:left w:val="nil"/>
              <w:bottom w:val="single" w:sz="4" w:space="0" w:color="auto"/>
              <w:right w:val="single" w:sz="4" w:space="0" w:color="auto"/>
            </w:tcBorders>
            <w:shd w:val="clear" w:color="auto" w:fill="auto"/>
            <w:vAlign w:val="center"/>
            <w:hideMark/>
          </w:tcPr>
          <w:p w14:paraId="6675AD24"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w:t>
            </w:r>
          </w:p>
        </w:tc>
        <w:tc>
          <w:tcPr>
            <w:tcW w:w="1546" w:type="dxa"/>
            <w:tcBorders>
              <w:top w:val="nil"/>
              <w:left w:val="nil"/>
              <w:bottom w:val="single" w:sz="4" w:space="0" w:color="auto"/>
              <w:right w:val="single" w:sz="4" w:space="0" w:color="auto"/>
            </w:tcBorders>
            <w:shd w:val="clear" w:color="auto" w:fill="auto"/>
            <w:vAlign w:val="center"/>
            <w:hideMark/>
          </w:tcPr>
          <w:p w14:paraId="4B803DFB"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1029" w:type="dxa"/>
            <w:tcBorders>
              <w:top w:val="nil"/>
              <w:left w:val="nil"/>
              <w:bottom w:val="single" w:sz="4" w:space="0" w:color="auto"/>
              <w:right w:val="single" w:sz="4" w:space="0" w:color="auto"/>
            </w:tcBorders>
            <w:shd w:val="clear" w:color="auto" w:fill="auto"/>
            <w:vAlign w:val="center"/>
            <w:hideMark/>
          </w:tcPr>
          <w:p w14:paraId="11D6A259"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27,472</w:t>
            </w:r>
          </w:p>
        </w:tc>
        <w:tc>
          <w:tcPr>
            <w:tcW w:w="714" w:type="dxa"/>
            <w:tcBorders>
              <w:top w:val="nil"/>
              <w:left w:val="nil"/>
              <w:bottom w:val="single" w:sz="4" w:space="0" w:color="auto"/>
              <w:right w:val="single" w:sz="4" w:space="0" w:color="auto"/>
            </w:tcBorders>
            <w:shd w:val="clear" w:color="auto" w:fill="auto"/>
            <w:vAlign w:val="center"/>
            <w:hideMark/>
          </w:tcPr>
          <w:p w14:paraId="721EF3D7"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w:t>
            </w:r>
          </w:p>
        </w:tc>
        <w:tc>
          <w:tcPr>
            <w:tcW w:w="3078"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287D7232" w14:textId="77777777" w:rsidR="00130638"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PGW Service Area</w:t>
            </w:r>
          </w:p>
          <w:p w14:paraId="6F92C200"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2012-2016 ACS</w:t>
            </w:r>
          </w:p>
        </w:tc>
      </w:tr>
      <w:tr w:rsidR="007E1D1B" w:rsidRPr="00EE5714" w14:paraId="2DD4E6A0" w14:textId="77777777" w:rsidTr="00701518">
        <w:trPr>
          <w:trHeight w:val="502"/>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0D089CD0"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582,595</w:t>
            </w:r>
          </w:p>
        </w:tc>
        <w:tc>
          <w:tcPr>
            <w:tcW w:w="829" w:type="dxa"/>
            <w:tcBorders>
              <w:top w:val="nil"/>
              <w:left w:val="nil"/>
              <w:bottom w:val="single" w:sz="4" w:space="0" w:color="auto"/>
              <w:right w:val="single" w:sz="4" w:space="0" w:color="auto"/>
            </w:tcBorders>
            <w:shd w:val="clear" w:color="auto" w:fill="auto"/>
            <w:vAlign w:val="center"/>
            <w:hideMark/>
          </w:tcPr>
          <w:p w14:paraId="1E748D70"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14:paraId="7862CC2A"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14:paraId="013F563B"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nil"/>
              <w:bottom w:val="single" w:sz="4" w:space="0" w:color="auto"/>
              <w:right w:val="single" w:sz="4" w:space="0" w:color="auto"/>
            </w:tcBorders>
            <w:shd w:val="clear" w:color="auto" w:fill="auto"/>
            <w:vAlign w:val="center"/>
            <w:hideMark/>
          </w:tcPr>
          <w:p w14:paraId="75DBC95B"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1029" w:type="dxa"/>
            <w:tcBorders>
              <w:top w:val="nil"/>
              <w:left w:val="nil"/>
              <w:bottom w:val="single" w:sz="4" w:space="0" w:color="auto"/>
              <w:right w:val="single" w:sz="4" w:space="0" w:color="auto"/>
            </w:tcBorders>
            <w:shd w:val="clear" w:color="auto" w:fill="auto"/>
            <w:vAlign w:val="center"/>
            <w:hideMark/>
          </w:tcPr>
          <w:p w14:paraId="0BC8A38C"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332</w:t>
            </w:r>
          </w:p>
        </w:tc>
        <w:tc>
          <w:tcPr>
            <w:tcW w:w="714" w:type="dxa"/>
            <w:tcBorders>
              <w:top w:val="nil"/>
              <w:left w:val="nil"/>
              <w:bottom w:val="single" w:sz="4" w:space="0" w:color="auto"/>
              <w:right w:val="single" w:sz="4" w:space="0" w:color="auto"/>
            </w:tcBorders>
            <w:shd w:val="clear" w:color="auto" w:fill="auto"/>
            <w:vAlign w:val="center"/>
            <w:hideMark/>
          </w:tcPr>
          <w:p w14:paraId="2B36D7B3"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231" w:type="dxa"/>
            <w:tcBorders>
              <w:top w:val="single" w:sz="4" w:space="0" w:color="auto"/>
              <w:left w:val="nil"/>
              <w:bottom w:val="single" w:sz="4" w:space="0" w:color="auto"/>
              <w:right w:val="single" w:sz="4" w:space="0" w:color="auto"/>
            </w:tcBorders>
            <w:shd w:val="clear" w:color="000000" w:fill="E7E6E6"/>
            <w:vAlign w:val="center"/>
            <w:hideMark/>
          </w:tcPr>
          <w:p w14:paraId="71FDBD73"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126" w:type="dxa"/>
            <w:tcBorders>
              <w:top w:val="single" w:sz="4" w:space="0" w:color="auto"/>
              <w:left w:val="nil"/>
              <w:bottom w:val="single" w:sz="4" w:space="0" w:color="auto"/>
              <w:right w:val="single" w:sz="4" w:space="0" w:color="auto"/>
            </w:tcBorders>
            <w:shd w:val="clear" w:color="000000" w:fill="E7E6E6"/>
            <w:vAlign w:val="center"/>
            <w:hideMark/>
          </w:tcPr>
          <w:p w14:paraId="2E59D34C"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21" w:type="dxa"/>
            <w:tcBorders>
              <w:top w:val="single" w:sz="4" w:space="0" w:color="auto"/>
              <w:left w:val="nil"/>
              <w:bottom w:val="single" w:sz="4" w:space="0" w:color="auto"/>
              <w:right w:val="single" w:sz="4" w:space="0" w:color="auto"/>
            </w:tcBorders>
            <w:shd w:val="clear" w:color="000000" w:fill="E7E6E6"/>
            <w:vAlign w:val="center"/>
            <w:hideMark/>
          </w:tcPr>
          <w:p w14:paraId="470BE173"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7E1D1B" w:rsidRPr="00EE5714" w14:paraId="1D02D638" w14:textId="77777777" w:rsidTr="00701518">
        <w:trPr>
          <w:trHeight w:val="428"/>
          <w:jc w:val="center"/>
        </w:trPr>
        <w:tc>
          <w:tcPr>
            <w:tcW w:w="4236" w:type="dxa"/>
            <w:gridSpan w:val="4"/>
            <w:tcBorders>
              <w:top w:val="single" w:sz="4" w:space="0" w:color="auto"/>
              <w:left w:val="single" w:sz="4" w:space="0" w:color="auto"/>
              <w:bottom w:val="single" w:sz="4" w:space="0" w:color="auto"/>
              <w:right w:val="single" w:sz="4" w:space="0" w:color="000000"/>
            </w:tcBorders>
            <w:shd w:val="clear" w:color="000000" w:fill="E7E6E6"/>
            <w:vAlign w:val="center"/>
            <w:hideMark/>
          </w:tcPr>
          <w:p w14:paraId="5BA0468A" w14:textId="26ECE9C8"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PGW Service Area - 2012-2016 ACS</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2EBF01BD"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1029" w:type="dxa"/>
            <w:tcBorders>
              <w:top w:val="nil"/>
              <w:left w:val="nil"/>
              <w:bottom w:val="single" w:sz="4" w:space="0" w:color="auto"/>
              <w:right w:val="single" w:sz="4" w:space="0" w:color="auto"/>
            </w:tcBorders>
            <w:shd w:val="clear" w:color="auto" w:fill="auto"/>
            <w:vAlign w:val="center"/>
            <w:hideMark/>
          </w:tcPr>
          <w:p w14:paraId="70B26ED2"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758</w:t>
            </w:r>
          </w:p>
        </w:tc>
        <w:tc>
          <w:tcPr>
            <w:tcW w:w="714" w:type="dxa"/>
            <w:tcBorders>
              <w:top w:val="nil"/>
              <w:left w:val="nil"/>
              <w:bottom w:val="single" w:sz="4" w:space="0" w:color="auto"/>
              <w:right w:val="single" w:sz="4" w:space="0" w:color="auto"/>
            </w:tcBorders>
            <w:shd w:val="clear" w:color="auto" w:fill="auto"/>
            <w:vAlign w:val="center"/>
            <w:hideMark/>
          </w:tcPr>
          <w:p w14:paraId="08527337"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231" w:type="dxa"/>
            <w:tcBorders>
              <w:top w:val="nil"/>
              <w:left w:val="nil"/>
              <w:bottom w:val="single" w:sz="4" w:space="0" w:color="auto"/>
              <w:right w:val="single" w:sz="4" w:space="0" w:color="auto"/>
            </w:tcBorders>
            <w:shd w:val="clear" w:color="auto" w:fill="auto"/>
            <w:vAlign w:val="center"/>
            <w:hideMark/>
          </w:tcPr>
          <w:p w14:paraId="5E1AC172"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157,858</w:t>
            </w:r>
          </w:p>
        </w:tc>
        <w:tc>
          <w:tcPr>
            <w:tcW w:w="1126" w:type="dxa"/>
            <w:tcBorders>
              <w:top w:val="nil"/>
              <w:left w:val="nil"/>
              <w:bottom w:val="single" w:sz="4" w:space="0" w:color="auto"/>
              <w:right w:val="single" w:sz="4" w:space="0" w:color="auto"/>
            </w:tcBorders>
            <w:shd w:val="clear" w:color="auto" w:fill="auto"/>
            <w:vAlign w:val="center"/>
            <w:hideMark/>
          </w:tcPr>
          <w:p w14:paraId="437C22A8"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21" w:type="dxa"/>
            <w:tcBorders>
              <w:top w:val="nil"/>
              <w:left w:val="nil"/>
              <w:bottom w:val="single" w:sz="4" w:space="0" w:color="auto"/>
              <w:right w:val="single" w:sz="4" w:space="0" w:color="auto"/>
            </w:tcBorders>
            <w:shd w:val="clear" w:color="auto" w:fill="auto"/>
            <w:vAlign w:val="center"/>
            <w:hideMark/>
          </w:tcPr>
          <w:p w14:paraId="0C4A649F"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37.2%</w:t>
            </w:r>
          </w:p>
        </w:tc>
      </w:tr>
      <w:tr w:rsidR="007E1D1B" w:rsidRPr="00EE5714" w14:paraId="19D465D0" w14:textId="77777777" w:rsidTr="00701518">
        <w:trPr>
          <w:trHeight w:val="295"/>
          <w:jc w:val="center"/>
        </w:trPr>
        <w:tc>
          <w:tcPr>
            <w:tcW w:w="118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0E0ED80"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47"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20040219"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4D12E35"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1029" w:type="dxa"/>
            <w:tcBorders>
              <w:top w:val="nil"/>
              <w:left w:val="nil"/>
              <w:bottom w:val="single" w:sz="4" w:space="0" w:color="auto"/>
              <w:right w:val="single" w:sz="4" w:space="0" w:color="auto"/>
            </w:tcBorders>
            <w:shd w:val="clear" w:color="auto" w:fill="auto"/>
            <w:vAlign w:val="center"/>
            <w:hideMark/>
          </w:tcPr>
          <w:p w14:paraId="77E678C6"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w:t>
            </w:r>
          </w:p>
        </w:tc>
        <w:tc>
          <w:tcPr>
            <w:tcW w:w="714" w:type="dxa"/>
            <w:tcBorders>
              <w:top w:val="nil"/>
              <w:left w:val="nil"/>
              <w:bottom w:val="single" w:sz="4" w:space="0" w:color="auto"/>
              <w:right w:val="single" w:sz="4" w:space="0" w:color="auto"/>
            </w:tcBorders>
            <w:shd w:val="clear" w:color="auto" w:fill="auto"/>
            <w:vAlign w:val="center"/>
            <w:hideMark/>
          </w:tcPr>
          <w:p w14:paraId="5FB435BF"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231" w:type="dxa"/>
            <w:tcBorders>
              <w:top w:val="nil"/>
              <w:left w:val="nil"/>
              <w:bottom w:val="single" w:sz="4" w:space="0" w:color="auto"/>
              <w:right w:val="single" w:sz="4" w:space="0" w:color="auto"/>
            </w:tcBorders>
            <w:shd w:val="clear" w:color="auto" w:fill="auto"/>
            <w:vAlign w:val="center"/>
            <w:hideMark/>
          </w:tcPr>
          <w:p w14:paraId="1F7EB6EE"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424,736</w:t>
            </w:r>
          </w:p>
        </w:tc>
        <w:tc>
          <w:tcPr>
            <w:tcW w:w="1126" w:type="dxa"/>
            <w:tcBorders>
              <w:top w:val="nil"/>
              <w:left w:val="nil"/>
              <w:bottom w:val="single" w:sz="4" w:space="0" w:color="auto"/>
              <w:right w:val="single" w:sz="4" w:space="0" w:color="auto"/>
            </w:tcBorders>
            <w:shd w:val="clear" w:color="auto" w:fill="auto"/>
            <w:vAlign w:val="center"/>
            <w:hideMark/>
          </w:tcPr>
          <w:p w14:paraId="5B3C9A6E"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21" w:type="dxa"/>
            <w:tcBorders>
              <w:top w:val="nil"/>
              <w:left w:val="nil"/>
              <w:bottom w:val="single" w:sz="4" w:space="0" w:color="auto"/>
              <w:right w:val="single" w:sz="4" w:space="0" w:color="auto"/>
            </w:tcBorders>
            <w:shd w:val="clear" w:color="auto" w:fill="auto"/>
            <w:vAlign w:val="center"/>
            <w:hideMark/>
          </w:tcPr>
          <w:p w14:paraId="3EFD6339"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62.8%</w:t>
            </w:r>
          </w:p>
        </w:tc>
      </w:tr>
      <w:tr w:rsidR="007E1D1B" w:rsidRPr="00EE5714" w14:paraId="6C521D40" w14:textId="77777777" w:rsidTr="00701518">
        <w:trPr>
          <w:trHeight w:val="561"/>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0452A9D1"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139,782</w:t>
            </w:r>
          </w:p>
        </w:tc>
        <w:tc>
          <w:tcPr>
            <w:tcW w:w="829" w:type="dxa"/>
            <w:tcBorders>
              <w:top w:val="single" w:sz="4" w:space="0" w:color="auto"/>
              <w:left w:val="nil"/>
              <w:bottom w:val="single" w:sz="4" w:space="0" w:color="auto"/>
              <w:right w:val="single" w:sz="4" w:space="0" w:color="auto"/>
            </w:tcBorders>
            <w:shd w:val="clear" w:color="auto" w:fill="auto"/>
            <w:vAlign w:val="center"/>
            <w:hideMark/>
          </w:tcPr>
          <w:p w14:paraId="724974D0"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23.99%</w:t>
            </w:r>
          </w:p>
        </w:tc>
        <w:tc>
          <w:tcPr>
            <w:tcW w:w="22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13511E"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0B1BA1A0"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1029" w:type="dxa"/>
            <w:tcBorders>
              <w:top w:val="nil"/>
              <w:left w:val="nil"/>
              <w:bottom w:val="single" w:sz="4" w:space="0" w:color="auto"/>
              <w:right w:val="single" w:sz="4" w:space="0" w:color="auto"/>
            </w:tcBorders>
            <w:shd w:val="clear" w:color="auto" w:fill="auto"/>
            <w:vAlign w:val="center"/>
            <w:hideMark/>
          </w:tcPr>
          <w:p w14:paraId="3E1433AB"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1,446</w:t>
            </w:r>
          </w:p>
        </w:tc>
        <w:tc>
          <w:tcPr>
            <w:tcW w:w="714" w:type="dxa"/>
            <w:tcBorders>
              <w:top w:val="nil"/>
              <w:left w:val="nil"/>
              <w:bottom w:val="single" w:sz="4" w:space="0" w:color="auto"/>
              <w:right w:val="single" w:sz="4" w:space="0" w:color="auto"/>
            </w:tcBorders>
            <w:shd w:val="clear" w:color="auto" w:fill="auto"/>
            <w:vAlign w:val="center"/>
            <w:hideMark/>
          </w:tcPr>
          <w:p w14:paraId="280EF7F8"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0.2%</w:t>
            </w:r>
          </w:p>
        </w:tc>
        <w:tc>
          <w:tcPr>
            <w:tcW w:w="1231" w:type="dxa"/>
            <w:tcBorders>
              <w:top w:val="nil"/>
              <w:left w:val="nil"/>
              <w:bottom w:val="single" w:sz="4" w:space="0" w:color="auto"/>
              <w:right w:val="single" w:sz="4" w:space="0" w:color="auto"/>
            </w:tcBorders>
            <w:shd w:val="clear" w:color="auto" w:fill="auto"/>
            <w:vAlign w:val="center"/>
            <w:hideMark/>
          </w:tcPr>
          <w:p w14:paraId="614BBE8E"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144,664</w:t>
            </w:r>
          </w:p>
        </w:tc>
        <w:tc>
          <w:tcPr>
            <w:tcW w:w="1126" w:type="dxa"/>
            <w:tcBorders>
              <w:top w:val="nil"/>
              <w:left w:val="nil"/>
              <w:bottom w:val="single" w:sz="4" w:space="0" w:color="auto"/>
              <w:right w:val="single" w:sz="4" w:space="0" w:color="auto"/>
            </w:tcBorders>
            <w:shd w:val="clear" w:color="auto" w:fill="auto"/>
            <w:vAlign w:val="center"/>
            <w:hideMark/>
          </w:tcPr>
          <w:p w14:paraId="31DA4925"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21" w:type="dxa"/>
            <w:tcBorders>
              <w:top w:val="nil"/>
              <w:left w:val="nil"/>
              <w:bottom w:val="single" w:sz="4" w:space="0" w:color="auto"/>
              <w:right w:val="single" w:sz="4" w:space="0" w:color="auto"/>
            </w:tcBorders>
            <w:shd w:val="clear" w:color="auto" w:fill="auto"/>
            <w:vAlign w:val="center"/>
            <w:hideMark/>
          </w:tcPr>
          <w:p w14:paraId="1E34D813" w14:textId="77777777" w:rsidR="007E1D1B" w:rsidRPr="00EE5714" w:rsidRDefault="007E1D1B" w:rsidP="00F0682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33.0%</w:t>
            </w:r>
          </w:p>
        </w:tc>
      </w:tr>
      <w:tr w:rsidR="007E1D1B" w:rsidRPr="00EE5714" w14:paraId="64BEA629" w14:textId="77777777" w:rsidTr="00701518">
        <w:trPr>
          <w:trHeight w:val="502"/>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53923FA"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442,812</w:t>
            </w:r>
          </w:p>
        </w:tc>
        <w:tc>
          <w:tcPr>
            <w:tcW w:w="829" w:type="dxa"/>
            <w:tcBorders>
              <w:top w:val="nil"/>
              <w:left w:val="nil"/>
              <w:bottom w:val="single" w:sz="4" w:space="0" w:color="auto"/>
              <w:right w:val="single" w:sz="4" w:space="0" w:color="auto"/>
            </w:tcBorders>
            <w:shd w:val="clear" w:color="auto" w:fill="auto"/>
            <w:vAlign w:val="center"/>
            <w:hideMark/>
          </w:tcPr>
          <w:p w14:paraId="1C25EDE3"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76.01%</w:t>
            </w:r>
          </w:p>
        </w:tc>
        <w:tc>
          <w:tcPr>
            <w:tcW w:w="22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23DC8D"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8D10B2D"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1029" w:type="dxa"/>
            <w:tcBorders>
              <w:top w:val="nil"/>
              <w:left w:val="nil"/>
              <w:bottom w:val="single" w:sz="4" w:space="0" w:color="auto"/>
              <w:right w:val="single" w:sz="4" w:space="0" w:color="auto"/>
            </w:tcBorders>
            <w:shd w:val="clear" w:color="auto" w:fill="auto"/>
            <w:vAlign w:val="center"/>
            <w:hideMark/>
          </w:tcPr>
          <w:p w14:paraId="66A6A439"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3,138</w:t>
            </w:r>
          </w:p>
        </w:tc>
        <w:tc>
          <w:tcPr>
            <w:tcW w:w="714" w:type="dxa"/>
            <w:tcBorders>
              <w:top w:val="nil"/>
              <w:left w:val="nil"/>
              <w:bottom w:val="single" w:sz="4" w:space="0" w:color="auto"/>
              <w:right w:val="single" w:sz="4" w:space="0" w:color="auto"/>
            </w:tcBorders>
            <w:shd w:val="clear" w:color="auto" w:fill="auto"/>
            <w:vAlign w:val="center"/>
            <w:hideMark/>
          </w:tcPr>
          <w:p w14:paraId="21F7079C"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w:t>
            </w:r>
          </w:p>
        </w:tc>
        <w:tc>
          <w:tcPr>
            <w:tcW w:w="1231" w:type="dxa"/>
            <w:tcBorders>
              <w:top w:val="nil"/>
              <w:left w:val="nil"/>
              <w:bottom w:val="single" w:sz="4" w:space="0" w:color="auto"/>
              <w:right w:val="single" w:sz="4" w:space="0" w:color="auto"/>
            </w:tcBorders>
            <w:shd w:val="clear" w:color="auto" w:fill="auto"/>
            <w:vAlign w:val="center"/>
            <w:hideMark/>
          </w:tcPr>
          <w:p w14:paraId="1CEBAA8A"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437,930</w:t>
            </w:r>
          </w:p>
        </w:tc>
        <w:tc>
          <w:tcPr>
            <w:tcW w:w="1126" w:type="dxa"/>
            <w:tcBorders>
              <w:top w:val="nil"/>
              <w:left w:val="nil"/>
              <w:bottom w:val="single" w:sz="4" w:space="0" w:color="auto"/>
              <w:right w:val="single" w:sz="4" w:space="0" w:color="auto"/>
            </w:tcBorders>
            <w:shd w:val="clear" w:color="auto" w:fill="auto"/>
            <w:vAlign w:val="center"/>
            <w:hideMark/>
          </w:tcPr>
          <w:p w14:paraId="17FA32D2"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21" w:type="dxa"/>
            <w:tcBorders>
              <w:top w:val="nil"/>
              <w:left w:val="nil"/>
              <w:bottom w:val="single" w:sz="4" w:space="0" w:color="auto"/>
              <w:right w:val="single" w:sz="4" w:space="0" w:color="auto"/>
            </w:tcBorders>
            <w:shd w:val="clear" w:color="auto" w:fill="auto"/>
            <w:vAlign w:val="center"/>
            <w:hideMark/>
          </w:tcPr>
          <w:p w14:paraId="747C6F16" w14:textId="77777777" w:rsidR="007E1D1B" w:rsidRPr="00EE5714" w:rsidRDefault="007E1D1B" w:rsidP="00F0682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67.0%</w:t>
            </w:r>
          </w:p>
        </w:tc>
      </w:tr>
      <w:tr w:rsidR="007E1D1B" w:rsidRPr="00EE5714" w14:paraId="670F448A" w14:textId="77777777" w:rsidTr="00701518">
        <w:trPr>
          <w:trHeight w:val="295"/>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00F966D0" w14:textId="77777777" w:rsidR="007E1D1B" w:rsidRPr="00EE5714" w:rsidRDefault="007E1D1B" w:rsidP="007E1D1B">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582,594</w:t>
            </w:r>
          </w:p>
        </w:tc>
        <w:tc>
          <w:tcPr>
            <w:tcW w:w="304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AE9ECF6" w14:textId="77777777" w:rsidR="007E1D1B" w:rsidRPr="00EE5714" w:rsidRDefault="007E1D1B" w:rsidP="007E1D1B">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7B348A6F" w14:textId="77777777" w:rsidR="007E1D1B" w:rsidRPr="00EE5714" w:rsidRDefault="007E1D1B" w:rsidP="007E1D1B">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29" w:type="dxa"/>
            <w:tcBorders>
              <w:top w:val="nil"/>
              <w:left w:val="nil"/>
              <w:bottom w:val="single" w:sz="4" w:space="0" w:color="auto"/>
              <w:right w:val="single" w:sz="4" w:space="0" w:color="auto"/>
            </w:tcBorders>
            <w:shd w:val="clear" w:color="auto" w:fill="auto"/>
            <w:vAlign w:val="center"/>
            <w:hideMark/>
          </w:tcPr>
          <w:p w14:paraId="29AFAD73" w14:textId="77777777" w:rsidR="007E1D1B" w:rsidRPr="00EE5714" w:rsidRDefault="007E1D1B" w:rsidP="007E1D1B">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582,594</w:t>
            </w:r>
          </w:p>
        </w:tc>
        <w:tc>
          <w:tcPr>
            <w:tcW w:w="714" w:type="dxa"/>
            <w:tcBorders>
              <w:top w:val="nil"/>
              <w:left w:val="nil"/>
              <w:bottom w:val="single" w:sz="4" w:space="0" w:color="auto"/>
              <w:right w:val="single" w:sz="4" w:space="0" w:color="auto"/>
            </w:tcBorders>
            <w:shd w:val="clear" w:color="auto" w:fill="auto"/>
            <w:vAlign w:val="center"/>
            <w:hideMark/>
          </w:tcPr>
          <w:p w14:paraId="539DE89F" w14:textId="77777777" w:rsidR="007E1D1B" w:rsidRPr="00EE5714" w:rsidRDefault="007E1D1B" w:rsidP="007E1D1B">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231" w:type="dxa"/>
            <w:tcBorders>
              <w:top w:val="nil"/>
              <w:left w:val="nil"/>
              <w:bottom w:val="single" w:sz="4" w:space="0" w:color="auto"/>
              <w:right w:val="single" w:sz="4" w:space="0" w:color="auto"/>
            </w:tcBorders>
            <w:shd w:val="clear" w:color="auto" w:fill="auto"/>
            <w:vAlign w:val="center"/>
            <w:hideMark/>
          </w:tcPr>
          <w:p w14:paraId="6BF1FF6A" w14:textId="77777777" w:rsidR="007E1D1B" w:rsidRPr="00EE5714" w:rsidRDefault="007E1D1B" w:rsidP="007E1D1B">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582,594</w:t>
            </w:r>
          </w:p>
        </w:tc>
        <w:tc>
          <w:tcPr>
            <w:tcW w:w="184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DE075AD" w14:textId="77777777" w:rsidR="007E1D1B" w:rsidRPr="00EE5714" w:rsidRDefault="007E1D1B" w:rsidP="007E1D1B">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4FC5420A" w14:textId="77777777" w:rsidR="00701518" w:rsidRPr="00EE5714" w:rsidRDefault="00701518" w:rsidP="00701518">
      <w:pPr>
        <w:spacing w:after="0" w:line="240" w:lineRule="auto"/>
        <w:rPr>
          <w:rFonts w:ascii="Times New Roman" w:hAnsi="Times New Roman" w:cs="Times New Roman"/>
          <w:sz w:val="26"/>
          <w:szCs w:val="26"/>
        </w:rPr>
      </w:pPr>
    </w:p>
    <w:p w14:paraId="5D8366A7" w14:textId="77777777" w:rsidR="00701518" w:rsidRPr="00EE5714" w:rsidRDefault="00701518" w:rsidP="00701518">
      <w:pPr>
        <w:spacing w:after="0" w:line="240" w:lineRule="auto"/>
        <w:rPr>
          <w:rFonts w:ascii="Times New Roman" w:hAnsi="Times New Roman" w:cs="Times New Roman"/>
          <w:sz w:val="26"/>
          <w:szCs w:val="26"/>
        </w:rPr>
      </w:pPr>
    </w:p>
    <w:p w14:paraId="1505F986" w14:textId="77777777" w:rsidR="008A2DC2" w:rsidRPr="00EE5714" w:rsidRDefault="00756704" w:rsidP="00661388">
      <w:pPr>
        <w:pStyle w:val="NoSpacing"/>
        <w:keepNext/>
      </w:pPr>
      <w:r w:rsidRPr="00EE5714">
        <w:lastRenderedPageBreak/>
        <w:t>Appendix 1.</w:t>
      </w:r>
      <w:r w:rsidR="00F0682D" w:rsidRPr="00EE5714">
        <w:t>A.6</w:t>
      </w:r>
      <w:r w:rsidRPr="00EE5714">
        <w:t xml:space="preserve">: </w:t>
      </w:r>
      <w:r w:rsidR="008A2DC2" w:rsidRPr="00EE5714">
        <w:rPr>
          <w:b/>
        </w:rPr>
        <w:t>UGI Gas</w:t>
      </w:r>
      <w:r w:rsidRPr="00EE5714">
        <w:rPr>
          <w:b/>
        </w:rPr>
        <w:t xml:space="preserve"> Service Territory Demographic Profile</w:t>
      </w:r>
    </w:p>
    <w:tbl>
      <w:tblPr>
        <w:tblW w:w="10648" w:type="dxa"/>
        <w:jc w:val="center"/>
        <w:tblLook w:val="04A0" w:firstRow="1" w:lastRow="0" w:firstColumn="1" w:lastColumn="0" w:noHBand="0" w:noVBand="1"/>
      </w:tblPr>
      <w:tblGrid>
        <w:gridCol w:w="1189"/>
        <w:gridCol w:w="840"/>
        <w:gridCol w:w="1109"/>
        <w:gridCol w:w="1109"/>
        <w:gridCol w:w="1546"/>
        <w:gridCol w:w="1029"/>
        <w:gridCol w:w="714"/>
        <w:gridCol w:w="1263"/>
        <w:gridCol w:w="1126"/>
        <w:gridCol w:w="723"/>
      </w:tblGrid>
      <w:tr w:rsidR="001874D9" w:rsidRPr="00EE5714" w14:paraId="39AB0963" w14:textId="77777777" w:rsidTr="00130638">
        <w:trPr>
          <w:trHeight w:val="721"/>
          <w:jc w:val="center"/>
        </w:trPr>
        <w:tc>
          <w:tcPr>
            <w:tcW w:w="118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1424FE4"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UGI Gas</w:t>
            </w:r>
          </w:p>
        </w:tc>
        <w:tc>
          <w:tcPr>
            <w:tcW w:w="1949" w:type="dxa"/>
            <w:gridSpan w:val="2"/>
            <w:tcBorders>
              <w:top w:val="single" w:sz="4" w:space="0" w:color="auto"/>
              <w:left w:val="nil"/>
              <w:bottom w:val="single" w:sz="4" w:space="0" w:color="auto"/>
              <w:right w:val="single" w:sz="4" w:space="0" w:color="auto"/>
            </w:tcBorders>
            <w:shd w:val="clear" w:color="000000" w:fill="E7E6E6"/>
            <w:vAlign w:val="center"/>
            <w:hideMark/>
          </w:tcPr>
          <w:p w14:paraId="07FF98E0"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109"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39881F1"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289" w:type="dxa"/>
            <w:gridSpan w:val="3"/>
            <w:tcBorders>
              <w:top w:val="single" w:sz="4" w:space="0" w:color="auto"/>
              <w:left w:val="nil"/>
              <w:bottom w:val="single" w:sz="4" w:space="0" w:color="auto"/>
              <w:right w:val="single" w:sz="4" w:space="0" w:color="auto"/>
            </w:tcBorders>
            <w:shd w:val="clear" w:color="000000" w:fill="E7E6E6"/>
            <w:vAlign w:val="center"/>
            <w:hideMark/>
          </w:tcPr>
          <w:p w14:paraId="3CBE0013"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112" w:type="dxa"/>
            <w:gridSpan w:val="3"/>
            <w:tcBorders>
              <w:top w:val="single" w:sz="4" w:space="0" w:color="auto"/>
              <w:left w:val="nil"/>
              <w:bottom w:val="single" w:sz="4" w:space="0" w:color="auto"/>
              <w:right w:val="single" w:sz="4" w:space="0" w:color="auto"/>
            </w:tcBorders>
            <w:shd w:val="clear" w:color="000000" w:fill="E7E6E6"/>
            <w:vAlign w:val="center"/>
            <w:hideMark/>
          </w:tcPr>
          <w:p w14:paraId="6015A6C0"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1874D9" w:rsidRPr="00EE5714" w14:paraId="50EC53C8" w14:textId="77777777" w:rsidTr="00130638">
        <w:trPr>
          <w:trHeight w:val="571"/>
          <w:jc w:val="center"/>
        </w:trPr>
        <w:tc>
          <w:tcPr>
            <w:tcW w:w="1189" w:type="dxa"/>
            <w:tcBorders>
              <w:top w:val="nil"/>
              <w:left w:val="single" w:sz="4" w:space="0" w:color="auto"/>
              <w:bottom w:val="single" w:sz="4" w:space="0" w:color="auto"/>
              <w:right w:val="single" w:sz="4" w:space="0" w:color="auto"/>
            </w:tcBorders>
            <w:shd w:val="clear" w:color="000000" w:fill="E7E6E6"/>
            <w:vAlign w:val="center"/>
            <w:hideMark/>
          </w:tcPr>
          <w:p w14:paraId="7193FB8B"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67.50%</w:t>
            </w:r>
          </w:p>
        </w:tc>
        <w:tc>
          <w:tcPr>
            <w:tcW w:w="840" w:type="dxa"/>
            <w:tcBorders>
              <w:top w:val="nil"/>
              <w:left w:val="nil"/>
              <w:bottom w:val="single" w:sz="4" w:space="0" w:color="auto"/>
              <w:right w:val="single" w:sz="4" w:space="0" w:color="auto"/>
            </w:tcBorders>
            <w:shd w:val="clear" w:color="000000" w:fill="E7E6E6"/>
            <w:vAlign w:val="center"/>
            <w:hideMark/>
          </w:tcPr>
          <w:p w14:paraId="552608DE"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109" w:type="dxa"/>
            <w:tcBorders>
              <w:top w:val="nil"/>
              <w:left w:val="nil"/>
              <w:bottom w:val="single" w:sz="4" w:space="0" w:color="auto"/>
              <w:right w:val="single" w:sz="4" w:space="0" w:color="auto"/>
            </w:tcBorders>
            <w:shd w:val="clear" w:color="000000" w:fill="E7E6E6"/>
            <w:vAlign w:val="center"/>
            <w:hideMark/>
          </w:tcPr>
          <w:p w14:paraId="2F2F12C7"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3BF025E0" w14:textId="77777777" w:rsidR="001874D9" w:rsidRPr="00EE5714" w:rsidRDefault="001874D9" w:rsidP="009F3BA3">
            <w:pPr>
              <w:keepNext/>
              <w:spacing w:after="0" w:line="240" w:lineRule="auto"/>
              <w:rPr>
                <w:rFonts w:ascii="Calibri" w:eastAsia="Times New Roman" w:hAnsi="Calibri" w:cs="Calibri"/>
                <w:b/>
                <w:bCs/>
                <w:color w:val="000000"/>
                <w:sz w:val="20"/>
                <w:szCs w:val="20"/>
              </w:rPr>
            </w:pPr>
          </w:p>
        </w:tc>
        <w:tc>
          <w:tcPr>
            <w:tcW w:w="2575" w:type="dxa"/>
            <w:gridSpan w:val="2"/>
            <w:tcBorders>
              <w:top w:val="single" w:sz="4" w:space="0" w:color="auto"/>
              <w:left w:val="nil"/>
              <w:bottom w:val="single" w:sz="4" w:space="0" w:color="auto"/>
              <w:right w:val="single" w:sz="4" w:space="0" w:color="auto"/>
            </w:tcBorders>
            <w:shd w:val="clear" w:color="000000" w:fill="E7E6E6"/>
            <w:vAlign w:val="center"/>
            <w:hideMark/>
          </w:tcPr>
          <w:p w14:paraId="06E9C417"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14" w:type="dxa"/>
            <w:tcBorders>
              <w:top w:val="nil"/>
              <w:left w:val="nil"/>
              <w:bottom w:val="single" w:sz="4" w:space="0" w:color="auto"/>
              <w:right w:val="single" w:sz="4" w:space="0" w:color="auto"/>
            </w:tcBorders>
            <w:shd w:val="clear" w:color="000000" w:fill="E7E6E6"/>
            <w:vAlign w:val="center"/>
            <w:hideMark/>
          </w:tcPr>
          <w:p w14:paraId="5114654B"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389" w:type="dxa"/>
            <w:gridSpan w:val="2"/>
            <w:tcBorders>
              <w:top w:val="single" w:sz="4" w:space="0" w:color="auto"/>
              <w:left w:val="nil"/>
              <w:bottom w:val="single" w:sz="4" w:space="0" w:color="auto"/>
              <w:right w:val="single" w:sz="4" w:space="0" w:color="auto"/>
            </w:tcBorders>
            <w:shd w:val="clear" w:color="000000" w:fill="E7E6E6"/>
            <w:vAlign w:val="center"/>
            <w:hideMark/>
          </w:tcPr>
          <w:p w14:paraId="167EDE44"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23" w:type="dxa"/>
            <w:tcBorders>
              <w:top w:val="nil"/>
              <w:left w:val="nil"/>
              <w:bottom w:val="single" w:sz="4" w:space="0" w:color="auto"/>
              <w:right w:val="single" w:sz="4" w:space="0" w:color="auto"/>
            </w:tcBorders>
            <w:shd w:val="clear" w:color="000000" w:fill="E7E6E6"/>
            <w:vAlign w:val="center"/>
            <w:hideMark/>
          </w:tcPr>
          <w:p w14:paraId="1C219F63"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1874D9" w:rsidRPr="00EE5714" w14:paraId="24C9DE39" w14:textId="77777777" w:rsidTr="00130638">
        <w:trPr>
          <w:trHeight w:val="300"/>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1557100D"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263,089</w:t>
            </w:r>
          </w:p>
        </w:tc>
        <w:tc>
          <w:tcPr>
            <w:tcW w:w="840" w:type="dxa"/>
            <w:tcBorders>
              <w:top w:val="nil"/>
              <w:left w:val="nil"/>
              <w:bottom w:val="single" w:sz="4" w:space="0" w:color="auto"/>
              <w:right w:val="single" w:sz="4" w:space="0" w:color="auto"/>
            </w:tcBorders>
            <w:shd w:val="clear" w:color="auto" w:fill="auto"/>
            <w:vAlign w:val="center"/>
            <w:hideMark/>
          </w:tcPr>
          <w:p w14:paraId="480F87E2"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30.2%</w:t>
            </w:r>
          </w:p>
        </w:tc>
        <w:tc>
          <w:tcPr>
            <w:tcW w:w="1109" w:type="dxa"/>
            <w:tcBorders>
              <w:top w:val="nil"/>
              <w:left w:val="nil"/>
              <w:bottom w:val="single" w:sz="4" w:space="0" w:color="auto"/>
              <w:right w:val="single" w:sz="4" w:space="0" w:color="auto"/>
            </w:tcBorders>
            <w:shd w:val="clear" w:color="auto" w:fill="auto"/>
            <w:vAlign w:val="center"/>
            <w:hideMark/>
          </w:tcPr>
          <w:p w14:paraId="16DCB5AE"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1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32A01D"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2D355273"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1029" w:type="dxa"/>
            <w:tcBorders>
              <w:top w:val="nil"/>
              <w:left w:val="nil"/>
              <w:bottom w:val="single" w:sz="4" w:space="0" w:color="auto"/>
              <w:right w:val="single" w:sz="4" w:space="0" w:color="auto"/>
            </w:tcBorders>
            <w:shd w:val="clear" w:color="auto" w:fill="auto"/>
            <w:vAlign w:val="center"/>
            <w:hideMark/>
          </w:tcPr>
          <w:p w14:paraId="71A8DE6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115,384</w:t>
            </w:r>
          </w:p>
        </w:tc>
        <w:tc>
          <w:tcPr>
            <w:tcW w:w="714" w:type="dxa"/>
            <w:tcBorders>
              <w:top w:val="nil"/>
              <w:left w:val="nil"/>
              <w:bottom w:val="single" w:sz="4" w:space="0" w:color="auto"/>
              <w:right w:val="single" w:sz="4" w:space="0" w:color="auto"/>
            </w:tcBorders>
            <w:shd w:val="clear" w:color="auto" w:fill="auto"/>
            <w:vAlign w:val="center"/>
            <w:hideMark/>
          </w:tcPr>
          <w:p w14:paraId="76698423"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w:t>
            </w:r>
          </w:p>
        </w:tc>
        <w:tc>
          <w:tcPr>
            <w:tcW w:w="1263" w:type="dxa"/>
            <w:tcBorders>
              <w:top w:val="nil"/>
              <w:left w:val="nil"/>
              <w:bottom w:val="single" w:sz="4" w:space="0" w:color="auto"/>
              <w:right w:val="single" w:sz="4" w:space="0" w:color="auto"/>
            </w:tcBorders>
            <w:shd w:val="clear" w:color="auto" w:fill="auto"/>
            <w:vAlign w:val="center"/>
            <w:hideMark/>
          </w:tcPr>
          <w:p w14:paraId="48FF27D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126" w:type="dxa"/>
            <w:tcBorders>
              <w:top w:val="nil"/>
              <w:left w:val="nil"/>
              <w:bottom w:val="single" w:sz="4" w:space="0" w:color="auto"/>
              <w:right w:val="single" w:sz="4" w:space="0" w:color="auto"/>
            </w:tcBorders>
            <w:shd w:val="clear" w:color="auto" w:fill="auto"/>
            <w:vAlign w:val="center"/>
            <w:hideMark/>
          </w:tcPr>
          <w:p w14:paraId="7FA7C64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77,251</w:t>
            </w:r>
          </w:p>
        </w:tc>
        <w:tc>
          <w:tcPr>
            <w:tcW w:w="723" w:type="dxa"/>
            <w:tcBorders>
              <w:top w:val="nil"/>
              <w:left w:val="nil"/>
              <w:bottom w:val="single" w:sz="4" w:space="0" w:color="auto"/>
              <w:right w:val="single" w:sz="4" w:space="0" w:color="auto"/>
            </w:tcBorders>
            <w:shd w:val="clear" w:color="auto" w:fill="auto"/>
            <w:vAlign w:val="center"/>
            <w:hideMark/>
          </w:tcPr>
          <w:p w14:paraId="626DAE7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w:t>
            </w:r>
          </w:p>
        </w:tc>
      </w:tr>
      <w:tr w:rsidR="001874D9" w:rsidRPr="00EE5714" w14:paraId="3032BDC6" w14:textId="77777777" w:rsidTr="00130638">
        <w:trPr>
          <w:trHeight w:val="300"/>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6F5EFAE2"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135,314</w:t>
            </w:r>
          </w:p>
        </w:tc>
        <w:tc>
          <w:tcPr>
            <w:tcW w:w="840" w:type="dxa"/>
            <w:tcBorders>
              <w:top w:val="nil"/>
              <w:left w:val="nil"/>
              <w:bottom w:val="single" w:sz="4" w:space="0" w:color="auto"/>
              <w:right w:val="single" w:sz="4" w:space="0" w:color="auto"/>
            </w:tcBorders>
            <w:shd w:val="clear" w:color="auto" w:fill="auto"/>
            <w:vAlign w:val="center"/>
            <w:hideMark/>
          </w:tcPr>
          <w:p w14:paraId="29CBA99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15.5%</w:t>
            </w:r>
          </w:p>
        </w:tc>
        <w:tc>
          <w:tcPr>
            <w:tcW w:w="1109" w:type="dxa"/>
            <w:tcBorders>
              <w:top w:val="nil"/>
              <w:left w:val="nil"/>
              <w:bottom w:val="single" w:sz="4" w:space="0" w:color="auto"/>
              <w:right w:val="single" w:sz="4" w:space="0" w:color="auto"/>
            </w:tcBorders>
            <w:shd w:val="clear" w:color="auto" w:fill="auto"/>
            <w:vAlign w:val="center"/>
            <w:hideMark/>
          </w:tcPr>
          <w:p w14:paraId="0534BDB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535F35D3" w14:textId="77777777" w:rsidR="001874D9" w:rsidRPr="00EE5714" w:rsidRDefault="001874D9" w:rsidP="009F3BA3">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06A0D4C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1029" w:type="dxa"/>
            <w:tcBorders>
              <w:top w:val="nil"/>
              <w:left w:val="nil"/>
              <w:bottom w:val="single" w:sz="4" w:space="0" w:color="auto"/>
              <w:right w:val="single" w:sz="4" w:space="0" w:color="auto"/>
            </w:tcBorders>
            <w:shd w:val="clear" w:color="auto" w:fill="auto"/>
            <w:vAlign w:val="center"/>
            <w:hideMark/>
          </w:tcPr>
          <w:p w14:paraId="630F395E"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144,445</w:t>
            </w:r>
          </w:p>
        </w:tc>
        <w:tc>
          <w:tcPr>
            <w:tcW w:w="714" w:type="dxa"/>
            <w:tcBorders>
              <w:top w:val="nil"/>
              <w:left w:val="nil"/>
              <w:bottom w:val="single" w:sz="4" w:space="0" w:color="auto"/>
              <w:right w:val="single" w:sz="4" w:space="0" w:color="auto"/>
            </w:tcBorders>
            <w:shd w:val="clear" w:color="auto" w:fill="auto"/>
            <w:vAlign w:val="center"/>
            <w:hideMark/>
          </w:tcPr>
          <w:p w14:paraId="5A18C70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w:t>
            </w:r>
          </w:p>
        </w:tc>
        <w:tc>
          <w:tcPr>
            <w:tcW w:w="1263" w:type="dxa"/>
            <w:tcBorders>
              <w:top w:val="nil"/>
              <w:left w:val="nil"/>
              <w:bottom w:val="single" w:sz="4" w:space="0" w:color="auto"/>
              <w:right w:val="single" w:sz="4" w:space="0" w:color="auto"/>
            </w:tcBorders>
            <w:shd w:val="clear" w:color="auto" w:fill="auto"/>
            <w:vAlign w:val="center"/>
            <w:hideMark/>
          </w:tcPr>
          <w:p w14:paraId="039754DF"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126" w:type="dxa"/>
            <w:tcBorders>
              <w:top w:val="nil"/>
              <w:left w:val="nil"/>
              <w:bottom w:val="single" w:sz="4" w:space="0" w:color="auto"/>
              <w:right w:val="single" w:sz="4" w:space="0" w:color="auto"/>
            </w:tcBorders>
            <w:shd w:val="clear" w:color="auto" w:fill="auto"/>
            <w:vAlign w:val="center"/>
            <w:hideMark/>
          </w:tcPr>
          <w:p w14:paraId="5F9FAAE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76,829</w:t>
            </w:r>
          </w:p>
        </w:tc>
        <w:tc>
          <w:tcPr>
            <w:tcW w:w="723" w:type="dxa"/>
            <w:tcBorders>
              <w:top w:val="nil"/>
              <w:left w:val="nil"/>
              <w:bottom w:val="single" w:sz="4" w:space="0" w:color="auto"/>
              <w:right w:val="single" w:sz="4" w:space="0" w:color="auto"/>
            </w:tcBorders>
            <w:shd w:val="clear" w:color="auto" w:fill="auto"/>
            <w:vAlign w:val="center"/>
            <w:hideMark/>
          </w:tcPr>
          <w:p w14:paraId="0B6B589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w:t>
            </w:r>
          </w:p>
        </w:tc>
      </w:tr>
      <w:tr w:rsidR="001874D9" w:rsidRPr="00EE5714" w14:paraId="0CBDD8EB" w14:textId="77777777" w:rsidTr="00130638">
        <w:trPr>
          <w:trHeight w:val="300"/>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5A726C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111,164</w:t>
            </w:r>
          </w:p>
        </w:tc>
        <w:tc>
          <w:tcPr>
            <w:tcW w:w="840" w:type="dxa"/>
            <w:tcBorders>
              <w:top w:val="nil"/>
              <w:left w:val="nil"/>
              <w:bottom w:val="single" w:sz="4" w:space="0" w:color="auto"/>
              <w:right w:val="single" w:sz="4" w:space="0" w:color="auto"/>
            </w:tcBorders>
            <w:shd w:val="clear" w:color="auto" w:fill="auto"/>
            <w:vAlign w:val="center"/>
            <w:hideMark/>
          </w:tcPr>
          <w:p w14:paraId="18867B1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12.8%</w:t>
            </w:r>
          </w:p>
        </w:tc>
        <w:tc>
          <w:tcPr>
            <w:tcW w:w="1109" w:type="dxa"/>
            <w:tcBorders>
              <w:top w:val="nil"/>
              <w:left w:val="nil"/>
              <w:bottom w:val="single" w:sz="4" w:space="0" w:color="auto"/>
              <w:right w:val="single" w:sz="4" w:space="0" w:color="auto"/>
            </w:tcBorders>
            <w:shd w:val="clear" w:color="auto" w:fill="auto"/>
            <w:vAlign w:val="center"/>
            <w:hideMark/>
          </w:tcPr>
          <w:p w14:paraId="7A2C743F"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167487C1" w14:textId="77777777" w:rsidR="001874D9" w:rsidRPr="00EE5714" w:rsidRDefault="001874D9" w:rsidP="009F3BA3">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0F88BC2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1029" w:type="dxa"/>
            <w:tcBorders>
              <w:top w:val="nil"/>
              <w:left w:val="nil"/>
              <w:bottom w:val="single" w:sz="4" w:space="0" w:color="auto"/>
              <w:right w:val="single" w:sz="4" w:space="0" w:color="auto"/>
            </w:tcBorders>
            <w:shd w:val="clear" w:color="auto" w:fill="auto"/>
            <w:vAlign w:val="center"/>
            <w:hideMark/>
          </w:tcPr>
          <w:p w14:paraId="0BA5D64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85,763</w:t>
            </w:r>
          </w:p>
        </w:tc>
        <w:tc>
          <w:tcPr>
            <w:tcW w:w="714" w:type="dxa"/>
            <w:tcBorders>
              <w:top w:val="nil"/>
              <w:left w:val="nil"/>
              <w:bottom w:val="single" w:sz="4" w:space="0" w:color="auto"/>
              <w:right w:val="single" w:sz="4" w:space="0" w:color="auto"/>
            </w:tcBorders>
            <w:shd w:val="clear" w:color="auto" w:fill="auto"/>
            <w:vAlign w:val="center"/>
            <w:hideMark/>
          </w:tcPr>
          <w:p w14:paraId="7419C2D8"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w:t>
            </w:r>
          </w:p>
        </w:tc>
        <w:tc>
          <w:tcPr>
            <w:tcW w:w="1263" w:type="dxa"/>
            <w:tcBorders>
              <w:top w:val="nil"/>
              <w:left w:val="nil"/>
              <w:bottom w:val="single" w:sz="4" w:space="0" w:color="auto"/>
              <w:right w:val="single" w:sz="4" w:space="0" w:color="auto"/>
            </w:tcBorders>
            <w:shd w:val="clear" w:color="auto" w:fill="auto"/>
            <w:vAlign w:val="center"/>
            <w:hideMark/>
          </w:tcPr>
          <w:p w14:paraId="1B54D80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126" w:type="dxa"/>
            <w:tcBorders>
              <w:top w:val="nil"/>
              <w:left w:val="nil"/>
              <w:bottom w:val="single" w:sz="4" w:space="0" w:color="auto"/>
              <w:right w:val="single" w:sz="4" w:space="0" w:color="auto"/>
            </w:tcBorders>
            <w:shd w:val="clear" w:color="auto" w:fill="auto"/>
            <w:vAlign w:val="center"/>
            <w:hideMark/>
          </w:tcPr>
          <w:p w14:paraId="20EF3179"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80,520</w:t>
            </w:r>
          </w:p>
        </w:tc>
        <w:tc>
          <w:tcPr>
            <w:tcW w:w="723" w:type="dxa"/>
            <w:tcBorders>
              <w:top w:val="nil"/>
              <w:left w:val="nil"/>
              <w:bottom w:val="single" w:sz="4" w:space="0" w:color="auto"/>
              <w:right w:val="single" w:sz="4" w:space="0" w:color="auto"/>
            </w:tcBorders>
            <w:shd w:val="clear" w:color="auto" w:fill="auto"/>
            <w:vAlign w:val="center"/>
            <w:hideMark/>
          </w:tcPr>
          <w:p w14:paraId="1349AEA6"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8.9%</w:t>
            </w:r>
          </w:p>
        </w:tc>
      </w:tr>
      <w:tr w:rsidR="001874D9" w:rsidRPr="00EE5714" w14:paraId="7B16DF01" w14:textId="77777777" w:rsidTr="00130638">
        <w:trPr>
          <w:trHeight w:val="300"/>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6A37753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48,630</w:t>
            </w:r>
          </w:p>
        </w:tc>
        <w:tc>
          <w:tcPr>
            <w:tcW w:w="840" w:type="dxa"/>
            <w:tcBorders>
              <w:top w:val="nil"/>
              <w:left w:val="nil"/>
              <w:bottom w:val="single" w:sz="4" w:space="0" w:color="auto"/>
              <w:right w:val="single" w:sz="4" w:space="0" w:color="auto"/>
            </w:tcBorders>
            <w:shd w:val="clear" w:color="auto" w:fill="auto"/>
            <w:vAlign w:val="center"/>
            <w:hideMark/>
          </w:tcPr>
          <w:p w14:paraId="6C9830D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w:t>
            </w:r>
          </w:p>
        </w:tc>
        <w:tc>
          <w:tcPr>
            <w:tcW w:w="1109" w:type="dxa"/>
            <w:tcBorders>
              <w:top w:val="nil"/>
              <w:left w:val="nil"/>
              <w:bottom w:val="single" w:sz="4" w:space="0" w:color="auto"/>
              <w:right w:val="single" w:sz="4" w:space="0" w:color="auto"/>
            </w:tcBorders>
            <w:shd w:val="clear" w:color="auto" w:fill="auto"/>
            <w:vAlign w:val="center"/>
            <w:hideMark/>
          </w:tcPr>
          <w:p w14:paraId="2595B578"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7B5F73AA" w14:textId="77777777" w:rsidR="001874D9" w:rsidRPr="00EE5714" w:rsidRDefault="001874D9" w:rsidP="009F3BA3">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17E52E02"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1029" w:type="dxa"/>
            <w:tcBorders>
              <w:top w:val="nil"/>
              <w:left w:val="nil"/>
              <w:bottom w:val="single" w:sz="4" w:space="0" w:color="auto"/>
              <w:right w:val="single" w:sz="4" w:space="0" w:color="auto"/>
            </w:tcBorders>
            <w:shd w:val="clear" w:color="auto" w:fill="auto"/>
            <w:vAlign w:val="center"/>
            <w:hideMark/>
          </w:tcPr>
          <w:p w14:paraId="4E22AFE8"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93,233</w:t>
            </w:r>
          </w:p>
        </w:tc>
        <w:tc>
          <w:tcPr>
            <w:tcW w:w="714" w:type="dxa"/>
            <w:tcBorders>
              <w:top w:val="nil"/>
              <w:left w:val="nil"/>
              <w:bottom w:val="single" w:sz="4" w:space="0" w:color="auto"/>
              <w:right w:val="single" w:sz="4" w:space="0" w:color="auto"/>
            </w:tcBorders>
            <w:shd w:val="clear" w:color="auto" w:fill="auto"/>
            <w:vAlign w:val="center"/>
            <w:hideMark/>
          </w:tcPr>
          <w:p w14:paraId="23C3456E"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4.2%</w:t>
            </w:r>
          </w:p>
        </w:tc>
        <w:tc>
          <w:tcPr>
            <w:tcW w:w="1263" w:type="dxa"/>
            <w:tcBorders>
              <w:top w:val="nil"/>
              <w:left w:val="nil"/>
              <w:bottom w:val="single" w:sz="4" w:space="0" w:color="auto"/>
              <w:right w:val="single" w:sz="4" w:space="0" w:color="auto"/>
            </w:tcBorders>
            <w:shd w:val="clear" w:color="auto" w:fill="auto"/>
            <w:vAlign w:val="center"/>
            <w:hideMark/>
          </w:tcPr>
          <w:p w14:paraId="154B40E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126" w:type="dxa"/>
            <w:tcBorders>
              <w:top w:val="nil"/>
              <w:left w:val="nil"/>
              <w:bottom w:val="single" w:sz="4" w:space="0" w:color="auto"/>
              <w:right w:val="single" w:sz="4" w:space="0" w:color="auto"/>
            </w:tcBorders>
            <w:shd w:val="clear" w:color="auto" w:fill="auto"/>
            <w:vAlign w:val="center"/>
            <w:hideMark/>
          </w:tcPr>
          <w:p w14:paraId="03051996"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115,440</w:t>
            </w:r>
          </w:p>
        </w:tc>
        <w:tc>
          <w:tcPr>
            <w:tcW w:w="723" w:type="dxa"/>
            <w:tcBorders>
              <w:top w:val="nil"/>
              <w:left w:val="nil"/>
              <w:bottom w:val="single" w:sz="4" w:space="0" w:color="auto"/>
              <w:right w:val="single" w:sz="4" w:space="0" w:color="auto"/>
            </w:tcBorders>
            <w:shd w:val="clear" w:color="auto" w:fill="auto"/>
            <w:vAlign w:val="center"/>
            <w:hideMark/>
          </w:tcPr>
          <w:p w14:paraId="75B35027"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12.8%</w:t>
            </w:r>
          </w:p>
        </w:tc>
      </w:tr>
      <w:tr w:rsidR="001874D9" w:rsidRPr="00EE5714" w14:paraId="700473C9" w14:textId="77777777" w:rsidTr="00130638">
        <w:trPr>
          <w:trHeight w:val="300"/>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7761D6E"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18,435</w:t>
            </w:r>
          </w:p>
        </w:tc>
        <w:tc>
          <w:tcPr>
            <w:tcW w:w="840" w:type="dxa"/>
            <w:tcBorders>
              <w:top w:val="nil"/>
              <w:left w:val="nil"/>
              <w:bottom w:val="single" w:sz="4" w:space="0" w:color="auto"/>
              <w:right w:val="single" w:sz="4" w:space="0" w:color="auto"/>
            </w:tcBorders>
            <w:shd w:val="clear" w:color="auto" w:fill="auto"/>
            <w:vAlign w:val="center"/>
            <w:hideMark/>
          </w:tcPr>
          <w:p w14:paraId="4953C66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w:t>
            </w:r>
          </w:p>
        </w:tc>
        <w:tc>
          <w:tcPr>
            <w:tcW w:w="1109" w:type="dxa"/>
            <w:tcBorders>
              <w:top w:val="nil"/>
              <w:left w:val="nil"/>
              <w:bottom w:val="single" w:sz="4" w:space="0" w:color="auto"/>
              <w:right w:val="single" w:sz="4" w:space="0" w:color="auto"/>
            </w:tcBorders>
            <w:shd w:val="clear" w:color="auto" w:fill="auto"/>
            <w:vAlign w:val="center"/>
            <w:hideMark/>
          </w:tcPr>
          <w:p w14:paraId="2DEE1A4E"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2273FC7A" w14:textId="77777777" w:rsidR="001874D9" w:rsidRPr="00EE5714" w:rsidRDefault="001874D9" w:rsidP="009F3BA3">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6A99B8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1029" w:type="dxa"/>
            <w:tcBorders>
              <w:top w:val="nil"/>
              <w:left w:val="nil"/>
              <w:bottom w:val="single" w:sz="4" w:space="0" w:color="auto"/>
              <w:right w:val="single" w:sz="4" w:space="0" w:color="auto"/>
            </w:tcBorders>
            <w:shd w:val="clear" w:color="auto" w:fill="auto"/>
            <w:vAlign w:val="center"/>
            <w:hideMark/>
          </w:tcPr>
          <w:p w14:paraId="43BF6CC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134,524</w:t>
            </w:r>
          </w:p>
        </w:tc>
        <w:tc>
          <w:tcPr>
            <w:tcW w:w="714" w:type="dxa"/>
            <w:tcBorders>
              <w:top w:val="nil"/>
              <w:left w:val="nil"/>
              <w:bottom w:val="single" w:sz="4" w:space="0" w:color="auto"/>
              <w:right w:val="single" w:sz="4" w:space="0" w:color="auto"/>
            </w:tcBorders>
            <w:shd w:val="clear" w:color="auto" w:fill="auto"/>
            <w:vAlign w:val="center"/>
            <w:hideMark/>
          </w:tcPr>
          <w:p w14:paraId="21BC914B"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6.0%</w:t>
            </w:r>
          </w:p>
        </w:tc>
        <w:tc>
          <w:tcPr>
            <w:tcW w:w="1263" w:type="dxa"/>
            <w:tcBorders>
              <w:top w:val="nil"/>
              <w:left w:val="nil"/>
              <w:bottom w:val="single" w:sz="4" w:space="0" w:color="auto"/>
              <w:right w:val="single" w:sz="4" w:space="0" w:color="auto"/>
            </w:tcBorders>
            <w:shd w:val="clear" w:color="auto" w:fill="auto"/>
            <w:vAlign w:val="center"/>
            <w:hideMark/>
          </w:tcPr>
          <w:p w14:paraId="5A1EA7E9"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126" w:type="dxa"/>
            <w:tcBorders>
              <w:top w:val="nil"/>
              <w:left w:val="nil"/>
              <w:bottom w:val="single" w:sz="4" w:space="0" w:color="auto"/>
              <w:right w:val="single" w:sz="4" w:space="0" w:color="auto"/>
            </w:tcBorders>
            <w:shd w:val="clear" w:color="auto" w:fill="auto"/>
            <w:vAlign w:val="center"/>
            <w:hideMark/>
          </w:tcPr>
          <w:p w14:paraId="651C824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175,964</w:t>
            </w:r>
          </w:p>
        </w:tc>
        <w:tc>
          <w:tcPr>
            <w:tcW w:w="723" w:type="dxa"/>
            <w:tcBorders>
              <w:top w:val="nil"/>
              <w:left w:val="nil"/>
              <w:bottom w:val="single" w:sz="4" w:space="0" w:color="auto"/>
              <w:right w:val="single" w:sz="4" w:space="0" w:color="auto"/>
            </w:tcBorders>
            <w:shd w:val="clear" w:color="auto" w:fill="auto"/>
            <w:vAlign w:val="center"/>
            <w:hideMark/>
          </w:tcPr>
          <w:p w14:paraId="11BF3943"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19.5%</w:t>
            </w:r>
          </w:p>
        </w:tc>
      </w:tr>
      <w:tr w:rsidR="001874D9" w:rsidRPr="00EE5714" w14:paraId="14A934DD" w14:textId="77777777" w:rsidTr="00130638">
        <w:trPr>
          <w:trHeight w:val="300"/>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5DAEBE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11,194</w:t>
            </w:r>
          </w:p>
        </w:tc>
        <w:tc>
          <w:tcPr>
            <w:tcW w:w="840" w:type="dxa"/>
            <w:tcBorders>
              <w:top w:val="nil"/>
              <w:left w:val="nil"/>
              <w:bottom w:val="single" w:sz="4" w:space="0" w:color="auto"/>
              <w:right w:val="single" w:sz="4" w:space="0" w:color="auto"/>
            </w:tcBorders>
            <w:shd w:val="clear" w:color="auto" w:fill="auto"/>
            <w:vAlign w:val="center"/>
            <w:hideMark/>
          </w:tcPr>
          <w:p w14:paraId="6A99609F"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w:t>
            </w:r>
          </w:p>
        </w:tc>
        <w:tc>
          <w:tcPr>
            <w:tcW w:w="1109" w:type="dxa"/>
            <w:tcBorders>
              <w:top w:val="nil"/>
              <w:left w:val="nil"/>
              <w:bottom w:val="single" w:sz="4" w:space="0" w:color="auto"/>
              <w:right w:val="single" w:sz="4" w:space="0" w:color="auto"/>
            </w:tcBorders>
            <w:shd w:val="clear" w:color="auto" w:fill="auto"/>
            <w:vAlign w:val="center"/>
            <w:hideMark/>
          </w:tcPr>
          <w:p w14:paraId="191CB44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7D3C5BE2" w14:textId="77777777" w:rsidR="001874D9" w:rsidRPr="00EE5714" w:rsidRDefault="001874D9" w:rsidP="009F3BA3">
            <w:pPr>
              <w:keepNext/>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0F9DDC6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1029" w:type="dxa"/>
            <w:tcBorders>
              <w:top w:val="nil"/>
              <w:left w:val="nil"/>
              <w:bottom w:val="single" w:sz="4" w:space="0" w:color="auto"/>
              <w:right w:val="single" w:sz="4" w:space="0" w:color="auto"/>
            </w:tcBorders>
            <w:shd w:val="clear" w:color="auto" w:fill="auto"/>
            <w:vAlign w:val="center"/>
            <w:hideMark/>
          </w:tcPr>
          <w:p w14:paraId="361BF85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55,268</w:t>
            </w:r>
          </w:p>
        </w:tc>
        <w:tc>
          <w:tcPr>
            <w:tcW w:w="714" w:type="dxa"/>
            <w:tcBorders>
              <w:top w:val="nil"/>
              <w:left w:val="nil"/>
              <w:bottom w:val="single" w:sz="4" w:space="0" w:color="auto"/>
              <w:right w:val="single" w:sz="4" w:space="0" w:color="auto"/>
            </w:tcBorders>
            <w:shd w:val="clear" w:color="auto" w:fill="auto"/>
            <w:vAlign w:val="center"/>
            <w:hideMark/>
          </w:tcPr>
          <w:p w14:paraId="6A11D9B2"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w:t>
            </w:r>
          </w:p>
        </w:tc>
        <w:tc>
          <w:tcPr>
            <w:tcW w:w="1263" w:type="dxa"/>
            <w:tcBorders>
              <w:top w:val="nil"/>
              <w:left w:val="nil"/>
              <w:bottom w:val="single" w:sz="4" w:space="0" w:color="auto"/>
              <w:right w:val="single" w:sz="4" w:space="0" w:color="auto"/>
            </w:tcBorders>
            <w:shd w:val="clear" w:color="auto" w:fill="auto"/>
            <w:vAlign w:val="center"/>
            <w:hideMark/>
          </w:tcPr>
          <w:p w14:paraId="49D96A3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126" w:type="dxa"/>
            <w:tcBorders>
              <w:top w:val="nil"/>
              <w:left w:val="nil"/>
              <w:bottom w:val="single" w:sz="4" w:space="0" w:color="auto"/>
              <w:right w:val="single" w:sz="4" w:space="0" w:color="auto"/>
            </w:tcBorders>
            <w:shd w:val="clear" w:color="auto" w:fill="auto"/>
            <w:vAlign w:val="center"/>
            <w:hideMark/>
          </w:tcPr>
          <w:p w14:paraId="34CB9C3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127,049</w:t>
            </w:r>
          </w:p>
        </w:tc>
        <w:tc>
          <w:tcPr>
            <w:tcW w:w="723" w:type="dxa"/>
            <w:tcBorders>
              <w:top w:val="nil"/>
              <w:left w:val="nil"/>
              <w:bottom w:val="single" w:sz="4" w:space="0" w:color="auto"/>
              <w:right w:val="single" w:sz="4" w:space="0" w:color="auto"/>
            </w:tcBorders>
            <w:shd w:val="clear" w:color="auto" w:fill="auto"/>
            <w:vAlign w:val="center"/>
            <w:hideMark/>
          </w:tcPr>
          <w:p w14:paraId="0233B4BC"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14.1%</w:t>
            </w:r>
          </w:p>
        </w:tc>
      </w:tr>
      <w:tr w:rsidR="001874D9" w:rsidRPr="00EE5714" w14:paraId="07726CEA" w14:textId="77777777" w:rsidTr="00130638">
        <w:trPr>
          <w:trHeight w:val="300"/>
          <w:jc w:val="center"/>
        </w:trPr>
        <w:tc>
          <w:tcPr>
            <w:tcW w:w="1189" w:type="dxa"/>
            <w:tcBorders>
              <w:top w:val="nil"/>
              <w:left w:val="single" w:sz="4" w:space="0" w:color="auto"/>
              <w:bottom w:val="single" w:sz="4" w:space="0" w:color="auto"/>
              <w:right w:val="single" w:sz="4" w:space="0" w:color="auto"/>
            </w:tcBorders>
            <w:shd w:val="clear" w:color="000000" w:fill="E7E6E6"/>
            <w:vAlign w:val="center"/>
            <w:hideMark/>
          </w:tcPr>
          <w:p w14:paraId="3A5DCE57"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32.50%</w:t>
            </w:r>
          </w:p>
        </w:tc>
        <w:tc>
          <w:tcPr>
            <w:tcW w:w="840" w:type="dxa"/>
            <w:tcBorders>
              <w:top w:val="nil"/>
              <w:left w:val="nil"/>
              <w:bottom w:val="single" w:sz="4" w:space="0" w:color="auto"/>
              <w:right w:val="single" w:sz="4" w:space="0" w:color="auto"/>
            </w:tcBorders>
            <w:shd w:val="clear" w:color="000000" w:fill="E7E6E6"/>
            <w:vAlign w:val="center"/>
            <w:hideMark/>
          </w:tcPr>
          <w:p w14:paraId="3BC1B819"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218"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11C05E6B"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1BF2DF5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1029" w:type="dxa"/>
            <w:tcBorders>
              <w:top w:val="nil"/>
              <w:left w:val="nil"/>
              <w:bottom w:val="single" w:sz="4" w:space="0" w:color="auto"/>
              <w:right w:val="single" w:sz="4" w:space="0" w:color="auto"/>
            </w:tcBorders>
            <w:shd w:val="clear" w:color="auto" w:fill="auto"/>
            <w:vAlign w:val="center"/>
            <w:hideMark/>
          </w:tcPr>
          <w:p w14:paraId="4F6F472D"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1,595,288</w:t>
            </w:r>
          </w:p>
        </w:tc>
        <w:tc>
          <w:tcPr>
            <w:tcW w:w="714" w:type="dxa"/>
            <w:tcBorders>
              <w:top w:val="nil"/>
              <w:left w:val="nil"/>
              <w:bottom w:val="single" w:sz="4" w:space="0" w:color="auto"/>
              <w:right w:val="single" w:sz="4" w:space="0" w:color="auto"/>
            </w:tcBorders>
            <w:shd w:val="clear" w:color="auto" w:fill="auto"/>
            <w:vAlign w:val="center"/>
            <w:hideMark/>
          </w:tcPr>
          <w:p w14:paraId="7B0A6E1F"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71.7%</w:t>
            </w:r>
          </w:p>
        </w:tc>
        <w:tc>
          <w:tcPr>
            <w:tcW w:w="1263" w:type="dxa"/>
            <w:tcBorders>
              <w:top w:val="nil"/>
              <w:left w:val="nil"/>
              <w:bottom w:val="single" w:sz="4" w:space="0" w:color="auto"/>
              <w:right w:val="single" w:sz="4" w:space="0" w:color="auto"/>
            </w:tcBorders>
            <w:shd w:val="clear" w:color="auto" w:fill="auto"/>
            <w:vAlign w:val="center"/>
            <w:hideMark/>
          </w:tcPr>
          <w:p w14:paraId="5A2FA73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126" w:type="dxa"/>
            <w:tcBorders>
              <w:top w:val="nil"/>
              <w:left w:val="nil"/>
              <w:bottom w:val="single" w:sz="4" w:space="0" w:color="auto"/>
              <w:right w:val="single" w:sz="4" w:space="0" w:color="auto"/>
            </w:tcBorders>
            <w:shd w:val="clear" w:color="auto" w:fill="auto"/>
            <w:vAlign w:val="center"/>
            <w:hideMark/>
          </w:tcPr>
          <w:p w14:paraId="712F4198"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147,363</w:t>
            </w:r>
          </w:p>
        </w:tc>
        <w:tc>
          <w:tcPr>
            <w:tcW w:w="723" w:type="dxa"/>
            <w:tcBorders>
              <w:top w:val="nil"/>
              <w:left w:val="nil"/>
              <w:bottom w:val="single" w:sz="4" w:space="0" w:color="auto"/>
              <w:right w:val="single" w:sz="4" w:space="0" w:color="auto"/>
            </w:tcBorders>
            <w:shd w:val="clear" w:color="auto" w:fill="auto"/>
            <w:vAlign w:val="center"/>
            <w:hideMark/>
          </w:tcPr>
          <w:p w14:paraId="3CF4692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16.3%</w:t>
            </w:r>
          </w:p>
        </w:tc>
      </w:tr>
      <w:tr w:rsidR="001874D9" w:rsidRPr="00EE5714" w14:paraId="0D712364" w14:textId="77777777" w:rsidTr="00130638">
        <w:trPr>
          <w:trHeight w:val="300"/>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BC8F086"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232,255</w:t>
            </w:r>
          </w:p>
        </w:tc>
        <w:tc>
          <w:tcPr>
            <w:tcW w:w="840" w:type="dxa"/>
            <w:tcBorders>
              <w:top w:val="nil"/>
              <w:left w:val="nil"/>
              <w:bottom w:val="single" w:sz="4" w:space="0" w:color="auto"/>
              <w:right w:val="single" w:sz="4" w:space="0" w:color="auto"/>
            </w:tcBorders>
            <w:shd w:val="clear" w:color="auto" w:fill="auto"/>
            <w:vAlign w:val="center"/>
            <w:hideMark/>
          </w:tcPr>
          <w:p w14:paraId="76C02243"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26.7%</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43EF5F86"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513062D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26.7%</w:t>
            </w:r>
          </w:p>
        </w:tc>
        <w:tc>
          <w:tcPr>
            <w:tcW w:w="1546" w:type="dxa"/>
            <w:tcBorders>
              <w:top w:val="nil"/>
              <w:left w:val="nil"/>
              <w:bottom w:val="single" w:sz="4" w:space="0" w:color="auto"/>
              <w:right w:val="single" w:sz="4" w:space="0" w:color="auto"/>
            </w:tcBorders>
            <w:shd w:val="clear" w:color="auto" w:fill="auto"/>
            <w:vAlign w:val="center"/>
            <w:hideMark/>
          </w:tcPr>
          <w:p w14:paraId="484C6656"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29" w:type="dxa"/>
            <w:tcBorders>
              <w:top w:val="nil"/>
              <w:left w:val="nil"/>
              <w:bottom w:val="single" w:sz="4" w:space="0" w:color="auto"/>
              <w:right w:val="single" w:sz="4" w:space="0" w:color="auto"/>
            </w:tcBorders>
            <w:shd w:val="clear" w:color="auto" w:fill="auto"/>
            <w:vAlign w:val="center"/>
            <w:hideMark/>
          </w:tcPr>
          <w:p w14:paraId="35FECCBB"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2,223,905</w:t>
            </w:r>
          </w:p>
        </w:tc>
        <w:tc>
          <w:tcPr>
            <w:tcW w:w="714" w:type="dxa"/>
            <w:tcBorders>
              <w:top w:val="nil"/>
              <w:left w:val="nil"/>
              <w:bottom w:val="single" w:sz="4" w:space="0" w:color="auto"/>
              <w:right w:val="single" w:sz="4" w:space="0" w:color="auto"/>
            </w:tcBorders>
            <w:shd w:val="clear" w:color="auto" w:fill="auto"/>
            <w:vAlign w:val="center"/>
            <w:hideMark/>
          </w:tcPr>
          <w:p w14:paraId="0B00F376"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263" w:type="dxa"/>
            <w:tcBorders>
              <w:top w:val="nil"/>
              <w:left w:val="nil"/>
              <w:bottom w:val="single" w:sz="4" w:space="0" w:color="auto"/>
              <w:right w:val="single" w:sz="4" w:space="0" w:color="auto"/>
            </w:tcBorders>
            <w:shd w:val="clear" w:color="auto" w:fill="auto"/>
            <w:vAlign w:val="center"/>
            <w:hideMark/>
          </w:tcPr>
          <w:p w14:paraId="3E889AF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126" w:type="dxa"/>
            <w:tcBorders>
              <w:top w:val="nil"/>
              <w:left w:val="nil"/>
              <w:bottom w:val="single" w:sz="4" w:space="0" w:color="auto"/>
              <w:right w:val="single" w:sz="4" w:space="0" w:color="auto"/>
            </w:tcBorders>
            <w:shd w:val="clear" w:color="auto" w:fill="auto"/>
            <w:vAlign w:val="center"/>
            <w:hideMark/>
          </w:tcPr>
          <w:p w14:paraId="19AD7F79"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56,770</w:t>
            </w:r>
          </w:p>
        </w:tc>
        <w:tc>
          <w:tcPr>
            <w:tcW w:w="723" w:type="dxa"/>
            <w:tcBorders>
              <w:top w:val="nil"/>
              <w:left w:val="nil"/>
              <w:bottom w:val="single" w:sz="4" w:space="0" w:color="auto"/>
              <w:right w:val="single" w:sz="4" w:space="0" w:color="auto"/>
            </w:tcBorders>
            <w:shd w:val="clear" w:color="auto" w:fill="auto"/>
            <w:vAlign w:val="center"/>
            <w:hideMark/>
          </w:tcPr>
          <w:p w14:paraId="30000FF6"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w:t>
            </w:r>
          </w:p>
        </w:tc>
      </w:tr>
      <w:tr w:rsidR="001874D9" w:rsidRPr="00EE5714" w14:paraId="7554B94A" w14:textId="77777777" w:rsidTr="00130638">
        <w:trPr>
          <w:trHeight w:val="300"/>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86770B2"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42,948</w:t>
            </w:r>
          </w:p>
        </w:tc>
        <w:tc>
          <w:tcPr>
            <w:tcW w:w="840" w:type="dxa"/>
            <w:tcBorders>
              <w:top w:val="nil"/>
              <w:left w:val="nil"/>
              <w:bottom w:val="single" w:sz="4" w:space="0" w:color="auto"/>
              <w:right w:val="single" w:sz="4" w:space="0" w:color="auto"/>
            </w:tcBorders>
            <w:shd w:val="clear" w:color="auto" w:fill="auto"/>
            <w:vAlign w:val="center"/>
            <w:hideMark/>
          </w:tcPr>
          <w:p w14:paraId="435B2D7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4.9%</w:t>
            </w:r>
          </w:p>
        </w:tc>
        <w:tc>
          <w:tcPr>
            <w:tcW w:w="1109" w:type="dxa"/>
            <w:tcBorders>
              <w:top w:val="nil"/>
              <w:left w:val="nil"/>
              <w:bottom w:val="single" w:sz="4" w:space="0" w:color="auto"/>
              <w:right w:val="single" w:sz="4" w:space="0" w:color="auto"/>
            </w:tcBorders>
            <w:shd w:val="clear" w:color="auto" w:fill="auto"/>
            <w:vAlign w:val="center"/>
            <w:hideMark/>
          </w:tcPr>
          <w:p w14:paraId="1BEAF43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109" w:type="dxa"/>
            <w:tcBorders>
              <w:top w:val="nil"/>
              <w:left w:val="nil"/>
              <w:bottom w:val="single" w:sz="4" w:space="0" w:color="auto"/>
              <w:right w:val="single" w:sz="4" w:space="0" w:color="auto"/>
            </w:tcBorders>
            <w:shd w:val="clear" w:color="auto" w:fill="auto"/>
            <w:vAlign w:val="center"/>
            <w:hideMark/>
          </w:tcPr>
          <w:p w14:paraId="1FA6886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35.2%</w:t>
            </w:r>
          </w:p>
        </w:tc>
        <w:tc>
          <w:tcPr>
            <w:tcW w:w="328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2CB2B96"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263" w:type="dxa"/>
            <w:tcBorders>
              <w:top w:val="nil"/>
              <w:left w:val="single" w:sz="4" w:space="0" w:color="auto"/>
              <w:bottom w:val="single" w:sz="4" w:space="0" w:color="auto"/>
              <w:right w:val="single" w:sz="4" w:space="0" w:color="auto"/>
            </w:tcBorders>
            <w:shd w:val="clear" w:color="auto" w:fill="auto"/>
            <w:vAlign w:val="center"/>
            <w:hideMark/>
          </w:tcPr>
          <w:p w14:paraId="5753E95D"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126" w:type="dxa"/>
            <w:tcBorders>
              <w:top w:val="nil"/>
              <w:left w:val="nil"/>
              <w:bottom w:val="single" w:sz="4" w:space="0" w:color="auto"/>
              <w:right w:val="single" w:sz="4" w:space="0" w:color="auto"/>
            </w:tcBorders>
            <w:shd w:val="clear" w:color="auto" w:fill="auto"/>
            <w:vAlign w:val="center"/>
            <w:hideMark/>
          </w:tcPr>
          <w:p w14:paraId="492C86C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46,543</w:t>
            </w:r>
          </w:p>
        </w:tc>
        <w:tc>
          <w:tcPr>
            <w:tcW w:w="723" w:type="dxa"/>
            <w:tcBorders>
              <w:top w:val="nil"/>
              <w:left w:val="nil"/>
              <w:bottom w:val="single" w:sz="4" w:space="0" w:color="auto"/>
              <w:right w:val="single" w:sz="4" w:space="0" w:color="auto"/>
            </w:tcBorders>
            <w:shd w:val="clear" w:color="auto" w:fill="auto"/>
            <w:vAlign w:val="center"/>
            <w:hideMark/>
          </w:tcPr>
          <w:p w14:paraId="4C3A5827"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w:t>
            </w:r>
          </w:p>
        </w:tc>
      </w:tr>
      <w:tr w:rsidR="001874D9" w:rsidRPr="00EE5714" w14:paraId="464DF8E3" w14:textId="77777777" w:rsidTr="00130638">
        <w:trPr>
          <w:trHeight w:val="511"/>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E55460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5,080</w:t>
            </w:r>
          </w:p>
        </w:tc>
        <w:tc>
          <w:tcPr>
            <w:tcW w:w="840" w:type="dxa"/>
            <w:tcBorders>
              <w:top w:val="nil"/>
              <w:left w:val="nil"/>
              <w:bottom w:val="single" w:sz="4" w:space="0" w:color="auto"/>
              <w:right w:val="single" w:sz="4" w:space="0" w:color="auto"/>
            </w:tcBorders>
            <w:shd w:val="clear" w:color="auto" w:fill="auto"/>
            <w:vAlign w:val="center"/>
            <w:hideMark/>
          </w:tcPr>
          <w:p w14:paraId="386BE44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109" w:type="dxa"/>
            <w:tcBorders>
              <w:top w:val="nil"/>
              <w:left w:val="nil"/>
              <w:bottom w:val="single" w:sz="4" w:space="0" w:color="auto"/>
              <w:right w:val="single" w:sz="4" w:space="0" w:color="auto"/>
            </w:tcBorders>
            <w:shd w:val="clear" w:color="auto" w:fill="auto"/>
            <w:vAlign w:val="center"/>
            <w:hideMark/>
          </w:tcPr>
          <w:p w14:paraId="1E21C6BF"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109" w:type="dxa"/>
            <w:tcBorders>
              <w:top w:val="nil"/>
              <w:left w:val="nil"/>
              <w:bottom w:val="single" w:sz="4" w:space="0" w:color="auto"/>
              <w:right w:val="single" w:sz="4" w:space="0" w:color="auto"/>
            </w:tcBorders>
            <w:shd w:val="clear" w:color="auto" w:fill="auto"/>
            <w:vAlign w:val="center"/>
            <w:hideMark/>
          </w:tcPr>
          <w:p w14:paraId="10D25B6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16.1%</w:t>
            </w:r>
          </w:p>
        </w:tc>
        <w:tc>
          <w:tcPr>
            <w:tcW w:w="1546" w:type="dxa"/>
            <w:tcBorders>
              <w:top w:val="single" w:sz="4" w:space="0" w:color="auto"/>
              <w:left w:val="nil"/>
              <w:bottom w:val="single" w:sz="4" w:space="0" w:color="auto"/>
              <w:right w:val="single" w:sz="4" w:space="0" w:color="auto"/>
            </w:tcBorders>
            <w:shd w:val="clear" w:color="000000" w:fill="E7E6E6"/>
            <w:vAlign w:val="center"/>
            <w:hideMark/>
          </w:tcPr>
          <w:p w14:paraId="7108C22C"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1029" w:type="dxa"/>
            <w:tcBorders>
              <w:top w:val="single" w:sz="4" w:space="0" w:color="auto"/>
              <w:left w:val="nil"/>
              <w:bottom w:val="single" w:sz="4" w:space="0" w:color="auto"/>
              <w:right w:val="single" w:sz="4" w:space="0" w:color="auto"/>
            </w:tcBorders>
            <w:shd w:val="clear" w:color="000000" w:fill="E7E6E6"/>
            <w:vAlign w:val="center"/>
            <w:hideMark/>
          </w:tcPr>
          <w:p w14:paraId="780E10AF"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14" w:type="dxa"/>
            <w:tcBorders>
              <w:top w:val="single" w:sz="4" w:space="0" w:color="auto"/>
              <w:left w:val="nil"/>
              <w:bottom w:val="single" w:sz="4" w:space="0" w:color="auto"/>
              <w:right w:val="single" w:sz="4" w:space="0" w:color="auto"/>
            </w:tcBorders>
            <w:shd w:val="clear" w:color="000000" w:fill="E7E6E6"/>
            <w:vAlign w:val="center"/>
            <w:hideMark/>
          </w:tcPr>
          <w:p w14:paraId="4EA30FC5"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263" w:type="dxa"/>
            <w:tcBorders>
              <w:top w:val="nil"/>
              <w:left w:val="nil"/>
              <w:bottom w:val="single" w:sz="4" w:space="0" w:color="auto"/>
              <w:right w:val="single" w:sz="4" w:space="0" w:color="auto"/>
            </w:tcBorders>
            <w:shd w:val="clear" w:color="auto" w:fill="auto"/>
            <w:vAlign w:val="center"/>
            <w:hideMark/>
          </w:tcPr>
          <w:p w14:paraId="60A0DEB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26" w:type="dxa"/>
            <w:tcBorders>
              <w:top w:val="nil"/>
              <w:left w:val="nil"/>
              <w:bottom w:val="single" w:sz="4" w:space="0" w:color="auto"/>
              <w:right w:val="single" w:sz="4" w:space="0" w:color="auto"/>
            </w:tcBorders>
            <w:shd w:val="clear" w:color="auto" w:fill="auto"/>
            <w:vAlign w:val="center"/>
            <w:hideMark/>
          </w:tcPr>
          <w:p w14:paraId="168C1C3F"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903,729</w:t>
            </w:r>
          </w:p>
        </w:tc>
        <w:tc>
          <w:tcPr>
            <w:tcW w:w="723" w:type="dxa"/>
            <w:tcBorders>
              <w:top w:val="nil"/>
              <w:left w:val="nil"/>
              <w:bottom w:val="single" w:sz="4" w:space="0" w:color="auto"/>
              <w:right w:val="single" w:sz="4" w:space="0" w:color="auto"/>
            </w:tcBorders>
            <w:shd w:val="clear" w:color="auto" w:fill="auto"/>
            <w:vAlign w:val="center"/>
            <w:hideMark/>
          </w:tcPr>
          <w:p w14:paraId="18245E9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1874D9" w:rsidRPr="00EE5714" w14:paraId="300A4181" w14:textId="77777777" w:rsidTr="00130638">
        <w:trPr>
          <w:trHeight w:val="300"/>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851E61F"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1,895</w:t>
            </w:r>
          </w:p>
        </w:tc>
        <w:tc>
          <w:tcPr>
            <w:tcW w:w="840" w:type="dxa"/>
            <w:tcBorders>
              <w:top w:val="nil"/>
              <w:left w:val="nil"/>
              <w:bottom w:val="single" w:sz="4" w:space="0" w:color="auto"/>
              <w:right w:val="single" w:sz="4" w:space="0" w:color="auto"/>
            </w:tcBorders>
            <w:shd w:val="clear" w:color="auto" w:fill="auto"/>
            <w:vAlign w:val="center"/>
            <w:hideMark/>
          </w:tcPr>
          <w:p w14:paraId="38F5FBF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0.2%</w:t>
            </w:r>
          </w:p>
        </w:tc>
        <w:tc>
          <w:tcPr>
            <w:tcW w:w="1109" w:type="dxa"/>
            <w:tcBorders>
              <w:top w:val="nil"/>
              <w:left w:val="nil"/>
              <w:bottom w:val="single" w:sz="4" w:space="0" w:color="auto"/>
              <w:right w:val="single" w:sz="4" w:space="0" w:color="auto"/>
            </w:tcBorders>
            <w:shd w:val="clear" w:color="auto" w:fill="auto"/>
            <w:vAlign w:val="center"/>
            <w:hideMark/>
          </w:tcPr>
          <w:p w14:paraId="4FCF2DBB"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109" w:type="dxa"/>
            <w:tcBorders>
              <w:top w:val="nil"/>
              <w:left w:val="nil"/>
              <w:bottom w:val="single" w:sz="4" w:space="0" w:color="auto"/>
              <w:right w:val="single" w:sz="4" w:space="0" w:color="auto"/>
            </w:tcBorders>
            <w:shd w:val="clear" w:color="auto" w:fill="auto"/>
            <w:vAlign w:val="center"/>
            <w:hideMark/>
          </w:tcPr>
          <w:p w14:paraId="5A1A4F53"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13.0%</w:t>
            </w:r>
          </w:p>
        </w:tc>
        <w:tc>
          <w:tcPr>
            <w:tcW w:w="1546" w:type="dxa"/>
            <w:tcBorders>
              <w:top w:val="nil"/>
              <w:left w:val="nil"/>
              <w:bottom w:val="single" w:sz="4" w:space="0" w:color="auto"/>
              <w:right w:val="single" w:sz="4" w:space="0" w:color="auto"/>
            </w:tcBorders>
            <w:shd w:val="clear" w:color="auto" w:fill="auto"/>
            <w:vAlign w:val="center"/>
            <w:hideMark/>
          </w:tcPr>
          <w:p w14:paraId="3E620EAD"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1029" w:type="dxa"/>
            <w:tcBorders>
              <w:top w:val="nil"/>
              <w:left w:val="nil"/>
              <w:bottom w:val="single" w:sz="4" w:space="0" w:color="auto"/>
              <w:right w:val="single" w:sz="4" w:space="0" w:color="auto"/>
            </w:tcBorders>
            <w:shd w:val="clear" w:color="auto" w:fill="auto"/>
            <w:vAlign w:val="center"/>
            <w:hideMark/>
          </w:tcPr>
          <w:p w14:paraId="52D9CF6C"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303,201</w:t>
            </w:r>
          </w:p>
        </w:tc>
        <w:tc>
          <w:tcPr>
            <w:tcW w:w="714" w:type="dxa"/>
            <w:tcBorders>
              <w:top w:val="nil"/>
              <w:left w:val="nil"/>
              <w:bottom w:val="single" w:sz="4" w:space="0" w:color="auto"/>
              <w:right w:val="single" w:sz="4" w:space="0" w:color="auto"/>
            </w:tcBorders>
            <w:shd w:val="clear" w:color="auto" w:fill="auto"/>
            <w:vAlign w:val="center"/>
            <w:hideMark/>
          </w:tcPr>
          <w:p w14:paraId="08F7548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34.8%</w:t>
            </w:r>
          </w:p>
        </w:tc>
        <w:tc>
          <w:tcPr>
            <w:tcW w:w="1263" w:type="dxa"/>
            <w:tcBorders>
              <w:top w:val="nil"/>
              <w:left w:val="nil"/>
              <w:bottom w:val="single" w:sz="4" w:space="0" w:color="auto"/>
              <w:right w:val="single" w:sz="4" w:space="0" w:color="auto"/>
            </w:tcBorders>
            <w:shd w:val="clear" w:color="auto" w:fill="auto"/>
            <w:vAlign w:val="center"/>
            <w:hideMark/>
          </w:tcPr>
          <w:p w14:paraId="13718C6B"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126" w:type="dxa"/>
            <w:tcBorders>
              <w:top w:val="nil"/>
              <w:left w:val="nil"/>
              <w:bottom w:val="single" w:sz="4" w:space="0" w:color="auto"/>
              <w:right w:val="single" w:sz="4" w:space="0" w:color="auto"/>
            </w:tcBorders>
            <w:shd w:val="clear" w:color="auto" w:fill="auto"/>
            <w:vAlign w:val="center"/>
            <w:hideMark/>
          </w:tcPr>
          <w:p w14:paraId="06249727"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$62,021</w:t>
            </w:r>
          </w:p>
        </w:tc>
        <w:tc>
          <w:tcPr>
            <w:tcW w:w="723" w:type="dxa"/>
            <w:tcBorders>
              <w:top w:val="nil"/>
              <w:left w:val="nil"/>
              <w:bottom w:val="single" w:sz="4" w:space="0" w:color="auto"/>
              <w:right w:val="single" w:sz="4" w:space="0" w:color="auto"/>
            </w:tcBorders>
            <w:shd w:val="clear" w:color="auto" w:fill="auto"/>
            <w:vAlign w:val="center"/>
            <w:hideMark/>
          </w:tcPr>
          <w:p w14:paraId="44C76213"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1874D9" w:rsidRPr="00EE5714" w14:paraId="05807D89" w14:textId="77777777" w:rsidTr="00130638">
        <w:trPr>
          <w:trHeight w:val="511"/>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147FBA19"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369</w:t>
            </w:r>
          </w:p>
        </w:tc>
        <w:tc>
          <w:tcPr>
            <w:tcW w:w="840" w:type="dxa"/>
            <w:tcBorders>
              <w:top w:val="nil"/>
              <w:left w:val="nil"/>
              <w:bottom w:val="single" w:sz="4" w:space="0" w:color="auto"/>
              <w:right w:val="single" w:sz="4" w:space="0" w:color="auto"/>
            </w:tcBorders>
            <w:shd w:val="clear" w:color="auto" w:fill="auto"/>
            <w:vAlign w:val="center"/>
            <w:hideMark/>
          </w:tcPr>
          <w:p w14:paraId="0313087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09" w:type="dxa"/>
            <w:tcBorders>
              <w:top w:val="nil"/>
              <w:left w:val="nil"/>
              <w:bottom w:val="single" w:sz="4" w:space="0" w:color="auto"/>
              <w:right w:val="single" w:sz="4" w:space="0" w:color="auto"/>
            </w:tcBorders>
            <w:shd w:val="clear" w:color="auto" w:fill="auto"/>
            <w:vAlign w:val="center"/>
            <w:hideMark/>
          </w:tcPr>
          <w:p w14:paraId="0C382CE6"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109" w:type="dxa"/>
            <w:tcBorders>
              <w:top w:val="nil"/>
              <w:left w:val="nil"/>
              <w:bottom w:val="single" w:sz="4" w:space="0" w:color="auto"/>
              <w:right w:val="single" w:sz="4" w:space="0" w:color="auto"/>
            </w:tcBorders>
            <w:shd w:val="clear" w:color="auto" w:fill="auto"/>
            <w:vAlign w:val="center"/>
            <w:hideMark/>
          </w:tcPr>
          <w:p w14:paraId="621F3677"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w:t>
            </w:r>
          </w:p>
        </w:tc>
        <w:tc>
          <w:tcPr>
            <w:tcW w:w="1546" w:type="dxa"/>
            <w:tcBorders>
              <w:top w:val="nil"/>
              <w:left w:val="nil"/>
              <w:bottom w:val="single" w:sz="4" w:space="0" w:color="auto"/>
              <w:right w:val="single" w:sz="4" w:space="0" w:color="auto"/>
            </w:tcBorders>
            <w:shd w:val="clear" w:color="auto" w:fill="auto"/>
            <w:vAlign w:val="center"/>
            <w:hideMark/>
          </w:tcPr>
          <w:p w14:paraId="62796BEE"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1029" w:type="dxa"/>
            <w:tcBorders>
              <w:top w:val="nil"/>
              <w:left w:val="nil"/>
              <w:bottom w:val="single" w:sz="4" w:space="0" w:color="auto"/>
              <w:right w:val="single" w:sz="4" w:space="0" w:color="auto"/>
            </w:tcBorders>
            <w:shd w:val="clear" w:color="auto" w:fill="auto"/>
            <w:vAlign w:val="center"/>
            <w:hideMark/>
          </w:tcPr>
          <w:p w14:paraId="672E6BE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38,580</w:t>
            </w:r>
          </w:p>
        </w:tc>
        <w:tc>
          <w:tcPr>
            <w:tcW w:w="714" w:type="dxa"/>
            <w:tcBorders>
              <w:top w:val="nil"/>
              <w:left w:val="nil"/>
              <w:bottom w:val="single" w:sz="4" w:space="0" w:color="auto"/>
              <w:right w:val="single" w:sz="4" w:space="0" w:color="auto"/>
            </w:tcBorders>
            <w:shd w:val="clear" w:color="auto" w:fill="auto"/>
            <w:vAlign w:val="center"/>
            <w:hideMark/>
          </w:tcPr>
          <w:p w14:paraId="7AEEE3C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4.4%</w:t>
            </w:r>
          </w:p>
        </w:tc>
        <w:tc>
          <w:tcPr>
            <w:tcW w:w="1263" w:type="dxa"/>
            <w:tcBorders>
              <w:top w:val="nil"/>
              <w:left w:val="nil"/>
              <w:bottom w:val="single" w:sz="4" w:space="0" w:color="auto"/>
              <w:right w:val="single" w:sz="4" w:space="0" w:color="auto"/>
            </w:tcBorders>
            <w:shd w:val="clear" w:color="auto" w:fill="auto"/>
            <w:vAlign w:val="center"/>
            <w:hideMark/>
          </w:tcPr>
          <w:p w14:paraId="39A4EEC2"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126" w:type="dxa"/>
            <w:tcBorders>
              <w:top w:val="nil"/>
              <w:left w:val="nil"/>
              <w:bottom w:val="single" w:sz="4" w:space="0" w:color="auto"/>
              <w:right w:val="single" w:sz="4" w:space="0" w:color="auto"/>
            </w:tcBorders>
            <w:shd w:val="clear" w:color="auto" w:fill="auto"/>
            <w:vAlign w:val="center"/>
            <w:hideMark/>
          </w:tcPr>
          <w:p w14:paraId="07685B6D"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$82,471</w:t>
            </w:r>
          </w:p>
        </w:tc>
        <w:tc>
          <w:tcPr>
            <w:tcW w:w="723" w:type="dxa"/>
            <w:tcBorders>
              <w:top w:val="nil"/>
              <w:left w:val="nil"/>
              <w:bottom w:val="single" w:sz="4" w:space="0" w:color="auto"/>
              <w:right w:val="single" w:sz="4" w:space="0" w:color="auto"/>
            </w:tcBorders>
            <w:shd w:val="clear" w:color="auto" w:fill="auto"/>
            <w:vAlign w:val="center"/>
            <w:hideMark/>
          </w:tcPr>
          <w:p w14:paraId="49881AFF"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1874D9" w:rsidRPr="00EE5714" w14:paraId="3049A60C" w14:textId="77777777" w:rsidTr="00130638">
        <w:trPr>
          <w:trHeight w:val="300"/>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D5C9C87"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133</w:t>
            </w:r>
          </w:p>
        </w:tc>
        <w:tc>
          <w:tcPr>
            <w:tcW w:w="840" w:type="dxa"/>
            <w:tcBorders>
              <w:top w:val="nil"/>
              <w:left w:val="nil"/>
              <w:bottom w:val="single" w:sz="4" w:space="0" w:color="auto"/>
              <w:right w:val="single" w:sz="4" w:space="0" w:color="auto"/>
            </w:tcBorders>
            <w:shd w:val="clear" w:color="auto" w:fill="auto"/>
            <w:vAlign w:val="center"/>
            <w:hideMark/>
          </w:tcPr>
          <w:p w14:paraId="54EDC3E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09" w:type="dxa"/>
            <w:tcBorders>
              <w:top w:val="nil"/>
              <w:left w:val="nil"/>
              <w:bottom w:val="single" w:sz="4" w:space="0" w:color="auto"/>
              <w:right w:val="single" w:sz="4" w:space="0" w:color="auto"/>
            </w:tcBorders>
            <w:shd w:val="clear" w:color="auto" w:fill="auto"/>
            <w:vAlign w:val="center"/>
            <w:hideMark/>
          </w:tcPr>
          <w:p w14:paraId="40806A9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109" w:type="dxa"/>
            <w:tcBorders>
              <w:top w:val="nil"/>
              <w:left w:val="nil"/>
              <w:bottom w:val="single" w:sz="4" w:space="0" w:color="auto"/>
              <w:right w:val="single" w:sz="4" w:space="0" w:color="auto"/>
            </w:tcBorders>
            <w:shd w:val="clear" w:color="auto" w:fill="auto"/>
            <w:vAlign w:val="center"/>
            <w:hideMark/>
          </w:tcPr>
          <w:p w14:paraId="198663F3"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w:t>
            </w:r>
          </w:p>
        </w:tc>
        <w:tc>
          <w:tcPr>
            <w:tcW w:w="1546" w:type="dxa"/>
            <w:tcBorders>
              <w:top w:val="nil"/>
              <w:left w:val="nil"/>
              <w:bottom w:val="single" w:sz="4" w:space="0" w:color="auto"/>
              <w:right w:val="single" w:sz="4" w:space="0" w:color="auto"/>
            </w:tcBorders>
            <w:shd w:val="clear" w:color="auto" w:fill="auto"/>
            <w:vAlign w:val="center"/>
            <w:hideMark/>
          </w:tcPr>
          <w:p w14:paraId="53B5182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1029" w:type="dxa"/>
            <w:tcBorders>
              <w:top w:val="nil"/>
              <w:left w:val="nil"/>
              <w:bottom w:val="single" w:sz="4" w:space="0" w:color="auto"/>
              <w:right w:val="single" w:sz="4" w:space="0" w:color="auto"/>
            </w:tcBorders>
            <w:shd w:val="clear" w:color="auto" w:fill="auto"/>
            <w:vAlign w:val="center"/>
            <w:hideMark/>
          </w:tcPr>
          <w:p w14:paraId="656B5BF7"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280,280</w:t>
            </w:r>
          </w:p>
        </w:tc>
        <w:tc>
          <w:tcPr>
            <w:tcW w:w="714" w:type="dxa"/>
            <w:tcBorders>
              <w:top w:val="nil"/>
              <w:left w:val="nil"/>
              <w:bottom w:val="single" w:sz="4" w:space="0" w:color="auto"/>
              <w:right w:val="single" w:sz="4" w:space="0" w:color="auto"/>
            </w:tcBorders>
            <w:shd w:val="clear" w:color="auto" w:fill="auto"/>
            <w:vAlign w:val="center"/>
            <w:hideMark/>
          </w:tcPr>
          <w:p w14:paraId="62B3F27D"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32.2%</w:t>
            </w:r>
          </w:p>
        </w:tc>
        <w:tc>
          <w:tcPr>
            <w:tcW w:w="1263" w:type="dxa"/>
            <w:tcBorders>
              <w:top w:val="nil"/>
              <w:left w:val="nil"/>
              <w:bottom w:val="single" w:sz="4" w:space="0" w:color="auto"/>
              <w:right w:val="single" w:sz="4" w:space="0" w:color="auto"/>
            </w:tcBorders>
            <w:shd w:val="clear" w:color="auto" w:fill="auto"/>
            <w:vAlign w:val="center"/>
            <w:hideMark/>
          </w:tcPr>
          <w:p w14:paraId="2C6A847F"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126" w:type="dxa"/>
            <w:tcBorders>
              <w:top w:val="nil"/>
              <w:left w:val="nil"/>
              <w:bottom w:val="single" w:sz="4" w:space="0" w:color="auto"/>
              <w:right w:val="single" w:sz="4" w:space="0" w:color="auto"/>
            </w:tcBorders>
            <w:shd w:val="clear" w:color="auto" w:fill="auto"/>
            <w:vAlign w:val="center"/>
            <w:hideMark/>
          </w:tcPr>
          <w:p w14:paraId="0D69C2DF"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$32,143</w:t>
            </w:r>
          </w:p>
        </w:tc>
        <w:tc>
          <w:tcPr>
            <w:tcW w:w="723" w:type="dxa"/>
            <w:tcBorders>
              <w:top w:val="nil"/>
              <w:left w:val="nil"/>
              <w:bottom w:val="single" w:sz="4" w:space="0" w:color="auto"/>
              <w:right w:val="single" w:sz="4" w:space="0" w:color="auto"/>
            </w:tcBorders>
            <w:shd w:val="clear" w:color="auto" w:fill="auto"/>
            <w:vAlign w:val="center"/>
            <w:hideMark/>
          </w:tcPr>
          <w:p w14:paraId="2D65AA79"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1874D9" w:rsidRPr="00EE5714" w14:paraId="1068EE95" w14:textId="77777777" w:rsidTr="00130638">
        <w:trPr>
          <w:trHeight w:val="511"/>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1473D5C8"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113</w:t>
            </w:r>
          </w:p>
        </w:tc>
        <w:tc>
          <w:tcPr>
            <w:tcW w:w="840" w:type="dxa"/>
            <w:tcBorders>
              <w:top w:val="nil"/>
              <w:left w:val="nil"/>
              <w:bottom w:val="single" w:sz="4" w:space="0" w:color="auto"/>
              <w:right w:val="single" w:sz="4" w:space="0" w:color="auto"/>
            </w:tcBorders>
            <w:shd w:val="clear" w:color="auto" w:fill="auto"/>
            <w:vAlign w:val="center"/>
            <w:hideMark/>
          </w:tcPr>
          <w:p w14:paraId="3ADD0EB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09" w:type="dxa"/>
            <w:tcBorders>
              <w:top w:val="nil"/>
              <w:left w:val="nil"/>
              <w:bottom w:val="single" w:sz="4" w:space="0" w:color="auto"/>
              <w:right w:val="single" w:sz="4" w:space="0" w:color="auto"/>
            </w:tcBorders>
            <w:shd w:val="clear" w:color="auto" w:fill="auto"/>
            <w:vAlign w:val="center"/>
            <w:hideMark/>
          </w:tcPr>
          <w:p w14:paraId="4D8A004F"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109" w:type="dxa"/>
            <w:tcBorders>
              <w:top w:val="nil"/>
              <w:left w:val="nil"/>
              <w:bottom w:val="single" w:sz="4" w:space="0" w:color="auto"/>
              <w:right w:val="single" w:sz="4" w:space="0" w:color="auto"/>
            </w:tcBorders>
            <w:shd w:val="clear" w:color="auto" w:fill="auto"/>
            <w:vAlign w:val="center"/>
            <w:hideMark/>
          </w:tcPr>
          <w:p w14:paraId="423AA646"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w:t>
            </w:r>
          </w:p>
        </w:tc>
        <w:tc>
          <w:tcPr>
            <w:tcW w:w="1546" w:type="dxa"/>
            <w:tcBorders>
              <w:top w:val="nil"/>
              <w:left w:val="nil"/>
              <w:bottom w:val="single" w:sz="4" w:space="0" w:color="auto"/>
              <w:right w:val="single" w:sz="4" w:space="0" w:color="auto"/>
            </w:tcBorders>
            <w:shd w:val="clear" w:color="auto" w:fill="auto"/>
            <w:vAlign w:val="center"/>
            <w:hideMark/>
          </w:tcPr>
          <w:p w14:paraId="5F09A18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1029" w:type="dxa"/>
            <w:tcBorders>
              <w:top w:val="nil"/>
              <w:left w:val="nil"/>
              <w:bottom w:val="single" w:sz="4" w:space="0" w:color="auto"/>
              <w:right w:val="single" w:sz="4" w:space="0" w:color="auto"/>
            </w:tcBorders>
            <w:shd w:val="clear" w:color="auto" w:fill="auto"/>
            <w:vAlign w:val="center"/>
            <w:hideMark/>
          </w:tcPr>
          <w:p w14:paraId="0F86603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210,903</w:t>
            </w:r>
          </w:p>
        </w:tc>
        <w:tc>
          <w:tcPr>
            <w:tcW w:w="714" w:type="dxa"/>
            <w:tcBorders>
              <w:top w:val="nil"/>
              <w:left w:val="nil"/>
              <w:bottom w:val="single" w:sz="4" w:space="0" w:color="auto"/>
              <w:right w:val="single" w:sz="4" w:space="0" w:color="auto"/>
            </w:tcBorders>
            <w:shd w:val="clear" w:color="auto" w:fill="auto"/>
            <w:vAlign w:val="center"/>
            <w:hideMark/>
          </w:tcPr>
          <w:p w14:paraId="3125928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24.2%</w:t>
            </w:r>
          </w:p>
        </w:tc>
        <w:tc>
          <w:tcPr>
            <w:tcW w:w="3112"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0972B3D0"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UGI Service Area                                            2012-2016 ACS</w:t>
            </w:r>
          </w:p>
        </w:tc>
      </w:tr>
      <w:tr w:rsidR="001874D9" w:rsidRPr="00EE5714" w14:paraId="62F4E6F6" w14:textId="77777777" w:rsidTr="00130638">
        <w:trPr>
          <w:trHeight w:val="511"/>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4959090"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870,620</w:t>
            </w:r>
          </w:p>
        </w:tc>
        <w:tc>
          <w:tcPr>
            <w:tcW w:w="840" w:type="dxa"/>
            <w:tcBorders>
              <w:top w:val="nil"/>
              <w:left w:val="nil"/>
              <w:bottom w:val="single" w:sz="4" w:space="0" w:color="auto"/>
              <w:right w:val="single" w:sz="4" w:space="0" w:color="auto"/>
            </w:tcBorders>
            <w:shd w:val="clear" w:color="auto" w:fill="auto"/>
            <w:vAlign w:val="center"/>
            <w:hideMark/>
          </w:tcPr>
          <w:p w14:paraId="18D7B44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14:paraId="262B40E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09" w:type="dxa"/>
            <w:tcBorders>
              <w:top w:val="nil"/>
              <w:left w:val="nil"/>
              <w:bottom w:val="single" w:sz="4" w:space="0" w:color="auto"/>
              <w:right w:val="single" w:sz="4" w:space="0" w:color="auto"/>
            </w:tcBorders>
            <w:shd w:val="clear" w:color="auto" w:fill="auto"/>
            <w:vAlign w:val="center"/>
            <w:hideMark/>
          </w:tcPr>
          <w:p w14:paraId="64660AED"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nil"/>
              <w:bottom w:val="single" w:sz="4" w:space="0" w:color="auto"/>
              <w:right w:val="single" w:sz="4" w:space="0" w:color="auto"/>
            </w:tcBorders>
            <w:shd w:val="clear" w:color="auto" w:fill="auto"/>
            <w:vAlign w:val="center"/>
            <w:hideMark/>
          </w:tcPr>
          <w:p w14:paraId="39BE0F99"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1029" w:type="dxa"/>
            <w:tcBorders>
              <w:top w:val="nil"/>
              <w:left w:val="nil"/>
              <w:bottom w:val="single" w:sz="4" w:space="0" w:color="auto"/>
              <w:right w:val="single" w:sz="4" w:space="0" w:color="auto"/>
            </w:tcBorders>
            <w:shd w:val="clear" w:color="auto" w:fill="auto"/>
            <w:vAlign w:val="center"/>
            <w:hideMark/>
          </w:tcPr>
          <w:p w14:paraId="4B6930D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10,358</w:t>
            </w:r>
          </w:p>
        </w:tc>
        <w:tc>
          <w:tcPr>
            <w:tcW w:w="714" w:type="dxa"/>
            <w:tcBorders>
              <w:top w:val="nil"/>
              <w:left w:val="nil"/>
              <w:bottom w:val="single" w:sz="4" w:space="0" w:color="auto"/>
              <w:right w:val="single" w:sz="4" w:space="0" w:color="auto"/>
            </w:tcBorders>
            <w:shd w:val="clear" w:color="auto" w:fill="auto"/>
            <w:vAlign w:val="center"/>
            <w:hideMark/>
          </w:tcPr>
          <w:p w14:paraId="1D832376"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w:t>
            </w:r>
          </w:p>
        </w:tc>
        <w:tc>
          <w:tcPr>
            <w:tcW w:w="1263" w:type="dxa"/>
            <w:tcBorders>
              <w:top w:val="single" w:sz="4" w:space="0" w:color="auto"/>
              <w:left w:val="nil"/>
              <w:bottom w:val="single" w:sz="4" w:space="0" w:color="auto"/>
              <w:right w:val="single" w:sz="4" w:space="0" w:color="auto"/>
            </w:tcBorders>
            <w:shd w:val="clear" w:color="000000" w:fill="E7E6E6"/>
            <w:vAlign w:val="center"/>
            <w:hideMark/>
          </w:tcPr>
          <w:p w14:paraId="4AF435AA"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126" w:type="dxa"/>
            <w:tcBorders>
              <w:top w:val="single" w:sz="4" w:space="0" w:color="auto"/>
              <w:left w:val="nil"/>
              <w:bottom w:val="single" w:sz="4" w:space="0" w:color="auto"/>
              <w:right w:val="single" w:sz="4" w:space="0" w:color="auto"/>
            </w:tcBorders>
            <w:shd w:val="clear" w:color="000000" w:fill="E7E6E6"/>
            <w:vAlign w:val="center"/>
            <w:hideMark/>
          </w:tcPr>
          <w:p w14:paraId="15BBA5C2"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23" w:type="dxa"/>
            <w:tcBorders>
              <w:top w:val="single" w:sz="4" w:space="0" w:color="auto"/>
              <w:left w:val="nil"/>
              <w:bottom w:val="single" w:sz="4" w:space="0" w:color="auto"/>
              <w:right w:val="single" w:sz="4" w:space="0" w:color="auto"/>
            </w:tcBorders>
            <w:shd w:val="clear" w:color="000000" w:fill="E7E6E6"/>
            <w:vAlign w:val="center"/>
            <w:hideMark/>
          </w:tcPr>
          <w:p w14:paraId="5AD2C5A3"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1874D9" w:rsidRPr="00EE5714" w14:paraId="6297A204" w14:textId="77777777" w:rsidTr="00130638">
        <w:trPr>
          <w:trHeight w:val="436"/>
          <w:jc w:val="center"/>
        </w:trPr>
        <w:tc>
          <w:tcPr>
            <w:tcW w:w="4247" w:type="dxa"/>
            <w:gridSpan w:val="4"/>
            <w:tcBorders>
              <w:top w:val="single" w:sz="4" w:space="0" w:color="auto"/>
              <w:left w:val="single" w:sz="4" w:space="0" w:color="auto"/>
              <w:bottom w:val="single" w:sz="4" w:space="0" w:color="auto"/>
              <w:right w:val="single" w:sz="4" w:space="0" w:color="000000"/>
            </w:tcBorders>
            <w:shd w:val="clear" w:color="000000" w:fill="E7E6E6"/>
            <w:vAlign w:val="center"/>
            <w:hideMark/>
          </w:tcPr>
          <w:p w14:paraId="684D6905" w14:textId="69D1722C"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UGI Service Area - 2012-2016 ACS</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7CC2D61B"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1029" w:type="dxa"/>
            <w:tcBorders>
              <w:top w:val="nil"/>
              <w:left w:val="nil"/>
              <w:bottom w:val="single" w:sz="4" w:space="0" w:color="auto"/>
              <w:right w:val="single" w:sz="4" w:space="0" w:color="auto"/>
            </w:tcBorders>
            <w:shd w:val="clear" w:color="auto" w:fill="auto"/>
            <w:vAlign w:val="center"/>
            <w:hideMark/>
          </w:tcPr>
          <w:p w14:paraId="599CBC39"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17,935</w:t>
            </w:r>
          </w:p>
        </w:tc>
        <w:tc>
          <w:tcPr>
            <w:tcW w:w="714" w:type="dxa"/>
            <w:tcBorders>
              <w:top w:val="nil"/>
              <w:left w:val="nil"/>
              <w:bottom w:val="single" w:sz="4" w:space="0" w:color="auto"/>
              <w:right w:val="single" w:sz="4" w:space="0" w:color="auto"/>
            </w:tcBorders>
            <w:shd w:val="clear" w:color="auto" w:fill="auto"/>
            <w:vAlign w:val="center"/>
            <w:hideMark/>
          </w:tcPr>
          <w:p w14:paraId="6CEDBEA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w:t>
            </w:r>
          </w:p>
        </w:tc>
        <w:tc>
          <w:tcPr>
            <w:tcW w:w="1263" w:type="dxa"/>
            <w:tcBorders>
              <w:top w:val="nil"/>
              <w:left w:val="nil"/>
              <w:bottom w:val="single" w:sz="4" w:space="0" w:color="auto"/>
              <w:right w:val="single" w:sz="4" w:space="0" w:color="auto"/>
            </w:tcBorders>
            <w:shd w:val="clear" w:color="auto" w:fill="auto"/>
            <w:vAlign w:val="center"/>
            <w:hideMark/>
          </w:tcPr>
          <w:p w14:paraId="77B72437"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270,495</w:t>
            </w:r>
          </w:p>
        </w:tc>
        <w:tc>
          <w:tcPr>
            <w:tcW w:w="1126" w:type="dxa"/>
            <w:tcBorders>
              <w:top w:val="nil"/>
              <w:left w:val="nil"/>
              <w:bottom w:val="single" w:sz="4" w:space="0" w:color="auto"/>
              <w:right w:val="single" w:sz="4" w:space="0" w:color="auto"/>
            </w:tcBorders>
            <w:shd w:val="clear" w:color="auto" w:fill="auto"/>
            <w:vAlign w:val="center"/>
            <w:hideMark/>
          </w:tcPr>
          <w:p w14:paraId="47F54A6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23" w:type="dxa"/>
            <w:tcBorders>
              <w:top w:val="nil"/>
              <w:left w:val="nil"/>
              <w:bottom w:val="single" w:sz="4" w:space="0" w:color="auto"/>
              <w:right w:val="single" w:sz="4" w:space="0" w:color="auto"/>
            </w:tcBorders>
            <w:shd w:val="clear" w:color="auto" w:fill="auto"/>
            <w:vAlign w:val="center"/>
            <w:hideMark/>
          </w:tcPr>
          <w:p w14:paraId="2833B446"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45.1%</w:t>
            </w:r>
          </w:p>
        </w:tc>
      </w:tr>
      <w:tr w:rsidR="001874D9" w:rsidRPr="00EE5714" w14:paraId="1510E15C" w14:textId="77777777" w:rsidTr="00130638">
        <w:trPr>
          <w:trHeight w:val="300"/>
          <w:jc w:val="center"/>
        </w:trPr>
        <w:tc>
          <w:tcPr>
            <w:tcW w:w="118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2F6352"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58"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2B0221E6"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0BDB379E"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1029" w:type="dxa"/>
            <w:tcBorders>
              <w:top w:val="nil"/>
              <w:left w:val="nil"/>
              <w:bottom w:val="single" w:sz="4" w:space="0" w:color="auto"/>
              <w:right w:val="single" w:sz="4" w:space="0" w:color="auto"/>
            </w:tcBorders>
            <w:shd w:val="clear" w:color="auto" w:fill="auto"/>
            <w:vAlign w:val="center"/>
            <w:hideMark/>
          </w:tcPr>
          <w:p w14:paraId="73F171AD"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410</w:t>
            </w:r>
          </w:p>
        </w:tc>
        <w:tc>
          <w:tcPr>
            <w:tcW w:w="714" w:type="dxa"/>
            <w:tcBorders>
              <w:top w:val="nil"/>
              <w:left w:val="nil"/>
              <w:bottom w:val="single" w:sz="4" w:space="0" w:color="auto"/>
              <w:right w:val="single" w:sz="4" w:space="0" w:color="auto"/>
            </w:tcBorders>
            <w:shd w:val="clear" w:color="auto" w:fill="auto"/>
            <w:vAlign w:val="center"/>
            <w:hideMark/>
          </w:tcPr>
          <w:p w14:paraId="10A2EC6B"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263" w:type="dxa"/>
            <w:tcBorders>
              <w:top w:val="nil"/>
              <w:left w:val="nil"/>
              <w:bottom w:val="single" w:sz="4" w:space="0" w:color="auto"/>
              <w:right w:val="single" w:sz="4" w:space="0" w:color="auto"/>
            </w:tcBorders>
            <w:shd w:val="clear" w:color="auto" w:fill="auto"/>
            <w:vAlign w:val="center"/>
            <w:hideMark/>
          </w:tcPr>
          <w:p w14:paraId="55546E0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600,124</w:t>
            </w:r>
          </w:p>
        </w:tc>
        <w:tc>
          <w:tcPr>
            <w:tcW w:w="1126" w:type="dxa"/>
            <w:tcBorders>
              <w:top w:val="nil"/>
              <w:left w:val="nil"/>
              <w:bottom w:val="single" w:sz="4" w:space="0" w:color="auto"/>
              <w:right w:val="single" w:sz="4" w:space="0" w:color="auto"/>
            </w:tcBorders>
            <w:shd w:val="clear" w:color="auto" w:fill="auto"/>
            <w:vAlign w:val="center"/>
            <w:hideMark/>
          </w:tcPr>
          <w:p w14:paraId="230D11D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23" w:type="dxa"/>
            <w:tcBorders>
              <w:top w:val="nil"/>
              <w:left w:val="nil"/>
              <w:bottom w:val="single" w:sz="4" w:space="0" w:color="auto"/>
              <w:right w:val="single" w:sz="4" w:space="0" w:color="auto"/>
            </w:tcBorders>
            <w:shd w:val="clear" w:color="auto" w:fill="auto"/>
            <w:vAlign w:val="center"/>
            <w:hideMark/>
          </w:tcPr>
          <w:p w14:paraId="4772AAD7"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54.9%</w:t>
            </w:r>
          </w:p>
        </w:tc>
      </w:tr>
      <w:tr w:rsidR="001874D9" w:rsidRPr="00EE5714" w14:paraId="269974F5" w14:textId="77777777" w:rsidTr="00130638">
        <w:trPr>
          <w:trHeight w:val="571"/>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3A2457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92,287</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434EAA4F"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10.60%</w:t>
            </w:r>
          </w:p>
        </w:tc>
        <w:tc>
          <w:tcPr>
            <w:tcW w:w="22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BE8839F"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620E4C5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1029" w:type="dxa"/>
            <w:tcBorders>
              <w:top w:val="nil"/>
              <w:left w:val="nil"/>
              <w:bottom w:val="single" w:sz="4" w:space="0" w:color="auto"/>
              <w:right w:val="single" w:sz="4" w:space="0" w:color="auto"/>
            </w:tcBorders>
            <w:shd w:val="clear" w:color="auto" w:fill="auto"/>
            <w:vAlign w:val="center"/>
            <w:hideMark/>
          </w:tcPr>
          <w:p w14:paraId="5992AC4C"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6,111</w:t>
            </w:r>
          </w:p>
        </w:tc>
        <w:tc>
          <w:tcPr>
            <w:tcW w:w="714" w:type="dxa"/>
            <w:tcBorders>
              <w:top w:val="nil"/>
              <w:left w:val="nil"/>
              <w:bottom w:val="single" w:sz="4" w:space="0" w:color="auto"/>
              <w:right w:val="single" w:sz="4" w:space="0" w:color="auto"/>
            </w:tcBorders>
            <w:shd w:val="clear" w:color="auto" w:fill="auto"/>
            <w:vAlign w:val="center"/>
            <w:hideMark/>
          </w:tcPr>
          <w:p w14:paraId="6AE8B686"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263" w:type="dxa"/>
            <w:tcBorders>
              <w:top w:val="nil"/>
              <w:left w:val="nil"/>
              <w:bottom w:val="single" w:sz="4" w:space="0" w:color="auto"/>
              <w:right w:val="single" w:sz="4" w:space="0" w:color="auto"/>
            </w:tcBorders>
            <w:shd w:val="clear" w:color="auto" w:fill="auto"/>
            <w:vAlign w:val="center"/>
            <w:hideMark/>
          </w:tcPr>
          <w:p w14:paraId="7CAF277D"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255,037</w:t>
            </w:r>
          </w:p>
        </w:tc>
        <w:tc>
          <w:tcPr>
            <w:tcW w:w="1126" w:type="dxa"/>
            <w:tcBorders>
              <w:top w:val="nil"/>
              <w:left w:val="nil"/>
              <w:bottom w:val="single" w:sz="4" w:space="0" w:color="auto"/>
              <w:right w:val="single" w:sz="4" w:space="0" w:color="auto"/>
            </w:tcBorders>
            <w:shd w:val="clear" w:color="auto" w:fill="auto"/>
            <w:vAlign w:val="center"/>
            <w:hideMark/>
          </w:tcPr>
          <w:p w14:paraId="668AED81"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23" w:type="dxa"/>
            <w:tcBorders>
              <w:top w:val="nil"/>
              <w:left w:val="nil"/>
              <w:bottom w:val="single" w:sz="4" w:space="0" w:color="auto"/>
              <w:right w:val="single" w:sz="4" w:space="0" w:color="auto"/>
            </w:tcBorders>
            <w:shd w:val="clear" w:color="auto" w:fill="auto"/>
            <w:vAlign w:val="center"/>
            <w:hideMark/>
          </w:tcPr>
          <w:p w14:paraId="7AC65AE1" w14:textId="77777777" w:rsidR="001874D9" w:rsidRPr="00EE5714" w:rsidRDefault="001874D9" w:rsidP="009F3BA3">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41.4%</w:t>
            </w:r>
          </w:p>
        </w:tc>
      </w:tr>
      <w:tr w:rsidR="001874D9" w:rsidRPr="00EE5714" w14:paraId="479EE456" w14:textId="77777777" w:rsidTr="00130638">
        <w:trPr>
          <w:trHeight w:val="511"/>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6828A15C"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778,332</w:t>
            </w:r>
          </w:p>
        </w:tc>
        <w:tc>
          <w:tcPr>
            <w:tcW w:w="840" w:type="dxa"/>
            <w:tcBorders>
              <w:top w:val="nil"/>
              <w:left w:val="nil"/>
              <w:bottom w:val="single" w:sz="4" w:space="0" w:color="auto"/>
              <w:right w:val="single" w:sz="4" w:space="0" w:color="auto"/>
            </w:tcBorders>
            <w:shd w:val="clear" w:color="auto" w:fill="auto"/>
            <w:vAlign w:val="center"/>
            <w:hideMark/>
          </w:tcPr>
          <w:p w14:paraId="79C335C3"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89.40%</w:t>
            </w:r>
          </w:p>
        </w:tc>
        <w:tc>
          <w:tcPr>
            <w:tcW w:w="22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F276E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00C80F2E"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1029" w:type="dxa"/>
            <w:tcBorders>
              <w:top w:val="nil"/>
              <w:left w:val="nil"/>
              <w:bottom w:val="single" w:sz="4" w:space="0" w:color="auto"/>
              <w:right w:val="single" w:sz="4" w:space="0" w:color="auto"/>
            </w:tcBorders>
            <w:shd w:val="clear" w:color="auto" w:fill="auto"/>
            <w:vAlign w:val="center"/>
            <w:hideMark/>
          </w:tcPr>
          <w:p w14:paraId="15FAFEFA"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2,842</w:t>
            </w:r>
          </w:p>
        </w:tc>
        <w:tc>
          <w:tcPr>
            <w:tcW w:w="714" w:type="dxa"/>
            <w:tcBorders>
              <w:top w:val="nil"/>
              <w:left w:val="nil"/>
              <w:bottom w:val="single" w:sz="4" w:space="0" w:color="auto"/>
              <w:right w:val="single" w:sz="4" w:space="0" w:color="auto"/>
            </w:tcBorders>
            <w:shd w:val="clear" w:color="auto" w:fill="auto"/>
            <w:vAlign w:val="center"/>
            <w:hideMark/>
          </w:tcPr>
          <w:p w14:paraId="59147730"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263" w:type="dxa"/>
            <w:tcBorders>
              <w:top w:val="nil"/>
              <w:left w:val="nil"/>
              <w:bottom w:val="single" w:sz="4" w:space="0" w:color="auto"/>
              <w:right w:val="single" w:sz="4" w:space="0" w:color="auto"/>
            </w:tcBorders>
            <w:shd w:val="clear" w:color="auto" w:fill="auto"/>
            <w:vAlign w:val="center"/>
            <w:hideMark/>
          </w:tcPr>
          <w:p w14:paraId="012D64E4"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615,582</w:t>
            </w:r>
          </w:p>
        </w:tc>
        <w:tc>
          <w:tcPr>
            <w:tcW w:w="1126" w:type="dxa"/>
            <w:tcBorders>
              <w:top w:val="nil"/>
              <w:left w:val="nil"/>
              <w:bottom w:val="single" w:sz="4" w:space="0" w:color="auto"/>
              <w:right w:val="single" w:sz="4" w:space="0" w:color="auto"/>
            </w:tcBorders>
            <w:shd w:val="clear" w:color="auto" w:fill="auto"/>
            <w:vAlign w:val="center"/>
            <w:hideMark/>
          </w:tcPr>
          <w:p w14:paraId="45841E99"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23" w:type="dxa"/>
            <w:tcBorders>
              <w:top w:val="nil"/>
              <w:left w:val="nil"/>
              <w:bottom w:val="single" w:sz="4" w:space="0" w:color="auto"/>
              <w:right w:val="single" w:sz="4" w:space="0" w:color="auto"/>
            </w:tcBorders>
            <w:shd w:val="clear" w:color="auto" w:fill="auto"/>
            <w:vAlign w:val="center"/>
            <w:hideMark/>
          </w:tcPr>
          <w:p w14:paraId="7896AE05" w14:textId="77777777" w:rsidR="001874D9" w:rsidRPr="00EE5714" w:rsidRDefault="001874D9" w:rsidP="009F3BA3">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58.6%</w:t>
            </w:r>
          </w:p>
        </w:tc>
      </w:tr>
      <w:tr w:rsidR="001874D9" w:rsidRPr="00EE5714" w14:paraId="17616193" w14:textId="77777777" w:rsidTr="00130638">
        <w:trPr>
          <w:trHeight w:val="300"/>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5AA8E16" w14:textId="77777777" w:rsidR="001874D9" w:rsidRPr="00EE5714" w:rsidRDefault="001874D9" w:rsidP="001874D9">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870,619</w:t>
            </w:r>
          </w:p>
        </w:tc>
        <w:tc>
          <w:tcPr>
            <w:tcW w:w="305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B19A979" w14:textId="77777777" w:rsidR="001874D9" w:rsidRPr="00EE5714" w:rsidRDefault="001874D9" w:rsidP="001874D9">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2876BBC" w14:textId="77777777" w:rsidR="001874D9" w:rsidRPr="00EE5714" w:rsidRDefault="001874D9" w:rsidP="001874D9">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29" w:type="dxa"/>
            <w:tcBorders>
              <w:top w:val="nil"/>
              <w:left w:val="nil"/>
              <w:bottom w:val="single" w:sz="4" w:space="0" w:color="auto"/>
              <w:right w:val="single" w:sz="4" w:space="0" w:color="auto"/>
            </w:tcBorders>
            <w:shd w:val="clear" w:color="auto" w:fill="auto"/>
            <w:vAlign w:val="center"/>
            <w:hideMark/>
          </w:tcPr>
          <w:p w14:paraId="303CF0FA" w14:textId="77777777" w:rsidR="001874D9" w:rsidRPr="00EE5714" w:rsidRDefault="001874D9" w:rsidP="001874D9">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870,620</w:t>
            </w:r>
          </w:p>
        </w:tc>
        <w:tc>
          <w:tcPr>
            <w:tcW w:w="714" w:type="dxa"/>
            <w:tcBorders>
              <w:top w:val="nil"/>
              <w:left w:val="nil"/>
              <w:bottom w:val="single" w:sz="4" w:space="0" w:color="auto"/>
              <w:right w:val="single" w:sz="4" w:space="0" w:color="auto"/>
            </w:tcBorders>
            <w:shd w:val="clear" w:color="auto" w:fill="auto"/>
            <w:vAlign w:val="center"/>
            <w:hideMark/>
          </w:tcPr>
          <w:p w14:paraId="2CF56CF4" w14:textId="77777777" w:rsidR="001874D9" w:rsidRPr="00EE5714" w:rsidRDefault="001874D9" w:rsidP="001874D9">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263" w:type="dxa"/>
            <w:tcBorders>
              <w:top w:val="nil"/>
              <w:left w:val="nil"/>
              <w:bottom w:val="single" w:sz="4" w:space="0" w:color="auto"/>
              <w:right w:val="single" w:sz="4" w:space="0" w:color="auto"/>
            </w:tcBorders>
            <w:shd w:val="clear" w:color="auto" w:fill="auto"/>
            <w:vAlign w:val="center"/>
            <w:hideMark/>
          </w:tcPr>
          <w:p w14:paraId="5E61A714" w14:textId="77777777" w:rsidR="001874D9" w:rsidRPr="00EE5714" w:rsidRDefault="001874D9" w:rsidP="001874D9">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870,619</w:t>
            </w:r>
          </w:p>
        </w:tc>
        <w:tc>
          <w:tcPr>
            <w:tcW w:w="184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538D52" w14:textId="77777777" w:rsidR="001874D9" w:rsidRPr="00EE5714" w:rsidRDefault="001874D9" w:rsidP="001874D9">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0DE915A1" w14:textId="77777777" w:rsidR="00130638" w:rsidRPr="00EE5714" w:rsidRDefault="00130638" w:rsidP="00130638">
      <w:pPr>
        <w:spacing w:after="0" w:line="240" w:lineRule="auto"/>
        <w:rPr>
          <w:rFonts w:ascii="Times New Roman" w:hAnsi="Times New Roman" w:cs="Times New Roman"/>
          <w:sz w:val="26"/>
          <w:szCs w:val="26"/>
        </w:rPr>
      </w:pPr>
    </w:p>
    <w:p w14:paraId="41EF7111" w14:textId="77777777" w:rsidR="00130638" w:rsidRPr="00EE5714" w:rsidRDefault="00130638" w:rsidP="00130638">
      <w:pPr>
        <w:spacing w:after="0" w:line="240" w:lineRule="auto"/>
        <w:rPr>
          <w:rFonts w:ascii="Times New Roman" w:hAnsi="Times New Roman" w:cs="Times New Roman"/>
          <w:sz w:val="26"/>
          <w:szCs w:val="26"/>
        </w:rPr>
      </w:pPr>
    </w:p>
    <w:p w14:paraId="19D18021" w14:textId="77777777" w:rsidR="008A2DC2" w:rsidRPr="00EE5714" w:rsidRDefault="008A2DC2" w:rsidP="00661388">
      <w:pPr>
        <w:pStyle w:val="NoSpacing"/>
        <w:keepNext/>
      </w:pPr>
      <w:r w:rsidRPr="00EE5714">
        <w:t>Appendix 1.</w:t>
      </w:r>
      <w:r w:rsidR="009F3BA3" w:rsidRPr="00EE5714">
        <w:t>A.7</w:t>
      </w:r>
      <w:r w:rsidRPr="00EE5714">
        <w:t xml:space="preserve">: </w:t>
      </w:r>
      <w:r w:rsidRPr="00EE5714">
        <w:rPr>
          <w:b/>
        </w:rPr>
        <w:t>UGI</w:t>
      </w:r>
      <w:r w:rsidR="000A5EB9" w:rsidRPr="00EE5714">
        <w:rPr>
          <w:b/>
        </w:rPr>
        <w:t xml:space="preserve"> PNG</w:t>
      </w:r>
      <w:r w:rsidRPr="00EE5714">
        <w:rPr>
          <w:b/>
        </w:rPr>
        <w:t xml:space="preserve"> Service Territory Demographic Profile</w:t>
      </w:r>
    </w:p>
    <w:tbl>
      <w:tblPr>
        <w:tblW w:w="10663" w:type="dxa"/>
        <w:jc w:val="center"/>
        <w:tblLook w:val="04A0" w:firstRow="1" w:lastRow="0" w:firstColumn="1" w:lastColumn="0" w:noHBand="0" w:noVBand="1"/>
      </w:tblPr>
      <w:tblGrid>
        <w:gridCol w:w="1189"/>
        <w:gridCol w:w="876"/>
        <w:gridCol w:w="1109"/>
        <w:gridCol w:w="1109"/>
        <w:gridCol w:w="1546"/>
        <w:gridCol w:w="903"/>
        <w:gridCol w:w="714"/>
        <w:gridCol w:w="1361"/>
        <w:gridCol w:w="1126"/>
        <w:gridCol w:w="730"/>
      </w:tblGrid>
      <w:tr w:rsidR="00BF168C" w:rsidRPr="00EE5714" w14:paraId="767056F6" w14:textId="77777777" w:rsidTr="0014664B">
        <w:trPr>
          <w:trHeight w:val="717"/>
          <w:jc w:val="center"/>
        </w:trPr>
        <w:tc>
          <w:tcPr>
            <w:tcW w:w="11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52D3B7F"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UGI PNG</w:t>
            </w:r>
          </w:p>
        </w:tc>
        <w:tc>
          <w:tcPr>
            <w:tcW w:w="1990" w:type="dxa"/>
            <w:gridSpan w:val="2"/>
            <w:tcBorders>
              <w:top w:val="single" w:sz="4" w:space="0" w:color="auto"/>
              <w:left w:val="nil"/>
              <w:bottom w:val="single" w:sz="4" w:space="0" w:color="auto"/>
              <w:right w:val="single" w:sz="4" w:space="0" w:color="auto"/>
            </w:tcBorders>
            <w:shd w:val="clear" w:color="000000" w:fill="E7E6E6"/>
            <w:vAlign w:val="center"/>
            <w:hideMark/>
          </w:tcPr>
          <w:p w14:paraId="035031E2"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0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6966E2A"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143" w:type="dxa"/>
            <w:gridSpan w:val="3"/>
            <w:tcBorders>
              <w:top w:val="single" w:sz="4" w:space="0" w:color="auto"/>
              <w:left w:val="nil"/>
              <w:bottom w:val="single" w:sz="4" w:space="0" w:color="auto"/>
              <w:right w:val="single" w:sz="4" w:space="0" w:color="auto"/>
            </w:tcBorders>
            <w:shd w:val="clear" w:color="000000" w:fill="E7E6E6"/>
            <w:vAlign w:val="center"/>
            <w:hideMark/>
          </w:tcPr>
          <w:p w14:paraId="440D0A8A"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261" w:type="dxa"/>
            <w:gridSpan w:val="3"/>
            <w:tcBorders>
              <w:top w:val="single" w:sz="4" w:space="0" w:color="auto"/>
              <w:left w:val="nil"/>
              <w:bottom w:val="single" w:sz="4" w:space="0" w:color="auto"/>
              <w:right w:val="single" w:sz="4" w:space="0" w:color="auto"/>
            </w:tcBorders>
            <w:shd w:val="clear" w:color="000000" w:fill="E7E6E6"/>
            <w:vAlign w:val="center"/>
            <w:hideMark/>
          </w:tcPr>
          <w:p w14:paraId="435A3357"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BF168C" w:rsidRPr="00EE5714" w14:paraId="484C3264" w14:textId="77777777" w:rsidTr="0014664B">
        <w:trPr>
          <w:trHeight w:val="567"/>
          <w:jc w:val="center"/>
        </w:trPr>
        <w:tc>
          <w:tcPr>
            <w:tcW w:w="1174" w:type="dxa"/>
            <w:tcBorders>
              <w:top w:val="nil"/>
              <w:left w:val="single" w:sz="4" w:space="0" w:color="auto"/>
              <w:bottom w:val="single" w:sz="4" w:space="0" w:color="auto"/>
              <w:right w:val="single" w:sz="4" w:space="0" w:color="auto"/>
            </w:tcBorders>
            <w:shd w:val="clear" w:color="000000" w:fill="E7E6E6"/>
            <w:vAlign w:val="center"/>
            <w:hideMark/>
          </w:tcPr>
          <w:p w14:paraId="4EC50AB6"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62.20%</w:t>
            </w:r>
          </w:p>
        </w:tc>
        <w:tc>
          <w:tcPr>
            <w:tcW w:w="895" w:type="dxa"/>
            <w:tcBorders>
              <w:top w:val="nil"/>
              <w:left w:val="nil"/>
              <w:bottom w:val="single" w:sz="4" w:space="0" w:color="auto"/>
              <w:right w:val="single" w:sz="4" w:space="0" w:color="auto"/>
            </w:tcBorders>
            <w:shd w:val="clear" w:color="000000" w:fill="E7E6E6"/>
            <w:vAlign w:val="center"/>
            <w:hideMark/>
          </w:tcPr>
          <w:p w14:paraId="7838BEF5"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095" w:type="dxa"/>
            <w:tcBorders>
              <w:top w:val="nil"/>
              <w:left w:val="nil"/>
              <w:bottom w:val="single" w:sz="4" w:space="0" w:color="auto"/>
              <w:right w:val="single" w:sz="4" w:space="0" w:color="auto"/>
            </w:tcBorders>
            <w:shd w:val="clear" w:color="000000" w:fill="E7E6E6"/>
            <w:vAlign w:val="center"/>
            <w:hideMark/>
          </w:tcPr>
          <w:p w14:paraId="3402AADA"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095" w:type="dxa"/>
            <w:vMerge/>
            <w:tcBorders>
              <w:top w:val="single" w:sz="4" w:space="0" w:color="auto"/>
              <w:left w:val="single" w:sz="4" w:space="0" w:color="auto"/>
              <w:bottom w:val="single" w:sz="4" w:space="0" w:color="auto"/>
              <w:right w:val="single" w:sz="4" w:space="0" w:color="auto"/>
            </w:tcBorders>
            <w:vAlign w:val="center"/>
            <w:hideMark/>
          </w:tcPr>
          <w:p w14:paraId="65612BC2" w14:textId="77777777" w:rsidR="00BF168C" w:rsidRPr="00EE5714" w:rsidRDefault="00BF168C" w:rsidP="00BF168C">
            <w:pPr>
              <w:spacing w:after="0" w:line="240" w:lineRule="auto"/>
              <w:rPr>
                <w:rFonts w:ascii="Calibri" w:eastAsia="Times New Roman" w:hAnsi="Calibri" w:cs="Calibri"/>
                <w:b/>
                <w:bCs/>
                <w:color w:val="000000"/>
                <w:sz w:val="20"/>
                <w:szCs w:val="20"/>
              </w:rPr>
            </w:pPr>
          </w:p>
        </w:tc>
        <w:tc>
          <w:tcPr>
            <w:tcW w:w="2438" w:type="dxa"/>
            <w:gridSpan w:val="2"/>
            <w:tcBorders>
              <w:top w:val="single" w:sz="4" w:space="0" w:color="auto"/>
              <w:left w:val="nil"/>
              <w:bottom w:val="single" w:sz="4" w:space="0" w:color="auto"/>
              <w:right w:val="single" w:sz="4" w:space="0" w:color="auto"/>
            </w:tcBorders>
            <w:shd w:val="clear" w:color="000000" w:fill="E7E6E6"/>
            <w:vAlign w:val="center"/>
            <w:hideMark/>
          </w:tcPr>
          <w:p w14:paraId="5BD8A504"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05" w:type="dxa"/>
            <w:tcBorders>
              <w:top w:val="nil"/>
              <w:left w:val="nil"/>
              <w:bottom w:val="single" w:sz="4" w:space="0" w:color="auto"/>
              <w:right w:val="single" w:sz="4" w:space="0" w:color="auto"/>
            </w:tcBorders>
            <w:shd w:val="clear" w:color="000000" w:fill="E7E6E6"/>
            <w:vAlign w:val="center"/>
            <w:hideMark/>
          </w:tcPr>
          <w:p w14:paraId="213F67BE"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528" w:type="dxa"/>
            <w:gridSpan w:val="2"/>
            <w:tcBorders>
              <w:top w:val="single" w:sz="4" w:space="0" w:color="auto"/>
              <w:left w:val="nil"/>
              <w:bottom w:val="single" w:sz="4" w:space="0" w:color="auto"/>
              <w:right w:val="single" w:sz="4" w:space="0" w:color="auto"/>
            </w:tcBorders>
            <w:shd w:val="clear" w:color="000000" w:fill="E7E6E6"/>
            <w:vAlign w:val="center"/>
            <w:hideMark/>
          </w:tcPr>
          <w:p w14:paraId="187B9CF9"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33" w:type="dxa"/>
            <w:tcBorders>
              <w:top w:val="nil"/>
              <w:left w:val="nil"/>
              <w:bottom w:val="single" w:sz="4" w:space="0" w:color="auto"/>
              <w:right w:val="single" w:sz="4" w:space="0" w:color="auto"/>
            </w:tcBorders>
            <w:shd w:val="clear" w:color="000000" w:fill="E7E6E6"/>
            <w:vAlign w:val="center"/>
            <w:hideMark/>
          </w:tcPr>
          <w:p w14:paraId="5941B1BB"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BF168C" w:rsidRPr="00EE5714" w14:paraId="5CA8DDAF" w14:textId="77777777" w:rsidTr="0014664B">
        <w:trPr>
          <w:trHeight w:val="298"/>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2E360FE7"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86,322</w:t>
            </w:r>
          </w:p>
        </w:tc>
        <w:tc>
          <w:tcPr>
            <w:tcW w:w="895" w:type="dxa"/>
            <w:tcBorders>
              <w:top w:val="nil"/>
              <w:left w:val="nil"/>
              <w:bottom w:val="single" w:sz="4" w:space="0" w:color="auto"/>
              <w:right w:val="single" w:sz="4" w:space="0" w:color="auto"/>
            </w:tcBorders>
            <w:shd w:val="clear" w:color="auto" w:fill="auto"/>
            <w:vAlign w:val="center"/>
            <w:hideMark/>
          </w:tcPr>
          <w:p w14:paraId="6B0CE822"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29.8%</w:t>
            </w:r>
          </w:p>
        </w:tc>
        <w:tc>
          <w:tcPr>
            <w:tcW w:w="1095" w:type="dxa"/>
            <w:tcBorders>
              <w:top w:val="nil"/>
              <w:left w:val="nil"/>
              <w:bottom w:val="single" w:sz="4" w:space="0" w:color="auto"/>
              <w:right w:val="single" w:sz="4" w:space="0" w:color="auto"/>
            </w:tcBorders>
            <w:shd w:val="clear" w:color="auto" w:fill="auto"/>
            <w:vAlign w:val="center"/>
            <w:hideMark/>
          </w:tcPr>
          <w:p w14:paraId="69324AA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679F18"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274F4A2A"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911" w:type="dxa"/>
            <w:tcBorders>
              <w:top w:val="nil"/>
              <w:left w:val="nil"/>
              <w:bottom w:val="single" w:sz="4" w:space="0" w:color="auto"/>
              <w:right w:val="single" w:sz="4" w:space="0" w:color="auto"/>
            </w:tcBorders>
            <w:shd w:val="clear" w:color="auto" w:fill="auto"/>
            <w:vAlign w:val="center"/>
            <w:hideMark/>
          </w:tcPr>
          <w:p w14:paraId="27DCFD0F"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47,570</w:t>
            </w:r>
          </w:p>
        </w:tc>
        <w:tc>
          <w:tcPr>
            <w:tcW w:w="705" w:type="dxa"/>
            <w:tcBorders>
              <w:top w:val="nil"/>
              <w:left w:val="nil"/>
              <w:bottom w:val="single" w:sz="4" w:space="0" w:color="auto"/>
              <w:right w:val="single" w:sz="4" w:space="0" w:color="auto"/>
            </w:tcBorders>
            <w:shd w:val="clear" w:color="auto" w:fill="auto"/>
            <w:vAlign w:val="center"/>
            <w:hideMark/>
          </w:tcPr>
          <w:p w14:paraId="63E4ED15"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6.9%</w:t>
            </w:r>
          </w:p>
        </w:tc>
        <w:tc>
          <w:tcPr>
            <w:tcW w:w="1416" w:type="dxa"/>
            <w:tcBorders>
              <w:top w:val="nil"/>
              <w:left w:val="nil"/>
              <w:bottom w:val="single" w:sz="4" w:space="0" w:color="auto"/>
              <w:right w:val="single" w:sz="4" w:space="0" w:color="auto"/>
            </w:tcBorders>
            <w:shd w:val="clear" w:color="auto" w:fill="auto"/>
            <w:vAlign w:val="center"/>
            <w:hideMark/>
          </w:tcPr>
          <w:p w14:paraId="60682727"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111" w:type="dxa"/>
            <w:tcBorders>
              <w:top w:val="nil"/>
              <w:left w:val="nil"/>
              <w:bottom w:val="single" w:sz="4" w:space="0" w:color="auto"/>
              <w:right w:val="single" w:sz="4" w:space="0" w:color="auto"/>
            </w:tcBorders>
            <w:shd w:val="clear" w:color="auto" w:fill="auto"/>
            <w:vAlign w:val="center"/>
            <w:hideMark/>
          </w:tcPr>
          <w:p w14:paraId="16B2EBE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38,108</w:t>
            </w:r>
          </w:p>
        </w:tc>
        <w:tc>
          <w:tcPr>
            <w:tcW w:w="733" w:type="dxa"/>
            <w:tcBorders>
              <w:top w:val="nil"/>
              <w:left w:val="nil"/>
              <w:bottom w:val="single" w:sz="4" w:space="0" w:color="auto"/>
              <w:right w:val="single" w:sz="4" w:space="0" w:color="auto"/>
            </w:tcBorders>
            <w:shd w:val="clear" w:color="auto" w:fill="auto"/>
            <w:vAlign w:val="center"/>
            <w:hideMark/>
          </w:tcPr>
          <w:p w14:paraId="69116DA9"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12.8%</w:t>
            </w:r>
          </w:p>
        </w:tc>
      </w:tr>
      <w:tr w:rsidR="00BF168C" w:rsidRPr="00EE5714" w14:paraId="26D0DA54" w14:textId="77777777" w:rsidTr="0014664B">
        <w:trPr>
          <w:trHeight w:val="298"/>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554D74F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41,576</w:t>
            </w:r>
          </w:p>
        </w:tc>
        <w:tc>
          <w:tcPr>
            <w:tcW w:w="895" w:type="dxa"/>
            <w:tcBorders>
              <w:top w:val="nil"/>
              <w:left w:val="nil"/>
              <w:bottom w:val="single" w:sz="4" w:space="0" w:color="auto"/>
              <w:right w:val="single" w:sz="4" w:space="0" w:color="auto"/>
            </w:tcBorders>
            <w:shd w:val="clear" w:color="auto" w:fill="auto"/>
            <w:vAlign w:val="center"/>
            <w:hideMark/>
          </w:tcPr>
          <w:p w14:paraId="178DF5C3"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14.4%</w:t>
            </w:r>
          </w:p>
        </w:tc>
        <w:tc>
          <w:tcPr>
            <w:tcW w:w="1095" w:type="dxa"/>
            <w:tcBorders>
              <w:top w:val="nil"/>
              <w:left w:val="nil"/>
              <w:bottom w:val="single" w:sz="4" w:space="0" w:color="auto"/>
              <w:right w:val="single" w:sz="4" w:space="0" w:color="auto"/>
            </w:tcBorders>
            <w:shd w:val="clear" w:color="auto" w:fill="auto"/>
            <w:vAlign w:val="center"/>
            <w:hideMark/>
          </w:tcPr>
          <w:p w14:paraId="3C1A0A3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4E079C2D" w14:textId="77777777" w:rsidR="00BF168C" w:rsidRPr="00EE5714" w:rsidRDefault="00BF168C" w:rsidP="00BF168C">
            <w:pPr>
              <w:spacing w:after="0" w:line="240" w:lineRule="auto"/>
              <w:rPr>
                <w:rFonts w:ascii="Calibri" w:eastAsia="Times New Roman" w:hAnsi="Calibri" w:cs="Calibri"/>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14FF5845"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911" w:type="dxa"/>
            <w:tcBorders>
              <w:top w:val="nil"/>
              <w:left w:val="nil"/>
              <w:bottom w:val="single" w:sz="4" w:space="0" w:color="auto"/>
              <w:right w:val="single" w:sz="4" w:space="0" w:color="auto"/>
            </w:tcBorders>
            <w:shd w:val="clear" w:color="auto" w:fill="auto"/>
            <w:vAlign w:val="center"/>
            <w:hideMark/>
          </w:tcPr>
          <w:p w14:paraId="22EA1474"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55,949</w:t>
            </w:r>
          </w:p>
        </w:tc>
        <w:tc>
          <w:tcPr>
            <w:tcW w:w="705" w:type="dxa"/>
            <w:tcBorders>
              <w:top w:val="nil"/>
              <w:left w:val="nil"/>
              <w:bottom w:val="single" w:sz="4" w:space="0" w:color="auto"/>
              <w:right w:val="single" w:sz="4" w:space="0" w:color="auto"/>
            </w:tcBorders>
            <w:shd w:val="clear" w:color="auto" w:fill="auto"/>
            <w:vAlign w:val="center"/>
            <w:hideMark/>
          </w:tcPr>
          <w:p w14:paraId="091F6143"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8.1%</w:t>
            </w:r>
          </w:p>
        </w:tc>
        <w:tc>
          <w:tcPr>
            <w:tcW w:w="1416" w:type="dxa"/>
            <w:tcBorders>
              <w:top w:val="nil"/>
              <w:left w:val="nil"/>
              <w:bottom w:val="single" w:sz="4" w:space="0" w:color="auto"/>
              <w:right w:val="single" w:sz="4" w:space="0" w:color="auto"/>
            </w:tcBorders>
            <w:shd w:val="clear" w:color="auto" w:fill="auto"/>
            <w:vAlign w:val="center"/>
            <w:hideMark/>
          </w:tcPr>
          <w:p w14:paraId="13E306E2"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111" w:type="dxa"/>
            <w:tcBorders>
              <w:top w:val="nil"/>
              <w:left w:val="nil"/>
              <w:bottom w:val="single" w:sz="4" w:space="0" w:color="auto"/>
              <w:right w:val="single" w:sz="4" w:space="0" w:color="auto"/>
            </w:tcBorders>
            <w:shd w:val="clear" w:color="auto" w:fill="auto"/>
            <w:vAlign w:val="center"/>
            <w:hideMark/>
          </w:tcPr>
          <w:p w14:paraId="078BC0C8"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35,859</w:t>
            </w:r>
          </w:p>
        </w:tc>
        <w:tc>
          <w:tcPr>
            <w:tcW w:w="733" w:type="dxa"/>
            <w:tcBorders>
              <w:top w:val="nil"/>
              <w:left w:val="nil"/>
              <w:bottom w:val="single" w:sz="4" w:space="0" w:color="auto"/>
              <w:right w:val="single" w:sz="4" w:space="0" w:color="auto"/>
            </w:tcBorders>
            <w:shd w:val="clear" w:color="auto" w:fill="auto"/>
            <w:vAlign w:val="center"/>
            <w:hideMark/>
          </w:tcPr>
          <w:p w14:paraId="176F605F"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12.1%</w:t>
            </w:r>
          </w:p>
        </w:tc>
      </w:tr>
      <w:tr w:rsidR="00BF168C" w:rsidRPr="00EE5714" w14:paraId="77B99996" w14:textId="77777777" w:rsidTr="0014664B">
        <w:trPr>
          <w:trHeight w:val="298"/>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35549CB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lastRenderedPageBreak/>
              <w:t>32,685</w:t>
            </w:r>
          </w:p>
        </w:tc>
        <w:tc>
          <w:tcPr>
            <w:tcW w:w="895" w:type="dxa"/>
            <w:tcBorders>
              <w:top w:val="nil"/>
              <w:left w:val="nil"/>
              <w:bottom w:val="single" w:sz="4" w:space="0" w:color="auto"/>
              <w:right w:val="single" w:sz="4" w:space="0" w:color="auto"/>
            </w:tcBorders>
            <w:shd w:val="clear" w:color="auto" w:fill="auto"/>
            <w:vAlign w:val="center"/>
            <w:hideMark/>
          </w:tcPr>
          <w:p w14:paraId="0A0DB86F"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11.3%</w:t>
            </w:r>
          </w:p>
        </w:tc>
        <w:tc>
          <w:tcPr>
            <w:tcW w:w="1095" w:type="dxa"/>
            <w:tcBorders>
              <w:top w:val="nil"/>
              <w:left w:val="nil"/>
              <w:bottom w:val="single" w:sz="4" w:space="0" w:color="auto"/>
              <w:right w:val="single" w:sz="4" w:space="0" w:color="auto"/>
            </w:tcBorders>
            <w:shd w:val="clear" w:color="auto" w:fill="auto"/>
            <w:vAlign w:val="center"/>
            <w:hideMark/>
          </w:tcPr>
          <w:p w14:paraId="4B692F86"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1D51002C" w14:textId="77777777" w:rsidR="00BF168C" w:rsidRPr="00EE5714" w:rsidRDefault="00BF168C" w:rsidP="00BF168C">
            <w:pPr>
              <w:spacing w:after="0" w:line="240" w:lineRule="auto"/>
              <w:rPr>
                <w:rFonts w:ascii="Calibri" w:eastAsia="Times New Roman" w:hAnsi="Calibri" w:cs="Calibri"/>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47805F5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911" w:type="dxa"/>
            <w:tcBorders>
              <w:top w:val="nil"/>
              <w:left w:val="nil"/>
              <w:bottom w:val="single" w:sz="4" w:space="0" w:color="auto"/>
              <w:right w:val="single" w:sz="4" w:space="0" w:color="auto"/>
            </w:tcBorders>
            <w:shd w:val="clear" w:color="auto" w:fill="auto"/>
            <w:vAlign w:val="center"/>
            <w:hideMark/>
          </w:tcPr>
          <w:p w14:paraId="22D57D45"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30,928</w:t>
            </w:r>
          </w:p>
        </w:tc>
        <w:tc>
          <w:tcPr>
            <w:tcW w:w="705" w:type="dxa"/>
            <w:tcBorders>
              <w:top w:val="nil"/>
              <w:left w:val="nil"/>
              <w:bottom w:val="single" w:sz="4" w:space="0" w:color="auto"/>
              <w:right w:val="single" w:sz="4" w:space="0" w:color="auto"/>
            </w:tcBorders>
            <w:shd w:val="clear" w:color="auto" w:fill="auto"/>
            <w:vAlign w:val="center"/>
            <w:hideMark/>
          </w:tcPr>
          <w:p w14:paraId="7333878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4.5%</w:t>
            </w:r>
          </w:p>
        </w:tc>
        <w:tc>
          <w:tcPr>
            <w:tcW w:w="1416" w:type="dxa"/>
            <w:tcBorders>
              <w:top w:val="nil"/>
              <w:left w:val="nil"/>
              <w:bottom w:val="single" w:sz="4" w:space="0" w:color="auto"/>
              <w:right w:val="single" w:sz="4" w:space="0" w:color="auto"/>
            </w:tcBorders>
            <w:shd w:val="clear" w:color="auto" w:fill="auto"/>
            <w:vAlign w:val="center"/>
            <w:hideMark/>
          </w:tcPr>
          <w:p w14:paraId="1AE3EAA4"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111" w:type="dxa"/>
            <w:tcBorders>
              <w:top w:val="nil"/>
              <w:left w:val="nil"/>
              <w:bottom w:val="single" w:sz="4" w:space="0" w:color="auto"/>
              <w:right w:val="single" w:sz="4" w:space="0" w:color="auto"/>
            </w:tcBorders>
            <w:shd w:val="clear" w:color="auto" w:fill="auto"/>
            <w:vAlign w:val="center"/>
            <w:hideMark/>
          </w:tcPr>
          <w:p w14:paraId="34AD54E5"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32,977</w:t>
            </w:r>
          </w:p>
        </w:tc>
        <w:tc>
          <w:tcPr>
            <w:tcW w:w="733" w:type="dxa"/>
            <w:tcBorders>
              <w:top w:val="nil"/>
              <w:left w:val="nil"/>
              <w:bottom w:val="single" w:sz="4" w:space="0" w:color="auto"/>
              <w:right w:val="single" w:sz="4" w:space="0" w:color="auto"/>
            </w:tcBorders>
            <w:shd w:val="clear" w:color="auto" w:fill="auto"/>
            <w:vAlign w:val="center"/>
            <w:hideMark/>
          </w:tcPr>
          <w:p w14:paraId="789E9B52"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11.1%</w:t>
            </w:r>
          </w:p>
        </w:tc>
      </w:tr>
      <w:tr w:rsidR="00BF168C" w:rsidRPr="00EE5714" w14:paraId="40B09A15" w14:textId="77777777" w:rsidTr="0014664B">
        <w:trPr>
          <w:trHeight w:val="298"/>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264618F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12,530</w:t>
            </w:r>
          </w:p>
        </w:tc>
        <w:tc>
          <w:tcPr>
            <w:tcW w:w="895" w:type="dxa"/>
            <w:tcBorders>
              <w:top w:val="nil"/>
              <w:left w:val="nil"/>
              <w:bottom w:val="single" w:sz="4" w:space="0" w:color="auto"/>
              <w:right w:val="single" w:sz="4" w:space="0" w:color="auto"/>
            </w:tcBorders>
            <w:shd w:val="clear" w:color="auto" w:fill="auto"/>
            <w:vAlign w:val="center"/>
            <w:hideMark/>
          </w:tcPr>
          <w:p w14:paraId="6A39615F"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w:t>
            </w:r>
          </w:p>
        </w:tc>
        <w:tc>
          <w:tcPr>
            <w:tcW w:w="1095" w:type="dxa"/>
            <w:tcBorders>
              <w:top w:val="nil"/>
              <w:left w:val="nil"/>
              <w:bottom w:val="single" w:sz="4" w:space="0" w:color="auto"/>
              <w:right w:val="single" w:sz="4" w:space="0" w:color="auto"/>
            </w:tcBorders>
            <w:shd w:val="clear" w:color="auto" w:fill="auto"/>
            <w:vAlign w:val="center"/>
            <w:hideMark/>
          </w:tcPr>
          <w:p w14:paraId="365973F2"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20C1DD1D" w14:textId="77777777" w:rsidR="00BF168C" w:rsidRPr="00EE5714" w:rsidRDefault="00BF168C" w:rsidP="00BF168C">
            <w:pPr>
              <w:spacing w:after="0" w:line="240" w:lineRule="auto"/>
              <w:rPr>
                <w:rFonts w:ascii="Calibri" w:eastAsia="Times New Roman" w:hAnsi="Calibri" w:cs="Calibri"/>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484C5EFA"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911" w:type="dxa"/>
            <w:tcBorders>
              <w:top w:val="nil"/>
              <w:left w:val="nil"/>
              <w:bottom w:val="single" w:sz="4" w:space="0" w:color="auto"/>
              <w:right w:val="single" w:sz="4" w:space="0" w:color="auto"/>
            </w:tcBorders>
            <w:shd w:val="clear" w:color="auto" w:fill="auto"/>
            <w:vAlign w:val="center"/>
            <w:hideMark/>
          </w:tcPr>
          <w:p w14:paraId="34E47490"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33,386</w:t>
            </w:r>
          </w:p>
        </w:tc>
        <w:tc>
          <w:tcPr>
            <w:tcW w:w="705" w:type="dxa"/>
            <w:tcBorders>
              <w:top w:val="nil"/>
              <w:left w:val="nil"/>
              <w:bottom w:val="single" w:sz="4" w:space="0" w:color="auto"/>
              <w:right w:val="single" w:sz="4" w:space="0" w:color="auto"/>
            </w:tcBorders>
            <w:shd w:val="clear" w:color="auto" w:fill="auto"/>
            <w:vAlign w:val="center"/>
            <w:hideMark/>
          </w:tcPr>
          <w:p w14:paraId="3B5886B0"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w:t>
            </w:r>
          </w:p>
        </w:tc>
        <w:tc>
          <w:tcPr>
            <w:tcW w:w="1416" w:type="dxa"/>
            <w:tcBorders>
              <w:top w:val="nil"/>
              <w:left w:val="nil"/>
              <w:bottom w:val="single" w:sz="4" w:space="0" w:color="auto"/>
              <w:right w:val="single" w:sz="4" w:space="0" w:color="auto"/>
            </w:tcBorders>
            <w:shd w:val="clear" w:color="auto" w:fill="auto"/>
            <w:vAlign w:val="center"/>
            <w:hideMark/>
          </w:tcPr>
          <w:p w14:paraId="4E33E7A0"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111" w:type="dxa"/>
            <w:tcBorders>
              <w:top w:val="nil"/>
              <w:left w:val="nil"/>
              <w:bottom w:val="single" w:sz="4" w:space="0" w:color="auto"/>
              <w:right w:val="single" w:sz="4" w:space="0" w:color="auto"/>
            </w:tcBorders>
            <w:shd w:val="clear" w:color="auto" w:fill="auto"/>
            <w:vAlign w:val="center"/>
            <w:hideMark/>
          </w:tcPr>
          <w:p w14:paraId="3849CF39"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42,347</w:t>
            </w:r>
          </w:p>
        </w:tc>
        <w:tc>
          <w:tcPr>
            <w:tcW w:w="733" w:type="dxa"/>
            <w:tcBorders>
              <w:top w:val="nil"/>
              <w:left w:val="nil"/>
              <w:bottom w:val="single" w:sz="4" w:space="0" w:color="auto"/>
              <w:right w:val="single" w:sz="4" w:space="0" w:color="auto"/>
            </w:tcBorders>
            <w:shd w:val="clear" w:color="auto" w:fill="auto"/>
            <w:vAlign w:val="center"/>
            <w:hideMark/>
          </w:tcPr>
          <w:p w14:paraId="029F9F58"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14.2%</w:t>
            </w:r>
          </w:p>
        </w:tc>
      </w:tr>
      <w:tr w:rsidR="00BF168C" w:rsidRPr="00EE5714" w14:paraId="3E9A64E9" w14:textId="77777777" w:rsidTr="0014664B">
        <w:trPr>
          <w:trHeight w:val="298"/>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5213EA6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4,515</w:t>
            </w:r>
          </w:p>
        </w:tc>
        <w:tc>
          <w:tcPr>
            <w:tcW w:w="895" w:type="dxa"/>
            <w:tcBorders>
              <w:top w:val="nil"/>
              <w:left w:val="nil"/>
              <w:bottom w:val="single" w:sz="4" w:space="0" w:color="auto"/>
              <w:right w:val="single" w:sz="4" w:space="0" w:color="auto"/>
            </w:tcBorders>
            <w:shd w:val="clear" w:color="auto" w:fill="auto"/>
            <w:vAlign w:val="center"/>
            <w:hideMark/>
          </w:tcPr>
          <w:p w14:paraId="61153D6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w:t>
            </w:r>
          </w:p>
        </w:tc>
        <w:tc>
          <w:tcPr>
            <w:tcW w:w="1095" w:type="dxa"/>
            <w:tcBorders>
              <w:top w:val="nil"/>
              <w:left w:val="nil"/>
              <w:bottom w:val="single" w:sz="4" w:space="0" w:color="auto"/>
              <w:right w:val="single" w:sz="4" w:space="0" w:color="auto"/>
            </w:tcBorders>
            <w:shd w:val="clear" w:color="auto" w:fill="auto"/>
            <w:vAlign w:val="center"/>
            <w:hideMark/>
          </w:tcPr>
          <w:p w14:paraId="06E252A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338A3C52" w14:textId="77777777" w:rsidR="00BF168C" w:rsidRPr="00EE5714" w:rsidRDefault="00BF168C" w:rsidP="00BF168C">
            <w:pPr>
              <w:spacing w:after="0" w:line="240" w:lineRule="auto"/>
              <w:rPr>
                <w:rFonts w:ascii="Calibri" w:eastAsia="Times New Roman" w:hAnsi="Calibri" w:cs="Calibri"/>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5938D33B"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911" w:type="dxa"/>
            <w:tcBorders>
              <w:top w:val="nil"/>
              <w:left w:val="nil"/>
              <w:bottom w:val="single" w:sz="4" w:space="0" w:color="auto"/>
              <w:right w:val="single" w:sz="4" w:space="0" w:color="auto"/>
            </w:tcBorders>
            <w:shd w:val="clear" w:color="auto" w:fill="auto"/>
            <w:vAlign w:val="center"/>
            <w:hideMark/>
          </w:tcPr>
          <w:p w14:paraId="740C562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48,458</w:t>
            </w:r>
          </w:p>
        </w:tc>
        <w:tc>
          <w:tcPr>
            <w:tcW w:w="705" w:type="dxa"/>
            <w:tcBorders>
              <w:top w:val="nil"/>
              <w:left w:val="nil"/>
              <w:bottom w:val="single" w:sz="4" w:space="0" w:color="auto"/>
              <w:right w:val="single" w:sz="4" w:space="0" w:color="auto"/>
            </w:tcBorders>
            <w:shd w:val="clear" w:color="auto" w:fill="auto"/>
            <w:vAlign w:val="center"/>
            <w:hideMark/>
          </w:tcPr>
          <w:p w14:paraId="1852CABA"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7.0%</w:t>
            </w:r>
          </w:p>
        </w:tc>
        <w:tc>
          <w:tcPr>
            <w:tcW w:w="1416" w:type="dxa"/>
            <w:tcBorders>
              <w:top w:val="nil"/>
              <w:left w:val="nil"/>
              <w:bottom w:val="single" w:sz="4" w:space="0" w:color="auto"/>
              <w:right w:val="single" w:sz="4" w:space="0" w:color="auto"/>
            </w:tcBorders>
            <w:shd w:val="clear" w:color="auto" w:fill="auto"/>
            <w:vAlign w:val="center"/>
            <w:hideMark/>
          </w:tcPr>
          <w:p w14:paraId="3B37F50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111" w:type="dxa"/>
            <w:tcBorders>
              <w:top w:val="nil"/>
              <w:left w:val="nil"/>
              <w:bottom w:val="single" w:sz="4" w:space="0" w:color="auto"/>
              <w:right w:val="single" w:sz="4" w:space="0" w:color="auto"/>
            </w:tcBorders>
            <w:shd w:val="clear" w:color="auto" w:fill="auto"/>
            <w:vAlign w:val="center"/>
            <w:hideMark/>
          </w:tcPr>
          <w:p w14:paraId="6CC09F07"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55,024</w:t>
            </w:r>
          </w:p>
        </w:tc>
        <w:tc>
          <w:tcPr>
            <w:tcW w:w="733" w:type="dxa"/>
            <w:tcBorders>
              <w:top w:val="nil"/>
              <w:left w:val="nil"/>
              <w:bottom w:val="single" w:sz="4" w:space="0" w:color="auto"/>
              <w:right w:val="single" w:sz="4" w:space="0" w:color="auto"/>
            </w:tcBorders>
            <w:shd w:val="clear" w:color="auto" w:fill="auto"/>
            <w:vAlign w:val="center"/>
            <w:hideMark/>
          </w:tcPr>
          <w:p w14:paraId="34A1CF4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w:t>
            </w:r>
          </w:p>
        </w:tc>
      </w:tr>
      <w:tr w:rsidR="00BF168C" w:rsidRPr="00EE5714" w14:paraId="7FCB021C" w14:textId="77777777" w:rsidTr="0014664B">
        <w:trPr>
          <w:trHeight w:val="298"/>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441E115E"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2,348</w:t>
            </w:r>
          </w:p>
        </w:tc>
        <w:tc>
          <w:tcPr>
            <w:tcW w:w="895" w:type="dxa"/>
            <w:tcBorders>
              <w:top w:val="nil"/>
              <w:left w:val="nil"/>
              <w:bottom w:val="single" w:sz="4" w:space="0" w:color="auto"/>
              <w:right w:val="single" w:sz="4" w:space="0" w:color="auto"/>
            </w:tcBorders>
            <w:shd w:val="clear" w:color="auto" w:fill="auto"/>
            <w:vAlign w:val="center"/>
            <w:hideMark/>
          </w:tcPr>
          <w:p w14:paraId="508D0B0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0.8%</w:t>
            </w:r>
          </w:p>
        </w:tc>
        <w:tc>
          <w:tcPr>
            <w:tcW w:w="1095" w:type="dxa"/>
            <w:tcBorders>
              <w:top w:val="nil"/>
              <w:left w:val="nil"/>
              <w:bottom w:val="single" w:sz="4" w:space="0" w:color="auto"/>
              <w:right w:val="single" w:sz="4" w:space="0" w:color="auto"/>
            </w:tcBorders>
            <w:shd w:val="clear" w:color="auto" w:fill="auto"/>
            <w:vAlign w:val="center"/>
            <w:hideMark/>
          </w:tcPr>
          <w:p w14:paraId="4DEC069F"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72C6D2C2" w14:textId="77777777" w:rsidR="00BF168C" w:rsidRPr="00EE5714" w:rsidRDefault="00BF168C" w:rsidP="00BF168C">
            <w:pPr>
              <w:spacing w:after="0" w:line="240" w:lineRule="auto"/>
              <w:rPr>
                <w:rFonts w:ascii="Calibri" w:eastAsia="Times New Roman" w:hAnsi="Calibri" w:cs="Calibri"/>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509043E0"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911" w:type="dxa"/>
            <w:tcBorders>
              <w:top w:val="nil"/>
              <w:left w:val="nil"/>
              <w:bottom w:val="single" w:sz="4" w:space="0" w:color="auto"/>
              <w:right w:val="single" w:sz="4" w:space="0" w:color="auto"/>
            </w:tcBorders>
            <w:shd w:val="clear" w:color="auto" w:fill="auto"/>
            <w:vAlign w:val="center"/>
            <w:hideMark/>
          </w:tcPr>
          <w:p w14:paraId="4988DBB0"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20,259</w:t>
            </w:r>
          </w:p>
        </w:tc>
        <w:tc>
          <w:tcPr>
            <w:tcW w:w="705" w:type="dxa"/>
            <w:tcBorders>
              <w:top w:val="nil"/>
              <w:left w:val="nil"/>
              <w:bottom w:val="single" w:sz="4" w:space="0" w:color="auto"/>
              <w:right w:val="single" w:sz="4" w:space="0" w:color="auto"/>
            </w:tcBorders>
            <w:shd w:val="clear" w:color="auto" w:fill="auto"/>
            <w:vAlign w:val="center"/>
            <w:hideMark/>
          </w:tcPr>
          <w:p w14:paraId="2260DDAF"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w:t>
            </w:r>
          </w:p>
        </w:tc>
        <w:tc>
          <w:tcPr>
            <w:tcW w:w="1416" w:type="dxa"/>
            <w:tcBorders>
              <w:top w:val="nil"/>
              <w:left w:val="nil"/>
              <w:bottom w:val="single" w:sz="4" w:space="0" w:color="auto"/>
              <w:right w:val="single" w:sz="4" w:space="0" w:color="auto"/>
            </w:tcBorders>
            <w:shd w:val="clear" w:color="auto" w:fill="auto"/>
            <w:vAlign w:val="center"/>
            <w:hideMark/>
          </w:tcPr>
          <w:p w14:paraId="792547E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111" w:type="dxa"/>
            <w:tcBorders>
              <w:top w:val="nil"/>
              <w:left w:val="nil"/>
              <w:bottom w:val="single" w:sz="4" w:space="0" w:color="auto"/>
              <w:right w:val="single" w:sz="4" w:space="0" w:color="auto"/>
            </w:tcBorders>
            <w:shd w:val="clear" w:color="auto" w:fill="auto"/>
            <w:vAlign w:val="center"/>
            <w:hideMark/>
          </w:tcPr>
          <w:p w14:paraId="2643839E"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36,137</w:t>
            </w:r>
          </w:p>
        </w:tc>
        <w:tc>
          <w:tcPr>
            <w:tcW w:w="733" w:type="dxa"/>
            <w:tcBorders>
              <w:top w:val="nil"/>
              <w:left w:val="nil"/>
              <w:bottom w:val="single" w:sz="4" w:space="0" w:color="auto"/>
              <w:right w:val="single" w:sz="4" w:space="0" w:color="auto"/>
            </w:tcBorders>
            <w:shd w:val="clear" w:color="auto" w:fill="auto"/>
            <w:vAlign w:val="center"/>
            <w:hideMark/>
          </w:tcPr>
          <w:p w14:paraId="071D0810"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12.2%</w:t>
            </w:r>
          </w:p>
        </w:tc>
      </w:tr>
      <w:tr w:rsidR="00BF168C" w:rsidRPr="00EE5714" w14:paraId="6AA4A8EC" w14:textId="77777777" w:rsidTr="0014664B">
        <w:trPr>
          <w:trHeight w:val="298"/>
          <w:jc w:val="center"/>
        </w:trPr>
        <w:tc>
          <w:tcPr>
            <w:tcW w:w="1174" w:type="dxa"/>
            <w:tcBorders>
              <w:top w:val="nil"/>
              <w:left w:val="single" w:sz="4" w:space="0" w:color="auto"/>
              <w:bottom w:val="single" w:sz="4" w:space="0" w:color="auto"/>
              <w:right w:val="single" w:sz="4" w:space="0" w:color="auto"/>
            </w:tcBorders>
            <w:shd w:val="clear" w:color="000000" w:fill="E7E6E6"/>
            <w:vAlign w:val="center"/>
            <w:hideMark/>
          </w:tcPr>
          <w:p w14:paraId="2A1CE422"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37.80%</w:t>
            </w:r>
          </w:p>
        </w:tc>
        <w:tc>
          <w:tcPr>
            <w:tcW w:w="895" w:type="dxa"/>
            <w:tcBorders>
              <w:top w:val="nil"/>
              <w:left w:val="nil"/>
              <w:bottom w:val="single" w:sz="4" w:space="0" w:color="auto"/>
              <w:right w:val="single" w:sz="4" w:space="0" w:color="auto"/>
            </w:tcBorders>
            <w:shd w:val="clear" w:color="000000" w:fill="E7E6E6"/>
            <w:vAlign w:val="center"/>
            <w:hideMark/>
          </w:tcPr>
          <w:p w14:paraId="3168BED9"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190"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1A6E6426"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1804CD10"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911" w:type="dxa"/>
            <w:tcBorders>
              <w:top w:val="nil"/>
              <w:left w:val="nil"/>
              <w:bottom w:val="single" w:sz="4" w:space="0" w:color="auto"/>
              <w:right w:val="single" w:sz="4" w:space="0" w:color="auto"/>
            </w:tcBorders>
            <w:shd w:val="clear" w:color="auto" w:fill="auto"/>
            <w:vAlign w:val="center"/>
            <w:hideMark/>
          </w:tcPr>
          <w:p w14:paraId="0B3BAEB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452,768</w:t>
            </w:r>
          </w:p>
        </w:tc>
        <w:tc>
          <w:tcPr>
            <w:tcW w:w="705" w:type="dxa"/>
            <w:tcBorders>
              <w:top w:val="nil"/>
              <w:left w:val="nil"/>
              <w:bottom w:val="single" w:sz="4" w:space="0" w:color="auto"/>
              <w:right w:val="single" w:sz="4" w:space="0" w:color="auto"/>
            </w:tcBorders>
            <w:shd w:val="clear" w:color="auto" w:fill="auto"/>
            <w:vAlign w:val="center"/>
            <w:hideMark/>
          </w:tcPr>
          <w:p w14:paraId="0BA9618B"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65.7%</w:t>
            </w:r>
          </w:p>
        </w:tc>
        <w:tc>
          <w:tcPr>
            <w:tcW w:w="1416" w:type="dxa"/>
            <w:tcBorders>
              <w:top w:val="nil"/>
              <w:left w:val="nil"/>
              <w:bottom w:val="single" w:sz="4" w:space="0" w:color="auto"/>
              <w:right w:val="single" w:sz="4" w:space="0" w:color="auto"/>
            </w:tcBorders>
            <w:shd w:val="clear" w:color="auto" w:fill="auto"/>
            <w:vAlign w:val="center"/>
            <w:hideMark/>
          </w:tcPr>
          <w:p w14:paraId="7C0FCF89"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111" w:type="dxa"/>
            <w:tcBorders>
              <w:top w:val="nil"/>
              <w:left w:val="nil"/>
              <w:bottom w:val="single" w:sz="4" w:space="0" w:color="auto"/>
              <w:right w:val="single" w:sz="4" w:space="0" w:color="auto"/>
            </w:tcBorders>
            <w:shd w:val="clear" w:color="auto" w:fill="auto"/>
            <w:vAlign w:val="center"/>
            <w:hideMark/>
          </w:tcPr>
          <w:p w14:paraId="0599A3E6"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35,800</w:t>
            </w:r>
          </w:p>
        </w:tc>
        <w:tc>
          <w:tcPr>
            <w:tcW w:w="733" w:type="dxa"/>
            <w:tcBorders>
              <w:top w:val="nil"/>
              <w:left w:val="nil"/>
              <w:bottom w:val="single" w:sz="4" w:space="0" w:color="auto"/>
              <w:right w:val="single" w:sz="4" w:space="0" w:color="auto"/>
            </w:tcBorders>
            <w:shd w:val="clear" w:color="auto" w:fill="auto"/>
            <w:vAlign w:val="center"/>
            <w:hideMark/>
          </w:tcPr>
          <w:p w14:paraId="72315C09"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12.0%</w:t>
            </w:r>
          </w:p>
        </w:tc>
      </w:tr>
      <w:tr w:rsidR="00BF168C" w:rsidRPr="00EE5714" w14:paraId="7463351E" w14:textId="77777777" w:rsidTr="0014664B">
        <w:trPr>
          <w:trHeight w:val="298"/>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49F1560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92,507</w:t>
            </w:r>
          </w:p>
        </w:tc>
        <w:tc>
          <w:tcPr>
            <w:tcW w:w="895" w:type="dxa"/>
            <w:tcBorders>
              <w:top w:val="nil"/>
              <w:left w:val="nil"/>
              <w:bottom w:val="single" w:sz="4" w:space="0" w:color="auto"/>
              <w:right w:val="single" w:sz="4" w:space="0" w:color="auto"/>
            </w:tcBorders>
            <w:shd w:val="clear" w:color="auto" w:fill="auto"/>
            <w:vAlign w:val="center"/>
            <w:hideMark/>
          </w:tcPr>
          <w:p w14:paraId="4A7F1547"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32.0%</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0860157F"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69254E4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32.0%</w:t>
            </w:r>
          </w:p>
        </w:tc>
        <w:tc>
          <w:tcPr>
            <w:tcW w:w="1526" w:type="dxa"/>
            <w:tcBorders>
              <w:top w:val="nil"/>
              <w:left w:val="nil"/>
              <w:bottom w:val="single" w:sz="4" w:space="0" w:color="auto"/>
              <w:right w:val="single" w:sz="4" w:space="0" w:color="auto"/>
            </w:tcBorders>
            <w:shd w:val="clear" w:color="auto" w:fill="auto"/>
            <w:vAlign w:val="center"/>
            <w:hideMark/>
          </w:tcPr>
          <w:p w14:paraId="5739BD68"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911" w:type="dxa"/>
            <w:tcBorders>
              <w:top w:val="nil"/>
              <w:left w:val="nil"/>
              <w:bottom w:val="single" w:sz="4" w:space="0" w:color="auto"/>
              <w:right w:val="single" w:sz="4" w:space="0" w:color="auto"/>
            </w:tcBorders>
            <w:shd w:val="clear" w:color="auto" w:fill="auto"/>
            <w:vAlign w:val="center"/>
            <w:hideMark/>
          </w:tcPr>
          <w:p w14:paraId="5D242C06"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689,318</w:t>
            </w:r>
          </w:p>
        </w:tc>
        <w:tc>
          <w:tcPr>
            <w:tcW w:w="705" w:type="dxa"/>
            <w:tcBorders>
              <w:top w:val="nil"/>
              <w:left w:val="nil"/>
              <w:bottom w:val="single" w:sz="4" w:space="0" w:color="auto"/>
              <w:right w:val="single" w:sz="4" w:space="0" w:color="auto"/>
            </w:tcBorders>
            <w:shd w:val="clear" w:color="auto" w:fill="auto"/>
            <w:vAlign w:val="center"/>
            <w:hideMark/>
          </w:tcPr>
          <w:p w14:paraId="4FB9DBF0"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416" w:type="dxa"/>
            <w:tcBorders>
              <w:top w:val="nil"/>
              <w:left w:val="nil"/>
              <w:bottom w:val="single" w:sz="4" w:space="0" w:color="auto"/>
              <w:right w:val="single" w:sz="4" w:space="0" w:color="auto"/>
            </w:tcBorders>
            <w:shd w:val="clear" w:color="auto" w:fill="auto"/>
            <w:vAlign w:val="center"/>
            <w:hideMark/>
          </w:tcPr>
          <w:p w14:paraId="28376666"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111" w:type="dxa"/>
            <w:tcBorders>
              <w:top w:val="nil"/>
              <w:left w:val="nil"/>
              <w:bottom w:val="single" w:sz="4" w:space="0" w:color="auto"/>
              <w:right w:val="single" w:sz="4" w:space="0" w:color="auto"/>
            </w:tcBorders>
            <w:shd w:val="clear" w:color="auto" w:fill="auto"/>
            <w:vAlign w:val="center"/>
            <w:hideMark/>
          </w:tcPr>
          <w:p w14:paraId="70601338"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10,867</w:t>
            </w:r>
          </w:p>
        </w:tc>
        <w:tc>
          <w:tcPr>
            <w:tcW w:w="733" w:type="dxa"/>
            <w:tcBorders>
              <w:top w:val="nil"/>
              <w:left w:val="nil"/>
              <w:bottom w:val="single" w:sz="4" w:space="0" w:color="auto"/>
              <w:right w:val="single" w:sz="4" w:space="0" w:color="auto"/>
            </w:tcBorders>
            <w:shd w:val="clear" w:color="auto" w:fill="auto"/>
            <w:vAlign w:val="center"/>
            <w:hideMark/>
          </w:tcPr>
          <w:p w14:paraId="30CE4614"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3.7%</w:t>
            </w:r>
          </w:p>
        </w:tc>
      </w:tr>
      <w:tr w:rsidR="00BF168C" w:rsidRPr="00EE5714" w14:paraId="58E993FA" w14:textId="77777777" w:rsidTr="0014664B">
        <w:trPr>
          <w:trHeight w:val="298"/>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1CF9C785"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13,972</w:t>
            </w:r>
          </w:p>
        </w:tc>
        <w:tc>
          <w:tcPr>
            <w:tcW w:w="895" w:type="dxa"/>
            <w:tcBorders>
              <w:top w:val="nil"/>
              <w:left w:val="nil"/>
              <w:bottom w:val="single" w:sz="4" w:space="0" w:color="auto"/>
              <w:right w:val="single" w:sz="4" w:space="0" w:color="auto"/>
            </w:tcBorders>
            <w:shd w:val="clear" w:color="auto" w:fill="auto"/>
            <w:vAlign w:val="center"/>
            <w:hideMark/>
          </w:tcPr>
          <w:p w14:paraId="35680A77"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w:t>
            </w:r>
          </w:p>
        </w:tc>
        <w:tc>
          <w:tcPr>
            <w:tcW w:w="1095" w:type="dxa"/>
            <w:tcBorders>
              <w:top w:val="nil"/>
              <w:left w:val="nil"/>
              <w:bottom w:val="single" w:sz="4" w:space="0" w:color="auto"/>
              <w:right w:val="single" w:sz="4" w:space="0" w:color="auto"/>
            </w:tcBorders>
            <w:shd w:val="clear" w:color="auto" w:fill="auto"/>
            <w:vAlign w:val="center"/>
            <w:hideMark/>
          </w:tcPr>
          <w:p w14:paraId="73664634"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95" w:type="dxa"/>
            <w:tcBorders>
              <w:top w:val="nil"/>
              <w:left w:val="nil"/>
              <w:bottom w:val="single" w:sz="4" w:space="0" w:color="auto"/>
              <w:right w:val="single" w:sz="4" w:space="0" w:color="auto"/>
            </w:tcBorders>
            <w:shd w:val="clear" w:color="auto" w:fill="auto"/>
            <w:vAlign w:val="center"/>
            <w:hideMark/>
          </w:tcPr>
          <w:p w14:paraId="35A023F7"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34.7%</w:t>
            </w:r>
          </w:p>
        </w:tc>
        <w:tc>
          <w:tcPr>
            <w:tcW w:w="314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B9083EF"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14:paraId="5222536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111" w:type="dxa"/>
            <w:tcBorders>
              <w:top w:val="nil"/>
              <w:left w:val="nil"/>
              <w:bottom w:val="single" w:sz="4" w:space="0" w:color="auto"/>
              <w:right w:val="single" w:sz="4" w:space="0" w:color="auto"/>
            </w:tcBorders>
            <w:shd w:val="clear" w:color="auto" w:fill="auto"/>
            <w:vAlign w:val="center"/>
            <w:hideMark/>
          </w:tcPr>
          <w:p w14:paraId="09E729C8"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10,089</w:t>
            </w:r>
          </w:p>
        </w:tc>
        <w:tc>
          <w:tcPr>
            <w:tcW w:w="733" w:type="dxa"/>
            <w:tcBorders>
              <w:top w:val="nil"/>
              <w:left w:val="nil"/>
              <w:bottom w:val="single" w:sz="4" w:space="0" w:color="auto"/>
              <w:right w:val="single" w:sz="4" w:space="0" w:color="auto"/>
            </w:tcBorders>
            <w:shd w:val="clear" w:color="auto" w:fill="auto"/>
            <w:vAlign w:val="center"/>
            <w:hideMark/>
          </w:tcPr>
          <w:p w14:paraId="043AA57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w:t>
            </w:r>
          </w:p>
        </w:tc>
      </w:tr>
      <w:tr w:rsidR="00BF168C" w:rsidRPr="00EE5714" w14:paraId="27A7FA23" w14:textId="77777777" w:rsidTr="0014664B">
        <w:trPr>
          <w:trHeight w:val="507"/>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13DEB2F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1,831</w:t>
            </w:r>
          </w:p>
        </w:tc>
        <w:tc>
          <w:tcPr>
            <w:tcW w:w="895" w:type="dxa"/>
            <w:tcBorders>
              <w:top w:val="nil"/>
              <w:left w:val="nil"/>
              <w:bottom w:val="single" w:sz="4" w:space="0" w:color="auto"/>
              <w:right w:val="single" w:sz="4" w:space="0" w:color="auto"/>
            </w:tcBorders>
            <w:shd w:val="clear" w:color="auto" w:fill="auto"/>
            <w:vAlign w:val="center"/>
            <w:hideMark/>
          </w:tcPr>
          <w:p w14:paraId="61838836"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095" w:type="dxa"/>
            <w:tcBorders>
              <w:top w:val="nil"/>
              <w:left w:val="nil"/>
              <w:bottom w:val="single" w:sz="4" w:space="0" w:color="auto"/>
              <w:right w:val="single" w:sz="4" w:space="0" w:color="auto"/>
            </w:tcBorders>
            <w:shd w:val="clear" w:color="auto" w:fill="auto"/>
            <w:vAlign w:val="center"/>
            <w:hideMark/>
          </w:tcPr>
          <w:p w14:paraId="0E0D7675"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95" w:type="dxa"/>
            <w:tcBorders>
              <w:top w:val="nil"/>
              <w:left w:val="nil"/>
              <w:bottom w:val="single" w:sz="4" w:space="0" w:color="auto"/>
              <w:right w:val="single" w:sz="4" w:space="0" w:color="auto"/>
            </w:tcBorders>
            <w:shd w:val="clear" w:color="auto" w:fill="auto"/>
            <w:vAlign w:val="center"/>
            <w:hideMark/>
          </w:tcPr>
          <w:p w14:paraId="35861D2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w:t>
            </w:r>
          </w:p>
        </w:tc>
        <w:tc>
          <w:tcPr>
            <w:tcW w:w="1526" w:type="dxa"/>
            <w:tcBorders>
              <w:top w:val="single" w:sz="4" w:space="0" w:color="auto"/>
              <w:left w:val="nil"/>
              <w:bottom w:val="single" w:sz="4" w:space="0" w:color="auto"/>
              <w:right w:val="single" w:sz="4" w:space="0" w:color="auto"/>
            </w:tcBorders>
            <w:shd w:val="clear" w:color="000000" w:fill="E7E6E6"/>
            <w:vAlign w:val="center"/>
            <w:hideMark/>
          </w:tcPr>
          <w:p w14:paraId="75183E6C"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911" w:type="dxa"/>
            <w:tcBorders>
              <w:top w:val="single" w:sz="4" w:space="0" w:color="auto"/>
              <w:left w:val="nil"/>
              <w:bottom w:val="single" w:sz="4" w:space="0" w:color="auto"/>
              <w:right w:val="single" w:sz="4" w:space="0" w:color="auto"/>
            </w:tcBorders>
            <w:shd w:val="clear" w:color="000000" w:fill="E7E6E6"/>
            <w:vAlign w:val="center"/>
            <w:hideMark/>
          </w:tcPr>
          <w:p w14:paraId="3E1FA15B"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05" w:type="dxa"/>
            <w:tcBorders>
              <w:top w:val="single" w:sz="4" w:space="0" w:color="auto"/>
              <w:left w:val="nil"/>
              <w:bottom w:val="single" w:sz="4" w:space="0" w:color="auto"/>
              <w:right w:val="single" w:sz="4" w:space="0" w:color="auto"/>
            </w:tcBorders>
            <w:shd w:val="clear" w:color="000000" w:fill="E7E6E6"/>
            <w:vAlign w:val="center"/>
            <w:hideMark/>
          </w:tcPr>
          <w:p w14:paraId="5E7DFE18"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416" w:type="dxa"/>
            <w:tcBorders>
              <w:top w:val="nil"/>
              <w:left w:val="nil"/>
              <w:bottom w:val="single" w:sz="4" w:space="0" w:color="auto"/>
              <w:right w:val="single" w:sz="4" w:space="0" w:color="auto"/>
            </w:tcBorders>
            <w:shd w:val="clear" w:color="auto" w:fill="auto"/>
            <w:vAlign w:val="center"/>
            <w:hideMark/>
          </w:tcPr>
          <w:p w14:paraId="2289B6F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14:paraId="183DBA57"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297,208</w:t>
            </w:r>
          </w:p>
        </w:tc>
        <w:tc>
          <w:tcPr>
            <w:tcW w:w="733" w:type="dxa"/>
            <w:tcBorders>
              <w:top w:val="nil"/>
              <w:left w:val="nil"/>
              <w:bottom w:val="single" w:sz="4" w:space="0" w:color="auto"/>
              <w:right w:val="single" w:sz="4" w:space="0" w:color="auto"/>
            </w:tcBorders>
            <w:shd w:val="clear" w:color="auto" w:fill="auto"/>
            <w:vAlign w:val="center"/>
            <w:hideMark/>
          </w:tcPr>
          <w:p w14:paraId="13225873"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BF168C" w:rsidRPr="00EE5714" w14:paraId="661EF47E" w14:textId="77777777" w:rsidTr="0014664B">
        <w:trPr>
          <w:trHeight w:val="298"/>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7233D9B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652</w:t>
            </w:r>
          </w:p>
        </w:tc>
        <w:tc>
          <w:tcPr>
            <w:tcW w:w="895" w:type="dxa"/>
            <w:tcBorders>
              <w:top w:val="nil"/>
              <w:left w:val="nil"/>
              <w:bottom w:val="single" w:sz="4" w:space="0" w:color="auto"/>
              <w:right w:val="single" w:sz="4" w:space="0" w:color="auto"/>
            </w:tcBorders>
            <w:shd w:val="clear" w:color="auto" w:fill="auto"/>
            <w:vAlign w:val="center"/>
            <w:hideMark/>
          </w:tcPr>
          <w:p w14:paraId="4A33585B"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0.2%</w:t>
            </w:r>
          </w:p>
        </w:tc>
        <w:tc>
          <w:tcPr>
            <w:tcW w:w="1095" w:type="dxa"/>
            <w:tcBorders>
              <w:top w:val="nil"/>
              <w:left w:val="nil"/>
              <w:bottom w:val="single" w:sz="4" w:space="0" w:color="auto"/>
              <w:right w:val="single" w:sz="4" w:space="0" w:color="auto"/>
            </w:tcBorders>
            <w:shd w:val="clear" w:color="auto" w:fill="auto"/>
            <w:vAlign w:val="center"/>
            <w:hideMark/>
          </w:tcPr>
          <w:p w14:paraId="2ED17B0B"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95" w:type="dxa"/>
            <w:tcBorders>
              <w:top w:val="nil"/>
              <w:left w:val="nil"/>
              <w:bottom w:val="single" w:sz="4" w:space="0" w:color="auto"/>
              <w:right w:val="single" w:sz="4" w:space="0" w:color="auto"/>
            </w:tcBorders>
            <w:shd w:val="clear" w:color="auto" w:fill="auto"/>
            <w:vAlign w:val="center"/>
            <w:hideMark/>
          </w:tcPr>
          <w:p w14:paraId="356A229F"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11.5%</w:t>
            </w:r>
          </w:p>
        </w:tc>
        <w:tc>
          <w:tcPr>
            <w:tcW w:w="1526" w:type="dxa"/>
            <w:tcBorders>
              <w:top w:val="nil"/>
              <w:left w:val="nil"/>
              <w:bottom w:val="single" w:sz="4" w:space="0" w:color="auto"/>
              <w:right w:val="single" w:sz="4" w:space="0" w:color="auto"/>
            </w:tcBorders>
            <w:shd w:val="clear" w:color="auto" w:fill="auto"/>
            <w:vAlign w:val="center"/>
            <w:hideMark/>
          </w:tcPr>
          <w:p w14:paraId="43BF0E7F"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911" w:type="dxa"/>
            <w:tcBorders>
              <w:top w:val="nil"/>
              <w:left w:val="nil"/>
              <w:bottom w:val="single" w:sz="4" w:space="0" w:color="auto"/>
              <w:right w:val="single" w:sz="4" w:space="0" w:color="auto"/>
            </w:tcBorders>
            <w:shd w:val="clear" w:color="auto" w:fill="auto"/>
            <w:vAlign w:val="center"/>
            <w:hideMark/>
          </w:tcPr>
          <w:p w14:paraId="139BE4B9"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145,950</w:t>
            </w:r>
          </w:p>
        </w:tc>
        <w:tc>
          <w:tcPr>
            <w:tcW w:w="705" w:type="dxa"/>
            <w:tcBorders>
              <w:top w:val="nil"/>
              <w:left w:val="nil"/>
              <w:bottom w:val="single" w:sz="4" w:space="0" w:color="auto"/>
              <w:right w:val="single" w:sz="4" w:space="0" w:color="auto"/>
            </w:tcBorders>
            <w:shd w:val="clear" w:color="auto" w:fill="auto"/>
            <w:vAlign w:val="center"/>
            <w:hideMark/>
          </w:tcPr>
          <w:p w14:paraId="5EA244BA"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50.4%</w:t>
            </w:r>
          </w:p>
        </w:tc>
        <w:tc>
          <w:tcPr>
            <w:tcW w:w="1416" w:type="dxa"/>
            <w:tcBorders>
              <w:top w:val="nil"/>
              <w:left w:val="nil"/>
              <w:bottom w:val="single" w:sz="4" w:space="0" w:color="auto"/>
              <w:right w:val="single" w:sz="4" w:space="0" w:color="auto"/>
            </w:tcBorders>
            <w:shd w:val="clear" w:color="auto" w:fill="auto"/>
            <w:vAlign w:val="center"/>
            <w:hideMark/>
          </w:tcPr>
          <w:p w14:paraId="12338444"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111" w:type="dxa"/>
            <w:tcBorders>
              <w:top w:val="nil"/>
              <w:left w:val="nil"/>
              <w:bottom w:val="single" w:sz="4" w:space="0" w:color="auto"/>
              <w:right w:val="single" w:sz="4" w:space="0" w:color="auto"/>
            </w:tcBorders>
            <w:shd w:val="clear" w:color="auto" w:fill="auto"/>
            <w:vAlign w:val="center"/>
            <w:hideMark/>
          </w:tcPr>
          <w:p w14:paraId="5D65DF5F"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$49,673</w:t>
            </w:r>
          </w:p>
        </w:tc>
        <w:tc>
          <w:tcPr>
            <w:tcW w:w="733" w:type="dxa"/>
            <w:tcBorders>
              <w:top w:val="nil"/>
              <w:left w:val="nil"/>
              <w:bottom w:val="single" w:sz="4" w:space="0" w:color="auto"/>
              <w:right w:val="single" w:sz="4" w:space="0" w:color="auto"/>
            </w:tcBorders>
            <w:shd w:val="clear" w:color="auto" w:fill="auto"/>
            <w:vAlign w:val="center"/>
            <w:hideMark/>
          </w:tcPr>
          <w:p w14:paraId="283721F8"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BF168C" w:rsidRPr="00EE5714" w14:paraId="4E1328A2" w14:textId="77777777" w:rsidTr="0014664B">
        <w:trPr>
          <w:trHeight w:val="507"/>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4C9677F7"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206</w:t>
            </w:r>
          </w:p>
        </w:tc>
        <w:tc>
          <w:tcPr>
            <w:tcW w:w="895" w:type="dxa"/>
            <w:tcBorders>
              <w:top w:val="nil"/>
              <w:left w:val="nil"/>
              <w:bottom w:val="single" w:sz="4" w:space="0" w:color="auto"/>
              <w:right w:val="single" w:sz="4" w:space="0" w:color="auto"/>
            </w:tcBorders>
            <w:shd w:val="clear" w:color="auto" w:fill="auto"/>
            <w:vAlign w:val="center"/>
            <w:hideMark/>
          </w:tcPr>
          <w:p w14:paraId="438511A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095" w:type="dxa"/>
            <w:tcBorders>
              <w:top w:val="nil"/>
              <w:left w:val="nil"/>
              <w:bottom w:val="single" w:sz="4" w:space="0" w:color="auto"/>
              <w:right w:val="single" w:sz="4" w:space="0" w:color="auto"/>
            </w:tcBorders>
            <w:shd w:val="clear" w:color="auto" w:fill="auto"/>
            <w:vAlign w:val="center"/>
            <w:hideMark/>
          </w:tcPr>
          <w:p w14:paraId="6303F69B"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95" w:type="dxa"/>
            <w:tcBorders>
              <w:top w:val="nil"/>
              <w:left w:val="nil"/>
              <w:bottom w:val="single" w:sz="4" w:space="0" w:color="auto"/>
              <w:right w:val="single" w:sz="4" w:space="0" w:color="auto"/>
            </w:tcBorders>
            <w:shd w:val="clear" w:color="auto" w:fill="auto"/>
            <w:vAlign w:val="center"/>
            <w:hideMark/>
          </w:tcPr>
          <w:p w14:paraId="2A18939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4.4%</w:t>
            </w:r>
          </w:p>
        </w:tc>
        <w:tc>
          <w:tcPr>
            <w:tcW w:w="1526" w:type="dxa"/>
            <w:tcBorders>
              <w:top w:val="nil"/>
              <w:left w:val="nil"/>
              <w:bottom w:val="single" w:sz="4" w:space="0" w:color="auto"/>
              <w:right w:val="single" w:sz="4" w:space="0" w:color="auto"/>
            </w:tcBorders>
            <w:shd w:val="clear" w:color="auto" w:fill="auto"/>
            <w:vAlign w:val="center"/>
            <w:hideMark/>
          </w:tcPr>
          <w:p w14:paraId="0BE1F3C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911" w:type="dxa"/>
            <w:tcBorders>
              <w:top w:val="nil"/>
              <w:left w:val="nil"/>
              <w:bottom w:val="single" w:sz="4" w:space="0" w:color="auto"/>
              <w:right w:val="single" w:sz="4" w:space="0" w:color="auto"/>
            </w:tcBorders>
            <w:shd w:val="clear" w:color="auto" w:fill="auto"/>
            <w:vAlign w:val="center"/>
            <w:hideMark/>
          </w:tcPr>
          <w:p w14:paraId="7652B5F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12,997</w:t>
            </w:r>
          </w:p>
        </w:tc>
        <w:tc>
          <w:tcPr>
            <w:tcW w:w="705" w:type="dxa"/>
            <w:tcBorders>
              <w:top w:val="nil"/>
              <w:left w:val="nil"/>
              <w:bottom w:val="single" w:sz="4" w:space="0" w:color="auto"/>
              <w:right w:val="single" w:sz="4" w:space="0" w:color="auto"/>
            </w:tcBorders>
            <w:shd w:val="clear" w:color="auto" w:fill="auto"/>
            <w:vAlign w:val="center"/>
            <w:hideMark/>
          </w:tcPr>
          <w:p w14:paraId="5E1AE0C6"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4.5%</w:t>
            </w:r>
          </w:p>
        </w:tc>
        <w:tc>
          <w:tcPr>
            <w:tcW w:w="1416" w:type="dxa"/>
            <w:tcBorders>
              <w:top w:val="nil"/>
              <w:left w:val="nil"/>
              <w:bottom w:val="single" w:sz="4" w:space="0" w:color="auto"/>
              <w:right w:val="single" w:sz="4" w:space="0" w:color="auto"/>
            </w:tcBorders>
            <w:shd w:val="clear" w:color="auto" w:fill="auto"/>
            <w:vAlign w:val="center"/>
            <w:hideMark/>
          </w:tcPr>
          <w:p w14:paraId="482E0071"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111" w:type="dxa"/>
            <w:tcBorders>
              <w:top w:val="nil"/>
              <w:left w:val="nil"/>
              <w:bottom w:val="single" w:sz="4" w:space="0" w:color="auto"/>
              <w:right w:val="single" w:sz="4" w:space="0" w:color="auto"/>
            </w:tcBorders>
            <w:shd w:val="clear" w:color="auto" w:fill="auto"/>
            <w:vAlign w:val="center"/>
            <w:hideMark/>
          </w:tcPr>
          <w:p w14:paraId="27D3DA33"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$67,154</w:t>
            </w:r>
          </w:p>
        </w:tc>
        <w:tc>
          <w:tcPr>
            <w:tcW w:w="733" w:type="dxa"/>
            <w:tcBorders>
              <w:top w:val="nil"/>
              <w:left w:val="nil"/>
              <w:bottom w:val="single" w:sz="4" w:space="0" w:color="auto"/>
              <w:right w:val="single" w:sz="4" w:space="0" w:color="auto"/>
            </w:tcBorders>
            <w:shd w:val="clear" w:color="auto" w:fill="auto"/>
            <w:vAlign w:val="center"/>
            <w:hideMark/>
          </w:tcPr>
          <w:p w14:paraId="0566A6A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BF168C" w:rsidRPr="00EE5714" w14:paraId="526A2649" w14:textId="77777777" w:rsidTr="0014664B">
        <w:trPr>
          <w:trHeight w:val="298"/>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500AA6E4"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123</w:t>
            </w:r>
          </w:p>
        </w:tc>
        <w:tc>
          <w:tcPr>
            <w:tcW w:w="895" w:type="dxa"/>
            <w:tcBorders>
              <w:top w:val="nil"/>
              <w:left w:val="nil"/>
              <w:bottom w:val="single" w:sz="4" w:space="0" w:color="auto"/>
              <w:right w:val="single" w:sz="4" w:space="0" w:color="auto"/>
            </w:tcBorders>
            <w:shd w:val="clear" w:color="auto" w:fill="auto"/>
            <w:vAlign w:val="center"/>
            <w:hideMark/>
          </w:tcPr>
          <w:p w14:paraId="43B16314"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5" w:type="dxa"/>
            <w:tcBorders>
              <w:top w:val="nil"/>
              <w:left w:val="nil"/>
              <w:bottom w:val="single" w:sz="4" w:space="0" w:color="auto"/>
              <w:right w:val="single" w:sz="4" w:space="0" w:color="auto"/>
            </w:tcBorders>
            <w:shd w:val="clear" w:color="auto" w:fill="auto"/>
            <w:vAlign w:val="center"/>
            <w:hideMark/>
          </w:tcPr>
          <w:p w14:paraId="0732BF79"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95" w:type="dxa"/>
            <w:tcBorders>
              <w:top w:val="nil"/>
              <w:left w:val="nil"/>
              <w:bottom w:val="single" w:sz="4" w:space="0" w:color="auto"/>
              <w:right w:val="single" w:sz="4" w:space="0" w:color="auto"/>
            </w:tcBorders>
            <w:shd w:val="clear" w:color="auto" w:fill="auto"/>
            <w:vAlign w:val="center"/>
            <w:hideMark/>
          </w:tcPr>
          <w:p w14:paraId="40E84A3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w:t>
            </w:r>
          </w:p>
        </w:tc>
        <w:tc>
          <w:tcPr>
            <w:tcW w:w="1526" w:type="dxa"/>
            <w:tcBorders>
              <w:top w:val="nil"/>
              <w:left w:val="nil"/>
              <w:bottom w:val="single" w:sz="4" w:space="0" w:color="auto"/>
              <w:right w:val="single" w:sz="4" w:space="0" w:color="auto"/>
            </w:tcBorders>
            <w:shd w:val="clear" w:color="auto" w:fill="auto"/>
            <w:vAlign w:val="center"/>
            <w:hideMark/>
          </w:tcPr>
          <w:p w14:paraId="2A730D59"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911" w:type="dxa"/>
            <w:tcBorders>
              <w:top w:val="nil"/>
              <w:left w:val="nil"/>
              <w:bottom w:val="single" w:sz="4" w:space="0" w:color="auto"/>
              <w:right w:val="single" w:sz="4" w:space="0" w:color="auto"/>
            </w:tcBorders>
            <w:shd w:val="clear" w:color="auto" w:fill="auto"/>
            <w:vAlign w:val="center"/>
            <w:hideMark/>
          </w:tcPr>
          <w:p w14:paraId="1AD3D71E"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64,503</w:t>
            </w:r>
          </w:p>
        </w:tc>
        <w:tc>
          <w:tcPr>
            <w:tcW w:w="705" w:type="dxa"/>
            <w:tcBorders>
              <w:top w:val="nil"/>
              <w:left w:val="nil"/>
              <w:bottom w:val="single" w:sz="4" w:space="0" w:color="auto"/>
              <w:right w:val="single" w:sz="4" w:space="0" w:color="auto"/>
            </w:tcBorders>
            <w:shd w:val="clear" w:color="auto" w:fill="auto"/>
            <w:vAlign w:val="center"/>
            <w:hideMark/>
          </w:tcPr>
          <w:p w14:paraId="4BF04DD3"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22.3%</w:t>
            </w:r>
          </w:p>
        </w:tc>
        <w:tc>
          <w:tcPr>
            <w:tcW w:w="1416" w:type="dxa"/>
            <w:tcBorders>
              <w:top w:val="nil"/>
              <w:left w:val="nil"/>
              <w:bottom w:val="single" w:sz="4" w:space="0" w:color="auto"/>
              <w:right w:val="single" w:sz="4" w:space="0" w:color="auto"/>
            </w:tcBorders>
            <w:shd w:val="clear" w:color="auto" w:fill="auto"/>
            <w:vAlign w:val="center"/>
            <w:hideMark/>
          </w:tcPr>
          <w:p w14:paraId="5CE66CC5"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111" w:type="dxa"/>
            <w:tcBorders>
              <w:top w:val="nil"/>
              <w:left w:val="nil"/>
              <w:bottom w:val="single" w:sz="4" w:space="0" w:color="auto"/>
              <w:right w:val="single" w:sz="4" w:space="0" w:color="auto"/>
            </w:tcBorders>
            <w:shd w:val="clear" w:color="auto" w:fill="auto"/>
            <w:vAlign w:val="center"/>
            <w:hideMark/>
          </w:tcPr>
          <w:p w14:paraId="0EE7A899"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$27,753</w:t>
            </w:r>
          </w:p>
        </w:tc>
        <w:tc>
          <w:tcPr>
            <w:tcW w:w="733" w:type="dxa"/>
            <w:tcBorders>
              <w:top w:val="nil"/>
              <w:left w:val="nil"/>
              <w:bottom w:val="single" w:sz="4" w:space="0" w:color="auto"/>
              <w:right w:val="single" w:sz="4" w:space="0" w:color="auto"/>
            </w:tcBorders>
            <w:shd w:val="clear" w:color="auto" w:fill="auto"/>
            <w:vAlign w:val="center"/>
            <w:hideMark/>
          </w:tcPr>
          <w:p w14:paraId="683B9FB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BF168C" w:rsidRPr="00EE5714" w14:paraId="37DCE185" w14:textId="77777777" w:rsidTr="0014664B">
        <w:trPr>
          <w:trHeight w:val="507"/>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4D4BA85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112</w:t>
            </w:r>
          </w:p>
        </w:tc>
        <w:tc>
          <w:tcPr>
            <w:tcW w:w="895" w:type="dxa"/>
            <w:tcBorders>
              <w:top w:val="nil"/>
              <w:left w:val="nil"/>
              <w:bottom w:val="single" w:sz="4" w:space="0" w:color="auto"/>
              <w:right w:val="single" w:sz="4" w:space="0" w:color="auto"/>
            </w:tcBorders>
            <w:shd w:val="clear" w:color="auto" w:fill="auto"/>
            <w:vAlign w:val="center"/>
            <w:hideMark/>
          </w:tcPr>
          <w:p w14:paraId="6A85178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5" w:type="dxa"/>
            <w:tcBorders>
              <w:top w:val="nil"/>
              <w:left w:val="nil"/>
              <w:bottom w:val="single" w:sz="4" w:space="0" w:color="auto"/>
              <w:right w:val="single" w:sz="4" w:space="0" w:color="auto"/>
            </w:tcBorders>
            <w:shd w:val="clear" w:color="auto" w:fill="auto"/>
            <w:vAlign w:val="center"/>
            <w:hideMark/>
          </w:tcPr>
          <w:p w14:paraId="0EE533D3"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95" w:type="dxa"/>
            <w:tcBorders>
              <w:top w:val="nil"/>
              <w:left w:val="nil"/>
              <w:bottom w:val="single" w:sz="4" w:space="0" w:color="auto"/>
              <w:right w:val="single" w:sz="4" w:space="0" w:color="auto"/>
            </w:tcBorders>
            <w:shd w:val="clear" w:color="auto" w:fill="auto"/>
            <w:vAlign w:val="center"/>
            <w:hideMark/>
          </w:tcPr>
          <w:p w14:paraId="0A01D097"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0.9%</w:t>
            </w:r>
          </w:p>
        </w:tc>
        <w:tc>
          <w:tcPr>
            <w:tcW w:w="1526" w:type="dxa"/>
            <w:tcBorders>
              <w:top w:val="nil"/>
              <w:left w:val="nil"/>
              <w:bottom w:val="single" w:sz="4" w:space="0" w:color="auto"/>
              <w:right w:val="single" w:sz="4" w:space="0" w:color="auto"/>
            </w:tcBorders>
            <w:shd w:val="clear" w:color="auto" w:fill="auto"/>
            <w:vAlign w:val="center"/>
            <w:hideMark/>
          </w:tcPr>
          <w:p w14:paraId="02ABE768"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911" w:type="dxa"/>
            <w:tcBorders>
              <w:top w:val="nil"/>
              <w:left w:val="nil"/>
              <w:bottom w:val="single" w:sz="4" w:space="0" w:color="auto"/>
              <w:right w:val="single" w:sz="4" w:space="0" w:color="auto"/>
            </w:tcBorders>
            <w:shd w:val="clear" w:color="auto" w:fill="auto"/>
            <w:vAlign w:val="center"/>
            <w:hideMark/>
          </w:tcPr>
          <w:p w14:paraId="17D93D40"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48,144</w:t>
            </w:r>
          </w:p>
        </w:tc>
        <w:tc>
          <w:tcPr>
            <w:tcW w:w="705" w:type="dxa"/>
            <w:tcBorders>
              <w:top w:val="nil"/>
              <w:left w:val="nil"/>
              <w:bottom w:val="single" w:sz="4" w:space="0" w:color="auto"/>
              <w:right w:val="single" w:sz="4" w:space="0" w:color="auto"/>
            </w:tcBorders>
            <w:shd w:val="clear" w:color="auto" w:fill="auto"/>
            <w:vAlign w:val="center"/>
            <w:hideMark/>
          </w:tcPr>
          <w:p w14:paraId="040F8A23"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16.6%</w:t>
            </w:r>
          </w:p>
        </w:tc>
        <w:tc>
          <w:tcPr>
            <w:tcW w:w="3261"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63330893"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UGI PNG Service Area                                            2012-2016 ACS</w:t>
            </w:r>
          </w:p>
        </w:tc>
      </w:tr>
      <w:tr w:rsidR="00BF168C" w:rsidRPr="00EE5714" w14:paraId="52478E1B" w14:textId="77777777" w:rsidTr="0014664B">
        <w:trPr>
          <w:trHeight w:val="507"/>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2FC4774C"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289,380</w:t>
            </w:r>
          </w:p>
        </w:tc>
        <w:tc>
          <w:tcPr>
            <w:tcW w:w="895" w:type="dxa"/>
            <w:tcBorders>
              <w:top w:val="nil"/>
              <w:left w:val="nil"/>
              <w:bottom w:val="single" w:sz="4" w:space="0" w:color="auto"/>
              <w:right w:val="single" w:sz="4" w:space="0" w:color="auto"/>
            </w:tcBorders>
            <w:shd w:val="clear" w:color="auto" w:fill="auto"/>
            <w:vAlign w:val="center"/>
            <w:hideMark/>
          </w:tcPr>
          <w:p w14:paraId="1F21592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vAlign w:val="center"/>
            <w:hideMark/>
          </w:tcPr>
          <w:p w14:paraId="5D651B82"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vAlign w:val="center"/>
            <w:hideMark/>
          </w:tcPr>
          <w:p w14:paraId="0ADD1FE0"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6" w:type="dxa"/>
            <w:tcBorders>
              <w:top w:val="nil"/>
              <w:left w:val="nil"/>
              <w:bottom w:val="single" w:sz="4" w:space="0" w:color="auto"/>
              <w:right w:val="single" w:sz="4" w:space="0" w:color="auto"/>
            </w:tcBorders>
            <w:shd w:val="clear" w:color="auto" w:fill="auto"/>
            <w:vAlign w:val="center"/>
            <w:hideMark/>
          </w:tcPr>
          <w:p w14:paraId="601C7917"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911" w:type="dxa"/>
            <w:tcBorders>
              <w:top w:val="nil"/>
              <w:left w:val="nil"/>
              <w:bottom w:val="single" w:sz="4" w:space="0" w:color="auto"/>
              <w:right w:val="single" w:sz="4" w:space="0" w:color="auto"/>
            </w:tcBorders>
            <w:shd w:val="clear" w:color="auto" w:fill="auto"/>
            <w:vAlign w:val="center"/>
            <w:hideMark/>
          </w:tcPr>
          <w:p w14:paraId="3F5E4158"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7,117</w:t>
            </w:r>
          </w:p>
        </w:tc>
        <w:tc>
          <w:tcPr>
            <w:tcW w:w="705" w:type="dxa"/>
            <w:tcBorders>
              <w:top w:val="nil"/>
              <w:left w:val="nil"/>
              <w:bottom w:val="single" w:sz="4" w:space="0" w:color="auto"/>
              <w:right w:val="single" w:sz="4" w:space="0" w:color="auto"/>
            </w:tcBorders>
            <w:shd w:val="clear" w:color="auto" w:fill="auto"/>
            <w:vAlign w:val="center"/>
            <w:hideMark/>
          </w:tcPr>
          <w:p w14:paraId="1DFDAC94"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w:t>
            </w:r>
          </w:p>
        </w:tc>
        <w:tc>
          <w:tcPr>
            <w:tcW w:w="1416" w:type="dxa"/>
            <w:tcBorders>
              <w:top w:val="single" w:sz="4" w:space="0" w:color="auto"/>
              <w:left w:val="nil"/>
              <w:bottom w:val="single" w:sz="4" w:space="0" w:color="auto"/>
              <w:right w:val="single" w:sz="4" w:space="0" w:color="auto"/>
            </w:tcBorders>
            <w:shd w:val="clear" w:color="000000" w:fill="E7E6E6"/>
            <w:vAlign w:val="center"/>
            <w:hideMark/>
          </w:tcPr>
          <w:p w14:paraId="27D27AEA"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111" w:type="dxa"/>
            <w:tcBorders>
              <w:top w:val="single" w:sz="4" w:space="0" w:color="auto"/>
              <w:left w:val="nil"/>
              <w:bottom w:val="single" w:sz="4" w:space="0" w:color="auto"/>
              <w:right w:val="single" w:sz="4" w:space="0" w:color="auto"/>
            </w:tcBorders>
            <w:shd w:val="clear" w:color="000000" w:fill="E7E6E6"/>
            <w:vAlign w:val="center"/>
            <w:hideMark/>
          </w:tcPr>
          <w:p w14:paraId="50C231FB"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33" w:type="dxa"/>
            <w:tcBorders>
              <w:top w:val="single" w:sz="4" w:space="0" w:color="auto"/>
              <w:left w:val="nil"/>
              <w:bottom w:val="single" w:sz="4" w:space="0" w:color="auto"/>
              <w:right w:val="single" w:sz="4" w:space="0" w:color="auto"/>
            </w:tcBorders>
            <w:shd w:val="clear" w:color="000000" w:fill="E7E6E6"/>
            <w:vAlign w:val="center"/>
            <w:hideMark/>
          </w:tcPr>
          <w:p w14:paraId="45045542"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BF168C" w:rsidRPr="00EE5714" w14:paraId="67D2D0F3" w14:textId="77777777" w:rsidTr="0014664B">
        <w:trPr>
          <w:trHeight w:val="433"/>
          <w:jc w:val="center"/>
        </w:trPr>
        <w:tc>
          <w:tcPr>
            <w:tcW w:w="4260" w:type="dxa"/>
            <w:gridSpan w:val="4"/>
            <w:tcBorders>
              <w:top w:val="single" w:sz="4" w:space="0" w:color="auto"/>
              <w:left w:val="single" w:sz="4" w:space="0" w:color="auto"/>
              <w:bottom w:val="single" w:sz="4" w:space="0" w:color="auto"/>
              <w:right w:val="single" w:sz="4" w:space="0" w:color="000000"/>
            </w:tcBorders>
            <w:shd w:val="clear" w:color="000000" w:fill="E7E6E6"/>
            <w:vAlign w:val="center"/>
            <w:hideMark/>
          </w:tcPr>
          <w:p w14:paraId="1E238671" w14:textId="2315FDFE"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UGI PNG Service Area - 2012-2016 ACS</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53E94E5A"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911" w:type="dxa"/>
            <w:tcBorders>
              <w:top w:val="nil"/>
              <w:left w:val="nil"/>
              <w:bottom w:val="single" w:sz="4" w:space="0" w:color="auto"/>
              <w:right w:val="single" w:sz="4" w:space="0" w:color="auto"/>
            </w:tcBorders>
            <w:shd w:val="clear" w:color="auto" w:fill="auto"/>
            <w:vAlign w:val="center"/>
            <w:hideMark/>
          </w:tcPr>
          <w:p w14:paraId="386FC077"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8,083</w:t>
            </w:r>
          </w:p>
        </w:tc>
        <w:tc>
          <w:tcPr>
            <w:tcW w:w="705" w:type="dxa"/>
            <w:tcBorders>
              <w:top w:val="nil"/>
              <w:left w:val="nil"/>
              <w:bottom w:val="single" w:sz="4" w:space="0" w:color="auto"/>
              <w:right w:val="single" w:sz="4" w:space="0" w:color="auto"/>
            </w:tcBorders>
            <w:shd w:val="clear" w:color="auto" w:fill="auto"/>
            <w:vAlign w:val="center"/>
            <w:hideMark/>
          </w:tcPr>
          <w:p w14:paraId="3237730B"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w:t>
            </w:r>
          </w:p>
        </w:tc>
        <w:tc>
          <w:tcPr>
            <w:tcW w:w="1416" w:type="dxa"/>
            <w:tcBorders>
              <w:top w:val="nil"/>
              <w:left w:val="nil"/>
              <w:bottom w:val="single" w:sz="4" w:space="0" w:color="auto"/>
              <w:right w:val="single" w:sz="4" w:space="0" w:color="auto"/>
            </w:tcBorders>
            <w:shd w:val="clear" w:color="auto" w:fill="auto"/>
            <w:vAlign w:val="center"/>
            <w:hideMark/>
          </w:tcPr>
          <w:p w14:paraId="1445305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76,697</w:t>
            </w:r>
          </w:p>
        </w:tc>
        <w:tc>
          <w:tcPr>
            <w:tcW w:w="1111" w:type="dxa"/>
            <w:tcBorders>
              <w:top w:val="nil"/>
              <w:left w:val="nil"/>
              <w:bottom w:val="single" w:sz="4" w:space="0" w:color="auto"/>
              <w:right w:val="single" w:sz="4" w:space="0" w:color="auto"/>
            </w:tcBorders>
            <w:shd w:val="clear" w:color="auto" w:fill="auto"/>
            <w:vAlign w:val="center"/>
            <w:hideMark/>
          </w:tcPr>
          <w:p w14:paraId="3D5CF836"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33" w:type="dxa"/>
            <w:tcBorders>
              <w:top w:val="nil"/>
              <w:left w:val="nil"/>
              <w:bottom w:val="single" w:sz="4" w:space="0" w:color="auto"/>
              <w:right w:val="single" w:sz="4" w:space="0" w:color="auto"/>
            </w:tcBorders>
            <w:shd w:val="clear" w:color="auto" w:fill="auto"/>
            <w:vAlign w:val="center"/>
            <w:hideMark/>
          </w:tcPr>
          <w:p w14:paraId="32AB11B3"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45.1%</w:t>
            </w:r>
          </w:p>
        </w:tc>
      </w:tr>
      <w:tr w:rsidR="00BF168C" w:rsidRPr="00EE5714" w14:paraId="174C907F" w14:textId="77777777" w:rsidTr="0014664B">
        <w:trPr>
          <w:trHeight w:val="298"/>
          <w:jc w:val="center"/>
        </w:trPr>
        <w:tc>
          <w:tcPr>
            <w:tcW w:w="11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DA6DAB6"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85"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25214931"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0901A4D0"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911" w:type="dxa"/>
            <w:tcBorders>
              <w:top w:val="nil"/>
              <w:left w:val="nil"/>
              <w:bottom w:val="single" w:sz="4" w:space="0" w:color="auto"/>
              <w:right w:val="single" w:sz="4" w:space="0" w:color="auto"/>
            </w:tcBorders>
            <w:shd w:val="clear" w:color="auto" w:fill="auto"/>
            <w:vAlign w:val="center"/>
            <w:hideMark/>
          </w:tcPr>
          <w:p w14:paraId="1F1C6208"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w:t>
            </w:r>
          </w:p>
        </w:tc>
        <w:tc>
          <w:tcPr>
            <w:tcW w:w="705" w:type="dxa"/>
            <w:tcBorders>
              <w:top w:val="nil"/>
              <w:left w:val="nil"/>
              <w:bottom w:val="single" w:sz="4" w:space="0" w:color="auto"/>
              <w:right w:val="single" w:sz="4" w:space="0" w:color="auto"/>
            </w:tcBorders>
            <w:shd w:val="clear" w:color="auto" w:fill="auto"/>
            <w:vAlign w:val="center"/>
            <w:hideMark/>
          </w:tcPr>
          <w:p w14:paraId="1EE995AA"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416" w:type="dxa"/>
            <w:tcBorders>
              <w:top w:val="nil"/>
              <w:left w:val="nil"/>
              <w:bottom w:val="single" w:sz="4" w:space="0" w:color="auto"/>
              <w:right w:val="single" w:sz="4" w:space="0" w:color="auto"/>
            </w:tcBorders>
            <w:shd w:val="clear" w:color="auto" w:fill="auto"/>
            <w:vAlign w:val="center"/>
            <w:hideMark/>
          </w:tcPr>
          <w:p w14:paraId="021F5C8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212,682</w:t>
            </w:r>
          </w:p>
        </w:tc>
        <w:tc>
          <w:tcPr>
            <w:tcW w:w="1111" w:type="dxa"/>
            <w:tcBorders>
              <w:top w:val="nil"/>
              <w:left w:val="nil"/>
              <w:bottom w:val="single" w:sz="4" w:space="0" w:color="auto"/>
              <w:right w:val="single" w:sz="4" w:space="0" w:color="auto"/>
            </w:tcBorders>
            <w:shd w:val="clear" w:color="auto" w:fill="auto"/>
            <w:vAlign w:val="center"/>
            <w:hideMark/>
          </w:tcPr>
          <w:p w14:paraId="082E2CC5"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33" w:type="dxa"/>
            <w:tcBorders>
              <w:top w:val="nil"/>
              <w:left w:val="nil"/>
              <w:bottom w:val="single" w:sz="4" w:space="0" w:color="auto"/>
              <w:right w:val="single" w:sz="4" w:space="0" w:color="auto"/>
            </w:tcBorders>
            <w:shd w:val="clear" w:color="auto" w:fill="auto"/>
            <w:vAlign w:val="center"/>
            <w:hideMark/>
          </w:tcPr>
          <w:p w14:paraId="6E78471A"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54.9%</w:t>
            </w:r>
          </w:p>
        </w:tc>
      </w:tr>
      <w:tr w:rsidR="00BF168C" w:rsidRPr="00EE5714" w14:paraId="31424758" w14:textId="77777777" w:rsidTr="0014664B">
        <w:trPr>
          <w:trHeight w:val="567"/>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6F501D98"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41,731</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6F8C38AB"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14.42%</w:t>
            </w:r>
          </w:p>
        </w:tc>
        <w:tc>
          <w:tcPr>
            <w:tcW w:w="21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166DA0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11C80E26"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911" w:type="dxa"/>
            <w:tcBorders>
              <w:top w:val="nil"/>
              <w:left w:val="nil"/>
              <w:bottom w:val="single" w:sz="4" w:space="0" w:color="auto"/>
              <w:right w:val="single" w:sz="4" w:space="0" w:color="auto"/>
            </w:tcBorders>
            <w:shd w:val="clear" w:color="auto" w:fill="auto"/>
            <w:vAlign w:val="center"/>
            <w:hideMark/>
          </w:tcPr>
          <w:p w14:paraId="42D39129"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1,645</w:t>
            </w:r>
          </w:p>
        </w:tc>
        <w:tc>
          <w:tcPr>
            <w:tcW w:w="705" w:type="dxa"/>
            <w:tcBorders>
              <w:top w:val="nil"/>
              <w:left w:val="nil"/>
              <w:bottom w:val="single" w:sz="4" w:space="0" w:color="auto"/>
              <w:right w:val="single" w:sz="4" w:space="0" w:color="auto"/>
            </w:tcBorders>
            <w:shd w:val="clear" w:color="auto" w:fill="auto"/>
            <w:vAlign w:val="center"/>
            <w:hideMark/>
          </w:tcPr>
          <w:p w14:paraId="4974A51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416" w:type="dxa"/>
            <w:tcBorders>
              <w:top w:val="nil"/>
              <w:left w:val="nil"/>
              <w:bottom w:val="single" w:sz="4" w:space="0" w:color="auto"/>
              <w:right w:val="single" w:sz="4" w:space="0" w:color="auto"/>
            </w:tcBorders>
            <w:shd w:val="clear" w:color="auto" w:fill="auto"/>
            <w:vAlign w:val="center"/>
            <w:hideMark/>
          </w:tcPr>
          <w:p w14:paraId="1AED487B"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94,502</w:t>
            </w:r>
          </w:p>
        </w:tc>
        <w:tc>
          <w:tcPr>
            <w:tcW w:w="1111" w:type="dxa"/>
            <w:tcBorders>
              <w:top w:val="nil"/>
              <w:left w:val="nil"/>
              <w:bottom w:val="single" w:sz="4" w:space="0" w:color="auto"/>
              <w:right w:val="single" w:sz="4" w:space="0" w:color="auto"/>
            </w:tcBorders>
            <w:shd w:val="clear" w:color="auto" w:fill="auto"/>
            <w:vAlign w:val="center"/>
            <w:hideMark/>
          </w:tcPr>
          <w:p w14:paraId="1C025F37"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33" w:type="dxa"/>
            <w:tcBorders>
              <w:top w:val="nil"/>
              <w:left w:val="nil"/>
              <w:bottom w:val="single" w:sz="4" w:space="0" w:color="auto"/>
              <w:right w:val="single" w:sz="4" w:space="0" w:color="auto"/>
            </w:tcBorders>
            <w:shd w:val="clear" w:color="auto" w:fill="auto"/>
            <w:vAlign w:val="center"/>
            <w:hideMark/>
          </w:tcPr>
          <w:p w14:paraId="220B943A"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41.4%</w:t>
            </w:r>
          </w:p>
        </w:tc>
      </w:tr>
      <w:tr w:rsidR="00BF168C" w:rsidRPr="00EE5714" w14:paraId="621936AD" w14:textId="77777777" w:rsidTr="0014664B">
        <w:trPr>
          <w:trHeight w:val="507"/>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56B7BF61"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247,647</w:t>
            </w:r>
          </w:p>
        </w:tc>
        <w:tc>
          <w:tcPr>
            <w:tcW w:w="895" w:type="dxa"/>
            <w:tcBorders>
              <w:top w:val="nil"/>
              <w:left w:val="nil"/>
              <w:bottom w:val="single" w:sz="4" w:space="0" w:color="auto"/>
              <w:right w:val="single" w:sz="4" w:space="0" w:color="auto"/>
            </w:tcBorders>
            <w:shd w:val="clear" w:color="auto" w:fill="auto"/>
            <w:vAlign w:val="center"/>
            <w:hideMark/>
          </w:tcPr>
          <w:p w14:paraId="6235BFDB"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85.58%</w:t>
            </w:r>
          </w:p>
        </w:tc>
        <w:tc>
          <w:tcPr>
            <w:tcW w:w="21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30E29AC"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116181A8"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911" w:type="dxa"/>
            <w:tcBorders>
              <w:top w:val="nil"/>
              <w:left w:val="nil"/>
              <w:bottom w:val="single" w:sz="4" w:space="0" w:color="auto"/>
              <w:right w:val="single" w:sz="4" w:space="0" w:color="auto"/>
            </w:tcBorders>
            <w:shd w:val="clear" w:color="auto" w:fill="auto"/>
            <w:vAlign w:val="center"/>
            <w:hideMark/>
          </w:tcPr>
          <w:p w14:paraId="64B7B929"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815</w:t>
            </w:r>
          </w:p>
        </w:tc>
        <w:tc>
          <w:tcPr>
            <w:tcW w:w="705" w:type="dxa"/>
            <w:tcBorders>
              <w:top w:val="nil"/>
              <w:left w:val="nil"/>
              <w:bottom w:val="single" w:sz="4" w:space="0" w:color="auto"/>
              <w:right w:val="single" w:sz="4" w:space="0" w:color="auto"/>
            </w:tcBorders>
            <w:shd w:val="clear" w:color="auto" w:fill="auto"/>
            <w:vAlign w:val="center"/>
            <w:hideMark/>
          </w:tcPr>
          <w:p w14:paraId="77473D65"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416" w:type="dxa"/>
            <w:tcBorders>
              <w:top w:val="nil"/>
              <w:left w:val="nil"/>
              <w:bottom w:val="single" w:sz="4" w:space="0" w:color="auto"/>
              <w:right w:val="single" w:sz="4" w:space="0" w:color="auto"/>
            </w:tcBorders>
            <w:shd w:val="clear" w:color="auto" w:fill="auto"/>
            <w:vAlign w:val="center"/>
            <w:hideMark/>
          </w:tcPr>
          <w:p w14:paraId="030B544A"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194,877</w:t>
            </w:r>
          </w:p>
        </w:tc>
        <w:tc>
          <w:tcPr>
            <w:tcW w:w="1111" w:type="dxa"/>
            <w:tcBorders>
              <w:top w:val="nil"/>
              <w:left w:val="nil"/>
              <w:bottom w:val="single" w:sz="4" w:space="0" w:color="auto"/>
              <w:right w:val="single" w:sz="4" w:space="0" w:color="auto"/>
            </w:tcBorders>
            <w:shd w:val="clear" w:color="auto" w:fill="auto"/>
            <w:vAlign w:val="center"/>
            <w:hideMark/>
          </w:tcPr>
          <w:p w14:paraId="64AD5374"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33" w:type="dxa"/>
            <w:tcBorders>
              <w:top w:val="nil"/>
              <w:left w:val="nil"/>
              <w:bottom w:val="single" w:sz="4" w:space="0" w:color="auto"/>
              <w:right w:val="single" w:sz="4" w:space="0" w:color="auto"/>
            </w:tcBorders>
            <w:shd w:val="clear" w:color="auto" w:fill="auto"/>
            <w:vAlign w:val="center"/>
            <w:hideMark/>
          </w:tcPr>
          <w:p w14:paraId="6867684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58.6%</w:t>
            </w:r>
          </w:p>
        </w:tc>
      </w:tr>
      <w:tr w:rsidR="00BF168C" w:rsidRPr="00EE5714" w14:paraId="13D7EAA1" w14:textId="77777777" w:rsidTr="0014664B">
        <w:trPr>
          <w:trHeight w:val="298"/>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7C53697B"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289,378</w:t>
            </w:r>
          </w:p>
        </w:tc>
        <w:tc>
          <w:tcPr>
            <w:tcW w:w="308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7027D56"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258F0437"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911" w:type="dxa"/>
            <w:tcBorders>
              <w:top w:val="nil"/>
              <w:left w:val="nil"/>
              <w:bottom w:val="single" w:sz="4" w:space="0" w:color="auto"/>
              <w:right w:val="single" w:sz="4" w:space="0" w:color="auto"/>
            </w:tcBorders>
            <w:shd w:val="clear" w:color="auto" w:fill="auto"/>
            <w:vAlign w:val="center"/>
            <w:hideMark/>
          </w:tcPr>
          <w:p w14:paraId="7AA17FC1"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289,379</w:t>
            </w:r>
          </w:p>
        </w:tc>
        <w:tc>
          <w:tcPr>
            <w:tcW w:w="705" w:type="dxa"/>
            <w:tcBorders>
              <w:top w:val="nil"/>
              <w:left w:val="nil"/>
              <w:bottom w:val="single" w:sz="4" w:space="0" w:color="auto"/>
              <w:right w:val="single" w:sz="4" w:space="0" w:color="auto"/>
            </w:tcBorders>
            <w:shd w:val="clear" w:color="auto" w:fill="auto"/>
            <w:vAlign w:val="center"/>
            <w:hideMark/>
          </w:tcPr>
          <w:p w14:paraId="20AEFDC9"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416" w:type="dxa"/>
            <w:tcBorders>
              <w:top w:val="nil"/>
              <w:left w:val="nil"/>
              <w:bottom w:val="single" w:sz="4" w:space="0" w:color="auto"/>
              <w:right w:val="single" w:sz="4" w:space="0" w:color="auto"/>
            </w:tcBorders>
            <w:shd w:val="clear" w:color="auto" w:fill="auto"/>
            <w:vAlign w:val="center"/>
            <w:hideMark/>
          </w:tcPr>
          <w:p w14:paraId="744AC66F" w14:textId="77777777" w:rsidR="00BF168C" w:rsidRPr="00EE5714" w:rsidRDefault="00BF168C" w:rsidP="00BF168C">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289,379</w:t>
            </w:r>
          </w:p>
        </w:tc>
        <w:tc>
          <w:tcPr>
            <w:tcW w:w="18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3AB75ED" w14:textId="77777777" w:rsidR="00BF168C" w:rsidRPr="00EE5714" w:rsidRDefault="00BF168C" w:rsidP="00BF168C">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5D50DAC2" w14:textId="77777777" w:rsidR="001874D9" w:rsidRPr="00EE5714" w:rsidRDefault="001874D9" w:rsidP="008A2DC2">
      <w:pPr>
        <w:rPr>
          <w:rFonts w:ascii="Times New Roman" w:hAnsi="Times New Roman" w:cs="Times New Roman"/>
          <w:sz w:val="26"/>
          <w:szCs w:val="26"/>
        </w:rPr>
      </w:pPr>
    </w:p>
    <w:p w14:paraId="01E52E21" w14:textId="77777777" w:rsidR="00804457" w:rsidRPr="00EE5714" w:rsidRDefault="00804457" w:rsidP="000F2A34">
      <w:pPr>
        <w:pStyle w:val="NoSpacing"/>
        <w:keepNext/>
        <w:rPr>
          <w:i/>
        </w:rPr>
      </w:pPr>
      <w:r w:rsidRPr="00EE5714">
        <w:rPr>
          <w:i/>
        </w:rPr>
        <w:t>Appendix 1.</w:t>
      </w:r>
      <w:r w:rsidR="00CD0ADD" w:rsidRPr="00EE5714">
        <w:rPr>
          <w:i/>
        </w:rPr>
        <w:t>B</w:t>
      </w:r>
      <w:r w:rsidRPr="00EE5714">
        <w:rPr>
          <w:i/>
        </w:rPr>
        <w:t xml:space="preserve">: </w:t>
      </w:r>
      <w:r w:rsidR="00CD0ADD" w:rsidRPr="00EE5714">
        <w:rPr>
          <w:i/>
        </w:rPr>
        <w:t>EDC</w:t>
      </w:r>
      <w:r w:rsidRPr="00EE5714">
        <w:rPr>
          <w:i/>
        </w:rPr>
        <w:t xml:space="preserve"> Service Territory Demographic Profiles</w:t>
      </w:r>
    </w:p>
    <w:p w14:paraId="50275FCF" w14:textId="77777777" w:rsidR="00804457" w:rsidRPr="00EE5714" w:rsidRDefault="00804457" w:rsidP="00D224D5">
      <w:pPr>
        <w:keepNext/>
        <w:rPr>
          <w:rFonts w:ascii="Times New Roman" w:hAnsi="Times New Roman" w:cs="Times New Roman"/>
          <w:sz w:val="26"/>
          <w:szCs w:val="26"/>
        </w:rPr>
      </w:pPr>
    </w:p>
    <w:p w14:paraId="11936E68" w14:textId="77777777" w:rsidR="00BF168C" w:rsidRPr="00EE5714" w:rsidRDefault="000A5EB9" w:rsidP="000F2A34">
      <w:pPr>
        <w:keepNext/>
        <w:rPr>
          <w:rFonts w:ascii="Times New Roman" w:hAnsi="Times New Roman" w:cs="Times New Roman"/>
          <w:sz w:val="26"/>
          <w:szCs w:val="26"/>
        </w:rPr>
      </w:pPr>
      <w:r w:rsidRPr="00EE5714">
        <w:rPr>
          <w:rFonts w:ascii="Times New Roman" w:hAnsi="Times New Roman" w:cs="Times New Roman"/>
          <w:sz w:val="26"/>
          <w:szCs w:val="26"/>
        </w:rPr>
        <w:t>Appendix 1.</w:t>
      </w:r>
      <w:r w:rsidR="00D224D5" w:rsidRPr="00EE5714">
        <w:rPr>
          <w:rFonts w:ascii="Times New Roman" w:hAnsi="Times New Roman" w:cs="Times New Roman"/>
          <w:sz w:val="26"/>
          <w:szCs w:val="26"/>
        </w:rPr>
        <w:t>B.1</w:t>
      </w:r>
      <w:r w:rsidRPr="00EE5714">
        <w:rPr>
          <w:rFonts w:ascii="Times New Roman" w:hAnsi="Times New Roman" w:cs="Times New Roman"/>
          <w:sz w:val="26"/>
          <w:szCs w:val="26"/>
        </w:rPr>
        <w:t xml:space="preserve">: </w:t>
      </w:r>
      <w:r w:rsidR="006A0C0A" w:rsidRPr="00EE5714">
        <w:rPr>
          <w:rFonts w:ascii="Times New Roman" w:hAnsi="Times New Roman" w:cs="Times New Roman"/>
          <w:b/>
          <w:sz w:val="26"/>
          <w:szCs w:val="26"/>
        </w:rPr>
        <w:t>Duquesne</w:t>
      </w:r>
      <w:r w:rsidRPr="00EE5714">
        <w:rPr>
          <w:rFonts w:ascii="Times New Roman" w:hAnsi="Times New Roman" w:cs="Times New Roman"/>
          <w:b/>
          <w:sz w:val="26"/>
          <w:szCs w:val="26"/>
        </w:rPr>
        <w:t xml:space="preserve"> Service Territory Demographic Profile</w:t>
      </w:r>
    </w:p>
    <w:tbl>
      <w:tblPr>
        <w:tblW w:w="10608" w:type="dxa"/>
        <w:jc w:val="center"/>
        <w:tblLook w:val="04A0" w:firstRow="1" w:lastRow="0" w:firstColumn="1" w:lastColumn="0" w:noHBand="0" w:noVBand="1"/>
      </w:tblPr>
      <w:tblGrid>
        <w:gridCol w:w="1189"/>
        <w:gridCol w:w="833"/>
        <w:gridCol w:w="1109"/>
        <w:gridCol w:w="1109"/>
        <w:gridCol w:w="1546"/>
        <w:gridCol w:w="1029"/>
        <w:gridCol w:w="720"/>
        <w:gridCol w:w="1226"/>
        <w:gridCol w:w="1126"/>
        <w:gridCol w:w="721"/>
      </w:tblGrid>
      <w:tr w:rsidR="007974A6" w:rsidRPr="00EE5714" w14:paraId="3116B0DB" w14:textId="77777777" w:rsidTr="0014664B">
        <w:trPr>
          <w:trHeight w:val="722"/>
          <w:jc w:val="center"/>
        </w:trPr>
        <w:tc>
          <w:tcPr>
            <w:tcW w:w="117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FFF4CF8"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Duquesne</w:t>
            </w:r>
          </w:p>
        </w:tc>
        <w:tc>
          <w:tcPr>
            <w:tcW w:w="1953" w:type="dxa"/>
            <w:gridSpan w:val="2"/>
            <w:tcBorders>
              <w:top w:val="single" w:sz="4" w:space="0" w:color="auto"/>
              <w:left w:val="nil"/>
              <w:bottom w:val="single" w:sz="4" w:space="0" w:color="auto"/>
              <w:right w:val="single" w:sz="4" w:space="0" w:color="auto"/>
            </w:tcBorders>
            <w:shd w:val="clear" w:color="000000" w:fill="E7E6E6"/>
            <w:vAlign w:val="center"/>
            <w:hideMark/>
          </w:tcPr>
          <w:p w14:paraId="6038A0FB"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093" w:type="dxa"/>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14:paraId="7784A3AF"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249" w:type="dxa"/>
            <w:gridSpan w:val="3"/>
            <w:tcBorders>
              <w:top w:val="single" w:sz="4" w:space="0" w:color="auto"/>
              <w:left w:val="nil"/>
              <w:bottom w:val="single" w:sz="4" w:space="0" w:color="auto"/>
              <w:right w:val="single" w:sz="4" w:space="0" w:color="000000"/>
            </w:tcBorders>
            <w:shd w:val="clear" w:color="000000" w:fill="E7E6E6"/>
            <w:vAlign w:val="center"/>
            <w:hideMark/>
          </w:tcPr>
          <w:p w14:paraId="36885CFF"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141" w:type="dxa"/>
            <w:gridSpan w:val="3"/>
            <w:tcBorders>
              <w:top w:val="single" w:sz="4" w:space="0" w:color="auto"/>
              <w:left w:val="nil"/>
              <w:bottom w:val="single" w:sz="4" w:space="0" w:color="auto"/>
              <w:right w:val="single" w:sz="4" w:space="0" w:color="000000"/>
            </w:tcBorders>
            <w:shd w:val="clear" w:color="000000" w:fill="E7E6E6"/>
            <w:vAlign w:val="center"/>
            <w:hideMark/>
          </w:tcPr>
          <w:p w14:paraId="2864762F"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7974A6" w:rsidRPr="00EE5714" w14:paraId="1198F25D" w14:textId="77777777" w:rsidTr="0014664B">
        <w:trPr>
          <w:trHeight w:val="557"/>
          <w:jc w:val="center"/>
        </w:trPr>
        <w:tc>
          <w:tcPr>
            <w:tcW w:w="1172" w:type="dxa"/>
            <w:tcBorders>
              <w:top w:val="nil"/>
              <w:left w:val="single" w:sz="4" w:space="0" w:color="auto"/>
              <w:bottom w:val="single" w:sz="4" w:space="0" w:color="auto"/>
              <w:right w:val="single" w:sz="4" w:space="0" w:color="auto"/>
            </w:tcBorders>
            <w:shd w:val="clear" w:color="000000" w:fill="E7E6E6"/>
            <w:vAlign w:val="center"/>
            <w:hideMark/>
          </w:tcPr>
          <w:p w14:paraId="4E8B9BD9"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55.80%</w:t>
            </w:r>
          </w:p>
        </w:tc>
        <w:tc>
          <w:tcPr>
            <w:tcW w:w="859" w:type="dxa"/>
            <w:tcBorders>
              <w:top w:val="nil"/>
              <w:left w:val="nil"/>
              <w:bottom w:val="single" w:sz="4" w:space="0" w:color="auto"/>
              <w:right w:val="single" w:sz="4" w:space="0" w:color="auto"/>
            </w:tcBorders>
            <w:shd w:val="clear" w:color="000000" w:fill="E7E6E6"/>
            <w:vAlign w:val="center"/>
            <w:hideMark/>
          </w:tcPr>
          <w:p w14:paraId="5CE6A8F3"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093" w:type="dxa"/>
            <w:tcBorders>
              <w:top w:val="nil"/>
              <w:left w:val="nil"/>
              <w:bottom w:val="single" w:sz="4" w:space="0" w:color="auto"/>
              <w:right w:val="single" w:sz="4" w:space="0" w:color="auto"/>
            </w:tcBorders>
            <w:shd w:val="clear" w:color="000000" w:fill="E7E6E6"/>
            <w:vAlign w:val="center"/>
            <w:hideMark/>
          </w:tcPr>
          <w:p w14:paraId="17EC594E"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093" w:type="dxa"/>
            <w:vMerge/>
            <w:tcBorders>
              <w:top w:val="single" w:sz="4" w:space="0" w:color="auto"/>
              <w:left w:val="single" w:sz="4" w:space="0" w:color="auto"/>
              <w:bottom w:val="single" w:sz="4" w:space="0" w:color="000000"/>
              <w:right w:val="single" w:sz="4" w:space="0" w:color="auto"/>
            </w:tcBorders>
            <w:vAlign w:val="center"/>
            <w:hideMark/>
          </w:tcPr>
          <w:p w14:paraId="612AD5CF" w14:textId="77777777" w:rsidR="007974A6" w:rsidRPr="00EE5714" w:rsidRDefault="007974A6" w:rsidP="007974A6">
            <w:pPr>
              <w:spacing w:after="0" w:line="240" w:lineRule="auto"/>
              <w:rPr>
                <w:rFonts w:ascii="Calibri" w:eastAsia="Times New Roman" w:hAnsi="Calibri" w:cs="Calibri"/>
                <w:b/>
                <w:bCs/>
                <w:color w:val="000000"/>
                <w:sz w:val="20"/>
                <w:szCs w:val="20"/>
              </w:rPr>
            </w:pPr>
          </w:p>
        </w:tc>
        <w:tc>
          <w:tcPr>
            <w:tcW w:w="2539"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14:paraId="4359432F"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09" w:type="dxa"/>
            <w:tcBorders>
              <w:top w:val="single" w:sz="4" w:space="0" w:color="auto"/>
              <w:left w:val="nil"/>
              <w:bottom w:val="single" w:sz="4" w:space="0" w:color="auto"/>
              <w:right w:val="single" w:sz="4" w:space="0" w:color="auto"/>
            </w:tcBorders>
            <w:shd w:val="clear" w:color="000000" w:fill="E7E6E6"/>
            <w:vAlign w:val="center"/>
            <w:hideMark/>
          </w:tcPr>
          <w:p w14:paraId="52734BDF"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418" w:type="dxa"/>
            <w:gridSpan w:val="2"/>
            <w:tcBorders>
              <w:top w:val="single" w:sz="4" w:space="0" w:color="auto"/>
              <w:left w:val="nil"/>
              <w:bottom w:val="single" w:sz="4" w:space="0" w:color="auto"/>
              <w:right w:val="single" w:sz="4" w:space="0" w:color="auto"/>
            </w:tcBorders>
            <w:shd w:val="clear" w:color="000000" w:fill="E7E6E6"/>
            <w:vAlign w:val="center"/>
            <w:hideMark/>
          </w:tcPr>
          <w:p w14:paraId="2C329623"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2018 Estimated Income Data</w:t>
            </w:r>
          </w:p>
        </w:tc>
        <w:tc>
          <w:tcPr>
            <w:tcW w:w="722" w:type="dxa"/>
            <w:tcBorders>
              <w:top w:val="single" w:sz="4" w:space="0" w:color="auto"/>
              <w:left w:val="nil"/>
              <w:bottom w:val="single" w:sz="4" w:space="0" w:color="auto"/>
              <w:right w:val="single" w:sz="4" w:space="0" w:color="auto"/>
            </w:tcBorders>
            <w:shd w:val="clear" w:color="000000" w:fill="E7E6E6"/>
            <w:vAlign w:val="center"/>
            <w:hideMark/>
          </w:tcPr>
          <w:p w14:paraId="2BB67450"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7974A6" w:rsidRPr="00EE5714" w14:paraId="001ECCE3" w14:textId="77777777" w:rsidTr="0014664B">
        <w:trPr>
          <w:trHeight w:val="301"/>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33969056"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130,220</w:t>
            </w:r>
          </w:p>
        </w:tc>
        <w:tc>
          <w:tcPr>
            <w:tcW w:w="859" w:type="dxa"/>
            <w:tcBorders>
              <w:top w:val="nil"/>
              <w:left w:val="nil"/>
              <w:bottom w:val="single" w:sz="4" w:space="0" w:color="auto"/>
              <w:right w:val="single" w:sz="4" w:space="0" w:color="auto"/>
            </w:tcBorders>
            <w:shd w:val="clear" w:color="auto" w:fill="auto"/>
            <w:vAlign w:val="center"/>
            <w:hideMark/>
          </w:tcPr>
          <w:p w14:paraId="322BEFB6"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27.5%</w:t>
            </w:r>
          </w:p>
        </w:tc>
        <w:tc>
          <w:tcPr>
            <w:tcW w:w="1093" w:type="dxa"/>
            <w:tcBorders>
              <w:top w:val="nil"/>
              <w:left w:val="nil"/>
              <w:bottom w:val="single" w:sz="4" w:space="0" w:color="auto"/>
              <w:right w:val="single" w:sz="4" w:space="0" w:color="auto"/>
            </w:tcBorders>
            <w:shd w:val="clear" w:color="auto" w:fill="auto"/>
            <w:vAlign w:val="center"/>
            <w:hideMark/>
          </w:tcPr>
          <w:p w14:paraId="5A97E2FF"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93" w:type="dxa"/>
            <w:vMerge w:val="restart"/>
            <w:tcBorders>
              <w:top w:val="nil"/>
              <w:left w:val="single" w:sz="4" w:space="0" w:color="auto"/>
              <w:bottom w:val="single" w:sz="4" w:space="0" w:color="000000"/>
              <w:right w:val="single" w:sz="4" w:space="0" w:color="auto"/>
            </w:tcBorders>
            <w:shd w:val="clear" w:color="auto" w:fill="auto"/>
            <w:vAlign w:val="center"/>
            <w:hideMark/>
          </w:tcPr>
          <w:p w14:paraId="0FEC2E3A"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4" w:type="dxa"/>
            <w:tcBorders>
              <w:top w:val="nil"/>
              <w:left w:val="single" w:sz="4" w:space="0" w:color="auto"/>
              <w:bottom w:val="single" w:sz="4" w:space="0" w:color="auto"/>
              <w:right w:val="single" w:sz="4" w:space="0" w:color="auto"/>
            </w:tcBorders>
            <w:shd w:val="clear" w:color="auto" w:fill="auto"/>
            <w:vAlign w:val="center"/>
            <w:hideMark/>
          </w:tcPr>
          <w:p w14:paraId="72B61586"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1014" w:type="dxa"/>
            <w:tcBorders>
              <w:top w:val="nil"/>
              <w:left w:val="nil"/>
              <w:bottom w:val="single" w:sz="4" w:space="0" w:color="auto"/>
              <w:right w:val="single" w:sz="4" w:space="0" w:color="auto"/>
            </w:tcBorders>
            <w:shd w:val="clear" w:color="auto" w:fill="auto"/>
            <w:vAlign w:val="center"/>
            <w:hideMark/>
          </w:tcPr>
          <w:p w14:paraId="4E64A732"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68,666</w:t>
            </w:r>
          </w:p>
        </w:tc>
        <w:tc>
          <w:tcPr>
            <w:tcW w:w="709" w:type="dxa"/>
            <w:tcBorders>
              <w:top w:val="nil"/>
              <w:left w:val="nil"/>
              <w:bottom w:val="single" w:sz="4" w:space="0" w:color="auto"/>
              <w:right w:val="single" w:sz="4" w:space="0" w:color="auto"/>
            </w:tcBorders>
            <w:shd w:val="clear" w:color="auto" w:fill="auto"/>
            <w:vAlign w:val="center"/>
            <w:hideMark/>
          </w:tcPr>
          <w:p w14:paraId="066F0A33"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w:t>
            </w:r>
          </w:p>
        </w:tc>
        <w:tc>
          <w:tcPr>
            <w:tcW w:w="1308" w:type="dxa"/>
            <w:tcBorders>
              <w:top w:val="nil"/>
              <w:left w:val="nil"/>
              <w:bottom w:val="single" w:sz="4" w:space="0" w:color="auto"/>
              <w:right w:val="single" w:sz="4" w:space="0" w:color="auto"/>
            </w:tcBorders>
            <w:shd w:val="clear" w:color="auto" w:fill="auto"/>
            <w:vAlign w:val="center"/>
            <w:hideMark/>
          </w:tcPr>
          <w:p w14:paraId="6CE7029E"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110" w:type="dxa"/>
            <w:tcBorders>
              <w:top w:val="nil"/>
              <w:left w:val="nil"/>
              <w:bottom w:val="single" w:sz="4" w:space="0" w:color="auto"/>
              <w:right w:val="single" w:sz="4" w:space="0" w:color="auto"/>
            </w:tcBorders>
            <w:shd w:val="clear" w:color="auto" w:fill="auto"/>
            <w:vAlign w:val="center"/>
            <w:hideMark/>
          </w:tcPr>
          <w:p w14:paraId="755C5B29"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62,010</w:t>
            </w:r>
          </w:p>
        </w:tc>
        <w:tc>
          <w:tcPr>
            <w:tcW w:w="722" w:type="dxa"/>
            <w:tcBorders>
              <w:top w:val="nil"/>
              <w:left w:val="nil"/>
              <w:bottom w:val="single" w:sz="4" w:space="0" w:color="auto"/>
              <w:right w:val="single" w:sz="4" w:space="0" w:color="auto"/>
            </w:tcBorders>
            <w:shd w:val="clear" w:color="auto" w:fill="auto"/>
            <w:vAlign w:val="center"/>
            <w:hideMark/>
          </w:tcPr>
          <w:p w14:paraId="73222628"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12.9%</w:t>
            </w:r>
          </w:p>
        </w:tc>
      </w:tr>
      <w:tr w:rsidR="007974A6" w:rsidRPr="00EE5714" w14:paraId="14B72046" w14:textId="77777777" w:rsidTr="0014664B">
        <w:trPr>
          <w:trHeight w:val="301"/>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38A6D9C9"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63,804</w:t>
            </w:r>
          </w:p>
        </w:tc>
        <w:tc>
          <w:tcPr>
            <w:tcW w:w="859" w:type="dxa"/>
            <w:tcBorders>
              <w:top w:val="nil"/>
              <w:left w:val="nil"/>
              <w:bottom w:val="single" w:sz="4" w:space="0" w:color="auto"/>
              <w:right w:val="single" w:sz="4" w:space="0" w:color="auto"/>
            </w:tcBorders>
            <w:shd w:val="clear" w:color="auto" w:fill="auto"/>
            <w:vAlign w:val="center"/>
            <w:hideMark/>
          </w:tcPr>
          <w:p w14:paraId="73FDCC22"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13.5%</w:t>
            </w:r>
          </w:p>
        </w:tc>
        <w:tc>
          <w:tcPr>
            <w:tcW w:w="1093" w:type="dxa"/>
            <w:tcBorders>
              <w:top w:val="nil"/>
              <w:left w:val="nil"/>
              <w:bottom w:val="single" w:sz="4" w:space="0" w:color="auto"/>
              <w:right w:val="single" w:sz="4" w:space="0" w:color="auto"/>
            </w:tcBorders>
            <w:shd w:val="clear" w:color="auto" w:fill="auto"/>
            <w:vAlign w:val="center"/>
            <w:hideMark/>
          </w:tcPr>
          <w:p w14:paraId="6A8D33F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93" w:type="dxa"/>
            <w:vMerge/>
            <w:tcBorders>
              <w:top w:val="nil"/>
              <w:left w:val="single" w:sz="4" w:space="0" w:color="auto"/>
              <w:bottom w:val="single" w:sz="4" w:space="0" w:color="000000"/>
              <w:right w:val="single" w:sz="4" w:space="0" w:color="auto"/>
            </w:tcBorders>
            <w:vAlign w:val="center"/>
            <w:hideMark/>
          </w:tcPr>
          <w:p w14:paraId="460EFE5E" w14:textId="77777777" w:rsidR="007974A6" w:rsidRPr="00EE5714" w:rsidRDefault="007974A6" w:rsidP="007974A6">
            <w:pPr>
              <w:spacing w:after="0" w:line="240" w:lineRule="auto"/>
              <w:rPr>
                <w:rFonts w:ascii="Calibri" w:eastAsia="Times New Roman" w:hAnsi="Calibri" w:cs="Calibri"/>
                <w:color w:val="000000"/>
                <w:sz w:val="20"/>
                <w:szCs w:val="20"/>
              </w:rPr>
            </w:pPr>
          </w:p>
        </w:tc>
        <w:tc>
          <w:tcPr>
            <w:tcW w:w="1524" w:type="dxa"/>
            <w:tcBorders>
              <w:top w:val="nil"/>
              <w:left w:val="single" w:sz="4" w:space="0" w:color="auto"/>
              <w:bottom w:val="single" w:sz="4" w:space="0" w:color="auto"/>
              <w:right w:val="single" w:sz="4" w:space="0" w:color="auto"/>
            </w:tcBorders>
            <w:shd w:val="clear" w:color="auto" w:fill="auto"/>
            <w:vAlign w:val="center"/>
            <w:hideMark/>
          </w:tcPr>
          <w:p w14:paraId="4841371C"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1014" w:type="dxa"/>
            <w:tcBorders>
              <w:top w:val="nil"/>
              <w:left w:val="nil"/>
              <w:bottom w:val="single" w:sz="4" w:space="0" w:color="auto"/>
              <w:right w:val="single" w:sz="4" w:space="0" w:color="auto"/>
            </w:tcBorders>
            <w:shd w:val="clear" w:color="auto" w:fill="auto"/>
            <w:vAlign w:val="center"/>
            <w:hideMark/>
          </w:tcPr>
          <w:p w14:paraId="08EC1AA5"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79,258</w:t>
            </w:r>
          </w:p>
        </w:tc>
        <w:tc>
          <w:tcPr>
            <w:tcW w:w="709" w:type="dxa"/>
            <w:tcBorders>
              <w:top w:val="nil"/>
              <w:left w:val="nil"/>
              <w:bottom w:val="single" w:sz="4" w:space="0" w:color="auto"/>
              <w:right w:val="single" w:sz="4" w:space="0" w:color="auto"/>
            </w:tcBorders>
            <w:shd w:val="clear" w:color="auto" w:fill="auto"/>
            <w:vAlign w:val="center"/>
            <w:hideMark/>
          </w:tcPr>
          <w:p w14:paraId="64C6EDE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w:t>
            </w:r>
          </w:p>
        </w:tc>
        <w:tc>
          <w:tcPr>
            <w:tcW w:w="1308" w:type="dxa"/>
            <w:tcBorders>
              <w:top w:val="nil"/>
              <w:left w:val="nil"/>
              <w:bottom w:val="single" w:sz="4" w:space="0" w:color="auto"/>
              <w:right w:val="single" w:sz="4" w:space="0" w:color="auto"/>
            </w:tcBorders>
            <w:shd w:val="clear" w:color="auto" w:fill="auto"/>
            <w:vAlign w:val="center"/>
            <w:hideMark/>
          </w:tcPr>
          <w:p w14:paraId="3EA0A495"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110" w:type="dxa"/>
            <w:tcBorders>
              <w:top w:val="nil"/>
              <w:left w:val="nil"/>
              <w:bottom w:val="single" w:sz="4" w:space="0" w:color="auto"/>
              <w:right w:val="single" w:sz="4" w:space="0" w:color="auto"/>
            </w:tcBorders>
            <w:shd w:val="clear" w:color="auto" w:fill="auto"/>
            <w:vAlign w:val="center"/>
            <w:hideMark/>
          </w:tcPr>
          <w:p w14:paraId="33D6CBC9"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53,857</w:t>
            </w:r>
          </w:p>
        </w:tc>
        <w:tc>
          <w:tcPr>
            <w:tcW w:w="722" w:type="dxa"/>
            <w:tcBorders>
              <w:top w:val="nil"/>
              <w:left w:val="nil"/>
              <w:bottom w:val="single" w:sz="4" w:space="0" w:color="auto"/>
              <w:right w:val="single" w:sz="4" w:space="0" w:color="auto"/>
            </w:tcBorders>
            <w:shd w:val="clear" w:color="auto" w:fill="auto"/>
            <w:vAlign w:val="center"/>
            <w:hideMark/>
          </w:tcPr>
          <w:p w14:paraId="5254A7D3"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11.2%</w:t>
            </w:r>
          </w:p>
        </w:tc>
      </w:tr>
      <w:tr w:rsidR="007974A6" w:rsidRPr="00EE5714" w14:paraId="79069486" w14:textId="77777777" w:rsidTr="0014664B">
        <w:trPr>
          <w:trHeight w:val="301"/>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505DD001"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44,829</w:t>
            </w:r>
          </w:p>
        </w:tc>
        <w:tc>
          <w:tcPr>
            <w:tcW w:w="859" w:type="dxa"/>
            <w:tcBorders>
              <w:top w:val="nil"/>
              <w:left w:val="nil"/>
              <w:bottom w:val="single" w:sz="4" w:space="0" w:color="auto"/>
              <w:right w:val="single" w:sz="4" w:space="0" w:color="auto"/>
            </w:tcBorders>
            <w:shd w:val="clear" w:color="auto" w:fill="auto"/>
            <w:vAlign w:val="center"/>
            <w:hideMark/>
          </w:tcPr>
          <w:p w14:paraId="3A01A781"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9.5%</w:t>
            </w:r>
          </w:p>
        </w:tc>
        <w:tc>
          <w:tcPr>
            <w:tcW w:w="1093" w:type="dxa"/>
            <w:tcBorders>
              <w:top w:val="nil"/>
              <w:left w:val="nil"/>
              <w:bottom w:val="single" w:sz="4" w:space="0" w:color="auto"/>
              <w:right w:val="single" w:sz="4" w:space="0" w:color="auto"/>
            </w:tcBorders>
            <w:shd w:val="clear" w:color="auto" w:fill="auto"/>
            <w:vAlign w:val="center"/>
            <w:hideMark/>
          </w:tcPr>
          <w:p w14:paraId="6C83E457"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93" w:type="dxa"/>
            <w:vMerge/>
            <w:tcBorders>
              <w:top w:val="nil"/>
              <w:left w:val="single" w:sz="4" w:space="0" w:color="auto"/>
              <w:bottom w:val="single" w:sz="4" w:space="0" w:color="000000"/>
              <w:right w:val="single" w:sz="4" w:space="0" w:color="auto"/>
            </w:tcBorders>
            <w:vAlign w:val="center"/>
            <w:hideMark/>
          </w:tcPr>
          <w:p w14:paraId="1ADBCDB3" w14:textId="77777777" w:rsidR="007974A6" w:rsidRPr="00EE5714" w:rsidRDefault="007974A6" w:rsidP="007974A6">
            <w:pPr>
              <w:spacing w:after="0" w:line="240" w:lineRule="auto"/>
              <w:rPr>
                <w:rFonts w:ascii="Calibri" w:eastAsia="Times New Roman" w:hAnsi="Calibri" w:cs="Calibri"/>
                <w:color w:val="000000"/>
                <w:sz w:val="20"/>
                <w:szCs w:val="20"/>
              </w:rPr>
            </w:pPr>
          </w:p>
        </w:tc>
        <w:tc>
          <w:tcPr>
            <w:tcW w:w="1524" w:type="dxa"/>
            <w:tcBorders>
              <w:top w:val="nil"/>
              <w:left w:val="single" w:sz="4" w:space="0" w:color="auto"/>
              <w:bottom w:val="single" w:sz="4" w:space="0" w:color="auto"/>
              <w:right w:val="single" w:sz="4" w:space="0" w:color="auto"/>
            </w:tcBorders>
            <w:shd w:val="clear" w:color="auto" w:fill="auto"/>
            <w:vAlign w:val="center"/>
            <w:hideMark/>
          </w:tcPr>
          <w:p w14:paraId="7D6F1BAC"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1014" w:type="dxa"/>
            <w:tcBorders>
              <w:top w:val="nil"/>
              <w:left w:val="nil"/>
              <w:bottom w:val="single" w:sz="4" w:space="0" w:color="auto"/>
              <w:right w:val="single" w:sz="4" w:space="0" w:color="auto"/>
            </w:tcBorders>
            <w:shd w:val="clear" w:color="auto" w:fill="auto"/>
            <w:vAlign w:val="center"/>
            <w:hideMark/>
          </w:tcPr>
          <w:p w14:paraId="2A8598E9"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43,392</w:t>
            </w:r>
          </w:p>
        </w:tc>
        <w:tc>
          <w:tcPr>
            <w:tcW w:w="709" w:type="dxa"/>
            <w:tcBorders>
              <w:top w:val="nil"/>
              <w:left w:val="nil"/>
              <w:bottom w:val="single" w:sz="4" w:space="0" w:color="auto"/>
              <w:right w:val="single" w:sz="4" w:space="0" w:color="auto"/>
            </w:tcBorders>
            <w:shd w:val="clear" w:color="auto" w:fill="auto"/>
            <w:vAlign w:val="center"/>
            <w:hideMark/>
          </w:tcPr>
          <w:p w14:paraId="6247ED32"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4.1%</w:t>
            </w:r>
          </w:p>
        </w:tc>
        <w:tc>
          <w:tcPr>
            <w:tcW w:w="1308" w:type="dxa"/>
            <w:tcBorders>
              <w:top w:val="nil"/>
              <w:left w:val="nil"/>
              <w:bottom w:val="single" w:sz="4" w:space="0" w:color="auto"/>
              <w:right w:val="single" w:sz="4" w:space="0" w:color="auto"/>
            </w:tcBorders>
            <w:shd w:val="clear" w:color="auto" w:fill="auto"/>
            <w:vAlign w:val="center"/>
            <w:hideMark/>
          </w:tcPr>
          <w:p w14:paraId="7C638D19"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110" w:type="dxa"/>
            <w:tcBorders>
              <w:top w:val="nil"/>
              <w:left w:val="nil"/>
              <w:bottom w:val="single" w:sz="4" w:space="0" w:color="auto"/>
              <w:right w:val="single" w:sz="4" w:space="0" w:color="auto"/>
            </w:tcBorders>
            <w:shd w:val="clear" w:color="auto" w:fill="auto"/>
            <w:vAlign w:val="center"/>
            <w:hideMark/>
          </w:tcPr>
          <w:p w14:paraId="1228F48B"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48,790</w:t>
            </w:r>
          </w:p>
        </w:tc>
        <w:tc>
          <w:tcPr>
            <w:tcW w:w="722" w:type="dxa"/>
            <w:tcBorders>
              <w:top w:val="nil"/>
              <w:left w:val="nil"/>
              <w:bottom w:val="single" w:sz="4" w:space="0" w:color="auto"/>
              <w:right w:val="single" w:sz="4" w:space="0" w:color="auto"/>
            </w:tcBorders>
            <w:shd w:val="clear" w:color="auto" w:fill="auto"/>
            <w:vAlign w:val="center"/>
            <w:hideMark/>
          </w:tcPr>
          <w:p w14:paraId="483A20BB"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10.1%</w:t>
            </w:r>
          </w:p>
        </w:tc>
      </w:tr>
      <w:tr w:rsidR="007974A6" w:rsidRPr="00EE5714" w14:paraId="6745667B" w14:textId="77777777" w:rsidTr="0014664B">
        <w:trPr>
          <w:trHeight w:val="301"/>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0C7CDCC8"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17,122</w:t>
            </w:r>
          </w:p>
        </w:tc>
        <w:tc>
          <w:tcPr>
            <w:tcW w:w="859" w:type="dxa"/>
            <w:tcBorders>
              <w:top w:val="nil"/>
              <w:left w:val="nil"/>
              <w:bottom w:val="single" w:sz="4" w:space="0" w:color="auto"/>
              <w:right w:val="single" w:sz="4" w:space="0" w:color="auto"/>
            </w:tcBorders>
            <w:shd w:val="clear" w:color="auto" w:fill="auto"/>
            <w:vAlign w:val="center"/>
            <w:hideMark/>
          </w:tcPr>
          <w:p w14:paraId="2D2EA12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w:t>
            </w:r>
          </w:p>
        </w:tc>
        <w:tc>
          <w:tcPr>
            <w:tcW w:w="1093" w:type="dxa"/>
            <w:tcBorders>
              <w:top w:val="nil"/>
              <w:left w:val="nil"/>
              <w:bottom w:val="single" w:sz="4" w:space="0" w:color="auto"/>
              <w:right w:val="single" w:sz="4" w:space="0" w:color="auto"/>
            </w:tcBorders>
            <w:shd w:val="clear" w:color="auto" w:fill="auto"/>
            <w:vAlign w:val="center"/>
            <w:hideMark/>
          </w:tcPr>
          <w:p w14:paraId="70E8128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93" w:type="dxa"/>
            <w:vMerge/>
            <w:tcBorders>
              <w:top w:val="nil"/>
              <w:left w:val="single" w:sz="4" w:space="0" w:color="auto"/>
              <w:bottom w:val="single" w:sz="4" w:space="0" w:color="000000"/>
              <w:right w:val="single" w:sz="4" w:space="0" w:color="auto"/>
            </w:tcBorders>
            <w:vAlign w:val="center"/>
            <w:hideMark/>
          </w:tcPr>
          <w:p w14:paraId="121ABC74" w14:textId="77777777" w:rsidR="007974A6" w:rsidRPr="00EE5714" w:rsidRDefault="007974A6" w:rsidP="007974A6">
            <w:pPr>
              <w:spacing w:after="0" w:line="240" w:lineRule="auto"/>
              <w:rPr>
                <w:rFonts w:ascii="Calibri" w:eastAsia="Times New Roman" w:hAnsi="Calibri" w:cs="Calibri"/>
                <w:color w:val="000000"/>
                <w:sz w:val="20"/>
                <w:szCs w:val="20"/>
              </w:rPr>
            </w:pPr>
          </w:p>
        </w:tc>
        <w:tc>
          <w:tcPr>
            <w:tcW w:w="1524" w:type="dxa"/>
            <w:tcBorders>
              <w:top w:val="nil"/>
              <w:left w:val="single" w:sz="4" w:space="0" w:color="auto"/>
              <w:bottom w:val="single" w:sz="4" w:space="0" w:color="auto"/>
              <w:right w:val="single" w:sz="4" w:space="0" w:color="auto"/>
            </w:tcBorders>
            <w:shd w:val="clear" w:color="auto" w:fill="auto"/>
            <w:vAlign w:val="center"/>
            <w:hideMark/>
          </w:tcPr>
          <w:p w14:paraId="26BC5CAC"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1014" w:type="dxa"/>
            <w:tcBorders>
              <w:top w:val="nil"/>
              <w:left w:val="nil"/>
              <w:bottom w:val="single" w:sz="4" w:space="0" w:color="auto"/>
              <w:right w:val="single" w:sz="4" w:space="0" w:color="auto"/>
            </w:tcBorders>
            <w:shd w:val="clear" w:color="auto" w:fill="auto"/>
            <w:vAlign w:val="center"/>
            <w:hideMark/>
          </w:tcPr>
          <w:p w14:paraId="233C049C"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42,228</w:t>
            </w:r>
          </w:p>
        </w:tc>
        <w:tc>
          <w:tcPr>
            <w:tcW w:w="709" w:type="dxa"/>
            <w:tcBorders>
              <w:top w:val="nil"/>
              <w:left w:val="nil"/>
              <w:bottom w:val="single" w:sz="4" w:space="0" w:color="auto"/>
              <w:right w:val="single" w:sz="4" w:space="0" w:color="auto"/>
            </w:tcBorders>
            <w:shd w:val="clear" w:color="auto" w:fill="auto"/>
            <w:vAlign w:val="center"/>
            <w:hideMark/>
          </w:tcPr>
          <w:p w14:paraId="50898B25"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4.0%</w:t>
            </w:r>
          </w:p>
        </w:tc>
        <w:tc>
          <w:tcPr>
            <w:tcW w:w="1308" w:type="dxa"/>
            <w:tcBorders>
              <w:top w:val="nil"/>
              <w:left w:val="nil"/>
              <w:bottom w:val="single" w:sz="4" w:space="0" w:color="auto"/>
              <w:right w:val="single" w:sz="4" w:space="0" w:color="auto"/>
            </w:tcBorders>
            <w:shd w:val="clear" w:color="auto" w:fill="auto"/>
            <w:vAlign w:val="center"/>
            <w:hideMark/>
          </w:tcPr>
          <w:p w14:paraId="47ABE64E"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110" w:type="dxa"/>
            <w:tcBorders>
              <w:top w:val="nil"/>
              <w:left w:val="nil"/>
              <w:bottom w:val="single" w:sz="4" w:space="0" w:color="auto"/>
              <w:right w:val="single" w:sz="4" w:space="0" w:color="auto"/>
            </w:tcBorders>
            <w:shd w:val="clear" w:color="auto" w:fill="auto"/>
            <w:vAlign w:val="center"/>
            <w:hideMark/>
          </w:tcPr>
          <w:p w14:paraId="28AF0C57"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63,058</w:t>
            </w:r>
          </w:p>
        </w:tc>
        <w:tc>
          <w:tcPr>
            <w:tcW w:w="722" w:type="dxa"/>
            <w:tcBorders>
              <w:top w:val="nil"/>
              <w:left w:val="nil"/>
              <w:bottom w:val="single" w:sz="4" w:space="0" w:color="auto"/>
              <w:right w:val="single" w:sz="4" w:space="0" w:color="auto"/>
            </w:tcBorders>
            <w:shd w:val="clear" w:color="auto" w:fill="auto"/>
            <w:vAlign w:val="center"/>
            <w:hideMark/>
          </w:tcPr>
          <w:p w14:paraId="5E791C7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13.1%</w:t>
            </w:r>
          </w:p>
        </w:tc>
      </w:tr>
      <w:tr w:rsidR="007974A6" w:rsidRPr="00EE5714" w14:paraId="624E5714" w14:textId="77777777" w:rsidTr="0014664B">
        <w:trPr>
          <w:trHeight w:val="301"/>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6C795C71"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5,315</w:t>
            </w:r>
          </w:p>
        </w:tc>
        <w:tc>
          <w:tcPr>
            <w:tcW w:w="859" w:type="dxa"/>
            <w:tcBorders>
              <w:top w:val="nil"/>
              <w:left w:val="nil"/>
              <w:bottom w:val="single" w:sz="4" w:space="0" w:color="auto"/>
              <w:right w:val="single" w:sz="4" w:space="0" w:color="auto"/>
            </w:tcBorders>
            <w:shd w:val="clear" w:color="auto" w:fill="auto"/>
            <w:vAlign w:val="center"/>
            <w:hideMark/>
          </w:tcPr>
          <w:p w14:paraId="06DC3A23"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w:t>
            </w:r>
          </w:p>
        </w:tc>
        <w:tc>
          <w:tcPr>
            <w:tcW w:w="1093" w:type="dxa"/>
            <w:tcBorders>
              <w:top w:val="nil"/>
              <w:left w:val="nil"/>
              <w:bottom w:val="single" w:sz="4" w:space="0" w:color="auto"/>
              <w:right w:val="single" w:sz="4" w:space="0" w:color="auto"/>
            </w:tcBorders>
            <w:shd w:val="clear" w:color="auto" w:fill="auto"/>
            <w:vAlign w:val="center"/>
            <w:hideMark/>
          </w:tcPr>
          <w:p w14:paraId="49AF1786"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93" w:type="dxa"/>
            <w:vMerge/>
            <w:tcBorders>
              <w:top w:val="nil"/>
              <w:left w:val="single" w:sz="4" w:space="0" w:color="auto"/>
              <w:bottom w:val="single" w:sz="4" w:space="0" w:color="000000"/>
              <w:right w:val="single" w:sz="4" w:space="0" w:color="auto"/>
            </w:tcBorders>
            <w:vAlign w:val="center"/>
            <w:hideMark/>
          </w:tcPr>
          <w:p w14:paraId="5D263C1B" w14:textId="77777777" w:rsidR="007974A6" w:rsidRPr="00EE5714" w:rsidRDefault="007974A6" w:rsidP="007974A6">
            <w:pPr>
              <w:spacing w:after="0" w:line="240" w:lineRule="auto"/>
              <w:rPr>
                <w:rFonts w:ascii="Calibri" w:eastAsia="Times New Roman" w:hAnsi="Calibri" w:cs="Calibri"/>
                <w:color w:val="000000"/>
                <w:sz w:val="20"/>
                <w:szCs w:val="20"/>
              </w:rPr>
            </w:pPr>
          </w:p>
        </w:tc>
        <w:tc>
          <w:tcPr>
            <w:tcW w:w="1524" w:type="dxa"/>
            <w:tcBorders>
              <w:top w:val="nil"/>
              <w:left w:val="single" w:sz="4" w:space="0" w:color="auto"/>
              <w:bottom w:val="single" w:sz="4" w:space="0" w:color="auto"/>
              <w:right w:val="single" w:sz="4" w:space="0" w:color="auto"/>
            </w:tcBorders>
            <w:shd w:val="clear" w:color="auto" w:fill="auto"/>
            <w:vAlign w:val="center"/>
            <w:hideMark/>
          </w:tcPr>
          <w:p w14:paraId="1EDCBC2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1014" w:type="dxa"/>
            <w:tcBorders>
              <w:top w:val="nil"/>
              <w:left w:val="nil"/>
              <w:bottom w:val="single" w:sz="4" w:space="0" w:color="auto"/>
              <w:right w:val="single" w:sz="4" w:space="0" w:color="auto"/>
            </w:tcBorders>
            <w:shd w:val="clear" w:color="auto" w:fill="auto"/>
            <w:vAlign w:val="center"/>
            <w:hideMark/>
          </w:tcPr>
          <w:p w14:paraId="152A6CE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61,396</w:t>
            </w:r>
          </w:p>
        </w:tc>
        <w:tc>
          <w:tcPr>
            <w:tcW w:w="709" w:type="dxa"/>
            <w:tcBorders>
              <w:top w:val="nil"/>
              <w:left w:val="nil"/>
              <w:bottom w:val="single" w:sz="4" w:space="0" w:color="auto"/>
              <w:right w:val="single" w:sz="4" w:space="0" w:color="auto"/>
            </w:tcBorders>
            <w:shd w:val="clear" w:color="auto" w:fill="auto"/>
            <w:vAlign w:val="center"/>
            <w:hideMark/>
          </w:tcPr>
          <w:p w14:paraId="179F7EE8"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5.8%</w:t>
            </w:r>
          </w:p>
        </w:tc>
        <w:tc>
          <w:tcPr>
            <w:tcW w:w="1308" w:type="dxa"/>
            <w:tcBorders>
              <w:top w:val="nil"/>
              <w:left w:val="nil"/>
              <w:bottom w:val="single" w:sz="4" w:space="0" w:color="auto"/>
              <w:right w:val="single" w:sz="4" w:space="0" w:color="auto"/>
            </w:tcBorders>
            <w:shd w:val="clear" w:color="auto" w:fill="auto"/>
            <w:vAlign w:val="center"/>
            <w:hideMark/>
          </w:tcPr>
          <w:p w14:paraId="5CD4403A"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110" w:type="dxa"/>
            <w:tcBorders>
              <w:top w:val="nil"/>
              <w:left w:val="nil"/>
              <w:bottom w:val="single" w:sz="4" w:space="0" w:color="auto"/>
              <w:right w:val="single" w:sz="4" w:space="0" w:color="auto"/>
            </w:tcBorders>
            <w:shd w:val="clear" w:color="auto" w:fill="auto"/>
            <w:vAlign w:val="center"/>
            <w:hideMark/>
          </w:tcPr>
          <w:p w14:paraId="55B0E8E1"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85,800</w:t>
            </w:r>
          </w:p>
        </w:tc>
        <w:tc>
          <w:tcPr>
            <w:tcW w:w="722" w:type="dxa"/>
            <w:tcBorders>
              <w:top w:val="nil"/>
              <w:left w:val="nil"/>
              <w:bottom w:val="single" w:sz="4" w:space="0" w:color="auto"/>
              <w:right w:val="single" w:sz="4" w:space="0" w:color="auto"/>
            </w:tcBorders>
            <w:shd w:val="clear" w:color="auto" w:fill="auto"/>
            <w:vAlign w:val="center"/>
            <w:hideMark/>
          </w:tcPr>
          <w:p w14:paraId="7EE2EA95"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17.8%</w:t>
            </w:r>
          </w:p>
        </w:tc>
      </w:tr>
      <w:tr w:rsidR="007974A6" w:rsidRPr="00EE5714" w14:paraId="4CC552D0" w14:textId="77777777" w:rsidTr="0014664B">
        <w:trPr>
          <w:trHeight w:val="301"/>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726F8B5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lastRenderedPageBreak/>
              <w:t>2,644</w:t>
            </w:r>
          </w:p>
        </w:tc>
        <w:tc>
          <w:tcPr>
            <w:tcW w:w="859" w:type="dxa"/>
            <w:tcBorders>
              <w:top w:val="nil"/>
              <w:left w:val="nil"/>
              <w:bottom w:val="single" w:sz="4" w:space="0" w:color="auto"/>
              <w:right w:val="single" w:sz="4" w:space="0" w:color="auto"/>
            </w:tcBorders>
            <w:shd w:val="clear" w:color="auto" w:fill="auto"/>
            <w:vAlign w:val="center"/>
            <w:hideMark/>
          </w:tcPr>
          <w:p w14:paraId="3C41196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093" w:type="dxa"/>
            <w:tcBorders>
              <w:top w:val="nil"/>
              <w:left w:val="nil"/>
              <w:bottom w:val="single" w:sz="4" w:space="0" w:color="auto"/>
              <w:right w:val="single" w:sz="4" w:space="0" w:color="auto"/>
            </w:tcBorders>
            <w:shd w:val="clear" w:color="auto" w:fill="auto"/>
            <w:vAlign w:val="center"/>
            <w:hideMark/>
          </w:tcPr>
          <w:p w14:paraId="2877DF2E"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93" w:type="dxa"/>
            <w:vMerge/>
            <w:tcBorders>
              <w:top w:val="nil"/>
              <w:left w:val="single" w:sz="4" w:space="0" w:color="auto"/>
              <w:bottom w:val="single" w:sz="4" w:space="0" w:color="000000"/>
              <w:right w:val="single" w:sz="4" w:space="0" w:color="auto"/>
            </w:tcBorders>
            <w:vAlign w:val="center"/>
            <w:hideMark/>
          </w:tcPr>
          <w:p w14:paraId="19B9B6FD" w14:textId="77777777" w:rsidR="007974A6" w:rsidRPr="00EE5714" w:rsidRDefault="007974A6" w:rsidP="007974A6">
            <w:pPr>
              <w:spacing w:after="0" w:line="240" w:lineRule="auto"/>
              <w:rPr>
                <w:rFonts w:ascii="Calibri" w:eastAsia="Times New Roman" w:hAnsi="Calibri" w:cs="Calibri"/>
                <w:color w:val="000000"/>
                <w:sz w:val="20"/>
                <w:szCs w:val="20"/>
              </w:rPr>
            </w:pPr>
          </w:p>
        </w:tc>
        <w:tc>
          <w:tcPr>
            <w:tcW w:w="1524" w:type="dxa"/>
            <w:tcBorders>
              <w:top w:val="nil"/>
              <w:left w:val="single" w:sz="4" w:space="0" w:color="auto"/>
              <w:bottom w:val="single" w:sz="4" w:space="0" w:color="auto"/>
              <w:right w:val="single" w:sz="4" w:space="0" w:color="auto"/>
            </w:tcBorders>
            <w:shd w:val="clear" w:color="auto" w:fill="auto"/>
            <w:vAlign w:val="center"/>
            <w:hideMark/>
          </w:tcPr>
          <w:p w14:paraId="04ADC222"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1014" w:type="dxa"/>
            <w:tcBorders>
              <w:top w:val="nil"/>
              <w:left w:val="nil"/>
              <w:bottom w:val="single" w:sz="4" w:space="0" w:color="auto"/>
              <w:right w:val="single" w:sz="4" w:space="0" w:color="auto"/>
            </w:tcBorders>
            <w:shd w:val="clear" w:color="auto" w:fill="auto"/>
            <w:vAlign w:val="center"/>
            <w:hideMark/>
          </w:tcPr>
          <w:p w14:paraId="18FD4B0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26,686</w:t>
            </w:r>
          </w:p>
        </w:tc>
        <w:tc>
          <w:tcPr>
            <w:tcW w:w="709" w:type="dxa"/>
            <w:tcBorders>
              <w:top w:val="nil"/>
              <w:left w:val="nil"/>
              <w:bottom w:val="single" w:sz="4" w:space="0" w:color="auto"/>
              <w:right w:val="single" w:sz="4" w:space="0" w:color="auto"/>
            </w:tcBorders>
            <w:shd w:val="clear" w:color="auto" w:fill="auto"/>
            <w:vAlign w:val="center"/>
            <w:hideMark/>
          </w:tcPr>
          <w:p w14:paraId="4832FEC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w:t>
            </w:r>
          </w:p>
        </w:tc>
        <w:tc>
          <w:tcPr>
            <w:tcW w:w="1308" w:type="dxa"/>
            <w:tcBorders>
              <w:top w:val="nil"/>
              <w:left w:val="nil"/>
              <w:bottom w:val="single" w:sz="4" w:space="0" w:color="auto"/>
              <w:right w:val="single" w:sz="4" w:space="0" w:color="auto"/>
            </w:tcBorders>
            <w:shd w:val="clear" w:color="auto" w:fill="auto"/>
            <w:vAlign w:val="center"/>
            <w:hideMark/>
          </w:tcPr>
          <w:p w14:paraId="67646EC8"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110" w:type="dxa"/>
            <w:tcBorders>
              <w:top w:val="nil"/>
              <w:left w:val="nil"/>
              <w:bottom w:val="single" w:sz="4" w:space="0" w:color="auto"/>
              <w:right w:val="single" w:sz="4" w:space="0" w:color="auto"/>
            </w:tcBorders>
            <w:shd w:val="clear" w:color="auto" w:fill="auto"/>
            <w:vAlign w:val="center"/>
            <w:hideMark/>
          </w:tcPr>
          <w:p w14:paraId="12FAD6BC"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58,403</w:t>
            </w:r>
          </w:p>
        </w:tc>
        <w:tc>
          <w:tcPr>
            <w:tcW w:w="722" w:type="dxa"/>
            <w:tcBorders>
              <w:top w:val="nil"/>
              <w:left w:val="nil"/>
              <w:bottom w:val="single" w:sz="4" w:space="0" w:color="auto"/>
              <w:right w:val="single" w:sz="4" w:space="0" w:color="auto"/>
            </w:tcBorders>
            <w:shd w:val="clear" w:color="auto" w:fill="auto"/>
            <w:vAlign w:val="center"/>
            <w:hideMark/>
          </w:tcPr>
          <w:p w14:paraId="3C0CA93D"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12.1%</w:t>
            </w:r>
          </w:p>
        </w:tc>
      </w:tr>
      <w:tr w:rsidR="007974A6" w:rsidRPr="00EE5714" w14:paraId="25825392" w14:textId="77777777" w:rsidTr="0014664B">
        <w:trPr>
          <w:trHeight w:val="301"/>
          <w:jc w:val="center"/>
        </w:trPr>
        <w:tc>
          <w:tcPr>
            <w:tcW w:w="1172" w:type="dxa"/>
            <w:tcBorders>
              <w:top w:val="nil"/>
              <w:left w:val="single" w:sz="4" w:space="0" w:color="auto"/>
              <w:bottom w:val="single" w:sz="4" w:space="0" w:color="auto"/>
              <w:right w:val="single" w:sz="4" w:space="0" w:color="auto"/>
            </w:tcBorders>
            <w:shd w:val="clear" w:color="000000" w:fill="E7E6E6"/>
            <w:vAlign w:val="center"/>
            <w:hideMark/>
          </w:tcPr>
          <w:p w14:paraId="4906E49B"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44.20%</w:t>
            </w:r>
          </w:p>
        </w:tc>
        <w:tc>
          <w:tcPr>
            <w:tcW w:w="859" w:type="dxa"/>
            <w:tcBorders>
              <w:top w:val="nil"/>
              <w:left w:val="nil"/>
              <w:bottom w:val="single" w:sz="4" w:space="0" w:color="auto"/>
              <w:right w:val="single" w:sz="4" w:space="0" w:color="auto"/>
            </w:tcBorders>
            <w:shd w:val="clear" w:color="000000" w:fill="E7E6E6"/>
            <w:vAlign w:val="center"/>
            <w:hideMark/>
          </w:tcPr>
          <w:p w14:paraId="287CEF7E"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187"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5BFC7ECD"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4" w:type="dxa"/>
            <w:tcBorders>
              <w:top w:val="nil"/>
              <w:left w:val="single" w:sz="4" w:space="0" w:color="auto"/>
              <w:bottom w:val="single" w:sz="4" w:space="0" w:color="auto"/>
              <w:right w:val="single" w:sz="4" w:space="0" w:color="auto"/>
            </w:tcBorders>
            <w:shd w:val="clear" w:color="auto" w:fill="auto"/>
            <w:vAlign w:val="center"/>
            <w:hideMark/>
          </w:tcPr>
          <w:p w14:paraId="00996A0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1014" w:type="dxa"/>
            <w:tcBorders>
              <w:top w:val="nil"/>
              <w:left w:val="nil"/>
              <w:bottom w:val="single" w:sz="4" w:space="0" w:color="auto"/>
              <w:right w:val="single" w:sz="4" w:space="0" w:color="auto"/>
            </w:tcBorders>
            <w:shd w:val="clear" w:color="auto" w:fill="auto"/>
            <w:vAlign w:val="center"/>
            <w:hideMark/>
          </w:tcPr>
          <w:p w14:paraId="18842837"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730,750</w:t>
            </w:r>
          </w:p>
        </w:tc>
        <w:tc>
          <w:tcPr>
            <w:tcW w:w="709" w:type="dxa"/>
            <w:tcBorders>
              <w:top w:val="nil"/>
              <w:left w:val="nil"/>
              <w:bottom w:val="single" w:sz="4" w:space="0" w:color="auto"/>
              <w:right w:val="single" w:sz="4" w:space="0" w:color="auto"/>
            </w:tcBorders>
            <w:shd w:val="clear" w:color="auto" w:fill="auto"/>
            <w:vAlign w:val="center"/>
            <w:hideMark/>
          </w:tcPr>
          <w:p w14:paraId="210791E3"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69.4%</w:t>
            </w:r>
          </w:p>
        </w:tc>
        <w:tc>
          <w:tcPr>
            <w:tcW w:w="1308" w:type="dxa"/>
            <w:tcBorders>
              <w:top w:val="nil"/>
              <w:left w:val="nil"/>
              <w:bottom w:val="single" w:sz="4" w:space="0" w:color="auto"/>
              <w:right w:val="single" w:sz="4" w:space="0" w:color="auto"/>
            </w:tcBorders>
            <w:shd w:val="clear" w:color="auto" w:fill="auto"/>
            <w:vAlign w:val="center"/>
            <w:hideMark/>
          </w:tcPr>
          <w:p w14:paraId="3A747085"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110" w:type="dxa"/>
            <w:tcBorders>
              <w:top w:val="nil"/>
              <w:left w:val="nil"/>
              <w:bottom w:val="single" w:sz="4" w:space="0" w:color="auto"/>
              <w:right w:val="single" w:sz="4" w:space="0" w:color="auto"/>
            </w:tcBorders>
            <w:shd w:val="clear" w:color="auto" w:fill="auto"/>
            <w:vAlign w:val="center"/>
            <w:hideMark/>
          </w:tcPr>
          <w:p w14:paraId="200D5F3E"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62,756</w:t>
            </w:r>
          </w:p>
        </w:tc>
        <w:tc>
          <w:tcPr>
            <w:tcW w:w="722" w:type="dxa"/>
            <w:tcBorders>
              <w:top w:val="nil"/>
              <w:left w:val="nil"/>
              <w:bottom w:val="single" w:sz="4" w:space="0" w:color="auto"/>
              <w:right w:val="single" w:sz="4" w:space="0" w:color="auto"/>
            </w:tcBorders>
            <w:shd w:val="clear" w:color="auto" w:fill="auto"/>
            <w:vAlign w:val="center"/>
            <w:hideMark/>
          </w:tcPr>
          <w:p w14:paraId="3C0BA33E"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13.0%</w:t>
            </w:r>
          </w:p>
        </w:tc>
      </w:tr>
      <w:tr w:rsidR="007974A6" w:rsidRPr="00EE5714" w14:paraId="4D0B15DF" w14:textId="77777777" w:rsidTr="0014664B">
        <w:trPr>
          <w:trHeight w:val="301"/>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13CCDDE9"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172,945</w:t>
            </w:r>
          </w:p>
        </w:tc>
        <w:tc>
          <w:tcPr>
            <w:tcW w:w="859" w:type="dxa"/>
            <w:tcBorders>
              <w:top w:val="nil"/>
              <w:left w:val="nil"/>
              <w:bottom w:val="single" w:sz="4" w:space="0" w:color="auto"/>
              <w:right w:val="single" w:sz="4" w:space="0" w:color="auto"/>
            </w:tcBorders>
            <w:shd w:val="clear" w:color="auto" w:fill="auto"/>
            <w:vAlign w:val="center"/>
            <w:hideMark/>
          </w:tcPr>
          <w:p w14:paraId="3569ED4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36.6%</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3BC0175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534BD23F"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36.6%</w:t>
            </w:r>
          </w:p>
        </w:tc>
        <w:tc>
          <w:tcPr>
            <w:tcW w:w="1524" w:type="dxa"/>
            <w:tcBorders>
              <w:top w:val="nil"/>
              <w:left w:val="nil"/>
              <w:bottom w:val="single" w:sz="4" w:space="0" w:color="auto"/>
              <w:right w:val="single" w:sz="4" w:space="0" w:color="auto"/>
            </w:tcBorders>
            <w:shd w:val="clear" w:color="auto" w:fill="auto"/>
            <w:vAlign w:val="center"/>
            <w:hideMark/>
          </w:tcPr>
          <w:p w14:paraId="1ECDA7D6"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hideMark/>
          </w:tcPr>
          <w:p w14:paraId="52AC7443"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1,052,376</w:t>
            </w:r>
          </w:p>
        </w:tc>
        <w:tc>
          <w:tcPr>
            <w:tcW w:w="709" w:type="dxa"/>
            <w:tcBorders>
              <w:top w:val="nil"/>
              <w:left w:val="nil"/>
              <w:bottom w:val="single" w:sz="4" w:space="0" w:color="auto"/>
              <w:right w:val="single" w:sz="4" w:space="0" w:color="auto"/>
            </w:tcBorders>
            <w:shd w:val="clear" w:color="auto" w:fill="auto"/>
            <w:vAlign w:val="center"/>
            <w:hideMark/>
          </w:tcPr>
          <w:p w14:paraId="3CF51F08"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14:paraId="22B456F1"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110" w:type="dxa"/>
            <w:tcBorders>
              <w:top w:val="nil"/>
              <w:left w:val="nil"/>
              <w:bottom w:val="single" w:sz="4" w:space="0" w:color="auto"/>
              <w:right w:val="single" w:sz="4" w:space="0" w:color="auto"/>
            </w:tcBorders>
            <w:shd w:val="clear" w:color="auto" w:fill="auto"/>
            <w:vAlign w:val="center"/>
            <w:hideMark/>
          </w:tcPr>
          <w:p w14:paraId="7B7817A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23,719</w:t>
            </w:r>
          </w:p>
        </w:tc>
        <w:tc>
          <w:tcPr>
            <w:tcW w:w="722" w:type="dxa"/>
            <w:tcBorders>
              <w:top w:val="nil"/>
              <w:left w:val="nil"/>
              <w:bottom w:val="single" w:sz="4" w:space="0" w:color="auto"/>
              <w:right w:val="single" w:sz="4" w:space="0" w:color="auto"/>
            </w:tcBorders>
            <w:shd w:val="clear" w:color="auto" w:fill="auto"/>
            <w:vAlign w:val="center"/>
            <w:hideMark/>
          </w:tcPr>
          <w:p w14:paraId="492FE258"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4.9%</w:t>
            </w:r>
          </w:p>
        </w:tc>
      </w:tr>
      <w:tr w:rsidR="007974A6" w:rsidRPr="00EE5714" w14:paraId="58442853" w14:textId="77777777" w:rsidTr="0014664B">
        <w:trPr>
          <w:trHeight w:val="301"/>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3D52E5ED"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29,793</w:t>
            </w:r>
          </w:p>
        </w:tc>
        <w:tc>
          <w:tcPr>
            <w:tcW w:w="859" w:type="dxa"/>
            <w:tcBorders>
              <w:top w:val="nil"/>
              <w:left w:val="nil"/>
              <w:bottom w:val="single" w:sz="4" w:space="0" w:color="auto"/>
              <w:right w:val="single" w:sz="4" w:space="0" w:color="auto"/>
            </w:tcBorders>
            <w:shd w:val="clear" w:color="auto" w:fill="auto"/>
            <w:vAlign w:val="center"/>
            <w:hideMark/>
          </w:tcPr>
          <w:p w14:paraId="304B8DBD"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w:t>
            </w:r>
          </w:p>
        </w:tc>
        <w:tc>
          <w:tcPr>
            <w:tcW w:w="1093" w:type="dxa"/>
            <w:tcBorders>
              <w:top w:val="nil"/>
              <w:left w:val="nil"/>
              <w:bottom w:val="single" w:sz="4" w:space="0" w:color="auto"/>
              <w:right w:val="single" w:sz="4" w:space="0" w:color="auto"/>
            </w:tcBorders>
            <w:shd w:val="clear" w:color="auto" w:fill="auto"/>
            <w:vAlign w:val="center"/>
            <w:hideMark/>
          </w:tcPr>
          <w:p w14:paraId="5D8960ED"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93" w:type="dxa"/>
            <w:tcBorders>
              <w:top w:val="nil"/>
              <w:left w:val="nil"/>
              <w:bottom w:val="single" w:sz="4" w:space="0" w:color="auto"/>
              <w:right w:val="single" w:sz="4" w:space="0" w:color="auto"/>
            </w:tcBorders>
            <w:shd w:val="clear" w:color="auto" w:fill="auto"/>
            <w:vAlign w:val="center"/>
            <w:hideMark/>
          </w:tcPr>
          <w:p w14:paraId="7A58590F"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33.8%</w:t>
            </w:r>
          </w:p>
        </w:tc>
        <w:tc>
          <w:tcPr>
            <w:tcW w:w="324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A5D830C"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08" w:type="dxa"/>
            <w:tcBorders>
              <w:top w:val="nil"/>
              <w:left w:val="single" w:sz="4" w:space="0" w:color="auto"/>
              <w:bottom w:val="single" w:sz="4" w:space="0" w:color="auto"/>
              <w:right w:val="single" w:sz="4" w:space="0" w:color="auto"/>
            </w:tcBorders>
            <w:shd w:val="clear" w:color="auto" w:fill="auto"/>
            <w:vAlign w:val="center"/>
            <w:hideMark/>
          </w:tcPr>
          <w:p w14:paraId="60791ABB"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110" w:type="dxa"/>
            <w:tcBorders>
              <w:top w:val="nil"/>
              <w:left w:val="nil"/>
              <w:bottom w:val="single" w:sz="4" w:space="0" w:color="auto"/>
              <w:right w:val="single" w:sz="4" w:space="0" w:color="auto"/>
            </w:tcBorders>
            <w:shd w:val="clear" w:color="auto" w:fill="auto"/>
            <w:vAlign w:val="center"/>
            <w:hideMark/>
          </w:tcPr>
          <w:p w14:paraId="21035AB1"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24,143</w:t>
            </w:r>
          </w:p>
        </w:tc>
        <w:tc>
          <w:tcPr>
            <w:tcW w:w="722" w:type="dxa"/>
            <w:tcBorders>
              <w:top w:val="nil"/>
              <w:left w:val="nil"/>
              <w:bottom w:val="single" w:sz="4" w:space="0" w:color="auto"/>
              <w:right w:val="single" w:sz="4" w:space="0" w:color="auto"/>
            </w:tcBorders>
            <w:shd w:val="clear" w:color="auto" w:fill="auto"/>
            <w:vAlign w:val="center"/>
            <w:hideMark/>
          </w:tcPr>
          <w:p w14:paraId="18BAFB37"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w:t>
            </w:r>
          </w:p>
        </w:tc>
      </w:tr>
      <w:tr w:rsidR="007974A6" w:rsidRPr="00EE5714" w14:paraId="53EF7D93" w14:textId="77777777" w:rsidTr="0014664B">
        <w:trPr>
          <w:trHeight w:val="512"/>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49CBCC99"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4,186</w:t>
            </w:r>
          </w:p>
        </w:tc>
        <w:tc>
          <w:tcPr>
            <w:tcW w:w="859" w:type="dxa"/>
            <w:tcBorders>
              <w:top w:val="nil"/>
              <w:left w:val="nil"/>
              <w:bottom w:val="single" w:sz="4" w:space="0" w:color="auto"/>
              <w:right w:val="single" w:sz="4" w:space="0" w:color="auto"/>
            </w:tcBorders>
            <w:shd w:val="clear" w:color="auto" w:fill="auto"/>
            <w:vAlign w:val="center"/>
            <w:hideMark/>
          </w:tcPr>
          <w:p w14:paraId="2A74D842"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0.9%</w:t>
            </w:r>
          </w:p>
        </w:tc>
        <w:tc>
          <w:tcPr>
            <w:tcW w:w="1093" w:type="dxa"/>
            <w:tcBorders>
              <w:top w:val="nil"/>
              <w:left w:val="nil"/>
              <w:bottom w:val="single" w:sz="4" w:space="0" w:color="auto"/>
              <w:right w:val="single" w:sz="4" w:space="0" w:color="auto"/>
            </w:tcBorders>
            <w:shd w:val="clear" w:color="auto" w:fill="auto"/>
            <w:vAlign w:val="center"/>
            <w:hideMark/>
          </w:tcPr>
          <w:p w14:paraId="5F992B2D"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93" w:type="dxa"/>
            <w:tcBorders>
              <w:top w:val="nil"/>
              <w:left w:val="nil"/>
              <w:bottom w:val="single" w:sz="4" w:space="0" w:color="auto"/>
              <w:right w:val="single" w:sz="4" w:space="0" w:color="auto"/>
            </w:tcBorders>
            <w:shd w:val="clear" w:color="auto" w:fill="auto"/>
            <w:vAlign w:val="center"/>
            <w:hideMark/>
          </w:tcPr>
          <w:p w14:paraId="121A36F7"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14.4%</w:t>
            </w:r>
          </w:p>
        </w:tc>
        <w:tc>
          <w:tcPr>
            <w:tcW w:w="1524" w:type="dxa"/>
            <w:tcBorders>
              <w:top w:val="single" w:sz="4" w:space="0" w:color="auto"/>
              <w:left w:val="nil"/>
              <w:bottom w:val="single" w:sz="4" w:space="0" w:color="auto"/>
              <w:right w:val="single" w:sz="4" w:space="0" w:color="auto"/>
            </w:tcBorders>
            <w:shd w:val="clear" w:color="000000" w:fill="E7E6E6"/>
            <w:vAlign w:val="center"/>
            <w:hideMark/>
          </w:tcPr>
          <w:p w14:paraId="12BB5E80"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1014" w:type="dxa"/>
            <w:tcBorders>
              <w:top w:val="single" w:sz="4" w:space="0" w:color="auto"/>
              <w:left w:val="nil"/>
              <w:bottom w:val="single" w:sz="4" w:space="0" w:color="auto"/>
              <w:right w:val="single" w:sz="4" w:space="0" w:color="auto"/>
            </w:tcBorders>
            <w:shd w:val="clear" w:color="000000" w:fill="E7E6E6"/>
            <w:vAlign w:val="center"/>
            <w:hideMark/>
          </w:tcPr>
          <w:p w14:paraId="392513E4"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09" w:type="dxa"/>
            <w:tcBorders>
              <w:top w:val="single" w:sz="4" w:space="0" w:color="auto"/>
              <w:left w:val="nil"/>
              <w:bottom w:val="single" w:sz="4" w:space="0" w:color="auto"/>
              <w:right w:val="single" w:sz="4" w:space="0" w:color="auto"/>
            </w:tcBorders>
            <w:shd w:val="clear" w:color="000000" w:fill="E7E6E6"/>
            <w:vAlign w:val="center"/>
            <w:hideMark/>
          </w:tcPr>
          <w:p w14:paraId="5E78DEEE"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308" w:type="dxa"/>
            <w:tcBorders>
              <w:top w:val="nil"/>
              <w:left w:val="nil"/>
              <w:bottom w:val="single" w:sz="4" w:space="0" w:color="auto"/>
              <w:right w:val="single" w:sz="4" w:space="0" w:color="auto"/>
            </w:tcBorders>
            <w:shd w:val="clear" w:color="auto" w:fill="auto"/>
            <w:vAlign w:val="center"/>
            <w:hideMark/>
          </w:tcPr>
          <w:p w14:paraId="5E0D26C7"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10" w:type="dxa"/>
            <w:tcBorders>
              <w:top w:val="nil"/>
              <w:left w:val="nil"/>
              <w:bottom w:val="single" w:sz="4" w:space="0" w:color="auto"/>
              <w:right w:val="single" w:sz="4" w:space="0" w:color="auto"/>
            </w:tcBorders>
            <w:shd w:val="clear" w:color="auto" w:fill="auto"/>
            <w:vAlign w:val="center"/>
            <w:hideMark/>
          </w:tcPr>
          <w:p w14:paraId="399583B9"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482,536</w:t>
            </w:r>
          </w:p>
        </w:tc>
        <w:tc>
          <w:tcPr>
            <w:tcW w:w="722" w:type="dxa"/>
            <w:tcBorders>
              <w:top w:val="nil"/>
              <w:left w:val="nil"/>
              <w:bottom w:val="single" w:sz="4" w:space="0" w:color="auto"/>
              <w:right w:val="single" w:sz="4" w:space="0" w:color="auto"/>
            </w:tcBorders>
            <w:shd w:val="clear" w:color="auto" w:fill="auto"/>
            <w:vAlign w:val="center"/>
            <w:hideMark/>
          </w:tcPr>
          <w:p w14:paraId="37EB2B78"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974A6" w:rsidRPr="00EE5714" w14:paraId="3EBFD41D" w14:textId="77777777" w:rsidTr="0014664B">
        <w:trPr>
          <w:trHeight w:val="301"/>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25B14838"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1,366</w:t>
            </w:r>
          </w:p>
        </w:tc>
        <w:tc>
          <w:tcPr>
            <w:tcW w:w="859" w:type="dxa"/>
            <w:tcBorders>
              <w:top w:val="nil"/>
              <w:left w:val="nil"/>
              <w:bottom w:val="single" w:sz="4" w:space="0" w:color="auto"/>
              <w:right w:val="single" w:sz="4" w:space="0" w:color="auto"/>
            </w:tcBorders>
            <w:shd w:val="clear" w:color="auto" w:fill="auto"/>
            <w:vAlign w:val="center"/>
            <w:hideMark/>
          </w:tcPr>
          <w:p w14:paraId="1D2C61B1"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093" w:type="dxa"/>
            <w:tcBorders>
              <w:top w:val="nil"/>
              <w:left w:val="nil"/>
              <w:bottom w:val="single" w:sz="4" w:space="0" w:color="auto"/>
              <w:right w:val="single" w:sz="4" w:space="0" w:color="auto"/>
            </w:tcBorders>
            <w:shd w:val="clear" w:color="auto" w:fill="auto"/>
            <w:vAlign w:val="center"/>
            <w:hideMark/>
          </w:tcPr>
          <w:p w14:paraId="4AAC7281"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93" w:type="dxa"/>
            <w:tcBorders>
              <w:top w:val="nil"/>
              <w:left w:val="nil"/>
              <w:bottom w:val="single" w:sz="4" w:space="0" w:color="auto"/>
              <w:right w:val="single" w:sz="4" w:space="0" w:color="auto"/>
            </w:tcBorders>
            <w:shd w:val="clear" w:color="auto" w:fill="auto"/>
            <w:vAlign w:val="center"/>
            <w:hideMark/>
          </w:tcPr>
          <w:p w14:paraId="54B1A956"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9.8%</w:t>
            </w:r>
          </w:p>
        </w:tc>
        <w:tc>
          <w:tcPr>
            <w:tcW w:w="1524" w:type="dxa"/>
            <w:tcBorders>
              <w:top w:val="nil"/>
              <w:left w:val="nil"/>
              <w:bottom w:val="single" w:sz="4" w:space="0" w:color="auto"/>
              <w:right w:val="single" w:sz="4" w:space="0" w:color="auto"/>
            </w:tcBorders>
            <w:shd w:val="clear" w:color="auto" w:fill="auto"/>
            <w:vAlign w:val="center"/>
            <w:hideMark/>
          </w:tcPr>
          <w:p w14:paraId="3EBA265A"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1014" w:type="dxa"/>
            <w:tcBorders>
              <w:top w:val="nil"/>
              <w:left w:val="nil"/>
              <w:bottom w:val="single" w:sz="4" w:space="0" w:color="auto"/>
              <w:right w:val="single" w:sz="4" w:space="0" w:color="auto"/>
            </w:tcBorders>
            <w:shd w:val="clear" w:color="auto" w:fill="auto"/>
            <w:vAlign w:val="center"/>
            <w:hideMark/>
          </w:tcPr>
          <w:p w14:paraId="065E29EF"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390,142</w:t>
            </w:r>
          </w:p>
        </w:tc>
        <w:tc>
          <w:tcPr>
            <w:tcW w:w="709" w:type="dxa"/>
            <w:tcBorders>
              <w:top w:val="nil"/>
              <w:left w:val="nil"/>
              <w:bottom w:val="single" w:sz="4" w:space="0" w:color="auto"/>
              <w:right w:val="single" w:sz="4" w:space="0" w:color="auto"/>
            </w:tcBorders>
            <w:shd w:val="clear" w:color="auto" w:fill="auto"/>
            <w:vAlign w:val="center"/>
            <w:hideMark/>
          </w:tcPr>
          <w:p w14:paraId="657B6421"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82.5%</w:t>
            </w:r>
          </w:p>
        </w:tc>
        <w:tc>
          <w:tcPr>
            <w:tcW w:w="1308" w:type="dxa"/>
            <w:tcBorders>
              <w:top w:val="nil"/>
              <w:left w:val="nil"/>
              <w:bottom w:val="single" w:sz="4" w:space="0" w:color="auto"/>
              <w:right w:val="single" w:sz="4" w:space="0" w:color="auto"/>
            </w:tcBorders>
            <w:shd w:val="clear" w:color="auto" w:fill="auto"/>
            <w:vAlign w:val="center"/>
            <w:hideMark/>
          </w:tcPr>
          <w:p w14:paraId="49BD2991"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8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F088DF"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$52,773</w:t>
            </w:r>
          </w:p>
        </w:tc>
      </w:tr>
      <w:tr w:rsidR="007974A6" w:rsidRPr="00EE5714" w14:paraId="62BA19F1" w14:textId="77777777" w:rsidTr="0014664B">
        <w:trPr>
          <w:trHeight w:val="512"/>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6039352C"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394</w:t>
            </w:r>
          </w:p>
        </w:tc>
        <w:tc>
          <w:tcPr>
            <w:tcW w:w="859" w:type="dxa"/>
            <w:tcBorders>
              <w:top w:val="nil"/>
              <w:left w:val="nil"/>
              <w:bottom w:val="single" w:sz="4" w:space="0" w:color="auto"/>
              <w:right w:val="single" w:sz="4" w:space="0" w:color="auto"/>
            </w:tcBorders>
            <w:shd w:val="clear" w:color="auto" w:fill="auto"/>
            <w:vAlign w:val="center"/>
            <w:hideMark/>
          </w:tcPr>
          <w:p w14:paraId="0DB9D49F"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093" w:type="dxa"/>
            <w:tcBorders>
              <w:top w:val="nil"/>
              <w:left w:val="nil"/>
              <w:bottom w:val="single" w:sz="4" w:space="0" w:color="auto"/>
              <w:right w:val="single" w:sz="4" w:space="0" w:color="auto"/>
            </w:tcBorders>
            <w:shd w:val="clear" w:color="auto" w:fill="auto"/>
            <w:vAlign w:val="center"/>
            <w:hideMark/>
          </w:tcPr>
          <w:p w14:paraId="2D1E800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93" w:type="dxa"/>
            <w:tcBorders>
              <w:top w:val="nil"/>
              <w:left w:val="nil"/>
              <w:bottom w:val="single" w:sz="4" w:space="0" w:color="auto"/>
              <w:right w:val="single" w:sz="4" w:space="0" w:color="auto"/>
            </w:tcBorders>
            <w:shd w:val="clear" w:color="auto" w:fill="auto"/>
            <w:vAlign w:val="center"/>
            <w:hideMark/>
          </w:tcPr>
          <w:p w14:paraId="0621483C"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3.7%</w:t>
            </w:r>
          </w:p>
        </w:tc>
        <w:tc>
          <w:tcPr>
            <w:tcW w:w="1524" w:type="dxa"/>
            <w:tcBorders>
              <w:top w:val="nil"/>
              <w:left w:val="nil"/>
              <w:bottom w:val="single" w:sz="4" w:space="0" w:color="auto"/>
              <w:right w:val="single" w:sz="4" w:space="0" w:color="auto"/>
            </w:tcBorders>
            <w:shd w:val="clear" w:color="auto" w:fill="auto"/>
            <w:vAlign w:val="center"/>
            <w:hideMark/>
          </w:tcPr>
          <w:p w14:paraId="45DCDD2B"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1014" w:type="dxa"/>
            <w:tcBorders>
              <w:top w:val="nil"/>
              <w:left w:val="nil"/>
              <w:bottom w:val="single" w:sz="4" w:space="0" w:color="auto"/>
              <w:right w:val="single" w:sz="4" w:space="0" w:color="auto"/>
            </w:tcBorders>
            <w:shd w:val="clear" w:color="auto" w:fill="auto"/>
            <w:vAlign w:val="center"/>
            <w:hideMark/>
          </w:tcPr>
          <w:p w14:paraId="451D9D6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5,673</w:t>
            </w:r>
          </w:p>
        </w:tc>
        <w:tc>
          <w:tcPr>
            <w:tcW w:w="709" w:type="dxa"/>
            <w:tcBorders>
              <w:top w:val="nil"/>
              <w:left w:val="nil"/>
              <w:bottom w:val="single" w:sz="4" w:space="0" w:color="auto"/>
              <w:right w:val="single" w:sz="4" w:space="0" w:color="auto"/>
            </w:tcBorders>
            <w:shd w:val="clear" w:color="auto" w:fill="auto"/>
            <w:vAlign w:val="center"/>
            <w:hideMark/>
          </w:tcPr>
          <w:p w14:paraId="1C2B5527"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w:t>
            </w:r>
          </w:p>
        </w:tc>
        <w:tc>
          <w:tcPr>
            <w:tcW w:w="1308" w:type="dxa"/>
            <w:tcBorders>
              <w:top w:val="nil"/>
              <w:left w:val="nil"/>
              <w:bottom w:val="single" w:sz="4" w:space="0" w:color="auto"/>
              <w:right w:val="single" w:sz="4" w:space="0" w:color="auto"/>
            </w:tcBorders>
            <w:shd w:val="clear" w:color="auto" w:fill="auto"/>
            <w:vAlign w:val="center"/>
            <w:hideMark/>
          </w:tcPr>
          <w:p w14:paraId="456E7483"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8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789A09"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$75,024</w:t>
            </w:r>
          </w:p>
        </w:tc>
      </w:tr>
      <w:tr w:rsidR="007974A6" w:rsidRPr="00EE5714" w14:paraId="4B65C1B4" w14:textId="77777777" w:rsidTr="0014664B">
        <w:trPr>
          <w:trHeight w:val="301"/>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1882281E"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128</w:t>
            </w:r>
          </w:p>
        </w:tc>
        <w:tc>
          <w:tcPr>
            <w:tcW w:w="859" w:type="dxa"/>
            <w:tcBorders>
              <w:top w:val="nil"/>
              <w:left w:val="nil"/>
              <w:bottom w:val="single" w:sz="4" w:space="0" w:color="auto"/>
              <w:right w:val="single" w:sz="4" w:space="0" w:color="auto"/>
            </w:tcBorders>
            <w:shd w:val="clear" w:color="auto" w:fill="auto"/>
            <w:vAlign w:val="center"/>
            <w:hideMark/>
          </w:tcPr>
          <w:p w14:paraId="5449BA26"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3" w:type="dxa"/>
            <w:tcBorders>
              <w:top w:val="nil"/>
              <w:left w:val="nil"/>
              <w:bottom w:val="single" w:sz="4" w:space="0" w:color="auto"/>
              <w:right w:val="single" w:sz="4" w:space="0" w:color="auto"/>
            </w:tcBorders>
            <w:shd w:val="clear" w:color="auto" w:fill="auto"/>
            <w:vAlign w:val="center"/>
            <w:hideMark/>
          </w:tcPr>
          <w:p w14:paraId="2B7726F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93" w:type="dxa"/>
            <w:tcBorders>
              <w:top w:val="nil"/>
              <w:left w:val="nil"/>
              <w:bottom w:val="single" w:sz="4" w:space="0" w:color="auto"/>
              <w:right w:val="single" w:sz="4" w:space="0" w:color="auto"/>
            </w:tcBorders>
            <w:shd w:val="clear" w:color="auto" w:fill="auto"/>
            <w:vAlign w:val="center"/>
            <w:hideMark/>
          </w:tcPr>
          <w:p w14:paraId="151D849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w:t>
            </w:r>
          </w:p>
        </w:tc>
        <w:tc>
          <w:tcPr>
            <w:tcW w:w="1524" w:type="dxa"/>
            <w:tcBorders>
              <w:top w:val="nil"/>
              <w:left w:val="nil"/>
              <w:bottom w:val="single" w:sz="4" w:space="0" w:color="auto"/>
              <w:right w:val="single" w:sz="4" w:space="0" w:color="auto"/>
            </w:tcBorders>
            <w:shd w:val="clear" w:color="auto" w:fill="auto"/>
            <w:vAlign w:val="center"/>
            <w:hideMark/>
          </w:tcPr>
          <w:p w14:paraId="2873EEDE"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1014" w:type="dxa"/>
            <w:tcBorders>
              <w:top w:val="nil"/>
              <w:left w:val="nil"/>
              <w:bottom w:val="single" w:sz="4" w:space="0" w:color="auto"/>
              <w:right w:val="single" w:sz="4" w:space="0" w:color="auto"/>
            </w:tcBorders>
            <w:shd w:val="clear" w:color="auto" w:fill="auto"/>
            <w:vAlign w:val="center"/>
            <w:hideMark/>
          </w:tcPr>
          <w:p w14:paraId="029F90F8"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60,902</w:t>
            </w:r>
          </w:p>
        </w:tc>
        <w:tc>
          <w:tcPr>
            <w:tcW w:w="709" w:type="dxa"/>
            <w:tcBorders>
              <w:top w:val="nil"/>
              <w:left w:val="nil"/>
              <w:bottom w:val="single" w:sz="4" w:space="0" w:color="auto"/>
              <w:right w:val="single" w:sz="4" w:space="0" w:color="auto"/>
            </w:tcBorders>
            <w:shd w:val="clear" w:color="auto" w:fill="auto"/>
            <w:vAlign w:val="center"/>
            <w:hideMark/>
          </w:tcPr>
          <w:p w14:paraId="3E893729"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12.9%</w:t>
            </w:r>
          </w:p>
        </w:tc>
        <w:tc>
          <w:tcPr>
            <w:tcW w:w="1308" w:type="dxa"/>
            <w:tcBorders>
              <w:top w:val="nil"/>
              <w:left w:val="nil"/>
              <w:bottom w:val="single" w:sz="4" w:space="0" w:color="auto"/>
              <w:right w:val="single" w:sz="4" w:space="0" w:color="auto"/>
            </w:tcBorders>
            <w:shd w:val="clear" w:color="auto" w:fill="auto"/>
            <w:vAlign w:val="center"/>
            <w:hideMark/>
          </w:tcPr>
          <w:p w14:paraId="3115FB29"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8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51278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$33,673</w:t>
            </w:r>
          </w:p>
        </w:tc>
      </w:tr>
      <w:tr w:rsidR="007974A6" w:rsidRPr="00EE5714" w14:paraId="4D52A583" w14:textId="77777777" w:rsidTr="0014664B">
        <w:trPr>
          <w:trHeight w:val="512"/>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19C4EC9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59</w:t>
            </w:r>
          </w:p>
        </w:tc>
        <w:tc>
          <w:tcPr>
            <w:tcW w:w="859" w:type="dxa"/>
            <w:tcBorders>
              <w:top w:val="nil"/>
              <w:left w:val="nil"/>
              <w:bottom w:val="single" w:sz="4" w:space="0" w:color="auto"/>
              <w:right w:val="single" w:sz="4" w:space="0" w:color="auto"/>
            </w:tcBorders>
            <w:shd w:val="clear" w:color="auto" w:fill="auto"/>
            <w:vAlign w:val="center"/>
            <w:hideMark/>
          </w:tcPr>
          <w:p w14:paraId="32B3FF72"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3" w:type="dxa"/>
            <w:tcBorders>
              <w:top w:val="nil"/>
              <w:left w:val="nil"/>
              <w:bottom w:val="single" w:sz="4" w:space="0" w:color="auto"/>
              <w:right w:val="single" w:sz="4" w:space="0" w:color="auto"/>
            </w:tcBorders>
            <w:shd w:val="clear" w:color="auto" w:fill="auto"/>
            <w:vAlign w:val="center"/>
            <w:hideMark/>
          </w:tcPr>
          <w:p w14:paraId="3E5B758E"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93" w:type="dxa"/>
            <w:tcBorders>
              <w:top w:val="nil"/>
              <w:left w:val="nil"/>
              <w:bottom w:val="single" w:sz="4" w:space="0" w:color="auto"/>
              <w:right w:val="single" w:sz="4" w:space="0" w:color="auto"/>
            </w:tcBorders>
            <w:shd w:val="clear" w:color="auto" w:fill="auto"/>
            <w:vAlign w:val="center"/>
            <w:hideMark/>
          </w:tcPr>
          <w:p w14:paraId="55B9AAD1"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524" w:type="dxa"/>
            <w:tcBorders>
              <w:top w:val="nil"/>
              <w:left w:val="nil"/>
              <w:bottom w:val="single" w:sz="4" w:space="0" w:color="auto"/>
              <w:right w:val="single" w:sz="4" w:space="0" w:color="auto"/>
            </w:tcBorders>
            <w:shd w:val="clear" w:color="auto" w:fill="auto"/>
            <w:vAlign w:val="center"/>
            <w:hideMark/>
          </w:tcPr>
          <w:p w14:paraId="4EDAF2C9"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1014" w:type="dxa"/>
            <w:tcBorders>
              <w:top w:val="nil"/>
              <w:left w:val="nil"/>
              <w:bottom w:val="single" w:sz="4" w:space="0" w:color="auto"/>
              <w:right w:val="single" w:sz="4" w:space="0" w:color="auto"/>
            </w:tcBorders>
            <w:shd w:val="clear" w:color="auto" w:fill="auto"/>
            <w:vAlign w:val="center"/>
            <w:hideMark/>
          </w:tcPr>
          <w:p w14:paraId="40A0E136"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9,870</w:t>
            </w:r>
          </w:p>
        </w:tc>
        <w:tc>
          <w:tcPr>
            <w:tcW w:w="709" w:type="dxa"/>
            <w:tcBorders>
              <w:top w:val="nil"/>
              <w:left w:val="nil"/>
              <w:bottom w:val="single" w:sz="4" w:space="0" w:color="auto"/>
              <w:right w:val="single" w:sz="4" w:space="0" w:color="auto"/>
            </w:tcBorders>
            <w:shd w:val="clear" w:color="auto" w:fill="auto"/>
            <w:vAlign w:val="center"/>
            <w:hideMark/>
          </w:tcPr>
          <w:p w14:paraId="76ECA67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w:t>
            </w:r>
          </w:p>
        </w:tc>
        <w:tc>
          <w:tcPr>
            <w:tcW w:w="3141"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6FB9FE03"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Duquesne Service Area                                            2012-2016 ACS</w:t>
            </w:r>
          </w:p>
        </w:tc>
      </w:tr>
      <w:tr w:rsidR="007974A6" w:rsidRPr="00EE5714" w14:paraId="42DBDEE6" w14:textId="77777777" w:rsidTr="0014664B">
        <w:trPr>
          <w:trHeight w:val="512"/>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76A46622"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472,806</w:t>
            </w:r>
          </w:p>
        </w:tc>
        <w:tc>
          <w:tcPr>
            <w:tcW w:w="304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BEF148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4" w:type="dxa"/>
            <w:tcBorders>
              <w:top w:val="nil"/>
              <w:left w:val="single" w:sz="4" w:space="0" w:color="auto"/>
              <w:bottom w:val="single" w:sz="4" w:space="0" w:color="auto"/>
              <w:right w:val="single" w:sz="4" w:space="0" w:color="auto"/>
            </w:tcBorders>
            <w:shd w:val="clear" w:color="auto" w:fill="auto"/>
            <w:vAlign w:val="center"/>
            <w:hideMark/>
          </w:tcPr>
          <w:p w14:paraId="3DF22693"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1014" w:type="dxa"/>
            <w:tcBorders>
              <w:top w:val="nil"/>
              <w:left w:val="nil"/>
              <w:bottom w:val="single" w:sz="4" w:space="0" w:color="auto"/>
              <w:right w:val="single" w:sz="4" w:space="0" w:color="auto"/>
            </w:tcBorders>
            <w:shd w:val="clear" w:color="auto" w:fill="auto"/>
            <w:vAlign w:val="center"/>
            <w:hideMark/>
          </w:tcPr>
          <w:p w14:paraId="0DBEB876"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316</w:t>
            </w:r>
          </w:p>
        </w:tc>
        <w:tc>
          <w:tcPr>
            <w:tcW w:w="709" w:type="dxa"/>
            <w:tcBorders>
              <w:top w:val="nil"/>
              <w:left w:val="nil"/>
              <w:bottom w:val="single" w:sz="4" w:space="0" w:color="auto"/>
              <w:right w:val="single" w:sz="4" w:space="0" w:color="auto"/>
            </w:tcBorders>
            <w:shd w:val="clear" w:color="auto" w:fill="auto"/>
            <w:vAlign w:val="center"/>
            <w:hideMark/>
          </w:tcPr>
          <w:p w14:paraId="68B73F49"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308" w:type="dxa"/>
            <w:tcBorders>
              <w:top w:val="single" w:sz="4" w:space="0" w:color="auto"/>
              <w:left w:val="nil"/>
              <w:bottom w:val="single" w:sz="4" w:space="0" w:color="auto"/>
              <w:right w:val="single" w:sz="4" w:space="0" w:color="auto"/>
            </w:tcBorders>
            <w:shd w:val="clear" w:color="000000" w:fill="E7E6E6"/>
            <w:vAlign w:val="center"/>
            <w:hideMark/>
          </w:tcPr>
          <w:p w14:paraId="5903CB1B"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110" w:type="dxa"/>
            <w:tcBorders>
              <w:top w:val="single" w:sz="4" w:space="0" w:color="auto"/>
              <w:left w:val="nil"/>
              <w:bottom w:val="single" w:sz="4" w:space="0" w:color="auto"/>
              <w:right w:val="single" w:sz="4" w:space="0" w:color="auto"/>
            </w:tcBorders>
            <w:shd w:val="clear" w:color="000000" w:fill="E7E6E6"/>
            <w:vAlign w:val="center"/>
            <w:hideMark/>
          </w:tcPr>
          <w:p w14:paraId="0193A0C1"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22" w:type="dxa"/>
            <w:tcBorders>
              <w:top w:val="single" w:sz="4" w:space="0" w:color="auto"/>
              <w:left w:val="nil"/>
              <w:bottom w:val="single" w:sz="4" w:space="0" w:color="auto"/>
              <w:right w:val="single" w:sz="4" w:space="0" w:color="auto"/>
            </w:tcBorders>
            <w:shd w:val="clear" w:color="000000" w:fill="E7E6E6"/>
            <w:vAlign w:val="center"/>
            <w:hideMark/>
          </w:tcPr>
          <w:p w14:paraId="178ACCB4"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7974A6" w:rsidRPr="00EE5714" w14:paraId="289CD777" w14:textId="77777777" w:rsidTr="0014664B">
        <w:trPr>
          <w:trHeight w:val="436"/>
          <w:jc w:val="center"/>
        </w:trPr>
        <w:tc>
          <w:tcPr>
            <w:tcW w:w="4219" w:type="dxa"/>
            <w:gridSpan w:val="4"/>
            <w:tcBorders>
              <w:top w:val="single" w:sz="4" w:space="0" w:color="auto"/>
              <w:left w:val="single" w:sz="4" w:space="0" w:color="auto"/>
              <w:bottom w:val="single" w:sz="4" w:space="0" w:color="auto"/>
              <w:right w:val="single" w:sz="4" w:space="0" w:color="auto"/>
            </w:tcBorders>
            <w:shd w:val="clear" w:color="000000" w:fill="E7E6E6"/>
            <w:vAlign w:val="center"/>
            <w:hideMark/>
          </w:tcPr>
          <w:p w14:paraId="0802E3CE"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Duquesne Service Area - 2012-2016 ACS</w:t>
            </w:r>
          </w:p>
        </w:tc>
        <w:tc>
          <w:tcPr>
            <w:tcW w:w="1524" w:type="dxa"/>
            <w:tcBorders>
              <w:top w:val="nil"/>
              <w:left w:val="nil"/>
              <w:bottom w:val="single" w:sz="4" w:space="0" w:color="auto"/>
              <w:right w:val="single" w:sz="4" w:space="0" w:color="auto"/>
            </w:tcBorders>
            <w:shd w:val="clear" w:color="auto" w:fill="auto"/>
            <w:vAlign w:val="center"/>
            <w:hideMark/>
          </w:tcPr>
          <w:p w14:paraId="71EA012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1014" w:type="dxa"/>
            <w:tcBorders>
              <w:top w:val="nil"/>
              <w:left w:val="nil"/>
              <w:bottom w:val="single" w:sz="4" w:space="0" w:color="auto"/>
              <w:right w:val="single" w:sz="4" w:space="0" w:color="auto"/>
            </w:tcBorders>
            <w:shd w:val="clear" w:color="auto" w:fill="auto"/>
            <w:vAlign w:val="center"/>
            <w:hideMark/>
          </w:tcPr>
          <w:p w14:paraId="393AC1D5"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2,010</w:t>
            </w:r>
          </w:p>
        </w:tc>
        <w:tc>
          <w:tcPr>
            <w:tcW w:w="709" w:type="dxa"/>
            <w:tcBorders>
              <w:top w:val="nil"/>
              <w:left w:val="nil"/>
              <w:bottom w:val="single" w:sz="4" w:space="0" w:color="auto"/>
              <w:right w:val="single" w:sz="4" w:space="0" w:color="auto"/>
            </w:tcBorders>
            <w:shd w:val="clear" w:color="auto" w:fill="auto"/>
            <w:vAlign w:val="center"/>
            <w:hideMark/>
          </w:tcPr>
          <w:p w14:paraId="1E2AD6AE"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0.4%</w:t>
            </w:r>
          </w:p>
        </w:tc>
        <w:tc>
          <w:tcPr>
            <w:tcW w:w="1308" w:type="dxa"/>
            <w:tcBorders>
              <w:top w:val="nil"/>
              <w:left w:val="nil"/>
              <w:bottom w:val="single" w:sz="4" w:space="0" w:color="auto"/>
              <w:right w:val="single" w:sz="4" w:space="0" w:color="auto"/>
            </w:tcBorders>
            <w:shd w:val="clear" w:color="auto" w:fill="auto"/>
            <w:vAlign w:val="center"/>
            <w:hideMark/>
          </w:tcPr>
          <w:p w14:paraId="6C7AA3EE"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112,377</w:t>
            </w:r>
          </w:p>
        </w:tc>
        <w:tc>
          <w:tcPr>
            <w:tcW w:w="1110" w:type="dxa"/>
            <w:tcBorders>
              <w:top w:val="nil"/>
              <w:left w:val="nil"/>
              <w:bottom w:val="single" w:sz="4" w:space="0" w:color="auto"/>
              <w:right w:val="single" w:sz="4" w:space="0" w:color="auto"/>
            </w:tcBorders>
            <w:shd w:val="clear" w:color="auto" w:fill="auto"/>
            <w:vAlign w:val="center"/>
            <w:hideMark/>
          </w:tcPr>
          <w:p w14:paraId="37EFCFAE"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22" w:type="dxa"/>
            <w:tcBorders>
              <w:top w:val="nil"/>
              <w:left w:val="nil"/>
              <w:bottom w:val="single" w:sz="4" w:space="0" w:color="auto"/>
              <w:right w:val="single" w:sz="4" w:space="0" w:color="auto"/>
            </w:tcBorders>
            <w:shd w:val="clear" w:color="auto" w:fill="auto"/>
            <w:vAlign w:val="center"/>
            <w:hideMark/>
          </w:tcPr>
          <w:p w14:paraId="05FF278C"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31.2%</w:t>
            </w:r>
          </w:p>
        </w:tc>
      </w:tr>
      <w:tr w:rsidR="007974A6" w:rsidRPr="00EE5714" w14:paraId="14FEC86C" w14:textId="77777777" w:rsidTr="0014664B">
        <w:trPr>
          <w:trHeight w:val="512"/>
          <w:jc w:val="center"/>
        </w:trPr>
        <w:tc>
          <w:tcPr>
            <w:tcW w:w="1172" w:type="dxa"/>
            <w:tcBorders>
              <w:top w:val="nil"/>
              <w:left w:val="single" w:sz="4" w:space="0" w:color="auto"/>
              <w:bottom w:val="single" w:sz="4" w:space="0" w:color="auto"/>
              <w:right w:val="single" w:sz="4" w:space="0" w:color="auto"/>
            </w:tcBorders>
            <w:shd w:val="clear" w:color="000000" w:fill="E7E6E6"/>
            <w:vAlign w:val="center"/>
            <w:hideMark/>
          </w:tcPr>
          <w:p w14:paraId="2402AD26"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46"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15B95822"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24" w:type="dxa"/>
            <w:tcBorders>
              <w:top w:val="nil"/>
              <w:left w:val="single" w:sz="4" w:space="0" w:color="auto"/>
              <w:bottom w:val="single" w:sz="4" w:space="0" w:color="auto"/>
              <w:right w:val="single" w:sz="4" w:space="0" w:color="auto"/>
            </w:tcBorders>
            <w:shd w:val="clear" w:color="auto" w:fill="auto"/>
            <w:vAlign w:val="center"/>
            <w:hideMark/>
          </w:tcPr>
          <w:p w14:paraId="0276D537"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1014" w:type="dxa"/>
            <w:tcBorders>
              <w:top w:val="nil"/>
              <w:left w:val="nil"/>
              <w:bottom w:val="single" w:sz="4" w:space="0" w:color="auto"/>
              <w:right w:val="single" w:sz="4" w:space="0" w:color="auto"/>
            </w:tcBorders>
            <w:shd w:val="clear" w:color="auto" w:fill="auto"/>
            <w:vAlign w:val="center"/>
            <w:hideMark/>
          </w:tcPr>
          <w:p w14:paraId="23DE4FB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w:t>
            </w:r>
          </w:p>
        </w:tc>
        <w:tc>
          <w:tcPr>
            <w:tcW w:w="709" w:type="dxa"/>
            <w:tcBorders>
              <w:top w:val="nil"/>
              <w:left w:val="nil"/>
              <w:bottom w:val="single" w:sz="4" w:space="0" w:color="auto"/>
              <w:right w:val="single" w:sz="4" w:space="0" w:color="auto"/>
            </w:tcBorders>
            <w:shd w:val="clear" w:color="auto" w:fill="auto"/>
            <w:vAlign w:val="center"/>
            <w:hideMark/>
          </w:tcPr>
          <w:p w14:paraId="22A3C8F7"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308" w:type="dxa"/>
            <w:tcBorders>
              <w:top w:val="nil"/>
              <w:left w:val="nil"/>
              <w:bottom w:val="single" w:sz="4" w:space="0" w:color="auto"/>
              <w:right w:val="single" w:sz="4" w:space="0" w:color="auto"/>
            </w:tcBorders>
            <w:shd w:val="clear" w:color="auto" w:fill="auto"/>
            <w:vAlign w:val="center"/>
            <w:hideMark/>
          </w:tcPr>
          <w:p w14:paraId="006174CA"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360,429</w:t>
            </w:r>
          </w:p>
        </w:tc>
        <w:tc>
          <w:tcPr>
            <w:tcW w:w="1110" w:type="dxa"/>
            <w:tcBorders>
              <w:top w:val="nil"/>
              <w:left w:val="nil"/>
              <w:bottom w:val="single" w:sz="4" w:space="0" w:color="auto"/>
              <w:right w:val="single" w:sz="4" w:space="0" w:color="auto"/>
            </w:tcBorders>
            <w:shd w:val="clear" w:color="auto" w:fill="auto"/>
            <w:vAlign w:val="center"/>
            <w:hideMark/>
          </w:tcPr>
          <w:p w14:paraId="35CA20AE"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22" w:type="dxa"/>
            <w:tcBorders>
              <w:top w:val="nil"/>
              <w:left w:val="nil"/>
              <w:bottom w:val="single" w:sz="4" w:space="0" w:color="auto"/>
              <w:right w:val="single" w:sz="4" w:space="0" w:color="auto"/>
            </w:tcBorders>
            <w:shd w:val="clear" w:color="auto" w:fill="auto"/>
            <w:vAlign w:val="center"/>
            <w:hideMark/>
          </w:tcPr>
          <w:p w14:paraId="26548F00"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68.8%</w:t>
            </w:r>
          </w:p>
        </w:tc>
      </w:tr>
      <w:tr w:rsidR="007974A6" w:rsidRPr="00EE5714" w14:paraId="2408B807" w14:textId="77777777" w:rsidTr="0014664B">
        <w:trPr>
          <w:trHeight w:val="572"/>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0D5B8D69"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66,319</w:t>
            </w:r>
          </w:p>
        </w:tc>
        <w:tc>
          <w:tcPr>
            <w:tcW w:w="859" w:type="dxa"/>
            <w:tcBorders>
              <w:top w:val="single" w:sz="4" w:space="0" w:color="auto"/>
              <w:left w:val="nil"/>
              <w:bottom w:val="single" w:sz="4" w:space="0" w:color="auto"/>
              <w:right w:val="single" w:sz="4" w:space="0" w:color="auto"/>
            </w:tcBorders>
            <w:shd w:val="clear" w:color="auto" w:fill="auto"/>
            <w:vAlign w:val="center"/>
            <w:hideMark/>
          </w:tcPr>
          <w:p w14:paraId="0C4CB523"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14.03%</w:t>
            </w:r>
          </w:p>
        </w:tc>
        <w:tc>
          <w:tcPr>
            <w:tcW w:w="218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5CDB7D5"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24" w:type="dxa"/>
            <w:tcBorders>
              <w:top w:val="nil"/>
              <w:left w:val="single" w:sz="4" w:space="0" w:color="auto"/>
              <w:bottom w:val="single" w:sz="4" w:space="0" w:color="auto"/>
              <w:right w:val="single" w:sz="4" w:space="0" w:color="auto"/>
            </w:tcBorders>
            <w:shd w:val="clear" w:color="auto" w:fill="auto"/>
            <w:vAlign w:val="center"/>
            <w:hideMark/>
          </w:tcPr>
          <w:p w14:paraId="70126874"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1014" w:type="dxa"/>
            <w:tcBorders>
              <w:top w:val="nil"/>
              <w:left w:val="nil"/>
              <w:bottom w:val="single" w:sz="4" w:space="0" w:color="auto"/>
              <w:right w:val="single" w:sz="4" w:space="0" w:color="auto"/>
            </w:tcBorders>
            <w:shd w:val="clear" w:color="auto" w:fill="auto"/>
            <w:vAlign w:val="center"/>
            <w:hideMark/>
          </w:tcPr>
          <w:p w14:paraId="0D3E1092"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2,203</w:t>
            </w:r>
          </w:p>
        </w:tc>
        <w:tc>
          <w:tcPr>
            <w:tcW w:w="709" w:type="dxa"/>
            <w:tcBorders>
              <w:top w:val="nil"/>
              <w:left w:val="nil"/>
              <w:bottom w:val="single" w:sz="4" w:space="0" w:color="auto"/>
              <w:right w:val="single" w:sz="4" w:space="0" w:color="auto"/>
            </w:tcBorders>
            <w:shd w:val="clear" w:color="auto" w:fill="auto"/>
            <w:vAlign w:val="center"/>
            <w:hideMark/>
          </w:tcPr>
          <w:p w14:paraId="210E7035"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w:t>
            </w:r>
          </w:p>
        </w:tc>
        <w:tc>
          <w:tcPr>
            <w:tcW w:w="1308" w:type="dxa"/>
            <w:tcBorders>
              <w:top w:val="nil"/>
              <w:left w:val="nil"/>
              <w:bottom w:val="single" w:sz="4" w:space="0" w:color="auto"/>
              <w:right w:val="single" w:sz="4" w:space="0" w:color="auto"/>
            </w:tcBorders>
            <w:shd w:val="clear" w:color="auto" w:fill="auto"/>
            <w:vAlign w:val="center"/>
            <w:hideMark/>
          </w:tcPr>
          <w:p w14:paraId="41F35973"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138,890</w:t>
            </w:r>
          </w:p>
        </w:tc>
        <w:tc>
          <w:tcPr>
            <w:tcW w:w="1110" w:type="dxa"/>
            <w:tcBorders>
              <w:top w:val="nil"/>
              <w:left w:val="nil"/>
              <w:bottom w:val="single" w:sz="4" w:space="0" w:color="auto"/>
              <w:right w:val="single" w:sz="4" w:space="0" w:color="auto"/>
            </w:tcBorders>
            <w:shd w:val="clear" w:color="auto" w:fill="auto"/>
            <w:vAlign w:val="center"/>
            <w:hideMark/>
          </w:tcPr>
          <w:p w14:paraId="2FBB7376"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22" w:type="dxa"/>
            <w:tcBorders>
              <w:top w:val="nil"/>
              <w:left w:val="nil"/>
              <w:bottom w:val="single" w:sz="4" w:space="0" w:color="auto"/>
              <w:right w:val="single" w:sz="4" w:space="0" w:color="auto"/>
            </w:tcBorders>
            <w:shd w:val="clear" w:color="auto" w:fill="auto"/>
            <w:vAlign w:val="center"/>
            <w:hideMark/>
          </w:tcPr>
          <w:p w14:paraId="454931CF"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41.6%</w:t>
            </w:r>
          </w:p>
        </w:tc>
      </w:tr>
      <w:tr w:rsidR="007974A6" w:rsidRPr="00EE5714" w14:paraId="1E419CE2" w14:textId="77777777" w:rsidTr="0014664B">
        <w:trPr>
          <w:trHeight w:val="512"/>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7D88B89C"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406,486</w:t>
            </w:r>
          </w:p>
        </w:tc>
        <w:tc>
          <w:tcPr>
            <w:tcW w:w="859" w:type="dxa"/>
            <w:tcBorders>
              <w:top w:val="nil"/>
              <w:left w:val="nil"/>
              <w:bottom w:val="single" w:sz="4" w:space="0" w:color="auto"/>
              <w:right w:val="single" w:sz="4" w:space="0" w:color="auto"/>
            </w:tcBorders>
            <w:shd w:val="clear" w:color="auto" w:fill="auto"/>
            <w:vAlign w:val="center"/>
            <w:hideMark/>
          </w:tcPr>
          <w:p w14:paraId="011F313C"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85.97%</w:t>
            </w:r>
          </w:p>
        </w:tc>
        <w:tc>
          <w:tcPr>
            <w:tcW w:w="218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B08851"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24" w:type="dxa"/>
            <w:tcBorders>
              <w:top w:val="nil"/>
              <w:left w:val="single" w:sz="4" w:space="0" w:color="auto"/>
              <w:bottom w:val="single" w:sz="4" w:space="0" w:color="auto"/>
              <w:right w:val="single" w:sz="4" w:space="0" w:color="auto"/>
            </w:tcBorders>
            <w:shd w:val="clear" w:color="auto" w:fill="auto"/>
            <w:vAlign w:val="center"/>
            <w:hideMark/>
          </w:tcPr>
          <w:p w14:paraId="236A43C6"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1014" w:type="dxa"/>
            <w:tcBorders>
              <w:top w:val="nil"/>
              <w:left w:val="nil"/>
              <w:bottom w:val="single" w:sz="4" w:space="0" w:color="auto"/>
              <w:right w:val="single" w:sz="4" w:space="0" w:color="auto"/>
            </w:tcBorders>
            <w:shd w:val="clear" w:color="auto" w:fill="auto"/>
            <w:vAlign w:val="center"/>
            <w:hideMark/>
          </w:tcPr>
          <w:p w14:paraId="3EB6D8AF"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1,652</w:t>
            </w:r>
          </w:p>
        </w:tc>
        <w:tc>
          <w:tcPr>
            <w:tcW w:w="709" w:type="dxa"/>
            <w:tcBorders>
              <w:top w:val="nil"/>
              <w:left w:val="nil"/>
              <w:bottom w:val="single" w:sz="4" w:space="0" w:color="auto"/>
              <w:right w:val="single" w:sz="4" w:space="0" w:color="auto"/>
            </w:tcBorders>
            <w:shd w:val="clear" w:color="auto" w:fill="auto"/>
            <w:vAlign w:val="center"/>
            <w:hideMark/>
          </w:tcPr>
          <w:p w14:paraId="07A39A4A"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308" w:type="dxa"/>
            <w:tcBorders>
              <w:top w:val="nil"/>
              <w:left w:val="nil"/>
              <w:bottom w:val="single" w:sz="4" w:space="0" w:color="auto"/>
              <w:right w:val="single" w:sz="4" w:space="0" w:color="auto"/>
            </w:tcBorders>
            <w:shd w:val="clear" w:color="auto" w:fill="auto"/>
            <w:vAlign w:val="center"/>
            <w:hideMark/>
          </w:tcPr>
          <w:p w14:paraId="2A62C979"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333,915</w:t>
            </w:r>
          </w:p>
        </w:tc>
        <w:tc>
          <w:tcPr>
            <w:tcW w:w="1110" w:type="dxa"/>
            <w:tcBorders>
              <w:top w:val="nil"/>
              <w:left w:val="nil"/>
              <w:bottom w:val="single" w:sz="4" w:space="0" w:color="auto"/>
              <w:right w:val="single" w:sz="4" w:space="0" w:color="auto"/>
            </w:tcBorders>
            <w:shd w:val="clear" w:color="auto" w:fill="auto"/>
            <w:vAlign w:val="center"/>
            <w:hideMark/>
          </w:tcPr>
          <w:p w14:paraId="2AD7F077"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22" w:type="dxa"/>
            <w:tcBorders>
              <w:top w:val="nil"/>
              <w:left w:val="nil"/>
              <w:bottom w:val="single" w:sz="4" w:space="0" w:color="auto"/>
              <w:right w:val="single" w:sz="4" w:space="0" w:color="auto"/>
            </w:tcBorders>
            <w:shd w:val="clear" w:color="auto" w:fill="auto"/>
            <w:vAlign w:val="center"/>
            <w:hideMark/>
          </w:tcPr>
          <w:p w14:paraId="3930BFFA"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58.4%</w:t>
            </w:r>
          </w:p>
        </w:tc>
      </w:tr>
      <w:tr w:rsidR="007974A6" w:rsidRPr="00EE5714" w14:paraId="6363772B" w14:textId="77777777" w:rsidTr="0014664B">
        <w:trPr>
          <w:trHeight w:val="301"/>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562C5361"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472,805</w:t>
            </w:r>
          </w:p>
        </w:tc>
        <w:tc>
          <w:tcPr>
            <w:tcW w:w="3046" w:type="dxa"/>
            <w:gridSpan w:val="3"/>
            <w:tcBorders>
              <w:top w:val="single" w:sz="4" w:space="0" w:color="auto"/>
              <w:left w:val="single" w:sz="4" w:space="0" w:color="auto"/>
              <w:bottom w:val="single" w:sz="4" w:space="0" w:color="auto"/>
              <w:right w:val="nil"/>
            </w:tcBorders>
            <w:shd w:val="clear" w:color="auto" w:fill="auto"/>
            <w:vAlign w:val="center"/>
            <w:hideMark/>
          </w:tcPr>
          <w:p w14:paraId="7D87A2CD"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4" w:type="dxa"/>
            <w:tcBorders>
              <w:top w:val="nil"/>
              <w:left w:val="single" w:sz="4" w:space="0" w:color="auto"/>
              <w:bottom w:val="single" w:sz="4" w:space="0" w:color="auto"/>
              <w:right w:val="single" w:sz="4" w:space="0" w:color="auto"/>
            </w:tcBorders>
            <w:shd w:val="clear" w:color="auto" w:fill="auto"/>
            <w:vAlign w:val="center"/>
            <w:hideMark/>
          </w:tcPr>
          <w:p w14:paraId="577D8842" w14:textId="77777777" w:rsidR="007974A6" w:rsidRPr="00EE5714" w:rsidRDefault="007974A6" w:rsidP="007974A6">
            <w:pPr>
              <w:spacing w:after="0" w:line="240" w:lineRule="auto"/>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hideMark/>
          </w:tcPr>
          <w:p w14:paraId="05E13A80"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472,804</w:t>
            </w:r>
          </w:p>
        </w:tc>
        <w:tc>
          <w:tcPr>
            <w:tcW w:w="709" w:type="dxa"/>
            <w:tcBorders>
              <w:top w:val="nil"/>
              <w:left w:val="nil"/>
              <w:bottom w:val="single" w:sz="4" w:space="0" w:color="auto"/>
              <w:right w:val="single" w:sz="4" w:space="0" w:color="auto"/>
            </w:tcBorders>
            <w:shd w:val="clear" w:color="auto" w:fill="auto"/>
            <w:vAlign w:val="center"/>
            <w:hideMark/>
          </w:tcPr>
          <w:p w14:paraId="2C8DF0E8" w14:textId="77777777" w:rsidR="007974A6" w:rsidRPr="00EE5714" w:rsidRDefault="007974A6" w:rsidP="007974A6">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14:paraId="5C5FB4CB"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472,805</w:t>
            </w:r>
          </w:p>
        </w:tc>
        <w:tc>
          <w:tcPr>
            <w:tcW w:w="18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EA7B8A5" w14:textId="77777777" w:rsidR="007974A6" w:rsidRPr="00EE5714" w:rsidRDefault="007974A6" w:rsidP="007974A6">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w:t>
            </w:r>
          </w:p>
        </w:tc>
      </w:tr>
    </w:tbl>
    <w:p w14:paraId="79DF95AB" w14:textId="77777777" w:rsidR="00BF168C" w:rsidRPr="00EE5714" w:rsidRDefault="00BF168C" w:rsidP="006A0C0A">
      <w:pPr>
        <w:rPr>
          <w:rFonts w:ascii="Times New Roman" w:hAnsi="Times New Roman" w:cs="Times New Roman"/>
          <w:sz w:val="26"/>
          <w:szCs w:val="26"/>
        </w:rPr>
      </w:pPr>
    </w:p>
    <w:p w14:paraId="117DB44A" w14:textId="77777777" w:rsidR="00F42B2A" w:rsidRPr="00EE5714" w:rsidRDefault="00F42B2A" w:rsidP="00F42B2A">
      <w:pPr>
        <w:rPr>
          <w:rFonts w:ascii="Times New Roman" w:hAnsi="Times New Roman" w:cs="Times New Roman"/>
          <w:i/>
          <w:sz w:val="26"/>
          <w:szCs w:val="26"/>
        </w:rPr>
      </w:pPr>
    </w:p>
    <w:p w14:paraId="1E7A3567" w14:textId="77777777" w:rsidR="00F07BEA" w:rsidRPr="00EE5714" w:rsidRDefault="00F42B2A" w:rsidP="000F2A34">
      <w:pPr>
        <w:keepNext/>
        <w:rPr>
          <w:rFonts w:ascii="Times New Roman" w:hAnsi="Times New Roman" w:cs="Times New Roman"/>
          <w:sz w:val="26"/>
          <w:szCs w:val="26"/>
        </w:rPr>
      </w:pPr>
      <w:r w:rsidRPr="00EE5714">
        <w:rPr>
          <w:rFonts w:ascii="Times New Roman" w:hAnsi="Times New Roman" w:cs="Times New Roman"/>
          <w:sz w:val="26"/>
          <w:szCs w:val="26"/>
        </w:rPr>
        <w:t>Appendix 1.</w:t>
      </w:r>
      <w:r w:rsidR="00496898" w:rsidRPr="00EE5714">
        <w:rPr>
          <w:rFonts w:ascii="Times New Roman" w:hAnsi="Times New Roman" w:cs="Times New Roman"/>
          <w:sz w:val="26"/>
          <w:szCs w:val="26"/>
        </w:rPr>
        <w:t>B.2</w:t>
      </w:r>
      <w:r w:rsidRPr="00EE5714">
        <w:rPr>
          <w:rFonts w:ascii="Times New Roman" w:hAnsi="Times New Roman" w:cs="Times New Roman"/>
          <w:sz w:val="26"/>
          <w:szCs w:val="26"/>
        </w:rPr>
        <w:t xml:space="preserve">: </w:t>
      </w:r>
      <w:r w:rsidRPr="00EE5714">
        <w:rPr>
          <w:rFonts w:ascii="Times New Roman" w:hAnsi="Times New Roman" w:cs="Times New Roman"/>
          <w:b/>
          <w:sz w:val="26"/>
          <w:szCs w:val="26"/>
        </w:rPr>
        <w:t>Met-Ed Service Territory Demographic Profile</w:t>
      </w:r>
    </w:p>
    <w:tbl>
      <w:tblPr>
        <w:tblW w:w="10563" w:type="dxa"/>
        <w:jc w:val="center"/>
        <w:tblLook w:val="04A0" w:firstRow="1" w:lastRow="0" w:firstColumn="1" w:lastColumn="0" w:noHBand="0" w:noVBand="1"/>
      </w:tblPr>
      <w:tblGrid>
        <w:gridCol w:w="1189"/>
        <w:gridCol w:w="818"/>
        <w:gridCol w:w="1109"/>
        <w:gridCol w:w="1109"/>
        <w:gridCol w:w="1546"/>
        <w:gridCol w:w="1029"/>
        <w:gridCol w:w="720"/>
        <w:gridCol w:w="1197"/>
        <w:gridCol w:w="1126"/>
        <w:gridCol w:w="720"/>
      </w:tblGrid>
      <w:tr w:rsidR="00F07BEA" w:rsidRPr="00EE5714" w14:paraId="02D6DDC1" w14:textId="77777777" w:rsidTr="00130638">
        <w:trPr>
          <w:trHeight w:val="704"/>
          <w:jc w:val="center"/>
        </w:trPr>
        <w:tc>
          <w:tcPr>
            <w:tcW w:w="118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15F84F0"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Met-Ed</w:t>
            </w:r>
          </w:p>
        </w:tc>
        <w:tc>
          <w:tcPr>
            <w:tcW w:w="1927" w:type="dxa"/>
            <w:gridSpan w:val="2"/>
            <w:tcBorders>
              <w:top w:val="single" w:sz="4" w:space="0" w:color="auto"/>
              <w:left w:val="nil"/>
              <w:bottom w:val="single" w:sz="4" w:space="0" w:color="auto"/>
              <w:right w:val="single" w:sz="4" w:space="0" w:color="auto"/>
            </w:tcBorders>
            <w:shd w:val="clear" w:color="000000" w:fill="E7E6E6"/>
            <w:vAlign w:val="center"/>
            <w:hideMark/>
          </w:tcPr>
          <w:p w14:paraId="587BC0D4"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109" w:type="dxa"/>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14:paraId="1EA17676"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295" w:type="dxa"/>
            <w:gridSpan w:val="3"/>
            <w:tcBorders>
              <w:top w:val="single" w:sz="4" w:space="0" w:color="auto"/>
              <w:left w:val="nil"/>
              <w:bottom w:val="single" w:sz="4" w:space="0" w:color="auto"/>
              <w:right w:val="single" w:sz="4" w:space="0" w:color="000000"/>
            </w:tcBorders>
            <w:shd w:val="clear" w:color="000000" w:fill="E7E6E6"/>
            <w:vAlign w:val="center"/>
            <w:hideMark/>
          </w:tcPr>
          <w:p w14:paraId="334A407E"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043" w:type="dxa"/>
            <w:gridSpan w:val="3"/>
            <w:tcBorders>
              <w:top w:val="single" w:sz="4" w:space="0" w:color="auto"/>
              <w:left w:val="nil"/>
              <w:bottom w:val="single" w:sz="4" w:space="0" w:color="auto"/>
              <w:right w:val="single" w:sz="4" w:space="0" w:color="000000"/>
            </w:tcBorders>
            <w:shd w:val="clear" w:color="000000" w:fill="E7E6E6"/>
            <w:vAlign w:val="center"/>
            <w:hideMark/>
          </w:tcPr>
          <w:p w14:paraId="42990162"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F07BEA" w:rsidRPr="00EE5714" w14:paraId="1E3BC904" w14:textId="77777777" w:rsidTr="00130638">
        <w:trPr>
          <w:trHeight w:val="557"/>
          <w:jc w:val="center"/>
        </w:trPr>
        <w:tc>
          <w:tcPr>
            <w:tcW w:w="1189" w:type="dxa"/>
            <w:tcBorders>
              <w:top w:val="nil"/>
              <w:left w:val="single" w:sz="4" w:space="0" w:color="auto"/>
              <w:bottom w:val="single" w:sz="4" w:space="0" w:color="auto"/>
              <w:right w:val="single" w:sz="4" w:space="0" w:color="auto"/>
            </w:tcBorders>
            <w:shd w:val="clear" w:color="000000" w:fill="E7E6E6"/>
            <w:vAlign w:val="center"/>
            <w:hideMark/>
          </w:tcPr>
          <w:p w14:paraId="0805DDBA"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69.70%</w:t>
            </w:r>
          </w:p>
        </w:tc>
        <w:tc>
          <w:tcPr>
            <w:tcW w:w="818" w:type="dxa"/>
            <w:tcBorders>
              <w:top w:val="nil"/>
              <w:left w:val="nil"/>
              <w:bottom w:val="single" w:sz="4" w:space="0" w:color="auto"/>
              <w:right w:val="single" w:sz="4" w:space="0" w:color="auto"/>
            </w:tcBorders>
            <w:shd w:val="clear" w:color="000000" w:fill="E7E6E6"/>
            <w:vAlign w:val="center"/>
            <w:hideMark/>
          </w:tcPr>
          <w:p w14:paraId="6417ED48"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109" w:type="dxa"/>
            <w:tcBorders>
              <w:top w:val="nil"/>
              <w:left w:val="nil"/>
              <w:bottom w:val="single" w:sz="4" w:space="0" w:color="auto"/>
              <w:right w:val="single" w:sz="4" w:space="0" w:color="auto"/>
            </w:tcBorders>
            <w:shd w:val="clear" w:color="000000" w:fill="E7E6E6"/>
            <w:vAlign w:val="center"/>
            <w:hideMark/>
          </w:tcPr>
          <w:p w14:paraId="04F6C349"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109" w:type="dxa"/>
            <w:vMerge/>
            <w:tcBorders>
              <w:top w:val="single" w:sz="4" w:space="0" w:color="auto"/>
              <w:left w:val="single" w:sz="4" w:space="0" w:color="auto"/>
              <w:bottom w:val="single" w:sz="4" w:space="0" w:color="000000"/>
              <w:right w:val="single" w:sz="4" w:space="0" w:color="auto"/>
            </w:tcBorders>
            <w:vAlign w:val="center"/>
            <w:hideMark/>
          </w:tcPr>
          <w:p w14:paraId="09AE6D70" w14:textId="77777777" w:rsidR="00F07BEA" w:rsidRPr="00EE5714" w:rsidRDefault="00F07BEA" w:rsidP="00F07BEA">
            <w:pPr>
              <w:spacing w:after="0" w:line="240" w:lineRule="auto"/>
              <w:rPr>
                <w:rFonts w:ascii="Calibri" w:eastAsia="Times New Roman" w:hAnsi="Calibri" w:cs="Calibri"/>
                <w:b/>
                <w:bCs/>
                <w:color w:val="000000"/>
                <w:sz w:val="20"/>
                <w:szCs w:val="20"/>
              </w:rPr>
            </w:pPr>
          </w:p>
        </w:tc>
        <w:tc>
          <w:tcPr>
            <w:tcW w:w="2575"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14:paraId="03A911B8"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20" w:type="dxa"/>
            <w:tcBorders>
              <w:top w:val="single" w:sz="4" w:space="0" w:color="auto"/>
              <w:left w:val="nil"/>
              <w:bottom w:val="single" w:sz="4" w:space="0" w:color="auto"/>
              <w:right w:val="single" w:sz="4" w:space="0" w:color="auto"/>
            </w:tcBorders>
            <w:shd w:val="clear" w:color="000000" w:fill="E7E6E6"/>
            <w:vAlign w:val="center"/>
            <w:hideMark/>
          </w:tcPr>
          <w:p w14:paraId="081983E2"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323" w:type="dxa"/>
            <w:gridSpan w:val="2"/>
            <w:tcBorders>
              <w:top w:val="single" w:sz="4" w:space="0" w:color="auto"/>
              <w:left w:val="nil"/>
              <w:bottom w:val="single" w:sz="4" w:space="0" w:color="auto"/>
              <w:right w:val="single" w:sz="4" w:space="0" w:color="auto"/>
            </w:tcBorders>
            <w:shd w:val="clear" w:color="000000" w:fill="E7E6E6"/>
            <w:vAlign w:val="center"/>
            <w:hideMark/>
          </w:tcPr>
          <w:p w14:paraId="55E525E1"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20" w:type="dxa"/>
            <w:tcBorders>
              <w:top w:val="single" w:sz="4" w:space="0" w:color="auto"/>
              <w:left w:val="nil"/>
              <w:bottom w:val="single" w:sz="4" w:space="0" w:color="auto"/>
              <w:right w:val="single" w:sz="4" w:space="0" w:color="auto"/>
            </w:tcBorders>
            <w:shd w:val="clear" w:color="000000" w:fill="E7E6E6"/>
            <w:vAlign w:val="center"/>
            <w:hideMark/>
          </w:tcPr>
          <w:p w14:paraId="52EB0C18"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F07BEA" w:rsidRPr="00EE5714" w14:paraId="3D9DA9D1"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69B5F30"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157,779</w:t>
            </w:r>
          </w:p>
        </w:tc>
        <w:tc>
          <w:tcPr>
            <w:tcW w:w="818" w:type="dxa"/>
            <w:tcBorders>
              <w:top w:val="nil"/>
              <w:left w:val="nil"/>
              <w:bottom w:val="single" w:sz="4" w:space="0" w:color="auto"/>
              <w:right w:val="single" w:sz="4" w:space="0" w:color="auto"/>
            </w:tcBorders>
            <w:shd w:val="clear" w:color="auto" w:fill="auto"/>
            <w:vAlign w:val="center"/>
            <w:hideMark/>
          </w:tcPr>
          <w:p w14:paraId="419FB23E"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31.3%</w:t>
            </w:r>
          </w:p>
        </w:tc>
        <w:tc>
          <w:tcPr>
            <w:tcW w:w="1109" w:type="dxa"/>
            <w:tcBorders>
              <w:top w:val="nil"/>
              <w:left w:val="nil"/>
              <w:bottom w:val="single" w:sz="4" w:space="0" w:color="auto"/>
              <w:right w:val="single" w:sz="4" w:space="0" w:color="auto"/>
            </w:tcBorders>
            <w:shd w:val="clear" w:color="auto" w:fill="auto"/>
            <w:vAlign w:val="center"/>
            <w:hideMark/>
          </w:tcPr>
          <w:p w14:paraId="2685CD77"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109" w:type="dxa"/>
            <w:vMerge w:val="restart"/>
            <w:tcBorders>
              <w:top w:val="nil"/>
              <w:left w:val="single" w:sz="4" w:space="0" w:color="auto"/>
              <w:bottom w:val="single" w:sz="4" w:space="0" w:color="000000"/>
              <w:right w:val="single" w:sz="4" w:space="0" w:color="auto"/>
            </w:tcBorders>
            <w:shd w:val="clear" w:color="auto" w:fill="auto"/>
            <w:vAlign w:val="center"/>
            <w:hideMark/>
          </w:tcPr>
          <w:p w14:paraId="76281902"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7B544634"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1029" w:type="dxa"/>
            <w:tcBorders>
              <w:top w:val="nil"/>
              <w:left w:val="nil"/>
              <w:bottom w:val="single" w:sz="4" w:space="0" w:color="auto"/>
              <w:right w:val="single" w:sz="4" w:space="0" w:color="auto"/>
            </w:tcBorders>
            <w:shd w:val="clear" w:color="auto" w:fill="auto"/>
            <w:vAlign w:val="center"/>
            <w:hideMark/>
          </w:tcPr>
          <w:p w14:paraId="6B16290E"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65,671</w:t>
            </w:r>
          </w:p>
        </w:tc>
        <w:tc>
          <w:tcPr>
            <w:tcW w:w="720" w:type="dxa"/>
            <w:tcBorders>
              <w:top w:val="nil"/>
              <w:left w:val="nil"/>
              <w:bottom w:val="single" w:sz="4" w:space="0" w:color="auto"/>
              <w:right w:val="single" w:sz="4" w:space="0" w:color="auto"/>
            </w:tcBorders>
            <w:shd w:val="clear" w:color="auto" w:fill="auto"/>
            <w:vAlign w:val="center"/>
            <w:hideMark/>
          </w:tcPr>
          <w:p w14:paraId="4C31FB24"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w:t>
            </w:r>
          </w:p>
        </w:tc>
        <w:tc>
          <w:tcPr>
            <w:tcW w:w="1197" w:type="dxa"/>
            <w:tcBorders>
              <w:top w:val="nil"/>
              <w:left w:val="nil"/>
              <w:bottom w:val="single" w:sz="4" w:space="0" w:color="auto"/>
              <w:right w:val="single" w:sz="4" w:space="0" w:color="auto"/>
            </w:tcBorders>
            <w:shd w:val="clear" w:color="auto" w:fill="auto"/>
            <w:vAlign w:val="center"/>
            <w:hideMark/>
          </w:tcPr>
          <w:p w14:paraId="347C7410"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126" w:type="dxa"/>
            <w:tcBorders>
              <w:top w:val="nil"/>
              <w:left w:val="nil"/>
              <w:bottom w:val="single" w:sz="4" w:space="0" w:color="auto"/>
              <w:right w:val="single" w:sz="4" w:space="0" w:color="auto"/>
            </w:tcBorders>
            <w:shd w:val="clear" w:color="auto" w:fill="auto"/>
            <w:vAlign w:val="center"/>
            <w:hideMark/>
          </w:tcPr>
          <w:p w14:paraId="257D5771"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41,454</w:t>
            </w:r>
          </w:p>
        </w:tc>
        <w:tc>
          <w:tcPr>
            <w:tcW w:w="720" w:type="dxa"/>
            <w:tcBorders>
              <w:top w:val="nil"/>
              <w:left w:val="nil"/>
              <w:bottom w:val="single" w:sz="4" w:space="0" w:color="auto"/>
              <w:right w:val="single" w:sz="4" w:space="0" w:color="auto"/>
            </w:tcBorders>
            <w:shd w:val="clear" w:color="auto" w:fill="auto"/>
            <w:vAlign w:val="center"/>
            <w:hideMark/>
          </w:tcPr>
          <w:p w14:paraId="5490446B"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8.1%</w:t>
            </w:r>
          </w:p>
        </w:tc>
      </w:tr>
      <w:tr w:rsidR="00F07BEA" w:rsidRPr="00EE5714" w14:paraId="0F457D90"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648894CF"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82,714</w:t>
            </w:r>
          </w:p>
        </w:tc>
        <w:tc>
          <w:tcPr>
            <w:tcW w:w="818" w:type="dxa"/>
            <w:tcBorders>
              <w:top w:val="nil"/>
              <w:left w:val="nil"/>
              <w:bottom w:val="single" w:sz="4" w:space="0" w:color="auto"/>
              <w:right w:val="single" w:sz="4" w:space="0" w:color="auto"/>
            </w:tcBorders>
            <w:shd w:val="clear" w:color="auto" w:fill="auto"/>
            <w:vAlign w:val="center"/>
            <w:hideMark/>
          </w:tcPr>
          <w:p w14:paraId="66C1B9E4"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16.4%</w:t>
            </w:r>
          </w:p>
        </w:tc>
        <w:tc>
          <w:tcPr>
            <w:tcW w:w="1109" w:type="dxa"/>
            <w:tcBorders>
              <w:top w:val="nil"/>
              <w:left w:val="nil"/>
              <w:bottom w:val="single" w:sz="4" w:space="0" w:color="auto"/>
              <w:right w:val="single" w:sz="4" w:space="0" w:color="auto"/>
            </w:tcBorders>
            <w:shd w:val="clear" w:color="auto" w:fill="auto"/>
            <w:vAlign w:val="center"/>
            <w:hideMark/>
          </w:tcPr>
          <w:p w14:paraId="310540DD"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109" w:type="dxa"/>
            <w:vMerge/>
            <w:tcBorders>
              <w:top w:val="nil"/>
              <w:left w:val="single" w:sz="4" w:space="0" w:color="auto"/>
              <w:bottom w:val="single" w:sz="4" w:space="0" w:color="000000"/>
              <w:right w:val="single" w:sz="4" w:space="0" w:color="auto"/>
            </w:tcBorders>
            <w:vAlign w:val="center"/>
            <w:hideMark/>
          </w:tcPr>
          <w:p w14:paraId="31961A61" w14:textId="77777777" w:rsidR="00F07BEA" w:rsidRPr="00EE5714" w:rsidRDefault="00F07BEA" w:rsidP="00F07BEA">
            <w:pPr>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667EC8A3"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1029" w:type="dxa"/>
            <w:tcBorders>
              <w:top w:val="nil"/>
              <w:left w:val="nil"/>
              <w:bottom w:val="single" w:sz="4" w:space="0" w:color="auto"/>
              <w:right w:val="single" w:sz="4" w:space="0" w:color="auto"/>
            </w:tcBorders>
            <w:shd w:val="clear" w:color="auto" w:fill="auto"/>
            <w:vAlign w:val="center"/>
            <w:hideMark/>
          </w:tcPr>
          <w:p w14:paraId="28E40768"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84,021</w:t>
            </w:r>
          </w:p>
        </w:tc>
        <w:tc>
          <w:tcPr>
            <w:tcW w:w="720" w:type="dxa"/>
            <w:tcBorders>
              <w:top w:val="nil"/>
              <w:left w:val="nil"/>
              <w:bottom w:val="single" w:sz="4" w:space="0" w:color="auto"/>
              <w:right w:val="single" w:sz="4" w:space="0" w:color="auto"/>
            </w:tcBorders>
            <w:shd w:val="clear" w:color="auto" w:fill="auto"/>
            <w:vAlign w:val="center"/>
            <w:hideMark/>
          </w:tcPr>
          <w:p w14:paraId="4EFCF3BA"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w:t>
            </w:r>
          </w:p>
        </w:tc>
        <w:tc>
          <w:tcPr>
            <w:tcW w:w="1197" w:type="dxa"/>
            <w:tcBorders>
              <w:top w:val="nil"/>
              <w:left w:val="nil"/>
              <w:bottom w:val="single" w:sz="4" w:space="0" w:color="auto"/>
              <w:right w:val="single" w:sz="4" w:space="0" w:color="auto"/>
            </w:tcBorders>
            <w:shd w:val="clear" w:color="auto" w:fill="auto"/>
            <w:vAlign w:val="center"/>
            <w:hideMark/>
          </w:tcPr>
          <w:p w14:paraId="591F0355"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126" w:type="dxa"/>
            <w:tcBorders>
              <w:top w:val="nil"/>
              <w:left w:val="nil"/>
              <w:bottom w:val="single" w:sz="4" w:space="0" w:color="auto"/>
              <w:right w:val="single" w:sz="4" w:space="0" w:color="auto"/>
            </w:tcBorders>
            <w:shd w:val="clear" w:color="auto" w:fill="auto"/>
            <w:vAlign w:val="center"/>
            <w:hideMark/>
          </w:tcPr>
          <w:p w14:paraId="15CFA8C7"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44,425</w:t>
            </w:r>
          </w:p>
        </w:tc>
        <w:tc>
          <w:tcPr>
            <w:tcW w:w="720" w:type="dxa"/>
            <w:tcBorders>
              <w:top w:val="nil"/>
              <w:left w:val="nil"/>
              <w:bottom w:val="single" w:sz="4" w:space="0" w:color="auto"/>
              <w:right w:val="single" w:sz="4" w:space="0" w:color="auto"/>
            </w:tcBorders>
            <w:shd w:val="clear" w:color="auto" w:fill="auto"/>
            <w:vAlign w:val="center"/>
            <w:hideMark/>
          </w:tcPr>
          <w:p w14:paraId="5A8A860D"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8.6%</w:t>
            </w:r>
          </w:p>
        </w:tc>
      </w:tr>
      <w:tr w:rsidR="00F07BEA" w:rsidRPr="00EE5714" w14:paraId="3810D4A7"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7EEB2CF"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65,906</w:t>
            </w:r>
          </w:p>
        </w:tc>
        <w:tc>
          <w:tcPr>
            <w:tcW w:w="818" w:type="dxa"/>
            <w:tcBorders>
              <w:top w:val="nil"/>
              <w:left w:val="nil"/>
              <w:bottom w:val="single" w:sz="4" w:space="0" w:color="auto"/>
              <w:right w:val="single" w:sz="4" w:space="0" w:color="auto"/>
            </w:tcBorders>
            <w:shd w:val="clear" w:color="auto" w:fill="auto"/>
            <w:vAlign w:val="center"/>
            <w:hideMark/>
          </w:tcPr>
          <w:p w14:paraId="1B4EA391"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13.1%</w:t>
            </w:r>
          </w:p>
        </w:tc>
        <w:tc>
          <w:tcPr>
            <w:tcW w:w="1109" w:type="dxa"/>
            <w:tcBorders>
              <w:top w:val="nil"/>
              <w:left w:val="nil"/>
              <w:bottom w:val="single" w:sz="4" w:space="0" w:color="auto"/>
              <w:right w:val="single" w:sz="4" w:space="0" w:color="auto"/>
            </w:tcBorders>
            <w:shd w:val="clear" w:color="auto" w:fill="auto"/>
            <w:vAlign w:val="center"/>
            <w:hideMark/>
          </w:tcPr>
          <w:p w14:paraId="32E5A89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109" w:type="dxa"/>
            <w:vMerge/>
            <w:tcBorders>
              <w:top w:val="nil"/>
              <w:left w:val="single" w:sz="4" w:space="0" w:color="auto"/>
              <w:bottom w:val="single" w:sz="4" w:space="0" w:color="000000"/>
              <w:right w:val="single" w:sz="4" w:space="0" w:color="auto"/>
            </w:tcBorders>
            <w:vAlign w:val="center"/>
            <w:hideMark/>
          </w:tcPr>
          <w:p w14:paraId="2F81D4E4" w14:textId="77777777" w:rsidR="00F07BEA" w:rsidRPr="00EE5714" w:rsidRDefault="00F07BEA" w:rsidP="00F07BEA">
            <w:pPr>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22D10A78"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1029" w:type="dxa"/>
            <w:tcBorders>
              <w:top w:val="nil"/>
              <w:left w:val="nil"/>
              <w:bottom w:val="single" w:sz="4" w:space="0" w:color="auto"/>
              <w:right w:val="single" w:sz="4" w:space="0" w:color="auto"/>
            </w:tcBorders>
            <w:shd w:val="clear" w:color="auto" w:fill="auto"/>
            <w:vAlign w:val="center"/>
            <w:hideMark/>
          </w:tcPr>
          <w:p w14:paraId="488B56B0"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50,976</w:t>
            </w:r>
          </w:p>
        </w:tc>
        <w:tc>
          <w:tcPr>
            <w:tcW w:w="720" w:type="dxa"/>
            <w:tcBorders>
              <w:top w:val="nil"/>
              <w:left w:val="nil"/>
              <w:bottom w:val="single" w:sz="4" w:space="0" w:color="auto"/>
              <w:right w:val="single" w:sz="4" w:space="0" w:color="auto"/>
            </w:tcBorders>
            <w:shd w:val="clear" w:color="auto" w:fill="auto"/>
            <w:vAlign w:val="center"/>
            <w:hideMark/>
          </w:tcPr>
          <w:p w14:paraId="24898783"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w:t>
            </w:r>
          </w:p>
        </w:tc>
        <w:tc>
          <w:tcPr>
            <w:tcW w:w="1197" w:type="dxa"/>
            <w:tcBorders>
              <w:top w:val="nil"/>
              <w:left w:val="nil"/>
              <w:bottom w:val="single" w:sz="4" w:space="0" w:color="auto"/>
              <w:right w:val="single" w:sz="4" w:space="0" w:color="auto"/>
            </w:tcBorders>
            <w:shd w:val="clear" w:color="auto" w:fill="auto"/>
            <w:vAlign w:val="center"/>
            <w:hideMark/>
          </w:tcPr>
          <w:p w14:paraId="4B2083CE"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126" w:type="dxa"/>
            <w:tcBorders>
              <w:top w:val="nil"/>
              <w:left w:val="nil"/>
              <w:bottom w:val="single" w:sz="4" w:space="0" w:color="auto"/>
              <w:right w:val="single" w:sz="4" w:space="0" w:color="auto"/>
            </w:tcBorders>
            <w:shd w:val="clear" w:color="auto" w:fill="auto"/>
            <w:vAlign w:val="center"/>
            <w:hideMark/>
          </w:tcPr>
          <w:p w14:paraId="396D602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46,330</w:t>
            </w:r>
          </w:p>
        </w:tc>
        <w:tc>
          <w:tcPr>
            <w:tcW w:w="720" w:type="dxa"/>
            <w:tcBorders>
              <w:top w:val="nil"/>
              <w:left w:val="nil"/>
              <w:bottom w:val="single" w:sz="4" w:space="0" w:color="auto"/>
              <w:right w:val="single" w:sz="4" w:space="0" w:color="auto"/>
            </w:tcBorders>
            <w:shd w:val="clear" w:color="auto" w:fill="auto"/>
            <w:vAlign w:val="center"/>
            <w:hideMark/>
          </w:tcPr>
          <w:p w14:paraId="340ED512"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9.0%</w:t>
            </w:r>
          </w:p>
        </w:tc>
      </w:tr>
      <w:tr w:rsidR="00F07BEA" w:rsidRPr="00EE5714" w14:paraId="62E6D878"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8BADE96"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28,192</w:t>
            </w:r>
          </w:p>
        </w:tc>
        <w:tc>
          <w:tcPr>
            <w:tcW w:w="818" w:type="dxa"/>
            <w:tcBorders>
              <w:top w:val="nil"/>
              <w:left w:val="nil"/>
              <w:bottom w:val="single" w:sz="4" w:space="0" w:color="auto"/>
              <w:right w:val="single" w:sz="4" w:space="0" w:color="auto"/>
            </w:tcBorders>
            <w:shd w:val="clear" w:color="auto" w:fill="auto"/>
            <w:vAlign w:val="center"/>
            <w:hideMark/>
          </w:tcPr>
          <w:p w14:paraId="33FA0B1E"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w:t>
            </w:r>
          </w:p>
        </w:tc>
        <w:tc>
          <w:tcPr>
            <w:tcW w:w="1109" w:type="dxa"/>
            <w:tcBorders>
              <w:top w:val="nil"/>
              <w:left w:val="nil"/>
              <w:bottom w:val="single" w:sz="4" w:space="0" w:color="auto"/>
              <w:right w:val="single" w:sz="4" w:space="0" w:color="auto"/>
            </w:tcBorders>
            <w:shd w:val="clear" w:color="auto" w:fill="auto"/>
            <w:vAlign w:val="center"/>
            <w:hideMark/>
          </w:tcPr>
          <w:p w14:paraId="1A8943A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109" w:type="dxa"/>
            <w:vMerge/>
            <w:tcBorders>
              <w:top w:val="nil"/>
              <w:left w:val="single" w:sz="4" w:space="0" w:color="auto"/>
              <w:bottom w:val="single" w:sz="4" w:space="0" w:color="000000"/>
              <w:right w:val="single" w:sz="4" w:space="0" w:color="auto"/>
            </w:tcBorders>
            <w:vAlign w:val="center"/>
            <w:hideMark/>
          </w:tcPr>
          <w:p w14:paraId="1EF561FE" w14:textId="77777777" w:rsidR="00F07BEA" w:rsidRPr="00EE5714" w:rsidRDefault="00F07BEA" w:rsidP="00F07BEA">
            <w:pPr>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46BD1E92"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1029" w:type="dxa"/>
            <w:tcBorders>
              <w:top w:val="nil"/>
              <w:left w:val="nil"/>
              <w:bottom w:val="single" w:sz="4" w:space="0" w:color="auto"/>
              <w:right w:val="single" w:sz="4" w:space="0" w:color="auto"/>
            </w:tcBorders>
            <w:shd w:val="clear" w:color="auto" w:fill="auto"/>
            <w:vAlign w:val="center"/>
            <w:hideMark/>
          </w:tcPr>
          <w:p w14:paraId="604AA3F3"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50,168</w:t>
            </w:r>
          </w:p>
        </w:tc>
        <w:tc>
          <w:tcPr>
            <w:tcW w:w="720" w:type="dxa"/>
            <w:tcBorders>
              <w:top w:val="nil"/>
              <w:left w:val="nil"/>
              <w:bottom w:val="single" w:sz="4" w:space="0" w:color="auto"/>
              <w:right w:val="single" w:sz="4" w:space="0" w:color="auto"/>
            </w:tcBorders>
            <w:shd w:val="clear" w:color="auto" w:fill="auto"/>
            <w:vAlign w:val="center"/>
            <w:hideMark/>
          </w:tcPr>
          <w:p w14:paraId="2A80841C"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3.8%</w:t>
            </w:r>
          </w:p>
        </w:tc>
        <w:tc>
          <w:tcPr>
            <w:tcW w:w="1197" w:type="dxa"/>
            <w:tcBorders>
              <w:top w:val="nil"/>
              <w:left w:val="nil"/>
              <w:bottom w:val="single" w:sz="4" w:space="0" w:color="auto"/>
              <w:right w:val="single" w:sz="4" w:space="0" w:color="auto"/>
            </w:tcBorders>
            <w:shd w:val="clear" w:color="auto" w:fill="auto"/>
            <w:vAlign w:val="center"/>
            <w:hideMark/>
          </w:tcPr>
          <w:p w14:paraId="1F58F00E"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126" w:type="dxa"/>
            <w:tcBorders>
              <w:top w:val="nil"/>
              <w:left w:val="nil"/>
              <w:bottom w:val="single" w:sz="4" w:space="0" w:color="auto"/>
              <w:right w:val="single" w:sz="4" w:space="0" w:color="auto"/>
            </w:tcBorders>
            <w:shd w:val="clear" w:color="auto" w:fill="auto"/>
            <w:vAlign w:val="center"/>
            <w:hideMark/>
          </w:tcPr>
          <w:p w14:paraId="31FE004F"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65,555</w:t>
            </w:r>
          </w:p>
        </w:tc>
        <w:tc>
          <w:tcPr>
            <w:tcW w:w="720" w:type="dxa"/>
            <w:tcBorders>
              <w:top w:val="nil"/>
              <w:left w:val="nil"/>
              <w:bottom w:val="single" w:sz="4" w:space="0" w:color="auto"/>
              <w:right w:val="single" w:sz="4" w:space="0" w:color="auto"/>
            </w:tcBorders>
            <w:shd w:val="clear" w:color="auto" w:fill="auto"/>
            <w:vAlign w:val="center"/>
            <w:hideMark/>
          </w:tcPr>
          <w:p w14:paraId="785EAB84"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12.8%</w:t>
            </w:r>
          </w:p>
        </w:tc>
      </w:tr>
      <w:tr w:rsidR="00F07BEA" w:rsidRPr="00EE5714" w14:paraId="05EEAE58"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4D0B54A0"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11,112</w:t>
            </w:r>
          </w:p>
        </w:tc>
        <w:tc>
          <w:tcPr>
            <w:tcW w:w="818" w:type="dxa"/>
            <w:tcBorders>
              <w:top w:val="nil"/>
              <w:left w:val="nil"/>
              <w:bottom w:val="single" w:sz="4" w:space="0" w:color="auto"/>
              <w:right w:val="single" w:sz="4" w:space="0" w:color="auto"/>
            </w:tcBorders>
            <w:shd w:val="clear" w:color="auto" w:fill="auto"/>
            <w:vAlign w:val="center"/>
            <w:hideMark/>
          </w:tcPr>
          <w:p w14:paraId="46BA6095"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w:t>
            </w:r>
          </w:p>
        </w:tc>
        <w:tc>
          <w:tcPr>
            <w:tcW w:w="1109" w:type="dxa"/>
            <w:tcBorders>
              <w:top w:val="nil"/>
              <w:left w:val="nil"/>
              <w:bottom w:val="single" w:sz="4" w:space="0" w:color="auto"/>
              <w:right w:val="single" w:sz="4" w:space="0" w:color="auto"/>
            </w:tcBorders>
            <w:shd w:val="clear" w:color="auto" w:fill="auto"/>
            <w:vAlign w:val="center"/>
            <w:hideMark/>
          </w:tcPr>
          <w:p w14:paraId="77180187"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109" w:type="dxa"/>
            <w:vMerge/>
            <w:tcBorders>
              <w:top w:val="nil"/>
              <w:left w:val="single" w:sz="4" w:space="0" w:color="auto"/>
              <w:bottom w:val="single" w:sz="4" w:space="0" w:color="000000"/>
              <w:right w:val="single" w:sz="4" w:space="0" w:color="auto"/>
            </w:tcBorders>
            <w:vAlign w:val="center"/>
            <w:hideMark/>
          </w:tcPr>
          <w:p w14:paraId="6EFF8A3B" w14:textId="77777777" w:rsidR="00F07BEA" w:rsidRPr="00EE5714" w:rsidRDefault="00F07BEA" w:rsidP="00F07BEA">
            <w:pPr>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C66F2BE"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1029" w:type="dxa"/>
            <w:tcBorders>
              <w:top w:val="nil"/>
              <w:left w:val="nil"/>
              <w:bottom w:val="single" w:sz="4" w:space="0" w:color="auto"/>
              <w:right w:val="single" w:sz="4" w:space="0" w:color="auto"/>
            </w:tcBorders>
            <w:shd w:val="clear" w:color="auto" w:fill="auto"/>
            <w:vAlign w:val="center"/>
            <w:hideMark/>
          </w:tcPr>
          <w:p w14:paraId="747B3FDB"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76,218</w:t>
            </w:r>
          </w:p>
        </w:tc>
        <w:tc>
          <w:tcPr>
            <w:tcW w:w="720" w:type="dxa"/>
            <w:tcBorders>
              <w:top w:val="nil"/>
              <w:left w:val="nil"/>
              <w:bottom w:val="single" w:sz="4" w:space="0" w:color="auto"/>
              <w:right w:val="single" w:sz="4" w:space="0" w:color="auto"/>
            </w:tcBorders>
            <w:shd w:val="clear" w:color="auto" w:fill="auto"/>
            <w:vAlign w:val="center"/>
            <w:hideMark/>
          </w:tcPr>
          <w:p w14:paraId="374DB6C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5.8%</w:t>
            </w:r>
          </w:p>
        </w:tc>
        <w:tc>
          <w:tcPr>
            <w:tcW w:w="1197" w:type="dxa"/>
            <w:tcBorders>
              <w:top w:val="nil"/>
              <w:left w:val="nil"/>
              <w:bottom w:val="single" w:sz="4" w:space="0" w:color="auto"/>
              <w:right w:val="single" w:sz="4" w:space="0" w:color="auto"/>
            </w:tcBorders>
            <w:shd w:val="clear" w:color="auto" w:fill="auto"/>
            <w:vAlign w:val="center"/>
            <w:hideMark/>
          </w:tcPr>
          <w:p w14:paraId="3B6A0B2C"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126" w:type="dxa"/>
            <w:tcBorders>
              <w:top w:val="nil"/>
              <w:left w:val="nil"/>
              <w:bottom w:val="single" w:sz="4" w:space="0" w:color="auto"/>
              <w:right w:val="single" w:sz="4" w:space="0" w:color="auto"/>
            </w:tcBorders>
            <w:shd w:val="clear" w:color="auto" w:fill="auto"/>
            <w:vAlign w:val="center"/>
            <w:hideMark/>
          </w:tcPr>
          <w:p w14:paraId="6E3B5BC4"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105,259</w:t>
            </w:r>
          </w:p>
        </w:tc>
        <w:tc>
          <w:tcPr>
            <w:tcW w:w="720" w:type="dxa"/>
            <w:tcBorders>
              <w:top w:val="nil"/>
              <w:left w:val="nil"/>
              <w:bottom w:val="single" w:sz="4" w:space="0" w:color="auto"/>
              <w:right w:val="single" w:sz="4" w:space="0" w:color="auto"/>
            </w:tcBorders>
            <w:shd w:val="clear" w:color="auto" w:fill="auto"/>
            <w:vAlign w:val="center"/>
            <w:hideMark/>
          </w:tcPr>
          <w:p w14:paraId="763C64A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20.5%</w:t>
            </w:r>
          </w:p>
        </w:tc>
      </w:tr>
      <w:tr w:rsidR="00F07BEA" w:rsidRPr="00EE5714" w14:paraId="4E4679C2"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0A31EB1"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5,978</w:t>
            </w:r>
          </w:p>
        </w:tc>
        <w:tc>
          <w:tcPr>
            <w:tcW w:w="818" w:type="dxa"/>
            <w:tcBorders>
              <w:top w:val="nil"/>
              <w:left w:val="nil"/>
              <w:bottom w:val="single" w:sz="4" w:space="0" w:color="auto"/>
              <w:right w:val="single" w:sz="4" w:space="0" w:color="auto"/>
            </w:tcBorders>
            <w:shd w:val="clear" w:color="auto" w:fill="auto"/>
            <w:vAlign w:val="center"/>
            <w:hideMark/>
          </w:tcPr>
          <w:p w14:paraId="7CDD3308"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w:t>
            </w:r>
          </w:p>
        </w:tc>
        <w:tc>
          <w:tcPr>
            <w:tcW w:w="1109" w:type="dxa"/>
            <w:tcBorders>
              <w:top w:val="nil"/>
              <w:left w:val="nil"/>
              <w:bottom w:val="single" w:sz="4" w:space="0" w:color="auto"/>
              <w:right w:val="single" w:sz="4" w:space="0" w:color="auto"/>
            </w:tcBorders>
            <w:shd w:val="clear" w:color="auto" w:fill="auto"/>
            <w:vAlign w:val="center"/>
            <w:hideMark/>
          </w:tcPr>
          <w:p w14:paraId="4CFBA5BA"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109" w:type="dxa"/>
            <w:vMerge/>
            <w:tcBorders>
              <w:top w:val="nil"/>
              <w:left w:val="single" w:sz="4" w:space="0" w:color="auto"/>
              <w:bottom w:val="single" w:sz="4" w:space="0" w:color="000000"/>
              <w:right w:val="single" w:sz="4" w:space="0" w:color="auto"/>
            </w:tcBorders>
            <w:vAlign w:val="center"/>
            <w:hideMark/>
          </w:tcPr>
          <w:p w14:paraId="6D11B918" w14:textId="77777777" w:rsidR="00F07BEA" w:rsidRPr="00EE5714" w:rsidRDefault="00F07BEA" w:rsidP="00F07BEA">
            <w:pPr>
              <w:spacing w:after="0" w:line="240" w:lineRule="auto"/>
              <w:rPr>
                <w:rFonts w:ascii="Calibri" w:eastAsia="Times New Roman" w:hAnsi="Calibri" w:cs="Calibri"/>
                <w:color w:val="000000"/>
                <w:sz w:val="20"/>
                <w:szCs w:val="20"/>
              </w:rPr>
            </w:pP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BF6B678"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1029" w:type="dxa"/>
            <w:tcBorders>
              <w:top w:val="nil"/>
              <w:left w:val="nil"/>
              <w:bottom w:val="single" w:sz="4" w:space="0" w:color="auto"/>
              <w:right w:val="single" w:sz="4" w:space="0" w:color="auto"/>
            </w:tcBorders>
            <w:shd w:val="clear" w:color="auto" w:fill="auto"/>
            <w:vAlign w:val="center"/>
            <w:hideMark/>
          </w:tcPr>
          <w:p w14:paraId="22C2F10A"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34,515</w:t>
            </w:r>
          </w:p>
        </w:tc>
        <w:tc>
          <w:tcPr>
            <w:tcW w:w="720" w:type="dxa"/>
            <w:tcBorders>
              <w:top w:val="nil"/>
              <w:left w:val="nil"/>
              <w:bottom w:val="single" w:sz="4" w:space="0" w:color="auto"/>
              <w:right w:val="single" w:sz="4" w:space="0" w:color="auto"/>
            </w:tcBorders>
            <w:shd w:val="clear" w:color="auto" w:fill="auto"/>
            <w:vAlign w:val="center"/>
            <w:hideMark/>
          </w:tcPr>
          <w:p w14:paraId="2BA5BF23"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w:t>
            </w:r>
          </w:p>
        </w:tc>
        <w:tc>
          <w:tcPr>
            <w:tcW w:w="1197" w:type="dxa"/>
            <w:tcBorders>
              <w:top w:val="nil"/>
              <w:left w:val="nil"/>
              <w:bottom w:val="single" w:sz="4" w:space="0" w:color="auto"/>
              <w:right w:val="single" w:sz="4" w:space="0" w:color="auto"/>
            </w:tcBorders>
            <w:shd w:val="clear" w:color="auto" w:fill="auto"/>
            <w:vAlign w:val="center"/>
            <w:hideMark/>
          </w:tcPr>
          <w:p w14:paraId="10A26587"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126" w:type="dxa"/>
            <w:tcBorders>
              <w:top w:val="nil"/>
              <w:left w:val="nil"/>
              <w:bottom w:val="single" w:sz="4" w:space="0" w:color="auto"/>
              <w:right w:val="single" w:sz="4" w:space="0" w:color="auto"/>
            </w:tcBorders>
            <w:shd w:val="clear" w:color="auto" w:fill="auto"/>
            <w:vAlign w:val="center"/>
            <w:hideMark/>
          </w:tcPr>
          <w:p w14:paraId="411DAE48"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75,728</w:t>
            </w:r>
          </w:p>
        </w:tc>
        <w:tc>
          <w:tcPr>
            <w:tcW w:w="720" w:type="dxa"/>
            <w:tcBorders>
              <w:top w:val="nil"/>
              <w:left w:val="nil"/>
              <w:bottom w:val="single" w:sz="4" w:space="0" w:color="auto"/>
              <w:right w:val="single" w:sz="4" w:space="0" w:color="auto"/>
            </w:tcBorders>
            <w:shd w:val="clear" w:color="auto" w:fill="auto"/>
            <w:vAlign w:val="center"/>
            <w:hideMark/>
          </w:tcPr>
          <w:p w14:paraId="2AB3C983"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14.7%</w:t>
            </w:r>
          </w:p>
        </w:tc>
      </w:tr>
      <w:tr w:rsidR="00F07BEA" w:rsidRPr="00EE5714" w14:paraId="08099C22"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000000" w:fill="E7E6E6"/>
            <w:vAlign w:val="center"/>
            <w:hideMark/>
          </w:tcPr>
          <w:p w14:paraId="00B9F926"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30.30%</w:t>
            </w:r>
          </w:p>
        </w:tc>
        <w:tc>
          <w:tcPr>
            <w:tcW w:w="818" w:type="dxa"/>
            <w:tcBorders>
              <w:top w:val="nil"/>
              <w:left w:val="nil"/>
              <w:bottom w:val="single" w:sz="4" w:space="0" w:color="auto"/>
              <w:right w:val="single" w:sz="4" w:space="0" w:color="auto"/>
            </w:tcBorders>
            <w:shd w:val="clear" w:color="000000" w:fill="E7E6E6"/>
            <w:vAlign w:val="center"/>
            <w:hideMark/>
          </w:tcPr>
          <w:p w14:paraId="7997C8F8"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218"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4F05CBB4"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2C649647"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1029" w:type="dxa"/>
            <w:tcBorders>
              <w:top w:val="nil"/>
              <w:left w:val="nil"/>
              <w:bottom w:val="single" w:sz="4" w:space="0" w:color="auto"/>
              <w:right w:val="single" w:sz="4" w:space="0" w:color="auto"/>
            </w:tcBorders>
            <w:shd w:val="clear" w:color="auto" w:fill="auto"/>
            <w:vAlign w:val="center"/>
            <w:hideMark/>
          </w:tcPr>
          <w:p w14:paraId="29E5EC20"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950,693</w:t>
            </w:r>
          </w:p>
        </w:tc>
        <w:tc>
          <w:tcPr>
            <w:tcW w:w="720" w:type="dxa"/>
            <w:tcBorders>
              <w:top w:val="nil"/>
              <w:left w:val="nil"/>
              <w:bottom w:val="single" w:sz="4" w:space="0" w:color="auto"/>
              <w:right w:val="single" w:sz="4" w:space="0" w:color="auto"/>
            </w:tcBorders>
            <w:shd w:val="clear" w:color="auto" w:fill="auto"/>
            <w:vAlign w:val="center"/>
            <w:hideMark/>
          </w:tcPr>
          <w:p w14:paraId="74A0424A"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72.4%</w:t>
            </w:r>
          </w:p>
        </w:tc>
        <w:tc>
          <w:tcPr>
            <w:tcW w:w="1197" w:type="dxa"/>
            <w:tcBorders>
              <w:top w:val="nil"/>
              <w:left w:val="nil"/>
              <w:bottom w:val="single" w:sz="4" w:space="0" w:color="auto"/>
              <w:right w:val="single" w:sz="4" w:space="0" w:color="auto"/>
            </w:tcBorders>
            <w:shd w:val="clear" w:color="auto" w:fill="auto"/>
            <w:vAlign w:val="center"/>
            <w:hideMark/>
          </w:tcPr>
          <w:p w14:paraId="431C19B4"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126" w:type="dxa"/>
            <w:tcBorders>
              <w:top w:val="nil"/>
              <w:left w:val="nil"/>
              <w:bottom w:val="single" w:sz="4" w:space="0" w:color="auto"/>
              <w:right w:val="single" w:sz="4" w:space="0" w:color="auto"/>
            </w:tcBorders>
            <w:shd w:val="clear" w:color="auto" w:fill="auto"/>
            <w:vAlign w:val="center"/>
            <w:hideMark/>
          </w:tcPr>
          <w:p w14:paraId="2812DBF1"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87,931</w:t>
            </w:r>
          </w:p>
        </w:tc>
        <w:tc>
          <w:tcPr>
            <w:tcW w:w="720" w:type="dxa"/>
            <w:tcBorders>
              <w:top w:val="nil"/>
              <w:left w:val="nil"/>
              <w:bottom w:val="single" w:sz="4" w:space="0" w:color="auto"/>
              <w:right w:val="single" w:sz="4" w:space="0" w:color="auto"/>
            </w:tcBorders>
            <w:shd w:val="clear" w:color="auto" w:fill="auto"/>
            <w:vAlign w:val="center"/>
            <w:hideMark/>
          </w:tcPr>
          <w:p w14:paraId="768C8650"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17.1%</w:t>
            </w:r>
          </w:p>
        </w:tc>
      </w:tr>
      <w:tr w:rsidR="00F07BEA" w:rsidRPr="00EE5714" w14:paraId="538BEEF7"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3B77B92"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124,202</w:t>
            </w:r>
          </w:p>
        </w:tc>
        <w:tc>
          <w:tcPr>
            <w:tcW w:w="818" w:type="dxa"/>
            <w:tcBorders>
              <w:top w:val="nil"/>
              <w:left w:val="nil"/>
              <w:bottom w:val="single" w:sz="4" w:space="0" w:color="auto"/>
              <w:right w:val="single" w:sz="4" w:space="0" w:color="auto"/>
            </w:tcBorders>
            <w:shd w:val="clear" w:color="auto" w:fill="auto"/>
            <w:vAlign w:val="center"/>
            <w:hideMark/>
          </w:tcPr>
          <w:p w14:paraId="610C8B38"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24.6%</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945D4DC"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4703DCE1"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24.6%</w:t>
            </w:r>
          </w:p>
        </w:tc>
        <w:tc>
          <w:tcPr>
            <w:tcW w:w="1546" w:type="dxa"/>
            <w:tcBorders>
              <w:top w:val="nil"/>
              <w:left w:val="nil"/>
              <w:bottom w:val="single" w:sz="4" w:space="0" w:color="auto"/>
              <w:right w:val="single" w:sz="4" w:space="0" w:color="auto"/>
            </w:tcBorders>
            <w:shd w:val="clear" w:color="auto" w:fill="auto"/>
            <w:vAlign w:val="center"/>
            <w:hideMark/>
          </w:tcPr>
          <w:p w14:paraId="7A3D7F3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29" w:type="dxa"/>
            <w:tcBorders>
              <w:top w:val="nil"/>
              <w:left w:val="nil"/>
              <w:bottom w:val="single" w:sz="4" w:space="0" w:color="auto"/>
              <w:right w:val="single" w:sz="4" w:space="0" w:color="auto"/>
            </w:tcBorders>
            <w:shd w:val="clear" w:color="auto" w:fill="auto"/>
            <w:vAlign w:val="center"/>
            <w:hideMark/>
          </w:tcPr>
          <w:p w14:paraId="2446A598"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1,312,262</w:t>
            </w:r>
          </w:p>
        </w:tc>
        <w:tc>
          <w:tcPr>
            <w:tcW w:w="720" w:type="dxa"/>
            <w:tcBorders>
              <w:top w:val="nil"/>
              <w:left w:val="nil"/>
              <w:bottom w:val="single" w:sz="4" w:space="0" w:color="auto"/>
              <w:right w:val="single" w:sz="4" w:space="0" w:color="auto"/>
            </w:tcBorders>
            <w:shd w:val="clear" w:color="auto" w:fill="auto"/>
            <w:vAlign w:val="center"/>
            <w:hideMark/>
          </w:tcPr>
          <w:p w14:paraId="454B83AC"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7D0733F3"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126" w:type="dxa"/>
            <w:tcBorders>
              <w:top w:val="nil"/>
              <w:left w:val="nil"/>
              <w:bottom w:val="single" w:sz="4" w:space="0" w:color="auto"/>
              <w:right w:val="single" w:sz="4" w:space="0" w:color="auto"/>
            </w:tcBorders>
            <w:shd w:val="clear" w:color="auto" w:fill="auto"/>
            <w:vAlign w:val="center"/>
            <w:hideMark/>
          </w:tcPr>
          <w:p w14:paraId="1860E2A6"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23,238</w:t>
            </w:r>
          </w:p>
        </w:tc>
        <w:tc>
          <w:tcPr>
            <w:tcW w:w="720" w:type="dxa"/>
            <w:tcBorders>
              <w:top w:val="nil"/>
              <w:left w:val="nil"/>
              <w:bottom w:val="single" w:sz="4" w:space="0" w:color="auto"/>
              <w:right w:val="single" w:sz="4" w:space="0" w:color="auto"/>
            </w:tcBorders>
            <w:shd w:val="clear" w:color="auto" w:fill="auto"/>
            <w:vAlign w:val="center"/>
            <w:hideMark/>
          </w:tcPr>
          <w:p w14:paraId="57E3A70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4.5%</w:t>
            </w:r>
          </w:p>
        </w:tc>
      </w:tr>
      <w:tr w:rsidR="00F07BEA" w:rsidRPr="00EE5714" w14:paraId="65AD1F50"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A5B6CBF"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lastRenderedPageBreak/>
              <w:t>24,249</w:t>
            </w:r>
          </w:p>
        </w:tc>
        <w:tc>
          <w:tcPr>
            <w:tcW w:w="818" w:type="dxa"/>
            <w:tcBorders>
              <w:top w:val="nil"/>
              <w:left w:val="nil"/>
              <w:bottom w:val="single" w:sz="4" w:space="0" w:color="auto"/>
              <w:right w:val="single" w:sz="4" w:space="0" w:color="auto"/>
            </w:tcBorders>
            <w:shd w:val="clear" w:color="auto" w:fill="auto"/>
            <w:vAlign w:val="center"/>
            <w:hideMark/>
          </w:tcPr>
          <w:p w14:paraId="6067AE41"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w:t>
            </w:r>
          </w:p>
        </w:tc>
        <w:tc>
          <w:tcPr>
            <w:tcW w:w="1109" w:type="dxa"/>
            <w:tcBorders>
              <w:top w:val="nil"/>
              <w:left w:val="nil"/>
              <w:bottom w:val="single" w:sz="4" w:space="0" w:color="auto"/>
              <w:right w:val="single" w:sz="4" w:space="0" w:color="auto"/>
            </w:tcBorders>
            <w:shd w:val="clear" w:color="auto" w:fill="auto"/>
            <w:vAlign w:val="center"/>
            <w:hideMark/>
          </w:tcPr>
          <w:p w14:paraId="0494EFC6"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109" w:type="dxa"/>
            <w:tcBorders>
              <w:top w:val="nil"/>
              <w:left w:val="nil"/>
              <w:bottom w:val="single" w:sz="4" w:space="0" w:color="auto"/>
              <w:right w:val="single" w:sz="4" w:space="0" w:color="auto"/>
            </w:tcBorders>
            <w:shd w:val="clear" w:color="auto" w:fill="auto"/>
            <w:vAlign w:val="center"/>
            <w:hideMark/>
          </w:tcPr>
          <w:p w14:paraId="60BF3194"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36.1%</w:t>
            </w:r>
          </w:p>
        </w:tc>
        <w:tc>
          <w:tcPr>
            <w:tcW w:w="329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1DDF2E1"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97" w:type="dxa"/>
            <w:tcBorders>
              <w:top w:val="nil"/>
              <w:left w:val="single" w:sz="4" w:space="0" w:color="auto"/>
              <w:bottom w:val="single" w:sz="4" w:space="0" w:color="auto"/>
              <w:right w:val="single" w:sz="4" w:space="0" w:color="auto"/>
            </w:tcBorders>
            <w:shd w:val="clear" w:color="auto" w:fill="auto"/>
            <w:vAlign w:val="center"/>
            <w:hideMark/>
          </w:tcPr>
          <w:p w14:paraId="5ABB5BBB"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126" w:type="dxa"/>
            <w:tcBorders>
              <w:top w:val="nil"/>
              <w:left w:val="nil"/>
              <w:bottom w:val="single" w:sz="4" w:space="0" w:color="auto"/>
              <w:right w:val="single" w:sz="4" w:space="0" w:color="auto"/>
            </w:tcBorders>
            <w:shd w:val="clear" w:color="auto" w:fill="auto"/>
            <w:vAlign w:val="center"/>
            <w:hideMark/>
          </w:tcPr>
          <w:p w14:paraId="60BB0566"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24,143</w:t>
            </w:r>
          </w:p>
        </w:tc>
        <w:tc>
          <w:tcPr>
            <w:tcW w:w="720" w:type="dxa"/>
            <w:tcBorders>
              <w:top w:val="nil"/>
              <w:left w:val="nil"/>
              <w:bottom w:val="single" w:sz="4" w:space="0" w:color="auto"/>
              <w:right w:val="single" w:sz="4" w:space="0" w:color="auto"/>
            </w:tcBorders>
            <w:shd w:val="clear" w:color="auto" w:fill="auto"/>
            <w:vAlign w:val="center"/>
            <w:hideMark/>
          </w:tcPr>
          <w:p w14:paraId="01CB0C8D"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w:t>
            </w:r>
          </w:p>
        </w:tc>
      </w:tr>
      <w:tr w:rsidR="00F07BEA" w:rsidRPr="00EE5714" w14:paraId="78AB9187" w14:textId="77777777" w:rsidTr="00130638">
        <w:trPr>
          <w:trHeight w:val="498"/>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D9732B5"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2,727</w:t>
            </w:r>
          </w:p>
        </w:tc>
        <w:tc>
          <w:tcPr>
            <w:tcW w:w="818" w:type="dxa"/>
            <w:tcBorders>
              <w:top w:val="nil"/>
              <w:left w:val="nil"/>
              <w:bottom w:val="single" w:sz="4" w:space="0" w:color="auto"/>
              <w:right w:val="single" w:sz="4" w:space="0" w:color="auto"/>
            </w:tcBorders>
            <w:shd w:val="clear" w:color="auto" w:fill="auto"/>
            <w:vAlign w:val="center"/>
            <w:hideMark/>
          </w:tcPr>
          <w:p w14:paraId="6C8110C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w:t>
            </w:r>
          </w:p>
        </w:tc>
        <w:tc>
          <w:tcPr>
            <w:tcW w:w="1109" w:type="dxa"/>
            <w:tcBorders>
              <w:top w:val="nil"/>
              <w:left w:val="nil"/>
              <w:bottom w:val="single" w:sz="4" w:space="0" w:color="auto"/>
              <w:right w:val="single" w:sz="4" w:space="0" w:color="auto"/>
            </w:tcBorders>
            <w:shd w:val="clear" w:color="auto" w:fill="auto"/>
            <w:vAlign w:val="center"/>
            <w:hideMark/>
          </w:tcPr>
          <w:p w14:paraId="2E6DD05A"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109" w:type="dxa"/>
            <w:tcBorders>
              <w:top w:val="nil"/>
              <w:left w:val="nil"/>
              <w:bottom w:val="single" w:sz="4" w:space="0" w:color="auto"/>
              <w:right w:val="single" w:sz="4" w:space="0" w:color="auto"/>
            </w:tcBorders>
            <w:shd w:val="clear" w:color="auto" w:fill="auto"/>
            <w:vAlign w:val="center"/>
            <w:hideMark/>
          </w:tcPr>
          <w:p w14:paraId="45DEE4BC"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16.9%</w:t>
            </w:r>
          </w:p>
        </w:tc>
        <w:tc>
          <w:tcPr>
            <w:tcW w:w="1546" w:type="dxa"/>
            <w:tcBorders>
              <w:top w:val="single" w:sz="4" w:space="0" w:color="auto"/>
              <w:left w:val="nil"/>
              <w:bottom w:val="single" w:sz="4" w:space="0" w:color="auto"/>
              <w:right w:val="single" w:sz="4" w:space="0" w:color="auto"/>
            </w:tcBorders>
            <w:shd w:val="clear" w:color="000000" w:fill="E7E6E6"/>
            <w:vAlign w:val="center"/>
            <w:hideMark/>
          </w:tcPr>
          <w:p w14:paraId="12F9EA8C"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1029" w:type="dxa"/>
            <w:tcBorders>
              <w:top w:val="single" w:sz="4" w:space="0" w:color="auto"/>
              <w:left w:val="nil"/>
              <w:bottom w:val="single" w:sz="4" w:space="0" w:color="auto"/>
              <w:right w:val="single" w:sz="4" w:space="0" w:color="auto"/>
            </w:tcBorders>
            <w:shd w:val="clear" w:color="000000" w:fill="E7E6E6"/>
            <w:vAlign w:val="center"/>
            <w:hideMark/>
          </w:tcPr>
          <w:p w14:paraId="18A7C611"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20" w:type="dxa"/>
            <w:tcBorders>
              <w:top w:val="single" w:sz="4" w:space="0" w:color="auto"/>
              <w:left w:val="nil"/>
              <w:bottom w:val="single" w:sz="4" w:space="0" w:color="auto"/>
              <w:right w:val="single" w:sz="4" w:space="0" w:color="auto"/>
            </w:tcBorders>
            <w:shd w:val="clear" w:color="000000" w:fill="E7E6E6"/>
            <w:vAlign w:val="center"/>
            <w:hideMark/>
          </w:tcPr>
          <w:p w14:paraId="77663F68"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197" w:type="dxa"/>
            <w:tcBorders>
              <w:top w:val="nil"/>
              <w:left w:val="nil"/>
              <w:bottom w:val="single" w:sz="4" w:space="0" w:color="auto"/>
              <w:right w:val="single" w:sz="4" w:space="0" w:color="auto"/>
            </w:tcBorders>
            <w:shd w:val="clear" w:color="auto" w:fill="auto"/>
            <w:vAlign w:val="center"/>
            <w:hideMark/>
          </w:tcPr>
          <w:p w14:paraId="289B72B1"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26" w:type="dxa"/>
            <w:tcBorders>
              <w:top w:val="nil"/>
              <w:left w:val="nil"/>
              <w:bottom w:val="single" w:sz="4" w:space="0" w:color="auto"/>
              <w:right w:val="single" w:sz="4" w:space="0" w:color="auto"/>
            </w:tcBorders>
            <w:shd w:val="clear" w:color="auto" w:fill="auto"/>
            <w:vAlign w:val="center"/>
            <w:hideMark/>
          </w:tcPr>
          <w:p w14:paraId="6E8BB828"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514,063</w:t>
            </w:r>
          </w:p>
        </w:tc>
        <w:tc>
          <w:tcPr>
            <w:tcW w:w="720" w:type="dxa"/>
            <w:tcBorders>
              <w:top w:val="nil"/>
              <w:left w:val="nil"/>
              <w:bottom w:val="single" w:sz="4" w:space="0" w:color="auto"/>
              <w:right w:val="single" w:sz="4" w:space="0" w:color="auto"/>
            </w:tcBorders>
            <w:shd w:val="clear" w:color="auto" w:fill="auto"/>
            <w:vAlign w:val="center"/>
            <w:hideMark/>
          </w:tcPr>
          <w:p w14:paraId="0124B7CB"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F07BEA" w:rsidRPr="00EE5714" w14:paraId="147150CE"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68FADD61"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1,255</w:t>
            </w:r>
          </w:p>
        </w:tc>
        <w:tc>
          <w:tcPr>
            <w:tcW w:w="818" w:type="dxa"/>
            <w:tcBorders>
              <w:top w:val="nil"/>
              <w:left w:val="nil"/>
              <w:bottom w:val="single" w:sz="4" w:space="0" w:color="auto"/>
              <w:right w:val="single" w:sz="4" w:space="0" w:color="auto"/>
            </w:tcBorders>
            <w:shd w:val="clear" w:color="auto" w:fill="auto"/>
            <w:vAlign w:val="center"/>
            <w:hideMark/>
          </w:tcPr>
          <w:p w14:paraId="7B0BC8D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0.2%</w:t>
            </w:r>
          </w:p>
        </w:tc>
        <w:tc>
          <w:tcPr>
            <w:tcW w:w="1109" w:type="dxa"/>
            <w:tcBorders>
              <w:top w:val="nil"/>
              <w:left w:val="nil"/>
              <w:bottom w:val="single" w:sz="4" w:space="0" w:color="auto"/>
              <w:right w:val="single" w:sz="4" w:space="0" w:color="auto"/>
            </w:tcBorders>
            <w:shd w:val="clear" w:color="auto" w:fill="auto"/>
            <w:vAlign w:val="center"/>
            <w:hideMark/>
          </w:tcPr>
          <w:p w14:paraId="0E251B48"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109" w:type="dxa"/>
            <w:tcBorders>
              <w:top w:val="nil"/>
              <w:left w:val="nil"/>
              <w:bottom w:val="single" w:sz="4" w:space="0" w:color="auto"/>
              <w:right w:val="single" w:sz="4" w:space="0" w:color="auto"/>
            </w:tcBorders>
            <w:shd w:val="clear" w:color="auto" w:fill="auto"/>
            <w:vAlign w:val="center"/>
            <w:hideMark/>
          </w:tcPr>
          <w:p w14:paraId="409442BE"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13.3%</w:t>
            </w:r>
          </w:p>
        </w:tc>
        <w:tc>
          <w:tcPr>
            <w:tcW w:w="1546" w:type="dxa"/>
            <w:tcBorders>
              <w:top w:val="nil"/>
              <w:left w:val="nil"/>
              <w:bottom w:val="single" w:sz="4" w:space="0" w:color="auto"/>
              <w:right w:val="single" w:sz="4" w:space="0" w:color="auto"/>
            </w:tcBorders>
            <w:shd w:val="clear" w:color="auto" w:fill="auto"/>
            <w:vAlign w:val="center"/>
            <w:hideMark/>
          </w:tcPr>
          <w:p w14:paraId="12D1459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1029" w:type="dxa"/>
            <w:tcBorders>
              <w:top w:val="nil"/>
              <w:left w:val="nil"/>
              <w:bottom w:val="single" w:sz="4" w:space="0" w:color="auto"/>
              <w:right w:val="single" w:sz="4" w:space="0" w:color="auto"/>
            </w:tcBorders>
            <w:shd w:val="clear" w:color="auto" w:fill="auto"/>
            <w:vAlign w:val="center"/>
            <w:hideMark/>
          </w:tcPr>
          <w:p w14:paraId="0167B881"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186,045</w:t>
            </w:r>
          </w:p>
        </w:tc>
        <w:tc>
          <w:tcPr>
            <w:tcW w:w="720" w:type="dxa"/>
            <w:tcBorders>
              <w:top w:val="nil"/>
              <w:left w:val="nil"/>
              <w:bottom w:val="single" w:sz="4" w:space="0" w:color="auto"/>
              <w:right w:val="single" w:sz="4" w:space="0" w:color="auto"/>
            </w:tcBorders>
            <w:shd w:val="clear" w:color="auto" w:fill="auto"/>
            <w:vAlign w:val="center"/>
            <w:hideMark/>
          </w:tcPr>
          <w:p w14:paraId="031DF001"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36.9%</w:t>
            </w:r>
          </w:p>
        </w:tc>
        <w:tc>
          <w:tcPr>
            <w:tcW w:w="1197" w:type="dxa"/>
            <w:tcBorders>
              <w:top w:val="nil"/>
              <w:left w:val="nil"/>
              <w:bottom w:val="single" w:sz="4" w:space="0" w:color="auto"/>
              <w:right w:val="single" w:sz="4" w:space="0" w:color="auto"/>
            </w:tcBorders>
            <w:shd w:val="clear" w:color="auto" w:fill="auto"/>
            <w:vAlign w:val="center"/>
            <w:hideMark/>
          </w:tcPr>
          <w:p w14:paraId="2E8D0040"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126" w:type="dxa"/>
            <w:tcBorders>
              <w:top w:val="nil"/>
              <w:left w:val="nil"/>
              <w:bottom w:val="single" w:sz="4" w:space="0" w:color="auto"/>
              <w:right w:val="single" w:sz="4" w:space="0" w:color="auto"/>
            </w:tcBorders>
            <w:shd w:val="clear" w:color="auto" w:fill="auto"/>
            <w:vAlign w:val="center"/>
            <w:hideMark/>
          </w:tcPr>
          <w:p w14:paraId="724F6AD4"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$62,473</w:t>
            </w:r>
          </w:p>
        </w:tc>
        <w:tc>
          <w:tcPr>
            <w:tcW w:w="720" w:type="dxa"/>
            <w:tcBorders>
              <w:top w:val="nil"/>
              <w:left w:val="nil"/>
              <w:bottom w:val="single" w:sz="4" w:space="0" w:color="auto"/>
              <w:right w:val="single" w:sz="4" w:space="0" w:color="auto"/>
            </w:tcBorders>
            <w:shd w:val="clear" w:color="auto" w:fill="auto"/>
            <w:vAlign w:val="center"/>
            <w:hideMark/>
          </w:tcPr>
          <w:p w14:paraId="6BC234D2"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F07BEA" w:rsidRPr="00EE5714" w14:paraId="1A2E7383" w14:textId="77777777" w:rsidTr="00130638">
        <w:trPr>
          <w:trHeight w:val="498"/>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5A35B3B2"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314</w:t>
            </w:r>
          </w:p>
        </w:tc>
        <w:tc>
          <w:tcPr>
            <w:tcW w:w="818" w:type="dxa"/>
            <w:tcBorders>
              <w:top w:val="nil"/>
              <w:left w:val="nil"/>
              <w:bottom w:val="single" w:sz="4" w:space="0" w:color="auto"/>
              <w:right w:val="single" w:sz="4" w:space="0" w:color="auto"/>
            </w:tcBorders>
            <w:shd w:val="clear" w:color="auto" w:fill="auto"/>
            <w:vAlign w:val="center"/>
            <w:hideMark/>
          </w:tcPr>
          <w:p w14:paraId="593B8ABB"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109" w:type="dxa"/>
            <w:tcBorders>
              <w:top w:val="nil"/>
              <w:left w:val="nil"/>
              <w:bottom w:val="single" w:sz="4" w:space="0" w:color="auto"/>
              <w:right w:val="single" w:sz="4" w:space="0" w:color="auto"/>
            </w:tcBorders>
            <w:shd w:val="clear" w:color="auto" w:fill="auto"/>
            <w:vAlign w:val="center"/>
            <w:hideMark/>
          </w:tcPr>
          <w:p w14:paraId="5C460452"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109" w:type="dxa"/>
            <w:tcBorders>
              <w:top w:val="nil"/>
              <w:left w:val="nil"/>
              <w:bottom w:val="single" w:sz="4" w:space="0" w:color="auto"/>
              <w:right w:val="single" w:sz="4" w:space="0" w:color="auto"/>
            </w:tcBorders>
            <w:shd w:val="clear" w:color="auto" w:fill="auto"/>
            <w:vAlign w:val="center"/>
            <w:hideMark/>
          </w:tcPr>
          <w:p w14:paraId="05209635"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w:t>
            </w:r>
          </w:p>
        </w:tc>
        <w:tc>
          <w:tcPr>
            <w:tcW w:w="1546" w:type="dxa"/>
            <w:tcBorders>
              <w:top w:val="nil"/>
              <w:left w:val="nil"/>
              <w:bottom w:val="single" w:sz="4" w:space="0" w:color="auto"/>
              <w:right w:val="single" w:sz="4" w:space="0" w:color="auto"/>
            </w:tcBorders>
            <w:shd w:val="clear" w:color="auto" w:fill="auto"/>
            <w:vAlign w:val="center"/>
            <w:hideMark/>
          </w:tcPr>
          <w:p w14:paraId="4E2F2F9E"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1029" w:type="dxa"/>
            <w:tcBorders>
              <w:top w:val="nil"/>
              <w:left w:val="nil"/>
              <w:bottom w:val="single" w:sz="4" w:space="0" w:color="auto"/>
              <w:right w:val="single" w:sz="4" w:space="0" w:color="auto"/>
            </w:tcBorders>
            <w:shd w:val="clear" w:color="auto" w:fill="auto"/>
            <w:vAlign w:val="center"/>
            <w:hideMark/>
          </w:tcPr>
          <w:p w14:paraId="03429B5E"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36,307</w:t>
            </w:r>
          </w:p>
        </w:tc>
        <w:tc>
          <w:tcPr>
            <w:tcW w:w="720" w:type="dxa"/>
            <w:tcBorders>
              <w:top w:val="nil"/>
              <w:left w:val="nil"/>
              <w:bottom w:val="single" w:sz="4" w:space="0" w:color="auto"/>
              <w:right w:val="single" w:sz="4" w:space="0" w:color="auto"/>
            </w:tcBorders>
            <w:shd w:val="clear" w:color="auto" w:fill="auto"/>
            <w:vAlign w:val="center"/>
            <w:hideMark/>
          </w:tcPr>
          <w:p w14:paraId="2D4F05E5"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7.2%</w:t>
            </w:r>
          </w:p>
        </w:tc>
        <w:tc>
          <w:tcPr>
            <w:tcW w:w="1197" w:type="dxa"/>
            <w:tcBorders>
              <w:top w:val="nil"/>
              <w:left w:val="nil"/>
              <w:bottom w:val="single" w:sz="4" w:space="0" w:color="auto"/>
              <w:right w:val="single" w:sz="4" w:space="0" w:color="auto"/>
            </w:tcBorders>
            <w:shd w:val="clear" w:color="auto" w:fill="auto"/>
            <w:vAlign w:val="center"/>
            <w:hideMark/>
          </w:tcPr>
          <w:p w14:paraId="4BA1E421"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126" w:type="dxa"/>
            <w:tcBorders>
              <w:top w:val="nil"/>
              <w:left w:val="nil"/>
              <w:bottom w:val="single" w:sz="4" w:space="0" w:color="auto"/>
              <w:right w:val="single" w:sz="4" w:space="0" w:color="auto"/>
            </w:tcBorders>
            <w:shd w:val="clear" w:color="auto" w:fill="auto"/>
            <w:vAlign w:val="center"/>
            <w:hideMark/>
          </w:tcPr>
          <w:p w14:paraId="1CB9B0D7"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$80,923</w:t>
            </w:r>
          </w:p>
        </w:tc>
        <w:tc>
          <w:tcPr>
            <w:tcW w:w="720" w:type="dxa"/>
            <w:tcBorders>
              <w:top w:val="nil"/>
              <w:left w:val="nil"/>
              <w:bottom w:val="single" w:sz="4" w:space="0" w:color="auto"/>
              <w:right w:val="single" w:sz="4" w:space="0" w:color="auto"/>
            </w:tcBorders>
            <w:shd w:val="clear" w:color="auto" w:fill="auto"/>
            <w:vAlign w:val="center"/>
            <w:hideMark/>
          </w:tcPr>
          <w:p w14:paraId="1AC1DC55"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F07BEA" w:rsidRPr="00EE5714" w14:paraId="701C89E6"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031218C6"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167</w:t>
            </w:r>
          </w:p>
        </w:tc>
        <w:tc>
          <w:tcPr>
            <w:tcW w:w="818" w:type="dxa"/>
            <w:tcBorders>
              <w:top w:val="nil"/>
              <w:left w:val="nil"/>
              <w:bottom w:val="single" w:sz="4" w:space="0" w:color="auto"/>
              <w:right w:val="single" w:sz="4" w:space="0" w:color="auto"/>
            </w:tcBorders>
            <w:shd w:val="clear" w:color="auto" w:fill="auto"/>
            <w:vAlign w:val="center"/>
            <w:hideMark/>
          </w:tcPr>
          <w:p w14:paraId="684D0F8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09" w:type="dxa"/>
            <w:tcBorders>
              <w:top w:val="nil"/>
              <w:left w:val="nil"/>
              <w:bottom w:val="single" w:sz="4" w:space="0" w:color="auto"/>
              <w:right w:val="single" w:sz="4" w:space="0" w:color="auto"/>
            </w:tcBorders>
            <w:shd w:val="clear" w:color="auto" w:fill="auto"/>
            <w:vAlign w:val="center"/>
            <w:hideMark/>
          </w:tcPr>
          <w:p w14:paraId="6F59F008"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109" w:type="dxa"/>
            <w:tcBorders>
              <w:top w:val="nil"/>
              <w:left w:val="nil"/>
              <w:bottom w:val="single" w:sz="4" w:space="0" w:color="auto"/>
              <w:right w:val="single" w:sz="4" w:space="0" w:color="auto"/>
            </w:tcBorders>
            <w:shd w:val="clear" w:color="auto" w:fill="auto"/>
            <w:vAlign w:val="center"/>
            <w:hideMark/>
          </w:tcPr>
          <w:p w14:paraId="685A5E03"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w:t>
            </w:r>
          </w:p>
        </w:tc>
        <w:tc>
          <w:tcPr>
            <w:tcW w:w="1546" w:type="dxa"/>
            <w:tcBorders>
              <w:top w:val="nil"/>
              <w:left w:val="nil"/>
              <w:bottom w:val="single" w:sz="4" w:space="0" w:color="auto"/>
              <w:right w:val="single" w:sz="4" w:space="0" w:color="auto"/>
            </w:tcBorders>
            <w:shd w:val="clear" w:color="auto" w:fill="auto"/>
            <w:vAlign w:val="center"/>
            <w:hideMark/>
          </w:tcPr>
          <w:p w14:paraId="6DD583B6"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1029" w:type="dxa"/>
            <w:tcBorders>
              <w:top w:val="nil"/>
              <w:left w:val="nil"/>
              <w:bottom w:val="single" w:sz="4" w:space="0" w:color="auto"/>
              <w:right w:val="single" w:sz="4" w:space="0" w:color="auto"/>
            </w:tcBorders>
            <w:shd w:val="clear" w:color="auto" w:fill="auto"/>
            <w:vAlign w:val="center"/>
            <w:hideMark/>
          </w:tcPr>
          <w:p w14:paraId="332AC92A"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119,815</w:t>
            </w:r>
          </w:p>
        </w:tc>
        <w:tc>
          <w:tcPr>
            <w:tcW w:w="720" w:type="dxa"/>
            <w:tcBorders>
              <w:top w:val="nil"/>
              <w:left w:val="nil"/>
              <w:bottom w:val="single" w:sz="4" w:space="0" w:color="auto"/>
              <w:right w:val="single" w:sz="4" w:space="0" w:color="auto"/>
            </w:tcBorders>
            <w:shd w:val="clear" w:color="auto" w:fill="auto"/>
            <w:vAlign w:val="center"/>
            <w:hideMark/>
          </w:tcPr>
          <w:p w14:paraId="0B742767"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23.7%</w:t>
            </w:r>
          </w:p>
        </w:tc>
        <w:tc>
          <w:tcPr>
            <w:tcW w:w="1197" w:type="dxa"/>
            <w:tcBorders>
              <w:top w:val="nil"/>
              <w:left w:val="nil"/>
              <w:bottom w:val="single" w:sz="4" w:space="0" w:color="auto"/>
              <w:right w:val="single" w:sz="4" w:space="0" w:color="auto"/>
            </w:tcBorders>
            <w:shd w:val="clear" w:color="auto" w:fill="auto"/>
            <w:vAlign w:val="center"/>
            <w:hideMark/>
          </w:tcPr>
          <w:p w14:paraId="0218576A"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126" w:type="dxa"/>
            <w:tcBorders>
              <w:top w:val="nil"/>
              <w:left w:val="nil"/>
              <w:bottom w:val="single" w:sz="4" w:space="0" w:color="auto"/>
              <w:right w:val="single" w:sz="4" w:space="0" w:color="auto"/>
            </w:tcBorders>
            <w:shd w:val="clear" w:color="auto" w:fill="auto"/>
            <w:vAlign w:val="center"/>
            <w:hideMark/>
          </w:tcPr>
          <w:p w14:paraId="7ADE2B70"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$30,956</w:t>
            </w:r>
          </w:p>
        </w:tc>
        <w:tc>
          <w:tcPr>
            <w:tcW w:w="720" w:type="dxa"/>
            <w:tcBorders>
              <w:top w:val="nil"/>
              <w:left w:val="nil"/>
              <w:bottom w:val="single" w:sz="4" w:space="0" w:color="auto"/>
              <w:right w:val="single" w:sz="4" w:space="0" w:color="auto"/>
            </w:tcBorders>
            <w:shd w:val="clear" w:color="auto" w:fill="auto"/>
            <w:vAlign w:val="center"/>
            <w:hideMark/>
          </w:tcPr>
          <w:p w14:paraId="38354ECB"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F07BEA" w:rsidRPr="00EE5714" w14:paraId="35E83691" w14:textId="77777777" w:rsidTr="00130638">
        <w:trPr>
          <w:trHeight w:val="498"/>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11E339B0"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74</w:t>
            </w:r>
          </w:p>
        </w:tc>
        <w:tc>
          <w:tcPr>
            <w:tcW w:w="818" w:type="dxa"/>
            <w:tcBorders>
              <w:top w:val="nil"/>
              <w:left w:val="nil"/>
              <w:bottom w:val="single" w:sz="4" w:space="0" w:color="auto"/>
              <w:right w:val="single" w:sz="4" w:space="0" w:color="auto"/>
            </w:tcBorders>
            <w:shd w:val="clear" w:color="auto" w:fill="auto"/>
            <w:vAlign w:val="center"/>
            <w:hideMark/>
          </w:tcPr>
          <w:p w14:paraId="5528D59A"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09" w:type="dxa"/>
            <w:tcBorders>
              <w:top w:val="nil"/>
              <w:left w:val="nil"/>
              <w:bottom w:val="single" w:sz="4" w:space="0" w:color="auto"/>
              <w:right w:val="single" w:sz="4" w:space="0" w:color="auto"/>
            </w:tcBorders>
            <w:shd w:val="clear" w:color="auto" w:fill="auto"/>
            <w:vAlign w:val="center"/>
            <w:hideMark/>
          </w:tcPr>
          <w:p w14:paraId="1A97456C"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109" w:type="dxa"/>
            <w:tcBorders>
              <w:top w:val="nil"/>
              <w:left w:val="nil"/>
              <w:bottom w:val="single" w:sz="4" w:space="0" w:color="auto"/>
              <w:right w:val="single" w:sz="4" w:space="0" w:color="auto"/>
            </w:tcBorders>
            <w:shd w:val="clear" w:color="auto" w:fill="auto"/>
            <w:vAlign w:val="center"/>
            <w:hideMark/>
          </w:tcPr>
          <w:p w14:paraId="384EF6DC"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w:t>
            </w:r>
          </w:p>
        </w:tc>
        <w:tc>
          <w:tcPr>
            <w:tcW w:w="1546" w:type="dxa"/>
            <w:tcBorders>
              <w:top w:val="nil"/>
              <w:left w:val="nil"/>
              <w:bottom w:val="single" w:sz="4" w:space="0" w:color="auto"/>
              <w:right w:val="single" w:sz="4" w:space="0" w:color="auto"/>
            </w:tcBorders>
            <w:shd w:val="clear" w:color="auto" w:fill="auto"/>
            <w:vAlign w:val="center"/>
            <w:hideMark/>
          </w:tcPr>
          <w:p w14:paraId="4861195B"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1029" w:type="dxa"/>
            <w:tcBorders>
              <w:top w:val="nil"/>
              <w:left w:val="nil"/>
              <w:bottom w:val="single" w:sz="4" w:space="0" w:color="auto"/>
              <w:right w:val="single" w:sz="4" w:space="0" w:color="auto"/>
            </w:tcBorders>
            <w:shd w:val="clear" w:color="auto" w:fill="auto"/>
            <w:vAlign w:val="center"/>
            <w:hideMark/>
          </w:tcPr>
          <w:p w14:paraId="5016A42E"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130,035</w:t>
            </w:r>
          </w:p>
        </w:tc>
        <w:tc>
          <w:tcPr>
            <w:tcW w:w="720" w:type="dxa"/>
            <w:tcBorders>
              <w:top w:val="nil"/>
              <w:left w:val="nil"/>
              <w:bottom w:val="single" w:sz="4" w:space="0" w:color="auto"/>
              <w:right w:val="single" w:sz="4" w:space="0" w:color="auto"/>
            </w:tcBorders>
            <w:shd w:val="clear" w:color="auto" w:fill="auto"/>
            <w:vAlign w:val="center"/>
            <w:hideMark/>
          </w:tcPr>
          <w:p w14:paraId="0FA556AD"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25.8%</w:t>
            </w:r>
          </w:p>
        </w:tc>
        <w:tc>
          <w:tcPr>
            <w:tcW w:w="3043"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54FAD5C8"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Met-Ed Service Area                                            2012-2016 ACS</w:t>
            </w:r>
          </w:p>
        </w:tc>
      </w:tr>
      <w:tr w:rsidR="00F07BEA" w:rsidRPr="00EE5714" w14:paraId="39FBA12E" w14:textId="77777777" w:rsidTr="00130638">
        <w:trPr>
          <w:trHeight w:val="498"/>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8823B82"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504,670</w:t>
            </w:r>
          </w:p>
        </w:tc>
        <w:tc>
          <w:tcPr>
            <w:tcW w:w="303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731B41C"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38D74D65"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1029" w:type="dxa"/>
            <w:tcBorders>
              <w:top w:val="nil"/>
              <w:left w:val="nil"/>
              <w:bottom w:val="single" w:sz="4" w:space="0" w:color="auto"/>
              <w:right w:val="single" w:sz="4" w:space="0" w:color="auto"/>
            </w:tcBorders>
            <w:shd w:val="clear" w:color="auto" w:fill="auto"/>
            <w:vAlign w:val="center"/>
            <w:hideMark/>
          </w:tcPr>
          <w:p w14:paraId="36C0F083"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6,126</w:t>
            </w:r>
          </w:p>
        </w:tc>
        <w:tc>
          <w:tcPr>
            <w:tcW w:w="720" w:type="dxa"/>
            <w:tcBorders>
              <w:top w:val="nil"/>
              <w:left w:val="nil"/>
              <w:bottom w:val="single" w:sz="4" w:space="0" w:color="auto"/>
              <w:right w:val="single" w:sz="4" w:space="0" w:color="auto"/>
            </w:tcBorders>
            <w:shd w:val="clear" w:color="auto" w:fill="auto"/>
            <w:vAlign w:val="center"/>
            <w:hideMark/>
          </w:tcPr>
          <w:p w14:paraId="22D79CBF"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w:t>
            </w:r>
          </w:p>
        </w:tc>
        <w:tc>
          <w:tcPr>
            <w:tcW w:w="1197" w:type="dxa"/>
            <w:tcBorders>
              <w:top w:val="single" w:sz="4" w:space="0" w:color="auto"/>
              <w:left w:val="nil"/>
              <w:bottom w:val="single" w:sz="4" w:space="0" w:color="auto"/>
              <w:right w:val="single" w:sz="4" w:space="0" w:color="auto"/>
            </w:tcBorders>
            <w:shd w:val="clear" w:color="000000" w:fill="E7E6E6"/>
            <w:vAlign w:val="center"/>
            <w:hideMark/>
          </w:tcPr>
          <w:p w14:paraId="44A505FB"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126" w:type="dxa"/>
            <w:tcBorders>
              <w:top w:val="single" w:sz="4" w:space="0" w:color="auto"/>
              <w:left w:val="nil"/>
              <w:bottom w:val="single" w:sz="4" w:space="0" w:color="auto"/>
              <w:right w:val="single" w:sz="4" w:space="0" w:color="auto"/>
            </w:tcBorders>
            <w:shd w:val="clear" w:color="000000" w:fill="E7E6E6"/>
            <w:vAlign w:val="center"/>
            <w:hideMark/>
          </w:tcPr>
          <w:p w14:paraId="09E349AD"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20" w:type="dxa"/>
            <w:tcBorders>
              <w:top w:val="single" w:sz="4" w:space="0" w:color="auto"/>
              <w:left w:val="nil"/>
              <w:bottom w:val="single" w:sz="4" w:space="0" w:color="auto"/>
              <w:right w:val="single" w:sz="4" w:space="0" w:color="auto"/>
            </w:tcBorders>
            <w:shd w:val="clear" w:color="000000" w:fill="E7E6E6"/>
            <w:vAlign w:val="center"/>
            <w:hideMark/>
          </w:tcPr>
          <w:p w14:paraId="6F8E1D01"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F07BEA" w:rsidRPr="00EE5714" w14:paraId="5F42DA5B" w14:textId="77777777" w:rsidTr="00130638">
        <w:trPr>
          <w:trHeight w:val="425"/>
          <w:jc w:val="center"/>
        </w:trPr>
        <w:tc>
          <w:tcPr>
            <w:tcW w:w="4225" w:type="dxa"/>
            <w:gridSpan w:val="4"/>
            <w:tcBorders>
              <w:top w:val="single" w:sz="4" w:space="0" w:color="auto"/>
              <w:left w:val="single" w:sz="4" w:space="0" w:color="auto"/>
              <w:bottom w:val="single" w:sz="4" w:space="0" w:color="auto"/>
              <w:right w:val="single" w:sz="4" w:space="0" w:color="auto"/>
            </w:tcBorders>
            <w:shd w:val="clear" w:color="000000" w:fill="E7E6E6"/>
            <w:vAlign w:val="center"/>
            <w:hideMark/>
          </w:tcPr>
          <w:p w14:paraId="05633842"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Duquesne Service Area - 2012-2016 ACS</w:t>
            </w:r>
          </w:p>
        </w:tc>
        <w:tc>
          <w:tcPr>
            <w:tcW w:w="1546" w:type="dxa"/>
            <w:tcBorders>
              <w:top w:val="nil"/>
              <w:left w:val="nil"/>
              <w:bottom w:val="single" w:sz="4" w:space="0" w:color="auto"/>
              <w:right w:val="single" w:sz="4" w:space="0" w:color="auto"/>
            </w:tcBorders>
            <w:shd w:val="clear" w:color="auto" w:fill="auto"/>
            <w:vAlign w:val="center"/>
            <w:hideMark/>
          </w:tcPr>
          <w:p w14:paraId="4A71E796"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1029" w:type="dxa"/>
            <w:tcBorders>
              <w:top w:val="nil"/>
              <w:left w:val="nil"/>
              <w:bottom w:val="single" w:sz="4" w:space="0" w:color="auto"/>
              <w:right w:val="single" w:sz="4" w:space="0" w:color="auto"/>
            </w:tcBorders>
            <w:shd w:val="clear" w:color="auto" w:fill="auto"/>
            <w:vAlign w:val="center"/>
            <w:hideMark/>
          </w:tcPr>
          <w:p w14:paraId="0ECE3465"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19,526</w:t>
            </w:r>
          </w:p>
        </w:tc>
        <w:tc>
          <w:tcPr>
            <w:tcW w:w="720" w:type="dxa"/>
            <w:tcBorders>
              <w:top w:val="nil"/>
              <w:left w:val="nil"/>
              <w:bottom w:val="single" w:sz="4" w:space="0" w:color="auto"/>
              <w:right w:val="single" w:sz="4" w:space="0" w:color="auto"/>
            </w:tcBorders>
            <w:shd w:val="clear" w:color="auto" w:fill="auto"/>
            <w:vAlign w:val="center"/>
            <w:hideMark/>
          </w:tcPr>
          <w:p w14:paraId="17BCC46F"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w:t>
            </w:r>
          </w:p>
        </w:tc>
        <w:tc>
          <w:tcPr>
            <w:tcW w:w="1197" w:type="dxa"/>
            <w:tcBorders>
              <w:top w:val="nil"/>
              <w:left w:val="nil"/>
              <w:bottom w:val="single" w:sz="4" w:space="0" w:color="auto"/>
              <w:right w:val="single" w:sz="4" w:space="0" w:color="auto"/>
            </w:tcBorders>
            <w:shd w:val="clear" w:color="auto" w:fill="auto"/>
            <w:vAlign w:val="center"/>
            <w:hideMark/>
          </w:tcPr>
          <w:p w14:paraId="3FC8A393"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157,458</w:t>
            </w:r>
          </w:p>
        </w:tc>
        <w:tc>
          <w:tcPr>
            <w:tcW w:w="1126" w:type="dxa"/>
            <w:tcBorders>
              <w:top w:val="nil"/>
              <w:left w:val="nil"/>
              <w:bottom w:val="single" w:sz="4" w:space="0" w:color="auto"/>
              <w:right w:val="single" w:sz="4" w:space="0" w:color="auto"/>
            </w:tcBorders>
            <w:shd w:val="clear" w:color="auto" w:fill="auto"/>
            <w:vAlign w:val="center"/>
            <w:hideMark/>
          </w:tcPr>
          <w:p w14:paraId="0F3822A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20" w:type="dxa"/>
            <w:tcBorders>
              <w:top w:val="nil"/>
              <w:left w:val="nil"/>
              <w:bottom w:val="single" w:sz="4" w:space="0" w:color="auto"/>
              <w:right w:val="single" w:sz="4" w:space="0" w:color="auto"/>
            </w:tcBorders>
            <w:shd w:val="clear" w:color="auto" w:fill="auto"/>
            <w:vAlign w:val="center"/>
            <w:hideMark/>
          </w:tcPr>
          <w:p w14:paraId="77966237"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45.3%</w:t>
            </w:r>
          </w:p>
        </w:tc>
      </w:tr>
      <w:tr w:rsidR="00F07BEA" w:rsidRPr="00EE5714" w14:paraId="564BD548"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000000" w:fill="E7E6E6"/>
            <w:vAlign w:val="center"/>
            <w:hideMark/>
          </w:tcPr>
          <w:p w14:paraId="22BFB0FF"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36"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2EF5FB9B"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2DC24266"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1029" w:type="dxa"/>
            <w:tcBorders>
              <w:top w:val="nil"/>
              <w:left w:val="nil"/>
              <w:bottom w:val="single" w:sz="4" w:space="0" w:color="auto"/>
              <w:right w:val="single" w:sz="4" w:space="0" w:color="auto"/>
            </w:tcBorders>
            <w:shd w:val="clear" w:color="auto" w:fill="auto"/>
            <w:vAlign w:val="center"/>
            <w:hideMark/>
          </w:tcPr>
          <w:p w14:paraId="107A1BC6"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236</w:t>
            </w:r>
          </w:p>
        </w:tc>
        <w:tc>
          <w:tcPr>
            <w:tcW w:w="720" w:type="dxa"/>
            <w:tcBorders>
              <w:top w:val="nil"/>
              <w:left w:val="nil"/>
              <w:bottom w:val="single" w:sz="4" w:space="0" w:color="auto"/>
              <w:right w:val="single" w:sz="4" w:space="0" w:color="auto"/>
            </w:tcBorders>
            <w:shd w:val="clear" w:color="auto" w:fill="auto"/>
            <w:vAlign w:val="center"/>
            <w:hideMark/>
          </w:tcPr>
          <w:p w14:paraId="378830CE"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197" w:type="dxa"/>
            <w:tcBorders>
              <w:top w:val="nil"/>
              <w:left w:val="nil"/>
              <w:bottom w:val="single" w:sz="4" w:space="0" w:color="auto"/>
              <w:right w:val="single" w:sz="4" w:space="0" w:color="auto"/>
            </w:tcBorders>
            <w:shd w:val="clear" w:color="auto" w:fill="auto"/>
            <w:vAlign w:val="center"/>
            <w:hideMark/>
          </w:tcPr>
          <w:p w14:paraId="7EC51950"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347,211</w:t>
            </w:r>
          </w:p>
        </w:tc>
        <w:tc>
          <w:tcPr>
            <w:tcW w:w="1126" w:type="dxa"/>
            <w:tcBorders>
              <w:top w:val="nil"/>
              <w:left w:val="nil"/>
              <w:bottom w:val="single" w:sz="4" w:space="0" w:color="auto"/>
              <w:right w:val="single" w:sz="4" w:space="0" w:color="auto"/>
            </w:tcBorders>
            <w:shd w:val="clear" w:color="auto" w:fill="auto"/>
            <w:vAlign w:val="center"/>
            <w:hideMark/>
          </w:tcPr>
          <w:p w14:paraId="6A690107"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20" w:type="dxa"/>
            <w:tcBorders>
              <w:top w:val="nil"/>
              <w:left w:val="nil"/>
              <w:bottom w:val="single" w:sz="4" w:space="0" w:color="auto"/>
              <w:right w:val="single" w:sz="4" w:space="0" w:color="auto"/>
            </w:tcBorders>
            <w:shd w:val="clear" w:color="auto" w:fill="auto"/>
            <w:vAlign w:val="center"/>
            <w:hideMark/>
          </w:tcPr>
          <w:p w14:paraId="59596A32"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54.7%</w:t>
            </w:r>
          </w:p>
        </w:tc>
      </w:tr>
      <w:tr w:rsidR="00F07BEA" w:rsidRPr="00EE5714" w14:paraId="31EA2AC0" w14:textId="77777777" w:rsidTr="00130638">
        <w:trPr>
          <w:trHeight w:val="557"/>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3642122F"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52,556</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1FC0658D"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10.41%</w:t>
            </w:r>
          </w:p>
        </w:tc>
        <w:tc>
          <w:tcPr>
            <w:tcW w:w="22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0488D9"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5002B044"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1029" w:type="dxa"/>
            <w:tcBorders>
              <w:top w:val="nil"/>
              <w:left w:val="nil"/>
              <w:bottom w:val="single" w:sz="4" w:space="0" w:color="auto"/>
              <w:right w:val="single" w:sz="4" w:space="0" w:color="auto"/>
            </w:tcBorders>
            <w:shd w:val="clear" w:color="auto" w:fill="auto"/>
            <w:vAlign w:val="center"/>
            <w:hideMark/>
          </w:tcPr>
          <w:p w14:paraId="12310CD4"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4,889</w:t>
            </w:r>
          </w:p>
        </w:tc>
        <w:tc>
          <w:tcPr>
            <w:tcW w:w="720" w:type="dxa"/>
            <w:tcBorders>
              <w:top w:val="nil"/>
              <w:left w:val="nil"/>
              <w:bottom w:val="single" w:sz="4" w:space="0" w:color="auto"/>
              <w:right w:val="single" w:sz="4" w:space="0" w:color="auto"/>
            </w:tcBorders>
            <w:shd w:val="clear" w:color="auto" w:fill="auto"/>
            <w:vAlign w:val="center"/>
            <w:hideMark/>
          </w:tcPr>
          <w:p w14:paraId="7EC5D89C"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w:t>
            </w:r>
          </w:p>
        </w:tc>
        <w:tc>
          <w:tcPr>
            <w:tcW w:w="1197" w:type="dxa"/>
            <w:tcBorders>
              <w:top w:val="nil"/>
              <w:left w:val="nil"/>
              <w:bottom w:val="single" w:sz="4" w:space="0" w:color="auto"/>
              <w:right w:val="single" w:sz="4" w:space="0" w:color="auto"/>
            </w:tcBorders>
            <w:shd w:val="clear" w:color="auto" w:fill="auto"/>
            <w:vAlign w:val="center"/>
            <w:hideMark/>
          </w:tcPr>
          <w:p w14:paraId="0713D056"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150,558</w:t>
            </w:r>
          </w:p>
        </w:tc>
        <w:tc>
          <w:tcPr>
            <w:tcW w:w="1126" w:type="dxa"/>
            <w:tcBorders>
              <w:top w:val="nil"/>
              <w:left w:val="nil"/>
              <w:bottom w:val="single" w:sz="4" w:space="0" w:color="auto"/>
              <w:right w:val="single" w:sz="4" w:space="0" w:color="auto"/>
            </w:tcBorders>
            <w:shd w:val="clear" w:color="auto" w:fill="auto"/>
            <w:vAlign w:val="center"/>
            <w:hideMark/>
          </w:tcPr>
          <w:p w14:paraId="1E2C29DE"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20" w:type="dxa"/>
            <w:tcBorders>
              <w:top w:val="nil"/>
              <w:left w:val="nil"/>
              <w:bottom w:val="single" w:sz="4" w:space="0" w:color="auto"/>
              <w:right w:val="single" w:sz="4" w:space="0" w:color="auto"/>
            </w:tcBorders>
            <w:shd w:val="clear" w:color="auto" w:fill="auto"/>
            <w:vAlign w:val="center"/>
            <w:hideMark/>
          </w:tcPr>
          <w:p w14:paraId="1F4EED16"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42.5%</w:t>
            </w:r>
          </w:p>
        </w:tc>
      </w:tr>
      <w:tr w:rsidR="00F07BEA" w:rsidRPr="00EE5714" w14:paraId="08C295DA" w14:textId="77777777" w:rsidTr="00130638">
        <w:trPr>
          <w:trHeight w:val="498"/>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7F76E5B5"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452,113</w:t>
            </w:r>
          </w:p>
        </w:tc>
        <w:tc>
          <w:tcPr>
            <w:tcW w:w="818" w:type="dxa"/>
            <w:tcBorders>
              <w:top w:val="nil"/>
              <w:left w:val="nil"/>
              <w:bottom w:val="single" w:sz="4" w:space="0" w:color="auto"/>
              <w:right w:val="single" w:sz="4" w:space="0" w:color="auto"/>
            </w:tcBorders>
            <w:shd w:val="clear" w:color="auto" w:fill="auto"/>
            <w:vAlign w:val="center"/>
            <w:hideMark/>
          </w:tcPr>
          <w:p w14:paraId="0F57486B"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89.59%</w:t>
            </w:r>
          </w:p>
        </w:tc>
        <w:tc>
          <w:tcPr>
            <w:tcW w:w="22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281E77F"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6C9AB692"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1029" w:type="dxa"/>
            <w:tcBorders>
              <w:top w:val="nil"/>
              <w:left w:val="nil"/>
              <w:bottom w:val="single" w:sz="4" w:space="0" w:color="auto"/>
              <w:right w:val="single" w:sz="4" w:space="0" w:color="auto"/>
            </w:tcBorders>
            <w:shd w:val="clear" w:color="auto" w:fill="auto"/>
            <w:vAlign w:val="center"/>
            <w:hideMark/>
          </w:tcPr>
          <w:p w14:paraId="065AEB2A"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1,689</w:t>
            </w:r>
          </w:p>
        </w:tc>
        <w:tc>
          <w:tcPr>
            <w:tcW w:w="720" w:type="dxa"/>
            <w:tcBorders>
              <w:top w:val="nil"/>
              <w:left w:val="nil"/>
              <w:bottom w:val="single" w:sz="4" w:space="0" w:color="auto"/>
              <w:right w:val="single" w:sz="4" w:space="0" w:color="auto"/>
            </w:tcBorders>
            <w:shd w:val="clear" w:color="auto" w:fill="auto"/>
            <w:vAlign w:val="center"/>
            <w:hideMark/>
          </w:tcPr>
          <w:p w14:paraId="68FC61ED"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197" w:type="dxa"/>
            <w:tcBorders>
              <w:top w:val="nil"/>
              <w:left w:val="nil"/>
              <w:bottom w:val="single" w:sz="4" w:space="0" w:color="auto"/>
              <w:right w:val="single" w:sz="4" w:space="0" w:color="auto"/>
            </w:tcBorders>
            <w:shd w:val="clear" w:color="auto" w:fill="auto"/>
            <w:vAlign w:val="center"/>
            <w:hideMark/>
          </w:tcPr>
          <w:p w14:paraId="3545BFBA"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354,110</w:t>
            </w:r>
          </w:p>
        </w:tc>
        <w:tc>
          <w:tcPr>
            <w:tcW w:w="1126" w:type="dxa"/>
            <w:tcBorders>
              <w:top w:val="nil"/>
              <w:left w:val="nil"/>
              <w:bottom w:val="single" w:sz="4" w:space="0" w:color="auto"/>
              <w:right w:val="single" w:sz="4" w:space="0" w:color="auto"/>
            </w:tcBorders>
            <w:shd w:val="clear" w:color="auto" w:fill="auto"/>
            <w:vAlign w:val="center"/>
            <w:hideMark/>
          </w:tcPr>
          <w:p w14:paraId="4FD91B5C"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20" w:type="dxa"/>
            <w:tcBorders>
              <w:top w:val="nil"/>
              <w:left w:val="nil"/>
              <w:bottom w:val="single" w:sz="4" w:space="0" w:color="auto"/>
              <w:right w:val="single" w:sz="4" w:space="0" w:color="auto"/>
            </w:tcBorders>
            <w:shd w:val="clear" w:color="auto" w:fill="auto"/>
            <w:vAlign w:val="center"/>
            <w:hideMark/>
          </w:tcPr>
          <w:p w14:paraId="56FB7BA0"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57.5%</w:t>
            </w:r>
          </w:p>
        </w:tc>
      </w:tr>
      <w:tr w:rsidR="00F07BEA" w:rsidRPr="00EE5714" w14:paraId="7B30BED0" w14:textId="77777777" w:rsidTr="00130638">
        <w:trPr>
          <w:trHeight w:val="293"/>
          <w:jc w:val="center"/>
        </w:trPr>
        <w:tc>
          <w:tcPr>
            <w:tcW w:w="1189" w:type="dxa"/>
            <w:tcBorders>
              <w:top w:val="nil"/>
              <w:left w:val="single" w:sz="4" w:space="0" w:color="auto"/>
              <w:bottom w:val="single" w:sz="4" w:space="0" w:color="auto"/>
              <w:right w:val="single" w:sz="4" w:space="0" w:color="auto"/>
            </w:tcBorders>
            <w:shd w:val="clear" w:color="auto" w:fill="auto"/>
            <w:vAlign w:val="center"/>
            <w:hideMark/>
          </w:tcPr>
          <w:p w14:paraId="2BFB6ED0"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504,669</w:t>
            </w:r>
          </w:p>
        </w:tc>
        <w:tc>
          <w:tcPr>
            <w:tcW w:w="303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7D6F841"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3CFEB586"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29" w:type="dxa"/>
            <w:tcBorders>
              <w:top w:val="nil"/>
              <w:left w:val="nil"/>
              <w:bottom w:val="single" w:sz="4" w:space="0" w:color="auto"/>
              <w:right w:val="single" w:sz="4" w:space="0" w:color="auto"/>
            </w:tcBorders>
            <w:shd w:val="clear" w:color="auto" w:fill="auto"/>
            <w:vAlign w:val="center"/>
            <w:hideMark/>
          </w:tcPr>
          <w:p w14:paraId="12869C57"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504,668</w:t>
            </w:r>
          </w:p>
        </w:tc>
        <w:tc>
          <w:tcPr>
            <w:tcW w:w="720" w:type="dxa"/>
            <w:tcBorders>
              <w:top w:val="nil"/>
              <w:left w:val="nil"/>
              <w:bottom w:val="single" w:sz="4" w:space="0" w:color="auto"/>
              <w:right w:val="single" w:sz="4" w:space="0" w:color="auto"/>
            </w:tcBorders>
            <w:shd w:val="clear" w:color="auto" w:fill="auto"/>
            <w:vAlign w:val="center"/>
            <w:hideMark/>
          </w:tcPr>
          <w:p w14:paraId="51287418"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17FAA94B" w14:textId="77777777" w:rsidR="00F07BEA" w:rsidRPr="00EE5714" w:rsidRDefault="00F07BEA" w:rsidP="00F07BEA">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504,668</w:t>
            </w:r>
          </w:p>
        </w:tc>
        <w:tc>
          <w:tcPr>
            <w:tcW w:w="18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3D5D4B" w14:textId="77777777" w:rsidR="00F07BEA" w:rsidRPr="00EE5714" w:rsidRDefault="00F07BEA" w:rsidP="00F07BEA">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18153716" w14:textId="77777777" w:rsidR="00130638" w:rsidRPr="00EE5714" w:rsidRDefault="00130638" w:rsidP="00130638">
      <w:pPr>
        <w:spacing w:after="0" w:line="240" w:lineRule="auto"/>
        <w:rPr>
          <w:rFonts w:ascii="Times New Roman" w:hAnsi="Times New Roman" w:cs="Times New Roman"/>
          <w:sz w:val="26"/>
          <w:szCs w:val="26"/>
        </w:rPr>
      </w:pPr>
    </w:p>
    <w:p w14:paraId="00EF14D9" w14:textId="77777777" w:rsidR="00130638" w:rsidRPr="00EE5714" w:rsidRDefault="00130638" w:rsidP="00130638">
      <w:pPr>
        <w:spacing w:after="0" w:line="240" w:lineRule="auto"/>
        <w:rPr>
          <w:rFonts w:ascii="Times New Roman" w:hAnsi="Times New Roman" w:cs="Times New Roman"/>
          <w:sz w:val="26"/>
          <w:szCs w:val="26"/>
        </w:rPr>
      </w:pPr>
    </w:p>
    <w:p w14:paraId="6EFF71BE" w14:textId="77777777" w:rsidR="007C2A53" w:rsidRPr="00EE5714" w:rsidRDefault="00F42B2A" w:rsidP="00130638">
      <w:pPr>
        <w:keepNext/>
        <w:spacing w:after="0"/>
        <w:contextualSpacing/>
        <w:rPr>
          <w:rFonts w:ascii="Times New Roman" w:hAnsi="Times New Roman" w:cs="Times New Roman"/>
          <w:sz w:val="26"/>
          <w:szCs w:val="26"/>
        </w:rPr>
      </w:pPr>
      <w:r w:rsidRPr="00EE5714">
        <w:rPr>
          <w:rFonts w:ascii="Times New Roman" w:hAnsi="Times New Roman" w:cs="Times New Roman"/>
          <w:sz w:val="26"/>
          <w:szCs w:val="26"/>
        </w:rPr>
        <w:t>Appendix 1.</w:t>
      </w:r>
      <w:r w:rsidR="000105C7" w:rsidRPr="00EE5714">
        <w:rPr>
          <w:rFonts w:ascii="Times New Roman" w:hAnsi="Times New Roman" w:cs="Times New Roman"/>
          <w:sz w:val="26"/>
          <w:szCs w:val="26"/>
        </w:rPr>
        <w:t>B.3</w:t>
      </w:r>
      <w:r w:rsidRPr="00EE5714">
        <w:rPr>
          <w:rFonts w:ascii="Times New Roman" w:hAnsi="Times New Roman" w:cs="Times New Roman"/>
          <w:sz w:val="26"/>
          <w:szCs w:val="26"/>
        </w:rPr>
        <w:t xml:space="preserve">: </w:t>
      </w:r>
      <w:r w:rsidR="008966CE" w:rsidRPr="00EE5714">
        <w:rPr>
          <w:rFonts w:ascii="Times New Roman" w:hAnsi="Times New Roman" w:cs="Times New Roman"/>
          <w:b/>
          <w:sz w:val="26"/>
          <w:szCs w:val="26"/>
        </w:rPr>
        <w:t>P</w:t>
      </w:r>
      <w:r w:rsidR="007B5D49" w:rsidRPr="00EE5714">
        <w:rPr>
          <w:rFonts w:ascii="Times New Roman" w:hAnsi="Times New Roman" w:cs="Times New Roman"/>
          <w:b/>
          <w:sz w:val="26"/>
          <w:szCs w:val="26"/>
        </w:rPr>
        <w:t>ECO Electric/Gas</w:t>
      </w:r>
      <w:r w:rsidRPr="00EE5714">
        <w:rPr>
          <w:rFonts w:ascii="Times New Roman" w:hAnsi="Times New Roman" w:cs="Times New Roman"/>
          <w:b/>
          <w:sz w:val="26"/>
          <w:szCs w:val="26"/>
        </w:rPr>
        <w:t xml:space="preserve"> Service Territory Demographic Profile</w:t>
      </w:r>
    </w:p>
    <w:tbl>
      <w:tblPr>
        <w:tblW w:w="10708" w:type="dxa"/>
        <w:jc w:val="center"/>
        <w:tblLook w:val="04A0" w:firstRow="1" w:lastRow="0" w:firstColumn="1" w:lastColumn="0" w:noHBand="0" w:noVBand="1"/>
      </w:tblPr>
      <w:tblGrid>
        <w:gridCol w:w="1190"/>
        <w:gridCol w:w="855"/>
        <w:gridCol w:w="1109"/>
        <w:gridCol w:w="1109"/>
        <w:gridCol w:w="1546"/>
        <w:gridCol w:w="1029"/>
        <w:gridCol w:w="714"/>
        <w:gridCol w:w="1303"/>
        <w:gridCol w:w="1126"/>
        <w:gridCol w:w="727"/>
      </w:tblGrid>
      <w:tr w:rsidR="00B31521" w:rsidRPr="00EE5714" w14:paraId="59C8CC3F" w14:textId="77777777" w:rsidTr="00E228D4">
        <w:trPr>
          <w:trHeight w:val="724"/>
          <w:jc w:val="center"/>
        </w:trPr>
        <w:tc>
          <w:tcPr>
            <w:tcW w:w="117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8BB669B"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PECO</w:t>
            </w:r>
          </w:p>
        </w:tc>
        <w:tc>
          <w:tcPr>
            <w:tcW w:w="1972" w:type="dxa"/>
            <w:gridSpan w:val="2"/>
            <w:tcBorders>
              <w:top w:val="single" w:sz="4" w:space="0" w:color="auto"/>
              <w:left w:val="nil"/>
              <w:bottom w:val="single" w:sz="4" w:space="0" w:color="auto"/>
              <w:right w:val="single" w:sz="4" w:space="0" w:color="auto"/>
            </w:tcBorders>
            <w:shd w:val="clear" w:color="000000" w:fill="E7E6E6"/>
            <w:vAlign w:val="center"/>
            <w:hideMark/>
          </w:tcPr>
          <w:p w14:paraId="285C32EF"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099"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41AC081"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261" w:type="dxa"/>
            <w:gridSpan w:val="3"/>
            <w:tcBorders>
              <w:top w:val="single" w:sz="4" w:space="0" w:color="auto"/>
              <w:left w:val="nil"/>
              <w:bottom w:val="single" w:sz="4" w:space="0" w:color="auto"/>
              <w:right w:val="single" w:sz="4" w:space="0" w:color="auto"/>
            </w:tcBorders>
            <w:shd w:val="clear" w:color="000000" w:fill="E7E6E6"/>
            <w:vAlign w:val="center"/>
            <w:hideMark/>
          </w:tcPr>
          <w:p w14:paraId="41581238"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197" w:type="dxa"/>
            <w:gridSpan w:val="3"/>
            <w:tcBorders>
              <w:top w:val="single" w:sz="4" w:space="0" w:color="auto"/>
              <w:left w:val="nil"/>
              <w:bottom w:val="single" w:sz="4" w:space="0" w:color="auto"/>
              <w:right w:val="single" w:sz="4" w:space="0" w:color="auto"/>
            </w:tcBorders>
            <w:shd w:val="clear" w:color="000000" w:fill="E7E6E6"/>
            <w:vAlign w:val="center"/>
            <w:hideMark/>
          </w:tcPr>
          <w:p w14:paraId="6ABFC3D6"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B31521" w:rsidRPr="00EE5714" w14:paraId="2023AC8B" w14:textId="77777777" w:rsidTr="00E228D4">
        <w:trPr>
          <w:trHeight w:val="573"/>
          <w:jc w:val="center"/>
        </w:trPr>
        <w:tc>
          <w:tcPr>
            <w:tcW w:w="1179" w:type="dxa"/>
            <w:tcBorders>
              <w:top w:val="nil"/>
              <w:left w:val="single" w:sz="4" w:space="0" w:color="auto"/>
              <w:bottom w:val="single" w:sz="4" w:space="0" w:color="auto"/>
              <w:right w:val="single" w:sz="4" w:space="0" w:color="auto"/>
            </w:tcBorders>
            <w:shd w:val="clear" w:color="000000" w:fill="E7E6E6"/>
            <w:vAlign w:val="center"/>
            <w:hideMark/>
          </w:tcPr>
          <w:p w14:paraId="07506F1F"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62.80%</w:t>
            </w:r>
          </w:p>
        </w:tc>
        <w:tc>
          <w:tcPr>
            <w:tcW w:w="872" w:type="dxa"/>
            <w:tcBorders>
              <w:top w:val="nil"/>
              <w:left w:val="nil"/>
              <w:bottom w:val="single" w:sz="4" w:space="0" w:color="auto"/>
              <w:right w:val="single" w:sz="4" w:space="0" w:color="auto"/>
            </w:tcBorders>
            <w:shd w:val="clear" w:color="000000" w:fill="E7E6E6"/>
            <w:vAlign w:val="center"/>
            <w:hideMark/>
          </w:tcPr>
          <w:p w14:paraId="33C3B0C2"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099" w:type="dxa"/>
            <w:tcBorders>
              <w:top w:val="nil"/>
              <w:left w:val="nil"/>
              <w:bottom w:val="single" w:sz="4" w:space="0" w:color="auto"/>
              <w:right w:val="single" w:sz="4" w:space="0" w:color="auto"/>
            </w:tcBorders>
            <w:shd w:val="clear" w:color="000000" w:fill="E7E6E6"/>
            <w:vAlign w:val="center"/>
            <w:hideMark/>
          </w:tcPr>
          <w:p w14:paraId="7560DAAA"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1FB1A3F2" w14:textId="77777777" w:rsidR="00B31521" w:rsidRPr="00EE5714" w:rsidRDefault="00B31521" w:rsidP="00B31521">
            <w:pPr>
              <w:spacing w:after="0" w:line="240" w:lineRule="auto"/>
              <w:rPr>
                <w:rFonts w:ascii="Calibri" w:eastAsia="Times New Roman" w:hAnsi="Calibri" w:cs="Calibri"/>
                <w:b/>
                <w:bCs/>
                <w:color w:val="000000"/>
                <w:sz w:val="20"/>
                <w:szCs w:val="20"/>
              </w:rPr>
            </w:pPr>
          </w:p>
        </w:tc>
        <w:tc>
          <w:tcPr>
            <w:tcW w:w="2553" w:type="dxa"/>
            <w:gridSpan w:val="2"/>
            <w:tcBorders>
              <w:top w:val="single" w:sz="4" w:space="0" w:color="auto"/>
              <w:left w:val="nil"/>
              <w:bottom w:val="single" w:sz="4" w:space="0" w:color="auto"/>
              <w:right w:val="single" w:sz="4" w:space="0" w:color="auto"/>
            </w:tcBorders>
            <w:shd w:val="clear" w:color="000000" w:fill="E7E6E6"/>
            <w:vAlign w:val="center"/>
            <w:hideMark/>
          </w:tcPr>
          <w:p w14:paraId="7CEB3BE0"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08" w:type="dxa"/>
            <w:tcBorders>
              <w:top w:val="nil"/>
              <w:left w:val="nil"/>
              <w:bottom w:val="single" w:sz="4" w:space="0" w:color="auto"/>
              <w:right w:val="single" w:sz="4" w:space="0" w:color="auto"/>
            </w:tcBorders>
            <w:shd w:val="clear" w:color="000000" w:fill="E7E6E6"/>
            <w:vAlign w:val="center"/>
            <w:hideMark/>
          </w:tcPr>
          <w:p w14:paraId="6764ECB8"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467" w:type="dxa"/>
            <w:gridSpan w:val="2"/>
            <w:tcBorders>
              <w:top w:val="single" w:sz="4" w:space="0" w:color="auto"/>
              <w:left w:val="nil"/>
              <w:bottom w:val="single" w:sz="4" w:space="0" w:color="auto"/>
              <w:right w:val="single" w:sz="4" w:space="0" w:color="auto"/>
            </w:tcBorders>
            <w:shd w:val="clear" w:color="000000" w:fill="E7E6E6"/>
            <w:vAlign w:val="center"/>
            <w:hideMark/>
          </w:tcPr>
          <w:p w14:paraId="25DA41DC"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29" w:type="dxa"/>
            <w:tcBorders>
              <w:top w:val="nil"/>
              <w:left w:val="nil"/>
              <w:bottom w:val="single" w:sz="4" w:space="0" w:color="auto"/>
              <w:right w:val="single" w:sz="4" w:space="0" w:color="auto"/>
            </w:tcBorders>
            <w:shd w:val="clear" w:color="000000" w:fill="E7E6E6"/>
            <w:vAlign w:val="center"/>
            <w:hideMark/>
          </w:tcPr>
          <w:p w14:paraId="411D67CB"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B31521" w:rsidRPr="00EE5714" w14:paraId="738ADDC9" w14:textId="77777777" w:rsidTr="00E228D4">
        <w:trPr>
          <w:trHeight w:val="302"/>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139F0327"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380,161</w:t>
            </w:r>
          </w:p>
        </w:tc>
        <w:tc>
          <w:tcPr>
            <w:tcW w:w="872" w:type="dxa"/>
            <w:tcBorders>
              <w:top w:val="nil"/>
              <w:left w:val="nil"/>
              <w:bottom w:val="single" w:sz="4" w:space="0" w:color="auto"/>
              <w:right w:val="single" w:sz="4" w:space="0" w:color="auto"/>
            </w:tcBorders>
            <w:shd w:val="clear" w:color="auto" w:fill="auto"/>
            <w:vAlign w:val="center"/>
            <w:hideMark/>
          </w:tcPr>
          <w:p w14:paraId="56489A8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26.2%</w:t>
            </w:r>
          </w:p>
        </w:tc>
        <w:tc>
          <w:tcPr>
            <w:tcW w:w="1099" w:type="dxa"/>
            <w:tcBorders>
              <w:top w:val="nil"/>
              <w:left w:val="nil"/>
              <w:bottom w:val="single" w:sz="4" w:space="0" w:color="auto"/>
              <w:right w:val="single" w:sz="4" w:space="0" w:color="auto"/>
            </w:tcBorders>
            <w:shd w:val="clear" w:color="auto" w:fill="auto"/>
            <w:vAlign w:val="center"/>
            <w:hideMark/>
          </w:tcPr>
          <w:p w14:paraId="3A5DF395"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56653C"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2A767AE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1020" w:type="dxa"/>
            <w:tcBorders>
              <w:top w:val="nil"/>
              <w:left w:val="nil"/>
              <w:bottom w:val="single" w:sz="4" w:space="0" w:color="auto"/>
              <w:right w:val="single" w:sz="4" w:space="0" w:color="auto"/>
            </w:tcBorders>
            <w:shd w:val="clear" w:color="auto" w:fill="auto"/>
            <w:vAlign w:val="center"/>
            <w:hideMark/>
          </w:tcPr>
          <w:p w14:paraId="1E569E8E"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262,641</w:t>
            </w:r>
          </w:p>
        </w:tc>
        <w:tc>
          <w:tcPr>
            <w:tcW w:w="708" w:type="dxa"/>
            <w:tcBorders>
              <w:top w:val="nil"/>
              <w:left w:val="nil"/>
              <w:bottom w:val="single" w:sz="4" w:space="0" w:color="auto"/>
              <w:right w:val="single" w:sz="4" w:space="0" w:color="auto"/>
            </w:tcBorders>
            <w:shd w:val="clear" w:color="auto" w:fill="auto"/>
            <w:vAlign w:val="center"/>
            <w:hideMark/>
          </w:tcPr>
          <w:p w14:paraId="7C0D79DC"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6.9%</w:t>
            </w:r>
          </w:p>
        </w:tc>
        <w:tc>
          <w:tcPr>
            <w:tcW w:w="1350" w:type="dxa"/>
            <w:tcBorders>
              <w:top w:val="nil"/>
              <w:left w:val="nil"/>
              <w:bottom w:val="single" w:sz="4" w:space="0" w:color="auto"/>
              <w:right w:val="single" w:sz="4" w:space="0" w:color="auto"/>
            </w:tcBorders>
            <w:shd w:val="clear" w:color="auto" w:fill="auto"/>
            <w:vAlign w:val="center"/>
            <w:hideMark/>
          </w:tcPr>
          <w:p w14:paraId="2C08E9AE"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116" w:type="dxa"/>
            <w:tcBorders>
              <w:top w:val="nil"/>
              <w:left w:val="nil"/>
              <w:bottom w:val="single" w:sz="4" w:space="0" w:color="auto"/>
              <w:right w:val="single" w:sz="4" w:space="0" w:color="auto"/>
            </w:tcBorders>
            <w:shd w:val="clear" w:color="auto" w:fill="auto"/>
            <w:vAlign w:val="center"/>
            <w:hideMark/>
          </w:tcPr>
          <w:p w14:paraId="6CF97C51"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172,224</w:t>
            </w:r>
          </w:p>
        </w:tc>
        <w:tc>
          <w:tcPr>
            <w:tcW w:w="729" w:type="dxa"/>
            <w:tcBorders>
              <w:top w:val="nil"/>
              <w:left w:val="nil"/>
              <w:bottom w:val="single" w:sz="4" w:space="0" w:color="auto"/>
              <w:right w:val="single" w:sz="4" w:space="0" w:color="auto"/>
            </w:tcBorders>
            <w:shd w:val="clear" w:color="auto" w:fill="auto"/>
            <w:vAlign w:val="center"/>
            <w:hideMark/>
          </w:tcPr>
          <w:p w14:paraId="3A2333E6"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11.4%</w:t>
            </w:r>
          </w:p>
        </w:tc>
      </w:tr>
      <w:tr w:rsidR="00B31521" w:rsidRPr="00EE5714" w14:paraId="03771A98" w14:textId="77777777" w:rsidTr="00E228D4">
        <w:trPr>
          <w:trHeight w:val="302"/>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316B630E"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220,307</w:t>
            </w:r>
          </w:p>
        </w:tc>
        <w:tc>
          <w:tcPr>
            <w:tcW w:w="872" w:type="dxa"/>
            <w:tcBorders>
              <w:top w:val="nil"/>
              <w:left w:val="nil"/>
              <w:bottom w:val="single" w:sz="4" w:space="0" w:color="auto"/>
              <w:right w:val="single" w:sz="4" w:space="0" w:color="auto"/>
            </w:tcBorders>
            <w:shd w:val="clear" w:color="auto" w:fill="auto"/>
            <w:vAlign w:val="center"/>
            <w:hideMark/>
          </w:tcPr>
          <w:p w14:paraId="7FC3CD73"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15.2%</w:t>
            </w:r>
          </w:p>
        </w:tc>
        <w:tc>
          <w:tcPr>
            <w:tcW w:w="1099" w:type="dxa"/>
            <w:tcBorders>
              <w:top w:val="nil"/>
              <w:left w:val="nil"/>
              <w:bottom w:val="single" w:sz="4" w:space="0" w:color="auto"/>
              <w:right w:val="single" w:sz="4" w:space="0" w:color="auto"/>
            </w:tcBorders>
            <w:shd w:val="clear" w:color="auto" w:fill="auto"/>
            <w:vAlign w:val="center"/>
            <w:hideMark/>
          </w:tcPr>
          <w:p w14:paraId="15ADABEB"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42A902A7" w14:textId="77777777" w:rsidR="00B31521" w:rsidRPr="00EE5714" w:rsidRDefault="00B31521" w:rsidP="00B31521">
            <w:pPr>
              <w:spacing w:after="0" w:line="240" w:lineRule="auto"/>
              <w:rPr>
                <w:rFonts w:ascii="Calibri" w:eastAsia="Times New Roman"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68D7A7EB"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1020" w:type="dxa"/>
            <w:tcBorders>
              <w:top w:val="nil"/>
              <w:left w:val="nil"/>
              <w:bottom w:val="single" w:sz="4" w:space="0" w:color="auto"/>
              <w:right w:val="single" w:sz="4" w:space="0" w:color="auto"/>
            </w:tcBorders>
            <w:shd w:val="clear" w:color="auto" w:fill="auto"/>
            <w:vAlign w:val="center"/>
            <w:hideMark/>
          </w:tcPr>
          <w:p w14:paraId="3451C7C0"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302,734</w:t>
            </w:r>
          </w:p>
        </w:tc>
        <w:tc>
          <w:tcPr>
            <w:tcW w:w="708" w:type="dxa"/>
            <w:tcBorders>
              <w:top w:val="nil"/>
              <w:left w:val="nil"/>
              <w:bottom w:val="single" w:sz="4" w:space="0" w:color="auto"/>
              <w:right w:val="single" w:sz="4" w:space="0" w:color="auto"/>
            </w:tcBorders>
            <w:shd w:val="clear" w:color="auto" w:fill="auto"/>
            <w:vAlign w:val="center"/>
            <w:hideMark/>
          </w:tcPr>
          <w:p w14:paraId="4068E160"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8.0%</w:t>
            </w:r>
          </w:p>
        </w:tc>
        <w:tc>
          <w:tcPr>
            <w:tcW w:w="1350" w:type="dxa"/>
            <w:tcBorders>
              <w:top w:val="nil"/>
              <w:left w:val="nil"/>
              <w:bottom w:val="single" w:sz="4" w:space="0" w:color="auto"/>
              <w:right w:val="single" w:sz="4" w:space="0" w:color="auto"/>
            </w:tcBorders>
            <w:shd w:val="clear" w:color="auto" w:fill="auto"/>
            <w:vAlign w:val="center"/>
            <w:hideMark/>
          </w:tcPr>
          <w:p w14:paraId="129AE470"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116" w:type="dxa"/>
            <w:tcBorders>
              <w:top w:val="nil"/>
              <w:left w:val="nil"/>
              <w:bottom w:val="single" w:sz="4" w:space="0" w:color="auto"/>
              <w:right w:val="single" w:sz="4" w:space="0" w:color="auto"/>
            </w:tcBorders>
            <w:shd w:val="clear" w:color="auto" w:fill="auto"/>
            <w:vAlign w:val="center"/>
            <w:hideMark/>
          </w:tcPr>
          <w:p w14:paraId="5B3A57E1"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131,420</w:t>
            </w:r>
          </w:p>
        </w:tc>
        <w:tc>
          <w:tcPr>
            <w:tcW w:w="729" w:type="dxa"/>
            <w:tcBorders>
              <w:top w:val="nil"/>
              <w:left w:val="nil"/>
              <w:bottom w:val="single" w:sz="4" w:space="0" w:color="auto"/>
              <w:right w:val="single" w:sz="4" w:space="0" w:color="auto"/>
            </w:tcBorders>
            <w:shd w:val="clear" w:color="auto" w:fill="auto"/>
            <w:vAlign w:val="center"/>
            <w:hideMark/>
          </w:tcPr>
          <w:p w14:paraId="684A3F9B"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8.7%</w:t>
            </w:r>
          </w:p>
        </w:tc>
      </w:tr>
      <w:tr w:rsidR="00B31521" w:rsidRPr="00EE5714" w14:paraId="765F7CE8" w14:textId="77777777" w:rsidTr="00E228D4">
        <w:trPr>
          <w:trHeight w:val="302"/>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0B43E14F"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183,519</w:t>
            </w:r>
          </w:p>
        </w:tc>
        <w:tc>
          <w:tcPr>
            <w:tcW w:w="872" w:type="dxa"/>
            <w:tcBorders>
              <w:top w:val="nil"/>
              <w:left w:val="nil"/>
              <w:bottom w:val="single" w:sz="4" w:space="0" w:color="auto"/>
              <w:right w:val="single" w:sz="4" w:space="0" w:color="auto"/>
            </w:tcBorders>
            <w:shd w:val="clear" w:color="auto" w:fill="auto"/>
            <w:vAlign w:val="center"/>
            <w:hideMark/>
          </w:tcPr>
          <w:p w14:paraId="46274DFE"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12.7%</w:t>
            </w:r>
          </w:p>
        </w:tc>
        <w:tc>
          <w:tcPr>
            <w:tcW w:w="1099" w:type="dxa"/>
            <w:tcBorders>
              <w:top w:val="nil"/>
              <w:left w:val="nil"/>
              <w:bottom w:val="single" w:sz="4" w:space="0" w:color="auto"/>
              <w:right w:val="single" w:sz="4" w:space="0" w:color="auto"/>
            </w:tcBorders>
            <w:shd w:val="clear" w:color="auto" w:fill="auto"/>
            <w:vAlign w:val="center"/>
            <w:hideMark/>
          </w:tcPr>
          <w:p w14:paraId="6CE7EF40"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18D24C42" w14:textId="77777777" w:rsidR="00B31521" w:rsidRPr="00EE5714" w:rsidRDefault="00B31521" w:rsidP="00B31521">
            <w:pPr>
              <w:spacing w:after="0" w:line="240" w:lineRule="auto"/>
              <w:rPr>
                <w:rFonts w:ascii="Calibri" w:eastAsia="Times New Roman"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56C449EE"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1020" w:type="dxa"/>
            <w:tcBorders>
              <w:top w:val="nil"/>
              <w:left w:val="nil"/>
              <w:bottom w:val="single" w:sz="4" w:space="0" w:color="auto"/>
              <w:right w:val="single" w:sz="4" w:space="0" w:color="auto"/>
            </w:tcBorders>
            <w:shd w:val="clear" w:color="auto" w:fill="auto"/>
            <w:vAlign w:val="center"/>
            <w:hideMark/>
          </w:tcPr>
          <w:p w14:paraId="43551404"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146,755</w:t>
            </w:r>
          </w:p>
        </w:tc>
        <w:tc>
          <w:tcPr>
            <w:tcW w:w="708" w:type="dxa"/>
            <w:tcBorders>
              <w:top w:val="nil"/>
              <w:left w:val="nil"/>
              <w:bottom w:val="single" w:sz="4" w:space="0" w:color="auto"/>
              <w:right w:val="single" w:sz="4" w:space="0" w:color="auto"/>
            </w:tcBorders>
            <w:shd w:val="clear" w:color="auto" w:fill="auto"/>
            <w:vAlign w:val="center"/>
            <w:hideMark/>
          </w:tcPr>
          <w:p w14:paraId="31EDAE27"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w:t>
            </w:r>
          </w:p>
        </w:tc>
        <w:tc>
          <w:tcPr>
            <w:tcW w:w="1350" w:type="dxa"/>
            <w:tcBorders>
              <w:top w:val="nil"/>
              <w:left w:val="nil"/>
              <w:bottom w:val="single" w:sz="4" w:space="0" w:color="auto"/>
              <w:right w:val="single" w:sz="4" w:space="0" w:color="auto"/>
            </w:tcBorders>
            <w:shd w:val="clear" w:color="auto" w:fill="auto"/>
            <w:vAlign w:val="center"/>
            <w:hideMark/>
          </w:tcPr>
          <w:p w14:paraId="063ED9B3"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116" w:type="dxa"/>
            <w:tcBorders>
              <w:top w:val="nil"/>
              <w:left w:val="nil"/>
              <w:bottom w:val="single" w:sz="4" w:space="0" w:color="auto"/>
              <w:right w:val="single" w:sz="4" w:space="0" w:color="auto"/>
            </w:tcBorders>
            <w:shd w:val="clear" w:color="auto" w:fill="auto"/>
            <w:vAlign w:val="center"/>
            <w:hideMark/>
          </w:tcPr>
          <w:p w14:paraId="34325F1A"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126,181</w:t>
            </w:r>
          </w:p>
        </w:tc>
        <w:tc>
          <w:tcPr>
            <w:tcW w:w="729" w:type="dxa"/>
            <w:tcBorders>
              <w:top w:val="nil"/>
              <w:left w:val="nil"/>
              <w:bottom w:val="single" w:sz="4" w:space="0" w:color="auto"/>
              <w:right w:val="single" w:sz="4" w:space="0" w:color="auto"/>
            </w:tcBorders>
            <w:shd w:val="clear" w:color="auto" w:fill="auto"/>
            <w:vAlign w:val="center"/>
            <w:hideMark/>
          </w:tcPr>
          <w:p w14:paraId="0B772F55"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8.3%</w:t>
            </w:r>
          </w:p>
        </w:tc>
      </w:tr>
      <w:tr w:rsidR="00B31521" w:rsidRPr="00EE5714" w14:paraId="1EAA0F38" w14:textId="77777777" w:rsidTr="00E228D4">
        <w:trPr>
          <w:trHeight w:val="302"/>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4847D6DA"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81,357</w:t>
            </w:r>
          </w:p>
        </w:tc>
        <w:tc>
          <w:tcPr>
            <w:tcW w:w="872" w:type="dxa"/>
            <w:tcBorders>
              <w:top w:val="nil"/>
              <w:left w:val="nil"/>
              <w:bottom w:val="single" w:sz="4" w:space="0" w:color="auto"/>
              <w:right w:val="single" w:sz="4" w:space="0" w:color="auto"/>
            </w:tcBorders>
            <w:shd w:val="clear" w:color="auto" w:fill="auto"/>
            <w:vAlign w:val="center"/>
            <w:hideMark/>
          </w:tcPr>
          <w:p w14:paraId="070A4BBB"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w:t>
            </w:r>
          </w:p>
        </w:tc>
        <w:tc>
          <w:tcPr>
            <w:tcW w:w="1099" w:type="dxa"/>
            <w:tcBorders>
              <w:top w:val="nil"/>
              <w:left w:val="nil"/>
              <w:bottom w:val="single" w:sz="4" w:space="0" w:color="auto"/>
              <w:right w:val="single" w:sz="4" w:space="0" w:color="auto"/>
            </w:tcBorders>
            <w:shd w:val="clear" w:color="auto" w:fill="auto"/>
            <w:vAlign w:val="center"/>
            <w:hideMark/>
          </w:tcPr>
          <w:p w14:paraId="3107F2F1"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18FFCF43" w14:textId="77777777" w:rsidR="00B31521" w:rsidRPr="00EE5714" w:rsidRDefault="00B31521" w:rsidP="00B31521">
            <w:pPr>
              <w:spacing w:after="0" w:line="240" w:lineRule="auto"/>
              <w:rPr>
                <w:rFonts w:ascii="Calibri" w:eastAsia="Times New Roman"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28BEEA4C"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1020" w:type="dxa"/>
            <w:tcBorders>
              <w:top w:val="nil"/>
              <w:left w:val="nil"/>
              <w:bottom w:val="single" w:sz="4" w:space="0" w:color="auto"/>
              <w:right w:val="single" w:sz="4" w:space="0" w:color="auto"/>
            </w:tcBorders>
            <w:shd w:val="clear" w:color="auto" w:fill="auto"/>
            <w:vAlign w:val="center"/>
            <w:hideMark/>
          </w:tcPr>
          <w:p w14:paraId="3F2F3ED9"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148,933</w:t>
            </w:r>
          </w:p>
        </w:tc>
        <w:tc>
          <w:tcPr>
            <w:tcW w:w="708" w:type="dxa"/>
            <w:tcBorders>
              <w:top w:val="nil"/>
              <w:left w:val="nil"/>
              <w:bottom w:val="single" w:sz="4" w:space="0" w:color="auto"/>
              <w:right w:val="single" w:sz="4" w:space="0" w:color="auto"/>
            </w:tcBorders>
            <w:shd w:val="clear" w:color="auto" w:fill="auto"/>
            <w:vAlign w:val="center"/>
            <w:hideMark/>
          </w:tcPr>
          <w:p w14:paraId="128AF17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w:t>
            </w:r>
          </w:p>
        </w:tc>
        <w:tc>
          <w:tcPr>
            <w:tcW w:w="1350" w:type="dxa"/>
            <w:tcBorders>
              <w:top w:val="nil"/>
              <w:left w:val="nil"/>
              <w:bottom w:val="single" w:sz="4" w:space="0" w:color="auto"/>
              <w:right w:val="single" w:sz="4" w:space="0" w:color="auto"/>
            </w:tcBorders>
            <w:shd w:val="clear" w:color="auto" w:fill="auto"/>
            <w:vAlign w:val="center"/>
            <w:hideMark/>
          </w:tcPr>
          <w:p w14:paraId="775EF60A"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116" w:type="dxa"/>
            <w:tcBorders>
              <w:top w:val="nil"/>
              <w:left w:val="nil"/>
              <w:bottom w:val="single" w:sz="4" w:space="0" w:color="auto"/>
              <w:right w:val="single" w:sz="4" w:space="0" w:color="auto"/>
            </w:tcBorders>
            <w:shd w:val="clear" w:color="auto" w:fill="auto"/>
            <w:vAlign w:val="center"/>
            <w:hideMark/>
          </w:tcPr>
          <w:p w14:paraId="1111CF3A"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170,172</w:t>
            </w:r>
          </w:p>
        </w:tc>
        <w:tc>
          <w:tcPr>
            <w:tcW w:w="729" w:type="dxa"/>
            <w:tcBorders>
              <w:top w:val="nil"/>
              <w:left w:val="nil"/>
              <w:bottom w:val="single" w:sz="4" w:space="0" w:color="auto"/>
              <w:right w:val="single" w:sz="4" w:space="0" w:color="auto"/>
            </w:tcBorders>
            <w:shd w:val="clear" w:color="auto" w:fill="auto"/>
            <w:vAlign w:val="center"/>
            <w:hideMark/>
          </w:tcPr>
          <w:p w14:paraId="7347A5A1"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11.2%</w:t>
            </w:r>
          </w:p>
        </w:tc>
      </w:tr>
      <w:tr w:rsidR="00B31521" w:rsidRPr="00EE5714" w14:paraId="45E73712" w14:textId="77777777" w:rsidTr="00E228D4">
        <w:trPr>
          <w:trHeight w:val="302"/>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7D16A963"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28,398</w:t>
            </w:r>
          </w:p>
        </w:tc>
        <w:tc>
          <w:tcPr>
            <w:tcW w:w="872" w:type="dxa"/>
            <w:tcBorders>
              <w:top w:val="nil"/>
              <w:left w:val="nil"/>
              <w:bottom w:val="single" w:sz="4" w:space="0" w:color="auto"/>
              <w:right w:val="single" w:sz="4" w:space="0" w:color="auto"/>
            </w:tcBorders>
            <w:shd w:val="clear" w:color="auto" w:fill="auto"/>
            <w:vAlign w:val="center"/>
            <w:hideMark/>
          </w:tcPr>
          <w:p w14:paraId="696D3732"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w:t>
            </w:r>
          </w:p>
        </w:tc>
        <w:tc>
          <w:tcPr>
            <w:tcW w:w="1099" w:type="dxa"/>
            <w:tcBorders>
              <w:top w:val="nil"/>
              <w:left w:val="nil"/>
              <w:bottom w:val="single" w:sz="4" w:space="0" w:color="auto"/>
              <w:right w:val="single" w:sz="4" w:space="0" w:color="auto"/>
            </w:tcBorders>
            <w:shd w:val="clear" w:color="auto" w:fill="auto"/>
            <w:vAlign w:val="center"/>
            <w:hideMark/>
          </w:tcPr>
          <w:p w14:paraId="1DEB594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68CD942B" w14:textId="77777777" w:rsidR="00B31521" w:rsidRPr="00EE5714" w:rsidRDefault="00B31521" w:rsidP="00B31521">
            <w:pPr>
              <w:spacing w:after="0" w:line="240" w:lineRule="auto"/>
              <w:rPr>
                <w:rFonts w:ascii="Calibri" w:eastAsia="Times New Roman"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31BA347A"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1020" w:type="dxa"/>
            <w:tcBorders>
              <w:top w:val="nil"/>
              <w:left w:val="nil"/>
              <w:bottom w:val="single" w:sz="4" w:space="0" w:color="auto"/>
              <w:right w:val="single" w:sz="4" w:space="0" w:color="auto"/>
            </w:tcBorders>
            <w:shd w:val="clear" w:color="auto" w:fill="auto"/>
            <w:vAlign w:val="center"/>
            <w:hideMark/>
          </w:tcPr>
          <w:p w14:paraId="4F7BF3A7"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203,076</w:t>
            </w:r>
          </w:p>
        </w:tc>
        <w:tc>
          <w:tcPr>
            <w:tcW w:w="708" w:type="dxa"/>
            <w:tcBorders>
              <w:top w:val="nil"/>
              <w:left w:val="nil"/>
              <w:bottom w:val="single" w:sz="4" w:space="0" w:color="auto"/>
              <w:right w:val="single" w:sz="4" w:space="0" w:color="auto"/>
            </w:tcBorders>
            <w:shd w:val="clear" w:color="auto" w:fill="auto"/>
            <w:vAlign w:val="center"/>
            <w:hideMark/>
          </w:tcPr>
          <w:p w14:paraId="613F2482"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5.3%</w:t>
            </w:r>
          </w:p>
        </w:tc>
        <w:tc>
          <w:tcPr>
            <w:tcW w:w="1350" w:type="dxa"/>
            <w:tcBorders>
              <w:top w:val="nil"/>
              <w:left w:val="nil"/>
              <w:bottom w:val="single" w:sz="4" w:space="0" w:color="auto"/>
              <w:right w:val="single" w:sz="4" w:space="0" w:color="auto"/>
            </w:tcBorders>
            <w:shd w:val="clear" w:color="auto" w:fill="auto"/>
            <w:vAlign w:val="center"/>
            <w:hideMark/>
          </w:tcPr>
          <w:p w14:paraId="4E687D12"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116" w:type="dxa"/>
            <w:tcBorders>
              <w:top w:val="nil"/>
              <w:left w:val="nil"/>
              <w:bottom w:val="single" w:sz="4" w:space="0" w:color="auto"/>
              <w:right w:val="single" w:sz="4" w:space="0" w:color="auto"/>
            </w:tcBorders>
            <w:shd w:val="clear" w:color="auto" w:fill="auto"/>
            <w:vAlign w:val="center"/>
            <w:hideMark/>
          </w:tcPr>
          <w:p w14:paraId="19930052"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239,114</w:t>
            </w:r>
          </w:p>
        </w:tc>
        <w:tc>
          <w:tcPr>
            <w:tcW w:w="729" w:type="dxa"/>
            <w:tcBorders>
              <w:top w:val="nil"/>
              <w:left w:val="nil"/>
              <w:bottom w:val="single" w:sz="4" w:space="0" w:color="auto"/>
              <w:right w:val="single" w:sz="4" w:space="0" w:color="auto"/>
            </w:tcBorders>
            <w:shd w:val="clear" w:color="auto" w:fill="auto"/>
            <w:vAlign w:val="center"/>
            <w:hideMark/>
          </w:tcPr>
          <w:p w14:paraId="37800908"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15.8%</w:t>
            </w:r>
          </w:p>
        </w:tc>
      </w:tr>
      <w:tr w:rsidR="00B31521" w:rsidRPr="00EE5714" w14:paraId="1C8ECC03" w14:textId="77777777" w:rsidTr="00E228D4">
        <w:trPr>
          <w:trHeight w:val="302"/>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52388C19"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16,724</w:t>
            </w:r>
          </w:p>
        </w:tc>
        <w:tc>
          <w:tcPr>
            <w:tcW w:w="872" w:type="dxa"/>
            <w:tcBorders>
              <w:top w:val="nil"/>
              <w:left w:val="nil"/>
              <w:bottom w:val="single" w:sz="4" w:space="0" w:color="auto"/>
              <w:right w:val="single" w:sz="4" w:space="0" w:color="auto"/>
            </w:tcBorders>
            <w:shd w:val="clear" w:color="auto" w:fill="auto"/>
            <w:vAlign w:val="center"/>
            <w:hideMark/>
          </w:tcPr>
          <w:p w14:paraId="5E637DC3"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w:t>
            </w:r>
          </w:p>
        </w:tc>
        <w:tc>
          <w:tcPr>
            <w:tcW w:w="1099" w:type="dxa"/>
            <w:tcBorders>
              <w:top w:val="nil"/>
              <w:left w:val="nil"/>
              <w:bottom w:val="single" w:sz="4" w:space="0" w:color="auto"/>
              <w:right w:val="single" w:sz="4" w:space="0" w:color="auto"/>
            </w:tcBorders>
            <w:shd w:val="clear" w:color="auto" w:fill="auto"/>
            <w:vAlign w:val="center"/>
            <w:hideMark/>
          </w:tcPr>
          <w:p w14:paraId="29DC8426"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0BC66546" w14:textId="77777777" w:rsidR="00B31521" w:rsidRPr="00EE5714" w:rsidRDefault="00B31521" w:rsidP="00B31521">
            <w:pPr>
              <w:spacing w:after="0" w:line="240" w:lineRule="auto"/>
              <w:rPr>
                <w:rFonts w:ascii="Calibri" w:eastAsia="Times New Roman" w:hAnsi="Calibri" w:cs="Calibri"/>
                <w:color w:val="000000"/>
                <w:sz w:val="20"/>
                <w:szCs w:val="20"/>
              </w:rPr>
            </w:pP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5527DC23"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1020" w:type="dxa"/>
            <w:tcBorders>
              <w:top w:val="nil"/>
              <w:left w:val="nil"/>
              <w:bottom w:val="single" w:sz="4" w:space="0" w:color="auto"/>
              <w:right w:val="single" w:sz="4" w:space="0" w:color="auto"/>
            </w:tcBorders>
            <w:shd w:val="clear" w:color="auto" w:fill="auto"/>
            <w:vAlign w:val="center"/>
            <w:hideMark/>
          </w:tcPr>
          <w:p w14:paraId="7534FCE9"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87,309</w:t>
            </w:r>
          </w:p>
        </w:tc>
        <w:tc>
          <w:tcPr>
            <w:tcW w:w="708" w:type="dxa"/>
            <w:tcBorders>
              <w:top w:val="nil"/>
              <w:left w:val="nil"/>
              <w:bottom w:val="single" w:sz="4" w:space="0" w:color="auto"/>
              <w:right w:val="single" w:sz="4" w:space="0" w:color="auto"/>
            </w:tcBorders>
            <w:shd w:val="clear" w:color="auto" w:fill="auto"/>
            <w:vAlign w:val="center"/>
            <w:hideMark/>
          </w:tcPr>
          <w:p w14:paraId="0CD75A74"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w:t>
            </w:r>
          </w:p>
        </w:tc>
        <w:tc>
          <w:tcPr>
            <w:tcW w:w="1350" w:type="dxa"/>
            <w:tcBorders>
              <w:top w:val="nil"/>
              <w:left w:val="nil"/>
              <w:bottom w:val="single" w:sz="4" w:space="0" w:color="auto"/>
              <w:right w:val="single" w:sz="4" w:space="0" w:color="auto"/>
            </w:tcBorders>
            <w:shd w:val="clear" w:color="auto" w:fill="auto"/>
            <w:vAlign w:val="center"/>
            <w:hideMark/>
          </w:tcPr>
          <w:p w14:paraId="3CB5C585"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116" w:type="dxa"/>
            <w:tcBorders>
              <w:top w:val="nil"/>
              <w:left w:val="nil"/>
              <w:bottom w:val="single" w:sz="4" w:space="0" w:color="auto"/>
              <w:right w:val="single" w:sz="4" w:space="0" w:color="auto"/>
            </w:tcBorders>
            <w:shd w:val="clear" w:color="auto" w:fill="auto"/>
            <w:vAlign w:val="center"/>
            <w:hideMark/>
          </w:tcPr>
          <w:p w14:paraId="24674DB2"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178,274</w:t>
            </w:r>
          </w:p>
        </w:tc>
        <w:tc>
          <w:tcPr>
            <w:tcW w:w="729" w:type="dxa"/>
            <w:tcBorders>
              <w:top w:val="nil"/>
              <w:left w:val="nil"/>
              <w:bottom w:val="single" w:sz="4" w:space="0" w:color="auto"/>
              <w:right w:val="single" w:sz="4" w:space="0" w:color="auto"/>
            </w:tcBorders>
            <w:shd w:val="clear" w:color="auto" w:fill="auto"/>
            <w:vAlign w:val="center"/>
            <w:hideMark/>
          </w:tcPr>
          <w:p w14:paraId="2A1C58FE"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11.8%</w:t>
            </w:r>
          </w:p>
        </w:tc>
      </w:tr>
      <w:tr w:rsidR="00B31521" w:rsidRPr="00EE5714" w14:paraId="476CC1B9" w14:textId="77777777" w:rsidTr="00E228D4">
        <w:trPr>
          <w:trHeight w:val="302"/>
          <w:jc w:val="center"/>
        </w:trPr>
        <w:tc>
          <w:tcPr>
            <w:tcW w:w="1179" w:type="dxa"/>
            <w:tcBorders>
              <w:top w:val="nil"/>
              <w:left w:val="single" w:sz="4" w:space="0" w:color="auto"/>
              <w:bottom w:val="single" w:sz="4" w:space="0" w:color="auto"/>
              <w:right w:val="single" w:sz="4" w:space="0" w:color="auto"/>
            </w:tcBorders>
            <w:shd w:val="clear" w:color="000000" w:fill="E7E6E6"/>
            <w:vAlign w:val="center"/>
            <w:hideMark/>
          </w:tcPr>
          <w:p w14:paraId="2D354A5C"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37.20%</w:t>
            </w:r>
          </w:p>
        </w:tc>
        <w:tc>
          <w:tcPr>
            <w:tcW w:w="872" w:type="dxa"/>
            <w:tcBorders>
              <w:top w:val="nil"/>
              <w:left w:val="nil"/>
              <w:bottom w:val="single" w:sz="4" w:space="0" w:color="auto"/>
              <w:right w:val="single" w:sz="4" w:space="0" w:color="auto"/>
            </w:tcBorders>
            <w:shd w:val="clear" w:color="000000" w:fill="E7E6E6"/>
            <w:vAlign w:val="center"/>
            <w:hideMark/>
          </w:tcPr>
          <w:p w14:paraId="707278E5"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199"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7294E259"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54BC6598"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1020" w:type="dxa"/>
            <w:tcBorders>
              <w:top w:val="nil"/>
              <w:left w:val="nil"/>
              <w:bottom w:val="single" w:sz="4" w:space="0" w:color="auto"/>
              <w:right w:val="single" w:sz="4" w:space="0" w:color="auto"/>
            </w:tcBorders>
            <w:shd w:val="clear" w:color="auto" w:fill="auto"/>
            <w:vAlign w:val="center"/>
            <w:hideMark/>
          </w:tcPr>
          <w:p w14:paraId="5A925C66"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2,648,613</w:t>
            </w:r>
          </w:p>
        </w:tc>
        <w:tc>
          <w:tcPr>
            <w:tcW w:w="708" w:type="dxa"/>
            <w:tcBorders>
              <w:top w:val="nil"/>
              <w:left w:val="nil"/>
              <w:bottom w:val="single" w:sz="4" w:space="0" w:color="auto"/>
              <w:right w:val="single" w:sz="4" w:space="0" w:color="auto"/>
            </w:tcBorders>
            <w:shd w:val="clear" w:color="auto" w:fill="auto"/>
            <w:vAlign w:val="center"/>
            <w:hideMark/>
          </w:tcPr>
          <w:p w14:paraId="3BEF8946"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69.7%</w:t>
            </w:r>
          </w:p>
        </w:tc>
        <w:tc>
          <w:tcPr>
            <w:tcW w:w="1350" w:type="dxa"/>
            <w:tcBorders>
              <w:top w:val="nil"/>
              <w:left w:val="nil"/>
              <w:bottom w:val="single" w:sz="4" w:space="0" w:color="auto"/>
              <w:right w:val="single" w:sz="4" w:space="0" w:color="auto"/>
            </w:tcBorders>
            <w:shd w:val="clear" w:color="auto" w:fill="auto"/>
            <w:vAlign w:val="center"/>
            <w:hideMark/>
          </w:tcPr>
          <w:p w14:paraId="6F72228F"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116" w:type="dxa"/>
            <w:tcBorders>
              <w:top w:val="nil"/>
              <w:left w:val="nil"/>
              <w:bottom w:val="single" w:sz="4" w:space="0" w:color="auto"/>
              <w:right w:val="single" w:sz="4" w:space="0" w:color="auto"/>
            </w:tcBorders>
            <w:shd w:val="clear" w:color="auto" w:fill="auto"/>
            <w:vAlign w:val="center"/>
            <w:hideMark/>
          </w:tcPr>
          <w:p w14:paraId="08A4C9E1"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240,367</w:t>
            </w:r>
          </w:p>
        </w:tc>
        <w:tc>
          <w:tcPr>
            <w:tcW w:w="729" w:type="dxa"/>
            <w:tcBorders>
              <w:top w:val="nil"/>
              <w:left w:val="nil"/>
              <w:bottom w:val="single" w:sz="4" w:space="0" w:color="auto"/>
              <w:right w:val="single" w:sz="4" w:space="0" w:color="auto"/>
            </w:tcBorders>
            <w:shd w:val="clear" w:color="auto" w:fill="auto"/>
            <w:vAlign w:val="center"/>
            <w:hideMark/>
          </w:tcPr>
          <w:p w14:paraId="34E16F04"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15.9%</w:t>
            </w:r>
          </w:p>
        </w:tc>
      </w:tr>
      <w:tr w:rsidR="00B31521" w:rsidRPr="00EE5714" w14:paraId="3D2D0D0A" w14:textId="77777777" w:rsidTr="00E228D4">
        <w:trPr>
          <w:trHeight w:val="302"/>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3250A4CF"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449,457</w:t>
            </w:r>
          </w:p>
        </w:tc>
        <w:tc>
          <w:tcPr>
            <w:tcW w:w="872" w:type="dxa"/>
            <w:tcBorders>
              <w:top w:val="nil"/>
              <w:left w:val="nil"/>
              <w:bottom w:val="single" w:sz="4" w:space="0" w:color="auto"/>
              <w:right w:val="single" w:sz="4" w:space="0" w:color="auto"/>
            </w:tcBorders>
            <w:shd w:val="clear" w:color="auto" w:fill="auto"/>
            <w:vAlign w:val="center"/>
            <w:hideMark/>
          </w:tcPr>
          <w:p w14:paraId="5ACF616E"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31.0%</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60D996B2"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6770D6C"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31.0%</w:t>
            </w:r>
          </w:p>
        </w:tc>
        <w:tc>
          <w:tcPr>
            <w:tcW w:w="1533" w:type="dxa"/>
            <w:tcBorders>
              <w:top w:val="nil"/>
              <w:left w:val="nil"/>
              <w:bottom w:val="single" w:sz="4" w:space="0" w:color="auto"/>
              <w:right w:val="single" w:sz="4" w:space="0" w:color="auto"/>
            </w:tcBorders>
            <w:shd w:val="clear" w:color="auto" w:fill="auto"/>
            <w:vAlign w:val="center"/>
            <w:hideMark/>
          </w:tcPr>
          <w:p w14:paraId="704AAB25"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20" w:type="dxa"/>
            <w:tcBorders>
              <w:top w:val="nil"/>
              <w:left w:val="nil"/>
              <w:bottom w:val="single" w:sz="4" w:space="0" w:color="auto"/>
              <w:right w:val="single" w:sz="4" w:space="0" w:color="auto"/>
            </w:tcBorders>
            <w:shd w:val="clear" w:color="auto" w:fill="auto"/>
            <w:vAlign w:val="center"/>
            <w:hideMark/>
          </w:tcPr>
          <w:p w14:paraId="7B948C25"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3,800,061</w:t>
            </w:r>
          </w:p>
        </w:tc>
        <w:tc>
          <w:tcPr>
            <w:tcW w:w="708" w:type="dxa"/>
            <w:tcBorders>
              <w:top w:val="nil"/>
              <w:left w:val="nil"/>
              <w:bottom w:val="single" w:sz="4" w:space="0" w:color="auto"/>
              <w:right w:val="single" w:sz="4" w:space="0" w:color="auto"/>
            </w:tcBorders>
            <w:shd w:val="clear" w:color="auto" w:fill="auto"/>
            <w:vAlign w:val="center"/>
            <w:hideMark/>
          </w:tcPr>
          <w:p w14:paraId="0CD16241"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14:paraId="57B30000"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116" w:type="dxa"/>
            <w:tcBorders>
              <w:top w:val="nil"/>
              <w:left w:val="nil"/>
              <w:bottom w:val="single" w:sz="4" w:space="0" w:color="auto"/>
              <w:right w:val="single" w:sz="4" w:space="0" w:color="auto"/>
            </w:tcBorders>
            <w:shd w:val="clear" w:color="auto" w:fill="auto"/>
            <w:vAlign w:val="center"/>
            <w:hideMark/>
          </w:tcPr>
          <w:p w14:paraId="0913D62C"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122,604</w:t>
            </w:r>
          </w:p>
        </w:tc>
        <w:tc>
          <w:tcPr>
            <w:tcW w:w="729" w:type="dxa"/>
            <w:tcBorders>
              <w:top w:val="nil"/>
              <w:left w:val="nil"/>
              <w:bottom w:val="single" w:sz="4" w:space="0" w:color="auto"/>
              <w:right w:val="single" w:sz="4" w:space="0" w:color="auto"/>
            </w:tcBorders>
            <w:shd w:val="clear" w:color="auto" w:fill="auto"/>
            <w:vAlign w:val="center"/>
            <w:hideMark/>
          </w:tcPr>
          <w:p w14:paraId="590C051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8.1%</w:t>
            </w:r>
          </w:p>
        </w:tc>
      </w:tr>
      <w:tr w:rsidR="00B31521" w:rsidRPr="00EE5714" w14:paraId="65FEE3BF" w14:textId="77777777" w:rsidTr="00E228D4">
        <w:trPr>
          <w:trHeight w:val="302"/>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045A1ADE"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73,919</w:t>
            </w:r>
          </w:p>
        </w:tc>
        <w:tc>
          <w:tcPr>
            <w:tcW w:w="872" w:type="dxa"/>
            <w:tcBorders>
              <w:top w:val="nil"/>
              <w:left w:val="nil"/>
              <w:bottom w:val="single" w:sz="4" w:space="0" w:color="auto"/>
              <w:right w:val="single" w:sz="4" w:space="0" w:color="auto"/>
            </w:tcBorders>
            <w:shd w:val="clear" w:color="auto" w:fill="auto"/>
            <w:vAlign w:val="center"/>
            <w:hideMark/>
          </w:tcPr>
          <w:p w14:paraId="0FC56F26"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w:t>
            </w:r>
          </w:p>
        </w:tc>
        <w:tc>
          <w:tcPr>
            <w:tcW w:w="1099" w:type="dxa"/>
            <w:tcBorders>
              <w:top w:val="nil"/>
              <w:left w:val="nil"/>
              <w:bottom w:val="single" w:sz="4" w:space="0" w:color="auto"/>
              <w:right w:val="single" w:sz="4" w:space="0" w:color="auto"/>
            </w:tcBorders>
            <w:shd w:val="clear" w:color="auto" w:fill="auto"/>
            <w:vAlign w:val="center"/>
            <w:hideMark/>
          </w:tcPr>
          <w:p w14:paraId="2445B6A2"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99" w:type="dxa"/>
            <w:tcBorders>
              <w:top w:val="nil"/>
              <w:left w:val="nil"/>
              <w:bottom w:val="single" w:sz="4" w:space="0" w:color="auto"/>
              <w:right w:val="single" w:sz="4" w:space="0" w:color="auto"/>
            </w:tcBorders>
            <w:shd w:val="clear" w:color="auto" w:fill="auto"/>
            <w:vAlign w:val="center"/>
            <w:hideMark/>
          </w:tcPr>
          <w:p w14:paraId="217C36A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31.3%</w:t>
            </w:r>
          </w:p>
        </w:tc>
        <w:tc>
          <w:tcPr>
            <w:tcW w:w="326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54A4BD0"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E4B308B"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116" w:type="dxa"/>
            <w:tcBorders>
              <w:top w:val="nil"/>
              <w:left w:val="nil"/>
              <w:bottom w:val="single" w:sz="4" w:space="0" w:color="auto"/>
              <w:right w:val="single" w:sz="4" w:space="0" w:color="auto"/>
            </w:tcBorders>
            <w:shd w:val="clear" w:color="auto" w:fill="auto"/>
            <w:vAlign w:val="center"/>
            <w:hideMark/>
          </w:tcPr>
          <w:p w14:paraId="2592375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136,010</w:t>
            </w:r>
          </w:p>
        </w:tc>
        <w:tc>
          <w:tcPr>
            <w:tcW w:w="729" w:type="dxa"/>
            <w:tcBorders>
              <w:top w:val="nil"/>
              <w:left w:val="nil"/>
              <w:bottom w:val="single" w:sz="4" w:space="0" w:color="auto"/>
              <w:right w:val="single" w:sz="4" w:space="0" w:color="auto"/>
            </w:tcBorders>
            <w:shd w:val="clear" w:color="auto" w:fill="auto"/>
            <w:vAlign w:val="center"/>
            <w:hideMark/>
          </w:tcPr>
          <w:p w14:paraId="7562AFCB"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9.0%</w:t>
            </w:r>
          </w:p>
        </w:tc>
      </w:tr>
      <w:tr w:rsidR="00B31521" w:rsidRPr="00EE5714" w14:paraId="306216AE" w14:textId="77777777" w:rsidTr="00E228D4">
        <w:trPr>
          <w:trHeight w:val="513"/>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7E7410E4"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10,826</w:t>
            </w:r>
          </w:p>
        </w:tc>
        <w:tc>
          <w:tcPr>
            <w:tcW w:w="872" w:type="dxa"/>
            <w:tcBorders>
              <w:top w:val="nil"/>
              <w:left w:val="nil"/>
              <w:bottom w:val="single" w:sz="4" w:space="0" w:color="auto"/>
              <w:right w:val="single" w:sz="4" w:space="0" w:color="auto"/>
            </w:tcBorders>
            <w:shd w:val="clear" w:color="auto" w:fill="auto"/>
            <w:vAlign w:val="center"/>
            <w:hideMark/>
          </w:tcPr>
          <w:p w14:paraId="45B8FA5B"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099" w:type="dxa"/>
            <w:tcBorders>
              <w:top w:val="nil"/>
              <w:left w:val="nil"/>
              <w:bottom w:val="single" w:sz="4" w:space="0" w:color="auto"/>
              <w:right w:val="single" w:sz="4" w:space="0" w:color="auto"/>
            </w:tcBorders>
            <w:shd w:val="clear" w:color="auto" w:fill="auto"/>
            <w:vAlign w:val="center"/>
            <w:hideMark/>
          </w:tcPr>
          <w:p w14:paraId="646954E4"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99" w:type="dxa"/>
            <w:tcBorders>
              <w:top w:val="nil"/>
              <w:left w:val="nil"/>
              <w:bottom w:val="single" w:sz="4" w:space="0" w:color="auto"/>
              <w:right w:val="single" w:sz="4" w:space="0" w:color="auto"/>
            </w:tcBorders>
            <w:shd w:val="clear" w:color="auto" w:fill="auto"/>
            <w:vAlign w:val="center"/>
            <w:hideMark/>
          </w:tcPr>
          <w:p w14:paraId="37EA94E2"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15.9%</w:t>
            </w:r>
          </w:p>
        </w:tc>
        <w:tc>
          <w:tcPr>
            <w:tcW w:w="1533" w:type="dxa"/>
            <w:tcBorders>
              <w:top w:val="single" w:sz="4" w:space="0" w:color="auto"/>
              <w:left w:val="nil"/>
              <w:bottom w:val="single" w:sz="4" w:space="0" w:color="auto"/>
              <w:right w:val="single" w:sz="4" w:space="0" w:color="auto"/>
            </w:tcBorders>
            <w:shd w:val="clear" w:color="000000" w:fill="E7E6E6"/>
            <w:vAlign w:val="center"/>
            <w:hideMark/>
          </w:tcPr>
          <w:p w14:paraId="3D5E64B7"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1020" w:type="dxa"/>
            <w:tcBorders>
              <w:top w:val="single" w:sz="4" w:space="0" w:color="auto"/>
              <w:left w:val="nil"/>
              <w:bottom w:val="single" w:sz="4" w:space="0" w:color="auto"/>
              <w:right w:val="single" w:sz="4" w:space="0" w:color="auto"/>
            </w:tcBorders>
            <w:shd w:val="clear" w:color="000000" w:fill="E7E6E6"/>
            <w:vAlign w:val="center"/>
            <w:hideMark/>
          </w:tcPr>
          <w:p w14:paraId="694A8650"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08" w:type="dxa"/>
            <w:tcBorders>
              <w:top w:val="single" w:sz="4" w:space="0" w:color="auto"/>
              <w:left w:val="nil"/>
              <w:bottom w:val="single" w:sz="4" w:space="0" w:color="auto"/>
              <w:right w:val="single" w:sz="4" w:space="0" w:color="auto"/>
            </w:tcBorders>
            <w:shd w:val="clear" w:color="000000" w:fill="E7E6E6"/>
            <w:vAlign w:val="center"/>
            <w:hideMark/>
          </w:tcPr>
          <w:p w14:paraId="6B0F8FFD"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350" w:type="dxa"/>
            <w:tcBorders>
              <w:top w:val="nil"/>
              <w:left w:val="nil"/>
              <w:bottom w:val="single" w:sz="4" w:space="0" w:color="auto"/>
              <w:right w:val="single" w:sz="4" w:space="0" w:color="auto"/>
            </w:tcBorders>
            <w:shd w:val="clear" w:color="auto" w:fill="auto"/>
            <w:vAlign w:val="center"/>
            <w:hideMark/>
          </w:tcPr>
          <w:p w14:paraId="4F13D073"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16" w:type="dxa"/>
            <w:tcBorders>
              <w:top w:val="nil"/>
              <w:left w:val="nil"/>
              <w:bottom w:val="single" w:sz="4" w:space="0" w:color="auto"/>
              <w:right w:val="single" w:sz="4" w:space="0" w:color="auto"/>
            </w:tcBorders>
            <w:shd w:val="clear" w:color="auto" w:fill="auto"/>
            <w:vAlign w:val="center"/>
            <w:hideMark/>
          </w:tcPr>
          <w:p w14:paraId="4630A936"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1,516,366</w:t>
            </w:r>
          </w:p>
        </w:tc>
        <w:tc>
          <w:tcPr>
            <w:tcW w:w="729" w:type="dxa"/>
            <w:tcBorders>
              <w:top w:val="nil"/>
              <w:left w:val="nil"/>
              <w:bottom w:val="single" w:sz="4" w:space="0" w:color="auto"/>
              <w:right w:val="single" w:sz="4" w:space="0" w:color="auto"/>
            </w:tcBorders>
            <w:shd w:val="clear" w:color="auto" w:fill="auto"/>
            <w:vAlign w:val="center"/>
            <w:hideMark/>
          </w:tcPr>
          <w:p w14:paraId="53D869D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B31521" w:rsidRPr="00EE5714" w14:paraId="71D197B0" w14:textId="77777777" w:rsidTr="00E228D4">
        <w:trPr>
          <w:trHeight w:val="302"/>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3E0CF16B"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4,087</w:t>
            </w:r>
          </w:p>
        </w:tc>
        <w:tc>
          <w:tcPr>
            <w:tcW w:w="872" w:type="dxa"/>
            <w:tcBorders>
              <w:top w:val="nil"/>
              <w:left w:val="nil"/>
              <w:bottom w:val="single" w:sz="4" w:space="0" w:color="auto"/>
              <w:right w:val="single" w:sz="4" w:space="0" w:color="auto"/>
            </w:tcBorders>
            <w:shd w:val="clear" w:color="auto" w:fill="auto"/>
            <w:vAlign w:val="center"/>
            <w:hideMark/>
          </w:tcPr>
          <w:p w14:paraId="11967868"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099" w:type="dxa"/>
            <w:tcBorders>
              <w:top w:val="nil"/>
              <w:left w:val="nil"/>
              <w:bottom w:val="single" w:sz="4" w:space="0" w:color="auto"/>
              <w:right w:val="single" w:sz="4" w:space="0" w:color="auto"/>
            </w:tcBorders>
            <w:shd w:val="clear" w:color="auto" w:fill="auto"/>
            <w:vAlign w:val="center"/>
            <w:hideMark/>
          </w:tcPr>
          <w:p w14:paraId="5495DBC9"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99" w:type="dxa"/>
            <w:tcBorders>
              <w:top w:val="nil"/>
              <w:left w:val="nil"/>
              <w:bottom w:val="single" w:sz="4" w:space="0" w:color="auto"/>
              <w:right w:val="single" w:sz="4" w:space="0" w:color="auto"/>
            </w:tcBorders>
            <w:shd w:val="clear" w:color="auto" w:fill="auto"/>
            <w:vAlign w:val="center"/>
            <w:hideMark/>
          </w:tcPr>
          <w:p w14:paraId="141D9C18"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12.9%</w:t>
            </w:r>
          </w:p>
        </w:tc>
        <w:tc>
          <w:tcPr>
            <w:tcW w:w="1533" w:type="dxa"/>
            <w:tcBorders>
              <w:top w:val="nil"/>
              <w:left w:val="nil"/>
              <w:bottom w:val="single" w:sz="4" w:space="0" w:color="auto"/>
              <w:right w:val="single" w:sz="4" w:space="0" w:color="auto"/>
            </w:tcBorders>
            <w:shd w:val="clear" w:color="auto" w:fill="auto"/>
            <w:vAlign w:val="center"/>
            <w:hideMark/>
          </w:tcPr>
          <w:p w14:paraId="4EF9F1A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1020" w:type="dxa"/>
            <w:tcBorders>
              <w:top w:val="nil"/>
              <w:left w:val="nil"/>
              <w:bottom w:val="single" w:sz="4" w:space="0" w:color="auto"/>
              <w:right w:val="single" w:sz="4" w:space="0" w:color="auto"/>
            </w:tcBorders>
            <w:shd w:val="clear" w:color="auto" w:fill="auto"/>
            <w:vAlign w:val="center"/>
            <w:hideMark/>
          </w:tcPr>
          <w:p w14:paraId="65B95316"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854,361</w:t>
            </w:r>
          </w:p>
        </w:tc>
        <w:tc>
          <w:tcPr>
            <w:tcW w:w="708" w:type="dxa"/>
            <w:tcBorders>
              <w:top w:val="nil"/>
              <w:left w:val="nil"/>
              <w:bottom w:val="single" w:sz="4" w:space="0" w:color="auto"/>
              <w:right w:val="single" w:sz="4" w:space="0" w:color="auto"/>
            </w:tcBorders>
            <w:shd w:val="clear" w:color="auto" w:fill="auto"/>
            <w:vAlign w:val="center"/>
            <w:hideMark/>
          </w:tcPr>
          <w:p w14:paraId="11B559A6"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58.9%</w:t>
            </w:r>
          </w:p>
        </w:tc>
        <w:tc>
          <w:tcPr>
            <w:tcW w:w="1350" w:type="dxa"/>
            <w:tcBorders>
              <w:top w:val="nil"/>
              <w:left w:val="nil"/>
              <w:bottom w:val="single" w:sz="4" w:space="0" w:color="auto"/>
              <w:right w:val="single" w:sz="4" w:space="0" w:color="auto"/>
            </w:tcBorders>
            <w:shd w:val="clear" w:color="auto" w:fill="auto"/>
            <w:vAlign w:val="center"/>
            <w:hideMark/>
          </w:tcPr>
          <w:p w14:paraId="753CE2EF"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116" w:type="dxa"/>
            <w:tcBorders>
              <w:top w:val="nil"/>
              <w:left w:val="nil"/>
              <w:bottom w:val="single" w:sz="4" w:space="0" w:color="auto"/>
              <w:right w:val="single" w:sz="4" w:space="0" w:color="auto"/>
            </w:tcBorders>
            <w:shd w:val="clear" w:color="auto" w:fill="auto"/>
            <w:vAlign w:val="center"/>
            <w:hideMark/>
          </w:tcPr>
          <w:p w14:paraId="3BDADC6B"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$64,465</w:t>
            </w:r>
          </w:p>
        </w:tc>
        <w:tc>
          <w:tcPr>
            <w:tcW w:w="729" w:type="dxa"/>
            <w:tcBorders>
              <w:top w:val="nil"/>
              <w:left w:val="nil"/>
              <w:bottom w:val="single" w:sz="4" w:space="0" w:color="auto"/>
              <w:right w:val="single" w:sz="4" w:space="0" w:color="auto"/>
            </w:tcBorders>
            <w:shd w:val="clear" w:color="auto" w:fill="auto"/>
            <w:vAlign w:val="center"/>
            <w:hideMark/>
          </w:tcPr>
          <w:p w14:paraId="5646B66F"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B31521" w:rsidRPr="00EE5714" w14:paraId="7B296A94" w14:textId="77777777" w:rsidTr="00E228D4">
        <w:trPr>
          <w:trHeight w:val="513"/>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10B53333"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1,236</w:t>
            </w:r>
          </w:p>
        </w:tc>
        <w:tc>
          <w:tcPr>
            <w:tcW w:w="872" w:type="dxa"/>
            <w:tcBorders>
              <w:top w:val="nil"/>
              <w:left w:val="nil"/>
              <w:bottom w:val="single" w:sz="4" w:space="0" w:color="auto"/>
              <w:right w:val="single" w:sz="4" w:space="0" w:color="auto"/>
            </w:tcBorders>
            <w:shd w:val="clear" w:color="auto" w:fill="auto"/>
            <w:vAlign w:val="center"/>
            <w:hideMark/>
          </w:tcPr>
          <w:p w14:paraId="1279F389"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099" w:type="dxa"/>
            <w:tcBorders>
              <w:top w:val="nil"/>
              <w:left w:val="nil"/>
              <w:bottom w:val="single" w:sz="4" w:space="0" w:color="auto"/>
              <w:right w:val="single" w:sz="4" w:space="0" w:color="auto"/>
            </w:tcBorders>
            <w:shd w:val="clear" w:color="auto" w:fill="auto"/>
            <w:vAlign w:val="center"/>
            <w:hideMark/>
          </w:tcPr>
          <w:p w14:paraId="6B809799"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99" w:type="dxa"/>
            <w:tcBorders>
              <w:top w:val="nil"/>
              <w:left w:val="nil"/>
              <w:bottom w:val="single" w:sz="4" w:space="0" w:color="auto"/>
              <w:right w:val="single" w:sz="4" w:space="0" w:color="auto"/>
            </w:tcBorders>
            <w:shd w:val="clear" w:color="auto" w:fill="auto"/>
            <w:vAlign w:val="center"/>
            <w:hideMark/>
          </w:tcPr>
          <w:p w14:paraId="3F44B7B3"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5.7%</w:t>
            </w:r>
          </w:p>
        </w:tc>
        <w:tc>
          <w:tcPr>
            <w:tcW w:w="1533" w:type="dxa"/>
            <w:tcBorders>
              <w:top w:val="nil"/>
              <w:left w:val="nil"/>
              <w:bottom w:val="single" w:sz="4" w:space="0" w:color="auto"/>
              <w:right w:val="single" w:sz="4" w:space="0" w:color="auto"/>
            </w:tcBorders>
            <w:shd w:val="clear" w:color="auto" w:fill="auto"/>
            <w:vAlign w:val="center"/>
            <w:hideMark/>
          </w:tcPr>
          <w:p w14:paraId="4A483641"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1020" w:type="dxa"/>
            <w:tcBorders>
              <w:top w:val="nil"/>
              <w:left w:val="nil"/>
              <w:bottom w:val="single" w:sz="4" w:space="0" w:color="auto"/>
              <w:right w:val="single" w:sz="4" w:space="0" w:color="auto"/>
            </w:tcBorders>
            <w:shd w:val="clear" w:color="auto" w:fill="auto"/>
            <w:vAlign w:val="center"/>
            <w:hideMark/>
          </w:tcPr>
          <w:p w14:paraId="4F56287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44,545</w:t>
            </w:r>
          </w:p>
        </w:tc>
        <w:tc>
          <w:tcPr>
            <w:tcW w:w="708" w:type="dxa"/>
            <w:tcBorders>
              <w:top w:val="nil"/>
              <w:left w:val="nil"/>
              <w:bottom w:val="single" w:sz="4" w:space="0" w:color="auto"/>
              <w:right w:val="single" w:sz="4" w:space="0" w:color="auto"/>
            </w:tcBorders>
            <w:shd w:val="clear" w:color="auto" w:fill="auto"/>
            <w:vAlign w:val="center"/>
            <w:hideMark/>
          </w:tcPr>
          <w:p w14:paraId="375C2B30"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w:t>
            </w:r>
          </w:p>
        </w:tc>
        <w:tc>
          <w:tcPr>
            <w:tcW w:w="1350" w:type="dxa"/>
            <w:tcBorders>
              <w:top w:val="nil"/>
              <w:left w:val="nil"/>
              <w:bottom w:val="single" w:sz="4" w:space="0" w:color="auto"/>
              <w:right w:val="single" w:sz="4" w:space="0" w:color="auto"/>
            </w:tcBorders>
            <w:shd w:val="clear" w:color="auto" w:fill="auto"/>
            <w:vAlign w:val="center"/>
            <w:hideMark/>
          </w:tcPr>
          <w:p w14:paraId="65F199DE"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116" w:type="dxa"/>
            <w:tcBorders>
              <w:top w:val="nil"/>
              <w:left w:val="nil"/>
              <w:bottom w:val="single" w:sz="4" w:space="0" w:color="auto"/>
              <w:right w:val="single" w:sz="4" w:space="0" w:color="auto"/>
            </w:tcBorders>
            <w:shd w:val="clear" w:color="auto" w:fill="auto"/>
            <w:vAlign w:val="center"/>
            <w:hideMark/>
          </w:tcPr>
          <w:p w14:paraId="00A8B3CB"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$94,559</w:t>
            </w:r>
          </w:p>
        </w:tc>
        <w:tc>
          <w:tcPr>
            <w:tcW w:w="729" w:type="dxa"/>
            <w:tcBorders>
              <w:top w:val="nil"/>
              <w:left w:val="nil"/>
              <w:bottom w:val="single" w:sz="4" w:space="0" w:color="auto"/>
              <w:right w:val="single" w:sz="4" w:space="0" w:color="auto"/>
            </w:tcBorders>
            <w:shd w:val="clear" w:color="auto" w:fill="auto"/>
            <w:vAlign w:val="center"/>
            <w:hideMark/>
          </w:tcPr>
          <w:p w14:paraId="63061390"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B31521" w:rsidRPr="00EE5714" w14:paraId="396916EC" w14:textId="77777777" w:rsidTr="00E228D4">
        <w:trPr>
          <w:trHeight w:val="302"/>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7EEAB150"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357</w:t>
            </w:r>
          </w:p>
        </w:tc>
        <w:tc>
          <w:tcPr>
            <w:tcW w:w="872" w:type="dxa"/>
            <w:tcBorders>
              <w:top w:val="nil"/>
              <w:left w:val="nil"/>
              <w:bottom w:val="single" w:sz="4" w:space="0" w:color="auto"/>
              <w:right w:val="single" w:sz="4" w:space="0" w:color="auto"/>
            </w:tcBorders>
            <w:shd w:val="clear" w:color="auto" w:fill="auto"/>
            <w:vAlign w:val="center"/>
            <w:hideMark/>
          </w:tcPr>
          <w:p w14:paraId="0CA14C84"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9" w:type="dxa"/>
            <w:tcBorders>
              <w:top w:val="nil"/>
              <w:left w:val="nil"/>
              <w:bottom w:val="single" w:sz="4" w:space="0" w:color="auto"/>
              <w:right w:val="single" w:sz="4" w:space="0" w:color="auto"/>
            </w:tcBorders>
            <w:shd w:val="clear" w:color="auto" w:fill="auto"/>
            <w:vAlign w:val="center"/>
            <w:hideMark/>
          </w:tcPr>
          <w:p w14:paraId="23012092"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99" w:type="dxa"/>
            <w:tcBorders>
              <w:top w:val="nil"/>
              <w:left w:val="nil"/>
              <w:bottom w:val="single" w:sz="4" w:space="0" w:color="auto"/>
              <w:right w:val="single" w:sz="4" w:space="0" w:color="auto"/>
            </w:tcBorders>
            <w:shd w:val="clear" w:color="auto" w:fill="auto"/>
            <w:vAlign w:val="center"/>
            <w:hideMark/>
          </w:tcPr>
          <w:p w14:paraId="7D4B58DA"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w:t>
            </w:r>
          </w:p>
        </w:tc>
        <w:tc>
          <w:tcPr>
            <w:tcW w:w="1533" w:type="dxa"/>
            <w:tcBorders>
              <w:top w:val="nil"/>
              <w:left w:val="nil"/>
              <w:bottom w:val="single" w:sz="4" w:space="0" w:color="auto"/>
              <w:right w:val="single" w:sz="4" w:space="0" w:color="auto"/>
            </w:tcBorders>
            <w:shd w:val="clear" w:color="auto" w:fill="auto"/>
            <w:vAlign w:val="center"/>
            <w:hideMark/>
          </w:tcPr>
          <w:p w14:paraId="4E9C9EE7"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1020" w:type="dxa"/>
            <w:tcBorders>
              <w:top w:val="nil"/>
              <w:left w:val="nil"/>
              <w:bottom w:val="single" w:sz="4" w:space="0" w:color="auto"/>
              <w:right w:val="single" w:sz="4" w:space="0" w:color="auto"/>
            </w:tcBorders>
            <w:shd w:val="clear" w:color="auto" w:fill="auto"/>
            <w:vAlign w:val="center"/>
            <w:hideMark/>
          </w:tcPr>
          <w:p w14:paraId="6988D98F"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313,847</w:t>
            </w:r>
          </w:p>
        </w:tc>
        <w:tc>
          <w:tcPr>
            <w:tcW w:w="708" w:type="dxa"/>
            <w:tcBorders>
              <w:top w:val="nil"/>
              <w:left w:val="nil"/>
              <w:bottom w:val="single" w:sz="4" w:space="0" w:color="auto"/>
              <w:right w:val="single" w:sz="4" w:space="0" w:color="auto"/>
            </w:tcBorders>
            <w:shd w:val="clear" w:color="auto" w:fill="auto"/>
            <w:vAlign w:val="center"/>
            <w:hideMark/>
          </w:tcPr>
          <w:p w14:paraId="420F3464"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21.6%</w:t>
            </w:r>
          </w:p>
        </w:tc>
        <w:tc>
          <w:tcPr>
            <w:tcW w:w="1350" w:type="dxa"/>
            <w:tcBorders>
              <w:top w:val="nil"/>
              <w:left w:val="nil"/>
              <w:bottom w:val="single" w:sz="4" w:space="0" w:color="auto"/>
              <w:right w:val="single" w:sz="4" w:space="0" w:color="auto"/>
            </w:tcBorders>
            <w:shd w:val="clear" w:color="auto" w:fill="auto"/>
            <w:vAlign w:val="center"/>
            <w:hideMark/>
          </w:tcPr>
          <w:p w14:paraId="5C59BA51"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116" w:type="dxa"/>
            <w:tcBorders>
              <w:top w:val="nil"/>
              <w:left w:val="nil"/>
              <w:bottom w:val="single" w:sz="4" w:space="0" w:color="auto"/>
              <w:right w:val="single" w:sz="4" w:space="0" w:color="auto"/>
            </w:tcBorders>
            <w:shd w:val="clear" w:color="auto" w:fill="auto"/>
            <w:vAlign w:val="center"/>
            <w:hideMark/>
          </w:tcPr>
          <w:p w14:paraId="794D9508"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$36,515</w:t>
            </w:r>
          </w:p>
        </w:tc>
        <w:tc>
          <w:tcPr>
            <w:tcW w:w="729" w:type="dxa"/>
            <w:tcBorders>
              <w:top w:val="nil"/>
              <w:left w:val="nil"/>
              <w:bottom w:val="single" w:sz="4" w:space="0" w:color="auto"/>
              <w:right w:val="single" w:sz="4" w:space="0" w:color="auto"/>
            </w:tcBorders>
            <w:shd w:val="clear" w:color="auto" w:fill="auto"/>
            <w:vAlign w:val="center"/>
            <w:hideMark/>
          </w:tcPr>
          <w:p w14:paraId="305B4B6B"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B31521" w:rsidRPr="00EE5714" w14:paraId="3826ED16" w14:textId="77777777" w:rsidTr="00E228D4">
        <w:trPr>
          <w:trHeight w:val="513"/>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0FA1276A"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lastRenderedPageBreak/>
              <w:t>279</w:t>
            </w:r>
          </w:p>
        </w:tc>
        <w:tc>
          <w:tcPr>
            <w:tcW w:w="872" w:type="dxa"/>
            <w:tcBorders>
              <w:top w:val="nil"/>
              <w:left w:val="nil"/>
              <w:bottom w:val="single" w:sz="4" w:space="0" w:color="auto"/>
              <w:right w:val="single" w:sz="4" w:space="0" w:color="auto"/>
            </w:tcBorders>
            <w:shd w:val="clear" w:color="auto" w:fill="auto"/>
            <w:vAlign w:val="center"/>
            <w:hideMark/>
          </w:tcPr>
          <w:p w14:paraId="3471D285"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9" w:type="dxa"/>
            <w:tcBorders>
              <w:top w:val="nil"/>
              <w:left w:val="nil"/>
              <w:bottom w:val="single" w:sz="4" w:space="0" w:color="auto"/>
              <w:right w:val="single" w:sz="4" w:space="0" w:color="auto"/>
            </w:tcBorders>
            <w:shd w:val="clear" w:color="auto" w:fill="auto"/>
            <w:vAlign w:val="center"/>
            <w:hideMark/>
          </w:tcPr>
          <w:p w14:paraId="0DA5F6F6"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99" w:type="dxa"/>
            <w:tcBorders>
              <w:top w:val="nil"/>
              <w:left w:val="nil"/>
              <w:bottom w:val="single" w:sz="4" w:space="0" w:color="auto"/>
              <w:right w:val="single" w:sz="4" w:space="0" w:color="auto"/>
            </w:tcBorders>
            <w:shd w:val="clear" w:color="auto" w:fill="auto"/>
            <w:vAlign w:val="center"/>
            <w:hideMark/>
          </w:tcPr>
          <w:p w14:paraId="32FFE926"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w:t>
            </w:r>
          </w:p>
        </w:tc>
        <w:tc>
          <w:tcPr>
            <w:tcW w:w="1533" w:type="dxa"/>
            <w:tcBorders>
              <w:top w:val="nil"/>
              <w:left w:val="nil"/>
              <w:bottom w:val="single" w:sz="4" w:space="0" w:color="auto"/>
              <w:right w:val="single" w:sz="4" w:space="0" w:color="auto"/>
            </w:tcBorders>
            <w:shd w:val="clear" w:color="auto" w:fill="auto"/>
            <w:vAlign w:val="center"/>
            <w:hideMark/>
          </w:tcPr>
          <w:p w14:paraId="1EA02FF9"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1020" w:type="dxa"/>
            <w:tcBorders>
              <w:top w:val="nil"/>
              <w:left w:val="nil"/>
              <w:bottom w:val="single" w:sz="4" w:space="0" w:color="auto"/>
              <w:right w:val="single" w:sz="4" w:space="0" w:color="auto"/>
            </w:tcBorders>
            <w:shd w:val="clear" w:color="auto" w:fill="auto"/>
            <w:vAlign w:val="center"/>
            <w:hideMark/>
          </w:tcPr>
          <w:p w14:paraId="025D1CC8"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214,214</w:t>
            </w:r>
          </w:p>
        </w:tc>
        <w:tc>
          <w:tcPr>
            <w:tcW w:w="708" w:type="dxa"/>
            <w:tcBorders>
              <w:top w:val="nil"/>
              <w:left w:val="nil"/>
              <w:bottom w:val="single" w:sz="4" w:space="0" w:color="auto"/>
              <w:right w:val="single" w:sz="4" w:space="0" w:color="auto"/>
            </w:tcBorders>
            <w:shd w:val="clear" w:color="auto" w:fill="auto"/>
            <w:vAlign w:val="center"/>
            <w:hideMark/>
          </w:tcPr>
          <w:p w14:paraId="4925D669"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14.8%</w:t>
            </w:r>
          </w:p>
        </w:tc>
        <w:tc>
          <w:tcPr>
            <w:tcW w:w="3197"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4B9F4500"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PECO Service Area                                            2012-2016 ACS</w:t>
            </w:r>
          </w:p>
        </w:tc>
      </w:tr>
      <w:tr w:rsidR="00B31521" w:rsidRPr="00EE5714" w14:paraId="7D6FAAC9" w14:textId="77777777" w:rsidTr="00E228D4">
        <w:trPr>
          <w:trHeight w:val="513"/>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486247E6"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1,450,628</w:t>
            </w:r>
          </w:p>
        </w:tc>
        <w:tc>
          <w:tcPr>
            <w:tcW w:w="872" w:type="dxa"/>
            <w:tcBorders>
              <w:top w:val="nil"/>
              <w:left w:val="nil"/>
              <w:bottom w:val="single" w:sz="4" w:space="0" w:color="auto"/>
              <w:right w:val="single" w:sz="4" w:space="0" w:color="auto"/>
            </w:tcBorders>
            <w:shd w:val="clear" w:color="auto" w:fill="auto"/>
            <w:vAlign w:val="center"/>
            <w:hideMark/>
          </w:tcPr>
          <w:p w14:paraId="7D6D1366"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99" w:type="dxa"/>
            <w:tcBorders>
              <w:top w:val="nil"/>
              <w:left w:val="nil"/>
              <w:bottom w:val="single" w:sz="4" w:space="0" w:color="auto"/>
              <w:right w:val="single" w:sz="4" w:space="0" w:color="auto"/>
            </w:tcBorders>
            <w:shd w:val="clear" w:color="auto" w:fill="auto"/>
            <w:vAlign w:val="center"/>
            <w:hideMark/>
          </w:tcPr>
          <w:p w14:paraId="5C8E2FE2"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99" w:type="dxa"/>
            <w:tcBorders>
              <w:top w:val="nil"/>
              <w:left w:val="nil"/>
              <w:bottom w:val="single" w:sz="4" w:space="0" w:color="auto"/>
              <w:right w:val="single" w:sz="4" w:space="0" w:color="auto"/>
            </w:tcBorders>
            <w:shd w:val="clear" w:color="auto" w:fill="auto"/>
            <w:vAlign w:val="center"/>
            <w:hideMark/>
          </w:tcPr>
          <w:p w14:paraId="55CFC672"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33" w:type="dxa"/>
            <w:tcBorders>
              <w:top w:val="nil"/>
              <w:left w:val="nil"/>
              <w:bottom w:val="single" w:sz="4" w:space="0" w:color="auto"/>
              <w:right w:val="single" w:sz="4" w:space="0" w:color="auto"/>
            </w:tcBorders>
            <w:shd w:val="clear" w:color="auto" w:fill="auto"/>
            <w:vAlign w:val="center"/>
            <w:hideMark/>
          </w:tcPr>
          <w:p w14:paraId="1EFCD8FC"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1020" w:type="dxa"/>
            <w:tcBorders>
              <w:top w:val="nil"/>
              <w:left w:val="nil"/>
              <w:bottom w:val="single" w:sz="4" w:space="0" w:color="auto"/>
              <w:right w:val="single" w:sz="4" w:space="0" w:color="auto"/>
            </w:tcBorders>
            <w:shd w:val="clear" w:color="auto" w:fill="auto"/>
            <w:vAlign w:val="center"/>
            <w:hideMark/>
          </w:tcPr>
          <w:p w14:paraId="651CFFA8"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2,038</w:t>
            </w:r>
          </w:p>
        </w:tc>
        <w:tc>
          <w:tcPr>
            <w:tcW w:w="708" w:type="dxa"/>
            <w:tcBorders>
              <w:top w:val="nil"/>
              <w:left w:val="nil"/>
              <w:bottom w:val="single" w:sz="4" w:space="0" w:color="auto"/>
              <w:right w:val="single" w:sz="4" w:space="0" w:color="auto"/>
            </w:tcBorders>
            <w:shd w:val="clear" w:color="auto" w:fill="auto"/>
            <w:vAlign w:val="center"/>
            <w:hideMark/>
          </w:tcPr>
          <w:p w14:paraId="2488AE25"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350" w:type="dxa"/>
            <w:tcBorders>
              <w:top w:val="single" w:sz="4" w:space="0" w:color="auto"/>
              <w:left w:val="nil"/>
              <w:bottom w:val="single" w:sz="4" w:space="0" w:color="auto"/>
              <w:right w:val="single" w:sz="4" w:space="0" w:color="auto"/>
            </w:tcBorders>
            <w:shd w:val="clear" w:color="000000" w:fill="E7E6E6"/>
            <w:vAlign w:val="center"/>
            <w:hideMark/>
          </w:tcPr>
          <w:p w14:paraId="2A8D7A50"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116" w:type="dxa"/>
            <w:tcBorders>
              <w:top w:val="single" w:sz="4" w:space="0" w:color="auto"/>
              <w:left w:val="nil"/>
              <w:bottom w:val="single" w:sz="4" w:space="0" w:color="auto"/>
              <w:right w:val="single" w:sz="4" w:space="0" w:color="auto"/>
            </w:tcBorders>
            <w:shd w:val="clear" w:color="000000" w:fill="E7E6E6"/>
            <w:vAlign w:val="center"/>
            <w:hideMark/>
          </w:tcPr>
          <w:p w14:paraId="109A23BC"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29" w:type="dxa"/>
            <w:tcBorders>
              <w:top w:val="single" w:sz="4" w:space="0" w:color="auto"/>
              <w:left w:val="nil"/>
              <w:bottom w:val="single" w:sz="4" w:space="0" w:color="auto"/>
              <w:right w:val="single" w:sz="4" w:space="0" w:color="auto"/>
            </w:tcBorders>
            <w:shd w:val="clear" w:color="000000" w:fill="E7E6E6"/>
            <w:vAlign w:val="center"/>
            <w:hideMark/>
          </w:tcPr>
          <w:p w14:paraId="0459A084"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B31521" w:rsidRPr="00EE5714" w14:paraId="55171950" w14:textId="77777777" w:rsidTr="00E228D4">
        <w:trPr>
          <w:trHeight w:val="438"/>
          <w:jc w:val="center"/>
        </w:trPr>
        <w:tc>
          <w:tcPr>
            <w:tcW w:w="4251" w:type="dxa"/>
            <w:gridSpan w:val="4"/>
            <w:tcBorders>
              <w:top w:val="single" w:sz="4" w:space="0" w:color="auto"/>
              <w:left w:val="single" w:sz="4" w:space="0" w:color="auto"/>
              <w:bottom w:val="single" w:sz="4" w:space="0" w:color="auto"/>
              <w:right w:val="single" w:sz="4" w:space="0" w:color="000000"/>
            </w:tcBorders>
            <w:shd w:val="clear" w:color="000000" w:fill="E7E6E6"/>
            <w:vAlign w:val="center"/>
            <w:hideMark/>
          </w:tcPr>
          <w:p w14:paraId="3FF7E21F" w14:textId="1DBDC45B"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PECO Service Area - 2012-2016 ACS</w:t>
            </w: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23AA97E7"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1020" w:type="dxa"/>
            <w:tcBorders>
              <w:top w:val="nil"/>
              <w:left w:val="nil"/>
              <w:bottom w:val="single" w:sz="4" w:space="0" w:color="auto"/>
              <w:right w:val="single" w:sz="4" w:space="0" w:color="auto"/>
            </w:tcBorders>
            <w:shd w:val="clear" w:color="auto" w:fill="auto"/>
            <w:vAlign w:val="center"/>
            <w:hideMark/>
          </w:tcPr>
          <w:p w14:paraId="62924E2F"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8,461</w:t>
            </w:r>
          </w:p>
        </w:tc>
        <w:tc>
          <w:tcPr>
            <w:tcW w:w="708" w:type="dxa"/>
            <w:tcBorders>
              <w:top w:val="nil"/>
              <w:left w:val="nil"/>
              <w:bottom w:val="single" w:sz="4" w:space="0" w:color="auto"/>
              <w:right w:val="single" w:sz="4" w:space="0" w:color="auto"/>
            </w:tcBorders>
            <w:shd w:val="clear" w:color="auto" w:fill="auto"/>
            <w:vAlign w:val="center"/>
            <w:hideMark/>
          </w:tcPr>
          <w:p w14:paraId="21CE560A"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350" w:type="dxa"/>
            <w:tcBorders>
              <w:top w:val="nil"/>
              <w:left w:val="nil"/>
              <w:bottom w:val="single" w:sz="4" w:space="0" w:color="auto"/>
              <w:right w:val="single" w:sz="4" w:space="0" w:color="auto"/>
            </w:tcBorders>
            <w:shd w:val="clear" w:color="auto" w:fill="auto"/>
            <w:vAlign w:val="center"/>
            <w:hideMark/>
          </w:tcPr>
          <w:p w14:paraId="03C785DE"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437,333</w:t>
            </w:r>
          </w:p>
        </w:tc>
        <w:tc>
          <w:tcPr>
            <w:tcW w:w="1116" w:type="dxa"/>
            <w:tcBorders>
              <w:top w:val="nil"/>
              <w:left w:val="nil"/>
              <w:bottom w:val="single" w:sz="4" w:space="0" w:color="auto"/>
              <w:right w:val="single" w:sz="4" w:space="0" w:color="auto"/>
            </w:tcBorders>
            <w:shd w:val="clear" w:color="auto" w:fill="auto"/>
            <w:vAlign w:val="center"/>
            <w:hideMark/>
          </w:tcPr>
          <w:p w14:paraId="18674D06"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29" w:type="dxa"/>
            <w:tcBorders>
              <w:top w:val="nil"/>
              <w:left w:val="nil"/>
              <w:bottom w:val="single" w:sz="4" w:space="0" w:color="auto"/>
              <w:right w:val="single" w:sz="4" w:space="0" w:color="auto"/>
            </w:tcBorders>
            <w:shd w:val="clear" w:color="auto" w:fill="auto"/>
            <w:vAlign w:val="center"/>
            <w:hideMark/>
          </w:tcPr>
          <w:p w14:paraId="4E029B92"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43.2%</w:t>
            </w:r>
          </w:p>
        </w:tc>
      </w:tr>
      <w:tr w:rsidR="00B31521" w:rsidRPr="00EE5714" w14:paraId="2FE659D5" w14:textId="77777777" w:rsidTr="00E228D4">
        <w:trPr>
          <w:trHeight w:val="302"/>
          <w:jc w:val="center"/>
        </w:trPr>
        <w:tc>
          <w:tcPr>
            <w:tcW w:w="117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232F3C4"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72"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27BEA103"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5733BED7"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1020" w:type="dxa"/>
            <w:tcBorders>
              <w:top w:val="nil"/>
              <w:left w:val="nil"/>
              <w:bottom w:val="single" w:sz="4" w:space="0" w:color="auto"/>
              <w:right w:val="single" w:sz="4" w:space="0" w:color="auto"/>
            </w:tcBorders>
            <w:shd w:val="clear" w:color="auto" w:fill="auto"/>
            <w:vAlign w:val="center"/>
            <w:hideMark/>
          </w:tcPr>
          <w:p w14:paraId="772D1445"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428</w:t>
            </w:r>
          </w:p>
        </w:tc>
        <w:tc>
          <w:tcPr>
            <w:tcW w:w="708" w:type="dxa"/>
            <w:tcBorders>
              <w:top w:val="nil"/>
              <w:left w:val="nil"/>
              <w:bottom w:val="single" w:sz="4" w:space="0" w:color="auto"/>
              <w:right w:val="single" w:sz="4" w:space="0" w:color="auto"/>
            </w:tcBorders>
            <w:shd w:val="clear" w:color="auto" w:fill="auto"/>
            <w:vAlign w:val="center"/>
            <w:hideMark/>
          </w:tcPr>
          <w:p w14:paraId="176F96E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350" w:type="dxa"/>
            <w:tcBorders>
              <w:top w:val="nil"/>
              <w:left w:val="nil"/>
              <w:bottom w:val="single" w:sz="4" w:space="0" w:color="auto"/>
              <w:right w:val="single" w:sz="4" w:space="0" w:color="auto"/>
            </w:tcBorders>
            <w:shd w:val="clear" w:color="auto" w:fill="auto"/>
            <w:vAlign w:val="center"/>
            <w:hideMark/>
          </w:tcPr>
          <w:p w14:paraId="2EFDBF51"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1,013,294</w:t>
            </w:r>
          </w:p>
        </w:tc>
        <w:tc>
          <w:tcPr>
            <w:tcW w:w="1116" w:type="dxa"/>
            <w:tcBorders>
              <w:top w:val="nil"/>
              <w:left w:val="nil"/>
              <w:bottom w:val="single" w:sz="4" w:space="0" w:color="auto"/>
              <w:right w:val="single" w:sz="4" w:space="0" w:color="auto"/>
            </w:tcBorders>
            <w:shd w:val="clear" w:color="auto" w:fill="auto"/>
            <w:vAlign w:val="center"/>
            <w:hideMark/>
          </w:tcPr>
          <w:p w14:paraId="57A14943"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29" w:type="dxa"/>
            <w:tcBorders>
              <w:top w:val="nil"/>
              <w:left w:val="nil"/>
              <w:bottom w:val="single" w:sz="4" w:space="0" w:color="auto"/>
              <w:right w:val="single" w:sz="4" w:space="0" w:color="auto"/>
            </w:tcBorders>
            <w:shd w:val="clear" w:color="auto" w:fill="auto"/>
            <w:vAlign w:val="center"/>
            <w:hideMark/>
          </w:tcPr>
          <w:p w14:paraId="61846A14"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56.8%</w:t>
            </w:r>
          </w:p>
        </w:tc>
      </w:tr>
      <w:tr w:rsidR="00B31521" w:rsidRPr="00EE5714" w14:paraId="7BD9382C" w14:textId="77777777" w:rsidTr="00E228D4">
        <w:trPr>
          <w:trHeight w:val="573"/>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33110EAE"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205,429</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306CFBEF"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14.16%</w:t>
            </w:r>
          </w:p>
        </w:tc>
        <w:tc>
          <w:tcPr>
            <w:tcW w:w="219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09C7AE"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723E3F77"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1020" w:type="dxa"/>
            <w:tcBorders>
              <w:top w:val="nil"/>
              <w:left w:val="nil"/>
              <w:bottom w:val="single" w:sz="4" w:space="0" w:color="auto"/>
              <w:right w:val="single" w:sz="4" w:space="0" w:color="auto"/>
            </w:tcBorders>
            <w:shd w:val="clear" w:color="auto" w:fill="auto"/>
            <w:vAlign w:val="center"/>
            <w:hideMark/>
          </w:tcPr>
          <w:p w14:paraId="5915AF97"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6,514</w:t>
            </w:r>
          </w:p>
        </w:tc>
        <w:tc>
          <w:tcPr>
            <w:tcW w:w="708" w:type="dxa"/>
            <w:tcBorders>
              <w:top w:val="nil"/>
              <w:left w:val="nil"/>
              <w:bottom w:val="single" w:sz="4" w:space="0" w:color="auto"/>
              <w:right w:val="single" w:sz="4" w:space="0" w:color="auto"/>
            </w:tcBorders>
            <w:shd w:val="clear" w:color="auto" w:fill="auto"/>
            <w:vAlign w:val="center"/>
            <w:hideMark/>
          </w:tcPr>
          <w:p w14:paraId="2FFE1B55"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0.4%</w:t>
            </w:r>
          </w:p>
        </w:tc>
        <w:tc>
          <w:tcPr>
            <w:tcW w:w="1350" w:type="dxa"/>
            <w:tcBorders>
              <w:top w:val="nil"/>
              <w:left w:val="nil"/>
              <w:bottom w:val="single" w:sz="4" w:space="0" w:color="auto"/>
              <w:right w:val="single" w:sz="4" w:space="0" w:color="auto"/>
            </w:tcBorders>
            <w:shd w:val="clear" w:color="auto" w:fill="auto"/>
            <w:vAlign w:val="center"/>
            <w:hideMark/>
          </w:tcPr>
          <w:p w14:paraId="426B5FCC"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399,725</w:t>
            </w:r>
          </w:p>
        </w:tc>
        <w:tc>
          <w:tcPr>
            <w:tcW w:w="1116" w:type="dxa"/>
            <w:tcBorders>
              <w:top w:val="nil"/>
              <w:left w:val="nil"/>
              <w:bottom w:val="single" w:sz="4" w:space="0" w:color="auto"/>
              <w:right w:val="single" w:sz="4" w:space="0" w:color="auto"/>
            </w:tcBorders>
            <w:shd w:val="clear" w:color="auto" w:fill="auto"/>
            <w:vAlign w:val="center"/>
            <w:hideMark/>
          </w:tcPr>
          <w:p w14:paraId="2C46FFBC"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29" w:type="dxa"/>
            <w:tcBorders>
              <w:top w:val="nil"/>
              <w:left w:val="nil"/>
              <w:bottom w:val="single" w:sz="4" w:space="0" w:color="auto"/>
              <w:right w:val="single" w:sz="4" w:space="0" w:color="auto"/>
            </w:tcBorders>
            <w:shd w:val="clear" w:color="auto" w:fill="auto"/>
            <w:vAlign w:val="center"/>
            <w:hideMark/>
          </w:tcPr>
          <w:p w14:paraId="3ACD94FB"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38.0%</w:t>
            </w:r>
          </w:p>
        </w:tc>
      </w:tr>
      <w:tr w:rsidR="00B31521" w:rsidRPr="00EE5714" w14:paraId="5146B628" w14:textId="77777777" w:rsidTr="00E228D4">
        <w:trPr>
          <w:trHeight w:val="513"/>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574CEBC4"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1,245,198</w:t>
            </w:r>
          </w:p>
        </w:tc>
        <w:tc>
          <w:tcPr>
            <w:tcW w:w="872" w:type="dxa"/>
            <w:tcBorders>
              <w:top w:val="nil"/>
              <w:left w:val="nil"/>
              <w:bottom w:val="single" w:sz="4" w:space="0" w:color="auto"/>
              <w:right w:val="single" w:sz="4" w:space="0" w:color="auto"/>
            </w:tcBorders>
            <w:shd w:val="clear" w:color="auto" w:fill="auto"/>
            <w:vAlign w:val="center"/>
            <w:hideMark/>
          </w:tcPr>
          <w:p w14:paraId="3CFD9AB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85.84%</w:t>
            </w:r>
          </w:p>
        </w:tc>
        <w:tc>
          <w:tcPr>
            <w:tcW w:w="219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8262B03"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1B4CF094"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1020" w:type="dxa"/>
            <w:tcBorders>
              <w:top w:val="nil"/>
              <w:left w:val="nil"/>
              <w:bottom w:val="single" w:sz="4" w:space="0" w:color="auto"/>
              <w:right w:val="single" w:sz="4" w:space="0" w:color="auto"/>
            </w:tcBorders>
            <w:shd w:val="clear" w:color="auto" w:fill="auto"/>
            <w:vAlign w:val="center"/>
            <w:hideMark/>
          </w:tcPr>
          <w:p w14:paraId="71B6131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6,218</w:t>
            </w:r>
          </w:p>
        </w:tc>
        <w:tc>
          <w:tcPr>
            <w:tcW w:w="708" w:type="dxa"/>
            <w:tcBorders>
              <w:top w:val="nil"/>
              <w:left w:val="nil"/>
              <w:bottom w:val="single" w:sz="4" w:space="0" w:color="auto"/>
              <w:right w:val="single" w:sz="4" w:space="0" w:color="auto"/>
            </w:tcBorders>
            <w:shd w:val="clear" w:color="auto" w:fill="auto"/>
            <w:vAlign w:val="center"/>
            <w:hideMark/>
          </w:tcPr>
          <w:p w14:paraId="710825F6"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0.4%</w:t>
            </w:r>
          </w:p>
        </w:tc>
        <w:tc>
          <w:tcPr>
            <w:tcW w:w="1350" w:type="dxa"/>
            <w:tcBorders>
              <w:top w:val="nil"/>
              <w:left w:val="nil"/>
              <w:bottom w:val="single" w:sz="4" w:space="0" w:color="auto"/>
              <w:right w:val="single" w:sz="4" w:space="0" w:color="auto"/>
            </w:tcBorders>
            <w:shd w:val="clear" w:color="auto" w:fill="auto"/>
            <w:vAlign w:val="center"/>
            <w:hideMark/>
          </w:tcPr>
          <w:p w14:paraId="60A533E5"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1,050,901</w:t>
            </w:r>
          </w:p>
        </w:tc>
        <w:tc>
          <w:tcPr>
            <w:tcW w:w="1116" w:type="dxa"/>
            <w:tcBorders>
              <w:top w:val="nil"/>
              <w:left w:val="nil"/>
              <w:bottom w:val="single" w:sz="4" w:space="0" w:color="auto"/>
              <w:right w:val="single" w:sz="4" w:space="0" w:color="auto"/>
            </w:tcBorders>
            <w:shd w:val="clear" w:color="auto" w:fill="auto"/>
            <w:vAlign w:val="center"/>
            <w:hideMark/>
          </w:tcPr>
          <w:p w14:paraId="3CC4B6D4"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29" w:type="dxa"/>
            <w:tcBorders>
              <w:top w:val="nil"/>
              <w:left w:val="nil"/>
              <w:bottom w:val="single" w:sz="4" w:space="0" w:color="auto"/>
              <w:right w:val="single" w:sz="4" w:space="0" w:color="auto"/>
            </w:tcBorders>
            <w:shd w:val="clear" w:color="auto" w:fill="auto"/>
            <w:vAlign w:val="center"/>
            <w:hideMark/>
          </w:tcPr>
          <w:p w14:paraId="61A6A64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62.0%</w:t>
            </w:r>
          </w:p>
        </w:tc>
      </w:tr>
      <w:tr w:rsidR="00B31521" w:rsidRPr="00EE5714" w14:paraId="37E42883" w14:textId="77777777" w:rsidTr="00E228D4">
        <w:trPr>
          <w:trHeight w:val="302"/>
          <w:jc w:val="center"/>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20C702BC"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1,450,627</w:t>
            </w:r>
          </w:p>
        </w:tc>
        <w:tc>
          <w:tcPr>
            <w:tcW w:w="307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DC0B6D9"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33" w:type="dxa"/>
            <w:tcBorders>
              <w:top w:val="nil"/>
              <w:left w:val="single" w:sz="4" w:space="0" w:color="auto"/>
              <w:bottom w:val="single" w:sz="4" w:space="0" w:color="auto"/>
              <w:right w:val="single" w:sz="4" w:space="0" w:color="auto"/>
            </w:tcBorders>
            <w:shd w:val="clear" w:color="auto" w:fill="auto"/>
            <w:vAlign w:val="center"/>
            <w:hideMark/>
          </w:tcPr>
          <w:p w14:paraId="3533606D"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20" w:type="dxa"/>
            <w:tcBorders>
              <w:top w:val="nil"/>
              <w:left w:val="nil"/>
              <w:bottom w:val="single" w:sz="4" w:space="0" w:color="auto"/>
              <w:right w:val="single" w:sz="4" w:space="0" w:color="auto"/>
            </w:tcBorders>
            <w:shd w:val="clear" w:color="auto" w:fill="auto"/>
            <w:vAlign w:val="center"/>
            <w:hideMark/>
          </w:tcPr>
          <w:p w14:paraId="0F06F4EA"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1,450,626</w:t>
            </w:r>
          </w:p>
        </w:tc>
        <w:tc>
          <w:tcPr>
            <w:tcW w:w="708" w:type="dxa"/>
            <w:tcBorders>
              <w:top w:val="nil"/>
              <w:left w:val="nil"/>
              <w:bottom w:val="single" w:sz="4" w:space="0" w:color="auto"/>
              <w:right w:val="single" w:sz="4" w:space="0" w:color="auto"/>
            </w:tcBorders>
            <w:shd w:val="clear" w:color="auto" w:fill="auto"/>
            <w:vAlign w:val="center"/>
            <w:hideMark/>
          </w:tcPr>
          <w:p w14:paraId="18EE7B25"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14:paraId="0FF6EE85" w14:textId="77777777" w:rsidR="00B31521" w:rsidRPr="00EE5714" w:rsidRDefault="00B31521" w:rsidP="00B3152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1,450,626</w:t>
            </w:r>
          </w:p>
        </w:tc>
        <w:tc>
          <w:tcPr>
            <w:tcW w:w="18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292103" w14:textId="77777777" w:rsidR="00B31521" w:rsidRPr="00EE5714" w:rsidRDefault="00B31521" w:rsidP="00B3152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46F2FAD0" w14:textId="77777777" w:rsidR="00B31521" w:rsidRPr="00EE5714" w:rsidRDefault="00B31521" w:rsidP="00F303E0"/>
    <w:p w14:paraId="728CD381" w14:textId="77777777" w:rsidR="008966CE" w:rsidRPr="00EE5714" w:rsidRDefault="008966CE" w:rsidP="00A91C58">
      <w:pPr>
        <w:keepNext/>
        <w:spacing w:after="0"/>
        <w:contextualSpacing/>
        <w:rPr>
          <w:rFonts w:ascii="Times New Roman" w:hAnsi="Times New Roman" w:cs="Times New Roman"/>
          <w:sz w:val="26"/>
          <w:szCs w:val="26"/>
        </w:rPr>
      </w:pPr>
      <w:r w:rsidRPr="00EE5714">
        <w:rPr>
          <w:rFonts w:ascii="Times New Roman" w:hAnsi="Times New Roman" w:cs="Times New Roman"/>
          <w:sz w:val="26"/>
          <w:szCs w:val="26"/>
        </w:rPr>
        <w:lastRenderedPageBreak/>
        <w:t>Appendix 1.</w:t>
      </w:r>
      <w:r w:rsidR="006532D4" w:rsidRPr="00EE5714">
        <w:rPr>
          <w:rFonts w:ascii="Times New Roman" w:hAnsi="Times New Roman" w:cs="Times New Roman"/>
          <w:sz w:val="26"/>
          <w:szCs w:val="26"/>
        </w:rPr>
        <w:t>B.4</w:t>
      </w:r>
      <w:r w:rsidRPr="00EE5714">
        <w:rPr>
          <w:rFonts w:ascii="Times New Roman" w:hAnsi="Times New Roman" w:cs="Times New Roman"/>
          <w:sz w:val="26"/>
          <w:szCs w:val="26"/>
        </w:rPr>
        <w:t xml:space="preserve">: </w:t>
      </w:r>
      <w:proofErr w:type="spellStart"/>
      <w:r w:rsidRPr="00EE5714">
        <w:rPr>
          <w:rFonts w:ascii="Times New Roman" w:hAnsi="Times New Roman" w:cs="Times New Roman"/>
          <w:b/>
          <w:sz w:val="26"/>
          <w:szCs w:val="26"/>
        </w:rPr>
        <w:t>Pe</w:t>
      </w:r>
      <w:r w:rsidR="003A7A0C" w:rsidRPr="00EE5714">
        <w:rPr>
          <w:rFonts w:ascii="Times New Roman" w:hAnsi="Times New Roman" w:cs="Times New Roman"/>
          <w:b/>
          <w:sz w:val="26"/>
          <w:szCs w:val="26"/>
        </w:rPr>
        <w:t>nelec</w:t>
      </w:r>
      <w:proofErr w:type="spellEnd"/>
      <w:r w:rsidRPr="00EE5714">
        <w:rPr>
          <w:rFonts w:ascii="Times New Roman" w:hAnsi="Times New Roman" w:cs="Times New Roman"/>
          <w:b/>
          <w:sz w:val="26"/>
          <w:szCs w:val="26"/>
        </w:rPr>
        <w:t xml:space="preserve"> Service Territory Demographic Profile</w:t>
      </w:r>
    </w:p>
    <w:tbl>
      <w:tblPr>
        <w:tblW w:w="10663" w:type="dxa"/>
        <w:jc w:val="center"/>
        <w:tblLook w:val="04A0" w:firstRow="1" w:lastRow="0" w:firstColumn="1" w:lastColumn="0" w:noHBand="0" w:noVBand="1"/>
      </w:tblPr>
      <w:tblGrid>
        <w:gridCol w:w="1189"/>
        <w:gridCol w:w="844"/>
        <w:gridCol w:w="1109"/>
        <w:gridCol w:w="1109"/>
        <w:gridCol w:w="1546"/>
        <w:gridCol w:w="1029"/>
        <w:gridCol w:w="714"/>
        <w:gridCol w:w="1273"/>
        <w:gridCol w:w="1126"/>
        <w:gridCol w:w="724"/>
      </w:tblGrid>
      <w:tr w:rsidR="00CA0A01" w:rsidRPr="00EE5714" w14:paraId="54256802" w14:textId="77777777" w:rsidTr="006532D4">
        <w:trPr>
          <w:trHeight w:val="724"/>
          <w:jc w:val="center"/>
        </w:trPr>
        <w:tc>
          <w:tcPr>
            <w:tcW w:w="11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F9AE2D1"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proofErr w:type="spellStart"/>
            <w:r w:rsidRPr="00EE5714">
              <w:rPr>
                <w:rFonts w:ascii="Calibri" w:eastAsia="Times New Roman" w:hAnsi="Calibri" w:cs="Calibri"/>
                <w:b/>
                <w:bCs/>
                <w:color w:val="000000"/>
                <w:sz w:val="20"/>
                <w:szCs w:val="20"/>
              </w:rPr>
              <w:t>Penelec</w:t>
            </w:r>
            <w:proofErr w:type="spellEnd"/>
          </w:p>
        </w:tc>
        <w:tc>
          <w:tcPr>
            <w:tcW w:w="1964" w:type="dxa"/>
            <w:gridSpan w:val="2"/>
            <w:tcBorders>
              <w:top w:val="single" w:sz="4" w:space="0" w:color="auto"/>
              <w:left w:val="nil"/>
              <w:bottom w:val="single" w:sz="4" w:space="0" w:color="auto"/>
              <w:right w:val="single" w:sz="4" w:space="0" w:color="auto"/>
            </w:tcBorders>
            <w:shd w:val="clear" w:color="000000" w:fill="E7E6E6"/>
            <w:vAlign w:val="center"/>
            <w:hideMark/>
          </w:tcPr>
          <w:p w14:paraId="13FC3595"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0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4DA05DCF"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247" w:type="dxa"/>
            <w:gridSpan w:val="3"/>
            <w:tcBorders>
              <w:top w:val="single" w:sz="4" w:space="0" w:color="auto"/>
              <w:left w:val="nil"/>
              <w:bottom w:val="single" w:sz="4" w:space="0" w:color="auto"/>
              <w:right w:val="single" w:sz="4" w:space="0" w:color="auto"/>
            </w:tcBorders>
            <w:shd w:val="clear" w:color="000000" w:fill="E7E6E6"/>
            <w:vAlign w:val="center"/>
            <w:hideMark/>
          </w:tcPr>
          <w:p w14:paraId="1C3BAF62"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183" w:type="dxa"/>
            <w:gridSpan w:val="3"/>
            <w:tcBorders>
              <w:top w:val="single" w:sz="4" w:space="0" w:color="auto"/>
              <w:left w:val="nil"/>
              <w:bottom w:val="single" w:sz="4" w:space="0" w:color="auto"/>
              <w:right w:val="single" w:sz="4" w:space="0" w:color="auto"/>
            </w:tcBorders>
            <w:shd w:val="clear" w:color="000000" w:fill="E7E6E6"/>
            <w:vAlign w:val="center"/>
            <w:hideMark/>
          </w:tcPr>
          <w:p w14:paraId="38C40CA2"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CA0A01" w:rsidRPr="00EE5714" w14:paraId="152125A7" w14:textId="77777777" w:rsidTr="006532D4">
        <w:trPr>
          <w:trHeight w:val="573"/>
          <w:jc w:val="center"/>
        </w:trPr>
        <w:tc>
          <w:tcPr>
            <w:tcW w:w="1174" w:type="dxa"/>
            <w:tcBorders>
              <w:top w:val="nil"/>
              <w:left w:val="single" w:sz="4" w:space="0" w:color="auto"/>
              <w:bottom w:val="single" w:sz="4" w:space="0" w:color="auto"/>
              <w:right w:val="single" w:sz="4" w:space="0" w:color="auto"/>
            </w:tcBorders>
            <w:shd w:val="clear" w:color="000000" w:fill="E7E6E6"/>
            <w:vAlign w:val="center"/>
            <w:hideMark/>
          </w:tcPr>
          <w:p w14:paraId="3A1407AB"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65.30%</w:t>
            </w:r>
          </w:p>
        </w:tc>
        <w:tc>
          <w:tcPr>
            <w:tcW w:w="869" w:type="dxa"/>
            <w:tcBorders>
              <w:top w:val="nil"/>
              <w:left w:val="nil"/>
              <w:bottom w:val="single" w:sz="4" w:space="0" w:color="auto"/>
              <w:right w:val="single" w:sz="4" w:space="0" w:color="auto"/>
            </w:tcBorders>
            <w:shd w:val="clear" w:color="000000" w:fill="E7E6E6"/>
            <w:vAlign w:val="center"/>
            <w:hideMark/>
          </w:tcPr>
          <w:p w14:paraId="2D76F706"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095" w:type="dxa"/>
            <w:tcBorders>
              <w:top w:val="nil"/>
              <w:left w:val="nil"/>
              <w:bottom w:val="single" w:sz="4" w:space="0" w:color="auto"/>
              <w:right w:val="single" w:sz="4" w:space="0" w:color="auto"/>
            </w:tcBorders>
            <w:shd w:val="clear" w:color="000000" w:fill="E7E6E6"/>
            <w:vAlign w:val="center"/>
            <w:hideMark/>
          </w:tcPr>
          <w:p w14:paraId="47EF7B18"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095" w:type="dxa"/>
            <w:vMerge/>
            <w:tcBorders>
              <w:top w:val="single" w:sz="4" w:space="0" w:color="auto"/>
              <w:left w:val="single" w:sz="4" w:space="0" w:color="auto"/>
              <w:bottom w:val="single" w:sz="4" w:space="0" w:color="auto"/>
              <w:right w:val="single" w:sz="4" w:space="0" w:color="auto"/>
            </w:tcBorders>
            <w:vAlign w:val="center"/>
            <w:hideMark/>
          </w:tcPr>
          <w:p w14:paraId="4952205C" w14:textId="77777777" w:rsidR="00CA0A01" w:rsidRPr="00EE5714" w:rsidRDefault="00CA0A01" w:rsidP="00CA0A01">
            <w:pPr>
              <w:keepNext/>
              <w:spacing w:after="0" w:line="240" w:lineRule="auto"/>
              <w:rPr>
                <w:rFonts w:ascii="Calibri" w:eastAsia="Times New Roman" w:hAnsi="Calibri" w:cs="Calibri"/>
                <w:b/>
                <w:bCs/>
                <w:color w:val="000000"/>
                <w:sz w:val="20"/>
                <w:szCs w:val="20"/>
              </w:rPr>
            </w:pPr>
          </w:p>
        </w:tc>
        <w:tc>
          <w:tcPr>
            <w:tcW w:w="2542" w:type="dxa"/>
            <w:gridSpan w:val="2"/>
            <w:tcBorders>
              <w:top w:val="single" w:sz="4" w:space="0" w:color="auto"/>
              <w:left w:val="nil"/>
              <w:bottom w:val="single" w:sz="4" w:space="0" w:color="auto"/>
              <w:right w:val="single" w:sz="4" w:space="0" w:color="auto"/>
            </w:tcBorders>
            <w:shd w:val="clear" w:color="000000" w:fill="E7E6E6"/>
            <w:vAlign w:val="center"/>
            <w:hideMark/>
          </w:tcPr>
          <w:p w14:paraId="6EB03EB0"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05" w:type="dxa"/>
            <w:tcBorders>
              <w:top w:val="nil"/>
              <w:left w:val="nil"/>
              <w:bottom w:val="single" w:sz="4" w:space="0" w:color="auto"/>
              <w:right w:val="single" w:sz="4" w:space="0" w:color="auto"/>
            </w:tcBorders>
            <w:shd w:val="clear" w:color="000000" w:fill="E7E6E6"/>
            <w:vAlign w:val="center"/>
            <w:hideMark/>
          </w:tcPr>
          <w:p w14:paraId="7A61DAE6"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456" w:type="dxa"/>
            <w:gridSpan w:val="2"/>
            <w:tcBorders>
              <w:top w:val="single" w:sz="4" w:space="0" w:color="auto"/>
              <w:left w:val="nil"/>
              <w:bottom w:val="single" w:sz="4" w:space="0" w:color="auto"/>
              <w:right w:val="single" w:sz="4" w:space="0" w:color="auto"/>
            </w:tcBorders>
            <w:shd w:val="clear" w:color="000000" w:fill="E7E6E6"/>
            <w:vAlign w:val="center"/>
            <w:hideMark/>
          </w:tcPr>
          <w:p w14:paraId="1717983A"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26" w:type="dxa"/>
            <w:tcBorders>
              <w:top w:val="nil"/>
              <w:left w:val="nil"/>
              <w:bottom w:val="single" w:sz="4" w:space="0" w:color="auto"/>
              <w:right w:val="single" w:sz="4" w:space="0" w:color="auto"/>
            </w:tcBorders>
            <w:shd w:val="clear" w:color="000000" w:fill="E7E6E6"/>
            <w:vAlign w:val="center"/>
            <w:hideMark/>
          </w:tcPr>
          <w:p w14:paraId="7F37A77B"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CA0A01" w:rsidRPr="00EE5714" w14:paraId="5995A92C" w14:textId="77777777" w:rsidTr="006532D4">
        <w:trPr>
          <w:trHeight w:val="302"/>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33AE36D5"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189,949</w:t>
            </w:r>
          </w:p>
        </w:tc>
        <w:tc>
          <w:tcPr>
            <w:tcW w:w="869" w:type="dxa"/>
            <w:tcBorders>
              <w:top w:val="nil"/>
              <w:left w:val="nil"/>
              <w:bottom w:val="single" w:sz="4" w:space="0" w:color="auto"/>
              <w:right w:val="single" w:sz="4" w:space="0" w:color="auto"/>
            </w:tcBorders>
            <w:shd w:val="clear" w:color="auto" w:fill="auto"/>
            <w:vAlign w:val="center"/>
            <w:hideMark/>
          </w:tcPr>
          <w:p w14:paraId="3D7A67F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32.6%</w:t>
            </w:r>
          </w:p>
        </w:tc>
        <w:tc>
          <w:tcPr>
            <w:tcW w:w="1095" w:type="dxa"/>
            <w:tcBorders>
              <w:top w:val="nil"/>
              <w:left w:val="nil"/>
              <w:bottom w:val="single" w:sz="4" w:space="0" w:color="auto"/>
              <w:right w:val="single" w:sz="4" w:space="0" w:color="auto"/>
            </w:tcBorders>
            <w:shd w:val="clear" w:color="auto" w:fill="auto"/>
            <w:vAlign w:val="center"/>
            <w:hideMark/>
          </w:tcPr>
          <w:p w14:paraId="1BF244D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48DAF5"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5E04A877"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1016" w:type="dxa"/>
            <w:tcBorders>
              <w:top w:val="nil"/>
              <w:left w:val="nil"/>
              <w:bottom w:val="single" w:sz="4" w:space="0" w:color="auto"/>
              <w:right w:val="single" w:sz="4" w:space="0" w:color="auto"/>
            </w:tcBorders>
            <w:shd w:val="clear" w:color="auto" w:fill="auto"/>
            <w:vAlign w:val="center"/>
            <w:hideMark/>
          </w:tcPr>
          <w:p w14:paraId="73BFD7A9"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85,594</w:t>
            </w:r>
          </w:p>
        </w:tc>
        <w:tc>
          <w:tcPr>
            <w:tcW w:w="705" w:type="dxa"/>
            <w:tcBorders>
              <w:top w:val="nil"/>
              <w:left w:val="nil"/>
              <w:bottom w:val="single" w:sz="4" w:space="0" w:color="auto"/>
              <w:right w:val="single" w:sz="4" w:space="0" w:color="auto"/>
            </w:tcBorders>
            <w:shd w:val="clear" w:color="auto" w:fill="auto"/>
            <w:vAlign w:val="center"/>
            <w:hideMark/>
          </w:tcPr>
          <w:p w14:paraId="21C166F5"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6.1%</w:t>
            </w:r>
          </w:p>
        </w:tc>
        <w:tc>
          <w:tcPr>
            <w:tcW w:w="1344" w:type="dxa"/>
            <w:tcBorders>
              <w:top w:val="nil"/>
              <w:left w:val="nil"/>
              <w:bottom w:val="single" w:sz="4" w:space="0" w:color="auto"/>
              <w:right w:val="single" w:sz="4" w:space="0" w:color="auto"/>
            </w:tcBorders>
            <w:shd w:val="clear" w:color="auto" w:fill="auto"/>
            <w:vAlign w:val="center"/>
            <w:hideMark/>
          </w:tcPr>
          <w:p w14:paraId="13978286"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111" w:type="dxa"/>
            <w:tcBorders>
              <w:top w:val="nil"/>
              <w:left w:val="nil"/>
              <w:bottom w:val="single" w:sz="4" w:space="0" w:color="auto"/>
              <w:right w:val="single" w:sz="4" w:space="0" w:color="auto"/>
            </w:tcBorders>
            <w:shd w:val="clear" w:color="auto" w:fill="auto"/>
            <w:vAlign w:val="center"/>
            <w:hideMark/>
          </w:tcPr>
          <w:p w14:paraId="36770707"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74,921</w:t>
            </w:r>
          </w:p>
        </w:tc>
        <w:tc>
          <w:tcPr>
            <w:tcW w:w="726" w:type="dxa"/>
            <w:tcBorders>
              <w:top w:val="nil"/>
              <w:left w:val="nil"/>
              <w:bottom w:val="single" w:sz="4" w:space="0" w:color="auto"/>
              <w:right w:val="single" w:sz="4" w:space="0" w:color="auto"/>
            </w:tcBorders>
            <w:shd w:val="clear" w:color="auto" w:fill="auto"/>
            <w:vAlign w:val="center"/>
            <w:hideMark/>
          </w:tcPr>
          <w:p w14:paraId="0F5561CD"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12.7%</w:t>
            </w:r>
          </w:p>
        </w:tc>
      </w:tr>
      <w:tr w:rsidR="00CA0A01" w:rsidRPr="00EE5714" w14:paraId="5D11CE12" w14:textId="77777777" w:rsidTr="006532D4">
        <w:trPr>
          <w:trHeight w:val="302"/>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5D87E38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82,882</w:t>
            </w:r>
          </w:p>
        </w:tc>
        <w:tc>
          <w:tcPr>
            <w:tcW w:w="869" w:type="dxa"/>
            <w:tcBorders>
              <w:top w:val="nil"/>
              <w:left w:val="nil"/>
              <w:bottom w:val="single" w:sz="4" w:space="0" w:color="auto"/>
              <w:right w:val="single" w:sz="4" w:space="0" w:color="auto"/>
            </w:tcBorders>
            <w:shd w:val="clear" w:color="auto" w:fill="auto"/>
            <w:vAlign w:val="center"/>
            <w:hideMark/>
          </w:tcPr>
          <w:p w14:paraId="4131D857"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14.2%</w:t>
            </w:r>
          </w:p>
        </w:tc>
        <w:tc>
          <w:tcPr>
            <w:tcW w:w="1095" w:type="dxa"/>
            <w:tcBorders>
              <w:top w:val="nil"/>
              <w:left w:val="nil"/>
              <w:bottom w:val="single" w:sz="4" w:space="0" w:color="auto"/>
              <w:right w:val="single" w:sz="4" w:space="0" w:color="auto"/>
            </w:tcBorders>
            <w:shd w:val="clear" w:color="auto" w:fill="auto"/>
            <w:vAlign w:val="center"/>
            <w:hideMark/>
          </w:tcPr>
          <w:p w14:paraId="304550F5"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6E3F8830" w14:textId="77777777" w:rsidR="00CA0A01" w:rsidRPr="00EE5714" w:rsidRDefault="00CA0A01" w:rsidP="00CA0A01">
            <w:pPr>
              <w:keepNext/>
              <w:spacing w:after="0" w:line="240" w:lineRule="auto"/>
              <w:rPr>
                <w:rFonts w:ascii="Calibri" w:eastAsia="Times New Roman" w:hAnsi="Calibri" w:cs="Calibri"/>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16589AB1"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1016" w:type="dxa"/>
            <w:tcBorders>
              <w:top w:val="nil"/>
              <w:left w:val="nil"/>
              <w:bottom w:val="single" w:sz="4" w:space="0" w:color="auto"/>
              <w:right w:val="single" w:sz="4" w:space="0" w:color="auto"/>
            </w:tcBorders>
            <w:shd w:val="clear" w:color="auto" w:fill="auto"/>
            <w:vAlign w:val="center"/>
            <w:hideMark/>
          </w:tcPr>
          <w:p w14:paraId="60333883"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124,857</w:t>
            </w:r>
          </w:p>
        </w:tc>
        <w:tc>
          <w:tcPr>
            <w:tcW w:w="705" w:type="dxa"/>
            <w:tcBorders>
              <w:top w:val="nil"/>
              <w:left w:val="nil"/>
              <w:bottom w:val="single" w:sz="4" w:space="0" w:color="auto"/>
              <w:right w:val="single" w:sz="4" w:space="0" w:color="auto"/>
            </w:tcBorders>
            <w:shd w:val="clear" w:color="auto" w:fill="auto"/>
            <w:vAlign w:val="center"/>
            <w:hideMark/>
          </w:tcPr>
          <w:p w14:paraId="280BECF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8.9%</w:t>
            </w:r>
          </w:p>
        </w:tc>
        <w:tc>
          <w:tcPr>
            <w:tcW w:w="1344" w:type="dxa"/>
            <w:tcBorders>
              <w:top w:val="nil"/>
              <w:left w:val="nil"/>
              <w:bottom w:val="single" w:sz="4" w:space="0" w:color="auto"/>
              <w:right w:val="single" w:sz="4" w:space="0" w:color="auto"/>
            </w:tcBorders>
            <w:shd w:val="clear" w:color="auto" w:fill="auto"/>
            <w:vAlign w:val="center"/>
            <w:hideMark/>
          </w:tcPr>
          <w:p w14:paraId="6C8F2888"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111" w:type="dxa"/>
            <w:tcBorders>
              <w:top w:val="nil"/>
              <w:left w:val="nil"/>
              <w:bottom w:val="single" w:sz="4" w:space="0" w:color="auto"/>
              <w:right w:val="single" w:sz="4" w:space="0" w:color="auto"/>
            </w:tcBorders>
            <w:shd w:val="clear" w:color="auto" w:fill="auto"/>
            <w:vAlign w:val="center"/>
            <w:hideMark/>
          </w:tcPr>
          <w:p w14:paraId="4B12D0F5"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74,694</w:t>
            </w:r>
          </w:p>
        </w:tc>
        <w:tc>
          <w:tcPr>
            <w:tcW w:w="726" w:type="dxa"/>
            <w:tcBorders>
              <w:top w:val="nil"/>
              <w:left w:val="nil"/>
              <w:bottom w:val="single" w:sz="4" w:space="0" w:color="auto"/>
              <w:right w:val="single" w:sz="4" w:space="0" w:color="auto"/>
            </w:tcBorders>
            <w:shd w:val="clear" w:color="auto" w:fill="auto"/>
            <w:vAlign w:val="center"/>
            <w:hideMark/>
          </w:tcPr>
          <w:p w14:paraId="2BE7220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12.7%</w:t>
            </w:r>
          </w:p>
        </w:tc>
      </w:tr>
      <w:tr w:rsidR="00CA0A01" w:rsidRPr="00EE5714" w14:paraId="37ECF560" w14:textId="77777777" w:rsidTr="006532D4">
        <w:trPr>
          <w:trHeight w:val="302"/>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0F1B6CB9"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64,392</w:t>
            </w:r>
          </w:p>
        </w:tc>
        <w:tc>
          <w:tcPr>
            <w:tcW w:w="869" w:type="dxa"/>
            <w:tcBorders>
              <w:top w:val="nil"/>
              <w:left w:val="nil"/>
              <w:bottom w:val="single" w:sz="4" w:space="0" w:color="auto"/>
              <w:right w:val="single" w:sz="4" w:space="0" w:color="auto"/>
            </w:tcBorders>
            <w:shd w:val="clear" w:color="auto" w:fill="auto"/>
            <w:vAlign w:val="center"/>
            <w:hideMark/>
          </w:tcPr>
          <w:p w14:paraId="2A26A311"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11.0%</w:t>
            </w:r>
          </w:p>
        </w:tc>
        <w:tc>
          <w:tcPr>
            <w:tcW w:w="1095" w:type="dxa"/>
            <w:tcBorders>
              <w:top w:val="nil"/>
              <w:left w:val="nil"/>
              <w:bottom w:val="single" w:sz="4" w:space="0" w:color="auto"/>
              <w:right w:val="single" w:sz="4" w:space="0" w:color="auto"/>
            </w:tcBorders>
            <w:shd w:val="clear" w:color="auto" w:fill="auto"/>
            <w:vAlign w:val="center"/>
            <w:hideMark/>
          </w:tcPr>
          <w:p w14:paraId="274A7CF3"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6FA82B79" w14:textId="77777777" w:rsidR="00CA0A01" w:rsidRPr="00EE5714" w:rsidRDefault="00CA0A01" w:rsidP="00CA0A01">
            <w:pPr>
              <w:keepNext/>
              <w:spacing w:after="0" w:line="240" w:lineRule="auto"/>
              <w:rPr>
                <w:rFonts w:ascii="Calibri" w:eastAsia="Times New Roman" w:hAnsi="Calibri" w:cs="Calibri"/>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2198BFD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1016" w:type="dxa"/>
            <w:tcBorders>
              <w:top w:val="nil"/>
              <w:left w:val="nil"/>
              <w:bottom w:val="single" w:sz="4" w:space="0" w:color="auto"/>
              <w:right w:val="single" w:sz="4" w:space="0" w:color="auto"/>
            </w:tcBorders>
            <w:shd w:val="clear" w:color="auto" w:fill="auto"/>
            <w:vAlign w:val="center"/>
            <w:hideMark/>
          </w:tcPr>
          <w:p w14:paraId="7C0355F7"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70,731</w:t>
            </w:r>
          </w:p>
        </w:tc>
        <w:tc>
          <w:tcPr>
            <w:tcW w:w="705" w:type="dxa"/>
            <w:tcBorders>
              <w:top w:val="nil"/>
              <w:left w:val="nil"/>
              <w:bottom w:val="single" w:sz="4" w:space="0" w:color="auto"/>
              <w:right w:val="single" w:sz="4" w:space="0" w:color="auto"/>
            </w:tcBorders>
            <w:shd w:val="clear" w:color="auto" w:fill="auto"/>
            <w:vAlign w:val="center"/>
            <w:hideMark/>
          </w:tcPr>
          <w:p w14:paraId="2705E8E8"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w:t>
            </w:r>
          </w:p>
        </w:tc>
        <w:tc>
          <w:tcPr>
            <w:tcW w:w="1344" w:type="dxa"/>
            <w:tcBorders>
              <w:top w:val="nil"/>
              <w:left w:val="nil"/>
              <w:bottom w:val="single" w:sz="4" w:space="0" w:color="auto"/>
              <w:right w:val="single" w:sz="4" w:space="0" w:color="auto"/>
            </w:tcBorders>
            <w:shd w:val="clear" w:color="auto" w:fill="auto"/>
            <w:vAlign w:val="center"/>
            <w:hideMark/>
          </w:tcPr>
          <w:p w14:paraId="28C4CFA5"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111" w:type="dxa"/>
            <w:tcBorders>
              <w:top w:val="nil"/>
              <w:left w:val="nil"/>
              <w:bottom w:val="single" w:sz="4" w:space="0" w:color="auto"/>
              <w:right w:val="single" w:sz="4" w:space="0" w:color="auto"/>
            </w:tcBorders>
            <w:shd w:val="clear" w:color="auto" w:fill="auto"/>
            <w:vAlign w:val="center"/>
            <w:hideMark/>
          </w:tcPr>
          <w:p w14:paraId="215EABBC"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68,316</w:t>
            </w:r>
          </w:p>
        </w:tc>
        <w:tc>
          <w:tcPr>
            <w:tcW w:w="726" w:type="dxa"/>
            <w:tcBorders>
              <w:top w:val="nil"/>
              <w:left w:val="nil"/>
              <w:bottom w:val="single" w:sz="4" w:space="0" w:color="auto"/>
              <w:right w:val="single" w:sz="4" w:space="0" w:color="auto"/>
            </w:tcBorders>
            <w:shd w:val="clear" w:color="auto" w:fill="auto"/>
            <w:vAlign w:val="center"/>
            <w:hideMark/>
          </w:tcPr>
          <w:p w14:paraId="47EF0704"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11.6%</w:t>
            </w:r>
          </w:p>
        </w:tc>
      </w:tr>
      <w:tr w:rsidR="00CA0A01" w:rsidRPr="00EE5714" w14:paraId="62DDE86F" w14:textId="77777777" w:rsidTr="006532D4">
        <w:trPr>
          <w:trHeight w:val="302"/>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188E444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27,632</w:t>
            </w:r>
          </w:p>
        </w:tc>
        <w:tc>
          <w:tcPr>
            <w:tcW w:w="869" w:type="dxa"/>
            <w:tcBorders>
              <w:top w:val="nil"/>
              <w:left w:val="nil"/>
              <w:bottom w:val="single" w:sz="4" w:space="0" w:color="auto"/>
              <w:right w:val="single" w:sz="4" w:space="0" w:color="auto"/>
            </w:tcBorders>
            <w:shd w:val="clear" w:color="auto" w:fill="auto"/>
            <w:vAlign w:val="center"/>
            <w:hideMark/>
          </w:tcPr>
          <w:p w14:paraId="24DF5BC6"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w:t>
            </w:r>
          </w:p>
        </w:tc>
        <w:tc>
          <w:tcPr>
            <w:tcW w:w="1095" w:type="dxa"/>
            <w:tcBorders>
              <w:top w:val="nil"/>
              <w:left w:val="nil"/>
              <w:bottom w:val="single" w:sz="4" w:space="0" w:color="auto"/>
              <w:right w:val="single" w:sz="4" w:space="0" w:color="auto"/>
            </w:tcBorders>
            <w:shd w:val="clear" w:color="auto" w:fill="auto"/>
            <w:vAlign w:val="center"/>
            <w:hideMark/>
          </w:tcPr>
          <w:p w14:paraId="27D082F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053BFA06" w14:textId="77777777" w:rsidR="00CA0A01" w:rsidRPr="00EE5714" w:rsidRDefault="00CA0A01" w:rsidP="00CA0A01">
            <w:pPr>
              <w:keepNext/>
              <w:spacing w:after="0" w:line="240" w:lineRule="auto"/>
              <w:rPr>
                <w:rFonts w:ascii="Calibri" w:eastAsia="Times New Roman" w:hAnsi="Calibri" w:cs="Calibri"/>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68F35A92"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1016" w:type="dxa"/>
            <w:tcBorders>
              <w:top w:val="nil"/>
              <w:left w:val="nil"/>
              <w:bottom w:val="single" w:sz="4" w:space="0" w:color="auto"/>
              <w:right w:val="single" w:sz="4" w:space="0" w:color="auto"/>
            </w:tcBorders>
            <w:shd w:val="clear" w:color="auto" w:fill="auto"/>
            <w:vAlign w:val="center"/>
            <w:hideMark/>
          </w:tcPr>
          <w:p w14:paraId="5AE67B3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75,459</w:t>
            </w:r>
          </w:p>
        </w:tc>
        <w:tc>
          <w:tcPr>
            <w:tcW w:w="705" w:type="dxa"/>
            <w:tcBorders>
              <w:top w:val="nil"/>
              <w:left w:val="nil"/>
              <w:bottom w:val="single" w:sz="4" w:space="0" w:color="auto"/>
              <w:right w:val="single" w:sz="4" w:space="0" w:color="auto"/>
            </w:tcBorders>
            <w:shd w:val="clear" w:color="auto" w:fill="auto"/>
            <w:vAlign w:val="center"/>
            <w:hideMark/>
          </w:tcPr>
          <w:p w14:paraId="5710CCB5"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w:t>
            </w:r>
          </w:p>
        </w:tc>
        <w:tc>
          <w:tcPr>
            <w:tcW w:w="1344" w:type="dxa"/>
            <w:tcBorders>
              <w:top w:val="nil"/>
              <w:left w:val="nil"/>
              <w:bottom w:val="single" w:sz="4" w:space="0" w:color="auto"/>
              <w:right w:val="single" w:sz="4" w:space="0" w:color="auto"/>
            </w:tcBorders>
            <w:shd w:val="clear" w:color="auto" w:fill="auto"/>
            <w:vAlign w:val="center"/>
            <w:hideMark/>
          </w:tcPr>
          <w:p w14:paraId="3A8A27A7"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111" w:type="dxa"/>
            <w:tcBorders>
              <w:top w:val="nil"/>
              <w:left w:val="nil"/>
              <w:bottom w:val="single" w:sz="4" w:space="0" w:color="auto"/>
              <w:right w:val="single" w:sz="4" w:space="0" w:color="auto"/>
            </w:tcBorders>
            <w:shd w:val="clear" w:color="auto" w:fill="auto"/>
            <w:vAlign w:val="center"/>
            <w:hideMark/>
          </w:tcPr>
          <w:p w14:paraId="611FFAB9"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88,825</w:t>
            </w:r>
          </w:p>
        </w:tc>
        <w:tc>
          <w:tcPr>
            <w:tcW w:w="726" w:type="dxa"/>
            <w:tcBorders>
              <w:top w:val="nil"/>
              <w:left w:val="nil"/>
              <w:bottom w:val="single" w:sz="4" w:space="0" w:color="auto"/>
              <w:right w:val="single" w:sz="4" w:space="0" w:color="auto"/>
            </w:tcBorders>
            <w:shd w:val="clear" w:color="auto" w:fill="auto"/>
            <w:vAlign w:val="center"/>
            <w:hideMark/>
          </w:tcPr>
          <w:p w14:paraId="22E268D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15.1%</w:t>
            </w:r>
          </w:p>
        </w:tc>
      </w:tr>
      <w:tr w:rsidR="00CA0A01" w:rsidRPr="00EE5714" w14:paraId="7E5492BD" w14:textId="77777777" w:rsidTr="006532D4">
        <w:trPr>
          <w:trHeight w:val="302"/>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762AD7B7"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9,627</w:t>
            </w:r>
          </w:p>
        </w:tc>
        <w:tc>
          <w:tcPr>
            <w:tcW w:w="869" w:type="dxa"/>
            <w:tcBorders>
              <w:top w:val="nil"/>
              <w:left w:val="nil"/>
              <w:bottom w:val="single" w:sz="4" w:space="0" w:color="auto"/>
              <w:right w:val="single" w:sz="4" w:space="0" w:color="auto"/>
            </w:tcBorders>
            <w:shd w:val="clear" w:color="auto" w:fill="auto"/>
            <w:vAlign w:val="center"/>
            <w:hideMark/>
          </w:tcPr>
          <w:p w14:paraId="64A28F2C"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w:t>
            </w:r>
          </w:p>
        </w:tc>
        <w:tc>
          <w:tcPr>
            <w:tcW w:w="1095" w:type="dxa"/>
            <w:tcBorders>
              <w:top w:val="nil"/>
              <w:left w:val="nil"/>
              <w:bottom w:val="single" w:sz="4" w:space="0" w:color="auto"/>
              <w:right w:val="single" w:sz="4" w:space="0" w:color="auto"/>
            </w:tcBorders>
            <w:shd w:val="clear" w:color="auto" w:fill="auto"/>
            <w:vAlign w:val="center"/>
            <w:hideMark/>
          </w:tcPr>
          <w:p w14:paraId="4B5B8963"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11B28537" w14:textId="77777777" w:rsidR="00CA0A01" w:rsidRPr="00EE5714" w:rsidRDefault="00CA0A01" w:rsidP="00CA0A01">
            <w:pPr>
              <w:keepNext/>
              <w:spacing w:after="0" w:line="240" w:lineRule="auto"/>
              <w:rPr>
                <w:rFonts w:ascii="Calibri" w:eastAsia="Times New Roman" w:hAnsi="Calibri" w:cs="Calibri"/>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08AD583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1016" w:type="dxa"/>
            <w:tcBorders>
              <w:top w:val="nil"/>
              <w:left w:val="nil"/>
              <w:bottom w:val="single" w:sz="4" w:space="0" w:color="auto"/>
              <w:right w:val="single" w:sz="4" w:space="0" w:color="auto"/>
            </w:tcBorders>
            <w:shd w:val="clear" w:color="auto" w:fill="auto"/>
            <w:vAlign w:val="center"/>
            <w:hideMark/>
          </w:tcPr>
          <w:p w14:paraId="7D1CEEA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103,382</w:t>
            </w:r>
          </w:p>
        </w:tc>
        <w:tc>
          <w:tcPr>
            <w:tcW w:w="705" w:type="dxa"/>
            <w:tcBorders>
              <w:top w:val="nil"/>
              <w:left w:val="nil"/>
              <w:bottom w:val="single" w:sz="4" w:space="0" w:color="auto"/>
              <w:right w:val="single" w:sz="4" w:space="0" w:color="auto"/>
            </w:tcBorders>
            <w:shd w:val="clear" w:color="auto" w:fill="auto"/>
            <w:vAlign w:val="center"/>
            <w:hideMark/>
          </w:tcPr>
          <w:p w14:paraId="59FD1007"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7.4%</w:t>
            </w:r>
          </w:p>
        </w:tc>
        <w:tc>
          <w:tcPr>
            <w:tcW w:w="1344" w:type="dxa"/>
            <w:tcBorders>
              <w:top w:val="nil"/>
              <w:left w:val="nil"/>
              <w:bottom w:val="single" w:sz="4" w:space="0" w:color="auto"/>
              <w:right w:val="single" w:sz="4" w:space="0" w:color="auto"/>
            </w:tcBorders>
            <w:shd w:val="clear" w:color="auto" w:fill="auto"/>
            <w:vAlign w:val="center"/>
            <w:hideMark/>
          </w:tcPr>
          <w:p w14:paraId="5C5CCAC3"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111" w:type="dxa"/>
            <w:tcBorders>
              <w:top w:val="nil"/>
              <w:left w:val="nil"/>
              <w:bottom w:val="single" w:sz="4" w:space="0" w:color="auto"/>
              <w:right w:val="single" w:sz="4" w:space="0" w:color="auto"/>
            </w:tcBorders>
            <w:shd w:val="clear" w:color="auto" w:fill="auto"/>
            <w:vAlign w:val="center"/>
            <w:hideMark/>
          </w:tcPr>
          <w:p w14:paraId="6EDB7C18"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115,741</w:t>
            </w:r>
          </w:p>
        </w:tc>
        <w:tc>
          <w:tcPr>
            <w:tcW w:w="726" w:type="dxa"/>
            <w:tcBorders>
              <w:top w:val="nil"/>
              <w:left w:val="nil"/>
              <w:bottom w:val="single" w:sz="4" w:space="0" w:color="auto"/>
              <w:right w:val="single" w:sz="4" w:space="0" w:color="auto"/>
            </w:tcBorders>
            <w:shd w:val="clear" w:color="auto" w:fill="auto"/>
            <w:vAlign w:val="center"/>
            <w:hideMark/>
          </w:tcPr>
          <w:p w14:paraId="75349C14"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19.7%</w:t>
            </w:r>
          </w:p>
        </w:tc>
      </w:tr>
      <w:tr w:rsidR="00CA0A01" w:rsidRPr="00EE5714" w14:paraId="5E9BD68D" w14:textId="77777777" w:rsidTr="006532D4">
        <w:trPr>
          <w:trHeight w:val="302"/>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0D8E5705"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6,171</w:t>
            </w:r>
          </w:p>
        </w:tc>
        <w:tc>
          <w:tcPr>
            <w:tcW w:w="869" w:type="dxa"/>
            <w:tcBorders>
              <w:top w:val="nil"/>
              <w:left w:val="nil"/>
              <w:bottom w:val="single" w:sz="4" w:space="0" w:color="auto"/>
              <w:right w:val="single" w:sz="4" w:space="0" w:color="auto"/>
            </w:tcBorders>
            <w:shd w:val="clear" w:color="auto" w:fill="auto"/>
            <w:vAlign w:val="center"/>
            <w:hideMark/>
          </w:tcPr>
          <w:p w14:paraId="28AD261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w:t>
            </w:r>
          </w:p>
        </w:tc>
        <w:tc>
          <w:tcPr>
            <w:tcW w:w="1095" w:type="dxa"/>
            <w:tcBorders>
              <w:top w:val="nil"/>
              <w:left w:val="nil"/>
              <w:bottom w:val="single" w:sz="4" w:space="0" w:color="auto"/>
              <w:right w:val="single" w:sz="4" w:space="0" w:color="auto"/>
            </w:tcBorders>
            <w:shd w:val="clear" w:color="auto" w:fill="auto"/>
            <w:vAlign w:val="center"/>
            <w:hideMark/>
          </w:tcPr>
          <w:p w14:paraId="159C3BCC"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25AEADFE" w14:textId="77777777" w:rsidR="00CA0A01" w:rsidRPr="00EE5714" w:rsidRDefault="00CA0A01" w:rsidP="00CA0A01">
            <w:pPr>
              <w:keepNext/>
              <w:spacing w:after="0" w:line="240" w:lineRule="auto"/>
              <w:rPr>
                <w:rFonts w:ascii="Calibri" w:eastAsia="Times New Roman" w:hAnsi="Calibri" w:cs="Calibri"/>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3955BB8C"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1016" w:type="dxa"/>
            <w:tcBorders>
              <w:top w:val="nil"/>
              <w:left w:val="nil"/>
              <w:bottom w:val="single" w:sz="4" w:space="0" w:color="auto"/>
              <w:right w:val="single" w:sz="4" w:space="0" w:color="auto"/>
            </w:tcBorders>
            <w:shd w:val="clear" w:color="auto" w:fill="auto"/>
            <w:vAlign w:val="center"/>
            <w:hideMark/>
          </w:tcPr>
          <w:p w14:paraId="2908AE45"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44,388</w:t>
            </w:r>
          </w:p>
        </w:tc>
        <w:tc>
          <w:tcPr>
            <w:tcW w:w="705" w:type="dxa"/>
            <w:tcBorders>
              <w:top w:val="nil"/>
              <w:left w:val="nil"/>
              <w:bottom w:val="single" w:sz="4" w:space="0" w:color="auto"/>
              <w:right w:val="single" w:sz="4" w:space="0" w:color="auto"/>
            </w:tcBorders>
            <w:shd w:val="clear" w:color="auto" w:fill="auto"/>
            <w:vAlign w:val="center"/>
            <w:hideMark/>
          </w:tcPr>
          <w:p w14:paraId="4D1260B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w:t>
            </w:r>
          </w:p>
        </w:tc>
        <w:tc>
          <w:tcPr>
            <w:tcW w:w="1344" w:type="dxa"/>
            <w:tcBorders>
              <w:top w:val="nil"/>
              <w:left w:val="nil"/>
              <w:bottom w:val="single" w:sz="4" w:space="0" w:color="auto"/>
              <w:right w:val="single" w:sz="4" w:space="0" w:color="auto"/>
            </w:tcBorders>
            <w:shd w:val="clear" w:color="auto" w:fill="auto"/>
            <w:vAlign w:val="center"/>
            <w:hideMark/>
          </w:tcPr>
          <w:p w14:paraId="55140EB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111" w:type="dxa"/>
            <w:tcBorders>
              <w:top w:val="nil"/>
              <w:left w:val="nil"/>
              <w:bottom w:val="single" w:sz="4" w:space="0" w:color="auto"/>
              <w:right w:val="single" w:sz="4" w:space="0" w:color="auto"/>
            </w:tcBorders>
            <w:shd w:val="clear" w:color="auto" w:fill="auto"/>
            <w:vAlign w:val="center"/>
            <w:hideMark/>
          </w:tcPr>
          <w:p w14:paraId="7D844C1A"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70,989</w:t>
            </w:r>
          </w:p>
        </w:tc>
        <w:tc>
          <w:tcPr>
            <w:tcW w:w="726" w:type="dxa"/>
            <w:tcBorders>
              <w:top w:val="nil"/>
              <w:left w:val="nil"/>
              <w:bottom w:val="single" w:sz="4" w:space="0" w:color="auto"/>
              <w:right w:val="single" w:sz="4" w:space="0" w:color="auto"/>
            </w:tcBorders>
            <w:shd w:val="clear" w:color="auto" w:fill="auto"/>
            <w:vAlign w:val="center"/>
            <w:hideMark/>
          </w:tcPr>
          <w:p w14:paraId="57687D4D"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12.1%</w:t>
            </w:r>
          </w:p>
        </w:tc>
      </w:tr>
      <w:tr w:rsidR="00CA0A01" w:rsidRPr="00EE5714" w14:paraId="1ACA0299" w14:textId="77777777" w:rsidTr="006532D4">
        <w:trPr>
          <w:trHeight w:val="302"/>
          <w:jc w:val="center"/>
        </w:trPr>
        <w:tc>
          <w:tcPr>
            <w:tcW w:w="1174" w:type="dxa"/>
            <w:tcBorders>
              <w:top w:val="nil"/>
              <w:left w:val="single" w:sz="4" w:space="0" w:color="auto"/>
              <w:bottom w:val="single" w:sz="4" w:space="0" w:color="auto"/>
              <w:right w:val="single" w:sz="4" w:space="0" w:color="auto"/>
            </w:tcBorders>
            <w:shd w:val="clear" w:color="000000" w:fill="E7E6E6"/>
            <w:vAlign w:val="center"/>
            <w:hideMark/>
          </w:tcPr>
          <w:p w14:paraId="1B82C86D"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34.70%</w:t>
            </w:r>
          </w:p>
        </w:tc>
        <w:tc>
          <w:tcPr>
            <w:tcW w:w="869" w:type="dxa"/>
            <w:tcBorders>
              <w:top w:val="nil"/>
              <w:left w:val="nil"/>
              <w:bottom w:val="single" w:sz="4" w:space="0" w:color="auto"/>
              <w:right w:val="single" w:sz="4" w:space="0" w:color="auto"/>
            </w:tcBorders>
            <w:shd w:val="clear" w:color="000000" w:fill="E7E6E6"/>
            <w:vAlign w:val="center"/>
            <w:hideMark/>
          </w:tcPr>
          <w:p w14:paraId="034FB1FA"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190"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236B7606"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6C9B927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1016" w:type="dxa"/>
            <w:tcBorders>
              <w:top w:val="nil"/>
              <w:left w:val="nil"/>
              <w:bottom w:val="single" w:sz="4" w:space="0" w:color="auto"/>
              <w:right w:val="single" w:sz="4" w:space="0" w:color="auto"/>
            </w:tcBorders>
            <w:shd w:val="clear" w:color="auto" w:fill="auto"/>
            <w:vAlign w:val="center"/>
            <w:hideMark/>
          </w:tcPr>
          <w:p w14:paraId="274F6269"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896,218</w:t>
            </w:r>
          </w:p>
        </w:tc>
        <w:tc>
          <w:tcPr>
            <w:tcW w:w="705" w:type="dxa"/>
            <w:tcBorders>
              <w:top w:val="nil"/>
              <w:left w:val="nil"/>
              <w:bottom w:val="single" w:sz="4" w:space="0" w:color="auto"/>
              <w:right w:val="single" w:sz="4" w:space="0" w:color="auto"/>
            </w:tcBorders>
            <w:shd w:val="clear" w:color="auto" w:fill="auto"/>
            <w:vAlign w:val="center"/>
            <w:hideMark/>
          </w:tcPr>
          <w:p w14:paraId="2B7F1503"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64.0%</w:t>
            </w:r>
          </w:p>
        </w:tc>
        <w:tc>
          <w:tcPr>
            <w:tcW w:w="1344" w:type="dxa"/>
            <w:tcBorders>
              <w:top w:val="nil"/>
              <w:left w:val="nil"/>
              <w:bottom w:val="single" w:sz="4" w:space="0" w:color="auto"/>
              <w:right w:val="single" w:sz="4" w:space="0" w:color="auto"/>
            </w:tcBorders>
            <w:shd w:val="clear" w:color="auto" w:fill="auto"/>
            <w:vAlign w:val="center"/>
            <w:hideMark/>
          </w:tcPr>
          <w:p w14:paraId="4555D6C7"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111" w:type="dxa"/>
            <w:tcBorders>
              <w:top w:val="nil"/>
              <w:left w:val="nil"/>
              <w:bottom w:val="single" w:sz="4" w:space="0" w:color="auto"/>
              <w:right w:val="single" w:sz="4" w:space="0" w:color="auto"/>
            </w:tcBorders>
            <w:shd w:val="clear" w:color="auto" w:fill="auto"/>
            <w:vAlign w:val="center"/>
            <w:hideMark/>
          </w:tcPr>
          <w:p w14:paraId="091D5D19"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64,699</w:t>
            </w:r>
          </w:p>
        </w:tc>
        <w:tc>
          <w:tcPr>
            <w:tcW w:w="726" w:type="dxa"/>
            <w:tcBorders>
              <w:top w:val="nil"/>
              <w:left w:val="nil"/>
              <w:bottom w:val="single" w:sz="4" w:space="0" w:color="auto"/>
              <w:right w:val="single" w:sz="4" w:space="0" w:color="auto"/>
            </w:tcBorders>
            <w:shd w:val="clear" w:color="auto" w:fill="auto"/>
            <w:vAlign w:val="center"/>
            <w:hideMark/>
          </w:tcPr>
          <w:p w14:paraId="46894287"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11.0%</w:t>
            </w:r>
          </w:p>
        </w:tc>
      </w:tr>
      <w:tr w:rsidR="00CA0A01" w:rsidRPr="00EE5714" w14:paraId="226F9858" w14:textId="77777777" w:rsidTr="006532D4">
        <w:trPr>
          <w:trHeight w:val="302"/>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52D25AF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169,244</w:t>
            </w:r>
          </w:p>
        </w:tc>
        <w:tc>
          <w:tcPr>
            <w:tcW w:w="869" w:type="dxa"/>
            <w:tcBorders>
              <w:top w:val="nil"/>
              <w:left w:val="nil"/>
              <w:bottom w:val="single" w:sz="4" w:space="0" w:color="auto"/>
              <w:right w:val="single" w:sz="4" w:space="0" w:color="auto"/>
            </w:tcBorders>
            <w:shd w:val="clear" w:color="auto" w:fill="auto"/>
            <w:vAlign w:val="center"/>
            <w:hideMark/>
          </w:tcPr>
          <w:p w14:paraId="6AF9404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29.0%</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722B4C2"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097D6AB2"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29.0%</w:t>
            </w:r>
          </w:p>
        </w:tc>
        <w:tc>
          <w:tcPr>
            <w:tcW w:w="1526" w:type="dxa"/>
            <w:tcBorders>
              <w:top w:val="nil"/>
              <w:left w:val="nil"/>
              <w:bottom w:val="single" w:sz="4" w:space="0" w:color="auto"/>
              <w:right w:val="single" w:sz="4" w:space="0" w:color="auto"/>
            </w:tcBorders>
            <w:shd w:val="clear" w:color="auto" w:fill="auto"/>
            <w:vAlign w:val="center"/>
            <w:hideMark/>
          </w:tcPr>
          <w:p w14:paraId="2B72D7A7"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16" w:type="dxa"/>
            <w:tcBorders>
              <w:top w:val="nil"/>
              <w:left w:val="nil"/>
              <w:bottom w:val="single" w:sz="4" w:space="0" w:color="auto"/>
              <w:right w:val="single" w:sz="4" w:space="0" w:color="auto"/>
            </w:tcBorders>
            <w:shd w:val="clear" w:color="auto" w:fill="auto"/>
            <w:vAlign w:val="center"/>
            <w:hideMark/>
          </w:tcPr>
          <w:p w14:paraId="6FC7E2DA"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1,400,629</w:t>
            </w:r>
          </w:p>
        </w:tc>
        <w:tc>
          <w:tcPr>
            <w:tcW w:w="705" w:type="dxa"/>
            <w:tcBorders>
              <w:top w:val="nil"/>
              <w:left w:val="nil"/>
              <w:bottom w:val="single" w:sz="4" w:space="0" w:color="auto"/>
              <w:right w:val="single" w:sz="4" w:space="0" w:color="auto"/>
            </w:tcBorders>
            <w:shd w:val="clear" w:color="auto" w:fill="auto"/>
            <w:vAlign w:val="center"/>
            <w:hideMark/>
          </w:tcPr>
          <w:p w14:paraId="6256C672"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44" w:type="dxa"/>
            <w:tcBorders>
              <w:top w:val="nil"/>
              <w:left w:val="nil"/>
              <w:bottom w:val="single" w:sz="4" w:space="0" w:color="auto"/>
              <w:right w:val="single" w:sz="4" w:space="0" w:color="auto"/>
            </w:tcBorders>
            <w:shd w:val="clear" w:color="auto" w:fill="auto"/>
            <w:vAlign w:val="center"/>
            <w:hideMark/>
          </w:tcPr>
          <w:p w14:paraId="3607E9FE"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111" w:type="dxa"/>
            <w:tcBorders>
              <w:top w:val="nil"/>
              <w:left w:val="nil"/>
              <w:bottom w:val="single" w:sz="4" w:space="0" w:color="auto"/>
              <w:right w:val="single" w:sz="4" w:space="0" w:color="auto"/>
            </w:tcBorders>
            <w:shd w:val="clear" w:color="auto" w:fill="auto"/>
            <w:vAlign w:val="center"/>
            <w:hideMark/>
          </w:tcPr>
          <w:p w14:paraId="68A8824C"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16,742</w:t>
            </w:r>
          </w:p>
        </w:tc>
        <w:tc>
          <w:tcPr>
            <w:tcW w:w="726" w:type="dxa"/>
            <w:tcBorders>
              <w:top w:val="nil"/>
              <w:left w:val="nil"/>
              <w:bottom w:val="single" w:sz="4" w:space="0" w:color="auto"/>
              <w:right w:val="single" w:sz="4" w:space="0" w:color="auto"/>
            </w:tcBorders>
            <w:shd w:val="clear" w:color="auto" w:fill="auto"/>
            <w:vAlign w:val="center"/>
            <w:hideMark/>
          </w:tcPr>
          <w:p w14:paraId="239B9353"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w:t>
            </w:r>
          </w:p>
        </w:tc>
      </w:tr>
      <w:tr w:rsidR="00CA0A01" w:rsidRPr="00EE5714" w14:paraId="21B1A829" w14:textId="77777777" w:rsidTr="006532D4">
        <w:trPr>
          <w:trHeight w:val="302"/>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2E341C7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27,439</w:t>
            </w:r>
          </w:p>
        </w:tc>
        <w:tc>
          <w:tcPr>
            <w:tcW w:w="869" w:type="dxa"/>
            <w:tcBorders>
              <w:top w:val="nil"/>
              <w:left w:val="nil"/>
              <w:bottom w:val="single" w:sz="4" w:space="0" w:color="auto"/>
              <w:right w:val="single" w:sz="4" w:space="0" w:color="auto"/>
            </w:tcBorders>
            <w:shd w:val="clear" w:color="auto" w:fill="auto"/>
            <w:vAlign w:val="center"/>
            <w:hideMark/>
          </w:tcPr>
          <w:p w14:paraId="2035F447"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w:t>
            </w:r>
          </w:p>
        </w:tc>
        <w:tc>
          <w:tcPr>
            <w:tcW w:w="1095" w:type="dxa"/>
            <w:tcBorders>
              <w:top w:val="nil"/>
              <w:left w:val="nil"/>
              <w:bottom w:val="single" w:sz="4" w:space="0" w:color="auto"/>
              <w:right w:val="single" w:sz="4" w:space="0" w:color="auto"/>
            </w:tcBorders>
            <w:shd w:val="clear" w:color="auto" w:fill="auto"/>
            <w:vAlign w:val="center"/>
            <w:hideMark/>
          </w:tcPr>
          <w:p w14:paraId="50E90DDA"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95" w:type="dxa"/>
            <w:tcBorders>
              <w:top w:val="nil"/>
              <w:left w:val="nil"/>
              <w:bottom w:val="single" w:sz="4" w:space="0" w:color="auto"/>
              <w:right w:val="single" w:sz="4" w:space="0" w:color="auto"/>
            </w:tcBorders>
            <w:shd w:val="clear" w:color="auto" w:fill="auto"/>
            <w:vAlign w:val="center"/>
            <w:hideMark/>
          </w:tcPr>
          <w:p w14:paraId="17C537A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37.3%</w:t>
            </w:r>
          </w:p>
        </w:tc>
        <w:tc>
          <w:tcPr>
            <w:tcW w:w="324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3F55BF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44" w:type="dxa"/>
            <w:tcBorders>
              <w:top w:val="nil"/>
              <w:left w:val="single" w:sz="4" w:space="0" w:color="auto"/>
              <w:bottom w:val="single" w:sz="4" w:space="0" w:color="auto"/>
              <w:right w:val="single" w:sz="4" w:space="0" w:color="auto"/>
            </w:tcBorders>
            <w:shd w:val="clear" w:color="auto" w:fill="auto"/>
            <w:vAlign w:val="center"/>
            <w:hideMark/>
          </w:tcPr>
          <w:p w14:paraId="76D4BE3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111" w:type="dxa"/>
            <w:tcBorders>
              <w:top w:val="nil"/>
              <w:left w:val="nil"/>
              <w:bottom w:val="single" w:sz="4" w:space="0" w:color="auto"/>
              <w:right w:val="single" w:sz="4" w:space="0" w:color="auto"/>
            </w:tcBorders>
            <w:shd w:val="clear" w:color="auto" w:fill="auto"/>
            <w:vAlign w:val="center"/>
            <w:hideMark/>
          </w:tcPr>
          <w:p w14:paraId="5A92D88A"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13,867</w:t>
            </w:r>
          </w:p>
        </w:tc>
        <w:tc>
          <w:tcPr>
            <w:tcW w:w="726" w:type="dxa"/>
            <w:tcBorders>
              <w:top w:val="nil"/>
              <w:left w:val="nil"/>
              <w:bottom w:val="single" w:sz="4" w:space="0" w:color="auto"/>
              <w:right w:val="single" w:sz="4" w:space="0" w:color="auto"/>
            </w:tcBorders>
            <w:shd w:val="clear" w:color="auto" w:fill="auto"/>
            <w:vAlign w:val="center"/>
            <w:hideMark/>
          </w:tcPr>
          <w:p w14:paraId="4E8A10C1"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w:t>
            </w:r>
          </w:p>
        </w:tc>
      </w:tr>
      <w:tr w:rsidR="00CA0A01" w:rsidRPr="00EE5714" w14:paraId="5D468E9E" w14:textId="77777777" w:rsidTr="006532D4">
        <w:trPr>
          <w:trHeight w:val="513"/>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378D03E3"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3,589</w:t>
            </w:r>
          </w:p>
        </w:tc>
        <w:tc>
          <w:tcPr>
            <w:tcW w:w="869" w:type="dxa"/>
            <w:tcBorders>
              <w:top w:val="nil"/>
              <w:left w:val="nil"/>
              <w:bottom w:val="single" w:sz="4" w:space="0" w:color="auto"/>
              <w:right w:val="single" w:sz="4" w:space="0" w:color="auto"/>
            </w:tcBorders>
            <w:shd w:val="clear" w:color="auto" w:fill="auto"/>
            <w:vAlign w:val="center"/>
            <w:hideMark/>
          </w:tcPr>
          <w:p w14:paraId="37DAF0E2"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095" w:type="dxa"/>
            <w:tcBorders>
              <w:top w:val="nil"/>
              <w:left w:val="nil"/>
              <w:bottom w:val="single" w:sz="4" w:space="0" w:color="auto"/>
              <w:right w:val="single" w:sz="4" w:space="0" w:color="auto"/>
            </w:tcBorders>
            <w:shd w:val="clear" w:color="auto" w:fill="auto"/>
            <w:vAlign w:val="center"/>
            <w:hideMark/>
          </w:tcPr>
          <w:p w14:paraId="6557EAA3"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95" w:type="dxa"/>
            <w:tcBorders>
              <w:top w:val="nil"/>
              <w:left w:val="nil"/>
              <w:bottom w:val="single" w:sz="4" w:space="0" w:color="auto"/>
              <w:right w:val="single" w:sz="4" w:space="0" w:color="auto"/>
            </w:tcBorders>
            <w:shd w:val="clear" w:color="auto" w:fill="auto"/>
            <w:vAlign w:val="center"/>
            <w:hideMark/>
          </w:tcPr>
          <w:p w14:paraId="78D1559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14.8%</w:t>
            </w:r>
          </w:p>
        </w:tc>
        <w:tc>
          <w:tcPr>
            <w:tcW w:w="1526" w:type="dxa"/>
            <w:tcBorders>
              <w:top w:val="single" w:sz="4" w:space="0" w:color="auto"/>
              <w:left w:val="nil"/>
              <w:bottom w:val="single" w:sz="4" w:space="0" w:color="auto"/>
              <w:right w:val="single" w:sz="4" w:space="0" w:color="auto"/>
            </w:tcBorders>
            <w:shd w:val="clear" w:color="000000" w:fill="E7E6E6"/>
            <w:vAlign w:val="center"/>
            <w:hideMark/>
          </w:tcPr>
          <w:p w14:paraId="11CC7A2A"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1016" w:type="dxa"/>
            <w:tcBorders>
              <w:top w:val="single" w:sz="4" w:space="0" w:color="auto"/>
              <w:left w:val="nil"/>
              <w:bottom w:val="single" w:sz="4" w:space="0" w:color="auto"/>
              <w:right w:val="single" w:sz="4" w:space="0" w:color="auto"/>
            </w:tcBorders>
            <w:shd w:val="clear" w:color="000000" w:fill="E7E6E6"/>
            <w:vAlign w:val="center"/>
            <w:hideMark/>
          </w:tcPr>
          <w:p w14:paraId="6C7752AE"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05" w:type="dxa"/>
            <w:tcBorders>
              <w:top w:val="single" w:sz="4" w:space="0" w:color="auto"/>
              <w:left w:val="nil"/>
              <w:bottom w:val="single" w:sz="4" w:space="0" w:color="auto"/>
              <w:right w:val="single" w:sz="4" w:space="0" w:color="auto"/>
            </w:tcBorders>
            <w:shd w:val="clear" w:color="000000" w:fill="E7E6E6"/>
            <w:vAlign w:val="center"/>
            <w:hideMark/>
          </w:tcPr>
          <w:p w14:paraId="38ABCA9B"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344" w:type="dxa"/>
            <w:tcBorders>
              <w:top w:val="nil"/>
              <w:left w:val="nil"/>
              <w:bottom w:val="single" w:sz="4" w:space="0" w:color="auto"/>
              <w:right w:val="single" w:sz="4" w:space="0" w:color="auto"/>
            </w:tcBorders>
            <w:shd w:val="clear" w:color="auto" w:fill="auto"/>
            <w:vAlign w:val="center"/>
            <w:hideMark/>
          </w:tcPr>
          <w:p w14:paraId="31887DA4"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11" w:type="dxa"/>
            <w:tcBorders>
              <w:top w:val="nil"/>
              <w:left w:val="nil"/>
              <w:bottom w:val="single" w:sz="4" w:space="0" w:color="auto"/>
              <w:right w:val="single" w:sz="4" w:space="0" w:color="auto"/>
            </w:tcBorders>
            <w:shd w:val="clear" w:color="auto" w:fill="auto"/>
            <w:vAlign w:val="center"/>
            <w:hideMark/>
          </w:tcPr>
          <w:p w14:paraId="5C48D48B"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588,794</w:t>
            </w:r>
          </w:p>
        </w:tc>
        <w:tc>
          <w:tcPr>
            <w:tcW w:w="726" w:type="dxa"/>
            <w:tcBorders>
              <w:top w:val="nil"/>
              <w:left w:val="nil"/>
              <w:bottom w:val="single" w:sz="4" w:space="0" w:color="auto"/>
              <w:right w:val="single" w:sz="4" w:space="0" w:color="auto"/>
            </w:tcBorders>
            <w:shd w:val="clear" w:color="auto" w:fill="auto"/>
            <w:vAlign w:val="center"/>
            <w:hideMark/>
          </w:tcPr>
          <w:p w14:paraId="710EBBC6"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CA0A01" w:rsidRPr="00EE5714" w14:paraId="4736EB28" w14:textId="77777777" w:rsidTr="006532D4">
        <w:trPr>
          <w:trHeight w:val="302"/>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76DA2E9E"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1,707</w:t>
            </w:r>
          </w:p>
        </w:tc>
        <w:tc>
          <w:tcPr>
            <w:tcW w:w="869" w:type="dxa"/>
            <w:tcBorders>
              <w:top w:val="nil"/>
              <w:left w:val="nil"/>
              <w:bottom w:val="single" w:sz="4" w:space="0" w:color="auto"/>
              <w:right w:val="single" w:sz="4" w:space="0" w:color="auto"/>
            </w:tcBorders>
            <w:shd w:val="clear" w:color="auto" w:fill="auto"/>
            <w:vAlign w:val="center"/>
            <w:hideMark/>
          </w:tcPr>
          <w:p w14:paraId="2B3B60D4"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095" w:type="dxa"/>
            <w:tcBorders>
              <w:top w:val="nil"/>
              <w:left w:val="nil"/>
              <w:bottom w:val="single" w:sz="4" w:space="0" w:color="auto"/>
              <w:right w:val="single" w:sz="4" w:space="0" w:color="auto"/>
            </w:tcBorders>
            <w:shd w:val="clear" w:color="auto" w:fill="auto"/>
            <w:vAlign w:val="center"/>
            <w:hideMark/>
          </w:tcPr>
          <w:p w14:paraId="1FFE818E"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95" w:type="dxa"/>
            <w:tcBorders>
              <w:top w:val="nil"/>
              <w:left w:val="nil"/>
              <w:bottom w:val="single" w:sz="4" w:space="0" w:color="auto"/>
              <w:right w:val="single" w:sz="4" w:space="0" w:color="auto"/>
            </w:tcBorders>
            <w:shd w:val="clear" w:color="auto" w:fill="auto"/>
            <w:vAlign w:val="center"/>
            <w:hideMark/>
          </w:tcPr>
          <w:p w14:paraId="01BCE494"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11.3%</w:t>
            </w:r>
          </w:p>
        </w:tc>
        <w:tc>
          <w:tcPr>
            <w:tcW w:w="1526" w:type="dxa"/>
            <w:tcBorders>
              <w:top w:val="nil"/>
              <w:left w:val="nil"/>
              <w:bottom w:val="single" w:sz="4" w:space="0" w:color="auto"/>
              <w:right w:val="single" w:sz="4" w:space="0" w:color="auto"/>
            </w:tcBorders>
            <w:shd w:val="clear" w:color="auto" w:fill="auto"/>
            <w:vAlign w:val="center"/>
            <w:hideMark/>
          </w:tcPr>
          <w:p w14:paraId="4699B9E3"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1016" w:type="dxa"/>
            <w:tcBorders>
              <w:top w:val="nil"/>
              <w:left w:val="nil"/>
              <w:bottom w:val="single" w:sz="4" w:space="0" w:color="auto"/>
              <w:right w:val="single" w:sz="4" w:space="0" w:color="auto"/>
            </w:tcBorders>
            <w:shd w:val="clear" w:color="auto" w:fill="auto"/>
            <w:vAlign w:val="center"/>
            <w:hideMark/>
          </w:tcPr>
          <w:p w14:paraId="127D152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278,187</w:t>
            </w:r>
          </w:p>
        </w:tc>
        <w:tc>
          <w:tcPr>
            <w:tcW w:w="705" w:type="dxa"/>
            <w:tcBorders>
              <w:top w:val="nil"/>
              <w:left w:val="nil"/>
              <w:bottom w:val="single" w:sz="4" w:space="0" w:color="auto"/>
              <w:right w:val="single" w:sz="4" w:space="0" w:color="auto"/>
            </w:tcBorders>
            <w:shd w:val="clear" w:color="auto" w:fill="auto"/>
            <w:vAlign w:val="center"/>
            <w:hideMark/>
          </w:tcPr>
          <w:p w14:paraId="63A25CC7"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47.7%</w:t>
            </w:r>
          </w:p>
        </w:tc>
        <w:tc>
          <w:tcPr>
            <w:tcW w:w="1344" w:type="dxa"/>
            <w:tcBorders>
              <w:top w:val="nil"/>
              <w:left w:val="nil"/>
              <w:bottom w:val="single" w:sz="4" w:space="0" w:color="auto"/>
              <w:right w:val="single" w:sz="4" w:space="0" w:color="auto"/>
            </w:tcBorders>
            <w:shd w:val="clear" w:color="auto" w:fill="auto"/>
            <w:vAlign w:val="center"/>
            <w:hideMark/>
          </w:tcPr>
          <w:p w14:paraId="66CE1AAD"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111" w:type="dxa"/>
            <w:tcBorders>
              <w:top w:val="nil"/>
              <w:left w:val="nil"/>
              <w:bottom w:val="single" w:sz="4" w:space="0" w:color="auto"/>
              <w:right w:val="single" w:sz="4" w:space="0" w:color="auto"/>
            </w:tcBorders>
            <w:shd w:val="clear" w:color="auto" w:fill="auto"/>
            <w:vAlign w:val="center"/>
            <w:hideMark/>
          </w:tcPr>
          <w:p w14:paraId="0BE25DA1"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$47,283</w:t>
            </w:r>
          </w:p>
        </w:tc>
        <w:tc>
          <w:tcPr>
            <w:tcW w:w="726" w:type="dxa"/>
            <w:tcBorders>
              <w:top w:val="nil"/>
              <w:left w:val="nil"/>
              <w:bottom w:val="single" w:sz="4" w:space="0" w:color="auto"/>
              <w:right w:val="single" w:sz="4" w:space="0" w:color="auto"/>
            </w:tcBorders>
            <w:shd w:val="clear" w:color="auto" w:fill="auto"/>
            <w:vAlign w:val="center"/>
            <w:hideMark/>
          </w:tcPr>
          <w:p w14:paraId="062EA9D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CA0A01" w:rsidRPr="00EE5714" w14:paraId="0CF5F911" w14:textId="77777777" w:rsidTr="006532D4">
        <w:trPr>
          <w:trHeight w:val="513"/>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20E84B01"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402</w:t>
            </w:r>
          </w:p>
        </w:tc>
        <w:tc>
          <w:tcPr>
            <w:tcW w:w="869" w:type="dxa"/>
            <w:tcBorders>
              <w:top w:val="nil"/>
              <w:left w:val="nil"/>
              <w:bottom w:val="single" w:sz="4" w:space="0" w:color="auto"/>
              <w:right w:val="single" w:sz="4" w:space="0" w:color="auto"/>
            </w:tcBorders>
            <w:shd w:val="clear" w:color="auto" w:fill="auto"/>
            <w:vAlign w:val="center"/>
            <w:hideMark/>
          </w:tcPr>
          <w:p w14:paraId="0A92274E"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095" w:type="dxa"/>
            <w:tcBorders>
              <w:top w:val="nil"/>
              <w:left w:val="nil"/>
              <w:bottom w:val="single" w:sz="4" w:space="0" w:color="auto"/>
              <w:right w:val="single" w:sz="4" w:space="0" w:color="auto"/>
            </w:tcBorders>
            <w:shd w:val="clear" w:color="auto" w:fill="auto"/>
            <w:vAlign w:val="center"/>
            <w:hideMark/>
          </w:tcPr>
          <w:p w14:paraId="23FA88D2"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95" w:type="dxa"/>
            <w:tcBorders>
              <w:top w:val="nil"/>
              <w:left w:val="nil"/>
              <w:bottom w:val="single" w:sz="4" w:space="0" w:color="auto"/>
              <w:right w:val="single" w:sz="4" w:space="0" w:color="auto"/>
            </w:tcBorders>
            <w:shd w:val="clear" w:color="auto" w:fill="auto"/>
            <w:vAlign w:val="center"/>
            <w:hideMark/>
          </w:tcPr>
          <w:p w14:paraId="5D5F9D94"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w:t>
            </w:r>
          </w:p>
        </w:tc>
        <w:tc>
          <w:tcPr>
            <w:tcW w:w="1526" w:type="dxa"/>
            <w:tcBorders>
              <w:top w:val="nil"/>
              <w:left w:val="nil"/>
              <w:bottom w:val="single" w:sz="4" w:space="0" w:color="auto"/>
              <w:right w:val="single" w:sz="4" w:space="0" w:color="auto"/>
            </w:tcBorders>
            <w:shd w:val="clear" w:color="auto" w:fill="auto"/>
            <w:vAlign w:val="center"/>
            <w:hideMark/>
          </w:tcPr>
          <w:p w14:paraId="382D26E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1016" w:type="dxa"/>
            <w:tcBorders>
              <w:top w:val="nil"/>
              <w:left w:val="nil"/>
              <w:bottom w:val="single" w:sz="4" w:space="0" w:color="auto"/>
              <w:right w:val="single" w:sz="4" w:space="0" w:color="auto"/>
            </w:tcBorders>
            <w:shd w:val="clear" w:color="auto" w:fill="auto"/>
            <w:vAlign w:val="center"/>
            <w:hideMark/>
          </w:tcPr>
          <w:p w14:paraId="373B7571"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31,432</w:t>
            </w:r>
          </w:p>
        </w:tc>
        <w:tc>
          <w:tcPr>
            <w:tcW w:w="705" w:type="dxa"/>
            <w:tcBorders>
              <w:top w:val="nil"/>
              <w:left w:val="nil"/>
              <w:bottom w:val="single" w:sz="4" w:space="0" w:color="auto"/>
              <w:right w:val="single" w:sz="4" w:space="0" w:color="auto"/>
            </w:tcBorders>
            <w:shd w:val="clear" w:color="auto" w:fill="auto"/>
            <w:vAlign w:val="center"/>
            <w:hideMark/>
          </w:tcPr>
          <w:p w14:paraId="7F1548FD"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w:t>
            </w:r>
          </w:p>
        </w:tc>
        <w:tc>
          <w:tcPr>
            <w:tcW w:w="1344" w:type="dxa"/>
            <w:tcBorders>
              <w:top w:val="nil"/>
              <w:left w:val="nil"/>
              <w:bottom w:val="single" w:sz="4" w:space="0" w:color="auto"/>
              <w:right w:val="single" w:sz="4" w:space="0" w:color="auto"/>
            </w:tcBorders>
            <w:shd w:val="clear" w:color="auto" w:fill="auto"/>
            <w:vAlign w:val="center"/>
            <w:hideMark/>
          </w:tcPr>
          <w:p w14:paraId="6E9E030D"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111" w:type="dxa"/>
            <w:tcBorders>
              <w:top w:val="nil"/>
              <w:left w:val="nil"/>
              <w:bottom w:val="single" w:sz="4" w:space="0" w:color="auto"/>
              <w:right w:val="single" w:sz="4" w:space="0" w:color="auto"/>
            </w:tcBorders>
            <w:shd w:val="clear" w:color="auto" w:fill="auto"/>
            <w:vAlign w:val="center"/>
            <w:hideMark/>
          </w:tcPr>
          <w:p w14:paraId="3EE7EE5A"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$62,173</w:t>
            </w:r>
          </w:p>
        </w:tc>
        <w:tc>
          <w:tcPr>
            <w:tcW w:w="726" w:type="dxa"/>
            <w:tcBorders>
              <w:top w:val="nil"/>
              <w:left w:val="nil"/>
              <w:bottom w:val="single" w:sz="4" w:space="0" w:color="auto"/>
              <w:right w:val="single" w:sz="4" w:space="0" w:color="auto"/>
            </w:tcBorders>
            <w:shd w:val="clear" w:color="auto" w:fill="auto"/>
            <w:vAlign w:val="center"/>
            <w:hideMark/>
          </w:tcPr>
          <w:p w14:paraId="62AFCA6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CA0A01" w:rsidRPr="00EE5714" w14:paraId="30893652" w14:textId="77777777" w:rsidTr="006532D4">
        <w:trPr>
          <w:trHeight w:val="302"/>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5360B48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41</w:t>
            </w:r>
          </w:p>
        </w:tc>
        <w:tc>
          <w:tcPr>
            <w:tcW w:w="869" w:type="dxa"/>
            <w:tcBorders>
              <w:top w:val="nil"/>
              <w:left w:val="nil"/>
              <w:bottom w:val="single" w:sz="4" w:space="0" w:color="auto"/>
              <w:right w:val="single" w:sz="4" w:space="0" w:color="auto"/>
            </w:tcBorders>
            <w:shd w:val="clear" w:color="auto" w:fill="auto"/>
            <w:vAlign w:val="center"/>
            <w:hideMark/>
          </w:tcPr>
          <w:p w14:paraId="3FF97C99"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5" w:type="dxa"/>
            <w:tcBorders>
              <w:top w:val="nil"/>
              <w:left w:val="nil"/>
              <w:bottom w:val="single" w:sz="4" w:space="0" w:color="auto"/>
              <w:right w:val="single" w:sz="4" w:space="0" w:color="auto"/>
            </w:tcBorders>
            <w:shd w:val="clear" w:color="auto" w:fill="auto"/>
            <w:vAlign w:val="center"/>
            <w:hideMark/>
          </w:tcPr>
          <w:p w14:paraId="612DDB36"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95" w:type="dxa"/>
            <w:tcBorders>
              <w:top w:val="nil"/>
              <w:left w:val="nil"/>
              <w:bottom w:val="single" w:sz="4" w:space="0" w:color="auto"/>
              <w:right w:val="single" w:sz="4" w:space="0" w:color="auto"/>
            </w:tcBorders>
            <w:shd w:val="clear" w:color="auto" w:fill="auto"/>
            <w:vAlign w:val="center"/>
            <w:hideMark/>
          </w:tcPr>
          <w:p w14:paraId="373F9A75"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w:t>
            </w:r>
          </w:p>
        </w:tc>
        <w:tc>
          <w:tcPr>
            <w:tcW w:w="1526" w:type="dxa"/>
            <w:tcBorders>
              <w:top w:val="nil"/>
              <w:left w:val="nil"/>
              <w:bottom w:val="single" w:sz="4" w:space="0" w:color="auto"/>
              <w:right w:val="single" w:sz="4" w:space="0" w:color="auto"/>
            </w:tcBorders>
            <w:shd w:val="clear" w:color="auto" w:fill="auto"/>
            <w:vAlign w:val="center"/>
            <w:hideMark/>
          </w:tcPr>
          <w:p w14:paraId="1E154D4D"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1016" w:type="dxa"/>
            <w:tcBorders>
              <w:top w:val="nil"/>
              <w:left w:val="nil"/>
              <w:bottom w:val="single" w:sz="4" w:space="0" w:color="auto"/>
              <w:right w:val="single" w:sz="4" w:space="0" w:color="auto"/>
            </w:tcBorders>
            <w:shd w:val="clear" w:color="auto" w:fill="auto"/>
            <w:vAlign w:val="center"/>
            <w:hideMark/>
          </w:tcPr>
          <w:p w14:paraId="324351CC"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77,576</w:t>
            </w:r>
          </w:p>
        </w:tc>
        <w:tc>
          <w:tcPr>
            <w:tcW w:w="705" w:type="dxa"/>
            <w:tcBorders>
              <w:top w:val="nil"/>
              <w:left w:val="nil"/>
              <w:bottom w:val="single" w:sz="4" w:space="0" w:color="auto"/>
              <w:right w:val="single" w:sz="4" w:space="0" w:color="auto"/>
            </w:tcBorders>
            <w:shd w:val="clear" w:color="auto" w:fill="auto"/>
            <w:vAlign w:val="center"/>
            <w:hideMark/>
          </w:tcPr>
          <w:p w14:paraId="5BA5DC3E"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13.3%</w:t>
            </w:r>
          </w:p>
        </w:tc>
        <w:tc>
          <w:tcPr>
            <w:tcW w:w="1344" w:type="dxa"/>
            <w:tcBorders>
              <w:top w:val="nil"/>
              <w:left w:val="nil"/>
              <w:bottom w:val="single" w:sz="4" w:space="0" w:color="auto"/>
              <w:right w:val="single" w:sz="4" w:space="0" w:color="auto"/>
            </w:tcBorders>
            <w:shd w:val="clear" w:color="auto" w:fill="auto"/>
            <w:vAlign w:val="center"/>
            <w:hideMark/>
          </w:tcPr>
          <w:p w14:paraId="04FF2E43"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111" w:type="dxa"/>
            <w:tcBorders>
              <w:top w:val="nil"/>
              <w:left w:val="nil"/>
              <w:bottom w:val="single" w:sz="4" w:space="0" w:color="auto"/>
              <w:right w:val="single" w:sz="4" w:space="0" w:color="auto"/>
            </w:tcBorders>
            <w:shd w:val="clear" w:color="auto" w:fill="auto"/>
            <w:vAlign w:val="center"/>
            <w:hideMark/>
          </w:tcPr>
          <w:p w14:paraId="4C9E7DD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$25,492</w:t>
            </w:r>
          </w:p>
        </w:tc>
        <w:tc>
          <w:tcPr>
            <w:tcW w:w="726" w:type="dxa"/>
            <w:tcBorders>
              <w:top w:val="nil"/>
              <w:left w:val="nil"/>
              <w:bottom w:val="single" w:sz="4" w:space="0" w:color="auto"/>
              <w:right w:val="single" w:sz="4" w:space="0" w:color="auto"/>
            </w:tcBorders>
            <w:shd w:val="clear" w:color="auto" w:fill="auto"/>
            <w:vAlign w:val="center"/>
            <w:hideMark/>
          </w:tcPr>
          <w:p w14:paraId="774F1944"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CA0A01" w:rsidRPr="00EE5714" w14:paraId="6F68D9BD" w14:textId="77777777" w:rsidTr="006532D4">
        <w:trPr>
          <w:trHeight w:val="513"/>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1AF5C1EE"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60</w:t>
            </w:r>
          </w:p>
        </w:tc>
        <w:tc>
          <w:tcPr>
            <w:tcW w:w="869" w:type="dxa"/>
            <w:tcBorders>
              <w:top w:val="nil"/>
              <w:left w:val="nil"/>
              <w:bottom w:val="single" w:sz="4" w:space="0" w:color="auto"/>
              <w:right w:val="single" w:sz="4" w:space="0" w:color="auto"/>
            </w:tcBorders>
            <w:shd w:val="clear" w:color="auto" w:fill="auto"/>
            <w:vAlign w:val="center"/>
            <w:hideMark/>
          </w:tcPr>
          <w:p w14:paraId="611D8EA4"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5" w:type="dxa"/>
            <w:tcBorders>
              <w:top w:val="nil"/>
              <w:left w:val="nil"/>
              <w:bottom w:val="single" w:sz="4" w:space="0" w:color="auto"/>
              <w:right w:val="single" w:sz="4" w:space="0" w:color="auto"/>
            </w:tcBorders>
            <w:shd w:val="clear" w:color="auto" w:fill="auto"/>
            <w:vAlign w:val="center"/>
            <w:hideMark/>
          </w:tcPr>
          <w:p w14:paraId="45F618D9"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95" w:type="dxa"/>
            <w:tcBorders>
              <w:top w:val="nil"/>
              <w:left w:val="nil"/>
              <w:bottom w:val="single" w:sz="4" w:space="0" w:color="auto"/>
              <w:right w:val="single" w:sz="4" w:space="0" w:color="auto"/>
            </w:tcBorders>
            <w:shd w:val="clear" w:color="auto" w:fill="auto"/>
            <w:vAlign w:val="center"/>
            <w:hideMark/>
          </w:tcPr>
          <w:p w14:paraId="0D240C8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w:t>
            </w:r>
          </w:p>
        </w:tc>
        <w:tc>
          <w:tcPr>
            <w:tcW w:w="1526" w:type="dxa"/>
            <w:tcBorders>
              <w:top w:val="nil"/>
              <w:left w:val="nil"/>
              <w:bottom w:val="single" w:sz="4" w:space="0" w:color="auto"/>
              <w:right w:val="single" w:sz="4" w:space="0" w:color="auto"/>
            </w:tcBorders>
            <w:shd w:val="clear" w:color="auto" w:fill="auto"/>
            <w:vAlign w:val="center"/>
            <w:hideMark/>
          </w:tcPr>
          <w:p w14:paraId="3B02879E"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1016" w:type="dxa"/>
            <w:tcBorders>
              <w:top w:val="nil"/>
              <w:left w:val="nil"/>
              <w:bottom w:val="single" w:sz="4" w:space="0" w:color="auto"/>
              <w:right w:val="single" w:sz="4" w:space="0" w:color="auto"/>
            </w:tcBorders>
            <w:shd w:val="clear" w:color="auto" w:fill="auto"/>
            <w:vAlign w:val="center"/>
            <w:hideMark/>
          </w:tcPr>
          <w:p w14:paraId="6B197EAE"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123,687</w:t>
            </w:r>
          </w:p>
        </w:tc>
        <w:tc>
          <w:tcPr>
            <w:tcW w:w="705" w:type="dxa"/>
            <w:tcBorders>
              <w:top w:val="nil"/>
              <w:left w:val="nil"/>
              <w:bottom w:val="single" w:sz="4" w:space="0" w:color="auto"/>
              <w:right w:val="single" w:sz="4" w:space="0" w:color="auto"/>
            </w:tcBorders>
            <w:shd w:val="clear" w:color="auto" w:fill="auto"/>
            <w:vAlign w:val="center"/>
            <w:hideMark/>
          </w:tcPr>
          <w:p w14:paraId="4C1DC196"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21.2%</w:t>
            </w:r>
          </w:p>
        </w:tc>
        <w:tc>
          <w:tcPr>
            <w:tcW w:w="3183"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2C987262"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proofErr w:type="spellStart"/>
            <w:r w:rsidRPr="00EE5714">
              <w:rPr>
                <w:rFonts w:ascii="Calibri" w:eastAsia="Times New Roman" w:hAnsi="Calibri" w:cs="Calibri"/>
                <w:b/>
                <w:bCs/>
                <w:color w:val="000000"/>
                <w:sz w:val="20"/>
                <w:szCs w:val="20"/>
              </w:rPr>
              <w:t>Penelec</w:t>
            </w:r>
            <w:proofErr w:type="spellEnd"/>
            <w:r w:rsidRPr="00EE5714">
              <w:rPr>
                <w:rFonts w:ascii="Calibri" w:eastAsia="Times New Roman" w:hAnsi="Calibri" w:cs="Calibri"/>
                <w:b/>
                <w:bCs/>
                <w:color w:val="000000"/>
                <w:sz w:val="20"/>
                <w:szCs w:val="20"/>
              </w:rPr>
              <w:t xml:space="preserve"> Service Area                                            2012-2016 ACS</w:t>
            </w:r>
          </w:p>
        </w:tc>
      </w:tr>
      <w:tr w:rsidR="00CA0A01" w:rsidRPr="00EE5714" w14:paraId="5CA90EBD" w14:textId="77777777" w:rsidTr="006532D4">
        <w:trPr>
          <w:trHeight w:val="513"/>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24761415"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583,136</w:t>
            </w:r>
          </w:p>
        </w:tc>
        <w:tc>
          <w:tcPr>
            <w:tcW w:w="869" w:type="dxa"/>
            <w:tcBorders>
              <w:top w:val="nil"/>
              <w:left w:val="nil"/>
              <w:bottom w:val="single" w:sz="4" w:space="0" w:color="auto"/>
              <w:right w:val="single" w:sz="4" w:space="0" w:color="auto"/>
            </w:tcBorders>
            <w:shd w:val="clear" w:color="auto" w:fill="auto"/>
            <w:vAlign w:val="center"/>
            <w:hideMark/>
          </w:tcPr>
          <w:p w14:paraId="60ED3D2C"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vAlign w:val="center"/>
            <w:hideMark/>
          </w:tcPr>
          <w:p w14:paraId="0850AF22"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vAlign w:val="center"/>
            <w:hideMark/>
          </w:tcPr>
          <w:p w14:paraId="1A5B5F48"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6" w:type="dxa"/>
            <w:tcBorders>
              <w:top w:val="nil"/>
              <w:left w:val="nil"/>
              <w:bottom w:val="single" w:sz="4" w:space="0" w:color="auto"/>
              <w:right w:val="single" w:sz="4" w:space="0" w:color="auto"/>
            </w:tcBorders>
            <w:shd w:val="clear" w:color="auto" w:fill="auto"/>
            <w:vAlign w:val="center"/>
            <w:hideMark/>
          </w:tcPr>
          <w:p w14:paraId="3E62FBE9"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1016" w:type="dxa"/>
            <w:tcBorders>
              <w:top w:val="nil"/>
              <w:left w:val="nil"/>
              <w:bottom w:val="single" w:sz="4" w:space="0" w:color="auto"/>
              <w:right w:val="single" w:sz="4" w:space="0" w:color="auto"/>
            </w:tcBorders>
            <w:shd w:val="clear" w:color="auto" w:fill="auto"/>
            <w:vAlign w:val="center"/>
            <w:hideMark/>
          </w:tcPr>
          <w:p w14:paraId="766700A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17,676</w:t>
            </w:r>
          </w:p>
        </w:tc>
        <w:tc>
          <w:tcPr>
            <w:tcW w:w="705" w:type="dxa"/>
            <w:tcBorders>
              <w:top w:val="nil"/>
              <w:left w:val="nil"/>
              <w:bottom w:val="single" w:sz="4" w:space="0" w:color="auto"/>
              <w:right w:val="single" w:sz="4" w:space="0" w:color="auto"/>
            </w:tcBorders>
            <w:shd w:val="clear" w:color="auto" w:fill="auto"/>
            <w:vAlign w:val="center"/>
            <w:hideMark/>
          </w:tcPr>
          <w:p w14:paraId="689196F5"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w:t>
            </w:r>
          </w:p>
        </w:tc>
        <w:tc>
          <w:tcPr>
            <w:tcW w:w="1344" w:type="dxa"/>
            <w:tcBorders>
              <w:top w:val="single" w:sz="4" w:space="0" w:color="auto"/>
              <w:left w:val="nil"/>
              <w:bottom w:val="single" w:sz="4" w:space="0" w:color="auto"/>
              <w:right w:val="single" w:sz="4" w:space="0" w:color="auto"/>
            </w:tcBorders>
            <w:shd w:val="clear" w:color="000000" w:fill="E7E6E6"/>
            <w:vAlign w:val="center"/>
            <w:hideMark/>
          </w:tcPr>
          <w:p w14:paraId="34591224"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111" w:type="dxa"/>
            <w:tcBorders>
              <w:top w:val="single" w:sz="4" w:space="0" w:color="auto"/>
              <w:left w:val="nil"/>
              <w:bottom w:val="single" w:sz="4" w:space="0" w:color="auto"/>
              <w:right w:val="single" w:sz="4" w:space="0" w:color="auto"/>
            </w:tcBorders>
            <w:shd w:val="clear" w:color="000000" w:fill="E7E6E6"/>
            <w:vAlign w:val="center"/>
            <w:hideMark/>
          </w:tcPr>
          <w:p w14:paraId="5819C073"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26" w:type="dxa"/>
            <w:tcBorders>
              <w:top w:val="single" w:sz="4" w:space="0" w:color="auto"/>
              <w:left w:val="nil"/>
              <w:bottom w:val="single" w:sz="4" w:space="0" w:color="auto"/>
              <w:right w:val="single" w:sz="4" w:space="0" w:color="auto"/>
            </w:tcBorders>
            <w:shd w:val="clear" w:color="000000" w:fill="E7E6E6"/>
            <w:vAlign w:val="center"/>
            <w:hideMark/>
          </w:tcPr>
          <w:p w14:paraId="6EF8DFA7"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CA0A01" w:rsidRPr="00EE5714" w14:paraId="73D13A45" w14:textId="77777777" w:rsidTr="006532D4">
        <w:trPr>
          <w:trHeight w:val="438"/>
          <w:jc w:val="center"/>
        </w:trPr>
        <w:tc>
          <w:tcPr>
            <w:tcW w:w="4233" w:type="dxa"/>
            <w:gridSpan w:val="4"/>
            <w:tcBorders>
              <w:top w:val="single" w:sz="4" w:space="0" w:color="auto"/>
              <w:left w:val="single" w:sz="4" w:space="0" w:color="auto"/>
              <w:bottom w:val="single" w:sz="4" w:space="0" w:color="auto"/>
              <w:right w:val="single" w:sz="4" w:space="0" w:color="000000"/>
            </w:tcBorders>
            <w:shd w:val="clear" w:color="000000" w:fill="E7E6E6"/>
            <w:vAlign w:val="center"/>
            <w:hideMark/>
          </w:tcPr>
          <w:p w14:paraId="5CA75947" w14:textId="14228AB0" w:rsidR="00CA0A01" w:rsidRPr="00EE5714" w:rsidRDefault="00CA0A01" w:rsidP="00CA0A01">
            <w:pPr>
              <w:keepNext/>
              <w:spacing w:after="0" w:line="240" w:lineRule="auto"/>
              <w:jc w:val="center"/>
              <w:rPr>
                <w:rFonts w:ascii="Calibri" w:eastAsia="Times New Roman" w:hAnsi="Calibri" w:cs="Calibri"/>
                <w:b/>
                <w:bCs/>
                <w:color w:val="000000"/>
                <w:sz w:val="20"/>
                <w:szCs w:val="20"/>
              </w:rPr>
            </w:pPr>
            <w:proofErr w:type="spellStart"/>
            <w:r w:rsidRPr="00EE5714">
              <w:rPr>
                <w:rFonts w:ascii="Calibri" w:eastAsia="Times New Roman" w:hAnsi="Calibri" w:cs="Calibri"/>
                <w:b/>
                <w:bCs/>
                <w:color w:val="000000"/>
                <w:sz w:val="20"/>
                <w:szCs w:val="20"/>
              </w:rPr>
              <w:t>Penelec</w:t>
            </w:r>
            <w:proofErr w:type="spellEnd"/>
            <w:r w:rsidRPr="00EE5714">
              <w:rPr>
                <w:rFonts w:ascii="Calibri" w:eastAsia="Times New Roman" w:hAnsi="Calibri" w:cs="Calibri"/>
                <w:b/>
                <w:bCs/>
                <w:color w:val="000000"/>
                <w:sz w:val="20"/>
                <w:szCs w:val="20"/>
              </w:rPr>
              <w:t xml:space="preserve"> Service Area - 2012-2016 ACS</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1B18D2DC"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1016" w:type="dxa"/>
            <w:tcBorders>
              <w:top w:val="nil"/>
              <w:left w:val="nil"/>
              <w:bottom w:val="single" w:sz="4" w:space="0" w:color="auto"/>
              <w:right w:val="single" w:sz="4" w:space="0" w:color="auto"/>
            </w:tcBorders>
            <w:shd w:val="clear" w:color="auto" w:fill="auto"/>
            <w:vAlign w:val="center"/>
            <w:hideMark/>
          </w:tcPr>
          <w:p w14:paraId="225E0223"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45,125</w:t>
            </w:r>
          </w:p>
        </w:tc>
        <w:tc>
          <w:tcPr>
            <w:tcW w:w="705" w:type="dxa"/>
            <w:tcBorders>
              <w:top w:val="nil"/>
              <w:left w:val="nil"/>
              <w:bottom w:val="single" w:sz="4" w:space="0" w:color="auto"/>
              <w:right w:val="single" w:sz="4" w:space="0" w:color="auto"/>
            </w:tcBorders>
            <w:shd w:val="clear" w:color="auto" w:fill="auto"/>
            <w:vAlign w:val="center"/>
            <w:hideMark/>
          </w:tcPr>
          <w:p w14:paraId="0B84C5B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7.7%</w:t>
            </w:r>
          </w:p>
        </w:tc>
        <w:tc>
          <w:tcPr>
            <w:tcW w:w="1344" w:type="dxa"/>
            <w:tcBorders>
              <w:top w:val="nil"/>
              <w:left w:val="nil"/>
              <w:bottom w:val="single" w:sz="4" w:space="0" w:color="auto"/>
              <w:right w:val="single" w:sz="4" w:space="0" w:color="auto"/>
            </w:tcBorders>
            <w:shd w:val="clear" w:color="auto" w:fill="auto"/>
            <w:vAlign w:val="center"/>
            <w:hideMark/>
          </w:tcPr>
          <w:p w14:paraId="7FA2D95E"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157,357</w:t>
            </w:r>
          </w:p>
        </w:tc>
        <w:tc>
          <w:tcPr>
            <w:tcW w:w="1111" w:type="dxa"/>
            <w:tcBorders>
              <w:top w:val="nil"/>
              <w:left w:val="nil"/>
              <w:bottom w:val="single" w:sz="4" w:space="0" w:color="auto"/>
              <w:right w:val="single" w:sz="4" w:space="0" w:color="auto"/>
            </w:tcBorders>
            <w:shd w:val="clear" w:color="auto" w:fill="auto"/>
            <w:vAlign w:val="center"/>
            <w:hideMark/>
          </w:tcPr>
          <w:p w14:paraId="2579F911"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26" w:type="dxa"/>
            <w:tcBorders>
              <w:top w:val="nil"/>
              <w:left w:val="nil"/>
              <w:bottom w:val="single" w:sz="4" w:space="0" w:color="auto"/>
              <w:right w:val="single" w:sz="4" w:space="0" w:color="auto"/>
            </w:tcBorders>
            <w:shd w:val="clear" w:color="auto" w:fill="auto"/>
            <w:vAlign w:val="center"/>
            <w:hideMark/>
          </w:tcPr>
          <w:p w14:paraId="5354B5D9"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37.0%</w:t>
            </w:r>
          </w:p>
        </w:tc>
      </w:tr>
      <w:tr w:rsidR="00CA0A01" w:rsidRPr="00EE5714" w14:paraId="5449255A" w14:textId="77777777" w:rsidTr="006532D4">
        <w:trPr>
          <w:trHeight w:val="302"/>
          <w:jc w:val="center"/>
        </w:trPr>
        <w:tc>
          <w:tcPr>
            <w:tcW w:w="11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CB54D3F"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59"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12613E2F"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379B51D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1016" w:type="dxa"/>
            <w:tcBorders>
              <w:top w:val="nil"/>
              <w:left w:val="nil"/>
              <w:bottom w:val="single" w:sz="4" w:space="0" w:color="auto"/>
              <w:right w:val="single" w:sz="4" w:space="0" w:color="auto"/>
            </w:tcBorders>
            <w:shd w:val="clear" w:color="auto" w:fill="auto"/>
            <w:vAlign w:val="center"/>
            <w:hideMark/>
          </w:tcPr>
          <w:p w14:paraId="5C9E7001"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183</w:t>
            </w:r>
          </w:p>
        </w:tc>
        <w:tc>
          <w:tcPr>
            <w:tcW w:w="705" w:type="dxa"/>
            <w:tcBorders>
              <w:top w:val="nil"/>
              <w:left w:val="nil"/>
              <w:bottom w:val="single" w:sz="4" w:space="0" w:color="auto"/>
              <w:right w:val="single" w:sz="4" w:space="0" w:color="auto"/>
            </w:tcBorders>
            <w:shd w:val="clear" w:color="auto" w:fill="auto"/>
            <w:vAlign w:val="center"/>
            <w:hideMark/>
          </w:tcPr>
          <w:p w14:paraId="453BAF3A"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344" w:type="dxa"/>
            <w:tcBorders>
              <w:top w:val="nil"/>
              <w:left w:val="nil"/>
              <w:bottom w:val="single" w:sz="4" w:space="0" w:color="auto"/>
              <w:right w:val="single" w:sz="4" w:space="0" w:color="auto"/>
            </w:tcBorders>
            <w:shd w:val="clear" w:color="auto" w:fill="auto"/>
            <w:vAlign w:val="center"/>
            <w:hideMark/>
          </w:tcPr>
          <w:p w14:paraId="1DBE2E3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425,778</w:t>
            </w:r>
          </w:p>
        </w:tc>
        <w:tc>
          <w:tcPr>
            <w:tcW w:w="1111" w:type="dxa"/>
            <w:tcBorders>
              <w:top w:val="nil"/>
              <w:left w:val="nil"/>
              <w:bottom w:val="single" w:sz="4" w:space="0" w:color="auto"/>
              <w:right w:val="single" w:sz="4" w:space="0" w:color="auto"/>
            </w:tcBorders>
            <w:shd w:val="clear" w:color="auto" w:fill="auto"/>
            <w:vAlign w:val="center"/>
            <w:hideMark/>
          </w:tcPr>
          <w:p w14:paraId="2400E92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26" w:type="dxa"/>
            <w:tcBorders>
              <w:top w:val="nil"/>
              <w:left w:val="nil"/>
              <w:bottom w:val="single" w:sz="4" w:space="0" w:color="auto"/>
              <w:right w:val="single" w:sz="4" w:space="0" w:color="auto"/>
            </w:tcBorders>
            <w:shd w:val="clear" w:color="auto" w:fill="auto"/>
            <w:vAlign w:val="center"/>
            <w:hideMark/>
          </w:tcPr>
          <w:p w14:paraId="51FC39F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63.0%</w:t>
            </w:r>
          </w:p>
        </w:tc>
      </w:tr>
      <w:tr w:rsidR="00CA0A01" w:rsidRPr="00EE5714" w14:paraId="302619C1" w14:textId="77777777" w:rsidTr="006532D4">
        <w:trPr>
          <w:trHeight w:val="573"/>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152ADF5D"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84,510</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28C7BB51"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14.49%</w:t>
            </w:r>
          </w:p>
        </w:tc>
        <w:tc>
          <w:tcPr>
            <w:tcW w:w="21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169E5AD"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269CC9C2"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1016" w:type="dxa"/>
            <w:tcBorders>
              <w:top w:val="nil"/>
              <w:left w:val="nil"/>
              <w:bottom w:val="single" w:sz="4" w:space="0" w:color="auto"/>
              <w:right w:val="single" w:sz="4" w:space="0" w:color="auto"/>
            </w:tcBorders>
            <w:shd w:val="clear" w:color="auto" w:fill="auto"/>
            <w:vAlign w:val="center"/>
            <w:hideMark/>
          </w:tcPr>
          <w:p w14:paraId="67F4DBE2"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7,307</w:t>
            </w:r>
          </w:p>
        </w:tc>
        <w:tc>
          <w:tcPr>
            <w:tcW w:w="705" w:type="dxa"/>
            <w:tcBorders>
              <w:top w:val="nil"/>
              <w:left w:val="nil"/>
              <w:bottom w:val="single" w:sz="4" w:space="0" w:color="auto"/>
              <w:right w:val="single" w:sz="4" w:space="0" w:color="auto"/>
            </w:tcBorders>
            <w:shd w:val="clear" w:color="auto" w:fill="auto"/>
            <w:vAlign w:val="center"/>
            <w:hideMark/>
          </w:tcPr>
          <w:p w14:paraId="37A46716"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w:t>
            </w:r>
          </w:p>
        </w:tc>
        <w:tc>
          <w:tcPr>
            <w:tcW w:w="1344" w:type="dxa"/>
            <w:tcBorders>
              <w:top w:val="nil"/>
              <w:left w:val="nil"/>
              <w:bottom w:val="single" w:sz="4" w:space="0" w:color="auto"/>
              <w:right w:val="single" w:sz="4" w:space="0" w:color="auto"/>
            </w:tcBorders>
            <w:shd w:val="clear" w:color="auto" w:fill="auto"/>
            <w:vAlign w:val="center"/>
            <w:hideMark/>
          </w:tcPr>
          <w:p w14:paraId="391385BE"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189,674</w:t>
            </w:r>
          </w:p>
        </w:tc>
        <w:tc>
          <w:tcPr>
            <w:tcW w:w="1111" w:type="dxa"/>
            <w:tcBorders>
              <w:top w:val="nil"/>
              <w:left w:val="nil"/>
              <w:bottom w:val="single" w:sz="4" w:space="0" w:color="auto"/>
              <w:right w:val="single" w:sz="4" w:space="0" w:color="auto"/>
            </w:tcBorders>
            <w:shd w:val="clear" w:color="auto" w:fill="auto"/>
            <w:vAlign w:val="center"/>
            <w:hideMark/>
          </w:tcPr>
          <w:p w14:paraId="3CFEA031"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26" w:type="dxa"/>
            <w:tcBorders>
              <w:top w:val="nil"/>
              <w:left w:val="nil"/>
              <w:bottom w:val="single" w:sz="4" w:space="0" w:color="auto"/>
              <w:right w:val="single" w:sz="4" w:space="0" w:color="auto"/>
            </w:tcBorders>
            <w:shd w:val="clear" w:color="auto" w:fill="auto"/>
            <w:vAlign w:val="center"/>
            <w:hideMark/>
          </w:tcPr>
          <w:p w14:paraId="0F544D4C" w14:textId="77777777" w:rsidR="00CA0A01" w:rsidRPr="00EE5714" w:rsidRDefault="00CA0A01" w:rsidP="00CA0A01">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48.2%</w:t>
            </w:r>
          </w:p>
        </w:tc>
      </w:tr>
      <w:tr w:rsidR="00CA0A01" w:rsidRPr="00EE5714" w14:paraId="45749FA7" w14:textId="77777777" w:rsidTr="006532D4">
        <w:trPr>
          <w:trHeight w:val="513"/>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40B6BCF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498,625</w:t>
            </w:r>
          </w:p>
        </w:tc>
        <w:tc>
          <w:tcPr>
            <w:tcW w:w="869" w:type="dxa"/>
            <w:tcBorders>
              <w:top w:val="nil"/>
              <w:left w:val="nil"/>
              <w:bottom w:val="single" w:sz="4" w:space="0" w:color="auto"/>
              <w:right w:val="single" w:sz="4" w:space="0" w:color="auto"/>
            </w:tcBorders>
            <w:shd w:val="clear" w:color="auto" w:fill="auto"/>
            <w:vAlign w:val="center"/>
            <w:hideMark/>
          </w:tcPr>
          <w:p w14:paraId="3D7CC80B"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85.51%</w:t>
            </w:r>
          </w:p>
        </w:tc>
        <w:tc>
          <w:tcPr>
            <w:tcW w:w="21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13262F"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34ACD143"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1016" w:type="dxa"/>
            <w:tcBorders>
              <w:top w:val="nil"/>
              <w:left w:val="nil"/>
              <w:bottom w:val="single" w:sz="4" w:space="0" w:color="auto"/>
              <w:right w:val="single" w:sz="4" w:space="0" w:color="auto"/>
            </w:tcBorders>
            <w:shd w:val="clear" w:color="auto" w:fill="auto"/>
            <w:vAlign w:val="center"/>
            <w:hideMark/>
          </w:tcPr>
          <w:p w14:paraId="64E4B84D"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1,962</w:t>
            </w:r>
          </w:p>
        </w:tc>
        <w:tc>
          <w:tcPr>
            <w:tcW w:w="705" w:type="dxa"/>
            <w:tcBorders>
              <w:top w:val="nil"/>
              <w:left w:val="nil"/>
              <w:bottom w:val="single" w:sz="4" w:space="0" w:color="auto"/>
              <w:right w:val="single" w:sz="4" w:space="0" w:color="auto"/>
            </w:tcBorders>
            <w:shd w:val="clear" w:color="auto" w:fill="auto"/>
            <w:vAlign w:val="center"/>
            <w:hideMark/>
          </w:tcPr>
          <w:p w14:paraId="357F4E52"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344" w:type="dxa"/>
            <w:tcBorders>
              <w:top w:val="nil"/>
              <w:left w:val="nil"/>
              <w:bottom w:val="single" w:sz="4" w:space="0" w:color="auto"/>
              <w:right w:val="single" w:sz="4" w:space="0" w:color="auto"/>
            </w:tcBorders>
            <w:shd w:val="clear" w:color="auto" w:fill="auto"/>
            <w:vAlign w:val="center"/>
            <w:hideMark/>
          </w:tcPr>
          <w:p w14:paraId="6FEC6C4A"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393,461</w:t>
            </w:r>
          </w:p>
        </w:tc>
        <w:tc>
          <w:tcPr>
            <w:tcW w:w="1111" w:type="dxa"/>
            <w:tcBorders>
              <w:top w:val="nil"/>
              <w:left w:val="nil"/>
              <w:bottom w:val="single" w:sz="4" w:space="0" w:color="auto"/>
              <w:right w:val="single" w:sz="4" w:space="0" w:color="auto"/>
            </w:tcBorders>
            <w:shd w:val="clear" w:color="auto" w:fill="auto"/>
            <w:vAlign w:val="center"/>
            <w:hideMark/>
          </w:tcPr>
          <w:p w14:paraId="5C033E2E"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26" w:type="dxa"/>
            <w:tcBorders>
              <w:top w:val="nil"/>
              <w:left w:val="nil"/>
              <w:bottom w:val="single" w:sz="4" w:space="0" w:color="auto"/>
              <w:right w:val="single" w:sz="4" w:space="0" w:color="auto"/>
            </w:tcBorders>
            <w:shd w:val="clear" w:color="auto" w:fill="auto"/>
            <w:vAlign w:val="center"/>
            <w:hideMark/>
          </w:tcPr>
          <w:p w14:paraId="037548C0" w14:textId="77777777" w:rsidR="00CA0A01" w:rsidRPr="00EE5714" w:rsidRDefault="00CA0A01" w:rsidP="00CA0A01">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51.8%</w:t>
            </w:r>
          </w:p>
        </w:tc>
      </w:tr>
      <w:tr w:rsidR="00CA0A01" w:rsidRPr="00EE5714" w14:paraId="17F84026" w14:textId="77777777" w:rsidTr="006532D4">
        <w:trPr>
          <w:trHeight w:val="302"/>
          <w:jc w:val="center"/>
        </w:trPr>
        <w:tc>
          <w:tcPr>
            <w:tcW w:w="1174" w:type="dxa"/>
            <w:tcBorders>
              <w:top w:val="nil"/>
              <w:left w:val="single" w:sz="4" w:space="0" w:color="auto"/>
              <w:bottom w:val="single" w:sz="4" w:space="0" w:color="auto"/>
              <w:right w:val="single" w:sz="4" w:space="0" w:color="auto"/>
            </w:tcBorders>
            <w:shd w:val="clear" w:color="auto" w:fill="auto"/>
            <w:vAlign w:val="center"/>
            <w:hideMark/>
          </w:tcPr>
          <w:p w14:paraId="261DA276" w14:textId="77777777" w:rsidR="00CA0A01" w:rsidRPr="00EE5714" w:rsidRDefault="00CA0A01" w:rsidP="00CA0A0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583,135</w:t>
            </w:r>
          </w:p>
        </w:tc>
        <w:tc>
          <w:tcPr>
            <w:tcW w:w="305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9EE45B5" w14:textId="77777777" w:rsidR="00CA0A01" w:rsidRPr="00EE5714" w:rsidRDefault="00CA0A01" w:rsidP="00CA0A0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6" w:type="dxa"/>
            <w:tcBorders>
              <w:top w:val="nil"/>
              <w:left w:val="single" w:sz="4" w:space="0" w:color="auto"/>
              <w:bottom w:val="single" w:sz="4" w:space="0" w:color="auto"/>
              <w:right w:val="single" w:sz="4" w:space="0" w:color="auto"/>
            </w:tcBorders>
            <w:shd w:val="clear" w:color="auto" w:fill="auto"/>
            <w:vAlign w:val="center"/>
            <w:hideMark/>
          </w:tcPr>
          <w:p w14:paraId="24F51D7A" w14:textId="77777777" w:rsidR="00CA0A01" w:rsidRPr="00EE5714" w:rsidRDefault="00CA0A01" w:rsidP="00CA0A0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16" w:type="dxa"/>
            <w:tcBorders>
              <w:top w:val="nil"/>
              <w:left w:val="nil"/>
              <w:bottom w:val="single" w:sz="4" w:space="0" w:color="auto"/>
              <w:right w:val="single" w:sz="4" w:space="0" w:color="auto"/>
            </w:tcBorders>
            <w:shd w:val="clear" w:color="auto" w:fill="auto"/>
            <w:vAlign w:val="center"/>
            <w:hideMark/>
          </w:tcPr>
          <w:p w14:paraId="6A789A4C" w14:textId="77777777" w:rsidR="00CA0A01" w:rsidRPr="00EE5714" w:rsidRDefault="00CA0A01" w:rsidP="00CA0A0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583,135</w:t>
            </w:r>
          </w:p>
        </w:tc>
        <w:tc>
          <w:tcPr>
            <w:tcW w:w="705" w:type="dxa"/>
            <w:tcBorders>
              <w:top w:val="nil"/>
              <w:left w:val="nil"/>
              <w:bottom w:val="single" w:sz="4" w:space="0" w:color="auto"/>
              <w:right w:val="single" w:sz="4" w:space="0" w:color="auto"/>
            </w:tcBorders>
            <w:shd w:val="clear" w:color="auto" w:fill="auto"/>
            <w:vAlign w:val="center"/>
            <w:hideMark/>
          </w:tcPr>
          <w:p w14:paraId="2FC452AA" w14:textId="77777777" w:rsidR="00CA0A01" w:rsidRPr="00EE5714" w:rsidRDefault="00CA0A01" w:rsidP="00CA0A0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44" w:type="dxa"/>
            <w:tcBorders>
              <w:top w:val="nil"/>
              <w:left w:val="nil"/>
              <w:bottom w:val="single" w:sz="4" w:space="0" w:color="auto"/>
              <w:right w:val="single" w:sz="4" w:space="0" w:color="auto"/>
            </w:tcBorders>
            <w:shd w:val="clear" w:color="auto" w:fill="auto"/>
            <w:vAlign w:val="center"/>
            <w:hideMark/>
          </w:tcPr>
          <w:p w14:paraId="19A423AB" w14:textId="77777777" w:rsidR="00CA0A01" w:rsidRPr="00EE5714" w:rsidRDefault="00CA0A01" w:rsidP="00CA0A01">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583,135</w:t>
            </w:r>
          </w:p>
        </w:tc>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F91DC7" w14:textId="77777777" w:rsidR="00CA0A01" w:rsidRPr="00EE5714" w:rsidRDefault="00CA0A01" w:rsidP="00CA0A01">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29C1B804" w14:textId="77777777" w:rsidR="00B31521" w:rsidRPr="00EE5714" w:rsidRDefault="00B31521" w:rsidP="00F303E0"/>
    <w:p w14:paraId="07BD2C80" w14:textId="77777777" w:rsidR="006C2F46" w:rsidRPr="00EE5714" w:rsidRDefault="0044761C" w:rsidP="00F343DD">
      <w:pPr>
        <w:keepNext/>
        <w:rPr>
          <w:rFonts w:ascii="Times New Roman" w:hAnsi="Times New Roman" w:cs="Times New Roman"/>
          <w:sz w:val="26"/>
          <w:szCs w:val="26"/>
        </w:rPr>
      </w:pPr>
      <w:r w:rsidRPr="00EE5714">
        <w:rPr>
          <w:rFonts w:ascii="Times New Roman" w:hAnsi="Times New Roman" w:cs="Times New Roman"/>
          <w:sz w:val="26"/>
          <w:szCs w:val="26"/>
        </w:rPr>
        <w:lastRenderedPageBreak/>
        <w:t>Appendix 1.</w:t>
      </w:r>
      <w:r w:rsidR="00A91C58" w:rsidRPr="00EE5714">
        <w:rPr>
          <w:rFonts w:ascii="Times New Roman" w:hAnsi="Times New Roman" w:cs="Times New Roman"/>
          <w:sz w:val="26"/>
          <w:szCs w:val="26"/>
        </w:rPr>
        <w:t>B.5</w:t>
      </w:r>
      <w:r w:rsidRPr="00EE5714">
        <w:rPr>
          <w:rFonts w:ascii="Times New Roman" w:hAnsi="Times New Roman" w:cs="Times New Roman"/>
          <w:sz w:val="26"/>
          <w:szCs w:val="26"/>
        </w:rPr>
        <w:t xml:space="preserve">: </w:t>
      </w:r>
      <w:r w:rsidR="003A7A0C" w:rsidRPr="00EE5714">
        <w:rPr>
          <w:rFonts w:ascii="Times New Roman" w:hAnsi="Times New Roman" w:cs="Times New Roman"/>
          <w:b/>
          <w:sz w:val="26"/>
          <w:szCs w:val="26"/>
        </w:rPr>
        <w:t>Penn Power</w:t>
      </w:r>
      <w:r w:rsidRPr="00EE5714">
        <w:rPr>
          <w:rFonts w:ascii="Times New Roman" w:hAnsi="Times New Roman" w:cs="Times New Roman"/>
          <w:b/>
          <w:sz w:val="26"/>
          <w:szCs w:val="26"/>
        </w:rPr>
        <w:t xml:space="preserve"> Service Territory Demographic Profile</w:t>
      </w:r>
    </w:p>
    <w:tbl>
      <w:tblPr>
        <w:tblW w:w="10633" w:type="dxa"/>
        <w:jc w:val="center"/>
        <w:tblLook w:val="04A0" w:firstRow="1" w:lastRow="0" w:firstColumn="1" w:lastColumn="0" w:noHBand="0" w:noVBand="1"/>
      </w:tblPr>
      <w:tblGrid>
        <w:gridCol w:w="1189"/>
        <w:gridCol w:w="869"/>
        <w:gridCol w:w="1109"/>
        <w:gridCol w:w="1109"/>
        <w:gridCol w:w="1546"/>
        <w:gridCol w:w="899"/>
        <w:gridCol w:w="714"/>
        <w:gridCol w:w="1344"/>
        <w:gridCol w:w="1126"/>
        <w:gridCol w:w="728"/>
      </w:tblGrid>
      <w:tr w:rsidR="00726A23" w:rsidRPr="00EE5714" w14:paraId="08BB737F" w14:textId="77777777" w:rsidTr="003B7A82">
        <w:trPr>
          <w:trHeight w:val="711"/>
          <w:jc w:val="center"/>
        </w:trPr>
        <w:tc>
          <w:tcPr>
            <w:tcW w:w="117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F60E311"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Penn Power</w:t>
            </w:r>
          </w:p>
        </w:tc>
        <w:tc>
          <w:tcPr>
            <w:tcW w:w="1985" w:type="dxa"/>
            <w:gridSpan w:val="2"/>
            <w:tcBorders>
              <w:top w:val="single" w:sz="4" w:space="0" w:color="auto"/>
              <w:left w:val="nil"/>
              <w:bottom w:val="single" w:sz="4" w:space="0" w:color="auto"/>
              <w:right w:val="single" w:sz="4" w:space="0" w:color="auto"/>
            </w:tcBorders>
            <w:shd w:val="clear" w:color="000000" w:fill="E7E6E6"/>
            <w:vAlign w:val="center"/>
            <w:hideMark/>
          </w:tcPr>
          <w:p w14:paraId="42F408B3"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092"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6FE88E1"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134" w:type="dxa"/>
            <w:gridSpan w:val="3"/>
            <w:tcBorders>
              <w:top w:val="single" w:sz="4" w:space="0" w:color="auto"/>
              <w:left w:val="nil"/>
              <w:bottom w:val="single" w:sz="4" w:space="0" w:color="auto"/>
              <w:right w:val="single" w:sz="4" w:space="0" w:color="auto"/>
            </w:tcBorders>
            <w:shd w:val="clear" w:color="000000" w:fill="E7E6E6"/>
            <w:vAlign w:val="center"/>
            <w:hideMark/>
          </w:tcPr>
          <w:p w14:paraId="0DD5EF04"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252" w:type="dxa"/>
            <w:gridSpan w:val="3"/>
            <w:tcBorders>
              <w:top w:val="single" w:sz="4" w:space="0" w:color="auto"/>
              <w:left w:val="nil"/>
              <w:bottom w:val="single" w:sz="4" w:space="0" w:color="auto"/>
              <w:right w:val="single" w:sz="4" w:space="0" w:color="auto"/>
            </w:tcBorders>
            <w:shd w:val="clear" w:color="000000" w:fill="E7E6E6"/>
            <w:vAlign w:val="center"/>
            <w:hideMark/>
          </w:tcPr>
          <w:p w14:paraId="633F26AC"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726A23" w:rsidRPr="00EE5714" w14:paraId="5C3677E0" w14:textId="77777777" w:rsidTr="003B7A82">
        <w:trPr>
          <w:trHeight w:val="563"/>
          <w:jc w:val="center"/>
        </w:trPr>
        <w:tc>
          <w:tcPr>
            <w:tcW w:w="1170" w:type="dxa"/>
            <w:tcBorders>
              <w:top w:val="nil"/>
              <w:left w:val="single" w:sz="4" w:space="0" w:color="auto"/>
              <w:bottom w:val="single" w:sz="4" w:space="0" w:color="auto"/>
              <w:right w:val="single" w:sz="4" w:space="0" w:color="auto"/>
            </w:tcBorders>
            <w:shd w:val="clear" w:color="000000" w:fill="E7E6E6"/>
            <w:vAlign w:val="center"/>
            <w:hideMark/>
          </w:tcPr>
          <w:p w14:paraId="1A4A8EE7"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67.90%</w:t>
            </w:r>
          </w:p>
        </w:tc>
        <w:tc>
          <w:tcPr>
            <w:tcW w:w="893" w:type="dxa"/>
            <w:tcBorders>
              <w:top w:val="nil"/>
              <w:left w:val="nil"/>
              <w:bottom w:val="single" w:sz="4" w:space="0" w:color="auto"/>
              <w:right w:val="single" w:sz="4" w:space="0" w:color="auto"/>
            </w:tcBorders>
            <w:shd w:val="clear" w:color="000000" w:fill="E7E6E6"/>
            <w:vAlign w:val="center"/>
            <w:hideMark/>
          </w:tcPr>
          <w:p w14:paraId="3958FD80"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092" w:type="dxa"/>
            <w:tcBorders>
              <w:top w:val="nil"/>
              <w:left w:val="nil"/>
              <w:bottom w:val="single" w:sz="4" w:space="0" w:color="auto"/>
              <w:right w:val="single" w:sz="4" w:space="0" w:color="auto"/>
            </w:tcBorders>
            <w:shd w:val="clear" w:color="000000" w:fill="E7E6E6"/>
            <w:vAlign w:val="center"/>
            <w:hideMark/>
          </w:tcPr>
          <w:p w14:paraId="2601D937"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2FF6D1EC" w14:textId="77777777" w:rsidR="00726A23" w:rsidRPr="00EE5714" w:rsidRDefault="00726A23" w:rsidP="00F343DD">
            <w:pPr>
              <w:keepNext/>
              <w:spacing w:after="0" w:line="240" w:lineRule="auto"/>
              <w:rPr>
                <w:rFonts w:ascii="Calibri" w:eastAsia="Times New Roman" w:hAnsi="Calibri" w:cs="Calibri"/>
                <w:b/>
                <w:bCs/>
                <w:color w:val="000000"/>
                <w:sz w:val="20"/>
                <w:szCs w:val="20"/>
              </w:rPr>
            </w:pPr>
          </w:p>
        </w:tc>
        <w:tc>
          <w:tcPr>
            <w:tcW w:w="2431" w:type="dxa"/>
            <w:gridSpan w:val="2"/>
            <w:tcBorders>
              <w:top w:val="single" w:sz="4" w:space="0" w:color="auto"/>
              <w:left w:val="nil"/>
              <w:bottom w:val="single" w:sz="4" w:space="0" w:color="auto"/>
              <w:right w:val="single" w:sz="4" w:space="0" w:color="auto"/>
            </w:tcBorders>
            <w:shd w:val="clear" w:color="000000" w:fill="E7E6E6"/>
            <w:vAlign w:val="center"/>
            <w:hideMark/>
          </w:tcPr>
          <w:p w14:paraId="2AE01464"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03" w:type="dxa"/>
            <w:tcBorders>
              <w:top w:val="nil"/>
              <w:left w:val="nil"/>
              <w:bottom w:val="single" w:sz="4" w:space="0" w:color="auto"/>
              <w:right w:val="single" w:sz="4" w:space="0" w:color="auto"/>
            </w:tcBorders>
            <w:shd w:val="clear" w:color="000000" w:fill="E7E6E6"/>
            <w:vAlign w:val="center"/>
            <w:hideMark/>
          </w:tcPr>
          <w:p w14:paraId="717B0902"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520" w:type="dxa"/>
            <w:gridSpan w:val="2"/>
            <w:tcBorders>
              <w:top w:val="single" w:sz="4" w:space="0" w:color="auto"/>
              <w:left w:val="nil"/>
              <w:bottom w:val="single" w:sz="4" w:space="0" w:color="auto"/>
              <w:right w:val="single" w:sz="4" w:space="0" w:color="auto"/>
            </w:tcBorders>
            <w:shd w:val="clear" w:color="000000" w:fill="E7E6E6"/>
            <w:vAlign w:val="center"/>
            <w:hideMark/>
          </w:tcPr>
          <w:p w14:paraId="181572E9"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31" w:type="dxa"/>
            <w:tcBorders>
              <w:top w:val="nil"/>
              <w:left w:val="nil"/>
              <w:bottom w:val="single" w:sz="4" w:space="0" w:color="auto"/>
              <w:right w:val="single" w:sz="4" w:space="0" w:color="auto"/>
            </w:tcBorders>
            <w:shd w:val="clear" w:color="000000" w:fill="E7E6E6"/>
            <w:vAlign w:val="center"/>
            <w:hideMark/>
          </w:tcPr>
          <w:p w14:paraId="09E61EC1"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726A23" w:rsidRPr="00EE5714" w14:paraId="21880644" w14:textId="77777777" w:rsidTr="003B7A82">
        <w:trPr>
          <w:trHeight w:val="296"/>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0A1BB32"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53,346</w:t>
            </w:r>
          </w:p>
        </w:tc>
        <w:tc>
          <w:tcPr>
            <w:tcW w:w="893" w:type="dxa"/>
            <w:tcBorders>
              <w:top w:val="nil"/>
              <w:left w:val="nil"/>
              <w:bottom w:val="single" w:sz="4" w:space="0" w:color="auto"/>
              <w:right w:val="single" w:sz="4" w:space="0" w:color="auto"/>
            </w:tcBorders>
            <w:shd w:val="clear" w:color="auto" w:fill="auto"/>
            <w:vAlign w:val="center"/>
            <w:hideMark/>
          </w:tcPr>
          <w:p w14:paraId="4797397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32.2%</w:t>
            </w:r>
          </w:p>
        </w:tc>
        <w:tc>
          <w:tcPr>
            <w:tcW w:w="1092" w:type="dxa"/>
            <w:tcBorders>
              <w:top w:val="nil"/>
              <w:left w:val="nil"/>
              <w:bottom w:val="single" w:sz="4" w:space="0" w:color="auto"/>
              <w:right w:val="single" w:sz="4" w:space="0" w:color="auto"/>
            </w:tcBorders>
            <w:shd w:val="clear" w:color="auto" w:fill="auto"/>
            <w:vAlign w:val="center"/>
            <w:hideMark/>
          </w:tcPr>
          <w:p w14:paraId="0F837A72"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FD2B73"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2878B1EC"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908" w:type="dxa"/>
            <w:tcBorders>
              <w:top w:val="nil"/>
              <w:left w:val="nil"/>
              <w:bottom w:val="single" w:sz="4" w:space="0" w:color="auto"/>
              <w:right w:val="single" w:sz="4" w:space="0" w:color="auto"/>
            </w:tcBorders>
            <w:shd w:val="clear" w:color="auto" w:fill="auto"/>
            <w:vAlign w:val="center"/>
            <w:hideMark/>
          </w:tcPr>
          <w:p w14:paraId="394E67BA"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16,765</w:t>
            </w:r>
          </w:p>
        </w:tc>
        <w:tc>
          <w:tcPr>
            <w:tcW w:w="703" w:type="dxa"/>
            <w:tcBorders>
              <w:top w:val="nil"/>
              <w:left w:val="nil"/>
              <w:bottom w:val="single" w:sz="4" w:space="0" w:color="auto"/>
              <w:right w:val="single" w:sz="4" w:space="0" w:color="auto"/>
            </w:tcBorders>
            <w:shd w:val="clear" w:color="auto" w:fill="auto"/>
            <w:vAlign w:val="center"/>
            <w:hideMark/>
          </w:tcPr>
          <w:p w14:paraId="0FEE1EDE"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4.2%</w:t>
            </w:r>
          </w:p>
        </w:tc>
        <w:tc>
          <w:tcPr>
            <w:tcW w:w="1412" w:type="dxa"/>
            <w:tcBorders>
              <w:top w:val="nil"/>
              <w:left w:val="nil"/>
              <w:bottom w:val="single" w:sz="4" w:space="0" w:color="auto"/>
              <w:right w:val="single" w:sz="4" w:space="0" w:color="auto"/>
            </w:tcBorders>
            <w:shd w:val="clear" w:color="auto" w:fill="auto"/>
            <w:vAlign w:val="center"/>
            <w:hideMark/>
          </w:tcPr>
          <w:p w14:paraId="3D22EB63"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108" w:type="dxa"/>
            <w:tcBorders>
              <w:top w:val="nil"/>
              <w:left w:val="nil"/>
              <w:bottom w:val="single" w:sz="4" w:space="0" w:color="auto"/>
              <w:right w:val="single" w:sz="4" w:space="0" w:color="auto"/>
            </w:tcBorders>
            <w:shd w:val="clear" w:color="auto" w:fill="auto"/>
            <w:vAlign w:val="center"/>
            <w:hideMark/>
          </w:tcPr>
          <w:p w14:paraId="7FAD0C67"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14,792</w:t>
            </w:r>
          </w:p>
        </w:tc>
        <w:tc>
          <w:tcPr>
            <w:tcW w:w="731" w:type="dxa"/>
            <w:tcBorders>
              <w:top w:val="nil"/>
              <w:left w:val="nil"/>
              <w:bottom w:val="single" w:sz="4" w:space="0" w:color="auto"/>
              <w:right w:val="single" w:sz="4" w:space="0" w:color="auto"/>
            </w:tcBorders>
            <w:shd w:val="clear" w:color="auto" w:fill="auto"/>
            <w:vAlign w:val="center"/>
            <w:hideMark/>
          </w:tcPr>
          <w:p w14:paraId="2CC1CAA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8.8%</w:t>
            </w:r>
          </w:p>
        </w:tc>
      </w:tr>
      <w:tr w:rsidR="00726A23" w:rsidRPr="00EE5714" w14:paraId="6F4AF126" w14:textId="77777777" w:rsidTr="003B7A82">
        <w:trPr>
          <w:trHeight w:val="296"/>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A652EE0"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25,169</w:t>
            </w:r>
          </w:p>
        </w:tc>
        <w:tc>
          <w:tcPr>
            <w:tcW w:w="893" w:type="dxa"/>
            <w:tcBorders>
              <w:top w:val="nil"/>
              <w:left w:val="nil"/>
              <w:bottom w:val="single" w:sz="4" w:space="0" w:color="auto"/>
              <w:right w:val="single" w:sz="4" w:space="0" w:color="auto"/>
            </w:tcBorders>
            <w:shd w:val="clear" w:color="auto" w:fill="auto"/>
            <w:vAlign w:val="center"/>
            <w:hideMark/>
          </w:tcPr>
          <w:p w14:paraId="16C42EDB"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15.2%</w:t>
            </w:r>
          </w:p>
        </w:tc>
        <w:tc>
          <w:tcPr>
            <w:tcW w:w="1092" w:type="dxa"/>
            <w:tcBorders>
              <w:top w:val="nil"/>
              <w:left w:val="nil"/>
              <w:bottom w:val="single" w:sz="4" w:space="0" w:color="auto"/>
              <w:right w:val="single" w:sz="4" w:space="0" w:color="auto"/>
            </w:tcBorders>
            <w:shd w:val="clear" w:color="auto" w:fill="auto"/>
            <w:vAlign w:val="center"/>
            <w:hideMark/>
          </w:tcPr>
          <w:p w14:paraId="7F463530"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14:paraId="43736407" w14:textId="77777777" w:rsidR="00726A23" w:rsidRPr="00EE5714" w:rsidRDefault="00726A23" w:rsidP="00F343DD">
            <w:pPr>
              <w:keepNext/>
              <w:spacing w:after="0" w:line="240" w:lineRule="auto"/>
              <w:rPr>
                <w:rFonts w:ascii="Calibri" w:eastAsia="Times New Roman" w:hAnsi="Calibri" w:cs="Calibri"/>
                <w:color w:val="000000"/>
                <w:sz w:val="20"/>
                <w:szCs w:val="20"/>
              </w:rPr>
            </w:pP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3CD1487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908" w:type="dxa"/>
            <w:tcBorders>
              <w:top w:val="nil"/>
              <w:left w:val="nil"/>
              <w:bottom w:val="single" w:sz="4" w:space="0" w:color="auto"/>
              <w:right w:val="single" w:sz="4" w:space="0" w:color="auto"/>
            </w:tcBorders>
            <w:shd w:val="clear" w:color="auto" w:fill="auto"/>
            <w:vAlign w:val="center"/>
            <w:hideMark/>
          </w:tcPr>
          <w:p w14:paraId="43D5FAF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22,868</w:t>
            </w:r>
          </w:p>
        </w:tc>
        <w:tc>
          <w:tcPr>
            <w:tcW w:w="703" w:type="dxa"/>
            <w:tcBorders>
              <w:top w:val="nil"/>
              <w:left w:val="nil"/>
              <w:bottom w:val="single" w:sz="4" w:space="0" w:color="auto"/>
              <w:right w:val="single" w:sz="4" w:space="0" w:color="auto"/>
            </w:tcBorders>
            <w:shd w:val="clear" w:color="auto" w:fill="auto"/>
            <w:vAlign w:val="center"/>
            <w:hideMark/>
          </w:tcPr>
          <w:p w14:paraId="03098145"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5.7%</w:t>
            </w:r>
          </w:p>
        </w:tc>
        <w:tc>
          <w:tcPr>
            <w:tcW w:w="1412" w:type="dxa"/>
            <w:tcBorders>
              <w:top w:val="nil"/>
              <w:left w:val="nil"/>
              <w:bottom w:val="single" w:sz="4" w:space="0" w:color="auto"/>
              <w:right w:val="single" w:sz="4" w:space="0" w:color="auto"/>
            </w:tcBorders>
            <w:shd w:val="clear" w:color="auto" w:fill="auto"/>
            <w:vAlign w:val="center"/>
            <w:hideMark/>
          </w:tcPr>
          <w:p w14:paraId="1EB0D5A3"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108" w:type="dxa"/>
            <w:tcBorders>
              <w:top w:val="nil"/>
              <w:left w:val="nil"/>
              <w:bottom w:val="single" w:sz="4" w:space="0" w:color="auto"/>
              <w:right w:val="single" w:sz="4" w:space="0" w:color="auto"/>
            </w:tcBorders>
            <w:shd w:val="clear" w:color="auto" w:fill="auto"/>
            <w:vAlign w:val="center"/>
            <w:hideMark/>
          </w:tcPr>
          <w:p w14:paraId="01009015"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16,363</w:t>
            </w:r>
          </w:p>
        </w:tc>
        <w:tc>
          <w:tcPr>
            <w:tcW w:w="731" w:type="dxa"/>
            <w:tcBorders>
              <w:top w:val="nil"/>
              <w:left w:val="nil"/>
              <w:bottom w:val="single" w:sz="4" w:space="0" w:color="auto"/>
              <w:right w:val="single" w:sz="4" w:space="0" w:color="auto"/>
            </w:tcBorders>
            <w:shd w:val="clear" w:color="auto" w:fill="auto"/>
            <w:vAlign w:val="center"/>
            <w:hideMark/>
          </w:tcPr>
          <w:p w14:paraId="0DA4332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9.7%</w:t>
            </w:r>
          </w:p>
        </w:tc>
      </w:tr>
      <w:tr w:rsidR="00726A23" w:rsidRPr="00EE5714" w14:paraId="021A1FE9" w14:textId="77777777" w:rsidTr="003B7A82">
        <w:trPr>
          <w:trHeight w:val="296"/>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29123AED"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21,766</w:t>
            </w:r>
          </w:p>
        </w:tc>
        <w:tc>
          <w:tcPr>
            <w:tcW w:w="893" w:type="dxa"/>
            <w:tcBorders>
              <w:top w:val="nil"/>
              <w:left w:val="nil"/>
              <w:bottom w:val="single" w:sz="4" w:space="0" w:color="auto"/>
              <w:right w:val="single" w:sz="4" w:space="0" w:color="auto"/>
            </w:tcBorders>
            <w:shd w:val="clear" w:color="auto" w:fill="auto"/>
            <w:vAlign w:val="center"/>
            <w:hideMark/>
          </w:tcPr>
          <w:p w14:paraId="3B6B588F"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13.1%</w:t>
            </w:r>
          </w:p>
        </w:tc>
        <w:tc>
          <w:tcPr>
            <w:tcW w:w="1092" w:type="dxa"/>
            <w:tcBorders>
              <w:top w:val="nil"/>
              <w:left w:val="nil"/>
              <w:bottom w:val="single" w:sz="4" w:space="0" w:color="auto"/>
              <w:right w:val="single" w:sz="4" w:space="0" w:color="auto"/>
            </w:tcBorders>
            <w:shd w:val="clear" w:color="auto" w:fill="auto"/>
            <w:vAlign w:val="center"/>
            <w:hideMark/>
          </w:tcPr>
          <w:p w14:paraId="2031443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14:paraId="1D12926D" w14:textId="77777777" w:rsidR="00726A23" w:rsidRPr="00EE5714" w:rsidRDefault="00726A23" w:rsidP="00F343DD">
            <w:pPr>
              <w:keepNext/>
              <w:spacing w:after="0" w:line="240" w:lineRule="auto"/>
              <w:rPr>
                <w:rFonts w:ascii="Calibri" w:eastAsia="Times New Roman" w:hAnsi="Calibri" w:cs="Calibri"/>
                <w:color w:val="000000"/>
                <w:sz w:val="20"/>
                <w:szCs w:val="20"/>
              </w:rPr>
            </w:pP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6C882C0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908" w:type="dxa"/>
            <w:tcBorders>
              <w:top w:val="nil"/>
              <w:left w:val="nil"/>
              <w:bottom w:val="single" w:sz="4" w:space="0" w:color="auto"/>
              <w:right w:val="single" w:sz="4" w:space="0" w:color="auto"/>
            </w:tcBorders>
            <w:shd w:val="clear" w:color="auto" w:fill="auto"/>
            <w:vAlign w:val="center"/>
            <w:hideMark/>
          </w:tcPr>
          <w:p w14:paraId="3F0DC682"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13,609</w:t>
            </w:r>
          </w:p>
        </w:tc>
        <w:tc>
          <w:tcPr>
            <w:tcW w:w="703" w:type="dxa"/>
            <w:tcBorders>
              <w:top w:val="nil"/>
              <w:left w:val="nil"/>
              <w:bottom w:val="single" w:sz="4" w:space="0" w:color="auto"/>
              <w:right w:val="single" w:sz="4" w:space="0" w:color="auto"/>
            </w:tcBorders>
            <w:shd w:val="clear" w:color="auto" w:fill="auto"/>
            <w:vAlign w:val="center"/>
            <w:hideMark/>
          </w:tcPr>
          <w:p w14:paraId="0E854B7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w:t>
            </w:r>
          </w:p>
        </w:tc>
        <w:tc>
          <w:tcPr>
            <w:tcW w:w="1412" w:type="dxa"/>
            <w:tcBorders>
              <w:top w:val="nil"/>
              <w:left w:val="nil"/>
              <w:bottom w:val="single" w:sz="4" w:space="0" w:color="auto"/>
              <w:right w:val="single" w:sz="4" w:space="0" w:color="auto"/>
            </w:tcBorders>
            <w:shd w:val="clear" w:color="auto" w:fill="auto"/>
            <w:vAlign w:val="center"/>
            <w:hideMark/>
          </w:tcPr>
          <w:p w14:paraId="2AACA65D"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108" w:type="dxa"/>
            <w:tcBorders>
              <w:top w:val="nil"/>
              <w:left w:val="nil"/>
              <w:bottom w:val="single" w:sz="4" w:space="0" w:color="auto"/>
              <w:right w:val="single" w:sz="4" w:space="0" w:color="auto"/>
            </w:tcBorders>
            <w:shd w:val="clear" w:color="auto" w:fill="auto"/>
            <w:vAlign w:val="center"/>
            <w:hideMark/>
          </w:tcPr>
          <w:p w14:paraId="3C7715FA"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16,056</w:t>
            </w:r>
          </w:p>
        </w:tc>
        <w:tc>
          <w:tcPr>
            <w:tcW w:w="731" w:type="dxa"/>
            <w:tcBorders>
              <w:top w:val="nil"/>
              <w:left w:val="nil"/>
              <w:bottom w:val="single" w:sz="4" w:space="0" w:color="auto"/>
              <w:right w:val="single" w:sz="4" w:space="0" w:color="auto"/>
            </w:tcBorders>
            <w:shd w:val="clear" w:color="auto" w:fill="auto"/>
            <w:vAlign w:val="center"/>
            <w:hideMark/>
          </w:tcPr>
          <w:p w14:paraId="3F92E9A4"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9.5%</w:t>
            </w:r>
          </w:p>
        </w:tc>
      </w:tr>
      <w:tr w:rsidR="00726A23" w:rsidRPr="00EE5714" w14:paraId="0F0E7EDC" w14:textId="77777777" w:rsidTr="003B7A82">
        <w:trPr>
          <w:trHeight w:val="296"/>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F46CD44"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8,393</w:t>
            </w:r>
          </w:p>
        </w:tc>
        <w:tc>
          <w:tcPr>
            <w:tcW w:w="893" w:type="dxa"/>
            <w:tcBorders>
              <w:top w:val="nil"/>
              <w:left w:val="nil"/>
              <w:bottom w:val="single" w:sz="4" w:space="0" w:color="auto"/>
              <w:right w:val="single" w:sz="4" w:space="0" w:color="auto"/>
            </w:tcBorders>
            <w:shd w:val="clear" w:color="auto" w:fill="auto"/>
            <w:vAlign w:val="center"/>
            <w:hideMark/>
          </w:tcPr>
          <w:p w14:paraId="1A3D763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w:t>
            </w:r>
          </w:p>
        </w:tc>
        <w:tc>
          <w:tcPr>
            <w:tcW w:w="1092" w:type="dxa"/>
            <w:tcBorders>
              <w:top w:val="nil"/>
              <w:left w:val="nil"/>
              <w:bottom w:val="single" w:sz="4" w:space="0" w:color="auto"/>
              <w:right w:val="single" w:sz="4" w:space="0" w:color="auto"/>
            </w:tcBorders>
            <w:shd w:val="clear" w:color="auto" w:fill="auto"/>
            <w:vAlign w:val="center"/>
            <w:hideMark/>
          </w:tcPr>
          <w:p w14:paraId="42ECAB3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14:paraId="0C704BC6" w14:textId="77777777" w:rsidR="00726A23" w:rsidRPr="00EE5714" w:rsidRDefault="00726A23" w:rsidP="00F343DD">
            <w:pPr>
              <w:keepNext/>
              <w:spacing w:after="0" w:line="240" w:lineRule="auto"/>
              <w:rPr>
                <w:rFonts w:ascii="Calibri" w:eastAsia="Times New Roman" w:hAnsi="Calibri" w:cs="Calibri"/>
                <w:color w:val="000000"/>
                <w:sz w:val="20"/>
                <w:szCs w:val="20"/>
              </w:rPr>
            </w:pP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4B179DA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908" w:type="dxa"/>
            <w:tcBorders>
              <w:top w:val="nil"/>
              <w:left w:val="nil"/>
              <w:bottom w:val="single" w:sz="4" w:space="0" w:color="auto"/>
              <w:right w:val="single" w:sz="4" w:space="0" w:color="auto"/>
            </w:tcBorders>
            <w:shd w:val="clear" w:color="auto" w:fill="auto"/>
            <w:vAlign w:val="center"/>
            <w:hideMark/>
          </w:tcPr>
          <w:p w14:paraId="64080EBF"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14,548</w:t>
            </w:r>
          </w:p>
        </w:tc>
        <w:tc>
          <w:tcPr>
            <w:tcW w:w="703" w:type="dxa"/>
            <w:tcBorders>
              <w:top w:val="nil"/>
              <w:left w:val="nil"/>
              <w:bottom w:val="single" w:sz="4" w:space="0" w:color="auto"/>
              <w:right w:val="single" w:sz="4" w:space="0" w:color="auto"/>
            </w:tcBorders>
            <w:shd w:val="clear" w:color="auto" w:fill="auto"/>
            <w:vAlign w:val="center"/>
            <w:hideMark/>
          </w:tcPr>
          <w:p w14:paraId="242A91A0"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w:t>
            </w:r>
          </w:p>
        </w:tc>
        <w:tc>
          <w:tcPr>
            <w:tcW w:w="1412" w:type="dxa"/>
            <w:tcBorders>
              <w:top w:val="nil"/>
              <w:left w:val="nil"/>
              <w:bottom w:val="single" w:sz="4" w:space="0" w:color="auto"/>
              <w:right w:val="single" w:sz="4" w:space="0" w:color="auto"/>
            </w:tcBorders>
            <w:shd w:val="clear" w:color="auto" w:fill="auto"/>
            <w:vAlign w:val="center"/>
            <w:hideMark/>
          </w:tcPr>
          <w:p w14:paraId="1021719B"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108" w:type="dxa"/>
            <w:tcBorders>
              <w:top w:val="nil"/>
              <w:left w:val="nil"/>
              <w:bottom w:val="single" w:sz="4" w:space="0" w:color="auto"/>
              <w:right w:val="single" w:sz="4" w:space="0" w:color="auto"/>
            </w:tcBorders>
            <w:shd w:val="clear" w:color="auto" w:fill="auto"/>
            <w:vAlign w:val="center"/>
            <w:hideMark/>
          </w:tcPr>
          <w:p w14:paraId="6E100FE9"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21,641</w:t>
            </w:r>
          </w:p>
        </w:tc>
        <w:tc>
          <w:tcPr>
            <w:tcW w:w="731" w:type="dxa"/>
            <w:tcBorders>
              <w:top w:val="nil"/>
              <w:left w:val="nil"/>
              <w:bottom w:val="single" w:sz="4" w:space="0" w:color="auto"/>
              <w:right w:val="single" w:sz="4" w:space="0" w:color="auto"/>
            </w:tcBorders>
            <w:shd w:val="clear" w:color="auto" w:fill="auto"/>
            <w:vAlign w:val="center"/>
            <w:hideMark/>
          </w:tcPr>
          <w:p w14:paraId="793F5E3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12.8%</w:t>
            </w:r>
          </w:p>
        </w:tc>
      </w:tr>
      <w:tr w:rsidR="00726A23" w:rsidRPr="00EE5714" w14:paraId="51940473" w14:textId="77777777" w:rsidTr="003B7A82">
        <w:trPr>
          <w:trHeight w:val="296"/>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A2582C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2,508</w:t>
            </w:r>
          </w:p>
        </w:tc>
        <w:tc>
          <w:tcPr>
            <w:tcW w:w="893" w:type="dxa"/>
            <w:tcBorders>
              <w:top w:val="nil"/>
              <w:left w:val="nil"/>
              <w:bottom w:val="single" w:sz="4" w:space="0" w:color="auto"/>
              <w:right w:val="single" w:sz="4" w:space="0" w:color="auto"/>
            </w:tcBorders>
            <w:shd w:val="clear" w:color="auto" w:fill="auto"/>
            <w:vAlign w:val="center"/>
            <w:hideMark/>
          </w:tcPr>
          <w:p w14:paraId="4C1709B9"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w:t>
            </w:r>
          </w:p>
        </w:tc>
        <w:tc>
          <w:tcPr>
            <w:tcW w:w="1092" w:type="dxa"/>
            <w:tcBorders>
              <w:top w:val="nil"/>
              <w:left w:val="nil"/>
              <w:bottom w:val="single" w:sz="4" w:space="0" w:color="auto"/>
              <w:right w:val="single" w:sz="4" w:space="0" w:color="auto"/>
            </w:tcBorders>
            <w:shd w:val="clear" w:color="auto" w:fill="auto"/>
            <w:vAlign w:val="center"/>
            <w:hideMark/>
          </w:tcPr>
          <w:p w14:paraId="2ADCDA9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14:paraId="75BAD1A2" w14:textId="77777777" w:rsidR="00726A23" w:rsidRPr="00EE5714" w:rsidRDefault="00726A23" w:rsidP="00F343DD">
            <w:pPr>
              <w:keepNext/>
              <w:spacing w:after="0" w:line="240" w:lineRule="auto"/>
              <w:rPr>
                <w:rFonts w:ascii="Calibri" w:eastAsia="Times New Roman" w:hAnsi="Calibri" w:cs="Calibri"/>
                <w:color w:val="000000"/>
                <w:sz w:val="20"/>
                <w:szCs w:val="20"/>
              </w:rPr>
            </w:pP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1B091A95"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908" w:type="dxa"/>
            <w:tcBorders>
              <w:top w:val="nil"/>
              <w:left w:val="nil"/>
              <w:bottom w:val="single" w:sz="4" w:space="0" w:color="auto"/>
              <w:right w:val="single" w:sz="4" w:space="0" w:color="auto"/>
            </w:tcBorders>
            <w:shd w:val="clear" w:color="auto" w:fill="auto"/>
            <w:vAlign w:val="center"/>
            <w:hideMark/>
          </w:tcPr>
          <w:p w14:paraId="474D7ACE"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24,178</w:t>
            </w:r>
          </w:p>
        </w:tc>
        <w:tc>
          <w:tcPr>
            <w:tcW w:w="703" w:type="dxa"/>
            <w:tcBorders>
              <w:top w:val="nil"/>
              <w:left w:val="nil"/>
              <w:bottom w:val="single" w:sz="4" w:space="0" w:color="auto"/>
              <w:right w:val="single" w:sz="4" w:space="0" w:color="auto"/>
            </w:tcBorders>
            <w:shd w:val="clear" w:color="auto" w:fill="auto"/>
            <w:vAlign w:val="center"/>
            <w:hideMark/>
          </w:tcPr>
          <w:p w14:paraId="026CFEEA"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6.0%</w:t>
            </w:r>
          </w:p>
        </w:tc>
        <w:tc>
          <w:tcPr>
            <w:tcW w:w="1412" w:type="dxa"/>
            <w:tcBorders>
              <w:top w:val="nil"/>
              <w:left w:val="nil"/>
              <w:bottom w:val="single" w:sz="4" w:space="0" w:color="auto"/>
              <w:right w:val="single" w:sz="4" w:space="0" w:color="auto"/>
            </w:tcBorders>
            <w:shd w:val="clear" w:color="auto" w:fill="auto"/>
            <w:vAlign w:val="center"/>
            <w:hideMark/>
          </w:tcPr>
          <w:p w14:paraId="2A7C14D3"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108" w:type="dxa"/>
            <w:tcBorders>
              <w:top w:val="nil"/>
              <w:left w:val="nil"/>
              <w:bottom w:val="single" w:sz="4" w:space="0" w:color="auto"/>
              <w:right w:val="single" w:sz="4" w:space="0" w:color="auto"/>
            </w:tcBorders>
            <w:shd w:val="clear" w:color="auto" w:fill="auto"/>
            <w:vAlign w:val="center"/>
            <w:hideMark/>
          </w:tcPr>
          <w:p w14:paraId="7537B6DF"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30,391</w:t>
            </w:r>
          </w:p>
        </w:tc>
        <w:tc>
          <w:tcPr>
            <w:tcW w:w="731" w:type="dxa"/>
            <w:tcBorders>
              <w:top w:val="nil"/>
              <w:left w:val="nil"/>
              <w:bottom w:val="single" w:sz="4" w:space="0" w:color="auto"/>
              <w:right w:val="single" w:sz="4" w:space="0" w:color="auto"/>
            </w:tcBorders>
            <w:shd w:val="clear" w:color="auto" w:fill="auto"/>
            <w:vAlign w:val="center"/>
            <w:hideMark/>
          </w:tcPr>
          <w:p w14:paraId="756F8025"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18.0%</w:t>
            </w:r>
          </w:p>
        </w:tc>
      </w:tr>
      <w:tr w:rsidR="00726A23" w:rsidRPr="00EE5714" w14:paraId="30DA4BBF" w14:textId="77777777" w:rsidTr="003B7A82">
        <w:trPr>
          <w:trHeight w:val="296"/>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67B971B"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1,384</w:t>
            </w:r>
          </w:p>
        </w:tc>
        <w:tc>
          <w:tcPr>
            <w:tcW w:w="893" w:type="dxa"/>
            <w:tcBorders>
              <w:top w:val="nil"/>
              <w:left w:val="nil"/>
              <w:bottom w:val="single" w:sz="4" w:space="0" w:color="auto"/>
              <w:right w:val="single" w:sz="4" w:space="0" w:color="auto"/>
            </w:tcBorders>
            <w:shd w:val="clear" w:color="auto" w:fill="auto"/>
            <w:vAlign w:val="center"/>
            <w:hideMark/>
          </w:tcPr>
          <w:p w14:paraId="3E60ACCB"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0.8%</w:t>
            </w:r>
          </w:p>
        </w:tc>
        <w:tc>
          <w:tcPr>
            <w:tcW w:w="1092" w:type="dxa"/>
            <w:tcBorders>
              <w:top w:val="nil"/>
              <w:left w:val="nil"/>
              <w:bottom w:val="single" w:sz="4" w:space="0" w:color="auto"/>
              <w:right w:val="single" w:sz="4" w:space="0" w:color="auto"/>
            </w:tcBorders>
            <w:shd w:val="clear" w:color="auto" w:fill="auto"/>
            <w:vAlign w:val="center"/>
            <w:hideMark/>
          </w:tcPr>
          <w:p w14:paraId="1DD1B440"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14:paraId="10FCC030" w14:textId="77777777" w:rsidR="00726A23" w:rsidRPr="00EE5714" w:rsidRDefault="00726A23" w:rsidP="00F343DD">
            <w:pPr>
              <w:keepNext/>
              <w:spacing w:after="0" w:line="240" w:lineRule="auto"/>
              <w:rPr>
                <w:rFonts w:ascii="Calibri" w:eastAsia="Times New Roman" w:hAnsi="Calibri" w:cs="Calibri"/>
                <w:color w:val="000000"/>
                <w:sz w:val="20"/>
                <w:szCs w:val="20"/>
              </w:rPr>
            </w:pP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4B65A91C"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908" w:type="dxa"/>
            <w:tcBorders>
              <w:top w:val="nil"/>
              <w:left w:val="nil"/>
              <w:bottom w:val="single" w:sz="4" w:space="0" w:color="auto"/>
              <w:right w:val="single" w:sz="4" w:space="0" w:color="auto"/>
            </w:tcBorders>
            <w:shd w:val="clear" w:color="auto" w:fill="auto"/>
            <w:vAlign w:val="center"/>
            <w:hideMark/>
          </w:tcPr>
          <w:p w14:paraId="16156F7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9,002</w:t>
            </w:r>
          </w:p>
        </w:tc>
        <w:tc>
          <w:tcPr>
            <w:tcW w:w="703" w:type="dxa"/>
            <w:tcBorders>
              <w:top w:val="nil"/>
              <w:left w:val="nil"/>
              <w:bottom w:val="single" w:sz="4" w:space="0" w:color="auto"/>
              <w:right w:val="single" w:sz="4" w:space="0" w:color="auto"/>
            </w:tcBorders>
            <w:shd w:val="clear" w:color="auto" w:fill="auto"/>
            <w:vAlign w:val="center"/>
            <w:hideMark/>
          </w:tcPr>
          <w:p w14:paraId="4F60F47A"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w:t>
            </w:r>
          </w:p>
        </w:tc>
        <w:tc>
          <w:tcPr>
            <w:tcW w:w="1412" w:type="dxa"/>
            <w:tcBorders>
              <w:top w:val="nil"/>
              <w:left w:val="nil"/>
              <w:bottom w:val="single" w:sz="4" w:space="0" w:color="auto"/>
              <w:right w:val="single" w:sz="4" w:space="0" w:color="auto"/>
            </w:tcBorders>
            <w:shd w:val="clear" w:color="auto" w:fill="auto"/>
            <w:vAlign w:val="center"/>
            <w:hideMark/>
          </w:tcPr>
          <w:p w14:paraId="558FCF8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108" w:type="dxa"/>
            <w:tcBorders>
              <w:top w:val="nil"/>
              <w:left w:val="nil"/>
              <w:bottom w:val="single" w:sz="4" w:space="0" w:color="auto"/>
              <w:right w:val="single" w:sz="4" w:space="0" w:color="auto"/>
            </w:tcBorders>
            <w:shd w:val="clear" w:color="auto" w:fill="auto"/>
            <w:vAlign w:val="center"/>
            <w:hideMark/>
          </w:tcPr>
          <w:p w14:paraId="0919346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21,059</w:t>
            </w:r>
          </w:p>
        </w:tc>
        <w:tc>
          <w:tcPr>
            <w:tcW w:w="731" w:type="dxa"/>
            <w:tcBorders>
              <w:top w:val="nil"/>
              <w:left w:val="nil"/>
              <w:bottom w:val="single" w:sz="4" w:space="0" w:color="auto"/>
              <w:right w:val="single" w:sz="4" w:space="0" w:color="auto"/>
            </w:tcBorders>
            <w:shd w:val="clear" w:color="auto" w:fill="auto"/>
            <w:vAlign w:val="center"/>
            <w:hideMark/>
          </w:tcPr>
          <w:p w14:paraId="26FC1C6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w:t>
            </w:r>
          </w:p>
        </w:tc>
      </w:tr>
      <w:tr w:rsidR="00726A23" w:rsidRPr="00EE5714" w14:paraId="3B9C6B82" w14:textId="77777777" w:rsidTr="003B7A82">
        <w:trPr>
          <w:trHeight w:val="296"/>
          <w:jc w:val="center"/>
        </w:trPr>
        <w:tc>
          <w:tcPr>
            <w:tcW w:w="1170" w:type="dxa"/>
            <w:tcBorders>
              <w:top w:val="nil"/>
              <w:left w:val="single" w:sz="4" w:space="0" w:color="auto"/>
              <w:bottom w:val="single" w:sz="4" w:space="0" w:color="auto"/>
              <w:right w:val="single" w:sz="4" w:space="0" w:color="auto"/>
            </w:tcBorders>
            <w:shd w:val="clear" w:color="000000" w:fill="E7E6E6"/>
            <w:vAlign w:val="center"/>
            <w:hideMark/>
          </w:tcPr>
          <w:p w14:paraId="4198BE4C"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32.10%</w:t>
            </w:r>
          </w:p>
        </w:tc>
        <w:tc>
          <w:tcPr>
            <w:tcW w:w="893" w:type="dxa"/>
            <w:tcBorders>
              <w:top w:val="nil"/>
              <w:left w:val="nil"/>
              <w:bottom w:val="single" w:sz="4" w:space="0" w:color="auto"/>
              <w:right w:val="single" w:sz="4" w:space="0" w:color="auto"/>
            </w:tcBorders>
            <w:shd w:val="clear" w:color="000000" w:fill="E7E6E6"/>
            <w:vAlign w:val="center"/>
            <w:hideMark/>
          </w:tcPr>
          <w:p w14:paraId="1BC93045"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184"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104D858F"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09098529"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908" w:type="dxa"/>
            <w:tcBorders>
              <w:top w:val="nil"/>
              <w:left w:val="nil"/>
              <w:bottom w:val="single" w:sz="4" w:space="0" w:color="auto"/>
              <w:right w:val="single" w:sz="4" w:space="0" w:color="auto"/>
            </w:tcBorders>
            <w:shd w:val="clear" w:color="auto" w:fill="auto"/>
            <w:vAlign w:val="center"/>
            <w:hideMark/>
          </w:tcPr>
          <w:p w14:paraId="4D4630F0"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301,663</w:t>
            </w:r>
          </w:p>
        </w:tc>
        <w:tc>
          <w:tcPr>
            <w:tcW w:w="703" w:type="dxa"/>
            <w:tcBorders>
              <w:top w:val="nil"/>
              <w:left w:val="nil"/>
              <w:bottom w:val="single" w:sz="4" w:space="0" w:color="auto"/>
              <w:right w:val="single" w:sz="4" w:space="0" w:color="auto"/>
            </w:tcBorders>
            <w:shd w:val="clear" w:color="auto" w:fill="auto"/>
            <w:vAlign w:val="center"/>
            <w:hideMark/>
          </w:tcPr>
          <w:p w14:paraId="18D04620"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74.9%</w:t>
            </w:r>
          </w:p>
        </w:tc>
        <w:tc>
          <w:tcPr>
            <w:tcW w:w="1412" w:type="dxa"/>
            <w:tcBorders>
              <w:top w:val="nil"/>
              <w:left w:val="nil"/>
              <w:bottom w:val="single" w:sz="4" w:space="0" w:color="auto"/>
              <w:right w:val="single" w:sz="4" w:space="0" w:color="auto"/>
            </w:tcBorders>
            <w:shd w:val="clear" w:color="auto" w:fill="auto"/>
            <w:vAlign w:val="center"/>
            <w:hideMark/>
          </w:tcPr>
          <w:p w14:paraId="091EF26D"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108" w:type="dxa"/>
            <w:tcBorders>
              <w:top w:val="nil"/>
              <w:left w:val="nil"/>
              <w:bottom w:val="single" w:sz="4" w:space="0" w:color="auto"/>
              <w:right w:val="single" w:sz="4" w:space="0" w:color="auto"/>
            </w:tcBorders>
            <w:shd w:val="clear" w:color="auto" w:fill="auto"/>
            <w:vAlign w:val="center"/>
            <w:hideMark/>
          </w:tcPr>
          <w:p w14:paraId="0346E6F0"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25,209</w:t>
            </w:r>
          </w:p>
        </w:tc>
        <w:tc>
          <w:tcPr>
            <w:tcW w:w="731" w:type="dxa"/>
            <w:tcBorders>
              <w:top w:val="nil"/>
              <w:left w:val="nil"/>
              <w:bottom w:val="single" w:sz="4" w:space="0" w:color="auto"/>
              <w:right w:val="single" w:sz="4" w:space="0" w:color="auto"/>
            </w:tcBorders>
            <w:shd w:val="clear" w:color="auto" w:fill="auto"/>
            <w:vAlign w:val="center"/>
            <w:hideMark/>
          </w:tcPr>
          <w:p w14:paraId="5216468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w:t>
            </w:r>
          </w:p>
        </w:tc>
      </w:tr>
      <w:tr w:rsidR="00726A23" w:rsidRPr="00EE5714" w14:paraId="4A7A8639" w14:textId="77777777" w:rsidTr="003B7A82">
        <w:trPr>
          <w:trHeight w:val="296"/>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AD5291F"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46,118</w:t>
            </w:r>
          </w:p>
        </w:tc>
        <w:tc>
          <w:tcPr>
            <w:tcW w:w="893" w:type="dxa"/>
            <w:tcBorders>
              <w:top w:val="nil"/>
              <w:left w:val="nil"/>
              <w:bottom w:val="single" w:sz="4" w:space="0" w:color="auto"/>
              <w:right w:val="single" w:sz="4" w:space="0" w:color="auto"/>
            </w:tcBorders>
            <w:shd w:val="clear" w:color="auto" w:fill="auto"/>
            <w:vAlign w:val="center"/>
            <w:hideMark/>
          </w:tcPr>
          <w:p w14:paraId="5E9794BA"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27.8%</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7831972E"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2181CA55"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27.8%</w:t>
            </w:r>
          </w:p>
        </w:tc>
        <w:tc>
          <w:tcPr>
            <w:tcW w:w="1522" w:type="dxa"/>
            <w:tcBorders>
              <w:top w:val="nil"/>
              <w:left w:val="nil"/>
              <w:bottom w:val="single" w:sz="4" w:space="0" w:color="auto"/>
              <w:right w:val="single" w:sz="4" w:space="0" w:color="auto"/>
            </w:tcBorders>
            <w:shd w:val="clear" w:color="auto" w:fill="auto"/>
            <w:vAlign w:val="center"/>
            <w:hideMark/>
          </w:tcPr>
          <w:p w14:paraId="0B3BD3DB"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113B3C26"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402,633</w:t>
            </w:r>
          </w:p>
        </w:tc>
        <w:tc>
          <w:tcPr>
            <w:tcW w:w="703" w:type="dxa"/>
            <w:tcBorders>
              <w:top w:val="nil"/>
              <w:left w:val="nil"/>
              <w:bottom w:val="single" w:sz="4" w:space="0" w:color="auto"/>
              <w:right w:val="single" w:sz="4" w:space="0" w:color="auto"/>
            </w:tcBorders>
            <w:shd w:val="clear" w:color="auto" w:fill="auto"/>
            <w:vAlign w:val="center"/>
            <w:hideMark/>
          </w:tcPr>
          <w:p w14:paraId="287F2B23"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412" w:type="dxa"/>
            <w:tcBorders>
              <w:top w:val="nil"/>
              <w:left w:val="nil"/>
              <w:bottom w:val="single" w:sz="4" w:space="0" w:color="auto"/>
              <w:right w:val="single" w:sz="4" w:space="0" w:color="auto"/>
            </w:tcBorders>
            <w:shd w:val="clear" w:color="auto" w:fill="auto"/>
            <w:vAlign w:val="center"/>
            <w:hideMark/>
          </w:tcPr>
          <w:p w14:paraId="31A6B36F"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108" w:type="dxa"/>
            <w:tcBorders>
              <w:top w:val="nil"/>
              <w:left w:val="nil"/>
              <w:bottom w:val="single" w:sz="4" w:space="0" w:color="auto"/>
              <w:right w:val="single" w:sz="4" w:space="0" w:color="auto"/>
            </w:tcBorders>
            <w:shd w:val="clear" w:color="auto" w:fill="auto"/>
            <w:vAlign w:val="center"/>
            <w:hideMark/>
          </w:tcPr>
          <w:p w14:paraId="633E7B5E"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10,968</w:t>
            </w:r>
          </w:p>
        </w:tc>
        <w:tc>
          <w:tcPr>
            <w:tcW w:w="731" w:type="dxa"/>
            <w:tcBorders>
              <w:top w:val="nil"/>
              <w:left w:val="nil"/>
              <w:bottom w:val="single" w:sz="4" w:space="0" w:color="auto"/>
              <w:right w:val="single" w:sz="4" w:space="0" w:color="auto"/>
            </w:tcBorders>
            <w:shd w:val="clear" w:color="auto" w:fill="auto"/>
            <w:vAlign w:val="center"/>
            <w:hideMark/>
          </w:tcPr>
          <w:p w14:paraId="6F0FC16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w:t>
            </w:r>
          </w:p>
        </w:tc>
      </w:tr>
      <w:tr w:rsidR="00726A23" w:rsidRPr="00EE5714" w14:paraId="6DDCD1F5" w14:textId="77777777" w:rsidTr="003B7A82">
        <w:trPr>
          <w:trHeight w:val="296"/>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97C066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6,408</w:t>
            </w:r>
          </w:p>
        </w:tc>
        <w:tc>
          <w:tcPr>
            <w:tcW w:w="893" w:type="dxa"/>
            <w:tcBorders>
              <w:top w:val="nil"/>
              <w:left w:val="nil"/>
              <w:bottom w:val="single" w:sz="4" w:space="0" w:color="auto"/>
              <w:right w:val="single" w:sz="4" w:space="0" w:color="auto"/>
            </w:tcBorders>
            <w:shd w:val="clear" w:color="auto" w:fill="auto"/>
            <w:vAlign w:val="center"/>
            <w:hideMark/>
          </w:tcPr>
          <w:p w14:paraId="060EAB7C"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w:t>
            </w:r>
          </w:p>
        </w:tc>
        <w:tc>
          <w:tcPr>
            <w:tcW w:w="1092" w:type="dxa"/>
            <w:tcBorders>
              <w:top w:val="nil"/>
              <w:left w:val="nil"/>
              <w:bottom w:val="single" w:sz="4" w:space="0" w:color="auto"/>
              <w:right w:val="single" w:sz="4" w:space="0" w:color="auto"/>
            </w:tcBorders>
            <w:shd w:val="clear" w:color="auto" w:fill="auto"/>
            <w:vAlign w:val="center"/>
            <w:hideMark/>
          </w:tcPr>
          <w:p w14:paraId="7BD5768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92" w:type="dxa"/>
            <w:tcBorders>
              <w:top w:val="nil"/>
              <w:left w:val="nil"/>
              <w:bottom w:val="single" w:sz="4" w:space="0" w:color="auto"/>
              <w:right w:val="single" w:sz="4" w:space="0" w:color="auto"/>
            </w:tcBorders>
            <w:shd w:val="clear" w:color="auto" w:fill="auto"/>
            <w:vAlign w:val="center"/>
            <w:hideMark/>
          </w:tcPr>
          <w:p w14:paraId="4730377C"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36.0%</w:t>
            </w:r>
          </w:p>
        </w:tc>
        <w:tc>
          <w:tcPr>
            <w:tcW w:w="31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FCD7D5F"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412" w:type="dxa"/>
            <w:tcBorders>
              <w:top w:val="nil"/>
              <w:left w:val="single" w:sz="4" w:space="0" w:color="auto"/>
              <w:bottom w:val="single" w:sz="4" w:space="0" w:color="auto"/>
              <w:right w:val="single" w:sz="4" w:space="0" w:color="auto"/>
            </w:tcBorders>
            <w:shd w:val="clear" w:color="auto" w:fill="auto"/>
            <w:vAlign w:val="center"/>
            <w:hideMark/>
          </w:tcPr>
          <w:p w14:paraId="294F5983"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108" w:type="dxa"/>
            <w:tcBorders>
              <w:top w:val="nil"/>
              <w:left w:val="nil"/>
              <w:bottom w:val="single" w:sz="4" w:space="0" w:color="auto"/>
              <w:right w:val="single" w:sz="4" w:space="0" w:color="auto"/>
            </w:tcBorders>
            <w:shd w:val="clear" w:color="auto" w:fill="auto"/>
            <w:vAlign w:val="center"/>
            <w:hideMark/>
          </w:tcPr>
          <w:p w14:paraId="6429D2AD"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12,015</w:t>
            </w:r>
          </w:p>
        </w:tc>
        <w:tc>
          <w:tcPr>
            <w:tcW w:w="731" w:type="dxa"/>
            <w:tcBorders>
              <w:top w:val="nil"/>
              <w:left w:val="nil"/>
              <w:bottom w:val="single" w:sz="4" w:space="0" w:color="auto"/>
              <w:right w:val="single" w:sz="4" w:space="0" w:color="auto"/>
            </w:tcBorders>
            <w:shd w:val="clear" w:color="auto" w:fill="auto"/>
            <w:vAlign w:val="center"/>
            <w:hideMark/>
          </w:tcPr>
          <w:p w14:paraId="338419C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7.1%</w:t>
            </w:r>
          </w:p>
        </w:tc>
      </w:tr>
      <w:tr w:rsidR="00726A23" w:rsidRPr="00EE5714" w14:paraId="1AC13963" w14:textId="77777777" w:rsidTr="003B7A82">
        <w:trPr>
          <w:trHeight w:val="503"/>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4B6FA3D5"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557</w:t>
            </w:r>
          </w:p>
        </w:tc>
        <w:tc>
          <w:tcPr>
            <w:tcW w:w="893" w:type="dxa"/>
            <w:tcBorders>
              <w:top w:val="nil"/>
              <w:left w:val="nil"/>
              <w:bottom w:val="single" w:sz="4" w:space="0" w:color="auto"/>
              <w:right w:val="single" w:sz="4" w:space="0" w:color="auto"/>
            </w:tcBorders>
            <w:shd w:val="clear" w:color="auto" w:fill="auto"/>
            <w:vAlign w:val="center"/>
            <w:hideMark/>
          </w:tcPr>
          <w:p w14:paraId="14ECF7BA"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092" w:type="dxa"/>
            <w:tcBorders>
              <w:top w:val="nil"/>
              <w:left w:val="nil"/>
              <w:bottom w:val="single" w:sz="4" w:space="0" w:color="auto"/>
              <w:right w:val="single" w:sz="4" w:space="0" w:color="auto"/>
            </w:tcBorders>
            <w:shd w:val="clear" w:color="auto" w:fill="auto"/>
            <w:vAlign w:val="center"/>
            <w:hideMark/>
          </w:tcPr>
          <w:p w14:paraId="61E849C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92" w:type="dxa"/>
            <w:tcBorders>
              <w:top w:val="nil"/>
              <w:left w:val="nil"/>
              <w:bottom w:val="single" w:sz="4" w:space="0" w:color="auto"/>
              <w:right w:val="single" w:sz="4" w:space="0" w:color="auto"/>
            </w:tcBorders>
            <w:shd w:val="clear" w:color="auto" w:fill="auto"/>
            <w:vAlign w:val="center"/>
            <w:hideMark/>
          </w:tcPr>
          <w:p w14:paraId="27631B6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15.5%</w:t>
            </w:r>
          </w:p>
        </w:tc>
        <w:tc>
          <w:tcPr>
            <w:tcW w:w="1522" w:type="dxa"/>
            <w:tcBorders>
              <w:top w:val="single" w:sz="4" w:space="0" w:color="auto"/>
              <w:left w:val="nil"/>
              <w:bottom w:val="single" w:sz="4" w:space="0" w:color="auto"/>
              <w:right w:val="single" w:sz="4" w:space="0" w:color="auto"/>
            </w:tcBorders>
            <w:shd w:val="clear" w:color="000000" w:fill="E7E6E6"/>
            <w:vAlign w:val="center"/>
            <w:hideMark/>
          </w:tcPr>
          <w:p w14:paraId="201F1C88"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908" w:type="dxa"/>
            <w:tcBorders>
              <w:top w:val="single" w:sz="4" w:space="0" w:color="auto"/>
              <w:left w:val="nil"/>
              <w:bottom w:val="single" w:sz="4" w:space="0" w:color="auto"/>
              <w:right w:val="single" w:sz="4" w:space="0" w:color="auto"/>
            </w:tcBorders>
            <w:shd w:val="clear" w:color="000000" w:fill="E7E6E6"/>
            <w:vAlign w:val="center"/>
            <w:hideMark/>
          </w:tcPr>
          <w:p w14:paraId="64964646"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03" w:type="dxa"/>
            <w:tcBorders>
              <w:top w:val="single" w:sz="4" w:space="0" w:color="auto"/>
              <w:left w:val="nil"/>
              <w:bottom w:val="single" w:sz="4" w:space="0" w:color="auto"/>
              <w:right w:val="single" w:sz="4" w:space="0" w:color="auto"/>
            </w:tcBorders>
            <w:shd w:val="clear" w:color="000000" w:fill="E7E6E6"/>
            <w:vAlign w:val="center"/>
            <w:hideMark/>
          </w:tcPr>
          <w:p w14:paraId="7412E676"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412" w:type="dxa"/>
            <w:tcBorders>
              <w:top w:val="nil"/>
              <w:left w:val="nil"/>
              <w:bottom w:val="single" w:sz="4" w:space="0" w:color="auto"/>
              <w:right w:val="single" w:sz="4" w:space="0" w:color="auto"/>
            </w:tcBorders>
            <w:shd w:val="clear" w:color="auto" w:fill="auto"/>
            <w:vAlign w:val="center"/>
            <w:hideMark/>
          </w:tcPr>
          <w:p w14:paraId="14202073"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08" w:type="dxa"/>
            <w:tcBorders>
              <w:top w:val="nil"/>
              <w:left w:val="nil"/>
              <w:bottom w:val="single" w:sz="4" w:space="0" w:color="auto"/>
              <w:right w:val="single" w:sz="4" w:space="0" w:color="auto"/>
            </w:tcBorders>
            <w:shd w:val="clear" w:color="auto" w:fill="auto"/>
            <w:vAlign w:val="center"/>
            <w:hideMark/>
          </w:tcPr>
          <w:p w14:paraId="2F899EB1"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168,494</w:t>
            </w:r>
          </w:p>
        </w:tc>
        <w:tc>
          <w:tcPr>
            <w:tcW w:w="731" w:type="dxa"/>
            <w:tcBorders>
              <w:top w:val="nil"/>
              <w:left w:val="nil"/>
              <w:bottom w:val="single" w:sz="4" w:space="0" w:color="auto"/>
              <w:right w:val="single" w:sz="4" w:space="0" w:color="auto"/>
            </w:tcBorders>
            <w:shd w:val="clear" w:color="auto" w:fill="auto"/>
            <w:vAlign w:val="center"/>
            <w:hideMark/>
          </w:tcPr>
          <w:p w14:paraId="4D99A7A5"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26A23" w:rsidRPr="00EE5714" w14:paraId="3A407276" w14:textId="77777777" w:rsidTr="003B7A82">
        <w:trPr>
          <w:trHeight w:val="296"/>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01C359A5"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w:t>
            </w:r>
          </w:p>
        </w:tc>
        <w:tc>
          <w:tcPr>
            <w:tcW w:w="893" w:type="dxa"/>
            <w:tcBorders>
              <w:top w:val="nil"/>
              <w:left w:val="nil"/>
              <w:bottom w:val="single" w:sz="4" w:space="0" w:color="auto"/>
              <w:right w:val="single" w:sz="4" w:space="0" w:color="auto"/>
            </w:tcBorders>
            <w:shd w:val="clear" w:color="auto" w:fill="auto"/>
            <w:vAlign w:val="center"/>
            <w:hideMark/>
          </w:tcPr>
          <w:p w14:paraId="3E52B7C7"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092" w:type="dxa"/>
            <w:tcBorders>
              <w:top w:val="nil"/>
              <w:left w:val="nil"/>
              <w:bottom w:val="single" w:sz="4" w:space="0" w:color="auto"/>
              <w:right w:val="single" w:sz="4" w:space="0" w:color="auto"/>
            </w:tcBorders>
            <w:shd w:val="clear" w:color="auto" w:fill="auto"/>
            <w:vAlign w:val="center"/>
            <w:hideMark/>
          </w:tcPr>
          <w:p w14:paraId="066126EA"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92" w:type="dxa"/>
            <w:tcBorders>
              <w:top w:val="nil"/>
              <w:left w:val="nil"/>
              <w:bottom w:val="single" w:sz="4" w:space="0" w:color="auto"/>
              <w:right w:val="single" w:sz="4" w:space="0" w:color="auto"/>
            </w:tcBorders>
            <w:shd w:val="clear" w:color="auto" w:fill="auto"/>
            <w:vAlign w:val="center"/>
            <w:hideMark/>
          </w:tcPr>
          <w:p w14:paraId="581E8C6A"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13.2%</w:t>
            </w:r>
          </w:p>
        </w:tc>
        <w:tc>
          <w:tcPr>
            <w:tcW w:w="1522" w:type="dxa"/>
            <w:tcBorders>
              <w:top w:val="nil"/>
              <w:left w:val="nil"/>
              <w:bottom w:val="single" w:sz="4" w:space="0" w:color="auto"/>
              <w:right w:val="single" w:sz="4" w:space="0" w:color="auto"/>
            </w:tcBorders>
            <w:shd w:val="clear" w:color="auto" w:fill="auto"/>
            <w:vAlign w:val="center"/>
            <w:hideMark/>
          </w:tcPr>
          <w:p w14:paraId="26FD9B32"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908" w:type="dxa"/>
            <w:tcBorders>
              <w:top w:val="nil"/>
              <w:left w:val="nil"/>
              <w:bottom w:val="single" w:sz="4" w:space="0" w:color="auto"/>
              <w:right w:val="single" w:sz="4" w:space="0" w:color="auto"/>
            </w:tcBorders>
            <w:shd w:val="clear" w:color="auto" w:fill="auto"/>
            <w:vAlign w:val="center"/>
            <w:hideMark/>
          </w:tcPr>
          <w:p w14:paraId="6A379B1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111,763</w:t>
            </w:r>
          </w:p>
        </w:tc>
        <w:tc>
          <w:tcPr>
            <w:tcW w:w="703" w:type="dxa"/>
            <w:tcBorders>
              <w:top w:val="nil"/>
              <w:left w:val="nil"/>
              <w:bottom w:val="single" w:sz="4" w:space="0" w:color="auto"/>
              <w:right w:val="single" w:sz="4" w:space="0" w:color="auto"/>
            </w:tcBorders>
            <w:shd w:val="clear" w:color="auto" w:fill="auto"/>
            <w:vAlign w:val="center"/>
            <w:hideMark/>
          </w:tcPr>
          <w:p w14:paraId="7245979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67.4%</w:t>
            </w:r>
          </w:p>
        </w:tc>
        <w:tc>
          <w:tcPr>
            <w:tcW w:w="1412" w:type="dxa"/>
            <w:tcBorders>
              <w:top w:val="nil"/>
              <w:left w:val="nil"/>
              <w:bottom w:val="single" w:sz="4" w:space="0" w:color="auto"/>
              <w:right w:val="single" w:sz="4" w:space="0" w:color="auto"/>
            </w:tcBorders>
            <w:shd w:val="clear" w:color="auto" w:fill="auto"/>
            <w:vAlign w:val="center"/>
            <w:hideMark/>
          </w:tcPr>
          <w:p w14:paraId="72D5A50A"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108" w:type="dxa"/>
            <w:tcBorders>
              <w:top w:val="nil"/>
              <w:left w:val="nil"/>
              <w:bottom w:val="single" w:sz="4" w:space="0" w:color="auto"/>
              <w:right w:val="single" w:sz="4" w:space="0" w:color="auto"/>
            </w:tcBorders>
            <w:shd w:val="clear" w:color="auto" w:fill="auto"/>
            <w:vAlign w:val="center"/>
            <w:hideMark/>
          </w:tcPr>
          <w:p w14:paraId="09297689"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$60,283</w:t>
            </w:r>
          </w:p>
        </w:tc>
        <w:tc>
          <w:tcPr>
            <w:tcW w:w="731" w:type="dxa"/>
            <w:tcBorders>
              <w:top w:val="nil"/>
              <w:left w:val="nil"/>
              <w:bottom w:val="single" w:sz="4" w:space="0" w:color="auto"/>
              <w:right w:val="single" w:sz="4" w:space="0" w:color="auto"/>
            </w:tcBorders>
            <w:shd w:val="clear" w:color="auto" w:fill="auto"/>
            <w:vAlign w:val="center"/>
            <w:hideMark/>
          </w:tcPr>
          <w:p w14:paraId="16B509AA"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26A23" w:rsidRPr="00EE5714" w14:paraId="1872BDFA" w14:textId="77777777" w:rsidTr="003B7A82">
        <w:trPr>
          <w:trHeight w:val="503"/>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573D914"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w:t>
            </w:r>
          </w:p>
        </w:tc>
        <w:tc>
          <w:tcPr>
            <w:tcW w:w="893" w:type="dxa"/>
            <w:tcBorders>
              <w:top w:val="nil"/>
              <w:left w:val="nil"/>
              <w:bottom w:val="single" w:sz="4" w:space="0" w:color="auto"/>
              <w:right w:val="single" w:sz="4" w:space="0" w:color="auto"/>
            </w:tcBorders>
            <w:shd w:val="clear" w:color="auto" w:fill="auto"/>
            <w:vAlign w:val="center"/>
            <w:hideMark/>
          </w:tcPr>
          <w:p w14:paraId="585BC7A7"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2" w:type="dxa"/>
            <w:tcBorders>
              <w:top w:val="nil"/>
              <w:left w:val="nil"/>
              <w:bottom w:val="single" w:sz="4" w:space="0" w:color="auto"/>
              <w:right w:val="single" w:sz="4" w:space="0" w:color="auto"/>
            </w:tcBorders>
            <w:shd w:val="clear" w:color="auto" w:fill="auto"/>
            <w:vAlign w:val="center"/>
            <w:hideMark/>
          </w:tcPr>
          <w:p w14:paraId="5407476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92" w:type="dxa"/>
            <w:tcBorders>
              <w:top w:val="nil"/>
              <w:left w:val="nil"/>
              <w:bottom w:val="single" w:sz="4" w:space="0" w:color="auto"/>
              <w:right w:val="single" w:sz="4" w:space="0" w:color="auto"/>
            </w:tcBorders>
            <w:shd w:val="clear" w:color="auto" w:fill="auto"/>
            <w:vAlign w:val="center"/>
            <w:hideMark/>
          </w:tcPr>
          <w:p w14:paraId="364A3BCA"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w:t>
            </w:r>
          </w:p>
        </w:tc>
        <w:tc>
          <w:tcPr>
            <w:tcW w:w="1522" w:type="dxa"/>
            <w:tcBorders>
              <w:top w:val="nil"/>
              <w:left w:val="nil"/>
              <w:bottom w:val="single" w:sz="4" w:space="0" w:color="auto"/>
              <w:right w:val="single" w:sz="4" w:space="0" w:color="auto"/>
            </w:tcBorders>
            <w:shd w:val="clear" w:color="auto" w:fill="auto"/>
            <w:vAlign w:val="center"/>
            <w:hideMark/>
          </w:tcPr>
          <w:p w14:paraId="58E48F45"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908" w:type="dxa"/>
            <w:tcBorders>
              <w:top w:val="nil"/>
              <w:left w:val="nil"/>
              <w:bottom w:val="single" w:sz="4" w:space="0" w:color="auto"/>
              <w:right w:val="single" w:sz="4" w:space="0" w:color="auto"/>
            </w:tcBorders>
            <w:shd w:val="clear" w:color="auto" w:fill="auto"/>
            <w:vAlign w:val="center"/>
            <w:hideMark/>
          </w:tcPr>
          <w:p w14:paraId="5359309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3,826</w:t>
            </w:r>
          </w:p>
        </w:tc>
        <w:tc>
          <w:tcPr>
            <w:tcW w:w="703" w:type="dxa"/>
            <w:tcBorders>
              <w:top w:val="nil"/>
              <w:left w:val="nil"/>
              <w:bottom w:val="single" w:sz="4" w:space="0" w:color="auto"/>
              <w:right w:val="single" w:sz="4" w:space="0" w:color="auto"/>
            </w:tcBorders>
            <w:shd w:val="clear" w:color="auto" w:fill="auto"/>
            <w:vAlign w:val="center"/>
            <w:hideMark/>
          </w:tcPr>
          <w:p w14:paraId="1FA91719"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w:t>
            </w:r>
          </w:p>
        </w:tc>
        <w:tc>
          <w:tcPr>
            <w:tcW w:w="1412" w:type="dxa"/>
            <w:tcBorders>
              <w:top w:val="nil"/>
              <w:left w:val="nil"/>
              <w:bottom w:val="single" w:sz="4" w:space="0" w:color="auto"/>
              <w:right w:val="single" w:sz="4" w:space="0" w:color="auto"/>
            </w:tcBorders>
            <w:shd w:val="clear" w:color="auto" w:fill="auto"/>
            <w:vAlign w:val="center"/>
            <w:hideMark/>
          </w:tcPr>
          <w:p w14:paraId="34E7ED8E"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108" w:type="dxa"/>
            <w:tcBorders>
              <w:top w:val="nil"/>
              <w:left w:val="nil"/>
              <w:bottom w:val="single" w:sz="4" w:space="0" w:color="auto"/>
              <w:right w:val="single" w:sz="4" w:space="0" w:color="auto"/>
            </w:tcBorders>
            <w:shd w:val="clear" w:color="auto" w:fill="auto"/>
            <w:vAlign w:val="center"/>
            <w:hideMark/>
          </w:tcPr>
          <w:p w14:paraId="4091216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$86,487</w:t>
            </w:r>
          </w:p>
        </w:tc>
        <w:tc>
          <w:tcPr>
            <w:tcW w:w="731" w:type="dxa"/>
            <w:tcBorders>
              <w:top w:val="nil"/>
              <w:left w:val="nil"/>
              <w:bottom w:val="single" w:sz="4" w:space="0" w:color="auto"/>
              <w:right w:val="single" w:sz="4" w:space="0" w:color="auto"/>
            </w:tcBorders>
            <w:shd w:val="clear" w:color="auto" w:fill="auto"/>
            <w:vAlign w:val="center"/>
            <w:hideMark/>
          </w:tcPr>
          <w:p w14:paraId="1ABB247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26A23" w:rsidRPr="00EE5714" w14:paraId="0403A175" w14:textId="77777777" w:rsidTr="003B7A82">
        <w:trPr>
          <w:trHeight w:val="296"/>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04EEE402"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893" w:type="dxa"/>
            <w:tcBorders>
              <w:top w:val="nil"/>
              <w:left w:val="nil"/>
              <w:bottom w:val="single" w:sz="4" w:space="0" w:color="auto"/>
              <w:right w:val="single" w:sz="4" w:space="0" w:color="auto"/>
            </w:tcBorders>
            <w:shd w:val="clear" w:color="auto" w:fill="auto"/>
            <w:vAlign w:val="center"/>
            <w:hideMark/>
          </w:tcPr>
          <w:p w14:paraId="5BADDF7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2" w:type="dxa"/>
            <w:tcBorders>
              <w:top w:val="nil"/>
              <w:left w:val="nil"/>
              <w:bottom w:val="single" w:sz="4" w:space="0" w:color="auto"/>
              <w:right w:val="single" w:sz="4" w:space="0" w:color="auto"/>
            </w:tcBorders>
            <w:shd w:val="clear" w:color="auto" w:fill="auto"/>
            <w:vAlign w:val="center"/>
            <w:hideMark/>
          </w:tcPr>
          <w:p w14:paraId="3861CD2A"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92" w:type="dxa"/>
            <w:tcBorders>
              <w:top w:val="nil"/>
              <w:left w:val="nil"/>
              <w:bottom w:val="single" w:sz="4" w:space="0" w:color="auto"/>
              <w:right w:val="single" w:sz="4" w:space="0" w:color="auto"/>
            </w:tcBorders>
            <w:shd w:val="clear" w:color="auto" w:fill="auto"/>
            <w:vAlign w:val="center"/>
            <w:hideMark/>
          </w:tcPr>
          <w:p w14:paraId="1B08994E"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w:t>
            </w:r>
          </w:p>
        </w:tc>
        <w:tc>
          <w:tcPr>
            <w:tcW w:w="1522" w:type="dxa"/>
            <w:tcBorders>
              <w:top w:val="nil"/>
              <w:left w:val="nil"/>
              <w:bottom w:val="single" w:sz="4" w:space="0" w:color="auto"/>
              <w:right w:val="single" w:sz="4" w:space="0" w:color="auto"/>
            </w:tcBorders>
            <w:shd w:val="clear" w:color="auto" w:fill="auto"/>
            <w:vAlign w:val="center"/>
            <w:hideMark/>
          </w:tcPr>
          <w:p w14:paraId="33EDFF0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908" w:type="dxa"/>
            <w:tcBorders>
              <w:top w:val="nil"/>
              <w:left w:val="nil"/>
              <w:bottom w:val="single" w:sz="4" w:space="0" w:color="auto"/>
              <w:right w:val="single" w:sz="4" w:space="0" w:color="auto"/>
            </w:tcBorders>
            <w:shd w:val="clear" w:color="auto" w:fill="auto"/>
            <w:vAlign w:val="center"/>
            <w:hideMark/>
          </w:tcPr>
          <w:p w14:paraId="4C5DAA80"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29,869</w:t>
            </w:r>
          </w:p>
        </w:tc>
        <w:tc>
          <w:tcPr>
            <w:tcW w:w="703" w:type="dxa"/>
            <w:tcBorders>
              <w:top w:val="nil"/>
              <w:left w:val="nil"/>
              <w:bottom w:val="single" w:sz="4" w:space="0" w:color="auto"/>
              <w:right w:val="single" w:sz="4" w:space="0" w:color="auto"/>
            </w:tcBorders>
            <w:shd w:val="clear" w:color="auto" w:fill="auto"/>
            <w:vAlign w:val="center"/>
            <w:hideMark/>
          </w:tcPr>
          <w:p w14:paraId="4062CD1D"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18.0%</w:t>
            </w:r>
          </w:p>
        </w:tc>
        <w:tc>
          <w:tcPr>
            <w:tcW w:w="1412" w:type="dxa"/>
            <w:tcBorders>
              <w:top w:val="nil"/>
              <w:left w:val="nil"/>
              <w:bottom w:val="single" w:sz="4" w:space="0" w:color="auto"/>
              <w:right w:val="single" w:sz="4" w:space="0" w:color="auto"/>
            </w:tcBorders>
            <w:shd w:val="clear" w:color="auto" w:fill="auto"/>
            <w:vAlign w:val="center"/>
            <w:hideMark/>
          </w:tcPr>
          <w:p w14:paraId="2963987E"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108" w:type="dxa"/>
            <w:tcBorders>
              <w:top w:val="nil"/>
              <w:left w:val="nil"/>
              <w:bottom w:val="single" w:sz="4" w:space="0" w:color="auto"/>
              <w:right w:val="single" w:sz="4" w:space="0" w:color="auto"/>
            </w:tcBorders>
            <w:shd w:val="clear" w:color="auto" w:fill="auto"/>
            <w:vAlign w:val="center"/>
            <w:hideMark/>
          </w:tcPr>
          <w:p w14:paraId="6CDDF422"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$35,231</w:t>
            </w:r>
          </w:p>
        </w:tc>
        <w:tc>
          <w:tcPr>
            <w:tcW w:w="731" w:type="dxa"/>
            <w:tcBorders>
              <w:top w:val="nil"/>
              <w:left w:val="nil"/>
              <w:bottom w:val="single" w:sz="4" w:space="0" w:color="auto"/>
              <w:right w:val="single" w:sz="4" w:space="0" w:color="auto"/>
            </w:tcBorders>
            <w:shd w:val="clear" w:color="auto" w:fill="auto"/>
            <w:vAlign w:val="center"/>
            <w:hideMark/>
          </w:tcPr>
          <w:p w14:paraId="19EBBECE"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26A23" w:rsidRPr="00EE5714" w14:paraId="747EA5BC" w14:textId="77777777" w:rsidTr="003B7A82">
        <w:trPr>
          <w:trHeight w:val="503"/>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A55B6F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893" w:type="dxa"/>
            <w:tcBorders>
              <w:top w:val="nil"/>
              <w:left w:val="nil"/>
              <w:bottom w:val="single" w:sz="4" w:space="0" w:color="auto"/>
              <w:right w:val="single" w:sz="4" w:space="0" w:color="auto"/>
            </w:tcBorders>
            <w:shd w:val="clear" w:color="auto" w:fill="auto"/>
            <w:vAlign w:val="center"/>
            <w:hideMark/>
          </w:tcPr>
          <w:p w14:paraId="6558AA5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2" w:type="dxa"/>
            <w:tcBorders>
              <w:top w:val="nil"/>
              <w:left w:val="nil"/>
              <w:bottom w:val="single" w:sz="4" w:space="0" w:color="auto"/>
              <w:right w:val="single" w:sz="4" w:space="0" w:color="auto"/>
            </w:tcBorders>
            <w:shd w:val="clear" w:color="auto" w:fill="auto"/>
            <w:vAlign w:val="center"/>
            <w:hideMark/>
          </w:tcPr>
          <w:p w14:paraId="158BEDE7"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92" w:type="dxa"/>
            <w:tcBorders>
              <w:top w:val="nil"/>
              <w:left w:val="nil"/>
              <w:bottom w:val="single" w:sz="4" w:space="0" w:color="auto"/>
              <w:right w:val="single" w:sz="4" w:space="0" w:color="auto"/>
            </w:tcBorders>
            <w:shd w:val="clear" w:color="auto" w:fill="auto"/>
            <w:vAlign w:val="center"/>
            <w:hideMark/>
          </w:tcPr>
          <w:p w14:paraId="34327B07"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0.8%</w:t>
            </w:r>
          </w:p>
        </w:tc>
        <w:tc>
          <w:tcPr>
            <w:tcW w:w="1522" w:type="dxa"/>
            <w:tcBorders>
              <w:top w:val="nil"/>
              <w:left w:val="nil"/>
              <w:bottom w:val="single" w:sz="4" w:space="0" w:color="auto"/>
              <w:right w:val="single" w:sz="4" w:space="0" w:color="auto"/>
            </w:tcBorders>
            <w:shd w:val="clear" w:color="auto" w:fill="auto"/>
            <w:vAlign w:val="center"/>
            <w:hideMark/>
          </w:tcPr>
          <w:p w14:paraId="0FA699A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908" w:type="dxa"/>
            <w:tcBorders>
              <w:top w:val="nil"/>
              <w:left w:val="nil"/>
              <w:bottom w:val="single" w:sz="4" w:space="0" w:color="auto"/>
              <w:right w:val="single" w:sz="4" w:space="0" w:color="auto"/>
            </w:tcBorders>
            <w:shd w:val="clear" w:color="auto" w:fill="auto"/>
            <w:vAlign w:val="center"/>
            <w:hideMark/>
          </w:tcPr>
          <w:p w14:paraId="05617AE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13,707</w:t>
            </w:r>
          </w:p>
        </w:tc>
        <w:tc>
          <w:tcPr>
            <w:tcW w:w="703" w:type="dxa"/>
            <w:tcBorders>
              <w:top w:val="nil"/>
              <w:left w:val="nil"/>
              <w:bottom w:val="single" w:sz="4" w:space="0" w:color="auto"/>
              <w:right w:val="single" w:sz="4" w:space="0" w:color="auto"/>
            </w:tcBorders>
            <w:shd w:val="clear" w:color="auto" w:fill="auto"/>
            <w:vAlign w:val="center"/>
            <w:hideMark/>
          </w:tcPr>
          <w:p w14:paraId="07B4C497"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8.3%</w:t>
            </w:r>
          </w:p>
        </w:tc>
        <w:tc>
          <w:tcPr>
            <w:tcW w:w="3252"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3CE69213"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Penn Power Service Area                                            2012-2016 ACS</w:t>
            </w:r>
          </w:p>
        </w:tc>
      </w:tr>
      <w:tr w:rsidR="00726A23" w:rsidRPr="00EE5714" w14:paraId="00E0CBEA" w14:textId="77777777" w:rsidTr="003B7A82">
        <w:trPr>
          <w:trHeight w:val="503"/>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9A91E66"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165,864</w:t>
            </w:r>
          </w:p>
        </w:tc>
        <w:tc>
          <w:tcPr>
            <w:tcW w:w="893" w:type="dxa"/>
            <w:tcBorders>
              <w:top w:val="nil"/>
              <w:left w:val="nil"/>
              <w:bottom w:val="single" w:sz="4" w:space="0" w:color="auto"/>
              <w:right w:val="single" w:sz="4" w:space="0" w:color="auto"/>
            </w:tcBorders>
            <w:shd w:val="clear" w:color="auto" w:fill="auto"/>
            <w:vAlign w:val="center"/>
            <w:hideMark/>
          </w:tcPr>
          <w:p w14:paraId="280007B2"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auto" w:fill="auto"/>
            <w:vAlign w:val="center"/>
            <w:hideMark/>
          </w:tcPr>
          <w:p w14:paraId="24340CEF"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auto" w:fill="auto"/>
            <w:vAlign w:val="center"/>
            <w:hideMark/>
          </w:tcPr>
          <w:p w14:paraId="7BE0FB6C"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2" w:type="dxa"/>
            <w:tcBorders>
              <w:top w:val="nil"/>
              <w:left w:val="nil"/>
              <w:bottom w:val="single" w:sz="4" w:space="0" w:color="auto"/>
              <w:right w:val="single" w:sz="4" w:space="0" w:color="auto"/>
            </w:tcBorders>
            <w:shd w:val="clear" w:color="auto" w:fill="auto"/>
            <w:vAlign w:val="center"/>
            <w:hideMark/>
          </w:tcPr>
          <w:p w14:paraId="011A4CD5"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908" w:type="dxa"/>
            <w:tcBorders>
              <w:top w:val="nil"/>
              <w:left w:val="nil"/>
              <w:bottom w:val="single" w:sz="4" w:space="0" w:color="auto"/>
              <w:right w:val="single" w:sz="4" w:space="0" w:color="auto"/>
            </w:tcBorders>
            <w:shd w:val="clear" w:color="auto" w:fill="auto"/>
            <w:vAlign w:val="center"/>
            <w:hideMark/>
          </w:tcPr>
          <w:p w14:paraId="69023EC0"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468</w:t>
            </w:r>
          </w:p>
        </w:tc>
        <w:tc>
          <w:tcPr>
            <w:tcW w:w="703" w:type="dxa"/>
            <w:tcBorders>
              <w:top w:val="nil"/>
              <w:left w:val="nil"/>
              <w:bottom w:val="single" w:sz="4" w:space="0" w:color="auto"/>
              <w:right w:val="single" w:sz="4" w:space="0" w:color="auto"/>
            </w:tcBorders>
            <w:shd w:val="clear" w:color="auto" w:fill="auto"/>
            <w:vAlign w:val="center"/>
            <w:hideMark/>
          </w:tcPr>
          <w:p w14:paraId="162E2E82"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412" w:type="dxa"/>
            <w:tcBorders>
              <w:top w:val="single" w:sz="4" w:space="0" w:color="auto"/>
              <w:left w:val="nil"/>
              <w:bottom w:val="single" w:sz="4" w:space="0" w:color="auto"/>
              <w:right w:val="single" w:sz="4" w:space="0" w:color="auto"/>
            </w:tcBorders>
            <w:shd w:val="clear" w:color="000000" w:fill="E7E6E6"/>
            <w:vAlign w:val="center"/>
            <w:hideMark/>
          </w:tcPr>
          <w:p w14:paraId="04BAFF9B"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108" w:type="dxa"/>
            <w:tcBorders>
              <w:top w:val="single" w:sz="4" w:space="0" w:color="auto"/>
              <w:left w:val="nil"/>
              <w:bottom w:val="single" w:sz="4" w:space="0" w:color="auto"/>
              <w:right w:val="single" w:sz="4" w:space="0" w:color="auto"/>
            </w:tcBorders>
            <w:shd w:val="clear" w:color="000000" w:fill="E7E6E6"/>
            <w:vAlign w:val="center"/>
            <w:hideMark/>
          </w:tcPr>
          <w:p w14:paraId="14EC90A3"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31" w:type="dxa"/>
            <w:tcBorders>
              <w:top w:val="single" w:sz="4" w:space="0" w:color="auto"/>
              <w:left w:val="nil"/>
              <w:bottom w:val="single" w:sz="4" w:space="0" w:color="auto"/>
              <w:right w:val="single" w:sz="4" w:space="0" w:color="auto"/>
            </w:tcBorders>
            <w:shd w:val="clear" w:color="000000" w:fill="E7E6E6"/>
            <w:vAlign w:val="center"/>
            <w:hideMark/>
          </w:tcPr>
          <w:p w14:paraId="527580F3"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726A23" w:rsidRPr="00EE5714" w14:paraId="1C2E82B2" w14:textId="77777777" w:rsidTr="003B7A82">
        <w:trPr>
          <w:trHeight w:val="429"/>
          <w:jc w:val="center"/>
        </w:trPr>
        <w:tc>
          <w:tcPr>
            <w:tcW w:w="4248" w:type="dxa"/>
            <w:gridSpan w:val="4"/>
            <w:tcBorders>
              <w:top w:val="single" w:sz="4" w:space="0" w:color="auto"/>
              <w:left w:val="single" w:sz="4" w:space="0" w:color="auto"/>
              <w:bottom w:val="single" w:sz="4" w:space="0" w:color="auto"/>
              <w:right w:val="single" w:sz="4" w:space="0" w:color="000000"/>
            </w:tcBorders>
            <w:shd w:val="clear" w:color="000000" w:fill="E7E6E6"/>
            <w:vAlign w:val="center"/>
            <w:hideMark/>
          </w:tcPr>
          <w:p w14:paraId="4AFB771F" w14:textId="0C2F3B30"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Penn Power Service Area - 2012-2016 ACS</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2C15B30F"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908" w:type="dxa"/>
            <w:tcBorders>
              <w:top w:val="nil"/>
              <w:left w:val="nil"/>
              <w:bottom w:val="single" w:sz="4" w:space="0" w:color="auto"/>
              <w:right w:val="single" w:sz="4" w:space="0" w:color="auto"/>
            </w:tcBorders>
            <w:shd w:val="clear" w:color="auto" w:fill="auto"/>
            <w:vAlign w:val="center"/>
            <w:hideMark/>
          </w:tcPr>
          <w:p w14:paraId="578320BD"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4,793</w:t>
            </w:r>
          </w:p>
        </w:tc>
        <w:tc>
          <w:tcPr>
            <w:tcW w:w="703" w:type="dxa"/>
            <w:tcBorders>
              <w:top w:val="nil"/>
              <w:left w:val="nil"/>
              <w:bottom w:val="single" w:sz="4" w:space="0" w:color="auto"/>
              <w:right w:val="single" w:sz="4" w:space="0" w:color="auto"/>
            </w:tcBorders>
            <w:shd w:val="clear" w:color="auto" w:fill="auto"/>
            <w:vAlign w:val="center"/>
            <w:hideMark/>
          </w:tcPr>
          <w:p w14:paraId="5C8BC7C7"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w:t>
            </w:r>
          </w:p>
        </w:tc>
        <w:tc>
          <w:tcPr>
            <w:tcW w:w="1412" w:type="dxa"/>
            <w:tcBorders>
              <w:top w:val="nil"/>
              <w:left w:val="nil"/>
              <w:bottom w:val="single" w:sz="4" w:space="0" w:color="auto"/>
              <w:right w:val="single" w:sz="4" w:space="0" w:color="auto"/>
            </w:tcBorders>
            <w:shd w:val="clear" w:color="auto" w:fill="auto"/>
            <w:vAlign w:val="center"/>
            <w:hideMark/>
          </w:tcPr>
          <w:p w14:paraId="797C045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48,123</w:t>
            </w:r>
          </w:p>
        </w:tc>
        <w:tc>
          <w:tcPr>
            <w:tcW w:w="1108" w:type="dxa"/>
            <w:tcBorders>
              <w:top w:val="nil"/>
              <w:left w:val="nil"/>
              <w:bottom w:val="single" w:sz="4" w:space="0" w:color="auto"/>
              <w:right w:val="single" w:sz="4" w:space="0" w:color="auto"/>
            </w:tcBorders>
            <w:shd w:val="clear" w:color="auto" w:fill="auto"/>
            <w:vAlign w:val="center"/>
            <w:hideMark/>
          </w:tcPr>
          <w:p w14:paraId="25BE8E44"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31" w:type="dxa"/>
            <w:tcBorders>
              <w:top w:val="nil"/>
              <w:left w:val="nil"/>
              <w:bottom w:val="single" w:sz="4" w:space="0" w:color="auto"/>
              <w:right w:val="single" w:sz="4" w:space="0" w:color="auto"/>
            </w:tcBorders>
            <w:shd w:val="clear" w:color="auto" w:fill="auto"/>
            <w:vAlign w:val="center"/>
            <w:hideMark/>
          </w:tcPr>
          <w:p w14:paraId="1A647D7A"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40.9%</w:t>
            </w:r>
          </w:p>
        </w:tc>
      </w:tr>
      <w:tr w:rsidR="00726A23" w:rsidRPr="00EE5714" w14:paraId="39F65DFA" w14:textId="77777777" w:rsidTr="003B7A82">
        <w:trPr>
          <w:trHeight w:val="296"/>
          <w:jc w:val="center"/>
        </w:trPr>
        <w:tc>
          <w:tcPr>
            <w:tcW w:w="117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F58A42E"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77"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469F576C"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69E9947C"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908" w:type="dxa"/>
            <w:tcBorders>
              <w:top w:val="nil"/>
              <w:left w:val="nil"/>
              <w:bottom w:val="single" w:sz="4" w:space="0" w:color="auto"/>
              <w:right w:val="single" w:sz="4" w:space="0" w:color="auto"/>
            </w:tcBorders>
            <w:shd w:val="clear" w:color="auto" w:fill="auto"/>
            <w:vAlign w:val="center"/>
            <w:hideMark/>
          </w:tcPr>
          <w:p w14:paraId="40F25979"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w:t>
            </w:r>
          </w:p>
        </w:tc>
        <w:tc>
          <w:tcPr>
            <w:tcW w:w="703" w:type="dxa"/>
            <w:tcBorders>
              <w:top w:val="nil"/>
              <w:left w:val="nil"/>
              <w:bottom w:val="single" w:sz="4" w:space="0" w:color="auto"/>
              <w:right w:val="single" w:sz="4" w:space="0" w:color="auto"/>
            </w:tcBorders>
            <w:shd w:val="clear" w:color="auto" w:fill="auto"/>
            <w:vAlign w:val="center"/>
            <w:hideMark/>
          </w:tcPr>
          <w:p w14:paraId="2C5F5D89"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412" w:type="dxa"/>
            <w:tcBorders>
              <w:top w:val="nil"/>
              <w:left w:val="nil"/>
              <w:bottom w:val="single" w:sz="4" w:space="0" w:color="auto"/>
              <w:right w:val="single" w:sz="4" w:space="0" w:color="auto"/>
            </w:tcBorders>
            <w:shd w:val="clear" w:color="auto" w:fill="auto"/>
            <w:vAlign w:val="center"/>
            <w:hideMark/>
          </w:tcPr>
          <w:p w14:paraId="61941DCB"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117,738</w:t>
            </w:r>
          </w:p>
        </w:tc>
        <w:tc>
          <w:tcPr>
            <w:tcW w:w="1108" w:type="dxa"/>
            <w:tcBorders>
              <w:top w:val="nil"/>
              <w:left w:val="nil"/>
              <w:bottom w:val="single" w:sz="4" w:space="0" w:color="auto"/>
              <w:right w:val="single" w:sz="4" w:space="0" w:color="auto"/>
            </w:tcBorders>
            <w:shd w:val="clear" w:color="auto" w:fill="auto"/>
            <w:vAlign w:val="center"/>
            <w:hideMark/>
          </w:tcPr>
          <w:p w14:paraId="0A47EA7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31" w:type="dxa"/>
            <w:tcBorders>
              <w:top w:val="nil"/>
              <w:left w:val="nil"/>
              <w:bottom w:val="single" w:sz="4" w:space="0" w:color="auto"/>
              <w:right w:val="single" w:sz="4" w:space="0" w:color="auto"/>
            </w:tcBorders>
            <w:shd w:val="clear" w:color="auto" w:fill="auto"/>
            <w:vAlign w:val="center"/>
            <w:hideMark/>
          </w:tcPr>
          <w:p w14:paraId="03FA720F"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59.1%</w:t>
            </w:r>
          </w:p>
        </w:tc>
      </w:tr>
      <w:tr w:rsidR="00726A23" w:rsidRPr="00EE5714" w14:paraId="396B3D21" w14:textId="77777777" w:rsidTr="003B7A82">
        <w:trPr>
          <w:trHeight w:val="563"/>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B7FFFF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16,911</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388B466D"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10.20%</w:t>
            </w:r>
          </w:p>
        </w:tc>
        <w:tc>
          <w:tcPr>
            <w:tcW w:w="21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19971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3AC54E5A"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908" w:type="dxa"/>
            <w:tcBorders>
              <w:top w:val="nil"/>
              <w:left w:val="nil"/>
              <w:bottom w:val="single" w:sz="4" w:space="0" w:color="auto"/>
              <w:right w:val="single" w:sz="4" w:space="0" w:color="auto"/>
            </w:tcBorders>
            <w:shd w:val="clear" w:color="auto" w:fill="auto"/>
            <w:vAlign w:val="center"/>
            <w:hideMark/>
          </w:tcPr>
          <w:p w14:paraId="3E5BB11B"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1,107</w:t>
            </w:r>
          </w:p>
        </w:tc>
        <w:tc>
          <w:tcPr>
            <w:tcW w:w="703" w:type="dxa"/>
            <w:tcBorders>
              <w:top w:val="nil"/>
              <w:left w:val="nil"/>
              <w:bottom w:val="single" w:sz="4" w:space="0" w:color="auto"/>
              <w:right w:val="single" w:sz="4" w:space="0" w:color="auto"/>
            </w:tcBorders>
            <w:shd w:val="clear" w:color="auto" w:fill="auto"/>
            <w:vAlign w:val="center"/>
            <w:hideMark/>
          </w:tcPr>
          <w:p w14:paraId="5EA62D8D"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412" w:type="dxa"/>
            <w:tcBorders>
              <w:top w:val="nil"/>
              <w:left w:val="nil"/>
              <w:bottom w:val="single" w:sz="4" w:space="0" w:color="auto"/>
              <w:right w:val="single" w:sz="4" w:space="0" w:color="auto"/>
            </w:tcBorders>
            <w:shd w:val="clear" w:color="auto" w:fill="auto"/>
            <w:vAlign w:val="center"/>
            <w:hideMark/>
          </w:tcPr>
          <w:p w14:paraId="282E64C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52,743</w:t>
            </w:r>
          </w:p>
        </w:tc>
        <w:tc>
          <w:tcPr>
            <w:tcW w:w="1108" w:type="dxa"/>
            <w:tcBorders>
              <w:top w:val="nil"/>
              <w:left w:val="nil"/>
              <w:bottom w:val="single" w:sz="4" w:space="0" w:color="auto"/>
              <w:right w:val="single" w:sz="4" w:space="0" w:color="auto"/>
            </w:tcBorders>
            <w:shd w:val="clear" w:color="auto" w:fill="auto"/>
            <w:vAlign w:val="center"/>
            <w:hideMark/>
          </w:tcPr>
          <w:p w14:paraId="16DCBEA6"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31" w:type="dxa"/>
            <w:tcBorders>
              <w:top w:val="nil"/>
              <w:left w:val="nil"/>
              <w:bottom w:val="single" w:sz="4" w:space="0" w:color="auto"/>
              <w:right w:val="single" w:sz="4" w:space="0" w:color="auto"/>
            </w:tcBorders>
            <w:shd w:val="clear" w:color="auto" w:fill="auto"/>
            <w:vAlign w:val="center"/>
            <w:hideMark/>
          </w:tcPr>
          <w:p w14:paraId="2D8A9B0E" w14:textId="77777777" w:rsidR="00726A23" w:rsidRPr="00EE5714" w:rsidRDefault="00726A23" w:rsidP="00F343DD">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46.6%</w:t>
            </w:r>
          </w:p>
        </w:tc>
      </w:tr>
      <w:tr w:rsidR="00726A23" w:rsidRPr="00EE5714" w14:paraId="0958BA64" w14:textId="77777777" w:rsidTr="003B7A82">
        <w:trPr>
          <w:trHeight w:val="503"/>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214FB0B"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148,951</w:t>
            </w:r>
          </w:p>
        </w:tc>
        <w:tc>
          <w:tcPr>
            <w:tcW w:w="893" w:type="dxa"/>
            <w:tcBorders>
              <w:top w:val="nil"/>
              <w:left w:val="nil"/>
              <w:bottom w:val="single" w:sz="4" w:space="0" w:color="auto"/>
              <w:right w:val="single" w:sz="4" w:space="0" w:color="auto"/>
            </w:tcBorders>
            <w:shd w:val="clear" w:color="auto" w:fill="auto"/>
            <w:vAlign w:val="center"/>
            <w:hideMark/>
          </w:tcPr>
          <w:p w14:paraId="59EFCFF4"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89.80%</w:t>
            </w:r>
          </w:p>
        </w:tc>
        <w:tc>
          <w:tcPr>
            <w:tcW w:w="21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09A040"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6C55A49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908" w:type="dxa"/>
            <w:tcBorders>
              <w:top w:val="nil"/>
              <w:left w:val="nil"/>
              <w:bottom w:val="single" w:sz="4" w:space="0" w:color="auto"/>
              <w:right w:val="single" w:sz="4" w:space="0" w:color="auto"/>
            </w:tcBorders>
            <w:shd w:val="clear" w:color="auto" w:fill="auto"/>
            <w:vAlign w:val="center"/>
            <w:hideMark/>
          </w:tcPr>
          <w:p w14:paraId="2C974F67"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311</w:t>
            </w:r>
          </w:p>
        </w:tc>
        <w:tc>
          <w:tcPr>
            <w:tcW w:w="703" w:type="dxa"/>
            <w:tcBorders>
              <w:top w:val="nil"/>
              <w:left w:val="nil"/>
              <w:bottom w:val="single" w:sz="4" w:space="0" w:color="auto"/>
              <w:right w:val="single" w:sz="4" w:space="0" w:color="auto"/>
            </w:tcBorders>
            <w:shd w:val="clear" w:color="auto" w:fill="auto"/>
            <w:vAlign w:val="center"/>
            <w:hideMark/>
          </w:tcPr>
          <w:p w14:paraId="43CDFEA8"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0.2%</w:t>
            </w:r>
          </w:p>
        </w:tc>
        <w:tc>
          <w:tcPr>
            <w:tcW w:w="1412" w:type="dxa"/>
            <w:tcBorders>
              <w:top w:val="nil"/>
              <w:left w:val="nil"/>
              <w:bottom w:val="single" w:sz="4" w:space="0" w:color="auto"/>
              <w:right w:val="single" w:sz="4" w:space="0" w:color="auto"/>
            </w:tcBorders>
            <w:shd w:val="clear" w:color="auto" w:fill="auto"/>
            <w:vAlign w:val="center"/>
            <w:hideMark/>
          </w:tcPr>
          <w:p w14:paraId="50AF3D82"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113,119</w:t>
            </w:r>
          </w:p>
        </w:tc>
        <w:tc>
          <w:tcPr>
            <w:tcW w:w="1108" w:type="dxa"/>
            <w:tcBorders>
              <w:top w:val="nil"/>
              <w:left w:val="nil"/>
              <w:bottom w:val="single" w:sz="4" w:space="0" w:color="auto"/>
              <w:right w:val="single" w:sz="4" w:space="0" w:color="auto"/>
            </w:tcBorders>
            <w:shd w:val="clear" w:color="auto" w:fill="auto"/>
            <w:vAlign w:val="center"/>
            <w:hideMark/>
          </w:tcPr>
          <w:p w14:paraId="6DD79331"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31" w:type="dxa"/>
            <w:tcBorders>
              <w:top w:val="nil"/>
              <w:left w:val="nil"/>
              <w:bottom w:val="single" w:sz="4" w:space="0" w:color="auto"/>
              <w:right w:val="single" w:sz="4" w:space="0" w:color="auto"/>
            </w:tcBorders>
            <w:shd w:val="clear" w:color="auto" w:fill="auto"/>
            <w:vAlign w:val="center"/>
            <w:hideMark/>
          </w:tcPr>
          <w:p w14:paraId="0236BF62" w14:textId="77777777" w:rsidR="00726A23" w:rsidRPr="00EE5714" w:rsidRDefault="00726A23" w:rsidP="00F343DD">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53.4%</w:t>
            </w:r>
          </w:p>
        </w:tc>
      </w:tr>
      <w:tr w:rsidR="00726A23" w:rsidRPr="00EE5714" w14:paraId="62C7592C" w14:textId="77777777" w:rsidTr="003B7A82">
        <w:trPr>
          <w:trHeight w:val="296"/>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2BF3531E" w14:textId="77777777" w:rsidR="00726A23" w:rsidRPr="00EE5714" w:rsidRDefault="00726A23" w:rsidP="00726A23">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165,862</w:t>
            </w:r>
          </w:p>
        </w:tc>
        <w:tc>
          <w:tcPr>
            <w:tcW w:w="307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0C866A1" w14:textId="77777777" w:rsidR="00726A23" w:rsidRPr="00EE5714" w:rsidRDefault="00726A23" w:rsidP="00726A23">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1315F6AF" w14:textId="77777777" w:rsidR="00726A23" w:rsidRPr="00EE5714" w:rsidRDefault="00726A23" w:rsidP="00726A23">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4CA55EA5" w14:textId="77777777" w:rsidR="00726A23" w:rsidRPr="00EE5714" w:rsidRDefault="00726A23" w:rsidP="00726A23">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165,861</w:t>
            </w:r>
          </w:p>
        </w:tc>
        <w:tc>
          <w:tcPr>
            <w:tcW w:w="703" w:type="dxa"/>
            <w:tcBorders>
              <w:top w:val="nil"/>
              <w:left w:val="nil"/>
              <w:bottom w:val="single" w:sz="4" w:space="0" w:color="auto"/>
              <w:right w:val="single" w:sz="4" w:space="0" w:color="auto"/>
            </w:tcBorders>
            <w:shd w:val="clear" w:color="auto" w:fill="auto"/>
            <w:vAlign w:val="center"/>
            <w:hideMark/>
          </w:tcPr>
          <w:p w14:paraId="7F2CB192" w14:textId="77777777" w:rsidR="00726A23" w:rsidRPr="00EE5714" w:rsidRDefault="00726A23" w:rsidP="00726A23">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412" w:type="dxa"/>
            <w:tcBorders>
              <w:top w:val="nil"/>
              <w:left w:val="nil"/>
              <w:bottom w:val="single" w:sz="4" w:space="0" w:color="auto"/>
              <w:right w:val="single" w:sz="4" w:space="0" w:color="auto"/>
            </w:tcBorders>
            <w:shd w:val="clear" w:color="auto" w:fill="auto"/>
            <w:vAlign w:val="center"/>
            <w:hideMark/>
          </w:tcPr>
          <w:p w14:paraId="70A53D73" w14:textId="77777777" w:rsidR="00726A23" w:rsidRPr="00EE5714" w:rsidRDefault="00726A23" w:rsidP="00726A23">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165,862</w:t>
            </w:r>
          </w:p>
        </w:tc>
        <w:tc>
          <w:tcPr>
            <w:tcW w:w="18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335818" w14:textId="77777777" w:rsidR="00726A23" w:rsidRPr="00EE5714" w:rsidRDefault="00726A23" w:rsidP="00726A23">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14B4DFA1" w14:textId="77777777" w:rsidR="00CA0A01" w:rsidRPr="00EE5714" w:rsidRDefault="00CA0A01" w:rsidP="0044761C">
      <w:pPr>
        <w:rPr>
          <w:rFonts w:ascii="Times New Roman" w:hAnsi="Times New Roman" w:cs="Times New Roman"/>
          <w:sz w:val="26"/>
          <w:szCs w:val="26"/>
        </w:rPr>
      </w:pPr>
    </w:p>
    <w:p w14:paraId="79F3D384" w14:textId="77777777" w:rsidR="00A54DBD" w:rsidRPr="00EE5714" w:rsidRDefault="006C2F46" w:rsidP="00F343DD">
      <w:pPr>
        <w:keepNext/>
        <w:spacing w:after="0"/>
        <w:contextualSpacing/>
        <w:rPr>
          <w:rFonts w:ascii="Times New Roman" w:hAnsi="Times New Roman" w:cs="Times New Roman"/>
          <w:sz w:val="26"/>
          <w:szCs w:val="26"/>
        </w:rPr>
      </w:pPr>
      <w:r w:rsidRPr="00EE5714">
        <w:rPr>
          <w:rFonts w:ascii="Times New Roman" w:hAnsi="Times New Roman" w:cs="Times New Roman"/>
          <w:sz w:val="26"/>
          <w:szCs w:val="26"/>
        </w:rPr>
        <w:lastRenderedPageBreak/>
        <w:t>Appendix 1.</w:t>
      </w:r>
      <w:r w:rsidR="00F343DD" w:rsidRPr="00EE5714">
        <w:rPr>
          <w:rFonts w:ascii="Times New Roman" w:hAnsi="Times New Roman" w:cs="Times New Roman"/>
          <w:sz w:val="26"/>
          <w:szCs w:val="26"/>
        </w:rPr>
        <w:t>B.6</w:t>
      </w:r>
      <w:r w:rsidRPr="00EE5714">
        <w:rPr>
          <w:rFonts w:ascii="Times New Roman" w:hAnsi="Times New Roman" w:cs="Times New Roman"/>
          <w:sz w:val="26"/>
          <w:szCs w:val="26"/>
        </w:rPr>
        <w:t xml:space="preserve">: </w:t>
      </w:r>
      <w:r w:rsidR="00A54DBD" w:rsidRPr="00EE5714">
        <w:rPr>
          <w:rFonts w:ascii="Times New Roman" w:hAnsi="Times New Roman" w:cs="Times New Roman"/>
          <w:b/>
          <w:sz w:val="26"/>
          <w:szCs w:val="26"/>
        </w:rPr>
        <w:t>PPL</w:t>
      </w:r>
      <w:r w:rsidRPr="00EE5714">
        <w:rPr>
          <w:rFonts w:ascii="Times New Roman" w:hAnsi="Times New Roman" w:cs="Times New Roman"/>
          <w:b/>
          <w:sz w:val="26"/>
          <w:szCs w:val="26"/>
        </w:rPr>
        <w:t xml:space="preserve"> Service Territory Demographic Profile</w:t>
      </w:r>
    </w:p>
    <w:tbl>
      <w:tblPr>
        <w:tblW w:w="10800" w:type="dxa"/>
        <w:jc w:val="center"/>
        <w:tblLook w:val="04A0" w:firstRow="1" w:lastRow="0" w:firstColumn="1" w:lastColumn="0" w:noHBand="0" w:noVBand="1"/>
      </w:tblPr>
      <w:tblGrid>
        <w:gridCol w:w="1189"/>
        <w:gridCol w:w="880"/>
        <w:gridCol w:w="1109"/>
        <w:gridCol w:w="1109"/>
        <w:gridCol w:w="1546"/>
        <w:gridCol w:w="1029"/>
        <w:gridCol w:w="714"/>
        <w:gridCol w:w="1362"/>
        <w:gridCol w:w="1126"/>
        <w:gridCol w:w="736"/>
      </w:tblGrid>
      <w:tr w:rsidR="00726632" w:rsidRPr="00EE5714" w14:paraId="199BFB7A" w14:textId="77777777" w:rsidTr="003B7A82">
        <w:trPr>
          <w:trHeight w:val="720"/>
          <w:jc w:val="center"/>
        </w:trPr>
        <w:tc>
          <w:tcPr>
            <w:tcW w:w="102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A06595B"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PPL</w:t>
            </w:r>
          </w:p>
        </w:tc>
        <w:tc>
          <w:tcPr>
            <w:tcW w:w="2020" w:type="dxa"/>
            <w:gridSpan w:val="2"/>
            <w:tcBorders>
              <w:top w:val="single" w:sz="4" w:space="0" w:color="auto"/>
              <w:left w:val="nil"/>
              <w:bottom w:val="single" w:sz="4" w:space="0" w:color="auto"/>
              <w:right w:val="single" w:sz="4" w:space="0" w:color="auto"/>
            </w:tcBorders>
            <w:shd w:val="clear" w:color="000000" w:fill="E7E6E6"/>
            <w:vAlign w:val="center"/>
            <w:hideMark/>
          </w:tcPr>
          <w:p w14:paraId="009EA8D7"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1BFFD18"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080" w:type="dxa"/>
            <w:gridSpan w:val="3"/>
            <w:tcBorders>
              <w:top w:val="single" w:sz="4" w:space="0" w:color="auto"/>
              <w:left w:val="nil"/>
              <w:bottom w:val="single" w:sz="4" w:space="0" w:color="auto"/>
              <w:right w:val="single" w:sz="4" w:space="0" w:color="auto"/>
            </w:tcBorders>
            <w:shd w:val="clear" w:color="000000" w:fill="E7E6E6"/>
            <w:vAlign w:val="center"/>
            <w:hideMark/>
          </w:tcPr>
          <w:p w14:paraId="1D5D7C61"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700" w:type="dxa"/>
            <w:gridSpan w:val="3"/>
            <w:tcBorders>
              <w:top w:val="single" w:sz="4" w:space="0" w:color="auto"/>
              <w:left w:val="nil"/>
              <w:bottom w:val="single" w:sz="4" w:space="0" w:color="auto"/>
              <w:right w:val="single" w:sz="4" w:space="0" w:color="auto"/>
            </w:tcBorders>
            <w:shd w:val="clear" w:color="000000" w:fill="E7E6E6"/>
            <w:vAlign w:val="center"/>
            <w:hideMark/>
          </w:tcPr>
          <w:p w14:paraId="26796171"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B9246B" w:rsidRPr="00EE5714" w14:paraId="4A408EEC" w14:textId="77777777" w:rsidTr="003B7A82">
        <w:trPr>
          <w:trHeight w:val="570"/>
          <w:jc w:val="center"/>
        </w:trPr>
        <w:tc>
          <w:tcPr>
            <w:tcW w:w="1020" w:type="dxa"/>
            <w:tcBorders>
              <w:top w:val="nil"/>
              <w:left w:val="single" w:sz="4" w:space="0" w:color="auto"/>
              <w:bottom w:val="single" w:sz="4" w:space="0" w:color="auto"/>
              <w:right w:val="single" w:sz="4" w:space="0" w:color="auto"/>
            </w:tcBorders>
            <w:shd w:val="clear" w:color="000000" w:fill="E7E6E6"/>
            <w:vAlign w:val="center"/>
            <w:hideMark/>
          </w:tcPr>
          <w:p w14:paraId="100B3F7B"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66.20%</w:t>
            </w:r>
          </w:p>
        </w:tc>
        <w:tc>
          <w:tcPr>
            <w:tcW w:w="1060" w:type="dxa"/>
            <w:tcBorders>
              <w:top w:val="nil"/>
              <w:left w:val="nil"/>
              <w:bottom w:val="single" w:sz="4" w:space="0" w:color="auto"/>
              <w:right w:val="single" w:sz="4" w:space="0" w:color="auto"/>
            </w:tcBorders>
            <w:shd w:val="clear" w:color="000000" w:fill="E7E6E6"/>
            <w:vAlign w:val="center"/>
            <w:hideMark/>
          </w:tcPr>
          <w:p w14:paraId="1A8F0217"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960" w:type="dxa"/>
            <w:tcBorders>
              <w:top w:val="nil"/>
              <w:left w:val="nil"/>
              <w:bottom w:val="single" w:sz="4" w:space="0" w:color="auto"/>
              <w:right w:val="single" w:sz="4" w:space="0" w:color="auto"/>
            </w:tcBorders>
            <w:shd w:val="clear" w:color="000000" w:fill="E7E6E6"/>
            <w:vAlign w:val="center"/>
            <w:hideMark/>
          </w:tcPr>
          <w:p w14:paraId="7B4FECDE"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443EE98C" w14:textId="77777777" w:rsidR="00726632" w:rsidRPr="00EE5714" w:rsidRDefault="00726632" w:rsidP="00726632">
            <w:pPr>
              <w:keepNext/>
              <w:spacing w:after="0" w:line="240" w:lineRule="auto"/>
              <w:rPr>
                <w:rFonts w:ascii="Calibri" w:eastAsia="Times New Roman" w:hAnsi="Calibri" w:cs="Calibri"/>
                <w:b/>
                <w:bCs/>
                <w:color w:val="000000"/>
                <w:sz w:val="20"/>
                <w:szCs w:val="20"/>
              </w:rPr>
            </w:pPr>
          </w:p>
        </w:tc>
        <w:tc>
          <w:tcPr>
            <w:tcW w:w="2380" w:type="dxa"/>
            <w:gridSpan w:val="2"/>
            <w:tcBorders>
              <w:top w:val="single" w:sz="4" w:space="0" w:color="auto"/>
              <w:left w:val="nil"/>
              <w:bottom w:val="single" w:sz="4" w:space="0" w:color="auto"/>
              <w:right w:val="single" w:sz="4" w:space="0" w:color="auto"/>
            </w:tcBorders>
            <w:shd w:val="clear" w:color="000000" w:fill="E7E6E6"/>
            <w:vAlign w:val="center"/>
            <w:hideMark/>
          </w:tcPr>
          <w:p w14:paraId="3C928517"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00" w:type="dxa"/>
            <w:tcBorders>
              <w:top w:val="nil"/>
              <w:left w:val="nil"/>
              <w:bottom w:val="single" w:sz="4" w:space="0" w:color="auto"/>
              <w:right w:val="single" w:sz="4" w:space="0" w:color="auto"/>
            </w:tcBorders>
            <w:shd w:val="clear" w:color="000000" w:fill="E7E6E6"/>
            <w:vAlign w:val="center"/>
            <w:hideMark/>
          </w:tcPr>
          <w:p w14:paraId="5C08860A"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920" w:type="dxa"/>
            <w:gridSpan w:val="2"/>
            <w:tcBorders>
              <w:top w:val="single" w:sz="4" w:space="0" w:color="auto"/>
              <w:left w:val="nil"/>
              <w:bottom w:val="single" w:sz="4" w:space="0" w:color="auto"/>
              <w:right w:val="single" w:sz="4" w:space="0" w:color="auto"/>
            </w:tcBorders>
            <w:shd w:val="clear" w:color="000000" w:fill="E7E6E6"/>
            <w:vAlign w:val="center"/>
            <w:hideMark/>
          </w:tcPr>
          <w:p w14:paraId="4E0B20CC"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80" w:type="dxa"/>
            <w:tcBorders>
              <w:top w:val="nil"/>
              <w:left w:val="nil"/>
              <w:bottom w:val="single" w:sz="4" w:space="0" w:color="auto"/>
              <w:right w:val="single" w:sz="4" w:space="0" w:color="auto"/>
            </w:tcBorders>
            <w:shd w:val="clear" w:color="000000" w:fill="E7E6E6"/>
            <w:vAlign w:val="center"/>
            <w:hideMark/>
          </w:tcPr>
          <w:p w14:paraId="1BF612EB"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726632" w:rsidRPr="00EE5714" w14:paraId="6E3DCC32" w14:textId="77777777" w:rsidTr="003B7A82">
        <w:trPr>
          <w:trHeight w:val="30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9B7CD80"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367,396</w:t>
            </w:r>
          </w:p>
        </w:tc>
        <w:tc>
          <w:tcPr>
            <w:tcW w:w="1060" w:type="dxa"/>
            <w:tcBorders>
              <w:top w:val="nil"/>
              <w:left w:val="nil"/>
              <w:bottom w:val="single" w:sz="4" w:space="0" w:color="auto"/>
              <w:right w:val="single" w:sz="4" w:space="0" w:color="auto"/>
            </w:tcBorders>
            <w:shd w:val="clear" w:color="auto" w:fill="auto"/>
            <w:vAlign w:val="center"/>
            <w:hideMark/>
          </w:tcPr>
          <w:p w14:paraId="0B537235"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30.8%</w:t>
            </w:r>
          </w:p>
        </w:tc>
        <w:tc>
          <w:tcPr>
            <w:tcW w:w="960" w:type="dxa"/>
            <w:tcBorders>
              <w:top w:val="nil"/>
              <w:left w:val="nil"/>
              <w:bottom w:val="single" w:sz="4" w:space="0" w:color="auto"/>
              <w:right w:val="single" w:sz="4" w:space="0" w:color="auto"/>
            </w:tcBorders>
            <w:shd w:val="clear" w:color="auto" w:fill="auto"/>
            <w:vAlign w:val="center"/>
            <w:hideMark/>
          </w:tcPr>
          <w:p w14:paraId="1B511267"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980" w:type="dxa"/>
            <w:vMerge w:val="restart"/>
            <w:tcBorders>
              <w:top w:val="single" w:sz="4" w:space="0" w:color="auto"/>
              <w:left w:val="single" w:sz="4" w:space="0" w:color="auto"/>
              <w:bottom w:val="nil"/>
              <w:right w:val="single" w:sz="4" w:space="0" w:color="auto"/>
            </w:tcBorders>
            <w:shd w:val="clear" w:color="auto" w:fill="auto"/>
            <w:vAlign w:val="center"/>
            <w:hideMark/>
          </w:tcPr>
          <w:p w14:paraId="103BC74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60587157"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1000" w:type="dxa"/>
            <w:tcBorders>
              <w:top w:val="nil"/>
              <w:left w:val="nil"/>
              <w:bottom w:val="single" w:sz="4" w:space="0" w:color="auto"/>
              <w:right w:val="single" w:sz="4" w:space="0" w:color="auto"/>
            </w:tcBorders>
            <w:shd w:val="clear" w:color="auto" w:fill="auto"/>
            <w:vAlign w:val="center"/>
            <w:hideMark/>
          </w:tcPr>
          <w:p w14:paraId="3C00F730"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159,904</w:t>
            </w:r>
          </w:p>
        </w:tc>
        <w:tc>
          <w:tcPr>
            <w:tcW w:w="700" w:type="dxa"/>
            <w:tcBorders>
              <w:top w:val="nil"/>
              <w:left w:val="nil"/>
              <w:bottom w:val="single" w:sz="4" w:space="0" w:color="auto"/>
              <w:right w:val="single" w:sz="4" w:space="0" w:color="auto"/>
            </w:tcBorders>
            <w:shd w:val="clear" w:color="auto" w:fill="auto"/>
            <w:vAlign w:val="center"/>
            <w:hideMark/>
          </w:tcPr>
          <w:p w14:paraId="0C17CB7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w:t>
            </w:r>
          </w:p>
        </w:tc>
        <w:tc>
          <w:tcPr>
            <w:tcW w:w="1840" w:type="dxa"/>
            <w:tcBorders>
              <w:top w:val="nil"/>
              <w:left w:val="nil"/>
              <w:bottom w:val="single" w:sz="4" w:space="0" w:color="auto"/>
              <w:right w:val="single" w:sz="4" w:space="0" w:color="auto"/>
            </w:tcBorders>
            <w:shd w:val="clear" w:color="auto" w:fill="auto"/>
            <w:vAlign w:val="center"/>
            <w:hideMark/>
          </w:tcPr>
          <w:p w14:paraId="07E4BA8C"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080" w:type="dxa"/>
            <w:tcBorders>
              <w:top w:val="nil"/>
              <w:left w:val="nil"/>
              <w:bottom w:val="single" w:sz="4" w:space="0" w:color="auto"/>
              <w:right w:val="single" w:sz="4" w:space="0" w:color="auto"/>
            </w:tcBorders>
            <w:shd w:val="clear" w:color="auto" w:fill="auto"/>
            <w:vAlign w:val="center"/>
            <w:hideMark/>
          </w:tcPr>
          <w:p w14:paraId="6CD5301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119,336</w:t>
            </w:r>
          </w:p>
        </w:tc>
        <w:tc>
          <w:tcPr>
            <w:tcW w:w="780" w:type="dxa"/>
            <w:tcBorders>
              <w:top w:val="nil"/>
              <w:left w:val="nil"/>
              <w:bottom w:val="single" w:sz="4" w:space="0" w:color="auto"/>
              <w:right w:val="single" w:sz="4" w:space="0" w:color="auto"/>
            </w:tcBorders>
            <w:shd w:val="clear" w:color="auto" w:fill="auto"/>
            <w:vAlign w:val="center"/>
            <w:hideMark/>
          </w:tcPr>
          <w:p w14:paraId="49A230F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9.7%</w:t>
            </w:r>
          </w:p>
        </w:tc>
      </w:tr>
      <w:tr w:rsidR="00726632" w:rsidRPr="00EE5714" w14:paraId="28198572" w14:textId="77777777" w:rsidTr="003B7A82">
        <w:trPr>
          <w:trHeight w:val="30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3CF912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177,668</w:t>
            </w:r>
          </w:p>
        </w:tc>
        <w:tc>
          <w:tcPr>
            <w:tcW w:w="1060" w:type="dxa"/>
            <w:tcBorders>
              <w:top w:val="nil"/>
              <w:left w:val="nil"/>
              <w:bottom w:val="single" w:sz="4" w:space="0" w:color="auto"/>
              <w:right w:val="single" w:sz="4" w:space="0" w:color="auto"/>
            </w:tcBorders>
            <w:shd w:val="clear" w:color="auto" w:fill="auto"/>
            <w:vAlign w:val="center"/>
            <w:hideMark/>
          </w:tcPr>
          <w:p w14:paraId="5D0049B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14.9%</w:t>
            </w:r>
          </w:p>
        </w:tc>
        <w:tc>
          <w:tcPr>
            <w:tcW w:w="960" w:type="dxa"/>
            <w:tcBorders>
              <w:top w:val="nil"/>
              <w:left w:val="nil"/>
              <w:bottom w:val="single" w:sz="4" w:space="0" w:color="auto"/>
              <w:right w:val="single" w:sz="4" w:space="0" w:color="auto"/>
            </w:tcBorders>
            <w:shd w:val="clear" w:color="auto" w:fill="auto"/>
            <w:vAlign w:val="center"/>
            <w:hideMark/>
          </w:tcPr>
          <w:p w14:paraId="6F194620"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980" w:type="dxa"/>
            <w:vMerge/>
            <w:tcBorders>
              <w:top w:val="single" w:sz="4" w:space="0" w:color="auto"/>
              <w:left w:val="single" w:sz="4" w:space="0" w:color="auto"/>
              <w:bottom w:val="nil"/>
              <w:right w:val="single" w:sz="4" w:space="0" w:color="auto"/>
            </w:tcBorders>
            <w:vAlign w:val="center"/>
            <w:hideMark/>
          </w:tcPr>
          <w:p w14:paraId="37A4267F" w14:textId="77777777" w:rsidR="00726632" w:rsidRPr="00EE5714" w:rsidRDefault="00726632" w:rsidP="00726632">
            <w:pPr>
              <w:keepNext/>
              <w:spacing w:after="0" w:line="240" w:lineRule="auto"/>
              <w:rPr>
                <w:rFonts w:ascii="Calibri" w:eastAsia="Times New Roman" w:hAnsi="Calibri" w:cs="Calibri"/>
                <w:color w:val="000000"/>
                <w:sz w:val="20"/>
                <w:szCs w:val="20"/>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2F65AD21"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1000" w:type="dxa"/>
            <w:tcBorders>
              <w:top w:val="nil"/>
              <w:left w:val="nil"/>
              <w:bottom w:val="single" w:sz="4" w:space="0" w:color="auto"/>
              <w:right w:val="single" w:sz="4" w:space="0" w:color="auto"/>
            </w:tcBorders>
            <w:shd w:val="clear" w:color="auto" w:fill="auto"/>
            <w:vAlign w:val="center"/>
            <w:hideMark/>
          </w:tcPr>
          <w:p w14:paraId="6AAFA067"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203,496</w:t>
            </w:r>
          </w:p>
        </w:tc>
        <w:tc>
          <w:tcPr>
            <w:tcW w:w="700" w:type="dxa"/>
            <w:tcBorders>
              <w:top w:val="nil"/>
              <w:left w:val="nil"/>
              <w:bottom w:val="single" w:sz="4" w:space="0" w:color="auto"/>
              <w:right w:val="single" w:sz="4" w:space="0" w:color="auto"/>
            </w:tcBorders>
            <w:shd w:val="clear" w:color="auto" w:fill="auto"/>
            <w:vAlign w:val="center"/>
            <w:hideMark/>
          </w:tcPr>
          <w:p w14:paraId="6EA99251"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6.8%</w:t>
            </w:r>
          </w:p>
        </w:tc>
        <w:tc>
          <w:tcPr>
            <w:tcW w:w="1840" w:type="dxa"/>
            <w:tcBorders>
              <w:top w:val="nil"/>
              <w:left w:val="nil"/>
              <w:bottom w:val="single" w:sz="4" w:space="0" w:color="auto"/>
              <w:right w:val="single" w:sz="4" w:space="0" w:color="auto"/>
            </w:tcBorders>
            <w:shd w:val="clear" w:color="auto" w:fill="auto"/>
            <w:vAlign w:val="center"/>
            <w:hideMark/>
          </w:tcPr>
          <w:p w14:paraId="7A5F13C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080" w:type="dxa"/>
            <w:tcBorders>
              <w:top w:val="nil"/>
              <w:left w:val="nil"/>
              <w:bottom w:val="single" w:sz="4" w:space="0" w:color="auto"/>
              <w:right w:val="single" w:sz="4" w:space="0" w:color="auto"/>
            </w:tcBorders>
            <w:shd w:val="clear" w:color="auto" w:fill="auto"/>
            <w:vAlign w:val="center"/>
            <w:hideMark/>
          </w:tcPr>
          <w:p w14:paraId="2C8697E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120,434</w:t>
            </w:r>
          </w:p>
        </w:tc>
        <w:tc>
          <w:tcPr>
            <w:tcW w:w="780" w:type="dxa"/>
            <w:tcBorders>
              <w:top w:val="nil"/>
              <w:left w:val="nil"/>
              <w:bottom w:val="single" w:sz="4" w:space="0" w:color="auto"/>
              <w:right w:val="single" w:sz="4" w:space="0" w:color="auto"/>
            </w:tcBorders>
            <w:shd w:val="clear" w:color="auto" w:fill="auto"/>
            <w:vAlign w:val="center"/>
            <w:hideMark/>
          </w:tcPr>
          <w:p w14:paraId="427F48D2"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9.8%</w:t>
            </w:r>
          </w:p>
        </w:tc>
      </w:tr>
      <w:tr w:rsidR="00726632" w:rsidRPr="00EE5714" w14:paraId="4B16C6C3" w14:textId="77777777" w:rsidTr="003B7A82">
        <w:trPr>
          <w:trHeight w:val="30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6212221"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145,656</w:t>
            </w:r>
          </w:p>
        </w:tc>
        <w:tc>
          <w:tcPr>
            <w:tcW w:w="1060" w:type="dxa"/>
            <w:tcBorders>
              <w:top w:val="nil"/>
              <w:left w:val="nil"/>
              <w:bottom w:val="single" w:sz="4" w:space="0" w:color="auto"/>
              <w:right w:val="single" w:sz="4" w:space="0" w:color="auto"/>
            </w:tcBorders>
            <w:shd w:val="clear" w:color="auto" w:fill="auto"/>
            <w:vAlign w:val="center"/>
            <w:hideMark/>
          </w:tcPr>
          <w:p w14:paraId="7027434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12.2%</w:t>
            </w:r>
          </w:p>
        </w:tc>
        <w:tc>
          <w:tcPr>
            <w:tcW w:w="960" w:type="dxa"/>
            <w:tcBorders>
              <w:top w:val="nil"/>
              <w:left w:val="nil"/>
              <w:bottom w:val="single" w:sz="4" w:space="0" w:color="auto"/>
              <w:right w:val="single" w:sz="4" w:space="0" w:color="auto"/>
            </w:tcBorders>
            <w:shd w:val="clear" w:color="auto" w:fill="auto"/>
            <w:vAlign w:val="center"/>
            <w:hideMark/>
          </w:tcPr>
          <w:p w14:paraId="2D4CB4DD"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980" w:type="dxa"/>
            <w:vMerge/>
            <w:tcBorders>
              <w:top w:val="single" w:sz="4" w:space="0" w:color="auto"/>
              <w:left w:val="single" w:sz="4" w:space="0" w:color="auto"/>
              <w:bottom w:val="nil"/>
              <w:right w:val="single" w:sz="4" w:space="0" w:color="auto"/>
            </w:tcBorders>
            <w:vAlign w:val="center"/>
            <w:hideMark/>
          </w:tcPr>
          <w:p w14:paraId="72C3536E" w14:textId="77777777" w:rsidR="00726632" w:rsidRPr="00EE5714" w:rsidRDefault="00726632" w:rsidP="00726632">
            <w:pPr>
              <w:keepNext/>
              <w:spacing w:after="0" w:line="240" w:lineRule="auto"/>
              <w:rPr>
                <w:rFonts w:ascii="Calibri" w:eastAsia="Times New Roman" w:hAnsi="Calibri" w:cs="Calibri"/>
                <w:color w:val="000000"/>
                <w:sz w:val="20"/>
                <w:szCs w:val="20"/>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4A64984C"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1000" w:type="dxa"/>
            <w:tcBorders>
              <w:top w:val="nil"/>
              <w:left w:val="nil"/>
              <w:bottom w:val="single" w:sz="4" w:space="0" w:color="auto"/>
              <w:right w:val="single" w:sz="4" w:space="0" w:color="auto"/>
            </w:tcBorders>
            <w:shd w:val="clear" w:color="auto" w:fill="auto"/>
            <w:vAlign w:val="center"/>
            <w:hideMark/>
          </w:tcPr>
          <w:p w14:paraId="103386D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121,023</w:t>
            </w:r>
          </w:p>
        </w:tc>
        <w:tc>
          <w:tcPr>
            <w:tcW w:w="700" w:type="dxa"/>
            <w:tcBorders>
              <w:top w:val="nil"/>
              <w:left w:val="nil"/>
              <w:bottom w:val="single" w:sz="4" w:space="0" w:color="auto"/>
              <w:right w:val="single" w:sz="4" w:space="0" w:color="auto"/>
            </w:tcBorders>
            <w:shd w:val="clear" w:color="auto" w:fill="auto"/>
            <w:vAlign w:val="center"/>
            <w:hideMark/>
          </w:tcPr>
          <w:p w14:paraId="23C8707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4.1%</w:t>
            </w:r>
          </w:p>
        </w:tc>
        <w:tc>
          <w:tcPr>
            <w:tcW w:w="1840" w:type="dxa"/>
            <w:tcBorders>
              <w:top w:val="nil"/>
              <w:left w:val="nil"/>
              <w:bottom w:val="single" w:sz="4" w:space="0" w:color="auto"/>
              <w:right w:val="single" w:sz="4" w:space="0" w:color="auto"/>
            </w:tcBorders>
            <w:shd w:val="clear" w:color="auto" w:fill="auto"/>
            <w:vAlign w:val="center"/>
            <w:hideMark/>
          </w:tcPr>
          <w:p w14:paraId="5B8EA1CD"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080" w:type="dxa"/>
            <w:tcBorders>
              <w:top w:val="nil"/>
              <w:left w:val="nil"/>
              <w:bottom w:val="single" w:sz="4" w:space="0" w:color="auto"/>
              <w:right w:val="single" w:sz="4" w:space="0" w:color="auto"/>
            </w:tcBorders>
            <w:shd w:val="clear" w:color="auto" w:fill="auto"/>
            <w:vAlign w:val="center"/>
            <w:hideMark/>
          </w:tcPr>
          <w:p w14:paraId="09E20DE4"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119,585</w:t>
            </w:r>
          </w:p>
        </w:tc>
        <w:tc>
          <w:tcPr>
            <w:tcW w:w="780" w:type="dxa"/>
            <w:tcBorders>
              <w:top w:val="nil"/>
              <w:left w:val="nil"/>
              <w:bottom w:val="single" w:sz="4" w:space="0" w:color="auto"/>
              <w:right w:val="single" w:sz="4" w:space="0" w:color="auto"/>
            </w:tcBorders>
            <w:shd w:val="clear" w:color="auto" w:fill="auto"/>
            <w:vAlign w:val="center"/>
            <w:hideMark/>
          </w:tcPr>
          <w:p w14:paraId="403BA431"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9.7%</w:t>
            </w:r>
          </w:p>
        </w:tc>
      </w:tr>
      <w:tr w:rsidR="00726632" w:rsidRPr="00EE5714" w14:paraId="5319D3D0" w14:textId="77777777" w:rsidTr="003B7A82">
        <w:trPr>
          <w:trHeight w:val="30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3D4144F"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61,298</w:t>
            </w:r>
          </w:p>
        </w:tc>
        <w:tc>
          <w:tcPr>
            <w:tcW w:w="1060" w:type="dxa"/>
            <w:tcBorders>
              <w:top w:val="nil"/>
              <w:left w:val="nil"/>
              <w:bottom w:val="single" w:sz="4" w:space="0" w:color="auto"/>
              <w:right w:val="single" w:sz="4" w:space="0" w:color="auto"/>
            </w:tcBorders>
            <w:shd w:val="clear" w:color="auto" w:fill="auto"/>
            <w:vAlign w:val="center"/>
            <w:hideMark/>
          </w:tcPr>
          <w:p w14:paraId="3A1C0300"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w:t>
            </w:r>
          </w:p>
        </w:tc>
        <w:tc>
          <w:tcPr>
            <w:tcW w:w="960" w:type="dxa"/>
            <w:tcBorders>
              <w:top w:val="nil"/>
              <w:left w:val="nil"/>
              <w:bottom w:val="single" w:sz="4" w:space="0" w:color="auto"/>
              <w:right w:val="single" w:sz="4" w:space="0" w:color="auto"/>
            </w:tcBorders>
            <w:shd w:val="clear" w:color="auto" w:fill="auto"/>
            <w:vAlign w:val="center"/>
            <w:hideMark/>
          </w:tcPr>
          <w:p w14:paraId="5FABEAD8"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980" w:type="dxa"/>
            <w:vMerge/>
            <w:tcBorders>
              <w:top w:val="single" w:sz="4" w:space="0" w:color="auto"/>
              <w:left w:val="single" w:sz="4" w:space="0" w:color="auto"/>
              <w:bottom w:val="nil"/>
              <w:right w:val="single" w:sz="4" w:space="0" w:color="auto"/>
            </w:tcBorders>
            <w:vAlign w:val="center"/>
            <w:hideMark/>
          </w:tcPr>
          <w:p w14:paraId="615D441F" w14:textId="77777777" w:rsidR="00726632" w:rsidRPr="00EE5714" w:rsidRDefault="00726632" w:rsidP="00726632">
            <w:pPr>
              <w:keepNext/>
              <w:spacing w:after="0" w:line="240" w:lineRule="auto"/>
              <w:rPr>
                <w:rFonts w:ascii="Calibri" w:eastAsia="Times New Roman" w:hAnsi="Calibri" w:cs="Calibri"/>
                <w:color w:val="000000"/>
                <w:sz w:val="20"/>
                <w:szCs w:val="20"/>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520B496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1000" w:type="dxa"/>
            <w:tcBorders>
              <w:top w:val="nil"/>
              <w:left w:val="nil"/>
              <w:bottom w:val="single" w:sz="4" w:space="0" w:color="auto"/>
              <w:right w:val="single" w:sz="4" w:space="0" w:color="auto"/>
            </w:tcBorders>
            <w:shd w:val="clear" w:color="auto" w:fill="auto"/>
            <w:vAlign w:val="center"/>
            <w:hideMark/>
          </w:tcPr>
          <w:p w14:paraId="160CD795"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135,725</w:t>
            </w:r>
          </w:p>
        </w:tc>
        <w:tc>
          <w:tcPr>
            <w:tcW w:w="700" w:type="dxa"/>
            <w:tcBorders>
              <w:top w:val="nil"/>
              <w:left w:val="nil"/>
              <w:bottom w:val="single" w:sz="4" w:space="0" w:color="auto"/>
              <w:right w:val="single" w:sz="4" w:space="0" w:color="auto"/>
            </w:tcBorders>
            <w:shd w:val="clear" w:color="auto" w:fill="auto"/>
            <w:vAlign w:val="center"/>
            <w:hideMark/>
          </w:tcPr>
          <w:p w14:paraId="05B721B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4.6%</w:t>
            </w:r>
          </w:p>
        </w:tc>
        <w:tc>
          <w:tcPr>
            <w:tcW w:w="1840" w:type="dxa"/>
            <w:tcBorders>
              <w:top w:val="nil"/>
              <w:left w:val="nil"/>
              <w:bottom w:val="single" w:sz="4" w:space="0" w:color="auto"/>
              <w:right w:val="single" w:sz="4" w:space="0" w:color="auto"/>
            </w:tcBorders>
            <w:shd w:val="clear" w:color="auto" w:fill="auto"/>
            <w:vAlign w:val="center"/>
            <w:hideMark/>
          </w:tcPr>
          <w:p w14:paraId="5D94E788"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080" w:type="dxa"/>
            <w:tcBorders>
              <w:top w:val="nil"/>
              <w:left w:val="nil"/>
              <w:bottom w:val="single" w:sz="4" w:space="0" w:color="auto"/>
              <w:right w:val="single" w:sz="4" w:space="0" w:color="auto"/>
            </w:tcBorders>
            <w:shd w:val="clear" w:color="auto" w:fill="auto"/>
            <w:vAlign w:val="center"/>
            <w:hideMark/>
          </w:tcPr>
          <w:p w14:paraId="348330E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168,890</w:t>
            </w:r>
          </w:p>
        </w:tc>
        <w:tc>
          <w:tcPr>
            <w:tcW w:w="780" w:type="dxa"/>
            <w:tcBorders>
              <w:top w:val="nil"/>
              <w:left w:val="nil"/>
              <w:bottom w:val="single" w:sz="4" w:space="0" w:color="auto"/>
              <w:right w:val="single" w:sz="4" w:space="0" w:color="auto"/>
            </w:tcBorders>
            <w:shd w:val="clear" w:color="auto" w:fill="auto"/>
            <w:vAlign w:val="center"/>
            <w:hideMark/>
          </w:tcPr>
          <w:p w14:paraId="27F73E32"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13.7%</w:t>
            </w:r>
          </w:p>
        </w:tc>
      </w:tr>
      <w:tr w:rsidR="00726632" w:rsidRPr="00EE5714" w14:paraId="4525283D" w14:textId="77777777" w:rsidTr="003B7A82">
        <w:trPr>
          <w:trHeight w:val="30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0DFAFA0"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22,724</w:t>
            </w:r>
          </w:p>
        </w:tc>
        <w:tc>
          <w:tcPr>
            <w:tcW w:w="1060" w:type="dxa"/>
            <w:tcBorders>
              <w:top w:val="nil"/>
              <w:left w:val="nil"/>
              <w:bottom w:val="single" w:sz="4" w:space="0" w:color="auto"/>
              <w:right w:val="single" w:sz="4" w:space="0" w:color="auto"/>
            </w:tcBorders>
            <w:shd w:val="clear" w:color="auto" w:fill="auto"/>
            <w:vAlign w:val="center"/>
            <w:hideMark/>
          </w:tcPr>
          <w:p w14:paraId="40615787"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w:t>
            </w:r>
          </w:p>
        </w:tc>
        <w:tc>
          <w:tcPr>
            <w:tcW w:w="960" w:type="dxa"/>
            <w:tcBorders>
              <w:top w:val="nil"/>
              <w:left w:val="nil"/>
              <w:bottom w:val="single" w:sz="4" w:space="0" w:color="auto"/>
              <w:right w:val="single" w:sz="4" w:space="0" w:color="auto"/>
            </w:tcBorders>
            <w:shd w:val="clear" w:color="auto" w:fill="auto"/>
            <w:vAlign w:val="center"/>
            <w:hideMark/>
          </w:tcPr>
          <w:p w14:paraId="7167BE0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980" w:type="dxa"/>
            <w:vMerge/>
            <w:tcBorders>
              <w:top w:val="single" w:sz="4" w:space="0" w:color="auto"/>
              <w:left w:val="single" w:sz="4" w:space="0" w:color="auto"/>
              <w:bottom w:val="nil"/>
              <w:right w:val="single" w:sz="4" w:space="0" w:color="auto"/>
            </w:tcBorders>
            <w:vAlign w:val="center"/>
            <w:hideMark/>
          </w:tcPr>
          <w:p w14:paraId="33F28A55" w14:textId="77777777" w:rsidR="00726632" w:rsidRPr="00EE5714" w:rsidRDefault="00726632" w:rsidP="00726632">
            <w:pPr>
              <w:keepNext/>
              <w:spacing w:after="0" w:line="240" w:lineRule="auto"/>
              <w:rPr>
                <w:rFonts w:ascii="Calibri" w:eastAsia="Times New Roman" w:hAnsi="Calibri" w:cs="Calibri"/>
                <w:color w:val="000000"/>
                <w:sz w:val="20"/>
                <w:szCs w:val="20"/>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7AB1ACB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1000" w:type="dxa"/>
            <w:tcBorders>
              <w:top w:val="nil"/>
              <w:left w:val="nil"/>
              <w:bottom w:val="single" w:sz="4" w:space="0" w:color="auto"/>
              <w:right w:val="single" w:sz="4" w:space="0" w:color="auto"/>
            </w:tcBorders>
            <w:shd w:val="clear" w:color="auto" w:fill="auto"/>
            <w:vAlign w:val="center"/>
            <w:hideMark/>
          </w:tcPr>
          <w:p w14:paraId="0D3C513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196,254</w:t>
            </w:r>
          </w:p>
        </w:tc>
        <w:tc>
          <w:tcPr>
            <w:tcW w:w="700" w:type="dxa"/>
            <w:tcBorders>
              <w:top w:val="nil"/>
              <w:left w:val="nil"/>
              <w:bottom w:val="single" w:sz="4" w:space="0" w:color="auto"/>
              <w:right w:val="single" w:sz="4" w:space="0" w:color="auto"/>
            </w:tcBorders>
            <w:shd w:val="clear" w:color="auto" w:fill="auto"/>
            <w:vAlign w:val="center"/>
            <w:hideMark/>
          </w:tcPr>
          <w:p w14:paraId="5E043EFC"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6.6%</w:t>
            </w:r>
          </w:p>
        </w:tc>
        <w:tc>
          <w:tcPr>
            <w:tcW w:w="1840" w:type="dxa"/>
            <w:tcBorders>
              <w:top w:val="nil"/>
              <w:left w:val="nil"/>
              <w:bottom w:val="single" w:sz="4" w:space="0" w:color="auto"/>
              <w:right w:val="single" w:sz="4" w:space="0" w:color="auto"/>
            </w:tcBorders>
            <w:shd w:val="clear" w:color="auto" w:fill="auto"/>
            <w:vAlign w:val="center"/>
            <w:hideMark/>
          </w:tcPr>
          <w:p w14:paraId="63F1367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080" w:type="dxa"/>
            <w:tcBorders>
              <w:top w:val="nil"/>
              <w:left w:val="nil"/>
              <w:bottom w:val="single" w:sz="4" w:space="0" w:color="auto"/>
              <w:right w:val="single" w:sz="4" w:space="0" w:color="auto"/>
            </w:tcBorders>
            <w:shd w:val="clear" w:color="auto" w:fill="auto"/>
            <w:vAlign w:val="center"/>
            <w:hideMark/>
          </w:tcPr>
          <w:p w14:paraId="37C45DA9"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241,492</w:t>
            </w:r>
          </w:p>
        </w:tc>
        <w:tc>
          <w:tcPr>
            <w:tcW w:w="780" w:type="dxa"/>
            <w:tcBorders>
              <w:top w:val="nil"/>
              <w:left w:val="nil"/>
              <w:bottom w:val="single" w:sz="4" w:space="0" w:color="auto"/>
              <w:right w:val="single" w:sz="4" w:space="0" w:color="auto"/>
            </w:tcBorders>
            <w:shd w:val="clear" w:color="auto" w:fill="auto"/>
            <w:vAlign w:val="center"/>
            <w:hideMark/>
          </w:tcPr>
          <w:p w14:paraId="0349E6B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19.6%</w:t>
            </w:r>
          </w:p>
        </w:tc>
      </w:tr>
      <w:tr w:rsidR="00726632" w:rsidRPr="00EE5714" w14:paraId="06928271" w14:textId="77777777" w:rsidTr="003B7A82">
        <w:trPr>
          <w:trHeight w:val="30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D858E9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14,926</w:t>
            </w:r>
          </w:p>
        </w:tc>
        <w:tc>
          <w:tcPr>
            <w:tcW w:w="1060" w:type="dxa"/>
            <w:tcBorders>
              <w:top w:val="nil"/>
              <w:left w:val="nil"/>
              <w:bottom w:val="single" w:sz="4" w:space="0" w:color="auto"/>
              <w:right w:val="single" w:sz="4" w:space="0" w:color="auto"/>
            </w:tcBorders>
            <w:shd w:val="clear" w:color="auto" w:fill="auto"/>
            <w:vAlign w:val="center"/>
            <w:hideMark/>
          </w:tcPr>
          <w:p w14:paraId="47BD27CD"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EACCC99"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980" w:type="dxa"/>
            <w:vMerge/>
            <w:tcBorders>
              <w:top w:val="single" w:sz="4" w:space="0" w:color="auto"/>
              <w:left w:val="single" w:sz="4" w:space="0" w:color="auto"/>
              <w:bottom w:val="nil"/>
              <w:right w:val="single" w:sz="4" w:space="0" w:color="auto"/>
            </w:tcBorders>
            <w:vAlign w:val="center"/>
            <w:hideMark/>
          </w:tcPr>
          <w:p w14:paraId="0631DD5B" w14:textId="77777777" w:rsidR="00726632" w:rsidRPr="00EE5714" w:rsidRDefault="00726632" w:rsidP="00726632">
            <w:pPr>
              <w:keepNext/>
              <w:spacing w:after="0" w:line="240" w:lineRule="auto"/>
              <w:rPr>
                <w:rFonts w:ascii="Calibri" w:eastAsia="Times New Roman" w:hAnsi="Calibri" w:cs="Calibri"/>
                <w:color w:val="000000"/>
                <w:sz w:val="20"/>
                <w:szCs w:val="20"/>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4205A262"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1000" w:type="dxa"/>
            <w:tcBorders>
              <w:top w:val="nil"/>
              <w:left w:val="nil"/>
              <w:bottom w:val="single" w:sz="4" w:space="0" w:color="auto"/>
              <w:right w:val="single" w:sz="4" w:space="0" w:color="auto"/>
            </w:tcBorders>
            <w:shd w:val="clear" w:color="auto" w:fill="auto"/>
            <w:vAlign w:val="center"/>
            <w:hideMark/>
          </w:tcPr>
          <w:p w14:paraId="6D33578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80,290</w:t>
            </w:r>
          </w:p>
        </w:tc>
        <w:tc>
          <w:tcPr>
            <w:tcW w:w="700" w:type="dxa"/>
            <w:tcBorders>
              <w:top w:val="nil"/>
              <w:left w:val="nil"/>
              <w:bottom w:val="single" w:sz="4" w:space="0" w:color="auto"/>
              <w:right w:val="single" w:sz="4" w:space="0" w:color="auto"/>
            </w:tcBorders>
            <w:shd w:val="clear" w:color="auto" w:fill="auto"/>
            <w:vAlign w:val="center"/>
            <w:hideMark/>
          </w:tcPr>
          <w:p w14:paraId="65B1AC49"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w:t>
            </w:r>
          </w:p>
        </w:tc>
        <w:tc>
          <w:tcPr>
            <w:tcW w:w="1840" w:type="dxa"/>
            <w:tcBorders>
              <w:top w:val="nil"/>
              <w:left w:val="nil"/>
              <w:bottom w:val="single" w:sz="4" w:space="0" w:color="auto"/>
              <w:right w:val="single" w:sz="4" w:space="0" w:color="auto"/>
            </w:tcBorders>
            <w:shd w:val="clear" w:color="auto" w:fill="auto"/>
            <w:vAlign w:val="center"/>
            <w:hideMark/>
          </w:tcPr>
          <w:p w14:paraId="6C2B490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080" w:type="dxa"/>
            <w:tcBorders>
              <w:top w:val="nil"/>
              <w:left w:val="nil"/>
              <w:bottom w:val="single" w:sz="4" w:space="0" w:color="auto"/>
              <w:right w:val="single" w:sz="4" w:space="0" w:color="auto"/>
            </w:tcBorders>
            <w:shd w:val="clear" w:color="auto" w:fill="auto"/>
            <w:vAlign w:val="center"/>
            <w:hideMark/>
          </w:tcPr>
          <w:p w14:paraId="539E8470"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166,732</w:t>
            </w:r>
          </w:p>
        </w:tc>
        <w:tc>
          <w:tcPr>
            <w:tcW w:w="780" w:type="dxa"/>
            <w:tcBorders>
              <w:top w:val="nil"/>
              <w:left w:val="nil"/>
              <w:bottom w:val="single" w:sz="4" w:space="0" w:color="auto"/>
              <w:right w:val="single" w:sz="4" w:space="0" w:color="auto"/>
            </w:tcBorders>
            <w:shd w:val="clear" w:color="auto" w:fill="auto"/>
            <w:vAlign w:val="center"/>
            <w:hideMark/>
          </w:tcPr>
          <w:p w14:paraId="034B9B5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13.5%</w:t>
            </w:r>
          </w:p>
        </w:tc>
      </w:tr>
      <w:tr w:rsidR="00726632" w:rsidRPr="00EE5714" w14:paraId="32EFE4BC" w14:textId="77777777" w:rsidTr="003B7A82">
        <w:trPr>
          <w:trHeight w:val="300"/>
          <w:jc w:val="center"/>
        </w:trPr>
        <w:tc>
          <w:tcPr>
            <w:tcW w:w="1020" w:type="dxa"/>
            <w:tcBorders>
              <w:top w:val="nil"/>
              <w:left w:val="single" w:sz="4" w:space="0" w:color="auto"/>
              <w:bottom w:val="single" w:sz="4" w:space="0" w:color="auto"/>
              <w:right w:val="single" w:sz="4" w:space="0" w:color="auto"/>
            </w:tcBorders>
            <w:shd w:val="clear" w:color="000000" w:fill="E7E6E6"/>
            <w:vAlign w:val="center"/>
            <w:hideMark/>
          </w:tcPr>
          <w:p w14:paraId="3DA2E0E0"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33.80%</w:t>
            </w:r>
          </w:p>
        </w:tc>
        <w:tc>
          <w:tcPr>
            <w:tcW w:w="1060" w:type="dxa"/>
            <w:tcBorders>
              <w:top w:val="nil"/>
              <w:left w:val="nil"/>
              <w:bottom w:val="single" w:sz="4" w:space="0" w:color="auto"/>
              <w:right w:val="single" w:sz="4" w:space="0" w:color="auto"/>
            </w:tcBorders>
            <w:shd w:val="clear" w:color="000000" w:fill="E7E6E6"/>
            <w:vAlign w:val="center"/>
            <w:hideMark/>
          </w:tcPr>
          <w:p w14:paraId="2C99C836"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1940" w:type="dxa"/>
            <w:gridSpan w:val="2"/>
            <w:tcBorders>
              <w:top w:val="single" w:sz="4" w:space="0" w:color="auto"/>
              <w:left w:val="nil"/>
              <w:bottom w:val="single" w:sz="4" w:space="0" w:color="auto"/>
              <w:right w:val="single" w:sz="4" w:space="0" w:color="auto"/>
            </w:tcBorders>
            <w:shd w:val="clear" w:color="000000" w:fill="E7E6E6"/>
            <w:vAlign w:val="center"/>
            <w:hideMark/>
          </w:tcPr>
          <w:p w14:paraId="22A277D1"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80" w:type="dxa"/>
            <w:tcBorders>
              <w:top w:val="nil"/>
              <w:left w:val="nil"/>
              <w:bottom w:val="single" w:sz="4" w:space="0" w:color="auto"/>
              <w:right w:val="single" w:sz="4" w:space="0" w:color="auto"/>
            </w:tcBorders>
            <w:shd w:val="clear" w:color="auto" w:fill="auto"/>
            <w:vAlign w:val="center"/>
            <w:hideMark/>
          </w:tcPr>
          <w:p w14:paraId="4DDB493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1000" w:type="dxa"/>
            <w:tcBorders>
              <w:top w:val="nil"/>
              <w:left w:val="nil"/>
              <w:bottom w:val="single" w:sz="4" w:space="0" w:color="auto"/>
              <w:right w:val="single" w:sz="4" w:space="0" w:color="auto"/>
            </w:tcBorders>
            <w:shd w:val="clear" w:color="auto" w:fill="auto"/>
            <w:vAlign w:val="center"/>
            <w:hideMark/>
          </w:tcPr>
          <w:p w14:paraId="7095B1D4"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2,083,847</w:t>
            </w:r>
          </w:p>
        </w:tc>
        <w:tc>
          <w:tcPr>
            <w:tcW w:w="700" w:type="dxa"/>
            <w:tcBorders>
              <w:top w:val="nil"/>
              <w:left w:val="nil"/>
              <w:bottom w:val="single" w:sz="4" w:space="0" w:color="auto"/>
              <w:right w:val="single" w:sz="4" w:space="0" w:color="auto"/>
            </w:tcBorders>
            <w:shd w:val="clear" w:color="auto" w:fill="auto"/>
            <w:vAlign w:val="center"/>
            <w:hideMark/>
          </w:tcPr>
          <w:p w14:paraId="39D3F7D8"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69.9%</w:t>
            </w:r>
          </w:p>
        </w:tc>
        <w:tc>
          <w:tcPr>
            <w:tcW w:w="1840" w:type="dxa"/>
            <w:tcBorders>
              <w:top w:val="nil"/>
              <w:left w:val="nil"/>
              <w:bottom w:val="single" w:sz="4" w:space="0" w:color="auto"/>
              <w:right w:val="single" w:sz="4" w:space="0" w:color="auto"/>
            </w:tcBorders>
            <w:shd w:val="clear" w:color="auto" w:fill="auto"/>
            <w:vAlign w:val="center"/>
            <w:hideMark/>
          </w:tcPr>
          <w:p w14:paraId="13D7ED9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080" w:type="dxa"/>
            <w:tcBorders>
              <w:top w:val="nil"/>
              <w:left w:val="nil"/>
              <w:bottom w:val="single" w:sz="4" w:space="0" w:color="auto"/>
              <w:right w:val="single" w:sz="4" w:space="0" w:color="auto"/>
            </w:tcBorders>
            <w:shd w:val="clear" w:color="auto" w:fill="auto"/>
            <w:vAlign w:val="center"/>
            <w:hideMark/>
          </w:tcPr>
          <w:p w14:paraId="5DC3793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180,535</w:t>
            </w:r>
          </w:p>
        </w:tc>
        <w:tc>
          <w:tcPr>
            <w:tcW w:w="780" w:type="dxa"/>
            <w:tcBorders>
              <w:top w:val="nil"/>
              <w:left w:val="nil"/>
              <w:bottom w:val="single" w:sz="4" w:space="0" w:color="auto"/>
              <w:right w:val="single" w:sz="4" w:space="0" w:color="auto"/>
            </w:tcBorders>
            <w:shd w:val="clear" w:color="auto" w:fill="auto"/>
            <w:vAlign w:val="center"/>
            <w:hideMark/>
          </w:tcPr>
          <w:p w14:paraId="2F0D793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14.6%</w:t>
            </w:r>
          </w:p>
        </w:tc>
      </w:tr>
      <w:tr w:rsidR="00726632" w:rsidRPr="00EE5714" w14:paraId="3298C32B" w14:textId="77777777" w:rsidTr="003B7A82">
        <w:trPr>
          <w:trHeight w:val="30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826CB27"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334,490</w:t>
            </w:r>
          </w:p>
        </w:tc>
        <w:tc>
          <w:tcPr>
            <w:tcW w:w="1060" w:type="dxa"/>
            <w:tcBorders>
              <w:top w:val="nil"/>
              <w:left w:val="nil"/>
              <w:bottom w:val="single" w:sz="4" w:space="0" w:color="auto"/>
              <w:right w:val="single" w:sz="4" w:space="0" w:color="auto"/>
            </w:tcBorders>
            <w:shd w:val="clear" w:color="auto" w:fill="auto"/>
            <w:vAlign w:val="center"/>
            <w:hideMark/>
          </w:tcPr>
          <w:p w14:paraId="434C5C41"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28.1%</w:t>
            </w:r>
          </w:p>
        </w:tc>
        <w:tc>
          <w:tcPr>
            <w:tcW w:w="960" w:type="dxa"/>
            <w:tcBorders>
              <w:top w:val="nil"/>
              <w:left w:val="nil"/>
              <w:bottom w:val="single" w:sz="4" w:space="0" w:color="auto"/>
              <w:right w:val="single" w:sz="4" w:space="0" w:color="auto"/>
            </w:tcBorders>
            <w:shd w:val="clear" w:color="auto" w:fill="auto"/>
            <w:vAlign w:val="center"/>
            <w:hideMark/>
          </w:tcPr>
          <w:p w14:paraId="637BEF38"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980" w:type="dxa"/>
            <w:tcBorders>
              <w:top w:val="nil"/>
              <w:left w:val="nil"/>
              <w:bottom w:val="single" w:sz="4" w:space="0" w:color="auto"/>
              <w:right w:val="single" w:sz="4" w:space="0" w:color="auto"/>
            </w:tcBorders>
            <w:shd w:val="clear" w:color="auto" w:fill="auto"/>
            <w:vAlign w:val="center"/>
            <w:hideMark/>
          </w:tcPr>
          <w:p w14:paraId="24952DBC"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28.1%</w:t>
            </w:r>
          </w:p>
        </w:tc>
        <w:tc>
          <w:tcPr>
            <w:tcW w:w="1380" w:type="dxa"/>
            <w:tcBorders>
              <w:top w:val="nil"/>
              <w:left w:val="nil"/>
              <w:bottom w:val="single" w:sz="4" w:space="0" w:color="auto"/>
              <w:right w:val="single" w:sz="4" w:space="0" w:color="auto"/>
            </w:tcBorders>
            <w:shd w:val="clear" w:color="auto" w:fill="auto"/>
            <w:vAlign w:val="center"/>
            <w:hideMark/>
          </w:tcPr>
          <w:p w14:paraId="0A08387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14:paraId="786B561E"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2,980,539</w:t>
            </w:r>
          </w:p>
        </w:tc>
        <w:tc>
          <w:tcPr>
            <w:tcW w:w="700" w:type="dxa"/>
            <w:tcBorders>
              <w:top w:val="nil"/>
              <w:left w:val="nil"/>
              <w:bottom w:val="single" w:sz="4" w:space="0" w:color="auto"/>
              <w:right w:val="single" w:sz="4" w:space="0" w:color="auto"/>
            </w:tcBorders>
            <w:shd w:val="clear" w:color="auto" w:fill="auto"/>
            <w:vAlign w:val="center"/>
            <w:hideMark/>
          </w:tcPr>
          <w:p w14:paraId="48D3A6C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840" w:type="dxa"/>
            <w:tcBorders>
              <w:top w:val="nil"/>
              <w:left w:val="nil"/>
              <w:bottom w:val="single" w:sz="4" w:space="0" w:color="auto"/>
              <w:right w:val="single" w:sz="4" w:space="0" w:color="auto"/>
            </w:tcBorders>
            <w:shd w:val="clear" w:color="auto" w:fill="auto"/>
            <w:vAlign w:val="center"/>
            <w:hideMark/>
          </w:tcPr>
          <w:p w14:paraId="7AB1C6B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080" w:type="dxa"/>
            <w:tcBorders>
              <w:top w:val="nil"/>
              <w:left w:val="nil"/>
              <w:bottom w:val="single" w:sz="4" w:space="0" w:color="auto"/>
              <w:right w:val="single" w:sz="4" w:space="0" w:color="auto"/>
            </w:tcBorders>
            <w:shd w:val="clear" w:color="auto" w:fill="auto"/>
            <w:vAlign w:val="center"/>
            <w:hideMark/>
          </w:tcPr>
          <w:p w14:paraId="1121D4B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63,086</w:t>
            </w:r>
          </w:p>
        </w:tc>
        <w:tc>
          <w:tcPr>
            <w:tcW w:w="780" w:type="dxa"/>
            <w:tcBorders>
              <w:top w:val="nil"/>
              <w:left w:val="nil"/>
              <w:bottom w:val="single" w:sz="4" w:space="0" w:color="auto"/>
              <w:right w:val="single" w:sz="4" w:space="0" w:color="auto"/>
            </w:tcBorders>
            <w:shd w:val="clear" w:color="auto" w:fill="auto"/>
            <w:vAlign w:val="center"/>
            <w:hideMark/>
          </w:tcPr>
          <w:p w14:paraId="59EB4A9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w:t>
            </w:r>
          </w:p>
        </w:tc>
      </w:tr>
      <w:tr w:rsidR="00726632" w:rsidRPr="00EE5714" w14:paraId="20325C37" w14:textId="77777777" w:rsidTr="003B7A82">
        <w:trPr>
          <w:trHeight w:val="30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9841354"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58,059</w:t>
            </w:r>
          </w:p>
        </w:tc>
        <w:tc>
          <w:tcPr>
            <w:tcW w:w="1060" w:type="dxa"/>
            <w:tcBorders>
              <w:top w:val="nil"/>
              <w:left w:val="nil"/>
              <w:bottom w:val="single" w:sz="4" w:space="0" w:color="auto"/>
              <w:right w:val="single" w:sz="4" w:space="0" w:color="auto"/>
            </w:tcBorders>
            <w:shd w:val="clear" w:color="auto" w:fill="auto"/>
            <w:vAlign w:val="center"/>
            <w:hideMark/>
          </w:tcPr>
          <w:p w14:paraId="4AE634A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4.9%</w:t>
            </w:r>
          </w:p>
        </w:tc>
        <w:tc>
          <w:tcPr>
            <w:tcW w:w="960" w:type="dxa"/>
            <w:tcBorders>
              <w:top w:val="nil"/>
              <w:left w:val="nil"/>
              <w:bottom w:val="single" w:sz="4" w:space="0" w:color="auto"/>
              <w:right w:val="single" w:sz="4" w:space="0" w:color="auto"/>
            </w:tcBorders>
            <w:shd w:val="clear" w:color="auto" w:fill="auto"/>
            <w:vAlign w:val="center"/>
            <w:hideMark/>
          </w:tcPr>
          <w:p w14:paraId="7C7F2B9B"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980" w:type="dxa"/>
            <w:tcBorders>
              <w:top w:val="nil"/>
              <w:left w:val="nil"/>
              <w:bottom w:val="single" w:sz="4" w:space="0" w:color="auto"/>
              <w:right w:val="single" w:sz="4" w:space="0" w:color="auto"/>
            </w:tcBorders>
            <w:shd w:val="clear" w:color="auto" w:fill="auto"/>
            <w:vAlign w:val="center"/>
            <w:hideMark/>
          </w:tcPr>
          <w:p w14:paraId="35B8CEF2"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35.7%</w:t>
            </w:r>
          </w:p>
        </w:tc>
        <w:tc>
          <w:tcPr>
            <w:tcW w:w="30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DE7FAA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14:paraId="178778E4"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080" w:type="dxa"/>
            <w:tcBorders>
              <w:top w:val="nil"/>
              <w:left w:val="nil"/>
              <w:bottom w:val="single" w:sz="4" w:space="0" w:color="auto"/>
              <w:right w:val="single" w:sz="4" w:space="0" w:color="auto"/>
            </w:tcBorders>
            <w:shd w:val="clear" w:color="auto" w:fill="auto"/>
            <w:vAlign w:val="center"/>
            <w:hideMark/>
          </w:tcPr>
          <w:p w14:paraId="43357A5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52,366</w:t>
            </w:r>
          </w:p>
        </w:tc>
        <w:tc>
          <w:tcPr>
            <w:tcW w:w="780" w:type="dxa"/>
            <w:tcBorders>
              <w:top w:val="nil"/>
              <w:left w:val="nil"/>
              <w:bottom w:val="single" w:sz="4" w:space="0" w:color="auto"/>
              <w:right w:val="single" w:sz="4" w:space="0" w:color="auto"/>
            </w:tcBorders>
            <w:shd w:val="clear" w:color="auto" w:fill="auto"/>
            <w:vAlign w:val="center"/>
            <w:hideMark/>
          </w:tcPr>
          <w:p w14:paraId="75A39905"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4.2%</w:t>
            </w:r>
          </w:p>
        </w:tc>
      </w:tr>
      <w:tr w:rsidR="00726632" w:rsidRPr="00EE5714" w14:paraId="53840389" w14:textId="77777777" w:rsidTr="003B7A82">
        <w:trPr>
          <w:trHeight w:val="51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708662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6,597</w:t>
            </w:r>
          </w:p>
        </w:tc>
        <w:tc>
          <w:tcPr>
            <w:tcW w:w="1060" w:type="dxa"/>
            <w:tcBorders>
              <w:top w:val="nil"/>
              <w:left w:val="nil"/>
              <w:bottom w:val="single" w:sz="4" w:space="0" w:color="auto"/>
              <w:right w:val="single" w:sz="4" w:space="0" w:color="auto"/>
            </w:tcBorders>
            <w:shd w:val="clear" w:color="auto" w:fill="auto"/>
            <w:vAlign w:val="center"/>
            <w:hideMark/>
          </w:tcPr>
          <w:p w14:paraId="2843942D"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960" w:type="dxa"/>
            <w:tcBorders>
              <w:top w:val="nil"/>
              <w:left w:val="nil"/>
              <w:bottom w:val="single" w:sz="4" w:space="0" w:color="auto"/>
              <w:right w:val="single" w:sz="4" w:space="0" w:color="auto"/>
            </w:tcBorders>
            <w:shd w:val="clear" w:color="auto" w:fill="auto"/>
            <w:vAlign w:val="center"/>
            <w:hideMark/>
          </w:tcPr>
          <w:p w14:paraId="43984A0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980" w:type="dxa"/>
            <w:tcBorders>
              <w:top w:val="nil"/>
              <w:left w:val="nil"/>
              <w:bottom w:val="single" w:sz="4" w:space="0" w:color="auto"/>
              <w:right w:val="single" w:sz="4" w:space="0" w:color="auto"/>
            </w:tcBorders>
            <w:shd w:val="clear" w:color="auto" w:fill="auto"/>
            <w:vAlign w:val="center"/>
            <w:hideMark/>
          </w:tcPr>
          <w:p w14:paraId="445DCE68"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15.5%</w:t>
            </w:r>
          </w:p>
        </w:tc>
        <w:tc>
          <w:tcPr>
            <w:tcW w:w="1380" w:type="dxa"/>
            <w:tcBorders>
              <w:top w:val="single" w:sz="4" w:space="0" w:color="auto"/>
              <w:left w:val="nil"/>
              <w:bottom w:val="single" w:sz="4" w:space="0" w:color="auto"/>
              <w:right w:val="single" w:sz="4" w:space="0" w:color="auto"/>
            </w:tcBorders>
            <w:shd w:val="clear" w:color="000000" w:fill="E7E6E6"/>
            <w:vAlign w:val="center"/>
            <w:hideMark/>
          </w:tcPr>
          <w:p w14:paraId="5DC44505"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1000" w:type="dxa"/>
            <w:tcBorders>
              <w:top w:val="single" w:sz="4" w:space="0" w:color="auto"/>
              <w:left w:val="nil"/>
              <w:bottom w:val="single" w:sz="4" w:space="0" w:color="auto"/>
              <w:right w:val="single" w:sz="4" w:space="0" w:color="auto"/>
            </w:tcBorders>
            <w:shd w:val="clear" w:color="000000" w:fill="E7E6E6"/>
            <w:vAlign w:val="center"/>
            <w:hideMark/>
          </w:tcPr>
          <w:p w14:paraId="4D98B778"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00" w:type="dxa"/>
            <w:tcBorders>
              <w:top w:val="single" w:sz="4" w:space="0" w:color="auto"/>
              <w:left w:val="nil"/>
              <w:bottom w:val="single" w:sz="4" w:space="0" w:color="auto"/>
              <w:right w:val="single" w:sz="4" w:space="0" w:color="auto"/>
            </w:tcBorders>
            <w:shd w:val="clear" w:color="000000" w:fill="E7E6E6"/>
            <w:vAlign w:val="center"/>
            <w:hideMark/>
          </w:tcPr>
          <w:p w14:paraId="76C34A96"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840" w:type="dxa"/>
            <w:tcBorders>
              <w:top w:val="nil"/>
              <w:left w:val="nil"/>
              <w:bottom w:val="single" w:sz="4" w:space="0" w:color="auto"/>
              <w:right w:val="single" w:sz="4" w:space="0" w:color="auto"/>
            </w:tcBorders>
            <w:shd w:val="clear" w:color="auto" w:fill="auto"/>
            <w:vAlign w:val="center"/>
            <w:hideMark/>
          </w:tcPr>
          <w:p w14:paraId="3D114E15"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auto" w:fill="auto"/>
            <w:vAlign w:val="center"/>
            <w:hideMark/>
          </w:tcPr>
          <w:p w14:paraId="5BED638E"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1,232,456</w:t>
            </w:r>
          </w:p>
        </w:tc>
        <w:tc>
          <w:tcPr>
            <w:tcW w:w="780" w:type="dxa"/>
            <w:tcBorders>
              <w:top w:val="nil"/>
              <w:left w:val="nil"/>
              <w:bottom w:val="single" w:sz="4" w:space="0" w:color="auto"/>
              <w:right w:val="single" w:sz="4" w:space="0" w:color="auto"/>
            </w:tcBorders>
            <w:shd w:val="clear" w:color="auto" w:fill="auto"/>
            <w:vAlign w:val="center"/>
            <w:hideMark/>
          </w:tcPr>
          <w:p w14:paraId="3D1115F4"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26632" w:rsidRPr="00EE5714" w14:paraId="228F81A7" w14:textId="77777777" w:rsidTr="003B7A82">
        <w:trPr>
          <w:trHeight w:val="30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A888D11"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2,614</w:t>
            </w:r>
          </w:p>
        </w:tc>
        <w:tc>
          <w:tcPr>
            <w:tcW w:w="1060" w:type="dxa"/>
            <w:tcBorders>
              <w:top w:val="nil"/>
              <w:left w:val="nil"/>
              <w:bottom w:val="single" w:sz="4" w:space="0" w:color="auto"/>
              <w:right w:val="single" w:sz="4" w:space="0" w:color="auto"/>
            </w:tcBorders>
            <w:shd w:val="clear" w:color="auto" w:fill="auto"/>
            <w:vAlign w:val="center"/>
            <w:hideMark/>
          </w:tcPr>
          <w:p w14:paraId="3398870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0.2%</w:t>
            </w:r>
          </w:p>
        </w:tc>
        <w:tc>
          <w:tcPr>
            <w:tcW w:w="960" w:type="dxa"/>
            <w:tcBorders>
              <w:top w:val="nil"/>
              <w:left w:val="nil"/>
              <w:bottom w:val="single" w:sz="4" w:space="0" w:color="auto"/>
              <w:right w:val="single" w:sz="4" w:space="0" w:color="auto"/>
            </w:tcBorders>
            <w:shd w:val="clear" w:color="auto" w:fill="auto"/>
            <w:vAlign w:val="center"/>
            <w:hideMark/>
          </w:tcPr>
          <w:p w14:paraId="7D815781"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980" w:type="dxa"/>
            <w:tcBorders>
              <w:top w:val="nil"/>
              <w:left w:val="nil"/>
              <w:bottom w:val="single" w:sz="4" w:space="0" w:color="auto"/>
              <w:right w:val="single" w:sz="4" w:space="0" w:color="auto"/>
            </w:tcBorders>
            <w:shd w:val="clear" w:color="auto" w:fill="auto"/>
            <w:vAlign w:val="center"/>
            <w:hideMark/>
          </w:tcPr>
          <w:p w14:paraId="6606FE00"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12.4%</w:t>
            </w:r>
          </w:p>
        </w:tc>
        <w:tc>
          <w:tcPr>
            <w:tcW w:w="1380" w:type="dxa"/>
            <w:tcBorders>
              <w:top w:val="nil"/>
              <w:left w:val="nil"/>
              <w:bottom w:val="single" w:sz="4" w:space="0" w:color="auto"/>
              <w:right w:val="single" w:sz="4" w:space="0" w:color="auto"/>
            </w:tcBorders>
            <w:shd w:val="clear" w:color="auto" w:fill="auto"/>
            <w:vAlign w:val="center"/>
            <w:hideMark/>
          </w:tcPr>
          <w:p w14:paraId="354B35D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1000" w:type="dxa"/>
            <w:tcBorders>
              <w:top w:val="nil"/>
              <w:left w:val="nil"/>
              <w:bottom w:val="single" w:sz="4" w:space="0" w:color="auto"/>
              <w:right w:val="single" w:sz="4" w:space="0" w:color="auto"/>
            </w:tcBorders>
            <w:shd w:val="clear" w:color="auto" w:fill="auto"/>
            <w:vAlign w:val="center"/>
            <w:hideMark/>
          </w:tcPr>
          <w:p w14:paraId="215E66C2"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381,987</w:t>
            </w:r>
          </w:p>
        </w:tc>
        <w:tc>
          <w:tcPr>
            <w:tcW w:w="700" w:type="dxa"/>
            <w:tcBorders>
              <w:top w:val="nil"/>
              <w:left w:val="nil"/>
              <w:bottom w:val="single" w:sz="4" w:space="0" w:color="auto"/>
              <w:right w:val="single" w:sz="4" w:space="0" w:color="auto"/>
            </w:tcBorders>
            <w:shd w:val="clear" w:color="auto" w:fill="auto"/>
            <w:vAlign w:val="center"/>
            <w:hideMark/>
          </w:tcPr>
          <w:p w14:paraId="3D98E38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32.0%</w:t>
            </w:r>
          </w:p>
        </w:tc>
        <w:tc>
          <w:tcPr>
            <w:tcW w:w="1840" w:type="dxa"/>
            <w:tcBorders>
              <w:top w:val="nil"/>
              <w:left w:val="nil"/>
              <w:bottom w:val="single" w:sz="4" w:space="0" w:color="auto"/>
              <w:right w:val="single" w:sz="4" w:space="0" w:color="auto"/>
            </w:tcBorders>
            <w:shd w:val="clear" w:color="auto" w:fill="auto"/>
            <w:vAlign w:val="center"/>
            <w:hideMark/>
          </w:tcPr>
          <w:p w14:paraId="2D5DEE6A"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080" w:type="dxa"/>
            <w:tcBorders>
              <w:top w:val="nil"/>
              <w:left w:val="nil"/>
              <w:bottom w:val="single" w:sz="4" w:space="0" w:color="auto"/>
              <w:right w:val="single" w:sz="4" w:space="0" w:color="auto"/>
            </w:tcBorders>
            <w:shd w:val="clear" w:color="auto" w:fill="auto"/>
            <w:vAlign w:val="center"/>
            <w:hideMark/>
          </w:tcPr>
          <w:p w14:paraId="079024B7"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$56,876</w:t>
            </w:r>
          </w:p>
        </w:tc>
        <w:tc>
          <w:tcPr>
            <w:tcW w:w="780" w:type="dxa"/>
            <w:tcBorders>
              <w:top w:val="nil"/>
              <w:left w:val="nil"/>
              <w:bottom w:val="single" w:sz="4" w:space="0" w:color="auto"/>
              <w:right w:val="single" w:sz="4" w:space="0" w:color="auto"/>
            </w:tcBorders>
            <w:shd w:val="clear" w:color="auto" w:fill="auto"/>
            <w:vAlign w:val="center"/>
            <w:hideMark/>
          </w:tcPr>
          <w:p w14:paraId="3FDD298B"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26632" w:rsidRPr="00EE5714" w14:paraId="6C1DBE70" w14:textId="77777777" w:rsidTr="003B7A82">
        <w:trPr>
          <w:trHeight w:val="51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66DBA6F"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639</w:t>
            </w:r>
          </w:p>
        </w:tc>
        <w:tc>
          <w:tcPr>
            <w:tcW w:w="1060" w:type="dxa"/>
            <w:tcBorders>
              <w:top w:val="nil"/>
              <w:left w:val="nil"/>
              <w:bottom w:val="single" w:sz="4" w:space="0" w:color="auto"/>
              <w:right w:val="single" w:sz="4" w:space="0" w:color="auto"/>
            </w:tcBorders>
            <w:shd w:val="clear" w:color="auto" w:fill="auto"/>
            <w:vAlign w:val="center"/>
            <w:hideMark/>
          </w:tcPr>
          <w:p w14:paraId="6A961B3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960" w:type="dxa"/>
            <w:tcBorders>
              <w:top w:val="nil"/>
              <w:left w:val="nil"/>
              <w:bottom w:val="single" w:sz="4" w:space="0" w:color="auto"/>
              <w:right w:val="single" w:sz="4" w:space="0" w:color="auto"/>
            </w:tcBorders>
            <w:shd w:val="clear" w:color="auto" w:fill="auto"/>
            <w:vAlign w:val="center"/>
            <w:hideMark/>
          </w:tcPr>
          <w:p w14:paraId="1B9E5C81"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980" w:type="dxa"/>
            <w:tcBorders>
              <w:top w:val="nil"/>
              <w:left w:val="nil"/>
              <w:bottom w:val="single" w:sz="4" w:space="0" w:color="auto"/>
              <w:right w:val="single" w:sz="4" w:space="0" w:color="auto"/>
            </w:tcBorders>
            <w:shd w:val="clear" w:color="auto" w:fill="auto"/>
            <w:vAlign w:val="center"/>
            <w:hideMark/>
          </w:tcPr>
          <w:p w14:paraId="254F86B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w:t>
            </w:r>
          </w:p>
        </w:tc>
        <w:tc>
          <w:tcPr>
            <w:tcW w:w="1380" w:type="dxa"/>
            <w:tcBorders>
              <w:top w:val="nil"/>
              <w:left w:val="nil"/>
              <w:bottom w:val="single" w:sz="4" w:space="0" w:color="auto"/>
              <w:right w:val="single" w:sz="4" w:space="0" w:color="auto"/>
            </w:tcBorders>
            <w:shd w:val="clear" w:color="auto" w:fill="auto"/>
            <w:vAlign w:val="center"/>
            <w:hideMark/>
          </w:tcPr>
          <w:p w14:paraId="76EF3F97"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1000" w:type="dxa"/>
            <w:tcBorders>
              <w:top w:val="nil"/>
              <w:left w:val="nil"/>
              <w:bottom w:val="single" w:sz="4" w:space="0" w:color="auto"/>
              <w:right w:val="single" w:sz="4" w:space="0" w:color="auto"/>
            </w:tcBorders>
            <w:shd w:val="clear" w:color="auto" w:fill="auto"/>
            <w:vAlign w:val="center"/>
            <w:hideMark/>
          </w:tcPr>
          <w:p w14:paraId="53677765"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61,365</w:t>
            </w:r>
          </w:p>
        </w:tc>
        <w:tc>
          <w:tcPr>
            <w:tcW w:w="700" w:type="dxa"/>
            <w:tcBorders>
              <w:top w:val="nil"/>
              <w:left w:val="nil"/>
              <w:bottom w:val="single" w:sz="4" w:space="0" w:color="auto"/>
              <w:right w:val="single" w:sz="4" w:space="0" w:color="auto"/>
            </w:tcBorders>
            <w:shd w:val="clear" w:color="auto" w:fill="auto"/>
            <w:vAlign w:val="center"/>
            <w:hideMark/>
          </w:tcPr>
          <w:p w14:paraId="435C3B21"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w:t>
            </w:r>
          </w:p>
        </w:tc>
        <w:tc>
          <w:tcPr>
            <w:tcW w:w="1840" w:type="dxa"/>
            <w:tcBorders>
              <w:top w:val="nil"/>
              <w:left w:val="nil"/>
              <w:bottom w:val="single" w:sz="4" w:space="0" w:color="auto"/>
              <w:right w:val="single" w:sz="4" w:space="0" w:color="auto"/>
            </w:tcBorders>
            <w:shd w:val="clear" w:color="auto" w:fill="auto"/>
            <w:vAlign w:val="center"/>
            <w:hideMark/>
          </w:tcPr>
          <w:p w14:paraId="445527DF"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080" w:type="dxa"/>
            <w:tcBorders>
              <w:top w:val="nil"/>
              <w:left w:val="nil"/>
              <w:bottom w:val="single" w:sz="4" w:space="0" w:color="auto"/>
              <w:right w:val="single" w:sz="4" w:space="0" w:color="auto"/>
            </w:tcBorders>
            <w:shd w:val="clear" w:color="auto" w:fill="auto"/>
            <w:vAlign w:val="center"/>
            <w:hideMark/>
          </w:tcPr>
          <w:p w14:paraId="11E76969"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$76,148</w:t>
            </w:r>
          </w:p>
        </w:tc>
        <w:tc>
          <w:tcPr>
            <w:tcW w:w="780" w:type="dxa"/>
            <w:tcBorders>
              <w:top w:val="nil"/>
              <w:left w:val="nil"/>
              <w:bottom w:val="single" w:sz="4" w:space="0" w:color="auto"/>
              <w:right w:val="single" w:sz="4" w:space="0" w:color="auto"/>
            </w:tcBorders>
            <w:shd w:val="clear" w:color="auto" w:fill="auto"/>
            <w:vAlign w:val="center"/>
            <w:hideMark/>
          </w:tcPr>
          <w:p w14:paraId="75C39AFC"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26632" w:rsidRPr="00EE5714" w14:paraId="4DFBB03B" w14:textId="77777777" w:rsidTr="003B7A82">
        <w:trPr>
          <w:trHeight w:val="30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C1FC97F"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151</w:t>
            </w:r>
          </w:p>
        </w:tc>
        <w:tc>
          <w:tcPr>
            <w:tcW w:w="1060" w:type="dxa"/>
            <w:tcBorders>
              <w:top w:val="nil"/>
              <w:left w:val="nil"/>
              <w:bottom w:val="single" w:sz="4" w:space="0" w:color="auto"/>
              <w:right w:val="single" w:sz="4" w:space="0" w:color="auto"/>
            </w:tcBorders>
            <w:shd w:val="clear" w:color="auto" w:fill="auto"/>
            <w:vAlign w:val="center"/>
            <w:hideMark/>
          </w:tcPr>
          <w:p w14:paraId="7A81DBE2"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14:paraId="62DD69A1"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980" w:type="dxa"/>
            <w:tcBorders>
              <w:top w:val="nil"/>
              <w:left w:val="nil"/>
              <w:bottom w:val="single" w:sz="4" w:space="0" w:color="auto"/>
              <w:right w:val="single" w:sz="4" w:space="0" w:color="auto"/>
            </w:tcBorders>
            <w:shd w:val="clear" w:color="auto" w:fill="auto"/>
            <w:vAlign w:val="center"/>
            <w:hideMark/>
          </w:tcPr>
          <w:p w14:paraId="632A417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w:t>
            </w:r>
          </w:p>
        </w:tc>
        <w:tc>
          <w:tcPr>
            <w:tcW w:w="1380" w:type="dxa"/>
            <w:tcBorders>
              <w:top w:val="nil"/>
              <w:left w:val="nil"/>
              <w:bottom w:val="single" w:sz="4" w:space="0" w:color="auto"/>
              <w:right w:val="single" w:sz="4" w:space="0" w:color="auto"/>
            </w:tcBorders>
            <w:shd w:val="clear" w:color="auto" w:fill="auto"/>
            <w:vAlign w:val="center"/>
            <w:hideMark/>
          </w:tcPr>
          <w:p w14:paraId="671F703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1000" w:type="dxa"/>
            <w:tcBorders>
              <w:top w:val="nil"/>
              <w:left w:val="nil"/>
              <w:bottom w:val="single" w:sz="4" w:space="0" w:color="auto"/>
              <w:right w:val="single" w:sz="4" w:space="0" w:color="auto"/>
            </w:tcBorders>
            <w:shd w:val="clear" w:color="auto" w:fill="auto"/>
            <w:vAlign w:val="center"/>
            <w:hideMark/>
          </w:tcPr>
          <w:p w14:paraId="3C20C7F8"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365,875</w:t>
            </w:r>
          </w:p>
        </w:tc>
        <w:tc>
          <w:tcPr>
            <w:tcW w:w="700" w:type="dxa"/>
            <w:tcBorders>
              <w:top w:val="nil"/>
              <w:left w:val="nil"/>
              <w:bottom w:val="single" w:sz="4" w:space="0" w:color="auto"/>
              <w:right w:val="single" w:sz="4" w:space="0" w:color="auto"/>
            </w:tcBorders>
            <w:shd w:val="clear" w:color="auto" w:fill="auto"/>
            <w:vAlign w:val="center"/>
            <w:hideMark/>
          </w:tcPr>
          <w:p w14:paraId="50A454B4"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30.7%</w:t>
            </w:r>
          </w:p>
        </w:tc>
        <w:tc>
          <w:tcPr>
            <w:tcW w:w="1840" w:type="dxa"/>
            <w:tcBorders>
              <w:top w:val="nil"/>
              <w:left w:val="nil"/>
              <w:bottom w:val="single" w:sz="4" w:space="0" w:color="auto"/>
              <w:right w:val="single" w:sz="4" w:space="0" w:color="auto"/>
            </w:tcBorders>
            <w:shd w:val="clear" w:color="auto" w:fill="auto"/>
            <w:vAlign w:val="center"/>
            <w:hideMark/>
          </w:tcPr>
          <w:p w14:paraId="4B524E8A"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080" w:type="dxa"/>
            <w:tcBorders>
              <w:top w:val="nil"/>
              <w:left w:val="nil"/>
              <w:bottom w:val="single" w:sz="4" w:space="0" w:color="auto"/>
              <w:right w:val="single" w:sz="4" w:space="0" w:color="auto"/>
            </w:tcBorders>
            <w:shd w:val="clear" w:color="auto" w:fill="auto"/>
            <w:vAlign w:val="center"/>
            <w:hideMark/>
          </w:tcPr>
          <w:p w14:paraId="2F9BD31C"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$30,256</w:t>
            </w:r>
          </w:p>
        </w:tc>
        <w:tc>
          <w:tcPr>
            <w:tcW w:w="780" w:type="dxa"/>
            <w:tcBorders>
              <w:top w:val="nil"/>
              <w:left w:val="nil"/>
              <w:bottom w:val="single" w:sz="4" w:space="0" w:color="auto"/>
              <w:right w:val="single" w:sz="4" w:space="0" w:color="auto"/>
            </w:tcBorders>
            <w:shd w:val="clear" w:color="auto" w:fill="auto"/>
            <w:vAlign w:val="center"/>
            <w:hideMark/>
          </w:tcPr>
          <w:p w14:paraId="07FE9DE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726632" w:rsidRPr="00EE5714" w14:paraId="2B8AD48A" w14:textId="77777777" w:rsidTr="003B7A82">
        <w:trPr>
          <w:trHeight w:val="51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BA4AC10"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230</w:t>
            </w:r>
          </w:p>
        </w:tc>
        <w:tc>
          <w:tcPr>
            <w:tcW w:w="1060" w:type="dxa"/>
            <w:tcBorders>
              <w:top w:val="nil"/>
              <w:left w:val="nil"/>
              <w:bottom w:val="single" w:sz="4" w:space="0" w:color="auto"/>
              <w:right w:val="single" w:sz="4" w:space="0" w:color="auto"/>
            </w:tcBorders>
            <w:shd w:val="clear" w:color="auto" w:fill="auto"/>
            <w:vAlign w:val="center"/>
            <w:hideMark/>
          </w:tcPr>
          <w:p w14:paraId="0769B97B"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14:paraId="7DFD6B1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980" w:type="dxa"/>
            <w:tcBorders>
              <w:top w:val="nil"/>
              <w:left w:val="nil"/>
              <w:bottom w:val="single" w:sz="4" w:space="0" w:color="auto"/>
              <w:right w:val="single" w:sz="4" w:space="0" w:color="auto"/>
            </w:tcBorders>
            <w:shd w:val="clear" w:color="auto" w:fill="auto"/>
            <w:vAlign w:val="center"/>
            <w:hideMark/>
          </w:tcPr>
          <w:p w14:paraId="7E022F2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w:t>
            </w:r>
          </w:p>
        </w:tc>
        <w:tc>
          <w:tcPr>
            <w:tcW w:w="1380" w:type="dxa"/>
            <w:tcBorders>
              <w:top w:val="nil"/>
              <w:left w:val="nil"/>
              <w:bottom w:val="single" w:sz="4" w:space="0" w:color="auto"/>
              <w:right w:val="single" w:sz="4" w:space="0" w:color="auto"/>
            </w:tcBorders>
            <w:shd w:val="clear" w:color="auto" w:fill="auto"/>
            <w:vAlign w:val="center"/>
            <w:hideMark/>
          </w:tcPr>
          <w:p w14:paraId="34D847FC"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1000" w:type="dxa"/>
            <w:tcBorders>
              <w:top w:val="nil"/>
              <w:left w:val="nil"/>
              <w:bottom w:val="single" w:sz="4" w:space="0" w:color="auto"/>
              <w:right w:val="single" w:sz="4" w:space="0" w:color="auto"/>
            </w:tcBorders>
            <w:shd w:val="clear" w:color="auto" w:fill="auto"/>
            <w:vAlign w:val="center"/>
            <w:hideMark/>
          </w:tcPr>
          <w:p w14:paraId="684E4D69"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295,170</w:t>
            </w:r>
          </w:p>
        </w:tc>
        <w:tc>
          <w:tcPr>
            <w:tcW w:w="700" w:type="dxa"/>
            <w:tcBorders>
              <w:top w:val="nil"/>
              <w:left w:val="nil"/>
              <w:bottom w:val="single" w:sz="4" w:space="0" w:color="auto"/>
              <w:right w:val="single" w:sz="4" w:space="0" w:color="auto"/>
            </w:tcBorders>
            <w:shd w:val="clear" w:color="auto" w:fill="auto"/>
            <w:vAlign w:val="center"/>
            <w:hideMark/>
          </w:tcPr>
          <w:p w14:paraId="1EFC9E32"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24.8%</w:t>
            </w:r>
          </w:p>
        </w:tc>
        <w:tc>
          <w:tcPr>
            <w:tcW w:w="3700"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5C4DB0F7"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PPL Service Area                                            2012-2016 ACS</w:t>
            </w:r>
          </w:p>
        </w:tc>
      </w:tr>
      <w:tr w:rsidR="00726632" w:rsidRPr="00EE5714" w14:paraId="42F7E9D4" w14:textId="77777777" w:rsidTr="003B7A82">
        <w:trPr>
          <w:trHeight w:val="51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8087FB0"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1,192,449</w:t>
            </w:r>
          </w:p>
        </w:tc>
        <w:tc>
          <w:tcPr>
            <w:tcW w:w="1060" w:type="dxa"/>
            <w:tcBorders>
              <w:top w:val="nil"/>
              <w:left w:val="nil"/>
              <w:bottom w:val="single" w:sz="4" w:space="0" w:color="auto"/>
              <w:right w:val="single" w:sz="4" w:space="0" w:color="auto"/>
            </w:tcBorders>
            <w:shd w:val="clear" w:color="auto" w:fill="auto"/>
            <w:vAlign w:val="center"/>
            <w:hideMark/>
          </w:tcPr>
          <w:p w14:paraId="49173657"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14:paraId="1A8C7250"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980" w:type="dxa"/>
            <w:tcBorders>
              <w:top w:val="nil"/>
              <w:left w:val="nil"/>
              <w:bottom w:val="single" w:sz="4" w:space="0" w:color="auto"/>
              <w:right w:val="single" w:sz="4" w:space="0" w:color="auto"/>
            </w:tcBorders>
            <w:shd w:val="clear" w:color="auto" w:fill="auto"/>
            <w:vAlign w:val="center"/>
            <w:hideMark/>
          </w:tcPr>
          <w:p w14:paraId="190A1E3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80" w:type="dxa"/>
            <w:tcBorders>
              <w:top w:val="nil"/>
              <w:left w:val="nil"/>
              <w:bottom w:val="single" w:sz="4" w:space="0" w:color="auto"/>
              <w:right w:val="single" w:sz="4" w:space="0" w:color="auto"/>
            </w:tcBorders>
            <w:shd w:val="clear" w:color="auto" w:fill="auto"/>
            <w:vAlign w:val="center"/>
            <w:hideMark/>
          </w:tcPr>
          <w:p w14:paraId="3435CB78"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1000" w:type="dxa"/>
            <w:tcBorders>
              <w:top w:val="nil"/>
              <w:left w:val="nil"/>
              <w:bottom w:val="single" w:sz="4" w:space="0" w:color="auto"/>
              <w:right w:val="single" w:sz="4" w:space="0" w:color="auto"/>
            </w:tcBorders>
            <w:shd w:val="clear" w:color="auto" w:fill="auto"/>
            <w:vAlign w:val="center"/>
            <w:hideMark/>
          </w:tcPr>
          <w:p w14:paraId="0ECB89DF"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34,414</w:t>
            </w:r>
          </w:p>
        </w:tc>
        <w:tc>
          <w:tcPr>
            <w:tcW w:w="700" w:type="dxa"/>
            <w:tcBorders>
              <w:top w:val="nil"/>
              <w:left w:val="nil"/>
              <w:bottom w:val="single" w:sz="4" w:space="0" w:color="auto"/>
              <w:right w:val="single" w:sz="4" w:space="0" w:color="auto"/>
            </w:tcBorders>
            <w:shd w:val="clear" w:color="auto" w:fill="auto"/>
            <w:vAlign w:val="center"/>
            <w:hideMark/>
          </w:tcPr>
          <w:p w14:paraId="3174EA3B"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2.9%</w:t>
            </w:r>
          </w:p>
        </w:tc>
        <w:tc>
          <w:tcPr>
            <w:tcW w:w="1840" w:type="dxa"/>
            <w:tcBorders>
              <w:top w:val="single" w:sz="4" w:space="0" w:color="auto"/>
              <w:left w:val="nil"/>
              <w:bottom w:val="single" w:sz="4" w:space="0" w:color="auto"/>
              <w:right w:val="single" w:sz="4" w:space="0" w:color="auto"/>
            </w:tcBorders>
            <w:shd w:val="clear" w:color="000000" w:fill="E7E6E6"/>
            <w:vAlign w:val="center"/>
            <w:hideMark/>
          </w:tcPr>
          <w:p w14:paraId="6D4AB871"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080" w:type="dxa"/>
            <w:tcBorders>
              <w:top w:val="single" w:sz="4" w:space="0" w:color="auto"/>
              <w:left w:val="nil"/>
              <w:bottom w:val="single" w:sz="4" w:space="0" w:color="auto"/>
              <w:right w:val="single" w:sz="4" w:space="0" w:color="auto"/>
            </w:tcBorders>
            <w:shd w:val="clear" w:color="000000" w:fill="E7E6E6"/>
            <w:vAlign w:val="center"/>
            <w:hideMark/>
          </w:tcPr>
          <w:p w14:paraId="6692AD2D"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80" w:type="dxa"/>
            <w:tcBorders>
              <w:top w:val="single" w:sz="4" w:space="0" w:color="auto"/>
              <w:left w:val="nil"/>
              <w:bottom w:val="single" w:sz="4" w:space="0" w:color="auto"/>
              <w:right w:val="single" w:sz="4" w:space="0" w:color="auto"/>
            </w:tcBorders>
            <w:shd w:val="clear" w:color="000000" w:fill="E7E6E6"/>
            <w:vAlign w:val="center"/>
            <w:hideMark/>
          </w:tcPr>
          <w:p w14:paraId="240A875E"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726632" w:rsidRPr="00EE5714" w14:paraId="61A085D5" w14:textId="77777777" w:rsidTr="003B7A82">
        <w:trPr>
          <w:trHeight w:val="435"/>
          <w:jc w:val="center"/>
        </w:trPr>
        <w:tc>
          <w:tcPr>
            <w:tcW w:w="4020" w:type="dxa"/>
            <w:gridSpan w:val="4"/>
            <w:tcBorders>
              <w:top w:val="single" w:sz="4" w:space="0" w:color="auto"/>
              <w:left w:val="single" w:sz="4" w:space="0" w:color="auto"/>
              <w:bottom w:val="single" w:sz="4" w:space="0" w:color="auto"/>
              <w:right w:val="single" w:sz="4" w:space="0" w:color="000000"/>
            </w:tcBorders>
            <w:shd w:val="clear" w:color="000000" w:fill="E7E6E6"/>
            <w:vAlign w:val="center"/>
            <w:hideMark/>
          </w:tcPr>
          <w:p w14:paraId="3BD24B33" w14:textId="0AFE4B3A"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PPL Service Area - 2012-2016 ACS</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0D9BAD8F"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1000" w:type="dxa"/>
            <w:tcBorders>
              <w:top w:val="nil"/>
              <w:left w:val="nil"/>
              <w:bottom w:val="single" w:sz="4" w:space="0" w:color="auto"/>
              <w:right w:val="single" w:sz="4" w:space="0" w:color="auto"/>
            </w:tcBorders>
            <w:shd w:val="clear" w:color="auto" w:fill="auto"/>
            <w:vAlign w:val="center"/>
            <w:hideMark/>
          </w:tcPr>
          <w:p w14:paraId="285E0C1C"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40,210</w:t>
            </w:r>
          </w:p>
        </w:tc>
        <w:tc>
          <w:tcPr>
            <w:tcW w:w="700" w:type="dxa"/>
            <w:tcBorders>
              <w:top w:val="nil"/>
              <w:left w:val="nil"/>
              <w:bottom w:val="single" w:sz="4" w:space="0" w:color="auto"/>
              <w:right w:val="single" w:sz="4" w:space="0" w:color="auto"/>
            </w:tcBorders>
            <w:shd w:val="clear" w:color="auto" w:fill="auto"/>
            <w:vAlign w:val="center"/>
            <w:hideMark/>
          </w:tcPr>
          <w:p w14:paraId="3B035AC0"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w:t>
            </w:r>
          </w:p>
        </w:tc>
        <w:tc>
          <w:tcPr>
            <w:tcW w:w="1840" w:type="dxa"/>
            <w:tcBorders>
              <w:top w:val="nil"/>
              <w:left w:val="nil"/>
              <w:bottom w:val="single" w:sz="4" w:space="0" w:color="auto"/>
              <w:right w:val="single" w:sz="4" w:space="0" w:color="auto"/>
            </w:tcBorders>
            <w:shd w:val="clear" w:color="auto" w:fill="auto"/>
            <w:vAlign w:val="center"/>
            <w:hideMark/>
          </w:tcPr>
          <w:p w14:paraId="0ABD43A8"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347,645</w:t>
            </w:r>
          </w:p>
        </w:tc>
        <w:tc>
          <w:tcPr>
            <w:tcW w:w="1080" w:type="dxa"/>
            <w:tcBorders>
              <w:top w:val="nil"/>
              <w:left w:val="nil"/>
              <w:bottom w:val="single" w:sz="4" w:space="0" w:color="auto"/>
              <w:right w:val="single" w:sz="4" w:space="0" w:color="auto"/>
            </w:tcBorders>
            <w:shd w:val="clear" w:color="auto" w:fill="auto"/>
            <w:vAlign w:val="center"/>
            <w:hideMark/>
          </w:tcPr>
          <w:p w14:paraId="19D9379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80" w:type="dxa"/>
            <w:tcBorders>
              <w:top w:val="nil"/>
              <w:left w:val="nil"/>
              <w:bottom w:val="single" w:sz="4" w:space="0" w:color="auto"/>
              <w:right w:val="single" w:sz="4" w:space="0" w:color="auto"/>
            </w:tcBorders>
            <w:shd w:val="clear" w:color="auto" w:fill="auto"/>
            <w:vAlign w:val="center"/>
            <w:hideMark/>
          </w:tcPr>
          <w:p w14:paraId="3D3627C5"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41.2%</w:t>
            </w:r>
          </w:p>
        </w:tc>
      </w:tr>
      <w:tr w:rsidR="00726632" w:rsidRPr="00EE5714" w14:paraId="08C7F076" w14:textId="77777777" w:rsidTr="003B7A82">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63B3157"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00"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07E0C534"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54FA134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1000" w:type="dxa"/>
            <w:tcBorders>
              <w:top w:val="nil"/>
              <w:left w:val="nil"/>
              <w:bottom w:val="single" w:sz="4" w:space="0" w:color="auto"/>
              <w:right w:val="single" w:sz="4" w:space="0" w:color="auto"/>
            </w:tcBorders>
            <w:shd w:val="clear" w:color="auto" w:fill="auto"/>
            <w:vAlign w:val="center"/>
            <w:hideMark/>
          </w:tcPr>
          <w:p w14:paraId="18C1D419"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620</w:t>
            </w:r>
          </w:p>
        </w:tc>
        <w:tc>
          <w:tcPr>
            <w:tcW w:w="700" w:type="dxa"/>
            <w:tcBorders>
              <w:top w:val="nil"/>
              <w:left w:val="nil"/>
              <w:bottom w:val="single" w:sz="4" w:space="0" w:color="auto"/>
              <w:right w:val="single" w:sz="4" w:space="0" w:color="auto"/>
            </w:tcBorders>
            <w:shd w:val="clear" w:color="auto" w:fill="auto"/>
            <w:vAlign w:val="center"/>
            <w:hideMark/>
          </w:tcPr>
          <w:p w14:paraId="5EF285F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840" w:type="dxa"/>
            <w:tcBorders>
              <w:top w:val="nil"/>
              <w:left w:val="nil"/>
              <w:bottom w:val="single" w:sz="4" w:space="0" w:color="auto"/>
              <w:right w:val="single" w:sz="4" w:space="0" w:color="auto"/>
            </w:tcBorders>
            <w:shd w:val="clear" w:color="auto" w:fill="auto"/>
            <w:vAlign w:val="center"/>
            <w:hideMark/>
          </w:tcPr>
          <w:p w14:paraId="190B42FC"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844,801</w:t>
            </w:r>
          </w:p>
        </w:tc>
        <w:tc>
          <w:tcPr>
            <w:tcW w:w="1080" w:type="dxa"/>
            <w:tcBorders>
              <w:top w:val="nil"/>
              <w:left w:val="nil"/>
              <w:bottom w:val="single" w:sz="4" w:space="0" w:color="auto"/>
              <w:right w:val="single" w:sz="4" w:space="0" w:color="auto"/>
            </w:tcBorders>
            <w:shd w:val="clear" w:color="auto" w:fill="auto"/>
            <w:vAlign w:val="center"/>
            <w:hideMark/>
          </w:tcPr>
          <w:p w14:paraId="60156BA0"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80" w:type="dxa"/>
            <w:tcBorders>
              <w:top w:val="nil"/>
              <w:left w:val="nil"/>
              <w:bottom w:val="single" w:sz="4" w:space="0" w:color="auto"/>
              <w:right w:val="single" w:sz="4" w:space="0" w:color="auto"/>
            </w:tcBorders>
            <w:shd w:val="clear" w:color="auto" w:fill="auto"/>
            <w:vAlign w:val="center"/>
            <w:hideMark/>
          </w:tcPr>
          <w:p w14:paraId="30CECE2A"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58.8%</w:t>
            </w:r>
          </w:p>
        </w:tc>
      </w:tr>
      <w:tr w:rsidR="00726632" w:rsidRPr="00EE5714" w14:paraId="4C6E5124" w14:textId="77777777" w:rsidTr="003B7A82">
        <w:trPr>
          <w:trHeight w:val="57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960921D"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136,351</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8D26C08"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11.43%</w:t>
            </w:r>
          </w:p>
        </w:tc>
        <w:tc>
          <w:tcPr>
            <w:tcW w:w="19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872E60"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5C0AC694"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1000" w:type="dxa"/>
            <w:tcBorders>
              <w:top w:val="nil"/>
              <w:left w:val="nil"/>
              <w:bottom w:val="single" w:sz="4" w:space="0" w:color="auto"/>
              <w:right w:val="single" w:sz="4" w:space="0" w:color="auto"/>
            </w:tcBorders>
            <w:shd w:val="clear" w:color="auto" w:fill="auto"/>
            <w:vAlign w:val="center"/>
            <w:hideMark/>
          </w:tcPr>
          <w:p w14:paraId="24711454"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9,044</w:t>
            </w:r>
          </w:p>
        </w:tc>
        <w:tc>
          <w:tcPr>
            <w:tcW w:w="700" w:type="dxa"/>
            <w:tcBorders>
              <w:top w:val="nil"/>
              <w:left w:val="nil"/>
              <w:bottom w:val="single" w:sz="4" w:space="0" w:color="auto"/>
              <w:right w:val="single" w:sz="4" w:space="0" w:color="auto"/>
            </w:tcBorders>
            <w:shd w:val="clear" w:color="auto" w:fill="auto"/>
            <w:vAlign w:val="center"/>
            <w:hideMark/>
          </w:tcPr>
          <w:p w14:paraId="212597F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0.8%</w:t>
            </w:r>
          </w:p>
        </w:tc>
        <w:tc>
          <w:tcPr>
            <w:tcW w:w="1840" w:type="dxa"/>
            <w:tcBorders>
              <w:top w:val="nil"/>
              <w:left w:val="nil"/>
              <w:bottom w:val="single" w:sz="4" w:space="0" w:color="auto"/>
              <w:right w:val="single" w:sz="4" w:space="0" w:color="auto"/>
            </w:tcBorders>
            <w:shd w:val="clear" w:color="auto" w:fill="auto"/>
            <w:vAlign w:val="center"/>
            <w:hideMark/>
          </w:tcPr>
          <w:p w14:paraId="3A4369BF"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367,166</w:t>
            </w:r>
          </w:p>
        </w:tc>
        <w:tc>
          <w:tcPr>
            <w:tcW w:w="1080" w:type="dxa"/>
            <w:tcBorders>
              <w:top w:val="nil"/>
              <w:left w:val="nil"/>
              <w:bottom w:val="single" w:sz="4" w:space="0" w:color="auto"/>
              <w:right w:val="single" w:sz="4" w:space="0" w:color="auto"/>
            </w:tcBorders>
            <w:shd w:val="clear" w:color="auto" w:fill="auto"/>
            <w:vAlign w:val="center"/>
            <w:hideMark/>
          </w:tcPr>
          <w:p w14:paraId="473C92C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80" w:type="dxa"/>
            <w:tcBorders>
              <w:top w:val="nil"/>
              <w:left w:val="nil"/>
              <w:bottom w:val="single" w:sz="4" w:space="0" w:color="auto"/>
              <w:right w:val="single" w:sz="4" w:space="0" w:color="auto"/>
            </w:tcBorders>
            <w:shd w:val="clear" w:color="auto" w:fill="auto"/>
            <w:vAlign w:val="center"/>
            <w:hideMark/>
          </w:tcPr>
          <w:p w14:paraId="79D71C87" w14:textId="77777777" w:rsidR="00726632" w:rsidRPr="00EE5714" w:rsidRDefault="00726632" w:rsidP="00726632">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44.5%</w:t>
            </w:r>
          </w:p>
        </w:tc>
      </w:tr>
      <w:tr w:rsidR="00726632" w:rsidRPr="00EE5714" w14:paraId="32C18045" w14:textId="77777777" w:rsidTr="003B7A82">
        <w:trPr>
          <w:trHeight w:val="51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F2BB3B6"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1,056,095</w:t>
            </w:r>
          </w:p>
        </w:tc>
        <w:tc>
          <w:tcPr>
            <w:tcW w:w="1060" w:type="dxa"/>
            <w:tcBorders>
              <w:top w:val="nil"/>
              <w:left w:val="nil"/>
              <w:bottom w:val="single" w:sz="4" w:space="0" w:color="auto"/>
              <w:right w:val="single" w:sz="4" w:space="0" w:color="auto"/>
            </w:tcBorders>
            <w:shd w:val="clear" w:color="auto" w:fill="auto"/>
            <w:vAlign w:val="center"/>
            <w:hideMark/>
          </w:tcPr>
          <w:p w14:paraId="0A9A1A99"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88.57%</w:t>
            </w:r>
          </w:p>
        </w:tc>
        <w:tc>
          <w:tcPr>
            <w:tcW w:w="19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FB0C03"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3E08C447"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1000" w:type="dxa"/>
            <w:tcBorders>
              <w:top w:val="nil"/>
              <w:left w:val="nil"/>
              <w:bottom w:val="single" w:sz="4" w:space="0" w:color="auto"/>
              <w:right w:val="single" w:sz="4" w:space="0" w:color="auto"/>
            </w:tcBorders>
            <w:shd w:val="clear" w:color="auto" w:fill="auto"/>
            <w:vAlign w:val="center"/>
            <w:hideMark/>
          </w:tcPr>
          <w:p w14:paraId="715EB4ED"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3,760</w:t>
            </w:r>
          </w:p>
        </w:tc>
        <w:tc>
          <w:tcPr>
            <w:tcW w:w="700" w:type="dxa"/>
            <w:tcBorders>
              <w:top w:val="nil"/>
              <w:left w:val="nil"/>
              <w:bottom w:val="single" w:sz="4" w:space="0" w:color="auto"/>
              <w:right w:val="single" w:sz="4" w:space="0" w:color="auto"/>
            </w:tcBorders>
            <w:shd w:val="clear" w:color="auto" w:fill="auto"/>
            <w:vAlign w:val="center"/>
            <w:hideMark/>
          </w:tcPr>
          <w:p w14:paraId="594FDFD5"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840" w:type="dxa"/>
            <w:tcBorders>
              <w:top w:val="nil"/>
              <w:left w:val="nil"/>
              <w:bottom w:val="single" w:sz="4" w:space="0" w:color="auto"/>
              <w:right w:val="single" w:sz="4" w:space="0" w:color="auto"/>
            </w:tcBorders>
            <w:shd w:val="clear" w:color="auto" w:fill="auto"/>
            <w:vAlign w:val="center"/>
            <w:hideMark/>
          </w:tcPr>
          <w:p w14:paraId="684AD268"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825,280</w:t>
            </w:r>
          </w:p>
        </w:tc>
        <w:tc>
          <w:tcPr>
            <w:tcW w:w="1080" w:type="dxa"/>
            <w:tcBorders>
              <w:top w:val="nil"/>
              <w:left w:val="nil"/>
              <w:bottom w:val="single" w:sz="4" w:space="0" w:color="auto"/>
              <w:right w:val="single" w:sz="4" w:space="0" w:color="auto"/>
            </w:tcBorders>
            <w:shd w:val="clear" w:color="auto" w:fill="auto"/>
            <w:vAlign w:val="center"/>
            <w:hideMark/>
          </w:tcPr>
          <w:p w14:paraId="1976CC6E"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80" w:type="dxa"/>
            <w:tcBorders>
              <w:top w:val="nil"/>
              <w:left w:val="nil"/>
              <w:bottom w:val="single" w:sz="4" w:space="0" w:color="auto"/>
              <w:right w:val="single" w:sz="4" w:space="0" w:color="auto"/>
            </w:tcBorders>
            <w:shd w:val="clear" w:color="auto" w:fill="auto"/>
            <w:vAlign w:val="center"/>
            <w:hideMark/>
          </w:tcPr>
          <w:p w14:paraId="7D8D59F8" w14:textId="77777777" w:rsidR="00726632" w:rsidRPr="00EE5714" w:rsidRDefault="00726632" w:rsidP="00726632">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55.5%</w:t>
            </w:r>
          </w:p>
        </w:tc>
      </w:tr>
      <w:tr w:rsidR="00726632" w:rsidRPr="00EE5714" w14:paraId="3D90E85B" w14:textId="77777777" w:rsidTr="003B7A82">
        <w:trPr>
          <w:trHeight w:val="30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462B69A" w14:textId="77777777" w:rsidR="00726632" w:rsidRPr="00EE5714" w:rsidRDefault="00726632" w:rsidP="00726632">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1,192,446</w:t>
            </w:r>
          </w:p>
        </w:tc>
        <w:tc>
          <w:tcPr>
            <w:tcW w:w="30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A03FC21" w14:textId="77777777" w:rsidR="00726632" w:rsidRPr="00EE5714" w:rsidRDefault="00726632" w:rsidP="00726632">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25EC2AB9" w14:textId="77777777" w:rsidR="00726632" w:rsidRPr="00EE5714" w:rsidRDefault="00726632" w:rsidP="00726632">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14:paraId="702FBF8A" w14:textId="77777777" w:rsidR="00726632" w:rsidRPr="00EE5714" w:rsidRDefault="00726632" w:rsidP="00726632">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1,192,445</w:t>
            </w:r>
          </w:p>
        </w:tc>
        <w:tc>
          <w:tcPr>
            <w:tcW w:w="700" w:type="dxa"/>
            <w:tcBorders>
              <w:top w:val="nil"/>
              <w:left w:val="nil"/>
              <w:bottom w:val="single" w:sz="4" w:space="0" w:color="auto"/>
              <w:right w:val="single" w:sz="4" w:space="0" w:color="auto"/>
            </w:tcBorders>
            <w:shd w:val="clear" w:color="auto" w:fill="auto"/>
            <w:vAlign w:val="center"/>
            <w:hideMark/>
          </w:tcPr>
          <w:p w14:paraId="72D40425" w14:textId="77777777" w:rsidR="00726632" w:rsidRPr="00EE5714" w:rsidRDefault="00726632" w:rsidP="00726632">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840" w:type="dxa"/>
            <w:tcBorders>
              <w:top w:val="nil"/>
              <w:left w:val="nil"/>
              <w:bottom w:val="single" w:sz="4" w:space="0" w:color="auto"/>
              <w:right w:val="single" w:sz="4" w:space="0" w:color="auto"/>
            </w:tcBorders>
            <w:shd w:val="clear" w:color="auto" w:fill="auto"/>
            <w:vAlign w:val="center"/>
            <w:hideMark/>
          </w:tcPr>
          <w:p w14:paraId="4AAFF8C0" w14:textId="77777777" w:rsidR="00726632" w:rsidRPr="00EE5714" w:rsidRDefault="00726632" w:rsidP="00726632">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1,192,446</w:t>
            </w:r>
          </w:p>
        </w:tc>
        <w:tc>
          <w:tcPr>
            <w:tcW w:w="18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BE6BA96" w14:textId="77777777" w:rsidR="00726632" w:rsidRPr="00EE5714" w:rsidRDefault="00726632" w:rsidP="00726632">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7B2EB90E" w14:textId="77777777" w:rsidR="00726632" w:rsidRPr="00EE5714" w:rsidRDefault="00726632" w:rsidP="006C2F46">
      <w:pPr>
        <w:rPr>
          <w:rFonts w:ascii="Times New Roman" w:hAnsi="Times New Roman" w:cs="Times New Roman"/>
          <w:i/>
          <w:sz w:val="26"/>
          <w:szCs w:val="26"/>
        </w:rPr>
      </w:pPr>
    </w:p>
    <w:p w14:paraId="4A7E51A9" w14:textId="77777777" w:rsidR="006C2F46" w:rsidRPr="00EE5714" w:rsidRDefault="00A54DBD" w:rsidP="00F343DD">
      <w:pPr>
        <w:keepNext/>
        <w:spacing w:after="0"/>
        <w:contextualSpacing/>
        <w:rPr>
          <w:rFonts w:ascii="Times New Roman" w:hAnsi="Times New Roman" w:cs="Times New Roman"/>
          <w:sz w:val="26"/>
          <w:szCs w:val="26"/>
        </w:rPr>
      </w:pPr>
      <w:r w:rsidRPr="00EE5714">
        <w:rPr>
          <w:rFonts w:ascii="Times New Roman" w:hAnsi="Times New Roman" w:cs="Times New Roman"/>
          <w:sz w:val="26"/>
          <w:szCs w:val="26"/>
        </w:rPr>
        <w:lastRenderedPageBreak/>
        <w:t>Appendix 1.</w:t>
      </w:r>
      <w:r w:rsidR="00F343DD" w:rsidRPr="00EE5714">
        <w:rPr>
          <w:rFonts w:ascii="Times New Roman" w:hAnsi="Times New Roman" w:cs="Times New Roman"/>
          <w:sz w:val="26"/>
          <w:szCs w:val="26"/>
        </w:rPr>
        <w:t>B.7</w:t>
      </w:r>
      <w:r w:rsidRPr="00EE5714">
        <w:rPr>
          <w:rFonts w:ascii="Times New Roman" w:hAnsi="Times New Roman" w:cs="Times New Roman"/>
          <w:sz w:val="26"/>
          <w:szCs w:val="26"/>
        </w:rPr>
        <w:t xml:space="preserve">: </w:t>
      </w:r>
      <w:r w:rsidRPr="00EE5714">
        <w:rPr>
          <w:rFonts w:ascii="Times New Roman" w:hAnsi="Times New Roman" w:cs="Times New Roman"/>
          <w:b/>
          <w:sz w:val="26"/>
          <w:szCs w:val="26"/>
        </w:rPr>
        <w:t>West Penn Service Territory Demographic Profile</w:t>
      </w:r>
    </w:p>
    <w:tbl>
      <w:tblPr>
        <w:tblW w:w="10632" w:type="dxa"/>
        <w:tblLook w:val="04A0" w:firstRow="1" w:lastRow="0" w:firstColumn="1" w:lastColumn="0" w:noHBand="0" w:noVBand="1"/>
      </w:tblPr>
      <w:tblGrid>
        <w:gridCol w:w="1189"/>
        <w:gridCol w:w="836"/>
        <w:gridCol w:w="1109"/>
        <w:gridCol w:w="1109"/>
        <w:gridCol w:w="1546"/>
        <w:gridCol w:w="1029"/>
        <w:gridCol w:w="714"/>
        <w:gridCol w:w="1252"/>
        <w:gridCol w:w="1126"/>
        <w:gridCol w:w="722"/>
      </w:tblGrid>
      <w:tr w:rsidR="00B9246B" w:rsidRPr="00EE5714" w14:paraId="5F7534D4" w14:textId="77777777" w:rsidTr="00B9246B">
        <w:trPr>
          <w:trHeight w:val="721"/>
        </w:trPr>
        <w:tc>
          <w:tcPr>
            <w:tcW w:w="117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0F98BC"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West Penn</w:t>
            </w:r>
          </w:p>
        </w:tc>
        <w:tc>
          <w:tcPr>
            <w:tcW w:w="1958" w:type="dxa"/>
            <w:gridSpan w:val="2"/>
            <w:tcBorders>
              <w:top w:val="single" w:sz="4" w:space="0" w:color="auto"/>
              <w:left w:val="nil"/>
              <w:bottom w:val="single" w:sz="4" w:space="0" w:color="auto"/>
              <w:right w:val="single" w:sz="4" w:space="0" w:color="auto"/>
            </w:tcBorders>
            <w:shd w:val="clear" w:color="000000" w:fill="E7E6E6"/>
            <w:vAlign w:val="center"/>
            <w:hideMark/>
          </w:tcPr>
          <w:p w14:paraId="5063440E"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              2012-2016 ACS</w:t>
            </w:r>
          </w:p>
        </w:tc>
        <w:tc>
          <w:tcPr>
            <w:tcW w:w="1092"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0B36AC53"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Combined     # in Household</w:t>
            </w:r>
          </w:p>
        </w:tc>
        <w:tc>
          <w:tcPr>
            <w:tcW w:w="3238" w:type="dxa"/>
            <w:gridSpan w:val="3"/>
            <w:tcBorders>
              <w:top w:val="single" w:sz="4" w:space="0" w:color="auto"/>
              <w:left w:val="nil"/>
              <w:bottom w:val="single" w:sz="4" w:space="0" w:color="auto"/>
              <w:right w:val="single" w:sz="4" w:space="0" w:color="auto"/>
            </w:tcBorders>
            <w:shd w:val="clear" w:color="000000" w:fill="E7E6E6"/>
            <w:vAlign w:val="center"/>
            <w:hideMark/>
          </w:tcPr>
          <w:p w14:paraId="4B7D9A75"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Population 2012-2016 ACS </w:t>
            </w:r>
          </w:p>
        </w:tc>
        <w:tc>
          <w:tcPr>
            <w:tcW w:w="3174" w:type="dxa"/>
            <w:gridSpan w:val="3"/>
            <w:tcBorders>
              <w:top w:val="single" w:sz="4" w:space="0" w:color="auto"/>
              <w:left w:val="nil"/>
              <w:bottom w:val="single" w:sz="4" w:space="0" w:color="auto"/>
              <w:right w:val="single" w:sz="4" w:space="0" w:color="auto"/>
            </w:tcBorders>
            <w:shd w:val="clear" w:color="000000" w:fill="E7E6E6"/>
            <w:vAlign w:val="center"/>
            <w:hideMark/>
          </w:tcPr>
          <w:p w14:paraId="2C9B5E16"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Household Income Range - </w:t>
            </w:r>
            <w:proofErr w:type="spellStart"/>
            <w:r w:rsidRPr="00EE5714">
              <w:rPr>
                <w:rFonts w:ascii="Calibri" w:eastAsia="Times New Roman" w:hAnsi="Calibri" w:cs="Calibri"/>
                <w:b/>
                <w:bCs/>
                <w:color w:val="000000"/>
                <w:sz w:val="20"/>
                <w:szCs w:val="20"/>
              </w:rPr>
              <w:t>Esri</w:t>
            </w:r>
            <w:proofErr w:type="spellEnd"/>
          </w:p>
        </w:tc>
      </w:tr>
      <w:tr w:rsidR="00B9246B" w:rsidRPr="00EE5714" w14:paraId="7DBB9DBA" w14:textId="77777777" w:rsidTr="00B9246B">
        <w:trPr>
          <w:trHeight w:val="571"/>
        </w:trPr>
        <w:tc>
          <w:tcPr>
            <w:tcW w:w="1170" w:type="dxa"/>
            <w:tcBorders>
              <w:top w:val="nil"/>
              <w:left w:val="single" w:sz="4" w:space="0" w:color="auto"/>
              <w:bottom w:val="single" w:sz="4" w:space="0" w:color="auto"/>
              <w:right w:val="single" w:sz="4" w:space="0" w:color="auto"/>
            </w:tcBorders>
            <w:shd w:val="clear" w:color="000000" w:fill="E7E6E6"/>
            <w:vAlign w:val="center"/>
            <w:hideMark/>
          </w:tcPr>
          <w:p w14:paraId="2E7883C1"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65.20%</w:t>
            </w:r>
          </w:p>
        </w:tc>
        <w:tc>
          <w:tcPr>
            <w:tcW w:w="866" w:type="dxa"/>
            <w:tcBorders>
              <w:top w:val="nil"/>
              <w:left w:val="nil"/>
              <w:bottom w:val="single" w:sz="4" w:space="0" w:color="auto"/>
              <w:right w:val="single" w:sz="4" w:space="0" w:color="auto"/>
            </w:tcBorders>
            <w:shd w:val="clear" w:color="000000" w:fill="E7E6E6"/>
            <w:vAlign w:val="center"/>
            <w:hideMark/>
          </w:tcPr>
          <w:p w14:paraId="60635BAD"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Family</w:t>
            </w:r>
          </w:p>
        </w:tc>
        <w:tc>
          <w:tcPr>
            <w:tcW w:w="1092" w:type="dxa"/>
            <w:tcBorders>
              <w:top w:val="nil"/>
              <w:left w:val="nil"/>
              <w:bottom w:val="single" w:sz="4" w:space="0" w:color="auto"/>
              <w:right w:val="single" w:sz="4" w:space="0" w:color="auto"/>
            </w:tcBorders>
            <w:shd w:val="clear" w:color="000000" w:fill="E7E6E6"/>
            <w:vAlign w:val="center"/>
            <w:hideMark/>
          </w:tcPr>
          <w:p w14:paraId="5EC0F082"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in Household</w:t>
            </w: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2AD7A450" w14:textId="77777777" w:rsidR="00B9246B" w:rsidRPr="00EE5714" w:rsidRDefault="00B9246B" w:rsidP="00B9246B">
            <w:pPr>
              <w:keepNext/>
              <w:spacing w:after="0" w:line="240" w:lineRule="auto"/>
              <w:rPr>
                <w:rFonts w:ascii="Calibri" w:eastAsia="Times New Roman" w:hAnsi="Calibri" w:cs="Calibri"/>
                <w:b/>
                <w:bCs/>
                <w:color w:val="000000"/>
                <w:sz w:val="20"/>
                <w:szCs w:val="20"/>
              </w:rPr>
            </w:pPr>
          </w:p>
        </w:tc>
        <w:tc>
          <w:tcPr>
            <w:tcW w:w="2535" w:type="dxa"/>
            <w:gridSpan w:val="2"/>
            <w:tcBorders>
              <w:top w:val="single" w:sz="4" w:space="0" w:color="auto"/>
              <w:left w:val="nil"/>
              <w:bottom w:val="single" w:sz="4" w:space="0" w:color="auto"/>
              <w:right w:val="single" w:sz="4" w:space="0" w:color="auto"/>
            </w:tcBorders>
            <w:shd w:val="clear" w:color="000000" w:fill="E7E6E6"/>
            <w:vAlign w:val="center"/>
            <w:hideMark/>
          </w:tcPr>
          <w:p w14:paraId="2DC758EC"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Income to Poverty Ratio</w:t>
            </w:r>
          </w:p>
        </w:tc>
        <w:tc>
          <w:tcPr>
            <w:tcW w:w="703" w:type="dxa"/>
            <w:tcBorders>
              <w:top w:val="nil"/>
              <w:left w:val="nil"/>
              <w:bottom w:val="single" w:sz="4" w:space="0" w:color="auto"/>
              <w:right w:val="single" w:sz="4" w:space="0" w:color="auto"/>
            </w:tcBorders>
            <w:shd w:val="clear" w:color="000000" w:fill="E7E6E6"/>
            <w:vAlign w:val="center"/>
            <w:hideMark/>
          </w:tcPr>
          <w:p w14:paraId="53AB10A1"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2449" w:type="dxa"/>
            <w:gridSpan w:val="2"/>
            <w:tcBorders>
              <w:top w:val="single" w:sz="4" w:space="0" w:color="auto"/>
              <w:left w:val="nil"/>
              <w:bottom w:val="single" w:sz="4" w:space="0" w:color="auto"/>
              <w:right w:val="single" w:sz="4" w:space="0" w:color="auto"/>
            </w:tcBorders>
            <w:shd w:val="clear" w:color="000000" w:fill="E7E6E6"/>
            <w:vAlign w:val="center"/>
            <w:hideMark/>
          </w:tcPr>
          <w:p w14:paraId="64A9C17C"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 xml:space="preserve">2018 Estimated Income Data </w:t>
            </w:r>
          </w:p>
        </w:tc>
        <w:tc>
          <w:tcPr>
            <w:tcW w:w="724" w:type="dxa"/>
            <w:tcBorders>
              <w:top w:val="nil"/>
              <w:left w:val="nil"/>
              <w:bottom w:val="single" w:sz="4" w:space="0" w:color="auto"/>
              <w:right w:val="single" w:sz="4" w:space="0" w:color="auto"/>
            </w:tcBorders>
            <w:shd w:val="clear" w:color="000000" w:fill="E7E6E6"/>
            <w:vAlign w:val="center"/>
            <w:hideMark/>
          </w:tcPr>
          <w:p w14:paraId="5F709972"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B9246B" w:rsidRPr="00EE5714" w14:paraId="57504CA4" w14:textId="77777777" w:rsidTr="00B9246B">
        <w:trPr>
          <w:trHeight w:val="30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219ED751"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193,278</w:t>
            </w:r>
          </w:p>
        </w:tc>
        <w:tc>
          <w:tcPr>
            <w:tcW w:w="866" w:type="dxa"/>
            <w:tcBorders>
              <w:top w:val="nil"/>
              <w:left w:val="nil"/>
              <w:bottom w:val="single" w:sz="4" w:space="0" w:color="auto"/>
              <w:right w:val="single" w:sz="4" w:space="0" w:color="auto"/>
            </w:tcBorders>
            <w:shd w:val="clear" w:color="auto" w:fill="auto"/>
            <w:vAlign w:val="center"/>
            <w:hideMark/>
          </w:tcPr>
          <w:p w14:paraId="65B703E2"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32.7%</w:t>
            </w:r>
          </w:p>
        </w:tc>
        <w:tc>
          <w:tcPr>
            <w:tcW w:w="1092" w:type="dxa"/>
            <w:tcBorders>
              <w:top w:val="nil"/>
              <w:left w:val="nil"/>
              <w:bottom w:val="single" w:sz="4" w:space="0" w:color="auto"/>
              <w:right w:val="single" w:sz="4" w:space="0" w:color="auto"/>
            </w:tcBorders>
            <w:shd w:val="clear" w:color="auto" w:fill="auto"/>
            <w:vAlign w:val="center"/>
            <w:hideMark/>
          </w:tcPr>
          <w:p w14:paraId="391CDD8D"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6C4C02"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0CAC9DC7"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&lt;0.5</w:t>
            </w:r>
          </w:p>
        </w:tc>
        <w:tc>
          <w:tcPr>
            <w:tcW w:w="1013" w:type="dxa"/>
            <w:tcBorders>
              <w:top w:val="nil"/>
              <w:left w:val="nil"/>
              <w:bottom w:val="single" w:sz="4" w:space="0" w:color="auto"/>
              <w:right w:val="single" w:sz="4" w:space="0" w:color="auto"/>
            </w:tcBorders>
            <w:shd w:val="clear" w:color="auto" w:fill="auto"/>
            <w:vAlign w:val="center"/>
            <w:hideMark/>
          </w:tcPr>
          <w:p w14:paraId="552DA5D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78,883</w:t>
            </w:r>
          </w:p>
        </w:tc>
        <w:tc>
          <w:tcPr>
            <w:tcW w:w="703" w:type="dxa"/>
            <w:tcBorders>
              <w:top w:val="nil"/>
              <w:left w:val="nil"/>
              <w:bottom w:val="single" w:sz="4" w:space="0" w:color="auto"/>
              <w:right w:val="single" w:sz="4" w:space="0" w:color="auto"/>
            </w:tcBorders>
            <w:shd w:val="clear" w:color="auto" w:fill="auto"/>
            <w:vAlign w:val="center"/>
            <w:hideMark/>
          </w:tcPr>
          <w:p w14:paraId="5340456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w:t>
            </w:r>
          </w:p>
        </w:tc>
        <w:tc>
          <w:tcPr>
            <w:tcW w:w="1341" w:type="dxa"/>
            <w:tcBorders>
              <w:top w:val="nil"/>
              <w:left w:val="nil"/>
              <w:bottom w:val="single" w:sz="4" w:space="0" w:color="auto"/>
              <w:right w:val="single" w:sz="4" w:space="0" w:color="auto"/>
            </w:tcBorders>
            <w:shd w:val="clear" w:color="auto" w:fill="auto"/>
            <w:vAlign w:val="center"/>
            <w:hideMark/>
          </w:tcPr>
          <w:p w14:paraId="63B37CDF"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&lt;$15,000</w:t>
            </w:r>
          </w:p>
        </w:tc>
        <w:tc>
          <w:tcPr>
            <w:tcW w:w="1108" w:type="dxa"/>
            <w:tcBorders>
              <w:top w:val="nil"/>
              <w:left w:val="nil"/>
              <w:bottom w:val="single" w:sz="4" w:space="0" w:color="auto"/>
              <w:right w:val="single" w:sz="4" w:space="0" w:color="auto"/>
            </w:tcBorders>
            <w:shd w:val="clear" w:color="auto" w:fill="auto"/>
            <w:vAlign w:val="center"/>
            <w:hideMark/>
          </w:tcPr>
          <w:p w14:paraId="77CA6BE6"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64,792</w:t>
            </w:r>
          </w:p>
        </w:tc>
        <w:tc>
          <w:tcPr>
            <w:tcW w:w="724" w:type="dxa"/>
            <w:tcBorders>
              <w:top w:val="nil"/>
              <w:left w:val="nil"/>
              <w:bottom w:val="single" w:sz="4" w:space="0" w:color="auto"/>
              <w:right w:val="single" w:sz="4" w:space="0" w:color="auto"/>
            </w:tcBorders>
            <w:shd w:val="clear" w:color="auto" w:fill="auto"/>
            <w:vAlign w:val="center"/>
            <w:hideMark/>
          </w:tcPr>
          <w:p w14:paraId="2B9A3E2F"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10.7%</w:t>
            </w:r>
          </w:p>
        </w:tc>
      </w:tr>
      <w:tr w:rsidR="00B9246B" w:rsidRPr="00EE5714" w14:paraId="1465B0FF" w14:textId="77777777" w:rsidTr="00B9246B">
        <w:trPr>
          <w:trHeight w:val="30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E9918ED"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85,766</w:t>
            </w:r>
          </w:p>
        </w:tc>
        <w:tc>
          <w:tcPr>
            <w:tcW w:w="866" w:type="dxa"/>
            <w:tcBorders>
              <w:top w:val="nil"/>
              <w:left w:val="nil"/>
              <w:bottom w:val="single" w:sz="4" w:space="0" w:color="auto"/>
              <w:right w:val="single" w:sz="4" w:space="0" w:color="auto"/>
            </w:tcBorders>
            <w:shd w:val="clear" w:color="auto" w:fill="auto"/>
            <w:vAlign w:val="center"/>
            <w:hideMark/>
          </w:tcPr>
          <w:p w14:paraId="125E24C7"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14.5%</w:t>
            </w:r>
          </w:p>
        </w:tc>
        <w:tc>
          <w:tcPr>
            <w:tcW w:w="1092" w:type="dxa"/>
            <w:tcBorders>
              <w:top w:val="nil"/>
              <w:left w:val="nil"/>
              <w:bottom w:val="single" w:sz="4" w:space="0" w:color="auto"/>
              <w:right w:val="single" w:sz="4" w:space="0" w:color="auto"/>
            </w:tcBorders>
            <w:shd w:val="clear" w:color="auto" w:fill="auto"/>
            <w:vAlign w:val="center"/>
            <w:hideMark/>
          </w:tcPr>
          <w:p w14:paraId="40B59041"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14:paraId="106BDCAA" w14:textId="77777777" w:rsidR="00B9246B" w:rsidRPr="00EE5714" w:rsidRDefault="00B9246B" w:rsidP="00B9246B">
            <w:pPr>
              <w:keepNext/>
              <w:spacing w:after="0" w:line="240" w:lineRule="auto"/>
              <w:rPr>
                <w:rFonts w:ascii="Calibri" w:eastAsia="Times New Roman" w:hAnsi="Calibri" w:cs="Calibri"/>
                <w:color w:val="000000"/>
                <w:sz w:val="20"/>
                <w:szCs w:val="20"/>
              </w:rPr>
            </w:pP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14FD3170"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0.50-0.99</w:t>
            </w:r>
          </w:p>
        </w:tc>
        <w:tc>
          <w:tcPr>
            <w:tcW w:w="1013" w:type="dxa"/>
            <w:tcBorders>
              <w:top w:val="nil"/>
              <w:left w:val="nil"/>
              <w:bottom w:val="single" w:sz="4" w:space="0" w:color="auto"/>
              <w:right w:val="single" w:sz="4" w:space="0" w:color="auto"/>
            </w:tcBorders>
            <w:shd w:val="clear" w:color="auto" w:fill="auto"/>
            <w:vAlign w:val="center"/>
            <w:hideMark/>
          </w:tcPr>
          <w:p w14:paraId="505E5AB2"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92,617</w:t>
            </w:r>
          </w:p>
        </w:tc>
        <w:tc>
          <w:tcPr>
            <w:tcW w:w="703" w:type="dxa"/>
            <w:tcBorders>
              <w:top w:val="nil"/>
              <w:left w:val="nil"/>
              <w:bottom w:val="single" w:sz="4" w:space="0" w:color="auto"/>
              <w:right w:val="single" w:sz="4" w:space="0" w:color="auto"/>
            </w:tcBorders>
            <w:shd w:val="clear" w:color="auto" w:fill="auto"/>
            <w:vAlign w:val="center"/>
            <w:hideMark/>
          </w:tcPr>
          <w:p w14:paraId="4ECA43AB"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6.5%</w:t>
            </w:r>
          </w:p>
        </w:tc>
        <w:tc>
          <w:tcPr>
            <w:tcW w:w="1341" w:type="dxa"/>
            <w:tcBorders>
              <w:top w:val="nil"/>
              <w:left w:val="nil"/>
              <w:bottom w:val="single" w:sz="4" w:space="0" w:color="auto"/>
              <w:right w:val="single" w:sz="4" w:space="0" w:color="auto"/>
            </w:tcBorders>
            <w:shd w:val="clear" w:color="auto" w:fill="auto"/>
            <w:vAlign w:val="center"/>
            <w:hideMark/>
          </w:tcPr>
          <w:p w14:paraId="4092CB44"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$15,000-$24,999</w:t>
            </w:r>
          </w:p>
        </w:tc>
        <w:tc>
          <w:tcPr>
            <w:tcW w:w="1108" w:type="dxa"/>
            <w:tcBorders>
              <w:top w:val="nil"/>
              <w:left w:val="nil"/>
              <w:bottom w:val="single" w:sz="4" w:space="0" w:color="auto"/>
              <w:right w:val="single" w:sz="4" w:space="0" w:color="auto"/>
            </w:tcBorders>
            <w:shd w:val="clear" w:color="auto" w:fill="auto"/>
            <w:vAlign w:val="center"/>
            <w:hideMark/>
          </w:tcPr>
          <w:p w14:paraId="5A8CC8DE"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64,386</w:t>
            </w:r>
          </w:p>
        </w:tc>
        <w:tc>
          <w:tcPr>
            <w:tcW w:w="724" w:type="dxa"/>
            <w:tcBorders>
              <w:top w:val="nil"/>
              <w:left w:val="nil"/>
              <w:bottom w:val="single" w:sz="4" w:space="0" w:color="auto"/>
              <w:right w:val="single" w:sz="4" w:space="0" w:color="auto"/>
            </w:tcBorders>
            <w:shd w:val="clear" w:color="auto" w:fill="auto"/>
            <w:vAlign w:val="center"/>
            <w:hideMark/>
          </w:tcPr>
          <w:p w14:paraId="6602CC54"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10.6%</w:t>
            </w:r>
          </w:p>
        </w:tc>
      </w:tr>
      <w:tr w:rsidR="00B9246B" w:rsidRPr="00EE5714" w14:paraId="2C153AC9" w14:textId="77777777" w:rsidTr="00B9246B">
        <w:trPr>
          <w:trHeight w:val="30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C43F17E"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68,845</w:t>
            </w:r>
          </w:p>
        </w:tc>
        <w:tc>
          <w:tcPr>
            <w:tcW w:w="866" w:type="dxa"/>
            <w:tcBorders>
              <w:top w:val="nil"/>
              <w:left w:val="nil"/>
              <w:bottom w:val="single" w:sz="4" w:space="0" w:color="auto"/>
              <w:right w:val="single" w:sz="4" w:space="0" w:color="auto"/>
            </w:tcBorders>
            <w:shd w:val="clear" w:color="auto" w:fill="auto"/>
            <w:vAlign w:val="center"/>
            <w:hideMark/>
          </w:tcPr>
          <w:p w14:paraId="759433DB"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11.6%</w:t>
            </w:r>
          </w:p>
        </w:tc>
        <w:tc>
          <w:tcPr>
            <w:tcW w:w="1092" w:type="dxa"/>
            <w:tcBorders>
              <w:top w:val="nil"/>
              <w:left w:val="nil"/>
              <w:bottom w:val="single" w:sz="4" w:space="0" w:color="auto"/>
              <w:right w:val="single" w:sz="4" w:space="0" w:color="auto"/>
            </w:tcBorders>
            <w:shd w:val="clear" w:color="auto" w:fill="auto"/>
            <w:vAlign w:val="center"/>
            <w:hideMark/>
          </w:tcPr>
          <w:p w14:paraId="5196448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14:paraId="0CCFE582" w14:textId="77777777" w:rsidR="00B9246B" w:rsidRPr="00EE5714" w:rsidRDefault="00B9246B" w:rsidP="00B9246B">
            <w:pPr>
              <w:keepNext/>
              <w:spacing w:after="0" w:line="240" w:lineRule="auto"/>
              <w:rPr>
                <w:rFonts w:ascii="Calibri" w:eastAsia="Times New Roman" w:hAnsi="Calibri" w:cs="Calibri"/>
                <w:color w:val="000000"/>
                <w:sz w:val="20"/>
                <w:szCs w:val="20"/>
              </w:rPr>
            </w:pP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1EA46660"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1.00-1.24</w:t>
            </w:r>
          </w:p>
        </w:tc>
        <w:tc>
          <w:tcPr>
            <w:tcW w:w="1013" w:type="dxa"/>
            <w:tcBorders>
              <w:top w:val="nil"/>
              <w:left w:val="nil"/>
              <w:bottom w:val="single" w:sz="4" w:space="0" w:color="auto"/>
              <w:right w:val="single" w:sz="4" w:space="0" w:color="auto"/>
            </w:tcBorders>
            <w:shd w:val="clear" w:color="auto" w:fill="auto"/>
            <w:vAlign w:val="center"/>
            <w:hideMark/>
          </w:tcPr>
          <w:p w14:paraId="23F8228E"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51,552</w:t>
            </w:r>
          </w:p>
        </w:tc>
        <w:tc>
          <w:tcPr>
            <w:tcW w:w="703" w:type="dxa"/>
            <w:tcBorders>
              <w:top w:val="nil"/>
              <w:left w:val="nil"/>
              <w:bottom w:val="single" w:sz="4" w:space="0" w:color="auto"/>
              <w:right w:val="single" w:sz="4" w:space="0" w:color="auto"/>
            </w:tcBorders>
            <w:shd w:val="clear" w:color="auto" w:fill="auto"/>
            <w:vAlign w:val="center"/>
            <w:hideMark/>
          </w:tcPr>
          <w:p w14:paraId="0152657A"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3.6%</w:t>
            </w:r>
          </w:p>
        </w:tc>
        <w:tc>
          <w:tcPr>
            <w:tcW w:w="1341" w:type="dxa"/>
            <w:tcBorders>
              <w:top w:val="nil"/>
              <w:left w:val="nil"/>
              <w:bottom w:val="single" w:sz="4" w:space="0" w:color="auto"/>
              <w:right w:val="single" w:sz="4" w:space="0" w:color="auto"/>
            </w:tcBorders>
            <w:shd w:val="clear" w:color="auto" w:fill="auto"/>
            <w:vAlign w:val="center"/>
            <w:hideMark/>
          </w:tcPr>
          <w:p w14:paraId="510B9C29"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$25,000-$34,999</w:t>
            </w:r>
          </w:p>
        </w:tc>
        <w:tc>
          <w:tcPr>
            <w:tcW w:w="1108" w:type="dxa"/>
            <w:tcBorders>
              <w:top w:val="nil"/>
              <w:left w:val="nil"/>
              <w:bottom w:val="single" w:sz="4" w:space="0" w:color="auto"/>
              <w:right w:val="single" w:sz="4" w:space="0" w:color="auto"/>
            </w:tcBorders>
            <w:shd w:val="clear" w:color="auto" w:fill="auto"/>
            <w:vAlign w:val="center"/>
            <w:hideMark/>
          </w:tcPr>
          <w:p w14:paraId="4572BC7E"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59,747</w:t>
            </w:r>
          </w:p>
        </w:tc>
        <w:tc>
          <w:tcPr>
            <w:tcW w:w="724" w:type="dxa"/>
            <w:tcBorders>
              <w:top w:val="nil"/>
              <w:left w:val="nil"/>
              <w:bottom w:val="single" w:sz="4" w:space="0" w:color="auto"/>
              <w:right w:val="single" w:sz="4" w:space="0" w:color="auto"/>
            </w:tcBorders>
            <w:shd w:val="clear" w:color="auto" w:fill="auto"/>
            <w:vAlign w:val="center"/>
            <w:hideMark/>
          </w:tcPr>
          <w:p w14:paraId="5DB60CC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9.9%</w:t>
            </w:r>
          </w:p>
        </w:tc>
      </w:tr>
      <w:tr w:rsidR="00B9246B" w:rsidRPr="00EE5714" w14:paraId="10F5F81C" w14:textId="77777777" w:rsidTr="00B9246B">
        <w:trPr>
          <w:trHeight w:val="30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457CFA99"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25,594</w:t>
            </w:r>
          </w:p>
        </w:tc>
        <w:tc>
          <w:tcPr>
            <w:tcW w:w="866" w:type="dxa"/>
            <w:tcBorders>
              <w:top w:val="nil"/>
              <w:left w:val="nil"/>
              <w:bottom w:val="single" w:sz="4" w:space="0" w:color="auto"/>
              <w:right w:val="single" w:sz="4" w:space="0" w:color="auto"/>
            </w:tcBorders>
            <w:shd w:val="clear" w:color="auto" w:fill="auto"/>
            <w:vAlign w:val="center"/>
            <w:hideMark/>
          </w:tcPr>
          <w:p w14:paraId="66A6A7A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w:t>
            </w:r>
          </w:p>
        </w:tc>
        <w:tc>
          <w:tcPr>
            <w:tcW w:w="1092" w:type="dxa"/>
            <w:tcBorders>
              <w:top w:val="nil"/>
              <w:left w:val="nil"/>
              <w:bottom w:val="single" w:sz="4" w:space="0" w:color="auto"/>
              <w:right w:val="single" w:sz="4" w:space="0" w:color="auto"/>
            </w:tcBorders>
            <w:shd w:val="clear" w:color="auto" w:fill="auto"/>
            <w:vAlign w:val="center"/>
            <w:hideMark/>
          </w:tcPr>
          <w:p w14:paraId="227ABD56"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14:paraId="59BE55E5" w14:textId="77777777" w:rsidR="00B9246B" w:rsidRPr="00EE5714" w:rsidRDefault="00B9246B" w:rsidP="00B9246B">
            <w:pPr>
              <w:keepNext/>
              <w:spacing w:after="0" w:line="240" w:lineRule="auto"/>
              <w:rPr>
                <w:rFonts w:ascii="Calibri" w:eastAsia="Times New Roman" w:hAnsi="Calibri" w:cs="Calibri"/>
                <w:color w:val="000000"/>
                <w:sz w:val="20"/>
                <w:szCs w:val="20"/>
              </w:rPr>
            </w:pP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75F2213B"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1.25-1.49</w:t>
            </w:r>
          </w:p>
        </w:tc>
        <w:tc>
          <w:tcPr>
            <w:tcW w:w="1013" w:type="dxa"/>
            <w:tcBorders>
              <w:top w:val="nil"/>
              <w:left w:val="nil"/>
              <w:bottom w:val="single" w:sz="4" w:space="0" w:color="auto"/>
              <w:right w:val="single" w:sz="4" w:space="0" w:color="auto"/>
            </w:tcBorders>
            <w:shd w:val="clear" w:color="auto" w:fill="auto"/>
            <w:vAlign w:val="center"/>
            <w:hideMark/>
          </w:tcPr>
          <w:p w14:paraId="64F1DBFA"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56,807</w:t>
            </w:r>
          </w:p>
        </w:tc>
        <w:tc>
          <w:tcPr>
            <w:tcW w:w="703" w:type="dxa"/>
            <w:tcBorders>
              <w:top w:val="nil"/>
              <w:left w:val="nil"/>
              <w:bottom w:val="single" w:sz="4" w:space="0" w:color="auto"/>
              <w:right w:val="single" w:sz="4" w:space="0" w:color="auto"/>
            </w:tcBorders>
            <w:shd w:val="clear" w:color="auto" w:fill="auto"/>
            <w:vAlign w:val="center"/>
            <w:hideMark/>
          </w:tcPr>
          <w:p w14:paraId="2D90F64A"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4.0%</w:t>
            </w:r>
          </w:p>
        </w:tc>
        <w:tc>
          <w:tcPr>
            <w:tcW w:w="1341" w:type="dxa"/>
            <w:tcBorders>
              <w:top w:val="nil"/>
              <w:left w:val="nil"/>
              <w:bottom w:val="single" w:sz="4" w:space="0" w:color="auto"/>
              <w:right w:val="single" w:sz="4" w:space="0" w:color="auto"/>
            </w:tcBorders>
            <w:shd w:val="clear" w:color="auto" w:fill="auto"/>
            <w:vAlign w:val="center"/>
            <w:hideMark/>
          </w:tcPr>
          <w:p w14:paraId="2D454103"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$35,000-$49,999</w:t>
            </w:r>
          </w:p>
        </w:tc>
        <w:tc>
          <w:tcPr>
            <w:tcW w:w="1108" w:type="dxa"/>
            <w:tcBorders>
              <w:top w:val="nil"/>
              <w:left w:val="nil"/>
              <w:bottom w:val="single" w:sz="4" w:space="0" w:color="auto"/>
              <w:right w:val="single" w:sz="4" w:space="0" w:color="auto"/>
            </w:tcBorders>
            <w:shd w:val="clear" w:color="auto" w:fill="auto"/>
            <w:vAlign w:val="center"/>
            <w:hideMark/>
          </w:tcPr>
          <w:p w14:paraId="54DBD88B"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82,636</w:t>
            </w:r>
          </w:p>
        </w:tc>
        <w:tc>
          <w:tcPr>
            <w:tcW w:w="724" w:type="dxa"/>
            <w:tcBorders>
              <w:top w:val="nil"/>
              <w:left w:val="nil"/>
              <w:bottom w:val="single" w:sz="4" w:space="0" w:color="auto"/>
              <w:right w:val="single" w:sz="4" w:space="0" w:color="auto"/>
            </w:tcBorders>
            <w:shd w:val="clear" w:color="auto" w:fill="auto"/>
            <w:vAlign w:val="center"/>
            <w:hideMark/>
          </w:tcPr>
          <w:p w14:paraId="110F3F24"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13.6%</w:t>
            </w:r>
          </w:p>
        </w:tc>
      </w:tr>
      <w:tr w:rsidR="00B9246B" w:rsidRPr="00EE5714" w14:paraId="287F5CB0" w14:textId="77777777" w:rsidTr="00B9246B">
        <w:trPr>
          <w:trHeight w:val="30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473C0E35"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8,726</w:t>
            </w:r>
          </w:p>
        </w:tc>
        <w:tc>
          <w:tcPr>
            <w:tcW w:w="866" w:type="dxa"/>
            <w:tcBorders>
              <w:top w:val="nil"/>
              <w:left w:val="nil"/>
              <w:bottom w:val="single" w:sz="4" w:space="0" w:color="auto"/>
              <w:right w:val="single" w:sz="4" w:space="0" w:color="auto"/>
            </w:tcBorders>
            <w:shd w:val="clear" w:color="auto" w:fill="auto"/>
            <w:vAlign w:val="center"/>
            <w:hideMark/>
          </w:tcPr>
          <w:p w14:paraId="65F9DE65"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w:t>
            </w:r>
          </w:p>
        </w:tc>
        <w:tc>
          <w:tcPr>
            <w:tcW w:w="1092" w:type="dxa"/>
            <w:tcBorders>
              <w:top w:val="nil"/>
              <w:left w:val="nil"/>
              <w:bottom w:val="single" w:sz="4" w:space="0" w:color="auto"/>
              <w:right w:val="single" w:sz="4" w:space="0" w:color="auto"/>
            </w:tcBorders>
            <w:shd w:val="clear" w:color="auto" w:fill="auto"/>
            <w:vAlign w:val="center"/>
            <w:hideMark/>
          </w:tcPr>
          <w:p w14:paraId="3DD5AC0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14:paraId="49361CA7" w14:textId="77777777" w:rsidR="00B9246B" w:rsidRPr="00EE5714" w:rsidRDefault="00B9246B" w:rsidP="00B9246B">
            <w:pPr>
              <w:keepNext/>
              <w:spacing w:after="0" w:line="240" w:lineRule="auto"/>
              <w:rPr>
                <w:rFonts w:ascii="Calibri" w:eastAsia="Times New Roman" w:hAnsi="Calibri" w:cs="Calibri"/>
                <w:color w:val="000000"/>
                <w:sz w:val="20"/>
                <w:szCs w:val="20"/>
              </w:rPr>
            </w:pP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3BF619C5"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1.50-1.84</w:t>
            </w:r>
          </w:p>
        </w:tc>
        <w:tc>
          <w:tcPr>
            <w:tcW w:w="1013" w:type="dxa"/>
            <w:tcBorders>
              <w:top w:val="nil"/>
              <w:left w:val="nil"/>
              <w:bottom w:val="single" w:sz="4" w:space="0" w:color="auto"/>
              <w:right w:val="single" w:sz="4" w:space="0" w:color="auto"/>
            </w:tcBorders>
            <w:shd w:val="clear" w:color="auto" w:fill="auto"/>
            <w:vAlign w:val="center"/>
            <w:hideMark/>
          </w:tcPr>
          <w:p w14:paraId="6B477201"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84,419</w:t>
            </w:r>
          </w:p>
        </w:tc>
        <w:tc>
          <w:tcPr>
            <w:tcW w:w="703" w:type="dxa"/>
            <w:tcBorders>
              <w:top w:val="nil"/>
              <w:left w:val="nil"/>
              <w:bottom w:val="single" w:sz="4" w:space="0" w:color="auto"/>
              <w:right w:val="single" w:sz="4" w:space="0" w:color="auto"/>
            </w:tcBorders>
            <w:shd w:val="clear" w:color="auto" w:fill="auto"/>
            <w:vAlign w:val="center"/>
            <w:hideMark/>
          </w:tcPr>
          <w:p w14:paraId="2EED8F9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6.0%</w:t>
            </w:r>
          </w:p>
        </w:tc>
        <w:tc>
          <w:tcPr>
            <w:tcW w:w="1341" w:type="dxa"/>
            <w:tcBorders>
              <w:top w:val="nil"/>
              <w:left w:val="nil"/>
              <w:bottom w:val="single" w:sz="4" w:space="0" w:color="auto"/>
              <w:right w:val="single" w:sz="4" w:space="0" w:color="auto"/>
            </w:tcBorders>
            <w:shd w:val="clear" w:color="auto" w:fill="auto"/>
            <w:vAlign w:val="center"/>
            <w:hideMark/>
          </w:tcPr>
          <w:p w14:paraId="6AAA7E2D"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$50,000-$74,999</w:t>
            </w:r>
          </w:p>
        </w:tc>
        <w:tc>
          <w:tcPr>
            <w:tcW w:w="1108" w:type="dxa"/>
            <w:tcBorders>
              <w:top w:val="nil"/>
              <w:left w:val="nil"/>
              <w:bottom w:val="single" w:sz="4" w:space="0" w:color="auto"/>
              <w:right w:val="single" w:sz="4" w:space="0" w:color="auto"/>
            </w:tcBorders>
            <w:shd w:val="clear" w:color="auto" w:fill="auto"/>
            <w:vAlign w:val="center"/>
            <w:hideMark/>
          </w:tcPr>
          <w:p w14:paraId="29B77AE3"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115,379</w:t>
            </w:r>
          </w:p>
        </w:tc>
        <w:tc>
          <w:tcPr>
            <w:tcW w:w="724" w:type="dxa"/>
            <w:tcBorders>
              <w:top w:val="nil"/>
              <w:left w:val="nil"/>
              <w:bottom w:val="single" w:sz="4" w:space="0" w:color="auto"/>
              <w:right w:val="single" w:sz="4" w:space="0" w:color="auto"/>
            </w:tcBorders>
            <w:shd w:val="clear" w:color="auto" w:fill="auto"/>
            <w:vAlign w:val="center"/>
            <w:hideMark/>
          </w:tcPr>
          <w:p w14:paraId="7EF21793"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19.0%</w:t>
            </w:r>
          </w:p>
        </w:tc>
      </w:tr>
      <w:tr w:rsidR="00B9246B" w:rsidRPr="00EE5714" w14:paraId="6B408F35" w14:textId="77777777" w:rsidTr="00B9246B">
        <w:trPr>
          <w:trHeight w:val="30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9139033"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3,450</w:t>
            </w:r>
          </w:p>
        </w:tc>
        <w:tc>
          <w:tcPr>
            <w:tcW w:w="866" w:type="dxa"/>
            <w:tcBorders>
              <w:top w:val="nil"/>
              <w:left w:val="nil"/>
              <w:bottom w:val="single" w:sz="4" w:space="0" w:color="auto"/>
              <w:right w:val="single" w:sz="4" w:space="0" w:color="auto"/>
            </w:tcBorders>
            <w:shd w:val="clear" w:color="auto" w:fill="auto"/>
            <w:vAlign w:val="center"/>
            <w:hideMark/>
          </w:tcPr>
          <w:p w14:paraId="3E8FBA36"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092" w:type="dxa"/>
            <w:tcBorders>
              <w:top w:val="nil"/>
              <w:left w:val="nil"/>
              <w:bottom w:val="single" w:sz="4" w:space="0" w:color="auto"/>
              <w:right w:val="single" w:sz="4" w:space="0" w:color="auto"/>
            </w:tcBorders>
            <w:shd w:val="clear" w:color="auto" w:fill="auto"/>
            <w:vAlign w:val="center"/>
            <w:hideMark/>
          </w:tcPr>
          <w:p w14:paraId="2AE7809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14:paraId="0E3DB618" w14:textId="77777777" w:rsidR="00B9246B" w:rsidRPr="00EE5714" w:rsidRDefault="00B9246B" w:rsidP="00B9246B">
            <w:pPr>
              <w:keepNext/>
              <w:spacing w:after="0" w:line="240" w:lineRule="auto"/>
              <w:rPr>
                <w:rFonts w:ascii="Calibri" w:eastAsia="Times New Roman" w:hAnsi="Calibri" w:cs="Calibri"/>
                <w:color w:val="000000"/>
                <w:sz w:val="20"/>
                <w:szCs w:val="20"/>
              </w:rPr>
            </w:pP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707F6CE4"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1.85-1.99**</w:t>
            </w:r>
          </w:p>
        </w:tc>
        <w:tc>
          <w:tcPr>
            <w:tcW w:w="1013" w:type="dxa"/>
            <w:tcBorders>
              <w:top w:val="nil"/>
              <w:left w:val="nil"/>
              <w:bottom w:val="single" w:sz="4" w:space="0" w:color="auto"/>
              <w:right w:val="single" w:sz="4" w:space="0" w:color="auto"/>
            </w:tcBorders>
            <w:shd w:val="clear" w:color="auto" w:fill="auto"/>
            <w:vAlign w:val="center"/>
            <w:hideMark/>
          </w:tcPr>
          <w:p w14:paraId="63814D2E"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35,452</w:t>
            </w:r>
          </w:p>
        </w:tc>
        <w:tc>
          <w:tcPr>
            <w:tcW w:w="703" w:type="dxa"/>
            <w:tcBorders>
              <w:top w:val="nil"/>
              <w:left w:val="nil"/>
              <w:bottom w:val="single" w:sz="4" w:space="0" w:color="auto"/>
              <w:right w:val="single" w:sz="4" w:space="0" w:color="auto"/>
            </w:tcBorders>
            <w:shd w:val="clear" w:color="auto" w:fill="auto"/>
            <w:vAlign w:val="center"/>
            <w:hideMark/>
          </w:tcPr>
          <w:p w14:paraId="727ABC5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2.5%</w:t>
            </w:r>
          </w:p>
        </w:tc>
        <w:tc>
          <w:tcPr>
            <w:tcW w:w="1341" w:type="dxa"/>
            <w:tcBorders>
              <w:top w:val="nil"/>
              <w:left w:val="nil"/>
              <w:bottom w:val="single" w:sz="4" w:space="0" w:color="auto"/>
              <w:right w:val="single" w:sz="4" w:space="0" w:color="auto"/>
            </w:tcBorders>
            <w:shd w:val="clear" w:color="auto" w:fill="auto"/>
            <w:vAlign w:val="center"/>
            <w:hideMark/>
          </w:tcPr>
          <w:p w14:paraId="6998659E"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$75,000-$99,999</w:t>
            </w:r>
          </w:p>
        </w:tc>
        <w:tc>
          <w:tcPr>
            <w:tcW w:w="1108" w:type="dxa"/>
            <w:tcBorders>
              <w:top w:val="nil"/>
              <w:left w:val="nil"/>
              <w:bottom w:val="single" w:sz="4" w:space="0" w:color="auto"/>
              <w:right w:val="single" w:sz="4" w:space="0" w:color="auto"/>
            </w:tcBorders>
            <w:shd w:val="clear" w:color="auto" w:fill="auto"/>
            <w:vAlign w:val="center"/>
            <w:hideMark/>
          </w:tcPr>
          <w:p w14:paraId="167F3CB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78,147</w:t>
            </w:r>
          </w:p>
        </w:tc>
        <w:tc>
          <w:tcPr>
            <w:tcW w:w="724" w:type="dxa"/>
            <w:tcBorders>
              <w:top w:val="nil"/>
              <w:left w:val="nil"/>
              <w:bottom w:val="single" w:sz="4" w:space="0" w:color="auto"/>
              <w:right w:val="single" w:sz="4" w:space="0" w:color="auto"/>
            </w:tcBorders>
            <w:shd w:val="clear" w:color="auto" w:fill="auto"/>
            <w:vAlign w:val="center"/>
            <w:hideMark/>
          </w:tcPr>
          <w:p w14:paraId="2A49C613"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12.9%</w:t>
            </w:r>
          </w:p>
        </w:tc>
      </w:tr>
      <w:tr w:rsidR="00B9246B" w:rsidRPr="00EE5714" w14:paraId="23E68789" w14:textId="77777777" w:rsidTr="00B9246B">
        <w:trPr>
          <w:trHeight w:val="300"/>
        </w:trPr>
        <w:tc>
          <w:tcPr>
            <w:tcW w:w="1170" w:type="dxa"/>
            <w:tcBorders>
              <w:top w:val="nil"/>
              <w:left w:val="single" w:sz="4" w:space="0" w:color="auto"/>
              <w:bottom w:val="single" w:sz="4" w:space="0" w:color="auto"/>
              <w:right w:val="single" w:sz="4" w:space="0" w:color="auto"/>
            </w:tcBorders>
            <w:shd w:val="clear" w:color="000000" w:fill="E7E6E6"/>
            <w:vAlign w:val="center"/>
            <w:hideMark/>
          </w:tcPr>
          <w:p w14:paraId="26C2C8F6"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34.80%</w:t>
            </w:r>
          </w:p>
        </w:tc>
        <w:tc>
          <w:tcPr>
            <w:tcW w:w="866" w:type="dxa"/>
            <w:tcBorders>
              <w:top w:val="nil"/>
              <w:left w:val="nil"/>
              <w:bottom w:val="single" w:sz="4" w:space="0" w:color="auto"/>
              <w:right w:val="single" w:sz="4" w:space="0" w:color="auto"/>
            </w:tcBorders>
            <w:shd w:val="clear" w:color="000000" w:fill="E7E6E6"/>
            <w:vAlign w:val="center"/>
            <w:hideMark/>
          </w:tcPr>
          <w:p w14:paraId="19A43DA4"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Non-Family</w:t>
            </w:r>
          </w:p>
        </w:tc>
        <w:tc>
          <w:tcPr>
            <w:tcW w:w="2184"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14:paraId="4CDD7FDD"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687F1F7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w:t>
            </w:r>
          </w:p>
        </w:tc>
        <w:tc>
          <w:tcPr>
            <w:tcW w:w="1013" w:type="dxa"/>
            <w:tcBorders>
              <w:top w:val="nil"/>
              <w:left w:val="nil"/>
              <w:bottom w:val="single" w:sz="4" w:space="0" w:color="auto"/>
              <w:right w:val="single" w:sz="4" w:space="0" w:color="auto"/>
            </w:tcBorders>
            <w:shd w:val="clear" w:color="auto" w:fill="auto"/>
            <w:vAlign w:val="center"/>
            <w:hideMark/>
          </w:tcPr>
          <w:p w14:paraId="6FE724CB"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1,018,280</w:t>
            </w:r>
          </w:p>
        </w:tc>
        <w:tc>
          <w:tcPr>
            <w:tcW w:w="703" w:type="dxa"/>
            <w:tcBorders>
              <w:top w:val="nil"/>
              <w:left w:val="nil"/>
              <w:bottom w:val="single" w:sz="4" w:space="0" w:color="auto"/>
              <w:right w:val="single" w:sz="4" w:space="0" w:color="auto"/>
            </w:tcBorders>
            <w:shd w:val="clear" w:color="auto" w:fill="auto"/>
            <w:vAlign w:val="center"/>
            <w:hideMark/>
          </w:tcPr>
          <w:p w14:paraId="117B76A9"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71.8%</w:t>
            </w:r>
          </w:p>
        </w:tc>
        <w:tc>
          <w:tcPr>
            <w:tcW w:w="1341" w:type="dxa"/>
            <w:tcBorders>
              <w:top w:val="nil"/>
              <w:left w:val="nil"/>
              <w:bottom w:val="single" w:sz="4" w:space="0" w:color="auto"/>
              <w:right w:val="single" w:sz="4" w:space="0" w:color="auto"/>
            </w:tcBorders>
            <w:shd w:val="clear" w:color="auto" w:fill="auto"/>
            <w:vAlign w:val="center"/>
            <w:hideMark/>
          </w:tcPr>
          <w:p w14:paraId="4883EF0F"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$100,000-$149,999</w:t>
            </w:r>
          </w:p>
        </w:tc>
        <w:tc>
          <w:tcPr>
            <w:tcW w:w="1108" w:type="dxa"/>
            <w:tcBorders>
              <w:top w:val="nil"/>
              <w:left w:val="nil"/>
              <w:bottom w:val="single" w:sz="4" w:space="0" w:color="auto"/>
              <w:right w:val="single" w:sz="4" w:space="0" w:color="auto"/>
            </w:tcBorders>
            <w:shd w:val="clear" w:color="auto" w:fill="auto"/>
            <w:vAlign w:val="center"/>
            <w:hideMark/>
          </w:tcPr>
          <w:p w14:paraId="0876FF19"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85,125</w:t>
            </w:r>
          </w:p>
        </w:tc>
        <w:tc>
          <w:tcPr>
            <w:tcW w:w="724" w:type="dxa"/>
            <w:tcBorders>
              <w:top w:val="nil"/>
              <w:left w:val="nil"/>
              <w:bottom w:val="single" w:sz="4" w:space="0" w:color="auto"/>
              <w:right w:val="single" w:sz="4" w:space="0" w:color="auto"/>
            </w:tcBorders>
            <w:shd w:val="clear" w:color="auto" w:fill="auto"/>
            <w:vAlign w:val="center"/>
            <w:hideMark/>
          </w:tcPr>
          <w:p w14:paraId="5825241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14.1%</w:t>
            </w:r>
          </w:p>
        </w:tc>
      </w:tr>
      <w:tr w:rsidR="00B9246B" w:rsidRPr="00EE5714" w14:paraId="33752BC7" w14:textId="77777777" w:rsidTr="00B9246B">
        <w:trPr>
          <w:trHeight w:val="30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DEA4BF0"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170,696</w:t>
            </w:r>
          </w:p>
        </w:tc>
        <w:tc>
          <w:tcPr>
            <w:tcW w:w="866" w:type="dxa"/>
            <w:tcBorders>
              <w:top w:val="nil"/>
              <w:left w:val="nil"/>
              <w:bottom w:val="single" w:sz="4" w:space="0" w:color="auto"/>
              <w:right w:val="single" w:sz="4" w:space="0" w:color="auto"/>
            </w:tcBorders>
            <w:shd w:val="clear" w:color="auto" w:fill="auto"/>
            <w:vAlign w:val="center"/>
            <w:hideMark/>
          </w:tcPr>
          <w:p w14:paraId="007026B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28.9%</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698AA707"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0736A23F"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28.9%</w:t>
            </w:r>
          </w:p>
        </w:tc>
        <w:tc>
          <w:tcPr>
            <w:tcW w:w="1522" w:type="dxa"/>
            <w:tcBorders>
              <w:top w:val="nil"/>
              <w:left w:val="nil"/>
              <w:bottom w:val="single" w:sz="4" w:space="0" w:color="auto"/>
              <w:right w:val="single" w:sz="4" w:space="0" w:color="auto"/>
            </w:tcBorders>
            <w:shd w:val="clear" w:color="auto" w:fill="auto"/>
            <w:vAlign w:val="center"/>
            <w:hideMark/>
          </w:tcPr>
          <w:p w14:paraId="55FAFCA3"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13" w:type="dxa"/>
            <w:tcBorders>
              <w:top w:val="nil"/>
              <w:left w:val="nil"/>
              <w:bottom w:val="single" w:sz="4" w:space="0" w:color="auto"/>
              <w:right w:val="single" w:sz="4" w:space="0" w:color="auto"/>
            </w:tcBorders>
            <w:shd w:val="clear" w:color="auto" w:fill="auto"/>
            <w:vAlign w:val="center"/>
            <w:hideMark/>
          </w:tcPr>
          <w:p w14:paraId="18BAEA6F"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1,418,010</w:t>
            </w:r>
          </w:p>
        </w:tc>
        <w:tc>
          <w:tcPr>
            <w:tcW w:w="703" w:type="dxa"/>
            <w:tcBorders>
              <w:top w:val="nil"/>
              <w:left w:val="nil"/>
              <w:bottom w:val="single" w:sz="4" w:space="0" w:color="auto"/>
              <w:right w:val="single" w:sz="4" w:space="0" w:color="auto"/>
            </w:tcBorders>
            <w:shd w:val="clear" w:color="auto" w:fill="auto"/>
            <w:vAlign w:val="center"/>
            <w:hideMark/>
          </w:tcPr>
          <w:p w14:paraId="55C0696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14:paraId="5198A6C1"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$150,000-$199,999</w:t>
            </w:r>
          </w:p>
        </w:tc>
        <w:tc>
          <w:tcPr>
            <w:tcW w:w="1108" w:type="dxa"/>
            <w:tcBorders>
              <w:top w:val="nil"/>
              <w:left w:val="nil"/>
              <w:bottom w:val="single" w:sz="4" w:space="0" w:color="auto"/>
              <w:right w:val="single" w:sz="4" w:space="0" w:color="auto"/>
            </w:tcBorders>
            <w:shd w:val="clear" w:color="auto" w:fill="auto"/>
            <w:vAlign w:val="center"/>
            <w:hideMark/>
          </w:tcPr>
          <w:p w14:paraId="68420A22"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30,726</w:t>
            </w:r>
          </w:p>
        </w:tc>
        <w:tc>
          <w:tcPr>
            <w:tcW w:w="724" w:type="dxa"/>
            <w:tcBorders>
              <w:top w:val="nil"/>
              <w:left w:val="nil"/>
              <w:bottom w:val="single" w:sz="4" w:space="0" w:color="auto"/>
              <w:right w:val="single" w:sz="4" w:space="0" w:color="auto"/>
            </w:tcBorders>
            <w:shd w:val="clear" w:color="auto" w:fill="auto"/>
            <w:vAlign w:val="center"/>
            <w:hideMark/>
          </w:tcPr>
          <w:p w14:paraId="488BBA41"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w:t>
            </w:r>
          </w:p>
        </w:tc>
      </w:tr>
      <w:tr w:rsidR="00B9246B" w:rsidRPr="00EE5714" w14:paraId="698A350D" w14:textId="77777777" w:rsidTr="00B9246B">
        <w:trPr>
          <w:trHeight w:val="30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11D34CE"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27,325</w:t>
            </w:r>
          </w:p>
        </w:tc>
        <w:tc>
          <w:tcPr>
            <w:tcW w:w="866" w:type="dxa"/>
            <w:tcBorders>
              <w:top w:val="nil"/>
              <w:left w:val="nil"/>
              <w:bottom w:val="single" w:sz="4" w:space="0" w:color="auto"/>
              <w:right w:val="single" w:sz="4" w:space="0" w:color="auto"/>
            </w:tcBorders>
            <w:shd w:val="clear" w:color="auto" w:fill="auto"/>
            <w:vAlign w:val="center"/>
            <w:hideMark/>
          </w:tcPr>
          <w:p w14:paraId="487F8F90"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4.6%</w:t>
            </w:r>
          </w:p>
        </w:tc>
        <w:tc>
          <w:tcPr>
            <w:tcW w:w="1092" w:type="dxa"/>
            <w:tcBorders>
              <w:top w:val="nil"/>
              <w:left w:val="nil"/>
              <w:bottom w:val="single" w:sz="4" w:space="0" w:color="auto"/>
              <w:right w:val="single" w:sz="4" w:space="0" w:color="auto"/>
            </w:tcBorders>
            <w:shd w:val="clear" w:color="auto" w:fill="auto"/>
            <w:vAlign w:val="center"/>
            <w:hideMark/>
          </w:tcPr>
          <w:p w14:paraId="60B36126"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w:t>
            </w:r>
          </w:p>
        </w:tc>
        <w:tc>
          <w:tcPr>
            <w:tcW w:w="1092" w:type="dxa"/>
            <w:tcBorders>
              <w:top w:val="nil"/>
              <w:left w:val="nil"/>
              <w:bottom w:val="single" w:sz="4" w:space="0" w:color="auto"/>
              <w:right w:val="single" w:sz="4" w:space="0" w:color="auto"/>
            </w:tcBorders>
            <w:shd w:val="clear" w:color="auto" w:fill="auto"/>
            <w:vAlign w:val="center"/>
            <w:hideMark/>
          </w:tcPr>
          <w:p w14:paraId="5CA2E6D7"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37.3%</w:t>
            </w:r>
          </w:p>
        </w:tc>
        <w:tc>
          <w:tcPr>
            <w:tcW w:w="323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07E9F7E"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41" w:type="dxa"/>
            <w:tcBorders>
              <w:top w:val="nil"/>
              <w:left w:val="single" w:sz="4" w:space="0" w:color="auto"/>
              <w:bottom w:val="single" w:sz="4" w:space="0" w:color="auto"/>
              <w:right w:val="single" w:sz="4" w:space="0" w:color="auto"/>
            </w:tcBorders>
            <w:shd w:val="clear" w:color="auto" w:fill="auto"/>
            <w:vAlign w:val="center"/>
            <w:hideMark/>
          </w:tcPr>
          <w:p w14:paraId="44B9995D"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$200,000 or greater</w:t>
            </w:r>
          </w:p>
        </w:tc>
        <w:tc>
          <w:tcPr>
            <w:tcW w:w="1108" w:type="dxa"/>
            <w:tcBorders>
              <w:top w:val="nil"/>
              <w:left w:val="nil"/>
              <w:bottom w:val="single" w:sz="4" w:space="0" w:color="auto"/>
              <w:right w:val="single" w:sz="4" w:space="0" w:color="auto"/>
            </w:tcBorders>
            <w:shd w:val="clear" w:color="auto" w:fill="auto"/>
            <w:vAlign w:val="center"/>
            <w:hideMark/>
          </w:tcPr>
          <w:p w14:paraId="1F3D508A"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24,889</w:t>
            </w:r>
          </w:p>
        </w:tc>
        <w:tc>
          <w:tcPr>
            <w:tcW w:w="724" w:type="dxa"/>
            <w:tcBorders>
              <w:top w:val="nil"/>
              <w:left w:val="nil"/>
              <w:bottom w:val="single" w:sz="4" w:space="0" w:color="auto"/>
              <w:right w:val="single" w:sz="4" w:space="0" w:color="auto"/>
            </w:tcBorders>
            <w:shd w:val="clear" w:color="auto" w:fill="auto"/>
            <w:vAlign w:val="center"/>
            <w:hideMark/>
          </w:tcPr>
          <w:p w14:paraId="0E478A1D"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4.1%</w:t>
            </w:r>
          </w:p>
        </w:tc>
      </w:tr>
      <w:tr w:rsidR="00B9246B" w:rsidRPr="00EE5714" w14:paraId="40CEA447" w14:textId="77777777" w:rsidTr="00B9246B">
        <w:trPr>
          <w:trHeight w:val="511"/>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6222E9A"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4,387</w:t>
            </w:r>
          </w:p>
        </w:tc>
        <w:tc>
          <w:tcPr>
            <w:tcW w:w="866" w:type="dxa"/>
            <w:tcBorders>
              <w:top w:val="nil"/>
              <w:left w:val="nil"/>
              <w:bottom w:val="single" w:sz="4" w:space="0" w:color="auto"/>
              <w:right w:val="single" w:sz="4" w:space="0" w:color="auto"/>
            </w:tcBorders>
            <w:shd w:val="clear" w:color="auto" w:fill="auto"/>
            <w:vAlign w:val="center"/>
            <w:hideMark/>
          </w:tcPr>
          <w:p w14:paraId="1862C5F4"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092" w:type="dxa"/>
            <w:tcBorders>
              <w:top w:val="nil"/>
              <w:left w:val="nil"/>
              <w:bottom w:val="single" w:sz="4" w:space="0" w:color="auto"/>
              <w:right w:val="single" w:sz="4" w:space="0" w:color="auto"/>
            </w:tcBorders>
            <w:shd w:val="clear" w:color="auto" w:fill="auto"/>
            <w:vAlign w:val="center"/>
            <w:hideMark/>
          </w:tcPr>
          <w:p w14:paraId="2050ECC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w:t>
            </w:r>
          </w:p>
        </w:tc>
        <w:tc>
          <w:tcPr>
            <w:tcW w:w="1092" w:type="dxa"/>
            <w:tcBorders>
              <w:top w:val="nil"/>
              <w:left w:val="nil"/>
              <w:bottom w:val="single" w:sz="4" w:space="0" w:color="auto"/>
              <w:right w:val="single" w:sz="4" w:space="0" w:color="auto"/>
            </w:tcBorders>
            <w:shd w:val="clear" w:color="auto" w:fill="auto"/>
            <w:vAlign w:val="center"/>
            <w:hideMark/>
          </w:tcPr>
          <w:p w14:paraId="5B9908B4"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15.2%</w:t>
            </w:r>
          </w:p>
        </w:tc>
        <w:tc>
          <w:tcPr>
            <w:tcW w:w="1522" w:type="dxa"/>
            <w:tcBorders>
              <w:top w:val="single" w:sz="4" w:space="0" w:color="auto"/>
              <w:left w:val="nil"/>
              <w:bottom w:val="single" w:sz="4" w:space="0" w:color="auto"/>
              <w:right w:val="single" w:sz="4" w:space="0" w:color="auto"/>
            </w:tcBorders>
            <w:shd w:val="clear" w:color="000000" w:fill="E7E6E6"/>
            <w:vAlign w:val="center"/>
            <w:hideMark/>
          </w:tcPr>
          <w:p w14:paraId="18EFBCE1"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          Fuel Type</w:t>
            </w:r>
          </w:p>
        </w:tc>
        <w:tc>
          <w:tcPr>
            <w:tcW w:w="1013" w:type="dxa"/>
            <w:tcBorders>
              <w:top w:val="single" w:sz="4" w:space="0" w:color="auto"/>
              <w:left w:val="nil"/>
              <w:bottom w:val="single" w:sz="4" w:space="0" w:color="auto"/>
              <w:right w:val="single" w:sz="4" w:space="0" w:color="auto"/>
            </w:tcBorders>
            <w:shd w:val="clear" w:color="000000" w:fill="E7E6E6"/>
            <w:vAlign w:val="center"/>
            <w:hideMark/>
          </w:tcPr>
          <w:p w14:paraId="402DD543"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2011-2015 ACS</w:t>
            </w:r>
          </w:p>
        </w:tc>
        <w:tc>
          <w:tcPr>
            <w:tcW w:w="703" w:type="dxa"/>
            <w:tcBorders>
              <w:top w:val="single" w:sz="4" w:space="0" w:color="auto"/>
              <w:left w:val="nil"/>
              <w:bottom w:val="single" w:sz="4" w:space="0" w:color="auto"/>
              <w:right w:val="single" w:sz="4" w:space="0" w:color="auto"/>
            </w:tcBorders>
            <w:shd w:val="clear" w:color="000000" w:fill="E7E6E6"/>
            <w:vAlign w:val="center"/>
            <w:hideMark/>
          </w:tcPr>
          <w:p w14:paraId="395B36CB"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c>
          <w:tcPr>
            <w:tcW w:w="1341" w:type="dxa"/>
            <w:tcBorders>
              <w:top w:val="nil"/>
              <w:left w:val="nil"/>
              <w:bottom w:val="single" w:sz="4" w:space="0" w:color="auto"/>
              <w:right w:val="single" w:sz="4" w:space="0" w:color="auto"/>
            </w:tcBorders>
            <w:shd w:val="clear" w:color="auto" w:fill="auto"/>
            <w:vAlign w:val="center"/>
            <w:hideMark/>
          </w:tcPr>
          <w:p w14:paraId="7B51E036"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108" w:type="dxa"/>
            <w:tcBorders>
              <w:top w:val="nil"/>
              <w:left w:val="nil"/>
              <w:bottom w:val="single" w:sz="4" w:space="0" w:color="auto"/>
              <w:right w:val="single" w:sz="4" w:space="0" w:color="auto"/>
            </w:tcBorders>
            <w:shd w:val="clear" w:color="auto" w:fill="auto"/>
            <w:vAlign w:val="center"/>
            <w:hideMark/>
          </w:tcPr>
          <w:p w14:paraId="0F1368FD"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605,827</w:t>
            </w:r>
          </w:p>
        </w:tc>
        <w:tc>
          <w:tcPr>
            <w:tcW w:w="724" w:type="dxa"/>
            <w:tcBorders>
              <w:top w:val="nil"/>
              <w:left w:val="nil"/>
              <w:bottom w:val="single" w:sz="4" w:space="0" w:color="auto"/>
              <w:right w:val="single" w:sz="4" w:space="0" w:color="auto"/>
            </w:tcBorders>
            <w:shd w:val="clear" w:color="auto" w:fill="auto"/>
            <w:vAlign w:val="center"/>
            <w:hideMark/>
          </w:tcPr>
          <w:p w14:paraId="76AF5EA4"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B9246B" w:rsidRPr="00EE5714" w14:paraId="0A331B34" w14:textId="77777777" w:rsidTr="00B9246B">
        <w:trPr>
          <w:trHeight w:val="30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2810472"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2,328</w:t>
            </w:r>
          </w:p>
        </w:tc>
        <w:tc>
          <w:tcPr>
            <w:tcW w:w="866" w:type="dxa"/>
            <w:tcBorders>
              <w:top w:val="nil"/>
              <w:left w:val="nil"/>
              <w:bottom w:val="single" w:sz="4" w:space="0" w:color="auto"/>
              <w:right w:val="single" w:sz="4" w:space="0" w:color="auto"/>
            </w:tcBorders>
            <w:shd w:val="clear" w:color="auto" w:fill="auto"/>
            <w:vAlign w:val="center"/>
            <w:hideMark/>
          </w:tcPr>
          <w:p w14:paraId="3A945C49"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0.4%</w:t>
            </w:r>
          </w:p>
        </w:tc>
        <w:tc>
          <w:tcPr>
            <w:tcW w:w="1092" w:type="dxa"/>
            <w:tcBorders>
              <w:top w:val="nil"/>
              <w:left w:val="nil"/>
              <w:bottom w:val="single" w:sz="4" w:space="0" w:color="auto"/>
              <w:right w:val="single" w:sz="4" w:space="0" w:color="auto"/>
            </w:tcBorders>
            <w:shd w:val="clear" w:color="auto" w:fill="auto"/>
            <w:vAlign w:val="center"/>
            <w:hideMark/>
          </w:tcPr>
          <w:p w14:paraId="68A5324F"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w:t>
            </w:r>
          </w:p>
        </w:tc>
        <w:tc>
          <w:tcPr>
            <w:tcW w:w="1092" w:type="dxa"/>
            <w:tcBorders>
              <w:top w:val="nil"/>
              <w:left w:val="nil"/>
              <w:bottom w:val="single" w:sz="4" w:space="0" w:color="auto"/>
              <w:right w:val="single" w:sz="4" w:space="0" w:color="auto"/>
            </w:tcBorders>
            <w:shd w:val="clear" w:color="auto" w:fill="auto"/>
            <w:vAlign w:val="center"/>
            <w:hideMark/>
          </w:tcPr>
          <w:p w14:paraId="24880014"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12.0%</w:t>
            </w:r>
          </w:p>
        </w:tc>
        <w:tc>
          <w:tcPr>
            <w:tcW w:w="1522" w:type="dxa"/>
            <w:tcBorders>
              <w:top w:val="nil"/>
              <w:left w:val="nil"/>
              <w:bottom w:val="single" w:sz="4" w:space="0" w:color="auto"/>
              <w:right w:val="single" w:sz="4" w:space="0" w:color="auto"/>
            </w:tcBorders>
            <w:shd w:val="clear" w:color="auto" w:fill="auto"/>
            <w:vAlign w:val="center"/>
            <w:hideMark/>
          </w:tcPr>
          <w:p w14:paraId="1077D104"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Utility Gas</w:t>
            </w:r>
          </w:p>
        </w:tc>
        <w:tc>
          <w:tcPr>
            <w:tcW w:w="1013" w:type="dxa"/>
            <w:tcBorders>
              <w:top w:val="nil"/>
              <w:left w:val="nil"/>
              <w:bottom w:val="single" w:sz="4" w:space="0" w:color="auto"/>
              <w:right w:val="single" w:sz="4" w:space="0" w:color="auto"/>
            </w:tcBorders>
            <w:shd w:val="clear" w:color="auto" w:fill="auto"/>
            <w:vAlign w:val="center"/>
            <w:hideMark/>
          </w:tcPr>
          <w:p w14:paraId="5F9A4072"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335,838</w:t>
            </w:r>
          </w:p>
        </w:tc>
        <w:tc>
          <w:tcPr>
            <w:tcW w:w="703" w:type="dxa"/>
            <w:tcBorders>
              <w:top w:val="nil"/>
              <w:left w:val="nil"/>
              <w:bottom w:val="single" w:sz="4" w:space="0" w:color="auto"/>
              <w:right w:val="single" w:sz="4" w:space="0" w:color="auto"/>
            </w:tcBorders>
            <w:shd w:val="clear" w:color="auto" w:fill="auto"/>
            <w:vAlign w:val="center"/>
            <w:hideMark/>
          </w:tcPr>
          <w:p w14:paraId="3BA745E2"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56.8%</w:t>
            </w:r>
          </w:p>
        </w:tc>
        <w:tc>
          <w:tcPr>
            <w:tcW w:w="1341" w:type="dxa"/>
            <w:tcBorders>
              <w:top w:val="nil"/>
              <w:left w:val="nil"/>
              <w:bottom w:val="single" w:sz="4" w:space="0" w:color="auto"/>
              <w:right w:val="single" w:sz="4" w:space="0" w:color="auto"/>
            </w:tcBorders>
            <w:shd w:val="clear" w:color="auto" w:fill="auto"/>
            <w:vAlign w:val="center"/>
            <w:hideMark/>
          </w:tcPr>
          <w:p w14:paraId="1B30BB3B"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Median Income</w:t>
            </w:r>
          </w:p>
        </w:tc>
        <w:tc>
          <w:tcPr>
            <w:tcW w:w="1108" w:type="dxa"/>
            <w:tcBorders>
              <w:top w:val="nil"/>
              <w:left w:val="nil"/>
              <w:bottom w:val="single" w:sz="4" w:space="0" w:color="auto"/>
              <w:right w:val="single" w:sz="4" w:space="0" w:color="auto"/>
            </w:tcBorders>
            <w:shd w:val="clear" w:color="auto" w:fill="auto"/>
            <w:vAlign w:val="center"/>
            <w:hideMark/>
          </w:tcPr>
          <w:p w14:paraId="378B8EE4"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$54,946</w:t>
            </w:r>
          </w:p>
        </w:tc>
        <w:tc>
          <w:tcPr>
            <w:tcW w:w="724" w:type="dxa"/>
            <w:tcBorders>
              <w:top w:val="nil"/>
              <w:left w:val="nil"/>
              <w:bottom w:val="single" w:sz="4" w:space="0" w:color="auto"/>
              <w:right w:val="single" w:sz="4" w:space="0" w:color="auto"/>
            </w:tcBorders>
            <w:shd w:val="clear" w:color="auto" w:fill="auto"/>
            <w:vAlign w:val="center"/>
            <w:hideMark/>
          </w:tcPr>
          <w:p w14:paraId="7FF58D1A"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B9246B" w:rsidRPr="00EE5714" w14:paraId="7D096FC0" w14:textId="77777777" w:rsidTr="00B9246B">
        <w:trPr>
          <w:trHeight w:val="511"/>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5A75E00"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646</w:t>
            </w:r>
          </w:p>
        </w:tc>
        <w:tc>
          <w:tcPr>
            <w:tcW w:w="866" w:type="dxa"/>
            <w:tcBorders>
              <w:top w:val="nil"/>
              <w:left w:val="nil"/>
              <w:bottom w:val="single" w:sz="4" w:space="0" w:color="auto"/>
              <w:right w:val="single" w:sz="4" w:space="0" w:color="auto"/>
            </w:tcBorders>
            <w:shd w:val="clear" w:color="auto" w:fill="auto"/>
            <w:vAlign w:val="center"/>
            <w:hideMark/>
          </w:tcPr>
          <w:p w14:paraId="60CE041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0.1%</w:t>
            </w:r>
          </w:p>
        </w:tc>
        <w:tc>
          <w:tcPr>
            <w:tcW w:w="1092" w:type="dxa"/>
            <w:tcBorders>
              <w:top w:val="nil"/>
              <w:left w:val="nil"/>
              <w:bottom w:val="single" w:sz="4" w:space="0" w:color="auto"/>
              <w:right w:val="single" w:sz="4" w:space="0" w:color="auto"/>
            </w:tcBorders>
            <w:shd w:val="clear" w:color="auto" w:fill="auto"/>
            <w:vAlign w:val="center"/>
            <w:hideMark/>
          </w:tcPr>
          <w:p w14:paraId="5A80856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w:t>
            </w:r>
          </w:p>
        </w:tc>
        <w:tc>
          <w:tcPr>
            <w:tcW w:w="1092" w:type="dxa"/>
            <w:tcBorders>
              <w:top w:val="nil"/>
              <w:left w:val="nil"/>
              <w:bottom w:val="single" w:sz="4" w:space="0" w:color="auto"/>
              <w:right w:val="single" w:sz="4" w:space="0" w:color="auto"/>
            </w:tcBorders>
            <w:shd w:val="clear" w:color="auto" w:fill="auto"/>
            <w:vAlign w:val="center"/>
            <w:hideMark/>
          </w:tcPr>
          <w:p w14:paraId="0F8ABB74"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4.4%</w:t>
            </w:r>
          </w:p>
        </w:tc>
        <w:tc>
          <w:tcPr>
            <w:tcW w:w="1522" w:type="dxa"/>
            <w:tcBorders>
              <w:top w:val="nil"/>
              <w:left w:val="nil"/>
              <w:bottom w:val="single" w:sz="4" w:space="0" w:color="auto"/>
              <w:right w:val="single" w:sz="4" w:space="0" w:color="auto"/>
            </w:tcBorders>
            <w:shd w:val="clear" w:color="auto" w:fill="auto"/>
            <w:vAlign w:val="center"/>
            <w:hideMark/>
          </w:tcPr>
          <w:p w14:paraId="58460E5B"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Bottled/Tank/LP Gas</w:t>
            </w:r>
          </w:p>
        </w:tc>
        <w:tc>
          <w:tcPr>
            <w:tcW w:w="1013" w:type="dxa"/>
            <w:tcBorders>
              <w:top w:val="nil"/>
              <w:left w:val="nil"/>
              <w:bottom w:val="single" w:sz="4" w:space="0" w:color="auto"/>
              <w:right w:val="single" w:sz="4" w:space="0" w:color="auto"/>
            </w:tcBorders>
            <w:shd w:val="clear" w:color="auto" w:fill="auto"/>
            <w:vAlign w:val="center"/>
            <w:hideMark/>
          </w:tcPr>
          <w:p w14:paraId="12A1A243"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17,561</w:t>
            </w:r>
          </w:p>
        </w:tc>
        <w:tc>
          <w:tcPr>
            <w:tcW w:w="703" w:type="dxa"/>
            <w:tcBorders>
              <w:top w:val="nil"/>
              <w:left w:val="nil"/>
              <w:bottom w:val="single" w:sz="4" w:space="0" w:color="auto"/>
              <w:right w:val="single" w:sz="4" w:space="0" w:color="auto"/>
            </w:tcBorders>
            <w:shd w:val="clear" w:color="auto" w:fill="auto"/>
            <w:vAlign w:val="center"/>
            <w:hideMark/>
          </w:tcPr>
          <w:p w14:paraId="5DDA98B7"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w:t>
            </w:r>
          </w:p>
        </w:tc>
        <w:tc>
          <w:tcPr>
            <w:tcW w:w="1341" w:type="dxa"/>
            <w:tcBorders>
              <w:top w:val="nil"/>
              <w:left w:val="nil"/>
              <w:bottom w:val="single" w:sz="4" w:space="0" w:color="auto"/>
              <w:right w:val="single" w:sz="4" w:space="0" w:color="auto"/>
            </w:tcBorders>
            <w:shd w:val="clear" w:color="auto" w:fill="auto"/>
            <w:vAlign w:val="center"/>
            <w:hideMark/>
          </w:tcPr>
          <w:p w14:paraId="26217D0C"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Average Income</w:t>
            </w:r>
          </w:p>
        </w:tc>
        <w:tc>
          <w:tcPr>
            <w:tcW w:w="1108" w:type="dxa"/>
            <w:tcBorders>
              <w:top w:val="nil"/>
              <w:left w:val="nil"/>
              <w:bottom w:val="single" w:sz="4" w:space="0" w:color="auto"/>
              <w:right w:val="single" w:sz="4" w:space="0" w:color="auto"/>
            </w:tcBorders>
            <w:shd w:val="clear" w:color="auto" w:fill="auto"/>
            <w:vAlign w:val="center"/>
            <w:hideMark/>
          </w:tcPr>
          <w:p w14:paraId="6DC703A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$74,259</w:t>
            </w:r>
          </w:p>
        </w:tc>
        <w:tc>
          <w:tcPr>
            <w:tcW w:w="724" w:type="dxa"/>
            <w:tcBorders>
              <w:top w:val="nil"/>
              <w:left w:val="nil"/>
              <w:bottom w:val="single" w:sz="4" w:space="0" w:color="auto"/>
              <w:right w:val="single" w:sz="4" w:space="0" w:color="auto"/>
            </w:tcBorders>
            <w:shd w:val="clear" w:color="auto" w:fill="auto"/>
            <w:vAlign w:val="center"/>
            <w:hideMark/>
          </w:tcPr>
          <w:p w14:paraId="06E43D1F"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B9246B" w:rsidRPr="00EE5714" w14:paraId="4A8C502D" w14:textId="77777777" w:rsidTr="00B9246B">
        <w:trPr>
          <w:trHeight w:val="30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E11205E"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107</w:t>
            </w:r>
          </w:p>
        </w:tc>
        <w:tc>
          <w:tcPr>
            <w:tcW w:w="866" w:type="dxa"/>
            <w:tcBorders>
              <w:top w:val="nil"/>
              <w:left w:val="nil"/>
              <w:bottom w:val="single" w:sz="4" w:space="0" w:color="auto"/>
              <w:right w:val="single" w:sz="4" w:space="0" w:color="auto"/>
            </w:tcBorders>
            <w:shd w:val="clear" w:color="auto" w:fill="auto"/>
            <w:vAlign w:val="center"/>
            <w:hideMark/>
          </w:tcPr>
          <w:p w14:paraId="2213ADA9"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2" w:type="dxa"/>
            <w:tcBorders>
              <w:top w:val="nil"/>
              <w:left w:val="nil"/>
              <w:bottom w:val="single" w:sz="4" w:space="0" w:color="auto"/>
              <w:right w:val="single" w:sz="4" w:space="0" w:color="auto"/>
            </w:tcBorders>
            <w:shd w:val="clear" w:color="auto" w:fill="auto"/>
            <w:vAlign w:val="center"/>
            <w:hideMark/>
          </w:tcPr>
          <w:p w14:paraId="67F9FB71"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w:t>
            </w:r>
          </w:p>
        </w:tc>
        <w:tc>
          <w:tcPr>
            <w:tcW w:w="1092" w:type="dxa"/>
            <w:tcBorders>
              <w:top w:val="nil"/>
              <w:left w:val="nil"/>
              <w:bottom w:val="single" w:sz="4" w:space="0" w:color="auto"/>
              <w:right w:val="single" w:sz="4" w:space="0" w:color="auto"/>
            </w:tcBorders>
            <w:shd w:val="clear" w:color="auto" w:fill="auto"/>
            <w:vAlign w:val="center"/>
            <w:hideMark/>
          </w:tcPr>
          <w:p w14:paraId="7C301017"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w:t>
            </w:r>
          </w:p>
        </w:tc>
        <w:tc>
          <w:tcPr>
            <w:tcW w:w="1522" w:type="dxa"/>
            <w:tcBorders>
              <w:top w:val="nil"/>
              <w:left w:val="nil"/>
              <w:bottom w:val="single" w:sz="4" w:space="0" w:color="auto"/>
              <w:right w:val="single" w:sz="4" w:space="0" w:color="auto"/>
            </w:tcBorders>
            <w:shd w:val="clear" w:color="auto" w:fill="auto"/>
            <w:vAlign w:val="center"/>
            <w:hideMark/>
          </w:tcPr>
          <w:p w14:paraId="5AE62DBA"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Electricity</w:t>
            </w:r>
          </w:p>
        </w:tc>
        <w:tc>
          <w:tcPr>
            <w:tcW w:w="1013" w:type="dxa"/>
            <w:tcBorders>
              <w:top w:val="nil"/>
              <w:left w:val="nil"/>
              <w:bottom w:val="single" w:sz="4" w:space="0" w:color="auto"/>
              <w:right w:val="single" w:sz="4" w:space="0" w:color="auto"/>
            </w:tcBorders>
            <w:shd w:val="clear" w:color="auto" w:fill="auto"/>
            <w:vAlign w:val="center"/>
            <w:hideMark/>
          </w:tcPr>
          <w:p w14:paraId="4B751DA6"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125,957</w:t>
            </w:r>
          </w:p>
        </w:tc>
        <w:tc>
          <w:tcPr>
            <w:tcW w:w="703" w:type="dxa"/>
            <w:tcBorders>
              <w:top w:val="nil"/>
              <w:left w:val="nil"/>
              <w:bottom w:val="single" w:sz="4" w:space="0" w:color="auto"/>
              <w:right w:val="single" w:sz="4" w:space="0" w:color="auto"/>
            </w:tcBorders>
            <w:shd w:val="clear" w:color="auto" w:fill="auto"/>
            <w:vAlign w:val="center"/>
            <w:hideMark/>
          </w:tcPr>
          <w:p w14:paraId="66FF446A"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21.3%</w:t>
            </w:r>
          </w:p>
        </w:tc>
        <w:tc>
          <w:tcPr>
            <w:tcW w:w="1341" w:type="dxa"/>
            <w:tcBorders>
              <w:top w:val="nil"/>
              <w:left w:val="nil"/>
              <w:bottom w:val="single" w:sz="4" w:space="0" w:color="auto"/>
              <w:right w:val="single" w:sz="4" w:space="0" w:color="auto"/>
            </w:tcBorders>
            <w:shd w:val="clear" w:color="auto" w:fill="auto"/>
            <w:vAlign w:val="center"/>
            <w:hideMark/>
          </w:tcPr>
          <w:p w14:paraId="69F091EA"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Per Capita Income</w:t>
            </w:r>
          </w:p>
        </w:tc>
        <w:tc>
          <w:tcPr>
            <w:tcW w:w="1108" w:type="dxa"/>
            <w:tcBorders>
              <w:top w:val="nil"/>
              <w:left w:val="nil"/>
              <w:bottom w:val="single" w:sz="4" w:space="0" w:color="auto"/>
              <w:right w:val="single" w:sz="4" w:space="0" w:color="auto"/>
            </w:tcBorders>
            <w:shd w:val="clear" w:color="auto" w:fill="auto"/>
            <w:vAlign w:val="center"/>
            <w:hideMark/>
          </w:tcPr>
          <w:p w14:paraId="4D1A9E11"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$30,709</w:t>
            </w:r>
          </w:p>
        </w:tc>
        <w:tc>
          <w:tcPr>
            <w:tcW w:w="724" w:type="dxa"/>
            <w:tcBorders>
              <w:top w:val="nil"/>
              <w:left w:val="nil"/>
              <w:bottom w:val="single" w:sz="4" w:space="0" w:color="auto"/>
              <w:right w:val="single" w:sz="4" w:space="0" w:color="auto"/>
            </w:tcBorders>
            <w:shd w:val="clear" w:color="auto" w:fill="auto"/>
            <w:vAlign w:val="center"/>
            <w:hideMark/>
          </w:tcPr>
          <w:p w14:paraId="112EC6C6"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r w:rsidR="00B9246B" w:rsidRPr="00EE5714" w14:paraId="1AD26E0D" w14:textId="77777777" w:rsidTr="00B9246B">
        <w:trPr>
          <w:trHeight w:val="511"/>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03ECBBA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91</w:t>
            </w:r>
          </w:p>
        </w:tc>
        <w:tc>
          <w:tcPr>
            <w:tcW w:w="866" w:type="dxa"/>
            <w:tcBorders>
              <w:top w:val="nil"/>
              <w:left w:val="nil"/>
              <w:bottom w:val="single" w:sz="4" w:space="0" w:color="auto"/>
              <w:right w:val="single" w:sz="4" w:space="0" w:color="auto"/>
            </w:tcBorders>
            <w:shd w:val="clear" w:color="auto" w:fill="auto"/>
            <w:vAlign w:val="center"/>
            <w:hideMark/>
          </w:tcPr>
          <w:p w14:paraId="2BE8697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092" w:type="dxa"/>
            <w:tcBorders>
              <w:top w:val="nil"/>
              <w:left w:val="nil"/>
              <w:bottom w:val="single" w:sz="4" w:space="0" w:color="auto"/>
              <w:right w:val="single" w:sz="4" w:space="0" w:color="auto"/>
            </w:tcBorders>
            <w:shd w:val="clear" w:color="auto" w:fill="auto"/>
            <w:vAlign w:val="center"/>
            <w:hideMark/>
          </w:tcPr>
          <w:p w14:paraId="0E239623"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w:t>
            </w:r>
          </w:p>
        </w:tc>
        <w:tc>
          <w:tcPr>
            <w:tcW w:w="1092" w:type="dxa"/>
            <w:tcBorders>
              <w:top w:val="nil"/>
              <w:left w:val="nil"/>
              <w:bottom w:val="single" w:sz="4" w:space="0" w:color="auto"/>
              <w:right w:val="single" w:sz="4" w:space="0" w:color="auto"/>
            </w:tcBorders>
            <w:shd w:val="clear" w:color="auto" w:fill="auto"/>
            <w:vAlign w:val="center"/>
            <w:hideMark/>
          </w:tcPr>
          <w:p w14:paraId="06437943"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0.6%</w:t>
            </w:r>
          </w:p>
        </w:tc>
        <w:tc>
          <w:tcPr>
            <w:tcW w:w="1522" w:type="dxa"/>
            <w:tcBorders>
              <w:top w:val="nil"/>
              <w:left w:val="nil"/>
              <w:bottom w:val="single" w:sz="4" w:space="0" w:color="auto"/>
              <w:right w:val="single" w:sz="4" w:space="0" w:color="auto"/>
            </w:tcBorders>
            <w:shd w:val="clear" w:color="auto" w:fill="auto"/>
            <w:vAlign w:val="center"/>
            <w:hideMark/>
          </w:tcPr>
          <w:p w14:paraId="658FA9D2"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Fuel Oil/Kerosene</w:t>
            </w:r>
          </w:p>
        </w:tc>
        <w:tc>
          <w:tcPr>
            <w:tcW w:w="1013" w:type="dxa"/>
            <w:tcBorders>
              <w:top w:val="nil"/>
              <w:left w:val="nil"/>
              <w:bottom w:val="single" w:sz="4" w:space="0" w:color="auto"/>
              <w:right w:val="single" w:sz="4" w:space="0" w:color="auto"/>
            </w:tcBorders>
            <w:shd w:val="clear" w:color="auto" w:fill="auto"/>
            <w:vAlign w:val="center"/>
            <w:hideMark/>
          </w:tcPr>
          <w:p w14:paraId="5372DD1E"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78,979</w:t>
            </w:r>
          </w:p>
        </w:tc>
        <w:tc>
          <w:tcPr>
            <w:tcW w:w="703" w:type="dxa"/>
            <w:tcBorders>
              <w:top w:val="nil"/>
              <w:left w:val="nil"/>
              <w:bottom w:val="single" w:sz="4" w:space="0" w:color="auto"/>
              <w:right w:val="single" w:sz="4" w:space="0" w:color="auto"/>
            </w:tcBorders>
            <w:shd w:val="clear" w:color="auto" w:fill="auto"/>
            <w:vAlign w:val="center"/>
            <w:hideMark/>
          </w:tcPr>
          <w:p w14:paraId="78999D17"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13.4%</w:t>
            </w:r>
          </w:p>
        </w:tc>
        <w:tc>
          <w:tcPr>
            <w:tcW w:w="3174"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382C695A"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West Penn Service Area                                            2012-2016 ACS</w:t>
            </w:r>
          </w:p>
        </w:tc>
      </w:tr>
      <w:tr w:rsidR="00B9246B" w:rsidRPr="00EE5714" w14:paraId="751785EF" w14:textId="77777777" w:rsidTr="00B9246B">
        <w:trPr>
          <w:trHeight w:val="511"/>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5D49FB9"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591,240</w:t>
            </w:r>
          </w:p>
        </w:tc>
        <w:tc>
          <w:tcPr>
            <w:tcW w:w="866" w:type="dxa"/>
            <w:tcBorders>
              <w:top w:val="nil"/>
              <w:left w:val="nil"/>
              <w:bottom w:val="single" w:sz="4" w:space="0" w:color="auto"/>
              <w:right w:val="single" w:sz="4" w:space="0" w:color="auto"/>
            </w:tcBorders>
            <w:shd w:val="clear" w:color="auto" w:fill="auto"/>
            <w:vAlign w:val="center"/>
            <w:hideMark/>
          </w:tcPr>
          <w:p w14:paraId="19003C20"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auto" w:fill="auto"/>
            <w:vAlign w:val="center"/>
            <w:hideMark/>
          </w:tcPr>
          <w:p w14:paraId="390F48C7"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92" w:type="dxa"/>
            <w:tcBorders>
              <w:top w:val="nil"/>
              <w:left w:val="nil"/>
              <w:bottom w:val="single" w:sz="4" w:space="0" w:color="auto"/>
              <w:right w:val="single" w:sz="4" w:space="0" w:color="auto"/>
            </w:tcBorders>
            <w:shd w:val="clear" w:color="auto" w:fill="auto"/>
            <w:vAlign w:val="center"/>
            <w:hideMark/>
          </w:tcPr>
          <w:p w14:paraId="1A67DA21"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2" w:type="dxa"/>
            <w:tcBorders>
              <w:top w:val="nil"/>
              <w:left w:val="nil"/>
              <w:bottom w:val="single" w:sz="4" w:space="0" w:color="auto"/>
              <w:right w:val="single" w:sz="4" w:space="0" w:color="auto"/>
            </w:tcBorders>
            <w:shd w:val="clear" w:color="auto" w:fill="auto"/>
            <w:vAlign w:val="center"/>
            <w:hideMark/>
          </w:tcPr>
          <w:p w14:paraId="1D27E3AE"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Coal</w:t>
            </w:r>
          </w:p>
        </w:tc>
        <w:tc>
          <w:tcPr>
            <w:tcW w:w="1013" w:type="dxa"/>
            <w:tcBorders>
              <w:top w:val="nil"/>
              <w:left w:val="nil"/>
              <w:bottom w:val="single" w:sz="4" w:space="0" w:color="auto"/>
              <w:right w:val="single" w:sz="4" w:space="0" w:color="auto"/>
            </w:tcBorders>
            <w:shd w:val="clear" w:color="auto" w:fill="auto"/>
            <w:vAlign w:val="center"/>
            <w:hideMark/>
          </w:tcPr>
          <w:p w14:paraId="1E564CD3"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4,088</w:t>
            </w:r>
          </w:p>
        </w:tc>
        <w:tc>
          <w:tcPr>
            <w:tcW w:w="703" w:type="dxa"/>
            <w:tcBorders>
              <w:top w:val="nil"/>
              <w:left w:val="nil"/>
              <w:bottom w:val="single" w:sz="4" w:space="0" w:color="auto"/>
              <w:right w:val="single" w:sz="4" w:space="0" w:color="auto"/>
            </w:tcBorders>
            <w:shd w:val="clear" w:color="auto" w:fill="auto"/>
            <w:vAlign w:val="center"/>
            <w:hideMark/>
          </w:tcPr>
          <w:p w14:paraId="6FCE007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341" w:type="dxa"/>
            <w:tcBorders>
              <w:top w:val="single" w:sz="4" w:space="0" w:color="auto"/>
              <w:left w:val="nil"/>
              <w:bottom w:val="single" w:sz="4" w:space="0" w:color="auto"/>
              <w:right w:val="single" w:sz="4" w:space="0" w:color="auto"/>
            </w:tcBorders>
            <w:shd w:val="clear" w:color="000000" w:fill="E7E6E6"/>
            <w:vAlign w:val="center"/>
            <w:hideMark/>
          </w:tcPr>
          <w:p w14:paraId="4CF579FA"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1108" w:type="dxa"/>
            <w:tcBorders>
              <w:top w:val="single" w:sz="4" w:space="0" w:color="auto"/>
              <w:left w:val="nil"/>
              <w:bottom w:val="single" w:sz="4" w:space="0" w:color="auto"/>
              <w:right w:val="single" w:sz="4" w:space="0" w:color="auto"/>
            </w:tcBorders>
            <w:shd w:val="clear" w:color="000000" w:fill="E7E6E6"/>
            <w:vAlign w:val="center"/>
            <w:hideMark/>
          </w:tcPr>
          <w:p w14:paraId="00553913"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Population Age:</w:t>
            </w:r>
          </w:p>
        </w:tc>
        <w:tc>
          <w:tcPr>
            <w:tcW w:w="724" w:type="dxa"/>
            <w:tcBorders>
              <w:top w:val="single" w:sz="4" w:space="0" w:color="auto"/>
              <w:left w:val="nil"/>
              <w:bottom w:val="single" w:sz="4" w:space="0" w:color="auto"/>
              <w:right w:val="single" w:sz="4" w:space="0" w:color="auto"/>
            </w:tcBorders>
            <w:shd w:val="clear" w:color="000000" w:fill="E7E6E6"/>
            <w:vAlign w:val="center"/>
            <w:hideMark/>
          </w:tcPr>
          <w:p w14:paraId="607B4BCB"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t>
            </w:r>
          </w:p>
        </w:tc>
      </w:tr>
      <w:tr w:rsidR="00B9246B" w:rsidRPr="00EE5714" w14:paraId="2E23905C" w14:textId="77777777" w:rsidTr="00B9246B">
        <w:trPr>
          <w:trHeight w:val="436"/>
        </w:trPr>
        <w:tc>
          <w:tcPr>
            <w:tcW w:w="4221" w:type="dxa"/>
            <w:gridSpan w:val="4"/>
            <w:tcBorders>
              <w:top w:val="single" w:sz="4" w:space="0" w:color="auto"/>
              <w:left w:val="single" w:sz="4" w:space="0" w:color="auto"/>
              <w:bottom w:val="single" w:sz="4" w:space="0" w:color="auto"/>
              <w:right w:val="single" w:sz="4" w:space="0" w:color="000000"/>
            </w:tcBorders>
            <w:shd w:val="clear" w:color="000000" w:fill="E7E6E6"/>
            <w:vAlign w:val="center"/>
            <w:hideMark/>
          </w:tcPr>
          <w:p w14:paraId="227A0C39" w14:textId="589898AE"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West Penn Service Area - 2012-2016 ACS</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3F33BDD9"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Wood</w:t>
            </w:r>
          </w:p>
        </w:tc>
        <w:tc>
          <w:tcPr>
            <w:tcW w:w="1013" w:type="dxa"/>
            <w:tcBorders>
              <w:top w:val="nil"/>
              <w:left w:val="nil"/>
              <w:bottom w:val="single" w:sz="4" w:space="0" w:color="auto"/>
              <w:right w:val="single" w:sz="4" w:space="0" w:color="auto"/>
            </w:tcBorders>
            <w:shd w:val="clear" w:color="auto" w:fill="auto"/>
            <w:vAlign w:val="center"/>
            <w:hideMark/>
          </w:tcPr>
          <w:p w14:paraId="3F071130"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22,863</w:t>
            </w:r>
          </w:p>
        </w:tc>
        <w:tc>
          <w:tcPr>
            <w:tcW w:w="703" w:type="dxa"/>
            <w:tcBorders>
              <w:top w:val="nil"/>
              <w:left w:val="nil"/>
              <w:bottom w:val="single" w:sz="4" w:space="0" w:color="auto"/>
              <w:right w:val="single" w:sz="4" w:space="0" w:color="auto"/>
            </w:tcBorders>
            <w:shd w:val="clear" w:color="auto" w:fill="auto"/>
            <w:vAlign w:val="center"/>
            <w:hideMark/>
          </w:tcPr>
          <w:p w14:paraId="0D2B32B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3.9%</w:t>
            </w:r>
          </w:p>
        </w:tc>
        <w:tc>
          <w:tcPr>
            <w:tcW w:w="1341" w:type="dxa"/>
            <w:tcBorders>
              <w:top w:val="nil"/>
              <w:left w:val="nil"/>
              <w:bottom w:val="single" w:sz="4" w:space="0" w:color="auto"/>
              <w:right w:val="single" w:sz="4" w:space="0" w:color="auto"/>
            </w:tcBorders>
            <w:shd w:val="clear" w:color="auto" w:fill="auto"/>
            <w:vAlign w:val="center"/>
            <w:hideMark/>
          </w:tcPr>
          <w:p w14:paraId="4D461709"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156,215</w:t>
            </w:r>
          </w:p>
        </w:tc>
        <w:tc>
          <w:tcPr>
            <w:tcW w:w="1108" w:type="dxa"/>
            <w:tcBorders>
              <w:top w:val="nil"/>
              <w:left w:val="nil"/>
              <w:bottom w:val="single" w:sz="4" w:space="0" w:color="auto"/>
              <w:right w:val="single" w:sz="4" w:space="0" w:color="auto"/>
            </w:tcBorders>
            <w:shd w:val="clear" w:color="auto" w:fill="auto"/>
            <w:vAlign w:val="center"/>
            <w:hideMark/>
          </w:tcPr>
          <w:p w14:paraId="14EE8BB7"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&lt; 18</w:t>
            </w:r>
          </w:p>
        </w:tc>
        <w:tc>
          <w:tcPr>
            <w:tcW w:w="724" w:type="dxa"/>
            <w:tcBorders>
              <w:top w:val="nil"/>
              <w:left w:val="nil"/>
              <w:bottom w:val="single" w:sz="4" w:space="0" w:color="auto"/>
              <w:right w:val="single" w:sz="4" w:space="0" w:color="auto"/>
            </w:tcBorders>
            <w:shd w:val="clear" w:color="auto" w:fill="auto"/>
            <w:vAlign w:val="center"/>
            <w:hideMark/>
          </w:tcPr>
          <w:p w14:paraId="1E729DFC"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35.9%</w:t>
            </w:r>
          </w:p>
        </w:tc>
      </w:tr>
      <w:tr w:rsidR="00B9246B" w:rsidRPr="00EE5714" w14:paraId="2D658752" w14:textId="77777777" w:rsidTr="00B9246B">
        <w:trPr>
          <w:trHeight w:val="300"/>
        </w:trPr>
        <w:tc>
          <w:tcPr>
            <w:tcW w:w="117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565DBA9"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Households</w:t>
            </w:r>
          </w:p>
        </w:tc>
        <w:tc>
          <w:tcPr>
            <w:tcW w:w="3050"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4FA8ABC0"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Poverty (100% FPIG)</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14D1B7E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Solar</w:t>
            </w:r>
          </w:p>
        </w:tc>
        <w:tc>
          <w:tcPr>
            <w:tcW w:w="1013" w:type="dxa"/>
            <w:tcBorders>
              <w:top w:val="nil"/>
              <w:left w:val="nil"/>
              <w:bottom w:val="single" w:sz="4" w:space="0" w:color="auto"/>
              <w:right w:val="single" w:sz="4" w:space="0" w:color="auto"/>
            </w:tcBorders>
            <w:shd w:val="clear" w:color="auto" w:fill="auto"/>
            <w:vAlign w:val="center"/>
            <w:hideMark/>
          </w:tcPr>
          <w:p w14:paraId="4C89A409"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86</w:t>
            </w:r>
          </w:p>
        </w:tc>
        <w:tc>
          <w:tcPr>
            <w:tcW w:w="703" w:type="dxa"/>
            <w:tcBorders>
              <w:top w:val="nil"/>
              <w:left w:val="nil"/>
              <w:bottom w:val="single" w:sz="4" w:space="0" w:color="auto"/>
              <w:right w:val="single" w:sz="4" w:space="0" w:color="auto"/>
            </w:tcBorders>
            <w:shd w:val="clear" w:color="auto" w:fill="auto"/>
            <w:vAlign w:val="center"/>
            <w:hideMark/>
          </w:tcPr>
          <w:p w14:paraId="5766DC2A"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0.0%</w:t>
            </w:r>
          </w:p>
        </w:tc>
        <w:tc>
          <w:tcPr>
            <w:tcW w:w="1341" w:type="dxa"/>
            <w:tcBorders>
              <w:top w:val="nil"/>
              <w:left w:val="nil"/>
              <w:bottom w:val="single" w:sz="4" w:space="0" w:color="auto"/>
              <w:right w:val="single" w:sz="4" w:space="0" w:color="auto"/>
            </w:tcBorders>
            <w:shd w:val="clear" w:color="auto" w:fill="auto"/>
            <w:vAlign w:val="center"/>
            <w:hideMark/>
          </w:tcPr>
          <w:p w14:paraId="20190A81"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435,024</w:t>
            </w:r>
          </w:p>
        </w:tc>
        <w:tc>
          <w:tcPr>
            <w:tcW w:w="1108" w:type="dxa"/>
            <w:tcBorders>
              <w:top w:val="nil"/>
              <w:left w:val="nil"/>
              <w:bottom w:val="single" w:sz="4" w:space="0" w:color="auto"/>
              <w:right w:val="single" w:sz="4" w:space="0" w:color="auto"/>
            </w:tcBorders>
            <w:shd w:val="clear" w:color="auto" w:fill="auto"/>
            <w:vAlign w:val="center"/>
            <w:hideMark/>
          </w:tcPr>
          <w:p w14:paraId="7BB4C922"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&lt; 18</w:t>
            </w:r>
          </w:p>
        </w:tc>
        <w:tc>
          <w:tcPr>
            <w:tcW w:w="724" w:type="dxa"/>
            <w:tcBorders>
              <w:top w:val="nil"/>
              <w:left w:val="nil"/>
              <w:bottom w:val="single" w:sz="4" w:space="0" w:color="auto"/>
              <w:right w:val="single" w:sz="4" w:space="0" w:color="auto"/>
            </w:tcBorders>
            <w:shd w:val="clear" w:color="auto" w:fill="auto"/>
            <w:vAlign w:val="center"/>
            <w:hideMark/>
          </w:tcPr>
          <w:p w14:paraId="6195081F"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64.1%</w:t>
            </w:r>
          </w:p>
        </w:tc>
      </w:tr>
      <w:tr w:rsidR="00B9246B" w:rsidRPr="00EE5714" w14:paraId="2E79F12E" w14:textId="77777777" w:rsidTr="00B9246B">
        <w:trPr>
          <w:trHeight w:val="571"/>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2B052A82"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70,708</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003C8F47"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11.96%</w:t>
            </w:r>
          </w:p>
        </w:tc>
        <w:tc>
          <w:tcPr>
            <w:tcW w:w="21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E51464D"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Below Poverty Level</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7F02B197"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Other</w:t>
            </w:r>
          </w:p>
        </w:tc>
        <w:tc>
          <w:tcPr>
            <w:tcW w:w="1013" w:type="dxa"/>
            <w:tcBorders>
              <w:top w:val="nil"/>
              <w:left w:val="nil"/>
              <w:bottom w:val="single" w:sz="4" w:space="0" w:color="auto"/>
              <w:right w:val="single" w:sz="4" w:space="0" w:color="auto"/>
            </w:tcBorders>
            <w:shd w:val="clear" w:color="auto" w:fill="auto"/>
            <w:vAlign w:val="center"/>
            <w:hideMark/>
          </w:tcPr>
          <w:p w14:paraId="2563F03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4,308</w:t>
            </w:r>
          </w:p>
        </w:tc>
        <w:tc>
          <w:tcPr>
            <w:tcW w:w="703" w:type="dxa"/>
            <w:tcBorders>
              <w:top w:val="nil"/>
              <w:left w:val="nil"/>
              <w:bottom w:val="single" w:sz="4" w:space="0" w:color="auto"/>
              <w:right w:val="single" w:sz="4" w:space="0" w:color="auto"/>
            </w:tcBorders>
            <w:shd w:val="clear" w:color="auto" w:fill="auto"/>
            <w:vAlign w:val="center"/>
            <w:hideMark/>
          </w:tcPr>
          <w:p w14:paraId="0603E360"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0.7%</w:t>
            </w:r>
          </w:p>
        </w:tc>
        <w:tc>
          <w:tcPr>
            <w:tcW w:w="1341" w:type="dxa"/>
            <w:tcBorders>
              <w:top w:val="nil"/>
              <w:left w:val="nil"/>
              <w:bottom w:val="single" w:sz="4" w:space="0" w:color="auto"/>
              <w:right w:val="single" w:sz="4" w:space="0" w:color="auto"/>
            </w:tcBorders>
            <w:shd w:val="clear" w:color="auto" w:fill="auto"/>
            <w:vAlign w:val="center"/>
            <w:hideMark/>
          </w:tcPr>
          <w:p w14:paraId="5E36887B"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190,465</w:t>
            </w:r>
          </w:p>
        </w:tc>
        <w:tc>
          <w:tcPr>
            <w:tcW w:w="1108" w:type="dxa"/>
            <w:tcBorders>
              <w:top w:val="nil"/>
              <w:left w:val="nil"/>
              <w:bottom w:val="single" w:sz="4" w:space="0" w:color="auto"/>
              <w:right w:val="single" w:sz="4" w:space="0" w:color="auto"/>
            </w:tcBorders>
            <w:shd w:val="clear" w:color="auto" w:fill="auto"/>
            <w:vAlign w:val="center"/>
            <w:hideMark/>
          </w:tcPr>
          <w:p w14:paraId="6D1EAFC5"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With Age 65+</w:t>
            </w:r>
          </w:p>
        </w:tc>
        <w:tc>
          <w:tcPr>
            <w:tcW w:w="724" w:type="dxa"/>
            <w:tcBorders>
              <w:top w:val="nil"/>
              <w:left w:val="nil"/>
              <w:bottom w:val="single" w:sz="4" w:space="0" w:color="auto"/>
              <w:right w:val="single" w:sz="4" w:space="0" w:color="auto"/>
            </w:tcBorders>
            <w:shd w:val="clear" w:color="auto" w:fill="auto"/>
            <w:vAlign w:val="center"/>
            <w:hideMark/>
          </w:tcPr>
          <w:p w14:paraId="4D4A17A5" w14:textId="77777777" w:rsidR="00B9246B" w:rsidRPr="00EE5714" w:rsidRDefault="00B9246B" w:rsidP="00B9246B">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47.5%</w:t>
            </w:r>
          </w:p>
        </w:tc>
      </w:tr>
      <w:tr w:rsidR="00B9246B" w:rsidRPr="00EE5714" w14:paraId="5CBAE1CD" w14:textId="77777777" w:rsidTr="00B9246B">
        <w:trPr>
          <w:trHeight w:val="511"/>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7263C31"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520,531</w:t>
            </w:r>
          </w:p>
        </w:tc>
        <w:tc>
          <w:tcPr>
            <w:tcW w:w="866" w:type="dxa"/>
            <w:tcBorders>
              <w:top w:val="nil"/>
              <w:left w:val="nil"/>
              <w:bottom w:val="single" w:sz="4" w:space="0" w:color="auto"/>
              <w:right w:val="single" w:sz="4" w:space="0" w:color="auto"/>
            </w:tcBorders>
            <w:shd w:val="clear" w:color="auto" w:fill="auto"/>
            <w:vAlign w:val="center"/>
            <w:hideMark/>
          </w:tcPr>
          <w:p w14:paraId="30DFEC6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88.04%</w:t>
            </w:r>
          </w:p>
        </w:tc>
        <w:tc>
          <w:tcPr>
            <w:tcW w:w="21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7D2BFF"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At/Above Poverty</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720DA3C9"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No Fuel Used</w:t>
            </w:r>
          </w:p>
        </w:tc>
        <w:tc>
          <w:tcPr>
            <w:tcW w:w="1013" w:type="dxa"/>
            <w:tcBorders>
              <w:top w:val="nil"/>
              <w:left w:val="nil"/>
              <w:bottom w:val="single" w:sz="4" w:space="0" w:color="auto"/>
              <w:right w:val="single" w:sz="4" w:space="0" w:color="auto"/>
            </w:tcBorders>
            <w:shd w:val="clear" w:color="auto" w:fill="auto"/>
            <w:vAlign w:val="center"/>
            <w:hideMark/>
          </w:tcPr>
          <w:p w14:paraId="1051412C"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1,560</w:t>
            </w:r>
          </w:p>
        </w:tc>
        <w:tc>
          <w:tcPr>
            <w:tcW w:w="703" w:type="dxa"/>
            <w:tcBorders>
              <w:top w:val="nil"/>
              <w:left w:val="nil"/>
              <w:bottom w:val="single" w:sz="4" w:space="0" w:color="auto"/>
              <w:right w:val="single" w:sz="4" w:space="0" w:color="auto"/>
            </w:tcBorders>
            <w:shd w:val="clear" w:color="auto" w:fill="auto"/>
            <w:vAlign w:val="center"/>
            <w:hideMark/>
          </w:tcPr>
          <w:p w14:paraId="183DDEDF"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0.3%</w:t>
            </w:r>
          </w:p>
        </w:tc>
        <w:tc>
          <w:tcPr>
            <w:tcW w:w="1341" w:type="dxa"/>
            <w:tcBorders>
              <w:top w:val="nil"/>
              <w:left w:val="nil"/>
              <w:bottom w:val="single" w:sz="4" w:space="0" w:color="auto"/>
              <w:right w:val="single" w:sz="4" w:space="0" w:color="auto"/>
            </w:tcBorders>
            <w:shd w:val="clear" w:color="auto" w:fill="auto"/>
            <w:vAlign w:val="center"/>
            <w:hideMark/>
          </w:tcPr>
          <w:p w14:paraId="189BD918"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400,775</w:t>
            </w:r>
          </w:p>
        </w:tc>
        <w:tc>
          <w:tcPr>
            <w:tcW w:w="1108" w:type="dxa"/>
            <w:tcBorders>
              <w:top w:val="nil"/>
              <w:left w:val="nil"/>
              <w:bottom w:val="single" w:sz="4" w:space="0" w:color="auto"/>
              <w:right w:val="single" w:sz="4" w:space="0" w:color="auto"/>
            </w:tcBorders>
            <w:shd w:val="clear" w:color="auto" w:fill="auto"/>
            <w:vAlign w:val="center"/>
            <w:hideMark/>
          </w:tcPr>
          <w:p w14:paraId="2DE43D85"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W/No Age 65+</w:t>
            </w:r>
          </w:p>
        </w:tc>
        <w:tc>
          <w:tcPr>
            <w:tcW w:w="724" w:type="dxa"/>
            <w:tcBorders>
              <w:top w:val="nil"/>
              <w:left w:val="nil"/>
              <w:bottom w:val="single" w:sz="4" w:space="0" w:color="auto"/>
              <w:right w:val="single" w:sz="4" w:space="0" w:color="auto"/>
            </w:tcBorders>
            <w:shd w:val="clear" w:color="auto" w:fill="auto"/>
            <w:vAlign w:val="center"/>
            <w:hideMark/>
          </w:tcPr>
          <w:p w14:paraId="2818DBF4" w14:textId="77777777" w:rsidR="00B9246B" w:rsidRPr="00EE5714" w:rsidRDefault="00B9246B" w:rsidP="00B9246B">
            <w:pPr>
              <w:keepNext/>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52.5%</w:t>
            </w:r>
          </w:p>
        </w:tc>
      </w:tr>
      <w:tr w:rsidR="00B9246B" w:rsidRPr="00EE5714" w14:paraId="103BAA8A" w14:textId="77777777" w:rsidTr="00B9246B">
        <w:trPr>
          <w:trHeight w:val="30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08755E3A" w14:textId="77777777" w:rsidR="00B9246B" w:rsidRPr="00EE5714" w:rsidRDefault="00B9246B" w:rsidP="00B9246B">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591,239</w:t>
            </w:r>
          </w:p>
        </w:tc>
        <w:tc>
          <w:tcPr>
            <w:tcW w:w="305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9AC8800" w14:textId="77777777" w:rsidR="00B9246B" w:rsidRPr="00EE5714" w:rsidRDefault="00B9246B" w:rsidP="00B9246B">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522" w:type="dxa"/>
            <w:tcBorders>
              <w:top w:val="nil"/>
              <w:left w:val="single" w:sz="4" w:space="0" w:color="auto"/>
              <w:bottom w:val="single" w:sz="4" w:space="0" w:color="auto"/>
              <w:right w:val="single" w:sz="4" w:space="0" w:color="auto"/>
            </w:tcBorders>
            <w:shd w:val="clear" w:color="auto" w:fill="auto"/>
            <w:vAlign w:val="center"/>
            <w:hideMark/>
          </w:tcPr>
          <w:p w14:paraId="0AEA32EF" w14:textId="77777777" w:rsidR="00B9246B" w:rsidRPr="00EE5714" w:rsidRDefault="00B9246B" w:rsidP="00B9246B">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013" w:type="dxa"/>
            <w:tcBorders>
              <w:top w:val="nil"/>
              <w:left w:val="nil"/>
              <w:bottom w:val="single" w:sz="4" w:space="0" w:color="auto"/>
              <w:right w:val="single" w:sz="4" w:space="0" w:color="auto"/>
            </w:tcBorders>
            <w:shd w:val="clear" w:color="auto" w:fill="auto"/>
            <w:vAlign w:val="center"/>
            <w:hideMark/>
          </w:tcPr>
          <w:p w14:paraId="55B0A083" w14:textId="77777777" w:rsidR="00B9246B" w:rsidRPr="00EE5714" w:rsidRDefault="00B9246B" w:rsidP="00B9246B">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591,240</w:t>
            </w:r>
          </w:p>
        </w:tc>
        <w:tc>
          <w:tcPr>
            <w:tcW w:w="703" w:type="dxa"/>
            <w:tcBorders>
              <w:top w:val="nil"/>
              <w:left w:val="nil"/>
              <w:bottom w:val="single" w:sz="4" w:space="0" w:color="auto"/>
              <w:right w:val="single" w:sz="4" w:space="0" w:color="auto"/>
            </w:tcBorders>
            <w:shd w:val="clear" w:color="auto" w:fill="auto"/>
            <w:vAlign w:val="center"/>
            <w:hideMark/>
          </w:tcPr>
          <w:p w14:paraId="740AA970" w14:textId="77777777" w:rsidR="00B9246B" w:rsidRPr="00EE5714" w:rsidRDefault="00B9246B" w:rsidP="00B9246B">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14:paraId="58132473" w14:textId="77777777" w:rsidR="00B9246B" w:rsidRPr="00EE5714" w:rsidRDefault="00B9246B" w:rsidP="00B9246B">
            <w:pPr>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sz w:val="20"/>
                <w:szCs w:val="20"/>
              </w:rPr>
              <w:t>591,240</w:t>
            </w:r>
          </w:p>
        </w:tc>
        <w:tc>
          <w:tcPr>
            <w:tcW w:w="18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16A25DE" w14:textId="77777777" w:rsidR="00B9246B" w:rsidRPr="00EE5714" w:rsidRDefault="00B9246B" w:rsidP="00B9246B">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 </w:t>
            </w:r>
          </w:p>
        </w:tc>
      </w:tr>
    </w:tbl>
    <w:p w14:paraId="5C0A3165" w14:textId="77777777" w:rsidR="0044761C" w:rsidRPr="00EE5714" w:rsidRDefault="0044761C" w:rsidP="00F303E0"/>
    <w:p w14:paraId="0E15D18D" w14:textId="406C80F7" w:rsidR="00F303E0" w:rsidRPr="00EE5714" w:rsidRDefault="00F303E0" w:rsidP="00FB0835">
      <w:pPr>
        <w:pStyle w:val="Heading2"/>
      </w:pPr>
      <w:bookmarkStart w:id="53" w:name="_Toc533674872"/>
      <w:bookmarkStart w:id="54" w:name="_Toc534547877"/>
      <w:r w:rsidRPr="00EE5714">
        <w:t xml:space="preserve">Appendix </w:t>
      </w:r>
      <w:r w:rsidR="00135C31" w:rsidRPr="00EE5714">
        <w:t>2</w:t>
      </w:r>
      <w:r w:rsidRPr="00EE5714">
        <w:t xml:space="preserve"> –Energy Burdens for Gas and Electric Service</w:t>
      </w:r>
      <w:bookmarkEnd w:id="53"/>
      <w:bookmarkEnd w:id="54"/>
    </w:p>
    <w:p w14:paraId="7614CA3D" w14:textId="77777777" w:rsidR="00F303E0" w:rsidRPr="00EE5714" w:rsidRDefault="00F303E0" w:rsidP="00FB0835">
      <w:pPr>
        <w:pStyle w:val="NoSpacing"/>
        <w:keepNext/>
        <w:rPr>
          <w:rFonts w:cs="Times New Roman"/>
          <w:szCs w:val="26"/>
        </w:rPr>
      </w:pPr>
    </w:p>
    <w:p w14:paraId="169F72F5" w14:textId="77777777" w:rsidR="00F303E0" w:rsidRPr="00EE5714" w:rsidRDefault="00F303E0" w:rsidP="00FB0835">
      <w:pPr>
        <w:pStyle w:val="NoSpacing"/>
        <w:keepNext/>
        <w:rPr>
          <w:rFonts w:cs="Times New Roman"/>
          <w:i/>
          <w:szCs w:val="26"/>
        </w:rPr>
      </w:pPr>
      <w:r w:rsidRPr="00EE5714">
        <w:rPr>
          <w:rFonts w:cs="Times New Roman"/>
          <w:i/>
          <w:szCs w:val="26"/>
        </w:rPr>
        <w:t xml:space="preserve">Appendix </w:t>
      </w:r>
      <w:r w:rsidR="00135C31" w:rsidRPr="00EE5714">
        <w:rPr>
          <w:rFonts w:cs="Times New Roman"/>
          <w:i/>
          <w:szCs w:val="26"/>
        </w:rPr>
        <w:t>2</w:t>
      </w:r>
      <w:r w:rsidRPr="00EE5714">
        <w:rPr>
          <w:rFonts w:cs="Times New Roman"/>
          <w:i/>
          <w:szCs w:val="26"/>
        </w:rPr>
        <w:t>.A: Non-CAP Residential NGDC and EDC Average Energy Burdens</w:t>
      </w:r>
    </w:p>
    <w:p w14:paraId="7E09F0F3" w14:textId="77777777" w:rsidR="00F303E0" w:rsidRPr="00EE5714" w:rsidRDefault="00F303E0" w:rsidP="00F303E0">
      <w:pPr>
        <w:pStyle w:val="NoSpacing"/>
        <w:rPr>
          <w:rFonts w:cs="Times New Roman"/>
          <w:szCs w:val="26"/>
        </w:rPr>
      </w:pPr>
    </w:p>
    <w:p w14:paraId="5E6D9336" w14:textId="77777777" w:rsidR="00F303E0" w:rsidRPr="00EE5714" w:rsidRDefault="00F303E0" w:rsidP="00F303E0">
      <w:pPr>
        <w:pStyle w:val="NoSpacing"/>
        <w:rPr>
          <w:rFonts w:cs="Times New Roman"/>
          <w:szCs w:val="26"/>
        </w:rPr>
      </w:pPr>
      <w:r w:rsidRPr="00EE5714">
        <w:rPr>
          <w:rFonts w:cs="Times New Roman"/>
          <w:szCs w:val="26"/>
        </w:rPr>
        <w:t xml:space="preserve">The average energy burdens of gas and electric non-CAP customers are shown as a percentage, to include heat type and FPIG levels for the period from 2012 through 2016.  </w:t>
      </w:r>
    </w:p>
    <w:p w14:paraId="2CB55F0D" w14:textId="77777777" w:rsidR="00F303E0" w:rsidRPr="00EE5714" w:rsidRDefault="00F303E0" w:rsidP="00F303E0">
      <w:pPr>
        <w:pStyle w:val="NoSpacing"/>
        <w:rPr>
          <w:rFonts w:cs="Times New Roman"/>
          <w:szCs w:val="26"/>
        </w:rPr>
      </w:pPr>
    </w:p>
    <w:p w14:paraId="450C46CC" w14:textId="77777777" w:rsidR="00F303E0" w:rsidRPr="00EE5714" w:rsidRDefault="00155347" w:rsidP="00E92A67">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Appendix 2</w:t>
      </w:r>
      <w:r w:rsidR="00F303E0" w:rsidRPr="00EE5714">
        <w:rPr>
          <w:rFonts w:ascii="Times New Roman" w:hAnsi="Times New Roman" w:cs="Times New Roman"/>
          <w:sz w:val="26"/>
          <w:szCs w:val="26"/>
        </w:rPr>
        <w:t xml:space="preserve">.A.1: </w:t>
      </w:r>
      <w:r w:rsidR="00F303E0" w:rsidRPr="00EE5714">
        <w:rPr>
          <w:rFonts w:ascii="Times New Roman" w:eastAsia="Times New Roman" w:hAnsi="Times New Roman" w:cs="Times New Roman"/>
          <w:b/>
          <w:color w:val="000000"/>
          <w:sz w:val="26"/>
          <w:szCs w:val="26"/>
        </w:rPr>
        <w:t>NGDC Non-CAP Residential Heating Average Energy Burdens</w:t>
      </w:r>
    </w:p>
    <w:tbl>
      <w:tblPr>
        <w:tblW w:w="10065"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154"/>
        <w:gridCol w:w="1555"/>
        <w:gridCol w:w="1555"/>
        <w:gridCol w:w="1555"/>
        <w:gridCol w:w="1555"/>
        <w:gridCol w:w="1691"/>
      </w:tblGrid>
      <w:tr w:rsidR="00F303E0" w:rsidRPr="00EE5714" w14:paraId="1F62A1B2" w14:textId="77777777" w:rsidTr="00A671A0">
        <w:trPr>
          <w:trHeight w:val="547"/>
        </w:trPr>
        <w:tc>
          <w:tcPr>
            <w:tcW w:w="10065" w:type="dxa"/>
            <w:gridSpan w:val="6"/>
            <w:shd w:val="clear" w:color="auto" w:fill="BFBFBF" w:themeFill="background1" w:themeFillShade="BF"/>
            <w:noWrap/>
            <w:vAlign w:val="bottom"/>
          </w:tcPr>
          <w:p w14:paraId="0304C81F" w14:textId="77777777"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lastRenderedPageBreak/>
              <w:t>NGDC Non-CAP Residential Heating Accounts</w:t>
            </w:r>
          </w:p>
          <w:p w14:paraId="697DEFBA" w14:textId="450479F0"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Average Energy Burdens</w:t>
            </w:r>
            <w:r w:rsidR="00360778" w:rsidRPr="00EE5714">
              <w:rPr>
                <w:rFonts w:ascii="Calibri" w:eastAsia="Times New Roman" w:hAnsi="Calibri" w:cs="Calibri"/>
                <w:b/>
                <w:color w:val="000000"/>
              </w:rPr>
              <w:t xml:space="preserve"> (%)</w:t>
            </w:r>
          </w:p>
        </w:tc>
      </w:tr>
      <w:tr w:rsidR="00F303E0" w:rsidRPr="00EE5714" w14:paraId="17AD3262" w14:textId="77777777" w:rsidTr="00E92A67">
        <w:trPr>
          <w:trHeight w:hRule="exact" w:val="238"/>
        </w:trPr>
        <w:tc>
          <w:tcPr>
            <w:tcW w:w="2154" w:type="dxa"/>
            <w:shd w:val="clear" w:color="auto" w:fill="F2F2F2" w:themeFill="background1" w:themeFillShade="F2"/>
            <w:noWrap/>
            <w:vAlign w:val="bottom"/>
            <w:hideMark/>
          </w:tcPr>
          <w:p w14:paraId="25E1DC18" w14:textId="77777777" w:rsidR="00F303E0" w:rsidRPr="00EE5714" w:rsidRDefault="00F303E0" w:rsidP="00E92A67">
            <w:pPr>
              <w:spacing w:after="0" w:line="240" w:lineRule="auto"/>
              <w:rPr>
                <w:rFonts w:ascii="Calibri" w:eastAsia="Times New Roman" w:hAnsi="Calibri" w:cs="Calibri"/>
                <w:b/>
                <w:i/>
              </w:rPr>
            </w:pPr>
            <w:r w:rsidRPr="00EE5714">
              <w:rPr>
                <w:rFonts w:ascii="Calibri" w:eastAsia="Times New Roman" w:hAnsi="Calibri" w:cs="Calibri"/>
                <w:b/>
                <w:i/>
                <w:color w:val="000000"/>
              </w:rPr>
              <w:t>Total by Year</w:t>
            </w:r>
          </w:p>
        </w:tc>
        <w:tc>
          <w:tcPr>
            <w:tcW w:w="1555" w:type="dxa"/>
            <w:shd w:val="clear" w:color="auto" w:fill="F2F2F2" w:themeFill="background1" w:themeFillShade="F2"/>
            <w:noWrap/>
            <w:vAlign w:val="bottom"/>
            <w:hideMark/>
          </w:tcPr>
          <w:p w14:paraId="64C5418F" w14:textId="77777777"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2012</w:t>
            </w:r>
          </w:p>
        </w:tc>
        <w:tc>
          <w:tcPr>
            <w:tcW w:w="1555" w:type="dxa"/>
            <w:shd w:val="clear" w:color="auto" w:fill="F2F2F2" w:themeFill="background1" w:themeFillShade="F2"/>
            <w:noWrap/>
            <w:vAlign w:val="bottom"/>
            <w:hideMark/>
          </w:tcPr>
          <w:p w14:paraId="7E70F7AB" w14:textId="77777777"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2013</w:t>
            </w:r>
          </w:p>
        </w:tc>
        <w:tc>
          <w:tcPr>
            <w:tcW w:w="1555" w:type="dxa"/>
            <w:shd w:val="clear" w:color="auto" w:fill="F2F2F2" w:themeFill="background1" w:themeFillShade="F2"/>
            <w:noWrap/>
            <w:vAlign w:val="bottom"/>
            <w:hideMark/>
          </w:tcPr>
          <w:p w14:paraId="4EDA4A77" w14:textId="77777777"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2014</w:t>
            </w:r>
          </w:p>
        </w:tc>
        <w:tc>
          <w:tcPr>
            <w:tcW w:w="1555" w:type="dxa"/>
            <w:shd w:val="clear" w:color="auto" w:fill="F2F2F2" w:themeFill="background1" w:themeFillShade="F2"/>
            <w:noWrap/>
            <w:vAlign w:val="bottom"/>
            <w:hideMark/>
          </w:tcPr>
          <w:p w14:paraId="27678E13" w14:textId="77777777"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2015</w:t>
            </w:r>
          </w:p>
        </w:tc>
        <w:tc>
          <w:tcPr>
            <w:tcW w:w="1691" w:type="dxa"/>
            <w:shd w:val="clear" w:color="auto" w:fill="F2F2F2" w:themeFill="background1" w:themeFillShade="F2"/>
            <w:noWrap/>
            <w:vAlign w:val="bottom"/>
            <w:hideMark/>
          </w:tcPr>
          <w:p w14:paraId="4AC23662" w14:textId="77777777"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2016</w:t>
            </w:r>
          </w:p>
        </w:tc>
      </w:tr>
      <w:tr w:rsidR="00F303E0" w:rsidRPr="00EE5714" w14:paraId="5AC0E772" w14:textId="77777777" w:rsidTr="00E92A67">
        <w:trPr>
          <w:trHeight w:hRule="exact" w:val="238"/>
        </w:trPr>
        <w:tc>
          <w:tcPr>
            <w:tcW w:w="2154" w:type="dxa"/>
            <w:shd w:val="clear" w:color="auto" w:fill="auto"/>
            <w:noWrap/>
            <w:vAlign w:val="bottom"/>
            <w:hideMark/>
          </w:tcPr>
          <w:p w14:paraId="6A7298D7" w14:textId="77777777" w:rsidR="00F303E0" w:rsidRPr="00EE5714" w:rsidRDefault="00F303E0" w:rsidP="00E92A67">
            <w:pPr>
              <w:spacing w:after="0" w:line="240" w:lineRule="auto"/>
              <w:rPr>
                <w:rFonts w:ascii="Calibri" w:eastAsia="Times New Roman" w:hAnsi="Calibri" w:cs="Calibri"/>
                <w:sz w:val="20"/>
                <w:szCs w:val="20"/>
              </w:rPr>
            </w:pPr>
          </w:p>
        </w:tc>
        <w:tc>
          <w:tcPr>
            <w:tcW w:w="1555" w:type="dxa"/>
            <w:shd w:val="clear" w:color="auto" w:fill="auto"/>
            <w:noWrap/>
            <w:vAlign w:val="bottom"/>
            <w:hideMark/>
          </w:tcPr>
          <w:p w14:paraId="495E55A2" w14:textId="77777777" w:rsidR="00F303E0" w:rsidRPr="00EE5714" w:rsidRDefault="00F303E0" w:rsidP="00E92A67">
            <w:pPr>
              <w:spacing w:after="0" w:line="240" w:lineRule="auto"/>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1555" w:type="dxa"/>
            <w:shd w:val="clear" w:color="auto" w:fill="auto"/>
            <w:noWrap/>
            <w:vAlign w:val="bottom"/>
            <w:hideMark/>
          </w:tcPr>
          <w:p w14:paraId="43080669" w14:textId="77777777" w:rsidR="00F303E0" w:rsidRPr="00EE5714" w:rsidRDefault="00F303E0" w:rsidP="00E92A67">
            <w:pPr>
              <w:spacing w:after="0" w:line="240" w:lineRule="auto"/>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1555" w:type="dxa"/>
            <w:shd w:val="clear" w:color="auto" w:fill="auto"/>
            <w:noWrap/>
            <w:vAlign w:val="bottom"/>
            <w:hideMark/>
          </w:tcPr>
          <w:p w14:paraId="25EACCD4" w14:textId="77777777" w:rsidR="00F303E0" w:rsidRPr="00EE5714" w:rsidRDefault="00F303E0" w:rsidP="00E92A67">
            <w:pPr>
              <w:spacing w:after="0" w:line="240" w:lineRule="auto"/>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1555" w:type="dxa"/>
            <w:shd w:val="clear" w:color="auto" w:fill="auto"/>
            <w:noWrap/>
            <w:vAlign w:val="bottom"/>
            <w:hideMark/>
          </w:tcPr>
          <w:p w14:paraId="3BC09CF5" w14:textId="77777777" w:rsidR="00F303E0" w:rsidRPr="00EE5714" w:rsidRDefault="00F303E0" w:rsidP="00E92A67">
            <w:pPr>
              <w:spacing w:after="0" w:line="240" w:lineRule="auto"/>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1691" w:type="dxa"/>
            <w:shd w:val="clear" w:color="auto" w:fill="auto"/>
            <w:noWrap/>
            <w:vAlign w:val="bottom"/>
            <w:hideMark/>
          </w:tcPr>
          <w:p w14:paraId="675248D4" w14:textId="77777777" w:rsidR="00F303E0" w:rsidRPr="00EE5714" w:rsidRDefault="00F303E0" w:rsidP="00E92A67">
            <w:pPr>
              <w:spacing w:after="0" w:line="240" w:lineRule="auto"/>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r>
      <w:tr w:rsidR="00F303E0" w:rsidRPr="00EE5714" w14:paraId="46D3A204" w14:textId="77777777" w:rsidTr="00E92A67">
        <w:trPr>
          <w:trHeight w:hRule="exact" w:val="616"/>
        </w:trPr>
        <w:tc>
          <w:tcPr>
            <w:tcW w:w="2154" w:type="dxa"/>
            <w:shd w:val="clear" w:color="auto" w:fill="F2F2F2" w:themeFill="background1" w:themeFillShade="F2"/>
            <w:noWrap/>
            <w:vAlign w:val="center"/>
            <w:hideMark/>
          </w:tcPr>
          <w:p w14:paraId="357BF8FA" w14:textId="77777777" w:rsidR="00F303E0" w:rsidRPr="00EE5714" w:rsidRDefault="00F303E0" w:rsidP="00E92A67">
            <w:pPr>
              <w:spacing w:after="0" w:line="240" w:lineRule="auto"/>
              <w:rPr>
                <w:rFonts w:ascii="Calibri" w:eastAsia="Times New Roman" w:hAnsi="Calibri" w:cs="Calibri"/>
                <w:b/>
                <w:i/>
                <w:color w:val="000000"/>
                <w:sz w:val="21"/>
                <w:szCs w:val="21"/>
              </w:rPr>
            </w:pPr>
            <w:r w:rsidRPr="00EE5714">
              <w:rPr>
                <w:rFonts w:ascii="Calibri" w:eastAsia="Times New Roman" w:hAnsi="Calibri" w:cs="Calibri"/>
                <w:b/>
                <w:i/>
                <w:color w:val="000000"/>
                <w:sz w:val="21"/>
                <w:szCs w:val="21"/>
              </w:rPr>
              <w:t>GAS Industry Average</w:t>
            </w:r>
          </w:p>
        </w:tc>
        <w:tc>
          <w:tcPr>
            <w:tcW w:w="1555" w:type="dxa"/>
            <w:shd w:val="clear" w:color="auto" w:fill="F2F2F2" w:themeFill="background1" w:themeFillShade="F2"/>
            <w:noWrap/>
            <w:vAlign w:val="center"/>
            <w:hideMark/>
          </w:tcPr>
          <w:p w14:paraId="700B4C42" w14:textId="77777777" w:rsidR="00F303E0" w:rsidRPr="00EE5714" w:rsidRDefault="00F303E0" w:rsidP="00E92A67">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1.86</w:t>
            </w:r>
          </w:p>
        </w:tc>
        <w:tc>
          <w:tcPr>
            <w:tcW w:w="1555" w:type="dxa"/>
            <w:shd w:val="clear" w:color="auto" w:fill="F2F2F2" w:themeFill="background1" w:themeFillShade="F2"/>
            <w:noWrap/>
            <w:vAlign w:val="center"/>
            <w:hideMark/>
          </w:tcPr>
          <w:p w14:paraId="7C797E14" w14:textId="77777777" w:rsidR="00F303E0" w:rsidRPr="00EE5714" w:rsidRDefault="00F303E0" w:rsidP="00E92A67">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2.07</w:t>
            </w:r>
          </w:p>
        </w:tc>
        <w:tc>
          <w:tcPr>
            <w:tcW w:w="1555" w:type="dxa"/>
            <w:shd w:val="clear" w:color="auto" w:fill="F2F2F2" w:themeFill="background1" w:themeFillShade="F2"/>
            <w:noWrap/>
            <w:vAlign w:val="center"/>
            <w:hideMark/>
          </w:tcPr>
          <w:p w14:paraId="5BE6BA14" w14:textId="77777777" w:rsidR="00F303E0" w:rsidRPr="00EE5714" w:rsidRDefault="00F303E0" w:rsidP="00E92A67">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2.29</w:t>
            </w:r>
          </w:p>
        </w:tc>
        <w:tc>
          <w:tcPr>
            <w:tcW w:w="1555" w:type="dxa"/>
            <w:shd w:val="clear" w:color="auto" w:fill="F2F2F2" w:themeFill="background1" w:themeFillShade="F2"/>
            <w:noWrap/>
            <w:vAlign w:val="center"/>
            <w:hideMark/>
          </w:tcPr>
          <w:p w14:paraId="3D7D7200" w14:textId="77777777" w:rsidR="00F303E0" w:rsidRPr="00EE5714" w:rsidRDefault="00F303E0" w:rsidP="00E92A67">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2.06</w:t>
            </w:r>
          </w:p>
        </w:tc>
        <w:tc>
          <w:tcPr>
            <w:tcW w:w="1691" w:type="dxa"/>
            <w:shd w:val="clear" w:color="auto" w:fill="F2F2F2" w:themeFill="background1" w:themeFillShade="F2"/>
            <w:noWrap/>
            <w:vAlign w:val="center"/>
            <w:hideMark/>
          </w:tcPr>
          <w:p w14:paraId="108B3096" w14:textId="77777777" w:rsidR="00F303E0" w:rsidRPr="00EE5714" w:rsidRDefault="00F303E0" w:rsidP="00E92A67">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1.75</w:t>
            </w:r>
          </w:p>
        </w:tc>
      </w:tr>
      <w:tr w:rsidR="00F303E0" w:rsidRPr="00EE5714" w14:paraId="005A24AD" w14:textId="77777777" w:rsidTr="00E92A67">
        <w:trPr>
          <w:trHeight w:hRule="exact" w:val="238"/>
        </w:trPr>
        <w:tc>
          <w:tcPr>
            <w:tcW w:w="2154" w:type="dxa"/>
            <w:shd w:val="clear" w:color="auto" w:fill="auto"/>
            <w:noWrap/>
            <w:vAlign w:val="bottom"/>
            <w:hideMark/>
          </w:tcPr>
          <w:p w14:paraId="3FFB3DC8" w14:textId="77777777" w:rsidR="00F303E0" w:rsidRPr="00EE5714" w:rsidRDefault="00F303E0" w:rsidP="00851815">
            <w:pPr>
              <w:rPr>
                <w:rFonts w:eastAsia="Times New Roman" w:cstheme="minorHAnsi"/>
                <w:sz w:val="21"/>
                <w:szCs w:val="21"/>
              </w:rPr>
            </w:pPr>
          </w:p>
        </w:tc>
        <w:tc>
          <w:tcPr>
            <w:tcW w:w="1555" w:type="dxa"/>
            <w:shd w:val="clear" w:color="auto" w:fill="auto"/>
            <w:noWrap/>
            <w:vAlign w:val="center"/>
            <w:hideMark/>
          </w:tcPr>
          <w:p w14:paraId="247E02B1" w14:textId="77777777" w:rsidR="00F303E0" w:rsidRPr="00EE5714" w:rsidRDefault="00F303E0" w:rsidP="00851815">
            <w:pPr>
              <w:jc w:val="center"/>
              <w:rPr>
                <w:rFonts w:ascii="Calibri" w:eastAsia="Times New Roman" w:hAnsi="Calibri" w:cs="Calibri"/>
                <w:sz w:val="21"/>
                <w:szCs w:val="21"/>
              </w:rPr>
            </w:pPr>
          </w:p>
        </w:tc>
        <w:tc>
          <w:tcPr>
            <w:tcW w:w="1555" w:type="dxa"/>
            <w:shd w:val="clear" w:color="auto" w:fill="auto"/>
            <w:noWrap/>
            <w:vAlign w:val="center"/>
            <w:hideMark/>
          </w:tcPr>
          <w:p w14:paraId="1139FC65" w14:textId="77777777" w:rsidR="00F303E0" w:rsidRPr="00EE5714" w:rsidRDefault="00F303E0" w:rsidP="00851815">
            <w:pPr>
              <w:jc w:val="center"/>
              <w:rPr>
                <w:rFonts w:ascii="Calibri" w:eastAsia="Times New Roman" w:hAnsi="Calibri" w:cs="Calibri"/>
                <w:sz w:val="21"/>
                <w:szCs w:val="21"/>
              </w:rPr>
            </w:pPr>
          </w:p>
        </w:tc>
        <w:tc>
          <w:tcPr>
            <w:tcW w:w="1555" w:type="dxa"/>
            <w:shd w:val="clear" w:color="auto" w:fill="auto"/>
            <w:noWrap/>
            <w:vAlign w:val="center"/>
            <w:hideMark/>
          </w:tcPr>
          <w:p w14:paraId="78947C17" w14:textId="77777777" w:rsidR="00F303E0" w:rsidRPr="00EE5714" w:rsidRDefault="00F303E0" w:rsidP="00851815">
            <w:pPr>
              <w:jc w:val="center"/>
              <w:rPr>
                <w:rFonts w:ascii="Calibri" w:eastAsia="Times New Roman" w:hAnsi="Calibri" w:cs="Calibri"/>
                <w:sz w:val="21"/>
                <w:szCs w:val="21"/>
              </w:rPr>
            </w:pPr>
          </w:p>
        </w:tc>
        <w:tc>
          <w:tcPr>
            <w:tcW w:w="1555" w:type="dxa"/>
            <w:shd w:val="clear" w:color="auto" w:fill="auto"/>
            <w:noWrap/>
            <w:vAlign w:val="center"/>
            <w:hideMark/>
          </w:tcPr>
          <w:p w14:paraId="7369708B" w14:textId="77777777" w:rsidR="00F303E0" w:rsidRPr="00EE5714" w:rsidRDefault="00F303E0" w:rsidP="00851815">
            <w:pPr>
              <w:jc w:val="center"/>
              <w:rPr>
                <w:rFonts w:ascii="Calibri" w:eastAsia="Times New Roman" w:hAnsi="Calibri" w:cs="Calibri"/>
                <w:sz w:val="21"/>
                <w:szCs w:val="21"/>
              </w:rPr>
            </w:pPr>
          </w:p>
        </w:tc>
        <w:tc>
          <w:tcPr>
            <w:tcW w:w="1691" w:type="dxa"/>
            <w:shd w:val="clear" w:color="auto" w:fill="auto"/>
            <w:noWrap/>
            <w:vAlign w:val="center"/>
            <w:hideMark/>
          </w:tcPr>
          <w:p w14:paraId="2F0F7DCE" w14:textId="77777777" w:rsidR="00F303E0" w:rsidRPr="00EE5714" w:rsidRDefault="00F303E0" w:rsidP="00851815">
            <w:pPr>
              <w:jc w:val="center"/>
              <w:rPr>
                <w:rFonts w:ascii="Calibri" w:eastAsia="Times New Roman" w:hAnsi="Calibri" w:cs="Calibri"/>
                <w:sz w:val="21"/>
                <w:szCs w:val="21"/>
              </w:rPr>
            </w:pPr>
          </w:p>
        </w:tc>
      </w:tr>
      <w:tr w:rsidR="00F303E0" w:rsidRPr="00EE5714" w14:paraId="70539F1B" w14:textId="77777777" w:rsidTr="00E92A67">
        <w:trPr>
          <w:trHeight w:hRule="exact" w:val="238"/>
        </w:trPr>
        <w:tc>
          <w:tcPr>
            <w:tcW w:w="2154" w:type="dxa"/>
            <w:shd w:val="clear" w:color="auto" w:fill="auto"/>
            <w:noWrap/>
            <w:vAlign w:val="bottom"/>
            <w:hideMark/>
          </w:tcPr>
          <w:p w14:paraId="1D3DB659"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 xml:space="preserve">Columbia </w:t>
            </w:r>
          </w:p>
        </w:tc>
        <w:tc>
          <w:tcPr>
            <w:tcW w:w="1555" w:type="dxa"/>
            <w:shd w:val="clear" w:color="auto" w:fill="auto"/>
            <w:noWrap/>
            <w:vAlign w:val="center"/>
            <w:hideMark/>
          </w:tcPr>
          <w:p w14:paraId="63894255"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1.47</w:t>
            </w:r>
          </w:p>
        </w:tc>
        <w:tc>
          <w:tcPr>
            <w:tcW w:w="1555" w:type="dxa"/>
            <w:shd w:val="clear" w:color="auto" w:fill="auto"/>
            <w:noWrap/>
            <w:vAlign w:val="center"/>
            <w:hideMark/>
          </w:tcPr>
          <w:p w14:paraId="23C2A27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1.81</w:t>
            </w:r>
          </w:p>
        </w:tc>
        <w:tc>
          <w:tcPr>
            <w:tcW w:w="1555" w:type="dxa"/>
            <w:shd w:val="clear" w:color="auto" w:fill="auto"/>
            <w:noWrap/>
            <w:vAlign w:val="center"/>
            <w:hideMark/>
          </w:tcPr>
          <w:p w14:paraId="7CDFF5D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2.14</w:t>
            </w:r>
          </w:p>
        </w:tc>
        <w:tc>
          <w:tcPr>
            <w:tcW w:w="1555" w:type="dxa"/>
            <w:shd w:val="clear" w:color="auto" w:fill="auto"/>
            <w:noWrap/>
            <w:vAlign w:val="center"/>
            <w:hideMark/>
          </w:tcPr>
          <w:p w14:paraId="36E80D6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2.03</w:t>
            </w:r>
          </w:p>
        </w:tc>
        <w:tc>
          <w:tcPr>
            <w:tcW w:w="1691" w:type="dxa"/>
            <w:shd w:val="clear" w:color="auto" w:fill="auto"/>
            <w:noWrap/>
            <w:vAlign w:val="center"/>
            <w:hideMark/>
          </w:tcPr>
          <w:p w14:paraId="7F580F65"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1.89</w:t>
            </w:r>
          </w:p>
        </w:tc>
      </w:tr>
      <w:tr w:rsidR="00F303E0" w:rsidRPr="00EE5714" w14:paraId="4AA4FCF3" w14:textId="77777777" w:rsidTr="00E92A67">
        <w:trPr>
          <w:trHeight w:hRule="exact" w:val="238"/>
        </w:trPr>
        <w:tc>
          <w:tcPr>
            <w:tcW w:w="2154" w:type="dxa"/>
            <w:shd w:val="clear" w:color="auto" w:fill="auto"/>
            <w:noWrap/>
            <w:vAlign w:val="bottom"/>
          </w:tcPr>
          <w:p w14:paraId="530BD41B"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NFG</w:t>
            </w:r>
          </w:p>
        </w:tc>
        <w:tc>
          <w:tcPr>
            <w:tcW w:w="1555" w:type="dxa"/>
            <w:shd w:val="clear" w:color="auto" w:fill="auto"/>
            <w:noWrap/>
            <w:vAlign w:val="center"/>
          </w:tcPr>
          <w:p w14:paraId="07D4EF0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1.49</w:t>
            </w:r>
          </w:p>
        </w:tc>
        <w:tc>
          <w:tcPr>
            <w:tcW w:w="1555" w:type="dxa"/>
            <w:shd w:val="clear" w:color="auto" w:fill="auto"/>
            <w:noWrap/>
            <w:vAlign w:val="center"/>
          </w:tcPr>
          <w:p w14:paraId="0EE34DA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1.62</w:t>
            </w:r>
          </w:p>
        </w:tc>
        <w:tc>
          <w:tcPr>
            <w:tcW w:w="1555" w:type="dxa"/>
            <w:shd w:val="clear" w:color="auto" w:fill="auto"/>
            <w:noWrap/>
            <w:vAlign w:val="center"/>
          </w:tcPr>
          <w:p w14:paraId="4127565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1.78</w:t>
            </w:r>
          </w:p>
        </w:tc>
        <w:tc>
          <w:tcPr>
            <w:tcW w:w="1555" w:type="dxa"/>
            <w:shd w:val="clear" w:color="auto" w:fill="auto"/>
            <w:noWrap/>
            <w:vAlign w:val="center"/>
          </w:tcPr>
          <w:p w14:paraId="1D280A7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1.41</w:t>
            </w:r>
          </w:p>
        </w:tc>
        <w:tc>
          <w:tcPr>
            <w:tcW w:w="1691" w:type="dxa"/>
            <w:shd w:val="clear" w:color="auto" w:fill="auto"/>
            <w:noWrap/>
            <w:vAlign w:val="center"/>
          </w:tcPr>
          <w:p w14:paraId="24256BC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1.18</w:t>
            </w:r>
          </w:p>
        </w:tc>
      </w:tr>
      <w:tr w:rsidR="00F303E0" w:rsidRPr="00EE5714" w14:paraId="25622364" w14:textId="77777777" w:rsidTr="00E92A67">
        <w:trPr>
          <w:trHeight w:hRule="exact" w:val="238"/>
        </w:trPr>
        <w:tc>
          <w:tcPr>
            <w:tcW w:w="2154" w:type="dxa"/>
            <w:shd w:val="clear" w:color="auto" w:fill="auto"/>
            <w:noWrap/>
            <w:vAlign w:val="bottom"/>
          </w:tcPr>
          <w:p w14:paraId="3688C494"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Gas</w:t>
            </w:r>
          </w:p>
        </w:tc>
        <w:tc>
          <w:tcPr>
            <w:tcW w:w="1555" w:type="dxa"/>
            <w:shd w:val="clear" w:color="auto" w:fill="auto"/>
            <w:noWrap/>
            <w:vAlign w:val="center"/>
          </w:tcPr>
          <w:p w14:paraId="37EA347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3.58</w:t>
            </w:r>
          </w:p>
        </w:tc>
        <w:tc>
          <w:tcPr>
            <w:tcW w:w="1555" w:type="dxa"/>
            <w:shd w:val="clear" w:color="auto" w:fill="auto"/>
            <w:noWrap/>
            <w:vAlign w:val="center"/>
          </w:tcPr>
          <w:p w14:paraId="2EEC6745"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3.73</w:t>
            </w:r>
          </w:p>
        </w:tc>
        <w:tc>
          <w:tcPr>
            <w:tcW w:w="1555" w:type="dxa"/>
            <w:shd w:val="clear" w:color="auto" w:fill="auto"/>
            <w:noWrap/>
            <w:vAlign w:val="center"/>
          </w:tcPr>
          <w:p w14:paraId="3E427CF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3.85</w:t>
            </w:r>
          </w:p>
        </w:tc>
        <w:tc>
          <w:tcPr>
            <w:tcW w:w="1555" w:type="dxa"/>
            <w:shd w:val="clear" w:color="auto" w:fill="auto"/>
            <w:noWrap/>
            <w:vAlign w:val="center"/>
          </w:tcPr>
          <w:p w14:paraId="17C0BA5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3.71</w:t>
            </w:r>
          </w:p>
        </w:tc>
        <w:tc>
          <w:tcPr>
            <w:tcW w:w="1691" w:type="dxa"/>
            <w:shd w:val="clear" w:color="auto" w:fill="auto"/>
            <w:noWrap/>
            <w:vAlign w:val="center"/>
          </w:tcPr>
          <w:p w14:paraId="57BA692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3.37</w:t>
            </w:r>
          </w:p>
        </w:tc>
      </w:tr>
      <w:tr w:rsidR="00F303E0" w:rsidRPr="00EE5714" w14:paraId="4BDBDD75" w14:textId="77777777" w:rsidTr="00E92A67">
        <w:trPr>
          <w:trHeight w:hRule="exact" w:val="238"/>
        </w:trPr>
        <w:tc>
          <w:tcPr>
            <w:tcW w:w="2154" w:type="dxa"/>
            <w:shd w:val="clear" w:color="auto" w:fill="auto"/>
            <w:noWrap/>
            <w:vAlign w:val="bottom"/>
          </w:tcPr>
          <w:p w14:paraId="40F47BB6"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w:t>
            </w:r>
          </w:p>
        </w:tc>
        <w:tc>
          <w:tcPr>
            <w:tcW w:w="1555" w:type="dxa"/>
            <w:shd w:val="clear" w:color="auto" w:fill="auto"/>
            <w:noWrap/>
            <w:vAlign w:val="center"/>
          </w:tcPr>
          <w:p w14:paraId="7E3ABA6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1.53</w:t>
            </w:r>
          </w:p>
        </w:tc>
        <w:tc>
          <w:tcPr>
            <w:tcW w:w="1555" w:type="dxa"/>
            <w:shd w:val="clear" w:color="auto" w:fill="auto"/>
            <w:noWrap/>
            <w:vAlign w:val="center"/>
          </w:tcPr>
          <w:p w14:paraId="2E0EC21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1.81</w:t>
            </w:r>
          </w:p>
        </w:tc>
        <w:tc>
          <w:tcPr>
            <w:tcW w:w="1555" w:type="dxa"/>
            <w:shd w:val="clear" w:color="auto" w:fill="auto"/>
            <w:noWrap/>
            <w:vAlign w:val="center"/>
          </w:tcPr>
          <w:p w14:paraId="0739963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2.16</w:t>
            </w:r>
          </w:p>
        </w:tc>
        <w:tc>
          <w:tcPr>
            <w:tcW w:w="1555" w:type="dxa"/>
            <w:shd w:val="clear" w:color="auto" w:fill="auto"/>
            <w:noWrap/>
            <w:vAlign w:val="center"/>
          </w:tcPr>
          <w:p w14:paraId="4743D6D4"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1.89</w:t>
            </w:r>
          </w:p>
        </w:tc>
        <w:tc>
          <w:tcPr>
            <w:tcW w:w="1691" w:type="dxa"/>
            <w:shd w:val="clear" w:color="auto" w:fill="auto"/>
            <w:noWrap/>
            <w:vAlign w:val="center"/>
          </w:tcPr>
          <w:p w14:paraId="1095549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1.47</w:t>
            </w:r>
          </w:p>
        </w:tc>
      </w:tr>
      <w:tr w:rsidR="00F303E0" w:rsidRPr="00EE5714" w14:paraId="378B3465" w14:textId="77777777" w:rsidTr="00E92A67">
        <w:trPr>
          <w:trHeight w:hRule="exact" w:val="238"/>
        </w:trPr>
        <w:tc>
          <w:tcPr>
            <w:tcW w:w="2154" w:type="dxa"/>
            <w:shd w:val="clear" w:color="auto" w:fill="auto"/>
            <w:noWrap/>
            <w:vAlign w:val="bottom"/>
          </w:tcPr>
          <w:p w14:paraId="4CCBA3DA"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 EQT</w:t>
            </w:r>
          </w:p>
        </w:tc>
        <w:tc>
          <w:tcPr>
            <w:tcW w:w="1555" w:type="dxa"/>
            <w:shd w:val="clear" w:color="auto" w:fill="auto"/>
            <w:noWrap/>
            <w:vAlign w:val="center"/>
          </w:tcPr>
          <w:p w14:paraId="3B59AD9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1.61</w:t>
            </w:r>
          </w:p>
        </w:tc>
        <w:tc>
          <w:tcPr>
            <w:tcW w:w="1555" w:type="dxa"/>
            <w:shd w:val="clear" w:color="auto" w:fill="auto"/>
            <w:noWrap/>
            <w:vAlign w:val="center"/>
          </w:tcPr>
          <w:p w14:paraId="7A64AFE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1.76</w:t>
            </w:r>
          </w:p>
        </w:tc>
        <w:tc>
          <w:tcPr>
            <w:tcW w:w="1555" w:type="dxa"/>
            <w:shd w:val="clear" w:color="auto" w:fill="auto"/>
            <w:noWrap/>
            <w:vAlign w:val="center"/>
          </w:tcPr>
          <w:p w14:paraId="03BD000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2.03</w:t>
            </w:r>
          </w:p>
        </w:tc>
        <w:tc>
          <w:tcPr>
            <w:tcW w:w="1555" w:type="dxa"/>
            <w:shd w:val="clear" w:color="auto" w:fill="auto"/>
            <w:noWrap/>
            <w:vAlign w:val="center"/>
          </w:tcPr>
          <w:p w14:paraId="04B778A5"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1.75</w:t>
            </w:r>
          </w:p>
        </w:tc>
        <w:tc>
          <w:tcPr>
            <w:tcW w:w="1691" w:type="dxa"/>
            <w:shd w:val="clear" w:color="auto" w:fill="auto"/>
            <w:noWrap/>
            <w:vAlign w:val="center"/>
          </w:tcPr>
          <w:p w14:paraId="0D9C12D5"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1.33</w:t>
            </w:r>
          </w:p>
        </w:tc>
      </w:tr>
      <w:tr w:rsidR="00F303E0" w:rsidRPr="00EE5714" w14:paraId="0884F9E7" w14:textId="77777777" w:rsidTr="00E92A67">
        <w:trPr>
          <w:trHeight w:hRule="exact" w:val="238"/>
        </w:trPr>
        <w:tc>
          <w:tcPr>
            <w:tcW w:w="2154" w:type="dxa"/>
            <w:shd w:val="clear" w:color="auto" w:fill="auto"/>
            <w:noWrap/>
            <w:vAlign w:val="bottom"/>
          </w:tcPr>
          <w:p w14:paraId="7265D750"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PGW</w:t>
            </w:r>
          </w:p>
        </w:tc>
        <w:tc>
          <w:tcPr>
            <w:tcW w:w="1555" w:type="dxa"/>
            <w:shd w:val="clear" w:color="auto" w:fill="auto"/>
            <w:noWrap/>
            <w:vAlign w:val="center"/>
          </w:tcPr>
          <w:p w14:paraId="480202F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2.67</w:t>
            </w:r>
          </w:p>
        </w:tc>
        <w:tc>
          <w:tcPr>
            <w:tcW w:w="1555" w:type="dxa"/>
            <w:shd w:val="clear" w:color="auto" w:fill="auto"/>
            <w:noWrap/>
            <w:vAlign w:val="center"/>
          </w:tcPr>
          <w:p w14:paraId="10395F2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2.90</w:t>
            </w:r>
          </w:p>
        </w:tc>
        <w:tc>
          <w:tcPr>
            <w:tcW w:w="1555" w:type="dxa"/>
            <w:shd w:val="clear" w:color="auto" w:fill="auto"/>
            <w:noWrap/>
            <w:vAlign w:val="center"/>
          </w:tcPr>
          <w:p w14:paraId="0405353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3.08</w:t>
            </w:r>
          </w:p>
        </w:tc>
        <w:tc>
          <w:tcPr>
            <w:tcW w:w="1555" w:type="dxa"/>
            <w:shd w:val="clear" w:color="auto" w:fill="auto"/>
            <w:noWrap/>
            <w:vAlign w:val="center"/>
          </w:tcPr>
          <w:p w14:paraId="56D6453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2.70</w:t>
            </w:r>
          </w:p>
        </w:tc>
        <w:tc>
          <w:tcPr>
            <w:tcW w:w="1691" w:type="dxa"/>
            <w:shd w:val="clear" w:color="auto" w:fill="auto"/>
            <w:noWrap/>
            <w:vAlign w:val="center"/>
          </w:tcPr>
          <w:p w14:paraId="752ADD9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2.36</w:t>
            </w:r>
          </w:p>
        </w:tc>
      </w:tr>
      <w:tr w:rsidR="00F303E0" w:rsidRPr="00EE5714" w14:paraId="7AFA158B" w14:textId="77777777" w:rsidTr="00E92A67">
        <w:trPr>
          <w:trHeight w:hRule="exact" w:val="238"/>
        </w:trPr>
        <w:tc>
          <w:tcPr>
            <w:tcW w:w="2154" w:type="dxa"/>
            <w:shd w:val="clear" w:color="auto" w:fill="auto"/>
            <w:noWrap/>
            <w:vAlign w:val="bottom"/>
          </w:tcPr>
          <w:p w14:paraId="7073BE00"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UGI Gas</w:t>
            </w:r>
          </w:p>
        </w:tc>
        <w:tc>
          <w:tcPr>
            <w:tcW w:w="1555" w:type="dxa"/>
            <w:shd w:val="clear" w:color="auto" w:fill="auto"/>
            <w:noWrap/>
            <w:vAlign w:val="center"/>
          </w:tcPr>
          <w:p w14:paraId="234CF0D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1.18</w:t>
            </w:r>
          </w:p>
        </w:tc>
        <w:tc>
          <w:tcPr>
            <w:tcW w:w="1555" w:type="dxa"/>
            <w:shd w:val="clear" w:color="auto" w:fill="auto"/>
            <w:noWrap/>
            <w:vAlign w:val="center"/>
          </w:tcPr>
          <w:p w14:paraId="59C08F9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1.30</w:t>
            </w:r>
          </w:p>
        </w:tc>
        <w:tc>
          <w:tcPr>
            <w:tcW w:w="1555" w:type="dxa"/>
            <w:shd w:val="clear" w:color="auto" w:fill="auto"/>
            <w:noWrap/>
            <w:vAlign w:val="center"/>
          </w:tcPr>
          <w:p w14:paraId="4B50AC9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1.42</w:t>
            </w:r>
          </w:p>
        </w:tc>
        <w:tc>
          <w:tcPr>
            <w:tcW w:w="1555" w:type="dxa"/>
            <w:shd w:val="clear" w:color="auto" w:fill="auto"/>
            <w:noWrap/>
            <w:vAlign w:val="center"/>
          </w:tcPr>
          <w:p w14:paraId="70FA849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w:t>
            </w:r>
          </w:p>
        </w:tc>
        <w:tc>
          <w:tcPr>
            <w:tcW w:w="1691" w:type="dxa"/>
            <w:shd w:val="clear" w:color="auto" w:fill="auto"/>
            <w:noWrap/>
            <w:vAlign w:val="center"/>
          </w:tcPr>
          <w:p w14:paraId="55BE2764"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0.99</w:t>
            </w:r>
          </w:p>
        </w:tc>
      </w:tr>
      <w:tr w:rsidR="00F303E0" w:rsidRPr="00EE5714" w14:paraId="60C2CBE7" w14:textId="77777777" w:rsidTr="00E92A67">
        <w:trPr>
          <w:trHeight w:hRule="exact" w:val="263"/>
        </w:trPr>
        <w:tc>
          <w:tcPr>
            <w:tcW w:w="2154" w:type="dxa"/>
            <w:shd w:val="clear" w:color="auto" w:fill="auto"/>
            <w:noWrap/>
            <w:vAlign w:val="bottom"/>
          </w:tcPr>
          <w:p w14:paraId="67197D1D"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UGI PNG</w:t>
            </w:r>
          </w:p>
        </w:tc>
        <w:tc>
          <w:tcPr>
            <w:tcW w:w="1555" w:type="dxa"/>
            <w:shd w:val="clear" w:color="auto" w:fill="auto"/>
            <w:noWrap/>
            <w:vAlign w:val="center"/>
          </w:tcPr>
          <w:p w14:paraId="57E1B90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2.09</w:t>
            </w:r>
          </w:p>
        </w:tc>
        <w:tc>
          <w:tcPr>
            <w:tcW w:w="1555" w:type="dxa"/>
            <w:shd w:val="clear" w:color="auto" w:fill="auto"/>
            <w:noWrap/>
            <w:vAlign w:val="center"/>
          </w:tcPr>
          <w:p w14:paraId="0984D05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2.32</w:t>
            </w:r>
          </w:p>
        </w:tc>
        <w:tc>
          <w:tcPr>
            <w:tcW w:w="1555" w:type="dxa"/>
            <w:shd w:val="clear" w:color="auto" w:fill="auto"/>
            <w:noWrap/>
            <w:vAlign w:val="center"/>
          </w:tcPr>
          <w:p w14:paraId="473937F4"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2.53</w:t>
            </w:r>
          </w:p>
        </w:tc>
        <w:tc>
          <w:tcPr>
            <w:tcW w:w="1555" w:type="dxa"/>
            <w:shd w:val="clear" w:color="auto" w:fill="auto"/>
            <w:noWrap/>
            <w:vAlign w:val="center"/>
          </w:tcPr>
          <w:p w14:paraId="792454C4"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2.34</w:t>
            </w:r>
          </w:p>
        </w:tc>
        <w:tc>
          <w:tcPr>
            <w:tcW w:w="1691" w:type="dxa"/>
            <w:shd w:val="clear" w:color="auto" w:fill="auto"/>
            <w:noWrap/>
            <w:vAlign w:val="center"/>
          </w:tcPr>
          <w:p w14:paraId="01D4EE3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1.76</w:t>
            </w:r>
          </w:p>
        </w:tc>
      </w:tr>
    </w:tbl>
    <w:p w14:paraId="2C1551A9" w14:textId="77777777" w:rsidR="00E92A67" w:rsidRPr="00EE5714" w:rsidRDefault="00E92A67" w:rsidP="00F303E0">
      <w:pPr>
        <w:pStyle w:val="NoSpacing"/>
        <w:rPr>
          <w:rFonts w:cs="Times New Roman"/>
          <w:i/>
          <w:szCs w:val="26"/>
        </w:rPr>
      </w:pPr>
    </w:p>
    <w:p w14:paraId="48EA8AB9" w14:textId="77777777" w:rsidR="00E92A67" w:rsidRPr="00EE5714" w:rsidRDefault="00E92A67" w:rsidP="00F303E0">
      <w:pPr>
        <w:pStyle w:val="NoSpacing"/>
        <w:rPr>
          <w:rFonts w:cs="Times New Roman"/>
          <w:i/>
          <w:szCs w:val="26"/>
        </w:rPr>
      </w:pPr>
    </w:p>
    <w:p w14:paraId="68D8BC3D" w14:textId="77777777" w:rsidR="00F303E0" w:rsidRPr="00EE5714" w:rsidRDefault="00155347" w:rsidP="00E92A67">
      <w:pPr>
        <w:keepNext/>
        <w:spacing w:after="0" w:line="240" w:lineRule="auto"/>
        <w:rPr>
          <w:rFonts w:ascii="Times New Roman" w:hAnsi="Times New Roman" w:cs="Times New Roman"/>
          <w:color w:val="000000" w:themeColor="text1"/>
          <w:sz w:val="26"/>
          <w:szCs w:val="26"/>
        </w:rPr>
      </w:pPr>
      <w:r w:rsidRPr="00EE5714">
        <w:rPr>
          <w:rFonts w:ascii="Times New Roman" w:hAnsi="Times New Roman" w:cs="Times New Roman"/>
          <w:color w:val="000000" w:themeColor="text1"/>
          <w:sz w:val="26"/>
          <w:szCs w:val="26"/>
        </w:rPr>
        <w:t>Appendix 2</w:t>
      </w:r>
      <w:r w:rsidR="00F303E0" w:rsidRPr="00EE5714">
        <w:rPr>
          <w:rFonts w:ascii="Times New Roman" w:hAnsi="Times New Roman" w:cs="Times New Roman"/>
          <w:color w:val="000000" w:themeColor="text1"/>
          <w:sz w:val="26"/>
          <w:szCs w:val="26"/>
        </w:rPr>
        <w:t xml:space="preserve">.A.2: </w:t>
      </w:r>
      <w:r w:rsidR="00F303E0" w:rsidRPr="00EE5714">
        <w:rPr>
          <w:rFonts w:ascii="Times New Roman" w:eastAsia="Times New Roman" w:hAnsi="Times New Roman" w:cs="Times New Roman"/>
          <w:b/>
          <w:color w:val="000000" w:themeColor="text1"/>
          <w:sz w:val="26"/>
          <w:szCs w:val="26"/>
        </w:rPr>
        <w:t>EDC Non-CAP Residential Average Energy Burdens</w:t>
      </w:r>
    </w:p>
    <w:tbl>
      <w:tblPr>
        <w:tblW w:w="1008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170"/>
        <w:gridCol w:w="927"/>
        <w:gridCol w:w="927"/>
        <w:gridCol w:w="927"/>
        <w:gridCol w:w="927"/>
        <w:gridCol w:w="927"/>
        <w:gridCol w:w="927"/>
        <w:gridCol w:w="927"/>
        <w:gridCol w:w="927"/>
        <w:gridCol w:w="774"/>
        <w:gridCol w:w="720"/>
      </w:tblGrid>
      <w:tr w:rsidR="00F303E0" w:rsidRPr="00EE5714" w14:paraId="355C384D" w14:textId="77777777" w:rsidTr="00E92A67">
        <w:trPr>
          <w:trHeight w:val="225"/>
        </w:trPr>
        <w:tc>
          <w:tcPr>
            <w:tcW w:w="10080" w:type="dxa"/>
            <w:gridSpan w:val="11"/>
            <w:shd w:val="clear" w:color="auto" w:fill="BFBFBF" w:themeFill="background1" w:themeFillShade="BF"/>
            <w:noWrap/>
            <w:vAlign w:val="bottom"/>
          </w:tcPr>
          <w:p w14:paraId="5DBA529D" w14:textId="77777777" w:rsidR="00F303E0" w:rsidRPr="00EE5714" w:rsidRDefault="00F303E0" w:rsidP="00E92A67">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EDC Non-CAP Residential Heating and Non-Heating</w:t>
            </w:r>
          </w:p>
          <w:p w14:paraId="500044CC" w14:textId="067E4A75" w:rsidR="00F303E0" w:rsidRPr="00EE5714" w:rsidRDefault="00F303E0" w:rsidP="00E92A67">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Average Energy Burden</w:t>
            </w:r>
            <w:r w:rsidR="00976AFE" w:rsidRPr="00EE5714">
              <w:rPr>
                <w:rFonts w:ascii="Calibri" w:eastAsia="Times New Roman" w:hAnsi="Calibri" w:cs="Calibri"/>
                <w:b/>
                <w:color w:val="000000"/>
              </w:rPr>
              <w:t xml:space="preserve"> </w:t>
            </w:r>
            <w:r w:rsidR="00360778" w:rsidRPr="00EE5714">
              <w:rPr>
                <w:rFonts w:ascii="Calibri" w:eastAsia="Times New Roman" w:hAnsi="Calibri" w:cs="Calibri"/>
                <w:b/>
                <w:color w:val="000000"/>
              </w:rPr>
              <w:t>(%)</w:t>
            </w:r>
          </w:p>
        </w:tc>
      </w:tr>
      <w:tr w:rsidR="00F303E0" w:rsidRPr="00EE5714" w14:paraId="57C43138" w14:textId="77777777" w:rsidTr="00E92A67">
        <w:trPr>
          <w:trHeight w:val="547"/>
        </w:trPr>
        <w:tc>
          <w:tcPr>
            <w:tcW w:w="1170" w:type="dxa"/>
            <w:shd w:val="clear" w:color="auto" w:fill="F2F2F2" w:themeFill="background1" w:themeFillShade="F2"/>
            <w:noWrap/>
            <w:vAlign w:val="bottom"/>
            <w:hideMark/>
          </w:tcPr>
          <w:p w14:paraId="2DE8B4EB" w14:textId="77777777" w:rsidR="00F303E0" w:rsidRPr="00EE5714" w:rsidRDefault="00F303E0" w:rsidP="00E92A67">
            <w:pPr>
              <w:keepNext/>
              <w:spacing w:after="0" w:line="240" w:lineRule="auto"/>
              <w:rPr>
                <w:rFonts w:ascii="Calibri" w:eastAsia="Times New Roman" w:hAnsi="Calibri" w:cs="Calibri"/>
                <w:color w:val="000000"/>
                <w:sz w:val="16"/>
                <w:szCs w:val="16"/>
              </w:rPr>
            </w:pPr>
            <w:r w:rsidRPr="00EE5714">
              <w:rPr>
                <w:rFonts w:ascii="Calibri" w:eastAsia="Times New Roman" w:hAnsi="Calibri" w:cs="Calibri"/>
                <w:b/>
                <w:i/>
                <w:color w:val="000000"/>
              </w:rPr>
              <w:t>Total by Year</w:t>
            </w:r>
          </w:p>
        </w:tc>
        <w:tc>
          <w:tcPr>
            <w:tcW w:w="1854" w:type="dxa"/>
            <w:gridSpan w:val="2"/>
            <w:shd w:val="clear" w:color="auto" w:fill="F2F2F2" w:themeFill="background1" w:themeFillShade="F2"/>
            <w:noWrap/>
            <w:vAlign w:val="center"/>
            <w:hideMark/>
          </w:tcPr>
          <w:p w14:paraId="53717822" w14:textId="77777777" w:rsidR="00F303E0" w:rsidRPr="00EE5714" w:rsidRDefault="00F303E0" w:rsidP="00E92A67">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2012</w:t>
            </w:r>
          </w:p>
        </w:tc>
        <w:tc>
          <w:tcPr>
            <w:tcW w:w="1854" w:type="dxa"/>
            <w:gridSpan w:val="2"/>
            <w:shd w:val="clear" w:color="auto" w:fill="F2F2F2" w:themeFill="background1" w:themeFillShade="F2"/>
            <w:noWrap/>
            <w:vAlign w:val="center"/>
            <w:hideMark/>
          </w:tcPr>
          <w:p w14:paraId="431A853F" w14:textId="77777777" w:rsidR="00F303E0" w:rsidRPr="00EE5714" w:rsidRDefault="00F303E0" w:rsidP="00E92A67">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2013</w:t>
            </w:r>
          </w:p>
        </w:tc>
        <w:tc>
          <w:tcPr>
            <w:tcW w:w="1854" w:type="dxa"/>
            <w:gridSpan w:val="2"/>
            <w:shd w:val="clear" w:color="auto" w:fill="F2F2F2" w:themeFill="background1" w:themeFillShade="F2"/>
            <w:noWrap/>
            <w:vAlign w:val="center"/>
            <w:hideMark/>
          </w:tcPr>
          <w:p w14:paraId="6B769401" w14:textId="77777777" w:rsidR="00F303E0" w:rsidRPr="00EE5714" w:rsidRDefault="00F303E0" w:rsidP="00E92A67">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2014</w:t>
            </w:r>
          </w:p>
        </w:tc>
        <w:tc>
          <w:tcPr>
            <w:tcW w:w="1854" w:type="dxa"/>
            <w:gridSpan w:val="2"/>
            <w:shd w:val="clear" w:color="auto" w:fill="F2F2F2" w:themeFill="background1" w:themeFillShade="F2"/>
            <w:noWrap/>
            <w:vAlign w:val="center"/>
            <w:hideMark/>
          </w:tcPr>
          <w:p w14:paraId="3F18ED90" w14:textId="77777777" w:rsidR="00F303E0" w:rsidRPr="00EE5714" w:rsidRDefault="00F303E0" w:rsidP="00E92A67">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2015</w:t>
            </w:r>
          </w:p>
        </w:tc>
        <w:tc>
          <w:tcPr>
            <w:tcW w:w="1494" w:type="dxa"/>
            <w:gridSpan w:val="2"/>
            <w:shd w:val="clear" w:color="auto" w:fill="F2F2F2" w:themeFill="background1" w:themeFillShade="F2"/>
            <w:noWrap/>
            <w:vAlign w:val="center"/>
            <w:hideMark/>
          </w:tcPr>
          <w:p w14:paraId="3A5E8940" w14:textId="77777777" w:rsidR="00F303E0" w:rsidRPr="00EE5714" w:rsidRDefault="00F303E0" w:rsidP="00E92A67">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2016</w:t>
            </w:r>
          </w:p>
        </w:tc>
      </w:tr>
      <w:tr w:rsidR="00F303E0" w:rsidRPr="00EE5714" w14:paraId="736D908F" w14:textId="77777777" w:rsidTr="00E92A67">
        <w:trPr>
          <w:trHeight w:hRule="exact" w:val="560"/>
        </w:trPr>
        <w:tc>
          <w:tcPr>
            <w:tcW w:w="1170" w:type="dxa"/>
            <w:shd w:val="clear" w:color="auto" w:fill="auto"/>
            <w:noWrap/>
            <w:vAlign w:val="bottom"/>
            <w:hideMark/>
          </w:tcPr>
          <w:p w14:paraId="1CA10A70" w14:textId="77777777" w:rsidR="00F303E0" w:rsidRPr="00EE5714" w:rsidRDefault="00F303E0" w:rsidP="00E92A67">
            <w:pPr>
              <w:keepNext/>
              <w:spacing w:after="0" w:line="240" w:lineRule="auto"/>
              <w:rPr>
                <w:rFonts w:ascii="Calibri" w:eastAsia="Times New Roman" w:hAnsi="Calibri" w:cs="Calibri"/>
                <w:color w:val="000000"/>
                <w:sz w:val="16"/>
                <w:szCs w:val="16"/>
              </w:rPr>
            </w:pPr>
          </w:p>
        </w:tc>
        <w:tc>
          <w:tcPr>
            <w:tcW w:w="927" w:type="dxa"/>
            <w:shd w:val="clear" w:color="auto" w:fill="auto"/>
            <w:vAlign w:val="center"/>
            <w:hideMark/>
          </w:tcPr>
          <w:p w14:paraId="691A1D0A" w14:textId="77777777" w:rsidR="00F303E0" w:rsidRPr="00EE5714" w:rsidRDefault="00F303E0" w:rsidP="00E92A67">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927" w:type="dxa"/>
            <w:shd w:val="clear" w:color="auto" w:fill="auto"/>
            <w:vAlign w:val="center"/>
            <w:hideMark/>
          </w:tcPr>
          <w:p w14:paraId="29D8E4DF" w14:textId="77777777" w:rsidR="00F303E0" w:rsidRPr="00EE5714" w:rsidRDefault="00F303E0" w:rsidP="00E92A67">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c>
          <w:tcPr>
            <w:tcW w:w="927" w:type="dxa"/>
            <w:shd w:val="clear" w:color="auto" w:fill="auto"/>
            <w:vAlign w:val="center"/>
            <w:hideMark/>
          </w:tcPr>
          <w:p w14:paraId="00D1097F" w14:textId="77777777" w:rsidR="00F303E0" w:rsidRPr="00EE5714" w:rsidRDefault="00F303E0" w:rsidP="00E92A67">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927" w:type="dxa"/>
            <w:shd w:val="clear" w:color="auto" w:fill="auto"/>
            <w:vAlign w:val="center"/>
            <w:hideMark/>
          </w:tcPr>
          <w:p w14:paraId="6E65EF60" w14:textId="77777777" w:rsidR="00F303E0" w:rsidRPr="00EE5714" w:rsidRDefault="00F303E0" w:rsidP="00E92A67">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c>
          <w:tcPr>
            <w:tcW w:w="927" w:type="dxa"/>
            <w:shd w:val="clear" w:color="auto" w:fill="auto"/>
            <w:vAlign w:val="center"/>
            <w:hideMark/>
          </w:tcPr>
          <w:p w14:paraId="579D3674" w14:textId="77777777" w:rsidR="00F303E0" w:rsidRPr="00EE5714" w:rsidRDefault="00F303E0" w:rsidP="00E92A67">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927" w:type="dxa"/>
            <w:shd w:val="clear" w:color="auto" w:fill="auto"/>
            <w:vAlign w:val="center"/>
            <w:hideMark/>
          </w:tcPr>
          <w:p w14:paraId="453ED9D4" w14:textId="77777777" w:rsidR="00F303E0" w:rsidRPr="00EE5714" w:rsidRDefault="00F303E0" w:rsidP="00E92A67">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c>
          <w:tcPr>
            <w:tcW w:w="927" w:type="dxa"/>
            <w:shd w:val="clear" w:color="auto" w:fill="auto"/>
            <w:vAlign w:val="center"/>
            <w:hideMark/>
          </w:tcPr>
          <w:p w14:paraId="1737841E" w14:textId="77777777" w:rsidR="00F303E0" w:rsidRPr="00EE5714" w:rsidRDefault="00F303E0" w:rsidP="00E92A67">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927" w:type="dxa"/>
            <w:shd w:val="clear" w:color="auto" w:fill="auto"/>
            <w:vAlign w:val="center"/>
            <w:hideMark/>
          </w:tcPr>
          <w:p w14:paraId="47D42E2B" w14:textId="77777777" w:rsidR="00F303E0" w:rsidRPr="00EE5714" w:rsidRDefault="00F303E0" w:rsidP="00E92A67">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c>
          <w:tcPr>
            <w:tcW w:w="774" w:type="dxa"/>
            <w:shd w:val="clear" w:color="auto" w:fill="auto"/>
            <w:vAlign w:val="center"/>
            <w:hideMark/>
          </w:tcPr>
          <w:p w14:paraId="31FBF519" w14:textId="77777777" w:rsidR="00F303E0" w:rsidRPr="00EE5714" w:rsidRDefault="00F303E0" w:rsidP="00E92A67">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720" w:type="dxa"/>
            <w:shd w:val="clear" w:color="auto" w:fill="auto"/>
            <w:vAlign w:val="center"/>
            <w:hideMark/>
          </w:tcPr>
          <w:p w14:paraId="29F692E1" w14:textId="77777777" w:rsidR="00F303E0" w:rsidRPr="00EE5714" w:rsidRDefault="00F303E0" w:rsidP="00E92A67">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r>
      <w:tr w:rsidR="00F303E0" w:rsidRPr="00EE5714" w14:paraId="44B1C3E0" w14:textId="77777777" w:rsidTr="00E92A67">
        <w:trPr>
          <w:trHeight w:hRule="exact" w:val="245"/>
        </w:trPr>
        <w:tc>
          <w:tcPr>
            <w:tcW w:w="1170" w:type="dxa"/>
            <w:shd w:val="clear" w:color="auto" w:fill="auto"/>
            <w:noWrap/>
            <w:vAlign w:val="bottom"/>
            <w:hideMark/>
          </w:tcPr>
          <w:p w14:paraId="4D4FC173" w14:textId="77777777" w:rsidR="00F303E0" w:rsidRPr="00EE5714" w:rsidRDefault="00F303E0" w:rsidP="00E92A67">
            <w:pPr>
              <w:keepNext/>
              <w:rPr>
                <w:rFonts w:ascii="Calibri" w:eastAsia="Times New Roman" w:hAnsi="Calibri" w:cs="Calibri"/>
                <w:color w:val="000000"/>
                <w:sz w:val="16"/>
                <w:szCs w:val="16"/>
              </w:rPr>
            </w:pPr>
          </w:p>
        </w:tc>
        <w:tc>
          <w:tcPr>
            <w:tcW w:w="927" w:type="dxa"/>
            <w:shd w:val="clear" w:color="auto" w:fill="auto"/>
            <w:noWrap/>
            <w:vAlign w:val="bottom"/>
            <w:hideMark/>
          </w:tcPr>
          <w:p w14:paraId="07BD2A3A" w14:textId="77777777" w:rsidR="00F303E0" w:rsidRPr="00EE5714" w:rsidRDefault="00F303E0" w:rsidP="00E92A67">
            <w:pPr>
              <w:keepNext/>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927" w:type="dxa"/>
            <w:shd w:val="clear" w:color="auto" w:fill="auto"/>
            <w:noWrap/>
            <w:vAlign w:val="bottom"/>
            <w:hideMark/>
          </w:tcPr>
          <w:p w14:paraId="7F09B78D" w14:textId="77777777" w:rsidR="00F303E0" w:rsidRPr="00EE5714" w:rsidRDefault="00F303E0" w:rsidP="00E92A67">
            <w:pPr>
              <w:keepNext/>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927" w:type="dxa"/>
            <w:shd w:val="clear" w:color="auto" w:fill="auto"/>
            <w:noWrap/>
            <w:vAlign w:val="bottom"/>
            <w:hideMark/>
          </w:tcPr>
          <w:p w14:paraId="32D39D2D" w14:textId="77777777" w:rsidR="00F303E0" w:rsidRPr="00EE5714" w:rsidRDefault="00F303E0" w:rsidP="00E92A67">
            <w:pPr>
              <w:keepNext/>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927" w:type="dxa"/>
            <w:shd w:val="clear" w:color="auto" w:fill="auto"/>
            <w:noWrap/>
            <w:vAlign w:val="bottom"/>
            <w:hideMark/>
          </w:tcPr>
          <w:p w14:paraId="7B41920C" w14:textId="77777777" w:rsidR="00F303E0" w:rsidRPr="00EE5714" w:rsidRDefault="00F303E0" w:rsidP="00E92A67">
            <w:pPr>
              <w:keepNext/>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927" w:type="dxa"/>
            <w:shd w:val="clear" w:color="auto" w:fill="auto"/>
            <w:noWrap/>
            <w:vAlign w:val="bottom"/>
            <w:hideMark/>
          </w:tcPr>
          <w:p w14:paraId="1D8CDA3C" w14:textId="77777777" w:rsidR="00F303E0" w:rsidRPr="00EE5714" w:rsidRDefault="00F303E0" w:rsidP="00E92A67">
            <w:pPr>
              <w:keepNext/>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927" w:type="dxa"/>
            <w:shd w:val="clear" w:color="auto" w:fill="auto"/>
            <w:noWrap/>
            <w:vAlign w:val="bottom"/>
            <w:hideMark/>
          </w:tcPr>
          <w:p w14:paraId="3F9CFDA6" w14:textId="77777777" w:rsidR="00F303E0" w:rsidRPr="00EE5714" w:rsidRDefault="00F303E0" w:rsidP="00E92A67">
            <w:pPr>
              <w:keepNext/>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927" w:type="dxa"/>
            <w:shd w:val="clear" w:color="auto" w:fill="auto"/>
            <w:noWrap/>
            <w:vAlign w:val="bottom"/>
            <w:hideMark/>
          </w:tcPr>
          <w:p w14:paraId="04BB9895" w14:textId="77777777" w:rsidR="00F303E0" w:rsidRPr="00EE5714" w:rsidRDefault="00F303E0" w:rsidP="00E92A67">
            <w:pPr>
              <w:keepNext/>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927" w:type="dxa"/>
            <w:shd w:val="clear" w:color="auto" w:fill="auto"/>
            <w:noWrap/>
            <w:vAlign w:val="bottom"/>
            <w:hideMark/>
          </w:tcPr>
          <w:p w14:paraId="2BD9465A" w14:textId="77777777" w:rsidR="00F303E0" w:rsidRPr="00EE5714" w:rsidRDefault="00F303E0" w:rsidP="00E92A67">
            <w:pPr>
              <w:keepNext/>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774" w:type="dxa"/>
            <w:shd w:val="clear" w:color="auto" w:fill="auto"/>
            <w:noWrap/>
            <w:vAlign w:val="bottom"/>
            <w:hideMark/>
          </w:tcPr>
          <w:p w14:paraId="496CA357" w14:textId="77777777" w:rsidR="00F303E0" w:rsidRPr="00EE5714" w:rsidRDefault="00F303E0" w:rsidP="00E92A67">
            <w:pPr>
              <w:keepNext/>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c>
          <w:tcPr>
            <w:tcW w:w="720" w:type="dxa"/>
            <w:shd w:val="clear" w:color="auto" w:fill="auto"/>
            <w:noWrap/>
            <w:vAlign w:val="bottom"/>
            <w:hideMark/>
          </w:tcPr>
          <w:p w14:paraId="67C326BB" w14:textId="77777777" w:rsidR="00F303E0" w:rsidRPr="00EE5714" w:rsidRDefault="00F303E0" w:rsidP="00E92A67">
            <w:pPr>
              <w:keepNext/>
              <w:jc w:val="center"/>
              <w:rPr>
                <w:rFonts w:ascii="Calibri" w:eastAsia="Times New Roman" w:hAnsi="Calibri" w:cs="Calibri"/>
                <w:color w:val="000000"/>
                <w:sz w:val="16"/>
                <w:szCs w:val="16"/>
              </w:rPr>
            </w:pPr>
            <w:r w:rsidRPr="00EE5714">
              <w:rPr>
                <w:rFonts w:ascii="Calibri" w:eastAsia="Times New Roman" w:hAnsi="Calibri" w:cs="Calibri"/>
                <w:color w:val="000000"/>
                <w:sz w:val="16"/>
                <w:szCs w:val="16"/>
              </w:rPr>
              <w:t>**</w:t>
            </w:r>
          </w:p>
        </w:tc>
      </w:tr>
      <w:tr w:rsidR="00F303E0" w:rsidRPr="00EE5714" w14:paraId="561CE144" w14:textId="77777777" w:rsidTr="00E92A67">
        <w:trPr>
          <w:trHeight w:hRule="exact" w:val="578"/>
        </w:trPr>
        <w:tc>
          <w:tcPr>
            <w:tcW w:w="1170" w:type="dxa"/>
            <w:shd w:val="clear" w:color="auto" w:fill="F2F2F2" w:themeFill="background1" w:themeFillShade="F2"/>
            <w:noWrap/>
            <w:vAlign w:val="center"/>
            <w:hideMark/>
          </w:tcPr>
          <w:p w14:paraId="72B45073" w14:textId="77777777" w:rsidR="00F303E0" w:rsidRPr="00EE5714" w:rsidRDefault="00F303E0" w:rsidP="00E92A67">
            <w:pPr>
              <w:keepNext/>
              <w:rPr>
                <w:rFonts w:ascii="Calibri" w:eastAsia="Times New Roman" w:hAnsi="Calibri" w:cs="Calibri"/>
                <w:color w:val="000000"/>
                <w:sz w:val="16"/>
                <w:szCs w:val="16"/>
              </w:rPr>
            </w:pPr>
            <w:r w:rsidRPr="00EE5714">
              <w:rPr>
                <w:rFonts w:ascii="Calibri" w:eastAsia="Times New Roman" w:hAnsi="Calibri" w:cs="Calibri"/>
                <w:b/>
                <w:i/>
                <w:color w:val="000000"/>
                <w:sz w:val="21"/>
                <w:szCs w:val="21"/>
              </w:rPr>
              <w:t>Electric Industry Average</w:t>
            </w:r>
          </w:p>
        </w:tc>
        <w:tc>
          <w:tcPr>
            <w:tcW w:w="927" w:type="dxa"/>
            <w:shd w:val="clear" w:color="auto" w:fill="F2F2F2" w:themeFill="background1" w:themeFillShade="F2"/>
            <w:noWrap/>
            <w:vAlign w:val="center"/>
            <w:hideMark/>
          </w:tcPr>
          <w:p w14:paraId="0A7F3116" w14:textId="77777777" w:rsidR="00F303E0" w:rsidRPr="00EE5714" w:rsidRDefault="00F303E0" w:rsidP="00E92A67">
            <w:pPr>
              <w:keepNext/>
              <w:rPr>
                <w:rFonts w:ascii="Calibri" w:eastAsia="Times New Roman" w:hAnsi="Calibri" w:cs="Calibri"/>
                <w:color w:val="000000"/>
                <w:sz w:val="16"/>
                <w:szCs w:val="16"/>
              </w:rPr>
            </w:pPr>
          </w:p>
        </w:tc>
        <w:tc>
          <w:tcPr>
            <w:tcW w:w="927" w:type="dxa"/>
            <w:shd w:val="clear" w:color="auto" w:fill="F2F2F2" w:themeFill="background1" w:themeFillShade="F2"/>
            <w:noWrap/>
            <w:vAlign w:val="center"/>
            <w:hideMark/>
          </w:tcPr>
          <w:p w14:paraId="4C8ABC48" w14:textId="77777777" w:rsidR="00F303E0" w:rsidRPr="00EE5714" w:rsidRDefault="00F303E0" w:rsidP="00E92A67">
            <w:pPr>
              <w:keepNext/>
              <w:rPr>
                <w:rFonts w:ascii="Calibri" w:eastAsia="Times New Roman" w:hAnsi="Calibri" w:cs="Calibri"/>
                <w:sz w:val="20"/>
                <w:szCs w:val="20"/>
              </w:rPr>
            </w:pPr>
          </w:p>
        </w:tc>
        <w:tc>
          <w:tcPr>
            <w:tcW w:w="927" w:type="dxa"/>
            <w:shd w:val="clear" w:color="auto" w:fill="F2F2F2" w:themeFill="background1" w:themeFillShade="F2"/>
            <w:noWrap/>
            <w:vAlign w:val="center"/>
            <w:hideMark/>
          </w:tcPr>
          <w:p w14:paraId="01660534"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3.02</w:t>
            </w:r>
          </w:p>
        </w:tc>
        <w:tc>
          <w:tcPr>
            <w:tcW w:w="927" w:type="dxa"/>
            <w:shd w:val="clear" w:color="auto" w:fill="F2F2F2" w:themeFill="background1" w:themeFillShade="F2"/>
            <w:noWrap/>
            <w:vAlign w:val="center"/>
            <w:hideMark/>
          </w:tcPr>
          <w:p w14:paraId="41E256B6"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2.02</w:t>
            </w:r>
          </w:p>
        </w:tc>
        <w:tc>
          <w:tcPr>
            <w:tcW w:w="927" w:type="dxa"/>
            <w:shd w:val="clear" w:color="auto" w:fill="F2F2F2" w:themeFill="background1" w:themeFillShade="F2"/>
            <w:noWrap/>
            <w:vAlign w:val="center"/>
            <w:hideMark/>
          </w:tcPr>
          <w:p w14:paraId="23254E26"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3.23</w:t>
            </w:r>
          </w:p>
        </w:tc>
        <w:tc>
          <w:tcPr>
            <w:tcW w:w="927" w:type="dxa"/>
            <w:shd w:val="clear" w:color="auto" w:fill="F2F2F2" w:themeFill="background1" w:themeFillShade="F2"/>
            <w:noWrap/>
            <w:vAlign w:val="center"/>
            <w:hideMark/>
          </w:tcPr>
          <w:p w14:paraId="6933D86D"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2.06</w:t>
            </w:r>
          </w:p>
        </w:tc>
        <w:tc>
          <w:tcPr>
            <w:tcW w:w="927" w:type="dxa"/>
            <w:shd w:val="clear" w:color="auto" w:fill="F2F2F2" w:themeFill="background1" w:themeFillShade="F2"/>
            <w:noWrap/>
            <w:vAlign w:val="center"/>
            <w:hideMark/>
          </w:tcPr>
          <w:p w14:paraId="0502B886"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3.33</w:t>
            </w:r>
          </w:p>
        </w:tc>
        <w:tc>
          <w:tcPr>
            <w:tcW w:w="927" w:type="dxa"/>
            <w:shd w:val="clear" w:color="auto" w:fill="F2F2F2" w:themeFill="background1" w:themeFillShade="F2"/>
            <w:noWrap/>
            <w:vAlign w:val="center"/>
            <w:hideMark/>
          </w:tcPr>
          <w:p w14:paraId="546DA7DF"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2.24</w:t>
            </w:r>
          </w:p>
        </w:tc>
        <w:tc>
          <w:tcPr>
            <w:tcW w:w="774" w:type="dxa"/>
            <w:shd w:val="clear" w:color="auto" w:fill="F2F2F2" w:themeFill="background1" w:themeFillShade="F2"/>
            <w:noWrap/>
            <w:vAlign w:val="center"/>
            <w:hideMark/>
          </w:tcPr>
          <w:p w14:paraId="0DCE02E3"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3.21</w:t>
            </w:r>
          </w:p>
        </w:tc>
        <w:tc>
          <w:tcPr>
            <w:tcW w:w="720" w:type="dxa"/>
            <w:shd w:val="clear" w:color="auto" w:fill="F2F2F2" w:themeFill="background1" w:themeFillShade="F2"/>
            <w:noWrap/>
            <w:vAlign w:val="center"/>
            <w:hideMark/>
          </w:tcPr>
          <w:p w14:paraId="33516F05"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2.27</w:t>
            </w:r>
          </w:p>
        </w:tc>
      </w:tr>
      <w:tr w:rsidR="00F303E0" w:rsidRPr="00EE5714" w14:paraId="51E9EFD2" w14:textId="77777777" w:rsidTr="00E92A67">
        <w:trPr>
          <w:trHeight w:hRule="exact" w:val="245"/>
        </w:trPr>
        <w:tc>
          <w:tcPr>
            <w:tcW w:w="1170" w:type="dxa"/>
            <w:shd w:val="clear" w:color="auto" w:fill="auto"/>
            <w:noWrap/>
            <w:vAlign w:val="bottom"/>
            <w:hideMark/>
          </w:tcPr>
          <w:p w14:paraId="2CFACE5D" w14:textId="77777777" w:rsidR="00F303E0" w:rsidRPr="00EE5714" w:rsidRDefault="00F303E0" w:rsidP="00E92A67">
            <w:pPr>
              <w:keepNext/>
              <w:jc w:val="right"/>
              <w:rPr>
                <w:rFonts w:ascii="Calibri" w:eastAsia="Times New Roman" w:hAnsi="Calibri" w:cs="Calibri"/>
                <w:color w:val="000000"/>
                <w:sz w:val="16"/>
                <w:szCs w:val="16"/>
              </w:rPr>
            </w:pPr>
          </w:p>
        </w:tc>
        <w:tc>
          <w:tcPr>
            <w:tcW w:w="927" w:type="dxa"/>
            <w:shd w:val="clear" w:color="auto" w:fill="auto"/>
            <w:noWrap/>
            <w:vAlign w:val="bottom"/>
            <w:hideMark/>
          </w:tcPr>
          <w:p w14:paraId="2CCB8567" w14:textId="77777777" w:rsidR="00F303E0" w:rsidRPr="00EE5714" w:rsidRDefault="00F303E0" w:rsidP="00E92A67">
            <w:pPr>
              <w:keepNext/>
              <w:rPr>
                <w:rFonts w:ascii="Calibri" w:eastAsia="Times New Roman" w:hAnsi="Calibri" w:cs="Calibri"/>
                <w:sz w:val="20"/>
                <w:szCs w:val="20"/>
              </w:rPr>
            </w:pPr>
          </w:p>
        </w:tc>
        <w:tc>
          <w:tcPr>
            <w:tcW w:w="927" w:type="dxa"/>
            <w:shd w:val="clear" w:color="auto" w:fill="auto"/>
            <w:noWrap/>
            <w:vAlign w:val="bottom"/>
            <w:hideMark/>
          </w:tcPr>
          <w:p w14:paraId="16C97C10" w14:textId="77777777" w:rsidR="00F303E0" w:rsidRPr="00EE5714" w:rsidRDefault="00F303E0" w:rsidP="00E92A67">
            <w:pPr>
              <w:keepNext/>
              <w:rPr>
                <w:rFonts w:ascii="Calibri" w:eastAsia="Times New Roman" w:hAnsi="Calibri" w:cs="Calibri"/>
                <w:sz w:val="20"/>
                <w:szCs w:val="20"/>
              </w:rPr>
            </w:pPr>
          </w:p>
        </w:tc>
        <w:tc>
          <w:tcPr>
            <w:tcW w:w="927" w:type="dxa"/>
            <w:shd w:val="clear" w:color="auto" w:fill="auto"/>
            <w:noWrap/>
            <w:vAlign w:val="center"/>
            <w:hideMark/>
          </w:tcPr>
          <w:p w14:paraId="4AA93BC4" w14:textId="77777777" w:rsidR="00F303E0" w:rsidRPr="00EE5714" w:rsidRDefault="00F303E0" w:rsidP="00E92A67">
            <w:pPr>
              <w:keepNext/>
              <w:jc w:val="center"/>
              <w:rPr>
                <w:rFonts w:ascii="Calibri" w:eastAsia="Times New Roman" w:hAnsi="Calibri" w:cs="Calibri"/>
                <w:color w:val="000000"/>
                <w:sz w:val="21"/>
                <w:szCs w:val="21"/>
              </w:rPr>
            </w:pPr>
          </w:p>
        </w:tc>
        <w:tc>
          <w:tcPr>
            <w:tcW w:w="927" w:type="dxa"/>
            <w:shd w:val="clear" w:color="auto" w:fill="auto"/>
            <w:noWrap/>
            <w:vAlign w:val="center"/>
            <w:hideMark/>
          </w:tcPr>
          <w:p w14:paraId="5966B2C1" w14:textId="77777777" w:rsidR="00F303E0" w:rsidRPr="00EE5714" w:rsidRDefault="00F303E0" w:rsidP="00E92A67">
            <w:pPr>
              <w:keepNext/>
              <w:jc w:val="center"/>
              <w:rPr>
                <w:rFonts w:ascii="Calibri" w:eastAsia="Times New Roman" w:hAnsi="Calibri" w:cs="Calibri"/>
                <w:color w:val="000000"/>
                <w:sz w:val="21"/>
                <w:szCs w:val="21"/>
              </w:rPr>
            </w:pPr>
          </w:p>
        </w:tc>
        <w:tc>
          <w:tcPr>
            <w:tcW w:w="927" w:type="dxa"/>
            <w:shd w:val="clear" w:color="auto" w:fill="auto"/>
            <w:noWrap/>
            <w:vAlign w:val="center"/>
            <w:hideMark/>
          </w:tcPr>
          <w:p w14:paraId="53E48D2C" w14:textId="77777777" w:rsidR="00F303E0" w:rsidRPr="00EE5714" w:rsidRDefault="00F303E0" w:rsidP="00E92A67">
            <w:pPr>
              <w:keepNext/>
              <w:jc w:val="center"/>
              <w:rPr>
                <w:rFonts w:ascii="Calibri" w:eastAsia="Times New Roman" w:hAnsi="Calibri" w:cs="Calibri"/>
                <w:color w:val="000000"/>
                <w:sz w:val="21"/>
                <w:szCs w:val="21"/>
              </w:rPr>
            </w:pPr>
          </w:p>
        </w:tc>
        <w:tc>
          <w:tcPr>
            <w:tcW w:w="927" w:type="dxa"/>
            <w:shd w:val="clear" w:color="auto" w:fill="auto"/>
            <w:noWrap/>
            <w:vAlign w:val="center"/>
            <w:hideMark/>
          </w:tcPr>
          <w:p w14:paraId="0208C2E1" w14:textId="77777777" w:rsidR="00F303E0" w:rsidRPr="00EE5714" w:rsidRDefault="00F303E0" w:rsidP="00E92A67">
            <w:pPr>
              <w:keepNext/>
              <w:jc w:val="center"/>
              <w:rPr>
                <w:rFonts w:ascii="Calibri" w:eastAsia="Times New Roman" w:hAnsi="Calibri" w:cs="Calibri"/>
                <w:sz w:val="21"/>
                <w:szCs w:val="21"/>
              </w:rPr>
            </w:pPr>
          </w:p>
        </w:tc>
        <w:tc>
          <w:tcPr>
            <w:tcW w:w="927" w:type="dxa"/>
            <w:shd w:val="clear" w:color="auto" w:fill="auto"/>
            <w:noWrap/>
            <w:vAlign w:val="center"/>
            <w:hideMark/>
          </w:tcPr>
          <w:p w14:paraId="2528E8D0" w14:textId="77777777" w:rsidR="00F303E0" w:rsidRPr="00EE5714" w:rsidRDefault="00F303E0" w:rsidP="00E92A67">
            <w:pPr>
              <w:keepNext/>
              <w:jc w:val="center"/>
              <w:rPr>
                <w:rFonts w:ascii="Calibri" w:eastAsia="Times New Roman" w:hAnsi="Calibri" w:cs="Calibri"/>
                <w:color w:val="000000"/>
                <w:sz w:val="21"/>
                <w:szCs w:val="21"/>
              </w:rPr>
            </w:pPr>
          </w:p>
        </w:tc>
        <w:tc>
          <w:tcPr>
            <w:tcW w:w="927" w:type="dxa"/>
            <w:shd w:val="clear" w:color="auto" w:fill="auto"/>
            <w:noWrap/>
            <w:vAlign w:val="center"/>
            <w:hideMark/>
          </w:tcPr>
          <w:p w14:paraId="2D783A73" w14:textId="77777777" w:rsidR="00F303E0" w:rsidRPr="00EE5714" w:rsidRDefault="00F303E0" w:rsidP="00E92A67">
            <w:pPr>
              <w:keepNext/>
              <w:jc w:val="center"/>
              <w:rPr>
                <w:rFonts w:ascii="Calibri" w:eastAsia="Times New Roman" w:hAnsi="Calibri" w:cs="Calibri"/>
                <w:color w:val="000000"/>
                <w:sz w:val="21"/>
                <w:szCs w:val="21"/>
              </w:rPr>
            </w:pPr>
          </w:p>
        </w:tc>
        <w:tc>
          <w:tcPr>
            <w:tcW w:w="774" w:type="dxa"/>
            <w:shd w:val="clear" w:color="auto" w:fill="auto"/>
            <w:noWrap/>
            <w:vAlign w:val="center"/>
            <w:hideMark/>
          </w:tcPr>
          <w:p w14:paraId="786711CF" w14:textId="77777777" w:rsidR="00F303E0" w:rsidRPr="00EE5714" w:rsidRDefault="00F303E0" w:rsidP="00E92A67">
            <w:pPr>
              <w:keepNext/>
              <w:jc w:val="center"/>
              <w:rPr>
                <w:rFonts w:ascii="Calibri" w:eastAsia="Times New Roman" w:hAnsi="Calibri" w:cs="Calibri"/>
                <w:color w:val="000000"/>
                <w:sz w:val="21"/>
                <w:szCs w:val="21"/>
              </w:rPr>
            </w:pPr>
          </w:p>
        </w:tc>
        <w:tc>
          <w:tcPr>
            <w:tcW w:w="720" w:type="dxa"/>
            <w:shd w:val="clear" w:color="auto" w:fill="auto"/>
            <w:noWrap/>
            <w:vAlign w:val="center"/>
            <w:hideMark/>
          </w:tcPr>
          <w:p w14:paraId="25232FB5" w14:textId="77777777" w:rsidR="00F303E0" w:rsidRPr="00EE5714" w:rsidRDefault="00F303E0" w:rsidP="00E92A67">
            <w:pPr>
              <w:keepNext/>
              <w:jc w:val="center"/>
              <w:rPr>
                <w:rFonts w:ascii="Calibri" w:eastAsia="Times New Roman" w:hAnsi="Calibri" w:cs="Calibri"/>
                <w:sz w:val="21"/>
                <w:szCs w:val="21"/>
              </w:rPr>
            </w:pPr>
          </w:p>
        </w:tc>
      </w:tr>
      <w:tr w:rsidR="00F303E0" w:rsidRPr="00EE5714" w14:paraId="06BD5D27" w14:textId="77777777" w:rsidTr="00E92A67">
        <w:trPr>
          <w:trHeight w:hRule="exact" w:val="245"/>
        </w:trPr>
        <w:tc>
          <w:tcPr>
            <w:tcW w:w="1170" w:type="dxa"/>
            <w:shd w:val="clear" w:color="auto" w:fill="auto"/>
            <w:noWrap/>
            <w:hideMark/>
          </w:tcPr>
          <w:p w14:paraId="16A2268E" w14:textId="77777777" w:rsidR="00F303E0" w:rsidRPr="00EE5714" w:rsidRDefault="00F303E0" w:rsidP="00E92A67">
            <w:pPr>
              <w:keepNext/>
              <w:rPr>
                <w:rFonts w:ascii="Calibri" w:hAnsi="Calibri" w:cs="Calibri"/>
                <w:b/>
                <w:sz w:val="21"/>
                <w:szCs w:val="21"/>
              </w:rPr>
            </w:pPr>
            <w:r w:rsidRPr="00EE5714">
              <w:rPr>
                <w:rFonts w:ascii="Calibri" w:hAnsi="Calibri" w:cs="Calibri"/>
                <w:b/>
                <w:sz w:val="21"/>
                <w:szCs w:val="21"/>
              </w:rPr>
              <w:t>Duquesne</w:t>
            </w:r>
          </w:p>
        </w:tc>
        <w:tc>
          <w:tcPr>
            <w:tcW w:w="927" w:type="dxa"/>
            <w:shd w:val="clear" w:color="auto" w:fill="auto"/>
            <w:noWrap/>
            <w:vAlign w:val="bottom"/>
            <w:hideMark/>
          </w:tcPr>
          <w:p w14:paraId="65ADD233" w14:textId="77777777" w:rsidR="00F303E0" w:rsidRPr="00EE5714" w:rsidRDefault="00F303E0" w:rsidP="00E92A67">
            <w:pPr>
              <w:keepNext/>
              <w:rPr>
                <w:rFonts w:ascii="Calibri" w:eastAsia="Times New Roman" w:hAnsi="Calibri" w:cs="Calibri"/>
                <w:color w:val="000000"/>
                <w:sz w:val="16"/>
                <w:szCs w:val="16"/>
              </w:rPr>
            </w:pPr>
          </w:p>
        </w:tc>
        <w:tc>
          <w:tcPr>
            <w:tcW w:w="927" w:type="dxa"/>
            <w:shd w:val="clear" w:color="auto" w:fill="auto"/>
            <w:noWrap/>
            <w:vAlign w:val="bottom"/>
            <w:hideMark/>
          </w:tcPr>
          <w:p w14:paraId="5865ECB5" w14:textId="77777777" w:rsidR="00F303E0" w:rsidRPr="00EE5714" w:rsidRDefault="00F303E0" w:rsidP="00E92A67">
            <w:pPr>
              <w:keepNext/>
              <w:rPr>
                <w:rFonts w:ascii="Calibri" w:eastAsia="Times New Roman" w:hAnsi="Calibri" w:cs="Calibri"/>
                <w:sz w:val="20"/>
                <w:szCs w:val="20"/>
              </w:rPr>
            </w:pPr>
          </w:p>
        </w:tc>
        <w:tc>
          <w:tcPr>
            <w:tcW w:w="927" w:type="dxa"/>
            <w:shd w:val="clear" w:color="auto" w:fill="auto"/>
            <w:noWrap/>
            <w:vAlign w:val="center"/>
            <w:hideMark/>
          </w:tcPr>
          <w:p w14:paraId="5936B119"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2.17</w:t>
            </w:r>
          </w:p>
        </w:tc>
        <w:tc>
          <w:tcPr>
            <w:tcW w:w="927" w:type="dxa"/>
            <w:shd w:val="clear" w:color="auto" w:fill="auto"/>
            <w:noWrap/>
            <w:vAlign w:val="center"/>
            <w:hideMark/>
          </w:tcPr>
          <w:p w14:paraId="2234E1A7"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1.43</w:t>
            </w:r>
          </w:p>
        </w:tc>
        <w:tc>
          <w:tcPr>
            <w:tcW w:w="927" w:type="dxa"/>
            <w:shd w:val="clear" w:color="auto" w:fill="auto"/>
            <w:noWrap/>
            <w:vAlign w:val="center"/>
            <w:hideMark/>
          </w:tcPr>
          <w:p w14:paraId="61C187C7"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2.17</w:t>
            </w:r>
          </w:p>
        </w:tc>
        <w:tc>
          <w:tcPr>
            <w:tcW w:w="927" w:type="dxa"/>
            <w:shd w:val="clear" w:color="auto" w:fill="auto"/>
            <w:noWrap/>
            <w:vAlign w:val="center"/>
            <w:hideMark/>
          </w:tcPr>
          <w:p w14:paraId="5882BB67"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1.47</w:t>
            </w:r>
          </w:p>
        </w:tc>
        <w:tc>
          <w:tcPr>
            <w:tcW w:w="927" w:type="dxa"/>
            <w:shd w:val="clear" w:color="auto" w:fill="auto"/>
            <w:noWrap/>
            <w:vAlign w:val="center"/>
            <w:hideMark/>
          </w:tcPr>
          <w:p w14:paraId="2A5C3DA7"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2.60</w:t>
            </w:r>
          </w:p>
        </w:tc>
        <w:tc>
          <w:tcPr>
            <w:tcW w:w="927" w:type="dxa"/>
            <w:shd w:val="clear" w:color="auto" w:fill="auto"/>
            <w:noWrap/>
            <w:vAlign w:val="center"/>
            <w:hideMark/>
          </w:tcPr>
          <w:p w14:paraId="2FB60457"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1.78</w:t>
            </w:r>
          </w:p>
        </w:tc>
        <w:tc>
          <w:tcPr>
            <w:tcW w:w="774" w:type="dxa"/>
            <w:shd w:val="clear" w:color="auto" w:fill="auto"/>
            <w:noWrap/>
            <w:vAlign w:val="center"/>
            <w:hideMark/>
          </w:tcPr>
          <w:p w14:paraId="74D13AD2"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2.42</w:t>
            </w:r>
          </w:p>
        </w:tc>
        <w:tc>
          <w:tcPr>
            <w:tcW w:w="720" w:type="dxa"/>
            <w:shd w:val="clear" w:color="auto" w:fill="auto"/>
            <w:noWrap/>
            <w:vAlign w:val="center"/>
            <w:hideMark/>
          </w:tcPr>
          <w:p w14:paraId="19CA737E"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1.83</w:t>
            </w:r>
          </w:p>
        </w:tc>
      </w:tr>
      <w:tr w:rsidR="00F303E0" w:rsidRPr="00EE5714" w14:paraId="68219E29" w14:textId="77777777" w:rsidTr="00E92A67">
        <w:trPr>
          <w:trHeight w:hRule="exact" w:val="245"/>
        </w:trPr>
        <w:tc>
          <w:tcPr>
            <w:tcW w:w="1170" w:type="dxa"/>
            <w:shd w:val="clear" w:color="auto" w:fill="auto"/>
            <w:noWrap/>
            <w:hideMark/>
          </w:tcPr>
          <w:p w14:paraId="29AB535F" w14:textId="77777777" w:rsidR="00F303E0" w:rsidRPr="00EE5714" w:rsidRDefault="00F303E0" w:rsidP="00E92A67">
            <w:pPr>
              <w:keepNext/>
              <w:rPr>
                <w:rFonts w:ascii="Calibri" w:hAnsi="Calibri" w:cs="Calibri"/>
                <w:b/>
                <w:sz w:val="21"/>
                <w:szCs w:val="21"/>
              </w:rPr>
            </w:pPr>
            <w:r w:rsidRPr="00EE5714">
              <w:rPr>
                <w:rFonts w:ascii="Calibri" w:hAnsi="Calibri" w:cs="Calibri"/>
                <w:b/>
                <w:sz w:val="21"/>
                <w:szCs w:val="21"/>
              </w:rPr>
              <w:t>Met-Ed</w:t>
            </w:r>
          </w:p>
        </w:tc>
        <w:tc>
          <w:tcPr>
            <w:tcW w:w="927" w:type="dxa"/>
            <w:shd w:val="clear" w:color="auto" w:fill="auto"/>
            <w:noWrap/>
            <w:vAlign w:val="bottom"/>
            <w:hideMark/>
          </w:tcPr>
          <w:p w14:paraId="2CAA31D0" w14:textId="77777777" w:rsidR="00F303E0" w:rsidRPr="00EE5714" w:rsidRDefault="00F303E0" w:rsidP="00E92A67">
            <w:pPr>
              <w:keepNext/>
              <w:rPr>
                <w:rFonts w:ascii="Calibri" w:eastAsia="Times New Roman" w:hAnsi="Calibri" w:cs="Calibri"/>
                <w:color w:val="000000"/>
                <w:sz w:val="16"/>
                <w:szCs w:val="16"/>
              </w:rPr>
            </w:pPr>
          </w:p>
        </w:tc>
        <w:tc>
          <w:tcPr>
            <w:tcW w:w="927" w:type="dxa"/>
            <w:shd w:val="clear" w:color="auto" w:fill="auto"/>
            <w:noWrap/>
            <w:vAlign w:val="bottom"/>
            <w:hideMark/>
          </w:tcPr>
          <w:p w14:paraId="1845CB49" w14:textId="77777777" w:rsidR="00F303E0" w:rsidRPr="00EE5714" w:rsidRDefault="00F303E0" w:rsidP="00E92A67">
            <w:pPr>
              <w:keepNext/>
              <w:rPr>
                <w:rFonts w:ascii="Calibri" w:eastAsia="Times New Roman" w:hAnsi="Calibri" w:cs="Calibri"/>
                <w:sz w:val="20"/>
                <w:szCs w:val="20"/>
              </w:rPr>
            </w:pPr>
          </w:p>
        </w:tc>
        <w:tc>
          <w:tcPr>
            <w:tcW w:w="927" w:type="dxa"/>
            <w:shd w:val="clear" w:color="auto" w:fill="auto"/>
            <w:noWrap/>
            <w:vAlign w:val="center"/>
            <w:hideMark/>
          </w:tcPr>
          <w:p w14:paraId="48947760"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2.50</w:t>
            </w:r>
          </w:p>
        </w:tc>
        <w:tc>
          <w:tcPr>
            <w:tcW w:w="927" w:type="dxa"/>
            <w:shd w:val="clear" w:color="auto" w:fill="auto"/>
            <w:noWrap/>
            <w:vAlign w:val="center"/>
            <w:hideMark/>
          </w:tcPr>
          <w:p w14:paraId="02B47F23"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2.12</w:t>
            </w:r>
          </w:p>
        </w:tc>
        <w:tc>
          <w:tcPr>
            <w:tcW w:w="927" w:type="dxa"/>
            <w:shd w:val="clear" w:color="auto" w:fill="auto"/>
            <w:noWrap/>
            <w:vAlign w:val="center"/>
            <w:hideMark/>
          </w:tcPr>
          <w:p w14:paraId="617E0C59"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3.05</w:t>
            </w:r>
          </w:p>
        </w:tc>
        <w:tc>
          <w:tcPr>
            <w:tcW w:w="927" w:type="dxa"/>
            <w:shd w:val="clear" w:color="auto" w:fill="auto"/>
            <w:noWrap/>
            <w:vAlign w:val="center"/>
            <w:hideMark/>
          </w:tcPr>
          <w:p w14:paraId="3BAC99BC"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2.07</w:t>
            </w:r>
          </w:p>
        </w:tc>
        <w:tc>
          <w:tcPr>
            <w:tcW w:w="927" w:type="dxa"/>
            <w:shd w:val="clear" w:color="auto" w:fill="auto"/>
            <w:noWrap/>
            <w:vAlign w:val="center"/>
            <w:hideMark/>
          </w:tcPr>
          <w:p w14:paraId="6792A540"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2.99</w:t>
            </w:r>
          </w:p>
        </w:tc>
        <w:tc>
          <w:tcPr>
            <w:tcW w:w="927" w:type="dxa"/>
            <w:shd w:val="clear" w:color="auto" w:fill="auto"/>
            <w:noWrap/>
            <w:vAlign w:val="center"/>
            <w:hideMark/>
          </w:tcPr>
          <w:p w14:paraId="7FDA6DED"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2.16</w:t>
            </w:r>
          </w:p>
        </w:tc>
        <w:tc>
          <w:tcPr>
            <w:tcW w:w="774" w:type="dxa"/>
            <w:shd w:val="clear" w:color="auto" w:fill="auto"/>
            <w:noWrap/>
            <w:vAlign w:val="center"/>
            <w:hideMark/>
          </w:tcPr>
          <w:p w14:paraId="79B80997"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2.83</w:t>
            </w:r>
          </w:p>
        </w:tc>
        <w:tc>
          <w:tcPr>
            <w:tcW w:w="720" w:type="dxa"/>
            <w:shd w:val="clear" w:color="auto" w:fill="auto"/>
            <w:noWrap/>
            <w:vAlign w:val="center"/>
            <w:hideMark/>
          </w:tcPr>
          <w:p w14:paraId="2454E6A9"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2.11</w:t>
            </w:r>
          </w:p>
        </w:tc>
      </w:tr>
      <w:tr w:rsidR="00F303E0" w:rsidRPr="00EE5714" w14:paraId="3339A472" w14:textId="77777777" w:rsidTr="00E92A67">
        <w:trPr>
          <w:trHeight w:hRule="exact" w:val="245"/>
        </w:trPr>
        <w:tc>
          <w:tcPr>
            <w:tcW w:w="1170" w:type="dxa"/>
            <w:shd w:val="clear" w:color="auto" w:fill="auto"/>
            <w:noWrap/>
          </w:tcPr>
          <w:p w14:paraId="6CBD70A5" w14:textId="77777777" w:rsidR="00F303E0" w:rsidRPr="00EE5714" w:rsidRDefault="00F303E0" w:rsidP="00E92A67">
            <w:pPr>
              <w:keepNext/>
              <w:rPr>
                <w:rFonts w:ascii="Calibri" w:hAnsi="Calibri" w:cs="Calibri"/>
                <w:b/>
                <w:sz w:val="21"/>
                <w:szCs w:val="21"/>
              </w:rPr>
            </w:pPr>
            <w:r w:rsidRPr="00EE5714">
              <w:rPr>
                <w:rFonts w:ascii="Calibri" w:hAnsi="Calibri" w:cs="Calibri"/>
                <w:b/>
                <w:sz w:val="21"/>
                <w:szCs w:val="21"/>
              </w:rPr>
              <w:t xml:space="preserve">PECO Electric </w:t>
            </w:r>
          </w:p>
        </w:tc>
        <w:tc>
          <w:tcPr>
            <w:tcW w:w="927" w:type="dxa"/>
            <w:shd w:val="clear" w:color="auto" w:fill="auto"/>
            <w:noWrap/>
            <w:vAlign w:val="bottom"/>
          </w:tcPr>
          <w:p w14:paraId="3A975D68" w14:textId="77777777" w:rsidR="00F303E0" w:rsidRPr="00EE5714" w:rsidRDefault="00F303E0" w:rsidP="00E92A67">
            <w:pPr>
              <w:keepNext/>
              <w:rPr>
                <w:rFonts w:ascii="Calibri" w:eastAsia="Times New Roman" w:hAnsi="Calibri" w:cs="Calibri"/>
                <w:color w:val="000000"/>
                <w:sz w:val="16"/>
                <w:szCs w:val="16"/>
              </w:rPr>
            </w:pPr>
          </w:p>
        </w:tc>
        <w:tc>
          <w:tcPr>
            <w:tcW w:w="927" w:type="dxa"/>
            <w:shd w:val="clear" w:color="auto" w:fill="auto"/>
            <w:noWrap/>
            <w:vAlign w:val="bottom"/>
          </w:tcPr>
          <w:p w14:paraId="5BE7352C" w14:textId="77777777" w:rsidR="00F303E0" w:rsidRPr="00EE5714" w:rsidRDefault="00F303E0" w:rsidP="00E92A67">
            <w:pPr>
              <w:keepNext/>
              <w:rPr>
                <w:rFonts w:ascii="Calibri" w:eastAsia="Times New Roman" w:hAnsi="Calibri" w:cs="Calibri"/>
                <w:sz w:val="20"/>
                <w:szCs w:val="20"/>
              </w:rPr>
            </w:pPr>
          </w:p>
        </w:tc>
        <w:tc>
          <w:tcPr>
            <w:tcW w:w="927" w:type="dxa"/>
            <w:shd w:val="clear" w:color="auto" w:fill="auto"/>
            <w:noWrap/>
            <w:vAlign w:val="center"/>
          </w:tcPr>
          <w:p w14:paraId="4FEFC362"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3.73</w:t>
            </w:r>
          </w:p>
        </w:tc>
        <w:tc>
          <w:tcPr>
            <w:tcW w:w="927" w:type="dxa"/>
            <w:shd w:val="clear" w:color="auto" w:fill="auto"/>
            <w:noWrap/>
            <w:vAlign w:val="center"/>
          </w:tcPr>
          <w:p w14:paraId="3C275DBE"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1.95</w:t>
            </w:r>
          </w:p>
        </w:tc>
        <w:tc>
          <w:tcPr>
            <w:tcW w:w="927" w:type="dxa"/>
            <w:shd w:val="clear" w:color="auto" w:fill="auto"/>
            <w:noWrap/>
            <w:vAlign w:val="center"/>
          </w:tcPr>
          <w:p w14:paraId="4D442561"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3.85</w:t>
            </w:r>
          </w:p>
        </w:tc>
        <w:tc>
          <w:tcPr>
            <w:tcW w:w="927" w:type="dxa"/>
            <w:shd w:val="clear" w:color="auto" w:fill="auto"/>
            <w:noWrap/>
            <w:vAlign w:val="center"/>
          </w:tcPr>
          <w:p w14:paraId="4A5ACE88"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1.95</w:t>
            </w:r>
          </w:p>
        </w:tc>
        <w:tc>
          <w:tcPr>
            <w:tcW w:w="927" w:type="dxa"/>
            <w:shd w:val="clear" w:color="auto" w:fill="auto"/>
            <w:noWrap/>
            <w:vAlign w:val="center"/>
          </w:tcPr>
          <w:p w14:paraId="18B21E83"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3.71</w:t>
            </w:r>
          </w:p>
        </w:tc>
        <w:tc>
          <w:tcPr>
            <w:tcW w:w="927" w:type="dxa"/>
            <w:shd w:val="clear" w:color="auto" w:fill="auto"/>
            <w:noWrap/>
            <w:vAlign w:val="center"/>
          </w:tcPr>
          <w:p w14:paraId="044938AC"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1.99</w:t>
            </w:r>
          </w:p>
        </w:tc>
        <w:tc>
          <w:tcPr>
            <w:tcW w:w="774" w:type="dxa"/>
            <w:shd w:val="clear" w:color="auto" w:fill="auto"/>
            <w:noWrap/>
            <w:vAlign w:val="center"/>
          </w:tcPr>
          <w:p w14:paraId="080FD0FD"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3.37</w:t>
            </w:r>
          </w:p>
        </w:tc>
        <w:tc>
          <w:tcPr>
            <w:tcW w:w="720" w:type="dxa"/>
            <w:shd w:val="clear" w:color="auto" w:fill="auto"/>
            <w:noWrap/>
            <w:vAlign w:val="center"/>
          </w:tcPr>
          <w:p w14:paraId="61D13DB8"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1.97</w:t>
            </w:r>
          </w:p>
        </w:tc>
      </w:tr>
      <w:tr w:rsidR="00F303E0" w:rsidRPr="00EE5714" w14:paraId="2D0992E8" w14:textId="77777777" w:rsidTr="00E92A67">
        <w:trPr>
          <w:trHeight w:hRule="exact" w:val="245"/>
        </w:trPr>
        <w:tc>
          <w:tcPr>
            <w:tcW w:w="1170" w:type="dxa"/>
            <w:shd w:val="clear" w:color="auto" w:fill="auto"/>
            <w:noWrap/>
            <w:hideMark/>
          </w:tcPr>
          <w:p w14:paraId="456672C5" w14:textId="77777777" w:rsidR="00F303E0" w:rsidRPr="00EE5714" w:rsidRDefault="00F303E0" w:rsidP="00E92A67">
            <w:pPr>
              <w:keepNext/>
              <w:rPr>
                <w:rFonts w:ascii="Calibri" w:hAnsi="Calibri" w:cs="Calibri"/>
                <w:b/>
                <w:sz w:val="21"/>
                <w:szCs w:val="21"/>
              </w:rPr>
            </w:pPr>
            <w:proofErr w:type="spellStart"/>
            <w:r w:rsidRPr="00EE5714">
              <w:rPr>
                <w:rFonts w:ascii="Calibri" w:hAnsi="Calibri" w:cs="Calibri"/>
                <w:b/>
                <w:sz w:val="21"/>
                <w:szCs w:val="21"/>
              </w:rPr>
              <w:t>Penelec</w:t>
            </w:r>
            <w:proofErr w:type="spellEnd"/>
          </w:p>
        </w:tc>
        <w:tc>
          <w:tcPr>
            <w:tcW w:w="927" w:type="dxa"/>
            <w:shd w:val="clear" w:color="auto" w:fill="auto"/>
            <w:noWrap/>
            <w:vAlign w:val="bottom"/>
            <w:hideMark/>
          </w:tcPr>
          <w:p w14:paraId="064DC2BE" w14:textId="77777777" w:rsidR="00F303E0" w:rsidRPr="00EE5714" w:rsidRDefault="00F303E0" w:rsidP="00E92A67">
            <w:pPr>
              <w:keepNext/>
              <w:rPr>
                <w:rFonts w:ascii="Calibri" w:eastAsia="Times New Roman" w:hAnsi="Calibri" w:cs="Calibri"/>
                <w:color w:val="000000"/>
                <w:sz w:val="16"/>
                <w:szCs w:val="16"/>
              </w:rPr>
            </w:pPr>
          </w:p>
        </w:tc>
        <w:tc>
          <w:tcPr>
            <w:tcW w:w="927" w:type="dxa"/>
            <w:shd w:val="clear" w:color="auto" w:fill="auto"/>
            <w:noWrap/>
            <w:vAlign w:val="bottom"/>
            <w:hideMark/>
          </w:tcPr>
          <w:p w14:paraId="703497F6" w14:textId="77777777" w:rsidR="00F303E0" w:rsidRPr="00EE5714" w:rsidRDefault="00F303E0" w:rsidP="00E92A67">
            <w:pPr>
              <w:keepNext/>
              <w:rPr>
                <w:rFonts w:ascii="Calibri" w:eastAsia="Times New Roman" w:hAnsi="Calibri" w:cs="Calibri"/>
                <w:sz w:val="20"/>
                <w:szCs w:val="20"/>
              </w:rPr>
            </w:pPr>
          </w:p>
        </w:tc>
        <w:tc>
          <w:tcPr>
            <w:tcW w:w="927" w:type="dxa"/>
            <w:shd w:val="clear" w:color="auto" w:fill="auto"/>
            <w:noWrap/>
            <w:vAlign w:val="center"/>
            <w:hideMark/>
          </w:tcPr>
          <w:p w14:paraId="2CB6A743"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2.70</w:t>
            </w:r>
          </w:p>
        </w:tc>
        <w:tc>
          <w:tcPr>
            <w:tcW w:w="927" w:type="dxa"/>
            <w:shd w:val="clear" w:color="auto" w:fill="auto"/>
            <w:noWrap/>
            <w:vAlign w:val="center"/>
            <w:hideMark/>
          </w:tcPr>
          <w:p w14:paraId="763B8895"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2.29</w:t>
            </w:r>
          </w:p>
        </w:tc>
        <w:tc>
          <w:tcPr>
            <w:tcW w:w="927" w:type="dxa"/>
            <w:shd w:val="clear" w:color="auto" w:fill="auto"/>
            <w:noWrap/>
            <w:vAlign w:val="center"/>
            <w:hideMark/>
          </w:tcPr>
          <w:p w14:paraId="64F3B4C3"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3.35</w:t>
            </w:r>
          </w:p>
        </w:tc>
        <w:tc>
          <w:tcPr>
            <w:tcW w:w="927" w:type="dxa"/>
            <w:shd w:val="clear" w:color="auto" w:fill="auto"/>
            <w:noWrap/>
            <w:vAlign w:val="center"/>
            <w:hideMark/>
          </w:tcPr>
          <w:p w14:paraId="746A87C2"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2.35</w:t>
            </w:r>
          </w:p>
        </w:tc>
        <w:tc>
          <w:tcPr>
            <w:tcW w:w="927" w:type="dxa"/>
            <w:shd w:val="clear" w:color="auto" w:fill="auto"/>
            <w:noWrap/>
            <w:vAlign w:val="center"/>
            <w:hideMark/>
          </w:tcPr>
          <w:p w14:paraId="35E72566"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3.35</w:t>
            </w:r>
          </w:p>
        </w:tc>
        <w:tc>
          <w:tcPr>
            <w:tcW w:w="927" w:type="dxa"/>
            <w:shd w:val="clear" w:color="auto" w:fill="auto"/>
            <w:noWrap/>
            <w:vAlign w:val="center"/>
            <w:hideMark/>
          </w:tcPr>
          <w:p w14:paraId="7F9280B5"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2.46</w:t>
            </w:r>
          </w:p>
        </w:tc>
        <w:tc>
          <w:tcPr>
            <w:tcW w:w="774" w:type="dxa"/>
            <w:shd w:val="clear" w:color="auto" w:fill="auto"/>
            <w:noWrap/>
            <w:vAlign w:val="center"/>
            <w:hideMark/>
          </w:tcPr>
          <w:p w14:paraId="3260AAF9"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3.31</w:t>
            </w:r>
          </w:p>
        </w:tc>
        <w:tc>
          <w:tcPr>
            <w:tcW w:w="720" w:type="dxa"/>
            <w:shd w:val="clear" w:color="auto" w:fill="auto"/>
            <w:noWrap/>
            <w:vAlign w:val="center"/>
            <w:hideMark/>
          </w:tcPr>
          <w:p w14:paraId="418BD8D1"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w:t>
            </w:r>
          </w:p>
        </w:tc>
      </w:tr>
      <w:tr w:rsidR="00F303E0" w:rsidRPr="00EE5714" w14:paraId="65A97CDF" w14:textId="77777777" w:rsidTr="00E92A67">
        <w:trPr>
          <w:trHeight w:hRule="exact" w:val="245"/>
        </w:trPr>
        <w:tc>
          <w:tcPr>
            <w:tcW w:w="1170" w:type="dxa"/>
            <w:shd w:val="clear" w:color="auto" w:fill="auto"/>
            <w:noWrap/>
            <w:hideMark/>
          </w:tcPr>
          <w:p w14:paraId="6355A4F9" w14:textId="77777777" w:rsidR="00F303E0" w:rsidRPr="00EE5714" w:rsidRDefault="00F303E0" w:rsidP="00E92A67">
            <w:pPr>
              <w:keepNext/>
              <w:rPr>
                <w:rFonts w:ascii="Calibri" w:hAnsi="Calibri" w:cs="Calibri"/>
                <w:b/>
                <w:sz w:val="21"/>
                <w:szCs w:val="21"/>
              </w:rPr>
            </w:pPr>
            <w:r w:rsidRPr="00EE5714">
              <w:rPr>
                <w:rFonts w:ascii="Calibri" w:hAnsi="Calibri" w:cs="Calibri"/>
                <w:b/>
                <w:sz w:val="21"/>
                <w:szCs w:val="21"/>
              </w:rPr>
              <w:t>Penn Power</w:t>
            </w:r>
          </w:p>
        </w:tc>
        <w:tc>
          <w:tcPr>
            <w:tcW w:w="927" w:type="dxa"/>
            <w:shd w:val="clear" w:color="auto" w:fill="auto"/>
            <w:noWrap/>
            <w:vAlign w:val="bottom"/>
            <w:hideMark/>
          </w:tcPr>
          <w:p w14:paraId="67A6C45D" w14:textId="77777777" w:rsidR="00F303E0" w:rsidRPr="00EE5714" w:rsidRDefault="00F303E0" w:rsidP="00E92A67">
            <w:pPr>
              <w:keepNext/>
              <w:rPr>
                <w:rFonts w:ascii="Calibri" w:eastAsia="Times New Roman" w:hAnsi="Calibri" w:cs="Calibri"/>
                <w:color w:val="000000"/>
                <w:sz w:val="16"/>
                <w:szCs w:val="16"/>
              </w:rPr>
            </w:pPr>
          </w:p>
        </w:tc>
        <w:tc>
          <w:tcPr>
            <w:tcW w:w="927" w:type="dxa"/>
            <w:shd w:val="clear" w:color="auto" w:fill="auto"/>
            <w:noWrap/>
            <w:vAlign w:val="bottom"/>
            <w:hideMark/>
          </w:tcPr>
          <w:p w14:paraId="03C810CF" w14:textId="77777777" w:rsidR="00F303E0" w:rsidRPr="00EE5714" w:rsidRDefault="00F303E0" w:rsidP="00E92A67">
            <w:pPr>
              <w:keepNext/>
              <w:rPr>
                <w:rFonts w:ascii="Calibri" w:eastAsia="Times New Roman" w:hAnsi="Calibri" w:cs="Calibri"/>
                <w:sz w:val="20"/>
                <w:szCs w:val="20"/>
              </w:rPr>
            </w:pPr>
          </w:p>
        </w:tc>
        <w:tc>
          <w:tcPr>
            <w:tcW w:w="927" w:type="dxa"/>
            <w:shd w:val="clear" w:color="auto" w:fill="auto"/>
            <w:noWrap/>
            <w:vAlign w:val="center"/>
            <w:hideMark/>
          </w:tcPr>
          <w:p w14:paraId="2D3993B1"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2.34</w:t>
            </w:r>
          </w:p>
        </w:tc>
        <w:tc>
          <w:tcPr>
            <w:tcW w:w="927" w:type="dxa"/>
            <w:shd w:val="clear" w:color="auto" w:fill="auto"/>
            <w:noWrap/>
            <w:vAlign w:val="center"/>
            <w:hideMark/>
          </w:tcPr>
          <w:p w14:paraId="14E3B383"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w:t>
            </w:r>
          </w:p>
        </w:tc>
        <w:tc>
          <w:tcPr>
            <w:tcW w:w="927" w:type="dxa"/>
            <w:shd w:val="clear" w:color="auto" w:fill="auto"/>
            <w:noWrap/>
            <w:vAlign w:val="center"/>
            <w:hideMark/>
          </w:tcPr>
          <w:p w14:paraId="7E6A63A1"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3.12</w:t>
            </w:r>
          </w:p>
        </w:tc>
        <w:tc>
          <w:tcPr>
            <w:tcW w:w="927" w:type="dxa"/>
            <w:shd w:val="clear" w:color="auto" w:fill="auto"/>
            <w:noWrap/>
            <w:vAlign w:val="center"/>
            <w:hideMark/>
          </w:tcPr>
          <w:p w14:paraId="527D1CC9"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w:t>
            </w:r>
          </w:p>
        </w:tc>
        <w:tc>
          <w:tcPr>
            <w:tcW w:w="927" w:type="dxa"/>
            <w:shd w:val="clear" w:color="auto" w:fill="auto"/>
            <w:noWrap/>
            <w:vAlign w:val="center"/>
            <w:hideMark/>
          </w:tcPr>
          <w:p w14:paraId="24C62A41"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3.32</w:t>
            </w:r>
          </w:p>
        </w:tc>
        <w:tc>
          <w:tcPr>
            <w:tcW w:w="927" w:type="dxa"/>
            <w:shd w:val="clear" w:color="auto" w:fill="auto"/>
            <w:noWrap/>
            <w:vAlign w:val="center"/>
            <w:hideMark/>
          </w:tcPr>
          <w:p w14:paraId="614FD448"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2.15</w:t>
            </w:r>
          </w:p>
        </w:tc>
        <w:tc>
          <w:tcPr>
            <w:tcW w:w="774" w:type="dxa"/>
            <w:shd w:val="clear" w:color="auto" w:fill="auto"/>
            <w:noWrap/>
            <w:vAlign w:val="center"/>
            <w:hideMark/>
          </w:tcPr>
          <w:p w14:paraId="4E8FB1BC"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3.57</w:t>
            </w:r>
          </w:p>
        </w:tc>
        <w:tc>
          <w:tcPr>
            <w:tcW w:w="720" w:type="dxa"/>
            <w:shd w:val="clear" w:color="auto" w:fill="auto"/>
            <w:noWrap/>
            <w:vAlign w:val="center"/>
            <w:hideMark/>
          </w:tcPr>
          <w:p w14:paraId="79A2627E"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2.28</w:t>
            </w:r>
          </w:p>
        </w:tc>
      </w:tr>
      <w:tr w:rsidR="00F303E0" w:rsidRPr="00EE5714" w14:paraId="3FBF7598" w14:textId="77777777" w:rsidTr="00E92A67">
        <w:trPr>
          <w:trHeight w:hRule="exact" w:val="245"/>
        </w:trPr>
        <w:tc>
          <w:tcPr>
            <w:tcW w:w="1170" w:type="dxa"/>
            <w:shd w:val="clear" w:color="auto" w:fill="auto"/>
            <w:noWrap/>
            <w:hideMark/>
          </w:tcPr>
          <w:p w14:paraId="32287604" w14:textId="77777777" w:rsidR="00F303E0" w:rsidRPr="00EE5714" w:rsidRDefault="00F303E0" w:rsidP="00E92A67">
            <w:pPr>
              <w:keepNext/>
              <w:rPr>
                <w:rFonts w:ascii="Calibri" w:hAnsi="Calibri" w:cs="Calibri"/>
                <w:b/>
                <w:sz w:val="21"/>
                <w:szCs w:val="21"/>
              </w:rPr>
            </w:pPr>
            <w:r w:rsidRPr="00EE5714">
              <w:rPr>
                <w:rFonts w:ascii="Calibri" w:hAnsi="Calibri" w:cs="Calibri"/>
                <w:b/>
                <w:sz w:val="21"/>
                <w:szCs w:val="21"/>
              </w:rPr>
              <w:t>PPL</w:t>
            </w:r>
          </w:p>
        </w:tc>
        <w:tc>
          <w:tcPr>
            <w:tcW w:w="927" w:type="dxa"/>
            <w:shd w:val="clear" w:color="auto" w:fill="auto"/>
            <w:noWrap/>
            <w:vAlign w:val="bottom"/>
            <w:hideMark/>
          </w:tcPr>
          <w:p w14:paraId="55444CB8" w14:textId="77777777" w:rsidR="00F303E0" w:rsidRPr="00EE5714" w:rsidRDefault="00F303E0" w:rsidP="00E92A67">
            <w:pPr>
              <w:keepNext/>
              <w:rPr>
                <w:rFonts w:ascii="Calibri" w:eastAsia="Times New Roman" w:hAnsi="Calibri" w:cs="Calibri"/>
                <w:color w:val="000000"/>
                <w:sz w:val="16"/>
                <w:szCs w:val="16"/>
              </w:rPr>
            </w:pPr>
          </w:p>
        </w:tc>
        <w:tc>
          <w:tcPr>
            <w:tcW w:w="927" w:type="dxa"/>
            <w:shd w:val="clear" w:color="auto" w:fill="auto"/>
            <w:noWrap/>
            <w:vAlign w:val="bottom"/>
            <w:hideMark/>
          </w:tcPr>
          <w:p w14:paraId="384023CF" w14:textId="77777777" w:rsidR="00F303E0" w:rsidRPr="00EE5714" w:rsidRDefault="00F303E0" w:rsidP="00E92A67">
            <w:pPr>
              <w:keepNext/>
              <w:rPr>
                <w:rFonts w:ascii="Calibri" w:eastAsia="Times New Roman" w:hAnsi="Calibri" w:cs="Calibri"/>
                <w:sz w:val="20"/>
                <w:szCs w:val="20"/>
              </w:rPr>
            </w:pPr>
          </w:p>
        </w:tc>
        <w:tc>
          <w:tcPr>
            <w:tcW w:w="927" w:type="dxa"/>
            <w:shd w:val="clear" w:color="auto" w:fill="auto"/>
            <w:noWrap/>
            <w:vAlign w:val="center"/>
            <w:hideMark/>
          </w:tcPr>
          <w:p w14:paraId="0FAA846F"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2.42</w:t>
            </w:r>
          </w:p>
        </w:tc>
        <w:tc>
          <w:tcPr>
            <w:tcW w:w="927" w:type="dxa"/>
            <w:shd w:val="clear" w:color="auto" w:fill="auto"/>
            <w:noWrap/>
            <w:vAlign w:val="center"/>
            <w:hideMark/>
          </w:tcPr>
          <w:p w14:paraId="1BA74DB3"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2.42</w:t>
            </w:r>
          </w:p>
        </w:tc>
        <w:tc>
          <w:tcPr>
            <w:tcW w:w="927" w:type="dxa"/>
            <w:shd w:val="clear" w:color="auto" w:fill="auto"/>
            <w:noWrap/>
            <w:vAlign w:val="center"/>
            <w:hideMark/>
          </w:tcPr>
          <w:p w14:paraId="7C5C886B"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2.55</w:t>
            </w:r>
          </w:p>
        </w:tc>
        <w:tc>
          <w:tcPr>
            <w:tcW w:w="927" w:type="dxa"/>
            <w:shd w:val="clear" w:color="auto" w:fill="auto"/>
            <w:noWrap/>
            <w:vAlign w:val="center"/>
            <w:hideMark/>
          </w:tcPr>
          <w:p w14:paraId="04EA5A26"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2.55</w:t>
            </w:r>
          </w:p>
        </w:tc>
        <w:tc>
          <w:tcPr>
            <w:tcW w:w="927" w:type="dxa"/>
            <w:shd w:val="clear" w:color="auto" w:fill="auto"/>
            <w:noWrap/>
            <w:vAlign w:val="center"/>
            <w:hideMark/>
          </w:tcPr>
          <w:p w14:paraId="2D911F39"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2.91</w:t>
            </w:r>
          </w:p>
        </w:tc>
        <w:tc>
          <w:tcPr>
            <w:tcW w:w="927" w:type="dxa"/>
            <w:shd w:val="clear" w:color="auto" w:fill="auto"/>
            <w:noWrap/>
            <w:vAlign w:val="center"/>
            <w:hideMark/>
          </w:tcPr>
          <w:p w14:paraId="3367A91F"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2.91</w:t>
            </w:r>
          </w:p>
        </w:tc>
        <w:tc>
          <w:tcPr>
            <w:tcW w:w="774" w:type="dxa"/>
            <w:shd w:val="clear" w:color="auto" w:fill="auto"/>
            <w:noWrap/>
            <w:vAlign w:val="center"/>
            <w:hideMark/>
          </w:tcPr>
          <w:p w14:paraId="2ACFD4D1"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2.92</w:t>
            </w:r>
          </w:p>
        </w:tc>
        <w:tc>
          <w:tcPr>
            <w:tcW w:w="720" w:type="dxa"/>
            <w:shd w:val="clear" w:color="auto" w:fill="auto"/>
            <w:noWrap/>
            <w:vAlign w:val="center"/>
            <w:hideMark/>
          </w:tcPr>
          <w:p w14:paraId="02242581" w14:textId="77777777" w:rsidR="00F303E0" w:rsidRPr="00EE5714" w:rsidRDefault="00F303E0" w:rsidP="00E92A67">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2.92</w:t>
            </w:r>
          </w:p>
        </w:tc>
      </w:tr>
      <w:tr w:rsidR="00F303E0" w:rsidRPr="00EE5714" w14:paraId="7A0B287E" w14:textId="77777777" w:rsidTr="00E92A67">
        <w:trPr>
          <w:trHeight w:hRule="exact" w:val="245"/>
        </w:trPr>
        <w:tc>
          <w:tcPr>
            <w:tcW w:w="1170" w:type="dxa"/>
            <w:shd w:val="clear" w:color="auto" w:fill="auto"/>
            <w:noWrap/>
            <w:hideMark/>
          </w:tcPr>
          <w:p w14:paraId="2F0F16BF" w14:textId="77777777" w:rsidR="00F303E0" w:rsidRPr="00EE5714" w:rsidRDefault="00F303E0" w:rsidP="00E92A67">
            <w:pPr>
              <w:keepNext/>
              <w:rPr>
                <w:rFonts w:ascii="Calibri" w:hAnsi="Calibri" w:cs="Calibri"/>
                <w:b/>
                <w:sz w:val="21"/>
                <w:szCs w:val="21"/>
              </w:rPr>
            </w:pPr>
            <w:r w:rsidRPr="00EE5714">
              <w:rPr>
                <w:rFonts w:ascii="Calibri" w:hAnsi="Calibri" w:cs="Calibri"/>
                <w:b/>
                <w:sz w:val="21"/>
                <w:szCs w:val="21"/>
              </w:rPr>
              <w:t>West Penn</w:t>
            </w:r>
          </w:p>
        </w:tc>
        <w:tc>
          <w:tcPr>
            <w:tcW w:w="927" w:type="dxa"/>
            <w:shd w:val="clear" w:color="auto" w:fill="auto"/>
            <w:noWrap/>
            <w:vAlign w:val="bottom"/>
            <w:hideMark/>
          </w:tcPr>
          <w:p w14:paraId="70E875A6" w14:textId="77777777" w:rsidR="00F303E0" w:rsidRPr="00EE5714" w:rsidRDefault="00F303E0" w:rsidP="00851815">
            <w:pPr>
              <w:rPr>
                <w:rFonts w:ascii="Calibri" w:eastAsia="Times New Roman" w:hAnsi="Calibri" w:cs="Calibri"/>
                <w:color w:val="000000"/>
                <w:sz w:val="16"/>
                <w:szCs w:val="16"/>
              </w:rPr>
            </w:pPr>
          </w:p>
        </w:tc>
        <w:tc>
          <w:tcPr>
            <w:tcW w:w="927" w:type="dxa"/>
            <w:shd w:val="clear" w:color="auto" w:fill="auto"/>
            <w:noWrap/>
            <w:vAlign w:val="bottom"/>
            <w:hideMark/>
          </w:tcPr>
          <w:p w14:paraId="20F66076" w14:textId="77777777" w:rsidR="00F303E0" w:rsidRPr="00EE5714" w:rsidRDefault="00F303E0" w:rsidP="00851815">
            <w:pPr>
              <w:rPr>
                <w:rFonts w:ascii="Calibri" w:eastAsia="Times New Roman" w:hAnsi="Calibri" w:cs="Calibri"/>
                <w:sz w:val="20"/>
                <w:szCs w:val="20"/>
              </w:rPr>
            </w:pPr>
          </w:p>
        </w:tc>
        <w:tc>
          <w:tcPr>
            <w:tcW w:w="927" w:type="dxa"/>
            <w:shd w:val="clear" w:color="auto" w:fill="auto"/>
            <w:noWrap/>
            <w:vAlign w:val="center"/>
            <w:hideMark/>
          </w:tcPr>
          <w:p w14:paraId="26DF4BC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2.11</w:t>
            </w:r>
          </w:p>
        </w:tc>
        <w:tc>
          <w:tcPr>
            <w:tcW w:w="927" w:type="dxa"/>
            <w:shd w:val="clear" w:color="auto" w:fill="auto"/>
            <w:noWrap/>
            <w:vAlign w:val="center"/>
            <w:hideMark/>
          </w:tcPr>
          <w:p w14:paraId="5F6B2B5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1.72</w:t>
            </w:r>
          </w:p>
        </w:tc>
        <w:tc>
          <w:tcPr>
            <w:tcW w:w="927" w:type="dxa"/>
            <w:shd w:val="clear" w:color="auto" w:fill="auto"/>
            <w:noWrap/>
            <w:vAlign w:val="center"/>
            <w:hideMark/>
          </w:tcPr>
          <w:p w14:paraId="2D6ABA3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2.80</w:t>
            </w:r>
          </w:p>
        </w:tc>
        <w:tc>
          <w:tcPr>
            <w:tcW w:w="927" w:type="dxa"/>
            <w:shd w:val="clear" w:color="auto" w:fill="auto"/>
            <w:noWrap/>
            <w:vAlign w:val="center"/>
            <w:hideMark/>
          </w:tcPr>
          <w:p w14:paraId="7275C0D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1.82</w:t>
            </w:r>
          </w:p>
        </w:tc>
        <w:tc>
          <w:tcPr>
            <w:tcW w:w="927" w:type="dxa"/>
            <w:shd w:val="clear" w:color="auto" w:fill="auto"/>
            <w:noWrap/>
            <w:vAlign w:val="center"/>
            <w:hideMark/>
          </w:tcPr>
          <w:p w14:paraId="2A74E10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2.91</w:t>
            </w:r>
          </w:p>
        </w:tc>
        <w:tc>
          <w:tcPr>
            <w:tcW w:w="927" w:type="dxa"/>
            <w:shd w:val="clear" w:color="auto" w:fill="auto"/>
            <w:noWrap/>
            <w:vAlign w:val="center"/>
            <w:hideMark/>
          </w:tcPr>
          <w:p w14:paraId="60E9EEC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2.01</w:t>
            </w:r>
          </w:p>
        </w:tc>
        <w:tc>
          <w:tcPr>
            <w:tcW w:w="774" w:type="dxa"/>
            <w:shd w:val="clear" w:color="auto" w:fill="auto"/>
            <w:noWrap/>
            <w:vAlign w:val="center"/>
            <w:hideMark/>
          </w:tcPr>
          <w:p w14:paraId="0979762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3.02</w:t>
            </w:r>
          </w:p>
        </w:tc>
        <w:tc>
          <w:tcPr>
            <w:tcW w:w="720" w:type="dxa"/>
            <w:shd w:val="clear" w:color="auto" w:fill="auto"/>
            <w:noWrap/>
            <w:vAlign w:val="center"/>
            <w:hideMark/>
          </w:tcPr>
          <w:p w14:paraId="13B74CD4"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2.14</w:t>
            </w:r>
          </w:p>
        </w:tc>
      </w:tr>
    </w:tbl>
    <w:p w14:paraId="191D74EB" w14:textId="77777777" w:rsidR="00F303E0" w:rsidRPr="00EE5714" w:rsidRDefault="00F303E0" w:rsidP="00E92A67">
      <w:pPr>
        <w:pStyle w:val="NoSpacing"/>
        <w:keepNext/>
        <w:rPr>
          <w:rFonts w:cs="Times New Roman"/>
          <w:sz w:val="24"/>
          <w:szCs w:val="24"/>
        </w:rPr>
      </w:pPr>
      <w:r w:rsidRPr="00EE5714">
        <w:rPr>
          <w:rFonts w:cs="Times New Roman"/>
          <w:szCs w:val="26"/>
        </w:rPr>
        <w:t>*</w:t>
      </w:r>
      <w:r w:rsidRPr="00EE5714">
        <w:rPr>
          <w:rFonts w:cs="Times New Roman"/>
          <w:sz w:val="24"/>
          <w:szCs w:val="24"/>
        </w:rPr>
        <w:t>No data available for the year.</w:t>
      </w:r>
    </w:p>
    <w:p w14:paraId="1A1B1AB0" w14:textId="4863D043" w:rsidR="00F303E0" w:rsidRPr="00EE5714" w:rsidRDefault="00F303E0" w:rsidP="00F303E0">
      <w:pPr>
        <w:pStyle w:val="NoSpacing"/>
        <w:rPr>
          <w:rFonts w:cs="Times New Roman"/>
          <w:sz w:val="24"/>
          <w:szCs w:val="24"/>
        </w:rPr>
      </w:pPr>
      <w:r w:rsidRPr="00EE5714">
        <w:rPr>
          <w:rFonts w:cs="Times New Roman"/>
          <w:sz w:val="24"/>
          <w:szCs w:val="24"/>
        </w:rPr>
        <w:t xml:space="preserve">**Median Annual Income for Residential cases is from the ESRI (Environmental Systems Research Institute) system and does not distinguish between heat and non-heat accounts and is an average from 2012-2016.  Since the Number of Bills </w:t>
      </w:r>
      <w:r w:rsidR="00923EA8" w:rsidRPr="00EE5714">
        <w:rPr>
          <w:rFonts w:cs="Times New Roman"/>
          <w:sz w:val="24"/>
          <w:szCs w:val="24"/>
        </w:rPr>
        <w:t>Issued</w:t>
      </w:r>
      <w:r w:rsidRPr="00EE5714">
        <w:rPr>
          <w:rFonts w:cs="Times New Roman"/>
          <w:sz w:val="24"/>
          <w:szCs w:val="24"/>
        </w:rPr>
        <w:t xml:space="preserve"> and Billings are available for heating and non-heating accounts for </w:t>
      </w:r>
      <w:proofErr w:type="gramStart"/>
      <w:r w:rsidRPr="00EE5714">
        <w:rPr>
          <w:rFonts w:cs="Times New Roman"/>
          <w:sz w:val="24"/>
          <w:szCs w:val="24"/>
        </w:rPr>
        <w:t>all of</w:t>
      </w:r>
      <w:proofErr w:type="gramEnd"/>
      <w:r w:rsidRPr="00EE5714">
        <w:rPr>
          <w:rFonts w:cs="Times New Roman"/>
          <w:sz w:val="24"/>
          <w:szCs w:val="24"/>
        </w:rPr>
        <w:t xml:space="preserve"> the years, the total Median Annual Income is used as the base for calculating Energy Burden by heating status and year.  </w:t>
      </w:r>
    </w:p>
    <w:p w14:paraId="1CDB9813" w14:textId="77777777" w:rsidR="00F303E0" w:rsidRPr="00EE5714" w:rsidRDefault="00F303E0" w:rsidP="00F303E0">
      <w:pPr>
        <w:pStyle w:val="NoSpacing"/>
        <w:rPr>
          <w:rFonts w:cs="Times New Roman"/>
          <w:i/>
          <w:szCs w:val="26"/>
        </w:rPr>
      </w:pPr>
    </w:p>
    <w:p w14:paraId="2F65C4FB" w14:textId="77777777" w:rsidR="00E92A67" w:rsidRPr="00EE5714" w:rsidRDefault="00E92A67" w:rsidP="00F303E0">
      <w:pPr>
        <w:pStyle w:val="NoSpacing"/>
        <w:rPr>
          <w:rFonts w:cs="Times New Roman"/>
          <w:i/>
          <w:szCs w:val="26"/>
        </w:rPr>
      </w:pPr>
    </w:p>
    <w:p w14:paraId="6E428DDF" w14:textId="77777777" w:rsidR="00F303E0" w:rsidRPr="00EE5714" w:rsidRDefault="00155347" w:rsidP="00F303E0">
      <w:pPr>
        <w:pStyle w:val="NoSpacing"/>
        <w:keepNext/>
        <w:rPr>
          <w:rFonts w:cs="Times New Roman"/>
          <w:szCs w:val="26"/>
        </w:rPr>
      </w:pPr>
      <w:r w:rsidRPr="00EE5714">
        <w:rPr>
          <w:rFonts w:cs="Times New Roman"/>
          <w:i/>
          <w:szCs w:val="26"/>
        </w:rPr>
        <w:t>Appendix 2</w:t>
      </w:r>
      <w:r w:rsidR="00F303E0" w:rsidRPr="00EE5714">
        <w:rPr>
          <w:rFonts w:cs="Times New Roman"/>
          <w:i/>
          <w:szCs w:val="26"/>
        </w:rPr>
        <w:t>.B: CAP Industry Average NGDC and EDC Energy Burdens</w:t>
      </w:r>
    </w:p>
    <w:p w14:paraId="0A49A92A" w14:textId="77777777" w:rsidR="00F303E0" w:rsidRPr="00EE5714" w:rsidRDefault="00F303E0" w:rsidP="00F303E0">
      <w:pPr>
        <w:pStyle w:val="NoSpacing"/>
        <w:keepNext/>
        <w:rPr>
          <w:rFonts w:cs="Times New Roman"/>
          <w:szCs w:val="26"/>
        </w:rPr>
      </w:pPr>
    </w:p>
    <w:p w14:paraId="46EB5B31" w14:textId="77777777" w:rsidR="00F303E0" w:rsidRPr="00EE5714" w:rsidRDefault="00F303E0" w:rsidP="00F303E0">
      <w:pPr>
        <w:pStyle w:val="NoSpacing"/>
        <w:rPr>
          <w:rFonts w:cs="Times New Roman"/>
          <w:szCs w:val="26"/>
        </w:rPr>
      </w:pPr>
      <w:r w:rsidRPr="00EE5714">
        <w:rPr>
          <w:rFonts w:cs="Times New Roman"/>
          <w:szCs w:val="26"/>
        </w:rPr>
        <w:t xml:space="preserve">The industry average energy burdens of gas and electric CAP customers are shown as a percentage, to include heating type and FPIG levels for the period from 2012 through 2016.  </w:t>
      </w:r>
    </w:p>
    <w:p w14:paraId="4E1643B6" w14:textId="77777777" w:rsidR="00F303E0" w:rsidRPr="00EE5714" w:rsidRDefault="00F303E0" w:rsidP="00F303E0">
      <w:pPr>
        <w:pStyle w:val="NoSpacing"/>
        <w:rPr>
          <w:rFonts w:cs="Times New Roman"/>
          <w:szCs w:val="26"/>
        </w:rPr>
      </w:pPr>
    </w:p>
    <w:p w14:paraId="47307FF3" w14:textId="77777777" w:rsidR="00F303E0" w:rsidRPr="00EE5714" w:rsidRDefault="00155347" w:rsidP="00E92A67">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Appendix 2</w:t>
      </w:r>
      <w:r w:rsidR="00F303E0" w:rsidRPr="00EE5714">
        <w:rPr>
          <w:rFonts w:ascii="Times New Roman" w:hAnsi="Times New Roman" w:cs="Times New Roman"/>
          <w:sz w:val="26"/>
          <w:szCs w:val="26"/>
        </w:rPr>
        <w:t>.B.1:</w:t>
      </w:r>
      <w:r w:rsidR="00F303E0" w:rsidRPr="00EE5714">
        <w:rPr>
          <w:rFonts w:ascii="Times New Roman" w:eastAsia="Times New Roman" w:hAnsi="Times New Roman" w:cs="Times New Roman"/>
          <w:b/>
          <w:color w:val="000000"/>
          <w:sz w:val="26"/>
          <w:szCs w:val="26"/>
        </w:rPr>
        <w:t xml:space="preserve"> NGDC CAP Heating Average Energy Burdens</w:t>
      </w:r>
      <w:r w:rsidR="00F303E0" w:rsidRPr="00EE5714">
        <w:rPr>
          <w:rFonts w:ascii="Times New Roman" w:hAnsi="Times New Roman" w:cs="Times New Roman"/>
          <w:sz w:val="26"/>
          <w:szCs w:val="26"/>
        </w:rPr>
        <w:t xml:space="preserve"> </w:t>
      </w:r>
    </w:p>
    <w:tbl>
      <w:tblPr>
        <w:tblW w:w="999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620"/>
        <w:gridCol w:w="1890"/>
        <w:gridCol w:w="1710"/>
        <w:gridCol w:w="1530"/>
        <w:gridCol w:w="1620"/>
        <w:gridCol w:w="1620"/>
      </w:tblGrid>
      <w:tr w:rsidR="00F303E0" w:rsidRPr="00EE5714" w14:paraId="3D81771E" w14:textId="77777777" w:rsidTr="00E92A67">
        <w:trPr>
          <w:trHeight w:val="470"/>
        </w:trPr>
        <w:tc>
          <w:tcPr>
            <w:tcW w:w="9990" w:type="dxa"/>
            <w:gridSpan w:val="6"/>
            <w:shd w:val="clear" w:color="auto" w:fill="BFBFBF" w:themeFill="background1" w:themeFillShade="BF"/>
            <w:noWrap/>
            <w:vAlign w:val="bottom"/>
            <w:hideMark/>
          </w:tcPr>
          <w:p w14:paraId="2AA95729" w14:textId="053612DD"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NGDC CAP Heating Average Energy Burdens</w:t>
            </w:r>
            <w:r w:rsidR="00976AFE" w:rsidRPr="00EE5714">
              <w:rPr>
                <w:rFonts w:ascii="Calibri" w:eastAsia="Times New Roman" w:hAnsi="Calibri" w:cs="Calibri"/>
                <w:b/>
                <w:color w:val="000000"/>
              </w:rPr>
              <w:t xml:space="preserve"> </w:t>
            </w:r>
            <w:r w:rsidR="00360778" w:rsidRPr="00EE5714">
              <w:rPr>
                <w:rFonts w:ascii="Calibri" w:eastAsia="Times New Roman" w:hAnsi="Calibri" w:cs="Calibri"/>
                <w:b/>
                <w:color w:val="000000"/>
              </w:rPr>
              <w:t>(%)</w:t>
            </w:r>
          </w:p>
        </w:tc>
      </w:tr>
      <w:tr w:rsidR="00F303E0" w:rsidRPr="00EE5714" w14:paraId="67B8BB5A" w14:textId="77777777" w:rsidTr="00E92A67">
        <w:trPr>
          <w:trHeight w:hRule="exact" w:val="245"/>
        </w:trPr>
        <w:tc>
          <w:tcPr>
            <w:tcW w:w="1620" w:type="dxa"/>
            <w:shd w:val="clear" w:color="auto" w:fill="F2F2F2" w:themeFill="background1" w:themeFillShade="F2"/>
            <w:noWrap/>
            <w:vAlign w:val="bottom"/>
            <w:hideMark/>
          </w:tcPr>
          <w:p w14:paraId="2AC38EB8" w14:textId="77777777" w:rsidR="00F303E0" w:rsidRPr="00EE5714" w:rsidRDefault="00F303E0" w:rsidP="00E92A67">
            <w:pPr>
              <w:spacing w:after="0" w:line="240" w:lineRule="auto"/>
              <w:rPr>
                <w:rFonts w:ascii="Calibri" w:eastAsia="Times New Roman" w:hAnsi="Calibri" w:cs="Calibri"/>
                <w:b/>
                <w:i/>
                <w:color w:val="000000"/>
              </w:rPr>
            </w:pPr>
            <w:r w:rsidRPr="00EE5714">
              <w:rPr>
                <w:rFonts w:ascii="Calibri" w:eastAsia="Times New Roman" w:hAnsi="Calibri" w:cs="Calibri"/>
                <w:b/>
                <w:i/>
                <w:color w:val="000000"/>
              </w:rPr>
              <w:t>Total by Year</w:t>
            </w:r>
          </w:p>
        </w:tc>
        <w:tc>
          <w:tcPr>
            <w:tcW w:w="1890" w:type="dxa"/>
            <w:shd w:val="clear" w:color="auto" w:fill="F2F2F2" w:themeFill="background1" w:themeFillShade="F2"/>
            <w:noWrap/>
            <w:vAlign w:val="bottom"/>
            <w:hideMark/>
          </w:tcPr>
          <w:p w14:paraId="2B46F400" w14:textId="77777777"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2012</w:t>
            </w:r>
          </w:p>
        </w:tc>
        <w:tc>
          <w:tcPr>
            <w:tcW w:w="1710" w:type="dxa"/>
            <w:shd w:val="clear" w:color="auto" w:fill="F2F2F2" w:themeFill="background1" w:themeFillShade="F2"/>
            <w:noWrap/>
            <w:vAlign w:val="bottom"/>
            <w:hideMark/>
          </w:tcPr>
          <w:p w14:paraId="5C0B5E98" w14:textId="77777777"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2013</w:t>
            </w:r>
          </w:p>
        </w:tc>
        <w:tc>
          <w:tcPr>
            <w:tcW w:w="1530" w:type="dxa"/>
            <w:shd w:val="clear" w:color="auto" w:fill="F2F2F2" w:themeFill="background1" w:themeFillShade="F2"/>
            <w:noWrap/>
            <w:vAlign w:val="bottom"/>
            <w:hideMark/>
          </w:tcPr>
          <w:p w14:paraId="3B38C8B5" w14:textId="77777777"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2014</w:t>
            </w:r>
          </w:p>
        </w:tc>
        <w:tc>
          <w:tcPr>
            <w:tcW w:w="1620" w:type="dxa"/>
            <w:shd w:val="clear" w:color="auto" w:fill="F2F2F2" w:themeFill="background1" w:themeFillShade="F2"/>
            <w:noWrap/>
            <w:vAlign w:val="bottom"/>
            <w:hideMark/>
          </w:tcPr>
          <w:p w14:paraId="0C789948" w14:textId="77777777"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2015</w:t>
            </w:r>
          </w:p>
        </w:tc>
        <w:tc>
          <w:tcPr>
            <w:tcW w:w="1620" w:type="dxa"/>
            <w:shd w:val="clear" w:color="auto" w:fill="F2F2F2" w:themeFill="background1" w:themeFillShade="F2"/>
            <w:noWrap/>
            <w:vAlign w:val="bottom"/>
            <w:hideMark/>
          </w:tcPr>
          <w:p w14:paraId="099D0440" w14:textId="77777777" w:rsidR="00F303E0" w:rsidRPr="00EE5714" w:rsidRDefault="00F303E0" w:rsidP="00E92A67">
            <w:pPr>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2016</w:t>
            </w:r>
          </w:p>
        </w:tc>
      </w:tr>
      <w:tr w:rsidR="00F303E0" w:rsidRPr="00EE5714" w14:paraId="5431D320" w14:textId="77777777" w:rsidTr="00E92A67">
        <w:trPr>
          <w:trHeight w:hRule="exact" w:val="245"/>
        </w:trPr>
        <w:tc>
          <w:tcPr>
            <w:tcW w:w="1620" w:type="dxa"/>
            <w:shd w:val="clear" w:color="auto" w:fill="auto"/>
            <w:noWrap/>
            <w:vAlign w:val="bottom"/>
          </w:tcPr>
          <w:p w14:paraId="34F85D10" w14:textId="77777777" w:rsidR="00F303E0" w:rsidRPr="00EE5714" w:rsidRDefault="00F303E0" w:rsidP="00E92A67">
            <w:pPr>
              <w:spacing w:after="0" w:line="240" w:lineRule="auto"/>
              <w:rPr>
                <w:rFonts w:ascii="Calibri" w:eastAsia="Times New Roman" w:hAnsi="Calibri" w:cs="Calibri"/>
                <w:color w:val="000000"/>
                <w:sz w:val="21"/>
                <w:szCs w:val="21"/>
              </w:rPr>
            </w:pPr>
          </w:p>
        </w:tc>
        <w:tc>
          <w:tcPr>
            <w:tcW w:w="1890" w:type="dxa"/>
            <w:shd w:val="clear" w:color="auto" w:fill="auto"/>
            <w:noWrap/>
            <w:vAlign w:val="bottom"/>
          </w:tcPr>
          <w:p w14:paraId="371701D5" w14:textId="77777777" w:rsidR="00F303E0" w:rsidRPr="00EE5714" w:rsidRDefault="00F303E0" w:rsidP="00E92A67">
            <w:pPr>
              <w:spacing w:after="0" w:line="240" w:lineRule="auto"/>
              <w:jc w:val="center"/>
              <w:rPr>
                <w:rFonts w:ascii="Calibri" w:eastAsia="Times New Roman" w:hAnsi="Calibri" w:cs="Calibri"/>
                <w:color w:val="000000"/>
                <w:sz w:val="21"/>
                <w:szCs w:val="21"/>
              </w:rPr>
            </w:pPr>
          </w:p>
        </w:tc>
        <w:tc>
          <w:tcPr>
            <w:tcW w:w="1710" w:type="dxa"/>
            <w:shd w:val="clear" w:color="auto" w:fill="auto"/>
            <w:noWrap/>
            <w:vAlign w:val="bottom"/>
          </w:tcPr>
          <w:p w14:paraId="08AE2C1D" w14:textId="77777777" w:rsidR="00F303E0" w:rsidRPr="00EE5714" w:rsidRDefault="00F303E0" w:rsidP="00E92A67">
            <w:pPr>
              <w:spacing w:after="0" w:line="240" w:lineRule="auto"/>
              <w:jc w:val="center"/>
              <w:rPr>
                <w:rFonts w:ascii="Calibri" w:eastAsia="Times New Roman" w:hAnsi="Calibri" w:cs="Calibri"/>
                <w:color w:val="000000"/>
                <w:sz w:val="21"/>
                <w:szCs w:val="21"/>
              </w:rPr>
            </w:pPr>
          </w:p>
        </w:tc>
        <w:tc>
          <w:tcPr>
            <w:tcW w:w="1530" w:type="dxa"/>
            <w:shd w:val="clear" w:color="auto" w:fill="auto"/>
            <w:noWrap/>
            <w:vAlign w:val="bottom"/>
          </w:tcPr>
          <w:p w14:paraId="1CDEFEF2" w14:textId="77777777" w:rsidR="00F303E0" w:rsidRPr="00EE5714" w:rsidRDefault="00F303E0" w:rsidP="00E92A67">
            <w:pPr>
              <w:spacing w:after="0" w:line="240" w:lineRule="auto"/>
              <w:jc w:val="center"/>
              <w:rPr>
                <w:rFonts w:ascii="Calibri" w:eastAsia="Times New Roman" w:hAnsi="Calibri" w:cs="Calibri"/>
                <w:color w:val="000000"/>
                <w:sz w:val="21"/>
                <w:szCs w:val="21"/>
              </w:rPr>
            </w:pPr>
          </w:p>
        </w:tc>
        <w:tc>
          <w:tcPr>
            <w:tcW w:w="1620" w:type="dxa"/>
            <w:shd w:val="clear" w:color="auto" w:fill="auto"/>
            <w:noWrap/>
            <w:vAlign w:val="bottom"/>
          </w:tcPr>
          <w:p w14:paraId="31E75C69" w14:textId="77777777" w:rsidR="00F303E0" w:rsidRPr="00EE5714" w:rsidRDefault="00F303E0" w:rsidP="00E92A67">
            <w:pPr>
              <w:spacing w:after="0" w:line="240" w:lineRule="auto"/>
              <w:jc w:val="center"/>
              <w:rPr>
                <w:rFonts w:ascii="Calibri" w:eastAsia="Times New Roman" w:hAnsi="Calibri" w:cs="Calibri"/>
                <w:color w:val="000000"/>
                <w:sz w:val="21"/>
                <w:szCs w:val="21"/>
              </w:rPr>
            </w:pPr>
          </w:p>
        </w:tc>
        <w:tc>
          <w:tcPr>
            <w:tcW w:w="1620" w:type="dxa"/>
            <w:shd w:val="clear" w:color="auto" w:fill="auto"/>
            <w:noWrap/>
            <w:vAlign w:val="bottom"/>
          </w:tcPr>
          <w:p w14:paraId="13D10176" w14:textId="77777777" w:rsidR="00F303E0" w:rsidRPr="00EE5714" w:rsidRDefault="00F303E0" w:rsidP="00E92A67">
            <w:pPr>
              <w:spacing w:after="0" w:line="240" w:lineRule="auto"/>
              <w:jc w:val="center"/>
              <w:rPr>
                <w:rFonts w:ascii="Calibri" w:eastAsia="Times New Roman" w:hAnsi="Calibri" w:cs="Calibri"/>
                <w:color w:val="000000"/>
                <w:sz w:val="21"/>
                <w:szCs w:val="21"/>
              </w:rPr>
            </w:pPr>
          </w:p>
        </w:tc>
      </w:tr>
      <w:tr w:rsidR="00F303E0" w:rsidRPr="00EE5714" w14:paraId="483B5B53" w14:textId="77777777" w:rsidTr="00E92A67">
        <w:trPr>
          <w:trHeight w:hRule="exact" w:val="634"/>
        </w:trPr>
        <w:tc>
          <w:tcPr>
            <w:tcW w:w="1620" w:type="dxa"/>
            <w:shd w:val="clear" w:color="auto" w:fill="F2F2F2" w:themeFill="background1" w:themeFillShade="F2"/>
            <w:noWrap/>
            <w:vAlign w:val="center"/>
            <w:hideMark/>
          </w:tcPr>
          <w:p w14:paraId="167D4280" w14:textId="77777777" w:rsidR="00F303E0" w:rsidRPr="00EE5714" w:rsidRDefault="00F303E0" w:rsidP="00E92A67">
            <w:pPr>
              <w:spacing w:after="0" w:line="240" w:lineRule="auto"/>
              <w:rPr>
                <w:rFonts w:ascii="Calibri" w:eastAsia="Times New Roman" w:hAnsi="Calibri" w:cs="Calibri"/>
                <w:b/>
                <w:i/>
                <w:color w:val="000000"/>
                <w:sz w:val="21"/>
                <w:szCs w:val="21"/>
              </w:rPr>
            </w:pPr>
            <w:r w:rsidRPr="00EE5714">
              <w:rPr>
                <w:rFonts w:ascii="Calibri" w:eastAsia="Times New Roman" w:hAnsi="Calibri" w:cs="Calibri"/>
                <w:b/>
                <w:i/>
                <w:color w:val="000000"/>
                <w:sz w:val="21"/>
                <w:szCs w:val="21"/>
              </w:rPr>
              <w:t>Gas Industry Average</w:t>
            </w:r>
          </w:p>
        </w:tc>
        <w:tc>
          <w:tcPr>
            <w:tcW w:w="1890" w:type="dxa"/>
            <w:shd w:val="clear" w:color="auto" w:fill="F2F2F2" w:themeFill="background1" w:themeFillShade="F2"/>
            <w:noWrap/>
            <w:vAlign w:val="center"/>
            <w:hideMark/>
          </w:tcPr>
          <w:p w14:paraId="5E6CF41A" w14:textId="77777777" w:rsidR="00F303E0" w:rsidRPr="00EE5714" w:rsidRDefault="00F303E0" w:rsidP="00E92A67">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7.93</w:t>
            </w:r>
          </w:p>
        </w:tc>
        <w:tc>
          <w:tcPr>
            <w:tcW w:w="1710" w:type="dxa"/>
            <w:shd w:val="clear" w:color="auto" w:fill="F2F2F2" w:themeFill="background1" w:themeFillShade="F2"/>
            <w:noWrap/>
            <w:vAlign w:val="center"/>
            <w:hideMark/>
          </w:tcPr>
          <w:p w14:paraId="14DD6DDA" w14:textId="77777777" w:rsidR="00F303E0" w:rsidRPr="00EE5714" w:rsidRDefault="00F303E0" w:rsidP="00E92A67">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7.89</w:t>
            </w:r>
          </w:p>
        </w:tc>
        <w:tc>
          <w:tcPr>
            <w:tcW w:w="1530" w:type="dxa"/>
            <w:shd w:val="clear" w:color="auto" w:fill="F2F2F2" w:themeFill="background1" w:themeFillShade="F2"/>
            <w:noWrap/>
            <w:vAlign w:val="center"/>
            <w:hideMark/>
          </w:tcPr>
          <w:p w14:paraId="0DCC06F6" w14:textId="77777777" w:rsidR="00F303E0" w:rsidRPr="00EE5714" w:rsidRDefault="00F303E0" w:rsidP="00E92A67">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7.57</w:t>
            </w:r>
          </w:p>
        </w:tc>
        <w:tc>
          <w:tcPr>
            <w:tcW w:w="1620" w:type="dxa"/>
            <w:shd w:val="clear" w:color="auto" w:fill="F2F2F2" w:themeFill="background1" w:themeFillShade="F2"/>
            <w:noWrap/>
            <w:vAlign w:val="center"/>
            <w:hideMark/>
          </w:tcPr>
          <w:p w14:paraId="6733B8C6" w14:textId="77777777" w:rsidR="00F303E0" w:rsidRPr="00EE5714" w:rsidRDefault="00F303E0" w:rsidP="00E92A67">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7.00</w:t>
            </w:r>
          </w:p>
        </w:tc>
        <w:tc>
          <w:tcPr>
            <w:tcW w:w="1620" w:type="dxa"/>
            <w:shd w:val="clear" w:color="auto" w:fill="F2F2F2" w:themeFill="background1" w:themeFillShade="F2"/>
            <w:noWrap/>
            <w:vAlign w:val="center"/>
            <w:hideMark/>
          </w:tcPr>
          <w:p w14:paraId="4644609E" w14:textId="77777777" w:rsidR="00F303E0" w:rsidRPr="00EE5714" w:rsidRDefault="00F303E0" w:rsidP="00E92A67">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6.93</w:t>
            </w:r>
          </w:p>
        </w:tc>
      </w:tr>
      <w:tr w:rsidR="00F303E0" w:rsidRPr="00EE5714" w14:paraId="606F11A2" w14:textId="77777777" w:rsidTr="00E92A67">
        <w:trPr>
          <w:trHeight w:hRule="exact" w:val="245"/>
        </w:trPr>
        <w:tc>
          <w:tcPr>
            <w:tcW w:w="1620" w:type="dxa"/>
            <w:shd w:val="clear" w:color="auto" w:fill="auto"/>
            <w:noWrap/>
            <w:vAlign w:val="bottom"/>
          </w:tcPr>
          <w:p w14:paraId="282B5566" w14:textId="77777777" w:rsidR="00F303E0" w:rsidRPr="00EE5714" w:rsidRDefault="00F303E0" w:rsidP="00851815">
            <w:pPr>
              <w:jc w:val="right"/>
              <w:rPr>
                <w:rFonts w:ascii="Calibri" w:eastAsia="Times New Roman" w:hAnsi="Calibri" w:cs="Calibri"/>
                <w:color w:val="000000"/>
                <w:sz w:val="21"/>
                <w:szCs w:val="21"/>
              </w:rPr>
            </w:pPr>
          </w:p>
        </w:tc>
        <w:tc>
          <w:tcPr>
            <w:tcW w:w="1890" w:type="dxa"/>
            <w:shd w:val="clear" w:color="auto" w:fill="auto"/>
            <w:noWrap/>
            <w:vAlign w:val="center"/>
          </w:tcPr>
          <w:p w14:paraId="2177E028" w14:textId="77777777" w:rsidR="00F303E0" w:rsidRPr="00EE5714" w:rsidRDefault="00F303E0" w:rsidP="00851815">
            <w:pPr>
              <w:jc w:val="center"/>
              <w:rPr>
                <w:rFonts w:ascii="Calibri" w:eastAsia="Times New Roman" w:hAnsi="Calibri" w:cs="Calibri"/>
                <w:color w:val="000000"/>
                <w:sz w:val="21"/>
                <w:szCs w:val="21"/>
              </w:rPr>
            </w:pPr>
          </w:p>
        </w:tc>
        <w:tc>
          <w:tcPr>
            <w:tcW w:w="1710" w:type="dxa"/>
            <w:shd w:val="clear" w:color="auto" w:fill="auto"/>
            <w:noWrap/>
            <w:vAlign w:val="center"/>
          </w:tcPr>
          <w:p w14:paraId="0EDF178E" w14:textId="77777777" w:rsidR="00F303E0" w:rsidRPr="00EE5714" w:rsidRDefault="00F303E0" w:rsidP="00851815">
            <w:pPr>
              <w:jc w:val="center"/>
              <w:rPr>
                <w:rFonts w:ascii="Calibri" w:eastAsia="Times New Roman" w:hAnsi="Calibri" w:cs="Calibri"/>
                <w:color w:val="000000"/>
                <w:sz w:val="21"/>
                <w:szCs w:val="21"/>
              </w:rPr>
            </w:pPr>
          </w:p>
        </w:tc>
        <w:tc>
          <w:tcPr>
            <w:tcW w:w="1530" w:type="dxa"/>
            <w:shd w:val="clear" w:color="auto" w:fill="auto"/>
            <w:noWrap/>
            <w:vAlign w:val="center"/>
          </w:tcPr>
          <w:p w14:paraId="1F975ED5" w14:textId="77777777" w:rsidR="00F303E0" w:rsidRPr="00EE5714" w:rsidRDefault="00F303E0" w:rsidP="00851815">
            <w:pPr>
              <w:jc w:val="center"/>
              <w:rPr>
                <w:rFonts w:ascii="Calibri" w:eastAsia="Times New Roman" w:hAnsi="Calibri" w:cs="Calibri"/>
                <w:color w:val="000000"/>
                <w:sz w:val="21"/>
                <w:szCs w:val="21"/>
              </w:rPr>
            </w:pPr>
          </w:p>
        </w:tc>
        <w:tc>
          <w:tcPr>
            <w:tcW w:w="1620" w:type="dxa"/>
            <w:shd w:val="clear" w:color="auto" w:fill="auto"/>
            <w:noWrap/>
            <w:vAlign w:val="center"/>
          </w:tcPr>
          <w:p w14:paraId="0D1DC65B" w14:textId="77777777" w:rsidR="00F303E0" w:rsidRPr="00EE5714" w:rsidRDefault="00F303E0" w:rsidP="00851815">
            <w:pPr>
              <w:jc w:val="center"/>
              <w:rPr>
                <w:rFonts w:ascii="Calibri" w:eastAsia="Times New Roman" w:hAnsi="Calibri" w:cs="Calibri"/>
                <w:color w:val="000000"/>
                <w:sz w:val="21"/>
                <w:szCs w:val="21"/>
              </w:rPr>
            </w:pPr>
          </w:p>
        </w:tc>
        <w:tc>
          <w:tcPr>
            <w:tcW w:w="1620" w:type="dxa"/>
            <w:shd w:val="clear" w:color="auto" w:fill="auto"/>
            <w:noWrap/>
            <w:vAlign w:val="center"/>
          </w:tcPr>
          <w:p w14:paraId="4A4F54A5" w14:textId="77777777" w:rsidR="00F303E0" w:rsidRPr="00EE5714" w:rsidRDefault="00F303E0" w:rsidP="00851815">
            <w:pPr>
              <w:jc w:val="center"/>
              <w:rPr>
                <w:rFonts w:ascii="Calibri" w:eastAsia="Times New Roman" w:hAnsi="Calibri" w:cs="Calibri"/>
                <w:color w:val="000000"/>
                <w:sz w:val="21"/>
                <w:szCs w:val="21"/>
              </w:rPr>
            </w:pPr>
          </w:p>
        </w:tc>
      </w:tr>
      <w:tr w:rsidR="00F303E0" w:rsidRPr="00EE5714" w14:paraId="5AA4DF02" w14:textId="77777777" w:rsidTr="00E92A67">
        <w:trPr>
          <w:trHeight w:hRule="exact" w:val="245"/>
        </w:trPr>
        <w:tc>
          <w:tcPr>
            <w:tcW w:w="1620" w:type="dxa"/>
            <w:shd w:val="clear" w:color="auto" w:fill="auto"/>
            <w:noWrap/>
            <w:vAlign w:val="bottom"/>
            <w:hideMark/>
          </w:tcPr>
          <w:p w14:paraId="20046FEF"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1890" w:type="dxa"/>
            <w:shd w:val="clear" w:color="auto" w:fill="auto"/>
            <w:noWrap/>
            <w:vAlign w:val="center"/>
            <w:hideMark/>
          </w:tcPr>
          <w:p w14:paraId="6546F5D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5.09</w:t>
            </w:r>
          </w:p>
        </w:tc>
        <w:tc>
          <w:tcPr>
            <w:tcW w:w="1710" w:type="dxa"/>
            <w:shd w:val="clear" w:color="auto" w:fill="auto"/>
            <w:noWrap/>
            <w:vAlign w:val="center"/>
            <w:hideMark/>
          </w:tcPr>
          <w:p w14:paraId="6E5341E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5.13</w:t>
            </w:r>
          </w:p>
        </w:tc>
        <w:tc>
          <w:tcPr>
            <w:tcW w:w="1530" w:type="dxa"/>
            <w:shd w:val="clear" w:color="auto" w:fill="auto"/>
            <w:noWrap/>
            <w:vAlign w:val="center"/>
            <w:hideMark/>
          </w:tcPr>
          <w:p w14:paraId="0B1334B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5.16</w:t>
            </w:r>
          </w:p>
        </w:tc>
        <w:tc>
          <w:tcPr>
            <w:tcW w:w="1620" w:type="dxa"/>
            <w:shd w:val="clear" w:color="auto" w:fill="auto"/>
            <w:noWrap/>
            <w:vAlign w:val="center"/>
            <w:hideMark/>
          </w:tcPr>
          <w:p w14:paraId="7ADA6AE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5.04</w:t>
            </w:r>
          </w:p>
        </w:tc>
        <w:tc>
          <w:tcPr>
            <w:tcW w:w="1620" w:type="dxa"/>
            <w:shd w:val="clear" w:color="auto" w:fill="auto"/>
            <w:noWrap/>
            <w:vAlign w:val="center"/>
            <w:hideMark/>
          </w:tcPr>
          <w:p w14:paraId="28442DF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4.78</w:t>
            </w:r>
          </w:p>
        </w:tc>
      </w:tr>
      <w:tr w:rsidR="00F303E0" w:rsidRPr="00EE5714" w14:paraId="376A5EC5" w14:textId="77777777" w:rsidTr="00E92A67">
        <w:trPr>
          <w:trHeight w:hRule="exact" w:val="245"/>
        </w:trPr>
        <w:tc>
          <w:tcPr>
            <w:tcW w:w="1620" w:type="dxa"/>
            <w:shd w:val="clear" w:color="auto" w:fill="auto"/>
            <w:noWrap/>
            <w:vAlign w:val="bottom"/>
          </w:tcPr>
          <w:p w14:paraId="020C2DFE"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NFG</w:t>
            </w:r>
          </w:p>
        </w:tc>
        <w:tc>
          <w:tcPr>
            <w:tcW w:w="1890" w:type="dxa"/>
            <w:shd w:val="clear" w:color="auto" w:fill="auto"/>
            <w:noWrap/>
            <w:vAlign w:val="center"/>
          </w:tcPr>
          <w:p w14:paraId="284D09B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5.57</w:t>
            </w:r>
          </w:p>
        </w:tc>
        <w:tc>
          <w:tcPr>
            <w:tcW w:w="1710" w:type="dxa"/>
            <w:shd w:val="clear" w:color="auto" w:fill="auto"/>
            <w:noWrap/>
            <w:vAlign w:val="center"/>
          </w:tcPr>
          <w:p w14:paraId="2E7AA44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6.05</w:t>
            </w:r>
          </w:p>
        </w:tc>
        <w:tc>
          <w:tcPr>
            <w:tcW w:w="1530" w:type="dxa"/>
            <w:shd w:val="clear" w:color="auto" w:fill="auto"/>
            <w:noWrap/>
            <w:vAlign w:val="center"/>
          </w:tcPr>
          <w:p w14:paraId="31FCE66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6.57</w:t>
            </w:r>
          </w:p>
        </w:tc>
        <w:tc>
          <w:tcPr>
            <w:tcW w:w="1620" w:type="dxa"/>
            <w:shd w:val="clear" w:color="auto" w:fill="auto"/>
            <w:noWrap/>
            <w:vAlign w:val="center"/>
          </w:tcPr>
          <w:p w14:paraId="4E1FB025"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5.20</w:t>
            </w:r>
          </w:p>
        </w:tc>
        <w:tc>
          <w:tcPr>
            <w:tcW w:w="1620" w:type="dxa"/>
            <w:shd w:val="clear" w:color="auto" w:fill="auto"/>
            <w:noWrap/>
            <w:vAlign w:val="center"/>
          </w:tcPr>
          <w:p w14:paraId="30B5542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4.14</w:t>
            </w:r>
          </w:p>
        </w:tc>
      </w:tr>
      <w:tr w:rsidR="00F303E0" w:rsidRPr="00EE5714" w14:paraId="0413280A" w14:textId="77777777" w:rsidTr="00E92A67">
        <w:trPr>
          <w:trHeight w:hRule="exact" w:val="245"/>
        </w:trPr>
        <w:tc>
          <w:tcPr>
            <w:tcW w:w="1620" w:type="dxa"/>
            <w:shd w:val="clear" w:color="auto" w:fill="auto"/>
            <w:noWrap/>
            <w:vAlign w:val="bottom"/>
          </w:tcPr>
          <w:p w14:paraId="06C2760D"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Gas</w:t>
            </w:r>
          </w:p>
        </w:tc>
        <w:tc>
          <w:tcPr>
            <w:tcW w:w="1890" w:type="dxa"/>
            <w:shd w:val="clear" w:color="auto" w:fill="auto"/>
            <w:noWrap/>
            <w:vAlign w:val="center"/>
          </w:tcPr>
          <w:p w14:paraId="6D3772F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12.37</w:t>
            </w:r>
          </w:p>
        </w:tc>
        <w:tc>
          <w:tcPr>
            <w:tcW w:w="1710" w:type="dxa"/>
            <w:shd w:val="clear" w:color="auto" w:fill="auto"/>
            <w:noWrap/>
            <w:vAlign w:val="center"/>
          </w:tcPr>
          <w:p w14:paraId="034247F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12.30</w:t>
            </w:r>
          </w:p>
        </w:tc>
        <w:tc>
          <w:tcPr>
            <w:tcW w:w="1530" w:type="dxa"/>
            <w:shd w:val="clear" w:color="auto" w:fill="auto"/>
            <w:noWrap/>
            <w:vAlign w:val="center"/>
          </w:tcPr>
          <w:p w14:paraId="20CEDD1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12.31</w:t>
            </w:r>
          </w:p>
        </w:tc>
        <w:tc>
          <w:tcPr>
            <w:tcW w:w="1620" w:type="dxa"/>
            <w:shd w:val="clear" w:color="auto" w:fill="auto"/>
            <w:noWrap/>
            <w:vAlign w:val="center"/>
          </w:tcPr>
          <w:p w14:paraId="3B0399F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11.20</w:t>
            </w:r>
          </w:p>
        </w:tc>
        <w:tc>
          <w:tcPr>
            <w:tcW w:w="1620" w:type="dxa"/>
            <w:shd w:val="clear" w:color="auto" w:fill="auto"/>
            <w:noWrap/>
            <w:vAlign w:val="center"/>
          </w:tcPr>
          <w:p w14:paraId="1436597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9.36</w:t>
            </w:r>
          </w:p>
        </w:tc>
      </w:tr>
      <w:tr w:rsidR="00F303E0" w:rsidRPr="00EE5714" w14:paraId="3CC62357" w14:textId="77777777" w:rsidTr="00E92A67">
        <w:trPr>
          <w:trHeight w:hRule="exact" w:val="245"/>
        </w:trPr>
        <w:tc>
          <w:tcPr>
            <w:tcW w:w="1620" w:type="dxa"/>
            <w:shd w:val="clear" w:color="auto" w:fill="auto"/>
            <w:noWrap/>
            <w:vAlign w:val="bottom"/>
          </w:tcPr>
          <w:p w14:paraId="6DF3BA22"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w:t>
            </w:r>
          </w:p>
        </w:tc>
        <w:tc>
          <w:tcPr>
            <w:tcW w:w="1890" w:type="dxa"/>
            <w:shd w:val="clear" w:color="auto" w:fill="auto"/>
            <w:noWrap/>
            <w:vAlign w:val="center"/>
          </w:tcPr>
          <w:p w14:paraId="3A38948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6.98</w:t>
            </w:r>
          </w:p>
        </w:tc>
        <w:tc>
          <w:tcPr>
            <w:tcW w:w="1710" w:type="dxa"/>
            <w:shd w:val="clear" w:color="auto" w:fill="auto"/>
            <w:noWrap/>
            <w:vAlign w:val="center"/>
          </w:tcPr>
          <w:p w14:paraId="27A6C15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6.34</w:t>
            </w:r>
          </w:p>
        </w:tc>
        <w:tc>
          <w:tcPr>
            <w:tcW w:w="1530" w:type="dxa"/>
            <w:shd w:val="clear" w:color="auto" w:fill="auto"/>
            <w:noWrap/>
            <w:vAlign w:val="center"/>
          </w:tcPr>
          <w:p w14:paraId="4354906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6.41</w:t>
            </w:r>
          </w:p>
        </w:tc>
        <w:tc>
          <w:tcPr>
            <w:tcW w:w="1620" w:type="dxa"/>
            <w:shd w:val="clear" w:color="auto" w:fill="auto"/>
            <w:noWrap/>
            <w:vAlign w:val="center"/>
          </w:tcPr>
          <w:p w14:paraId="1E33CEA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6.94</w:t>
            </w:r>
          </w:p>
        </w:tc>
        <w:tc>
          <w:tcPr>
            <w:tcW w:w="1620" w:type="dxa"/>
            <w:shd w:val="clear" w:color="auto" w:fill="auto"/>
            <w:noWrap/>
            <w:vAlign w:val="center"/>
          </w:tcPr>
          <w:p w14:paraId="448BA85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6.22</w:t>
            </w:r>
          </w:p>
        </w:tc>
      </w:tr>
      <w:tr w:rsidR="00F303E0" w:rsidRPr="00EE5714" w14:paraId="20829478" w14:textId="77777777" w:rsidTr="00E92A67">
        <w:trPr>
          <w:trHeight w:hRule="exact" w:val="245"/>
        </w:trPr>
        <w:tc>
          <w:tcPr>
            <w:tcW w:w="1620" w:type="dxa"/>
            <w:shd w:val="clear" w:color="auto" w:fill="auto"/>
            <w:noWrap/>
            <w:vAlign w:val="bottom"/>
          </w:tcPr>
          <w:p w14:paraId="1846A59D"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 EQT</w:t>
            </w:r>
          </w:p>
        </w:tc>
        <w:tc>
          <w:tcPr>
            <w:tcW w:w="1890" w:type="dxa"/>
            <w:shd w:val="clear" w:color="auto" w:fill="auto"/>
            <w:noWrap/>
            <w:vAlign w:val="center"/>
          </w:tcPr>
          <w:p w14:paraId="694C25D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8.16</w:t>
            </w:r>
          </w:p>
        </w:tc>
        <w:tc>
          <w:tcPr>
            <w:tcW w:w="1710" w:type="dxa"/>
            <w:shd w:val="clear" w:color="auto" w:fill="auto"/>
            <w:noWrap/>
            <w:vAlign w:val="center"/>
          </w:tcPr>
          <w:p w14:paraId="29539C1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7.21</w:t>
            </w:r>
          </w:p>
        </w:tc>
        <w:tc>
          <w:tcPr>
            <w:tcW w:w="1530" w:type="dxa"/>
            <w:shd w:val="clear" w:color="auto" w:fill="auto"/>
            <w:noWrap/>
            <w:vAlign w:val="center"/>
          </w:tcPr>
          <w:p w14:paraId="0797FE0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6.13</w:t>
            </w:r>
          </w:p>
        </w:tc>
        <w:tc>
          <w:tcPr>
            <w:tcW w:w="1620" w:type="dxa"/>
            <w:shd w:val="clear" w:color="auto" w:fill="auto"/>
            <w:noWrap/>
            <w:vAlign w:val="center"/>
          </w:tcPr>
          <w:p w14:paraId="6CF99DB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4.38</w:t>
            </w:r>
          </w:p>
        </w:tc>
        <w:tc>
          <w:tcPr>
            <w:tcW w:w="1620" w:type="dxa"/>
            <w:shd w:val="clear" w:color="auto" w:fill="auto"/>
            <w:noWrap/>
            <w:vAlign w:val="center"/>
          </w:tcPr>
          <w:p w14:paraId="3F25999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6.74</w:t>
            </w:r>
          </w:p>
        </w:tc>
      </w:tr>
      <w:tr w:rsidR="00F303E0" w:rsidRPr="00EE5714" w14:paraId="12F458D3" w14:textId="77777777" w:rsidTr="00E92A67">
        <w:trPr>
          <w:trHeight w:hRule="exact" w:val="245"/>
        </w:trPr>
        <w:tc>
          <w:tcPr>
            <w:tcW w:w="1620" w:type="dxa"/>
            <w:shd w:val="clear" w:color="auto" w:fill="auto"/>
            <w:noWrap/>
            <w:vAlign w:val="bottom"/>
          </w:tcPr>
          <w:p w14:paraId="4C868C2C"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PGW</w:t>
            </w:r>
          </w:p>
        </w:tc>
        <w:tc>
          <w:tcPr>
            <w:tcW w:w="1890" w:type="dxa"/>
            <w:shd w:val="clear" w:color="auto" w:fill="auto"/>
            <w:noWrap/>
            <w:vAlign w:val="center"/>
          </w:tcPr>
          <w:p w14:paraId="60BC3FE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8.06</w:t>
            </w:r>
          </w:p>
        </w:tc>
        <w:tc>
          <w:tcPr>
            <w:tcW w:w="1710" w:type="dxa"/>
            <w:shd w:val="clear" w:color="auto" w:fill="auto"/>
            <w:noWrap/>
            <w:vAlign w:val="center"/>
          </w:tcPr>
          <w:p w14:paraId="30EBC16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8.08</w:t>
            </w:r>
          </w:p>
        </w:tc>
        <w:tc>
          <w:tcPr>
            <w:tcW w:w="1530" w:type="dxa"/>
            <w:shd w:val="clear" w:color="auto" w:fill="auto"/>
            <w:noWrap/>
            <w:vAlign w:val="center"/>
          </w:tcPr>
          <w:p w14:paraId="5F667EE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8.50</w:t>
            </w:r>
          </w:p>
        </w:tc>
        <w:tc>
          <w:tcPr>
            <w:tcW w:w="1620" w:type="dxa"/>
            <w:shd w:val="clear" w:color="auto" w:fill="auto"/>
            <w:noWrap/>
            <w:vAlign w:val="center"/>
          </w:tcPr>
          <w:p w14:paraId="7A1E530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8.60</w:t>
            </w:r>
          </w:p>
        </w:tc>
        <w:tc>
          <w:tcPr>
            <w:tcW w:w="1620" w:type="dxa"/>
            <w:shd w:val="clear" w:color="auto" w:fill="auto"/>
            <w:noWrap/>
            <w:vAlign w:val="center"/>
          </w:tcPr>
          <w:p w14:paraId="7863425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8.45</w:t>
            </w:r>
          </w:p>
        </w:tc>
      </w:tr>
      <w:tr w:rsidR="00F303E0" w:rsidRPr="00EE5714" w14:paraId="65A2661C" w14:textId="77777777" w:rsidTr="00E92A67">
        <w:trPr>
          <w:trHeight w:hRule="exact" w:val="245"/>
        </w:trPr>
        <w:tc>
          <w:tcPr>
            <w:tcW w:w="1620" w:type="dxa"/>
            <w:shd w:val="clear" w:color="auto" w:fill="auto"/>
            <w:noWrap/>
            <w:vAlign w:val="bottom"/>
          </w:tcPr>
          <w:p w14:paraId="43005511"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UGI Gas</w:t>
            </w:r>
          </w:p>
        </w:tc>
        <w:tc>
          <w:tcPr>
            <w:tcW w:w="1890" w:type="dxa"/>
            <w:shd w:val="clear" w:color="auto" w:fill="auto"/>
            <w:noWrap/>
            <w:vAlign w:val="center"/>
          </w:tcPr>
          <w:p w14:paraId="7ECC52C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7.02</w:t>
            </w:r>
          </w:p>
        </w:tc>
        <w:tc>
          <w:tcPr>
            <w:tcW w:w="1710" w:type="dxa"/>
            <w:shd w:val="clear" w:color="auto" w:fill="auto"/>
            <w:noWrap/>
            <w:vAlign w:val="center"/>
          </w:tcPr>
          <w:p w14:paraId="7F9081D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6.81</w:t>
            </w:r>
          </w:p>
        </w:tc>
        <w:tc>
          <w:tcPr>
            <w:tcW w:w="1530" w:type="dxa"/>
            <w:shd w:val="clear" w:color="auto" w:fill="auto"/>
            <w:noWrap/>
            <w:vAlign w:val="center"/>
          </w:tcPr>
          <w:p w14:paraId="65D133E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6.07</w:t>
            </w:r>
          </w:p>
        </w:tc>
        <w:tc>
          <w:tcPr>
            <w:tcW w:w="1620" w:type="dxa"/>
            <w:shd w:val="clear" w:color="auto" w:fill="auto"/>
            <w:noWrap/>
            <w:vAlign w:val="center"/>
          </w:tcPr>
          <w:p w14:paraId="25C1CE7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5.99</w:t>
            </w:r>
          </w:p>
        </w:tc>
        <w:tc>
          <w:tcPr>
            <w:tcW w:w="1620" w:type="dxa"/>
            <w:shd w:val="clear" w:color="auto" w:fill="auto"/>
            <w:noWrap/>
            <w:vAlign w:val="center"/>
          </w:tcPr>
          <w:p w14:paraId="171A43A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5.04</w:t>
            </w:r>
          </w:p>
        </w:tc>
      </w:tr>
      <w:tr w:rsidR="00F303E0" w:rsidRPr="00EE5714" w14:paraId="3275FF3E" w14:textId="77777777" w:rsidTr="00E92A67">
        <w:trPr>
          <w:trHeight w:hRule="exact" w:val="245"/>
        </w:trPr>
        <w:tc>
          <w:tcPr>
            <w:tcW w:w="1620" w:type="dxa"/>
            <w:shd w:val="clear" w:color="auto" w:fill="auto"/>
            <w:noWrap/>
            <w:vAlign w:val="bottom"/>
          </w:tcPr>
          <w:p w14:paraId="22343776"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UGI PNG</w:t>
            </w:r>
          </w:p>
        </w:tc>
        <w:tc>
          <w:tcPr>
            <w:tcW w:w="1890" w:type="dxa"/>
            <w:shd w:val="clear" w:color="auto" w:fill="auto"/>
            <w:noWrap/>
            <w:vAlign w:val="center"/>
          </w:tcPr>
          <w:p w14:paraId="484063F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7.78</w:t>
            </w:r>
          </w:p>
        </w:tc>
        <w:tc>
          <w:tcPr>
            <w:tcW w:w="1710" w:type="dxa"/>
            <w:shd w:val="clear" w:color="auto" w:fill="auto"/>
            <w:noWrap/>
            <w:vAlign w:val="center"/>
          </w:tcPr>
          <w:p w14:paraId="6946BF4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7.76</w:t>
            </w:r>
          </w:p>
        </w:tc>
        <w:tc>
          <w:tcPr>
            <w:tcW w:w="1530" w:type="dxa"/>
            <w:shd w:val="clear" w:color="auto" w:fill="auto"/>
            <w:noWrap/>
            <w:vAlign w:val="center"/>
          </w:tcPr>
          <w:p w14:paraId="5A24355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7.11</w:t>
            </w:r>
          </w:p>
        </w:tc>
        <w:tc>
          <w:tcPr>
            <w:tcW w:w="1620" w:type="dxa"/>
            <w:shd w:val="clear" w:color="auto" w:fill="auto"/>
            <w:noWrap/>
            <w:vAlign w:val="center"/>
          </w:tcPr>
          <w:p w14:paraId="3A1F602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7.20</w:t>
            </w:r>
          </w:p>
        </w:tc>
        <w:tc>
          <w:tcPr>
            <w:tcW w:w="1620" w:type="dxa"/>
            <w:shd w:val="clear" w:color="auto" w:fill="auto"/>
            <w:noWrap/>
            <w:vAlign w:val="center"/>
          </w:tcPr>
          <w:p w14:paraId="60B8F40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6.03</w:t>
            </w:r>
          </w:p>
        </w:tc>
      </w:tr>
    </w:tbl>
    <w:p w14:paraId="73CDB36E" w14:textId="77777777" w:rsidR="00F303E0" w:rsidRPr="00EE5714" w:rsidRDefault="00F303E0" w:rsidP="00F303E0">
      <w:pPr>
        <w:pStyle w:val="NoSpacing"/>
        <w:rPr>
          <w:rFonts w:cs="Times New Roman"/>
          <w:szCs w:val="26"/>
        </w:rPr>
      </w:pPr>
    </w:p>
    <w:p w14:paraId="35696EDC" w14:textId="77777777" w:rsidR="00F303E0" w:rsidRPr="00EE5714" w:rsidRDefault="00F303E0" w:rsidP="00F303E0">
      <w:pPr>
        <w:pStyle w:val="NoSpacing"/>
        <w:rPr>
          <w:rFonts w:cs="Times New Roman"/>
          <w:szCs w:val="26"/>
        </w:rPr>
      </w:pPr>
    </w:p>
    <w:p w14:paraId="28CEB6FB" w14:textId="77777777" w:rsidR="00F303E0" w:rsidRPr="00EE5714" w:rsidRDefault="00155347" w:rsidP="007D26D3">
      <w:pPr>
        <w:keepNext/>
        <w:keepLines/>
        <w:rPr>
          <w:rFonts w:ascii="Times New Roman" w:hAnsi="Times New Roman" w:cs="Times New Roman"/>
          <w:sz w:val="26"/>
          <w:szCs w:val="26"/>
        </w:rPr>
      </w:pPr>
      <w:r w:rsidRPr="00EE5714">
        <w:rPr>
          <w:rFonts w:ascii="Times New Roman" w:hAnsi="Times New Roman" w:cs="Times New Roman"/>
          <w:sz w:val="26"/>
          <w:szCs w:val="26"/>
        </w:rPr>
        <w:t>Appendix 2</w:t>
      </w:r>
      <w:r w:rsidR="00F303E0" w:rsidRPr="00EE5714">
        <w:rPr>
          <w:rFonts w:ascii="Times New Roman" w:hAnsi="Times New Roman" w:cs="Times New Roman"/>
          <w:sz w:val="26"/>
          <w:szCs w:val="26"/>
        </w:rPr>
        <w:t xml:space="preserve">.B.2: </w:t>
      </w:r>
      <w:r w:rsidR="00F303E0" w:rsidRPr="00EE5714">
        <w:rPr>
          <w:rFonts w:ascii="Times New Roman" w:eastAsia="Times New Roman" w:hAnsi="Times New Roman" w:cs="Times New Roman"/>
          <w:b/>
          <w:color w:val="000000"/>
          <w:sz w:val="26"/>
          <w:szCs w:val="26"/>
        </w:rPr>
        <w:t>EDC CAP Heating and Non-Heating Average Energy Burdens</w:t>
      </w:r>
    </w:p>
    <w:tbl>
      <w:tblPr>
        <w:tblW w:w="999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260"/>
        <w:gridCol w:w="900"/>
        <w:gridCol w:w="810"/>
        <w:gridCol w:w="810"/>
        <w:gridCol w:w="900"/>
        <w:gridCol w:w="900"/>
        <w:gridCol w:w="900"/>
        <w:gridCol w:w="900"/>
        <w:gridCol w:w="900"/>
        <w:gridCol w:w="810"/>
        <w:gridCol w:w="900"/>
      </w:tblGrid>
      <w:tr w:rsidR="00F303E0" w:rsidRPr="00EE5714" w14:paraId="153A4CFE" w14:textId="77777777" w:rsidTr="00E92A67">
        <w:trPr>
          <w:trHeight w:val="300"/>
        </w:trPr>
        <w:tc>
          <w:tcPr>
            <w:tcW w:w="9990" w:type="dxa"/>
            <w:gridSpan w:val="11"/>
            <w:shd w:val="clear" w:color="auto" w:fill="BFBFBF" w:themeFill="background1" w:themeFillShade="BF"/>
            <w:noWrap/>
            <w:vAlign w:val="bottom"/>
          </w:tcPr>
          <w:p w14:paraId="1D4E727C" w14:textId="77777777" w:rsidR="00F303E0" w:rsidRPr="00EE5714" w:rsidRDefault="00F303E0" w:rsidP="00FF6D6E">
            <w:pPr>
              <w:keepNext/>
              <w:keepLine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 xml:space="preserve">EDC CAP Heating and Non-Heating </w:t>
            </w:r>
          </w:p>
          <w:p w14:paraId="658AB478" w14:textId="2A1510E6" w:rsidR="00F303E0" w:rsidRPr="00EE5714" w:rsidRDefault="00F303E0" w:rsidP="00FF6D6E">
            <w:pPr>
              <w:keepNext/>
              <w:keepLine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Average Energy Burdens</w:t>
            </w:r>
            <w:r w:rsidR="00976AFE" w:rsidRPr="00EE5714">
              <w:rPr>
                <w:rFonts w:ascii="Calibri" w:eastAsia="Times New Roman" w:hAnsi="Calibri" w:cs="Calibri"/>
                <w:b/>
                <w:color w:val="000000"/>
              </w:rPr>
              <w:t xml:space="preserve"> </w:t>
            </w:r>
            <w:r w:rsidR="00360778" w:rsidRPr="00EE5714">
              <w:rPr>
                <w:rFonts w:ascii="Calibri" w:eastAsia="Times New Roman" w:hAnsi="Calibri" w:cs="Calibri"/>
                <w:b/>
                <w:color w:val="000000"/>
              </w:rPr>
              <w:t>(%)</w:t>
            </w:r>
          </w:p>
        </w:tc>
      </w:tr>
      <w:tr w:rsidR="006A1707" w:rsidRPr="00EE5714" w14:paraId="257F3020" w14:textId="77777777" w:rsidTr="00FF6D6E">
        <w:trPr>
          <w:trHeight w:val="565"/>
        </w:trPr>
        <w:tc>
          <w:tcPr>
            <w:tcW w:w="1260" w:type="dxa"/>
            <w:shd w:val="clear" w:color="auto" w:fill="F2F2F2" w:themeFill="background1" w:themeFillShade="F2"/>
            <w:noWrap/>
            <w:vAlign w:val="center"/>
            <w:hideMark/>
          </w:tcPr>
          <w:p w14:paraId="78A8673D" w14:textId="77777777" w:rsidR="00F303E0" w:rsidRPr="00EE5714" w:rsidRDefault="00F303E0" w:rsidP="00FF6D6E">
            <w:pPr>
              <w:keepNext/>
              <w:keepLines/>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b/>
                <w:i/>
                <w:color w:val="000000"/>
              </w:rPr>
              <w:t>Total by Year</w:t>
            </w:r>
          </w:p>
        </w:tc>
        <w:tc>
          <w:tcPr>
            <w:tcW w:w="1710" w:type="dxa"/>
            <w:gridSpan w:val="2"/>
            <w:shd w:val="clear" w:color="auto" w:fill="F2F2F2" w:themeFill="background1" w:themeFillShade="F2"/>
            <w:noWrap/>
            <w:vAlign w:val="center"/>
            <w:hideMark/>
          </w:tcPr>
          <w:p w14:paraId="6F8D8D7D" w14:textId="77777777" w:rsidR="00F303E0" w:rsidRPr="00EE5714" w:rsidRDefault="00F303E0" w:rsidP="00FF6D6E">
            <w:pPr>
              <w:keepNext/>
              <w:keepLine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2012</w:t>
            </w:r>
          </w:p>
        </w:tc>
        <w:tc>
          <w:tcPr>
            <w:tcW w:w="1710" w:type="dxa"/>
            <w:gridSpan w:val="2"/>
            <w:shd w:val="clear" w:color="auto" w:fill="F2F2F2" w:themeFill="background1" w:themeFillShade="F2"/>
            <w:noWrap/>
            <w:vAlign w:val="center"/>
            <w:hideMark/>
          </w:tcPr>
          <w:p w14:paraId="2479D7D8" w14:textId="77777777" w:rsidR="00F303E0" w:rsidRPr="00EE5714" w:rsidRDefault="00F303E0" w:rsidP="00FF6D6E">
            <w:pPr>
              <w:keepNext/>
              <w:keepLine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2013</w:t>
            </w:r>
          </w:p>
        </w:tc>
        <w:tc>
          <w:tcPr>
            <w:tcW w:w="1800" w:type="dxa"/>
            <w:gridSpan w:val="2"/>
            <w:shd w:val="clear" w:color="auto" w:fill="F2F2F2" w:themeFill="background1" w:themeFillShade="F2"/>
            <w:noWrap/>
            <w:vAlign w:val="center"/>
            <w:hideMark/>
          </w:tcPr>
          <w:p w14:paraId="715A2E71" w14:textId="77777777" w:rsidR="00F303E0" w:rsidRPr="00EE5714" w:rsidRDefault="00F303E0" w:rsidP="00FF6D6E">
            <w:pPr>
              <w:keepNext/>
              <w:keepLine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2014</w:t>
            </w:r>
          </w:p>
        </w:tc>
        <w:tc>
          <w:tcPr>
            <w:tcW w:w="1800" w:type="dxa"/>
            <w:gridSpan w:val="2"/>
            <w:shd w:val="clear" w:color="auto" w:fill="F2F2F2" w:themeFill="background1" w:themeFillShade="F2"/>
            <w:noWrap/>
            <w:vAlign w:val="center"/>
            <w:hideMark/>
          </w:tcPr>
          <w:p w14:paraId="2BB48F00" w14:textId="77777777" w:rsidR="00F303E0" w:rsidRPr="00EE5714" w:rsidRDefault="00F303E0" w:rsidP="00FF6D6E">
            <w:pPr>
              <w:keepNext/>
              <w:keepLine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2015</w:t>
            </w:r>
          </w:p>
        </w:tc>
        <w:tc>
          <w:tcPr>
            <w:tcW w:w="1710" w:type="dxa"/>
            <w:gridSpan w:val="2"/>
            <w:shd w:val="clear" w:color="auto" w:fill="F2F2F2" w:themeFill="background1" w:themeFillShade="F2"/>
            <w:noWrap/>
            <w:vAlign w:val="center"/>
            <w:hideMark/>
          </w:tcPr>
          <w:p w14:paraId="48DEC6D8" w14:textId="77777777" w:rsidR="00F303E0" w:rsidRPr="00EE5714" w:rsidRDefault="00F303E0" w:rsidP="00FF6D6E">
            <w:pPr>
              <w:keepNext/>
              <w:keepLine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2016</w:t>
            </w:r>
          </w:p>
        </w:tc>
      </w:tr>
      <w:tr w:rsidR="00021D47" w:rsidRPr="00EE5714" w14:paraId="63A3B006" w14:textId="77777777" w:rsidTr="00021D47">
        <w:trPr>
          <w:cantSplit/>
          <w:trHeight w:hRule="exact" w:val="497"/>
        </w:trPr>
        <w:tc>
          <w:tcPr>
            <w:tcW w:w="1260" w:type="dxa"/>
            <w:shd w:val="clear" w:color="auto" w:fill="auto"/>
            <w:noWrap/>
            <w:vAlign w:val="bottom"/>
          </w:tcPr>
          <w:p w14:paraId="1B66056F" w14:textId="77777777" w:rsidR="00F303E0" w:rsidRPr="00EE5714" w:rsidRDefault="00F303E0" w:rsidP="00FF6D6E">
            <w:pPr>
              <w:keepNext/>
              <w:keepLines/>
              <w:spacing w:after="0" w:line="240" w:lineRule="auto"/>
              <w:rPr>
                <w:rFonts w:ascii="Calibri" w:eastAsia="Times New Roman" w:hAnsi="Calibri" w:cs="Calibri"/>
                <w:color w:val="000000"/>
                <w:sz w:val="20"/>
                <w:szCs w:val="20"/>
              </w:rPr>
            </w:pPr>
          </w:p>
        </w:tc>
        <w:tc>
          <w:tcPr>
            <w:tcW w:w="900" w:type="dxa"/>
            <w:shd w:val="clear" w:color="auto" w:fill="auto"/>
            <w:vAlign w:val="center"/>
            <w:hideMark/>
          </w:tcPr>
          <w:p w14:paraId="33EB2394"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810" w:type="dxa"/>
            <w:shd w:val="clear" w:color="auto" w:fill="auto"/>
            <w:vAlign w:val="center"/>
            <w:hideMark/>
          </w:tcPr>
          <w:p w14:paraId="5EC0BDB4"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c>
          <w:tcPr>
            <w:tcW w:w="810" w:type="dxa"/>
            <w:shd w:val="clear" w:color="auto" w:fill="auto"/>
            <w:vAlign w:val="center"/>
            <w:hideMark/>
          </w:tcPr>
          <w:p w14:paraId="233A9389"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900" w:type="dxa"/>
            <w:shd w:val="clear" w:color="auto" w:fill="auto"/>
            <w:vAlign w:val="center"/>
            <w:hideMark/>
          </w:tcPr>
          <w:p w14:paraId="193AACE3"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c>
          <w:tcPr>
            <w:tcW w:w="900" w:type="dxa"/>
            <w:shd w:val="clear" w:color="auto" w:fill="auto"/>
            <w:vAlign w:val="center"/>
            <w:hideMark/>
          </w:tcPr>
          <w:p w14:paraId="7B074A31"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900" w:type="dxa"/>
            <w:shd w:val="clear" w:color="auto" w:fill="auto"/>
            <w:vAlign w:val="center"/>
            <w:hideMark/>
          </w:tcPr>
          <w:p w14:paraId="61B62FD0"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c>
          <w:tcPr>
            <w:tcW w:w="900" w:type="dxa"/>
            <w:shd w:val="clear" w:color="auto" w:fill="auto"/>
            <w:vAlign w:val="center"/>
            <w:hideMark/>
          </w:tcPr>
          <w:p w14:paraId="25551BB3"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900" w:type="dxa"/>
            <w:shd w:val="clear" w:color="auto" w:fill="auto"/>
            <w:vAlign w:val="center"/>
            <w:hideMark/>
          </w:tcPr>
          <w:p w14:paraId="4D147366"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c>
          <w:tcPr>
            <w:tcW w:w="810" w:type="dxa"/>
            <w:shd w:val="clear" w:color="auto" w:fill="auto"/>
            <w:vAlign w:val="center"/>
            <w:hideMark/>
          </w:tcPr>
          <w:p w14:paraId="249BF3F0"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900" w:type="dxa"/>
            <w:shd w:val="clear" w:color="auto" w:fill="auto"/>
            <w:vAlign w:val="center"/>
            <w:hideMark/>
          </w:tcPr>
          <w:p w14:paraId="0DE9F689"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r>
      <w:tr w:rsidR="006A1707" w:rsidRPr="00EE5714" w14:paraId="76F7DACE" w14:textId="77777777" w:rsidTr="00E92A67">
        <w:trPr>
          <w:cantSplit/>
          <w:trHeight w:hRule="exact" w:val="245"/>
        </w:trPr>
        <w:tc>
          <w:tcPr>
            <w:tcW w:w="1260" w:type="dxa"/>
            <w:shd w:val="clear" w:color="auto" w:fill="auto"/>
            <w:noWrap/>
            <w:vAlign w:val="bottom"/>
            <w:hideMark/>
          </w:tcPr>
          <w:p w14:paraId="19A4B03F" w14:textId="77777777" w:rsidR="00F303E0" w:rsidRPr="00EE5714" w:rsidRDefault="00F303E0" w:rsidP="00FF6D6E">
            <w:pPr>
              <w:keepNext/>
              <w:keepLines/>
              <w:spacing w:after="0" w:line="240" w:lineRule="auto"/>
              <w:rPr>
                <w:rFonts w:ascii="Calibri" w:eastAsia="Times New Roman" w:hAnsi="Calibri" w:cs="Calibri"/>
                <w:color w:val="000000"/>
                <w:sz w:val="20"/>
                <w:szCs w:val="20"/>
              </w:rPr>
            </w:pPr>
          </w:p>
        </w:tc>
        <w:tc>
          <w:tcPr>
            <w:tcW w:w="900" w:type="dxa"/>
            <w:shd w:val="clear" w:color="auto" w:fill="auto"/>
            <w:noWrap/>
            <w:vAlign w:val="bottom"/>
            <w:hideMark/>
          </w:tcPr>
          <w:p w14:paraId="5E0A2119" w14:textId="77777777" w:rsidR="00F303E0" w:rsidRPr="00EE5714" w:rsidRDefault="00F303E0" w:rsidP="00FF6D6E">
            <w:pPr>
              <w:keepNext/>
              <w:keepLines/>
              <w:spacing w:after="0" w:line="240" w:lineRule="auto"/>
              <w:jc w:val="center"/>
              <w:rPr>
                <w:rFonts w:ascii="Calibri" w:eastAsia="Times New Roman" w:hAnsi="Calibri" w:cs="Calibri"/>
                <w:color w:val="000000"/>
                <w:sz w:val="20"/>
                <w:szCs w:val="20"/>
              </w:rPr>
            </w:pPr>
          </w:p>
        </w:tc>
        <w:tc>
          <w:tcPr>
            <w:tcW w:w="810" w:type="dxa"/>
            <w:shd w:val="clear" w:color="auto" w:fill="auto"/>
            <w:noWrap/>
            <w:vAlign w:val="bottom"/>
            <w:hideMark/>
          </w:tcPr>
          <w:p w14:paraId="45A4AF79" w14:textId="77777777" w:rsidR="00F303E0" w:rsidRPr="00EE5714" w:rsidRDefault="00F303E0" w:rsidP="00FF6D6E">
            <w:pPr>
              <w:keepNext/>
              <w:keepLines/>
              <w:spacing w:after="0" w:line="240" w:lineRule="auto"/>
              <w:jc w:val="center"/>
              <w:rPr>
                <w:rFonts w:ascii="Calibri" w:eastAsia="Times New Roman" w:hAnsi="Calibri" w:cs="Calibri"/>
                <w:color w:val="000000"/>
                <w:sz w:val="20"/>
                <w:szCs w:val="20"/>
              </w:rPr>
            </w:pPr>
          </w:p>
        </w:tc>
        <w:tc>
          <w:tcPr>
            <w:tcW w:w="810" w:type="dxa"/>
            <w:shd w:val="clear" w:color="auto" w:fill="auto"/>
            <w:noWrap/>
            <w:vAlign w:val="bottom"/>
            <w:hideMark/>
          </w:tcPr>
          <w:p w14:paraId="59EC844E" w14:textId="77777777" w:rsidR="00F303E0" w:rsidRPr="00EE5714" w:rsidRDefault="00F303E0" w:rsidP="00FF6D6E">
            <w:pPr>
              <w:keepNext/>
              <w:keepLines/>
              <w:spacing w:after="0" w:line="240" w:lineRule="auto"/>
              <w:jc w:val="center"/>
              <w:rPr>
                <w:rFonts w:ascii="Calibri" w:eastAsia="Times New Roman" w:hAnsi="Calibri" w:cs="Calibri"/>
                <w:color w:val="000000"/>
                <w:sz w:val="20"/>
                <w:szCs w:val="20"/>
              </w:rPr>
            </w:pPr>
          </w:p>
        </w:tc>
        <w:tc>
          <w:tcPr>
            <w:tcW w:w="900" w:type="dxa"/>
            <w:shd w:val="clear" w:color="auto" w:fill="auto"/>
            <w:noWrap/>
            <w:vAlign w:val="bottom"/>
            <w:hideMark/>
          </w:tcPr>
          <w:p w14:paraId="619C8BE3" w14:textId="77777777" w:rsidR="00F303E0" w:rsidRPr="00EE5714" w:rsidRDefault="00F303E0" w:rsidP="00FF6D6E">
            <w:pPr>
              <w:keepNext/>
              <w:keepLines/>
              <w:spacing w:after="0" w:line="240" w:lineRule="auto"/>
              <w:jc w:val="center"/>
              <w:rPr>
                <w:rFonts w:ascii="Calibri" w:eastAsia="Times New Roman" w:hAnsi="Calibri" w:cs="Calibri"/>
                <w:color w:val="000000"/>
                <w:sz w:val="20"/>
                <w:szCs w:val="20"/>
              </w:rPr>
            </w:pPr>
          </w:p>
        </w:tc>
        <w:tc>
          <w:tcPr>
            <w:tcW w:w="900" w:type="dxa"/>
            <w:shd w:val="clear" w:color="auto" w:fill="auto"/>
            <w:noWrap/>
            <w:vAlign w:val="bottom"/>
            <w:hideMark/>
          </w:tcPr>
          <w:p w14:paraId="4DAF5E5A" w14:textId="77777777" w:rsidR="00F303E0" w:rsidRPr="00EE5714" w:rsidRDefault="00F303E0" w:rsidP="00FF6D6E">
            <w:pPr>
              <w:keepNext/>
              <w:keepLines/>
              <w:spacing w:after="0" w:line="240" w:lineRule="auto"/>
              <w:jc w:val="center"/>
              <w:rPr>
                <w:rFonts w:ascii="Calibri" w:eastAsia="Times New Roman" w:hAnsi="Calibri" w:cs="Calibri"/>
                <w:color w:val="000000"/>
                <w:sz w:val="20"/>
                <w:szCs w:val="20"/>
              </w:rPr>
            </w:pPr>
          </w:p>
        </w:tc>
        <w:tc>
          <w:tcPr>
            <w:tcW w:w="900" w:type="dxa"/>
            <w:shd w:val="clear" w:color="auto" w:fill="auto"/>
            <w:noWrap/>
            <w:vAlign w:val="bottom"/>
            <w:hideMark/>
          </w:tcPr>
          <w:p w14:paraId="5BC38932" w14:textId="77777777" w:rsidR="00F303E0" w:rsidRPr="00EE5714" w:rsidRDefault="00F303E0" w:rsidP="00FF6D6E">
            <w:pPr>
              <w:keepNext/>
              <w:keepLines/>
              <w:spacing w:after="0" w:line="240" w:lineRule="auto"/>
              <w:jc w:val="center"/>
              <w:rPr>
                <w:rFonts w:ascii="Calibri" w:eastAsia="Times New Roman" w:hAnsi="Calibri" w:cs="Calibri"/>
                <w:color w:val="000000"/>
                <w:sz w:val="20"/>
                <w:szCs w:val="20"/>
              </w:rPr>
            </w:pPr>
          </w:p>
        </w:tc>
        <w:tc>
          <w:tcPr>
            <w:tcW w:w="900" w:type="dxa"/>
            <w:shd w:val="clear" w:color="auto" w:fill="auto"/>
            <w:noWrap/>
            <w:vAlign w:val="bottom"/>
            <w:hideMark/>
          </w:tcPr>
          <w:p w14:paraId="77732F95" w14:textId="77777777" w:rsidR="00F303E0" w:rsidRPr="00EE5714" w:rsidRDefault="00F303E0" w:rsidP="00FF6D6E">
            <w:pPr>
              <w:keepNext/>
              <w:keepLines/>
              <w:spacing w:after="0" w:line="240" w:lineRule="auto"/>
              <w:jc w:val="center"/>
              <w:rPr>
                <w:rFonts w:ascii="Calibri" w:eastAsia="Times New Roman" w:hAnsi="Calibri" w:cs="Calibri"/>
                <w:color w:val="000000"/>
                <w:sz w:val="20"/>
                <w:szCs w:val="20"/>
              </w:rPr>
            </w:pPr>
          </w:p>
        </w:tc>
        <w:tc>
          <w:tcPr>
            <w:tcW w:w="900" w:type="dxa"/>
            <w:shd w:val="clear" w:color="auto" w:fill="auto"/>
            <w:noWrap/>
            <w:vAlign w:val="bottom"/>
            <w:hideMark/>
          </w:tcPr>
          <w:p w14:paraId="18F560F7" w14:textId="77777777" w:rsidR="00F303E0" w:rsidRPr="00EE5714" w:rsidRDefault="00F303E0" w:rsidP="00FF6D6E">
            <w:pPr>
              <w:keepNext/>
              <w:keepLines/>
              <w:spacing w:after="0" w:line="240" w:lineRule="auto"/>
              <w:jc w:val="center"/>
              <w:rPr>
                <w:rFonts w:ascii="Calibri" w:eastAsia="Times New Roman" w:hAnsi="Calibri" w:cs="Calibri"/>
                <w:color w:val="000000"/>
                <w:sz w:val="20"/>
                <w:szCs w:val="20"/>
              </w:rPr>
            </w:pPr>
          </w:p>
        </w:tc>
        <w:tc>
          <w:tcPr>
            <w:tcW w:w="810" w:type="dxa"/>
            <w:shd w:val="clear" w:color="auto" w:fill="auto"/>
            <w:noWrap/>
            <w:vAlign w:val="bottom"/>
            <w:hideMark/>
          </w:tcPr>
          <w:p w14:paraId="1895A4B2" w14:textId="77777777" w:rsidR="00F303E0" w:rsidRPr="00EE5714" w:rsidRDefault="00F303E0" w:rsidP="00FF6D6E">
            <w:pPr>
              <w:keepNext/>
              <w:keepLines/>
              <w:spacing w:after="0" w:line="240" w:lineRule="auto"/>
              <w:jc w:val="center"/>
              <w:rPr>
                <w:rFonts w:ascii="Calibri" w:eastAsia="Times New Roman" w:hAnsi="Calibri" w:cs="Calibri"/>
                <w:color w:val="000000"/>
                <w:sz w:val="20"/>
                <w:szCs w:val="20"/>
              </w:rPr>
            </w:pPr>
          </w:p>
        </w:tc>
        <w:tc>
          <w:tcPr>
            <w:tcW w:w="900" w:type="dxa"/>
            <w:shd w:val="clear" w:color="auto" w:fill="auto"/>
            <w:noWrap/>
            <w:vAlign w:val="bottom"/>
            <w:hideMark/>
          </w:tcPr>
          <w:p w14:paraId="3FDC06A6" w14:textId="77777777" w:rsidR="00F303E0" w:rsidRPr="00EE5714" w:rsidRDefault="00F303E0" w:rsidP="00FF6D6E">
            <w:pPr>
              <w:keepNext/>
              <w:keepLines/>
              <w:spacing w:after="0" w:line="240" w:lineRule="auto"/>
              <w:jc w:val="center"/>
              <w:rPr>
                <w:rFonts w:ascii="Calibri" w:eastAsia="Times New Roman" w:hAnsi="Calibri" w:cs="Calibri"/>
                <w:color w:val="000000"/>
                <w:sz w:val="20"/>
                <w:szCs w:val="20"/>
              </w:rPr>
            </w:pPr>
          </w:p>
        </w:tc>
      </w:tr>
      <w:tr w:rsidR="00021D47" w:rsidRPr="00EE5714" w14:paraId="1E91587C" w14:textId="77777777" w:rsidTr="00FF6D6E">
        <w:trPr>
          <w:cantSplit/>
          <w:trHeight w:hRule="exact" w:val="533"/>
        </w:trPr>
        <w:tc>
          <w:tcPr>
            <w:tcW w:w="1260" w:type="dxa"/>
            <w:shd w:val="clear" w:color="auto" w:fill="F2F2F2" w:themeFill="background1" w:themeFillShade="F2"/>
            <w:noWrap/>
            <w:vAlign w:val="center"/>
            <w:hideMark/>
          </w:tcPr>
          <w:p w14:paraId="1D91FC23" w14:textId="77777777" w:rsidR="00F303E0" w:rsidRPr="00EE5714" w:rsidRDefault="00F303E0" w:rsidP="00FF6D6E">
            <w:pPr>
              <w:keepNext/>
              <w:keepLines/>
              <w:spacing w:after="0" w:line="240" w:lineRule="auto"/>
              <w:rPr>
                <w:rFonts w:ascii="Calibri" w:eastAsia="Times New Roman" w:hAnsi="Calibri" w:cs="Calibri"/>
                <w:color w:val="000000"/>
                <w:sz w:val="20"/>
                <w:szCs w:val="20"/>
              </w:rPr>
            </w:pPr>
            <w:r w:rsidRPr="00EE5714">
              <w:rPr>
                <w:rFonts w:ascii="Calibri" w:eastAsia="Times New Roman" w:hAnsi="Calibri" w:cs="Calibri"/>
                <w:b/>
                <w:i/>
                <w:color w:val="000000"/>
                <w:sz w:val="21"/>
                <w:szCs w:val="21"/>
              </w:rPr>
              <w:t>Electric Industry Average</w:t>
            </w:r>
          </w:p>
        </w:tc>
        <w:tc>
          <w:tcPr>
            <w:tcW w:w="900" w:type="dxa"/>
            <w:shd w:val="clear" w:color="auto" w:fill="F2F2F2" w:themeFill="background1" w:themeFillShade="F2"/>
            <w:noWrap/>
            <w:vAlign w:val="center"/>
            <w:hideMark/>
          </w:tcPr>
          <w:p w14:paraId="04828264"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8.38</w:t>
            </w:r>
          </w:p>
        </w:tc>
        <w:tc>
          <w:tcPr>
            <w:tcW w:w="810" w:type="dxa"/>
            <w:shd w:val="clear" w:color="auto" w:fill="F2F2F2" w:themeFill="background1" w:themeFillShade="F2"/>
            <w:noWrap/>
            <w:vAlign w:val="center"/>
            <w:hideMark/>
          </w:tcPr>
          <w:p w14:paraId="1DD0E83C"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5.39</w:t>
            </w:r>
          </w:p>
        </w:tc>
        <w:tc>
          <w:tcPr>
            <w:tcW w:w="810" w:type="dxa"/>
            <w:shd w:val="clear" w:color="auto" w:fill="F2F2F2" w:themeFill="background1" w:themeFillShade="F2"/>
            <w:noWrap/>
            <w:vAlign w:val="center"/>
            <w:hideMark/>
          </w:tcPr>
          <w:p w14:paraId="7269F839"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8.18</w:t>
            </w:r>
          </w:p>
        </w:tc>
        <w:tc>
          <w:tcPr>
            <w:tcW w:w="900" w:type="dxa"/>
            <w:shd w:val="clear" w:color="auto" w:fill="F2F2F2" w:themeFill="background1" w:themeFillShade="F2"/>
            <w:noWrap/>
            <w:vAlign w:val="center"/>
            <w:hideMark/>
          </w:tcPr>
          <w:p w14:paraId="666485E9"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5.18</w:t>
            </w:r>
          </w:p>
        </w:tc>
        <w:tc>
          <w:tcPr>
            <w:tcW w:w="900" w:type="dxa"/>
            <w:shd w:val="clear" w:color="auto" w:fill="F2F2F2" w:themeFill="background1" w:themeFillShade="F2"/>
            <w:noWrap/>
            <w:vAlign w:val="center"/>
            <w:hideMark/>
          </w:tcPr>
          <w:p w14:paraId="3972285E"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9.02</w:t>
            </w:r>
          </w:p>
        </w:tc>
        <w:tc>
          <w:tcPr>
            <w:tcW w:w="900" w:type="dxa"/>
            <w:shd w:val="clear" w:color="auto" w:fill="F2F2F2" w:themeFill="background1" w:themeFillShade="F2"/>
            <w:noWrap/>
            <w:vAlign w:val="center"/>
            <w:hideMark/>
          </w:tcPr>
          <w:p w14:paraId="6B836720"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w:t>
            </w:r>
          </w:p>
        </w:tc>
        <w:tc>
          <w:tcPr>
            <w:tcW w:w="900" w:type="dxa"/>
            <w:shd w:val="clear" w:color="auto" w:fill="F2F2F2" w:themeFill="background1" w:themeFillShade="F2"/>
            <w:noWrap/>
            <w:vAlign w:val="center"/>
            <w:hideMark/>
          </w:tcPr>
          <w:p w14:paraId="2B1833AF"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9.75</w:t>
            </w:r>
          </w:p>
        </w:tc>
        <w:tc>
          <w:tcPr>
            <w:tcW w:w="900" w:type="dxa"/>
            <w:shd w:val="clear" w:color="auto" w:fill="F2F2F2" w:themeFill="background1" w:themeFillShade="F2"/>
            <w:noWrap/>
            <w:vAlign w:val="center"/>
            <w:hideMark/>
          </w:tcPr>
          <w:p w14:paraId="5A837A31"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5.89</w:t>
            </w:r>
          </w:p>
        </w:tc>
        <w:tc>
          <w:tcPr>
            <w:tcW w:w="810" w:type="dxa"/>
            <w:shd w:val="clear" w:color="auto" w:fill="F2F2F2" w:themeFill="background1" w:themeFillShade="F2"/>
            <w:noWrap/>
            <w:vAlign w:val="center"/>
            <w:hideMark/>
          </w:tcPr>
          <w:p w14:paraId="00F39DCB"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8.87</w:t>
            </w:r>
          </w:p>
        </w:tc>
        <w:tc>
          <w:tcPr>
            <w:tcW w:w="900" w:type="dxa"/>
            <w:shd w:val="clear" w:color="auto" w:fill="F2F2F2" w:themeFill="background1" w:themeFillShade="F2"/>
            <w:noWrap/>
            <w:vAlign w:val="center"/>
            <w:hideMark/>
          </w:tcPr>
          <w:p w14:paraId="1CF92F1E"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6.04</w:t>
            </w:r>
          </w:p>
        </w:tc>
      </w:tr>
      <w:tr w:rsidR="006A1707" w:rsidRPr="00EE5714" w14:paraId="75871BD0" w14:textId="77777777" w:rsidTr="00E92A67">
        <w:trPr>
          <w:cantSplit/>
          <w:trHeight w:hRule="exact" w:val="245"/>
        </w:trPr>
        <w:tc>
          <w:tcPr>
            <w:tcW w:w="1260" w:type="dxa"/>
            <w:shd w:val="clear" w:color="auto" w:fill="auto"/>
            <w:noWrap/>
            <w:vAlign w:val="bottom"/>
            <w:hideMark/>
          </w:tcPr>
          <w:p w14:paraId="48FC5012" w14:textId="77777777" w:rsidR="00F303E0" w:rsidRPr="00EE5714" w:rsidRDefault="00F303E0" w:rsidP="007D26D3">
            <w:pPr>
              <w:keepNext/>
              <w:keepLines/>
              <w:jc w:val="right"/>
              <w:rPr>
                <w:rFonts w:ascii="Calibri" w:eastAsia="Times New Roman" w:hAnsi="Calibri" w:cs="Calibri"/>
                <w:color w:val="000000"/>
                <w:sz w:val="20"/>
                <w:szCs w:val="20"/>
              </w:rPr>
            </w:pPr>
          </w:p>
        </w:tc>
        <w:tc>
          <w:tcPr>
            <w:tcW w:w="900" w:type="dxa"/>
            <w:shd w:val="clear" w:color="auto" w:fill="auto"/>
            <w:noWrap/>
            <w:vAlign w:val="bottom"/>
            <w:hideMark/>
          </w:tcPr>
          <w:p w14:paraId="12989B85" w14:textId="77777777" w:rsidR="00F303E0" w:rsidRPr="00EE5714" w:rsidRDefault="00F303E0" w:rsidP="007D26D3">
            <w:pPr>
              <w:keepNext/>
              <w:keepLines/>
              <w:jc w:val="center"/>
              <w:rPr>
                <w:rFonts w:ascii="Calibri" w:eastAsia="Times New Roman" w:hAnsi="Calibri" w:cs="Calibri"/>
                <w:sz w:val="21"/>
                <w:szCs w:val="21"/>
              </w:rPr>
            </w:pPr>
          </w:p>
        </w:tc>
        <w:tc>
          <w:tcPr>
            <w:tcW w:w="810" w:type="dxa"/>
            <w:shd w:val="clear" w:color="auto" w:fill="auto"/>
            <w:noWrap/>
            <w:vAlign w:val="bottom"/>
            <w:hideMark/>
          </w:tcPr>
          <w:p w14:paraId="0392F85D" w14:textId="77777777" w:rsidR="00F303E0" w:rsidRPr="00EE5714" w:rsidRDefault="00F303E0" w:rsidP="007D26D3">
            <w:pPr>
              <w:keepNext/>
              <w:keepLines/>
              <w:jc w:val="center"/>
              <w:rPr>
                <w:rFonts w:ascii="Calibri" w:eastAsia="Times New Roman" w:hAnsi="Calibri" w:cs="Calibri"/>
                <w:sz w:val="21"/>
                <w:szCs w:val="21"/>
              </w:rPr>
            </w:pPr>
          </w:p>
        </w:tc>
        <w:tc>
          <w:tcPr>
            <w:tcW w:w="810" w:type="dxa"/>
            <w:shd w:val="clear" w:color="auto" w:fill="auto"/>
            <w:noWrap/>
            <w:vAlign w:val="bottom"/>
            <w:hideMark/>
          </w:tcPr>
          <w:p w14:paraId="384EC05B" w14:textId="77777777" w:rsidR="00F303E0" w:rsidRPr="00EE5714" w:rsidRDefault="00F303E0" w:rsidP="007D26D3">
            <w:pPr>
              <w:keepNext/>
              <w:keepLines/>
              <w:jc w:val="center"/>
              <w:rPr>
                <w:rFonts w:ascii="Calibri" w:eastAsia="Times New Roman" w:hAnsi="Calibri" w:cs="Calibri"/>
                <w:color w:val="000000"/>
                <w:sz w:val="21"/>
                <w:szCs w:val="21"/>
              </w:rPr>
            </w:pPr>
          </w:p>
        </w:tc>
        <w:tc>
          <w:tcPr>
            <w:tcW w:w="900" w:type="dxa"/>
            <w:shd w:val="clear" w:color="auto" w:fill="auto"/>
            <w:noWrap/>
            <w:vAlign w:val="bottom"/>
            <w:hideMark/>
          </w:tcPr>
          <w:p w14:paraId="40364238" w14:textId="77777777" w:rsidR="00F303E0" w:rsidRPr="00EE5714" w:rsidRDefault="00F303E0" w:rsidP="007D26D3">
            <w:pPr>
              <w:keepNext/>
              <w:keepLines/>
              <w:jc w:val="center"/>
              <w:rPr>
                <w:rFonts w:ascii="Calibri" w:eastAsia="Times New Roman" w:hAnsi="Calibri" w:cs="Calibri"/>
                <w:color w:val="000000"/>
                <w:sz w:val="21"/>
                <w:szCs w:val="21"/>
              </w:rPr>
            </w:pPr>
          </w:p>
        </w:tc>
        <w:tc>
          <w:tcPr>
            <w:tcW w:w="900" w:type="dxa"/>
            <w:shd w:val="clear" w:color="auto" w:fill="auto"/>
            <w:noWrap/>
            <w:vAlign w:val="bottom"/>
            <w:hideMark/>
          </w:tcPr>
          <w:p w14:paraId="7C972C0B" w14:textId="77777777" w:rsidR="00F303E0" w:rsidRPr="00EE5714" w:rsidRDefault="00F303E0" w:rsidP="007D26D3">
            <w:pPr>
              <w:keepNext/>
              <w:keepLines/>
              <w:jc w:val="center"/>
              <w:rPr>
                <w:rFonts w:ascii="Calibri" w:eastAsia="Times New Roman" w:hAnsi="Calibri" w:cs="Calibri"/>
                <w:color w:val="000000"/>
                <w:sz w:val="21"/>
                <w:szCs w:val="21"/>
              </w:rPr>
            </w:pPr>
          </w:p>
        </w:tc>
        <w:tc>
          <w:tcPr>
            <w:tcW w:w="900" w:type="dxa"/>
            <w:shd w:val="clear" w:color="auto" w:fill="auto"/>
            <w:noWrap/>
            <w:vAlign w:val="bottom"/>
            <w:hideMark/>
          </w:tcPr>
          <w:p w14:paraId="4E8189B2" w14:textId="77777777" w:rsidR="00F303E0" w:rsidRPr="00EE5714" w:rsidRDefault="00F303E0" w:rsidP="007D26D3">
            <w:pPr>
              <w:keepNext/>
              <w:keepLines/>
              <w:jc w:val="center"/>
              <w:rPr>
                <w:rFonts w:ascii="Calibri" w:eastAsia="Times New Roman" w:hAnsi="Calibri" w:cs="Calibri"/>
                <w:color w:val="000000"/>
                <w:sz w:val="21"/>
                <w:szCs w:val="21"/>
              </w:rPr>
            </w:pPr>
          </w:p>
        </w:tc>
        <w:tc>
          <w:tcPr>
            <w:tcW w:w="900" w:type="dxa"/>
            <w:shd w:val="clear" w:color="auto" w:fill="auto"/>
            <w:noWrap/>
            <w:vAlign w:val="bottom"/>
            <w:hideMark/>
          </w:tcPr>
          <w:p w14:paraId="5A8C5A7D" w14:textId="77777777" w:rsidR="00F303E0" w:rsidRPr="00EE5714" w:rsidRDefault="00F303E0" w:rsidP="007D26D3">
            <w:pPr>
              <w:keepNext/>
              <w:keepLines/>
              <w:jc w:val="center"/>
              <w:rPr>
                <w:rFonts w:ascii="Calibri" w:eastAsia="Times New Roman" w:hAnsi="Calibri" w:cs="Calibri"/>
                <w:color w:val="000000"/>
                <w:sz w:val="21"/>
                <w:szCs w:val="21"/>
              </w:rPr>
            </w:pPr>
          </w:p>
        </w:tc>
        <w:tc>
          <w:tcPr>
            <w:tcW w:w="900" w:type="dxa"/>
            <w:shd w:val="clear" w:color="auto" w:fill="auto"/>
            <w:noWrap/>
            <w:vAlign w:val="bottom"/>
            <w:hideMark/>
          </w:tcPr>
          <w:p w14:paraId="55784BAB" w14:textId="77777777" w:rsidR="00F303E0" w:rsidRPr="00EE5714" w:rsidRDefault="00F303E0" w:rsidP="007D26D3">
            <w:pPr>
              <w:keepNext/>
              <w:keepLines/>
              <w:jc w:val="center"/>
              <w:rPr>
                <w:rFonts w:ascii="Calibri" w:eastAsia="Times New Roman" w:hAnsi="Calibri" w:cs="Calibri"/>
                <w:sz w:val="21"/>
                <w:szCs w:val="21"/>
              </w:rPr>
            </w:pPr>
          </w:p>
        </w:tc>
        <w:tc>
          <w:tcPr>
            <w:tcW w:w="810" w:type="dxa"/>
            <w:shd w:val="clear" w:color="auto" w:fill="auto"/>
            <w:noWrap/>
            <w:vAlign w:val="bottom"/>
            <w:hideMark/>
          </w:tcPr>
          <w:p w14:paraId="02FBCC4C" w14:textId="77777777" w:rsidR="00F303E0" w:rsidRPr="00EE5714" w:rsidRDefault="00F303E0" w:rsidP="007D26D3">
            <w:pPr>
              <w:keepNext/>
              <w:keepLines/>
              <w:jc w:val="center"/>
              <w:rPr>
                <w:rFonts w:ascii="Calibri" w:eastAsia="Times New Roman" w:hAnsi="Calibri" w:cs="Calibri"/>
                <w:color w:val="000000"/>
                <w:sz w:val="21"/>
                <w:szCs w:val="21"/>
              </w:rPr>
            </w:pPr>
          </w:p>
        </w:tc>
        <w:tc>
          <w:tcPr>
            <w:tcW w:w="900" w:type="dxa"/>
            <w:shd w:val="clear" w:color="auto" w:fill="auto"/>
            <w:noWrap/>
            <w:vAlign w:val="bottom"/>
            <w:hideMark/>
          </w:tcPr>
          <w:p w14:paraId="10D925AD" w14:textId="77777777" w:rsidR="00F303E0" w:rsidRPr="00EE5714" w:rsidRDefault="00F303E0" w:rsidP="007D26D3">
            <w:pPr>
              <w:keepNext/>
              <w:keepLines/>
              <w:jc w:val="center"/>
              <w:rPr>
                <w:rFonts w:ascii="Calibri" w:eastAsia="Times New Roman" w:hAnsi="Calibri" w:cs="Calibri"/>
                <w:color w:val="000000"/>
                <w:sz w:val="21"/>
                <w:szCs w:val="21"/>
              </w:rPr>
            </w:pPr>
          </w:p>
        </w:tc>
      </w:tr>
      <w:tr w:rsidR="006A1707" w:rsidRPr="00EE5714" w14:paraId="7B395ADC" w14:textId="77777777" w:rsidTr="00E92A67">
        <w:trPr>
          <w:cantSplit/>
          <w:trHeight w:hRule="exact" w:val="245"/>
        </w:trPr>
        <w:tc>
          <w:tcPr>
            <w:tcW w:w="1260" w:type="dxa"/>
            <w:shd w:val="clear" w:color="auto" w:fill="auto"/>
            <w:noWrap/>
            <w:vAlign w:val="bottom"/>
            <w:hideMark/>
          </w:tcPr>
          <w:p w14:paraId="5B42F3B8" w14:textId="77777777" w:rsidR="00F303E0" w:rsidRPr="00EE5714" w:rsidRDefault="00F303E0" w:rsidP="007D26D3">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Duquesne</w:t>
            </w:r>
          </w:p>
        </w:tc>
        <w:tc>
          <w:tcPr>
            <w:tcW w:w="900" w:type="dxa"/>
            <w:shd w:val="clear" w:color="auto" w:fill="auto"/>
            <w:noWrap/>
            <w:vAlign w:val="center"/>
            <w:hideMark/>
          </w:tcPr>
          <w:p w14:paraId="328CCF1C"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11.15</w:t>
            </w:r>
          </w:p>
        </w:tc>
        <w:tc>
          <w:tcPr>
            <w:tcW w:w="810" w:type="dxa"/>
            <w:shd w:val="clear" w:color="auto" w:fill="auto"/>
            <w:noWrap/>
            <w:vAlign w:val="center"/>
            <w:hideMark/>
          </w:tcPr>
          <w:p w14:paraId="5EF222E9"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7.52</w:t>
            </w:r>
          </w:p>
        </w:tc>
        <w:tc>
          <w:tcPr>
            <w:tcW w:w="810" w:type="dxa"/>
            <w:shd w:val="clear" w:color="auto" w:fill="auto"/>
            <w:noWrap/>
            <w:vAlign w:val="center"/>
            <w:hideMark/>
          </w:tcPr>
          <w:p w14:paraId="0A323843"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11.12</w:t>
            </w:r>
          </w:p>
        </w:tc>
        <w:tc>
          <w:tcPr>
            <w:tcW w:w="900" w:type="dxa"/>
            <w:shd w:val="clear" w:color="auto" w:fill="auto"/>
            <w:noWrap/>
            <w:vAlign w:val="center"/>
            <w:hideMark/>
          </w:tcPr>
          <w:p w14:paraId="43A5203B"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6.95</w:t>
            </w:r>
          </w:p>
        </w:tc>
        <w:tc>
          <w:tcPr>
            <w:tcW w:w="900" w:type="dxa"/>
            <w:shd w:val="clear" w:color="auto" w:fill="auto"/>
            <w:noWrap/>
            <w:vAlign w:val="center"/>
            <w:hideMark/>
          </w:tcPr>
          <w:p w14:paraId="30D2529F"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7.29</w:t>
            </w:r>
          </w:p>
        </w:tc>
        <w:tc>
          <w:tcPr>
            <w:tcW w:w="900" w:type="dxa"/>
            <w:shd w:val="clear" w:color="auto" w:fill="auto"/>
            <w:noWrap/>
            <w:vAlign w:val="center"/>
            <w:hideMark/>
          </w:tcPr>
          <w:p w14:paraId="0FB879C7"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4.79</w:t>
            </w:r>
          </w:p>
        </w:tc>
        <w:tc>
          <w:tcPr>
            <w:tcW w:w="900" w:type="dxa"/>
            <w:shd w:val="clear" w:color="auto" w:fill="auto"/>
            <w:noWrap/>
            <w:vAlign w:val="center"/>
            <w:hideMark/>
          </w:tcPr>
          <w:p w14:paraId="33247CDE"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14.48</w:t>
            </w:r>
          </w:p>
        </w:tc>
        <w:tc>
          <w:tcPr>
            <w:tcW w:w="900" w:type="dxa"/>
            <w:shd w:val="clear" w:color="auto" w:fill="auto"/>
            <w:noWrap/>
            <w:vAlign w:val="center"/>
            <w:hideMark/>
          </w:tcPr>
          <w:p w14:paraId="19D7259F"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7.27</w:t>
            </w:r>
          </w:p>
        </w:tc>
        <w:tc>
          <w:tcPr>
            <w:tcW w:w="810" w:type="dxa"/>
            <w:shd w:val="clear" w:color="auto" w:fill="auto"/>
            <w:noWrap/>
            <w:vAlign w:val="center"/>
            <w:hideMark/>
          </w:tcPr>
          <w:p w14:paraId="6DCAF77C"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12.68</w:t>
            </w:r>
          </w:p>
        </w:tc>
        <w:tc>
          <w:tcPr>
            <w:tcW w:w="900" w:type="dxa"/>
            <w:shd w:val="clear" w:color="auto" w:fill="auto"/>
            <w:noWrap/>
            <w:vAlign w:val="center"/>
            <w:hideMark/>
          </w:tcPr>
          <w:p w14:paraId="1E854F21"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9.06</w:t>
            </w:r>
          </w:p>
        </w:tc>
      </w:tr>
      <w:tr w:rsidR="006A1707" w:rsidRPr="00EE5714" w14:paraId="4E5737D2" w14:textId="77777777" w:rsidTr="00E92A67">
        <w:trPr>
          <w:cantSplit/>
          <w:trHeight w:hRule="exact" w:val="245"/>
        </w:trPr>
        <w:tc>
          <w:tcPr>
            <w:tcW w:w="1260" w:type="dxa"/>
            <w:shd w:val="clear" w:color="auto" w:fill="auto"/>
            <w:noWrap/>
            <w:vAlign w:val="bottom"/>
            <w:hideMark/>
          </w:tcPr>
          <w:p w14:paraId="625F9AC3" w14:textId="77777777" w:rsidR="00F303E0" w:rsidRPr="00EE5714" w:rsidRDefault="00F303E0" w:rsidP="007D26D3">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900" w:type="dxa"/>
            <w:shd w:val="clear" w:color="auto" w:fill="auto"/>
            <w:noWrap/>
            <w:vAlign w:val="center"/>
            <w:hideMark/>
          </w:tcPr>
          <w:p w14:paraId="08C119F6"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3.47</w:t>
            </w:r>
          </w:p>
        </w:tc>
        <w:tc>
          <w:tcPr>
            <w:tcW w:w="810" w:type="dxa"/>
            <w:shd w:val="clear" w:color="auto" w:fill="auto"/>
            <w:noWrap/>
            <w:vAlign w:val="center"/>
            <w:hideMark/>
          </w:tcPr>
          <w:p w14:paraId="730DB427"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2.92</w:t>
            </w:r>
          </w:p>
        </w:tc>
        <w:tc>
          <w:tcPr>
            <w:tcW w:w="810" w:type="dxa"/>
            <w:shd w:val="clear" w:color="auto" w:fill="auto"/>
            <w:noWrap/>
            <w:vAlign w:val="center"/>
            <w:hideMark/>
          </w:tcPr>
          <w:p w14:paraId="6FC52870"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3.73</w:t>
            </w:r>
          </w:p>
        </w:tc>
        <w:tc>
          <w:tcPr>
            <w:tcW w:w="900" w:type="dxa"/>
            <w:shd w:val="clear" w:color="auto" w:fill="auto"/>
            <w:noWrap/>
            <w:vAlign w:val="center"/>
            <w:hideMark/>
          </w:tcPr>
          <w:p w14:paraId="79AD3CA8"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2.37</w:t>
            </w:r>
          </w:p>
        </w:tc>
        <w:tc>
          <w:tcPr>
            <w:tcW w:w="900" w:type="dxa"/>
            <w:shd w:val="clear" w:color="auto" w:fill="auto"/>
            <w:noWrap/>
            <w:vAlign w:val="center"/>
            <w:hideMark/>
          </w:tcPr>
          <w:p w14:paraId="05FCEF7F"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8.85</w:t>
            </w:r>
          </w:p>
        </w:tc>
        <w:tc>
          <w:tcPr>
            <w:tcW w:w="900" w:type="dxa"/>
            <w:shd w:val="clear" w:color="auto" w:fill="auto"/>
            <w:noWrap/>
            <w:vAlign w:val="center"/>
            <w:hideMark/>
          </w:tcPr>
          <w:p w14:paraId="537C955B"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4.95</w:t>
            </w:r>
          </w:p>
        </w:tc>
        <w:tc>
          <w:tcPr>
            <w:tcW w:w="900" w:type="dxa"/>
            <w:shd w:val="clear" w:color="auto" w:fill="auto"/>
            <w:noWrap/>
            <w:vAlign w:val="center"/>
            <w:hideMark/>
          </w:tcPr>
          <w:p w14:paraId="6D7AA311"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8.78</w:t>
            </w:r>
          </w:p>
        </w:tc>
        <w:tc>
          <w:tcPr>
            <w:tcW w:w="900" w:type="dxa"/>
            <w:shd w:val="clear" w:color="auto" w:fill="auto"/>
            <w:noWrap/>
            <w:vAlign w:val="center"/>
            <w:hideMark/>
          </w:tcPr>
          <w:p w14:paraId="14CEA94E"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5.19</w:t>
            </w:r>
          </w:p>
        </w:tc>
        <w:tc>
          <w:tcPr>
            <w:tcW w:w="810" w:type="dxa"/>
            <w:shd w:val="clear" w:color="auto" w:fill="auto"/>
            <w:noWrap/>
            <w:vAlign w:val="center"/>
            <w:hideMark/>
          </w:tcPr>
          <w:p w14:paraId="5741DEFD"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5.62</w:t>
            </w:r>
          </w:p>
        </w:tc>
        <w:tc>
          <w:tcPr>
            <w:tcW w:w="900" w:type="dxa"/>
            <w:shd w:val="clear" w:color="auto" w:fill="auto"/>
            <w:noWrap/>
            <w:vAlign w:val="center"/>
            <w:hideMark/>
          </w:tcPr>
          <w:p w14:paraId="15147EF5"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5.88</w:t>
            </w:r>
          </w:p>
        </w:tc>
      </w:tr>
      <w:tr w:rsidR="006A1707" w:rsidRPr="00EE5714" w14:paraId="0362CB59" w14:textId="77777777" w:rsidTr="00E92A67">
        <w:trPr>
          <w:cantSplit/>
          <w:trHeight w:hRule="exact" w:val="245"/>
        </w:trPr>
        <w:tc>
          <w:tcPr>
            <w:tcW w:w="1260" w:type="dxa"/>
            <w:shd w:val="clear" w:color="auto" w:fill="auto"/>
            <w:noWrap/>
            <w:vAlign w:val="bottom"/>
          </w:tcPr>
          <w:p w14:paraId="030563AF" w14:textId="77777777" w:rsidR="00F303E0" w:rsidRPr="00EE5714" w:rsidRDefault="00F303E0" w:rsidP="007D26D3">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 xml:space="preserve">PECO Electric </w:t>
            </w:r>
          </w:p>
        </w:tc>
        <w:tc>
          <w:tcPr>
            <w:tcW w:w="900" w:type="dxa"/>
            <w:shd w:val="clear" w:color="auto" w:fill="auto"/>
            <w:noWrap/>
            <w:vAlign w:val="center"/>
          </w:tcPr>
          <w:p w14:paraId="00CDF5BD"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14.43</w:t>
            </w:r>
          </w:p>
        </w:tc>
        <w:tc>
          <w:tcPr>
            <w:tcW w:w="810" w:type="dxa"/>
            <w:shd w:val="clear" w:color="auto" w:fill="auto"/>
            <w:noWrap/>
            <w:vAlign w:val="center"/>
          </w:tcPr>
          <w:p w14:paraId="7858F9DF"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6.47</w:t>
            </w:r>
          </w:p>
        </w:tc>
        <w:tc>
          <w:tcPr>
            <w:tcW w:w="810" w:type="dxa"/>
            <w:shd w:val="clear" w:color="auto" w:fill="auto"/>
            <w:noWrap/>
            <w:vAlign w:val="center"/>
          </w:tcPr>
          <w:p w14:paraId="0876E947"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14.34</w:t>
            </w:r>
          </w:p>
        </w:tc>
        <w:tc>
          <w:tcPr>
            <w:tcW w:w="900" w:type="dxa"/>
            <w:shd w:val="clear" w:color="auto" w:fill="auto"/>
            <w:noWrap/>
            <w:vAlign w:val="center"/>
          </w:tcPr>
          <w:p w14:paraId="54E0069C"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6.51</w:t>
            </w:r>
          </w:p>
        </w:tc>
        <w:tc>
          <w:tcPr>
            <w:tcW w:w="900" w:type="dxa"/>
            <w:shd w:val="clear" w:color="auto" w:fill="auto"/>
            <w:noWrap/>
            <w:vAlign w:val="center"/>
          </w:tcPr>
          <w:p w14:paraId="316A62E4"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14.36</w:t>
            </w:r>
          </w:p>
        </w:tc>
        <w:tc>
          <w:tcPr>
            <w:tcW w:w="900" w:type="dxa"/>
            <w:shd w:val="clear" w:color="auto" w:fill="auto"/>
            <w:noWrap/>
            <w:vAlign w:val="center"/>
          </w:tcPr>
          <w:p w14:paraId="5960A4F6"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6.65</w:t>
            </w:r>
          </w:p>
        </w:tc>
        <w:tc>
          <w:tcPr>
            <w:tcW w:w="900" w:type="dxa"/>
            <w:shd w:val="clear" w:color="auto" w:fill="auto"/>
            <w:noWrap/>
            <w:vAlign w:val="center"/>
          </w:tcPr>
          <w:p w14:paraId="6BA54CED"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13.07</w:t>
            </w:r>
          </w:p>
        </w:tc>
        <w:tc>
          <w:tcPr>
            <w:tcW w:w="900" w:type="dxa"/>
            <w:shd w:val="clear" w:color="auto" w:fill="auto"/>
            <w:noWrap/>
            <w:vAlign w:val="center"/>
          </w:tcPr>
          <w:p w14:paraId="3F851EF4"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6.45</w:t>
            </w:r>
          </w:p>
        </w:tc>
        <w:tc>
          <w:tcPr>
            <w:tcW w:w="810" w:type="dxa"/>
            <w:shd w:val="clear" w:color="auto" w:fill="auto"/>
            <w:noWrap/>
            <w:vAlign w:val="center"/>
          </w:tcPr>
          <w:p w14:paraId="71013E0B"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11.38</w:t>
            </w:r>
          </w:p>
        </w:tc>
        <w:tc>
          <w:tcPr>
            <w:tcW w:w="900" w:type="dxa"/>
            <w:shd w:val="clear" w:color="auto" w:fill="auto"/>
            <w:noWrap/>
            <w:vAlign w:val="center"/>
          </w:tcPr>
          <w:p w14:paraId="57B6302B"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6.39</w:t>
            </w:r>
          </w:p>
        </w:tc>
      </w:tr>
      <w:tr w:rsidR="006A1707" w:rsidRPr="00EE5714" w14:paraId="66452A23" w14:textId="77777777" w:rsidTr="00E92A67">
        <w:trPr>
          <w:cantSplit/>
          <w:trHeight w:hRule="exact" w:val="245"/>
        </w:trPr>
        <w:tc>
          <w:tcPr>
            <w:tcW w:w="1260" w:type="dxa"/>
            <w:shd w:val="clear" w:color="auto" w:fill="auto"/>
            <w:noWrap/>
            <w:vAlign w:val="bottom"/>
            <w:hideMark/>
          </w:tcPr>
          <w:p w14:paraId="001FD420" w14:textId="77777777" w:rsidR="00F303E0" w:rsidRPr="00EE5714" w:rsidRDefault="00F303E0" w:rsidP="007D26D3">
            <w:pPr>
              <w:keepNext/>
              <w:keepLines/>
              <w:rPr>
                <w:rFonts w:ascii="Calibri" w:eastAsia="Times New Roman" w:hAnsi="Calibri" w:cs="Calibri"/>
                <w:b/>
                <w:color w:val="000000"/>
                <w:sz w:val="21"/>
                <w:szCs w:val="21"/>
              </w:rPr>
            </w:pPr>
            <w:proofErr w:type="spellStart"/>
            <w:r w:rsidRPr="00EE5714">
              <w:rPr>
                <w:rFonts w:ascii="Calibri" w:eastAsia="Times New Roman" w:hAnsi="Calibri" w:cs="Calibri"/>
                <w:b/>
                <w:color w:val="000000"/>
                <w:sz w:val="21"/>
                <w:szCs w:val="21"/>
              </w:rPr>
              <w:t>Penelec</w:t>
            </w:r>
            <w:proofErr w:type="spellEnd"/>
          </w:p>
        </w:tc>
        <w:tc>
          <w:tcPr>
            <w:tcW w:w="900" w:type="dxa"/>
            <w:shd w:val="clear" w:color="auto" w:fill="auto"/>
            <w:noWrap/>
            <w:vAlign w:val="center"/>
            <w:hideMark/>
          </w:tcPr>
          <w:p w14:paraId="60198B57"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3.88</w:t>
            </w:r>
          </w:p>
        </w:tc>
        <w:tc>
          <w:tcPr>
            <w:tcW w:w="810" w:type="dxa"/>
            <w:shd w:val="clear" w:color="auto" w:fill="auto"/>
            <w:noWrap/>
            <w:vAlign w:val="center"/>
            <w:hideMark/>
          </w:tcPr>
          <w:p w14:paraId="4F037FE4"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3.02</w:t>
            </w:r>
          </w:p>
        </w:tc>
        <w:tc>
          <w:tcPr>
            <w:tcW w:w="810" w:type="dxa"/>
            <w:shd w:val="clear" w:color="auto" w:fill="auto"/>
            <w:noWrap/>
            <w:vAlign w:val="center"/>
            <w:hideMark/>
          </w:tcPr>
          <w:p w14:paraId="544E3CA5"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3.86</w:t>
            </w:r>
          </w:p>
        </w:tc>
        <w:tc>
          <w:tcPr>
            <w:tcW w:w="900" w:type="dxa"/>
            <w:shd w:val="clear" w:color="auto" w:fill="auto"/>
            <w:noWrap/>
            <w:vAlign w:val="center"/>
            <w:hideMark/>
          </w:tcPr>
          <w:p w14:paraId="58797895"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2.40</w:t>
            </w:r>
          </w:p>
        </w:tc>
        <w:tc>
          <w:tcPr>
            <w:tcW w:w="900" w:type="dxa"/>
            <w:shd w:val="clear" w:color="auto" w:fill="auto"/>
            <w:noWrap/>
            <w:vAlign w:val="center"/>
            <w:hideMark/>
          </w:tcPr>
          <w:p w14:paraId="4713C285"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7.62</w:t>
            </w:r>
          </w:p>
        </w:tc>
        <w:tc>
          <w:tcPr>
            <w:tcW w:w="900" w:type="dxa"/>
            <w:shd w:val="clear" w:color="auto" w:fill="auto"/>
            <w:noWrap/>
            <w:vAlign w:val="center"/>
            <w:hideMark/>
          </w:tcPr>
          <w:p w14:paraId="5C1A52B7"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3.92</w:t>
            </w:r>
          </w:p>
        </w:tc>
        <w:tc>
          <w:tcPr>
            <w:tcW w:w="900" w:type="dxa"/>
            <w:shd w:val="clear" w:color="auto" w:fill="auto"/>
            <w:noWrap/>
            <w:vAlign w:val="center"/>
            <w:hideMark/>
          </w:tcPr>
          <w:p w14:paraId="78E40D9E"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7.30</w:t>
            </w:r>
          </w:p>
        </w:tc>
        <w:tc>
          <w:tcPr>
            <w:tcW w:w="900" w:type="dxa"/>
            <w:shd w:val="clear" w:color="auto" w:fill="auto"/>
            <w:noWrap/>
            <w:vAlign w:val="center"/>
            <w:hideMark/>
          </w:tcPr>
          <w:p w14:paraId="5FEB701D"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4.03</w:t>
            </w:r>
          </w:p>
        </w:tc>
        <w:tc>
          <w:tcPr>
            <w:tcW w:w="810" w:type="dxa"/>
            <w:shd w:val="clear" w:color="auto" w:fill="auto"/>
            <w:noWrap/>
            <w:vAlign w:val="center"/>
            <w:hideMark/>
          </w:tcPr>
          <w:p w14:paraId="66390357"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8.04</w:t>
            </w:r>
          </w:p>
        </w:tc>
        <w:tc>
          <w:tcPr>
            <w:tcW w:w="900" w:type="dxa"/>
            <w:shd w:val="clear" w:color="auto" w:fill="auto"/>
            <w:noWrap/>
            <w:vAlign w:val="center"/>
            <w:hideMark/>
          </w:tcPr>
          <w:p w14:paraId="344215A5"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3.75</w:t>
            </w:r>
          </w:p>
        </w:tc>
      </w:tr>
      <w:tr w:rsidR="006A1707" w:rsidRPr="00EE5714" w14:paraId="32D32F4A" w14:textId="77777777" w:rsidTr="00E92A67">
        <w:trPr>
          <w:cantSplit/>
          <w:trHeight w:hRule="exact" w:val="245"/>
        </w:trPr>
        <w:tc>
          <w:tcPr>
            <w:tcW w:w="1260" w:type="dxa"/>
            <w:shd w:val="clear" w:color="auto" w:fill="auto"/>
            <w:noWrap/>
            <w:vAlign w:val="bottom"/>
            <w:hideMark/>
          </w:tcPr>
          <w:p w14:paraId="066E80B2" w14:textId="77777777" w:rsidR="00F303E0" w:rsidRPr="00EE5714" w:rsidRDefault="00F303E0" w:rsidP="007D26D3">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Penn Power</w:t>
            </w:r>
          </w:p>
        </w:tc>
        <w:tc>
          <w:tcPr>
            <w:tcW w:w="900" w:type="dxa"/>
            <w:shd w:val="clear" w:color="auto" w:fill="auto"/>
            <w:noWrap/>
            <w:vAlign w:val="center"/>
            <w:hideMark/>
          </w:tcPr>
          <w:p w14:paraId="584BE96E"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11.98</w:t>
            </w:r>
          </w:p>
        </w:tc>
        <w:tc>
          <w:tcPr>
            <w:tcW w:w="810" w:type="dxa"/>
            <w:shd w:val="clear" w:color="auto" w:fill="auto"/>
            <w:noWrap/>
            <w:vAlign w:val="center"/>
            <w:hideMark/>
          </w:tcPr>
          <w:p w14:paraId="734706B6"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6.65</w:t>
            </w:r>
          </w:p>
        </w:tc>
        <w:tc>
          <w:tcPr>
            <w:tcW w:w="810" w:type="dxa"/>
            <w:shd w:val="clear" w:color="auto" w:fill="auto"/>
            <w:noWrap/>
            <w:vAlign w:val="center"/>
            <w:hideMark/>
          </w:tcPr>
          <w:p w14:paraId="06D96796"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9.62</w:t>
            </w:r>
          </w:p>
        </w:tc>
        <w:tc>
          <w:tcPr>
            <w:tcW w:w="900" w:type="dxa"/>
            <w:shd w:val="clear" w:color="auto" w:fill="auto"/>
            <w:noWrap/>
            <w:vAlign w:val="center"/>
            <w:hideMark/>
          </w:tcPr>
          <w:p w14:paraId="5D679585"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5.29</w:t>
            </w:r>
          </w:p>
        </w:tc>
        <w:tc>
          <w:tcPr>
            <w:tcW w:w="900" w:type="dxa"/>
            <w:shd w:val="clear" w:color="auto" w:fill="auto"/>
            <w:noWrap/>
            <w:vAlign w:val="center"/>
            <w:hideMark/>
          </w:tcPr>
          <w:p w14:paraId="69DFF9B6"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8.84</w:t>
            </w:r>
          </w:p>
        </w:tc>
        <w:tc>
          <w:tcPr>
            <w:tcW w:w="900" w:type="dxa"/>
            <w:shd w:val="clear" w:color="auto" w:fill="auto"/>
            <w:noWrap/>
            <w:vAlign w:val="center"/>
            <w:hideMark/>
          </w:tcPr>
          <w:p w14:paraId="507BB89F"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6.73</w:t>
            </w:r>
          </w:p>
        </w:tc>
        <w:tc>
          <w:tcPr>
            <w:tcW w:w="900" w:type="dxa"/>
            <w:shd w:val="clear" w:color="auto" w:fill="auto"/>
            <w:noWrap/>
            <w:vAlign w:val="center"/>
            <w:hideMark/>
          </w:tcPr>
          <w:p w14:paraId="35668F1E"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8.56</w:t>
            </w:r>
          </w:p>
        </w:tc>
        <w:tc>
          <w:tcPr>
            <w:tcW w:w="900" w:type="dxa"/>
            <w:shd w:val="clear" w:color="auto" w:fill="auto"/>
            <w:noWrap/>
            <w:vAlign w:val="center"/>
            <w:hideMark/>
          </w:tcPr>
          <w:p w14:paraId="3A8D4632"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4.14</w:t>
            </w:r>
          </w:p>
        </w:tc>
        <w:tc>
          <w:tcPr>
            <w:tcW w:w="810" w:type="dxa"/>
            <w:shd w:val="clear" w:color="auto" w:fill="auto"/>
            <w:noWrap/>
            <w:vAlign w:val="center"/>
            <w:hideMark/>
          </w:tcPr>
          <w:p w14:paraId="58CAACE7"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9.57</w:t>
            </w:r>
          </w:p>
        </w:tc>
        <w:tc>
          <w:tcPr>
            <w:tcW w:w="900" w:type="dxa"/>
            <w:shd w:val="clear" w:color="auto" w:fill="auto"/>
            <w:noWrap/>
            <w:vAlign w:val="center"/>
            <w:hideMark/>
          </w:tcPr>
          <w:p w14:paraId="7257F15B"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4.03</w:t>
            </w:r>
          </w:p>
        </w:tc>
      </w:tr>
      <w:tr w:rsidR="006A1707" w:rsidRPr="00EE5714" w14:paraId="0A7D79FD" w14:textId="77777777" w:rsidTr="00E92A67">
        <w:trPr>
          <w:cantSplit/>
          <w:trHeight w:hRule="exact" w:val="245"/>
        </w:trPr>
        <w:tc>
          <w:tcPr>
            <w:tcW w:w="1260" w:type="dxa"/>
            <w:shd w:val="clear" w:color="auto" w:fill="auto"/>
            <w:noWrap/>
            <w:vAlign w:val="bottom"/>
            <w:hideMark/>
          </w:tcPr>
          <w:p w14:paraId="6AC9EDD7" w14:textId="77777777" w:rsidR="00F303E0" w:rsidRPr="00EE5714" w:rsidRDefault="00F303E0" w:rsidP="007D26D3">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PPL</w:t>
            </w:r>
          </w:p>
        </w:tc>
        <w:tc>
          <w:tcPr>
            <w:tcW w:w="900" w:type="dxa"/>
            <w:shd w:val="clear" w:color="auto" w:fill="auto"/>
            <w:noWrap/>
            <w:vAlign w:val="center"/>
            <w:hideMark/>
          </w:tcPr>
          <w:p w14:paraId="5FB647A4"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6.70</w:t>
            </w:r>
          </w:p>
        </w:tc>
        <w:tc>
          <w:tcPr>
            <w:tcW w:w="810" w:type="dxa"/>
            <w:shd w:val="clear" w:color="auto" w:fill="auto"/>
            <w:noWrap/>
            <w:vAlign w:val="center"/>
            <w:hideMark/>
          </w:tcPr>
          <w:p w14:paraId="6EE74634"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6.52</w:t>
            </w:r>
          </w:p>
        </w:tc>
        <w:tc>
          <w:tcPr>
            <w:tcW w:w="810" w:type="dxa"/>
            <w:shd w:val="clear" w:color="auto" w:fill="auto"/>
            <w:noWrap/>
            <w:vAlign w:val="center"/>
            <w:hideMark/>
          </w:tcPr>
          <w:p w14:paraId="397D1ABF"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6.44</w:t>
            </w:r>
          </w:p>
        </w:tc>
        <w:tc>
          <w:tcPr>
            <w:tcW w:w="900" w:type="dxa"/>
            <w:shd w:val="clear" w:color="auto" w:fill="auto"/>
            <w:noWrap/>
            <w:vAlign w:val="center"/>
            <w:hideMark/>
          </w:tcPr>
          <w:p w14:paraId="0F77F3EC"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6.23</w:t>
            </w:r>
          </w:p>
        </w:tc>
        <w:tc>
          <w:tcPr>
            <w:tcW w:w="900" w:type="dxa"/>
            <w:shd w:val="clear" w:color="auto" w:fill="auto"/>
            <w:noWrap/>
            <w:vAlign w:val="center"/>
            <w:hideMark/>
          </w:tcPr>
          <w:p w14:paraId="07D552BE"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6.74</w:t>
            </w:r>
          </w:p>
        </w:tc>
        <w:tc>
          <w:tcPr>
            <w:tcW w:w="900" w:type="dxa"/>
            <w:shd w:val="clear" w:color="auto" w:fill="auto"/>
            <w:noWrap/>
            <w:vAlign w:val="center"/>
            <w:hideMark/>
          </w:tcPr>
          <w:p w14:paraId="1DD40ABB"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6.46</w:t>
            </w:r>
          </w:p>
        </w:tc>
        <w:tc>
          <w:tcPr>
            <w:tcW w:w="900" w:type="dxa"/>
            <w:shd w:val="clear" w:color="auto" w:fill="auto"/>
            <w:noWrap/>
            <w:vAlign w:val="center"/>
            <w:hideMark/>
          </w:tcPr>
          <w:p w14:paraId="6AAC7B40"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6.81</w:t>
            </w:r>
          </w:p>
        </w:tc>
        <w:tc>
          <w:tcPr>
            <w:tcW w:w="900" w:type="dxa"/>
            <w:shd w:val="clear" w:color="auto" w:fill="auto"/>
            <w:noWrap/>
            <w:vAlign w:val="center"/>
            <w:hideMark/>
          </w:tcPr>
          <w:p w14:paraId="760145DA"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6.54</w:t>
            </w:r>
          </w:p>
        </w:tc>
        <w:tc>
          <w:tcPr>
            <w:tcW w:w="810" w:type="dxa"/>
            <w:shd w:val="clear" w:color="auto" w:fill="auto"/>
            <w:noWrap/>
            <w:vAlign w:val="center"/>
            <w:hideMark/>
          </w:tcPr>
          <w:p w14:paraId="29E1A2D9"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7.18</w:t>
            </w:r>
          </w:p>
        </w:tc>
        <w:tc>
          <w:tcPr>
            <w:tcW w:w="900" w:type="dxa"/>
            <w:shd w:val="clear" w:color="auto" w:fill="auto"/>
            <w:noWrap/>
            <w:vAlign w:val="center"/>
            <w:hideMark/>
          </w:tcPr>
          <w:p w14:paraId="503132FA"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6.90</w:t>
            </w:r>
          </w:p>
        </w:tc>
      </w:tr>
      <w:tr w:rsidR="006A1707" w:rsidRPr="00EE5714" w14:paraId="258AC851" w14:textId="77777777" w:rsidTr="00E92A67">
        <w:trPr>
          <w:cantSplit/>
          <w:trHeight w:hRule="exact" w:val="245"/>
        </w:trPr>
        <w:tc>
          <w:tcPr>
            <w:tcW w:w="1260" w:type="dxa"/>
            <w:shd w:val="clear" w:color="auto" w:fill="auto"/>
            <w:noWrap/>
            <w:vAlign w:val="bottom"/>
            <w:hideMark/>
          </w:tcPr>
          <w:p w14:paraId="0ABD983C" w14:textId="77777777" w:rsidR="00F303E0" w:rsidRPr="00EE5714" w:rsidRDefault="00F303E0" w:rsidP="007D26D3">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West Penn</w:t>
            </w:r>
          </w:p>
        </w:tc>
        <w:tc>
          <w:tcPr>
            <w:tcW w:w="900" w:type="dxa"/>
            <w:shd w:val="clear" w:color="auto" w:fill="auto"/>
            <w:noWrap/>
            <w:vAlign w:val="center"/>
            <w:hideMark/>
          </w:tcPr>
          <w:p w14:paraId="2685E78D"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10.65</w:t>
            </w:r>
          </w:p>
        </w:tc>
        <w:tc>
          <w:tcPr>
            <w:tcW w:w="810" w:type="dxa"/>
            <w:shd w:val="clear" w:color="auto" w:fill="auto"/>
            <w:noWrap/>
            <w:vAlign w:val="center"/>
            <w:hideMark/>
          </w:tcPr>
          <w:p w14:paraId="7A10D713"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7.01</w:t>
            </w:r>
          </w:p>
        </w:tc>
        <w:tc>
          <w:tcPr>
            <w:tcW w:w="810" w:type="dxa"/>
            <w:shd w:val="clear" w:color="auto" w:fill="auto"/>
            <w:noWrap/>
            <w:vAlign w:val="center"/>
            <w:hideMark/>
          </w:tcPr>
          <w:p w14:paraId="7317DF59"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9.77</w:t>
            </w:r>
          </w:p>
        </w:tc>
        <w:tc>
          <w:tcPr>
            <w:tcW w:w="900" w:type="dxa"/>
            <w:shd w:val="clear" w:color="auto" w:fill="auto"/>
            <w:noWrap/>
            <w:vAlign w:val="center"/>
            <w:hideMark/>
          </w:tcPr>
          <w:p w14:paraId="75E04573"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6.34</w:t>
            </w:r>
          </w:p>
        </w:tc>
        <w:tc>
          <w:tcPr>
            <w:tcW w:w="900" w:type="dxa"/>
            <w:shd w:val="clear" w:color="auto" w:fill="auto"/>
            <w:noWrap/>
            <w:vAlign w:val="center"/>
            <w:hideMark/>
          </w:tcPr>
          <w:p w14:paraId="37D5512D"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10.58</w:t>
            </w:r>
          </w:p>
        </w:tc>
        <w:tc>
          <w:tcPr>
            <w:tcW w:w="900" w:type="dxa"/>
            <w:shd w:val="clear" w:color="auto" w:fill="auto"/>
            <w:noWrap/>
            <w:vAlign w:val="center"/>
            <w:hideMark/>
          </w:tcPr>
          <w:p w14:paraId="0D9803B1"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6.72</w:t>
            </w:r>
          </w:p>
        </w:tc>
        <w:tc>
          <w:tcPr>
            <w:tcW w:w="900" w:type="dxa"/>
            <w:shd w:val="clear" w:color="auto" w:fill="auto"/>
            <w:noWrap/>
            <w:vAlign w:val="center"/>
            <w:hideMark/>
          </w:tcPr>
          <w:p w14:paraId="1BD256B3"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10.82</w:t>
            </w:r>
          </w:p>
        </w:tc>
        <w:tc>
          <w:tcPr>
            <w:tcW w:w="900" w:type="dxa"/>
            <w:shd w:val="clear" w:color="auto" w:fill="auto"/>
            <w:noWrap/>
            <w:vAlign w:val="center"/>
            <w:hideMark/>
          </w:tcPr>
          <w:p w14:paraId="6F54C9BF"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6.76</w:t>
            </w:r>
          </w:p>
        </w:tc>
        <w:tc>
          <w:tcPr>
            <w:tcW w:w="810" w:type="dxa"/>
            <w:shd w:val="clear" w:color="auto" w:fill="auto"/>
            <w:noWrap/>
            <w:vAlign w:val="center"/>
            <w:hideMark/>
          </w:tcPr>
          <w:p w14:paraId="22CC917C"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9.27</w:t>
            </w:r>
          </w:p>
        </w:tc>
        <w:tc>
          <w:tcPr>
            <w:tcW w:w="900" w:type="dxa"/>
            <w:shd w:val="clear" w:color="auto" w:fill="auto"/>
            <w:noWrap/>
            <w:vAlign w:val="center"/>
            <w:hideMark/>
          </w:tcPr>
          <w:p w14:paraId="1CF60782"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5.18</w:t>
            </w:r>
          </w:p>
        </w:tc>
      </w:tr>
    </w:tbl>
    <w:p w14:paraId="583386D8" w14:textId="77777777" w:rsidR="00F303E0" w:rsidRPr="00EE5714" w:rsidRDefault="00F303E0" w:rsidP="00E92A67">
      <w:pPr>
        <w:pStyle w:val="NoSpacing"/>
        <w:rPr>
          <w:rFonts w:cs="Times New Roman"/>
          <w:i/>
          <w:szCs w:val="26"/>
        </w:rPr>
      </w:pPr>
    </w:p>
    <w:p w14:paraId="4BC8E7E2" w14:textId="77777777" w:rsidR="00F303E0" w:rsidRPr="00EE5714" w:rsidRDefault="00F303E0" w:rsidP="00F303E0">
      <w:pPr>
        <w:pStyle w:val="NoSpacing"/>
        <w:rPr>
          <w:rFonts w:cs="Times New Roman"/>
          <w:i/>
          <w:szCs w:val="26"/>
        </w:rPr>
      </w:pPr>
    </w:p>
    <w:p w14:paraId="757493A7" w14:textId="77777777" w:rsidR="00F303E0" w:rsidRPr="00EE5714" w:rsidRDefault="00155347" w:rsidP="00F303E0">
      <w:pPr>
        <w:pStyle w:val="NoSpacing"/>
        <w:keepNext/>
        <w:keepLines/>
        <w:rPr>
          <w:rFonts w:cs="Times New Roman"/>
          <w:i/>
          <w:szCs w:val="26"/>
        </w:rPr>
      </w:pPr>
      <w:r w:rsidRPr="00EE5714">
        <w:rPr>
          <w:rFonts w:cs="Times New Roman"/>
          <w:i/>
          <w:szCs w:val="26"/>
        </w:rPr>
        <w:t>Appendix 2</w:t>
      </w:r>
      <w:r w:rsidR="00F303E0" w:rsidRPr="00EE5714">
        <w:rPr>
          <w:rFonts w:cs="Times New Roman"/>
          <w:i/>
          <w:szCs w:val="26"/>
        </w:rPr>
        <w:t>.C: Tables 3-3 to 3-</w:t>
      </w:r>
      <w:r w:rsidR="00F303E0" w:rsidRPr="00EE5714">
        <w:rPr>
          <w:rFonts w:cs="Times New Roman"/>
          <w:szCs w:val="26"/>
        </w:rPr>
        <w:t>5</w:t>
      </w:r>
      <w:r w:rsidR="00F303E0" w:rsidRPr="00EE5714">
        <w:rPr>
          <w:rFonts w:cs="Times New Roman"/>
          <w:i/>
          <w:szCs w:val="26"/>
        </w:rPr>
        <w:t xml:space="preserve"> NGDC CAP Energy Burdens</w:t>
      </w:r>
    </w:p>
    <w:p w14:paraId="1451639C" w14:textId="77777777" w:rsidR="00F303E0" w:rsidRPr="00EE5714" w:rsidRDefault="00F303E0" w:rsidP="00F303E0">
      <w:pPr>
        <w:pStyle w:val="NoSpacing"/>
        <w:keepNext/>
        <w:keepLines/>
        <w:rPr>
          <w:rFonts w:cs="Times New Roman"/>
          <w:szCs w:val="26"/>
        </w:rPr>
      </w:pPr>
    </w:p>
    <w:p w14:paraId="1167078E" w14:textId="77777777" w:rsidR="00F303E0" w:rsidRPr="00EE5714" w:rsidRDefault="00F303E0" w:rsidP="00F303E0">
      <w:pPr>
        <w:pStyle w:val="NoSpacing"/>
        <w:keepNext/>
        <w:keepLines/>
        <w:rPr>
          <w:rFonts w:cs="Times New Roman"/>
          <w:szCs w:val="26"/>
        </w:rPr>
      </w:pPr>
      <w:bookmarkStart w:id="55" w:name="_Hlk526336625"/>
      <w:r w:rsidRPr="00EE5714">
        <w:rPr>
          <w:rFonts w:cs="Times New Roman"/>
          <w:szCs w:val="26"/>
        </w:rPr>
        <w:t xml:space="preserve">The average energy burdens of gas CAP heating customers are shown as a percentage by FPIG level for the period from 2012 through 2016.  </w:t>
      </w:r>
    </w:p>
    <w:bookmarkEnd w:id="55"/>
    <w:p w14:paraId="389988AF" w14:textId="77777777" w:rsidR="00F303E0" w:rsidRPr="00EE5714" w:rsidRDefault="00F303E0" w:rsidP="00F303E0">
      <w:pPr>
        <w:pStyle w:val="NoSpacing"/>
        <w:keepNext/>
        <w:keepLines/>
        <w:rPr>
          <w:rFonts w:cs="Times New Roman"/>
          <w:szCs w:val="26"/>
        </w:rPr>
      </w:pPr>
    </w:p>
    <w:p w14:paraId="751D80F4" w14:textId="77777777" w:rsidR="00F303E0" w:rsidRPr="00EE5714" w:rsidRDefault="00155347">
      <w:pPr>
        <w:pStyle w:val="NoSpacing"/>
        <w:keepNext/>
        <w:keepLines/>
        <w:rPr>
          <w:rFonts w:cs="Times New Roman"/>
          <w:szCs w:val="26"/>
        </w:rPr>
      </w:pPr>
      <w:r w:rsidRPr="00EE5714">
        <w:rPr>
          <w:rFonts w:cs="Times New Roman"/>
          <w:szCs w:val="26"/>
        </w:rPr>
        <w:t>Appendix 2</w:t>
      </w:r>
      <w:r w:rsidR="00F303E0" w:rsidRPr="00EE5714">
        <w:rPr>
          <w:rFonts w:cs="Times New Roman"/>
          <w:szCs w:val="26"/>
        </w:rPr>
        <w:t xml:space="preserve">.C.1: </w:t>
      </w:r>
      <w:r w:rsidR="00F303E0" w:rsidRPr="00EE5714">
        <w:rPr>
          <w:rFonts w:eastAsia="Times New Roman" w:cs="Times New Roman"/>
          <w:b/>
          <w:color w:val="000000"/>
          <w:szCs w:val="26"/>
        </w:rPr>
        <w:t>NGDC CAP Energy Burdens for Heating Customers by FPIG Level</w:t>
      </w:r>
    </w:p>
    <w:tbl>
      <w:tblPr>
        <w:tblW w:w="999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250"/>
        <w:gridCol w:w="2700"/>
        <w:gridCol w:w="2700"/>
        <w:gridCol w:w="2340"/>
      </w:tblGrid>
      <w:tr w:rsidR="00F303E0" w:rsidRPr="00EE5714" w14:paraId="14885103" w14:textId="77777777" w:rsidTr="00E92A67">
        <w:trPr>
          <w:trHeight w:val="403"/>
        </w:trPr>
        <w:tc>
          <w:tcPr>
            <w:tcW w:w="9990" w:type="dxa"/>
            <w:gridSpan w:val="4"/>
            <w:shd w:val="clear" w:color="auto" w:fill="BFBFBF" w:themeFill="background1" w:themeFillShade="BF"/>
            <w:noWrap/>
            <w:vAlign w:val="center"/>
          </w:tcPr>
          <w:p w14:paraId="07E9199D" w14:textId="0EA6A503" w:rsidR="00F303E0" w:rsidRPr="00EE5714" w:rsidRDefault="00F303E0" w:rsidP="00851815">
            <w:pPr>
              <w:keepNext/>
              <w:jc w:val="center"/>
              <w:rPr>
                <w:rFonts w:ascii="Calibri" w:eastAsia="Times New Roman" w:hAnsi="Calibri" w:cs="Calibri"/>
                <w:b/>
                <w:color w:val="000000"/>
              </w:rPr>
            </w:pPr>
            <w:r w:rsidRPr="00EE5714">
              <w:rPr>
                <w:rFonts w:ascii="Calibri" w:eastAsia="Times New Roman" w:hAnsi="Calibri" w:cs="Calibri"/>
                <w:b/>
                <w:color w:val="000000"/>
              </w:rPr>
              <w:t>2012 NGDC CAP Energy Burdens for Heating Customers by FPIG Level</w:t>
            </w:r>
            <w:r w:rsidR="00976AFE" w:rsidRPr="00EE5714">
              <w:rPr>
                <w:rFonts w:ascii="Calibri" w:eastAsia="Times New Roman" w:hAnsi="Calibri" w:cs="Calibri"/>
                <w:b/>
                <w:color w:val="000000"/>
              </w:rPr>
              <w:t xml:space="preserve"> (%)</w:t>
            </w:r>
          </w:p>
        </w:tc>
      </w:tr>
      <w:tr w:rsidR="00F303E0" w:rsidRPr="00EE5714" w14:paraId="6FF8FF68" w14:textId="77777777" w:rsidTr="00E92A67">
        <w:trPr>
          <w:trHeight w:hRule="exact" w:val="245"/>
        </w:trPr>
        <w:tc>
          <w:tcPr>
            <w:tcW w:w="2250" w:type="dxa"/>
            <w:shd w:val="clear" w:color="auto" w:fill="D9D9D9" w:themeFill="background1" w:themeFillShade="D9"/>
            <w:noWrap/>
            <w:vAlign w:val="bottom"/>
            <w:hideMark/>
          </w:tcPr>
          <w:p w14:paraId="4C98A3AD" w14:textId="77777777" w:rsidR="00F303E0" w:rsidRPr="00EE5714" w:rsidRDefault="00F303E0" w:rsidP="00851815">
            <w:pPr>
              <w:keepNext/>
              <w:rPr>
                <w:rFonts w:ascii="Calibri" w:eastAsia="Times New Roman" w:hAnsi="Calibri" w:cs="Calibri"/>
                <w:b/>
                <w:i/>
                <w:color w:val="000000"/>
                <w:sz w:val="21"/>
                <w:szCs w:val="21"/>
              </w:rPr>
            </w:pPr>
            <w:r w:rsidRPr="00EE5714">
              <w:rPr>
                <w:rFonts w:ascii="Calibri" w:eastAsia="Times New Roman" w:hAnsi="Calibri" w:cs="Calibri"/>
                <w:b/>
                <w:i/>
                <w:color w:val="000000"/>
                <w:sz w:val="21"/>
                <w:szCs w:val="21"/>
              </w:rPr>
              <w:t xml:space="preserve"> FPIG Level </w:t>
            </w:r>
          </w:p>
        </w:tc>
        <w:tc>
          <w:tcPr>
            <w:tcW w:w="2700" w:type="dxa"/>
            <w:shd w:val="clear" w:color="auto" w:fill="D9D9D9" w:themeFill="background1" w:themeFillShade="D9"/>
            <w:noWrap/>
            <w:vAlign w:val="bottom"/>
            <w:hideMark/>
          </w:tcPr>
          <w:p w14:paraId="16CBF78C"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2700" w:type="dxa"/>
            <w:shd w:val="clear" w:color="auto" w:fill="D9D9D9" w:themeFill="background1" w:themeFillShade="D9"/>
            <w:noWrap/>
            <w:vAlign w:val="bottom"/>
            <w:hideMark/>
          </w:tcPr>
          <w:p w14:paraId="29E4653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2340" w:type="dxa"/>
            <w:shd w:val="clear" w:color="auto" w:fill="D9D9D9" w:themeFill="background1" w:themeFillShade="D9"/>
            <w:noWrap/>
            <w:vAlign w:val="bottom"/>
            <w:hideMark/>
          </w:tcPr>
          <w:p w14:paraId="3A0BC10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r>
      <w:tr w:rsidR="00F303E0" w:rsidRPr="00EE5714" w14:paraId="1A1C84E5" w14:textId="77777777" w:rsidTr="00E92A67">
        <w:trPr>
          <w:trHeight w:hRule="exact" w:val="245"/>
        </w:trPr>
        <w:tc>
          <w:tcPr>
            <w:tcW w:w="2250" w:type="dxa"/>
            <w:shd w:val="clear" w:color="auto" w:fill="auto"/>
            <w:noWrap/>
            <w:vAlign w:val="bottom"/>
          </w:tcPr>
          <w:p w14:paraId="3E6B3F21" w14:textId="77777777" w:rsidR="00F303E0" w:rsidRPr="00EE5714" w:rsidRDefault="00F303E0" w:rsidP="00851815">
            <w:pPr>
              <w:keepNext/>
              <w:rPr>
                <w:rFonts w:ascii="Calibri" w:eastAsia="Times New Roman" w:hAnsi="Calibri" w:cs="Calibri"/>
                <w:color w:val="000000"/>
                <w:sz w:val="16"/>
                <w:szCs w:val="16"/>
              </w:rPr>
            </w:pPr>
          </w:p>
        </w:tc>
        <w:tc>
          <w:tcPr>
            <w:tcW w:w="2700" w:type="dxa"/>
            <w:shd w:val="clear" w:color="auto" w:fill="auto"/>
            <w:noWrap/>
            <w:vAlign w:val="bottom"/>
          </w:tcPr>
          <w:p w14:paraId="3361A2B1" w14:textId="77777777" w:rsidR="00F303E0" w:rsidRPr="00EE5714" w:rsidRDefault="00F303E0" w:rsidP="00851815">
            <w:pPr>
              <w:keepNext/>
              <w:jc w:val="center"/>
              <w:rPr>
                <w:rFonts w:ascii="Calibri" w:eastAsia="Times New Roman" w:hAnsi="Calibri" w:cs="Calibri"/>
                <w:color w:val="000000"/>
                <w:sz w:val="21"/>
                <w:szCs w:val="21"/>
              </w:rPr>
            </w:pPr>
          </w:p>
        </w:tc>
        <w:tc>
          <w:tcPr>
            <w:tcW w:w="2700" w:type="dxa"/>
            <w:shd w:val="clear" w:color="auto" w:fill="auto"/>
            <w:noWrap/>
            <w:vAlign w:val="bottom"/>
          </w:tcPr>
          <w:p w14:paraId="43AB21A3" w14:textId="77777777" w:rsidR="00F303E0" w:rsidRPr="00EE5714" w:rsidRDefault="00F303E0" w:rsidP="00851815">
            <w:pPr>
              <w:keepNext/>
              <w:jc w:val="center"/>
              <w:rPr>
                <w:rFonts w:ascii="Calibri" w:eastAsia="Times New Roman" w:hAnsi="Calibri" w:cs="Calibri"/>
                <w:color w:val="000000"/>
                <w:sz w:val="21"/>
                <w:szCs w:val="21"/>
              </w:rPr>
            </w:pPr>
          </w:p>
        </w:tc>
        <w:tc>
          <w:tcPr>
            <w:tcW w:w="2340" w:type="dxa"/>
            <w:shd w:val="clear" w:color="auto" w:fill="auto"/>
            <w:noWrap/>
            <w:vAlign w:val="bottom"/>
          </w:tcPr>
          <w:p w14:paraId="1736530B" w14:textId="77777777" w:rsidR="00F303E0" w:rsidRPr="00EE5714" w:rsidRDefault="00F303E0" w:rsidP="00851815">
            <w:pPr>
              <w:keepNext/>
              <w:jc w:val="center"/>
              <w:rPr>
                <w:rFonts w:ascii="Calibri" w:eastAsia="Times New Roman" w:hAnsi="Calibri" w:cs="Calibri"/>
                <w:color w:val="000000"/>
                <w:sz w:val="21"/>
                <w:szCs w:val="21"/>
              </w:rPr>
            </w:pPr>
          </w:p>
        </w:tc>
      </w:tr>
      <w:tr w:rsidR="00F303E0" w:rsidRPr="00EE5714" w14:paraId="32E74395" w14:textId="77777777" w:rsidTr="005536FC">
        <w:trPr>
          <w:trHeight w:hRule="exact" w:val="326"/>
        </w:trPr>
        <w:tc>
          <w:tcPr>
            <w:tcW w:w="2250" w:type="dxa"/>
            <w:shd w:val="clear" w:color="auto" w:fill="F2F2F2" w:themeFill="background1" w:themeFillShade="F2"/>
            <w:noWrap/>
            <w:vAlign w:val="center"/>
            <w:hideMark/>
          </w:tcPr>
          <w:p w14:paraId="53230BFF" w14:textId="77777777" w:rsidR="00F303E0" w:rsidRPr="00EE5714" w:rsidRDefault="00F303E0" w:rsidP="00851815">
            <w:pPr>
              <w:keepNext/>
              <w:rPr>
                <w:rFonts w:ascii="Calibri" w:eastAsia="Times New Roman" w:hAnsi="Calibri" w:cs="Calibri"/>
                <w:b/>
                <w:i/>
                <w:color w:val="000000"/>
                <w:sz w:val="21"/>
                <w:szCs w:val="21"/>
              </w:rPr>
            </w:pPr>
            <w:r w:rsidRPr="00EE5714">
              <w:rPr>
                <w:rFonts w:ascii="Calibri" w:eastAsia="Times New Roman" w:hAnsi="Calibri" w:cs="Calibri"/>
                <w:b/>
                <w:i/>
                <w:color w:val="000000"/>
                <w:sz w:val="21"/>
                <w:szCs w:val="21"/>
              </w:rPr>
              <w:t>Gas Industry Average</w:t>
            </w:r>
          </w:p>
        </w:tc>
        <w:tc>
          <w:tcPr>
            <w:tcW w:w="2700" w:type="dxa"/>
            <w:shd w:val="clear" w:color="auto" w:fill="F2F2F2" w:themeFill="background1" w:themeFillShade="F2"/>
            <w:noWrap/>
            <w:vAlign w:val="center"/>
            <w:hideMark/>
          </w:tcPr>
          <w:p w14:paraId="0290286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8.60</w:t>
            </w:r>
          </w:p>
        </w:tc>
        <w:tc>
          <w:tcPr>
            <w:tcW w:w="2700" w:type="dxa"/>
            <w:shd w:val="clear" w:color="auto" w:fill="F2F2F2" w:themeFill="background1" w:themeFillShade="F2"/>
            <w:noWrap/>
            <w:vAlign w:val="center"/>
            <w:hideMark/>
          </w:tcPr>
          <w:p w14:paraId="6F6BC1E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8.07</w:t>
            </w:r>
          </w:p>
        </w:tc>
        <w:tc>
          <w:tcPr>
            <w:tcW w:w="2340" w:type="dxa"/>
            <w:shd w:val="clear" w:color="auto" w:fill="F2F2F2" w:themeFill="background1" w:themeFillShade="F2"/>
            <w:noWrap/>
            <w:vAlign w:val="center"/>
            <w:hideMark/>
          </w:tcPr>
          <w:p w14:paraId="13FB834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6.92</w:t>
            </w:r>
          </w:p>
        </w:tc>
      </w:tr>
      <w:tr w:rsidR="00F303E0" w:rsidRPr="00EE5714" w14:paraId="794343E6" w14:textId="77777777" w:rsidTr="00E92A67">
        <w:trPr>
          <w:trHeight w:hRule="exact" w:val="245"/>
        </w:trPr>
        <w:tc>
          <w:tcPr>
            <w:tcW w:w="2250" w:type="dxa"/>
            <w:shd w:val="clear" w:color="auto" w:fill="auto"/>
            <w:noWrap/>
            <w:vAlign w:val="bottom"/>
            <w:hideMark/>
          </w:tcPr>
          <w:p w14:paraId="6D188557" w14:textId="77777777" w:rsidR="00F303E0" w:rsidRPr="00EE5714" w:rsidRDefault="00F303E0" w:rsidP="00851815">
            <w:pPr>
              <w:keepNext/>
              <w:jc w:val="right"/>
              <w:rPr>
                <w:rFonts w:ascii="Calibri" w:eastAsia="Times New Roman" w:hAnsi="Calibri" w:cs="Calibri"/>
                <w:color w:val="000000"/>
                <w:sz w:val="21"/>
                <w:szCs w:val="21"/>
              </w:rPr>
            </w:pPr>
          </w:p>
        </w:tc>
        <w:tc>
          <w:tcPr>
            <w:tcW w:w="2700" w:type="dxa"/>
            <w:shd w:val="clear" w:color="auto" w:fill="auto"/>
            <w:noWrap/>
            <w:vAlign w:val="bottom"/>
            <w:hideMark/>
          </w:tcPr>
          <w:p w14:paraId="60C04F1E" w14:textId="77777777" w:rsidR="00F303E0" w:rsidRPr="00EE5714" w:rsidRDefault="00F303E0" w:rsidP="00851815">
            <w:pPr>
              <w:keepNext/>
              <w:jc w:val="center"/>
              <w:rPr>
                <w:rFonts w:ascii="Calibri" w:eastAsia="Times New Roman" w:hAnsi="Calibri" w:cs="Calibri"/>
                <w:color w:val="000000"/>
                <w:sz w:val="21"/>
                <w:szCs w:val="21"/>
              </w:rPr>
            </w:pPr>
          </w:p>
        </w:tc>
        <w:tc>
          <w:tcPr>
            <w:tcW w:w="2700" w:type="dxa"/>
            <w:shd w:val="clear" w:color="auto" w:fill="auto"/>
            <w:noWrap/>
            <w:vAlign w:val="bottom"/>
            <w:hideMark/>
          </w:tcPr>
          <w:p w14:paraId="4CA81D1F" w14:textId="77777777" w:rsidR="00F303E0" w:rsidRPr="00EE5714" w:rsidRDefault="00F303E0" w:rsidP="00851815">
            <w:pPr>
              <w:keepNext/>
              <w:jc w:val="center"/>
              <w:rPr>
                <w:rFonts w:ascii="Calibri" w:eastAsia="Times New Roman" w:hAnsi="Calibri" w:cs="Calibri"/>
                <w:color w:val="000000"/>
                <w:sz w:val="21"/>
                <w:szCs w:val="21"/>
              </w:rPr>
            </w:pPr>
          </w:p>
        </w:tc>
        <w:tc>
          <w:tcPr>
            <w:tcW w:w="2340" w:type="dxa"/>
            <w:shd w:val="clear" w:color="auto" w:fill="auto"/>
            <w:noWrap/>
            <w:vAlign w:val="bottom"/>
            <w:hideMark/>
          </w:tcPr>
          <w:p w14:paraId="68720554" w14:textId="77777777" w:rsidR="00F303E0" w:rsidRPr="00EE5714" w:rsidRDefault="00F303E0" w:rsidP="00851815">
            <w:pPr>
              <w:keepNext/>
              <w:jc w:val="center"/>
              <w:rPr>
                <w:rFonts w:ascii="Calibri" w:eastAsia="Times New Roman" w:hAnsi="Calibri" w:cs="Calibri"/>
                <w:color w:val="000000"/>
                <w:sz w:val="21"/>
                <w:szCs w:val="21"/>
              </w:rPr>
            </w:pPr>
          </w:p>
        </w:tc>
      </w:tr>
      <w:tr w:rsidR="00F303E0" w:rsidRPr="00EE5714" w14:paraId="290D2D12" w14:textId="77777777" w:rsidTr="00E92A67">
        <w:trPr>
          <w:trHeight w:hRule="exact" w:val="245"/>
        </w:trPr>
        <w:tc>
          <w:tcPr>
            <w:tcW w:w="2250" w:type="dxa"/>
            <w:shd w:val="clear" w:color="auto" w:fill="auto"/>
            <w:noWrap/>
            <w:vAlign w:val="bottom"/>
            <w:hideMark/>
          </w:tcPr>
          <w:p w14:paraId="2490CD56"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2700" w:type="dxa"/>
            <w:shd w:val="clear" w:color="auto" w:fill="auto"/>
            <w:noWrap/>
            <w:vAlign w:val="bottom"/>
            <w:hideMark/>
          </w:tcPr>
          <w:p w14:paraId="62221C9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10.42</w:t>
            </w:r>
          </w:p>
        </w:tc>
        <w:tc>
          <w:tcPr>
            <w:tcW w:w="2700" w:type="dxa"/>
            <w:shd w:val="clear" w:color="auto" w:fill="auto"/>
            <w:noWrap/>
            <w:vAlign w:val="bottom"/>
            <w:hideMark/>
          </w:tcPr>
          <w:p w14:paraId="51B0414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5.54</w:t>
            </w:r>
          </w:p>
        </w:tc>
        <w:tc>
          <w:tcPr>
            <w:tcW w:w="2340" w:type="dxa"/>
            <w:shd w:val="clear" w:color="auto" w:fill="auto"/>
            <w:noWrap/>
            <w:vAlign w:val="bottom"/>
            <w:hideMark/>
          </w:tcPr>
          <w:p w14:paraId="71C4E18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3.27</w:t>
            </w:r>
          </w:p>
        </w:tc>
      </w:tr>
      <w:tr w:rsidR="00F303E0" w:rsidRPr="00EE5714" w14:paraId="5CA92026" w14:textId="77777777" w:rsidTr="00E92A67">
        <w:trPr>
          <w:trHeight w:hRule="exact" w:val="245"/>
        </w:trPr>
        <w:tc>
          <w:tcPr>
            <w:tcW w:w="2250" w:type="dxa"/>
            <w:shd w:val="clear" w:color="auto" w:fill="auto"/>
            <w:noWrap/>
            <w:vAlign w:val="bottom"/>
          </w:tcPr>
          <w:p w14:paraId="7986DF61"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Gas</w:t>
            </w:r>
          </w:p>
        </w:tc>
        <w:tc>
          <w:tcPr>
            <w:tcW w:w="2700" w:type="dxa"/>
            <w:shd w:val="clear" w:color="auto" w:fill="auto"/>
            <w:noWrap/>
            <w:vAlign w:val="bottom"/>
          </w:tcPr>
          <w:p w14:paraId="4634964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21.43</w:t>
            </w:r>
          </w:p>
        </w:tc>
        <w:tc>
          <w:tcPr>
            <w:tcW w:w="2700" w:type="dxa"/>
            <w:shd w:val="clear" w:color="auto" w:fill="auto"/>
            <w:noWrap/>
            <w:vAlign w:val="bottom"/>
          </w:tcPr>
          <w:p w14:paraId="6A752BE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11.65</w:t>
            </w:r>
          </w:p>
        </w:tc>
        <w:tc>
          <w:tcPr>
            <w:tcW w:w="2340" w:type="dxa"/>
            <w:shd w:val="clear" w:color="auto" w:fill="auto"/>
            <w:noWrap/>
            <w:vAlign w:val="bottom"/>
          </w:tcPr>
          <w:p w14:paraId="2C232E0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9.51</w:t>
            </w:r>
          </w:p>
        </w:tc>
      </w:tr>
      <w:tr w:rsidR="00F303E0" w:rsidRPr="00EE5714" w14:paraId="7B8860D9" w14:textId="77777777" w:rsidTr="00E92A67">
        <w:trPr>
          <w:trHeight w:hRule="exact" w:val="245"/>
        </w:trPr>
        <w:tc>
          <w:tcPr>
            <w:tcW w:w="2250" w:type="dxa"/>
            <w:shd w:val="clear" w:color="auto" w:fill="auto"/>
            <w:noWrap/>
            <w:vAlign w:val="bottom"/>
          </w:tcPr>
          <w:p w14:paraId="5F4343B2"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w:t>
            </w:r>
          </w:p>
        </w:tc>
        <w:tc>
          <w:tcPr>
            <w:tcW w:w="2700" w:type="dxa"/>
            <w:shd w:val="clear" w:color="auto" w:fill="auto"/>
            <w:noWrap/>
            <w:vAlign w:val="bottom"/>
          </w:tcPr>
          <w:p w14:paraId="3288E11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8.03</w:t>
            </w:r>
          </w:p>
        </w:tc>
        <w:tc>
          <w:tcPr>
            <w:tcW w:w="2700" w:type="dxa"/>
            <w:shd w:val="clear" w:color="auto" w:fill="auto"/>
            <w:noWrap/>
            <w:vAlign w:val="bottom"/>
          </w:tcPr>
          <w:p w14:paraId="4830695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7.29</w:t>
            </w:r>
          </w:p>
        </w:tc>
        <w:tc>
          <w:tcPr>
            <w:tcW w:w="2340" w:type="dxa"/>
            <w:shd w:val="clear" w:color="auto" w:fill="auto"/>
            <w:noWrap/>
            <w:vAlign w:val="bottom"/>
          </w:tcPr>
          <w:p w14:paraId="04458EE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5.64</w:t>
            </w:r>
          </w:p>
        </w:tc>
      </w:tr>
      <w:tr w:rsidR="00F303E0" w:rsidRPr="00EE5714" w14:paraId="6693510D" w14:textId="77777777" w:rsidTr="00E92A67">
        <w:trPr>
          <w:trHeight w:hRule="exact" w:val="245"/>
        </w:trPr>
        <w:tc>
          <w:tcPr>
            <w:tcW w:w="2250" w:type="dxa"/>
            <w:shd w:val="clear" w:color="auto" w:fill="auto"/>
            <w:noWrap/>
            <w:vAlign w:val="bottom"/>
            <w:hideMark/>
          </w:tcPr>
          <w:p w14:paraId="39F86DBA"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 EQT</w:t>
            </w:r>
          </w:p>
        </w:tc>
        <w:tc>
          <w:tcPr>
            <w:tcW w:w="2700" w:type="dxa"/>
            <w:shd w:val="clear" w:color="auto" w:fill="auto"/>
            <w:noWrap/>
            <w:vAlign w:val="bottom"/>
            <w:hideMark/>
          </w:tcPr>
          <w:p w14:paraId="0A964D0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9.45</w:t>
            </w:r>
          </w:p>
        </w:tc>
        <w:tc>
          <w:tcPr>
            <w:tcW w:w="2700" w:type="dxa"/>
            <w:shd w:val="clear" w:color="auto" w:fill="auto"/>
            <w:noWrap/>
            <w:vAlign w:val="bottom"/>
            <w:hideMark/>
          </w:tcPr>
          <w:p w14:paraId="4315612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9.63</w:t>
            </w:r>
          </w:p>
        </w:tc>
        <w:tc>
          <w:tcPr>
            <w:tcW w:w="2340" w:type="dxa"/>
            <w:shd w:val="clear" w:color="auto" w:fill="auto"/>
            <w:noWrap/>
            <w:vAlign w:val="bottom"/>
            <w:hideMark/>
          </w:tcPr>
          <w:p w14:paraId="263BFE3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8.75</w:t>
            </w:r>
          </w:p>
        </w:tc>
      </w:tr>
      <w:tr w:rsidR="00F303E0" w:rsidRPr="00EE5714" w14:paraId="6F7D8F03" w14:textId="77777777" w:rsidTr="00E92A67">
        <w:trPr>
          <w:trHeight w:hRule="exact" w:val="245"/>
        </w:trPr>
        <w:tc>
          <w:tcPr>
            <w:tcW w:w="2250" w:type="dxa"/>
            <w:shd w:val="clear" w:color="auto" w:fill="auto"/>
            <w:noWrap/>
            <w:vAlign w:val="bottom"/>
          </w:tcPr>
          <w:p w14:paraId="3C9942DA"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PGW</w:t>
            </w:r>
          </w:p>
        </w:tc>
        <w:tc>
          <w:tcPr>
            <w:tcW w:w="2700" w:type="dxa"/>
            <w:shd w:val="clear" w:color="auto" w:fill="auto"/>
            <w:noWrap/>
            <w:vAlign w:val="bottom"/>
          </w:tcPr>
          <w:p w14:paraId="5EA68AF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5.82</w:t>
            </w:r>
          </w:p>
        </w:tc>
        <w:tc>
          <w:tcPr>
            <w:tcW w:w="2700" w:type="dxa"/>
            <w:shd w:val="clear" w:color="auto" w:fill="auto"/>
            <w:noWrap/>
            <w:vAlign w:val="bottom"/>
          </w:tcPr>
          <w:p w14:paraId="362D596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8.64</w:t>
            </w:r>
          </w:p>
        </w:tc>
        <w:tc>
          <w:tcPr>
            <w:tcW w:w="2340" w:type="dxa"/>
            <w:shd w:val="clear" w:color="auto" w:fill="auto"/>
            <w:noWrap/>
            <w:vAlign w:val="bottom"/>
          </w:tcPr>
          <w:p w14:paraId="04CAB48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10.38</w:t>
            </w:r>
          </w:p>
        </w:tc>
      </w:tr>
      <w:tr w:rsidR="00F303E0" w:rsidRPr="00EE5714" w14:paraId="595C9B58" w14:textId="77777777" w:rsidTr="00E92A67">
        <w:trPr>
          <w:trHeight w:hRule="exact" w:val="245"/>
        </w:trPr>
        <w:tc>
          <w:tcPr>
            <w:tcW w:w="2250" w:type="dxa"/>
            <w:shd w:val="clear" w:color="auto" w:fill="auto"/>
            <w:noWrap/>
            <w:vAlign w:val="bottom"/>
            <w:hideMark/>
          </w:tcPr>
          <w:p w14:paraId="3EE467B7"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UGI Gas</w:t>
            </w:r>
          </w:p>
        </w:tc>
        <w:tc>
          <w:tcPr>
            <w:tcW w:w="2700" w:type="dxa"/>
            <w:shd w:val="clear" w:color="auto" w:fill="auto"/>
            <w:noWrap/>
            <w:vAlign w:val="bottom"/>
            <w:hideMark/>
          </w:tcPr>
          <w:p w14:paraId="5B6BBA9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9.81</w:t>
            </w:r>
          </w:p>
        </w:tc>
        <w:tc>
          <w:tcPr>
            <w:tcW w:w="2700" w:type="dxa"/>
            <w:shd w:val="clear" w:color="auto" w:fill="auto"/>
            <w:noWrap/>
            <w:vAlign w:val="bottom"/>
            <w:hideMark/>
          </w:tcPr>
          <w:p w14:paraId="4EE2D86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8.35</w:t>
            </w:r>
          </w:p>
        </w:tc>
        <w:tc>
          <w:tcPr>
            <w:tcW w:w="2340" w:type="dxa"/>
            <w:shd w:val="clear" w:color="auto" w:fill="auto"/>
            <w:noWrap/>
            <w:vAlign w:val="bottom"/>
            <w:hideMark/>
          </w:tcPr>
          <w:p w14:paraId="6F959AB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8.15</w:t>
            </w:r>
          </w:p>
        </w:tc>
      </w:tr>
      <w:tr w:rsidR="00F303E0" w:rsidRPr="00EE5714" w14:paraId="2AE6A7CC" w14:textId="77777777" w:rsidTr="00E92A67">
        <w:trPr>
          <w:trHeight w:hRule="exact" w:val="245"/>
        </w:trPr>
        <w:tc>
          <w:tcPr>
            <w:tcW w:w="2250" w:type="dxa"/>
            <w:shd w:val="clear" w:color="auto" w:fill="auto"/>
            <w:noWrap/>
            <w:vAlign w:val="bottom"/>
          </w:tcPr>
          <w:p w14:paraId="50C06266"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UGI PNG</w:t>
            </w:r>
          </w:p>
        </w:tc>
        <w:tc>
          <w:tcPr>
            <w:tcW w:w="2700" w:type="dxa"/>
            <w:shd w:val="clear" w:color="auto" w:fill="auto"/>
            <w:noWrap/>
            <w:vAlign w:val="bottom"/>
          </w:tcPr>
          <w:p w14:paraId="7F8BBE5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11.43</w:t>
            </w:r>
          </w:p>
        </w:tc>
        <w:tc>
          <w:tcPr>
            <w:tcW w:w="2700" w:type="dxa"/>
            <w:shd w:val="clear" w:color="auto" w:fill="auto"/>
            <w:noWrap/>
            <w:vAlign w:val="bottom"/>
          </w:tcPr>
          <w:p w14:paraId="2F110C6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8.55</w:t>
            </w:r>
          </w:p>
        </w:tc>
        <w:tc>
          <w:tcPr>
            <w:tcW w:w="2340" w:type="dxa"/>
            <w:shd w:val="clear" w:color="auto" w:fill="auto"/>
            <w:noWrap/>
            <w:vAlign w:val="bottom"/>
          </w:tcPr>
          <w:p w14:paraId="3C15C9A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8.35</w:t>
            </w:r>
          </w:p>
        </w:tc>
      </w:tr>
    </w:tbl>
    <w:p w14:paraId="6DC00E8E" w14:textId="77777777" w:rsidR="00F303E0" w:rsidRPr="00EE5714" w:rsidRDefault="00F303E0" w:rsidP="00E92A67">
      <w:pPr>
        <w:pStyle w:val="NoSpacing"/>
        <w:rPr>
          <w:rFonts w:cs="Times New Roman"/>
          <w:i/>
          <w:szCs w:val="26"/>
        </w:rPr>
      </w:pPr>
    </w:p>
    <w:p w14:paraId="7BFB486E" w14:textId="77777777" w:rsidR="00F303E0" w:rsidRPr="00EE5714" w:rsidRDefault="00F303E0" w:rsidP="00E92A67">
      <w:pPr>
        <w:pStyle w:val="NoSpacing"/>
        <w:rPr>
          <w:rFonts w:cs="Times New Roman"/>
          <w:i/>
          <w:szCs w:val="26"/>
        </w:rPr>
      </w:pPr>
    </w:p>
    <w:p w14:paraId="7216A50F" w14:textId="77777777" w:rsidR="00F303E0" w:rsidRPr="00EE5714" w:rsidRDefault="00155347" w:rsidP="007D26D3">
      <w:pPr>
        <w:keepNext/>
        <w:keepLines/>
        <w:rPr>
          <w:rFonts w:ascii="Times New Roman" w:hAnsi="Times New Roman" w:cs="Times New Roman"/>
          <w:sz w:val="26"/>
          <w:szCs w:val="26"/>
        </w:rPr>
      </w:pPr>
      <w:r w:rsidRPr="00EE5714">
        <w:rPr>
          <w:rFonts w:ascii="Times New Roman" w:hAnsi="Times New Roman" w:cs="Times New Roman"/>
          <w:sz w:val="26"/>
          <w:szCs w:val="26"/>
        </w:rPr>
        <w:t>Appendix 2</w:t>
      </w:r>
      <w:r w:rsidR="00F303E0" w:rsidRPr="00EE5714">
        <w:rPr>
          <w:rFonts w:ascii="Times New Roman" w:hAnsi="Times New Roman" w:cs="Times New Roman"/>
          <w:sz w:val="26"/>
          <w:szCs w:val="26"/>
        </w:rPr>
        <w:t xml:space="preserve">.C.2: </w:t>
      </w:r>
      <w:r w:rsidR="00F303E0" w:rsidRPr="00EE5714">
        <w:rPr>
          <w:rFonts w:ascii="Times New Roman" w:eastAsia="Times New Roman" w:hAnsi="Times New Roman" w:cs="Times New Roman"/>
          <w:b/>
          <w:color w:val="000000"/>
          <w:sz w:val="26"/>
          <w:szCs w:val="26"/>
        </w:rPr>
        <w:t>NGDC CAP Energy Burdens by FPIG Levels</w:t>
      </w:r>
    </w:p>
    <w:tbl>
      <w:tblPr>
        <w:tblW w:w="999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250"/>
        <w:gridCol w:w="2700"/>
        <w:gridCol w:w="2700"/>
        <w:gridCol w:w="2340"/>
      </w:tblGrid>
      <w:tr w:rsidR="00F303E0" w:rsidRPr="00EE5714" w14:paraId="19744A7D" w14:textId="77777777" w:rsidTr="00E92A67">
        <w:trPr>
          <w:trHeight w:val="385"/>
        </w:trPr>
        <w:tc>
          <w:tcPr>
            <w:tcW w:w="9990" w:type="dxa"/>
            <w:gridSpan w:val="4"/>
            <w:shd w:val="clear" w:color="auto" w:fill="BFBFBF" w:themeFill="background1" w:themeFillShade="BF"/>
            <w:vAlign w:val="center"/>
          </w:tcPr>
          <w:p w14:paraId="69C72F73" w14:textId="6B2657BB" w:rsidR="00F303E0" w:rsidRPr="00EE5714" w:rsidRDefault="00F303E0" w:rsidP="00FF6D6E">
            <w:pPr>
              <w:keepNext/>
              <w:keepLine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2013 NGDC CAP Energy Burdens for Heating Customers by FPIG Levels</w:t>
            </w:r>
            <w:r w:rsidR="00976AFE" w:rsidRPr="00EE5714">
              <w:rPr>
                <w:rFonts w:ascii="Calibri" w:eastAsia="Times New Roman" w:hAnsi="Calibri" w:cs="Calibri"/>
                <w:b/>
                <w:color w:val="000000"/>
              </w:rPr>
              <w:t xml:space="preserve"> (%)</w:t>
            </w:r>
          </w:p>
        </w:tc>
      </w:tr>
      <w:tr w:rsidR="00F303E0" w:rsidRPr="00EE5714" w14:paraId="49ABB8FD" w14:textId="77777777" w:rsidTr="00E92A67">
        <w:trPr>
          <w:trHeight w:hRule="exact" w:val="245"/>
        </w:trPr>
        <w:tc>
          <w:tcPr>
            <w:tcW w:w="2250" w:type="dxa"/>
            <w:shd w:val="clear" w:color="auto" w:fill="D9D9D9" w:themeFill="background1" w:themeFillShade="D9"/>
            <w:vAlign w:val="bottom"/>
          </w:tcPr>
          <w:p w14:paraId="1D5A4C9E" w14:textId="77777777" w:rsidR="00F303E0" w:rsidRPr="00EE5714" w:rsidRDefault="00F303E0" w:rsidP="007D26D3">
            <w:pPr>
              <w:keepNext/>
              <w:keepLines/>
              <w:rPr>
                <w:rFonts w:ascii="Calibri" w:eastAsia="Times New Roman" w:hAnsi="Calibri" w:cs="Calibri"/>
                <w:b/>
                <w:color w:val="000000"/>
                <w:sz w:val="21"/>
                <w:szCs w:val="21"/>
              </w:rPr>
            </w:pPr>
            <w:r w:rsidRPr="00EE5714">
              <w:rPr>
                <w:rFonts w:ascii="Calibri" w:eastAsia="Times New Roman" w:hAnsi="Calibri" w:cs="Calibri"/>
                <w:b/>
                <w:i/>
                <w:color w:val="000000"/>
                <w:sz w:val="21"/>
                <w:szCs w:val="21"/>
              </w:rPr>
              <w:t xml:space="preserve">FPIG Level </w:t>
            </w:r>
          </w:p>
        </w:tc>
        <w:tc>
          <w:tcPr>
            <w:tcW w:w="2700" w:type="dxa"/>
            <w:shd w:val="clear" w:color="auto" w:fill="D9D9D9" w:themeFill="background1" w:themeFillShade="D9"/>
            <w:noWrap/>
            <w:vAlign w:val="bottom"/>
            <w:hideMark/>
          </w:tcPr>
          <w:p w14:paraId="2C3A0D83" w14:textId="77777777" w:rsidR="00F303E0" w:rsidRPr="00EE5714" w:rsidRDefault="00F303E0" w:rsidP="007D26D3">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2700" w:type="dxa"/>
            <w:shd w:val="clear" w:color="auto" w:fill="D9D9D9" w:themeFill="background1" w:themeFillShade="D9"/>
            <w:noWrap/>
            <w:vAlign w:val="bottom"/>
            <w:hideMark/>
          </w:tcPr>
          <w:p w14:paraId="4A251256" w14:textId="77777777" w:rsidR="00F303E0" w:rsidRPr="00EE5714" w:rsidRDefault="00F303E0" w:rsidP="007D26D3">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2340" w:type="dxa"/>
            <w:shd w:val="clear" w:color="auto" w:fill="D9D9D9" w:themeFill="background1" w:themeFillShade="D9"/>
            <w:noWrap/>
            <w:vAlign w:val="bottom"/>
            <w:hideMark/>
          </w:tcPr>
          <w:p w14:paraId="0B3D4C7B" w14:textId="77777777" w:rsidR="00F303E0" w:rsidRPr="00EE5714" w:rsidRDefault="00F303E0" w:rsidP="007D26D3">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r>
      <w:tr w:rsidR="00F303E0" w:rsidRPr="00EE5714" w14:paraId="5651F449" w14:textId="77777777" w:rsidTr="00E92A67">
        <w:trPr>
          <w:trHeight w:hRule="exact" w:val="245"/>
        </w:trPr>
        <w:tc>
          <w:tcPr>
            <w:tcW w:w="2250" w:type="dxa"/>
            <w:shd w:val="clear" w:color="auto" w:fill="auto"/>
            <w:vAlign w:val="bottom"/>
          </w:tcPr>
          <w:p w14:paraId="5BE4A57D" w14:textId="77777777" w:rsidR="00F303E0" w:rsidRPr="00EE5714" w:rsidRDefault="00F303E0" w:rsidP="007D26D3">
            <w:pPr>
              <w:keepNext/>
              <w:keepLines/>
              <w:rPr>
                <w:rFonts w:ascii="Calibri" w:eastAsia="Times New Roman" w:hAnsi="Calibri" w:cs="Calibri"/>
                <w:color w:val="000000"/>
                <w:sz w:val="21"/>
                <w:szCs w:val="21"/>
              </w:rPr>
            </w:pPr>
          </w:p>
        </w:tc>
        <w:tc>
          <w:tcPr>
            <w:tcW w:w="2700" w:type="dxa"/>
            <w:shd w:val="clear" w:color="auto" w:fill="auto"/>
            <w:noWrap/>
            <w:vAlign w:val="bottom"/>
          </w:tcPr>
          <w:p w14:paraId="6DAD959B" w14:textId="77777777" w:rsidR="00F303E0" w:rsidRPr="00EE5714" w:rsidRDefault="00F303E0" w:rsidP="007D26D3">
            <w:pPr>
              <w:keepNext/>
              <w:keepLines/>
              <w:jc w:val="center"/>
              <w:rPr>
                <w:rFonts w:ascii="Calibri" w:eastAsia="Times New Roman" w:hAnsi="Calibri" w:cs="Calibri"/>
                <w:color w:val="000000"/>
                <w:sz w:val="21"/>
                <w:szCs w:val="21"/>
              </w:rPr>
            </w:pPr>
          </w:p>
        </w:tc>
        <w:tc>
          <w:tcPr>
            <w:tcW w:w="2700" w:type="dxa"/>
            <w:shd w:val="clear" w:color="auto" w:fill="auto"/>
            <w:noWrap/>
            <w:vAlign w:val="bottom"/>
          </w:tcPr>
          <w:p w14:paraId="37515C69" w14:textId="77777777" w:rsidR="00F303E0" w:rsidRPr="00EE5714" w:rsidRDefault="00F303E0" w:rsidP="007D26D3">
            <w:pPr>
              <w:keepNext/>
              <w:keepLines/>
              <w:jc w:val="center"/>
              <w:rPr>
                <w:rFonts w:ascii="Calibri" w:eastAsia="Times New Roman" w:hAnsi="Calibri" w:cs="Calibri"/>
                <w:color w:val="000000"/>
                <w:sz w:val="21"/>
                <w:szCs w:val="21"/>
              </w:rPr>
            </w:pPr>
          </w:p>
        </w:tc>
        <w:tc>
          <w:tcPr>
            <w:tcW w:w="2340" w:type="dxa"/>
            <w:shd w:val="clear" w:color="auto" w:fill="auto"/>
            <w:noWrap/>
            <w:vAlign w:val="bottom"/>
          </w:tcPr>
          <w:p w14:paraId="475300C9" w14:textId="77777777" w:rsidR="00F303E0" w:rsidRPr="00EE5714" w:rsidRDefault="00F303E0" w:rsidP="007D26D3">
            <w:pPr>
              <w:keepNext/>
              <w:keepLines/>
              <w:jc w:val="center"/>
              <w:rPr>
                <w:rFonts w:ascii="Calibri" w:eastAsia="Times New Roman" w:hAnsi="Calibri" w:cs="Calibri"/>
                <w:color w:val="000000"/>
                <w:sz w:val="21"/>
                <w:szCs w:val="21"/>
              </w:rPr>
            </w:pPr>
          </w:p>
        </w:tc>
      </w:tr>
      <w:tr w:rsidR="00F303E0" w:rsidRPr="00EE5714" w14:paraId="3B2AF762" w14:textId="77777777" w:rsidTr="005536FC">
        <w:trPr>
          <w:trHeight w:hRule="exact" w:val="281"/>
        </w:trPr>
        <w:tc>
          <w:tcPr>
            <w:tcW w:w="2250" w:type="dxa"/>
            <w:shd w:val="clear" w:color="auto" w:fill="F2F2F2" w:themeFill="background1" w:themeFillShade="F2"/>
            <w:vAlign w:val="center"/>
          </w:tcPr>
          <w:p w14:paraId="2115897C" w14:textId="77777777" w:rsidR="00F303E0" w:rsidRPr="00EE5714" w:rsidRDefault="00F303E0" w:rsidP="007D26D3">
            <w:pPr>
              <w:keepNext/>
              <w:keepLines/>
              <w:rPr>
                <w:rFonts w:ascii="Calibri" w:eastAsia="Times New Roman" w:hAnsi="Calibri" w:cs="Calibri"/>
                <w:color w:val="000000"/>
                <w:sz w:val="21"/>
                <w:szCs w:val="21"/>
              </w:rPr>
            </w:pPr>
            <w:r w:rsidRPr="00EE5714">
              <w:rPr>
                <w:rFonts w:ascii="Calibri" w:eastAsia="Times New Roman" w:hAnsi="Calibri" w:cs="Calibri"/>
                <w:b/>
                <w:i/>
                <w:color w:val="000000"/>
                <w:sz w:val="21"/>
                <w:szCs w:val="21"/>
              </w:rPr>
              <w:t>Gas Industry Average</w:t>
            </w:r>
          </w:p>
        </w:tc>
        <w:tc>
          <w:tcPr>
            <w:tcW w:w="2700" w:type="dxa"/>
            <w:shd w:val="clear" w:color="auto" w:fill="F2F2F2" w:themeFill="background1" w:themeFillShade="F2"/>
            <w:noWrap/>
            <w:vAlign w:val="center"/>
            <w:hideMark/>
          </w:tcPr>
          <w:p w14:paraId="52482247"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8.55</w:t>
            </w:r>
          </w:p>
        </w:tc>
        <w:tc>
          <w:tcPr>
            <w:tcW w:w="2700" w:type="dxa"/>
            <w:shd w:val="clear" w:color="auto" w:fill="F2F2F2" w:themeFill="background1" w:themeFillShade="F2"/>
            <w:noWrap/>
            <w:vAlign w:val="center"/>
            <w:hideMark/>
          </w:tcPr>
          <w:p w14:paraId="3457DB88"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7.90</w:t>
            </w:r>
          </w:p>
        </w:tc>
        <w:tc>
          <w:tcPr>
            <w:tcW w:w="2340" w:type="dxa"/>
            <w:shd w:val="clear" w:color="auto" w:fill="F2F2F2" w:themeFill="background1" w:themeFillShade="F2"/>
            <w:noWrap/>
            <w:vAlign w:val="center"/>
            <w:hideMark/>
          </w:tcPr>
          <w:p w14:paraId="298DACCD"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6.90</w:t>
            </w:r>
          </w:p>
        </w:tc>
      </w:tr>
      <w:tr w:rsidR="00F303E0" w:rsidRPr="00EE5714" w14:paraId="31257C97" w14:textId="77777777" w:rsidTr="00E92A67">
        <w:trPr>
          <w:trHeight w:hRule="exact" w:val="245"/>
        </w:trPr>
        <w:tc>
          <w:tcPr>
            <w:tcW w:w="2250" w:type="dxa"/>
            <w:shd w:val="clear" w:color="auto" w:fill="auto"/>
            <w:vAlign w:val="bottom"/>
          </w:tcPr>
          <w:p w14:paraId="7A614C4E" w14:textId="77777777" w:rsidR="00F303E0" w:rsidRPr="00EE5714" w:rsidRDefault="00F303E0" w:rsidP="007D26D3">
            <w:pPr>
              <w:keepNext/>
              <w:keepLines/>
              <w:rPr>
                <w:rFonts w:ascii="Calibri" w:eastAsia="Times New Roman" w:hAnsi="Calibri" w:cs="Calibri"/>
                <w:color w:val="000000"/>
                <w:sz w:val="21"/>
                <w:szCs w:val="21"/>
              </w:rPr>
            </w:pPr>
          </w:p>
        </w:tc>
        <w:tc>
          <w:tcPr>
            <w:tcW w:w="2700" w:type="dxa"/>
            <w:shd w:val="clear" w:color="auto" w:fill="auto"/>
            <w:noWrap/>
            <w:vAlign w:val="bottom"/>
            <w:hideMark/>
          </w:tcPr>
          <w:p w14:paraId="01B94726" w14:textId="77777777" w:rsidR="00F303E0" w:rsidRPr="00EE5714" w:rsidRDefault="00F303E0" w:rsidP="007D26D3">
            <w:pPr>
              <w:keepNext/>
              <w:keepLines/>
              <w:jc w:val="center"/>
              <w:rPr>
                <w:rFonts w:ascii="Calibri" w:eastAsia="Times New Roman" w:hAnsi="Calibri" w:cs="Calibri"/>
                <w:color w:val="000000"/>
                <w:sz w:val="21"/>
                <w:szCs w:val="21"/>
              </w:rPr>
            </w:pPr>
          </w:p>
        </w:tc>
        <w:tc>
          <w:tcPr>
            <w:tcW w:w="2700" w:type="dxa"/>
            <w:shd w:val="clear" w:color="auto" w:fill="auto"/>
            <w:noWrap/>
            <w:vAlign w:val="bottom"/>
            <w:hideMark/>
          </w:tcPr>
          <w:p w14:paraId="3BEB2531" w14:textId="77777777" w:rsidR="00F303E0" w:rsidRPr="00EE5714" w:rsidRDefault="00F303E0" w:rsidP="007D26D3">
            <w:pPr>
              <w:keepNext/>
              <w:keepLines/>
              <w:jc w:val="center"/>
              <w:rPr>
                <w:rFonts w:ascii="Calibri" w:eastAsia="Times New Roman" w:hAnsi="Calibri" w:cs="Calibri"/>
                <w:color w:val="000000"/>
                <w:sz w:val="21"/>
                <w:szCs w:val="21"/>
              </w:rPr>
            </w:pPr>
          </w:p>
        </w:tc>
        <w:tc>
          <w:tcPr>
            <w:tcW w:w="2340" w:type="dxa"/>
            <w:shd w:val="clear" w:color="auto" w:fill="auto"/>
            <w:noWrap/>
            <w:vAlign w:val="bottom"/>
            <w:hideMark/>
          </w:tcPr>
          <w:p w14:paraId="46FE9EF8" w14:textId="77777777" w:rsidR="00F303E0" w:rsidRPr="00EE5714" w:rsidRDefault="00F303E0" w:rsidP="007D26D3">
            <w:pPr>
              <w:keepNext/>
              <w:keepLines/>
              <w:jc w:val="center"/>
              <w:rPr>
                <w:rFonts w:ascii="Calibri" w:eastAsia="Times New Roman" w:hAnsi="Calibri" w:cs="Calibri"/>
                <w:color w:val="000000"/>
                <w:sz w:val="21"/>
                <w:szCs w:val="21"/>
              </w:rPr>
            </w:pPr>
          </w:p>
        </w:tc>
      </w:tr>
      <w:tr w:rsidR="00F303E0" w:rsidRPr="00EE5714" w14:paraId="71B3B5F8" w14:textId="77777777" w:rsidTr="00E92A67">
        <w:trPr>
          <w:trHeight w:hRule="exact" w:val="245"/>
        </w:trPr>
        <w:tc>
          <w:tcPr>
            <w:tcW w:w="2250" w:type="dxa"/>
            <w:shd w:val="clear" w:color="auto" w:fill="auto"/>
            <w:vAlign w:val="bottom"/>
          </w:tcPr>
          <w:p w14:paraId="0629874C" w14:textId="77777777" w:rsidR="00F303E0" w:rsidRPr="00EE5714" w:rsidRDefault="00F303E0" w:rsidP="007D26D3">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Columbia</w:t>
            </w:r>
          </w:p>
        </w:tc>
        <w:tc>
          <w:tcPr>
            <w:tcW w:w="2700" w:type="dxa"/>
            <w:shd w:val="clear" w:color="auto" w:fill="auto"/>
            <w:noWrap/>
            <w:vAlign w:val="bottom"/>
            <w:hideMark/>
          </w:tcPr>
          <w:p w14:paraId="02382B4E"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10.73</w:t>
            </w:r>
          </w:p>
        </w:tc>
        <w:tc>
          <w:tcPr>
            <w:tcW w:w="2700" w:type="dxa"/>
            <w:shd w:val="clear" w:color="auto" w:fill="auto"/>
            <w:noWrap/>
            <w:vAlign w:val="bottom"/>
            <w:hideMark/>
          </w:tcPr>
          <w:p w14:paraId="3FE207C2"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5.69</w:t>
            </w:r>
          </w:p>
        </w:tc>
        <w:tc>
          <w:tcPr>
            <w:tcW w:w="2340" w:type="dxa"/>
            <w:shd w:val="clear" w:color="auto" w:fill="auto"/>
            <w:noWrap/>
            <w:vAlign w:val="bottom"/>
            <w:hideMark/>
          </w:tcPr>
          <w:p w14:paraId="5D506EB3"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3.27</w:t>
            </w:r>
          </w:p>
        </w:tc>
      </w:tr>
      <w:tr w:rsidR="00F303E0" w:rsidRPr="00EE5714" w14:paraId="3E51B9E0" w14:textId="77777777" w:rsidTr="00E92A67">
        <w:trPr>
          <w:trHeight w:hRule="exact" w:val="245"/>
        </w:trPr>
        <w:tc>
          <w:tcPr>
            <w:tcW w:w="2250" w:type="dxa"/>
            <w:shd w:val="clear" w:color="auto" w:fill="auto"/>
            <w:vAlign w:val="bottom"/>
          </w:tcPr>
          <w:p w14:paraId="1658EF58" w14:textId="77777777" w:rsidR="00F303E0" w:rsidRPr="00EE5714" w:rsidRDefault="00F303E0" w:rsidP="007D26D3">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PECO Gas</w:t>
            </w:r>
          </w:p>
        </w:tc>
        <w:tc>
          <w:tcPr>
            <w:tcW w:w="2700" w:type="dxa"/>
            <w:shd w:val="clear" w:color="auto" w:fill="auto"/>
            <w:noWrap/>
            <w:vAlign w:val="bottom"/>
          </w:tcPr>
          <w:p w14:paraId="6CE2CD5F"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20.76</w:t>
            </w:r>
          </w:p>
        </w:tc>
        <w:tc>
          <w:tcPr>
            <w:tcW w:w="2700" w:type="dxa"/>
            <w:shd w:val="clear" w:color="auto" w:fill="auto"/>
            <w:noWrap/>
            <w:vAlign w:val="bottom"/>
          </w:tcPr>
          <w:p w14:paraId="53ED9D83"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11.72</w:t>
            </w:r>
          </w:p>
        </w:tc>
        <w:tc>
          <w:tcPr>
            <w:tcW w:w="2340" w:type="dxa"/>
            <w:shd w:val="clear" w:color="auto" w:fill="auto"/>
            <w:noWrap/>
            <w:vAlign w:val="bottom"/>
          </w:tcPr>
          <w:p w14:paraId="5DC088EC"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9.46</w:t>
            </w:r>
          </w:p>
        </w:tc>
      </w:tr>
      <w:tr w:rsidR="00F303E0" w:rsidRPr="00EE5714" w14:paraId="0D3C6042" w14:textId="77777777" w:rsidTr="00E92A67">
        <w:trPr>
          <w:trHeight w:hRule="exact" w:val="245"/>
        </w:trPr>
        <w:tc>
          <w:tcPr>
            <w:tcW w:w="2250" w:type="dxa"/>
            <w:shd w:val="clear" w:color="auto" w:fill="auto"/>
            <w:vAlign w:val="bottom"/>
          </w:tcPr>
          <w:p w14:paraId="60548EAE" w14:textId="77777777" w:rsidR="00F303E0" w:rsidRPr="00EE5714" w:rsidRDefault="00F303E0" w:rsidP="007D26D3">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Peoples</w:t>
            </w:r>
          </w:p>
        </w:tc>
        <w:tc>
          <w:tcPr>
            <w:tcW w:w="2700" w:type="dxa"/>
            <w:shd w:val="clear" w:color="auto" w:fill="auto"/>
            <w:noWrap/>
            <w:vAlign w:val="bottom"/>
          </w:tcPr>
          <w:p w14:paraId="26F28DEB"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7.21</w:t>
            </w:r>
          </w:p>
        </w:tc>
        <w:tc>
          <w:tcPr>
            <w:tcW w:w="2700" w:type="dxa"/>
            <w:shd w:val="clear" w:color="auto" w:fill="auto"/>
            <w:noWrap/>
            <w:vAlign w:val="bottom"/>
          </w:tcPr>
          <w:p w14:paraId="423B28A4"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6.73</w:t>
            </w:r>
          </w:p>
        </w:tc>
        <w:tc>
          <w:tcPr>
            <w:tcW w:w="2340" w:type="dxa"/>
            <w:shd w:val="clear" w:color="auto" w:fill="auto"/>
            <w:noWrap/>
            <w:vAlign w:val="bottom"/>
          </w:tcPr>
          <w:p w14:paraId="72930539"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5.15</w:t>
            </w:r>
          </w:p>
        </w:tc>
      </w:tr>
      <w:tr w:rsidR="00F303E0" w:rsidRPr="00EE5714" w14:paraId="00E627A9" w14:textId="77777777" w:rsidTr="00E92A67">
        <w:trPr>
          <w:trHeight w:hRule="exact" w:val="245"/>
        </w:trPr>
        <w:tc>
          <w:tcPr>
            <w:tcW w:w="2250" w:type="dxa"/>
            <w:shd w:val="clear" w:color="auto" w:fill="auto"/>
            <w:vAlign w:val="bottom"/>
          </w:tcPr>
          <w:p w14:paraId="604583E4" w14:textId="77777777" w:rsidR="00F303E0" w:rsidRPr="00EE5714" w:rsidRDefault="00F303E0" w:rsidP="007D26D3">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Peoples EQT</w:t>
            </w:r>
          </w:p>
        </w:tc>
        <w:tc>
          <w:tcPr>
            <w:tcW w:w="2700" w:type="dxa"/>
            <w:shd w:val="clear" w:color="auto" w:fill="auto"/>
            <w:noWrap/>
            <w:vAlign w:val="bottom"/>
            <w:hideMark/>
          </w:tcPr>
          <w:p w14:paraId="65E19958"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9.31</w:t>
            </w:r>
          </w:p>
        </w:tc>
        <w:tc>
          <w:tcPr>
            <w:tcW w:w="2700" w:type="dxa"/>
            <w:shd w:val="clear" w:color="auto" w:fill="auto"/>
            <w:noWrap/>
            <w:vAlign w:val="bottom"/>
            <w:hideMark/>
          </w:tcPr>
          <w:p w14:paraId="1AC4A4CE"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9.25</w:t>
            </w:r>
          </w:p>
        </w:tc>
        <w:tc>
          <w:tcPr>
            <w:tcW w:w="2340" w:type="dxa"/>
            <w:shd w:val="clear" w:color="auto" w:fill="auto"/>
            <w:noWrap/>
            <w:vAlign w:val="bottom"/>
            <w:hideMark/>
          </w:tcPr>
          <w:p w14:paraId="04F33287"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7.60</w:t>
            </w:r>
          </w:p>
        </w:tc>
      </w:tr>
      <w:tr w:rsidR="00F303E0" w:rsidRPr="00EE5714" w14:paraId="5BB02D84" w14:textId="77777777" w:rsidTr="00E92A67">
        <w:trPr>
          <w:trHeight w:hRule="exact" w:val="245"/>
        </w:trPr>
        <w:tc>
          <w:tcPr>
            <w:tcW w:w="2250" w:type="dxa"/>
            <w:shd w:val="clear" w:color="auto" w:fill="auto"/>
            <w:vAlign w:val="bottom"/>
          </w:tcPr>
          <w:p w14:paraId="188C1DDE" w14:textId="77777777" w:rsidR="00F303E0" w:rsidRPr="00EE5714" w:rsidRDefault="00F303E0" w:rsidP="007D26D3">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PGW</w:t>
            </w:r>
          </w:p>
        </w:tc>
        <w:tc>
          <w:tcPr>
            <w:tcW w:w="2700" w:type="dxa"/>
            <w:shd w:val="clear" w:color="auto" w:fill="auto"/>
            <w:noWrap/>
            <w:vAlign w:val="bottom"/>
          </w:tcPr>
          <w:p w14:paraId="52628C37"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6.07</w:t>
            </w:r>
          </w:p>
        </w:tc>
        <w:tc>
          <w:tcPr>
            <w:tcW w:w="2700" w:type="dxa"/>
            <w:shd w:val="clear" w:color="auto" w:fill="auto"/>
            <w:noWrap/>
            <w:vAlign w:val="bottom"/>
          </w:tcPr>
          <w:p w14:paraId="29A9F2A9"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8.73</w:t>
            </w:r>
          </w:p>
        </w:tc>
        <w:tc>
          <w:tcPr>
            <w:tcW w:w="2340" w:type="dxa"/>
            <w:shd w:val="clear" w:color="auto" w:fill="auto"/>
            <w:noWrap/>
            <w:vAlign w:val="bottom"/>
          </w:tcPr>
          <w:p w14:paraId="77CF02ED"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10.35</w:t>
            </w:r>
          </w:p>
        </w:tc>
      </w:tr>
      <w:tr w:rsidR="00F303E0" w:rsidRPr="00EE5714" w14:paraId="3FC55A7D" w14:textId="77777777" w:rsidTr="00E92A67">
        <w:trPr>
          <w:trHeight w:hRule="exact" w:val="245"/>
        </w:trPr>
        <w:tc>
          <w:tcPr>
            <w:tcW w:w="2250" w:type="dxa"/>
            <w:shd w:val="clear" w:color="auto" w:fill="auto"/>
            <w:vAlign w:val="bottom"/>
          </w:tcPr>
          <w:p w14:paraId="10CEFEB1" w14:textId="77777777" w:rsidR="00F303E0" w:rsidRPr="00EE5714" w:rsidRDefault="00F303E0" w:rsidP="007D26D3">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UGI Gas</w:t>
            </w:r>
          </w:p>
        </w:tc>
        <w:tc>
          <w:tcPr>
            <w:tcW w:w="2700" w:type="dxa"/>
            <w:shd w:val="clear" w:color="auto" w:fill="auto"/>
            <w:noWrap/>
            <w:vAlign w:val="bottom"/>
            <w:hideMark/>
          </w:tcPr>
          <w:p w14:paraId="700D88B1"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9.33</w:t>
            </w:r>
          </w:p>
        </w:tc>
        <w:tc>
          <w:tcPr>
            <w:tcW w:w="2700" w:type="dxa"/>
            <w:shd w:val="clear" w:color="auto" w:fill="auto"/>
            <w:noWrap/>
            <w:vAlign w:val="bottom"/>
            <w:hideMark/>
          </w:tcPr>
          <w:p w14:paraId="5241D793"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7.77</w:t>
            </w:r>
          </w:p>
        </w:tc>
        <w:tc>
          <w:tcPr>
            <w:tcW w:w="2340" w:type="dxa"/>
            <w:shd w:val="clear" w:color="auto" w:fill="auto"/>
            <w:noWrap/>
            <w:vAlign w:val="bottom"/>
            <w:hideMark/>
          </w:tcPr>
          <w:p w14:paraId="42F8042F"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7.69</w:t>
            </w:r>
          </w:p>
        </w:tc>
      </w:tr>
      <w:tr w:rsidR="00F303E0" w:rsidRPr="00EE5714" w14:paraId="1DCA9AAD" w14:textId="77777777" w:rsidTr="00E92A67">
        <w:trPr>
          <w:trHeight w:hRule="exact" w:val="245"/>
        </w:trPr>
        <w:tc>
          <w:tcPr>
            <w:tcW w:w="2250" w:type="dxa"/>
            <w:shd w:val="clear" w:color="auto" w:fill="auto"/>
            <w:vAlign w:val="bottom"/>
          </w:tcPr>
          <w:p w14:paraId="112D37F8" w14:textId="77777777" w:rsidR="00F303E0" w:rsidRPr="00EE5714" w:rsidRDefault="00F303E0" w:rsidP="007D26D3">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UGI PNG</w:t>
            </w:r>
          </w:p>
        </w:tc>
        <w:tc>
          <w:tcPr>
            <w:tcW w:w="2700" w:type="dxa"/>
            <w:shd w:val="clear" w:color="auto" w:fill="auto"/>
            <w:noWrap/>
            <w:vAlign w:val="bottom"/>
          </w:tcPr>
          <w:p w14:paraId="0EC8CE4F"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9.95</w:t>
            </w:r>
          </w:p>
        </w:tc>
        <w:tc>
          <w:tcPr>
            <w:tcW w:w="2700" w:type="dxa"/>
            <w:shd w:val="clear" w:color="auto" w:fill="auto"/>
            <w:noWrap/>
            <w:vAlign w:val="bottom"/>
          </w:tcPr>
          <w:p w14:paraId="489F5C6E"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7.90</w:t>
            </w:r>
          </w:p>
        </w:tc>
        <w:tc>
          <w:tcPr>
            <w:tcW w:w="2340" w:type="dxa"/>
            <w:shd w:val="clear" w:color="auto" w:fill="auto"/>
            <w:noWrap/>
            <w:vAlign w:val="bottom"/>
          </w:tcPr>
          <w:p w14:paraId="24A9B67D" w14:textId="77777777" w:rsidR="00F303E0" w:rsidRPr="00EE5714" w:rsidRDefault="00F303E0" w:rsidP="007D26D3">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8.05</w:t>
            </w:r>
          </w:p>
        </w:tc>
      </w:tr>
    </w:tbl>
    <w:p w14:paraId="009C9A58" w14:textId="77777777" w:rsidR="00F303E0" w:rsidRPr="00EE5714" w:rsidRDefault="00F303E0" w:rsidP="00E92A67">
      <w:pPr>
        <w:pStyle w:val="NoSpacing"/>
        <w:rPr>
          <w:rFonts w:cs="Times New Roman"/>
          <w:i/>
          <w:szCs w:val="26"/>
        </w:rPr>
      </w:pPr>
    </w:p>
    <w:p w14:paraId="12D9DDFD" w14:textId="77777777" w:rsidR="00F303E0" w:rsidRPr="00EE5714" w:rsidRDefault="00F303E0" w:rsidP="00E92A67">
      <w:pPr>
        <w:pStyle w:val="NoSpacing"/>
        <w:rPr>
          <w:rFonts w:cs="Times New Roman"/>
          <w:i/>
          <w:szCs w:val="26"/>
        </w:rPr>
      </w:pPr>
    </w:p>
    <w:p w14:paraId="4B25F958" w14:textId="77777777" w:rsidR="00F303E0" w:rsidRPr="00EE5714" w:rsidRDefault="00155347" w:rsidP="00F303E0">
      <w:pPr>
        <w:keepNext/>
        <w:suppressLineNumbers/>
        <w:suppressAutoHyphens/>
        <w:rPr>
          <w:rFonts w:ascii="Times New Roman" w:hAnsi="Times New Roman" w:cs="Times New Roman"/>
          <w:color w:val="000000" w:themeColor="text1"/>
          <w:sz w:val="26"/>
          <w:szCs w:val="26"/>
        </w:rPr>
      </w:pPr>
      <w:r w:rsidRPr="00EE5714">
        <w:rPr>
          <w:rFonts w:ascii="Times New Roman" w:hAnsi="Times New Roman" w:cs="Times New Roman"/>
          <w:color w:val="000000" w:themeColor="text1"/>
          <w:sz w:val="26"/>
          <w:szCs w:val="26"/>
        </w:rPr>
        <w:t>Appendix 2</w:t>
      </w:r>
      <w:r w:rsidR="00F303E0" w:rsidRPr="00EE5714">
        <w:rPr>
          <w:rFonts w:ascii="Times New Roman" w:hAnsi="Times New Roman" w:cs="Times New Roman"/>
          <w:color w:val="000000" w:themeColor="text1"/>
          <w:sz w:val="26"/>
          <w:szCs w:val="26"/>
        </w:rPr>
        <w:t xml:space="preserve">.C.3: </w:t>
      </w:r>
      <w:r w:rsidR="00F303E0" w:rsidRPr="00EE5714">
        <w:rPr>
          <w:rFonts w:ascii="Times New Roman" w:eastAsia="Times New Roman" w:hAnsi="Times New Roman" w:cs="Times New Roman"/>
          <w:b/>
          <w:color w:val="000000" w:themeColor="text1"/>
          <w:sz w:val="26"/>
          <w:szCs w:val="26"/>
        </w:rPr>
        <w:t>NGDC CAP Energy Burdens by FPIG Levels</w:t>
      </w:r>
    </w:p>
    <w:tbl>
      <w:tblPr>
        <w:tblW w:w="999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250"/>
        <w:gridCol w:w="2700"/>
        <w:gridCol w:w="2700"/>
        <w:gridCol w:w="2340"/>
      </w:tblGrid>
      <w:tr w:rsidR="00F303E0" w:rsidRPr="00EE5714" w14:paraId="21DA6A21" w14:textId="77777777" w:rsidTr="00FF6D6E">
        <w:trPr>
          <w:trHeight w:val="241"/>
        </w:trPr>
        <w:tc>
          <w:tcPr>
            <w:tcW w:w="9990" w:type="dxa"/>
            <w:gridSpan w:val="4"/>
            <w:shd w:val="clear" w:color="auto" w:fill="BFBFBF" w:themeFill="background1" w:themeFillShade="BF"/>
            <w:vAlign w:val="center"/>
          </w:tcPr>
          <w:p w14:paraId="0ADB806C" w14:textId="211A383A" w:rsidR="00F303E0" w:rsidRPr="00EE5714" w:rsidRDefault="00F303E0" w:rsidP="00FF6D6E">
            <w:pPr>
              <w:keepNext/>
              <w:suppressLineNumbers/>
              <w:suppressAutoHyphen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2014 NGDC CAP Energy Burdens for Heating Customers by FPIG Levels</w:t>
            </w:r>
            <w:r w:rsidR="00976AFE" w:rsidRPr="00EE5714">
              <w:rPr>
                <w:rFonts w:ascii="Calibri" w:eastAsia="Times New Roman" w:hAnsi="Calibri" w:cs="Calibri"/>
                <w:b/>
                <w:color w:val="000000"/>
              </w:rPr>
              <w:t xml:space="preserve"> (%)</w:t>
            </w:r>
          </w:p>
        </w:tc>
      </w:tr>
      <w:tr w:rsidR="00F303E0" w:rsidRPr="00EE5714" w14:paraId="6249BF1A" w14:textId="77777777" w:rsidTr="00E92A67">
        <w:trPr>
          <w:trHeight w:hRule="exact" w:val="245"/>
        </w:trPr>
        <w:tc>
          <w:tcPr>
            <w:tcW w:w="2250" w:type="dxa"/>
            <w:shd w:val="clear" w:color="auto" w:fill="D9D9D9" w:themeFill="background1" w:themeFillShade="D9"/>
            <w:vAlign w:val="bottom"/>
          </w:tcPr>
          <w:p w14:paraId="532644FC" w14:textId="77777777" w:rsidR="00F303E0" w:rsidRPr="00EE5714" w:rsidRDefault="00F303E0" w:rsidP="00851815">
            <w:pPr>
              <w:keepNext/>
              <w:suppressLineNumbers/>
              <w:suppressAutoHyphens/>
              <w:rPr>
                <w:rFonts w:ascii="Calibri" w:eastAsia="Times New Roman" w:hAnsi="Calibri" w:cs="Calibri"/>
                <w:b/>
                <w:color w:val="000000"/>
                <w:sz w:val="21"/>
                <w:szCs w:val="21"/>
              </w:rPr>
            </w:pPr>
            <w:r w:rsidRPr="00EE5714">
              <w:rPr>
                <w:rFonts w:ascii="Calibri" w:eastAsia="Times New Roman" w:hAnsi="Calibri" w:cs="Calibri"/>
                <w:b/>
                <w:i/>
                <w:color w:val="000000"/>
                <w:sz w:val="21"/>
                <w:szCs w:val="21"/>
              </w:rPr>
              <w:t xml:space="preserve"> FPIG Level </w:t>
            </w:r>
          </w:p>
        </w:tc>
        <w:tc>
          <w:tcPr>
            <w:tcW w:w="2700" w:type="dxa"/>
            <w:shd w:val="clear" w:color="auto" w:fill="D9D9D9" w:themeFill="background1" w:themeFillShade="D9"/>
            <w:vAlign w:val="bottom"/>
          </w:tcPr>
          <w:p w14:paraId="7E315EF2" w14:textId="77777777" w:rsidR="00F303E0" w:rsidRPr="00EE5714" w:rsidRDefault="00F303E0" w:rsidP="00851815">
            <w:pPr>
              <w:keepNext/>
              <w:suppressLineNumbers/>
              <w:suppressAutoHyphen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2700" w:type="dxa"/>
            <w:shd w:val="clear" w:color="auto" w:fill="D9D9D9" w:themeFill="background1" w:themeFillShade="D9"/>
            <w:vAlign w:val="bottom"/>
          </w:tcPr>
          <w:p w14:paraId="47145D3B" w14:textId="77777777" w:rsidR="00F303E0" w:rsidRPr="00EE5714" w:rsidRDefault="00F303E0" w:rsidP="00851815">
            <w:pPr>
              <w:keepNext/>
              <w:suppressLineNumbers/>
              <w:suppressAutoHyphen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2340" w:type="dxa"/>
            <w:shd w:val="clear" w:color="auto" w:fill="D9D9D9" w:themeFill="background1" w:themeFillShade="D9"/>
            <w:vAlign w:val="bottom"/>
          </w:tcPr>
          <w:p w14:paraId="734968E3" w14:textId="77777777" w:rsidR="00F303E0" w:rsidRPr="00EE5714" w:rsidRDefault="00F303E0" w:rsidP="00851815">
            <w:pPr>
              <w:keepNext/>
              <w:suppressLineNumbers/>
              <w:suppressAutoHyphen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r>
      <w:tr w:rsidR="00F303E0" w:rsidRPr="00EE5714" w14:paraId="722A63FC" w14:textId="77777777" w:rsidTr="00E92A67">
        <w:trPr>
          <w:trHeight w:hRule="exact" w:val="245"/>
        </w:trPr>
        <w:tc>
          <w:tcPr>
            <w:tcW w:w="2250" w:type="dxa"/>
            <w:shd w:val="clear" w:color="auto" w:fill="auto"/>
            <w:vAlign w:val="bottom"/>
          </w:tcPr>
          <w:p w14:paraId="4235455A" w14:textId="77777777" w:rsidR="00F303E0" w:rsidRPr="00EE5714" w:rsidRDefault="00F303E0" w:rsidP="00851815">
            <w:pPr>
              <w:keepNext/>
              <w:suppressLineNumbers/>
              <w:suppressAutoHyphens/>
              <w:rPr>
                <w:rFonts w:ascii="Calibri" w:eastAsia="Times New Roman" w:hAnsi="Calibri" w:cs="Calibri"/>
                <w:color w:val="000000"/>
                <w:sz w:val="21"/>
                <w:szCs w:val="21"/>
              </w:rPr>
            </w:pPr>
          </w:p>
        </w:tc>
        <w:tc>
          <w:tcPr>
            <w:tcW w:w="2700" w:type="dxa"/>
          </w:tcPr>
          <w:p w14:paraId="10B25FAC"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p>
        </w:tc>
        <w:tc>
          <w:tcPr>
            <w:tcW w:w="2700" w:type="dxa"/>
          </w:tcPr>
          <w:p w14:paraId="260CF206"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p>
        </w:tc>
        <w:tc>
          <w:tcPr>
            <w:tcW w:w="2340" w:type="dxa"/>
          </w:tcPr>
          <w:p w14:paraId="59AD8DEB"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p>
        </w:tc>
      </w:tr>
      <w:tr w:rsidR="00F303E0" w:rsidRPr="00EE5714" w14:paraId="13B8D939" w14:textId="77777777" w:rsidTr="005536FC">
        <w:trPr>
          <w:trHeight w:hRule="exact" w:val="308"/>
        </w:trPr>
        <w:tc>
          <w:tcPr>
            <w:tcW w:w="2250" w:type="dxa"/>
            <w:shd w:val="clear" w:color="auto" w:fill="F2F2F2" w:themeFill="background1" w:themeFillShade="F2"/>
            <w:vAlign w:val="center"/>
          </w:tcPr>
          <w:p w14:paraId="5F4A9ECD"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b/>
                <w:i/>
                <w:color w:val="000000"/>
                <w:sz w:val="21"/>
                <w:szCs w:val="21"/>
              </w:rPr>
              <w:t>Gas Industry Average</w:t>
            </w:r>
          </w:p>
        </w:tc>
        <w:tc>
          <w:tcPr>
            <w:tcW w:w="2700" w:type="dxa"/>
            <w:shd w:val="clear" w:color="auto" w:fill="F2F2F2" w:themeFill="background1" w:themeFillShade="F2"/>
            <w:vAlign w:val="center"/>
          </w:tcPr>
          <w:p w14:paraId="4CBAF9CF"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8.64</w:t>
            </w:r>
          </w:p>
        </w:tc>
        <w:tc>
          <w:tcPr>
            <w:tcW w:w="2700" w:type="dxa"/>
            <w:shd w:val="clear" w:color="auto" w:fill="F2F2F2" w:themeFill="background1" w:themeFillShade="F2"/>
            <w:vAlign w:val="center"/>
          </w:tcPr>
          <w:p w14:paraId="3C0E6426"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7.51</w:t>
            </w:r>
          </w:p>
        </w:tc>
        <w:tc>
          <w:tcPr>
            <w:tcW w:w="2340" w:type="dxa"/>
            <w:shd w:val="clear" w:color="auto" w:fill="F2F2F2" w:themeFill="background1" w:themeFillShade="F2"/>
            <w:vAlign w:val="center"/>
          </w:tcPr>
          <w:p w14:paraId="0F24D981"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6.21</w:t>
            </w:r>
          </w:p>
        </w:tc>
      </w:tr>
      <w:tr w:rsidR="00F303E0" w:rsidRPr="00EE5714" w14:paraId="5C3942A3" w14:textId="77777777" w:rsidTr="00E92A67">
        <w:trPr>
          <w:trHeight w:hRule="exact" w:val="245"/>
        </w:trPr>
        <w:tc>
          <w:tcPr>
            <w:tcW w:w="2250" w:type="dxa"/>
            <w:shd w:val="clear" w:color="auto" w:fill="auto"/>
            <w:vAlign w:val="bottom"/>
          </w:tcPr>
          <w:p w14:paraId="35720B64" w14:textId="77777777" w:rsidR="00F303E0" w:rsidRPr="00EE5714" w:rsidRDefault="00F303E0" w:rsidP="00851815">
            <w:pPr>
              <w:keepNext/>
              <w:suppressLineNumbers/>
              <w:suppressAutoHyphens/>
              <w:rPr>
                <w:rFonts w:ascii="Calibri" w:eastAsia="Times New Roman" w:hAnsi="Calibri" w:cs="Calibri"/>
                <w:color w:val="000000"/>
                <w:sz w:val="21"/>
                <w:szCs w:val="21"/>
              </w:rPr>
            </w:pPr>
          </w:p>
        </w:tc>
        <w:tc>
          <w:tcPr>
            <w:tcW w:w="2700" w:type="dxa"/>
          </w:tcPr>
          <w:p w14:paraId="732BD131"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p>
        </w:tc>
        <w:tc>
          <w:tcPr>
            <w:tcW w:w="2700" w:type="dxa"/>
          </w:tcPr>
          <w:p w14:paraId="73054B25"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p>
        </w:tc>
        <w:tc>
          <w:tcPr>
            <w:tcW w:w="2340" w:type="dxa"/>
          </w:tcPr>
          <w:p w14:paraId="2D20BE82"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p>
        </w:tc>
      </w:tr>
      <w:tr w:rsidR="00F303E0" w:rsidRPr="00EE5714" w14:paraId="61B04BFC" w14:textId="77777777" w:rsidTr="00E92A67">
        <w:trPr>
          <w:trHeight w:hRule="exact" w:val="245"/>
        </w:trPr>
        <w:tc>
          <w:tcPr>
            <w:tcW w:w="2250" w:type="dxa"/>
            <w:shd w:val="clear" w:color="auto" w:fill="auto"/>
            <w:vAlign w:val="bottom"/>
          </w:tcPr>
          <w:p w14:paraId="1BBE5703"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Columbia</w:t>
            </w:r>
          </w:p>
        </w:tc>
        <w:tc>
          <w:tcPr>
            <w:tcW w:w="2700" w:type="dxa"/>
            <w:vAlign w:val="bottom"/>
          </w:tcPr>
          <w:p w14:paraId="701CC1DD"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10.55</w:t>
            </w:r>
          </w:p>
        </w:tc>
        <w:tc>
          <w:tcPr>
            <w:tcW w:w="2700" w:type="dxa"/>
            <w:vAlign w:val="bottom"/>
          </w:tcPr>
          <w:p w14:paraId="1A4628D5"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5.70</w:t>
            </w:r>
          </w:p>
        </w:tc>
        <w:tc>
          <w:tcPr>
            <w:tcW w:w="2340" w:type="dxa"/>
            <w:vAlign w:val="bottom"/>
          </w:tcPr>
          <w:p w14:paraId="10993C70"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3.35</w:t>
            </w:r>
          </w:p>
        </w:tc>
      </w:tr>
      <w:tr w:rsidR="00F303E0" w:rsidRPr="00EE5714" w14:paraId="6578F01D" w14:textId="77777777" w:rsidTr="00E92A67">
        <w:trPr>
          <w:trHeight w:hRule="exact" w:val="245"/>
        </w:trPr>
        <w:tc>
          <w:tcPr>
            <w:tcW w:w="2250" w:type="dxa"/>
            <w:shd w:val="clear" w:color="auto" w:fill="auto"/>
            <w:vAlign w:val="bottom"/>
          </w:tcPr>
          <w:p w14:paraId="435FDE56"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PECO Gas</w:t>
            </w:r>
          </w:p>
        </w:tc>
        <w:tc>
          <w:tcPr>
            <w:tcW w:w="2700" w:type="dxa"/>
            <w:vAlign w:val="bottom"/>
          </w:tcPr>
          <w:p w14:paraId="4FE15046"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21.81</w:t>
            </w:r>
          </w:p>
        </w:tc>
        <w:tc>
          <w:tcPr>
            <w:tcW w:w="2700" w:type="dxa"/>
            <w:vAlign w:val="bottom"/>
          </w:tcPr>
          <w:p w14:paraId="11D16EC4"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11.77</w:t>
            </w:r>
          </w:p>
        </w:tc>
        <w:tc>
          <w:tcPr>
            <w:tcW w:w="2340" w:type="dxa"/>
            <w:vAlign w:val="bottom"/>
          </w:tcPr>
          <w:p w14:paraId="2A9306CF"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9.37</w:t>
            </w:r>
          </w:p>
        </w:tc>
      </w:tr>
      <w:tr w:rsidR="00F303E0" w:rsidRPr="00EE5714" w14:paraId="5EE1E744" w14:textId="77777777" w:rsidTr="00E92A67">
        <w:trPr>
          <w:trHeight w:hRule="exact" w:val="245"/>
        </w:trPr>
        <w:tc>
          <w:tcPr>
            <w:tcW w:w="2250" w:type="dxa"/>
            <w:shd w:val="clear" w:color="auto" w:fill="auto"/>
            <w:vAlign w:val="bottom"/>
          </w:tcPr>
          <w:p w14:paraId="6BA07C39"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Peoples</w:t>
            </w:r>
          </w:p>
        </w:tc>
        <w:tc>
          <w:tcPr>
            <w:tcW w:w="2700" w:type="dxa"/>
            <w:vAlign w:val="bottom"/>
          </w:tcPr>
          <w:p w14:paraId="06CA81EF"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7.27</w:t>
            </w:r>
          </w:p>
        </w:tc>
        <w:tc>
          <w:tcPr>
            <w:tcW w:w="2700" w:type="dxa"/>
            <w:vAlign w:val="bottom"/>
          </w:tcPr>
          <w:p w14:paraId="21E75E9B"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6.75</w:t>
            </w:r>
          </w:p>
        </w:tc>
        <w:tc>
          <w:tcPr>
            <w:tcW w:w="2340" w:type="dxa"/>
            <w:vAlign w:val="bottom"/>
          </w:tcPr>
          <w:p w14:paraId="44251D4D"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5.26</w:t>
            </w:r>
          </w:p>
        </w:tc>
      </w:tr>
      <w:tr w:rsidR="00F303E0" w:rsidRPr="00EE5714" w14:paraId="76435A3B" w14:textId="77777777" w:rsidTr="00E92A67">
        <w:trPr>
          <w:trHeight w:hRule="exact" w:val="245"/>
        </w:trPr>
        <w:tc>
          <w:tcPr>
            <w:tcW w:w="2250" w:type="dxa"/>
            <w:shd w:val="clear" w:color="auto" w:fill="auto"/>
            <w:vAlign w:val="bottom"/>
          </w:tcPr>
          <w:p w14:paraId="1B7202CF"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Peoples EQT</w:t>
            </w:r>
          </w:p>
        </w:tc>
        <w:tc>
          <w:tcPr>
            <w:tcW w:w="2700" w:type="dxa"/>
            <w:vAlign w:val="bottom"/>
          </w:tcPr>
          <w:p w14:paraId="7FE27046"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8.01</w:t>
            </w:r>
          </w:p>
        </w:tc>
        <w:tc>
          <w:tcPr>
            <w:tcW w:w="2700" w:type="dxa"/>
            <w:vAlign w:val="bottom"/>
          </w:tcPr>
          <w:p w14:paraId="2CFA2CA9"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7.33</w:t>
            </w:r>
          </w:p>
        </w:tc>
        <w:tc>
          <w:tcPr>
            <w:tcW w:w="2340" w:type="dxa"/>
            <w:vAlign w:val="bottom"/>
          </w:tcPr>
          <w:p w14:paraId="1490135C"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6.54</w:t>
            </w:r>
          </w:p>
        </w:tc>
      </w:tr>
      <w:tr w:rsidR="00F303E0" w:rsidRPr="00EE5714" w14:paraId="2B34F235" w14:textId="77777777" w:rsidTr="00E92A67">
        <w:trPr>
          <w:trHeight w:hRule="exact" w:val="245"/>
        </w:trPr>
        <w:tc>
          <w:tcPr>
            <w:tcW w:w="2250" w:type="dxa"/>
            <w:shd w:val="clear" w:color="auto" w:fill="auto"/>
            <w:vAlign w:val="bottom"/>
          </w:tcPr>
          <w:p w14:paraId="10E970EA"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PGW</w:t>
            </w:r>
          </w:p>
        </w:tc>
        <w:tc>
          <w:tcPr>
            <w:tcW w:w="2700" w:type="dxa"/>
            <w:vAlign w:val="bottom"/>
          </w:tcPr>
          <w:p w14:paraId="669D6EA3"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6.60</w:t>
            </w:r>
          </w:p>
        </w:tc>
        <w:tc>
          <w:tcPr>
            <w:tcW w:w="2700" w:type="dxa"/>
            <w:vAlign w:val="bottom"/>
          </w:tcPr>
          <w:p w14:paraId="40AA54CE"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9.02</w:t>
            </w:r>
          </w:p>
        </w:tc>
        <w:tc>
          <w:tcPr>
            <w:tcW w:w="2340" w:type="dxa"/>
            <w:vAlign w:val="bottom"/>
          </w:tcPr>
          <w:p w14:paraId="61844AC2"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10.52</w:t>
            </w:r>
          </w:p>
        </w:tc>
      </w:tr>
      <w:tr w:rsidR="00F303E0" w:rsidRPr="00EE5714" w14:paraId="6827A253" w14:textId="77777777" w:rsidTr="00E92A67">
        <w:trPr>
          <w:trHeight w:hRule="exact" w:val="245"/>
        </w:trPr>
        <w:tc>
          <w:tcPr>
            <w:tcW w:w="2250" w:type="dxa"/>
            <w:shd w:val="clear" w:color="auto" w:fill="auto"/>
            <w:vAlign w:val="bottom"/>
          </w:tcPr>
          <w:p w14:paraId="293CAD27"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UGI Gas</w:t>
            </w:r>
          </w:p>
        </w:tc>
        <w:tc>
          <w:tcPr>
            <w:tcW w:w="2700" w:type="dxa"/>
            <w:vAlign w:val="bottom"/>
          </w:tcPr>
          <w:p w14:paraId="17CB791A"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9.51</w:t>
            </w:r>
          </w:p>
        </w:tc>
        <w:tc>
          <w:tcPr>
            <w:tcW w:w="2700" w:type="dxa"/>
            <w:vAlign w:val="bottom"/>
          </w:tcPr>
          <w:p w14:paraId="73F19C4E"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6.70</w:t>
            </w:r>
          </w:p>
        </w:tc>
        <w:tc>
          <w:tcPr>
            <w:tcW w:w="2340" w:type="dxa"/>
            <w:vAlign w:val="bottom"/>
          </w:tcPr>
          <w:p w14:paraId="17064F94" w14:textId="77777777" w:rsidR="00F303E0" w:rsidRPr="00EE5714" w:rsidRDefault="00F303E0" w:rsidP="00851815">
            <w:pPr>
              <w:keepNext/>
              <w:suppressLineNumbers/>
              <w:suppressAutoHyphen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5.09</w:t>
            </w:r>
          </w:p>
        </w:tc>
      </w:tr>
      <w:tr w:rsidR="00F303E0" w:rsidRPr="00EE5714" w14:paraId="061ADCD1" w14:textId="77777777" w:rsidTr="00E92A67">
        <w:trPr>
          <w:trHeight w:hRule="exact" w:val="245"/>
        </w:trPr>
        <w:tc>
          <w:tcPr>
            <w:tcW w:w="2250" w:type="dxa"/>
            <w:shd w:val="clear" w:color="auto" w:fill="auto"/>
            <w:vAlign w:val="bottom"/>
          </w:tcPr>
          <w:p w14:paraId="538B47E2" w14:textId="77777777" w:rsidR="00F303E0" w:rsidRPr="00EE5714" w:rsidRDefault="00F303E0" w:rsidP="00851815">
            <w:pPr>
              <w:rPr>
                <w:rFonts w:ascii="Calibri" w:eastAsia="Times New Roman" w:hAnsi="Calibri" w:cs="Calibri"/>
                <w:color w:val="000000"/>
                <w:sz w:val="21"/>
                <w:szCs w:val="21"/>
              </w:rPr>
            </w:pPr>
            <w:r w:rsidRPr="00EE5714">
              <w:rPr>
                <w:rFonts w:ascii="Calibri" w:eastAsia="Times New Roman" w:hAnsi="Calibri" w:cs="Calibri"/>
                <w:b/>
                <w:color w:val="000000"/>
                <w:sz w:val="21"/>
                <w:szCs w:val="21"/>
              </w:rPr>
              <w:t>UGI PNG</w:t>
            </w:r>
          </w:p>
        </w:tc>
        <w:tc>
          <w:tcPr>
            <w:tcW w:w="2700" w:type="dxa"/>
            <w:vAlign w:val="bottom"/>
          </w:tcPr>
          <w:p w14:paraId="21517B0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9.99</w:t>
            </w:r>
          </w:p>
        </w:tc>
        <w:tc>
          <w:tcPr>
            <w:tcW w:w="2700" w:type="dxa"/>
            <w:vAlign w:val="bottom"/>
          </w:tcPr>
          <w:p w14:paraId="4DE876E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7.98</w:t>
            </w:r>
          </w:p>
        </w:tc>
        <w:tc>
          <w:tcPr>
            <w:tcW w:w="2340" w:type="dxa"/>
            <w:vAlign w:val="bottom"/>
          </w:tcPr>
          <w:p w14:paraId="6A2770A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5.81</w:t>
            </w:r>
          </w:p>
        </w:tc>
      </w:tr>
    </w:tbl>
    <w:p w14:paraId="4F95FF56" w14:textId="77777777" w:rsidR="00F303E0" w:rsidRPr="00EE5714" w:rsidRDefault="00F303E0" w:rsidP="00E92A67">
      <w:pPr>
        <w:pStyle w:val="NoSpacing"/>
        <w:rPr>
          <w:rFonts w:cs="Times New Roman"/>
          <w:i/>
          <w:szCs w:val="26"/>
        </w:rPr>
      </w:pPr>
    </w:p>
    <w:p w14:paraId="48717609" w14:textId="77777777" w:rsidR="00F303E0" w:rsidRPr="00EE5714" w:rsidRDefault="00F303E0" w:rsidP="00E92A67">
      <w:pPr>
        <w:pStyle w:val="NoSpacing"/>
        <w:rPr>
          <w:rFonts w:cs="Times New Roman"/>
          <w:i/>
          <w:szCs w:val="26"/>
        </w:rPr>
      </w:pPr>
    </w:p>
    <w:p w14:paraId="43CA1169" w14:textId="77777777" w:rsidR="00F303E0" w:rsidRPr="00EE5714" w:rsidRDefault="00155347" w:rsidP="007D26D3">
      <w:pPr>
        <w:keepNext/>
        <w:keepLines/>
        <w:rPr>
          <w:rFonts w:ascii="Times New Roman" w:hAnsi="Times New Roman" w:cs="Times New Roman"/>
          <w:sz w:val="26"/>
          <w:szCs w:val="26"/>
        </w:rPr>
      </w:pPr>
      <w:r w:rsidRPr="00EE5714">
        <w:rPr>
          <w:rFonts w:ascii="Times New Roman" w:hAnsi="Times New Roman" w:cs="Times New Roman"/>
          <w:sz w:val="26"/>
          <w:szCs w:val="26"/>
        </w:rPr>
        <w:t>Appendix 2</w:t>
      </w:r>
      <w:r w:rsidR="00F303E0" w:rsidRPr="00EE5714">
        <w:rPr>
          <w:rFonts w:ascii="Times New Roman" w:hAnsi="Times New Roman" w:cs="Times New Roman"/>
          <w:sz w:val="26"/>
          <w:szCs w:val="26"/>
        </w:rPr>
        <w:t xml:space="preserve">.C.4: </w:t>
      </w:r>
      <w:r w:rsidR="00F303E0" w:rsidRPr="00EE5714">
        <w:rPr>
          <w:rFonts w:ascii="Times New Roman" w:eastAsia="Times New Roman" w:hAnsi="Times New Roman" w:cs="Times New Roman"/>
          <w:b/>
          <w:color w:val="000000"/>
          <w:sz w:val="26"/>
          <w:szCs w:val="26"/>
        </w:rPr>
        <w:t>NGDC CAP Energy Burdens by FPIG Levels</w:t>
      </w:r>
    </w:p>
    <w:tbl>
      <w:tblPr>
        <w:tblW w:w="999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250"/>
        <w:gridCol w:w="2700"/>
        <w:gridCol w:w="2700"/>
        <w:gridCol w:w="2340"/>
      </w:tblGrid>
      <w:tr w:rsidR="00F303E0" w:rsidRPr="00EE5714" w14:paraId="471B4F6C" w14:textId="77777777" w:rsidTr="00FF6D6E">
        <w:trPr>
          <w:trHeight w:val="385"/>
        </w:trPr>
        <w:tc>
          <w:tcPr>
            <w:tcW w:w="9990" w:type="dxa"/>
            <w:gridSpan w:val="4"/>
            <w:shd w:val="clear" w:color="auto" w:fill="BFBFBF" w:themeFill="background1" w:themeFillShade="BF"/>
            <w:vAlign w:val="center"/>
          </w:tcPr>
          <w:p w14:paraId="3A0AB054" w14:textId="0AFD7896" w:rsidR="00F303E0" w:rsidRPr="00EE5714" w:rsidRDefault="00F303E0" w:rsidP="00FF6D6E">
            <w:pPr>
              <w:keepNext/>
              <w:keepLine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2015 NGDC CAP Energy Burdens for Heating Customers by FPIG Levels</w:t>
            </w:r>
            <w:r w:rsidR="00976AFE" w:rsidRPr="00EE5714">
              <w:rPr>
                <w:rFonts w:ascii="Calibri" w:eastAsia="Times New Roman" w:hAnsi="Calibri" w:cs="Calibri"/>
                <w:b/>
                <w:color w:val="000000"/>
              </w:rPr>
              <w:t xml:space="preserve"> (%)</w:t>
            </w:r>
          </w:p>
        </w:tc>
      </w:tr>
      <w:tr w:rsidR="00F303E0" w:rsidRPr="00EE5714" w14:paraId="69505649" w14:textId="77777777" w:rsidTr="00E92A67">
        <w:trPr>
          <w:trHeight w:hRule="exact" w:val="245"/>
        </w:trPr>
        <w:tc>
          <w:tcPr>
            <w:tcW w:w="2250" w:type="dxa"/>
            <w:shd w:val="clear" w:color="auto" w:fill="D9D9D9" w:themeFill="background1" w:themeFillShade="D9"/>
          </w:tcPr>
          <w:p w14:paraId="7DC2B1F4" w14:textId="77777777" w:rsidR="00F303E0" w:rsidRPr="00EE5714" w:rsidRDefault="00F303E0" w:rsidP="007D26D3">
            <w:pPr>
              <w:keepNext/>
              <w:keepLines/>
              <w:rPr>
                <w:rFonts w:ascii="Calibri" w:eastAsia="Times New Roman" w:hAnsi="Calibri" w:cs="Calibri"/>
                <w:b/>
                <w:i/>
                <w:color w:val="000000"/>
                <w:sz w:val="21"/>
                <w:szCs w:val="21"/>
              </w:rPr>
            </w:pPr>
            <w:r w:rsidRPr="00EE5714">
              <w:rPr>
                <w:rFonts w:ascii="Calibri" w:eastAsia="Times New Roman" w:hAnsi="Calibri" w:cs="Calibri"/>
                <w:b/>
                <w:i/>
                <w:color w:val="000000"/>
                <w:sz w:val="21"/>
                <w:szCs w:val="21"/>
              </w:rPr>
              <w:t xml:space="preserve">FPIG Level </w:t>
            </w:r>
          </w:p>
        </w:tc>
        <w:tc>
          <w:tcPr>
            <w:tcW w:w="2700" w:type="dxa"/>
            <w:shd w:val="clear" w:color="auto" w:fill="D9D9D9" w:themeFill="background1" w:themeFillShade="D9"/>
            <w:noWrap/>
            <w:vAlign w:val="bottom"/>
            <w:hideMark/>
          </w:tcPr>
          <w:p w14:paraId="3131E809" w14:textId="77777777" w:rsidR="00F303E0" w:rsidRPr="00EE5714" w:rsidRDefault="00F303E0" w:rsidP="007D26D3">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2700" w:type="dxa"/>
            <w:shd w:val="clear" w:color="auto" w:fill="D9D9D9" w:themeFill="background1" w:themeFillShade="D9"/>
            <w:noWrap/>
            <w:vAlign w:val="bottom"/>
            <w:hideMark/>
          </w:tcPr>
          <w:p w14:paraId="629F67A0" w14:textId="77777777" w:rsidR="00F303E0" w:rsidRPr="00EE5714" w:rsidRDefault="00F303E0" w:rsidP="007D26D3">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2340" w:type="dxa"/>
            <w:shd w:val="clear" w:color="auto" w:fill="D9D9D9" w:themeFill="background1" w:themeFillShade="D9"/>
            <w:noWrap/>
            <w:vAlign w:val="bottom"/>
            <w:hideMark/>
          </w:tcPr>
          <w:p w14:paraId="18575479" w14:textId="77777777" w:rsidR="00F303E0" w:rsidRPr="00EE5714" w:rsidRDefault="00F303E0" w:rsidP="007D26D3">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r>
      <w:tr w:rsidR="00F303E0" w:rsidRPr="00EE5714" w14:paraId="76174AB1" w14:textId="77777777" w:rsidTr="00E92A67">
        <w:trPr>
          <w:trHeight w:hRule="exact" w:val="245"/>
        </w:trPr>
        <w:tc>
          <w:tcPr>
            <w:tcW w:w="2250" w:type="dxa"/>
          </w:tcPr>
          <w:p w14:paraId="4A0B0E6D" w14:textId="77777777" w:rsidR="00F303E0" w:rsidRPr="00EE5714" w:rsidRDefault="00F303E0" w:rsidP="007D26D3">
            <w:pPr>
              <w:keepNext/>
              <w:keepLines/>
              <w:jc w:val="right"/>
              <w:rPr>
                <w:rFonts w:ascii="Calibri" w:eastAsia="Times New Roman" w:hAnsi="Calibri" w:cs="Calibri"/>
                <w:color w:val="000000"/>
                <w:sz w:val="16"/>
                <w:szCs w:val="16"/>
              </w:rPr>
            </w:pPr>
          </w:p>
        </w:tc>
        <w:tc>
          <w:tcPr>
            <w:tcW w:w="2700" w:type="dxa"/>
            <w:shd w:val="clear" w:color="auto" w:fill="auto"/>
            <w:noWrap/>
            <w:vAlign w:val="bottom"/>
          </w:tcPr>
          <w:p w14:paraId="2535589F" w14:textId="77777777" w:rsidR="00F303E0" w:rsidRPr="00EE5714" w:rsidRDefault="00F303E0" w:rsidP="007D26D3">
            <w:pPr>
              <w:keepNext/>
              <w:keepLines/>
              <w:jc w:val="right"/>
              <w:rPr>
                <w:rFonts w:ascii="Calibri" w:eastAsia="Times New Roman" w:hAnsi="Calibri" w:cs="Calibri"/>
                <w:color w:val="000000"/>
                <w:sz w:val="21"/>
                <w:szCs w:val="21"/>
              </w:rPr>
            </w:pPr>
          </w:p>
        </w:tc>
        <w:tc>
          <w:tcPr>
            <w:tcW w:w="2700" w:type="dxa"/>
            <w:shd w:val="clear" w:color="auto" w:fill="auto"/>
            <w:noWrap/>
            <w:vAlign w:val="bottom"/>
          </w:tcPr>
          <w:p w14:paraId="0A958A41" w14:textId="77777777" w:rsidR="00F303E0" w:rsidRPr="00EE5714" w:rsidRDefault="00F303E0" w:rsidP="007D26D3">
            <w:pPr>
              <w:keepNext/>
              <w:keepLines/>
              <w:jc w:val="right"/>
              <w:rPr>
                <w:rFonts w:ascii="Calibri" w:eastAsia="Times New Roman" w:hAnsi="Calibri" w:cs="Calibri"/>
                <w:color w:val="000000"/>
                <w:sz w:val="21"/>
                <w:szCs w:val="21"/>
              </w:rPr>
            </w:pPr>
          </w:p>
        </w:tc>
        <w:tc>
          <w:tcPr>
            <w:tcW w:w="2340" w:type="dxa"/>
            <w:shd w:val="clear" w:color="auto" w:fill="auto"/>
            <w:noWrap/>
            <w:vAlign w:val="bottom"/>
          </w:tcPr>
          <w:p w14:paraId="25E5A5D3" w14:textId="77777777" w:rsidR="00F303E0" w:rsidRPr="00EE5714" w:rsidRDefault="00F303E0" w:rsidP="007D26D3">
            <w:pPr>
              <w:keepNext/>
              <w:keepLines/>
              <w:jc w:val="right"/>
              <w:rPr>
                <w:rFonts w:ascii="Calibri" w:eastAsia="Times New Roman" w:hAnsi="Calibri" w:cs="Calibri"/>
                <w:color w:val="000000"/>
                <w:sz w:val="21"/>
                <w:szCs w:val="21"/>
              </w:rPr>
            </w:pPr>
          </w:p>
        </w:tc>
      </w:tr>
      <w:tr w:rsidR="00F303E0" w:rsidRPr="00EE5714" w14:paraId="498D5625" w14:textId="77777777" w:rsidTr="00E92A67">
        <w:trPr>
          <w:trHeight w:hRule="exact" w:val="432"/>
        </w:trPr>
        <w:tc>
          <w:tcPr>
            <w:tcW w:w="2250" w:type="dxa"/>
            <w:shd w:val="clear" w:color="auto" w:fill="F2F2F2" w:themeFill="background1" w:themeFillShade="F2"/>
            <w:vAlign w:val="center"/>
          </w:tcPr>
          <w:p w14:paraId="76996D98" w14:textId="77777777" w:rsidR="00F303E0" w:rsidRPr="00EE5714" w:rsidRDefault="00F303E0" w:rsidP="000A514C">
            <w:pPr>
              <w:keepNext/>
              <w:keepLines/>
              <w:rPr>
                <w:rFonts w:ascii="Calibri" w:eastAsia="Times New Roman" w:hAnsi="Calibri" w:cs="Calibri"/>
                <w:color w:val="000000"/>
                <w:sz w:val="16"/>
                <w:szCs w:val="16"/>
              </w:rPr>
            </w:pPr>
            <w:r w:rsidRPr="00EE5714">
              <w:rPr>
                <w:rFonts w:ascii="Calibri" w:eastAsia="Times New Roman" w:hAnsi="Calibri" w:cs="Calibri"/>
                <w:b/>
                <w:i/>
                <w:color w:val="000000"/>
                <w:sz w:val="21"/>
                <w:szCs w:val="21"/>
              </w:rPr>
              <w:t>Gas Industry Average</w:t>
            </w:r>
          </w:p>
        </w:tc>
        <w:tc>
          <w:tcPr>
            <w:tcW w:w="2700" w:type="dxa"/>
            <w:shd w:val="clear" w:color="auto" w:fill="F2F2F2" w:themeFill="background1" w:themeFillShade="F2"/>
            <w:noWrap/>
            <w:vAlign w:val="center"/>
            <w:hideMark/>
          </w:tcPr>
          <w:p w14:paraId="770E65D0"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8.26</w:t>
            </w:r>
          </w:p>
        </w:tc>
        <w:tc>
          <w:tcPr>
            <w:tcW w:w="2700" w:type="dxa"/>
            <w:shd w:val="clear" w:color="auto" w:fill="F2F2F2" w:themeFill="background1" w:themeFillShade="F2"/>
            <w:noWrap/>
            <w:vAlign w:val="center"/>
            <w:hideMark/>
          </w:tcPr>
          <w:p w14:paraId="7E64D7AB"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6.98</w:t>
            </w:r>
          </w:p>
        </w:tc>
        <w:tc>
          <w:tcPr>
            <w:tcW w:w="2340" w:type="dxa"/>
            <w:shd w:val="clear" w:color="auto" w:fill="F2F2F2" w:themeFill="background1" w:themeFillShade="F2"/>
            <w:noWrap/>
            <w:vAlign w:val="center"/>
            <w:hideMark/>
          </w:tcPr>
          <w:p w14:paraId="7DB2A5BE"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5.74</w:t>
            </w:r>
          </w:p>
        </w:tc>
      </w:tr>
      <w:tr w:rsidR="00F303E0" w:rsidRPr="00EE5714" w14:paraId="784B9103" w14:textId="77777777" w:rsidTr="00E92A67">
        <w:trPr>
          <w:trHeight w:hRule="exact" w:val="245"/>
        </w:trPr>
        <w:tc>
          <w:tcPr>
            <w:tcW w:w="2250" w:type="dxa"/>
          </w:tcPr>
          <w:p w14:paraId="4E2EA77A" w14:textId="77777777" w:rsidR="00F303E0" w:rsidRPr="00EE5714" w:rsidRDefault="00F303E0" w:rsidP="000A514C">
            <w:pPr>
              <w:keepNext/>
              <w:keepLines/>
              <w:rPr>
                <w:rFonts w:ascii="Calibri" w:eastAsia="Times New Roman" w:hAnsi="Calibri" w:cs="Calibri"/>
                <w:color w:val="000000"/>
                <w:sz w:val="16"/>
                <w:szCs w:val="16"/>
              </w:rPr>
            </w:pPr>
          </w:p>
        </w:tc>
        <w:tc>
          <w:tcPr>
            <w:tcW w:w="2700" w:type="dxa"/>
            <w:shd w:val="clear" w:color="auto" w:fill="auto"/>
            <w:noWrap/>
            <w:vAlign w:val="bottom"/>
            <w:hideMark/>
          </w:tcPr>
          <w:p w14:paraId="6EDBCB95" w14:textId="77777777" w:rsidR="00F303E0" w:rsidRPr="00EE5714" w:rsidRDefault="00F303E0" w:rsidP="000A514C">
            <w:pPr>
              <w:keepNext/>
              <w:keepLines/>
              <w:jc w:val="center"/>
              <w:rPr>
                <w:rFonts w:ascii="Calibri" w:eastAsia="Times New Roman" w:hAnsi="Calibri" w:cs="Calibri"/>
                <w:color w:val="000000"/>
                <w:sz w:val="21"/>
                <w:szCs w:val="21"/>
              </w:rPr>
            </w:pPr>
          </w:p>
        </w:tc>
        <w:tc>
          <w:tcPr>
            <w:tcW w:w="2700" w:type="dxa"/>
            <w:shd w:val="clear" w:color="auto" w:fill="auto"/>
            <w:noWrap/>
            <w:vAlign w:val="bottom"/>
            <w:hideMark/>
          </w:tcPr>
          <w:p w14:paraId="011E1249" w14:textId="77777777" w:rsidR="00F303E0" w:rsidRPr="00EE5714" w:rsidRDefault="00F303E0" w:rsidP="000A514C">
            <w:pPr>
              <w:keepNext/>
              <w:keepLines/>
              <w:jc w:val="center"/>
              <w:rPr>
                <w:rFonts w:ascii="Calibri" w:eastAsia="Times New Roman" w:hAnsi="Calibri" w:cs="Calibri"/>
                <w:color w:val="000000"/>
                <w:sz w:val="21"/>
                <w:szCs w:val="21"/>
              </w:rPr>
            </w:pPr>
          </w:p>
        </w:tc>
        <w:tc>
          <w:tcPr>
            <w:tcW w:w="2340" w:type="dxa"/>
            <w:shd w:val="clear" w:color="auto" w:fill="auto"/>
            <w:noWrap/>
            <w:vAlign w:val="bottom"/>
            <w:hideMark/>
          </w:tcPr>
          <w:p w14:paraId="79B0376F" w14:textId="77777777" w:rsidR="00F303E0" w:rsidRPr="00EE5714" w:rsidRDefault="00F303E0" w:rsidP="000A514C">
            <w:pPr>
              <w:keepNext/>
              <w:keepLines/>
              <w:jc w:val="center"/>
              <w:rPr>
                <w:rFonts w:ascii="Calibri" w:eastAsia="Times New Roman" w:hAnsi="Calibri" w:cs="Calibri"/>
                <w:color w:val="000000"/>
                <w:sz w:val="21"/>
                <w:szCs w:val="21"/>
              </w:rPr>
            </w:pPr>
          </w:p>
        </w:tc>
      </w:tr>
      <w:tr w:rsidR="00F303E0" w:rsidRPr="00EE5714" w14:paraId="612628A3" w14:textId="77777777" w:rsidTr="00E92A67">
        <w:trPr>
          <w:trHeight w:hRule="exact" w:val="245"/>
        </w:trPr>
        <w:tc>
          <w:tcPr>
            <w:tcW w:w="2250" w:type="dxa"/>
            <w:shd w:val="clear" w:color="auto" w:fill="auto"/>
            <w:vAlign w:val="bottom"/>
          </w:tcPr>
          <w:p w14:paraId="060716DB" w14:textId="77777777" w:rsidR="00F303E0" w:rsidRPr="00EE5714" w:rsidRDefault="00F303E0" w:rsidP="000A514C">
            <w:pPr>
              <w:keepNext/>
              <w:keepLines/>
              <w:rPr>
                <w:rFonts w:ascii="Calibri" w:eastAsia="Times New Roman" w:hAnsi="Calibri" w:cs="Calibri"/>
                <w:color w:val="000000"/>
                <w:sz w:val="16"/>
                <w:szCs w:val="16"/>
              </w:rPr>
            </w:pPr>
            <w:r w:rsidRPr="00EE5714">
              <w:rPr>
                <w:rFonts w:ascii="Calibri" w:eastAsia="Times New Roman" w:hAnsi="Calibri" w:cs="Calibri"/>
                <w:b/>
                <w:color w:val="000000"/>
                <w:sz w:val="21"/>
                <w:szCs w:val="21"/>
              </w:rPr>
              <w:t>Columbia</w:t>
            </w:r>
          </w:p>
        </w:tc>
        <w:tc>
          <w:tcPr>
            <w:tcW w:w="2700" w:type="dxa"/>
            <w:shd w:val="clear" w:color="auto" w:fill="auto"/>
            <w:noWrap/>
            <w:vAlign w:val="center"/>
            <w:hideMark/>
          </w:tcPr>
          <w:p w14:paraId="59047F49"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10.36</w:t>
            </w:r>
          </w:p>
        </w:tc>
        <w:tc>
          <w:tcPr>
            <w:tcW w:w="2700" w:type="dxa"/>
            <w:shd w:val="clear" w:color="auto" w:fill="auto"/>
            <w:noWrap/>
            <w:vAlign w:val="center"/>
            <w:hideMark/>
          </w:tcPr>
          <w:p w14:paraId="1C940869"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5.55</w:t>
            </w:r>
          </w:p>
        </w:tc>
        <w:tc>
          <w:tcPr>
            <w:tcW w:w="2340" w:type="dxa"/>
            <w:shd w:val="clear" w:color="auto" w:fill="auto"/>
            <w:noWrap/>
            <w:vAlign w:val="center"/>
            <w:hideMark/>
          </w:tcPr>
          <w:p w14:paraId="76136567"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3.27</w:t>
            </w:r>
          </w:p>
        </w:tc>
      </w:tr>
      <w:tr w:rsidR="00F303E0" w:rsidRPr="00EE5714" w14:paraId="28AE91EF" w14:textId="77777777" w:rsidTr="00E92A67">
        <w:trPr>
          <w:trHeight w:hRule="exact" w:val="245"/>
        </w:trPr>
        <w:tc>
          <w:tcPr>
            <w:tcW w:w="2250" w:type="dxa"/>
            <w:shd w:val="clear" w:color="auto" w:fill="auto"/>
            <w:vAlign w:val="bottom"/>
          </w:tcPr>
          <w:p w14:paraId="0FF1D7C0" w14:textId="77777777" w:rsidR="00F303E0" w:rsidRPr="00EE5714" w:rsidRDefault="00F303E0" w:rsidP="000A514C">
            <w:pPr>
              <w:keepNext/>
              <w:keepLines/>
              <w:rPr>
                <w:sz w:val="16"/>
                <w:szCs w:val="16"/>
              </w:rPr>
            </w:pPr>
            <w:r w:rsidRPr="00EE5714">
              <w:rPr>
                <w:rFonts w:ascii="Calibri" w:eastAsia="Times New Roman" w:hAnsi="Calibri" w:cs="Calibri"/>
                <w:b/>
                <w:color w:val="000000"/>
                <w:sz w:val="21"/>
                <w:szCs w:val="21"/>
              </w:rPr>
              <w:t>PECO Gas</w:t>
            </w:r>
          </w:p>
        </w:tc>
        <w:tc>
          <w:tcPr>
            <w:tcW w:w="2700" w:type="dxa"/>
            <w:shd w:val="clear" w:color="auto" w:fill="auto"/>
            <w:noWrap/>
            <w:vAlign w:val="center"/>
          </w:tcPr>
          <w:p w14:paraId="4BEE8EC1"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19.95</w:t>
            </w:r>
          </w:p>
        </w:tc>
        <w:tc>
          <w:tcPr>
            <w:tcW w:w="2700" w:type="dxa"/>
            <w:shd w:val="clear" w:color="auto" w:fill="auto"/>
            <w:noWrap/>
            <w:vAlign w:val="center"/>
          </w:tcPr>
          <w:p w14:paraId="19E77030"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10.68</w:t>
            </w:r>
          </w:p>
        </w:tc>
        <w:tc>
          <w:tcPr>
            <w:tcW w:w="2340" w:type="dxa"/>
            <w:shd w:val="clear" w:color="auto" w:fill="auto"/>
            <w:noWrap/>
            <w:vAlign w:val="center"/>
          </w:tcPr>
          <w:p w14:paraId="5EC78E65"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8.64</w:t>
            </w:r>
          </w:p>
        </w:tc>
      </w:tr>
      <w:tr w:rsidR="00F303E0" w:rsidRPr="00EE5714" w14:paraId="17D365AA" w14:textId="77777777" w:rsidTr="00E92A67">
        <w:trPr>
          <w:trHeight w:hRule="exact" w:val="245"/>
        </w:trPr>
        <w:tc>
          <w:tcPr>
            <w:tcW w:w="2250" w:type="dxa"/>
            <w:shd w:val="clear" w:color="auto" w:fill="auto"/>
            <w:vAlign w:val="bottom"/>
          </w:tcPr>
          <w:p w14:paraId="4C213E1D" w14:textId="77777777" w:rsidR="00F303E0" w:rsidRPr="00EE5714" w:rsidRDefault="00F303E0" w:rsidP="000A514C">
            <w:pPr>
              <w:keepNext/>
              <w:keepLines/>
              <w:rPr>
                <w:sz w:val="16"/>
                <w:szCs w:val="16"/>
              </w:rPr>
            </w:pPr>
            <w:r w:rsidRPr="00EE5714">
              <w:rPr>
                <w:rFonts w:ascii="Calibri" w:eastAsia="Times New Roman" w:hAnsi="Calibri" w:cs="Calibri"/>
                <w:b/>
                <w:color w:val="000000"/>
                <w:sz w:val="21"/>
                <w:szCs w:val="21"/>
              </w:rPr>
              <w:t>Peoples</w:t>
            </w:r>
          </w:p>
        </w:tc>
        <w:tc>
          <w:tcPr>
            <w:tcW w:w="2700" w:type="dxa"/>
            <w:shd w:val="clear" w:color="auto" w:fill="auto"/>
            <w:noWrap/>
            <w:vAlign w:val="center"/>
          </w:tcPr>
          <w:p w14:paraId="3258B288"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8.28</w:t>
            </w:r>
          </w:p>
        </w:tc>
        <w:tc>
          <w:tcPr>
            <w:tcW w:w="2700" w:type="dxa"/>
            <w:shd w:val="clear" w:color="auto" w:fill="auto"/>
            <w:noWrap/>
            <w:vAlign w:val="center"/>
          </w:tcPr>
          <w:p w14:paraId="0FC5D6A3"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7.31</w:t>
            </w:r>
          </w:p>
        </w:tc>
        <w:tc>
          <w:tcPr>
            <w:tcW w:w="2340" w:type="dxa"/>
            <w:shd w:val="clear" w:color="auto" w:fill="auto"/>
            <w:noWrap/>
            <w:vAlign w:val="center"/>
          </w:tcPr>
          <w:p w14:paraId="33C7ECC7"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5.61</w:t>
            </w:r>
          </w:p>
        </w:tc>
      </w:tr>
      <w:tr w:rsidR="00F303E0" w:rsidRPr="00EE5714" w14:paraId="4079B4B8" w14:textId="77777777" w:rsidTr="00E92A67">
        <w:trPr>
          <w:trHeight w:hRule="exact" w:val="245"/>
        </w:trPr>
        <w:tc>
          <w:tcPr>
            <w:tcW w:w="2250" w:type="dxa"/>
            <w:shd w:val="clear" w:color="auto" w:fill="auto"/>
            <w:vAlign w:val="bottom"/>
          </w:tcPr>
          <w:p w14:paraId="23EFD64B" w14:textId="77777777" w:rsidR="00F303E0" w:rsidRPr="00EE5714" w:rsidRDefault="00F303E0" w:rsidP="000A514C">
            <w:pPr>
              <w:keepNext/>
              <w:keepLines/>
              <w:rPr>
                <w:rFonts w:ascii="Calibri" w:eastAsia="Times New Roman" w:hAnsi="Calibri" w:cs="Calibri"/>
                <w:color w:val="000000"/>
                <w:sz w:val="16"/>
                <w:szCs w:val="16"/>
              </w:rPr>
            </w:pPr>
            <w:r w:rsidRPr="00EE5714">
              <w:rPr>
                <w:rFonts w:ascii="Calibri" w:eastAsia="Times New Roman" w:hAnsi="Calibri" w:cs="Calibri"/>
                <w:b/>
                <w:color w:val="000000"/>
                <w:sz w:val="21"/>
                <w:szCs w:val="21"/>
              </w:rPr>
              <w:t>Peoples EQT</w:t>
            </w:r>
          </w:p>
        </w:tc>
        <w:tc>
          <w:tcPr>
            <w:tcW w:w="2700" w:type="dxa"/>
            <w:shd w:val="clear" w:color="auto" w:fill="auto"/>
            <w:noWrap/>
            <w:vAlign w:val="center"/>
            <w:hideMark/>
          </w:tcPr>
          <w:p w14:paraId="42FCC32D"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5.29</w:t>
            </w:r>
          </w:p>
        </w:tc>
        <w:tc>
          <w:tcPr>
            <w:tcW w:w="2700" w:type="dxa"/>
            <w:shd w:val="clear" w:color="auto" w:fill="auto"/>
            <w:noWrap/>
            <w:vAlign w:val="center"/>
            <w:hideMark/>
          </w:tcPr>
          <w:p w14:paraId="75D87D92"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5.13</w:t>
            </w:r>
          </w:p>
        </w:tc>
        <w:tc>
          <w:tcPr>
            <w:tcW w:w="2340" w:type="dxa"/>
            <w:shd w:val="clear" w:color="auto" w:fill="auto"/>
            <w:noWrap/>
            <w:vAlign w:val="center"/>
            <w:hideMark/>
          </w:tcPr>
          <w:p w14:paraId="0D563D48"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4.52</w:t>
            </w:r>
          </w:p>
        </w:tc>
      </w:tr>
      <w:tr w:rsidR="00F303E0" w:rsidRPr="00EE5714" w14:paraId="738F5377" w14:textId="77777777" w:rsidTr="00E92A67">
        <w:trPr>
          <w:trHeight w:hRule="exact" w:val="245"/>
        </w:trPr>
        <w:tc>
          <w:tcPr>
            <w:tcW w:w="2250" w:type="dxa"/>
            <w:shd w:val="clear" w:color="auto" w:fill="auto"/>
            <w:vAlign w:val="bottom"/>
          </w:tcPr>
          <w:p w14:paraId="1816CE37" w14:textId="77777777" w:rsidR="00F303E0" w:rsidRPr="00EE5714" w:rsidRDefault="00F303E0" w:rsidP="000A514C">
            <w:pPr>
              <w:keepNext/>
              <w:keepLines/>
              <w:rPr>
                <w:rFonts w:ascii="Calibri" w:eastAsia="Times New Roman" w:hAnsi="Calibri" w:cs="Calibri"/>
                <w:color w:val="000000"/>
                <w:sz w:val="16"/>
                <w:szCs w:val="16"/>
              </w:rPr>
            </w:pPr>
            <w:r w:rsidRPr="00EE5714">
              <w:rPr>
                <w:rFonts w:ascii="Calibri" w:eastAsia="Times New Roman" w:hAnsi="Calibri" w:cs="Calibri"/>
                <w:b/>
                <w:color w:val="000000"/>
                <w:sz w:val="21"/>
                <w:szCs w:val="21"/>
              </w:rPr>
              <w:t>PGW</w:t>
            </w:r>
          </w:p>
        </w:tc>
        <w:tc>
          <w:tcPr>
            <w:tcW w:w="2700" w:type="dxa"/>
            <w:shd w:val="clear" w:color="auto" w:fill="auto"/>
            <w:noWrap/>
            <w:vAlign w:val="center"/>
          </w:tcPr>
          <w:p w14:paraId="3DF1BF84"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7.20</w:t>
            </w:r>
          </w:p>
        </w:tc>
        <w:tc>
          <w:tcPr>
            <w:tcW w:w="2700" w:type="dxa"/>
            <w:shd w:val="clear" w:color="auto" w:fill="auto"/>
            <w:noWrap/>
            <w:vAlign w:val="center"/>
          </w:tcPr>
          <w:p w14:paraId="7E4CF2E1"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9.21</w:t>
            </w:r>
          </w:p>
        </w:tc>
        <w:tc>
          <w:tcPr>
            <w:tcW w:w="2340" w:type="dxa"/>
            <w:shd w:val="clear" w:color="auto" w:fill="auto"/>
            <w:noWrap/>
            <w:vAlign w:val="center"/>
          </w:tcPr>
          <w:p w14:paraId="690EB053"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10.58</w:t>
            </w:r>
          </w:p>
        </w:tc>
      </w:tr>
      <w:tr w:rsidR="00F303E0" w:rsidRPr="00EE5714" w14:paraId="1E9E697E" w14:textId="77777777" w:rsidTr="00E92A67">
        <w:trPr>
          <w:trHeight w:hRule="exact" w:val="245"/>
        </w:trPr>
        <w:tc>
          <w:tcPr>
            <w:tcW w:w="2250" w:type="dxa"/>
            <w:shd w:val="clear" w:color="auto" w:fill="auto"/>
            <w:vAlign w:val="bottom"/>
          </w:tcPr>
          <w:p w14:paraId="5C81EAF9" w14:textId="77777777" w:rsidR="00F303E0" w:rsidRPr="00EE5714" w:rsidRDefault="00F303E0" w:rsidP="000A514C">
            <w:pPr>
              <w:keepNext/>
              <w:keepLines/>
              <w:rPr>
                <w:rFonts w:ascii="Calibri" w:eastAsia="Times New Roman" w:hAnsi="Calibri" w:cs="Calibri"/>
                <w:color w:val="000000"/>
                <w:sz w:val="16"/>
                <w:szCs w:val="16"/>
              </w:rPr>
            </w:pPr>
            <w:r w:rsidRPr="00EE5714">
              <w:rPr>
                <w:rFonts w:ascii="Calibri" w:eastAsia="Times New Roman" w:hAnsi="Calibri" w:cs="Calibri"/>
                <w:b/>
                <w:color w:val="000000"/>
                <w:sz w:val="21"/>
                <w:szCs w:val="21"/>
              </w:rPr>
              <w:t>UGI Gas</w:t>
            </w:r>
          </w:p>
        </w:tc>
        <w:tc>
          <w:tcPr>
            <w:tcW w:w="2700" w:type="dxa"/>
            <w:shd w:val="clear" w:color="auto" w:fill="auto"/>
            <w:noWrap/>
            <w:vAlign w:val="center"/>
            <w:hideMark/>
          </w:tcPr>
          <w:p w14:paraId="7F203E46"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9.17</w:t>
            </w:r>
          </w:p>
        </w:tc>
        <w:tc>
          <w:tcPr>
            <w:tcW w:w="2700" w:type="dxa"/>
            <w:shd w:val="clear" w:color="auto" w:fill="auto"/>
            <w:noWrap/>
            <w:vAlign w:val="center"/>
            <w:hideMark/>
          </w:tcPr>
          <w:p w14:paraId="1302123F"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6.54</w:t>
            </w:r>
          </w:p>
        </w:tc>
        <w:tc>
          <w:tcPr>
            <w:tcW w:w="2340" w:type="dxa"/>
            <w:shd w:val="clear" w:color="auto" w:fill="auto"/>
            <w:noWrap/>
            <w:vAlign w:val="center"/>
            <w:hideMark/>
          </w:tcPr>
          <w:p w14:paraId="5182B674"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4.82</w:t>
            </w:r>
          </w:p>
        </w:tc>
      </w:tr>
      <w:tr w:rsidR="00F303E0" w:rsidRPr="00EE5714" w14:paraId="6E568FE1" w14:textId="77777777" w:rsidTr="00E92A67">
        <w:trPr>
          <w:trHeight w:hRule="exact" w:val="245"/>
        </w:trPr>
        <w:tc>
          <w:tcPr>
            <w:tcW w:w="2250" w:type="dxa"/>
            <w:shd w:val="clear" w:color="auto" w:fill="auto"/>
            <w:vAlign w:val="bottom"/>
          </w:tcPr>
          <w:p w14:paraId="3E41C916" w14:textId="77777777" w:rsidR="00F303E0" w:rsidRPr="00EE5714" w:rsidRDefault="00F303E0" w:rsidP="000A514C">
            <w:pPr>
              <w:keepNext/>
              <w:keepLines/>
              <w:rPr>
                <w:rFonts w:ascii="Calibri" w:eastAsia="Times New Roman" w:hAnsi="Calibri" w:cs="Calibri"/>
                <w:color w:val="000000"/>
                <w:sz w:val="16"/>
                <w:szCs w:val="16"/>
              </w:rPr>
            </w:pPr>
            <w:r w:rsidRPr="00EE5714">
              <w:rPr>
                <w:rFonts w:ascii="Calibri" w:eastAsia="Times New Roman" w:hAnsi="Calibri" w:cs="Calibri"/>
                <w:b/>
                <w:color w:val="000000"/>
                <w:sz w:val="21"/>
                <w:szCs w:val="21"/>
              </w:rPr>
              <w:t>UGI PNG</w:t>
            </w:r>
          </w:p>
        </w:tc>
        <w:tc>
          <w:tcPr>
            <w:tcW w:w="2700" w:type="dxa"/>
            <w:shd w:val="clear" w:color="auto" w:fill="auto"/>
            <w:noWrap/>
            <w:vAlign w:val="center"/>
          </w:tcPr>
          <w:p w14:paraId="7CCC2150"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9.89</w:t>
            </w:r>
          </w:p>
        </w:tc>
        <w:tc>
          <w:tcPr>
            <w:tcW w:w="2700" w:type="dxa"/>
            <w:shd w:val="clear" w:color="auto" w:fill="auto"/>
            <w:noWrap/>
            <w:vAlign w:val="center"/>
          </w:tcPr>
          <w:p w14:paraId="3E26EF7A"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7.32</w:t>
            </w:r>
          </w:p>
        </w:tc>
        <w:tc>
          <w:tcPr>
            <w:tcW w:w="2340" w:type="dxa"/>
            <w:shd w:val="clear" w:color="auto" w:fill="auto"/>
            <w:noWrap/>
            <w:vAlign w:val="center"/>
          </w:tcPr>
          <w:p w14:paraId="76BDE712"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5.99</w:t>
            </w:r>
          </w:p>
        </w:tc>
      </w:tr>
    </w:tbl>
    <w:p w14:paraId="09DA8BC6" w14:textId="77777777" w:rsidR="00F303E0" w:rsidRPr="00EE5714" w:rsidRDefault="00F303E0" w:rsidP="00E92A67">
      <w:pPr>
        <w:pStyle w:val="NoSpacing"/>
        <w:rPr>
          <w:rFonts w:cs="Times New Roman"/>
          <w:i/>
          <w:szCs w:val="26"/>
        </w:rPr>
      </w:pPr>
    </w:p>
    <w:p w14:paraId="2030E719" w14:textId="77777777" w:rsidR="00F303E0" w:rsidRPr="00EE5714" w:rsidRDefault="00F303E0" w:rsidP="00F303E0">
      <w:pPr>
        <w:pStyle w:val="NoSpacing"/>
        <w:rPr>
          <w:rFonts w:cs="Times New Roman"/>
          <w:i/>
          <w:szCs w:val="26"/>
        </w:rPr>
      </w:pPr>
    </w:p>
    <w:p w14:paraId="0F1E7E74" w14:textId="77777777" w:rsidR="00F303E0" w:rsidRPr="00EE5714" w:rsidRDefault="00155347" w:rsidP="00FF6D6E">
      <w:pPr>
        <w:pStyle w:val="NoSpacing"/>
        <w:keepNext/>
        <w:keepLines/>
        <w:spacing w:after="160"/>
        <w:rPr>
          <w:rFonts w:cs="Times New Roman"/>
          <w:i/>
          <w:szCs w:val="26"/>
        </w:rPr>
      </w:pPr>
      <w:r w:rsidRPr="00EE5714">
        <w:rPr>
          <w:rFonts w:cs="Times New Roman"/>
          <w:szCs w:val="26"/>
        </w:rPr>
        <w:lastRenderedPageBreak/>
        <w:t>Appendix 2</w:t>
      </w:r>
      <w:r w:rsidR="00F303E0" w:rsidRPr="00EE5714">
        <w:rPr>
          <w:rFonts w:cs="Times New Roman"/>
          <w:szCs w:val="26"/>
        </w:rPr>
        <w:t>.C.5</w:t>
      </w:r>
      <w:r w:rsidR="00F303E0" w:rsidRPr="00EE5714">
        <w:rPr>
          <w:rFonts w:cs="Times New Roman"/>
          <w:i/>
          <w:szCs w:val="26"/>
        </w:rPr>
        <w:t xml:space="preserve">: </w:t>
      </w:r>
      <w:r w:rsidR="00F303E0" w:rsidRPr="00EE5714">
        <w:rPr>
          <w:rFonts w:eastAsia="Times New Roman" w:cs="Times New Roman"/>
          <w:b/>
          <w:color w:val="000000"/>
          <w:szCs w:val="26"/>
        </w:rPr>
        <w:t>NGDC CAP Energy Burdens by FPIG Levels</w:t>
      </w:r>
    </w:p>
    <w:tbl>
      <w:tblPr>
        <w:tblW w:w="999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250"/>
        <w:gridCol w:w="2700"/>
        <w:gridCol w:w="2700"/>
        <w:gridCol w:w="2340"/>
      </w:tblGrid>
      <w:tr w:rsidR="00F303E0" w:rsidRPr="00EE5714" w14:paraId="532F2B27" w14:textId="77777777" w:rsidTr="00FF6D6E">
        <w:trPr>
          <w:trHeight w:val="277"/>
        </w:trPr>
        <w:tc>
          <w:tcPr>
            <w:tcW w:w="9990" w:type="dxa"/>
            <w:gridSpan w:val="4"/>
            <w:shd w:val="clear" w:color="auto" w:fill="BFBFBF" w:themeFill="background1" w:themeFillShade="BF"/>
            <w:vAlign w:val="center"/>
          </w:tcPr>
          <w:p w14:paraId="1FE5EFD9" w14:textId="4B423848" w:rsidR="00F303E0" w:rsidRPr="00EE5714" w:rsidRDefault="00F303E0" w:rsidP="00FF6D6E">
            <w:pPr>
              <w:keepNext/>
              <w:keepLine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2016 NGDC CAP Energy Burdens for Heating Customers by FPIG Levels</w:t>
            </w:r>
            <w:r w:rsidR="00976AFE" w:rsidRPr="00EE5714">
              <w:rPr>
                <w:rFonts w:ascii="Calibri" w:eastAsia="Times New Roman" w:hAnsi="Calibri" w:cs="Calibri"/>
                <w:b/>
                <w:color w:val="000000"/>
              </w:rPr>
              <w:t xml:space="preserve"> (%)</w:t>
            </w:r>
          </w:p>
        </w:tc>
      </w:tr>
      <w:tr w:rsidR="00F303E0" w:rsidRPr="00EE5714" w14:paraId="5CB1643F" w14:textId="77777777" w:rsidTr="00E92A67">
        <w:trPr>
          <w:trHeight w:hRule="exact" w:val="245"/>
        </w:trPr>
        <w:tc>
          <w:tcPr>
            <w:tcW w:w="2250" w:type="dxa"/>
            <w:shd w:val="clear" w:color="auto" w:fill="D9D9D9" w:themeFill="background1" w:themeFillShade="D9"/>
          </w:tcPr>
          <w:p w14:paraId="53975068" w14:textId="77777777" w:rsidR="00F303E0" w:rsidRPr="00EE5714" w:rsidRDefault="00F303E0" w:rsidP="00FF6D6E">
            <w:pPr>
              <w:keepNext/>
              <w:keepLines/>
              <w:spacing w:after="0" w:line="240" w:lineRule="auto"/>
              <w:rPr>
                <w:rFonts w:ascii="Calibri" w:eastAsia="Times New Roman" w:hAnsi="Calibri" w:cs="Calibri"/>
                <w:b/>
                <w:color w:val="000000"/>
                <w:sz w:val="21"/>
                <w:szCs w:val="21"/>
              </w:rPr>
            </w:pPr>
            <w:r w:rsidRPr="00EE5714">
              <w:rPr>
                <w:rFonts w:ascii="Calibri" w:eastAsia="Times New Roman" w:hAnsi="Calibri" w:cs="Calibri"/>
                <w:b/>
                <w:i/>
                <w:color w:val="000000"/>
                <w:sz w:val="21"/>
                <w:szCs w:val="21"/>
              </w:rPr>
              <w:t xml:space="preserve">FPIG Level </w:t>
            </w:r>
          </w:p>
        </w:tc>
        <w:tc>
          <w:tcPr>
            <w:tcW w:w="2700" w:type="dxa"/>
            <w:shd w:val="clear" w:color="auto" w:fill="D9D9D9" w:themeFill="background1" w:themeFillShade="D9"/>
            <w:noWrap/>
            <w:vAlign w:val="bottom"/>
            <w:hideMark/>
          </w:tcPr>
          <w:p w14:paraId="6EF48C6E"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2700" w:type="dxa"/>
            <w:shd w:val="clear" w:color="auto" w:fill="D9D9D9" w:themeFill="background1" w:themeFillShade="D9"/>
            <w:noWrap/>
            <w:vAlign w:val="bottom"/>
            <w:hideMark/>
          </w:tcPr>
          <w:p w14:paraId="36BC5252"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2340" w:type="dxa"/>
            <w:shd w:val="clear" w:color="auto" w:fill="D9D9D9" w:themeFill="background1" w:themeFillShade="D9"/>
            <w:noWrap/>
            <w:vAlign w:val="bottom"/>
            <w:hideMark/>
          </w:tcPr>
          <w:p w14:paraId="71AEDF17" w14:textId="77777777" w:rsidR="00F303E0" w:rsidRPr="00EE5714" w:rsidRDefault="00F303E0" w:rsidP="00FF6D6E">
            <w:pPr>
              <w:keepNext/>
              <w:keepLines/>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r>
      <w:tr w:rsidR="00F303E0" w:rsidRPr="00EE5714" w14:paraId="61E66F00" w14:textId="77777777" w:rsidTr="00E92A67">
        <w:trPr>
          <w:trHeight w:hRule="exact" w:val="245"/>
        </w:trPr>
        <w:tc>
          <w:tcPr>
            <w:tcW w:w="2250" w:type="dxa"/>
          </w:tcPr>
          <w:p w14:paraId="1C5FBE7F" w14:textId="77777777" w:rsidR="00F303E0" w:rsidRPr="00EE5714" w:rsidRDefault="00F303E0" w:rsidP="00FF6D6E">
            <w:pPr>
              <w:keepNext/>
              <w:keepLines/>
              <w:spacing w:after="0" w:line="240" w:lineRule="auto"/>
              <w:jc w:val="right"/>
              <w:rPr>
                <w:rFonts w:ascii="Calibri" w:eastAsia="Times New Roman" w:hAnsi="Calibri" w:cs="Calibri"/>
                <w:color w:val="000000"/>
                <w:sz w:val="21"/>
                <w:szCs w:val="21"/>
              </w:rPr>
            </w:pPr>
          </w:p>
        </w:tc>
        <w:tc>
          <w:tcPr>
            <w:tcW w:w="2700" w:type="dxa"/>
            <w:shd w:val="clear" w:color="auto" w:fill="auto"/>
            <w:noWrap/>
            <w:vAlign w:val="bottom"/>
          </w:tcPr>
          <w:p w14:paraId="201BE069" w14:textId="77777777" w:rsidR="00F303E0" w:rsidRPr="00EE5714" w:rsidRDefault="00F303E0" w:rsidP="00FF6D6E">
            <w:pPr>
              <w:keepNext/>
              <w:keepLines/>
              <w:spacing w:after="0" w:line="240" w:lineRule="auto"/>
              <w:jc w:val="right"/>
              <w:rPr>
                <w:rFonts w:ascii="Calibri" w:eastAsia="Times New Roman" w:hAnsi="Calibri" w:cs="Calibri"/>
                <w:color w:val="000000"/>
                <w:sz w:val="21"/>
                <w:szCs w:val="21"/>
              </w:rPr>
            </w:pPr>
          </w:p>
        </w:tc>
        <w:tc>
          <w:tcPr>
            <w:tcW w:w="2700" w:type="dxa"/>
            <w:shd w:val="clear" w:color="auto" w:fill="auto"/>
            <w:noWrap/>
            <w:vAlign w:val="bottom"/>
          </w:tcPr>
          <w:p w14:paraId="687CE08D" w14:textId="77777777" w:rsidR="00F303E0" w:rsidRPr="00EE5714" w:rsidRDefault="00F303E0" w:rsidP="00FF6D6E">
            <w:pPr>
              <w:keepNext/>
              <w:keepLines/>
              <w:spacing w:after="0" w:line="240" w:lineRule="auto"/>
              <w:jc w:val="right"/>
              <w:rPr>
                <w:rFonts w:ascii="Calibri" w:eastAsia="Times New Roman" w:hAnsi="Calibri" w:cs="Calibri"/>
                <w:color w:val="000000"/>
                <w:sz w:val="21"/>
                <w:szCs w:val="21"/>
              </w:rPr>
            </w:pPr>
          </w:p>
        </w:tc>
        <w:tc>
          <w:tcPr>
            <w:tcW w:w="2340" w:type="dxa"/>
            <w:shd w:val="clear" w:color="auto" w:fill="auto"/>
            <w:noWrap/>
            <w:vAlign w:val="bottom"/>
          </w:tcPr>
          <w:p w14:paraId="19BF7B35" w14:textId="77777777" w:rsidR="00F303E0" w:rsidRPr="00EE5714" w:rsidRDefault="00F303E0" w:rsidP="00FF6D6E">
            <w:pPr>
              <w:keepNext/>
              <w:keepLines/>
              <w:spacing w:after="0" w:line="240" w:lineRule="auto"/>
              <w:jc w:val="right"/>
              <w:rPr>
                <w:rFonts w:ascii="Calibri" w:eastAsia="Times New Roman" w:hAnsi="Calibri" w:cs="Calibri"/>
                <w:color w:val="000000"/>
                <w:sz w:val="21"/>
                <w:szCs w:val="21"/>
              </w:rPr>
            </w:pPr>
          </w:p>
        </w:tc>
      </w:tr>
      <w:tr w:rsidR="00F303E0" w:rsidRPr="00EE5714" w14:paraId="7A95EF11" w14:textId="77777777" w:rsidTr="00FF6D6E">
        <w:trPr>
          <w:trHeight w:hRule="exact" w:val="344"/>
        </w:trPr>
        <w:tc>
          <w:tcPr>
            <w:tcW w:w="2250" w:type="dxa"/>
            <w:shd w:val="clear" w:color="auto" w:fill="F2F2F2" w:themeFill="background1" w:themeFillShade="F2"/>
            <w:vAlign w:val="center"/>
          </w:tcPr>
          <w:p w14:paraId="603D4F87" w14:textId="77777777" w:rsidR="00F303E0" w:rsidRPr="00EE5714" w:rsidRDefault="00F303E0" w:rsidP="00FF6D6E">
            <w:pPr>
              <w:keepNext/>
              <w:keepLines/>
              <w:spacing w:after="0" w:line="240" w:lineRule="auto"/>
              <w:rPr>
                <w:rFonts w:ascii="Calibri" w:eastAsia="Times New Roman" w:hAnsi="Calibri" w:cs="Calibri"/>
                <w:color w:val="000000"/>
                <w:sz w:val="21"/>
                <w:szCs w:val="21"/>
              </w:rPr>
            </w:pPr>
            <w:r w:rsidRPr="00EE5714">
              <w:rPr>
                <w:rFonts w:ascii="Calibri" w:eastAsia="Times New Roman" w:hAnsi="Calibri" w:cs="Calibri"/>
                <w:b/>
                <w:i/>
                <w:color w:val="000000"/>
                <w:sz w:val="21"/>
                <w:szCs w:val="21"/>
              </w:rPr>
              <w:t>Gas Industry Average</w:t>
            </w:r>
          </w:p>
        </w:tc>
        <w:tc>
          <w:tcPr>
            <w:tcW w:w="2700" w:type="dxa"/>
            <w:shd w:val="clear" w:color="auto" w:fill="F2F2F2" w:themeFill="background1" w:themeFillShade="F2"/>
            <w:noWrap/>
            <w:vAlign w:val="center"/>
            <w:hideMark/>
          </w:tcPr>
          <w:p w14:paraId="2B20E9E7"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8.87</w:t>
            </w:r>
          </w:p>
        </w:tc>
        <w:tc>
          <w:tcPr>
            <w:tcW w:w="2700" w:type="dxa"/>
            <w:shd w:val="clear" w:color="auto" w:fill="F2F2F2" w:themeFill="background1" w:themeFillShade="F2"/>
            <w:noWrap/>
            <w:vAlign w:val="center"/>
            <w:hideMark/>
          </w:tcPr>
          <w:p w14:paraId="28BA0010"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7.08</w:t>
            </w:r>
          </w:p>
        </w:tc>
        <w:tc>
          <w:tcPr>
            <w:tcW w:w="2340" w:type="dxa"/>
            <w:shd w:val="clear" w:color="auto" w:fill="F2F2F2" w:themeFill="background1" w:themeFillShade="F2"/>
            <w:noWrap/>
            <w:vAlign w:val="center"/>
            <w:hideMark/>
          </w:tcPr>
          <w:p w14:paraId="02A121AF" w14:textId="77777777" w:rsidR="00F303E0" w:rsidRPr="00EE5714" w:rsidRDefault="00F303E0" w:rsidP="00FF6D6E">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5.44</w:t>
            </w:r>
          </w:p>
        </w:tc>
      </w:tr>
      <w:tr w:rsidR="00F303E0" w:rsidRPr="00EE5714" w14:paraId="3B24EB7C" w14:textId="77777777" w:rsidTr="00E92A67">
        <w:trPr>
          <w:trHeight w:hRule="exact" w:val="245"/>
        </w:trPr>
        <w:tc>
          <w:tcPr>
            <w:tcW w:w="2250" w:type="dxa"/>
          </w:tcPr>
          <w:p w14:paraId="65015DBB"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2700" w:type="dxa"/>
            <w:shd w:val="clear" w:color="auto" w:fill="auto"/>
            <w:noWrap/>
            <w:vAlign w:val="bottom"/>
            <w:hideMark/>
          </w:tcPr>
          <w:p w14:paraId="0075B7C3"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2700" w:type="dxa"/>
            <w:shd w:val="clear" w:color="auto" w:fill="auto"/>
            <w:noWrap/>
            <w:vAlign w:val="bottom"/>
            <w:hideMark/>
          </w:tcPr>
          <w:p w14:paraId="3F176BBD"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2340" w:type="dxa"/>
            <w:shd w:val="clear" w:color="auto" w:fill="auto"/>
            <w:noWrap/>
            <w:vAlign w:val="bottom"/>
            <w:hideMark/>
          </w:tcPr>
          <w:p w14:paraId="008CF879" w14:textId="77777777" w:rsidR="00F303E0" w:rsidRPr="00EE5714" w:rsidRDefault="00F303E0" w:rsidP="00851815">
            <w:pPr>
              <w:keepNext/>
              <w:keepLines/>
              <w:jc w:val="center"/>
              <w:rPr>
                <w:rFonts w:ascii="Calibri" w:eastAsia="Times New Roman" w:hAnsi="Calibri" w:cs="Calibri"/>
                <w:color w:val="000000"/>
                <w:sz w:val="21"/>
                <w:szCs w:val="21"/>
              </w:rPr>
            </w:pPr>
          </w:p>
        </w:tc>
      </w:tr>
      <w:tr w:rsidR="00F303E0" w:rsidRPr="00EE5714" w14:paraId="6B946C38" w14:textId="77777777" w:rsidTr="00E92A67">
        <w:trPr>
          <w:trHeight w:hRule="exact" w:val="245"/>
        </w:trPr>
        <w:tc>
          <w:tcPr>
            <w:tcW w:w="2250" w:type="dxa"/>
            <w:shd w:val="clear" w:color="auto" w:fill="auto"/>
            <w:vAlign w:val="bottom"/>
          </w:tcPr>
          <w:p w14:paraId="126AD05D"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Columbia</w:t>
            </w:r>
          </w:p>
        </w:tc>
        <w:tc>
          <w:tcPr>
            <w:tcW w:w="2700" w:type="dxa"/>
            <w:shd w:val="clear" w:color="auto" w:fill="auto"/>
            <w:noWrap/>
            <w:vAlign w:val="center"/>
            <w:hideMark/>
          </w:tcPr>
          <w:p w14:paraId="26C83656"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10.37</w:t>
            </w:r>
          </w:p>
        </w:tc>
        <w:tc>
          <w:tcPr>
            <w:tcW w:w="2700" w:type="dxa"/>
            <w:shd w:val="clear" w:color="auto" w:fill="auto"/>
            <w:noWrap/>
            <w:vAlign w:val="center"/>
            <w:hideMark/>
          </w:tcPr>
          <w:p w14:paraId="69D93DB5"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5.27</w:t>
            </w:r>
          </w:p>
        </w:tc>
        <w:tc>
          <w:tcPr>
            <w:tcW w:w="2340" w:type="dxa"/>
            <w:shd w:val="clear" w:color="auto" w:fill="auto"/>
            <w:noWrap/>
            <w:vAlign w:val="center"/>
            <w:hideMark/>
          </w:tcPr>
          <w:p w14:paraId="4E2138FF"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3.06</w:t>
            </w:r>
          </w:p>
        </w:tc>
      </w:tr>
      <w:tr w:rsidR="00F303E0" w:rsidRPr="00EE5714" w14:paraId="135F5746" w14:textId="77777777" w:rsidTr="00E92A67">
        <w:trPr>
          <w:trHeight w:hRule="exact" w:val="245"/>
        </w:trPr>
        <w:tc>
          <w:tcPr>
            <w:tcW w:w="2250" w:type="dxa"/>
            <w:shd w:val="clear" w:color="auto" w:fill="auto"/>
            <w:vAlign w:val="bottom"/>
          </w:tcPr>
          <w:p w14:paraId="38089B87"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PECO Gas</w:t>
            </w:r>
          </w:p>
        </w:tc>
        <w:tc>
          <w:tcPr>
            <w:tcW w:w="2700" w:type="dxa"/>
            <w:shd w:val="clear" w:color="auto" w:fill="auto"/>
            <w:noWrap/>
            <w:vAlign w:val="center"/>
          </w:tcPr>
          <w:p w14:paraId="3D43553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17.17</w:t>
            </w:r>
          </w:p>
        </w:tc>
        <w:tc>
          <w:tcPr>
            <w:tcW w:w="2700" w:type="dxa"/>
            <w:shd w:val="clear" w:color="auto" w:fill="auto"/>
            <w:noWrap/>
            <w:vAlign w:val="center"/>
          </w:tcPr>
          <w:p w14:paraId="5B28401F"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9.05</w:t>
            </w:r>
          </w:p>
        </w:tc>
        <w:tc>
          <w:tcPr>
            <w:tcW w:w="2340" w:type="dxa"/>
            <w:shd w:val="clear" w:color="auto" w:fill="auto"/>
            <w:noWrap/>
            <w:vAlign w:val="center"/>
          </w:tcPr>
          <w:p w14:paraId="3230C0C0"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7.23</w:t>
            </w:r>
          </w:p>
        </w:tc>
      </w:tr>
      <w:tr w:rsidR="00F303E0" w:rsidRPr="00EE5714" w14:paraId="4225552F" w14:textId="77777777" w:rsidTr="00E92A67">
        <w:trPr>
          <w:trHeight w:hRule="exact" w:val="245"/>
        </w:trPr>
        <w:tc>
          <w:tcPr>
            <w:tcW w:w="2250" w:type="dxa"/>
            <w:shd w:val="clear" w:color="auto" w:fill="auto"/>
            <w:vAlign w:val="bottom"/>
          </w:tcPr>
          <w:p w14:paraId="4BA3E3E2"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Peoples</w:t>
            </w:r>
          </w:p>
        </w:tc>
        <w:tc>
          <w:tcPr>
            <w:tcW w:w="2700" w:type="dxa"/>
            <w:shd w:val="clear" w:color="auto" w:fill="auto"/>
            <w:noWrap/>
            <w:vAlign w:val="center"/>
          </w:tcPr>
          <w:p w14:paraId="696A2B91"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8.18</w:t>
            </w:r>
          </w:p>
        </w:tc>
        <w:tc>
          <w:tcPr>
            <w:tcW w:w="2700" w:type="dxa"/>
            <w:shd w:val="clear" w:color="auto" w:fill="auto"/>
            <w:noWrap/>
            <w:vAlign w:val="center"/>
          </w:tcPr>
          <w:p w14:paraId="29164B0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6.62</w:t>
            </w:r>
          </w:p>
        </w:tc>
        <w:tc>
          <w:tcPr>
            <w:tcW w:w="2340" w:type="dxa"/>
            <w:shd w:val="clear" w:color="auto" w:fill="auto"/>
            <w:noWrap/>
            <w:vAlign w:val="center"/>
          </w:tcPr>
          <w:p w14:paraId="5749B80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4.76</w:t>
            </w:r>
          </w:p>
        </w:tc>
      </w:tr>
      <w:tr w:rsidR="00F303E0" w:rsidRPr="00EE5714" w14:paraId="09E23D18" w14:textId="77777777" w:rsidTr="00E92A67">
        <w:trPr>
          <w:trHeight w:hRule="exact" w:val="245"/>
        </w:trPr>
        <w:tc>
          <w:tcPr>
            <w:tcW w:w="2250" w:type="dxa"/>
            <w:shd w:val="clear" w:color="auto" w:fill="auto"/>
            <w:vAlign w:val="bottom"/>
          </w:tcPr>
          <w:p w14:paraId="2D41BCD9"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Peoples EQT</w:t>
            </w:r>
          </w:p>
        </w:tc>
        <w:tc>
          <w:tcPr>
            <w:tcW w:w="2700" w:type="dxa"/>
            <w:shd w:val="clear" w:color="auto" w:fill="auto"/>
            <w:noWrap/>
            <w:vAlign w:val="center"/>
            <w:hideMark/>
          </w:tcPr>
          <w:p w14:paraId="4DF6A35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8.63</w:t>
            </w:r>
          </w:p>
        </w:tc>
        <w:tc>
          <w:tcPr>
            <w:tcW w:w="2700" w:type="dxa"/>
            <w:shd w:val="clear" w:color="auto" w:fill="auto"/>
            <w:noWrap/>
            <w:vAlign w:val="center"/>
            <w:hideMark/>
          </w:tcPr>
          <w:p w14:paraId="09E4A6D5"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7.58</w:t>
            </w:r>
          </w:p>
        </w:tc>
        <w:tc>
          <w:tcPr>
            <w:tcW w:w="2340" w:type="dxa"/>
            <w:shd w:val="clear" w:color="auto" w:fill="auto"/>
            <w:noWrap/>
            <w:vAlign w:val="center"/>
            <w:hideMark/>
          </w:tcPr>
          <w:p w14:paraId="23E100A3"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5.70</w:t>
            </w:r>
          </w:p>
        </w:tc>
      </w:tr>
      <w:tr w:rsidR="00F303E0" w:rsidRPr="00EE5714" w14:paraId="6C694268" w14:textId="77777777" w:rsidTr="00E92A67">
        <w:trPr>
          <w:trHeight w:hRule="exact" w:val="245"/>
        </w:trPr>
        <w:tc>
          <w:tcPr>
            <w:tcW w:w="2250" w:type="dxa"/>
            <w:shd w:val="clear" w:color="auto" w:fill="auto"/>
            <w:vAlign w:val="bottom"/>
          </w:tcPr>
          <w:p w14:paraId="474E66F5"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PGW</w:t>
            </w:r>
          </w:p>
        </w:tc>
        <w:tc>
          <w:tcPr>
            <w:tcW w:w="2700" w:type="dxa"/>
            <w:shd w:val="clear" w:color="auto" w:fill="auto"/>
            <w:noWrap/>
            <w:vAlign w:val="center"/>
          </w:tcPr>
          <w:p w14:paraId="25D0A96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7.82</w:t>
            </w:r>
          </w:p>
        </w:tc>
        <w:tc>
          <w:tcPr>
            <w:tcW w:w="2700" w:type="dxa"/>
            <w:shd w:val="clear" w:color="auto" w:fill="auto"/>
            <w:noWrap/>
            <w:vAlign w:val="center"/>
          </w:tcPr>
          <w:p w14:paraId="50FFE3E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9.22</w:t>
            </w:r>
          </w:p>
        </w:tc>
        <w:tc>
          <w:tcPr>
            <w:tcW w:w="2340" w:type="dxa"/>
            <w:shd w:val="clear" w:color="auto" w:fill="auto"/>
            <w:noWrap/>
            <w:vAlign w:val="center"/>
          </w:tcPr>
          <w:p w14:paraId="03D70F0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10.48</w:t>
            </w:r>
          </w:p>
        </w:tc>
      </w:tr>
      <w:tr w:rsidR="00F303E0" w:rsidRPr="00EE5714" w14:paraId="08877BC4" w14:textId="77777777" w:rsidTr="00E92A67">
        <w:trPr>
          <w:trHeight w:hRule="exact" w:val="245"/>
        </w:trPr>
        <w:tc>
          <w:tcPr>
            <w:tcW w:w="2250" w:type="dxa"/>
            <w:shd w:val="clear" w:color="auto" w:fill="auto"/>
            <w:vAlign w:val="bottom"/>
          </w:tcPr>
          <w:p w14:paraId="1D258413"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UGI Gas</w:t>
            </w:r>
          </w:p>
        </w:tc>
        <w:tc>
          <w:tcPr>
            <w:tcW w:w="2700" w:type="dxa"/>
            <w:shd w:val="clear" w:color="auto" w:fill="auto"/>
            <w:noWrap/>
            <w:vAlign w:val="center"/>
            <w:hideMark/>
          </w:tcPr>
          <w:p w14:paraId="43487CC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7.39</w:t>
            </w:r>
          </w:p>
        </w:tc>
        <w:tc>
          <w:tcPr>
            <w:tcW w:w="2700" w:type="dxa"/>
            <w:shd w:val="clear" w:color="auto" w:fill="auto"/>
            <w:noWrap/>
            <w:vAlign w:val="center"/>
            <w:hideMark/>
          </w:tcPr>
          <w:p w14:paraId="4EE7E11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5.65</w:t>
            </w:r>
          </w:p>
        </w:tc>
        <w:tc>
          <w:tcPr>
            <w:tcW w:w="2340" w:type="dxa"/>
            <w:shd w:val="clear" w:color="auto" w:fill="auto"/>
            <w:noWrap/>
            <w:vAlign w:val="center"/>
            <w:hideMark/>
          </w:tcPr>
          <w:p w14:paraId="30B41B4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4.07</w:t>
            </w:r>
          </w:p>
        </w:tc>
      </w:tr>
      <w:tr w:rsidR="00F303E0" w:rsidRPr="00EE5714" w14:paraId="3A434322" w14:textId="77777777" w:rsidTr="00E92A67">
        <w:trPr>
          <w:trHeight w:hRule="exact" w:val="245"/>
        </w:trPr>
        <w:tc>
          <w:tcPr>
            <w:tcW w:w="2250" w:type="dxa"/>
            <w:shd w:val="clear" w:color="auto" w:fill="auto"/>
            <w:vAlign w:val="bottom"/>
          </w:tcPr>
          <w:p w14:paraId="50A3C32D" w14:textId="77777777" w:rsidR="00F303E0" w:rsidRPr="00EE5714" w:rsidRDefault="00F303E0" w:rsidP="00851815">
            <w:pPr>
              <w:rPr>
                <w:rFonts w:ascii="Calibri" w:eastAsia="Times New Roman" w:hAnsi="Calibri" w:cs="Calibri"/>
                <w:color w:val="000000"/>
                <w:sz w:val="21"/>
                <w:szCs w:val="21"/>
              </w:rPr>
            </w:pPr>
            <w:r w:rsidRPr="00EE5714">
              <w:rPr>
                <w:rFonts w:ascii="Calibri" w:eastAsia="Times New Roman" w:hAnsi="Calibri" w:cs="Calibri"/>
                <w:b/>
                <w:color w:val="000000"/>
                <w:sz w:val="21"/>
                <w:szCs w:val="21"/>
              </w:rPr>
              <w:t>UGI PNG</w:t>
            </w:r>
          </w:p>
        </w:tc>
        <w:tc>
          <w:tcPr>
            <w:tcW w:w="2700" w:type="dxa"/>
            <w:shd w:val="clear" w:color="auto" w:fill="auto"/>
            <w:noWrap/>
            <w:vAlign w:val="center"/>
          </w:tcPr>
          <w:p w14:paraId="35837F4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7.50</w:t>
            </w:r>
          </w:p>
        </w:tc>
        <w:tc>
          <w:tcPr>
            <w:tcW w:w="2700" w:type="dxa"/>
            <w:shd w:val="clear" w:color="auto" w:fill="auto"/>
            <w:noWrap/>
            <w:vAlign w:val="center"/>
          </w:tcPr>
          <w:p w14:paraId="10B75A4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6.43</w:t>
            </w:r>
          </w:p>
        </w:tc>
        <w:tc>
          <w:tcPr>
            <w:tcW w:w="2340" w:type="dxa"/>
            <w:shd w:val="clear" w:color="auto" w:fill="auto"/>
            <w:noWrap/>
            <w:vAlign w:val="center"/>
          </w:tcPr>
          <w:p w14:paraId="6510380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5.10</w:t>
            </w:r>
          </w:p>
        </w:tc>
      </w:tr>
    </w:tbl>
    <w:p w14:paraId="41734538" w14:textId="77777777" w:rsidR="00F303E0" w:rsidRPr="00EE5714" w:rsidRDefault="00F303E0" w:rsidP="00F303E0">
      <w:pPr>
        <w:pStyle w:val="NoSpacing"/>
        <w:rPr>
          <w:rFonts w:cs="Times New Roman"/>
          <w:i/>
          <w:szCs w:val="26"/>
        </w:rPr>
      </w:pPr>
    </w:p>
    <w:p w14:paraId="7E335553" w14:textId="77777777" w:rsidR="00F303E0" w:rsidRPr="00EE5714" w:rsidRDefault="00F303E0" w:rsidP="00F303E0">
      <w:pPr>
        <w:pStyle w:val="NoSpacing"/>
        <w:rPr>
          <w:rFonts w:cs="Times New Roman"/>
          <w:i/>
          <w:szCs w:val="26"/>
        </w:rPr>
      </w:pPr>
    </w:p>
    <w:p w14:paraId="125D4525" w14:textId="77777777" w:rsidR="00F303E0" w:rsidRPr="00EE5714" w:rsidRDefault="00155347" w:rsidP="00F303E0">
      <w:pPr>
        <w:pStyle w:val="NoSpacing"/>
        <w:keepNext/>
        <w:rPr>
          <w:rFonts w:cs="Times New Roman"/>
          <w:i/>
          <w:szCs w:val="26"/>
        </w:rPr>
      </w:pPr>
      <w:r w:rsidRPr="00EE5714">
        <w:rPr>
          <w:rFonts w:cs="Times New Roman"/>
          <w:i/>
          <w:szCs w:val="26"/>
        </w:rPr>
        <w:t>Appendix 2</w:t>
      </w:r>
      <w:r w:rsidR="00F303E0" w:rsidRPr="00EE5714">
        <w:rPr>
          <w:rFonts w:cs="Times New Roman"/>
          <w:i/>
          <w:szCs w:val="26"/>
        </w:rPr>
        <w:t>.D: Tables 3-6 to 3-11 EDC CAP Energy Burdens</w:t>
      </w:r>
    </w:p>
    <w:p w14:paraId="1F3256D0" w14:textId="77777777" w:rsidR="00F303E0" w:rsidRPr="00EE5714" w:rsidRDefault="00F303E0" w:rsidP="00F303E0">
      <w:pPr>
        <w:pStyle w:val="NoSpacing"/>
        <w:keepNext/>
        <w:rPr>
          <w:rFonts w:cs="Times New Roman"/>
          <w:szCs w:val="26"/>
        </w:rPr>
      </w:pPr>
    </w:p>
    <w:p w14:paraId="69393025" w14:textId="77777777" w:rsidR="00F303E0" w:rsidRPr="00EE5714" w:rsidRDefault="00F303E0" w:rsidP="00F303E0">
      <w:pPr>
        <w:pStyle w:val="NoSpacing"/>
        <w:keepNext/>
        <w:rPr>
          <w:rFonts w:cs="Times New Roman"/>
          <w:szCs w:val="26"/>
        </w:rPr>
      </w:pPr>
      <w:r w:rsidRPr="00EE5714">
        <w:rPr>
          <w:rFonts w:cs="Times New Roman"/>
          <w:szCs w:val="26"/>
        </w:rPr>
        <w:t xml:space="preserve">The average energy burdens of electric CAP heating and non-heating customers are shown as a percentage by FPIG level for the period from 2012 through 2016.  </w:t>
      </w:r>
    </w:p>
    <w:p w14:paraId="51F8D953" w14:textId="77777777" w:rsidR="00F303E0" w:rsidRPr="00EE5714" w:rsidRDefault="00F303E0" w:rsidP="00F303E0">
      <w:pPr>
        <w:pStyle w:val="NoSpacing"/>
        <w:keepNext/>
        <w:rPr>
          <w:rFonts w:cs="Times New Roman"/>
          <w:szCs w:val="26"/>
        </w:rPr>
      </w:pPr>
    </w:p>
    <w:p w14:paraId="52B635D8" w14:textId="77777777" w:rsidR="00F303E0" w:rsidRPr="00EE5714" w:rsidRDefault="00155347" w:rsidP="00F303E0">
      <w:pPr>
        <w:pStyle w:val="NoSpacing"/>
        <w:keepNext/>
        <w:rPr>
          <w:rFonts w:cs="Times New Roman"/>
          <w:szCs w:val="26"/>
        </w:rPr>
      </w:pPr>
      <w:r w:rsidRPr="00EE5714">
        <w:rPr>
          <w:rFonts w:cs="Times New Roman"/>
          <w:szCs w:val="26"/>
        </w:rPr>
        <w:t>Appendix 2</w:t>
      </w:r>
      <w:r w:rsidR="00F303E0" w:rsidRPr="00EE5714">
        <w:rPr>
          <w:rFonts w:cs="Times New Roman"/>
          <w:szCs w:val="26"/>
        </w:rPr>
        <w:t xml:space="preserve">.D.1: </w:t>
      </w:r>
      <w:r w:rsidR="00F303E0" w:rsidRPr="00EE5714">
        <w:rPr>
          <w:rFonts w:eastAsia="Times New Roman" w:cs="Times New Roman"/>
          <w:b/>
          <w:color w:val="000000"/>
          <w:szCs w:val="26"/>
        </w:rPr>
        <w:t>EDC CAP Energy Burdens by FPIG Level</w:t>
      </w:r>
    </w:p>
    <w:tbl>
      <w:tblPr>
        <w:tblW w:w="999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980"/>
        <w:gridCol w:w="1395"/>
        <w:gridCol w:w="1395"/>
        <w:gridCol w:w="1395"/>
        <w:gridCol w:w="1395"/>
        <w:gridCol w:w="1395"/>
        <w:gridCol w:w="1035"/>
      </w:tblGrid>
      <w:tr w:rsidR="00F303E0" w:rsidRPr="00EE5714" w14:paraId="331A90F5" w14:textId="77777777" w:rsidTr="00E92A67">
        <w:trPr>
          <w:trHeight w:hRule="exact" w:val="506"/>
        </w:trPr>
        <w:tc>
          <w:tcPr>
            <w:tcW w:w="9990" w:type="dxa"/>
            <w:gridSpan w:val="7"/>
            <w:shd w:val="clear" w:color="auto" w:fill="BFBFBF" w:themeFill="background1" w:themeFillShade="BF"/>
            <w:noWrap/>
            <w:vAlign w:val="center"/>
          </w:tcPr>
          <w:p w14:paraId="333C8081" w14:textId="475E3A31" w:rsidR="00F303E0" w:rsidRPr="00EE5714" w:rsidRDefault="00F303E0" w:rsidP="00851815">
            <w:pPr>
              <w:keepNext/>
              <w:jc w:val="center"/>
              <w:rPr>
                <w:rFonts w:ascii="Calibri" w:eastAsia="Times New Roman" w:hAnsi="Calibri" w:cs="Calibri"/>
                <w:b/>
                <w:color w:val="000000"/>
              </w:rPr>
            </w:pPr>
            <w:r w:rsidRPr="00EE5714">
              <w:rPr>
                <w:rFonts w:ascii="Calibri" w:eastAsia="Times New Roman" w:hAnsi="Calibri" w:cs="Calibri"/>
                <w:b/>
                <w:color w:val="000000"/>
              </w:rPr>
              <w:t>2012 EDC CAP Energy Burdens by FPIG Level</w:t>
            </w:r>
            <w:r w:rsidR="00496CAD" w:rsidRPr="00EE5714">
              <w:rPr>
                <w:rFonts w:ascii="Calibri" w:eastAsia="Times New Roman" w:hAnsi="Calibri" w:cs="Calibri"/>
                <w:b/>
                <w:color w:val="000000"/>
              </w:rPr>
              <w:t xml:space="preserve"> (%)</w:t>
            </w:r>
          </w:p>
        </w:tc>
      </w:tr>
      <w:tr w:rsidR="00F303E0" w:rsidRPr="00EE5714" w14:paraId="5E795E29" w14:textId="77777777" w:rsidTr="00E92A67">
        <w:trPr>
          <w:trHeight w:hRule="exact" w:val="245"/>
        </w:trPr>
        <w:tc>
          <w:tcPr>
            <w:tcW w:w="1980" w:type="dxa"/>
            <w:shd w:val="clear" w:color="auto" w:fill="auto"/>
            <w:noWrap/>
            <w:vAlign w:val="bottom"/>
            <w:hideMark/>
          </w:tcPr>
          <w:p w14:paraId="1D37D468" w14:textId="77777777" w:rsidR="00F303E0" w:rsidRPr="00EE5714" w:rsidRDefault="00F303E0" w:rsidP="00851815">
            <w:pPr>
              <w:keepNext/>
              <w:jc w:val="center"/>
              <w:rPr>
                <w:rFonts w:ascii="Calibri" w:eastAsia="Times New Roman" w:hAnsi="Calibri" w:cs="Calibri"/>
                <w:color w:val="000000"/>
                <w:sz w:val="16"/>
                <w:szCs w:val="16"/>
              </w:rPr>
            </w:pPr>
          </w:p>
        </w:tc>
        <w:tc>
          <w:tcPr>
            <w:tcW w:w="4185" w:type="dxa"/>
            <w:gridSpan w:val="3"/>
            <w:shd w:val="clear" w:color="auto" w:fill="auto"/>
            <w:noWrap/>
            <w:vAlign w:val="bottom"/>
            <w:hideMark/>
          </w:tcPr>
          <w:p w14:paraId="01DC659D" w14:textId="77777777" w:rsidR="00F303E0" w:rsidRPr="00EE5714" w:rsidRDefault="00F303E0" w:rsidP="00851815">
            <w:pPr>
              <w:keepNext/>
              <w:jc w:val="center"/>
              <w:rPr>
                <w:rFonts w:ascii="Calibri" w:eastAsia="Times New Roman" w:hAnsi="Calibri" w:cs="Calibri"/>
                <w:b/>
                <w:color w:val="000000"/>
              </w:rPr>
            </w:pPr>
            <w:r w:rsidRPr="00EE5714">
              <w:rPr>
                <w:rFonts w:ascii="Calibri" w:eastAsia="Times New Roman" w:hAnsi="Calibri" w:cs="Calibri"/>
                <w:b/>
                <w:color w:val="000000"/>
              </w:rPr>
              <w:t>Heat</w:t>
            </w:r>
          </w:p>
        </w:tc>
        <w:tc>
          <w:tcPr>
            <w:tcW w:w="3825" w:type="dxa"/>
            <w:gridSpan w:val="3"/>
            <w:shd w:val="clear" w:color="auto" w:fill="auto"/>
            <w:noWrap/>
            <w:vAlign w:val="bottom"/>
            <w:hideMark/>
          </w:tcPr>
          <w:p w14:paraId="7F32E49D" w14:textId="77777777" w:rsidR="00F303E0" w:rsidRPr="00EE5714" w:rsidRDefault="00F303E0" w:rsidP="00851815">
            <w:pPr>
              <w:keepNext/>
              <w:jc w:val="center"/>
              <w:rPr>
                <w:rFonts w:ascii="Calibri" w:eastAsia="Times New Roman" w:hAnsi="Calibri" w:cs="Calibri"/>
                <w:b/>
                <w:color w:val="000000"/>
              </w:rPr>
            </w:pPr>
            <w:r w:rsidRPr="00EE5714">
              <w:rPr>
                <w:rFonts w:ascii="Calibri" w:eastAsia="Times New Roman" w:hAnsi="Calibri" w:cs="Calibri"/>
                <w:b/>
                <w:color w:val="000000"/>
              </w:rPr>
              <w:t>Non Heat</w:t>
            </w:r>
          </w:p>
        </w:tc>
      </w:tr>
      <w:tr w:rsidR="00F303E0" w:rsidRPr="00EE5714" w14:paraId="5D90AC38" w14:textId="77777777" w:rsidTr="00E92A67">
        <w:trPr>
          <w:trHeight w:val="240"/>
        </w:trPr>
        <w:tc>
          <w:tcPr>
            <w:tcW w:w="1980" w:type="dxa"/>
            <w:shd w:val="clear" w:color="auto" w:fill="auto"/>
            <w:noWrap/>
            <w:vAlign w:val="bottom"/>
            <w:hideMark/>
          </w:tcPr>
          <w:p w14:paraId="711E36DD" w14:textId="77777777" w:rsidR="00F303E0" w:rsidRPr="00EE5714" w:rsidRDefault="00F303E0" w:rsidP="00851815">
            <w:pPr>
              <w:keepNext/>
              <w:rPr>
                <w:rFonts w:ascii="Calibri" w:eastAsia="Times New Roman" w:hAnsi="Calibri" w:cs="Calibri"/>
                <w:color w:val="000000"/>
                <w:sz w:val="16"/>
                <w:szCs w:val="16"/>
              </w:rPr>
            </w:pPr>
            <w:r w:rsidRPr="00EE5714">
              <w:rPr>
                <w:rFonts w:ascii="Calibri" w:eastAsia="Times New Roman" w:hAnsi="Calibri" w:cs="Calibri"/>
                <w:color w:val="000000"/>
                <w:sz w:val="16"/>
                <w:szCs w:val="16"/>
              </w:rPr>
              <w:t> </w:t>
            </w:r>
            <w:r w:rsidRPr="00EE5714">
              <w:rPr>
                <w:rFonts w:ascii="Calibri" w:eastAsia="Times New Roman" w:hAnsi="Calibri" w:cs="Calibri"/>
                <w:b/>
                <w:i/>
                <w:color w:val="000000"/>
                <w:sz w:val="21"/>
                <w:szCs w:val="21"/>
              </w:rPr>
              <w:t>FPIG Level</w:t>
            </w:r>
          </w:p>
        </w:tc>
        <w:tc>
          <w:tcPr>
            <w:tcW w:w="1395" w:type="dxa"/>
            <w:shd w:val="clear" w:color="auto" w:fill="D9D9D9" w:themeFill="background1" w:themeFillShade="D9"/>
            <w:noWrap/>
            <w:vAlign w:val="bottom"/>
            <w:hideMark/>
          </w:tcPr>
          <w:p w14:paraId="2F2BB2AC"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1395" w:type="dxa"/>
            <w:shd w:val="clear" w:color="auto" w:fill="D9D9D9" w:themeFill="background1" w:themeFillShade="D9"/>
            <w:noWrap/>
            <w:vAlign w:val="bottom"/>
            <w:hideMark/>
          </w:tcPr>
          <w:p w14:paraId="3A724A06"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1395" w:type="dxa"/>
            <w:shd w:val="clear" w:color="auto" w:fill="D9D9D9" w:themeFill="background1" w:themeFillShade="D9"/>
            <w:noWrap/>
            <w:vAlign w:val="bottom"/>
            <w:hideMark/>
          </w:tcPr>
          <w:p w14:paraId="4D8EA45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c>
          <w:tcPr>
            <w:tcW w:w="1395" w:type="dxa"/>
            <w:shd w:val="clear" w:color="auto" w:fill="D9D9D9" w:themeFill="background1" w:themeFillShade="D9"/>
            <w:noWrap/>
            <w:vAlign w:val="bottom"/>
            <w:hideMark/>
          </w:tcPr>
          <w:p w14:paraId="7443877A"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1395" w:type="dxa"/>
            <w:shd w:val="clear" w:color="auto" w:fill="D9D9D9" w:themeFill="background1" w:themeFillShade="D9"/>
            <w:noWrap/>
            <w:vAlign w:val="bottom"/>
            <w:hideMark/>
          </w:tcPr>
          <w:p w14:paraId="5DB1466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1035" w:type="dxa"/>
            <w:shd w:val="clear" w:color="auto" w:fill="D9D9D9" w:themeFill="background1" w:themeFillShade="D9"/>
            <w:noWrap/>
            <w:vAlign w:val="bottom"/>
            <w:hideMark/>
          </w:tcPr>
          <w:p w14:paraId="74E703FB"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r>
      <w:tr w:rsidR="00F303E0" w:rsidRPr="00EE5714" w14:paraId="3682AA76" w14:textId="77777777" w:rsidTr="00E92A67">
        <w:trPr>
          <w:trHeight w:val="225"/>
        </w:trPr>
        <w:tc>
          <w:tcPr>
            <w:tcW w:w="1980" w:type="dxa"/>
            <w:tcBorders>
              <w:bottom w:val="single" w:sz="8" w:space="0" w:color="000000" w:themeColor="text1"/>
            </w:tcBorders>
            <w:shd w:val="clear" w:color="auto" w:fill="auto"/>
            <w:noWrap/>
            <w:vAlign w:val="bottom"/>
          </w:tcPr>
          <w:p w14:paraId="122BB9E3" w14:textId="77777777" w:rsidR="00F303E0" w:rsidRPr="00EE5714" w:rsidRDefault="00F303E0" w:rsidP="00851815">
            <w:pPr>
              <w:keepNext/>
              <w:rPr>
                <w:rFonts w:ascii="Calibri" w:eastAsia="Times New Roman" w:hAnsi="Calibri" w:cs="Calibri"/>
                <w:b/>
                <w:i/>
                <w:color w:val="000000"/>
                <w:sz w:val="21"/>
                <w:szCs w:val="21"/>
              </w:rPr>
            </w:pPr>
          </w:p>
        </w:tc>
        <w:tc>
          <w:tcPr>
            <w:tcW w:w="1395" w:type="dxa"/>
            <w:tcBorders>
              <w:bottom w:val="single" w:sz="8" w:space="0" w:color="000000" w:themeColor="text1"/>
            </w:tcBorders>
            <w:shd w:val="clear" w:color="auto" w:fill="auto"/>
            <w:noWrap/>
            <w:vAlign w:val="bottom"/>
          </w:tcPr>
          <w:p w14:paraId="3286EF44" w14:textId="77777777" w:rsidR="00F303E0" w:rsidRPr="00EE5714" w:rsidRDefault="00F303E0" w:rsidP="00851815">
            <w:pPr>
              <w:keepNext/>
              <w:jc w:val="right"/>
              <w:rPr>
                <w:rFonts w:ascii="Calibri" w:eastAsia="Times New Roman" w:hAnsi="Calibri" w:cs="Calibri"/>
                <w:color w:val="000000"/>
                <w:sz w:val="21"/>
                <w:szCs w:val="21"/>
              </w:rPr>
            </w:pPr>
          </w:p>
        </w:tc>
        <w:tc>
          <w:tcPr>
            <w:tcW w:w="1395" w:type="dxa"/>
            <w:tcBorders>
              <w:bottom w:val="single" w:sz="8" w:space="0" w:color="000000" w:themeColor="text1"/>
            </w:tcBorders>
            <w:shd w:val="clear" w:color="auto" w:fill="auto"/>
            <w:noWrap/>
            <w:vAlign w:val="bottom"/>
          </w:tcPr>
          <w:p w14:paraId="7D95C736" w14:textId="77777777" w:rsidR="00F303E0" w:rsidRPr="00EE5714" w:rsidRDefault="00F303E0" w:rsidP="00851815">
            <w:pPr>
              <w:keepNext/>
              <w:jc w:val="right"/>
              <w:rPr>
                <w:rFonts w:ascii="Calibri" w:eastAsia="Times New Roman" w:hAnsi="Calibri" w:cs="Calibri"/>
                <w:color w:val="000000"/>
                <w:sz w:val="21"/>
                <w:szCs w:val="21"/>
              </w:rPr>
            </w:pPr>
          </w:p>
        </w:tc>
        <w:tc>
          <w:tcPr>
            <w:tcW w:w="1395" w:type="dxa"/>
            <w:tcBorders>
              <w:bottom w:val="single" w:sz="8" w:space="0" w:color="000000" w:themeColor="text1"/>
            </w:tcBorders>
            <w:shd w:val="clear" w:color="auto" w:fill="auto"/>
            <w:noWrap/>
            <w:vAlign w:val="bottom"/>
          </w:tcPr>
          <w:p w14:paraId="760855B4" w14:textId="77777777" w:rsidR="00F303E0" w:rsidRPr="00EE5714" w:rsidRDefault="00F303E0" w:rsidP="00851815">
            <w:pPr>
              <w:keepNext/>
              <w:jc w:val="right"/>
              <w:rPr>
                <w:rFonts w:ascii="Calibri" w:eastAsia="Times New Roman" w:hAnsi="Calibri" w:cs="Calibri"/>
                <w:color w:val="000000"/>
                <w:sz w:val="21"/>
                <w:szCs w:val="21"/>
              </w:rPr>
            </w:pPr>
          </w:p>
        </w:tc>
        <w:tc>
          <w:tcPr>
            <w:tcW w:w="1395" w:type="dxa"/>
            <w:tcBorders>
              <w:bottom w:val="single" w:sz="8" w:space="0" w:color="000000" w:themeColor="text1"/>
            </w:tcBorders>
            <w:shd w:val="clear" w:color="auto" w:fill="auto"/>
            <w:noWrap/>
            <w:vAlign w:val="bottom"/>
          </w:tcPr>
          <w:p w14:paraId="38CCDA98" w14:textId="77777777" w:rsidR="00F303E0" w:rsidRPr="00EE5714" w:rsidRDefault="00F303E0" w:rsidP="00851815">
            <w:pPr>
              <w:keepNext/>
              <w:jc w:val="right"/>
              <w:rPr>
                <w:rFonts w:ascii="Calibri" w:eastAsia="Times New Roman" w:hAnsi="Calibri" w:cs="Calibri"/>
                <w:color w:val="000000"/>
                <w:sz w:val="21"/>
                <w:szCs w:val="21"/>
              </w:rPr>
            </w:pPr>
          </w:p>
        </w:tc>
        <w:tc>
          <w:tcPr>
            <w:tcW w:w="1395" w:type="dxa"/>
            <w:tcBorders>
              <w:bottom w:val="single" w:sz="8" w:space="0" w:color="000000" w:themeColor="text1"/>
            </w:tcBorders>
            <w:shd w:val="clear" w:color="auto" w:fill="auto"/>
            <w:noWrap/>
            <w:vAlign w:val="bottom"/>
          </w:tcPr>
          <w:p w14:paraId="25EACAF8" w14:textId="77777777" w:rsidR="00F303E0" w:rsidRPr="00EE5714" w:rsidRDefault="00F303E0" w:rsidP="00851815">
            <w:pPr>
              <w:keepNext/>
              <w:jc w:val="right"/>
              <w:rPr>
                <w:rFonts w:ascii="Calibri" w:eastAsia="Times New Roman" w:hAnsi="Calibri" w:cs="Calibri"/>
                <w:color w:val="000000"/>
                <w:sz w:val="21"/>
                <w:szCs w:val="21"/>
              </w:rPr>
            </w:pPr>
          </w:p>
        </w:tc>
        <w:tc>
          <w:tcPr>
            <w:tcW w:w="1035" w:type="dxa"/>
            <w:tcBorders>
              <w:bottom w:val="single" w:sz="8" w:space="0" w:color="000000" w:themeColor="text1"/>
            </w:tcBorders>
            <w:shd w:val="clear" w:color="auto" w:fill="auto"/>
            <w:noWrap/>
            <w:vAlign w:val="bottom"/>
          </w:tcPr>
          <w:p w14:paraId="3B794617" w14:textId="77777777" w:rsidR="00F303E0" w:rsidRPr="00EE5714" w:rsidRDefault="00F303E0" w:rsidP="00851815">
            <w:pPr>
              <w:keepNext/>
              <w:jc w:val="right"/>
              <w:rPr>
                <w:rFonts w:ascii="Calibri" w:eastAsia="Times New Roman" w:hAnsi="Calibri" w:cs="Calibri"/>
                <w:color w:val="000000"/>
                <w:sz w:val="21"/>
                <w:szCs w:val="21"/>
              </w:rPr>
            </w:pPr>
          </w:p>
        </w:tc>
      </w:tr>
      <w:tr w:rsidR="00F303E0" w:rsidRPr="00EE5714" w14:paraId="50898C53" w14:textId="77777777" w:rsidTr="00E92A67">
        <w:trPr>
          <w:trHeight w:hRule="exact" w:val="605"/>
        </w:trPr>
        <w:tc>
          <w:tcPr>
            <w:tcW w:w="1980" w:type="dxa"/>
            <w:shd w:val="clear" w:color="auto" w:fill="F2F2F2" w:themeFill="background1" w:themeFillShade="F2"/>
            <w:noWrap/>
            <w:vAlign w:val="center"/>
            <w:hideMark/>
          </w:tcPr>
          <w:p w14:paraId="4DD23CFE" w14:textId="77777777" w:rsidR="00F303E0" w:rsidRPr="00EE5714" w:rsidRDefault="00F303E0" w:rsidP="00851815">
            <w:pPr>
              <w:keepNext/>
              <w:rPr>
                <w:rFonts w:ascii="Calibri" w:eastAsia="Times New Roman" w:hAnsi="Calibri" w:cs="Calibri"/>
                <w:color w:val="000000"/>
                <w:sz w:val="16"/>
                <w:szCs w:val="16"/>
              </w:rPr>
            </w:pPr>
            <w:r w:rsidRPr="00EE5714">
              <w:rPr>
                <w:rFonts w:ascii="Calibri" w:eastAsia="Times New Roman" w:hAnsi="Calibri" w:cs="Calibri"/>
                <w:b/>
                <w:i/>
                <w:color w:val="000000"/>
                <w:sz w:val="21"/>
                <w:szCs w:val="21"/>
              </w:rPr>
              <w:t>Electric Industry Average</w:t>
            </w:r>
          </w:p>
        </w:tc>
        <w:tc>
          <w:tcPr>
            <w:tcW w:w="1395" w:type="dxa"/>
            <w:shd w:val="clear" w:color="auto" w:fill="F2F2F2" w:themeFill="background1" w:themeFillShade="F2"/>
            <w:noWrap/>
            <w:vAlign w:val="center"/>
            <w:hideMark/>
          </w:tcPr>
          <w:p w14:paraId="157ACB1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17.67</w:t>
            </w:r>
          </w:p>
        </w:tc>
        <w:tc>
          <w:tcPr>
            <w:tcW w:w="1395" w:type="dxa"/>
            <w:shd w:val="clear" w:color="auto" w:fill="F2F2F2" w:themeFill="background1" w:themeFillShade="F2"/>
            <w:noWrap/>
            <w:vAlign w:val="center"/>
            <w:hideMark/>
          </w:tcPr>
          <w:p w14:paraId="22CE23F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7.93</w:t>
            </w:r>
          </w:p>
        </w:tc>
        <w:tc>
          <w:tcPr>
            <w:tcW w:w="1395" w:type="dxa"/>
            <w:shd w:val="clear" w:color="auto" w:fill="F2F2F2" w:themeFill="background1" w:themeFillShade="F2"/>
            <w:noWrap/>
            <w:vAlign w:val="center"/>
            <w:hideMark/>
          </w:tcPr>
          <w:p w14:paraId="5947C40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6.27</w:t>
            </w:r>
          </w:p>
        </w:tc>
        <w:tc>
          <w:tcPr>
            <w:tcW w:w="1395" w:type="dxa"/>
            <w:shd w:val="clear" w:color="auto" w:fill="F2F2F2" w:themeFill="background1" w:themeFillShade="F2"/>
            <w:noWrap/>
            <w:vAlign w:val="center"/>
            <w:hideMark/>
          </w:tcPr>
          <w:p w14:paraId="31382AF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11.39</w:t>
            </w:r>
          </w:p>
        </w:tc>
        <w:tc>
          <w:tcPr>
            <w:tcW w:w="1395" w:type="dxa"/>
            <w:shd w:val="clear" w:color="auto" w:fill="F2F2F2" w:themeFill="background1" w:themeFillShade="F2"/>
            <w:noWrap/>
            <w:vAlign w:val="center"/>
            <w:hideMark/>
          </w:tcPr>
          <w:p w14:paraId="52D436B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5.33</w:t>
            </w:r>
          </w:p>
        </w:tc>
        <w:tc>
          <w:tcPr>
            <w:tcW w:w="1035" w:type="dxa"/>
            <w:shd w:val="clear" w:color="auto" w:fill="F2F2F2" w:themeFill="background1" w:themeFillShade="F2"/>
            <w:noWrap/>
            <w:vAlign w:val="center"/>
            <w:hideMark/>
          </w:tcPr>
          <w:p w14:paraId="324307A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3.93</w:t>
            </w:r>
          </w:p>
        </w:tc>
      </w:tr>
      <w:tr w:rsidR="00F303E0" w:rsidRPr="00EE5714" w14:paraId="6191EB5E" w14:textId="77777777" w:rsidTr="00E92A67">
        <w:trPr>
          <w:trHeight w:hRule="exact" w:val="245"/>
        </w:trPr>
        <w:tc>
          <w:tcPr>
            <w:tcW w:w="1980" w:type="dxa"/>
            <w:shd w:val="clear" w:color="auto" w:fill="auto"/>
            <w:noWrap/>
            <w:vAlign w:val="bottom"/>
            <w:hideMark/>
          </w:tcPr>
          <w:p w14:paraId="47D93341" w14:textId="77777777" w:rsidR="00F303E0" w:rsidRPr="00EE5714" w:rsidRDefault="00F303E0" w:rsidP="00851815">
            <w:pPr>
              <w:keepNext/>
              <w:jc w:val="right"/>
              <w:rPr>
                <w:rFonts w:ascii="Calibri" w:eastAsia="Times New Roman" w:hAnsi="Calibri" w:cs="Calibri"/>
                <w:color w:val="000000"/>
                <w:sz w:val="16"/>
                <w:szCs w:val="16"/>
              </w:rPr>
            </w:pPr>
          </w:p>
        </w:tc>
        <w:tc>
          <w:tcPr>
            <w:tcW w:w="1395" w:type="dxa"/>
            <w:shd w:val="clear" w:color="auto" w:fill="auto"/>
            <w:noWrap/>
            <w:vAlign w:val="bottom"/>
            <w:hideMark/>
          </w:tcPr>
          <w:p w14:paraId="72901C0D" w14:textId="77777777" w:rsidR="00F303E0" w:rsidRPr="00EE5714" w:rsidRDefault="00F303E0" w:rsidP="00851815">
            <w:pPr>
              <w:keepNext/>
              <w:rPr>
                <w:rFonts w:ascii="Calibri" w:eastAsia="Times New Roman" w:hAnsi="Calibri" w:cs="Calibri"/>
                <w:sz w:val="21"/>
                <w:szCs w:val="21"/>
              </w:rPr>
            </w:pPr>
          </w:p>
        </w:tc>
        <w:tc>
          <w:tcPr>
            <w:tcW w:w="1395" w:type="dxa"/>
            <w:shd w:val="clear" w:color="auto" w:fill="auto"/>
            <w:noWrap/>
            <w:vAlign w:val="bottom"/>
            <w:hideMark/>
          </w:tcPr>
          <w:p w14:paraId="1D911DF4" w14:textId="77777777" w:rsidR="00F303E0" w:rsidRPr="00EE5714" w:rsidRDefault="00F303E0" w:rsidP="00851815">
            <w:pPr>
              <w:keepNext/>
              <w:rPr>
                <w:rFonts w:ascii="Calibri" w:eastAsia="Times New Roman" w:hAnsi="Calibri" w:cs="Calibri"/>
                <w:sz w:val="21"/>
                <w:szCs w:val="21"/>
              </w:rPr>
            </w:pPr>
          </w:p>
        </w:tc>
        <w:tc>
          <w:tcPr>
            <w:tcW w:w="1395" w:type="dxa"/>
            <w:shd w:val="clear" w:color="auto" w:fill="auto"/>
            <w:noWrap/>
            <w:vAlign w:val="bottom"/>
            <w:hideMark/>
          </w:tcPr>
          <w:p w14:paraId="6336DD99" w14:textId="77777777" w:rsidR="00F303E0" w:rsidRPr="00EE5714" w:rsidRDefault="00F303E0" w:rsidP="00851815">
            <w:pPr>
              <w:keepNext/>
              <w:rPr>
                <w:rFonts w:ascii="Calibri" w:eastAsia="Times New Roman" w:hAnsi="Calibri" w:cs="Calibri"/>
                <w:sz w:val="21"/>
                <w:szCs w:val="21"/>
              </w:rPr>
            </w:pPr>
          </w:p>
        </w:tc>
        <w:tc>
          <w:tcPr>
            <w:tcW w:w="1395" w:type="dxa"/>
            <w:shd w:val="clear" w:color="auto" w:fill="auto"/>
            <w:noWrap/>
            <w:vAlign w:val="bottom"/>
            <w:hideMark/>
          </w:tcPr>
          <w:p w14:paraId="4AE02D1E"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395" w:type="dxa"/>
            <w:shd w:val="clear" w:color="auto" w:fill="auto"/>
            <w:noWrap/>
            <w:vAlign w:val="bottom"/>
            <w:hideMark/>
          </w:tcPr>
          <w:p w14:paraId="152FBF61" w14:textId="77777777" w:rsidR="00F303E0" w:rsidRPr="00EE5714" w:rsidRDefault="00F303E0" w:rsidP="00851815">
            <w:pPr>
              <w:keepNext/>
              <w:rPr>
                <w:rFonts w:ascii="Calibri" w:eastAsia="Times New Roman" w:hAnsi="Calibri" w:cs="Calibri"/>
                <w:color w:val="000000"/>
                <w:sz w:val="21"/>
                <w:szCs w:val="21"/>
              </w:rPr>
            </w:pPr>
          </w:p>
        </w:tc>
        <w:tc>
          <w:tcPr>
            <w:tcW w:w="1035" w:type="dxa"/>
            <w:shd w:val="clear" w:color="auto" w:fill="auto"/>
            <w:noWrap/>
            <w:vAlign w:val="bottom"/>
            <w:hideMark/>
          </w:tcPr>
          <w:p w14:paraId="63CD99CB" w14:textId="77777777" w:rsidR="00F303E0" w:rsidRPr="00EE5714" w:rsidRDefault="00F303E0" w:rsidP="00851815">
            <w:pPr>
              <w:keepNext/>
              <w:rPr>
                <w:rFonts w:ascii="Calibri" w:eastAsia="Times New Roman" w:hAnsi="Calibri" w:cs="Calibri"/>
                <w:sz w:val="21"/>
                <w:szCs w:val="21"/>
              </w:rPr>
            </w:pPr>
          </w:p>
        </w:tc>
      </w:tr>
      <w:tr w:rsidR="00F303E0" w:rsidRPr="00EE5714" w14:paraId="312FB368" w14:textId="77777777" w:rsidTr="00E92A67">
        <w:trPr>
          <w:trHeight w:hRule="exact" w:val="245"/>
        </w:trPr>
        <w:tc>
          <w:tcPr>
            <w:tcW w:w="1980" w:type="dxa"/>
            <w:shd w:val="clear" w:color="auto" w:fill="auto"/>
            <w:noWrap/>
            <w:vAlign w:val="bottom"/>
            <w:hideMark/>
          </w:tcPr>
          <w:p w14:paraId="35FF6132"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 xml:space="preserve">Duquesne </w:t>
            </w:r>
          </w:p>
        </w:tc>
        <w:tc>
          <w:tcPr>
            <w:tcW w:w="1395" w:type="dxa"/>
            <w:shd w:val="clear" w:color="auto" w:fill="auto"/>
            <w:noWrap/>
            <w:vAlign w:val="bottom"/>
            <w:hideMark/>
          </w:tcPr>
          <w:p w14:paraId="2140922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25.90</w:t>
            </w:r>
          </w:p>
        </w:tc>
        <w:tc>
          <w:tcPr>
            <w:tcW w:w="1395" w:type="dxa"/>
            <w:shd w:val="clear" w:color="auto" w:fill="auto"/>
            <w:noWrap/>
            <w:vAlign w:val="bottom"/>
            <w:hideMark/>
          </w:tcPr>
          <w:p w14:paraId="4533DDF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11.00</w:t>
            </w:r>
          </w:p>
        </w:tc>
        <w:tc>
          <w:tcPr>
            <w:tcW w:w="1395" w:type="dxa"/>
            <w:shd w:val="clear" w:color="auto" w:fill="auto"/>
            <w:noWrap/>
            <w:vAlign w:val="bottom"/>
            <w:hideMark/>
          </w:tcPr>
          <w:p w14:paraId="71D68FD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7.29</w:t>
            </w:r>
          </w:p>
        </w:tc>
        <w:tc>
          <w:tcPr>
            <w:tcW w:w="1395" w:type="dxa"/>
            <w:shd w:val="clear" w:color="auto" w:fill="auto"/>
            <w:noWrap/>
            <w:vAlign w:val="bottom"/>
            <w:hideMark/>
          </w:tcPr>
          <w:p w14:paraId="4F5804E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15.36</w:t>
            </w:r>
          </w:p>
        </w:tc>
        <w:tc>
          <w:tcPr>
            <w:tcW w:w="1395" w:type="dxa"/>
            <w:shd w:val="clear" w:color="auto" w:fill="auto"/>
            <w:noWrap/>
            <w:vAlign w:val="bottom"/>
            <w:hideMark/>
          </w:tcPr>
          <w:p w14:paraId="7EC163A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7.81</w:t>
            </w:r>
          </w:p>
        </w:tc>
        <w:tc>
          <w:tcPr>
            <w:tcW w:w="1035" w:type="dxa"/>
            <w:shd w:val="clear" w:color="auto" w:fill="auto"/>
            <w:noWrap/>
            <w:vAlign w:val="bottom"/>
            <w:hideMark/>
          </w:tcPr>
          <w:p w14:paraId="5C18743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4.95</w:t>
            </w:r>
          </w:p>
        </w:tc>
      </w:tr>
      <w:tr w:rsidR="00F303E0" w:rsidRPr="00EE5714" w14:paraId="546618B3" w14:textId="77777777" w:rsidTr="00E92A67">
        <w:trPr>
          <w:trHeight w:hRule="exact" w:val="245"/>
        </w:trPr>
        <w:tc>
          <w:tcPr>
            <w:tcW w:w="1980" w:type="dxa"/>
            <w:shd w:val="clear" w:color="auto" w:fill="auto"/>
            <w:noWrap/>
            <w:vAlign w:val="bottom"/>
            <w:hideMark/>
          </w:tcPr>
          <w:p w14:paraId="0E026A8F"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1395" w:type="dxa"/>
            <w:shd w:val="clear" w:color="auto" w:fill="auto"/>
            <w:noWrap/>
            <w:vAlign w:val="bottom"/>
            <w:hideMark/>
          </w:tcPr>
          <w:p w14:paraId="0DBEB84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4.80</w:t>
            </w:r>
          </w:p>
        </w:tc>
        <w:tc>
          <w:tcPr>
            <w:tcW w:w="1395" w:type="dxa"/>
            <w:shd w:val="clear" w:color="auto" w:fill="auto"/>
            <w:noWrap/>
            <w:vAlign w:val="bottom"/>
            <w:hideMark/>
          </w:tcPr>
          <w:p w14:paraId="68AF7A5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3.42</w:t>
            </w:r>
          </w:p>
        </w:tc>
        <w:tc>
          <w:tcPr>
            <w:tcW w:w="1395" w:type="dxa"/>
            <w:shd w:val="clear" w:color="auto" w:fill="auto"/>
            <w:noWrap/>
            <w:vAlign w:val="bottom"/>
            <w:hideMark/>
          </w:tcPr>
          <w:p w14:paraId="2EF4541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3.25</w:t>
            </w:r>
          </w:p>
        </w:tc>
        <w:tc>
          <w:tcPr>
            <w:tcW w:w="1395" w:type="dxa"/>
            <w:shd w:val="clear" w:color="auto" w:fill="auto"/>
            <w:noWrap/>
            <w:vAlign w:val="bottom"/>
            <w:hideMark/>
          </w:tcPr>
          <w:p w14:paraId="6E49AD1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5.16</w:t>
            </w:r>
          </w:p>
        </w:tc>
        <w:tc>
          <w:tcPr>
            <w:tcW w:w="1395" w:type="dxa"/>
            <w:shd w:val="clear" w:color="auto" w:fill="auto"/>
            <w:noWrap/>
            <w:vAlign w:val="bottom"/>
            <w:hideMark/>
          </w:tcPr>
          <w:p w14:paraId="1B82764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2.75</w:t>
            </w:r>
          </w:p>
        </w:tc>
        <w:tc>
          <w:tcPr>
            <w:tcW w:w="1035" w:type="dxa"/>
            <w:shd w:val="clear" w:color="auto" w:fill="auto"/>
            <w:noWrap/>
            <w:vAlign w:val="bottom"/>
            <w:hideMark/>
          </w:tcPr>
          <w:p w14:paraId="76FFF4F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2.41</w:t>
            </w:r>
          </w:p>
        </w:tc>
      </w:tr>
      <w:tr w:rsidR="00F303E0" w:rsidRPr="00EE5714" w14:paraId="65B18547" w14:textId="77777777" w:rsidTr="00E92A67">
        <w:trPr>
          <w:trHeight w:hRule="exact" w:val="245"/>
        </w:trPr>
        <w:tc>
          <w:tcPr>
            <w:tcW w:w="1980" w:type="dxa"/>
            <w:shd w:val="clear" w:color="auto" w:fill="auto"/>
            <w:noWrap/>
            <w:vAlign w:val="bottom"/>
          </w:tcPr>
          <w:p w14:paraId="6BCE6ADC"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1395" w:type="dxa"/>
            <w:shd w:val="clear" w:color="auto" w:fill="auto"/>
            <w:noWrap/>
            <w:vAlign w:val="bottom"/>
          </w:tcPr>
          <w:p w14:paraId="68E65FF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24.39</w:t>
            </w:r>
          </w:p>
        </w:tc>
        <w:tc>
          <w:tcPr>
            <w:tcW w:w="1395" w:type="dxa"/>
            <w:shd w:val="clear" w:color="auto" w:fill="auto"/>
            <w:noWrap/>
            <w:vAlign w:val="bottom"/>
          </w:tcPr>
          <w:p w14:paraId="68FCBC9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13.99</w:t>
            </w:r>
          </w:p>
        </w:tc>
        <w:tc>
          <w:tcPr>
            <w:tcW w:w="1395" w:type="dxa"/>
            <w:shd w:val="clear" w:color="auto" w:fill="auto"/>
            <w:noWrap/>
            <w:vAlign w:val="bottom"/>
          </w:tcPr>
          <w:p w14:paraId="42DB73E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10.99</w:t>
            </w:r>
          </w:p>
        </w:tc>
        <w:tc>
          <w:tcPr>
            <w:tcW w:w="1395" w:type="dxa"/>
            <w:shd w:val="clear" w:color="auto" w:fill="auto"/>
            <w:noWrap/>
            <w:vAlign w:val="bottom"/>
          </w:tcPr>
          <w:p w14:paraId="77FA1B3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11.64</w:t>
            </w:r>
          </w:p>
        </w:tc>
        <w:tc>
          <w:tcPr>
            <w:tcW w:w="1395" w:type="dxa"/>
            <w:shd w:val="clear" w:color="auto" w:fill="auto"/>
            <w:noWrap/>
            <w:vAlign w:val="bottom"/>
          </w:tcPr>
          <w:p w14:paraId="50F3E77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6.81</w:t>
            </w:r>
          </w:p>
        </w:tc>
        <w:tc>
          <w:tcPr>
            <w:tcW w:w="1035" w:type="dxa"/>
            <w:shd w:val="clear" w:color="auto" w:fill="auto"/>
            <w:noWrap/>
            <w:vAlign w:val="bottom"/>
          </w:tcPr>
          <w:p w14:paraId="3802FD0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5.04</w:t>
            </w:r>
          </w:p>
        </w:tc>
      </w:tr>
      <w:tr w:rsidR="00F303E0" w:rsidRPr="00EE5714" w14:paraId="42071B01" w14:textId="77777777" w:rsidTr="00E92A67">
        <w:trPr>
          <w:trHeight w:hRule="exact" w:val="245"/>
        </w:trPr>
        <w:tc>
          <w:tcPr>
            <w:tcW w:w="1980" w:type="dxa"/>
            <w:shd w:val="clear" w:color="auto" w:fill="auto"/>
            <w:noWrap/>
            <w:vAlign w:val="bottom"/>
          </w:tcPr>
          <w:p w14:paraId="6652D42D" w14:textId="77777777" w:rsidR="00F303E0" w:rsidRPr="00EE5714" w:rsidRDefault="00F303E0" w:rsidP="00851815">
            <w:pPr>
              <w:keepNext/>
              <w:rPr>
                <w:rFonts w:ascii="Calibri" w:eastAsia="Times New Roman" w:hAnsi="Calibri" w:cs="Calibri"/>
                <w:b/>
                <w:color w:val="000000"/>
                <w:sz w:val="21"/>
                <w:szCs w:val="21"/>
              </w:rPr>
            </w:pPr>
            <w:proofErr w:type="spellStart"/>
            <w:r w:rsidRPr="00EE5714">
              <w:rPr>
                <w:rFonts w:ascii="Calibri" w:eastAsia="Times New Roman" w:hAnsi="Calibri" w:cs="Calibri"/>
                <w:b/>
                <w:color w:val="000000"/>
                <w:sz w:val="21"/>
                <w:szCs w:val="21"/>
              </w:rPr>
              <w:t>Penelec</w:t>
            </w:r>
            <w:proofErr w:type="spellEnd"/>
          </w:p>
        </w:tc>
        <w:tc>
          <w:tcPr>
            <w:tcW w:w="1395" w:type="dxa"/>
            <w:shd w:val="clear" w:color="auto" w:fill="auto"/>
            <w:noWrap/>
            <w:vAlign w:val="bottom"/>
          </w:tcPr>
          <w:p w14:paraId="12A2A4F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10.62</w:t>
            </w:r>
          </w:p>
        </w:tc>
        <w:tc>
          <w:tcPr>
            <w:tcW w:w="1395" w:type="dxa"/>
            <w:shd w:val="clear" w:color="auto" w:fill="auto"/>
            <w:noWrap/>
            <w:vAlign w:val="bottom"/>
          </w:tcPr>
          <w:p w14:paraId="049EFFF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3.35</w:t>
            </w:r>
          </w:p>
        </w:tc>
        <w:tc>
          <w:tcPr>
            <w:tcW w:w="1395" w:type="dxa"/>
            <w:shd w:val="clear" w:color="auto" w:fill="auto"/>
            <w:noWrap/>
            <w:vAlign w:val="bottom"/>
          </w:tcPr>
          <w:p w14:paraId="62CF03C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3.37</w:t>
            </w:r>
          </w:p>
        </w:tc>
        <w:tc>
          <w:tcPr>
            <w:tcW w:w="1395" w:type="dxa"/>
            <w:shd w:val="clear" w:color="auto" w:fill="auto"/>
            <w:noWrap/>
            <w:vAlign w:val="bottom"/>
          </w:tcPr>
          <w:p w14:paraId="3AD0704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8.76</w:t>
            </w:r>
          </w:p>
        </w:tc>
        <w:tc>
          <w:tcPr>
            <w:tcW w:w="1395" w:type="dxa"/>
            <w:shd w:val="clear" w:color="auto" w:fill="auto"/>
            <w:noWrap/>
            <w:vAlign w:val="bottom"/>
          </w:tcPr>
          <w:p w14:paraId="696F900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2.86</w:t>
            </w:r>
          </w:p>
        </w:tc>
        <w:tc>
          <w:tcPr>
            <w:tcW w:w="1035" w:type="dxa"/>
            <w:shd w:val="clear" w:color="auto" w:fill="auto"/>
            <w:noWrap/>
            <w:vAlign w:val="bottom"/>
          </w:tcPr>
          <w:p w14:paraId="77F6617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2.18</w:t>
            </w:r>
          </w:p>
        </w:tc>
      </w:tr>
      <w:tr w:rsidR="00F303E0" w:rsidRPr="00EE5714" w14:paraId="0C75F637" w14:textId="77777777" w:rsidTr="00E92A67">
        <w:trPr>
          <w:trHeight w:hRule="exact" w:val="245"/>
        </w:trPr>
        <w:tc>
          <w:tcPr>
            <w:tcW w:w="1980" w:type="dxa"/>
            <w:shd w:val="clear" w:color="auto" w:fill="auto"/>
            <w:noWrap/>
            <w:vAlign w:val="bottom"/>
            <w:hideMark/>
          </w:tcPr>
          <w:p w14:paraId="25A3D580"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Penn Power</w:t>
            </w:r>
          </w:p>
        </w:tc>
        <w:tc>
          <w:tcPr>
            <w:tcW w:w="1395" w:type="dxa"/>
            <w:shd w:val="clear" w:color="auto" w:fill="auto"/>
            <w:noWrap/>
            <w:vAlign w:val="bottom"/>
            <w:hideMark/>
          </w:tcPr>
          <w:p w14:paraId="194244B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41.75</w:t>
            </w:r>
          </w:p>
        </w:tc>
        <w:tc>
          <w:tcPr>
            <w:tcW w:w="1395" w:type="dxa"/>
            <w:shd w:val="clear" w:color="auto" w:fill="auto"/>
            <w:noWrap/>
            <w:vAlign w:val="bottom"/>
            <w:hideMark/>
          </w:tcPr>
          <w:p w14:paraId="1E525F8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11.01</w:t>
            </w:r>
          </w:p>
        </w:tc>
        <w:tc>
          <w:tcPr>
            <w:tcW w:w="1395" w:type="dxa"/>
            <w:shd w:val="clear" w:color="auto" w:fill="auto"/>
            <w:noWrap/>
            <w:vAlign w:val="bottom"/>
            <w:hideMark/>
          </w:tcPr>
          <w:p w14:paraId="592738A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7.97</w:t>
            </w:r>
          </w:p>
        </w:tc>
        <w:tc>
          <w:tcPr>
            <w:tcW w:w="1395" w:type="dxa"/>
            <w:shd w:val="clear" w:color="auto" w:fill="auto"/>
            <w:noWrap/>
            <w:vAlign w:val="bottom"/>
            <w:hideMark/>
          </w:tcPr>
          <w:p w14:paraId="50B50F2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22.38</w:t>
            </w:r>
          </w:p>
        </w:tc>
        <w:tc>
          <w:tcPr>
            <w:tcW w:w="1395" w:type="dxa"/>
            <w:shd w:val="clear" w:color="auto" w:fill="auto"/>
            <w:noWrap/>
            <w:vAlign w:val="bottom"/>
            <w:hideMark/>
          </w:tcPr>
          <w:p w14:paraId="4D12EC4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6.28</w:t>
            </w:r>
          </w:p>
        </w:tc>
        <w:tc>
          <w:tcPr>
            <w:tcW w:w="1035" w:type="dxa"/>
            <w:shd w:val="clear" w:color="auto" w:fill="auto"/>
            <w:noWrap/>
            <w:vAlign w:val="bottom"/>
            <w:hideMark/>
          </w:tcPr>
          <w:p w14:paraId="69FF914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4.14</w:t>
            </w:r>
          </w:p>
        </w:tc>
      </w:tr>
      <w:tr w:rsidR="00F303E0" w:rsidRPr="00EE5714" w14:paraId="289BE440" w14:textId="77777777" w:rsidTr="00E92A67">
        <w:trPr>
          <w:trHeight w:hRule="exact" w:val="245"/>
        </w:trPr>
        <w:tc>
          <w:tcPr>
            <w:tcW w:w="1980" w:type="dxa"/>
            <w:shd w:val="clear" w:color="auto" w:fill="auto"/>
            <w:noWrap/>
            <w:vAlign w:val="bottom"/>
            <w:hideMark/>
          </w:tcPr>
          <w:p w14:paraId="24735B26"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PPL</w:t>
            </w:r>
          </w:p>
        </w:tc>
        <w:tc>
          <w:tcPr>
            <w:tcW w:w="1395" w:type="dxa"/>
            <w:shd w:val="clear" w:color="auto" w:fill="auto"/>
            <w:noWrap/>
            <w:vAlign w:val="bottom"/>
            <w:hideMark/>
          </w:tcPr>
          <w:p w14:paraId="787C78F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13.96</w:t>
            </w:r>
          </w:p>
        </w:tc>
        <w:tc>
          <w:tcPr>
            <w:tcW w:w="1395" w:type="dxa"/>
            <w:shd w:val="clear" w:color="auto" w:fill="auto"/>
            <w:noWrap/>
            <w:vAlign w:val="bottom"/>
            <w:hideMark/>
          </w:tcPr>
          <w:p w14:paraId="5A3AD7A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7.07</w:t>
            </w:r>
          </w:p>
        </w:tc>
        <w:tc>
          <w:tcPr>
            <w:tcW w:w="1395" w:type="dxa"/>
            <w:shd w:val="clear" w:color="auto" w:fill="auto"/>
            <w:noWrap/>
            <w:vAlign w:val="bottom"/>
            <w:hideMark/>
          </w:tcPr>
          <w:p w14:paraId="1E71109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4.26</w:t>
            </w:r>
          </w:p>
        </w:tc>
        <w:tc>
          <w:tcPr>
            <w:tcW w:w="1395" w:type="dxa"/>
            <w:shd w:val="clear" w:color="auto" w:fill="auto"/>
            <w:noWrap/>
            <w:vAlign w:val="bottom"/>
            <w:hideMark/>
          </w:tcPr>
          <w:p w14:paraId="72965DA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13.57</w:t>
            </w:r>
          </w:p>
        </w:tc>
        <w:tc>
          <w:tcPr>
            <w:tcW w:w="1395" w:type="dxa"/>
            <w:shd w:val="clear" w:color="auto" w:fill="auto"/>
            <w:noWrap/>
            <w:vAlign w:val="bottom"/>
            <w:hideMark/>
          </w:tcPr>
          <w:p w14:paraId="0D939F9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6.75</w:t>
            </w:r>
          </w:p>
        </w:tc>
        <w:tc>
          <w:tcPr>
            <w:tcW w:w="1035" w:type="dxa"/>
            <w:shd w:val="clear" w:color="auto" w:fill="auto"/>
            <w:noWrap/>
            <w:vAlign w:val="bottom"/>
            <w:hideMark/>
          </w:tcPr>
          <w:p w14:paraId="735F430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4.20</w:t>
            </w:r>
          </w:p>
        </w:tc>
      </w:tr>
      <w:tr w:rsidR="00F303E0" w:rsidRPr="00EE5714" w14:paraId="2DDE685F" w14:textId="77777777" w:rsidTr="00E92A67">
        <w:trPr>
          <w:trHeight w:hRule="exact" w:val="245"/>
        </w:trPr>
        <w:tc>
          <w:tcPr>
            <w:tcW w:w="1980" w:type="dxa"/>
            <w:shd w:val="clear" w:color="auto" w:fill="auto"/>
            <w:noWrap/>
            <w:vAlign w:val="bottom"/>
            <w:hideMark/>
          </w:tcPr>
          <w:p w14:paraId="7F902A69"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 xml:space="preserve">West Penn </w:t>
            </w:r>
          </w:p>
        </w:tc>
        <w:tc>
          <w:tcPr>
            <w:tcW w:w="1395" w:type="dxa"/>
            <w:shd w:val="clear" w:color="auto" w:fill="auto"/>
            <w:noWrap/>
            <w:vAlign w:val="bottom"/>
            <w:hideMark/>
          </w:tcPr>
          <w:p w14:paraId="58B8031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30.51</w:t>
            </w:r>
          </w:p>
        </w:tc>
        <w:tc>
          <w:tcPr>
            <w:tcW w:w="1395" w:type="dxa"/>
            <w:shd w:val="clear" w:color="auto" w:fill="auto"/>
            <w:noWrap/>
            <w:vAlign w:val="bottom"/>
            <w:hideMark/>
          </w:tcPr>
          <w:p w14:paraId="265A860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10.37</w:t>
            </w:r>
          </w:p>
        </w:tc>
        <w:tc>
          <w:tcPr>
            <w:tcW w:w="1395" w:type="dxa"/>
            <w:shd w:val="clear" w:color="auto" w:fill="auto"/>
            <w:noWrap/>
            <w:vAlign w:val="bottom"/>
            <w:hideMark/>
          </w:tcPr>
          <w:p w14:paraId="79D3C49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7.84</w:t>
            </w:r>
          </w:p>
        </w:tc>
        <w:tc>
          <w:tcPr>
            <w:tcW w:w="1395" w:type="dxa"/>
            <w:shd w:val="clear" w:color="auto" w:fill="auto"/>
            <w:noWrap/>
            <w:vAlign w:val="bottom"/>
            <w:hideMark/>
          </w:tcPr>
          <w:p w14:paraId="4C2A4BE5"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19.85</w:t>
            </w:r>
          </w:p>
        </w:tc>
        <w:tc>
          <w:tcPr>
            <w:tcW w:w="1395" w:type="dxa"/>
            <w:shd w:val="clear" w:color="auto" w:fill="auto"/>
            <w:noWrap/>
            <w:vAlign w:val="bottom"/>
            <w:hideMark/>
          </w:tcPr>
          <w:p w14:paraId="0DAE651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6.59</w:t>
            </w:r>
          </w:p>
        </w:tc>
        <w:tc>
          <w:tcPr>
            <w:tcW w:w="1035" w:type="dxa"/>
            <w:shd w:val="clear" w:color="auto" w:fill="auto"/>
            <w:noWrap/>
            <w:vAlign w:val="bottom"/>
            <w:hideMark/>
          </w:tcPr>
          <w:p w14:paraId="7668CF1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5.33</w:t>
            </w:r>
          </w:p>
        </w:tc>
      </w:tr>
    </w:tbl>
    <w:p w14:paraId="4856E073" w14:textId="77777777" w:rsidR="00F303E0" w:rsidRPr="00EE5714" w:rsidRDefault="00F303E0" w:rsidP="00E92A67">
      <w:pPr>
        <w:spacing w:after="0" w:line="240" w:lineRule="auto"/>
        <w:rPr>
          <w:rFonts w:ascii="Times New Roman" w:hAnsi="Times New Roman" w:cs="Times New Roman"/>
          <w:sz w:val="26"/>
          <w:szCs w:val="26"/>
        </w:rPr>
      </w:pPr>
    </w:p>
    <w:p w14:paraId="47ED70BF" w14:textId="77777777" w:rsidR="00F303E0" w:rsidRPr="00EE5714" w:rsidRDefault="00F303E0" w:rsidP="00E92A67">
      <w:pPr>
        <w:spacing w:after="0" w:line="240" w:lineRule="auto"/>
        <w:rPr>
          <w:rFonts w:ascii="Times New Roman" w:hAnsi="Times New Roman" w:cs="Times New Roman"/>
          <w:sz w:val="26"/>
          <w:szCs w:val="26"/>
        </w:rPr>
      </w:pPr>
    </w:p>
    <w:p w14:paraId="7B0B2879" w14:textId="77777777" w:rsidR="00F303E0" w:rsidRPr="00EE5714" w:rsidRDefault="00155347" w:rsidP="00F303E0">
      <w:pPr>
        <w:keepNext/>
        <w:keepLines/>
        <w:rPr>
          <w:rFonts w:ascii="Times New Roman" w:hAnsi="Times New Roman" w:cs="Times New Roman"/>
          <w:sz w:val="26"/>
          <w:szCs w:val="26"/>
        </w:rPr>
      </w:pPr>
      <w:r w:rsidRPr="00EE5714">
        <w:rPr>
          <w:rFonts w:ascii="Times New Roman" w:hAnsi="Times New Roman" w:cs="Times New Roman"/>
          <w:sz w:val="26"/>
          <w:szCs w:val="26"/>
        </w:rPr>
        <w:lastRenderedPageBreak/>
        <w:t>Appendix 2</w:t>
      </w:r>
      <w:r w:rsidR="00F303E0" w:rsidRPr="00EE5714">
        <w:rPr>
          <w:rFonts w:ascii="Times New Roman" w:hAnsi="Times New Roman" w:cs="Times New Roman"/>
          <w:sz w:val="26"/>
          <w:szCs w:val="26"/>
        </w:rPr>
        <w:t xml:space="preserve">.D.2: </w:t>
      </w:r>
      <w:r w:rsidR="00F303E0" w:rsidRPr="00EE5714">
        <w:rPr>
          <w:rFonts w:ascii="Times New Roman" w:eastAsia="Times New Roman" w:hAnsi="Times New Roman" w:cs="Times New Roman"/>
          <w:b/>
          <w:color w:val="000000"/>
          <w:sz w:val="26"/>
          <w:szCs w:val="26"/>
        </w:rPr>
        <w:t>EDC CAP Energy Burdens by FPIG Level</w:t>
      </w:r>
    </w:p>
    <w:tbl>
      <w:tblPr>
        <w:tblW w:w="999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980"/>
        <w:gridCol w:w="1395"/>
        <w:gridCol w:w="1395"/>
        <w:gridCol w:w="1395"/>
        <w:gridCol w:w="1395"/>
        <w:gridCol w:w="1395"/>
        <w:gridCol w:w="1035"/>
      </w:tblGrid>
      <w:tr w:rsidR="00F303E0" w:rsidRPr="00EE5714" w14:paraId="448D9A82" w14:textId="77777777" w:rsidTr="00E92A67">
        <w:trPr>
          <w:trHeight w:hRule="exact" w:val="506"/>
        </w:trPr>
        <w:tc>
          <w:tcPr>
            <w:tcW w:w="9990" w:type="dxa"/>
            <w:gridSpan w:val="7"/>
            <w:shd w:val="clear" w:color="auto" w:fill="BFBFBF" w:themeFill="background1" w:themeFillShade="BF"/>
            <w:vAlign w:val="center"/>
          </w:tcPr>
          <w:p w14:paraId="761CA908" w14:textId="79DB4681" w:rsidR="00F303E0" w:rsidRPr="00EE5714" w:rsidRDefault="00F303E0" w:rsidP="00851815">
            <w:pPr>
              <w:keepNext/>
              <w:keepLines/>
              <w:jc w:val="center"/>
              <w:rPr>
                <w:rFonts w:ascii="Calibri" w:eastAsia="Times New Roman" w:hAnsi="Calibri" w:cs="Calibri"/>
                <w:b/>
                <w:color w:val="000000"/>
              </w:rPr>
            </w:pPr>
            <w:r w:rsidRPr="00EE5714">
              <w:rPr>
                <w:rFonts w:ascii="Calibri" w:eastAsia="Times New Roman" w:hAnsi="Calibri" w:cs="Calibri"/>
                <w:b/>
                <w:color w:val="000000"/>
              </w:rPr>
              <w:t>2013 EDC CAP Energy Burdens by FPIG Level</w:t>
            </w:r>
            <w:r w:rsidR="00496CAD" w:rsidRPr="00EE5714">
              <w:rPr>
                <w:rFonts w:ascii="Calibri" w:eastAsia="Times New Roman" w:hAnsi="Calibri" w:cs="Calibri"/>
                <w:b/>
                <w:color w:val="000000"/>
              </w:rPr>
              <w:t xml:space="preserve"> (%)</w:t>
            </w:r>
          </w:p>
        </w:tc>
      </w:tr>
      <w:tr w:rsidR="00F303E0" w:rsidRPr="00EE5714" w14:paraId="1907FD92" w14:textId="77777777" w:rsidTr="00E92A67">
        <w:trPr>
          <w:trHeight w:hRule="exact" w:val="245"/>
        </w:trPr>
        <w:tc>
          <w:tcPr>
            <w:tcW w:w="1980" w:type="dxa"/>
            <w:shd w:val="clear" w:color="auto" w:fill="auto"/>
            <w:vAlign w:val="bottom"/>
          </w:tcPr>
          <w:p w14:paraId="076D37C9" w14:textId="77777777" w:rsidR="00F303E0" w:rsidRPr="00EE5714" w:rsidRDefault="00F303E0" w:rsidP="00851815">
            <w:pPr>
              <w:keepNext/>
              <w:keepLines/>
              <w:rPr>
                <w:rFonts w:ascii="Calibri" w:eastAsia="Times New Roman" w:hAnsi="Calibri" w:cs="Calibri"/>
                <w:b/>
                <w:color w:val="000000"/>
              </w:rPr>
            </w:pPr>
          </w:p>
        </w:tc>
        <w:tc>
          <w:tcPr>
            <w:tcW w:w="4185" w:type="dxa"/>
            <w:gridSpan w:val="3"/>
            <w:shd w:val="clear" w:color="auto" w:fill="auto"/>
            <w:noWrap/>
            <w:vAlign w:val="bottom"/>
            <w:hideMark/>
          </w:tcPr>
          <w:p w14:paraId="0401C33C" w14:textId="77777777" w:rsidR="00F303E0" w:rsidRPr="00EE5714" w:rsidRDefault="00F303E0" w:rsidP="00851815">
            <w:pPr>
              <w:keepNext/>
              <w:keepLines/>
              <w:jc w:val="center"/>
              <w:rPr>
                <w:rFonts w:ascii="Calibri" w:eastAsia="Times New Roman" w:hAnsi="Calibri" w:cs="Calibri"/>
                <w:b/>
                <w:color w:val="000000"/>
              </w:rPr>
            </w:pPr>
            <w:r w:rsidRPr="00EE5714">
              <w:rPr>
                <w:rFonts w:ascii="Calibri" w:eastAsia="Times New Roman" w:hAnsi="Calibri" w:cs="Calibri"/>
                <w:b/>
                <w:color w:val="000000"/>
              </w:rPr>
              <w:t>Heat</w:t>
            </w:r>
          </w:p>
        </w:tc>
        <w:tc>
          <w:tcPr>
            <w:tcW w:w="3825" w:type="dxa"/>
            <w:gridSpan w:val="3"/>
            <w:shd w:val="clear" w:color="auto" w:fill="auto"/>
            <w:noWrap/>
            <w:vAlign w:val="bottom"/>
            <w:hideMark/>
          </w:tcPr>
          <w:p w14:paraId="52AB8486" w14:textId="77777777" w:rsidR="00F303E0" w:rsidRPr="00EE5714" w:rsidRDefault="00F303E0" w:rsidP="00851815">
            <w:pPr>
              <w:keepNext/>
              <w:keepLines/>
              <w:jc w:val="center"/>
              <w:rPr>
                <w:rFonts w:ascii="Calibri" w:eastAsia="Times New Roman" w:hAnsi="Calibri" w:cs="Calibri"/>
                <w:b/>
                <w:color w:val="000000"/>
              </w:rPr>
            </w:pPr>
            <w:r w:rsidRPr="00EE5714">
              <w:rPr>
                <w:rFonts w:ascii="Calibri" w:eastAsia="Times New Roman" w:hAnsi="Calibri" w:cs="Calibri"/>
                <w:b/>
                <w:color w:val="000000"/>
              </w:rPr>
              <w:t xml:space="preserve">Non Heat </w:t>
            </w:r>
          </w:p>
        </w:tc>
      </w:tr>
      <w:tr w:rsidR="00F303E0" w:rsidRPr="00EE5714" w14:paraId="0FFE5675" w14:textId="77777777" w:rsidTr="00E92A67">
        <w:trPr>
          <w:trHeight w:val="240"/>
        </w:trPr>
        <w:tc>
          <w:tcPr>
            <w:tcW w:w="1980" w:type="dxa"/>
            <w:shd w:val="clear" w:color="auto" w:fill="auto"/>
            <w:vAlign w:val="bottom"/>
          </w:tcPr>
          <w:p w14:paraId="62978B4D" w14:textId="77777777" w:rsidR="00F303E0" w:rsidRPr="00EE5714" w:rsidRDefault="00F303E0" w:rsidP="00851815">
            <w:pPr>
              <w:keepNext/>
              <w:keepLines/>
              <w:rPr>
                <w:rFonts w:ascii="Calibri" w:eastAsia="Times New Roman" w:hAnsi="Calibri" w:cs="Calibri"/>
                <w:b/>
                <w:color w:val="000000" w:themeColor="text1"/>
                <w:sz w:val="21"/>
                <w:szCs w:val="21"/>
              </w:rPr>
            </w:pPr>
            <w:r w:rsidRPr="00EE5714">
              <w:rPr>
                <w:rFonts w:ascii="Calibri" w:eastAsia="Times New Roman" w:hAnsi="Calibri" w:cs="Calibri"/>
                <w:b/>
                <w:i/>
                <w:color w:val="000000" w:themeColor="text1"/>
                <w:sz w:val="21"/>
                <w:szCs w:val="21"/>
              </w:rPr>
              <w:t>FPIG</w:t>
            </w:r>
            <w:r w:rsidRPr="00EE5714">
              <w:rPr>
                <w:rFonts w:ascii="Calibri" w:eastAsia="Times New Roman" w:hAnsi="Calibri" w:cs="Calibri"/>
                <w:i/>
                <w:color w:val="000000"/>
                <w:sz w:val="16"/>
                <w:szCs w:val="16"/>
              </w:rPr>
              <w:t xml:space="preserve"> </w:t>
            </w:r>
            <w:r w:rsidRPr="00EE5714">
              <w:rPr>
                <w:rFonts w:ascii="Calibri" w:eastAsia="Times New Roman" w:hAnsi="Calibri" w:cs="Calibri"/>
                <w:b/>
                <w:i/>
                <w:color w:val="000000"/>
                <w:sz w:val="21"/>
                <w:szCs w:val="21"/>
              </w:rPr>
              <w:t>Level</w:t>
            </w:r>
          </w:p>
        </w:tc>
        <w:tc>
          <w:tcPr>
            <w:tcW w:w="1395" w:type="dxa"/>
            <w:shd w:val="clear" w:color="auto" w:fill="D9D9D9" w:themeFill="background1" w:themeFillShade="D9"/>
            <w:noWrap/>
            <w:vAlign w:val="bottom"/>
            <w:hideMark/>
          </w:tcPr>
          <w:p w14:paraId="6AC7EAD4"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1395" w:type="dxa"/>
            <w:shd w:val="clear" w:color="auto" w:fill="D9D9D9" w:themeFill="background1" w:themeFillShade="D9"/>
            <w:noWrap/>
            <w:vAlign w:val="bottom"/>
            <w:hideMark/>
          </w:tcPr>
          <w:p w14:paraId="1288A966"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1395" w:type="dxa"/>
            <w:shd w:val="clear" w:color="auto" w:fill="D9D9D9" w:themeFill="background1" w:themeFillShade="D9"/>
            <w:noWrap/>
            <w:vAlign w:val="bottom"/>
            <w:hideMark/>
          </w:tcPr>
          <w:p w14:paraId="1FD77491"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c>
          <w:tcPr>
            <w:tcW w:w="1395" w:type="dxa"/>
            <w:shd w:val="clear" w:color="auto" w:fill="D9D9D9" w:themeFill="background1" w:themeFillShade="D9"/>
            <w:noWrap/>
            <w:vAlign w:val="bottom"/>
            <w:hideMark/>
          </w:tcPr>
          <w:p w14:paraId="279F8F3B"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1395" w:type="dxa"/>
            <w:shd w:val="clear" w:color="auto" w:fill="D9D9D9" w:themeFill="background1" w:themeFillShade="D9"/>
            <w:noWrap/>
            <w:vAlign w:val="bottom"/>
            <w:hideMark/>
          </w:tcPr>
          <w:p w14:paraId="2F4698E3"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1035" w:type="dxa"/>
            <w:shd w:val="clear" w:color="auto" w:fill="D9D9D9" w:themeFill="background1" w:themeFillShade="D9"/>
            <w:noWrap/>
            <w:vAlign w:val="bottom"/>
            <w:hideMark/>
          </w:tcPr>
          <w:p w14:paraId="4263F6C2"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r>
      <w:tr w:rsidR="00F303E0" w:rsidRPr="00EE5714" w14:paraId="2C2C438E" w14:textId="77777777" w:rsidTr="00E92A67">
        <w:trPr>
          <w:trHeight w:val="225"/>
        </w:trPr>
        <w:tc>
          <w:tcPr>
            <w:tcW w:w="1980" w:type="dxa"/>
            <w:tcBorders>
              <w:bottom w:val="single" w:sz="8" w:space="0" w:color="000000" w:themeColor="text1"/>
            </w:tcBorders>
            <w:shd w:val="clear" w:color="auto" w:fill="auto"/>
            <w:vAlign w:val="bottom"/>
          </w:tcPr>
          <w:p w14:paraId="2B478226" w14:textId="77777777" w:rsidR="00F303E0" w:rsidRPr="00EE5714" w:rsidRDefault="00F303E0" w:rsidP="00851815">
            <w:pPr>
              <w:keepNext/>
              <w:keepLines/>
              <w:rPr>
                <w:rFonts w:ascii="Calibri" w:eastAsia="Times New Roman" w:hAnsi="Calibri" w:cs="Calibri"/>
                <w:color w:val="000000"/>
                <w:sz w:val="21"/>
                <w:szCs w:val="21"/>
              </w:rPr>
            </w:pPr>
          </w:p>
        </w:tc>
        <w:tc>
          <w:tcPr>
            <w:tcW w:w="1395" w:type="dxa"/>
            <w:tcBorders>
              <w:bottom w:val="single" w:sz="8" w:space="0" w:color="000000" w:themeColor="text1"/>
            </w:tcBorders>
            <w:shd w:val="clear" w:color="auto" w:fill="auto"/>
            <w:noWrap/>
            <w:vAlign w:val="bottom"/>
          </w:tcPr>
          <w:p w14:paraId="7158B5C2" w14:textId="77777777" w:rsidR="00F303E0" w:rsidRPr="00EE5714" w:rsidRDefault="00F303E0" w:rsidP="00851815">
            <w:pPr>
              <w:keepNext/>
              <w:keepLines/>
              <w:jc w:val="right"/>
              <w:rPr>
                <w:rFonts w:ascii="Calibri" w:eastAsia="Times New Roman" w:hAnsi="Calibri" w:cs="Calibri"/>
                <w:color w:val="000000"/>
                <w:sz w:val="21"/>
                <w:szCs w:val="21"/>
              </w:rPr>
            </w:pPr>
          </w:p>
        </w:tc>
        <w:tc>
          <w:tcPr>
            <w:tcW w:w="1395" w:type="dxa"/>
            <w:tcBorders>
              <w:bottom w:val="single" w:sz="8" w:space="0" w:color="000000" w:themeColor="text1"/>
            </w:tcBorders>
            <w:shd w:val="clear" w:color="auto" w:fill="auto"/>
            <w:noWrap/>
            <w:vAlign w:val="bottom"/>
          </w:tcPr>
          <w:p w14:paraId="7341B807" w14:textId="77777777" w:rsidR="00F303E0" w:rsidRPr="00EE5714" w:rsidRDefault="00F303E0" w:rsidP="00851815">
            <w:pPr>
              <w:keepNext/>
              <w:keepLines/>
              <w:jc w:val="right"/>
              <w:rPr>
                <w:rFonts w:ascii="Calibri" w:eastAsia="Times New Roman" w:hAnsi="Calibri" w:cs="Calibri"/>
                <w:color w:val="000000"/>
                <w:sz w:val="21"/>
                <w:szCs w:val="21"/>
              </w:rPr>
            </w:pPr>
          </w:p>
        </w:tc>
        <w:tc>
          <w:tcPr>
            <w:tcW w:w="1395" w:type="dxa"/>
            <w:tcBorders>
              <w:bottom w:val="single" w:sz="8" w:space="0" w:color="000000" w:themeColor="text1"/>
            </w:tcBorders>
            <w:shd w:val="clear" w:color="auto" w:fill="auto"/>
            <w:noWrap/>
            <w:vAlign w:val="bottom"/>
          </w:tcPr>
          <w:p w14:paraId="3B3DDBC1" w14:textId="77777777" w:rsidR="00F303E0" w:rsidRPr="00EE5714" w:rsidRDefault="00F303E0" w:rsidP="00851815">
            <w:pPr>
              <w:keepNext/>
              <w:keepLines/>
              <w:jc w:val="right"/>
              <w:rPr>
                <w:rFonts w:ascii="Calibri" w:eastAsia="Times New Roman" w:hAnsi="Calibri" w:cs="Calibri"/>
                <w:color w:val="000000"/>
                <w:sz w:val="21"/>
                <w:szCs w:val="21"/>
              </w:rPr>
            </w:pPr>
          </w:p>
        </w:tc>
        <w:tc>
          <w:tcPr>
            <w:tcW w:w="1395" w:type="dxa"/>
            <w:tcBorders>
              <w:bottom w:val="single" w:sz="8" w:space="0" w:color="000000" w:themeColor="text1"/>
            </w:tcBorders>
            <w:shd w:val="clear" w:color="auto" w:fill="auto"/>
            <w:noWrap/>
            <w:vAlign w:val="bottom"/>
          </w:tcPr>
          <w:p w14:paraId="4F2454A7" w14:textId="77777777" w:rsidR="00F303E0" w:rsidRPr="00EE5714" w:rsidRDefault="00F303E0" w:rsidP="00851815">
            <w:pPr>
              <w:keepNext/>
              <w:keepLines/>
              <w:jc w:val="right"/>
              <w:rPr>
                <w:rFonts w:ascii="Calibri" w:eastAsia="Times New Roman" w:hAnsi="Calibri" w:cs="Calibri"/>
                <w:color w:val="000000"/>
                <w:sz w:val="21"/>
                <w:szCs w:val="21"/>
              </w:rPr>
            </w:pPr>
          </w:p>
        </w:tc>
        <w:tc>
          <w:tcPr>
            <w:tcW w:w="1395" w:type="dxa"/>
            <w:tcBorders>
              <w:bottom w:val="single" w:sz="8" w:space="0" w:color="000000" w:themeColor="text1"/>
            </w:tcBorders>
            <w:shd w:val="clear" w:color="auto" w:fill="auto"/>
            <w:noWrap/>
            <w:vAlign w:val="bottom"/>
          </w:tcPr>
          <w:p w14:paraId="3FD066D5" w14:textId="77777777" w:rsidR="00F303E0" w:rsidRPr="00EE5714" w:rsidRDefault="00F303E0" w:rsidP="00851815">
            <w:pPr>
              <w:keepNext/>
              <w:keepLines/>
              <w:jc w:val="right"/>
              <w:rPr>
                <w:rFonts w:ascii="Calibri" w:eastAsia="Times New Roman" w:hAnsi="Calibri" w:cs="Calibri"/>
                <w:color w:val="000000"/>
                <w:sz w:val="21"/>
                <w:szCs w:val="21"/>
              </w:rPr>
            </w:pPr>
          </w:p>
        </w:tc>
        <w:tc>
          <w:tcPr>
            <w:tcW w:w="1035" w:type="dxa"/>
            <w:tcBorders>
              <w:bottom w:val="single" w:sz="8" w:space="0" w:color="000000" w:themeColor="text1"/>
            </w:tcBorders>
            <w:shd w:val="clear" w:color="auto" w:fill="auto"/>
            <w:noWrap/>
            <w:vAlign w:val="bottom"/>
          </w:tcPr>
          <w:p w14:paraId="3905BCE4" w14:textId="77777777" w:rsidR="00F303E0" w:rsidRPr="00EE5714" w:rsidRDefault="00F303E0" w:rsidP="00851815">
            <w:pPr>
              <w:keepNext/>
              <w:keepLines/>
              <w:jc w:val="right"/>
              <w:rPr>
                <w:rFonts w:ascii="Calibri" w:eastAsia="Times New Roman" w:hAnsi="Calibri" w:cs="Calibri"/>
                <w:color w:val="000000"/>
                <w:sz w:val="21"/>
                <w:szCs w:val="21"/>
              </w:rPr>
            </w:pPr>
          </w:p>
        </w:tc>
      </w:tr>
      <w:tr w:rsidR="00F303E0" w:rsidRPr="00EE5714" w14:paraId="21321B3D" w14:textId="77777777" w:rsidTr="00E92A67">
        <w:trPr>
          <w:trHeight w:hRule="exact" w:val="587"/>
        </w:trPr>
        <w:tc>
          <w:tcPr>
            <w:tcW w:w="1980" w:type="dxa"/>
            <w:shd w:val="clear" w:color="auto" w:fill="F2F2F2" w:themeFill="background1" w:themeFillShade="F2"/>
            <w:vAlign w:val="center"/>
          </w:tcPr>
          <w:p w14:paraId="3928786D"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i/>
                <w:color w:val="000000"/>
                <w:sz w:val="21"/>
                <w:szCs w:val="21"/>
              </w:rPr>
              <w:t>Electric Industry Average</w:t>
            </w:r>
          </w:p>
        </w:tc>
        <w:tc>
          <w:tcPr>
            <w:tcW w:w="1395" w:type="dxa"/>
            <w:shd w:val="clear" w:color="auto" w:fill="F2F2F2" w:themeFill="background1" w:themeFillShade="F2"/>
            <w:noWrap/>
            <w:vAlign w:val="center"/>
            <w:hideMark/>
          </w:tcPr>
          <w:p w14:paraId="60A0BF45"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16.3</w:t>
            </w:r>
          </w:p>
        </w:tc>
        <w:tc>
          <w:tcPr>
            <w:tcW w:w="1395" w:type="dxa"/>
            <w:shd w:val="clear" w:color="auto" w:fill="F2F2F2" w:themeFill="background1" w:themeFillShade="F2"/>
            <w:noWrap/>
            <w:vAlign w:val="center"/>
            <w:hideMark/>
          </w:tcPr>
          <w:p w14:paraId="11D69376"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7.93</w:t>
            </w:r>
          </w:p>
        </w:tc>
        <w:tc>
          <w:tcPr>
            <w:tcW w:w="1395" w:type="dxa"/>
            <w:shd w:val="clear" w:color="auto" w:fill="F2F2F2" w:themeFill="background1" w:themeFillShade="F2"/>
            <w:noWrap/>
            <w:vAlign w:val="center"/>
            <w:hideMark/>
          </w:tcPr>
          <w:p w14:paraId="6FE3BDBA"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6.07</w:t>
            </w:r>
          </w:p>
        </w:tc>
        <w:tc>
          <w:tcPr>
            <w:tcW w:w="1395" w:type="dxa"/>
            <w:shd w:val="clear" w:color="auto" w:fill="F2F2F2" w:themeFill="background1" w:themeFillShade="F2"/>
            <w:noWrap/>
            <w:vAlign w:val="center"/>
            <w:hideMark/>
          </w:tcPr>
          <w:p w14:paraId="0EF27AB0"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10.5</w:t>
            </w:r>
          </w:p>
        </w:tc>
        <w:tc>
          <w:tcPr>
            <w:tcW w:w="1395" w:type="dxa"/>
            <w:shd w:val="clear" w:color="auto" w:fill="F2F2F2" w:themeFill="background1" w:themeFillShade="F2"/>
            <w:noWrap/>
            <w:vAlign w:val="center"/>
            <w:hideMark/>
          </w:tcPr>
          <w:p w14:paraId="07597DF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4.64</w:t>
            </w:r>
          </w:p>
        </w:tc>
        <w:tc>
          <w:tcPr>
            <w:tcW w:w="1035" w:type="dxa"/>
            <w:shd w:val="clear" w:color="auto" w:fill="F2F2F2" w:themeFill="background1" w:themeFillShade="F2"/>
            <w:noWrap/>
            <w:vAlign w:val="center"/>
            <w:hideMark/>
          </w:tcPr>
          <w:p w14:paraId="0F433AC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4.06</w:t>
            </w:r>
          </w:p>
        </w:tc>
      </w:tr>
      <w:tr w:rsidR="00F303E0" w:rsidRPr="00EE5714" w14:paraId="7597DB87" w14:textId="77777777" w:rsidTr="00E92A67">
        <w:trPr>
          <w:trHeight w:hRule="exact" w:val="245"/>
        </w:trPr>
        <w:tc>
          <w:tcPr>
            <w:tcW w:w="1980" w:type="dxa"/>
          </w:tcPr>
          <w:p w14:paraId="1A4BC92E" w14:textId="77777777" w:rsidR="00F303E0" w:rsidRPr="00EE5714" w:rsidRDefault="00F303E0" w:rsidP="00851815">
            <w:pPr>
              <w:keepNext/>
              <w:keepLines/>
              <w:rPr>
                <w:rFonts w:ascii="Calibri" w:eastAsia="Times New Roman" w:hAnsi="Calibri" w:cs="Calibri"/>
                <w:color w:val="000000"/>
                <w:sz w:val="21"/>
                <w:szCs w:val="21"/>
              </w:rPr>
            </w:pPr>
          </w:p>
        </w:tc>
        <w:tc>
          <w:tcPr>
            <w:tcW w:w="1395" w:type="dxa"/>
            <w:shd w:val="clear" w:color="auto" w:fill="auto"/>
            <w:noWrap/>
            <w:vAlign w:val="bottom"/>
            <w:hideMark/>
          </w:tcPr>
          <w:p w14:paraId="6871B144"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395" w:type="dxa"/>
            <w:shd w:val="clear" w:color="auto" w:fill="auto"/>
            <w:noWrap/>
            <w:vAlign w:val="bottom"/>
            <w:hideMark/>
          </w:tcPr>
          <w:p w14:paraId="6CAA6973" w14:textId="77777777" w:rsidR="00F303E0" w:rsidRPr="00EE5714" w:rsidRDefault="00F303E0" w:rsidP="00851815">
            <w:pPr>
              <w:keepNext/>
              <w:keepLines/>
              <w:rPr>
                <w:rFonts w:ascii="Calibri" w:eastAsia="Times New Roman" w:hAnsi="Calibri" w:cs="Calibri"/>
                <w:color w:val="000000"/>
                <w:sz w:val="21"/>
                <w:szCs w:val="21"/>
              </w:rPr>
            </w:pPr>
          </w:p>
        </w:tc>
        <w:tc>
          <w:tcPr>
            <w:tcW w:w="1395" w:type="dxa"/>
            <w:shd w:val="clear" w:color="auto" w:fill="auto"/>
            <w:noWrap/>
            <w:vAlign w:val="bottom"/>
            <w:hideMark/>
          </w:tcPr>
          <w:p w14:paraId="609C4242" w14:textId="77777777" w:rsidR="00F303E0" w:rsidRPr="00EE5714" w:rsidRDefault="00F303E0" w:rsidP="00851815">
            <w:pPr>
              <w:keepNext/>
              <w:keepLines/>
              <w:rPr>
                <w:rFonts w:ascii="Calibri" w:eastAsia="Times New Roman" w:hAnsi="Calibri" w:cs="Calibri"/>
                <w:sz w:val="21"/>
                <w:szCs w:val="21"/>
              </w:rPr>
            </w:pPr>
          </w:p>
        </w:tc>
        <w:tc>
          <w:tcPr>
            <w:tcW w:w="1395" w:type="dxa"/>
            <w:shd w:val="clear" w:color="auto" w:fill="auto"/>
            <w:noWrap/>
            <w:vAlign w:val="bottom"/>
            <w:hideMark/>
          </w:tcPr>
          <w:p w14:paraId="65A6C3F4"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395" w:type="dxa"/>
            <w:shd w:val="clear" w:color="auto" w:fill="auto"/>
            <w:noWrap/>
            <w:vAlign w:val="bottom"/>
            <w:hideMark/>
          </w:tcPr>
          <w:p w14:paraId="49B849A6" w14:textId="77777777" w:rsidR="00F303E0" w:rsidRPr="00EE5714" w:rsidRDefault="00F303E0" w:rsidP="00851815">
            <w:pPr>
              <w:keepNext/>
              <w:keepLines/>
              <w:rPr>
                <w:rFonts w:ascii="Calibri" w:eastAsia="Times New Roman" w:hAnsi="Calibri" w:cs="Calibri"/>
                <w:color w:val="000000"/>
                <w:sz w:val="21"/>
                <w:szCs w:val="21"/>
              </w:rPr>
            </w:pPr>
          </w:p>
        </w:tc>
        <w:tc>
          <w:tcPr>
            <w:tcW w:w="1035" w:type="dxa"/>
            <w:shd w:val="clear" w:color="auto" w:fill="auto"/>
            <w:noWrap/>
            <w:vAlign w:val="bottom"/>
            <w:hideMark/>
          </w:tcPr>
          <w:p w14:paraId="3DEE2F42" w14:textId="77777777" w:rsidR="00F303E0" w:rsidRPr="00EE5714" w:rsidRDefault="00F303E0" w:rsidP="00851815">
            <w:pPr>
              <w:keepNext/>
              <w:keepLines/>
              <w:rPr>
                <w:rFonts w:ascii="Calibri" w:eastAsia="Times New Roman" w:hAnsi="Calibri" w:cs="Calibri"/>
                <w:sz w:val="21"/>
                <w:szCs w:val="21"/>
              </w:rPr>
            </w:pPr>
          </w:p>
        </w:tc>
      </w:tr>
      <w:tr w:rsidR="00F303E0" w:rsidRPr="00EE5714" w14:paraId="6AEA4733" w14:textId="77777777" w:rsidTr="00E92A67">
        <w:trPr>
          <w:trHeight w:hRule="exact" w:val="245"/>
        </w:trPr>
        <w:tc>
          <w:tcPr>
            <w:tcW w:w="1980" w:type="dxa"/>
            <w:shd w:val="clear" w:color="auto" w:fill="auto"/>
            <w:vAlign w:val="bottom"/>
          </w:tcPr>
          <w:p w14:paraId="5DCDC11A"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 xml:space="preserve">Duquesne </w:t>
            </w:r>
          </w:p>
        </w:tc>
        <w:tc>
          <w:tcPr>
            <w:tcW w:w="1395" w:type="dxa"/>
            <w:shd w:val="clear" w:color="auto" w:fill="auto"/>
            <w:noWrap/>
            <w:vAlign w:val="bottom"/>
            <w:hideMark/>
          </w:tcPr>
          <w:p w14:paraId="3975F46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24.87</w:t>
            </w:r>
          </w:p>
        </w:tc>
        <w:tc>
          <w:tcPr>
            <w:tcW w:w="1395" w:type="dxa"/>
            <w:shd w:val="clear" w:color="auto" w:fill="auto"/>
            <w:noWrap/>
            <w:vAlign w:val="bottom"/>
            <w:hideMark/>
          </w:tcPr>
          <w:p w14:paraId="7D2E448C"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11.27</w:t>
            </w:r>
          </w:p>
        </w:tc>
        <w:tc>
          <w:tcPr>
            <w:tcW w:w="1395" w:type="dxa"/>
            <w:shd w:val="clear" w:color="auto" w:fill="auto"/>
            <w:noWrap/>
            <w:vAlign w:val="bottom"/>
            <w:hideMark/>
          </w:tcPr>
          <w:p w14:paraId="730897F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7.17</w:t>
            </w:r>
          </w:p>
        </w:tc>
        <w:tc>
          <w:tcPr>
            <w:tcW w:w="1395" w:type="dxa"/>
            <w:shd w:val="clear" w:color="auto" w:fill="auto"/>
            <w:noWrap/>
            <w:vAlign w:val="bottom"/>
            <w:hideMark/>
          </w:tcPr>
          <w:p w14:paraId="2BBB7265"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14.67</w:t>
            </w:r>
          </w:p>
        </w:tc>
        <w:tc>
          <w:tcPr>
            <w:tcW w:w="1395" w:type="dxa"/>
            <w:shd w:val="clear" w:color="auto" w:fill="auto"/>
            <w:noWrap/>
            <w:vAlign w:val="bottom"/>
            <w:hideMark/>
          </w:tcPr>
          <w:p w14:paraId="51204A0F"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7.14</w:t>
            </w:r>
          </w:p>
        </w:tc>
        <w:tc>
          <w:tcPr>
            <w:tcW w:w="1035" w:type="dxa"/>
            <w:shd w:val="clear" w:color="auto" w:fill="auto"/>
            <w:noWrap/>
            <w:vAlign w:val="bottom"/>
            <w:hideMark/>
          </w:tcPr>
          <w:p w14:paraId="5EC5F23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4.54</w:t>
            </w:r>
          </w:p>
        </w:tc>
      </w:tr>
      <w:tr w:rsidR="00F303E0" w:rsidRPr="00EE5714" w14:paraId="4CC85249" w14:textId="77777777" w:rsidTr="00E92A67">
        <w:trPr>
          <w:trHeight w:hRule="exact" w:val="245"/>
        </w:trPr>
        <w:tc>
          <w:tcPr>
            <w:tcW w:w="1980" w:type="dxa"/>
            <w:shd w:val="clear" w:color="auto" w:fill="auto"/>
            <w:vAlign w:val="bottom"/>
          </w:tcPr>
          <w:p w14:paraId="38BA6F35"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Met-Ed</w:t>
            </w:r>
          </w:p>
        </w:tc>
        <w:tc>
          <w:tcPr>
            <w:tcW w:w="1395" w:type="dxa"/>
            <w:shd w:val="clear" w:color="auto" w:fill="auto"/>
            <w:noWrap/>
            <w:vAlign w:val="bottom"/>
            <w:hideMark/>
          </w:tcPr>
          <w:p w14:paraId="63490B8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5.48</w:t>
            </w:r>
          </w:p>
        </w:tc>
        <w:tc>
          <w:tcPr>
            <w:tcW w:w="1395" w:type="dxa"/>
            <w:shd w:val="clear" w:color="auto" w:fill="auto"/>
            <w:noWrap/>
            <w:vAlign w:val="bottom"/>
            <w:hideMark/>
          </w:tcPr>
          <w:p w14:paraId="044B707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3.85</w:t>
            </w:r>
          </w:p>
        </w:tc>
        <w:tc>
          <w:tcPr>
            <w:tcW w:w="1395" w:type="dxa"/>
            <w:shd w:val="clear" w:color="auto" w:fill="auto"/>
            <w:noWrap/>
            <w:vAlign w:val="bottom"/>
            <w:hideMark/>
          </w:tcPr>
          <w:p w14:paraId="5D2650D5"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3.19</w:t>
            </w:r>
          </w:p>
        </w:tc>
        <w:tc>
          <w:tcPr>
            <w:tcW w:w="1395" w:type="dxa"/>
            <w:shd w:val="clear" w:color="auto" w:fill="auto"/>
            <w:noWrap/>
            <w:vAlign w:val="bottom"/>
            <w:hideMark/>
          </w:tcPr>
          <w:p w14:paraId="21F7DFC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4.14</w:t>
            </w:r>
          </w:p>
        </w:tc>
        <w:tc>
          <w:tcPr>
            <w:tcW w:w="1395" w:type="dxa"/>
            <w:shd w:val="clear" w:color="auto" w:fill="auto"/>
            <w:noWrap/>
            <w:vAlign w:val="bottom"/>
            <w:hideMark/>
          </w:tcPr>
          <w:p w14:paraId="3D50E4C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2.28</w:t>
            </w:r>
          </w:p>
        </w:tc>
        <w:tc>
          <w:tcPr>
            <w:tcW w:w="1035" w:type="dxa"/>
            <w:shd w:val="clear" w:color="auto" w:fill="auto"/>
            <w:noWrap/>
            <w:vAlign w:val="bottom"/>
            <w:hideMark/>
          </w:tcPr>
          <w:p w14:paraId="6365A06D"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1.88</w:t>
            </w:r>
          </w:p>
        </w:tc>
      </w:tr>
      <w:tr w:rsidR="00F303E0" w:rsidRPr="00EE5714" w14:paraId="06C5562F" w14:textId="77777777" w:rsidTr="00E92A67">
        <w:trPr>
          <w:trHeight w:hRule="exact" w:val="245"/>
        </w:trPr>
        <w:tc>
          <w:tcPr>
            <w:tcW w:w="1980" w:type="dxa"/>
            <w:shd w:val="clear" w:color="auto" w:fill="auto"/>
            <w:vAlign w:val="bottom"/>
          </w:tcPr>
          <w:p w14:paraId="3C098872"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PECO Electric</w:t>
            </w:r>
          </w:p>
        </w:tc>
        <w:tc>
          <w:tcPr>
            <w:tcW w:w="1395" w:type="dxa"/>
            <w:shd w:val="clear" w:color="auto" w:fill="auto"/>
            <w:noWrap/>
            <w:vAlign w:val="bottom"/>
          </w:tcPr>
          <w:p w14:paraId="54C453A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23.61</w:t>
            </w:r>
          </w:p>
        </w:tc>
        <w:tc>
          <w:tcPr>
            <w:tcW w:w="1395" w:type="dxa"/>
            <w:shd w:val="clear" w:color="auto" w:fill="auto"/>
            <w:noWrap/>
            <w:vAlign w:val="bottom"/>
          </w:tcPr>
          <w:p w14:paraId="0ACA307F"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14.09</w:t>
            </w:r>
          </w:p>
        </w:tc>
        <w:tc>
          <w:tcPr>
            <w:tcW w:w="1395" w:type="dxa"/>
            <w:shd w:val="clear" w:color="auto" w:fill="auto"/>
            <w:noWrap/>
            <w:vAlign w:val="bottom"/>
          </w:tcPr>
          <w:p w14:paraId="09B3312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10.92</w:t>
            </w:r>
          </w:p>
        </w:tc>
        <w:tc>
          <w:tcPr>
            <w:tcW w:w="1395" w:type="dxa"/>
            <w:shd w:val="clear" w:color="auto" w:fill="auto"/>
            <w:noWrap/>
            <w:vAlign w:val="bottom"/>
          </w:tcPr>
          <w:p w14:paraId="3A71AE23"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12.08</w:t>
            </w:r>
          </w:p>
        </w:tc>
        <w:tc>
          <w:tcPr>
            <w:tcW w:w="1395" w:type="dxa"/>
            <w:shd w:val="clear" w:color="auto" w:fill="auto"/>
            <w:noWrap/>
            <w:vAlign w:val="bottom"/>
          </w:tcPr>
          <w:p w14:paraId="3632500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6.86</w:t>
            </w:r>
          </w:p>
        </w:tc>
        <w:tc>
          <w:tcPr>
            <w:tcW w:w="1035" w:type="dxa"/>
            <w:shd w:val="clear" w:color="auto" w:fill="auto"/>
            <w:noWrap/>
            <w:vAlign w:val="bottom"/>
          </w:tcPr>
          <w:p w14:paraId="4335ECAC"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5.01</w:t>
            </w:r>
          </w:p>
        </w:tc>
      </w:tr>
      <w:tr w:rsidR="00F303E0" w:rsidRPr="00EE5714" w14:paraId="0E294134" w14:textId="77777777" w:rsidTr="00E92A67">
        <w:trPr>
          <w:trHeight w:hRule="exact" w:val="245"/>
        </w:trPr>
        <w:tc>
          <w:tcPr>
            <w:tcW w:w="1980" w:type="dxa"/>
            <w:shd w:val="clear" w:color="auto" w:fill="auto"/>
            <w:vAlign w:val="bottom"/>
          </w:tcPr>
          <w:p w14:paraId="5B87F86D" w14:textId="77777777" w:rsidR="00F303E0" w:rsidRPr="00EE5714" w:rsidRDefault="00F303E0" w:rsidP="00851815">
            <w:pPr>
              <w:keepNext/>
              <w:keepLines/>
              <w:rPr>
                <w:rFonts w:ascii="Calibri" w:eastAsia="Times New Roman" w:hAnsi="Calibri" w:cs="Calibri"/>
                <w:color w:val="000000"/>
                <w:sz w:val="21"/>
                <w:szCs w:val="21"/>
              </w:rPr>
            </w:pPr>
            <w:proofErr w:type="spellStart"/>
            <w:r w:rsidRPr="00EE5714">
              <w:rPr>
                <w:rFonts w:ascii="Calibri" w:eastAsia="Times New Roman" w:hAnsi="Calibri" w:cs="Calibri"/>
                <w:b/>
                <w:color w:val="000000"/>
                <w:sz w:val="21"/>
                <w:szCs w:val="21"/>
              </w:rPr>
              <w:t>Penelec</w:t>
            </w:r>
            <w:proofErr w:type="spellEnd"/>
          </w:p>
        </w:tc>
        <w:tc>
          <w:tcPr>
            <w:tcW w:w="1395" w:type="dxa"/>
            <w:shd w:val="clear" w:color="auto" w:fill="auto"/>
            <w:noWrap/>
            <w:vAlign w:val="bottom"/>
          </w:tcPr>
          <w:p w14:paraId="0A526603"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9.13</w:t>
            </w:r>
          </w:p>
        </w:tc>
        <w:tc>
          <w:tcPr>
            <w:tcW w:w="1395" w:type="dxa"/>
            <w:shd w:val="clear" w:color="auto" w:fill="auto"/>
            <w:noWrap/>
            <w:vAlign w:val="bottom"/>
          </w:tcPr>
          <w:p w14:paraId="1620309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3.52</w:t>
            </w:r>
          </w:p>
        </w:tc>
        <w:tc>
          <w:tcPr>
            <w:tcW w:w="1395" w:type="dxa"/>
            <w:shd w:val="clear" w:color="auto" w:fill="auto"/>
            <w:noWrap/>
            <w:vAlign w:val="bottom"/>
          </w:tcPr>
          <w:p w14:paraId="6BF51733"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3.17</w:t>
            </w:r>
          </w:p>
        </w:tc>
        <w:tc>
          <w:tcPr>
            <w:tcW w:w="1395" w:type="dxa"/>
            <w:shd w:val="clear" w:color="auto" w:fill="auto"/>
            <w:noWrap/>
            <w:vAlign w:val="bottom"/>
          </w:tcPr>
          <w:p w14:paraId="3487F38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5.81</w:t>
            </w:r>
          </w:p>
        </w:tc>
        <w:tc>
          <w:tcPr>
            <w:tcW w:w="1395" w:type="dxa"/>
            <w:shd w:val="clear" w:color="auto" w:fill="auto"/>
            <w:noWrap/>
            <w:vAlign w:val="bottom"/>
          </w:tcPr>
          <w:p w14:paraId="5E95EFAF"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2.18</w:t>
            </w:r>
          </w:p>
        </w:tc>
        <w:tc>
          <w:tcPr>
            <w:tcW w:w="1035" w:type="dxa"/>
            <w:shd w:val="clear" w:color="auto" w:fill="auto"/>
            <w:noWrap/>
            <w:vAlign w:val="bottom"/>
          </w:tcPr>
          <w:p w14:paraId="3918F985"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1.82</w:t>
            </w:r>
          </w:p>
        </w:tc>
      </w:tr>
      <w:tr w:rsidR="00F303E0" w:rsidRPr="00EE5714" w14:paraId="601473A9" w14:textId="77777777" w:rsidTr="00E92A67">
        <w:trPr>
          <w:trHeight w:hRule="exact" w:val="245"/>
        </w:trPr>
        <w:tc>
          <w:tcPr>
            <w:tcW w:w="1980" w:type="dxa"/>
            <w:shd w:val="clear" w:color="auto" w:fill="auto"/>
            <w:vAlign w:val="bottom"/>
          </w:tcPr>
          <w:p w14:paraId="5FB73238"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Penn Power</w:t>
            </w:r>
          </w:p>
        </w:tc>
        <w:tc>
          <w:tcPr>
            <w:tcW w:w="1395" w:type="dxa"/>
            <w:shd w:val="clear" w:color="auto" w:fill="auto"/>
            <w:noWrap/>
            <w:vAlign w:val="bottom"/>
            <w:hideMark/>
          </w:tcPr>
          <w:p w14:paraId="120E6F61"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31.29</w:t>
            </w:r>
          </w:p>
        </w:tc>
        <w:tc>
          <w:tcPr>
            <w:tcW w:w="1395" w:type="dxa"/>
            <w:shd w:val="clear" w:color="auto" w:fill="auto"/>
            <w:noWrap/>
            <w:vAlign w:val="bottom"/>
            <w:hideMark/>
          </w:tcPr>
          <w:p w14:paraId="4ED39855"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8.94</w:t>
            </w:r>
          </w:p>
        </w:tc>
        <w:tc>
          <w:tcPr>
            <w:tcW w:w="1395" w:type="dxa"/>
            <w:shd w:val="clear" w:color="auto" w:fill="auto"/>
            <w:noWrap/>
            <w:vAlign w:val="bottom"/>
            <w:hideMark/>
          </w:tcPr>
          <w:p w14:paraId="2687C24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6.36</w:t>
            </w:r>
          </w:p>
        </w:tc>
        <w:tc>
          <w:tcPr>
            <w:tcW w:w="1395" w:type="dxa"/>
            <w:shd w:val="clear" w:color="auto" w:fill="auto"/>
            <w:noWrap/>
            <w:vAlign w:val="bottom"/>
            <w:hideMark/>
          </w:tcPr>
          <w:p w14:paraId="41350FFC"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16.20</w:t>
            </w:r>
          </w:p>
        </w:tc>
        <w:tc>
          <w:tcPr>
            <w:tcW w:w="1395" w:type="dxa"/>
            <w:shd w:val="clear" w:color="auto" w:fill="auto"/>
            <w:noWrap/>
            <w:vAlign w:val="bottom"/>
            <w:hideMark/>
          </w:tcPr>
          <w:p w14:paraId="2BB3097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3.13</w:t>
            </w:r>
          </w:p>
        </w:tc>
        <w:tc>
          <w:tcPr>
            <w:tcW w:w="1035" w:type="dxa"/>
            <w:shd w:val="clear" w:color="auto" w:fill="auto"/>
            <w:noWrap/>
            <w:vAlign w:val="bottom"/>
            <w:hideMark/>
          </w:tcPr>
          <w:p w14:paraId="0E80038A"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5.46</w:t>
            </w:r>
          </w:p>
        </w:tc>
      </w:tr>
      <w:tr w:rsidR="00F303E0" w:rsidRPr="00EE5714" w14:paraId="3838AE9E" w14:textId="77777777" w:rsidTr="00E92A67">
        <w:trPr>
          <w:trHeight w:hRule="exact" w:val="245"/>
        </w:trPr>
        <w:tc>
          <w:tcPr>
            <w:tcW w:w="1980" w:type="dxa"/>
            <w:shd w:val="clear" w:color="auto" w:fill="auto"/>
            <w:vAlign w:val="bottom"/>
          </w:tcPr>
          <w:p w14:paraId="0BA612E2"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PPL</w:t>
            </w:r>
          </w:p>
        </w:tc>
        <w:tc>
          <w:tcPr>
            <w:tcW w:w="1395" w:type="dxa"/>
            <w:shd w:val="clear" w:color="auto" w:fill="auto"/>
            <w:noWrap/>
            <w:vAlign w:val="bottom"/>
            <w:hideMark/>
          </w:tcPr>
          <w:p w14:paraId="7D2F1E9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13.36</w:t>
            </w:r>
          </w:p>
        </w:tc>
        <w:tc>
          <w:tcPr>
            <w:tcW w:w="1395" w:type="dxa"/>
            <w:shd w:val="clear" w:color="auto" w:fill="auto"/>
            <w:noWrap/>
            <w:vAlign w:val="bottom"/>
            <w:hideMark/>
          </w:tcPr>
          <w:p w14:paraId="13B4C94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6.80</w:t>
            </w:r>
          </w:p>
        </w:tc>
        <w:tc>
          <w:tcPr>
            <w:tcW w:w="1395" w:type="dxa"/>
            <w:shd w:val="clear" w:color="auto" w:fill="auto"/>
            <w:noWrap/>
            <w:vAlign w:val="bottom"/>
            <w:hideMark/>
          </w:tcPr>
          <w:p w14:paraId="199A03D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4.10</w:t>
            </w:r>
          </w:p>
        </w:tc>
        <w:tc>
          <w:tcPr>
            <w:tcW w:w="1395" w:type="dxa"/>
            <w:shd w:val="clear" w:color="auto" w:fill="auto"/>
            <w:noWrap/>
            <w:vAlign w:val="bottom"/>
            <w:hideMark/>
          </w:tcPr>
          <w:p w14:paraId="4492AD5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12.70</w:t>
            </w:r>
          </w:p>
        </w:tc>
        <w:tc>
          <w:tcPr>
            <w:tcW w:w="1395" w:type="dxa"/>
            <w:shd w:val="clear" w:color="auto" w:fill="auto"/>
            <w:noWrap/>
            <w:vAlign w:val="bottom"/>
            <w:hideMark/>
          </w:tcPr>
          <w:p w14:paraId="4A10D911"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6.49</w:t>
            </w:r>
          </w:p>
        </w:tc>
        <w:tc>
          <w:tcPr>
            <w:tcW w:w="1035" w:type="dxa"/>
            <w:shd w:val="clear" w:color="auto" w:fill="auto"/>
            <w:noWrap/>
            <w:vAlign w:val="bottom"/>
            <w:hideMark/>
          </w:tcPr>
          <w:p w14:paraId="036441B0"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4.02</w:t>
            </w:r>
          </w:p>
        </w:tc>
      </w:tr>
      <w:tr w:rsidR="00F303E0" w:rsidRPr="00EE5714" w14:paraId="4915F5DA" w14:textId="77777777" w:rsidTr="00E92A67">
        <w:trPr>
          <w:trHeight w:hRule="exact" w:val="245"/>
        </w:trPr>
        <w:tc>
          <w:tcPr>
            <w:tcW w:w="1980" w:type="dxa"/>
            <w:shd w:val="clear" w:color="auto" w:fill="auto"/>
            <w:vAlign w:val="bottom"/>
          </w:tcPr>
          <w:p w14:paraId="718FA748" w14:textId="77777777" w:rsidR="00F303E0" w:rsidRPr="00EE5714" w:rsidRDefault="00F303E0" w:rsidP="00851815">
            <w:pPr>
              <w:rPr>
                <w:rFonts w:ascii="Calibri" w:eastAsia="Times New Roman" w:hAnsi="Calibri" w:cs="Calibri"/>
                <w:color w:val="000000"/>
                <w:sz w:val="21"/>
                <w:szCs w:val="21"/>
              </w:rPr>
            </w:pPr>
            <w:r w:rsidRPr="00EE5714">
              <w:rPr>
                <w:rFonts w:ascii="Calibri" w:eastAsia="Times New Roman" w:hAnsi="Calibri" w:cs="Calibri"/>
                <w:b/>
                <w:color w:val="000000"/>
                <w:sz w:val="21"/>
                <w:szCs w:val="21"/>
              </w:rPr>
              <w:t xml:space="preserve">West Penn </w:t>
            </w:r>
          </w:p>
        </w:tc>
        <w:tc>
          <w:tcPr>
            <w:tcW w:w="1395" w:type="dxa"/>
            <w:shd w:val="clear" w:color="auto" w:fill="auto"/>
            <w:noWrap/>
            <w:vAlign w:val="bottom"/>
            <w:hideMark/>
          </w:tcPr>
          <w:p w14:paraId="2F1164B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20.27</w:t>
            </w:r>
          </w:p>
        </w:tc>
        <w:tc>
          <w:tcPr>
            <w:tcW w:w="1395" w:type="dxa"/>
            <w:shd w:val="clear" w:color="auto" w:fill="auto"/>
            <w:noWrap/>
            <w:vAlign w:val="bottom"/>
            <w:hideMark/>
          </w:tcPr>
          <w:p w14:paraId="4951F8E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9.97</w:t>
            </w:r>
          </w:p>
        </w:tc>
        <w:tc>
          <w:tcPr>
            <w:tcW w:w="1395" w:type="dxa"/>
            <w:shd w:val="clear" w:color="auto" w:fill="auto"/>
            <w:noWrap/>
            <w:vAlign w:val="bottom"/>
            <w:hideMark/>
          </w:tcPr>
          <w:p w14:paraId="68C5AA4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7.31</w:t>
            </w:r>
          </w:p>
        </w:tc>
        <w:tc>
          <w:tcPr>
            <w:tcW w:w="1395" w:type="dxa"/>
            <w:shd w:val="clear" w:color="auto" w:fill="auto"/>
            <w:noWrap/>
            <w:vAlign w:val="bottom"/>
            <w:hideMark/>
          </w:tcPr>
          <w:p w14:paraId="0221434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12.47</w:t>
            </w:r>
          </w:p>
        </w:tc>
        <w:tc>
          <w:tcPr>
            <w:tcW w:w="1395" w:type="dxa"/>
            <w:shd w:val="clear" w:color="auto" w:fill="auto"/>
            <w:noWrap/>
            <w:vAlign w:val="bottom"/>
            <w:hideMark/>
          </w:tcPr>
          <w:p w14:paraId="511EAF1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6.28</w:t>
            </w:r>
          </w:p>
        </w:tc>
        <w:tc>
          <w:tcPr>
            <w:tcW w:w="1035" w:type="dxa"/>
            <w:shd w:val="clear" w:color="auto" w:fill="auto"/>
            <w:noWrap/>
            <w:vAlign w:val="bottom"/>
            <w:hideMark/>
          </w:tcPr>
          <w:p w14:paraId="212FFD5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5.10</w:t>
            </w:r>
          </w:p>
        </w:tc>
      </w:tr>
    </w:tbl>
    <w:p w14:paraId="6A857579" w14:textId="77777777" w:rsidR="00F303E0" w:rsidRPr="00EE5714" w:rsidRDefault="00F303E0" w:rsidP="00E92A67">
      <w:pPr>
        <w:spacing w:after="0" w:line="240" w:lineRule="auto"/>
        <w:rPr>
          <w:rFonts w:ascii="Times New Roman" w:hAnsi="Times New Roman" w:cs="Times New Roman"/>
          <w:sz w:val="26"/>
          <w:szCs w:val="26"/>
        </w:rPr>
      </w:pPr>
    </w:p>
    <w:p w14:paraId="1CF89586" w14:textId="77777777" w:rsidR="00F303E0" w:rsidRPr="00EE5714" w:rsidRDefault="00F303E0" w:rsidP="00E92A67">
      <w:pPr>
        <w:spacing w:after="0" w:line="240" w:lineRule="auto"/>
        <w:rPr>
          <w:rFonts w:ascii="Times New Roman" w:hAnsi="Times New Roman" w:cs="Times New Roman"/>
          <w:sz w:val="26"/>
          <w:szCs w:val="26"/>
        </w:rPr>
      </w:pPr>
    </w:p>
    <w:p w14:paraId="078D051C" w14:textId="77777777" w:rsidR="00F303E0" w:rsidRPr="00EE5714" w:rsidRDefault="00155347" w:rsidP="00F303E0">
      <w:pPr>
        <w:keepNext/>
        <w:rPr>
          <w:rFonts w:ascii="Times New Roman" w:hAnsi="Times New Roman" w:cs="Times New Roman"/>
          <w:sz w:val="26"/>
          <w:szCs w:val="26"/>
        </w:rPr>
      </w:pPr>
      <w:r w:rsidRPr="00EE5714">
        <w:rPr>
          <w:rFonts w:ascii="Times New Roman" w:hAnsi="Times New Roman" w:cs="Times New Roman"/>
          <w:sz w:val="26"/>
          <w:szCs w:val="26"/>
        </w:rPr>
        <w:t>Appendix 2</w:t>
      </w:r>
      <w:r w:rsidR="00F303E0" w:rsidRPr="00EE5714">
        <w:rPr>
          <w:rFonts w:ascii="Times New Roman" w:hAnsi="Times New Roman" w:cs="Times New Roman"/>
          <w:sz w:val="26"/>
          <w:szCs w:val="26"/>
        </w:rPr>
        <w:t xml:space="preserve">.D.3: </w:t>
      </w:r>
      <w:r w:rsidR="00F303E0" w:rsidRPr="00EE5714">
        <w:rPr>
          <w:rFonts w:ascii="Times New Roman" w:eastAsia="Times New Roman" w:hAnsi="Times New Roman" w:cs="Times New Roman"/>
          <w:b/>
          <w:color w:val="000000"/>
          <w:sz w:val="26"/>
          <w:szCs w:val="26"/>
        </w:rPr>
        <w:t>EDC CAP Energy Burdens by FPIG Level</w:t>
      </w:r>
    </w:p>
    <w:tbl>
      <w:tblPr>
        <w:tblW w:w="999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980"/>
        <w:gridCol w:w="1395"/>
        <w:gridCol w:w="1395"/>
        <w:gridCol w:w="1395"/>
        <w:gridCol w:w="1395"/>
        <w:gridCol w:w="1395"/>
        <w:gridCol w:w="1035"/>
      </w:tblGrid>
      <w:tr w:rsidR="00F303E0" w:rsidRPr="00EE5714" w14:paraId="350A6E80" w14:textId="77777777" w:rsidTr="00E92A67">
        <w:trPr>
          <w:trHeight w:val="448"/>
        </w:trPr>
        <w:tc>
          <w:tcPr>
            <w:tcW w:w="9990" w:type="dxa"/>
            <w:gridSpan w:val="7"/>
            <w:shd w:val="clear" w:color="auto" w:fill="BFBFBF" w:themeFill="background1" w:themeFillShade="BF"/>
            <w:vAlign w:val="center"/>
          </w:tcPr>
          <w:p w14:paraId="4809A4F7" w14:textId="402D85B8" w:rsidR="00F303E0" w:rsidRPr="00EE5714" w:rsidRDefault="00F303E0" w:rsidP="00851815">
            <w:pPr>
              <w:keepNext/>
              <w:jc w:val="center"/>
              <w:rPr>
                <w:rFonts w:ascii="Calibri" w:eastAsia="Times New Roman" w:hAnsi="Calibri" w:cs="Calibri"/>
                <w:b/>
                <w:color w:val="000000"/>
              </w:rPr>
            </w:pPr>
            <w:r w:rsidRPr="00EE5714">
              <w:rPr>
                <w:rFonts w:ascii="Calibri" w:eastAsia="Times New Roman" w:hAnsi="Calibri" w:cs="Calibri"/>
                <w:b/>
                <w:color w:val="000000"/>
              </w:rPr>
              <w:t>2014 EDC CAP Energy Burdens by FPIG Level</w:t>
            </w:r>
            <w:r w:rsidR="00496CAD" w:rsidRPr="00EE5714">
              <w:rPr>
                <w:rFonts w:ascii="Calibri" w:eastAsia="Times New Roman" w:hAnsi="Calibri" w:cs="Calibri"/>
                <w:b/>
                <w:color w:val="000000"/>
              </w:rPr>
              <w:t xml:space="preserve"> (%)</w:t>
            </w:r>
          </w:p>
        </w:tc>
      </w:tr>
      <w:tr w:rsidR="00F303E0" w:rsidRPr="00EE5714" w14:paraId="3D0A46C4" w14:textId="77777777" w:rsidTr="00E92A67">
        <w:trPr>
          <w:trHeight w:hRule="exact" w:val="245"/>
        </w:trPr>
        <w:tc>
          <w:tcPr>
            <w:tcW w:w="1980" w:type="dxa"/>
          </w:tcPr>
          <w:p w14:paraId="6C3DE503" w14:textId="77777777" w:rsidR="00F303E0" w:rsidRPr="00EE5714" w:rsidRDefault="00F303E0" w:rsidP="00851815">
            <w:pPr>
              <w:keepNext/>
              <w:jc w:val="center"/>
              <w:rPr>
                <w:rFonts w:ascii="Calibri" w:eastAsia="Times New Roman" w:hAnsi="Calibri" w:cs="Calibri"/>
                <w:color w:val="000000"/>
                <w:sz w:val="16"/>
                <w:szCs w:val="16"/>
              </w:rPr>
            </w:pPr>
          </w:p>
        </w:tc>
        <w:tc>
          <w:tcPr>
            <w:tcW w:w="4185" w:type="dxa"/>
            <w:gridSpan w:val="3"/>
            <w:shd w:val="clear" w:color="auto" w:fill="auto"/>
            <w:vAlign w:val="bottom"/>
            <w:hideMark/>
          </w:tcPr>
          <w:p w14:paraId="1D878CFE"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3825" w:type="dxa"/>
            <w:gridSpan w:val="3"/>
            <w:shd w:val="clear" w:color="auto" w:fill="auto"/>
            <w:vAlign w:val="bottom"/>
            <w:hideMark/>
          </w:tcPr>
          <w:p w14:paraId="7438AB23"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r>
      <w:tr w:rsidR="00F303E0" w:rsidRPr="00EE5714" w14:paraId="646C3F1B" w14:textId="77777777" w:rsidTr="00E92A67">
        <w:trPr>
          <w:trHeight w:hRule="exact" w:val="245"/>
        </w:trPr>
        <w:tc>
          <w:tcPr>
            <w:tcW w:w="1980" w:type="dxa"/>
          </w:tcPr>
          <w:p w14:paraId="4E499A27" w14:textId="77777777" w:rsidR="00F303E0" w:rsidRPr="00EE5714" w:rsidRDefault="00F303E0" w:rsidP="00851815">
            <w:pPr>
              <w:keepNext/>
              <w:rPr>
                <w:rFonts w:ascii="Calibri" w:eastAsia="Times New Roman" w:hAnsi="Calibri" w:cs="Calibri"/>
                <w:color w:val="000000"/>
                <w:sz w:val="16"/>
                <w:szCs w:val="16"/>
              </w:rPr>
            </w:pPr>
            <w:r w:rsidRPr="00EE5714">
              <w:rPr>
                <w:rFonts w:ascii="Calibri" w:eastAsia="Times New Roman" w:hAnsi="Calibri" w:cs="Calibri"/>
                <w:b/>
                <w:i/>
                <w:color w:val="000000"/>
                <w:sz w:val="21"/>
                <w:szCs w:val="21"/>
              </w:rPr>
              <w:t>FPIG Level</w:t>
            </w:r>
          </w:p>
        </w:tc>
        <w:tc>
          <w:tcPr>
            <w:tcW w:w="1395" w:type="dxa"/>
            <w:shd w:val="clear" w:color="auto" w:fill="D9D9D9" w:themeFill="background1" w:themeFillShade="D9"/>
            <w:noWrap/>
            <w:vAlign w:val="bottom"/>
            <w:hideMark/>
          </w:tcPr>
          <w:p w14:paraId="78ABB8E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1395" w:type="dxa"/>
            <w:shd w:val="clear" w:color="auto" w:fill="D9D9D9" w:themeFill="background1" w:themeFillShade="D9"/>
            <w:noWrap/>
            <w:vAlign w:val="bottom"/>
            <w:hideMark/>
          </w:tcPr>
          <w:p w14:paraId="6EE1AE50"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1395" w:type="dxa"/>
            <w:shd w:val="clear" w:color="auto" w:fill="D9D9D9" w:themeFill="background1" w:themeFillShade="D9"/>
            <w:noWrap/>
            <w:vAlign w:val="bottom"/>
            <w:hideMark/>
          </w:tcPr>
          <w:p w14:paraId="62E93403"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c>
          <w:tcPr>
            <w:tcW w:w="1395" w:type="dxa"/>
            <w:shd w:val="clear" w:color="auto" w:fill="D9D9D9" w:themeFill="background1" w:themeFillShade="D9"/>
            <w:noWrap/>
            <w:vAlign w:val="bottom"/>
            <w:hideMark/>
          </w:tcPr>
          <w:p w14:paraId="277D482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1395" w:type="dxa"/>
            <w:shd w:val="clear" w:color="auto" w:fill="D9D9D9" w:themeFill="background1" w:themeFillShade="D9"/>
            <w:noWrap/>
            <w:vAlign w:val="bottom"/>
            <w:hideMark/>
          </w:tcPr>
          <w:p w14:paraId="0C46040C"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1035" w:type="dxa"/>
            <w:shd w:val="clear" w:color="auto" w:fill="D9D9D9" w:themeFill="background1" w:themeFillShade="D9"/>
            <w:noWrap/>
            <w:vAlign w:val="bottom"/>
            <w:hideMark/>
          </w:tcPr>
          <w:p w14:paraId="7515E7D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r>
      <w:tr w:rsidR="00F303E0" w:rsidRPr="00EE5714" w14:paraId="100F01F4" w14:textId="77777777" w:rsidTr="00E92A67">
        <w:trPr>
          <w:trHeight w:hRule="exact" w:val="245"/>
        </w:trPr>
        <w:tc>
          <w:tcPr>
            <w:tcW w:w="1980" w:type="dxa"/>
          </w:tcPr>
          <w:p w14:paraId="27BDCF8B" w14:textId="77777777" w:rsidR="00F303E0" w:rsidRPr="00EE5714" w:rsidRDefault="00F303E0" w:rsidP="00851815">
            <w:pPr>
              <w:keepNext/>
              <w:jc w:val="right"/>
              <w:rPr>
                <w:rFonts w:ascii="Calibri" w:eastAsia="Times New Roman" w:hAnsi="Calibri" w:cs="Calibri"/>
                <w:color w:val="000000"/>
                <w:sz w:val="16"/>
                <w:szCs w:val="16"/>
              </w:rPr>
            </w:pPr>
          </w:p>
        </w:tc>
        <w:tc>
          <w:tcPr>
            <w:tcW w:w="1395" w:type="dxa"/>
            <w:shd w:val="clear" w:color="auto" w:fill="auto"/>
            <w:noWrap/>
            <w:vAlign w:val="bottom"/>
          </w:tcPr>
          <w:p w14:paraId="37CFCE14" w14:textId="77777777" w:rsidR="00F303E0" w:rsidRPr="00EE5714" w:rsidRDefault="00F303E0" w:rsidP="00851815">
            <w:pPr>
              <w:keepNext/>
              <w:jc w:val="center"/>
              <w:rPr>
                <w:rFonts w:ascii="Calibri" w:eastAsia="Times New Roman" w:hAnsi="Calibri" w:cs="Calibri"/>
                <w:color w:val="000000"/>
                <w:sz w:val="21"/>
                <w:szCs w:val="21"/>
              </w:rPr>
            </w:pPr>
          </w:p>
        </w:tc>
        <w:tc>
          <w:tcPr>
            <w:tcW w:w="1395" w:type="dxa"/>
            <w:shd w:val="clear" w:color="auto" w:fill="auto"/>
            <w:noWrap/>
            <w:vAlign w:val="bottom"/>
          </w:tcPr>
          <w:p w14:paraId="3A21B327" w14:textId="77777777" w:rsidR="00F303E0" w:rsidRPr="00EE5714" w:rsidRDefault="00F303E0" w:rsidP="00851815">
            <w:pPr>
              <w:keepNext/>
              <w:jc w:val="center"/>
              <w:rPr>
                <w:rFonts w:ascii="Calibri" w:eastAsia="Times New Roman" w:hAnsi="Calibri" w:cs="Calibri"/>
                <w:color w:val="000000"/>
                <w:sz w:val="21"/>
                <w:szCs w:val="21"/>
              </w:rPr>
            </w:pPr>
          </w:p>
        </w:tc>
        <w:tc>
          <w:tcPr>
            <w:tcW w:w="1395" w:type="dxa"/>
            <w:shd w:val="clear" w:color="auto" w:fill="auto"/>
            <w:noWrap/>
            <w:vAlign w:val="bottom"/>
          </w:tcPr>
          <w:p w14:paraId="39E2A97F" w14:textId="77777777" w:rsidR="00F303E0" w:rsidRPr="00EE5714" w:rsidRDefault="00F303E0" w:rsidP="00851815">
            <w:pPr>
              <w:keepNext/>
              <w:jc w:val="center"/>
              <w:rPr>
                <w:rFonts w:ascii="Calibri" w:eastAsia="Times New Roman" w:hAnsi="Calibri" w:cs="Calibri"/>
                <w:color w:val="000000"/>
                <w:sz w:val="21"/>
                <w:szCs w:val="21"/>
              </w:rPr>
            </w:pPr>
          </w:p>
        </w:tc>
        <w:tc>
          <w:tcPr>
            <w:tcW w:w="1395" w:type="dxa"/>
            <w:shd w:val="clear" w:color="auto" w:fill="auto"/>
            <w:noWrap/>
            <w:vAlign w:val="bottom"/>
          </w:tcPr>
          <w:p w14:paraId="478D4E2B" w14:textId="77777777" w:rsidR="00F303E0" w:rsidRPr="00EE5714" w:rsidRDefault="00F303E0" w:rsidP="00851815">
            <w:pPr>
              <w:keepNext/>
              <w:jc w:val="center"/>
              <w:rPr>
                <w:rFonts w:ascii="Calibri" w:eastAsia="Times New Roman" w:hAnsi="Calibri" w:cs="Calibri"/>
                <w:color w:val="000000"/>
                <w:sz w:val="21"/>
                <w:szCs w:val="21"/>
              </w:rPr>
            </w:pPr>
          </w:p>
        </w:tc>
        <w:tc>
          <w:tcPr>
            <w:tcW w:w="1395" w:type="dxa"/>
            <w:shd w:val="clear" w:color="auto" w:fill="auto"/>
            <w:noWrap/>
            <w:vAlign w:val="bottom"/>
          </w:tcPr>
          <w:p w14:paraId="12FCAA14" w14:textId="77777777" w:rsidR="00F303E0" w:rsidRPr="00EE5714" w:rsidRDefault="00F303E0" w:rsidP="00851815">
            <w:pPr>
              <w:keepNext/>
              <w:jc w:val="center"/>
              <w:rPr>
                <w:rFonts w:ascii="Calibri" w:eastAsia="Times New Roman" w:hAnsi="Calibri" w:cs="Calibri"/>
                <w:color w:val="000000"/>
                <w:sz w:val="21"/>
                <w:szCs w:val="21"/>
              </w:rPr>
            </w:pPr>
          </w:p>
        </w:tc>
        <w:tc>
          <w:tcPr>
            <w:tcW w:w="1035" w:type="dxa"/>
            <w:shd w:val="clear" w:color="auto" w:fill="auto"/>
            <w:noWrap/>
            <w:vAlign w:val="bottom"/>
          </w:tcPr>
          <w:p w14:paraId="02158EAC" w14:textId="77777777" w:rsidR="00F303E0" w:rsidRPr="00EE5714" w:rsidRDefault="00F303E0" w:rsidP="00851815">
            <w:pPr>
              <w:keepNext/>
              <w:jc w:val="center"/>
              <w:rPr>
                <w:rFonts w:ascii="Calibri" w:eastAsia="Times New Roman" w:hAnsi="Calibri" w:cs="Calibri"/>
                <w:color w:val="000000"/>
                <w:sz w:val="21"/>
                <w:szCs w:val="21"/>
              </w:rPr>
            </w:pPr>
          </w:p>
        </w:tc>
      </w:tr>
      <w:tr w:rsidR="00F303E0" w:rsidRPr="00EE5714" w14:paraId="6187F15C" w14:textId="77777777" w:rsidTr="00E92A67">
        <w:trPr>
          <w:trHeight w:hRule="exact" w:val="587"/>
        </w:trPr>
        <w:tc>
          <w:tcPr>
            <w:tcW w:w="1980" w:type="dxa"/>
            <w:shd w:val="clear" w:color="auto" w:fill="F2F2F2" w:themeFill="background1" w:themeFillShade="F2"/>
            <w:vAlign w:val="center"/>
          </w:tcPr>
          <w:p w14:paraId="2ACA9A3A" w14:textId="77777777" w:rsidR="00F303E0" w:rsidRPr="00EE5714" w:rsidRDefault="00F303E0" w:rsidP="00851815">
            <w:pPr>
              <w:keepNext/>
              <w:rPr>
                <w:rFonts w:ascii="Calibri" w:eastAsia="Times New Roman" w:hAnsi="Calibri" w:cs="Calibri"/>
                <w:color w:val="000000"/>
                <w:sz w:val="16"/>
                <w:szCs w:val="16"/>
              </w:rPr>
            </w:pPr>
            <w:r w:rsidRPr="00EE5714">
              <w:rPr>
                <w:rFonts w:ascii="Calibri" w:eastAsia="Times New Roman" w:hAnsi="Calibri" w:cs="Calibri"/>
                <w:b/>
                <w:i/>
                <w:color w:val="000000"/>
                <w:sz w:val="21"/>
                <w:szCs w:val="21"/>
              </w:rPr>
              <w:t>Electric Industry Average</w:t>
            </w:r>
          </w:p>
        </w:tc>
        <w:tc>
          <w:tcPr>
            <w:tcW w:w="1395" w:type="dxa"/>
            <w:shd w:val="clear" w:color="auto" w:fill="F2F2F2" w:themeFill="background1" w:themeFillShade="F2"/>
            <w:noWrap/>
            <w:vAlign w:val="center"/>
            <w:hideMark/>
          </w:tcPr>
          <w:p w14:paraId="398B707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17.79</w:t>
            </w:r>
          </w:p>
        </w:tc>
        <w:tc>
          <w:tcPr>
            <w:tcW w:w="1395" w:type="dxa"/>
            <w:shd w:val="clear" w:color="auto" w:fill="F2F2F2" w:themeFill="background1" w:themeFillShade="F2"/>
            <w:noWrap/>
            <w:vAlign w:val="center"/>
            <w:hideMark/>
          </w:tcPr>
          <w:p w14:paraId="35669DC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8.9</w:t>
            </w:r>
          </w:p>
        </w:tc>
        <w:tc>
          <w:tcPr>
            <w:tcW w:w="1395" w:type="dxa"/>
            <w:shd w:val="clear" w:color="auto" w:fill="F2F2F2" w:themeFill="background1" w:themeFillShade="F2"/>
            <w:noWrap/>
            <w:vAlign w:val="center"/>
            <w:hideMark/>
          </w:tcPr>
          <w:p w14:paraId="3CBFFAF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6.53</w:t>
            </w:r>
          </w:p>
        </w:tc>
        <w:tc>
          <w:tcPr>
            <w:tcW w:w="1395" w:type="dxa"/>
            <w:shd w:val="clear" w:color="auto" w:fill="F2F2F2" w:themeFill="background1" w:themeFillShade="F2"/>
            <w:noWrap/>
            <w:vAlign w:val="center"/>
            <w:hideMark/>
          </w:tcPr>
          <w:p w14:paraId="2C0BB27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11.49</w:t>
            </w:r>
          </w:p>
        </w:tc>
        <w:tc>
          <w:tcPr>
            <w:tcW w:w="1395" w:type="dxa"/>
            <w:shd w:val="clear" w:color="auto" w:fill="F2F2F2" w:themeFill="background1" w:themeFillShade="F2"/>
            <w:noWrap/>
            <w:vAlign w:val="center"/>
            <w:hideMark/>
          </w:tcPr>
          <w:p w14:paraId="57CB60A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5.31</w:t>
            </w:r>
          </w:p>
        </w:tc>
        <w:tc>
          <w:tcPr>
            <w:tcW w:w="1035" w:type="dxa"/>
            <w:shd w:val="clear" w:color="auto" w:fill="F2F2F2" w:themeFill="background1" w:themeFillShade="F2"/>
            <w:noWrap/>
            <w:vAlign w:val="center"/>
            <w:hideMark/>
          </w:tcPr>
          <w:p w14:paraId="3048523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4.07</w:t>
            </w:r>
          </w:p>
        </w:tc>
      </w:tr>
      <w:tr w:rsidR="00F303E0" w:rsidRPr="00EE5714" w14:paraId="6581ECB2" w14:textId="77777777" w:rsidTr="00E92A67">
        <w:trPr>
          <w:trHeight w:hRule="exact" w:val="245"/>
        </w:trPr>
        <w:tc>
          <w:tcPr>
            <w:tcW w:w="1980" w:type="dxa"/>
          </w:tcPr>
          <w:p w14:paraId="37433249" w14:textId="77777777" w:rsidR="00F303E0" w:rsidRPr="00EE5714" w:rsidRDefault="00F303E0" w:rsidP="00851815">
            <w:pPr>
              <w:keepNext/>
              <w:rPr>
                <w:rFonts w:ascii="Calibri" w:eastAsia="Times New Roman" w:hAnsi="Calibri" w:cs="Calibri"/>
                <w:color w:val="000000"/>
                <w:sz w:val="16"/>
                <w:szCs w:val="16"/>
              </w:rPr>
            </w:pPr>
          </w:p>
        </w:tc>
        <w:tc>
          <w:tcPr>
            <w:tcW w:w="1395" w:type="dxa"/>
            <w:shd w:val="clear" w:color="auto" w:fill="auto"/>
            <w:noWrap/>
            <w:vAlign w:val="center"/>
            <w:hideMark/>
          </w:tcPr>
          <w:p w14:paraId="27ECE886" w14:textId="77777777" w:rsidR="00F303E0" w:rsidRPr="00EE5714" w:rsidRDefault="00F303E0" w:rsidP="00851815">
            <w:pPr>
              <w:keepNext/>
              <w:jc w:val="center"/>
              <w:rPr>
                <w:rFonts w:ascii="Calibri" w:eastAsia="Times New Roman" w:hAnsi="Calibri" w:cs="Calibri"/>
                <w:color w:val="000000"/>
                <w:sz w:val="21"/>
                <w:szCs w:val="21"/>
              </w:rPr>
            </w:pPr>
          </w:p>
        </w:tc>
        <w:tc>
          <w:tcPr>
            <w:tcW w:w="1395" w:type="dxa"/>
            <w:shd w:val="clear" w:color="auto" w:fill="auto"/>
            <w:noWrap/>
            <w:vAlign w:val="center"/>
            <w:hideMark/>
          </w:tcPr>
          <w:p w14:paraId="46A11387" w14:textId="77777777" w:rsidR="00F303E0" w:rsidRPr="00EE5714" w:rsidRDefault="00F303E0" w:rsidP="00851815">
            <w:pPr>
              <w:keepNext/>
              <w:jc w:val="center"/>
              <w:rPr>
                <w:rFonts w:ascii="Calibri" w:eastAsia="Times New Roman" w:hAnsi="Calibri" w:cs="Calibri"/>
                <w:color w:val="000000"/>
                <w:sz w:val="21"/>
                <w:szCs w:val="21"/>
              </w:rPr>
            </w:pPr>
          </w:p>
        </w:tc>
        <w:tc>
          <w:tcPr>
            <w:tcW w:w="1395" w:type="dxa"/>
            <w:shd w:val="clear" w:color="auto" w:fill="auto"/>
            <w:noWrap/>
            <w:vAlign w:val="center"/>
            <w:hideMark/>
          </w:tcPr>
          <w:p w14:paraId="2C76FA63" w14:textId="77777777" w:rsidR="00F303E0" w:rsidRPr="00EE5714" w:rsidRDefault="00F303E0" w:rsidP="00851815">
            <w:pPr>
              <w:keepNext/>
              <w:jc w:val="center"/>
              <w:rPr>
                <w:rFonts w:ascii="Calibri" w:eastAsia="Times New Roman" w:hAnsi="Calibri" w:cs="Calibri"/>
                <w:sz w:val="21"/>
                <w:szCs w:val="21"/>
              </w:rPr>
            </w:pPr>
          </w:p>
        </w:tc>
        <w:tc>
          <w:tcPr>
            <w:tcW w:w="1395" w:type="dxa"/>
            <w:shd w:val="clear" w:color="auto" w:fill="auto"/>
            <w:noWrap/>
            <w:vAlign w:val="center"/>
            <w:hideMark/>
          </w:tcPr>
          <w:p w14:paraId="6B70615C" w14:textId="77777777" w:rsidR="00F303E0" w:rsidRPr="00EE5714" w:rsidRDefault="00F303E0" w:rsidP="00851815">
            <w:pPr>
              <w:keepNext/>
              <w:jc w:val="center"/>
              <w:rPr>
                <w:rFonts w:ascii="Calibri" w:eastAsia="Times New Roman" w:hAnsi="Calibri" w:cs="Calibri"/>
                <w:color w:val="000000"/>
                <w:sz w:val="21"/>
                <w:szCs w:val="21"/>
              </w:rPr>
            </w:pPr>
          </w:p>
        </w:tc>
        <w:tc>
          <w:tcPr>
            <w:tcW w:w="1395" w:type="dxa"/>
            <w:shd w:val="clear" w:color="auto" w:fill="auto"/>
            <w:noWrap/>
            <w:vAlign w:val="center"/>
            <w:hideMark/>
          </w:tcPr>
          <w:p w14:paraId="5153E581" w14:textId="77777777" w:rsidR="00F303E0" w:rsidRPr="00EE5714" w:rsidRDefault="00F303E0" w:rsidP="00851815">
            <w:pPr>
              <w:keepNext/>
              <w:jc w:val="center"/>
              <w:rPr>
                <w:rFonts w:ascii="Calibri" w:eastAsia="Times New Roman" w:hAnsi="Calibri" w:cs="Calibri"/>
                <w:color w:val="000000"/>
                <w:sz w:val="21"/>
                <w:szCs w:val="21"/>
              </w:rPr>
            </w:pPr>
          </w:p>
        </w:tc>
        <w:tc>
          <w:tcPr>
            <w:tcW w:w="1035" w:type="dxa"/>
            <w:shd w:val="clear" w:color="auto" w:fill="auto"/>
            <w:noWrap/>
            <w:vAlign w:val="center"/>
            <w:hideMark/>
          </w:tcPr>
          <w:p w14:paraId="1A987309"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3E980239" w14:textId="77777777" w:rsidTr="00E92A67">
        <w:trPr>
          <w:trHeight w:hRule="exact" w:val="245"/>
        </w:trPr>
        <w:tc>
          <w:tcPr>
            <w:tcW w:w="1980" w:type="dxa"/>
          </w:tcPr>
          <w:p w14:paraId="44624CFE"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 xml:space="preserve">Duquesne </w:t>
            </w:r>
          </w:p>
        </w:tc>
        <w:tc>
          <w:tcPr>
            <w:tcW w:w="1395" w:type="dxa"/>
            <w:shd w:val="clear" w:color="auto" w:fill="auto"/>
            <w:noWrap/>
            <w:vAlign w:val="center"/>
            <w:hideMark/>
          </w:tcPr>
          <w:p w14:paraId="0A308E6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14.08</w:t>
            </w:r>
          </w:p>
        </w:tc>
        <w:tc>
          <w:tcPr>
            <w:tcW w:w="1395" w:type="dxa"/>
            <w:shd w:val="clear" w:color="auto" w:fill="auto"/>
            <w:noWrap/>
            <w:vAlign w:val="center"/>
            <w:hideMark/>
          </w:tcPr>
          <w:p w14:paraId="03D4E9D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7.78</w:t>
            </w:r>
          </w:p>
        </w:tc>
        <w:tc>
          <w:tcPr>
            <w:tcW w:w="1395" w:type="dxa"/>
            <w:shd w:val="clear" w:color="auto" w:fill="auto"/>
            <w:noWrap/>
            <w:vAlign w:val="center"/>
            <w:hideMark/>
          </w:tcPr>
          <w:p w14:paraId="1A1C2C8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4.80</w:t>
            </w:r>
          </w:p>
        </w:tc>
        <w:tc>
          <w:tcPr>
            <w:tcW w:w="1395" w:type="dxa"/>
            <w:shd w:val="clear" w:color="auto" w:fill="auto"/>
            <w:noWrap/>
            <w:vAlign w:val="center"/>
            <w:hideMark/>
          </w:tcPr>
          <w:p w14:paraId="45E448A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9.92</w:t>
            </w:r>
          </w:p>
        </w:tc>
        <w:tc>
          <w:tcPr>
            <w:tcW w:w="1395" w:type="dxa"/>
            <w:shd w:val="clear" w:color="auto" w:fill="auto"/>
            <w:noWrap/>
            <w:vAlign w:val="center"/>
            <w:hideMark/>
          </w:tcPr>
          <w:p w14:paraId="61C4D95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4.89</w:t>
            </w:r>
          </w:p>
        </w:tc>
        <w:tc>
          <w:tcPr>
            <w:tcW w:w="1035" w:type="dxa"/>
            <w:shd w:val="clear" w:color="auto" w:fill="auto"/>
            <w:noWrap/>
            <w:vAlign w:val="center"/>
            <w:hideMark/>
          </w:tcPr>
          <w:p w14:paraId="57D26C7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3.18</w:t>
            </w:r>
          </w:p>
        </w:tc>
      </w:tr>
      <w:tr w:rsidR="00F303E0" w:rsidRPr="00EE5714" w14:paraId="4FF101A4" w14:textId="77777777" w:rsidTr="00E92A67">
        <w:trPr>
          <w:trHeight w:hRule="exact" w:val="245"/>
        </w:trPr>
        <w:tc>
          <w:tcPr>
            <w:tcW w:w="1980" w:type="dxa"/>
          </w:tcPr>
          <w:p w14:paraId="689A1B3F"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Met-Ed</w:t>
            </w:r>
          </w:p>
        </w:tc>
        <w:tc>
          <w:tcPr>
            <w:tcW w:w="1395" w:type="dxa"/>
            <w:shd w:val="clear" w:color="auto" w:fill="auto"/>
            <w:noWrap/>
            <w:vAlign w:val="center"/>
            <w:hideMark/>
          </w:tcPr>
          <w:p w14:paraId="7B14383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11.92</w:t>
            </w:r>
          </w:p>
        </w:tc>
        <w:tc>
          <w:tcPr>
            <w:tcW w:w="1395" w:type="dxa"/>
            <w:shd w:val="clear" w:color="auto" w:fill="auto"/>
            <w:noWrap/>
            <w:vAlign w:val="center"/>
            <w:hideMark/>
          </w:tcPr>
          <w:p w14:paraId="51BDB19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9.06</w:t>
            </w:r>
          </w:p>
        </w:tc>
        <w:tc>
          <w:tcPr>
            <w:tcW w:w="1395" w:type="dxa"/>
            <w:shd w:val="clear" w:color="auto" w:fill="auto"/>
            <w:noWrap/>
            <w:vAlign w:val="center"/>
            <w:hideMark/>
          </w:tcPr>
          <w:p w14:paraId="75536B7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7.68</w:t>
            </w:r>
          </w:p>
        </w:tc>
        <w:tc>
          <w:tcPr>
            <w:tcW w:w="1395" w:type="dxa"/>
            <w:shd w:val="clear" w:color="auto" w:fill="auto"/>
            <w:noWrap/>
            <w:vAlign w:val="center"/>
            <w:hideMark/>
          </w:tcPr>
          <w:p w14:paraId="1C4F6EA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9.34</w:t>
            </w:r>
          </w:p>
        </w:tc>
        <w:tc>
          <w:tcPr>
            <w:tcW w:w="1395" w:type="dxa"/>
            <w:shd w:val="clear" w:color="auto" w:fill="auto"/>
            <w:noWrap/>
            <w:vAlign w:val="center"/>
            <w:hideMark/>
          </w:tcPr>
          <w:p w14:paraId="2E53F69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4.75</w:t>
            </w:r>
          </w:p>
        </w:tc>
        <w:tc>
          <w:tcPr>
            <w:tcW w:w="1035" w:type="dxa"/>
            <w:shd w:val="clear" w:color="auto" w:fill="auto"/>
            <w:noWrap/>
            <w:vAlign w:val="center"/>
            <w:hideMark/>
          </w:tcPr>
          <w:p w14:paraId="66290D5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3.68</w:t>
            </w:r>
          </w:p>
        </w:tc>
      </w:tr>
      <w:tr w:rsidR="00F303E0" w:rsidRPr="00EE5714" w14:paraId="73F0E814" w14:textId="77777777" w:rsidTr="00E92A67">
        <w:trPr>
          <w:trHeight w:hRule="exact" w:val="245"/>
        </w:trPr>
        <w:tc>
          <w:tcPr>
            <w:tcW w:w="1980" w:type="dxa"/>
          </w:tcPr>
          <w:p w14:paraId="6BD8DE45" w14:textId="77777777" w:rsidR="00F303E0" w:rsidRPr="00EE5714" w:rsidRDefault="00F303E0" w:rsidP="00851815">
            <w:pPr>
              <w:keepNext/>
              <w:rPr>
                <w:rFonts w:ascii="Calibri" w:hAnsi="Calibri" w:cs="Calibri"/>
                <w:b/>
                <w:sz w:val="21"/>
                <w:szCs w:val="21"/>
              </w:rPr>
            </w:pPr>
            <w:r w:rsidRPr="00EE5714">
              <w:rPr>
                <w:rFonts w:ascii="Calibri" w:hAnsi="Calibri" w:cs="Calibri"/>
                <w:b/>
                <w:sz w:val="21"/>
                <w:szCs w:val="21"/>
              </w:rPr>
              <w:t>PECO Electric</w:t>
            </w:r>
          </w:p>
        </w:tc>
        <w:tc>
          <w:tcPr>
            <w:tcW w:w="1395" w:type="dxa"/>
            <w:shd w:val="clear" w:color="auto" w:fill="auto"/>
            <w:noWrap/>
            <w:vAlign w:val="center"/>
          </w:tcPr>
          <w:p w14:paraId="79D3FA4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24.80</w:t>
            </w:r>
          </w:p>
        </w:tc>
        <w:tc>
          <w:tcPr>
            <w:tcW w:w="1395" w:type="dxa"/>
            <w:shd w:val="clear" w:color="auto" w:fill="auto"/>
            <w:noWrap/>
            <w:vAlign w:val="center"/>
          </w:tcPr>
          <w:p w14:paraId="543516F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14.14</w:t>
            </w:r>
          </w:p>
        </w:tc>
        <w:tc>
          <w:tcPr>
            <w:tcW w:w="1395" w:type="dxa"/>
            <w:shd w:val="clear" w:color="auto" w:fill="auto"/>
            <w:noWrap/>
            <w:vAlign w:val="center"/>
          </w:tcPr>
          <w:p w14:paraId="13BFAD5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10.81</w:t>
            </w:r>
          </w:p>
        </w:tc>
        <w:tc>
          <w:tcPr>
            <w:tcW w:w="1395" w:type="dxa"/>
            <w:shd w:val="clear" w:color="auto" w:fill="auto"/>
            <w:noWrap/>
            <w:vAlign w:val="center"/>
          </w:tcPr>
          <w:p w14:paraId="3B6AD79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12.95</w:t>
            </w:r>
          </w:p>
        </w:tc>
        <w:tc>
          <w:tcPr>
            <w:tcW w:w="1395" w:type="dxa"/>
            <w:shd w:val="clear" w:color="auto" w:fill="auto"/>
            <w:noWrap/>
            <w:vAlign w:val="center"/>
          </w:tcPr>
          <w:p w14:paraId="0CDDEA5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6.94</w:t>
            </w:r>
          </w:p>
        </w:tc>
        <w:tc>
          <w:tcPr>
            <w:tcW w:w="1035" w:type="dxa"/>
            <w:shd w:val="clear" w:color="auto" w:fill="auto"/>
            <w:noWrap/>
            <w:vAlign w:val="center"/>
          </w:tcPr>
          <w:p w14:paraId="3874CD3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5.04</w:t>
            </w:r>
          </w:p>
        </w:tc>
      </w:tr>
      <w:tr w:rsidR="00F303E0" w:rsidRPr="00EE5714" w14:paraId="5F844B00" w14:textId="77777777" w:rsidTr="00E92A67">
        <w:trPr>
          <w:trHeight w:hRule="exact" w:val="245"/>
        </w:trPr>
        <w:tc>
          <w:tcPr>
            <w:tcW w:w="1980" w:type="dxa"/>
          </w:tcPr>
          <w:p w14:paraId="7C043D33" w14:textId="77777777" w:rsidR="00F303E0" w:rsidRPr="00EE5714" w:rsidRDefault="00F303E0" w:rsidP="00851815">
            <w:pPr>
              <w:keepNext/>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1395" w:type="dxa"/>
            <w:shd w:val="clear" w:color="auto" w:fill="auto"/>
            <w:noWrap/>
            <w:vAlign w:val="center"/>
            <w:hideMark/>
          </w:tcPr>
          <w:p w14:paraId="49ACCA2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17.61</w:t>
            </w:r>
          </w:p>
        </w:tc>
        <w:tc>
          <w:tcPr>
            <w:tcW w:w="1395" w:type="dxa"/>
            <w:shd w:val="clear" w:color="auto" w:fill="auto"/>
            <w:noWrap/>
            <w:vAlign w:val="center"/>
            <w:hideMark/>
          </w:tcPr>
          <w:p w14:paraId="04D356E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6.73</w:t>
            </w:r>
          </w:p>
        </w:tc>
        <w:tc>
          <w:tcPr>
            <w:tcW w:w="1395" w:type="dxa"/>
            <w:shd w:val="clear" w:color="auto" w:fill="auto"/>
            <w:noWrap/>
            <w:vAlign w:val="center"/>
            <w:hideMark/>
          </w:tcPr>
          <w:p w14:paraId="3AB928D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6.51</w:t>
            </w:r>
          </w:p>
        </w:tc>
        <w:tc>
          <w:tcPr>
            <w:tcW w:w="1395" w:type="dxa"/>
            <w:shd w:val="clear" w:color="auto" w:fill="auto"/>
            <w:noWrap/>
            <w:vAlign w:val="center"/>
            <w:hideMark/>
          </w:tcPr>
          <w:p w14:paraId="6C5FB86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10.04</w:t>
            </w:r>
          </w:p>
        </w:tc>
        <w:tc>
          <w:tcPr>
            <w:tcW w:w="1395" w:type="dxa"/>
            <w:shd w:val="clear" w:color="auto" w:fill="auto"/>
            <w:noWrap/>
            <w:vAlign w:val="center"/>
            <w:hideMark/>
          </w:tcPr>
          <w:p w14:paraId="2F326FD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3.48</w:t>
            </w:r>
          </w:p>
        </w:tc>
        <w:tc>
          <w:tcPr>
            <w:tcW w:w="1035" w:type="dxa"/>
            <w:shd w:val="clear" w:color="auto" w:fill="auto"/>
            <w:noWrap/>
            <w:vAlign w:val="center"/>
            <w:hideMark/>
          </w:tcPr>
          <w:p w14:paraId="3CFA0AF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2.89</w:t>
            </w:r>
          </w:p>
        </w:tc>
      </w:tr>
      <w:tr w:rsidR="00F303E0" w:rsidRPr="00EE5714" w14:paraId="63000396" w14:textId="77777777" w:rsidTr="00E92A67">
        <w:trPr>
          <w:trHeight w:hRule="exact" w:val="245"/>
        </w:trPr>
        <w:tc>
          <w:tcPr>
            <w:tcW w:w="1980" w:type="dxa"/>
          </w:tcPr>
          <w:p w14:paraId="713E1697"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Penn Power</w:t>
            </w:r>
          </w:p>
        </w:tc>
        <w:tc>
          <w:tcPr>
            <w:tcW w:w="1395" w:type="dxa"/>
            <w:shd w:val="clear" w:color="auto" w:fill="auto"/>
            <w:noWrap/>
            <w:vAlign w:val="center"/>
            <w:hideMark/>
          </w:tcPr>
          <w:p w14:paraId="75F585A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23.15</w:t>
            </w:r>
          </w:p>
        </w:tc>
        <w:tc>
          <w:tcPr>
            <w:tcW w:w="1395" w:type="dxa"/>
            <w:shd w:val="clear" w:color="auto" w:fill="auto"/>
            <w:noWrap/>
            <w:vAlign w:val="center"/>
            <w:hideMark/>
          </w:tcPr>
          <w:p w14:paraId="67155FF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7.58</w:t>
            </w:r>
          </w:p>
        </w:tc>
        <w:tc>
          <w:tcPr>
            <w:tcW w:w="1395" w:type="dxa"/>
            <w:shd w:val="clear" w:color="auto" w:fill="auto"/>
            <w:noWrap/>
            <w:vAlign w:val="center"/>
            <w:hideMark/>
          </w:tcPr>
          <w:p w14:paraId="3A0F49C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7.22</w:t>
            </w:r>
          </w:p>
        </w:tc>
        <w:tc>
          <w:tcPr>
            <w:tcW w:w="1395" w:type="dxa"/>
            <w:shd w:val="clear" w:color="auto" w:fill="auto"/>
            <w:noWrap/>
            <w:vAlign w:val="center"/>
            <w:hideMark/>
          </w:tcPr>
          <w:p w14:paraId="778EBA0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9.95</w:t>
            </w:r>
          </w:p>
        </w:tc>
        <w:tc>
          <w:tcPr>
            <w:tcW w:w="1395" w:type="dxa"/>
            <w:shd w:val="clear" w:color="auto" w:fill="auto"/>
            <w:noWrap/>
            <w:vAlign w:val="center"/>
            <w:hideMark/>
          </w:tcPr>
          <w:p w14:paraId="39836AB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3.37</w:t>
            </w:r>
          </w:p>
        </w:tc>
        <w:tc>
          <w:tcPr>
            <w:tcW w:w="1035" w:type="dxa"/>
            <w:shd w:val="clear" w:color="auto" w:fill="auto"/>
            <w:noWrap/>
            <w:vAlign w:val="center"/>
            <w:hideMark/>
          </w:tcPr>
          <w:p w14:paraId="01A2F0E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2.84</w:t>
            </w:r>
          </w:p>
        </w:tc>
      </w:tr>
      <w:tr w:rsidR="00F303E0" w:rsidRPr="00EE5714" w14:paraId="0D58C81E" w14:textId="77777777" w:rsidTr="00E92A67">
        <w:trPr>
          <w:trHeight w:hRule="exact" w:val="245"/>
        </w:trPr>
        <w:tc>
          <w:tcPr>
            <w:tcW w:w="1980" w:type="dxa"/>
          </w:tcPr>
          <w:p w14:paraId="12968A81"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PPL</w:t>
            </w:r>
          </w:p>
        </w:tc>
        <w:tc>
          <w:tcPr>
            <w:tcW w:w="1395" w:type="dxa"/>
            <w:shd w:val="clear" w:color="auto" w:fill="auto"/>
            <w:noWrap/>
            <w:vAlign w:val="center"/>
            <w:hideMark/>
          </w:tcPr>
          <w:p w14:paraId="344C433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14.06</w:t>
            </w:r>
          </w:p>
        </w:tc>
        <w:tc>
          <w:tcPr>
            <w:tcW w:w="1395" w:type="dxa"/>
            <w:shd w:val="clear" w:color="auto" w:fill="auto"/>
            <w:noWrap/>
            <w:vAlign w:val="center"/>
            <w:hideMark/>
          </w:tcPr>
          <w:p w14:paraId="6CBB725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7.11</w:t>
            </w:r>
          </w:p>
        </w:tc>
        <w:tc>
          <w:tcPr>
            <w:tcW w:w="1395" w:type="dxa"/>
            <w:shd w:val="clear" w:color="auto" w:fill="auto"/>
            <w:noWrap/>
            <w:vAlign w:val="center"/>
            <w:hideMark/>
          </w:tcPr>
          <w:p w14:paraId="6E1E59E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4.29</w:t>
            </w:r>
          </w:p>
        </w:tc>
        <w:tc>
          <w:tcPr>
            <w:tcW w:w="1395" w:type="dxa"/>
            <w:shd w:val="clear" w:color="auto" w:fill="auto"/>
            <w:noWrap/>
            <w:vAlign w:val="center"/>
            <w:hideMark/>
          </w:tcPr>
          <w:p w14:paraId="1D6B0AB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13.18</w:t>
            </w:r>
          </w:p>
        </w:tc>
        <w:tc>
          <w:tcPr>
            <w:tcW w:w="1395" w:type="dxa"/>
            <w:shd w:val="clear" w:color="auto" w:fill="auto"/>
            <w:noWrap/>
            <w:vAlign w:val="center"/>
            <w:hideMark/>
          </w:tcPr>
          <w:p w14:paraId="2E860F2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6.75</w:t>
            </w:r>
          </w:p>
        </w:tc>
        <w:tc>
          <w:tcPr>
            <w:tcW w:w="1035" w:type="dxa"/>
            <w:shd w:val="clear" w:color="auto" w:fill="auto"/>
            <w:noWrap/>
            <w:vAlign w:val="center"/>
            <w:hideMark/>
          </w:tcPr>
          <w:p w14:paraId="68011A3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4.16</w:t>
            </w:r>
          </w:p>
        </w:tc>
      </w:tr>
      <w:tr w:rsidR="00F303E0" w:rsidRPr="00EE5714" w14:paraId="4BE8D6AC" w14:textId="77777777" w:rsidTr="00E92A67">
        <w:trPr>
          <w:trHeight w:hRule="exact" w:val="245"/>
        </w:trPr>
        <w:tc>
          <w:tcPr>
            <w:tcW w:w="1980" w:type="dxa"/>
          </w:tcPr>
          <w:p w14:paraId="2201E996" w14:textId="77777777" w:rsidR="00F303E0" w:rsidRPr="00EE5714" w:rsidRDefault="00F303E0" w:rsidP="00851815">
            <w:pPr>
              <w:rPr>
                <w:rFonts w:ascii="Calibri" w:eastAsia="Times New Roman" w:hAnsi="Calibri" w:cs="Calibri"/>
                <w:b/>
                <w:color w:val="000000"/>
                <w:sz w:val="21"/>
                <w:szCs w:val="21"/>
              </w:rPr>
            </w:pPr>
            <w:r w:rsidRPr="00EE5714">
              <w:rPr>
                <w:rFonts w:ascii="Calibri" w:hAnsi="Calibri" w:cs="Calibri"/>
                <w:b/>
                <w:sz w:val="21"/>
                <w:szCs w:val="21"/>
              </w:rPr>
              <w:t xml:space="preserve">West Penn </w:t>
            </w:r>
          </w:p>
        </w:tc>
        <w:tc>
          <w:tcPr>
            <w:tcW w:w="1395" w:type="dxa"/>
            <w:shd w:val="clear" w:color="auto" w:fill="auto"/>
            <w:noWrap/>
            <w:vAlign w:val="center"/>
            <w:hideMark/>
          </w:tcPr>
          <w:p w14:paraId="3E6AEC4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24.28</w:t>
            </w:r>
          </w:p>
        </w:tc>
        <w:tc>
          <w:tcPr>
            <w:tcW w:w="1395" w:type="dxa"/>
            <w:shd w:val="clear" w:color="auto" w:fill="auto"/>
            <w:noWrap/>
            <w:vAlign w:val="center"/>
            <w:hideMark/>
          </w:tcPr>
          <w:p w14:paraId="26F7DA0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10.45</w:t>
            </w:r>
          </w:p>
        </w:tc>
        <w:tc>
          <w:tcPr>
            <w:tcW w:w="1395" w:type="dxa"/>
            <w:shd w:val="clear" w:color="auto" w:fill="auto"/>
            <w:noWrap/>
            <w:vAlign w:val="center"/>
            <w:hideMark/>
          </w:tcPr>
          <w:p w14:paraId="0D7518A4"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8.03</w:t>
            </w:r>
          </w:p>
        </w:tc>
        <w:tc>
          <w:tcPr>
            <w:tcW w:w="1395" w:type="dxa"/>
            <w:shd w:val="clear" w:color="auto" w:fill="auto"/>
            <w:noWrap/>
            <w:vAlign w:val="center"/>
            <w:hideMark/>
          </w:tcPr>
          <w:p w14:paraId="603EFEF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13.15</w:t>
            </w:r>
          </w:p>
        </w:tc>
        <w:tc>
          <w:tcPr>
            <w:tcW w:w="1395" w:type="dxa"/>
            <w:shd w:val="clear" w:color="auto" w:fill="auto"/>
            <w:noWrap/>
            <w:vAlign w:val="center"/>
            <w:hideMark/>
          </w:tcPr>
          <w:p w14:paraId="6BC8ADE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6.72</w:t>
            </w:r>
          </w:p>
        </w:tc>
        <w:tc>
          <w:tcPr>
            <w:tcW w:w="1035" w:type="dxa"/>
            <w:shd w:val="clear" w:color="auto" w:fill="auto"/>
            <w:noWrap/>
            <w:vAlign w:val="center"/>
            <w:hideMark/>
          </w:tcPr>
          <w:p w14:paraId="0CC3BAF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5.33</w:t>
            </w:r>
          </w:p>
        </w:tc>
      </w:tr>
    </w:tbl>
    <w:p w14:paraId="3E8053C2" w14:textId="77777777" w:rsidR="00F303E0" w:rsidRPr="00EE5714" w:rsidRDefault="00F303E0" w:rsidP="00E92A67">
      <w:pPr>
        <w:spacing w:after="0" w:line="240" w:lineRule="auto"/>
        <w:rPr>
          <w:rFonts w:ascii="Times New Roman" w:hAnsi="Times New Roman" w:cs="Times New Roman"/>
          <w:sz w:val="26"/>
          <w:szCs w:val="26"/>
        </w:rPr>
      </w:pPr>
    </w:p>
    <w:p w14:paraId="5C1A1A0F" w14:textId="77777777" w:rsidR="0076704A" w:rsidRPr="00EE5714" w:rsidRDefault="0076704A" w:rsidP="00E92A67">
      <w:pPr>
        <w:spacing w:after="0" w:line="240" w:lineRule="auto"/>
        <w:rPr>
          <w:rFonts w:ascii="Times New Roman" w:hAnsi="Times New Roman" w:cs="Times New Roman"/>
          <w:sz w:val="26"/>
          <w:szCs w:val="26"/>
        </w:rPr>
      </w:pPr>
    </w:p>
    <w:p w14:paraId="70669075" w14:textId="77777777" w:rsidR="00F303E0" w:rsidRPr="00EE5714" w:rsidRDefault="00155347" w:rsidP="00F303E0">
      <w:pPr>
        <w:keepNext/>
        <w:keepLines/>
        <w:rPr>
          <w:rFonts w:ascii="Times New Roman" w:hAnsi="Times New Roman" w:cs="Times New Roman"/>
          <w:sz w:val="26"/>
          <w:szCs w:val="26"/>
        </w:rPr>
      </w:pPr>
      <w:r w:rsidRPr="00EE5714">
        <w:rPr>
          <w:rFonts w:ascii="Times New Roman" w:hAnsi="Times New Roman" w:cs="Times New Roman"/>
          <w:sz w:val="26"/>
          <w:szCs w:val="26"/>
        </w:rPr>
        <w:lastRenderedPageBreak/>
        <w:t>Appendix 2</w:t>
      </w:r>
      <w:r w:rsidR="00F303E0" w:rsidRPr="00EE5714">
        <w:rPr>
          <w:rFonts w:ascii="Times New Roman" w:hAnsi="Times New Roman" w:cs="Times New Roman"/>
          <w:sz w:val="26"/>
          <w:szCs w:val="26"/>
        </w:rPr>
        <w:t xml:space="preserve">.D.4: </w:t>
      </w:r>
      <w:r w:rsidR="00F303E0" w:rsidRPr="00EE5714">
        <w:rPr>
          <w:rFonts w:ascii="Times New Roman" w:eastAsia="Times New Roman" w:hAnsi="Times New Roman" w:cs="Times New Roman"/>
          <w:b/>
          <w:color w:val="000000"/>
          <w:sz w:val="26"/>
          <w:szCs w:val="26"/>
        </w:rPr>
        <w:t>EDC CAP Energy Burdens by FPIG Level</w:t>
      </w:r>
    </w:p>
    <w:tbl>
      <w:tblPr>
        <w:tblW w:w="999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980"/>
        <w:gridCol w:w="1395"/>
        <w:gridCol w:w="1395"/>
        <w:gridCol w:w="1395"/>
        <w:gridCol w:w="1395"/>
        <w:gridCol w:w="1395"/>
        <w:gridCol w:w="1035"/>
      </w:tblGrid>
      <w:tr w:rsidR="00F303E0" w:rsidRPr="00EE5714" w14:paraId="625E1681" w14:textId="77777777" w:rsidTr="00E92A67">
        <w:trPr>
          <w:trHeight w:val="421"/>
        </w:trPr>
        <w:tc>
          <w:tcPr>
            <w:tcW w:w="9990" w:type="dxa"/>
            <w:gridSpan w:val="7"/>
            <w:shd w:val="clear" w:color="auto" w:fill="D9D9D9" w:themeFill="background1" w:themeFillShade="D9"/>
            <w:vAlign w:val="center"/>
          </w:tcPr>
          <w:p w14:paraId="29C0BEA2" w14:textId="30E40A3C" w:rsidR="00F303E0" w:rsidRPr="00EE5714" w:rsidRDefault="00F303E0" w:rsidP="00851815">
            <w:pPr>
              <w:keepNext/>
              <w:keepLines/>
              <w:jc w:val="center"/>
              <w:rPr>
                <w:rFonts w:ascii="Calibri" w:eastAsia="Times New Roman" w:hAnsi="Calibri" w:cs="Calibri"/>
                <w:b/>
                <w:color w:val="000000"/>
              </w:rPr>
            </w:pPr>
            <w:r w:rsidRPr="00EE5714">
              <w:rPr>
                <w:rFonts w:ascii="Calibri" w:eastAsia="Times New Roman" w:hAnsi="Calibri" w:cs="Calibri"/>
                <w:b/>
                <w:color w:val="000000"/>
              </w:rPr>
              <w:t>2015 EDC CAP Energy Burdens by FPIG Level</w:t>
            </w:r>
            <w:r w:rsidR="00496CAD" w:rsidRPr="00EE5714">
              <w:rPr>
                <w:rFonts w:ascii="Calibri" w:eastAsia="Times New Roman" w:hAnsi="Calibri" w:cs="Calibri"/>
                <w:b/>
                <w:color w:val="000000"/>
              </w:rPr>
              <w:t xml:space="preserve"> (%)</w:t>
            </w:r>
          </w:p>
        </w:tc>
      </w:tr>
      <w:tr w:rsidR="00F303E0" w:rsidRPr="00EE5714" w14:paraId="7FAD647F" w14:textId="77777777" w:rsidTr="00E92A67">
        <w:trPr>
          <w:trHeight w:hRule="exact" w:val="245"/>
        </w:trPr>
        <w:tc>
          <w:tcPr>
            <w:tcW w:w="1980" w:type="dxa"/>
          </w:tcPr>
          <w:p w14:paraId="4E9241E8" w14:textId="77777777" w:rsidR="00F303E0" w:rsidRPr="00EE5714" w:rsidRDefault="00F303E0" w:rsidP="00851815">
            <w:pPr>
              <w:keepNext/>
              <w:keepLines/>
              <w:rPr>
                <w:rFonts w:ascii="Calibri" w:eastAsia="Times New Roman" w:hAnsi="Calibri" w:cs="Calibri"/>
                <w:b/>
                <w:color w:val="000000"/>
                <w:sz w:val="21"/>
                <w:szCs w:val="21"/>
              </w:rPr>
            </w:pPr>
          </w:p>
        </w:tc>
        <w:tc>
          <w:tcPr>
            <w:tcW w:w="4185" w:type="dxa"/>
            <w:gridSpan w:val="3"/>
            <w:shd w:val="clear" w:color="auto" w:fill="auto"/>
            <w:vAlign w:val="bottom"/>
            <w:hideMark/>
          </w:tcPr>
          <w:p w14:paraId="5BF74276"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3825" w:type="dxa"/>
            <w:gridSpan w:val="3"/>
            <w:shd w:val="clear" w:color="auto" w:fill="auto"/>
            <w:vAlign w:val="bottom"/>
            <w:hideMark/>
          </w:tcPr>
          <w:p w14:paraId="37BD9943"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r>
      <w:tr w:rsidR="00F303E0" w:rsidRPr="00EE5714" w14:paraId="7D656A54" w14:textId="77777777" w:rsidTr="00E92A67">
        <w:trPr>
          <w:trHeight w:hRule="exact" w:val="245"/>
        </w:trPr>
        <w:tc>
          <w:tcPr>
            <w:tcW w:w="1980" w:type="dxa"/>
          </w:tcPr>
          <w:p w14:paraId="39F54F14" w14:textId="77777777" w:rsidR="00F303E0" w:rsidRPr="00EE5714" w:rsidRDefault="00F303E0" w:rsidP="00851815">
            <w:pPr>
              <w:keepNext/>
              <w:keepLines/>
              <w:rPr>
                <w:rFonts w:ascii="Calibri" w:eastAsia="Times New Roman" w:hAnsi="Calibri" w:cs="Calibri"/>
                <w:b/>
                <w:color w:val="000000"/>
                <w:sz w:val="21"/>
                <w:szCs w:val="21"/>
              </w:rPr>
            </w:pPr>
            <w:r w:rsidRPr="00EE5714">
              <w:rPr>
                <w:rFonts w:ascii="Calibri" w:eastAsia="Times New Roman" w:hAnsi="Calibri" w:cs="Calibri"/>
                <w:b/>
                <w:i/>
                <w:color w:val="000000"/>
                <w:sz w:val="21"/>
                <w:szCs w:val="21"/>
              </w:rPr>
              <w:t>FPIG Level</w:t>
            </w:r>
          </w:p>
        </w:tc>
        <w:tc>
          <w:tcPr>
            <w:tcW w:w="1395" w:type="dxa"/>
            <w:shd w:val="clear" w:color="auto" w:fill="D9D9D9" w:themeFill="background1" w:themeFillShade="D9"/>
            <w:noWrap/>
            <w:vAlign w:val="bottom"/>
            <w:hideMark/>
          </w:tcPr>
          <w:p w14:paraId="12E77E52"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1395" w:type="dxa"/>
            <w:shd w:val="clear" w:color="auto" w:fill="D9D9D9" w:themeFill="background1" w:themeFillShade="D9"/>
            <w:noWrap/>
            <w:vAlign w:val="bottom"/>
            <w:hideMark/>
          </w:tcPr>
          <w:p w14:paraId="55E5D146"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1395" w:type="dxa"/>
            <w:shd w:val="clear" w:color="auto" w:fill="D9D9D9" w:themeFill="background1" w:themeFillShade="D9"/>
            <w:noWrap/>
            <w:vAlign w:val="bottom"/>
            <w:hideMark/>
          </w:tcPr>
          <w:p w14:paraId="6C9A6130"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c>
          <w:tcPr>
            <w:tcW w:w="1395" w:type="dxa"/>
            <w:shd w:val="clear" w:color="auto" w:fill="D9D9D9" w:themeFill="background1" w:themeFillShade="D9"/>
            <w:noWrap/>
            <w:vAlign w:val="bottom"/>
            <w:hideMark/>
          </w:tcPr>
          <w:p w14:paraId="798F6AD1"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1395" w:type="dxa"/>
            <w:shd w:val="clear" w:color="auto" w:fill="D9D9D9" w:themeFill="background1" w:themeFillShade="D9"/>
            <w:noWrap/>
            <w:vAlign w:val="bottom"/>
            <w:hideMark/>
          </w:tcPr>
          <w:p w14:paraId="0E01C1D9"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1035" w:type="dxa"/>
            <w:shd w:val="clear" w:color="auto" w:fill="D9D9D9" w:themeFill="background1" w:themeFillShade="D9"/>
            <w:noWrap/>
            <w:vAlign w:val="bottom"/>
            <w:hideMark/>
          </w:tcPr>
          <w:p w14:paraId="7476674A" w14:textId="77777777" w:rsidR="00F303E0" w:rsidRPr="00EE5714" w:rsidRDefault="00F303E0" w:rsidP="00851815">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r>
      <w:tr w:rsidR="00F303E0" w:rsidRPr="00EE5714" w14:paraId="3A75B05A" w14:textId="77777777" w:rsidTr="00E92A67">
        <w:trPr>
          <w:trHeight w:hRule="exact" w:val="245"/>
        </w:trPr>
        <w:tc>
          <w:tcPr>
            <w:tcW w:w="1980" w:type="dxa"/>
          </w:tcPr>
          <w:p w14:paraId="36AD20D0" w14:textId="77777777" w:rsidR="00F303E0" w:rsidRPr="00EE5714" w:rsidRDefault="00F303E0" w:rsidP="00851815">
            <w:pPr>
              <w:keepNext/>
              <w:keepLines/>
              <w:rPr>
                <w:rFonts w:ascii="Calibri" w:eastAsia="Times New Roman" w:hAnsi="Calibri" w:cs="Calibri"/>
                <w:color w:val="000000"/>
                <w:sz w:val="21"/>
                <w:szCs w:val="21"/>
              </w:rPr>
            </w:pPr>
          </w:p>
        </w:tc>
        <w:tc>
          <w:tcPr>
            <w:tcW w:w="1395" w:type="dxa"/>
            <w:shd w:val="clear" w:color="auto" w:fill="auto"/>
            <w:noWrap/>
            <w:vAlign w:val="bottom"/>
          </w:tcPr>
          <w:p w14:paraId="2AD08EA0"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1395" w:type="dxa"/>
            <w:shd w:val="clear" w:color="auto" w:fill="auto"/>
            <w:noWrap/>
            <w:vAlign w:val="bottom"/>
          </w:tcPr>
          <w:p w14:paraId="1DFC5968"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1395" w:type="dxa"/>
            <w:shd w:val="clear" w:color="auto" w:fill="auto"/>
            <w:noWrap/>
            <w:vAlign w:val="bottom"/>
          </w:tcPr>
          <w:p w14:paraId="74FEB6FB"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1395" w:type="dxa"/>
            <w:shd w:val="clear" w:color="auto" w:fill="auto"/>
            <w:noWrap/>
            <w:vAlign w:val="bottom"/>
          </w:tcPr>
          <w:p w14:paraId="6ABEB0F8"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1395" w:type="dxa"/>
            <w:shd w:val="clear" w:color="auto" w:fill="auto"/>
            <w:noWrap/>
            <w:vAlign w:val="bottom"/>
          </w:tcPr>
          <w:p w14:paraId="3098089D"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1035" w:type="dxa"/>
            <w:shd w:val="clear" w:color="auto" w:fill="auto"/>
            <w:noWrap/>
            <w:vAlign w:val="bottom"/>
          </w:tcPr>
          <w:p w14:paraId="538F45CD" w14:textId="77777777" w:rsidR="00F303E0" w:rsidRPr="00EE5714" w:rsidRDefault="00F303E0" w:rsidP="00851815">
            <w:pPr>
              <w:keepNext/>
              <w:keepLines/>
              <w:jc w:val="center"/>
              <w:rPr>
                <w:rFonts w:ascii="Calibri" w:eastAsia="Times New Roman" w:hAnsi="Calibri" w:cs="Calibri"/>
                <w:color w:val="000000"/>
                <w:sz w:val="21"/>
                <w:szCs w:val="21"/>
              </w:rPr>
            </w:pPr>
          </w:p>
        </w:tc>
      </w:tr>
      <w:tr w:rsidR="00F303E0" w:rsidRPr="00EE5714" w14:paraId="0A542981" w14:textId="77777777" w:rsidTr="00E92A67">
        <w:trPr>
          <w:trHeight w:hRule="exact" w:val="587"/>
        </w:trPr>
        <w:tc>
          <w:tcPr>
            <w:tcW w:w="1980" w:type="dxa"/>
            <w:shd w:val="clear" w:color="auto" w:fill="F2F2F2" w:themeFill="background1" w:themeFillShade="F2"/>
            <w:vAlign w:val="center"/>
          </w:tcPr>
          <w:p w14:paraId="4FFB2F3B"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b/>
                <w:i/>
                <w:color w:val="000000"/>
                <w:sz w:val="21"/>
                <w:szCs w:val="21"/>
              </w:rPr>
              <w:t>Electric Industry Average</w:t>
            </w:r>
          </w:p>
        </w:tc>
        <w:tc>
          <w:tcPr>
            <w:tcW w:w="1395" w:type="dxa"/>
            <w:shd w:val="clear" w:color="auto" w:fill="F2F2F2" w:themeFill="background1" w:themeFillShade="F2"/>
            <w:noWrap/>
            <w:vAlign w:val="center"/>
            <w:hideMark/>
          </w:tcPr>
          <w:p w14:paraId="724FCFA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21.61</w:t>
            </w:r>
          </w:p>
        </w:tc>
        <w:tc>
          <w:tcPr>
            <w:tcW w:w="1395" w:type="dxa"/>
            <w:shd w:val="clear" w:color="auto" w:fill="F2F2F2" w:themeFill="background1" w:themeFillShade="F2"/>
            <w:noWrap/>
            <w:vAlign w:val="center"/>
            <w:hideMark/>
          </w:tcPr>
          <w:p w14:paraId="7ADE6F71"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9.38</w:t>
            </w:r>
          </w:p>
        </w:tc>
        <w:tc>
          <w:tcPr>
            <w:tcW w:w="1395" w:type="dxa"/>
            <w:shd w:val="clear" w:color="auto" w:fill="F2F2F2" w:themeFill="background1" w:themeFillShade="F2"/>
            <w:noWrap/>
            <w:vAlign w:val="center"/>
            <w:hideMark/>
          </w:tcPr>
          <w:p w14:paraId="4266355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6.98</w:t>
            </w:r>
          </w:p>
        </w:tc>
        <w:tc>
          <w:tcPr>
            <w:tcW w:w="1395" w:type="dxa"/>
            <w:shd w:val="clear" w:color="auto" w:fill="F2F2F2" w:themeFill="background1" w:themeFillShade="F2"/>
            <w:noWrap/>
            <w:vAlign w:val="center"/>
            <w:hideMark/>
          </w:tcPr>
          <w:p w14:paraId="661A1F9A"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13.05</w:t>
            </w:r>
          </w:p>
        </w:tc>
        <w:tc>
          <w:tcPr>
            <w:tcW w:w="1395" w:type="dxa"/>
            <w:shd w:val="clear" w:color="auto" w:fill="F2F2F2" w:themeFill="background1" w:themeFillShade="F2"/>
            <w:noWrap/>
            <w:vAlign w:val="center"/>
            <w:hideMark/>
          </w:tcPr>
          <w:p w14:paraId="133B4997"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w:t>
            </w:r>
          </w:p>
        </w:tc>
        <w:tc>
          <w:tcPr>
            <w:tcW w:w="1035" w:type="dxa"/>
            <w:shd w:val="clear" w:color="auto" w:fill="F2F2F2" w:themeFill="background1" w:themeFillShade="F2"/>
            <w:noWrap/>
            <w:vAlign w:val="center"/>
            <w:hideMark/>
          </w:tcPr>
          <w:p w14:paraId="6482D5E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4.41</w:t>
            </w:r>
          </w:p>
        </w:tc>
      </w:tr>
      <w:tr w:rsidR="00F303E0" w:rsidRPr="00EE5714" w14:paraId="44F52D50" w14:textId="77777777" w:rsidTr="00E92A67">
        <w:trPr>
          <w:trHeight w:hRule="exact" w:val="245"/>
        </w:trPr>
        <w:tc>
          <w:tcPr>
            <w:tcW w:w="1980" w:type="dxa"/>
          </w:tcPr>
          <w:p w14:paraId="59C8EAA4"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1395" w:type="dxa"/>
            <w:shd w:val="clear" w:color="auto" w:fill="auto"/>
            <w:noWrap/>
            <w:vAlign w:val="center"/>
            <w:hideMark/>
          </w:tcPr>
          <w:p w14:paraId="0BDE78F0"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1395" w:type="dxa"/>
            <w:shd w:val="clear" w:color="auto" w:fill="auto"/>
            <w:noWrap/>
            <w:vAlign w:val="center"/>
            <w:hideMark/>
          </w:tcPr>
          <w:p w14:paraId="70D23D1E"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1395" w:type="dxa"/>
            <w:shd w:val="clear" w:color="auto" w:fill="auto"/>
            <w:noWrap/>
            <w:vAlign w:val="center"/>
            <w:hideMark/>
          </w:tcPr>
          <w:p w14:paraId="4C7F8F00" w14:textId="77777777" w:rsidR="00F303E0" w:rsidRPr="00EE5714" w:rsidRDefault="00F303E0" w:rsidP="00851815">
            <w:pPr>
              <w:keepNext/>
              <w:keepLines/>
              <w:jc w:val="center"/>
              <w:rPr>
                <w:rFonts w:ascii="Calibri" w:eastAsia="Times New Roman" w:hAnsi="Calibri" w:cs="Calibri"/>
                <w:sz w:val="21"/>
                <w:szCs w:val="21"/>
              </w:rPr>
            </w:pPr>
          </w:p>
        </w:tc>
        <w:tc>
          <w:tcPr>
            <w:tcW w:w="1395" w:type="dxa"/>
            <w:shd w:val="clear" w:color="auto" w:fill="auto"/>
            <w:noWrap/>
            <w:vAlign w:val="center"/>
            <w:hideMark/>
          </w:tcPr>
          <w:p w14:paraId="549DCA71"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1395" w:type="dxa"/>
            <w:shd w:val="clear" w:color="auto" w:fill="auto"/>
            <w:noWrap/>
            <w:vAlign w:val="center"/>
            <w:hideMark/>
          </w:tcPr>
          <w:p w14:paraId="446C29EA" w14:textId="77777777" w:rsidR="00F303E0" w:rsidRPr="00EE5714" w:rsidRDefault="00F303E0" w:rsidP="00851815">
            <w:pPr>
              <w:keepNext/>
              <w:keepLines/>
              <w:jc w:val="center"/>
              <w:rPr>
                <w:rFonts w:ascii="Calibri" w:eastAsia="Times New Roman" w:hAnsi="Calibri" w:cs="Calibri"/>
                <w:color w:val="000000"/>
                <w:sz w:val="21"/>
                <w:szCs w:val="21"/>
              </w:rPr>
            </w:pPr>
          </w:p>
        </w:tc>
        <w:tc>
          <w:tcPr>
            <w:tcW w:w="1035" w:type="dxa"/>
            <w:shd w:val="clear" w:color="auto" w:fill="auto"/>
            <w:noWrap/>
            <w:vAlign w:val="center"/>
            <w:hideMark/>
          </w:tcPr>
          <w:p w14:paraId="0490E02F" w14:textId="77777777" w:rsidR="00F303E0" w:rsidRPr="00EE5714" w:rsidRDefault="00F303E0" w:rsidP="00851815">
            <w:pPr>
              <w:keepNext/>
              <w:keepLines/>
              <w:jc w:val="center"/>
              <w:rPr>
                <w:rFonts w:ascii="Calibri" w:eastAsia="Times New Roman" w:hAnsi="Calibri" w:cs="Calibri"/>
                <w:sz w:val="21"/>
                <w:szCs w:val="21"/>
              </w:rPr>
            </w:pPr>
          </w:p>
        </w:tc>
      </w:tr>
      <w:tr w:rsidR="00F303E0" w:rsidRPr="00EE5714" w14:paraId="4DEFA594" w14:textId="77777777" w:rsidTr="00E92A67">
        <w:trPr>
          <w:trHeight w:hRule="exact" w:val="245"/>
        </w:trPr>
        <w:tc>
          <w:tcPr>
            <w:tcW w:w="1980" w:type="dxa"/>
          </w:tcPr>
          <w:p w14:paraId="0CD81F6C"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hAnsi="Calibri" w:cs="Calibri"/>
                <w:b/>
                <w:sz w:val="21"/>
                <w:szCs w:val="21"/>
              </w:rPr>
              <w:t xml:space="preserve">Duquesne </w:t>
            </w:r>
          </w:p>
        </w:tc>
        <w:tc>
          <w:tcPr>
            <w:tcW w:w="1395" w:type="dxa"/>
            <w:shd w:val="clear" w:color="auto" w:fill="auto"/>
            <w:noWrap/>
            <w:vAlign w:val="center"/>
            <w:hideMark/>
          </w:tcPr>
          <w:p w14:paraId="5A3A1F0A"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40.36</w:t>
            </w:r>
          </w:p>
        </w:tc>
        <w:tc>
          <w:tcPr>
            <w:tcW w:w="1395" w:type="dxa"/>
            <w:shd w:val="clear" w:color="auto" w:fill="auto"/>
            <w:noWrap/>
            <w:vAlign w:val="center"/>
            <w:hideMark/>
          </w:tcPr>
          <w:p w14:paraId="02C5B44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13.41</w:t>
            </w:r>
          </w:p>
        </w:tc>
        <w:tc>
          <w:tcPr>
            <w:tcW w:w="1395" w:type="dxa"/>
            <w:shd w:val="clear" w:color="auto" w:fill="auto"/>
            <w:noWrap/>
            <w:vAlign w:val="center"/>
            <w:hideMark/>
          </w:tcPr>
          <w:p w14:paraId="75A2B680"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9.99</w:t>
            </w:r>
          </w:p>
        </w:tc>
        <w:tc>
          <w:tcPr>
            <w:tcW w:w="1395" w:type="dxa"/>
            <w:shd w:val="clear" w:color="auto" w:fill="auto"/>
            <w:noWrap/>
            <w:vAlign w:val="center"/>
            <w:hideMark/>
          </w:tcPr>
          <w:p w14:paraId="7E40461C"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16.52</w:t>
            </w:r>
          </w:p>
        </w:tc>
        <w:tc>
          <w:tcPr>
            <w:tcW w:w="1395" w:type="dxa"/>
            <w:shd w:val="clear" w:color="auto" w:fill="auto"/>
            <w:noWrap/>
            <w:vAlign w:val="center"/>
            <w:hideMark/>
          </w:tcPr>
          <w:p w14:paraId="02CE8973"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6.88</w:t>
            </w:r>
          </w:p>
        </w:tc>
        <w:tc>
          <w:tcPr>
            <w:tcW w:w="1035" w:type="dxa"/>
            <w:shd w:val="clear" w:color="auto" w:fill="auto"/>
            <w:noWrap/>
            <w:vAlign w:val="center"/>
            <w:hideMark/>
          </w:tcPr>
          <w:p w14:paraId="487BBC3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5.68</w:t>
            </w:r>
          </w:p>
        </w:tc>
      </w:tr>
      <w:tr w:rsidR="00F303E0" w:rsidRPr="00EE5714" w14:paraId="134C3D2F" w14:textId="77777777" w:rsidTr="00E92A67">
        <w:trPr>
          <w:trHeight w:hRule="exact" w:val="245"/>
        </w:trPr>
        <w:tc>
          <w:tcPr>
            <w:tcW w:w="1980" w:type="dxa"/>
          </w:tcPr>
          <w:p w14:paraId="7DB00052"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hAnsi="Calibri" w:cs="Calibri"/>
                <w:b/>
                <w:sz w:val="21"/>
                <w:szCs w:val="21"/>
              </w:rPr>
              <w:t>Met-Ed</w:t>
            </w:r>
          </w:p>
        </w:tc>
        <w:tc>
          <w:tcPr>
            <w:tcW w:w="1395" w:type="dxa"/>
            <w:shd w:val="clear" w:color="auto" w:fill="auto"/>
            <w:noWrap/>
            <w:vAlign w:val="center"/>
            <w:hideMark/>
          </w:tcPr>
          <w:p w14:paraId="640936A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12.27</w:t>
            </w:r>
          </w:p>
        </w:tc>
        <w:tc>
          <w:tcPr>
            <w:tcW w:w="1395" w:type="dxa"/>
            <w:shd w:val="clear" w:color="auto" w:fill="auto"/>
            <w:noWrap/>
            <w:vAlign w:val="center"/>
            <w:hideMark/>
          </w:tcPr>
          <w:p w14:paraId="5082C863"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8.80</w:t>
            </w:r>
          </w:p>
        </w:tc>
        <w:tc>
          <w:tcPr>
            <w:tcW w:w="1395" w:type="dxa"/>
            <w:shd w:val="clear" w:color="auto" w:fill="auto"/>
            <w:noWrap/>
            <w:vAlign w:val="center"/>
            <w:hideMark/>
          </w:tcPr>
          <w:p w14:paraId="444E536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7.58</w:t>
            </w:r>
          </w:p>
        </w:tc>
        <w:tc>
          <w:tcPr>
            <w:tcW w:w="1395" w:type="dxa"/>
            <w:shd w:val="clear" w:color="auto" w:fill="auto"/>
            <w:noWrap/>
            <w:vAlign w:val="center"/>
            <w:hideMark/>
          </w:tcPr>
          <w:p w14:paraId="0BE1B32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9.97</w:t>
            </w:r>
          </w:p>
        </w:tc>
        <w:tc>
          <w:tcPr>
            <w:tcW w:w="1395" w:type="dxa"/>
            <w:shd w:val="clear" w:color="auto" w:fill="auto"/>
            <w:noWrap/>
            <w:vAlign w:val="center"/>
            <w:hideMark/>
          </w:tcPr>
          <w:p w14:paraId="6CA22C11"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4.90</w:t>
            </w:r>
          </w:p>
        </w:tc>
        <w:tc>
          <w:tcPr>
            <w:tcW w:w="1035" w:type="dxa"/>
            <w:shd w:val="clear" w:color="auto" w:fill="auto"/>
            <w:noWrap/>
            <w:vAlign w:val="center"/>
            <w:hideMark/>
          </w:tcPr>
          <w:p w14:paraId="248166AA"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3.84</w:t>
            </w:r>
          </w:p>
        </w:tc>
      </w:tr>
      <w:tr w:rsidR="00F303E0" w:rsidRPr="00EE5714" w14:paraId="00A83ED0" w14:textId="77777777" w:rsidTr="00E92A67">
        <w:trPr>
          <w:trHeight w:hRule="exact" w:val="245"/>
        </w:trPr>
        <w:tc>
          <w:tcPr>
            <w:tcW w:w="1980" w:type="dxa"/>
          </w:tcPr>
          <w:p w14:paraId="6ED3FB1B"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hAnsi="Calibri" w:cs="Calibri"/>
                <w:b/>
                <w:sz w:val="21"/>
                <w:szCs w:val="21"/>
              </w:rPr>
              <w:t>PECO Electric</w:t>
            </w:r>
          </w:p>
        </w:tc>
        <w:tc>
          <w:tcPr>
            <w:tcW w:w="1395" w:type="dxa"/>
            <w:shd w:val="clear" w:color="auto" w:fill="auto"/>
            <w:noWrap/>
            <w:vAlign w:val="center"/>
          </w:tcPr>
          <w:p w14:paraId="55551C2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22.71</w:t>
            </w:r>
          </w:p>
        </w:tc>
        <w:tc>
          <w:tcPr>
            <w:tcW w:w="1395" w:type="dxa"/>
            <w:shd w:val="clear" w:color="auto" w:fill="auto"/>
            <w:noWrap/>
            <w:vAlign w:val="center"/>
          </w:tcPr>
          <w:p w14:paraId="3D25691F"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12.84</w:t>
            </w:r>
          </w:p>
        </w:tc>
        <w:tc>
          <w:tcPr>
            <w:tcW w:w="1395" w:type="dxa"/>
            <w:shd w:val="clear" w:color="auto" w:fill="auto"/>
            <w:noWrap/>
            <w:vAlign w:val="center"/>
          </w:tcPr>
          <w:p w14:paraId="5F3E8E25"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9.98</w:t>
            </w:r>
          </w:p>
        </w:tc>
        <w:tc>
          <w:tcPr>
            <w:tcW w:w="1395" w:type="dxa"/>
            <w:shd w:val="clear" w:color="auto" w:fill="auto"/>
            <w:noWrap/>
            <w:vAlign w:val="center"/>
          </w:tcPr>
          <w:p w14:paraId="7DE0110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13.11</w:t>
            </w:r>
          </w:p>
        </w:tc>
        <w:tc>
          <w:tcPr>
            <w:tcW w:w="1395" w:type="dxa"/>
            <w:shd w:val="clear" w:color="auto" w:fill="auto"/>
            <w:noWrap/>
            <w:vAlign w:val="center"/>
          </w:tcPr>
          <w:p w14:paraId="17F9655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6.86</w:t>
            </w:r>
          </w:p>
        </w:tc>
        <w:tc>
          <w:tcPr>
            <w:tcW w:w="1035" w:type="dxa"/>
            <w:shd w:val="clear" w:color="auto" w:fill="auto"/>
            <w:noWrap/>
            <w:vAlign w:val="center"/>
          </w:tcPr>
          <w:p w14:paraId="55B0F4B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4.76</w:t>
            </w:r>
          </w:p>
        </w:tc>
      </w:tr>
      <w:tr w:rsidR="00F303E0" w:rsidRPr="00EE5714" w14:paraId="32B1D39A" w14:textId="77777777" w:rsidTr="00E92A67">
        <w:trPr>
          <w:trHeight w:hRule="exact" w:val="245"/>
        </w:trPr>
        <w:tc>
          <w:tcPr>
            <w:tcW w:w="1980" w:type="dxa"/>
          </w:tcPr>
          <w:p w14:paraId="517E657D" w14:textId="77777777" w:rsidR="00F303E0" w:rsidRPr="00EE5714" w:rsidRDefault="00F303E0" w:rsidP="00851815">
            <w:pPr>
              <w:keepNext/>
              <w:keepLines/>
              <w:rPr>
                <w:rFonts w:ascii="Calibri" w:eastAsia="Times New Roman" w:hAnsi="Calibri" w:cs="Calibri"/>
                <w:color w:val="000000"/>
                <w:sz w:val="21"/>
                <w:szCs w:val="21"/>
              </w:rPr>
            </w:pPr>
            <w:proofErr w:type="spellStart"/>
            <w:r w:rsidRPr="00EE5714">
              <w:rPr>
                <w:rFonts w:ascii="Calibri" w:hAnsi="Calibri" w:cs="Calibri"/>
                <w:b/>
                <w:sz w:val="21"/>
                <w:szCs w:val="21"/>
              </w:rPr>
              <w:t>Penelec</w:t>
            </w:r>
            <w:proofErr w:type="spellEnd"/>
          </w:p>
        </w:tc>
        <w:tc>
          <w:tcPr>
            <w:tcW w:w="1395" w:type="dxa"/>
            <w:shd w:val="clear" w:color="auto" w:fill="auto"/>
            <w:noWrap/>
            <w:vAlign w:val="center"/>
            <w:hideMark/>
          </w:tcPr>
          <w:p w14:paraId="79084187"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16.64</w:t>
            </w:r>
          </w:p>
        </w:tc>
        <w:tc>
          <w:tcPr>
            <w:tcW w:w="1395" w:type="dxa"/>
            <w:shd w:val="clear" w:color="auto" w:fill="auto"/>
            <w:noWrap/>
            <w:vAlign w:val="center"/>
            <w:hideMark/>
          </w:tcPr>
          <w:p w14:paraId="4CC6CA8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6.42</w:t>
            </w:r>
          </w:p>
        </w:tc>
        <w:tc>
          <w:tcPr>
            <w:tcW w:w="1395" w:type="dxa"/>
            <w:shd w:val="clear" w:color="auto" w:fill="auto"/>
            <w:noWrap/>
            <w:vAlign w:val="center"/>
            <w:hideMark/>
          </w:tcPr>
          <w:p w14:paraId="0154B23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6.19</w:t>
            </w:r>
          </w:p>
        </w:tc>
        <w:tc>
          <w:tcPr>
            <w:tcW w:w="1395" w:type="dxa"/>
            <w:shd w:val="clear" w:color="auto" w:fill="auto"/>
            <w:noWrap/>
            <w:vAlign w:val="center"/>
            <w:hideMark/>
          </w:tcPr>
          <w:p w14:paraId="2946275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10.72</w:t>
            </w:r>
          </w:p>
        </w:tc>
        <w:tc>
          <w:tcPr>
            <w:tcW w:w="1395" w:type="dxa"/>
            <w:shd w:val="clear" w:color="auto" w:fill="auto"/>
            <w:noWrap/>
            <w:vAlign w:val="center"/>
            <w:hideMark/>
          </w:tcPr>
          <w:p w14:paraId="036057B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3.59</w:t>
            </w:r>
          </w:p>
        </w:tc>
        <w:tc>
          <w:tcPr>
            <w:tcW w:w="1035" w:type="dxa"/>
            <w:shd w:val="clear" w:color="auto" w:fill="auto"/>
            <w:noWrap/>
            <w:vAlign w:val="center"/>
            <w:hideMark/>
          </w:tcPr>
          <w:p w14:paraId="22124A1C"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2.91</w:t>
            </w:r>
          </w:p>
        </w:tc>
      </w:tr>
      <w:tr w:rsidR="00F303E0" w:rsidRPr="00EE5714" w14:paraId="6D7DF4EF" w14:textId="77777777" w:rsidTr="00E92A67">
        <w:trPr>
          <w:trHeight w:hRule="exact" w:val="245"/>
        </w:trPr>
        <w:tc>
          <w:tcPr>
            <w:tcW w:w="1980" w:type="dxa"/>
          </w:tcPr>
          <w:p w14:paraId="6B0F7859"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hAnsi="Calibri" w:cs="Calibri"/>
                <w:b/>
                <w:sz w:val="21"/>
                <w:szCs w:val="21"/>
              </w:rPr>
              <w:t>Penn Power</w:t>
            </w:r>
          </w:p>
        </w:tc>
        <w:tc>
          <w:tcPr>
            <w:tcW w:w="1395" w:type="dxa"/>
            <w:shd w:val="clear" w:color="auto" w:fill="auto"/>
            <w:noWrap/>
            <w:vAlign w:val="center"/>
            <w:hideMark/>
          </w:tcPr>
          <w:p w14:paraId="4B88D5C5"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24.51</w:t>
            </w:r>
          </w:p>
        </w:tc>
        <w:tc>
          <w:tcPr>
            <w:tcW w:w="1395" w:type="dxa"/>
            <w:shd w:val="clear" w:color="auto" w:fill="auto"/>
            <w:noWrap/>
            <w:vAlign w:val="center"/>
            <w:hideMark/>
          </w:tcPr>
          <w:p w14:paraId="5B7DCA4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7.47</w:t>
            </w:r>
          </w:p>
        </w:tc>
        <w:tc>
          <w:tcPr>
            <w:tcW w:w="1395" w:type="dxa"/>
            <w:shd w:val="clear" w:color="auto" w:fill="auto"/>
            <w:noWrap/>
            <w:vAlign w:val="center"/>
            <w:hideMark/>
          </w:tcPr>
          <w:p w14:paraId="03C69663"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6.79</w:t>
            </w:r>
          </w:p>
        </w:tc>
        <w:tc>
          <w:tcPr>
            <w:tcW w:w="1395" w:type="dxa"/>
            <w:shd w:val="clear" w:color="auto" w:fill="auto"/>
            <w:noWrap/>
            <w:vAlign w:val="center"/>
            <w:hideMark/>
          </w:tcPr>
          <w:p w14:paraId="7484001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11.63</w:t>
            </w:r>
          </w:p>
        </w:tc>
        <w:tc>
          <w:tcPr>
            <w:tcW w:w="1395" w:type="dxa"/>
            <w:shd w:val="clear" w:color="auto" w:fill="auto"/>
            <w:noWrap/>
            <w:vAlign w:val="center"/>
            <w:hideMark/>
          </w:tcPr>
          <w:p w14:paraId="07049866"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3.61</w:t>
            </w:r>
          </w:p>
        </w:tc>
        <w:tc>
          <w:tcPr>
            <w:tcW w:w="1035" w:type="dxa"/>
            <w:shd w:val="clear" w:color="auto" w:fill="auto"/>
            <w:noWrap/>
            <w:vAlign w:val="center"/>
            <w:hideMark/>
          </w:tcPr>
          <w:p w14:paraId="5657484F"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2.99</w:t>
            </w:r>
          </w:p>
        </w:tc>
      </w:tr>
      <w:tr w:rsidR="00F303E0" w:rsidRPr="00EE5714" w14:paraId="037B58C0" w14:textId="77777777" w:rsidTr="00E92A67">
        <w:trPr>
          <w:trHeight w:hRule="exact" w:val="245"/>
        </w:trPr>
        <w:tc>
          <w:tcPr>
            <w:tcW w:w="1980" w:type="dxa"/>
          </w:tcPr>
          <w:p w14:paraId="142A66CB"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hAnsi="Calibri" w:cs="Calibri"/>
                <w:b/>
                <w:sz w:val="21"/>
                <w:szCs w:val="21"/>
              </w:rPr>
              <w:t>PPL</w:t>
            </w:r>
          </w:p>
        </w:tc>
        <w:tc>
          <w:tcPr>
            <w:tcW w:w="1395" w:type="dxa"/>
            <w:shd w:val="clear" w:color="auto" w:fill="auto"/>
            <w:noWrap/>
            <w:vAlign w:val="center"/>
            <w:hideMark/>
          </w:tcPr>
          <w:p w14:paraId="39B637DD"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14.09</w:t>
            </w:r>
          </w:p>
        </w:tc>
        <w:tc>
          <w:tcPr>
            <w:tcW w:w="1395" w:type="dxa"/>
            <w:shd w:val="clear" w:color="auto" w:fill="auto"/>
            <w:noWrap/>
            <w:vAlign w:val="center"/>
            <w:hideMark/>
          </w:tcPr>
          <w:p w14:paraId="1E89E30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7.18</w:t>
            </w:r>
          </w:p>
        </w:tc>
        <w:tc>
          <w:tcPr>
            <w:tcW w:w="1395" w:type="dxa"/>
            <w:shd w:val="clear" w:color="auto" w:fill="auto"/>
            <w:noWrap/>
            <w:vAlign w:val="center"/>
            <w:hideMark/>
          </w:tcPr>
          <w:p w14:paraId="2AD6E01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4.35</w:t>
            </w:r>
          </w:p>
        </w:tc>
        <w:tc>
          <w:tcPr>
            <w:tcW w:w="1395" w:type="dxa"/>
            <w:shd w:val="clear" w:color="auto" w:fill="auto"/>
            <w:noWrap/>
            <w:vAlign w:val="center"/>
            <w:hideMark/>
          </w:tcPr>
          <w:p w14:paraId="1060228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13.32</w:t>
            </w:r>
          </w:p>
        </w:tc>
        <w:tc>
          <w:tcPr>
            <w:tcW w:w="1395" w:type="dxa"/>
            <w:shd w:val="clear" w:color="auto" w:fill="auto"/>
            <w:noWrap/>
            <w:vAlign w:val="center"/>
            <w:hideMark/>
          </w:tcPr>
          <w:p w14:paraId="53189FA1"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6.86</w:t>
            </w:r>
          </w:p>
        </w:tc>
        <w:tc>
          <w:tcPr>
            <w:tcW w:w="1035" w:type="dxa"/>
            <w:shd w:val="clear" w:color="auto" w:fill="auto"/>
            <w:noWrap/>
            <w:vAlign w:val="center"/>
            <w:hideMark/>
          </w:tcPr>
          <w:p w14:paraId="72B0CB7C"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4.21</w:t>
            </w:r>
          </w:p>
        </w:tc>
      </w:tr>
      <w:tr w:rsidR="00F303E0" w:rsidRPr="00EE5714" w14:paraId="38C64978" w14:textId="77777777" w:rsidTr="00E92A67">
        <w:trPr>
          <w:trHeight w:hRule="exact" w:val="245"/>
        </w:trPr>
        <w:tc>
          <w:tcPr>
            <w:tcW w:w="1980" w:type="dxa"/>
          </w:tcPr>
          <w:p w14:paraId="2E08653D" w14:textId="77777777" w:rsidR="00F303E0" w:rsidRPr="00EE5714" w:rsidRDefault="00F303E0" w:rsidP="00851815">
            <w:pPr>
              <w:rPr>
                <w:rFonts w:ascii="Calibri" w:eastAsia="Times New Roman" w:hAnsi="Calibri" w:cs="Calibri"/>
                <w:color w:val="000000"/>
                <w:sz w:val="21"/>
                <w:szCs w:val="21"/>
              </w:rPr>
            </w:pPr>
            <w:r w:rsidRPr="00EE5714">
              <w:rPr>
                <w:rFonts w:ascii="Calibri" w:hAnsi="Calibri" w:cs="Calibri"/>
                <w:b/>
                <w:sz w:val="21"/>
                <w:szCs w:val="21"/>
              </w:rPr>
              <w:t xml:space="preserve">West Penn </w:t>
            </w:r>
          </w:p>
        </w:tc>
        <w:tc>
          <w:tcPr>
            <w:tcW w:w="1395" w:type="dxa"/>
            <w:shd w:val="clear" w:color="auto" w:fill="auto"/>
            <w:noWrap/>
            <w:vAlign w:val="center"/>
            <w:hideMark/>
          </w:tcPr>
          <w:p w14:paraId="1320A47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28.33</w:t>
            </w:r>
          </w:p>
        </w:tc>
        <w:tc>
          <w:tcPr>
            <w:tcW w:w="1395" w:type="dxa"/>
            <w:shd w:val="clear" w:color="auto" w:fill="auto"/>
            <w:noWrap/>
            <w:vAlign w:val="center"/>
            <w:hideMark/>
          </w:tcPr>
          <w:p w14:paraId="665116E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10.12</w:t>
            </w:r>
          </w:p>
        </w:tc>
        <w:tc>
          <w:tcPr>
            <w:tcW w:w="1395" w:type="dxa"/>
            <w:shd w:val="clear" w:color="auto" w:fill="auto"/>
            <w:noWrap/>
            <w:vAlign w:val="center"/>
            <w:hideMark/>
          </w:tcPr>
          <w:p w14:paraId="4FE8A14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8.02</w:t>
            </w:r>
          </w:p>
        </w:tc>
        <w:tc>
          <w:tcPr>
            <w:tcW w:w="1395" w:type="dxa"/>
            <w:shd w:val="clear" w:color="auto" w:fill="auto"/>
            <w:noWrap/>
            <w:vAlign w:val="center"/>
            <w:hideMark/>
          </w:tcPr>
          <w:p w14:paraId="2A807A0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14.65</w:t>
            </w:r>
          </w:p>
        </w:tc>
        <w:tc>
          <w:tcPr>
            <w:tcW w:w="1395" w:type="dxa"/>
            <w:shd w:val="clear" w:color="auto" w:fill="auto"/>
            <w:noWrap/>
            <w:vAlign w:val="center"/>
            <w:hideMark/>
          </w:tcPr>
          <w:p w14:paraId="1DD58EA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6.53</w:t>
            </w:r>
          </w:p>
        </w:tc>
        <w:tc>
          <w:tcPr>
            <w:tcW w:w="1035" w:type="dxa"/>
            <w:shd w:val="clear" w:color="auto" w:fill="auto"/>
            <w:noWrap/>
            <w:vAlign w:val="center"/>
            <w:hideMark/>
          </w:tcPr>
          <w:p w14:paraId="24CF1E3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5.26</w:t>
            </w:r>
          </w:p>
        </w:tc>
      </w:tr>
    </w:tbl>
    <w:p w14:paraId="29FD4A40" w14:textId="77777777" w:rsidR="00F303E0" w:rsidRPr="00EE5714" w:rsidRDefault="00F303E0" w:rsidP="00F303E0">
      <w:pPr>
        <w:rPr>
          <w:rFonts w:ascii="Times New Roman" w:hAnsi="Times New Roman" w:cs="Times New Roman"/>
          <w:sz w:val="26"/>
          <w:szCs w:val="26"/>
        </w:rPr>
      </w:pPr>
    </w:p>
    <w:p w14:paraId="751641ED" w14:textId="77777777" w:rsidR="00F303E0" w:rsidRPr="00EE5714" w:rsidRDefault="00155347" w:rsidP="000A514C">
      <w:pPr>
        <w:keepNext/>
        <w:keepLines/>
        <w:rPr>
          <w:rFonts w:ascii="Times New Roman" w:hAnsi="Times New Roman" w:cs="Times New Roman"/>
          <w:sz w:val="26"/>
          <w:szCs w:val="26"/>
        </w:rPr>
      </w:pPr>
      <w:r w:rsidRPr="00EE5714">
        <w:rPr>
          <w:rFonts w:ascii="Times New Roman" w:hAnsi="Times New Roman" w:cs="Times New Roman"/>
          <w:sz w:val="26"/>
          <w:szCs w:val="26"/>
        </w:rPr>
        <w:t>Appendix 2</w:t>
      </w:r>
      <w:r w:rsidR="00F303E0" w:rsidRPr="00EE5714">
        <w:rPr>
          <w:rFonts w:ascii="Times New Roman" w:hAnsi="Times New Roman" w:cs="Times New Roman"/>
          <w:sz w:val="26"/>
          <w:szCs w:val="26"/>
        </w:rPr>
        <w:t xml:space="preserve">.D.5: </w:t>
      </w:r>
      <w:r w:rsidR="00F303E0" w:rsidRPr="00EE5714">
        <w:rPr>
          <w:rFonts w:ascii="Times New Roman" w:eastAsia="Times New Roman" w:hAnsi="Times New Roman" w:cs="Times New Roman"/>
          <w:b/>
          <w:color w:val="000000"/>
          <w:sz w:val="26"/>
          <w:szCs w:val="26"/>
        </w:rPr>
        <w:t>EDC CAP Energy Burdens by FPIG Level</w:t>
      </w:r>
    </w:p>
    <w:tbl>
      <w:tblPr>
        <w:tblW w:w="9990"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980"/>
        <w:gridCol w:w="1395"/>
        <w:gridCol w:w="1395"/>
        <w:gridCol w:w="1395"/>
        <w:gridCol w:w="1395"/>
        <w:gridCol w:w="1395"/>
        <w:gridCol w:w="1035"/>
      </w:tblGrid>
      <w:tr w:rsidR="00F303E0" w:rsidRPr="00EE5714" w14:paraId="0BE00C0D" w14:textId="77777777" w:rsidTr="00E92A67">
        <w:trPr>
          <w:trHeight w:val="421"/>
        </w:trPr>
        <w:tc>
          <w:tcPr>
            <w:tcW w:w="9990" w:type="dxa"/>
            <w:gridSpan w:val="7"/>
            <w:shd w:val="clear" w:color="auto" w:fill="BFBFBF" w:themeFill="background1" w:themeFillShade="BF"/>
            <w:vAlign w:val="center"/>
          </w:tcPr>
          <w:p w14:paraId="71EC28A4" w14:textId="601C658C" w:rsidR="00F303E0" w:rsidRPr="00EE5714" w:rsidRDefault="00F303E0" w:rsidP="000A514C">
            <w:pPr>
              <w:keepNext/>
              <w:keepLines/>
              <w:jc w:val="center"/>
              <w:rPr>
                <w:rFonts w:ascii="Calibri" w:eastAsia="Times New Roman" w:hAnsi="Calibri" w:cs="Calibri"/>
                <w:b/>
                <w:color w:val="000000"/>
              </w:rPr>
            </w:pPr>
            <w:r w:rsidRPr="00EE5714">
              <w:rPr>
                <w:rFonts w:ascii="Calibri" w:eastAsia="Times New Roman" w:hAnsi="Calibri" w:cs="Calibri"/>
                <w:b/>
                <w:color w:val="000000"/>
              </w:rPr>
              <w:t>2016 EDC CAP Energy Burdens by FPIG Level</w:t>
            </w:r>
            <w:r w:rsidR="00496CAD" w:rsidRPr="00EE5714">
              <w:rPr>
                <w:rFonts w:ascii="Calibri" w:eastAsia="Times New Roman" w:hAnsi="Calibri" w:cs="Calibri"/>
                <w:b/>
                <w:color w:val="000000"/>
              </w:rPr>
              <w:t xml:space="preserve"> (%)</w:t>
            </w:r>
          </w:p>
        </w:tc>
      </w:tr>
      <w:tr w:rsidR="00F303E0" w:rsidRPr="00EE5714" w14:paraId="2DD419B2" w14:textId="77777777" w:rsidTr="00E92A67">
        <w:trPr>
          <w:trHeight w:hRule="exact" w:val="245"/>
        </w:trPr>
        <w:tc>
          <w:tcPr>
            <w:tcW w:w="1980" w:type="dxa"/>
          </w:tcPr>
          <w:p w14:paraId="2D3AF490" w14:textId="77777777" w:rsidR="00F303E0" w:rsidRPr="00EE5714" w:rsidRDefault="00F303E0" w:rsidP="000A514C">
            <w:pPr>
              <w:keepNext/>
              <w:keepLines/>
              <w:rPr>
                <w:rFonts w:ascii="Calibri" w:eastAsia="Times New Roman" w:hAnsi="Calibri" w:cs="Calibri"/>
                <w:b/>
                <w:color w:val="000000"/>
                <w:sz w:val="21"/>
                <w:szCs w:val="21"/>
              </w:rPr>
            </w:pPr>
          </w:p>
        </w:tc>
        <w:tc>
          <w:tcPr>
            <w:tcW w:w="4185" w:type="dxa"/>
            <w:gridSpan w:val="3"/>
            <w:shd w:val="clear" w:color="auto" w:fill="auto"/>
            <w:vAlign w:val="bottom"/>
            <w:hideMark/>
          </w:tcPr>
          <w:p w14:paraId="49C507BC" w14:textId="77777777" w:rsidR="00F303E0" w:rsidRPr="00EE5714" w:rsidRDefault="00F303E0" w:rsidP="000A514C">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Heat</w:t>
            </w:r>
          </w:p>
        </w:tc>
        <w:tc>
          <w:tcPr>
            <w:tcW w:w="3825" w:type="dxa"/>
            <w:gridSpan w:val="3"/>
            <w:shd w:val="clear" w:color="auto" w:fill="auto"/>
            <w:vAlign w:val="bottom"/>
            <w:hideMark/>
          </w:tcPr>
          <w:p w14:paraId="26C6A5D1" w14:textId="77777777" w:rsidR="00F303E0" w:rsidRPr="00EE5714" w:rsidRDefault="00F303E0" w:rsidP="000A514C">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Non Heat</w:t>
            </w:r>
          </w:p>
        </w:tc>
      </w:tr>
      <w:tr w:rsidR="00F303E0" w:rsidRPr="00EE5714" w14:paraId="0DF96DFB" w14:textId="77777777" w:rsidTr="00E92A67">
        <w:trPr>
          <w:trHeight w:hRule="exact" w:val="245"/>
        </w:trPr>
        <w:tc>
          <w:tcPr>
            <w:tcW w:w="1980" w:type="dxa"/>
          </w:tcPr>
          <w:p w14:paraId="3CEA822E" w14:textId="77777777" w:rsidR="00F303E0" w:rsidRPr="00EE5714" w:rsidRDefault="00F303E0" w:rsidP="000A514C">
            <w:pPr>
              <w:keepNext/>
              <w:keepLines/>
              <w:rPr>
                <w:rFonts w:ascii="Calibri" w:eastAsia="Times New Roman" w:hAnsi="Calibri" w:cs="Calibri"/>
                <w:color w:val="000000"/>
                <w:sz w:val="21"/>
                <w:szCs w:val="21"/>
              </w:rPr>
            </w:pPr>
            <w:r w:rsidRPr="00EE5714">
              <w:rPr>
                <w:rFonts w:ascii="Calibri" w:eastAsia="Times New Roman" w:hAnsi="Calibri" w:cs="Calibri"/>
                <w:b/>
                <w:i/>
                <w:color w:val="000000"/>
                <w:sz w:val="21"/>
                <w:szCs w:val="21"/>
              </w:rPr>
              <w:t>FPIG Level</w:t>
            </w:r>
          </w:p>
        </w:tc>
        <w:tc>
          <w:tcPr>
            <w:tcW w:w="1395" w:type="dxa"/>
            <w:shd w:val="clear" w:color="auto" w:fill="D9D9D9" w:themeFill="background1" w:themeFillShade="D9"/>
            <w:noWrap/>
            <w:vAlign w:val="bottom"/>
            <w:hideMark/>
          </w:tcPr>
          <w:p w14:paraId="0B90E140" w14:textId="77777777" w:rsidR="00F303E0" w:rsidRPr="00EE5714" w:rsidRDefault="00F303E0" w:rsidP="000A514C">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1395" w:type="dxa"/>
            <w:shd w:val="clear" w:color="auto" w:fill="D9D9D9" w:themeFill="background1" w:themeFillShade="D9"/>
            <w:noWrap/>
            <w:vAlign w:val="bottom"/>
            <w:hideMark/>
          </w:tcPr>
          <w:p w14:paraId="501E131D" w14:textId="77777777" w:rsidR="00F303E0" w:rsidRPr="00EE5714" w:rsidRDefault="00F303E0" w:rsidP="000A514C">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1395" w:type="dxa"/>
            <w:shd w:val="clear" w:color="auto" w:fill="D9D9D9" w:themeFill="background1" w:themeFillShade="D9"/>
            <w:noWrap/>
            <w:vAlign w:val="bottom"/>
            <w:hideMark/>
          </w:tcPr>
          <w:p w14:paraId="2CD02896" w14:textId="77777777" w:rsidR="00F303E0" w:rsidRPr="00EE5714" w:rsidRDefault="00F303E0" w:rsidP="000A514C">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c>
          <w:tcPr>
            <w:tcW w:w="1395" w:type="dxa"/>
            <w:shd w:val="clear" w:color="auto" w:fill="D9D9D9" w:themeFill="background1" w:themeFillShade="D9"/>
            <w:noWrap/>
            <w:vAlign w:val="bottom"/>
            <w:hideMark/>
          </w:tcPr>
          <w:p w14:paraId="48B1CF4B" w14:textId="77777777" w:rsidR="00F303E0" w:rsidRPr="00EE5714" w:rsidRDefault="00F303E0" w:rsidP="000A514C">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w:t>
            </w:r>
          </w:p>
        </w:tc>
        <w:tc>
          <w:tcPr>
            <w:tcW w:w="1395" w:type="dxa"/>
            <w:shd w:val="clear" w:color="auto" w:fill="D9D9D9" w:themeFill="background1" w:themeFillShade="D9"/>
            <w:noWrap/>
            <w:vAlign w:val="bottom"/>
            <w:hideMark/>
          </w:tcPr>
          <w:p w14:paraId="686A510D" w14:textId="77777777" w:rsidR="00F303E0" w:rsidRPr="00EE5714" w:rsidRDefault="00F303E0" w:rsidP="000A514C">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w:t>
            </w:r>
          </w:p>
        </w:tc>
        <w:tc>
          <w:tcPr>
            <w:tcW w:w="1035" w:type="dxa"/>
            <w:shd w:val="clear" w:color="auto" w:fill="D9D9D9" w:themeFill="background1" w:themeFillShade="D9"/>
          </w:tcPr>
          <w:p w14:paraId="51B453A3" w14:textId="77777777" w:rsidR="00F303E0" w:rsidRPr="00EE5714" w:rsidRDefault="00F303E0" w:rsidP="000A514C">
            <w:pPr>
              <w:keepNext/>
              <w:keepLine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w:t>
            </w:r>
          </w:p>
        </w:tc>
      </w:tr>
      <w:tr w:rsidR="00F303E0" w:rsidRPr="00EE5714" w14:paraId="778C4F52" w14:textId="77777777" w:rsidTr="00E92A67">
        <w:trPr>
          <w:trHeight w:hRule="exact" w:val="245"/>
        </w:trPr>
        <w:tc>
          <w:tcPr>
            <w:tcW w:w="1980" w:type="dxa"/>
          </w:tcPr>
          <w:p w14:paraId="34FD00E3" w14:textId="77777777" w:rsidR="00F303E0" w:rsidRPr="00EE5714" w:rsidRDefault="00F303E0" w:rsidP="000A514C">
            <w:pPr>
              <w:keepNext/>
              <w:keepLines/>
              <w:rPr>
                <w:rFonts w:ascii="Calibri" w:eastAsia="Times New Roman" w:hAnsi="Calibri" w:cs="Calibri"/>
                <w:color w:val="000000"/>
                <w:sz w:val="21"/>
                <w:szCs w:val="21"/>
              </w:rPr>
            </w:pPr>
          </w:p>
        </w:tc>
        <w:tc>
          <w:tcPr>
            <w:tcW w:w="1395" w:type="dxa"/>
            <w:shd w:val="clear" w:color="auto" w:fill="auto"/>
            <w:noWrap/>
            <w:vAlign w:val="bottom"/>
          </w:tcPr>
          <w:p w14:paraId="6917E1F9" w14:textId="77777777" w:rsidR="00F303E0" w:rsidRPr="00EE5714" w:rsidRDefault="00F303E0" w:rsidP="000A514C">
            <w:pPr>
              <w:keepNext/>
              <w:keepLines/>
              <w:jc w:val="center"/>
              <w:rPr>
                <w:rFonts w:ascii="Calibri" w:eastAsia="Times New Roman" w:hAnsi="Calibri" w:cs="Calibri"/>
                <w:color w:val="000000"/>
                <w:sz w:val="21"/>
                <w:szCs w:val="21"/>
              </w:rPr>
            </w:pPr>
          </w:p>
        </w:tc>
        <w:tc>
          <w:tcPr>
            <w:tcW w:w="1395" w:type="dxa"/>
            <w:shd w:val="clear" w:color="auto" w:fill="auto"/>
            <w:noWrap/>
            <w:vAlign w:val="bottom"/>
          </w:tcPr>
          <w:p w14:paraId="544501AB" w14:textId="77777777" w:rsidR="00F303E0" w:rsidRPr="00EE5714" w:rsidRDefault="00F303E0" w:rsidP="000A514C">
            <w:pPr>
              <w:keepNext/>
              <w:keepLines/>
              <w:jc w:val="center"/>
              <w:rPr>
                <w:rFonts w:ascii="Calibri" w:eastAsia="Times New Roman" w:hAnsi="Calibri" w:cs="Calibri"/>
                <w:color w:val="000000"/>
                <w:sz w:val="21"/>
                <w:szCs w:val="21"/>
              </w:rPr>
            </w:pPr>
          </w:p>
        </w:tc>
        <w:tc>
          <w:tcPr>
            <w:tcW w:w="1395" w:type="dxa"/>
            <w:shd w:val="clear" w:color="auto" w:fill="auto"/>
            <w:noWrap/>
            <w:vAlign w:val="bottom"/>
          </w:tcPr>
          <w:p w14:paraId="765DF2C1" w14:textId="77777777" w:rsidR="00F303E0" w:rsidRPr="00EE5714" w:rsidRDefault="00F303E0" w:rsidP="000A514C">
            <w:pPr>
              <w:keepNext/>
              <w:keepLines/>
              <w:jc w:val="center"/>
              <w:rPr>
                <w:rFonts w:ascii="Calibri" w:eastAsia="Times New Roman" w:hAnsi="Calibri" w:cs="Calibri"/>
                <w:color w:val="000000"/>
                <w:sz w:val="21"/>
                <w:szCs w:val="21"/>
              </w:rPr>
            </w:pPr>
          </w:p>
        </w:tc>
        <w:tc>
          <w:tcPr>
            <w:tcW w:w="1395" w:type="dxa"/>
            <w:shd w:val="clear" w:color="auto" w:fill="auto"/>
            <w:noWrap/>
            <w:vAlign w:val="bottom"/>
          </w:tcPr>
          <w:p w14:paraId="0D36DD10" w14:textId="77777777" w:rsidR="00F303E0" w:rsidRPr="00EE5714" w:rsidRDefault="00F303E0" w:rsidP="000A514C">
            <w:pPr>
              <w:keepNext/>
              <w:keepLines/>
              <w:jc w:val="center"/>
              <w:rPr>
                <w:rFonts w:ascii="Calibri" w:eastAsia="Times New Roman" w:hAnsi="Calibri" w:cs="Calibri"/>
                <w:color w:val="000000"/>
                <w:sz w:val="21"/>
                <w:szCs w:val="21"/>
              </w:rPr>
            </w:pPr>
          </w:p>
        </w:tc>
        <w:tc>
          <w:tcPr>
            <w:tcW w:w="1395" w:type="dxa"/>
            <w:shd w:val="clear" w:color="auto" w:fill="auto"/>
            <w:noWrap/>
            <w:vAlign w:val="bottom"/>
          </w:tcPr>
          <w:p w14:paraId="0CCB6789" w14:textId="77777777" w:rsidR="00F303E0" w:rsidRPr="00EE5714" w:rsidRDefault="00F303E0" w:rsidP="000A514C">
            <w:pPr>
              <w:keepNext/>
              <w:keepLines/>
              <w:jc w:val="center"/>
              <w:rPr>
                <w:rFonts w:ascii="Calibri" w:eastAsia="Times New Roman" w:hAnsi="Calibri" w:cs="Calibri"/>
                <w:color w:val="000000"/>
                <w:sz w:val="21"/>
                <w:szCs w:val="21"/>
              </w:rPr>
            </w:pPr>
          </w:p>
        </w:tc>
        <w:tc>
          <w:tcPr>
            <w:tcW w:w="1035" w:type="dxa"/>
          </w:tcPr>
          <w:p w14:paraId="724FB980" w14:textId="77777777" w:rsidR="00F303E0" w:rsidRPr="00EE5714" w:rsidRDefault="00F303E0" w:rsidP="000A514C">
            <w:pPr>
              <w:keepNext/>
              <w:keepLines/>
              <w:jc w:val="center"/>
              <w:rPr>
                <w:rFonts w:ascii="Calibri" w:eastAsia="Times New Roman" w:hAnsi="Calibri" w:cs="Calibri"/>
                <w:color w:val="000000"/>
                <w:sz w:val="21"/>
                <w:szCs w:val="21"/>
              </w:rPr>
            </w:pPr>
          </w:p>
        </w:tc>
      </w:tr>
      <w:tr w:rsidR="00F303E0" w:rsidRPr="00EE5714" w14:paraId="6A799CB1" w14:textId="77777777" w:rsidTr="00E92A67">
        <w:trPr>
          <w:trHeight w:hRule="exact" w:val="587"/>
        </w:trPr>
        <w:tc>
          <w:tcPr>
            <w:tcW w:w="1980" w:type="dxa"/>
            <w:shd w:val="clear" w:color="auto" w:fill="F2F2F2" w:themeFill="background1" w:themeFillShade="F2"/>
            <w:vAlign w:val="center"/>
          </w:tcPr>
          <w:p w14:paraId="5CCBE550" w14:textId="77777777" w:rsidR="00F303E0" w:rsidRPr="00EE5714" w:rsidRDefault="00F303E0" w:rsidP="000A514C">
            <w:pPr>
              <w:keepNext/>
              <w:keepLines/>
              <w:rPr>
                <w:rFonts w:ascii="Calibri" w:eastAsia="Times New Roman" w:hAnsi="Calibri" w:cs="Calibri"/>
                <w:color w:val="000000"/>
                <w:sz w:val="20"/>
                <w:szCs w:val="20"/>
              </w:rPr>
            </w:pPr>
            <w:r w:rsidRPr="00EE5714">
              <w:rPr>
                <w:rFonts w:ascii="Calibri" w:eastAsia="Times New Roman" w:hAnsi="Calibri" w:cs="Calibri"/>
                <w:b/>
                <w:i/>
                <w:color w:val="000000"/>
                <w:sz w:val="21"/>
                <w:szCs w:val="21"/>
              </w:rPr>
              <w:t>Electric Industry Average</w:t>
            </w:r>
          </w:p>
        </w:tc>
        <w:tc>
          <w:tcPr>
            <w:tcW w:w="1395" w:type="dxa"/>
            <w:shd w:val="clear" w:color="auto" w:fill="F2F2F2" w:themeFill="background1" w:themeFillShade="F2"/>
            <w:noWrap/>
            <w:vAlign w:val="center"/>
            <w:hideMark/>
          </w:tcPr>
          <w:p w14:paraId="152916E4"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20.37</w:t>
            </w:r>
          </w:p>
        </w:tc>
        <w:tc>
          <w:tcPr>
            <w:tcW w:w="1395" w:type="dxa"/>
            <w:shd w:val="clear" w:color="auto" w:fill="F2F2F2" w:themeFill="background1" w:themeFillShade="F2"/>
            <w:noWrap/>
            <w:vAlign w:val="center"/>
            <w:hideMark/>
          </w:tcPr>
          <w:p w14:paraId="645FE0B9"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8.47</w:t>
            </w:r>
          </w:p>
        </w:tc>
        <w:tc>
          <w:tcPr>
            <w:tcW w:w="1395" w:type="dxa"/>
            <w:shd w:val="clear" w:color="auto" w:fill="F2F2F2" w:themeFill="background1" w:themeFillShade="F2"/>
            <w:noWrap/>
            <w:vAlign w:val="center"/>
            <w:hideMark/>
          </w:tcPr>
          <w:p w14:paraId="4D3D0661"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6.25</w:t>
            </w:r>
          </w:p>
        </w:tc>
        <w:tc>
          <w:tcPr>
            <w:tcW w:w="1395" w:type="dxa"/>
            <w:shd w:val="clear" w:color="auto" w:fill="F2F2F2" w:themeFill="background1" w:themeFillShade="F2"/>
            <w:noWrap/>
            <w:vAlign w:val="center"/>
            <w:hideMark/>
          </w:tcPr>
          <w:p w14:paraId="392A83AA"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14.23</w:t>
            </w:r>
          </w:p>
        </w:tc>
        <w:tc>
          <w:tcPr>
            <w:tcW w:w="1395" w:type="dxa"/>
            <w:shd w:val="clear" w:color="auto" w:fill="F2F2F2" w:themeFill="background1" w:themeFillShade="F2"/>
            <w:noWrap/>
            <w:vAlign w:val="center"/>
            <w:hideMark/>
          </w:tcPr>
          <w:p w14:paraId="2F09F517"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5.72</w:t>
            </w:r>
          </w:p>
        </w:tc>
        <w:tc>
          <w:tcPr>
            <w:tcW w:w="1035" w:type="dxa"/>
            <w:shd w:val="clear" w:color="auto" w:fill="F2F2F2" w:themeFill="background1" w:themeFillShade="F2"/>
            <w:vAlign w:val="center"/>
          </w:tcPr>
          <w:p w14:paraId="2C0C2F26"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4.37</w:t>
            </w:r>
          </w:p>
        </w:tc>
      </w:tr>
      <w:tr w:rsidR="00F303E0" w:rsidRPr="00EE5714" w14:paraId="2B506B74" w14:textId="77777777" w:rsidTr="00E92A67">
        <w:trPr>
          <w:trHeight w:hRule="exact" w:val="245"/>
        </w:trPr>
        <w:tc>
          <w:tcPr>
            <w:tcW w:w="1980" w:type="dxa"/>
          </w:tcPr>
          <w:p w14:paraId="567D34FA" w14:textId="77777777" w:rsidR="00F303E0" w:rsidRPr="00EE5714" w:rsidRDefault="00F303E0" w:rsidP="000A514C">
            <w:pPr>
              <w:keepNext/>
              <w:keepLines/>
              <w:rPr>
                <w:rFonts w:ascii="Calibri" w:eastAsia="Times New Roman" w:hAnsi="Calibri" w:cs="Calibri"/>
                <w:color w:val="000000"/>
                <w:sz w:val="20"/>
                <w:szCs w:val="20"/>
              </w:rPr>
            </w:pPr>
          </w:p>
        </w:tc>
        <w:tc>
          <w:tcPr>
            <w:tcW w:w="1395" w:type="dxa"/>
            <w:shd w:val="clear" w:color="auto" w:fill="auto"/>
            <w:noWrap/>
            <w:vAlign w:val="center"/>
            <w:hideMark/>
          </w:tcPr>
          <w:p w14:paraId="1C662C45" w14:textId="77777777" w:rsidR="00F303E0" w:rsidRPr="00EE5714" w:rsidRDefault="00F303E0" w:rsidP="000A514C">
            <w:pPr>
              <w:keepNext/>
              <w:keepLines/>
              <w:jc w:val="center"/>
              <w:rPr>
                <w:rFonts w:ascii="Calibri" w:eastAsia="Times New Roman" w:hAnsi="Calibri" w:cs="Calibri"/>
                <w:color w:val="000000"/>
                <w:sz w:val="21"/>
                <w:szCs w:val="21"/>
              </w:rPr>
            </w:pPr>
          </w:p>
        </w:tc>
        <w:tc>
          <w:tcPr>
            <w:tcW w:w="1395" w:type="dxa"/>
            <w:shd w:val="clear" w:color="auto" w:fill="auto"/>
            <w:noWrap/>
            <w:vAlign w:val="center"/>
            <w:hideMark/>
          </w:tcPr>
          <w:p w14:paraId="16BD178E" w14:textId="77777777" w:rsidR="00F303E0" w:rsidRPr="00EE5714" w:rsidRDefault="00F303E0" w:rsidP="000A514C">
            <w:pPr>
              <w:keepNext/>
              <w:keepLines/>
              <w:jc w:val="center"/>
              <w:rPr>
                <w:rFonts w:ascii="Calibri" w:eastAsia="Times New Roman" w:hAnsi="Calibri" w:cs="Calibri"/>
                <w:color w:val="000000"/>
                <w:sz w:val="21"/>
                <w:szCs w:val="21"/>
              </w:rPr>
            </w:pPr>
          </w:p>
        </w:tc>
        <w:tc>
          <w:tcPr>
            <w:tcW w:w="1395" w:type="dxa"/>
            <w:shd w:val="clear" w:color="auto" w:fill="auto"/>
            <w:noWrap/>
            <w:vAlign w:val="center"/>
            <w:hideMark/>
          </w:tcPr>
          <w:p w14:paraId="6F3D56CF" w14:textId="77777777" w:rsidR="00F303E0" w:rsidRPr="00EE5714" w:rsidRDefault="00F303E0" w:rsidP="000A514C">
            <w:pPr>
              <w:keepNext/>
              <w:keepLines/>
              <w:jc w:val="center"/>
              <w:rPr>
                <w:rFonts w:ascii="Calibri" w:eastAsia="Times New Roman" w:hAnsi="Calibri" w:cs="Calibri"/>
                <w:sz w:val="21"/>
                <w:szCs w:val="21"/>
              </w:rPr>
            </w:pPr>
          </w:p>
        </w:tc>
        <w:tc>
          <w:tcPr>
            <w:tcW w:w="1395" w:type="dxa"/>
            <w:shd w:val="clear" w:color="auto" w:fill="auto"/>
            <w:noWrap/>
            <w:vAlign w:val="center"/>
            <w:hideMark/>
          </w:tcPr>
          <w:p w14:paraId="1F383432" w14:textId="77777777" w:rsidR="00F303E0" w:rsidRPr="00EE5714" w:rsidRDefault="00F303E0" w:rsidP="000A514C">
            <w:pPr>
              <w:keepNext/>
              <w:keepLines/>
              <w:jc w:val="center"/>
              <w:rPr>
                <w:rFonts w:ascii="Calibri" w:eastAsia="Times New Roman" w:hAnsi="Calibri" w:cs="Calibri"/>
                <w:color w:val="000000"/>
                <w:sz w:val="21"/>
                <w:szCs w:val="21"/>
              </w:rPr>
            </w:pPr>
          </w:p>
        </w:tc>
        <w:tc>
          <w:tcPr>
            <w:tcW w:w="1395" w:type="dxa"/>
            <w:shd w:val="clear" w:color="auto" w:fill="auto"/>
            <w:noWrap/>
            <w:vAlign w:val="center"/>
            <w:hideMark/>
          </w:tcPr>
          <w:p w14:paraId="4A371258" w14:textId="77777777" w:rsidR="00F303E0" w:rsidRPr="00EE5714" w:rsidRDefault="00F303E0" w:rsidP="000A514C">
            <w:pPr>
              <w:keepNext/>
              <w:keepLines/>
              <w:jc w:val="center"/>
              <w:rPr>
                <w:rFonts w:ascii="Calibri" w:eastAsia="Times New Roman" w:hAnsi="Calibri" w:cs="Calibri"/>
                <w:color w:val="000000"/>
                <w:sz w:val="21"/>
                <w:szCs w:val="21"/>
              </w:rPr>
            </w:pPr>
          </w:p>
        </w:tc>
        <w:tc>
          <w:tcPr>
            <w:tcW w:w="1035" w:type="dxa"/>
            <w:vAlign w:val="center"/>
          </w:tcPr>
          <w:p w14:paraId="3DC78BF1" w14:textId="77777777" w:rsidR="00F303E0" w:rsidRPr="00EE5714" w:rsidRDefault="00F303E0" w:rsidP="000A514C">
            <w:pPr>
              <w:keepNext/>
              <w:keepLines/>
              <w:jc w:val="center"/>
              <w:rPr>
                <w:rFonts w:ascii="Calibri" w:eastAsia="Times New Roman" w:hAnsi="Calibri" w:cs="Calibri"/>
                <w:color w:val="000000"/>
                <w:sz w:val="21"/>
                <w:szCs w:val="21"/>
              </w:rPr>
            </w:pPr>
          </w:p>
        </w:tc>
      </w:tr>
      <w:tr w:rsidR="00F303E0" w:rsidRPr="00EE5714" w14:paraId="60E544EC" w14:textId="77777777" w:rsidTr="00E92A67">
        <w:trPr>
          <w:trHeight w:hRule="exact" w:val="245"/>
        </w:trPr>
        <w:tc>
          <w:tcPr>
            <w:tcW w:w="1980" w:type="dxa"/>
          </w:tcPr>
          <w:p w14:paraId="4736FEE2" w14:textId="77777777" w:rsidR="00F303E0" w:rsidRPr="00EE5714" w:rsidRDefault="00F303E0" w:rsidP="000A514C">
            <w:pPr>
              <w:keepNext/>
              <w:keepLines/>
              <w:rPr>
                <w:rFonts w:ascii="Calibri" w:eastAsia="Times New Roman" w:hAnsi="Calibri" w:cs="Calibri"/>
                <w:color w:val="000000"/>
                <w:sz w:val="20"/>
                <w:szCs w:val="20"/>
              </w:rPr>
            </w:pPr>
            <w:r w:rsidRPr="00EE5714">
              <w:rPr>
                <w:rFonts w:ascii="Calibri" w:hAnsi="Calibri" w:cs="Calibri"/>
                <w:b/>
                <w:sz w:val="21"/>
                <w:szCs w:val="21"/>
              </w:rPr>
              <w:t xml:space="preserve">Duquesne </w:t>
            </w:r>
          </w:p>
        </w:tc>
        <w:tc>
          <w:tcPr>
            <w:tcW w:w="1395" w:type="dxa"/>
            <w:shd w:val="clear" w:color="auto" w:fill="auto"/>
            <w:noWrap/>
            <w:vAlign w:val="center"/>
            <w:hideMark/>
          </w:tcPr>
          <w:p w14:paraId="23DCF15B"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36.00</w:t>
            </w:r>
          </w:p>
        </w:tc>
        <w:tc>
          <w:tcPr>
            <w:tcW w:w="1395" w:type="dxa"/>
            <w:shd w:val="clear" w:color="auto" w:fill="auto"/>
            <w:noWrap/>
            <w:vAlign w:val="center"/>
            <w:hideMark/>
          </w:tcPr>
          <w:p w14:paraId="6E23EDF2"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11.91</w:t>
            </w:r>
          </w:p>
        </w:tc>
        <w:tc>
          <w:tcPr>
            <w:tcW w:w="1395" w:type="dxa"/>
            <w:shd w:val="clear" w:color="auto" w:fill="auto"/>
            <w:noWrap/>
            <w:vAlign w:val="center"/>
            <w:hideMark/>
          </w:tcPr>
          <w:p w14:paraId="736C5E76"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8.53</w:t>
            </w:r>
          </w:p>
        </w:tc>
        <w:tc>
          <w:tcPr>
            <w:tcW w:w="1395" w:type="dxa"/>
            <w:shd w:val="clear" w:color="auto" w:fill="auto"/>
            <w:noWrap/>
            <w:vAlign w:val="center"/>
            <w:hideMark/>
          </w:tcPr>
          <w:p w14:paraId="1F70D752"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22.41</w:t>
            </w:r>
          </w:p>
        </w:tc>
        <w:tc>
          <w:tcPr>
            <w:tcW w:w="1395" w:type="dxa"/>
            <w:shd w:val="clear" w:color="auto" w:fill="auto"/>
            <w:noWrap/>
            <w:vAlign w:val="center"/>
            <w:hideMark/>
          </w:tcPr>
          <w:p w14:paraId="47012168"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8.47</w:t>
            </w:r>
          </w:p>
        </w:tc>
        <w:tc>
          <w:tcPr>
            <w:tcW w:w="1035" w:type="dxa"/>
            <w:vAlign w:val="center"/>
          </w:tcPr>
          <w:p w14:paraId="116B6A9A"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6.67</w:t>
            </w:r>
          </w:p>
        </w:tc>
      </w:tr>
      <w:tr w:rsidR="00F303E0" w:rsidRPr="00EE5714" w14:paraId="15840943" w14:textId="77777777" w:rsidTr="00E92A67">
        <w:trPr>
          <w:trHeight w:hRule="exact" w:val="245"/>
        </w:trPr>
        <w:tc>
          <w:tcPr>
            <w:tcW w:w="1980" w:type="dxa"/>
          </w:tcPr>
          <w:p w14:paraId="56920DAA" w14:textId="77777777" w:rsidR="00F303E0" w:rsidRPr="00EE5714" w:rsidRDefault="00F303E0" w:rsidP="000A514C">
            <w:pPr>
              <w:keepNext/>
              <w:keepLines/>
              <w:rPr>
                <w:rFonts w:ascii="Calibri" w:eastAsia="Times New Roman" w:hAnsi="Calibri" w:cs="Calibri"/>
                <w:color w:val="000000"/>
                <w:sz w:val="20"/>
                <w:szCs w:val="20"/>
              </w:rPr>
            </w:pPr>
            <w:r w:rsidRPr="00EE5714">
              <w:rPr>
                <w:rFonts w:ascii="Calibri" w:hAnsi="Calibri" w:cs="Calibri"/>
                <w:b/>
                <w:sz w:val="21"/>
                <w:szCs w:val="21"/>
              </w:rPr>
              <w:t>Met-Ed</w:t>
            </w:r>
          </w:p>
        </w:tc>
        <w:tc>
          <w:tcPr>
            <w:tcW w:w="1395" w:type="dxa"/>
            <w:shd w:val="clear" w:color="auto" w:fill="auto"/>
            <w:noWrap/>
            <w:vAlign w:val="center"/>
            <w:hideMark/>
          </w:tcPr>
          <w:p w14:paraId="3C231D3B"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12.52</w:t>
            </w:r>
          </w:p>
        </w:tc>
        <w:tc>
          <w:tcPr>
            <w:tcW w:w="1395" w:type="dxa"/>
            <w:shd w:val="clear" w:color="auto" w:fill="auto"/>
            <w:noWrap/>
            <w:vAlign w:val="center"/>
            <w:hideMark/>
          </w:tcPr>
          <w:p w14:paraId="2A253E8C"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5.16</w:t>
            </w:r>
          </w:p>
        </w:tc>
        <w:tc>
          <w:tcPr>
            <w:tcW w:w="1395" w:type="dxa"/>
            <w:shd w:val="clear" w:color="auto" w:fill="auto"/>
            <w:noWrap/>
            <w:vAlign w:val="center"/>
            <w:hideMark/>
          </w:tcPr>
          <w:p w14:paraId="71DD39BA"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4.42</w:t>
            </w:r>
          </w:p>
        </w:tc>
        <w:tc>
          <w:tcPr>
            <w:tcW w:w="1395" w:type="dxa"/>
            <w:shd w:val="clear" w:color="auto" w:fill="auto"/>
            <w:noWrap/>
            <w:vAlign w:val="center"/>
            <w:hideMark/>
          </w:tcPr>
          <w:p w14:paraId="4EFC8F9A"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15.43</w:t>
            </w:r>
          </w:p>
        </w:tc>
        <w:tc>
          <w:tcPr>
            <w:tcW w:w="1395" w:type="dxa"/>
            <w:shd w:val="clear" w:color="auto" w:fill="auto"/>
            <w:noWrap/>
            <w:vAlign w:val="center"/>
            <w:hideMark/>
          </w:tcPr>
          <w:p w14:paraId="4A1DEAAD"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4.11</w:t>
            </w:r>
          </w:p>
        </w:tc>
        <w:tc>
          <w:tcPr>
            <w:tcW w:w="1035" w:type="dxa"/>
            <w:vAlign w:val="center"/>
          </w:tcPr>
          <w:p w14:paraId="78C0BF9E"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5.98</w:t>
            </w:r>
          </w:p>
        </w:tc>
      </w:tr>
      <w:tr w:rsidR="00F303E0" w:rsidRPr="00EE5714" w14:paraId="665EC829" w14:textId="77777777" w:rsidTr="00E92A67">
        <w:trPr>
          <w:trHeight w:hRule="exact" w:val="245"/>
        </w:trPr>
        <w:tc>
          <w:tcPr>
            <w:tcW w:w="1980" w:type="dxa"/>
          </w:tcPr>
          <w:p w14:paraId="0564025F" w14:textId="77777777" w:rsidR="00F303E0" w:rsidRPr="00EE5714" w:rsidRDefault="00F303E0" w:rsidP="000A514C">
            <w:pPr>
              <w:keepNext/>
              <w:keepLines/>
              <w:rPr>
                <w:rFonts w:ascii="Calibri" w:eastAsia="Times New Roman" w:hAnsi="Calibri" w:cs="Calibri"/>
                <w:color w:val="000000"/>
                <w:sz w:val="20"/>
                <w:szCs w:val="20"/>
              </w:rPr>
            </w:pPr>
            <w:r w:rsidRPr="00EE5714">
              <w:rPr>
                <w:rFonts w:ascii="Calibri" w:hAnsi="Calibri" w:cs="Calibri"/>
                <w:b/>
                <w:sz w:val="21"/>
                <w:szCs w:val="21"/>
              </w:rPr>
              <w:t>PECO Electric</w:t>
            </w:r>
          </w:p>
        </w:tc>
        <w:tc>
          <w:tcPr>
            <w:tcW w:w="1395" w:type="dxa"/>
            <w:shd w:val="clear" w:color="auto" w:fill="auto"/>
            <w:noWrap/>
            <w:vAlign w:val="center"/>
          </w:tcPr>
          <w:p w14:paraId="68BB9E5F"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20.13</w:t>
            </w:r>
          </w:p>
        </w:tc>
        <w:tc>
          <w:tcPr>
            <w:tcW w:w="1395" w:type="dxa"/>
            <w:shd w:val="clear" w:color="auto" w:fill="auto"/>
            <w:noWrap/>
            <w:vAlign w:val="center"/>
          </w:tcPr>
          <w:p w14:paraId="00B794A2"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11.38</w:t>
            </w:r>
          </w:p>
        </w:tc>
        <w:tc>
          <w:tcPr>
            <w:tcW w:w="1395" w:type="dxa"/>
            <w:shd w:val="clear" w:color="auto" w:fill="auto"/>
            <w:noWrap/>
            <w:vAlign w:val="center"/>
          </w:tcPr>
          <w:p w14:paraId="1DCDB078"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8.47</w:t>
            </w:r>
          </w:p>
        </w:tc>
        <w:tc>
          <w:tcPr>
            <w:tcW w:w="1395" w:type="dxa"/>
            <w:shd w:val="clear" w:color="auto" w:fill="auto"/>
            <w:noWrap/>
            <w:vAlign w:val="center"/>
          </w:tcPr>
          <w:p w14:paraId="76F7A61C"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11.50</w:t>
            </w:r>
          </w:p>
        </w:tc>
        <w:tc>
          <w:tcPr>
            <w:tcW w:w="1395" w:type="dxa"/>
            <w:shd w:val="clear" w:color="auto" w:fill="auto"/>
            <w:noWrap/>
            <w:vAlign w:val="center"/>
          </w:tcPr>
          <w:p w14:paraId="15AC868F"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7.12</w:t>
            </w:r>
          </w:p>
        </w:tc>
        <w:tc>
          <w:tcPr>
            <w:tcW w:w="1035" w:type="dxa"/>
            <w:vAlign w:val="center"/>
          </w:tcPr>
          <w:p w14:paraId="16B2D9EB"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4.72</w:t>
            </w:r>
          </w:p>
        </w:tc>
      </w:tr>
      <w:tr w:rsidR="00F303E0" w:rsidRPr="00EE5714" w14:paraId="397F9159" w14:textId="77777777" w:rsidTr="00E92A67">
        <w:trPr>
          <w:trHeight w:hRule="exact" w:val="245"/>
        </w:trPr>
        <w:tc>
          <w:tcPr>
            <w:tcW w:w="1980" w:type="dxa"/>
          </w:tcPr>
          <w:p w14:paraId="5D31CB26" w14:textId="77777777" w:rsidR="00F303E0" w:rsidRPr="00EE5714" w:rsidRDefault="00F303E0" w:rsidP="000A514C">
            <w:pPr>
              <w:keepNext/>
              <w:keepLines/>
              <w:rPr>
                <w:rFonts w:ascii="Calibri" w:eastAsia="Times New Roman" w:hAnsi="Calibri" w:cs="Calibri"/>
                <w:color w:val="000000"/>
                <w:sz w:val="20"/>
                <w:szCs w:val="20"/>
              </w:rPr>
            </w:pPr>
            <w:proofErr w:type="spellStart"/>
            <w:r w:rsidRPr="00EE5714">
              <w:rPr>
                <w:rFonts w:ascii="Calibri" w:hAnsi="Calibri" w:cs="Calibri"/>
                <w:b/>
                <w:sz w:val="21"/>
                <w:szCs w:val="21"/>
              </w:rPr>
              <w:t>Penelec</w:t>
            </w:r>
            <w:proofErr w:type="spellEnd"/>
          </w:p>
        </w:tc>
        <w:tc>
          <w:tcPr>
            <w:tcW w:w="1395" w:type="dxa"/>
            <w:shd w:val="clear" w:color="auto" w:fill="auto"/>
            <w:noWrap/>
            <w:vAlign w:val="center"/>
            <w:hideMark/>
          </w:tcPr>
          <w:p w14:paraId="5A4B4D1D"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18.44</w:t>
            </w:r>
          </w:p>
        </w:tc>
        <w:tc>
          <w:tcPr>
            <w:tcW w:w="1395" w:type="dxa"/>
            <w:shd w:val="clear" w:color="auto" w:fill="auto"/>
            <w:noWrap/>
            <w:vAlign w:val="center"/>
            <w:hideMark/>
          </w:tcPr>
          <w:p w14:paraId="15DA4959"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7.18</w:t>
            </w:r>
          </w:p>
        </w:tc>
        <w:tc>
          <w:tcPr>
            <w:tcW w:w="1395" w:type="dxa"/>
            <w:shd w:val="clear" w:color="auto" w:fill="auto"/>
            <w:noWrap/>
            <w:vAlign w:val="center"/>
            <w:hideMark/>
          </w:tcPr>
          <w:p w14:paraId="723C9FD0"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6.68</w:t>
            </w:r>
          </w:p>
        </w:tc>
        <w:tc>
          <w:tcPr>
            <w:tcW w:w="1395" w:type="dxa"/>
            <w:shd w:val="clear" w:color="auto" w:fill="auto"/>
            <w:noWrap/>
            <w:vAlign w:val="center"/>
            <w:hideMark/>
          </w:tcPr>
          <w:p w14:paraId="1ACBEF84"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10.28</w:t>
            </w:r>
          </w:p>
        </w:tc>
        <w:tc>
          <w:tcPr>
            <w:tcW w:w="1395" w:type="dxa"/>
            <w:shd w:val="clear" w:color="auto" w:fill="auto"/>
            <w:noWrap/>
            <w:vAlign w:val="center"/>
            <w:hideMark/>
          </w:tcPr>
          <w:p w14:paraId="1CB065A9"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3.29</w:t>
            </w:r>
          </w:p>
        </w:tc>
        <w:tc>
          <w:tcPr>
            <w:tcW w:w="1035" w:type="dxa"/>
            <w:vAlign w:val="center"/>
          </w:tcPr>
          <w:p w14:paraId="3638BB8B"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2.76</w:t>
            </w:r>
          </w:p>
        </w:tc>
      </w:tr>
      <w:tr w:rsidR="00F303E0" w:rsidRPr="00EE5714" w14:paraId="6F49EAC3" w14:textId="77777777" w:rsidTr="00E92A67">
        <w:trPr>
          <w:trHeight w:hRule="exact" w:val="245"/>
        </w:trPr>
        <w:tc>
          <w:tcPr>
            <w:tcW w:w="1980" w:type="dxa"/>
          </w:tcPr>
          <w:p w14:paraId="6DF7D29B" w14:textId="77777777" w:rsidR="00F303E0" w:rsidRPr="00EE5714" w:rsidRDefault="00F303E0" w:rsidP="000A514C">
            <w:pPr>
              <w:keepNext/>
              <w:keepLines/>
              <w:rPr>
                <w:rFonts w:ascii="Calibri" w:eastAsia="Times New Roman" w:hAnsi="Calibri" w:cs="Calibri"/>
                <w:color w:val="000000"/>
                <w:sz w:val="20"/>
                <w:szCs w:val="20"/>
              </w:rPr>
            </w:pPr>
            <w:r w:rsidRPr="00EE5714">
              <w:rPr>
                <w:rFonts w:ascii="Calibri" w:hAnsi="Calibri" w:cs="Calibri"/>
                <w:b/>
                <w:sz w:val="21"/>
                <w:szCs w:val="21"/>
              </w:rPr>
              <w:t>Penn Power</w:t>
            </w:r>
          </w:p>
        </w:tc>
        <w:tc>
          <w:tcPr>
            <w:tcW w:w="1395" w:type="dxa"/>
            <w:shd w:val="clear" w:color="auto" w:fill="auto"/>
            <w:noWrap/>
            <w:vAlign w:val="center"/>
            <w:hideMark/>
          </w:tcPr>
          <w:p w14:paraId="575764E4"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23.69</w:t>
            </w:r>
          </w:p>
        </w:tc>
        <w:tc>
          <w:tcPr>
            <w:tcW w:w="1395" w:type="dxa"/>
            <w:shd w:val="clear" w:color="auto" w:fill="auto"/>
            <w:noWrap/>
            <w:vAlign w:val="center"/>
            <w:hideMark/>
          </w:tcPr>
          <w:p w14:paraId="4EC65DE9"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8.62</w:t>
            </w:r>
          </w:p>
        </w:tc>
        <w:tc>
          <w:tcPr>
            <w:tcW w:w="1395" w:type="dxa"/>
            <w:shd w:val="clear" w:color="auto" w:fill="auto"/>
            <w:noWrap/>
            <w:vAlign w:val="center"/>
            <w:hideMark/>
          </w:tcPr>
          <w:p w14:paraId="2B0DA0BE"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7.61</w:t>
            </w:r>
          </w:p>
        </w:tc>
        <w:tc>
          <w:tcPr>
            <w:tcW w:w="1395" w:type="dxa"/>
            <w:shd w:val="clear" w:color="auto" w:fill="auto"/>
            <w:noWrap/>
            <w:vAlign w:val="center"/>
            <w:hideMark/>
          </w:tcPr>
          <w:p w14:paraId="44DC5E7B"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12.46</w:t>
            </w:r>
          </w:p>
        </w:tc>
        <w:tc>
          <w:tcPr>
            <w:tcW w:w="1395" w:type="dxa"/>
            <w:shd w:val="clear" w:color="auto" w:fill="auto"/>
            <w:noWrap/>
            <w:vAlign w:val="center"/>
            <w:hideMark/>
          </w:tcPr>
          <w:p w14:paraId="55217D22"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3.57</w:t>
            </w:r>
          </w:p>
        </w:tc>
        <w:tc>
          <w:tcPr>
            <w:tcW w:w="1035" w:type="dxa"/>
            <w:vAlign w:val="center"/>
          </w:tcPr>
          <w:p w14:paraId="00CA6323"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2.75</w:t>
            </w:r>
          </w:p>
        </w:tc>
      </w:tr>
      <w:tr w:rsidR="00F303E0" w:rsidRPr="00EE5714" w14:paraId="41623C38" w14:textId="77777777" w:rsidTr="00E92A67">
        <w:trPr>
          <w:trHeight w:hRule="exact" w:val="245"/>
        </w:trPr>
        <w:tc>
          <w:tcPr>
            <w:tcW w:w="1980" w:type="dxa"/>
          </w:tcPr>
          <w:p w14:paraId="01C02BC3" w14:textId="77777777" w:rsidR="00F303E0" w:rsidRPr="00EE5714" w:rsidRDefault="00F303E0" w:rsidP="000A514C">
            <w:pPr>
              <w:keepNext/>
              <w:keepLines/>
              <w:rPr>
                <w:rFonts w:ascii="Calibri" w:eastAsia="Times New Roman" w:hAnsi="Calibri" w:cs="Calibri"/>
                <w:color w:val="000000"/>
                <w:sz w:val="20"/>
                <w:szCs w:val="20"/>
              </w:rPr>
            </w:pPr>
            <w:r w:rsidRPr="00EE5714">
              <w:rPr>
                <w:rFonts w:ascii="Calibri" w:hAnsi="Calibri" w:cs="Calibri"/>
                <w:b/>
                <w:sz w:val="21"/>
                <w:szCs w:val="21"/>
              </w:rPr>
              <w:t>PPL</w:t>
            </w:r>
          </w:p>
        </w:tc>
        <w:tc>
          <w:tcPr>
            <w:tcW w:w="1395" w:type="dxa"/>
            <w:shd w:val="clear" w:color="auto" w:fill="auto"/>
            <w:noWrap/>
            <w:vAlign w:val="center"/>
            <w:hideMark/>
          </w:tcPr>
          <w:p w14:paraId="445B8CAA" w14:textId="77777777" w:rsidR="00F303E0" w:rsidRPr="00EE5714" w:rsidRDefault="00F303E0" w:rsidP="000A514C">
            <w:pPr>
              <w:keepNext/>
              <w:keepLines/>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14.82</w:t>
            </w:r>
          </w:p>
        </w:tc>
        <w:tc>
          <w:tcPr>
            <w:tcW w:w="1395" w:type="dxa"/>
            <w:shd w:val="clear" w:color="auto" w:fill="auto"/>
            <w:noWrap/>
            <w:vAlign w:val="center"/>
            <w:hideMark/>
          </w:tcPr>
          <w:p w14:paraId="073031C7" w14:textId="77777777" w:rsidR="00F303E0" w:rsidRPr="00EE5714" w:rsidRDefault="00F303E0" w:rsidP="000A514C">
            <w:pPr>
              <w:keepNext/>
              <w:keepLines/>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7.55</w:t>
            </w:r>
          </w:p>
        </w:tc>
        <w:tc>
          <w:tcPr>
            <w:tcW w:w="1395" w:type="dxa"/>
            <w:shd w:val="clear" w:color="auto" w:fill="auto"/>
            <w:noWrap/>
            <w:vAlign w:val="center"/>
            <w:hideMark/>
          </w:tcPr>
          <w:p w14:paraId="5EF24581" w14:textId="77777777" w:rsidR="00F303E0" w:rsidRPr="00EE5714" w:rsidRDefault="00F303E0" w:rsidP="000A514C">
            <w:pPr>
              <w:keepNext/>
              <w:keepLines/>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4.58</w:t>
            </w:r>
          </w:p>
        </w:tc>
        <w:tc>
          <w:tcPr>
            <w:tcW w:w="1395" w:type="dxa"/>
            <w:shd w:val="clear" w:color="auto" w:fill="auto"/>
            <w:noWrap/>
            <w:vAlign w:val="center"/>
            <w:hideMark/>
          </w:tcPr>
          <w:p w14:paraId="0F615822" w14:textId="77777777" w:rsidR="00F303E0" w:rsidRPr="00EE5714" w:rsidRDefault="00F303E0" w:rsidP="000A514C">
            <w:pPr>
              <w:keepNext/>
              <w:keepLines/>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14.08</w:t>
            </w:r>
          </w:p>
        </w:tc>
        <w:tc>
          <w:tcPr>
            <w:tcW w:w="1395" w:type="dxa"/>
            <w:shd w:val="clear" w:color="auto" w:fill="auto"/>
            <w:noWrap/>
            <w:vAlign w:val="center"/>
            <w:hideMark/>
          </w:tcPr>
          <w:p w14:paraId="247EC3E7"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7.23</w:t>
            </w:r>
          </w:p>
        </w:tc>
        <w:tc>
          <w:tcPr>
            <w:tcW w:w="1035" w:type="dxa"/>
            <w:vAlign w:val="center"/>
          </w:tcPr>
          <w:p w14:paraId="2E2E4D8F"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4.43</w:t>
            </w:r>
          </w:p>
        </w:tc>
      </w:tr>
      <w:tr w:rsidR="00F303E0" w:rsidRPr="00EE5714" w14:paraId="282FD234" w14:textId="77777777" w:rsidTr="00E92A67">
        <w:trPr>
          <w:trHeight w:hRule="exact" w:val="245"/>
        </w:trPr>
        <w:tc>
          <w:tcPr>
            <w:tcW w:w="1980" w:type="dxa"/>
          </w:tcPr>
          <w:p w14:paraId="70ACFEF1" w14:textId="77777777" w:rsidR="00F303E0" w:rsidRPr="00EE5714" w:rsidRDefault="00F303E0" w:rsidP="000A514C">
            <w:pPr>
              <w:keepNext/>
              <w:keepLines/>
              <w:rPr>
                <w:rFonts w:ascii="Calibri" w:eastAsia="Times New Roman" w:hAnsi="Calibri" w:cs="Calibri"/>
                <w:color w:val="000000"/>
                <w:sz w:val="20"/>
                <w:szCs w:val="20"/>
              </w:rPr>
            </w:pPr>
            <w:r w:rsidRPr="00EE5714">
              <w:rPr>
                <w:rFonts w:ascii="Calibri" w:hAnsi="Calibri" w:cs="Calibri"/>
                <w:b/>
                <w:sz w:val="21"/>
                <w:szCs w:val="21"/>
              </w:rPr>
              <w:t xml:space="preserve">West Penn </w:t>
            </w:r>
          </w:p>
        </w:tc>
        <w:tc>
          <w:tcPr>
            <w:tcW w:w="1395" w:type="dxa"/>
            <w:shd w:val="clear" w:color="auto" w:fill="auto"/>
            <w:noWrap/>
            <w:vAlign w:val="center"/>
            <w:hideMark/>
          </w:tcPr>
          <w:p w14:paraId="37BD5225" w14:textId="77777777" w:rsidR="00F303E0" w:rsidRPr="00EE5714" w:rsidRDefault="00F303E0" w:rsidP="000A514C">
            <w:pPr>
              <w:keepNext/>
              <w:keepLines/>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27.23</w:t>
            </w:r>
          </w:p>
        </w:tc>
        <w:tc>
          <w:tcPr>
            <w:tcW w:w="1395" w:type="dxa"/>
            <w:shd w:val="clear" w:color="auto" w:fill="auto"/>
            <w:noWrap/>
            <w:vAlign w:val="center"/>
            <w:hideMark/>
          </w:tcPr>
          <w:p w14:paraId="7505332C" w14:textId="77777777" w:rsidR="00F303E0" w:rsidRPr="00EE5714" w:rsidRDefault="00F303E0" w:rsidP="000A514C">
            <w:pPr>
              <w:keepNext/>
              <w:keepLines/>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8.24</w:t>
            </w:r>
          </w:p>
        </w:tc>
        <w:tc>
          <w:tcPr>
            <w:tcW w:w="1395" w:type="dxa"/>
            <w:shd w:val="clear" w:color="auto" w:fill="auto"/>
            <w:noWrap/>
            <w:vAlign w:val="center"/>
            <w:hideMark/>
          </w:tcPr>
          <w:p w14:paraId="6389281A" w14:textId="77777777" w:rsidR="00F303E0" w:rsidRPr="00EE5714" w:rsidRDefault="00F303E0" w:rsidP="000A514C">
            <w:pPr>
              <w:keepNext/>
              <w:keepLines/>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7.16</w:t>
            </w:r>
          </w:p>
        </w:tc>
        <w:tc>
          <w:tcPr>
            <w:tcW w:w="1395" w:type="dxa"/>
            <w:shd w:val="clear" w:color="auto" w:fill="auto"/>
            <w:noWrap/>
            <w:vAlign w:val="center"/>
            <w:hideMark/>
          </w:tcPr>
          <w:p w14:paraId="1FD456DF" w14:textId="77777777" w:rsidR="00F303E0" w:rsidRPr="00EE5714" w:rsidRDefault="00F303E0" w:rsidP="000A514C">
            <w:pPr>
              <w:keepNext/>
              <w:keepLines/>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17.19</w:t>
            </w:r>
          </w:p>
        </w:tc>
        <w:tc>
          <w:tcPr>
            <w:tcW w:w="1395" w:type="dxa"/>
            <w:shd w:val="clear" w:color="auto" w:fill="auto"/>
            <w:noWrap/>
            <w:vAlign w:val="center"/>
            <w:hideMark/>
          </w:tcPr>
          <w:p w14:paraId="3015724B"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4.74</w:t>
            </w:r>
          </w:p>
        </w:tc>
        <w:tc>
          <w:tcPr>
            <w:tcW w:w="1035" w:type="dxa"/>
            <w:vAlign w:val="center"/>
          </w:tcPr>
          <w:p w14:paraId="41CE7373" w14:textId="77777777" w:rsidR="00F303E0" w:rsidRPr="00EE5714" w:rsidRDefault="00F303E0" w:rsidP="000A514C">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3.54</w:t>
            </w:r>
          </w:p>
        </w:tc>
      </w:tr>
    </w:tbl>
    <w:p w14:paraId="4D9FDD0C" w14:textId="77777777" w:rsidR="00F303E0" w:rsidRPr="00EE5714" w:rsidRDefault="00F303E0" w:rsidP="00F303E0">
      <w:pPr>
        <w:rPr>
          <w:rFonts w:ascii="Times New Roman" w:eastAsiaTheme="minorEastAsia" w:hAnsi="Times New Roman" w:cs="Times New Roman"/>
          <w:b/>
          <w:color w:val="2F5496" w:themeColor="accent1" w:themeShade="BF"/>
          <w:sz w:val="8"/>
          <w:szCs w:val="26"/>
        </w:rPr>
      </w:pPr>
      <w:r w:rsidRPr="00EE5714">
        <w:rPr>
          <w:rFonts w:ascii="Times New Roman" w:hAnsi="Times New Roman" w:cs="Times New Roman"/>
          <w:b/>
          <w:color w:val="2F5496" w:themeColor="accent1" w:themeShade="BF"/>
          <w:sz w:val="20"/>
          <w:szCs w:val="26"/>
        </w:rPr>
        <w:br w:type="page"/>
      </w:r>
    </w:p>
    <w:p w14:paraId="08EFEC21" w14:textId="43C56042" w:rsidR="00F303E0" w:rsidRPr="00EE5714" w:rsidRDefault="00F857A1" w:rsidP="00F303E0">
      <w:pPr>
        <w:pStyle w:val="Heading2"/>
      </w:pPr>
      <w:bookmarkStart w:id="56" w:name="_Toc533674873"/>
      <w:bookmarkStart w:id="57" w:name="_Toc534547878"/>
      <w:r w:rsidRPr="00EE5714">
        <w:lastRenderedPageBreak/>
        <w:t>Appendix 3</w:t>
      </w:r>
      <w:r w:rsidR="00F303E0" w:rsidRPr="00EE5714">
        <w:t xml:space="preserve"> – Impact of LIHEAP Grants on Energy Burden Levels</w:t>
      </w:r>
      <w:bookmarkEnd w:id="56"/>
      <w:bookmarkEnd w:id="57"/>
    </w:p>
    <w:p w14:paraId="77426E80" w14:textId="77777777" w:rsidR="00F303E0" w:rsidRPr="00EE5714" w:rsidRDefault="00F303E0" w:rsidP="00F303E0">
      <w:pPr>
        <w:pStyle w:val="NoSpacing"/>
        <w:rPr>
          <w:rFonts w:cs="Times New Roman"/>
          <w:szCs w:val="26"/>
        </w:rPr>
      </w:pPr>
    </w:p>
    <w:p w14:paraId="4A960D66" w14:textId="77777777" w:rsidR="00F303E0" w:rsidRPr="00EE5714" w:rsidRDefault="00F857A1" w:rsidP="00F303E0">
      <w:pPr>
        <w:pStyle w:val="NoSpacing"/>
        <w:rPr>
          <w:rFonts w:cs="Times New Roman"/>
          <w:i/>
          <w:szCs w:val="26"/>
        </w:rPr>
      </w:pPr>
      <w:r w:rsidRPr="00EE5714">
        <w:rPr>
          <w:rFonts w:cs="Times New Roman"/>
          <w:i/>
          <w:szCs w:val="26"/>
        </w:rPr>
        <w:t>Appendix 3</w:t>
      </w:r>
      <w:r w:rsidR="00F303E0" w:rsidRPr="00EE5714">
        <w:rPr>
          <w:rFonts w:cs="Times New Roman"/>
          <w:i/>
          <w:szCs w:val="26"/>
        </w:rPr>
        <w:t xml:space="preserve">.A: Tables 4-1 to 4-9 Impact of LIHEAP Grants on Energy Burdens for CAP Customers </w:t>
      </w:r>
    </w:p>
    <w:p w14:paraId="798CE748" w14:textId="77777777" w:rsidR="00F303E0" w:rsidRPr="00EE5714" w:rsidRDefault="00F303E0" w:rsidP="00F303E0">
      <w:pPr>
        <w:pStyle w:val="NoSpacing"/>
        <w:rPr>
          <w:rFonts w:cs="Times New Roman"/>
          <w:szCs w:val="26"/>
        </w:rPr>
      </w:pPr>
    </w:p>
    <w:p w14:paraId="2D919E35" w14:textId="77777777" w:rsidR="00F303E0" w:rsidRPr="00EE5714" w:rsidRDefault="00F303E0" w:rsidP="00F303E0">
      <w:pPr>
        <w:pStyle w:val="NoSpacing"/>
        <w:rPr>
          <w:rFonts w:cs="Times New Roman"/>
          <w:szCs w:val="26"/>
        </w:rPr>
      </w:pPr>
      <w:r w:rsidRPr="00EE5714">
        <w:rPr>
          <w:rFonts w:cs="Times New Roman"/>
          <w:szCs w:val="26"/>
        </w:rPr>
        <w:t>The impact of LIHEAP on energy burdens is shown for gas and electric heating and non-heating LIHEAP recipients for all FPIG levels using the average dollar amount of LIHEAP grants applied and the average CAP bill.  The utilities that did not provide all three of the data points (LIHEAP Recipient CAP Bill, LIHEAP Dollars and LIHEAP Recipient CAP Income) necessary for this analysis by heat type or poverty level are excluded.  Some utilities provided estimates for some data points.</w:t>
      </w:r>
    </w:p>
    <w:p w14:paraId="466F2435" w14:textId="77777777" w:rsidR="00EB5502" w:rsidRPr="00EE5714" w:rsidRDefault="00EB5502" w:rsidP="00EB5502">
      <w:pPr>
        <w:spacing w:line="240" w:lineRule="auto"/>
        <w:rPr>
          <w:rFonts w:ascii="Times New Roman" w:hAnsi="Times New Roman" w:cs="Times New Roman"/>
          <w:sz w:val="26"/>
          <w:szCs w:val="26"/>
        </w:rPr>
      </w:pPr>
    </w:p>
    <w:tbl>
      <w:tblPr>
        <w:tblpPr w:leftFromText="187" w:rightFromText="187" w:vertAnchor="text" w:horzAnchor="page" w:tblpX="1118" w:tblpY="332"/>
        <w:tblW w:w="10070" w:type="dxa"/>
        <w:tblLayout w:type="fixed"/>
        <w:tblCellMar>
          <w:left w:w="115" w:type="dxa"/>
          <w:right w:w="115" w:type="dxa"/>
        </w:tblCellMar>
        <w:tblLook w:val="04A0" w:firstRow="1" w:lastRow="0" w:firstColumn="1" w:lastColumn="0" w:noHBand="0" w:noVBand="1"/>
      </w:tblPr>
      <w:tblGrid>
        <w:gridCol w:w="1070"/>
        <w:gridCol w:w="900"/>
        <w:gridCol w:w="990"/>
        <w:gridCol w:w="900"/>
        <w:gridCol w:w="900"/>
        <w:gridCol w:w="900"/>
        <w:gridCol w:w="900"/>
        <w:gridCol w:w="900"/>
        <w:gridCol w:w="900"/>
        <w:gridCol w:w="900"/>
        <w:gridCol w:w="810"/>
      </w:tblGrid>
      <w:tr w:rsidR="00E92B04" w:rsidRPr="00EE5714" w14:paraId="3BF9AB86" w14:textId="77777777" w:rsidTr="00E92A67">
        <w:trPr>
          <w:trHeight w:hRule="exact" w:val="418"/>
        </w:trPr>
        <w:tc>
          <w:tcPr>
            <w:tcW w:w="10070" w:type="dxa"/>
            <w:gridSpan w:val="11"/>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tcPr>
          <w:p w14:paraId="30CCCDA3" w14:textId="77777777" w:rsidR="00EB5502" w:rsidRPr="00EE5714" w:rsidRDefault="00EB5502" w:rsidP="009347E0">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NGDC Energy Burden of CAP LIHEAP Recipients at 0-50% FPIG</w:t>
            </w:r>
          </w:p>
        </w:tc>
      </w:tr>
      <w:tr w:rsidR="00EB5502" w:rsidRPr="00EE5714" w14:paraId="541C18E4" w14:textId="77777777" w:rsidTr="00E92A67">
        <w:trPr>
          <w:trHeight w:hRule="exact" w:val="418"/>
        </w:trPr>
        <w:tc>
          <w:tcPr>
            <w:tcW w:w="107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74360E31" w14:textId="77777777" w:rsidR="00EB5502" w:rsidRPr="00EE5714" w:rsidRDefault="00EB5502" w:rsidP="009347E0">
            <w:pPr>
              <w:keepNext/>
              <w:keepLines/>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590" w:type="dxa"/>
            <w:gridSpan w:val="5"/>
            <w:tcBorders>
              <w:top w:val="single" w:sz="12" w:space="0" w:color="000000"/>
              <w:left w:val="single" w:sz="12" w:space="0" w:color="000000"/>
              <w:bottom w:val="single" w:sz="8" w:space="0" w:color="000000"/>
              <w:right w:val="single" w:sz="12" w:space="0" w:color="000000"/>
            </w:tcBorders>
            <w:shd w:val="clear" w:color="auto" w:fill="auto"/>
            <w:noWrap/>
            <w:hideMark/>
          </w:tcPr>
          <w:p w14:paraId="58CB57D3" w14:textId="77777777" w:rsidR="00EB5502" w:rsidRPr="00EE5714" w:rsidRDefault="00EB5502" w:rsidP="009347E0">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Without LIHEAP Dollars Applied  </w:t>
            </w:r>
          </w:p>
        </w:tc>
        <w:tc>
          <w:tcPr>
            <w:tcW w:w="4410" w:type="dxa"/>
            <w:gridSpan w:val="5"/>
            <w:tcBorders>
              <w:top w:val="single" w:sz="12" w:space="0" w:color="000000"/>
              <w:left w:val="single" w:sz="12" w:space="0" w:color="000000"/>
              <w:bottom w:val="single" w:sz="8" w:space="0" w:color="000000"/>
              <w:right w:val="single" w:sz="12" w:space="0" w:color="000000"/>
            </w:tcBorders>
          </w:tcPr>
          <w:p w14:paraId="0BF51465" w14:textId="77777777" w:rsidR="00EB5502" w:rsidRPr="00EE5714" w:rsidRDefault="00EB5502" w:rsidP="009347E0">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With LIHEAP Dollars Applied</w:t>
            </w:r>
          </w:p>
        </w:tc>
      </w:tr>
      <w:tr w:rsidR="007751BC" w:rsidRPr="00EE5714" w14:paraId="50AA50A6" w14:textId="77777777" w:rsidTr="00200A4C">
        <w:trPr>
          <w:trHeight w:hRule="exact" w:val="418"/>
        </w:trPr>
        <w:tc>
          <w:tcPr>
            <w:tcW w:w="107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54F3D77E" w14:textId="77777777" w:rsidR="00EB5502" w:rsidRPr="00EE5714" w:rsidRDefault="00EB5502" w:rsidP="009347E0">
            <w:pPr>
              <w:keepNext/>
              <w:keepLines/>
              <w:spacing w:after="0" w:line="240" w:lineRule="auto"/>
              <w:rPr>
                <w:rFonts w:ascii="Calibri" w:eastAsia="Times New Roman" w:hAnsi="Calibri" w:cs="Calibri"/>
                <w:color w:val="000000"/>
                <w:sz w:val="21"/>
                <w:szCs w:val="21"/>
              </w:rPr>
            </w:pPr>
          </w:p>
        </w:tc>
        <w:tc>
          <w:tcPr>
            <w:tcW w:w="900" w:type="dxa"/>
            <w:tcBorders>
              <w:top w:val="single" w:sz="8" w:space="0" w:color="000000"/>
              <w:left w:val="single" w:sz="12" w:space="0" w:color="000000"/>
              <w:bottom w:val="single" w:sz="8" w:space="0" w:color="000000"/>
              <w:right w:val="single" w:sz="8" w:space="0" w:color="000000"/>
            </w:tcBorders>
            <w:shd w:val="clear" w:color="auto" w:fill="F2F2F2" w:themeFill="background1" w:themeFillShade="F2"/>
            <w:noWrap/>
          </w:tcPr>
          <w:p w14:paraId="299ECF7F" w14:textId="77777777" w:rsidR="00EB5502" w:rsidRPr="00EE5714" w:rsidRDefault="00EB5502" w:rsidP="009347E0">
            <w:pPr>
              <w:keepNext/>
              <w:keepLines/>
              <w:spacing w:after="0" w:line="240" w:lineRule="auto"/>
              <w:jc w:val="center"/>
              <w:rPr>
                <w:rFonts w:ascii="Calibri" w:hAnsi="Calibri" w:cs="Calibri"/>
                <w:b/>
                <w:color w:val="000000"/>
                <w:sz w:val="21"/>
                <w:szCs w:val="21"/>
              </w:rPr>
            </w:pPr>
            <w:r w:rsidRPr="00EE5714">
              <w:rPr>
                <w:rFonts w:ascii="Calibri" w:hAnsi="Calibri" w:cs="Calibri"/>
                <w:b/>
                <w:color w:val="000000"/>
                <w:sz w:val="21"/>
                <w:szCs w:val="21"/>
              </w:rPr>
              <w:t>2012</w:t>
            </w:r>
          </w:p>
        </w:tc>
        <w:tc>
          <w:tcPr>
            <w:tcW w:w="990" w:type="dxa"/>
            <w:tcBorders>
              <w:top w:val="single" w:sz="8" w:space="0" w:color="000000"/>
              <w:left w:val="single" w:sz="8" w:space="0" w:color="000000"/>
              <w:bottom w:val="single" w:sz="8" w:space="0" w:color="000000"/>
              <w:right w:val="single" w:sz="4" w:space="0" w:color="000000"/>
            </w:tcBorders>
            <w:shd w:val="clear" w:color="auto" w:fill="F2F2F2" w:themeFill="background1" w:themeFillShade="F2"/>
          </w:tcPr>
          <w:p w14:paraId="4C8B02FE" w14:textId="77777777" w:rsidR="00EB5502" w:rsidRPr="00EE5714" w:rsidRDefault="00EB5502" w:rsidP="009347E0">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90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0BFEAB89" w14:textId="77777777" w:rsidR="00EB5502" w:rsidRPr="00EE5714" w:rsidRDefault="00EB5502" w:rsidP="009347E0">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90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44075167" w14:textId="77777777" w:rsidR="00EB5502" w:rsidRPr="00EE5714" w:rsidRDefault="00EB5502" w:rsidP="009347E0">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00" w:type="dxa"/>
            <w:tcBorders>
              <w:top w:val="single" w:sz="8" w:space="0" w:color="000000"/>
              <w:left w:val="nil"/>
              <w:bottom w:val="single" w:sz="8" w:space="0" w:color="000000"/>
              <w:right w:val="single" w:sz="12" w:space="0" w:color="000000"/>
            </w:tcBorders>
            <w:shd w:val="clear" w:color="auto" w:fill="F2F2F2" w:themeFill="background1" w:themeFillShade="F2"/>
            <w:noWrap/>
            <w:hideMark/>
          </w:tcPr>
          <w:p w14:paraId="67CAC3D1" w14:textId="77777777" w:rsidR="00EB5502" w:rsidRPr="00EE5714" w:rsidRDefault="00EB5502" w:rsidP="009347E0">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900" w:type="dxa"/>
            <w:tcBorders>
              <w:top w:val="single" w:sz="8" w:space="0" w:color="000000"/>
              <w:left w:val="single" w:sz="12" w:space="0" w:color="000000"/>
              <w:bottom w:val="single" w:sz="8" w:space="0" w:color="000000"/>
              <w:right w:val="single" w:sz="8" w:space="0" w:color="000000"/>
            </w:tcBorders>
            <w:shd w:val="clear" w:color="auto" w:fill="F2F2F2" w:themeFill="background1" w:themeFillShade="F2"/>
          </w:tcPr>
          <w:p w14:paraId="68C71C3D" w14:textId="77777777" w:rsidR="00EB5502" w:rsidRPr="00EE5714" w:rsidRDefault="00EB5502" w:rsidP="009347E0">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90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9933EE8" w14:textId="77777777" w:rsidR="00EB5502" w:rsidRPr="00EE5714" w:rsidRDefault="00EB5502" w:rsidP="009347E0">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900" w:type="dxa"/>
            <w:tcBorders>
              <w:top w:val="single" w:sz="8" w:space="0" w:color="000000"/>
              <w:left w:val="nil"/>
              <w:bottom w:val="single" w:sz="8" w:space="0" w:color="000000"/>
              <w:right w:val="single" w:sz="8" w:space="0" w:color="000000"/>
            </w:tcBorders>
            <w:shd w:val="clear" w:color="auto" w:fill="F2F2F2" w:themeFill="background1" w:themeFillShade="F2"/>
          </w:tcPr>
          <w:p w14:paraId="60E10F97" w14:textId="77777777" w:rsidR="00EB5502" w:rsidRPr="00EE5714" w:rsidRDefault="00EB5502" w:rsidP="009347E0">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900" w:type="dxa"/>
            <w:tcBorders>
              <w:top w:val="single" w:sz="8" w:space="0" w:color="000000"/>
              <w:left w:val="nil"/>
              <w:bottom w:val="single" w:sz="8" w:space="0" w:color="000000"/>
              <w:right w:val="single" w:sz="8" w:space="0" w:color="000000"/>
            </w:tcBorders>
            <w:shd w:val="clear" w:color="auto" w:fill="F2F2F2" w:themeFill="background1" w:themeFillShade="F2"/>
          </w:tcPr>
          <w:p w14:paraId="351FEE5F" w14:textId="77777777" w:rsidR="00EB5502" w:rsidRPr="00EE5714" w:rsidRDefault="00EB5502" w:rsidP="009347E0">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810" w:type="dxa"/>
            <w:tcBorders>
              <w:top w:val="single" w:sz="8" w:space="0" w:color="000000"/>
              <w:left w:val="nil"/>
              <w:bottom w:val="single" w:sz="8" w:space="0" w:color="000000"/>
              <w:right w:val="single" w:sz="12" w:space="0" w:color="000000"/>
            </w:tcBorders>
            <w:shd w:val="clear" w:color="auto" w:fill="F2F2F2" w:themeFill="background1" w:themeFillShade="F2"/>
          </w:tcPr>
          <w:p w14:paraId="2508762D" w14:textId="77777777" w:rsidR="00EB5502" w:rsidRPr="00EE5714" w:rsidRDefault="00EB5502" w:rsidP="009347E0">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200A4C" w:rsidRPr="00EE5714" w14:paraId="21D11929" w14:textId="77777777" w:rsidTr="00E92A67">
        <w:trPr>
          <w:trHeight w:hRule="exact" w:val="245"/>
        </w:trPr>
        <w:tc>
          <w:tcPr>
            <w:tcW w:w="1070" w:type="dxa"/>
            <w:tcBorders>
              <w:top w:val="single" w:sz="8" w:space="0" w:color="000000"/>
              <w:left w:val="single" w:sz="8" w:space="0" w:color="000000"/>
              <w:bottom w:val="single" w:sz="8" w:space="0" w:color="000000"/>
              <w:right w:val="single" w:sz="12" w:space="0" w:color="000000"/>
            </w:tcBorders>
            <w:shd w:val="clear" w:color="auto" w:fill="auto"/>
            <w:noWrap/>
            <w:vAlign w:val="bottom"/>
          </w:tcPr>
          <w:p w14:paraId="30E4C1E7" w14:textId="77777777" w:rsidR="00EB5502" w:rsidRPr="00EE5714" w:rsidRDefault="00EB5502" w:rsidP="009347E0">
            <w:pPr>
              <w:keepNext/>
              <w:keepLines/>
              <w:spacing w:after="0" w:line="240" w:lineRule="auto"/>
              <w:rPr>
                <w:rFonts w:ascii="Calibri" w:eastAsia="Times New Roman" w:hAnsi="Calibri" w:cs="Calibri"/>
                <w:b/>
                <w:color w:val="000000"/>
                <w:sz w:val="21"/>
                <w:szCs w:val="21"/>
              </w:rPr>
            </w:pPr>
            <w:r w:rsidRPr="00EE5714">
              <w:rPr>
                <w:rFonts w:ascii="Calibri" w:hAnsi="Calibri"/>
                <w:b/>
                <w:sz w:val="21"/>
                <w:szCs w:val="21"/>
              </w:rPr>
              <w:t>Columbia</w:t>
            </w:r>
          </w:p>
        </w:tc>
        <w:tc>
          <w:tcPr>
            <w:tcW w:w="900" w:type="dxa"/>
            <w:tcBorders>
              <w:top w:val="single" w:sz="8" w:space="0" w:color="000000"/>
              <w:left w:val="single" w:sz="12" w:space="0" w:color="000000"/>
              <w:bottom w:val="single" w:sz="8" w:space="0" w:color="000000"/>
              <w:right w:val="single" w:sz="8" w:space="0" w:color="000000"/>
            </w:tcBorders>
            <w:shd w:val="clear" w:color="auto" w:fill="auto"/>
            <w:noWrap/>
            <w:vAlign w:val="center"/>
          </w:tcPr>
          <w:p w14:paraId="52EF8D57"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15.54</w:t>
            </w:r>
          </w:p>
        </w:tc>
        <w:tc>
          <w:tcPr>
            <w:tcW w:w="99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4B0E14F4"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17.79</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7646A004"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19.88</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0E75AF52"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17.66</w:t>
            </w:r>
          </w:p>
        </w:tc>
        <w:tc>
          <w:tcPr>
            <w:tcW w:w="900" w:type="dxa"/>
            <w:tcBorders>
              <w:top w:val="single" w:sz="8" w:space="0" w:color="000000"/>
              <w:left w:val="nil"/>
              <w:bottom w:val="single" w:sz="8" w:space="0" w:color="000000"/>
              <w:right w:val="single" w:sz="12" w:space="0" w:color="000000"/>
            </w:tcBorders>
            <w:shd w:val="clear" w:color="auto" w:fill="auto"/>
            <w:noWrap/>
            <w:vAlign w:val="center"/>
          </w:tcPr>
          <w:p w14:paraId="53D385A0"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13.95</w:t>
            </w:r>
          </w:p>
        </w:tc>
        <w:tc>
          <w:tcPr>
            <w:tcW w:w="900" w:type="dxa"/>
            <w:tcBorders>
              <w:top w:val="single" w:sz="8" w:space="0" w:color="000000"/>
              <w:left w:val="single" w:sz="12" w:space="0" w:color="000000"/>
              <w:bottom w:val="single" w:sz="8" w:space="0" w:color="000000"/>
              <w:right w:val="single" w:sz="8" w:space="0" w:color="000000"/>
            </w:tcBorders>
            <w:shd w:val="clear" w:color="auto" w:fill="auto"/>
          </w:tcPr>
          <w:p w14:paraId="74BA24BD"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9.77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42049CB"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14.43</w:t>
            </w:r>
          </w:p>
        </w:tc>
        <w:tc>
          <w:tcPr>
            <w:tcW w:w="900" w:type="dxa"/>
            <w:tcBorders>
              <w:top w:val="single" w:sz="8" w:space="0" w:color="000000"/>
              <w:left w:val="nil"/>
              <w:bottom w:val="single" w:sz="8" w:space="0" w:color="000000"/>
              <w:right w:val="single" w:sz="8" w:space="0" w:color="000000"/>
            </w:tcBorders>
            <w:vAlign w:val="center"/>
          </w:tcPr>
          <w:p w14:paraId="05BBB037"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16.08</w:t>
            </w:r>
          </w:p>
        </w:tc>
        <w:tc>
          <w:tcPr>
            <w:tcW w:w="900" w:type="dxa"/>
            <w:tcBorders>
              <w:top w:val="single" w:sz="8" w:space="0" w:color="000000"/>
              <w:left w:val="nil"/>
              <w:bottom w:val="single" w:sz="8" w:space="0" w:color="000000"/>
              <w:right w:val="single" w:sz="8" w:space="0" w:color="000000"/>
            </w:tcBorders>
            <w:vAlign w:val="center"/>
          </w:tcPr>
          <w:p w14:paraId="0C63DBB1"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13.79</w:t>
            </w:r>
          </w:p>
        </w:tc>
        <w:tc>
          <w:tcPr>
            <w:tcW w:w="810" w:type="dxa"/>
            <w:tcBorders>
              <w:top w:val="single" w:sz="8" w:space="0" w:color="000000"/>
              <w:left w:val="nil"/>
              <w:bottom w:val="single" w:sz="8" w:space="0" w:color="000000"/>
              <w:right w:val="single" w:sz="12" w:space="0" w:color="000000"/>
            </w:tcBorders>
            <w:vAlign w:val="center"/>
          </w:tcPr>
          <w:p w14:paraId="6DEFC122"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7.82</w:t>
            </w:r>
          </w:p>
        </w:tc>
      </w:tr>
      <w:tr w:rsidR="00200A4C" w:rsidRPr="00EE5714" w14:paraId="21D0D2CC" w14:textId="77777777" w:rsidTr="00E92A67">
        <w:trPr>
          <w:trHeight w:hRule="exact" w:val="245"/>
        </w:trPr>
        <w:tc>
          <w:tcPr>
            <w:tcW w:w="1070" w:type="dxa"/>
            <w:tcBorders>
              <w:top w:val="single" w:sz="8" w:space="0" w:color="000000"/>
              <w:left w:val="single" w:sz="8" w:space="0" w:color="000000"/>
              <w:bottom w:val="single" w:sz="8" w:space="0" w:color="000000"/>
              <w:right w:val="single" w:sz="12" w:space="0" w:color="000000"/>
            </w:tcBorders>
            <w:shd w:val="clear" w:color="auto" w:fill="auto"/>
            <w:noWrap/>
            <w:vAlign w:val="bottom"/>
          </w:tcPr>
          <w:p w14:paraId="6DBEEB45" w14:textId="77777777" w:rsidR="00EB5502" w:rsidRPr="00EE5714" w:rsidRDefault="00EB5502" w:rsidP="009347E0">
            <w:pPr>
              <w:spacing w:after="0" w:line="240" w:lineRule="auto"/>
              <w:rPr>
                <w:rFonts w:ascii="Calibri" w:hAnsi="Calibri"/>
                <w:b/>
                <w:sz w:val="21"/>
                <w:szCs w:val="21"/>
              </w:rPr>
            </w:pPr>
            <w:r w:rsidRPr="00EE5714">
              <w:rPr>
                <w:rFonts w:ascii="Calibri" w:hAnsi="Calibri"/>
                <w:b/>
                <w:sz w:val="21"/>
                <w:szCs w:val="21"/>
              </w:rPr>
              <w:t xml:space="preserve">Peoples </w:t>
            </w:r>
          </w:p>
          <w:p w14:paraId="5054AACE" w14:textId="77777777" w:rsidR="00EB5502" w:rsidRPr="00EE5714" w:rsidRDefault="00EB5502" w:rsidP="009347E0">
            <w:pPr>
              <w:keepNext/>
              <w:keepLines/>
              <w:spacing w:after="0" w:line="240" w:lineRule="auto"/>
              <w:rPr>
                <w:rFonts w:ascii="Calibri" w:eastAsia="Times New Roman" w:hAnsi="Calibri" w:cs="Calibri"/>
                <w:b/>
                <w:color w:val="000000"/>
                <w:sz w:val="21"/>
                <w:szCs w:val="21"/>
              </w:rPr>
            </w:pPr>
          </w:p>
        </w:tc>
        <w:tc>
          <w:tcPr>
            <w:tcW w:w="900" w:type="dxa"/>
            <w:tcBorders>
              <w:top w:val="single" w:sz="8" w:space="0" w:color="000000"/>
              <w:left w:val="single" w:sz="12" w:space="0" w:color="000000"/>
              <w:bottom w:val="single" w:sz="8" w:space="0" w:color="000000"/>
              <w:right w:val="single" w:sz="8" w:space="0" w:color="000000"/>
            </w:tcBorders>
            <w:shd w:val="clear" w:color="auto" w:fill="auto"/>
            <w:noWrap/>
            <w:vAlign w:val="center"/>
          </w:tcPr>
          <w:p w14:paraId="5B297AAC"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21.36</w:t>
            </w:r>
          </w:p>
        </w:tc>
        <w:tc>
          <w:tcPr>
            <w:tcW w:w="99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61541085"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26.00</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710A97B4"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25.03</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3E6AC8FB"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26.41</w:t>
            </w:r>
          </w:p>
        </w:tc>
        <w:tc>
          <w:tcPr>
            <w:tcW w:w="900" w:type="dxa"/>
            <w:tcBorders>
              <w:top w:val="single" w:sz="8" w:space="0" w:color="000000"/>
              <w:left w:val="nil"/>
              <w:bottom w:val="single" w:sz="8" w:space="0" w:color="000000"/>
              <w:right w:val="single" w:sz="12" w:space="0" w:color="000000"/>
            </w:tcBorders>
            <w:shd w:val="clear" w:color="auto" w:fill="auto"/>
            <w:noWrap/>
            <w:vAlign w:val="center"/>
          </w:tcPr>
          <w:p w14:paraId="21AD10F0"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12.39</w:t>
            </w:r>
          </w:p>
        </w:tc>
        <w:tc>
          <w:tcPr>
            <w:tcW w:w="900" w:type="dxa"/>
            <w:tcBorders>
              <w:top w:val="single" w:sz="8" w:space="0" w:color="000000"/>
              <w:left w:val="single" w:sz="12" w:space="0" w:color="000000"/>
              <w:bottom w:val="single" w:sz="8" w:space="0" w:color="000000"/>
              <w:right w:val="single" w:sz="8" w:space="0" w:color="000000"/>
            </w:tcBorders>
            <w:shd w:val="clear" w:color="auto" w:fill="auto"/>
          </w:tcPr>
          <w:p w14:paraId="076F932B"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13.85</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E6D9323"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19.13</w:t>
            </w:r>
          </w:p>
        </w:tc>
        <w:tc>
          <w:tcPr>
            <w:tcW w:w="900" w:type="dxa"/>
            <w:tcBorders>
              <w:top w:val="single" w:sz="8" w:space="0" w:color="000000"/>
              <w:left w:val="nil"/>
              <w:bottom w:val="single" w:sz="8" w:space="0" w:color="000000"/>
              <w:right w:val="single" w:sz="8" w:space="0" w:color="000000"/>
            </w:tcBorders>
            <w:vAlign w:val="center"/>
          </w:tcPr>
          <w:p w14:paraId="2CB2A099"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18.34</w:t>
            </w:r>
          </w:p>
        </w:tc>
        <w:tc>
          <w:tcPr>
            <w:tcW w:w="900" w:type="dxa"/>
            <w:tcBorders>
              <w:top w:val="single" w:sz="8" w:space="0" w:color="000000"/>
              <w:left w:val="nil"/>
              <w:bottom w:val="single" w:sz="8" w:space="0" w:color="000000"/>
              <w:right w:val="single" w:sz="8" w:space="0" w:color="000000"/>
            </w:tcBorders>
            <w:vAlign w:val="center"/>
          </w:tcPr>
          <w:p w14:paraId="5BC7E339"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19.46</w:t>
            </w:r>
          </w:p>
        </w:tc>
        <w:tc>
          <w:tcPr>
            <w:tcW w:w="810" w:type="dxa"/>
            <w:tcBorders>
              <w:top w:val="single" w:sz="8" w:space="0" w:color="000000"/>
              <w:left w:val="nil"/>
              <w:bottom w:val="single" w:sz="8" w:space="0" w:color="000000"/>
              <w:right w:val="single" w:sz="12" w:space="0" w:color="000000"/>
            </w:tcBorders>
            <w:vAlign w:val="center"/>
          </w:tcPr>
          <w:p w14:paraId="1E64F327"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7.82</w:t>
            </w:r>
          </w:p>
        </w:tc>
      </w:tr>
      <w:tr w:rsidR="00200A4C" w:rsidRPr="00EE5714" w14:paraId="595A7ECA" w14:textId="77777777" w:rsidTr="00E92A67">
        <w:trPr>
          <w:trHeight w:hRule="exact" w:val="527"/>
        </w:trPr>
        <w:tc>
          <w:tcPr>
            <w:tcW w:w="1070" w:type="dxa"/>
            <w:tcBorders>
              <w:top w:val="single" w:sz="8" w:space="0" w:color="000000"/>
              <w:left w:val="single" w:sz="8" w:space="0" w:color="000000"/>
              <w:bottom w:val="single" w:sz="8" w:space="0" w:color="000000"/>
              <w:right w:val="single" w:sz="12" w:space="0" w:color="000000"/>
            </w:tcBorders>
            <w:shd w:val="clear" w:color="auto" w:fill="auto"/>
            <w:noWrap/>
            <w:vAlign w:val="bottom"/>
          </w:tcPr>
          <w:p w14:paraId="6333955A" w14:textId="77777777" w:rsidR="00EB5502" w:rsidRPr="00EE5714" w:rsidRDefault="00EB5502" w:rsidP="009347E0">
            <w:pPr>
              <w:spacing w:after="0" w:line="240" w:lineRule="auto"/>
              <w:rPr>
                <w:rFonts w:ascii="Calibri" w:hAnsi="Calibri"/>
                <w:b/>
                <w:sz w:val="21"/>
                <w:szCs w:val="21"/>
              </w:rPr>
            </w:pPr>
            <w:r w:rsidRPr="00EE5714">
              <w:rPr>
                <w:rFonts w:ascii="Calibri" w:hAnsi="Calibri"/>
                <w:b/>
                <w:sz w:val="21"/>
                <w:szCs w:val="21"/>
              </w:rPr>
              <w:t xml:space="preserve">Peoples EQT </w:t>
            </w:r>
          </w:p>
          <w:p w14:paraId="4CF59535" w14:textId="77777777" w:rsidR="00EB5502" w:rsidRPr="00EE5714" w:rsidRDefault="00EB5502" w:rsidP="009347E0">
            <w:pPr>
              <w:keepNext/>
              <w:keepLines/>
              <w:spacing w:after="0" w:line="240" w:lineRule="auto"/>
              <w:rPr>
                <w:rFonts w:ascii="Calibri" w:eastAsia="Times New Roman" w:hAnsi="Calibri" w:cs="Calibri"/>
                <w:b/>
                <w:color w:val="000000"/>
                <w:sz w:val="21"/>
                <w:szCs w:val="21"/>
              </w:rPr>
            </w:pPr>
          </w:p>
        </w:tc>
        <w:tc>
          <w:tcPr>
            <w:tcW w:w="900" w:type="dxa"/>
            <w:tcBorders>
              <w:top w:val="single" w:sz="8" w:space="0" w:color="000000"/>
              <w:left w:val="single" w:sz="12" w:space="0" w:color="000000"/>
              <w:bottom w:val="single" w:sz="8" w:space="0" w:color="000000"/>
              <w:right w:val="single" w:sz="8" w:space="0" w:color="000000"/>
            </w:tcBorders>
            <w:shd w:val="clear" w:color="auto" w:fill="auto"/>
            <w:noWrap/>
            <w:vAlign w:val="center"/>
          </w:tcPr>
          <w:p w14:paraId="0469E13B"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13.20</w:t>
            </w:r>
          </w:p>
        </w:tc>
        <w:tc>
          <w:tcPr>
            <w:tcW w:w="99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6CF25924"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16.77</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2852A993"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16.79</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06402AAC"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12.49</w:t>
            </w:r>
          </w:p>
        </w:tc>
        <w:tc>
          <w:tcPr>
            <w:tcW w:w="900" w:type="dxa"/>
            <w:tcBorders>
              <w:top w:val="single" w:sz="8" w:space="0" w:color="000000"/>
              <w:left w:val="nil"/>
              <w:bottom w:val="single" w:sz="8" w:space="0" w:color="000000"/>
              <w:right w:val="single" w:sz="12" w:space="0" w:color="000000"/>
            </w:tcBorders>
            <w:shd w:val="clear" w:color="auto" w:fill="auto"/>
            <w:noWrap/>
            <w:vAlign w:val="center"/>
          </w:tcPr>
          <w:p w14:paraId="66B1B9C9"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11.45</w:t>
            </w:r>
          </w:p>
        </w:tc>
        <w:tc>
          <w:tcPr>
            <w:tcW w:w="90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4B3141CA"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7.07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B5C032"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12.47</w:t>
            </w:r>
          </w:p>
        </w:tc>
        <w:tc>
          <w:tcPr>
            <w:tcW w:w="900" w:type="dxa"/>
            <w:tcBorders>
              <w:top w:val="single" w:sz="8" w:space="0" w:color="000000"/>
              <w:left w:val="nil"/>
              <w:bottom w:val="single" w:sz="8" w:space="0" w:color="000000"/>
              <w:right w:val="single" w:sz="8" w:space="0" w:color="000000"/>
            </w:tcBorders>
            <w:vAlign w:val="center"/>
          </w:tcPr>
          <w:p w14:paraId="469B0186"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12.70</w:t>
            </w:r>
          </w:p>
        </w:tc>
        <w:tc>
          <w:tcPr>
            <w:tcW w:w="900" w:type="dxa"/>
            <w:tcBorders>
              <w:top w:val="single" w:sz="8" w:space="0" w:color="000000"/>
              <w:left w:val="nil"/>
              <w:bottom w:val="single" w:sz="8" w:space="0" w:color="000000"/>
              <w:right w:val="single" w:sz="8" w:space="0" w:color="000000"/>
            </w:tcBorders>
            <w:vAlign w:val="center"/>
          </w:tcPr>
          <w:p w14:paraId="439656D5"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8.43</w:t>
            </w:r>
          </w:p>
        </w:tc>
        <w:tc>
          <w:tcPr>
            <w:tcW w:w="810" w:type="dxa"/>
            <w:tcBorders>
              <w:top w:val="single" w:sz="8" w:space="0" w:color="000000"/>
              <w:left w:val="nil"/>
              <w:bottom w:val="single" w:sz="8" w:space="0" w:color="000000"/>
              <w:right w:val="single" w:sz="12" w:space="0" w:color="000000"/>
            </w:tcBorders>
            <w:vAlign w:val="center"/>
          </w:tcPr>
          <w:p w14:paraId="798E0B75"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7.17</w:t>
            </w:r>
          </w:p>
        </w:tc>
      </w:tr>
      <w:tr w:rsidR="00200A4C" w:rsidRPr="00EE5714" w14:paraId="79DEC0CF" w14:textId="77777777" w:rsidTr="00E92A67">
        <w:trPr>
          <w:trHeight w:hRule="exact" w:val="245"/>
        </w:trPr>
        <w:tc>
          <w:tcPr>
            <w:tcW w:w="1070" w:type="dxa"/>
            <w:tcBorders>
              <w:top w:val="single" w:sz="8" w:space="0" w:color="000000"/>
              <w:left w:val="single" w:sz="8" w:space="0" w:color="000000"/>
              <w:bottom w:val="single" w:sz="8" w:space="0" w:color="000000"/>
              <w:right w:val="single" w:sz="12" w:space="0" w:color="000000"/>
            </w:tcBorders>
            <w:shd w:val="clear" w:color="auto" w:fill="auto"/>
            <w:noWrap/>
            <w:vAlign w:val="bottom"/>
          </w:tcPr>
          <w:p w14:paraId="7FBEEBD0" w14:textId="77777777" w:rsidR="00EB5502" w:rsidRPr="00EE5714" w:rsidRDefault="00EB5502" w:rsidP="009347E0">
            <w:pPr>
              <w:spacing w:after="0" w:line="240" w:lineRule="auto"/>
              <w:rPr>
                <w:rFonts w:ascii="Calibri" w:hAnsi="Calibri"/>
                <w:b/>
                <w:sz w:val="21"/>
                <w:szCs w:val="21"/>
              </w:rPr>
            </w:pPr>
            <w:r w:rsidRPr="00EE5714">
              <w:rPr>
                <w:rFonts w:ascii="Calibri" w:hAnsi="Calibri"/>
                <w:b/>
                <w:sz w:val="21"/>
                <w:szCs w:val="21"/>
              </w:rPr>
              <w:t xml:space="preserve">PGW </w:t>
            </w:r>
          </w:p>
          <w:p w14:paraId="5A6981FF" w14:textId="77777777" w:rsidR="00EB5502" w:rsidRPr="00EE5714" w:rsidRDefault="00EB5502" w:rsidP="009347E0">
            <w:pPr>
              <w:keepNext/>
              <w:keepLines/>
              <w:spacing w:after="0" w:line="240" w:lineRule="auto"/>
              <w:rPr>
                <w:rFonts w:ascii="Calibri" w:eastAsia="Times New Roman" w:hAnsi="Calibri" w:cs="Calibri"/>
                <w:b/>
                <w:color w:val="000000"/>
                <w:sz w:val="21"/>
                <w:szCs w:val="21"/>
              </w:rPr>
            </w:pPr>
          </w:p>
        </w:tc>
        <w:tc>
          <w:tcPr>
            <w:tcW w:w="900" w:type="dxa"/>
            <w:tcBorders>
              <w:top w:val="single" w:sz="8" w:space="0" w:color="000000"/>
              <w:left w:val="single" w:sz="12" w:space="0" w:color="000000"/>
              <w:bottom w:val="single" w:sz="8" w:space="0" w:color="000000"/>
              <w:right w:val="single" w:sz="8" w:space="0" w:color="000000"/>
            </w:tcBorders>
            <w:shd w:val="clear" w:color="auto" w:fill="auto"/>
            <w:noWrap/>
            <w:vAlign w:val="center"/>
          </w:tcPr>
          <w:p w14:paraId="1CAD0229"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16.37</w:t>
            </w:r>
          </w:p>
        </w:tc>
        <w:tc>
          <w:tcPr>
            <w:tcW w:w="99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34388F4D"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17.93</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78DE3D7C"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20.13</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00E9A6F3"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18.97</w:t>
            </w:r>
          </w:p>
        </w:tc>
        <w:tc>
          <w:tcPr>
            <w:tcW w:w="900" w:type="dxa"/>
            <w:tcBorders>
              <w:top w:val="single" w:sz="8" w:space="0" w:color="000000"/>
              <w:left w:val="nil"/>
              <w:bottom w:val="single" w:sz="8" w:space="0" w:color="000000"/>
              <w:right w:val="single" w:sz="12" w:space="0" w:color="000000"/>
            </w:tcBorders>
            <w:shd w:val="clear" w:color="auto" w:fill="auto"/>
            <w:noWrap/>
            <w:vAlign w:val="center"/>
          </w:tcPr>
          <w:p w14:paraId="1EB67725"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18.24</w:t>
            </w:r>
          </w:p>
        </w:tc>
        <w:tc>
          <w:tcPr>
            <w:tcW w:w="900" w:type="dxa"/>
            <w:tcBorders>
              <w:top w:val="single" w:sz="8" w:space="0" w:color="000000"/>
              <w:left w:val="single" w:sz="12" w:space="0" w:color="000000"/>
              <w:bottom w:val="single" w:sz="8" w:space="0" w:color="000000"/>
              <w:right w:val="single" w:sz="8" w:space="0" w:color="000000"/>
            </w:tcBorders>
            <w:shd w:val="clear" w:color="auto" w:fill="auto"/>
          </w:tcPr>
          <w:p w14:paraId="59058921"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11.25</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46A8F4B"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12.76</w:t>
            </w:r>
          </w:p>
        </w:tc>
        <w:tc>
          <w:tcPr>
            <w:tcW w:w="900" w:type="dxa"/>
            <w:tcBorders>
              <w:top w:val="single" w:sz="8" w:space="0" w:color="000000"/>
              <w:left w:val="nil"/>
              <w:bottom w:val="single" w:sz="8" w:space="0" w:color="000000"/>
              <w:right w:val="single" w:sz="8" w:space="0" w:color="000000"/>
            </w:tcBorders>
            <w:vAlign w:val="center"/>
          </w:tcPr>
          <w:p w14:paraId="4707F960"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14.76</w:t>
            </w:r>
          </w:p>
        </w:tc>
        <w:tc>
          <w:tcPr>
            <w:tcW w:w="900" w:type="dxa"/>
            <w:tcBorders>
              <w:top w:val="single" w:sz="8" w:space="0" w:color="000000"/>
              <w:left w:val="nil"/>
              <w:bottom w:val="single" w:sz="8" w:space="0" w:color="000000"/>
              <w:right w:val="single" w:sz="8" w:space="0" w:color="000000"/>
            </w:tcBorders>
            <w:vAlign w:val="center"/>
          </w:tcPr>
          <w:p w14:paraId="17F6BC82"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13.30</w:t>
            </w:r>
          </w:p>
        </w:tc>
        <w:tc>
          <w:tcPr>
            <w:tcW w:w="810" w:type="dxa"/>
            <w:tcBorders>
              <w:top w:val="single" w:sz="8" w:space="0" w:color="000000"/>
              <w:left w:val="nil"/>
              <w:bottom w:val="single" w:sz="8" w:space="0" w:color="000000"/>
              <w:right w:val="single" w:sz="12" w:space="0" w:color="000000"/>
            </w:tcBorders>
            <w:vAlign w:val="center"/>
          </w:tcPr>
          <w:p w14:paraId="6FAA7887" w14:textId="77777777" w:rsidR="00EB5502" w:rsidRPr="00EE5714" w:rsidRDefault="00EB5502" w:rsidP="009347E0">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12.69</w:t>
            </w:r>
          </w:p>
        </w:tc>
      </w:tr>
    </w:tbl>
    <w:p w14:paraId="7197C972" w14:textId="77777777" w:rsidR="00F303E0" w:rsidRPr="00EE5714" w:rsidRDefault="00F857A1" w:rsidP="006019D7">
      <w:pPr>
        <w:spacing w:line="240" w:lineRule="auto"/>
        <w:rPr>
          <w:rFonts w:ascii="Times New Roman" w:hAnsi="Times New Roman" w:cs="Times New Roman"/>
          <w:sz w:val="26"/>
          <w:szCs w:val="26"/>
        </w:rPr>
      </w:pPr>
      <w:r w:rsidRPr="00EE5714">
        <w:rPr>
          <w:rFonts w:ascii="Times New Roman" w:hAnsi="Times New Roman" w:cs="Times New Roman"/>
          <w:sz w:val="26"/>
          <w:szCs w:val="26"/>
        </w:rPr>
        <w:t>Appendix 3</w:t>
      </w:r>
      <w:r w:rsidR="00EB5502" w:rsidRPr="00EE5714">
        <w:rPr>
          <w:rFonts w:ascii="Times New Roman" w:hAnsi="Times New Roman" w:cs="Times New Roman"/>
          <w:sz w:val="26"/>
          <w:szCs w:val="26"/>
        </w:rPr>
        <w:t xml:space="preserve">.A.1: </w:t>
      </w:r>
      <w:r w:rsidR="00EB5502" w:rsidRPr="00EE5714">
        <w:rPr>
          <w:rFonts w:ascii="Times New Roman" w:hAnsi="Times New Roman" w:cs="Times New Roman"/>
          <w:b/>
          <w:sz w:val="26"/>
          <w:szCs w:val="26"/>
        </w:rPr>
        <w:t>NGDC Energy Burden of CAP LIHEAP Recipients</w:t>
      </w:r>
      <w:r w:rsidR="00EB5502" w:rsidRPr="00EE5714">
        <w:rPr>
          <w:rFonts w:ascii="Times New Roman" w:hAnsi="Times New Roman" w:cs="Times New Roman"/>
          <w:sz w:val="26"/>
          <w:szCs w:val="26"/>
        </w:rPr>
        <w:t xml:space="preserve"> </w:t>
      </w:r>
      <w:r w:rsidR="00EB5502" w:rsidRPr="00EE5714">
        <w:rPr>
          <w:rFonts w:ascii="Times New Roman" w:hAnsi="Times New Roman" w:cs="Times New Roman"/>
          <w:b/>
          <w:sz w:val="26"/>
          <w:szCs w:val="26"/>
        </w:rPr>
        <w:t>at 0-50% FPIG</w:t>
      </w:r>
    </w:p>
    <w:p w14:paraId="67180B2E" w14:textId="77777777" w:rsidR="00A33F4A" w:rsidRPr="00EE5714" w:rsidRDefault="00A33F4A" w:rsidP="00F303E0">
      <w:pPr>
        <w:pStyle w:val="NoSpacing"/>
        <w:rPr>
          <w:rFonts w:cs="Times New Roman"/>
          <w:szCs w:val="26"/>
        </w:rPr>
      </w:pPr>
    </w:p>
    <w:p w14:paraId="2071CBCA" w14:textId="77777777" w:rsidR="00F1166E" w:rsidRPr="00EE5714" w:rsidRDefault="00F1166E" w:rsidP="00F303E0">
      <w:pPr>
        <w:pStyle w:val="NoSpacing"/>
        <w:rPr>
          <w:rFonts w:cs="Times New Roman"/>
          <w:szCs w:val="26"/>
        </w:rPr>
      </w:pPr>
    </w:p>
    <w:p w14:paraId="48A3C353" w14:textId="77777777" w:rsidR="00DE1E2D" w:rsidRPr="00EE5714" w:rsidRDefault="00F857A1" w:rsidP="00F303E0">
      <w:pPr>
        <w:pStyle w:val="NoSpacing"/>
        <w:rPr>
          <w:rFonts w:cs="Times New Roman"/>
          <w:szCs w:val="26"/>
        </w:rPr>
      </w:pPr>
      <w:r w:rsidRPr="00EE5714">
        <w:rPr>
          <w:rFonts w:cs="Times New Roman"/>
          <w:szCs w:val="26"/>
        </w:rPr>
        <w:t>Appendix 3</w:t>
      </w:r>
      <w:r w:rsidR="00DE1E2D" w:rsidRPr="00EE5714">
        <w:rPr>
          <w:rFonts w:cs="Times New Roman"/>
          <w:szCs w:val="26"/>
        </w:rPr>
        <w:t>.A.</w:t>
      </w:r>
      <w:r w:rsidR="00D415A1" w:rsidRPr="00EE5714">
        <w:rPr>
          <w:rFonts w:cs="Times New Roman"/>
          <w:szCs w:val="26"/>
        </w:rPr>
        <w:t>2</w:t>
      </w:r>
      <w:r w:rsidR="00DE1E2D" w:rsidRPr="00EE5714">
        <w:rPr>
          <w:rFonts w:cs="Times New Roman"/>
          <w:szCs w:val="26"/>
        </w:rPr>
        <w:t>:</w:t>
      </w:r>
      <w:r w:rsidR="00B656C5" w:rsidRPr="00EE5714">
        <w:rPr>
          <w:rFonts w:cs="Times New Roman"/>
          <w:b/>
          <w:szCs w:val="26"/>
        </w:rPr>
        <w:t xml:space="preserve"> NGDC Energy Burden of CAP LIHEAP Recipients</w:t>
      </w:r>
      <w:r w:rsidR="00B656C5" w:rsidRPr="00EE5714">
        <w:rPr>
          <w:rFonts w:cs="Times New Roman"/>
          <w:szCs w:val="26"/>
        </w:rPr>
        <w:t xml:space="preserve"> </w:t>
      </w:r>
      <w:r w:rsidR="00B656C5" w:rsidRPr="00EE5714">
        <w:rPr>
          <w:rFonts w:cs="Times New Roman"/>
          <w:b/>
          <w:szCs w:val="26"/>
        </w:rPr>
        <w:t>at 51-100%</w:t>
      </w:r>
      <w:r w:rsidR="00D415A1" w:rsidRPr="00EE5714">
        <w:rPr>
          <w:rFonts w:cs="Times New Roman"/>
          <w:b/>
          <w:szCs w:val="26"/>
        </w:rPr>
        <w:t xml:space="preserve"> </w:t>
      </w:r>
      <w:r w:rsidR="00B656C5" w:rsidRPr="00EE5714">
        <w:rPr>
          <w:rFonts w:cs="Times New Roman"/>
          <w:b/>
          <w:szCs w:val="26"/>
        </w:rPr>
        <w:t>FPIG</w:t>
      </w:r>
    </w:p>
    <w:tbl>
      <w:tblPr>
        <w:tblW w:w="10080" w:type="dxa"/>
        <w:tblInd w:w="-280" w:type="dxa"/>
        <w:tblLayout w:type="fixed"/>
        <w:tblLook w:val="04A0" w:firstRow="1" w:lastRow="0" w:firstColumn="1" w:lastColumn="0" w:noHBand="0" w:noVBand="1"/>
      </w:tblPr>
      <w:tblGrid>
        <w:gridCol w:w="1080"/>
        <w:gridCol w:w="810"/>
        <w:gridCol w:w="990"/>
        <w:gridCol w:w="900"/>
        <w:gridCol w:w="900"/>
        <w:gridCol w:w="900"/>
        <w:gridCol w:w="900"/>
        <w:gridCol w:w="900"/>
        <w:gridCol w:w="900"/>
        <w:gridCol w:w="900"/>
        <w:gridCol w:w="900"/>
      </w:tblGrid>
      <w:tr w:rsidR="00DE1E2D" w:rsidRPr="00EE5714" w14:paraId="1E569DE2" w14:textId="77777777" w:rsidTr="00E92A67">
        <w:trPr>
          <w:trHeight w:hRule="exact" w:val="418"/>
        </w:trPr>
        <w:tc>
          <w:tcPr>
            <w:tcW w:w="10080" w:type="dxa"/>
            <w:gridSpan w:val="11"/>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tcPr>
          <w:p w14:paraId="4D8910CE" w14:textId="77777777" w:rsidR="00DE1E2D" w:rsidRPr="00EE5714" w:rsidRDefault="00DE1E2D" w:rsidP="00DE1E2D">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NGDC Energy Burden of CAP LIHEAP Recipients at 51-100% FPIG</w:t>
            </w:r>
          </w:p>
        </w:tc>
      </w:tr>
      <w:tr w:rsidR="003C274F" w:rsidRPr="00EE5714" w14:paraId="2DE5945D" w14:textId="77777777" w:rsidTr="00E92A67">
        <w:trPr>
          <w:trHeight w:hRule="exact" w:val="418"/>
        </w:trPr>
        <w:tc>
          <w:tcPr>
            <w:tcW w:w="108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7BF3A1EB" w14:textId="77777777" w:rsidR="00DE1E2D" w:rsidRPr="00EE5714" w:rsidRDefault="00DE1E2D" w:rsidP="00DE1E2D">
            <w:pPr>
              <w:keepNext/>
              <w:keepLines/>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500" w:type="dxa"/>
            <w:gridSpan w:val="5"/>
            <w:tcBorders>
              <w:top w:val="single" w:sz="12" w:space="0" w:color="000000"/>
              <w:left w:val="single" w:sz="12" w:space="0" w:color="000000"/>
              <w:bottom w:val="single" w:sz="8" w:space="0" w:color="000000"/>
              <w:right w:val="single" w:sz="12" w:space="0" w:color="000000"/>
            </w:tcBorders>
            <w:shd w:val="clear" w:color="auto" w:fill="auto"/>
            <w:noWrap/>
            <w:hideMark/>
          </w:tcPr>
          <w:p w14:paraId="4C97A4C3" w14:textId="77777777" w:rsidR="00DE1E2D" w:rsidRPr="00EE5714" w:rsidRDefault="00DE1E2D" w:rsidP="00DE1E2D">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Without LIHEAP Dollars Applied  </w:t>
            </w:r>
          </w:p>
        </w:tc>
        <w:tc>
          <w:tcPr>
            <w:tcW w:w="4500" w:type="dxa"/>
            <w:gridSpan w:val="5"/>
            <w:tcBorders>
              <w:top w:val="single" w:sz="12" w:space="0" w:color="000000"/>
              <w:left w:val="single" w:sz="12" w:space="0" w:color="000000"/>
              <w:bottom w:val="single" w:sz="8" w:space="0" w:color="000000"/>
              <w:right w:val="single" w:sz="12" w:space="0" w:color="000000"/>
            </w:tcBorders>
          </w:tcPr>
          <w:p w14:paraId="7098B85C" w14:textId="77777777" w:rsidR="00DE1E2D" w:rsidRPr="00EE5714" w:rsidRDefault="00DE1E2D" w:rsidP="00DE1E2D">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With LIHEAP Dollars Applied</w:t>
            </w:r>
          </w:p>
        </w:tc>
      </w:tr>
      <w:tr w:rsidR="007751BC" w:rsidRPr="00EE5714" w14:paraId="68C85C90" w14:textId="77777777" w:rsidTr="00326052">
        <w:trPr>
          <w:trHeight w:hRule="exact" w:val="418"/>
        </w:trPr>
        <w:tc>
          <w:tcPr>
            <w:tcW w:w="108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5B797FD6" w14:textId="77777777" w:rsidR="00DE1E2D" w:rsidRPr="00EE5714" w:rsidRDefault="00DE1E2D" w:rsidP="00DE1E2D">
            <w:pPr>
              <w:keepNext/>
              <w:keepLines/>
              <w:spacing w:after="0" w:line="240" w:lineRule="auto"/>
              <w:rPr>
                <w:rFonts w:ascii="Calibri" w:eastAsia="Times New Roman" w:hAnsi="Calibri" w:cs="Calibri"/>
                <w:color w:val="000000"/>
                <w:sz w:val="21"/>
                <w:szCs w:val="21"/>
              </w:rPr>
            </w:pPr>
          </w:p>
        </w:tc>
        <w:tc>
          <w:tcPr>
            <w:tcW w:w="810" w:type="dxa"/>
            <w:tcBorders>
              <w:top w:val="single" w:sz="8" w:space="0" w:color="000000"/>
              <w:left w:val="single" w:sz="12" w:space="0" w:color="000000"/>
              <w:bottom w:val="single" w:sz="8" w:space="0" w:color="000000"/>
              <w:right w:val="single" w:sz="8" w:space="0" w:color="000000"/>
            </w:tcBorders>
            <w:shd w:val="clear" w:color="auto" w:fill="F2F2F2" w:themeFill="background1" w:themeFillShade="F2"/>
            <w:noWrap/>
          </w:tcPr>
          <w:p w14:paraId="5F2A1C97" w14:textId="77777777" w:rsidR="00DE1E2D" w:rsidRPr="00EE5714" w:rsidRDefault="00DE1E2D" w:rsidP="00DE1E2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990" w:type="dxa"/>
            <w:tcBorders>
              <w:top w:val="single" w:sz="8" w:space="0" w:color="000000"/>
              <w:left w:val="single" w:sz="8" w:space="0" w:color="000000"/>
              <w:bottom w:val="single" w:sz="8" w:space="0" w:color="000000"/>
              <w:right w:val="single" w:sz="4" w:space="0" w:color="000000"/>
            </w:tcBorders>
            <w:shd w:val="clear" w:color="auto" w:fill="F2F2F2" w:themeFill="background1" w:themeFillShade="F2"/>
          </w:tcPr>
          <w:p w14:paraId="6D97C39D" w14:textId="77777777" w:rsidR="00DE1E2D" w:rsidRPr="00EE5714" w:rsidRDefault="00DE1E2D" w:rsidP="00DE1E2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90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72385A6A" w14:textId="77777777" w:rsidR="00DE1E2D" w:rsidRPr="00EE5714" w:rsidRDefault="00DE1E2D" w:rsidP="00DE1E2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90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76F1826D" w14:textId="77777777" w:rsidR="00DE1E2D" w:rsidRPr="00EE5714" w:rsidRDefault="00DE1E2D" w:rsidP="00DE1E2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00" w:type="dxa"/>
            <w:tcBorders>
              <w:top w:val="single" w:sz="8" w:space="0" w:color="000000"/>
              <w:left w:val="nil"/>
              <w:bottom w:val="single" w:sz="8" w:space="0" w:color="000000"/>
              <w:right w:val="single" w:sz="12" w:space="0" w:color="000000"/>
            </w:tcBorders>
            <w:shd w:val="clear" w:color="auto" w:fill="F2F2F2" w:themeFill="background1" w:themeFillShade="F2"/>
            <w:noWrap/>
            <w:hideMark/>
          </w:tcPr>
          <w:p w14:paraId="2A257B6C" w14:textId="77777777" w:rsidR="00DE1E2D" w:rsidRPr="00EE5714" w:rsidRDefault="00DE1E2D" w:rsidP="00DE1E2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900" w:type="dxa"/>
            <w:tcBorders>
              <w:top w:val="single" w:sz="8" w:space="0" w:color="000000"/>
              <w:left w:val="single" w:sz="12" w:space="0" w:color="000000"/>
              <w:bottom w:val="single" w:sz="8" w:space="0" w:color="000000"/>
              <w:right w:val="single" w:sz="8" w:space="0" w:color="000000"/>
            </w:tcBorders>
            <w:shd w:val="clear" w:color="auto" w:fill="F2F2F2" w:themeFill="background1" w:themeFillShade="F2"/>
          </w:tcPr>
          <w:p w14:paraId="7AFCA065" w14:textId="77777777" w:rsidR="00DE1E2D" w:rsidRPr="00EE5714" w:rsidRDefault="00DE1E2D" w:rsidP="00DE1E2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90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48A22B71" w14:textId="77777777" w:rsidR="00DE1E2D" w:rsidRPr="00EE5714" w:rsidRDefault="00DE1E2D" w:rsidP="00DE1E2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900" w:type="dxa"/>
            <w:tcBorders>
              <w:top w:val="single" w:sz="8" w:space="0" w:color="000000"/>
              <w:left w:val="nil"/>
              <w:bottom w:val="single" w:sz="8" w:space="0" w:color="000000"/>
              <w:right w:val="single" w:sz="8" w:space="0" w:color="000000"/>
            </w:tcBorders>
            <w:shd w:val="clear" w:color="auto" w:fill="F2F2F2" w:themeFill="background1" w:themeFillShade="F2"/>
          </w:tcPr>
          <w:p w14:paraId="1069657F" w14:textId="77777777" w:rsidR="00DE1E2D" w:rsidRPr="00EE5714" w:rsidRDefault="00DE1E2D" w:rsidP="00DE1E2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900" w:type="dxa"/>
            <w:tcBorders>
              <w:top w:val="single" w:sz="8" w:space="0" w:color="000000"/>
              <w:left w:val="nil"/>
              <w:bottom w:val="single" w:sz="8" w:space="0" w:color="000000"/>
              <w:right w:val="single" w:sz="8" w:space="0" w:color="000000"/>
            </w:tcBorders>
            <w:shd w:val="clear" w:color="auto" w:fill="F2F2F2" w:themeFill="background1" w:themeFillShade="F2"/>
          </w:tcPr>
          <w:p w14:paraId="36676BA4" w14:textId="77777777" w:rsidR="00DE1E2D" w:rsidRPr="00EE5714" w:rsidRDefault="00DE1E2D" w:rsidP="00DE1E2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00" w:type="dxa"/>
            <w:tcBorders>
              <w:top w:val="single" w:sz="8" w:space="0" w:color="000000"/>
              <w:left w:val="nil"/>
              <w:bottom w:val="single" w:sz="8" w:space="0" w:color="000000"/>
              <w:right w:val="single" w:sz="12" w:space="0" w:color="000000"/>
            </w:tcBorders>
            <w:shd w:val="clear" w:color="auto" w:fill="F2F2F2" w:themeFill="background1" w:themeFillShade="F2"/>
          </w:tcPr>
          <w:p w14:paraId="38993664" w14:textId="77777777" w:rsidR="00DE1E2D" w:rsidRPr="00EE5714" w:rsidRDefault="00DE1E2D" w:rsidP="00DE1E2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B6C16" w:rsidRPr="00EE5714" w14:paraId="3EE8C6A1" w14:textId="77777777" w:rsidTr="00E92A67">
        <w:trPr>
          <w:trHeight w:hRule="exact" w:val="245"/>
        </w:trPr>
        <w:tc>
          <w:tcPr>
            <w:tcW w:w="1080" w:type="dxa"/>
            <w:tcBorders>
              <w:top w:val="single" w:sz="8" w:space="0" w:color="000000"/>
              <w:left w:val="single" w:sz="8" w:space="0" w:color="000000"/>
              <w:bottom w:val="single" w:sz="8" w:space="0" w:color="000000"/>
              <w:right w:val="single" w:sz="12" w:space="0" w:color="000000"/>
            </w:tcBorders>
            <w:shd w:val="clear" w:color="auto" w:fill="auto"/>
            <w:noWrap/>
            <w:vAlign w:val="bottom"/>
          </w:tcPr>
          <w:p w14:paraId="6993F007" w14:textId="77777777" w:rsidR="00DE1E2D" w:rsidRPr="00EE5714" w:rsidRDefault="00DE1E2D" w:rsidP="00DE1E2D">
            <w:pPr>
              <w:keepNext/>
              <w:keepLines/>
              <w:spacing w:after="0" w:line="240" w:lineRule="auto"/>
              <w:rPr>
                <w:rFonts w:ascii="Calibri" w:eastAsia="Times New Roman" w:hAnsi="Calibri" w:cs="Calibri"/>
                <w:b/>
                <w:color w:val="000000"/>
                <w:sz w:val="21"/>
                <w:szCs w:val="21"/>
              </w:rPr>
            </w:pPr>
            <w:r w:rsidRPr="00EE5714">
              <w:rPr>
                <w:rFonts w:ascii="Calibri" w:hAnsi="Calibri"/>
                <w:b/>
                <w:sz w:val="21"/>
                <w:szCs w:val="21"/>
              </w:rPr>
              <w:t>Columbia</w:t>
            </w:r>
          </w:p>
        </w:tc>
        <w:tc>
          <w:tcPr>
            <w:tcW w:w="810" w:type="dxa"/>
            <w:tcBorders>
              <w:top w:val="single" w:sz="8" w:space="0" w:color="000000"/>
              <w:left w:val="single" w:sz="12" w:space="0" w:color="000000"/>
              <w:bottom w:val="single" w:sz="8" w:space="0" w:color="000000"/>
              <w:right w:val="single" w:sz="8" w:space="0" w:color="000000"/>
            </w:tcBorders>
            <w:shd w:val="clear" w:color="auto" w:fill="auto"/>
            <w:noWrap/>
            <w:vAlign w:val="center"/>
          </w:tcPr>
          <w:p w14:paraId="6B6C3613"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7.73</w:t>
            </w:r>
          </w:p>
        </w:tc>
        <w:tc>
          <w:tcPr>
            <w:tcW w:w="99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31636892"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8.72</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4DAF71A5"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9.67</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5EA7A127"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8.72</w:t>
            </w:r>
          </w:p>
        </w:tc>
        <w:tc>
          <w:tcPr>
            <w:tcW w:w="900" w:type="dxa"/>
            <w:tcBorders>
              <w:top w:val="single" w:sz="8" w:space="0" w:color="000000"/>
              <w:left w:val="nil"/>
              <w:bottom w:val="single" w:sz="8" w:space="0" w:color="000000"/>
              <w:right w:val="single" w:sz="12" w:space="0" w:color="000000"/>
            </w:tcBorders>
            <w:shd w:val="clear" w:color="auto" w:fill="auto"/>
            <w:noWrap/>
            <w:vAlign w:val="center"/>
          </w:tcPr>
          <w:p w14:paraId="5FDE49AE"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6.87</w:t>
            </w:r>
          </w:p>
        </w:tc>
        <w:tc>
          <w:tcPr>
            <w:tcW w:w="90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6DBD835B"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5.32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53086"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7.48</w:t>
            </w:r>
          </w:p>
        </w:tc>
        <w:tc>
          <w:tcPr>
            <w:tcW w:w="900" w:type="dxa"/>
            <w:tcBorders>
              <w:top w:val="single" w:sz="8" w:space="0" w:color="000000"/>
              <w:left w:val="nil"/>
              <w:bottom w:val="single" w:sz="8" w:space="0" w:color="000000"/>
              <w:right w:val="single" w:sz="8" w:space="0" w:color="000000"/>
            </w:tcBorders>
            <w:vAlign w:val="center"/>
          </w:tcPr>
          <w:p w14:paraId="37033EE6"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8.24</w:t>
            </w:r>
          </w:p>
        </w:tc>
        <w:tc>
          <w:tcPr>
            <w:tcW w:w="900" w:type="dxa"/>
            <w:tcBorders>
              <w:top w:val="single" w:sz="8" w:space="0" w:color="000000"/>
              <w:left w:val="nil"/>
              <w:bottom w:val="single" w:sz="8" w:space="0" w:color="000000"/>
              <w:right w:val="single" w:sz="8" w:space="0" w:color="000000"/>
            </w:tcBorders>
            <w:vAlign w:val="center"/>
          </w:tcPr>
          <w:p w14:paraId="1290DC91"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7.25</w:t>
            </w:r>
          </w:p>
        </w:tc>
        <w:tc>
          <w:tcPr>
            <w:tcW w:w="900" w:type="dxa"/>
            <w:tcBorders>
              <w:top w:val="single" w:sz="8" w:space="0" w:color="000000"/>
              <w:left w:val="nil"/>
              <w:bottom w:val="single" w:sz="8" w:space="0" w:color="000000"/>
              <w:right w:val="single" w:sz="12" w:space="0" w:color="000000"/>
            </w:tcBorders>
            <w:vAlign w:val="center"/>
          </w:tcPr>
          <w:p w14:paraId="5A6A6670"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4.45</w:t>
            </w:r>
          </w:p>
        </w:tc>
      </w:tr>
      <w:tr w:rsidR="00FB6C16" w:rsidRPr="00EE5714" w14:paraId="62ECBF47" w14:textId="77777777" w:rsidTr="00E92A67">
        <w:trPr>
          <w:trHeight w:hRule="exact" w:val="245"/>
        </w:trPr>
        <w:tc>
          <w:tcPr>
            <w:tcW w:w="1080" w:type="dxa"/>
            <w:tcBorders>
              <w:top w:val="single" w:sz="8" w:space="0" w:color="000000"/>
              <w:left w:val="single" w:sz="8" w:space="0" w:color="000000"/>
              <w:bottom w:val="single" w:sz="8" w:space="0" w:color="000000"/>
              <w:right w:val="single" w:sz="12" w:space="0" w:color="000000"/>
            </w:tcBorders>
            <w:shd w:val="clear" w:color="auto" w:fill="auto"/>
            <w:noWrap/>
            <w:vAlign w:val="bottom"/>
          </w:tcPr>
          <w:p w14:paraId="0318F691" w14:textId="77777777" w:rsidR="00DE1E2D" w:rsidRPr="00EE5714" w:rsidRDefault="00DE1E2D" w:rsidP="00DE1E2D">
            <w:pPr>
              <w:spacing w:after="0" w:line="240" w:lineRule="auto"/>
              <w:rPr>
                <w:rFonts w:ascii="Calibri" w:hAnsi="Calibri"/>
                <w:b/>
                <w:sz w:val="21"/>
                <w:szCs w:val="21"/>
              </w:rPr>
            </w:pPr>
            <w:r w:rsidRPr="00EE5714">
              <w:rPr>
                <w:rFonts w:ascii="Calibri" w:hAnsi="Calibri"/>
                <w:b/>
                <w:sz w:val="21"/>
                <w:szCs w:val="21"/>
              </w:rPr>
              <w:t xml:space="preserve">Peoples </w:t>
            </w:r>
          </w:p>
          <w:p w14:paraId="6FB7D79D" w14:textId="77777777" w:rsidR="00DE1E2D" w:rsidRPr="00EE5714" w:rsidRDefault="00DE1E2D" w:rsidP="00DE1E2D">
            <w:pPr>
              <w:keepNext/>
              <w:keepLines/>
              <w:spacing w:after="0" w:line="240" w:lineRule="auto"/>
              <w:rPr>
                <w:rFonts w:ascii="Calibri" w:eastAsia="Times New Roman" w:hAnsi="Calibri" w:cs="Calibri"/>
                <w:b/>
                <w:color w:val="000000"/>
                <w:sz w:val="21"/>
                <w:szCs w:val="21"/>
              </w:rPr>
            </w:pPr>
          </w:p>
        </w:tc>
        <w:tc>
          <w:tcPr>
            <w:tcW w:w="810" w:type="dxa"/>
            <w:tcBorders>
              <w:top w:val="single" w:sz="8" w:space="0" w:color="000000"/>
              <w:left w:val="single" w:sz="12" w:space="0" w:color="000000"/>
              <w:bottom w:val="single" w:sz="8" w:space="0" w:color="000000"/>
              <w:right w:val="single" w:sz="8" w:space="0" w:color="000000"/>
            </w:tcBorders>
            <w:shd w:val="clear" w:color="auto" w:fill="auto"/>
            <w:noWrap/>
            <w:vAlign w:val="center"/>
          </w:tcPr>
          <w:p w14:paraId="7AD7920D"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13.98</w:t>
            </w:r>
          </w:p>
        </w:tc>
        <w:tc>
          <w:tcPr>
            <w:tcW w:w="99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3B0B02C5"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16.42</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307617C2"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14.61</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3D7A3F4C"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18.57</w:t>
            </w:r>
          </w:p>
        </w:tc>
        <w:tc>
          <w:tcPr>
            <w:tcW w:w="900" w:type="dxa"/>
            <w:tcBorders>
              <w:top w:val="single" w:sz="8" w:space="0" w:color="000000"/>
              <w:left w:val="nil"/>
              <w:bottom w:val="single" w:sz="8" w:space="0" w:color="000000"/>
              <w:right w:val="single" w:sz="12" w:space="0" w:color="000000"/>
            </w:tcBorders>
            <w:shd w:val="clear" w:color="auto" w:fill="auto"/>
            <w:noWrap/>
            <w:vAlign w:val="center"/>
          </w:tcPr>
          <w:p w14:paraId="15DB2DF0"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8.92</w:t>
            </w:r>
          </w:p>
        </w:tc>
        <w:tc>
          <w:tcPr>
            <w:tcW w:w="90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147E162C"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10.26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25627C"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13.48</w:t>
            </w:r>
          </w:p>
        </w:tc>
        <w:tc>
          <w:tcPr>
            <w:tcW w:w="900" w:type="dxa"/>
            <w:tcBorders>
              <w:top w:val="single" w:sz="8" w:space="0" w:color="000000"/>
              <w:left w:val="nil"/>
              <w:bottom w:val="single" w:sz="8" w:space="0" w:color="000000"/>
              <w:right w:val="single" w:sz="8" w:space="0" w:color="000000"/>
            </w:tcBorders>
            <w:vAlign w:val="center"/>
          </w:tcPr>
          <w:p w14:paraId="69401A58"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11.43</w:t>
            </w:r>
          </w:p>
        </w:tc>
        <w:tc>
          <w:tcPr>
            <w:tcW w:w="900" w:type="dxa"/>
            <w:tcBorders>
              <w:top w:val="single" w:sz="8" w:space="0" w:color="000000"/>
              <w:left w:val="nil"/>
              <w:bottom w:val="single" w:sz="8" w:space="0" w:color="000000"/>
              <w:right w:val="single" w:sz="8" w:space="0" w:color="000000"/>
            </w:tcBorders>
            <w:vAlign w:val="center"/>
          </w:tcPr>
          <w:p w14:paraId="5B3F8001"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16.57</w:t>
            </w:r>
          </w:p>
        </w:tc>
        <w:tc>
          <w:tcPr>
            <w:tcW w:w="900" w:type="dxa"/>
            <w:tcBorders>
              <w:top w:val="single" w:sz="8" w:space="0" w:color="000000"/>
              <w:left w:val="nil"/>
              <w:bottom w:val="single" w:sz="8" w:space="0" w:color="000000"/>
              <w:right w:val="single" w:sz="12" w:space="0" w:color="000000"/>
            </w:tcBorders>
            <w:vAlign w:val="center"/>
          </w:tcPr>
          <w:p w14:paraId="2E1E7EA1"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5.68</w:t>
            </w:r>
          </w:p>
        </w:tc>
      </w:tr>
      <w:tr w:rsidR="00FB6C16" w:rsidRPr="00EE5714" w14:paraId="20F3E755" w14:textId="77777777" w:rsidTr="00E92A67">
        <w:trPr>
          <w:trHeight w:hRule="exact" w:val="533"/>
        </w:trPr>
        <w:tc>
          <w:tcPr>
            <w:tcW w:w="1080" w:type="dxa"/>
            <w:tcBorders>
              <w:top w:val="single" w:sz="8" w:space="0" w:color="000000"/>
              <w:left w:val="single" w:sz="8" w:space="0" w:color="000000"/>
              <w:bottom w:val="single" w:sz="8" w:space="0" w:color="000000"/>
              <w:right w:val="single" w:sz="12" w:space="0" w:color="000000"/>
            </w:tcBorders>
            <w:shd w:val="clear" w:color="auto" w:fill="auto"/>
            <w:noWrap/>
            <w:vAlign w:val="bottom"/>
          </w:tcPr>
          <w:p w14:paraId="2F72EA00" w14:textId="77777777" w:rsidR="00DE1E2D" w:rsidRPr="00EE5714" w:rsidRDefault="00DE1E2D" w:rsidP="00DE1E2D">
            <w:pPr>
              <w:spacing w:after="0" w:line="240" w:lineRule="auto"/>
              <w:rPr>
                <w:rFonts w:ascii="Calibri" w:hAnsi="Calibri"/>
                <w:b/>
                <w:sz w:val="21"/>
                <w:szCs w:val="21"/>
              </w:rPr>
            </w:pPr>
            <w:r w:rsidRPr="00EE5714">
              <w:rPr>
                <w:rFonts w:ascii="Calibri" w:hAnsi="Calibri"/>
                <w:b/>
                <w:sz w:val="21"/>
                <w:szCs w:val="21"/>
              </w:rPr>
              <w:t xml:space="preserve">Peoples EQT </w:t>
            </w:r>
          </w:p>
          <w:p w14:paraId="6687C85B" w14:textId="77777777" w:rsidR="00DE1E2D" w:rsidRPr="00EE5714" w:rsidRDefault="00DE1E2D" w:rsidP="00DE1E2D">
            <w:pPr>
              <w:keepNext/>
              <w:keepLines/>
              <w:spacing w:after="0" w:line="240" w:lineRule="auto"/>
              <w:rPr>
                <w:rFonts w:ascii="Calibri" w:eastAsia="Times New Roman" w:hAnsi="Calibri" w:cs="Calibri"/>
                <w:b/>
                <w:color w:val="000000"/>
                <w:sz w:val="21"/>
                <w:szCs w:val="21"/>
              </w:rPr>
            </w:pPr>
          </w:p>
        </w:tc>
        <w:tc>
          <w:tcPr>
            <w:tcW w:w="810" w:type="dxa"/>
            <w:tcBorders>
              <w:top w:val="single" w:sz="8" w:space="0" w:color="000000"/>
              <w:left w:val="single" w:sz="12" w:space="0" w:color="000000"/>
              <w:bottom w:val="single" w:sz="8" w:space="0" w:color="000000"/>
              <w:right w:val="single" w:sz="8" w:space="0" w:color="000000"/>
            </w:tcBorders>
            <w:shd w:val="clear" w:color="auto" w:fill="auto"/>
            <w:noWrap/>
            <w:vAlign w:val="center"/>
          </w:tcPr>
          <w:p w14:paraId="021E3A68"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9.06</w:t>
            </w:r>
          </w:p>
        </w:tc>
        <w:tc>
          <w:tcPr>
            <w:tcW w:w="99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5CB3581C"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10.92</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67480A15"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11.43</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51B7A54A"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8.40</w:t>
            </w:r>
          </w:p>
        </w:tc>
        <w:tc>
          <w:tcPr>
            <w:tcW w:w="900" w:type="dxa"/>
            <w:tcBorders>
              <w:top w:val="single" w:sz="8" w:space="0" w:color="000000"/>
              <w:left w:val="nil"/>
              <w:bottom w:val="single" w:sz="8" w:space="0" w:color="000000"/>
              <w:right w:val="single" w:sz="12" w:space="0" w:color="000000"/>
            </w:tcBorders>
            <w:shd w:val="clear" w:color="auto" w:fill="auto"/>
            <w:noWrap/>
            <w:vAlign w:val="center"/>
          </w:tcPr>
          <w:p w14:paraId="0D4CE3AC"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7.66</w:t>
            </w:r>
          </w:p>
        </w:tc>
        <w:tc>
          <w:tcPr>
            <w:tcW w:w="90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59C70484"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5.75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51D49"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8.75</w:t>
            </w:r>
          </w:p>
        </w:tc>
        <w:tc>
          <w:tcPr>
            <w:tcW w:w="900" w:type="dxa"/>
            <w:tcBorders>
              <w:top w:val="single" w:sz="8" w:space="0" w:color="000000"/>
              <w:left w:val="nil"/>
              <w:bottom w:val="single" w:sz="8" w:space="0" w:color="000000"/>
              <w:right w:val="single" w:sz="8" w:space="0" w:color="000000"/>
            </w:tcBorders>
            <w:vAlign w:val="center"/>
          </w:tcPr>
          <w:p w14:paraId="3641517C"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9.30</w:t>
            </w:r>
          </w:p>
        </w:tc>
        <w:tc>
          <w:tcPr>
            <w:tcW w:w="900" w:type="dxa"/>
            <w:tcBorders>
              <w:top w:val="single" w:sz="8" w:space="0" w:color="000000"/>
              <w:left w:val="nil"/>
              <w:bottom w:val="single" w:sz="8" w:space="0" w:color="000000"/>
              <w:right w:val="single" w:sz="8" w:space="0" w:color="000000"/>
            </w:tcBorders>
            <w:vAlign w:val="center"/>
          </w:tcPr>
          <w:p w14:paraId="02DFE555"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6.25</w:t>
            </w:r>
          </w:p>
        </w:tc>
        <w:tc>
          <w:tcPr>
            <w:tcW w:w="900" w:type="dxa"/>
            <w:tcBorders>
              <w:top w:val="single" w:sz="8" w:space="0" w:color="000000"/>
              <w:left w:val="nil"/>
              <w:bottom w:val="single" w:sz="8" w:space="0" w:color="000000"/>
              <w:right w:val="single" w:sz="12" w:space="0" w:color="000000"/>
            </w:tcBorders>
            <w:vAlign w:val="center"/>
          </w:tcPr>
          <w:p w14:paraId="626D94D7"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4.91</w:t>
            </w:r>
          </w:p>
        </w:tc>
      </w:tr>
      <w:tr w:rsidR="00FB6C16" w:rsidRPr="00EE5714" w14:paraId="2F32E580" w14:textId="77777777" w:rsidTr="00E92A67">
        <w:trPr>
          <w:trHeight w:hRule="exact" w:val="245"/>
        </w:trPr>
        <w:tc>
          <w:tcPr>
            <w:tcW w:w="1080" w:type="dxa"/>
            <w:tcBorders>
              <w:top w:val="single" w:sz="8" w:space="0" w:color="000000"/>
              <w:left w:val="single" w:sz="8" w:space="0" w:color="000000"/>
              <w:bottom w:val="single" w:sz="8" w:space="0" w:color="000000"/>
              <w:right w:val="single" w:sz="12" w:space="0" w:color="000000"/>
            </w:tcBorders>
            <w:shd w:val="clear" w:color="auto" w:fill="auto"/>
            <w:noWrap/>
            <w:vAlign w:val="bottom"/>
          </w:tcPr>
          <w:p w14:paraId="47FE6F96" w14:textId="77777777" w:rsidR="00DE1E2D" w:rsidRPr="00EE5714" w:rsidRDefault="00DE1E2D" w:rsidP="00DE1E2D">
            <w:pPr>
              <w:spacing w:after="0" w:line="240" w:lineRule="auto"/>
              <w:rPr>
                <w:rFonts w:ascii="Calibri" w:hAnsi="Calibri"/>
                <w:b/>
                <w:sz w:val="21"/>
                <w:szCs w:val="21"/>
              </w:rPr>
            </w:pPr>
            <w:r w:rsidRPr="00EE5714">
              <w:rPr>
                <w:rFonts w:ascii="Calibri" w:hAnsi="Calibri"/>
                <w:b/>
                <w:sz w:val="21"/>
                <w:szCs w:val="21"/>
              </w:rPr>
              <w:t xml:space="preserve">PGW </w:t>
            </w:r>
          </w:p>
          <w:p w14:paraId="070BA0D1" w14:textId="77777777" w:rsidR="00DE1E2D" w:rsidRPr="00EE5714" w:rsidRDefault="00DE1E2D" w:rsidP="00DE1E2D">
            <w:pPr>
              <w:keepNext/>
              <w:keepLines/>
              <w:spacing w:after="0" w:line="240" w:lineRule="auto"/>
              <w:rPr>
                <w:rFonts w:ascii="Calibri" w:eastAsia="Times New Roman" w:hAnsi="Calibri" w:cs="Calibri"/>
                <w:b/>
                <w:color w:val="000000"/>
                <w:sz w:val="21"/>
                <w:szCs w:val="21"/>
              </w:rPr>
            </w:pPr>
          </w:p>
        </w:tc>
        <w:tc>
          <w:tcPr>
            <w:tcW w:w="810" w:type="dxa"/>
            <w:tcBorders>
              <w:top w:val="single" w:sz="8" w:space="0" w:color="000000"/>
              <w:left w:val="single" w:sz="12" w:space="0" w:color="000000"/>
              <w:bottom w:val="single" w:sz="8" w:space="0" w:color="000000"/>
              <w:right w:val="single" w:sz="8" w:space="0" w:color="000000"/>
            </w:tcBorders>
            <w:shd w:val="clear" w:color="auto" w:fill="auto"/>
            <w:noWrap/>
            <w:vAlign w:val="center"/>
          </w:tcPr>
          <w:p w14:paraId="642524CD"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13.05</w:t>
            </w:r>
          </w:p>
        </w:tc>
        <w:tc>
          <w:tcPr>
            <w:tcW w:w="99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0001B321"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13.99</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5C41A69E"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15.19</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5DA1ECFD"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14.20</w:t>
            </w:r>
          </w:p>
        </w:tc>
        <w:tc>
          <w:tcPr>
            <w:tcW w:w="900" w:type="dxa"/>
            <w:tcBorders>
              <w:top w:val="single" w:sz="8" w:space="0" w:color="000000"/>
              <w:left w:val="nil"/>
              <w:bottom w:val="single" w:sz="8" w:space="0" w:color="000000"/>
              <w:right w:val="single" w:sz="12" w:space="0" w:color="000000"/>
            </w:tcBorders>
            <w:shd w:val="clear" w:color="auto" w:fill="auto"/>
            <w:noWrap/>
            <w:vAlign w:val="center"/>
          </w:tcPr>
          <w:p w14:paraId="280D9BB3"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13.26</w:t>
            </w:r>
          </w:p>
        </w:tc>
        <w:tc>
          <w:tcPr>
            <w:tcW w:w="90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2D1AEA2F"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9.91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96E3D6"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10.92</w:t>
            </w:r>
          </w:p>
        </w:tc>
        <w:tc>
          <w:tcPr>
            <w:tcW w:w="900" w:type="dxa"/>
            <w:tcBorders>
              <w:top w:val="single" w:sz="8" w:space="0" w:color="000000"/>
              <w:left w:val="nil"/>
              <w:bottom w:val="single" w:sz="8" w:space="0" w:color="000000"/>
              <w:right w:val="single" w:sz="8" w:space="0" w:color="000000"/>
            </w:tcBorders>
            <w:vAlign w:val="center"/>
          </w:tcPr>
          <w:p w14:paraId="43AF95FB"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12.24</w:t>
            </w:r>
          </w:p>
        </w:tc>
        <w:tc>
          <w:tcPr>
            <w:tcW w:w="900" w:type="dxa"/>
            <w:tcBorders>
              <w:top w:val="single" w:sz="8" w:space="0" w:color="000000"/>
              <w:left w:val="nil"/>
              <w:bottom w:val="single" w:sz="8" w:space="0" w:color="000000"/>
              <w:right w:val="single" w:sz="8" w:space="0" w:color="000000"/>
            </w:tcBorders>
            <w:vAlign w:val="center"/>
          </w:tcPr>
          <w:p w14:paraId="4219A729"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11.00</w:t>
            </w:r>
          </w:p>
        </w:tc>
        <w:tc>
          <w:tcPr>
            <w:tcW w:w="900" w:type="dxa"/>
            <w:tcBorders>
              <w:top w:val="single" w:sz="8" w:space="0" w:color="000000"/>
              <w:left w:val="nil"/>
              <w:bottom w:val="single" w:sz="8" w:space="0" w:color="000000"/>
              <w:right w:val="single" w:sz="12" w:space="0" w:color="000000"/>
            </w:tcBorders>
            <w:vAlign w:val="center"/>
          </w:tcPr>
          <w:p w14:paraId="6D2E95BA" w14:textId="77777777" w:rsidR="00DE1E2D" w:rsidRPr="00EE5714" w:rsidRDefault="00DE1E2D" w:rsidP="00DE1E2D">
            <w:pPr>
              <w:spacing w:after="0" w:line="240" w:lineRule="auto"/>
              <w:jc w:val="center"/>
              <w:rPr>
                <w:rFonts w:ascii="Calibri" w:hAnsi="Calibri"/>
                <w:color w:val="000000"/>
                <w:sz w:val="21"/>
                <w:szCs w:val="21"/>
              </w:rPr>
            </w:pPr>
            <w:r w:rsidRPr="00EE5714">
              <w:rPr>
                <w:rFonts w:ascii="Calibri" w:hAnsi="Calibri"/>
                <w:color w:val="000000"/>
                <w:sz w:val="21"/>
                <w:szCs w:val="21"/>
              </w:rPr>
              <w:t>9.96</w:t>
            </w:r>
          </w:p>
        </w:tc>
      </w:tr>
    </w:tbl>
    <w:p w14:paraId="4E9B2CC0" w14:textId="77777777" w:rsidR="00BC7DCA" w:rsidRPr="00EE5714" w:rsidRDefault="00BC7DCA" w:rsidP="00F303E0">
      <w:pPr>
        <w:pStyle w:val="NoSpacing"/>
        <w:rPr>
          <w:rFonts w:eastAsia="Times New Roman" w:cs="Times New Roman"/>
          <w:b/>
          <w:color w:val="000000"/>
          <w:szCs w:val="26"/>
        </w:rPr>
      </w:pPr>
    </w:p>
    <w:p w14:paraId="3210A601" w14:textId="77777777" w:rsidR="00F1166E" w:rsidRPr="00EE5714" w:rsidRDefault="00F1166E" w:rsidP="005A2B00">
      <w:pPr>
        <w:spacing w:after="0" w:line="240" w:lineRule="auto"/>
        <w:rPr>
          <w:rFonts w:ascii="Times New Roman" w:hAnsi="Times New Roman" w:cs="Times New Roman"/>
          <w:sz w:val="26"/>
          <w:szCs w:val="26"/>
        </w:rPr>
      </w:pPr>
    </w:p>
    <w:p w14:paraId="43BD4F8D" w14:textId="77777777" w:rsidR="002F3896" w:rsidRPr="00EE5714" w:rsidRDefault="002F3896">
      <w:pPr>
        <w:rPr>
          <w:rFonts w:ascii="Times New Roman" w:hAnsi="Times New Roman" w:cs="Times New Roman"/>
          <w:sz w:val="26"/>
          <w:szCs w:val="26"/>
        </w:rPr>
      </w:pPr>
      <w:r w:rsidRPr="00EE5714">
        <w:rPr>
          <w:rFonts w:ascii="Times New Roman" w:hAnsi="Times New Roman" w:cs="Times New Roman"/>
          <w:sz w:val="26"/>
          <w:szCs w:val="26"/>
        </w:rPr>
        <w:br w:type="page"/>
      </w:r>
    </w:p>
    <w:p w14:paraId="50A1B03C" w14:textId="77777777" w:rsidR="005A2B00" w:rsidRPr="00EE5714" w:rsidRDefault="00F857A1" w:rsidP="006019D7">
      <w:pPr>
        <w:spacing w:after="0" w:line="240" w:lineRule="auto"/>
        <w:rPr>
          <w:rFonts w:ascii="Times New Roman" w:hAnsi="Times New Roman" w:cs="Times New Roman"/>
          <w:b/>
          <w:sz w:val="26"/>
          <w:szCs w:val="26"/>
        </w:rPr>
      </w:pPr>
      <w:r w:rsidRPr="00EE5714">
        <w:rPr>
          <w:rFonts w:ascii="Times New Roman" w:hAnsi="Times New Roman" w:cs="Times New Roman"/>
          <w:sz w:val="26"/>
          <w:szCs w:val="26"/>
        </w:rPr>
        <w:lastRenderedPageBreak/>
        <w:t>Appendix 3</w:t>
      </w:r>
      <w:r w:rsidR="0095094C" w:rsidRPr="00EE5714">
        <w:rPr>
          <w:rFonts w:ascii="Times New Roman" w:hAnsi="Times New Roman" w:cs="Times New Roman"/>
          <w:sz w:val="26"/>
          <w:szCs w:val="26"/>
        </w:rPr>
        <w:t>.A.</w:t>
      </w:r>
      <w:r w:rsidR="00D415A1" w:rsidRPr="00EE5714">
        <w:rPr>
          <w:rFonts w:ascii="Times New Roman" w:hAnsi="Times New Roman" w:cs="Times New Roman"/>
          <w:sz w:val="26"/>
          <w:szCs w:val="26"/>
        </w:rPr>
        <w:t>3</w:t>
      </w:r>
      <w:r w:rsidR="0095094C" w:rsidRPr="00EE5714">
        <w:rPr>
          <w:rFonts w:ascii="Times New Roman" w:hAnsi="Times New Roman" w:cs="Times New Roman"/>
          <w:sz w:val="26"/>
          <w:szCs w:val="26"/>
        </w:rPr>
        <w:t>:</w:t>
      </w:r>
      <w:r w:rsidR="005A2B00" w:rsidRPr="00EE5714">
        <w:rPr>
          <w:rFonts w:ascii="Times New Roman" w:hAnsi="Times New Roman" w:cs="Times New Roman"/>
          <w:b/>
          <w:sz w:val="26"/>
          <w:szCs w:val="26"/>
        </w:rPr>
        <w:t xml:space="preserve"> NGDC Energy Burden of CAP LIHEAP Recipients</w:t>
      </w:r>
      <w:r w:rsidR="005A2B00" w:rsidRPr="00EE5714">
        <w:rPr>
          <w:rFonts w:ascii="Times New Roman" w:hAnsi="Times New Roman" w:cs="Times New Roman"/>
          <w:sz w:val="26"/>
          <w:szCs w:val="26"/>
        </w:rPr>
        <w:t xml:space="preserve"> </w:t>
      </w:r>
      <w:r w:rsidR="005A2B00" w:rsidRPr="00EE5714">
        <w:rPr>
          <w:rFonts w:ascii="Times New Roman" w:hAnsi="Times New Roman" w:cs="Times New Roman"/>
          <w:b/>
          <w:sz w:val="26"/>
          <w:szCs w:val="26"/>
        </w:rPr>
        <w:t xml:space="preserve">at </w:t>
      </w:r>
    </w:p>
    <w:p w14:paraId="65F2C9BB" w14:textId="77777777" w:rsidR="003C274F" w:rsidRPr="00EE5714" w:rsidRDefault="005A2B00" w:rsidP="006019D7">
      <w:pPr>
        <w:spacing w:after="0" w:line="240" w:lineRule="auto"/>
        <w:rPr>
          <w:rFonts w:ascii="Times New Roman" w:hAnsi="Times New Roman" w:cs="Times New Roman"/>
          <w:sz w:val="26"/>
          <w:szCs w:val="26"/>
        </w:rPr>
      </w:pPr>
      <w:r w:rsidRPr="00EE5714">
        <w:rPr>
          <w:rFonts w:ascii="Times New Roman" w:hAnsi="Times New Roman" w:cs="Times New Roman"/>
          <w:b/>
          <w:sz w:val="26"/>
          <w:szCs w:val="26"/>
        </w:rPr>
        <w:t>101-150% FPIG</w:t>
      </w:r>
    </w:p>
    <w:tbl>
      <w:tblPr>
        <w:tblW w:w="10080" w:type="dxa"/>
        <w:tblInd w:w="-280" w:type="dxa"/>
        <w:tblLayout w:type="fixed"/>
        <w:tblLook w:val="04A0" w:firstRow="1" w:lastRow="0" w:firstColumn="1" w:lastColumn="0" w:noHBand="0" w:noVBand="1"/>
      </w:tblPr>
      <w:tblGrid>
        <w:gridCol w:w="1080"/>
        <w:gridCol w:w="810"/>
        <w:gridCol w:w="990"/>
        <w:gridCol w:w="900"/>
        <w:gridCol w:w="900"/>
        <w:gridCol w:w="900"/>
        <w:gridCol w:w="900"/>
        <w:gridCol w:w="900"/>
        <w:gridCol w:w="900"/>
        <w:gridCol w:w="900"/>
        <w:gridCol w:w="900"/>
      </w:tblGrid>
      <w:tr w:rsidR="003C274F" w:rsidRPr="00EE5714" w14:paraId="502737CB" w14:textId="77777777" w:rsidTr="00463B0B">
        <w:trPr>
          <w:trHeight w:hRule="exact" w:val="418"/>
        </w:trPr>
        <w:tc>
          <w:tcPr>
            <w:tcW w:w="10080" w:type="dxa"/>
            <w:gridSpan w:val="11"/>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tcPr>
          <w:p w14:paraId="2E320644" w14:textId="77777777" w:rsidR="003C274F" w:rsidRPr="00EE5714" w:rsidRDefault="003C274F" w:rsidP="006019D7">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NGDC Energy Burden of CAP LIHEAP Recipients at 101-150% FPIG</w:t>
            </w:r>
          </w:p>
        </w:tc>
      </w:tr>
      <w:tr w:rsidR="003C274F" w:rsidRPr="00EE5714" w14:paraId="74B0FB7C" w14:textId="77777777" w:rsidTr="00463B0B">
        <w:trPr>
          <w:trHeight w:hRule="exact" w:val="418"/>
        </w:trPr>
        <w:tc>
          <w:tcPr>
            <w:tcW w:w="108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0B943F77" w14:textId="77777777" w:rsidR="003C274F" w:rsidRPr="00EE5714" w:rsidRDefault="003C274F" w:rsidP="003C274F">
            <w:pPr>
              <w:keepNext/>
              <w:keepLines/>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500" w:type="dxa"/>
            <w:gridSpan w:val="5"/>
            <w:tcBorders>
              <w:top w:val="single" w:sz="12" w:space="0" w:color="000000"/>
              <w:left w:val="single" w:sz="12" w:space="0" w:color="000000"/>
              <w:bottom w:val="single" w:sz="8" w:space="0" w:color="000000"/>
              <w:right w:val="single" w:sz="12" w:space="0" w:color="000000"/>
            </w:tcBorders>
            <w:shd w:val="clear" w:color="auto" w:fill="auto"/>
            <w:noWrap/>
            <w:hideMark/>
          </w:tcPr>
          <w:p w14:paraId="51536E1A" w14:textId="77777777" w:rsidR="003C274F" w:rsidRPr="00EE5714" w:rsidRDefault="003C274F" w:rsidP="003C274F">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Without LIHEAP Dollars Applied  </w:t>
            </w:r>
          </w:p>
        </w:tc>
        <w:tc>
          <w:tcPr>
            <w:tcW w:w="4500" w:type="dxa"/>
            <w:gridSpan w:val="5"/>
            <w:tcBorders>
              <w:top w:val="single" w:sz="12" w:space="0" w:color="000000"/>
              <w:left w:val="single" w:sz="12" w:space="0" w:color="000000"/>
              <w:bottom w:val="single" w:sz="8" w:space="0" w:color="000000"/>
              <w:right w:val="single" w:sz="12" w:space="0" w:color="000000"/>
            </w:tcBorders>
          </w:tcPr>
          <w:p w14:paraId="08B3CC4B" w14:textId="77777777" w:rsidR="003C274F" w:rsidRPr="00EE5714" w:rsidRDefault="003C274F" w:rsidP="003C274F">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With LIHEAP Dollars Applied</w:t>
            </w:r>
          </w:p>
        </w:tc>
      </w:tr>
      <w:tr w:rsidR="007751BC" w:rsidRPr="00EE5714" w14:paraId="7FFA0A17" w14:textId="77777777" w:rsidTr="006046CB">
        <w:trPr>
          <w:trHeight w:hRule="exact" w:val="418"/>
        </w:trPr>
        <w:tc>
          <w:tcPr>
            <w:tcW w:w="108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44ACC4A0" w14:textId="77777777" w:rsidR="003C274F" w:rsidRPr="00EE5714" w:rsidRDefault="003C274F" w:rsidP="003C274F">
            <w:pPr>
              <w:keepNext/>
              <w:keepLines/>
              <w:spacing w:after="0" w:line="240" w:lineRule="auto"/>
              <w:rPr>
                <w:rFonts w:ascii="Calibri" w:eastAsia="Times New Roman" w:hAnsi="Calibri" w:cs="Calibri"/>
                <w:color w:val="000000"/>
                <w:sz w:val="21"/>
                <w:szCs w:val="21"/>
              </w:rPr>
            </w:pPr>
          </w:p>
        </w:tc>
        <w:tc>
          <w:tcPr>
            <w:tcW w:w="810" w:type="dxa"/>
            <w:tcBorders>
              <w:top w:val="single" w:sz="8" w:space="0" w:color="000000"/>
              <w:left w:val="single" w:sz="12" w:space="0" w:color="000000"/>
              <w:bottom w:val="single" w:sz="8" w:space="0" w:color="000000"/>
              <w:right w:val="single" w:sz="8" w:space="0" w:color="000000"/>
            </w:tcBorders>
            <w:shd w:val="clear" w:color="auto" w:fill="F2F2F2" w:themeFill="background1" w:themeFillShade="F2"/>
            <w:noWrap/>
          </w:tcPr>
          <w:p w14:paraId="32FFFC47" w14:textId="77777777" w:rsidR="003C274F" w:rsidRPr="00EE5714" w:rsidRDefault="003C274F" w:rsidP="003C274F">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990" w:type="dxa"/>
            <w:tcBorders>
              <w:top w:val="single" w:sz="8" w:space="0" w:color="000000"/>
              <w:left w:val="single" w:sz="8" w:space="0" w:color="000000"/>
              <w:bottom w:val="single" w:sz="8" w:space="0" w:color="000000"/>
              <w:right w:val="single" w:sz="4" w:space="0" w:color="000000"/>
            </w:tcBorders>
            <w:shd w:val="clear" w:color="auto" w:fill="F2F2F2" w:themeFill="background1" w:themeFillShade="F2"/>
          </w:tcPr>
          <w:p w14:paraId="217DF494" w14:textId="77777777" w:rsidR="003C274F" w:rsidRPr="00EE5714" w:rsidRDefault="003C274F" w:rsidP="003C274F">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90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781CA1DC" w14:textId="77777777" w:rsidR="003C274F" w:rsidRPr="00EE5714" w:rsidRDefault="003C274F" w:rsidP="003C274F">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90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7D7A7BCA" w14:textId="77777777" w:rsidR="003C274F" w:rsidRPr="00EE5714" w:rsidRDefault="003C274F" w:rsidP="003C274F">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00" w:type="dxa"/>
            <w:tcBorders>
              <w:top w:val="single" w:sz="8" w:space="0" w:color="000000"/>
              <w:left w:val="nil"/>
              <w:bottom w:val="single" w:sz="8" w:space="0" w:color="000000"/>
              <w:right w:val="single" w:sz="12" w:space="0" w:color="000000"/>
            </w:tcBorders>
            <w:shd w:val="clear" w:color="auto" w:fill="F2F2F2" w:themeFill="background1" w:themeFillShade="F2"/>
            <w:noWrap/>
            <w:hideMark/>
          </w:tcPr>
          <w:p w14:paraId="5EEBF2C9" w14:textId="77777777" w:rsidR="003C274F" w:rsidRPr="00EE5714" w:rsidRDefault="003C274F" w:rsidP="003C274F">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900" w:type="dxa"/>
            <w:tcBorders>
              <w:top w:val="single" w:sz="8" w:space="0" w:color="000000"/>
              <w:left w:val="single" w:sz="12" w:space="0" w:color="000000"/>
              <w:bottom w:val="single" w:sz="8" w:space="0" w:color="000000"/>
              <w:right w:val="single" w:sz="8" w:space="0" w:color="000000"/>
            </w:tcBorders>
            <w:shd w:val="clear" w:color="auto" w:fill="F2F2F2" w:themeFill="background1" w:themeFillShade="F2"/>
          </w:tcPr>
          <w:p w14:paraId="1CCDF358" w14:textId="77777777" w:rsidR="003C274F" w:rsidRPr="00EE5714" w:rsidRDefault="003C274F" w:rsidP="003C274F">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90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3FD4725" w14:textId="77777777" w:rsidR="003C274F" w:rsidRPr="00EE5714" w:rsidRDefault="003C274F" w:rsidP="003C274F">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900" w:type="dxa"/>
            <w:tcBorders>
              <w:top w:val="single" w:sz="8" w:space="0" w:color="000000"/>
              <w:left w:val="nil"/>
              <w:bottom w:val="single" w:sz="8" w:space="0" w:color="000000"/>
              <w:right w:val="single" w:sz="8" w:space="0" w:color="000000"/>
            </w:tcBorders>
            <w:shd w:val="clear" w:color="auto" w:fill="F2F2F2" w:themeFill="background1" w:themeFillShade="F2"/>
          </w:tcPr>
          <w:p w14:paraId="469F178E" w14:textId="77777777" w:rsidR="003C274F" w:rsidRPr="00EE5714" w:rsidRDefault="003C274F" w:rsidP="003C274F">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900" w:type="dxa"/>
            <w:tcBorders>
              <w:top w:val="single" w:sz="8" w:space="0" w:color="000000"/>
              <w:left w:val="nil"/>
              <w:bottom w:val="single" w:sz="8" w:space="0" w:color="000000"/>
              <w:right w:val="single" w:sz="8" w:space="0" w:color="000000"/>
            </w:tcBorders>
            <w:shd w:val="clear" w:color="auto" w:fill="F2F2F2" w:themeFill="background1" w:themeFillShade="F2"/>
          </w:tcPr>
          <w:p w14:paraId="60577681" w14:textId="77777777" w:rsidR="003C274F" w:rsidRPr="00EE5714" w:rsidRDefault="003C274F" w:rsidP="003C274F">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00" w:type="dxa"/>
            <w:tcBorders>
              <w:top w:val="single" w:sz="8" w:space="0" w:color="000000"/>
              <w:left w:val="nil"/>
              <w:bottom w:val="single" w:sz="8" w:space="0" w:color="000000"/>
              <w:right w:val="single" w:sz="12" w:space="0" w:color="000000"/>
            </w:tcBorders>
            <w:shd w:val="clear" w:color="auto" w:fill="F2F2F2" w:themeFill="background1" w:themeFillShade="F2"/>
          </w:tcPr>
          <w:p w14:paraId="166A1D7D" w14:textId="77777777" w:rsidR="003C274F" w:rsidRPr="00EE5714" w:rsidRDefault="003C274F" w:rsidP="003C274F">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6046CB" w:rsidRPr="00EE5714" w14:paraId="25A33FF8" w14:textId="77777777" w:rsidTr="00463B0B">
        <w:trPr>
          <w:trHeight w:hRule="exact" w:val="245"/>
        </w:trPr>
        <w:tc>
          <w:tcPr>
            <w:tcW w:w="1080" w:type="dxa"/>
            <w:tcBorders>
              <w:top w:val="single" w:sz="8" w:space="0" w:color="000000"/>
              <w:left w:val="single" w:sz="8" w:space="0" w:color="000000"/>
              <w:bottom w:val="single" w:sz="8" w:space="0" w:color="000000"/>
              <w:right w:val="single" w:sz="12" w:space="0" w:color="000000"/>
            </w:tcBorders>
            <w:shd w:val="clear" w:color="auto" w:fill="auto"/>
            <w:noWrap/>
            <w:vAlign w:val="bottom"/>
          </w:tcPr>
          <w:p w14:paraId="366211B6" w14:textId="77777777" w:rsidR="003C274F" w:rsidRPr="00EE5714" w:rsidRDefault="003C274F" w:rsidP="003C274F">
            <w:pPr>
              <w:keepNext/>
              <w:keepLines/>
              <w:spacing w:after="0" w:line="240" w:lineRule="auto"/>
              <w:rPr>
                <w:rFonts w:ascii="Calibri" w:eastAsia="Times New Roman" w:hAnsi="Calibri" w:cs="Calibri"/>
                <w:b/>
                <w:color w:val="000000"/>
                <w:sz w:val="21"/>
                <w:szCs w:val="21"/>
              </w:rPr>
            </w:pPr>
            <w:r w:rsidRPr="00EE5714">
              <w:rPr>
                <w:rFonts w:ascii="Calibri" w:hAnsi="Calibri"/>
                <w:b/>
                <w:sz w:val="21"/>
                <w:szCs w:val="21"/>
              </w:rPr>
              <w:t>Columbia</w:t>
            </w:r>
          </w:p>
        </w:tc>
        <w:tc>
          <w:tcPr>
            <w:tcW w:w="810" w:type="dxa"/>
            <w:tcBorders>
              <w:top w:val="single" w:sz="8" w:space="0" w:color="000000"/>
              <w:left w:val="single" w:sz="12" w:space="0" w:color="000000"/>
              <w:bottom w:val="single" w:sz="8" w:space="0" w:color="000000"/>
              <w:right w:val="single" w:sz="8" w:space="0" w:color="000000"/>
            </w:tcBorders>
            <w:shd w:val="clear" w:color="auto" w:fill="auto"/>
            <w:noWrap/>
            <w:vAlign w:val="center"/>
          </w:tcPr>
          <w:p w14:paraId="6B4E489C"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4.68</w:t>
            </w:r>
          </w:p>
        </w:tc>
        <w:tc>
          <w:tcPr>
            <w:tcW w:w="99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35446C2D"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5.22</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1CF6DC95"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5.66</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4578F8A0"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5.33</w:t>
            </w:r>
          </w:p>
        </w:tc>
        <w:tc>
          <w:tcPr>
            <w:tcW w:w="900" w:type="dxa"/>
            <w:tcBorders>
              <w:top w:val="single" w:sz="8" w:space="0" w:color="000000"/>
              <w:left w:val="nil"/>
              <w:bottom w:val="single" w:sz="8" w:space="0" w:color="000000"/>
              <w:right w:val="single" w:sz="12" w:space="0" w:color="000000"/>
            </w:tcBorders>
            <w:shd w:val="clear" w:color="auto" w:fill="auto"/>
            <w:noWrap/>
            <w:vAlign w:val="center"/>
          </w:tcPr>
          <w:p w14:paraId="4CE6EA51"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4.19</w:t>
            </w:r>
          </w:p>
        </w:tc>
        <w:tc>
          <w:tcPr>
            <w:tcW w:w="90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51B7F73F"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3.36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951337"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4.58</w:t>
            </w:r>
          </w:p>
        </w:tc>
        <w:tc>
          <w:tcPr>
            <w:tcW w:w="900" w:type="dxa"/>
            <w:tcBorders>
              <w:top w:val="single" w:sz="8" w:space="0" w:color="000000"/>
              <w:left w:val="nil"/>
              <w:bottom w:val="single" w:sz="8" w:space="0" w:color="000000"/>
              <w:right w:val="single" w:sz="8" w:space="0" w:color="000000"/>
            </w:tcBorders>
            <w:vAlign w:val="center"/>
          </w:tcPr>
          <w:p w14:paraId="070EEAF8"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4.89</w:t>
            </w:r>
          </w:p>
        </w:tc>
        <w:tc>
          <w:tcPr>
            <w:tcW w:w="900" w:type="dxa"/>
            <w:tcBorders>
              <w:top w:val="single" w:sz="8" w:space="0" w:color="000000"/>
              <w:left w:val="nil"/>
              <w:bottom w:val="single" w:sz="8" w:space="0" w:color="000000"/>
              <w:right w:val="single" w:sz="8" w:space="0" w:color="000000"/>
            </w:tcBorders>
            <w:vAlign w:val="center"/>
          </w:tcPr>
          <w:p w14:paraId="6258D23B"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4.56</w:t>
            </w:r>
          </w:p>
        </w:tc>
        <w:tc>
          <w:tcPr>
            <w:tcW w:w="900" w:type="dxa"/>
            <w:tcBorders>
              <w:top w:val="single" w:sz="8" w:space="0" w:color="000000"/>
              <w:left w:val="nil"/>
              <w:bottom w:val="single" w:sz="8" w:space="0" w:color="000000"/>
              <w:right w:val="single" w:sz="12" w:space="0" w:color="000000"/>
            </w:tcBorders>
            <w:vAlign w:val="center"/>
          </w:tcPr>
          <w:p w14:paraId="04860CBC"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2.85</w:t>
            </w:r>
          </w:p>
        </w:tc>
      </w:tr>
      <w:tr w:rsidR="006046CB" w:rsidRPr="00EE5714" w14:paraId="10405A19" w14:textId="77777777" w:rsidTr="00463B0B">
        <w:trPr>
          <w:trHeight w:hRule="exact" w:val="245"/>
        </w:trPr>
        <w:tc>
          <w:tcPr>
            <w:tcW w:w="1080" w:type="dxa"/>
            <w:tcBorders>
              <w:top w:val="single" w:sz="8" w:space="0" w:color="000000"/>
              <w:left w:val="single" w:sz="8" w:space="0" w:color="000000"/>
              <w:bottom w:val="single" w:sz="8" w:space="0" w:color="000000"/>
              <w:right w:val="single" w:sz="12" w:space="0" w:color="000000"/>
            </w:tcBorders>
            <w:shd w:val="clear" w:color="auto" w:fill="auto"/>
            <w:noWrap/>
            <w:vAlign w:val="bottom"/>
          </w:tcPr>
          <w:p w14:paraId="02D9E55D" w14:textId="77777777" w:rsidR="003C274F" w:rsidRPr="00EE5714" w:rsidRDefault="003C274F" w:rsidP="003C274F">
            <w:pPr>
              <w:spacing w:after="0" w:line="240" w:lineRule="auto"/>
              <w:rPr>
                <w:rFonts w:ascii="Calibri" w:hAnsi="Calibri"/>
                <w:b/>
                <w:sz w:val="21"/>
                <w:szCs w:val="21"/>
              </w:rPr>
            </w:pPr>
            <w:r w:rsidRPr="00EE5714">
              <w:rPr>
                <w:rFonts w:ascii="Calibri" w:hAnsi="Calibri"/>
                <w:b/>
                <w:sz w:val="21"/>
                <w:szCs w:val="21"/>
              </w:rPr>
              <w:t xml:space="preserve">Peoples </w:t>
            </w:r>
          </w:p>
          <w:p w14:paraId="7C40D335" w14:textId="77777777" w:rsidR="003C274F" w:rsidRPr="00EE5714" w:rsidRDefault="003C274F" w:rsidP="003C274F">
            <w:pPr>
              <w:keepNext/>
              <w:keepLines/>
              <w:spacing w:after="0" w:line="240" w:lineRule="auto"/>
              <w:rPr>
                <w:rFonts w:ascii="Calibri" w:eastAsia="Times New Roman" w:hAnsi="Calibri" w:cs="Calibri"/>
                <w:b/>
                <w:color w:val="000000"/>
                <w:sz w:val="21"/>
                <w:szCs w:val="21"/>
              </w:rPr>
            </w:pPr>
          </w:p>
        </w:tc>
        <w:tc>
          <w:tcPr>
            <w:tcW w:w="810" w:type="dxa"/>
            <w:tcBorders>
              <w:top w:val="single" w:sz="8" w:space="0" w:color="000000"/>
              <w:left w:val="single" w:sz="12" w:space="0" w:color="000000"/>
              <w:bottom w:val="single" w:sz="8" w:space="0" w:color="000000"/>
              <w:right w:val="single" w:sz="8" w:space="0" w:color="000000"/>
            </w:tcBorders>
            <w:shd w:val="clear" w:color="auto" w:fill="auto"/>
            <w:noWrap/>
            <w:vAlign w:val="center"/>
          </w:tcPr>
          <w:p w14:paraId="5DF3A1D3"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11.97</w:t>
            </w:r>
          </w:p>
        </w:tc>
        <w:tc>
          <w:tcPr>
            <w:tcW w:w="99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6693F916"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15.45</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55C7AE3D"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10.32</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68742D8E"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13.81</w:t>
            </w:r>
          </w:p>
        </w:tc>
        <w:tc>
          <w:tcPr>
            <w:tcW w:w="900" w:type="dxa"/>
            <w:tcBorders>
              <w:top w:val="single" w:sz="8" w:space="0" w:color="000000"/>
              <w:left w:val="nil"/>
              <w:bottom w:val="single" w:sz="8" w:space="0" w:color="000000"/>
              <w:right w:val="single" w:sz="12" w:space="0" w:color="000000"/>
            </w:tcBorders>
            <w:shd w:val="clear" w:color="auto" w:fill="auto"/>
            <w:noWrap/>
            <w:vAlign w:val="center"/>
          </w:tcPr>
          <w:p w14:paraId="4C0480CB"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5.90</w:t>
            </w:r>
          </w:p>
        </w:tc>
        <w:tc>
          <w:tcPr>
            <w:tcW w:w="90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63CDCE46"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9.78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6F4E29"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13.68</w:t>
            </w:r>
          </w:p>
        </w:tc>
        <w:tc>
          <w:tcPr>
            <w:tcW w:w="900" w:type="dxa"/>
            <w:tcBorders>
              <w:top w:val="single" w:sz="8" w:space="0" w:color="000000"/>
              <w:left w:val="nil"/>
              <w:bottom w:val="single" w:sz="8" w:space="0" w:color="000000"/>
              <w:right w:val="single" w:sz="8" w:space="0" w:color="000000"/>
            </w:tcBorders>
            <w:vAlign w:val="center"/>
          </w:tcPr>
          <w:p w14:paraId="6E1668F6"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7.99</w:t>
            </w:r>
          </w:p>
        </w:tc>
        <w:tc>
          <w:tcPr>
            <w:tcW w:w="900" w:type="dxa"/>
            <w:tcBorders>
              <w:top w:val="single" w:sz="8" w:space="0" w:color="000000"/>
              <w:left w:val="nil"/>
              <w:bottom w:val="single" w:sz="8" w:space="0" w:color="000000"/>
              <w:right w:val="single" w:sz="8" w:space="0" w:color="000000"/>
            </w:tcBorders>
            <w:vAlign w:val="center"/>
          </w:tcPr>
          <w:p w14:paraId="6CC59F0C"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12.91</w:t>
            </w:r>
          </w:p>
        </w:tc>
        <w:tc>
          <w:tcPr>
            <w:tcW w:w="900" w:type="dxa"/>
            <w:tcBorders>
              <w:top w:val="single" w:sz="8" w:space="0" w:color="000000"/>
              <w:left w:val="nil"/>
              <w:bottom w:val="single" w:sz="8" w:space="0" w:color="000000"/>
              <w:right w:val="single" w:sz="12" w:space="0" w:color="000000"/>
            </w:tcBorders>
            <w:vAlign w:val="center"/>
          </w:tcPr>
          <w:p w14:paraId="74738EF6"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4.06</w:t>
            </w:r>
          </w:p>
        </w:tc>
      </w:tr>
      <w:tr w:rsidR="006046CB" w:rsidRPr="00EE5714" w14:paraId="0CC5D12C" w14:textId="77777777" w:rsidTr="00463B0B">
        <w:trPr>
          <w:trHeight w:hRule="exact" w:val="470"/>
        </w:trPr>
        <w:tc>
          <w:tcPr>
            <w:tcW w:w="1080" w:type="dxa"/>
            <w:tcBorders>
              <w:top w:val="single" w:sz="8" w:space="0" w:color="000000"/>
              <w:left w:val="single" w:sz="8" w:space="0" w:color="000000"/>
              <w:bottom w:val="single" w:sz="8" w:space="0" w:color="000000"/>
              <w:right w:val="single" w:sz="12" w:space="0" w:color="000000"/>
            </w:tcBorders>
            <w:shd w:val="clear" w:color="auto" w:fill="auto"/>
            <w:noWrap/>
            <w:vAlign w:val="bottom"/>
          </w:tcPr>
          <w:p w14:paraId="0FCD25C3" w14:textId="77777777" w:rsidR="003C274F" w:rsidRPr="00EE5714" w:rsidRDefault="003C274F" w:rsidP="003C274F">
            <w:pPr>
              <w:spacing w:after="0" w:line="240" w:lineRule="auto"/>
              <w:rPr>
                <w:rFonts w:ascii="Calibri" w:hAnsi="Calibri"/>
                <w:b/>
                <w:sz w:val="21"/>
                <w:szCs w:val="21"/>
              </w:rPr>
            </w:pPr>
            <w:r w:rsidRPr="00EE5714">
              <w:rPr>
                <w:rFonts w:ascii="Calibri" w:hAnsi="Calibri"/>
                <w:b/>
                <w:sz w:val="21"/>
                <w:szCs w:val="21"/>
              </w:rPr>
              <w:t xml:space="preserve">Peoples EQT </w:t>
            </w:r>
          </w:p>
          <w:p w14:paraId="4C2E518D" w14:textId="77777777" w:rsidR="003C274F" w:rsidRPr="00EE5714" w:rsidRDefault="003C274F" w:rsidP="003C274F">
            <w:pPr>
              <w:keepNext/>
              <w:keepLines/>
              <w:spacing w:after="0" w:line="240" w:lineRule="auto"/>
              <w:rPr>
                <w:rFonts w:ascii="Calibri" w:eastAsia="Times New Roman" w:hAnsi="Calibri" w:cs="Calibri"/>
                <w:b/>
                <w:color w:val="000000"/>
                <w:sz w:val="21"/>
                <w:szCs w:val="21"/>
              </w:rPr>
            </w:pPr>
          </w:p>
        </w:tc>
        <w:tc>
          <w:tcPr>
            <w:tcW w:w="810" w:type="dxa"/>
            <w:tcBorders>
              <w:top w:val="single" w:sz="8" w:space="0" w:color="000000"/>
              <w:left w:val="single" w:sz="12" w:space="0" w:color="000000"/>
              <w:bottom w:val="single" w:sz="8" w:space="0" w:color="000000"/>
              <w:right w:val="single" w:sz="8" w:space="0" w:color="000000"/>
            </w:tcBorders>
            <w:shd w:val="clear" w:color="auto" w:fill="auto"/>
            <w:noWrap/>
            <w:vAlign w:val="center"/>
          </w:tcPr>
          <w:p w14:paraId="27FB7267"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8.76</w:t>
            </w:r>
          </w:p>
        </w:tc>
        <w:tc>
          <w:tcPr>
            <w:tcW w:w="99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7460ADA2"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7.66</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3BF22659"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7.96</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53B5FFF8"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5.96</w:t>
            </w:r>
          </w:p>
        </w:tc>
        <w:tc>
          <w:tcPr>
            <w:tcW w:w="900" w:type="dxa"/>
            <w:tcBorders>
              <w:top w:val="single" w:sz="8" w:space="0" w:color="000000"/>
              <w:left w:val="nil"/>
              <w:bottom w:val="single" w:sz="8" w:space="0" w:color="000000"/>
              <w:right w:val="single" w:sz="12" w:space="0" w:color="000000"/>
            </w:tcBorders>
            <w:shd w:val="clear" w:color="auto" w:fill="auto"/>
            <w:noWrap/>
            <w:vAlign w:val="center"/>
          </w:tcPr>
          <w:p w14:paraId="0829AC8E"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5.33</w:t>
            </w:r>
          </w:p>
        </w:tc>
        <w:tc>
          <w:tcPr>
            <w:tcW w:w="90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41CD86CC"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6.81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B91754"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6.43</w:t>
            </w:r>
          </w:p>
        </w:tc>
        <w:tc>
          <w:tcPr>
            <w:tcW w:w="900" w:type="dxa"/>
            <w:tcBorders>
              <w:top w:val="single" w:sz="8" w:space="0" w:color="000000"/>
              <w:left w:val="nil"/>
              <w:bottom w:val="single" w:sz="8" w:space="0" w:color="000000"/>
              <w:right w:val="single" w:sz="8" w:space="0" w:color="000000"/>
            </w:tcBorders>
            <w:vAlign w:val="center"/>
          </w:tcPr>
          <w:p w14:paraId="4BC0B57A"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6.69</w:t>
            </w:r>
          </w:p>
        </w:tc>
        <w:tc>
          <w:tcPr>
            <w:tcW w:w="900" w:type="dxa"/>
            <w:tcBorders>
              <w:top w:val="single" w:sz="8" w:space="0" w:color="000000"/>
              <w:left w:val="nil"/>
              <w:bottom w:val="single" w:sz="8" w:space="0" w:color="000000"/>
              <w:right w:val="single" w:sz="8" w:space="0" w:color="000000"/>
            </w:tcBorders>
            <w:vAlign w:val="center"/>
          </w:tcPr>
          <w:p w14:paraId="3AFED97F"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4.67</w:t>
            </w:r>
          </w:p>
        </w:tc>
        <w:tc>
          <w:tcPr>
            <w:tcW w:w="900" w:type="dxa"/>
            <w:tcBorders>
              <w:top w:val="single" w:sz="8" w:space="0" w:color="000000"/>
              <w:left w:val="nil"/>
              <w:bottom w:val="single" w:sz="8" w:space="0" w:color="000000"/>
              <w:right w:val="single" w:sz="12" w:space="0" w:color="000000"/>
            </w:tcBorders>
            <w:vAlign w:val="center"/>
          </w:tcPr>
          <w:p w14:paraId="5DEA9E3F"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3.58</w:t>
            </w:r>
          </w:p>
        </w:tc>
      </w:tr>
      <w:tr w:rsidR="006046CB" w:rsidRPr="00EE5714" w14:paraId="7E93EED9" w14:textId="77777777" w:rsidTr="00463B0B">
        <w:trPr>
          <w:trHeight w:hRule="exact" w:val="245"/>
        </w:trPr>
        <w:tc>
          <w:tcPr>
            <w:tcW w:w="1080" w:type="dxa"/>
            <w:tcBorders>
              <w:top w:val="single" w:sz="8" w:space="0" w:color="000000"/>
              <w:left w:val="single" w:sz="8" w:space="0" w:color="000000"/>
              <w:bottom w:val="single" w:sz="8" w:space="0" w:color="000000"/>
              <w:right w:val="single" w:sz="12" w:space="0" w:color="000000"/>
            </w:tcBorders>
            <w:shd w:val="clear" w:color="auto" w:fill="auto"/>
            <w:noWrap/>
            <w:vAlign w:val="bottom"/>
          </w:tcPr>
          <w:p w14:paraId="1BF6493F" w14:textId="77777777" w:rsidR="003C274F" w:rsidRPr="00EE5714" w:rsidRDefault="003C274F" w:rsidP="003C274F">
            <w:pPr>
              <w:spacing w:after="0" w:line="240" w:lineRule="auto"/>
              <w:rPr>
                <w:rFonts w:ascii="Calibri" w:hAnsi="Calibri"/>
                <w:b/>
                <w:sz w:val="21"/>
                <w:szCs w:val="21"/>
              </w:rPr>
            </w:pPr>
            <w:r w:rsidRPr="00EE5714">
              <w:rPr>
                <w:rFonts w:ascii="Calibri" w:hAnsi="Calibri"/>
                <w:b/>
                <w:sz w:val="21"/>
                <w:szCs w:val="21"/>
              </w:rPr>
              <w:t xml:space="preserve">PGW </w:t>
            </w:r>
          </w:p>
          <w:p w14:paraId="5264BB92" w14:textId="77777777" w:rsidR="003C274F" w:rsidRPr="00EE5714" w:rsidRDefault="003C274F" w:rsidP="003C274F">
            <w:pPr>
              <w:keepNext/>
              <w:keepLines/>
              <w:spacing w:after="0" w:line="240" w:lineRule="auto"/>
              <w:rPr>
                <w:rFonts w:ascii="Calibri" w:eastAsia="Times New Roman" w:hAnsi="Calibri" w:cs="Calibri"/>
                <w:b/>
                <w:color w:val="000000"/>
                <w:sz w:val="21"/>
                <w:szCs w:val="21"/>
              </w:rPr>
            </w:pPr>
          </w:p>
        </w:tc>
        <w:tc>
          <w:tcPr>
            <w:tcW w:w="810" w:type="dxa"/>
            <w:tcBorders>
              <w:top w:val="single" w:sz="8" w:space="0" w:color="000000"/>
              <w:left w:val="single" w:sz="12" w:space="0" w:color="000000"/>
              <w:bottom w:val="single" w:sz="8" w:space="0" w:color="000000"/>
              <w:right w:val="single" w:sz="8" w:space="0" w:color="000000"/>
            </w:tcBorders>
            <w:shd w:val="clear" w:color="auto" w:fill="auto"/>
            <w:noWrap/>
            <w:vAlign w:val="center"/>
          </w:tcPr>
          <w:p w14:paraId="7D7CA707"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10.61</w:t>
            </w:r>
          </w:p>
        </w:tc>
        <w:tc>
          <w:tcPr>
            <w:tcW w:w="99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3220B353"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11.34</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2B8C53B1"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12.32</w:t>
            </w:r>
          </w:p>
        </w:tc>
        <w:tc>
          <w:tcPr>
            <w:tcW w:w="900" w:type="dxa"/>
            <w:tcBorders>
              <w:top w:val="single" w:sz="8" w:space="0" w:color="000000"/>
              <w:left w:val="nil"/>
              <w:bottom w:val="single" w:sz="8" w:space="0" w:color="000000"/>
              <w:right w:val="single" w:sz="4" w:space="0" w:color="000000"/>
            </w:tcBorders>
            <w:shd w:val="clear" w:color="auto" w:fill="auto"/>
            <w:noWrap/>
            <w:vAlign w:val="center"/>
          </w:tcPr>
          <w:p w14:paraId="41736D4A"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11.67</w:t>
            </w:r>
          </w:p>
        </w:tc>
        <w:tc>
          <w:tcPr>
            <w:tcW w:w="900" w:type="dxa"/>
            <w:tcBorders>
              <w:top w:val="single" w:sz="8" w:space="0" w:color="000000"/>
              <w:left w:val="nil"/>
              <w:bottom w:val="single" w:sz="8" w:space="0" w:color="000000"/>
              <w:right w:val="single" w:sz="12" w:space="0" w:color="000000"/>
            </w:tcBorders>
            <w:shd w:val="clear" w:color="auto" w:fill="auto"/>
            <w:noWrap/>
            <w:vAlign w:val="center"/>
          </w:tcPr>
          <w:p w14:paraId="04348E5F"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11.17</w:t>
            </w:r>
          </w:p>
        </w:tc>
        <w:tc>
          <w:tcPr>
            <w:tcW w:w="90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6F4687DC"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8.53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D6E958"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9.44</w:t>
            </w:r>
          </w:p>
        </w:tc>
        <w:tc>
          <w:tcPr>
            <w:tcW w:w="900" w:type="dxa"/>
            <w:tcBorders>
              <w:top w:val="single" w:sz="8" w:space="0" w:color="000000"/>
              <w:left w:val="nil"/>
              <w:bottom w:val="single" w:sz="8" w:space="0" w:color="000000"/>
              <w:right w:val="single" w:sz="8" w:space="0" w:color="000000"/>
            </w:tcBorders>
            <w:vAlign w:val="center"/>
          </w:tcPr>
          <w:p w14:paraId="72C2E0DB"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10.53</w:t>
            </w:r>
          </w:p>
        </w:tc>
        <w:tc>
          <w:tcPr>
            <w:tcW w:w="900" w:type="dxa"/>
            <w:tcBorders>
              <w:top w:val="single" w:sz="8" w:space="0" w:color="000000"/>
              <w:left w:val="nil"/>
              <w:bottom w:val="single" w:sz="8" w:space="0" w:color="000000"/>
              <w:right w:val="single" w:sz="8" w:space="0" w:color="000000"/>
            </w:tcBorders>
            <w:vAlign w:val="center"/>
          </w:tcPr>
          <w:p w14:paraId="3939368F"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9.66</w:t>
            </w:r>
          </w:p>
        </w:tc>
        <w:tc>
          <w:tcPr>
            <w:tcW w:w="900" w:type="dxa"/>
            <w:tcBorders>
              <w:top w:val="single" w:sz="8" w:space="0" w:color="000000"/>
              <w:left w:val="nil"/>
              <w:bottom w:val="single" w:sz="8" w:space="0" w:color="000000"/>
              <w:right w:val="single" w:sz="12" w:space="0" w:color="000000"/>
            </w:tcBorders>
            <w:vAlign w:val="center"/>
          </w:tcPr>
          <w:p w14:paraId="62EECF4F" w14:textId="77777777" w:rsidR="003C274F" w:rsidRPr="00EE5714" w:rsidRDefault="003C274F" w:rsidP="003C274F">
            <w:pPr>
              <w:spacing w:after="0" w:line="240" w:lineRule="auto"/>
              <w:jc w:val="center"/>
              <w:rPr>
                <w:rFonts w:ascii="Calibri" w:hAnsi="Calibri"/>
                <w:color w:val="000000"/>
                <w:sz w:val="21"/>
                <w:szCs w:val="21"/>
              </w:rPr>
            </w:pPr>
            <w:r w:rsidRPr="00EE5714">
              <w:rPr>
                <w:rFonts w:ascii="Calibri" w:hAnsi="Calibri"/>
                <w:color w:val="000000"/>
                <w:sz w:val="21"/>
                <w:szCs w:val="21"/>
              </w:rPr>
              <w:t>8.85</w:t>
            </w:r>
          </w:p>
        </w:tc>
      </w:tr>
    </w:tbl>
    <w:p w14:paraId="0C3F0348" w14:textId="77777777" w:rsidR="008808D3" w:rsidRPr="00EE5714" w:rsidRDefault="008808D3" w:rsidP="00F303E0">
      <w:pPr>
        <w:pStyle w:val="NoSpacing"/>
        <w:rPr>
          <w:rFonts w:eastAsia="Times New Roman" w:cs="Times New Roman"/>
          <w:b/>
          <w:color w:val="000000"/>
          <w:szCs w:val="26"/>
        </w:rPr>
      </w:pPr>
    </w:p>
    <w:p w14:paraId="686D8BCA" w14:textId="77777777" w:rsidR="008808D3" w:rsidRPr="00EE5714" w:rsidRDefault="008808D3" w:rsidP="00F303E0">
      <w:pPr>
        <w:pStyle w:val="NoSpacing"/>
        <w:rPr>
          <w:rFonts w:eastAsia="Times New Roman" w:cs="Times New Roman"/>
          <w:b/>
          <w:color w:val="000000"/>
          <w:szCs w:val="26"/>
        </w:rPr>
      </w:pPr>
    </w:p>
    <w:p w14:paraId="4D98ABC9" w14:textId="77777777" w:rsidR="00F303E0" w:rsidRPr="00EE5714" w:rsidRDefault="00F857A1" w:rsidP="00F303E0">
      <w:pPr>
        <w:pStyle w:val="NoSpacing"/>
        <w:rPr>
          <w:rFonts w:cs="Times New Roman"/>
          <w:szCs w:val="26"/>
        </w:rPr>
      </w:pPr>
      <w:r w:rsidRPr="00EE5714">
        <w:rPr>
          <w:rFonts w:cs="Times New Roman"/>
          <w:szCs w:val="26"/>
        </w:rPr>
        <w:t>Appendix 3</w:t>
      </w:r>
      <w:r w:rsidR="0022283D" w:rsidRPr="00EE5714">
        <w:rPr>
          <w:rFonts w:cs="Times New Roman"/>
          <w:szCs w:val="26"/>
        </w:rPr>
        <w:t>.A.</w:t>
      </w:r>
      <w:r w:rsidR="00D415A1" w:rsidRPr="00EE5714">
        <w:rPr>
          <w:rFonts w:cs="Times New Roman"/>
          <w:szCs w:val="26"/>
        </w:rPr>
        <w:t>4</w:t>
      </w:r>
      <w:r w:rsidR="0022283D" w:rsidRPr="00EE5714">
        <w:rPr>
          <w:rFonts w:cs="Times New Roman"/>
          <w:szCs w:val="26"/>
        </w:rPr>
        <w:t xml:space="preserve">: </w:t>
      </w:r>
      <w:r w:rsidR="00F303E0" w:rsidRPr="00EE5714">
        <w:rPr>
          <w:rFonts w:eastAsia="Times New Roman" w:cs="Times New Roman"/>
          <w:b/>
          <w:color w:val="000000"/>
          <w:szCs w:val="26"/>
        </w:rPr>
        <w:t>NGDC CAP LIHEAP Recipients at 0-50% FPIG</w:t>
      </w:r>
    </w:p>
    <w:tbl>
      <w:tblPr>
        <w:tblW w:w="10080" w:type="dxa"/>
        <w:tblInd w:w="-280" w:type="dxa"/>
        <w:tblLayout w:type="fixed"/>
        <w:tblLook w:val="04A0" w:firstRow="1" w:lastRow="0" w:firstColumn="1" w:lastColumn="0" w:noHBand="0" w:noVBand="1"/>
      </w:tblPr>
      <w:tblGrid>
        <w:gridCol w:w="1080"/>
        <w:gridCol w:w="1080"/>
        <w:gridCol w:w="1080"/>
        <w:gridCol w:w="1260"/>
        <w:gridCol w:w="1260"/>
        <w:gridCol w:w="1080"/>
        <w:gridCol w:w="1080"/>
        <w:gridCol w:w="1080"/>
        <w:gridCol w:w="1080"/>
      </w:tblGrid>
      <w:tr w:rsidR="00F303E0" w:rsidRPr="00EE5714" w14:paraId="7FB48F8F" w14:textId="77777777" w:rsidTr="00463B0B">
        <w:trPr>
          <w:trHeight w:hRule="exact" w:val="418"/>
        </w:trPr>
        <w:tc>
          <w:tcPr>
            <w:tcW w:w="10080" w:type="dxa"/>
            <w:gridSpan w:val="9"/>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center"/>
          </w:tcPr>
          <w:p w14:paraId="75030AF8" w14:textId="77777777" w:rsidR="00F303E0" w:rsidRPr="00EE5714" w:rsidRDefault="00F303E0" w:rsidP="00851815">
            <w:pPr>
              <w:jc w:val="center"/>
              <w:rPr>
                <w:rFonts w:ascii="Calibri" w:eastAsia="Times New Roman" w:hAnsi="Calibri" w:cs="Calibri"/>
                <w:b/>
                <w:bCs/>
                <w:color w:val="000000"/>
              </w:rPr>
            </w:pPr>
            <w:r w:rsidRPr="00EE5714">
              <w:rPr>
                <w:rFonts w:ascii="Calibri" w:eastAsia="Times New Roman" w:hAnsi="Calibri" w:cs="Calibri"/>
                <w:b/>
                <w:bCs/>
                <w:color w:val="000000"/>
              </w:rPr>
              <w:t>NGDC CAP LIHEAP Recipients at 0-50% FPIG</w:t>
            </w:r>
          </w:p>
          <w:p w14:paraId="10C8BAD7" w14:textId="77777777" w:rsidR="000F5803" w:rsidRPr="00EE5714" w:rsidRDefault="000F5803" w:rsidP="00851815">
            <w:pPr>
              <w:jc w:val="center"/>
              <w:rPr>
                <w:rFonts w:ascii="Calibri" w:eastAsia="Times New Roman" w:hAnsi="Calibri" w:cs="Calibri"/>
                <w:b/>
                <w:bCs/>
                <w:color w:val="000000"/>
              </w:rPr>
            </w:pPr>
          </w:p>
        </w:tc>
      </w:tr>
      <w:tr w:rsidR="00F303E0" w:rsidRPr="00EE5714" w14:paraId="09AC84B0" w14:textId="77777777" w:rsidTr="00463B0B">
        <w:trPr>
          <w:trHeight w:val="300"/>
        </w:trPr>
        <w:tc>
          <w:tcPr>
            <w:tcW w:w="108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4CF46FC3" w14:textId="77777777" w:rsidR="00F303E0" w:rsidRPr="00EE5714" w:rsidRDefault="00F303E0" w:rsidP="00851815">
            <w:pPr>
              <w:rPr>
                <w:rFonts w:ascii="Calibri" w:eastAsia="Times New Roman" w:hAnsi="Calibri" w:cs="Calibri"/>
                <w:color w:val="000000"/>
              </w:rPr>
            </w:pPr>
            <w:r w:rsidRPr="00EE5714">
              <w:rPr>
                <w:rFonts w:ascii="Calibri" w:eastAsia="Times New Roman" w:hAnsi="Calibri" w:cs="Calibri"/>
                <w:color w:val="000000"/>
              </w:rPr>
              <w:t> </w:t>
            </w:r>
          </w:p>
        </w:tc>
        <w:tc>
          <w:tcPr>
            <w:tcW w:w="4680" w:type="dxa"/>
            <w:gridSpan w:val="4"/>
            <w:tcBorders>
              <w:top w:val="single" w:sz="12" w:space="0" w:color="000000"/>
              <w:left w:val="single" w:sz="12" w:space="0" w:color="000000"/>
              <w:bottom w:val="single" w:sz="4" w:space="0" w:color="000000"/>
              <w:right w:val="single" w:sz="12" w:space="0" w:color="000000"/>
            </w:tcBorders>
            <w:shd w:val="clear" w:color="auto" w:fill="auto"/>
            <w:noWrap/>
            <w:vAlign w:val="center"/>
            <w:hideMark/>
          </w:tcPr>
          <w:p w14:paraId="58706DC5" w14:textId="77777777" w:rsidR="00F303E0" w:rsidRPr="00EE5714" w:rsidRDefault="00F303E0" w:rsidP="00851815">
            <w:pPr>
              <w:jc w:val="center"/>
              <w:rPr>
                <w:rFonts w:ascii="Calibri" w:eastAsia="Times New Roman" w:hAnsi="Calibri" w:cs="Calibri"/>
                <w:b/>
                <w:bCs/>
                <w:color w:val="000000"/>
              </w:rPr>
            </w:pPr>
            <w:r w:rsidRPr="00EE5714">
              <w:rPr>
                <w:rFonts w:ascii="Calibri" w:eastAsia="Times New Roman" w:hAnsi="Calibri" w:cs="Calibri"/>
                <w:b/>
                <w:bCs/>
                <w:color w:val="000000"/>
              </w:rPr>
              <w:t xml:space="preserve">Average CAP Bill </w:t>
            </w:r>
          </w:p>
        </w:tc>
        <w:tc>
          <w:tcPr>
            <w:tcW w:w="4320" w:type="dxa"/>
            <w:gridSpan w:val="4"/>
            <w:tcBorders>
              <w:top w:val="single" w:sz="12" w:space="0" w:color="000000"/>
              <w:left w:val="single" w:sz="12" w:space="0" w:color="000000"/>
              <w:bottom w:val="single" w:sz="4" w:space="0" w:color="000000"/>
              <w:right w:val="single" w:sz="12" w:space="0" w:color="000000"/>
            </w:tcBorders>
            <w:vAlign w:val="center"/>
          </w:tcPr>
          <w:p w14:paraId="6C3007EA" w14:textId="77777777" w:rsidR="00F303E0" w:rsidRPr="00EE5714" w:rsidRDefault="00F303E0" w:rsidP="00851815">
            <w:pPr>
              <w:jc w:val="center"/>
              <w:rPr>
                <w:rFonts w:ascii="Calibri" w:eastAsia="Times New Roman" w:hAnsi="Calibri" w:cs="Calibri"/>
                <w:b/>
                <w:bCs/>
                <w:color w:val="000000"/>
              </w:rPr>
            </w:pPr>
            <w:r w:rsidRPr="00EE5714">
              <w:rPr>
                <w:rFonts w:ascii="Calibri" w:eastAsia="Times New Roman" w:hAnsi="Calibri" w:cs="Calibri"/>
                <w:b/>
                <w:bCs/>
                <w:color w:val="000000"/>
              </w:rPr>
              <w:t>Average LIHEAP Dollars Applied</w:t>
            </w:r>
          </w:p>
        </w:tc>
      </w:tr>
      <w:tr w:rsidR="0044083A" w:rsidRPr="00EE5714" w14:paraId="15A73F89" w14:textId="77777777" w:rsidTr="00463B0B">
        <w:trPr>
          <w:trHeight w:hRule="exact" w:val="418"/>
        </w:trPr>
        <w:tc>
          <w:tcPr>
            <w:tcW w:w="1080" w:type="dxa"/>
            <w:tcBorders>
              <w:top w:val="nil"/>
              <w:left w:val="single" w:sz="8" w:space="0" w:color="000000"/>
              <w:bottom w:val="single" w:sz="4" w:space="0" w:color="000000"/>
              <w:right w:val="single" w:sz="12" w:space="0" w:color="000000"/>
            </w:tcBorders>
            <w:shd w:val="clear" w:color="auto" w:fill="auto"/>
            <w:noWrap/>
            <w:vAlign w:val="bottom"/>
            <w:hideMark/>
          </w:tcPr>
          <w:p w14:paraId="3A6AFDF9" w14:textId="77777777" w:rsidR="00F303E0" w:rsidRPr="00EE5714" w:rsidRDefault="00F303E0" w:rsidP="00851815">
            <w:pPr>
              <w:rPr>
                <w:rFonts w:ascii="Calibri" w:eastAsia="Times New Roman" w:hAnsi="Calibri" w:cs="Calibri"/>
                <w:color w:val="000000"/>
                <w:sz w:val="21"/>
                <w:szCs w:val="21"/>
              </w:rPr>
            </w:pPr>
          </w:p>
        </w:tc>
        <w:tc>
          <w:tcPr>
            <w:tcW w:w="108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359E0F7A"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BC482E1"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26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CDDB720"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260" w:type="dxa"/>
            <w:tcBorders>
              <w:top w:val="nil"/>
              <w:left w:val="nil"/>
              <w:bottom w:val="single" w:sz="4" w:space="0" w:color="000000"/>
              <w:right w:val="single" w:sz="12" w:space="0" w:color="000000"/>
            </w:tcBorders>
            <w:shd w:val="clear" w:color="auto" w:fill="F2F2F2" w:themeFill="background1" w:themeFillShade="F2"/>
            <w:noWrap/>
            <w:vAlign w:val="bottom"/>
            <w:hideMark/>
          </w:tcPr>
          <w:p w14:paraId="30C701BF"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080" w:type="dxa"/>
            <w:tcBorders>
              <w:top w:val="nil"/>
              <w:left w:val="single" w:sz="12" w:space="0" w:color="000000"/>
              <w:bottom w:val="single" w:sz="4" w:space="0" w:color="000000"/>
              <w:right w:val="single" w:sz="8" w:space="0" w:color="000000"/>
            </w:tcBorders>
            <w:shd w:val="clear" w:color="auto" w:fill="F2F2F2" w:themeFill="background1" w:themeFillShade="F2"/>
            <w:vAlign w:val="bottom"/>
          </w:tcPr>
          <w:p w14:paraId="5D9ABBED"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nil"/>
              <w:left w:val="nil"/>
              <w:bottom w:val="single" w:sz="4" w:space="0" w:color="000000"/>
              <w:right w:val="single" w:sz="8" w:space="0" w:color="000000"/>
            </w:tcBorders>
            <w:shd w:val="clear" w:color="auto" w:fill="F2F2F2" w:themeFill="background1" w:themeFillShade="F2"/>
            <w:vAlign w:val="bottom"/>
          </w:tcPr>
          <w:p w14:paraId="14284E23"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nil"/>
              <w:left w:val="nil"/>
              <w:bottom w:val="single" w:sz="4" w:space="0" w:color="000000"/>
              <w:right w:val="single" w:sz="8" w:space="0" w:color="000000"/>
            </w:tcBorders>
            <w:shd w:val="clear" w:color="auto" w:fill="F2F2F2" w:themeFill="background1" w:themeFillShade="F2"/>
            <w:vAlign w:val="bottom"/>
          </w:tcPr>
          <w:p w14:paraId="694A62CA"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080" w:type="dxa"/>
            <w:tcBorders>
              <w:top w:val="nil"/>
              <w:left w:val="nil"/>
              <w:bottom w:val="single" w:sz="4" w:space="0" w:color="000000"/>
              <w:right w:val="single" w:sz="12" w:space="0" w:color="000000"/>
            </w:tcBorders>
            <w:shd w:val="clear" w:color="auto" w:fill="F2F2F2" w:themeFill="background1" w:themeFillShade="F2"/>
            <w:vAlign w:val="bottom"/>
          </w:tcPr>
          <w:p w14:paraId="65BCC38F"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44083A" w:rsidRPr="00EE5714" w14:paraId="7F9839C6" w14:textId="77777777" w:rsidTr="0044083A">
        <w:trPr>
          <w:trHeight w:hRule="exact" w:val="245"/>
        </w:trPr>
        <w:tc>
          <w:tcPr>
            <w:tcW w:w="1080" w:type="dxa"/>
            <w:tcBorders>
              <w:top w:val="nil"/>
              <w:left w:val="single" w:sz="8" w:space="0" w:color="000000"/>
              <w:bottom w:val="single" w:sz="4" w:space="0" w:color="000000"/>
              <w:right w:val="single" w:sz="12" w:space="0" w:color="000000"/>
            </w:tcBorders>
            <w:shd w:val="clear" w:color="auto" w:fill="auto"/>
            <w:noWrap/>
            <w:vAlign w:val="bottom"/>
            <w:hideMark/>
          </w:tcPr>
          <w:p w14:paraId="4C3D248A"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60AF9DB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$1,132.63</w:t>
            </w:r>
          </w:p>
        </w:tc>
        <w:tc>
          <w:tcPr>
            <w:tcW w:w="1080" w:type="dxa"/>
            <w:tcBorders>
              <w:top w:val="nil"/>
              <w:left w:val="nil"/>
              <w:bottom w:val="single" w:sz="4" w:space="0" w:color="000000"/>
              <w:right w:val="single" w:sz="4" w:space="0" w:color="000000"/>
            </w:tcBorders>
            <w:shd w:val="clear" w:color="auto" w:fill="auto"/>
            <w:noWrap/>
            <w:vAlign w:val="center"/>
          </w:tcPr>
          <w:p w14:paraId="4C418E2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$1,273.17</w:t>
            </w:r>
          </w:p>
        </w:tc>
        <w:tc>
          <w:tcPr>
            <w:tcW w:w="1260" w:type="dxa"/>
            <w:tcBorders>
              <w:top w:val="nil"/>
              <w:left w:val="nil"/>
              <w:bottom w:val="single" w:sz="4" w:space="0" w:color="000000"/>
              <w:right w:val="single" w:sz="4" w:space="0" w:color="000000"/>
            </w:tcBorders>
            <w:shd w:val="clear" w:color="auto" w:fill="auto"/>
            <w:noWrap/>
            <w:vAlign w:val="center"/>
          </w:tcPr>
          <w:p w14:paraId="09F75BD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$1,154.95</w:t>
            </w:r>
          </w:p>
        </w:tc>
        <w:tc>
          <w:tcPr>
            <w:tcW w:w="1260" w:type="dxa"/>
            <w:tcBorders>
              <w:top w:val="nil"/>
              <w:left w:val="nil"/>
              <w:bottom w:val="single" w:sz="4" w:space="0" w:color="000000"/>
              <w:right w:val="single" w:sz="12" w:space="0" w:color="000000"/>
            </w:tcBorders>
            <w:shd w:val="clear" w:color="auto" w:fill="auto"/>
            <w:noWrap/>
            <w:vAlign w:val="center"/>
          </w:tcPr>
          <w:p w14:paraId="718C042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$876.05</w:t>
            </w:r>
          </w:p>
        </w:tc>
        <w:tc>
          <w:tcPr>
            <w:tcW w:w="1080" w:type="dxa"/>
            <w:tcBorders>
              <w:top w:val="nil"/>
              <w:left w:val="single" w:sz="12" w:space="0" w:color="000000"/>
              <w:bottom w:val="single" w:sz="4" w:space="0" w:color="000000"/>
              <w:right w:val="single" w:sz="8" w:space="0" w:color="000000"/>
            </w:tcBorders>
            <w:vAlign w:val="center"/>
          </w:tcPr>
          <w:p w14:paraId="23872D7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$214.25</w:t>
            </w:r>
          </w:p>
        </w:tc>
        <w:tc>
          <w:tcPr>
            <w:tcW w:w="1080" w:type="dxa"/>
            <w:tcBorders>
              <w:top w:val="nil"/>
              <w:left w:val="nil"/>
              <w:bottom w:val="single" w:sz="4" w:space="0" w:color="000000"/>
              <w:right w:val="single" w:sz="8" w:space="0" w:color="000000"/>
            </w:tcBorders>
            <w:vAlign w:val="center"/>
          </w:tcPr>
          <w:p w14:paraId="13E8398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$242.62</w:t>
            </w:r>
          </w:p>
        </w:tc>
        <w:tc>
          <w:tcPr>
            <w:tcW w:w="1080" w:type="dxa"/>
            <w:tcBorders>
              <w:top w:val="nil"/>
              <w:left w:val="nil"/>
              <w:bottom w:val="single" w:sz="4" w:space="0" w:color="000000"/>
              <w:right w:val="single" w:sz="8" w:space="0" w:color="000000"/>
            </w:tcBorders>
            <w:vAlign w:val="center"/>
          </w:tcPr>
          <w:p w14:paraId="4EF396D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$253.15</w:t>
            </w:r>
          </w:p>
        </w:tc>
        <w:tc>
          <w:tcPr>
            <w:tcW w:w="1080" w:type="dxa"/>
            <w:tcBorders>
              <w:top w:val="nil"/>
              <w:left w:val="nil"/>
              <w:bottom w:val="single" w:sz="4" w:space="0" w:color="000000"/>
              <w:right w:val="single" w:sz="12" w:space="0" w:color="000000"/>
            </w:tcBorders>
            <w:vAlign w:val="center"/>
          </w:tcPr>
          <w:p w14:paraId="71EF2CD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$385.43</w:t>
            </w:r>
          </w:p>
        </w:tc>
      </w:tr>
      <w:tr w:rsidR="0044083A" w:rsidRPr="00EE5714" w14:paraId="48A81DC3" w14:textId="77777777" w:rsidTr="0044083A">
        <w:trPr>
          <w:trHeight w:hRule="exact" w:val="245"/>
        </w:trPr>
        <w:tc>
          <w:tcPr>
            <w:tcW w:w="1080" w:type="dxa"/>
            <w:tcBorders>
              <w:top w:val="nil"/>
              <w:left w:val="single" w:sz="8" w:space="0" w:color="000000"/>
              <w:bottom w:val="single" w:sz="4" w:space="0" w:color="000000"/>
              <w:right w:val="single" w:sz="12" w:space="0" w:color="000000"/>
            </w:tcBorders>
            <w:shd w:val="clear" w:color="auto" w:fill="auto"/>
            <w:noWrap/>
            <w:vAlign w:val="bottom"/>
          </w:tcPr>
          <w:p w14:paraId="0DED62EF"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66F923F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$1,264.90</w:t>
            </w:r>
          </w:p>
        </w:tc>
        <w:tc>
          <w:tcPr>
            <w:tcW w:w="1080" w:type="dxa"/>
            <w:tcBorders>
              <w:top w:val="nil"/>
              <w:left w:val="nil"/>
              <w:bottom w:val="single" w:sz="4" w:space="0" w:color="000000"/>
              <w:right w:val="single" w:sz="4" w:space="0" w:color="000000"/>
            </w:tcBorders>
            <w:shd w:val="clear" w:color="auto" w:fill="auto"/>
            <w:noWrap/>
            <w:vAlign w:val="center"/>
          </w:tcPr>
          <w:p w14:paraId="7EE6B7D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$1,422.06</w:t>
            </w:r>
          </w:p>
        </w:tc>
        <w:tc>
          <w:tcPr>
            <w:tcW w:w="1260" w:type="dxa"/>
            <w:tcBorders>
              <w:top w:val="nil"/>
              <w:left w:val="nil"/>
              <w:bottom w:val="single" w:sz="4" w:space="0" w:color="000000"/>
              <w:right w:val="single" w:sz="4" w:space="0" w:color="000000"/>
            </w:tcBorders>
            <w:shd w:val="clear" w:color="auto" w:fill="auto"/>
            <w:noWrap/>
            <w:vAlign w:val="center"/>
          </w:tcPr>
          <w:p w14:paraId="7426A005"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$1,111.98</w:t>
            </w:r>
          </w:p>
        </w:tc>
        <w:tc>
          <w:tcPr>
            <w:tcW w:w="1260" w:type="dxa"/>
            <w:tcBorders>
              <w:top w:val="nil"/>
              <w:left w:val="nil"/>
              <w:bottom w:val="single" w:sz="4" w:space="0" w:color="000000"/>
              <w:right w:val="single" w:sz="12" w:space="0" w:color="000000"/>
            </w:tcBorders>
            <w:shd w:val="clear" w:color="auto" w:fill="auto"/>
            <w:noWrap/>
            <w:vAlign w:val="center"/>
          </w:tcPr>
          <w:p w14:paraId="08D5CA9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$1,025.44</w:t>
            </w:r>
          </w:p>
        </w:tc>
        <w:tc>
          <w:tcPr>
            <w:tcW w:w="1080" w:type="dxa"/>
            <w:tcBorders>
              <w:top w:val="nil"/>
              <w:left w:val="single" w:sz="12" w:space="0" w:color="000000"/>
              <w:bottom w:val="single" w:sz="4" w:space="0" w:color="000000"/>
              <w:right w:val="single" w:sz="8" w:space="0" w:color="000000"/>
            </w:tcBorders>
            <w:vAlign w:val="center"/>
          </w:tcPr>
          <w:p w14:paraId="0CC9D68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$323.66</w:t>
            </w:r>
          </w:p>
        </w:tc>
        <w:tc>
          <w:tcPr>
            <w:tcW w:w="1080" w:type="dxa"/>
            <w:tcBorders>
              <w:top w:val="nil"/>
              <w:left w:val="nil"/>
              <w:bottom w:val="single" w:sz="4" w:space="0" w:color="000000"/>
              <w:right w:val="single" w:sz="8" w:space="0" w:color="000000"/>
            </w:tcBorders>
            <w:vAlign w:val="center"/>
          </w:tcPr>
          <w:p w14:paraId="3638B4F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$345.90</w:t>
            </w:r>
          </w:p>
        </w:tc>
        <w:tc>
          <w:tcPr>
            <w:tcW w:w="1080" w:type="dxa"/>
            <w:tcBorders>
              <w:top w:val="nil"/>
              <w:left w:val="nil"/>
              <w:bottom w:val="single" w:sz="4" w:space="0" w:color="000000"/>
              <w:right w:val="single" w:sz="8" w:space="0" w:color="000000"/>
            </w:tcBorders>
            <w:vAlign w:val="center"/>
          </w:tcPr>
          <w:p w14:paraId="3882539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$362.16</w:t>
            </w:r>
          </w:p>
        </w:tc>
        <w:tc>
          <w:tcPr>
            <w:tcW w:w="1080" w:type="dxa"/>
            <w:tcBorders>
              <w:top w:val="nil"/>
              <w:left w:val="nil"/>
              <w:bottom w:val="single" w:sz="4" w:space="0" w:color="000000"/>
              <w:right w:val="single" w:sz="12" w:space="0" w:color="000000"/>
            </w:tcBorders>
            <w:vAlign w:val="center"/>
          </w:tcPr>
          <w:p w14:paraId="7ACDEA7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$383.22</w:t>
            </w:r>
          </w:p>
        </w:tc>
      </w:tr>
      <w:tr w:rsidR="0044083A" w:rsidRPr="00EE5714" w14:paraId="7D2C828B" w14:textId="77777777" w:rsidTr="0044083A">
        <w:trPr>
          <w:trHeight w:hRule="exact" w:val="532"/>
        </w:trPr>
        <w:tc>
          <w:tcPr>
            <w:tcW w:w="1080" w:type="dxa"/>
            <w:tcBorders>
              <w:top w:val="nil"/>
              <w:left w:val="single" w:sz="8" w:space="0" w:color="000000"/>
              <w:bottom w:val="single" w:sz="4" w:space="0" w:color="000000"/>
              <w:right w:val="single" w:sz="12" w:space="0" w:color="000000"/>
            </w:tcBorders>
            <w:shd w:val="clear" w:color="auto" w:fill="auto"/>
            <w:noWrap/>
            <w:vAlign w:val="bottom"/>
          </w:tcPr>
          <w:p w14:paraId="748A8F8A"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 EQT</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02B188D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$1,596.00</w:t>
            </w:r>
          </w:p>
        </w:tc>
        <w:tc>
          <w:tcPr>
            <w:tcW w:w="1080" w:type="dxa"/>
            <w:tcBorders>
              <w:top w:val="nil"/>
              <w:left w:val="nil"/>
              <w:bottom w:val="single" w:sz="4" w:space="0" w:color="000000"/>
              <w:right w:val="single" w:sz="4" w:space="0" w:color="000000"/>
            </w:tcBorders>
            <w:shd w:val="clear" w:color="auto" w:fill="auto"/>
            <w:noWrap/>
            <w:vAlign w:val="center"/>
          </w:tcPr>
          <w:p w14:paraId="6FDB3C3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$1,540.08</w:t>
            </w:r>
          </w:p>
        </w:tc>
        <w:tc>
          <w:tcPr>
            <w:tcW w:w="1260" w:type="dxa"/>
            <w:tcBorders>
              <w:top w:val="nil"/>
              <w:left w:val="nil"/>
              <w:bottom w:val="single" w:sz="4" w:space="0" w:color="000000"/>
              <w:right w:val="single" w:sz="4" w:space="0" w:color="000000"/>
            </w:tcBorders>
            <w:shd w:val="clear" w:color="auto" w:fill="auto"/>
            <w:noWrap/>
            <w:vAlign w:val="center"/>
          </w:tcPr>
          <w:p w14:paraId="48A1752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$1,618.72</w:t>
            </w:r>
          </w:p>
        </w:tc>
        <w:tc>
          <w:tcPr>
            <w:tcW w:w="1260" w:type="dxa"/>
            <w:tcBorders>
              <w:top w:val="nil"/>
              <w:left w:val="nil"/>
              <w:bottom w:val="single" w:sz="4" w:space="0" w:color="000000"/>
              <w:right w:val="single" w:sz="12" w:space="0" w:color="000000"/>
            </w:tcBorders>
            <w:shd w:val="clear" w:color="auto" w:fill="auto"/>
            <w:noWrap/>
            <w:vAlign w:val="center"/>
          </w:tcPr>
          <w:p w14:paraId="7518370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$1,018.48</w:t>
            </w:r>
          </w:p>
        </w:tc>
        <w:tc>
          <w:tcPr>
            <w:tcW w:w="1080" w:type="dxa"/>
            <w:tcBorders>
              <w:top w:val="nil"/>
              <w:left w:val="single" w:sz="12" w:space="0" w:color="000000"/>
              <w:bottom w:val="single" w:sz="4" w:space="0" w:color="000000"/>
              <w:right w:val="single" w:sz="8" w:space="0" w:color="000000"/>
            </w:tcBorders>
            <w:vAlign w:val="center"/>
          </w:tcPr>
          <w:p w14:paraId="3D04DE6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$422.25</w:t>
            </w:r>
          </w:p>
        </w:tc>
        <w:tc>
          <w:tcPr>
            <w:tcW w:w="1080" w:type="dxa"/>
            <w:tcBorders>
              <w:top w:val="nil"/>
              <w:left w:val="nil"/>
              <w:bottom w:val="single" w:sz="4" w:space="0" w:color="000000"/>
              <w:right w:val="single" w:sz="8" w:space="0" w:color="000000"/>
            </w:tcBorders>
            <w:vAlign w:val="center"/>
          </w:tcPr>
          <w:p w14:paraId="7ED5698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$412.31</w:t>
            </w:r>
          </w:p>
        </w:tc>
        <w:tc>
          <w:tcPr>
            <w:tcW w:w="1080" w:type="dxa"/>
            <w:tcBorders>
              <w:top w:val="nil"/>
              <w:left w:val="nil"/>
              <w:bottom w:val="single" w:sz="4" w:space="0" w:color="000000"/>
              <w:right w:val="single" w:sz="8" w:space="0" w:color="000000"/>
            </w:tcBorders>
            <w:vAlign w:val="center"/>
          </w:tcPr>
          <w:p w14:paraId="5C3EB59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$425.61</w:t>
            </w:r>
          </w:p>
        </w:tc>
        <w:tc>
          <w:tcPr>
            <w:tcW w:w="1080" w:type="dxa"/>
            <w:tcBorders>
              <w:top w:val="nil"/>
              <w:left w:val="nil"/>
              <w:bottom w:val="single" w:sz="4" w:space="0" w:color="000000"/>
              <w:right w:val="single" w:sz="12" w:space="0" w:color="000000"/>
            </w:tcBorders>
            <w:vAlign w:val="center"/>
          </w:tcPr>
          <w:p w14:paraId="6CC92F6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$375.31</w:t>
            </w:r>
          </w:p>
        </w:tc>
      </w:tr>
      <w:tr w:rsidR="0044083A" w:rsidRPr="00EE5714" w14:paraId="642AF0CB" w14:textId="77777777" w:rsidTr="0044083A">
        <w:trPr>
          <w:trHeight w:hRule="exact" w:val="245"/>
        </w:trPr>
        <w:tc>
          <w:tcPr>
            <w:tcW w:w="1080" w:type="dxa"/>
            <w:tcBorders>
              <w:top w:val="nil"/>
              <w:left w:val="single" w:sz="8" w:space="0" w:color="000000"/>
              <w:bottom w:val="single" w:sz="4" w:space="0" w:color="000000"/>
              <w:right w:val="single" w:sz="12" w:space="0" w:color="000000"/>
            </w:tcBorders>
            <w:shd w:val="clear" w:color="auto" w:fill="auto"/>
            <w:noWrap/>
            <w:vAlign w:val="bottom"/>
          </w:tcPr>
          <w:p w14:paraId="2F98FFB7"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PGW</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1B96D4A4"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$1,634.64</w:t>
            </w:r>
          </w:p>
        </w:tc>
        <w:tc>
          <w:tcPr>
            <w:tcW w:w="1080" w:type="dxa"/>
            <w:tcBorders>
              <w:top w:val="nil"/>
              <w:left w:val="nil"/>
              <w:bottom w:val="single" w:sz="4" w:space="0" w:color="000000"/>
              <w:right w:val="single" w:sz="4" w:space="0" w:color="000000"/>
            </w:tcBorders>
            <w:shd w:val="clear" w:color="auto" w:fill="auto"/>
            <w:noWrap/>
            <w:vAlign w:val="center"/>
          </w:tcPr>
          <w:p w14:paraId="0468642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$1,741.74</w:t>
            </w:r>
          </w:p>
        </w:tc>
        <w:tc>
          <w:tcPr>
            <w:tcW w:w="1260" w:type="dxa"/>
            <w:tcBorders>
              <w:top w:val="nil"/>
              <w:left w:val="nil"/>
              <w:bottom w:val="single" w:sz="4" w:space="0" w:color="000000"/>
              <w:right w:val="single" w:sz="4" w:space="0" w:color="000000"/>
            </w:tcBorders>
            <w:shd w:val="clear" w:color="auto" w:fill="auto"/>
            <w:noWrap/>
            <w:vAlign w:val="center"/>
          </w:tcPr>
          <w:p w14:paraId="33D71E6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$1,548.10</w:t>
            </w:r>
          </w:p>
        </w:tc>
        <w:tc>
          <w:tcPr>
            <w:tcW w:w="1260" w:type="dxa"/>
            <w:tcBorders>
              <w:top w:val="nil"/>
              <w:left w:val="nil"/>
              <w:bottom w:val="single" w:sz="4" w:space="0" w:color="000000"/>
              <w:right w:val="single" w:sz="12" w:space="0" w:color="000000"/>
            </w:tcBorders>
            <w:shd w:val="clear" w:color="auto" w:fill="auto"/>
            <w:noWrap/>
            <w:vAlign w:val="center"/>
          </w:tcPr>
          <w:p w14:paraId="5EB7623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$1,418.20</w:t>
            </w:r>
          </w:p>
        </w:tc>
        <w:tc>
          <w:tcPr>
            <w:tcW w:w="1080" w:type="dxa"/>
            <w:tcBorders>
              <w:top w:val="nil"/>
              <w:left w:val="single" w:sz="12" w:space="0" w:color="000000"/>
              <w:bottom w:val="single" w:sz="4" w:space="0" w:color="000000"/>
              <w:right w:val="single" w:sz="8" w:space="0" w:color="000000"/>
            </w:tcBorders>
            <w:vAlign w:val="center"/>
          </w:tcPr>
          <w:p w14:paraId="3C4096C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$471.12</w:t>
            </w:r>
          </w:p>
        </w:tc>
        <w:tc>
          <w:tcPr>
            <w:tcW w:w="1080" w:type="dxa"/>
            <w:tcBorders>
              <w:top w:val="nil"/>
              <w:left w:val="nil"/>
              <w:bottom w:val="single" w:sz="4" w:space="0" w:color="000000"/>
              <w:right w:val="single" w:sz="8" w:space="0" w:color="000000"/>
            </w:tcBorders>
            <w:vAlign w:val="center"/>
          </w:tcPr>
          <w:p w14:paraId="14E60BB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$465.16</w:t>
            </w:r>
          </w:p>
        </w:tc>
        <w:tc>
          <w:tcPr>
            <w:tcW w:w="1080" w:type="dxa"/>
            <w:tcBorders>
              <w:top w:val="nil"/>
              <w:left w:val="nil"/>
              <w:bottom w:val="single" w:sz="4" w:space="0" w:color="000000"/>
              <w:right w:val="single" w:sz="8" w:space="0" w:color="000000"/>
            </w:tcBorders>
            <w:vAlign w:val="center"/>
          </w:tcPr>
          <w:p w14:paraId="585D469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$462.78</w:t>
            </w:r>
          </w:p>
        </w:tc>
        <w:tc>
          <w:tcPr>
            <w:tcW w:w="1080" w:type="dxa"/>
            <w:tcBorders>
              <w:top w:val="nil"/>
              <w:left w:val="nil"/>
              <w:bottom w:val="single" w:sz="4" w:space="0" w:color="000000"/>
              <w:right w:val="single" w:sz="12" w:space="0" w:color="000000"/>
            </w:tcBorders>
            <w:vAlign w:val="center"/>
          </w:tcPr>
          <w:p w14:paraId="0D6B305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$430.77</w:t>
            </w:r>
          </w:p>
        </w:tc>
      </w:tr>
    </w:tbl>
    <w:p w14:paraId="5E647E80" w14:textId="77777777" w:rsidR="00F303E0" w:rsidRPr="00EE5714" w:rsidRDefault="00F303E0" w:rsidP="00F303E0">
      <w:pPr>
        <w:pStyle w:val="NoSpacing"/>
        <w:rPr>
          <w:rFonts w:cs="Times New Roman"/>
          <w:szCs w:val="26"/>
        </w:rPr>
      </w:pPr>
    </w:p>
    <w:p w14:paraId="5055DDC6" w14:textId="77777777" w:rsidR="00F303E0" w:rsidRPr="00EE5714" w:rsidRDefault="00F303E0" w:rsidP="00F303E0">
      <w:pPr>
        <w:rPr>
          <w:rFonts w:ascii="Times New Roman" w:hAnsi="Times New Roman" w:cs="Times New Roman"/>
          <w:sz w:val="26"/>
          <w:szCs w:val="26"/>
        </w:rPr>
      </w:pPr>
    </w:p>
    <w:p w14:paraId="0929D6A4" w14:textId="77777777" w:rsidR="00F303E0" w:rsidRPr="00EE5714" w:rsidRDefault="00F857A1" w:rsidP="006019D7">
      <w:pPr>
        <w:spacing w:after="0" w:line="240" w:lineRule="auto"/>
        <w:rPr>
          <w:rFonts w:ascii="Times New Roman" w:hAnsi="Times New Roman" w:cs="Times New Roman"/>
          <w:sz w:val="26"/>
          <w:szCs w:val="26"/>
        </w:rPr>
      </w:pPr>
      <w:r w:rsidRPr="00EE5714">
        <w:rPr>
          <w:rFonts w:ascii="Times New Roman" w:hAnsi="Times New Roman" w:cs="Times New Roman"/>
          <w:sz w:val="26"/>
          <w:szCs w:val="26"/>
        </w:rPr>
        <w:t>Appendix 3</w:t>
      </w:r>
      <w:r w:rsidR="00F303E0" w:rsidRPr="00EE5714">
        <w:rPr>
          <w:rFonts w:ascii="Times New Roman" w:hAnsi="Times New Roman" w:cs="Times New Roman"/>
          <w:sz w:val="26"/>
          <w:szCs w:val="26"/>
        </w:rPr>
        <w:t>.A.</w:t>
      </w:r>
      <w:r w:rsidR="00F1166E" w:rsidRPr="00EE5714">
        <w:rPr>
          <w:rFonts w:ascii="Times New Roman" w:hAnsi="Times New Roman" w:cs="Times New Roman"/>
          <w:sz w:val="26"/>
          <w:szCs w:val="26"/>
        </w:rPr>
        <w:t>5</w:t>
      </w:r>
      <w:r w:rsidR="00F303E0" w:rsidRPr="00EE5714">
        <w:rPr>
          <w:rFonts w:ascii="Times New Roman" w:hAnsi="Times New Roman" w:cs="Times New Roman"/>
          <w:sz w:val="26"/>
          <w:szCs w:val="26"/>
        </w:rPr>
        <w:t xml:space="preserve">: </w:t>
      </w:r>
      <w:r w:rsidR="00F303E0" w:rsidRPr="00EE5714">
        <w:rPr>
          <w:rFonts w:ascii="Times New Roman" w:eastAsia="Times New Roman" w:hAnsi="Times New Roman" w:cs="Times New Roman"/>
          <w:b/>
          <w:bCs/>
          <w:color w:val="000000"/>
          <w:sz w:val="26"/>
          <w:szCs w:val="26"/>
        </w:rPr>
        <w:t>NGDC CAP LIHEAP Recipients – Average Annual CAP Income at 0-50% FPIG</w:t>
      </w:r>
    </w:p>
    <w:tbl>
      <w:tblPr>
        <w:tblW w:w="10080" w:type="dxa"/>
        <w:tblInd w:w="-280" w:type="dxa"/>
        <w:tblLayout w:type="fixed"/>
        <w:tblLook w:val="04A0" w:firstRow="1" w:lastRow="0" w:firstColumn="1" w:lastColumn="0" w:noHBand="0" w:noVBand="1"/>
      </w:tblPr>
      <w:tblGrid>
        <w:gridCol w:w="1350"/>
        <w:gridCol w:w="2115"/>
        <w:gridCol w:w="2295"/>
        <w:gridCol w:w="2160"/>
        <w:gridCol w:w="2160"/>
      </w:tblGrid>
      <w:tr w:rsidR="00F303E0" w:rsidRPr="00EE5714" w14:paraId="3E2BC512" w14:textId="77777777" w:rsidTr="00463B0B">
        <w:trPr>
          <w:trHeight w:val="300"/>
        </w:trPr>
        <w:tc>
          <w:tcPr>
            <w:tcW w:w="10080" w:type="dxa"/>
            <w:gridSpan w:val="5"/>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251BFFA9" w14:textId="77777777" w:rsidR="00F303E0" w:rsidRPr="00EE5714" w:rsidRDefault="00F303E0" w:rsidP="00851815">
            <w:pPr>
              <w:jc w:val="center"/>
              <w:rPr>
                <w:rFonts w:ascii="Calibri" w:eastAsia="Times New Roman" w:hAnsi="Calibri" w:cs="Calibri"/>
                <w:b/>
                <w:bCs/>
                <w:color w:val="000000"/>
              </w:rPr>
            </w:pPr>
            <w:r w:rsidRPr="00EE5714">
              <w:rPr>
                <w:rFonts w:ascii="Calibri" w:eastAsia="Times New Roman" w:hAnsi="Calibri" w:cs="Calibri"/>
                <w:b/>
                <w:bCs/>
                <w:color w:val="000000"/>
              </w:rPr>
              <w:t>NGDC CAP LIHEAP Recipients – Average Annual CAP Income at 0-50% FPIG</w:t>
            </w:r>
          </w:p>
        </w:tc>
      </w:tr>
      <w:tr w:rsidR="00F303E0" w:rsidRPr="00EE5714" w14:paraId="3363472B" w14:textId="77777777" w:rsidTr="00463B0B">
        <w:trPr>
          <w:trHeight w:val="274"/>
        </w:trPr>
        <w:tc>
          <w:tcPr>
            <w:tcW w:w="1350" w:type="dxa"/>
            <w:tcBorders>
              <w:top w:val="nil"/>
              <w:left w:val="single" w:sz="8" w:space="0" w:color="000000"/>
              <w:bottom w:val="single" w:sz="4" w:space="0" w:color="000000"/>
              <w:right w:val="single" w:sz="12" w:space="0" w:color="000000"/>
            </w:tcBorders>
            <w:shd w:val="clear" w:color="auto" w:fill="auto"/>
            <w:noWrap/>
            <w:vAlign w:val="bottom"/>
            <w:hideMark/>
          </w:tcPr>
          <w:p w14:paraId="303412BD" w14:textId="77777777" w:rsidR="00F303E0" w:rsidRPr="00EE5714" w:rsidRDefault="00F303E0" w:rsidP="00851815">
            <w:pPr>
              <w:rPr>
                <w:rFonts w:ascii="Calibri" w:eastAsia="Times New Roman" w:hAnsi="Calibri" w:cs="Calibri"/>
                <w:color w:val="000000"/>
                <w:sz w:val="21"/>
                <w:szCs w:val="21"/>
              </w:rPr>
            </w:pPr>
          </w:p>
        </w:tc>
        <w:tc>
          <w:tcPr>
            <w:tcW w:w="2115"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58BFB646"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2295"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DC07E8F"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CC419B3"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2160"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3A1ADB7E"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5D6C56E8" w14:textId="77777777" w:rsidTr="00463B0B">
        <w:trPr>
          <w:trHeight w:hRule="exact" w:val="245"/>
        </w:trPr>
        <w:tc>
          <w:tcPr>
            <w:tcW w:w="1350" w:type="dxa"/>
            <w:tcBorders>
              <w:top w:val="nil"/>
              <w:left w:val="single" w:sz="8" w:space="0" w:color="000000"/>
              <w:bottom w:val="single" w:sz="4" w:space="0" w:color="000000"/>
              <w:right w:val="single" w:sz="12" w:space="0" w:color="000000"/>
            </w:tcBorders>
            <w:shd w:val="clear" w:color="auto" w:fill="auto"/>
            <w:noWrap/>
            <w:vAlign w:val="bottom"/>
            <w:hideMark/>
          </w:tcPr>
          <w:p w14:paraId="02AE00A9"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2115" w:type="dxa"/>
            <w:tcBorders>
              <w:top w:val="nil"/>
              <w:left w:val="single" w:sz="12" w:space="0" w:color="000000"/>
              <w:bottom w:val="single" w:sz="4" w:space="0" w:color="000000"/>
              <w:right w:val="single" w:sz="4" w:space="0" w:color="000000"/>
            </w:tcBorders>
            <w:shd w:val="clear" w:color="auto" w:fill="auto"/>
            <w:noWrap/>
            <w:vAlign w:val="center"/>
          </w:tcPr>
          <w:p w14:paraId="685C042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$6,370</w:t>
            </w:r>
          </w:p>
        </w:tc>
        <w:tc>
          <w:tcPr>
            <w:tcW w:w="2295" w:type="dxa"/>
            <w:tcBorders>
              <w:top w:val="nil"/>
              <w:left w:val="nil"/>
              <w:bottom w:val="single" w:sz="4" w:space="0" w:color="000000"/>
              <w:right w:val="single" w:sz="4" w:space="0" w:color="000000"/>
            </w:tcBorders>
            <w:shd w:val="clear" w:color="auto" w:fill="auto"/>
            <w:noWrap/>
            <w:vAlign w:val="center"/>
          </w:tcPr>
          <w:p w14:paraId="2D18EF5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$6,405</w:t>
            </w:r>
          </w:p>
        </w:tc>
        <w:tc>
          <w:tcPr>
            <w:tcW w:w="2160" w:type="dxa"/>
            <w:tcBorders>
              <w:top w:val="nil"/>
              <w:left w:val="nil"/>
              <w:bottom w:val="single" w:sz="4" w:space="0" w:color="000000"/>
              <w:right w:val="single" w:sz="4" w:space="0" w:color="000000"/>
            </w:tcBorders>
            <w:shd w:val="clear" w:color="auto" w:fill="auto"/>
            <w:noWrap/>
            <w:vAlign w:val="center"/>
          </w:tcPr>
          <w:p w14:paraId="30A2C7E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$6,539</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6FDBC6F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$6,280</w:t>
            </w:r>
          </w:p>
        </w:tc>
      </w:tr>
      <w:tr w:rsidR="00F303E0" w:rsidRPr="00EE5714" w14:paraId="474B5ED4" w14:textId="77777777" w:rsidTr="00463B0B">
        <w:trPr>
          <w:trHeight w:hRule="exact" w:val="245"/>
        </w:trPr>
        <w:tc>
          <w:tcPr>
            <w:tcW w:w="1350" w:type="dxa"/>
            <w:tcBorders>
              <w:top w:val="nil"/>
              <w:left w:val="single" w:sz="8" w:space="0" w:color="000000"/>
              <w:bottom w:val="single" w:sz="4" w:space="0" w:color="000000"/>
              <w:right w:val="single" w:sz="12" w:space="0" w:color="000000"/>
            </w:tcBorders>
            <w:shd w:val="clear" w:color="auto" w:fill="auto"/>
            <w:noWrap/>
            <w:vAlign w:val="bottom"/>
          </w:tcPr>
          <w:p w14:paraId="204EDB39"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w:t>
            </w:r>
          </w:p>
        </w:tc>
        <w:tc>
          <w:tcPr>
            <w:tcW w:w="2115" w:type="dxa"/>
            <w:tcBorders>
              <w:top w:val="nil"/>
              <w:left w:val="single" w:sz="12" w:space="0" w:color="000000"/>
              <w:bottom w:val="single" w:sz="4" w:space="0" w:color="000000"/>
              <w:right w:val="single" w:sz="4" w:space="0" w:color="000000"/>
            </w:tcBorders>
            <w:shd w:val="clear" w:color="auto" w:fill="auto"/>
            <w:noWrap/>
            <w:vAlign w:val="center"/>
          </w:tcPr>
          <w:p w14:paraId="0C3CE47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$7,544</w:t>
            </w:r>
          </w:p>
        </w:tc>
        <w:tc>
          <w:tcPr>
            <w:tcW w:w="2295" w:type="dxa"/>
            <w:tcBorders>
              <w:top w:val="nil"/>
              <w:left w:val="nil"/>
              <w:bottom w:val="single" w:sz="4" w:space="0" w:color="000000"/>
              <w:right w:val="single" w:sz="4" w:space="0" w:color="000000"/>
            </w:tcBorders>
            <w:shd w:val="clear" w:color="auto" w:fill="auto"/>
            <w:noWrap/>
            <w:vAlign w:val="center"/>
          </w:tcPr>
          <w:p w14:paraId="17164D8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$8,471</w:t>
            </w:r>
          </w:p>
        </w:tc>
        <w:tc>
          <w:tcPr>
            <w:tcW w:w="2160" w:type="dxa"/>
            <w:tcBorders>
              <w:top w:val="nil"/>
              <w:left w:val="nil"/>
              <w:bottom w:val="single" w:sz="4" w:space="0" w:color="000000"/>
              <w:right w:val="single" w:sz="4" w:space="0" w:color="000000"/>
            </w:tcBorders>
            <w:shd w:val="clear" w:color="auto" w:fill="auto"/>
            <w:noWrap/>
            <w:vAlign w:val="center"/>
          </w:tcPr>
          <w:p w14:paraId="4DA8FDC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$8,902</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671C6494"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$8,955</w:t>
            </w:r>
          </w:p>
        </w:tc>
      </w:tr>
      <w:tr w:rsidR="00F303E0" w:rsidRPr="00EE5714" w14:paraId="24A5F0C4" w14:textId="77777777" w:rsidTr="00463B0B">
        <w:trPr>
          <w:trHeight w:hRule="exact" w:val="280"/>
        </w:trPr>
        <w:tc>
          <w:tcPr>
            <w:tcW w:w="1350" w:type="dxa"/>
            <w:tcBorders>
              <w:top w:val="nil"/>
              <w:left w:val="single" w:sz="8" w:space="0" w:color="000000"/>
              <w:bottom w:val="single" w:sz="4" w:space="0" w:color="000000"/>
              <w:right w:val="single" w:sz="12" w:space="0" w:color="000000"/>
            </w:tcBorders>
            <w:shd w:val="clear" w:color="auto" w:fill="auto"/>
            <w:noWrap/>
            <w:vAlign w:val="bottom"/>
          </w:tcPr>
          <w:p w14:paraId="3181B56C"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 EQT</w:t>
            </w:r>
          </w:p>
        </w:tc>
        <w:tc>
          <w:tcPr>
            <w:tcW w:w="2115" w:type="dxa"/>
            <w:tcBorders>
              <w:top w:val="nil"/>
              <w:left w:val="single" w:sz="12" w:space="0" w:color="000000"/>
              <w:bottom w:val="single" w:sz="4" w:space="0" w:color="000000"/>
              <w:right w:val="single" w:sz="4" w:space="0" w:color="000000"/>
            </w:tcBorders>
            <w:shd w:val="clear" w:color="auto" w:fill="auto"/>
            <w:noWrap/>
            <w:vAlign w:val="center"/>
          </w:tcPr>
          <w:p w14:paraId="5819B1D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$6,138</w:t>
            </w:r>
          </w:p>
        </w:tc>
        <w:tc>
          <w:tcPr>
            <w:tcW w:w="2295" w:type="dxa"/>
            <w:tcBorders>
              <w:top w:val="nil"/>
              <w:left w:val="nil"/>
              <w:bottom w:val="single" w:sz="4" w:space="0" w:color="000000"/>
              <w:right w:val="single" w:sz="4" w:space="0" w:color="000000"/>
            </w:tcBorders>
            <w:shd w:val="clear" w:color="auto" w:fill="auto"/>
            <w:noWrap/>
            <w:vAlign w:val="center"/>
          </w:tcPr>
          <w:p w14:paraId="6CC9965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$6,152</w:t>
            </w:r>
          </w:p>
        </w:tc>
        <w:tc>
          <w:tcPr>
            <w:tcW w:w="2160" w:type="dxa"/>
            <w:tcBorders>
              <w:top w:val="nil"/>
              <w:left w:val="nil"/>
              <w:bottom w:val="single" w:sz="4" w:space="0" w:color="000000"/>
              <w:right w:val="single" w:sz="4" w:space="0" w:color="000000"/>
            </w:tcBorders>
            <w:shd w:val="clear" w:color="auto" w:fill="auto"/>
            <w:noWrap/>
            <w:vAlign w:val="center"/>
          </w:tcPr>
          <w:p w14:paraId="0C99A21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$6,131</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7CECD4A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$8,219</w:t>
            </w:r>
          </w:p>
        </w:tc>
      </w:tr>
      <w:tr w:rsidR="00F303E0" w:rsidRPr="00EE5714" w14:paraId="3B71C84E" w14:textId="77777777" w:rsidTr="00463B0B">
        <w:trPr>
          <w:trHeight w:hRule="exact" w:val="245"/>
        </w:trPr>
        <w:tc>
          <w:tcPr>
            <w:tcW w:w="1350" w:type="dxa"/>
            <w:tcBorders>
              <w:top w:val="nil"/>
              <w:left w:val="single" w:sz="8" w:space="0" w:color="000000"/>
              <w:bottom w:val="single" w:sz="4" w:space="0" w:color="000000"/>
              <w:right w:val="single" w:sz="12" w:space="0" w:color="000000"/>
            </w:tcBorders>
            <w:shd w:val="clear" w:color="auto" w:fill="auto"/>
            <w:noWrap/>
            <w:vAlign w:val="bottom"/>
          </w:tcPr>
          <w:p w14:paraId="0D1265C0"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PGW</w:t>
            </w:r>
          </w:p>
        </w:tc>
        <w:tc>
          <w:tcPr>
            <w:tcW w:w="2115" w:type="dxa"/>
            <w:tcBorders>
              <w:top w:val="nil"/>
              <w:left w:val="single" w:sz="12" w:space="0" w:color="000000"/>
              <w:bottom w:val="single" w:sz="4" w:space="0" w:color="000000"/>
              <w:right w:val="single" w:sz="4" w:space="0" w:color="000000"/>
            </w:tcBorders>
            <w:shd w:val="clear" w:color="auto" w:fill="auto"/>
            <w:noWrap/>
            <w:vAlign w:val="center"/>
          </w:tcPr>
          <w:p w14:paraId="15D6225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$9,120</w:t>
            </w:r>
          </w:p>
        </w:tc>
        <w:tc>
          <w:tcPr>
            <w:tcW w:w="2295" w:type="dxa"/>
            <w:tcBorders>
              <w:top w:val="nil"/>
              <w:left w:val="nil"/>
              <w:bottom w:val="single" w:sz="4" w:space="0" w:color="000000"/>
              <w:right w:val="single" w:sz="4" w:space="0" w:color="000000"/>
            </w:tcBorders>
            <w:shd w:val="clear" w:color="auto" w:fill="auto"/>
            <w:noWrap/>
            <w:vAlign w:val="center"/>
          </w:tcPr>
          <w:p w14:paraId="52F0F25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$8,652</w:t>
            </w:r>
          </w:p>
        </w:tc>
        <w:tc>
          <w:tcPr>
            <w:tcW w:w="2160" w:type="dxa"/>
            <w:tcBorders>
              <w:top w:val="nil"/>
              <w:left w:val="nil"/>
              <w:bottom w:val="single" w:sz="4" w:space="0" w:color="000000"/>
              <w:right w:val="single" w:sz="4" w:space="0" w:color="000000"/>
            </w:tcBorders>
            <w:shd w:val="clear" w:color="auto" w:fill="auto"/>
            <w:noWrap/>
            <w:vAlign w:val="center"/>
          </w:tcPr>
          <w:p w14:paraId="008D17E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$8,160</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3FDA797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$7,776</w:t>
            </w:r>
          </w:p>
        </w:tc>
      </w:tr>
    </w:tbl>
    <w:p w14:paraId="171E3EFE" w14:textId="77777777" w:rsidR="00F303E0" w:rsidRPr="00EE5714" w:rsidRDefault="00F303E0" w:rsidP="00F303E0">
      <w:pPr>
        <w:pStyle w:val="NoSpacing"/>
        <w:rPr>
          <w:rFonts w:cs="Times New Roman"/>
          <w:szCs w:val="26"/>
        </w:rPr>
      </w:pPr>
    </w:p>
    <w:p w14:paraId="7E6343E7" w14:textId="77777777" w:rsidR="00F303E0" w:rsidRPr="00EE5714" w:rsidRDefault="00F303E0" w:rsidP="00F303E0">
      <w:pPr>
        <w:pStyle w:val="NoSpacing"/>
        <w:rPr>
          <w:rFonts w:cs="Times New Roman"/>
          <w:szCs w:val="26"/>
        </w:rPr>
      </w:pPr>
    </w:p>
    <w:p w14:paraId="4130E682" w14:textId="77777777" w:rsidR="00F303E0" w:rsidRPr="00EE5714" w:rsidRDefault="00F857A1" w:rsidP="00655CB6">
      <w:pPr>
        <w:pStyle w:val="NoSpacing"/>
        <w:keepNext/>
        <w:keepLines/>
        <w:rPr>
          <w:rFonts w:cs="Times New Roman"/>
          <w:szCs w:val="26"/>
        </w:rPr>
      </w:pPr>
      <w:r w:rsidRPr="00EE5714">
        <w:rPr>
          <w:rFonts w:cs="Times New Roman"/>
          <w:szCs w:val="26"/>
        </w:rPr>
        <w:t>Appendix 3</w:t>
      </w:r>
      <w:r w:rsidR="00F303E0" w:rsidRPr="00EE5714">
        <w:rPr>
          <w:rFonts w:cs="Times New Roman"/>
          <w:szCs w:val="26"/>
        </w:rPr>
        <w:t>.A.</w:t>
      </w:r>
      <w:r w:rsidR="001225B1" w:rsidRPr="00EE5714">
        <w:rPr>
          <w:rFonts w:cs="Times New Roman"/>
          <w:szCs w:val="26"/>
        </w:rPr>
        <w:t>6</w:t>
      </w:r>
      <w:r w:rsidR="00F303E0" w:rsidRPr="00EE5714">
        <w:rPr>
          <w:rFonts w:cs="Times New Roman"/>
          <w:szCs w:val="26"/>
        </w:rPr>
        <w:t xml:space="preserve">: </w:t>
      </w:r>
      <w:r w:rsidR="00F303E0" w:rsidRPr="00EE5714">
        <w:rPr>
          <w:rFonts w:eastAsia="Times New Roman" w:cs="Times New Roman"/>
          <w:b/>
          <w:bCs/>
          <w:color w:val="000000"/>
          <w:szCs w:val="26"/>
        </w:rPr>
        <w:t>NGDC CAP LIHEAP Recipients at 51-100% FPIG</w:t>
      </w:r>
    </w:p>
    <w:tbl>
      <w:tblPr>
        <w:tblW w:w="10080" w:type="dxa"/>
        <w:tblInd w:w="-280" w:type="dxa"/>
        <w:tblLayout w:type="fixed"/>
        <w:tblLook w:val="04A0" w:firstRow="1" w:lastRow="0" w:firstColumn="1" w:lastColumn="0" w:noHBand="0" w:noVBand="1"/>
      </w:tblPr>
      <w:tblGrid>
        <w:gridCol w:w="1170"/>
        <w:gridCol w:w="1147"/>
        <w:gridCol w:w="1103"/>
        <w:gridCol w:w="1170"/>
        <w:gridCol w:w="1080"/>
        <w:gridCol w:w="1170"/>
        <w:gridCol w:w="1080"/>
        <w:gridCol w:w="1080"/>
        <w:gridCol w:w="1080"/>
      </w:tblGrid>
      <w:tr w:rsidR="00F303E0" w:rsidRPr="00EE5714" w14:paraId="27BB3C89" w14:textId="77777777" w:rsidTr="00463B0B">
        <w:trPr>
          <w:trHeight w:val="300"/>
        </w:trPr>
        <w:tc>
          <w:tcPr>
            <w:tcW w:w="10080" w:type="dxa"/>
            <w:gridSpan w:val="9"/>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0C07F128" w14:textId="77777777" w:rsidR="00F303E0" w:rsidRPr="00EE5714" w:rsidRDefault="00F303E0" w:rsidP="00655CB6">
            <w:pPr>
              <w:keepNext/>
              <w:keepLines/>
              <w:jc w:val="center"/>
              <w:rPr>
                <w:rFonts w:ascii="Calibri" w:eastAsia="Times New Roman" w:hAnsi="Calibri" w:cs="Calibri"/>
                <w:b/>
                <w:bCs/>
                <w:color w:val="000000"/>
              </w:rPr>
            </w:pPr>
            <w:r w:rsidRPr="00EE5714">
              <w:rPr>
                <w:rFonts w:ascii="Calibri" w:eastAsia="Times New Roman" w:hAnsi="Calibri" w:cs="Calibri"/>
                <w:b/>
                <w:bCs/>
                <w:color w:val="000000"/>
              </w:rPr>
              <w:t>NGDC CAP LIHEAP Recipients at 51-100% FPIG</w:t>
            </w:r>
          </w:p>
        </w:tc>
      </w:tr>
      <w:tr w:rsidR="00F303E0" w:rsidRPr="00EE5714" w14:paraId="1D10CA28" w14:textId="77777777" w:rsidTr="00463B0B">
        <w:trPr>
          <w:trHeight w:val="300"/>
        </w:trPr>
        <w:tc>
          <w:tcPr>
            <w:tcW w:w="117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550E25AA" w14:textId="77777777" w:rsidR="00F303E0" w:rsidRPr="00EE5714" w:rsidRDefault="00F303E0" w:rsidP="00655CB6">
            <w:pPr>
              <w:keepNext/>
              <w:keepLines/>
              <w:rPr>
                <w:rFonts w:ascii="Calibri" w:eastAsia="Times New Roman" w:hAnsi="Calibri" w:cs="Calibri"/>
                <w:color w:val="000000"/>
              </w:rPr>
            </w:pPr>
            <w:r w:rsidRPr="00EE5714">
              <w:rPr>
                <w:rFonts w:ascii="Calibri" w:eastAsia="Times New Roman" w:hAnsi="Calibri" w:cs="Calibri"/>
                <w:color w:val="000000"/>
              </w:rPr>
              <w:t> </w:t>
            </w:r>
          </w:p>
        </w:tc>
        <w:tc>
          <w:tcPr>
            <w:tcW w:w="4500" w:type="dxa"/>
            <w:gridSpan w:val="4"/>
            <w:tcBorders>
              <w:top w:val="single" w:sz="12" w:space="0" w:color="000000"/>
              <w:left w:val="single" w:sz="12" w:space="0" w:color="000000"/>
              <w:bottom w:val="single" w:sz="4" w:space="0" w:color="000000"/>
              <w:right w:val="single" w:sz="12" w:space="0" w:color="000000"/>
            </w:tcBorders>
            <w:shd w:val="clear" w:color="auto" w:fill="auto"/>
            <w:noWrap/>
            <w:vAlign w:val="bottom"/>
            <w:hideMark/>
          </w:tcPr>
          <w:p w14:paraId="1AC7D90E" w14:textId="77777777" w:rsidR="00F303E0" w:rsidRPr="00EE5714" w:rsidRDefault="00F303E0" w:rsidP="00655CB6">
            <w:pPr>
              <w:keepNext/>
              <w:keepLines/>
              <w:jc w:val="center"/>
              <w:rPr>
                <w:rFonts w:ascii="Calibri" w:eastAsia="Times New Roman" w:hAnsi="Calibri" w:cs="Calibri"/>
                <w:b/>
                <w:bCs/>
                <w:color w:val="000000"/>
              </w:rPr>
            </w:pPr>
            <w:r w:rsidRPr="00EE5714">
              <w:rPr>
                <w:rFonts w:ascii="Calibri" w:eastAsia="Times New Roman" w:hAnsi="Calibri" w:cs="Calibri"/>
                <w:b/>
                <w:bCs/>
                <w:color w:val="000000"/>
              </w:rPr>
              <w:t xml:space="preserve">Average CAP Bill </w:t>
            </w:r>
          </w:p>
        </w:tc>
        <w:tc>
          <w:tcPr>
            <w:tcW w:w="4410" w:type="dxa"/>
            <w:gridSpan w:val="4"/>
            <w:tcBorders>
              <w:top w:val="single" w:sz="12" w:space="0" w:color="000000"/>
              <w:left w:val="single" w:sz="12" w:space="0" w:color="000000"/>
              <w:bottom w:val="single" w:sz="4" w:space="0" w:color="000000"/>
              <w:right w:val="single" w:sz="12" w:space="0" w:color="000000"/>
            </w:tcBorders>
            <w:vAlign w:val="bottom"/>
          </w:tcPr>
          <w:p w14:paraId="7FDEAFF2" w14:textId="77777777" w:rsidR="00F303E0" w:rsidRPr="00EE5714" w:rsidRDefault="00F303E0" w:rsidP="00655CB6">
            <w:pPr>
              <w:keepNext/>
              <w:keepLines/>
              <w:jc w:val="center"/>
              <w:rPr>
                <w:rFonts w:ascii="Calibri" w:eastAsia="Times New Roman" w:hAnsi="Calibri" w:cs="Calibri"/>
                <w:b/>
                <w:bCs/>
                <w:color w:val="000000"/>
              </w:rPr>
            </w:pPr>
            <w:r w:rsidRPr="00EE5714">
              <w:rPr>
                <w:rFonts w:ascii="Calibri" w:eastAsia="Times New Roman" w:hAnsi="Calibri" w:cs="Calibri"/>
                <w:b/>
                <w:bCs/>
                <w:color w:val="000000"/>
              </w:rPr>
              <w:t>Average LIHEAP Dollars Applied</w:t>
            </w:r>
          </w:p>
        </w:tc>
      </w:tr>
      <w:tr w:rsidR="00463B0B" w:rsidRPr="00EE5714" w14:paraId="41324A66" w14:textId="77777777" w:rsidTr="00463B0B">
        <w:trPr>
          <w:trHeight w:val="274"/>
        </w:trPr>
        <w:tc>
          <w:tcPr>
            <w:tcW w:w="1170" w:type="dxa"/>
            <w:tcBorders>
              <w:top w:val="nil"/>
              <w:left w:val="single" w:sz="8" w:space="0" w:color="000000"/>
              <w:bottom w:val="single" w:sz="4" w:space="0" w:color="000000"/>
              <w:right w:val="single" w:sz="12" w:space="0" w:color="000000"/>
            </w:tcBorders>
            <w:shd w:val="clear" w:color="auto" w:fill="auto"/>
            <w:noWrap/>
            <w:vAlign w:val="bottom"/>
            <w:hideMark/>
          </w:tcPr>
          <w:p w14:paraId="28282218" w14:textId="77777777" w:rsidR="00F303E0" w:rsidRPr="00EE5714" w:rsidRDefault="00F303E0" w:rsidP="00655CB6">
            <w:pPr>
              <w:keepNext/>
              <w:keepLines/>
              <w:rPr>
                <w:rFonts w:ascii="Calibri" w:eastAsia="Times New Roman" w:hAnsi="Calibri" w:cs="Calibri"/>
                <w:color w:val="000000"/>
                <w:sz w:val="21"/>
                <w:szCs w:val="21"/>
              </w:rPr>
            </w:pPr>
          </w:p>
        </w:tc>
        <w:tc>
          <w:tcPr>
            <w:tcW w:w="1147"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26B0CA16" w14:textId="77777777" w:rsidR="00F303E0" w:rsidRPr="00EE5714" w:rsidRDefault="00F303E0" w:rsidP="00655CB6">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03"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7457FE3" w14:textId="77777777" w:rsidR="00F303E0" w:rsidRPr="00EE5714" w:rsidRDefault="00F303E0" w:rsidP="00655CB6">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17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04815C2" w14:textId="77777777" w:rsidR="00F303E0" w:rsidRPr="00EE5714" w:rsidRDefault="00F303E0" w:rsidP="00655CB6">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080" w:type="dxa"/>
            <w:tcBorders>
              <w:top w:val="nil"/>
              <w:left w:val="nil"/>
              <w:bottom w:val="single" w:sz="4" w:space="0" w:color="000000"/>
              <w:right w:val="single" w:sz="12" w:space="0" w:color="000000"/>
            </w:tcBorders>
            <w:shd w:val="clear" w:color="auto" w:fill="F2F2F2" w:themeFill="background1" w:themeFillShade="F2"/>
            <w:noWrap/>
            <w:vAlign w:val="bottom"/>
            <w:hideMark/>
          </w:tcPr>
          <w:p w14:paraId="18779BB4" w14:textId="77777777" w:rsidR="00F303E0" w:rsidRPr="00EE5714" w:rsidRDefault="00F303E0" w:rsidP="00655CB6">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170" w:type="dxa"/>
            <w:tcBorders>
              <w:top w:val="nil"/>
              <w:left w:val="single" w:sz="12" w:space="0" w:color="000000"/>
              <w:bottom w:val="single" w:sz="4" w:space="0" w:color="000000"/>
              <w:right w:val="single" w:sz="8" w:space="0" w:color="000000"/>
            </w:tcBorders>
            <w:shd w:val="clear" w:color="auto" w:fill="F2F2F2" w:themeFill="background1" w:themeFillShade="F2"/>
            <w:vAlign w:val="bottom"/>
          </w:tcPr>
          <w:p w14:paraId="3F9D1558" w14:textId="77777777" w:rsidR="00F303E0" w:rsidRPr="00EE5714" w:rsidRDefault="00F303E0" w:rsidP="00655CB6">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nil"/>
              <w:left w:val="nil"/>
              <w:bottom w:val="single" w:sz="4" w:space="0" w:color="000000"/>
              <w:right w:val="single" w:sz="8" w:space="0" w:color="000000"/>
            </w:tcBorders>
            <w:shd w:val="clear" w:color="auto" w:fill="F2F2F2" w:themeFill="background1" w:themeFillShade="F2"/>
            <w:vAlign w:val="bottom"/>
          </w:tcPr>
          <w:p w14:paraId="0848995A" w14:textId="77777777" w:rsidR="00F303E0" w:rsidRPr="00EE5714" w:rsidRDefault="00F303E0" w:rsidP="00655CB6">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nil"/>
              <w:left w:val="nil"/>
              <w:bottom w:val="single" w:sz="4" w:space="0" w:color="000000"/>
              <w:right w:val="single" w:sz="8" w:space="0" w:color="000000"/>
            </w:tcBorders>
            <w:shd w:val="clear" w:color="auto" w:fill="F2F2F2" w:themeFill="background1" w:themeFillShade="F2"/>
            <w:vAlign w:val="bottom"/>
          </w:tcPr>
          <w:p w14:paraId="642FD701" w14:textId="77777777" w:rsidR="00F303E0" w:rsidRPr="00EE5714" w:rsidRDefault="00F303E0" w:rsidP="00655CB6">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080" w:type="dxa"/>
            <w:tcBorders>
              <w:top w:val="nil"/>
              <w:left w:val="nil"/>
              <w:bottom w:val="single" w:sz="4" w:space="0" w:color="000000"/>
              <w:right w:val="single" w:sz="12" w:space="0" w:color="000000"/>
            </w:tcBorders>
            <w:shd w:val="clear" w:color="auto" w:fill="F2F2F2" w:themeFill="background1" w:themeFillShade="F2"/>
            <w:vAlign w:val="bottom"/>
          </w:tcPr>
          <w:p w14:paraId="1A581BE1" w14:textId="77777777" w:rsidR="00F303E0" w:rsidRPr="00EE5714" w:rsidRDefault="00F303E0" w:rsidP="00655CB6">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3C7D5998" w14:textId="77777777" w:rsidTr="00463B0B">
        <w:trPr>
          <w:trHeight w:hRule="exact" w:val="245"/>
        </w:trPr>
        <w:tc>
          <w:tcPr>
            <w:tcW w:w="1170" w:type="dxa"/>
            <w:tcBorders>
              <w:top w:val="nil"/>
              <w:left w:val="single" w:sz="8" w:space="0" w:color="000000"/>
              <w:bottom w:val="single" w:sz="4" w:space="0" w:color="000000"/>
              <w:right w:val="single" w:sz="12" w:space="0" w:color="000000"/>
            </w:tcBorders>
            <w:shd w:val="clear" w:color="auto" w:fill="auto"/>
            <w:noWrap/>
            <w:vAlign w:val="bottom"/>
            <w:hideMark/>
          </w:tcPr>
          <w:p w14:paraId="415D05B8" w14:textId="77777777" w:rsidR="00F303E0" w:rsidRPr="00EE5714" w:rsidRDefault="00F303E0" w:rsidP="00655CB6">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1147" w:type="dxa"/>
            <w:tcBorders>
              <w:top w:val="nil"/>
              <w:left w:val="single" w:sz="12" w:space="0" w:color="000000"/>
              <w:bottom w:val="single" w:sz="4" w:space="0" w:color="000000"/>
              <w:right w:val="single" w:sz="4" w:space="0" w:color="000000"/>
            </w:tcBorders>
            <w:shd w:val="clear" w:color="auto" w:fill="auto"/>
            <w:noWrap/>
            <w:vAlign w:val="center"/>
          </w:tcPr>
          <w:p w14:paraId="28B13571" w14:textId="77777777" w:rsidR="00F303E0" w:rsidRPr="00EE5714" w:rsidRDefault="00F303E0" w:rsidP="00655CB6">
            <w:pPr>
              <w:keepNext/>
              <w:keepLines/>
              <w:jc w:val="center"/>
              <w:rPr>
                <w:rFonts w:ascii="Calibri" w:hAnsi="Calibri" w:cs="Calibri"/>
                <w:sz w:val="21"/>
                <w:szCs w:val="21"/>
              </w:rPr>
            </w:pPr>
            <w:r w:rsidRPr="00EE5714">
              <w:rPr>
                <w:rFonts w:ascii="Calibri" w:hAnsi="Calibri" w:cs="Calibri"/>
                <w:sz w:val="21"/>
                <w:szCs w:val="21"/>
              </w:rPr>
              <w:t>$1,119.30</w:t>
            </w:r>
          </w:p>
        </w:tc>
        <w:tc>
          <w:tcPr>
            <w:tcW w:w="1103" w:type="dxa"/>
            <w:tcBorders>
              <w:top w:val="nil"/>
              <w:left w:val="nil"/>
              <w:bottom w:val="single" w:sz="4" w:space="0" w:color="000000"/>
              <w:right w:val="single" w:sz="4" w:space="0" w:color="000000"/>
            </w:tcBorders>
            <w:shd w:val="clear" w:color="auto" w:fill="auto"/>
            <w:noWrap/>
            <w:vAlign w:val="center"/>
          </w:tcPr>
          <w:p w14:paraId="315C0279" w14:textId="77777777" w:rsidR="00F303E0" w:rsidRPr="00EE5714" w:rsidRDefault="00F303E0" w:rsidP="00655CB6">
            <w:pPr>
              <w:keepNext/>
              <w:keepLines/>
              <w:jc w:val="center"/>
              <w:rPr>
                <w:rFonts w:ascii="Calibri" w:hAnsi="Calibri" w:cs="Calibri"/>
                <w:sz w:val="21"/>
                <w:szCs w:val="21"/>
              </w:rPr>
            </w:pPr>
            <w:r w:rsidRPr="00EE5714">
              <w:rPr>
                <w:rFonts w:ascii="Calibri" w:hAnsi="Calibri" w:cs="Calibri"/>
                <w:sz w:val="21"/>
                <w:szCs w:val="21"/>
              </w:rPr>
              <w:t>$1,279.16</w:t>
            </w:r>
          </w:p>
        </w:tc>
        <w:tc>
          <w:tcPr>
            <w:tcW w:w="1170" w:type="dxa"/>
            <w:tcBorders>
              <w:top w:val="nil"/>
              <w:left w:val="nil"/>
              <w:bottom w:val="single" w:sz="4" w:space="0" w:color="000000"/>
              <w:right w:val="single" w:sz="4" w:space="0" w:color="000000"/>
            </w:tcBorders>
            <w:shd w:val="clear" w:color="auto" w:fill="auto"/>
            <w:noWrap/>
            <w:vAlign w:val="center"/>
          </w:tcPr>
          <w:p w14:paraId="31D7AE4E" w14:textId="77777777" w:rsidR="00F303E0" w:rsidRPr="00EE5714" w:rsidRDefault="00F303E0" w:rsidP="00655CB6">
            <w:pPr>
              <w:keepNext/>
              <w:keepLines/>
              <w:jc w:val="center"/>
              <w:rPr>
                <w:rFonts w:ascii="Calibri" w:hAnsi="Calibri" w:cs="Calibri"/>
                <w:sz w:val="21"/>
                <w:szCs w:val="21"/>
              </w:rPr>
            </w:pPr>
            <w:r w:rsidRPr="00EE5714">
              <w:rPr>
                <w:rFonts w:ascii="Calibri" w:hAnsi="Calibri" w:cs="Calibri"/>
                <w:sz w:val="21"/>
                <w:szCs w:val="21"/>
              </w:rPr>
              <w:t>$1,154.26</w:t>
            </w:r>
          </w:p>
        </w:tc>
        <w:tc>
          <w:tcPr>
            <w:tcW w:w="1080" w:type="dxa"/>
            <w:tcBorders>
              <w:top w:val="nil"/>
              <w:left w:val="nil"/>
              <w:bottom w:val="single" w:sz="4" w:space="0" w:color="000000"/>
              <w:right w:val="single" w:sz="12" w:space="0" w:color="000000"/>
            </w:tcBorders>
            <w:shd w:val="clear" w:color="auto" w:fill="auto"/>
            <w:noWrap/>
            <w:vAlign w:val="center"/>
          </w:tcPr>
          <w:p w14:paraId="3A46B1B7" w14:textId="77777777" w:rsidR="00F303E0" w:rsidRPr="00EE5714" w:rsidRDefault="00F303E0" w:rsidP="00655CB6">
            <w:pPr>
              <w:keepNext/>
              <w:keepLines/>
              <w:jc w:val="center"/>
              <w:rPr>
                <w:rFonts w:ascii="Calibri" w:hAnsi="Calibri" w:cs="Calibri"/>
                <w:sz w:val="21"/>
                <w:szCs w:val="21"/>
              </w:rPr>
            </w:pPr>
            <w:r w:rsidRPr="00EE5714">
              <w:rPr>
                <w:rFonts w:ascii="Calibri" w:hAnsi="Calibri" w:cs="Calibri"/>
                <w:sz w:val="21"/>
                <w:szCs w:val="21"/>
              </w:rPr>
              <w:t>$896.09</w:t>
            </w:r>
          </w:p>
        </w:tc>
        <w:tc>
          <w:tcPr>
            <w:tcW w:w="1170" w:type="dxa"/>
            <w:tcBorders>
              <w:top w:val="nil"/>
              <w:left w:val="single" w:sz="12" w:space="0" w:color="000000"/>
              <w:bottom w:val="single" w:sz="4" w:space="0" w:color="000000"/>
              <w:right w:val="single" w:sz="8" w:space="0" w:color="000000"/>
            </w:tcBorders>
            <w:vAlign w:val="center"/>
          </w:tcPr>
          <w:p w14:paraId="451C88FB"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$159.21</w:t>
            </w:r>
          </w:p>
        </w:tc>
        <w:tc>
          <w:tcPr>
            <w:tcW w:w="1080" w:type="dxa"/>
            <w:tcBorders>
              <w:top w:val="nil"/>
              <w:left w:val="nil"/>
              <w:bottom w:val="single" w:sz="4" w:space="0" w:color="000000"/>
              <w:right w:val="single" w:sz="8" w:space="0" w:color="000000"/>
            </w:tcBorders>
            <w:vAlign w:val="center"/>
          </w:tcPr>
          <w:p w14:paraId="72BFD44E"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$189.26</w:t>
            </w:r>
          </w:p>
        </w:tc>
        <w:tc>
          <w:tcPr>
            <w:tcW w:w="1080" w:type="dxa"/>
            <w:tcBorders>
              <w:top w:val="nil"/>
              <w:left w:val="nil"/>
              <w:bottom w:val="single" w:sz="4" w:space="0" w:color="000000"/>
              <w:right w:val="single" w:sz="8" w:space="0" w:color="000000"/>
            </w:tcBorders>
            <w:vAlign w:val="center"/>
          </w:tcPr>
          <w:p w14:paraId="4440AD58"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$195.34</w:t>
            </w:r>
          </w:p>
        </w:tc>
        <w:tc>
          <w:tcPr>
            <w:tcW w:w="1080" w:type="dxa"/>
            <w:tcBorders>
              <w:top w:val="nil"/>
              <w:left w:val="nil"/>
              <w:bottom w:val="single" w:sz="4" w:space="0" w:color="000000"/>
              <w:right w:val="single" w:sz="12" w:space="0" w:color="000000"/>
            </w:tcBorders>
            <w:vAlign w:val="center"/>
          </w:tcPr>
          <w:p w14:paraId="0046F04D"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$316.25</w:t>
            </w:r>
          </w:p>
        </w:tc>
      </w:tr>
      <w:tr w:rsidR="00F303E0" w:rsidRPr="00EE5714" w14:paraId="124ABCD0" w14:textId="77777777" w:rsidTr="00463B0B">
        <w:trPr>
          <w:trHeight w:hRule="exact" w:val="245"/>
        </w:trPr>
        <w:tc>
          <w:tcPr>
            <w:tcW w:w="1170" w:type="dxa"/>
            <w:tcBorders>
              <w:top w:val="nil"/>
              <w:left w:val="single" w:sz="8" w:space="0" w:color="000000"/>
              <w:bottom w:val="single" w:sz="4" w:space="0" w:color="000000"/>
              <w:right w:val="single" w:sz="12" w:space="0" w:color="000000"/>
            </w:tcBorders>
            <w:shd w:val="clear" w:color="auto" w:fill="auto"/>
            <w:noWrap/>
            <w:vAlign w:val="bottom"/>
          </w:tcPr>
          <w:p w14:paraId="2FE2E8B9" w14:textId="77777777" w:rsidR="00F303E0" w:rsidRPr="00EE5714" w:rsidRDefault="00F303E0" w:rsidP="00655CB6">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w:t>
            </w:r>
          </w:p>
        </w:tc>
        <w:tc>
          <w:tcPr>
            <w:tcW w:w="1147" w:type="dxa"/>
            <w:tcBorders>
              <w:top w:val="nil"/>
              <w:left w:val="single" w:sz="12" w:space="0" w:color="000000"/>
              <w:bottom w:val="single" w:sz="4" w:space="0" w:color="000000"/>
              <w:right w:val="single" w:sz="4" w:space="0" w:color="000000"/>
            </w:tcBorders>
            <w:shd w:val="clear" w:color="auto" w:fill="auto"/>
            <w:noWrap/>
            <w:vAlign w:val="center"/>
          </w:tcPr>
          <w:p w14:paraId="2F06D487"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$1,265.87</w:t>
            </w:r>
          </w:p>
        </w:tc>
        <w:tc>
          <w:tcPr>
            <w:tcW w:w="1103" w:type="dxa"/>
            <w:tcBorders>
              <w:top w:val="nil"/>
              <w:left w:val="nil"/>
              <w:bottom w:val="single" w:sz="4" w:space="0" w:color="000000"/>
              <w:right w:val="single" w:sz="4" w:space="0" w:color="000000"/>
            </w:tcBorders>
            <w:shd w:val="clear" w:color="auto" w:fill="auto"/>
            <w:noWrap/>
            <w:vAlign w:val="center"/>
          </w:tcPr>
          <w:p w14:paraId="34141849"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$1,390.92</w:t>
            </w:r>
          </w:p>
        </w:tc>
        <w:tc>
          <w:tcPr>
            <w:tcW w:w="1170" w:type="dxa"/>
            <w:tcBorders>
              <w:top w:val="nil"/>
              <w:left w:val="nil"/>
              <w:bottom w:val="single" w:sz="4" w:space="0" w:color="000000"/>
              <w:right w:val="single" w:sz="4" w:space="0" w:color="000000"/>
            </w:tcBorders>
            <w:shd w:val="clear" w:color="auto" w:fill="auto"/>
            <w:noWrap/>
            <w:vAlign w:val="center"/>
          </w:tcPr>
          <w:p w14:paraId="01F468D0"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$1,060.26</w:t>
            </w:r>
          </w:p>
        </w:tc>
        <w:tc>
          <w:tcPr>
            <w:tcW w:w="1080" w:type="dxa"/>
            <w:tcBorders>
              <w:top w:val="nil"/>
              <w:left w:val="nil"/>
              <w:bottom w:val="single" w:sz="4" w:space="0" w:color="000000"/>
              <w:right w:val="single" w:sz="12" w:space="0" w:color="000000"/>
            </w:tcBorders>
            <w:shd w:val="clear" w:color="auto" w:fill="auto"/>
            <w:noWrap/>
            <w:vAlign w:val="center"/>
          </w:tcPr>
          <w:p w14:paraId="1865A132"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$981.24</w:t>
            </w:r>
          </w:p>
        </w:tc>
        <w:tc>
          <w:tcPr>
            <w:tcW w:w="1170" w:type="dxa"/>
            <w:tcBorders>
              <w:top w:val="nil"/>
              <w:left w:val="single" w:sz="12" w:space="0" w:color="000000"/>
              <w:bottom w:val="single" w:sz="4" w:space="0" w:color="000000"/>
              <w:right w:val="single" w:sz="8" w:space="0" w:color="000000"/>
            </w:tcBorders>
            <w:vAlign w:val="center"/>
          </w:tcPr>
          <w:p w14:paraId="0DE5C666"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$251.13</w:t>
            </w:r>
          </w:p>
        </w:tc>
        <w:tc>
          <w:tcPr>
            <w:tcW w:w="1080" w:type="dxa"/>
            <w:tcBorders>
              <w:top w:val="nil"/>
              <w:left w:val="nil"/>
              <w:bottom w:val="single" w:sz="4" w:space="0" w:color="000000"/>
              <w:right w:val="single" w:sz="8" w:space="0" w:color="000000"/>
            </w:tcBorders>
            <w:vAlign w:val="center"/>
          </w:tcPr>
          <w:p w14:paraId="42F8E942"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$259.34</w:t>
            </w:r>
          </w:p>
        </w:tc>
        <w:tc>
          <w:tcPr>
            <w:tcW w:w="1080" w:type="dxa"/>
            <w:tcBorders>
              <w:top w:val="nil"/>
              <w:left w:val="nil"/>
              <w:bottom w:val="single" w:sz="4" w:space="0" w:color="000000"/>
              <w:right w:val="single" w:sz="8" w:space="0" w:color="000000"/>
            </w:tcBorders>
            <w:vAlign w:val="center"/>
          </w:tcPr>
          <w:p w14:paraId="62195746"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$271.00</w:t>
            </w:r>
          </w:p>
        </w:tc>
        <w:tc>
          <w:tcPr>
            <w:tcW w:w="1080" w:type="dxa"/>
            <w:tcBorders>
              <w:top w:val="nil"/>
              <w:left w:val="nil"/>
              <w:bottom w:val="single" w:sz="4" w:space="0" w:color="000000"/>
              <w:right w:val="single" w:sz="12" w:space="0" w:color="000000"/>
            </w:tcBorders>
            <w:vAlign w:val="center"/>
          </w:tcPr>
          <w:p w14:paraId="01361185"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$351.70</w:t>
            </w:r>
          </w:p>
        </w:tc>
      </w:tr>
      <w:tr w:rsidR="00F303E0" w:rsidRPr="00EE5714" w14:paraId="791F4255" w14:textId="77777777" w:rsidTr="00463B0B">
        <w:trPr>
          <w:trHeight w:hRule="exact" w:val="523"/>
        </w:trPr>
        <w:tc>
          <w:tcPr>
            <w:tcW w:w="1170" w:type="dxa"/>
            <w:tcBorders>
              <w:top w:val="nil"/>
              <w:left w:val="single" w:sz="8" w:space="0" w:color="000000"/>
              <w:bottom w:val="single" w:sz="4" w:space="0" w:color="000000"/>
              <w:right w:val="single" w:sz="12" w:space="0" w:color="000000"/>
            </w:tcBorders>
            <w:shd w:val="clear" w:color="auto" w:fill="auto"/>
            <w:noWrap/>
            <w:vAlign w:val="bottom"/>
          </w:tcPr>
          <w:p w14:paraId="583A3275" w14:textId="77777777" w:rsidR="00F303E0" w:rsidRPr="00EE5714" w:rsidRDefault="00F303E0" w:rsidP="00655CB6">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 EQT</w:t>
            </w:r>
          </w:p>
        </w:tc>
        <w:tc>
          <w:tcPr>
            <w:tcW w:w="1147" w:type="dxa"/>
            <w:tcBorders>
              <w:top w:val="nil"/>
              <w:left w:val="single" w:sz="12" w:space="0" w:color="000000"/>
              <w:bottom w:val="single" w:sz="4" w:space="0" w:color="000000"/>
              <w:right w:val="single" w:sz="4" w:space="0" w:color="000000"/>
            </w:tcBorders>
            <w:shd w:val="clear" w:color="auto" w:fill="auto"/>
            <w:noWrap/>
            <w:vAlign w:val="center"/>
          </w:tcPr>
          <w:p w14:paraId="4BAE8F01" w14:textId="77777777" w:rsidR="00F303E0" w:rsidRPr="00EE5714" w:rsidRDefault="00F303E0" w:rsidP="00655CB6">
            <w:pPr>
              <w:keepNext/>
              <w:keepLines/>
              <w:jc w:val="center"/>
              <w:rPr>
                <w:rFonts w:ascii="Calibri" w:hAnsi="Calibri" w:cs="Calibri"/>
                <w:sz w:val="21"/>
                <w:szCs w:val="21"/>
              </w:rPr>
            </w:pPr>
            <w:r w:rsidRPr="00EE5714">
              <w:rPr>
                <w:rFonts w:ascii="Calibri" w:hAnsi="Calibri" w:cs="Calibri"/>
                <w:sz w:val="21"/>
                <w:szCs w:val="21"/>
              </w:rPr>
              <w:t>$1,617.66</w:t>
            </w:r>
          </w:p>
        </w:tc>
        <w:tc>
          <w:tcPr>
            <w:tcW w:w="1103" w:type="dxa"/>
            <w:tcBorders>
              <w:top w:val="nil"/>
              <w:left w:val="nil"/>
              <w:bottom w:val="single" w:sz="4" w:space="0" w:color="000000"/>
              <w:right w:val="single" w:sz="4" w:space="0" w:color="000000"/>
            </w:tcBorders>
            <w:shd w:val="clear" w:color="auto" w:fill="auto"/>
            <w:noWrap/>
            <w:vAlign w:val="center"/>
          </w:tcPr>
          <w:p w14:paraId="02B0E917" w14:textId="77777777" w:rsidR="00F303E0" w:rsidRPr="00EE5714" w:rsidRDefault="00F303E0" w:rsidP="00655CB6">
            <w:pPr>
              <w:keepNext/>
              <w:keepLines/>
              <w:jc w:val="center"/>
              <w:rPr>
                <w:rFonts w:ascii="Calibri" w:hAnsi="Calibri" w:cs="Calibri"/>
                <w:sz w:val="21"/>
                <w:szCs w:val="21"/>
              </w:rPr>
            </w:pPr>
            <w:r w:rsidRPr="00EE5714">
              <w:rPr>
                <w:rFonts w:ascii="Calibri" w:hAnsi="Calibri" w:cs="Calibri"/>
                <w:sz w:val="21"/>
                <w:szCs w:val="21"/>
              </w:rPr>
              <w:t>$1,565.75</w:t>
            </w:r>
          </w:p>
        </w:tc>
        <w:tc>
          <w:tcPr>
            <w:tcW w:w="1170" w:type="dxa"/>
            <w:tcBorders>
              <w:top w:val="nil"/>
              <w:left w:val="nil"/>
              <w:bottom w:val="single" w:sz="4" w:space="0" w:color="000000"/>
              <w:right w:val="single" w:sz="4" w:space="0" w:color="000000"/>
            </w:tcBorders>
            <w:shd w:val="clear" w:color="auto" w:fill="auto"/>
            <w:noWrap/>
            <w:vAlign w:val="center"/>
          </w:tcPr>
          <w:p w14:paraId="57EAD505" w14:textId="77777777" w:rsidR="00F303E0" w:rsidRPr="00EE5714" w:rsidRDefault="00F303E0" w:rsidP="00655CB6">
            <w:pPr>
              <w:keepNext/>
              <w:keepLines/>
              <w:jc w:val="center"/>
              <w:rPr>
                <w:rFonts w:ascii="Calibri" w:hAnsi="Calibri" w:cs="Calibri"/>
                <w:sz w:val="21"/>
                <w:szCs w:val="21"/>
              </w:rPr>
            </w:pPr>
            <w:r w:rsidRPr="00EE5714">
              <w:rPr>
                <w:rFonts w:ascii="Calibri" w:hAnsi="Calibri" w:cs="Calibri"/>
                <w:sz w:val="21"/>
                <w:szCs w:val="21"/>
              </w:rPr>
              <w:t>$1,979.98</w:t>
            </w:r>
          </w:p>
        </w:tc>
        <w:tc>
          <w:tcPr>
            <w:tcW w:w="1080" w:type="dxa"/>
            <w:tcBorders>
              <w:top w:val="nil"/>
              <w:left w:val="nil"/>
              <w:bottom w:val="single" w:sz="4" w:space="0" w:color="000000"/>
              <w:right w:val="single" w:sz="12" w:space="0" w:color="000000"/>
            </w:tcBorders>
            <w:shd w:val="clear" w:color="auto" w:fill="auto"/>
            <w:noWrap/>
            <w:vAlign w:val="center"/>
          </w:tcPr>
          <w:p w14:paraId="66FB0D76" w14:textId="77777777" w:rsidR="00F303E0" w:rsidRPr="00EE5714" w:rsidRDefault="00F303E0" w:rsidP="00655CB6">
            <w:pPr>
              <w:keepNext/>
              <w:keepLines/>
              <w:jc w:val="center"/>
              <w:rPr>
                <w:rFonts w:ascii="Calibri" w:hAnsi="Calibri" w:cs="Calibri"/>
                <w:sz w:val="21"/>
                <w:szCs w:val="21"/>
              </w:rPr>
            </w:pPr>
            <w:r w:rsidRPr="00EE5714">
              <w:rPr>
                <w:rFonts w:ascii="Calibri" w:hAnsi="Calibri" w:cs="Calibri"/>
                <w:sz w:val="21"/>
                <w:szCs w:val="21"/>
              </w:rPr>
              <w:t>$1,009.70</w:t>
            </w:r>
          </w:p>
        </w:tc>
        <w:tc>
          <w:tcPr>
            <w:tcW w:w="1170" w:type="dxa"/>
            <w:tcBorders>
              <w:top w:val="nil"/>
              <w:left w:val="single" w:sz="12" w:space="0" w:color="000000"/>
              <w:bottom w:val="single" w:sz="4" w:space="0" w:color="000000"/>
              <w:right w:val="single" w:sz="8" w:space="0" w:color="000000"/>
            </w:tcBorders>
            <w:vAlign w:val="center"/>
          </w:tcPr>
          <w:p w14:paraId="4840673F"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$289.50</w:t>
            </w:r>
          </w:p>
        </w:tc>
        <w:tc>
          <w:tcPr>
            <w:tcW w:w="1080" w:type="dxa"/>
            <w:tcBorders>
              <w:top w:val="nil"/>
              <w:left w:val="nil"/>
              <w:bottom w:val="single" w:sz="4" w:space="0" w:color="000000"/>
              <w:right w:val="single" w:sz="8" w:space="0" w:color="000000"/>
            </w:tcBorders>
            <w:vAlign w:val="center"/>
          </w:tcPr>
          <w:p w14:paraId="69C5ADA2"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$340.64</w:t>
            </w:r>
          </w:p>
        </w:tc>
        <w:tc>
          <w:tcPr>
            <w:tcW w:w="1080" w:type="dxa"/>
            <w:tcBorders>
              <w:top w:val="nil"/>
              <w:left w:val="nil"/>
              <w:bottom w:val="single" w:sz="4" w:space="0" w:color="000000"/>
              <w:right w:val="single" w:sz="8" w:space="0" w:color="000000"/>
            </w:tcBorders>
            <w:vAlign w:val="center"/>
          </w:tcPr>
          <w:p w14:paraId="5FA30035"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$213.45</w:t>
            </w:r>
          </w:p>
        </w:tc>
        <w:tc>
          <w:tcPr>
            <w:tcW w:w="1080" w:type="dxa"/>
            <w:tcBorders>
              <w:top w:val="nil"/>
              <w:left w:val="nil"/>
              <w:bottom w:val="single" w:sz="4" w:space="0" w:color="000000"/>
              <w:right w:val="single" w:sz="12" w:space="0" w:color="000000"/>
            </w:tcBorders>
            <w:vAlign w:val="center"/>
          </w:tcPr>
          <w:p w14:paraId="0B4BE1BA"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$367.37</w:t>
            </w:r>
          </w:p>
        </w:tc>
      </w:tr>
      <w:tr w:rsidR="00F303E0" w:rsidRPr="00EE5714" w14:paraId="713EC96E" w14:textId="77777777" w:rsidTr="00463B0B">
        <w:trPr>
          <w:trHeight w:hRule="exact" w:val="245"/>
        </w:trPr>
        <w:tc>
          <w:tcPr>
            <w:tcW w:w="1170" w:type="dxa"/>
            <w:tcBorders>
              <w:top w:val="nil"/>
              <w:left w:val="single" w:sz="8" w:space="0" w:color="000000"/>
              <w:bottom w:val="single" w:sz="4" w:space="0" w:color="000000"/>
              <w:right w:val="single" w:sz="12" w:space="0" w:color="000000"/>
            </w:tcBorders>
            <w:shd w:val="clear" w:color="auto" w:fill="auto"/>
            <w:noWrap/>
            <w:vAlign w:val="bottom"/>
          </w:tcPr>
          <w:p w14:paraId="3F40A5B3" w14:textId="77777777" w:rsidR="00F303E0" w:rsidRPr="00EE5714" w:rsidRDefault="00F303E0" w:rsidP="00655CB6">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PGW</w:t>
            </w:r>
          </w:p>
        </w:tc>
        <w:tc>
          <w:tcPr>
            <w:tcW w:w="1147" w:type="dxa"/>
            <w:tcBorders>
              <w:top w:val="nil"/>
              <w:left w:val="single" w:sz="12" w:space="0" w:color="000000"/>
              <w:bottom w:val="single" w:sz="4" w:space="0" w:color="000000"/>
              <w:right w:val="single" w:sz="4" w:space="0" w:color="000000"/>
            </w:tcBorders>
            <w:shd w:val="clear" w:color="auto" w:fill="auto"/>
            <w:noWrap/>
            <w:vAlign w:val="center"/>
          </w:tcPr>
          <w:p w14:paraId="2E219061"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$1,587.60</w:t>
            </w:r>
          </w:p>
        </w:tc>
        <w:tc>
          <w:tcPr>
            <w:tcW w:w="1103" w:type="dxa"/>
            <w:tcBorders>
              <w:top w:val="nil"/>
              <w:left w:val="nil"/>
              <w:bottom w:val="single" w:sz="4" w:space="0" w:color="000000"/>
              <w:right w:val="single" w:sz="4" w:space="0" w:color="000000"/>
            </w:tcBorders>
            <w:shd w:val="clear" w:color="auto" w:fill="auto"/>
            <w:noWrap/>
            <w:vAlign w:val="center"/>
          </w:tcPr>
          <w:p w14:paraId="58ACB699"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$1,697.41</w:t>
            </w:r>
          </w:p>
        </w:tc>
        <w:tc>
          <w:tcPr>
            <w:tcW w:w="1170" w:type="dxa"/>
            <w:tcBorders>
              <w:top w:val="nil"/>
              <w:left w:val="nil"/>
              <w:bottom w:val="single" w:sz="4" w:space="0" w:color="000000"/>
              <w:right w:val="single" w:sz="4" w:space="0" w:color="000000"/>
            </w:tcBorders>
            <w:shd w:val="clear" w:color="auto" w:fill="auto"/>
            <w:noWrap/>
            <w:vAlign w:val="center"/>
          </w:tcPr>
          <w:p w14:paraId="74E5F1DB"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$1,527.55</w:t>
            </w:r>
          </w:p>
        </w:tc>
        <w:tc>
          <w:tcPr>
            <w:tcW w:w="1080" w:type="dxa"/>
            <w:tcBorders>
              <w:top w:val="nil"/>
              <w:left w:val="nil"/>
              <w:bottom w:val="single" w:sz="4" w:space="0" w:color="000000"/>
              <w:right w:val="single" w:sz="12" w:space="0" w:color="000000"/>
            </w:tcBorders>
            <w:shd w:val="clear" w:color="auto" w:fill="auto"/>
            <w:noWrap/>
            <w:vAlign w:val="center"/>
          </w:tcPr>
          <w:p w14:paraId="347C5C70"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$1,398.60</w:t>
            </w:r>
          </w:p>
        </w:tc>
        <w:tc>
          <w:tcPr>
            <w:tcW w:w="1170" w:type="dxa"/>
            <w:tcBorders>
              <w:top w:val="nil"/>
              <w:left w:val="single" w:sz="12" w:space="0" w:color="000000"/>
              <w:bottom w:val="single" w:sz="4" w:space="0" w:color="000000"/>
              <w:right w:val="single" w:sz="8" w:space="0" w:color="000000"/>
            </w:tcBorders>
            <w:vAlign w:val="center"/>
          </w:tcPr>
          <w:p w14:paraId="21F31486"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$347.75</w:t>
            </w:r>
          </w:p>
        </w:tc>
        <w:tc>
          <w:tcPr>
            <w:tcW w:w="1080" w:type="dxa"/>
            <w:tcBorders>
              <w:top w:val="nil"/>
              <w:left w:val="nil"/>
              <w:bottom w:val="single" w:sz="4" w:space="0" w:color="000000"/>
              <w:right w:val="single" w:sz="8" w:space="0" w:color="000000"/>
            </w:tcBorders>
            <w:vAlign w:val="center"/>
          </w:tcPr>
          <w:p w14:paraId="0567185F"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$328.54</w:t>
            </w:r>
          </w:p>
        </w:tc>
        <w:tc>
          <w:tcPr>
            <w:tcW w:w="1080" w:type="dxa"/>
            <w:tcBorders>
              <w:top w:val="nil"/>
              <w:left w:val="nil"/>
              <w:bottom w:val="single" w:sz="4" w:space="0" w:color="000000"/>
              <w:right w:val="single" w:sz="8" w:space="0" w:color="000000"/>
            </w:tcBorders>
            <w:vAlign w:val="center"/>
          </w:tcPr>
          <w:p w14:paraId="5F1EB71F"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$343.85</w:t>
            </w:r>
          </w:p>
        </w:tc>
        <w:tc>
          <w:tcPr>
            <w:tcW w:w="1080" w:type="dxa"/>
            <w:tcBorders>
              <w:top w:val="nil"/>
              <w:left w:val="nil"/>
              <w:bottom w:val="single" w:sz="4" w:space="0" w:color="000000"/>
              <w:right w:val="single" w:sz="12" w:space="0" w:color="000000"/>
            </w:tcBorders>
            <w:vAlign w:val="center"/>
          </w:tcPr>
          <w:p w14:paraId="38640C75" w14:textId="77777777" w:rsidR="00F303E0" w:rsidRPr="00EE5714" w:rsidRDefault="00F303E0" w:rsidP="00655CB6">
            <w:pPr>
              <w:keepNext/>
              <w:keepLines/>
              <w:jc w:val="center"/>
              <w:rPr>
                <w:rFonts w:ascii="Calibri" w:hAnsi="Calibri" w:cs="Calibri"/>
                <w:color w:val="000000"/>
                <w:sz w:val="21"/>
                <w:szCs w:val="21"/>
              </w:rPr>
            </w:pPr>
            <w:r w:rsidRPr="00EE5714">
              <w:rPr>
                <w:rFonts w:ascii="Calibri" w:hAnsi="Calibri" w:cs="Calibri"/>
                <w:color w:val="000000"/>
                <w:sz w:val="21"/>
                <w:szCs w:val="21"/>
              </w:rPr>
              <w:t>$347.88</w:t>
            </w:r>
          </w:p>
        </w:tc>
      </w:tr>
    </w:tbl>
    <w:p w14:paraId="10C27481" w14:textId="77777777" w:rsidR="00F303E0" w:rsidRPr="00EE5714" w:rsidRDefault="00F303E0" w:rsidP="00F303E0">
      <w:pPr>
        <w:pStyle w:val="NoSpacing"/>
        <w:rPr>
          <w:rFonts w:cs="Times New Roman"/>
          <w:szCs w:val="26"/>
        </w:rPr>
      </w:pPr>
    </w:p>
    <w:p w14:paraId="0EFC2FF0" w14:textId="77777777" w:rsidR="00F303E0" w:rsidRPr="00EE5714" w:rsidRDefault="00F303E0" w:rsidP="00F303E0">
      <w:pPr>
        <w:pStyle w:val="NoSpacing"/>
        <w:rPr>
          <w:rFonts w:cs="Times New Roman"/>
          <w:szCs w:val="26"/>
        </w:rPr>
      </w:pPr>
    </w:p>
    <w:p w14:paraId="7BC7D111" w14:textId="77777777" w:rsidR="00F303E0" w:rsidRPr="00EE5714" w:rsidRDefault="00F857A1" w:rsidP="00F303E0">
      <w:pPr>
        <w:pStyle w:val="NoSpacing"/>
        <w:keepNext/>
        <w:rPr>
          <w:rFonts w:cs="Times New Roman"/>
          <w:szCs w:val="26"/>
        </w:rPr>
      </w:pPr>
      <w:r w:rsidRPr="00EE5714">
        <w:rPr>
          <w:rFonts w:cs="Times New Roman"/>
          <w:szCs w:val="26"/>
        </w:rPr>
        <w:lastRenderedPageBreak/>
        <w:t>Appendix 3</w:t>
      </w:r>
      <w:r w:rsidR="00F303E0" w:rsidRPr="00EE5714">
        <w:rPr>
          <w:rFonts w:cs="Times New Roman"/>
          <w:szCs w:val="26"/>
        </w:rPr>
        <w:t>.A.</w:t>
      </w:r>
      <w:r w:rsidR="001225B1" w:rsidRPr="00EE5714">
        <w:rPr>
          <w:rFonts w:cs="Times New Roman"/>
          <w:szCs w:val="26"/>
        </w:rPr>
        <w:t>7</w:t>
      </w:r>
      <w:r w:rsidR="00F303E0" w:rsidRPr="00EE5714">
        <w:rPr>
          <w:rFonts w:cs="Times New Roman"/>
          <w:szCs w:val="26"/>
        </w:rPr>
        <w:t xml:space="preserve">: </w:t>
      </w:r>
      <w:r w:rsidR="00F303E0" w:rsidRPr="00EE5714">
        <w:rPr>
          <w:rFonts w:eastAsia="Times New Roman" w:cs="Times New Roman"/>
          <w:b/>
          <w:bCs/>
          <w:color w:val="000000"/>
          <w:szCs w:val="26"/>
        </w:rPr>
        <w:t>NGDC CAP LIHEAP Recipients – Average Annual CAP Income</w:t>
      </w:r>
      <w:r w:rsidR="00F303E0" w:rsidRPr="00EE5714" w:rsidDel="00E168DE">
        <w:rPr>
          <w:rFonts w:eastAsia="Times New Roman" w:cs="Times New Roman"/>
          <w:b/>
          <w:bCs/>
          <w:color w:val="000000"/>
          <w:szCs w:val="26"/>
        </w:rPr>
        <w:t xml:space="preserve"> </w:t>
      </w:r>
      <w:r w:rsidR="00F303E0" w:rsidRPr="00EE5714">
        <w:rPr>
          <w:rFonts w:eastAsia="Times New Roman" w:cs="Times New Roman"/>
          <w:b/>
          <w:bCs/>
          <w:color w:val="000000"/>
          <w:szCs w:val="26"/>
        </w:rPr>
        <w:t>at 51-100% FPIG</w:t>
      </w:r>
    </w:p>
    <w:tbl>
      <w:tblPr>
        <w:tblW w:w="10080" w:type="dxa"/>
        <w:tblInd w:w="-280" w:type="dxa"/>
        <w:tblLayout w:type="fixed"/>
        <w:tblLook w:val="04A0" w:firstRow="1" w:lastRow="0" w:firstColumn="1" w:lastColumn="0" w:noHBand="0" w:noVBand="1"/>
      </w:tblPr>
      <w:tblGrid>
        <w:gridCol w:w="1350"/>
        <w:gridCol w:w="2115"/>
        <w:gridCol w:w="2295"/>
        <w:gridCol w:w="2295"/>
        <w:gridCol w:w="2025"/>
      </w:tblGrid>
      <w:tr w:rsidR="00F303E0" w:rsidRPr="00EE5714" w14:paraId="61C21B1B" w14:textId="77777777" w:rsidTr="00463B0B">
        <w:trPr>
          <w:trHeight w:val="300"/>
        </w:trPr>
        <w:tc>
          <w:tcPr>
            <w:tcW w:w="10080" w:type="dxa"/>
            <w:gridSpan w:val="5"/>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3BAC72EF" w14:textId="77777777" w:rsidR="00F303E0" w:rsidRPr="00EE5714" w:rsidRDefault="00F303E0" w:rsidP="00851815">
            <w:pPr>
              <w:keepNext/>
              <w:keepLines/>
              <w:jc w:val="center"/>
              <w:rPr>
                <w:rFonts w:ascii="Calibri" w:eastAsia="Times New Roman" w:hAnsi="Calibri" w:cs="Calibri"/>
                <w:b/>
                <w:bCs/>
                <w:color w:val="000000"/>
              </w:rPr>
            </w:pPr>
            <w:r w:rsidRPr="00EE5714">
              <w:rPr>
                <w:rFonts w:ascii="Calibri" w:eastAsia="Times New Roman" w:hAnsi="Calibri" w:cs="Calibri"/>
                <w:b/>
                <w:bCs/>
                <w:color w:val="000000"/>
              </w:rPr>
              <w:t>NGDC CAP LIHEAP Recipients – Average Annual CAP Income</w:t>
            </w:r>
            <w:r w:rsidRPr="00EE5714" w:rsidDel="00E168DE">
              <w:rPr>
                <w:rFonts w:ascii="Calibri" w:eastAsia="Times New Roman" w:hAnsi="Calibri" w:cs="Calibri"/>
                <w:b/>
                <w:bCs/>
                <w:color w:val="000000"/>
              </w:rPr>
              <w:t xml:space="preserve"> </w:t>
            </w:r>
            <w:r w:rsidRPr="00EE5714">
              <w:rPr>
                <w:rFonts w:ascii="Calibri" w:eastAsia="Times New Roman" w:hAnsi="Calibri" w:cs="Calibri"/>
                <w:b/>
                <w:bCs/>
                <w:color w:val="000000"/>
              </w:rPr>
              <w:t>at 51-100% FPIG</w:t>
            </w:r>
          </w:p>
        </w:tc>
      </w:tr>
      <w:tr w:rsidR="00F303E0" w:rsidRPr="00EE5714" w14:paraId="792DCA12" w14:textId="77777777" w:rsidTr="00463B0B">
        <w:trPr>
          <w:trHeight w:val="274"/>
        </w:trPr>
        <w:tc>
          <w:tcPr>
            <w:tcW w:w="1350" w:type="dxa"/>
            <w:tcBorders>
              <w:top w:val="nil"/>
              <w:left w:val="single" w:sz="8" w:space="0" w:color="000000"/>
              <w:bottom w:val="single" w:sz="4" w:space="0" w:color="000000"/>
              <w:right w:val="single" w:sz="12" w:space="0" w:color="000000"/>
            </w:tcBorders>
            <w:shd w:val="clear" w:color="auto" w:fill="auto"/>
            <w:noWrap/>
            <w:vAlign w:val="bottom"/>
            <w:hideMark/>
          </w:tcPr>
          <w:p w14:paraId="6E96C44E" w14:textId="77777777" w:rsidR="00F303E0" w:rsidRPr="00EE5714" w:rsidRDefault="00F303E0" w:rsidP="00851815">
            <w:pPr>
              <w:keepNext/>
              <w:keepLines/>
              <w:rPr>
                <w:rFonts w:ascii="Calibri" w:eastAsia="Times New Roman" w:hAnsi="Calibri" w:cs="Calibri"/>
                <w:color w:val="000000"/>
                <w:sz w:val="21"/>
                <w:szCs w:val="21"/>
              </w:rPr>
            </w:pPr>
          </w:p>
        </w:tc>
        <w:tc>
          <w:tcPr>
            <w:tcW w:w="2115"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28F5DAF3"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2295"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ADD646E"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2295"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A62CD18"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2025"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5B62D261"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01E21C63" w14:textId="77777777" w:rsidTr="00463B0B">
        <w:trPr>
          <w:trHeight w:hRule="exact" w:val="245"/>
        </w:trPr>
        <w:tc>
          <w:tcPr>
            <w:tcW w:w="1350" w:type="dxa"/>
            <w:tcBorders>
              <w:top w:val="nil"/>
              <w:left w:val="single" w:sz="8" w:space="0" w:color="000000"/>
              <w:bottom w:val="single" w:sz="4" w:space="0" w:color="000000"/>
              <w:right w:val="single" w:sz="12" w:space="0" w:color="000000"/>
            </w:tcBorders>
            <w:shd w:val="clear" w:color="auto" w:fill="auto"/>
            <w:noWrap/>
            <w:vAlign w:val="bottom"/>
            <w:hideMark/>
          </w:tcPr>
          <w:p w14:paraId="6CAE17E3" w14:textId="77777777" w:rsidR="00F303E0" w:rsidRPr="00EE5714" w:rsidRDefault="00F303E0" w:rsidP="00851815">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2115" w:type="dxa"/>
            <w:tcBorders>
              <w:top w:val="nil"/>
              <w:left w:val="single" w:sz="12" w:space="0" w:color="000000"/>
              <w:bottom w:val="single" w:sz="4" w:space="0" w:color="000000"/>
              <w:right w:val="single" w:sz="4" w:space="0" w:color="000000"/>
            </w:tcBorders>
            <w:shd w:val="clear" w:color="auto" w:fill="auto"/>
            <w:noWrap/>
            <w:vAlign w:val="center"/>
          </w:tcPr>
          <w:p w14:paraId="6DD74956"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$12,831</w:t>
            </w:r>
          </w:p>
        </w:tc>
        <w:tc>
          <w:tcPr>
            <w:tcW w:w="2295" w:type="dxa"/>
            <w:tcBorders>
              <w:top w:val="nil"/>
              <w:left w:val="nil"/>
              <w:bottom w:val="single" w:sz="4" w:space="0" w:color="000000"/>
              <w:right w:val="single" w:sz="4" w:space="0" w:color="000000"/>
            </w:tcBorders>
            <w:shd w:val="clear" w:color="auto" w:fill="auto"/>
            <w:noWrap/>
            <w:vAlign w:val="center"/>
          </w:tcPr>
          <w:p w14:paraId="77255B6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$13,229</w:t>
            </w:r>
          </w:p>
        </w:tc>
        <w:tc>
          <w:tcPr>
            <w:tcW w:w="2295" w:type="dxa"/>
            <w:tcBorders>
              <w:top w:val="nil"/>
              <w:left w:val="nil"/>
              <w:bottom w:val="single" w:sz="4" w:space="0" w:color="000000"/>
              <w:right w:val="single" w:sz="4" w:space="0" w:color="000000"/>
            </w:tcBorders>
            <w:shd w:val="clear" w:color="auto" w:fill="auto"/>
            <w:noWrap/>
            <w:vAlign w:val="center"/>
          </w:tcPr>
          <w:p w14:paraId="6F3085A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$13,233</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33849F5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$13,046</w:t>
            </w:r>
          </w:p>
        </w:tc>
      </w:tr>
      <w:tr w:rsidR="00F303E0" w:rsidRPr="00EE5714" w14:paraId="396C8AD2" w14:textId="77777777" w:rsidTr="00463B0B">
        <w:trPr>
          <w:trHeight w:hRule="exact" w:val="245"/>
        </w:trPr>
        <w:tc>
          <w:tcPr>
            <w:tcW w:w="1350" w:type="dxa"/>
            <w:tcBorders>
              <w:top w:val="nil"/>
              <w:left w:val="single" w:sz="8" w:space="0" w:color="000000"/>
              <w:bottom w:val="single" w:sz="4" w:space="0" w:color="000000"/>
              <w:right w:val="single" w:sz="12" w:space="0" w:color="000000"/>
            </w:tcBorders>
            <w:shd w:val="clear" w:color="auto" w:fill="auto"/>
            <w:noWrap/>
            <w:vAlign w:val="bottom"/>
          </w:tcPr>
          <w:p w14:paraId="5A67A987" w14:textId="77777777" w:rsidR="00F303E0" w:rsidRPr="00EE5714" w:rsidRDefault="00F303E0" w:rsidP="00851815">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w:t>
            </w:r>
          </w:p>
        </w:tc>
        <w:tc>
          <w:tcPr>
            <w:tcW w:w="2115" w:type="dxa"/>
            <w:tcBorders>
              <w:top w:val="nil"/>
              <w:left w:val="single" w:sz="12" w:space="0" w:color="000000"/>
              <w:bottom w:val="single" w:sz="4" w:space="0" w:color="000000"/>
              <w:right w:val="single" w:sz="4" w:space="0" w:color="000000"/>
            </w:tcBorders>
            <w:shd w:val="clear" w:color="auto" w:fill="auto"/>
            <w:noWrap/>
            <w:vAlign w:val="center"/>
          </w:tcPr>
          <w:p w14:paraId="55DF764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$11,595</w:t>
            </w:r>
          </w:p>
        </w:tc>
        <w:tc>
          <w:tcPr>
            <w:tcW w:w="2295" w:type="dxa"/>
            <w:tcBorders>
              <w:top w:val="nil"/>
              <w:left w:val="nil"/>
              <w:bottom w:val="single" w:sz="4" w:space="0" w:color="000000"/>
              <w:right w:val="single" w:sz="4" w:space="0" w:color="000000"/>
            </w:tcBorders>
            <w:shd w:val="clear" w:color="auto" w:fill="auto"/>
            <w:noWrap/>
            <w:vAlign w:val="center"/>
          </w:tcPr>
          <w:p w14:paraId="78C9C1F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$12,168</w:t>
            </w:r>
          </w:p>
        </w:tc>
        <w:tc>
          <w:tcPr>
            <w:tcW w:w="2295" w:type="dxa"/>
            <w:tcBorders>
              <w:top w:val="nil"/>
              <w:left w:val="nil"/>
              <w:bottom w:val="single" w:sz="4" w:space="0" w:color="000000"/>
              <w:right w:val="single" w:sz="4" w:space="0" w:color="000000"/>
            </w:tcBorders>
            <w:shd w:val="clear" w:color="auto" w:fill="auto"/>
            <w:noWrap/>
            <w:vAlign w:val="center"/>
          </w:tcPr>
          <w:p w14:paraId="6F23B6DD"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$12,622</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482B1FB7"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$12,808</w:t>
            </w:r>
          </w:p>
        </w:tc>
      </w:tr>
      <w:tr w:rsidR="00F303E0" w:rsidRPr="00EE5714" w14:paraId="44381458" w14:textId="77777777" w:rsidTr="00463B0B">
        <w:trPr>
          <w:trHeight w:hRule="exact" w:val="298"/>
        </w:trPr>
        <w:tc>
          <w:tcPr>
            <w:tcW w:w="1350" w:type="dxa"/>
            <w:tcBorders>
              <w:top w:val="nil"/>
              <w:left w:val="single" w:sz="8" w:space="0" w:color="000000"/>
              <w:bottom w:val="single" w:sz="4" w:space="0" w:color="000000"/>
              <w:right w:val="single" w:sz="12" w:space="0" w:color="000000"/>
            </w:tcBorders>
            <w:shd w:val="clear" w:color="auto" w:fill="auto"/>
            <w:noWrap/>
            <w:vAlign w:val="bottom"/>
          </w:tcPr>
          <w:p w14:paraId="14165DE1" w14:textId="77777777" w:rsidR="00F303E0" w:rsidRPr="00EE5714" w:rsidRDefault="00F303E0" w:rsidP="00851815">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 EQT</w:t>
            </w:r>
          </w:p>
        </w:tc>
        <w:tc>
          <w:tcPr>
            <w:tcW w:w="2115" w:type="dxa"/>
            <w:tcBorders>
              <w:top w:val="nil"/>
              <w:left w:val="single" w:sz="12" w:space="0" w:color="000000"/>
              <w:bottom w:val="single" w:sz="4" w:space="0" w:color="000000"/>
              <w:right w:val="single" w:sz="4" w:space="0" w:color="000000"/>
            </w:tcBorders>
            <w:shd w:val="clear" w:color="auto" w:fill="auto"/>
            <w:noWrap/>
            <w:vAlign w:val="center"/>
          </w:tcPr>
          <w:p w14:paraId="391C2E1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$9,854</w:t>
            </w:r>
          </w:p>
        </w:tc>
        <w:tc>
          <w:tcPr>
            <w:tcW w:w="2295" w:type="dxa"/>
            <w:tcBorders>
              <w:top w:val="nil"/>
              <w:left w:val="nil"/>
              <w:bottom w:val="single" w:sz="4" w:space="0" w:color="000000"/>
              <w:right w:val="single" w:sz="4" w:space="0" w:color="000000"/>
            </w:tcBorders>
            <w:shd w:val="clear" w:color="auto" w:fill="auto"/>
            <w:noWrap/>
            <w:vAlign w:val="center"/>
          </w:tcPr>
          <w:p w14:paraId="09203E43"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$10,716</w:t>
            </w:r>
          </w:p>
        </w:tc>
        <w:tc>
          <w:tcPr>
            <w:tcW w:w="2295" w:type="dxa"/>
            <w:tcBorders>
              <w:top w:val="nil"/>
              <w:left w:val="nil"/>
              <w:bottom w:val="single" w:sz="4" w:space="0" w:color="000000"/>
              <w:right w:val="single" w:sz="4" w:space="0" w:color="000000"/>
            </w:tcBorders>
            <w:shd w:val="clear" w:color="auto" w:fill="auto"/>
            <w:noWrap/>
            <w:vAlign w:val="center"/>
          </w:tcPr>
          <w:p w14:paraId="35013C06"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$10,664</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0B68880D"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$11,328</w:t>
            </w:r>
          </w:p>
        </w:tc>
      </w:tr>
      <w:tr w:rsidR="00F303E0" w:rsidRPr="00EE5714" w14:paraId="51FA67E4" w14:textId="77777777" w:rsidTr="00463B0B">
        <w:trPr>
          <w:trHeight w:hRule="exact" w:val="245"/>
        </w:trPr>
        <w:tc>
          <w:tcPr>
            <w:tcW w:w="1350" w:type="dxa"/>
            <w:tcBorders>
              <w:top w:val="nil"/>
              <w:left w:val="single" w:sz="8" w:space="0" w:color="000000"/>
              <w:bottom w:val="single" w:sz="4" w:space="0" w:color="000000"/>
              <w:right w:val="single" w:sz="12" w:space="0" w:color="000000"/>
            </w:tcBorders>
            <w:shd w:val="clear" w:color="auto" w:fill="auto"/>
            <w:noWrap/>
            <w:vAlign w:val="bottom"/>
          </w:tcPr>
          <w:p w14:paraId="36714198"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PGW</w:t>
            </w:r>
          </w:p>
        </w:tc>
        <w:tc>
          <w:tcPr>
            <w:tcW w:w="2115" w:type="dxa"/>
            <w:tcBorders>
              <w:top w:val="nil"/>
              <w:left w:val="single" w:sz="12" w:space="0" w:color="000000"/>
              <w:bottom w:val="single" w:sz="4" w:space="0" w:color="000000"/>
              <w:right w:val="single" w:sz="4" w:space="0" w:color="000000"/>
            </w:tcBorders>
            <w:shd w:val="clear" w:color="auto" w:fill="auto"/>
            <w:noWrap/>
            <w:vAlign w:val="center"/>
          </w:tcPr>
          <w:p w14:paraId="31EE44F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$11,352</w:t>
            </w:r>
          </w:p>
        </w:tc>
        <w:tc>
          <w:tcPr>
            <w:tcW w:w="2295" w:type="dxa"/>
            <w:tcBorders>
              <w:top w:val="nil"/>
              <w:left w:val="nil"/>
              <w:bottom w:val="single" w:sz="4" w:space="0" w:color="000000"/>
              <w:right w:val="single" w:sz="4" w:space="0" w:color="000000"/>
            </w:tcBorders>
            <w:shd w:val="clear" w:color="auto" w:fill="auto"/>
            <w:noWrap/>
            <w:vAlign w:val="center"/>
          </w:tcPr>
          <w:p w14:paraId="1CD80B3A"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$11,172</w:t>
            </w:r>
          </w:p>
        </w:tc>
        <w:tc>
          <w:tcPr>
            <w:tcW w:w="2295" w:type="dxa"/>
            <w:tcBorders>
              <w:top w:val="nil"/>
              <w:left w:val="nil"/>
              <w:bottom w:val="single" w:sz="4" w:space="0" w:color="000000"/>
              <w:right w:val="single" w:sz="4" w:space="0" w:color="000000"/>
            </w:tcBorders>
            <w:shd w:val="clear" w:color="auto" w:fill="auto"/>
            <w:noWrap/>
            <w:vAlign w:val="center"/>
          </w:tcPr>
          <w:p w14:paraId="2733679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$10,764</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7A19FC8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$10,548</w:t>
            </w:r>
          </w:p>
        </w:tc>
      </w:tr>
    </w:tbl>
    <w:p w14:paraId="0E70785D" w14:textId="77777777" w:rsidR="00F303E0" w:rsidRPr="00EE5714" w:rsidRDefault="00F303E0" w:rsidP="00F303E0">
      <w:pPr>
        <w:pStyle w:val="NoSpacing"/>
        <w:rPr>
          <w:rFonts w:cs="Times New Roman"/>
          <w:szCs w:val="26"/>
        </w:rPr>
      </w:pPr>
    </w:p>
    <w:p w14:paraId="0BC635CB" w14:textId="77777777" w:rsidR="00F303E0" w:rsidRPr="00EE5714" w:rsidRDefault="00F303E0" w:rsidP="00F303E0">
      <w:pPr>
        <w:pStyle w:val="NoSpacing"/>
        <w:rPr>
          <w:rFonts w:cs="Times New Roman"/>
          <w:szCs w:val="26"/>
        </w:rPr>
      </w:pPr>
    </w:p>
    <w:p w14:paraId="4E0A7474" w14:textId="77777777" w:rsidR="00F303E0" w:rsidRPr="00EE5714" w:rsidRDefault="00F857A1" w:rsidP="00F303E0">
      <w:pPr>
        <w:pStyle w:val="NoSpacing"/>
        <w:keepNext/>
        <w:rPr>
          <w:rFonts w:cs="Times New Roman"/>
          <w:szCs w:val="26"/>
        </w:rPr>
      </w:pPr>
      <w:r w:rsidRPr="00EE5714">
        <w:rPr>
          <w:rFonts w:cs="Times New Roman"/>
          <w:szCs w:val="26"/>
        </w:rPr>
        <w:t>Appendix 3</w:t>
      </w:r>
      <w:r w:rsidR="00F303E0" w:rsidRPr="00EE5714">
        <w:rPr>
          <w:rFonts w:cs="Times New Roman"/>
          <w:szCs w:val="26"/>
        </w:rPr>
        <w:t>.A.</w:t>
      </w:r>
      <w:r w:rsidR="001225B1" w:rsidRPr="00EE5714">
        <w:rPr>
          <w:rFonts w:cs="Times New Roman"/>
          <w:szCs w:val="26"/>
        </w:rPr>
        <w:t>8</w:t>
      </w:r>
      <w:r w:rsidR="00F303E0" w:rsidRPr="00EE5714">
        <w:rPr>
          <w:rFonts w:cs="Times New Roman"/>
          <w:szCs w:val="26"/>
        </w:rPr>
        <w:t xml:space="preserve">: </w:t>
      </w:r>
      <w:r w:rsidR="00F303E0" w:rsidRPr="00EE5714">
        <w:rPr>
          <w:rFonts w:eastAsia="Times New Roman" w:cs="Times New Roman"/>
          <w:b/>
          <w:bCs/>
          <w:color w:val="000000"/>
          <w:szCs w:val="26"/>
        </w:rPr>
        <w:t>NGDC CAP LIHEAP Recipients at 101-150% FPIG</w:t>
      </w:r>
    </w:p>
    <w:tbl>
      <w:tblPr>
        <w:tblW w:w="10080" w:type="dxa"/>
        <w:tblInd w:w="-280" w:type="dxa"/>
        <w:tblLayout w:type="fixed"/>
        <w:tblLook w:val="04A0" w:firstRow="1" w:lastRow="0" w:firstColumn="1" w:lastColumn="0" w:noHBand="0" w:noVBand="1"/>
      </w:tblPr>
      <w:tblGrid>
        <w:gridCol w:w="1158"/>
        <w:gridCol w:w="1149"/>
        <w:gridCol w:w="1149"/>
        <w:gridCol w:w="1149"/>
        <w:gridCol w:w="1245"/>
        <w:gridCol w:w="1053"/>
        <w:gridCol w:w="1149"/>
        <w:gridCol w:w="1038"/>
        <w:gridCol w:w="990"/>
      </w:tblGrid>
      <w:tr w:rsidR="00F303E0" w:rsidRPr="00EE5714" w14:paraId="7ACEDD1B" w14:textId="77777777" w:rsidTr="00463B0B">
        <w:trPr>
          <w:trHeight w:val="300"/>
        </w:trPr>
        <w:tc>
          <w:tcPr>
            <w:tcW w:w="10080" w:type="dxa"/>
            <w:gridSpan w:val="9"/>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02225977"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NGDC CAP LIHEAP Recipients at 101-150% FPIG</w:t>
            </w:r>
          </w:p>
        </w:tc>
      </w:tr>
      <w:tr w:rsidR="00F303E0" w:rsidRPr="00EE5714" w14:paraId="1F3EADCA" w14:textId="77777777" w:rsidTr="00463B0B">
        <w:trPr>
          <w:trHeight w:val="300"/>
        </w:trPr>
        <w:tc>
          <w:tcPr>
            <w:tcW w:w="1158"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6D053B76" w14:textId="77777777" w:rsidR="00F303E0" w:rsidRPr="00EE5714" w:rsidRDefault="00F303E0" w:rsidP="00851815">
            <w:pPr>
              <w:keepNext/>
              <w:rPr>
                <w:rFonts w:ascii="Calibri" w:eastAsia="Times New Roman" w:hAnsi="Calibri" w:cs="Calibri"/>
                <w:color w:val="000000"/>
              </w:rPr>
            </w:pPr>
            <w:r w:rsidRPr="00EE5714">
              <w:rPr>
                <w:rFonts w:ascii="Calibri" w:eastAsia="Times New Roman" w:hAnsi="Calibri" w:cs="Calibri"/>
                <w:color w:val="000000"/>
              </w:rPr>
              <w:t> </w:t>
            </w:r>
          </w:p>
        </w:tc>
        <w:tc>
          <w:tcPr>
            <w:tcW w:w="4692" w:type="dxa"/>
            <w:gridSpan w:val="4"/>
            <w:tcBorders>
              <w:top w:val="single" w:sz="12" w:space="0" w:color="000000"/>
              <w:left w:val="single" w:sz="12" w:space="0" w:color="000000"/>
              <w:bottom w:val="single" w:sz="4" w:space="0" w:color="000000"/>
              <w:right w:val="single" w:sz="12" w:space="0" w:color="000000"/>
            </w:tcBorders>
            <w:shd w:val="clear" w:color="auto" w:fill="auto"/>
            <w:noWrap/>
            <w:vAlign w:val="bottom"/>
            <w:hideMark/>
          </w:tcPr>
          <w:p w14:paraId="7CC708F0"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Average CAP Bill</w:t>
            </w:r>
          </w:p>
        </w:tc>
        <w:tc>
          <w:tcPr>
            <w:tcW w:w="4230" w:type="dxa"/>
            <w:gridSpan w:val="4"/>
            <w:tcBorders>
              <w:top w:val="single" w:sz="12" w:space="0" w:color="000000"/>
              <w:left w:val="single" w:sz="12" w:space="0" w:color="000000"/>
              <w:bottom w:val="single" w:sz="4" w:space="0" w:color="000000"/>
              <w:right w:val="single" w:sz="12" w:space="0" w:color="000000"/>
            </w:tcBorders>
            <w:vAlign w:val="bottom"/>
          </w:tcPr>
          <w:p w14:paraId="7AAECEC1"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Average LIHEAP Dollars Applied</w:t>
            </w:r>
          </w:p>
        </w:tc>
      </w:tr>
      <w:tr w:rsidR="00F303E0" w:rsidRPr="00EE5714" w14:paraId="35D269DA" w14:textId="77777777" w:rsidTr="00463B0B">
        <w:trPr>
          <w:trHeight w:val="274"/>
        </w:trPr>
        <w:tc>
          <w:tcPr>
            <w:tcW w:w="1158" w:type="dxa"/>
            <w:tcBorders>
              <w:top w:val="nil"/>
              <w:left w:val="single" w:sz="8" w:space="0" w:color="000000"/>
              <w:bottom w:val="single" w:sz="4" w:space="0" w:color="000000"/>
              <w:right w:val="single" w:sz="12" w:space="0" w:color="000000"/>
            </w:tcBorders>
            <w:shd w:val="clear" w:color="auto" w:fill="auto"/>
            <w:noWrap/>
            <w:vAlign w:val="bottom"/>
            <w:hideMark/>
          </w:tcPr>
          <w:p w14:paraId="429DD29C" w14:textId="77777777" w:rsidR="00F303E0" w:rsidRPr="00EE5714" w:rsidRDefault="00F303E0" w:rsidP="00851815">
            <w:pPr>
              <w:keepNext/>
              <w:rPr>
                <w:rFonts w:ascii="Calibri" w:eastAsia="Times New Roman" w:hAnsi="Calibri" w:cs="Calibri"/>
                <w:color w:val="000000"/>
                <w:sz w:val="21"/>
                <w:szCs w:val="21"/>
              </w:rPr>
            </w:pPr>
          </w:p>
        </w:tc>
        <w:tc>
          <w:tcPr>
            <w:tcW w:w="1149"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3BA5754D"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49"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591E184"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149"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88556EC"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245" w:type="dxa"/>
            <w:tcBorders>
              <w:top w:val="nil"/>
              <w:left w:val="nil"/>
              <w:bottom w:val="single" w:sz="4" w:space="0" w:color="000000"/>
              <w:right w:val="single" w:sz="12" w:space="0" w:color="000000"/>
            </w:tcBorders>
            <w:shd w:val="clear" w:color="auto" w:fill="F2F2F2" w:themeFill="background1" w:themeFillShade="F2"/>
            <w:noWrap/>
            <w:vAlign w:val="bottom"/>
            <w:hideMark/>
          </w:tcPr>
          <w:p w14:paraId="0E649100"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053" w:type="dxa"/>
            <w:tcBorders>
              <w:top w:val="nil"/>
              <w:left w:val="single" w:sz="12" w:space="0" w:color="000000"/>
              <w:bottom w:val="single" w:sz="4" w:space="0" w:color="000000"/>
              <w:right w:val="single" w:sz="8" w:space="0" w:color="000000"/>
            </w:tcBorders>
            <w:shd w:val="clear" w:color="auto" w:fill="F2F2F2" w:themeFill="background1" w:themeFillShade="F2"/>
            <w:vAlign w:val="bottom"/>
          </w:tcPr>
          <w:p w14:paraId="431B6ABE"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49" w:type="dxa"/>
            <w:tcBorders>
              <w:top w:val="nil"/>
              <w:left w:val="nil"/>
              <w:bottom w:val="single" w:sz="4" w:space="0" w:color="000000"/>
              <w:right w:val="single" w:sz="8" w:space="0" w:color="000000"/>
            </w:tcBorders>
            <w:shd w:val="clear" w:color="auto" w:fill="F2F2F2" w:themeFill="background1" w:themeFillShade="F2"/>
            <w:vAlign w:val="bottom"/>
          </w:tcPr>
          <w:p w14:paraId="0DDAC847"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38" w:type="dxa"/>
            <w:tcBorders>
              <w:top w:val="nil"/>
              <w:left w:val="nil"/>
              <w:bottom w:val="single" w:sz="4" w:space="0" w:color="000000"/>
              <w:right w:val="single" w:sz="8" w:space="0" w:color="000000"/>
            </w:tcBorders>
            <w:shd w:val="clear" w:color="auto" w:fill="F2F2F2" w:themeFill="background1" w:themeFillShade="F2"/>
            <w:vAlign w:val="bottom"/>
          </w:tcPr>
          <w:p w14:paraId="1D4209B0"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90" w:type="dxa"/>
            <w:tcBorders>
              <w:top w:val="nil"/>
              <w:left w:val="nil"/>
              <w:bottom w:val="single" w:sz="4" w:space="0" w:color="000000"/>
              <w:right w:val="single" w:sz="12" w:space="0" w:color="000000"/>
            </w:tcBorders>
            <w:shd w:val="clear" w:color="auto" w:fill="F2F2F2" w:themeFill="background1" w:themeFillShade="F2"/>
            <w:vAlign w:val="bottom"/>
          </w:tcPr>
          <w:p w14:paraId="097A59C4"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0A7B1063" w14:textId="77777777" w:rsidTr="00463B0B">
        <w:trPr>
          <w:trHeight w:hRule="exact" w:val="245"/>
        </w:trPr>
        <w:tc>
          <w:tcPr>
            <w:tcW w:w="1158" w:type="dxa"/>
            <w:tcBorders>
              <w:top w:val="nil"/>
              <w:left w:val="single" w:sz="8" w:space="0" w:color="000000"/>
              <w:bottom w:val="single" w:sz="4" w:space="0" w:color="000000"/>
              <w:right w:val="single" w:sz="12" w:space="0" w:color="000000"/>
            </w:tcBorders>
            <w:shd w:val="clear" w:color="auto" w:fill="auto"/>
            <w:noWrap/>
            <w:vAlign w:val="bottom"/>
            <w:hideMark/>
          </w:tcPr>
          <w:p w14:paraId="6433AC21"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1149" w:type="dxa"/>
            <w:tcBorders>
              <w:top w:val="nil"/>
              <w:left w:val="single" w:sz="12" w:space="0" w:color="000000"/>
              <w:bottom w:val="single" w:sz="4" w:space="0" w:color="000000"/>
              <w:right w:val="single" w:sz="4" w:space="0" w:color="000000"/>
            </w:tcBorders>
            <w:shd w:val="clear" w:color="auto" w:fill="auto"/>
            <w:noWrap/>
            <w:vAlign w:val="center"/>
          </w:tcPr>
          <w:p w14:paraId="2D5F695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$1,104.06</w:t>
            </w:r>
          </w:p>
        </w:tc>
        <w:tc>
          <w:tcPr>
            <w:tcW w:w="1149" w:type="dxa"/>
            <w:tcBorders>
              <w:top w:val="nil"/>
              <w:left w:val="nil"/>
              <w:bottom w:val="single" w:sz="4" w:space="0" w:color="000000"/>
              <w:right w:val="single" w:sz="4" w:space="0" w:color="000000"/>
            </w:tcBorders>
            <w:shd w:val="clear" w:color="auto" w:fill="auto"/>
            <w:noWrap/>
            <w:vAlign w:val="center"/>
          </w:tcPr>
          <w:p w14:paraId="405847E1"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$1,222.55</w:t>
            </w:r>
          </w:p>
        </w:tc>
        <w:tc>
          <w:tcPr>
            <w:tcW w:w="1149" w:type="dxa"/>
            <w:tcBorders>
              <w:top w:val="nil"/>
              <w:left w:val="nil"/>
              <w:bottom w:val="single" w:sz="4" w:space="0" w:color="000000"/>
              <w:right w:val="single" w:sz="4" w:space="0" w:color="000000"/>
            </w:tcBorders>
            <w:shd w:val="clear" w:color="auto" w:fill="auto"/>
            <w:noWrap/>
            <w:vAlign w:val="center"/>
          </w:tcPr>
          <w:p w14:paraId="15CA5B75"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$1,117.46</w:t>
            </w:r>
          </w:p>
        </w:tc>
        <w:tc>
          <w:tcPr>
            <w:tcW w:w="1245" w:type="dxa"/>
            <w:tcBorders>
              <w:top w:val="nil"/>
              <w:left w:val="nil"/>
              <w:bottom w:val="single" w:sz="4" w:space="0" w:color="000000"/>
              <w:right w:val="single" w:sz="12" w:space="0" w:color="000000"/>
            </w:tcBorders>
            <w:shd w:val="clear" w:color="auto" w:fill="auto"/>
            <w:noWrap/>
            <w:vAlign w:val="center"/>
          </w:tcPr>
          <w:p w14:paraId="0F234D61"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$883.47</w:t>
            </w:r>
          </w:p>
        </w:tc>
        <w:tc>
          <w:tcPr>
            <w:tcW w:w="1053" w:type="dxa"/>
            <w:tcBorders>
              <w:top w:val="nil"/>
              <w:left w:val="single" w:sz="12" w:space="0" w:color="000000"/>
              <w:bottom w:val="single" w:sz="4" w:space="0" w:color="000000"/>
              <w:right w:val="single" w:sz="8" w:space="0" w:color="000000"/>
            </w:tcBorders>
            <w:vAlign w:val="center"/>
          </w:tcPr>
          <w:p w14:paraId="585C4CB7"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$136.28</w:t>
            </w:r>
          </w:p>
        </w:tc>
        <w:tc>
          <w:tcPr>
            <w:tcW w:w="1149" w:type="dxa"/>
            <w:tcBorders>
              <w:top w:val="nil"/>
              <w:left w:val="nil"/>
              <w:bottom w:val="single" w:sz="4" w:space="0" w:color="000000"/>
              <w:right w:val="single" w:sz="8" w:space="0" w:color="000000"/>
            </w:tcBorders>
            <w:vAlign w:val="center"/>
          </w:tcPr>
          <w:p w14:paraId="67F7F77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$166.96</w:t>
            </w:r>
          </w:p>
        </w:tc>
        <w:tc>
          <w:tcPr>
            <w:tcW w:w="1038" w:type="dxa"/>
            <w:tcBorders>
              <w:top w:val="nil"/>
              <w:left w:val="nil"/>
              <w:bottom w:val="single" w:sz="4" w:space="0" w:color="000000"/>
              <w:right w:val="single" w:sz="8" w:space="0" w:color="000000"/>
            </w:tcBorders>
            <w:vAlign w:val="center"/>
          </w:tcPr>
          <w:p w14:paraId="2EDCD0FE"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$162.08</w:t>
            </w:r>
          </w:p>
        </w:tc>
        <w:tc>
          <w:tcPr>
            <w:tcW w:w="990" w:type="dxa"/>
            <w:tcBorders>
              <w:top w:val="nil"/>
              <w:left w:val="nil"/>
              <w:bottom w:val="single" w:sz="4" w:space="0" w:color="000000"/>
              <w:right w:val="single" w:sz="12" w:space="0" w:color="000000"/>
            </w:tcBorders>
            <w:vAlign w:val="center"/>
          </w:tcPr>
          <w:p w14:paraId="684A6E6C"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$282.96</w:t>
            </w:r>
          </w:p>
        </w:tc>
      </w:tr>
      <w:tr w:rsidR="00F303E0" w:rsidRPr="00EE5714" w14:paraId="50D802CA" w14:textId="77777777" w:rsidTr="00463B0B">
        <w:trPr>
          <w:trHeight w:hRule="exact" w:val="245"/>
        </w:trPr>
        <w:tc>
          <w:tcPr>
            <w:tcW w:w="1158" w:type="dxa"/>
            <w:tcBorders>
              <w:top w:val="nil"/>
              <w:left w:val="single" w:sz="8" w:space="0" w:color="000000"/>
              <w:bottom w:val="single" w:sz="4" w:space="0" w:color="000000"/>
              <w:right w:val="single" w:sz="12" w:space="0" w:color="000000"/>
            </w:tcBorders>
            <w:shd w:val="clear" w:color="auto" w:fill="auto"/>
            <w:noWrap/>
            <w:vAlign w:val="bottom"/>
          </w:tcPr>
          <w:p w14:paraId="2E304FB4"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w:t>
            </w:r>
          </w:p>
        </w:tc>
        <w:tc>
          <w:tcPr>
            <w:tcW w:w="1149" w:type="dxa"/>
            <w:tcBorders>
              <w:top w:val="nil"/>
              <w:left w:val="single" w:sz="12" w:space="0" w:color="000000"/>
              <w:bottom w:val="single" w:sz="4" w:space="0" w:color="000000"/>
              <w:right w:val="single" w:sz="4" w:space="0" w:color="000000"/>
            </w:tcBorders>
            <w:shd w:val="clear" w:color="auto" w:fill="auto"/>
            <w:noWrap/>
            <w:vAlign w:val="center"/>
          </w:tcPr>
          <w:p w14:paraId="0E6E668A"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$1,303.82</w:t>
            </w:r>
          </w:p>
        </w:tc>
        <w:tc>
          <w:tcPr>
            <w:tcW w:w="1149" w:type="dxa"/>
            <w:tcBorders>
              <w:top w:val="nil"/>
              <w:left w:val="nil"/>
              <w:bottom w:val="single" w:sz="4" w:space="0" w:color="000000"/>
              <w:right w:val="single" w:sz="4" w:space="0" w:color="000000"/>
            </w:tcBorders>
            <w:shd w:val="clear" w:color="auto" w:fill="auto"/>
            <w:noWrap/>
            <w:vAlign w:val="center"/>
          </w:tcPr>
          <w:p w14:paraId="3C606DD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$1,390.92</w:t>
            </w:r>
          </w:p>
        </w:tc>
        <w:tc>
          <w:tcPr>
            <w:tcW w:w="1149" w:type="dxa"/>
            <w:tcBorders>
              <w:top w:val="nil"/>
              <w:left w:val="nil"/>
              <w:bottom w:val="single" w:sz="4" w:space="0" w:color="000000"/>
              <w:right w:val="single" w:sz="4" w:space="0" w:color="000000"/>
            </w:tcBorders>
            <w:shd w:val="clear" w:color="auto" w:fill="auto"/>
            <w:noWrap/>
            <w:vAlign w:val="center"/>
          </w:tcPr>
          <w:p w14:paraId="5A61887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$1,051.64</w:t>
            </w:r>
          </w:p>
        </w:tc>
        <w:tc>
          <w:tcPr>
            <w:tcW w:w="1245" w:type="dxa"/>
            <w:tcBorders>
              <w:top w:val="nil"/>
              <w:left w:val="nil"/>
              <w:bottom w:val="single" w:sz="4" w:space="0" w:color="000000"/>
              <w:right w:val="single" w:sz="12" w:space="0" w:color="000000"/>
            </w:tcBorders>
            <w:shd w:val="clear" w:color="auto" w:fill="auto"/>
            <w:noWrap/>
            <w:vAlign w:val="center"/>
          </w:tcPr>
          <w:p w14:paraId="6ABC6CFB"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$954.72</w:t>
            </w:r>
          </w:p>
        </w:tc>
        <w:tc>
          <w:tcPr>
            <w:tcW w:w="1053" w:type="dxa"/>
            <w:tcBorders>
              <w:top w:val="nil"/>
              <w:left w:val="single" w:sz="12" w:space="0" w:color="000000"/>
              <w:bottom w:val="single" w:sz="4" w:space="0" w:color="000000"/>
              <w:right w:val="single" w:sz="8" w:space="0" w:color="000000"/>
            </w:tcBorders>
            <w:vAlign w:val="center"/>
          </w:tcPr>
          <w:p w14:paraId="59ADC4C8"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$209.01</w:t>
            </w:r>
          </w:p>
        </w:tc>
        <w:tc>
          <w:tcPr>
            <w:tcW w:w="1149" w:type="dxa"/>
            <w:tcBorders>
              <w:top w:val="nil"/>
              <w:left w:val="nil"/>
              <w:bottom w:val="single" w:sz="4" w:space="0" w:color="000000"/>
              <w:right w:val="single" w:sz="8" w:space="0" w:color="000000"/>
            </w:tcBorders>
            <w:vAlign w:val="center"/>
          </w:tcPr>
          <w:p w14:paraId="7A630033"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$221.78</w:t>
            </w:r>
          </w:p>
        </w:tc>
        <w:tc>
          <w:tcPr>
            <w:tcW w:w="1038" w:type="dxa"/>
            <w:tcBorders>
              <w:top w:val="nil"/>
              <w:left w:val="nil"/>
              <w:bottom w:val="single" w:sz="4" w:space="0" w:color="000000"/>
              <w:right w:val="single" w:sz="8" w:space="0" w:color="000000"/>
            </w:tcBorders>
            <w:vAlign w:val="center"/>
          </w:tcPr>
          <w:p w14:paraId="430B92AC"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$227.28</w:t>
            </w:r>
          </w:p>
        </w:tc>
        <w:tc>
          <w:tcPr>
            <w:tcW w:w="990" w:type="dxa"/>
            <w:tcBorders>
              <w:top w:val="nil"/>
              <w:left w:val="nil"/>
              <w:bottom w:val="single" w:sz="4" w:space="0" w:color="000000"/>
              <w:right w:val="single" w:sz="12" w:space="0" w:color="000000"/>
            </w:tcBorders>
            <w:vAlign w:val="center"/>
          </w:tcPr>
          <w:p w14:paraId="2E06AAED"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$313.89</w:t>
            </w:r>
          </w:p>
        </w:tc>
      </w:tr>
      <w:tr w:rsidR="00F303E0" w:rsidRPr="00EE5714" w14:paraId="27B3CC41" w14:textId="77777777" w:rsidTr="00463B0B">
        <w:trPr>
          <w:trHeight w:hRule="exact" w:val="550"/>
        </w:trPr>
        <w:tc>
          <w:tcPr>
            <w:tcW w:w="1158" w:type="dxa"/>
            <w:tcBorders>
              <w:top w:val="nil"/>
              <w:left w:val="single" w:sz="8" w:space="0" w:color="000000"/>
              <w:bottom w:val="single" w:sz="4" w:space="0" w:color="000000"/>
              <w:right w:val="single" w:sz="12" w:space="0" w:color="000000"/>
            </w:tcBorders>
            <w:shd w:val="clear" w:color="auto" w:fill="auto"/>
            <w:noWrap/>
            <w:vAlign w:val="bottom"/>
          </w:tcPr>
          <w:p w14:paraId="09EFDE2C"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 EQT</w:t>
            </w:r>
          </w:p>
        </w:tc>
        <w:tc>
          <w:tcPr>
            <w:tcW w:w="1149" w:type="dxa"/>
            <w:tcBorders>
              <w:top w:val="nil"/>
              <w:left w:val="single" w:sz="12" w:space="0" w:color="000000"/>
              <w:bottom w:val="single" w:sz="4" w:space="0" w:color="000000"/>
              <w:right w:val="single" w:sz="4" w:space="0" w:color="000000"/>
            </w:tcBorders>
            <w:shd w:val="clear" w:color="auto" w:fill="auto"/>
            <w:noWrap/>
            <w:vAlign w:val="center"/>
          </w:tcPr>
          <w:p w14:paraId="522AE8D8"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$2,158.02</w:t>
            </w:r>
          </w:p>
        </w:tc>
        <w:tc>
          <w:tcPr>
            <w:tcW w:w="1149" w:type="dxa"/>
            <w:tcBorders>
              <w:top w:val="nil"/>
              <w:left w:val="nil"/>
              <w:bottom w:val="single" w:sz="4" w:space="0" w:color="000000"/>
              <w:right w:val="single" w:sz="4" w:space="0" w:color="000000"/>
            </w:tcBorders>
            <w:shd w:val="clear" w:color="auto" w:fill="auto"/>
            <w:noWrap/>
            <w:vAlign w:val="center"/>
          </w:tcPr>
          <w:p w14:paraId="53337C69"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$1,632.71</w:t>
            </w:r>
          </w:p>
        </w:tc>
        <w:tc>
          <w:tcPr>
            <w:tcW w:w="1149" w:type="dxa"/>
            <w:tcBorders>
              <w:top w:val="nil"/>
              <w:left w:val="nil"/>
              <w:bottom w:val="single" w:sz="4" w:space="0" w:color="000000"/>
              <w:right w:val="single" w:sz="4" w:space="0" w:color="000000"/>
            </w:tcBorders>
            <w:shd w:val="clear" w:color="auto" w:fill="auto"/>
            <w:noWrap/>
            <w:vAlign w:val="center"/>
          </w:tcPr>
          <w:p w14:paraId="7938AF18"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$2,220.11</w:t>
            </w:r>
          </w:p>
        </w:tc>
        <w:tc>
          <w:tcPr>
            <w:tcW w:w="1245" w:type="dxa"/>
            <w:tcBorders>
              <w:top w:val="nil"/>
              <w:left w:val="nil"/>
              <w:bottom w:val="single" w:sz="4" w:space="0" w:color="000000"/>
              <w:right w:val="single" w:sz="12" w:space="0" w:color="000000"/>
            </w:tcBorders>
            <w:shd w:val="clear" w:color="auto" w:fill="auto"/>
            <w:noWrap/>
            <w:vAlign w:val="center"/>
          </w:tcPr>
          <w:p w14:paraId="0EA21B97"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$992.58</w:t>
            </w:r>
          </w:p>
        </w:tc>
        <w:tc>
          <w:tcPr>
            <w:tcW w:w="1053" w:type="dxa"/>
            <w:tcBorders>
              <w:top w:val="nil"/>
              <w:left w:val="single" w:sz="12" w:space="0" w:color="000000"/>
              <w:bottom w:val="single" w:sz="4" w:space="0" w:color="000000"/>
              <w:right w:val="single" w:sz="8" w:space="0" w:color="000000"/>
            </w:tcBorders>
            <w:vAlign w:val="center"/>
          </w:tcPr>
          <w:p w14:paraId="7C092AAC"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$247.98</w:t>
            </w:r>
          </w:p>
        </w:tc>
        <w:tc>
          <w:tcPr>
            <w:tcW w:w="1149" w:type="dxa"/>
            <w:tcBorders>
              <w:top w:val="nil"/>
              <w:left w:val="nil"/>
              <w:bottom w:val="single" w:sz="4" w:space="0" w:color="000000"/>
              <w:right w:val="single" w:sz="8" w:space="0" w:color="000000"/>
            </w:tcBorders>
            <w:vAlign w:val="center"/>
          </w:tcPr>
          <w:p w14:paraId="06B6F8E1"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$368.72</w:t>
            </w:r>
          </w:p>
        </w:tc>
        <w:tc>
          <w:tcPr>
            <w:tcW w:w="1038" w:type="dxa"/>
            <w:tcBorders>
              <w:top w:val="nil"/>
              <w:left w:val="nil"/>
              <w:bottom w:val="single" w:sz="4" w:space="0" w:color="000000"/>
              <w:right w:val="single" w:sz="8" w:space="0" w:color="000000"/>
            </w:tcBorders>
            <w:vAlign w:val="center"/>
          </w:tcPr>
          <w:p w14:paraId="347694E6"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$145.31</w:t>
            </w:r>
          </w:p>
        </w:tc>
        <w:tc>
          <w:tcPr>
            <w:tcW w:w="990" w:type="dxa"/>
            <w:tcBorders>
              <w:top w:val="nil"/>
              <w:left w:val="nil"/>
              <w:bottom w:val="single" w:sz="4" w:space="0" w:color="000000"/>
              <w:right w:val="single" w:sz="12" w:space="0" w:color="000000"/>
            </w:tcBorders>
            <w:vAlign w:val="center"/>
          </w:tcPr>
          <w:p w14:paraId="443B082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$309.56</w:t>
            </w:r>
          </w:p>
        </w:tc>
      </w:tr>
      <w:tr w:rsidR="00F303E0" w:rsidRPr="00EE5714" w14:paraId="764DA0CA" w14:textId="77777777" w:rsidTr="00463B0B">
        <w:trPr>
          <w:trHeight w:hRule="exact" w:val="245"/>
        </w:trPr>
        <w:tc>
          <w:tcPr>
            <w:tcW w:w="1158" w:type="dxa"/>
            <w:tcBorders>
              <w:top w:val="nil"/>
              <w:left w:val="single" w:sz="8" w:space="0" w:color="000000"/>
              <w:bottom w:val="single" w:sz="4" w:space="0" w:color="000000"/>
              <w:right w:val="single" w:sz="12" w:space="0" w:color="000000"/>
            </w:tcBorders>
            <w:shd w:val="clear" w:color="auto" w:fill="auto"/>
            <w:noWrap/>
            <w:vAlign w:val="bottom"/>
          </w:tcPr>
          <w:p w14:paraId="37AFB387"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PGW</w:t>
            </w:r>
          </w:p>
        </w:tc>
        <w:tc>
          <w:tcPr>
            <w:tcW w:w="1149" w:type="dxa"/>
            <w:tcBorders>
              <w:top w:val="nil"/>
              <w:left w:val="single" w:sz="12" w:space="0" w:color="000000"/>
              <w:bottom w:val="single" w:sz="4" w:space="0" w:color="000000"/>
              <w:right w:val="single" w:sz="4" w:space="0" w:color="000000"/>
            </w:tcBorders>
            <w:shd w:val="clear" w:color="auto" w:fill="auto"/>
            <w:noWrap/>
            <w:vAlign w:val="center"/>
          </w:tcPr>
          <w:p w14:paraId="6A871AAE"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$1,724.31</w:t>
            </w:r>
          </w:p>
        </w:tc>
        <w:tc>
          <w:tcPr>
            <w:tcW w:w="1149" w:type="dxa"/>
            <w:tcBorders>
              <w:top w:val="nil"/>
              <w:left w:val="nil"/>
              <w:bottom w:val="single" w:sz="4" w:space="0" w:color="000000"/>
              <w:right w:val="single" w:sz="4" w:space="0" w:color="000000"/>
            </w:tcBorders>
            <w:shd w:val="clear" w:color="auto" w:fill="auto"/>
            <w:noWrap/>
            <w:vAlign w:val="center"/>
          </w:tcPr>
          <w:p w14:paraId="5C1780D7"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$1,880.45</w:t>
            </w:r>
          </w:p>
        </w:tc>
        <w:tc>
          <w:tcPr>
            <w:tcW w:w="1149" w:type="dxa"/>
            <w:tcBorders>
              <w:top w:val="nil"/>
              <w:left w:val="nil"/>
              <w:bottom w:val="single" w:sz="4" w:space="0" w:color="000000"/>
              <w:right w:val="single" w:sz="4" w:space="0" w:color="000000"/>
            </w:tcBorders>
            <w:shd w:val="clear" w:color="auto" w:fill="auto"/>
            <w:noWrap/>
            <w:vAlign w:val="center"/>
          </w:tcPr>
          <w:p w14:paraId="0CB6AD12"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$1,738.53</w:t>
            </w:r>
          </w:p>
        </w:tc>
        <w:tc>
          <w:tcPr>
            <w:tcW w:w="1245" w:type="dxa"/>
            <w:tcBorders>
              <w:top w:val="nil"/>
              <w:left w:val="nil"/>
              <w:bottom w:val="single" w:sz="4" w:space="0" w:color="000000"/>
              <w:right w:val="single" w:sz="12" w:space="0" w:color="000000"/>
            </w:tcBorders>
            <w:shd w:val="clear" w:color="auto" w:fill="auto"/>
            <w:noWrap/>
            <w:vAlign w:val="center"/>
          </w:tcPr>
          <w:p w14:paraId="571A53C5"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$1,649.20</w:t>
            </w:r>
          </w:p>
        </w:tc>
        <w:tc>
          <w:tcPr>
            <w:tcW w:w="1053" w:type="dxa"/>
            <w:tcBorders>
              <w:top w:val="nil"/>
              <w:left w:val="single" w:sz="12" w:space="0" w:color="000000"/>
              <w:bottom w:val="single" w:sz="4" w:space="0" w:color="000000"/>
              <w:right w:val="single" w:sz="8" w:space="0" w:color="000000"/>
            </w:tcBorders>
            <w:vAlign w:val="center"/>
          </w:tcPr>
          <w:p w14:paraId="280C8A4E"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$288.36</w:t>
            </w:r>
          </w:p>
        </w:tc>
        <w:tc>
          <w:tcPr>
            <w:tcW w:w="1149" w:type="dxa"/>
            <w:tcBorders>
              <w:top w:val="nil"/>
              <w:left w:val="nil"/>
              <w:bottom w:val="single" w:sz="4" w:space="0" w:color="000000"/>
              <w:right w:val="single" w:sz="8" w:space="0" w:color="000000"/>
            </w:tcBorders>
            <w:vAlign w:val="center"/>
          </w:tcPr>
          <w:p w14:paraId="04228EBB"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$272.92</w:t>
            </w:r>
          </w:p>
        </w:tc>
        <w:tc>
          <w:tcPr>
            <w:tcW w:w="1038" w:type="dxa"/>
            <w:tcBorders>
              <w:top w:val="nil"/>
              <w:left w:val="nil"/>
              <w:bottom w:val="single" w:sz="4" w:space="0" w:color="000000"/>
              <w:right w:val="single" w:sz="8" w:space="0" w:color="000000"/>
            </w:tcBorders>
            <w:vAlign w:val="center"/>
          </w:tcPr>
          <w:p w14:paraId="3CCA5ED8"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$298.92</w:t>
            </w:r>
          </w:p>
        </w:tc>
        <w:tc>
          <w:tcPr>
            <w:tcW w:w="990" w:type="dxa"/>
            <w:tcBorders>
              <w:top w:val="nil"/>
              <w:left w:val="nil"/>
              <w:bottom w:val="single" w:sz="4" w:space="0" w:color="000000"/>
              <w:right w:val="single" w:sz="12" w:space="0" w:color="000000"/>
            </w:tcBorders>
            <w:vAlign w:val="center"/>
          </w:tcPr>
          <w:p w14:paraId="3AA5662D"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$342.69</w:t>
            </w:r>
          </w:p>
        </w:tc>
      </w:tr>
    </w:tbl>
    <w:p w14:paraId="1B1E5A6C" w14:textId="77777777" w:rsidR="00F303E0" w:rsidRPr="00EE5714" w:rsidRDefault="00F303E0" w:rsidP="00F303E0">
      <w:pPr>
        <w:pStyle w:val="NoSpacing"/>
        <w:rPr>
          <w:rFonts w:cs="Times New Roman"/>
          <w:szCs w:val="26"/>
        </w:rPr>
      </w:pPr>
    </w:p>
    <w:p w14:paraId="767FB095" w14:textId="77777777" w:rsidR="00F303E0" w:rsidRPr="00EE5714" w:rsidRDefault="00F303E0" w:rsidP="00F303E0">
      <w:pPr>
        <w:pStyle w:val="NoSpacing"/>
        <w:rPr>
          <w:rFonts w:cs="Times New Roman"/>
          <w:szCs w:val="26"/>
        </w:rPr>
      </w:pPr>
    </w:p>
    <w:p w14:paraId="1BA62BAF" w14:textId="77777777" w:rsidR="00F303E0" w:rsidRPr="00EE5714" w:rsidRDefault="00F857A1" w:rsidP="00655CB6">
      <w:pPr>
        <w:pStyle w:val="NoSpacing"/>
        <w:keepNext/>
        <w:keepLines/>
        <w:rPr>
          <w:rFonts w:cs="Times New Roman"/>
          <w:szCs w:val="26"/>
        </w:rPr>
      </w:pPr>
      <w:r w:rsidRPr="00EE5714">
        <w:rPr>
          <w:rFonts w:cs="Times New Roman"/>
          <w:szCs w:val="26"/>
        </w:rPr>
        <w:t>Appendix 3</w:t>
      </w:r>
      <w:r w:rsidR="00F303E0" w:rsidRPr="00EE5714">
        <w:rPr>
          <w:rFonts w:cs="Times New Roman"/>
          <w:szCs w:val="26"/>
        </w:rPr>
        <w:t>.A.</w:t>
      </w:r>
      <w:r w:rsidR="001225B1" w:rsidRPr="00EE5714">
        <w:rPr>
          <w:rFonts w:cs="Times New Roman"/>
          <w:szCs w:val="26"/>
        </w:rPr>
        <w:t>9</w:t>
      </w:r>
      <w:r w:rsidR="00F303E0" w:rsidRPr="00EE5714">
        <w:rPr>
          <w:rFonts w:cs="Times New Roman"/>
          <w:szCs w:val="26"/>
        </w:rPr>
        <w:t xml:space="preserve">: </w:t>
      </w:r>
      <w:r w:rsidR="00F303E0" w:rsidRPr="00EE5714">
        <w:rPr>
          <w:rFonts w:eastAsia="Times New Roman" w:cs="Times New Roman"/>
          <w:b/>
          <w:bCs/>
          <w:color w:val="000000"/>
          <w:szCs w:val="26"/>
        </w:rPr>
        <w:t>NGDC CAP LIHEAP Recipients – Average Annual CAP Income</w:t>
      </w:r>
      <w:r w:rsidR="00F303E0" w:rsidRPr="00EE5714" w:rsidDel="00775663">
        <w:rPr>
          <w:rFonts w:eastAsia="Times New Roman" w:cs="Times New Roman"/>
          <w:b/>
          <w:bCs/>
          <w:color w:val="000000"/>
          <w:szCs w:val="26"/>
        </w:rPr>
        <w:t xml:space="preserve"> </w:t>
      </w:r>
      <w:r w:rsidR="00F303E0" w:rsidRPr="00EE5714">
        <w:rPr>
          <w:rFonts w:eastAsia="Times New Roman" w:cs="Times New Roman"/>
          <w:b/>
          <w:bCs/>
          <w:color w:val="000000"/>
          <w:szCs w:val="26"/>
        </w:rPr>
        <w:t>at 101-150% FPIG</w:t>
      </w:r>
    </w:p>
    <w:tbl>
      <w:tblPr>
        <w:tblW w:w="10080" w:type="dxa"/>
        <w:tblInd w:w="-280" w:type="dxa"/>
        <w:tblLayout w:type="fixed"/>
        <w:tblLook w:val="04A0" w:firstRow="1" w:lastRow="0" w:firstColumn="1" w:lastColumn="0" w:noHBand="0" w:noVBand="1"/>
      </w:tblPr>
      <w:tblGrid>
        <w:gridCol w:w="1170"/>
        <w:gridCol w:w="2295"/>
        <w:gridCol w:w="2295"/>
        <w:gridCol w:w="2295"/>
        <w:gridCol w:w="2025"/>
      </w:tblGrid>
      <w:tr w:rsidR="00F303E0" w:rsidRPr="00EE5714" w14:paraId="37C59E53" w14:textId="77777777" w:rsidTr="00463B0B">
        <w:trPr>
          <w:trHeight w:val="300"/>
        </w:trPr>
        <w:tc>
          <w:tcPr>
            <w:tcW w:w="10080" w:type="dxa"/>
            <w:gridSpan w:val="5"/>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50E68D40" w14:textId="77777777" w:rsidR="00F303E0" w:rsidRPr="00EE5714" w:rsidRDefault="00F303E0" w:rsidP="00655CB6">
            <w:pPr>
              <w:keepNext/>
              <w:keepLines/>
              <w:jc w:val="center"/>
              <w:rPr>
                <w:rFonts w:ascii="Calibri" w:eastAsia="Times New Roman" w:hAnsi="Calibri" w:cs="Calibri"/>
                <w:b/>
                <w:bCs/>
                <w:color w:val="000000"/>
              </w:rPr>
            </w:pPr>
            <w:r w:rsidRPr="00EE5714">
              <w:rPr>
                <w:rFonts w:ascii="Calibri" w:eastAsia="Times New Roman" w:hAnsi="Calibri" w:cs="Calibri"/>
                <w:b/>
                <w:bCs/>
                <w:color w:val="000000"/>
              </w:rPr>
              <w:t>NGDC CAP LIHEAP Recipients – Average Annual CAP Income</w:t>
            </w:r>
            <w:r w:rsidRPr="00EE5714" w:rsidDel="00775663">
              <w:rPr>
                <w:rFonts w:ascii="Calibri" w:eastAsia="Times New Roman" w:hAnsi="Calibri" w:cs="Calibri"/>
                <w:b/>
                <w:bCs/>
                <w:color w:val="000000"/>
              </w:rPr>
              <w:t xml:space="preserve"> </w:t>
            </w:r>
            <w:r w:rsidRPr="00EE5714">
              <w:rPr>
                <w:rFonts w:ascii="Calibri" w:eastAsia="Times New Roman" w:hAnsi="Calibri" w:cs="Calibri"/>
                <w:b/>
                <w:bCs/>
                <w:color w:val="000000"/>
              </w:rPr>
              <w:t>at 101-150% FPIG</w:t>
            </w:r>
          </w:p>
        </w:tc>
      </w:tr>
      <w:tr w:rsidR="00F303E0" w:rsidRPr="00EE5714" w14:paraId="6E8C7C3D" w14:textId="77777777" w:rsidTr="00463B0B">
        <w:trPr>
          <w:trHeight w:val="274"/>
        </w:trPr>
        <w:tc>
          <w:tcPr>
            <w:tcW w:w="1170" w:type="dxa"/>
            <w:tcBorders>
              <w:top w:val="nil"/>
              <w:left w:val="single" w:sz="8" w:space="0" w:color="000000"/>
              <w:bottom w:val="single" w:sz="4" w:space="0" w:color="000000"/>
              <w:right w:val="single" w:sz="12" w:space="0" w:color="000000"/>
            </w:tcBorders>
            <w:shd w:val="clear" w:color="auto" w:fill="auto"/>
            <w:noWrap/>
            <w:vAlign w:val="bottom"/>
            <w:hideMark/>
          </w:tcPr>
          <w:p w14:paraId="3357BA55" w14:textId="77777777" w:rsidR="00F303E0" w:rsidRPr="00EE5714" w:rsidRDefault="00F303E0" w:rsidP="00655CB6">
            <w:pPr>
              <w:keepNext/>
              <w:keepLines/>
              <w:rPr>
                <w:rFonts w:ascii="Calibri" w:eastAsia="Times New Roman" w:hAnsi="Calibri" w:cs="Calibri"/>
                <w:color w:val="000000"/>
                <w:sz w:val="21"/>
                <w:szCs w:val="21"/>
              </w:rPr>
            </w:pPr>
          </w:p>
        </w:tc>
        <w:tc>
          <w:tcPr>
            <w:tcW w:w="2295"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47942319" w14:textId="77777777" w:rsidR="00F303E0" w:rsidRPr="00EE5714" w:rsidRDefault="00F303E0" w:rsidP="00655CB6">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2295"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9135638" w14:textId="77777777" w:rsidR="00F303E0" w:rsidRPr="00EE5714" w:rsidRDefault="00F303E0" w:rsidP="00655CB6">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2295"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15DF578C" w14:textId="77777777" w:rsidR="00F303E0" w:rsidRPr="00EE5714" w:rsidRDefault="00F303E0" w:rsidP="00655CB6">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2025"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342E47FD" w14:textId="77777777" w:rsidR="00F303E0" w:rsidRPr="00EE5714" w:rsidRDefault="00F303E0" w:rsidP="00655CB6">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1AE46A37" w14:textId="77777777" w:rsidTr="00463B0B">
        <w:trPr>
          <w:trHeight w:hRule="exact" w:val="245"/>
        </w:trPr>
        <w:tc>
          <w:tcPr>
            <w:tcW w:w="1170" w:type="dxa"/>
            <w:tcBorders>
              <w:top w:val="nil"/>
              <w:left w:val="single" w:sz="8" w:space="0" w:color="000000"/>
              <w:bottom w:val="single" w:sz="4" w:space="0" w:color="000000"/>
              <w:right w:val="single" w:sz="12" w:space="0" w:color="000000"/>
            </w:tcBorders>
            <w:shd w:val="clear" w:color="auto" w:fill="auto"/>
            <w:noWrap/>
            <w:vAlign w:val="bottom"/>
            <w:hideMark/>
          </w:tcPr>
          <w:p w14:paraId="1E872D5E" w14:textId="77777777" w:rsidR="00F303E0" w:rsidRPr="00EE5714" w:rsidRDefault="00F303E0" w:rsidP="00655CB6">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2295" w:type="dxa"/>
            <w:tcBorders>
              <w:top w:val="nil"/>
              <w:left w:val="single" w:sz="12" w:space="0" w:color="000000"/>
              <w:bottom w:val="single" w:sz="4" w:space="0" w:color="000000"/>
              <w:right w:val="single" w:sz="4" w:space="0" w:color="000000"/>
            </w:tcBorders>
            <w:shd w:val="clear" w:color="auto" w:fill="auto"/>
            <w:noWrap/>
            <w:vAlign w:val="center"/>
          </w:tcPr>
          <w:p w14:paraId="42E436B5"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$21,134</w:t>
            </w:r>
          </w:p>
        </w:tc>
        <w:tc>
          <w:tcPr>
            <w:tcW w:w="2295" w:type="dxa"/>
            <w:tcBorders>
              <w:top w:val="nil"/>
              <w:left w:val="nil"/>
              <w:bottom w:val="single" w:sz="4" w:space="0" w:color="000000"/>
              <w:right w:val="single" w:sz="4" w:space="0" w:color="000000"/>
            </w:tcBorders>
            <w:shd w:val="clear" w:color="auto" w:fill="auto"/>
            <w:noWrap/>
            <w:vAlign w:val="center"/>
          </w:tcPr>
          <w:p w14:paraId="48138323"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$21,589</w:t>
            </w:r>
          </w:p>
        </w:tc>
        <w:tc>
          <w:tcPr>
            <w:tcW w:w="2295" w:type="dxa"/>
            <w:tcBorders>
              <w:top w:val="nil"/>
              <w:left w:val="nil"/>
              <w:bottom w:val="single" w:sz="4" w:space="0" w:color="000000"/>
              <w:right w:val="single" w:sz="4" w:space="0" w:color="000000"/>
            </w:tcBorders>
            <w:shd w:val="clear" w:color="auto" w:fill="auto"/>
            <w:noWrap/>
            <w:vAlign w:val="center"/>
          </w:tcPr>
          <w:p w14:paraId="2F9AB733"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$20,943</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5D72DF11"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$21,086</w:t>
            </w:r>
          </w:p>
        </w:tc>
      </w:tr>
      <w:tr w:rsidR="00F303E0" w:rsidRPr="00EE5714" w14:paraId="51D48C1B" w14:textId="77777777" w:rsidTr="00463B0B">
        <w:trPr>
          <w:trHeight w:hRule="exact" w:val="245"/>
        </w:trPr>
        <w:tc>
          <w:tcPr>
            <w:tcW w:w="1170" w:type="dxa"/>
            <w:tcBorders>
              <w:top w:val="nil"/>
              <w:left w:val="single" w:sz="8" w:space="0" w:color="000000"/>
              <w:bottom w:val="single" w:sz="4" w:space="0" w:color="000000"/>
              <w:right w:val="single" w:sz="12" w:space="0" w:color="000000"/>
            </w:tcBorders>
            <w:shd w:val="clear" w:color="auto" w:fill="auto"/>
            <w:noWrap/>
            <w:vAlign w:val="bottom"/>
          </w:tcPr>
          <w:p w14:paraId="47CB8E0E" w14:textId="77777777" w:rsidR="00F303E0" w:rsidRPr="00EE5714" w:rsidRDefault="00F303E0" w:rsidP="00655CB6">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w:t>
            </w:r>
          </w:p>
        </w:tc>
        <w:tc>
          <w:tcPr>
            <w:tcW w:w="2295" w:type="dxa"/>
            <w:tcBorders>
              <w:top w:val="nil"/>
              <w:left w:val="single" w:sz="12" w:space="0" w:color="000000"/>
              <w:bottom w:val="single" w:sz="4" w:space="0" w:color="000000"/>
              <w:right w:val="single" w:sz="4" w:space="0" w:color="000000"/>
            </w:tcBorders>
            <w:shd w:val="clear" w:color="auto" w:fill="auto"/>
            <w:noWrap/>
            <w:vAlign w:val="center"/>
          </w:tcPr>
          <w:p w14:paraId="67159343"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$17,031</w:t>
            </w:r>
          </w:p>
        </w:tc>
        <w:tc>
          <w:tcPr>
            <w:tcW w:w="2295" w:type="dxa"/>
            <w:tcBorders>
              <w:top w:val="nil"/>
              <w:left w:val="nil"/>
              <w:bottom w:val="single" w:sz="4" w:space="0" w:color="000000"/>
              <w:right w:val="single" w:sz="4" w:space="0" w:color="000000"/>
            </w:tcBorders>
            <w:shd w:val="clear" w:color="auto" w:fill="auto"/>
            <w:noWrap/>
            <w:vAlign w:val="center"/>
          </w:tcPr>
          <w:p w14:paraId="41BF6BEC"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$17,471</w:t>
            </w:r>
          </w:p>
        </w:tc>
        <w:tc>
          <w:tcPr>
            <w:tcW w:w="2295" w:type="dxa"/>
            <w:tcBorders>
              <w:top w:val="nil"/>
              <w:left w:val="nil"/>
              <w:bottom w:val="single" w:sz="4" w:space="0" w:color="000000"/>
              <w:right w:val="single" w:sz="4" w:space="0" w:color="000000"/>
            </w:tcBorders>
            <w:shd w:val="clear" w:color="auto" w:fill="auto"/>
            <w:noWrap/>
            <w:vAlign w:val="center"/>
          </w:tcPr>
          <w:p w14:paraId="679C1CDE"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$17,656</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6B0C4C35"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$17,909</w:t>
            </w:r>
          </w:p>
        </w:tc>
      </w:tr>
      <w:tr w:rsidR="00F303E0" w:rsidRPr="00EE5714" w14:paraId="373DA8CC" w14:textId="77777777" w:rsidTr="00463B0B">
        <w:trPr>
          <w:trHeight w:hRule="exact" w:val="523"/>
        </w:trPr>
        <w:tc>
          <w:tcPr>
            <w:tcW w:w="1170" w:type="dxa"/>
            <w:tcBorders>
              <w:top w:val="nil"/>
              <w:left w:val="single" w:sz="8" w:space="0" w:color="000000"/>
              <w:bottom w:val="single" w:sz="4" w:space="0" w:color="000000"/>
              <w:right w:val="single" w:sz="12" w:space="0" w:color="000000"/>
            </w:tcBorders>
            <w:shd w:val="clear" w:color="auto" w:fill="auto"/>
            <w:noWrap/>
            <w:vAlign w:val="bottom"/>
          </w:tcPr>
          <w:p w14:paraId="620FD594" w14:textId="77777777" w:rsidR="00F303E0" w:rsidRPr="00EE5714" w:rsidRDefault="00F303E0" w:rsidP="00655CB6">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 EQT</w:t>
            </w:r>
          </w:p>
        </w:tc>
        <w:tc>
          <w:tcPr>
            <w:tcW w:w="2295" w:type="dxa"/>
            <w:tcBorders>
              <w:top w:val="nil"/>
              <w:left w:val="single" w:sz="12" w:space="0" w:color="000000"/>
              <w:bottom w:val="single" w:sz="4" w:space="0" w:color="000000"/>
              <w:right w:val="single" w:sz="4" w:space="0" w:color="000000"/>
            </w:tcBorders>
            <w:shd w:val="clear" w:color="auto" w:fill="auto"/>
            <w:noWrap/>
            <w:vAlign w:val="center"/>
          </w:tcPr>
          <w:p w14:paraId="14816C94"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$13,964</w:t>
            </w:r>
          </w:p>
        </w:tc>
        <w:tc>
          <w:tcPr>
            <w:tcW w:w="2295" w:type="dxa"/>
            <w:tcBorders>
              <w:top w:val="nil"/>
              <w:left w:val="nil"/>
              <w:bottom w:val="single" w:sz="4" w:space="0" w:color="000000"/>
              <w:right w:val="single" w:sz="4" w:space="0" w:color="000000"/>
            </w:tcBorders>
            <w:shd w:val="clear" w:color="auto" w:fill="auto"/>
            <w:noWrap/>
            <w:vAlign w:val="center"/>
          </w:tcPr>
          <w:p w14:paraId="442F2D20"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$15,822</w:t>
            </w:r>
          </w:p>
        </w:tc>
        <w:tc>
          <w:tcPr>
            <w:tcW w:w="2295" w:type="dxa"/>
            <w:tcBorders>
              <w:top w:val="nil"/>
              <w:left w:val="nil"/>
              <w:bottom w:val="single" w:sz="4" w:space="0" w:color="000000"/>
              <w:right w:val="single" w:sz="4" w:space="0" w:color="000000"/>
            </w:tcBorders>
            <w:shd w:val="clear" w:color="auto" w:fill="auto"/>
            <w:noWrap/>
            <w:vAlign w:val="center"/>
          </w:tcPr>
          <w:p w14:paraId="60E309C7"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$16,077</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00FAF961"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$16,819</w:t>
            </w:r>
          </w:p>
        </w:tc>
      </w:tr>
      <w:tr w:rsidR="00F303E0" w:rsidRPr="00EE5714" w14:paraId="18CC7832" w14:textId="77777777" w:rsidTr="00463B0B">
        <w:trPr>
          <w:trHeight w:hRule="exact" w:val="245"/>
        </w:trPr>
        <w:tc>
          <w:tcPr>
            <w:tcW w:w="1170" w:type="dxa"/>
            <w:tcBorders>
              <w:top w:val="nil"/>
              <w:left w:val="single" w:sz="8" w:space="0" w:color="000000"/>
              <w:bottom w:val="single" w:sz="4" w:space="0" w:color="000000"/>
              <w:right w:val="single" w:sz="12" w:space="0" w:color="000000"/>
            </w:tcBorders>
            <w:shd w:val="clear" w:color="auto" w:fill="auto"/>
            <w:noWrap/>
            <w:vAlign w:val="bottom"/>
          </w:tcPr>
          <w:p w14:paraId="53817A8B" w14:textId="77777777" w:rsidR="00F303E0" w:rsidRPr="00EE5714" w:rsidRDefault="00F303E0" w:rsidP="00655CB6">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PGW</w:t>
            </w:r>
          </w:p>
        </w:tc>
        <w:tc>
          <w:tcPr>
            <w:tcW w:w="2295" w:type="dxa"/>
            <w:tcBorders>
              <w:top w:val="nil"/>
              <w:left w:val="single" w:sz="12" w:space="0" w:color="000000"/>
              <w:bottom w:val="single" w:sz="4" w:space="0" w:color="000000"/>
              <w:right w:val="single" w:sz="4" w:space="0" w:color="000000"/>
            </w:tcBorders>
            <w:shd w:val="clear" w:color="auto" w:fill="auto"/>
            <w:noWrap/>
            <w:vAlign w:val="center"/>
          </w:tcPr>
          <w:p w14:paraId="29470309"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$15,204</w:t>
            </w:r>
          </w:p>
        </w:tc>
        <w:tc>
          <w:tcPr>
            <w:tcW w:w="2295" w:type="dxa"/>
            <w:tcBorders>
              <w:top w:val="nil"/>
              <w:left w:val="nil"/>
              <w:bottom w:val="single" w:sz="4" w:space="0" w:color="000000"/>
              <w:right w:val="single" w:sz="4" w:space="0" w:color="000000"/>
            </w:tcBorders>
            <w:shd w:val="clear" w:color="auto" w:fill="auto"/>
            <w:noWrap/>
            <w:vAlign w:val="center"/>
          </w:tcPr>
          <w:p w14:paraId="244C3043"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$15,264</w:t>
            </w:r>
          </w:p>
        </w:tc>
        <w:tc>
          <w:tcPr>
            <w:tcW w:w="2295" w:type="dxa"/>
            <w:tcBorders>
              <w:top w:val="nil"/>
              <w:left w:val="nil"/>
              <w:bottom w:val="single" w:sz="4" w:space="0" w:color="000000"/>
              <w:right w:val="single" w:sz="4" w:space="0" w:color="000000"/>
            </w:tcBorders>
            <w:shd w:val="clear" w:color="auto" w:fill="auto"/>
            <w:noWrap/>
            <w:vAlign w:val="center"/>
          </w:tcPr>
          <w:p w14:paraId="19E43277"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$14,904</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6270B494" w14:textId="77777777" w:rsidR="00F303E0" w:rsidRPr="00EE5714" w:rsidRDefault="00F303E0" w:rsidP="00655CB6">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$14,760</w:t>
            </w:r>
          </w:p>
        </w:tc>
      </w:tr>
    </w:tbl>
    <w:p w14:paraId="772BD540" w14:textId="77777777" w:rsidR="00F303E0" w:rsidRPr="00EE5714" w:rsidRDefault="00F303E0" w:rsidP="00F303E0">
      <w:pPr>
        <w:pStyle w:val="NoSpacing"/>
        <w:rPr>
          <w:rFonts w:cs="Times New Roman"/>
          <w:szCs w:val="26"/>
        </w:rPr>
      </w:pPr>
    </w:p>
    <w:p w14:paraId="67A0F634" w14:textId="77777777" w:rsidR="004348AA" w:rsidRPr="00EE5714" w:rsidRDefault="004348AA" w:rsidP="00F303E0">
      <w:pPr>
        <w:pStyle w:val="NoSpacing"/>
        <w:rPr>
          <w:rFonts w:cs="Times New Roman"/>
          <w:szCs w:val="26"/>
        </w:rPr>
      </w:pPr>
    </w:p>
    <w:p w14:paraId="25120FC5" w14:textId="77777777" w:rsidR="008177BE" w:rsidRPr="00EE5714" w:rsidRDefault="00F857A1" w:rsidP="006019D7">
      <w:pPr>
        <w:spacing w:after="0" w:line="240" w:lineRule="auto"/>
        <w:rPr>
          <w:rFonts w:ascii="Times New Roman" w:hAnsi="Times New Roman" w:cs="Times New Roman"/>
          <w:b/>
          <w:sz w:val="26"/>
          <w:szCs w:val="26"/>
        </w:rPr>
      </w:pPr>
      <w:r w:rsidRPr="00EE5714">
        <w:rPr>
          <w:rFonts w:ascii="Times New Roman" w:hAnsi="Times New Roman" w:cs="Times New Roman"/>
          <w:sz w:val="26"/>
          <w:szCs w:val="26"/>
        </w:rPr>
        <w:t>Appendix 3</w:t>
      </w:r>
      <w:r w:rsidR="004348AA" w:rsidRPr="00EE5714">
        <w:rPr>
          <w:rFonts w:ascii="Times New Roman" w:hAnsi="Times New Roman" w:cs="Times New Roman"/>
          <w:sz w:val="26"/>
          <w:szCs w:val="26"/>
        </w:rPr>
        <w:t>.A.</w:t>
      </w:r>
      <w:r w:rsidR="00B21301" w:rsidRPr="00EE5714">
        <w:rPr>
          <w:rFonts w:ascii="Times New Roman" w:hAnsi="Times New Roman" w:cs="Times New Roman"/>
          <w:sz w:val="26"/>
          <w:szCs w:val="26"/>
        </w:rPr>
        <w:t>10</w:t>
      </w:r>
      <w:r w:rsidR="004348AA" w:rsidRPr="00EE5714">
        <w:rPr>
          <w:rFonts w:ascii="Times New Roman" w:hAnsi="Times New Roman" w:cs="Times New Roman"/>
          <w:sz w:val="26"/>
          <w:szCs w:val="26"/>
        </w:rPr>
        <w:t xml:space="preserve">: </w:t>
      </w:r>
      <w:r w:rsidR="008177BE" w:rsidRPr="00EE5714">
        <w:rPr>
          <w:rFonts w:ascii="Times New Roman" w:hAnsi="Times New Roman" w:cs="Times New Roman"/>
          <w:b/>
          <w:sz w:val="26"/>
          <w:szCs w:val="26"/>
        </w:rPr>
        <w:t>EDC Non-Heating Energy Burden of CAP LIHEAP Recipients</w:t>
      </w:r>
      <w:r w:rsidR="008177BE" w:rsidRPr="00EE5714">
        <w:rPr>
          <w:rFonts w:ascii="Times New Roman" w:hAnsi="Times New Roman" w:cs="Times New Roman"/>
          <w:sz w:val="26"/>
          <w:szCs w:val="26"/>
        </w:rPr>
        <w:t xml:space="preserve"> </w:t>
      </w:r>
      <w:r w:rsidR="008177BE" w:rsidRPr="00EE5714">
        <w:rPr>
          <w:rFonts w:ascii="Times New Roman" w:hAnsi="Times New Roman" w:cs="Times New Roman"/>
          <w:b/>
          <w:sz w:val="26"/>
          <w:szCs w:val="26"/>
        </w:rPr>
        <w:t xml:space="preserve">at </w:t>
      </w:r>
    </w:p>
    <w:p w14:paraId="40F3BB1A" w14:textId="77777777" w:rsidR="004348AA" w:rsidRPr="00EE5714" w:rsidRDefault="008177BE" w:rsidP="006019D7">
      <w:pPr>
        <w:spacing w:after="0" w:line="240" w:lineRule="auto"/>
        <w:rPr>
          <w:rFonts w:ascii="Times New Roman" w:hAnsi="Times New Roman" w:cs="Times New Roman"/>
          <w:sz w:val="26"/>
          <w:szCs w:val="26"/>
        </w:rPr>
      </w:pPr>
      <w:r w:rsidRPr="00EE5714">
        <w:rPr>
          <w:rFonts w:ascii="Times New Roman" w:hAnsi="Times New Roman" w:cs="Times New Roman"/>
          <w:b/>
          <w:sz w:val="26"/>
          <w:szCs w:val="26"/>
        </w:rPr>
        <w:t>0-50% FPIG</w:t>
      </w:r>
    </w:p>
    <w:tbl>
      <w:tblPr>
        <w:tblW w:w="10080" w:type="dxa"/>
        <w:tblInd w:w="-280" w:type="dxa"/>
        <w:tblLayout w:type="fixed"/>
        <w:tblLook w:val="04A0" w:firstRow="1" w:lastRow="0" w:firstColumn="1" w:lastColumn="0" w:noHBand="0" w:noVBand="1"/>
      </w:tblPr>
      <w:tblGrid>
        <w:gridCol w:w="1440"/>
        <w:gridCol w:w="990"/>
        <w:gridCol w:w="1080"/>
        <w:gridCol w:w="1080"/>
        <w:gridCol w:w="1170"/>
        <w:gridCol w:w="1147"/>
        <w:gridCol w:w="1148"/>
        <w:gridCol w:w="1035"/>
        <w:gridCol w:w="990"/>
      </w:tblGrid>
      <w:tr w:rsidR="004348AA" w:rsidRPr="00EE5714" w14:paraId="63A8E488" w14:textId="77777777" w:rsidTr="00463B0B">
        <w:trPr>
          <w:trHeight w:hRule="exact" w:val="418"/>
        </w:trPr>
        <w:tc>
          <w:tcPr>
            <w:tcW w:w="10080" w:type="dxa"/>
            <w:gridSpan w:val="9"/>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tcPr>
          <w:p w14:paraId="615DB9AC" w14:textId="77777777" w:rsidR="004348AA" w:rsidRPr="00EE5714" w:rsidRDefault="004348AA" w:rsidP="004348AA">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Non-Heating Energy Burden of CAP LIHEAP Recipients at 0-50% FPIG</w:t>
            </w:r>
          </w:p>
        </w:tc>
      </w:tr>
      <w:tr w:rsidR="004348AA" w:rsidRPr="00EE5714" w14:paraId="4869A471" w14:textId="77777777" w:rsidTr="00463B0B">
        <w:trPr>
          <w:trHeight w:hRule="exact" w:val="418"/>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61542892" w14:textId="77777777" w:rsidR="004348AA" w:rsidRPr="00EE5714" w:rsidRDefault="004348AA" w:rsidP="004348AA">
            <w:pPr>
              <w:keepNext/>
              <w:keepLines/>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320" w:type="dxa"/>
            <w:gridSpan w:val="4"/>
            <w:tcBorders>
              <w:top w:val="single" w:sz="12" w:space="0" w:color="000000"/>
              <w:left w:val="single" w:sz="12" w:space="0" w:color="000000"/>
              <w:bottom w:val="single" w:sz="8" w:space="0" w:color="000000"/>
              <w:right w:val="single" w:sz="12" w:space="0" w:color="000000"/>
            </w:tcBorders>
            <w:shd w:val="clear" w:color="auto" w:fill="auto"/>
            <w:noWrap/>
            <w:hideMark/>
          </w:tcPr>
          <w:p w14:paraId="74A549D8" w14:textId="77777777" w:rsidR="004348AA" w:rsidRPr="00EE5714" w:rsidRDefault="004348AA" w:rsidP="004348AA">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Without LIHEAP Dollars Applied  </w:t>
            </w:r>
          </w:p>
        </w:tc>
        <w:tc>
          <w:tcPr>
            <w:tcW w:w="4320" w:type="dxa"/>
            <w:gridSpan w:val="4"/>
            <w:tcBorders>
              <w:top w:val="single" w:sz="12" w:space="0" w:color="000000"/>
              <w:left w:val="single" w:sz="12" w:space="0" w:color="000000"/>
              <w:bottom w:val="single" w:sz="8" w:space="0" w:color="000000"/>
              <w:right w:val="single" w:sz="12" w:space="0" w:color="000000"/>
            </w:tcBorders>
          </w:tcPr>
          <w:p w14:paraId="040ED763" w14:textId="77777777" w:rsidR="004348AA" w:rsidRPr="00EE5714" w:rsidRDefault="004348AA" w:rsidP="004348AA">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With LIHEAP Dollars Applied</w:t>
            </w:r>
          </w:p>
        </w:tc>
      </w:tr>
      <w:tr w:rsidR="00A86363" w:rsidRPr="00EE5714" w14:paraId="44735076" w14:textId="77777777" w:rsidTr="00463B0B">
        <w:trPr>
          <w:trHeight w:hRule="exact" w:val="418"/>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17D654BA" w14:textId="77777777" w:rsidR="004348AA" w:rsidRPr="00EE5714" w:rsidRDefault="004348AA" w:rsidP="004348AA">
            <w:pPr>
              <w:keepNext/>
              <w:keepLines/>
              <w:spacing w:after="0" w:line="240" w:lineRule="auto"/>
              <w:rPr>
                <w:rFonts w:ascii="Calibri" w:eastAsia="Times New Roman" w:hAnsi="Calibri" w:cs="Calibri"/>
                <w:color w:val="000000"/>
                <w:sz w:val="21"/>
                <w:szCs w:val="21"/>
              </w:rPr>
            </w:pPr>
          </w:p>
        </w:tc>
        <w:tc>
          <w:tcPr>
            <w:tcW w:w="990" w:type="dxa"/>
            <w:tcBorders>
              <w:top w:val="single" w:sz="8" w:space="0" w:color="000000"/>
              <w:left w:val="single" w:sz="12" w:space="0" w:color="000000"/>
              <w:bottom w:val="single" w:sz="8" w:space="0" w:color="000000"/>
              <w:right w:val="single" w:sz="4" w:space="0" w:color="000000"/>
            </w:tcBorders>
            <w:shd w:val="clear" w:color="auto" w:fill="F2F2F2" w:themeFill="background1" w:themeFillShade="F2"/>
            <w:noWrap/>
            <w:hideMark/>
          </w:tcPr>
          <w:p w14:paraId="147D1699" w14:textId="77777777" w:rsidR="004348AA" w:rsidRPr="00EE5714" w:rsidRDefault="004348AA" w:rsidP="004348AA">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1DD8B9CF" w14:textId="77777777" w:rsidR="004348AA" w:rsidRPr="00EE5714" w:rsidRDefault="004348AA" w:rsidP="004348AA">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1E5D05F4" w14:textId="77777777" w:rsidR="004348AA" w:rsidRPr="00EE5714" w:rsidRDefault="004348AA" w:rsidP="004348AA">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170" w:type="dxa"/>
            <w:tcBorders>
              <w:top w:val="single" w:sz="8" w:space="0" w:color="000000"/>
              <w:left w:val="nil"/>
              <w:bottom w:val="single" w:sz="8" w:space="0" w:color="000000"/>
              <w:right w:val="single" w:sz="12" w:space="0" w:color="000000"/>
            </w:tcBorders>
            <w:shd w:val="clear" w:color="auto" w:fill="F2F2F2" w:themeFill="background1" w:themeFillShade="F2"/>
            <w:noWrap/>
            <w:hideMark/>
          </w:tcPr>
          <w:p w14:paraId="71BA2D9D" w14:textId="77777777" w:rsidR="004348AA" w:rsidRPr="00EE5714" w:rsidRDefault="004348AA" w:rsidP="004348AA">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147" w:type="dxa"/>
            <w:tcBorders>
              <w:top w:val="single" w:sz="8" w:space="0" w:color="000000"/>
              <w:left w:val="single" w:sz="12" w:space="0" w:color="000000"/>
              <w:bottom w:val="single" w:sz="8" w:space="0" w:color="000000"/>
              <w:right w:val="single" w:sz="8" w:space="0" w:color="000000"/>
            </w:tcBorders>
            <w:shd w:val="clear" w:color="auto" w:fill="F2F2F2" w:themeFill="background1" w:themeFillShade="F2"/>
          </w:tcPr>
          <w:p w14:paraId="0E74E749" w14:textId="77777777" w:rsidR="004348AA" w:rsidRPr="00EE5714" w:rsidRDefault="004348AA" w:rsidP="004348AA">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48" w:type="dxa"/>
            <w:tcBorders>
              <w:top w:val="single" w:sz="8" w:space="0" w:color="000000"/>
              <w:left w:val="nil"/>
              <w:bottom w:val="single" w:sz="8" w:space="0" w:color="000000"/>
              <w:right w:val="single" w:sz="8" w:space="0" w:color="000000"/>
            </w:tcBorders>
            <w:shd w:val="clear" w:color="auto" w:fill="F2F2F2" w:themeFill="background1" w:themeFillShade="F2"/>
          </w:tcPr>
          <w:p w14:paraId="35D989C0" w14:textId="77777777" w:rsidR="004348AA" w:rsidRPr="00EE5714" w:rsidRDefault="004348AA" w:rsidP="004348AA">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35" w:type="dxa"/>
            <w:tcBorders>
              <w:top w:val="single" w:sz="8" w:space="0" w:color="000000"/>
              <w:left w:val="nil"/>
              <w:bottom w:val="single" w:sz="8" w:space="0" w:color="000000"/>
              <w:right w:val="single" w:sz="8" w:space="0" w:color="000000"/>
            </w:tcBorders>
            <w:shd w:val="clear" w:color="auto" w:fill="F2F2F2" w:themeFill="background1" w:themeFillShade="F2"/>
          </w:tcPr>
          <w:p w14:paraId="7586675C" w14:textId="77777777" w:rsidR="004348AA" w:rsidRPr="00EE5714" w:rsidRDefault="004348AA" w:rsidP="004348AA">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90" w:type="dxa"/>
            <w:tcBorders>
              <w:top w:val="single" w:sz="8" w:space="0" w:color="000000"/>
              <w:left w:val="nil"/>
              <w:bottom w:val="single" w:sz="8" w:space="0" w:color="000000"/>
              <w:right w:val="single" w:sz="12" w:space="0" w:color="000000"/>
            </w:tcBorders>
            <w:shd w:val="clear" w:color="auto" w:fill="F2F2F2" w:themeFill="background1" w:themeFillShade="F2"/>
          </w:tcPr>
          <w:p w14:paraId="403821BE" w14:textId="77777777" w:rsidR="004348AA" w:rsidRPr="00EE5714" w:rsidRDefault="004348AA" w:rsidP="004348AA">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4348AA" w:rsidRPr="00EE5714" w14:paraId="04909B89"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16E2A1ED" w14:textId="77777777" w:rsidR="004348AA" w:rsidRPr="00EE5714" w:rsidRDefault="004348AA" w:rsidP="004348AA">
            <w:pPr>
              <w:keepNext/>
              <w:keepLines/>
              <w:spacing w:after="0" w:line="240" w:lineRule="auto"/>
              <w:rPr>
                <w:rFonts w:ascii="Calibri" w:hAnsi="Calibri"/>
                <w:b/>
                <w:sz w:val="21"/>
                <w:szCs w:val="21"/>
              </w:rPr>
            </w:pPr>
            <w:r w:rsidRPr="00EE5714">
              <w:rPr>
                <w:rFonts w:ascii="Calibri" w:hAnsi="Calibri"/>
                <w:b/>
                <w:sz w:val="21"/>
                <w:szCs w:val="21"/>
              </w:rPr>
              <w:t>Duquesne</w:t>
            </w:r>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0F6AB986" w14:textId="77777777" w:rsidR="004348AA" w:rsidRPr="00EE5714" w:rsidRDefault="004348AA" w:rsidP="004348AA">
            <w:pPr>
              <w:keepNext/>
              <w:keepLines/>
              <w:spacing w:after="0" w:line="240" w:lineRule="auto"/>
              <w:jc w:val="center"/>
              <w:rPr>
                <w:rFonts w:ascii="Calibri" w:hAnsi="Calibri" w:cs="Calibri"/>
                <w:color w:val="000000"/>
                <w:sz w:val="21"/>
                <w:szCs w:val="21"/>
              </w:rPr>
            </w:pPr>
            <w:r w:rsidRPr="00EE5714">
              <w:rPr>
                <w:rFonts w:ascii="Calibri" w:eastAsia="Times New Roman" w:hAnsi="Calibri" w:cs="Times New Roman"/>
                <w:color w:val="000000"/>
                <w:sz w:val="21"/>
                <w:szCs w:val="21"/>
              </w:rPr>
              <w:t>33.21</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0C5BF48B" w14:textId="77777777" w:rsidR="004348AA" w:rsidRPr="00EE5714" w:rsidRDefault="004348AA" w:rsidP="004348AA">
            <w:pPr>
              <w:keepNext/>
              <w:keepLines/>
              <w:spacing w:after="0" w:line="240" w:lineRule="auto"/>
              <w:jc w:val="center"/>
              <w:rPr>
                <w:rFonts w:ascii="Calibri" w:hAnsi="Calibri" w:cs="Calibri"/>
                <w:color w:val="000000"/>
                <w:sz w:val="21"/>
                <w:szCs w:val="21"/>
              </w:rPr>
            </w:pPr>
            <w:r w:rsidRPr="00EE5714">
              <w:rPr>
                <w:rFonts w:ascii="Calibri" w:eastAsia="Times New Roman" w:hAnsi="Calibri" w:cs="Times New Roman"/>
                <w:color w:val="000000"/>
                <w:sz w:val="21"/>
                <w:szCs w:val="21"/>
              </w:rPr>
              <w:t>33.21</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3EC12813" w14:textId="77777777" w:rsidR="004348AA" w:rsidRPr="00EE5714" w:rsidRDefault="004348AA" w:rsidP="004348AA">
            <w:pPr>
              <w:keepNext/>
              <w:keepLines/>
              <w:spacing w:after="0" w:line="240" w:lineRule="auto"/>
              <w:jc w:val="center"/>
              <w:rPr>
                <w:rFonts w:ascii="Calibri" w:hAnsi="Calibri" w:cs="Calibri"/>
                <w:color w:val="000000"/>
                <w:sz w:val="21"/>
                <w:szCs w:val="21"/>
              </w:rPr>
            </w:pPr>
            <w:r w:rsidRPr="00EE5714">
              <w:rPr>
                <w:rFonts w:ascii="Calibri" w:eastAsia="Times New Roman" w:hAnsi="Calibri" w:cs="Times New Roman"/>
                <w:color w:val="000000"/>
                <w:sz w:val="21"/>
                <w:szCs w:val="21"/>
              </w:rPr>
              <w:t>29.83</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132B47DB" w14:textId="77777777" w:rsidR="004348AA" w:rsidRPr="00EE5714" w:rsidRDefault="004348AA" w:rsidP="004348AA">
            <w:pPr>
              <w:keepNext/>
              <w:keepLines/>
              <w:spacing w:after="0" w:line="240" w:lineRule="auto"/>
              <w:jc w:val="center"/>
              <w:rPr>
                <w:rFonts w:ascii="Calibri" w:hAnsi="Calibri" w:cs="Calibri"/>
                <w:color w:val="000000"/>
                <w:sz w:val="21"/>
                <w:szCs w:val="21"/>
              </w:rPr>
            </w:pPr>
            <w:r w:rsidRPr="00EE5714">
              <w:rPr>
                <w:rFonts w:ascii="Calibri" w:eastAsia="Times New Roman" w:hAnsi="Calibri" w:cs="Times New Roman"/>
                <w:color w:val="000000"/>
                <w:sz w:val="21"/>
                <w:szCs w:val="21"/>
              </w:rPr>
              <w:t>37.18</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7E70660F"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22.64</w:t>
            </w:r>
          </w:p>
        </w:tc>
        <w:tc>
          <w:tcPr>
            <w:tcW w:w="1148" w:type="dxa"/>
            <w:tcBorders>
              <w:top w:val="single" w:sz="8" w:space="0" w:color="000000"/>
              <w:left w:val="nil"/>
              <w:bottom w:val="single" w:sz="8" w:space="0" w:color="000000"/>
              <w:right w:val="single" w:sz="8" w:space="0" w:color="000000"/>
            </w:tcBorders>
            <w:vAlign w:val="center"/>
          </w:tcPr>
          <w:p w14:paraId="390854EC"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22.64</w:t>
            </w:r>
          </w:p>
        </w:tc>
        <w:tc>
          <w:tcPr>
            <w:tcW w:w="1035" w:type="dxa"/>
            <w:tcBorders>
              <w:top w:val="single" w:sz="8" w:space="0" w:color="000000"/>
              <w:left w:val="nil"/>
              <w:bottom w:val="single" w:sz="8" w:space="0" w:color="000000"/>
              <w:right w:val="single" w:sz="8" w:space="0" w:color="000000"/>
            </w:tcBorders>
            <w:vAlign w:val="center"/>
          </w:tcPr>
          <w:p w14:paraId="0FAEA4CC"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21.17</w:t>
            </w:r>
          </w:p>
        </w:tc>
        <w:tc>
          <w:tcPr>
            <w:tcW w:w="990" w:type="dxa"/>
            <w:tcBorders>
              <w:top w:val="single" w:sz="8" w:space="0" w:color="000000"/>
              <w:left w:val="nil"/>
              <w:bottom w:val="single" w:sz="8" w:space="0" w:color="000000"/>
              <w:right w:val="single" w:sz="12" w:space="0" w:color="000000"/>
            </w:tcBorders>
            <w:vAlign w:val="center"/>
          </w:tcPr>
          <w:p w14:paraId="39F4EF64"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24.91</w:t>
            </w:r>
          </w:p>
        </w:tc>
      </w:tr>
      <w:tr w:rsidR="004348AA" w:rsidRPr="00EE5714" w14:paraId="5C96173A"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3AAB7FD5" w14:textId="77777777" w:rsidR="004348AA" w:rsidRPr="00EE5714" w:rsidRDefault="004348AA" w:rsidP="004348AA">
            <w:pPr>
              <w:keepNext/>
              <w:keepLines/>
              <w:spacing w:after="0" w:line="240" w:lineRule="auto"/>
              <w:rPr>
                <w:rFonts w:ascii="Calibri" w:hAnsi="Calibri"/>
                <w:b/>
                <w:sz w:val="21"/>
                <w:szCs w:val="21"/>
              </w:rPr>
            </w:pPr>
            <w:r w:rsidRPr="00EE5714">
              <w:rPr>
                <w:rFonts w:ascii="Calibri" w:hAnsi="Calibri"/>
                <w:b/>
                <w:sz w:val="21"/>
                <w:szCs w:val="21"/>
              </w:rPr>
              <w:t>Met-Ed</w:t>
            </w:r>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6053D689" w14:textId="77777777" w:rsidR="004348AA" w:rsidRPr="00EE5714" w:rsidRDefault="004348AA" w:rsidP="004348A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9.44</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0B5A1C8A" w14:textId="77777777" w:rsidR="004348AA" w:rsidRPr="00EE5714" w:rsidRDefault="004348AA" w:rsidP="004348A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16.78</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1B059AA6" w14:textId="77777777" w:rsidR="004348AA" w:rsidRPr="00EE5714" w:rsidRDefault="004348AA" w:rsidP="004348A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16.59</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410A94D7" w14:textId="77777777" w:rsidR="004348AA" w:rsidRPr="00EE5714" w:rsidRDefault="004348AA" w:rsidP="004348A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16.98</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4DFCE155"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3.96</w:t>
            </w:r>
          </w:p>
        </w:tc>
        <w:tc>
          <w:tcPr>
            <w:tcW w:w="1148" w:type="dxa"/>
            <w:tcBorders>
              <w:top w:val="single" w:sz="8" w:space="0" w:color="000000"/>
              <w:left w:val="nil"/>
              <w:bottom w:val="single" w:sz="8" w:space="0" w:color="000000"/>
              <w:right w:val="single" w:sz="8" w:space="0" w:color="000000"/>
            </w:tcBorders>
            <w:vAlign w:val="center"/>
          </w:tcPr>
          <w:p w14:paraId="795D62ED"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11.78</w:t>
            </w:r>
          </w:p>
        </w:tc>
        <w:tc>
          <w:tcPr>
            <w:tcW w:w="1035" w:type="dxa"/>
            <w:tcBorders>
              <w:top w:val="single" w:sz="8" w:space="0" w:color="000000"/>
              <w:left w:val="nil"/>
              <w:bottom w:val="single" w:sz="8" w:space="0" w:color="000000"/>
              <w:right w:val="single" w:sz="8" w:space="0" w:color="000000"/>
            </w:tcBorders>
            <w:vAlign w:val="center"/>
          </w:tcPr>
          <w:p w14:paraId="0EA91144"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11.59</w:t>
            </w:r>
          </w:p>
        </w:tc>
        <w:tc>
          <w:tcPr>
            <w:tcW w:w="990" w:type="dxa"/>
            <w:tcBorders>
              <w:top w:val="single" w:sz="8" w:space="0" w:color="000000"/>
              <w:left w:val="nil"/>
              <w:bottom w:val="single" w:sz="8" w:space="0" w:color="000000"/>
              <w:right w:val="single" w:sz="12" w:space="0" w:color="000000"/>
            </w:tcBorders>
            <w:vAlign w:val="center"/>
          </w:tcPr>
          <w:p w14:paraId="0708183A"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12.32</w:t>
            </w:r>
          </w:p>
        </w:tc>
      </w:tr>
      <w:tr w:rsidR="004348AA" w:rsidRPr="00EE5714" w14:paraId="69769EB6"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0505E1B8" w14:textId="77777777" w:rsidR="004348AA" w:rsidRPr="00EE5714" w:rsidRDefault="004348AA" w:rsidP="004348AA">
            <w:pPr>
              <w:keepNext/>
              <w:keepLines/>
              <w:spacing w:after="0" w:line="240" w:lineRule="auto"/>
              <w:rPr>
                <w:rFonts w:ascii="Calibri" w:hAnsi="Calibri"/>
                <w:b/>
                <w:sz w:val="21"/>
                <w:szCs w:val="21"/>
              </w:rPr>
            </w:pPr>
            <w:r w:rsidRPr="00EE5714">
              <w:rPr>
                <w:rFonts w:ascii="Calibri" w:hAnsi="Calibri"/>
                <w:b/>
                <w:sz w:val="21"/>
                <w:szCs w:val="21"/>
              </w:rPr>
              <w:t>PECO Electric</w:t>
            </w:r>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4DB0F48F"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11.92</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18A2EBF1"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12.17</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3D4235CC"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12.12</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3016A442"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11.29</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6FA846F3"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1.29</w:t>
            </w:r>
          </w:p>
        </w:tc>
        <w:tc>
          <w:tcPr>
            <w:tcW w:w="1148" w:type="dxa"/>
            <w:tcBorders>
              <w:top w:val="single" w:sz="8" w:space="0" w:color="000000"/>
              <w:left w:val="nil"/>
              <w:bottom w:val="single" w:sz="8" w:space="0" w:color="000000"/>
              <w:right w:val="single" w:sz="8" w:space="0" w:color="000000"/>
            </w:tcBorders>
            <w:vAlign w:val="center"/>
          </w:tcPr>
          <w:p w14:paraId="25B6C35A"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2.49</w:t>
            </w:r>
          </w:p>
        </w:tc>
        <w:tc>
          <w:tcPr>
            <w:tcW w:w="1035" w:type="dxa"/>
            <w:tcBorders>
              <w:top w:val="single" w:sz="8" w:space="0" w:color="000000"/>
              <w:left w:val="nil"/>
              <w:bottom w:val="single" w:sz="8" w:space="0" w:color="000000"/>
              <w:right w:val="single" w:sz="8" w:space="0" w:color="000000"/>
            </w:tcBorders>
            <w:vAlign w:val="center"/>
          </w:tcPr>
          <w:p w14:paraId="6F711CE6"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2.78</w:t>
            </w:r>
          </w:p>
        </w:tc>
        <w:tc>
          <w:tcPr>
            <w:tcW w:w="990" w:type="dxa"/>
            <w:tcBorders>
              <w:top w:val="single" w:sz="8" w:space="0" w:color="000000"/>
              <w:left w:val="nil"/>
              <w:bottom w:val="single" w:sz="8" w:space="0" w:color="000000"/>
              <w:right w:val="single" w:sz="12" w:space="0" w:color="000000"/>
            </w:tcBorders>
            <w:vAlign w:val="center"/>
          </w:tcPr>
          <w:p w14:paraId="616E8F26"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3.58</w:t>
            </w:r>
          </w:p>
        </w:tc>
      </w:tr>
      <w:tr w:rsidR="004348AA" w:rsidRPr="00EE5714" w14:paraId="4744AA4A"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06B39A44" w14:textId="77777777" w:rsidR="004348AA" w:rsidRPr="00EE5714" w:rsidRDefault="004348AA" w:rsidP="004348AA">
            <w:pPr>
              <w:keepNext/>
              <w:keepLines/>
              <w:spacing w:after="0" w:line="240" w:lineRule="auto"/>
              <w:rPr>
                <w:rFonts w:ascii="Calibri" w:hAnsi="Calibri"/>
                <w:b/>
                <w:sz w:val="21"/>
                <w:szCs w:val="21"/>
              </w:rPr>
            </w:pPr>
            <w:proofErr w:type="spellStart"/>
            <w:r w:rsidRPr="00EE5714">
              <w:rPr>
                <w:rFonts w:ascii="Calibri" w:hAnsi="Calibri"/>
                <w:b/>
                <w:sz w:val="21"/>
                <w:szCs w:val="21"/>
              </w:rPr>
              <w:t>Penelec</w:t>
            </w:r>
            <w:proofErr w:type="spellEnd"/>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3331D6A1"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10.10</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1A03B39C"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22.49</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1B0E2856"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20.22</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092E3BB8"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19.84</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4DB5B877"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4.14</w:t>
            </w:r>
          </w:p>
        </w:tc>
        <w:tc>
          <w:tcPr>
            <w:tcW w:w="1148" w:type="dxa"/>
            <w:tcBorders>
              <w:top w:val="single" w:sz="8" w:space="0" w:color="000000"/>
              <w:left w:val="nil"/>
              <w:bottom w:val="single" w:sz="8" w:space="0" w:color="000000"/>
              <w:right w:val="single" w:sz="8" w:space="0" w:color="000000"/>
            </w:tcBorders>
            <w:vAlign w:val="center"/>
          </w:tcPr>
          <w:p w14:paraId="4F729707"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15.30</w:t>
            </w:r>
          </w:p>
        </w:tc>
        <w:tc>
          <w:tcPr>
            <w:tcW w:w="1035" w:type="dxa"/>
            <w:tcBorders>
              <w:top w:val="single" w:sz="8" w:space="0" w:color="000000"/>
              <w:left w:val="nil"/>
              <w:bottom w:val="single" w:sz="8" w:space="0" w:color="000000"/>
              <w:right w:val="single" w:sz="8" w:space="0" w:color="000000"/>
            </w:tcBorders>
            <w:vAlign w:val="center"/>
          </w:tcPr>
          <w:p w14:paraId="7A18D3A9"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13.91</w:t>
            </w:r>
          </w:p>
        </w:tc>
        <w:tc>
          <w:tcPr>
            <w:tcW w:w="990" w:type="dxa"/>
            <w:tcBorders>
              <w:top w:val="single" w:sz="8" w:space="0" w:color="000000"/>
              <w:left w:val="nil"/>
              <w:bottom w:val="single" w:sz="8" w:space="0" w:color="000000"/>
              <w:right w:val="single" w:sz="12" w:space="0" w:color="000000"/>
            </w:tcBorders>
            <w:vAlign w:val="center"/>
          </w:tcPr>
          <w:p w14:paraId="257CFEB8"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14.14</w:t>
            </w:r>
          </w:p>
        </w:tc>
      </w:tr>
      <w:tr w:rsidR="004348AA" w:rsidRPr="00EE5714" w14:paraId="55136ED7"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3045C3BB" w14:textId="77777777" w:rsidR="004348AA" w:rsidRPr="00EE5714" w:rsidRDefault="004348AA" w:rsidP="004348AA">
            <w:pPr>
              <w:keepNext/>
              <w:keepLines/>
              <w:spacing w:after="0" w:line="240" w:lineRule="auto"/>
              <w:rPr>
                <w:rFonts w:ascii="Calibri" w:hAnsi="Calibri"/>
                <w:b/>
                <w:sz w:val="21"/>
                <w:szCs w:val="21"/>
              </w:rPr>
            </w:pPr>
            <w:r w:rsidRPr="00EE5714">
              <w:rPr>
                <w:rFonts w:ascii="Calibri" w:hAnsi="Calibri"/>
                <w:b/>
                <w:sz w:val="21"/>
                <w:szCs w:val="21"/>
              </w:rPr>
              <w:t>Penn Power</w:t>
            </w:r>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7F72B785"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7.92</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6EF75A4E"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19.02</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2505F3E"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20.17</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00629F93"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20.21</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629079E8"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2.88</w:t>
            </w:r>
          </w:p>
        </w:tc>
        <w:tc>
          <w:tcPr>
            <w:tcW w:w="1148" w:type="dxa"/>
            <w:tcBorders>
              <w:top w:val="single" w:sz="8" w:space="0" w:color="000000"/>
              <w:left w:val="nil"/>
              <w:bottom w:val="single" w:sz="8" w:space="0" w:color="000000"/>
              <w:right w:val="single" w:sz="8" w:space="0" w:color="000000"/>
            </w:tcBorders>
            <w:vAlign w:val="center"/>
          </w:tcPr>
          <w:p w14:paraId="5BA19944"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12.74</w:t>
            </w:r>
          </w:p>
        </w:tc>
        <w:tc>
          <w:tcPr>
            <w:tcW w:w="1035" w:type="dxa"/>
            <w:tcBorders>
              <w:top w:val="single" w:sz="8" w:space="0" w:color="000000"/>
              <w:left w:val="nil"/>
              <w:bottom w:val="single" w:sz="8" w:space="0" w:color="000000"/>
              <w:right w:val="single" w:sz="8" w:space="0" w:color="000000"/>
            </w:tcBorders>
            <w:vAlign w:val="center"/>
          </w:tcPr>
          <w:p w14:paraId="6181A1B7"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13.71</w:t>
            </w:r>
          </w:p>
        </w:tc>
        <w:tc>
          <w:tcPr>
            <w:tcW w:w="990" w:type="dxa"/>
            <w:tcBorders>
              <w:top w:val="single" w:sz="8" w:space="0" w:color="000000"/>
              <w:left w:val="nil"/>
              <w:bottom w:val="single" w:sz="8" w:space="0" w:color="000000"/>
              <w:right w:val="single" w:sz="12" w:space="0" w:color="000000"/>
            </w:tcBorders>
            <w:vAlign w:val="center"/>
          </w:tcPr>
          <w:p w14:paraId="4525C56B"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13.78</w:t>
            </w:r>
          </w:p>
        </w:tc>
      </w:tr>
      <w:tr w:rsidR="004348AA" w:rsidRPr="00EE5714" w14:paraId="1279E92A"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65900731" w14:textId="77777777" w:rsidR="004348AA" w:rsidRPr="00EE5714" w:rsidRDefault="004348AA" w:rsidP="004348AA">
            <w:pPr>
              <w:keepNext/>
              <w:keepLines/>
              <w:spacing w:after="0" w:line="240" w:lineRule="auto"/>
              <w:rPr>
                <w:rFonts w:ascii="Calibri" w:hAnsi="Calibri"/>
                <w:b/>
                <w:sz w:val="21"/>
                <w:szCs w:val="21"/>
              </w:rPr>
            </w:pPr>
            <w:r w:rsidRPr="00EE5714">
              <w:rPr>
                <w:rFonts w:ascii="Calibri" w:hAnsi="Calibri"/>
                <w:b/>
                <w:sz w:val="21"/>
                <w:szCs w:val="21"/>
              </w:rPr>
              <w:t>PPL</w:t>
            </w:r>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6170E1E1"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19.78</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429650FA"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19.91</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1BAD514D"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19.24</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6314BF94"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16.74</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2E066AFB"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15.03</w:t>
            </w:r>
          </w:p>
        </w:tc>
        <w:tc>
          <w:tcPr>
            <w:tcW w:w="1148" w:type="dxa"/>
            <w:tcBorders>
              <w:top w:val="single" w:sz="8" w:space="0" w:color="000000"/>
              <w:left w:val="nil"/>
              <w:bottom w:val="single" w:sz="8" w:space="0" w:color="000000"/>
              <w:right w:val="single" w:sz="8" w:space="0" w:color="000000"/>
            </w:tcBorders>
            <w:vAlign w:val="center"/>
          </w:tcPr>
          <w:p w14:paraId="4742ED55"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15.46</w:t>
            </w:r>
          </w:p>
        </w:tc>
        <w:tc>
          <w:tcPr>
            <w:tcW w:w="1035" w:type="dxa"/>
            <w:tcBorders>
              <w:top w:val="single" w:sz="8" w:space="0" w:color="000000"/>
              <w:left w:val="nil"/>
              <w:bottom w:val="single" w:sz="8" w:space="0" w:color="000000"/>
              <w:right w:val="single" w:sz="8" w:space="0" w:color="000000"/>
            </w:tcBorders>
            <w:vAlign w:val="center"/>
          </w:tcPr>
          <w:p w14:paraId="6D97C106"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14.13</w:t>
            </w:r>
          </w:p>
        </w:tc>
        <w:tc>
          <w:tcPr>
            <w:tcW w:w="990" w:type="dxa"/>
            <w:tcBorders>
              <w:top w:val="single" w:sz="8" w:space="0" w:color="000000"/>
              <w:left w:val="nil"/>
              <w:bottom w:val="single" w:sz="8" w:space="0" w:color="000000"/>
              <w:right w:val="single" w:sz="12" w:space="0" w:color="000000"/>
            </w:tcBorders>
            <w:vAlign w:val="center"/>
          </w:tcPr>
          <w:p w14:paraId="71D4F9A3"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12.27</w:t>
            </w:r>
          </w:p>
        </w:tc>
      </w:tr>
      <w:tr w:rsidR="004348AA" w:rsidRPr="00EE5714" w14:paraId="69443ACA"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69F2A8FA" w14:textId="77777777" w:rsidR="004348AA" w:rsidRPr="00EE5714" w:rsidRDefault="004348AA" w:rsidP="004348AA">
            <w:pPr>
              <w:keepNext/>
              <w:keepLines/>
              <w:spacing w:after="0" w:line="240" w:lineRule="auto"/>
              <w:rPr>
                <w:rFonts w:ascii="Calibri" w:hAnsi="Calibri"/>
                <w:b/>
                <w:sz w:val="21"/>
                <w:szCs w:val="21"/>
              </w:rPr>
            </w:pPr>
            <w:r w:rsidRPr="00EE5714">
              <w:rPr>
                <w:rFonts w:ascii="Calibri" w:hAnsi="Calibri"/>
                <w:b/>
                <w:sz w:val="21"/>
                <w:szCs w:val="21"/>
              </w:rPr>
              <w:t>West Penn</w:t>
            </w:r>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1D496BEB"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10.12</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4BDDBD5"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23.80</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2A73C78"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22.08</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04C78304"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23.20</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74F9E580"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3.04</w:t>
            </w:r>
          </w:p>
        </w:tc>
        <w:tc>
          <w:tcPr>
            <w:tcW w:w="1148" w:type="dxa"/>
            <w:tcBorders>
              <w:top w:val="single" w:sz="8" w:space="0" w:color="000000"/>
              <w:left w:val="nil"/>
              <w:bottom w:val="single" w:sz="8" w:space="0" w:color="000000"/>
              <w:right w:val="single" w:sz="8" w:space="0" w:color="000000"/>
            </w:tcBorders>
            <w:vAlign w:val="center"/>
          </w:tcPr>
          <w:p w14:paraId="31E6506B"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16.49</w:t>
            </w:r>
          </w:p>
        </w:tc>
        <w:tc>
          <w:tcPr>
            <w:tcW w:w="1035" w:type="dxa"/>
            <w:tcBorders>
              <w:top w:val="single" w:sz="8" w:space="0" w:color="000000"/>
              <w:left w:val="nil"/>
              <w:bottom w:val="single" w:sz="8" w:space="0" w:color="000000"/>
              <w:right w:val="single" w:sz="8" w:space="0" w:color="000000"/>
            </w:tcBorders>
            <w:vAlign w:val="center"/>
          </w:tcPr>
          <w:p w14:paraId="6BA7E884"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15.93</w:t>
            </w:r>
          </w:p>
        </w:tc>
        <w:tc>
          <w:tcPr>
            <w:tcW w:w="990" w:type="dxa"/>
            <w:tcBorders>
              <w:top w:val="single" w:sz="8" w:space="0" w:color="000000"/>
              <w:left w:val="nil"/>
              <w:bottom w:val="single" w:sz="8" w:space="0" w:color="000000"/>
              <w:right w:val="single" w:sz="12" w:space="0" w:color="000000"/>
            </w:tcBorders>
            <w:vAlign w:val="center"/>
          </w:tcPr>
          <w:p w14:paraId="23901361" w14:textId="77777777" w:rsidR="004348AA" w:rsidRPr="00EE5714" w:rsidRDefault="004348AA" w:rsidP="004348AA">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17.76</w:t>
            </w:r>
          </w:p>
        </w:tc>
      </w:tr>
    </w:tbl>
    <w:p w14:paraId="79904D51" w14:textId="77777777" w:rsidR="001225B1" w:rsidRPr="00EE5714" w:rsidRDefault="001225B1" w:rsidP="00F303E0">
      <w:pPr>
        <w:pStyle w:val="NoSpacing"/>
        <w:rPr>
          <w:rFonts w:cs="Times New Roman"/>
          <w:szCs w:val="26"/>
        </w:rPr>
      </w:pPr>
    </w:p>
    <w:p w14:paraId="2FF318E2" w14:textId="77777777" w:rsidR="00B21301" w:rsidRPr="00EE5714" w:rsidRDefault="00B21301" w:rsidP="007C0BC7">
      <w:pPr>
        <w:spacing w:after="0" w:line="240" w:lineRule="auto"/>
        <w:rPr>
          <w:rFonts w:ascii="Times New Roman" w:hAnsi="Times New Roman" w:cs="Times New Roman"/>
          <w:sz w:val="26"/>
          <w:szCs w:val="26"/>
        </w:rPr>
      </w:pPr>
    </w:p>
    <w:p w14:paraId="1C0E64B4" w14:textId="77777777" w:rsidR="007C0BC7" w:rsidRPr="00EE5714" w:rsidRDefault="00F857A1" w:rsidP="006019D7">
      <w:pPr>
        <w:spacing w:after="0" w:line="240" w:lineRule="auto"/>
        <w:rPr>
          <w:rFonts w:ascii="Times New Roman" w:hAnsi="Times New Roman" w:cs="Times New Roman"/>
          <w:b/>
          <w:sz w:val="26"/>
          <w:szCs w:val="26"/>
        </w:rPr>
      </w:pPr>
      <w:r w:rsidRPr="00EE5714">
        <w:rPr>
          <w:rFonts w:ascii="Times New Roman" w:hAnsi="Times New Roman" w:cs="Times New Roman"/>
          <w:sz w:val="26"/>
          <w:szCs w:val="26"/>
        </w:rPr>
        <w:lastRenderedPageBreak/>
        <w:t>Appendix 3</w:t>
      </w:r>
      <w:r w:rsidR="008B7D6D" w:rsidRPr="00EE5714">
        <w:rPr>
          <w:rFonts w:ascii="Times New Roman" w:hAnsi="Times New Roman" w:cs="Times New Roman"/>
          <w:sz w:val="26"/>
          <w:szCs w:val="26"/>
        </w:rPr>
        <w:t>.A.</w:t>
      </w:r>
      <w:r w:rsidR="00B21301" w:rsidRPr="00EE5714">
        <w:rPr>
          <w:rFonts w:ascii="Times New Roman" w:hAnsi="Times New Roman" w:cs="Times New Roman"/>
          <w:sz w:val="26"/>
          <w:szCs w:val="26"/>
        </w:rPr>
        <w:t>11</w:t>
      </w:r>
      <w:r w:rsidR="008B7D6D" w:rsidRPr="00EE5714">
        <w:rPr>
          <w:rFonts w:ascii="Times New Roman" w:hAnsi="Times New Roman" w:cs="Times New Roman"/>
          <w:sz w:val="26"/>
          <w:szCs w:val="26"/>
        </w:rPr>
        <w:t xml:space="preserve">: </w:t>
      </w:r>
      <w:r w:rsidR="007C0BC7" w:rsidRPr="00EE5714">
        <w:rPr>
          <w:rFonts w:ascii="Times New Roman" w:hAnsi="Times New Roman" w:cs="Times New Roman"/>
          <w:b/>
          <w:sz w:val="26"/>
          <w:szCs w:val="26"/>
        </w:rPr>
        <w:t>EDC Non-Heating Energy Burden of CAP LIHEAP Recipients</w:t>
      </w:r>
      <w:r w:rsidR="007C0BC7" w:rsidRPr="00EE5714">
        <w:rPr>
          <w:rFonts w:ascii="Times New Roman" w:hAnsi="Times New Roman" w:cs="Times New Roman"/>
          <w:sz w:val="26"/>
          <w:szCs w:val="26"/>
        </w:rPr>
        <w:t xml:space="preserve"> </w:t>
      </w:r>
      <w:r w:rsidR="007C0BC7" w:rsidRPr="00EE5714">
        <w:rPr>
          <w:rFonts w:ascii="Times New Roman" w:hAnsi="Times New Roman" w:cs="Times New Roman"/>
          <w:b/>
          <w:sz w:val="26"/>
          <w:szCs w:val="26"/>
        </w:rPr>
        <w:t xml:space="preserve">at </w:t>
      </w:r>
    </w:p>
    <w:p w14:paraId="6F3A159E" w14:textId="77777777" w:rsidR="007C0BC7" w:rsidRPr="00EE5714" w:rsidRDefault="007C0BC7" w:rsidP="00B404FB">
      <w:pPr>
        <w:spacing w:after="0" w:line="240" w:lineRule="auto"/>
        <w:rPr>
          <w:rFonts w:ascii="Times New Roman" w:hAnsi="Times New Roman" w:cs="Times New Roman"/>
          <w:sz w:val="26"/>
          <w:szCs w:val="26"/>
        </w:rPr>
      </w:pPr>
      <w:r w:rsidRPr="00EE5714">
        <w:rPr>
          <w:rFonts w:ascii="Times New Roman" w:hAnsi="Times New Roman" w:cs="Times New Roman"/>
          <w:b/>
          <w:sz w:val="26"/>
          <w:szCs w:val="26"/>
        </w:rPr>
        <w:t>51-100% FPIG</w:t>
      </w:r>
    </w:p>
    <w:tbl>
      <w:tblPr>
        <w:tblW w:w="10080" w:type="dxa"/>
        <w:tblInd w:w="-280" w:type="dxa"/>
        <w:tblLayout w:type="fixed"/>
        <w:tblLook w:val="04A0" w:firstRow="1" w:lastRow="0" w:firstColumn="1" w:lastColumn="0" w:noHBand="0" w:noVBand="1"/>
      </w:tblPr>
      <w:tblGrid>
        <w:gridCol w:w="1440"/>
        <w:gridCol w:w="990"/>
        <w:gridCol w:w="1080"/>
        <w:gridCol w:w="1080"/>
        <w:gridCol w:w="1170"/>
        <w:gridCol w:w="1147"/>
        <w:gridCol w:w="1148"/>
        <w:gridCol w:w="1035"/>
        <w:gridCol w:w="990"/>
      </w:tblGrid>
      <w:tr w:rsidR="006C2336" w:rsidRPr="00EE5714" w14:paraId="4AD5B4F8" w14:textId="77777777" w:rsidTr="00463B0B">
        <w:trPr>
          <w:trHeight w:hRule="exact" w:val="418"/>
        </w:trPr>
        <w:tc>
          <w:tcPr>
            <w:tcW w:w="10080" w:type="dxa"/>
            <w:gridSpan w:val="9"/>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tcPr>
          <w:p w14:paraId="225C5280" w14:textId="77777777" w:rsidR="006C2336" w:rsidRPr="00EE5714" w:rsidRDefault="006C2336" w:rsidP="006C2336">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Non-Heating Energy Burden of CAP LIHEAP Recipients at 51-100% FPIG</w:t>
            </w:r>
          </w:p>
        </w:tc>
      </w:tr>
      <w:tr w:rsidR="006C2336" w:rsidRPr="00EE5714" w14:paraId="389C4014" w14:textId="77777777" w:rsidTr="00463B0B">
        <w:trPr>
          <w:trHeight w:hRule="exact" w:val="418"/>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038C57FA" w14:textId="77777777" w:rsidR="006C2336" w:rsidRPr="00EE5714" w:rsidRDefault="006C2336" w:rsidP="006C2336">
            <w:pPr>
              <w:keepNext/>
              <w:keepLines/>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320" w:type="dxa"/>
            <w:gridSpan w:val="4"/>
            <w:tcBorders>
              <w:top w:val="single" w:sz="12" w:space="0" w:color="000000"/>
              <w:left w:val="single" w:sz="12" w:space="0" w:color="000000"/>
              <w:bottom w:val="single" w:sz="8" w:space="0" w:color="000000"/>
              <w:right w:val="single" w:sz="12" w:space="0" w:color="000000"/>
            </w:tcBorders>
            <w:shd w:val="clear" w:color="auto" w:fill="auto"/>
            <w:noWrap/>
            <w:hideMark/>
          </w:tcPr>
          <w:p w14:paraId="3A17C90B" w14:textId="77777777" w:rsidR="006C2336" w:rsidRPr="00EE5714" w:rsidRDefault="006C2336" w:rsidP="006C2336">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Without LIHEAP Dollars Applied  </w:t>
            </w:r>
          </w:p>
        </w:tc>
        <w:tc>
          <w:tcPr>
            <w:tcW w:w="4320" w:type="dxa"/>
            <w:gridSpan w:val="4"/>
            <w:tcBorders>
              <w:top w:val="single" w:sz="12" w:space="0" w:color="000000"/>
              <w:left w:val="single" w:sz="12" w:space="0" w:color="000000"/>
              <w:bottom w:val="single" w:sz="8" w:space="0" w:color="000000"/>
              <w:right w:val="single" w:sz="12" w:space="0" w:color="000000"/>
            </w:tcBorders>
          </w:tcPr>
          <w:p w14:paraId="3D887FD1" w14:textId="77777777" w:rsidR="006C2336" w:rsidRPr="00EE5714" w:rsidRDefault="006C2336" w:rsidP="006C2336">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With LIHEAP Dollars Applied</w:t>
            </w:r>
          </w:p>
        </w:tc>
      </w:tr>
      <w:tr w:rsidR="006C2336" w:rsidRPr="00EE5714" w14:paraId="53DFD03A" w14:textId="77777777" w:rsidTr="00463B0B">
        <w:trPr>
          <w:trHeight w:hRule="exact" w:val="418"/>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5D532039" w14:textId="77777777" w:rsidR="006C2336" w:rsidRPr="00EE5714" w:rsidRDefault="006C2336" w:rsidP="006C2336">
            <w:pPr>
              <w:keepNext/>
              <w:keepLines/>
              <w:spacing w:after="0" w:line="240" w:lineRule="auto"/>
              <w:rPr>
                <w:rFonts w:ascii="Calibri" w:eastAsia="Times New Roman" w:hAnsi="Calibri" w:cs="Calibri"/>
                <w:color w:val="000000"/>
                <w:sz w:val="21"/>
                <w:szCs w:val="21"/>
              </w:rPr>
            </w:pPr>
          </w:p>
        </w:tc>
        <w:tc>
          <w:tcPr>
            <w:tcW w:w="990" w:type="dxa"/>
            <w:tcBorders>
              <w:top w:val="single" w:sz="8" w:space="0" w:color="000000"/>
              <w:left w:val="single" w:sz="12" w:space="0" w:color="000000"/>
              <w:bottom w:val="single" w:sz="8" w:space="0" w:color="000000"/>
              <w:right w:val="single" w:sz="4" w:space="0" w:color="000000"/>
            </w:tcBorders>
            <w:shd w:val="clear" w:color="auto" w:fill="F2F2F2" w:themeFill="background1" w:themeFillShade="F2"/>
            <w:noWrap/>
            <w:hideMark/>
          </w:tcPr>
          <w:p w14:paraId="59080631" w14:textId="77777777" w:rsidR="006C2336" w:rsidRPr="00EE5714" w:rsidRDefault="006C2336" w:rsidP="006C2336">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23E27DB0" w14:textId="77777777" w:rsidR="006C2336" w:rsidRPr="00EE5714" w:rsidRDefault="006C2336" w:rsidP="006C2336">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42FC9464" w14:textId="77777777" w:rsidR="006C2336" w:rsidRPr="00EE5714" w:rsidRDefault="006C2336" w:rsidP="006C2336">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170" w:type="dxa"/>
            <w:tcBorders>
              <w:top w:val="single" w:sz="8" w:space="0" w:color="000000"/>
              <w:left w:val="nil"/>
              <w:bottom w:val="single" w:sz="8" w:space="0" w:color="000000"/>
              <w:right w:val="single" w:sz="12" w:space="0" w:color="000000"/>
            </w:tcBorders>
            <w:shd w:val="clear" w:color="auto" w:fill="F2F2F2" w:themeFill="background1" w:themeFillShade="F2"/>
            <w:noWrap/>
            <w:hideMark/>
          </w:tcPr>
          <w:p w14:paraId="6ED596CB" w14:textId="77777777" w:rsidR="006C2336" w:rsidRPr="00EE5714" w:rsidRDefault="006C2336" w:rsidP="006C2336">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147" w:type="dxa"/>
            <w:tcBorders>
              <w:top w:val="single" w:sz="8" w:space="0" w:color="000000"/>
              <w:left w:val="single" w:sz="12" w:space="0" w:color="000000"/>
              <w:bottom w:val="single" w:sz="8" w:space="0" w:color="000000"/>
              <w:right w:val="single" w:sz="8" w:space="0" w:color="000000"/>
            </w:tcBorders>
            <w:shd w:val="clear" w:color="auto" w:fill="F2F2F2" w:themeFill="background1" w:themeFillShade="F2"/>
          </w:tcPr>
          <w:p w14:paraId="1306DB1E" w14:textId="77777777" w:rsidR="006C2336" w:rsidRPr="00EE5714" w:rsidRDefault="006C2336" w:rsidP="006C2336">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48" w:type="dxa"/>
            <w:tcBorders>
              <w:top w:val="single" w:sz="8" w:space="0" w:color="000000"/>
              <w:left w:val="nil"/>
              <w:bottom w:val="single" w:sz="8" w:space="0" w:color="000000"/>
              <w:right w:val="single" w:sz="8" w:space="0" w:color="000000"/>
            </w:tcBorders>
            <w:shd w:val="clear" w:color="auto" w:fill="F2F2F2" w:themeFill="background1" w:themeFillShade="F2"/>
          </w:tcPr>
          <w:p w14:paraId="0910BAA2" w14:textId="77777777" w:rsidR="006C2336" w:rsidRPr="00EE5714" w:rsidRDefault="006C2336" w:rsidP="006C2336">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35" w:type="dxa"/>
            <w:tcBorders>
              <w:top w:val="single" w:sz="8" w:space="0" w:color="000000"/>
              <w:left w:val="nil"/>
              <w:bottom w:val="single" w:sz="8" w:space="0" w:color="000000"/>
              <w:right w:val="single" w:sz="8" w:space="0" w:color="000000"/>
            </w:tcBorders>
            <w:shd w:val="clear" w:color="auto" w:fill="F2F2F2" w:themeFill="background1" w:themeFillShade="F2"/>
          </w:tcPr>
          <w:p w14:paraId="61D49D2F" w14:textId="77777777" w:rsidR="006C2336" w:rsidRPr="00EE5714" w:rsidRDefault="006C2336" w:rsidP="006C2336">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90" w:type="dxa"/>
            <w:tcBorders>
              <w:top w:val="single" w:sz="8" w:space="0" w:color="000000"/>
              <w:left w:val="nil"/>
              <w:bottom w:val="single" w:sz="8" w:space="0" w:color="000000"/>
              <w:right w:val="single" w:sz="12" w:space="0" w:color="000000"/>
            </w:tcBorders>
            <w:shd w:val="clear" w:color="auto" w:fill="F2F2F2" w:themeFill="background1" w:themeFillShade="F2"/>
          </w:tcPr>
          <w:p w14:paraId="349F0717" w14:textId="77777777" w:rsidR="006C2336" w:rsidRPr="00EE5714" w:rsidRDefault="006C2336" w:rsidP="006C2336">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6C2336" w:rsidRPr="00EE5714" w14:paraId="0B161DAB"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4C4416DD" w14:textId="77777777" w:rsidR="006C2336" w:rsidRPr="00EE5714" w:rsidRDefault="006C2336" w:rsidP="006C2336">
            <w:pPr>
              <w:keepNext/>
              <w:keepLines/>
              <w:spacing w:after="0" w:line="240" w:lineRule="auto"/>
              <w:rPr>
                <w:rFonts w:ascii="Calibri" w:hAnsi="Calibri"/>
                <w:b/>
                <w:sz w:val="21"/>
                <w:szCs w:val="21"/>
              </w:rPr>
            </w:pPr>
            <w:r w:rsidRPr="00EE5714">
              <w:rPr>
                <w:rFonts w:ascii="Calibri" w:hAnsi="Calibri"/>
                <w:b/>
                <w:sz w:val="21"/>
                <w:szCs w:val="21"/>
              </w:rPr>
              <w:t>Duquesne</w:t>
            </w:r>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6B2DF54C"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12.83</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5D285CB8"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12.83</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7079DF46"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12.35</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0E7777DE"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13.33</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183E47CF"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9.33</w:t>
            </w:r>
          </w:p>
        </w:tc>
        <w:tc>
          <w:tcPr>
            <w:tcW w:w="1148" w:type="dxa"/>
            <w:tcBorders>
              <w:top w:val="single" w:sz="8" w:space="0" w:color="000000"/>
              <w:left w:val="nil"/>
              <w:bottom w:val="single" w:sz="8" w:space="0" w:color="000000"/>
              <w:right w:val="single" w:sz="8" w:space="0" w:color="000000"/>
            </w:tcBorders>
            <w:vAlign w:val="center"/>
          </w:tcPr>
          <w:p w14:paraId="2855809B"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9.33</w:t>
            </w:r>
          </w:p>
        </w:tc>
        <w:tc>
          <w:tcPr>
            <w:tcW w:w="1035" w:type="dxa"/>
            <w:tcBorders>
              <w:top w:val="single" w:sz="8" w:space="0" w:color="000000"/>
              <w:left w:val="nil"/>
              <w:bottom w:val="single" w:sz="8" w:space="0" w:color="000000"/>
              <w:right w:val="single" w:sz="8" w:space="0" w:color="000000"/>
            </w:tcBorders>
            <w:vAlign w:val="center"/>
          </w:tcPr>
          <w:p w14:paraId="73337AD2"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9.48</w:t>
            </w:r>
          </w:p>
        </w:tc>
        <w:tc>
          <w:tcPr>
            <w:tcW w:w="990" w:type="dxa"/>
            <w:tcBorders>
              <w:top w:val="single" w:sz="8" w:space="0" w:color="000000"/>
              <w:left w:val="nil"/>
              <w:bottom w:val="single" w:sz="8" w:space="0" w:color="000000"/>
              <w:right w:val="single" w:sz="12" w:space="0" w:color="000000"/>
            </w:tcBorders>
            <w:vAlign w:val="center"/>
          </w:tcPr>
          <w:p w14:paraId="18FBB331"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9.45</w:t>
            </w:r>
          </w:p>
        </w:tc>
      </w:tr>
      <w:tr w:rsidR="006C2336" w:rsidRPr="00EE5714" w14:paraId="3DAF080B"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6A7CEBCE" w14:textId="77777777" w:rsidR="006C2336" w:rsidRPr="00EE5714" w:rsidRDefault="006C2336" w:rsidP="006C2336">
            <w:pPr>
              <w:keepNext/>
              <w:keepLines/>
              <w:spacing w:after="0" w:line="240" w:lineRule="auto"/>
              <w:rPr>
                <w:rFonts w:ascii="Calibri" w:hAnsi="Calibri"/>
                <w:b/>
                <w:sz w:val="21"/>
                <w:szCs w:val="21"/>
              </w:rPr>
            </w:pPr>
            <w:r w:rsidRPr="00EE5714">
              <w:rPr>
                <w:rFonts w:ascii="Calibri" w:hAnsi="Calibri"/>
                <w:b/>
                <w:sz w:val="21"/>
                <w:szCs w:val="21"/>
              </w:rPr>
              <w:t>Met-Ed</w:t>
            </w:r>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556F3100"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5.73</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5B7ADCF"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8.31</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1293ABC1"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8.10</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4630BE84"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8.35</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570998A8"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3.44</w:t>
            </w:r>
          </w:p>
        </w:tc>
        <w:tc>
          <w:tcPr>
            <w:tcW w:w="1148" w:type="dxa"/>
            <w:tcBorders>
              <w:top w:val="single" w:sz="8" w:space="0" w:color="000000"/>
              <w:left w:val="nil"/>
              <w:bottom w:val="single" w:sz="8" w:space="0" w:color="000000"/>
              <w:right w:val="single" w:sz="8" w:space="0" w:color="000000"/>
            </w:tcBorders>
            <w:vAlign w:val="center"/>
          </w:tcPr>
          <w:p w14:paraId="2632428B"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6.09</w:t>
            </w:r>
          </w:p>
        </w:tc>
        <w:tc>
          <w:tcPr>
            <w:tcW w:w="1035" w:type="dxa"/>
            <w:tcBorders>
              <w:top w:val="single" w:sz="8" w:space="0" w:color="000000"/>
              <w:left w:val="nil"/>
              <w:bottom w:val="single" w:sz="8" w:space="0" w:color="000000"/>
              <w:right w:val="single" w:sz="8" w:space="0" w:color="000000"/>
            </w:tcBorders>
            <w:vAlign w:val="center"/>
          </w:tcPr>
          <w:p w14:paraId="712F9C58"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5.70</w:t>
            </w:r>
          </w:p>
        </w:tc>
        <w:tc>
          <w:tcPr>
            <w:tcW w:w="990" w:type="dxa"/>
            <w:tcBorders>
              <w:top w:val="single" w:sz="8" w:space="0" w:color="000000"/>
              <w:left w:val="nil"/>
              <w:bottom w:val="single" w:sz="8" w:space="0" w:color="000000"/>
              <w:right w:val="single" w:sz="12" w:space="0" w:color="000000"/>
            </w:tcBorders>
            <w:vAlign w:val="center"/>
          </w:tcPr>
          <w:p w14:paraId="4A8DD19B"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6.11</w:t>
            </w:r>
          </w:p>
        </w:tc>
      </w:tr>
      <w:tr w:rsidR="006C2336" w:rsidRPr="00EE5714" w14:paraId="0507F75D"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7ED45493" w14:textId="77777777" w:rsidR="006C2336" w:rsidRPr="00EE5714" w:rsidRDefault="006C2336" w:rsidP="006C2336">
            <w:pPr>
              <w:keepNext/>
              <w:keepLines/>
              <w:spacing w:after="0" w:line="240" w:lineRule="auto"/>
              <w:rPr>
                <w:rFonts w:ascii="Calibri" w:hAnsi="Calibri"/>
                <w:b/>
                <w:sz w:val="21"/>
                <w:szCs w:val="21"/>
              </w:rPr>
            </w:pPr>
            <w:r w:rsidRPr="00EE5714">
              <w:rPr>
                <w:rFonts w:ascii="Calibri" w:hAnsi="Calibri"/>
                <w:b/>
                <w:sz w:val="21"/>
                <w:szCs w:val="21"/>
              </w:rPr>
              <w:t>PECO Electric</w:t>
            </w:r>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32BD8FA7"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6.66</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D3CC413"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6.57</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0F3ACE8B"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6.50</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5E126277"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6.69</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02586360"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3.34</w:t>
            </w:r>
          </w:p>
        </w:tc>
        <w:tc>
          <w:tcPr>
            <w:tcW w:w="1148" w:type="dxa"/>
            <w:tcBorders>
              <w:top w:val="single" w:sz="8" w:space="0" w:color="000000"/>
              <w:left w:val="nil"/>
              <w:bottom w:val="single" w:sz="8" w:space="0" w:color="000000"/>
              <w:right w:val="single" w:sz="8" w:space="0" w:color="000000"/>
            </w:tcBorders>
            <w:vAlign w:val="center"/>
          </w:tcPr>
          <w:p w14:paraId="13E8FBD2"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3.61</w:t>
            </w:r>
          </w:p>
        </w:tc>
        <w:tc>
          <w:tcPr>
            <w:tcW w:w="1035" w:type="dxa"/>
            <w:tcBorders>
              <w:top w:val="single" w:sz="8" w:space="0" w:color="000000"/>
              <w:left w:val="nil"/>
              <w:bottom w:val="single" w:sz="8" w:space="0" w:color="000000"/>
              <w:right w:val="single" w:sz="8" w:space="0" w:color="000000"/>
            </w:tcBorders>
            <w:vAlign w:val="center"/>
          </w:tcPr>
          <w:p w14:paraId="6C1165A1"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3.61</w:t>
            </w:r>
          </w:p>
        </w:tc>
        <w:tc>
          <w:tcPr>
            <w:tcW w:w="990" w:type="dxa"/>
            <w:tcBorders>
              <w:top w:val="single" w:sz="8" w:space="0" w:color="000000"/>
              <w:left w:val="nil"/>
              <w:bottom w:val="single" w:sz="8" w:space="0" w:color="000000"/>
              <w:right w:val="single" w:sz="12" w:space="0" w:color="000000"/>
            </w:tcBorders>
            <w:vAlign w:val="center"/>
          </w:tcPr>
          <w:p w14:paraId="7274C71F"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3.77</w:t>
            </w:r>
          </w:p>
        </w:tc>
      </w:tr>
      <w:tr w:rsidR="006C2336" w:rsidRPr="00EE5714" w14:paraId="0F36CCD7"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1DA94B15" w14:textId="77777777" w:rsidR="006C2336" w:rsidRPr="00EE5714" w:rsidRDefault="006C2336" w:rsidP="006C2336">
            <w:pPr>
              <w:keepNext/>
              <w:keepLines/>
              <w:spacing w:after="0" w:line="240" w:lineRule="auto"/>
              <w:rPr>
                <w:rFonts w:ascii="Calibri" w:hAnsi="Calibri"/>
                <w:b/>
                <w:sz w:val="21"/>
                <w:szCs w:val="21"/>
              </w:rPr>
            </w:pPr>
            <w:proofErr w:type="spellStart"/>
            <w:r w:rsidRPr="00EE5714">
              <w:rPr>
                <w:rFonts w:ascii="Calibri" w:hAnsi="Calibri"/>
                <w:b/>
                <w:sz w:val="21"/>
                <w:szCs w:val="21"/>
              </w:rPr>
              <w:t>Penelec</w:t>
            </w:r>
            <w:proofErr w:type="spellEnd"/>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02B22320"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6.69</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06FA2279"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13.10</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45093701"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10.69</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0D8FF0EE"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10.37</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661AA144"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3.87</w:t>
            </w:r>
          </w:p>
        </w:tc>
        <w:tc>
          <w:tcPr>
            <w:tcW w:w="1148" w:type="dxa"/>
            <w:tcBorders>
              <w:top w:val="single" w:sz="8" w:space="0" w:color="000000"/>
              <w:left w:val="nil"/>
              <w:bottom w:val="single" w:sz="8" w:space="0" w:color="000000"/>
              <w:right w:val="single" w:sz="8" w:space="0" w:color="000000"/>
            </w:tcBorders>
            <w:vAlign w:val="center"/>
          </w:tcPr>
          <w:p w14:paraId="26A9A07F"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10.90</w:t>
            </w:r>
          </w:p>
        </w:tc>
        <w:tc>
          <w:tcPr>
            <w:tcW w:w="1035" w:type="dxa"/>
            <w:tcBorders>
              <w:top w:val="single" w:sz="8" w:space="0" w:color="000000"/>
              <w:left w:val="nil"/>
              <w:bottom w:val="single" w:sz="8" w:space="0" w:color="000000"/>
              <w:right w:val="single" w:sz="8" w:space="0" w:color="000000"/>
            </w:tcBorders>
            <w:vAlign w:val="center"/>
          </w:tcPr>
          <w:p w14:paraId="547EE61A"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8.41</w:t>
            </w:r>
          </w:p>
        </w:tc>
        <w:tc>
          <w:tcPr>
            <w:tcW w:w="990" w:type="dxa"/>
            <w:tcBorders>
              <w:top w:val="single" w:sz="8" w:space="0" w:color="000000"/>
              <w:left w:val="nil"/>
              <w:bottom w:val="single" w:sz="8" w:space="0" w:color="000000"/>
              <w:right w:val="single" w:sz="12" w:space="0" w:color="000000"/>
            </w:tcBorders>
            <w:vAlign w:val="center"/>
          </w:tcPr>
          <w:p w14:paraId="234E559A"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8.14</w:t>
            </w:r>
          </w:p>
        </w:tc>
      </w:tr>
      <w:tr w:rsidR="006C2336" w:rsidRPr="00EE5714" w14:paraId="5BBE9D7A"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445D0A0E" w14:textId="77777777" w:rsidR="006C2336" w:rsidRPr="00EE5714" w:rsidRDefault="006C2336" w:rsidP="006C2336">
            <w:pPr>
              <w:keepNext/>
              <w:keepLines/>
              <w:spacing w:after="0" w:line="240" w:lineRule="auto"/>
              <w:rPr>
                <w:rFonts w:ascii="Calibri" w:hAnsi="Calibri"/>
                <w:b/>
                <w:sz w:val="21"/>
                <w:szCs w:val="21"/>
              </w:rPr>
            </w:pPr>
            <w:r w:rsidRPr="00EE5714">
              <w:rPr>
                <w:rFonts w:ascii="Calibri" w:hAnsi="Calibri"/>
                <w:b/>
                <w:sz w:val="21"/>
                <w:szCs w:val="21"/>
              </w:rPr>
              <w:t>Penn Power</w:t>
            </w:r>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40578C89"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6.37</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79B72840"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10.81</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02902035"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10.61</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6E303597"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11.63</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4A84E5BB"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3.93</w:t>
            </w:r>
          </w:p>
        </w:tc>
        <w:tc>
          <w:tcPr>
            <w:tcW w:w="1148" w:type="dxa"/>
            <w:tcBorders>
              <w:top w:val="single" w:sz="8" w:space="0" w:color="000000"/>
              <w:left w:val="nil"/>
              <w:bottom w:val="single" w:sz="8" w:space="0" w:color="000000"/>
              <w:right w:val="single" w:sz="8" w:space="0" w:color="000000"/>
            </w:tcBorders>
            <w:vAlign w:val="center"/>
          </w:tcPr>
          <w:p w14:paraId="676E1BDC"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8.73</w:t>
            </w:r>
          </w:p>
        </w:tc>
        <w:tc>
          <w:tcPr>
            <w:tcW w:w="1035" w:type="dxa"/>
            <w:tcBorders>
              <w:top w:val="single" w:sz="8" w:space="0" w:color="000000"/>
              <w:left w:val="nil"/>
              <w:bottom w:val="single" w:sz="8" w:space="0" w:color="000000"/>
              <w:right w:val="single" w:sz="8" w:space="0" w:color="000000"/>
            </w:tcBorders>
            <w:vAlign w:val="center"/>
          </w:tcPr>
          <w:p w14:paraId="062FBA77"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8.36</w:t>
            </w:r>
          </w:p>
        </w:tc>
        <w:tc>
          <w:tcPr>
            <w:tcW w:w="990" w:type="dxa"/>
            <w:tcBorders>
              <w:top w:val="single" w:sz="8" w:space="0" w:color="000000"/>
              <w:left w:val="nil"/>
              <w:bottom w:val="single" w:sz="8" w:space="0" w:color="000000"/>
              <w:right w:val="single" w:sz="12" w:space="0" w:color="000000"/>
            </w:tcBorders>
            <w:vAlign w:val="center"/>
          </w:tcPr>
          <w:p w14:paraId="70111E26"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8.97</w:t>
            </w:r>
          </w:p>
        </w:tc>
      </w:tr>
      <w:tr w:rsidR="006C2336" w:rsidRPr="00EE5714" w14:paraId="40058B22"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3AAC2CF5" w14:textId="77777777" w:rsidR="006C2336" w:rsidRPr="00EE5714" w:rsidRDefault="006C2336" w:rsidP="006C2336">
            <w:pPr>
              <w:keepNext/>
              <w:keepLines/>
              <w:spacing w:after="0" w:line="240" w:lineRule="auto"/>
              <w:rPr>
                <w:rFonts w:ascii="Calibri" w:hAnsi="Calibri"/>
                <w:b/>
                <w:sz w:val="21"/>
                <w:szCs w:val="21"/>
              </w:rPr>
            </w:pPr>
            <w:r w:rsidRPr="00EE5714">
              <w:rPr>
                <w:rFonts w:ascii="Calibri" w:hAnsi="Calibri"/>
                <w:b/>
                <w:sz w:val="21"/>
                <w:szCs w:val="21"/>
              </w:rPr>
              <w:t>PPL</w:t>
            </w:r>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7A459276"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11.33</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5A10A271"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11.26</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4B34A058"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12.68</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3CF81AE6"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10.06</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152CB59C"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8.85</w:t>
            </w:r>
          </w:p>
        </w:tc>
        <w:tc>
          <w:tcPr>
            <w:tcW w:w="1148" w:type="dxa"/>
            <w:tcBorders>
              <w:top w:val="single" w:sz="8" w:space="0" w:color="000000"/>
              <w:left w:val="nil"/>
              <w:bottom w:val="single" w:sz="8" w:space="0" w:color="000000"/>
              <w:right w:val="single" w:sz="8" w:space="0" w:color="000000"/>
            </w:tcBorders>
            <w:vAlign w:val="center"/>
          </w:tcPr>
          <w:p w14:paraId="6F3FE328"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8.94</w:t>
            </w:r>
          </w:p>
        </w:tc>
        <w:tc>
          <w:tcPr>
            <w:tcW w:w="1035" w:type="dxa"/>
            <w:tcBorders>
              <w:top w:val="single" w:sz="8" w:space="0" w:color="000000"/>
              <w:left w:val="nil"/>
              <w:bottom w:val="single" w:sz="8" w:space="0" w:color="000000"/>
              <w:right w:val="single" w:sz="8" w:space="0" w:color="000000"/>
            </w:tcBorders>
            <w:vAlign w:val="center"/>
          </w:tcPr>
          <w:p w14:paraId="00FA6C4C"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9.97</w:t>
            </w:r>
          </w:p>
        </w:tc>
        <w:tc>
          <w:tcPr>
            <w:tcW w:w="990" w:type="dxa"/>
            <w:tcBorders>
              <w:top w:val="single" w:sz="8" w:space="0" w:color="000000"/>
              <w:left w:val="nil"/>
              <w:bottom w:val="single" w:sz="8" w:space="0" w:color="000000"/>
              <w:right w:val="single" w:sz="12" w:space="0" w:color="000000"/>
            </w:tcBorders>
            <w:vAlign w:val="center"/>
          </w:tcPr>
          <w:p w14:paraId="22194F57"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7.73</w:t>
            </w:r>
          </w:p>
        </w:tc>
      </w:tr>
      <w:tr w:rsidR="006C2336" w:rsidRPr="00EE5714" w14:paraId="723AA3AF"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2FB7641E" w14:textId="77777777" w:rsidR="006C2336" w:rsidRPr="00EE5714" w:rsidRDefault="006C2336" w:rsidP="006C2336">
            <w:pPr>
              <w:keepNext/>
              <w:keepLines/>
              <w:spacing w:after="0" w:line="240" w:lineRule="auto"/>
              <w:rPr>
                <w:rFonts w:ascii="Calibri" w:hAnsi="Calibri"/>
                <w:b/>
                <w:sz w:val="21"/>
                <w:szCs w:val="21"/>
              </w:rPr>
            </w:pPr>
            <w:r w:rsidRPr="00EE5714">
              <w:rPr>
                <w:rFonts w:ascii="Calibri" w:hAnsi="Calibri"/>
                <w:b/>
                <w:sz w:val="21"/>
                <w:szCs w:val="21"/>
              </w:rPr>
              <w:t>West Penn</w:t>
            </w:r>
          </w:p>
        </w:tc>
        <w:tc>
          <w:tcPr>
            <w:tcW w:w="99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29889D14"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4.81</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78FEDB5C"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10.33</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6432431E"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10.59</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7745C8E9"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10.80</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4B398BE1"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2.27</w:t>
            </w:r>
          </w:p>
        </w:tc>
        <w:tc>
          <w:tcPr>
            <w:tcW w:w="1148" w:type="dxa"/>
            <w:tcBorders>
              <w:top w:val="single" w:sz="8" w:space="0" w:color="000000"/>
              <w:left w:val="nil"/>
              <w:bottom w:val="single" w:sz="8" w:space="0" w:color="000000"/>
              <w:right w:val="single" w:sz="8" w:space="0" w:color="000000"/>
            </w:tcBorders>
            <w:vAlign w:val="center"/>
          </w:tcPr>
          <w:p w14:paraId="79B80CAE"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8.09</w:t>
            </w:r>
          </w:p>
        </w:tc>
        <w:tc>
          <w:tcPr>
            <w:tcW w:w="1035" w:type="dxa"/>
            <w:tcBorders>
              <w:top w:val="single" w:sz="8" w:space="0" w:color="000000"/>
              <w:left w:val="nil"/>
              <w:bottom w:val="single" w:sz="8" w:space="0" w:color="000000"/>
              <w:right w:val="single" w:sz="8" w:space="0" w:color="000000"/>
            </w:tcBorders>
            <w:vAlign w:val="center"/>
          </w:tcPr>
          <w:p w14:paraId="24CB562A"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8.39</w:t>
            </w:r>
          </w:p>
        </w:tc>
        <w:tc>
          <w:tcPr>
            <w:tcW w:w="990" w:type="dxa"/>
            <w:tcBorders>
              <w:top w:val="single" w:sz="8" w:space="0" w:color="000000"/>
              <w:left w:val="nil"/>
              <w:bottom w:val="single" w:sz="8" w:space="0" w:color="000000"/>
              <w:right w:val="single" w:sz="12" w:space="0" w:color="000000"/>
            </w:tcBorders>
            <w:vAlign w:val="center"/>
          </w:tcPr>
          <w:p w14:paraId="27B552EA" w14:textId="77777777" w:rsidR="006C2336" w:rsidRPr="00EE5714" w:rsidRDefault="006C2336" w:rsidP="006C2336">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8.75</w:t>
            </w:r>
          </w:p>
        </w:tc>
      </w:tr>
    </w:tbl>
    <w:p w14:paraId="4EA6781E" w14:textId="77777777" w:rsidR="001225B1" w:rsidRPr="00EE5714" w:rsidRDefault="001225B1" w:rsidP="00F303E0">
      <w:pPr>
        <w:pStyle w:val="NoSpacing"/>
        <w:rPr>
          <w:rFonts w:cs="Times New Roman"/>
          <w:szCs w:val="26"/>
        </w:rPr>
      </w:pPr>
    </w:p>
    <w:p w14:paraId="635B075D" w14:textId="77777777" w:rsidR="00E63808" w:rsidRPr="00EE5714" w:rsidRDefault="00E63808" w:rsidP="00F303E0">
      <w:pPr>
        <w:pStyle w:val="NoSpacing"/>
        <w:rPr>
          <w:rFonts w:cs="Times New Roman"/>
          <w:szCs w:val="26"/>
        </w:rPr>
      </w:pPr>
    </w:p>
    <w:p w14:paraId="36366D47" w14:textId="77777777" w:rsidR="00B21301" w:rsidRPr="00EE5714" w:rsidRDefault="00F857A1" w:rsidP="00652F3A">
      <w:pPr>
        <w:keepNext/>
        <w:keepLines/>
        <w:spacing w:after="0" w:line="240" w:lineRule="auto"/>
        <w:rPr>
          <w:rFonts w:ascii="Times New Roman" w:hAnsi="Times New Roman" w:cs="Times New Roman"/>
          <w:b/>
          <w:sz w:val="26"/>
          <w:szCs w:val="26"/>
        </w:rPr>
      </w:pPr>
      <w:r w:rsidRPr="00EE5714">
        <w:rPr>
          <w:rFonts w:ascii="Times New Roman" w:hAnsi="Times New Roman" w:cs="Times New Roman"/>
          <w:sz w:val="26"/>
          <w:szCs w:val="26"/>
        </w:rPr>
        <w:t>Appendix 3</w:t>
      </w:r>
      <w:r w:rsidR="007C0BC7" w:rsidRPr="00EE5714">
        <w:rPr>
          <w:rFonts w:ascii="Times New Roman" w:hAnsi="Times New Roman" w:cs="Times New Roman"/>
          <w:sz w:val="26"/>
          <w:szCs w:val="26"/>
        </w:rPr>
        <w:t>.A.</w:t>
      </w:r>
      <w:r w:rsidR="00E63808" w:rsidRPr="00EE5714">
        <w:rPr>
          <w:rFonts w:ascii="Times New Roman" w:hAnsi="Times New Roman" w:cs="Times New Roman"/>
          <w:sz w:val="26"/>
          <w:szCs w:val="26"/>
        </w:rPr>
        <w:t>12</w:t>
      </w:r>
      <w:r w:rsidR="007C0BC7" w:rsidRPr="00EE5714">
        <w:rPr>
          <w:rFonts w:ascii="Times New Roman" w:hAnsi="Times New Roman" w:cs="Times New Roman"/>
          <w:sz w:val="26"/>
          <w:szCs w:val="26"/>
        </w:rPr>
        <w:t xml:space="preserve">: </w:t>
      </w:r>
      <w:r w:rsidR="00B21301" w:rsidRPr="00EE5714">
        <w:rPr>
          <w:rFonts w:ascii="Times New Roman" w:hAnsi="Times New Roman" w:cs="Times New Roman"/>
          <w:b/>
          <w:sz w:val="26"/>
          <w:szCs w:val="26"/>
        </w:rPr>
        <w:t>EDC Non-Heating Energy Burden of CAP LIHEAP Recipients</w:t>
      </w:r>
      <w:r w:rsidR="00B21301" w:rsidRPr="00EE5714">
        <w:rPr>
          <w:rFonts w:ascii="Times New Roman" w:hAnsi="Times New Roman" w:cs="Times New Roman"/>
          <w:sz w:val="26"/>
          <w:szCs w:val="26"/>
        </w:rPr>
        <w:t xml:space="preserve"> </w:t>
      </w:r>
      <w:r w:rsidR="00B21301" w:rsidRPr="00EE5714">
        <w:rPr>
          <w:rFonts w:ascii="Times New Roman" w:hAnsi="Times New Roman" w:cs="Times New Roman"/>
          <w:b/>
          <w:sz w:val="26"/>
          <w:szCs w:val="26"/>
        </w:rPr>
        <w:t xml:space="preserve">at </w:t>
      </w:r>
    </w:p>
    <w:p w14:paraId="610B053F" w14:textId="77777777" w:rsidR="00B21301" w:rsidRPr="00EE5714" w:rsidRDefault="00B21301" w:rsidP="00652F3A">
      <w:pPr>
        <w:keepNext/>
        <w:keepLines/>
        <w:spacing w:after="0" w:line="240" w:lineRule="auto"/>
        <w:rPr>
          <w:rFonts w:ascii="Times New Roman" w:hAnsi="Times New Roman" w:cs="Times New Roman"/>
          <w:sz w:val="26"/>
          <w:szCs w:val="26"/>
        </w:rPr>
      </w:pPr>
      <w:r w:rsidRPr="00EE5714">
        <w:rPr>
          <w:rFonts w:ascii="Times New Roman" w:hAnsi="Times New Roman" w:cs="Times New Roman"/>
          <w:b/>
          <w:sz w:val="26"/>
          <w:szCs w:val="26"/>
        </w:rPr>
        <w:t>101-150% FPIG</w:t>
      </w:r>
    </w:p>
    <w:tbl>
      <w:tblPr>
        <w:tblW w:w="10080" w:type="dxa"/>
        <w:tblInd w:w="-280" w:type="dxa"/>
        <w:tblLayout w:type="fixed"/>
        <w:tblLook w:val="04A0" w:firstRow="1" w:lastRow="0" w:firstColumn="1" w:lastColumn="0" w:noHBand="0" w:noVBand="1"/>
      </w:tblPr>
      <w:tblGrid>
        <w:gridCol w:w="1530"/>
        <w:gridCol w:w="900"/>
        <w:gridCol w:w="1080"/>
        <w:gridCol w:w="1080"/>
        <w:gridCol w:w="1170"/>
        <w:gridCol w:w="1170"/>
        <w:gridCol w:w="1125"/>
        <w:gridCol w:w="1035"/>
        <w:gridCol w:w="990"/>
      </w:tblGrid>
      <w:tr w:rsidR="005D2154" w:rsidRPr="00EE5714" w14:paraId="544CF56F" w14:textId="77777777" w:rsidTr="00463B0B">
        <w:trPr>
          <w:trHeight w:hRule="exact" w:val="418"/>
        </w:trPr>
        <w:tc>
          <w:tcPr>
            <w:tcW w:w="10080" w:type="dxa"/>
            <w:gridSpan w:val="9"/>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tcPr>
          <w:p w14:paraId="7ED53486" w14:textId="77777777" w:rsidR="005D2154" w:rsidRPr="00EE5714" w:rsidRDefault="005D2154">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Energy Burden of Non-Heating CAP LIHEAP Recipients at 101-150% FPIG</w:t>
            </w:r>
          </w:p>
        </w:tc>
      </w:tr>
      <w:tr w:rsidR="005D2154" w:rsidRPr="00EE5714" w14:paraId="7AF40A6E" w14:textId="77777777" w:rsidTr="00463B0B">
        <w:trPr>
          <w:trHeight w:hRule="exact" w:val="418"/>
        </w:trPr>
        <w:tc>
          <w:tcPr>
            <w:tcW w:w="153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27708DCD" w14:textId="77777777" w:rsidR="005D2154" w:rsidRPr="00EE5714" w:rsidRDefault="005D2154">
            <w:pPr>
              <w:keepNext/>
              <w:keepLines/>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230" w:type="dxa"/>
            <w:gridSpan w:val="4"/>
            <w:tcBorders>
              <w:top w:val="single" w:sz="12" w:space="0" w:color="000000"/>
              <w:left w:val="single" w:sz="12" w:space="0" w:color="000000"/>
              <w:bottom w:val="single" w:sz="8" w:space="0" w:color="000000"/>
              <w:right w:val="single" w:sz="12" w:space="0" w:color="000000"/>
            </w:tcBorders>
            <w:shd w:val="clear" w:color="auto" w:fill="auto"/>
            <w:noWrap/>
            <w:hideMark/>
          </w:tcPr>
          <w:p w14:paraId="23FCA939" w14:textId="77777777" w:rsidR="005D2154" w:rsidRPr="00EE5714" w:rsidRDefault="005D2154">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Without LIHEAP Dollars Applied  </w:t>
            </w:r>
          </w:p>
        </w:tc>
        <w:tc>
          <w:tcPr>
            <w:tcW w:w="4320" w:type="dxa"/>
            <w:gridSpan w:val="4"/>
            <w:tcBorders>
              <w:top w:val="single" w:sz="12" w:space="0" w:color="000000"/>
              <w:left w:val="single" w:sz="12" w:space="0" w:color="000000"/>
              <w:bottom w:val="single" w:sz="8" w:space="0" w:color="000000"/>
              <w:right w:val="single" w:sz="12" w:space="0" w:color="000000"/>
            </w:tcBorders>
          </w:tcPr>
          <w:p w14:paraId="2EF4A894" w14:textId="77777777" w:rsidR="005D2154" w:rsidRPr="00EE5714" w:rsidRDefault="005D2154">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With LIHEAP Dollars Applied</w:t>
            </w:r>
          </w:p>
        </w:tc>
      </w:tr>
      <w:tr w:rsidR="00463B0B" w:rsidRPr="00EE5714" w14:paraId="5D633186" w14:textId="77777777" w:rsidTr="00463B0B">
        <w:trPr>
          <w:trHeight w:hRule="exact" w:val="418"/>
        </w:trPr>
        <w:tc>
          <w:tcPr>
            <w:tcW w:w="153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7F4127E6" w14:textId="77777777" w:rsidR="005D2154" w:rsidRPr="00EE5714" w:rsidRDefault="005D2154">
            <w:pPr>
              <w:keepNext/>
              <w:keepLines/>
              <w:spacing w:after="0" w:line="240" w:lineRule="auto"/>
              <w:rPr>
                <w:rFonts w:ascii="Calibri" w:eastAsia="Times New Roman" w:hAnsi="Calibri" w:cs="Calibri"/>
                <w:color w:val="000000"/>
                <w:sz w:val="21"/>
                <w:szCs w:val="21"/>
              </w:rPr>
            </w:pPr>
          </w:p>
        </w:tc>
        <w:tc>
          <w:tcPr>
            <w:tcW w:w="900" w:type="dxa"/>
            <w:tcBorders>
              <w:top w:val="single" w:sz="8" w:space="0" w:color="000000"/>
              <w:left w:val="single" w:sz="12" w:space="0" w:color="000000"/>
              <w:bottom w:val="single" w:sz="8" w:space="0" w:color="000000"/>
              <w:right w:val="single" w:sz="4" w:space="0" w:color="000000"/>
            </w:tcBorders>
            <w:shd w:val="clear" w:color="auto" w:fill="F2F2F2" w:themeFill="background1" w:themeFillShade="F2"/>
            <w:noWrap/>
            <w:hideMark/>
          </w:tcPr>
          <w:p w14:paraId="01A4B232" w14:textId="77777777" w:rsidR="005D2154" w:rsidRPr="00EE5714" w:rsidRDefault="005D2154">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2654E396" w14:textId="77777777" w:rsidR="005D2154" w:rsidRPr="00EE5714" w:rsidRDefault="005D2154">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21ABA68B" w14:textId="77777777" w:rsidR="005D2154" w:rsidRPr="00EE5714" w:rsidRDefault="005D2154">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170" w:type="dxa"/>
            <w:tcBorders>
              <w:top w:val="single" w:sz="8" w:space="0" w:color="000000"/>
              <w:left w:val="nil"/>
              <w:bottom w:val="single" w:sz="8" w:space="0" w:color="000000"/>
              <w:right w:val="single" w:sz="12" w:space="0" w:color="000000"/>
            </w:tcBorders>
            <w:shd w:val="clear" w:color="auto" w:fill="F2F2F2" w:themeFill="background1" w:themeFillShade="F2"/>
            <w:noWrap/>
            <w:hideMark/>
          </w:tcPr>
          <w:p w14:paraId="5120F88D" w14:textId="77777777" w:rsidR="005D2154" w:rsidRPr="00EE5714" w:rsidRDefault="005D2154">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170" w:type="dxa"/>
            <w:tcBorders>
              <w:top w:val="single" w:sz="8" w:space="0" w:color="000000"/>
              <w:left w:val="single" w:sz="12" w:space="0" w:color="000000"/>
              <w:bottom w:val="single" w:sz="8" w:space="0" w:color="000000"/>
              <w:right w:val="single" w:sz="8" w:space="0" w:color="000000"/>
            </w:tcBorders>
            <w:shd w:val="clear" w:color="auto" w:fill="F2F2F2" w:themeFill="background1" w:themeFillShade="F2"/>
          </w:tcPr>
          <w:p w14:paraId="78EC1771" w14:textId="77777777" w:rsidR="005D2154" w:rsidRPr="00EE5714" w:rsidRDefault="005D2154">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25" w:type="dxa"/>
            <w:tcBorders>
              <w:top w:val="single" w:sz="8" w:space="0" w:color="000000"/>
              <w:left w:val="nil"/>
              <w:bottom w:val="single" w:sz="8" w:space="0" w:color="000000"/>
              <w:right w:val="single" w:sz="8" w:space="0" w:color="000000"/>
            </w:tcBorders>
            <w:shd w:val="clear" w:color="auto" w:fill="F2F2F2" w:themeFill="background1" w:themeFillShade="F2"/>
          </w:tcPr>
          <w:p w14:paraId="144C46E2" w14:textId="77777777" w:rsidR="005D2154" w:rsidRPr="00EE5714" w:rsidRDefault="005D2154">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35" w:type="dxa"/>
            <w:tcBorders>
              <w:top w:val="single" w:sz="8" w:space="0" w:color="000000"/>
              <w:left w:val="nil"/>
              <w:bottom w:val="single" w:sz="8" w:space="0" w:color="000000"/>
              <w:right w:val="single" w:sz="8" w:space="0" w:color="000000"/>
            </w:tcBorders>
            <w:shd w:val="clear" w:color="auto" w:fill="F2F2F2" w:themeFill="background1" w:themeFillShade="F2"/>
          </w:tcPr>
          <w:p w14:paraId="4D481741" w14:textId="77777777" w:rsidR="005D2154" w:rsidRPr="00EE5714" w:rsidRDefault="005D2154">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90" w:type="dxa"/>
            <w:tcBorders>
              <w:top w:val="single" w:sz="8" w:space="0" w:color="000000"/>
              <w:left w:val="nil"/>
              <w:bottom w:val="single" w:sz="8" w:space="0" w:color="000000"/>
              <w:right w:val="single" w:sz="12" w:space="0" w:color="000000"/>
            </w:tcBorders>
            <w:shd w:val="clear" w:color="auto" w:fill="F2F2F2" w:themeFill="background1" w:themeFillShade="F2"/>
          </w:tcPr>
          <w:p w14:paraId="61B0F992" w14:textId="77777777" w:rsidR="005D2154" w:rsidRPr="00EE5714" w:rsidRDefault="005D2154">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5D2154" w:rsidRPr="00EE5714" w14:paraId="209C5FD4" w14:textId="77777777" w:rsidTr="00463B0B">
        <w:trPr>
          <w:trHeight w:hRule="exact" w:val="245"/>
        </w:trPr>
        <w:tc>
          <w:tcPr>
            <w:tcW w:w="1530" w:type="dxa"/>
            <w:tcBorders>
              <w:top w:val="single" w:sz="8" w:space="0" w:color="000000"/>
              <w:left w:val="single" w:sz="8" w:space="0" w:color="000000"/>
              <w:bottom w:val="single" w:sz="8" w:space="0" w:color="000000"/>
              <w:right w:val="single" w:sz="12" w:space="0" w:color="000000"/>
            </w:tcBorders>
            <w:shd w:val="clear" w:color="auto" w:fill="auto"/>
            <w:noWrap/>
          </w:tcPr>
          <w:p w14:paraId="416FD991" w14:textId="77777777" w:rsidR="005D2154" w:rsidRPr="00EE5714" w:rsidRDefault="005D2154">
            <w:pPr>
              <w:keepNext/>
              <w:keepLines/>
              <w:spacing w:after="0" w:line="240" w:lineRule="auto"/>
              <w:rPr>
                <w:rFonts w:ascii="Calibri" w:hAnsi="Calibri"/>
                <w:b/>
                <w:sz w:val="21"/>
                <w:szCs w:val="21"/>
              </w:rPr>
            </w:pPr>
            <w:r w:rsidRPr="00EE5714">
              <w:rPr>
                <w:rFonts w:ascii="Calibri" w:hAnsi="Calibri"/>
                <w:b/>
                <w:sz w:val="21"/>
                <w:szCs w:val="21"/>
              </w:rPr>
              <w:t>Duquesne</w:t>
            </w:r>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7AFA5B20"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7.60</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7186D774"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7.60</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5D046EA8"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7.18</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0E160411"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8.05</w:t>
            </w:r>
          </w:p>
        </w:tc>
        <w:tc>
          <w:tcPr>
            <w:tcW w:w="117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7DA6BC44"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5.44</w:t>
            </w:r>
          </w:p>
        </w:tc>
        <w:tc>
          <w:tcPr>
            <w:tcW w:w="1125" w:type="dxa"/>
            <w:tcBorders>
              <w:top w:val="single" w:sz="8" w:space="0" w:color="000000"/>
              <w:left w:val="nil"/>
              <w:bottom w:val="single" w:sz="8" w:space="0" w:color="000000"/>
              <w:right w:val="single" w:sz="8" w:space="0" w:color="000000"/>
            </w:tcBorders>
            <w:vAlign w:val="center"/>
          </w:tcPr>
          <w:p w14:paraId="00917079"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5.44</w:t>
            </w:r>
          </w:p>
        </w:tc>
        <w:tc>
          <w:tcPr>
            <w:tcW w:w="1035" w:type="dxa"/>
            <w:tcBorders>
              <w:top w:val="single" w:sz="8" w:space="0" w:color="000000"/>
              <w:left w:val="nil"/>
              <w:bottom w:val="single" w:sz="8" w:space="0" w:color="000000"/>
              <w:right w:val="single" w:sz="8" w:space="0" w:color="000000"/>
            </w:tcBorders>
            <w:vAlign w:val="center"/>
          </w:tcPr>
          <w:p w14:paraId="6694777E"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5.62</w:t>
            </w:r>
          </w:p>
        </w:tc>
        <w:tc>
          <w:tcPr>
            <w:tcW w:w="990" w:type="dxa"/>
            <w:tcBorders>
              <w:top w:val="single" w:sz="8" w:space="0" w:color="000000"/>
              <w:left w:val="nil"/>
              <w:bottom w:val="single" w:sz="8" w:space="0" w:color="000000"/>
              <w:right w:val="single" w:sz="12" w:space="0" w:color="000000"/>
            </w:tcBorders>
            <w:vAlign w:val="center"/>
          </w:tcPr>
          <w:p w14:paraId="68B91D0D"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5.57</w:t>
            </w:r>
          </w:p>
        </w:tc>
      </w:tr>
      <w:tr w:rsidR="005D2154" w:rsidRPr="00EE5714" w14:paraId="483B1EA2" w14:textId="77777777" w:rsidTr="00463B0B">
        <w:trPr>
          <w:trHeight w:hRule="exact" w:val="245"/>
        </w:trPr>
        <w:tc>
          <w:tcPr>
            <w:tcW w:w="1530" w:type="dxa"/>
            <w:tcBorders>
              <w:top w:val="single" w:sz="8" w:space="0" w:color="000000"/>
              <w:left w:val="single" w:sz="8" w:space="0" w:color="000000"/>
              <w:bottom w:val="single" w:sz="8" w:space="0" w:color="000000"/>
              <w:right w:val="single" w:sz="12" w:space="0" w:color="000000"/>
            </w:tcBorders>
            <w:shd w:val="clear" w:color="auto" w:fill="auto"/>
            <w:noWrap/>
          </w:tcPr>
          <w:p w14:paraId="2A151545" w14:textId="77777777" w:rsidR="005D2154" w:rsidRPr="00EE5714" w:rsidRDefault="005D2154">
            <w:pPr>
              <w:keepNext/>
              <w:keepLines/>
              <w:spacing w:after="0" w:line="240" w:lineRule="auto"/>
              <w:rPr>
                <w:rFonts w:ascii="Calibri" w:hAnsi="Calibri"/>
                <w:b/>
                <w:sz w:val="21"/>
                <w:szCs w:val="21"/>
              </w:rPr>
            </w:pPr>
            <w:r w:rsidRPr="00EE5714">
              <w:rPr>
                <w:rFonts w:ascii="Calibri" w:hAnsi="Calibri"/>
                <w:b/>
                <w:sz w:val="21"/>
                <w:szCs w:val="21"/>
              </w:rPr>
              <w:t>Met-Ed</w:t>
            </w:r>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05DDB5F6"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4.05</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59A5332"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5.90</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C765AD0"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5.42</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5386B980"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5.69</w:t>
            </w:r>
          </w:p>
        </w:tc>
        <w:tc>
          <w:tcPr>
            <w:tcW w:w="117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72873877"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2.57</w:t>
            </w:r>
          </w:p>
        </w:tc>
        <w:tc>
          <w:tcPr>
            <w:tcW w:w="1125" w:type="dxa"/>
            <w:tcBorders>
              <w:top w:val="single" w:sz="8" w:space="0" w:color="000000"/>
              <w:left w:val="nil"/>
              <w:bottom w:val="single" w:sz="8" w:space="0" w:color="000000"/>
              <w:right w:val="single" w:sz="8" w:space="0" w:color="000000"/>
            </w:tcBorders>
            <w:vAlign w:val="center"/>
          </w:tcPr>
          <w:p w14:paraId="488E2CAF"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4.43</w:t>
            </w:r>
          </w:p>
        </w:tc>
        <w:tc>
          <w:tcPr>
            <w:tcW w:w="1035" w:type="dxa"/>
            <w:tcBorders>
              <w:top w:val="single" w:sz="8" w:space="0" w:color="000000"/>
              <w:left w:val="nil"/>
              <w:bottom w:val="single" w:sz="8" w:space="0" w:color="000000"/>
              <w:right w:val="single" w:sz="8" w:space="0" w:color="000000"/>
            </w:tcBorders>
            <w:vAlign w:val="center"/>
          </w:tcPr>
          <w:p w14:paraId="11550E5E"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4.02</w:t>
            </w:r>
          </w:p>
        </w:tc>
        <w:tc>
          <w:tcPr>
            <w:tcW w:w="990" w:type="dxa"/>
            <w:tcBorders>
              <w:top w:val="single" w:sz="8" w:space="0" w:color="000000"/>
              <w:left w:val="nil"/>
              <w:bottom w:val="single" w:sz="8" w:space="0" w:color="000000"/>
              <w:right w:val="single" w:sz="12" w:space="0" w:color="000000"/>
            </w:tcBorders>
            <w:vAlign w:val="center"/>
          </w:tcPr>
          <w:p w14:paraId="0714E8FE"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4.31</w:t>
            </w:r>
          </w:p>
        </w:tc>
      </w:tr>
      <w:tr w:rsidR="005D2154" w:rsidRPr="00EE5714" w14:paraId="598E1136" w14:textId="77777777" w:rsidTr="00463B0B">
        <w:trPr>
          <w:trHeight w:hRule="exact" w:val="245"/>
        </w:trPr>
        <w:tc>
          <w:tcPr>
            <w:tcW w:w="1530" w:type="dxa"/>
            <w:tcBorders>
              <w:top w:val="single" w:sz="8" w:space="0" w:color="000000"/>
              <w:left w:val="single" w:sz="8" w:space="0" w:color="000000"/>
              <w:bottom w:val="single" w:sz="8" w:space="0" w:color="000000"/>
              <w:right w:val="single" w:sz="12" w:space="0" w:color="000000"/>
            </w:tcBorders>
            <w:shd w:val="clear" w:color="auto" w:fill="auto"/>
            <w:noWrap/>
          </w:tcPr>
          <w:p w14:paraId="1F12F5D6" w14:textId="77777777" w:rsidR="005D2154" w:rsidRPr="00EE5714" w:rsidRDefault="005D2154">
            <w:pPr>
              <w:keepNext/>
              <w:keepLines/>
              <w:spacing w:after="0" w:line="240" w:lineRule="auto"/>
              <w:rPr>
                <w:rFonts w:ascii="Calibri" w:hAnsi="Calibri"/>
                <w:b/>
                <w:sz w:val="21"/>
                <w:szCs w:val="21"/>
              </w:rPr>
            </w:pPr>
            <w:r w:rsidRPr="00EE5714">
              <w:rPr>
                <w:rFonts w:ascii="Calibri" w:hAnsi="Calibri"/>
                <w:b/>
                <w:sz w:val="21"/>
                <w:szCs w:val="21"/>
              </w:rPr>
              <w:t>PECO Electric</w:t>
            </w:r>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356DC312"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3.86</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4EE16972"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3.85</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3897276F"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3.70</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19D0B22E"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3.73</w:t>
            </w:r>
          </w:p>
        </w:tc>
        <w:tc>
          <w:tcPr>
            <w:tcW w:w="117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765054EA"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2.36</w:t>
            </w:r>
          </w:p>
        </w:tc>
        <w:tc>
          <w:tcPr>
            <w:tcW w:w="1125" w:type="dxa"/>
            <w:tcBorders>
              <w:top w:val="single" w:sz="8" w:space="0" w:color="000000"/>
              <w:left w:val="nil"/>
              <w:bottom w:val="single" w:sz="8" w:space="0" w:color="000000"/>
              <w:right w:val="single" w:sz="8" w:space="0" w:color="000000"/>
            </w:tcBorders>
            <w:vAlign w:val="center"/>
          </w:tcPr>
          <w:p w14:paraId="02D69CC8"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2.57</w:t>
            </w:r>
          </w:p>
        </w:tc>
        <w:tc>
          <w:tcPr>
            <w:tcW w:w="1035" w:type="dxa"/>
            <w:tcBorders>
              <w:top w:val="single" w:sz="8" w:space="0" w:color="000000"/>
              <w:left w:val="nil"/>
              <w:bottom w:val="single" w:sz="8" w:space="0" w:color="000000"/>
              <w:right w:val="single" w:sz="8" w:space="0" w:color="000000"/>
            </w:tcBorders>
            <w:vAlign w:val="center"/>
          </w:tcPr>
          <w:p w14:paraId="7E495D39"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2.39</w:t>
            </w:r>
          </w:p>
        </w:tc>
        <w:tc>
          <w:tcPr>
            <w:tcW w:w="990" w:type="dxa"/>
            <w:tcBorders>
              <w:top w:val="single" w:sz="8" w:space="0" w:color="000000"/>
              <w:left w:val="nil"/>
              <w:bottom w:val="single" w:sz="8" w:space="0" w:color="000000"/>
              <w:right w:val="single" w:sz="12" w:space="0" w:color="000000"/>
            </w:tcBorders>
            <w:vAlign w:val="center"/>
          </w:tcPr>
          <w:p w14:paraId="5F8A593B"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2.26</w:t>
            </w:r>
          </w:p>
        </w:tc>
      </w:tr>
      <w:tr w:rsidR="005D2154" w:rsidRPr="00EE5714" w14:paraId="7CDA92C0" w14:textId="77777777" w:rsidTr="00463B0B">
        <w:trPr>
          <w:trHeight w:hRule="exact" w:val="245"/>
        </w:trPr>
        <w:tc>
          <w:tcPr>
            <w:tcW w:w="1530" w:type="dxa"/>
            <w:tcBorders>
              <w:top w:val="single" w:sz="8" w:space="0" w:color="000000"/>
              <w:left w:val="single" w:sz="8" w:space="0" w:color="000000"/>
              <w:bottom w:val="single" w:sz="8" w:space="0" w:color="000000"/>
              <w:right w:val="single" w:sz="12" w:space="0" w:color="000000"/>
            </w:tcBorders>
            <w:shd w:val="clear" w:color="auto" w:fill="auto"/>
            <w:noWrap/>
          </w:tcPr>
          <w:p w14:paraId="3A372A38" w14:textId="77777777" w:rsidR="005D2154" w:rsidRPr="00EE5714" w:rsidRDefault="005D2154">
            <w:pPr>
              <w:keepNext/>
              <w:keepLines/>
              <w:spacing w:after="0" w:line="240" w:lineRule="auto"/>
              <w:rPr>
                <w:rFonts w:ascii="Calibri" w:hAnsi="Calibri"/>
                <w:b/>
                <w:sz w:val="21"/>
                <w:szCs w:val="21"/>
              </w:rPr>
            </w:pPr>
            <w:proofErr w:type="spellStart"/>
            <w:r w:rsidRPr="00EE5714">
              <w:rPr>
                <w:rFonts w:ascii="Calibri" w:hAnsi="Calibri"/>
                <w:b/>
                <w:sz w:val="21"/>
                <w:szCs w:val="21"/>
              </w:rPr>
              <w:t>Penelec</w:t>
            </w:r>
            <w:proofErr w:type="spellEnd"/>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715B8BDE"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4.52</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6011C892"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8.19</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5486BDF"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6.67</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665F13E4"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6.36</w:t>
            </w:r>
          </w:p>
        </w:tc>
        <w:tc>
          <w:tcPr>
            <w:tcW w:w="117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688AEF69"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3.11</w:t>
            </w:r>
          </w:p>
        </w:tc>
        <w:tc>
          <w:tcPr>
            <w:tcW w:w="1125" w:type="dxa"/>
            <w:tcBorders>
              <w:top w:val="single" w:sz="8" w:space="0" w:color="000000"/>
              <w:left w:val="nil"/>
              <w:bottom w:val="single" w:sz="8" w:space="0" w:color="000000"/>
              <w:right w:val="single" w:sz="8" w:space="0" w:color="000000"/>
            </w:tcBorders>
            <w:vAlign w:val="center"/>
          </w:tcPr>
          <w:p w14:paraId="350F8A54"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6.93</w:t>
            </w:r>
          </w:p>
        </w:tc>
        <w:tc>
          <w:tcPr>
            <w:tcW w:w="1035" w:type="dxa"/>
            <w:tcBorders>
              <w:top w:val="single" w:sz="8" w:space="0" w:color="000000"/>
              <w:left w:val="nil"/>
              <w:bottom w:val="single" w:sz="8" w:space="0" w:color="000000"/>
              <w:right w:val="single" w:sz="8" w:space="0" w:color="000000"/>
            </w:tcBorders>
            <w:vAlign w:val="center"/>
          </w:tcPr>
          <w:p w14:paraId="303A83AC"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5.48</w:t>
            </w:r>
          </w:p>
        </w:tc>
        <w:tc>
          <w:tcPr>
            <w:tcW w:w="990" w:type="dxa"/>
            <w:tcBorders>
              <w:top w:val="single" w:sz="8" w:space="0" w:color="000000"/>
              <w:left w:val="nil"/>
              <w:bottom w:val="single" w:sz="8" w:space="0" w:color="000000"/>
              <w:right w:val="single" w:sz="12" w:space="0" w:color="000000"/>
            </w:tcBorders>
            <w:vAlign w:val="center"/>
          </w:tcPr>
          <w:p w14:paraId="4FDA1814"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5.14</w:t>
            </w:r>
          </w:p>
        </w:tc>
      </w:tr>
      <w:tr w:rsidR="005D2154" w:rsidRPr="00EE5714" w14:paraId="53A0965B" w14:textId="77777777" w:rsidTr="00463B0B">
        <w:trPr>
          <w:trHeight w:hRule="exact" w:val="245"/>
        </w:trPr>
        <w:tc>
          <w:tcPr>
            <w:tcW w:w="1530" w:type="dxa"/>
            <w:tcBorders>
              <w:top w:val="single" w:sz="8" w:space="0" w:color="000000"/>
              <w:left w:val="single" w:sz="8" w:space="0" w:color="000000"/>
              <w:bottom w:val="single" w:sz="8" w:space="0" w:color="000000"/>
              <w:right w:val="single" w:sz="12" w:space="0" w:color="000000"/>
            </w:tcBorders>
            <w:shd w:val="clear" w:color="auto" w:fill="auto"/>
            <w:noWrap/>
          </w:tcPr>
          <w:p w14:paraId="683CC7A2" w14:textId="77777777" w:rsidR="005D2154" w:rsidRPr="00EE5714" w:rsidRDefault="005D2154">
            <w:pPr>
              <w:keepNext/>
              <w:keepLines/>
              <w:spacing w:after="0" w:line="240" w:lineRule="auto"/>
              <w:rPr>
                <w:rFonts w:ascii="Calibri" w:hAnsi="Calibri"/>
                <w:b/>
                <w:sz w:val="21"/>
                <w:szCs w:val="21"/>
              </w:rPr>
            </w:pPr>
            <w:r w:rsidRPr="00EE5714">
              <w:rPr>
                <w:rFonts w:ascii="Calibri" w:hAnsi="Calibri"/>
                <w:b/>
                <w:sz w:val="21"/>
                <w:szCs w:val="21"/>
              </w:rPr>
              <w:t>Penn Power</w:t>
            </w:r>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7EC383AA"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4.17</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D9F0D97"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7.46</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49D92502"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6.91</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2A6D9EAF"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7.26</w:t>
            </w:r>
          </w:p>
        </w:tc>
        <w:tc>
          <w:tcPr>
            <w:tcW w:w="117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4A6D7B10"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2.97</w:t>
            </w:r>
          </w:p>
        </w:tc>
        <w:tc>
          <w:tcPr>
            <w:tcW w:w="1125" w:type="dxa"/>
            <w:tcBorders>
              <w:top w:val="single" w:sz="8" w:space="0" w:color="000000"/>
              <w:left w:val="nil"/>
              <w:bottom w:val="single" w:sz="8" w:space="0" w:color="000000"/>
              <w:right w:val="single" w:sz="8" w:space="0" w:color="000000"/>
            </w:tcBorders>
            <w:vAlign w:val="center"/>
          </w:tcPr>
          <w:p w14:paraId="6516E655"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6.23</w:t>
            </w:r>
          </w:p>
        </w:tc>
        <w:tc>
          <w:tcPr>
            <w:tcW w:w="1035" w:type="dxa"/>
            <w:tcBorders>
              <w:top w:val="single" w:sz="8" w:space="0" w:color="000000"/>
              <w:left w:val="nil"/>
              <w:bottom w:val="single" w:sz="8" w:space="0" w:color="000000"/>
              <w:right w:val="single" w:sz="8" w:space="0" w:color="000000"/>
            </w:tcBorders>
            <w:vAlign w:val="center"/>
          </w:tcPr>
          <w:p w14:paraId="3A8F3CB2"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5.72</w:t>
            </w:r>
          </w:p>
        </w:tc>
        <w:tc>
          <w:tcPr>
            <w:tcW w:w="990" w:type="dxa"/>
            <w:tcBorders>
              <w:top w:val="single" w:sz="8" w:space="0" w:color="000000"/>
              <w:left w:val="nil"/>
              <w:bottom w:val="single" w:sz="8" w:space="0" w:color="000000"/>
              <w:right w:val="single" w:sz="12" w:space="0" w:color="000000"/>
            </w:tcBorders>
            <w:vAlign w:val="center"/>
          </w:tcPr>
          <w:p w14:paraId="24184F22"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5.88</w:t>
            </w:r>
          </w:p>
        </w:tc>
      </w:tr>
      <w:tr w:rsidR="005D2154" w:rsidRPr="00EE5714" w14:paraId="49F65424" w14:textId="77777777" w:rsidTr="00463B0B">
        <w:trPr>
          <w:trHeight w:hRule="exact" w:val="245"/>
        </w:trPr>
        <w:tc>
          <w:tcPr>
            <w:tcW w:w="1530" w:type="dxa"/>
            <w:tcBorders>
              <w:top w:val="single" w:sz="8" w:space="0" w:color="000000"/>
              <w:left w:val="single" w:sz="8" w:space="0" w:color="000000"/>
              <w:bottom w:val="single" w:sz="8" w:space="0" w:color="000000"/>
              <w:right w:val="single" w:sz="12" w:space="0" w:color="000000"/>
            </w:tcBorders>
            <w:shd w:val="clear" w:color="auto" w:fill="auto"/>
            <w:noWrap/>
          </w:tcPr>
          <w:p w14:paraId="52B4F414" w14:textId="77777777" w:rsidR="005D2154" w:rsidRPr="00EE5714" w:rsidRDefault="005D2154">
            <w:pPr>
              <w:keepNext/>
              <w:keepLines/>
              <w:spacing w:after="0" w:line="240" w:lineRule="auto"/>
              <w:rPr>
                <w:rFonts w:ascii="Calibri" w:hAnsi="Calibri"/>
                <w:b/>
                <w:sz w:val="21"/>
                <w:szCs w:val="21"/>
              </w:rPr>
            </w:pPr>
            <w:r w:rsidRPr="00EE5714">
              <w:rPr>
                <w:rFonts w:ascii="Calibri" w:hAnsi="Calibri"/>
                <w:b/>
                <w:sz w:val="21"/>
                <w:szCs w:val="21"/>
              </w:rPr>
              <w:t>PPL</w:t>
            </w:r>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03048700"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6.64</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5FBBB568"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8.02</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3F2B4FA5"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8.76</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7B9B36E4"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6.83</w:t>
            </w:r>
          </w:p>
        </w:tc>
        <w:tc>
          <w:tcPr>
            <w:tcW w:w="117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0C95D3C0"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5.04</w:t>
            </w:r>
          </w:p>
        </w:tc>
        <w:tc>
          <w:tcPr>
            <w:tcW w:w="1125" w:type="dxa"/>
            <w:tcBorders>
              <w:top w:val="single" w:sz="8" w:space="0" w:color="000000"/>
              <w:left w:val="nil"/>
              <w:bottom w:val="single" w:sz="8" w:space="0" w:color="000000"/>
              <w:right w:val="single" w:sz="8" w:space="0" w:color="000000"/>
            </w:tcBorders>
            <w:vAlign w:val="center"/>
          </w:tcPr>
          <w:p w14:paraId="6AE9173B"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6.54</w:t>
            </w:r>
          </w:p>
        </w:tc>
        <w:tc>
          <w:tcPr>
            <w:tcW w:w="1035" w:type="dxa"/>
            <w:tcBorders>
              <w:top w:val="single" w:sz="8" w:space="0" w:color="000000"/>
              <w:left w:val="nil"/>
              <w:bottom w:val="single" w:sz="8" w:space="0" w:color="000000"/>
              <w:right w:val="single" w:sz="8" w:space="0" w:color="000000"/>
            </w:tcBorders>
            <w:vAlign w:val="center"/>
          </w:tcPr>
          <w:p w14:paraId="0B2D3244"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7.09</w:t>
            </w:r>
          </w:p>
        </w:tc>
        <w:tc>
          <w:tcPr>
            <w:tcW w:w="990" w:type="dxa"/>
            <w:tcBorders>
              <w:top w:val="single" w:sz="8" w:space="0" w:color="000000"/>
              <w:left w:val="nil"/>
              <w:bottom w:val="single" w:sz="8" w:space="0" w:color="000000"/>
              <w:right w:val="single" w:sz="12" w:space="0" w:color="000000"/>
            </w:tcBorders>
            <w:vAlign w:val="center"/>
          </w:tcPr>
          <w:p w14:paraId="5FEE09AE"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5.38</w:t>
            </w:r>
          </w:p>
        </w:tc>
      </w:tr>
      <w:tr w:rsidR="005D2154" w:rsidRPr="00EE5714" w14:paraId="131B5B0B" w14:textId="77777777" w:rsidTr="00463B0B">
        <w:trPr>
          <w:trHeight w:hRule="exact" w:val="245"/>
        </w:trPr>
        <w:tc>
          <w:tcPr>
            <w:tcW w:w="1530" w:type="dxa"/>
            <w:tcBorders>
              <w:top w:val="single" w:sz="8" w:space="0" w:color="000000"/>
              <w:left w:val="single" w:sz="8" w:space="0" w:color="000000"/>
              <w:bottom w:val="single" w:sz="8" w:space="0" w:color="000000"/>
              <w:right w:val="single" w:sz="12" w:space="0" w:color="000000"/>
            </w:tcBorders>
            <w:shd w:val="clear" w:color="auto" w:fill="auto"/>
            <w:noWrap/>
          </w:tcPr>
          <w:p w14:paraId="0A06D38E" w14:textId="77777777" w:rsidR="005D2154" w:rsidRPr="00EE5714" w:rsidRDefault="005D2154">
            <w:pPr>
              <w:keepNext/>
              <w:keepLines/>
              <w:spacing w:after="0" w:line="240" w:lineRule="auto"/>
              <w:rPr>
                <w:rFonts w:ascii="Calibri" w:hAnsi="Calibri"/>
                <w:b/>
                <w:sz w:val="21"/>
                <w:szCs w:val="21"/>
              </w:rPr>
            </w:pPr>
            <w:r w:rsidRPr="00EE5714">
              <w:rPr>
                <w:rFonts w:ascii="Calibri" w:hAnsi="Calibri"/>
                <w:b/>
                <w:sz w:val="21"/>
                <w:szCs w:val="21"/>
              </w:rPr>
              <w:t>West Penn</w:t>
            </w:r>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42EEA655"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3.14</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586FEA1D"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7.07</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58752F34"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6.48</w:t>
            </w:r>
          </w:p>
        </w:tc>
        <w:tc>
          <w:tcPr>
            <w:tcW w:w="1170" w:type="dxa"/>
            <w:tcBorders>
              <w:top w:val="single" w:sz="8" w:space="0" w:color="000000"/>
              <w:left w:val="nil"/>
              <w:bottom w:val="single" w:sz="8" w:space="0" w:color="000000"/>
              <w:right w:val="single" w:sz="12" w:space="0" w:color="000000"/>
            </w:tcBorders>
            <w:shd w:val="clear" w:color="auto" w:fill="auto"/>
            <w:noWrap/>
            <w:vAlign w:val="center"/>
          </w:tcPr>
          <w:p w14:paraId="22A0C179"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6.64</w:t>
            </w:r>
          </w:p>
        </w:tc>
        <w:tc>
          <w:tcPr>
            <w:tcW w:w="117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0C2B01CC"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1.51</w:t>
            </w:r>
          </w:p>
        </w:tc>
        <w:tc>
          <w:tcPr>
            <w:tcW w:w="1125" w:type="dxa"/>
            <w:tcBorders>
              <w:top w:val="single" w:sz="8" w:space="0" w:color="000000"/>
              <w:left w:val="nil"/>
              <w:bottom w:val="single" w:sz="8" w:space="0" w:color="000000"/>
              <w:right w:val="single" w:sz="8" w:space="0" w:color="000000"/>
            </w:tcBorders>
            <w:vAlign w:val="center"/>
          </w:tcPr>
          <w:p w14:paraId="68F0A37B"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5.65</w:t>
            </w:r>
          </w:p>
        </w:tc>
        <w:tc>
          <w:tcPr>
            <w:tcW w:w="1035" w:type="dxa"/>
            <w:tcBorders>
              <w:top w:val="single" w:sz="8" w:space="0" w:color="000000"/>
              <w:left w:val="nil"/>
              <w:bottom w:val="single" w:sz="8" w:space="0" w:color="000000"/>
              <w:right w:val="single" w:sz="8" w:space="0" w:color="000000"/>
            </w:tcBorders>
            <w:vAlign w:val="center"/>
          </w:tcPr>
          <w:p w14:paraId="72BCA49C"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5.26</w:t>
            </w:r>
          </w:p>
        </w:tc>
        <w:tc>
          <w:tcPr>
            <w:tcW w:w="990" w:type="dxa"/>
            <w:tcBorders>
              <w:top w:val="single" w:sz="8" w:space="0" w:color="000000"/>
              <w:left w:val="nil"/>
              <w:bottom w:val="single" w:sz="8" w:space="0" w:color="000000"/>
              <w:right w:val="single" w:sz="12" w:space="0" w:color="000000"/>
            </w:tcBorders>
            <w:vAlign w:val="center"/>
          </w:tcPr>
          <w:p w14:paraId="4A03E956" w14:textId="77777777" w:rsidR="005D2154" w:rsidRPr="00EE5714" w:rsidRDefault="005D2154"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5.33</w:t>
            </w:r>
          </w:p>
        </w:tc>
      </w:tr>
    </w:tbl>
    <w:p w14:paraId="1B805D76" w14:textId="77777777" w:rsidR="001225B1" w:rsidRPr="00EE5714" w:rsidRDefault="001225B1" w:rsidP="00F303E0">
      <w:pPr>
        <w:pStyle w:val="NoSpacing"/>
        <w:rPr>
          <w:rFonts w:cs="Times New Roman"/>
          <w:szCs w:val="26"/>
        </w:rPr>
      </w:pPr>
    </w:p>
    <w:p w14:paraId="268E2EA4" w14:textId="77777777" w:rsidR="001225B1" w:rsidRPr="00EE5714" w:rsidRDefault="001225B1" w:rsidP="00F303E0">
      <w:pPr>
        <w:pStyle w:val="NoSpacing"/>
        <w:rPr>
          <w:rFonts w:cs="Times New Roman"/>
          <w:szCs w:val="26"/>
        </w:rPr>
      </w:pPr>
    </w:p>
    <w:p w14:paraId="37A01AF3" w14:textId="77777777" w:rsidR="00F303E0" w:rsidRPr="00EE5714" w:rsidRDefault="00F857A1" w:rsidP="00F303E0">
      <w:pPr>
        <w:pStyle w:val="NoSpacing"/>
        <w:rPr>
          <w:rFonts w:cs="Times New Roman"/>
          <w:szCs w:val="26"/>
        </w:rPr>
      </w:pPr>
      <w:r w:rsidRPr="00EE5714">
        <w:rPr>
          <w:rFonts w:cs="Times New Roman"/>
          <w:szCs w:val="26"/>
        </w:rPr>
        <w:t>Appendix 3</w:t>
      </w:r>
      <w:r w:rsidR="00F303E0" w:rsidRPr="00EE5714">
        <w:rPr>
          <w:rFonts w:cs="Times New Roman"/>
          <w:szCs w:val="26"/>
        </w:rPr>
        <w:t>.A.</w:t>
      </w:r>
      <w:r w:rsidR="0086427C" w:rsidRPr="00EE5714">
        <w:rPr>
          <w:rFonts w:cs="Times New Roman"/>
          <w:szCs w:val="26"/>
        </w:rPr>
        <w:t>13</w:t>
      </w:r>
      <w:r w:rsidR="00F303E0" w:rsidRPr="00EE5714">
        <w:rPr>
          <w:rFonts w:cs="Times New Roman"/>
          <w:szCs w:val="26"/>
        </w:rPr>
        <w:t xml:space="preserve">: </w:t>
      </w:r>
      <w:r w:rsidR="00F303E0" w:rsidRPr="00EE5714">
        <w:rPr>
          <w:rFonts w:eastAsia="Times New Roman" w:cs="Times New Roman"/>
          <w:b/>
          <w:bCs/>
          <w:color w:val="000000"/>
          <w:szCs w:val="26"/>
        </w:rPr>
        <w:t>EDC CAP Non-Heating LIHEAP Recipients 0-50% FPIG</w:t>
      </w:r>
    </w:p>
    <w:tbl>
      <w:tblPr>
        <w:tblW w:w="10080" w:type="dxa"/>
        <w:tblInd w:w="-280" w:type="dxa"/>
        <w:tblLayout w:type="fixed"/>
        <w:tblLook w:val="04A0" w:firstRow="1" w:lastRow="0" w:firstColumn="1" w:lastColumn="0" w:noHBand="0" w:noVBand="1"/>
      </w:tblPr>
      <w:tblGrid>
        <w:gridCol w:w="1530"/>
        <w:gridCol w:w="900"/>
        <w:gridCol w:w="1080"/>
        <w:gridCol w:w="1080"/>
        <w:gridCol w:w="1170"/>
        <w:gridCol w:w="1170"/>
        <w:gridCol w:w="1125"/>
        <w:gridCol w:w="1035"/>
        <w:gridCol w:w="990"/>
      </w:tblGrid>
      <w:tr w:rsidR="00F303E0" w:rsidRPr="00EE5714" w14:paraId="13769D3E" w14:textId="77777777" w:rsidTr="00463B0B">
        <w:trPr>
          <w:trHeight w:val="300"/>
        </w:trPr>
        <w:tc>
          <w:tcPr>
            <w:tcW w:w="10080" w:type="dxa"/>
            <w:gridSpan w:val="9"/>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1436C029" w14:textId="77777777" w:rsidR="00F303E0" w:rsidRPr="00EE5714" w:rsidRDefault="00F303E0" w:rsidP="00463B0B">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CAP Non-Heating LIHEAP Recipients 0-50% FPIG</w:t>
            </w:r>
          </w:p>
        </w:tc>
      </w:tr>
      <w:tr w:rsidR="00F303E0" w:rsidRPr="00EE5714" w14:paraId="0DAB9C3F" w14:textId="77777777" w:rsidTr="00463B0B">
        <w:trPr>
          <w:trHeight w:val="300"/>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487B1DC7" w14:textId="77777777" w:rsidR="00F303E0" w:rsidRPr="00EE5714" w:rsidRDefault="00F303E0" w:rsidP="00463B0B">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230" w:type="dxa"/>
            <w:gridSpan w:val="4"/>
            <w:tcBorders>
              <w:top w:val="single" w:sz="12" w:space="0" w:color="000000"/>
              <w:left w:val="single" w:sz="12" w:space="0" w:color="000000"/>
              <w:bottom w:val="single" w:sz="4" w:space="0" w:color="000000"/>
              <w:right w:val="single" w:sz="12" w:space="0" w:color="000000"/>
            </w:tcBorders>
            <w:shd w:val="clear" w:color="auto" w:fill="auto"/>
            <w:noWrap/>
            <w:vAlign w:val="bottom"/>
            <w:hideMark/>
          </w:tcPr>
          <w:p w14:paraId="3632355C" w14:textId="77777777" w:rsidR="00F303E0" w:rsidRPr="00EE5714" w:rsidRDefault="00F303E0" w:rsidP="00463B0B">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Average CAP Bill</w:t>
            </w:r>
          </w:p>
        </w:tc>
        <w:tc>
          <w:tcPr>
            <w:tcW w:w="4320" w:type="dxa"/>
            <w:gridSpan w:val="4"/>
            <w:tcBorders>
              <w:top w:val="single" w:sz="12" w:space="0" w:color="000000"/>
              <w:left w:val="single" w:sz="12" w:space="0" w:color="000000"/>
              <w:bottom w:val="single" w:sz="4" w:space="0" w:color="000000"/>
              <w:right w:val="single" w:sz="12" w:space="0" w:color="000000"/>
            </w:tcBorders>
            <w:vAlign w:val="bottom"/>
          </w:tcPr>
          <w:p w14:paraId="3F35CAA3" w14:textId="77777777" w:rsidR="00F303E0" w:rsidRPr="00EE5714" w:rsidRDefault="00F303E0" w:rsidP="00463B0B">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Average LIHEAP Dollars Applied</w:t>
            </w:r>
          </w:p>
        </w:tc>
      </w:tr>
      <w:tr w:rsidR="007751BC" w:rsidRPr="00EE5714" w14:paraId="12A82EFD" w14:textId="77777777" w:rsidTr="002C6736">
        <w:trPr>
          <w:trHeight w:val="274"/>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B95C5E0" w14:textId="77777777" w:rsidR="00F303E0" w:rsidRPr="00EE5714" w:rsidRDefault="00F303E0" w:rsidP="00463B0B">
            <w:pPr>
              <w:keepNext/>
              <w:spacing w:after="0" w:line="240" w:lineRule="auto"/>
              <w:rPr>
                <w:rFonts w:ascii="Calibri" w:eastAsia="Times New Roman" w:hAnsi="Calibri" w:cs="Calibri"/>
                <w:color w:val="000000"/>
                <w:sz w:val="21"/>
                <w:szCs w:val="21"/>
              </w:rPr>
            </w:pPr>
          </w:p>
        </w:tc>
        <w:tc>
          <w:tcPr>
            <w:tcW w:w="90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0BD4E391"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12AE634"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5CE1907"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170" w:type="dxa"/>
            <w:tcBorders>
              <w:top w:val="nil"/>
              <w:left w:val="nil"/>
              <w:bottom w:val="single" w:sz="4" w:space="0" w:color="000000"/>
              <w:right w:val="single" w:sz="12" w:space="0" w:color="000000"/>
            </w:tcBorders>
            <w:shd w:val="clear" w:color="auto" w:fill="F2F2F2" w:themeFill="background1" w:themeFillShade="F2"/>
            <w:noWrap/>
            <w:vAlign w:val="bottom"/>
            <w:hideMark/>
          </w:tcPr>
          <w:p w14:paraId="2EA30DF7"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170" w:type="dxa"/>
            <w:tcBorders>
              <w:top w:val="nil"/>
              <w:left w:val="single" w:sz="12" w:space="0" w:color="000000"/>
              <w:bottom w:val="single" w:sz="4" w:space="0" w:color="000000"/>
              <w:right w:val="single" w:sz="8" w:space="0" w:color="000000"/>
            </w:tcBorders>
            <w:shd w:val="clear" w:color="auto" w:fill="F2F2F2" w:themeFill="background1" w:themeFillShade="F2"/>
            <w:vAlign w:val="bottom"/>
          </w:tcPr>
          <w:p w14:paraId="405B9BAA"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25" w:type="dxa"/>
            <w:tcBorders>
              <w:top w:val="nil"/>
              <w:left w:val="nil"/>
              <w:bottom w:val="single" w:sz="4" w:space="0" w:color="000000"/>
              <w:right w:val="single" w:sz="8" w:space="0" w:color="000000"/>
            </w:tcBorders>
            <w:shd w:val="clear" w:color="auto" w:fill="F2F2F2" w:themeFill="background1" w:themeFillShade="F2"/>
            <w:vAlign w:val="bottom"/>
          </w:tcPr>
          <w:p w14:paraId="156FA7EB"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35" w:type="dxa"/>
            <w:tcBorders>
              <w:top w:val="nil"/>
              <w:left w:val="nil"/>
              <w:bottom w:val="single" w:sz="4" w:space="0" w:color="000000"/>
              <w:right w:val="single" w:sz="8" w:space="0" w:color="000000"/>
            </w:tcBorders>
            <w:shd w:val="clear" w:color="auto" w:fill="F2F2F2" w:themeFill="background1" w:themeFillShade="F2"/>
            <w:vAlign w:val="bottom"/>
          </w:tcPr>
          <w:p w14:paraId="7789B012"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90" w:type="dxa"/>
            <w:tcBorders>
              <w:top w:val="nil"/>
              <w:left w:val="nil"/>
              <w:bottom w:val="single" w:sz="4" w:space="0" w:color="000000"/>
              <w:right w:val="single" w:sz="12" w:space="0" w:color="000000"/>
            </w:tcBorders>
            <w:shd w:val="clear" w:color="auto" w:fill="F2F2F2" w:themeFill="background1" w:themeFillShade="F2"/>
            <w:vAlign w:val="bottom"/>
          </w:tcPr>
          <w:p w14:paraId="78348A3D"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648A6105"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591F57E1"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 xml:space="preserve">Duquesne** </w:t>
            </w:r>
          </w:p>
        </w:tc>
        <w:tc>
          <w:tcPr>
            <w:tcW w:w="900" w:type="dxa"/>
            <w:tcBorders>
              <w:top w:val="nil"/>
              <w:left w:val="single" w:sz="12" w:space="0" w:color="000000"/>
              <w:bottom w:val="single" w:sz="4" w:space="0" w:color="000000"/>
              <w:right w:val="single" w:sz="4" w:space="0" w:color="000000"/>
            </w:tcBorders>
            <w:shd w:val="clear" w:color="auto" w:fill="auto"/>
            <w:noWrap/>
            <w:vAlign w:val="center"/>
          </w:tcPr>
          <w:p w14:paraId="227B46E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$1,181.46</w:t>
            </w:r>
          </w:p>
        </w:tc>
        <w:tc>
          <w:tcPr>
            <w:tcW w:w="1080" w:type="dxa"/>
            <w:tcBorders>
              <w:top w:val="nil"/>
              <w:left w:val="nil"/>
              <w:bottom w:val="single" w:sz="4" w:space="0" w:color="000000"/>
              <w:right w:val="single" w:sz="4" w:space="0" w:color="000000"/>
            </w:tcBorders>
            <w:shd w:val="clear" w:color="auto" w:fill="auto"/>
            <w:noWrap/>
            <w:vAlign w:val="center"/>
          </w:tcPr>
          <w:p w14:paraId="6E5AEE0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$1,181.46</w:t>
            </w:r>
          </w:p>
        </w:tc>
        <w:tc>
          <w:tcPr>
            <w:tcW w:w="1080" w:type="dxa"/>
            <w:tcBorders>
              <w:top w:val="nil"/>
              <w:left w:val="nil"/>
              <w:bottom w:val="single" w:sz="4" w:space="0" w:color="000000"/>
              <w:right w:val="single" w:sz="4" w:space="0" w:color="000000"/>
            </w:tcBorders>
            <w:shd w:val="clear" w:color="auto" w:fill="auto"/>
            <w:noWrap/>
            <w:vAlign w:val="center"/>
          </w:tcPr>
          <w:p w14:paraId="316B00B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$1,148.98</w:t>
            </w:r>
          </w:p>
        </w:tc>
        <w:tc>
          <w:tcPr>
            <w:tcW w:w="1170" w:type="dxa"/>
            <w:tcBorders>
              <w:top w:val="nil"/>
              <w:left w:val="nil"/>
              <w:bottom w:val="single" w:sz="4" w:space="0" w:color="000000"/>
              <w:right w:val="single" w:sz="12" w:space="0" w:color="000000"/>
            </w:tcBorders>
            <w:shd w:val="clear" w:color="auto" w:fill="auto"/>
            <w:noWrap/>
            <w:vAlign w:val="center"/>
          </w:tcPr>
          <w:p w14:paraId="7106B1A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$1,213.94</w:t>
            </w:r>
          </w:p>
        </w:tc>
        <w:tc>
          <w:tcPr>
            <w:tcW w:w="1170" w:type="dxa"/>
            <w:tcBorders>
              <w:top w:val="nil"/>
              <w:left w:val="single" w:sz="12" w:space="0" w:color="000000"/>
              <w:bottom w:val="single" w:sz="4" w:space="0" w:color="000000"/>
              <w:right w:val="single" w:sz="8" w:space="0" w:color="000000"/>
            </w:tcBorders>
            <w:vAlign w:val="center"/>
          </w:tcPr>
          <w:p w14:paraId="28DA8A0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$375.87</w:t>
            </w:r>
          </w:p>
        </w:tc>
        <w:tc>
          <w:tcPr>
            <w:tcW w:w="1125" w:type="dxa"/>
            <w:tcBorders>
              <w:top w:val="nil"/>
              <w:left w:val="nil"/>
              <w:bottom w:val="single" w:sz="4" w:space="0" w:color="000000"/>
              <w:right w:val="single" w:sz="8" w:space="0" w:color="000000"/>
            </w:tcBorders>
            <w:vAlign w:val="center"/>
          </w:tcPr>
          <w:p w14:paraId="62EEA65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$375.87</w:t>
            </w:r>
          </w:p>
        </w:tc>
        <w:tc>
          <w:tcPr>
            <w:tcW w:w="1035" w:type="dxa"/>
            <w:tcBorders>
              <w:top w:val="nil"/>
              <w:left w:val="nil"/>
              <w:bottom w:val="single" w:sz="4" w:space="0" w:color="000000"/>
              <w:right w:val="single" w:sz="8" w:space="0" w:color="000000"/>
            </w:tcBorders>
            <w:vAlign w:val="center"/>
          </w:tcPr>
          <w:p w14:paraId="786FD8A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$333.50</w:t>
            </w:r>
          </w:p>
        </w:tc>
        <w:tc>
          <w:tcPr>
            <w:tcW w:w="990" w:type="dxa"/>
            <w:tcBorders>
              <w:top w:val="nil"/>
              <w:left w:val="nil"/>
              <w:bottom w:val="single" w:sz="4" w:space="0" w:color="000000"/>
              <w:right w:val="single" w:sz="12" w:space="0" w:color="000000"/>
            </w:tcBorders>
            <w:vAlign w:val="center"/>
          </w:tcPr>
          <w:p w14:paraId="75D76D5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$400.55</w:t>
            </w:r>
          </w:p>
        </w:tc>
      </w:tr>
      <w:tr w:rsidR="00F303E0" w:rsidRPr="00EE5714" w14:paraId="100C66AA"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2BB8E27F"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900" w:type="dxa"/>
            <w:tcBorders>
              <w:top w:val="nil"/>
              <w:left w:val="single" w:sz="12" w:space="0" w:color="000000"/>
              <w:bottom w:val="single" w:sz="4" w:space="0" w:color="000000"/>
              <w:right w:val="single" w:sz="4" w:space="0" w:color="000000"/>
            </w:tcBorders>
            <w:shd w:val="clear" w:color="auto" w:fill="auto"/>
            <w:noWrap/>
            <w:vAlign w:val="center"/>
          </w:tcPr>
          <w:p w14:paraId="6ED5E84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$825.11</w:t>
            </w:r>
          </w:p>
        </w:tc>
        <w:tc>
          <w:tcPr>
            <w:tcW w:w="1080" w:type="dxa"/>
            <w:tcBorders>
              <w:top w:val="nil"/>
              <w:left w:val="nil"/>
              <w:bottom w:val="single" w:sz="4" w:space="0" w:color="000000"/>
              <w:right w:val="single" w:sz="4" w:space="0" w:color="000000"/>
            </w:tcBorders>
            <w:shd w:val="clear" w:color="auto" w:fill="auto"/>
            <w:noWrap/>
            <w:vAlign w:val="center"/>
          </w:tcPr>
          <w:p w14:paraId="1F3C798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$1,155.83</w:t>
            </w:r>
          </w:p>
        </w:tc>
        <w:tc>
          <w:tcPr>
            <w:tcW w:w="1080" w:type="dxa"/>
            <w:tcBorders>
              <w:top w:val="nil"/>
              <w:left w:val="nil"/>
              <w:bottom w:val="single" w:sz="4" w:space="0" w:color="000000"/>
              <w:right w:val="single" w:sz="4" w:space="0" w:color="000000"/>
            </w:tcBorders>
            <w:shd w:val="clear" w:color="auto" w:fill="auto"/>
            <w:noWrap/>
            <w:vAlign w:val="center"/>
          </w:tcPr>
          <w:p w14:paraId="6E0E2CF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$1,139.06</w:t>
            </w:r>
          </w:p>
        </w:tc>
        <w:tc>
          <w:tcPr>
            <w:tcW w:w="1170" w:type="dxa"/>
            <w:tcBorders>
              <w:top w:val="nil"/>
              <w:left w:val="nil"/>
              <w:bottom w:val="single" w:sz="4" w:space="0" w:color="000000"/>
              <w:right w:val="single" w:sz="12" w:space="0" w:color="000000"/>
            </w:tcBorders>
            <w:shd w:val="clear" w:color="auto" w:fill="auto"/>
            <w:noWrap/>
            <w:vAlign w:val="center"/>
          </w:tcPr>
          <w:p w14:paraId="30E0F20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$1,185.08</w:t>
            </w:r>
          </w:p>
        </w:tc>
        <w:tc>
          <w:tcPr>
            <w:tcW w:w="1170" w:type="dxa"/>
            <w:tcBorders>
              <w:top w:val="nil"/>
              <w:left w:val="single" w:sz="12" w:space="0" w:color="000000"/>
              <w:bottom w:val="single" w:sz="4" w:space="0" w:color="000000"/>
              <w:right w:val="single" w:sz="8" w:space="0" w:color="000000"/>
            </w:tcBorders>
            <w:vAlign w:val="center"/>
          </w:tcPr>
          <w:p w14:paraId="40B1C3C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$478.84</w:t>
            </w:r>
          </w:p>
        </w:tc>
        <w:tc>
          <w:tcPr>
            <w:tcW w:w="1125" w:type="dxa"/>
            <w:tcBorders>
              <w:top w:val="nil"/>
              <w:left w:val="nil"/>
              <w:bottom w:val="single" w:sz="4" w:space="0" w:color="000000"/>
              <w:right w:val="single" w:sz="8" w:space="0" w:color="000000"/>
            </w:tcBorders>
            <w:vAlign w:val="center"/>
          </w:tcPr>
          <w:p w14:paraId="7EB126F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$344.77</w:t>
            </w:r>
          </w:p>
        </w:tc>
        <w:tc>
          <w:tcPr>
            <w:tcW w:w="1035" w:type="dxa"/>
            <w:tcBorders>
              <w:top w:val="nil"/>
              <w:left w:val="nil"/>
              <w:bottom w:val="single" w:sz="4" w:space="0" w:color="000000"/>
              <w:right w:val="single" w:sz="8" w:space="0" w:color="000000"/>
            </w:tcBorders>
            <w:vAlign w:val="center"/>
          </w:tcPr>
          <w:p w14:paraId="6D32062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$343.20</w:t>
            </w:r>
          </w:p>
        </w:tc>
        <w:tc>
          <w:tcPr>
            <w:tcW w:w="990" w:type="dxa"/>
            <w:tcBorders>
              <w:top w:val="nil"/>
              <w:left w:val="nil"/>
              <w:bottom w:val="single" w:sz="4" w:space="0" w:color="000000"/>
              <w:right w:val="single" w:sz="12" w:space="0" w:color="000000"/>
            </w:tcBorders>
            <w:vAlign w:val="center"/>
          </w:tcPr>
          <w:p w14:paraId="33243B8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$325.05</w:t>
            </w:r>
          </w:p>
        </w:tc>
      </w:tr>
      <w:tr w:rsidR="00F303E0" w:rsidRPr="00EE5714" w14:paraId="6D14D071"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46CB3936"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900" w:type="dxa"/>
            <w:tcBorders>
              <w:top w:val="nil"/>
              <w:left w:val="single" w:sz="12" w:space="0" w:color="000000"/>
              <w:bottom w:val="single" w:sz="4" w:space="0" w:color="000000"/>
              <w:right w:val="single" w:sz="4" w:space="0" w:color="000000"/>
            </w:tcBorders>
            <w:shd w:val="clear" w:color="auto" w:fill="auto"/>
            <w:noWrap/>
            <w:vAlign w:val="center"/>
          </w:tcPr>
          <w:p w14:paraId="7D5EA1F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$644.14</w:t>
            </w:r>
          </w:p>
        </w:tc>
        <w:tc>
          <w:tcPr>
            <w:tcW w:w="1080" w:type="dxa"/>
            <w:tcBorders>
              <w:top w:val="nil"/>
              <w:left w:val="nil"/>
              <w:bottom w:val="single" w:sz="4" w:space="0" w:color="000000"/>
              <w:right w:val="single" w:sz="4" w:space="0" w:color="000000"/>
            </w:tcBorders>
            <w:shd w:val="clear" w:color="auto" w:fill="auto"/>
            <w:noWrap/>
            <w:vAlign w:val="center"/>
          </w:tcPr>
          <w:p w14:paraId="32782FF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$644.14</w:t>
            </w:r>
          </w:p>
        </w:tc>
        <w:tc>
          <w:tcPr>
            <w:tcW w:w="1080" w:type="dxa"/>
            <w:tcBorders>
              <w:top w:val="nil"/>
              <w:left w:val="nil"/>
              <w:bottom w:val="single" w:sz="4" w:space="0" w:color="000000"/>
              <w:right w:val="single" w:sz="4" w:space="0" w:color="000000"/>
            </w:tcBorders>
            <w:shd w:val="clear" w:color="auto" w:fill="auto"/>
            <w:noWrap/>
            <w:vAlign w:val="center"/>
          </w:tcPr>
          <w:p w14:paraId="47D3CE7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$644.14</w:t>
            </w:r>
          </w:p>
        </w:tc>
        <w:tc>
          <w:tcPr>
            <w:tcW w:w="1170" w:type="dxa"/>
            <w:tcBorders>
              <w:top w:val="nil"/>
              <w:left w:val="nil"/>
              <w:bottom w:val="single" w:sz="4" w:space="0" w:color="000000"/>
              <w:right w:val="single" w:sz="12" w:space="0" w:color="000000"/>
            </w:tcBorders>
            <w:shd w:val="clear" w:color="auto" w:fill="auto"/>
            <w:noWrap/>
            <w:vAlign w:val="center"/>
          </w:tcPr>
          <w:p w14:paraId="23A3D77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$644.14</w:t>
            </w:r>
          </w:p>
        </w:tc>
        <w:tc>
          <w:tcPr>
            <w:tcW w:w="1170" w:type="dxa"/>
            <w:tcBorders>
              <w:top w:val="nil"/>
              <w:left w:val="single" w:sz="12" w:space="0" w:color="000000"/>
              <w:bottom w:val="single" w:sz="4" w:space="0" w:color="000000"/>
              <w:right w:val="single" w:sz="8" w:space="0" w:color="000000"/>
            </w:tcBorders>
            <w:vAlign w:val="center"/>
          </w:tcPr>
          <w:p w14:paraId="5F8DA0D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$574.30</w:t>
            </w:r>
          </w:p>
        </w:tc>
        <w:tc>
          <w:tcPr>
            <w:tcW w:w="1125" w:type="dxa"/>
            <w:tcBorders>
              <w:top w:val="nil"/>
              <w:left w:val="nil"/>
              <w:bottom w:val="single" w:sz="4" w:space="0" w:color="000000"/>
              <w:right w:val="single" w:sz="8" w:space="0" w:color="000000"/>
            </w:tcBorders>
            <w:vAlign w:val="center"/>
          </w:tcPr>
          <w:p w14:paraId="5760ED5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$512.27</w:t>
            </w:r>
          </w:p>
        </w:tc>
        <w:tc>
          <w:tcPr>
            <w:tcW w:w="1035" w:type="dxa"/>
            <w:tcBorders>
              <w:top w:val="nil"/>
              <w:left w:val="nil"/>
              <w:bottom w:val="single" w:sz="4" w:space="0" w:color="000000"/>
              <w:right w:val="single" w:sz="8" w:space="0" w:color="000000"/>
            </w:tcBorders>
            <w:vAlign w:val="center"/>
          </w:tcPr>
          <w:p w14:paraId="3C7DFF2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$496.46</w:t>
            </w:r>
          </w:p>
        </w:tc>
        <w:tc>
          <w:tcPr>
            <w:tcW w:w="990" w:type="dxa"/>
            <w:tcBorders>
              <w:top w:val="nil"/>
              <w:left w:val="nil"/>
              <w:bottom w:val="single" w:sz="4" w:space="0" w:color="000000"/>
              <w:right w:val="single" w:sz="12" w:space="0" w:color="000000"/>
            </w:tcBorders>
            <w:vAlign w:val="center"/>
          </w:tcPr>
          <w:p w14:paraId="48B1EE6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$439.97</w:t>
            </w:r>
          </w:p>
        </w:tc>
      </w:tr>
      <w:tr w:rsidR="00F303E0" w:rsidRPr="00EE5714" w14:paraId="62C6074C"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528D8120" w14:textId="77777777" w:rsidR="00F303E0" w:rsidRPr="00EE5714" w:rsidRDefault="00F303E0" w:rsidP="00851815">
            <w:pPr>
              <w:keepNext/>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900" w:type="dxa"/>
            <w:tcBorders>
              <w:top w:val="nil"/>
              <w:left w:val="single" w:sz="12" w:space="0" w:color="000000"/>
              <w:bottom w:val="single" w:sz="4" w:space="0" w:color="000000"/>
              <w:right w:val="single" w:sz="4" w:space="0" w:color="000000"/>
            </w:tcBorders>
            <w:shd w:val="clear" w:color="auto" w:fill="auto"/>
            <w:noWrap/>
            <w:vAlign w:val="center"/>
          </w:tcPr>
          <w:p w14:paraId="199F8F0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$839.72</w:t>
            </w:r>
          </w:p>
        </w:tc>
        <w:tc>
          <w:tcPr>
            <w:tcW w:w="1080" w:type="dxa"/>
            <w:tcBorders>
              <w:top w:val="nil"/>
              <w:left w:val="nil"/>
              <w:bottom w:val="single" w:sz="4" w:space="0" w:color="000000"/>
              <w:right w:val="single" w:sz="4" w:space="0" w:color="000000"/>
            </w:tcBorders>
            <w:shd w:val="clear" w:color="auto" w:fill="auto"/>
            <w:noWrap/>
            <w:vAlign w:val="center"/>
          </w:tcPr>
          <w:p w14:paraId="193FCB2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$1,495.78</w:t>
            </w:r>
          </w:p>
        </w:tc>
        <w:tc>
          <w:tcPr>
            <w:tcW w:w="1080" w:type="dxa"/>
            <w:tcBorders>
              <w:top w:val="nil"/>
              <w:left w:val="nil"/>
              <w:bottom w:val="single" w:sz="4" w:space="0" w:color="000000"/>
              <w:right w:val="single" w:sz="4" w:space="0" w:color="000000"/>
            </w:tcBorders>
            <w:shd w:val="clear" w:color="auto" w:fill="auto"/>
            <w:noWrap/>
            <w:vAlign w:val="center"/>
          </w:tcPr>
          <w:p w14:paraId="3F6254F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$1,393.98</w:t>
            </w:r>
          </w:p>
        </w:tc>
        <w:tc>
          <w:tcPr>
            <w:tcW w:w="1170" w:type="dxa"/>
            <w:tcBorders>
              <w:top w:val="nil"/>
              <w:left w:val="nil"/>
              <w:bottom w:val="single" w:sz="4" w:space="0" w:color="000000"/>
              <w:right w:val="single" w:sz="12" w:space="0" w:color="000000"/>
            </w:tcBorders>
            <w:shd w:val="clear" w:color="auto" w:fill="auto"/>
            <w:noWrap/>
            <w:vAlign w:val="center"/>
          </w:tcPr>
          <w:p w14:paraId="3A6161F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$1,362.06</w:t>
            </w:r>
          </w:p>
        </w:tc>
        <w:tc>
          <w:tcPr>
            <w:tcW w:w="1170" w:type="dxa"/>
            <w:tcBorders>
              <w:top w:val="nil"/>
              <w:left w:val="single" w:sz="12" w:space="0" w:color="000000"/>
              <w:bottom w:val="single" w:sz="4" w:space="0" w:color="000000"/>
              <w:right w:val="single" w:sz="8" w:space="0" w:color="000000"/>
            </w:tcBorders>
            <w:vAlign w:val="center"/>
          </w:tcPr>
          <w:p w14:paraId="44F908D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$495.19</w:t>
            </w:r>
          </w:p>
        </w:tc>
        <w:tc>
          <w:tcPr>
            <w:tcW w:w="1125" w:type="dxa"/>
            <w:tcBorders>
              <w:top w:val="nil"/>
              <w:left w:val="nil"/>
              <w:bottom w:val="single" w:sz="4" w:space="0" w:color="000000"/>
              <w:right w:val="single" w:sz="8" w:space="0" w:color="000000"/>
            </w:tcBorders>
            <w:vAlign w:val="center"/>
          </w:tcPr>
          <w:p w14:paraId="20D5097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$477.84</w:t>
            </w:r>
          </w:p>
        </w:tc>
        <w:tc>
          <w:tcPr>
            <w:tcW w:w="1035" w:type="dxa"/>
            <w:tcBorders>
              <w:top w:val="nil"/>
              <w:left w:val="nil"/>
              <w:bottom w:val="single" w:sz="4" w:space="0" w:color="000000"/>
              <w:right w:val="single" w:sz="8" w:space="0" w:color="000000"/>
            </w:tcBorders>
            <w:vAlign w:val="center"/>
          </w:tcPr>
          <w:p w14:paraId="27D88FD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$435.39</w:t>
            </w:r>
          </w:p>
        </w:tc>
        <w:tc>
          <w:tcPr>
            <w:tcW w:w="990" w:type="dxa"/>
            <w:tcBorders>
              <w:top w:val="nil"/>
              <w:left w:val="nil"/>
              <w:bottom w:val="single" w:sz="4" w:space="0" w:color="000000"/>
              <w:right w:val="single" w:sz="12" w:space="0" w:color="000000"/>
            </w:tcBorders>
            <w:vAlign w:val="center"/>
          </w:tcPr>
          <w:p w14:paraId="3A12154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$391.23</w:t>
            </w:r>
          </w:p>
        </w:tc>
      </w:tr>
      <w:tr w:rsidR="00F303E0" w:rsidRPr="00EE5714" w14:paraId="04D27A64"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6212E0A6"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Penn Power</w:t>
            </w:r>
          </w:p>
        </w:tc>
        <w:tc>
          <w:tcPr>
            <w:tcW w:w="900" w:type="dxa"/>
            <w:tcBorders>
              <w:top w:val="nil"/>
              <w:left w:val="single" w:sz="12" w:space="0" w:color="000000"/>
              <w:bottom w:val="single" w:sz="4" w:space="0" w:color="000000"/>
              <w:right w:val="single" w:sz="4" w:space="0" w:color="000000"/>
            </w:tcBorders>
            <w:shd w:val="clear" w:color="auto" w:fill="auto"/>
            <w:noWrap/>
            <w:vAlign w:val="center"/>
          </w:tcPr>
          <w:p w14:paraId="09412BA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$708.95</w:t>
            </w:r>
          </w:p>
        </w:tc>
        <w:tc>
          <w:tcPr>
            <w:tcW w:w="1080" w:type="dxa"/>
            <w:tcBorders>
              <w:top w:val="nil"/>
              <w:left w:val="nil"/>
              <w:bottom w:val="single" w:sz="4" w:space="0" w:color="000000"/>
              <w:right w:val="single" w:sz="4" w:space="0" w:color="000000"/>
            </w:tcBorders>
            <w:shd w:val="clear" w:color="auto" w:fill="auto"/>
            <w:noWrap/>
            <w:vAlign w:val="center"/>
          </w:tcPr>
          <w:p w14:paraId="243570D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$1,378.63</w:t>
            </w:r>
          </w:p>
        </w:tc>
        <w:tc>
          <w:tcPr>
            <w:tcW w:w="1080" w:type="dxa"/>
            <w:tcBorders>
              <w:top w:val="nil"/>
              <w:left w:val="nil"/>
              <w:bottom w:val="single" w:sz="4" w:space="0" w:color="000000"/>
              <w:right w:val="single" w:sz="4" w:space="0" w:color="000000"/>
            </w:tcBorders>
            <w:shd w:val="clear" w:color="auto" w:fill="auto"/>
            <w:noWrap/>
            <w:vAlign w:val="center"/>
          </w:tcPr>
          <w:p w14:paraId="31372F5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$1,310.04</w:t>
            </w:r>
          </w:p>
        </w:tc>
        <w:tc>
          <w:tcPr>
            <w:tcW w:w="1170" w:type="dxa"/>
            <w:tcBorders>
              <w:top w:val="nil"/>
              <w:left w:val="nil"/>
              <w:bottom w:val="single" w:sz="4" w:space="0" w:color="000000"/>
              <w:right w:val="single" w:sz="12" w:space="0" w:color="000000"/>
            </w:tcBorders>
            <w:shd w:val="clear" w:color="auto" w:fill="auto"/>
            <w:noWrap/>
            <w:vAlign w:val="center"/>
          </w:tcPr>
          <w:p w14:paraId="2D1FF5C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$1,427.53</w:t>
            </w:r>
          </w:p>
        </w:tc>
        <w:tc>
          <w:tcPr>
            <w:tcW w:w="1170" w:type="dxa"/>
            <w:tcBorders>
              <w:top w:val="nil"/>
              <w:left w:val="single" w:sz="12" w:space="0" w:color="000000"/>
              <w:bottom w:val="single" w:sz="4" w:space="0" w:color="000000"/>
              <w:right w:val="single" w:sz="8" w:space="0" w:color="000000"/>
            </w:tcBorders>
            <w:vAlign w:val="center"/>
          </w:tcPr>
          <w:p w14:paraId="3E24664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$451.36</w:t>
            </w:r>
          </w:p>
        </w:tc>
        <w:tc>
          <w:tcPr>
            <w:tcW w:w="1125" w:type="dxa"/>
            <w:tcBorders>
              <w:top w:val="nil"/>
              <w:left w:val="nil"/>
              <w:bottom w:val="single" w:sz="4" w:space="0" w:color="000000"/>
              <w:right w:val="single" w:sz="8" w:space="0" w:color="000000"/>
            </w:tcBorders>
            <w:vAlign w:val="center"/>
          </w:tcPr>
          <w:p w14:paraId="15737D5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$455.29</w:t>
            </w:r>
          </w:p>
        </w:tc>
        <w:tc>
          <w:tcPr>
            <w:tcW w:w="1035" w:type="dxa"/>
            <w:tcBorders>
              <w:top w:val="nil"/>
              <w:left w:val="nil"/>
              <w:bottom w:val="single" w:sz="4" w:space="0" w:color="000000"/>
              <w:right w:val="single" w:sz="8" w:space="0" w:color="000000"/>
            </w:tcBorders>
            <w:vAlign w:val="center"/>
          </w:tcPr>
          <w:p w14:paraId="0A9D4A0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$419.71</w:t>
            </w:r>
          </w:p>
        </w:tc>
        <w:tc>
          <w:tcPr>
            <w:tcW w:w="990" w:type="dxa"/>
            <w:tcBorders>
              <w:top w:val="nil"/>
              <w:left w:val="nil"/>
              <w:bottom w:val="single" w:sz="4" w:space="0" w:color="000000"/>
              <w:right w:val="single" w:sz="12" w:space="0" w:color="000000"/>
            </w:tcBorders>
            <w:vAlign w:val="center"/>
          </w:tcPr>
          <w:p w14:paraId="4F2CCD7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$454.63</w:t>
            </w:r>
          </w:p>
        </w:tc>
      </w:tr>
      <w:tr w:rsidR="00F303E0" w:rsidRPr="00EE5714" w14:paraId="7C07E3FB"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19ADF7FE"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PPL</w:t>
            </w:r>
          </w:p>
        </w:tc>
        <w:tc>
          <w:tcPr>
            <w:tcW w:w="900" w:type="dxa"/>
            <w:tcBorders>
              <w:top w:val="nil"/>
              <w:left w:val="single" w:sz="12" w:space="0" w:color="000000"/>
              <w:bottom w:val="single" w:sz="4" w:space="0" w:color="000000"/>
              <w:right w:val="single" w:sz="4" w:space="0" w:color="000000"/>
            </w:tcBorders>
            <w:shd w:val="clear" w:color="auto" w:fill="auto"/>
            <w:noWrap/>
            <w:vAlign w:val="center"/>
          </w:tcPr>
          <w:p w14:paraId="420F7E7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$1,479.60</w:t>
            </w:r>
          </w:p>
        </w:tc>
        <w:tc>
          <w:tcPr>
            <w:tcW w:w="1080" w:type="dxa"/>
            <w:tcBorders>
              <w:top w:val="nil"/>
              <w:left w:val="nil"/>
              <w:bottom w:val="single" w:sz="4" w:space="0" w:color="000000"/>
              <w:right w:val="single" w:sz="4" w:space="0" w:color="000000"/>
            </w:tcBorders>
            <w:shd w:val="clear" w:color="auto" w:fill="auto"/>
            <w:noWrap/>
            <w:vAlign w:val="center"/>
          </w:tcPr>
          <w:p w14:paraId="6772DDF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$1,540.08</w:t>
            </w:r>
          </w:p>
        </w:tc>
        <w:tc>
          <w:tcPr>
            <w:tcW w:w="1080" w:type="dxa"/>
            <w:tcBorders>
              <w:top w:val="nil"/>
              <w:left w:val="nil"/>
              <w:bottom w:val="single" w:sz="4" w:space="0" w:color="000000"/>
              <w:right w:val="single" w:sz="4" w:space="0" w:color="000000"/>
            </w:tcBorders>
            <w:shd w:val="clear" w:color="auto" w:fill="auto"/>
            <w:noWrap/>
            <w:vAlign w:val="center"/>
          </w:tcPr>
          <w:p w14:paraId="3CB92A1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$1,450.80</w:t>
            </w:r>
          </w:p>
        </w:tc>
        <w:tc>
          <w:tcPr>
            <w:tcW w:w="1170" w:type="dxa"/>
            <w:tcBorders>
              <w:top w:val="nil"/>
              <w:left w:val="nil"/>
              <w:bottom w:val="single" w:sz="4" w:space="0" w:color="000000"/>
              <w:right w:val="single" w:sz="12" w:space="0" w:color="000000"/>
            </w:tcBorders>
            <w:shd w:val="clear" w:color="auto" w:fill="auto"/>
            <w:noWrap/>
            <w:vAlign w:val="center"/>
          </w:tcPr>
          <w:p w14:paraId="268F748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$1,260.00</w:t>
            </w:r>
          </w:p>
        </w:tc>
        <w:tc>
          <w:tcPr>
            <w:tcW w:w="1170" w:type="dxa"/>
            <w:tcBorders>
              <w:top w:val="nil"/>
              <w:left w:val="single" w:sz="12" w:space="0" w:color="000000"/>
              <w:bottom w:val="single" w:sz="4" w:space="0" w:color="000000"/>
              <w:right w:val="single" w:sz="8" w:space="0" w:color="000000"/>
            </w:tcBorders>
            <w:vAlign w:val="center"/>
          </w:tcPr>
          <w:p w14:paraId="6876ABF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$355.42</w:t>
            </w:r>
          </w:p>
        </w:tc>
        <w:tc>
          <w:tcPr>
            <w:tcW w:w="1125" w:type="dxa"/>
            <w:tcBorders>
              <w:top w:val="nil"/>
              <w:left w:val="nil"/>
              <w:bottom w:val="single" w:sz="4" w:space="0" w:color="000000"/>
              <w:right w:val="single" w:sz="8" w:space="0" w:color="000000"/>
            </w:tcBorders>
            <w:vAlign w:val="center"/>
          </w:tcPr>
          <w:p w14:paraId="2BB0412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$344.38</w:t>
            </w:r>
          </w:p>
        </w:tc>
        <w:tc>
          <w:tcPr>
            <w:tcW w:w="1035" w:type="dxa"/>
            <w:tcBorders>
              <w:top w:val="nil"/>
              <w:left w:val="nil"/>
              <w:bottom w:val="single" w:sz="4" w:space="0" w:color="000000"/>
              <w:right w:val="single" w:sz="8" w:space="0" w:color="000000"/>
            </w:tcBorders>
            <w:vAlign w:val="center"/>
          </w:tcPr>
          <w:p w14:paraId="23BF686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$385.41</w:t>
            </w:r>
          </w:p>
        </w:tc>
        <w:tc>
          <w:tcPr>
            <w:tcW w:w="990" w:type="dxa"/>
            <w:tcBorders>
              <w:top w:val="nil"/>
              <w:left w:val="nil"/>
              <w:bottom w:val="single" w:sz="4" w:space="0" w:color="000000"/>
              <w:right w:val="single" w:sz="12" w:space="0" w:color="000000"/>
            </w:tcBorders>
            <w:vAlign w:val="center"/>
          </w:tcPr>
          <w:p w14:paraId="01141F7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$336.36</w:t>
            </w:r>
          </w:p>
        </w:tc>
      </w:tr>
      <w:tr w:rsidR="00F303E0" w:rsidRPr="00EE5714" w14:paraId="2F1C4406"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55C20686" w14:textId="77777777" w:rsidR="00F303E0" w:rsidRPr="00EE5714" w:rsidRDefault="00F303E0" w:rsidP="00851815">
            <w:pPr>
              <w:rPr>
                <w:rFonts w:ascii="Calibri" w:eastAsia="Times New Roman" w:hAnsi="Calibri" w:cs="Calibri"/>
                <w:b/>
                <w:color w:val="000000"/>
                <w:sz w:val="21"/>
                <w:szCs w:val="21"/>
              </w:rPr>
            </w:pPr>
            <w:r w:rsidRPr="00EE5714">
              <w:rPr>
                <w:rFonts w:ascii="Calibri" w:hAnsi="Calibri" w:cs="Calibri"/>
                <w:b/>
                <w:sz w:val="21"/>
                <w:szCs w:val="21"/>
              </w:rPr>
              <w:t>West Penn</w:t>
            </w:r>
          </w:p>
        </w:tc>
        <w:tc>
          <w:tcPr>
            <w:tcW w:w="900" w:type="dxa"/>
            <w:tcBorders>
              <w:top w:val="nil"/>
              <w:left w:val="single" w:sz="12" w:space="0" w:color="000000"/>
              <w:bottom w:val="single" w:sz="4" w:space="0" w:color="000000"/>
              <w:right w:val="single" w:sz="4" w:space="0" w:color="000000"/>
            </w:tcBorders>
            <w:shd w:val="clear" w:color="auto" w:fill="auto"/>
            <w:noWrap/>
            <w:vAlign w:val="center"/>
          </w:tcPr>
          <w:p w14:paraId="0F812F1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$637.83</w:t>
            </w:r>
          </w:p>
        </w:tc>
        <w:tc>
          <w:tcPr>
            <w:tcW w:w="1080" w:type="dxa"/>
            <w:tcBorders>
              <w:top w:val="nil"/>
              <w:left w:val="nil"/>
              <w:bottom w:val="single" w:sz="4" w:space="0" w:color="000000"/>
              <w:right w:val="single" w:sz="4" w:space="0" w:color="000000"/>
            </w:tcBorders>
            <w:shd w:val="clear" w:color="auto" w:fill="auto"/>
            <w:noWrap/>
            <w:vAlign w:val="center"/>
          </w:tcPr>
          <w:p w14:paraId="69F8CBE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$1,324.60</w:t>
            </w:r>
          </w:p>
        </w:tc>
        <w:tc>
          <w:tcPr>
            <w:tcW w:w="1080" w:type="dxa"/>
            <w:tcBorders>
              <w:top w:val="nil"/>
              <w:left w:val="nil"/>
              <w:bottom w:val="single" w:sz="4" w:space="0" w:color="000000"/>
              <w:right w:val="single" w:sz="4" w:space="0" w:color="000000"/>
            </w:tcBorders>
            <w:shd w:val="clear" w:color="auto" w:fill="auto"/>
            <w:noWrap/>
            <w:vAlign w:val="center"/>
          </w:tcPr>
          <w:p w14:paraId="08B3B73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$1,498.97</w:t>
            </w:r>
          </w:p>
        </w:tc>
        <w:tc>
          <w:tcPr>
            <w:tcW w:w="1170" w:type="dxa"/>
            <w:tcBorders>
              <w:top w:val="nil"/>
              <w:left w:val="nil"/>
              <w:bottom w:val="single" w:sz="4" w:space="0" w:color="000000"/>
              <w:right w:val="single" w:sz="12" w:space="0" w:color="000000"/>
            </w:tcBorders>
            <w:shd w:val="clear" w:color="auto" w:fill="auto"/>
            <w:noWrap/>
            <w:vAlign w:val="center"/>
          </w:tcPr>
          <w:p w14:paraId="7187647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$1,695.72</w:t>
            </w:r>
          </w:p>
        </w:tc>
        <w:tc>
          <w:tcPr>
            <w:tcW w:w="1170" w:type="dxa"/>
            <w:tcBorders>
              <w:top w:val="nil"/>
              <w:left w:val="single" w:sz="12" w:space="0" w:color="000000"/>
              <w:bottom w:val="single" w:sz="4" w:space="0" w:color="000000"/>
              <w:right w:val="single" w:sz="8" w:space="0" w:color="000000"/>
            </w:tcBorders>
            <w:vAlign w:val="center"/>
          </w:tcPr>
          <w:p w14:paraId="7226BDC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$446.17</w:t>
            </w:r>
          </w:p>
        </w:tc>
        <w:tc>
          <w:tcPr>
            <w:tcW w:w="1125" w:type="dxa"/>
            <w:tcBorders>
              <w:top w:val="nil"/>
              <w:left w:val="nil"/>
              <w:bottom w:val="single" w:sz="4" w:space="0" w:color="000000"/>
              <w:right w:val="single" w:sz="8" w:space="0" w:color="000000"/>
            </w:tcBorders>
            <w:vAlign w:val="center"/>
          </w:tcPr>
          <w:p w14:paraId="534BD90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$406.93</w:t>
            </w:r>
          </w:p>
        </w:tc>
        <w:tc>
          <w:tcPr>
            <w:tcW w:w="1035" w:type="dxa"/>
            <w:tcBorders>
              <w:top w:val="nil"/>
              <w:left w:val="nil"/>
              <w:bottom w:val="single" w:sz="4" w:space="0" w:color="000000"/>
              <w:right w:val="single" w:sz="8" w:space="0" w:color="000000"/>
            </w:tcBorders>
            <w:vAlign w:val="center"/>
          </w:tcPr>
          <w:p w14:paraId="1FD0E77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$417.64</w:t>
            </w:r>
          </w:p>
        </w:tc>
        <w:tc>
          <w:tcPr>
            <w:tcW w:w="990" w:type="dxa"/>
            <w:tcBorders>
              <w:top w:val="nil"/>
              <w:left w:val="nil"/>
              <w:bottom w:val="single" w:sz="4" w:space="0" w:color="000000"/>
              <w:right w:val="single" w:sz="12" w:space="0" w:color="000000"/>
            </w:tcBorders>
            <w:vAlign w:val="center"/>
          </w:tcPr>
          <w:p w14:paraId="2C4D5E0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$397.55</w:t>
            </w:r>
          </w:p>
        </w:tc>
      </w:tr>
    </w:tbl>
    <w:p w14:paraId="6A6A7717" w14:textId="77777777" w:rsidR="00F303E0" w:rsidRPr="00EE5714" w:rsidRDefault="00F303E0" w:rsidP="00F303E0">
      <w:pPr>
        <w:pStyle w:val="NoSpacing"/>
        <w:rPr>
          <w:rFonts w:cs="Times New Roman"/>
          <w:sz w:val="24"/>
          <w:szCs w:val="24"/>
        </w:rPr>
      </w:pPr>
      <w:bookmarkStart w:id="58" w:name="_Hlk526927695"/>
      <w:r w:rsidRPr="00EE5714">
        <w:rPr>
          <w:rFonts w:cs="Times New Roman"/>
          <w:sz w:val="24"/>
          <w:szCs w:val="24"/>
        </w:rPr>
        <w:t>*PECO Average CAP Bill for 2012-2015 is estimated.</w:t>
      </w:r>
    </w:p>
    <w:p w14:paraId="11679030" w14:textId="77777777" w:rsidR="00F303E0" w:rsidRPr="00EE5714" w:rsidRDefault="00F303E0" w:rsidP="00F303E0">
      <w:pPr>
        <w:pStyle w:val="NoSpacing"/>
        <w:rPr>
          <w:rFonts w:cs="Times New Roman"/>
          <w:sz w:val="24"/>
          <w:szCs w:val="24"/>
        </w:rPr>
      </w:pPr>
      <w:bookmarkStart w:id="59" w:name="_Hlk526928234"/>
      <w:bookmarkEnd w:id="58"/>
      <w:r w:rsidRPr="00EE5714">
        <w:rPr>
          <w:rFonts w:cs="Times New Roman"/>
          <w:sz w:val="24"/>
          <w:szCs w:val="24"/>
        </w:rPr>
        <w:t>**Duquesne Average CAP Bill for 2012-2013 is estimated.</w:t>
      </w:r>
    </w:p>
    <w:p w14:paraId="4D134B51" w14:textId="77777777" w:rsidR="00F303E0" w:rsidRPr="00EE5714" w:rsidRDefault="00F303E0" w:rsidP="00F303E0">
      <w:pPr>
        <w:pStyle w:val="NoSpacing"/>
        <w:rPr>
          <w:rFonts w:cs="Times New Roman"/>
          <w:szCs w:val="26"/>
        </w:rPr>
      </w:pPr>
    </w:p>
    <w:p w14:paraId="783D4002" w14:textId="77777777" w:rsidR="00F303E0" w:rsidRPr="00EE5714" w:rsidRDefault="00F303E0" w:rsidP="00F303E0">
      <w:pPr>
        <w:pStyle w:val="NoSpacing"/>
        <w:rPr>
          <w:rFonts w:cs="Times New Roman"/>
          <w:szCs w:val="26"/>
        </w:rPr>
      </w:pPr>
    </w:p>
    <w:bookmarkEnd w:id="59"/>
    <w:p w14:paraId="60CD87E8" w14:textId="77777777" w:rsidR="00F303E0" w:rsidRPr="00EE5714" w:rsidRDefault="00F857A1" w:rsidP="00F303E0">
      <w:pPr>
        <w:pStyle w:val="NoSpacing"/>
        <w:keepNext/>
        <w:rPr>
          <w:rFonts w:cs="Times New Roman"/>
          <w:szCs w:val="26"/>
        </w:rPr>
      </w:pPr>
      <w:r w:rsidRPr="00EE5714">
        <w:rPr>
          <w:rFonts w:cs="Times New Roman"/>
          <w:szCs w:val="26"/>
        </w:rPr>
        <w:lastRenderedPageBreak/>
        <w:t>Appendix 3</w:t>
      </w:r>
      <w:r w:rsidR="00F303E0" w:rsidRPr="00EE5714">
        <w:rPr>
          <w:rFonts w:cs="Times New Roman"/>
          <w:szCs w:val="26"/>
        </w:rPr>
        <w:t>.A.</w:t>
      </w:r>
      <w:r w:rsidR="00D10083" w:rsidRPr="00EE5714">
        <w:rPr>
          <w:rFonts w:cs="Times New Roman"/>
          <w:szCs w:val="26"/>
        </w:rPr>
        <w:t>14</w:t>
      </w:r>
      <w:r w:rsidR="00F303E0" w:rsidRPr="00EE5714">
        <w:rPr>
          <w:rFonts w:cs="Times New Roman"/>
          <w:szCs w:val="26"/>
        </w:rPr>
        <w:t xml:space="preserve">: </w:t>
      </w:r>
      <w:r w:rsidR="00F303E0" w:rsidRPr="00EE5714">
        <w:rPr>
          <w:rFonts w:eastAsia="Times New Roman" w:cs="Times New Roman"/>
          <w:b/>
          <w:color w:val="000000"/>
          <w:szCs w:val="26"/>
        </w:rPr>
        <w:t>EDC Non-Heating LIHEAP Recipients – Average Annual CAP Income at 0-50% FPIG</w:t>
      </w:r>
    </w:p>
    <w:tbl>
      <w:tblPr>
        <w:tblW w:w="10080" w:type="dxa"/>
        <w:tblInd w:w="-280" w:type="dxa"/>
        <w:tblLayout w:type="fixed"/>
        <w:tblLook w:val="04A0" w:firstRow="1" w:lastRow="0" w:firstColumn="1" w:lastColumn="0" w:noHBand="0" w:noVBand="1"/>
      </w:tblPr>
      <w:tblGrid>
        <w:gridCol w:w="1440"/>
        <w:gridCol w:w="2160"/>
        <w:gridCol w:w="2160"/>
        <w:gridCol w:w="2160"/>
        <w:gridCol w:w="2160"/>
      </w:tblGrid>
      <w:tr w:rsidR="00F303E0" w:rsidRPr="00EE5714" w14:paraId="07683312" w14:textId="77777777" w:rsidTr="00463B0B">
        <w:trPr>
          <w:trHeight w:val="300"/>
        </w:trPr>
        <w:tc>
          <w:tcPr>
            <w:tcW w:w="10080" w:type="dxa"/>
            <w:gridSpan w:val="5"/>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47E3C0CC" w14:textId="77777777" w:rsidR="00F303E0" w:rsidRPr="00EE5714" w:rsidRDefault="00F303E0" w:rsidP="00463B0B">
            <w:pPr>
              <w:keepNext/>
              <w:spacing w:after="0" w:line="240" w:lineRule="auto"/>
              <w:jc w:val="center"/>
              <w:rPr>
                <w:rFonts w:ascii="Calibri" w:eastAsia="Times New Roman" w:hAnsi="Calibri" w:cs="Calibri"/>
                <w:b/>
                <w:color w:val="000000"/>
              </w:rPr>
            </w:pPr>
            <w:bookmarkStart w:id="60" w:name="_Hlk526232940"/>
            <w:r w:rsidRPr="00EE5714">
              <w:rPr>
                <w:rFonts w:ascii="Calibri" w:eastAsia="Times New Roman" w:hAnsi="Calibri" w:cs="Calibri"/>
                <w:b/>
                <w:bCs/>
                <w:color w:val="000000"/>
              </w:rPr>
              <w:t xml:space="preserve">EDC Non-Heating LIHEAP Recipients – </w:t>
            </w:r>
            <w:r w:rsidRPr="00EE5714">
              <w:rPr>
                <w:rFonts w:ascii="Calibri" w:eastAsia="Times New Roman" w:hAnsi="Calibri" w:cs="Calibri"/>
                <w:b/>
                <w:color w:val="000000"/>
              </w:rPr>
              <w:t xml:space="preserve">Average Annual CAP Income at </w:t>
            </w:r>
            <w:r w:rsidRPr="00EE5714">
              <w:rPr>
                <w:rFonts w:ascii="Calibri" w:eastAsia="Times New Roman" w:hAnsi="Calibri" w:cs="Calibri"/>
                <w:b/>
                <w:bCs/>
                <w:color w:val="000000"/>
              </w:rPr>
              <w:t>0-50% FPIG</w:t>
            </w:r>
          </w:p>
        </w:tc>
      </w:tr>
      <w:tr w:rsidR="00F303E0" w:rsidRPr="00EE5714" w14:paraId="2EA711A7" w14:textId="77777777" w:rsidTr="00463B0B">
        <w:trPr>
          <w:trHeight w:val="224"/>
        </w:trPr>
        <w:tc>
          <w:tcPr>
            <w:tcW w:w="1440" w:type="dxa"/>
            <w:tcBorders>
              <w:top w:val="nil"/>
              <w:left w:val="single" w:sz="8" w:space="0" w:color="000000"/>
              <w:bottom w:val="single" w:sz="4" w:space="0" w:color="000000"/>
              <w:right w:val="single" w:sz="12" w:space="0" w:color="000000"/>
            </w:tcBorders>
            <w:shd w:val="clear" w:color="auto" w:fill="auto"/>
            <w:noWrap/>
            <w:vAlign w:val="bottom"/>
            <w:hideMark/>
          </w:tcPr>
          <w:p w14:paraId="437BEEAA" w14:textId="77777777" w:rsidR="00F303E0" w:rsidRPr="00EE5714" w:rsidRDefault="00F303E0" w:rsidP="00463B0B">
            <w:pPr>
              <w:keepNext/>
              <w:spacing w:after="0" w:line="240" w:lineRule="auto"/>
              <w:rPr>
                <w:rFonts w:ascii="Calibri" w:eastAsia="Times New Roman" w:hAnsi="Calibri" w:cs="Calibri"/>
                <w:color w:val="000000"/>
                <w:sz w:val="21"/>
                <w:szCs w:val="21"/>
              </w:rPr>
            </w:pPr>
          </w:p>
        </w:tc>
        <w:tc>
          <w:tcPr>
            <w:tcW w:w="216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047FC149"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426B29C"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B9EE124"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2160"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292FED15"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13FD9DE9"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5A5CF108" w14:textId="77777777" w:rsidR="00F303E0" w:rsidRPr="00EE5714" w:rsidRDefault="00F303E0" w:rsidP="00463B0B">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Duquesne*</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3A97B70B" w14:textId="77777777" w:rsidR="00F303E0" w:rsidRPr="00EE5714" w:rsidRDefault="00F303E0" w:rsidP="00463B0B">
            <w:pPr>
              <w:keepNext/>
              <w:spacing w:after="0" w:line="240" w:lineRule="auto"/>
              <w:jc w:val="center"/>
              <w:rPr>
                <w:rFonts w:eastAsia="Times New Roman" w:cstheme="minorHAnsi"/>
                <w:color w:val="000000"/>
                <w:sz w:val="21"/>
                <w:szCs w:val="21"/>
              </w:rPr>
            </w:pPr>
            <w:r w:rsidRPr="00EE5714">
              <w:rPr>
                <w:rFonts w:ascii="Calibri" w:eastAsia="Times New Roman" w:hAnsi="Calibri" w:cs="Calibri"/>
                <w:color w:val="000000"/>
                <w:sz w:val="21"/>
                <w:szCs w:val="21"/>
              </w:rPr>
              <w:t>$3,558</w:t>
            </w:r>
          </w:p>
        </w:tc>
        <w:tc>
          <w:tcPr>
            <w:tcW w:w="2160" w:type="dxa"/>
            <w:tcBorders>
              <w:top w:val="nil"/>
              <w:left w:val="nil"/>
              <w:bottom w:val="single" w:sz="4" w:space="0" w:color="000000"/>
              <w:right w:val="single" w:sz="4" w:space="0" w:color="000000"/>
            </w:tcBorders>
            <w:shd w:val="clear" w:color="auto" w:fill="auto"/>
            <w:noWrap/>
            <w:vAlign w:val="center"/>
          </w:tcPr>
          <w:p w14:paraId="6955F37D" w14:textId="77777777" w:rsidR="00F303E0" w:rsidRPr="00EE5714" w:rsidRDefault="00F303E0" w:rsidP="00463B0B">
            <w:pPr>
              <w:keepNext/>
              <w:spacing w:after="0" w:line="240" w:lineRule="auto"/>
              <w:jc w:val="center"/>
              <w:rPr>
                <w:rFonts w:eastAsia="Times New Roman" w:cstheme="minorHAnsi"/>
                <w:color w:val="000000"/>
                <w:sz w:val="21"/>
                <w:szCs w:val="21"/>
              </w:rPr>
            </w:pPr>
            <w:r w:rsidRPr="00EE5714">
              <w:rPr>
                <w:rFonts w:ascii="Calibri" w:eastAsia="Times New Roman" w:hAnsi="Calibri" w:cs="Calibri"/>
                <w:color w:val="000000"/>
                <w:sz w:val="21"/>
                <w:szCs w:val="21"/>
              </w:rPr>
              <w:t>$3,558</w:t>
            </w:r>
          </w:p>
        </w:tc>
        <w:tc>
          <w:tcPr>
            <w:tcW w:w="2160" w:type="dxa"/>
            <w:tcBorders>
              <w:top w:val="nil"/>
              <w:left w:val="nil"/>
              <w:bottom w:val="single" w:sz="4" w:space="0" w:color="000000"/>
              <w:right w:val="single" w:sz="4" w:space="0" w:color="000000"/>
            </w:tcBorders>
            <w:shd w:val="clear" w:color="auto" w:fill="auto"/>
            <w:noWrap/>
            <w:vAlign w:val="center"/>
          </w:tcPr>
          <w:p w14:paraId="216B0217" w14:textId="77777777" w:rsidR="00F303E0" w:rsidRPr="00EE5714" w:rsidRDefault="00F303E0" w:rsidP="00463B0B">
            <w:pPr>
              <w:keepNext/>
              <w:spacing w:after="0" w:line="240" w:lineRule="auto"/>
              <w:jc w:val="center"/>
              <w:rPr>
                <w:rFonts w:eastAsia="Times New Roman" w:cstheme="minorHAnsi"/>
                <w:color w:val="000000"/>
                <w:sz w:val="21"/>
                <w:szCs w:val="21"/>
              </w:rPr>
            </w:pPr>
            <w:r w:rsidRPr="00EE5714">
              <w:rPr>
                <w:rFonts w:ascii="Calibri" w:eastAsia="Times New Roman" w:hAnsi="Calibri" w:cs="Calibri"/>
                <w:color w:val="000000"/>
                <w:sz w:val="21"/>
                <w:szCs w:val="21"/>
              </w:rPr>
              <w:t>$3,852</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213BF39D" w14:textId="77777777" w:rsidR="00F303E0" w:rsidRPr="00EE5714" w:rsidRDefault="00F303E0" w:rsidP="00463B0B">
            <w:pPr>
              <w:keepNext/>
              <w:spacing w:after="0" w:line="240" w:lineRule="auto"/>
              <w:jc w:val="center"/>
              <w:rPr>
                <w:rFonts w:eastAsia="Times New Roman" w:cstheme="minorHAnsi"/>
                <w:color w:val="000000"/>
                <w:sz w:val="21"/>
                <w:szCs w:val="21"/>
              </w:rPr>
            </w:pPr>
            <w:r w:rsidRPr="00EE5714">
              <w:rPr>
                <w:rFonts w:ascii="Calibri" w:eastAsia="Times New Roman" w:hAnsi="Calibri" w:cs="Calibri"/>
                <w:color w:val="000000"/>
                <w:sz w:val="21"/>
                <w:szCs w:val="21"/>
              </w:rPr>
              <w:t>$3,265</w:t>
            </w:r>
          </w:p>
        </w:tc>
      </w:tr>
      <w:tr w:rsidR="00F303E0" w:rsidRPr="00EE5714" w14:paraId="7D9698A6"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039FBF40"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2278B84B"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$8,739</w:t>
            </w:r>
          </w:p>
        </w:tc>
        <w:tc>
          <w:tcPr>
            <w:tcW w:w="2160" w:type="dxa"/>
            <w:tcBorders>
              <w:top w:val="nil"/>
              <w:left w:val="nil"/>
              <w:bottom w:val="single" w:sz="4" w:space="0" w:color="000000"/>
              <w:right w:val="single" w:sz="4" w:space="0" w:color="000000"/>
            </w:tcBorders>
            <w:shd w:val="clear" w:color="auto" w:fill="auto"/>
            <w:noWrap/>
            <w:vAlign w:val="center"/>
          </w:tcPr>
          <w:p w14:paraId="0C42D803"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$6,888</w:t>
            </w:r>
          </w:p>
        </w:tc>
        <w:tc>
          <w:tcPr>
            <w:tcW w:w="2160" w:type="dxa"/>
            <w:tcBorders>
              <w:top w:val="nil"/>
              <w:left w:val="nil"/>
              <w:bottom w:val="single" w:sz="4" w:space="0" w:color="000000"/>
              <w:right w:val="single" w:sz="4" w:space="0" w:color="000000"/>
            </w:tcBorders>
            <w:shd w:val="clear" w:color="auto" w:fill="auto"/>
            <w:noWrap/>
            <w:vAlign w:val="center"/>
          </w:tcPr>
          <w:p w14:paraId="7B65987E"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$6,865</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03981CD4"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$6,979</w:t>
            </w:r>
          </w:p>
        </w:tc>
      </w:tr>
      <w:tr w:rsidR="00F303E0" w:rsidRPr="00EE5714" w14:paraId="3BD9C004"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156B1BE2"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49195F14"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$5,406</w:t>
            </w:r>
          </w:p>
        </w:tc>
        <w:tc>
          <w:tcPr>
            <w:tcW w:w="2160" w:type="dxa"/>
            <w:tcBorders>
              <w:top w:val="nil"/>
              <w:left w:val="nil"/>
              <w:bottom w:val="single" w:sz="4" w:space="0" w:color="000000"/>
              <w:right w:val="single" w:sz="4" w:space="0" w:color="000000"/>
            </w:tcBorders>
            <w:shd w:val="clear" w:color="auto" w:fill="auto"/>
            <w:noWrap/>
            <w:vAlign w:val="center"/>
          </w:tcPr>
          <w:p w14:paraId="6D616206"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$5,291</w:t>
            </w:r>
          </w:p>
        </w:tc>
        <w:tc>
          <w:tcPr>
            <w:tcW w:w="2160" w:type="dxa"/>
            <w:tcBorders>
              <w:top w:val="nil"/>
              <w:left w:val="nil"/>
              <w:bottom w:val="single" w:sz="4" w:space="0" w:color="000000"/>
              <w:right w:val="single" w:sz="4" w:space="0" w:color="000000"/>
            </w:tcBorders>
            <w:shd w:val="clear" w:color="auto" w:fill="auto"/>
            <w:noWrap/>
            <w:vAlign w:val="center"/>
          </w:tcPr>
          <w:p w14:paraId="4BFA5F43"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$5,316</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5F257A82"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$5,704</w:t>
            </w:r>
          </w:p>
        </w:tc>
      </w:tr>
      <w:tr w:rsidR="00F303E0" w:rsidRPr="00EE5714" w14:paraId="3BEB863B"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2BA83DC9" w14:textId="77777777" w:rsidR="00F303E0" w:rsidRPr="00EE5714" w:rsidRDefault="00F303E0" w:rsidP="00851815">
            <w:pPr>
              <w:keepNext/>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705703CF"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$8,317</w:t>
            </w:r>
          </w:p>
        </w:tc>
        <w:tc>
          <w:tcPr>
            <w:tcW w:w="2160" w:type="dxa"/>
            <w:tcBorders>
              <w:top w:val="nil"/>
              <w:left w:val="nil"/>
              <w:bottom w:val="single" w:sz="4" w:space="0" w:color="000000"/>
              <w:right w:val="single" w:sz="4" w:space="0" w:color="000000"/>
            </w:tcBorders>
            <w:shd w:val="clear" w:color="auto" w:fill="auto"/>
            <w:noWrap/>
            <w:vAlign w:val="center"/>
          </w:tcPr>
          <w:p w14:paraId="553A1A74"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$6,652</w:t>
            </w:r>
          </w:p>
        </w:tc>
        <w:tc>
          <w:tcPr>
            <w:tcW w:w="2160" w:type="dxa"/>
            <w:tcBorders>
              <w:top w:val="nil"/>
              <w:left w:val="nil"/>
              <w:bottom w:val="single" w:sz="4" w:space="0" w:color="000000"/>
              <w:right w:val="single" w:sz="4" w:space="0" w:color="000000"/>
            </w:tcBorders>
            <w:shd w:val="clear" w:color="auto" w:fill="auto"/>
            <w:noWrap/>
            <w:vAlign w:val="center"/>
          </w:tcPr>
          <w:p w14:paraId="3115B087"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$6,893</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28220376"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$6,864</w:t>
            </w:r>
          </w:p>
        </w:tc>
      </w:tr>
      <w:tr w:rsidR="00F303E0" w:rsidRPr="00EE5714" w14:paraId="35127C68"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55896065"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Penn Power</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1243F02A"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$8,951</w:t>
            </w:r>
          </w:p>
        </w:tc>
        <w:tc>
          <w:tcPr>
            <w:tcW w:w="2160" w:type="dxa"/>
            <w:tcBorders>
              <w:top w:val="nil"/>
              <w:left w:val="nil"/>
              <w:bottom w:val="single" w:sz="4" w:space="0" w:color="000000"/>
              <w:right w:val="single" w:sz="4" w:space="0" w:color="000000"/>
            </w:tcBorders>
            <w:shd w:val="clear" w:color="auto" w:fill="auto"/>
            <w:noWrap/>
            <w:vAlign w:val="center"/>
          </w:tcPr>
          <w:p w14:paraId="53613D32"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$7,250</w:t>
            </w:r>
          </w:p>
        </w:tc>
        <w:tc>
          <w:tcPr>
            <w:tcW w:w="2160" w:type="dxa"/>
            <w:tcBorders>
              <w:top w:val="nil"/>
              <w:left w:val="nil"/>
              <w:bottom w:val="single" w:sz="4" w:space="0" w:color="000000"/>
              <w:right w:val="single" w:sz="4" w:space="0" w:color="000000"/>
            </w:tcBorders>
            <w:shd w:val="clear" w:color="auto" w:fill="auto"/>
            <w:noWrap/>
            <w:vAlign w:val="center"/>
          </w:tcPr>
          <w:p w14:paraId="54757B02"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$6,495</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39FCDF62"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$7,062</w:t>
            </w:r>
          </w:p>
        </w:tc>
      </w:tr>
      <w:tr w:rsidR="00F303E0" w:rsidRPr="00EE5714" w14:paraId="0DD42A57"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213B7867"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PPL</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0186BA00"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$7,480</w:t>
            </w:r>
          </w:p>
        </w:tc>
        <w:tc>
          <w:tcPr>
            <w:tcW w:w="2160" w:type="dxa"/>
            <w:tcBorders>
              <w:top w:val="nil"/>
              <w:left w:val="nil"/>
              <w:bottom w:val="single" w:sz="4" w:space="0" w:color="000000"/>
              <w:right w:val="single" w:sz="4" w:space="0" w:color="000000"/>
            </w:tcBorders>
            <w:shd w:val="clear" w:color="auto" w:fill="auto"/>
            <w:noWrap/>
            <w:vAlign w:val="center"/>
          </w:tcPr>
          <w:p w14:paraId="289A366B"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$7,736</w:t>
            </w:r>
          </w:p>
        </w:tc>
        <w:tc>
          <w:tcPr>
            <w:tcW w:w="2160" w:type="dxa"/>
            <w:tcBorders>
              <w:top w:val="nil"/>
              <w:left w:val="nil"/>
              <w:bottom w:val="single" w:sz="4" w:space="0" w:color="000000"/>
              <w:right w:val="single" w:sz="4" w:space="0" w:color="000000"/>
            </w:tcBorders>
            <w:shd w:val="clear" w:color="auto" w:fill="auto"/>
            <w:noWrap/>
            <w:vAlign w:val="center"/>
          </w:tcPr>
          <w:p w14:paraId="3F2664FD"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$7,541</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3EFD1324"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$7,528</w:t>
            </w:r>
          </w:p>
        </w:tc>
      </w:tr>
      <w:tr w:rsidR="00F303E0" w:rsidRPr="00EE5714" w14:paraId="3938F54F"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1F69126A"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West Penn</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1CF438F0"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$6,301</w:t>
            </w:r>
          </w:p>
        </w:tc>
        <w:tc>
          <w:tcPr>
            <w:tcW w:w="2160" w:type="dxa"/>
            <w:tcBorders>
              <w:top w:val="nil"/>
              <w:left w:val="nil"/>
              <w:bottom w:val="single" w:sz="4" w:space="0" w:color="000000"/>
              <w:right w:val="single" w:sz="4" w:space="0" w:color="000000"/>
            </w:tcBorders>
            <w:shd w:val="clear" w:color="auto" w:fill="auto"/>
            <w:noWrap/>
            <w:vAlign w:val="center"/>
          </w:tcPr>
          <w:p w14:paraId="60390D27"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$5,565</w:t>
            </w:r>
          </w:p>
        </w:tc>
        <w:tc>
          <w:tcPr>
            <w:tcW w:w="2160" w:type="dxa"/>
            <w:tcBorders>
              <w:top w:val="nil"/>
              <w:left w:val="nil"/>
              <w:bottom w:val="single" w:sz="4" w:space="0" w:color="000000"/>
              <w:right w:val="single" w:sz="4" w:space="0" w:color="000000"/>
            </w:tcBorders>
            <w:shd w:val="clear" w:color="auto" w:fill="auto"/>
            <w:noWrap/>
            <w:vAlign w:val="center"/>
          </w:tcPr>
          <w:p w14:paraId="07BA7354"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$6,790</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16E70F0C"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$7,308</w:t>
            </w:r>
          </w:p>
        </w:tc>
      </w:tr>
    </w:tbl>
    <w:bookmarkEnd w:id="60"/>
    <w:p w14:paraId="5927A925" w14:textId="77777777" w:rsidR="00F303E0" w:rsidRPr="00EE5714" w:rsidRDefault="00F303E0" w:rsidP="00F303E0">
      <w:pPr>
        <w:pStyle w:val="NoSpacing"/>
        <w:rPr>
          <w:rFonts w:cs="Times New Roman"/>
          <w:sz w:val="24"/>
          <w:szCs w:val="24"/>
        </w:rPr>
      </w:pPr>
      <w:r w:rsidRPr="00EE5714">
        <w:rPr>
          <w:rFonts w:cs="Times New Roman"/>
          <w:sz w:val="24"/>
          <w:szCs w:val="24"/>
        </w:rPr>
        <w:t>*Duquesne Average CAP Income for 2012-2013 is estimated.</w:t>
      </w:r>
    </w:p>
    <w:p w14:paraId="6190DB4A" w14:textId="77777777" w:rsidR="00F303E0" w:rsidRPr="00EE5714" w:rsidRDefault="00F303E0" w:rsidP="00F303E0">
      <w:pPr>
        <w:pStyle w:val="NoSpacing"/>
        <w:rPr>
          <w:rFonts w:cs="Times New Roman"/>
          <w:szCs w:val="26"/>
        </w:rPr>
      </w:pPr>
    </w:p>
    <w:p w14:paraId="0D398079" w14:textId="77777777" w:rsidR="006A1BE0" w:rsidRPr="00EE5714" w:rsidRDefault="006A1BE0" w:rsidP="00F303E0">
      <w:pPr>
        <w:pStyle w:val="NoSpacing"/>
        <w:rPr>
          <w:rFonts w:cs="Times New Roman"/>
          <w:szCs w:val="26"/>
        </w:rPr>
      </w:pPr>
    </w:p>
    <w:p w14:paraId="72026C95" w14:textId="77777777" w:rsidR="006A1BE0" w:rsidRPr="00EE5714" w:rsidRDefault="006A1BE0" w:rsidP="00F303E0">
      <w:pPr>
        <w:pStyle w:val="NoSpacing"/>
        <w:rPr>
          <w:rFonts w:cs="Times New Roman"/>
          <w:szCs w:val="26"/>
        </w:rPr>
      </w:pPr>
    </w:p>
    <w:p w14:paraId="620C8D08" w14:textId="77777777" w:rsidR="006A1BE0" w:rsidRPr="00EE5714" w:rsidRDefault="006A1BE0" w:rsidP="00F303E0">
      <w:pPr>
        <w:pStyle w:val="NoSpacing"/>
        <w:rPr>
          <w:rFonts w:cs="Times New Roman"/>
          <w:szCs w:val="26"/>
        </w:rPr>
      </w:pPr>
    </w:p>
    <w:p w14:paraId="168B6452" w14:textId="77777777" w:rsidR="00F303E0" w:rsidRPr="00EE5714" w:rsidRDefault="00F857A1" w:rsidP="00F303E0">
      <w:pPr>
        <w:pStyle w:val="NoSpacing"/>
        <w:rPr>
          <w:rFonts w:cs="Times New Roman"/>
          <w:szCs w:val="26"/>
        </w:rPr>
      </w:pPr>
      <w:r w:rsidRPr="00EE5714">
        <w:rPr>
          <w:rFonts w:cs="Times New Roman"/>
          <w:szCs w:val="26"/>
        </w:rPr>
        <w:t>Appendix 3</w:t>
      </w:r>
      <w:r w:rsidR="00F303E0" w:rsidRPr="00EE5714">
        <w:rPr>
          <w:rFonts w:cs="Times New Roman"/>
          <w:szCs w:val="26"/>
        </w:rPr>
        <w:t>.A.</w:t>
      </w:r>
      <w:r w:rsidR="00D10083" w:rsidRPr="00EE5714">
        <w:rPr>
          <w:rFonts w:cs="Times New Roman"/>
          <w:szCs w:val="26"/>
        </w:rPr>
        <w:t>15</w:t>
      </w:r>
      <w:r w:rsidR="00F303E0" w:rsidRPr="00EE5714">
        <w:rPr>
          <w:rFonts w:cs="Times New Roman"/>
          <w:szCs w:val="26"/>
        </w:rPr>
        <w:t xml:space="preserve">: </w:t>
      </w:r>
      <w:r w:rsidR="00F303E0" w:rsidRPr="00EE5714">
        <w:rPr>
          <w:rFonts w:eastAsia="Times New Roman" w:cs="Times New Roman"/>
          <w:b/>
          <w:bCs/>
          <w:color w:val="000000"/>
          <w:szCs w:val="26"/>
        </w:rPr>
        <w:t>EDC Non-Heating LIHEAP Recipients at 51-100% FPIG</w:t>
      </w:r>
    </w:p>
    <w:tbl>
      <w:tblPr>
        <w:tblW w:w="10080" w:type="dxa"/>
        <w:tblInd w:w="-280" w:type="dxa"/>
        <w:tblLayout w:type="fixed"/>
        <w:tblLook w:val="04A0" w:firstRow="1" w:lastRow="0" w:firstColumn="1" w:lastColumn="0" w:noHBand="0" w:noVBand="1"/>
      </w:tblPr>
      <w:tblGrid>
        <w:gridCol w:w="1440"/>
        <w:gridCol w:w="1080"/>
        <w:gridCol w:w="1080"/>
        <w:gridCol w:w="1080"/>
        <w:gridCol w:w="1170"/>
        <w:gridCol w:w="1080"/>
        <w:gridCol w:w="1080"/>
        <w:gridCol w:w="990"/>
        <w:gridCol w:w="1080"/>
      </w:tblGrid>
      <w:tr w:rsidR="00F303E0" w:rsidRPr="00EE5714" w14:paraId="6066163A" w14:textId="77777777" w:rsidTr="00463B0B">
        <w:trPr>
          <w:trHeight w:val="300"/>
        </w:trPr>
        <w:tc>
          <w:tcPr>
            <w:tcW w:w="10080" w:type="dxa"/>
            <w:gridSpan w:val="9"/>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7C944D4A" w14:textId="77777777" w:rsidR="00F303E0" w:rsidRPr="00EE5714" w:rsidRDefault="00F303E0" w:rsidP="00463B0B">
            <w:pPr>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Non-Heating LIHEAP Recipients at 51-100% FPIG</w:t>
            </w:r>
          </w:p>
        </w:tc>
      </w:tr>
      <w:tr w:rsidR="00F303E0" w:rsidRPr="00EE5714" w14:paraId="24B1971F" w14:textId="77777777" w:rsidTr="00463B0B">
        <w:trPr>
          <w:trHeight w:val="300"/>
        </w:trPr>
        <w:tc>
          <w:tcPr>
            <w:tcW w:w="144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476FA322" w14:textId="77777777" w:rsidR="00F303E0" w:rsidRPr="00EE5714" w:rsidRDefault="00F303E0" w:rsidP="00851815">
            <w:pPr>
              <w:rPr>
                <w:rFonts w:ascii="Calibri" w:eastAsia="Times New Roman" w:hAnsi="Calibri" w:cs="Calibri"/>
                <w:color w:val="000000"/>
              </w:rPr>
            </w:pPr>
            <w:r w:rsidRPr="00EE5714">
              <w:rPr>
                <w:rFonts w:ascii="Calibri" w:eastAsia="Times New Roman" w:hAnsi="Calibri" w:cs="Calibri"/>
                <w:color w:val="000000"/>
              </w:rPr>
              <w:t> </w:t>
            </w:r>
          </w:p>
        </w:tc>
        <w:tc>
          <w:tcPr>
            <w:tcW w:w="4410" w:type="dxa"/>
            <w:gridSpan w:val="4"/>
            <w:tcBorders>
              <w:top w:val="single" w:sz="12" w:space="0" w:color="000000"/>
              <w:left w:val="single" w:sz="12" w:space="0" w:color="000000"/>
              <w:bottom w:val="single" w:sz="4" w:space="0" w:color="000000"/>
              <w:right w:val="single" w:sz="12" w:space="0" w:color="000000"/>
            </w:tcBorders>
            <w:shd w:val="clear" w:color="auto" w:fill="auto"/>
            <w:noWrap/>
            <w:vAlign w:val="bottom"/>
            <w:hideMark/>
          </w:tcPr>
          <w:p w14:paraId="20D2370E" w14:textId="77777777" w:rsidR="00F303E0" w:rsidRPr="00EE5714" w:rsidRDefault="00F303E0" w:rsidP="00463B0B">
            <w:pPr>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Average CAP Bill </w:t>
            </w:r>
          </w:p>
        </w:tc>
        <w:tc>
          <w:tcPr>
            <w:tcW w:w="4230" w:type="dxa"/>
            <w:gridSpan w:val="4"/>
            <w:tcBorders>
              <w:top w:val="single" w:sz="12" w:space="0" w:color="000000"/>
              <w:left w:val="single" w:sz="12" w:space="0" w:color="000000"/>
              <w:bottom w:val="single" w:sz="4" w:space="0" w:color="000000"/>
              <w:right w:val="single" w:sz="12" w:space="0" w:color="000000"/>
            </w:tcBorders>
            <w:vAlign w:val="bottom"/>
          </w:tcPr>
          <w:p w14:paraId="3B96D68C" w14:textId="77777777" w:rsidR="00F303E0" w:rsidRPr="00EE5714" w:rsidRDefault="00F303E0" w:rsidP="00463B0B">
            <w:pPr>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Average LIHEAP Dollars Applied</w:t>
            </w:r>
          </w:p>
        </w:tc>
      </w:tr>
      <w:tr w:rsidR="001D3AFD" w:rsidRPr="00EE5714" w14:paraId="0FDBA25D" w14:textId="77777777" w:rsidTr="00463B0B">
        <w:trPr>
          <w:trHeight w:val="274"/>
        </w:trPr>
        <w:tc>
          <w:tcPr>
            <w:tcW w:w="1440" w:type="dxa"/>
            <w:tcBorders>
              <w:top w:val="nil"/>
              <w:left w:val="single" w:sz="8" w:space="0" w:color="000000"/>
              <w:bottom w:val="single" w:sz="4" w:space="0" w:color="000000"/>
              <w:right w:val="single" w:sz="12" w:space="0" w:color="000000"/>
            </w:tcBorders>
            <w:shd w:val="clear" w:color="auto" w:fill="auto"/>
            <w:noWrap/>
            <w:vAlign w:val="bottom"/>
            <w:hideMark/>
          </w:tcPr>
          <w:p w14:paraId="4BFF4712" w14:textId="77777777" w:rsidR="00F303E0" w:rsidRPr="00EE5714" w:rsidRDefault="00F303E0" w:rsidP="00851815">
            <w:pPr>
              <w:rPr>
                <w:rFonts w:ascii="Calibri" w:eastAsia="Times New Roman" w:hAnsi="Calibri" w:cs="Calibri"/>
                <w:color w:val="000000"/>
                <w:sz w:val="21"/>
                <w:szCs w:val="21"/>
              </w:rPr>
            </w:pPr>
          </w:p>
        </w:tc>
        <w:tc>
          <w:tcPr>
            <w:tcW w:w="108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1B5649F8" w14:textId="77777777" w:rsidR="00F303E0" w:rsidRPr="00EE5714" w:rsidRDefault="00F303E0" w:rsidP="00463B0B">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8606D0F" w14:textId="77777777" w:rsidR="00F303E0" w:rsidRPr="00EE5714" w:rsidRDefault="00F303E0" w:rsidP="00463B0B">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644BA9C" w14:textId="77777777" w:rsidR="00F303E0" w:rsidRPr="00EE5714" w:rsidRDefault="00F303E0" w:rsidP="00463B0B">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170" w:type="dxa"/>
            <w:tcBorders>
              <w:top w:val="nil"/>
              <w:left w:val="nil"/>
              <w:bottom w:val="single" w:sz="4" w:space="0" w:color="000000"/>
              <w:right w:val="single" w:sz="12" w:space="0" w:color="000000"/>
            </w:tcBorders>
            <w:shd w:val="clear" w:color="auto" w:fill="F2F2F2" w:themeFill="background1" w:themeFillShade="F2"/>
            <w:noWrap/>
            <w:vAlign w:val="bottom"/>
            <w:hideMark/>
          </w:tcPr>
          <w:p w14:paraId="15B7A434" w14:textId="77777777" w:rsidR="00F303E0" w:rsidRPr="00EE5714" w:rsidRDefault="00F303E0" w:rsidP="00463B0B">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080" w:type="dxa"/>
            <w:tcBorders>
              <w:top w:val="nil"/>
              <w:left w:val="single" w:sz="12" w:space="0" w:color="000000"/>
              <w:bottom w:val="single" w:sz="4" w:space="0" w:color="000000"/>
              <w:right w:val="single" w:sz="8" w:space="0" w:color="000000"/>
            </w:tcBorders>
            <w:shd w:val="clear" w:color="auto" w:fill="F2F2F2" w:themeFill="background1" w:themeFillShade="F2"/>
            <w:vAlign w:val="bottom"/>
          </w:tcPr>
          <w:p w14:paraId="412314D7" w14:textId="77777777" w:rsidR="00F303E0" w:rsidRPr="00EE5714" w:rsidRDefault="00F303E0" w:rsidP="00463B0B">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nil"/>
              <w:left w:val="nil"/>
              <w:bottom w:val="single" w:sz="4" w:space="0" w:color="000000"/>
              <w:right w:val="single" w:sz="8" w:space="0" w:color="000000"/>
            </w:tcBorders>
            <w:shd w:val="clear" w:color="auto" w:fill="F2F2F2" w:themeFill="background1" w:themeFillShade="F2"/>
            <w:vAlign w:val="bottom"/>
          </w:tcPr>
          <w:p w14:paraId="79E34D8D" w14:textId="77777777" w:rsidR="00F303E0" w:rsidRPr="00EE5714" w:rsidRDefault="00F303E0" w:rsidP="00463B0B">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990" w:type="dxa"/>
            <w:tcBorders>
              <w:top w:val="nil"/>
              <w:left w:val="nil"/>
              <w:bottom w:val="single" w:sz="4" w:space="0" w:color="000000"/>
              <w:right w:val="single" w:sz="8" w:space="0" w:color="000000"/>
            </w:tcBorders>
            <w:shd w:val="clear" w:color="auto" w:fill="F2F2F2" w:themeFill="background1" w:themeFillShade="F2"/>
            <w:vAlign w:val="bottom"/>
          </w:tcPr>
          <w:p w14:paraId="20230513" w14:textId="77777777" w:rsidR="00F303E0" w:rsidRPr="00EE5714" w:rsidRDefault="00F303E0" w:rsidP="00463B0B">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080" w:type="dxa"/>
            <w:tcBorders>
              <w:top w:val="nil"/>
              <w:left w:val="nil"/>
              <w:bottom w:val="single" w:sz="4" w:space="0" w:color="000000"/>
              <w:right w:val="single" w:sz="12" w:space="0" w:color="000000"/>
            </w:tcBorders>
            <w:shd w:val="clear" w:color="auto" w:fill="F2F2F2" w:themeFill="background1" w:themeFillShade="F2"/>
            <w:vAlign w:val="bottom"/>
          </w:tcPr>
          <w:p w14:paraId="7A865E46" w14:textId="77777777" w:rsidR="00F303E0" w:rsidRPr="00EE5714" w:rsidRDefault="00F303E0" w:rsidP="00463B0B">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1D3AFD" w:rsidRPr="00EE5714" w14:paraId="1A4B0F59"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77F071DE"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 xml:space="preserve">Duquesne** </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5E4D58AB"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$1,115.70</w:t>
            </w:r>
          </w:p>
        </w:tc>
        <w:tc>
          <w:tcPr>
            <w:tcW w:w="1080" w:type="dxa"/>
            <w:tcBorders>
              <w:top w:val="nil"/>
              <w:left w:val="nil"/>
              <w:bottom w:val="single" w:sz="4" w:space="0" w:color="000000"/>
              <w:right w:val="single" w:sz="4" w:space="0" w:color="000000"/>
            </w:tcBorders>
            <w:shd w:val="clear" w:color="auto" w:fill="auto"/>
            <w:noWrap/>
            <w:vAlign w:val="center"/>
          </w:tcPr>
          <w:p w14:paraId="584F7E3F"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$1,115.70</w:t>
            </w:r>
          </w:p>
        </w:tc>
        <w:tc>
          <w:tcPr>
            <w:tcW w:w="1080" w:type="dxa"/>
            <w:tcBorders>
              <w:top w:val="nil"/>
              <w:left w:val="nil"/>
              <w:bottom w:val="single" w:sz="4" w:space="0" w:color="000000"/>
              <w:right w:val="single" w:sz="4" w:space="0" w:color="000000"/>
            </w:tcBorders>
            <w:shd w:val="clear" w:color="auto" w:fill="auto"/>
            <w:noWrap/>
            <w:vAlign w:val="center"/>
          </w:tcPr>
          <w:p w14:paraId="7CAB26D4"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$1,099.20</w:t>
            </w:r>
          </w:p>
        </w:tc>
        <w:tc>
          <w:tcPr>
            <w:tcW w:w="1170" w:type="dxa"/>
            <w:tcBorders>
              <w:top w:val="nil"/>
              <w:left w:val="nil"/>
              <w:bottom w:val="single" w:sz="4" w:space="0" w:color="000000"/>
              <w:right w:val="single" w:sz="12" w:space="0" w:color="000000"/>
            </w:tcBorders>
            <w:shd w:val="clear" w:color="auto" w:fill="auto"/>
            <w:noWrap/>
            <w:vAlign w:val="center"/>
          </w:tcPr>
          <w:p w14:paraId="4CFD7B17"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$1,132.05</w:t>
            </w:r>
          </w:p>
        </w:tc>
        <w:tc>
          <w:tcPr>
            <w:tcW w:w="1080" w:type="dxa"/>
            <w:tcBorders>
              <w:top w:val="nil"/>
              <w:left w:val="single" w:sz="12" w:space="0" w:color="000000"/>
              <w:bottom w:val="single" w:sz="4" w:space="0" w:color="000000"/>
              <w:right w:val="single" w:sz="8" w:space="0" w:color="000000"/>
            </w:tcBorders>
            <w:vAlign w:val="center"/>
          </w:tcPr>
          <w:p w14:paraId="336806BC"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$303.83</w:t>
            </w:r>
          </w:p>
        </w:tc>
        <w:tc>
          <w:tcPr>
            <w:tcW w:w="1080" w:type="dxa"/>
            <w:tcBorders>
              <w:top w:val="nil"/>
              <w:left w:val="nil"/>
              <w:bottom w:val="single" w:sz="4" w:space="0" w:color="000000"/>
              <w:right w:val="single" w:sz="8" w:space="0" w:color="000000"/>
            </w:tcBorders>
            <w:vAlign w:val="center"/>
          </w:tcPr>
          <w:p w14:paraId="38D72AEC"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$303.83</w:t>
            </w:r>
          </w:p>
        </w:tc>
        <w:tc>
          <w:tcPr>
            <w:tcW w:w="990" w:type="dxa"/>
            <w:tcBorders>
              <w:top w:val="nil"/>
              <w:left w:val="nil"/>
              <w:bottom w:val="single" w:sz="4" w:space="0" w:color="000000"/>
              <w:right w:val="single" w:sz="8" w:space="0" w:color="000000"/>
            </w:tcBorders>
            <w:vAlign w:val="center"/>
          </w:tcPr>
          <w:p w14:paraId="3196644C"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$255.24</w:t>
            </w:r>
          </w:p>
        </w:tc>
        <w:tc>
          <w:tcPr>
            <w:tcW w:w="1080" w:type="dxa"/>
            <w:tcBorders>
              <w:top w:val="nil"/>
              <w:left w:val="nil"/>
              <w:bottom w:val="single" w:sz="4" w:space="0" w:color="000000"/>
              <w:right w:val="single" w:sz="12" w:space="0" w:color="000000"/>
            </w:tcBorders>
            <w:vAlign w:val="center"/>
          </w:tcPr>
          <w:p w14:paraId="719272CD"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$329.69</w:t>
            </w:r>
          </w:p>
        </w:tc>
      </w:tr>
      <w:tr w:rsidR="001D3AFD" w:rsidRPr="00EE5714" w14:paraId="5B32D3AF"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4C9879F6"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108BA7CA"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$802.10</w:t>
            </w:r>
          </w:p>
        </w:tc>
        <w:tc>
          <w:tcPr>
            <w:tcW w:w="1080" w:type="dxa"/>
            <w:tcBorders>
              <w:top w:val="nil"/>
              <w:left w:val="nil"/>
              <w:bottom w:val="single" w:sz="4" w:space="0" w:color="000000"/>
              <w:right w:val="single" w:sz="4" w:space="0" w:color="000000"/>
            </w:tcBorders>
            <w:shd w:val="clear" w:color="auto" w:fill="auto"/>
            <w:noWrap/>
            <w:vAlign w:val="center"/>
          </w:tcPr>
          <w:p w14:paraId="58B0A68E"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$1,184.95</w:t>
            </w:r>
          </w:p>
        </w:tc>
        <w:tc>
          <w:tcPr>
            <w:tcW w:w="1080" w:type="dxa"/>
            <w:tcBorders>
              <w:top w:val="nil"/>
              <w:left w:val="nil"/>
              <w:bottom w:val="single" w:sz="4" w:space="0" w:color="000000"/>
              <w:right w:val="single" w:sz="4" w:space="0" w:color="000000"/>
            </w:tcBorders>
            <w:shd w:val="clear" w:color="auto" w:fill="auto"/>
            <w:noWrap/>
            <w:vAlign w:val="center"/>
          </w:tcPr>
          <w:p w14:paraId="0BF27BF1"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$1,127.88</w:t>
            </w:r>
          </w:p>
        </w:tc>
        <w:tc>
          <w:tcPr>
            <w:tcW w:w="1170" w:type="dxa"/>
            <w:tcBorders>
              <w:top w:val="nil"/>
              <w:left w:val="nil"/>
              <w:bottom w:val="single" w:sz="4" w:space="0" w:color="000000"/>
              <w:right w:val="single" w:sz="12" w:space="0" w:color="000000"/>
            </w:tcBorders>
            <w:shd w:val="clear" w:color="auto" w:fill="auto"/>
            <w:noWrap/>
            <w:vAlign w:val="center"/>
          </w:tcPr>
          <w:p w14:paraId="708984AB"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$1,191.84</w:t>
            </w:r>
          </w:p>
        </w:tc>
        <w:tc>
          <w:tcPr>
            <w:tcW w:w="1080" w:type="dxa"/>
            <w:tcBorders>
              <w:top w:val="nil"/>
              <w:left w:val="single" w:sz="12" w:space="0" w:color="000000"/>
              <w:bottom w:val="single" w:sz="4" w:space="0" w:color="000000"/>
              <w:right w:val="single" w:sz="8" w:space="0" w:color="000000"/>
            </w:tcBorders>
            <w:vAlign w:val="center"/>
          </w:tcPr>
          <w:p w14:paraId="66B39632"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$319.81</w:t>
            </w:r>
          </w:p>
        </w:tc>
        <w:tc>
          <w:tcPr>
            <w:tcW w:w="1080" w:type="dxa"/>
            <w:tcBorders>
              <w:top w:val="nil"/>
              <w:left w:val="nil"/>
              <w:bottom w:val="single" w:sz="4" w:space="0" w:color="000000"/>
              <w:right w:val="single" w:sz="8" w:space="0" w:color="000000"/>
            </w:tcBorders>
            <w:vAlign w:val="center"/>
          </w:tcPr>
          <w:p w14:paraId="1295E298"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$317.32</w:t>
            </w:r>
          </w:p>
        </w:tc>
        <w:tc>
          <w:tcPr>
            <w:tcW w:w="990" w:type="dxa"/>
            <w:tcBorders>
              <w:top w:val="nil"/>
              <w:left w:val="nil"/>
              <w:bottom w:val="single" w:sz="4" w:space="0" w:color="000000"/>
              <w:right w:val="single" w:sz="8" w:space="0" w:color="000000"/>
            </w:tcBorders>
            <w:vAlign w:val="center"/>
          </w:tcPr>
          <w:p w14:paraId="1B22A050"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$335.02</w:t>
            </w:r>
          </w:p>
        </w:tc>
        <w:tc>
          <w:tcPr>
            <w:tcW w:w="1080" w:type="dxa"/>
            <w:tcBorders>
              <w:top w:val="nil"/>
              <w:left w:val="nil"/>
              <w:bottom w:val="single" w:sz="4" w:space="0" w:color="000000"/>
              <w:right w:val="single" w:sz="12" w:space="0" w:color="000000"/>
            </w:tcBorders>
            <w:vAlign w:val="center"/>
          </w:tcPr>
          <w:p w14:paraId="1A6CCE4B" w14:textId="77777777" w:rsidR="00F303E0" w:rsidRPr="00EE5714" w:rsidRDefault="00F303E0" w:rsidP="00463B0B">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$320.00</w:t>
            </w:r>
          </w:p>
        </w:tc>
      </w:tr>
      <w:tr w:rsidR="001D3AFD" w:rsidRPr="00EE5714" w14:paraId="31A38DC7"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47EFC281"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5405B836"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$713.25</w:t>
            </w:r>
          </w:p>
        </w:tc>
        <w:tc>
          <w:tcPr>
            <w:tcW w:w="1080" w:type="dxa"/>
            <w:tcBorders>
              <w:top w:val="nil"/>
              <w:left w:val="nil"/>
              <w:bottom w:val="single" w:sz="4" w:space="0" w:color="000000"/>
              <w:right w:val="single" w:sz="4" w:space="0" w:color="000000"/>
            </w:tcBorders>
            <w:shd w:val="clear" w:color="auto" w:fill="auto"/>
            <w:noWrap/>
            <w:vAlign w:val="center"/>
          </w:tcPr>
          <w:p w14:paraId="7A78D84A"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$713.25</w:t>
            </w:r>
          </w:p>
        </w:tc>
        <w:tc>
          <w:tcPr>
            <w:tcW w:w="1080" w:type="dxa"/>
            <w:tcBorders>
              <w:top w:val="nil"/>
              <w:left w:val="nil"/>
              <w:bottom w:val="single" w:sz="4" w:space="0" w:color="000000"/>
              <w:right w:val="single" w:sz="4" w:space="0" w:color="000000"/>
            </w:tcBorders>
            <w:shd w:val="clear" w:color="auto" w:fill="auto"/>
            <w:noWrap/>
            <w:vAlign w:val="center"/>
          </w:tcPr>
          <w:p w14:paraId="090E8593"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$713.25</w:t>
            </w:r>
          </w:p>
        </w:tc>
        <w:tc>
          <w:tcPr>
            <w:tcW w:w="1170" w:type="dxa"/>
            <w:tcBorders>
              <w:top w:val="nil"/>
              <w:left w:val="nil"/>
              <w:bottom w:val="single" w:sz="4" w:space="0" w:color="000000"/>
              <w:right w:val="single" w:sz="12" w:space="0" w:color="000000"/>
            </w:tcBorders>
            <w:shd w:val="clear" w:color="auto" w:fill="auto"/>
            <w:noWrap/>
            <w:vAlign w:val="center"/>
          </w:tcPr>
          <w:p w14:paraId="0D270118"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$713.25</w:t>
            </w:r>
          </w:p>
        </w:tc>
        <w:tc>
          <w:tcPr>
            <w:tcW w:w="1080" w:type="dxa"/>
            <w:tcBorders>
              <w:top w:val="nil"/>
              <w:left w:val="single" w:sz="12" w:space="0" w:color="000000"/>
              <w:bottom w:val="single" w:sz="4" w:space="0" w:color="000000"/>
              <w:right w:val="single" w:sz="8" w:space="0" w:color="000000"/>
            </w:tcBorders>
            <w:vAlign w:val="center"/>
          </w:tcPr>
          <w:p w14:paraId="2C619B09"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$354.84</w:t>
            </w:r>
          </w:p>
        </w:tc>
        <w:tc>
          <w:tcPr>
            <w:tcW w:w="1080" w:type="dxa"/>
            <w:tcBorders>
              <w:top w:val="nil"/>
              <w:left w:val="nil"/>
              <w:bottom w:val="single" w:sz="4" w:space="0" w:color="000000"/>
              <w:right w:val="single" w:sz="8" w:space="0" w:color="000000"/>
            </w:tcBorders>
            <w:vAlign w:val="center"/>
          </w:tcPr>
          <w:p w14:paraId="37856D48"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$321.17</w:t>
            </w:r>
          </w:p>
        </w:tc>
        <w:tc>
          <w:tcPr>
            <w:tcW w:w="990" w:type="dxa"/>
            <w:tcBorders>
              <w:top w:val="nil"/>
              <w:left w:val="nil"/>
              <w:bottom w:val="single" w:sz="4" w:space="0" w:color="000000"/>
              <w:right w:val="single" w:sz="8" w:space="0" w:color="000000"/>
            </w:tcBorders>
            <w:vAlign w:val="center"/>
          </w:tcPr>
          <w:p w14:paraId="14BE21CD"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$316.82</w:t>
            </w:r>
          </w:p>
        </w:tc>
        <w:tc>
          <w:tcPr>
            <w:tcW w:w="1080" w:type="dxa"/>
            <w:tcBorders>
              <w:top w:val="nil"/>
              <w:left w:val="nil"/>
              <w:bottom w:val="single" w:sz="4" w:space="0" w:color="000000"/>
              <w:right w:val="single" w:sz="12" w:space="0" w:color="000000"/>
            </w:tcBorders>
            <w:vAlign w:val="center"/>
          </w:tcPr>
          <w:p w14:paraId="5D236341"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$311.79</w:t>
            </w:r>
          </w:p>
        </w:tc>
      </w:tr>
      <w:tr w:rsidR="001D3AFD" w:rsidRPr="00EE5714" w14:paraId="1902B35D"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6A82EAF9" w14:textId="77777777" w:rsidR="00F303E0" w:rsidRPr="00EE5714" w:rsidRDefault="00F303E0" w:rsidP="00851815">
            <w:pPr>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3B7D50F0"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$838.74</w:t>
            </w:r>
          </w:p>
        </w:tc>
        <w:tc>
          <w:tcPr>
            <w:tcW w:w="1080" w:type="dxa"/>
            <w:tcBorders>
              <w:top w:val="nil"/>
              <w:left w:val="nil"/>
              <w:bottom w:val="single" w:sz="4" w:space="0" w:color="000000"/>
              <w:right w:val="single" w:sz="4" w:space="0" w:color="000000"/>
            </w:tcBorders>
            <w:shd w:val="clear" w:color="auto" w:fill="auto"/>
            <w:noWrap/>
            <w:vAlign w:val="center"/>
          </w:tcPr>
          <w:p w14:paraId="5196D20A"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$1,768.78</w:t>
            </w:r>
          </w:p>
        </w:tc>
        <w:tc>
          <w:tcPr>
            <w:tcW w:w="1080" w:type="dxa"/>
            <w:tcBorders>
              <w:top w:val="nil"/>
              <w:left w:val="nil"/>
              <w:bottom w:val="single" w:sz="4" w:space="0" w:color="000000"/>
              <w:right w:val="single" w:sz="4" w:space="0" w:color="000000"/>
            </w:tcBorders>
            <w:shd w:val="clear" w:color="auto" w:fill="auto"/>
            <w:noWrap/>
            <w:vAlign w:val="center"/>
          </w:tcPr>
          <w:p w14:paraId="2204B515"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$1,434.86</w:t>
            </w:r>
          </w:p>
        </w:tc>
        <w:tc>
          <w:tcPr>
            <w:tcW w:w="1170" w:type="dxa"/>
            <w:tcBorders>
              <w:top w:val="nil"/>
              <w:left w:val="nil"/>
              <w:bottom w:val="single" w:sz="4" w:space="0" w:color="000000"/>
              <w:right w:val="single" w:sz="12" w:space="0" w:color="000000"/>
            </w:tcBorders>
            <w:shd w:val="clear" w:color="auto" w:fill="auto"/>
            <w:noWrap/>
            <w:vAlign w:val="center"/>
          </w:tcPr>
          <w:p w14:paraId="29A3AC3D"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$1,425.90</w:t>
            </w:r>
          </w:p>
        </w:tc>
        <w:tc>
          <w:tcPr>
            <w:tcW w:w="1080" w:type="dxa"/>
            <w:tcBorders>
              <w:top w:val="nil"/>
              <w:left w:val="single" w:sz="12" w:space="0" w:color="000000"/>
              <w:bottom w:val="single" w:sz="4" w:space="0" w:color="000000"/>
              <w:right w:val="single" w:sz="8" w:space="0" w:color="000000"/>
            </w:tcBorders>
            <w:vAlign w:val="center"/>
          </w:tcPr>
          <w:p w14:paraId="07137030"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$353.50</w:t>
            </w:r>
          </w:p>
        </w:tc>
        <w:tc>
          <w:tcPr>
            <w:tcW w:w="1080" w:type="dxa"/>
            <w:tcBorders>
              <w:top w:val="nil"/>
              <w:left w:val="nil"/>
              <w:bottom w:val="single" w:sz="4" w:space="0" w:color="000000"/>
              <w:right w:val="single" w:sz="8" w:space="0" w:color="000000"/>
            </w:tcBorders>
            <w:vAlign w:val="center"/>
          </w:tcPr>
          <w:p w14:paraId="0FC3949E"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$296.83</w:t>
            </w:r>
          </w:p>
        </w:tc>
        <w:tc>
          <w:tcPr>
            <w:tcW w:w="990" w:type="dxa"/>
            <w:tcBorders>
              <w:top w:val="nil"/>
              <w:left w:val="nil"/>
              <w:bottom w:val="single" w:sz="4" w:space="0" w:color="000000"/>
              <w:right w:val="single" w:sz="8" w:space="0" w:color="000000"/>
            </w:tcBorders>
            <w:vAlign w:val="center"/>
          </w:tcPr>
          <w:p w14:paraId="5D292732"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$305.93</w:t>
            </w:r>
          </w:p>
        </w:tc>
        <w:tc>
          <w:tcPr>
            <w:tcW w:w="1080" w:type="dxa"/>
            <w:tcBorders>
              <w:top w:val="nil"/>
              <w:left w:val="nil"/>
              <w:bottom w:val="single" w:sz="4" w:space="0" w:color="000000"/>
              <w:right w:val="single" w:sz="12" w:space="0" w:color="000000"/>
            </w:tcBorders>
            <w:vAlign w:val="center"/>
          </w:tcPr>
          <w:p w14:paraId="0ED1930B"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$306.36</w:t>
            </w:r>
          </w:p>
        </w:tc>
      </w:tr>
      <w:tr w:rsidR="001D3AFD" w:rsidRPr="00EE5714" w14:paraId="36353F64"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17A7AA44" w14:textId="77777777" w:rsidR="00F303E0" w:rsidRPr="00EE5714" w:rsidRDefault="00F303E0" w:rsidP="00851815">
            <w:pPr>
              <w:rPr>
                <w:rFonts w:ascii="Calibri" w:eastAsia="Times New Roman" w:hAnsi="Calibri" w:cs="Calibri"/>
                <w:b/>
                <w:color w:val="000000"/>
                <w:sz w:val="21"/>
                <w:szCs w:val="21"/>
              </w:rPr>
            </w:pPr>
            <w:r w:rsidRPr="00EE5714">
              <w:rPr>
                <w:rFonts w:ascii="Calibri" w:hAnsi="Calibri" w:cs="Calibri"/>
                <w:b/>
                <w:sz w:val="21"/>
                <w:szCs w:val="21"/>
              </w:rPr>
              <w:t>Penn Power</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163B9E04"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$851.84</w:t>
            </w:r>
          </w:p>
        </w:tc>
        <w:tc>
          <w:tcPr>
            <w:tcW w:w="1080" w:type="dxa"/>
            <w:tcBorders>
              <w:top w:val="nil"/>
              <w:left w:val="nil"/>
              <w:bottom w:val="single" w:sz="4" w:space="0" w:color="000000"/>
              <w:right w:val="single" w:sz="4" w:space="0" w:color="000000"/>
            </w:tcBorders>
            <w:shd w:val="clear" w:color="auto" w:fill="auto"/>
            <w:noWrap/>
            <w:vAlign w:val="center"/>
          </w:tcPr>
          <w:p w14:paraId="0829B27C"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$1,384.68</w:t>
            </w:r>
          </w:p>
        </w:tc>
        <w:tc>
          <w:tcPr>
            <w:tcW w:w="1080" w:type="dxa"/>
            <w:tcBorders>
              <w:top w:val="nil"/>
              <w:left w:val="nil"/>
              <w:bottom w:val="single" w:sz="4" w:space="0" w:color="000000"/>
              <w:right w:val="single" w:sz="4" w:space="0" w:color="000000"/>
            </w:tcBorders>
            <w:shd w:val="clear" w:color="auto" w:fill="auto"/>
            <w:noWrap/>
            <w:vAlign w:val="center"/>
          </w:tcPr>
          <w:p w14:paraId="42B0E6E9"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$1,379.76</w:t>
            </w:r>
          </w:p>
        </w:tc>
        <w:tc>
          <w:tcPr>
            <w:tcW w:w="1170" w:type="dxa"/>
            <w:tcBorders>
              <w:top w:val="nil"/>
              <w:left w:val="nil"/>
              <w:bottom w:val="single" w:sz="4" w:space="0" w:color="000000"/>
              <w:right w:val="single" w:sz="12" w:space="0" w:color="000000"/>
            </w:tcBorders>
            <w:shd w:val="clear" w:color="auto" w:fill="auto"/>
            <w:noWrap/>
            <w:vAlign w:val="center"/>
          </w:tcPr>
          <w:p w14:paraId="17974466"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$1,478.62</w:t>
            </w:r>
          </w:p>
        </w:tc>
        <w:tc>
          <w:tcPr>
            <w:tcW w:w="1080" w:type="dxa"/>
            <w:tcBorders>
              <w:top w:val="nil"/>
              <w:left w:val="single" w:sz="12" w:space="0" w:color="000000"/>
              <w:bottom w:val="single" w:sz="4" w:space="0" w:color="000000"/>
              <w:right w:val="single" w:sz="8" w:space="0" w:color="000000"/>
            </w:tcBorders>
            <w:vAlign w:val="center"/>
          </w:tcPr>
          <w:p w14:paraId="2127C909"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$325.82</w:t>
            </w:r>
          </w:p>
        </w:tc>
        <w:tc>
          <w:tcPr>
            <w:tcW w:w="1080" w:type="dxa"/>
            <w:tcBorders>
              <w:top w:val="nil"/>
              <w:left w:val="nil"/>
              <w:bottom w:val="single" w:sz="4" w:space="0" w:color="000000"/>
              <w:right w:val="single" w:sz="8" w:space="0" w:color="000000"/>
            </w:tcBorders>
            <w:vAlign w:val="center"/>
          </w:tcPr>
          <w:p w14:paraId="0E5818CB"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$265.59</w:t>
            </w:r>
          </w:p>
        </w:tc>
        <w:tc>
          <w:tcPr>
            <w:tcW w:w="990" w:type="dxa"/>
            <w:tcBorders>
              <w:top w:val="nil"/>
              <w:left w:val="nil"/>
              <w:bottom w:val="single" w:sz="4" w:space="0" w:color="000000"/>
              <w:right w:val="single" w:sz="8" w:space="0" w:color="000000"/>
            </w:tcBorders>
            <w:vAlign w:val="center"/>
          </w:tcPr>
          <w:p w14:paraId="64BBD1E6"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$292.87</w:t>
            </w:r>
          </w:p>
        </w:tc>
        <w:tc>
          <w:tcPr>
            <w:tcW w:w="1080" w:type="dxa"/>
            <w:tcBorders>
              <w:top w:val="nil"/>
              <w:left w:val="nil"/>
              <w:bottom w:val="single" w:sz="4" w:space="0" w:color="000000"/>
              <w:right w:val="single" w:sz="12" w:space="0" w:color="000000"/>
            </w:tcBorders>
            <w:vAlign w:val="center"/>
          </w:tcPr>
          <w:p w14:paraId="14706090"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$338.39</w:t>
            </w:r>
          </w:p>
        </w:tc>
      </w:tr>
      <w:tr w:rsidR="001D3AFD" w:rsidRPr="00EE5714" w14:paraId="69A28DED"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33CDB951" w14:textId="77777777" w:rsidR="00F303E0" w:rsidRPr="00EE5714" w:rsidRDefault="00F303E0" w:rsidP="00851815">
            <w:pPr>
              <w:rPr>
                <w:rFonts w:ascii="Calibri" w:eastAsia="Times New Roman" w:hAnsi="Calibri" w:cs="Calibri"/>
                <w:b/>
                <w:color w:val="000000"/>
                <w:sz w:val="21"/>
                <w:szCs w:val="21"/>
              </w:rPr>
            </w:pPr>
            <w:r w:rsidRPr="00EE5714">
              <w:rPr>
                <w:rFonts w:ascii="Calibri" w:hAnsi="Calibri" w:cs="Calibri"/>
                <w:b/>
                <w:sz w:val="21"/>
                <w:szCs w:val="21"/>
              </w:rPr>
              <w:t>PPL</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764B3808"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$1,628.40</w:t>
            </w:r>
          </w:p>
        </w:tc>
        <w:tc>
          <w:tcPr>
            <w:tcW w:w="1080" w:type="dxa"/>
            <w:tcBorders>
              <w:top w:val="nil"/>
              <w:left w:val="nil"/>
              <w:bottom w:val="single" w:sz="4" w:space="0" w:color="000000"/>
              <w:right w:val="single" w:sz="4" w:space="0" w:color="000000"/>
            </w:tcBorders>
            <w:shd w:val="clear" w:color="auto" w:fill="auto"/>
            <w:noWrap/>
            <w:vAlign w:val="center"/>
          </w:tcPr>
          <w:p w14:paraId="3EB1826B"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$1,671.84</w:t>
            </w:r>
          </w:p>
        </w:tc>
        <w:tc>
          <w:tcPr>
            <w:tcW w:w="1080" w:type="dxa"/>
            <w:tcBorders>
              <w:top w:val="nil"/>
              <w:left w:val="nil"/>
              <w:bottom w:val="single" w:sz="4" w:space="0" w:color="000000"/>
              <w:right w:val="single" w:sz="4" w:space="0" w:color="000000"/>
            </w:tcBorders>
            <w:shd w:val="clear" w:color="auto" w:fill="auto"/>
            <w:noWrap/>
            <w:vAlign w:val="center"/>
          </w:tcPr>
          <w:p w14:paraId="3AE511EC"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$1,798.80</w:t>
            </w:r>
          </w:p>
        </w:tc>
        <w:tc>
          <w:tcPr>
            <w:tcW w:w="1170" w:type="dxa"/>
            <w:tcBorders>
              <w:top w:val="nil"/>
              <w:left w:val="nil"/>
              <w:bottom w:val="single" w:sz="4" w:space="0" w:color="000000"/>
              <w:right w:val="single" w:sz="12" w:space="0" w:color="000000"/>
            </w:tcBorders>
            <w:shd w:val="clear" w:color="auto" w:fill="auto"/>
            <w:noWrap/>
            <w:vAlign w:val="center"/>
          </w:tcPr>
          <w:p w14:paraId="00ED566B"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$1,452.00</w:t>
            </w:r>
          </w:p>
        </w:tc>
        <w:tc>
          <w:tcPr>
            <w:tcW w:w="1080" w:type="dxa"/>
            <w:tcBorders>
              <w:top w:val="nil"/>
              <w:left w:val="single" w:sz="12" w:space="0" w:color="000000"/>
              <w:bottom w:val="single" w:sz="4" w:space="0" w:color="000000"/>
              <w:right w:val="single" w:sz="8" w:space="0" w:color="000000"/>
            </w:tcBorders>
            <w:vAlign w:val="center"/>
          </w:tcPr>
          <w:p w14:paraId="2C18E585"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$355.38</w:t>
            </w:r>
          </w:p>
        </w:tc>
        <w:tc>
          <w:tcPr>
            <w:tcW w:w="1080" w:type="dxa"/>
            <w:tcBorders>
              <w:top w:val="nil"/>
              <w:left w:val="nil"/>
              <w:bottom w:val="single" w:sz="4" w:space="0" w:color="000000"/>
              <w:right w:val="single" w:sz="8" w:space="0" w:color="000000"/>
            </w:tcBorders>
            <w:vAlign w:val="center"/>
          </w:tcPr>
          <w:p w14:paraId="5229DDF5"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$344.56</w:t>
            </w:r>
          </w:p>
        </w:tc>
        <w:tc>
          <w:tcPr>
            <w:tcW w:w="990" w:type="dxa"/>
            <w:tcBorders>
              <w:top w:val="nil"/>
              <w:left w:val="nil"/>
              <w:bottom w:val="single" w:sz="4" w:space="0" w:color="000000"/>
              <w:right w:val="single" w:sz="8" w:space="0" w:color="000000"/>
            </w:tcBorders>
            <w:vAlign w:val="center"/>
          </w:tcPr>
          <w:p w14:paraId="2B34DFA7"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$385.37</w:t>
            </w:r>
          </w:p>
        </w:tc>
        <w:tc>
          <w:tcPr>
            <w:tcW w:w="1080" w:type="dxa"/>
            <w:tcBorders>
              <w:top w:val="nil"/>
              <w:left w:val="nil"/>
              <w:bottom w:val="single" w:sz="4" w:space="0" w:color="000000"/>
              <w:right w:val="single" w:sz="12" w:space="0" w:color="000000"/>
            </w:tcBorders>
            <w:vAlign w:val="center"/>
          </w:tcPr>
          <w:p w14:paraId="2674CB28"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$336.26</w:t>
            </w:r>
          </w:p>
        </w:tc>
      </w:tr>
      <w:tr w:rsidR="001D3AFD" w:rsidRPr="00EE5714" w14:paraId="07710F3C"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1C2BB97B" w14:textId="77777777" w:rsidR="00F303E0" w:rsidRPr="00EE5714" w:rsidRDefault="00F303E0" w:rsidP="00851815">
            <w:pPr>
              <w:rPr>
                <w:rFonts w:ascii="Calibri" w:eastAsia="Times New Roman" w:hAnsi="Calibri" w:cs="Calibri"/>
                <w:b/>
                <w:color w:val="000000"/>
                <w:sz w:val="21"/>
                <w:szCs w:val="21"/>
              </w:rPr>
            </w:pPr>
            <w:r w:rsidRPr="00EE5714">
              <w:rPr>
                <w:rFonts w:ascii="Calibri" w:hAnsi="Calibri" w:cs="Calibri"/>
                <w:b/>
                <w:sz w:val="21"/>
                <w:szCs w:val="21"/>
              </w:rPr>
              <w:t>West Penn</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54776B3D"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$650.79</w:t>
            </w:r>
          </w:p>
        </w:tc>
        <w:tc>
          <w:tcPr>
            <w:tcW w:w="1080" w:type="dxa"/>
            <w:tcBorders>
              <w:top w:val="nil"/>
              <w:left w:val="nil"/>
              <w:bottom w:val="single" w:sz="4" w:space="0" w:color="000000"/>
              <w:right w:val="single" w:sz="4" w:space="0" w:color="000000"/>
            </w:tcBorders>
            <w:shd w:val="clear" w:color="auto" w:fill="auto"/>
            <w:noWrap/>
            <w:vAlign w:val="center"/>
          </w:tcPr>
          <w:p w14:paraId="0459EEE9"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$1,438.90</w:t>
            </w:r>
          </w:p>
        </w:tc>
        <w:tc>
          <w:tcPr>
            <w:tcW w:w="1080" w:type="dxa"/>
            <w:tcBorders>
              <w:top w:val="nil"/>
              <w:left w:val="nil"/>
              <w:bottom w:val="single" w:sz="4" w:space="0" w:color="000000"/>
              <w:right w:val="single" w:sz="4" w:space="0" w:color="000000"/>
            </w:tcBorders>
            <w:shd w:val="clear" w:color="auto" w:fill="auto"/>
            <w:noWrap/>
            <w:vAlign w:val="center"/>
          </w:tcPr>
          <w:p w14:paraId="092F1BC4"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$1,480.49</w:t>
            </w:r>
          </w:p>
        </w:tc>
        <w:tc>
          <w:tcPr>
            <w:tcW w:w="1170" w:type="dxa"/>
            <w:tcBorders>
              <w:top w:val="nil"/>
              <w:left w:val="nil"/>
              <w:bottom w:val="single" w:sz="4" w:space="0" w:color="000000"/>
              <w:right w:val="single" w:sz="12" w:space="0" w:color="000000"/>
            </w:tcBorders>
            <w:shd w:val="clear" w:color="auto" w:fill="auto"/>
            <w:noWrap/>
            <w:vAlign w:val="center"/>
          </w:tcPr>
          <w:p w14:paraId="6F48EDBD"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$1,499.30</w:t>
            </w:r>
          </w:p>
        </w:tc>
        <w:tc>
          <w:tcPr>
            <w:tcW w:w="1080" w:type="dxa"/>
            <w:tcBorders>
              <w:top w:val="nil"/>
              <w:left w:val="single" w:sz="12" w:space="0" w:color="000000"/>
              <w:bottom w:val="single" w:sz="4" w:space="0" w:color="000000"/>
              <w:right w:val="single" w:sz="8" w:space="0" w:color="000000"/>
            </w:tcBorders>
            <w:vAlign w:val="center"/>
          </w:tcPr>
          <w:p w14:paraId="5BD56D0F"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$343.40</w:t>
            </w:r>
          </w:p>
        </w:tc>
        <w:tc>
          <w:tcPr>
            <w:tcW w:w="1080" w:type="dxa"/>
            <w:tcBorders>
              <w:top w:val="nil"/>
              <w:left w:val="nil"/>
              <w:bottom w:val="single" w:sz="4" w:space="0" w:color="000000"/>
              <w:right w:val="single" w:sz="8" w:space="0" w:color="000000"/>
            </w:tcBorders>
            <w:vAlign w:val="center"/>
          </w:tcPr>
          <w:p w14:paraId="25C5CCF7"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$311.63</w:t>
            </w:r>
          </w:p>
        </w:tc>
        <w:tc>
          <w:tcPr>
            <w:tcW w:w="990" w:type="dxa"/>
            <w:tcBorders>
              <w:top w:val="nil"/>
              <w:left w:val="nil"/>
              <w:bottom w:val="single" w:sz="4" w:space="0" w:color="000000"/>
              <w:right w:val="single" w:sz="8" w:space="0" w:color="000000"/>
            </w:tcBorders>
            <w:vAlign w:val="center"/>
          </w:tcPr>
          <w:p w14:paraId="3054E484"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$307.39</w:t>
            </w:r>
          </w:p>
        </w:tc>
        <w:tc>
          <w:tcPr>
            <w:tcW w:w="1080" w:type="dxa"/>
            <w:tcBorders>
              <w:top w:val="nil"/>
              <w:left w:val="nil"/>
              <w:bottom w:val="single" w:sz="4" w:space="0" w:color="000000"/>
              <w:right w:val="single" w:sz="12" w:space="0" w:color="000000"/>
            </w:tcBorders>
            <w:vAlign w:val="center"/>
          </w:tcPr>
          <w:p w14:paraId="43CF6C0D"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$283.82</w:t>
            </w:r>
          </w:p>
        </w:tc>
      </w:tr>
    </w:tbl>
    <w:p w14:paraId="1762227A" w14:textId="77777777" w:rsidR="00F303E0" w:rsidRPr="00EE5714" w:rsidRDefault="00F303E0" w:rsidP="00F303E0">
      <w:pPr>
        <w:pStyle w:val="NoSpacing"/>
        <w:rPr>
          <w:rFonts w:cs="Times New Roman"/>
          <w:sz w:val="24"/>
          <w:szCs w:val="24"/>
        </w:rPr>
      </w:pPr>
      <w:r w:rsidRPr="00EE5714">
        <w:rPr>
          <w:rFonts w:cs="Times New Roman"/>
          <w:sz w:val="24"/>
          <w:szCs w:val="24"/>
        </w:rPr>
        <w:t>*PECO Average CAP Bill for 2012-2015 is estimated.</w:t>
      </w:r>
    </w:p>
    <w:p w14:paraId="2AD16635" w14:textId="77777777" w:rsidR="00F303E0" w:rsidRPr="00EE5714" w:rsidRDefault="00F303E0" w:rsidP="00F303E0">
      <w:pPr>
        <w:pStyle w:val="NoSpacing"/>
        <w:rPr>
          <w:rFonts w:cs="Times New Roman"/>
          <w:sz w:val="24"/>
          <w:szCs w:val="24"/>
        </w:rPr>
      </w:pPr>
      <w:r w:rsidRPr="00EE5714">
        <w:rPr>
          <w:rFonts w:cs="Times New Roman"/>
          <w:sz w:val="24"/>
          <w:szCs w:val="24"/>
        </w:rPr>
        <w:t>**Duquesne Average CAP Bill for 2012-2013 is estimated.</w:t>
      </w:r>
    </w:p>
    <w:p w14:paraId="3E4AC876" w14:textId="77777777" w:rsidR="00F303E0" w:rsidRPr="00EE5714" w:rsidRDefault="00F303E0" w:rsidP="00F303E0">
      <w:pPr>
        <w:pStyle w:val="NoSpacing"/>
        <w:rPr>
          <w:rFonts w:cs="Times New Roman"/>
          <w:sz w:val="24"/>
          <w:szCs w:val="24"/>
        </w:rPr>
      </w:pPr>
    </w:p>
    <w:p w14:paraId="55F91C1A" w14:textId="77777777" w:rsidR="00F303E0" w:rsidRPr="00EE5714" w:rsidRDefault="00F303E0" w:rsidP="00F303E0">
      <w:pPr>
        <w:pStyle w:val="NoSpacing"/>
        <w:rPr>
          <w:rFonts w:cs="Times New Roman"/>
          <w:sz w:val="24"/>
          <w:szCs w:val="24"/>
        </w:rPr>
      </w:pPr>
    </w:p>
    <w:p w14:paraId="50B7E4FD" w14:textId="77777777" w:rsidR="00F303E0" w:rsidRPr="00EE5714" w:rsidRDefault="00F857A1" w:rsidP="00F303E0">
      <w:pPr>
        <w:pStyle w:val="NoSpacing"/>
        <w:rPr>
          <w:rFonts w:cs="Times New Roman"/>
          <w:szCs w:val="26"/>
        </w:rPr>
      </w:pPr>
      <w:r w:rsidRPr="00EE5714">
        <w:rPr>
          <w:rFonts w:cs="Times New Roman"/>
          <w:szCs w:val="26"/>
        </w:rPr>
        <w:t>Appendix 3</w:t>
      </w:r>
      <w:r w:rsidR="00F303E0" w:rsidRPr="00EE5714">
        <w:rPr>
          <w:rFonts w:cs="Times New Roman"/>
          <w:szCs w:val="26"/>
        </w:rPr>
        <w:t>.A.</w:t>
      </w:r>
      <w:r w:rsidR="00D10083" w:rsidRPr="00EE5714">
        <w:rPr>
          <w:rFonts w:cs="Times New Roman"/>
          <w:szCs w:val="26"/>
        </w:rPr>
        <w:t>16</w:t>
      </w:r>
      <w:r w:rsidR="00F303E0" w:rsidRPr="00EE5714">
        <w:rPr>
          <w:rFonts w:cs="Times New Roman"/>
          <w:szCs w:val="26"/>
        </w:rPr>
        <w:t xml:space="preserve">: </w:t>
      </w:r>
      <w:r w:rsidR="00F303E0" w:rsidRPr="00EE5714">
        <w:rPr>
          <w:rFonts w:eastAsia="Times New Roman" w:cs="Times New Roman"/>
          <w:b/>
          <w:bCs/>
          <w:color w:val="000000"/>
          <w:szCs w:val="26"/>
        </w:rPr>
        <w:t xml:space="preserve">EDC Non-Heating LIHEAP Recipients – </w:t>
      </w:r>
      <w:r w:rsidR="00F303E0" w:rsidRPr="00EE5714">
        <w:rPr>
          <w:rFonts w:eastAsia="Times New Roman" w:cs="Times New Roman"/>
          <w:b/>
          <w:color w:val="000000"/>
          <w:szCs w:val="26"/>
        </w:rPr>
        <w:t xml:space="preserve">Average Annual </w:t>
      </w:r>
      <w:r w:rsidR="00F303E0" w:rsidRPr="00EE5714">
        <w:rPr>
          <w:rFonts w:eastAsia="Times New Roman" w:cs="Times New Roman"/>
          <w:b/>
          <w:bCs/>
          <w:color w:val="000000"/>
          <w:szCs w:val="26"/>
        </w:rPr>
        <w:t>CAP</w:t>
      </w:r>
      <w:r w:rsidR="00F303E0" w:rsidRPr="00EE5714">
        <w:rPr>
          <w:rFonts w:eastAsia="Times New Roman" w:cs="Times New Roman"/>
          <w:b/>
          <w:color w:val="000000"/>
          <w:szCs w:val="26"/>
        </w:rPr>
        <w:t xml:space="preserve"> Income at </w:t>
      </w:r>
      <w:r w:rsidR="00F303E0" w:rsidRPr="00EE5714">
        <w:rPr>
          <w:rFonts w:eastAsia="Times New Roman" w:cs="Times New Roman"/>
          <w:b/>
          <w:bCs/>
          <w:color w:val="000000"/>
          <w:szCs w:val="26"/>
        </w:rPr>
        <w:t>51-100% FPIG</w:t>
      </w:r>
    </w:p>
    <w:tbl>
      <w:tblPr>
        <w:tblW w:w="10080" w:type="dxa"/>
        <w:tblInd w:w="-280" w:type="dxa"/>
        <w:tblLayout w:type="fixed"/>
        <w:tblLook w:val="04A0" w:firstRow="1" w:lastRow="0" w:firstColumn="1" w:lastColumn="0" w:noHBand="0" w:noVBand="1"/>
      </w:tblPr>
      <w:tblGrid>
        <w:gridCol w:w="1440"/>
        <w:gridCol w:w="2160"/>
        <w:gridCol w:w="2160"/>
        <w:gridCol w:w="2295"/>
        <w:gridCol w:w="2025"/>
      </w:tblGrid>
      <w:tr w:rsidR="00F303E0" w:rsidRPr="00EE5714" w14:paraId="484D6F60" w14:textId="77777777" w:rsidTr="00463B0B">
        <w:trPr>
          <w:trHeight w:val="300"/>
        </w:trPr>
        <w:tc>
          <w:tcPr>
            <w:tcW w:w="10080" w:type="dxa"/>
            <w:gridSpan w:val="5"/>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39D8AC0E" w14:textId="77777777" w:rsidR="00F303E0" w:rsidRPr="00EE5714" w:rsidRDefault="00F303E0" w:rsidP="00463B0B">
            <w:pPr>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EDC Non-Heating LIHEAP Recipients – </w:t>
            </w:r>
            <w:r w:rsidRPr="00EE5714">
              <w:rPr>
                <w:rFonts w:ascii="Calibri" w:eastAsia="Times New Roman" w:hAnsi="Calibri" w:cs="Calibri"/>
                <w:b/>
                <w:color w:val="000000"/>
              </w:rPr>
              <w:t xml:space="preserve">Average Annual </w:t>
            </w:r>
            <w:r w:rsidRPr="00EE5714">
              <w:rPr>
                <w:rFonts w:ascii="Calibri" w:eastAsia="Times New Roman" w:hAnsi="Calibri" w:cs="Calibri"/>
                <w:b/>
                <w:bCs/>
                <w:color w:val="000000"/>
              </w:rPr>
              <w:t>CAP</w:t>
            </w:r>
            <w:r w:rsidRPr="00EE5714">
              <w:rPr>
                <w:rFonts w:ascii="Calibri" w:eastAsia="Times New Roman" w:hAnsi="Calibri" w:cs="Calibri"/>
                <w:b/>
                <w:color w:val="000000"/>
              </w:rPr>
              <w:t xml:space="preserve"> Income at </w:t>
            </w:r>
            <w:r w:rsidRPr="00EE5714">
              <w:rPr>
                <w:rFonts w:ascii="Calibri" w:eastAsia="Times New Roman" w:hAnsi="Calibri" w:cs="Calibri"/>
                <w:b/>
                <w:bCs/>
                <w:color w:val="000000"/>
              </w:rPr>
              <w:t>51-100% FPIG</w:t>
            </w:r>
          </w:p>
        </w:tc>
      </w:tr>
      <w:tr w:rsidR="00F303E0" w:rsidRPr="00EE5714" w14:paraId="0520EE53" w14:textId="77777777" w:rsidTr="00463B0B">
        <w:trPr>
          <w:trHeight w:val="274"/>
        </w:trPr>
        <w:tc>
          <w:tcPr>
            <w:tcW w:w="1440" w:type="dxa"/>
            <w:tcBorders>
              <w:top w:val="nil"/>
              <w:left w:val="single" w:sz="8" w:space="0" w:color="000000"/>
              <w:bottom w:val="single" w:sz="4" w:space="0" w:color="000000"/>
              <w:right w:val="single" w:sz="12" w:space="0" w:color="000000"/>
            </w:tcBorders>
            <w:shd w:val="clear" w:color="auto" w:fill="auto"/>
            <w:noWrap/>
            <w:vAlign w:val="bottom"/>
            <w:hideMark/>
          </w:tcPr>
          <w:p w14:paraId="5DB68AFE" w14:textId="77777777" w:rsidR="00F303E0" w:rsidRPr="00EE5714" w:rsidRDefault="00F303E0" w:rsidP="00463B0B">
            <w:pPr>
              <w:spacing w:after="0" w:line="240" w:lineRule="auto"/>
              <w:rPr>
                <w:rFonts w:ascii="Calibri" w:eastAsia="Times New Roman" w:hAnsi="Calibri" w:cs="Calibri"/>
                <w:color w:val="000000"/>
                <w:sz w:val="21"/>
                <w:szCs w:val="21"/>
              </w:rPr>
            </w:pPr>
          </w:p>
        </w:tc>
        <w:tc>
          <w:tcPr>
            <w:tcW w:w="216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3EFF194D" w14:textId="77777777" w:rsidR="00F303E0" w:rsidRPr="00EE5714" w:rsidRDefault="00F303E0" w:rsidP="00463B0B">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B7A6F72" w14:textId="77777777" w:rsidR="00F303E0" w:rsidRPr="00EE5714" w:rsidRDefault="00F303E0" w:rsidP="00463B0B">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2295"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3124567" w14:textId="77777777" w:rsidR="00F303E0" w:rsidRPr="00EE5714" w:rsidRDefault="00F303E0" w:rsidP="00463B0B">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2025"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6EFD43DA" w14:textId="77777777" w:rsidR="00F303E0" w:rsidRPr="00EE5714" w:rsidRDefault="00F303E0" w:rsidP="00463B0B">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7DE63716"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5B638E63"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Duquesne*</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155A5A90"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$8,699</w:t>
            </w:r>
          </w:p>
        </w:tc>
        <w:tc>
          <w:tcPr>
            <w:tcW w:w="2160" w:type="dxa"/>
            <w:tcBorders>
              <w:top w:val="nil"/>
              <w:left w:val="nil"/>
              <w:bottom w:val="single" w:sz="4" w:space="0" w:color="000000"/>
              <w:right w:val="single" w:sz="4" w:space="0" w:color="000000"/>
            </w:tcBorders>
            <w:shd w:val="clear" w:color="auto" w:fill="auto"/>
            <w:noWrap/>
            <w:vAlign w:val="center"/>
          </w:tcPr>
          <w:p w14:paraId="4650FDAF"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$8,699</w:t>
            </w:r>
          </w:p>
        </w:tc>
        <w:tc>
          <w:tcPr>
            <w:tcW w:w="2295" w:type="dxa"/>
            <w:tcBorders>
              <w:top w:val="nil"/>
              <w:left w:val="nil"/>
              <w:bottom w:val="single" w:sz="4" w:space="0" w:color="000000"/>
              <w:right w:val="single" w:sz="4" w:space="0" w:color="000000"/>
            </w:tcBorders>
            <w:shd w:val="clear" w:color="auto" w:fill="auto"/>
            <w:noWrap/>
            <w:vAlign w:val="center"/>
          </w:tcPr>
          <w:p w14:paraId="2C210555"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$8,904</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09D650CB"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$8,494</w:t>
            </w:r>
          </w:p>
        </w:tc>
      </w:tr>
      <w:tr w:rsidR="00F303E0" w:rsidRPr="00EE5714" w14:paraId="746C9C65"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03DC41CE"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33D52439"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$14,010</w:t>
            </w:r>
          </w:p>
        </w:tc>
        <w:tc>
          <w:tcPr>
            <w:tcW w:w="2160" w:type="dxa"/>
            <w:tcBorders>
              <w:top w:val="nil"/>
              <w:left w:val="nil"/>
              <w:bottom w:val="single" w:sz="4" w:space="0" w:color="000000"/>
              <w:right w:val="single" w:sz="4" w:space="0" w:color="000000"/>
            </w:tcBorders>
            <w:shd w:val="clear" w:color="auto" w:fill="auto"/>
            <w:noWrap/>
            <w:vAlign w:val="center"/>
          </w:tcPr>
          <w:p w14:paraId="12DB74E1"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$14,252</w:t>
            </w:r>
          </w:p>
        </w:tc>
        <w:tc>
          <w:tcPr>
            <w:tcW w:w="2295" w:type="dxa"/>
            <w:tcBorders>
              <w:top w:val="nil"/>
              <w:left w:val="nil"/>
              <w:bottom w:val="single" w:sz="4" w:space="0" w:color="000000"/>
              <w:right w:val="single" w:sz="4" w:space="0" w:color="000000"/>
            </w:tcBorders>
            <w:shd w:val="clear" w:color="auto" w:fill="auto"/>
            <w:noWrap/>
            <w:vAlign w:val="center"/>
          </w:tcPr>
          <w:p w14:paraId="081F8ADF"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$13,921</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3D1F4A27"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$14,269</w:t>
            </w:r>
          </w:p>
        </w:tc>
      </w:tr>
      <w:tr w:rsidR="00F303E0" w:rsidRPr="00EE5714" w14:paraId="2611BC5A"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05B8D3EB"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1EA6905A"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$10,716</w:t>
            </w:r>
          </w:p>
        </w:tc>
        <w:tc>
          <w:tcPr>
            <w:tcW w:w="2160" w:type="dxa"/>
            <w:tcBorders>
              <w:top w:val="nil"/>
              <w:left w:val="nil"/>
              <w:bottom w:val="single" w:sz="4" w:space="0" w:color="000000"/>
              <w:right w:val="single" w:sz="4" w:space="0" w:color="000000"/>
            </w:tcBorders>
            <w:shd w:val="clear" w:color="auto" w:fill="auto"/>
            <w:noWrap/>
            <w:vAlign w:val="center"/>
          </w:tcPr>
          <w:p w14:paraId="76FC8616"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$10,854</w:t>
            </w:r>
          </w:p>
        </w:tc>
        <w:tc>
          <w:tcPr>
            <w:tcW w:w="2295" w:type="dxa"/>
            <w:tcBorders>
              <w:top w:val="nil"/>
              <w:left w:val="nil"/>
              <w:bottom w:val="single" w:sz="4" w:space="0" w:color="000000"/>
              <w:right w:val="single" w:sz="4" w:space="0" w:color="000000"/>
            </w:tcBorders>
            <w:shd w:val="clear" w:color="auto" w:fill="auto"/>
            <w:noWrap/>
            <w:vAlign w:val="center"/>
          </w:tcPr>
          <w:p w14:paraId="50B0FF70"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$10,978</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314458DC"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$10,656</w:t>
            </w:r>
          </w:p>
        </w:tc>
      </w:tr>
      <w:tr w:rsidR="00F303E0" w:rsidRPr="00EE5714" w14:paraId="7E4AD0A3"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117386AA" w14:textId="77777777" w:rsidR="00F303E0" w:rsidRPr="00EE5714" w:rsidRDefault="00F303E0" w:rsidP="00851815">
            <w:pPr>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1801E38E"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$12,539</w:t>
            </w:r>
          </w:p>
        </w:tc>
        <w:tc>
          <w:tcPr>
            <w:tcW w:w="2160" w:type="dxa"/>
            <w:tcBorders>
              <w:top w:val="nil"/>
              <w:left w:val="nil"/>
              <w:bottom w:val="single" w:sz="4" w:space="0" w:color="000000"/>
              <w:right w:val="single" w:sz="4" w:space="0" w:color="000000"/>
            </w:tcBorders>
            <w:shd w:val="clear" w:color="auto" w:fill="auto"/>
            <w:noWrap/>
            <w:vAlign w:val="center"/>
          </w:tcPr>
          <w:p w14:paraId="1B83701E"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$13,503</w:t>
            </w:r>
          </w:p>
        </w:tc>
        <w:tc>
          <w:tcPr>
            <w:tcW w:w="2295" w:type="dxa"/>
            <w:tcBorders>
              <w:top w:val="nil"/>
              <w:left w:val="nil"/>
              <w:bottom w:val="single" w:sz="4" w:space="0" w:color="000000"/>
              <w:right w:val="single" w:sz="4" w:space="0" w:color="000000"/>
            </w:tcBorders>
            <w:shd w:val="clear" w:color="auto" w:fill="auto"/>
            <w:noWrap/>
            <w:vAlign w:val="center"/>
          </w:tcPr>
          <w:p w14:paraId="1C70E4D9"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$13,427</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32082A48"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$13,748</w:t>
            </w:r>
          </w:p>
        </w:tc>
      </w:tr>
      <w:tr w:rsidR="00F303E0" w:rsidRPr="00EE5714" w14:paraId="0E049980"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1732FE2B" w14:textId="77777777" w:rsidR="00F303E0" w:rsidRPr="00EE5714" w:rsidRDefault="00F303E0" w:rsidP="00851815">
            <w:pPr>
              <w:rPr>
                <w:rFonts w:ascii="Calibri" w:eastAsia="Times New Roman" w:hAnsi="Calibri" w:cs="Calibri"/>
                <w:b/>
                <w:color w:val="000000"/>
                <w:sz w:val="21"/>
                <w:szCs w:val="21"/>
              </w:rPr>
            </w:pPr>
            <w:r w:rsidRPr="00EE5714">
              <w:rPr>
                <w:rFonts w:ascii="Calibri" w:hAnsi="Calibri" w:cs="Calibri"/>
                <w:b/>
                <w:sz w:val="21"/>
                <w:szCs w:val="21"/>
              </w:rPr>
              <w:t>Penn Power</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1A4D8254"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$13,379</w:t>
            </w:r>
          </w:p>
        </w:tc>
        <w:tc>
          <w:tcPr>
            <w:tcW w:w="2160" w:type="dxa"/>
            <w:tcBorders>
              <w:top w:val="nil"/>
              <w:left w:val="nil"/>
              <w:bottom w:val="single" w:sz="4" w:space="0" w:color="000000"/>
              <w:right w:val="single" w:sz="4" w:space="0" w:color="000000"/>
            </w:tcBorders>
            <w:shd w:val="clear" w:color="auto" w:fill="auto"/>
            <w:noWrap/>
            <w:vAlign w:val="center"/>
          </w:tcPr>
          <w:p w14:paraId="2A8D87AA"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$12,813</w:t>
            </w:r>
          </w:p>
        </w:tc>
        <w:tc>
          <w:tcPr>
            <w:tcW w:w="2295" w:type="dxa"/>
            <w:tcBorders>
              <w:top w:val="nil"/>
              <w:left w:val="nil"/>
              <w:bottom w:val="single" w:sz="4" w:space="0" w:color="000000"/>
              <w:right w:val="single" w:sz="4" w:space="0" w:color="000000"/>
            </w:tcBorders>
            <w:shd w:val="clear" w:color="auto" w:fill="auto"/>
            <w:noWrap/>
            <w:vAlign w:val="center"/>
          </w:tcPr>
          <w:p w14:paraId="129A529D"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$13,000</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455FF9F2"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$12,715</w:t>
            </w:r>
          </w:p>
        </w:tc>
      </w:tr>
      <w:tr w:rsidR="00F303E0" w:rsidRPr="00EE5714" w14:paraId="1112BAFF"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61817C25" w14:textId="77777777" w:rsidR="00F303E0" w:rsidRPr="00EE5714" w:rsidRDefault="00F303E0" w:rsidP="00851815">
            <w:pPr>
              <w:rPr>
                <w:rFonts w:ascii="Calibri" w:eastAsia="Times New Roman" w:hAnsi="Calibri" w:cs="Calibri"/>
                <w:b/>
                <w:color w:val="000000"/>
                <w:sz w:val="21"/>
                <w:szCs w:val="21"/>
              </w:rPr>
            </w:pPr>
            <w:r w:rsidRPr="00EE5714">
              <w:rPr>
                <w:rFonts w:ascii="Calibri" w:hAnsi="Calibri" w:cs="Calibri"/>
                <w:b/>
                <w:sz w:val="21"/>
                <w:szCs w:val="21"/>
              </w:rPr>
              <w:t>PPL</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3F847D92"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$14,378</w:t>
            </w:r>
          </w:p>
        </w:tc>
        <w:tc>
          <w:tcPr>
            <w:tcW w:w="2160" w:type="dxa"/>
            <w:tcBorders>
              <w:top w:val="nil"/>
              <w:left w:val="nil"/>
              <w:bottom w:val="single" w:sz="4" w:space="0" w:color="000000"/>
              <w:right w:val="single" w:sz="4" w:space="0" w:color="000000"/>
            </w:tcBorders>
            <w:shd w:val="clear" w:color="auto" w:fill="auto"/>
            <w:noWrap/>
            <w:vAlign w:val="center"/>
          </w:tcPr>
          <w:p w14:paraId="58D2139E"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$14,851</w:t>
            </w:r>
          </w:p>
        </w:tc>
        <w:tc>
          <w:tcPr>
            <w:tcW w:w="2295" w:type="dxa"/>
            <w:tcBorders>
              <w:top w:val="nil"/>
              <w:left w:val="nil"/>
              <w:bottom w:val="single" w:sz="4" w:space="0" w:color="000000"/>
              <w:right w:val="single" w:sz="4" w:space="0" w:color="000000"/>
            </w:tcBorders>
            <w:shd w:val="clear" w:color="auto" w:fill="auto"/>
            <w:noWrap/>
            <w:vAlign w:val="center"/>
          </w:tcPr>
          <w:p w14:paraId="0E477C7A"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$14,182</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677F1342"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$14,431</w:t>
            </w:r>
          </w:p>
        </w:tc>
      </w:tr>
      <w:tr w:rsidR="00F303E0" w:rsidRPr="00EE5714" w14:paraId="79221E5F"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169C9152" w14:textId="77777777" w:rsidR="00F303E0" w:rsidRPr="00EE5714" w:rsidRDefault="00F303E0" w:rsidP="00851815">
            <w:pPr>
              <w:rPr>
                <w:rFonts w:ascii="Calibri" w:eastAsia="Times New Roman" w:hAnsi="Calibri" w:cs="Calibri"/>
                <w:b/>
                <w:color w:val="000000"/>
                <w:sz w:val="21"/>
                <w:szCs w:val="21"/>
              </w:rPr>
            </w:pPr>
            <w:r w:rsidRPr="00EE5714">
              <w:rPr>
                <w:rFonts w:ascii="Calibri" w:hAnsi="Calibri" w:cs="Calibri"/>
                <w:b/>
                <w:sz w:val="21"/>
                <w:szCs w:val="21"/>
              </w:rPr>
              <w:t>West Penn</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0F7FB19C"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$13,541</w:t>
            </w:r>
          </w:p>
        </w:tc>
        <w:tc>
          <w:tcPr>
            <w:tcW w:w="2160" w:type="dxa"/>
            <w:tcBorders>
              <w:top w:val="nil"/>
              <w:left w:val="nil"/>
              <w:bottom w:val="single" w:sz="4" w:space="0" w:color="000000"/>
              <w:right w:val="single" w:sz="4" w:space="0" w:color="000000"/>
            </w:tcBorders>
            <w:shd w:val="clear" w:color="auto" w:fill="auto"/>
            <w:noWrap/>
            <w:vAlign w:val="center"/>
          </w:tcPr>
          <w:p w14:paraId="30CD77B4"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$13,934</w:t>
            </w:r>
          </w:p>
        </w:tc>
        <w:tc>
          <w:tcPr>
            <w:tcW w:w="2295" w:type="dxa"/>
            <w:tcBorders>
              <w:top w:val="nil"/>
              <w:left w:val="nil"/>
              <w:bottom w:val="single" w:sz="4" w:space="0" w:color="000000"/>
              <w:right w:val="single" w:sz="4" w:space="0" w:color="000000"/>
            </w:tcBorders>
            <w:shd w:val="clear" w:color="auto" w:fill="auto"/>
            <w:noWrap/>
            <w:vAlign w:val="center"/>
          </w:tcPr>
          <w:p w14:paraId="5575F98C"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$13,981</w:t>
            </w:r>
          </w:p>
        </w:tc>
        <w:tc>
          <w:tcPr>
            <w:tcW w:w="2025" w:type="dxa"/>
            <w:tcBorders>
              <w:top w:val="single" w:sz="4" w:space="0" w:color="000000"/>
              <w:left w:val="nil"/>
              <w:bottom w:val="single" w:sz="4" w:space="0" w:color="000000"/>
              <w:right w:val="single" w:sz="8" w:space="0" w:color="000000"/>
            </w:tcBorders>
            <w:shd w:val="clear" w:color="auto" w:fill="auto"/>
            <w:noWrap/>
            <w:vAlign w:val="center"/>
          </w:tcPr>
          <w:p w14:paraId="29F362CD"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$13,885</w:t>
            </w:r>
          </w:p>
        </w:tc>
      </w:tr>
    </w:tbl>
    <w:p w14:paraId="2CF422CA" w14:textId="77777777" w:rsidR="00F303E0" w:rsidRPr="00EE5714" w:rsidRDefault="00F303E0" w:rsidP="00F303E0">
      <w:pPr>
        <w:pStyle w:val="NoSpacing"/>
        <w:rPr>
          <w:rFonts w:cs="Times New Roman"/>
          <w:sz w:val="24"/>
          <w:szCs w:val="24"/>
        </w:rPr>
      </w:pPr>
      <w:r w:rsidRPr="00EE5714">
        <w:rPr>
          <w:rFonts w:cs="Times New Roman"/>
          <w:sz w:val="24"/>
          <w:szCs w:val="24"/>
        </w:rPr>
        <w:t>*Duquesne Average CAP Income for 2012-2013 is estimated.</w:t>
      </w:r>
    </w:p>
    <w:p w14:paraId="2CE77806" w14:textId="77777777" w:rsidR="00F303E0" w:rsidRPr="00EE5714" w:rsidRDefault="00F303E0" w:rsidP="00F303E0">
      <w:pPr>
        <w:pStyle w:val="NoSpacing"/>
        <w:rPr>
          <w:rFonts w:cs="Times New Roman"/>
          <w:sz w:val="24"/>
          <w:szCs w:val="24"/>
        </w:rPr>
      </w:pPr>
    </w:p>
    <w:p w14:paraId="46F45373" w14:textId="77777777" w:rsidR="00F303E0" w:rsidRPr="00EE5714" w:rsidRDefault="00F303E0" w:rsidP="00F303E0">
      <w:pPr>
        <w:pStyle w:val="NoSpacing"/>
        <w:rPr>
          <w:rFonts w:cs="Times New Roman"/>
          <w:szCs w:val="26"/>
        </w:rPr>
      </w:pPr>
    </w:p>
    <w:p w14:paraId="26323161" w14:textId="77777777" w:rsidR="00F303E0" w:rsidRPr="00EE5714" w:rsidRDefault="00F857A1" w:rsidP="00F303E0">
      <w:pPr>
        <w:pStyle w:val="NoSpacing"/>
        <w:keepNext/>
        <w:rPr>
          <w:rFonts w:cs="Times New Roman"/>
          <w:szCs w:val="26"/>
        </w:rPr>
      </w:pPr>
      <w:r w:rsidRPr="00EE5714">
        <w:rPr>
          <w:rFonts w:cs="Times New Roman"/>
          <w:szCs w:val="26"/>
        </w:rPr>
        <w:lastRenderedPageBreak/>
        <w:t>Appendix 3</w:t>
      </w:r>
      <w:r w:rsidR="00F303E0" w:rsidRPr="00EE5714">
        <w:rPr>
          <w:rFonts w:cs="Times New Roman"/>
          <w:szCs w:val="26"/>
        </w:rPr>
        <w:t>.A.</w:t>
      </w:r>
      <w:r w:rsidR="00D10083" w:rsidRPr="00EE5714">
        <w:rPr>
          <w:rFonts w:cs="Times New Roman"/>
          <w:szCs w:val="26"/>
        </w:rPr>
        <w:t>17</w:t>
      </w:r>
      <w:r w:rsidR="00F303E0" w:rsidRPr="00EE5714">
        <w:rPr>
          <w:rFonts w:cs="Times New Roman"/>
          <w:szCs w:val="26"/>
        </w:rPr>
        <w:t xml:space="preserve">: </w:t>
      </w:r>
      <w:r w:rsidR="00F303E0" w:rsidRPr="00EE5714">
        <w:rPr>
          <w:rFonts w:eastAsia="Times New Roman" w:cs="Times New Roman"/>
          <w:b/>
          <w:bCs/>
          <w:color w:val="000000"/>
          <w:szCs w:val="26"/>
        </w:rPr>
        <w:t>EDC Non-Heating LIHEAP Recipients at 101-150% FPIG</w:t>
      </w:r>
    </w:p>
    <w:tbl>
      <w:tblPr>
        <w:tblW w:w="10080" w:type="dxa"/>
        <w:tblInd w:w="-280" w:type="dxa"/>
        <w:tblLayout w:type="fixed"/>
        <w:tblLook w:val="04A0" w:firstRow="1" w:lastRow="0" w:firstColumn="1" w:lastColumn="0" w:noHBand="0" w:noVBand="1"/>
      </w:tblPr>
      <w:tblGrid>
        <w:gridCol w:w="1530"/>
        <w:gridCol w:w="990"/>
        <w:gridCol w:w="1080"/>
        <w:gridCol w:w="1080"/>
        <w:gridCol w:w="1080"/>
        <w:gridCol w:w="1080"/>
        <w:gridCol w:w="1080"/>
        <w:gridCol w:w="1170"/>
        <w:gridCol w:w="990"/>
      </w:tblGrid>
      <w:tr w:rsidR="00F303E0" w:rsidRPr="00EE5714" w14:paraId="1CA6BF55" w14:textId="77777777" w:rsidTr="00463B0B">
        <w:trPr>
          <w:trHeight w:val="300"/>
        </w:trPr>
        <w:tc>
          <w:tcPr>
            <w:tcW w:w="10080" w:type="dxa"/>
            <w:gridSpan w:val="9"/>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6E9D1E77" w14:textId="77777777" w:rsidR="00F303E0" w:rsidRPr="00EE5714" w:rsidRDefault="00F303E0" w:rsidP="00463B0B">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Non-Heating LIHEAP Recipients at 101-150% FPIG</w:t>
            </w:r>
          </w:p>
        </w:tc>
      </w:tr>
      <w:tr w:rsidR="00F303E0" w:rsidRPr="00EE5714" w14:paraId="03350CB7" w14:textId="77777777" w:rsidTr="00463B0B">
        <w:trPr>
          <w:trHeight w:val="300"/>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4406DC59" w14:textId="77777777" w:rsidR="00F303E0" w:rsidRPr="00EE5714" w:rsidRDefault="00F303E0" w:rsidP="00463B0B">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230" w:type="dxa"/>
            <w:gridSpan w:val="4"/>
            <w:tcBorders>
              <w:top w:val="single" w:sz="12" w:space="0" w:color="000000"/>
              <w:left w:val="single" w:sz="12" w:space="0" w:color="000000"/>
              <w:bottom w:val="single" w:sz="4" w:space="0" w:color="000000"/>
              <w:right w:val="single" w:sz="12" w:space="0" w:color="000000"/>
            </w:tcBorders>
            <w:shd w:val="clear" w:color="auto" w:fill="auto"/>
            <w:noWrap/>
            <w:vAlign w:val="bottom"/>
            <w:hideMark/>
          </w:tcPr>
          <w:p w14:paraId="56400C36" w14:textId="77777777" w:rsidR="00F303E0" w:rsidRPr="00EE5714" w:rsidRDefault="00F303E0" w:rsidP="00463B0B">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Average CAP Bill </w:t>
            </w:r>
          </w:p>
        </w:tc>
        <w:tc>
          <w:tcPr>
            <w:tcW w:w="4320" w:type="dxa"/>
            <w:gridSpan w:val="4"/>
            <w:tcBorders>
              <w:top w:val="single" w:sz="12" w:space="0" w:color="000000"/>
              <w:left w:val="single" w:sz="12" w:space="0" w:color="000000"/>
              <w:bottom w:val="single" w:sz="4" w:space="0" w:color="000000"/>
              <w:right w:val="single" w:sz="12" w:space="0" w:color="000000"/>
            </w:tcBorders>
            <w:vAlign w:val="bottom"/>
          </w:tcPr>
          <w:p w14:paraId="72215133" w14:textId="77777777" w:rsidR="00F303E0" w:rsidRPr="00EE5714" w:rsidRDefault="00F303E0" w:rsidP="00463B0B">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Average LIHEAP Dollars Applied</w:t>
            </w:r>
          </w:p>
        </w:tc>
      </w:tr>
      <w:tr w:rsidR="0057236C" w:rsidRPr="00EE5714" w14:paraId="0FE1D442" w14:textId="77777777" w:rsidTr="0057236C">
        <w:trPr>
          <w:trHeight w:val="274"/>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25356D46" w14:textId="77777777" w:rsidR="00F303E0" w:rsidRPr="00EE5714" w:rsidRDefault="00F303E0" w:rsidP="00463B0B">
            <w:pPr>
              <w:keepNext/>
              <w:spacing w:after="0" w:line="240" w:lineRule="auto"/>
              <w:rPr>
                <w:rFonts w:ascii="Calibri" w:eastAsia="Times New Roman" w:hAnsi="Calibri" w:cs="Calibri"/>
                <w:color w:val="000000"/>
                <w:sz w:val="21"/>
                <w:szCs w:val="21"/>
              </w:rPr>
            </w:pPr>
          </w:p>
        </w:tc>
        <w:tc>
          <w:tcPr>
            <w:tcW w:w="99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0DADD108"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038C5AB"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D041FF0"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080" w:type="dxa"/>
            <w:tcBorders>
              <w:top w:val="nil"/>
              <w:left w:val="nil"/>
              <w:bottom w:val="single" w:sz="4" w:space="0" w:color="000000"/>
              <w:right w:val="single" w:sz="12" w:space="0" w:color="000000"/>
            </w:tcBorders>
            <w:shd w:val="clear" w:color="auto" w:fill="F2F2F2" w:themeFill="background1" w:themeFillShade="F2"/>
            <w:noWrap/>
            <w:vAlign w:val="bottom"/>
            <w:hideMark/>
          </w:tcPr>
          <w:p w14:paraId="224A2CD4"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080" w:type="dxa"/>
            <w:tcBorders>
              <w:top w:val="nil"/>
              <w:left w:val="single" w:sz="12" w:space="0" w:color="000000"/>
              <w:bottom w:val="single" w:sz="4" w:space="0" w:color="000000"/>
              <w:right w:val="single" w:sz="8" w:space="0" w:color="000000"/>
            </w:tcBorders>
            <w:shd w:val="clear" w:color="auto" w:fill="F2F2F2" w:themeFill="background1" w:themeFillShade="F2"/>
            <w:vAlign w:val="bottom"/>
          </w:tcPr>
          <w:p w14:paraId="12A69790"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nil"/>
              <w:left w:val="nil"/>
              <w:bottom w:val="single" w:sz="4" w:space="0" w:color="000000"/>
              <w:right w:val="single" w:sz="8" w:space="0" w:color="000000"/>
            </w:tcBorders>
            <w:shd w:val="clear" w:color="auto" w:fill="F2F2F2" w:themeFill="background1" w:themeFillShade="F2"/>
            <w:vAlign w:val="bottom"/>
          </w:tcPr>
          <w:p w14:paraId="1C111AEC"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170" w:type="dxa"/>
            <w:tcBorders>
              <w:top w:val="nil"/>
              <w:left w:val="nil"/>
              <w:bottom w:val="single" w:sz="4" w:space="0" w:color="000000"/>
              <w:right w:val="single" w:sz="8" w:space="0" w:color="000000"/>
            </w:tcBorders>
            <w:shd w:val="clear" w:color="auto" w:fill="F2F2F2" w:themeFill="background1" w:themeFillShade="F2"/>
            <w:vAlign w:val="bottom"/>
          </w:tcPr>
          <w:p w14:paraId="57429EA2"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90" w:type="dxa"/>
            <w:tcBorders>
              <w:top w:val="nil"/>
              <w:left w:val="nil"/>
              <w:bottom w:val="single" w:sz="4" w:space="0" w:color="000000"/>
              <w:right w:val="single" w:sz="12" w:space="0" w:color="000000"/>
            </w:tcBorders>
            <w:shd w:val="clear" w:color="auto" w:fill="F2F2F2" w:themeFill="background1" w:themeFillShade="F2"/>
            <w:vAlign w:val="bottom"/>
          </w:tcPr>
          <w:p w14:paraId="31CC90F5"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77432265"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6598A5DE" w14:textId="77777777" w:rsidR="00F303E0" w:rsidRPr="00EE5714" w:rsidRDefault="00F303E0" w:rsidP="00463B0B">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 xml:space="preserve">Duquesne** </w:t>
            </w:r>
          </w:p>
        </w:tc>
        <w:tc>
          <w:tcPr>
            <w:tcW w:w="990" w:type="dxa"/>
            <w:tcBorders>
              <w:top w:val="nil"/>
              <w:left w:val="single" w:sz="12" w:space="0" w:color="000000"/>
              <w:bottom w:val="single" w:sz="4" w:space="0" w:color="000000"/>
              <w:right w:val="single" w:sz="4" w:space="0" w:color="000000"/>
            </w:tcBorders>
            <w:shd w:val="clear" w:color="auto" w:fill="auto"/>
            <w:noWrap/>
            <w:vAlign w:val="center"/>
          </w:tcPr>
          <w:p w14:paraId="2C2010D6" w14:textId="77777777" w:rsidR="00F303E0" w:rsidRPr="00EE5714" w:rsidRDefault="00F303E0" w:rsidP="00463B0B">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$990.00</w:t>
            </w:r>
          </w:p>
        </w:tc>
        <w:tc>
          <w:tcPr>
            <w:tcW w:w="1080" w:type="dxa"/>
            <w:tcBorders>
              <w:top w:val="nil"/>
              <w:left w:val="nil"/>
              <w:bottom w:val="single" w:sz="4" w:space="0" w:color="000000"/>
              <w:right w:val="single" w:sz="4" w:space="0" w:color="000000"/>
            </w:tcBorders>
            <w:shd w:val="clear" w:color="auto" w:fill="auto"/>
            <w:noWrap/>
            <w:vAlign w:val="center"/>
          </w:tcPr>
          <w:p w14:paraId="6532BDC1" w14:textId="77777777" w:rsidR="00F303E0" w:rsidRPr="00EE5714" w:rsidRDefault="00F303E0" w:rsidP="00463B0B">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$990.00</w:t>
            </w:r>
          </w:p>
        </w:tc>
        <w:tc>
          <w:tcPr>
            <w:tcW w:w="1080" w:type="dxa"/>
            <w:tcBorders>
              <w:top w:val="nil"/>
              <w:left w:val="nil"/>
              <w:bottom w:val="single" w:sz="4" w:space="0" w:color="000000"/>
              <w:right w:val="single" w:sz="4" w:space="0" w:color="000000"/>
            </w:tcBorders>
            <w:shd w:val="clear" w:color="auto" w:fill="auto"/>
            <w:noWrap/>
            <w:vAlign w:val="center"/>
          </w:tcPr>
          <w:p w14:paraId="66A6710C" w14:textId="77777777" w:rsidR="00F303E0" w:rsidRPr="00EE5714" w:rsidRDefault="00F303E0" w:rsidP="00463B0B">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$955.95</w:t>
            </w:r>
          </w:p>
        </w:tc>
        <w:tc>
          <w:tcPr>
            <w:tcW w:w="1080" w:type="dxa"/>
            <w:tcBorders>
              <w:top w:val="nil"/>
              <w:left w:val="nil"/>
              <w:bottom w:val="single" w:sz="4" w:space="0" w:color="000000"/>
              <w:right w:val="single" w:sz="12" w:space="0" w:color="000000"/>
            </w:tcBorders>
            <w:shd w:val="clear" w:color="auto" w:fill="auto"/>
            <w:noWrap/>
            <w:vAlign w:val="center"/>
          </w:tcPr>
          <w:p w14:paraId="1A4BD4B2" w14:textId="77777777" w:rsidR="00F303E0" w:rsidRPr="00EE5714" w:rsidRDefault="00F303E0" w:rsidP="00463B0B">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$1,023.90</w:t>
            </w:r>
          </w:p>
        </w:tc>
        <w:tc>
          <w:tcPr>
            <w:tcW w:w="1080" w:type="dxa"/>
            <w:tcBorders>
              <w:top w:val="nil"/>
              <w:left w:val="single" w:sz="12" w:space="0" w:color="000000"/>
              <w:bottom w:val="single" w:sz="4" w:space="0" w:color="000000"/>
              <w:right w:val="single" w:sz="8" w:space="0" w:color="000000"/>
            </w:tcBorders>
            <w:vAlign w:val="center"/>
          </w:tcPr>
          <w:p w14:paraId="6A2B6363" w14:textId="77777777" w:rsidR="00F303E0" w:rsidRPr="00EE5714" w:rsidRDefault="00F303E0" w:rsidP="00463B0B">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$282.02</w:t>
            </w:r>
          </w:p>
        </w:tc>
        <w:tc>
          <w:tcPr>
            <w:tcW w:w="1080" w:type="dxa"/>
            <w:tcBorders>
              <w:top w:val="nil"/>
              <w:left w:val="nil"/>
              <w:bottom w:val="single" w:sz="4" w:space="0" w:color="000000"/>
              <w:right w:val="single" w:sz="8" w:space="0" w:color="000000"/>
            </w:tcBorders>
            <w:vAlign w:val="center"/>
          </w:tcPr>
          <w:p w14:paraId="1D90CC0C" w14:textId="77777777" w:rsidR="00F303E0" w:rsidRPr="00EE5714" w:rsidRDefault="00F303E0" w:rsidP="00463B0B">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$282.02</w:t>
            </w:r>
          </w:p>
        </w:tc>
        <w:tc>
          <w:tcPr>
            <w:tcW w:w="1170" w:type="dxa"/>
            <w:tcBorders>
              <w:top w:val="nil"/>
              <w:left w:val="nil"/>
              <w:bottom w:val="single" w:sz="4" w:space="0" w:color="000000"/>
              <w:right w:val="single" w:sz="8" w:space="0" w:color="000000"/>
            </w:tcBorders>
            <w:vAlign w:val="center"/>
          </w:tcPr>
          <w:p w14:paraId="56F09E3B" w14:textId="77777777" w:rsidR="00F303E0" w:rsidRPr="00EE5714" w:rsidRDefault="00F303E0" w:rsidP="00463B0B">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$207.24</w:t>
            </w:r>
          </w:p>
        </w:tc>
        <w:tc>
          <w:tcPr>
            <w:tcW w:w="990" w:type="dxa"/>
            <w:tcBorders>
              <w:top w:val="nil"/>
              <w:left w:val="nil"/>
              <w:bottom w:val="single" w:sz="4" w:space="0" w:color="000000"/>
              <w:right w:val="single" w:sz="12" w:space="0" w:color="000000"/>
            </w:tcBorders>
            <w:vAlign w:val="center"/>
          </w:tcPr>
          <w:p w14:paraId="67F32E46" w14:textId="77777777" w:rsidR="00F303E0" w:rsidRPr="00EE5714" w:rsidRDefault="00F303E0" w:rsidP="00463B0B">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$315.07</w:t>
            </w:r>
          </w:p>
        </w:tc>
      </w:tr>
      <w:tr w:rsidR="00F303E0" w:rsidRPr="00EE5714" w14:paraId="4F4446DE"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658B7D44"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990" w:type="dxa"/>
            <w:tcBorders>
              <w:top w:val="nil"/>
              <w:left w:val="single" w:sz="12" w:space="0" w:color="000000"/>
              <w:bottom w:val="single" w:sz="4" w:space="0" w:color="000000"/>
              <w:right w:val="single" w:sz="4" w:space="0" w:color="000000"/>
            </w:tcBorders>
            <w:shd w:val="clear" w:color="auto" w:fill="auto"/>
            <w:noWrap/>
            <w:vAlign w:val="center"/>
          </w:tcPr>
          <w:p w14:paraId="33518E38"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$835.77</w:t>
            </w:r>
          </w:p>
        </w:tc>
        <w:tc>
          <w:tcPr>
            <w:tcW w:w="1080" w:type="dxa"/>
            <w:tcBorders>
              <w:top w:val="nil"/>
              <w:left w:val="nil"/>
              <w:bottom w:val="single" w:sz="4" w:space="0" w:color="000000"/>
              <w:right w:val="single" w:sz="4" w:space="0" w:color="000000"/>
            </w:tcBorders>
            <w:shd w:val="clear" w:color="auto" w:fill="auto"/>
            <w:noWrap/>
            <w:vAlign w:val="center"/>
          </w:tcPr>
          <w:p w14:paraId="5AC9BF2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$1,301.95</w:t>
            </w:r>
          </w:p>
        </w:tc>
        <w:tc>
          <w:tcPr>
            <w:tcW w:w="1080" w:type="dxa"/>
            <w:tcBorders>
              <w:top w:val="nil"/>
              <w:left w:val="nil"/>
              <w:bottom w:val="single" w:sz="4" w:space="0" w:color="000000"/>
              <w:right w:val="single" w:sz="4" w:space="0" w:color="000000"/>
            </w:tcBorders>
            <w:shd w:val="clear" w:color="auto" w:fill="auto"/>
            <w:noWrap/>
            <w:vAlign w:val="center"/>
          </w:tcPr>
          <w:p w14:paraId="08B62517"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$1,218.23</w:t>
            </w:r>
          </w:p>
        </w:tc>
        <w:tc>
          <w:tcPr>
            <w:tcW w:w="1080" w:type="dxa"/>
            <w:tcBorders>
              <w:top w:val="nil"/>
              <w:left w:val="nil"/>
              <w:bottom w:val="single" w:sz="4" w:space="0" w:color="000000"/>
              <w:right w:val="single" w:sz="12" w:space="0" w:color="000000"/>
            </w:tcBorders>
            <w:shd w:val="clear" w:color="auto" w:fill="auto"/>
            <w:noWrap/>
            <w:vAlign w:val="center"/>
          </w:tcPr>
          <w:p w14:paraId="4EB99D8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$1,296.49</w:t>
            </w:r>
          </w:p>
        </w:tc>
        <w:tc>
          <w:tcPr>
            <w:tcW w:w="1080" w:type="dxa"/>
            <w:tcBorders>
              <w:top w:val="nil"/>
              <w:left w:val="single" w:sz="12" w:space="0" w:color="000000"/>
              <w:bottom w:val="single" w:sz="4" w:space="0" w:color="000000"/>
              <w:right w:val="single" w:sz="8" w:space="0" w:color="000000"/>
            </w:tcBorders>
            <w:vAlign w:val="center"/>
          </w:tcPr>
          <w:p w14:paraId="41DC0F8A"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$306.11</w:t>
            </w:r>
          </w:p>
        </w:tc>
        <w:tc>
          <w:tcPr>
            <w:tcW w:w="1080" w:type="dxa"/>
            <w:tcBorders>
              <w:top w:val="nil"/>
              <w:left w:val="nil"/>
              <w:bottom w:val="single" w:sz="4" w:space="0" w:color="000000"/>
              <w:right w:val="single" w:sz="8" w:space="0" w:color="000000"/>
            </w:tcBorders>
            <w:vAlign w:val="center"/>
          </w:tcPr>
          <w:p w14:paraId="324D0B6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$325.90</w:t>
            </w:r>
          </w:p>
        </w:tc>
        <w:tc>
          <w:tcPr>
            <w:tcW w:w="1170" w:type="dxa"/>
            <w:tcBorders>
              <w:top w:val="nil"/>
              <w:left w:val="nil"/>
              <w:bottom w:val="single" w:sz="4" w:space="0" w:color="000000"/>
              <w:right w:val="single" w:sz="8" w:space="0" w:color="000000"/>
            </w:tcBorders>
            <w:vAlign w:val="center"/>
          </w:tcPr>
          <w:p w14:paraId="50BA77CE"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$314.50</w:t>
            </w:r>
          </w:p>
        </w:tc>
        <w:tc>
          <w:tcPr>
            <w:tcW w:w="990" w:type="dxa"/>
            <w:tcBorders>
              <w:top w:val="nil"/>
              <w:left w:val="nil"/>
              <w:bottom w:val="single" w:sz="4" w:space="0" w:color="000000"/>
              <w:right w:val="single" w:sz="12" w:space="0" w:color="000000"/>
            </w:tcBorders>
            <w:vAlign w:val="center"/>
          </w:tcPr>
          <w:p w14:paraId="1C93056F"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$313.97</w:t>
            </w:r>
          </w:p>
        </w:tc>
      </w:tr>
      <w:tr w:rsidR="00F303E0" w:rsidRPr="00EE5714" w14:paraId="2EFC9A8C"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095FA0CC"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990" w:type="dxa"/>
            <w:tcBorders>
              <w:top w:val="nil"/>
              <w:left w:val="single" w:sz="12" w:space="0" w:color="000000"/>
              <w:bottom w:val="single" w:sz="4" w:space="0" w:color="000000"/>
              <w:right w:val="single" w:sz="4" w:space="0" w:color="000000"/>
            </w:tcBorders>
            <w:shd w:val="clear" w:color="auto" w:fill="auto"/>
            <w:noWrap/>
            <w:vAlign w:val="center"/>
          </w:tcPr>
          <w:p w14:paraId="34A86609"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$819.96</w:t>
            </w:r>
          </w:p>
        </w:tc>
        <w:tc>
          <w:tcPr>
            <w:tcW w:w="1080" w:type="dxa"/>
            <w:tcBorders>
              <w:top w:val="nil"/>
              <w:left w:val="nil"/>
              <w:bottom w:val="single" w:sz="4" w:space="0" w:color="000000"/>
              <w:right w:val="single" w:sz="4" w:space="0" w:color="000000"/>
            </w:tcBorders>
            <w:shd w:val="clear" w:color="auto" w:fill="auto"/>
            <w:noWrap/>
            <w:vAlign w:val="center"/>
          </w:tcPr>
          <w:p w14:paraId="3B5F3C64"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$819.96</w:t>
            </w:r>
          </w:p>
        </w:tc>
        <w:tc>
          <w:tcPr>
            <w:tcW w:w="1080" w:type="dxa"/>
            <w:tcBorders>
              <w:top w:val="nil"/>
              <w:left w:val="nil"/>
              <w:bottom w:val="single" w:sz="4" w:space="0" w:color="000000"/>
              <w:right w:val="single" w:sz="4" w:space="0" w:color="000000"/>
            </w:tcBorders>
            <w:shd w:val="clear" w:color="auto" w:fill="auto"/>
            <w:noWrap/>
            <w:vAlign w:val="center"/>
          </w:tcPr>
          <w:p w14:paraId="4F9C88FE"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$819.96</w:t>
            </w:r>
          </w:p>
        </w:tc>
        <w:tc>
          <w:tcPr>
            <w:tcW w:w="1080" w:type="dxa"/>
            <w:tcBorders>
              <w:top w:val="nil"/>
              <w:left w:val="nil"/>
              <w:bottom w:val="single" w:sz="4" w:space="0" w:color="000000"/>
              <w:right w:val="single" w:sz="12" w:space="0" w:color="000000"/>
            </w:tcBorders>
            <w:shd w:val="clear" w:color="auto" w:fill="auto"/>
            <w:noWrap/>
            <w:vAlign w:val="center"/>
          </w:tcPr>
          <w:p w14:paraId="434048BF"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$819.96</w:t>
            </w:r>
          </w:p>
        </w:tc>
        <w:tc>
          <w:tcPr>
            <w:tcW w:w="1080" w:type="dxa"/>
            <w:tcBorders>
              <w:top w:val="nil"/>
              <w:left w:val="single" w:sz="12" w:space="0" w:color="000000"/>
              <w:bottom w:val="single" w:sz="4" w:space="0" w:color="000000"/>
              <w:right w:val="single" w:sz="8" w:space="0" w:color="000000"/>
            </w:tcBorders>
            <w:vAlign w:val="center"/>
          </w:tcPr>
          <w:p w14:paraId="1433A46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$318.68</w:t>
            </w:r>
          </w:p>
        </w:tc>
        <w:tc>
          <w:tcPr>
            <w:tcW w:w="1080" w:type="dxa"/>
            <w:tcBorders>
              <w:top w:val="nil"/>
              <w:left w:val="nil"/>
              <w:bottom w:val="single" w:sz="4" w:space="0" w:color="000000"/>
              <w:right w:val="single" w:sz="8" w:space="0" w:color="000000"/>
            </w:tcBorders>
            <w:vAlign w:val="center"/>
          </w:tcPr>
          <w:p w14:paraId="1C35BA5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$272.88</w:t>
            </w:r>
          </w:p>
        </w:tc>
        <w:tc>
          <w:tcPr>
            <w:tcW w:w="1170" w:type="dxa"/>
            <w:tcBorders>
              <w:top w:val="nil"/>
              <w:left w:val="nil"/>
              <w:bottom w:val="single" w:sz="4" w:space="0" w:color="000000"/>
              <w:right w:val="single" w:sz="8" w:space="0" w:color="000000"/>
            </w:tcBorders>
            <w:vAlign w:val="center"/>
          </w:tcPr>
          <w:p w14:paraId="543954D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$290.81</w:t>
            </w:r>
          </w:p>
        </w:tc>
        <w:tc>
          <w:tcPr>
            <w:tcW w:w="990" w:type="dxa"/>
            <w:tcBorders>
              <w:top w:val="nil"/>
              <w:left w:val="nil"/>
              <w:bottom w:val="single" w:sz="4" w:space="0" w:color="000000"/>
              <w:right w:val="single" w:sz="12" w:space="0" w:color="000000"/>
            </w:tcBorders>
            <w:vAlign w:val="center"/>
          </w:tcPr>
          <w:p w14:paraId="3677DA4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$323.44</w:t>
            </w:r>
          </w:p>
        </w:tc>
      </w:tr>
      <w:tr w:rsidR="00F303E0" w:rsidRPr="00EE5714" w14:paraId="42DE4171"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2BC1C9C6" w14:textId="77777777" w:rsidR="00F303E0" w:rsidRPr="00EE5714" w:rsidRDefault="00F303E0" w:rsidP="00851815">
            <w:pPr>
              <w:keepNext/>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990" w:type="dxa"/>
            <w:tcBorders>
              <w:top w:val="nil"/>
              <w:left w:val="single" w:sz="12" w:space="0" w:color="000000"/>
              <w:bottom w:val="single" w:sz="4" w:space="0" w:color="000000"/>
              <w:right w:val="single" w:sz="4" w:space="0" w:color="000000"/>
            </w:tcBorders>
            <w:shd w:val="clear" w:color="auto" w:fill="auto"/>
            <w:noWrap/>
            <w:vAlign w:val="center"/>
          </w:tcPr>
          <w:p w14:paraId="44666D66"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$924.98</w:t>
            </w:r>
          </w:p>
        </w:tc>
        <w:tc>
          <w:tcPr>
            <w:tcW w:w="1080" w:type="dxa"/>
            <w:tcBorders>
              <w:top w:val="nil"/>
              <w:left w:val="nil"/>
              <w:bottom w:val="single" w:sz="4" w:space="0" w:color="000000"/>
              <w:right w:val="single" w:sz="4" w:space="0" w:color="000000"/>
            </w:tcBorders>
            <w:shd w:val="clear" w:color="auto" w:fill="auto"/>
            <w:noWrap/>
            <w:vAlign w:val="center"/>
          </w:tcPr>
          <w:p w14:paraId="287FABF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$1,675.31</w:t>
            </w:r>
          </w:p>
        </w:tc>
        <w:tc>
          <w:tcPr>
            <w:tcW w:w="1080" w:type="dxa"/>
            <w:tcBorders>
              <w:top w:val="nil"/>
              <w:left w:val="nil"/>
              <w:bottom w:val="single" w:sz="4" w:space="0" w:color="000000"/>
              <w:right w:val="single" w:sz="4" w:space="0" w:color="000000"/>
            </w:tcBorders>
            <w:shd w:val="clear" w:color="auto" w:fill="auto"/>
            <w:noWrap/>
            <w:vAlign w:val="center"/>
          </w:tcPr>
          <w:p w14:paraId="44F3CD69"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$1,488.76</w:t>
            </w:r>
          </w:p>
        </w:tc>
        <w:tc>
          <w:tcPr>
            <w:tcW w:w="1080" w:type="dxa"/>
            <w:tcBorders>
              <w:top w:val="nil"/>
              <w:left w:val="nil"/>
              <w:bottom w:val="single" w:sz="4" w:space="0" w:color="000000"/>
              <w:right w:val="single" w:sz="12" w:space="0" w:color="000000"/>
            </w:tcBorders>
            <w:shd w:val="clear" w:color="auto" w:fill="auto"/>
            <w:noWrap/>
            <w:vAlign w:val="center"/>
          </w:tcPr>
          <w:p w14:paraId="581C09F6"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$1,419.60</w:t>
            </w:r>
          </w:p>
        </w:tc>
        <w:tc>
          <w:tcPr>
            <w:tcW w:w="1080" w:type="dxa"/>
            <w:tcBorders>
              <w:top w:val="nil"/>
              <w:left w:val="single" w:sz="12" w:space="0" w:color="000000"/>
              <w:bottom w:val="single" w:sz="4" w:space="0" w:color="000000"/>
              <w:right w:val="single" w:sz="8" w:space="0" w:color="000000"/>
            </w:tcBorders>
            <w:vAlign w:val="center"/>
          </w:tcPr>
          <w:p w14:paraId="46B713E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$289.60</w:t>
            </w:r>
          </w:p>
        </w:tc>
        <w:tc>
          <w:tcPr>
            <w:tcW w:w="1080" w:type="dxa"/>
            <w:tcBorders>
              <w:top w:val="nil"/>
              <w:left w:val="nil"/>
              <w:bottom w:val="single" w:sz="4" w:space="0" w:color="000000"/>
              <w:right w:val="single" w:sz="8" w:space="0" w:color="000000"/>
            </w:tcBorders>
            <w:vAlign w:val="center"/>
          </w:tcPr>
          <w:p w14:paraId="7882A60E"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$257.81</w:t>
            </w:r>
          </w:p>
        </w:tc>
        <w:tc>
          <w:tcPr>
            <w:tcW w:w="1170" w:type="dxa"/>
            <w:tcBorders>
              <w:top w:val="nil"/>
              <w:left w:val="nil"/>
              <w:bottom w:val="single" w:sz="4" w:space="0" w:color="000000"/>
              <w:right w:val="single" w:sz="8" w:space="0" w:color="000000"/>
            </w:tcBorders>
            <w:vAlign w:val="center"/>
          </w:tcPr>
          <w:p w14:paraId="472968F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$264.10</w:t>
            </w:r>
          </w:p>
        </w:tc>
        <w:tc>
          <w:tcPr>
            <w:tcW w:w="990" w:type="dxa"/>
            <w:tcBorders>
              <w:top w:val="nil"/>
              <w:left w:val="nil"/>
              <w:bottom w:val="single" w:sz="4" w:space="0" w:color="000000"/>
              <w:right w:val="single" w:sz="12" w:space="0" w:color="000000"/>
            </w:tcBorders>
            <w:vAlign w:val="center"/>
          </w:tcPr>
          <w:p w14:paraId="1AAB90C9"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$271.73</w:t>
            </w:r>
          </w:p>
        </w:tc>
      </w:tr>
      <w:tr w:rsidR="00F303E0" w:rsidRPr="00EE5714" w14:paraId="21D1559F"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63815E65"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Penn Power</w:t>
            </w:r>
          </w:p>
        </w:tc>
        <w:tc>
          <w:tcPr>
            <w:tcW w:w="990" w:type="dxa"/>
            <w:tcBorders>
              <w:top w:val="nil"/>
              <w:left w:val="single" w:sz="12" w:space="0" w:color="000000"/>
              <w:bottom w:val="single" w:sz="4" w:space="0" w:color="000000"/>
              <w:right w:val="single" w:sz="4" w:space="0" w:color="000000"/>
            </w:tcBorders>
            <w:shd w:val="clear" w:color="auto" w:fill="auto"/>
            <w:noWrap/>
            <w:vAlign w:val="center"/>
          </w:tcPr>
          <w:p w14:paraId="750F3A6E"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$852.20</w:t>
            </w:r>
          </w:p>
        </w:tc>
        <w:tc>
          <w:tcPr>
            <w:tcW w:w="1080" w:type="dxa"/>
            <w:tcBorders>
              <w:top w:val="nil"/>
              <w:left w:val="nil"/>
              <w:bottom w:val="single" w:sz="4" w:space="0" w:color="000000"/>
              <w:right w:val="single" w:sz="4" w:space="0" w:color="000000"/>
            </w:tcBorders>
            <w:shd w:val="clear" w:color="auto" w:fill="auto"/>
            <w:noWrap/>
            <w:vAlign w:val="center"/>
          </w:tcPr>
          <w:p w14:paraId="644183D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$1,502.40</w:t>
            </w:r>
          </w:p>
        </w:tc>
        <w:tc>
          <w:tcPr>
            <w:tcW w:w="1080" w:type="dxa"/>
            <w:tcBorders>
              <w:top w:val="nil"/>
              <w:left w:val="nil"/>
              <w:bottom w:val="single" w:sz="4" w:space="0" w:color="000000"/>
              <w:right w:val="single" w:sz="4" w:space="0" w:color="000000"/>
            </w:tcBorders>
            <w:shd w:val="clear" w:color="auto" w:fill="auto"/>
            <w:noWrap/>
            <w:vAlign w:val="center"/>
          </w:tcPr>
          <w:p w14:paraId="406B04DA"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$1,470.84</w:t>
            </w:r>
          </w:p>
        </w:tc>
        <w:tc>
          <w:tcPr>
            <w:tcW w:w="1080" w:type="dxa"/>
            <w:tcBorders>
              <w:top w:val="nil"/>
              <w:left w:val="nil"/>
              <w:bottom w:val="single" w:sz="4" w:space="0" w:color="000000"/>
              <w:right w:val="single" w:sz="12" w:space="0" w:color="000000"/>
            </w:tcBorders>
            <w:shd w:val="clear" w:color="auto" w:fill="auto"/>
            <w:noWrap/>
            <w:vAlign w:val="center"/>
          </w:tcPr>
          <w:p w14:paraId="64A5F8CF"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$1,461.20</w:t>
            </w:r>
          </w:p>
        </w:tc>
        <w:tc>
          <w:tcPr>
            <w:tcW w:w="1080" w:type="dxa"/>
            <w:tcBorders>
              <w:top w:val="nil"/>
              <w:left w:val="single" w:sz="12" w:space="0" w:color="000000"/>
              <w:bottom w:val="single" w:sz="4" w:space="0" w:color="000000"/>
              <w:right w:val="single" w:sz="8" w:space="0" w:color="000000"/>
            </w:tcBorders>
            <w:vAlign w:val="center"/>
          </w:tcPr>
          <w:p w14:paraId="4E470054"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$244.86</w:t>
            </w:r>
          </w:p>
        </w:tc>
        <w:tc>
          <w:tcPr>
            <w:tcW w:w="1080" w:type="dxa"/>
            <w:tcBorders>
              <w:top w:val="nil"/>
              <w:left w:val="nil"/>
              <w:bottom w:val="single" w:sz="4" w:space="0" w:color="000000"/>
              <w:right w:val="single" w:sz="8" w:space="0" w:color="000000"/>
            </w:tcBorders>
            <w:vAlign w:val="center"/>
          </w:tcPr>
          <w:p w14:paraId="14E47C45"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$247.79</w:t>
            </w:r>
          </w:p>
        </w:tc>
        <w:tc>
          <w:tcPr>
            <w:tcW w:w="1170" w:type="dxa"/>
            <w:tcBorders>
              <w:top w:val="nil"/>
              <w:left w:val="nil"/>
              <w:bottom w:val="single" w:sz="4" w:space="0" w:color="000000"/>
              <w:right w:val="single" w:sz="8" w:space="0" w:color="000000"/>
            </w:tcBorders>
            <w:vAlign w:val="center"/>
          </w:tcPr>
          <w:p w14:paraId="1C80302C"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$254.62</w:t>
            </w:r>
          </w:p>
        </w:tc>
        <w:tc>
          <w:tcPr>
            <w:tcW w:w="990" w:type="dxa"/>
            <w:tcBorders>
              <w:top w:val="nil"/>
              <w:left w:val="nil"/>
              <w:bottom w:val="single" w:sz="4" w:space="0" w:color="000000"/>
              <w:right w:val="single" w:sz="12" w:space="0" w:color="000000"/>
            </w:tcBorders>
            <w:vAlign w:val="center"/>
          </w:tcPr>
          <w:p w14:paraId="7CC4B7EF"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$278.29</w:t>
            </w:r>
          </w:p>
        </w:tc>
      </w:tr>
      <w:tr w:rsidR="00F303E0" w:rsidRPr="00EE5714" w14:paraId="66169D2F"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76CE69BC"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PPL</w:t>
            </w:r>
          </w:p>
        </w:tc>
        <w:tc>
          <w:tcPr>
            <w:tcW w:w="990" w:type="dxa"/>
            <w:tcBorders>
              <w:top w:val="nil"/>
              <w:left w:val="single" w:sz="12" w:space="0" w:color="000000"/>
              <w:bottom w:val="single" w:sz="4" w:space="0" w:color="000000"/>
              <w:right w:val="single" w:sz="4" w:space="0" w:color="000000"/>
            </w:tcBorders>
            <w:shd w:val="clear" w:color="auto" w:fill="auto"/>
            <w:noWrap/>
            <w:vAlign w:val="center"/>
          </w:tcPr>
          <w:p w14:paraId="67BB3B3E"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$1,474.20</w:t>
            </w:r>
          </w:p>
        </w:tc>
        <w:tc>
          <w:tcPr>
            <w:tcW w:w="1080" w:type="dxa"/>
            <w:tcBorders>
              <w:top w:val="nil"/>
              <w:left w:val="nil"/>
              <w:bottom w:val="single" w:sz="4" w:space="0" w:color="000000"/>
              <w:right w:val="single" w:sz="4" w:space="0" w:color="000000"/>
            </w:tcBorders>
            <w:shd w:val="clear" w:color="auto" w:fill="auto"/>
            <w:noWrap/>
            <w:vAlign w:val="center"/>
          </w:tcPr>
          <w:p w14:paraId="14DCB3BC"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$1,867.32</w:t>
            </w:r>
          </w:p>
        </w:tc>
        <w:tc>
          <w:tcPr>
            <w:tcW w:w="1080" w:type="dxa"/>
            <w:tcBorders>
              <w:top w:val="nil"/>
              <w:left w:val="nil"/>
              <w:bottom w:val="single" w:sz="4" w:space="0" w:color="000000"/>
              <w:right w:val="single" w:sz="4" w:space="0" w:color="000000"/>
            </w:tcBorders>
            <w:shd w:val="clear" w:color="auto" w:fill="auto"/>
            <w:noWrap/>
            <w:vAlign w:val="center"/>
          </w:tcPr>
          <w:p w14:paraId="71E7F096"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$2,015.64</w:t>
            </w:r>
          </w:p>
        </w:tc>
        <w:tc>
          <w:tcPr>
            <w:tcW w:w="1080" w:type="dxa"/>
            <w:tcBorders>
              <w:top w:val="nil"/>
              <w:left w:val="nil"/>
              <w:bottom w:val="single" w:sz="4" w:space="0" w:color="000000"/>
              <w:right w:val="single" w:sz="12" w:space="0" w:color="000000"/>
            </w:tcBorders>
            <w:shd w:val="clear" w:color="auto" w:fill="auto"/>
            <w:noWrap/>
            <w:vAlign w:val="center"/>
          </w:tcPr>
          <w:p w14:paraId="6A059AA8"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$1,576.08</w:t>
            </w:r>
          </w:p>
        </w:tc>
        <w:tc>
          <w:tcPr>
            <w:tcW w:w="1080" w:type="dxa"/>
            <w:tcBorders>
              <w:top w:val="nil"/>
              <w:left w:val="single" w:sz="12" w:space="0" w:color="000000"/>
              <w:bottom w:val="single" w:sz="4" w:space="0" w:color="000000"/>
              <w:right w:val="single" w:sz="8" w:space="0" w:color="000000"/>
            </w:tcBorders>
            <w:vAlign w:val="center"/>
          </w:tcPr>
          <w:p w14:paraId="740B1C15"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$355.29</w:t>
            </w:r>
          </w:p>
        </w:tc>
        <w:tc>
          <w:tcPr>
            <w:tcW w:w="1080" w:type="dxa"/>
            <w:tcBorders>
              <w:top w:val="nil"/>
              <w:left w:val="nil"/>
              <w:bottom w:val="single" w:sz="4" w:space="0" w:color="000000"/>
              <w:right w:val="single" w:sz="8" w:space="0" w:color="000000"/>
            </w:tcBorders>
            <w:vAlign w:val="center"/>
          </w:tcPr>
          <w:p w14:paraId="694157E6"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$344.57</w:t>
            </w:r>
          </w:p>
        </w:tc>
        <w:tc>
          <w:tcPr>
            <w:tcW w:w="1170" w:type="dxa"/>
            <w:tcBorders>
              <w:top w:val="nil"/>
              <w:left w:val="nil"/>
              <w:bottom w:val="single" w:sz="4" w:space="0" w:color="000000"/>
              <w:right w:val="single" w:sz="8" w:space="0" w:color="000000"/>
            </w:tcBorders>
            <w:vAlign w:val="center"/>
          </w:tcPr>
          <w:p w14:paraId="0AD5FF94"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$385.27</w:t>
            </w:r>
          </w:p>
        </w:tc>
        <w:tc>
          <w:tcPr>
            <w:tcW w:w="990" w:type="dxa"/>
            <w:tcBorders>
              <w:top w:val="nil"/>
              <w:left w:val="nil"/>
              <w:bottom w:val="single" w:sz="4" w:space="0" w:color="000000"/>
              <w:right w:val="single" w:sz="12" w:space="0" w:color="000000"/>
            </w:tcBorders>
            <w:vAlign w:val="center"/>
          </w:tcPr>
          <w:p w14:paraId="4EBA8F41"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$336.15</w:t>
            </w:r>
          </w:p>
        </w:tc>
      </w:tr>
      <w:tr w:rsidR="00F303E0" w:rsidRPr="00EE5714" w14:paraId="0A531BF4" w14:textId="77777777" w:rsidTr="00463B0B">
        <w:trPr>
          <w:trHeight w:hRule="exact" w:val="245"/>
        </w:trPr>
        <w:tc>
          <w:tcPr>
            <w:tcW w:w="1530" w:type="dxa"/>
            <w:tcBorders>
              <w:top w:val="nil"/>
              <w:left w:val="single" w:sz="8" w:space="0" w:color="000000"/>
              <w:bottom w:val="single" w:sz="4" w:space="0" w:color="000000"/>
              <w:right w:val="single" w:sz="12" w:space="0" w:color="000000"/>
            </w:tcBorders>
            <w:shd w:val="clear" w:color="auto" w:fill="auto"/>
            <w:noWrap/>
            <w:vAlign w:val="bottom"/>
          </w:tcPr>
          <w:p w14:paraId="0C98F57C"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West Penn</w:t>
            </w:r>
          </w:p>
        </w:tc>
        <w:tc>
          <w:tcPr>
            <w:tcW w:w="990" w:type="dxa"/>
            <w:tcBorders>
              <w:top w:val="nil"/>
              <w:left w:val="single" w:sz="12" w:space="0" w:color="000000"/>
              <w:bottom w:val="single" w:sz="4" w:space="0" w:color="000000"/>
              <w:right w:val="single" w:sz="4" w:space="0" w:color="000000"/>
            </w:tcBorders>
            <w:shd w:val="clear" w:color="auto" w:fill="auto"/>
            <w:noWrap/>
            <w:vAlign w:val="center"/>
          </w:tcPr>
          <w:p w14:paraId="630E4E9E"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$708.57</w:t>
            </w:r>
          </w:p>
        </w:tc>
        <w:tc>
          <w:tcPr>
            <w:tcW w:w="1080" w:type="dxa"/>
            <w:tcBorders>
              <w:top w:val="nil"/>
              <w:left w:val="nil"/>
              <w:bottom w:val="single" w:sz="4" w:space="0" w:color="000000"/>
              <w:right w:val="single" w:sz="4" w:space="0" w:color="000000"/>
            </w:tcBorders>
            <w:shd w:val="clear" w:color="auto" w:fill="auto"/>
            <w:noWrap/>
            <w:vAlign w:val="center"/>
          </w:tcPr>
          <w:p w14:paraId="36EAE28F"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$1,503.00</w:t>
            </w:r>
          </w:p>
        </w:tc>
        <w:tc>
          <w:tcPr>
            <w:tcW w:w="1080" w:type="dxa"/>
            <w:tcBorders>
              <w:top w:val="nil"/>
              <w:left w:val="nil"/>
              <w:bottom w:val="single" w:sz="4" w:space="0" w:color="000000"/>
              <w:right w:val="single" w:sz="4" w:space="0" w:color="000000"/>
            </w:tcBorders>
            <w:shd w:val="clear" w:color="auto" w:fill="auto"/>
            <w:noWrap/>
            <w:vAlign w:val="center"/>
          </w:tcPr>
          <w:p w14:paraId="6C0255A6"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$1,526.91</w:t>
            </w:r>
          </w:p>
        </w:tc>
        <w:tc>
          <w:tcPr>
            <w:tcW w:w="1080" w:type="dxa"/>
            <w:tcBorders>
              <w:top w:val="nil"/>
              <w:left w:val="nil"/>
              <w:bottom w:val="single" w:sz="4" w:space="0" w:color="000000"/>
              <w:right w:val="single" w:sz="12" w:space="0" w:color="000000"/>
            </w:tcBorders>
            <w:shd w:val="clear" w:color="auto" w:fill="auto"/>
            <w:noWrap/>
            <w:vAlign w:val="center"/>
          </w:tcPr>
          <w:p w14:paraId="309CA902"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$1,514.26</w:t>
            </w:r>
          </w:p>
        </w:tc>
        <w:tc>
          <w:tcPr>
            <w:tcW w:w="1080" w:type="dxa"/>
            <w:tcBorders>
              <w:top w:val="nil"/>
              <w:left w:val="single" w:sz="12" w:space="0" w:color="000000"/>
              <w:bottom w:val="single" w:sz="4" w:space="0" w:color="000000"/>
              <w:right w:val="single" w:sz="8" w:space="0" w:color="000000"/>
            </w:tcBorders>
            <w:vAlign w:val="center"/>
          </w:tcPr>
          <w:p w14:paraId="050C7431"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$367.30</w:t>
            </w:r>
          </w:p>
        </w:tc>
        <w:tc>
          <w:tcPr>
            <w:tcW w:w="1080" w:type="dxa"/>
            <w:tcBorders>
              <w:top w:val="nil"/>
              <w:left w:val="nil"/>
              <w:bottom w:val="single" w:sz="4" w:space="0" w:color="000000"/>
              <w:right w:val="single" w:sz="8" w:space="0" w:color="000000"/>
            </w:tcBorders>
            <w:vAlign w:val="center"/>
          </w:tcPr>
          <w:p w14:paraId="49D233B2"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$301.21</w:t>
            </w:r>
          </w:p>
        </w:tc>
        <w:tc>
          <w:tcPr>
            <w:tcW w:w="1170" w:type="dxa"/>
            <w:tcBorders>
              <w:top w:val="nil"/>
              <w:left w:val="nil"/>
              <w:bottom w:val="single" w:sz="4" w:space="0" w:color="000000"/>
              <w:right w:val="single" w:sz="8" w:space="0" w:color="000000"/>
            </w:tcBorders>
            <w:vAlign w:val="center"/>
          </w:tcPr>
          <w:p w14:paraId="201620D6"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$286.46</w:t>
            </w:r>
          </w:p>
        </w:tc>
        <w:tc>
          <w:tcPr>
            <w:tcW w:w="990" w:type="dxa"/>
            <w:tcBorders>
              <w:top w:val="nil"/>
              <w:left w:val="nil"/>
              <w:bottom w:val="single" w:sz="4" w:space="0" w:color="000000"/>
              <w:right w:val="single" w:sz="12" w:space="0" w:color="000000"/>
            </w:tcBorders>
            <w:vAlign w:val="center"/>
          </w:tcPr>
          <w:p w14:paraId="0BF67E2C"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$297.32</w:t>
            </w:r>
          </w:p>
        </w:tc>
      </w:tr>
    </w:tbl>
    <w:p w14:paraId="31641B6F" w14:textId="77777777" w:rsidR="00F303E0" w:rsidRPr="00EE5714" w:rsidRDefault="00F303E0" w:rsidP="00F303E0">
      <w:pPr>
        <w:pStyle w:val="NoSpacing"/>
        <w:keepNext/>
        <w:rPr>
          <w:rFonts w:cs="Times New Roman"/>
          <w:sz w:val="24"/>
          <w:szCs w:val="24"/>
        </w:rPr>
      </w:pPr>
      <w:r w:rsidRPr="00EE5714">
        <w:rPr>
          <w:rFonts w:cs="Times New Roman"/>
          <w:sz w:val="24"/>
          <w:szCs w:val="24"/>
        </w:rPr>
        <w:t>*PECO Average CAP Bill for 2012-2015 is estimated.</w:t>
      </w:r>
    </w:p>
    <w:p w14:paraId="687D4937" w14:textId="77777777" w:rsidR="00F303E0" w:rsidRPr="00EE5714" w:rsidRDefault="00F303E0" w:rsidP="00F303E0">
      <w:pPr>
        <w:pStyle w:val="NoSpacing"/>
        <w:rPr>
          <w:rFonts w:cs="Times New Roman"/>
          <w:sz w:val="24"/>
          <w:szCs w:val="24"/>
        </w:rPr>
      </w:pPr>
      <w:r w:rsidRPr="00EE5714">
        <w:rPr>
          <w:rFonts w:cs="Times New Roman"/>
          <w:sz w:val="24"/>
          <w:szCs w:val="24"/>
        </w:rPr>
        <w:t>**Duquesne Average CAP Bill for 2012-2013 is estimated.</w:t>
      </w:r>
    </w:p>
    <w:p w14:paraId="296E9F4B" w14:textId="77777777" w:rsidR="00F303E0" w:rsidRPr="00EE5714" w:rsidRDefault="00F857A1" w:rsidP="00F303E0">
      <w:pPr>
        <w:pStyle w:val="NoSpacing"/>
        <w:keepNext/>
        <w:rPr>
          <w:rFonts w:cs="Times New Roman"/>
          <w:szCs w:val="26"/>
        </w:rPr>
      </w:pPr>
      <w:r w:rsidRPr="00EE5714">
        <w:rPr>
          <w:rFonts w:cs="Times New Roman"/>
          <w:szCs w:val="26"/>
        </w:rPr>
        <w:t>Appendix 3</w:t>
      </w:r>
      <w:r w:rsidR="00F303E0" w:rsidRPr="00EE5714">
        <w:rPr>
          <w:rFonts w:cs="Times New Roman"/>
          <w:szCs w:val="26"/>
        </w:rPr>
        <w:t>.A.</w:t>
      </w:r>
      <w:r w:rsidR="001B0D41" w:rsidRPr="00EE5714">
        <w:rPr>
          <w:rFonts w:cs="Times New Roman"/>
          <w:szCs w:val="26"/>
        </w:rPr>
        <w:t>18</w:t>
      </w:r>
      <w:r w:rsidR="00F303E0" w:rsidRPr="00EE5714">
        <w:rPr>
          <w:rFonts w:cs="Times New Roman"/>
          <w:szCs w:val="26"/>
        </w:rPr>
        <w:t xml:space="preserve">: </w:t>
      </w:r>
      <w:r w:rsidR="00F303E0" w:rsidRPr="00EE5714">
        <w:rPr>
          <w:rFonts w:eastAsia="Times New Roman" w:cs="Times New Roman"/>
          <w:b/>
          <w:bCs/>
          <w:color w:val="000000"/>
          <w:szCs w:val="26"/>
        </w:rPr>
        <w:t xml:space="preserve">EDC Non-Heating LIHEAP Recipients – </w:t>
      </w:r>
      <w:r w:rsidR="00F303E0" w:rsidRPr="00EE5714">
        <w:rPr>
          <w:rFonts w:eastAsia="Times New Roman" w:cs="Times New Roman"/>
          <w:b/>
          <w:color w:val="000000"/>
          <w:szCs w:val="26"/>
        </w:rPr>
        <w:t xml:space="preserve">Average Annual </w:t>
      </w:r>
      <w:r w:rsidR="00F303E0" w:rsidRPr="00EE5714">
        <w:rPr>
          <w:rFonts w:eastAsia="Times New Roman" w:cs="Times New Roman"/>
          <w:b/>
          <w:bCs/>
          <w:color w:val="000000"/>
          <w:szCs w:val="26"/>
        </w:rPr>
        <w:t xml:space="preserve">CAP </w:t>
      </w:r>
      <w:r w:rsidR="00F303E0" w:rsidRPr="00EE5714">
        <w:rPr>
          <w:rFonts w:eastAsia="Times New Roman" w:cs="Times New Roman"/>
          <w:b/>
          <w:color w:val="000000"/>
          <w:szCs w:val="26"/>
        </w:rPr>
        <w:t xml:space="preserve">Income at </w:t>
      </w:r>
      <w:r w:rsidR="00F303E0" w:rsidRPr="00EE5714">
        <w:rPr>
          <w:rFonts w:eastAsia="Times New Roman" w:cs="Times New Roman"/>
          <w:b/>
          <w:bCs/>
          <w:color w:val="000000"/>
          <w:szCs w:val="26"/>
        </w:rPr>
        <w:t>101-150% FPIG</w:t>
      </w:r>
    </w:p>
    <w:tbl>
      <w:tblPr>
        <w:tblW w:w="10080" w:type="dxa"/>
        <w:tblInd w:w="-280" w:type="dxa"/>
        <w:tblLayout w:type="fixed"/>
        <w:tblLook w:val="04A0" w:firstRow="1" w:lastRow="0" w:firstColumn="1" w:lastColumn="0" w:noHBand="0" w:noVBand="1"/>
      </w:tblPr>
      <w:tblGrid>
        <w:gridCol w:w="1440"/>
        <w:gridCol w:w="2160"/>
        <w:gridCol w:w="2160"/>
        <w:gridCol w:w="2160"/>
        <w:gridCol w:w="2160"/>
      </w:tblGrid>
      <w:tr w:rsidR="00F303E0" w:rsidRPr="00EE5714" w14:paraId="59365E26" w14:textId="77777777" w:rsidTr="00463B0B">
        <w:trPr>
          <w:trHeight w:val="300"/>
        </w:trPr>
        <w:tc>
          <w:tcPr>
            <w:tcW w:w="10080" w:type="dxa"/>
            <w:gridSpan w:val="5"/>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13E1D1B2" w14:textId="77777777" w:rsidR="00F303E0" w:rsidRPr="00EE5714" w:rsidRDefault="00F303E0" w:rsidP="00463B0B">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EDC Non-Heating LIHEAP Recipients – </w:t>
            </w:r>
            <w:r w:rsidRPr="00EE5714">
              <w:rPr>
                <w:rFonts w:ascii="Calibri" w:eastAsia="Times New Roman" w:hAnsi="Calibri" w:cs="Calibri"/>
                <w:b/>
                <w:color w:val="000000"/>
              </w:rPr>
              <w:t xml:space="preserve">Average Annual </w:t>
            </w:r>
            <w:r w:rsidRPr="00EE5714">
              <w:rPr>
                <w:rFonts w:ascii="Calibri" w:eastAsia="Times New Roman" w:hAnsi="Calibri" w:cs="Calibri"/>
                <w:b/>
                <w:bCs/>
                <w:color w:val="000000"/>
              </w:rPr>
              <w:t xml:space="preserve">CAP </w:t>
            </w:r>
            <w:r w:rsidRPr="00EE5714">
              <w:rPr>
                <w:rFonts w:ascii="Calibri" w:eastAsia="Times New Roman" w:hAnsi="Calibri" w:cs="Calibri"/>
                <w:b/>
                <w:color w:val="000000"/>
              </w:rPr>
              <w:t xml:space="preserve">Income at </w:t>
            </w:r>
            <w:r w:rsidRPr="00EE5714">
              <w:rPr>
                <w:rFonts w:ascii="Calibri" w:eastAsia="Times New Roman" w:hAnsi="Calibri" w:cs="Calibri"/>
                <w:b/>
                <w:bCs/>
                <w:color w:val="000000"/>
              </w:rPr>
              <w:t>101-150% FPIG</w:t>
            </w:r>
          </w:p>
        </w:tc>
      </w:tr>
      <w:tr w:rsidR="00F303E0" w:rsidRPr="00EE5714" w14:paraId="6B5AAC1E" w14:textId="77777777" w:rsidTr="00463B0B">
        <w:trPr>
          <w:trHeight w:val="274"/>
        </w:trPr>
        <w:tc>
          <w:tcPr>
            <w:tcW w:w="1440" w:type="dxa"/>
            <w:tcBorders>
              <w:top w:val="nil"/>
              <w:left w:val="single" w:sz="8" w:space="0" w:color="000000"/>
              <w:bottom w:val="single" w:sz="4" w:space="0" w:color="000000"/>
              <w:right w:val="single" w:sz="12" w:space="0" w:color="000000"/>
            </w:tcBorders>
            <w:shd w:val="clear" w:color="auto" w:fill="auto"/>
            <w:noWrap/>
            <w:vAlign w:val="bottom"/>
            <w:hideMark/>
          </w:tcPr>
          <w:p w14:paraId="15C6B265" w14:textId="77777777" w:rsidR="00F303E0" w:rsidRPr="00EE5714" w:rsidRDefault="00F303E0" w:rsidP="00463B0B">
            <w:pPr>
              <w:keepNext/>
              <w:spacing w:after="0" w:line="240" w:lineRule="auto"/>
              <w:rPr>
                <w:rFonts w:ascii="Calibri" w:eastAsia="Times New Roman" w:hAnsi="Calibri" w:cs="Calibri"/>
                <w:color w:val="000000"/>
                <w:sz w:val="21"/>
                <w:szCs w:val="21"/>
              </w:rPr>
            </w:pPr>
          </w:p>
        </w:tc>
        <w:tc>
          <w:tcPr>
            <w:tcW w:w="216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02B69753"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1D7FB55"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5D1BDDA"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2160"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1A6D3A1A" w14:textId="77777777" w:rsidR="00F303E0" w:rsidRPr="00EE5714" w:rsidRDefault="00F303E0" w:rsidP="00463B0B">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6DB72A80"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1089EF57"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Duquesne*</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16AF9A93"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$13,021</w:t>
            </w:r>
          </w:p>
        </w:tc>
        <w:tc>
          <w:tcPr>
            <w:tcW w:w="2160" w:type="dxa"/>
            <w:tcBorders>
              <w:top w:val="nil"/>
              <w:left w:val="nil"/>
              <w:bottom w:val="single" w:sz="4" w:space="0" w:color="000000"/>
              <w:right w:val="single" w:sz="4" w:space="0" w:color="000000"/>
            </w:tcBorders>
            <w:shd w:val="clear" w:color="auto" w:fill="auto"/>
            <w:noWrap/>
            <w:vAlign w:val="center"/>
          </w:tcPr>
          <w:p w14:paraId="69C9B531"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$13,021</w:t>
            </w:r>
          </w:p>
        </w:tc>
        <w:tc>
          <w:tcPr>
            <w:tcW w:w="2160" w:type="dxa"/>
            <w:tcBorders>
              <w:top w:val="nil"/>
              <w:left w:val="nil"/>
              <w:bottom w:val="single" w:sz="4" w:space="0" w:color="000000"/>
              <w:right w:val="single" w:sz="4" w:space="0" w:color="000000"/>
            </w:tcBorders>
            <w:shd w:val="clear" w:color="auto" w:fill="auto"/>
            <w:noWrap/>
            <w:vAlign w:val="center"/>
          </w:tcPr>
          <w:p w14:paraId="7A39170D"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$13,319</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7B365065"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$12,722</w:t>
            </w:r>
          </w:p>
        </w:tc>
      </w:tr>
      <w:tr w:rsidR="00F303E0" w:rsidRPr="00EE5714" w14:paraId="7B89ED5D"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26E65B6D"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6E4E1FDD"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$20,629</w:t>
            </w:r>
          </w:p>
        </w:tc>
        <w:tc>
          <w:tcPr>
            <w:tcW w:w="2160" w:type="dxa"/>
            <w:tcBorders>
              <w:top w:val="nil"/>
              <w:left w:val="nil"/>
              <w:bottom w:val="single" w:sz="4" w:space="0" w:color="000000"/>
              <w:right w:val="single" w:sz="4" w:space="0" w:color="000000"/>
            </w:tcBorders>
            <w:shd w:val="clear" w:color="auto" w:fill="auto"/>
            <w:noWrap/>
            <w:vAlign w:val="center"/>
          </w:tcPr>
          <w:p w14:paraId="46295520"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$22,054</w:t>
            </w:r>
          </w:p>
        </w:tc>
        <w:tc>
          <w:tcPr>
            <w:tcW w:w="2160" w:type="dxa"/>
            <w:tcBorders>
              <w:top w:val="nil"/>
              <w:left w:val="nil"/>
              <w:bottom w:val="single" w:sz="4" w:space="0" w:color="000000"/>
              <w:right w:val="single" w:sz="4" w:space="0" w:color="000000"/>
            </w:tcBorders>
            <w:shd w:val="clear" w:color="auto" w:fill="auto"/>
            <w:noWrap/>
            <w:vAlign w:val="center"/>
          </w:tcPr>
          <w:p w14:paraId="3AB37F92"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$22,480</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1331E0CE"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$22,773</w:t>
            </w:r>
          </w:p>
        </w:tc>
      </w:tr>
      <w:tr w:rsidR="00F303E0" w:rsidRPr="00EE5714" w14:paraId="3CAF7811"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75640144"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189190E8"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$21,238</w:t>
            </w:r>
          </w:p>
        </w:tc>
        <w:tc>
          <w:tcPr>
            <w:tcW w:w="2160" w:type="dxa"/>
            <w:tcBorders>
              <w:top w:val="nil"/>
              <w:left w:val="nil"/>
              <w:bottom w:val="single" w:sz="4" w:space="0" w:color="000000"/>
              <w:right w:val="single" w:sz="4" w:space="0" w:color="000000"/>
            </w:tcBorders>
            <w:shd w:val="clear" w:color="auto" w:fill="auto"/>
            <w:noWrap/>
            <w:vAlign w:val="center"/>
          </w:tcPr>
          <w:p w14:paraId="2370C9DB"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$21,273</w:t>
            </w:r>
          </w:p>
        </w:tc>
        <w:tc>
          <w:tcPr>
            <w:tcW w:w="2160" w:type="dxa"/>
            <w:tcBorders>
              <w:top w:val="nil"/>
              <w:left w:val="nil"/>
              <w:bottom w:val="single" w:sz="4" w:space="0" w:color="000000"/>
              <w:right w:val="single" w:sz="4" w:space="0" w:color="000000"/>
            </w:tcBorders>
            <w:shd w:val="clear" w:color="auto" w:fill="auto"/>
            <w:noWrap/>
            <w:vAlign w:val="center"/>
          </w:tcPr>
          <w:p w14:paraId="38FCAB87"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$22,167</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504D3322"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$22,011</w:t>
            </w:r>
          </w:p>
        </w:tc>
      </w:tr>
      <w:tr w:rsidR="00F303E0" w:rsidRPr="00EE5714" w14:paraId="65F1D59A"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329E006A" w14:textId="77777777" w:rsidR="00F303E0" w:rsidRPr="00EE5714" w:rsidRDefault="00F303E0" w:rsidP="00851815">
            <w:pPr>
              <w:keepNext/>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7282ACFC"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$20,463</w:t>
            </w:r>
          </w:p>
        </w:tc>
        <w:tc>
          <w:tcPr>
            <w:tcW w:w="2160" w:type="dxa"/>
            <w:tcBorders>
              <w:top w:val="nil"/>
              <w:left w:val="nil"/>
              <w:bottom w:val="single" w:sz="4" w:space="0" w:color="000000"/>
              <w:right w:val="single" w:sz="4" w:space="0" w:color="000000"/>
            </w:tcBorders>
            <w:shd w:val="clear" w:color="auto" w:fill="auto"/>
            <w:noWrap/>
            <w:vAlign w:val="center"/>
          </w:tcPr>
          <w:p w14:paraId="1A332E85"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$20,457</w:t>
            </w:r>
          </w:p>
        </w:tc>
        <w:tc>
          <w:tcPr>
            <w:tcW w:w="2160" w:type="dxa"/>
            <w:tcBorders>
              <w:top w:val="nil"/>
              <w:left w:val="nil"/>
              <w:bottom w:val="single" w:sz="4" w:space="0" w:color="000000"/>
              <w:right w:val="single" w:sz="4" w:space="0" w:color="000000"/>
            </w:tcBorders>
            <w:shd w:val="clear" w:color="auto" w:fill="auto"/>
            <w:noWrap/>
            <w:vAlign w:val="center"/>
          </w:tcPr>
          <w:p w14:paraId="388C583E"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$22,332</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7B2217A4"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$22,319</w:t>
            </w:r>
          </w:p>
        </w:tc>
      </w:tr>
      <w:tr w:rsidR="00F303E0" w:rsidRPr="00EE5714" w14:paraId="5D87E8DC"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099C6BDC"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Penn Power</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50E29483"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$20,427</w:t>
            </w:r>
          </w:p>
        </w:tc>
        <w:tc>
          <w:tcPr>
            <w:tcW w:w="2160" w:type="dxa"/>
            <w:tcBorders>
              <w:top w:val="nil"/>
              <w:left w:val="nil"/>
              <w:bottom w:val="single" w:sz="4" w:space="0" w:color="000000"/>
              <w:right w:val="single" w:sz="4" w:space="0" w:color="000000"/>
            </w:tcBorders>
            <w:shd w:val="clear" w:color="auto" w:fill="auto"/>
            <w:noWrap/>
            <w:vAlign w:val="center"/>
          </w:tcPr>
          <w:p w14:paraId="1F684B45"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$20,139</w:t>
            </w:r>
          </w:p>
        </w:tc>
        <w:tc>
          <w:tcPr>
            <w:tcW w:w="2160" w:type="dxa"/>
            <w:tcBorders>
              <w:top w:val="nil"/>
              <w:left w:val="nil"/>
              <w:bottom w:val="single" w:sz="4" w:space="0" w:color="000000"/>
              <w:right w:val="single" w:sz="4" w:space="0" w:color="000000"/>
            </w:tcBorders>
            <w:shd w:val="clear" w:color="auto" w:fill="auto"/>
            <w:noWrap/>
            <w:vAlign w:val="center"/>
          </w:tcPr>
          <w:p w14:paraId="7F1C5C32"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$21,275</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7E09EAF6"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$20,132</w:t>
            </w:r>
          </w:p>
        </w:tc>
      </w:tr>
      <w:tr w:rsidR="00F303E0" w:rsidRPr="00EE5714" w14:paraId="190BD391"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41FD25C0"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PPL</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279E0AD2"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$22,209</w:t>
            </w:r>
          </w:p>
        </w:tc>
        <w:tc>
          <w:tcPr>
            <w:tcW w:w="2160" w:type="dxa"/>
            <w:tcBorders>
              <w:top w:val="nil"/>
              <w:left w:val="nil"/>
              <w:bottom w:val="single" w:sz="4" w:space="0" w:color="000000"/>
              <w:right w:val="single" w:sz="4" w:space="0" w:color="000000"/>
            </w:tcBorders>
            <w:shd w:val="clear" w:color="auto" w:fill="auto"/>
            <w:noWrap/>
            <w:vAlign w:val="center"/>
          </w:tcPr>
          <w:p w14:paraId="7511EC7C"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$23,281</w:t>
            </w:r>
          </w:p>
        </w:tc>
        <w:tc>
          <w:tcPr>
            <w:tcW w:w="2160" w:type="dxa"/>
            <w:tcBorders>
              <w:top w:val="nil"/>
              <w:left w:val="nil"/>
              <w:bottom w:val="single" w:sz="4" w:space="0" w:color="000000"/>
              <w:right w:val="single" w:sz="4" w:space="0" w:color="000000"/>
            </w:tcBorders>
            <w:shd w:val="clear" w:color="auto" w:fill="auto"/>
            <w:noWrap/>
            <w:vAlign w:val="center"/>
          </w:tcPr>
          <w:p w14:paraId="4BAA34DA"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$23,005</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5BBA66EF"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$23,061</w:t>
            </w:r>
          </w:p>
        </w:tc>
      </w:tr>
      <w:tr w:rsidR="00F303E0" w:rsidRPr="00EE5714" w14:paraId="266DA860" w14:textId="77777777" w:rsidTr="00463B0B">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75C01500"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West Penn</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64F28B19"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$22,557</w:t>
            </w:r>
          </w:p>
        </w:tc>
        <w:tc>
          <w:tcPr>
            <w:tcW w:w="2160" w:type="dxa"/>
            <w:tcBorders>
              <w:top w:val="nil"/>
              <w:left w:val="nil"/>
              <w:bottom w:val="single" w:sz="4" w:space="0" w:color="000000"/>
              <w:right w:val="single" w:sz="4" w:space="0" w:color="000000"/>
            </w:tcBorders>
            <w:shd w:val="clear" w:color="auto" w:fill="auto"/>
            <w:noWrap/>
            <w:vAlign w:val="center"/>
          </w:tcPr>
          <w:p w14:paraId="47CF1FB7"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$21,259</w:t>
            </w:r>
          </w:p>
        </w:tc>
        <w:tc>
          <w:tcPr>
            <w:tcW w:w="2160" w:type="dxa"/>
            <w:tcBorders>
              <w:top w:val="nil"/>
              <w:left w:val="nil"/>
              <w:bottom w:val="single" w:sz="4" w:space="0" w:color="000000"/>
              <w:right w:val="single" w:sz="4" w:space="0" w:color="000000"/>
            </w:tcBorders>
            <w:shd w:val="clear" w:color="auto" w:fill="auto"/>
            <w:noWrap/>
            <w:vAlign w:val="center"/>
          </w:tcPr>
          <w:p w14:paraId="70007CF4"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$23,581</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5DC695CC"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$22,814</w:t>
            </w:r>
          </w:p>
        </w:tc>
      </w:tr>
    </w:tbl>
    <w:p w14:paraId="57E1289D" w14:textId="77777777" w:rsidR="00F303E0" w:rsidRPr="00EE5714" w:rsidRDefault="00F303E0" w:rsidP="00F303E0">
      <w:pPr>
        <w:pStyle w:val="NoSpacing"/>
        <w:rPr>
          <w:rFonts w:cs="Times New Roman"/>
          <w:sz w:val="24"/>
          <w:szCs w:val="24"/>
        </w:rPr>
      </w:pPr>
      <w:r w:rsidRPr="00EE5714">
        <w:rPr>
          <w:rFonts w:cs="Times New Roman"/>
          <w:sz w:val="24"/>
          <w:szCs w:val="24"/>
        </w:rPr>
        <w:t>*Duquesne Average CAP Income for 2012-2013 is estimated.</w:t>
      </w:r>
    </w:p>
    <w:p w14:paraId="73E002A6" w14:textId="77777777" w:rsidR="00F303E0" w:rsidRPr="00EE5714" w:rsidRDefault="00F303E0" w:rsidP="00F303E0">
      <w:pPr>
        <w:pStyle w:val="NoSpacing"/>
        <w:rPr>
          <w:rFonts w:cs="Times New Roman"/>
          <w:szCs w:val="26"/>
        </w:rPr>
      </w:pPr>
    </w:p>
    <w:p w14:paraId="73D27E8E" w14:textId="77777777" w:rsidR="001B0D41" w:rsidRPr="00EE5714" w:rsidRDefault="001B0D41" w:rsidP="00F303E0">
      <w:pPr>
        <w:pStyle w:val="NoSpacing"/>
        <w:rPr>
          <w:rFonts w:cs="Times New Roman"/>
          <w:szCs w:val="26"/>
        </w:rPr>
      </w:pPr>
    </w:p>
    <w:p w14:paraId="6D4E0F49" w14:textId="77777777" w:rsidR="00CF36EE" w:rsidRPr="00EE5714" w:rsidRDefault="00F857A1" w:rsidP="006019D7">
      <w:pPr>
        <w:spacing w:after="0" w:line="240" w:lineRule="auto"/>
        <w:rPr>
          <w:rFonts w:ascii="Times New Roman" w:hAnsi="Times New Roman" w:cs="Times New Roman"/>
          <w:b/>
          <w:sz w:val="26"/>
          <w:szCs w:val="26"/>
        </w:rPr>
      </w:pPr>
      <w:r w:rsidRPr="00EE5714">
        <w:rPr>
          <w:rFonts w:ascii="Times New Roman" w:hAnsi="Times New Roman" w:cs="Times New Roman"/>
          <w:sz w:val="26"/>
          <w:szCs w:val="26"/>
        </w:rPr>
        <w:t>Appendix 3</w:t>
      </w:r>
      <w:r w:rsidR="001B0D41" w:rsidRPr="00EE5714">
        <w:rPr>
          <w:rFonts w:ascii="Times New Roman" w:hAnsi="Times New Roman" w:cs="Times New Roman"/>
          <w:sz w:val="26"/>
          <w:szCs w:val="26"/>
        </w:rPr>
        <w:t>.A.</w:t>
      </w:r>
      <w:r w:rsidR="00991EDA" w:rsidRPr="00EE5714">
        <w:rPr>
          <w:rFonts w:ascii="Times New Roman" w:hAnsi="Times New Roman" w:cs="Times New Roman"/>
          <w:sz w:val="26"/>
          <w:szCs w:val="26"/>
        </w:rPr>
        <w:t>19</w:t>
      </w:r>
      <w:r w:rsidR="001B0D41" w:rsidRPr="00EE5714">
        <w:rPr>
          <w:rFonts w:ascii="Times New Roman" w:hAnsi="Times New Roman" w:cs="Times New Roman"/>
          <w:sz w:val="26"/>
          <w:szCs w:val="26"/>
        </w:rPr>
        <w:t xml:space="preserve">: </w:t>
      </w:r>
      <w:r w:rsidR="00CF36EE" w:rsidRPr="00EE5714">
        <w:rPr>
          <w:rFonts w:ascii="Times New Roman" w:hAnsi="Times New Roman" w:cs="Times New Roman"/>
          <w:b/>
          <w:sz w:val="26"/>
          <w:szCs w:val="26"/>
        </w:rPr>
        <w:t>EDC Heating Energy Burden of CAP LIHEAP Recipients</w:t>
      </w:r>
      <w:r w:rsidR="00CF36EE" w:rsidRPr="00EE5714">
        <w:rPr>
          <w:rFonts w:ascii="Times New Roman" w:hAnsi="Times New Roman" w:cs="Times New Roman"/>
          <w:sz w:val="26"/>
          <w:szCs w:val="26"/>
        </w:rPr>
        <w:t xml:space="preserve"> </w:t>
      </w:r>
      <w:r w:rsidR="00CF36EE" w:rsidRPr="00EE5714">
        <w:rPr>
          <w:rFonts w:ascii="Times New Roman" w:hAnsi="Times New Roman" w:cs="Times New Roman"/>
          <w:b/>
          <w:sz w:val="26"/>
          <w:szCs w:val="26"/>
        </w:rPr>
        <w:t xml:space="preserve">at </w:t>
      </w:r>
    </w:p>
    <w:p w14:paraId="66AD4D8B" w14:textId="77777777" w:rsidR="001B0D41" w:rsidRPr="00EE5714" w:rsidRDefault="00CF36EE" w:rsidP="006019D7">
      <w:pPr>
        <w:spacing w:after="0" w:line="240" w:lineRule="auto"/>
        <w:rPr>
          <w:rFonts w:ascii="Times New Roman" w:hAnsi="Times New Roman" w:cs="Times New Roman"/>
          <w:b/>
          <w:sz w:val="26"/>
          <w:szCs w:val="26"/>
        </w:rPr>
      </w:pPr>
      <w:r w:rsidRPr="00EE5714">
        <w:rPr>
          <w:rFonts w:ascii="Times New Roman" w:hAnsi="Times New Roman" w:cs="Times New Roman"/>
          <w:b/>
          <w:sz w:val="26"/>
          <w:szCs w:val="26"/>
        </w:rPr>
        <w:t>0-50% FPIG</w:t>
      </w:r>
    </w:p>
    <w:tbl>
      <w:tblPr>
        <w:tblW w:w="10080" w:type="dxa"/>
        <w:tblInd w:w="-280" w:type="dxa"/>
        <w:tblLayout w:type="fixed"/>
        <w:tblLook w:val="04A0" w:firstRow="1" w:lastRow="0" w:firstColumn="1" w:lastColumn="0" w:noHBand="0" w:noVBand="1"/>
      </w:tblPr>
      <w:tblGrid>
        <w:gridCol w:w="1440"/>
        <w:gridCol w:w="900"/>
        <w:gridCol w:w="1125"/>
        <w:gridCol w:w="1147"/>
        <w:gridCol w:w="1148"/>
        <w:gridCol w:w="1147"/>
        <w:gridCol w:w="1148"/>
        <w:gridCol w:w="1035"/>
        <w:gridCol w:w="990"/>
      </w:tblGrid>
      <w:tr w:rsidR="0056312C" w:rsidRPr="00EE5714" w14:paraId="7936DE5C" w14:textId="77777777" w:rsidTr="00463B0B">
        <w:trPr>
          <w:trHeight w:hRule="exact" w:val="344"/>
        </w:trPr>
        <w:tc>
          <w:tcPr>
            <w:tcW w:w="10080" w:type="dxa"/>
            <w:gridSpan w:val="9"/>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tcPr>
          <w:p w14:paraId="2184A83D" w14:textId="77777777" w:rsidR="0056312C" w:rsidRPr="00EE5714" w:rsidRDefault="0056312C" w:rsidP="0056312C">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Energy Burden of Heating CAP LIHEAP Recipients at 0-50% FPIG</w:t>
            </w:r>
          </w:p>
        </w:tc>
      </w:tr>
      <w:tr w:rsidR="0056312C" w:rsidRPr="00EE5714" w14:paraId="35939464" w14:textId="77777777" w:rsidTr="00463B0B">
        <w:trPr>
          <w:trHeight w:hRule="exact" w:val="381"/>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48FD6416" w14:textId="77777777" w:rsidR="0056312C" w:rsidRPr="00EE5714" w:rsidRDefault="0056312C" w:rsidP="0056312C">
            <w:pPr>
              <w:keepNext/>
              <w:keepLines/>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320" w:type="dxa"/>
            <w:gridSpan w:val="4"/>
            <w:tcBorders>
              <w:top w:val="single" w:sz="12" w:space="0" w:color="000000"/>
              <w:left w:val="single" w:sz="12" w:space="0" w:color="000000"/>
              <w:bottom w:val="single" w:sz="8" w:space="0" w:color="000000"/>
              <w:right w:val="single" w:sz="12" w:space="0" w:color="000000"/>
            </w:tcBorders>
            <w:shd w:val="clear" w:color="auto" w:fill="auto"/>
            <w:noWrap/>
            <w:hideMark/>
          </w:tcPr>
          <w:p w14:paraId="3BF572CA" w14:textId="77777777" w:rsidR="0056312C" w:rsidRPr="00EE5714" w:rsidRDefault="0056312C" w:rsidP="0056312C">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Without LIHEAP Dollars Applied  </w:t>
            </w:r>
          </w:p>
        </w:tc>
        <w:tc>
          <w:tcPr>
            <w:tcW w:w="4320" w:type="dxa"/>
            <w:gridSpan w:val="4"/>
            <w:tcBorders>
              <w:top w:val="single" w:sz="12" w:space="0" w:color="000000"/>
              <w:left w:val="single" w:sz="12" w:space="0" w:color="000000"/>
              <w:bottom w:val="single" w:sz="8" w:space="0" w:color="000000"/>
              <w:right w:val="single" w:sz="12" w:space="0" w:color="000000"/>
            </w:tcBorders>
          </w:tcPr>
          <w:p w14:paraId="52417E35" w14:textId="77777777" w:rsidR="0056312C" w:rsidRPr="00EE5714" w:rsidRDefault="0056312C" w:rsidP="0056312C">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With LIHEAP Dollars Applied</w:t>
            </w:r>
          </w:p>
        </w:tc>
      </w:tr>
      <w:tr w:rsidR="0056312C" w:rsidRPr="00EE5714" w14:paraId="33E59952" w14:textId="77777777" w:rsidTr="00463B0B">
        <w:trPr>
          <w:trHeight w:hRule="exact" w:val="317"/>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79B091B2" w14:textId="77777777" w:rsidR="0056312C" w:rsidRPr="00EE5714" w:rsidRDefault="0056312C" w:rsidP="0056312C">
            <w:pPr>
              <w:keepNext/>
              <w:keepLines/>
              <w:spacing w:after="0" w:line="240" w:lineRule="auto"/>
              <w:rPr>
                <w:rFonts w:ascii="Calibri" w:eastAsia="Times New Roman" w:hAnsi="Calibri" w:cs="Calibri"/>
                <w:color w:val="000000"/>
                <w:sz w:val="21"/>
                <w:szCs w:val="21"/>
              </w:rPr>
            </w:pPr>
          </w:p>
        </w:tc>
        <w:tc>
          <w:tcPr>
            <w:tcW w:w="900" w:type="dxa"/>
            <w:tcBorders>
              <w:top w:val="single" w:sz="8" w:space="0" w:color="000000"/>
              <w:left w:val="single" w:sz="12" w:space="0" w:color="000000"/>
              <w:bottom w:val="single" w:sz="8" w:space="0" w:color="000000"/>
              <w:right w:val="single" w:sz="4" w:space="0" w:color="000000"/>
            </w:tcBorders>
            <w:shd w:val="clear" w:color="auto" w:fill="F2F2F2" w:themeFill="background1" w:themeFillShade="F2"/>
            <w:noWrap/>
            <w:hideMark/>
          </w:tcPr>
          <w:p w14:paraId="05D263E9" w14:textId="77777777" w:rsidR="0056312C" w:rsidRPr="00EE5714" w:rsidRDefault="0056312C" w:rsidP="0056312C">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25"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734F9A10" w14:textId="77777777" w:rsidR="0056312C" w:rsidRPr="00EE5714" w:rsidRDefault="0056312C" w:rsidP="0056312C">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147"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4FD64F66" w14:textId="77777777" w:rsidR="0056312C" w:rsidRPr="00EE5714" w:rsidRDefault="0056312C" w:rsidP="0056312C">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148" w:type="dxa"/>
            <w:tcBorders>
              <w:top w:val="single" w:sz="8" w:space="0" w:color="000000"/>
              <w:left w:val="nil"/>
              <w:bottom w:val="single" w:sz="8" w:space="0" w:color="000000"/>
              <w:right w:val="single" w:sz="12" w:space="0" w:color="000000"/>
            </w:tcBorders>
            <w:shd w:val="clear" w:color="auto" w:fill="F2F2F2" w:themeFill="background1" w:themeFillShade="F2"/>
            <w:noWrap/>
            <w:hideMark/>
          </w:tcPr>
          <w:p w14:paraId="6BB0D1FF" w14:textId="77777777" w:rsidR="0056312C" w:rsidRPr="00EE5714" w:rsidRDefault="0056312C" w:rsidP="0056312C">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147" w:type="dxa"/>
            <w:tcBorders>
              <w:top w:val="single" w:sz="8" w:space="0" w:color="000000"/>
              <w:left w:val="single" w:sz="12" w:space="0" w:color="000000"/>
              <w:bottom w:val="single" w:sz="8" w:space="0" w:color="000000"/>
              <w:right w:val="single" w:sz="8" w:space="0" w:color="000000"/>
            </w:tcBorders>
            <w:shd w:val="clear" w:color="auto" w:fill="F2F2F2" w:themeFill="background1" w:themeFillShade="F2"/>
          </w:tcPr>
          <w:p w14:paraId="79750A96" w14:textId="77777777" w:rsidR="0056312C" w:rsidRPr="00EE5714" w:rsidRDefault="0056312C" w:rsidP="0056312C">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48" w:type="dxa"/>
            <w:tcBorders>
              <w:top w:val="single" w:sz="8" w:space="0" w:color="000000"/>
              <w:left w:val="nil"/>
              <w:bottom w:val="single" w:sz="8" w:space="0" w:color="000000"/>
              <w:right w:val="single" w:sz="8" w:space="0" w:color="000000"/>
            </w:tcBorders>
            <w:shd w:val="clear" w:color="auto" w:fill="F2F2F2" w:themeFill="background1" w:themeFillShade="F2"/>
          </w:tcPr>
          <w:p w14:paraId="1A240C83" w14:textId="77777777" w:rsidR="0056312C" w:rsidRPr="00EE5714" w:rsidRDefault="0056312C" w:rsidP="0056312C">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35" w:type="dxa"/>
            <w:tcBorders>
              <w:top w:val="single" w:sz="8" w:space="0" w:color="000000"/>
              <w:left w:val="nil"/>
              <w:bottom w:val="single" w:sz="8" w:space="0" w:color="000000"/>
              <w:right w:val="single" w:sz="8" w:space="0" w:color="000000"/>
            </w:tcBorders>
            <w:shd w:val="clear" w:color="auto" w:fill="F2F2F2" w:themeFill="background1" w:themeFillShade="F2"/>
          </w:tcPr>
          <w:p w14:paraId="7400C658" w14:textId="77777777" w:rsidR="0056312C" w:rsidRPr="00EE5714" w:rsidRDefault="0056312C" w:rsidP="0056312C">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90" w:type="dxa"/>
            <w:tcBorders>
              <w:top w:val="single" w:sz="8" w:space="0" w:color="000000"/>
              <w:left w:val="nil"/>
              <w:bottom w:val="single" w:sz="8" w:space="0" w:color="000000"/>
              <w:right w:val="single" w:sz="12" w:space="0" w:color="000000"/>
            </w:tcBorders>
            <w:shd w:val="clear" w:color="auto" w:fill="F2F2F2" w:themeFill="background1" w:themeFillShade="F2"/>
          </w:tcPr>
          <w:p w14:paraId="5CC6061E" w14:textId="77777777" w:rsidR="0056312C" w:rsidRPr="00EE5714" w:rsidRDefault="0056312C" w:rsidP="0056312C">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56312C" w:rsidRPr="00EE5714" w14:paraId="19A32EE2"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0A37B243" w14:textId="77777777" w:rsidR="0056312C" w:rsidRPr="00EE5714" w:rsidRDefault="0056312C" w:rsidP="0056312C">
            <w:pPr>
              <w:keepNext/>
              <w:keepLines/>
              <w:spacing w:after="0" w:line="240" w:lineRule="auto"/>
              <w:rPr>
                <w:rFonts w:ascii="Calibri" w:hAnsi="Calibri"/>
                <w:b/>
                <w:sz w:val="21"/>
                <w:szCs w:val="21"/>
              </w:rPr>
            </w:pPr>
            <w:r w:rsidRPr="00EE5714">
              <w:rPr>
                <w:rFonts w:ascii="Calibri" w:hAnsi="Calibri"/>
                <w:b/>
                <w:sz w:val="21"/>
                <w:szCs w:val="21"/>
              </w:rPr>
              <w:t>Duquesne</w:t>
            </w:r>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15BE7528"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51.40</w:t>
            </w:r>
          </w:p>
        </w:tc>
        <w:tc>
          <w:tcPr>
            <w:tcW w:w="1125" w:type="dxa"/>
            <w:tcBorders>
              <w:top w:val="single" w:sz="8" w:space="0" w:color="000000"/>
              <w:left w:val="nil"/>
              <w:bottom w:val="single" w:sz="8" w:space="0" w:color="000000"/>
              <w:right w:val="single" w:sz="4" w:space="0" w:color="000000"/>
            </w:tcBorders>
            <w:shd w:val="clear" w:color="auto" w:fill="auto"/>
            <w:noWrap/>
            <w:vAlign w:val="center"/>
          </w:tcPr>
          <w:p w14:paraId="46A13794"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51.40</w:t>
            </w:r>
          </w:p>
        </w:tc>
        <w:tc>
          <w:tcPr>
            <w:tcW w:w="1147" w:type="dxa"/>
            <w:tcBorders>
              <w:top w:val="single" w:sz="8" w:space="0" w:color="000000"/>
              <w:left w:val="nil"/>
              <w:bottom w:val="single" w:sz="8" w:space="0" w:color="000000"/>
              <w:right w:val="single" w:sz="4" w:space="0" w:color="000000"/>
            </w:tcBorders>
            <w:shd w:val="clear" w:color="auto" w:fill="auto"/>
            <w:noWrap/>
            <w:vAlign w:val="center"/>
          </w:tcPr>
          <w:p w14:paraId="31DDFD83"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52.59</w:t>
            </w:r>
          </w:p>
        </w:tc>
        <w:tc>
          <w:tcPr>
            <w:tcW w:w="1148" w:type="dxa"/>
            <w:tcBorders>
              <w:top w:val="single" w:sz="8" w:space="0" w:color="000000"/>
              <w:left w:val="nil"/>
              <w:bottom w:val="single" w:sz="8" w:space="0" w:color="000000"/>
              <w:right w:val="single" w:sz="12" w:space="0" w:color="000000"/>
            </w:tcBorders>
            <w:shd w:val="clear" w:color="auto" w:fill="auto"/>
            <w:noWrap/>
            <w:vAlign w:val="center"/>
          </w:tcPr>
          <w:p w14:paraId="2C534EC7"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46.43</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1301E703"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35.44</w:t>
            </w:r>
          </w:p>
        </w:tc>
        <w:tc>
          <w:tcPr>
            <w:tcW w:w="1148" w:type="dxa"/>
            <w:tcBorders>
              <w:top w:val="single" w:sz="8" w:space="0" w:color="000000"/>
              <w:left w:val="nil"/>
              <w:bottom w:val="single" w:sz="8" w:space="0" w:color="000000"/>
              <w:right w:val="single" w:sz="8" w:space="0" w:color="000000"/>
            </w:tcBorders>
            <w:vAlign w:val="center"/>
          </w:tcPr>
          <w:p w14:paraId="4B0812D7"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35.44</w:t>
            </w:r>
          </w:p>
        </w:tc>
        <w:tc>
          <w:tcPr>
            <w:tcW w:w="1035" w:type="dxa"/>
            <w:tcBorders>
              <w:top w:val="single" w:sz="8" w:space="0" w:color="000000"/>
              <w:left w:val="nil"/>
              <w:bottom w:val="single" w:sz="8" w:space="0" w:color="000000"/>
              <w:right w:val="single" w:sz="8" w:space="0" w:color="000000"/>
            </w:tcBorders>
            <w:vAlign w:val="center"/>
          </w:tcPr>
          <w:p w14:paraId="0FC79727"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36.64</w:t>
            </w:r>
          </w:p>
        </w:tc>
        <w:tc>
          <w:tcPr>
            <w:tcW w:w="990" w:type="dxa"/>
            <w:tcBorders>
              <w:top w:val="single" w:sz="8" w:space="0" w:color="000000"/>
              <w:left w:val="nil"/>
              <w:bottom w:val="single" w:sz="8" w:space="0" w:color="000000"/>
              <w:right w:val="single" w:sz="12" w:space="0" w:color="000000"/>
            </w:tcBorders>
            <w:vAlign w:val="center"/>
          </w:tcPr>
          <w:p w14:paraId="76FE6CDC"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30.47</w:t>
            </w:r>
          </w:p>
        </w:tc>
      </w:tr>
      <w:tr w:rsidR="0056312C" w:rsidRPr="00EE5714" w14:paraId="10833940"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244A4A6D" w14:textId="77777777" w:rsidR="0056312C" w:rsidRPr="00EE5714" w:rsidRDefault="0056312C" w:rsidP="0056312C">
            <w:pPr>
              <w:keepNext/>
              <w:keepLines/>
              <w:spacing w:after="0" w:line="240" w:lineRule="auto"/>
              <w:rPr>
                <w:rFonts w:ascii="Calibri" w:hAnsi="Calibri"/>
                <w:b/>
                <w:sz w:val="21"/>
                <w:szCs w:val="21"/>
              </w:rPr>
            </w:pPr>
            <w:r w:rsidRPr="00EE5714">
              <w:rPr>
                <w:rFonts w:ascii="Calibri" w:hAnsi="Calibri"/>
                <w:b/>
                <w:sz w:val="21"/>
                <w:szCs w:val="21"/>
              </w:rPr>
              <w:t>Met-Ed</w:t>
            </w:r>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51160586"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10.08</w:t>
            </w:r>
          </w:p>
        </w:tc>
        <w:tc>
          <w:tcPr>
            <w:tcW w:w="1125" w:type="dxa"/>
            <w:tcBorders>
              <w:top w:val="single" w:sz="8" w:space="0" w:color="000000"/>
              <w:left w:val="nil"/>
              <w:bottom w:val="single" w:sz="8" w:space="0" w:color="000000"/>
              <w:right w:val="single" w:sz="4" w:space="0" w:color="000000"/>
            </w:tcBorders>
            <w:shd w:val="clear" w:color="auto" w:fill="auto"/>
            <w:noWrap/>
            <w:vAlign w:val="center"/>
          </w:tcPr>
          <w:p w14:paraId="54DEBBEC"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24.95</w:t>
            </w:r>
          </w:p>
        </w:tc>
        <w:tc>
          <w:tcPr>
            <w:tcW w:w="1147" w:type="dxa"/>
            <w:tcBorders>
              <w:top w:val="single" w:sz="8" w:space="0" w:color="000000"/>
              <w:left w:val="nil"/>
              <w:bottom w:val="single" w:sz="8" w:space="0" w:color="000000"/>
              <w:right w:val="single" w:sz="4" w:space="0" w:color="000000"/>
            </w:tcBorders>
            <w:shd w:val="clear" w:color="auto" w:fill="auto"/>
            <w:noWrap/>
            <w:vAlign w:val="center"/>
          </w:tcPr>
          <w:p w14:paraId="7FDC2931"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21.45</w:t>
            </w:r>
          </w:p>
        </w:tc>
        <w:tc>
          <w:tcPr>
            <w:tcW w:w="1148" w:type="dxa"/>
            <w:tcBorders>
              <w:top w:val="single" w:sz="8" w:space="0" w:color="000000"/>
              <w:left w:val="nil"/>
              <w:bottom w:val="single" w:sz="8" w:space="0" w:color="000000"/>
              <w:right w:val="single" w:sz="12" w:space="0" w:color="000000"/>
            </w:tcBorders>
            <w:shd w:val="clear" w:color="auto" w:fill="auto"/>
            <w:noWrap/>
            <w:vAlign w:val="center"/>
          </w:tcPr>
          <w:p w14:paraId="3C25428C"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21.98</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7C76D789"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4.90</w:t>
            </w:r>
          </w:p>
        </w:tc>
        <w:tc>
          <w:tcPr>
            <w:tcW w:w="1148" w:type="dxa"/>
            <w:tcBorders>
              <w:top w:val="single" w:sz="8" w:space="0" w:color="000000"/>
              <w:left w:val="nil"/>
              <w:bottom w:val="single" w:sz="8" w:space="0" w:color="000000"/>
              <w:right w:val="single" w:sz="8" w:space="0" w:color="000000"/>
            </w:tcBorders>
            <w:vAlign w:val="center"/>
          </w:tcPr>
          <w:p w14:paraId="7637AB70"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20.62</w:t>
            </w:r>
          </w:p>
        </w:tc>
        <w:tc>
          <w:tcPr>
            <w:tcW w:w="1035" w:type="dxa"/>
            <w:tcBorders>
              <w:top w:val="single" w:sz="8" w:space="0" w:color="000000"/>
              <w:left w:val="nil"/>
              <w:bottom w:val="single" w:sz="8" w:space="0" w:color="000000"/>
              <w:right w:val="single" w:sz="8" w:space="0" w:color="000000"/>
            </w:tcBorders>
            <w:vAlign w:val="center"/>
          </w:tcPr>
          <w:p w14:paraId="50B8CD84"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16.80</w:t>
            </w:r>
          </w:p>
        </w:tc>
        <w:tc>
          <w:tcPr>
            <w:tcW w:w="990" w:type="dxa"/>
            <w:tcBorders>
              <w:top w:val="single" w:sz="8" w:space="0" w:color="000000"/>
              <w:left w:val="nil"/>
              <w:bottom w:val="single" w:sz="8" w:space="0" w:color="000000"/>
              <w:right w:val="single" w:sz="12" w:space="0" w:color="000000"/>
            </w:tcBorders>
            <w:vAlign w:val="center"/>
          </w:tcPr>
          <w:p w14:paraId="5CB11519"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17.66</w:t>
            </w:r>
          </w:p>
        </w:tc>
      </w:tr>
      <w:tr w:rsidR="0056312C" w:rsidRPr="00EE5714" w14:paraId="7063C6F2"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15380593" w14:textId="77777777" w:rsidR="0056312C" w:rsidRPr="00EE5714" w:rsidRDefault="0056312C" w:rsidP="0056312C">
            <w:pPr>
              <w:keepNext/>
              <w:keepLines/>
              <w:spacing w:after="0" w:line="240" w:lineRule="auto"/>
              <w:rPr>
                <w:rFonts w:ascii="Calibri" w:hAnsi="Calibri"/>
                <w:b/>
                <w:sz w:val="21"/>
                <w:szCs w:val="21"/>
              </w:rPr>
            </w:pPr>
            <w:r w:rsidRPr="00EE5714">
              <w:rPr>
                <w:rFonts w:ascii="Calibri" w:hAnsi="Calibri"/>
                <w:b/>
                <w:sz w:val="21"/>
                <w:szCs w:val="21"/>
              </w:rPr>
              <w:t>PECO Electric</w:t>
            </w:r>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213A8A28"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19.02</w:t>
            </w:r>
          </w:p>
        </w:tc>
        <w:tc>
          <w:tcPr>
            <w:tcW w:w="1125" w:type="dxa"/>
            <w:tcBorders>
              <w:top w:val="single" w:sz="8" w:space="0" w:color="000000"/>
              <w:left w:val="nil"/>
              <w:bottom w:val="single" w:sz="8" w:space="0" w:color="000000"/>
              <w:right w:val="single" w:sz="4" w:space="0" w:color="000000"/>
            </w:tcBorders>
            <w:shd w:val="clear" w:color="auto" w:fill="auto"/>
            <w:noWrap/>
            <w:vAlign w:val="center"/>
          </w:tcPr>
          <w:p w14:paraId="5DD2EB62"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19.70</w:t>
            </w:r>
          </w:p>
        </w:tc>
        <w:tc>
          <w:tcPr>
            <w:tcW w:w="1147" w:type="dxa"/>
            <w:tcBorders>
              <w:top w:val="single" w:sz="8" w:space="0" w:color="000000"/>
              <w:left w:val="nil"/>
              <w:bottom w:val="single" w:sz="8" w:space="0" w:color="000000"/>
              <w:right w:val="single" w:sz="4" w:space="0" w:color="000000"/>
            </w:tcBorders>
            <w:shd w:val="clear" w:color="auto" w:fill="auto"/>
            <w:noWrap/>
            <w:vAlign w:val="center"/>
          </w:tcPr>
          <w:p w14:paraId="7F9CFA0C"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18.93</w:t>
            </w:r>
          </w:p>
        </w:tc>
        <w:tc>
          <w:tcPr>
            <w:tcW w:w="1148" w:type="dxa"/>
            <w:tcBorders>
              <w:top w:val="single" w:sz="8" w:space="0" w:color="000000"/>
              <w:left w:val="nil"/>
              <w:bottom w:val="single" w:sz="8" w:space="0" w:color="000000"/>
              <w:right w:val="single" w:sz="12" w:space="0" w:color="000000"/>
            </w:tcBorders>
            <w:shd w:val="clear" w:color="auto" w:fill="auto"/>
            <w:noWrap/>
            <w:vAlign w:val="center"/>
          </w:tcPr>
          <w:p w14:paraId="44318A55"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19.27</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3B94AEFA"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6.70</w:t>
            </w:r>
          </w:p>
        </w:tc>
        <w:tc>
          <w:tcPr>
            <w:tcW w:w="1148" w:type="dxa"/>
            <w:tcBorders>
              <w:top w:val="single" w:sz="8" w:space="0" w:color="000000"/>
              <w:left w:val="nil"/>
              <w:bottom w:val="single" w:sz="8" w:space="0" w:color="000000"/>
              <w:right w:val="single" w:sz="8" w:space="0" w:color="000000"/>
            </w:tcBorders>
            <w:vAlign w:val="center"/>
          </w:tcPr>
          <w:p w14:paraId="52098D54"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8.66</w:t>
            </w:r>
          </w:p>
        </w:tc>
        <w:tc>
          <w:tcPr>
            <w:tcW w:w="1035" w:type="dxa"/>
            <w:tcBorders>
              <w:top w:val="single" w:sz="8" w:space="0" w:color="000000"/>
              <w:left w:val="nil"/>
              <w:bottom w:val="single" w:sz="8" w:space="0" w:color="000000"/>
              <w:right w:val="single" w:sz="8" w:space="0" w:color="000000"/>
            </w:tcBorders>
            <w:vAlign w:val="center"/>
          </w:tcPr>
          <w:p w14:paraId="537FA78E"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8.55</w:t>
            </w:r>
          </w:p>
        </w:tc>
        <w:tc>
          <w:tcPr>
            <w:tcW w:w="990" w:type="dxa"/>
            <w:tcBorders>
              <w:top w:val="single" w:sz="8" w:space="0" w:color="000000"/>
              <w:left w:val="nil"/>
              <w:bottom w:val="single" w:sz="8" w:space="0" w:color="000000"/>
              <w:right w:val="single" w:sz="12" w:space="0" w:color="000000"/>
            </w:tcBorders>
            <w:vAlign w:val="center"/>
          </w:tcPr>
          <w:p w14:paraId="634BDCD5"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10.22</w:t>
            </w:r>
          </w:p>
        </w:tc>
      </w:tr>
      <w:tr w:rsidR="0056312C" w:rsidRPr="00EE5714" w14:paraId="34AE24D6"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3ED41D83" w14:textId="77777777" w:rsidR="0056312C" w:rsidRPr="00EE5714" w:rsidRDefault="0056312C" w:rsidP="0056312C">
            <w:pPr>
              <w:keepNext/>
              <w:keepLines/>
              <w:spacing w:after="0" w:line="240" w:lineRule="auto"/>
              <w:rPr>
                <w:rFonts w:ascii="Calibri" w:hAnsi="Calibri"/>
                <w:b/>
                <w:sz w:val="21"/>
                <w:szCs w:val="21"/>
              </w:rPr>
            </w:pPr>
            <w:proofErr w:type="spellStart"/>
            <w:r w:rsidRPr="00EE5714">
              <w:rPr>
                <w:rFonts w:ascii="Calibri" w:hAnsi="Calibri"/>
                <w:b/>
                <w:sz w:val="21"/>
                <w:szCs w:val="21"/>
              </w:rPr>
              <w:t>Penelec</w:t>
            </w:r>
            <w:proofErr w:type="spellEnd"/>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6A7CFE22"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10.85</w:t>
            </w:r>
          </w:p>
        </w:tc>
        <w:tc>
          <w:tcPr>
            <w:tcW w:w="1125" w:type="dxa"/>
            <w:tcBorders>
              <w:top w:val="single" w:sz="8" w:space="0" w:color="000000"/>
              <w:left w:val="nil"/>
              <w:bottom w:val="single" w:sz="8" w:space="0" w:color="000000"/>
              <w:right w:val="single" w:sz="4" w:space="0" w:color="000000"/>
            </w:tcBorders>
            <w:shd w:val="clear" w:color="auto" w:fill="auto"/>
            <w:noWrap/>
            <w:vAlign w:val="center"/>
          </w:tcPr>
          <w:p w14:paraId="582E4C7F"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25.96</w:t>
            </w:r>
          </w:p>
        </w:tc>
        <w:tc>
          <w:tcPr>
            <w:tcW w:w="1147" w:type="dxa"/>
            <w:tcBorders>
              <w:top w:val="single" w:sz="8" w:space="0" w:color="000000"/>
              <w:left w:val="nil"/>
              <w:bottom w:val="single" w:sz="8" w:space="0" w:color="000000"/>
              <w:right w:val="single" w:sz="4" w:space="0" w:color="000000"/>
            </w:tcBorders>
            <w:shd w:val="clear" w:color="auto" w:fill="auto"/>
            <w:noWrap/>
            <w:vAlign w:val="center"/>
          </w:tcPr>
          <w:p w14:paraId="03397E6E"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22.69</w:t>
            </w:r>
          </w:p>
        </w:tc>
        <w:tc>
          <w:tcPr>
            <w:tcW w:w="1148" w:type="dxa"/>
            <w:tcBorders>
              <w:top w:val="single" w:sz="8" w:space="0" w:color="000000"/>
              <w:left w:val="nil"/>
              <w:bottom w:val="single" w:sz="8" w:space="0" w:color="000000"/>
              <w:right w:val="single" w:sz="12" w:space="0" w:color="000000"/>
            </w:tcBorders>
            <w:shd w:val="clear" w:color="auto" w:fill="auto"/>
            <w:noWrap/>
            <w:vAlign w:val="center"/>
          </w:tcPr>
          <w:p w14:paraId="4FB3F0B7"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23.46</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45268382"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3.72</w:t>
            </w:r>
          </w:p>
        </w:tc>
        <w:tc>
          <w:tcPr>
            <w:tcW w:w="1148" w:type="dxa"/>
            <w:tcBorders>
              <w:top w:val="single" w:sz="8" w:space="0" w:color="000000"/>
              <w:left w:val="nil"/>
              <w:bottom w:val="single" w:sz="8" w:space="0" w:color="000000"/>
              <w:right w:val="single" w:sz="8" w:space="0" w:color="000000"/>
            </w:tcBorders>
            <w:vAlign w:val="center"/>
          </w:tcPr>
          <w:p w14:paraId="718FF9B3"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17.79</w:t>
            </w:r>
          </w:p>
        </w:tc>
        <w:tc>
          <w:tcPr>
            <w:tcW w:w="1035" w:type="dxa"/>
            <w:tcBorders>
              <w:top w:val="single" w:sz="8" w:space="0" w:color="000000"/>
              <w:left w:val="nil"/>
              <w:bottom w:val="single" w:sz="8" w:space="0" w:color="000000"/>
              <w:right w:val="single" w:sz="8" w:space="0" w:color="000000"/>
            </w:tcBorders>
            <w:vAlign w:val="center"/>
          </w:tcPr>
          <w:p w14:paraId="3B6B4250"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15.33</w:t>
            </w:r>
          </w:p>
        </w:tc>
        <w:tc>
          <w:tcPr>
            <w:tcW w:w="990" w:type="dxa"/>
            <w:tcBorders>
              <w:top w:val="single" w:sz="8" w:space="0" w:color="000000"/>
              <w:left w:val="nil"/>
              <w:bottom w:val="single" w:sz="8" w:space="0" w:color="000000"/>
              <w:right w:val="single" w:sz="12" w:space="0" w:color="000000"/>
            </w:tcBorders>
            <w:vAlign w:val="center"/>
          </w:tcPr>
          <w:p w14:paraId="1CDBBB53"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16.03</w:t>
            </w:r>
          </w:p>
        </w:tc>
      </w:tr>
      <w:tr w:rsidR="0056312C" w:rsidRPr="00EE5714" w14:paraId="0B21FE86"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17C7FCBD" w14:textId="77777777" w:rsidR="0056312C" w:rsidRPr="00EE5714" w:rsidRDefault="0056312C" w:rsidP="0056312C">
            <w:pPr>
              <w:keepNext/>
              <w:keepLines/>
              <w:spacing w:after="0" w:line="240" w:lineRule="auto"/>
              <w:rPr>
                <w:rFonts w:ascii="Calibri" w:hAnsi="Calibri"/>
                <w:b/>
                <w:sz w:val="21"/>
                <w:szCs w:val="21"/>
              </w:rPr>
            </w:pPr>
            <w:r w:rsidRPr="00EE5714">
              <w:rPr>
                <w:rFonts w:ascii="Calibri" w:hAnsi="Calibri"/>
                <w:b/>
                <w:sz w:val="21"/>
                <w:szCs w:val="21"/>
              </w:rPr>
              <w:t>Penn Power</w:t>
            </w:r>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6E378DB6"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9.81</w:t>
            </w:r>
          </w:p>
        </w:tc>
        <w:tc>
          <w:tcPr>
            <w:tcW w:w="1125" w:type="dxa"/>
            <w:tcBorders>
              <w:top w:val="single" w:sz="8" w:space="0" w:color="000000"/>
              <w:left w:val="nil"/>
              <w:bottom w:val="single" w:sz="8" w:space="0" w:color="000000"/>
              <w:right w:val="single" w:sz="4" w:space="0" w:color="000000"/>
            </w:tcBorders>
            <w:shd w:val="clear" w:color="auto" w:fill="auto"/>
            <w:noWrap/>
            <w:vAlign w:val="center"/>
          </w:tcPr>
          <w:p w14:paraId="64448204"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27.79</w:t>
            </w:r>
          </w:p>
        </w:tc>
        <w:tc>
          <w:tcPr>
            <w:tcW w:w="1147" w:type="dxa"/>
            <w:tcBorders>
              <w:top w:val="single" w:sz="8" w:space="0" w:color="000000"/>
              <w:left w:val="nil"/>
              <w:bottom w:val="single" w:sz="8" w:space="0" w:color="000000"/>
              <w:right w:val="single" w:sz="4" w:space="0" w:color="000000"/>
            </w:tcBorders>
            <w:shd w:val="clear" w:color="auto" w:fill="auto"/>
            <w:noWrap/>
            <w:vAlign w:val="center"/>
          </w:tcPr>
          <w:p w14:paraId="333CB9E2"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25.49</w:t>
            </w:r>
          </w:p>
        </w:tc>
        <w:tc>
          <w:tcPr>
            <w:tcW w:w="1148" w:type="dxa"/>
            <w:tcBorders>
              <w:top w:val="single" w:sz="8" w:space="0" w:color="000000"/>
              <w:left w:val="nil"/>
              <w:bottom w:val="single" w:sz="8" w:space="0" w:color="000000"/>
              <w:right w:val="single" w:sz="12" w:space="0" w:color="000000"/>
            </w:tcBorders>
            <w:shd w:val="clear" w:color="auto" w:fill="auto"/>
            <w:noWrap/>
            <w:vAlign w:val="center"/>
          </w:tcPr>
          <w:p w14:paraId="3BB3D231"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24.24</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7C937963"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3.10</w:t>
            </w:r>
          </w:p>
        </w:tc>
        <w:tc>
          <w:tcPr>
            <w:tcW w:w="1148" w:type="dxa"/>
            <w:tcBorders>
              <w:top w:val="single" w:sz="8" w:space="0" w:color="000000"/>
              <w:left w:val="nil"/>
              <w:bottom w:val="single" w:sz="8" w:space="0" w:color="000000"/>
              <w:right w:val="single" w:sz="8" w:space="0" w:color="000000"/>
            </w:tcBorders>
            <w:vAlign w:val="center"/>
          </w:tcPr>
          <w:p w14:paraId="40A4D821"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20.12</w:t>
            </w:r>
          </w:p>
        </w:tc>
        <w:tc>
          <w:tcPr>
            <w:tcW w:w="1035" w:type="dxa"/>
            <w:tcBorders>
              <w:top w:val="single" w:sz="8" w:space="0" w:color="000000"/>
              <w:left w:val="nil"/>
              <w:bottom w:val="single" w:sz="8" w:space="0" w:color="000000"/>
              <w:right w:val="single" w:sz="8" w:space="0" w:color="000000"/>
            </w:tcBorders>
            <w:vAlign w:val="center"/>
          </w:tcPr>
          <w:p w14:paraId="0F044BEC"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19.21</w:t>
            </w:r>
          </w:p>
        </w:tc>
        <w:tc>
          <w:tcPr>
            <w:tcW w:w="990" w:type="dxa"/>
            <w:tcBorders>
              <w:top w:val="single" w:sz="8" w:space="0" w:color="000000"/>
              <w:left w:val="nil"/>
              <w:bottom w:val="single" w:sz="8" w:space="0" w:color="000000"/>
              <w:right w:val="single" w:sz="12" w:space="0" w:color="000000"/>
            </w:tcBorders>
            <w:vAlign w:val="center"/>
          </w:tcPr>
          <w:p w14:paraId="32E15FB9"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18.79</w:t>
            </w:r>
          </w:p>
        </w:tc>
      </w:tr>
      <w:tr w:rsidR="0056312C" w:rsidRPr="00EE5714" w14:paraId="63B61A4B"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322E04A4" w14:textId="77777777" w:rsidR="0056312C" w:rsidRPr="00EE5714" w:rsidRDefault="0056312C" w:rsidP="0056312C">
            <w:pPr>
              <w:keepNext/>
              <w:keepLines/>
              <w:spacing w:after="0" w:line="240" w:lineRule="auto"/>
              <w:rPr>
                <w:rFonts w:ascii="Calibri" w:hAnsi="Calibri"/>
                <w:b/>
                <w:sz w:val="21"/>
                <w:szCs w:val="21"/>
              </w:rPr>
            </w:pPr>
            <w:r w:rsidRPr="00EE5714">
              <w:rPr>
                <w:rFonts w:ascii="Calibri" w:hAnsi="Calibri"/>
                <w:b/>
                <w:sz w:val="21"/>
                <w:szCs w:val="21"/>
              </w:rPr>
              <w:t>PPL</w:t>
            </w:r>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2A74D6A1"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35.55</w:t>
            </w:r>
          </w:p>
        </w:tc>
        <w:tc>
          <w:tcPr>
            <w:tcW w:w="1125" w:type="dxa"/>
            <w:tcBorders>
              <w:top w:val="single" w:sz="8" w:space="0" w:color="000000"/>
              <w:left w:val="nil"/>
              <w:bottom w:val="single" w:sz="8" w:space="0" w:color="000000"/>
              <w:right w:val="single" w:sz="4" w:space="0" w:color="000000"/>
            </w:tcBorders>
            <w:shd w:val="clear" w:color="auto" w:fill="auto"/>
            <w:noWrap/>
            <w:vAlign w:val="center"/>
          </w:tcPr>
          <w:p w14:paraId="5F5AAA2A"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39.66</w:t>
            </w:r>
          </w:p>
        </w:tc>
        <w:tc>
          <w:tcPr>
            <w:tcW w:w="1147" w:type="dxa"/>
            <w:tcBorders>
              <w:top w:val="single" w:sz="8" w:space="0" w:color="000000"/>
              <w:left w:val="nil"/>
              <w:bottom w:val="single" w:sz="8" w:space="0" w:color="000000"/>
              <w:right w:val="single" w:sz="4" w:space="0" w:color="000000"/>
            </w:tcBorders>
            <w:shd w:val="clear" w:color="auto" w:fill="auto"/>
            <w:noWrap/>
            <w:vAlign w:val="center"/>
          </w:tcPr>
          <w:p w14:paraId="343EF8A2"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44.07</w:t>
            </w:r>
          </w:p>
        </w:tc>
        <w:tc>
          <w:tcPr>
            <w:tcW w:w="1148" w:type="dxa"/>
            <w:tcBorders>
              <w:top w:val="single" w:sz="8" w:space="0" w:color="000000"/>
              <w:left w:val="nil"/>
              <w:bottom w:val="single" w:sz="8" w:space="0" w:color="000000"/>
              <w:right w:val="single" w:sz="12" w:space="0" w:color="000000"/>
            </w:tcBorders>
            <w:shd w:val="clear" w:color="auto" w:fill="auto"/>
            <w:noWrap/>
            <w:vAlign w:val="center"/>
          </w:tcPr>
          <w:p w14:paraId="6ED51D7D"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30.54</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00D93EEC"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30.27</w:t>
            </w:r>
          </w:p>
        </w:tc>
        <w:tc>
          <w:tcPr>
            <w:tcW w:w="1148" w:type="dxa"/>
            <w:tcBorders>
              <w:top w:val="single" w:sz="8" w:space="0" w:color="000000"/>
              <w:left w:val="nil"/>
              <w:bottom w:val="single" w:sz="8" w:space="0" w:color="000000"/>
              <w:right w:val="single" w:sz="8" w:space="0" w:color="000000"/>
            </w:tcBorders>
            <w:vAlign w:val="center"/>
          </w:tcPr>
          <w:p w14:paraId="294F969D"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34.55</w:t>
            </w:r>
          </w:p>
        </w:tc>
        <w:tc>
          <w:tcPr>
            <w:tcW w:w="1035" w:type="dxa"/>
            <w:tcBorders>
              <w:top w:val="single" w:sz="8" w:space="0" w:color="000000"/>
              <w:left w:val="nil"/>
              <w:bottom w:val="single" w:sz="8" w:space="0" w:color="000000"/>
              <w:right w:val="single" w:sz="8" w:space="0" w:color="000000"/>
            </w:tcBorders>
            <w:vAlign w:val="center"/>
          </w:tcPr>
          <w:p w14:paraId="6D51C553"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38.41</w:t>
            </w:r>
          </w:p>
        </w:tc>
        <w:tc>
          <w:tcPr>
            <w:tcW w:w="990" w:type="dxa"/>
            <w:tcBorders>
              <w:top w:val="single" w:sz="8" w:space="0" w:color="000000"/>
              <w:left w:val="nil"/>
              <w:bottom w:val="single" w:sz="8" w:space="0" w:color="000000"/>
              <w:right w:val="single" w:sz="12" w:space="0" w:color="000000"/>
            </w:tcBorders>
            <w:vAlign w:val="center"/>
          </w:tcPr>
          <w:p w14:paraId="750BE0A5"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25.72</w:t>
            </w:r>
          </w:p>
        </w:tc>
      </w:tr>
      <w:tr w:rsidR="0056312C" w:rsidRPr="00EE5714" w14:paraId="085FA181"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5C1B8EEE" w14:textId="77777777" w:rsidR="0056312C" w:rsidRPr="00EE5714" w:rsidRDefault="0056312C" w:rsidP="0056312C">
            <w:pPr>
              <w:keepNext/>
              <w:keepLines/>
              <w:spacing w:after="0" w:line="240" w:lineRule="auto"/>
              <w:rPr>
                <w:rFonts w:ascii="Calibri" w:hAnsi="Calibri"/>
                <w:b/>
                <w:sz w:val="21"/>
                <w:szCs w:val="21"/>
              </w:rPr>
            </w:pPr>
            <w:r w:rsidRPr="00EE5714">
              <w:rPr>
                <w:rFonts w:ascii="Calibri" w:hAnsi="Calibri"/>
                <w:b/>
                <w:sz w:val="21"/>
                <w:szCs w:val="21"/>
              </w:rPr>
              <w:t>West Penn</w:t>
            </w:r>
          </w:p>
        </w:tc>
        <w:tc>
          <w:tcPr>
            <w:tcW w:w="90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28471894"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12.41</w:t>
            </w:r>
          </w:p>
        </w:tc>
        <w:tc>
          <w:tcPr>
            <w:tcW w:w="1125" w:type="dxa"/>
            <w:tcBorders>
              <w:top w:val="single" w:sz="8" w:space="0" w:color="000000"/>
              <w:left w:val="nil"/>
              <w:bottom w:val="single" w:sz="8" w:space="0" w:color="000000"/>
              <w:right w:val="single" w:sz="4" w:space="0" w:color="000000"/>
            </w:tcBorders>
            <w:shd w:val="clear" w:color="auto" w:fill="auto"/>
            <w:noWrap/>
            <w:vAlign w:val="center"/>
          </w:tcPr>
          <w:p w14:paraId="4A86B09E"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40.51</w:t>
            </w:r>
          </w:p>
        </w:tc>
        <w:tc>
          <w:tcPr>
            <w:tcW w:w="1147" w:type="dxa"/>
            <w:tcBorders>
              <w:top w:val="single" w:sz="8" w:space="0" w:color="000000"/>
              <w:left w:val="nil"/>
              <w:bottom w:val="single" w:sz="8" w:space="0" w:color="000000"/>
              <w:right w:val="single" w:sz="4" w:space="0" w:color="000000"/>
            </w:tcBorders>
            <w:shd w:val="clear" w:color="auto" w:fill="auto"/>
            <w:noWrap/>
            <w:vAlign w:val="center"/>
          </w:tcPr>
          <w:p w14:paraId="2C3288D9"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23.92</w:t>
            </w:r>
          </w:p>
        </w:tc>
        <w:tc>
          <w:tcPr>
            <w:tcW w:w="1148" w:type="dxa"/>
            <w:tcBorders>
              <w:top w:val="single" w:sz="8" w:space="0" w:color="000000"/>
              <w:left w:val="nil"/>
              <w:bottom w:val="single" w:sz="8" w:space="0" w:color="000000"/>
              <w:right w:val="single" w:sz="12" w:space="0" w:color="000000"/>
            </w:tcBorders>
            <w:shd w:val="clear" w:color="auto" w:fill="auto"/>
            <w:noWrap/>
            <w:vAlign w:val="center"/>
          </w:tcPr>
          <w:p w14:paraId="29B8B271"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24.59</w:t>
            </w:r>
          </w:p>
        </w:tc>
        <w:tc>
          <w:tcPr>
            <w:tcW w:w="1147"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2DA26913"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3.05</w:t>
            </w:r>
          </w:p>
        </w:tc>
        <w:tc>
          <w:tcPr>
            <w:tcW w:w="1148" w:type="dxa"/>
            <w:tcBorders>
              <w:top w:val="single" w:sz="8" w:space="0" w:color="000000"/>
              <w:left w:val="nil"/>
              <w:bottom w:val="single" w:sz="8" w:space="0" w:color="000000"/>
              <w:right w:val="single" w:sz="8" w:space="0" w:color="000000"/>
            </w:tcBorders>
            <w:vAlign w:val="center"/>
          </w:tcPr>
          <w:p w14:paraId="4AA5D771"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27.71</w:t>
            </w:r>
          </w:p>
        </w:tc>
        <w:tc>
          <w:tcPr>
            <w:tcW w:w="1035" w:type="dxa"/>
            <w:tcBorders>
              <w:top w:val="single" w:sz="8" w:space="0" w:color="000000"/>
              <w:left w:val="nil"/>
              <w:bottom w:val="single" w:sz="8" w:space="0" w:color="000000"/>
              <w:right w:val="single" w:sz="8" w:space="0" w:color="000000"/>
            </w:tcBorders>
            <w:vAlign w:val="center"/>
          </w:tcPr>
          <w:p w14:paraId="5746E636"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17.09</w:t>
            </w:r>
          </w:p>
        </w:tc>
        <w:tc>
          <w:tcPr>
            <w:tcW w:w="990" w:type="dxa"/>
            <w:tcBorders>
              <w:top w:val="single" w:sz="8" w:space="0" w:color="000000"/>
              <w:left w:val="nil"/>
              <w:bottom w:val="single" w:sz="8" w:space="0" w:color="000000"/>
              <w:right w:val="single" w:sz="12" w:space="0" w:color="000000"/>
            </w:tcBorders>
            <w:vAlign w:val="center"/>
          </w:tcPr>
          <w:p w14:paraId="55FA8F7D" w14:textId="77777777" w:rsidR="0056312C" w:rsidRPr="00EE5714" w:rsidRDefault="0056312C" w:rsidP="0056312C">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18.66</w:t>
            </w:r>
          </w:p>
        </w:tc>
      </w:tr>
    </w:tbl>
    <w:p w14:paraId="57C38557" w14:textId="77777777" w:rsidR="001B0D41" w:rsidRPr="00EE5714" w:rsidRDefault="001B0D41" w:rsidP="00F303E0">
      <w:pPr>
        <w:pStyle w:val="NoSpacing"/>
        <w:rPr>
          <w:rFonts w:cs="Times New Roman"/>
          <w:szCs w:val="26"/>
        </w:rPr>
      </w:pPr>
    </w:p>
    <w:p w14:paraId="02DF2C48" w14:textId="77777777" w:rsidR="00991EDA" w:rsidRPr="00EE5714" w:rsidRDefault="00991EDA" w:rsidP="00991EDA">
      <w:pPr>
        <w:spacing w:after="0" w:line="240" w:lineRule="auto"/>
        <w:rPr>
          <w:rFonts w:ascii="Times New Roman" w:hAnsi="Times New Roman" w:cs="Times New Roman"/>
          <w:sz w:val="26"/>
          <w:szCs w:val="26"/>
        </w:rPr>
      </w:pPr>
    </w:p>
    <w:p w14:paraId="46B2792F" w14:textId="77777777" w:rsidR="00E30B86" w:rsidRPr="00EE5714" w:rsidRDefault="00F857A1" w:rsidP="006019D7">
      <w:pPr>
        <w:spacing w:after="0" w:line="240" w:lineRule="auto"/>
        <w:rPr>
          <w:rFonts w:ascii="Times New Roman" w:hAnsi="Times New Roman" w:cs="Times New Roman"/>
          <w:b/>
          <w:sz w:val="26"/>
          <w:szCs w:val="26"/>
        </w:rPr>
      </w:pPr>
      <w:r w:rsidRPr="00EE5714">
        <w:rPr>
          <w:rFonts w:ascii="Times New Roman" w:hAnsi="Times New Roman" w:cs="Times New Roman"/>
          <w:sz w:val="26"/>
          <w:szCs w:val="26"/>
        </w:rPr>
        <w:t>Appendix 3</w:t>
      </w:r>
      <w:r w:rsidR="00991EDA" w:rsidRPr="00EE5714">
        <w:rPr>
          <w:rFonts w:ascii="Times New Roman" w:hAnsi="Times New Roman" w:cs="Times New Roman"/>
          <w:sz w:val="26"/>
          <w:szCs w:val="26"/>
        </w:rPr>
        <w:t>.A.</w:t>
      </w:r>
      <w:r w:rsidR="00A85700" w:rsidRPr="00EE5714">
        <w:rPr>
          <w:rFonts w:ascii="Times New Roman" w:hAnsi="Times New Roman" w:cs="Times New Roman"/>
          <w:sz w:val="26"/>
          <w:szCs w:val="26"/>
        </w:rPr>
        <w:t>20</w:t>
      </w:r>
      <w:r w:rsidR="00991EDA" w:rsidRPr="00EE5714">
        <w:rPr>
          <w:rFonts w:ascii="Times New Roman" w:hAnsi="Times New Roman" w:cs="Times New Roman"/>
          <w:sz w:val="26"/>
          <w:szCs w:val="26"/>
        </w:rPr>
        <w:t xml:space="preserve">: </w:t>
      </w:r>
      <w:r w:rsidR="00E30B86" w:rsidRPr="00EE5714">
        <w:rPr>
          <w:rFonts w:ascii="Times New Roman" w:hAnsi="Times New Roman" w:cs="Times New Roman"/>
          <w:b/>
          <w:sz w:val="26"/>
          <w:szCs w:val="26"/>
        </w:rPr>
        <w:t>EDC Heating Energy Burden of CAP LIHEAP Recipients</w:t>
      </w:r>
      <w:r w:rsidR="00E30B86" w:rsidRPr="00EE5714">
        <w:rPr>
          <w:rFonts w:ascii="Times New Roman" w:hAnsi="Times New Roman" w:cs="Times New Roman"/>
          <w:sz w:val="26"/>
          <w:szCs w:val="26"/>
        </w:rPr>
        <w:t xml:space="preserve"> </w:t>
      </w:r>
      <w:r w:rsidR="00E30B86" w:rsidRPr="00EE5714">
        <w:rPr>
          <w:rFonts w:ascii="Times New Roman" w:hAnsi="Times New Roman" w:cs="Times New Roman"/>
          <w:b/>
          <w:sz w:val="26"/>
          <w:szCs w:val="26"/>
        </w:rPr>
        <w:t xml:space="preserve">at </w:t>
      </w:r>
    </w:p>
    <w:p w14:paraId="47DFCE4D" w14:textId="77777777" w:rsidR="00F303E0" w:rsidRPr="00EE5714" w:rsidRDefault="00E30B86" w:rsidP="00B404FB">
      <w:pPr>
        <w:pStyle w:val="NoSpacing"/>
        <w:rPr>
          <w:rFonts w:cs="Times New Roman"/>
          <w:b/>
          <w:szCs w:val="26"/>
        </w:rPr>
      </w:pPr>
      <w:r w:rsidRPr="00EE5714">
        <w:rPr>
          <w:rFonts w:eastAsiaTheme="minorHAnsi" w:cs="Times New Roman"/>
          <w:b/>
          <w:szCs w:val="26"/>
        </w:rPr>
        <w:t>51-100% FPIG</w:t>
      </w:r>
    </w:p>
    <w:tbl>
      <w:tblPr>
        <w:tblW w:w="10080" w:type="dxa"/>
        <w:tblInd w:w="-280" w:type="dxa"/>
        <w:tblLayout w:type="fixed"/>
        <w:tblLook w:val="04A0" w:firstRow="1" w:lastRow="0" w:firstColumn="1" w:lastColumn="0" w:noHBand="0" w:noVBand="1"/>
      </w:tblPr>
      <w:tblGrid>
        <w:gridCol w:w="1440"/>
        <w:gridCol w:w="1080"/>
        <w:gridCol w:w="1080"/>
        <w:gridCol w:w="1080"/>
        <w:gridCol w:w="1080"/>
        <w:gridCol w:w="1080"/>
        <w:gridCol w:w="1080"/>
        <w:gridCol w:w="1170"/>
        <w:gridCol w:w="990"/>
      </w:tblGrid>
      <w:tr w:rsidR="00B433BE" w:rsidRPr="00EE5714" w14:paraId="6EDEC2D8" w14:textId="77777777" w:rsidTr="00463B0B">
        <w:trPr>
          <w:trHeight w:hRule="exact" w:val="418"/>
        </w:trPr>
        <w:tc>
          <w:tcPr>
            <w:tcW w:w="10080" w:type="dxa"/>
            <w:gridSpan w:val="9"/>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tcPr>
          <w:p w14:paraId="6FFA42BA" w14:textId="77777777" w:rsidR="00B433BE" w:rsidRPr="00EE5714" w:rsidRDefault="00B433BE" w:rsidP="00B433BE">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lastRenderedPageBreak/>
              <w:t>EDC Energy Burden of Heating CAP LIHEAP Recipients at 51-100% FPIG</w:t>
            </w:r>
          </w:p>
        </w:tc>
      </w:tr>
      <w:tr w:rsidR="00B433BE" w:rsidRPr="00EE5714" w14:paraId="7EF6EE78" w14:textId="77777777" w:rsidTr="00463B0B">
        <w:trPr>
          <w:trHeight w:hRule="exact" w:val="3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72E5BA3F" w14:textId="77777777" w:rsidR="00B433BE" w:rsidRPr="00EE5714" w:rsidRDefault="00B433BE" w:rsidP="00B433BE">
            <w:pPr>
              <w:keepNext/>
              <w:keepLines/>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320" w:type="dxa"/>
            <w:gridSpan w:val="4"/>
            <w:tcBorders>
              <w:top w:val="single" w:sz="12" w:space="0" w:color="000000"/>
              <w:left w:val="single" w:sz="12" w:space="0" w:color="000000"/>
              <w:bottom w:val="single" w:sz="8" w:space="0" w:color="000000"/>
              <w:right w:val="single" w:sz="12" w:space="0" w:color="000000"/>
            </w:tcBorders>
            <w:shd w:val="clear" w:color="auto" w:fill="auto"/>
            <w:noWrap/>
            <w:hideMark/>
          </w:tcPr>
          <w:p w14:paraId="722704BC" w14:textId="77777777" w:rsidR="00B433BE" w:rsidRPr="00EE5714" w:rsidRDefault="00B433BE" w:rsidP="00B433BE">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Without LIHEAP Dollars Applied  </w:t>
            </w:r>
          </w:p>
        </w:tc>
        <w:tc>
          <w:tcPr>
            <w:tcW w:w="4320" w:type="dxa"/>
            <w:gridSpan w:val="4"/>
            <w:tcBorders>
              <w:top w:val="single" w:sz="12" w:space="0" w:color="000000"/>
              <w:left w:val="single" w:sz="12" w:space="0" w:color="000000"/>
              <w:bottom w:val="single" w:sz="8" w:space="0" w:color="000000"/>
              <w:right w:val="single" w:sz="12" w:space="0" w:color="000000"/>
            </w:tcBorders>
          </w:tcPr>
          <w:p w14:paraId="5DED9841" w14:textId="77777777" w:rsidR="00B433BE" w:rsidRPr="00EE5714" w:rsidRDefault="00B433BE" w:rsidP="00B433BE">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With LIHEAP Dollars Applied</w:t>
            </w:r>
          </w:p>
        </w:tc>
      </w:tr>
      <w:tr w:rsidR="007A3AFE" w:rsidRPr="00EE5714" w14:paraId="34B36DF5" w14:textId="77777777" w:rsidTr="00463B0B">
        <w:trPr>
          <w:trHeight w:hRule="exact" w:val="353"/>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62277145" w14:textId="77777777" w:rsidR="00B433BE" w:rsidRPr="00EE5714" w:rsidRDefault="00B433BE" w:rsidP="00B433BE">
            <w:pPr>
              <w:keepNext/>
              <w:keepLines/>
              <w:spacing w:after="0" w:line="240" w:lineRule="auto"/>
              <w:rPr>
                <w:rFonts w:ascii="Calibri" w:eastAsia="Times New Roman" w:hAnsi="Calibri" w:cs="Calibri"/>
                <w:color w:val="000000"/>
                <w:sz w:val="21"/>
                <w:szCs w:val="21"/>
              </w:rPr>
            </w:pPr>
          </w:p>
        </w:tc>
        <w:tc>
          <w:tcPr>
            <w:tcW w:w="1080" w:type="dxa"/>
            <w:tcBorders>
              <w:top w:val="single" w:sz="8" w:space="0" w:color="000000"/>
              <w:left w:val="single" w:sz="12" w:space="0" w:color="000000"/>
              <w:bottom w:val="single" w:sz="8" w:space="0" w:color="000000"/>
              <w:right w:val="single" w:sz="4" w:space="0" w:color="000000"/>
            </w:tcBorders>
            <w:shd w:val="clear" w:color="auto" w:fill="F2F2F2" w:themeFill="background1" w:themeFillShade="F2"/>
            <w:noWrap/>
            <w:hideMark/>
          </w:tcPr>
          <w:p w14:paraId="1E3151B0" w14:textId="77777777" w:rsidR="00B433BE" w:rsidRPr="00EE5714" w:rsidRDefault="00B433BE" w:rsidP="00B433BE">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65179CCF" w14:textId="77777777" w:rsidR="00B433BE" w:rsidRPr="00EE5714" w:rsidRDefault="00B433BE" w:rsidP="00B433BE">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single" w:sz="8" w:space="0" w:color="000000"/>
              <w:left w:val="nil"/>
              <w:bottom w:val="single" w:sz="8" w:space="0" w:color="000000"/>
              <w:right w:val="single" w:sz="4" w:space="0" w:color="000000"/>
            </w:tcBorders>
            <w:shd w:val="clear" w:color="auto" w:fill="F2F2F2" w:themeFill="background1" w:themeFillShade="F2"/>
            <w:noWrap/>
            <w:hideMark/>
          </w:tcPr>
          <w:p w14:paraId="55E7A32A" w14:textId="77777777" w:rsidR="00B433BE" w:rsidRPr="00EE5714" w:rsidRDefault="00B433BE" w:rsidP="00B433BE">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080" w:type="dxa"/>
            <w:tcBorders>
              <w:top w:val="single" w:sz="8" w:space="0" w:color="000000"/>
              <w:left w:val="nil"/>
              <w:bottom w:val="single" w:sz="8" w:space="0" w:color="000000"/>
              <w:right w:val="single" w:sz="12" w:space="0" w:color="000000"/>
            </w:tcBorders>
            <w:shd w:val="clear" w:color="auto" w:fill="F2F2F2" w:themeFill="background1" w:themeFillShade="F2"/>
            <w:noWrap/>
            <w:hideMark/>
          </w:tcPr>
          <w:p w14:paraId="326B66AA" w14:textId="77777777" w:rsidR="00B433BE" w:rsidRPr="00EE5714" w:rsidRDefault="00B433BE" w:rsidP="00B433BE">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080" w:type="dxa"/>
            <w:tcBorders>
              <w:top w:val="single" w:sz="8" w:space="0" w:color="000000"/>
              <w:left w:val="single" w:sz="12" w:space="0" w:color="000000"/>
              <w:bottom w:val="single" w:sz="8" w:space="0" w:color="000000"/>
              <w:right w:val="single" w:sz="8" w:space="0" w:color="000000"/>
            </w:tcBorders>
            <w:shd w:val="clear" w:color="auto" w:fill="F2F2F2" w:themeFill="background1" w:themeFillShade="F2"/>
          </w:tcPr>
          <w:p w14:paraId="5D4E4A84" w14:textId="77777777" w:rsidR="00B433BE" w:rsidRPr="00EE5714" w:rsidRDefault="00B433BE" w:rsidP="00B433BE">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single" w:sz="8" w:space="0" w:color="000000"/>
              <w:left w:val="nil"/>
              <w:bottom w:val="single" w:sz="8" w:space="0" w:color="000000"/>
              <w:right w:val="single" w:sz="8" w:space="0" w:color="000000"/>
            </w:tcBorders>
            <w:shd w:val="clear" w:color="auto" w:fill="F2F2F2" w:themeFill="background1" w:themeFillShade="F2"/>
          </w:tcPr>
          <w:p w14:paraId="1F8DA417" w14:textId="77777777" w:rsidR="00B433BE" w:rsidRPr="00EE5714" w:rsidRDefault="00B433BE" w:rsidP="00B433BE">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170" w:type="dxa"/>
            <w:tcBorders>
              <w:top w:val="single" w:sz="8" w:space="0" w:color="000000"/>
              <w:left w:val="nil"/>
              <w:bottom w:val="single" w:sz="8" w:space="0" w:color="000000"/>
              <w:right w:val="single" w:sz="8" w:space="0" w:color="000000"/>
            </w:tcBorders>
            <w:shd w:val="clear" w:color="auto" w:fill="F2F2F2" w:themeFill="background1" w:themeFillShade="F2"/>
          </w:tcPr>
          <w:p w14:paraId="17DCBCAE" w14:textId="77777777" w:rsidR="00B433BE" w:rsidRPr="00EE5714" w:rsidRDefault="00B433BE" w:rsidP="00B433BE">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90" w:type="dxa"/>
            <w:tcBorders>
              <w:top w:val="single" w:sz="8" w:space="0" w:color="000000"/>
              <w:left w:val="nil"/>
              <w:bottom w:val="single" w:sz="8" w:space="0" w:color="000000"/>
              <w:right w:val="single" w:sz="12" w:space="0" w:color="000000"/>
            </w:tcBorders>
            <w:shd w:val="clear" w:color="auto" w:fill="F2F2F2" w:themeFill="background1" w:themeFillShade="F2"/>
          </w:tcPr>
          <w:p w14:paraId="0A3F2D24" w14:textId="77777777" w:rsidR="00B433BE" w:rsidRPr="00EE5714" w:rsidRDefault="00B433BE" w:rsidP="00B433BE">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B433BE" w:rsidRPr="00EE5714" w14:paraId="36583410"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628E2C77" w14:textId="77777777" w:rsidR="00B433BE" w:rsidRPr="00EE5714" w:rsidRDefault="00B433BE" w:rsidP="00B433BE">
            <w:pPr>
              <w:keepNext/>
              <w:keepLines/>
              <w:spacing w:after="0" w:line="240" w:lineRule="auto"/>
              <w:rPr>
                <w:rFonts w:ascii="Calibri" w:hAnsi="Calibri"/>
                <w:b/>
                <w:sz w:val="21"/>
                <w:szCs w:val="21"/>
              </w:rPr>
            </w:pPr>
            <w:r w:rsidRPr="00EE5714">
              <w:rPr>
                <w:rFonts w:ascii="Calibri" w:hAnsi="Calibri"/>
                <w:b/>
                <w:sz w:val="21"/>
                <w:szCs w:val="21"/>
              </w:rPr>
              <w:t>Duquesne</w:t>
            </w:r>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034CB09E"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14.35</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302059A4"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14.35</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641BC3EB"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15.31</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1837E8F6"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13.46</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33F0EFFF"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10.68</w:t>
            </w:r>
          </w:p>
        </w:tc>
        <w:tc>
          <w:tcPr>
            <w:tcW w:w="1080" w:type="dxa"/>
            <w:tcBorders>
              <w:top w:val="single" w:sz="8" w:space="0" w:color="000000"/>
              <w:left w:val="nil"/>
              <w:bottom w:val="single" w:sz="8" w:space="0" w:color="000000"/>
              <w:right w:val="single" w:sz="8" w:space="0" w:color="000000"/>
            </w:tcBorders>
            <w:vAlign w:val="center"/>
          </w:tcPr>
          <w:p w14:paraId="3D33E02E"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10.68</w:t>
            </w:r>
          </w:p>
        </w:tc>
        <w:tc>
          <w:tcPr>
            <w:tcW w:w="1170" w:type="dxa"/>
            <w:tcBorders>
              <w:top w:val="single" w:sz="8" w:space="0" w:color="000000"/>
              <w:left w:val="nil"/>
              <w:bottom w:val="single" w:sz="8" w:space="0" w:color="000000"/>
              <w:right w:val="single" w:sz="8" w:space="0" w:color="000000"/>
            </w:tcBorders>
            <w:vAlign w:val="center"/>
          </w:tcPr>
          <w:p w14:paraId="0A2C16B0"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11.96</w:t>
            </w:r>
          </w:p>
        </w:tc>
        <w:tc>
          <w:tcPr>
            <w:tcW w:w="990" w:type="dxa"/>
            <w:tcBorders>
              <w:top w:val="single" w:sz="8" w:space="0" w:color="000000"/>
              <w:left w:val="nil"/>
              <w:bottom w:val="single" w:sz="8" w:space="0" w:color="000000"/>
              <w:right w:val="single" w:sz="12" w:space="0" w:color="000000"/>
            </w:tcBorders>
            <w:vAlign w:val="center"/>
          </w:tcPr>
          <w:p w14:paraId="586F0679"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9.58</w:t>
            </w:r>
          </w:p>
        </w:tc>
      </w:tr>
      <w:tr w:rsidR="00B433BE" w:rsidRPr="00EE5714" w14:paraId="0C330F33"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70D21710" w14:textId="77777777" w:rsidR="00B433BE" w:rsidRPr="00EE5714" w:rsidRDefault="00B433BE" w:rsidP="00B433BE">
            <w:pPr>
              <w:keepNext/>
              <w:keepLines/>
              <w:spacing w:after="0" w:line="240" w:lineRule="auto"/>
              <w:rPr>
                <w:rFonts w:ascii="Calibri" w:hAnsi="Calibri"/>
                <w:b/>
                <w:sz w:val="21"/>
                <w:szCs w:val="21"/>
              </w:rPr>
            </w:pPr>
            <w:r w:rsidRPr="00EE5714">
              <w:rPr>
                <w:rFonts w:ascii="Calibri" w:hAnsi="Calibri"/>
                <w:b/>
                <w:sz w:val="21"/>
                <w:szCs w:val="21"/>
              </w:rPr>
              <w:t>Met-Ed</w:t>
            </w:r>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46CBA511"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6.20</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0D885884"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13.73</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42B8838A"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12.67</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3B9B18D4"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12.72</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481452BC"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3.67</w:t>
            </w:r>
          </w:p>
        </w:tc>
        <w:tc>
          <w:tcPr>
            <w:tcW w:w="1080" w:type="dxa"/>
            <w:tcBorders>
              <w:top w:val="single" w:sz="8" w:space="0" w:color="000000"/>
              <w:left w:val="nil"/>
              <w:bottom w:val="single" w:sz="8" w:space="0" w:color="000000"/>
              <w:right w:val="single" w:sz="8" w:space="0" w:color="000000"/>
            </w:tcBorders>
            <w:vAlign w:val="center"/>
          </w:tcPr>
          <w:p w14:paraId="4EB6C858"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11.11</w:t>
            </w:r>
          </w:p>
        </w:tc>
        <w:tc>
          <w:tcPr>
            <w:tcW w:w="1170" w:type="dxa"/>
            <w:tcBorders>
              <w:top w:val="single" w:sz="8" w:space="0" w:color="000000"/>
              <w:left w:val="nil"/>
              <w:bottom w:val="single" w:sz="8" w:space="0" w:color="000000"/>
              <w:right w:val="single" w:sz="8" w:space="0" w:color="000000"/>
            </w:tcBorders>
            <w:vAlign w:val="center"/>
          </w:tcPr>
          <w:p w14:paraId="5530ADD6"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10.04</w:t>
            </w:r>
          </w:p>
        </w:tc>
        <w:tc>
          <w:tcPr>
            <w:tcW w:w="990" w:type="dxa"/>
            <w:tcBorders>
              <w:top w:val="single" w:sz="8" w:space="0" w:color="000000"/>
              <w:left w:val="nil"/>
              <w:bottom w:val="single" w:sz="8" w:space="0" w:color="000000"/>
              <w:right w:val="single" w:sz="12" w:space="0" w:color="000000"/>
            </w:tcBorders>
            <w:vAlign w:val="center"/>
          </w:tcPr>
          <w:p w14:paraId="4789CABA"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10.19</w:t>
            </w:r>
          </w:p>
        </w:tc>
      </w:tr>
      <w:tr w:rsidR="00B433BE" w:rsidRPr="00EE5714" w14:paraId="3B59480F"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1DDAD1E6" w14:textId="77777777" w:rsidR="00B433BE" w:rsidRPr="00EE5714" w:rsidRDefault="00B433BE" w:rsidP="00B433BE">
            <w:pPr>
              <w:keepNext/>
              <w:keepLines/>
              <w:spacing w:after="0" w:line="240" w:lineRule="auto"/>
              <w:rPr>
                <w:rFonts w:ascii="Calibri" w:hAnsi="Calibri"/>
                <w:b/>
                <w:sz w:val="21"/>
                <w:szCs w:val="21"/>
              </w:rPr>
            </w:pPr>
            <w:r w:rsidRPr="00EE5714">
              <w:rPr>
                <w:rFonts w:ascii="Calibri" w:hAnsi="Calibri"/>
                <w:b/>
                <w:sz w:val="21"/>
                <w:szCs w:val="21"/>
              </w:rPr>
              <w:t>PECO Electric</w:t>
            </w:r>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6EB32B22"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10.19</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6A8ABB99"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9.90</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674BCD59"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9.60</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6211B755"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9.22</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5CB31636"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7.11</w:t>
            </w:r>
          </w:p>
        </w:tc>
        <w:tc>
          <w:tcPr>
            <w:tcW w:w="1080" w:type="dxa"/>
            <w:tcBorders>
              <w:top w:val="single" w:sz="8" w:space="0" w:color="000000"/>
              <w:left w:val="nil"/>
              <w:bottom w:val="single" w:sz="8" w:space="0" w:color="000000"/>
              <w:right w:val="single" w:sz="8" w:space="0" w:color="000000"/>
            </w:tcBorders>
            <w:vAlign w:val="center"/>
          </w:tcPr>
          <w:p w14:paraId="5D6809C1"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7.13</w:t>
            </w:r>
          </w:p>
        </w:tc>
        <w:tc>
          <w:tcPr>
            <w:tcW w:w="1170" w:type="dxa"/>
            <w:tcBorders>
              <w:top w:val="single" w:sz="8" w:space="0" w:color="000000"/>
              <w:left w:val="nil"/>
              <w:bottom w:val="single" w:sz="8" w:space="0" w:color="000000"/>
              <w:right w:val="single" w:sz="8" w:space="0" w:color="000000"/>
            </w:tcBorders>
            <w:vAlign w:val="center"/>
          </w:tcPr>
          <w:p w14:paraId="7B4B1FC7"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6.59</w:t>
            </w:r>
          </w:p>
        </w:tc>
        <w:tc>
          <w:tcPr>
            <w:tcW w:w="990" w:type="dxa"/>
            <w:tcBorders>
              <w:top w:val="single" w:sz="8" w:space="0" w:color="000000"/>
              <w:left w:val="nil"/>
              <w:bottom w:val="single" w:sz="8" w:space="0" w:color="000000"/>
              <w:right w:val="single" w:sz="12" w:space="0" w:color="000000"/>
            </w:tcBorders>
            <w:vAlign w:val="center"/>
          </w:tcPr>
          <w:p w14:paraId="0C0F205D"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6.27</w:t>
            </w:r>
          </w:p>
        </w:tc>
      </w:tr>
      <w:tr w:rsidR="00B433BE" w:rsidRPr="00EE5714" w14:paraId="626A1EDF"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6B2E2ABC" w14:textId="77777777" w:rsidR="00B433BE" w:rsidRPr="00EE5714" w:rsidRDefault="00B433BE" w:rsidP="00B433BE">
            <w:pPr>
              <w:keepNext/>
              <w:keepLines/>
              <w:spacing w:after="0" w:line="240" w:lineRule="auto"/>
              <w:rPr>
                <w:rFonts w:ascii="Calibri" w:hAnsi="Calibri"/>
                <w:b/>
                <w:sz w:val="21"/>
                <w:szCs w:val="21"/>
              </w:rPr>
            </w:pPr>
            <w:proofErr w:type="spellStart"/>
            <w:r w:rsidRPr="00EE5714">
              <w:rPr>
                <w:rFonts w:ascii="Calibri" w:hAnsi="Calibri"/>
                <w:b/>
                <w:sz w:val="21"/>
                <w:szCs w:val="21"/>
              </w:rPr>
              <w:t>Penelec</w:t>
            </w:r>
            <w:proofErr w:type="spellEnd"/>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652A4C7B"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6.87</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2C4F0F6"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17.87</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785CE4E1"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13.86</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1EC591F0"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13.78</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1C7C63F4"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3.56</w:t>
            </w:r>
          </w:p>
        </w:tc>
        <w:tc>
          <w:tcPr>
            <w:tcW w:w="1080" w:type="dxa"/>
            <w:tcBorders>
              <w:top w:val="single" w:sz="8" w:space="0" w:color="000000"/>
              <w:left w:val="nil"/>
              <w:bottom w:val="single" w:sz="8" w:space="0" w:color="000000"/>
              <w:right w:val="single" w:sz="8" w:space="0" w:color="000000"/>
            </w:tcBorders>
            <w:vAlign w:val="center"/>
          </w:tcPr>
          <w:p w14:paraId="6B135138"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14.73</w:t>
            </w:r>
          </w:p>
        </w:tc>
        <w:tc>
          <w:tcPr>
            <w:tcW w:w="1170" w:type="dxa"/>
            <w:tcBorders>
              <w:top w:val="single" w:sz="8" w:space="0" w:color="000000"/>
              <w:left w:val="nil"/>
              <w:bottom w:val="single" w:sz="8" w:space="0" w:color="000000"/>
              <w:right w:val="single" w:sz="8" w:space="0" w:color="000000"/>
            </w:tcBorders>
            <w:vAlign w:val="center"/>
          </w:tcPr>
          <w:p w14:paraId="5F1FB96B"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10.47</w:t>
            </w:r>
          </w:p>
        </w:tc>
        <w:tc>
          <w:tcPr>
            <w:tcW w:w="990" w:type="dxa"/>
            <w:tcBorders>
              <w:top w:val="single" w:sz="8" w:space="0" w:color="000000"/>
              <w:left w:val="nil"/>
              <w:bottom w:val="single" w:sz="8" w:space="0" w:color="000000"/>
              <w:right w:val="single" w:sz="12" w:space="0" w:color="000000"/>
            </w:tcBorders>
            <w:vAlign w:val="center"/>
          </w:tcPr>
          <w:p w14:paraId="5F19233F"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10.36</w:t>
            </w:r>
          </w:p>
        </w:tc>
      </w:tr>
      <w:tr w:rsidR="00B433BE" w:rsidRPr="00EE5714" w14:paraId="6737CD83"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1C2F3BF0" w14:textId="77777777" w:rsidR="00B433BE" w:rsidRPr="00EE5714" w:rsidRDefault="00B433BE" w:rsidP="00B433BE">
            <w:pPr>
              <w:keepNext/>
              <w:keepLines/>
              <w:spacing w:after="0" w:line="240" w:lineRule="auto"/>
              <w:rPr>
                <w:rFonts w:ascii="Calibri" w:hAnsi="Calibri"/>
                <w:b/>
                <w:sz w:val="21"/>
                <w:szCs w:val="21"/>
              </w:rPr>
            </w:pPr>
            <w:r w:rsidRPr="00EE5714">
              <w:rPr>
                <w:rFonts w:ascii="Calibri" w:hAnsi="Calibri"/>
                <w:b/>
                <w:sz w:val="21"/>
                <w:szCs w:val="21"/>
              </w:rPr>
              <w:t>Penn Power</w:t>
            </w:r>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5B1B2161"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7.79</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3ADC731C"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17.62</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3638D017"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16.79</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3C93D0CE"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18.48</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0DBE4F7F"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4.88</w:t>
            </w:r>
          </w:p>
        </w:tc>
        <w:tc>
          <w:tcPr>
            <w:tcW w:w="1080" w:type="dxa"/>
            <w:tcBorders>
              <w:top w:val="single" w:sz="8" w:space="0" w:color="000000"/>
              <w:left w:val="nil"/>
              <w:bottom w:val="single" w:sz="8" w:space="0" w:color="000000"/>
              <w:right w:val="single" w:sz="8" w:space="0" w:color="000000"/>
            </w:tcBorders>
            <w:vAlign w:val="center"/>
          </w:tcPr>
          <w:p w14:paraId="58FC7AC0"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14.76</w:t>
            </w:r>
          </w:p>
        </w:tc>
        <w:tc>
          <w:tcPr>
            <w:tcW w:w="1170" w:type="dxa"/>
            <w:tcBorders>
              <w:top w:val="single" w:sz="8" w:space="0" w:color="000000"/>
              <w:left w:val="nil"/>
              <w:bottom w:val="single" w:sz="8" w:space="0" w:color="000000"/>
              <w:right w:val="single" w:sz="8" w:space="0" w:color="000000"/>
            </w:tcBorders>
            <w:vAlign w:val="center"/>
          </w:tcPr>
          <w:p w14:paraId="68FDF9C1"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13.85</w:t>
            </w:r>
          </w:p>
        </w:tc>
        <w:tc>
          <w:tcPr>
            <w:tcW w:w="990" w:type="dxa"/>
            <w:tcBorders>
              <w:top w:val="single" w:sz="8" w:space="0" w:color="000000"/>
              <w:left w:val="nil"/>
              <w:bottom w:val="single" w:sz="8" w:space="0" w:color="000000"/>
              <w:right w:val="single" w:sz="12" w:space="0" w:color="000000"/>
            </w:tcBorders>
            <w:vAlign w:val="center"/>
          </w:tcPr>
          <w:p w14:paraId="7263516E"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15.16</w:t>
            </w:r>
          </w:p>
        </w:tc>
      </w:tr>
      <w:tr w:rsidR="00B433BE" w:rsidRPr="00EE5714" w14:paraId="7D9DD8E6"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62D411CD" w14:textId="77777777" w:rsidR="00B433BE" w:rsidRPr="00EE5714" w:rsidRDefault="00B433BE" w:rsidP="00B433BE">
            <w:pPr>
              <w:keepNext/>
              <w:keepLines/>
              <w:spacing w:after="0" w:line="240" w:lineRule="auto"/>
              <w:rPr>
                <w:rFonts w:ascii="Calibri" w:hAnsi="Calibri"/>
                <w:b/>
                <w:sz w:val="21"/>
                <w:szCs w:val="21"/>
              </w:rPr>
            </w:pPr>
            <w:r w:rsidRPr="00EE5714">
              <w:rPr>
                <w:rFonts w:ascii="Calibri" w:hAnsi="Calibri"/>
                <w:b/>
                <w:sz w:val="21"/>
                <w:szCs w:val="21"/>
              </w:rPr>
              <w:t>PPL</w:t>
            </w:r>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7CBBBEEF"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22.37</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4998D261"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19.56</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06CBC150"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22.36</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51C3C705"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14.04</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5EB6E40E"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19.61</w:t>
            </w:r>
          </w:p>
        </w:tc>
        <w:tc>
          <w:tcPr>
            <w:tcW w:w="1080" w:type="dxa"/>
            <w:tcBorders>
              <w:top w:val="single" w:sz="8" w:space="0" w:color="000000"/>
              <w:left w:val="nil"/>
              <w:bottom w:val="single" w:sz="8" w:space="0" w:color="000000"/>
              <w:right w:val="single" w:sz="8" w:space="0" w:color="000000"/>
            </w:tcBorders>
            <w:vAlign w:val="center"/>
          </w:tcPr>
          <w:p w14:paraId="2957D3BD"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16.94</w:t>
            </w:r>
          </w:p>
        </w:tc>
        <w:tc>
          <w:tcPr>
            <w:tcW w:w="1170" w:type="dxa"/>
            <w:tcBorders>
              <w:top w:val="single" w:sz="8" w:space="0" w:color="000000"/>
              <w:left w:val="nil"/>
              <w:bottom w:val="single" w:sz="8" w:space="0" w:color="000000"/>
              <w:right w:val="single" w:sz="8" w:space="0" w:color="000000"/>
            </w:tcBorders>
            <w:vAlign w:val="center"/>
          </w:tcPr>
          <w:p w14:paraId="2962CDA8"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19.28</w:t>
            </w:r>
          </w:p>
        </w:tc>
        <w:tc>
          <w:tcPr>
            <w:tcW w:w="990" w:type="dxa"/>
            <w:tcBorders>
              <w:top w:val="single" w:sz="8" w:space="0" w:color="000000"/>
              <w:left w:val="nil"/>
              <w:bottom w:val="single" w:sz="8" w:space="0" w:color="000000"/>
              <w:right w:val="single" w:sz="12" w:space="0" w:color="000000"/>
            </w:tcBorders>
            <w:vAlign w:val="center"/>
          </w:tcPr>
          <w:p w14:paraId="4E787142"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11.42</w:t>
            </w:r>
          </w:p>
        </w:tc>
      </w:tr>
      <w:tr w:rsidR="00B433BE" w:rsidRPr="00EE5714" w14:paraId="41F53063" w14:textId="77777777" w:rsidTr="00463B0B">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2B96ED49" w14:textId="77777777" w:rsidR="00B433BE" w:rsidRPr="00EE5714" w:rsidRDefault="00B433BE" w:rsidP="00B433BE">
            <w:pPr>
              <w:keepNext/>
              <w:keepLines/>
              <w:spacing w:after="0" w:line="240" w:lineRule="auto"/>
              <w:rPr>
                <w:rFonts w:ascii="Calibri" w:hAnsi="Calibri"/>
                <w:b/>
                <w:sz w:val="21"/>
                <w:szCs w:val="21"/>
              </w:rPr>
            </w:pPr>
            <w:r w:rsidRPr="00EE5714">
              <w:rPr>
                <w:rFonts w:ascii="Calibri" w:hAnsi="Calibri"/>
                <w:b/>
                <w:sz w:val="21"/>
                <w:szCs w:val="21"/>
              </w:rPr>
              <w:t>West Penn</w:t>
            </w:r>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5819DB91"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5.96</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73091F8A"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15.74</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400BF77B"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14.35</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2621F763"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14.93</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001C524E"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3.19</w:t>
            </w:r>
          </w:p>
        </w:tc>
        <w:tc>
          <w:tcPr>
            <w:tcW w:w="1080" w:type="dxa"/>
            <w:tcBorders>
              <w:top w:val="single" w:sz="8" w:space="0" w:color="000000"/>
              <w:left w:val="nil"/>
              <w:bottom w:val="single" w:sz="8" w:space="0" w:color="000000"/>
              <w:right w:val="single" w:sz="8" w:space="0" w:color="000000"/>
            </w:tcBorders>
            <w:vAlign w:val="center"/>
          </w:tcPr>
          <w:p w14:paraId="598E3CCC"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13.23</w:t>
            </w:r>
          </w:p>
        </w:tc>
        <w:tc>
          <w:tcPr>
            <w:tcW w:w="1170" w:type="dxa"/>
            <w:tcBorders>
              <w:top w:val="single" w:sz="8" w:space="0" w:color="000000"/>
              <w:left w:val="nil"/>
              <w:bottom w:val="single" w:sz="8" w:space="0" w:color="000000"/>
              <w:right w:val="single" w:sz="8" w:space="0" w:color="000000"/>
            </w:tcBorders>
            <w:vAlign w:val="center"/>
          </w:tcPr>
          <w:p w14:paraId="40BF3C5F"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11.48</w:t>
            </w:r>
          </w:p>
        </w:tc>
        <w:tc>
          <w:tcPr>
            <w:tcW w:w="990" w:type="dxa"/>
            <w:tcBorders>
              <w:top w:val="single" w:sz="8" w:space="0" w:color="000000"/>
              <w:left w:val="nil"/>
              <w:bottom w:val="single" w:sz="8" w:space="0" w:color="000000"/>
              <w:right w:val="single" w:sz="12" w:space="0" w:color="000000"/>
            </w:tcBorders>
            <w:vAlign w:val="center"/>
          </w:tcPr>
          <w:p w14:paraId="037BDDB6" w14:textId="77777777" w:rsidR="00B433BE" w:rsidRPr="00EE5714" w:rsidRDefault="00B433BE" w:rsidP="00B433BE">
            <w:pPr>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12.08</w:t>
            </w:r>
          </w:p>
        </w:tc>
      </w:tr>
    </w:tbl>
    <w:p w14:paraId="764E1250" w14:textId="77777777" w:rsidR="00991EDA" w:rsidRPr="00EE5714" w:rsidRDefault="00991EDA" w:rsidP="00991EDA">
      <w:pPr>
        <w:pStyle w:val="NoSpacing"/>
        <w:rPr>
          <w:rFonts w:cs="Times New Roman"/>
          <w:szCs w:val="26"/>
        </w:rPr>
      </w:pPr>
    </w:p>
    <w:p w14:paraId="2C218ACA" w14:textId="77777777" w:rsidR="00463B0B" w:rsidRPr="00EE5714" w:rsidRDefault="00463B0B" w:rsidP="00991EDA">
      <w:pPr>
        <w:pStyle w:val="NoSpacing"/>
        <w:rPr>
          <w:rFonts w:cs="Times New Roman"/>
          <w:szCs w:val="26"/>
        </w:rPr>
      </w:pPr>
    </w:p>
    <w:p w14:paraId="1DD62773" w14:textId="77777777" w:rsidR="0084431C" w:rsidRPr="00EE5714" w:rsidRDefault="00F857A1" w:rsidP="00652F3A">
      <w:pPr>
        <w:keepNext/>
        <w:keepLines/>
        <w:spacing w:after="0" w:line="240" w:lineRule="auto"/>
        <w:rPr>
          <w:rFonts w:ascii="Times New Roman" w:hAnsi="Times New Roman" w:cs="Times New Roman"/>
          <w:b/>
          <w:sz w:val="26"/>
          <w:szCs w:val="26"/>
        </w:rPr>
      </w:pPr>
      <w:r w:rsidRPr="00EE5714">
        <w:rPr>
          <w:rFonts w:ascii="Times New Roman" w:hAnsi="Times New Roman" w:cs="Times New Roman"/>
          <w:sz w:val="26"/>
          <w:szCs w:val="26"/>
        </w:rPr>
        <w:t>Appendix 3</w:t>
      </w:r>
      <w:r w:rsidR="00A85700" w:rsidRPr="00EE5714">
        <w:rPr>
          <w:rFonts w:ascii="Times New Roman" w:hAnsi="Times New Roman" w:cs="Times New Roman"/>
          <w:sz w:val="26"/>
          <w:szCs w:val="26"/>
        </w:rPr>
        <w:t>.A.2</w:t>
      </w:r>
      <w:r w:rsidR="00DE2AC1" w:rsidRPr="00EE5714">
        <w:rPr>
          <w:rFonts w:ascii="Times New Roman" w:hAnsi="Times New Roman" w:cs="Times New Roman"/>
          <w:sz w:val="26"/>
          <w:szCs w:val="26"/>
        </w:rPr>
        <w:t>1</w:t>
      </w:r>
      <w:r w:rsidR="00A85700" w:rsidRPr="00EE5714">
        <w:rPr>
          <w:rFonts w:ascii="Times New Roman" w:hAnsi="Times New Roman" w:cs="Times New Roman"/>
          <w:sz w:val="26"/>
          <w:szCs w:val="26"/>
        </w:rPr>
        <w:t xml:space="preserve">: </w:t>
      </w:r>
      <w:r w:rsidR="0084431C" w:rsidRPr="00EE5714">
        <w:rPr>
          <w:rFonts w:ascii="Times New Roman" w:hAnsi="Times New Roman" w:cs="Times New Roman"/>
          <w:b/>
          <w:sz w:val="26"/>
          <w:szCs w:val="26"/>
        </w:rPr>
        <w:t>EDC Heating Energy Burden of CAP LIHEAP Recipients</w:t>
      </w:r>
      <w:r w:rsidR="0084431C" w:rsidRPr="00EE5714">
        <w:rPr>
          <w:rFonts w:ascii="Times New Roman" w:hAnsi="Times New Roman" w:cs="Times New Roman"/>
          <w:sz w:val="26"/>
          <w:szCs w:val="26"/>
        </w:rPr>
        <w:t xml:space="preserve"> </w:t>
      </w:r>
      <w:r w:rsidR="0084431C" w:rsidRPr="00EE5714">
        <w:rPr>
          <w:rFonts w:ascii="Times New Roman" w:hAnsi="Times New Roman" w:cs="Times New Roman"/>
          <w:b/>
          <w:sz w:val="26"/>
          <w:szCs w:val="26"/>
        </w:rPr>
        <w:t xml:space="preserve">at </w:t>
      </w:r>
    </w:p>
    <w:p w14:paraId="3BB425DE" w14:textId="77777777" w:rsidR="00A85700" w:rsidRPr="00EE5714" w:rsidRDefault="0084431C" w:rsidP="00652F3A">
      <w:pPr>
        <w:keepNext/>
        <w:keepLines/>
        <w:spacing w:after="0" w:line="240" w:lineRule="auto"/>
        <w:rPr>
          <w:rFonts w:ascii="Arial" w:hAnsi="Arial"/>
          <w:sz w:val="24"/>
        </w:rPr>
      </w:pPr>
      <w:r w:rsidRPr="00EE5714">
        <w:rPr>
          <w:rFonts w:ascii="Times New Roman" w:hAnsi="Times New Roman" w:cs="Times New Roman"/>
          <w:b/>
          <w:sz w:val="26"/>
          <w:szCs w:val="26"/>
        </w:rPr>
        <w:t>101-150% FPIG</w:t>
      </w:r>
    </w:p>
    <w:tbl>
      <w:tblPr>
        <w:tblW w:w="10080" w:type="dxa"/>
        <w:tblInd w:w="-280" w:type="dxa"/>
        <w:tblLayout w:type="fixed"/>
        <w:tblLook w:val="04A0" w:firstRow="1" w:lastRow="0" w:firstColumn="1" w:lastColumn="0" w:noHBand="0" w:noVBand="1"/>
      </w:tblPr>
      <w:tblGrid>
        <w:gridCol w:w="1440"/>
        <w:gridCol w:w="1080"/>
        <w:gridCol w:w="1080"/>
        <w:gridCol w:w="1080"/>
        <w:gridCol w:w="1080"/>
        <w:gridCol w:w="1080"/>
        <w:gridCol w:w="1080"/>
        <w:gridCol w:w="1170"/>
        <w:gridCol w:w="990"/>
      </w:tblGrid>
      <w:tr w:rsidR="00DE2AC1" w:rsidRPr="00EE5714" w14:paraId="63FC164C" w14:textId="77777777" w:rsidTr="00533AB2">
        <w:trPr>
          <w:trHeight w:hRule="exact" w:val="317"/>
        </w:trPr>
        <w:tc>
          <w:tcPr>
            <w:tcW w:w="10080" w:type="dxa"/>
            <w:gridSpan w:val="9"/>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vAlign w:val="bottom"/>
          </w:tcPr>
          <w:p w14:paraId="091D8D3E" w14:textId="77777777" w:rsidR="00DE2AC1" w:rsidRPr="00EE5714" w:rsidRDefault="00DE2AC1" w:rsidP="00533AB2">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Energy Burden of Heating CAP LIHEAP Recipients at 101-150% FPIG</w:t>
            </w:r>
          </w:p>
          <w:p w14:paraId="4DC043F6" w14:textId="77777777" w:rsidR="005D797E" w:rsidRPr="00EE5714" w:rsidRDefault="005D797E" w:rsidP="00533AB2">
            <w:pPr>
              <w:keepNext/>
              <w:keepLines/>
              <w:spacing w:after="0" w:line="240" w:lineRule="auto"/>
              <w:jc w:val="center"/>
              <w:rPr>
                <w:rFonts w:ascii="Calibri" w:eastAsia="Times New Roman" w:hAnsi="Calibri" w:cs="Calibri"/>
                <w:b/>
                <w:bCs/>
                <w:color w:val="000000"/>
              </w:rPr>
            </w:pPr>
          </w:p>
        </w:tc>
      </w:tr>
      <w:tr w:rsidR="00DE2AC1" w:rsidRPr="00EE5714" w14:paraId="4FCE16D1" w14:textId="77777777" w:rsidTr="00533AB2">
        <w:trPr>
          <w:trHeight w:hRule="exact" w:val="381"/>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vAlign w:val="bottom"/>
            <w:hideMark/>
          </w:tcPr>
          <w:p w14:paraId="58F04AF5" w14:textId="77777777" w:rsidR="00DE2AC1" w:rsidRPr="00EE5714" w:rsidRDefault="00DE2AC1" w:rsidP="00533AB2">
            <w:pPr>
              <w:keepNext/>
              <w:keepLines/>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320" w:type="dxa"/>
            <w:gridSpan w:val="4"/>
            <w:tcBorders>
              <w:top w:val="single" w:sz="12" w:space="0" w:color="000000"/>
              <w:left w:val="single" w:sz="12" w:space="0" w:color="000000"/>
              <w:bottom w:val="single" w:sz="8" w:space="0" w:color="000000"/>
              <w:right w:val="single" w:sz="12" w:space="0" w:color="000000"/>
            </w:tcBorders>
            <w:shd w:val="clear" w:color="auto" w:fill="auto"/>
            <w:noWrap/>
            <w:hideMark/>
          </w:tcPr>
          <w:p w14:paraId="157881AF" w14:textId="77777777" w:rsidR="00DE2AC1" w:rsidRPr="00EE5714" w:rsidRDefault="00DE2AC1" w:rsidP="00533AB2">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Without LIHEAP Dollars Applied  </w:t>
            </w:r>
          </w:p>
        </w:tc>
        <w:tc>
          <w:tcPr>
            <w:tcW w:w="4320" w:type="dxa"/>
            <w:gridSpan w:val="4"/>
            <w:tcBorders>
              <w:top w:val="single" w:sz="12" w:space="0" w:color="000000"/>
              <w:left w:val="single" w:sz="12" w:space="0" w:color="000000"/>
              <w:bottom w:val="single" w:sz="8" w:space="0" w:color="000000"/>
              <w:right w:val="single" w:sz="12" w:space="0" w:color="000000"/>
            </w:tcBorders>
          </w:tcPr>
          <w:p w14:paraId="4B13C089" w14:textId="77777777" w:rsidR="00DE2AC1" w:rsidRPr="00EE5714" w:rsidRDefault="00DE2AC1" w:rsidP="00533AB2">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With LIHEAP Dollars Applied</w:t>
            </w:r>
          </w:p>
        </w:tc>
      </w:tr>
      <w:tr w:rsidR="00C04096" w:rsidRPr="00EE5714" w14:paraId="2DD416F0" w14:textId="77777777" w:rsidTr="00533AB2">
        <w:trPr>
          <w:trHeight w:hRule="exact" w:val="344"/>
        </w:trPr>
        <w:tc>
          <w:tcPr>
            <w:tcW w:w="1440" w:type="dxa"/>
            <w:tcBorders>
              <w:top w:val="single" w:sz="8" w:space="0" w:color="000000"/>
              <w:left w:val="single" w:sz="8" w:space="0" w:color="000000"/>
              <w:bottom w:val="single" w:sz="8" w:space="0" w:color="000000"/>
              <w:right w:val="single" w:sz="12" w:space="0" w:color="000000"/>
            </w:tcBorders>
            <w:shd w:val="clear" w:color="auto" w:fill="auto"/>
            <w:vAlign w:val="bottom"/>
            <w:hideMark/>
          </w:tcPr>
          <w:p w14:paraId="304E41F8" w14:textId="77777777" w:rsidR="00DE2AC1" w:rsidRPr="00EE5714" w:rsidRDefault="00DE2AC1" w:rsidP="00533AB2">
            <w:pPr>
              <w:keepNext/>
              <w:keepLines/>
              <w:spacing w:after="0" w:line="240" w:lineRule="auto"/>
              <w:rPr>
                <w:rFonts w:ascii="Calibri" w:eastAsia="Times New Roman" w:hAnsi="Calibri" w:cs="Calibri"/>
                <w:color w:val="000000"/>
                <w:sz w:val="21"/>
                <w:szCs w:val="21"/>
              </w:rPr>
            </w:pPr>
          </w:p>
        </w:tc>
        <w:tc>
          <w:tcPr>
            <w:tcW w:w="1080" w:type="dxa"/>
            <w:tcBorders>
              <w:top w:val="single" w:sz="8" w:space="0" w:color="000000"/>
              <w:left w:val="single" w:sz="12" w:space="0" w:color="000000"/>
              <w:bottom w:val="single" w:sz="8" w:space="0" w:color="000000"/>
              <w:right w:val="single" w:sz="4" w:space="0" w:color="000000"/>
            </w:tcBorders>
            <w:shd w:val="clear" w:color="auto" w:fill="F2F2F2" w:themeFill="background1" w:themeFillShade="F2"/>
            <w:hideMark/>
          </w:tcPr>
          <w:p w14:paraId="45458C1A" w14:textId="77777777" w:rsidR="00C14092" w:rsidRPr="00EE5714" w:rsidRDefault="00DE2AC1" w:rsidP="00533AB2">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single" w:sz="8" w:space="0" w:color="000000"/>
              <w:left w:val="nil"/>
              <w:bottom w:val="single" w:sz="8" w:space="0" w:color="000000"/>
              <w:right w:val="single" w:sz="4" w:space="0" w:color="000000"/>
            </w:tcBorders>
            <w:shd w:val="clear" w:color="auto" w:fill="F2F2F2" w:themeFill="background1" w:themeFillShade="F2"/>
            <w:hideMark/>
          </w:tcPr>
          <w:p w14:paraId="181CA674" w14:textId="77777777" w:rsidR="00DE2AC1" w:rsidRPr="00EE5714" w:rsidRDefault="00DE2AC1" w:rsidP="00533AB2">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single" w:sz="8" w:space="0" w:color="000000"/>
              <w:left w:val="nil"/>
              <w:bottom w:val="single" w:sz="8" w:space="0" w:color="000000"/>
              <w:right w:val="single" w:sz="4" w:space="0" w:color="000000"/>
            </w:tcBorders>
            <w:shd w:val="clear" w:color="auto" w:fill="F2F2F2" w:themeFill="background1" w:themeFillShade="F2"/>
            <w:hideMark/>
          </w:tcPr>
          <w:p w14:paraId="1E2A5DED" w14:textId="77777777" w:rsidR="00DE2AC1" w:rsidRPr="00EE5714" w:rsidRDefault="00DE2AC1" w:rsidP="00533AB2">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080" w:type="dxa"/>
            <w:tcBorders>
              <w:top w:val="single" w:sz="8" w:space="0" w:color="000000"/>
              <w:left w:val="nil"/>
              <w:bottom w:val="single" w:sz="8" w:space="0" w:color="000000"/>
              <w:right w:val="single" w:sz="12" w:space="0" w:color="000000"/>
            </w:tcBorders>
            <w:shd w:val="clear" w:color="auto" w:fill="F2F2F2" w:themeFill="background1" w:themeFillShade="F2"/>
            <w:hideMark/>
          </w:tcPr>
          <w:p w14:paraId="5A61FFE6" w14:textId="77777777" w:rsidR="00DE2AC1" w:rsidRPr="00EE5714" w:rsidRDefault="00DE2AC1" w:rsidP="00533AB2">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080" w:type="dxa"/>
            <w:tcBorders>
              <w:top w:val="single" w:sz="8" w:space="0" w:color="000000"/>
              <w:left w:val="single" w:sz="12" w:space="0" w:color="000000"/>
              <w:bottom w:val="single" w:sz="8" w:space="0" w:color="000000"/>
              <w:right w:val="single" w:sz="8" w:space="0" w:color="000000"/>
            </w:tcBorders>
            <w:shd w:val="clear" w:color="auto" w:fill="F2F2F2" w:themeFill="background1" w:themeFillShade="F2"/>
          </w:tcPr>
          <w:p w14:paraId="7CA2FA3C" w14:textId="77777777" w:rsidR="00DE2AC1" w:rsidRPr="00EE5714" w:rsidRDefault="00DE2AC1" w:rsidP="00533AB2">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single" w:sz="8" w:space="0" w:color="000000"/>
              <w:left w:val="nil"/>
              <w:bottom w:val="single" w:sz="8" w:space="0" w:color="000000"/>
              <w:right w:val="single" w:sz="8" w:space="0" w:color="000000"/>
            </w:tcBorders>
            <w:shd w:val="clear" w:color="auto" w:fill="F2F2F2" w:themeFill="background1" w:themeFillShade="F2"/>
          </w:tcPr>
          <w:p w14:paraId="1366CE47" w14:textId="77777777" w:rsidR="00DE2AC1" w:rsidRPr="00EE5714" w:rsidRDefault="00DE2AC1" w:rsidP="00533AB2">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170" w:type="dxa"/>
            <w:tcBorders>
              <w:top w:val="single" w:sz="8" w:space="0" w:color="000000"/>
              <w:left w:val="nil"/>
              <w:bottom w:val="single" w:sz="8" w:space="0" w:color="000000"/>
              <w:right w:val="single" w:sz="8" w:space="0" w:color="000000"/>
            </w:tcBorders>
            <w:shd w:val="clear" w:color="auto" w:fill="F2F2F2" w:themeFill="background1" w:themeFillShade="F2"/>
          </w:tcPr>
          <w:p w14:paraId="6A0444A5" w14:textId="77777777" w:rsidR="00DE2AC1" w:rsidRPr="00EE5714" w:rsidRDefault="00DE2AC1" w:rsidP="00533AB2">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90" w:type="dxa"/>
            <w:tcBorders>
              <w:top w:val="single" w:sz="8" w:space="0" w:color="000000"/>
              <w:left w:val="nil"/>
              <w:bottom w:val="single" w:sz="8" w:space="0" w:color="000000"/>
              <w:right w:val="single" w:sz="12" w:space="0" w:color="000000"/>
            </w:tcBorders>
            <w:shd w:val="clear" w:color="auto" w:fill="F2F2F2" w:themeFill="background1" w:themeFillShade="F2"/>
          </w:tcPr>
          <w:p w14:paraId="40CA5964" w14:textId="77777777" w:rsidR="00DE2AC1" w:rsidRPr="00EE5714" w:rsidRDefault="00DE2AC1" w:rsidP="00533AB2">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DE2AC1" w:rsidRPr="00EE5714" w14:paraId="7C183A15" w14:textId="77777777" w:rsidTr="00533AB2">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3C80C536" w14:textId="77777777" w:rsidR="00DE2AC1" w:rsidRPr="00EE5714" w:rsidRDefault="00DE2AC1" w:rsidP="00533AB2">
            <w:pPr>
              <w:keepNext/>
              <w:keepLines/>
              <w:spacing w:after="0" w:line="240" w:lineRule="auto"/>
              <w:rPr>
                <w:rFonts w:ascii="Calibri" w:hAnsi="Calibri"/>
                <w:b/>
                <w:sz w:val="21"/>
                <w:szCs w:val="21"/>
              </w:rPr>
            </w:pPr>
            <w:r w:rsidRPr="00EE5714">
              <w:rPr>
                <w:rFonts w:ascii="Calibri" w:hAnsi="Calibri"/>
                <w:b/>
                <w:sz w:val="21"/>
                <w:szCs w:val="21"/>
              </w:rPr>
              <w:t>Duquesne</w:t>
            </w:r>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331A8228" w14:textId="77777777" w:rsidR="00DE2AC1" w:rsidRPr="00EE5714" w:rsidRDefault="00DE2AC1" w:rsidP="00533AB2">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8.39</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1B0014B2" w14:textId="77777777" w:rsidR="00DE2AC1" w:rsidRPr="00EE5714" w:rsidRDefault="00DE2AC1" w:rsidP="00533AB2">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8.39</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6D26B42C" w14:textId="77777777" w:rsidR="00DE2AC1" w:rsidRPr="00EE5714" w:rsidRDefault="00DE2AC1" w:rsidP="00533AB2">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8.91</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00DAEF14" w14:textId="77777777" w:rsidR="00DE2AC1" w:rsidRPr="00EE5714" w:rsidRDefault="00DE2AC1" w:rsidP="00533AB2">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7.93</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6A1285BD" w14:textId="77777777" w:rsidR="00DE2AC1" w:rsidRPr="00EE5714" w:rsidRDefault="00DE2AC1" w:rsidP="00533AB2">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6.20</w:t>
            </w:r>
          </w:p>
        </w:tc>
        <w:tc>
          <w:tcPr>
            <w:tcW w:w="1080" w:type="dxa"/>
            <w:tcBorders>
              <w:top w:val="single" w:sz="8" w:space="0" w:color="000000"/>
              <w:left w:val="nil"/>
              <w:bottom w:val="single" w:sz="8" w:space="0" w:color="000000"/>
              <w:right w:val="single" w:sz="8" w:space="0" w:color="000000"/>
            </w:tcBorders>
            <w:vAlign w:val="center"/>
          </w:tcPr>
          <w:p w14:paraId="63A19BB2" w14:textId="77777777" w:rsidR="00DE2AC1" w:rsidRPr="00EE5714" w:rsidRDefault="00DE2AC1" w:rsidP="00533AB2">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6.20</w:t>
            </w:r>
          </w:p>
        </w:tc>
        <w:tc>
          <w:tcPr>
            <w:tcW w:w="1170" w:type="dxa"/>
            <w:tcBorders>
              <w:top w:val="single" w:sz="8" w:space="0" w:color="000000"/>
              <w:left w:val="nil"/>
              <w:bottom w:val="single" w:sz="8" w:space="0" w:color="000000"/>
              <w:right w:val="single" w:sz="8" w:space="0" w:color="000000"/>
            </w:tcBorders>
            <w:vAlign w:val="center"/>
          </w:tcPr>
          <w:p w14:paraId="49DEE084" w14:textId="77777777" w:rsidR="00DE2AC1" w:rsidRPr="00EE5714" w:rsidRDefault="00DE2AC1" w:rsidP="00533AB2">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7.14</w:t>
            </w:r>
          </w:p>
        </w:tc>
        <w:tc>
          <w:tcPr>
            <w:tcW w:w="990" w:type="dxa"/>
            <w:tcBorders>
              <w:top w:val="single" w:sz="8" w:space="0" w:color="000000"/>
              <w:left w:val="nil"/>
              <w:bottom w:val="single" w:sz="8" w:space="0" w:color="000000"/>
              <w:right w:val="single" w:sz="12" w:space="0" w:color="000000"/>
            </w:tcBorders>
            <w:vAlign w:val="center"/>
          </w:tcPr>
          <w:p w14:paraId="06581487" w14:textId="77777777" w:rsidR="00DE2AC1" w:rsidRPr="00EE5714" w:rsidRDefault="00DE2AC1" w:rsidP="00533AB2">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5.54</w:t>
            </w:r>
          </w:p>
        </w:tc>
      </w:tr>
      <w:tr w:rsidR="00DE2AC1" w:rsidRPr="00EE5714" w14:paraId="5247A5FC" w14:textId="77777777" w:rsidTr="00533AB2">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48793CED" w14:textId="77777777" w:rsidR="00DE2AC1" w:rsidRPr="00EE5714" w:rsidRDefault="00DE2AC1">
            <w:pPr>
              <w:keepNext/>
              <w:keepLines/>
              <w:spacing w:after="0" w:line="240" w:lineRule="auto"/>
              <w:rPr>
                <w:rFonts w:ascii="Calibri" w:hAnsi="Calibri"/>
                <w:b/>
                <w:sz w:val="21"/>
                <w:szCs w:val="21"/>
              </w:rPr>
            </w:pPr>
            <w:r w:rsidRPr="00EE5714">
              <w:rPr>
                <w:rFonts w:ascii="Calibri" w:hAnsi="Calibri"/>
                <w:b/>
                <w:sz w:val="21"/>
                <w:szCs w:val="21"/>
              </w:rPr>
              <w:t>Met-Ed</w:t>
            </w:r>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6E232F54"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4.41</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56DBA48C"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9.61</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43447297"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7.77</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33ECDBA1"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8.37</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20B281FD"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3.17</w:t>
            </w:r>
          </w:p>
        </w:tc>
        <w:tc>
          <w:tcPr>
            <w:tcW w:w="1080" w:type="dxa"/>
            <w:tcBorders>
              <w:top w:val="single" w:sz="8" w:space="0" w:color="000000"/>
              <w:left w:val="nil"/>
              <w:bottom w:val="single" w:sz="8" w:space="0" w:color="000000"/>
              <w:right w:val="single" w:sz="8" w:space="0" w:color="000000"/>
            </w:tcBorders>
            <w:vAlign w:val="center"/>
          </w:tcPr>
          <w:p w14:paraId="7B3179DC"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8.14</w:t>
            </w:r>
          </w:p>
        </w:tc>
        <w:tc>
          <w:tcPr>
            <w:tcW w:w="1170" w:type="dxa"/>
            <w:tcBorders>
              <w:top w:val="single" w:sz="8" w:space="0" w:color="000000"/>
              <w:left w:val="nil"/>
              <w:bottom w:val="single" w:sz="8" w:space="0" w:color="000000"/>
              <w:right w:val="single" w:sz="8" w:space="0" w:color="000000"/>
            </w:tcBorders>
            <w:vAlign w:val="center"/>
          </w:tcPr>
          <w:p w14:paraId="341CDA8B"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6.20</w:t>
            </w:r>
          </w:p>
        </w:tc>
        <w:tc>
          <w:tcPr>
            <w:tcW w:w="990" w:type="dxa"/>
            <w:tcBorders>
              <w:top w:val="single" w:sz="8" w:space="0" w:color="000000"/>
              <w:left w:val="nil"/>
              <w:bottom w:val="single" w:sz="8" w:space="0" w:color="000000"/>
              <w:right w:val="single" w:sz="12" w:space="0" w:color="000000"/>
            </w:tcBorders>
            <w:vAlign w:val="center"/>
          </w:tcPr>
          <w:p w14:paraId="51F8D672"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6.94</w:t>
            </w:r>
          </w:p>
        </w:tc>
      </w:tr>
      <w:tr w:rsidR="00DE2AC1" w:rsidRPr="00EE5714" w14:paraId="1C73DE88" w14:textId="77777777" w:rsidTr="00533AB2">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21B794D5" w14:textId="77777777" w:rsidR="00DE2AC1" w:rsidRPr="00EE5714" w:rsidRDefault="00DE2AC1">
            <w:pPr>
              <w:keepNext/>
              <w:keepLines/>
              <w:spacing w:after="0" w:line="240" w:lineRule="auto"/>
              <w:rPr>
                <w:rFonts w:ascii="Calibri" w:hAnsi="Calibri"/>
                <w:b/>
                <w:sz w:val="21"/>
                <w:szCs w:val="21"/>
              </w:rPr>
            </w:pPr>
            <w:r w:rsidRPr="00EE5714">
              <w:rPr>
                <w:rFonts w:ascii="Calibri" w:hAnsi="Calibri"/>
                <w:b/>
                <w:sz w:val="21"/>
                <w:szCs w:val="21"/>
              </w:rPr>
              <w:t>PECO Electric</w:t>
            </w:r>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1AD57284"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7.59</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09970234"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7.48</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013C4CFA"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7.07</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0161BC43"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6.61</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1D7FF49D"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6.13</w:t>
            </w:r>
          </w:p>
        </w:tc>
        <w:tc>
          <w:tcPr>
            <w:tcW w:w="1080" w:type="dxa"/>
            <w:tcBorders>
              <w:top w:val="single" w:sz="8" w:space="0" w:color="000000"/>
              <w:left w:val="nil"/>
              <w:bottom w:val="single" w:sz="8" w:space="0" w:color="000000"/>
              <w:right w:val="single" w:sz="8" w:space="0" w:color="000000"/>
            </w:tcBorders>
            <w:vAlign w:val="center"/>
          </w:tcPr>
          <w:p w14:paraId="50D7F8B2"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6.25</w:t>
            </w:r>
          </w:p>
        </w:tc>
        <w:tc>
          <w:tcPr>
            <w:tcW w:w="1170" w:type="dxa"/>
            <w:tcBorders>
              <w:top w:val="single" w:sz="8" w:space="0" w:color="000000"/>
              <w:left w:val="nil"/>
              <w:bottom w:val="single" w:sz="8" w:space="0" w:color="000000"/>
              <w:right w:val="single" w:sz="8" w:space="0" w:color="000000"/>
            </w:tcBorders>
            <w:vAlign w:val="center"/>
          </w:tcPr>
          <w:p w14:paraId="086CA510"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5.58</w:t>
            </w:r>
          </w:p>
        </w:tc>
        <w:tc>
          <w:tcPr>
            <w:tcW w:w="990" w:type="dxa"/>
            <w:tcBorders>
              <w:top w:val="single" w:sz="8" w:space="0" w:color="000000"/>
              <w:left w:val="nil"/>
              <w:bottom w:val="single" w:sz="8" w:space="0" w:color="000000"/>
              <w:right w:val="single" w:sz="12" w:space="0" w:color="000000"/>
            </w:tcBorders>
            <w:vAlign w:val="center"/>
          </w:tcPr>
          <w:p w14:paraId="4B051142"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4.95</w:t>
            </w:r>
          </w:p>
        </w:tc>
      </w:tr>
      <w:tr w:rsidR="00DE2AC1" w:rsidRPr="00EE5714" w14:paraId="4645F8B4" w14:textId="77777777" w:rsidTr="00533AB2">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242CBACF" w14:textId="77777777" w:rsidR="00DE2AC1" w:rsidRPr="00EE5714" w:rsidRDefault="00DE2AC1">
            <w:pPr>
              <w:keepNext/>
              <w:keepLines/>
              <w:spacing w:after="0" w:line="240" w:lineRule="auto"/>
              <w:rPr>
                <w:rFonts w:ascii="Calibri" w:hAnsi="Calibri"/>
                <w:b/>
                <w:sz w:val="21"/>
                <w:szCs w:val="21"/>
              </w:rPr>
            </w:pPr>
            <w:proofErr w:type="spellStart"/>
            <w:r w:rsidRPr="00EE5714">
              <w:rPr>
                <w:rFonts w:ascii="Calibri" w:hAnsi="Calibri"/>
                <w:b/>
                <w:sz w:val="21"/>
                <w:szCs w:val="21"/>
              </w:rPr>
              <w:t>Penelec</w:t>
            </w:r>
            <w:proofErr w:type="spellEnd"/>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630761E7"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4.63</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D43B86E"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12.17</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1A0721D0"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10.76</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1EA8F7D7"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10.11</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5338AD53"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3.31</w:t>
            </w:r>
          </w:p>
        </w:tc>
        <w:tc>
          <w:tcPr>
            <w:tcW w:w="1080" w:type="dxa"/>
            <w:tcBorders>
              <w:top w:val="single" w:sz="8" w:space="0" w:color="000000"/>
              <w:left w:val="nil"/>
              <w:bottom w:val="single" w:sz="8" w:space="0" w:color="000000"/>
              <w:right w:val="single" w:sz="8" w:space="0" w:color="000000"/>
            </w:tcBorders>
            <w:vAlign w:val="center"/>
          </w:tcPr>
          <w:p w14:paraId="405E2829"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10.96</w:t>
            </w:r>
          </w:p>
        </w:tc>
        <w:tc>
          <w:tcPr>
            <w:tcW w:w="1170" w:type="dxa"/>
            <w:tcBorders>
              <w:top w:val="single" w:sz="8" w:space="0" w:color="000000"/>
              <w:left w:val="nil"/>
              <w:bottom w:val="single" w:sz="8" w:space="0" w:color="000000"/>
              <w:right w:val="single" w:sz="8" w:space="0" w:color="000000"/>
            </w:tcBorders>
            <w:vAlign w:val="center"/>
          </w:tcPr>
          <w:p w14:paraId="77379305"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9.33</w:t>
            </w:r>
          </w:p>
        </w:tc>
        <w:tc>
          <w:tcPr>
            <w:tcW w:w="990" w:type="dxa"/>
            <w:tcBorders>
              <w:top w:val="single" w:sz="8" w:space="0" w:color="000000"/>
              <w:left w:val="nil"/>
              <w:bottom w:val="single" w:sz="8" w:space="0" w:color="000000"/>
              <w:right w:val="single" w:sz="12" w:space="0" w:color="000000"/>
            </w:tcBorders>
            <w:vAlign w:val="center"/>
          </w:tcPr>
          <w:p w14:paraId="2A1016C3"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8.34</w:t>
            </w:r>
          </w:p>
        </w:tc>
      </w:tr>
      <w:tr w:rsidR="00DE2AC1" w:rsidRPr="00EE5714" w14:paraId="7A560A3C" w14:textId="77777777" w:rsidTr="00533AB2">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0562DE45" w14:textId="77777777" w:rsidR="00DE2AC1" w:rsidRPr="00EE5714" w:rsidRDefault="00DE2AC1">
            <w:pPr>
              <w:keepNext/>
              <w:keepLines/>
              <w:spacing w:after="0" w:line="240" w:lineRule="auto"/>
              <w:rPr>
                <w:rFonts w:ascii="Calibri" w:hAnsi="Calibri"/>
                <w:b/>
                <w:sz w:val="21"/>
                <w:szCs w:val="21"/>
              </w:rPr>
            </w:pPr>
            <w:r w:rsidRPr="00EE5714">
              <w:rPr>
                <w:rFonts w:ascii="Calibri" w:hAnsi="Calibri"/>
                <w:b/>
                <w:sz w:val="21"/>
                <w:szCs w:val="21"/>
              </w:rPr>
              <w:t>Penn Power</w:t>
            </w:r>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3CF5BE7B"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5.20</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3A993E1D"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12.12</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3F0B8AD"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11.31</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64E98C07"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12.45</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6EADD7CF"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3.91</w:t>
            </w:r>
          </w:p>
        </w:tc>
        <w:tc>
          <w:tcPr>
            <w:tcW w:w="1080" w:type="dxa"/>
            <w:tcBorders>
              <w:top w:val="single" w:sz="8" w:space="0" w:color="000000"/>
              <w:left w:val="nil"/>
              <w:bottom w:val="single" w:sz="8" w:space="0" w:color="000000"/>
              <w:right w:val="single" w:sz="8" w:space="0" w:color="000000"/>
            </w:tcBorders>
            <w:vAlign w:val="center"/>
          </w:tcPr>
          <w:p w14:paraId="1E3D164A"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10.85</w:t>
            </w:r>
          </w:p>
        </w:tc>
        <w:tc>
          <w:tcPr>
            <w:tcW w:w="1170" w:type="dxa"/>
            <w:tcBorders>
              <w:top w:val="single" w:sz="8" w:space="0" w:color="000000"/>
              <w:left w:val="nil"/>
              <w:bottom w:val="single" w:sz="8" w:space="0" w:color="000000"/>
              <w:right w:val="single" w:sz="8" w:space="0" w:color="000000"/>
            </w:tcBorders>
            <w:vAlign w:val="center"/>
          </w:tcPr>
          <w:p w14:paraId="288CD28D"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9.88</w:t>
            </w:r>
          </w:p>
        </w:tc>
        <w:tc>
          <w:tcPr>
            <w:tcW w:w="990" w:type="dxa"/>
            <w:tcBorders>
              <w:top w:val="single" w:sz="8" w:space="0" w:color="000000"/>
              <w:left w:val="nil"/>
              <w:bottom w:val="single" w:sz="8" w:space="0" w:color="000000"/>
              <w:right w:val="single" w:sz="12" w:space="0" w:color="000000"/>
            </w:tcBorders>
            <w:vAlign w:val="center"/>
          </w:tcPr>
          <w:p w14:paraId="3D763182"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10.71</w:t>
            </w:r>
          </w:p>
        </w:tc>
      </w:tr>
      <w:tr w:rsidR="00DE2AC1" w:rsidRPr="00EE5714" w14:paraId="582C8A82" w14:textId="77777777" w:rsidTr="00533AB2">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51D3A0F9" w14:textId="77777777" w:rsidR="00DE2AC1" w:rsidRPr="00EE5714" w:rsidRDefault="00DE2AC1">
            <w:pPr>
              <w:keepNext/>
              <w:keepLines/>
              <w:spacing w:after="0" w:line="240" w:lineRule="auto"/>
              <w:rPr>
                <w:rFonts w:ascii="Calibri" w:hAnsi="Calibri"/>
                <w:b/>
                <w:sz w:val="21"/>
                <w:szCs w:val="21"/>
              </w:rPr>
            </w:pPr>
            <w:r w:rsidRPr="00EE5714">
              <w:rPr>
                <w:rFonts w:ascii="Calibri" w:hAnsi="Calibri"/>
                <w:b/>
                <w:sz w:val="21"/>
                <w:szCs w:val="21"/>
              </w:rPr>
              <w:t>PPL</w:t>
            </w:r>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3ED34FFE"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12.05</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4BB08D74"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14.27</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4F2F6E3C"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14.15</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69A4DE7E"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9.00</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74F87AC9"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10.35</w:t>
            </w:r>
          </w:p>
        </w:tc>
        <w:tc>
          <w:tcPr>
            <w:tcW w:w="1080" w:type="dxa"/>
            <w:tcBorders>
              <w:top w:val="single" w:sz="8" w:space="0" w:color="000000"/>
              <w:left w:val="nil"/>
              <w:bottom w:val="single" w:sz="8" w:space="0" w:color="000000"/>
              <w:right w:val="single" w:sz="8" w:space="0" w:color="000000"/>
            </w:tcBorders>
            <w:vAlign w:val="center"/>
          </w:tcPr>
          <w:p w14:paraId="7B8B6A40"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12.63</w:t>
            </w:r>
          </w:p>
        </w:tc>
        <w:tc>
          <w:tcPr>
            <w:tcW w:w="1170" w:type="dxa"/>
            <w:tcBorders>
              <w:top w:val="single" w:sz="8" w:space="0" w:color="000000"/>
              <w:left w:val="nil"/>
              <w:bottom w:val="single" w:sz="8" w:space="0" w:color="000000"/>
              <w:right w:val="single" w:sz="8" w:space="0" w:color="000000"/>
            </w:tcBorders>
            <w:vAlign w:val="center"/>
          </w:tcPr>
          <w:p w14:paraId="2E78158F"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12.25</w:t>
            </w:r>
          </w:p>
        </w:tc>
        <w:tc>
          <w:tcPr>
            <w:tcW w:w="990" w:type="dxa"/>
            <w:tcBorders>
              <w:top w:val="single" w:sz="8" w:space="0" w:color="000000"/>
              <w:left w:val="nil"/>
              <w:bottom w:val="single" w:sz="8" w:space="0" w:color="000000"/>
              <w:right w:val="single" w:sz="12" w:space="0" w:color="000000"/>
            </w:tcBorders>
            <w:vAlign w:val="center"/>
          </w:tcPr>
          <w:p w14:paraId="4FDFCF9D"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7.37</w:t>
            </w:r>
          </w:p>
        </w:tc>
      </w:tr>
      <w:tr w:rsidR="00DE2AC1" w:rsidRPr="00EE5714" w14:paraId="20372773" w14:textId="77777777" w:rsidTr="00533AB2">
        <w:trPr>
          <w:trHeight w:hRule="exact" w:val="245"/>
        </w:trPr>
        <w:tc>
          <w:tcPr>
            <w:tcW w:w="1440" w:type="dxa"/>
            <w:tcBorders>
              <w:top w:val="single" w:sz="8" w:space="0" w:color="000000"/>
              <w:left w:val="single" w:sz="8" w:space="0" w:color="000000"/>
              <w:bottom w:val="single" w:sz="8" w:space="0" w:color="000000"/>
              <w:right w:val="single" w:sz="12" w:space="0" w:color="000000"/>
            </w:tcBorders>
            <w:shd w:val="clear" w:color="auto" w:fill="auto"/>
            <w:noWrap/>
          </w:tcPr>
          <w:p w14:paraId="3FCA7A37" w14:textId="77777777" w:rsidR="00DE2AC1" w:rsidRPr="00EE5714" w:rsidRDefault="00DE2AC1">
            <w:pPr>
              <w:keepNext/>
              <w:keepLines/>
              <w:spacing w:after="0" w:line="240" w:lineRule="auto"/>
              <w:rPr>
                <w:rFonts w:ascii="Calibri" w:hAnsi="Calibri"/>
                <w:b/>
                <w:sz w:val="21"/>
                <w:szCs w:val="21"/>
              </w:rPr>
            </w:pPr>
            <w:r w:rsidRPr="00EE5714">
              <w:rPr>
                <w:rFonts w:ascii="Calibri" w:hAnsi="Calibri"/>
                <w:b/>
                <w:sz w:val="21"/>
                <w:szCs w:val="21"/>
              </w:rPr>
              <w:t>West Penn</w:t>
            </w:r>
          </w:p>
        </w:tc>
        <w:tc>
          <w:tcPr>
            <w:tcW w:w="1080" w:type="dxa"/>
            <w:tcBorders>
              <w:top w:val="single" w:sz="8" w:space="0" w:color="000000"/>
              <w:left w:val="single" w:sz="12" w:space="0" w:color="000000"/>
              <w:bottom w:val="single" w:sz="8" w:space="0" w:color="000000"/>
              <w:right w:val="single" w:sz="4" w:space="0" w:color="000000"/>
            </w:tcBorders>
            <w:shd w:val="clear" w:color="auto" w:fill="auto"/>
            <w:noWrap/>
            <w:vAlign w:val="center"/>
          </w:tcPr>
          <w:p w14:paraId="55BF536A"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3.90</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27EFF5A2"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10.49</w:t>
            </w:r>
          </w:p>
        </w:tc>
        <w:tc>
          <w:tcPr>
            <w:tcW w:w="1080" w:type="dxa"/>
            <w:tcBorders>
              <w:top w:val="single" w:sz="8" w:space="0" w:color="000000"/>
              <w:left w:val="nil"/>
              <w:bottom w:val="single" w:sz="8" w:space="0" w:color="000000"/>
              <w:right w:val="single" w:sz="4" w:space="0" w:color="000000"/>
            </w:tcBorders>
            <w:shd w:val="clear" w:color="auto" w:fill="auto"/>
            <w:noWrap/>
            <w:vAlign w:val="center"/>
          </w:tcPr>
          <w:p w14:paraId="3BAEFF73"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9.45</w:t>
            </w:r>
          </w:p>
        </w:tc>
        <w:tc>
          <w:tcPr>
            <w:tcW w:w="1080" w:type="dxa"/>
            <w:tcBorders>
              <w:top w:val="single" w:sz="8" w:space="0" w:color="000000"/>
              <w:left w:val="nil"/>
              <w:bottom w:val="single" w:sz="8" w:space="0" w:color="000000"/>
              <w:right w:val="single" w:sz="12" w:space="0" w:color="000000"/>
            </w:tcBorders>
            <w:shd w:val="clear" w:color="auto" w:fill="auto"/>
            <w:noWrap/>
            <w:vAlign w:val="center"/>
          </w:tcPr>
          <w:p w14:paraId="438AB013"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9.97</w:t>
            </w:r>
          </w:p>
        </w:tc>
        <w:tc>
          <w:tcPr>
            <w:tcW w:w="108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3A91A5D0"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2.56</w:t>
            </w:r>
          </w:p>
        </w:tc>
        <w:tc>
          <w:tcPr>
            <w:tcW w:w="1080" w:type="dxa"/>
            <w:tcBorders>
              <w:top w:val="single" w:sz="8" w:space="0" w:color="000000"/>
              <w:left w:val="nil"/>
              <w:bottom w:val="single" w:sz="8" w:space="0" w:color="000000"/>
              <w:right w:val="single" w:sz="8" w:space="0" w:color="000000"/>
            </w:tcBorders>
            <w:vAlign w:val="center"/>
          </w:tcPr>
          <w:p w14:paraId="0092FF66"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9.20</w:t>
            </w:r>
          </w:p>
        </w:tc>
        <w:tc>
          <w:tcPr>
            <w:tcW w:w="1170" w:type="dxa"/>
            <w:tcBorders>
              <w:top w:val="single" w:sz="8" w:space="0" w:color="000000"/>
              <w:left w:val="nil"/>
              <w:bottom w:val="single" w:sz="8" w:space="0" w:color="000000"/>
              <w:right w:val="single" w:sz="8" w:space="0" w:color="000000"/>
            </w:tcBorders>
            <w:vAlign w:val="center"/>
          </w:tcPr>
          <w:p w14:paraId="225C8F93"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8.20</w:t>
            </w:r>
          </w:p>
        </w:tc>
        <w:tc>
          <w:tcPr>
            <w:tcW w:w="990" w:type="dxa"/>
            <w:tcBorders>
              <w:top w:val="single" w:sz="8" w:space="0" w:color="000000"/>
              <w:left w:val="nil"/>
              <w:bottom w:val="single" w:sz="8" w:space="0" w:color="000000"/>
              <w:right w:val="single" w:sz="12" w:space="0" w:color="000000"/>
            </w:tcBorders>
            <w:vAlign w:val="center"/>
          </w:tcPr>
          <w:p w14:paraId="53FCB1A0" w14:textId="77777777" w:rsidR="00DE2AC1" w:rsidRPr="00EE5714" w:rsidRDefault="00DE2AC1" w:rsidP="00652F3A">
            <w:pPr>
              <w:keepNext/>
              <w:keepLines/>
              <w:spacing w:after="0" w:line="240" w:lineRule="auto"/>
              <w:jc w:val="center"/>
              <w:rPr>
                <w:rFonts w:ascii="Calibri" w:eastAsia="Times New Roman" w:hAnsi="Calibri" w:cs="Times New Roman"/>
                <w:color w:val="000000"/>
                <w:sz w:val="21"/>
                <w:szCs w:val="21"/>
              </w:rPr>
            </w:pPr>
            <w:r w:rsidRPr="00EE5714">
              <w:rPr>
                <w:rFonts w:ascii="Calibri" w:eastAsia="Times New Roman" w:hAnsi="Calibri" w:cs="Times New Roman"/>
                <w:color w:val="000000"/>
                <w:sz w:val="21"/>
                <w:szCs w:val="21"/>
              </w:rPr>
              <w:t>8.41</w:t>
            </w:r>
          </w:p>
        </w:tc>
      </w:tr>
    </w:tbl>
    <w:p w14:paraId="7EF11A2D" w14:textId="77777777" w:rsidR="001B0D41" w:rsidRPr="00EE5714" w:rsidRDefault="001B0D41" w:rsidP="00533AB2">
      <w:pPr>
        <w:pStyle w:val="NoSpacing"/>
        <w:rPr>
          <w:rFonts w:cs="Times New Roman"/>
          <w:szCs w:val="26"/>
        </w:rPr>
      </w:pPr>
    </w:p>
    <w:p w14:paraId="0286216B" w14:textId="77777777" w:rsidR="00A85700" w:rsidRPr="00EE5714" w:rsidRDefault="00A85700" w:rsidP="00533AB2">
      <w:pPr>
        <w:pStyle w:val="NoSpacing"/>
        <w:rPr>
          <w:rFonts w:cs="Times New Roman"/>
          <w:szCs w:val="26"/>
        </w:rPr>
      </w:pPr>
    </w:p>
    <w:p w14:paraId="6EBCBD17" w14:textId="77777777" w:rsidR="00F303E0" w:rsidRPr="00EE5714" w:rsidRDefault="00F857A1" w:rsidP="00533AB2">
      <w:pPr>
        <w:pStyle w:val="NoSpacing"/>
        <w:keepNext/>
        <w:rPr>
          <w:rFonts w:cs="Times New Roman"/>
          <w:szCs w:val="26"/>
        </w:rPr>
      </w:pPr>
      <w:r w:rsidRPr="00EE5714">
        <w:rPr>
          <w:rFonts w:cs="Times New Roman"/>
          <w:szCs w:val="26"/>
        </w:rPr>
        <w:t>Appendix 3</w:t>
      </w:r>
      <w:r w:rsidR="00F303E0" w:rsidRPr="00EE5714">
        <w:rPr>
          <w:rFonts w:cs="Times New Roman"/>
          <w:szCs w:val="26"/>
        </w:rPr>
        <w:t>.A.</w:t>
      </w:r>
      <w:r w:rsidR="00861387" w:rsidRPr="00EE5714">
        <w:rPr>
          <w:rFonts w:cs="Times New Roman"/>
          <w:szCs w:val="26"/>
        </w:rPr>
        <w:t>22</w:t>
      </w:r>
      <w:r w:rsidR="00F303E0" w:rsidRPr="00EE5714">
        <w:rPr>
          <w:rFonts w:cs="Times New Roman"/>
          <w:szCs w:val="26"/>
        </w:rPr>
        <w:t xml:space="preserve">: </w:t>
      </w:r>
      <w:r w:rsidR="00F303E0" w:rsidRPr="00EE5714">
        <w:rPr>
          <w:rFonts w:eastAsia="Times New Roman" w:cs="Times New Roman"/>
          <w:b/>
          <w:bCs/>
          <w:color w:val="000000"/>
          <w:szCs w:val="26"/>
        </w:rPr>
        <w:t>EDC Heating LIHEAP Recipients at 0-50% FPIG</w:t>
      </w:r>
    </w:p>
    <w:tbl>
      <w:tblPr>
        <w:tblW w:w="10080" w:type="dxa"/>
        <w:tblInd w:w="-280" w:type="dxa"/>
        <w:tblLayout w:type="fixed"/>
        <w:tblCellMar>
          <w:left w:w="115" w:type="dxa"/>
          <w:right w:w="115" w:type="dxa"/>
        </w:tblCellMar>
        <w:tblLook w:val="04A0" w:firstRow="1" w:lastRow="0" w:firstColumn="1" w:lastColumn="0" w:noHBand="0" w:noVBand="1"/>
      </w:tblPr>
      <w:tblGrid>
        <w:gridCol w:w="1440"/>
        <w:gridCol w:w="1080"/>
        <w:gridCol w:w="1080"/>
        <w:gridCol w:w="1080"/>
        <w:gridCol w:w="1080"/>
        <w:gridCol w:w="1080"/>
        <w:gridCol w:w="1080"/>
        <w:gridCol w:w="1170"/>
        <w:gridCol w:w="990"/>
      </w:tblGrid>
      <w:tr w:rsidR="00F303E0" w:rsidRPr="00EE5714" w14:paraId="2D008E5E" w14:textId="77777777" w:rsidTr="00533AB2">
        <w:trPr>
          <w:trHeight w:val="300"/>
        </w:trPr>
        <w:tc>
          <w:tcPr>
            <w:tcW w:w="10080" w:type="dxa"/>
            <w:gridSpan w:val="9"/>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59AF168A" w14:textId="77777777" w:rsidR="00F303E0" w:rsidRPr="00EE5714" w:rsidRDefault="00F303E0" w:rsidP="00533AB2">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Heating LIHEAP Recipients at 0-50% FPIG</w:t>
            </w:r>
          </w:p>
        </w:tc>
      </w:tr>
      <w:tr w:rsidR="00F303E0" w:rsidRPr="00EE5714" w14:paraId="0DA71750" w14:textId="77777777" w:rsidTr="00533AB2">
        <w:trPr>
          <w:trHeight w:val="300"/>
        </w:trPr>
        <w:tc>
          <w:tcPr>
            <w:tcW w:w="144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096264A6" w14:textId="77777777" w:rsidR="00F303E0" w:rsidRPr="00EE5714" w:rsidRDefault="00F303E0" w:rsidP="00533AB2">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320" w:type="dxa"/>
            <w:gridSpan w:val="4"/>
            <w:tcBorders>
              <w:top w:val="single" w:sz="12" w:space="0" w:color="000000"/>
              <w:left w:val="single" w:sz="12" w:space="0" w:color="000000"/>
              <w:bottom w:val="single" w:sz="4" w:space="0" w:color="000000"/>
              <w:right w:val="single" w:sz="12" w:space="0" w:color="000000"/>
            </w:tcBorders>
            <w:shd w:val="clear" w:color="auto" w:fill="auto"/>
            <w:noWrap/>
            <w:vAlign w:val="bottom"/>
            <w:hideMark/>
          </w:tcPr>
          <w:p w14:paraId="1EBBE622" w14:textId="77777777" w:rsidR="00F303E0" w:rsidRPr="00EE5714" w:rsidRDefault="00F303E0" w:rsidP="00533AB2">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Average CAP Bill</w:t>
            </w:r>
          </w:p>
        </w:tc>
        <w:tc>
          <w:tcPr>
            <w:tcW w:w="4320" w:type="dxa"/>
            <w:gridSpan w:val="4"/>
            <w:tcBorders>
              <w:top w:val="single" w:sz="12" w:space="0" w:color="000000"/>
              <w:left w:val="single" w:sz="12" w:space="0" w:color="000000"/>
              <w:bottom w:val="single" w:sz="4" w:space="0" w:color="000000"/>
              <w:right w:val="single" w:sz="12" w:space="0" w:color="000000"/>
            </w:tcBorders>
            <w:vAlign w:val="bottom"/>
          </w:tcPr>
          <w:p w14:paraId="2978782D" w14:textId="77777777" w:rsidR="00F303E0" w:rsidRPr="00EE5714" w:rsidRDefault="00F303E0" w:rsidP="00533AB2">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Average LIHEAP Dollars Applied</w:t>
            </w:r>
          </w:p>
        </w:tc>
      </w:tr>
      <w:tr w:rsidR="00C04096" w:rsidRPr="00EE5714" w14:paraId="424E722B" w14:textId="77777777" w:rsidTr="00C04096">
        <w:trPr>
          <w:trHeight w:val="274"/>
        </w:trPr>
        <w:tc>
          <w:tcPr>
            <w:tcW w:w="1440" w:type="dxa"/>
            <w:tcBorders>
              <w:top w:val="nil"/>
              <w:left w:val="single" w:sz="8" w:space="0" w:color="000000"/>
              <w:bottom w:val="single" w:sz="4" w:space="0" w:color="000000"/>
              <w:right w:val="single" w:sz="12" w:space="0" w:color="000000"/>
            </w:tcBorders>
            <w:shd w:val="clear" w:color="auto" w:fill="auto"/>
            <w:noWrap/>
            <w:vAlign w:val="bottom"/>
            <w:hideMark/>
          </w:tcPr>
          <w:p w14:paraId="5E361E0B" w14:textId="77777777" w:rsidR="00F303E0" w:rsidRPr="00EE5714" w:rsidRDefault="00F303E0" w:rsidP="00533AB2">
            <w:pPr>
              <w:keepNext/>
              <w:spacing w:after="0" w:line="240" w:lineRule="auto"/>
              <w:rPr>
                <w:rFonts w:ascii="Calibri" w:eastAsia="Times New Roman" w:hAnsi="Calibri" w:cs="Calibri"/>
                <w:color w:val="000000"/>
                <w:sz w:val="21"/>
                <w:szCs w:val="21"/>
              </w:rPr>
            </w:pPr>
          </w:p>
        </w:tc>
        <w:tc>
          <w:tcPr>
            <w:tcW w:w="108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5D2B7EDC"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8AEA938"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F9EA762"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080" w:type="dxa"/>
            <w:tcBorders>
              <w:top w:val="nil"/>
              <w:left w:val="nil"/>
              <w:bottom w:val="single" w:sz="4" w:space="0" w:color="000000"/>
              <w:right w:val="single" w:sz="12" w:space="0" w:color="000000"/>
            </w:tcBorders>
            <w:shd w:val="clear" w:color="auto" w:fill="F2F2F2" w:themeFill="background1" w:themeFillShade="F2"/>
            <w:noWrap/>
            <w:vAlign w:val="bottom"/>
            <w:hideMark/>
          </w:tcPr>
          <w:p w14:paraId="54880C81"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080" w:type="dxa"/>
            <w:tcBorders>
              <w:top w:val="nil"/>
              <w:left w:val="single" w:sz="12" w:space="0" w:color="000000"/>
              <w:bottom w:val="single" w:sz="4" w:space="0" w:color="000000"/>
              <w:right w:val="single" w:sz="8" w:space="0" w:color="000000"/>
            </w:tcBorders>
            <w:shd w:val="clear" w:color="auto" w:fill="F2F2F2" w:themeFill="background1" w:themeFillShade="F2"/>
            <w:vAlign w:val="bottom"/>
          </w:tcPr>
          <w:p w14:paraId="025489A8"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nil"/>
              <w:left w:val="nil"/>
              <w:bottom w:val="single" w:sz="4" w:space="0" w:color="000000"/>
              <w:right w:val="single" w:sz="8" w:space="0" w:color="000000"/>
            </w:tcBorders>
            <w:shd w:val="clear" w:color="auto" w:fill="F2F2F2" w:themeFill="background1" w:themeFillShade="F2"/>
            <w:vAlign w:val="bottom"/>
          </w:tcPr>
          <w:p w14:paraId="0031AEE1"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170" w:type="dxa"/>
            <w:tcBorders>
              <w:top w:val="nil"/>
              <w:left w:val="nil"/>
              <w:bottom w:val="single" w:sz="4" w:space="0" w:color="000000"/>
              <w:right w:val="single" w:sz="8" w:space="0" w:color="000000"/>
            </w:tcBorders>
            <w:shd w:val="clear" w:color="auto" w:fill="F2F2F2" w:themeFill="background1" w:themeFillShade="F2"/>
            <w:vAlign w:val="bottom"/>
          </w:tcPr>
          <w:p w14:paraId="0D0E8DBD"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90" w:type="dxa"/>
            <w:tcBorders>
              <w:top w:val="nil"/>
              <w:left w:val="nil"/>
              <w:bottom w:val="single" w:sz="4" w:space="0" w:color="000000"/>
              <w:right w:val="single" w:sz="12" w:space="0" w:color="000000"/>
            </w:tcBorders>
            <w:shd w:val="clear" w:color="auto" w:fill="F2F2F2" w:themeFill="background1" w:themeFillShade="F2"/>
            <w:vAlign w:val="bottom"/>
          </w:tcPr>
          <w:p w14:paraId="02604547"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34BB9B06" w14:textId="77777777" w:rsidTr="00533AB2">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567EBBA7" w14:textId="77777777" w:rsidR="00F303E0" w:rsidRPr="00EE5714" w:rsidRDefault="00F303E0" w:rsidP="00533AB2">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 xml:space="preserve">Duquesne** </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56F1D9D9" w14:textId="77777777" w:rsidR="00F303E0" w:rsidRPr="00EE5714" w:rsidRDefault="00F303E0" w:rsidP="00533AB2">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$1,559.09</w:t>
            </w:r>
          </w:p>
        </w:tc>
        <w:tc>
          <w:tcPr>
            <w:tcW w:w="1080" w:type="dxa"/>
            <w:tcBorders>
              <w:top w:val="nil"/>
              <w:left w:val="nil"/>
              <w:bottom w:val="single" w:sz="4" w:space="0" w:color="000000"/>
              <w:right w:val="single" w:sz="4" w:space="0" w:color="000000"/>
            </w:tcBorders>
            <w:shd w:val="clear" w:color="auto" w:fill="auto"/>
            <w:noWrap/>
            <w:vAlign w:val="center"/>
          </w:tcPr>
          <w:p w14:paraId="173F2E0E" w14:textId="77777777" w:rsidR="00F303E0" w:rsidRPr="00EE5714" w:rsidRDefault="00F303E0" w:rsidP="00533AB2">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$1,559.09</w:t>
            </w:r>
          </w:p>
        </w:tc>
        <w:tc>
          <w:tcPr>
            <w:tcW w:w="1080" w:type="dxa"/>
            <w:tcBorders>
              <w:top w:val="nil"/>
              <w:left w:val="nil"/>
              <w:bottom w:val="single" w:sz="4" w:space="0" w:color="000000"/>
              <w:right w:val="single" w:sz="4" w:space="0" w:color="000000"/>
            </w:tcBorders>
            <w:shd w:val="clear" w:color="auto" w:fill="auto"/>
            <w:noWrap/>
            <w:vAlign w:val="center"/>
          </w:tcPr>
          <w:p w14:paraId="6DD688DA" w14:textId="77777777" w:rsidR="00F303E0" w:rsidRPr="00EE5714" w:rsidRDefault="00F303E0" w:rsidP="00533AB2">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$1,547.78</w:t>
            </w:r>
          </w:p>
        </w:tc>
        <w:tc>
          <w:tcPr>
            <w:tcW w:w="1080" w:type="dxa"/>
            <w:tcBorders>
              <w:top w:val="nil"/>
              <w:left w:val="nil"/>
              <w:bottom w:val="single" w:sz="4" w:space="0" w:color="000000"/>
              <w:right w:val="single" w:sz="12" w:space="0" w:color="000000"/>
            </w:tcBorders>
            <w:shd w:val="clear" w:color="auto" w:fill="auto"/>
            <w:noWrap/>
            <w:vAlign w:val="center"/>
          </w:tcPr>
          <w:p w14:paraId="5A4D151F" w14:textId="77777777" w:rsidR="00F303E0" w:rsidRPr="00EE5714" w:rsidRDefault="00F303E0" w:rsidP="00533AB2">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$1,449.48</w:t>
            </w:r>
          </w:p>
        </w:tc>
        <w:tc>
          <w:tcPr>
            <w:tcW w:w="1080" w:type="dxa"/>
            <w:tcBorders>
              <w:top w:val="nil"/>
              <w:left w:val="single" w:sz="12" w:space="0" w:color="000000"/>
              <w:bottom w:val="single" w:sz="4" w:space="0" w:color="000000"/>
              <w:right w:val="single" w:sz="8" w:space="0" w:color="000000"/>
            </w:tcBorders>
            <w:vAlign w:val="center"/>
          </w:tcPr>
          <w:p w14:paraId="5A301EE7" w14:textId="77777777" w:rsidR="00F303E0" w:rsidRPr="00EE5714" w:rsidRDefault="00F303E0" w:rsidP="00533AB2">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$484.13</w:t>
            </w:r>
          </w:p>
        </w:tc>
        <w:tc>
          <w:tcPr>
            <w:tcW w:w="1080" w:type="dxa"/>
            <w:tcBorders>
              <w:top w:val="nil"/>
              <w:left w:val="nil"/>
              <w:bottom w:val="single" w:sz="4" w:space="0" w:color="000000"/>
              <w:right w:val="single" w:sz="8" w:space="0" w:color="000000"/>
            </w:tcBorders>
            <w:vAlign w:val="center"/>
          </w:tcPr>
          <w:p w14:paraId="031E5931" w14:textId="77777777" w:rsidR="00F303E0" w:rsidRPr="00EE5714" w:rsidRDefault="00F303E0" w:rsidP="00533AB2">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$484.13</w:t>
            </w:r>
          </w:p>
        </w:tc>
        <w:tc>
          <w:tcPr>
            <w:tcW w:w="1170" w:type="dxa"/>
            <w:tcBorders>
              <w:top w:val="nil"/>
              <w:left w:val="nil"/>
              <w:bottom w:val="single" w:sz="4" w:space="0" w:color="000000"/>
              <w:right w:val="single" w:sz="8" w:space="0" w:color="000000"/>
            </w:tcBorders>
            <w:vAlign w:val="center"/>
          </w:tcPr>
          <w:p w14:paraId="3E50550A" w14:textId="77777777" w:rsidR="00F303E0" w:rsidRPr="00EE5714" w:rsidRDefault="00F303E0" w:rsidP="00533AB2">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$469.48</w:t>
            </w:r>
          </w:p>
        </w:tc>
        <w:tc>
          <w:tcPr>
            <w:tcW w:w="990" w:type="dxa"/>
            <w:tcBorders>
              <w:top w:val="nil"/>
              <w:left w:val="nil"/>
              <w:bottom w:val="single" w:sz="4" w:space="0" w:color="000000"/>
              <w:right w:val="single" w:sz="12" w:space="0" w:color="000000"/>
            </w:tcBorders>
            <w:vAlign w:val="center"/>
          </w:tcPr>
          <w:p w14:paraId="2ADB28DE" w14:textId="77777777" w:rsidR="00F303E0" w:rsidRPr="00EE5714" w:rsidRDefault="00F303E0" w:rsidP="00533AB2">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$498.30</w:t>
            </w:r>
          </w:p>
        </w:tc>
      </w:tr>
      <w:tr w:rsidR="00F303E0" w:rsidRPr="00EE5714" w14:paraId="6ACEC067" w14:textId="77777777" w:rsidTr="00533AB2">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1C370EDF"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074244C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$864.24</w:t>
            </w:r>
          </w:p>
        </w:tc>
        <w:tc>
          <w:tcPr>
            <w:tcW w:w="1080" w:type="dxa"/>
            <w:tcBorders>
              <w:top w:val="nil"/>
              <w:left w:val="nil"/>
              <w:bottom w:val="single" w:sz="4" w:space="0" w:color="000000"/>
              <w:right w:val="single" w:sz="4" w:space="0" w:color="000000"/>
            </w:tcBorders>
            <w:shd w:val="clear" w:color="auto" w:fill="auto"/>
            <w:noWrap/>
            <w:vAlign w:val="center"/>
          </w:tcPr>
          <w:p w14:paraId="1454350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$1,732.25</w:t>
            </w:r>
          </w:p>
        </w:tc>
        <w:tc>
          <w:tcPr>
            <w:tcW w:w="1080" w:type="dxa"/>
            <w:tcBorders>
              <w:top w:val="nil"/>
              <w:left w:val="nil"/>
              <w:bottom w:val="single" w:sz="4" w:space="0" w:color="000000"/>
              <w:right w:val="single" w:sz="4" w:space="0" w:color="000000"/>
            </w:tcBorders>
            <w:shd w:val="clear" w:color="auto" w:fill="auto"/>
            <w:noWrap/>
            <w:vAlign w:val="center"/>
          </w:tcPr>
          <w:p w14:paraId="7D82CE4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$1,563.24</w:t>
            </w:r>
          </w:p>
        </w:tc>
        <w:tc>
          <w:tcPr>
            <w:tcW w:w="1080" w:type="dxa"/>
            <w:tcBorders>
              <w:top w:val="nil"/>
              <w:left w:val="nil"/>
              <w:bottom w:val="single" w:sz="4" w:space="0" w:color="000000"/>
              <w:right w:val="single" w:sz="12" w:space="0" w:color="000000"/>
            </w:tcBorders>
            <w:shd w:val="clear" w:color="auto" w:fill="auto"/>
            <w:noWrap/>
            <w:vAlign w:val="center"/>
          </w:tcPr>
          <w:p w14:paraId="1E30E60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$1,627.73</w:t>
            </w:r>
          </w:p>
        </w:tc>
        <w:tc>
          <w:tcPr>
            <w:tcW w:w="1080" w:type="dxa"/>
            <w:tcBorders>
              <w:top w:val="nil"/>
              <w:left w:val="single" w:sz="12" w:space="0" w:color="000000"/>
              <w:bottom w:val="single" w:sz="4" w:space="0" w:color="000000"/>
              <w:right w:val="single" w:sz="8" w:space="0" w:color="000000"/>
            </w:tcBorders>
            <w:vAlign w:val="center"/>
          </w:tcPr>
          <w:p w14:paraId="54F602E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$444.26</w:t>
            </w:r>
          </w:p>
        </w:tc>
        <w:tc>
          <w:tcPr>
            <w:tcW w:w="1080" w:type="dxa"/>
            <w:tcBorders>
              <w:top w:val="nil"/>
              <w:left w:val="nil"/>
              <w:bottom w:val="single" w:sz="4" w:space="0" w:color="000000"/>
              <w:right w:val="single" w:sz="8" w:space="0" w:color="000000"/>
            </w:tcBorders>
            <w:vAlign w:val="center"/>
          </w:tcPr>
          <w:p w14:paraId="7CD9EF4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$300.76</w:t>
            </w:r>
          </w:p>
        </w:tc>
        <w:tc>
          <w:tcPr>
            <w:tcW w:w="1170" w:type="dxa"/>
            <w:tcBorders>
              <w:top w:val="nil"/>
              <w:left w:val="nil"/>
              <w:bottom w:val="single" w:sz="4" w:space="0" w:color="000000"/>
              <w:right w:val="single" w:sz="8" w:space="0" w:color="000000"/>
            </w:tcBorders>
            <w:vAlign w:val="center"/>
          </w:tcPr>
          <w:p w14:paraId="4FBE03D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$338.39</w:t>
            </w:r>
          </w:p>
        </w:tc>
        <w:tc>
          <w:tcPr>
            <w:tcW w:w="990" w:type="dxa"/>
            <w:tcBorders>
              <w:top w:val="nil"/>
              <w:left w:val="nil"/>
              <w:bottom w:val="single" w:sz="4" w:space="0" w:color="000000"/>
              <w:right w:val="single" w:sz="12" w:space="0" w:color="000000"/>
            </w:tcBorders>
            <w:vAlign w:val="center"/>
          </w:tcPr>
          <w:p w14:paraId="47A6F34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$319.87</w:t>
            </w:r>
          </w:p>
        </w:tc>
      </w:tr>
      <w:tr w:rsidR="00F303E0" w:rsidRPr="00EE5714" w14:paraId="2C08B8B7" w14:textId="77777777" w:rsidTr="00533AB2">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18B82DAD"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6CBCFBD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$958.37</w:t>
            </w:r>
          </w:p>
        </w:tc>
        <w:tc>
          <w:tcPr>
            <w:tcW w:w="1080" w:type="dxa"/>
            <w:tcBorders>
              <w:top w:val="nil"/>
              <w:left w:val="nil"/>
              <w:bottom w:val="single" w:sz="4" w:space="0" w:color="000000"/>
              <w:right w:val="single" w:sz="4" w:space="0" w:color="000000"/>
            </w:tcBorders>
            <w:shd w:val="clear" w:color="auto" w:fill="auto"/>
            <w:noWrap/>
            <w:vAlign w:val="center"/>
          </w:tcPr>
          <w:p w14:paraId="2917726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$958.37</w:t>
            </w:r>
          </w:p>
        </w:tc>
        <w:tc>
          <w:tcPr>
            <w:tcW w:w="1080" w:type="dxa"/>
            <w:tcBorders>
              <w:top w:val="nil"/>
              <w:left w:val="nil"/>
              <w:bottom w:val="single" w:sz="4" w:space="0" w:color="000000"/>
              <w:right w:val="single" w:sz="4" w:space="0" w:color="000000"/>
            </w:tcBorders>
            <w:shd w:val="clear" w:color="auto" w:fill="auto"/>
            <w:noWrap/>
            <w:vAlign w:val="center"/>
          </w:tcPr>
          <w:p w14:paraId="038DA65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$958.37</w:t>
            </w:r>
          </w:p>
        </w:tc>
        <w:tc>
          <w:tcPr>
            <w:tcW w:w="1080" w:type="dxa"/>
            <w:tcBorders>
              <w:top w:val="nil"/>
              <w:left w:val="nil"/>
              <w:bottom w:val="single" w:sz="4" w:space="0" w:color="000000"/>
              <w:right w:val="single" w:sz="12" w:space="0" w:color="000000"/>
            </w:tcBorders>
            <w:shd w:val="clear" w:color="auto" w:fill="auto"/>
            <w:noWrap/>
            <w:vAlign w:val="center"/>
          </w:tcPr>
          <w:p w14:paraId="6C32991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$958.37</w:t>
            </w:r>
          </w:p>
        </w:tc>
        <w:tc>
          <w:tcPr>
            <w:tcW w:w="1080" w:type="dxa"/>
            <w:tcBorders>
              <w:top w:val="nil"/>
              <w:left w:val="single" w:sz="12" w:space="0" w:color="000000"/>
              <w:bottom w:val="single" w:sz="4" w:space="0" w:color="000000"/>
              <w:right w:val="single" w:sz="8" w:space="0" w:color="000000"/>
            </w:tcBorders>
            <w:vAlign w:val="center"/>
          </w:tcPr>
          <w:p w14:paraId="6C28DB0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$620.71</w:t>
            </w:r>
          </w:p>
        </w:tc>
        <w:tc>
          <w:tcPr>
            <w:tcW w:w="1080" w:type="dxa"/>
            <w:tcBorders>
              <w:top w:val="nil"/>
              <w:left w:val="nil"/>
              <w:bottom w:val="single" w:sz="4" w:space="0" w:color="000000"/>
              <w:right w:val="single" w:sz="8" w:space="0" w:color="000000"/>
            </w:tcBorders>
            <w:vAlign w:val="center"/>
          </w:tcPr>
          <w:p w14:paraId="76669DB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$536.93</w:t>
            </w:r>
          </w:p>
        </w:tc>
        <w:tc>
          <w:tcPr>
            <w:tcW w:w="1170" w:type="dxa"/>
            <w:tcBorders>
              <w:top w:val="nil"/>
              <w:left w:val="nil"/>
              <w:bottom w:val="single" w:sz="4" w:space="0" w:color="000000"/>
              <w:right w:val="single" w:sz="8" w:space="0" w:color="000000"/>
            </w:tcBorders>
            <w:vAlign w:val="center"/>
          </w:tcPr>
          <w:p w14:paraId="59BE368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$525.46</w:t>
            </w:r>
          </w:p>
        </w:tc>
        <w:tc>
          <w:tcPr>
            <w:tcW w:w="990" w:type="dxa"/>
            <w:tcBorders>
              <w:top w:val="nil"/>
              <w:left w:val="nil"/>
              <w:bottom w:val="single" w:sz="4" w:space="0" w:color="000000"/>
              <w:right w:val="single" w:sz="12" w:space="0" w:color="000000"/>
            </w:tcBorders>
            <w:vAlign w:val="center"/>
          </w:tcPr>
          <w:p w14:paraId="713F7F6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$450.02</w:t>
            </w:r>
          </w:p>
        </w:tc>
      </w:tr>
      <w:tr w:rsidR="00F303E0" w:rsidRPr="00EE5714" w14:paraId="59970028" w14:textId="77777777" w:rsidTr="00533AB2">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65A313D4" w14:textId="77777777" w:rsidR="00F303E0" w:rsidRPr="00EE5714" w:rsidRDefault="00F303E0" w:rsidP="00851815">
            <w:pPr>
              <w:keepNext/>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3C3C939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$813.82</w:t>
            </w:r>
          </w:p>
        </w:tc>
        <w:tc>
          <w:tcPr>
            <w:tcW w:w="1080" w:type="dxa"/>
            <w:tcBorders>
              <w:top w:val="nil"/>
              <w:left w:val="nil"/>
              <w:bottom w:val="single" w:sz="4" w:space="0" w:color="000000"/>
              <w:right w:val="single" w:sz="4" w:space="0" w:color="000000"/>
            </w:tcBorders>
            <w:shd w:val="clear" w:color="auto" w:fill="auto"/>
            <w:noWrap/>
            <w:vAlign w:val="center"/>
          </w:tcPr>
          <w:p w14:paraId="7AF5FC8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$1,850.29</w:t>
            </w:r>
          </w:p>
        </w:tc>
        <w:tc>
          <w:tcPr>
            <w:tcW w:w="1080" w:type="dxa"/>
            <w:tcBorders>
              <w:top w:val="nil"/>
              <w:left w:val="nil"/>
              <w:bottom w:val="single" w:sz="4" w:space="0" w:color="000000"/>
              <w:right w:val="single" w:sz="4" w:space="0" w:color="000000"/>
            </w:tcBorders>
            <w:shd w:val="clear" w:color="auto" w:fill="auto"/>
            <w:noWrap/>
            <w:vAlign w:val="center"/>
          </w:tcPr>
          <w:p w14:paraId="49E706D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$1,685.97</w:t>
            </w:r>
          </w:p>
        </w:tc>
        <w:tc>
          <w:tcPr>
            <w:tcW w:w="1080" w:type="dxa"/>
            <w:tcBorders>
              <w:top w:val="nil"/>
              <w:left w:val="nil"/>
              <w:bottom w:val="single" w:sz="4" w:space="0" w:color="000000"/>
              <w:right w:val="single" w:sz="12" w:space="0" w:color="000000"/>
            </w:tcBorders>
            <w:shd w:val="clear" w:color="auto" w:fill="auto"/>
            <w:noWrap/>
            <w:vAlign w:val="center"/>
          </w:tcPr>
          <w:p w14:paraId="3EFD45F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$1,710.38</w:t>
            </w:r>
          </w:p>
        </w:tc>
        <w:tc>
          <w:tcPr>
            <w:tcW w:w="1080" w:type="dxa"/>
            <w:tcBorders>
              <w:top w:val="nil"/>
              <w:left w:val="single" w:sz="12" w:space="0" w:color="000000"/>
              <w:bottom w:val="single" w:sz="4" w:space="0" w:color="000000"/>
              <w:right w:val="single" w:sz="8" w:space="0" w:color="000000"/>
            </w:tcBorders>
            <w:vAlign w:val="center"/>
          </w:tcPr>
          <w:p w14:paraId="1572A80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$534.59</w:t>
            </w:r>
          </w:p>
        </w:tc>
        <w:tc>
          <w:tcPr>
            <w:tcW w:w="1080" w:type="dxa"/>
            <w:tcBorders>
              <w:top w:val="nil"/>
              <w:left w:val="nil"/>
              <w:bottom w:val="single" w:sz="4" w:space="0" w:color="000000"/>
              <w:right w:val="single" w:sz="8" w:space="0" w:color="000000"/>
            </w:tcBorders>
            <w:vAlign w:val="center"/>
          </w:tcPr>
          <w:p w14:paraId="6AA488A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$582.06</w:t>
            </w:r>
          </w:p>
        </w:tc>
        <w:tc>
          <w:tcPr>
            <w:tcW w:w="1170" w:type="dxa"/>
            <w:tcBorders>
              <w:top w:val="nil"/>
              <w:left w:val="nil"/>
              <w:bottom w:val="single" w:sz="4" w:space="0" w:color="000000"/>
              <w:right w:val="single" w:sz="8" w:space="0" w:color="000000"/>
            </w:tcBorders>
            <w:vAlign w:val="center"/>
          </w:tcPr>
          <w:p w14:paraId="451A66E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$546.76</w:t>
            </w:r>
          </w:p>
        </w:tc>
        <w:tc>
          <w:tcPr>
            <w:tcW w:w="990" w:type="dxa"/>
            <w:tcBorders>
              <w:top w:val="nil"/>
              <w:left w:val="nil"/>
              <w:bottom w:val="single" w:sz="4" w:space="0" w:color="000000"/>
              <w:right w:val="single" w:sz="12" w:space="0" w:color="000000"/>
            </w:tcBorders>
            <w:vAlign w:val="center"/>
          </w:tcPr>
          <w:p w14:paraId="20EA5A4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$541.93</w:t>
            </w:r>
          </w:p>
        </w:tc>
      </w:tr>
      <w:tr w:rsidR="00F303E0" w:rsidRPr="00EE5714" w14:paraId="67D8325F" w14:textId="77777777" w:rsidTr="00533AB2">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10EDE39D"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Penn Power</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1141B2C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$791.10</w:t>
            </w:r>
          </w:p>
        </w:tc>
        <w:tc>
          <w:tcPr>
            <w:tcW w:w="1080" w:type="dxa"/>
            <w:tcBorders>
              <w:top w:val="nil"/>
              <w:left w:val="nil"/>
              <w:bottom w:val="single" w:sz="4" w:space="0" w:color="000000"/>
              <w:right w:val="single" w:sz="4" w:space="0" w:color="000000"/>
            </w:tcBorders>
            <w:shd w:val="clear" w:color="auto" w:fill="auto"/>
            <w:noWrap/>
            <w:vAlign w:val="center"/>
          </w:tcPr>
          <w:p w14:paraId="20749E1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$2,038.90</w:t>
            </w:r>
          </w:p>
        </w:tc>
        <w:tc>
          <w:tcPr>
            <w:tcW w:w="1080" w:type="dxa"/>
            <w:tcBorders>
              <w:top w:val="nil"/>
              <w:left w:val="nil"/>
              <w:bottom w:val="single" w:sz="4" w:space="0" w:color="000000"/>
              <w:right w:val="single" w:sz="4" w:space="0" w:color="000000"/>
            </w:tcBorders>
            <w:shd w:val="clear" w:color="auto" w:fill="auto"/>
            <w:noWrap/>
            <w:vAlign w:val="center"/>
          </w:tcPr>
          <w:p w14:paraId="34E0ABD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$1,960.75</w:t>
            </w:r>
          </w:p>
        </w:tc>
        <w:tc>
          <w:tcPr>
            <w:tcW w:w="1080" w:type="dxa"/>
            <w:tcBorders>
              <w:top w:val="nil"/>
              <w:left w:val="nil"/>
              <w:bottom w:val="single" w:sz="4" w:space="0" w:color="000000"/>
              <w:right w:val="single" w:sz="12" w:space="0" w:color="000000"/>
            </w:tcBorders>
            <w:shd w:val="clear" w:color="auto" w:fill="auto"/>
            <w:noWrap/>
            <w:vAlign w:val="center"/>
          </w:tcPr>
          <w:p w14:paraId="2A2E5E9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$2,061.67</w:t>
            </w:r>
          </w:p>
        </w:tc>
        <w:tc>
          <w:tcPr>
            <w:tcW w:w="1080" w:type="dxa"/>
            <w:tcBorders>
              <w:top w:val="nil"/>
              <w:left w:val="single" w:sz="12" w:space="0" w:color="000000"/>
              <w:bottom w:val="single" w:sz="4" w:space="0" w:color="000000"/>
              <w:right w:val="single" w:sz="8" w:space="0" w:color="000000"/>
            </w:tcBorders>
            <w:vAlign w:val="center"/>
          </w:tcPr>
          <w:p w14:paraId="4FF03CE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$541.34</w:t>
            </w:r>
          </w:p>
        </w:tc>
        <w:tc>
          <w:tcPr>
            <w:tcW w:w="1080" w:type="dxa"/>
            <w:tcBorders>
              <w:top w:val="nil"/>
              <w:left w:val="nil"/>
              <w:bottom w:val="single" w:sz="4" w:space="0" w:color="000000"/>
              <w:right w:val="single" w:sz="8" w:space="0" w:color="000000"/>
            </w:tcBorders>
            <w:vAlign w:val="center"/>
          </w:tcPr>
          <w:p w14:paraId="4E5DF0B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$562.34</w:t>
            </w:r>
          </w:p>
        </w:tc>
        <w:tc>
          <w:tcPr>
            <w:tcW w:w="1170" w:type="dxa"/>
            <w:tcBorders>
              <w:top w:val="nil"/>
              <w:left w:val="nil"/>
              <w:bottom w:val="single" w:sz="4" w:space="0" w:color="000000"/>
              <w:right w:val="single" w:sz="8" w:space="0" w:color="000000"/>
            </w:tcBorders>
            <w:vAlign w:val="center"/>
          </w:tcPr>
          <w:p w14:paraId="04E790A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$483.55</w:t>
            </w:r>
          </w:p>
        </w:tc>
        <w:tc>
          <w:tcPr>
            <w:tcW w:w="990" w:type="dxa"/>
            <w:tcBorders>
              <w:top w:val="nil"/>
              <w:left w:val="nil"/>
              <w:bottom w:val="single" w:sz="4" w:space="0" w:color="000000"/>
              <w:right w:val="single" w:sz="12" w:space="0" w:color="000000"/>
            </w:tcBorders>
            <w:vAlign w:val="center"/>
          </w:tcPr>
          <w:p w14:paraId="42A5A5D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$463.76</w:t>
            </w:r>
          </w:p>
        </w:tc>
      </w:tr>
      <w:tr w:rsidR="00F303E0" w:rsidRPr="00EE5714" w14:paraId="2D78FEF3" w14:textId="77777777" w:rsidTr="00533AB2">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6C115DB8"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PPL</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71455BA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$2,394.00</w:t>
            </w:r>
          </w:p>
        </w:tc>
        <w:tc>
          <w:tcPr>
            <w:tcW w:w="1080" w:type="dxa"/>
            <w:tcBorders>
              <w:top w:val="nil"/>
              <w:left w:val="nil"/>
              <w:bottom w:val="single" w:sz="4" w:space="0" w:color="000000"/>
              <w:right w:val="single" w:sz="4" w:space="0" w:color="000000"/>
            </w:tcBorders>
            <w:shd w:val="clear" w:color="auto" w:fill="auto"/>
            <w:noWrap/>
            <w:vAlign w:val="center"/>
          </w:tcPr>
          <w:p w14:paraId="0CDAAAD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$2,674.56</w:t>
            </w:r>
          </w:p>
        </w:tc>
        <w:tc>
          <w:tcPr>
            <w:tcW w:w="1080" w:type="dxa"/>
            <w:tcBorders>
              <w:top w:val="nil"/>
              <w:left w:val="nil"/>
              <w:bottom w:val="single" w:sz="4" w:space="0" w:color="000000"/>
              <w:right w:val="single" w:sz="4" w:space="0" w:color="000000"/>
            </w:tcBorders>
            <w:shd w:val="clear" w:color="auto" w:fill="auto"/>
            <w:noWrap/>
            <w:vAlign w:val="center"/>
          </w:tcPr>
          <w:p w14:paraId="3BD85CA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$3,001.32</w:t>
            </w:r>
          </w:p>
        </w:tc>
        <w:tc>
          <w:tcPr>
            <w:tcW w:w="1080" w:type="dxa"/>
            <w:tcBorders>
              <w:top w:val="nil"/>
              <w:left w:val="nil"/>
              <w:bottom w:val="single" w:sz="4" w:space="0" w:color="000000"/>
              <w:right w:val="single" w:sz="12" w:space="0" w:color="000000"/>
            </w:tcBorders>
            <w:shd w:val="clear" w:color="auto" w:fill="auto"/>
            <w:noWrap/>
            <w:vAlign w:val="center"/>
          </w:tcPr>
          <w:p w14:paraId="76678A7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$2,131.20</w:t>
            </w:r>
          </w:p>
        </w:tc>
        <w:tc>
          <w:tcPr>
            <w:tcW w:w="1080" w:type="dxa"/>
            <w:tcBorders>
              <w:top w:val="nil"/>
              <w:left w:val="single" w:sz="12" w:space="0" w:color="000000"/>
              <w:bottom w:val="single" w:sz="4" w:space="0" w:color="000000"/>
              <w:right w:val="single" w:sz="8" w:space="0" w:color="000000"/>
            </w:tcBorders>
            <w:vAlign w:val="center"/>
          </w:tcPr>
          <w:p w14:paraId="7D381DF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$355.25</w:t>
            </w:r>
          </w:p>
        </w:tc>
        <w:tc>
          <w:tcPr>
            <w:tcW w:w="1080" w:type="dxa"/>
            <w:tcBorders>
              <w:top w:val="nil"/>
              <w:left w:val="nil"/>
              <w:bottom w:val="single" w:sz="4" w:space="0" w:color="000000"/>
              <w:right w:val="single" w:sz="8" w:space="0" w:color="000000"/>
            </w:tcBorders>
            <w:vAlign w:val="center"/>
          </w:tcPr>
          <w:p w14:paraId="6CE1AC9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$344.37</w:t>
            </w:r>
          </w:p>
        </w:tc>
        <w:tc>
          <w:tcPr>
            <w:tcW w:w="1170" w:type="dxa"/>
            <w:tcBorders>
              <w:top w:val="nil"/>
              <w:left w:val="nil"/>
              <w:bottom w:val="single" w:sz="4" w:space="0" w:color="000000"/>
              <w:right w:val="single" w:sz="8" w:space="0" w:color="000000"/>
            </w:tcBorders>
            <w:vAlign w:val="center"/>
          </w:tcPr>
          <w:p w14:paraId="28A741C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$385.22</w:t>
            </w:r>
          </w:p>
        </w:tc>
        <w:tc>
          <w:tcPr>
            <w:tcW w:w="990" w:type="dxa"/>
            <w:tcBorders>
              <w:top w:val="nil"/>
              <w:left w:val="nil"/>
              <w:bottom w:val="single" w:sz="4" w:space="0" w:color="000000"/>
              <w:right w:val="single" w:sz="12" w:space="0" w:color="000000"/>
            </w:tcBorders>
            <w:vAlign w:val="center"/>
          </w:tcPr>
          <w:p w14:paraId="33931AD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$336.15</w:t>
            </w:r>
          </w:p>
        </w:tc>
      </w:tr>
      <w:tr w:rsidR="00F303E0" w:rsidRPr="00EE5714" w14:paraId="6462FD31" w14:textId="77777777" w:rsidTr="00533AB2">
        <w:trPr>
          <w:trHeight w:hRule="exact" w:val="245"/>
        </w:trPr>
        <w:tc>
          <w:tcPr>
            <w:tcW w:w="1440" w:type="dxa"/>
            <w:tcBorders>
              <w:top w:val="nil"/>
              <w:left w:val="single" w:sz="8" w:space="0" w:color="000000"/>
              <w:bottom w:val="single" w:sz="4" w:space="0" w:color="000000"/>
              <w:right w:val="single" w:sz="12" w:space="0" w:color="000000"/>
            </w:tcBorders>
            <w:shd w:val="clear" w:color="auto" w:fill="auto"/>
            <w:noWrap/>
            <w:vAlign w:val="bottom"/>
          </w:tcPr>
          <w:p w14:paraId="15D97224"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West Penn</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51FC9BF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$722.79</w:t>
            </w:r>
          </w:p>
        </w:tc>
        <w:tc>
          <w:tcPr>
            <w:tcW w:w="1080" w:type="dxa"/>
            <w:tcBorders>
              <w:top w:val="nil"/>
              <w:left w:val="nil"/>
              <w:bottom w:val="single" w:sz="4" w:space="0" w:color="000000"/>
              <w:right w:val="single" w:sz="4" w:space="0" w:color="000000"/>
            </w:tcBorders>
            <w:shd w:val="clear" w:color="auto" w:fill="auto"/>
            <w:noWrap/>
            <w:vAlign w:val="center"/>
          </w:tcPr>
          <w:p w14:paraId="62F7C76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$1,944.80</w:t>
            </w:r>
          </w:p>
        </w:tc>
        <w:tc>
          <w:tcPr>
            <w:tcW w:w="1080" w:type="dxa"/>
            <w:tcBorders>
              <w:top w:val="nil"/>
              <w:left w:val="nil"/>
              <w:bottom w:val="single" w:sz="4" w:space="0" w:color="000000"/>
              <w:right w:val="single" w:sz="4" w:space="0" w:color="000000"/>
            </w:tcBorders>
            <w:shd w:val="clear" w:color="auto" w:fill="auto"/>
            <w:noWrap/>
            <w:vAlign w:val="center"/>
          </w:tcPr>
          <w:p w14:paraId="56AA1D4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$1,782.50</w:t>
            </w:r>
          </w:p>
        </w:tc>
        <w:tc>
          <w:tcPr>
            <w:tcW w:w="1080" w:type="dxa"/>
            <w:tcBorders>
              <w:top w:val="nil"/>
              <w:left w:val="nil"/>
              <w:bottom w:val="single" w:sz="4" w:space="0" w:color="000000"/>
              <w:right w:val="single" w:sz="12" w:space="0" w:color="000000"/>
            </w:tcBorders>
            <w:shd w:val="clear" w:color="auto" w:fill="auto"/>
            <w:noWrap/>
            <w:vAlign w:val="center"/>
          </w:tcPr>
          <w:p w14:paraId="5732ED1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$1,913.34</w:t>
            </w:r>
          </w:p>
        </w:tc>
        <w:tc>
          <w:tcPr>
            <w:tcW w:w="1080" w:type="dxa"/>
            <w:tcBorders>
              <w:top w:val="nil"/>
              <w:left w:val="single" w:sz="12" w:space="0" w:color="000000"/>
              <w:bottom w:val="single" w:sz="4" w:space="0" w:color="000000"/>
              <w:right w:val="single" w:sz="8" w:space="0" w:color="000000"/>
            </w:tcBorders>
            <w:vAlign w:val="center"/>
          </w:tcPr>
          <w:p w14:paraId="57BF38B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$545.16</w:t>
            </w:r>
          </w:p>
        </w:tc>
        <w:tc>
          <w:tcPr>
            <w:tcW w:w="1080" w:type="dxa"/>
            <w:tcBorders>
              <w:top w:val="nil"/>
              <w:left w:val="nil"/>
              <w:bottom w:val="single" w:sz="4" w:space="0" w:color="000000"/>
              <w:right w:val="single" w:sz="8" w:space="0" w:color="000000"/>
            </w:tcBorders>
            <w:vAlign w:val="center"/>
          </w:tcPr>
          <w:p w14:paraId="5DEFB3B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$614.49</w:t>
            </w:r>
          </w:p>
        </w:tc>
        <w:tc>
          <w:tcPr>
            <w:tcW w:w="1170" w:type="dxa"/>
            <w:tcBorders>
              <w:top w:val="nil"/>
              <w:left w:val="nil"/>
              <w:bottom w:val="single" w:sz="4" w:space="0" w:color="000000"/>
              <w:right w:val="single" w:sz="8" w:space="0" w:color="000000"/>
            </w:tcBorders>
            <w:vAlign w:val="center"/>
          </w:tcPr>
          <w:p w14:paraId="4FCF9C7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$508.92</w:t>
            </w:r>
          </w:p>
        </w:tc>
        <w:tc>
          <w:tcPr>
            <w:tcW w:w="990" w:type="dxa"/>
            <w:tcBorders>
              <w:top w:val="nil"/>
              <w:left w:val="nil"/>
              <w:bottom w:val="single" w:sz="4" w:space="0" w:color="000000"/>
              <w:right w:val="single" w:sz="12" w:space="0" w:color="000000"/>
            </w:tcBorders>
            <w:vAlign w:val="center"/>
          </w:tcPr>
          <w:p w14:paraId="6AB2B1F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$461.69</w:t>
            </w:r>
          </w:p>
        </w:tc>
      </w:tr>
    </w:tbl>
    <w:p w14:paraId="4498292D" w14:textId="77777777" w:rsidR="00F303E0" w:rsidRPr="00EE5714" w:rsidRDefault="00F303E0" w:rsidP="00F303E0">
      <w:pPr>
        <w:pStyle w:val="NoSpacing"/>
        <w:keepNext/>
        <w:rPr>
          <w:rFonts w:cs="Times New Roman"/>
          <w:sz w:val="24"/>
          <w:szCs w:val="24"/>
        </w:rPr>
      </w:pPr>
      <w:r w:rsidRPr="00EE5714">
        <w:rPr>
          <w:rFonts w:cs="Times New Roman"/>
          <w:sz w:val="24"/>
          <w:szCs w:val="24"/>
        </w:rPr>
        <w:t>*PECO Average CAP Bill for 2012-2015 is estimated.</w:t>
      </w:r>
    </w:p>
    <w:p w14:paraId="1C707E2A" w14:textId="77777777" w:rsidR="00F303E0" w:rsidRPr="00EE5714" w:rsidRDefault="00F303E0" w:rsidP="00F303E0">
      <w:pPr>
        <w:pStyle w:val="NoSpacing"/>
        <w:rPr>
          <w:rFonts w:cs="Times New Roman"/>
          <w:sz w:val="24"/>
          <w:szCs w:val="24"/>
        </w:rPr>
      </w:pPr>
      <w:r w:rsidRPr="00EE5714">
        <w:rPr>
          <w:rFonts w:cs="Times New Roman"/>
          <w:sz w:val="24"/>
          <w:szCs w:val="24"/>
        </w:rPr>
        <w:t>**Duquesne Average CAP Bill for 2012-2013 is estimated.</w:t>
      </w:r>
    </w:p>
    <w:p w14:paraId="22A4CA6E" w14:textId="77777777" w:rsidR="00F303E0" w:rsidRPr="00EE5714" w:rsidRDefault="00F303E0" w:rsidP="00F303E0">
      <w:pPr>
        <w:pStyle w:val="NoSpacing"/>
        <w:rPr>
          <w:rFonts w:cs="Times New Roman"/>
          <w:szCs w:val="26"/>
        </w:rPr>
      </w:pPr>
    </w:p>
    <w:p w14:paraId="26F6A824" w14:textId="77777777" w:rsidR="00192416" w:rsidRPr="00EE5714" w:rsidRDefault="00192416" w:rsidP="00533AB2">
      <w:pPr>
        <w:pStyle w:val="NoSpacing"/>
        <w:rPr>
          <w:rFonts w:cs="Times New Roman"/>
          <w:szCs w:val="26"/>
        </w:rPr>
      </w:pPr>
    </w:p>
    <w:p w14:paraId="5F9D402C" w14:textId="77777777" w:rsidR="00F303E0" w:rsidRPr="00EE5714" w:rsidRDefault="00F857A1" w:rsidP="00533AB2">
      <w:pPr>
        <w:pStyle w:val="NoSpacing"/>
        <w:keepNext/>
        <w:rPr>
          <w:rFonts w:cs="Times New Roman"/>
          <w:szCs w:val="26"/>
        </w:rPr>
      </w:pPr>
      <w:r w:rsidRPr="00EE5714">
        <w:rPr>
          <w:rFonts w:cs="Times New Roman"/>
          <w:szCs w:val="26"/>
        </w:rPr>
        <w:lastRenderedPageBreak/>
        <w:t>Appendix 3</w:t>
      </w:r>
      <w:r w:rsidR="00F303E0" w:rsidRPr="00EE5714">
        <w:rPr>
          <w:rFonts w:cs="Times New Roman"/>
          <w:szCs w:val="26"/>
        </w:rPr>
        <w:t>.A.</w:t>
      </w:r>
      <w:r w:rsidR="00861387" w:rsidRPr="00EE5714">
        <w:rPr>
          <w:rFonts w:cs="Times New Roman"/>
          <w:szCs w:val="26"/>
        </w:rPr>
        <w:t>23</w:t>
      </w:r>
      <w:r w:rsidR="00F303E0" w:rsidRPr="00EE5714">
        <w:rPr>
          <w:rFonts w:cs="Times New Roman"/>
          <w:szCs w:val="26"/>
        </w:rPr>
        <w:t xml:space="preserve">: </w:t>
      </w:r>
      <w:r w:rsidR="00F303E0" w:rsidRPr="00EE5714">
        <w:rPr>
          <w:rFonts w:eastAsia="Times New Roman" w:cs="Times New Roman"/>
          <w:b/>
          <w:bCs/>
          <w:color w:val="000000"/>
          <w:szCs w:val="26"/>
        </w:rPr>
        <w:t xml:space="preserve">EDC Heating LIHEAP Recipients – </w:t>
      </w:r>
      <w:r w:rsidR="00F303E0" w:rsidRPr="00EE5714">
        <w:rPr>
          <w:rFonts w:eastAsia="Times New Roman" w:cs="Times New Roman"/>
          <w:b/>
          <w:color w:val="000000"/>
          <w:szCs w:val="26"/>
        </w:rPr>
        <w:t xml:space="preserve">Average Annual </w:t>
      </w:r>
      <w:r w:rsidR="00F303E0" w:rsidRPr="00EE5714">
        <w:rPr>
          <w:rFonts w:eastAsia="Times New Roman" w:cs="Times New Roman"/>
          <w:b/>
          <w:bCs/>
          <w:color w:val="000000"/>
          <w:szCs w:val="26"/>
        </w:rPr>
        <w:t xml:space="preserve">CAP </w:t>
      </w:r>
      <w:r w:rsidR="00F303E0" w:rsidRPr="00EE5714">
        <w:rPr>
          <w:rFonts w:eastAsia="Times New Roman" w:cs="Times New Roman"/>
          <w:b/>
          <w:color w:val="000000"/>
          <w:szCs w:val="26"/>
        </w:rPr>
        <w:t xml:space="preserve">Income at </w:t>
      </w:r>
      <w:r w:rsidR="00F303E0" w:rsidRPr="00EE5714">
        <w:rPr>
          <w:rFonts w:eastAsia="Times New Roman" w:cs="Times New Roman"/>
          <w:b/>
          <w:bCs/>
          <w:color w:val="000000"/>
          <w:szCs w:val="26"/>
        </w:rPr>
        <w:t>0-50% FPIG</w:t>
      </w:r>
    </w:p>
    <w:tbl>
      <w:tblPr>
        <w:tblW w:w="10170" w:type="dxa"/>
        <w:tblInd w:w="-370" w:type="dxa"/>
        <w:tblLayout w:type="fixed"/>
        <w:tblLook w:val="04A0" w:firstRow="1" w:lastRow="0" w:firstColumn="1" w:lastColumn="0" w:noHBand="0" w:noVBand="1"/>
      </w:tblPr>
      <w:tblGrid>
        <w:gridCol w:w="1620"/>
        <w:gridCol w:w="2160"/>
        <w:gridCol w:w="2064"/>
        <w:gridCol w:w="2166"/>
        <w:gridCol w:w="2160"/>
      </w:tblGrid>
      <w:tr w:rsidR="00F303E0" w:rsidRPr="00EE5714" w14:paraId="4140803A" w14:textId="77777777" w:rsidTr="00533AB2">
        <w:trPr>
          <w:trHeight w:val="300"/>
        </w:trPr>
        <w:tc>
          <w:tcPr>
            <w:tcW w:w="10170" w:type="dxa"/>
            <w:gridSpan w:val="5"/>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2EB3C2AF" w14:textId="77777777" w:rsidR="00F303E0" w:rsidRPr="00EE5714" w:rsidRDefault="00F303E0" w:rsidP="00533AB2">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EDC Heating LIHEAP Recipients – </w:t>
            </w:r>
            <w:r w:rsidRPr="00EE5714">
              <w:rPr>
                <w:rFonts w:ascii="Calibri" w:eastAsia="Times New Roman" w:hAnsi="Calibri" w:cs="Calibri"/>
                <w:b/>
                <w:color w:val="000000"/>
              </w:rPr>
              <w:t xml:space="preserve">Average Annual </w:t>
            </w:r>
            <w:r w:rsidRPr="00EE5714">
              <w:rPr>
                <w:rFonts w:ascii="Calibri" w:eastAsia="Times New Roman" w:hAnsi="Calibri" w:cs="Calibri"/>
                <w:b/>
                <w:bCs/>
                <w:color w:val="000000"/>
              </w:rPr>
              <w:t xml:space="preserve">CAP </w:t>
            </w:r>
            <w:r w:rsidRPr="00EE5714">
              <w:rPr>
                <w:rFonts w:ascii="Calibri" w:eastAsia="Times New Roman" w:hAnsi="Calibri" w:cs="Calibri"/>
                <w:b/>
                <w:color w:val="000000"/>
              </w:rPr>
              <w:t xml:space="preserve">Income at </w:t>
            </w:r>
            <w:r w:rsidRPr="00EE5714">
              <w:rPr>
                <w:rFonts w:ascii="Calibri" w:eastAsia="Times New Roman" w:hAnsi="Calibri" w:cs="Calibri"/>
                <w:b/>
                <w:bCs/>
                <w:color w:val="000000"/>
              </w:rPr>
              <w:t>0-50% FPIG</w:t>
            </w:r>
          </w:p>
        </w:tc>
      </w:tr>
      <w:tr w:rsidR="00F303E0" w:rsidRPr="00EE5714" w14:paraId="4FD4DC69" w14:textId="77777777" w:rsidTr="00533AB2">
        <w:trPr>
          <w:trHeight w:val="274"/>
        </w:trPr>
        <w:tc>
          <w:tcPr>
            <w:tcW w:w="1620" w:type="dxa"/>
            <w:tcBorders>
              <w:top w:val="nil"/>
              <w:left w:val="single" w:sz="8" w:space="0" w:color="000000"/>
              <w:bottom w:val="single" w:sz="4" w:space="0" w:color="000000"/>
              <w:right w:val="single" w:sz="12" w:space="0" w:color="000000"/>
            </w:tcBorders>
            <w:shd w:val="clear" w:color="auto" w:fill="auto"/>
            <w:noWrap/>
            <w:vAlign w:val="bottom"/>
            <w:hideMark/>
          </w:tcPr>
          <w:p w14:paraId="628403F0" w14:textId="77777777" w:rsidR="00F303E0" w:rsidRPr="00EE5714" w:rsidRDefault="00F303E0" w:rsidP="00533AB2">
            <w:pPr>
              <w:keepNext/>
              <w:spacing w:after="0" w:line="240" w:lineRule="auto"/>
              <w:rPr>
                <w:rFonts w:ascii="Calibri" w:eastAsia="Times New Roman" w:hAnsi="Calibri" w:cs="Calibri"/>
                <w:color w:val="000000"/>
                <w:sz w:val="21"/>
                <w:szCs w:val="21"/>
              </w:rPr>
            </w:pPr>
          </w:p>
        </w:tc>
        <w:tc>
          <w:tcPr>
            <w:tcW w:w="216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7D980A57"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2064"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4CD1AAFC"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2166"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299574C"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2160"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6FB6B89A"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409B9A6D"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34189AB6" w14:textId="77777777" w:rsidR="00F303E0" w:rsidRPr="00EE5714" w:rsidRDefault="00F303E0" w:rsidP="00533AB2">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Duquesne*</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2EF4078B" w14:textId="77777777" w:rsidR="00F303E0" w:rsidRPr="00EE5714" w:rsidRDefault="00F303E0" w:rsidP="00533AB2">
            <w:pPr>
              <w:keepNext/>
              <w:spacing w:after="0" w:line="240" w:lineRule="auto"/>
              <w:jc w:val="center"/>
              <w:rPr>
                <w:rFonts w:eastAsia="Times New Roman" w:cstheme="minorHAnsi"/>
                <w:color w:val="000000"/>
                <w:sz w:val="21"/>
                <w:szCs w:val="21"/>
              </w:rPr>
            </w:pPr>
            <w:r w:rsidRPr="00EE5714">
              <w:rPr>
                <w:rFonts w:ascii="Calibri" w:eastAsia="Times New Roman" w:hAnsi="Calibri" w:cs="Calibri"/>
                <w:color w:val="000000"/>
                <w:sz w:val="21"/>
                <w:szCs w:val="21"/>
              </w:rPr>
              <w:t>$3,033</w:t>
            </w:r>
          </w:p>
        </w:tc>
        <w:tc>
          <w:tcPr>
            <w:tcW w:w="2064" w:type="dxa"/>
            <w:tcBorders>
              <w:top w:val="nil"/>
              <w:left w:val="nil"/>
              <w:bottom w:val="single" w:sz="4" w:space="0" w:color="000000"/>
              <w:right w:val="single" w:sz="4" w:space="0" w:color="000000"/>
            </w:tcBorders>
            <w:shd w:val="clear" w:color="auto" w:fill="auto"/>
            <w:noWrap/>
            <w:vAlign w:val="center"/>
          </w:tcPr>
          <w:p w14:paraId="62D227A6" w14:textId="77777777" w:rsidR="00F303E0" w:rsidRPr="00EE5714" w:rsidRDefault="00F303E0" w:rsidP="00533AB2">
            <w:pPr>
              <w:keepNext/>
              <w:spacing w:after="0" w:line="240" w:lineRule="auto"/>
              <w:jc w:val="center"/>
              <w:rPr>
                <w:rFonts w:eastAsia="Times New Roman" w:cstheme="minorHAnsi"/>
                <w:color w:val="000000"/>
                <w:sz w:val="21"/>
                <w:szCs w:val="21"/>
              </w:rPr>
            </w:pPr>
            <w:r w:rsidRPr="00EE5714">
              <w:rPr>
                <w:rFonts w:ascii="Calibri" w:eastAsia="Times New Roman" w:hAnsi="Calibri" w:cs="Calibri"/>
                <w:color w:val="000000"/>
                <w:sz w:val="21"/>
                <w:szCs w:val="21"/>
              </w:rPr>
              <w:t>$3,033</w:t>
            </w:r>
          </w:p>
        </w:tc>
        <w:tc>
          <w:tcPr>
            <w:tcW w:w="2166" w:type="dxa"/>
            <w:tcBorders>
              <w:top w:val="nil"/>
              <w:left w:val="nil"/>
              <w:bottom w:val="single" w:sz="4" w:space="0" w:color="000000"/>
              <w:right w:val="single" w:sz="4" w:space="0" w:color="000000"/>
            </w:tcBorders>
            <w:shd w:val="clear" w:color="auto" w:fill="auto"/>
            <w:noWrap/>
            <w:vAlign w:val="center"/>
          </w:tcPr>
          <w:p w14:paraId="33480870" w14:textId="77777777" w:rsidR="00F303E0" w:rsidRPr="00EE5714" w:rsidRDefault="00F303E0" w:rsidP="00533AB2">
            <w:pPr>
              <w:keepNext/>
              <w:spacing w:after="0" w:line="240" w:lineRule="auto"/>
              <w:jc w:val="center"/>
              <w:rPr>
                <w:rFonts w:eastAsia="Times New Roman" w:cstheme="minorHAnsi"/>
                <w:color w:val="000000"/>
                <w:sz w:val="21"/>
                <w:szCs w:val="21"/>
              </w:rPr>
            </w:pPr>
            <w:r w:rsidRPr="00EE5714">
              <w:rPr>
                <w:rFonts w:ascii="Calibri" w:eastAsia="Times New Roman" w:hAnsi="Calibri" w:cs="Calibri"/>
                <w:color w:val="000000"/>
                <w:sz w:val="21"/>
                <w:szCs w:val="21"/>
              </w:rPr>
              <w:t>$2,943</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6D787133" w14:textId="77777777" w:rsidR="00F303E0" w:rsidRPr="00EE5714" w:rsidRDefault="00F303E0" w:rsidP="00533AB2">
            <w:pPr>
              <w:keepNext/>
              <w:spacing w:after="0" w:line="240" w:lineRule="auto"/>
              <w:jc w:val="center"/>
              <w:rPr>
                <w:rFonts w:eastAsia="Times New Roman" w:cstheme="minorHAnsi"/>
                <w:color w:val="000000"/>
                <w:sz w:val="21"/>
                <w:szCs w:val="21"/>
              </w:rPr>
            </w:pPr>
            <w:r w:rsidRPr="00EE5714">
              <w:rPr>
                <w:rFonts w:ascii="Calibri" w:eastAsia="Times New Roman" w:hAnsi="Calibri" w:cs="Calibri"/>
                <w:color w:val="000000"/>
                <w:sz w:val="21"/>
                <w:szCs w:val="21"/>
              </w:rPr>
              <w:t>$3,122</w:t>
            </w:r>
          </w:p>
        </w:tc>
      </w:tr>
      <w:tr w:rsidR="00F303E0" w:rsidRPr="00EE5714" w14:paraId="4F60E378"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2C802CD4"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4C4483B4"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$8,570</w:t>
            </w:r>
          </w:p>
        </w:tc>
        <w:tc>
          <w:tcPr>
            <w:tcW w:w="2064" w:type="dxa"/>
            <w:tcBorders>
              <w:top w:val="nil"/>
              <w:left w:val="nil"/>
              <w:bottom w:val="single" w:sz="4" w:space="0" w:color="000000"/>
              <w:right w:val="single" w:sz="4" w:space="0" w:color="000000"/>
            </w:tcBorders>
            <w:shd w:val="clear" w:color="auto" w:fill="auto"/>
            <w:noWrap/>
            <w:vAlign w:val="center"/>
          </w:tcPr>
          <w:p w14:paraId="7B7D5D30"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$6,942</w:t>
            </w:r>
          </w:p>
        </w:tc>
        <w:tc>
          <w:tcPr>
            <w:tcW w:w="2166" w:type="dxa"/>
            <w:tcBorders>
              <w:top w:val="nil"/>
              <w:left w:val="nil"/>
              <w:bottom w:val="single" w:sz="4" w:space="0" w:color="000000"/>
              <w:right w:val="single" w:sz="4" w:space="0" w:color="000000"/>
            </w:tcBorders>
            <w:shd w:val="clear" w:color="auto" w:fill="auto"/>
            <w:noWrap/>
            <w:vAlign w:val="center"/>
          </w:tcPr>
          <w:p w14:paraId="136D019C"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$7,289</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57E38B39"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$7,404</w:t>
            </w:r>
          </w:p>
        </w:tc>
      </w:tr>
      <w:tr w:rsidR="00F303E0" w:rsidRPr="00EE5714" w14:paraId="71D240C3"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530363A9"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441327E8"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$5,040</w:t>
            </w:r>
          </w:p>
        </w:tc>
        <w:tc>
          <w:tcPr>
            <w:tcW w:w="2064" w:type="dxa"/>
            <w:tcBorders>
              <w:top w:val="nil"/>
              <w:left w:val="nil"/>
              <w:bottom w:val="single" w:sz="4" w:space="0" w:color="000000"/>
              <w:right w:val="single" w:sz="4" w:space="0" w:color="000000"/>
            </w:tcBorders>
            <w:shd w:val="clear" w:color="auto" w:fill="auto"/>
            <w:noWrap/>
            <w:vAlign w:val="center"/>
          </w:tcPr>
          <w:p w14:paraId="2DEEBD22"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$4,866</w:t>
            </w:r>
          </w:p>
        </w:tc>
        <w:tc>
          <w:tcPr>
            <w:tcW w:w="2166" w:type="dxa"/>
            <w:tcBorders>
              <w:top w:val="nil"/>
              <w:left w:val="nil"/>
              <w:bottom w:val="single" w:sz="4" w:space="0" w:color="000000"/>
              <w:right w:val="single" w:sz="4" w:space="0" w:color="000000"/>
            </w:tcBorders>
            <w:shd w:val="clear" w:color="auto" w:fill="auto"/>
            <w:noWrap/>
            <w:vAlign w:val="center"/>
          </w:tcPr>
          <w:p w14:paraId="3ADA90A0"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$5,063</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6DEB2AB5"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$4,973</w:t>
            </w:r>
          </w:p>
        </w:tc>
      </w:tr>
      <w:tr w:rsidR="00F303E0" w:rsidRPr="00EE5714" w14:paraId="62F9DBFC"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2A0B5EF8" w14:textId="77777777" w:rsidR="00F303E0" w:rsidRPr="00EE5714" w:rsidRDefault="00F303E0" w:rsidP="00851815">
            <w:pPr>
              <w:keepNext/>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114719C0"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$7,504</w:t>
            </w:r>
          </w:p>
        </w:tc>
        <w:tc>
          <w:tcPr>
            <w:tcW w:w="2064" w:type="dxa"/>
            <w:tcBorders>
              <w:top w:val="nil"/>
              <w:left w:val="nil"/>
              <w:bottom w:val="single" w:sz="4" w:space="0" w:color="000000"/>
              <w:right w:val="single" w:sz="4" w:space="0" w:color="000000"/>
            </w:tcBorders>
            <w:shd w:val="clear" w:color="auto" w:fill="auto"/>
            <w:noWrap/>
            <w:vAlign w:val="center"/>
          </w:tcPr>
          <w:p w14:paraId="6FB3A36E"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$7,127</w:t>
            </w:r>
          </w:p>
        </w:tc>
        <w:tc>
          <w:tcPr>
            <w:tcW w:w="2166" w:type="dxa"/>
            <w:tcBorders>
              <w:top w:val="nil"/>
              <w:left w:val="nil"/>
              <w:bottom w:val="single" w:sz="4" w:space="0" w:color="000000"/>
              <w:right w:val="single" w:sz="4" w:space="0" w:color="000000"/>
            </w:tcBorders>
            <w:shd w:val="clear" w:color="auto" w:fill="auto"/>
            <w:noWrap/>
            <w:vAlign w:val="center"/>
          </w:tcPr>
          <w:p w14:paraId="59919424"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$7,429</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40ED198C"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$7,291</w:t>
            </w:r>
          </w:p>
        </w:tc>
      </w:tr>
      <w:tr w:rsidR="00F303E0" w:rsidRPr="00EE5714" w14:paraId="7645EE75"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2679415E"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Penn Power</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14CD7F6E"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$8,061</w:t>
            </w:r>
          </w:p>
        </w:tc>
        <w:tc>
          <w:tcPr>
            <w:tcW w:w="2064" w:type="dxa"/>
            <w:tcBorders>
              <w:top w:val="nil"/>
              <w:left w:val="nil"/>
              <w:bottom w:val="single" w:sz="4" w:space="0" w:color="000000"/>
              <w:right w:val="single" w:sz="4" w:space="0" w:color="000000"/>
            </w:tcBorders>
            <w:shd w:val="clear" w:color="auto" w:fill="auto"/>
            <w:noWrap/>
            <w:vAlign w:val="center"/>
          </w:tcPr>
          <w:p w14:paraId="2A9E4EFE"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$7,337</w:t>
            </w:r>
          </w:p>
        </w:tc>
        <w:tc>
          <w:tcPr>
            <w:tcW w:w="2166" w:type="dxa"/>
            <w:tcBorders>
              <w:top w:val="nil"/>
              <w:left w:val="nil"/>
              <w:bottom w:val="single" w:sz="4" w:space="0" w:color="000000"/>
              <w:right w:val="single" w:sz="4" w:space="0" w:color="000000"/>
            </w:tcBorders>
            <w:shd w:val="clear" w:color="auto" w:fill="auto"/>
            <w:noWrap/>
            <w:vAlign w:val="center"/>
          </w:tcPr>
          <w:p w14:paraId="16492A50"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$7,691</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0FE8EFD8"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$8,506</w:t>
            </w:r>
          </w:p>
        </w:tc>
      </w:tr>
      <w:tr w:rsidR="00F303E0" w:rsidRPr="00EE5714" w14:paraId="659D7F10"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73D9F929"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PPL</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0C388113"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$6,735</w:t>
            </w:r>
          </w:p>
        </w:tc>
        <w:tc>
          <w:tcPr>
            <w:tcW w:w="2064" w:type="dxa"/>
            <w:tcBorders>
              <w:top w:val="nil"/>
              <w:left w:val="nil"/>
              <w:bottom w:val="single" w:sz="4" w:space="0" w:color="000000"/>
              <w:right w:val="single" w:sz="4" w:space="0" w:color="000000"/>
            </w:tcBorders>
            <w:shd w:val="clear" w:color="auto" w:fill="auto"/>
            <w:noWrap/>
            <w:vAlign w:val="center"/>
          </w:tcPr>
          <w:p w14:paraId="6EBC6E05"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$6,744</w:t>
            </w:r>
          </w:p>
        </w:tc>
        <w:tc>
          <w:tcPr>
            <w:tcW w:w="2166" w:type="dxa"/>
            <w:tcBorders>
              <w:top w:val="nil"/>
              <w:left w:val="nil"/>
              <w:bottom w:val="single" w:sz="4" w:space="0" w:color="000000"/>
              <w:right w:val="single" w:sz="4" w:space="0" w:color="000000"/>
            </w:tcBorders>
            <w:shd w:val="clear" w:color="auto" w:fill="auto"/>
            <w:noWrap/>
            <w:vAlign w:val="center"/>
          </w:tcPr>
          <w:p w14:paraId="4DD5B7E4"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$6,811</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1AFC8C42"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$6,978</w:t>
            </w:r>
          </w:p>
        </w:tc>
      </w:tr>
      <w:tr w:rsidR="00F303E0" w:rsidRPr="00EE5714" w14:paraId="76DBA654"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662086C4"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West Penn</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08DEF402"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$5,826</w:t>
            </w:r>
          </w:p>
        </w:tc>
        <w:tc>
          <w:tcPr>
            <w:tcW w:w="2064" w:type="dxa"/>
            <w:tcBorders>
              <w:top w:val="nil"/>
              <w:left w:val="nil"/>
              <w:bottom w:val="single" w:sz="4" w:space="0" w:color="000000"/>
              <w:right w:val="single" w:sz="4" w:space="0" w:color="000000"/>
            </w:tcBorders>
            <w:shd w:val="clear" w:color="auto" w:fill="auto"/>
            <w:noWrap/>
            <w:vAlign w:val="center"/>
          </w:tcPr>
          <w:p w14:paraId="6C43AC4B"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$4,801</w:t>
            </w:r>
          </w:p>
        </w:tc>
        <w:tc>
          <w:tcPr>
            <w:tcW w:w="2166" w:type="dxa"/>
            <w:tcBorders>
              <w:top w:val="nil"/>
              <w:left w:val="nil"/>
              <w:bottom w:val="single" w:sz="4" w:space="0" w:color="000000"/>
              <w:right w:val="single" w:sz="4" w:space="0" w:color="000000"/>
            </w:tcBorders>
            <w:shd w:val="clear" w:color="auto" w:fill="auto"/>
            <w:noWrap/>
            <w:vAlign w:val="center"/>
          </w:tcPr>
          <w:p w14:paraId="7B35A298"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$7,451</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53AB8A0B"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$7,781</w:t>
            </w:r>
          </w:p>
        </w:tc>
      </w:tr>
    </w:tbl>
    <w:p w14:paraId="6388D8A7" w14:textId="77777777" w:rsidR="00F303E0" w:rsidRPr="00EE5714" w:rsidRDefault="00F303E0" w:rsidP="00F303E0">
      <w:pPr>
        <w:pStyle w:val="NoSpacing"/>
        <w:rPr>
          <w:rFonts w:cs="Times New Roman"/>
          <w:sz w:val="24"/>
          <w:szCs w:val="24"/>
        </w:rPr>
      </w:pPr>
      <w:r w:rsidRPr="00EE5714">
        <w:rPr>
          <w:rFonts w:cs="Times New Roman"/>
          <w:sz w:val="24"/>
          <w:szCs w:val="24"/>
        </w:rPr>
        <w:t>*Duquesne Average CAP Income for 2012-2013 is estimated.</w:t>
      </w:r>
    </w:p>
    <w:p w14:paraId="13EC6D7D" w14:textId="77777777" w:rsidR="00F303E0" w:rsidRPr="00EE5714" w:rsidRDefault="00F303E0" w:rsidP="00F303E0">
      <w:pPr>
        <w:pStyle w:val="NoSpacing"/>
        <w:rPr>
          <w:rFonts w:cs="Times New Roman"/>
          <w:szCs w:val="26"/>
        </w:rPr>
      </w:pPr>
    </w:p>
    <w:p w14:paraId="703120AF" w14:textId="77777777" w:rsidR="00F303E0" w:rsidRPr="00EE5714" w:rsidRDefault="00F303E0" w:rsidP="00F303E0">
      <w:pPr>
        <w:pStyle w:val="NoSpacing"/>
        <w:rPr>
          <w:rFonts w:cs="Times New Roman"/>
          <w:szCs w:val="26"/>
        </w:rPr>
      </w:pPr>
    </w:p>
    <w:p w14:paraId="27BFD655" w14:textId="77777777" w:rsidR="00F303E0" w:rsidRPr="00EE5714" w:rsidRDefault="00F857A1" w:rsidP="00F303E0">
      <w:pPr>
        <w:pStyle w:val="NoSpacing"/>
        <w:keepNext/>
        <w:rPr>
          <w:rFonts w:cs="Times New Roman"/>
          <w:szCs w:val="26"/>
        </w:rPr>
      </w:pPr>
      <w:r w:rsidRPr="00EE5714">
        <w:rPr>
          <w:rFonts w:cs="Times New Roman"/>
          <w:szCs w:val="26"/>
        </w:rPr>
        <w:t>Appendix 3</w:t>
      </w:r>
      <w:r w:rsidR="00F303E0" w:rsidRPr="00EE5714">
        <w:rPr>
          <w:rFonts w:cs="Times New Roman"/>
          <w:szCs w:val="26"/>
        </w:rPr>
        <w:t>.A.</w:t>
      </w:r>
      <w:r w:rsidR="00861387" w:rsidRPr="00EE5714">
        <w:rPr>
          <w:rFonts w:cs="Times New Roman"/>
          <w:szCs w:val="26"/>
        </w:rPr>
        <w:t>24</w:t>
      </w:r>
      <w:r w:rsidR="00F303E0" w:rsidRPr="00EE5714">
        <w:rPr>
          <w:rFonts w:cs="Times New Roman"/>
          <w:szCs w:val="26"/>
        </w:rPr>
        <w:t xml:space="preserve">: </w:t>
      </w:r>
      <w:r w:rsidR="00F303E0" w:rsidRPr="00EE5714">
        <w:rPr>
          <w:rFonts w:eastAsia="Times New Roman" w:cs="Times New Roman"/>
          <w:b/>
          <w:bCs/>
          <w:color w:val="000000"/>
          <w:szCs w:val="26"/>
        </w:rPr>
        <w:t>EDC Heating LIHEAP Recipients at 51-100% FPIG</w:t>
      </w:r>
    </w:p>
    <w:tbl>
      <w:tblPr>
        <w:tblW w:w="10170" w:type="dxa"/>
        <w:tblInd w:w="-370" w:type="dxa"/>
        <w:tblLayout w:type="fixed"/>
        <w:tblLook w:val="04A0" w:firstRow="1" w:lastRow="0" w:firstColumn="1" w:lastColumn="0" w:noHBand="0" w:noVBand="1"/>
      </w:tblPr>
      <w:tblGrid>
        <w:gridCol w:w="1620"/>
        <w:gridCol w:w="1080"/>
        <w:gridCol w:w="1080"/>
        <w:gridCol w:w="1080"/>
        <w:gridCol w:w="1080"/>
        <w:gridCol w:w="1057"/>
        <w:gridCol w:w="1013"/>
        <w:gridCol w:w="1080"/>
        <w:gridCol w:w="1080"/>
      </w:tblGrid>
      <w:tr w:rsidR="00F303E0" w:rsidRPr="00EE5714" w14:paraId="3D134E05" w14:textId="77777777" w:rsidTr="00533AB2">
        <w:trPr>
          <w:trHeight w:val="300"/>
        </w:trPr>
        <w:tc>
          <w:tcPr>
            <w:tcW w:w="10170" w:type="dxa"/>
            <w:gridSpan w:val="9"/>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058E3EFE" w14:textId="77777777" w:rsidR="00F303E0" w:rsidRPr="00EE5714" w:rsidRDefault="00F303E0" w:rsidP="00533AB2">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Heating LIHEAP Recipients at 51-100% FPIG</w:t>
            </w:r>
          </w:p>
        </w:tc>
      </w:tr>
      <w:tr w:rsidR="00F303E0" w:rsidRPr="00EE5714" w14:paraId="518FB87B" w14:textId="77777777" w:rsidTr="00533AB2">
        <w:trPr>
          <w:trHeight w:val="300"/>
        </w:trPr>
        <w:tc>
          <w:tcPr>
            <w:tcW w:w="162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28A4F50D" w14:textId="77777777" w:rsidR="00F303E0" w:rsidRPr="00EE5714" w:rsidRDefault="00F303E0" w:rsidP="00533AB2">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320" w:type="dxa"/>
            <w:gridSpan w:val="4"/>
            <w:tcBorders>
              <w:top w:val="single" w:sz="12" w:space="0" w:color="000000"/>
              <w:left w:val="single" w:sz="12" w:space="0" w:color="000000"/>
              <w:bottom w:val="single" w:sz="4" w:space="0" w:color="000000"/>
              <w:right w:val="single" w:sz="12" w:space="0" w:color="000000"/>
            </w:tcBorders>
            <w:shd w:val="clear" w:color="auto" w:fill="auto"/>
            <w:noWrap/>
            <w:vAlign w:val="bottom"/>
            <w:hideMark/>
          </w:tcPr>
          <w:p w14:paraId="5B59C864" w14:textId="77777777" w:rsidR="00F303E0" w:rsidRPr="00EE5714" w:rsidRDefault="00F303E0" w:rsidP="00533AB2">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Average CAP Bill </w:t>
            </w:r>
          </w:p>
        </w:tc>
        <w:tc>
          <w:tcPr>
            <w:tcW w:w="4230" w:type="dxa"/>
            <w:gridSpan w:val="4"/>
            <w:tcBorders>
              <w:top w:val="single" w:sz="12" w:space="0" w:color="000000"/>
              <w:left w:val="single" w:sz="12" w:space="0" w:color="000000"/>
              <w:bottom w:val="single" w:sz="4" w:space="0" w:color="000000"/>
              <w:right w:val="single" w:sz="12" w:space="0" w:color="000000"/>
            </w:tcBorders>
            <w:vAlign w:val="bottom"/>
          </w:tcPr>
          <w:p w14:paraId="1E6987E9" w14:textId="77777777" w:rsidR="00F303E0" w:rsidRPr="00EE5714" w:rsidRDefault="00F303E0" w:rsidP="00533AB2">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Average LIHEAP Dollars Applied</w:t>
            </w:r>
          </w:p>
        </w:tc>
      </w:tr>
      <w:tr w:rsidR="00994922" w:rsidRPr="00EE5714" w14:paraId="08CC1E0B" w14:textId="77777777" w:rsidTr="00994922">
        <w:trPr>
          <w:trHeight w:val="274"/>
        </w:trPr>
        <w:tc>
          <w:tcPr>
            <w:tcW w:w="1620" w:type="dxa"/>
            <w:tcBorders>
              <w:top w:val="nil"/>
              <w:left w:val="single" w:sz="8" w:space="0" w:color="000000"/>
              <w:bottom w:val="single" w:sz="4" w:space="0" w:color="000000"/>
              <w:right w:val="single" w:sz="12" w:space="0" w:color="000000"/>
            </w:tcBorders>
            <w:shd w:val="clear" w:color="auto" w:fill="auto"/>
            <w:noWrap/>
            <w:vAlign w:val="bottom"/>
            <w:hideMark/>
          </w:tcPr>
          <w:p w14:paraId="11A5216D" w14:textId="77777777" w:rsidR="00F303E0" w:rsidRPr="00EE5714" w:rsidRDefault="00F303E0" w:rsidP="00533AB2">
            <w:pPr>
              <w:keepNext/>
              <w:spacing w:after="0" w:line="240" w:lineRule="auto"/>
              <w:rPr>
                <w:rFonts w:ascii="Calibri" w:eastAsia="Times New Roman" w:hAnsi="Calibri" w:cs="Calibri"/>
                <w:color w:val="000000"/>
                <w:sz w:val="21"/>
                <w:szCs w:val="21"/>
              </w:rPr>
            </w:pPr>
          </w:p>
        </w:tc>
        <w:tc>
          <w:tcPr>
            <w:tcW w:w="108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070004CE"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6C4FAC6"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DD550A6"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080" w:type="dxa"/>
            <w:tcBorders>
              <w:top w:val="nil"/>
              <w:left w:val="nil"/>
              <w:bottom w:val="single" w:sz="4" w:space="0" w:color="000000"/>
              <w:right w:val="single" w:sz="12" w:space="0" w:color="000000"/>
            </w:tcBorders>
            <w:shd w:val="clear" w:color="auto" w:fill="F2F2F2" w:themeFill="background1" w:themeFillShade="F2"/>
            <w:noWrap/>
            <w:vAlign w:val="bottom"/>
            <w:hideMark/>
          </w:tcPr>
          <w:p w14:paraId="2B83DE87"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057" w:type="dxa"/>
            <w:tcBorders>
              <w:top w:val="nil"/>
              <w:left w:val="single" w:sz="12" w:space="0" w:color="000000"/>
              <w:bottom w:val="single" w:sz="4" w:space="0" w:color="000000"/>
              <w:right w:val="single" w:sz="8" w:space="0" w:color="000000"/>
            </w:tcBorders>
            <w:shd w:val="clear" w:color="auto" w:fill="F2F2F2" w:themeFill="background1" w:themeFillShade="F2"/>
            <w:vAlign w:val="bottom"/>
          </w:tcPr>
          <w:p w14:paraId="7CFC9C02"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13" w:type="dxa"/>
            <w:tcBorders>
              <w:top w:val="nil"/>
              <w:left w:val="nil"/>
              <w:bottom w:val="single" w:sz="4" w:space="0" w:color="000000"/>
              <w:right w:val="single" w:sz="8" w:space="0" w:color="000000"/>
            </w:tcBorders>
            <w:shd w:val="clear" w:color="auto" w:fill="F2F2F2" w:themeFill="background1" w:themeFillShade="F2"/>
            <w:vAlign w:val="bottom"/>
          </w:tcPr>
          <w:p w14:paraId="01F9F70F"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nil"/>
              <w:left w:val="nil"/>
              <w:bottom w:val="single" w:sz="4" w:space="0" w:color="000000"/>
              <w:right w:val="single" w:sz="8" w:space="0" w:color="000000"/>
            </w:tcBorders>
            <w:shd w:val="clear" w:color="auto" w:fill="F2F2F2" w:themeFill="background1" w:themeFillShade="F2"/>
            <w:vAlign w:val="bottom"/>
          </w:tcPr>
          <w:p w14:paraId="6D87B783"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080" w:type="dxa"/>
            <w:tcBorders>
              <w:top w:val="nil"/>
              <w:left w:val="nil"/>
              <w:bottom w:val="single" w:sz="4" w:space="0" w:color="000000"/>
              <w:right w:val="single" w:sz="12" w:space="0" w:color="000000"/>
            </w:tcBorders>
            <w:shd w:val="clear" w:color="auto" w:fill="F2F2F2" w:themeFill="background1" w:themeFillShade="F2"/>
            <w:vAlign w:val="bottom"/>
          </w:tcPr>
          <w:p w14:paraId="0A981E39" w14:textId="77777777" w:rsidR="00F303E0" w:rsidRPr="00EE5714" w:rsidRDefault="00F303E0" w:rsidP="00533AB2">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0D927F85"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19A93B5A" w14:textId="77777777" w:rsidR="00F303E0" w:rsidRPr="00EE5714" w:rsidRDefault="00F303E0" w:rsidP="00533AB2">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 xml:space="preserve">Duquesne** </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0C56BDBF" w14:textId="77777777" w:rsidR="00F303E0" w:rsidRPr="00EE5714" w:rsidRDefault="00F303E0" w:rsidP="00533AB2">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$1,212.25</w:t>
            </w:r>
          </w:p>
        </w:tc>
        <w:tc>
          <w:tcPr>
            <w:tcW w:w="1080" w:type="dxa"/>
            <w:tcBorders>
              <w:top w:val="nil"/>
              <w:left w:val="nil"/>
              <w:bottom w:val="single" w:sz="4" w:space="0" w:color="000000"/>
              <w:right w:val="single" w:sz="4" w:space="0" w:color="000000"/>
            </w:tcBorders>
            <w:shd w:val="clear" w:color="auto" w:fill="auto"/>
            <w:noWrap/>
            <w:vAlign w:val="center"/>
          </w:tcPr>
          <w:p w14:paraId="76B9F7E3" w14:textId="77777777" w:rsidR="00F303E0" w:rsidRPr="00EE5714" w:rsidRDefault="00F303E0" w:rsidP="00533AB2">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$1,212.25</w:t>
            </w:r>
          </w:p>
        </w:tc>
        <w:tc>
          <w:tcPr>
            <w:tcW w:w="1080" w:type="dxa"/>
            <w:tcBorders>
              <w:top w:val="nil"/>
              <w:left w:val="nil"/>
              <w:bottom w:val="single" w:sz="4" w:space="0" w:color="000000"/>
              <w:right w:val="single" w:sz="4" w:space="0" w:color="000000"/>
            </w:tcBorders>
            <w:shd w:val="clear" w:color="auto" w:fill="auto"/>
            <w:noWrap/>
            <w:vAlign w:val="center"/>
          </w:tcPr>
          <w:p w14:paraId="5767C5CF" w14:textId="77777777" w:rsidR="00F303E0" w:rsidRPr="00EE5714" w:rsidRDefault="00F303E0" w:rsidP="00533AB2">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$1,250.21</w:t>
            </w:r>
          </w:p>
        </w:tc>
        <w:tc>
          <w:tcPr>
            <w:tcW w:w="1080" w:type="dxa"/>
            <w:tcBorders>
              <w:top w:val="nil"/>
              <w:left w:val="nil"/>
              <w:bottom w:val="single" w:sz="4" w:space="0" w:color="000000"/>
              <w:right w:val="single" w:sz="12" w:space="0" w:color="000000"/>
            </w:tcBorders>
            <w:shd w:val="clear" w:color="auto" w:fill="auto"/>
            <w:noWrap/>
            <w:vAlign w:val="center"/>
          </w:tcPr>
          <w:p w14:paraId="431C8A43" w14:textId="77777777" w:rsidR="00F303E0" w:rsidRPr="00EE5714" w:rsidRDefault="00F303E0" w:rsidP="00533AB2">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$1,174.29</w:t>
            </w:r>
          </w:p>
        </w:tc>
        <w:tc>
          <w:tcPr>
            <w:tcW w:w="1057" w:type="dxa"/>
            <w:tcBorders>
              <w:top w:val="nil"/>
              <w:left w:val="single" w:sz="12" w:space="0" w:color="000000"/>
              <w:bottom w:val="single" w:sz="4" w:space="0" w:color="000000"/>
              <w:right w:val="single" w:sz="8" w:space="0" w:color="000000"/>
            </w:tcBorders>
            <w:vAlign w:val="center"/>
          </w:tcPr>
          <w:p w14:paraId="38F1140B" w14:textId="77777777" w:rsidR="00F303E0" w:rsidRPr="00EE5714" w:rsidRDefault="00F303E0" w:rsidP="00533AB2">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$309.81</w:t>
            </w:r>
          </w:p>
        </w:tc>
        <w:tc>
          <w:tcPr>
            <w:tcW w:w="1013" w:type="dxa"/>
            <w:tcBorders>
              <w:top w:val="nil"/>
              <w:left w:val="nil"/>
              <w:bottom w:val="single" w:sz="4" w:space="0" w:color="000000"/>
              <w:right w:val="single" w:sz="8" w:space="0" w:color="000000"/>
            </w:tcBorders>
            <w:vAlign w:val="center"/>
          </w:tcPr>
          <w:p w14:paraId="139AAC76" w14:textId="77777777" w:rsidR="00F303E0" w:rsidRPr="00EE5714" w:rsidRDefault="00F303E0" w:rsidP="00533AB2">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$309.81</w:t>
            </w:r>
          </w:p>
        </w:tc>
        <w:tc>
          <w:tcPr>
            <w:tcW w:w="1080" w:type="dxa"/>
            <w:tcBorders>
              <w:top w:val="nil"/>
              <w:left w:val="nil"/>
              <w:bottom w:val="single" w:sz="4" w:space="0" w:color="000000"/>
              <w:right w:val="single" w:sz="8" w:space="0" w:color="000000"/>
            </w:tcBorders>
            <w:vAlign w:val="center"/>
          </w:tcPr>
          <w:p w14:paraId="2FD6E2C4" w14:textId="77777777" w:rsidR="00F303E0" w:rsidRPr="00EE5714" w:rsidRDefault="00F303E0" w:rsidP="00533AB2">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$274.03</w:t>
            </w:r>
          </w:p>
        </w:tc>
        <w:tc>
          <w:tcPr>
            <w:tcW w:w="1080" w:type="dxa"/>
            <w:tcBorders>
              <w:top w:val="nil"/>
              <w:left w:val="nil"/>
              <w:bottom w:val="single" w:sz="4" w:space="0" w:color="000000"/>
              <w:right w:val="single" w:sz="12" w:space="0" w:color="000000"/>
            </w:tcBorders>
            <w:vAlign w:val="center"/>
          </w:tcPr>
          <w:p w14:paraId="61C64002" w14:textId="77777777" w:rsidR="00F303E0" w:rsidRPr="00EE5714" w:rsidRDefault="00F303E0" w:rsidP="00533AB2">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$338.61</w:t>
            </w:r>
          </w:p>
        </w:tc>
      </w:tr>
      <w:tr w:rsidR="00F303E0" w:rsidRPr="00EE5714" w14:paraId="768E9DB8"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4832CF48"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6046DF5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$746.07</w:t>
            </w:r>
          </w:p>
        </w:tc>
        <w:tc>
          <w:tcPr>
            <w:tcW w:w="1080" w:type="dxa"/>
            <w:tcBorders>
              <w:top w:val="nil"/>
              <w:left w:val="nil"/>
              <w:bottom w:val="single" w:sz="4" w:space="0" w:color="000000"/>
              <w:right w:val="single" w:sz="4" w:space="0" w:color="000000"/>
            </w:tcBorders>
            <w:shd w:val="clear" w:color="auto" w:fill="auto"/>
            <w:noWrap/>
            <w:vAlign w:val="center"/>
          </w:tcPr>
          <w:p w14:paraId="19F1D7F5"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$1,745.90</w:t>
            </w:r>
          </w:p>
        </w:tc>
        <w:tc>
          <w:tcPr>
            <w:tcW w:w="1080" w:type="dxa"/>
            <w:tcBorders>
              <w:top w:val="nil"/>
              <w:left w:val="nil"/>
              <w:bottom w:val="single" w:sz="4" w:space="0" w:color="000000"/>
              <w:right w:val="single" w:sz="4" w:space="0" w:color="000000"/>
            </w:tcBorders>
            <w:shd w:val="clear" w:color="auto" w:fill="auto"/>
            <w:noWrap/>
            <w:vAlign w:val="center"/>
          </w:tcPr>
          <w:p w14:paraId="6DF687F3"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$1,585.44</w:t>
            </w:r>
          </w:p>
        </w:tc>
        <w:tc>
          <w:tcPr>
            <w:tcW w:w="1080" w:type="dxa"/>
            <w:tcBorders>
              <w:top w:val="nil"/>
              <w:left w:val="nil"/>
              <w:bottom w:val="single" w:sz="4" w:space="0" w:color="000000"/>
              <w:right w:val="single" w:sz="12" w:space="0" w:color="000000"/>
            </w:tcBorders>
            <w:shd w:val="clear" w:color="auto" w:fill="auto"/>
            <w:noWrap/>
            <w:vAlign w:val="center"/>
          </w:tcPr>
          <w:p w14:paraId="25CA6D17"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$1,591.07</w:t>
            </w:r>
          </w:p>
        </w:tc>
        <w:tc>
          <w:tcPr>
            <w:tcW w:w="1057" w:type="dxa"/>
            <w:tcBorders>
              <w:top w:val="nil"/>
              <w:left w:val="single" w:sz="12" w:space="0" w:color="000000"/>
              <w:bottom w:val="single" w:sz="4" w:space="0" w:color="000000"/>
              <w:right w:val="single" w:sz="8" w:space="0" w:color="000000"/>
            </w:tcBorders>
            <w:vAlign w:val="center"/>
          </w:tcPr>
          <w:p w14:paraId="61C7CFEA"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$304.42</w:t>
            </w:r>
          </w:p>
        </w:tc>
        <w:tc>
          <w:tcPr>
            <w:tcW w:w="1013" w:type="dxa"/>
            <w:tcBorders>
              <w:top w:val="nil"/>
              <w:left w:val="nil"/>
              <w:bottom w:val="single" w:sz="4" w:space="0" w:color="000000"/>
              <w:right w:val="single" w:sz="8" w:space="0" w:color="000000"/>
            </w:tcBorders>
            <w:vAlign w:val="center"/>
          </w:tcPr>
          <w:p w14:paraId="4980259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$332.84</w:t>
            </w:r>
          </w:p>
        </w:tc>
        <w:tc>
          <w:tcPr>
            <w:tcW w:w="1080" w:type="dxa"/>
            <w:tcBorders>
              <w:top w:val="nil"/>
              <w:left w:val="nil"/>
              <w:bottom w:val="single" w:sz="4" w:space="0" w:color="000000"/>
              <w:right w:val="single" w:sz="8" w:space="0" w:color="000000"/>
            </w:tcBorders>
            <w:vAlign w:val="center"/>
          </w:tcPr>
          <w:p w14:paraId="542DF22F"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$329.84</w:t>
            </w:r>
          </w:p>
        </w:tc>
        <w:tc>
          <w:tcPr>
            <w:tcW w:w="1080" w:type="dxa"/>
            <w:tcBorders>
              <w:top w:val="nil"/>
              <w:left w:val="nil"/>
              <w:bottom w:val="single" w:sz="4" w:space="0" w:color="000000"/>
              <w:right w:val="single" w:sz="12" w:space="0" w:color="000000"/>
            </w:tcBorders>
            <w:vAlign w:val="center"/>
          </w:tcPr>
          <w:p w14:paraId="01B0CBFF"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$316.05</w:t>
            </w:r>
          </w:p>
        </w:tc>
      </w:tr>
      <w:tr w:rsidR="00F303E0" w:rsidRPr="00EE5714" w14:paraId="6E6FE32C"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5845A2DE"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0285F558"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$1,033.90</w:t>
            </w:r>
          </w:p>
        </w:tc>
        <w:tc>
          <w:tcPr>
            <w:tcW w:w="1080" w:type="dxa"/>
            <w:tcBorders>
              <w:top w:val="nil"/>
              <w:left w:val="nil"/>
              <w:bottom w:val="single" w:sz="4" w:space="0" w:color="000000"/>
              <w:right w:val="single" w:sz="4" w:space="0" w:color="000000"/>
            </w:tcBorders>
            <w:shd w:val="clear" w:color="auto" w:fill="auto"/>
            <w:noWrap/>
            <w:vAlign w:val="center"/>
          </w:tcPr>
          <w:p w14:paraId="6821EA83"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$1,033.90</w:t>
            </w:r>
          </w:p>
        </w:tc>
        <w:tc>
          <w:tcPr>
            <w:tcW w:w="1080" w:type="dxa"/>
            <w:tcBorders>
              <w:top w:val="nil"/>
              <w:left w:val="nil"/>
              <w:bottom w:val="single" w:sz="4" w:space="0" w:color="000000"/>
              <w:right w:val="single" w:sz="4" w:space="0" w:color="000000"/>
            </w:tcBorders>
            <w:shd w:val="clear" w:color="auto" w:fill="auto"/>
            <w:noWrap/>
            <w:vAlign w:val="center"/>
          </w:tcPr>
          <w:p w14:paraId="782E909C"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$1,033.90</w:t>
            </w:r>
          </w:p>
        </w:tc>
        <w:tc>
          <w:tcPr>
            <w:tcW w:w="1080" w:type="dxa"/>
            <w:tcBorders>
              <w:top w:val="nil"/>
              <w:left w:val="nil"/>
              <w:bottom w:val="single" w:sz="4" w:space="0" w:color="000000"/>
              <w:right w:val="single" w:sz="12" w:space="0" w:color="000000"/>
            </w:tcBorders>
            <w:shd w:val="clear" w:color="auto" w:fill="auto"/>
            <w:noWrap/>
            <w:vAlign w:val="center"/>
          </w:tcPr>
          <w:p w14:paraId="2D6EAC88"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$1,033.90</w:t>
            </w:r>
          </w:p>
        </w:tc>
        <w:tc>
          <w:tcPr>
            <w:tcW w:w="1057" w:type="dxa"/>
            <w:tcBorders>
              <w:top w:val="nil"/>
              <w:left w:val="single" w:sz="12" w:space="0" w:color="000000"/>
              <w:bottom w:val="single" w:sz="4" w:space="0" w:color="000000"/>
              <w:right w:val="single" w:sz="8" w:space="0" w:color="000000"/>
            </w:tcBorders>
            <w:vAlign w:val="center"/>
          </w:tcPr>
          <w:p w14:paraId="09DD9AA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$312.38</w:t>
            </w:r>
          </w:p>
        </w:tc>
        <w:tc>
          <w:tcPr>
            <w:tcW w:w="1013" w:type="dxa"/>
            <w:tcBorders>
              <w:top w:val="nil"/>
              <w:left w:val="nil"/>
              <w:bottom w:val="single" w:sz="4" w:space="0" w:color="000000"/>
              <w:right w:val="single" w:sz="8" w:space="0" w:color="000000"/>
            </w:tcBorders>
            <w:vAlign w:val="center"/>
          </w:tcPr>
          <w:p w14:paraId="1581AEF7"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$289.01</w:t>
            </w:r>
          </w:p>
        </w:tc>
        <w:tc>
          <w:tcPr>
            <w:tcW w:w="1080" w:type="dxa"/>
            <w:tcBorders>
              <w:top w:val="nil"/>
              <w:left w:val="nil"/>
              <w:bottom w:val="single" w:sz="4" w:space="0" w:color="000000"/>
              <w:right w:val="single" w:sz="8" w:space="0" w:color="000000"/>
            </w:tcBorders>
            <w:vAlign w:val="center"/>
          </w:tcPr>
          <w:p w14:paraId="2B21EE1B"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$324.00</w:t>
            </w:r>
          </w:p>
        </w:tc>
        <w:tc>
          <w:tcPr>
            <w:tcW w:w="1080" w:type="dxa"/>
            <w:tcBorders>
              <w:top w:val="nil"/>
              <w:left w:val="nil"/>
              <w:bottom w:val="single" w:sz="4" w:space="0" w:color="000000"/>
              <w:right w:val="single" w:sz="12" w:space="0" w:color="000000"/>
            </w:tcBorders>
            <w:vAlign w:val="center"/>
          </w:tcPr>
          <w:p w14:paraId="4FB85A6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$330.50</w:t>
            </w:r>
          </w:p>
        </w:tc>
      </w:tr>
      <w:tr w:rsidR="00F303E0" w:rsidRPr="00EE5714" w14:paraId="643A6DE4"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556B0811" w14:textId="77777777" w:rsidR="00F303E0" w:rsidRPr="00EE5714" w:rsidRDefault="00F303E0" w:rsidP="00851815">
            <w:pPr>
              <w:keepNext/>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06216266"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$711.62</w:t>
            </w:r>
          </w:p>
        </w:tc>
        <w:tc>
          <w:tcPr>
            <w:tcW w:w="1080" w:type="dxa"/>
            <w:tcBorders>
              <w:top w:val="nil"/>
              <w:left w:val="nil"/>
              <w:bottom w:val="single" w:sz="4" w:space="0" w:color="000000"/>
              <w:right w:val="single" w:sz="4" w:space="0" w:color="000000"/>
            </w:tcBorders>
            <w:shd w:val="clear" w:color="auto" w:fill="auto"/>
            <w:noWrap/>
            <w:vAlign w:val="center"/>
          </w:tcPr>
          <w:p w14:paraId="49C89DF3"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$1,919.97</w:t>
            </w:r>
          </w:p>
        </w:tc>
        <w:tc>
          <w:tcPr>
            <w:tcW w:w="1080" w:type="dxa"/>
            <w:tcBorders>
              <w:top w:val="nil"/>
              <w:left w:val="nil"/>
              <w:bottom w:val="single" w:sz="4" w:space="0" w:color="000000"/>
              <w:right w:val="single" w:sz="4" w:space="0" w:color="000000"/>
            </w:tcBorders>
            <w:shd w:val="clear" w:color="auto" w:fill="auto"/>
            <w:noWrap/>
            <w:vAlign w:val="center"/>
          </w:tcPr>
          <w:p w14:paraId="30604447"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$1,463.41</w:t>
            </w:r>
          </w:p>
        </w:tc>
        <w:tc>
          <w:tcPr>
            <w:tcW w:w="1080" w:type="dxa"/>
            <w:tcBorders>
              <w:top w:val="nil"/>
              <w:left w:val="nil"/>
              <w:bottom w:val="single" w:sz="4" w:space="0" w:color="000000"/>
              <w:right w:val="single" w:sz="12" w:space="0" w:color="000000"/>
            </w:tcBorders>
            <w:shd w:val="clear" w:color="auto" w:fill="auto"/>
            <w:noWrap/>
            <w:vAlign w:val="center"/>
          </w:tcPr>
          <w:p w14:paraId="782818D4"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$1,461.04</w:t>
            </w:r>
          </w:p>
        </w:tc>
        <w:tc>
          <w:tcPr>
            <w:tcW w:w="1057" w:type="dxa"/>
            <w:tcBorders>
              <w:top w:val="nil"/>
              <w:left w:val="single" w:sz="12" w:space="0" w:color="000000"/>
              <w:bottom w:val="single" w:sz="4" w:space="0" w:color="000000"/>
              <w:right w:val="single" w:sz="8" w:space="0" w:color="000000"/>
            </w:tcBorders>
            <w:vAlign w:val="center"/>
          </w:tcPr>
          <w:p w14:paraId="354D7055"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$342.40</w:t>
            </w:r>
          </w:p>
        </w:tc>
        <w:tc>
          <w:tcPr>
            <w:tcW w:w="1013" w:type="dxa"/>
            <w:tcBorders>
              <w:top w:val="nil"/>
              <w:left w:val="nil"/>
              <w:bottom w:val="single" w:sz="4" w:space="0" w:color="000000"/>
              <w:right w:val="single" w:sz="8" w:space="0" w:color="000000"/>
            </w:tcBorders>
            <w:vAlign w:val="center"/>
          </w:tcPr>
          <w:p w14:paraId="76DB3555"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$337.32</w:t>
            </w:r>
          </w:p>
        </w:tc>
        <w:tc>
          <w:tcPr>
            <w:tcW w:w="1080" w:type="dxa"/>
            <w:tcBorders>
              <w:top w:val="nil"/>
              <w:left w:val="nil"/>
              <w:bottom w:val="single" w:sz="4" w:space="0" w:color="000000"/>
              <w:right w:val="single" w:sz="8" w:space="0" w:color="000000"/>
            </w:tcBorders>
            <w:vAlign w:val="center"/>
          </w:tcPr>
          <w:p w14:paraId="5299F085"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$358.36</w:t>
            </w:r>
          </w:p>
        </w:tc>
        <w:tc>
          <w:tcPr>
            <w:tcW w:w="1080" w:type="dxa"/>
            <w:tcBorders>
              <w:top w:val="nil"/>
              <w:left w:val="nil"/>
              <w:bottom w:val="single" w:sz="4" w:space="0" w:color="000000"/>
              <w:right w:val="single" w:sz="12" w:space="0" w:color="000000"/>
            </w:tcBorders>
            <w:vAlign w:val="center"/>
          </w:tcPr>
          <w:p w14:paraId="76ACF4DB"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$362.91</w:t>
            </w:r>
          </w:p>
        </w:tc>
      </w:tr>
      <w:tr w:rsidR="00F303E0" w:rsidRPr="00EE5714" w14:paraId="016E689C"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3096B93E"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Penn Power</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214D4B34"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$887.30</w:t>
            </w:r>
          </w:p>
        </w:tc>
        <w:tc>
          <w:tcPr>
            <w:tcW w:w="1080" w:type="dxa"/>
            <w:tcBorders>
              <w:top w:val="nil"/>
              <w:left w:val="nil"/>
              <w:bottom w:val="single" w:sz="4" w:space="0" w:color="000000"/>
              <w:right w:val="single" w:sz="4" w:space="0" w:color="000000"/>
            </w:tcBorders>
            <w:shd w:val="clear" w:color="auto" w:fill="auto"/>
            <w:noWrap/>
            <w:vAlign w:val="center"/>
          </w:tcPr>
          <w:p w14:paraId="2D4ACEE7"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$2,091.90</w:t>
            </w:r>
          </w:p>
        </w:tc>
        <w:tc>
          <w:tcPr>
            <w:tcW w:w="1080" w:type="dxa"/>
            <w:tcBorders>
              <w:top w:val="nil"/>
              <w:left w:val="nil"/>
              <w:bottom w:val="single" w:sz="4" w:space="0" w:color="000000"/>
              <w:right w:val="single" w:sz="4" w:space="0" w:color="000000"/>
            </w:tcBorders>
            <w:shd w:val="clear" w:color="auto" w:fill="auto"/>
            <w:noWrap/>
            <w:vAlign w:val="center"/>
          </w:tcPr>
          <w:p w14:paraId="29F0328F"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$1,973.95</w:t>
            </w:r>
          </w:p>
        </w:tc>
        <w:tc>
          <w:tcPr>
            <w:tcW w:w="1080" w:type="dxa"/>
            <w:tcBorders>
              <w:top w:val="nil"/>
              <w:left w:val="nil"/>
              <w:bottom w:val="single" w:sz="4" w:space="0" w:color="000000"/>
              <w:right w:val="single" w:sz="12" w:space="0" w:color="000000"/>
            </w:tcBorders>
            <w:shd w:val="clear" w:color="auto" w:fill="auto"/>
            <w:noWrap/>
            <w:vAlign w:val="center"/>
          </w:tcPr>
          <w:p w14:paraId="7ED06C17"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$2,119.39</w:t>
            </w:r>
          </w:p>
        </w:tc>
        <w:tc>
          <w:tcPr>
            <w:tcW w:w="1057" w:type="dxa"/>
            <w:tcBorders>
              <w:top w:val="nil"/>
              <w:left w:val="single" w:sz="12" w:space="0" w:color="000000"/>
              <w:bottom w:val="single" w:sz="4" w:space="0" w:color="000000"/>
              <w:right w:val="single" w:sz="8" w:space="0" w:color="000000"/>
            </w:tcBorders>
            <w:vAlign w:val="center"/>
          </w:tcPr>
          <w:p w14:paraId="1CCFADE3"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$331.41</w:t>
            </w:r>
          </w:p>
        </w:tc>
        <w:tc>
          <w:tcPr>
            <w:tcW w:w="1013" w:type="dxa"/>
            <w:tcBorders>
              <w:top w:val="nil"/>
              <w:left w:val="nil"/>
              <w:bottom w:val="single" w:sz="4" w:space="0" w:color="000000"/>
              <w:right w:val="single" w:sz="8" w:space="0" w:color="000000"/>
            </w:tcBorders>
            <w:vAlign w:val="center"/>
          </w:tcPr>
          <w:p w14:paraId="664E96EF"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$339.10</w:t>
            </w:r>
          </w:p>
        </w:tc>
        <w:tc>
          <w:tcPr>
            <w:tcW w:w="1080" w:type="dxa"/>
            <w:tcBorders>
              <w:top w:val="nil"/>
              <w:left w:val="nil"/>
              <w:bottom w:val="single" w:sz="4" w:space="0" w:color="000000"/>
              <w:right w:val="single" w:sz="8" w:space="0" w:color="000000"/>
            </w:tcBorders>
            <w:vAlign w:val="center"/>
          </w:tcPr>
          <w:p w14:paraId="700134E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$346.29</w:t>
            </w:r>
          </w:p>
        </w:tc>
        <w:tc>
          <w:tcPr>
            <w:tcW w:w="1080" w:type="dxa"/>
            <w:tcBorders>
              <w:top w:val="nil"/>
              <w:left w:val="nil"/>
              <w:bottom w:val="single" w:sz="4" w:space="0" w:color="000000"/>
              <w:right w:val="single" w:sz="12" w:space="0" w:color="000000"/>
            </w:tcBorders>
            <w:vAlign w:val="center"/>
          </w:tcPr>
          <w:p w14:paraId="79565E59"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$381.23</w:t>
            </w:r>
          </w:p>
        </w:tc>
      </w:tr>
      <w:tr w:rsidR="00F303E0" w:rsidRPr="00EE5714" w14:paraId="1B03CC7F"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03AFC7EC"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PPL</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09955266"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$2,880.36</w:t>
            </w:r>
          </w:p>
        </w:tc>
        <w:tc>
          <w:tcPr>
            <w:tcW w:w="1080" w:type="dxa"/>
            <w:tcBorders>
              <w:top w:val="nil"/>
              <w:left w:val="nil"/>
              <w:bottom w:val="single" w:sz="4" w:space="0" w:color="000000"/>
              <w:right w:val="single" w:sz="4" w:space="0" w:color="000000"/>
            </w:tcBorders>
            <w:shd w:val="clear" w:color="auto" w:fill="auto"/>
            <w:noWrap/>
            <w:vAlign w:val="center"/>
          </w:tcPr>
          <w:p w14:paraId="4086D1BA"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$2,574.72</w:t>
            </w:r>
          </w:p>
        </w:tc>
        <w:tc>
          <w:tcPr>
            <w:tcW w:w="1080" w:type="dxa"/>
            <w:tcBorders>
              <w:top w:val="nil"/>
              <w:left w:val="nil"/>
              <w:bottom w:val="single" w:sz="4" w:space="0" w:color="000000"/>
              <w:right w:val="single" w:sz="4" w:space="0" w:color="000000"/>
            </w:tcBorders>
            <w:shd w:val="clear" w:color="auto" w:fill="auto"/>
            <w:noWrap/>
            <w:vAlign w:val="center"/>
          </w:tcPr>
          <w:p w14:paraId="0F28AFC3"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$2,793.60</w:t>
            </w:r>
          </w:p>
        </w:tc>
        <w:tc>
          <w:tcPr>
            <w:tcW w:w="1080" w:type="dxa"/>
            <w:tcBorders>
              <w:top w:val="nil"/>
              <w:left w:val="nil"/>
              <w:bottom w:val="single" w:sz="4" w:space="0" w:color="000000"/>
              <w:right w:val="single" w:sz="12" w:space="0" w:color="000000"/>
            </w:tcBorders>
            <w:shd w:val="clear" w:color="auto" w:fill="auto"/>
            <w:noWrap/>
            <w:vAlign w:val="center"/>
          </w:tcPr>
          <w:p w14:paraId="26EB73B4"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$1,801.20</w:t>
            </w:r>
          </w:p>
        </w:tc>
        <w:tc>
          <w:tcPr>
            <w:tcW w:w="1057" w:type="dxa"/>
            <w:tcBorders>
              <w:top w:val="nil"/>
              <w:left w:val="single" w:sz="12" w:space="0" w:color="000000"/>
              <w:bottom w:val="single" w:sz="4" w:space="0" w:color="000000"/>
              <w:right w:val="single" w:sz="8" w:space="0" w:color="000000"/>
            </w:tcBorders>
            <w:vAlign w:val="center"/>
          </w:tcPr>
          <w:p w14:paraId="31C28C25"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$355.35</w:t>
            </w:r>
          </w:p>
        </w:tc>
        <w:tc>
          <w:tcPr>
            <w:tcW w:w="1013" w:type="dxa"/>
            <w:tcBorders>
              <w:top w:val="nil"/>
              <w:left w:val="nil"/>
              <w:bottom w:val="single" w:sz="4" w:space="0" w:color="000000"/>
              <w:right w:val="single" w:sz="8" w:space="0" w:color="000000"/>
            </w:tcBorders>
            <w:vAlign w:val="center"/>
          </w:tcPr>
          <w:p w14:paraId="0F87336C"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$344.54</w:t>
            </w:r>
          </w:p>
        </w:tc>
        <w:tc>
          <w:tcPr>
            <w:tcW w:w="1080" w:type="dxa"/>
            <w:tcBorders>
              <w:top w:val="nil"/>
              <w:left w:val="nil"/>
              <w:bottom w:val="single" w:sz="4" w:space="0" w:color="000000"/>
              <w:right w:val="single" w:sz="8" w:space="0" w:color="000000"/>
            </w:tcBorders>
            <w:vAlign w:val="center"/>
          </w:tcPr>
          <w:p w14:paraId="50CC70C1"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$385.33</w:t>
            </w:r>
          </w:p>
        </w:tc>
        <w:tc>
          <w:tcPr>
            <w:tcW w:w="1080" w:type="dxa"/>
            <w:tcBorders>
              <w:top w:val="nil"/>
              <w:left w:val="nil"/>
              <w:bottom w:val="single" w:sz="4" w:space="0" w:color="000000"/>
              <w:right w:val="single" w:sz="12" w:space="0" w:color="000000"/>
            </w:tcBorders>
            <w:vAlign w:val="center"/>
          </w:tcPr>
          <w:p w14:paraId="4E0E70A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$336.22</w:t>
            </w:r>
          </w:p>
        </w:tc>
      </w:tr>
      <w:tr w:rsidR="00F303E0" w:rsidRPr="00EE5714" w14:paraId="267E84E8" w14:textId="77777777" w:rsidTr="00533AB2">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7BC8EF36"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West Penn</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668DEAF8"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$729.63</w:t>
            </w:r>
          </w:p>
        </w:tc>
        <w:tc>
          <w:tcPr>
            <w:tcW w:w="1080" w:type="dxa"/>
            <w:tcBorders>
              <w:top w:val="nil"/>
              <w:left w:val="nil"/>
              <w:bottom w:val="single" w:sz="4" w:space="0" w:color="000000"/>
              <w:right w:val="single" w:sz="4" w:space="0" w:color="000000"/>
            </w:tcBorders>
            <w:shd w:val="clear" w:color="auto" w:fill="auto"/>
            <w:noWrap/>
            <w:vAlign w:val="center"/>
          </w:tcPr>
          <w:p w14:paraId="6D7C0BC6"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$1,981.00</w:t>
            </w:r>
          </w:p>
        </w:tc>
        <w:tc>
          <w:tcPr>
            <w:tcW w:w="1080" w:type="dxa"/>
            <w:tcBorders>
              <w:top w:val="nil"/>
              <w:left w:val="nil"/>
              <w:bottom w:val="single" w:sz="4" w:space="0" w:color="000000"/>
              <w:right w:val="single" w:sz="4" w:space="0" w:color="000000"/>
            </w:tcBorders>
            <w:shd w:val="clear" w:color="auto" w:fill="auto"/>
            <w:noWrap/>
            <w:vAlign w:val="center"/>
          </w:tcPr>
          <w:p w14:paraId="4ADCA969"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$1,751.70</w:t>
            </w:r>
          </w:p>
        </w:tc>
        <w:tc>
          <w:tcPr>
            <w:tcW w:w="1080" w:type="dxa"/>
            <w:tcBorders>
              <w:top w:val="nil"/>
              <w:left w:val="nil"/>
              <w:bottom w:val="single" w:sz="4" w:space="0" w:color="000000"/>
              <w:right w:val="single" w:sz="12" w:space="0" w:color="000000"/>
            </w:tcBorders>
            <w:shd w:val="clear" w:color="auto" w:fill="auto"/>
            <w:noWrap/>
            <w:vAlign w:val="center"/>
          </w:tcPr>
          <w:p w14:paraId="0E5BEC0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$1,761.10</w:t>
            </w:r>
          </w:p>
        </w:tc>
        <w:tc>
          <w:tcPr>
            <w:tcW w:w="1057" w:type="dxa"/>
            <w:tcBorders>
              <w:top w:val="nil"/>
              <w:left w:val="single" w:sz="12" w:space="0" w:color="000000"/>
              <w:bottom w:val="single" w:sz="4" w:space="0" w:color="000000"/>
              <w:right w:val="single" w:sz="8" w:space="0" w:color="000000"/>
            </w:tcBorders>
            <w:vAlign w:val="center"/>
          </w:tcPr>
          <w:p w14:paraId="77798115"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$339.48</w:t>
            </w:r>
          </w:p>
        </w:tc>
        <w:tc>
          <w:tcPr>
            <w:tcW w:w="1013" w:type="dxa"/>
            <w:tcBorders>
              <w:top w:val="nil"/>
              <w:left w:val="nil"/>
              <w:bottom w:val="single" w:sz="4" w:space="0" w:color="000000"/>
              <w:right w:val="single" w:sz="8" w:space="0" w:color="000000"/>
            </w:tcBorders>
            <w:vAlign w:val="center"/>
          </w:tcPr>
          <w:p w14:paraId="0B59EE9B"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$315.49</w:t>
            </w:r>
          </w:p>
        </w:tc>
        <w:tc>
          <w:tcPr>
            <w:tcW w:w="1080" w:type="dxa"/>
            <w:tcBorders>
              <w:top w:val="nil"/>
              <w:left w:val="nil"/>
              <w:bottom w:val="single" w:sz="4" w:space="0" w:color="000000"/>
              <w:right w:val="single" w:sz="8" w:space="0" w:color="000000"/>
            </w:tcBorders>
            <w:vAlign w:val="center"/>
          </w:tcPr>
          <w:p w14:paraId="14235A0C"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$350.21</w:t>
            </w:r>
          </w:p>
        </w:tc>
        <w:tc>
          <w:tcPr>
            <w:tcW w:w="1080" w:type="dxa"/>
            <w:tcBorders>
              <w:top w:val="nil"/>
              <w:left w:val="nil"/>
              <w:bottom w:val="single" w:sz="4" w:space="0" w:color="000000"/>
              <w:right w:val="single" w:sz="12" w:space="0" w:color="000000"/>
            </w:tcBorders>
            <w:vAlign w:val="center"/>
          </w:tcPr>
          <w:p w14:paraId="2B423881"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$336.94</w:t>
            </w:r>
          </w:p>
        </w:tc>
      </w:tr>
    </w:tbl>
    <w:p w14:paraId="5EBD7C2A" w14:textId="77777777" w:rsidR="00F303E0" w:rsidRPr="00EE5714" w:rsidRDefault="00F303E0" w:rsidP="00F303E0">
      <w:pPr>
        <w:pStyle w:val="NoSpacing"/>
        <w:keepNext/>
        <w:rPr>
          <w:rFonts w:cs="Times New Roman"/>
          <w:sz w:val="24"/>
          <w:szCs w:val="24"/>
        </w:rPr>
      </w:pPr>
      <w:r w:rsidRPr="00EE5714">
        <w:rPr>
          <w:rFonts w:cs="Times New Roman"/>
          <w:sz w:val="24"/>
          <w:szCs w:val="24"/>
        </w:rPr>
        <w:t>*PECO Average CAP Bill for 2012-2015 is estimated.</w:t>
      </w:r>
    </w:p>
    <w:p w14:paraId="265146D4" w14:textId="77777777" w:rsidR="00F303E0" w:rsidRPr="00EE5714" w:rsidRDefault="00F303E0" w:rsidP="00F303E0">
      <w:pPr>
        <w:pStyle w:val="NoSpacing"/>
        <w:rPr>
          <w:rFonts w:cs="Times New Roman"/>
          <w:sz w:val="24"/>
          <w:szCs w:val="24"/>
        </w:rPr>
      </w:pPr>
      <w:r w:rsidRPr="00EE5714">
        <w:rPr>
          <w:rFonts w:cs="Times New Roman"/>
          <w:sz w:val="24"/>
          <w:szCs w:val="24"/>
        </w:rPr>
        <w:t>**Duquesne Average CAP Bill for 2012-2013 is estimated.</w:t>
      </w:r>
    </w:p>
    <w:p w14:paraId="1716F841" w14:textId="77777777" w:rsidR="00F303E0" w:rsidRPr="00EE5714" w:rsidRDefault="00F303E0" w:rsidP="00F303E0">
      <w:pPr>
        <w:pStyle w:val="NoSpacing"/>
        <w:rPr>
          <w:rFonts w:cs="Times New Roman"/>
          <w:szCs w:val="26"/>
        </w:rPr>
      </w:pPr>
    </w:p>
    <w:p w14:paraId="673E82CB" w14:textId="77777777" w:rsidR="00F303E0" w:rsidRPr="00EE5714" w:rsidRDefault="00F303E0" w:rsidP="00F303E0">
      <w:pPr>
        <w:pStyle w:val="NoSpacing"/>
        <w:rPr>
          <w:rFonts w:cs="Times New Roman"/>
          <w:szCs w:val="26"/>
        </w:rPr>
      </w:pPr>
    </w:p>
    <w:p w14:paraId="642C93E4" w14:textId="77777777" w:rsidR="00F303E0" w:rsidRPr="00EE5714" w:rsidRDefault="00F857A1" w:rsidP="00B572AD">
      <w:pPr>
        <w:pStyle w:val="NoSpacing"/>
        <w:keepNext/>
        <w:rPr>
          <w:rFonts w:cs="Times New Roman"/>
          <w:szCs w:val="26"/>
        </w:rPr>
      </w:pPr>
      <w:r w:rsidRPr="00EE5714">
        <w:rPr>
          <w:rFonts w:cs="Times New Roman"/>
          <w:szCs w:val="26"/>
        </w:rPr>
        <w:t>Appendix 3</w:t>
      </w:r>
      <w:r w:rsidR="00F303E0" w:rsidRPr="00EE5714">
        <w:rPr>
          <w:rFonts w:cs="Times New Roman"/>
          <w:szCs w:val="26"/>
        </w:rPr>
        <w:t>.A.</w:t>
      </w:r>
      <w:r w:rsidR="00861387" w:rsidRPr="00EE5714">
        <w:rPr>
          <w:rFonts w:cs="Times New Roman"/>
          <w:szCs w:val="26"/>
        </w:rPr>
        <w:t>25</w:t>
      </w:r>
      <w:r w:rsidR="00F303E0" w:rsidRPr="00EE5714">
        <w:rPr>
          <w:rFonts w:cs="Times New Roman"/>
          <w:szCs w:val="26"/>
        </w:rPr>
        <w:t xml:space="preserve">: </w:t>
      </w:r>
      <w:r w:rsidR="00F303E0" w:rsidRPr="00EE5714">
        <w:rPr>
          <w:rFonts w:eastAsia="Times New Roman" w:cs="Times New Roman"/>
          <w:b/>
          <w:bCs/>
          <w:color w:val="000000"/>
          <w:szCs w:val="26"/>
        </w:rPr>
        <w:t>EDC Heating LIHEAP Recipients –</w:t>
      </w:r>
      <w:r w:rsidR="00F303E0" w:rsidRPr="00EE5714">
        <w:rPr>
          <w:rFonts w:eastAsia="Times New Roman" w:cs="Times New Roman"/>
          <w:b/>
          <w:color w:val="000000"/>
          <w:szCs w:val="26"/>
        </w:rPr>
        <w:t xml:space="preserve"> Average Annual </w:t>
      </w:r>
      <w:r w:rsidR="00F303E0" w:rsidRPr="00EE5714">
        <w:rPr>
          <w:rFonts w:eastAsia="Times New Roman" w:cs="Times New Roman"/>
          <w:b/>
          <w:bCs/>
          <w:color w:val="000000"/>
          <w:szCs w:val="26"/>
        </w:rPr>
        <w:t>CAP</w:t>
      </w:r>
      <w:r w:rsidR="00F303E0" w:rsidRPr="00EE5714">
        <w:rPr>
          <w:rFonts w:eastAsia="Times New Roman" w:cs="Times New Roman"/>
          <w:b/>
          <w:color w:val="000000"/>
          <w:szCs w:val="26"/>
        </w:rPr>
        <w:t xml:space="preserve"> Income at </w:t>
      </w:r>
      <w:r w:rsidR="00F303E0" w:rsidRPr="00EE5714">
        <w:rPr>
          <w:rFonts w:eastAsia="Times New Roman" w:cs="Times New Roman"/>
          <w:b/>
          <w:bCs/>
          <w:color w:val="000000"/>
          <w:szCs w:val="26"/>
        </w:rPr>
        <w:t>51-100% FPIG</w:t>
      </w:r>
    </w:p>
    <w:tbl>
      <w:tblPr>
        <w:tblW w:w="10170" w:type="dxa"/>
        <w:tblInd w:w="-370" w:type="dxa"/>
        <w:tblLayout w:type="fixed"/>
        <w:tblLook w:val="04A0" w:firstRow="1" w:lastRow="0" w:firstColumn="1" w:lastColumn="0" w:noHBand="0" w:noVBand="1"/>
      </w:tblPr>
      <w:tblGrid>
        <w:gridCol w:w="1620"/>
        <w:gridCol w:w="2160"/>
        <w:gridCol w:w="2064"/>
        <w:gridCol w:w="2166"/>
        <w:gridCol w:w="2160"/>
      </w:tblGrid>
      <w:tr w:rsidR="00F303E0" w:rsidRPr="00EE5714" w14:paraId="326A9005" w14:textId="77777777" w:rsidTr="00B572AD">
        <w:trPr>
          <w:trHeight w:val="300"/>
        </w:trPr>
        <w:tc>
          <w:tcPr>
            <w:tcW w:w="10170" w:type="dxa"/>
            <w:gridSpan w:val="5"/>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1D326C1F" w14:textId="77777777" w:rsidR="00F303E0" w:rsidRPr="00EE5714" w:rsidRDefault="00F303E0" w:rsidP="00B572AD">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Heating LIHEAP Recipients –</w:t>
            </w:r>
            <w:r w:rsidRPr="00EE5714">
              <w:rPr>
                <w:rFonts w:ascii="Calibri" w:eastAsia="Times New Roman" w:hAnsi="Calibri" w:cs="Calibri"/>
                <w:b/>
                <w:color w:val="000000"/>
              </w:rPr>
              <w:t xml:space="preserve"> Average Annual </w:t>
            </w:r>
            <w:r w:rsidRPr="00EE5714">
              <w:rPr>
                <w:rFonts w:ascii="Calibri" w:eastAsia="Times New Roman" w:hAnsi="Calibri" w:cs="Calibri"/>
                <w:b/>
                <w:bCs/>
                <w:color w:val="000000"/>
              </w:rPr>
              <w:t>CAP</w:t>
            </w:r>
            <w:r w:rsidRPr="00EE5714">
              <w:rPr>
                <w:rFonts w:ascii="Calibri" w:eastAsia="Times New Roman" w:hAnsi="Calibri" w:cs="Calibri"/>
                <w:b/>
                <w:color w:val="000000"/>
              </w:rPr>
              <w:t xml:space="preserve"> Income at </w:t>
            </w:r>
            <w:r w:rsidRPr="00EE5714">
              <w:rPr>
                <w:rFonts w:ascii="Calibri" w:eastAsia="Times New Roman" w:hAnsi="Calibri" w:cs="Calibri"/>
                <w:b/>
                <w:bCs/>
                <w:color w:val="000000"/>
              </w:rPr>
              <w:t>51-100% FPIG</w:t>
            </w:r>
          </w:p>
        </w:tc>
      </w:tr>
      <w:tr w:rsidR="00F303E0" w:rsidRPr="00EE5714" w14:paraId="492AD4F9" w14:textId="77777777" w:rsidTr="00B572AD">
        <w:trPr>
          <w:trHeight w:val="274"/>
        </w:trPr>
        <w:tc>
          <w:tcPr>
            <w:tcW w:w="1620" w:type="dxa"/>
            <w:tcBorders>
              <w:top w:val="nil"/>
              <w:left w:val="single" w:sz="8" w:space="0" w:color="000000"/>
              <w:bottom w:val="single" w:sz="4" w:space="0" w:color="000000"/>
              <w:right w:val="single" w:sz="12" w:space="0" w:color="000000"/>
            </w:tcBorders>
            <w:shd w:val="clear" w:color="auto" w:fill="auto"/>
            <w:noWrap/>
            <w:vAlign w:val="bottom"/>
            <w:hideMark/>
          </w:tcPr>
          <w:p w14:paraId="3D23D07B" w14:textId="77777777" w:rsidR="00F303E0" w:rsidRPr="00EE5714" w:rsidRDefault="00F303E0" w:rsidP="00B572AD">
            <w:pPr>
              <w:keepNext/>
              <w:spacing w:after="0" w:line="240" w:lineRule="auto"/>
              <w:rPr>
                <w:rFonts w:ascii="Calibri" w:eastAsia="Times New Roman" w:hAnsi="Calibri" w:cs="Calibri"/>
                <w:color w:val="000000"/>
                <w:sz w:val="21"/>
                <w:szCs w:val="21"/>
              </w:rPr>
            </w:pPr>
          </w:p>
        </w:tc>
        <w:tc>
          <w:tcPr>
            <w:tcW w:w="216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2201CF29" w14:textId="77777777" w:rsidR="00F303E0" w:rsidRPr="00EE5714" w:rsidRDefault="00F303E0" w:rsidP="00B572AD">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2064"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A750E85" w14:textId="77777777" w:rsidR="00F303E0" w:rsidRPr="00EE5714" w:rsidRDefault="00F303E0" w:rsidP="00B572AD">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2166"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7BAC7C1" w14:textId="77777777" w:rsidR="00F303E0" w:rsidRPr="00EE5714" w:rsidRDefault="00F303E0" w:rsidP="00B572AD">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2160"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138DFCE0" w14:textId="77777777" w:rsidR="00F303E0" w:rsidRPr="00EE5714" w:rsidRDefault="00F303E0" w:rsidP="00B572AD">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4569D61B"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0B3925C2"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 xml:space="preserve">Duquesne* </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2A6A3A07"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$8,446</w:t>
            </w:r>
          </w:p>
        </w:tc>
        <w:tc>
          <w:tcPr>
            <w:tcW w:w="2064" w:type="dxa"/>
            <w:tcBorders>
              <w:top w:val="nil"/>
              <w:left w:val="nil"/>
              <w:bottom w:val="single" w:sz="4" w:space="0" w:color="000000"/>
              <w:right w:val="single" w:sz="4" w:space="0" w:color="000000"/>
            </w:tcBorders>
            <w:shd w:val="clear" w:color="auto" w:fill="auto"/>
            <w:noWrap/>
            <w:vAlign w:val="center"/>
          </w:tcPr>
          <w:p w14:paraId="4840DB03"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$8,446</w:t>
            </w:r>
          </w:p>
        </w:tc>
        <w:tc>
          <w:tcPr>
            <w:tcW w:w="2166" w:type="dxa"/>
            <w:tcBorders>
              <w:top w:val="nil"/>
              <w:left w:val="nil"/>
              <w:bottom w:val="single" w:sz="4" w:space="0" w:color="000000"/>
              <w:right w:val="single" w:sz="4" w:space="0" w:color="000000"/>
            </w:tcBorders>
            <w:shd w:val="clear" w:color="auto" w:fill="auto"/>
            <w:noWrap/>
            <w:vAlign w:val="center"/>
          </w:tcPr>
          <w:p w14:paraId="7B1ECBF7"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$8,165</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6783C6AD"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$8,727</w:t>
            </w:r>
          </w:p>
        </w:tc>
      </w:tr>
      <w:tr w:rsidR="00F303E0" w:rsidRPr="00EE5714" w14:paraId="638B7252"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08479BEF"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3E35D64C"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$12,034</w:t>
            </w:r>
          </w:p>
        </w:tc>
        <w:tc>
          <w:tcPr>
            <w:tcW w:w="2064" w:type="dxa"/>
            <w:tcBorders>
              <w:top w:val="nil"/>
              <w:left w:val="nil"/>
              <w:bottom w:val="single" w:sz="4" w:space="0" w:color="000000"/>
              <w:right w:val="single" w:sz="4" w:space="0" w:color="000000"/>
            </w:tcBorders>
            <w:shd w:val="clear" w:color="auto" w:fill="auto"/>
            <w:noWrap/>
            <w:vAlign w:val="center"/>
          </w:tcPr>
          <w:p w14:paraId="326AFD79"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$12,714</w:t>
            </w:r>
          </w:p>
        </w:tc>
        <w:tc>
          <w:tcPr>
            <w:tcW w:w="2166" w:type="dxa"/>
            <w:tcBorders>
              <w:top w:val="nil"/>
              <w:left w:val="nil"/>
              <w:bottom w:val="single" w:sz="4" w:space="0" w:color="000000"/>
              <w:right w:val="single" w:sz="4" w:space="0" w:color="000000"/>
            </w:tcBorders>
            <w:shd w:val="clear" w:color="auto" w:fill="auto"/>
            <w:noWrap/>
            <w:vAlign w:val="center"/>
          </w:tcPr>
          <w:p w14:paraId="4D8AD8F5"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$12,509</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62B20C37"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$12,510</w:t>
            </w:r>
          </w:p>
        </w:tc>
      </w:tr>
      <w:tr w:rsidR="00F303E0" w:rsidRPr="00EE5714" w14:paraId="1C5344DF"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77AD938B"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590240F1"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$10,147</w:t>
            </w:r>
          </w:p>
        </w:tc>
        <w:tc>
          <w:tcPr>
            <w:tcW w:w="2064" w:type="dxa"/>
            <w:tcBorders>
              <w:top w:val="nil"/>
              <w:left w:val="nil"/>
              <w:bottom w:val="single" w:sz="4" w:space="0" w:color="000000"/>
              <w:right w:val="single" w:sz="4" w:space="0" w:color="000000"/>
            </w:tcBorders>
            <w:shd w:val="clear" w:color="auto" w:fill="auto"/>
            <w:noWrap/>
            <w:vAlign w:val="center"/>
          </w:tcPr>
          <w:p w14:paraId="46824AB9"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$10,445</w:t>
            </w:r>
          </w:p>
        </w:tc>
        <w:tc>
          <w:tcPr>
            <w:tcW w:w="2166" w:type="dxa"/>
            <w:tcBorders>
              <w:top w:val="nil"/>
              <w:left w:val="nil"/>
              <w:bottom w:val="single" w:sz="4" w:space="0" w:color="000000"/>
              <w:right w:val="single" w:sz="4" w:space="0" w:color="000000"/>
            </w:tcBorders>
            <w:shd w:val="clear" w:color="auto" w:fill="auto"/>
            <w:noWrap/>
            <w:vAlign w:val="center"/>
          </w:tcPr>
          <w:p w14:paraId="0F7967A3"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$10,775</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3F89962E"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$11,214</w:t>
            </w:r>
          </w:p>
        </w:tc>
      </w:tr>
      <w:tr w:rsidR="00F303E0" w:rsidRPr="00EE5714" w14:paraId="4066D329"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4185D08A" w14:textId="77777777" w:rsidR="00F303E0" w:rsidRPr="00EE5714" w:rsidRDefault="00F303E0" w:rsidP="00851815">
            <w:pPr>
              <w:keepNext/>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459E1A72"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$10,357</w:t>
            </w:r>
          </w:p>
        </w:tc>
        <w:tc>
          <w:tcPr>
            <w:tcW w:w="2064" w:type="dxa"/>
            <w:tcBorders>
              <w:top w:val="nil"/>
              <w:left w:val="nil"/>
              <w:bottom w:val="single" w:sz="4" w:space="0" w:color="000000"/>
              <w:right w:val="single" w:sz="4" w:space="0" w:color="000000"/>
            </w:tcBorders>
            <w:shd w:val="clear" w:color="auto" w:fill="auto"/>
            <w:noWrap/>
            <w:vAlign w:val="center"/>
          </w:tcPr>
          <w:p w14:paraId="5D6958DC"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$10,744</w:t>
            </w:r>
          </w:p>
        </w:tc>
        <w:tc>
          <w:tcPr>
            <w:tcW w:w="2166" w:type="dxa"/>
            <w:tcBorders>
              <w:top w:val="nil"/>
              <w:left w:val="nil"/>
              <w:bottom w:val="single" w:sz="4" w:space="0" w:color="000000"/>
              <w:right w:val="single" w:sz="4" w:space="0" w:color="000000"/>
            </w:tcBorders>
            <w:shd w:val="clear" w:color="auto" w:fill="auto"/>
            <w:noWrap/>
            <w:vAlign w:val="center"/>
          </w:tcPr>
          <w:p w14:paraId="2D82DAC5"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$10,557</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100F9228"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$10,603</w:t>
            </w:r>
          </w:p>
        </w:tc>
      </w:tr>
      <w:tr w:rsidR="00F303E0" w:rsidRPr="00EE5714" w14:paraId="43B2F42B"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43BFA270"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Penn Power</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29C774A9"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$11,388</w:t>
            </w:r>
          </w:p>
        </w:tc>
        <w:tc>
          <w:tcPr>
            <w:tcW w:w="2064" w:type="dxa"/>
            <w:tcBorders>
              <w:top w:val="nil"/>
              <w:left w:val="nil"/>
              <w:bottom w:val="single" w:sz="4" w:space="0" w:color="000000"/>
              <w:right w:val="single" w:sz="4" w:space="0" w:color="000000"/>
            </w:tcBorders>
            <w:shd w:val="clear" w:color="auto" w:fill="auto"/>
            <w:noWrap/>
            <w:vAlign w:val="center"/>
          </w:tcPr>
          <w:p w14:paraId="63D3464B"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$11,873</w:t>
            </w:r>
          </w:p>
        </w:tc>
        <w:tc>
          <w:tcPr>
            <w:tcW w:w="2166" w:type="dxa"/>
            <w:tcBorders>
              <w:top w:val="nil"/>
              <w:left w:val="nil"/>
              <w:bottom w:val="single" w:sz="4" w:space="0" w:color="000000"/>
              <w:right w:val="single" w:sz="4" w:space="0" w:color="000000"/>
            </w:tcBorders>
            <w:shd w:val="clear" w:color="auto" w:fill="auto"/>
            <w:noWrap/>
            <w:vAlign w:val="center"/>
          </w:tcPr>
          <w:p w14:paraId="3B3C8F5A"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$11,754</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1D543CF3"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$11,466</w:t>
            </w:r>
          </w:p>
        </w:tc>
      </w:tr>
      <w:tr w:rsidR="00F303E0" w:rsidRPr="00EE5714" w14:paraId="37C7C14E"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434DF0CF"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PPL</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201C1137"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$12,878</w:t>
            </w:r>
          </w:p>
        </w:tc>
        <w:tc>
          <w:tcPr>
            <w:tcW w:w="2064" w:type="dxa"/>
            <w:tcBorders>
              <w:top w:val="nil"/>
              <w:left w:val="nil"/>
              <w:bottom w:val="single" w:sz="4" w:space="0" w:color="000000"/>
              <w:right w:val="single" w:sz="4" w:space="0" w:color="000000"/>
            </w:tcBorders>
            <w:shd w:val="clear" w:color="auto" w:fill="auto"/>
            <w:noWrap/>
            <w:vAlign w:val="center"/>
          </w:tcPr>
          <w:p w14:paraId="6FCD208D"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$13,164</w:t>
            </w:r>
          </w:p>
        </w:tc>
        <w:tc>
          <w:tcPr>
            <w:tcW w:w="2166" w:type="dxa"/>
            <w:tcBorders>
              <w:top w:val="nil"/>
              <w:left w:val="nil"/>
              <w:bottom w:val="single" w:sz="4" w:space="0" w:color="000000"/>
              <w:right w:val="single" w:sz="4" w:space="0" w:color="000000"/>
            </w:tcBorders>
            <w:shd w:val="clear" w:color="auto" w:fill="auto"/>
            <w:noWrap/>
            <w:vAlign w:val="center"/>
          </w:tcPr>
          <w:p w14:paraId="2B66BC8E"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$12,493</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1F5C6CD4"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$12,831</w:t>
            </w:r>
          </w:p>
        </w:tc>
      </w:tr>
      <w:tr w:rsidR="00F303E0" w:rsidRPr="00EE5714" w14:paraId="454C62F6"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054FA156"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West Penn</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5AED051B"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$12,245</w:t>
            </w:r>
          </w:p>
        </w:tc>
        <w:tc>
          <w:tcPr>
            <w:tcW w:w="2064" w:type="dxa"/>
            <w:tcBorders>
              <w:top w:val="nil"/>
              <w:left w:val="nil"/>
              <w:bottom w:val="single" w:sz="4" w:space="0" w:color="000000"/>
              <w:right w:val="single" w:sz="4" w:space="0" w:color="000000"/>
            </w:tcBorders>
            <w:shd w:val="clear" w:color="auto" w:fill="auto"/>
            <w:noWrap/>
            <w:vAlign w:val="center"/>
          </w:tcPr>
          <w:p w14:paraId="51E9C4BC"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$12,586</w:t>
            </w:r>
          </w:p>
        </w:tc>
        <w:tc>
          <w:tcPr>
            <w:tcW w:w="2166" w:type="dxa"/>
            <w:tcBorders>
              <w:top w:val="nil"/>
              <w:left w:val="nil"/>
              <w:bottom w:val="single" w:sz="4" w:space="0" w:color="000000"/>
              <w:right w:val="single" w:sz="4" w:space="0" w:color="000000"/>
            </w:tcBorders>
            <w:shd w:val="clear" w:color="auto" w:fill="auto"/>
            <w:noWrap/>
            <w:vAlign w:val="center"/>
          </w:tcPr>
          <w:p w14:paraId="102D37AB"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$12,208</w:t>
            </w:r>
          </w:p>
        </w:tc>
        <w:tc>
          <w:tcPr>
            <w:tcW w:w="2160" w:type="dxa"/>
            <w:tcBorders>
              <w:top w:val="single" w:sz="4" w:space="0" w:color="000000"/>
              <w:left w:val="nil"/>
              <w:bottom w:val="single" w:sz="4" w:space="0" w:color="000000"/>
              <w:right w:val="single" w:sz="8" w:space="0" w:color="000000"/>
            </w:tcBorders>
            <w:shd w:val="clear" w:color="auto" w:fill="auto"/>
            <w:noWrap/>
            <w:vAlign w:val="center"/>
          </w:tcPr>
          <w:p w14:paraId="31BD46A8" w14:textId="77777777" w:rsidR="00F303E0" w:rsidRPr="00EE5714" w:rsidRDefault="00F303E0" w:rsidP="00851815">
            <w:pPr>
              <w:keepNext/>
              <w:jc w:val="center"/>
              <w:rPr>
                <w:rFonts w:eastAsia="Times New Roman" w:cstheme="minorHAnsi"/>
                <w:color w:val="000000"/>
                <w:sz w:val="21"/>
                <w:szCs w:val="21"/>
              </w:rPr>
            </w:pPr>
            <w:r w:rsidRPr="00EE5714">
              <w:rPr>
                <w:rFonts w:ascii="Calibri" w:eastAsia="Times New Roman" w:hAnsi="Calibri" w:cs="Calibri"/>
                <w:color w:val="000000"/>
                <w:sz w:val="21"/>
                <w:szCs w:val="21"/>
              </w:rPr>
              <w:t>$11,793</w:t>
            </w:r>
          </w:p>
        </w:tc>
      </w:tr>
    </w:tbl>
    <w:p w14:paraId="1E7D5F98" w14:textId="77777777" w:rsidR="00F303E0" w:rsidRPr="00EE5714" w:rsidRDefault="00F303E0" w:rsidP="00F303E0">
      <w:pPr>
        <w:pStyle w:val="NoSpacing"/>
        <w:rPr>
          <w:rFonts w:cs="Times New Roman"/>
          <w:sz w:val="24"/>
          <w:szCs w:val="24"/>
        </w:rPr>
      </w:pPr>
      <w:r w:rsidRPr="00EE5714">
        <w:rPr>
          <w:rFonts w:cs="Times New Roman"/>
          <w:sz w:val="24"/>
          <w:szCs w:val="24"/>
        </w:rPr>
        <w:t>*Duquesne Average CAP Income for 2012-2013 is estimated.</w:t>
      </w:r>
    </w:p>
    <w:p w14:paraId="4AC91718" w14:textId="77777777" w:rsidR="00F303E0" w:rsidRPr="00EE5714" w:rsidRDefault="00F303E0" w:rsidP="00F303E0">
      <w:pPr>
        <w:pStyle w:val="NoSpacing"/>
        <w:rPr>
          <w:rFonts w:cs="Times New Roman"/>
          <w:szCs w:val="26"/>
        </w:rPr>
      </w:pPr>
    </w:p>
    <w:p w14:paraId="1F87DB7F" w14:textId="77777777" w:rsidR="00F303E0" w:rsidRPr="00EE5714" w:rsidRDefault="00F303E0" w:rsidP="00F303E0">
      <w:pPr>
        <w:pStyle w:val="NoSpacing"/>
        <w:rPr>
          <w:rFonts w:cs="Times New Roman"/>
          <w:szCs w:val="26"/>
        </w:rPr>
      </w:pPr>
    </w:p>
    <w:p w14:paraId="39FC6091" w14:textId="77777777" w:rsidR="00F303E0" w:rsidRPr="00EE5714" w:rsidRDefault="00F857A1" w:rsidP="00F303E0">
      <w:pPr>
        <w:pStyle w:val="NoSpacing"/>
        <w:keepNext/>
        <w:rPr>
          <w:rFonts w:cs="Times New Roman"/>
          <w:szCs w:val="26"/>
        </w:rPr>
      </w:pPr>
      <w:r w:rsidRPr="00EE5714">
        <w:rPr>
          <w:rFonts w:cs="Times New Roman"/>
          <w:szCs w:val="26"/>
        </w:rPr>
        <w:lastRenderedPageBreak/>
        <w:t>Appendix 3</w:t>
      </w:r>
      <w:r w:rsidR="00F303E0" w:rsidRPr="00EE5714">
        <w:rPr>
          <w:rFonts w:cs="Times New Roman"/>
          <w:szCs w:val="26"/>
        </w:rPr>
        <w:t>.A.</w:t>
      </w:r>
      <w:r w:rsidR="00861387" w:rsidRPr="00EE5714">
        <w:rPr>
          <w:rFonts w:cs="Times New Roman"/>
          <w:szCs w:val="26"/>
        </w:rPr>
        <w:t>26</w:t>
      </w:r>
      <w:r w:rsidR="00F303E0" w:rsidRPr="00EE5714">
        <w:rPr>
          <w:rFonts w:cs="Times New Roman"/>
          <w:szCs w:val="26"/>
        </w:rPr>
        <w:t xml:space="preserve">: </w:t>
      </w:r>
      <w:r w:rsidR="00F303E0" w:rsidRPr="00EE5714">
        <w:rPr>
          <w:rFonts w:eastAsia="Times New Roman" w:cs="Times New Roman"/>
          <w:b/>
          <w:bCs/>
          <w:color w:val="000000"/>
          <w:szCs w:val="26"/>
        </w:rPr>
        <w:t>EDC Heating LIHEAP Recipients at 101-150% FPIG</w:t>
      </w:r>
    </w:p>
    <w:tbl>
      <w:tblPr>
        <w:tblW w:w="10170" w:type="dxa"/>
        <w:tblInd w:w="-370" w:type="dxa"/>
        <w:tblLayout w:type="fixed"/>
        <w:tblLook w:val="04A0" w:firstRow="1" w:lastRow="0" w:firstColumn="1" w:lastColumn="0" w:noHBand="0" w:noVBand="1"/>
      </w:tblPr>
      <w:tblGrid>
        <w:gridCol w:w="1620"/>
        <w:gridCol w:w="1080"/>
        <w:gridCol w:w="1080"/>
        <w:gridCol w:w="1080"/>
        <w:gridCol w:w="1080"/>
        <w:gridCol w:w="1057"/>
        <w:gridCol w:w="1103"/>
        <w:gridCol w:w="1080"/>
        <w:gridCol w:w="990"/>
      </w:tblGrid>
      <w:tr w:rsidR="00F303E0" w:rsidRPr="00EE5714" w14:paraId="12BB3D1C" w14:textId="77777777" w:rsidTr="00B572AD">
        <w:trPr>
          <w:trHeight w:val="300"/>
        </w:trPr>
        <w:tc>
          <w:tcPr>
            <w:tcW w:w="10170" w:type="dxa"/>
            <w:gridSpan w:val="9"/>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221174D1" w14:textId="77777777" w:rsidR="00F303E0" w:rsidRPr="00EE5714" w:rsidRDefault="00F303E0" w:rsidP="00B572AD">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Heating LIHEAP Recipients at 101-150% FPIG</w:t>
            </w:r>
          </w:p>
        </w:tc>
      </w:tr>
      <w:tr w:rsidR="00F303E0" w:rsidRPr="00EE5714" w14:paraId="1066CED6" w14:textId="77777777" w:rsidTr="00B572AD">
        <w:trPr>
          <w:trHeight w:val="300"/>
        </w:trPr>
        <w:tc>
          <w:tcPr>
            <w:tcW w:w="162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34242414" w14:textId="77777777" w:rsidR="00F303E0" w:rsidRPr="00EE5714" w:rsidRDefault="00F303E0" w:rsidP="00B572AD">
            <w:pPr>
              <w:keepNext/>
              <w:keepLines/>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4320" w:type="dxa"/>
            <w:gridSpan w:val="4"/>
            <w:tcBorders>
              <w:top w:val="single" w:sz="12" w:space="0" w:color="000000"/>
              <w:left w:val="single" w:sz="12" w:space="0" w:color="000000"/>
              <w:bottom w:val="single" w:sz="4" w:space="0" w:color="000000"/>
              <w:right w:val="single" w:sz="12" w:space="0" w:color="000000"/>
            </w:tcBorders>
            <w:shd w:val="clear" w:color="auto" w:fill="auto"/>
            <w:noWrap/>
            <w:vAlign w:val="bottom"/>
            <w:hideMark/>
          </w:tcPr>
          <w:p w14:paraId="6988E2FD" w14:textId="77777777" w:rsidR="00F303E0" w:rsidRPr="00EE5714" w:rsidRDefault="00F303E0" w:rsidP="00B572AD">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Average CAP Bill </w:t>
            </w:r>
          </w:p>
        </w:tc>
        <w:tc>
          <w:tcPr>
            <w:tcW w:w="4230" w:type="dxa"/>
            <w:gridSpan w:val="4"/>
            <w:tcBorders>
              <w:top w:val="single" w:sz="12" w:space="0" w:color="000000"/>
              <w:left w:val="single" w:sz="12" w:space="0" w:color="000000"/>
              <w:bottom w:val="single" w:sz="4" w:space="0" w:color="000000"/>
              <w:right w:val="single" w:sz="12" w:space="0" w:color="000000"/>
            </w:tcBorders>
            <w:vAlign w:val="bottom"/>
          </w:tcPr>
          <w:p w14:paraId="4378E7F1" w14:textId="77777777" w:rsidR="00F303E0" w:rsidRPr="00EE5714" w:rsidRDefault="00F303E0" w:rsidP="00B572AD">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Average LIHEAP Dollars Applied</w:t>
            </w:r>
          </w:p>
        </w:tc>
      </w:tr>
      <w:tr w:rsidR="008931F1" w:rsidRPr="00EE5714" w14:paraId="408DD910" w14:textId="77777777" w:rsidTr="008931F1">
        <w:trPr>
          <w:trHeight w:val="274"/>
        </w:trPr>
        <w:tc>
          <w:tcPr>
            <w:tcW w:w="1620" w:type="dxa"/>
            <w:tcBorders>
              <w:top w:val="nil"/>
              <w:left w:val="single" w:sz="8" w:space="0" w:color="000000"/>
              <w:bottom w:val="single" w:sz="4" w:space="0" w:color="000000"/>
              <w:right w:val="single" w:sz="12" w:space="0" w:color="000000"/>
            </w:tcBorders>
            <w:shd w:val="clear" w:color="auto" w:fill="auto"/>
            <w:noWrap/>
            <w:vAlign w:val="bottom"/>
            <w:hideMark/>
          </w:tcPr>
          <w:p w14:paraId="5319A9C1" w14:textId="77777777" w:rsidR="00F303E0" w:rsidRPr="00EE5714" w:rsidRDefault="00F303E0" w:rsidP="00B572AD">
            <w:pPr>
              <w:keepNext/>
              <w:keepLines/>
              <w:spacing w:after="0" w:line="240" w:lineRule="auto"/>
              <w:rPr>
                <w:rFonts w:ascii="Calibri" w:eastAsia="Times New Roman" w:hAnsi="Calibri" w:cs="Calibri"/>
                <w:color w:val="000000"/>
                <w:sz w:val="21"/>
                <w:szCs w:val="21"/>
              </w:rPr>
            </w:pPr>
          </w:p>
        </w:tc>
        <w:tc>
          <w:tcPr>
            <w:tcW w:w="108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1A922BEE" w14:textId="77777777" w:rsidR="00F303E0" w:rsidRPr="00EE5714" w:rsidRDefault="00F303E0" w:rsidP="00B572A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4AC02A1" w14:textId="77777777" w:rsidR="00F303E0" w:rsidRPr="00EE5714" w:rsidRDefault="00F303E0" w:rsidP="00B572A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5EDCB09" w14:textId="77777777" w:rsidR="00F303E0" w:rsidRPr="00EE5714" w:rsidRDefault="00F303E0" w:rsidP="00B572A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080" w:type="dxa"/>
            <w:tcBorders>
              <w:top w:val="nil"/>
              <w:left w:val="nil"/>
              <w:bottom w:val="single" w:sz="4" w:space="0" w:color="000000"/>
              <w:right w:val="single" w:sz="12" w:space="0" w:color="000000"/>
            </w:tcBorders>
            <w:shd w:val="clear" w:color="auto" w:fill="F2F2F2" w:themeFill="background1" w:themeFillShade="F2"/>
            <w:noWrap/>
            <w:vAlign w:val="bottom"/>
            <w:hideMark/>
          </w:tcPr>
          <w:p w14:paraId="0E92C528" w14:textId="77777777" w:rsidR="00F303E0" w:rsidRPr="00EE5714" w:rsidRDefault="00F303E0" w:rsidP="00B572A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057" w:type="dxa"/>
            <w:tcBorders>
              <w:top w:val="nil"/>
              <w:left w:val="single" w:sz="12" w:space="0" w:color="000000"/>
              <w:bottom w:val="single" w:sz="4" w:space="0" w:color="000000"/>
              <w:right w:val="single" w:sz="8" w:space="0" w:color="000000"/>
            </w:tcBorders>
            <w:shd w:val="clear" w:color="auto" w:fill="F2F2F2" w:themeFill="background1" w:themeFillShade="F2"/>
            <w:vAlign w:val="bottom"/>
          </w:tcPr>
          <w:p w14:paraId="2FA23B71" w14:textId="77777777" w:rsidR="00F303E0" w:rsidRPr="00EE5714" w:rsidRDefault="00F303E0" w:rsidP="00B572A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03" w:type="dxa"/>
            <w:tcBorders>
              <w:top w:val="nil"/>
              <w:left w:val="nil"/>
              <w:bottom w:val="single" w:sz="4" w:space="0" w:color="000000"/>
              <w:right w:val="single" w:sz="8" w:space="0" w:color="000000"/>
            </w:tcBorders>
            <w:shd w:val="clear" w:color="auto" w:fill="F2F2F2" w:themeFill="background1" w:themeFillShade="F2"/>
            <w:vAlign w:val="bottom"/>
          </w:tcPr>
          <w:p w14:paraId="7DCF2275" w14:textId="77777777" w:rsidR="00F303E0" w:rsidRPr="00EE5714" w:rsidRDefault="00F303E0" w:rsidP="00B572A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080" w:type="dxa"/>
            <w:tcBorders>
              <w:top w:val="nil"/>
              <w:left w:val="nil"/>
              <w:bottom w:val="single" w:sz="4" w:space="0" w:color="000000"/>
              <w:right w:val="single" w:sz="8" w:space="0" w:color="000000"/>
            </w:tcBorders>
            <w:shd w:val="clear" w:color="auto" w:fill="F2F2F2" w:themeFill="background1" w:themeFillShade="F2"/>
            <w:vAlign w:val="bottom"/>
          </w:tcPr>
          <w:p w14:paraId="0E69DC7E" w14:textId="77777777" w:rsidR="00F303E0" w:rsidRPr="00EE5714" w:rsidRDefault="00F303E0" w:rsidP="00B572A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990" w:type="dxa"/>
            <w:tcBorders>
              <w:top w:val="nil"/>
              <w:left w:val="nil"/>
              <w:bottom w:val="single" w:sz="4" w:space="0" w:color="000000"/>
              <w:right w:val="single" w:sz="12" w:space="0" w:color="000000"/>
            </w:tcBorders>
            <w:shd w:val="clear" w:color="auto" w:fill="F2F2F2" w:themeFill="background1" w:themeFillShade="F2"/>
            <w:vAlign w:val="bottom"/>
          </w:tcPr>
          <w:p w14:paraId="0E3C762A" w14:textId="77777777" w:rsidR="00F303E0" w:rsidRPr="00EE5714" w:rsidRDefault="00F303E0" w:rsidP="00B572AD">
            <w:pPr>
              <w:keepNext/>
              <w:keepLines/>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793E61CB"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1CCD104F" w14:textId="77777777" w:rsidR="00F303E0" w:rsidRPr="00EE5714" w:rsidRDefault="00F303E0" w:rsidP="00B572AD">
            <w:pPr>
              <w:keepNext/>
              <w:keepLines/>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Duquesne**</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01F763D8" w14:textId="77777777" w:rsidR="00F303E0" w:rsidRPr="00EE5714" w:rsidRDefault="00F303E0" w:rsidP="00B572AD">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$1,023.75</w:t>
            </w:r>
          </w:p>
        </w:tc>
        <w:tc>
          <w:tcPr>
            <w:tcW w:w="1080" w:type="dxa"/>
            <w:tcBorders>
              <w:top w:val="nil"/>
              <w:left w:val="nil"/>
              <w:bottom w:val="single" w:sz="4" w:space="0" w:color="000000"/>
              <w:right w:val="single" w:sz="4" w:space="0" w:color="000000"/>
            </w:tcBorders>
            <w:shd w:val="clear" w:color="auto" w:fill="auto"/>
            <w:noWrap/>
            <w:vAlign w:val="center"/>
          </w:tcPr>
          <w:p w14:paraId="0ABE1157" w14:textId="77777777" w:rsidR="00F303E0" w:rsidRPr="00EE5714" w:rsidRDefault="00F303E0" w:rsidP="00B572AD">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$1,023.75</w:t>
            </w:r>
          </w:p>
        </w:tc>
        <w:tc>
          <w:tcPr>
            <w:tcW w:w="1080" w:type="dxa"/>
            <w:tcBorders>
              <w:top w:val="nil"/>
              <w:left w:val="nil"/>
              <w:bottom w:val="single" w:sz="4" w:space="0" w:color="000000"/>
              <w:right w:val="single" w:sz="4" w:space="0" w:color="000000"/>
            </w:tcBorders>
            <w:shd w:val="clear" w:color="auto" w:fill="auto"/>
            <w:noWrap/>
            <w:vAlign w:val="center"/>
          </w:tcPr>
          <w:p w14:paraId="38ABEF1B" w14:textId="77777777" w:rsidR="00F303E0" w:rsidRPr="00EE5714" w:rsidRDefault="00F303E0" w:rsidP="00B572AD">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$1,017.90</w:t>
            </w:r>
          </w:p>
        </w:tc>
        <w:tc>
          <w:tcPr>
            <w:tcW w:w="1080" w:type="dxa"/>
            <w:tcBorders>
              <w:top w:val="nil"/>
              <w:left w:val="nil"/>
              <w:bottom w:val="single" w:sz="4" w:space="0" w:color="000000"/>
              <w:right w:val="single" w:sz="12" w:space="0" w:color="000000"/>
            </w:tcBorders>
            <w:shd w:val="clear" w:color="auto" w:fill="auto"/>
            <w:noWrap/>
            <w:vAlign w:val="center"/>
          </w:tcPr>
          <w:p w14:paraId="3700A7A1" w14:textId="77777777" w:rsidR="00F303E0" w:rsidRPr="00EE5714" w:rsidRDefault="00F303E0" w:rsidP="00B572AD">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$1,029.60</w:t>
            </w:r>
          </w:p>
        </w:tc>
        <w:tc>
          <w:tcPr>
            <w:tcW w:w="1057" w:type="dxa"/>
            <w:tcBorders>
              <w:top w:val="nil"/>
              <w:left w:val="single" w:sz="12" w:space="0" w:color="000000"/>
              <w:bottom w:val="single" w:sz="4" w:space="0" w:color="000000"/>
              <w:right w:val="single" w:sz="8" w:space="0" w:color="000000"/>
            </w:tcBorders>
            <w:vAlign w:val="center"/>
          </w:tcPr>
          <w:p w14:paraId="2F2BAB53" w14:textId="77777777" w:rsidR="00F303E0" w:rsidRPr="00EE5714" w:rsidRDefault="00F303E0" w:rsidP="00B572AD">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$267.12</w:t>
            </w:r>
          </w:p>
        </w:tc>
        <w:tc>
          <w:tcPr>
            <w:tcW w:w="1103" w:type="dxa"/>
            <w:tcBorders>
              <w:top w:val="nil"/>
              <w:left w:val="nil"/>
              <w:bottom w:val="single" w:sz="4" w:space="0" w:color="000000"/>
              <w:right w:val="single" w:sz="8" w:space="0" w:color="000000"/>
            </w:tcBorders>
            <w:vAlign w:val="center"/>
          </w:tcPr>
          <w:p w14:paraId="39584ED8" w14:textId="77777777" w:rsidR="00F303E0" w:rsidRPr="00EE5714" w:rsidRDefault="00F303E0" w:rsidP="00B572AD">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$267.12</w:t>
            </w:r>
          </w:p>
        </w:tc>
        <w:tc>
          <w:tcPr>
            <w:tcW w:w="1080" w:type="dxa"/>
            <w:tcBorders>
              <w:top w:val="nil"/>
              <w:left w:val="nil"/>
              <w:bottom w:val="single" w:sz="4" w:space="0" w:color="000000"/>
              <w:right w:val="single" w:sz="8" w:space="0" w:color="000000"/>
            </w:tcBorders>
            <w:vAlign w:val="center"/>
          </w:tcPr>
          <w:p w14:paraId="0BD57715" w14:textId="77777777" w:rsidR="00F303E0" w:rsidRPr="00EE5714" w:rsidRDefault="00F303E0" w:rsidP="00B572AD">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$201.95</w:t>
            </w:r>
          </w:p>
        </w:tc>
        <w:tc>
          <w:tcPr>
            <w:tcW w:w="990" w:type="dxa"/>
            <w:tcBorders>
              <w:top w:val="nil"/>
              <w:left w:val="nil"/>
              <w:bottom w:val="single" w:sz="4" w:space="0" w:color="000000"/>
              <w:right w:val="single" w:sz="12" w:space="0" w:color="000000"/>
            </w:tcBorders>
            <w:vAlign w:val="center"/>
          </w:tcPr>
          <w:p w14:paraId="17462677" w14:textId="77777777" w:rsidR="00F303E0" w:rsidRPr="00EE5714" w:rsidRDefault="00F303E0" w:rsidP="00B572AD">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$310.25</w:t>
            </w:r>
          </w:p>
        </w:tc>
      </w:tr>
      <w:tr w:rsidR="00F303E0" w:rsidRPr="00EE5714" w14:paraId="7C63EA93"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693A9C49" w14:textId="77777777" w:rsidR="00F303E0" w:rsidRPr="00EE5714" w:rsidRDefault="00F303E0" w:rsidP="00851815">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088A79F5"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$834.21</w:t>
            </w:r>
          </w:p>
        </w:tc>
        <w:tc>
          <w:tcPr>
            <w:tcW w:w="1080" w:type="dxa"/>
            <w:tcBorders>
              <w:top w:val="nil"/>
              <w:left w:val="nil"/>
              <w:bottom w:val="single" w:sz="4" w:space="0" w:color="000000"/>
              <w:right w:val="single" w:sz="4" w:space="0" w:color="000000"/>
            </w:tcBorders>
            <w:shd w:val="clear" w:color="auto" w:fill="auto"/>
            <w:noWrap/>
            <w:vAlign w:val="center"/>
          </w:tcPr>
          <w:p w14:paraId="437572E3"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$2,046.46</w:t>
            </w:r>
          </w:p>
        </w:tc>
        <w:tc>
          <w:tcPr>
            <w:tcW w:w="1080" w:type="dxa"/>
            <w:tcBorders>
              <w:top w:val="nil"/>
              <w:left w:val="nil"/>
              <w:bottom w:val="single" w:sz="4" w:space="0" w:color="000000"/>
              <w:right w:val="single" w:sz="4" w:space="0" w:color="000000"/>
            </w:tcBorders>
            <w:shd w:val="clear" w:color="auto" w:fill="auto"/>
            <w:noWrap/>
            <w:vAlign w:val="center"/>
          </w:tcPr>
          <w:p w14:paraId="0BC541DD"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$1,712.16</w:t>
            </w:r>
          </w:p>
        </w:tc>
        <w:tc>
          <w:tcPr>
            <w:tcW w:w="1080" w:type="dxa"/>
            <w:tcBorders>
              <w:top w:val="nil"/>
              <w:left w:val="nil"/>
              <w:bottom w:val="single" w:sz="4" w:space="0" w:color="000000"/>
              <w:right w:val="single" w:sz="12" w:space="0" w:color="000000"/>
            </w:tcBorders>
            <w:shd w:val="clear" w:color="auto" w:fill="auto"/>
            <w:noWrap/>
            <w:vAlign w:val="center"/>
          </w:tcPr>
          <w:p w14:paraId="297C7522"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$1,832.74</w:t>
            </w:r>
          </w:p>
        </w:tc>
        <w:tc>
          <w:tcPr>
            <w:tcW w:w="1057" w:type="dxa"/>
            <w:tcBorders>
              <w:top w:val="nil"/>
              <w:left w:val="single" w:sz="12" w:space="0" w:color="000000"/>
              <w:bottom w:val="single" w:sz="4" w:space="0" w:color="000000"/>
              <w:right w:val="single" w:sz="8" w:space="0" w:color="000000"/>
            </w:tcBorders>
            <w:vAlign w:val="center"/>
          </w:tcPr>
          <w:p w14:paraId="26A65585"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$235.14</w:t>
            </w:r>
          </w:p>
        </w:tc>
        <w:tc>
          <w:tcPr>
            <w:tcW w:w="1103" w:type="dxa"/>
            <w:tcBorders>
              <w:top w:val="nil"/>
              <w:left w:val="nil"/>
              <w:bottom w:val="single" w:sz="4" w:space="0" w:color="000000"/>
              <w:right w:val="single" w:sz="8" w:space="0" w:color="000000"/>
            </w:tcBorders>
            <w:vAlign w:val="center"/>
          </w:tcPr>
          <w:p w14:paraId="562BA3AF"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$313.59</w:t>
            </w:r>
          </w:p>
        </w:tc>
        <w:tc>
          <w:tcPr>
            <w:tcW w:w="1080" w:type="dxa"/>
            <w:tcBorders>
              <w:top w:val="nil"/>
              <w:left w:val="nil"/>
              <w:bottom w:val="single" w:sz="4" w:space="0" w:color="000000"/>
              <w:right w:val="single" w:sz="8" w:space="0" w:color="000000"/>
            </w:tcBorders>
            <w:vAlign w:val="center"/>
          </w:tcPr>
          <w:p w14:paraId="63335EA4"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$345.70</w:t>
            </w:r>
          </w:p>
        </w:tc>
        <w:tc>
          <w:tcPr>
            <w:tcW w:w="990" w:type="dxa"/>
            <w:tcBorders>
              <w:top w:val="nil"/>
              <w:left w:val="nil"/>
              <w:bottom w:val="single" w:sz="4" w:space="0" w:color="000000"/>
              <w:right w:val="single" w:sz="12" w:space="0" w:color="000000"/>
            </w:tcBorders>
            <w:vAlign w:val="center"/>
          </w:tcPr>
          <w:p w14:paraId="44C2B343"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$314.13</w:t>
            </w:r>
          </w:p>
        </w:tc>
      </w:tr>
      <w:tr w:rsidR="00F303E0" w:rsidRPr="00EE5714" w14:paraId="364A6E40"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202B166B" w14:textId="77777777" w:rsidR="00F303E0" w:rsidRPr="00EE5714" w:rsidRDefault="00F303E0" w:rsidP="00851815">
            <w:pPr>
              <w:keepNext/>
              <w:keepLines/>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3007DB04"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$1,262.80</w:t>
            </w:r>
          </w:p>
        </w:tc>
        <w:tc>
          <w:tcPr>
            <w:tcW w:w="1080" w:type="dxa"/>
            <w:tcBorders>
              <w:top w:val="nil"/>
              <w:left w:val="nil"/>
              <w:bottom w:val="single" w:sz="4" w:space="0" w:color="000000"/>
              <w:right w:val="single" w:sz="4" w:space="0" w:color="000000"/>
            </w:tcBorders>
            <w:shd w:val="clear" w:color="auto" w:fill="auto"/>
            <w:noWrap/>
            <w:vAlign w:val="center"/>
          </w:tcPr>
          <w:p w14:paraId="386A019E"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$1,262.80</w:t>
            </w:r>
          </w:p>
        </w:tc>
        <w:tc>
          <w:tcPr>
            <w:tcW w:w="1080" w:type="dxa"/>
            <w:tcBorders>
              <w:top w:val="nil"/>
              <w:left w:val="nil"/>
              <w:bottom w:val="single" w:sz="4" w:space="0" w:color="000000"/>
              <w:right w:val="single" w:sz="4" w:space="0" w:color="000000"/>
            </w:tcBorders>
            <w:shd w:val="clear" w:color="auto" w:fill="auto"/>
            <w:noWrap/>
            <w:vAlign w:val="center"/>
          </w:tcPr>
          <w:p w14:paraId="55CCEA15"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$1,262.80</w:t>
            </w:r>
          </w:p>
        </w:tc>
        <w:tc>
          <w:tcPr>
            <w:tcW w:w="1080" w:type="dxa"/>
            <w:tcBorders>
              <w:top w:val="nil"/>
              <w:left w:val="nil"/>
              <w:bottom w:val="single" w:sz="4" w:space="0" w:color="000000"/>
              <w:right w:val="single" w:sz="12" w:space="0" w:color="000000"/>
            </w:tcBorders>
            <w:shd w:val="clear" w:color="auto" w:fill="auto"/>
            <w:noWrap/>
            <w:vAlign w:val="center"/>
          </w:tcPr>
          <w:p w14:paraId="313CFFBF"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$1,262.80</w:t>
            </w:r>
          </w:p>
        </w:tc>
        <w:tc>
          <w:tcPr>
            <w:tcW w:w="1057" w:type="dxa"/>
            <w:tcBorders>
              <w:top w:val="nil"/>
              <w:left w:val="single" w:sz="12" w:space="0" w:color="000000"/>
              <w:bottom w:val="single" w:sz="4" w:space="0" w:color="000000"/>
              <w:right w:val="single" w:sz="8" w:space="0" w:color="000000"/>
            </w:tcBorders>
            <w:vAlign w:val="center"/>
          </w:tcPr>
          <w:p w14:paraId="0C2C0D3E"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$242.68</w:t>
            </w:r>
          </w:p>
        </w:tc>
        <w:tc>
          <w:tcPr>
            <w:tcW w:w="1103" w:type="dxa"/>
            <w:tcBorders>
              <w:top w:val="nil"/>
              <w:left w:val="nil"/>
              <w:bottom w:val="single" w:sz="4" w:space="0" w:color="000000"/>
              <w:right w:val="single" w:sz="8" w:space="0" w:color="000000"/>
            </w:tcBorders>
            <w:vAlign w:val="center"/>
          </w:tcPr>
          <w:p w14:paraId="1104C89C"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$207.74</w:t>
            </w:r>
          </w:p>
        </w:tc>
        <w:tc>
          <w:tcPr>
            <w:tcW w:w="1080" w:type="dxa"/>
            <w:tcBorders>
              <w:top w:val="nil"/>
              <w:left w:val="nil"/>
              <w:bottom w:val="single" w:sz="4" w:space="0" w:color="000000"/>
              <w:right w:val="single" w:sz="8" w:space="0" w:color="000000"/>
            </w:tcBorders>
            <w:vAlign w:val="center"/>
          </w:tcPr>
          <w:p w14:paraId="7F90CE47"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$265.21</w:t>
            </w:r>
          </w:p>
        </w:tc>
        <w:tc>
          <w:tcPr>
            <w:tcW w:w="990" w:type="dxa"/>
            <w:tcBorders>
              <w:top w:val="nil"/>
              <w:left w:val="nil"/>
              <w:bottom w:val="single" w:sz="4" w:space="0" w:color="000000"/>
              <w:right w:val="single" w:sz="12" w:space="0" w:color="000000"/>
            </w:tcBorders>
            <w:vAlign w:val="center"/>
          </w:tcPr>
          <w:p w14:paraId="7146702D"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$317.96</w:t>
            </w:r>
          </w:p>
        </w:tc>
      </w:tr>
      <w:tr w:rsidR="00F303E0" w:rsidRPr="00EE5714" w14:paraId="38F88225"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6074697C" w14:textId="77777777" w:rsidR="00F303E0" w:rsidRPr="00EE5714" w:rsidRDefault="00F303E0" w:rsidP="00851815">
            <w:pPr>
              <w:keepNext/>
              <w:keepLines/>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6CFFAAE3"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$801.45</w:t>
            </w:r>
          </w:p>
        </w:tc>
        <w:tc>
          <w:tcPr>
            <w:tcW w:w="1080" w:type="dxa"/>
            <w:tcBorders>
              <w:top w:val="nil"/>
              <w:left w:val="nil"/>
              <w:bottom w:val="single" w:sz="4" w:space="0" w:color="000000"/>
              <w:right w:val="single" w:sz="4" w:space="0" w:color="000000"/>
            </w:tcBorders>
            <w:shd w:val="clear" w:color="auto" w:fill="auto"/>
            <w:noWrap/>
            <w:vAlign w:val="center"/>
          </w:tcPr>
          <w:p w14:paraId="274BB56F"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$2,094.43</w:t>
            </w:r>
          </w:p>
        </w:tc>
        <w:tc>
          <w:tcPr>
            <w:tcW w:w="1080" w:type="dxa"/>
            <w:tcBorders>
              <w:top w:val="nil"/>
              <w:left w:val="nil"/>
              <w:bottom w:val="single" w:sz="4" w:space="0" w:color="000000"/>
              <w:right w:val="single" w:sz="4" w:space="0" w:color="000000"/>
            </w:tcBorders>
            <w:shd w:val="clear" w:color="auto" w:fill="auto"/>
            <w:noWrap/>
            <w:vAlign w:val="center"/>
          </w:tcPr>
          <w:p w14:paraId="1E7C3D9D"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$1,915.16</w:t>
            </w:r>
          </w:p>
        </w:tc>
        <w:tc>
          <w:tcPr>
            <w:tcW w:w="1080" w:type="dxa"/>
            <w:tcBorders>
              <w:top w:val="nil"/>
              <w:left w:val="nil"/>
              <w:bottom w:val="single" w:sz="4" w:space="0" w:color="000000"/>
              <w:right w:val="single" w:sz="12" w:space="0" w:color="000000"/>
            </w:tcBorders>
            <w:shd w:val="clear" w:color="auto" w:fill="auto"/>
            <w:noWrap/>
            <w:vAlign w:val="center"/>
          </w:tcPr>
          <w:p w14:paraId="1F548528"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$1,817.62</w:t>
            </w:r>
          </w:p>
        </w:tc>
        <w:tc>
          <w:tcPr>
            <w:tcW w:w="1057" w:type="dxa"/>
            <w:tcBorders>
              <w:top w:val="nil"/>
              <w:left w:val="single" w:sz="12" w:space="0" w:color="000000"/>
              <w:bottom w:val="single" w:sz="4" w:space="0" w:color="000000"/>
              <w:right w:val="single" w:sz="8" w:space="0" w:color="000000"/>
            </w:tcBorders>
            <w:vAlign w:val="center"/>
          </w:tcPr>
          <w:p w14:paraId="08851033"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$228.23</w:t>
            </w:r>
          </w:p>
        </w:tc>
        <w:tc>
          <w:tcPr>
            <w:tcW w:w="1103" w:type="dxa"/>
            <w:tcBorders>
              <w:top w:val="nil"/>
              <w:left w:val="nil"/>
              <w:bottom w:val="single" w:sz="4" w:space="0" w:color="000000"/>
              <w:right w:val="single" w:sz="8" w:space="0" w:color="000000"/>
            </w:tcBorders>
            <w:vAlign w:val="center"/>
          </w:tcPr>
          <w:p w14:paraId="73CB1EA2"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$208.74</w:t>
            </w:r>
          </w:p>
        </w:tc>
        <w:tc>
          <w:tcPr>
            <w:tcW w:w="1080" w:type="dxa"/>
            <w:tcBorders>
              <w:top w:val="nil"/>
              <w:left w:val="nil"/>
              <w:bottom w:val="single" w:sz="4" w:space="0" w:color="000000"/>
              <w:right w:val="single" w:sz="8" w:space="0" w:color="000000"/>
            </w:tcBorders>
            <w:vAlign w:val="center"/>
          </w:tcPr>
          <w:p w14:paraId="52633033"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$254.70</w:t>
            </w:r>
          </w:p>
        </w:tc>
        <w:tc>
          <w:tcPr>
            <w:tcW w:w="990" w:type="dxa"/>
            <w:tcBorders>
              <w:top w:val="nil"/>
              <w:left w:val="nil"/>
              <w:bottom w:val="single" w:sz="4" w:space="0" w:color="000000"/>
              <w:right w:val="single" w:sz="12" w:space="0" w:color="000000"/>
            </w:tcBorders>
            <w:vAlign w:val="center"/>
          </w:tcPr>
          <w:p w14:paraId="423CFE67"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$319.04</w:t>
            </w:r>
          </w:p>
        </w:tc>
      </w:tr>
      <w:tr w:rsidR="00F303E0" w:rsidRPr="00EE5714" w14:paraId="1BA7DAD6"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30A59F48" w14:textId="77777777" w:rsidR="00F303E0" w:rsidRPr="00EE5714" w:rsidRDefault="00F303E0" w:rsidP="00851815">
            <w:pPr>
              <w:keepNext/>
              <w:keepLines/>
              <w:rPr>
                <w:rFonts w:ascii="Calibri" w:eastAsia="Times New Roman" w:hAnsi="Calibri" w:cs="Calibri"/>
                <w:b/>
                <w:color w:val="000000"/>
                <w:sz w:val="21"/>
                <w:szCs w:val="21"/>
              </w:rPr>
            </w:pPr>
            <w:r w:rsidRPr="00EE5714">
              <w:rPr>
                <w:rFonts w:ascii="Calibri" w:hAnsi="Calibri" w:cs="Calibri"/>
                <w:b/>
                <w:sz w:val="21"/>
                <w:szCs w:val="21"/>
              </w:rPr>
              <w:t>Penn Power</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5CDC5ED4"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$962.00</w:t>
            </w:r>
          </w:p>
        </w:tc>
        <w:tc>
          <w:tcPr>
            <w:tcW w:w="1080" w:type="dxa"/>
            <w:tcBorders>
              <w:top w:val="nil"/>
              <w:left w:val="nil"/>
              <w:bottom w:val="single" w:sz="4" w:space="0" w:color="000000"/>
              <w:right w:val="single" w:sz="4" w:space="0" w:color="000000"/>
            </w:tcBorders>
            <w:shd w:val="clear" w:color="auto" w:fill="auto"/>
            <w:noWrap/>
            <w:vAlign w:val="center"/>
          </w:tcPr>
          <w:p w14:paraId="0D2EC469"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$2,330.70</w:t>
            </w:r>
          </w:p>
        </w:tc>
        <w:tc>
          <w:tcPr>
            <w:tcW w:w="1080" w:type="dxa"/>
            <w:tcBorders>
              <w:top w:val="nil"/>
              <w:left w:val="nil"/>
              <w:bottom w:val="single" w:sz="4" w:space="0" w:color="000000"/>
              <w:right w:val="single" w:sz="4" w:space="0" w:color="000000"/>
            </w:tcBorders>
            <w:shd w:val="clear" w:color="auto" w:fill="auto"/>
            <w:noWrap/>
            <w:vAlign w:val="center"/>
          </w:tcPr>
          <w:p w14:paraId="56319801"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$2,196.80</w:t>
            </w:r>
          </w:p>
        </w:tc>
        <w:tc>
          <w:tcPr>
            <w:tcW w:w="1080" w:type="dxa"/>
            <w:tcBorders>
              <w:top w:val="nil"/>
              <w:left w:val="nil"/>
              <w:bottom w:val="single" w:sz="4" w:space="0" w:color="000000"/>
              <w:right w:val="single" w:sz="12" w:space="0" w:color="000000"/>
            </w:tcBorders>
            <w:shd w:val="clear" w:color="auto" w:fill="auto"/>
            <w:noWrap/>
            <w:vAlign w:val="center"/>
          </w:tcPr>
          <w:p w14:paraId="47A1507B"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$2,425.28</w:t>
            </w:r>
          </w:p>
        </w:tc>
        <w:tc>
          <w:tcPr>
            <w:tcW w:w="1057" w:type="dxa"/>
            <w:tcBorders>
              <w:top w:val="nil"/>
              <w:left w:val="single" w:sz="12" w:space="0" w:color="000000"/>
              <w:bottom w:val="single" w:sz="4" w:space="0" w:color="000000"/>
              <w:right w:val="single" w:sz="8" w:space="0" w:color="000000"/>
            </w:tcBorders>
            <w:vAlign w:val="center"/>
          </w:tcPr>
          <w:p w14:paraId="12994AAA"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$239.51</w:t>
            </w:r>
          </w:p>
        </w:tc>
        <w:tc>
          <w:tcPr>
            <w:tcW w:w="1103" w:type="dxa"/>
            <w:tcBorders>
              <w:top w:val="nil"/>
              <w:left w:val="nil"/>
              <w:bottom w:val="single" w:sz="4" w:space="0" w:color="000000"/>
              <w:right w:val="single" w:sz="8" w:space="0" w:color="000000"/>
            </w:tcBorders>
            <w:vAlign w:val="center"/>
          </w:tcPr>
          <w:p w14:paraId="1DD21647"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$244.76</w:t>
            </w:r>
          </w:p>
        </w:tc>
        <w:tc>
          <w:tcPr>
            <w:tcW w:w="1080" w:type="dxa"/>
            <w:tcBorders>
              <w:top w:val="nil"/>
              <w:left w:val="nil"/>
              <w:bottom w:val="single" w:sz="4" w:space="0" w:color="000000"/>
              <w:right w:val="single" w:sz="8" w:space="0" w:color="000000"/>
            </w:tcBorders>
            <w:vAlign w:val="center"/>
          </w:tcPr>
          <w:p w14:paraId="1FAD7650"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$277.35</w:t>
            </w:r>
          </w:p>
        </w:tc>
        <w:tc>
          <w:tcPr>
            <w:tcW w:w="990" w:type="dxa"/>
            <w:tcBorders>
              <w:top w:val="nil"/>
              <w:left w:val="nil"/>
              <w:bottom w:val="single" w:sz="4" w:space="0" w:color="000000"/>
              <w:right w:val="single" w:sz="12" w:space="0" w:color="000000"/>
            </w:tcBorders>
            <w:vAlign w:val="center"/>
          </w:tcPr>
          <w:p w14:paraId="5CA0B0B4"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$338.82</w:t>
            </w:r>
          </w:p>
        </w:tc>
      </w:tr>
      <w:tr w:rsidR="00F303E0" w:rsidRPr="00EE5714" w14:paraId="46F9E3F8"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1182F75F" w14:textId="77777777" w:rsidR="00F303E0" w:rsidRPr="00EE5714" w:rsidRDefault="00F303E0" w:rsidP="00851815">
            <w:pPr>
              <w:keepNext/>
              <w:keepLines/>
              <w:rPr>
                <w:rFonts w:ascii="Calibri" w:eastAsia="Times New Roman" w:hAnsi="Calibri" w:cs="Calibri"/>
                <w:b/>
                <w:color w:val="000000"/>
                <w:sz w:val="21"/>
                <w:szCs w:val="21"/>
              </w:rPr>
            </w:pPr>
            <w:r w:rsidRPr="00EE5714">
              <w:rPr>
                <w:rFonts w:ascii="Calibri" w:hAnsi="Calibri" w:cs="Calibri"/>
                <w:b/>
                <w:sz w:val="21"/>
                <w:szCs w:val="21"/>
              </w:rPr>
              <w:t>PPL</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6858B0C1"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$2,517.12</w:t>
            </w:r>
          </w:p>
        </w:tc>
        <w:tc>
          <w:tcPr>
            <w:tcW w:w="1080" w:type="dxa"/>
            <w:tcBorders>
              <w:top w:val="nil"/>
              <w:left w:val="nil"/>
              <w:bottom w:val="single" w:sz="4" w:space="0" w:color="000000"/>
              <w:right w:val="single" w:sz="4" w:space="0" w:color="000000"/>
            </w:tcBorders>
            <w:shd w:val="clear" w:color="auto" w:fill="auto"/>
            <w:noWrap/>
            <w:vAlign w:val="center"/>
          </w:tcPr>
          <w:p w14:paraId="2D81D3A0"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$3,003.48</w:t>
            </w:r>
          </w:p>
        </w:tc>
        <w:tc>
          <w:tcPr>
            <w:tcW w:w="1080" w:type="dxa"/>
            <w:tcBorders>
              <w:top w:val="nil"/>
              <w:left w:val="nil"/>
              <w:bottom w:val="single" w:sz="4" w:space="0" w:color="000000"/>
              <w:right w:val="single" w:sz="4" w:space="0" w:color="000000"/>
            </w:tcBorders>
            <w:shd w:val="clear" w:color="auto" w:fill="auto"/>
            <w:noWrap/>
            <w:vAlign w:val="center"/>
          </w:tcPr>
          <w:p w14:paraId="68A07019"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$2,868.00</w:t>
            </w:r>
          </w:p>
        </w:tc>
        <w:tc>
          <w:tcPr>
            <w:tcW w:w="1080" w:type="dxa"/>
            <w:tcBorders>
              <w:top w:val="nil"/>
              <w:left w:val="nil"/>
              <w:bottom w:val="single" w:sz="4" w:space="0" w:color="000000"/>
              <w:right w:val="single" w:sz="12" w:space="0" w:color="000000"/>
            </w:tcBorders>
            <w:shd w:val="clear" w:color="auto" w:fill="auto"/>
            <w:noWrap/>
            <w:vAlign w:val="center"/>
          </w:tcPr>
          <w:p w14:paraId="6DF95A27"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$1,856.40</w:t>
            </w:r>
          </w:p>
        </w:tc>
        <w:tc>
          <w:tcPr>
            <w:tcW w:w="1057" w:type="dxa"/>
            <w:tcBorders>
              <w:top w:val="nil"/>
              <w:left w:val="single" w:sz="12" w:space="0" w:color="000000"/>
              <w:bottom w:val="single" w:sz="4" w:space="0" w:color="000000"/>
              <w:right w:val="single" w:sz="8" w:space="0" w:color="000000"/>
            </w:tcBorders>
            <w:vAlign w:val="center"/>
          </w:tcPr>
          <w:p w14:paraId="120479AA"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$355.39</w:t>
            </w:r>
          </w:p>
        </w:tc>
        <w:tc>
          <w:tcPr>
            <w:tcW w:w="1103" w:type="dxa"/>
            <w:tcBorders>
              <w:top w:val="nil"/>
              <w:left w:val="nil"/>
              <w:bottom w:val="single" w:sz="4" w:space="0" w:color="000000"/>
              <w:right w:val="single" w:sz="8" w:space="0" w:color="000000"/>
            </w:tcBorders>
            <w:vAlign w:val="center"/>
          </w:tcPr>
          <w:p w14:paraId="50BC2D06"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$344.51</w:t>
            </w:r>
          </w:p>
        </w:tc>
        <w:tc>
          <w:tcPr>
            <w:tcW w:w="1080" w:type="dxa"/>
            <w:tcBorders>
              <w:top w:val="nil"/>
              <w:left w:val="nil"/>
              <w:bottom w:val="single" w:sz="4" w:space="0" w:color="000000"/>
              <w:right w:val="single" w:sz="8" w:space="0" w:color="000000"/>
            </w:tcBorders>
            <w:vAlign w:val="center"/>
          </w:tcPr>
          <w:p w14:paraId="5E1816D8"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$385.37</w:t>
            </w:r>
          </w:p>
        </w:tc>
        <w:tc>
          <w:tcPr>
            <w:tcW w:w="990" w:type="dxa"/>
            <w:tcBorders>
              <w:top w:val="nil"/>
              <w:left w:val="nil"/>
              <w:bottom w:val="single" w:sz="4" w:space="0" w:color="000000"/>
              <w:right w:val="single" w:sz="12" w:space="0" w:color="000000"/>
            </w:tcBorders>
            <w:vAlign w:val="center"/>
          </w:tcPr>
          <w:p w14:paraId="5D314A3D" w14:textId="77777777" w:rsidR="00F303E0" w:rsidRPr="00EE5714" w:rsidRDefault="00F303E0" w:rsidP="00851815">
            <w:pPr>
              <w:keepNext/>
              <w:keepLines/>
              <w:jc w:val="center"/>
              <w:rPr>
                <w:rFonts w:ascii="Calibri" w:hAnsi="Calibri" w:cs="Calibri"/>
                <w:color w:val="000000"/>
                <w:sz w:val="21"/>
                <w:szCs w:val="21"/>
              </w:rPr>
            </w:pPr>
            <w:r w:rsidRPr="00EE5714">
              <w:rPr>
                <w:rFonts w:ascii="Calibri" w:hAnsi="Calibri" w:cs="Calibri"/>
                <w:color w:val="000000"/>
                <w:sz w:val="21"/>
                <w:szCs w:val="21"/>
              </w:rPr>
              <w:t>$336.13</w:t>
            </w:r>
          </w:p>
        </w:tc>
      </w:tr>
      <w:tr w:rsidR="00F303E0" w:rsidRPr="00EE5714" w14:paraId="416434AF"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7BAB8AD0"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West Penn</w:t>
            </w:r>
          </w:p>
        </w:tc>
        <w:tc>
          <w:tcPr>
            <w:tcW w:w="1080" w:type="dxa"/>
            <w:tcBorders>
              <w:top w:val="nil"/>
              <w:left w:val="single" w:sz="12" w:space="0" w:color="000000"/>
              <w:bottom w:val="single" w:sz="4" w:space="0" w:color="000000"/>
              <w:right w:val="single" w:sz="4" w:space="0" w:color="000000"/>
            </w:tcBorders>
            <w:shd w:val="clear" w:color="auto" w:fill="auto"/>
            <w:noWrap/>
            <w:vAlign w:val="center"/>
          </w:tcPr>
          <w:p w14:paraId="7EF95913"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$791.46</w:t>
            </w:r>
          </w:p>
        </w:tc>
        <w:tc>
          <w:tcPr>
            <w:tcW w:w="1080" w:type="dxa"/>
            <w:tcBorders>
              <w:top w:val="nil"/>
              <w:left w:val="nil"/>
              <w:bottom w:val="single" w:sz="4" w:space="0" w:color="000000"/>
              <w:right w:val="single" w:sz="4" w:space="0" w:color="000000"/>
            </w:tcBorders>
            <w:shd w:val="clear" w:color="auto" w:fill="auto"/>
            <w:noWrap/>
            <w:vAlign w:val="center"/>
          </w:tcPr>
          <w:p w14:paraId="3EDB367F"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$2,039.50</w:t>
            </w:r>
          </w:p>
        </w:tc>
        <w:tc>
          <w:tcPr>
            <w:tcW w:w="1080" w:type="dxa"/>
            <w:tcBorders>
              <w:top w:val="nil"/>
              <w:left w:val="nil"/>
              <w:bottom w:val="single" w:sz="4" w:space="0" w:color="000000"/>
              <w:right w:val="single" w:sz="4" w:space="0" w:color="000000"/>
            </w:tcBorders>
            <w:shd w:val="clear" w:color="auto" w:fill="auto"/>
            <w:noWrap/>
            <w:vAlign w:val="center"/>
          </w:tcPr>
          <w:p w14:paraId="7AC68511"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$1,931.00</w:t>
            </w:r>
          </w:p>
        </w:tc>
        <w:tc>
          <w:tcPr>
            <w:tcW w:w="1080" w:type="dxa"/>
            <w:tcBorders>
              <w:top w:val="nil"/>
              <w:left w:val="nil"/>
              <w:bottom w:val="single" w:sz="4" w:space="0" w:color="000000"/>
              <w:right w:val="single" w:sz="12" w:space="0" w:color="000000"/>
            </w:tcBorders>
            <w:shd w:val="clear" w:color="auto" w:fill="auto"/>
            <w:noWrap/>
            <w:vAlign w:val="center"/>
          </w:tcPr>
          <w:p w14:paraId="2CEBE2B3"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$1,980.44</w:t>
            </w:r>
          </w:p>
        </w:tc>
        <w:tc>
          <w:tcPr>
            <w:tcW w:w="1057" w:type="dxa"/>
            <w:tcBorders>
              <w:top w:val="nil"/>
              <w:left w:val="single" w:sz="12" w:space="0" w:color="000000"/>
              <w:bottom w:val="single" w:sz="4" w:space="0" w:color="000000"/>
              <w:right w:val="single" w:sz="8" w:space="0" w:color="000000"/>
            </w:tcBorders>
            <w:vAlign w:val="center"/>
          </w:tcPr>
          <w:p w14:paraId="7064BAE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$270.89</w:t>
            </w:r>
          </w:p>
        </w:tc>
        <w:tc>
          <w:tcPr>
            <w:tcW w:w="1103" w:type="dxa"/>
            <w:tcBorders>
              <w:top w:val="nil"/>
              <w:left w:val="nil"/>
              <w:bottom w:val="single" w:sz="4" w:space="0" w:color="000000"/>
              <w:right w:val="single" w:sz="8" w:space="0" w:color="000000"/>
            </w:tcBorders>
            <w:vAlign w:val="center"/>
          </w:tcPr>
          <w:p w14:paraId="63621903"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$250.66</w:t>
            </w:r>
          </w:p>
        </w:tc>
        <w:tc>
          <w:tcPr>
            <w:tcW w:w="1080" w:type="dxa"/>
            <w:tcBorders>
              <w:top w:val="nil"/>
              <w:left w:val="nil"/>
              <w:bottom w:val="single" w:sz="4" w:space="0" w:color="000000"/>
              <w:right w:val="single" w:sz="8" w:space="0" w:color="000000"/>
            </w:tcBorders>
            <w:vAlign w:val="center"/>
          </w:tcPr>
          <w:p w14:paraId="456668D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$255.08</w:t>
            </w:r>
          </w:p>
        </w:tc>
        <w:tc>
          <w:tcPr>
            <w:tcW w:w="990" w:type="dxa"/>
            <w:tcBorders>
              <w:top w:val="nil"/>
              <w:left w:val="nil"/>
              <w:bottom w:val="single" w:sz="4" w:space="0" w:color="000000"/>
              <w:right w:val="single" w:sz="12" w:space="0" w:color="000000"/>
            </w:tcBorders>
            <w:vAlign w:val="center"/>
          </w:tcPr>
          <w:p w14:paraId="04D02D3D"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$308.36</w:t>
            </w:r>
          </w:p>
        </w:tc>
      </w:tr>
    </w:tbl>
    <w:p w14:paraId="3C45E7E7" w14:textId="77777777" w:rsidR="00F303E0" w:rsidRPr="00EE5714" w:rsidRDefault="00F303E0" w:rsidP="00F303E0">
      <w:pPr>
        <w:pStyle w:val="NoSpacing"/>
        <w:keepNext/>
        <w:rPr>
          <w:rFonts w:cs="Times New Roman"/>
          <w:sz w:val="24"/>
          <w:szCs w:val="24"/>
        </w:rPr>
      </w:pPr>
      <w:r w:rsidRPr="00EE5714">
        <w:rPr>
          <w:rFonts w:cs="Times New Roman"/>
          <w:sz w:val="24"/>
          <w:szCs w:val="24"/>
        </w:rPr>
        <w:t>*PECO Average CAP Bill for 2012-2015 is estimated.</w:t>
      </w:r>
    </w:p>
    <w:p w14:paraId="60DE69F3" w14:textId="77777777" w:rsidR="00F303E0" w:rsidRPr="00EE5714" w:rsidRDefault="00F303E0" w:rsidP="00F303E0">
      <w:pPr>
        <w:pStyle w:val="NoSpacing"/>
        <w:rPr>
          <w:rFonts w:cs="Times New Roman"/>
          <w:sz w:val="24"/>
          <w:szCs w:val="24"/>
        </w:rPr>
      </w:pPr>
      <w:r w:rsidRPr="00EE5714">
        <w:rPr>
          <w:rFonts w:cs="Times New Roman"/>
          <w:sz w:val="24"/>
          <w:szCs w:val="24"/>
        </w:rPr>
        <w:t>**Duquesne Average CAP Bill for 2012-2013 is estimated.</w:t>
      </w:r>
    </w:p>
    <w:p w14:paraId="4F9371BC" w14:textId="77777777" w:rsidR="00F303E0" w:rsidRPr="00EE5714" w:rsidRDefault="00F303E0" w:rsidP="00F303E0">
      <w:pPr>
        <w:pStyle w:val="NoSpacing"/>
        <w:rPr>
          <w:rFonts w:cs="Times New Roman"/>
          <w:szCs w:val="26"/>
        </w:rPr>
      </w:pPr>
    </w:p>
    <w:p w14:paraId="667F06B2" w14:textId="77777777" w:rsidR="00F303E0" w:rsidRPr="00EE5714" w:rsidRDefault="00F303E0" w:rsidP="00F303E0">
      <w:pPr>
        <w:pStyle w:val="NoSpacing"/>
        <w:rPr>
          <w:rFonts w:cs="Times New Roman"/>
          <w:szCs w:val="26"/>
        </w:rPr>
      </w:pPr>
    </w:p>
    <w:p w14:paraId="36B52E51" w14:textId="77777777" w:rsidR="0044534E" w:rsidRDefault="0044534E" w:rsidP="00F303E0">
      <w:pPr>
        <w:pStyle w:val="NoSpacing"/>
        <w:rPr>
          <w:rFonts w:cs="Times New Roman"/>
          <w:szCs w:val="26"/>
        </w:rPr>
      </w:pPr>
    </w:p>
    <w:p w14:paraId="31940D84" w14:textId="77777777" w:rsidR="0044534E" w:rsidRDefault="0044534E" w:rsidP="00F303E0">
      <w:pPr>
        <w:pStyle w:val="NoSpacing"/>
        <w:rPr>
          <w:rFonts w:cs="Times New Roman"/>
          <w:szCs w:val="26"/>
        </w:rPr>
      </w:pPr>
    </w:p>
    <w:p w14:paraId="3230CCDB" w14:textId="5FBEB0DE" w:rsidR="00F303E0" w:rsidRPr="00EE5714" w:rsidRDefault="00F857A1" w:rsidP="00F303E0">
      <w:pPr>
        <w:pStyle w:val="NoSpacing"/>
        <w:rPr>
          <w:rFonts w:cs="Times New Roman"/>
          <w:szCs w:val="26"/>
        </w:rPr>
      </w:pPr>
      <w:r w:rsidRPr="00EE5714">
        <w:rPr>
          <w:rFonts w:cs="Times New Roman"/>
          <w:szCs w:val="26"/>
        </w:rPr>
        <w:t>Appendix 3</w:t>
      </w:r>
      <w:r w:rsidR="00F303E0" w:rsidRPr="00EE5714">
        <w:rPr>
          <w:rFonts w:cs="Times New Roman"/>
          <w:szCs w:val="26"/>
        </w:rPr>
        <w:t>.A.</w:t>
      </w:r>
      <w:r w:rsidR="00861387" w:rsidRPr="00EE5714">
        <w:rPr>
          <w:rFonts w:cs="Times New Roman"/>
          <w:szCs w:val="26"/>
        </w:rPr>
        <w:t>27</w:t>
      </w:r>
      <w:r w:rsidR="00F303E0" w:rsidRPr="00EE5714">
        <w:rPr>
          <w:rFonts w:cs="Times New Roman"/>
          <w:szCs w:val="26"/>
        </w:rPr>
        <w:t xml:space="preserve">: </w:t>
      </w:r>
      <w:r w:rsidR="00F303E0" w:rsidRPr="00EE5714">
        <w:rPr>
          <w:rFonts w:eastAsia="Times New Roman" w:cs="Times New Roman"/>
          <w:b/>
          <w:bCs/>
          <w:color w:val="000000"/>
          <w:szCs w:val="26"/>
        </w:rPr>
        <w:t xml:space="preserve">EDC Heating LIHEAP Recipients – </w:t>
      </w:r>
      <w:r w:rsidR="00F303E0" w:rsidRPr="00EE5714">
        <w:rPr>
          <w:rFonts w:eastAsia="Times New Roman" w:cs="Times New Roman"/>
          <w:b/>
          <w:color w:val="000000"/>
          <w:szCs w:val="26"/>
        </w:rPr>
        <w:t xml:space="preserve">Average Annual </w:t>
      </w:r>
      <w:r w:rsidR="00F303E0" w:rsidRPr="00EE5714">
        <w:rPr>
          <w:rFonts w:eastAsia="Times New Roman" w:cs="Times New Roman"/>
          <w:b/>
          <w:bCs/>
          <w:color w:val="000000"/>
          <w:szCs w:val="26"/>
        </w:rPr>
        <w:t xml:space="preserve">CAP </w:t>
      </w:r>
      <w:r w:rsidR="00F303E0" w:rsidRPr="00EE5714">
        <w:rPr>
          <w:rFonts w:eastAsia="Times New Roman" w:cs="Times New Roman"/>
          <w:b/>
          <w:color w:val="000000"/>
          <w:szCs w:val="26"/>
        </w:rPr>
        <w:t xml:space="preserve">Income </w:t>
      </w:r>
      <w:r w:rsidR="00F303E0" w:rsidRPr="00EE5714">
        <w:rPr>
          <w:rFonts w:eastAsia="Times New Roman" w:cs="Times New Roman"/>
          <w:b/>
          <w:bCs/>
          <w:color w:val="000000"/>
          <w:szCs w:val="26"/>
        </w:rPr>
        <w:t>101-150% FPIG</w:t>
      </w:r>
    </w:p>
    <w:tbl>
      <w:tblPr>
        <w:tblW w:w="10170" w:type="dxa"/>
        <w:tblInd w:w="-370" w:type="dxa"/>
        <w:tblLayout w:type="fixed"/>
        <w:tblLook w:val="04A0" w:firstRow="1" w:lastRow="0" w:firstColumn="1" w:lastColumn="0" w:noHBand="0" w:noVBand="1"/>
      </w:tblPr>
      <w:tblGrid>
        <w:gridCol w:w="1620"/>
        <w:gridCol w:w="2160"/>
        <w:gridCol w:w="2160"/>
        <w:gridCol w:w="2160"/>
        <w:gridCol w:w="2070"/>
      </w:tblGrid>
      <w:tr w:rsidR="00F303E0" w:rsidRPr="00EE5714" w14:paraId="63F8F19F" w14:textId="77777777" w:rsidTr="00B572AD">
        <w:trPr>
          <w:trHeight w:val="300"/>
        </w:trPr>
        <w:tc>
          <w:tcPr>
            <w:tcW w:w="10170" w:type="dxa"/>
            <w:gridSpan w:val="5"/>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tcPr>
          <w:p w14:paraId="152FC082" w14:textId="77777777" w:rsidR="00F303E0" w:rsidRPr="00EE5714" w:rsidRDefault="00F303E0" w:rsidP="00B572AD">
            <w:pPr>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EDC Heating LIHEAP Recipients – </w:t>
            </w:r>
            <w:r w:rsidRPr="00EE5714">
              <w:rPr>
                <w:rFonts w:ascii="Calibri" w:eastAsia="Times New Roman" w:hAnsi="Calibri" w:cs="Calibri"/>
                <w:b/>
                <w:color w:val="000000"/>
              </w:rPr>
              <w:t xml:space="preserve">Average Annual </w:t>
            </w:r>
            <w:r w:rsidRPr="00EE5714">
              <w:rPr>
                <w:rFonts w:ascii="Calibri" w:eastAsia="Times New Roman" w:hAnsi="Calibri" w:cs="Calibri"/>
                <w:b/>
                <w:bCs/>
                <w:color w:val="000000"/>
              </w:rPr>
              <w:t xml:space="preserve">CAP </w:t>
            </w:r>
            <w:r w:rsidRPr="00EE5714">
              <w:rPr>
                <w:rFonts w:ascii="Calibri" w:eastAsia="Times New Roman" w:hAnsi="Calibri" w:cs="Calibri"/>
                <w:b/>
                <w:color w:val="000000"/>
              </w:rPr>
              <w:t xml:space="preserve">Income </w:t>
            </w:r>
            <w:r w:rsidRPr="00EE5714">
              <w:rPr>
                <w:rFonts w:ascii="Calibri" w:eastAsia="Times New Roman" w:hAnsi="Calibri" w:cs="Calibri"/>
                <w:b/>
                <w:bCs/>
                <w:color w:val="000000"/>
              </w:rPr>
              <w:t>101-150% FPIG</w:t>
            </w:r>
          </w:p>
        </w:tc>
      </w:tr>
      <w:tr w:rsidR="00F303E0" w:rsidRPr="00EE5714" w14:paraId="64C79DA9" w14:textId="77777777" w:rsidTr="00B572AD">
        <w:trPr>
          <w:trHeight w:val="179"/>
        </w:trPr>
        <w:tc>
          <w:tcPr>
            <w:tcW w:w="1620" w:type="dxa"/>
            <w:tcBorders>
              <w:top w:val="nil"/>
              <w:left w:val="single" w:sz="8" w:space="0" w:color="000000"/>
              <w:bottom w:val="single" w:sz="4" w:space="0" w:color="000000"/>
              <w:right w:val="single" w:sz="12" w:space="0" w:color="000000"/>
            </w:tcBorders>
            <w:shd w:val="clear" w:color="auto" w:fill="auto"/>
            <w:noWrap/>
            <w:vAlign w:val="bottom"/>
            <w:hideMark/>
          </w:tcPr>
          <w:p w14:paraId="605A5C04" w14:textId="77777777" w:rsidR="00F303E0" w:rsidRPr="00EE5714" w:rsidRDefault="00F303E0" w:rsidP="00B572AD">
            <w:pPr>
              <w:spacing w:after="0" w:line="240" w:lineRule="auto"/>
              <w:rPr>
                <w:rFonts w:ascii="Calibri" w:eastAsia="Times New Roman" w:hAnsi="Calibri" w:cs="Calibri"/>
                <w:color w:val="000000"/>
                <w:sz w:val="21"/>
                <w:szCs w:val="21"/>
              </w:rPr>
            </w:pPr>
          </w:p>
        </w:tc>
        <w:tc>
          <w:tcPr>
            <w:tcW w:w="2160" w:type="dxa"/>
            <w:tcBorders>
              <w:top w:val="nil"/>
              <w:left w:val="single" w:sz="12" w:space="0" w:color="000000"/>
              <w:bottom w:val="single" w:sz="4" w:space="0" w:color="000000"/>
              <w:right w:val="single" w:sz="4" w:space="0" w:color="000000"/>
            </w:tcBorders>
            <w:shd w:val="clear" w:color="auto" w:fill="F2F2F2" w:themeFill="background1" w:themeFillShade="F2"/>
            <w:noWrap/>
            <w:vAlign w:val="bottom"/>
            <w:hideMark/>
          </w:tcPr>
          <w:p w14:paraId="0588FDF1" w14:textId="77777777" w:rsidR="00F303E0" w:rsidRPr="00EE5714" w:rsidRDefault="00F303E0" w:rsidP="00B572AD">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382BD05" w14:textId="77777777" w:rsidR="00F303E0" w:rsidRPr="00EE5714" w:rsidRDefault="00F303E0" w:rsidP="00B572AD">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799A6B0A" w14:textId="77777777" w:rsidR="00F303E0" w:rsidRPr="00EE5714" w:rsidRDefault="00F303E0" w:rsidP="00B572AD">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2070"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34095326" w14:textId="77777777" w:rsidR="00F303E0" w:rsidRPr="00EE5714" w:rsidRDefault="00F303E0" w:rsidP="00B572AD">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r>
      <w:tr w:rsidR="00F303E0" w:rsidRPr="00EE5714" w14:paraId="71805F1C"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58F859D3" w14:textId="77777777" w:rsidR="00F303E0" w:rsidRPr="00EE5714" w:rsidRDefault="00F303E0" w:rsidP="00B572AD">
            <w:pPr>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 xml:space="preserve">Duquesne* </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4A9AD00A" w14:textId="77777777" w:rsidR="00F303E0" w:rsidRPr="00EE5714" w:rsidRDefault="00F303E0" w:rsidP="00B572AD">
            <w:pPr>
              <w:spacing w:after="0" w:line="240" w:lineRule="auto"/>
              <w:jc w:val="center"/>
              <w:rPr>
                <w:rFonts w:eastAsia="Times New Roman" w:cstheme="minorHAnsi"/>
                <w:color w:val="000000"/>
                <w:sz w:val="21"/>
                <w:szCs w:val="21"/>
              </w:rPr>
            </w:pPr>
            <w:r w:rsidRPr="00EE5714">
              <w:rPr>
                <w:rFonts w:ascii="Calibri" w:eastAsia="Times New Roman" w:hAnsi="Calibri" w:cs="Calibri"/>
                <w:color w:val="000000"/>
                <w:sz w:val="21"/>
                <w:szCs w:val="21"/>
              </w:rPr>
              <w:t>$12,209</w:t>
            </w:r>
          </w:p>
        </w:tc>
        <w:tc>
          <w:tcPr>
            <w:tcW w:w="2160" w:type="dxa"/>
            <w:tcBorders>
              <w:top w:val="nil"/>
              <w:left w:val="nil"/>
              <w:bottom w:val="single" w:sz="4" w:space="0" w:color="000000"/>
              <w:right w:val="single" w:sz="4" w:space="0" w:color="000000"/>
            </w:tcBorders>
            <w:shd w:val="clear" w:color="auto" w:fill="auto"/>
            <w:noWrap/>
            <w:vAlign w:val="center"/>
          </w:tcPr>
          <w:p w14:paraId="302BE80D" w14:textId="77777777" w:rsidR="00F303E0" w:rsidRPr="00EE5714" w:rsidRDefault="00F303E0" w:rsidP="00B572AD">
            <w:pPr>
              <w:spacing w:after="0" w:line="240" w:lineRule="auto"/>
              <w:jc w:val="center"/>
              <w:rPr>
                <w:rFonts w:eastAsia="Times New Roman" w:cstheme="minorHAnsi"/>
                <w:color w:val="000000"/>
                <w:sz w:val="21"/>
                <w:szCs w:val="21"/>
              </w:rPr>
            </w:pPr>
            <w:r w:rsidRPr="00EE5714">
              <w:rPr>
                <w:rFonts w:ascii="Calibri" w:eastAsia="Times New Roman" w:hAnsi="Calibri" w:cs="Calibri"/>
                <w:color w:val="000000"/>
                <w:sz w:val="21"/>
                <w:szCs w:val="21"/>
              </w:rPr>
              <w:t>$12,209</w:t>
            </w:r>
          </w:p>
        </w:tc>
        <w:tc>
          <w:tcPr>
            <w:tcW w:w="2160" w:type="dxa"/>
            <w:tcBorders>
              <w:top w:val="nil"/>
              <w:left w:val="nil"/>
              <w:bottom w:val="single" w:sz="4" w:space="0" w:color="000000"/>
              <w:right w:val="single" w:sz="4" w:space="0" w:color="000000"/>
            </w:tcBorders>
            <w:shd w:val="clear" w:color="auto" w:fill="auto"/>
            <w:noWrap/>
            <w:vAlign w:val="center"/>
          </w:tcPr>
          <w:p w14:paraId="1F71FB17" w14:textId="77777777" w:rsidR="00F303E0" w:rsidRPr="00EE5714" w:rsidRDefault="00F303E0" w:rsidP="00B572AD">
            <w:pPr>
              <w:spacing w:after="0" w:line="240" w:lineRule="auto"/>
              <w:jc w:val="center"/>
              <w:rPr>
                <w:rFonts w:eastAsia="Times New Roman" w:cstheme="minorHAnsi"/>
                <w:color w:val="000000"/>
                <w:sz w:val="21"/>
                <w:szCs w:val="21"/>
              </w:rPr>
            </w:pPr>
            <w:r w:rsidRPr="00EE5714">
              <w:rPr>
                <w:rFonts w:ascii="Calibri" w:eastAsia="Times New Roman" w:hAnsi="Calibri" w:cs="Calibri"/>
                <w:color w:val="000000"/>
                <w:sz w:val="21"/>
                <w:szCs w:val="21"/>
              </w:rPr>
              <w:t>$11,430</w:t>
            </w:r>
          </w:p>
        </w:tc>
        <w:tc>
          <w:tcPr>
            <w:tcW w:w="2070" w:type="dxa"/>
            <w:tcBorders>
              <w:top w:val="single" w:sz="4" w:space="0" w:color="000000"/>
              <w:left w:val="nil"/>
              <w:bottom w:val="single" w:sz="4" w:space="0" w:color="000000"/>
              <w:right w:val="single" w:sz="8" w:space="0" w:color="000000"/>
            </w:tcBorders>
            <w:shd w:val="clear" w:color="auto" w:fill="auto"/>
            <w:noWrap/>
            <w:vAlign w:val="center"/>
          </w:tcPr>
          <w:p w14:paraId="72BA55F4" w14:textId="77777777" w:rsidR="00F303E0" w:rsidRPr="00EE5714" w:rsidRDefault="00F303E0" w:rsidP="00B572AD">
            <w:pPr>
              <w:spacing w:after="0" w:line="240" w:lineRule="auto"/>
              <w:jc w:val="center"/>
              <w:rPr>
                <w:rFonts w:eastAsia="Times New Roman" w:cstheme="minorHAnsi"/>
                <w:color w:val="000000"/>
                <w:sz w:val="21"/>
                <w:szCs w:val="21"/>
              </w:rPr>
            </w:pPr>
            <w:r w:rsidRPr="00EE5714">
              <w:rPr>
                <w:rFonts w:ascii="Calibri" w:eastAsia="Times New Roman" w:hAnsi="Calibri" w:cs="Calibri"/>
                <w:color w:val="000000"/>
                <w:sz w:val="21"/>
                <w:szCs w:val="21"/>
              </w:rPr>
              <w:t>$12,987</w:t>
            </w:r>
          </w:p>
        </w:tc>
      </w:tr>
      <w:tr w:rsidR="00F303E0" w:rsidRPr="00EE5714" w14:paraId="7FD919FF"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64CD9D8C"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3F21DEBF"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$18,904</w:t>
            </w:r>
          </w:p>
        </w:tc>
        <w:tc>
          <w:tcPr>
            <w:tcW w:w="2160" w:type="dxa"/>
            <w:tcBorders>
              <w:top w:val="nil"/>
              <w:left w:val="nil"/>
              <w:bottom w:val="single" w:sz="4" w:space="0" w:color="000000"/>
              <w:right w:val="single" w:sz="4" w:space="0" w:color="000000"/>
            </w:tcBorders>
            <w:shd w:val="clear" w:color="auto" w:fill="auto"/>
            <w:noWrap/>
            <w:vAlign w:val="center"/>
          </w:tcPr>
          <w:p w14:paraId="116B2BE4"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$21,292</w:t>
            </w:r>
          </w:p>
        </w:tc>
        <w:tc>
          <w:tcPr>
            <w:tcW w:w="2160" w:type="dxa"/>
            <w:tcBorders>
              <w:top w:val="nil"/>
              <w:left w:val="nil"/>
              <w:bottom w:val="single" w:sz="4" w:space="0" w:color="000000"/>
              <w:right w:val="single" w:sz="4" w:space="0" w:color="000000"/>
            </w:tcBorders>
            <w:shd w:val="clear" w:color="auto" w:fill="auto"/>
            <w:noWrap/>
            <w:vAlign w:val="center"/>
          </w:tcPr>
          <w:p w14:paraId="577F8FE3"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$22,024</w:t>
            </w:r>
          </w:p>
        </w:tc>
        <w:tc>
          <w:tcPr>
            <w:tcW w:w="2070" w:type="dxa"/>
            <w:tcBorders>
              <w:top w:val="single" w:sz="4" w:space="0" w:color="000000"/>
              <w:left w:val="nil"/>
              <w:bottom w:val="single" w:sz="4" w:space="0" w:color="000000"/>
              <w:right w:val="single" w:sz="8" w:space="0" w:color="000000"/>
            </w:tcBorders>
            <w:shd w:val="clear" w:color="auto" w:fill="auto"/>
            <w:noWrap/>
            <w:vAlign w:val="center"/>
          </w:tcPr>
          <w:p w14:paraId="53BFCAEF"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$21,886</w:t>
            </w:r>
          </w:p>
        </w:tc>
      </w:tr>
      <w:tr w:rsidR="00F303E0" w:rsidRPr="00EE5714" w14:paraId="230F0058"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46C75069" w14:textId="77777777" w:rsidR="00F303E0" w:rsidRPr="00EE5714" w:rsidRDefault="00F303E0" w:rsidP="00851815">
            <w:pP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6764A0E3"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$16,644</w:t>
            </w:r>
          </w:p>
        </w:tc>
        <w:tc>
          <w:tcPr>
            <w:tcW w:w="2160" w:type="dxa"/>
            <w:tcBorders>
              <w:top w:val="nil"/>
              <w:left w:val="nil"/>
              <w:bottom w:val="single" w:sz="4" w:space="0" w:color="000000"/>
              <w:right w:val="single" w:sz="4" w:space="0" w:color="000000"/>
            </w:tcBorders>
            <w:shd w:val="clear" w:color="auto" w:fill="auto"/>
            <w:noWrap/>
            <w:vAlign w:val="center"/>
          </w:tcPr>
          <w:p w14:paraId="1A7D0F04"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$16,878</w:t>
            </w:r>
          </w:p>
        </w:tc>
        <w:tc>
          <w:tcPr>
            <w:tcW w:w="2160" w:type="dxa"/>
            <w:tcBorders>
              <w:top w:val="nil"/>
              <w:left w:val="nil"/>
              <w:bottom w:val="single" w:sz="4" w:space="0" w:color="000000"/>
              <w:right w:val="single" w:sz="4" w:space="0" w:color="000000"/>
            </w:tcBorders>
            <w:shd w:val="clear" w:color="auto" w:fill="auto"/>
            <w:noWrap/>
            <w:vAlign w:val="center"/>
          </w:tcPr>
          <w:p w14:paraId="4AB5CB2B"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$17,862</w:t>
            </w:r>
          </w:p>
        </w:tc>
        <w:tc>
          <w:tcPr>
            <w:tcW w:w="2070" w:type="dxa"/>
            <w:tcBorders>
              <w:top w:val="single" w:sz="4" w:space="0" w:color="000000"/>
              <w:left w:val="nil"/>
              <w:bottom w:val="single" w:sz="4" w:space="0" w:color="000000"/>
              <w:right w:val="single" w:sz="8" w:space="0" w:color="000000"/>
            </w:tcBorders>
            <w:shd w:val="clear" w:color="auto" w:fill="auto"/>
            <w:noWrap/>
            <w:vAlign w:val="center"/>
          </w:tcPr>
          <w:p w14:paraId="3B400BBC"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$19,090</w:t>
            </w:r>
          </w:p>
        </w:tc>
      </w:tr>
      <w:tr w:rsidR="00F303E0" w:rsidRPr="00EE5714" w14:paraId="1675EEC8"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118CE9AB" w14:textId="77777777" w:rsidR="00F303E0" w:rsidRPr="00EE5714" w:rsidRDefault="00F303E0" w:rsidP="00851815">
            <w:pPr>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65ECF35A"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$17,305</w:t>
            </w:r>
          </w:p>
        </w:tc>
        <w:tc>
          <w:tcPr>
            <w:tcW w:w="2160" w:type="dxa"/>
            <w:tcBorders>
              <w:top w:val="nil"/>
              <w:left w:val="nil"/>
              <w:bottom w:val="single" w:sz="4" w:space="0" w:color="000000"/>
              <w:right w:val="single" w:sz="4" w:space="0" w:color="000000"/>
            </w:tcBorders>
            <w:shd w:val="clear" w:color="auto" w:fill="auto"/>
            <w:noWrap/>
            <w:vAlign w:val="center"/>
          </w:tcPr>
          <w:p w14:paraId="4E40A04E"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$17,210</w:t>
            </w:r>
          </w:p>
        </w:tc>
        <w:tc>
          <w:tcPr>
            <w:tcW w:w="2160" w:type="dxa"/>
            <w:tcBorders>
              <w:top w:val="nil"/>
              <w:left w:val="nil"/>
              <w:bottom w:val="single" w:sz="4" w:space="0" w:color="000000"/>
              <w:right w:val="single" w:sz="4" w:space="0" w:color="000000"/>
            </w:tcBorders>
            <w:shd w:val="clear" w:color="auto" w:fill="auto"/>
            <w:noWrap/>
            <w:vAlign w:val="center"/>
          </w:tcPr>
          <w:p w14:paraId="2052BDA9"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$17,804</w:t>
            </w:r>
          </w:p>
        </w:tc>
        <w:tc>
          <w:tcPr>
            <w:tcW w:w="2070" w:type="dxa"/>
            <w:tcBorders>
              <w:top w:val="single" w:sz="4" w:space="0" w:color="000000"/>
              <w:left w:val="nil"/>
              <w:bottom w:val="single" w:sz="4" w:space="0" w:color="000000"/>
              <w:right w:val="single" w:sz="8" w:space="0" w:color="000000"/>
            </w:tcBorders>
            <w:shd w:val="clear" w:color="auto" w:fill="auto"/>
            <w:noWrap/>
            <w:vAlign w:val="center"/>
          </w:tcPr>
          <w:p w14:paraId="2142B066"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$17,977</w:t>
            </w:r>
          </w:p>
        </w:tc>
      </w:tr>
      <w:tr w:rsidR="00F303E0" w:rsidRPr="00EE5714" w14:paraId="5C9C2629"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45562B33" w14:textId="77777777" w:rsidR="00F303E0" w:rsidRPr="00EE5714" w:rsidRDefault="00F303E0" w:rsidP="00851815">
            <w:pPr>
              <w:rPr>
                <w:rFonts w:ascii="Calibri" w:eastAsia="Times New Roman" w:hAnsi="Calibri" w:cs="Calibri"/>
                <w:b/>
                <w:color w:val="000000"/>
                <w:sz w:val="21"/>
                <w:szCs w:val="21"/>
              </w:rPr>
            </w:pPr>
            <w:r w:rsidRPr="00EE5714">
              <w:rPr>
                <w:rFonts w:ascii="Calibri" w:hAnsi="Calibri" w:cs="Calibri"/>
                <w:b/>
                <w:sz w:val="21"/>
                <w:szCs w:val="21"/>
              </w:rPr>
              <w:t>Penn Power</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15C41461"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$18,500</w:t>
            </w:r>
          </w:p>
        </w:tc>
        <w:tc>
          <w:tcPr>
            <w:tcW w:w="2160" w:type="dxa"/>
            <w:tcBorders>
              <w:top w:val="nil"/>
              <w:left w:val="nil"/>
              <w:bottom w:val="single" w:sz="4" w:space="0" w:color="000000"/>
              <w:right w:val="single" w:sz="4" w:space="0" w:color="000000"/>
            </w:tcBorders>
            <w:shd w:val="clear" w:color="auto" w:fill="auto"/>
            <w:noWrap/>
            <w:vAlign w:val="center"/>
          </w:tcPr>
          <w:p w14:paraId="1E4E8057"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$19,225</w:t>
            </w:r>
          </w:p>
        </w:tc>
        <w:tc>
          <w:tcPr>
            <w:tcW w:w="2160" w:type="dxa"/>
            <w:tcBorders>
              <w:top w:val="nil"/>
              <w:left w:val="nil"/>
              <w:bottom w:val="single" w:sz="4" w:space="0" w:color="000000"/>
              <w:right w:val="single" w:sz="4" w:space="0" w:color="000000"/>
            </w:tcBorders>
            <w:shd w:val="clear" w:color="auto" w:fill="auto"/>
            <w:noWrap/>
            <w:vAlign w:val="center"/>
          </w:tcPr>
          <w:p w14:paraId="449E5ECD"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$19,429</w:t>
            </w:r>
          </w:p>
        </w:tc>
        <w:tc>
          <w:tcPr>
            <w:tcW w:w="2070" w:type="dxa"/>
            <w:tcBorders>
              <w:top w:val="single" w:sz="4" w:space="0" w:color="000000"/>
              <w:left w:val="nil"/>
              <w:bottom w:val="single" w:sz="4" w:space="0" w:color="000000"/>
              <w:right w:val="single" w:sz="8" w:space="0" w:color="000000"/>
            </w:tcBorders>
            <w:shd w:val="clear" w:color="auto" w:fill="auto"/>
            <w:noWrap/>
            <w:vAlign w:val="center"/>
          </w:tcPr>
          <w:p w14:paraId="0AA7A61C"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$19,477</w:t>
            </w:r>
          </w:p>
        </w:tc>
      </w:tr>
      <w:tr w:rsidR="00F303E0" w:rsidRPr="00EE5714" w14:paraId="36FE27DC"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6D70D041" w14:textId="77777777" w:rsidR="00F303E0" w:rsidRPr="00EE5714" w:rsidRDefault="00F303E0" w:rsidP="00851815">
            <w:pPr>
              <w:rPr>
                <w:rFonts w:ascii="Calibri" w:eastAsia="Times New Roman" w:hAnsi="Calibri" w:cs="Calibri"/>
                <w:b/>
                <w:color w:val="000000"/>
                <w:sz w:val="21"/>
                <w:szCs w:val="21"/>
              </w:rPr>
            </w:pPr>
            <w:r w:rsidRPr="00EE5714">
              <w:rPr>
                <w:rFonts w:ascii="Calibri" w:hAnsi="Calibri" w:cs="Calibri"/>
                <w:b/>
                <w:sz w:val="21"/>
                <w:szCs w:val="21"/>
              </w:rPr>
              <w:t>PPL</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1BF233E5"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$20,896</w:t>
            </w:r>
          </w:p>
        </w:tc>
        <w:tc>
          <w:tcPr>
            <w:tcW w:w="2160" w:type="dxa"/>
            <w:tcBorders>
              <w:top w:val="nil"/>
              <w:left w:val="nil"/>
              <w:bottom w:val="single" w:sz="4" w:space="0" w:color="000000"/>
              <w:right w:val="single" w:sz="4" w:space="0" w:color="000000"/>
            </w:tcBorders>
            <w:shd w:val="clear" w:color="auto" w:fill="auto"/>
            <w:noWrap/>
            <w:vAlign w:val="center"/>
          </w:tcPr>
          <w:p w14:paraId="35BD896C"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$21,048</w:t>
            </w:r>
          </w:p>
        </w:tc>
        <w:tc>
          <w:tcPr>
            <w:tcW w:w="2160" w:type="dxa"/>
            <w:tcBorders>
              <w:top w:val="nil"/>
              <w:left w:val="nil"/>
              <w:bottom w:val="single" w:sz="4" w:space="0" w:color="000000"/>
              <w:right w:val="single" w:sz="4" w:space="0" w:color="000000"/>
            </w:tcBorders>
            <w:shd w:val="clear" w:color="auto" w:fill="auto"/>
            <w:noWrap/>
            <w:vAlign w:val="center"/>
          </w:tcPr>
          <w:p w14:paraId="434DB4AC"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$20,263</w:t>
            </w:r>
          </w:p>
        </w:tc>
        <w:tc>
          <w:tcPr>
            <w:tcW w:w="2070" w:type="dxa"/>
            <w:tcBorders>
              <w:top w:val="single" w:sz="4" w:space="0" w:color="000000"/>
              <w:left w:val="nil"/>
              <w:bottom w:val="single" w:sz="4" w:space="0" w:color="000000"/>
              <w:right w:val="single" w:sz="8" w:space="0" w:color="000000"/>
            </w:tcBorders>
            <w:shd w:val="clear" w:color="auto" w:fill="auto"/>
            <w:noWrap/>
            <w:vAlign w:val="center"/>
          </w:tcPr>
          <w:p w14:paraId="17190C6B"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$20,619</w:t>
            </w:r>
          </w:p>
        </w:tc>
      </w:tr>
      <w:tr w:rsidR="00F303E0" w:rsidRPr="00EE5714" w14:paraId="167018EA" w14:textId="77777777" w:rsidTr="00B572AD">
        <w:trPr>
          <w:trHeight w:hRule="exact" w:val="245"/>
        </w:trPr>
        <w:tc>
          <w:tcPr>
            <w:tcW w:w="1620" w:type="dxa"/>
            <w:tcBorders>
              <w:top w:val="nil"/>
              <w:left w:val="single" w:sz="8" w:space="0" w:color="000000"/>
              <w:bottom w:val="single" w:sz="4" w:space="0" w:color="000000"/>
              <w:right w:val="single" w:sz="12" w:space="0" w:color="000000"/>
            </w:tcBorders>
            <w:shd w:val="clear" w:color="auto" w:fill="auto"/>
            <w:noWrap/>
            <w:vAlign w:val="bottom"/>
          </w:tcPr>
          <w:p w14:paraId="4F4BE53C" w14:textId="77777777" w:rsidR="00F303E0" w:rsidRPr="00EE5714" w:rsidRDefault="00F303E0" w:rsidP="00851815">
            <w:pPr>
              <w:rPr>
                <w:rFonts w:ascii="Calibri" w:eastAsia="Times New Roman" w:hAnsi="Calibri" w:cs="Calibri"/>
                <w:b/>
                <w:color w:val="000000"/>
                <w:sz w:val="21"/>
                <w:szCs w:val="21"/>
              </w:rPr>
            </w:pPr>
            <w:r w:rsidRPr="00EE5714">
              <w:rPr>
                <w:rFonts w:ascii="Calibri" w:hAnsi="Calibri" w:cs="Calibri"/>
                <w:b/>
                <w:sz w:val="21"/>
                <w:szCs w:val="21"/>
              </w:rPr>
              <w:t>West Penn</w:t>
            </w:r>
          </w:p>
        </w:tc>
        <w:tc>
          <w:tcPr>
            <w:tcW w:w="2160" w:type="dxa"/>
            <w:tcBorders>
              <w:top w:val="nil"/>
              <w:left w:val="single" w:sz="12" w:space="0" w:color="000000"/>
              <w:bottom w:val="single" w:sz="4" w:space="0" w:color="000000"/>
              <w:right w:val="single" w:sz="4" w:space="0" w:color="000000"/>
            </w:tcBorders>
            <w:shd w:val="clear" w:color="auto" w:fill="auto"/>
            <w:noWrap/>
            <w:vAlign w:val="center"/>
          </w:tcPr>
          <w:p w14:paraId="2DA5FF1F"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$20,317</w:t>
            </w:r>
          </w:p>
        </w:tc>
        <w:tc>
          <w:tcPr>
            <w:tcW w:w="2160" w:type="dxa"/>
            <w:tcBorders>
              <w:top w:val="nil"/>
              <w:left w:val="nil"/>
              <w:bottom w:val="single" w:sz="4" w:space="0" w:color="000000"/>
              <w:right w:val="single" w:sz="4" w:space="0" w:color="000000"/>
            </w:tcBorders>
            <w:shd w:val="clear" w:color="auto" w:fill="auto"/>
            <w:noWrap/>
            <w:vAlign w:val="center"/>
          </w:tcPr>
          <w:p w14:paraId="5439174F"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$19,440</w:t>
            </w:r>
          </w:p>
        </w:tc>
        <w:tc>
          <w:tcPr>
            <w:tcW w:w="2160" w:type="dxa"/>
            <w:tcBorders>
              <w:top w:val="nil"/>
              <w:left w:val="nil"/>
              <w:bottom w:val="single" w:sz="4" w:space="0" w:color="000000"/>
              <w:right w:val="single" w:sz="4" w:space="0" w:color="000000"/>
            </w:tcBorders>
            <w:shd w:val="clear" w:color="auto" w:fill="auto"/>
            <w:noWrap/>
            <w:vAlign w:val="center"/>
          </w:tcPr>
          <w:p w14:paraId="2D4023BE"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$20,430</w:t>
            </w:r>
          </w:p>
        </w:tc>
        <w:tc>
          <w:tcPr>
            <w:tcW w:w="2070" w:type="dxa"/>
            <w:tcBorders>
              <w:top w:val="single" w:sz="4" w:space="0" w:color="000000"/>
              <w:left w:val="nil"/>
              <w:bottom w:val="single" w:sz="4" w:space="0" w:color="000000"/>
              <w:right w:val="single" w:sz="8" w:space="0" w:color="000000"/>
            </w:tcBorders>
            <w:shd w:val="clear" w:color="auto" w:fill="auto"/>
            <w:noWrap/>
            <w:vAlign w:val="center"/>
          </w:tcPr>
          <w:p w14:paraId="10A7F509" w14:textId="77777777" w:rsidR="00F303E0" w:rsidRPr="00EE5714" w:rsidRDefault="00F303E0" w:rsidP="00851815">
            <w:pPr>
              <w:jc w:val="center"/>
              <w:rPr>
                <w:rFonts w:eastAsia="Times New Roman" w:cstheme="minorHAnsi"/>
                <w:color w:val="000000"/>
                <w:sz w:val="21"/>
                <w:szCs w:val="21"/>
              </w:rPr>
            </w:pPr>
            <w:r w:rsidRPr="00EE5714">
              <w:rPr>
                <w:rFonts w:ascii="Calibri" w:eastAsia="Times New Roman" w:hAnsi="Calibri" w:cs="Calibri"/>
                <w:color w:val="000000"/>
                <w:sz w:val="21"/>
                <w:szCs w:val="21"/>
              </w:rPr>
              <w:t>$19,872</w:t>
            </w:r>
          </w:p>
        </w:tc>
      </w:tr>
    </w:tbl>
    <w:p w14:paraId="657876C9" w14:textId="77777777" w:rsidR="00F303E0" w:rsidRPr="00EE5714" w:rsidRDefault="00F303E0" w:rsidP="00F303E0">
      <w:pPr>
        <w:pStyle w:val="NoSpacing"/>
        <w:rPr>
          <w:rFonts w:cs="Times New Roman"/>
          <w:sz w:val="24"/>
          <w:szCs w:val="24"/>
        </w:rPr>
      </w:pPr>
      <w:r w:rsidRPr="00EE5714">
        <w:rPr>
          <w:rFonts w:cs="Times New Roman"/>
          <w:sz w:val="24"/>
          <w:szCs w:val="24"/>
        </w:rPr>
        <w:t>*Duquesne Average CAP Income for 2012-2013 is estimated.</w:t>
      </w:r>
    </w:p>
    <w:p w14:paraId="5971FC8C" w14:textId="77777777" w:rsidR="00F303E0" w:rsidRPr="00EE5714" w:rsidRDefault="00F303E0" w:rsidP="00F303E0">
      <w:pPr>
        <w:pStyle w:val="EndnoteText"/>
        <w:rPr>
          <w:rFonts w:ascii="Times New Roman" w:hAnsi="Times New Roman"/>
          <w:sz w:val="26"/>
          <w:szCs w:val="26"/>
        </w:rPr>
      </w:pPr>
    </w:p>
    <w:p w14:paraId="04F2668C" w14:textId="77777777" w:rsidR="00F303E0" w:rsidRPr="00EE5714" w:rsidRDefault="00F303E0" w:rsidP="00F303E0">
      <w:pPr>
        <w:rPr>
          <w:rFonts w:ascii="Times New Roman" w:eastAsiaTheme="minorEastAsia" w:hAnsi="Times New Roman" w:cs="Times New Roman"/>
          <w:b/>
          <w:color w:val="000000" w:themeColor="text1"/>
          <w:sz w:val="26"/>
          <w:szCs w:val="26"/>
        </w:rPr>
      </w:pPr>
      <w:r w:rsidRPr="00EE5714">
        <w:rPr>
          <w:rFonts w:ascii="Times New Roman" w:hAnsi="Times New Roman" w:cs="Times New Roman"/>
          <w:b/>
          <w:color w:val="2F5496" w:themeColor="accent1" w:themeShade="BF"/>
          <w:sz w:val="26"/>
          <w:szCs w:val="26"/>
        </w:rPr>
        <w:br w:type="page"/>
      </w:r>
    </w:p>
    <w:p w14:paraId="6254BA9C" w14:textId="60A888D8" w:rsidR="00F303E0" w:rsidRPr="00EE5714" w:rsidRDefault="00F857A1" w:rsidP="00B572AD">
      <w:pPr>
        <w:pStyle w:val="Heading2"/>
        <w:spacing w:before="0" w:line="240" w:lineRule="auto"/>
      </w:pPr>
      <w:bookmarkStart w:id="61" w:name="_Toc533674874"/>
      <w:bookmarkStart w:id="62" w:name="_Toc534547879"/>
      <w:r w:rsidRPr="00EE5714">
        <w:lastRenderedPageBreak/>
        <w:t>Appendix 4</w:t>
      </w:r>
      <w:r w:rsidR="00F303E0" w:rsidRPr="00EE5714">
        <w:t xml:space="preserve"> –</w:t>
      </w:r>
      <w:r w:rsidR="00824DBE" w:rsidRPr="00EE5714">
        <w:t xml:space="preserve"> </w:t>
      </w:r>
      <w:r w:rsidR="00F303E0" w:rsidRPr="00EE5714">
        <w:t>Pre-Program Arrearages and In-Program Arrears</w:t>
      </w:r>
      <w:bookmarkEnd w:id="61"/>
      <w:bookmarkEnd w:id="62"/>
    </w:p>
    <w:p w14:paraId="6787E3E3" w14:textId="77777777" w:rsidR="00B572AD" w:rsidRPr="00EE5714" w:rsidRDefault="00B572AD" w:rsidP="00B572AD">
      <w:pPr>
        <w:keepNext/>
        <w:spacing w:after="0" w:line="240" w:lineRule="auto"/>
        <w:rPr>
          <w:rFonts w:ascii="Times New Roman" w:eastAsia="Times New Roman" w:hAnsi="Times New Roman" w:cs="Times New Roman"/>
          <w:i/>
          <w:sz w:val="26"/>
          <w:szCs w:val="26"/>
        </w:rPr>
      </w:pPr>
    </w:p>
    <w:p w14:paraId="633E66E9" w14:textId="77777777" w:rsidR="00F303E0" w:rsidRPr="00EE5714" w:rsidRDefault="00F857A1" w:rsidP="00B572AD">
      <w:pPr>
        <w:keepNext/>
        <w:spacing w:after="0" w:line="240" w:lineRule="auto"/>
        <w:rPr>
          <w:rFonts w:ascii="Times New Roman" w:eastAsia="Times New Roman" w:hAnsi="Times New Roman" w:cs="Times New Roman"/>
          <w:i/>
          <w:sz w:val="26"/>
          <w:szCs w:val="26"/>
        </w:rPr>
      </w:pPr>
      <w:r w:rsidRPr="00EE5714">
        <w:rPr>
          <w:rFonts w:ascii="Times New Roman" w:eastAsia="Times New Roman" w:hAnsi="Times New Roman" w:cs="Times New Roman"/>
          <w:i/>
          <w:sz w:val="26"/>
          <w:szCs w:val="26"/>
        </w:rPr>
        <w:t>Appendix 4</w:t>
      </w:r>
      <w:r w:rsidR="00F303E0" w:rsidRPr="00EE5714">
        <w:rPr>
          <w:rFonts w:ascii="Times New Roman" w:eastAsia="Times New Roman" w:hAnsi="Times New Roman" w:cs="Times New Roman"/>
          <w:i/>
          <w:sz w:val="26"/>
          <w:szCs w:val="26"/>
        </w:rPr>
        <w:t>.A: Tables 5-2</w:t>
      </w:r>
      <w:r w:rsidR="00F303E0" w:rsidRPr="00EE5714">
        <w:rPr>
          <w:rFonts w:ascii="Times New Roman" w:eastAsia="Times New Roman" w:hAnsi="Times New Roman" w:cs="Times New Roman"/>
          <w:i/>
          <w:szCs w:val="24"/>
        </w:rPr>
        <w:t xml:space="preserve"> to 5-3 </w:t>
      </w:r>
      <w:r w:rsidR="00F303E0" w:rsidRPr="00EE5714">
        <w:rPr>
          <w:rFonts w:ascii="Times New Roman" w:eastAsia="Times New Roman" w:hAnsi="Times New Roman" w:cs="Times New Roman"/>
          <w:i/>
          <w:sz w:val="26"/>
          <w:szCs w:val="26"/>
        </w:rPr>
        <w:t>NGDCs</w:t>
      </w:r>
      <w:r w:rsidR="0023510E" w:rsidRPr="00EE5714">
        <w:rPr>
          <w:rFonts w:ascii="Times New Roman" w:eastAsia="Times New Roman" w:hAnsi="Times New Roman" w:cs="Times New Roman"/>
          <w:i/>
          <w:sz w:val="26"/>
          <w:szCs w:val="26"/>
        </w:rPr>
        <w:t xml:space="preserve"> </w:t>
      </w:r>
      <w:r w:rsidR="00F303E0" w:rsidRPr="00EE5714">
        <w:rPr>
          <w:rFonts w:ascii="Times New Roman" w:eastAsia="Times New Roman" w:hAnsi="Times New Roman" w:cs="Times New Roman"/>
          <w:i/>
          <w:sz w:val="26"/>
          <w:szCs w:val="26"/>
        </w:rPr>
        <w:t>–</w:t>
      </w:r>
      <w:r w:rsidR="0023510E" w:rsidRPr="00EE5714">
        <w:rPr>
          <w:rFonts w:ascii="Times New Roman" w:eastAsia="Times New Roman" w:hAnsi="Times New Roman" w:cs="Times New Roman"/>
          <w:i/>
          <w:sz w:val="26"/>
          <w:szCs w:val="26"/>
        </w:rPr>
        <w:t xml:space="preserve"> Pre-Program Arrearages (PPAs) and In-Program Arrears (IPAs)</w:t>
      </w:r>
    </w:p>
    <w:p w14:paraId="6BFEE49D" w14:textId="77777777" w:rsidR="00B572AD" w:rsidRPr="00EE5714" w:rsidRDefault="00B572AD" w:rsidP="00B572AD">
      <w:pPr>
        <w:keepNext/>
        <w:spacing w:after="0" w:line="240" w:lineRule="auto"/>
        <w:rPr>
          <w:rFonts w:ascii="Times New Roman" w:eastAsia="Times New Roman" w:hAnsi="Times New Roman" w:cs="Times New Roman"/>
          <w:sz w:val="26"/>
          <w:szCs w:val="26"/>
        </w:rPr>
      </w:pPr>
    </w:p>
    <w:p w14:paraId="2C95516C" w14:textId="77777777" w:rsidR="00F303E0" w:rsidRPr="00EE5714" w:rsidRDefault="00F303E0" w:rsidP="00B572AD">
      <w:pPr>
        <w:keepNext/>
        <w:spacing w:after="0" w:line="240" w:lineRule="auto"/>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xml:space="preserve">The average dollar amount of PPA and IPA per NGDC CAP customer with a PPA or IPA balance for the period from 2012 through 2016.  </w:t>
      </w:r>
    </w:p>
    <w:p w14:paraId="776175C5" w14:textId="77777777" w:rsidR="00B572AD" w:rsidRPr="00EE5714" w:rsidRDefault="00B572AD" w:rsidP="00B572AD">
      <w:pPr>
        <w:keepNext/>
        <w:spacing w:after="0" w:line="240" w:lineRule="auto"/>
        <w:rPr>
          <w:rFonts w:ascii="Times New Roman" w:eastAsia="Times New Roman" w:hAnsi="Times New Roman" w:cs="Times New Roman"/>
          <w:sz w:val="26"/>
          <w:szCs w:val="26"/>
        </w:rPr>
      </w:pPr>
    </w:p>
    <w:p w14:paraId="70F00917" w14:textId="77777777" w:rsidR="00F303E0" w:rsidRPr="00EE5714" w:rsidRDefault="00F857A1" w:rsidP="00CE67A6">
      <w:pPr>
        <w:keepNext/>
        <w:spacing w:after="0" w:line="240" w:lineRule="auto"/>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Appendix 4</w:t>
      </w:r>
      <w:r w:rsidR="00F303E0" w:rsidRPr="00EE5714">
        <w:rPr>
          <w:rFonts w:ascii="Times New Roman" w:eastAsia="Times New Roman" w:hAnsi="Times New Roman" w:cs="Times New Roman"/>
          <w:sz w:val="26"/>
          <w:szCs w:val="26"/>
        </w:rPr>
        <w:t xml:space="preserve">.A.1: </w:t>
      </w:r>
      <w:r w:rsidR="00F303E0" w:rsidRPr="00EE5714">
        <w:rPr>
          <w:rFonts w:ascii="Times New Roman" w:eastAsia="Times New Roman" w:hAnsi="Times New Roman" w:cs="Times New Roman"/>
          <w:b/>
          <w:color w:val="000000"/>
          <w:sz w:val="26"/>
          <w:szCs w:val="26"/>
        </w:rPr>
        <w:t>Average PPAs of NGDC CAP Customers with PPA Balances</w:t>
      </w:r>
    </w:p>
    <w:tbl>
      <w:tblPr>
        <w:tblW w:w="1017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4" w:space="0" w:color="000000"/>
        </w:tblBorders>
        <w:tblLayout w:type="fixed"/>
        <w:tblLook w:val="04A0" w:firstRow="1" w:lastRow="0" w:firstColumn="1" w:lastColumn="0" w:noHBand="0" w:noVBand="1"/>
      </w:tblPr>
      <w:tblGrid>
        <w:gridCol w:w="1440"/>
        <w:gridCol w:w="1800"/>
        <w:gridCol w:w="1800"/>
        <w:gridCol w:w="1800"/>
        <w:gridCol w:w="1710"/>
        <w:gridCol w:w="1620"/>
      </w:tblGrid>
      <w:tr w:rsidR="00F303E0" w:rsidRPr="00EE5714" w14:paraId="77D0E0F9" w14:textId="77777777" w:rsidTr="00CE67A6">
        <w:trPr>
          <w:trHeight w:val="493"/>
        </w:trPr>
        <w:tc>
          <w:tcPr>
            <w:tcW w:w="10170" w:type="dxa"/>
            <w:gridSpan w:val="6"/>
            <w:shd w:val="clear" w:color="000000" w:fill="D9D9D9"/>
            <w:noWrap/>
            <w:vAlign w:val="center"/>
            <w:hideMark/>
          </w:tcPr>
          <w:p w14:paraId="4399A161"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Average PPAs of NGDC CAP Customers with PPA Balances</w:t>
            </w:r>
          </w:p>
        </w:tc>
      </w:tr>
      <w:tr w:rsidR="00F303E0" w:rsidRPr="00EE5714" w14:paraId="76C15C02" w14:textId="77777777" w:rsidTr="00CE67A6">
        <w:trPr>
          <w:trHeight w:val="274"/>
        </w:trPr>
        <w:tc>
          <w:tcPr>
            <w:tcW w:w="1440" w:type="dxa"/>
            <w:shd w:val="clear" w:color="auto" w:fill="auto"/>
            <w:noWrap/>
            <w:vAlign w:val="center"/>
            <w:hideMark/>
          </w:tcPr>
          <w:p w14:paraId="2353AF63" w14:textId="77777777" w:rsidR="00F303E0" w:rsidRPr="00EE5714" w:rsidRDefault="00F303E0" w:rsidP="00CE67A6">
            <w:pPr>
              <w:keepNext/>
              <w:spacing w:after="0" w:line="240" w:lineRule="auto"/>
              <w:jc w:val="center"/>
              <w:rPr>
                <w:rFonts w:ascii="Calibri" w:eastAsia="Times New Roman" w:hAnsi="Calibri" w:cs="Calibri"/>
                <w:b/>
                <w:bCs/>
                <w:color w:val="000000"/>
                <w:szCs w:val="24"/>
              </w:rPr>
            </w:pPr>
            <w:r w:rsidRPr="00EE5714">
              <w:rPr>
                <w:rFonts w:ascii="Calibri" w:eastAsia="Times New Roman" w:hAnsi="Calibri" w:cs="Calibri"/>
                <w:b/>
                <w:bCs/>
                <w:color w:val="000000"/>
                <w:szCs w:val="24"/>
              </w:rPr>
              <w:t> </w:t>
            </w:r>
          </w:p>
        </w:tc>
        <w:tc>
          <w:tcPr>
            <w:tcW w:w="1800" w:type="dxa"/>
            <w:shd w:val="clear" w:color="auto" w:fill="F2F2F2" w:themeFill="background1" w:themeFillShade="F2"/>
            <w:noWrap/>
            <w:vAlign w:val="bottom"/>
            <w:hideMark/>
          </w:tcPr>
          <w:p w14:paraId="5C7C376A"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2012</w:t>
            </w:r>
          </w:p>
        </w:tc>
        <w:tc>
          <w:tcPr>
            <w:tcW w:w="1800" w:type="dxa"/>
            <w:shd w:val="clear" w:color="auto" w:fill="F2F2F2" w:themeFill="background1" w:themeFillShade="F2"/>
            <w:noWrap/>
            <w:vAlign w:val="bottom"/>
            <w:hideMark/>
          </w:tcPr>
          <w:p w14:paraId="2466BE2B"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2013</w:t>
            </w:r>
          </w:p>
        </w:tc>
        <w:tc>
          <w:tcPr>
            <w:tcW w:w="1800" w:type="dxa"/>
            <w:shd w:val="clear" w:color="auto" w:fill="F2F2F2" w:themeFill="background1" w:themeFillShade="F2"/>
            <w:noWrap/>
            <w:vAlign w:val="bottom"/>
            <w:hideMark/>
          </w:tcPr>
          <w:p w14:paraId="149A373D"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2014</w:t>
            </w:r>
          </w:p>
        </w:tc>
        <w:tc>
          <w:tcPr>
            <w:tcW w:w="1710" w:type="dxa"/>
            <w:shd w:val="clear" w:color="auto" w:fill="F2F2F2" w:themeFill="background1" w:themeFillShade="F2"/>
            <w:noWrap/>
            <w:vAlign w:val="bottom"/>
            <w:hideMark/>
          </w:tcPr>
          <w:p w14:paraId="7B45DACD"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2015</w:t>
            </w:r>
          </w:p>
        </w:tc>
        <w:tc>
          <w:tcPr>
            <w:tcW w:w="1620" w:type="dxa"/>
            <w:shd w:val="clear" w:color="auto" w:fill="F2F2F2" w:themeFill="background1" w:themeFillShade="F2"/>
            <w:noWrap/>
            <w:vAlign w:val="bottom"/>
            <w:hideMark/>
          </w:tcPr>
          <w:p w14:paraId="41E7DACA"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2016</w:t>
            </w:r>
          </w:p>
        </w:tc>
      </w:tr>
      <w:tr w:rsidR="00F303E0" w:rsidRPr="00EE5714" w14:paraId="4D9B1031" w14:textId="77777777" w:rsidTr="00CE67A6">
        <w:trPr>
          <w:trHeight w:hRule="exact" w:val="245"/>
        </w:trPr>
        <w:tc>
          <w:tcPr>
            <w:tcW w:w="1440" w:type="dxa"/>
            <w:shd w:val="clear" w:color="auto" w:fill="auto"/>
            <w:noWrap/>
            <w:vAlign w:val="bottom"/>
            <w:hideMark/>
          </w:tcPr>
          <w:p w14:paraId="72F3B6C1" w14:textId="77777777" w:rsidR="00F303E0" w:rsidRPr="00EE5714" w:rsidRDefault="00F303E0" w:rsidP="00CE67A6">
            <w:pPr>
              <w:keepNext/>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Columbia</w:t>
            </w:r>
          </w:p>
        </w:tc>
        <w:tc>
          <w:tcPr>
            <w:tcW w:w="1800" w:type="dxa"/>
            <w:shd w:val="clear" w:color="auto" w:fill="auto"/>
            <w:noWrap/>
            <w:vAlign w:val="center"/>
            <w:hideMark/>
          </w:tcPr>
          <w:p w14:paraId="0AB6F809"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800" w:type="dxa"/>
            <w:shd w:val="clear" w:color="auto" w:fill="auto"/>
            <w:noWrap/>
            <w:vAlign w:val="center"/>
            <w:hideMark/>
          </w:tcPr>
          <w:p w14:paraId="285636BB"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$98.82 </w:t>
            </w:r>
          </w:p>
        </w:tc>
        <w:tc>
          <w:tcPr>
            <w:tcW w:w="1800" w:type="dxa"/>
            <w:shd w:val="clear" w:color="auto" w:fill="auto"/>
            <w:noWrap/>
            <w:vAlign w:val="center"/>
            <w:hideMark/>
          </w:tcPr>
          <w:p w14:paraId="0E7E6606"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$116.10 </w:t>
            </w:r>
          </w:p>
        </w:tc>
        <w:tc>
          <w:tcPr>
            <w:tcW w:w="1710" w:type="dxa"/>
            <w:shd w:val="clear" w:color="auto" w:fill="auto"/>
            <w:noWrap/>
            <w:vAlign w:val="center"/>
            <w:hideMark/>
          </w:tcPr>
          <w:p w14:paraId="221CAF9A"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$129.75 </w:t>
            </w:r>
          </w:p>
        </w:tc>
        <w:tc>
          <w:tcPr>
            <w:tcW w:w="1620" w:type="dxa"/>
            <w:shd w:val="clear" w:color="auto" w:fill="auto"/>
            <w:noWrap/>
            <w:vAlign w:val="center"/>
            <w:hideMark/>
          </w:tcPr>
          <w:p w14:paraId="41895BFF"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$132.68 </w:t>
            </w:r>
          </w:p>
        </w:tc>
      </w:tr>
      <w:tr w:rsidR="00F303E0" w:rsidRPr="00EE5714" w14:paraId="0CE29C1B" w14:textId="77777777" w:rsidTr="00CE67A6">
        <w:trPr>
          <w:trHeight w:hRule="exact" w:val="245"/>
        </w:trPr>
        <w:tc>
          <w:tcPr>
            <w:tcW w:w="1440" w:type="dxa"/>
            <w:shd w:val="clear" w:color="auto" w:fill="auto"/>
            <w:noWrap/>
            <w:vAlign w:val="bottom"/>
            <w:hideMark/>
          </w:tcPr>
          <w:p w14:paraId="50C8F760" w14:textId="77777777" w:rsidR="00F303E0" w:rsidRPr="00EE5714" w:rsidRDefault="00F303E0" w:rsidP="00CE67A6">
            <w:pPr>
              <w:keepNext/>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NFG</w:t>
            </w:r>
          </w:p>
        </w:tc>
        <w:tc>
          <w:tcPr>
            <w:tcW w:w="1800" w:type="dxa"/>
            <w:shd w:val="clear" w:color="auto" w:fill="auto"/>
            <w:noWrap/>
            <w:vAlign w:val="center"/>
            <w:hideMark/>
          </w:tcPr>
          <w:p w14:paraId="48C6F3F8"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$494.67 </w:t>
            </w:r>
          </w:p>
        </w:tc>
        <w:tc>
          <w:tcPr>
            <w:tcW w:w="1800" w:type="dxa"/>
            <w:shd w:val="clear" w:color="auto" w:fill="auto"/>
            <w:noWrap/>
            <w:vAlign w:val="center"/>
            <w:hideMark/>
          </w:tcPr>
          <w:p w14:paraId="138A3F9F"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$748.73 </w:t>
            </w:r>
          </w:p>
        </w:tc>
        <w:tc>
          <w:tcPr>
            <w:tcW w:w="1800" w:type="dxa"/>
            <w:shd w:val="clear" w:color="auto" w:fill="auto"/>
            <w:noWrap/>
            <w:vAlign w:val="center"/>
            <w:hideMark/>
          </w:tcPr>
          <w:p w14:paraId="39B77806"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$482.39 </w:t>
            </w:r>
          </w:p>
        </w:tc>
        <w:tc>
          <w:tcPr>
            <w:tcW w:w="1710" w:type="dxa"/>
            <w:shd w:val="clear" w:color="auto" w:fill="auto"/>
            <w:noWrap/>
            <w:vAlign w:val="center"/>
            <w:hideMark/>
          </w:tcPr>
          <w:p w14:paraId="4E846009"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$462.53 </w:t>
            </w:r>
          </w:p>
        </w:tc>
        <w:tc>
          <w:tcPr>
            <w:tcW w:w="1620" w:type="dxa"/>
            <w:shd w:val="clear" w:color="auto" w:fill="auto"/>
            <w:noWrap/>
            <w:vAlign w:val="center"/>
            <w:hideMark/>
          </w:tcPr>
          <w:p w14:paraId="47651BA6"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$402.23 </w:t>
            </w:r>
          </w:p>
        </w:tc>
      </w:tr>
      <w:tr w:rsidR="00F303E0" w:rsidRPr="00EE5714" w14:paraId="0C176CBA" w14:textId="77777777" w:rsidTr="00CE67A6">
        <w:trPr>
          <w:trHeight w:hRule="exact" w:val="245"/>
        </w:trPr>
        <w:tc>
          <w:tcPr>
            <w:tcW w:w="1440" w:type="dxa"/>
            <w:shd w:val="clear" w:color="auto" w:fill="auto"/>
            <w:noWrap/>
            <w:vAlign w:val="bottom"/>
            <w:hideMark/>
          </w:tcPr>
          <w:p w14:paraId="6C8B6164" w14:textId="77777777" w:rsidR="00F303E0" w:rsidRPr="00EE5714" w:rsidRDefault="00F303E0" w:rsidP="00CE67A6">
            <w:pPr>
              <w:keepNext/>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Gas</w:t>
            </w:r>
          </w:p>
        </w:tc>
        <w:tc>
          <w:tcPr>
            <w:tcW w:w="1800" w:type="dxa"/>
            <w:shd w:val="clear" w:color="auto" w:fill="auto"/>
            <w:noWrap/>
            <w:vAlign w:val="center"/>
            <w:hideMark/>
          </w:tcPr>
          <w:p w14:paraId="3A243243"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$643.44 </w:t>
            </w:r>
          </w:p>
        </w:tc>
        <w:tc>
          <w:tcPr>
            <w:tcW w:w="1800" w:type="dxa"/>
            <w:shd w:val="clear" w:color="auto" w:fill="auto"/>
            <w:noWrap/>
            <w:vAlign w:val="center"/>
            <w:hideMark/>
          </w:tcPr>
          <w:p w14:paraId="19A914C6"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$547.45 </w:t>
            </w:r>
          </w:p>
        </w:tc>
        <w:tc>
          <w:tcPr>
            <w:tcW w:w="1800" w:type="dxa"/>
            <w:shd w:val="clear" w:color="auto" w:fill="auto"/>
            <w:noWrap/>
            <w:vAlign w:val="center"/>
            <w:hideMark/>
          </w:tcPr>
          <w:p w14:paraId="068EC102"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$558.27 </w:t>
            </w:r>
          </w:p>
        </w:tc>
        <w:tc>
          <w:tcPr>
            <w:tcW w:w="1710" w:type="dxa"/>
            <w:shd w:val="clear" w:color="auto" w:fill="auto"/>
            <w:noWrap/>
            <w:vAlign w:val="center"/>
            <w:hideMark/>
          </w:tcPr>
          <w:p w14:paraId="2D8F0B5F"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$529.35 </w:t>
            </w:r>
          </w:p>
        </w:tc>
        <w:tc>
          <w:tcPr>
            <w:tcW w:w="1620" w:type="dxa"/>
            <w:shd w:val="clear" w:color="auto" w:fill="auto"/>
            <w:noWrap/>
            <w:vAlign w:val="center"/>
            <w:hideMark/>
          </w:tcPr>
          <w:p w14:paraId="63B40457"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$460.25 </w:t>
            </w:r>
          </w:p>
        </w:tc>
      </w:tr>
      <w:tr w:rsidR="00F303E0" w:rsidRPr="00EE5714" w14:paraId="52DB3549" w14:textId="77777777" w:rsidTr="00CE67A6">
        <w:trPr>
          <w:trHeight w:hRule="exact" w:val="245"/>
        </w:trPr>
        <w:tc>
          <w:tcPr>
            <w:tcW w:w="1440" w:type="dxa"/>
            <w:shd w:val="clear" w:color="auto" w:fill="auto"/>
            <w:noWrap/>
            <w:vAlign w:val="bottom"/>
            <w:hideMark/>
          </w:tcPr>
          <w:p w14:paraId="79B2DD5B" w14:textId="77777777" w:rsidR="00F303E0" w:rsidRPr="00EE5714" w:rsidRDefault="00F303E0" w:rsidP="00CE67A6">
            <w:pPr>
              <w:keepNext/>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w:t>
            </w:r>
          </w:p>
        </w:tc>
        <w:tc>
          <w:tcPr>
            <w:tcW w:w="1800" w:type="dxa"/>
            <w:shd w:val="clear" w:color="auto" w:fill="auto"/>
            <w:noWrap/>
            <w:vAlign w:val="center"/>
            <w:hideMark/>
          </w:tcPr>
          <w:p w14:paraId="5DE2D854"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$739.63 </w:t>
            </w:r>
          </w:p>
        </w:tc>
        <w:tc>
          <w:tcPr>
            <w:tcW w:w="1800" w:type="dxa"/>
            <w:shd w:val="clear" w:color="auto" w:fill="auto"/>
            <w:noWrap/>
            <w:vAlign w:val="center"/>
            <w:hideMark/>
          </w:tcPr>
          <w:p w14:paraId="6291FA7C"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$672.09 </w:t>
            </w:r>
          </w:p>
        </w:tc>
        <w:tc>
          <w:tcPr>
            <w:tcW w:w="1800" w:type="dxa"/>
            <w:shd w:val="clear" w:color="auto" w:fill="auto"/>
            <w:noWrap/>
            <w:vAlign w:val="center"/>
            <w:hideMark/>
          </w:tcPr>
          <w:p w14:paraId="15435D70"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$708.84 </w:t>
            </w:r>
          </w:p>
        </w:tc>
        <w:tc>
          <w:tcPr>
            <w:tcW w:w="1710" w:type="dxa"/>
            <w:shd w:val="clear" w:color="auto" w:fill="auto"/>
            <w:noWrap/>
            <w:vAlign w:val="center"/>
            <w:hideMark/>
          </w:tcPr>
          <w:p w14:paraId="546444DD"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$788.27 </w:t>
            </w:r>
          </w:p>
        </w:tc>
        <w:tc>
          <w:tcPr>
            <w:tcW w:w="1620" w:type="dxa"/>
            <w:shd w:val="clear" w:color="auto" w:fill="auto"/>
            <w:noWrap/>
            <w:vAlign w:val="center"/>
            <w:hideMark/>
          </w:tcPr>
          <w:p w14:paraId="25B2AE73"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$790.31 </w:t>
            </w:r>
          </w:p>
        </w:tc>
      </w:tr>
      <w:tr w:rsidR="00F303E0" w:rsidRPr="00EE5714" w14:paraId="159C78B1" w14:textId="77777777" w:rsidTr="00CE67A6">
        <w:trPr>
          <w:trHeight w:hRule="exact" w:val="245"/>
        </w:trPr>
        <w:tc>
          <w:tcPr>
            <w:tcW w:w="1440" w:type="dxa"/>
            <w:shd w:val="clear" w:color="auto" w:fill="auto"/>
            <w:noWrap/>
            <w:vAlign w:val="bottom"/>
            <w:hideMark/>
          </w:tcPr>
          <w:p w14:paraId="3E98249C" w14:textId="77777777" w:rsidR="00F303E0" w:rsidRPr="00EE5714" w:rsidRDefault="00F303E0" w:rsidP="00CE67A6">
            <w:pPr>
              <w:keepNext/>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 EQT</w:t>
            </w:r>
          </w:p>
        </w:tc>
        <w:tc>
          <w:tcPr>
            <w:tcW w:w="1800" w:type="dxa"/>
            <w:shd w:val="clear" w:color="auto" w:fill="auto"/>
            <w:noWrap/>
            <w:vAlign w:val="center"/>
            <w:hideMark/>
          </w:tcPr>
          <w:p w14:paraId="6DC14E82"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$957.40 </w:t>
            </w:r>
          </w:p>
        </w:tc>
        <w:tc>
          <w:tcPr>
            <w:tcW w:w="1800" w:type="dxa"/>
            <w:shd w:val="clear" w:color="auto" w:fill="auto"/>
            <w:noWrap/>
            <w:vAlign w:val="center"/>
            <w:hideMark/>
          </w:tcPr>
          <w:p w14:paraId="2BEDC943"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$836.29 </w:t>
            </w:r>
          </w:p>
        </w:tc>
        <w:tc>
          <w:tcPr>
            <w:tcW w:w="1800" w:type="dxa"/>
            <w:shd w:val="clear" w:color="auto" w:fill="auto"/>
            <w:noWrap/>
            <w:vAlign w:val="center"/>
            <w:hideMark/>
          </w:tcPr>
          <w:p w14:paraId="5C4EE8E1"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$772.38 </w:t>
            </w:r>
          </w:p>
        </w:tc>
        <w:tc>
          <w:tcPr>
            <w:tcW w:w="1710" w:type="dxa"/>
            <w:shd w:val="clear" w:color="auto" w:fill="auto"/>
            <w:noWrap/>
            <w:vAlign w:val="center"/>
            <w:hideMark/>
          </w:tcPr>
          <w:p w14:paraId="5A48DBE6"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$720.76 </w:t>
            </w:r>
          </w:p>
        </w:tc>
        <w:tc>
          <w:tcPr>
            <w:tcW w:w="1620" w:type="dxa"/>
            <w:shd w:val="clear" w:color="auto" w:fill="auto"/>
            <w:noWrap/>
            <w:vAlign w:val="center"/>
            <w:hideMark/>
          </w:tcPr>
          <w:p w14:paraId="3828F06E"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$617.82 </w:t>
            </w:r>
          </w:p>
        </w:tc>
      </w:tr>
      <w:tr w:rsidR="00F303E0" w:rsidRPr="00EE5714" w14:paraId="58DA34AE" w14:textId="77777777" w:rsidTr="00CE67A6">
        <w:trPr>
          <w:trHeight w:hRule="exact" w:val="245"/>
        </w:trPr>
        <w:tc>
          <w:tcPr>
            <w:tcW w:w="1440" w:type="dxa"/>
            <w:shd w:val="clear" w:color="auto" w:fill="auto"/>
            <w:noWrap/>
            <w:vAlign w:val="bottom"/>
            <w:hideMark/>
          </w:tcPr>
          <w:p w14:paraId="2ECED1C7" w14:textId="77777777" w:rsidR="00F303E0" w:rsidRPr="00EE5714" w:rsidRDefault="00F303E0" w:rsidP="00CE67A6">
            <w:pPr>
              <w:keepNext/>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PGW</w:t>
            </w:r>
          </w:p>
        </w:tc>
        <w:tc>
          <w:tcPr>
            <w:tcW w:w="1800" w:type="dxa"/>
            <w:shd w:val="clear" w:color="auto" w:fill="auto"/>
            <w:noWrap/>
            <w:vAlign w:val="center"/>
            <w:hideMark/>
          </w:tcPr>
          <w:p w14:paraId="4F5290F7"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$1,311.98 </w:t>
            </w:r>
          </w:p>
        </w:tc>
        <w:tc>
          <w:tcPr>
            <w:tcW w:w="1800" w:type="dxa"/>
            <w:shd w:val="clear" w:color="auto" w:fill="auto"/>
            <w:noWrap/>
            <w:vAlign w:val="center"/>
            <w:hideMark/>
          </w:tcPr>
          <w:p w14:paraId="2D902D1F"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$1,313.29 </w:t>
            </w:r>
          </w:p>
        </w:tc>
        <w:tc>
          <w:tcPr>
            <w:tcW w:w="1800" w:type="dxa"/>
            <w:shd w:val="clear" w:color="auto" w:fill="auto"/>
            <w:noWrap/>
            <w:vAlign w:val="center"/>
            <w:hideMark/>
          </w:tcPr>
          <w:p w14:paraId="0F1FCC7D"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$1,341.56 </w:t>
            </w:r>
          </w:p>
        </w:tc>
        <w:tc>
          <w:tcPr>
            <w:tcW w:w="1710" w:type="dxa"/>
            <w:shd w:val="clear" w:color="auto" w:fill="auto"/>
            <w:noWrap/>
            <w:vAlign w:val="center"/>
            <w:hideMark/>
          </w:tcPr>
          <w:p w14:paraId="51F4A329"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$1,330.32 </w:t>
            </w:r>
          </w:p>
        </w:tc>
        <w:tc>
          <w:tcPr>
            <w:tcW w:w="1620" w:type="dxa"/>
            <w:shd w:val="clear" w:color="auto" w:fill="auto"/>
            <w:noWrap/>
            <w:vAlign w:val="center"/>
            <w:hideMark/>
          </w:tcPr>
          <w:p w14:paraId="31244E3D"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$1,259.90 </w:t>
            </w:r>
          </w:p>
        </w:tc>
      </w:tr>
      <w:tr w:rsidR="00F303E0" w:rsidRPr="00EE5714" w14:paraId="62732170" w14:textId="77777777" w:rsidTr="00CE67A6">
        <w:trPr>
          <w:trHeight w:hRule="exact" w:val="245"/>
        </w:trPr>
        <w:tc>
          <w:tcPr>
            <w:tcW w:w="1440" w:type="dxa"/>
            <w:shd w:val="clear" w:color="auto" w:fill="auto"/>
            <w:noWrap/>
            <w:vAlign w:val="bottom"/>
            <w:hideMark/>
          </w:tcPr>
          <w:p w14:paraId="4623CBBB" w14:textId="77777777" w:rsidR="00F303E0" w:rsidRPr="00EE5714" w:rsidRDefault="00F303E0" w:rsidP="00CE67A6">
            <w:pPr>
              <w:keepNext/>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Gas</w:t>
            </w:r>
          </w:p>
        </w:tc>
        <w:tc>
          <w:tcPr>
            <w:tcW w:w="1800" w:type="dxa"/>
            <w:shd w:val="clear" w:color="auto" w:fill="auto"/>
            <w:noWrap/>
            <w:vAlign w:val="center"/>
            <w:hideMark/>
          </w:tcPr>
          <w:p w14:paraId="664B9A93"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$442.05 </w:t>
            </w:r>
          </w:p>
        </w:tc>
        <w:tc>
          <w:tcPr>
            <w:tcW w:w="1800" w:type="dxa"/>
            <w:shd w:val="clear" w:color="auto" w:fill="auto"/>
            <w:noWrap/>
            <w:vAlign w:val="center"/>
            <w:hideMark/>
          </w:tcPr>
          <w:p w14:paraId="7D75EAD7"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$387.83 </w:t>
            </w:r>
          </w:p>
        </w:tc>
        <w:tc>
          <w:tcPr>
            <w:tcW w:w="1800" w:type="dxa"/>
            <w:shd w:val="clear" w:color="auto" w:fill="auto"/>
            <w:noWrap/>
            <w:vAlign w:val="center"/>
            <w:hideMark/>
          </w:tcPr>
          <w:p w14:paraId="2FBF3A75"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$422.16 </w:t>
            </w:r>
          </w:p>
        </w:tc>
        <w:tc>
          <w:tcPr>
            <w:tcW w:w="1710" w:type="dxa"/>
            <w:shd w:val="clear" w:color="auto" w:fill="auto"/>
            <w:noWrap/>
            <w:vAlign w:val="center"/>
            <w:hideMark/>
          </w:tcPr>
          <w:p w14:paraId="56327A30"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$391.41 </w:t>
            </w:r>
          </w:p>
        </w:tc>
        <w:tc>
          <w:tcPr>
            <w:tcW w:w="1620" w:type="dxa"/>
            <w:shd w:val="clear" w:color="auto" w:fill="auto"/>
            <w:noWrap/>
            <w:vAlign w:val="center"/>
            <w:hideMark/>
          </w:tcPr>
          <w:p w14:paraId="69865B8D"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$341.31 </w:t>
            </w:r>
          </w:p>
        </w:tc>
      </w:tr>
      <w:tr w:rsidR="00F303E0" w:rsidRPr="00EE5714" w14:paraId="07368819" w14:textId="77777777" w:rsidTr="00CE67A6">
        <w:trPr>
          <w:trHeight w:hRule="exact" w:val="245"/>
        </w:trPr>
        <w:tc>
          <w:tcPr>
            <w:tcW w:w="1440" w:type="dxa"/>
            <w:shd w:val="clear" w:color="auto" w:fill="auto"/>
            <w:noWrap/>
            <w:vAlign w:val="bottom"/>
            <w:hideMark/>
          </w:tcPr>
          <w:p w14:paraId="75D6B122" w14:textId="77777777" w:rsidR="00F303E0" w:rsidRPr="00EE5714" w:rsidRDefault="00F303E0" w:rsidP="00CE67A6">
            <w:pPr>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PNG</w:t>
            </w:r>
          </w:p>
        </w:tc>
        <w:tc>
          <w:tcPr>
            <w:tcW w:w="1800" w:type="dxa"/>
            <w:shd w:val="clear" w:color="auto" w:fill="auto"/>
            <w:noWrap/>
            <w:vAlign w:val="center"/>
            <w:hideMark/>
          </w:tcPr>
          <w:p w14:paraId="48565153" w14:textId="77777777" w:rsidR="00F303E0" w:rsidRPr="00EE5714" w:rsidRDefault="00F303E0" w:rsidP="00CE67A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$510.36 </w:t>
            </w:r>
          </w:p>
        </w:tc>
        <w:tc>
          <w:tcPr>
            <w:tcW w:w="1800" w:type="dxa"/>
            <w:shd w:val="clear" w:color="auto" w:fill="auto"/>
            <w:noWrap/>
            <w:vAlign w:val="center"/>
            <w:hideMark/>
          </w:tcPr>
          <w:p w14:paraId="327AAD40" w14:textId="77777777" w:rsidR="00F303E0" w:rsidRPr="00EE5714" w:rsidRDefault="00F303E0" w:rsidP="00CE67A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$417.54 </w:t>
            </w:r>
          </w:p>
        </w:tc>
        <w:tc>
          <w:tcPr>
            <w:tcW w:w="1800" w:type="dxa"/>
            <w:shd w:val="clear" w:color="auto" w:fill="auto"/>
            <w:noWrap/>
            <w:vAlign w:val="center"/>
            <w:hideMark/>
          </w:tcPr>
          <w:p w14:paraId="275550C2" w14:textId="77777777" w:rsidR="00F303E0" w:rsidRPr="00EE5714" w:rsidRDefault="00F303E0" w:rsidP="00CE67A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$455.35 </w:t>
            </w:r>
          </w:p>
        </w:tc>
        <w:tc>
          <w:tcPr>
            <w:tcW w:w="1710" w:type="dxa"/>
            <w:shd w:val="clear" w:color="auto" w:fill="auto"/>
            <w:noWrap/>
            <w:vAlign w:val="center"/>
            <w:hideMark/>
          </w:tcPr>
          <w:p w14:paraId="0F07FA85" w14:textId="77777777" w:rsidR="00F303E0" w:rsidRPr="00EE5714" w:rsidRDefault="00F303E0" w:rsidP="00CE67A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$424.22 </w:t>
            </w:r>
          </w:p>
        </w:tc>
        <w:tc>
          <w:tcPr>
            <w:tcW w:w="1620" w:type="dxa"/>
            <w:shd w:val="clear" w:color="auto" w:fill="auto"/>
            <w:noWrap/>
            <w:vAlign w:val="center"/>
            <w:hideMark/>
          </w:tcPr>
          <w:p w14:paraId="40228434" w14:textId="77777777" w:rsidR="00F303E0" w:rsidRPr="00EE5714" w:rsidRDefault="00F303E0" w:rsidP="00CE67A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$382.21 </w:t>
            </w:r>
          </w:p>
        </w:tc>
      </w:tr>
    </w:tbl>
    <w:p w14:paraId="520FEC51" w14:textId="77777777" w:rsidR="00F303E0" w:rsidRPr="00EE5714" w:rsidRDefault="00F303E0" w:rsidP="00CE67A6">
      <w:pPr>
        <w:spacing w:after="0" w:line="240" w:lineRule="auto"/>
        <w:rPr>
          <w:rFonts w:ascii="Times New Roman" w:hAnsi="Times New Roman" w:cs="Times New Roman"/>
          <w:sz w:val="26"/>
          <w:szCs w:val="26"/>
        </w:rPr>
      </w:pPr>
    </w:p>
    <w:p w14:paraId="47E9B2F8" w14:textId="77777777" w:rsidR="00F303E0" w:rsidRPr="00EE5714" w:rsidRDefault="00F303E0" w:rsidP="00CE67A6">
      <w:pPr>
        <w:spacing w:after="0" w:line="240" w:lineRule="auto"/>
        <w:rPr>
          <w:rFonts w:ascii="Times New Roman" w:hAnsi="Times New Roman" w:cs="Times New Roman"/>
          <w:sz w:val="26"/>
          <w:szCs w:val="26"/>
        </w:rPr>
      </w:pPr>
    </w:p>
    <w:p w14:paraId="6B83C23C" w14:textId="77777777" w:rsidR="00F303E0" w:rsidRPr="00EE5714" w:rsidRDefault="00F857A1" w:rsidP="00CE67A6">
      <w:pPr>
        <w:keepNext/>
        <w:spacing w:after="0" w:line="240" w:lineRule="auto"/>
        <w:rPr>
          <w:rFonts w:ascii="Times New Roman" w:hAnsi="Times New Roman" w:cs="Times New Roman"/>
          <w:sz w:val="26"/>
          <w:szCs w:val="26"/>
        </w:rPr>
      </w:pPr>
      <w:r w:rsidRPr="00EE5714">
        <w:rPr>
          <w:rFonts w:ascii="Times New Roman" w:hAnsi="Times New Roman" w:cs="Times New Roman"/>
          <w:sz w:val="26"/>
          <w:szCs w:val="26"/>
        </w:rPr>
        <w:t>Appendix 4</w:t>
      </w:r>
      <w:r w:rsidR="00F303E0" w:rsidRPr="00EE5714">
        <w:rPr>
          <w:rFonts w:ascii="Times New Roman" w:hAnsi="Times New Roman" w:cs="Times New Roman"/>
          <w:sz w:val="26"/>
          <w:szCs w:val="26"/>
        </w:rPr>
        <w:t xml:space="preserve">.A.2: </w:t>
      </w:r>
      <w:r w:rsidR="00F303E0" w:rsidRPr="00EE5714">
        <w:rPr>
          <w:rFonts w:ascii="Times New Roman" w:eastAsia="Times New Roman" w:hAnsi="Times New Roman" w:cs="Times New Roman"/>
          <w:b/>
          <w:bCs/>
          <w:color w:val="000000"/>
          <w:sz w:val="26"/>
          <w:szCs w:val="26"/>
        </w:rPr>
        <w:t>Average IPAs of NGDC CAP Customer with IPAs Balances</w:t>
      </w:r>
    </w:p>
    <w:tbl>
      <w:tblPr>
        <w:tblW w:w="10170" w:type="dxa"/>
        <w:tblInd w:w="-370" w:type="dxa"/>
        <w:tblLayout w:type="fixed"/>
        <w:tblLook w:val="04A0" w:firstRow="1" w:lastRow="0" w:firstColumn="1" w:lastColumn="0" w:noHBand="0" w:noVBand="1"/>
      </w:tblPr>
      <w:tblGrid>
        <w:gridCol w:w="1440"/>
        <w:gridCol w:w="1800"/>
        <w:gridCol w:w="1800"/>
        <w:gridCol w:w="1800"/>
        <w:gridCol w:w="1710"/>
        <w:gridCol w:w="1620"/>
      </w:tblGrid>
      <w:tr w:rsidR="00F303E0" w:rsidRPr="00EE5714" w14:paraId="247CA8F9" w14:textId="77777777" w:rsidTr="00CE67A6">
        <w:trPr>
          <w:trHeight w:val="385"/>
        </w:trPr>
        <w:tc>
          <w:tcPr>
            <w:tcW w:w="10170" w:type="dxa"/>
            <w:gridSpan w:val="6"/>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38BF7873"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Average IPAs of NGDC CAP Customer with IPAs Balances</w:t>
            </w:r>
          </w:p>
        </w:tc>
      </w:tr>
      <w:tr w:rsidR="00F303E0" w:rsidRPr="00EE5714" w14:paraId="478AEC8A" w14:textId="77777777" w:rsidTr="00CE67A6">
        <w:trPr>
          <w:trHeight w:val="274"/>
        </w:trPr>
        <w:tc>
          <w:tcPr>
            <w:tcW w:w="1440" w:type="dxa"/>
            <w:tcBorders>
              <w:top w:val="nil"/>
              <w:left w:val="single" w:sz="8" w:space="0" w:color="000000"/>
              <w:bottom w:val="single" w:sz="8" w:space="0" w:color="000000"/>
              <w:right w:val="single" w:sz="4" w:space="0" w:color="000000"/>
            </w:tcBorders>
            <w:shd w:val="clear" w:color="auto" w:fill="auto"/>
            <w:noWrap/>
            <w:vAlign w:val="center"/>
            <w:hideMark/>
          </w:tcPr>
          <w:p w14:paraId="5D6B2016" w14:textId="77777777" w:rsidR="00F303E0" w:rsidRPr="00EE5714" w:rsidRDefault="00F303E0" w:rsidP="00851815">
            <w:pPr>
              <w:keepNext/>
              <w:jc w:val="center"/>
              <w:rPr>
                <w:rFonts w:ascii="Calibri" w:eastAsia="Times New Roman" w:hAnsi="Calibri" w:cs="Calibri"/>
                <w:b/>
                <w:bCs/>
                <w:color w:val="000000"/>
                <w:szCs w:val="24"/>
              </w:rPr>
            </w:pPr>
            <w:r w:rsidRPr="00EE5714">
              <w:rPr>
                <w:rFonts w:ascii="Calibri" w:eastAsia="Times New Roman" w:hAnsi="Calibri" w:cs="Calibri"/>
                <w:b/>
                <w:bCs/>
                <w:color w:val="000000"/>
                <w:szCs w:val="24"/>
              </w:rPr>
              <w:t> </w:t>
            </w:r>
          </w:p>
        </w:tc>
        <w:tc>
          <w:tcPr>
            <w:tcW w:w="1800" w:type="dxa"/>
            <w:tcBorders>
              <w:top w:val="nil"/>
              <w:left w:val="nil"/>
              <w:bottom w:val="single" w:sz="8" w:space="0" w:color="000000"/>
              <w:right w:val="single" w:sz="4" w:space="0" w:color="000000"/>
            </w:tcBorders>
            <w:shd w:val="clear" w:color="auto" w:fill="F2F2F2" w:themeFill="background1" w:themeFillShade="F2"/>
            <w:noWrap/>
            <w:vAlign w:val="bottom"/>
            <w:hideMark/>
          </w:tcPr>
          <w:p w14:paraId="71BADEB4"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2012</w:t>
            </w:r>
          </w:p>
        </w:tc>
        <w:tc>
          <w:tcPr>
            <w:tcW w:w="1800" w:type="dxa"/>
            <w:tcBorders>
              <w:top w:val="nil"/>
              <w:left w:val="nil"/>
              <w:bottom w:val="single" w:sz="8" w:space="0" w:color="000000"/>
              <w:right w:val="single" w:sz="4" w:space="0" w:color="000000"/>
            </w:tcBorders>
            <w:shd w:val="clear" w:color="auto" w:fill="F2F2F2" w:themeFill="background1" w:themeFillShade="F2"/>
            <w:noWrap/>
            <w:vAlign w:val="bottom"/>
            <w:hideMark/>
          </w:tcPr>
          <w:p w14:paraId="28FEA31E"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2013</w:t>
            </w:r>
          </w:p>
        </w:tc>
        <w:tc>
          <w:tcPr>
            <w:tcW w:w="1800" w:type="dxa"/>
            <w:tcBorders>
              <w:top w:val="nil"/>
              <w:left w:val="nil"/>
              <w:bottom w:val="single" w:sz="8" w:space="0" w:color="000000"/>
              <w:right w:val="single" w:sz="4" w:space="0" w:color="000000"/>
            </w:tcBorders>
            <w:shd w:val="clear" w:color="auto" w:fill="F2F2F2" w:themeFill="background1" w:themeFillShade="F2"/>
            <w:noWrap/>
            <w:vAlign w:val="bottom"/>
            <w:hideMark/>
          </w:tcPr>
          <w:p w14:paraId="4BC475F6"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2014</w:t>
            </w:r>
          </w:p>
        </w:tc>
        <w:tc>
          <w:tcPr>
            <w:tcW w:w="1710" w:type="dxa"/>
            <w:tcBorders>
              <w:top w:val="nil"/>
              <w:left w:val="nil"/>
              <w:bottom w:val="single" w:sz="8" w:space="0" w:color="000000"/>
              <w:right w:val="single" w:sz="4" w:space="0" w:color="000000"/>
            </w:tcBorders>
            <w:shd w:val="clear" w:color="auto" w:fill="F2F2F2" w:themeFill="background1" w:themeFillShade="F2"/>
            <w:noWrap/>
            <w:vAlign w:val="bottom"/>
            <w:hideMark/>
          </w:tcPr>
          <w:p w14:paraId="4AEE43D2"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2015</w:t>
            </w:r>
          </w:p>
        </w:tc>
        <w:tc>
          <w:tcPr>
            <w:tcW w:w="1620" w:type="dxa"/>
            <w:tcBorders>
              <w:top w:val="nil"/>
              <w:left w:val="nil"/>
              <w:bottom w:val="single" w:sz="8" w:space="0" w:color="000000"/>
              <w:right w:val="single" w:sz="8" w:space="0" w:color="000000"/>
            </w:tcBorders>
            <w:shd w:val="clear" w:color="auto" w:fill="F2F2F2" w:themeFill="background1" w:themeFillShade="F2"/>
            <w:noWrap/>
            <w:vAlign w:val="bottom"/>
            <w:hideMark/>
          </w:tcPr>
          <w:p w14:paraId="31ACA6E2"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2016</w:t>
            </w:r>
          </w:p>
        </w:tc>
      </w:tr>
      <w:tr w:rsidR="00F303E0" w:rsidRPr="00EE5714" w14:paraId="4AEDEC1D" w14:textId="77777777" w:rsidTr="00CE67A6">
        <w:trPr>
          <w:trHeight w:hRule="exact" w:val="245"/>
        </w:trPr>
        <w:tc>
          <w:tcPr>
            <w:tcW w:w="1440" w:type="dxa"/>
            <w:tcBorders>
              <w:top w:val="nil"/>
              <w:left w:val="single" w:sz="8" w:space="0" w:color="auto"/>
              <w:bottom w:val="single" w:sz="4" w:space="0" w:color="000000"/>
              <w:right w:val="nil"/>
            </w:tcBorders>
            <w:shd w:val="clear" w:color="auto" w:fill="auto"/>
            <w:noWrap/>
            <w:vAlign w:val="bottom"/>
            <w:hideMark/>
          </w:tcPr>
          <w:p w14:paraId="37A14C11"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Columbia</w:t>
            </w:r>
          </w:p>
        </w:tc>
        <w:tc>
          <w:tcPr>
            <w:tcW w:w="1800" w:type="dxa"/>
            <w:tcBorders>
              <w:top w:val="nil"/>
              <w:left w:val="single" w:sz="4" w:space="0" w:color="000000"/>
              <w:bottom w:val="single" w:sz="4" w:space="0" w:color="808080"/>
              <w:right w:val="single" w:sz="4" w:space="0" w:color="000000"/>
            </w:tcBorders>
            <w:shd w:val="clear" w:color="000000" w:fill="auto"/>
            <w:noWrap/>
            <w:vAlign w:val="center"/>
            <w:hideMark/>
          </w:tcPr>
          <w:p w14:paraId="41EFEB29"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800" w:type="dxa"/>
            <w:tcBorders>
              <w:top w:val="nil"/>
              <w:left w:val="nil"/>
              <w:bottom w:val="single" w:sz="4" w:space="0" w:color="808080"/>
              <w:right w:val="single" w:sz="4" w:space="0" w:color="000000"/>
            </w:tcBorders>
            <w:shd w:val="clear" w:color="000000" w:fill="auto"/>
            <w:noWrap/>
            <w:vAlign w:val="center"/>
            <w:hideMark/>
          </w:tcPr>
          <w:p w14:paraId="2C1D6C92"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$36.34 </w:t>
            </w:r>
          </w:p>
        </w:tc>
        <w:tc>
          <w:tcPr>
            <w:tcW w:w="1800" w:type="dxa"/>
            <w:tcBorders>
              <w:top w:val="nil"/>
              <w:left w:val="nil"/>
              <w:bottom w:val="single" w:sz="4" w:space="0" w:color="808080"/>
              <w:right w:val="single" w:sz="4" w:space="0" w:color="000000"/>
            </w:tcBorders>
            <w:shd w:val="clear" w:color="000000" w:fill="auto"/>
            <w:noWrap/>
            <w:vAlign w:val="center"/>
            <w:hideMark/>
          </w:tcPr>
          <w:p w14:paraId="7FDAED5C"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$36.70 </w:t>
            </w:r>
          </w:p>
        </w:tc>
        <w:tc>
          <w:tcPr>
            <w:tcW w:w="1710" w:type="dxa"/>
            <w:tcBorders>
              <w:top w:val="nil"/>
              <w:left w:val="nil"/>
              <w:bottom w:val="single" w:sz="4" w:space="0" w:color="808080"/>
              <w:right w:val="single" w:sz="4" w:space="0" w:color="000000"/>
            </w:tcBorders>
            <w:shd w:val="clear" w:color="000000" w:fill="auto"/>
            <w:noWrap/>
            <w:vAlign w:val="center"/>
            <w:hideMark/>
          </w:tcPr>
          <w:p w14:paraId="0CD0D7D7"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$34.52 </w:t>
            </w:r>
          </w:p>
        </w:tc>
        <w:tc>
          <w:tcPr>
            <w:tcW w:w="1620" w:type="dxa"/>
            <w:tcBorders>
              <w:top w:val="nil"/>
              <w:left w:val="nil"/>
              <w:bottom w:val="single" w:sz="4" w:space="0" w:color="808080"/>
              <w:right w:val="single" w:sz="8" w:space="0" w:color="000000"/>
            </w:tcBorders>
            <w:shd w:val="clear" w:color="000000" w:fill="auto"/>
            <w:noWrap/>
            <w:vAlign w:val="center"/>
            <w:hideMark/>
          </w:tcPr>
          <w:p w14:paraId="42F4F87F"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$31.44 </w:t>
            </w:r>
          </w:p>
        </w:tc>
      </w:tr>
      <w:tr w:rsidR="00F303E0" w:rsidRPr="00EE5714" w14:paraId="3848BE03" w14:textId="77777777" w:rsidTr="00CE67A6">
        <w:trPr>
          <w:trHeight w:hRule="exact" w:val="245"/>
        </w:trPr>
        <w:tc>
          <w:tcPr>
            <w:tcW w:w="1440" w:type="dxa"/>
            <w:tcBorders>
              <w:top w:val="nil"/>
              <w:left w:val="single" w:sz="8" w:space="0" w:color="auto"/>
              <w:bottom w:val="single" w:sz="4" w:space="0" w:color="000000"/>
              <w:right w:val="nil"/>
            </w:tcBorders>
            <w:shd w:val="clear" w:color="auto" w:fill="auto"/>
            <w:noWrap/>
            <w:vAlign w:val="bottom"/>
            <w:hideMark/>
          </w:tcPr>
          <w:p w14:paraId="2487F56B"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NFG</w:t>
            </w:r>
          </w:p>
        </w:tc>
        <w:tc>
          <w:tcPr>
            <w:tcW w:w="1800" w:type="dxa"/>
            <w:tcBorders>
              <w:top w:val="nil"/>
              <w:left w:val="single" w:sz="4" w:space="0" w:color="000000"/>
              <w:bottom w:val="single" w:sz="4" w:space="0" w:color="808080"/>
              <w:right w:val="single" w:sz="4" w:space="0" w:color="000000"/>
            </w:tcBorders>
            <w:shd w:val="clear" w:color="000000" w:fill="auto"/>
            <w:noWrap/>
            <w:vAlign w:val="center"/>
            <w:hideMark/>
          </w:tcPr>
          <w:p w14:paraId="0EDEDE6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$135.01 </w:t>
            </w:r>
          </w:p>
        </w:tc>
        <w:tc>
          <w:tcPr>
            <w:tcW w:w="1800" w:type="dxa"/>
            <w:tcBorders>
              <w:top w:val="nil"/>
              <w:left w:val="nil"/>
              <w:bottom w:val="single" w:sz="4" w:space="0" w:color="808080"/>
              <w:right w:val="single" w:sz="4" w:space="0" w:color="000000"/>
            </w:tcBorders>
            <w:shd w:val="clear" w:color="000000" w:fill="auto"/>
            <w:noWrap/>
            <w:vAlign w:val="center"/>
            <w:hideMark/>
          </w:tcPr>
          <w:p w14:paraId="170677F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$115.55 </w:t>
            </w:r>
          </w:p>
        </w:tc>
        <w:tc>
          <w:tcPr>
            <w:tcW w:w="1800" w:type="dxa"/>
            <w:tcBorders>
              <w:top w:val="nil"/>
              <w:left w:val="nil"/>
              <w:bottom w:val="single" w:sz="4" w:space="0" w:color="808080"/>
              <w:right w:val="single" w:sz="4" w:space="0" w:color="000000"/>
            </w:tcBorders>
            <w:shd w:val="clear" w:color="000000" w:fill="auto"/>
            <w:noWrap/>
            <w:vAlign w:val="center"/>
            <w:hideMark/>
          </w:tcPr>
          <w:p w14:paraId="6E35568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$97.84 </w:t>
            </w:r>
          </w:p>
        </w:tc>
        <w:tc>
          <w:tcPr>
            <w:tcW w:w="1710" w:type="dxa"/>
            <w:tcBorders>
              <w:top w:val="nil"/>
              <w:left w:val="nil"/>
              <w:bottom w:val="single" w:sz="4" w:space="0" w:color="808080"/>
              <w:right w:val="single" w:sz="4" w:space="0" w:color="000000"/>
            </w:tcBorders>
            <w:shd w:val="clear" w:color="000000" w:fill="auto"/>
            <w:noWrap/>
            <w:vAlign w:val="center"/>
            <w:hideMark/>
          </w:tcPr>
          <w:p w14:paraId="0F459FC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$71.20 </w:t>
            </w:r>
          </w:p>
        </w:tc>
        <w:tc>
          <w:tcPr>
            <w:tcW w:w="1620" w:type="dxa"/>
            <w:tcBorders>
              <w:top w:val="nil"/>
              <w:left w:val="nil"/>
              <w:bottom w:val="single" w:sz="4" w:space="0" w:color="808080"/>
              <w:right w:val="single" w:sz="8" w:space="0" w:color="000000"/>
            </w:tcBorders>
            <w:shd w:val="clear" w:color="000000" w:fill="auto"/>
            <w:noWrap/>
            <w:vAlign w:val="center"/>
            <w:hideMark/>
          </w:tcPr>
          <w:p w14:paraId="7D0EB52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$64.05 </w:t>
            </w:r>
          </w:p>
        </w:tc>
      </w:tr>
      <w:tr w:rsidR="00F303E0" w:rsidRPr="00EE5714" w14:paraId="26AA62C0" w14:textId="77777777" w:rsidTr="00CE67A6">
        <w:trPr>
          <w:trHeight w:hRule="exact" w:val="245"/>
        </w:trPr>
        <w:tc>
          <w:tcPr>
            <w:tcW w:w="1440" w:type="dxa"/>
            <w:tcBorders>
              <w:top w:val="nil"/>
              <w:left w:val="single" w:sz="8" w:space="0" w:color="auto"/>
              <w:bottom w:val="single" w:sz="4" w:space="0" w:color="000000"/>
              <w:right w:val="nil"/>
            </w:tcBorders>
            <w:shd w:val="clear" w:color="auto" w:fill="auto"/>
            <w:noWrap/>
            <w:vAlign w:val="bottom"/>
            <w:hideMark/>
          </w:tcPr>
          <w:p w14:paraId="59AE43F1"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Gas</w:t>
            </w:r>
          </w:p>
        </w:tc>
        <w:tc>
          <w:tcPr>
            <w:tcW w:w="1800" w:type="dxa"/>
            <w:tcBorders>
              <w:top w:val="nil"/>
              <w:left w:val="single" w:sz="4" w:space="0" w:color="000000"/>
              <w:bottom w:val="single" w:sz="4" w:space="0" w:color="808080"/>
              <w:right w:val="single" w:sz="4" w:space="0" w:color="000000"/>
            </w:tcBorders>
            <w:shd w:val="clear" w:color="auto" w:fill="auto"/>
            <w:noWrap/>
            <w:vAlign w:val="center"/>
            <w:hideMark/>
          </w:tcPr>
          <w:p w14:paraId="0D71600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$735.19 </w:t>
            </w:r>
          </w:p>
        </w:tc>
        <w:tc>
          <w:tcPr>
            <w:tcW w:w="1800" w:type="dxa"/>
            <w:tcBorders>
              <w:top w:val="nil"/>
              <w:left w:val="nil"/>
              <w:bottom w:val="single" w:sz="4" w:space="0" w:color="808080"/>
              <w:right w:val="single" w:sz="4" w:space="0" w:color="000000"/>
            </w:tcBorders>
            <w:shd w:val="clear" w:color="auto" w:fill="auto"/>
            <w:noWrap/>
            <w:vAlign w:val="center"/>
            <w:hideMark/>
          </w:tcPr>
          <w:p w14:paraId="517CA59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$752.26 </w:t>
            </w:r>
          </w:p>
        </w:tc>
        <w:tc>
          <w:tcPr>
            <w:tcW w:w="1800" w:type="dxa"/>
            <w:tcBorders>
              <w:top w:val="nil"/>
              <w:left w:val="nil"/>
              <w:bottom w:val="single" w:sz="4" w:space="0" w:color="808080"/>
              <w:right w:val="single" w:sz="4" w:space="0" w:color="000000"/>
            </w:tcBorders>
            <w:shd w:val="clear" w:color="auto" w:fill="auto"/>
            <w:noWrap/>
            <w:vAlign w:val="center"/>
            <w:hideMark/>
          </w:tcPr>
          <w:p w14:paraId="35EA21B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$817.09 </w:t>
            </w:r>
          </w:p>
        </w:tc>
        <w:tc>
          <w:tcPr>
            <w:tcW w:w="1710" w:type="dxa"/>
            <w:tcBorders>
              <w:top w:val="nil"/>
              <w:left w:val="nil"/>
              <w:bottom w:val="single" w:sz="4" w:space="0" w:color="808080"/>
              <w:right w:val="single" w:sz="4" w:space="0" w:color="000000"/>
            </w:tcBorders>
            <w:shd w:val="clear" w:color="auto" w:fill="auto"/>
            <w:noWrap/>
            <w:vAlign w:val="center"/>
            <w:hideMark/>
          </w:tcPr>
          <w:p w14:paraId="721B833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$733.08 </w:t>
            </w:r>
          </w:p>
        </w:tc>
        <w:tc>
          <w:tcPr>
            <w:tcW w:w="1620" w:type="dxa"/>
            <w:tcBorders>
              <w:top w:val="nil"/>
              <w:left w:val="nil"/>
              <w:bottom w:val="single" w:sz="4" w:space="0" w:color="808080"/>
              <w:right w:val="single" w:sz="8" w:space="0" w:color="000000"/>
            </w:tcBorders>
            <w:shd w:val="clear" w:color="auto" w:fill="auto"/>
            <w:noWrap/>
            <w:vAlign w:val="center"/>
            <w:hideMark/>
          </w:tcPr>
          <w:p w14:paraId="24853E0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$695.76 </w:t>
            </w:r>
          </w:p>
        </w:tc>
      </w:tr>
      <w:tr w:rsidR="00F303E0" w:rsidRPr="00EE5714" w14:paraId="493E2221" w14:textId="77777777" w:rsidTr="00CE67A6">
        <w:trPr>
          <w:trHeight w:hRule="exact" w:val="245"/>
        </w:trPr>
        <w:tc>
          <w:tcPr>
            <w:tcW w:w="1440" w:type="dxa"/>
            <w:tcBorders>
              <w:top w:val="nil"/>
              <w:left w:val="single" w:sz="8" w:space="0" w:color="auto"/>
              <w:bottom w:val="single" w:sz="4" w:space="0" w:color="000000"/>
              <w:right w:val="nil"/>
            </w:tcBorders>
            <w:shd w:val="clear" w:color="auto" w:fill="auto"/>
            <w:noWrap/>
            <w:vAlign w:val="bottom"/>
            <w:hideMark/>
          </w:tcPr>
          <w:p w14:paraId="719B140C"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w:t>
            </w:r>
          </w:p>
        </w:tc>
        <w:tc>
          <w:tcPr>
            <w:tcW w:w="1800" w:type="dxa"/>
            <w:tcBorders>
              <w:top w:val="nil"/>
              <w:left w:val="single" w:sz="4" w:space="0" w:color="000000"/>
              <w:bottom w:val="single" w:sz="4" w:space="0" w:color="808080"/>
              <w:right w:val="single" w:sz="4" w:space="0" w:color="000000"/>
            </w:tcBorders>
            <w:shd w:val="clear" w:color="auto" w:fill="auto"/>
            <w:noWrap/>
            <w:vAlign w:val="center"/>
            <w:hideMark/>
          </w:tcPr>
          <w:p w14:paraId="655D085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$530.05 </w:t>
            </w:r>
          </w:p>
        </w:tc>
        <w:tc>
          <w:tcPr>
            <w:tcW w:w="1800" w:type="dxa"/>
            <w:tcBorders>
              <w:top w:val="nil"/>
              <w:left w:val="nil"/>
              <w:bottom w:val="single" w:sz="4" w:space="0" w:color="808080"/>
              <w:right w:val="single" w:sz="4" w:space="0" w:color="000000"/>
            </w:tcBorders>
            <w:shd w:val="clear" w:color="auto" w:fill="auto"/>
            <w:noWrap/>
            <w:vAlign w:val="center"/>
            <w:hideMark/>
          </w:tcPr>
          <w:p w14:paraId="3D15044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$431.47 </w:t>
            </w:r>
          </w:p>
        </w:tc>
        <w:tc>
          <w:tcPr>
            <w:tcW w:w="1800" w:type="dxa"/>
            <w:tcBorders>
              <w:top w:val="nil"/>
              <w:left w:val="nil"/>
              <w:bottom w:val="single" w:sz="4" w:space="0" w:color="808080"/>
              <w:right w:val="single" w:sz="4" w:space="0" w:color="000000"/>
            </w:tcBorders>
            <w:shd w:val="clear" w:color="auto" w:fill="auto"/>
            <w:noWrap/>
            <w:vAlign w:val="center"/>
            <w:hideMark/>
          </w:tcPr>
          <w:p w14:paraId="6A523DD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$489.81 </w:t>
            </w:r>
          </w:p>
        </w:tc>
        <w:tc>
          <w:tcPr>
            <w:tcW w:w="1710" w:type="dxa"/>
            <w:tcBorders>
              <w:top w:val="nil"/>
              <w:left w:val="nil"/>
              <w:bottom w:val="single" w:sz="4" w:space="0" w:color="808080"/>
              <w:right w:val="single" w:sz="4" w:space="0" w:color="000000"/>
            </w:tcBorders>
            <w:shd w:val="clear" w:color="auto" w:fill="auto"/>
            <w:noWrap/>
            <w:vAlign w:val="center"/>
            <w:hideMark/>
          </w:tcPr>
          <w:p w14:paraId="701B01F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$389.34 </w:t>
            </w:r>
          </w:p>
        </w:tc>
        <w:tc>
          <w:tcPr>
            <w:tcW w:w="1620" w:type="dxa"/>
            <w:tcBorders>
              <w:top w:val="nil"/>
              <w:left w:val="nil"/>
              <w:bottom w:val="single" w:sz="4" w:space="0" w:color="808080"/>
              <w:right w:val="single" w:sz="8" w:space="0" w:color="000000"/>
            </w:tcBorders>
            <w:shd w:val="clear" w:color="auto" w:fill="auto"/>
            <w:noWrap/>
            <w:vAlign w:val="center"/>
            <w:hideMark/>
          </w:tcPr>
          <w:p w14:paraId="572889D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$173.39 </w:t>
            </w:r>
          </w:p>
        </w:tc>
      </w:tr>
      <w:tr w:rsidR="00F303E0" w:rsidRPr="00EE5714" w14:paraId="5E88F4BE" w14:textId="77777777" w:rsidTr="00CE67A6">
        <w:trPr>
          <w:trHeight w:hRule="exact" w:val="245"/>
        </w:trPr>
        <w:tc>
          <w:tcPr>
            <w:tcW w:w="1440" w:type="dxa"/>
            <w:tcBorders>
              <w:top w:val="nil"/>
              <w:left w:val="single" w:sz="8" w:space="0" w:color="auto"/>
              <w:bottom w:val="single" w:sz="4" w:space="0" w:color="000000"/>
              <w:right w:val="nil"/>
            </w:tcBorders>
            <w:shd w:val="clear" w:color="auto" w:fill="auto"/>
            <w:noWrap/>
            <w:vAlign w:val="bottom"/>
            <w:hideMark/>
          </w:tcPr>
          <w:p w14:paraId="6FB017F7"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 EQT</w:t>
            </w:r>
          </w:p>
        </w:tc>
        <w:tc>
          <w:tcPr>
            <w:tcW w:w="1800" w:type="dxa"/>
            <w:tcBorders>
              <w:top w:val="nil"/>
              <w:left w:val="single" w:sz="4" w:space="0" w:color="000000"/>
              <w:bottom w:val="single" w:sz="4" w:space="0" w:color="808080"/>
              <w:right w:val="single" w:sz="4" w:space="0" w:color="000000"/>
            </w:tcBorders>
            <w:shd w:val="clear" w:color="auto" w:fill="auto"/>
            <w:noWrap/>
            <w:vAlign w:val="center"/>
            <w:hideMark/>
          </w:tcPr>
          <w:p w14:paraId="51943F9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$242.76 </w:t>
            </w:r>
          </w:p>
        </w:tc>
        <w:tc>
          <w:tcPr>
            <w:tcW w:w="1800" w:type="dxa"/>
            <w:tcBorders>
              <w:top w:val="nil"/>
              <w:left w:val="nil"/>
              <w:bottom w:val="single" w:sz="4" w:space="0" w:color="808080"/>
              <w:right w:val="single" w:sz="4" w:space="0" w:color="000000"/>
            </w:tcBorders>
            <w:shd w:val="clear" w:color="auto" w:fill="auto"/>
            <w:noWrap/>
            <w:vAlign w:val="center"/>
            <w:hideMark/>
          </w:tcPr>
          <w:p w14:paraId="3F593EA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$223.62 </w:t>
            </w:r>
          </w:p>
        </w:tc>
        <w:tc>
          <w:tcPr>
            <w:tcW w:w="1800" w:type="dxa"/>
            <w:tcBorders>
              <w:top w:val="nil"/>
              <w:left w:val="nil"/>
              <w:bottom w:val="single" w:sz="4" w:space="0" w:color="808080"/>
              <w:right w:val="single" w:sz="4" w:space="0" w:color="000000"/>
            </w:tcBorders>
            <w:shd w:val="clear" w:color="auto" w:fill="auto"/>
            <w:noWrap/>
            <w:vAlign w:val="center"/>
            <w:hideMark/>
          </w:tcPr>
          <w:p w14:paraId="5DC4831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$225.45 </w:t>
            </w:r>
          </w:p>
        </w:tc>
        <w:tc>
          <w:tcPr>
            <w:tcW w:w="1710" w:type="dxa"/>
            <w:tcBorders>
              <w:top w:val="nil"/>
              <w:left w:val="nil"/>
              <w:bottom w:val="single" w:sz="4" w:space="0" w:color="808080"/>
              <w:right w:val="single" w:sz="4" w:space="0" w:color="000000"/>
            </w:tcBorders>
            <w:shd w:val="clear" w:color="auto" w:fill="auto"/>
            <w:noWrap/>
            <w:vAlign w:val="center"/>
            <w:hideMark/>
          </w:tcPr>
          <w:p w14:paraId="56E6436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$227.99 </w:t>
            </w:r>
          </w:p>
        </w:tc>
        <w:tc>
          <w:tcPr>
            <w:tcW w:w="1620" w:type="dxa"/>
            <w:tcBorders>
              <w:top w:val="nil"/>
              <w:left w:val="nil"/>
              <w:bottom w:val="single" w:sz="4" w:space="0" w:color="808080"/>
              <w:right w:val="single" w:sz="8" w:space="0" w:color="000000"/>
            </w:tcBorders>
            <w:shd w:val="clear" w:color="auto" w:fill="auto"/>
            <w:noWrap/>
            <w:vAlign w:val="center"/>
            <w:hideMark/>
          </w:tcPr>
          <w:p w14:paraId="5AB4A0C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$156.17 </w:t>
            </w:r>
          </w:p>
        </w:tc>
      </w:tr>
      <w:tr w:rsidR="00F303E0" w:rsidRPr="00EE5714" w14:paraId="46F026EC" w14:textId="77777777" w:rsidTr="00CE67A6">
        <w:trPr>
          <w:trHeight w:hRule="exact" w:val="245"/>
        </w:trPr>
        <w:tc>
          <w:tcPr>
            <w:tcW w:w="1440" w:type="dxa"/>
            <w:tcBorders>
              <w:top w:val="nil"/>
              <w:left w:val="single" w:sz="8" w:space="0" w:color="auto"/>
              <w:bottom w:val="single" w:sz="4" w:space="0" w:color="000000"/>
              <w:right w:val="nil"/>
            </w:tcBorders>
            <w:shd w:val="clear" w:color="auto" w:fill="auto"/>
            <w:noWrap/>
            <w:vAlign w:val="bottom"/>
            <w:hideMark/>
          </w:tcPr>
          <w:p w14:paraId="4721FFEE"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PGW</w:t>
            </w:r>
          </w:p>
        </w:tc>
        <w:tc>
          <w:tcPr>
            <w:tcW w:w="1800" w:type="dxa"/>
            <w:tcBorders>
              <w:top w:val="nil"/>
              <w:left w:val="single" w:sz="4" w:space="0" w:color="000000"/>
              <w:bottom w:val="single" w:sz="4" w:space="0" w:color="808080"/>
              <w:right w:val="single" w:sz="4" w:space="0" w:color="000000"/>
            </w:tcBorders>
            <w:shd w:val="clear" w:color="auto" w:fill="auto"/>
            <w:noWrap/>
            <w:vAlign w:val="center"/>
            <w:hideMark/>
          </w:tcPr>
          <w:p w14:paraId="7E641E4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$258.49 </w:t>
            </w:r>
          </w:p>
        </w:tc>
        <w:tc>
          <w:tcPr>
            <w:tcW w:w="1800" w:type="dxa"/>
            <w:tcBorders>
              <w:top w:val="nil"/>
              <w:left w:val="nil"/>
              <w:bottom w:val="single" w:sz="4" w:space="0" w:color="808080"/>
              <w:right w:val="single" w:sz="4" w:space="0" w:color="000000"/>
            </w:tcBorders>
            <w:shd w:val="clear" w:color="auto" w:fill="auto"/>
            <w:noWrap/>
            <w:vAlign w:val="center"/>
            <w:hideMark/>
          </w:tcPr>
          <w:p w14:paraId="61EB962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$268.01 </w:t>
            </w:r>
          </w:p>
        </w:tc>
        <w:tc>
          <w:tcPr>
            <w:tcW w:w="1800" w:type="dxa"/>
            <w:tcBorders>
              <w:top w:val="nil"/>
              <w:left w:val="nil"/>
              <w:bottom w:val="single" w:sz="4" w:space="0" w:color="808080"/>
              <w:right w:val="single" w:sz="4" w:space="0" w:color="000000"/>
            </w:tcBorders>
            <w:shd w:val="clear" w:color="auto" w:fill="auto"/>
            <w:noWrap/>
            <w:vAlign w:val="center"/>
            <w:hideMark/>
          </w:tcPr>
          <w:p w14:paraId="25EC9E9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$262.17 </w:t>
            </w:r>
          </w:p>
        </w:tc>
        <w:tc>
          <w:tcPr>
            <w:tcW w:w="1710" w:type="dxa"/>
            <w:tcBorders>
              <w:top w:val="nil"/>
              <w:left w:val="nil"/>
              <w:bottom w:val="single" w:sz="4" w:space="0" w:color="808080"/>
              <w:right w:val="single" w:sz="4" w:space="0" w:color="000000"/>
            </w:tcBorders>
            <w:shd w:val="clear" w:color="auto" w:fill="auto"/>
            <w:noWrap/>
            <w:vAlign w:val="center"/>
            <w:hideMark/>
          </w:tcPr>
          <w:p w14:paraId="018D4F8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$232.92 </w:t>
            </w:r>
          </w:p>
        </w:tc>
        <w:tc>
          <w:tcPr>
            <w:tcW w:w="1620" w:type="dxa"/>
            <w:tcBorders>
              <w:top w:val="nil"/>
              <w:left w:val="nil"/>
              <w:bottom w:val="single" w:sz="4" w:space="0" w:color="808080"/>
              <w:right w:val="single" w:sz="8" w:space="0" w:color="000000"/>
            </w:tcBorders>
            <w:shd w:val="clear" w:color="auto" w:fill="auto"/>
            <w:noWrap/>
            <w:vAlign w:val="center"/>
            <w:hideMark/>
          </w:tcPr>
          <w:p w14:paraId="25303F1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$209.43 </w:t>
            </w:r>
          </w:p>
        </w:tc>
      </w:tr>
      <w:tr w:rsidR="00F303E0" w:rsidRPr="00EE5714" w14:paraId="03C2B817" w14:textId="77777777" w:rsidTr="00CE67A6">
        <w:trPr>
          <w:trHeight w:hRule="exact" w:val="245"/>
        </w:trPr>
        <w:tc>
          <w:tcPr>
            <w:tcW w:w="1440" w:type="dxa"/>
            <w:tcBorders>
              <w:top w:val="nil"/>
              <w:left w:val="single" w:sz="8" w:space="0" w:color="auto"/>
              <w:bottom w:val="single" w:sz="4" w:space="0" w:color="000000"/>
              <w:right w:val="nil"/>
            </w:tcBorders>
            <w:shd w:val="clear" w:color="auto" w:fill="auto"/>
            <w:noWrap/>
            <w:vAlign w:val="bottom"/>
            <w:hideMark/>
          </w:tcPr>
          <w:p w14:paraId="06121679"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Gas</w:t>
            </w:r>
          </w:p>
        </w:tc>
        <w:tc>
          <w:tcPr>
            <w:tcW w:w="1800" w:type="dxa"/>
            <w:tcBorders>
              <w:top w:val="nil"/>
              <w:left w:val="single" w:sz="4" w:space="0" w:color="000000"/>
              <w:bottom w:val="single" w:sz="4" w:space="0" w:color="808080"/>
              <w:right w:val="single" w:sz="4" w:space="0" w:color="000000"/>
            </w:tcBorders>
            <w:shd w:val="clear" w:color="auto" w:fill="auto"/>
            <w:noWrap/>
            <w:vAlign w:val="center"/>
            <w:hideMark/>
          </w:tcPr>
          <w:p w14:paraId="7EF4DCF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$144.28 </w:t>
            </w:r>
          </w:p>
        </w:tc>
        <w:tc>
          <w:tcPr>
            <w:tcW w:w="1800" w:type="dxa"/>
            <w:tcBorders>
              <w:top w:val="nil"/>
              <w:left w:val="nil"/>
              <w:bottom w:val="single" w:sz="4" w:space="0" w:color="808080"/>
              <w:right w:val="single" w:sz="4" w:space="0" w:color="000000"/>
            </w:tcBorders>
            <w:shd w:val="clear" w:color="auto" w:fill="auto"/>
            <w:noWrap/>
            <w:vAlign w:val="center"/>
            <w:hideMark/>
          </w:tcPr>
          <w:p w14:paraId="12CD2A9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$121.03 </w:t>
            </w:r>
          </w:p>
        </w:tc>
        <w:tc>
          <w:tcPr>
            <w:tcW w:w="1800" w:type="dxa"/>
            <w:tcBorders>
              <w:top w:val="nil"/>
              <w:left w:val="nil"/>
              <w:bottom w:val="single" w:sz="4" w:space="0" w:color="808080"/>
              <w:right w:val="single" w:sz="4" w:space="0" w:color="000000"/>
            </w:tcBorders>
            <w:shd w:val="clear" w:color="auto" w:fill="auto"/>
            <w:noWrap/>
            <w:vAlign w:val="center"/>
            <w:hideMark/>
          </w:tcPr>
          <w:p w14:paraId="63E70A3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$119.53 </w:t>
            </w:r>
          </w:p>
        </w:tc>
        <w:tc>
          <w:tcPr>
            <w:tcW w:w="1710" w:type="dxa"/>
            <w:tcBorders>
              <w:top w:val="nil"/>
              <w:left w:val="nil"/>
              <w:bottom w:val="single" w:sz="4" w:space="0" w:color="808080"/>
              <w:right w:val="single" w:sz="4" w:space="0" w:color="000000"/>
            </w:tcBorders>
            <w:shd w:val="clear" w:color="auto" w:fill="auto"/>
            <w:noWrap/>
            <w:vAlign w:val="center"/>
            <w:hideMark/>
          </w:tcPr>
          <w:p w14:paraId="317FBE6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$123.74 </w:t>
            </w:r>
          </w:p>
        </w:tc>
        <w:tc>
          <w:tcPr>
            <w:tcW w:w="1620" w:type="dxa"/>
            <w:tcBorders>
              <w:top w:val="nil"/>
              <w:left w:val="nil"/>
              <w:bottom w:val="single" w:sz="4" w:space="0" w:color="808080"/>
              <w:right w:val="single" w:sz="8" w:space="0" w:color="000000"/>
            </w:tcBorders>
            <w:shd w:val="clear" w:color="auto" w:fill="auto"/>
            <w:noWrap/>
            <w:vAlign w:val="center"/>
            <w:hideMark/>
          </w:tcPr>
          <w:p w14:paraId="0CB7D71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$103.65 </w:t>
            </w:r>
          </w:p>
        </w:tc>
      </w:tr>
      <w:tr w:rsidR="00F303E0" w:rsidRPr="00EE5714" w14:paraId="56B95916" w14:textId="77777777" w:rsidTr="00CE67A6">
        <w:trPr>
          <w:trHeight w:hRule="exact" w:val="245"/>
        </w:trPr>
        <w:tc>
          <w:tcPr>
            <w:tcW w:w="1440" w:type="dxa"/>
            <w:tcBorders>
              <w:top w:val="nil"/>
              <w:left w:val="single" w:sz="8" w:space="0" w:color="auto"/>
              <w:bottom w:val="single" w:sz="8" w:space="0" w:color="auto"/>
              <w:right w:val="nil"/>
            </w:tcBorders>
            <w:shd w:val="clear" w:color="auto" w:fill="auto"/>
            <w:noWrap/>
            <w:vAlign w:val="bottom"/>
            <w:hideMark/>
          </w:tcPr>
          <w:p w14:paraId="601D0912" w14:textId="77777777" w:rsidR="00F303E0" w:rsidRPr="00EE5714" w:rsidRDefault="00F303E0" w:rsidP="00851815">
            <w:pP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PNG</w:t>
            </w:r>
          </w:p>
        </w:tc>
        <w:tc>
          <w:tcPr>
            <w:tcW w:w="1800" w:type="dxa"/>
            <w:tcBorders>
              <w:top w:val="nil"/>
              <w:left w:val="single" w:sz="4" w:space="0" w:color="000000"/>
              <w:bottom w:val="single" w:sz="8" w:space="0" w:color="000000"/>
              <w:right w:val="single" w:sz="4" w:space="0" w:color="000000"/>
            </w:tcBorders>
            <w:shd w:val="clear" w:color="auto" w:fill="auto"/>
            <w:noWrap/>
            <w:vAlign w:val="center"/>
            <w:hideMark/>
          </w:tcPr>
          <w:p w14:paraId="54F1D2A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$162.34 </w:t>
            </w:r>
          </w:p>
        </w:tc>
        <w:tc>
          <w:tcPr>
            <w:tcW w:w="1800" w:type="dxa"/>
            <w:tcBorders>
              <w:top w:val="nil"/>
              <w:left w:val="nil"/>
              <w:bottom w:val="single" w:sz="8" w:space="0" w:color="000000"/>
              <w:right w:val="single" w:sz="4" w:space="0" w:color="000000"/>
            </w:tcBorders>
            <w:shd w:val="clear" w:color="auto" w:fill="auto"/>
            <w:noWrap/>
            <w:vAlign w:val="center"/>
            <w:hideMark/>
          </w:tcPr>
          <w:p w14:paraId="5C2B25B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$142.13 </w:t>
            </w:r>
          </w:p>
        </w:tc>
        <w:tc>
          <w:tcPr>
            <w:tcW w:w="1800" w:type="dxa"/>
            <w:tcBorders>
              <w:top w:val="nil"/>
              <w:left w:val="nil"/>
              <w:bottom w:val="single" w:sz="8" w:space="0" w:color="000000"/>
              <w:right w:val="single" w:sz="4" w:space="0" w:color="000000"/>
            </w:tcBorders>
            <w:shd w:val="clear" w:color="auto" w:fill="auto"/>
            <w:noWrap/>
            <w:vAlign w:val="center"/>
            <w:hideMark/>
          </w:tcPr>
          <w:p w14:paraId="7E52972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$134.91 </w:t>
            </w:r>
          </w:p>
        </w:tc>
        <w:tc>
          <w:tcPr>
            <w:tcW w:w="1710" w:type="dxa"/>
            <w:tcBorders>
              <w:top w:val="nil"/>
              <w:left w:val="nil"/>
              <w:bottom w:val="single" w:sz="8" w:space="0" w:color="000000"/>
              <w:right w:val="single" w:sz="4" w:space="0" w:color="000000"/>
            </w:tcBorders>
            <w:shd w:val="clear" w:color="auto" w:fill="auto"/>
            <w:noWrap/>
            <w:vAlign w:val="center"/>
            <w:hideMark/>
          </w:tcPr>
          <w:p w14:paraId="417E6DF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$152.30 </w:t>
            </w:r>
          </w:p>
        </w:tc>
        <w:tc>
          <w:tcPr>
            <w:tcW w:w="1620" w:type="dxa"/>
            <w:tcBorders>
              <w:top w:val="nil"/>
              <w:left w:val="nil"/>
              <w:bottom w:val="single" w:sz="8" w:space="0" w:color="000000"/>
              <w:right w:val="single" w:sz="8" w:space="0" w:color="000000"/>
            </w:tcBorders>
            <w:shd w:val="clear" w:color="auto" w:fill="auto"/>
            <w:noWrap/>
            <w:vAlign w:val="center"/>
            <w:hideMark/>
          </w:tcPr>
          <w:p w14:paraId="2A4C933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$124.42 </w:t>
            </w:r>
          </w:p>
        </w:tc>
      </w:tr>
    </w:tbl>
    <w:p w14:paraId="1F9B773D" w14:textId="77777777" w:rsidR="00F303E0" w:rsidRPr="00EE5714" w:rsidRDefault="00F303E0" w:rsidP="00F303E0">
      <w:pPr>
        <w:pStyle w:val="NoSpacing"/>
        <w:rPr>
          <w:rFonts w:cs="Times New Roman"/>
          <w:szCs w:val="26"/>
        </w:rPr>
      </w:pPr>
    </w:p>
    <w:p w14:paraId="2A3A1543" w14:textId="77777777" w:rsidR="00F303E0" w:rsidRPr="00EE5714" w:rsidRDefault="00F303E0" w:rsidP="00F303E0">
      <w:pPr>
        <w:pStyle w:val="NoSpacing"/>
        <w:rPr>
          <w:rFonts w:cs="Times New Roman"/>
          <w:szCs w:val="26"/>
        </w:rPr>
      </w:pPr>
    </w:p>
    <w:p w14:paraId="114E645D" w14:textId="77777777" w:rsidR="00F303E0" w:rsidRPr="00EE5714" w:rsidRDefault="00F857A1" w:rsidP="00F303E0">
      <w:pPr>
        <w:keepNext/>
        <w:rPr>
          <w:rFonts w:ascii="Times New Roman" w:eastAsia="Times New Roman" w:hAnsi="Times New Roman" w:cs="Times New Roman"/>
          <w:i/>
          <w:sz w:val="26"/>
          <w:szCs w:val="26"/>
        </w:rPr>
      </w:pPr>
      <w:r w:rsidRPr="00EE5714">
        <w:rPr>
          <w:rFonts w:ascii="Times New Roman" w:eastAsia="Times New Roman" w:hAnsi="Times New Roman" w:cs="Times New Roman"/>
          <w:i/>
          <w:sz w:val="26"/>
          <w:szCs w:val="26"/>
        </w:rPr>
        <w:lastRenderedPageBreak/>
        <w:t>Appendix 4</w:t>
      </w:r>
      <w:r w:rsidR="00F303E0" w:rsidRPr="00EE5714">
        <w:rPr>
          <w:rFonts w:ascii="Times New Roman" w:eastAsia="Times New Roman" w:hAnsi="Times New Roman" w:cs="Times New Roman"/>
          <w:i/>
          <w:sz w:val="26"/>
          <w:szCs w:val="26"/>
        </w:rPr>
        <w:t>.B: Tables 5-4 to 5-5 EDCs – PPAs and IPAs</w:t>
      </w:r>
    </w:p>
    <w:p w14:paraId="076D0008" w14:textId="77777777" w:rsidR="00F303E0" w:rsidRPr="00EE5714" w:rsidRDefault="00F303E0" w:rsidP="00F303E0">
      <w:pPr>
        <w:keepNext/>
        <w:rPr>
          <w:rFonts w:ascii="Times New Roman" w:eastAsia="Times New Roman" w:hAnsi="Times New Roman" w:cs="Times New Roman"/>
          <w:i/>
          <w:sz w:val="26"/>
          <w:szCs w:val="26"/>
        </w:rPr>
      </w:pPr>
    </w:p>
    <w:p w14:paraId="7BA6E7E1" w14:textId="77777777" w:rsidR="00F303E0" w:rsidRPr="00EE5714" w:rsidRDefault="00F303E0" w:rsidP="00F303E0">
      <w:pPr>
        <w:pStyle w:val="NoSpacing"/>
        <w:keepNext/>
        <w:rPr>
          <w:rFonts w:cs="Times New Roman"/>
          <w:szCs w:val="26"/>
        </w:rPr>
      </w:pPr>
      <w:r w:rsidRPr="00EE5714">
        <w:rPr>
          <w:rFonts w:eastAsia="Times New Roman" w:cs="Times New Roman"/>
          <w:szCs w:val="26"/>
        </w:rPr>
        <w:t xml:space="preserve">The average dollar amounts of PPA and IPA per EDC CAP customer with a PPA or IPA balance for the period from 2012 through 2016.  </w:t>
      </w:r>
    </w:p>
    <w:p w14:paraId="4D1A8CB0" w14:textId="77777777" w:rsidR="00F303E0" w:rsidRPr="00EE5714" w:rsidRDefault="00F303E0" w:rsidP="00F303E0">
      <w:pPr>
        <w:pStyle w:val="NoSpacing"/>
        <w:keepNext/>
        <w:rPr>
          <w:rFonts w:cs="Times New Roman"/>
          <w:szCs w:val="26"/>
        </w:rPr>
      </w:pPr>
    </w:p>
    <w:p w14:paraId="0E940FC9" w14:textId="77777777" w:rsidR="00F303E0" w:rsidRPr="00EE5714" w:rsidRDefault="00F857A1" w:rsidP="00F303E0">
      <w:pPr>
        <w:keepNext/>
        <w:keepLines/>
        <w:jc w:val="center"/>
        <w:rPr>
          <w:rFonts w:ascii="Times New Roman" w:eastAsia="Times New Roman" w:hAnsi="Times New Roman" w:cs="Times New Roman"/>
          <w:b/>
          <w:bCs/>
          <w:color w:val="000000"/>
          <w:sz w:val="26"/>
          <w:szCs w:val="26"/>
        </w:rPr>
      </w:pPr>
      <w:r w:rsidRPr="00EE5714">
        <w:rPr>
          <w:rFonts w:ascii="Times New Roman" w:hAnsi="Times New Roman" w:cs="Times New Roman"/>
          <w:sz w:val="26"/>
          <w:szCs w:val="26"/>
        </w:rPr>
        <w:t>Appendix 4</w:t>
      </w:r>
      <w:r w:rsidR="00F303E0" w:rsidRPr="00EE5714">
        <w:rPr>
          <w:rFonts w:ascii="Times New Roman" w:hAnsi="Times New Roman" w:cs="Times New Roman"/>
          <w:sz w:val="26"/>
          <w:szCs w:val="26"/>
        </w:rPr>
        <w:t xml:space="preserve">.B.1: </w:t>
      </w:r>
      <w:r w:rsidR="00F303E0" w:rsidRPr="00EE5714">
        <w:rPr>
          <w:rFonts w:ascii="Times New Roman" w:eastAsia="Times New Roman" w:hAnsi="Times New Roman" w:cs="Times New Roman"/>
          <w:b/>
          <w:bCs/>
          <w:color w:val="000000"/>
          <w:sz w:val="26"/>
          <w:szCs w:val="26"/>
        </w:rPr>
        <w:t xml:space="preserve">Average PPAs of EDC CAP Customers with PPA Balances </w:t>
      </w:r>
    </w:p>
    <w:tbl>
      <w:tblPr>
        <w:tblW w:w="10170" w:type="dxa"/>
        <w:tblInd w:w="-370" w:type="dxa"/>
        <w:tblLayout w:type="fixed"/>
        <w:tblLook w:val="04A0" w:firstRow="1" w:lastRow="0" w:firstColumn="1" w:lastColumn="0" w:noHBand="0" w:noVBand="1"/>
      </w:tblPr>
      <w:tblGrid>
        <w:gridCol w:w="1440"/>
        <w:gridCol w:w="1800"/>
        <w:gridCol w:w="1800"/>
        <w:gridCol w:w="1800"/>
        <w:gridCol w:w="1710"/>
        <w:gridCol w:w="1620"/>
      </w:tblGrid>
      <w:tr w:rsidR="00F303E0" w:rsidRPr="00EE5714" w14:paraId="0F411045" w14:textId="77777777" w:rsidTr="00CE67A6">
        <w:trPr>
          <w:trHeight w:val="646"/>
        </w:trPr>
        <w:tc>
          <w:tcPr>
            <w:tcW w:w="10170" w:type="dxa"/>
            <w:gridSpan w:val="6"/>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612E4F4F" w14:textId="77777777" w:rsidR="00F303E0" w:rsidRPr="00EE5714" w:rsidRDefault="00F303E0" w:rsidP="00CE67A6">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Average PPAs of EDC CAP Customers with PPA Balances </w:t>
            </w:r>
          </w:p>
          <w:p w14:paraId="48A579DE" w14:textId="77777777" w:rsidR="00F303E0" w:rsidRPr="00EE5714" w:rsidRDefault="00F303E0" w:rsidP="00CE67A6">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(Electric Non-Heating and Electric Heating)</w:t>
            </w:r>
          </w:p>
        </w:tc>
      </w:tr>
      <w:tr w:rsidR="00F303E0" w:rsidRPr="00EE5714" w14:paraId="57284DF7" w14:textId="77777777" w:rsidTr="00CE67A6">
        <w:trPr>
          <w:trHeight w:val="274"/>
        </w:trPr>
        <w:tc>
          <w:tcPr>
            <w:tcW w:w="1440" w:type="dxa"/>
            <w:tcBorders>
              <w:top w:val="nil"/>
              <w:left w:val="single" w:sz="8" w:space="0" w:color="000000"/>
              <w:bottom w:val="single" w:sz="8" w:space="0" w:color="000000"/>
              <w:right w:val="single" w:sz="4" w:space="0" w:color="auto"/>
            </w:tcBorders>
            <w:shd w:val="clear" w:color="auto" w:fill="auto"/>
            <w:noWrap/>
            <w:vAlign w:val="bottom"/>
            <w:hideMark/>
          </w:tcPr>
          <w:p w14:paraId="4E19D9A4" w14:textId="77777777" w:rsidR="00F303E0" w:rsidRPr="00EE5714" w:rsidRDefault="00F303E0" w:rsidP="00851815">
            <w:pPr>
              <w:keepNext/>
              <w:keepLines/>
              <w:jc w:val="center"/>
              <w:rPr>
                <w:rFonts w:ascii="Calibri" w:eastAsia="Times New Roman" w:hAnsi="Calibri" w:cs="Calibri"/>
                <w:color w:val="000000"/>
              </w:rPr>
            </w:pPr>
            <w:r w:rsidRPr="00EE5714">
              <w:rPr>
                <w:rFonts w:ascii="Calibri" w:eastAsia="Times New Roman" w:hAnsi="Calibri" w:cs="Calibri"/>
                <w:color w:val="000000"/>
              </w:rPr>
              <w:t> </w:t>
            </w:r>
          </w:p>
        </w:tc>
        <w:tc>
          <w:tcPr>
            <w:tcW w:w="1800" w:type="dxa"/>
            <w:tcBorders>
              <w:top w:val="nil"/>
              <w:left w:val="nil"/>
              <w:bottom w:val="single" w:sz="8" w:space="0" w:color="000000"/>
              <w:right w:val="single" w:sz="4" w:space="0" w:color="auto"/>
            </w:tcBorders>
            <w:shd w:val="clear" w:color="auto" w:fill="auto"/>
            <w:noWrap/>
            <w:vAlign w:val="center"/>
            <w:hideMark/>
          </w:tcPr>
          <w:p w14:paraId="50BF59B8" w14:textId="77777777" w:rsidR="00F303E0" w:rsidRPr="00EE5714" w:rsidRDefault="00F303E0" w:rsidP="00CE67A6">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2012</w:t>
            </w:r>
          </w:p>
        </w:tc>
        <w:tc>
          <w:tcPr>
            <w:tcW w:w="1800" w:type="dxa"/>
            <w:tcBorders>
              <w:top w:val="nil"/>
              <w:left w:val="nil"/>
              <w:bottom w:val="single" w:sz="8" w:space="0" w:color="000000"/>
              <w:right w:val="single" w:sz="4" w:space="0" w:color="auto"/>
            </w:tcBorders>
            <w:shd w:val="clear" w:color="auto" w:fill="auto"/>
            <w:noWrap/>
            <w:vAlign w:val="center"/>
            <w:hideMark/>
          </w:tcPr>
          <w:p w14:paraId="57E1CC52" w14:textId="77777777" w:rsidR="00F303E0" w:rsidRPr="00EE5714" w:rsidRDefault="00F303E0" w:rsidP="00CE67A6">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2013</w:t>
            </w:r>
          </w:p>
        </w:tc>
        <w:tc>
          <w:tcPr>
            <w:tcW w:w="1800" w:type="dxa"/>
            <w:tcBorders>
              <w:top w:val="nil"/>
              <w:left w:val="nil"/>
              <w:bottom w:val="single" w:sz="8" w:space="0" w:color="000000"/>
              <w:right w:val="single" w:sz="4" w:space="0" w:color="auto"/>
            </w:tcBorders>
            <w:shd w:val="clear" w:color="auto" w:fill="auto"/>
            <w:noWrap/>
            <w:vAlign w:val="center"/>
            <w:hideMark/>
          </w:tcPr>
          <w:p w14:paraId="0C6855E3" w14:textId="77777777" w:rsidR="00F303E0" w:rsidRPr="00EE5714" w:rsidRDefault="00F303E0" w:rsidP="00CE67A6">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2014</w:t>
            </w:r>
          </w:p>
        </w:tc>
        <w:tc>
          <w:tcPr>
            <w:tcW w:w="1710" w:type="dxa"/>
            <w:tcBorders>
              <w:top w:val="nil"/>
              <w:left w:val="nil"/>
              <w:bottom w:val="single" w:sz="8" w:space="0" w:color="000000"/>
              <w:right w:val="single" w:sz="4" w:space="0" w:color="auto"/>
            </w:tcBorders>
            <w:shd w:val="clear" w:color="auto" w:fill="auto"/>
            <w:noWrap/>
            <w:vAlign w:val="center"/>
            <w:hideMark/>
          </w:tcPr>
          <w:p w14:paraId="19B38EC1" w14:textId="77777777" w:rsidR="00F303E0" w:rsidRPr="00EE5714" w:rsidRDefault="00F303E0" w:rsidP="00CE67A6">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2015</w:t>
            </w:r>
          </w:p>
        </w:tc>
        <w:tc>
          <w:tcPr>
            <w:tcW w:w="1620" w:type="dxa"/>
            <w:tcBorders>
              <w:top w:val="nil"/>
              <w:left w:val="nil"/>
              <w:bottom w:val="single" w:sz="8" w:space="0" w:color="000000"/>
              <w:right w:val="single" w:sz="8" w:space="0" w:color="000000"/>
            </w:tcBorders>
            <w:shd w:val="clear" w:color="auto" w:fill="auto"/>
            <w:noWrap/>
            <w:vAlign w:val="center"/>
            <w:hideMark/>
          </w:tcPr>
          <w:p w14:paraId="187838D0" w14:textId="77777777" w:rsidR="00F303E0" w:rsidRPr="00EE5714" w:rsidRDefault="00F303E0" w:rsidP="00CE67A6">
            <w:pPr>
              <w:keepNext/>
              <w:keepLines/>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2016</w:t>
            </w:r>
          </w:p>
        </w:tc>
      </w:tr>
      <w:tr w:rsidR="00F303E0" w:rsidRPr="00EE5714" w14:paraId="40F579B2" w14:textId="77777777" w:rsidTr="00CE67A6">
        <w:trPr>
          <w:trHeight w:hRule="exact" w:val="245"/>
        </w:trPr>
        <w:tc>
          <w:tcPr>
            <w:tcW w:w="1440" w:type="dxa"/>
            <w:tcBorders>
              <w:top w:val="nil"/>
              <w:left w:val="single" w:sz="8" w:space="0" w:color="000000"/>
              <w:bottom w:val="single" w:sz="4" w:space="0" w:color="000000"/>
              <w:right w:val="single" w:sz="4" w:space="0" w:color="000000"/>
            </w:tcBorders>
            <w:shd w:val="clear" w:color="auto" w:fill="auto"/>
            <w:vAlign w:val="bottom"/>
            <w:hideMark/>
          </w:tcPr>
          <w:p w14:paraId="4043E4BB" w14:textId="77777777" w:rsidR="00F303E0" w:rsidRPr="00EE5714" w:rsidRDefault="00F303E0" w:rsidP="00851815">
            <w:pPr>
              <w:keepNext/>
              <w:keepLine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800" w:type="dxa"/>
            <w:tcBorders>
              <w:top w:val="nil"/>
              <w:left w:val="nil"/>
              <w:bottom w:val="single" w:sz="4" w:space="0" w:color="808080"/>
              <w:right w:val="single" w:sz="4" w:space="0" w:color="000000"/>
            </w:tcBorders>
            <w:shd w:val="clear" w:color="auto" w:fill="auto"/>
            <w:noWrap/>
            <w:vAlign w:val="center"/>
            <w:hideMark/>
          </w:tcPr>
          <w:p w14:paraId="07AAB846" w14:textId="77777777" w:rsidR="00F303E0" w:rsidRPr="00EE5714" w:rsidRDefault="00F303E0" w:rsidP="00CE67A6">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800" w:type="dxa"/>
            <w:tcBorders>
              <w:top w:val="nil"/>
              <w:left w:val="nil"/>
              <w:bottom w:val="single" w:sz="4" w:space="0" w:color="808080"/>
              <w:right w:val="single" w:sz="4" w:space="0" w:color="000000"/>
            </w:tcBorders>
            <w:shd w:val="clear" w:color="auto" w:fill="auto"/>
            <w:noWrap/>
            <w:vAlign w:val="center"/>
            <w:hideMark/>
          </w:tcPr>
          <w:p w14:paraId="3B6BFCD8" w14:textId="77777777" w:rsidR="00F303E0" w:rsidRPr="00EE5714" w:rsidRDefault="00F303E0" w:rsidP="00CE67A6">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800" w:type="dxa"/>
            <w:tcBorders>
              <w:top w:val="nil"/>
              <w:left w:val="nil"/>
              <w:bottom w:val="single" w:sz="4" w:space="0" w:color="808080"/>
              <w:right w:val="single" w:sz="4" w:space="0" w:color="000000"/>
            </w:tcBorders>
            <w:shd w:val="clear" w:color="auto" w:fill="auto"/>
            <w:noWrap/>
            <w:vAlign w:val="center"/>
            <w:hideMark/>
          </w:tcPr>
          <w:p w14:paraId="38CFB2C6" w14:textId="77777777" w:rsidR="00F303E0" w:rsidRPr="00EE5714" w:rsidRDefault="00F303E0" w:rsidP="00CE67A6">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710" w:type="dxa"/>
            <w:tcBorders>
              <w:top w:val="nil"/>
              <w:left w:val="nil"/>
              <w:bottom w:val="single" w:sz="4" w:space="0" w:color="808080"/>
              <w:right w:val="single" w:sz="4" w:space="0" w:color="000000"/>
            </w:tcBorders>
            <w:shd w:val="clear" w:color="auto" w:fill="auto"/>
            <w:noWrap/>
            <w:vAlign w:val="center"/>
            <w:hideMark/>
          </w:tcPr>
          <w:p w14:paraId="130A3AA3" w14:textId="77777777" w:rsidR="00F303E0" w:rsidRPr="00EE5714" w:rsidRDefault="00F303E0" w:rsidP="00CE67A6">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$328.53 </w:t>
            </w:r>
          </w:p>
        </w:tc>
        <w:tc>
          <w:tcPr>
            <w:tcW w:w="1620" w:type="dxa"/>
            <w:tcBorders>
              <w:top w:val="nil"/>
              <w:left w:val="nil"/>
              <w:bottom w:val="single" w:sz="4" w:space="0" w:color="808080"/>
              <w:right w:val="single" w:sz="8" w:space="0" w:color="000000"/>
            </w:tcBorders>
            <w:shd w:val="clear" w:color="auto" w:fill="auto"/>
            <w:noWrap/>
            <w:vAlign w:val="center"/>
            <w:hideMark/>
          </w:tcPr>
          <w:p w14:paraId="0A78377D" w14:textId="77777777" w:rsidR="00F303E0" w:rsidRPr="00EE5714" w:rsidRDefault="00F303E0" w:rsidP="00CE67A6">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$416.79 </w:t>
            </w:r>
          </w:p>
        </w:tc>
      </w:tr>
      <w:tr w:rsidR="00F303E0" w:rsidRPr="00EE5714" w14:paraId="70B74495" w14:textId="77777777" w:rsidTr="00CE67A6">
        <w:trPr>
          <w:trHeight w:hRule="exact" w:val="245"/>
        </w:trPr>
        <w:tc>
          <w:tcPr>
            <w:tcW w:w="1440" w:type="dxa"/>
            <w:tcBorders>
              <w:top w:val="nil"/>
              <w:left w:val="single" w:sz="8" w:space="0" w:color="000000"/>
              <w:bottom w:val="single" w:sz="4" w:space="0" w:color="000000"/>
              <w:right w:val="single" w:sz="4" w:space="0" w:color="000000"/>
            </w:tcBorders>
            <w:shd w:val="clear" w:color="auto" w:fill="auto"/>
            <w:vAlign w:val="bottom"/>
            <w:hideMark/>
          </w:tcPr>
          <w:p w14:paraId="244A7FDA" w14:textId="77777777" w:rsidR="00F303E0" w:rsidRPr="00EE5714" w:rsidRDefault="00F303E0" w:rsidP="00851815">
            <w:pPr>
              <w:keepNext/>
              <w:keepLine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800" w:type="dxa"/>
            <w:tcBorders>
              <w:top w:val="nil"/>
              <w:left w:val="nil"/>
              <w:bottom w:val="single" w:sz="4" w:space="0" w:color="808080"/>
              <w:right w:val="single" w:sz="4" w:space="0" w:color="000000"/>
            </w:tcBorders>
            <w:shd w:val="clear" w:color="000000" w:fill="auto"/>
            <w:noWrap/>
            <w:vAlign w:val="center"/>
            <w:hideMark/>
          </w:tcPr>
          <w:p w14:paraId="59178E08" w14:textId="77777777" w:rsidR="00F303E0" w:rsidRPr="00EE5714" w:rsidRDefault="00F303E0" w:rsidP="00CE67A6">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$533.60 </w:t>
            </w:r>
          </w:p>
        </w:tc>
        <w:tc>
          <w:tcPr>
            <w:tcW w:w="1800" w:type="dxa"/>
            <w:tcBorders>
              <w:top w:val="nil"/>
              <w:left w:val="nil"/>
              <w:bottom w:val="single" w:sz="4" w:space="0" w:color="808080"/>
              <w:right w:val="single" w:sz="4" w:space="0" w:color="000000"/>
            </w:tcBorders>
            <w:shd w:val="clear" w:color="000000" w:fill="auto"/>
            <w:noWrap/>
            <w:vAlign w:val="center"/>
            <w:hideMark/>
          </w:tcPr>
          <w:p w14:paraId="77B0BFD0" w14:textId="77777777" w:rsidR="00F303E0" w:rsidRPr="00EE5714" w:rsidRDefault="00F303E0" w:rsidP="00CE67A6">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$538.38 </w:t>
            </w:r>
          </w:p>
        </w:tc>
        <w:tc>
          <w:tcPr>
            <w:tcW w:w="1800" w:type="dxa"/>
            <w:tcBorders>
              <w:top w:val="nil"/>
              <w:left w:val="nil"/>
              <w:bottom w:val="single" w:sz="4" w:space="0" w:color="808080"/>
              <w:right w:val="single" w:sz="4" w:space="0" w:color="000000"/>
            </w:tcBorders>
            <w:shd w:val="clear" w:color="000000" w:fill="auto"/>
            <w:noWrap/>
            <w:vAlign w:val="center"/>
            <w:hideMark/>
          </w:tcPr>
          <w:p w14:paraId="52BB98E1" w14:textId="77777777" w:rsidR="00F303E0" w:rsidRPr="00EE5714" w:rsidRDefault="00F303E0" w:rsidP="00CE67A6">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$493.74 </w:t>
            </w:r>
          </w:p>
        </w:tc>
        <w:tc>
          <w:tcPr>
            <w:tcW w:w="1710" w:type="dxa"/>
            <w:tcBorders>
              <w:top w:val="nil"/>
              <w:left w:val="nil"/>
              <w:bottom w:val="single" w:sz="4" w:space="0" w:color="808080"/>
              <w:right w:val="single" w:sz="4" w:space="0" w:color="000000"/>
            </w:tcBorders>
            <w:shd w:val="clear" w:color="000000" w:fill="auto"/>
            <w:noWrap/>
            <w:vAlign w:val="center"/>
            <w:hideMark/>
          </w:tcPr>
          <w:p w14:paraId="01E4D592" w14:textId="77777777" w:rsidR="00F303E0" w:rsidRPr="00EE5714" w:rsidRDefault="00F303E0" w:rsidP="00CE67A6">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$401.09 </w:t>
            </w:r>
          </w:p>
        </w:tc>
        <w:tc>
          <w:tcPr>
            <w:tcW w:w="1620" w:type="dxa"/>
            <w:tcBorders>
              <w:top w:val="nil"/>
              <w:left w:val="nil"/>
              <w:bottom w:val="single" w:sz="4" w:space="0" w:color="808080"/>
              <w:right w:val="single" w:sz="8" w:space="0" w:color="000000"/>
            </w:tcBorders>
            <w:shd w:val="clear" w:color="000000" w:fill="auto"/>
            <w:noWrap/>
            <w:vAlign w:val="center"/>
            <w:hideMark/>
          </w:tcPr>
          <w:p w14:paraId="42E1EFBF" w14:textId="77777777" w:rsidR="00F303E0" w:rsidRPr="00EE5714" w:rsidRDefault="00F303E0" w:rsidP="00CE67A6">
            <w:pPr>
              <w:keepNext/>
              <w:keepLines/>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$350.28 </w:t>
            </w:r>
          </w:p>
        </w:tc>
      </w:tr>
      <w:tr w:rsidR="00F303E0" w:rsidRPr="00EE5714" w14:paraId="0A892069" w14:textId="77777777" w:rsidTr="00CE67A6">
        <w:trPr>
          <w:trHeight w:hRule="exact" w:val="245"/>
        </w:trPr>
        <w:tc>
          <w:tcPr>
            <w:tcW w:w="1440" w:type="dxa"/>
            <w:tcBorders>
              <w:top w:val="nil"/>
              <w:left w:val="single" w:sz="8" w:space="0" w:color="000000"/>
              <w:bottom w:val="single" w:sz="4" w:space="0" w:color="000000"/>
              <w:right w:val="single" w:sz="4" w:space="0" w:color="000000"/>
            </w:tcBorders>
            <w:shd w:val="clear" w:color="auto" w:fill="auto"/>
            <w:vAlign w:val="bottom"/>
            <w:hideMark/>
          </w:tcPr>
          <w:p w14:paraId="41CF02F0" w14:textId="77777777" w:rsidR="00F303E0" w:rsidRPr="00EE5714" w:rsidRDefault="00F303E0" w:rsidP="00851815">
            <w:pPr>
              <w:keepNext/>
              <w:keepLine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Electric</w:t>
            </w:r>
          </w:p>
        </w:tc>
        <w:tc>
          <w:tcPr>
            <w:tcW w:w="1800" w:type="dxa"/>
            <w:tcBorders>
              <w:top w:val="nil"/>
              <w:left w:val="nil"/>
              <w:bottom w:val="single" w:sz="4" w:space="0" w:color="808080"/>
              <w:right w:val="single" w:sz="4" w:space="0" w:color="000000"/>
            </w:tcBorders>
            <w:shd w:val="clear" w:color="000000" w:fill="auto"/>
            <w:noWrap/>
            <w:vAlign w:val="center"/>
            <w:hideMark/>
          </w:tcPr>
          <w:p w14:paraId="3DB07FF0"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$531.49 </w:t>
            </w:r>
          </w:p>
        </w:tc>
        <w:tc>
          <w:tcPr>
            <w:tcW w:w="1800" w:type="dxa"/>
            <w:tcBorders>
              <w:top w:val="nil"/>
              <w:left w:val="nil"/>
              <w:bottom w:val="single" w:sz="4" w:space="0" w:color="808080"/>
              <w:right w:val="single" w:sz="4" w:space="0" w:color="000000"/>
            </w:tcBorders>
            <w:shd w:val="clear" w:color="000000" w:fill="auto"/>
            <w:noWrap/>
            <w:vAlign w:val="center"/>
            <w:hideMark/>
          </w:tcPr>
          <w:p w14:paraId="3728F05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$452.80 </w:t>
            </w:r>
          </w:p>
        </w:tc>
        <w:tc>
          <w:tcPr>
            <w:tcW w:w="1800" w:type="dxa"/>
            <w:tcBorders>
              <w:top w:val="nil"/>
              <w:left w:val="nil"/>
              <w:bottom w:val="single" w:sz="4" w:space="0" w:color="808080"/>
              <w:right w:val="single" w:sz="4" w:space="0" w:color="000000"/>
            </w:tcBorders>
            <w:shd w:val="clear" w:color="000000" w:fill="auto"/>
            <w:noWrap/>
            <w:vAlign w:val="center"/>
            <w:hideMark/>
          </w:tcPr>
          <w:p w14:paraId="3899A88D"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$461.66 </w:t>
            </w:r>
          </w:p>
        </w:tc>
        <w:tc>
          <w:tcPr>
            <w:tcW w:w="1710" w:type="dxa"/>
            <w:tcBorders>
              <w:top w:val="nil"/>
              <w:left w:val="nil"/>
              <w:bottom w:val="single" w:sz="4" w:space="0" w:color="808080"/>
              <w:right w:val="single" w:sz="4" w:space="0" w:color="000000"/>
            </w:tcBorders>
            <w:shd w:val="clear" w:color="000000" w:fill="auto"/>
            <w:noWrap/>
            <w:vAlign w:val="center"/>
            <w:hideMark/>
          </w:tcPr>
          <w:p w14:paraId="79E40CB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$438.01 </w:t>
            </w:r>
          </w:p>
        </w:tc>
        <w:tc>
          <w:tcPr>
            <w:tcW w:w="1620" w:type="dxa"/>
            <w:tcBorders>
              <w:top w:val="nil"/>
              <w:left w:val="nil"/>
              <w:bottom w:val="single" w:sz="4" w:space="0" w:color="808080"/>
              <w:right w:val="single" w:sz="8" w:space="0" w:color="000000"/>
            </w:tcBorders>
            <w:shd w:val="clear" w:color="000000" w:fill="auto"/>
            <w:noWrap/>
            <w:vAlign w:val="center"/>
            <w:hideMark/>
          </w:tcPr>
          <w:p w14:paraId="3CC91DCD"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$379.88 </w:t>
            </w:r>
          </w:p>
        </w:tc>
      </w:tr>
      <w:tr w:rsidR="00F303E0" w:rsidRPr="00EE5714" w14:paraId="6EC709BD" w14:textId="77777777" w:rsidTr="00CE67A6">
        <w:trPr>
          <w:trHeight w:hRule="exact" w:val="245"/>
        </w:trPr>
        <w:tc>
          <w:tcPr>
            <w:tcW w:w="1440" w:type="dxa"/>
            <w:tcBorders>
              <w:top w:val="nil"/>
              <w:left w:val="single" w:sz="8" w:space="0" w:color="000000"/>
              <w:bottom w:val="single" w:sz="4" w:space="0" w:color="000000"/>
              <w:right w:val="single" w:sz="4" w:space="0" w:color="000000"/>
            </w:tcBorders>
            <w:shd w:val="clear" w:color="auto" w:fill="auto"/>
            <w:vAlign w:val="bottom"/>
            <w:hideMark/>
          </w:tcPr>
          <w:p w14:paraId="49AD14F1" w14:textId="77777777" w:rsidR="00F303E0" w:rsidRPr="00EE5714" w:rsidRDefault="00F303E0" w:rsidP="00851815">
            <w:pPr>
              <w:keepNext/>
              <w:keepLines/>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800" w:type="dxa"/>
            <w:tcBorders>
              <w:top w:val="nil"/>
              <w:left w:val="nil"/>
              <w:bottom w:val="single" w:sz="4" w:space="0" w:color="808080"/>
              <w:right w:val="single" w:sz="4" w:space="0" w:color="000000"/>
            </w:tcBorders>
            <w:shd w:val="clear" w:color="000000" w:fill="auto"/>
            <w:noWrap/>
            <w:vAlign w:val="center"/>
            <w:hideMark/>
          </w:tcPr>
          <w:p w14:paraId="10092F41"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$433.54 </w:t>
            </w:r>
          </w:p>
        </w:tc>
        <w:tc>
          <w:tcPr>
            <w:tcW w:w="1800" w:type="dxa"/>
            <w:tcBorders>
              <w:top w:val="nil"/>
              <w:left w:val="nil"/>
              <w:bottom w:val="single" w:sz="4" w:space="0" w:color="808080"/>
              <w:right w:val="single" w:sz="4" w:space="0" w:color="000000"/>
            </w:tcBorders>
            <w:shd w:val="clear" w:color="000000" w:fill="auto"/>
            <w:noWrap/>
            <w:vAlign w:val="center"/>
            <w:hideMark/>
          </w:tcPr>
          <w:p w14:paraId="4B6691F3"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$436.86 </w:t>
            </w:r>
          </w:p>
        </w:tc>
        <w:tc>
          <w:tcPr>
            <w:tcW w:w="1800" w:type="dxa"/>
            <w:tcBorders>
              <w:top w:val="nil"/>
              <w:left w:val="nil"/>
              <w:bottom w:val="single" w:sz="4" w:space="0" w:color="808080"/>
              <w:right w:val="single" w:sz="4" w:space="0" w:color="000000"/>
            </w:tcBorders>
            <w:shd w:val="clear" w:color="000000" w:fill="auto"/>
            <w:noWrap/>
            <w:vAlign w:val="center"/>
            <w:hideMark/>
          </w:tcPr>
          <w:p w14:paraId="38FA001A"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$389.19 </w:t>
            </w:r>
          </w:p>
        </w:tc>
        <w:tc>
          <w:tcPr>
            <w:tcW w:w="1710" w:type="dxa"/>
            <w:tcBorders>
              <w:top w:val="nil"/>
              <w:left w:val="nil"/>
              <w:bottom w:val="single" w:sz="4" w:space="0" w:color="808080"/>
              <w:right w:val="single" w:sz="4" w:space="0" w:color="000000"/>
            </w:tcBorders>
            <w:shd w:val="clear" w:color="000000" w:fill="auto"/>
            <w:noWrap/>
            <w:vAlign w:val="center"/>
            <w:hideMark/>
          </w:tcPr>
          <w:p w14:paraId="69E2C3B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$328.54 </w:t>
            </w:r>
          </w:p>
        </w:tc>
        <w:tc>
          <w:tcPr>
            <w:tcW w:w="1620" w:type="dxa"/>
            <w:tcBorders>
              <w:top w:val="nil"/>
              <w:left w:val="nil"/>
              <w:bottom w:val="single" w:sz="4" w:space="0" w:color="808080"/>
              <w:right w:val="single" w:sz="8" w:space="0" w:color="000000"/>
            </w:tcBorders>
            <w:shd w:val="clear" w:color="000000" w:fill="auto"/>
            <w:noWrap/>
            <w:vAlign w:val="center"/>
            <w:hideMark/>
          </w:tcPr>
          <w:p w14:paraId="3B7ABD90"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$291.44 </w:t>
            </w:r>
          </w:p>
        </w:tc>
      </w:tr>
      <w:tr w:rsidR="00F303E0" w:rsidRPr="00EE5714" w14:paraId="7F5A7646" w14:textId="77777777" w:rsidTr="00CE67A6">
        <w:trPr>
          <w:trHeight w:hRule="exact" w:val="245"/>
        </w:trPr>
        <w:tc>
          <w:tcPr>
            <w:tcW w:w="1440" w:type="dxa"/>
            <w:tcBorders>
              <w:top w:val="nil"/>
              <w:left w:val="single" w:sz="8" w:space="0" w:color="000000"/>
              <w:bottom w:val="single" w:sz="4" w:space="0" w:color="000000"/>
              <w:right w:val="single" w:sz="4" w:space="0" w:color="000000"/>
            </w:tcBorders>
            <w:shd w:val="clear" w:color="auto" w:fill="auto"/>
            <w:vAlign w:val="bottom"/>
            <w:hideMark/>
          </w:tcPr>
          <w:p w14:paraId="64CD7BFD" w14:textId="77777777" w:rsidR="00F303E0" w:rsidRPr="00EE5714" w:rsidRDefault="00F303E0" w:rsidP="00851815">
            <w:pPr>
              <w:keepNext/>
              <w:keepLine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800" w:type="dxa"/>
            <w:tcBorders>
              <w:top w:val="nil"/>
              <w:left w:val="nil"/>
              <w:bottom w:val="single" w:sz="4" w:space="0" w:color="808080"/>
              <w:right w:val="single" w:sz="4" w:space="0" w:color="000000"/>
            </w:tcBorders>
            <w:shd w:val="clear" w:color="000000" w:fill="auto"/>
            <w:noWrap/>
            <w:vAlign w:val="center"/>
            <w:hideMark/>
          </w:tcPr>
          <w:p w14:paraId="3A1A7B2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$437.92 </w:t>
            </w:r>
          </w:p>
        </w:tc>
        <w:tc>
          <w:tcPr>
            <w:tcW w:w="1800" w:type="dxa"/>
            <w:tcBorders>
              <w:top w:val="nil"/>
              <w:left w:val="nil"/>
              <w:bottom w:val="single" w:sz="4" w:space="0" w:color="808080"/>
              <w:right w:val="single" w:sz="4" w:space="0" w:color="000000"/>
            </w:tcBorders>
            <w:shd w:val="clear" w:color="000000" w:fill="auto"/>
            <w:noWrap/>
            <w:vAlign w:val="center"/>
            <w:hideMark/>
          </w:tcPr>
          <w:p w14:paraId="24F2F2F0"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$356.14 </w:t>
            </w:r>
          </w:p>
        </w:tc>
        <w:tc>
          <w:tcPr>
            <w:tcW w:w="1800" w:type="dxa"/>
            <w:tcBorders>
              <w:top w:val="nil"/>
              <w:left w:val="nil"/>
              <w:bottom w:val="single" w:sz="4" w:space="0" w:color="808080"/>
              <w:right w:val="single" w:sz="4" w:space="0" w:color="000000"/>
            </w:tcBorders>
            <w:shd w:val="clear" w:color="000000" w:fill="auto"/>
            <w:noWrap/>
            <w:vAlign w:val="center"/>
            <w:hideMark/>
          </w:tcPr>
          <w:p w14:paraId="175EB96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$293.22 </w:t>
            </w:r>
          </w:p>
        </w:tc>
        <w:tc>
          <w:tcPr>
            <w:tcW w:w="1710" w:type="dxa"/>
            <w:tcBorders>
              <w:top w:val="nil"/>
              <w:left w:val="nil"/>
              <w:bottom w:val="single" w:sz="4" w:space="0" w:color="808080"/>
              <w:right w:val="single" w:sz="4" w:space="0" w:color="000000"/>
            </w:tcBorders>
            <w:shd w:val="clear" w:color="000000" w:fill="auto"/>
            <w:noWrap/>
            <w:vAlign w:val="center"/>
            <w:hideMark/>
          </w:tcPr>
          <w:p w14:paraId="27FA9010"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$237.27 </w:t>
            </w:r>
          </w:p>
        </w:tc>
        <w:tc>
          <w:tcPr>
            <w:tcW w:w="1620" w:type="dxa"/>
            <w:tcBorders>
              <w:top w:val="nil"/>
              <w:left w:val="nil"/>
              <w:bottom w:val="single" w:sz="4" w:space="0" w:color="808080"/>
              <w:right w:val="single" w:sz="8" w:space="0" w:color="000000"/>
            </w:tcBorders>
            <w:shd w:val="clear" w:color="000000" w:fill="auto"/>
            <w:noWrap/>
            <w:vAlign w:val="center"/>
            <w:hideMark/>
          </w:tcPr>
          <w:p w14:paraId="527576C6"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$244.90 </w:t>
            </w:r>
          </w:p>
        </w:tc>
      </w:tr>
      <w:tr w:rsidR="00F303E0" w:rsidRPr="00EE5714" w14:paraId="552A427A" w14:textId="77777777" w:rsidTr="00CE67A6">
        <w:trPr>
          <w:trHeight w:hRule="exact" w:val="245"/>
        </w:trPr>
        <w:tc>
          <w:tcPr>
            <w:tcW w:w="1440" w:type="dxa"/>
            <w:tcBorders>
              <w:top w:val="nil"/>
              <w:left w:val="single" w:sz="8" w:space="0" w:color="000000"/>
              <w:bottom w:val="single" w:sz="4" w:space="0" w:color="000000"/>
              <w:right w:val="single" w:sz="4" w:space="0" w:color="000000"/>
            </w:tcBorders>
            <w:shd w:val="clear" w:color="auto" w:fill="auto"/>
            <w:vAlign w:val="bottom"/>
            <w:hideMark/>
          </w:tcPr>
          <w:p w14:paraId="4C784E4B" w14:textId="77777777" w:rsidR="00F303E0" w:rsidRPr="00EE5714" w:rsidRDefault="00F303E0" w:rsidP="00851815">
            <w:pPr>
              <w:keepNext/>
              <w:keepLine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800" w:type="dxa"/>
            <w:tcBorders>
              <w:top w:val="nil"/>
              <w:left w:val="nil"/>
              <w:bottom w:val="single" w:sz="4" w:space="0" w:color="808080"/>
              <w:right w:val="single" w:sz="4" w:space="0" w:color="000000"/>
            </w:tcBorders>
            <w:shd w:val="clear" w:color="000000" w:fill="auto"/>
            <w:noWrap/>
            <w:vAlign w:val="center"/>
            <w:hideMark/>
          </w:tcPr>
          <w:p w14:paraId="3E607E9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$951.95 </w:t>
            </w:r>
          </w:p>
        </w:tc>
        <w:tc>
          <w:tcPr>
            <w:tcW w:w="1800" w:type="dxa"/>
            <w:tcBorders>
              <w:top w:val="nil"/>
              <w:left w:val="nil"/>
              <w:bottom w:val="single" w:sz="4" w:space="0" w:color="808080"/>
              <w:right w:val="single" w:sz="4" w:space="0" w:color="000000"/>
            </w:tcBorders>
            <w:shd w:val="clear" w:color="000000" w:fill="auto"/>
            <w:noWrap/>
            <w:vAlign w:val="center"/>
            <w:hideMark/>
          </w:tcPr>
          <w:p w14:paraId="16E6586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$1,004.51 </w:t>
            </w:r>
          </w:p>
        </w:tc>
        <w:tc>
          <w:tcPr>
            <w:tcW w:w="1800" w:type="dxa"/>
            <w:tcBorders>
              <w:top w:val="nil"/>
              <w:left w:val="nil"/>
              <w:bottom w:val="single" w:sz="4" w:space="0" w:color="808080"/>
              <w:right w:val="single" w:sz="4" w:space="0" w:color="000000"/>
            </w:tcBorders>
            <w:shd w:val="clear" w:color="000000" w:fill="auto"/>
            <w:noWrap/>
            <w:vAlign w:val="center"/>
            <w:hideMark/>
          </w:tcPr>
          <w:p w14:paraId="1DDA3B91"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$1,033.51 </w:t>
            </w:r>
          </w:p>
        </w:tc>
        <w:tc>
          <w:tcPr>
            <w:tcW w:w="1710" w:type="dxa"/>
            <w:tcBorders>
              <w:top w:val="nil"/>
              <w:left w:val="nil"/>
              <w:bottom w:val="single" w:sz="4" w:space="0" w:color="808080"/>
              <w:right w:val="single" w:sz="4" w:space="0" w:color="000000"/>
            </w:tcBorders>
            <w:shd w:val="clear" w:color="000000" w:fill="auto"/>
            <w:noWrap/>
            <w:vAlign w:val="center"/>
            <w:hideMark/>
          </w:tcPr>
          <w:p w14:paraId="582BDC7A"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$933.57 </w:t>
            </w:r>
          </w:p>
        </w:tc>
        <w:tc>
          <w:tcPr>
            <w:tcW w:w="1620" w:type="dxa"/>
            <w:tcBorders>
              <w:top w:val="nil"/>
              <w:left w:val="nil"/>
              <w:bottom w:val="single" w:sz="4" w:space="0" w:color="808080"/>
              <w:right w:val="single" w:sz="8" w:space="0" w:color="000000"/>
            </w:tcBorders>
            <w:shd w:val="clear" w:color="000000" w:fill="auto"/>
            <w:noWrap/>
            <w:vAlign w:val="center"/>
            <w:hideMark/>
          </w:tcPr>
          <w:p w14:paraId="25B61401"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$737.80 </w:t>
            </w:r>
          </w:p>
        </w:tc>
      </w:tr>
      <w:tr w:rsidR="00F303E0" w:rsidRPr="00EE5714" w14:paraId="110B4871" w14:textId="77777777" w:rsidTr="00CE67A6">
        <w:trPr>
          <w:trHeight w:hRule="exact" w:val="245"/>
        </w:trPr>
        <w:tc>
          <w:tcPr>
            <w:tcW w:w="1440" w:type="dxa"/>
            <w:tcBorders>
              <w:top w:val="nil"/>
              <w:left w:val="single" w:sz="8" w:space="0" w:color="000000"/>
              <w:bottom w:val="single" w:sz="8" w:space="0" w:color="000000"/>
              <w:right w:val="single" w:sz="4" w:space="0" w:color="000000"/>
            </w:tcBorders>
            <w:shd w:val="clear" w:color="auto" w:fill="auto"/>
            <w:vAlign w:val="bottom"/>
            <w:hideMark/>
          </w:tcPr>
          <w:p w14:paraId="51453389" w14:textId="77777777" w:rsidR="00F303E0" w:rsidRPr="00EE5714" w:rsidRDefault="00F303E0" w:rsidP="00851815">
            <w:pP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c>
          <w:tcPr>
            <w:tcW w:w="1800" w:type="dxa"/>
            <w:tcBorders>
              <w:top w:val="nil"/>
              <w:left w:val="nil"/>
              <w:bottom w:val="single" w:sz="8" w:space="0" w:color="000000"/>
              <w:right w:val="single" w:sz="4" w:space="0" w:color="000000"/>
            </w:tcBorders>
            <w:shd w:val="clear" w:color="000000" w:fill="auto"/>
            <w:noWrap/>
            <w:vAlign w:val="center"/>
            <w:hideMark/>
          </w:tcPr>
          <w:p w14:paraId="66D6FA3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800" w:type="dxa"/>
            <w:tcBorders>
              <w:top w:val="nil"/>
              <w:left w:val="nil"/>
              <w:bottom w:val="single" w:sz="8" w:space="0" w:color="000000"/>
              <w:right w:val="single" w:sz="4" w:space="0" w:color="000000"/>
            </w:tcBorders>
            <w:shd w:val="clear" w:color="000000" w:fill="auto"/>
            <w:noWrap/>
            <w:vAlign w:val="center"/>
            <w:hideMark/>
          </w:tcPr>
          <w:p w14:paraId="6049FBF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800" w:type="dxa"/>
            <w:tcBorders>
              <w:top w:val="nil"/>
              <w:left w:val="nil"/>
              <w:bottom w:val="single" w:sz="8" w:space="0" w:color="000000"/>
              <w:right w:val="single" w:sz="4" w:space="0" w:color="000000"/>
            </w:tcBorders>
            <w:shd w:val="clear" w:color="000000" w:fill="auto"/>
            <w:noWrap/>
            <w:vAlign w:val="center"/>
            <w:hideMark/>
          </w:tcPr>
          <w:p w14:paraId="11538FA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710" w:type="dxa"/>
            <w:tcBorders>
              <w:top w:val="nil"/>
              <w:left w:val="nil"/>
              <w:bottom w:val="single" w:sz="8" w:space="0" w:color="000000"/>
              <w:right w:val="single" w:sz="4" w:space="0" w:color="000000"/>
            </w:tcBorders>
            <w:shd w:val="clear" w:color="000000" w:fill="auto"/>
            <w:noWrap/>
            <w:vAlign w:val="center"/>
            <w:hideMark/>
          </w:tcPr>
          <w:p w14:paraId="4DBB464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$1,076.08 </w:t>
            </w:r>
          </w:p>
        </w:tc>
        <w:tc>
          <w:tcPr>
            <w:tcW w:w="1620" w:type="dxa"/>
            <w:tcBorders>
              <w:top w:val="nil"/>
              <w:left w:val="nil"/>
              <w:bottom w:val="single" w:sz="8" w:space="0" w:color="000000"/>
              <w:right w:val="single" w:sz="8" w:space="0" w:color="000000"/>
            </w:tcBorders>
            <w:shd w:val="clear" w:color="000000" w:fill="auto"/>
            <w:noWrap/>
            <w:vAlign w:val="center"/>
            <w:hideMark/>
          </w:tcPr>
          <w:p w14:paraId="2484ADC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$680.65 </w:t>
            </w:r>
          </w:p>
        </w:tc>
      </w:tr>
    </w:tbl>
    <w:p w14:paraId="78E6E3C6" w14:textId="77777777" w:rsidR="00F303E0" w:rsidRPr="00EE5714" w:rsidRDefault="00F303E0" w:rsidP="00F303E0">
      <w:pPr>
        <w:pStyle w:val="NoSpacing"/>
        <w:rPr>
          <w:rFonts w:cs="Times New Roman"/>
          <w:szCs w:val="26"/>
        </w:rPr>
      </w:pPr>
    </w:p>
    <w:p w14:paraId="4CBD2322" w14:textId="77777777" w:rsidR="00F303E0" w:rsidRPr="00EE5714" w:rsidRDefault="00F303E0" w:rsidP="00F303E0">
      <w:pPr>
        <w:pStyle w:val="NoSpacing"/>
        <w:rPr>
          <w:rFonts w:cs="Times New Roman"/>
          <w:szCs w:val="26"/>
        </w:rPr>
      </w:pPr>
    </w:p>
    <w:p w14:paraId="0EF9A11A" w14:textId="77777777" w:rsidR="00F303E0" w:rsidRPr="00EE5714" w:rsidRDefault="00F857A1" w:rsidP="00CE67A6">
      <w:pPr>
        <w:keepNext/>
        <w:spacing w:after="0" w:line="240" w:lineRule="auto"/>
        <w:jc w:val="center"/>
        <w:rPr>
          <w:rFonts w:ascii="Times New Roman" w:eastAsia="Times New Roman" w:hAnsi="Times New Roman" w:cs="Times New Roman"/>
          <w:b/>
          <w:bCs/>
          <w:color w:val="000000"/>
          <w:sz w:val="26"/>
          <w:szCs w:val="26"/>
        </w:rPr>
      </w:pPr>
      <w:r w:rsidRPr="00EE5714">
        <w:rPr>
          <w:rFonts w:ascii="Times New Roman" w:hAnsi="Times New Roman" w:cs="Times New Roman"/>
          <w:sz w:val="26"/>
          <w:szCs w:val="26"/>
        </w:rPr>
        <w:t>Appendix 4</w:t>
      </w:r>
      <w:r w:rsidR="00F303E0" w:rsidRPr="00EE5714">
        <w:rPr>
          <w:rFonts w:ascii="Times New Roman" w:hAnsi="Times New Roman" w:cs="Times New Roman"/>
          <w:sz w:val="26"/>
          <w:szCs w:val="26"/>
        </w:rPr>
        <w:t xml:space="preserve">.B.2: </w:t>
      </w:r>
      <w:r w:rsidR="00F303E0" w:rsidRPr="00EE5714">
        <w:rPr>
          <w:rFonts w:ascii="Times New Roman" w:eastAsia="Times New Roman" w:hAnsi="Times New Roman" w:cs="Times New Roman"/>
          <w:b/>
          <w:bCs/>
          <w:color w:val="000000"/>
          <w:sz w:val="26"/>
          <w:szCs w:val="26"/>
        </w:rPr>
        <w:t xml:space="preserve">Average IPAs of EDC CAP Customers with IPA Balances </w:t>
      </w:r>
    </w:p>
    <w:tbl>
      <w:tblPr>
        <w:tblW w:w="10170" w:type="dxa"/>
        <w:tblInd w:w="-370" w:type="dxa"/>
        <w:tblLayout w:type="fixed"/>
        <w:tblLook w:val="04A0" w:firstRow="1" w:lastRow="0" w:firstColumn="1" w:lastColumn="0" w:noHBand="0" w:noVBand="1"/>
      </w:tblPr>
      <w:tblGrid>
        <w:gridCol w:w="1440"/>
        <w:gridCol w:w="1800"/>
        <w:gridCol w:w="1800"/>
        <w:gridCol w:w="1800"/>
        <w:gridCol w:w="1710"/>
        <w:gridCol w:w="1620"/>
      </w:tblGrid>
      <w:tr w:rsidR="00F303E0" w:rsidRPr="00EE5714" w14:paraId="086CFBAA" w14:textId="77777777" w:rsidTr="00CE67A6">
        <w:trPr>
          <w:trHeight w:val="610"/>
        </w:trPr>
        <w:tc>
          <w:tcPr>
            <w:tcW w:w="10170" w:type="dxa"/>
            <w:gridSpan w:val="6"/>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19A61C71"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Average IPAs of EDC CAP Customers with IPA Balances </w:t>
            </w:r>
          </w:p>
          <w:p w14:paraId="149DE528"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(Electric Non-Heating and Electric Heating)</w:t>
            </w:r>
          </w:p>
        </w:tc>
      </w:tr>
      <w:tr w:rsidR="00F303E0" w:rsidRPr="00EE5714" w14:paraId="7415C2AF" w14:textId="77777777" w:rsidTr="00CE67A6">
        <w:trPr>
          <w:trHeight w:val="274"/>
        </w:trPr>
        <w:tc>
          <w:tcPr>
            <w:tcW w:w="1440" w:type="dxa"/>
            <w:tcBorders>
              <w:top w:val="nil"/>
              <w:left w:val="single" w:sz="8" w:space="0" w:color="000000"/>
              <w:bottom w:val="single" w:sz="8" w:space="0" w:color="000000"/>
              <w:right w:val="single" w:sz="4" w:space="0" w:color="000000"/>
            </w:tcBorders>
            <w:shd w:val="clear" w:color="auto" w:fill="auto"/>
            <w:noWrap/>
            <w:vAlign w:val="bottom"/>
            <w:hideMark/>
          </w:tcPr>
          <w:p w14:paraId="57FF4AD9" w14:textId="77777777" w:rsidR="00F303E0" w:rsidRPr="00EE5714" w:rsidRDefault="00F303E0" w:rsidP="00CE67A6">
            <w:pPr>
              <w:keepNext/>
              <w:spacing w:after="0" w:line="240" w:lineRule="auto"/>
              <w:jc w:val="center"/>
              <w:rPr>
                <w:rFonts w:ascii="Calibri" w:eastAsia="Times New Roman" w:hAnsi="Calibri" w:cs="Calibri"/>
                <w:b/>
                <w:bCs/>
                <w:color w:val="000000"/>
                <w:szCs w:val="24"/>
              </w:rPr>
            </w:pPr>
            <w:r w:rsidRPr="00EE5714">
              <w:rPr>
                <w:rFonts w:ascii="Calibri" w:eastAsia="Times New Roman" w:hAnsi="Calibri" w:cs="Calibri"/>
                <w:b/>
                <w:bCs/>
                <w:color w:val="000000"/>
                <w:szCs w:val="24"/>
              </w:rPr>
              <w:t> </w:t>
            </w:r>
          </w:p>
        </w:tc>
        <w:tc>
          <w:tcPr>
            <w:tcW w:w="1800" w:type="dxa"/>
            <w:tcBorders>
              <w:top w:val="nil"/>
              <w:left w:val="nil"/>
              <w:bottom w:val="single" w:sz="8" w:space="0" w:color="000000"/>
              <w:right w:val="single" w:sz="4" w:space="0" w:color="000000"/>
            </w:tcBorders>
            <w:shd w:val="clear" w:color="auto" w:fill="auto"/>
            <w:noWrap/>
            <w:vAlign w:val="bottom"/>
            <w:hideMark/>
          </w:tcPr>
          <w:p w14:paraId="77E75978"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2012</w:t>
            </w:r>
          </w:p>
        </w:tc>
        <w:tc>
          <w:tcPr>
            <w:tcW w:w="1800" w:type="dxa"/>
            <w:tcBorders>
              <w:top w:val="nil"/>
              <w:left w:val="nil"/>
              <w:bottom w:val="single" w:sz="8" w:space="0" w:color="000000"/>
              <w:right w:val="single" w:sz="4" w:space="0" w:color="000000"/>
            </w:tcBorders>
            <w:shd w:val="clear" w:color="auto" w:fill="auto"/>
            <w:noWrap/>
            <w:vAlign w:val="bottom"/>
            <w:hideMark/>
          </w:tcPr>
          <w:p w14:paraId="01604D5A"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2013</w:t>
            </w:r>
          </w:p>
        </w:tc>
        <w:tc>
          <w:tcPr>
            <w:tcW w:w="1800" w:type="dxa"/>
            <w:tcBorders>
              <w:top w:val="nil"/>
              <w:left w:val="nil"/>
              <w:bottom w:val="single" w:sz="8" w:space="0" w:color="000000"/>
              <w:right w:val="single" w:sz="4" w:space="0" w:color="000000"/>
            </w:tcBorders>
            <w:shd w:val="clear" w:color="auto" w:fill="auto"/>
            <w:noWrap/>
            <w:vAlign w:val="bottom"/>
            <w:hideMark/>
          </w:tcPr>
          <w:p w14:paraId="668439CE"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2014</w:t>
            </w:r>
          </w:p>
        </w:tc>
        <w:tc>
          <w:tcPr>
            <w:tcW w:w="1710" w:type="dxa"/>
            <w:tcBorders>
              <w:top w:val="nil"/>
              <w:left w:val="nil"/>
              <w:bottom w:val="single" w:sz="8" w:space="0" w:color="000000"/>
              <w:right w:val="single" w:sz="4" w:space="0" w:color="000000"/>
            </w:tcBorders>
            <w:shd w:val="clear" w:color="auto" w:fill="auto"/>
            <w:noWrap/>
            <w:vAlign w:val="bottom"/>
            <w:hideMark/>
          </w:tcPr>
          <w:p w14:paraId="79AA71F2"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2015</w:t>
            </w:r>
          </w:p>
        </w:tc>
        <w:tc>
          <w:tcPr>
            <w:tcW w:w="1620" w:type="dxa"/>
            <w:tcBorders>
              <w:top w:val="nil"/>
              <w:left w:val="nil"/>
              <w:bottom w:val="single" w:sz="8" w:space="0" w:color="000000"/>
              <w:right w:val="single" w:sz="8" w:space="0" w:color="000000"/>
            </w:tcBorders>
            <w:shd w:val="clear" w:color="auto" w:fill="auto"/>
            <w:noWrap/>
            <w:vAlign w:val="bottom"/>
            <w:hideMark/>
          </w:tcPr>
          <w:p w14:paraId="1AE23B9D" w14:textId="77777777" w:rsidR="00F303E0" w:rsidRPr="00EE5714" w:rsidRDefault="00F303E0" w:rsidP="00CE67A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2016</w:t>
            </w:r>
          </w:p>
        </w:tc>
      </w:tr>
      <w:tr w:rsidR="00F303E0" w:rsidRPr="00EE5714" w14:paraId="556A2C60" w14:textId="77777777" w:rsidTr="00CE67A6">
        <w:trPr>
          <w:trHeight w:hRule="exact" w:val="245"/>
        </w:trPr>
        <w:tc>
          <w:tcPr>
            <w:tcW w:w="1440" w:type="dxa"/>
            <w:tcBorders>
              <w:top w:val="nil"/>
              <w:left w:val="single" w:sz="8" w:space="0" w:color="000000"/>
              <w:bottom w:val="single" w:sz="4" w:space="0" w:color="000000"/>
              <w:right w:val="single" w:sz="4" w:space="0" w:color="000000"/>
            </w:tcBorders>
            <w:shd w:val="clear" w:color="auto" w:fill="auto"/>
            <w:noWrap/>
            <w:vAlign w:val="bottom"/>
            <w:hideMark/>
          </w:tcPr>
          <w:p w14:paraId="01DAACD0" w14:textId="77777777" w:rsidR="00F303E0" w:rsidRPr="00EE5714" w:rsidRDefault="00F303E0" w:rsidP="00CE67A6">
            <w:pPr>
              <w:keepNext/>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800" w:type="dxa"/>
            <w:tcBorders>
              <w:top w:val="nil"/>
              <w:left w:val="nil"/>
              <w:bottom w:val="single" w:sz="4" w:space="0" w:color="808080"/>
              <w:right w:val="single" w:sz="4" w:space="0" w:color="000000"/>
            </w:tcBorders>
            <w:shd w:val="clear" w:color="auto" w:fill="auto"/>
            <w:noWrap/>
            <w:vAlign w:val="center"/>
            <w:hideMark/>
          </w:tcPr>
          <w:p w14:paraId="3D245724"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800" w:type="dxa"/>
            <w:tcBorders>
              <w:top w:val="nil"/>
              <w:left w:val="nil"/>
              <w:bottom w:val="single" w:sz="4" w:space="0" w:color="808080"/>
              <w:right w:val="single" w:sz="4" w:space="0" w:color="000000"/>
            </w:tcBorders>
            <w:shd w:val="clear" w:color="auto" w:fill="auto"/>
            <w:noWrap/>
            <w:vAlign w:val="center"/>
            <w:hideMark/>
          </w:tcPr>
          <w:p w14:paraId="362FE708"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800" w:type="dxa"/>
            <w:tcBorders>
              <w:top w:val="nil"/>
              <w:left w:val="nil"/>
              <w:bottom w:val="single" w:sz="4" w:space="0" w:color="808080"/>
              <w:right w:val="single" w:sz="4" w:space="0" w:color="000000"/>
            </w:tcBorders>
            <w:shd w:val="clear" w:color="auto" w:fill="auto"/>
            <w:noWrap/>
            <w:vAlign w:val="center"/>
            <w:hideMark/>
          </w:tcPr>
          <w:p w14:paraId="66BEFE69"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710" w:type="dxa"/>
            <w:tcBorders>
              <w:top w:val="nil"/>
              <w:left w:val="nil"/>
              <w:bottom w:val="single" w:sz="4" w:space="0" w:color="808080"/>
              <w:right w:val="single" w:sz="4" w:space="0" w:color="000000"/>
            </w:tcBorders>
            <w:shd w:val="clear" w:color="auto" w:fill="auto"/>
            <w:noWrap/>
            <w:vAlign w:val="center"/>
            <w:hideMark/>
          </w:tcPr>
          <w:p w14:paraId="4833008C"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$531.96 </w:t>
            </w:r>
          </w:p>
        </w:tc>
        <w:tc>
          <w:tcPr>
            <w:tcW w:w="1620" w:type="dxa"/>
            <w:tcBorders>
              <w:top w:val="nil"/>
              <w:left w:val="nil"/>
              <w:bottom w:val="single" w:sz="4" w:space="0" w:color="808080"/>
              <w:right w:val="single" w:sz="8" w:space="0" w:color="000000"/>
            </w:tcBorders>
            <w:shd w:val="clear" w:color="auto" w:fill="auto"/>
            <w:noWrap/>
            <w:vAlign w:val="center"/>
            <w:hideMark/>
          </w:tcPr>
          <w:p w14:paraId="67A8E51B" w14:textId="77777777" w:rsidR="00F303E0" w:rsidRPr="00EE5714" w:rsidRDefault="00F303E0" w:rsidP="00CE67A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$620.40 </w:t>
            </w:r>
          </w:p>
        </w:tc>
      </w:tr>
      <w:tr w:rsidR="00F303E0" w:rsidRPr="00EE5714" w14:paraId="096326BA" w14:textId="77777777" w:rsidTr="00CE67A6">
        <w:trPr>
          <w:trHeight w:hRule="exact" w:val="245"/>
        </w:trPr>
        <w:tc>
          <w:tcPr>
            <w:tcW w:w="1440" w:type="dxa"/>
            <w:tcBorders>
              <w:top w:val="nil"/>
              <w:left w:val="single" w:sz="8" w:space="0" w:color="000000"/>
              <w:bottom w:val="single" w:sz="4" w:space="0" w:color="000000"/>
              <w:right w:val="single" w:sz="4" w:space="0" w:color="000000"/>
            </w:tcBorders>
            <w:shd w:val="clear" w:color="auto" w:fill="auto"/>
            <w:noWrap/>
            <w:vAlign w:val="bottom"/>
            <w:hideMark/>
          </w:tcPr>
          <w:p w14:paraId="65354A78"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800" w:type="dxa"/>
            <w:tcBorders>
              <w:top w:val="nil"/>
              <w:left w:val="nil"/>
              <w:bottom w:val="single" w:sz="4" w:space="0" w:color="808080"/>
              <w:right w:val="single" w:sz="4" w:space="0" w:color="000000"/>
            </w:tcBorders>
            <w:shd w:val="clear" w:color="auto" w:fill="auto"/>
            <w:noWrap/>
            <w:vAlign w:val="center"/>
            <w:hideMark/>
          </w:tcPr>
          <w:p w14:paraId="4876D78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$168.39 </w:t>
            </w:r>
          </w:p>
        </w:tc>
        <w:tc>
          <w:tcPr>
            <w:tcW w:w="1800" w:type="dxa"/>
            <w:tcBorders>
              <w:top w:val="nil"/>
              <w:left w:val="nil"/>
              <w:bottom w:val="single" w:sz="4" w:space="0" w:color="808080"/>
              <w:right w:val="single" w:sz="4" w:space="0" w:color="000000"/>
            </w:tcBorders>
            <w:shd w:val="clear" w:color="auto" w:fill="auto"/>
            <w:noWrap/>
            <w:vAlign w:val="center"/>
            <w:hideMark/>
          </w:tcPr>
          <w:p w14:paraId="123637A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$124.72 </w:t>
            </w:r>
          </w:p>
        </w:tc>
        <w:tc>
          <w:tcPr>
            <w:tcW w:w="1800" w:type="dxa"/>
            <w:tcBorders>
              <w:top w:val="nil"/>
              <w:left w:val="nil"/>
              <w:bottom w:val="single" w:sz="4" w:space="0" w:color="808080"/>
              <w:right w:val="single" w:sz="4" w:space="0" w:color="000000"/>
            </w:tcBorders>
            <w:shd w:val="clear" w:color="auto" w:fill="auto"/>
            <w:noWrap/>
            <w:vAlign w:val="center"/>
            <w:hideMark/>
          </w:tcPr>
          <w:p w14:paraId="45018F3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$88.94 </w:t>
            </w:r>
          </w:p>
        </w:tc>
        <w:tc>
          <w:tcPr>
            <w:tcW w:w="1710" w:type="dxa"/>
            <w:tcBorders>
              <w:top w:val="nil"/>
              <w:left w:val="nil"/>
              <w:bottom w:val="single" w:sz="4" w:space="0" w:color="808080"/>
              <w:right w:val="single" w:sz="4" w:space="0" w:color="000000"/>
            </w:tcBorders>
            <w:shd w:val="clear" w:color="auto" w:fill="auto"/>
            <w:noWrap/>
            <w:vAlign w:val="center"/>
            <w:hideMark/>
          </w:tcPr>
          <w:p w14:paraId="67E09F8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$73.82 </w:t>
            </w:r>
          </w:p>
        </w:tc>
        <w:tc>
          <w:tcPr>
            <w:tcW w:w="1620" w:type="dxa"/>
            <w:tcBorders>
              <w:top w:val="nil"/>
              <w:left w:val="nil"/>
              <w:bottom w:val="single" w:sz="4" w:space="0" w:color="808080"/>
              <w:right w:val="single" w:sz="8" w:space="0" w:color="000000"/>
            </w:tcBorders>
            <w:shd w:val="clear" w:color="auto" w:fill="auto"/>
            <w:noWrap/>
            <w:vAlign w:val="center"/>
            <w:hideMark/>
          </w:tcPr>
          <w:p w14:paraId="2F55CB4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$93.52 </w:t>
            </w:r>
          </w:p>
        </w:tc>
      </w:tr>
      <w:tr w:rsidR="00F303E0" w:rsidRPr="00EE5714" w14:paraId="520F191B" w14:textId="77777777" w:rsidTr="00CE67A6">
        <w:trPr>
          <w:trHeight w:hRule="exact" w:val="245"/>
        </w:trPr>
        <w:tc>
          <w:tcPr>
            <w:tcW w:w="1440" w:type="dxa"/>
            <w:tcBorders>
              <w:top w:val="nil"/>
              <w:left w:val="single" w:sz="8" w:space="0" w:color="000000"/>
              <w:bottom w:val="single" w:sz="4" w:space="0" w:color="000000"/>
              <w:right w:val="single" w:sz="4" w:space="0" w:color="000000"/>
            </w:tcBorders>
            <w:shd w:val="clear" w:color="auto" w:fill="auto"/>
            <w:noWrap/>
            <w:vAlign w:val="bottom"/>
            <w:hideMark/>
          </w:tcPr>
          <w:p w14:paraId="3BD16432"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Electric</w:t>
            </w:r>
          </w:p>
        </w:tc>
        <w:tc>
          <w:tcPr>
            <w:tcW w:w="1800" w:type="dxa"/>
            <w:tcBorders>
              <w:top w:val="nil"/>
              <w:left w:val="nil"/>
              <w:bottom w:val="single" w:sz="4" w:space="0" w:color="808080"/>
              <w:right w:val="single" w:sz="4" w:space="0" w:color="000000"/>
            </w:tcBorders>
            <w:shd w:val="clear" w:color="auto" w:fill="auto"/>
            <w:noWrap/>
            <w:vAlign w:val="center"/>
            <w:hideMark/>
          </w:tcPr>
          <w:p w14:paraId="6AFD959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$482.35 </w:t>
            </w:r>
          </w:p>
        </w:tc>
        <w:tc>
          <w:tcPr>
            <w:tcW w:w="1800" w:type="dxa"/>
            <w:tcBorders>
              <w:top w:val="nil"/>
              <w:left w:val="nil"/>
              <w:bottom w:val="single" w:sz="4" w:space="0" w:color="808080"/>
              <w:right w:val="single" w:sz="4" w:space="0" w:color="000000"/>
            </w:tcBorders>
            <w:shd w:val="clear" w:color="auto" w:fill="auto"/>
            <w:noWrap/>
            <w:vAlign w:val="center"/>
            <w:hideMark/>
          </w:tcPr>
          <w:p w14:paraId="1D60FAB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$489.86 </w:t>
            </w:r>
          </w:p>
        </w:tc>
        <w:tc>
          <w:tcPr>
            <w:tcW w:w="1800" w:type="dxa"/>
            <w:tcBorders>
              <w:top w:val="nil"/>
              <w:left w:val="nil"/>
              <w:bottom w:val="single" w:sz="4" w:space="0" w:color="808080"/>
              <w:right w:val="single" w:sz="4" w:space="0" w:color="000000"/>
            </w:tcBorders>
            <w:shd w:val="clear" w:color="auto" w:fill="auto"/>
            <w:noWrap/>
            <w:vAlign w:val="center"/>
            <w:hideMark/>
          </w:tcPr>
          <w:p w14:paraId="2C7EA96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$531.00 </w:t>
            </w:r>
          </w:p>
        </w:tc>
        <w:tc>
          <w:tcPr>
            <w:tcW w:w="1710" w:type="dxa"/>
            <w:tcBorders>
              <w:top w:val="nil"/>
              <w:left w:val="nil"/>
              <w:bottom w:val="single" w:sz="4" w:space="0" w:color="808080"/>
              <w:right w:val="single" w:sz="4" w:space="0" w:color="000000"/>
            </w:tcBorders>
            <w:shd w:val="clear" w:color="auto" w:fill="auto"/>
            <w:noWrap/>
            <w:vAlign w:val="center"/>
            <w:hideMark/>
          </w:tcPr>
          <w:p w14:paraId="123692D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$479.45 </w:t>
            </w:r>
          </w:p>
        </w:tc>
        <w:tc>
          <w:tcPr>
            <w:tcW w:w="1620" w:type="dxa"/>
            <w:tcBorders>
              <w:top w:val="nil"/>
              <w:left w:val="nil"/>
              <w:bottom w:val="single" w:sz="4" w:space="0" w:color="808080"/>
              <w:right w:val="single" w:sz="8" w:space="0" w:color="000000"/>
            </w:tcBorders>
            <w:shd w:val="clear" w:color="auto" w:fill="auto"/>
            <w:noWrap/>
            <w:vAlign w:val="center"/>
            <w:hideMark/>
          </w:tcPr>
          <w:p w14:paraId="52AD011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$454.84 </w:t>
            </w:r>
          </w:p>
        </w:tc>
      </w:tr>
      <w:tr w:rsidR="00F303E0" w:rsidRPr="00EE5714" w14:paraId="2EAF8962" w14:textId="77777777" w:rsidTr="00CE67A6">
        <w:trPr>
          <w:trHeight w:hRule="exact" w:val="245"/>
        </w:trPr>
        <w:tc>
          <w:tcPr>
            <w:tcW w:w="1440" w:type="dxa"/>
            <w:tcBorders>
              <w:top w:val="nil"/>
              <w:left w:val="single" w:sz="8" w:space="0" w:color="000000"/>
              <w:bottom w:val="single" w:sz="4" w:space="0" w:color="000000"/>
              <w:right w:val="single" w:sz="4" w:space="0" w:color="000000"/>
            </w:tcBorders>
            <w:shd w:val="clear" w:color="auto" w:fill="auto"/>
            <w:noWrap/>
            <w:vAlign w:val="bottom"/>
            <w:hideMark/>
          </w:tcPr>
          <w:p w14:paraId="28430D88" w14:textId="77777777" w:rsidR="00F303E0" w:rsidRPr="00EE5714" w:rsidRDefault="00F303E0" w:rsidP="00851815">
            <w:pPr>
              <w:keepNext/>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800" w:type="dxa"/>
            <w:tcBorders>
              <w:top w:val="nil"/>
              <w:left w:val="nil"/>
              <w:bottom w:val="single" w:sz="4" w:space="0" w:color="808080"/>
              <w:right w:val="single" w:sz="4" w:space="0" w:color="000000"/>
            </w:tcBorders>
            <w:shd w:val="clear" w:color="auto" w:fill="auto"/>
            <w:noWrap/>
            <w:vAlign w:val="center"/>
            <w:hideMark/>
          </w:tcPr>
          <w:p w14:paraId="2F6AE36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$142.46 </w:t>
            </w:r>
          </w:p>
        </w:tc>
        <w:tc>
          <w:tcPr>
            <w:tcW w:w="1800" w:type="dxa"/>
            <w:tcBorders>
              <w:top w:val="nil"/>
              <w:left w:val="nil"/>
              <w:bottom w:val="single" w:sz="4" w:space="0" w:color="808080"/>
              <w:right w:val="single" w:sz="4" w:space="0" w:color="000000"/>
            </w:tcBorders>
            <w:shd w:val="clear" w:color="auto" w:fill="auto"/>
            <w:noWrap/>
            <w:vAlign w:val="center"/>
            <w:hideMark/>
          </w:tcPr>
          <w:p w14:paraId="32A223A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$90.49 </w:t>
            </w:r>
          </w:p>
        </w:tc>
        <w:tc>
          <w:tcPr>
            <w:tcW w:w="1800" w:type="dxa"/>
            <w:tcBorders>
              <w:top w:val="nil"/>
              <w:left w:val="nil"/>
              <w:bottom w:val="single" w:sz="4" w:space="0" w:color="808080"/>
              <w:right w:val="single" w:sz="4" w:space="0" w:color="000000"/>
            </w:tcBorders>
            <w:shd w:val="clear" w:color="auto" w:fill="auto"/>
            <w:noWrap/>
            <w:vAlign w:val="center"/>
            <w:hideMark/>
          </w:tcPr>
          <w:p w14:paraId="113EC3F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$64.30 </w:t>
            </w:r>
          </w:p>
        </w:tc>
        <w:tc>
          <w:tcPr>
            <w:tcW w:w="1710" w:type="dxa"/>
            <w:tcBorders>
              <w:top w:val="nil"/>
              <w:left w:val="nil"/>
              <w:bottom w:val="single" w:sz="4" w:space="0" w:color="808080"/>
              <w:right w:val="single" w:sz="4" w:space="0" w:color="000000"/>
            </w:tcBorders>
            <w:shd w:val="clear" w:color="auto" w:fill="auto"/>
            <w:noWrap/>
            <w:vAlign w:val="center"/>
            <w:hideMark/>
          </w:tcPr>
          <w:p w14:paraId="2FEFBB3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$58.09 </w:t>
            </w:r>
          </w:p>
        </w:tc>
        <w:tc>
          <w:tcPr>
            <w:tcW w:w="1620" w:type="dxa"/>
            <w:tcBorders>
              <w:top w:val="nil"/>
              <w:left w:val="nil"/>
              <w:bottom w:val="single" w:sz="4" w:space="0" w:color="808080"/>
              <w:right w:val="single" w:sz="8" w:space="0" w:color="000000"/>
            </w:tcBorders>
            <w:shd w:val="clear" w:color="auto" w:fill="auto"/>
            <w:noWrap/>
            <w:vAlign w:val="center"/>
            <w:hideMark/>
          </w:tcPr>
          <w:p w14:paraId="1AEDC51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$81.71 </w:t>
            </w:r>
          </w:p>
        </w:tc>
      </w:tr>
      <w:tr w:rsidR="00F303E0" w:rsidRPr="00EE5714" w14:paraId="10D9A248" w14:textId="77777777" w:rsidTr="00CE67A6">
        <w:trPr>
          <w:trHeight w:hRule="exact" w:val="245"/>
        </w:trPr>
        <w:tc>
          <w:tcPr>
            <w:tcW w:w="1440" w:type="dxa"/>
            <w:tcBorders>
              <w:top w:val="nil"/>
              <w:left w:val="single" w:sz="8" w:space="0" w:color="000000"/>
              <w:bottom w:val="single" w:sz="4" w:space="0" w:color="000000"/>
              <w:right w:val="single" w:sz="4" w:space="0" w:color="000000"/>
            </w:tcBorders>
            <w:shd w:val="clear" w:color="auto" w:fill="auto"/>
            <w:noWrap/>
            <w:vAlign w:val="bottom"/>
            <w:hideMark/>
          </w:tcPr>
          <w:p w14:paraId="1F362FA6"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800" w:type="dxa"/>
            <w:tcBorders>
              <w:top w:val="nil"/>
              <w:left w:val="nil"/>
              <w:bottom w:val="single" w:sz="4" w:space="0" w:color="808080"/>
              <w:right w:val="single" w:sz="4" w:space="0" w:color="000000"/>
            </w:tcBorders>
            <w:shd w:val="clear" w:color="auto" w:fill="auto"/>
            <w:noWrap/>
            <w:vAlign w:val="center"/>
            <w:hideMark/>
          </w:tcPr>
          <w:p w14:paraId="7CCEABD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$113.75 </w:t>
            </w:r>
          </w:p>
        </w:tc>
        <w:tc>
          <w:tcPr>
            <w:tcW w:w="1800" w:type="dxa"/>
            <w:tcBorders>
              <w:top w:val="nil"/>
              <w:left w:val="nil"/>
              <w:bottom w:val="single" w:sz="4" w:space="0" w:color="808080"/>
              <w:right w:val="single" w:sz="4" w:space="0" w:color="000000"/>
            </w:tcBorders>
            <w:shd w:val="clear" w:color="auto" w:fill="auto"/>
            <w:noWrap/>
            <w:vAlign w:val="center"/>
            <w:hideMark/>
          </w:tcPr>
          <w:p w14:paraId="1FA48F8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$82.21 </w:t>
            </w:r>
          </w:p>
        </w:tc>
        <w:tc>
          <w:tcPr>
            <w:tcW w:w="1800" w:type="dxa"/>
            <w:tcBorders>
              <w:top w:val="nil"/>
              <w:left w:val="nil"/>
              <w:bottom w:val="single" w:sz="4" w:space="0" w:color="808080"/>
              <w:right w:val="single" w:sz="4" w:space="0" w:color="000000"/>
            </w:tcBorders>
            <w:shd w:val="clear" w:color="auto" w:fill="auto"/>
            <w:noWrap/>
            <w:vAlign w:val="center"/>
            <w:hideMark/>
          </w:tcPr>
          <w:p w14:paraId="072348A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$54.77 </w:t>
            </w:r>
          </w:p>
        </w:tc>
        <w:tc>
          <w:tcPr>
            <w:tcW w:w="1710" w:type="dxa"/>
            <w:tcBorders>
              <w:top w:val="nil"/>
              <w:left w:val="nil"/>
              <w:bottom w:val="single" w:sz="4" w:space="0" w:color="808080"/>
              <w:right w:val="single" w:sz="4" w:space="0" w:color="000000"/>
            </w:tcBorders>
            <w:shd w:val="clear" w:color="auto" w:fill="auto"/>
            <w:noWrap/>
            <w:vAlign w:val="center"/>
            <w:hideMark/>
          </w:tcPr>
          <w:p w14:paraId="6FA5CB0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$55.77 </w:t>
            </w:r>
          </w:p>
        </w:tc>
        <w:tc>
          <w:tcPr>
            <w:tcW w:w="1620" w:type="dxa"/>
            <w:tcBorders>
              <w:top w:val="nil"/>
              <w:left w:val="nil"/>
              <w:bottom w:val="single" w:sz="4" w:space="0" w:color="808080"/>
              <w:right w:val="single" w:sz="8" w:space="0" w:color="000000"/>
            </w:tcBorders>
            <w:shd w:val="clear" w:color="auto" w:fill="auto"/>
            <w:noWrap/>
            <w:vAlign w:val="center"/>
            <w:hideMark/>
          </w:tcPr>
          <w:p w14:paraId="466AF8D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$87.91 </w:t>
            </w:r>
          </w:p>
        </w:tc>
      </w:tr>
      <w:tr w:rsidR="00F303E0" w:rsidRPr="00EE5714" w14:paraId="4D4F88A7" w14:textId="77777777" w:rsidTr="00CE67A6">
        <w:trPr>
          <w:trHeight w:hRule="exact" w:val="245"/>
        </w:trPr>
        <w:tc>
          <w:tcPr>
            <w:tcW w:w="1440" w:type="dxa"/>
            <w:tcBorders>
              <w:top w:val="nil"/>
              <w:left w:val="single" w:sz="8" w:space="0" w:color="000000"/>
              <w:bottom w:val="single" w:sz="4" w:space="0" w:color="000000"/>
              <w:right w:val="single" w:sz="4" w:space="0" w:color="000000"/>
            </w:tcBorders>
            <w:shd w:val="clear" w:color="auto" w:fill="auto"/>
            <w:noWrap/>
            <w:vAlign w:val="bottom"/>
            <w:hideMark/>
          </w:tcPr>
          <w:p w14:paraId="08336AE4"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800" w:type="dxa"/>
            <w:tcBorders>
              <w:top w:val="nil"/>
              <w:left w:val="nil"/>
              <w:bottom w:val="single" w:sz="4" w:space="0" w:color="808080"/>
              <w:right w:val="single" w:sz="4" w:space="0" w:color="000000"/>
            </w:tcBorders>
            <w:shd w:val="clear" w:color="auto" w:fill="auto"/>
            <w:noWrap/>
            <w:vAlign w:val="center"/>
            <w:hideMark/>
          </w:tcPr>
          <w:p w14:paraId="3798724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$160.96 </w:t>
            </w:r>
          </w:p>
        </w:tc>
        <w:tc>
          <w:tcPr>
            <w:tcW w:w="1800" w:type="dxa"/>
            <w:tcBorders>
              <w:top w:val="nil"/>
              <w:left w:val="nil"/>
              <w:bottom w:val="single" w:sz="4" w:space="0" w:color="808080"/>
              <w:right w:val="single" w:sz="4" w:space="0" w:color="000000"/>
            </w:tcBorders>
            <w:shd w:val="clear" w:color="auto" w:fill="auto"/>
            <w:noWrap/>
            <w:vAlign w:val="center"/>
            <w:hideMark/>
          </w:tcPr>
          <w:p w14:paraId="6E6542F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$150.77 </w:t>
            </w:r>
          </w:p>
        </w:tc>
        <w:tc>
          <w:tcPr>
            <w:tcW w:w="1800" w:type="dxa"/>
            <w:tcBorders>
              <w:top w:val="nil"/>
              <w:left w:val="nil"/>
              <w:bottom w:val="single" w:sz="4" w:space="0" w:color="808080"/>
              <w:right w:val="single" w:sz="4" w:space="0" w:color="000000"/>
            </w:tcBorders>
            <w:shd w:val="clear" w:color="auto" w:fill="auto"/>
            <w:noWrap/>
            <w:vAlign w:val="center"/>
            <w:hideMark/>
          </w:tcPr>
          <w:p w14:paraId="3DC705E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$170.09 </w:t>
            </w:r>
          </w:p>
        </w:tc>
        <w:tc>
          <w:tcPr>
            <w:tcW w:w="1710" w:type="dxa"/>
            <w:tcBorders>
              <w:top w:val="nil"/>
              <w:left w:val="nil"/>
              <w:bottom w:val="single" w:sz="4" w:space="0" w:color="808080"/>
              <w:right w:val="single" w:sz="4" w:space="0" w:color="000000"/>
            </w:tcBorders>
            <w:shd w:val="clear" w:color="auto" w:fill="auto"/>
            <w:noWrap/>
            <w:vAlign w:val="center"/>
            <w:hideMark/>
          </w:tcPr>
          <w:p w14:paraId="17393DD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$162.48 </w:t>
            </w:r>
          </w:p>
        </w:tc>
        <w:tc>
          <w:tcPr>
            <w:tcW w:w="1620" w:type="dxa"/>
            <w:tcBorders>
              <w:top w:val="nil"/>
              <w:left w:val="nil"/>
              <w:bottom w:val="single" w:sz="4" w:space="0" w:color="808080"/>
              <w:right w:val="single" w:sz="8" w:space="0" w:color="000000"/>
            </w:tcBorders>
            <w:shd w:val="clear" w:color="auto" w:fill="auto"/>
            <w:noWrap/>
            <w:vAlign w:val="center"/>
            <w:hideMark/>
          </w:tcPr>
          <w:p w14:paraId="0A0718D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$173.93 </w:t>
            </w:r>
          </w:p>
        </w:tc>
      </w:tr>
      <w:tr w:rsidR="00F303E0" w:rsidRPr="00EE5714" w14:paraId="21B195DC" w14:textId="77777777" w:rsidTr="00CE67A6">
        <w:trPr>
          <w:trHeight w:hRule="exact" w:val="245"/>
        </w:trPr>
        <w:tc>
          <w:tcPr>
            <w:tcW w:w="1440" w:type="dxa"/>
            <w:tcBorders>
              <w:top w:val="nil"/>
              <w:left w:val="single" w:sz="8" w:space="0" w:color="000000"/>
              <w:bottom w:val="single" w:sz="8" w:space="0" w:color="000000"/>
              <w:right w:val="single" w:sz="4" w:space="0" w:color="000000"/>
            </w:tcBorders>
            <w:shd w:val="clear" w:color="auto" w:fill="auto"/>
            <w:noWrap/>
            <w:vAlign w:val="bottom"/>
            <w:hideMark/>
          </w:tcPr>
          <w:p w14:paraId="7F3A4522" w14:textId="77777777" w:rsidR="00F303E0" w:rsidRPr="00EE5714" w:rsidRDefault="00F303E0" w:rsidP="00851815">
            <w:pP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c>
          <w:tcPr>
            <w:tcW w:w="1800" w:type="dxa"/>
            <w:tcBorders>
              <w:top w:val="nil"/>
              <w:left w:val="nil"/>
              <w:bottom w:val="single" w:sz="8" w:space="0" w:color="000000"/>
              <w:right w:val="single" w:sz="4" w:space="0" w:color="000000"/>
            </w:tcBorders>
            <w:shd w:val="clear" w:color="auto" w:fill="auto"/>
            <w:noWrap/>
            <w:vAlign w:val="center"/>
            <w:hideMark/>
          </w:tcPr>
          <w:p w14:paraId="797B1AB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800" w:type="dxa"/>
            <w:tcBorders>
              <w:top w:val="nil"/>
              <w:left w:val="nil"/>
              <w:bottom w:val="single" w:sz="8" w:space="0" w:color="000000"/>
              <w:right w:val="single" w:sz="4" w:space="0" w:color="000000"/>
            </w:tcBorders>
            <w:shd w:val="clear" w:color="auto" w:fill="auto"/>
            <w:noWrap/>
            <w:vAlign w:val="center"/>
            <w:hideMark/>
          </w:tcPr>
          <w:p w14:paraId="02BCD7F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800" w:type="dxa"/>
            <w:tcBorders>
              <w:top w:val="nil"/>
              <w:left w:val="nil"/>
              <w:bottom w:val="single" w:sz="8" w:space="0" w:color="000000"/>
              <w:right w:val="single" w:sz="4" w:space="0" w:color="000000"/>
            </w:tcBorders>
            <w:shd w:val="clear" w:color="auto" w:fill="auto"/>
            <w:noWrap/>
            <w:vAlign w:val="center"/>
            <w:hideMark/>
          </w:tcPr>
          <w:p w14:paraId="21B4FCF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$322.42 </w:t>
            </w:r>
          </w:p>
        </w:tc>
        <w:tc>
          <w:tcPr>
            <w:tcW w:w="1710" w:type="dxa"/>
            <w:tcBorders>
              <w:top w:val="nil"/>
              <w:left w:val="nil"/>
              <w:bottom w:val="single" w:sz="8" w:space="0" w:color="000000"/>
              <w:right w:val="single" w:sz="4" w:space="0" w:color="000000"/>
            </w:tcBorders>
            <w:shd w:val="clear" w:color="auto" w:fill="auto"/>
            <w:noWrap/>
            <w:vAlign w:val="center"/>
            <w:hideMark/>
          </w:tcPr>
          <w:p w14:paraId="37593CF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$325.04 </w:t>
            </w:r>
          </w:p>
        </w:tc>
        <w:tc>
          <w:tcPr>
            <w:tcW w:w="1620" w:type="dxa"/>
            <w:tcBorders>
              <w:top w:val="nil"/>
              <w:left w:val="nil"/>
              <w:bottom w:val="single" w:sz="8" w:space="0" w:color="000000"/>
              <w:right w:val="single" w:sz="8" w:space="0" w:color="000000"/>
            </w:tcBorders>
            <w:shd w:val="clear" w:color="auto" w:fill="auto"/>
            <w:noWrap/>
            <w:vAlign w:val="center"/>
            <w:hideMark/>
          </w:tcPr>
          <w:p w14:paraId="75859BA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$118.76 </w:t>
            </w:r>
          </w:p>
        </w:tc>
      </w:tr>
    </w:tbl>
    <w:p w14:paraId="34CEEF51" w14:textId="77777777" w:rsidR="00F303E0" w:rsidRPr="00EE5714" w:rsidRDefault="00F303E0" w:rsidP="00F303E0">
      <w:pPr>
        <w:pStyle w:val="NoSpacing"/>
        <w:rPr>
          <w:rFonts w:cs="Times New Roman"/>
          <w:b/>
          <w:color w:val="000000" w:themeColor="text1"/>
          <w:szCs w:val="26"/>
        </w:rPr>
      </w:pPr>
    </w:p>
    <w:p w14:paraId="01BFBA77" w14:textId="77777777" w:rsidR="00F303E0" w:rsidRPr="00EE5714" w:rsidRDefault="00F303E0" w:rsidP="00F303E0">
      <w:pPr>
        <w:pStyle w:val="NoSpacing"/>
        <w:rPr>
          <w:rFonts w:cs="Times New Roman"/>
          <w:b/>
          <w:color w:val="000000" w:themeColor="text1"/>
          <w:szCs w:val="26"/>
        </w:rPr>
      </w:pPr>
    </w:p>
    <w:p w14:paraId="33611803" w14:textId="77777777" w:rsidR="00F303E0" w:rsidRPr="00EE5714" w:rsidRDefault="00F303E0" w:rsidP="00F303E0">
      <w:pPr>
        <w:pStyle w:val="NoSpacing"/>
        <w:rPr>
          <w:rFonts w:cs="Times New Roman"/>
          <w:szCs w:val="26"/>
        </w:rPr>
      </w:pPr>
      <w:r w:rsidRPr="00EE5714">
        <w:rPr>
          <w:rFonts w:cs="Times New Roman"/>
          <w:b/>
          <w:color w:val="2F5496" w:themeColor="accent1" w:themeShade="BF"/>
          <w:szCs w:val="26"/>
        </w:rPr>
        <w:br w:type="page"/>
      </w:r>
    </w:p>
    <w:p w14:paraId="2EE2E816" w14:textId="2405B306" w:rsidR="00F303E0" w:rsidRPr="00EE5714" w:rsidRDefault="00F303E0" w:rsidP="00F303E0">
      <w:pPr>
        <w:pStyle w:val="Heading2"/>
      </w:pPr>
      <w:bookmarkStart w:id="63" w:name="_Toc533674875"/>
      <w:bookmarkStart w:id="64" w:name="_Toc534547880"/>
      <w:r w:rsidRPr="00EE5714">
        <w:lastRenderedPageBreak/>
        <w:t xml:space="preserve">Appendix </w:t>
      </w:r>
      <w:r w:rsidR="00F857A1" w:rsidRPr="00EE5714">
        <w:t>5</w:t>
      </w:r>
      <w:r w:rsidRPr="00EE5714">
        <w:t xml:space="preserve"> – Percentage of CAP Bills Paid In-Full</w:t>
      </w:r>
      <w:bookmarkEnd w:id="63"/>
      <w:bookmarkEnd w:id="64"/>
    </w:p>
    <w:p w14:paraId="51EE58ED" w14:textId="77777777" w:rsidR="00F303E0" w:rsidRPr="00EE5714" w:rsidRDefault="00F303E0" w:rsidP="00F303E0">
      <w:pPr>
        <w:keepNext/>
        <w:spacing w:before="100" w:beforeAutospacing="1" w:after="100" w:afterAutospacing="1"/>
        <w:rPr>
          <w:rFonts w:ascii="Times New Roman" w:eastAsia="Times New Roman" w:hAnsi="Times New Roman" w:cs="Times New Roman"/>
          <w:i/>
          <w:sz w:val="26"/>
          <w:szCs w:val="26"/>
        </w:rPr>
      </w:pPr>
      <w:r w:rsidRPr="00EE5714">
        <w:rPr>
          <w:rFonts w:ascii="Times New Roman" w:eastAsia="Times New Roman" w:hAnsi="Times New Roman" w:cs="Times New Roman"/>
          <w:i/>
          <w:sz w:val="26"/>
          <w:szCs w:val="26"/>
        </w:rPr>
        <w:t xml:space="preserve">Appendix </w:t>
      </w:r>
      <w:r w:rsidR="00F857A1" w:rsidRPr="00EE5714">
        <w:rPr>
          <w:rFonts w:ascii="Times New Roman" w:eastAsia="Times New Roman" w:hAnsi="Times New Roman" w:cs="Times New Roman"/>
          <w:i/>
          <w:sz w:val="26"/>
          <w:szCs w:val="26"/>
        </w:rPr>
        <w:t>5</w:t>
      </w:r>
      <w:r w:rsidRPr="00EE5714">
        <w:rPr>
          <w:rFonts w:ascii="Times New Roman" w:eastAsia="Times New Roman" w:hAnsi="Times New Roman" w:cs="Times New Roman"/>
          <w:i/>
          <w:sz w:val="26"/>
          <w:szCs w:val="26"/>
        </w:rPr>
        <w:t>.A: Table 6-1 Percentage of NGDC CAP Bills Paid In-Full</w:t>
      </w:r>
    </w:p>
    <w:p w14:paraId="3FD65A22" w14:textId="77777777" w:rsidR="00F303E0" w:rsidRPr="00EE5714" w:rsidRDefault="00F303E0" w:rsidP="00F303E0">
      <w:pPr>
        <w:pStyle w:val="NoSpacing"/>
        <w:keepNext/>
        <w:rPr>
          <w:rFonts w:cs="Times New Roman"/>
          <w:szCs w:val="26"/>
        </w:rPr>
      </w:pPr>
      <w:bookmarkStart w:id="65" w:name="_Hlk526403540"/>
      <w:r w:rsidRPr="00EE5714">
        <w:rPr>
          <w:rFonts w:eastAsia="Times New Roman" w:cs="Times New Roman"/>
          <w:szCs w:val="26"/>
        </w:rPr>
        <w:t xml:space="preserve">The percentage of NGDC CAP bills paid in full for all FPIG levels for the period from 2012 through 2016.  </w:t>
      </w:r>
    </w:p>
    <w:bookmarkEnd w:id="65"/>
    <w:p w14:paraId="1D4CA29F" w14:textId="77777777" w:rsidR="00F303E0" w:rsidRPr="00EE5714" w:rsidRDefault="00F303E0" w:rsidP="00F303E0">
      <w:pPr>
        <w:pStyle w:val="NoSpacing"/>
        <w:keepNext/>
        <w:rPr>
          <w:rFonts w:cs="Times New Roman"/>
          <w:szCs w:val="26"/>
        </w:rPr>
      </w:pPr>
    </w:p>
    <w:p w14:paraId="20076031" w14:textId="77777777" w:rsidR="00F303E0" w:rsidRPr="00EE5714" w:rsidRDefault="00F303E0" w:rsidP="00F303E0">
      <w:pPr>
        <w:pStyle w:val="NoSpacing"/>
        <w:keepNext/>
        <w:rPr>
          <w:rFonts w:cs="Times New Roman"/>
          <w:szCs w:val="26"/>
        </w:rPr>
      </w:pPr>
      <w:r w:rsidRPr="00EE5714">
        <w:rPr>
          <w:rFonts w:cs="Times New Roman"/>
          <w:szCs w:val="26"/>
        </w:rPr>
        <w:t xml:space="preserve">Appendix </w:t>
      </w:r>
      <w:r w:rsidR="00F857A1" w:rsidRPr="00EE5714">
        <w:rPr>
          <w:rFonts w:cs="Times New Roman"/>
          <w:szCs w:val="26"/>
        </w:rPr>
        <w:t>5</w:t>
      </w:r>
      <w:r w:rsidRPr="00EE5714">
        <w:rPr>
          <w:rFonts w:cs="Times New Roman"/>
          <w:szCs w:val="26"/>
        </w:rPr>
        <w:t xml:space="preserve">.A.1: </w:t>
      </w:r>
      <w:r w:rsidRPr="00EE5714">
        <w:rPr>
          <w:rFonts w:eastAsia="Times New Roman" w:cs="Times New Roman"/>
          <w:b/>
          <w:bCs/>
          <w:color w:val="000000"/>
          <w:szCs w:val="26"/>
        </w:rPr>
        <w:t>Percentage of NGDC CAP Bills Paid In-Full</w:t>
      </w:r>
    </w:p>
    <w:tbl>
      <w:tblPr>
        <w:tblW w:w="1017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40"/>
        <w:gridCol w:w="1800"/>
        <w:gridCol w:w="1800"/>
        <w:gridCol w:w="1800"/>
        <w:gridCol w:w="1710"/>
        <w:gridCol w:w="1620"/>
      </w:tblGrid>
      <w:tr w:rsidR="00F303E0" w:rsidRPr="00EE5714" w14:paraId="0D6466F5" w14:textId="77777777" w:rsidTr="00CE67A6">
        <w:trPr>
          <w:trHeight w:val="331"/>
        </w:trPr>
        <w:tc>
          <w:tcPr>
            <w:tcW w:w="1440" w:type="dxa"/>
            <w:vMerge w:val="restart"/>
            <w:shd w:val="clear" w:color="auto" w:fill="auto"/>
            <w:noWrap/>
            <w:vAlign w:val="center"/>
            <w:hideMark/>
          </w:tcPr>
          <w:p w14:paraId="5601F4A4" w14:textId="77777777" w:rsidR="00F303E0" w:rsidRPr="00EE5714" w:rsidRDefault="00F303E0" w:rsidP="00CE67A6">
            <w:pPr>
              <w:keepNext/>
              <w:spacing w:after="0" w:line="240" w:lineRule="auto"/>
              <w:jc w:val="center"/>
              <w:rPr>
                <w:rFonts w:ascii="Calibri" w:eastAsia="Times New Roman" w:hAnsi="Calibri" w:cs="Calibri"/>
                <w:b/>
                <w:bCs/>
                <w:color w:val="000000"/>
              </w:rPr>
            </w:pPr>
          </w:p>
        </w:tc>
        <w:tc>
          <w:tcPr>
            <w:tcW w:w="8730" w:type="dxa"/>
            <w:gridSpan w:val="5"/>
            <w:tcBorders>
              <w:bottom w:val="single" w:sz="8" w:space="0" w:color="000000"/>
            </w:tcBorders>
            <w:shd w:val="clear" w:color="000000" w:fill="D9D9D9" w:themeFill="background1" w:themeFillShade="D9"/>
            <w:noWrap/>
            <w:vAlign w:val="bottom"/>
            <w:hideMark/>
          </w:tcPr>
          <w:p w14:paraId="2413244D" w14:textId="77777777" w:rsidR="00F303E0" w:rsidRPr="00EE5714" w:rsidRDefault="00F303E0" w:rsidP="00CE67A6">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rPr>
              <w:t>Percentage of NGDC CAP Bills Paid In-Full</w:t>
            </w:r>
            <w:r w:rsidRPr="00EE5714">
              <w:rPr>
                <w:rFonts w:ascii="Calibri" w:eastAsia="Times New Roman" w:hAnsi="Calibri" w:cs="Calibri"/>
                <w:b/>
                <w:bCs/>
                <w:color w:val="000000"/>
                <w:sz w:val="20"/>
                <w:szCs w:val="20"/>
              </w:rPr>
              <w:t xml:space="preserve">  </w:t>
            </w:r>
          </w:p>
        </w:tc>
      </w:tr>
      <w:tr w:rsidR="00F303E0" w:rsidRPr="00EE5714" w14:paraId="336035C5" w14:textId="77777777" w:rsidTr="00CE67A6">
        <w:trPr>
          <w:trHeight w:val="72"/>
        </w:trPr>
        <w:tc>
          <w:tcPr>
            <w:tcW w:w="1440" w:type="dxa"/>
            <w:vMerge/>
            <w:tcBorders>
              <w:bottom w:val="single" w:sz="8" w:space="0" w:color="000000"/>
            </w:tcBorders>
            <w:shd w:val="clear" w:color="auto" w:fill="auto"/>
            <w:vAlign w:val="center"/>
            <w:hideMark/>
          </w:tcPr>
          <w:p w14:paraId="5FCE7555" w14:textId="77777777" w:rsidR="00F303E0" w:rsidRPr="00EE5714" w:rsidRDefault="00F303E0" w:rsidP="00CE67A6">
            <w:pPr>
              <w:keepNext/>
              <w:spacing w:after="0" w:line="240" w:lineRule="auto"/>
              <w:rPr>
                <w:rFonts w:ascii="Calibri" w:eastAsia="Times New Roman" w:hAnsi="Calibri" w:cs="Calibri"/>
                <w:b/>
                <w:bCs/>
                <w:color w:val="000000"/>
              </w:rPr>
            </w:pPr>
          </w:p>
        </w:tc>
        <w:tc>
          <w:tcPr>
            <w:tcW w:w="1800" w:type="dxa"/>
            <w:tcBorders>
              <w:bottom w:val="single" w:sz="8" w:space="0" w:color="000000"/>
            </w:tcBorders>
            <w:shd w:val="clear" w:color="000000" w:fill="F2F2F2" w:themeFill="background1" w:themeFillShade="F2"/>
            <w:noWrap/>
            <w:vAlign w:val="bottom"/>
            <w:hideMark/>
          </w:tcPr>
          <w:p w14:paraId="0E781DCA"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2012</w:t>
            </w:r>
          </w:p>
        </w:tc>
        <w:tc>
          <w:tcPr>
            <w:tcW w:w="1800" w:type="dxa"/>
            <w:tcBorders>
              <w:bottom w:val="single" w:sz="8" w:space="0" w:color="000000"/>
            </w:tcBorders>
            <w:shd w:val="clear" w:color="000000" w:fill="F2F2F2" w:themeFill="background1" w:themeFillShade="F2"/>
            <w:noWrap/>
            <w:vAlign w:val="bottom"/>
            <w:hideMark/>
          </w:tcPr>
          <w:p w14:paraId="311B950B"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2013</w:t>
            </w:r>
          </w:p>
        </w:tc>
        <w:tc>
          <w:tcPr>
            <w:tcW w:w="1800" w:type="dxa"/>
            <w:tcBorders>
              <w:bottom w:val="single" w:sz="8" w:space="0" w:color="000000"/>
            </w:tcBorders>
            <w:shd w:val="clear" w:color="000000" w:fill="F2F2F2" w:themeFill="background1" w:themeFillShade="F2"/>
            <w:noWrap/>
            <w:vAlign w:val="bottom"/>
            <w:hideMark/>
          </w:tcPr>
          <w:p w14:paraId="0A31857D"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2014</w:t>
            </w:r>
          </w:p>
        </w:tc>
        <w:tc>
          <w:tcPr>
            <w:tcW w:w="1710" w:type="dxa"/>
            <w:tcBorders>
              <w:bottom w:val="single" w:sz="8" w:space="0" w:color="000000"/>
            </w:tcBorders>
            <w:shd w:val="clear" w:color="000000" w:fill="F2F2F2" w:themeFill="background1" w:themeFillShade="F2"/>
          </w:tcPr>
          <w:p w14:paraId="28DAD29F"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2015</w:t>
            </w:r>
          </w:p>
        </w:tc>
        <w:tc>
          <w:tcPr>
            <w:tcW w:w="1620" w:type="dxa"/>
            <w:tcBorders>
              <w:bottom w:val="single" w:sz="8" w:space="0" w:color="000000"/>
            </w:tcBorders>
            <w:shd w:val="clear" w:color="000000" w:fill="F2F2F2" w:themeFill="background1" w:themeFillShade="F2"/>
          </w:tcPr>
          <w:p w14:paraId="6DCED8CE"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2016</w:t>
            </w:r>
          </w:p>
        </w:tc>
      </w:tr>
      <w:tr w:rsidR="00F303E0" w:rsidRPr="00EE5714" w14:paraId="36983D86" w14:textId="77777777" w:rsidTr="00CE67A6">
        <w:trPr>
          <w:trHeight w:hRule="exact" w:val="245"/>
        </w:trPr>
        <w:tc>
          <w:tcPr>
            <w:tcW w:w="1440" w:type="dxa"/>
            <w:shd w:val="clear" w:color="auto" w:fill="auto"/>
            <w:vAlign w:val="center"/>
          </w:tcPr>
          <w:p w14:paraId="0CFBA5CE" w14:textId="77777777" w:rsidR="00F303E0" w:rsidRPr="00EE5714" w:rsidRDefault="00F303E0" w:rsidP="00CE67A6">
            <w:pPr>
              <w:keepNext/>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Columbia</w:t>
            </w:r>
          </w:p>
        </w:tc>
        <w:tc>
          <w:tcPr>
            <w:tcW w:w="1800" w:type="dxa"/>
            <w:shd w:val="clear" w:color="auto" w:fill="auto"/>
            <w:noWrap/>
            <w:vAlign w:val="center"/>
          </w:tcPr>
          <w:p w14:paraId="2D147E25" w14:textId="77777777" w:rsidR="00F303E0" w:rsidRPr="00EE5714" w:rsidRDefault="00F303E0" w:rsidP="00CE67A6">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59.01%</w:t>
            </w:r>
          </w:p>
        </w:tc>
        <w:tc>
          <w:tcPr>
            <w:tcW w:w="1800" w:type="dxa"/>
            <w:shd w:val="clear" w:color="auto" w:fill="auto"/>
            <w:noWrap/>
            <w:vAlign w:val="center"/>
          </w:tcPr>
          <w:p w14:paraId="06380EA9" w14:textId="77777777" w:rsidR="00F303E0" w:rsidRPr="00EE5714" w:rsidRDefault="00F303E0" w:rsidP="00CE67A6">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58.10%</w:t>
            </w:r>
          </w:p>
        </w:tc>
        <w:tc>
          <w:tcPr>
            <w:tcW w:w="1800" w:type="dxa"/>
            <w:shd w:val="clear" w:color="auto" w:fill="auto"/>
            <w:noWrap/>
            <w:vAlign w:val="center"/>
          </w:tcPr>
          <w:p w14:paraId="2F972C3B" w14:textId="77777777" w:rsidR="00F303E0" w:rsidRPr="00EE5714" w:rsidRDefault="00F303E0" w:rsidP="00CE67A6">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57.48%</w:t>
            </w:r>
          </w:p>
        </w:tc>
        <w:tc>
          <w:tcPr>
            <w:tcW w:w="1710" w:type="dxa"/>
            <w:shd w:val="clear" w:color="auto" w:fill="auto"/>
            <w:vAlign w:val="center"/>
          </w:tcPr>
          <w:p w14:paraId="5588AE2C" w14:textId="77777777" w:rsidR="00F303E0" w:rsidRPr="00EE5714" w:rsidRDefault="00F303E0" w:rsidP="00CE67A6">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59.08%</w:t>
            </w:r>
          </w:p>
        </w:tc>
        <w:tc>
          <w:tcPr>
            <w:tcW w:w="1620" w:type="dxa"/>
            <w:shd w:val="clear" w:color="auto" w:fill="auto"/>
            <w:vAlign w:val="center"/>
          </w:tcPr>
          <w:p w14:paraId="778EA68C" w14:textId="77777777" w:rsidR="00F303E0" w:rsidRPr="00EE5714" w:rsidRDefault="00F303E0" w:rsidP="00CE67A6">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60.04%</w:t>
            </w:r>
          </w:p>
        </w:tc>
      </w:tr>
      <w:tr w:rsidR="00F303E0" w:rsidRPr="00EE5714" w14:paraId="3EA0D5B7" w14:textId="77777777" w:rsidTr="00CE67A6">
        <w:trPr>
          <w:trHeight w:hRule="exact" w:val="245"/>
        </w:trPr>
        <w:tc>
          <w:tcPr>
            <w:tcW w:w="1440" w:type="dxa"/>
            <w:shd w:val="clear" w:color="auto" w:fill="auto"/>
            <w:vAlign w:val="center"/>
          </w:tcPr>
          <w:p w14:paraId="097D107B" w14:textId="77777777" w:rsidR="00F303E0" w:rsidRPr="00EE5714" w:rsidRDefault="00F303E0" w:rsidP="00CE67A6">
            <w:pPr>
              <w:keepNext/>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NFG</w:t>
            </w:r>
          </w:p>
        </w:tc>
        <w:tc>
          <w:tcPr>
            <w:tcW w:w="1800" w:type="dxa"/>
            <w:shd w:val="clear" w:color="auto" w:fill="auto"/>
            <w:noWrap/>
            <w:vAlign w:val="center"/>
          </w:tcPr>
          <w:p w14:paraId="1DEDE726" w14:textId="77777777" w:rsidR="00F303E0" w:rsidRPr="00EE5714" w:rsidRDefault="00F303E0" w:rsidP="00CE67A6">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61.65%</w:t>
            </w:r>
          </w:p>
        </w:tc>
        <w:tc>
          <w:tcPr>
            <w:tcW w:w="1800" w:type="dxa"/>
            <w:shd w:val="clear" w:color="auto" w:fill="auto"/>
            <w:noWrap/>
            <w:vAlign w:val="center"/>
          </w:tcPr>
          <w:p w14:paraId="4AC95394" w14:textId="77777777" w:rsidR="00F303E0" w:rsidRPr="00EE5714" w:rsidRDefault="00F303E0" w:rsidP="00CE67A6">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61.54%</w:t>
            </w:r>
          </w:p>
        </w:tc>
        <w:tc>
          <w:tcPr>
            <w:tcW w:w="1800" w:type="dxa"/>
            <w:shd w:val="clear" w:color="auto" w:fill="auto"/>
            <w:noWrap/>
            <w:vAlign w:val="center"/>
          </w:tcPr>
          <w:p w14:paraId="28982624" w14:textId="77777777" w:rsidR="00F303E0" w:rsidRPr="00EE5714" w:rsidRDefault="00F303E0" w:rsidP="00CE67A6">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60.82%</w:t>
            </w:r>
          </w:p>
        </w:tc>
        <w:tc>
          <w:tcPr>
            <w:tcW w:w="1710" w:type="dxa"/>
            <w:shd w:val="clear" w:color="auto" w:fill="auto"/>
            <w:vAlign w:val="center"/>
          </w:tcPr>
          <w:p w14:paraId="6FFBF097" w14:textId="77777777" w:rsidR="00F303E0" w:rsidRPr="00EE5714" w:rsidRDefault="00F303E0" w:rsidP="00CE67A6">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62.61%</w:t>
            </w:r>
          </w:p>
        </w:tc>
        <w:tc>
          <w:tcPr>
            <w:tcW w:w="1620" w:type="dxa"/>
            <w:shd w:val="clear" w:color="auto" w:fill="auto"/>
            <w:vAlign w:val="center"/>
          </w:tcPr>
          <w:p w14:paraId="2F49D5EE" w14:textId="77777777" w:rsidR="00F303E0" w:rsidRPr="00EE5714" w:rsidRDefault="00F303E0" w:rsidP="00CE67A6">
            <w:pPr>
              <w:keepNext/>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67.31%</w:t>
            </w:r>
          </w:p>
        </w:tc>
      </w:tr>
      <w:tr w:rsidR="00F303E0" w:rsidRPr="00EE5714" w14:paraId="22A93FB8" w14:textId="77777777" w:rsidTr="00CE67A6">
        <w:trPr>
          <w:trHeight w:hRule="exact" w:val="245"/>
        </w:trPr>
        <w:tc>
          <w:tcPr>
            <w:tcW w:w="1440" w:type="dxa"/>
            <w:shd w:val="clear" w:color="auto" w:fill="auto"/>
            <w:vAlign w:val="center"/>
          </w:tcPr>
          <w:p w14:paraId="3B33A78B"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 xml:space="preserve">PECO Gas </w:t>
            </w:r>
          </w:p>
        </w:tc>
        <w:tc>
          <w:tcPr>
            <w:tcW w:w="1800" w:type="dxa"/>
            <w:shd w:val="clear" w:color="auto" w:fill="auto"/>
            <w:noWrap/>
            <w:vAlign w:val="center"/>
          </w:tcPr>
          <w:p w14:paraId="47AF6613"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63.19%</w:t>
            </w:r>
          </w:p>
        </w:tc>
        <w:tc>
          <w:tcPr>
            <w:tcW w:w="1800" w:type="dxa"/>
            <w:shd w:val="clear" w:color="auto" w:fill="auto"/>
            <w:noWrap/>
            <w:vAlign w:val="center"/>
          </w:tcPr>
          <w:p w14:paraId="2EEBB3EE"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62.55%</w:t>
            </w:r>
          </w:p>
        </w:tc>
        <w:tc>
          <w:tcPr>
            <w:tcW w:w="1800" w:type="dxa"/>
            <w:shd w:val="clear" w:color="auto" w:fill="auto"/>
            <w:noWrap/>
            <w:vAlign w:val="center"/>
          </w:tcPr>
          <w:p w14:paraId="236280D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59.73%</w:t>
            </w:r>
          </w:p>
        </w:tc>
        <w:tc>
          <w:tcPr>
            <w:tcW w:w="1710" w:type="dxa"/>
            <w:shd w:val="clear" w:color="auto" w:fill="auto"/>
            <w:vAlign w:val="center"/>
          </w:tcPr>
          <w:p w14:paraId="14F46CC1"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58.86%</w:t>
            </w:r>
          </w:p>
        </w:tc>
        <w:tc>
          <w:tcPr>
            <w:tcW w:w="1620" w:type="dxa"/>
            <w:shd w:val="clear" w:color="auto" w:fill="auto"/>
            <w:vAlign w:val="center"/>
          </w:tcPr>
          <w:p w14:paraId="7FFCDCA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61.52%</w:t>
            </w:r>
          </w:p>
        </w:tc>
      </w:tr>
      <w:tr w:rsidR="00F303E0" w:rsidRPr="00EE5714" w14:paraId="3AEBD78F" w14:textId="77777777" w:rsidTr="00CE67A6">
        <w:trPr>
          <w:trHeight w:hRule="exact" w:val="245"/>
        </w:trPr>
        <w:tc>
          <w:tcPr>
            <w:tcW w:w="1440" w:type="dxa"/>
            <w:shd w:val="clear" w:color="auto" w:fill="auto"/>
            <w:vAlign w:val="center"/>
          </w:tcPr>
          <w:p w14:paraId="51FE3BE7"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 xml:space="preserve">Peoples </w:t>
            </w:r>
          </w:p>
        </w:tc>
        <w:tc>
          <w:tcPr>
            <w:tcW w:w="1800" w:type="dxa"/>
            <w:shd w:val="clear" w:color="auto" w:fill="auto"/>
            <w:noWrap/>
            <w:vAlign w:val="center"/>
          </w:tcPr>
          <w:p w14:paraId="214CE064"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71.18%</w:t>
            </w:r>
          </w:p>
        </w:tc>
        <w:tc>
          <w:tcPr>
            <w:tcW w:w="1800" w:type="dxa"/>
            <w:shd w:val="clear" w:color="auto" w:fill="auto"/>
            <w:noWrap/>
            <w:vAlign w:val="center"/>
          </w:tcPr>
          <w:p w14:paraId="1D491D25"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63.65%</w:t>
            </w:r>
          </w:p>
        </w:tc>
        <w:tc>
          <w:tcPr>
            <w:tcW w:w="1800" w:type="dxa"/>
            <w:shd w:val="clear" w:color="auto" w:fill="auto"/>
            <w:noWrap/>
            <w:vAlign w:val="center"/>
          </w:tcPr>
          <w:p w14:paraId="18EFCC7E"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57.83%</w:t>
            </w:r>
          </w:p>
        </w:tc>
        <w:tc>
          <w:tcPr>
            <w:tcW w:w="1710" w:type="dxa"/>
            <w:shd w:val="clear" w:color="auto" w:fill="auto"/>
            <w:vAlign w:val="center"/>
          </w:tcPr>
          <w:p w14:paraId="4284AC27"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63.82%</w:t>
            </w:r>
          </w:p>
        </w:tc>
        <w:tc>
          <w:tcPr>
            <w:tcW w:w="1620" w:type="dxa"/>
            <w:shd w:val="clear" w:color="auto" w:fill="auto"/>
            <w:vAlign w:val="center"/>
          </w:tcPr>
          <w:p w14:paraId="76CD3EB7"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64.10%</w:t>
            </w:r>
          </w:p>
        </w:tc>
      </w:tr>
      <w:tr w:rsidR="00F303E0" w:rsidRPr="00EE5714" w14:paraId="349950C1" w14:textId="77777777" w:rsidTr="00CE67A6">
        <w:trPr>
          <w:trHeight w:hRule="exact" w:val="245"/>
        </w:trPr>
        <w:tc>
          <w:tcPr>
            <w:tcW w:w="1440" w:type="dxa"/>
            <w:shd w:val="clear" w:color="auto" w:fill="auto"/>
            <w:vAlign w:val="center"/>
          </w:tcPr>
          <w:p w14:paraId="04B96424"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 EQT</w:t>
            </w:r>
          </w:p>
        </w:tc>
        <w:tc>
          <w:tcPr>
            <w:tcW w:w="1800" w:type="dxa"/>
            <w:shd w:val="clear" w:color="auto" w:fill="auto"/>
            <w:noWrap/>
            <w:vAlign w:val="center"/>
          </w:tcPr>
          <w:p w14:paraId="57436EBA"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69.99%</w:t>
            </w:r>
          </w:p>
        </w:tc>
        <w:tc>
          <w:tcPr>
            <w:tcW w:w="1800" w:type="dxa"/>
            <w:shd w:val="clear" w:color="auto" w:fill="auto"/>
            <w:noWrap/>
            <w:vAlign w:val="center"/>
          </w:tcPr>
          <w:p w14:paraId="50FBB18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75.53%</w:t>
            </w:r>
          </w:p>
        </w:tc>
        <w:tc>
          <w:tcPr>
            <w:tcW w:w="1800" w:type="dxa"/>
            <w:shd w:val="clear" w:color="auto" w:fill="auto"/>
            <w:noWrap/>
            <w:vAlign w:val="center"/>
          </w:tcPr>
          <w:p w14:paraId="62D59D3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73.96%</w:t>
            </w:r>
          </w:p>
        </w:tc>
        <w:tc>
          <w:tcPr>
            <w:tcW w:w="1710" w:type="dxa"/>
            <w:shd w:val="clear" w:color="auto" w:fill="auto"/>
            <w:vAlign w:val="center"/>
          </w:tcPr>
          <w:p w14:paraId="37FC6041"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72.94%</w:t>
            </w:r>
          </w:p>
        </w:tc>
        <w:tc>
          <w:tcPr>
            <w:tcW w:w="1620" w:type="dxa"/>
            <w:shd w:val="clear" w:color="auto" w:fill="auto"/>
            <w:vAlign w:val="center"/>
          </w:tcPr>
          <w:p w14:paraId="68057654"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73.31%</w:t>
            </w:r>
          </w:p>
        </w:tc>
      </w:tr>
      <w:tr w:rsidR="00F303E0" w:rsidRPr="00EE5714" w14:paraId="22C824EE" w14:textId="77777777" w:rsidTr="00CE67A6">
        <w:trPr>
          <w:trHeight w:hRule="exact" w:val="245"/>
        </w:trPr>
        <w:tc>
          <w:tcPr>
            <w:tcW w:w="1440" w:type="dxa"/>
            <w:shd w:val="clear" w:color="auto" w:fill="auto"/>
            <w:vAlign w:val="center"/>
          </w:tcPr>
          <w:p w14:paraId="78BBC697"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PGW</w:t>
            </w:r>
          </w:p>
        </w:tc>
        <w:tc>
          <w:tcPr>
            <w:tcW w:w="1800" w:type="dxa"/>
            <w:shd w:val="clear" w:color="auto" w:fill="auto"/>
            <w:noWrap/>
            <w:vAlign w:val="center"/>
          </w:tcPr>
          <w:p w14:paraId="56BE7DD3"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57.52%</w:t>
            </w:r>
          </w:p>
        </w:tc>
        <w:tc>
          <w:tcPr>
            <w:tcW w:w="1800" w:type="dxa"/>
            <w:shd w:val="clear" w:color="auto" w:fill="auto"/>
            <w:noWrap/>
            <w:vAlign w:val="center"/>
          </w:tcPr>
          <w:p w14:paraId="64EDE1F0"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55.23%</w:t>
            </w:r>
          </w:p>
        </w:tc>
        <w:tc>
          <w:tcPr>
            <w:tcW w:w="1800" w:type="dxa"/>
            <w:shd w:val="clear" w:color="auto" w:fill="auto"/>
            <w:noWrap/>
            <w:vAlign w:val="center"/>
          </w:tcPr>
          <w:p w14:paraId="1501AFAC"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57.82%</w:t>
            </w:r>
          </w:p>
        </w:tc>
        <w:tc>
          <w:tcPr>
            <w:tcW w:w="1710" w:type="dxa"/>
            <w:shd w:val="clear" w:color="auto" w:fill="auto"/>
            <w:vAlign w:val="center"/>
          </w:tcPr>
          <w:p w14:paraId="7CBD1A25"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59.73%</w:t>
            </w:r>
          </w:p>
        </w:tc>
        <w:tc>
          <w:tcPr>
            <w:tcW w:w="1620" w:type="dxa"/>
            <w:shd w:val="clear" w:color="auto" w:fill="auto"/>
            <w:vAlign w:val="center"/>
          </w:tcPr>
          <w:p w14:paraId="7DA0F446"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62.08%</w:t>
            </w:r>
          </w:p>
        </w:tc>
      </w:tr>
      <w:tr w:rsidR="00F303E0" w:rsidRPr="00EE5714" w14:paraId="28C41535" w14:textId="77777777" w:rsidTr="00CE67A6">
        <w:trPr>
          <w:trHeight w:hRule="exact" w:val="245"/>
        </w:trPr>
        <w:tc>
          <w:tcPr>
            <w:tcW w:w="1440" w:type="dxa"/>
            <w:shd w:val="clear" w:color="auto" w:fill="auto"/>
            <w:vAlign w:val="center"/>
          </w:tcPr>
          <w:p w14:paraId="733D8FE8"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Gas</w:t>
            </w:r>
          </w:p>
        </w:tc>
        <w:tc>
          <w:tcPr>
            <w:tcW w:w="1800" w:type="dxa"/>
            <w:shd w:val="clear" w:color="auto" w:fill="auto"/>
            <w:noWrap/>
            <w:vAlign w:val="center"/>
          </w:tcPr>
          <w:p w14:paraId="1BC6A22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89.94%</w:t>
            </w:r>
          </w:p>
        </w:tc>
        <w:tc>
          <w:tcPr>
            <w:tcW w:w="1800" w:type="dxa"/>
            <w:shd w:val="clear" w:color="auto" w:fill="auto"/>
            <w:noWrap/>
            <w:vAlign w:val="center"/>
          </w:tcPr>
          <w:p w14:paraId="2E46A6BA"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90.85%</w:t>
            </w:r>
          </w:p>
        </w:tc>
        <w:tc>
          <w:tcPr>
            <w:tcW w:w="1800" w:type="dxa"/>
            <w:shd w:val="clear" w:color="auto" w:fill="auto"/>
            <w:noWrap/>
            <w:vAlign w:val="center"/>
          </w:tcPr>
          <w:p w14:paraId="67770622"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93.41%</w:t>
            </w:r>
          </w:p>
        </w:tc>
        <w:tc>
          <w:tcPr>
            <w:tcW w:w="1710" w:type="dxa"/>
            <w:shd w:val="clear" w:color="auto" w:fill="auto"/>
            <w:vAlign w:val="center"/>
          </w:tcPr>
          <w:p w14:paraId="5C333B03"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89.41%</w:t>
            </w:r>
          </w:p>
        </w:tc>
        <w:tc>
          <w:tcPr>
            <w:tcW w:w="1620" w:type="dxa"/>
            <w:shd w:val="clear" w:color="auto" w:fill="auto"/>
            <w:vAlign w:val="center"/>
          </w:tcPr>
          <w:p w14:paraId="346BDB2D" w14:textId="77777777" w:rsidR="00F303E0" w:rsidRPr="00EE5714" w:rsidRDefault="00F303E0" w:rsidP="00851815">
            <w:pPr>
              <w:keepNext/>
              <w:jc w:val="center"/>
              <w:rPr>
                <w:rFonts w:ascii="Calibri" w:hAnsi="Calibri" w:cs="Calibri"/>
                <w:color w:val="000000"/>
                <w:sz w:val="21"/>
                <w:szCs w:val="21"/>
              </w:rPr>
            </w:pPr>
            <w:r w:rsidRPr="00EE5714">
              <w:rPr>
                <w:rFonts w:ascii="Calibri" w:hAnsi="Calibri" w:cs="Calibri"/>
                <w:color w:val="000000"/>
                <w:sz w:val="21"/>
                <w:szCs w:val="21"/>
              </w:rPr>
              <w:t>93.82%</w:t>
            </w:r>
          </w:p>
        </w:tc>
      </w:tr>
      <w:tr w:rsidR="00F303E0" w:rsidRPr="00EE5714" w14:paraId="236D16CD" w14:textId="77777777" w:rsidTr="003A02D1">
        <w:trPr>
          <w:trHeight w:hRule="exact" w:val="245"/>
        </w:trPr>
        <w:tc>
          <w:tcPr>
            <w:tcW w:w="1440" w:type="dxa"/>
            <w:shd w:val="clear" w:color="auto" w:fill="auto"/>
            <w:vAlign w:val="center"/>
          </w:tcPr>
          <w:p w14:paraId="056E4D27" w14:textId="77777777" w:rsidR="00F303E0" w:rsidRPr="00EE5714" w:rsidRDefault="00F303E0" w:rsidP="00851815">
            <w:pP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PNG</w:t>
            </w:r>
          </w:p>
        </w:tc>
        <w:tc>
          <w:tcPr>
            <w:tcW w:w="1800" w:type="dxa"/>
            <w:shd w:val="clear" w:color="auto" w:fill="auto"/>
            <w:noWrap/>
            <w:vAlign w:val="center"/>
          </w:tcPr>
          <w:p w14:paraId="73927BCD"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90.78%</w:t>
            </w:r>
          </w:p>
        </w:tc>
        <w:tc>
          <w:tcPr>
            <w:tcW w:w="1800" w:type="dxa"/>
            <w:shd w:val="clear" w:color="auto" w:fill="auto"/>
            <w:noWrap/>
            <w:vAlign w:val="center"/>
          </w:tcPr>
          <w:p w14:paraId="55A44EDF"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91.27%</w:t>
            </w:r>
          </w:p>
        </w:tc>
        <w:tc>
          <w:tcPr>
            <w:tcW w:w="1800" w:type="dxa"/>
            <w:shd w:val="clear" w:color="auto" w:fill="auto"/>
            <w:noWrap/>
            <w:vAlign w:val="center"/>
          </w:tcPr>
          <w:p w14:paraId="1B72B454"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93.75%</w:t>
            </w:r>
          </w:p>
        </w:tc>
        <w:tc>
          <w:tcPr>
            <w:tcW w:w="1710" w:type="dxa"/>
            <w:shd w:val="clear" w:color="auto" w:fill="auto"/>
            <w:vAlign w:val="center"/>
          </w:tcPr>
          <w:p w14:paraId="1A7CC2E6"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92.84%</w:t>
            </w:r>
          </w:p>
        </w:tc>
        <w:tc>
          <w:tcPr>
            <w:tcW w:w="1620" w:type="dxa"/>
            <w:shd w:val="clear" w:color="auto" w:fill="auto"/>
            <w:vAlign w:val="center"/>
          </w:tcPr>
          <w:p w14:paraId="3F4DB6DD" w14:textId="77777777" w:rsidR="00F303E0" w:rsidRPr="00EE5714" w:rsidRDefault="00F303E0" w:rsidP="00851815">
            <w:pPr>
              <w:jc w:val="center"/>
              <w:rPr>
                <w:rFonts w:ascii="Calibri" w:hAnsi="Calibri" w:cs="Calibri"/>
                <w:color w:val="000000"/>
                <w:sz w:val="21"/>
                <w:szCs w:val="21"/>
              </w:rPr>
            </w:pPr>
            <w:r w:rsidRPr="00EE5714">
              <w:rPr>
                <w:rFonts w:ascii="Calibri" w:hAnsi="Calibri" w:cs="Calibri"/>
                <w:color w:val="000000"/>
                <w:sz w:val="21"/>
                <w:szCs w:val="21"/>
              </w:rPr>
              <w:t>92.93%</w:t>
            </w:r>
          </w:p>
        </w:tc>
      </w:tr>
    </w:tbl>
    <w:p w14:paraId="2B107A22" w14:textId="77777777" w:rsidR="00F303E0" w:rsidRPr="00EE5714" w:rsidRDefault="00F303E0" w:rsidP="00F303E0">
      <w:pPr>
        <w:pStyle w:val="NoSpacing"/>
        <w:rPr>
          <w:rFonts w:cs="Times New Roman"/>
          <w:szCs w:val="26"/>
        </w:rPr>
      </w:pPr>
    </w:p>
    <w:p w14:paraId="322A4504" w14:textId="77777777" w:rsidR="00F303E0" w:rsidRPr="00EE5714" w:rsidRDefault="00F303E0" w:rsidP="00F303E0">
      <w:pPr>
        <w:pStyle w:val="NoSpacing"/>
        <w:rPr>
          <w:rFonts w:cs="Times New Roman"/>
          <w:i/>
          <w:szCs w:val="26"/>
        </w:rPr>
      </w:pPr>
      <w:bookmarkStart w:id="66" w:name="_Hlk526403301"/>
    </w:p>
    <w:p w14:paraId="1AA67C0D" w14:textId="77777777" w:rsidR="00F303E0" w:rsidRPr="00EE5714" w:rsidRDefault="00F303E0" w:rsidP="00F303E0">
      <w:pPr>
        <w:pStyle w:val="NoSpacing"/>
        <w:keepNext/>
        <w:rPr>
          <w:rFonts w:cs="Times New Roman"/>
          <w:i/>
          <w:szCs w:val="26"/>
        </w:rPr>
      </w:pPr>
      <w:r w:rsidRPr="00EE5714">
        <w:rPr>
          <w:rFonts w:cs="Times New Roman"/>
          <w:i/>
          <w:szCs w:val="26"/>
        </w:rPr>
        <w:t xml:space="preserve">Appendix </w:t>
      </w:r>
      <w:r w:rsidR="00F857A1" w:rsidRPr="00EE5714">
        <w:rPr>
          <w:rFonts w:cs="Times New Roman"/>
          <w:i/>
          <w:szCs w:val="26"/>
        </w:rPr>
        <w:t>5</w:t>
      </w:r>
      <w:r w:rsidRPr="00EE5714">
        <w:rPr>
          <w:rFonts w:cs="Times New Roman"/>
          <w:i/>
          <w:szCs w:val="26"/>
        </w:rPr>
        <w:t xml:space="preserve">.B: Tables 6-2, 6-6 to 6-8 NGDCs Number of CAP Bills Paid </w:t>
      </w:r>
    </w:p>
    <w:p w14:paraId="7FF1D124" w14:textId="77777777" w:rsidR="00F303E0" w:rsidRPr="00EE5714" w:rsidRDefault="00F303E0" w:rsidP="00F303E0">
      <w:pPr>
        <w:pStyle w:val="NoSpacing"/>
        <w:keepNext/>
        <w:rPr>
          <w:rFonts w:eastAsia="Times New Roman" w:cs="Times New Roman"/>
          <w:szCs w:val="26"/>
        </w:rPr>
      </w:pPr>
    </w:p>
    <w:p w14:paraId="7AF14AC9" w14:textId="54EF55D8" w:rsidR="00F303E0" w:rsidRPr="00EE5714" w:rsidRDefault="00F303E0">
      <w:pPr>
        <w:pStyle w:val="NoSpacing"/>
        <w:keepNext/>
        <w:rPr>
          <w:rFonts w:cs="Times New Roman"/>
        </w:rPr>
      </w:pPr>
      <w:r w:rsidRPr="00EE5714">
        <w:rPr>
          <w:rFonts w:eastAsia="Times New Roman" w:cs="Times New Roman"/>
        </w:rPr>
        <w:t xml:space="preserve">The total number of NGDC CAP bills </w:t>
      </w:r>
      <w:r w:rsidR="00923EA8" w:rsidRPr="00EE5714">
        <w:rPr>
          <w:rFonts w:eastAsia="Times New Roman" w:cs="Times New Roman"/>
        </w:rPr>
        <w:t>issued</w:t>
      </w:r>
      <w:r w:rsidRPr="00EE5714">
        <w:rPr>
          <w:rFonts w:eastAsia="Times New Roman" w:cs="Times New Roman"/>
        </w:rPr>
        <w:t xml:space="preserve"> and paid in full by FPIG level for the period from 2012 through 2016.  </w:t>
      </w:r>
    </w:p>
    <w:bookmarkEnd w:id="66"/>
    <w:p w14:paraId="15CEF2D7" w14:textId="77777777" w:rsidR="00F303E0" w:rsidRPr="00EE5714" w:rsidRDefault="00F303E0" w:rsidP="00F303E0">
      <w:pPr>
        <w:pStyle w:val="NoSpacing"/>
        <w:keepNext/>
        <w:rPr>
          <w:rFonts w:cs="Times New Roman"/>
          <w:szCs w:val="26"/>
        </w:rPr>
      </w:pPr>
    </w:p>
    <w:p w14:paraId="3F46D249" w14:textId="762E5409" w:rsidR="00F303E0" w:rsidRPr="00EE5714" w:rsidRDefault="00F303E0">
      <w:pPr>
        <w:pStyle w:val="NoSpacing"/>
        <w:keepNext/>
        <w:rPr>
          <w:rFonts w:cs="Times New Roman"/>
        </w:rPr>
      </w:pPr>
      <w:r w:rsidRPr="00EE5714">
        <w:rPr>
          <w:rFonts w:cs="Times New Roman"/>
        </w:rPr>
        <w:t xml:space="preserve">Appendix </w:t>
      </w:r>
      <w:r w:rsidR="00F857A1" w:rsidRPr="00EE5714">
        <w:rPr>
          <w:rFonts w:cs="Times New Roman"/>
        </w:rPr>
        <w:t>5</w:t>
      </w:r>
      <w:r w:rsidRPr="00EE5714">
        <w:rPr>
          <w:rFonts w:cs="Times New Roman"/>
        </w:rPr>
        <w:t xml:space="preserve">.B.1: </w:t>
      </w:r>
      <w:r w:rsidRPr="00EE5714">
        <w:rPr>
          <w:rFonts w:eastAsia="Times New Roman" w:cs="Times New Roman"/>
          <w:b/>
          <w:bCs/>
          <w:color w:val="000000"/>
        </w:rPr>
        <w:t xml:space="preserve">NGDC CAP Bills </w:t>
      </w:r>
      <w:r w:rsidR="00923EA8" w:rsidRPr="00EE5714">
        <w:rPr>
          <w:rFonts w:eastAsia="Times New Roman" w:cs="Times New Roman"/>
          <w:b/>
          <w:bCs/>
          <w:color w:val="000000"/>
        </w:rPr>
        <w:t>Issued</w:t>
      </w:r>
      <w:r w:rsidRPr="00EE5714">
        <w:rPr>
          <w:rFonts w:eastAsia="Times New Roman" w:cs="Times New Roman"/>
          <w:b/>
          <w:bCs/>
          <w:color w:val="000000"/>
        </w:rPr>
        <w:t xml:space="preserve"> and Paid In-Full</w:t>
      </w:r>
    </w:p>
    <w:tbl>
      <w:tblPr>
        <w:tblW w:w="999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2070"/>
        <w:gridCol w:w="2610"/>
        <w:gridCol w:w="2790"/>
        <w:gridCol w:w="2520"/>
      </w:tblGrid>
      <w:tr w:rsidR="00F303E0" w:rsidRPr="00EE5714" w14:paraId="5E1D0696" w14:textId="77777777" w:rsidTr="00824DBE">
        <w:trPr>
          <w:trHeight w:val="349"/>
        </w:trPr>
        <w:tc>
          <w:tcPr>
            <w:tcW w:w="2070" w:type="dxa"/>
            <w:vMerge w:val="restart"/>
            <w:shd w:val="clear" w:color="auto" w:fill="auto"/>
            <w:noWrap/>
            <w:vAlign w:val="center"/>
            <w:hideMark/>
          </w:tcPr>
          <w:p w14:paraId="1AFE0C7E" w14:textId="77777777" w:rsidR="00F303E0" w:rsidRPr="00EE5714" w:rsidRDefault="00F303E0" w:rsidP="00CE67A6">
            <w:pPr>
              <w:keepNext/>
              <w:spacing w:after="0" w:line="240" w:lineRule="auto"/>
              <w:jc w:val="center"/>
              <w:rPr>
                <w:rFonts w:ascii="Calibri" w:eastAsia="Times New Roman" w:hAnsi="Calibri" w:cs="Calibri"/>
                <w:b/>
                <w:bCs/>
                <w:color w:val="000000"/>
                <w:szCs w:val="24"/>
              </w:rPr>
            </w:pPr>
            <w:r w:rsidRPr="00EE5714">
              <w:rPr>
                <w:rFonts w:ascii="Calibri" w:eastAsia="Times New Roman" w:hAnsi="Calibri" w:cs="Calibri"/>
                <w:b/>
                <w:bCs/>
                <w:color w:val="000000"/>
                <w:szCs w:val="24"/>
              </w:rPr>
              <w:t>2012</w:t>
            </w:r>
          </w:p>
        </w:tc>
        <w:tc>
          <w:tcPr>
            <w:tcW w:w="7920" w:type="dxa"/>
            <w:gridSpan w:val="3"/>
            <w:tcBorders>
              <w:right w:val="single" w:sz="8" w:space="0" w:color="000000" w:themeColor="text1"/>
            </w:tcBorders>
            <w:shd w:val="clear" w:color="auto" w:fill="D9D9D9" w:themeFill="background1" w:themeFillShade="D9"/>
            <w:noWrap/>
            <w:vAlign w:val="bottom"/>
            <w:hideMark/>
          </w:tcPr>
          <w:p w14:paraId="1F320CAD" w14:textId="6A5AD6BA" w:rsidR="00F303E0" w:rsidRPr="00EE5714" w:rsidRDefault="00F303E0" w:rsidP="00CE67A6">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rPr>
              <w:t xml:space="preserve">NGDC CAP Bills </w:t>
            </w:r>
            <w:r w:rsidR="00923EA8" w:rsidRPr="00EE5714">
              <w:rPr>
                <w:rFonts w:ascii="Calibri" w:eastAsia="Times New Roman" w:hAnsi="Calibri" w:cs="Calibri"/>
                <w:b/>
                <w:bCs/>
                <w:color w:val="000000"/>
              </w:rPr>
              <w:t>Issued</w:t>
            </w:r>
            <w:r w:rsidRPr="00EE5714">
              <w:rPr>
                <w:rFonts w:ascii="Calibri" w:eastAsia="Times New Roman" w:hAnsi="Calibri" w:cs="Calibri"/>
                <w:b/>
                <w:bCs/>
                <w:color w:val="000000"/>
              </w:rPr>
              <w:t xml:space="preserve"> and Paid In-Full</w:t>
            </w:r>
          </w:p>
        </w:tc>
      </w:tr>
      <w:tr w:rsidR="00E07FE0" w:rsidRPr="00EE5714" w14:paraId="19A25008" w14:textId="77777777" w:rsidTr="00824DBE">
        <w:trPr>
          <w:trHeight w:val="72"/>
        </w:trPr>
        <w:tc>
          <w:tcPr>
            <w:tcW w:w="2070" w:type="dxa"/>
            <w:vMerge/>
            <w:shd w:val="clear" w:color="auto" w:fill="auto"/>
            <w:vAlign w:val="center"/>
            <w:hideMark/>
          </w:tcPr>
          <w:p w14:paraId="1A929C1C" w14:textId="77777777" w:rsidR="00F303E0" w:rsidRPr="00EE5714" w:rsidRDefault="00F303E0" w:rsidP="00CE67A6">
            <w:pPr>
              <w:keepNext/>
              <w:spacing w:after="0" w:line="240" w:lineRule="auto"/>
              <w:rPr>
                <w:rFonts w:ascii="Calibri" w:eastAsia="Times New Roman" w:hAnsi="Calibri" w:cs="Calibri"/>
                <w:b/>
                <w:bCs/>
                <w:color w:val="000000"/>
              </w:rPr>
            </w:pPr>
          </w:p>
        </w:tc>
        <w:tc>
          <w:tcPr>
            <w:tcW w:w="2610" w:type="dxa"/>
            <w:tcBorders>
              <w:bottom w:val="single" w:sz="8" w:space="0" w:color="000000" w:themeColor="text1"/>
            </w:tcBorders>
            <w:shd w:val="clear" w:color="auto" w:fill="auto"/>
            <w:noWrap/>
            <w:vAlign w:val="bottom"/>
            <w:hideMark/>
          </w:tcPr>
          <w:p w14:paraId="057B9C11" w14:textId="77777777" w:rsidR="00F303E0" w:rsidRPr="00EE5714" w:rsidRDefault="00F303E0" w:rsidP="00CE67A6">
            <w:pPr>
              <w:keepNext/>
              <w:spacing w:after="0" w:line="240" w:lineRule="auto"/>
              <w:jc w:val="center"/>
              <w:rPr>
                <w:rFonts w:eastAsia="Times New Roman" w:cstheme="minorHAnsi"/>
                <w:b/>
                <w:color w:val="000000"/>
                <w:sz w:val="21"/>
                <w:szCs w:val="21"/>
              </w:rPr>
            </w:pPr>
            <w:r w:rsidRPr="00EE5714">
              <w:rPr>
                <w:rFonts w:eastAsia="Times New Roman" w:cstheme="minorHAnsi"/>
                <w:b/>
                <w:color w:val="000000"/>
                <w:sz w:val="21"/>
                <w:szCs w:val="21"/>
              </w:rPr>
              <w:t>50% FPIG</w:t>
            </w:r>
          </w:p>
        </w:tc>
        <w:tc>
          <w:tcPr>
            <w:tcW w:w="2790" w:type="dxa"/>
            <w:tcBorders>
              <w:bottom w:val="single" w:sz="8" w:space="0" w:color="000000" w:themeColor="text1"/>
            </w:tcBorders>
            <w:shd w:val="clear" w:color="auto" w:fill="auto"/>
            <w:noWrap/>
            <w:vAlign w:val="bottom"/>
            <w:hideMark/>
          </w:tcPr>
          <w:p w14:paraId="721EECFF" w14:textId="77777777" w:rsidR="00F303E0" w:rsidRPr="00EE5714" w:rsidRDefault="00F303E0" w:rsidP="00CE67A6">
            <w:pPr>
              <w:keepNext/>
              <w:spacing w:after="0" w:line="240" w:lineRule="auto"/>
              <w:jc w:val="center"/>
              <w:rPr>
                <w:rFonts w:eastAsia="Times New Roman" w:cstheme="minorHAnsi"/>
                <w:b/>
                <w:color w:val="000000"/>
                <w:sz w:val="21"/>
                <w:szCs w:val="21"/>
              </w:rPr>
            </w:pPr>
            <w:r w:rsidRPr="00EE5714">
              <w:rPr>
                <w:rFonts w:eastAsia="Times New Roman" w:cstheme="minorHAnsi"/>
                <w:b/>
                <w:color w:val="000000"/>
                <w:sz w:val="21"/>
                <w:szCs w:val="21"/>
              </w:rPr>
              <w:t>100% FPIG</w:t>
            </w:r>
          </w:p>
        </w:tc>
        <w:tc>
          <w:tcPr>
            <w:tcW w:w="2520" w:type="dxa"/>
            <w:tcBorders>
              <w:bottom w:val="single" w:sz="8" w:space="0" w:color="000000" w:themeColor="text1"/>
              <w:right w:val="single" w:sz="8" w:space="0" w:color="000000" w:themeColor="text1"/>
            </w:tcBorders>
            <w:shd w:val="clear" w:color="auto" w:fill="auto"/>
            <w:noWrap/>
            <w:vAlign w:val="bottom"/>
            <w:hideMark/>
          </w:tcPr>
          <w:p w14:paraId="2776F504" w14:textId="77777777" w:rsidR="00F303E0" w:rsidRPr="00EE5714" w:rsidRDefault="00F303E0" w:rsidP="00CE67A6">
            <w:pPr>
              <w:keepNext/>
              <w:spacing w:after="0" w:line="240" w:lineRule="auto"/>
              <w:jc w:val="center"/>
              <w:rPr>
                <w:rFonts w:eastAsia="Times New Roman" w:cstheme="minorHAnsi"/>
                <w:b/>
                <w:color w:val="000000"/>
                <w:sz w:val="21"/>
                <w:szCs w:val="21"/>
              </w:rPr>
            </w:pPr>
            <w:r w:rsidRPr="00EE5714">
              <w:rPr>
                <w:rFonts w:eastAsia="Times New Roman" w:cstheme="minorHAnsi"/>
                <w:b/>
                <w:color w:val="000000"/>
                <w:sz w:val="21"/>
                <w:szCs w:val="21"/>
              </w:rPr>
              <w:t>150% FPIG</w:t>
            </w:r>
          </w:p>
        </w:tc>
      </w:tr>
      <w:tr w:rsidR="00E07FE0" w:rsidRPr="00EE5714" w14:paraId="1E3EAC05" w14:textId="77777777" w:rsidTr="00824DBE">
        <w:trPr>
          <w:trHeight w:hRule="exact" w:val="245"/>
        </w:trPr>
        <w:tc>
          <w:tcPr>
            <w:tcW w:w="2070" w:type="dxa"/>
            <w:tcBorders>
              <w:bottom w:val="single" w:sz="8" w:space="0" w:color="000000" w:themeColor="text1"/>
            </w:tcBorders>
            <w:shd w:val="clear" w:color="auto" w:fill="F2F2F2" w:themeFill="background1" w:themeFillShade="F2"/>
            <w:noWrap/>
            <w:vAlign w:val="center"/>
          </w:tcPr>
          <w:p w14:paraId="02E4F184"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2610" w:type="dxa"/>
            <w:tcBorders>
              <w:bottom w:val="single" w:sz="8" w:space="0" w:color="000000" w:themeColor="text1"/>
            </w:tcBorders>
            <w:shd w:val="clear" w:color="auto" w:fill="F2F2F2" w:themeFill="background1" w:themeFillShade="F2"/>
            <w:noWrap/>
            <w:vAlign w:val="center"/>
          </w:tcPr>
          <w:p w14:paraId="241207AE" w14:textId="77777777" w:rsidR="00F303E0" w:rsidRPr="00EE5714" w:rsidRDefault="00F303E0" w:rsidP="00851815">
            <w:pPr>
              <w:keepNext/>
              <w:jc w:val="center"/>
              <w:rPr>
                <w:rFonts w:ascii="Calibri" w:hAnsi="Calibri" w:cs="Calibri"/>
                <w:sz w:val="21"/>
                <w:szCs w:val="21"/>
              </w:rPr>
            </w:pPr>
          </w:p>
        </w:tc>
        <w:tc>
          <w:tcPr>
            <w:tcW w:w="2790" w:type="dxa"/>
            <w:tcBorders>
              <w:bottom w:val="single" w:sz="8" w:space="0" w:color="000000" w:themeColor="text1"/>
            </w:tcBorders>
            <w:shd w:val="clear" w:color="auto" w:fill="F2F2F2" w:themeFill="background1" w:themeFillShade="F2"/>
            <w:noWrap/>
            <w:vAlign w:val="center"/>
          </w:tcPr>
          <w:p w14:paraId="62BD76ED" w14:textId="77777777" w:rsidR="00F303E0" w:rsidRPr="00EE5714" w:rsidRDefault="00F303E0" w:rsidP="00851815">
            <w:pPr>
              <w:keepNext/>
              <w:jc w:val="center"/>
              <w:rPr>
                <w:rFonts w:ascii="Calibri" w:hAnsi="Calibri" w:cs="Calibri"/>
                <w:sz w:val="21"/>
                <w:szCs w:val="21"/>
              </w:rPr>
            </w:pPr>
          </w:p>
        </w:tc>
        <w:tc>
          <w:tcPr>
            <w:tcW w:w="2520" w:type="dxa"/>
            <w:tcBorders>
              <w:bottom w:val="single" w:sz="8" w:space="0" w:color="000000" w:themeColor="text1"/>
              <w:right w:val="single" w:sz="8" w:space="0" w:color="000000" w:themeColor="text1"/>
            </w:tcBorders>
            <w:shd w:val="clear" w:color="auto" w:fill="F2F2F2" w:themeFill="background1" w:themeFillShade="F2"/>
            <w:noWrap/>
            <w:vAlign w:val="center"/>
          </w:tcPr>
          <w:p w14:paraId="19885557" w14:textId="77777777" w:rsidR="00F303E0" w:rsidRPr="00EE5714" w:rsidRDefault="00F303E0" w:rsidP="00851815">
            <w:pPr>
              <w:keepNext/>
              <w:jc w:val="center"/>
              <w:rPr>
                <w:rFonts w:ascii="Calibri" w:hAnsi="Calibri" w:cs="Calibri"/>
                <w:sz w:val="21"/>
                <w:szCs w:val="21"/>
              </w:rPr>
            </w:pPr>
          </w:p>
        </w:tc>
      </w:tr>
      <w:tr w:rsidR="00E07FE0" w:rsidRPr="00EE5714" w14:paraId="3AFE570B" w14:textId="77777777" w:rsidTr="00824DBE">
        <w:trPr>
          <w:trHeight w:hRule="exact" w:val="245"/>
        </w:trPr>
        <w:tc>
          <w:tcPr>
            <w:tcW w:w="2070" w:type="dxa"/>
            <w:shd w:val="clear" w:color="auto" w:fill="auto"/>
            <w:noWrap/>
            <w:vAlign w:val="center"/>
          </w:tcPr>
          <w:p w14:paraId="655A053F" w14:textId="39EC8858"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49881C0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56,406</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5A7FFBB"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115,349</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190A4B7A"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73,202</w:t>
            </w:r>
          </w:p>
        </w:tc>
      </w:tr>
      <w:tr w:rsidR="00E07FE0" w:rsidRPr="00EE5714" w14:paraId="0F26BB98" w14:textId="77777777" w:rsidTr="00824DBE">
        <w:trPr>
          <w:trHeight w:hRule="exact" w:val="245"/>
        </w:trPr>
        <w:tc>
          <w:tcPr>
            <w:tcW w:w="2070" w:type="dxa"/>
            <w:tcBorders>
              <w:bottom w:val="single" w:sz="8" w:space="0" w:color="000000" w:themeColor="text1"/>
            </w:tcBorders>
            <w:shd w:val="clear" w:color="auto" w:fill="auto"/>
            <w:noWrap/>
            <w:vAlign w:val="center"/>
          </w:tcPr>
          <w:p w14:paraId="4A5E2506"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18BF43D4"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29,692</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7C99DE0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69,567</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5E78D5B"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45,296</w:t>
            </w:r>
          </w:p>
        </w:tc>
      </w:tr>
      <w:tr w:rsidR="00E07FE0" w:rsidRPr="00EE5714" w14:paraId="58771FD3" w14:textId="77777777" w:rsidTr="00824DBE">
        <w:trPr>
          <w:trHeight w:hRule="exact" w:val="245"/>
        </w:trPr>
        <w:tc>
          <w:tcPr>
            <w:tcW w:w="2070" w:type="dxa"/>
            <w:tcBorders>
              <w:bottom w:val="single" w:sz="8" w:space="0" w:color="000000" w:themeColor="text1"/>
            </w:tcBorders>
            <w:shd w:val="clear" w:color="auto" w:fill="F2F2F2" w:themeFill="background1" w:themeFillShade="F2"/>
            <w:noWrap/>
            <w:vAlign w:val="center"/>
          </w:tcPr>
          <w:p w14:paraId="5BF78065"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NFG*</w:t>
            </w:r>
          </w:p>
        </w:tc>
        <w:tc>
          <w:tcPr>
            <w:tcW w:w="2610" w:type="dxa"/>
            <w:tcBorders>
              <w:top w:val="single" w:sz="8" w:space="0" w:color="000000" w:themeColor="text1"/>
              <w:bottom w:val="single" w:sz="8" w:space="0" w:color="000000" w:themeColor="text1"/>
            </w:tcBorders>
            <w:shd w:val="clear" w:color="auto" w:fill="F2F2F2" w:themeFill="background1" w:themeFillShade="F2"/>
            <w:noWrap/>
            <w:vAlign w:val="center"/>
          </w:tcPr>
          <w:p w14:paraId="41059C27" w14:textId="77777777" w:rsidR="00F303E0" w:rsidRPr="00EE5714" w:rsidRDefault="00F303E0" w:rsidP="00851815">
            <w:pPr>
              <w:keepNext/>
              <w:jc w:val="center"/>
              <w:rPr>
                <w:rFonts w:ascii="Calibri" w:hAnsi="Calibri" w:cs="Calibri"/>
                <w:sz w:val="21"/>
                <w:szCs w:val="21"/>
              </w:rPr>
            </w:pPr>
          </w:p>
        </w:tc>
        <w:tc>
          <w:tcPr>
            <w:tcW w:w="2790" w:type="dxa"/>
            <w:tcBorders>
              <w:top w:val="single" w:sz="8" w:space="0" w:color="000000" w:themeColor="text1"/>
              <w:bottom w:val="single" w:sz="8" w:space="0" w:color="000000" w:themeColor="text1"/>
            </w:tcBorders>
            <w:shd w:val="clear" w:color="auto" w:fill="F2F2F2" w:themeFill="background1" w:themeFillShade="F2"/>
            <w:noWrap/>
            <w:vAlign w:val="center"/>
          </w:tcPr>
          <w:p w14:paraId="0F444882" w14:textId="77777777" w:rsidR="00F303E0" w:rsidRPr="00EE5714" w:rsidRDefault="00F303E0" w:rsidP="00851815">
            <w:pPr>
              <w:keepNext/>
              <w:jc w:val="center"/>
              <w:rPr>
                <w:rFonts w:ascii="Calibri" w:hAnsi="Calibri" w:cs="Calibri"/>
                <w:sz w:val="21"/>
                <w:szCs w:val="21"/>
              </w:rPr>
            </w:pPr>
          </w:p>
        </w:tc>
        <w:tc>
          <w:tcPr>
            <w:tcW w:w="2520"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noWrap/>
            <w:vAlign w:val="center"/>
          </w:tcPr>
          <w:p w14:paraId="499E4984" w14:textId="77777777" w:rsidR="00F303E0" w:rsidRPr="00EE5714" w:rsidRDefault="00F303E0" w:rsidP="00851815">
            <w:pPr>
              <w:keepNext/>
              <w:jc w:val="center"/>
              <w:rPr>
                <w:rFonts w:ascii="Calibri" w:hAnsi="Calibri" w:cs="Calibri"/>
                <w:sz w:val="21"/>
                <w:szCs w:val="21"/>
              </w:rPr>
            </w:pPr>
          </w:p>
        </w:tc>
      </w:tr>
      <w:tr w:rsidR="00E07FE0" w:rsidRPr="00EE5714" w14:paraId="5FFBA4CA" w14:textId="77777777" w:rsidTr="00824DBE">
        <w:trPr>
          <w:trHeight w:hRule="exact" w:val="245"/>
        </w:trPr>
        <w:tc>
          <w:tcPr>
            <w:tcW w:w="2070" w:type="dxa"/>
            <w:shd w:val="clear" w:color="auto" w:fill="auto"/>
            <w:noWrap/>
            <w:vAlign w:val="center"/>
          </w:tcPr>
          <w:p w14:paraId="6D0CB771" w14:textId="42376B9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1BE6696E" w14:textId="77777777" w:rsidR="00F303E0" w:rsidRPr="00EE5714" w:rsidRDefault="00F303E0" w:rsidP="00851815">
            <w:pPr>
              <w:keepNext/>
              <w:jc w:val="center"/>
              <w:rPr>
                <w:rFonts w:ascii="Calibri" w:hAnsi="Calibri" w:cs="Calibri"/>
                <w:sz w:val="21"/>
                <w:szCs w:val="21"/>
              </w:rPr>
            </w:pPr>
            <w:r w:rsidRPr="00EE5714">
              <w:rPr>
                <w:rFonts w:ascii="Calibri" w:eastAsia="Times New Roman" w:hAnsi="Calibri" w:cs="Calibri"/>
                <w:sz w:val="21"/>
                <w:szCs w:val="21"/>
              </w:rPr>
              <w:t>N/A</w:t>
            </w:r>
          </w:p>
        </w:tc>
        <w:tc>
          <w:tcPr>
            <w:tcW w:w="2790" w:type="dxa"/>
            <w:shd w:val="clear" w:color="auto" w:fill="auto"/>
            <w:noWrap/>
            <w:vAlign w:val="center"/>
          </w:tcPr>
          <w:p w14:paraId="716772B4" w14:textId="77777777" w:rsidR="00F303E0" w:rsidRPr="00EE5714" w:rsidRDefault="00F303E0" w:rsidP="00851815">
            <w:pPr>
              <w:keepNext/>
              <w:jc w:val="center"/>
              <w:rPr>
                <w:rFonts w:ascii="Calibri" w:hAnsi="Calibri" w:cs="Calibri"/>
                <w:sz w:val="21"/>
                <w:szCs w:val="21"/>
              </w:rPr>
            </w:pPr>
            <w:r w:rsidRPr="00EE5714">
              <w:rPr>
                <w:rFonts w:ascii="Calibri" w:eastAsia="Times New Roman" w:hAnsi="Calibri" w:cs="Calibri"/>
                <w:sz w:val="21"/>
                <w:szCs w:val="21"/>
              </w:rPr>
              <w:t>N/A</w:t>
            </w:r>
          </w:p>
        </w:tc>
        <w:tc>
          <w:tcPr>
            <w:tcW w:w="252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28A86A1D"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138,215</w:t>
            </w:r>
          </w:p>
        </w:tc>
      </w:tr>
      <w:tr w:rsidR="00E07FE0" w:rsidRPr="00EE5714" w14:paraId="38021557" w14:textId="77777777" w:rsidTr="00824DBE">
        <w:trPr>
          <w:trHeight w:hRule="exact" w:val="245"/>
        </w:trPr>
        <w:tc>
          <w:tcPr>
            <w:tcW w:w="2070" w:type="dxa"/>
            <w:tcBorders>
              <w:bottom w:val="single" w:sz="8" w:space="0" w:color="000000" w:themeColor="text1"/>
            </w:tcBorders>
            <w:shd w:val="clear" w:color="auto" w:fill="auto"/>
            <w:noWrap/>
            <w:vAlign w:val="center"/>
          </w:tcPr>
          <w:p w14:paraId="53EDB372"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610A02FD" w14:textId="77777777" w:rsidR="00F303E0" w:rsidRPr="00EE5714" w:rsidRDefault="00F303E0" w:rsidP="00851815">
            <w:pPr>
              <w:keepNext/>
              <w:jc w:val="center"/>
              <w:rPr>
                <w:rFonts w:ascii="Calibri" w:hAnsi="Calibri" w:cs="Calibri"/>
                <w:sz w:val="21"/>
                <w:szCs w:val="21"/>
              </w:rPr>
            </w:pPr>
            <w:r w:rsidRPr="00EE5714">
              <w:rPr>
                <w:rFonts w:ascii="Calibri" w:eastAsia="Times New Roman" w:hAnsi="Calibri" w:cs="Calibri"/>
                <w:sz w:val="21"/>
                <w:szCs w:val="21"/>
              </w:rPr>
              <w:t>N/A</w:t>
            </w:r>
          </w:p>
        </w:tc>
        <w:tc>
          <w:tcPr>
            <w:tcW w:w="2790" w:type="dxa"/>
            <w:tcBorders>
              <w:bottom w:val="single" w:sz="8" w:space="0" w:color="000000" w:themeColor="text1"/>
            </w:tcBorders>
            <w:shd w:val="clear" w:color="auto" w:fill="auto"/>
            <w:noWrap/>
            <w:vAlign w:val="center"/>
          </w:tcPr>
          <w:p w14:paraId="5821974C" w14:textId="77777777" w:rsidR="00F303E0" w:rsidRPr="00EE5714" w:rsidRDefault="00F303E0" w:rsidP="00851815">
            <w:pPr>
              <w:keepNext/>
              <w:jc w:val="center"/>
              <w:rPr>
                <w:rFonts w:ascii="Calibri" w:hAnsi="Calibri" w:cs="Calibri"/>
                <w:sz w:val="21"/>
                <w:szCs w:val="21"/>
              </w:rPr>
            </w:pPr>
            <w:r w:rsidRPr="00EE5714">
              <w:rPr>
                <w:rFonts w:ascii="Calibri" w:eastAsia="Times New Roman" w:hAnsi="Calibri" w:cs="Calibri"/>
                <w:sz w:val="21"/>
                <w:szCs w:val="21"/>
              </w:rPr>
              <w:t>N/A</w:t>
            </w:r>
          </w:p>
        </w:tc>
        <w:tc>
          <w:tcPr>
            <w:tcW w:w="252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1BB63453"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85,208</w:t>
            </w:r>
          </w:p>
        </w:tc>
      </w:tr>
      <w:tr w:rsidR="00E07FE0" w:rsidRPr="00EE5714" w14:paraId="0661F4CF" w14:textId="77777777" w:rsidTr="00824DBE">
        <w:trPr>
          <w:trHeight w:hRule="exact" w:val="245"/>
        </w:trPr>
        <w:tc>
          <w:tcPr>
            <w:tcW w:w="2070" w:type="dxa"/>
            <w:shd w:val="clear" w:color="auto" w:fill="F2F2F2" w:themeFill="background1" w:themeFillShade="F2"/>
            <w:noWrap/>
            <w:vAlign w:val="center"/>
          </w:tcPr>
          <w:p w14:paraId="42F9857E"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Gas</w:t>
            </w:r>
          </w:p>
        </w:tc>
        <w:tc>
          <w:tcPr>
            <w:tcW w:w="2610" w:type="dxa"/>
            <w:shd w:val="clear" w:color="auto" w:fill="F2F2F2" w:themeFill="background1" w:themeFillShade="F2"/>
            <w:noWrap/>
            <w:vAlign w:val="center"/>
          </w:tcPr>
          <w:p w14:paraId="79831946" w14:textId="77777777" w:rsidR="00F303E0" w:rsidRPr="00EE5714" w:rsidRDefault="00F303E0" w:rsidP="00851815">
            <w:pPr>
              <w:keepNext/>
              <w:jc w:val="center"/>
              <w:rPr>
                <w:rFonts w:ascii="Calibri" w:hAnsi="Calibri" w:cs="Calibri"/>
                <w:sz w:val="21"/>
                <w:szCs w:val="21"/>
              </w:rPr>
            </w:pPr>
          </w:p>
        </w:tc>
        <w:tc>
          <w:tcPr>
            <w:tcW w:w="2790" w:type="dxa"/>
            <w:shd w:val="clear" w:color="auto" w:fill="F2F2F2" w:themeFill="background1" w:themeFillShade="F2"/>
            <w:noWrap/>
            <w:vAlign w:val="center"/>
          </w:tcPr>
          <w:p w14:paraId="356D7EDA" w14:textId="77777777" w:rsidR="00F303E0" w:rsidRPr="00EE5714" w:rsidRDefault="00F303E0" w:rsidP="00851815">
            <w:pPr>
              <w:keepNext/>
              <w:jc w:val="center"/>
              <w:rPr>
                <w:rFonts w:ascii="Calibri" w:hAnsi="Calibri" w:cs="Calibri"/>
                <w:sz w:val="21"/>
                <w:szCs w:val="21"/>
              </w:rPr>
            </w:pPr>
          </w:p>
        </w:tc>
        <w:tc>
          <w:tcPr>
            <w:tcW w:w="2520" w:type="dxa"/>
            <w:shd w:val="clear" w:color="auto" w:fill="F2F2F2" w:themeFill="background1" w:themeFillShade="F2"/>
            <w:noWrap/>
            <w:vAlign w:val="center"/>
          </w:tcPr>
          <w:p w14:paraId="44A844BE" w14:textId="77777777" w:rsidR="00F303E0" w:rsidRPr="00EE5714" w:rsidRDefault="00F303E0" w:rsidP="00851815">
            <w:pPr>
              <w:keepNext/>
              <w:jc w:val="center"/>
              <w:rPr>
                <w:rFonts w:ascii="Calibri" w:hAnsi="Calibri" w:cs="Calibri"/>
                <w:sz w:val="21"/>
                <w:szCs w:val="21"/>
              </w:rPr>
            </w:pPr>
          </w:p>
        </w:tc>
      </w:tr>
      <w:tr w:rsidR="00E07FE0" w:rsidRPr="00EE5714" w14:paraId="62179F4C" w14:textId="77777777" w:rsidTr="00824DBE">
        <w:trPr>
          <w:trHeight w:hRule="exact" w:val="245"/>
        </w:trPr>
        <w:tc>
          <w:tcPr>
            <w:tcW w:w="2070" w:type="dxa"/>
            <w:shd w:val="clear" w:color="auto" w:fill="auto"/>
            <w:noWrap/>
            <w:vAlign w:val="center"/>
          </w:tcPr>
          <w:p w14:paraId="76F95D1F" w14:textId="63274E9A"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577669BE"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15,541</w:t>
            </w:r>
          </w:p>
        </w:tc>
        <w:tc>
          <w:tcPr>
            <w:tcW w:w="2790" w:type="dxa"/>
            <w:shd w:val="clear" w:color="auto" w:fill="auto"/>
            <w:noWrap/>
            <w:vAlign w:val="center"/>
          </w:tcPr>
          <w:p w14:paraId="74C3850C"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30,399</w:t>
            </w:r>
          </w:p>
        </w:tc>
        <w:tc>
          <w:tcPr>
            <w:tcW w:w="2520" w:type="dxa"/>
            <w:shd w:val="clear" w:color="auto" w:fill="auto"/>
            <w:noWrap/>
            <w:vAlign w:val="center"/>
          </w:tcPr>
          <w:p w14:paraId="0BD41433"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27,343</w:t>
            </w:r>
          </w:p>
        </w:tc>
      </w:tr>
      <w:tr w:rsidR="00E07FE0" w:rsidRPr="00EE5714" w14:paraId="3F099DD0" w14:textId="77777777" w:rsidTr="00824DBE">
        <w:trPr>
          <w:trHeight w:hRule="exact" w:val="245"/>
        </w:trPr>
        <w:tc>
          <w:tcPr>
            <w:tcW w:w="2070" w:type="dxa"/>
            <w:shd w:val="clear" w:color="auto" w:fill="auto"/>
            <w:noWrap/>
            <w:vAlign w:val="center"/>
          </w:tcPr>
          <w:p w14:paraId="3F471E58"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Bills Paid in Full</w:t>
            </w:r>
          </w:p>
        </w:tc>
        <w:tc>
          <w:tcPr>
            <w:tcW w:w="2610" w:type="dxa"/>
            <w:shd w:val="clear" w:color="auto" w:fill="auto"/>
            <w:noWrap/>
            <w:vAlign w:val="center"/>
          </w:tcPr>
          <w:p w14:paraId="2663F9DA"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8,875</w:t>
            </w:r>
          </w:p>
        </w:tc>
        <w:tc>
          <w:tcPr>
            <w:tcW w:w="2790" w:type="dxa"/>
            <w:shd w:val="clear" w:color="auto" w:fill="auto"/>
            <w:noWrap/>
            <w:vAlign w:val="center"/>
          </w:tcPr>
          <w:p w14:paraId="6474D88A"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19,480</w:t>
            </w:r>
          </w:p>
        </w:tc>
        <w:tc>
          <w:tcPr>
            <w:tcW w:w="2520" w:type="dxa"/>
            <w:shd w:val="clear" w:color="auto" w:fill="auto"/>
            <w:noWrap/>
            <w:vAlign w:val="center"/>
          </w:tcPr>
          <w:p w14:paraId="71A416BF"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17,955</w:t>
            </w:r>
          </w:p>
        </w:tc>
      </w:tr>
      <w:tr w:rsidR="00E07FE0" w:rsidRPr="00EE5714" w14:paraId="7FA1092F" w14:textId="77777777" w:rsidTr="00824DBE">
        <w:trPr>
          <w:trHeight w:hRule="exact" w:val="245"/>
        </w:trPr>
        <w:tc>
          <w:tcPr>
            <w:tcW w:w="2070" w:type="dxa"/>
            <w:tcBorders>
              <w:bottom w:val="single" w:sz="8" w:space="0" w:color="000000" w:themeColor="text1"/>
            </w:tcBorders>
            <w:shd w:val="clear" w:color="auto" w:fill="F2F2F2" w:themeFill="background1" w:themeFillShade="F2"/>
            <w:noWrap/>
            <w:vAlign w:val="center"/>
          </w:tcPr>
          <w:p w14:paraId="6EF81B49"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w:t>
            </w:r>
          </w:p>
        </w:tc>
        <w:tc>
          <w:tcPr>
            <w:tcW w:w="2610" w:type="dxa"/>
            <w:tcBorders>
              <w:bottom w:val="single" w:sz="8" w:space="0" w:color="000000" w:themeColor="text1"/>
            </w:tcBorders>
            <w:shd w:val="clear" w:color="auto" w:fill="F2F2F2" w:themeFill="background1" w:themeFillShade="F2"/>
            <w:noWrap/>
            <w:vAlign w:val="center"/>
          </w:tcPr>
          <w:p w14:paraId="3F3BC0D9" w14:textId="77777777" w:rsidR="00F303E0" w:rsidRPr="00EE5714" w:rsidRDefault="00F303E0" w:rsidP="00851815">
            <w:pPr>
              <w:keepNext/>
              <w:jc w:val="center"/>
              <w:rPr>
                <w:rFonts w:ascii="Calibri" w:hAnsi="Calibri" w:cs="Calibri"/>
                <w:sz w:val="21"/>
                <w:szCs w:val="21"/>
              </w:rPr>
            </w:pPr>
          </w:p>
        </w:tc>
        <w:tc>
          <w:tcPr>
            <w:tcW w:w="2790" w:type="dxa"/>
            <w:tcBorders>
              <w:bottom w:val="single" w:sz="8" w:space="0" w:color="000000" w:themeColor="text1"/>
            </w:tcBorders>
            <w:shd w:val="clear" w:color="auto" w:fill="F2F2F2" w:themeFill="background1" w:themeFillShade="F2"/>
            <w:noWrap/>
            <w:vAlign w:val="center"/>
          </w:tcPr>
          <w:p w14:paraId="72620C16" w14:textId="77777777" w:rsidR="00F303E0" w:rsidRPr="00EE5714" w:rsidRDefault="00F303E0" w:rsidP="00851815">
            <w:pPr>
              <w:keepNext/>
              <w:jc w:val="center"/>
              <w:rPr>
                <w:rFonts w:ascii="Calibri" w:hAnsi="Calibri" w:cs="Calibri"/>
                <w:sz w:val="21"/>
                <w:szCs w:val="21"/>
              </w:rPr>
            </w:pPr>
          </w:p>
        </w:tc>
        <w:tc>
          <w:tcPr>
            <w:tcW w:w="2520"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noWrap/>
            <w:vAlign w:val="center"/>
          </w:tcPr>
          <w:p w14:paraId="36769E3B" w14:textId="77777777" w:rsidR="00F303E0" w:rsidRPr="00EE5714" w:rsidRDefault="00F303E0" w:rsidP="00851815">
            <w:pPr>
              <w:keepNext/>
              <w:jc w:val="center"/>
              <w:rPr>
                <w:rFonts w:ascii="Calibri" w:hAnsi="Calibri" w:cs="Calibri"/>
                <w:sz w:val="21"/>
                <w:szCs w:val="21"/>
              </w:rPr>
            </w:pPr>
          </w:p>
        </w:tc>
      </w:tr>
      <w:tr w:rsidR="00E07FE0" w:rsidRPr="00EE5714" w14:paraId="45A966CE" w14:textId="77777777" w:rsidTr="00824DBE">
        <w:trPr>
          <w:trHeight w:hRule="exact" w:val="245"/>
        </w:trPr>
        <w:tc>
          <w:tcPr>
            <w:tcW w:w="2070" w:type="dxa"/>
            <w:shd w:val="clear" w:color="auto" w:fill="auto"/>
            <w:noWrap/>
            <w:vAlign w:val="center"/>
          </w:tcPr>
          <w:p w14:paraId="5FEA426A" w14:textId="75FF6679"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3902BD8A"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36,560</w:t>
            </w:r>
          </w:p>
        </w:tc>
        <w:tc>
          <w:tcPr>
            <w:tcW w:w="2790" w:type="dxa"/>
            <w:shd w:val="clear" w:color="auto" w:fill="auto"/>
            <w:noWrap/>
            <w:vAlign w:val="center"/>
          </w:tcPr>
          <w:p w14:paraId="392E3997"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86,858</w:t>
            </w:r>
          </w:p>
        </w:tc>
        <w:tc>
          <w:tcPr>
            <w:tcW w:w="2520" w:type="dxa"/>
            <w:tcBorders>
              <w:right w:val="single" w:sz="8" w:space="0" w:color="000000" w:themeColor="text1"/>
            </w:tcBorders>
            <w:shd w:val="clear" w:color="auto" w:fill="auto"/>
            <w:noWrap/>
            <w:vAlign w:val="center"/>
          </w:tcPr>
          <w:p w14:paraId="3D642342"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62,487</w:t>
            </w:r>
          </w:p>
        </w:tc>
      </w:tr>
      <w:tr w:rsidR="00E07FE0" w:rsidRPr="00EE5714" w14:paraId="6161B6FD" w14:textId="77777777" w:rsidTr="00824DBE">
        <w:trPr>
          <w:trHeight w:hRule="exact" w:val="245"/>
        </w:trPr>
        <w:tc>
          <w:tcPr>
            <w:tcW w:w="2070" w:type="dxa"/>
            <w:tcBorders>
              <w:bottom w:val="single" w:sz="8" w:space="0" w:color="000000" w:themeColor="text1"/>
            </w:tcBorders>
            <w:shd w:val="clear" w:color="auto" w:fill="auto"/>
            <w:noWrap/>
            <w:vAlign w:val="center"/>
          </w:tcPr>
          <w:p w14:paraId="0ED9BFC9"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529F386B"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17,526</w:t>
            </w:r>
          </w:p>
        </w:tc>
        <w:tc>
          <w:tcPr>
            <w:tcW w:w="2790" w:type="dxa"/>
            <w:tcBorders>
              <w:bottom w:val="single" w:sz="8" w:space="0" w:color="000000" w:themeColor="text1"/>
            </w:tcBorders>
            <w:shd w:val="clear" w:color="auto" w:fill="auto"/>
            <w:noWrap/>
            <w:vAlign w:val="center"/>
          </w:tcPr>
          <w:p w14:paraId="414435C4"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63,412</w:t>
            </w:r>
          </w:p>
        </w:tc>
        <w:tc>
          <w:tcPr>
            <w:tcW w:w="2520" w:type="dxa"/>
            <w:tcBorders>
              <w:bottom w:val="single" w:sz="8" w:space="0" w:color="000000" w:themeColor="text1"/>
              <w:right w:val="single" w:sz="8" w:space="0" w:color="000000" w:themeColor="text1"/>
            </w:tcBorders>
            <w:shd w:val="clear" w:color="auto" w:fill="auto"/>
            <w:noWrap/>
            <w:vAlign w:val="center"/>
          </w:tcPr>
          <w:p w14:paraId="70CF7252"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51,382</w:t>
            </w:r>
          </w:p>
        </w:tc>
      </w:tr>
      <w:tr w:rsidR="00E07FE0" w:rsidRPr="00EE5714" w14:paraId="4CCA3E90" w14:textId="77777777" w:rsidTr="00824DBE">
        <w:trPr>
          <w:trHeight w:hRule="exact" w:val="245"/>
        </w:trPr>
        <w:tc>
          <w:tcPr>
            <w:tcW w:w="2070" w:type="dxa"/>
            <w:tcBorders>
              <w:bottom w:val="single" w:sz="8" w:space="0" w:color="000000" w:themeColor="text1"/>
            </w:tcBorders>
            <w:shd w:val="clear" w:color="auto" w:fill="F2F2F2" w:themeFill="background1" w:themeFillShade="F2"/>
            <w:noWrap/>
            <w:vAlign w:val="center"/>
          </w:tcPr>
          <w:p w14:paraId="7CB5E3D8"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 EQT</w:t>
            </w:r>
          </w:p>
        </w:tc>
        <w:tc>
          <w:tcPr>
            <w:tcW w:w="2610" w:type="dxa"/>
            <w:tcBorders>
              <w:top w:val="single" w:sz="8" w:space="0" w:color="000000" w:themeColor="text1"/>
              <w:bottom w:val="single" w:sz="8" w:space="0" w:color="000000" w:themeColor="text1"/>
            </w:tcBorders>
            <w:shd w:val="clear" w:color="auto" w:fill="F2F2F2" w:themeFill="background1" w:themeFillShade="F2"/>
            <w:noWrap/>
            <w:vAlign w:val="center"/>
          </w:tcPr>
          <w:p w14:paraId="68F2D0CC" w14:textId="77777777" w:rsidR="00F303E0" w:rsidRPr="00EE5714" w:rsidRDefault="00F303E0" w:rsidP="00851815">
            <w:pPr>
              <w:keepNext/>
              <w:jc w:val="center"/>
              <w:rPr>
                <w:rFonts w:ascii="Calibri" w:hAnsi="Calibri" w:cs="Calibri"/>
                <w:sz w:val="21"/>
                <w:szCs w:val="21"/>
              </w:rPr>
            </w:pPr>
          </w:p>
        </w:tc>
        <w:tc>
          <w:tcPr>
            <w:tcW w:w="2790" w:type="dxa"/>
            <w:tcBorders>
              <w:top w:val="single" w:sz="8" w:space="0" w:color="000000" w:themeColor="text1"/>
              <w:bottom w:val="single" w:sz="8" w:space="0" w:color="000000" w:themeColor="text1"/>
            </w:tcBorders>
            <w:shd w:val="clear" w:color="auto" w:fill="F2F2F2" w:themeFill="background1" w:themeFillShade="F2"/>
            <w:noWrap/>
            <w:vAlign w:val="center"/>
          </w:tcPr>
          <w:p w14:paraId="464121B6" w14:textId="77777777" w:rsidR="00F303E0" w:rsidRPr="00EE5714" w:rsidRDefault="00F303E0" w:rsidP="00851815">
            <w:pPr>
              <w:keepNext/>
              <w:jc w:val="center"/>
              <w:rPr>
                <w:rFonts w:ascii="Calibri" w:hAnsi="Calibri" w:cs="Calibri"/>
                <w:sz w:val="21"/>
                <w:szCs w:val="21"/>
              </w:rPr>
            </w:pPr>
          </w:p>
        </w:tc>
        <w:tc>
          <w:tcPr>
            <w:tcW w:w="2520"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noWrap/>
            <w:vAlign w:val="center"/>
          </w:tcPr>
          <w:p w14:paraId="4BB729C5" w14:textId="77777777" w:rsidR="00F303E0" w:rsidRPr="00EE5714" w:rsidRDefault="00F303E0" w:rsidP="00851815">
            <w:pPr>
              <w:keepNext/>
              <w:jc w:val="center"/>
              <w:rPr>
                <w:rFonts w:ascii="Calibri" w:hAnsi="Calibri" w:cs="Calibri"/>
                <w:sz w:val="21"/>
                <w:szCs w:val="21"/>
              </w:rPr>
            </w:pPr>
          </w:p>
        </w:tc>
      </w:tr>
      <w:tr w:rsidR="00E07FE0" w:rsidRPr="00EE5714" w14:paraId="56670653" w14:textId="77777777" w:rsidTr="00824DBE">
        <w:trPr>
          <w:trHeight w:hRule="exact" w:val="245"/>
        </w:trPr>
        <w:tc>
          <w:tcPr>
            <w:tcW w:w="2070" w:type="dxa"/>
            <w:shd w:val="clear" w:color="auto" w:fill="auto"/>
            <w:noWrap/>
            <w:vAlign w:val="center"/>
          </w:tcPr>
          <w:p w14:paraId="05CEE58B" w14:textId="620B2BD0"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6D48C70E"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49,842</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1C0961D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89,824</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2EFA60F9"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19,246</w:t>
            </w:r>
          </w:p>
        </w:tc>
      </w:tr>
      <w:tr w:rsidR="00E07FE0" w:rsidRPr="00EE5714" w14:paraId="54CC7352" w14:textId="77777777" w:rsidTr="00824DBE">
        <w:trPr>
          <w:trHeight w:hRule="exact" w:val="245"/>
        </w:trPr>
        <w:tc>
          <w:tcPr>
            <w:tcW w:w="2070" w:type="dxa"/>
            <w:tcBorders>
              <w:bottom w:val="single" w:sz="8" w:space="0" w:color="000000" w:themeColor="text1"/>
            </w:tcBorders>
            <w:shd w:val="clear" w:color="auto" w:fill="auto"/>
            <w:noWrap/>
            <w:vAlign w:val="center"/>
          </w:tcPr>
          <w:p w14:paraId="496A7E23"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Bills Paid in Full</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1575D258"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36,558</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6413345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60,750</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FCBB430"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13,916</w:t>
            </w:r>
          </w:p>
        </w:tc>
      </w:tr>
      <w:tr w:rsidR="00E07FE0" w:rsidRPr="00EE5714" w14:paraId="6F2B3AC1" w14:textId="77777777" w:rsidTr="00824DBE">
        <w:trPr>
          <w:trHeight w:hRule="exact" w:val="245"/>
        </w:trPr>
        <w:tc>
          <w:tcPr>
            <w:tcW w:w="2070" w:type="dxa"/>
            <w:tcBorders>
              <w:bottom w:val="single" w:sz="8" w:space="0" w:color="000000" w:themeColor="text1"/>
            </w:tcBorders>
            <w:shd w:val="clear" w:color="auto" w:fill="F2F2F2" w:themeFill="background1" w:themeFillShade="F2"/>
            <w:noWrap/>
            <w:vAlign w:val="center"/>
          </w:tcPr>
          <w:p w14:paraId="4271017B"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PGW</w:t>
            </w:r>
          </w:p>
        </w:tc>
        <w:tc>
          <w:tcPr>
            <w:tcW w:w="2610" w:type="dxa"/>
            <w:tcBorders>
              <w:bottom w:val="single" w:sz="8" w:space="0" w:color="000000" w:themeColor="text1"/>
            </w:tcBorders>
            <w:shd w:val="clear" w:color="auto" w:fill="F2F2F2" w:themeFill="background1" w:themeFillShade="F2"/>
            <w:noWrap/>
            <w:vAlign w:val="center"/>
          </w:tcPr>
          <w:p w14:paraId="0452ACB8" w14:textId="77777777" w:rsidR="00F303E0" w:rsidRPr="00EE5714" w:rsidRDefault="00F303E0" w:rsidP="00851815">
            <w:pPr>
              <w:keepNext/>
              <w:jc w:val="center"/>
              <w:rPr>
                <w:rFonts w:ascii="Calibri" w:hAnsi="Calibri" w:cs="Calibri"/>
                <w:sz w:val="21"/>
                <w:szCs w:val="21"/>
              </w:rPr>
            </w:pPr>
          </w:p>
        </w:tc>
        <w:tc>
          <w:tcPr>
            <w:tcW w:w="2790" w:type="dxa"/>
            <w:tcBorders>
              <w:bottom w:val="single" w:sz="8" w:space="0" w:color="000000" w:themeColor="text1"/>
            </w:tcBorders>
            <w:shd w:val="clear" w:color="auto" w:fill="F2F2F2" w:themeFill="background1" w:themeFillShade="F2"/>
            <w:noWrap/>
            <w:vAlign w:val="center"/>
          </w:tcPr>
          <w:p w14:paraId="72B8CAEF" w14:textId="77777777" w:rsidR="00F303E0" w:rsidRPr="00EE5714" w:rsidRDefault="00F303E0" w:rsidP="00851815">
            <w:pPr>
              <w:keepNext/>
              <w:jc w:val="center"/>
              <w:rPr>
                <w:rFonts w:ascii="Calibri" w:hAnsi="Calibri" w:cs="Calibri"/>
                <w:sz w:val="21"/>
                <w:szCs w:val="21"/>
              </w:rPr>
            </w:pPr>
          </w:p>
        </w:tc>
        <w:tc>
          <w:tcPr>
            <w:tcW w:w="2520" w:type="dxa"/>
            <w:tcBorders>
              <w:bottom w:val="single" w:sz="8" w:space="0" w:color="000000" w:themeColor="text1"/>
              <w:right w:val="single" w:sz="8" w:space="0" w:color="000000" w:themeColor="text1"/>
            </w:tcBorders>
            <w:shd w:val="clear" w:color="auto" w:fill="F2F2F2" w:themeFill="background1" w:themeFillShade="F2"/>
            <w:noWrap/>
            <w:vAlign w:val="center"/>
          </w:tcPr>
          <w:p w14:paraId="364E2697" w14:textId="77777777" w:rsidR="00F303E0" w:rsidRPr="00EE5714" w:rsidRDefault="00F303E0" w:rsidP="00851815">
            <w:pPr>
              <w:keepNext/>
              <w:jc w:val="center"/>
              <w:rPr>
                <w:rFonts w:ascii="Calibri" w:hAnsi="Calibri" w:cs="Calibri"/>
                <w:sz w:val="21"/>
                <w:szCs w:val="21"/>
              </w:rPr>
            </w:pPr>
          </w:p>
        </w:tc>
      </w:tr>
      <w:tr w:rsidR="00E07FE0" w:rsidRPr="00EE5714" w14:paraId="12805D33" w14:textId="77777777" w:rsidTr="00824DBE">
        <w:trPr>
          <w:trHeight w:hRule="exact" w:val="245"/>
        </w:trPr>
        <w:tc>
          <w:tcPr>
            <w:tcW w:w="2070" w:type="dxa"/>
            <w:shd w:val="clear" w:color="auto" w:fill="auto"/>
            <w:noWrap/>
            <w:vAlign w:val="center"/>
          </w:tcPr>
          <w:p w14:paraId="6879FE63" w14:textId="619CAE24"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2B211AF8"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275,373</w:t>
            </w:r>
          </w:p>
        </w:tc>
        <w:tc>
          <w:tcPr>
            <w:tcW w:w="2790" w:type="dxa"/>
            <w:shd w:val="clear" w:color="auto" w:fill="auto"/>
            <w:noWrap/>
            <w:vAlign w:val="center"/>
          </w:tcPr>
          <w:p w14:paraId="3014715D"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509,535</w:t>
            </w:r>
          </w:p>
        </w:tc>
        <w:tc>
          <w:tcPr>
            <w:tcW w:w="2520" w:type="dxa"/>
            <w:tcBorders>
              <w:right w:val="single" w:sz="8" w:space="0" w:color="000000" w:themeColor="text1"/>
            </w:tcBorders>
            <w:shd w:val="clear" w:color="auto" w:fill="auto"/>
            <w:noWrap/>
            <w:vAlign w:val="center"/>
          </w:tcPr>
          <w:p w14:paraId="1B4DCB63"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172,026</w:t>
            </w:r>
          </w:p>
        </w:tc>
      </w:tr>
      <w:tr w:rsidR="00E07FE0" w:rsidRPr="00EE5714" w14:paraId="77C666B3" w14:textId="77777777" w:rsidTr="00824DBE">
        <w:trPr>
          <w:trHeight w:hRule="exact" w:val="245"/>
        </w:trPr>
        <w:tc>
          <w:tcPr>
            <w:tcW w:w="2070" w:type="dxa"/>
            <w:tcBorders>
              <w:bottom w:val="single" w:sz="8" w:space="0" w:color="000000" w:themeColor="text1"/>
            </w:tcBorders>
            <w:shd w:val="clear" w:color="auto" w:fill="auto"/>
            <w:noWrap/>
            <w:vAlign w:val="center"/>
          </w:tcPr>
          <w:p w14:paraId="618424E6"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25886E50"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165,391</w:t>
            </w:r>
          </w:p>
        </w:tc>
        <w:tc>
          <w:tcPr>
            <w:tcW w:w="2790" w:type="dxa"/>
            <w:tcBorders>
              <w:bottom w:val="single" w:sz="8" w:space="0" w:color="000000" w:themeColor="text1"/>
            </w:tcBorders>
            <w:shd w:val="clear" w:color="auto" w:fill="auto"/>
            <w:noWrap/>
            <w:vAlign w:val="center"/>
          </w:tcPr>
          <w:p w14:paraId="7DFCB5F8"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293,355</w:t>
            </w:r>
          </w:p>
        </w:tc>
        <w:tc>
          <w:tcPr>
            <w:tcW w:w="2520" w:type="dxa"/>
            <w:tcBorders>
              <w:bottom w:val="single" w:sz="8" w:space="0" w:color="000000" w:themeColor="text1"/>
            </w:tcBorders>
            <w:shd w:val="clear" w:color="auto" w:fill="auto"/>
            <w:noWrap/>
            <w:vAlign w:val="center"/>
          </w:tcPr>
          <w:p w14:paraId="62DDF329"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91,710</w:t>
            </w:r>
          </w:p>
        </w:tc>
      </w:tr>
      <w:tr w:rsidR="00E07FE0" w:rsidRPr="00EE5714" w14:paraId="7349F308" w14:textId="77777777" w:rsidTr="00824DBE">
        <w:trPr>
          <w:trHeight w:hRule="exact" w:val="245"/>
        </w:trPr>
        <w:tc>
          <w:tcPr>
            <w:tcW w:w="2070" w:type="dxa"/>
            <w:shd w:val="clear" w:color="auto" w:fill="F2F2F2" w:themeFill="background1" w:themeFillShade="F2"/>
            <w:noWrap/>
            <w:vAlign w:val="center"/>
          </w:tcPr>
          <w:p w14:paraId="115ED612"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Gas</w:t>
            </w:r>
          </w:p>
        </w:tc>
        <w:tc>
          <w:tcPr>
            <w:tcW w:w="2610" w:type="dxa"/>
            <w:shd w:val="clear" w:color="auto" w:fill="F2F2F2" w:themeFill="background1" w:themeFillShade="F2"/>
            <w:noWrap/>
            <w:vAlign w:val="center"/>
          </w:tcPr>
          <w:p w14:paraId="7E471985" w14:textId="77777777" w:rsidR="00F303E0" w:rsidRPr="00EE5714" w:rsidRDefault="00F303E0" w:rsidP="00851815">
            <w:pPr>
              <w:keepNext/>
              <w:jc w:val="center"/>
              <w:rPr>
                <w:rFonts w:ascii="Calibri" w:hAnsi="Calibri" w:cs="Calibri"/>
                <w:sz w:val="21"/>
                <w:szCs w:val="21"/>
              </w:rPr>
            </w:pPr>
          </w:p>
        </w:tc>
        <w:tc>
          <w:tcPr>
            <w:tcW w:w="2790" w:type="dxa"/>
            <w:shd w:val="clear" w:color="auto" w:fill="F2F2F2" w:themeFill="background1" w:themeFillShade="F2"/>
            <w:noWrap/>
            <w:vAlign w:val="center"/>
          </w:tcPr>
          <w:p w14:paraId="08AB113C" w14:textId="77777777" w:rsidR="00F303E0" w:rsidRPr="00EE5714" w:rsidRDefault="00F303E0" w:rsidP="00851815">
            <w:pPr>
              <w:keepNext/>
              <w:jc w:val="center"/>
              <w:rPr>
                <w:rFonts w:ascii="Calibri" w:hAnsi="Calibri" w:cs="Calibri"/>
                <w:sz w:val="21"/>
                <w:szCs w:val="21"/>
              </w:rPr>
            </w:pPr>
          </w:p>
        </w:tc>
        <w:tc>
          <w:tcPr>
            <w:tcW w:w="2520" w:type="dxa"/>
            <w:shd w:val="clear" w:color="auto" w:fill="F2F2F2" w:themeFill="background1" w:themeFillShade="F2"/>
            <w:noWrap/>
            <w:vAlign w:val="center"/>
          </w:tcPr>
          <w:p w14:paraId="25C0DF79" w14:textId="77777777" w:rsidR="00F303E0" w:rsidRPr="00EE5714" w:rsidRDefault="00F303E0" w:rsidP="00851815">
            <w:pPr>
              <w:keepNext/>
              <w:jc w:val="center"/>
              <w:rPr>
                <w:rFonts w:ascii="Calibri" w:hAnsi="Calibri" w:cs="Calibri"/>
                <w:sz w:val="21"/>
                <w:szCs w:val="21"/>
              </w:rPr>
            </w:pPr>
          </w:p>
        </w:tc>
      </w:tr>
      <w:tr w:rsidR="00E07FE0" w:rsidRPr="00EE5714" w14:paraId="75813997" w14:textId="77777777" w:rsidTr="00824DBE">
        <w:trPr>
          <w:trHeight w:hRule="exact" w:val="245"/>
        </w:trPr>
        <w:tc>
          <w:tcPr>
            <w:tcW w:w="2070" w:type="dxa"/>
            <w:shd w:val="clear" w:color="auto" w:fill="auto"/>
            <w:noWrap/>
            <w:vAlign w:val="center"/>
          </w:tcPr>
          <w:p w14:paraId="76FD5E15" w14:textId="52D1844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710F4649"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25,936</w:t>
            </w:r>
          </w:p>
        </w:tc>
        <w:tc>
          <w:tcPr>
            <w:tcW w:w="2790" w:type="dxa"/>
            <w:shd w:val="clear" w:color="auto" w:fill="auto"/>
            <w:noWrap/>
            <w:vAlign w:val="center"/>
          </w:tcPr>
          <w:p w14:paraId="720845B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40,935</w:t>
            </w:r>
          </w:p>
        </w:tc>
        <w:tc>
          <w:tcPr>
            <w:tcW w:w="2520" w:type="dxa"/>
            <w:shd w:val="clear" w:color="auto" w:fill="auto"/>
            <w:noWrap/>
            <w:vAlign w:val="center"/>
          </w:tcPr>
          <w:p w14:paraId="42669C2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4,046</w:t>
            </w:r>
          </w:p>
        </w:tc>
      </w:tr>
      <w:tr w:rsidR="00E07FE0" w:rsidRPr="00EE5714" w14:paraId="0AABBA17" w14:textId="77777777" w:rsidTr="00824DBE">
        <w:trPr>
          <w:trHeight w:hRule="exact" w:val="245"/>
        </w:trPr>
        <w:tc>
          <w:tcPr>
            <w:tcW w:w="2070" w:type="dxa"/>
            <w:tcBorders>
              <w:bottom w:val="single" w:sz="8" w:space="0" w:color="000000" w:themeColor="text1"/>
            </w:tcBorders>
            <w:shd w:val="clear" w:color="auto" w:fill="auto"/>
            <w:noWrap/>
            <w:vAlign w:val="center"/>
          </w:tcPr>
          <w:p w14:paraId="798B433F"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6E9FCF94"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24,043</w:t>
            </w:r>
          </w:p>
        </w:tc>
        <w:tc>
          <w:tcPr>
            <w:tcW w:w="2790" w:type="dxa"/>
            <w:tcBorders>
              <w:bottom w:val="single" w:sz="8" w:space="0" w:color="000000" w:themeColor="text1"/>
            </w:tcBorders>
            <w:shd w:val="clear" w:color="auto" w:fill="auto"/>
            <w:noWrap/>
            <w:vAlign w:val="center"/>
          </w:tcPr>
          <w:p w14:paraId="03EB5F2C"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36,578</w:t>
            </w:r>
          </w:p>
        </w:tc>
        <w:tc>
          <w:tcPr>
            <w:tcW w:w="2520" w:type="dxa"/>
            <w:tcBorders>
              <w:bottom w:val="single" w:sz="8" w:space="0" w:color="000000" w:themeColor="text1"/>
            </w:tcBorders>
            <w:shd w:val="clear" w:color="auto" w:fill="auto"/>
            <w:noWrap/>
            <w:vAlign w:val="center"/>
          </w:tcPr>
          <w:p w14:paraId="77AEDEF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3,162</w:t>
            </w:r>
          </w:p>
        </w:tc>
      </w:tr>
      <w:tr w:rsidR="00E07FE0" w:rsidRPr="00EE5714" w14:paraId="5E96B644" w14:textId="77777777" w:rsidTr="00824DBE">
        <w:trPr>
          <w:trHeight w:hRule="exact" w:val="245"/>
        </w:trPr>
        <w:tc>
          <w:tcPr>
            <w:tcW w:w="2070" w:type="dxa"/>
            <w:shd w:val="clear" w:color="auto" w:fill="F2F2F2" w:themeFill="background1" w:themeFillShade="F2"/>
            <w:noWrap/>
            <w:vAlign w:val="center"/>
          </w:tcPr>
          <w:p w14:paraId="790EC59D"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PNG</w:t>
            </w:r>
          </w:p>
        </w:tc>
        <w:tc>
          <w:tcPr>
            <w:tcW w:w="2610" w:type="dxa"/>
            <w:shd w:val="clear" w:color="auto" w:fill="F2F2F2" w:themeFill="background1" w:themeFillShade="F2"/>
            <w:noWrap/>
            <w:vAlign w:val="center"/>
          </w:tcPr>
          <w:p w14:paraId="46C02041" w14:textId="77777777" w:rsidR="00F303E0" w:rsidRPr="00EE5714" w:rsidRDefault="00F303E0" w:rsidP="00851815">
            <w:pPr>
              <w:keepNext/>
              <w:jc w:val="center"/>
              <w:rPr>
                <w:rFonts w:ascii="Calibri" w:hAnsi="Calibri" w:cs="Calibri"/>
                <w:sz w:val="21"/>
                <w:szCs w:val="21"/>
              </w:rPr>
            </w:pPr>
          </w:p>
        </w:tc>
        <w:tc>
          <w:tcPr>
            <w:tcW w:w="2790" w:type="dxa"/>
            <w:shd w:val="clear" w:color="auto" w:fill="F2F2F2" w:themeFill="background1" w:themeFillShade="F2"/>
            <w:noWrap/>
            <w:vAlign w:val="center"/>
          </w:tcPr>
          <w:p w14:paraId="53A24025" w14:textId="77777777" w:rsidR="00F303E0" w:rsidRPr="00EE5714" w:rsidRDefault="00F303E0" w:rsidP="00851815">
            <w:pPr>
              <w:keepNext/>
              <w:jc w:val="center"/>
              <w:rPr>
                <w:rFonts w:ascii="Calibri" w:hAnsi="Calibri" w:cs="Calibri"/>
                <w:sz w:val="21"/>
                <w:szCs w:val="21"/>
              </w:rPr>
            </w:pPr>
          </w:p>
        </w:tc>
        <w:tc>
          <w:tcPr>
            <w:tcW w:w="2520" w:type="dxa"/>
            <w:shd w:val="clear" w:color="auto" w:fill="F2F2F2" w:themeFill="background1" w:themeFillShade="F2"/>
            <w:noWrap/>
            <w:vAlign w:val="center"/>
          </w:tcPr>
          <w:p w14:paraId="12839FD0" w14:textId="77777777" w:rsidR="00F303E0" w:rsidRPr="00EE5714" w:rsidRDefault="00F303E0" w:rsidP="00851815">
            <w:pPr>
              <w:keepNext/>
              <w:jc w:val="center"/>
              <w:rPr>
                <w:rFonts w:ascii="Calibri" w:hAnsi="Calibri" w:cs="Calibri"/>
                <w:sz w:val="21"/>
                <w:szCs w:val="21"/>
              </w:rPr>
            </w:pPr>
          </w:p>
        </w:tc>
      </w:tr>
      <w:tr w:rsidR="00E07FE0" w:rsidRPr="00EE5714" w14:paraId="1675E101" w14:textId="77777777" w:rsidTr="00824DBE">
        <w:trPr>
          <w:trHeight w:hRule="exact" w:val="245"/>
        </w:trPr>
        <w:tc>
          <w:tcPr>
            <w:tcW w:w="2070" w:type="dxa"/>
            <w:shd w:val="clear" w:color="auto" w:fill="auto"/>
            <w:noWrap/>
            <w:vAlign w:val="center"/>
          </w:tcPr>
          <w:p w14:paraId="56DB4863" w14:textId="4ACC7288"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3574D735"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12,240</w:t>
            </w:r>
          </w:p>
        </w:tc>
        <w:tc>
          <w:tcPr>
            <w:tcW w:w="2790" w:type="dxa"/>
            <w:shd w:val="clear" w:color="auto" w:fill="auto"/>
            <w:noWrap/>
            <w:vAlign w:val="center"/>
          </w:tcPr>
          <w:p w14:paraId="5E70CC8A"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33,413</w:t>
            </w:r>
          </w:p>
        </w:tc>
        <w:tc>
          <w:tcPr>
            <w:tcW w:w="2520" w:type="dxa"/>
            <w:shd w:val="clear" w:color="auto" w:fill="auto"/>
            <w:noWrap/>
            <w:vAlign w:val="center"/>
          </w:tcPr>
          <w:p w14:paraId="2863C47E"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4,557</w:t>
            </w:r>
          </w:p>
        </w:tc>
      </w:tr>
      <w:tr w:rsidR="00E07FE0" w:rsidRPr="00EE5714" w14:paraId="58531E98" w14:textId="77777777" w:rsidTr="00824DBE">
        <w:trPr>
          <w:trHeight w:hRule="exact" w:val="245"/>
        </w:trPr>
        <w:tc>
          <w:tcPr>
            <w:tcW w:w="2070" w:type="dxa"/>
            <w:tcBorders>
              <w:bottom w:val="single" w:sz="8" w:space="0" w:color="000000" w:themeColor="text1"/>
            </w:tcBorders>
            <w:shd w:val="clear" w:color="auto" w:fill="auto"/>
            <w:noWrap/>
            <w:vAlign w:val="center"/>
          </w:tcPr>
          <w:p w14:paraId="4345A4ED"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61D4EF7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11,157</w:t>
            </w:r>
          </w:p>
        </w:tc>
        <w:tc>
          <w:tcPr>
            <w:tcW w:w="2790" w:type="dxa"/>
            <w:tcBorders>
              <w:bottom w:val="single" w:sz="8" w:space="0" w:color="000000" w:themeColor="text1"/>
            </w:tcBorders>
            <w:shd w:val="clear" w:color="auto" w:fill="auto"/>
            <w:noWrap/>
            <w:vAlign w:val="center"/>
          </w:tcPr>
          <w:p w14:paraId="40F37A2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30,699</w:t>
            </w:r>
          </w:p>
        </w:tc>
        <w:tc>
          <w:tcPr>
            <w:tcW w:w="2520" w:type="dxa"/>
            <w:tcBorders>
              <w:bottom w:val="single" w:sz="8" w:space="0" w:color="000000" w:themeColor="text1"/>
            </w:tcBorders>
            <w:shd w:val="clear" w:color="auto" w:fill="auto"/>
            <w:noWrap/>
            <w:vAlign w:val="center"/>
          </w:tcPr>
          <w:p w14:paraId="57A10BEB"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3,727</w:t>
            </w:r>
          </w:p>
        </w:tc>
      </w:tr>
    </w:tbl>
    <w:p w14:paraId="07C9A076" w14:textId="77777777" w:rsidR="00F303E0" w:rsidRPr="00EE5714" w:rsidRDefault="00F303E0" w:rsidP="00F303E0">
      <w:pPr>
        <w:pStyle w:val="NoSpacing"/>
        <w:rPr>
          <w:rFonts w:cs="Times New Roman"/>
          <w:sz w:val="24"/>
          <w:szCs w:val="24"/>
        </w:rPr>
      </w:pPr>
      <w:r w:rsidRPr="00EE5714">
        <w:rPr>
          <w:rFonts w:cs="Times New Roman"/>
          <w:sz w:val="24"/>
          <w:szCs w:val="24"/>
        </w:rPr>
        <w:t>*NFG only provided aggregate data for the 0-150% FPIG level.</w:t>
      </w:r>
    </w:p>
    <w:p w14:paraId="5D1D9047" w14:textId="77777777" w:rsidR="00F303E0" w:rsidRPr="00EE5714" w:rsidRDefault="00F303E0" w:rsidP="00F303E0">
      <w:pPr>
        <w:pStyle w:val="NoSpacing"/>
        <w:rPr>
          <w:rFonts w:cs="Times New Roman"/>
          <w:szCs w:val="26"/>
        </w:rPr>
      </w:pPr>
    </w:p>
    <w:p w14:paraId="5234E396" w14:textId="77777777" w:rsidR="00F303E0" w:rsidRPr="00EE5714" w:rsidRDefault="00F303E0" w:rsidP="00F303E0">
      <w:pPr>
        <w:pStyle w:val="NoSpacing"/>
        <w:rPr>
          <w:rFonts w:cs="Times New Roman"/>
          <w:szCs w:val="26"/>
        </w:rPr>
      </w:pPr>
    </w:p>
    <w:p w14:paraId="520BCBA1" w14:textId="09B1BA82" w:rsidR="00F303E0" w:rsidRPr="00EE5714" w:rsidRDefault="00F303E0">
      <w:pPr>
        <w:pStyle w:val="NoSpacing"/>
        <w:keepNext/>
        <w:rPr>
          <w:rFonts w:cs="Times New Roman"/>
        </w:rPr>
      </w:pPr>
      <w:r w:rsidRPr="00EE5714">
        <w:rPr>
          <w:rFonts w:cs="Times New Roman"/>
        </w:rPr>
        <w:t xml:space="preserve">Appendix </w:t>
      </w:r>
      <w:r w:rsidR="00F857A1" w:rsidRPr="00EE5714">
        <w:rPr>
          <w:rFonts w:cs="Times New Roman"/>
        </w:rPr>
        <w:t>5</w:t>
      </w:r>
      <w:r w:rsidRPr="00EE5714">
        <w:rPr>
          <w:rFonts w:cs="Times New Roman"/>
        </w:rPr>
        <w:t xml:space="preserve">.B.2: </w:t>
      </w:r>
      <w:r w:rsidRPr="00EE5714">
        <w:rPr>
          <w:rFonts w:eastAsia="Times New Roman" w:cs="Times New Roman"/>
          <w:b/>
          <w:bCs/>
          <w:color w:val="000000"/>
        </w:rPr>
        <w:t xml:space="preserve">NGDC CAP Bills </w:t>
      </w:r>
      <w:r w:rsidR="00923EA8" w:rsidRPr="00EE5714">
        <w:rPr>
          <w:rFonts w:eastAsia="Times New Roman" w:cs="Times New Roman"/>
          <w:b/>
          <w:bCs/>
          <w:color w:val="000000"/>
        </w:rPr>
        <w:t>Issued</w:t>
      </w:r>
      <w:r w:rsidRPr="00EE5714">
        <w:rPr>
          <w:rFonts w:eastAsia="Times New Roman" w:cs="Times New Roman"/>
          <w:b/>
          <w:bCs/>
          <w:color w:val="000000"/>
        </w:rPr>
        <w:t xml:space="preserve"> and Paid In-Full</w:t>
      </w:r>
    </w:p>
    <w:tbl>
      <w:tblPr>
        <w:tblW w:w="999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70"/>
        <w:gridCol w:w="2610"/>
        <w:gridCol w:w="2790"/>
        <w:gridCol w:w="2520"/>
      </w:tblGrid>
      <w:tr w:rsidR="00F303E0" w:rsidRPr="00EE5714" w14:paraId="4782DD12" w14:textId="77777777" w:rsidTr="00824DBE">
        <w:trPr>
          <w:trHeight w:val="313"/>
        </w:trPr>
        <w:tc>
          <w:tcPr>
            <w:tcW w:w="2070" w:type="dxa"/>
            <w:vMerge w:val="restart"/>
            <w:shd w:val="clear" w:color="auto" w:fill="auto"/>
            <w:noWrap/>
            <w:vAlign w:val="center"/>
            <w:hideMark/>
          </w:tcPr>
          <w:p w14:paraId="298FCD09" w14:textId="77777777" w:rsidR="00F303E0" w:rsidRPr="00EE5714" w:rsidRDefault="00F303E0" w:rsidP="00CE67A6">
            <w:pPr>
              <w:keepNext/>
              <w:spacing w:after="0" w:line="240" w:lineRule="auto"/>
              <w:jc w:val="center"/>
              <w:rPr>
                <w:rFonts w:ascii="Calibri" w:eastAsia="Times New Roman" w:hAnsi="Calibri" w:cs="Calibri"/>
                <w:b/>
                <w:bCs/>
                <w:color w:val="000000"/>
                <w:szCs w:val="24"/>
              </w:rPr>
            </w:pPr>
            <w:r w:rsidRPr="00EE5714">
              <w:rPr>
                <w:rFonts w:ascii="Calibri" w:eastAsia="Times New Roman" w:hAnsi="Calibri" w:cs="Calibri"/>
                <w:b/>
                <w:bCs/>
                <w:color w:val="000000"/>
                <w:szCs w:val="24"/>
              </w:rPr>
              <w:t>2013</w:t>
            </w:r>
          </w:p>
        </w:tc>
        <w:tc>
          <w:tcPr>
            <w:tcW w:w="7920" w:type="dxa"/>
            <w:gridSpan w:val="3"/>
            <w:tcBorders>
              <w:right w:val="single" w:sz="8" w:space="0" w:color="000000" w:themeColor="text1"/>
            </w:tcBorders>
            <w:shd w:val="clear" w:color="auto" w:fill="D9D9D9" w:themeFill="background1" w:themeFillShade="D9"/>
            <w:noWrap/>
            <w:vAlign w:val="bottom"/>
            <w:hideMark/>
          </w:tcPr>
          <w:p w14:paraId="0CB99B2E" w14:textId="024CD217" w:rsidR="00F303E0" w:rsidRPr="00EE5714" w:rsidRDefault="00F303E0" w:rsidP="00CE67A6">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rPr>
              <w:t xml:space="preserve">NGDC CAP Bills </w:t>
            </w:r>
            <w:r w:rsidR="00923EA8" w:rsidRPr="00EE5714">
              <w:rPr>
                <w:rFonts w:ascii="Calibri" w:eastAsia="Times New Roman" w:hAnsi="Calibri" w:cs="Calibri"/>
                <w:b/>
                <w:bCs/>
                <w:color w:val="000000"/>
              </w:rPr>
              <w:t>Issued</w:t>
            </w:r>
            <w:r w:rsidRPr="00EE5714">
              <w:rPr>
                <w:rFonts w:ascii="Calibri" w:eastAsia="Times New Roman" w:hAnsi="Calibri" w:cs="Calibri"/>
                <w:b/>
                <w:bCs/>
                <w:color w:val="000000"/>
              </w:rPr>
              <w:t xml:space="preserve"> and Paid In-Full</w:t>
            </w:r>
          </w:p>
        </w:tc>
      </w:tr>
      <w:tr w:rsidR="00F303E0" w:rsidRPr="00EE5714" w14:paraId="5B786C5E" w14:textId="77777777" w:rsidTr="00824DBE">
        <w:trPr>
          <w:trHeight w:val="72"/>
        </w:trPr>
        <w:tc>
          <w:tcPr>
            <w:tcW w:w="2070" w:type="dxa"/>
            <w:vMerge/>
            <w:shd w:val="clear" w:color="auto" w:fill="auto"/>
            <w:vAlign w:val="center"/>
            <w:hideMark/>
          </w:tcPr>
          <w:p w14:paraId="0267DF93" w14:textId="77777777" w:rsidR="00F303E0" w:rsidRPr="00EE5714" w:rsidRDefault="00F303E0" w:rsidP="00CE67A6">
            <w:pPr>
              <w:keepNext/>
              <w:spacing w:after="0" w:line="240" w:lineRule="auto"/>
              <w:rPr>
                <w:rFonts w:ascii="Calibri" w:eastAsia="Times New Roman" w:hAnsi="Calibri" w:cs="Calibri"/>
                <w:b/>
                <w:bCs/>
                <w:color w:val="000000"/>
              </w:rPr>
            </w:pPr>
          </w:p>
        </w:tc>
        <w:tc>
          <w:tcPr>
            <w:tcW w:w="2610" w:type="dxa"/>
            <w:tcBorders>
              <w:bottom w:val="single" w:sz="8" w:space="0" w:color="000000" w:themeColor="text1"/>
            </w:tcBorders>
            <w:shd w:val="clear" w:color="auto" w:fill="auto"/>
            <w:noWrap/>
            <w:vAlign w:val="bottom"/>
            <w:hideMark/>
          </w:tcPr>
          <w:p w14:paraId="65F8AA52"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 FPIG</w:t>
            </w:r>
          </w:p>
        </w:tc>
        <w:tc>
          <w:tcPr>
            <w:tcW w:w="2790" w:type="dxa"/>
            <w:tcBorders>
              <w:bottom w:val="single" w:sz="8" w:space="0" w:color="000000" w:themeColor="text1"/>
            </w:tcBorders>
            <w:shd w:val="clear" w:color="auto" w:fill="auto"/>
            <w:noWrap/>
            <w:vAlign w:val="bottom"/>
            <w:hideMark/>
          </w:tcPr>
          <w:p w14:paraId="0FAAF42B"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 FPIG</w:t>
            </w:r>
          </w:p>
        </w:tc>
        <w:tc>
          <w:tcPr>
            <w:tcW w:w="2520" w:type="dxa"/>
            <w:tcBorders>
              <w:bottom w:val="single" w:sz="8" w:space="0" w:color="000000" w:themeColor="text1"/>
              <w:right w:val="single" w:sz="8" w:space="0" w:color="000000" w:themeColor="text1"/>
            </w:tcBorders>
            <w:shd w:val="clear" w:color="auto" w:fill="auto"/>
            <w:noWrap/>
            <w:vAlign w:val="bottom"/>
            <w:hideMark/>
          </w:tcPr>
          <w:p w14:paraId="2C65E113"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 FPIG</w:t>
            </w:r>
          </w:p>
        </w:tc>
      </w:tr>
      <w:tr w:rsidR="00F303E0" w:rsidRPr="00EE5714" w14:paraId="75152D1C" w14:textId="77777777" w:rsidTr="00824DBE">
        <w:trPr>
          <w:trHeight w:hRule="exact" w:val="245"/>
        </w:trPr>
        <w:tc>
          <w:tcPr>
            <w:tcW w:w="2070" w:type="dxa"/>
            <w:tcBorders>
              <w:bottom w:val="single" w:sz="8" w:space="0" w:color="000000" w:themeColor="text1"/>
            </w:tcBorders>
            <w:shd w:val="clear" w:color="auto" w:fill="F2F2F2" w:themeFill="background1" w:themeFillShade="F2"/>
            <w:noWrap/>
            <w:vAlign w:val="center"/>
          </w:tcPr>
          <w:p w14:paraId="35E24384" w14:textId="77777777" w:rsidR="00F303E0" w:rsidRPr="00EE5714" w:rsidRDefault="00F303E0" w:rsidP="00851815">
            <w:pPr>
              <w:keepNext/>
              <w:rPr>
                <w:rFonts w:eastAsia="Times New Roman" w:cstheme="minorHAnsi"/>
                <w:b/>
                <w:color w:val="000000"/>
                <w:sz w:val="21"/>
                <w:szCs w:val="21"/>
              </w:rPr>
            </w:pPr>
            <w:r w:rsidRPr="00EE5714">
              <w:rPr>
                <w:rFonts w:eastAsia="Times New Roman" w:cstheme="minorHAnsi"/>
                <w:b/>
                <w:color w:val="000000"/>
                <w:sz w:val="21"/>
                <w:szCs w:val="21"/>
              </w:rPr>
              <w:t>Columbia</w:t>
            </w:r>
          </w:p>
        </w:tc>
        <w:tc>
          <w:tcPr>
            <w:tcW w:w="2610" w:type="dxa"/>
            <w:tcBorders>
              <w:bottom w:val="single" w:sz="8" w:space="0" w:color="000000" w:themeColor="text1"/>
            </w:tcBorders>
            <w:shd w:val="clear" w:color="auto" w:fill="F2F2F2" w:themeFill="background1" w:themeFillShade="F2"/>
            <w:noWrap/>
            <w:vAlign w:val="center"/>
          </w:tcPr>
          <w:p w14:paraId="4444F1F9" w14:textId="77777777" w:rsidR="00F303E0" w:rsidRPr="00EE5714" w:rsidRDefault="00F303E0" w:rsidP="00851815">
            <w:pPr>
              <w:keepNext/>
              <w:jc w:val="center"/>
              <w:rPr>
                <w:rFonts w:cstheme="minorHAnsi"/>
                <w:sz w:val="21"/>
                <w:szCs w:val="21"/>
              </w:rPr>
            </w:pPr>
          </w:p>
        </w:tc>
        <w:tc>
          <w:tcPr>
            <w:tcW w:w="2790" w:type="dxa"/>
            <w:tcBorders>
              <w:bottom w:val="single" w:sz="8" w:space="0" w:color="000000" w:themeColor="text1"/>
            </w:tcBorders>
            <w:shd w:val="clear" w:color="auto" w:fill="F2F2F2" w:themeFill="background1" w:themeFillShade="F2"/>
            <w:noWrap/>
            <w:vAlign w:val="center"/>
          </w:tcPr>
          <w:p w14:paraId="2403C130" w14:textId="77777777" w:rsidR="00F303E0" w:rsidRPr="00EE5714" w:rsidRDefault="00F303E0" w:rsidP="00851815">
            <w:pPr>
              <w:keepNext/>
              <w:jc w:val="center"/>
              <w:rPr>
                <w:rFonts w:cstheme="minorHAnsi"/>
                <w:sz w:val="21"/>
                <w:szCs w:val="21"/>
              </w:rPr>
            </w:pPr>
          </w:p>
        </w:tc>
        <w:tc>
          <w:tcPr>
            <w:tcW w:w="2520" w:type="dxa"/>
            <w:tcBorders>
              <w:bottom w:val="single" w:sz="8" w:space="0" w:color="000000" w:themeColor="text1"/>
              <w:right w:val="single" w:sz="8" w:space="0" w:color="000000" w:themeColor="text1"/>
            </w:tcBorders>
            <w:shd w:val="clear" w:color="auto" w:fill="F2F2F2" w:themeFill="background1" w:themeFillShade="F2"/>
            <w:noWrap/>
            <w:vAlign w:val="center"/>
          </w:tcPr>
          <w:p w14:paraId="3F171F36" w14:textId="77777777" w:rsidR="00F303E0" w:rsidRPr="00EE5714" w:rsidRDefault="00F303E0" w:rsidP="00851815">
            <w:pPr>
              <w:keepNext/>
              <w:jc w:val="center"/>
              <w:rPr>
                <w:rFonts w:cstheme="minorHAnsi"/>
                <w:sz w:val="21"/>
                <w:szCs w:val="21"/>
              </w:rPr>
            </w:pPr>
          </w:p>
        </w:tc>
      </w:tr>
      <w:tr w:rsidR="00F303E0" w:rsidRPr="00EE5714" w14:paraId="79E3D47D" w14:textId="77777777" w:rsidTr="00824DBE">
        <w:trPr>
          <w:trHeight w:hRule="exact" w:val="245"/>
        </w:trPr>
        <w:tc>
          <w:tcPr>
            <w:tcW w:w="2070" w:type="dxa"/>
            <w:shd w:val="clear" w:color="auto" w:fill="auto"/>
            <w:noWrap/>
            <w:vAlign w:val="center"/>
          </w:tcPr>
          <w:p w14:paraId="48708AD9" w14:textId="58246D0F" w:rsidR="00F303E0" w:rsidRPr="00EE5714" w:rsidRDefault="00F303E0">
            <w:pPr>
              <w:keepNext/>
              <w:rPr>
                <w:rFonts w:eastAsia="Times New Roman"/>
                <w:color w:val="000000"/>
                <w:sz w:val="21"/>
                <w:szCs w:val="21"/>
              </w:rPr>
            </w:pPr>
            <w:r w:rsidRPr="00EE5714">
              <w:rPr>
                <w:rFonts w:eastAsia="Times New Roman"/>
                <w:color w:val="000000"/>
                <w:sz w:val="21"/>
                <w:szCs w:val="21"/>
              </w:rPr>
              <w:t xml:space="preserve">Bills </w:t>
            </w:r>
            <w:r w:rsidR="00923EA8" w:rsidRPr="00EE5714">
              <w:rPr>
                <w:rFonts w:eastAsia="Times New Roman"/>
                <w:color w:val="000000"/>
                <w:sz w:val="21"/>
                <w:szCs w:val="21"/>
              </w:rPr>
              <w:t>Issued</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208B9474" w14:textId="77777777" w:rsidR="00F303E0" w:rsidRPr="00EE5714" w:rsidRDefault="00F303E0" w:rsidP="00851815">
            <w:pPr>
              <w:keepNext/>
              <w:jc w:val="center"/>
              <w:rPr>
                <w:rFonts w:cstheme="minorHAnsi"/>
                <w:sz w:val="21"/>
                <w:szCs w:val="21"/>
              </w:rPr>
            </w:pPr>
            <w:r w:rsidRPr="00EE5714">
              <w:rPr>
                <w:rFonts w:cstheme="minorHAnsi"/>
                <w:sz w:val="21"/>
                <w:szCs w:val="21"/>
              </w:rPr>
              <w:t>53,518</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25CAF604" w14:textId="77777777" w:rsidR="00F303E0" w:rsidRPr="00EE5714" w:rsidRDefault="00F303E0" w:rsidP="00851815">
            <w:pPr>
              <w:keepNext/>
              <w:jc w:val="center"/>
              <w:rPr>
                <w:rFonts w:cstheme="minorHAnsi"/>
                <w:sz w:val="21"/>
                <w:szCs w:val="21"/>
              </w:rPr>
            </w:pPr>
            <w:r w:rsidRPr="00EE5714">
              <w:rPr>
                <w:rFonts w:cstheme="minorHAnsi"/>
                <w:sz w:val="21"/>
                <w:szCs w:val="21"/>
              </w:rPr>
              <w:t>110,862</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764CC30E" w14:textId="77777777" w:rsidR="00F303E0" w:rsidRPr="00EE5714" w:rsidRDefault="00F303E0" w:rsidP="00851815">
            <w:pPr>
              <w:keepNext/>
              <w:jc w:val="center"/>
              <w:rPr>
                <w:rFonts w:cstheme="minorHAnsi"/>
                <w:sz w:val="21"/>
                <w:szCs w:val="21"/>
              </w:rPr>
            </w:pPr>
            <w:r w:rsidRPr="00EE5714">
              <w:rPr>
                <w:rFonts w:cstheme="minorHAnsi"/>
                <w:sz w:val="21"/>
                <w:szCs w:val="21"/>
              </w:rPr>
              <w:t>68,823</w:t>
            </w:r>
          </w:p>
        </w:tc>
      </w:tr>
      <w:tr w:rsidR="00F303E0" w:rsidRPr="00EE5714" w14:paraId="4D3D1B6D" w14:textId="77777777" w:rsidTr="00824DBE">
        <w:trPr>
          <w:trHeight w:hRule="exact" w:val="245"/>
        </w:trPr>
        <w:tc>
          <w:tcPr>
            <w:tcW w:w="2070" w:type="dxa"/>
            <w:tcBorders>
              <w:bottom w:val="single" w:sz="8" w:space="0" w:color="000000" w:themeColor="text1"/>
            </w:tcBorders>
            <w:shd w:val="clear" w:color="auto" w:fill="auto"/>
            <w:noWrap/>
            <w:vAlign w:val="center"/>
          </w:tcPr>
          <w:p w14:paraId="345BA889" w14:textId="77777777" w:rsidR="00F303E0" w:rsidRPr="00EE5714" w:rsidRDefault="00F303E0" w:rsidP="00851815">
            <w:pPr>
              <w:keepNext/>
              <w:rPr>
                <w:rFonts w:eastAsia="Times New Roman" w:cstheme="minorHAnsi"/>
                <w:color w:val="000000"/>
                <w:sz w:val="21"/>
                <w:szCs w:val="21"/>
              </w:rPr>
            </w:pPr>
            <w:r w:rsidRPr="00EE5714">
              <w:rPr>
                <w:rFonts w:eastAsia="Times New Roman" w:cstheme="minorHAnsi"/>
                <w:color w:val="000000"/>
                <w:sz w:val="21"/>
                <w:szCs w:val="21"/>
              </w:rPr>
              <w:t>Bills Paid in Full</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3B5D639D" w14:textId="77777777" w:rsidR="00F303E0" w:rsidRPr="00EE5714" w:rsidRDefault="00F303E0" w:rsidP="00851815">
            <w:pPr>
              <w:keepNext/>
              <w:jc w:val="center"/>
              <w:rPr>
                <w:rFonts w:cstheme="minorHAnsi"/>
                <w:sz w:val="21"/>
                <w:szCs w:val="21"/>
              </w:rPr>
            </w:pPr>
            <w:r w:rsidRPr="00EE5714">
              <w:rPr>
                <w:rFonts w:cstheme="minorHAnsi"/>
                <w:sz w:val="21"/>
                <w:szCs w:val="21"/>
              </w:rPr>
              <w:t>27,642</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8C361B2" w14:textId="77777777" w:rsidR="00F303E0" w:rsidRPr="00EE5714" w:rsidRDefault="00F303E0" w:rsidP="00851815">
            <w:pPr>
              <w:keepNext/>
              <w:jc w:val="center"/>
              <w:rPr>
                <w:rFonts w:cstheme="minorHAnsi"/>
                <w:sz w:val="21"/>
                <w:szCs w:val="21"/>
              </w:rPr>
            </w:pPr>
            <w:r w:rsidRPr="00EE5714">
              <w:rPr>
                <w:rFonts w:cstheme="minorHAnsi"/>
                <w:sz w:val="21"/>
                <w:szCs w:val="21"/>
              </w:rPr>
              <w:t>65,457</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A878D1B" w14:textId="77777777" w:rsidR="00F303E0" w:rsidRPr="00EE5714" w:rsidRDefault="00F303E0" w:rsidP="00851815">
            <w:pPr>
              <w:keepNext/>
              <w:jc w:val="center"/>
              <w:rPr>
                <w:rFonts w:cstheme="minorHAnsi"/>
                <w:sz w:val="21"/>
                <w:szCs w:val="21"/>
              </w:rPr>
            </w:pPr>
            <w:r w:rsidRPr="00EE5714">
              <w:rPr>
                <w:rFonts w:cstheme="minorHAnsi"/>
                <w:sz w:val="21"/>
                <w:szCs w:val="21"/>
              </w:rPr>
              <w:t>42,395</w:t>
            </w:r>
          </w:p>
        </w:tc>
      </w:tr>
      <w:tr w:rsidR="00F303E0" w:rsidRPr="00EE5714" w14:paraId="1319FFB6" w14:textId="77777777" w:rsidTr="00824DBE">
        <w:trPr>
          <w:trHeight w:hRule="exact" w:val="245"/>
        </w:trPr>
        <w:tc>
          <w:tcPr>
            <w:tcW w:w="2070" w:type="dxa"/>
            <w:shd w:val="clear" w:color="auto" w:fill="F2F2F2" w:themeFill="background1" w:themeFillShade="F2"/>
            <w:noWrap/>
            <w:vAlign w:val="center"/>
          </w:tcPr>
          <w:p w14:paraId="3C51FD8A" w14:textId="77777777" w:rsidR="00F303E0" w:rsidRPr="00EE5714" w:rsidRDefault="00F303E0" w:rsidP="00851815">
            <w:pPr>
              <w:keepNext/>
              <w:rPr>
                <w:rFonts w:eastAsia="Times New Roman" w:cstheme="minorHAnsi"/>
                <w:b/>
                <w:bCs/>
                <w:color w:val="000000"/>
                <w:sz w:val="21"/>
                <w:szCs w:val="21"/>
              </w:rPr>
            </w:pPr>
            <w:r w:rsidRPr="00EE5714">
              <w:rPr>
                <w:rFonts w:eastAsia="Times New Roman" w:cstheme="minorHAnsi"/>
                <w:b/>
                <w:bCs/>
                <w:color w:val="000000"/>
                <w:sz w:val="21"/>
                <w:szCs w:val="21"/>
              </w:rPr>
              <w:t>NFG*</w:t>
            </w:r>
          </w:p>
        </w:tc>
        <w:tc>
          <w:tcPr>
            <w:tcW w:w="2610" w:type="dxa"/>
            <w:tcBorders>
              <w:top w:val="single" w:sz="8" w:space="0" w:color="000000" w:themeColor="text1"/>
            </w:tcBorders>
            <w:shd w:val="clear" w:color="auto" w:fill="F2F2F2" w:themeFill="background1" w:themeFillShade="F2"/>
            <w:noWrap/>
            <w:vAlign w:val="center"/>
          </w:tcPr>
          <w:p w14:paraId="307861EA" w14:textId="77777777" w:rsidR="00F303E0" w:rsidRPr="00EE5714" w:rsidRDefault="00F303E0" w:rsidP="00851815">
            <w:pPr>
              <w:keepNext/>
              <w:jc w:val="center"/>
              <w:rPr>
                <w:rFonts w:eastAsia="Times New Roman" w:cstheme="minorHAnsi"/>
                <w:sz w:val="21"/>
                <w:szCs w:val="21"/>
              </w:rPr>
            </w:pPr>
          </w:p>
        </w:tc>
        <w:tc>
          <w:tcPr>
            <w:tcW w:w="2790" w:type="dxa"/>
            <w:tcBorders>
              <w:top w:val="single" w:sz="8" w:space="0" w:color="000000" w:themeColor="text1"/>
            </w:tcBorders>
            <w:shd w:val="clear" w:color="auto" w:fill="F2F2F2" w:themeFill="background1" w:themeFillShade="F2"/>
            <w:noWrap/>
            <w:vAlign w:val="center"/>
          </w:tcPr>
          <w:p w14:paraId="15510C20" w14:textId="77777777" w:rsidR="00F303E0" w:rsidRPr="00EE5714" w:rsidRDefault="00F303E0" w:rsidP="00851815">
            <w:pPr>
              <w:keepNext/>
              <w:jc w:val="center"/>
              <w:rPr>
                <w:rFonts w:eastAsia="Times New Roman" w:cstheme="minorHAnsi"/>
                <w:sz w:val="21"/>
                <w:szCs w:val="21"/>
              </w:rPr>
            </w:pPr>
          </w:p>
        </w:tc>
        <w:tc>
          <w:tcPr>
            <w:tcW w:w="2520"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noWrap/>
            <w:vAlign w:val="center"/>
          </w:tcPr>
          <w:p w14:paraId="614AF15A" w14:textId="77777777" w:rsidR="00F303E0" w:rsidRPr="00EE5714" w:rsidRDefault="00F303E0" w:rsidP="00851815">
            <w:pPr>
              <w:keepNext/>
              <w:jc w:val="center"/>
              <w:rPr>
                <w:rFonts w:eastAsia="Times New Roman" w:cstheme="minorHAnsi"/>
                <w:sz w:val="21"/>
                <w:szCs w:val="21"/>
              </w:rPr>
            </w:pPr>
          </w:p>
        </w:tc>
      </w:tr>
      <w:tr w:rsidR="00F303E0" w:rsidRPr="00EE5714" w14:paraId="55BC7BA8" w14:textId="77777777" w:rsidTr="00824DBE">
        <w:trPr>
          <w:trHeight w:hRule="exact" w:val="245"/>
        </w:trPr>
        <w:tc>
          <w:tcPr>
            <w:tcW w:w="2070" w:type="dxa"/>
            <w:shd w:val="clear" w:color="auto" w:fill="auto"/>
            <w:noWrap/>
            <w:vAlign w:val="center"/>
          </w:tcPr>
          <w:p w14:paraId="67739FD0" w14:textId="0878B4D8" w:rsidR="00F303E0" w:rsidRPr="00EE5714" w:rsidRDefault="00F303E0">
            <w:pPr>
              <w:keepNext/>
              <w:rPr>
                <w:rFonts w:eastAsia="Times New Roman"/>
                <w:color w:val="000000"/>
                <w:sz w:val="21"/>
                <w:szCs w:val="21"/>
              </w:rPr>
            </w:pPr>
            <w:r w:rsidRPr="00EE5714">
              <w:rPr>
                <w:rFonts w:eastAsia="Times New Roman"/>
                <w:color w:val="000000"/>
                <w:sz w:val="21"/>
                <w:szCs w:val="21"/>
              </w:rPr>
              <w:t xml:space="preserve">Bills </w:t>
            </w:r>
            <w:r w:rsidR="00923EA8" w:rsidRPr="00EE5714">
              <w:rPr>
                <w:rFonts w:eastAsia="Times New Roman"/>
                <w:color w:val="000000"/>
                <w:sz w:val="21"/>
                <w:szCs w:val="21"/>
              </w:rPr>
              <w:t>Issued</w:t>
            </w:r>
          </w:p>
        </w:tc>
        <w:tc>
          <w:tcPr>
            <w:tcW w:w="2610" w:type="dxa"/>
            <w:shd w:val="clear" w:color="auto" w:fill="auto"/>
            <w:noWrap/>
            <w:vAlign w:val="center"/>
          </w:tcPr>
          <w:p w14:paraId="59C6DF54" w14:textId="77777777" w:rsidR="00F303E0" w:rsidRPr="00EE5714" w:rsidRDefault="00F303E0" w:rsidP="00851815">
            <w:pPr>
              <w:keepNext/>
              <w:jc w:val="center"/>
              <w:rPr>
                <w:rFonts w:eastAsia="Times New Roman" w:cstheme="minorHAnsi"/>
                <w:sz w:val="21"/>
                <w:szCs w:val="21"/>
              </w:rPr>
            </w:pPr>
            <w:r w:rsidRPr="00EE5714">
              <w:rPr>
                <w:rFonts w:eastAsia="Times New Roman" w:cstheme="minorHAnsi"/>
                <w:sz w:val="21"/>
                <w:szCs w:val="21"/>
              </w:rPr>
              <w:t>N/A</w:t>
            </w:r>
          </w:p>
        </w:tc>
        <w:tc>
          <w:tcPr>
            <w:tcW w:w="2790" w:type="dxa"/>
            <w:shd w:val="clear" w:color="auto" w:fill="auto"/>
            <w:noWrap/>
            <w:vAlign w:val="center"/>
          </w:tcPr>
          <w:p w14:paraId="3D728184" w14:textId="77777777" w:rsidR="00F303E0" w:rsidRPr="00EE5714" w:rsidRDefault="00F303E0" w:rsidP="00851815">
            <w:pPr>
              <w:keepNext/>
              <w:jc w:val="center"/>
              <w:rPr>
                <w:rFonts w:eastAsia="Times New Roman" w:cstheme="minorHAnsi"/>
                <w:sz w:val="21"/>
                <w:szCs w:val="21"/>
              </w:rPr>
            </w:pPr>
            <w:r w:rsidRPr="00EE5714">
              <w:rPr>
                <w:rFonts w:eastAsia="Times New Roman" w:cstheme="minorHAnsi"/>
                <w:sz w:val="21"/>
                <w:szCs w:val="21"/>
              </w:rPr>
              <w:t>N/A</w:t>
            </w:r>
          </w:p>
        </w:tc>
        <w:tc>
          <w:tcPr>
            <w:tcW w:w="252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6CDF8349" w14:textId="77777777" w:rsidR="00F303E0" w:rsidRPr="00EE5714" w:rsidRDefault="00F303E0" w:rsidP="00851815">
            <w:pPr>
              <w:keepNext/>
              <w:jc w:val="center"/>
              <w:rPr>
                <w:rFonts w:cstheme="minorHAnsi"/>
                <w:sz w:val="21"/>
                <w:szCs w:val="21"/>
              </w:rPr>
            </w:pPr>
            <w:r w:rsidRPr="00EE5714">
              <w:rPr>
                <w:rFonts w:cstheme="minorHAnsi"/>
                <w:sz w:val="21"/>
                <w:szCs w:val="21"/>
              </w:rPr>
              <w:t>123,033</w:t>
            </w:r>
          </w:p>
        </w:tc>
      </w:tr>
      <w:tr w:rsidR="00F303E0" w:rsidRPr="00EE5714" w14:paraId="6E411213" w14:textId="77777777" w:rsidTr="00824DBE">
        <w:trPr>
          <w:trHeight w:hRule="exact" w:val="245"/>
        </w:trPr>
        <w:tc>
          <w:tcPr>
            <w:tcW w:w="2070" w:type="dxa"/>
            <w:tcBorders>
              <w:bottom w:val="single" w:sz="8" w:space="0" w:color="000000" w:themeColor="text1"/>
            </w:tcBorders>
            <w:shd w:val="clear" w:color="auto" w:fill="auto"/>
            <w:noWrap/>
            <w:vAlign w:val="center"/>
          </w:tcPr>
          <w:p w14:paraId="3AE0CADA" w14:textId="77777777" w:rsidR="00F303E0" w:rsidRPr="00EE5714" w:rsidRDefault="00F303E0" w:rsidP="00851815">
            <w:pPr>
              <w:keepNext/>
              <w:rPr>
                <w:rFonts w:eastAsia="Times New Roman" w:cstheme="minorHAnsi"/>
                <w:color w:val="000000"/>
                <w:sz w:val="21"/>
                <w:szCs w:val="21"/>
              </w:rPr>
            </w:pPr>
            <w:r w:rsidRPr="00EE5714">
              <w:rPr>
                <w:rFonts w:eastAsia="Times New Roman" w:cstheme="minorHAnsi"/>
                <w:color w:val="000000"/>
                <w:sz w:val="21"/>
                <w:szCs w:val="21"/>
              </w:rPr>
              <w:t>Bills Paid in Full</w:t>
            </w:r>
          </w:p>
        </w:tc>
        <w:tc>
          <w:tcPr>
            <w:tcW w:w="2610" w:type="dxa"/>
            <w:tcBorders>
              <w:bottom w:val="single" w:sz="8" w:space="0" w:color="000000" w:themeColor="text1"/>
            </w:tcBorders>
            <w:shd w:val="clear" w:color="auto" w:fill="auto"/>
            <w:noWrap/>
            <w:vAlign w:val="center"/>
          </w:tcPr>
          <w:p w14:paraId="5CD2D979" w14:textId="77777777" w:rsidR="00F303E0" w:rsidRPr="00EE5714" w:rsidRDefault="00F303E0" w:rsidP="00851815">
            <w:pPr>
              <w:keepNext/>
              <w:jc w:val="center"/>
              <w:rPr>
                <w:rFonts w:eastAsia="Times New Roman" w:cstheme="minorHAnsi"/>
                <w:sz w:val="21"/>
                <w:szCs w:val="21"/>
              </w:rPr>
            </w:pPr>
            <w:r w:rsidRPr="00EE5714">
              <w:rPr>
                <w:rFonts w:eastAsia="Times New Roman" w:cstheme="minorHAnsi"/>
                <w:sz w:val="21"/>
                <w:szCs w:val="21"/>
              </w:rPr>
              <w:t>N/A</w:t>
            </w:r>
          </w:p>
        </w:tc>
        <w:tc>
          <w:tcPr>
            <w:tcW w:w="2790" w:type="dxa"/>
            <w:tcBorders>
              <w:bottom w:val="single" w:sz="8" w:space="0" w:color="000000" w:themeColor="text1"/>
            </w:tcBorders>
            <w:shd w:val="clear" w:color="auto" w:fill="auto"/>
            <w:noWrap/>
            <w:vAlign w:val="center"/>
          </w:tcPr>
          <w:p w14:paraId="1FEDCD5A" w14:textId="77777777" w:rsidR="00F303E0" w:rsidRPr="00EE5714" w:rsidRDefault="00F303E0" w:rsidP="00851815">
            <w:pPr>
              <w:keepNext/>
              <w:jc w:val="center"/>
              <w:rPr>
                <w:rFonts w:eastAsia="Times New Roman" w:cstheme="minorHAnsi"/>
                <w:sz w:val="21"/>
                <w:szCs w:val="21"/>
              </w:rPr>
            </w:pPr>
            <w:r w:rsidRPr="00EE5714">
              <w:rPr>
                <w:rFonts w:eastAsia="Times New Roman" w:cstheme="minorHAnsi"/>
                <w:sz w:val="21"/>
                <w:szCs w:val="21"/>
              </w:rPr>
              <w:t>N/A</w:t>
            </w:r>
          </w:p>
        </w:tc>
        <w:tc>
          <w:tcPr>
            <w:tcW w:w="252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00EBB9BC" w14:textId="77777777" w:rsidR="00F303E0" w:rsidRPr="00EE5714" w:rsidRDefault="00F303E0" w:rsidP="00851815">
            <w:pPr>
              <w:keepNext/>
              <w:jc w:val="center"/>
              <w:rPr>
                <w:rFonts w:cstheme="minorHAnsi"/>
                <w:sz w:val="21"/>
                <w:szCs w:val="21"/>
              </w:rPr>
            </w:pPr>
            <w:r w:rsidRPr="00EE5714">
              <w:rPr>
                <w:rFonts w:cstheme="minorHAnsi"/>
                <w:sz w:val="21"/>
                <w:szCs w:val="21"/>
              </w:rPr>
              <w:t>75,715</w:t>
            </w:r>
          </w:p>
        </w:tc>
      </w:tr>
      <w:tr w:rsidR="00F303E0" w:rsidRPr="00EE5714" w14:paraId="6CF86EE7" w14:textId="77777777" w:rsidTr="00824DBE">
        <w:trPr>
          <w:trHeight w:hRule="exact" w:val="245"/>
        </w:trPr>
        <w:tc>
          <w:tcPr>
            <w:tcW w:w="2070" w:type="dxa"/>
            <w:shd w:val="clear" w:color="auto" w:fill="F2F2F2" w:themeFill="background1" w:themeFillShade="F2"/>
            <w:noWrap/>
            <w:vAlign w:val="center"/>
          </w:tcPr>
          <w:p w14:paraId="515F4642" w14:textId="77777777" w:rsidR="00F303E0" w:rsidRPr="00EE5714" w:rsidRDefault="00F303E0" w:rsidP="00851815">
            <w:pPr>
              <w:keepNext/>
              <w:rPr>
                <w:rFonts w:eastAsia="Times New Roman" w:cstheme="minorHAnsi"/>
                <w:b/>
                <w:bCs/>
                <w:color w:val="000000"/>
                <w:sz w:val="21"/>
                <w:szCs w:val="21"/>
              </w:rPr>
            </w:pPr>
            <w:r w:rsidRPr="00EE5714">
              <w:rPr>
                <w:rFonts w:eastAsia="Times New Roman" w:cstheme="minorHAnsi"/>
                <w:b/>
                <w:bCs/>
                <w:color w:val="000000"/>
                <w:sz w:val="21"/>
                <w:szCs w:val="21"/>
              </w:rPr>
              <w:t>PECO Gas</w:t>
            </w:r>
          </w:p>
        </w:tc>
        <w:tc>
          <w:tcPr>
            <w:tcW w:w="2610" w:type="dxa"/>
            <w:shd w:val="clear" w:color="auto" w:fill="F2F2F2" w:themeFill="background1" w:themeFillShade="F2"/>
            <w:noWrap/>
            <w:vAlign w:val="center"/>
          </w:tcPr>
          <w:p w14:paraId="4F1731CF" w14:textId="77777777" w:rsidR="00F303E0" w:rsidRPr="00EE5714" w:rsidRDefault="00F303E0" w:rsidP="00851815">
            <w:pPr>
              <w:keepNext/>
              <w:jc w:val="center"/>
              <w:rPr>
                <w:rFonts w:eastAsia="Times New Roman" w:cstheme="minorHAnsi"/>
                <w:sz w:val="21"/>
                <w:szCs w:val="21"/>
              </w:rPr>
            </w:pPr>
          </w:p>
        </w:tc>
        <w:tc>
          <w:tcPr>
            <w:tcW w:w="2790" w:type="dxa"/>
            <w:shd w:val="clear" w:color="auto" w:fill="F2F2F2" w:themeFill="background1" w:themeFillShade="F2"/>
            <w:noWrap/>
            <w:vAlign w:val="center"/>
          </w:tcPr>
          <w:p w14:paraId="47DEB840" w14:textId="77777777" w:rsidR="00F303E0" w:rsidRPr="00EE5714" w:rsidRDefault="00F303E0" w:rsidP="00851815">
            <w:pPr>
              <w:keepNext/>
              <w:jc w:val="center"/>
              <w:rPr>
                <w:rFonts w:eastAsia="Times New Roman" w:cstheme="minorHAnsi"/>
                <w:sz w:val="21"/>
                <w:szCs w:val="21"/>
              </w:rPr>
            </w:pPr>
          </w:p>
        </w:tc>
        <w:tc>
          <w:tcPr>
            <w:tcW w:w="2520" w:type="dxa"/>
            <w:shd w:val="clear" w:color="auto" w:fill="F2F2F2" w:themeFill="background1" w:themeFillShade="F2"/>
            <w:noWrap/>
            <w:vAlign w:val="center"/>
          </w:tcPr>
          <w:p w14:paraId="464F5839" w14:textId="77777777" w:rsidR="00F303E0" w:rsidRPr="00EE5714" w:rsidRDefault="00F303E0" w:rsidP="00851815">
            <w:pPr>
              <w:keepNext/>
              <w:jc w:val="center"/>
              <w:rPr>
                <w:rFonts w:eastAsia="Times New Roman" w:cstheme="minorHAnsi"/>
                <w:sz w:val="21"/>
                <w:szCs w:val="21"/>
              </w:rPr>
            </w:pPr>
          </w:p>
        </w:tc>
      </w:tr>
      <w:tr w:rsidR="00F303E0" w:rsidRPr="00EE5714" w14:paraId="6392CAF8" w14:textId="77777777" w:rsidTr="00824DBE">
        <w:trPr>
          <w:trHeight w:hRule="exact" w:val="245"/>
        </w:trPr>
        <w:tc>
          <w:tcPr>
            <w:tcW w:w="2070" w:type="dxa"/>
            <w:shd w:val="clear" w:color="auto" w:fill="auto"/>
            <w:noWrap/>
            <w:vAlign w:val="center"/>
          </w:tcPr>
          <w:p w14:paraId="11C378D9" w14:textId="19BE652A" w:rsidR="00F303E0" w:rsidRPr="00EE5714" w:rsidRDefault="00F303E0">
            <w:pPr>
              <w:keepNext/>
              <w:rPr>
                <w:rFonts w:eastAsia="Times New Roman"/>
                <w:b/>
                <w:bCs/>
                <w:color w:val="000000"/>
                <w:sz w:val="21"/>
                <w:szCs w:val="21"/>
              </w:rPr>
            </w:pPr>
            <w:r w:rsidRPr="00EE5714">
              <w:rPr>
                <w:rFonts w:eastAsia="Times New Roman"/>
                <w:color w:val="000000"/>
                <w:sz w:val="21"/>
                <w:szCs w:val="21"/>
              </w:rPr>
              <w:t xml:space="preserve">Bills </w:t>
            </w:r>
            <w:r w:rsidR="00923EA8" w:rsidRPr="00EE5714">
              <w:rPr>
                <w:rFonts w:eastAsia="Times New Roman"/>
                <w:color w:val="000000"/>
                <w:sz w:val="21"/>
                <w:szCs w:val="21"/>
              </w:rPr>
              <w:t>Issued</w:t>
            </w:r>
          </w:p>
        </w:tc>
        <w:tc>
          <w:tcPr>
            <w:tcW w:w="2610" w:type="dxa"/>
            <w:shd w:val="clear" w:color="auto" w:fill="auto"/>
            <w:noWrap/>
            <w:vAlign w:val="center"/>
          </w:tcPr>
          <w:p w14:paraId="12FFEA16" w14:textId="77777777" w:rsidR="00F303E0" w:rsidRPr="00EE5714" w:rsidRDefault="00F303E0" w:rsidP="00851815">
            <w:pPr>
              <w:keepNext/>
              <w:jc w:val="center"/>
              <w:rPr>
                <w:rFonts w:eastAsia="Times New Roman" w:cstheme="minorHAnsi"/>
                <w:sz w:val="21"/>
                <w:szCs w:val="21"/>
              </w:rPr>
            </w:pPr>
            <w:r w:rsidRPr="00EE5714">
              <w:rPr>
                <w:rFonts w:cstheme="minorHAnsi"/>
                <w:sz w:val="21"/>
                <w:szCs w:val="21"/>
              </w:rPr>
              <w:t xml:space="preserve">12,767 </w:t>
            </w:r>
          </w:p>
        </w:tc>
        <w:tc>
          <w:tcPr>
            <w:tcW w:w="2790" w:type="dxa"/>
            <w:shd w:val="clear" w:color="auto" w:fill="auto"/>
            <w:noWrap/>
            <w:vAlign w:val="center"/>
          </w:tcPr>
          <w:p w14:paraId="7EC40BE1" w14:textId="77777777" w:rsidR="00F303E0" w:rsidRPr="00EE5714" w:rsidRDefault="00F303E0" w:rsidP="00851815">
            <w:pPr>
              <w:keepNext/>
              <w:jc w:val="center"/>
              <w:rPr>
                <w:rFonts w:eastAsia="Times New Roman" w:cstheme="minorHAnsi"/>
                <w:sz w:val="21"/>
                <w:szCs w:val="21"/>
              </w:rPr>
            </w:pPr>
            <w:r w:rsidRPr="00EE5714">
              <w:rPr>
                <w:rFonts w:cstheme="minorHAnsi"/>
                <w:sz w:val="21"/>
                <w:szCs w:val="21"/>
              </w:rPr>
              <w:t xml:space="preserve">26,346 </w:t>
            </w:r>
          </w:p>
        </w:tc>
        <w:tc>
          <w:tcPr>
            <w:tcW w:w="2520" w:type="dxa"/>
            <w:shd w:val="clear" w:color="auto" w:fill="auto"/>
            <w:noWrap/>
            <w:vAlign w:val="center"/>
          </w:tcPr>
          <w:p w14:paraId="4208B84A" w14:textId="77777777" w:rsidR="00F303E0" w:rsidRPr="00EE5714" w:rsidRDefault="00F303E0" w:rsidP="00851815">
            <w:pPr>
              <w:keepNext/>
              <w:jc w:val="center"/>
              <w:rPr>
                <w:rFonts w:eastAsia="Times New Roman" w:cstheme="minorHAnsi"/>
                <w:sz w:val="21"/>
                <w:szCs w:val="21"/>
              </w:rPr>
            </w:pPr>
            <w:r w:rsidRPr="00EE5714">
              <w:rPr>
                <w:rFonts w:cstheme="minorHAnsi"/>
                <w:sz w:val="21"/>
                <w:szCs w:val="21"/>
              </w:rPr>
              <w:t xml:space="preserve">22,637 </w:t>
            </w:r>
          </w:p>
        </w:tc>
      </w:tr>
      <w:tr w:rsidR="00F303E0" w:rsidRPr="00EE5714" w14:paraId="3A617B8B" w14:textId="77777777" w:rsidTr="00824DBE">
        <w:trPr>
          <w:trHeight w:hRule="exact" w:val="245"/>
        </w:trPr>
        <w:tc>
          <w:tcPr>
            <w:tcW w:w="2070" w:type="dxa"/>
            <w:shd w:val="clear" w:color="auto" w:fill="auto"/>
            <w:noWrap/>
            <w:vAlign w:val="center"/>
          </w:tcPr>
          <w:p w14:paraId="11816F01" w14:textId="77777777" w:rsidR="00F303E0" w:rsidRPr="00EE5714" w:rsidRDefault="00F303E0" w:rsidP="00851815">
            <w:pPr>
              <w:keepNext/>
              <w:rPr>
                <w:rFonts w:eastAsia="Times New Roman" w:cstheme="minorHAnsi"/>
                <w:b/>
                <w:bCs/>
                <w:color w:val="000000"/>
                <w:sz w:val="21"/>
                <w:szCs w:val="21"/>
              </w:rPr>
            </w:pPr>
            <w:r w:rsidRPr="00EE5714">
              <w:rPr>
                <w:rFonts w:eastAsia="Times New Roman" w:cstheme="minorHAnsi"/>
                <w:color w:val="000000"/>
                <w:sz w:val="21"/>
                <w:szCs w:val="21"/>
              </w:rPr>
              <w:t>Bills Paid in Full</w:t>
            </w:r>
          </w:p>
        </w:tc>
        <w:tc>
          <w:tcPr>
            <w:tcW w:w="2610" w:type="dxa"/>
            <w:shd w:val="clear" w:color="auto" w:fill="auto"/>
            <w:noWrap/>
            <w:vAlign w:val="center"/>
          </w:tcPr>
          <w:p w14:paraId="2D8C23D9" w14:textId="77777777" w:rsidR="00F303E0" w:rsidRPr="00EE5714" w:rsidRDefault="00F303E0" w:rsidP="00851815">
            <w:pPr>
              <w:keepNext/>
              <w:jc w:val="center"/>
              <w:rPr>
                <w:rFonts w:eastAsia="Times New Roman" w:cstheme="minorHAnsi"/>
                <w:sz w:val="21"/>
                <w:szCs w:val="21"/>
              </w:rPr>
            </w:pPr>
            <w:r w:rsidRPr="00EE5714">
              <w:rPr>
                <w:rFonts w:cstheme="minorHAnsi"/>
                <w:sz w:val="21"/>
                <w:szCs w:val="21"/>
              </w:rPr>
              <w:t xml:space="preserve">6,975 </w:t>
            </w:r>
          </w:p>
        </w:tc>
        <w:tc>
          <w:tcPr>
            <w:tcW w:w="2790" w:type="dxa"/>
            <w:shd w:val="clear" w:color="auto" w:fill="auto"/>
            <w:noWrap/>
            <w:vAlign w:val="center"/>
          </w:tcPr>
          <w:p w14:paraId="7448154B" w14:textId="77777777" w:rsidR="00F303E0" w:rsidRPr="00EE5714" w:rsidRDefault="00F303E0" w:rsidP="00851815">
            <w:pPr>
              <w:keepNext/>
              <w:jc w:val="center"/>
              <w:rPr>
                <w:rFonts w:eastAsia="Times New Roman" w:cstheme="minorHAnsi"/>
                <w:sz w:val="21"/>
                <w:szCs w:val="21"/>
              </w:rPr>
            </w:pPr>
            <w:r w:rsidRPr="00EE5714">
              <w:rPr>
                <w:rFonts w:cstheme="minorHAnsi"/>
                <w:sz w:val="21"/>
                <w:szCs w:val="21"/>
              </w:rPr>
              <w:t xml:space="preserve">16,684 </w:t>
            </w:r>
          </w:p>
        </w:tc>
        <w:tc>
          <w:tcPr>
            <w:tcW w:w="2520" w:type="dxa"/>
            <w:shd w:val="clear" w:color="auto" w:fill="auto"/>
            <w:noWrap/>
            <w:vAlign w:val="center"/>
          </w:tcPr>
          <w:p w14:paraId="0C65D9CE" w14:textId="77777777" w:rsidR="00F303E0" w:rsidRPr="00EE5714" w:rsidRDefault="00F303E0" w:rsidP="00851815">
            <w:pPr>
              <w:keepNext/>
              <w:jc w:val="center"/>
              <w:rPr>
                <w:rFonts w:eastAsia="Times New Roman" w:cstheme="minorHAnsi"/>
                <w:sz w:val="21"/>
                <w:szCs w:val="21"/>
              </w:rPr>
            </w:pPr>
            <w:r w:rsidRPr="00EE5714">
              <w:rPr>
                <w:rFonts w:cstheme="minorHAnsi"/>
                <w:sz w:val="21"/>
                <w:szCs w:val="21"/>
              </w:rPr>
              <w:t xml:space="preserve">14,965 </w:t>
            </w:r>
          </w:p>
        </w:tc>
      </w:tr>
      <w:tr w:rsidR="00F303E0" w:rsidRPr="00EE5714" w14:paraId="55A1EAE1" w14:textId="77777777" w:rsidTr="00824DBE">
        <w:trPr>
          <w:trHeight w:hRule="exact" w:val="245"/>
        </w:trPr>
        <w:tc>
          <w:tcPr>
            <w:tcW w:w="2070" w:type="dxa"/>
            <w:shd w:val="clear" w:color="auto" w:fill="F2F2F2" w:themeFill="background1" w:themeFillShade="F2"/>
            <w:noWrap/>
            <w:vAlign w:val="center"/>
          </w:tcPr>
          <w:p w14:paraId="48CD56D1" w14:textId="77777777" w:rsidR="00F303E0" w:rsidRPr="00EE5714" w:rsidRDefault="00F303E0" w:rsidP="00851815">
            <w:pPr>
              <w:keepNext/>
              <w:rPr>
                <w:rFonts w:eastAsia="Times New Roman" w:cstheme="minorHAnsi"/>
                <w:b/>
                <w:bCs/>
                <w:color w:val="000000"/>
                <w:sz w:val="21"/>
                <w:szCs w:val="21"/>
              </w:rPr>
            </w:pPr>
            <w:r w:rsidRPr="00EE5714">
              <w:rPr>
                <w:rFonts w:eastAsia="Times New Roman" w:cstheme="minorHAnsi"/>
                <w:b/>
                <w:bCs/>
                <w:color w:val="000000"/>
                <w:sz w:val="21"/>
                <w:szCs w:val="21"/>
              </w:rPr>
              <w:t>Peoples</w:t>
            </w:r>
          </w:p>
        </w:tc>
        <w:tc>
          <w:tcPr>
            <w:tcW w:w="2610" w:type="dxa"/>
            <w:shd w:val="clear" w:color="auto" w:fill="F2F2F2" w:themeFill="background1" w:themeFillShade="F2"/>
            <w:noWrap/>
            <w:vAlign w:val="center"/>
          </w:tcPr>
          <w:p w14:paraId="0888692B" w14:textId="77777777" w:rsidR="00F303E0" w:rsidRPr="00EE5714" w:rsidRDefault="00F303E0" w:rsidP="00851815">
            <w:pPr>
              <w:keepNext/>
              <w:jc w:val="center"/>
              <w:rPr>
                <w:rFonts w:eastAsia="Times New Roman" w:cstheme="minorHAnsi"/>
                <w:sz w:val="21"/>
                <w:szCs w:val="21"/>
              </w:rPr>
            </w:pPr>
          </w:p>
        </w:tc>
        <w:tc>
          <w:tcPr>
            <w:tcW w:w="2790" w:type="dxa"/>
            <w:shd w:val="clear" w:color="auto" w:fill="F2F2F2" w:themeFill="background1" w:themeFillShade="F2"/>
            <w:noWrap/>
            <w:vAlign w:val="center"/>
          </w:tcPr>
          <w:p w14:paraId="743756E8" w14:textId="77777777" w:rsidR="00F303E0" w:rsidRPr="00EE5714" w:rsidRDefault="00F303E0" w:rsidP="00851815">
            <w:pPr>
              <w:keepNext/>
              <w:jc w:val="center"/>
              <w:rPr>
                <w:rFonts w:eastAsia="Times New Roman" w:cstheme="minorHAnsi"/>
                <w:sz w:val="21"/>
                <w:szCs w:val="21"/>
              </w:rPr>
            </w:pPr>
          </w:p>
        </w:tc>
        <w:tc>
          <w:tcPr>
            <w:tcW w:w="2520" w:type="dxa"/>
            <w:tcBorders>
              <w:top w:val="single" w:sz="8" w:space="0" w:color="000000" w:themeColor="text1"/>
              <w:right w:val="single" w:sz="8" w:space="0" w:color="000000" w:themeColor="text1"/>
            </w:tcBorders>
            <w:shd w:val="clear" w:color="auto" w:fill="F2F2F2" w:themeFill="background1" w:themeFillShade="F2"/>
            <w:noWrap/>
            <w:vAlign w:val="center"/>
          </w:tcPr>
          <w:p w14:paraId="0A0DFCA5" w14:textId="77777777" w:rsidR="00F303E0" w:rsidRPr="00EE5714" w:rsidRDefault="00F303E0" w:rsidP="00851815">
            <w:pPr>
              <w:keepNext/>
              <w:jc w:val="center"/>
              <w:rPr>
                <w:rFonts w:eastAsia="Times New Roman" w:cstheme="minorHAnsi"/>
                <w:sz w:val="21"/>
                <w:szCs w:val="21"/>
              </w:rPr>
            </w:pPr>
          </w:p>
        </w:tc>
      </w:tr>
      <w:tr w:rsidR="00F303E0" w:rsidRPr="00EE5714" w14:paraId="6BB5BD36" w14:textId="77777777" w:rsidTr="00824DBE">
        <w:trPr>
          <w:trHeight w:hRule="exact" w:val="245"/>
        </w:trPr>
        <w:tc>
          <w:tcPr>
            <w:tcW w:w="2070" w:type="dxa"/>
            <w:shd w:val="clear" w:color="auto" w:fill="auto"/>
            <w:noWrap/>
            <w:vAlign w:val="center"/>
          </w:tcPr>
          <w:p w14:paraId="3FBCA8A2" w14:textId="383BB38E" w:rsidR="00F303E0" w:rsidRPr="00EE5714" w:rsidRDefault="00F303E0">
            <w:pPr>
              <w:keepNext/>
              <w:rPr>
                <w:rFonts w:eastAsia="Times New Roman"/>
                <w:color w:val="000000"/>
                <w:sz w:val="21"/>
                <w:szCs w:val="21"/>
              </w:rPr>
            </w:pPr>
            <w:r w:rsidRPr="00EE5714">
              <w:rPr>
                <w:rFonts w:eastAsia="Times New Roman"/>
                <w:color w:val="000000"/>
                <w:sz w:val="21"/>
                <w:szCs w:val="21"/>
              </w:rPr>
              <w:t xml:space="preserve">Bills </w:t>
            </w:r>
            <w:r w:rsidR="00923EA8" w:rsidRPr="00EE5714">
              <w:rPr>
                <w:rFonts w:eastAsia="Times New Roman"/>
                <w:color w:val="000000"/>
                <w:sz w:val="21"/>
                <w:szCs w:val="21"/>
              </w:rPr>
              <w:t>Issued</w:t>
            </w:r>
          </w:p>
        </w:tc>
        <w:tc>
          <w:tcPr>
            <w:tcW w:w="2610" w:type="dxa"/>
            <w:shd w:val="clear" w:color="auto" w:fill="auto"/>
            <w:noWrap/>
            <w:vAlign w:val="center"/>
          </w:tcPr>
          <w:p w14:paraId="439E2219"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42,615 </w:t>
            </w:r>
          </w:p>
        </w:tc>
        <w:tc>
          <w:tcPr>
            <w:tcW w:w="2790" w:type="dxa"/>
            <w:shd w:val="clear" w:color="auto" w:fill="auto"/>
            <w:noWrap/>
            <w:vAlign w:val="center"/>
          </w:tcPr>
          <w:p w14:paraId="248EEB5B"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94,826 </w:t>
            </w:r>
          </w:p>
        </w:tc>
        <w:tc>
          <w:tcPr>
            <w:tcW w:w="2520" w:type="dxa"/>
            <w:tcBorders>
              <w:right w:val="single" w:sz="8" w:space="0" w:color="000000" w:themeColor="text1"/>
            </w:tcBorders>
            <w:shd w:val="clear" w:color="auto" w:fill="auto"/>
            <w:noWrap/>
            <w:vAlign w:val="center"/>
          </w:tcPr>
          <w:p w14:paraId="19E7C679"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65,519 </w:t>
            </w:r>
          </w:p>
        </w:tc>
      </w:tr>
      <w:tr w:rsidR="00F303E0" w:rsidRPr="00EE5714" w14:paraId="1EBE05BD" w14:textId="77777777" w:rsidTr="00824DBE">
        <w:trPr>
          <w:trHeight w:hRule="exact" w:val="245"/>
        </w:trPr>
        <w:tc>
          <w:tcPr>
            <w:tcW w:w="2070" w:type="dxa"/>
            <w:tcBorders>
              <w:bottom w:val="single" w:sz="8" w:space="0" w:color="000000" w:themeColor="text1"/>
            </w:tcBorders>
            <w:shd w:val="clear" w:color="auto" w:fill="auto"/>
            <w:noWrap/>
            <w:vAlign w:val="center"/>
          </w:tcPr>
          <w:p w14:paraId="3628B5BB" w14:textId="77777777" w:rsidR="00F303E0" w:rsidRPr="00EE5714" w:rsidRDefault="00F303E0" w:rsidP="00851815">
            <w:pPr>
              <w:keepNext/>
              <w:rPr>
                <w:rFonts w:eastAsia="Times New Roman" w:cstheme="minorHAnsi"/>
                <w:color w:val="000000"/>
                <w:sz w:val="21"/>
                <w:szCs w:val="21"/>
              </w:rPr>
            </w:pPr>
            <w:r w:rsidRPr="00EE5714">
              <w:rPr>
                <w:rFonts w:eastAsia="Times New Roman" w:cstheme="minorHAnsi"/>
                <w:color w:val="000000"/>
                <w:sz w:val="21"/>
                <w:szCs w:val="21"/>
              </w:rPr>
              <w:t>Bills Paid in Full</w:t>
            </w:r>
          </w:p>
        </w:tc>
        <w:tc>
          <w:tcPr>
            <w:tcW w:w="2610" w:type="dxa"/>
            <w:tcBorders>
              <w:bottom w:val="single" w:sz="8" w:space="0" w:color="000000" w:themeColor="text1"/>
            </w:tcBorders>
            <w:shd w:val="clear" w:color="auto" w:fill="auto"/>
            <w:noWrap/>
            <w:vAlign w:val="center"/>
          </w:tcPr>
          <w:p w14:paraId="52D09D2D"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16,544 </w:t>
            </w:r>
          </w:p>
        </w:tc>
        <w:tc>
          <w:tcPr>
            <w:tcW w:w="2790" w:type="dxa"/>
            <w:tcBorders>
              <w:bottom w:val="single" w:sz="8" w:space="0" w:color="000000" w:themeColor="text1"/>
            </w:tcBorders>
            <w:shd w:val="clear" w:color="auto" w:fill="auto"/>
            <w:noWrap/>
            <w:vAlign w:val="center"/>
          </w:tcPr>
          <w:p w14:paraId="282AA3D0"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63,133 </w:t>
            </w:r>
          </w:p>
        </w:tc>
        <w:tc>
          <w:tcPr>
            <w:tcW w:w="2520" w:type="dxa"/>
            <w:tcBorders>
              <w:bottom w:val="single" w:sz="8" w:space="0" w:color="000000" w:themeColor="text1"/>
              <w:right w:val="single" w:sz="8" w:space="0" w:color="000000" w:themeColor="text1"/>
            </w:tcBorders>
            <w:shd w:val="clear" w:color="auto" w:fill="auto"/>
            <w:noWrap/>
            <w:vAlign w:val="center"/>
          </w:tcPr>
          <w:p w14:paraId="06DB1B96"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49,503 </w:t>
            </w:r>
          </w:p>
        </w:tc>
      </w:tr>
      <w:tr w:rsidR="00F303E0" w:rsidRPr="00EE5714" w14:paraId="34DEAE96" w14:textId="77777777" w:rsidTr="00824DBE">
        <w:trPr>
          <w:trHeight w:hRule="exact" w:val="245"/>
        </w:trPr>
        <w:tc>
          <w:tcPr>
            <w:tcW w:w="2070" w:type="dxa"/>
            <w:shd w:val="clear" w:color="auto" w:fill="F2F2F2" w:themeFill="background1" w:themeFillShade="F2"/>
            <w:noWrap/>
            <w:vAlign w:val="center"/>
          </w:tcPr>
          <w:p w14:paraId="7AEED8A2" w14:textId="77777777" w:rsidR="00F303E0" w:rsidRPr="00EE5714" w:rsidRDefault="00F303E0" w:rsidP="00851815">
            <w:pPr>
              <w:keepNext/>
              <w:rPr>
                <w:rFonts w:eastAsia="Times New Roman" w:cstheme="minorHAnsi"/>
                <w:b/>
                <w:bCs/>
                <w:color w:val="000000"/>
                <w:sz w:val="21"/>
                <w:szCs w:val="21"/>
              </w:rPr>
            </w:pPr>
            <w:r w:rsidRPr="00EE5714">
              <w:rPr>
                <w:rFonts w:eastAsia="Times New Roman" w:cstheme="minorHAnsi"/>
                <w:b/>
                <w:bCs/>
                <w:color w:val="000000"/>
                <w:sz w:val="21"/>
                <w:szCs w:val="21"/>
              </w:rPr>
              <w:t>Peoples EQT</w:t>
            </w:r>
          </w:p>
        </w:tc>
        <w:tc>
          <w:tcPr>
            <w:tcW w:w="2610" w:type="dxa"/>
            <w:tcBorders>
              <w:top w:val="single" w:sz="8" w:space="0" w:color="000000" w:themeColor="text1"/>
              <w:bottom w:val="single" w:sz="8" w:space="0" w:color="000000" w:themeColor="text1"/>
            </w:tcBorders>
            <w:shd w:val="clear" w:color="auto" w:fill="F2F2F2" w:themeFill="background1" w:themeFillShade="F2"/>
            <w:noWrap/>
            <w:vAlign w:val="center"/>
          </w:tcPr>
          <w:p w14:paraId="37F9A8CD" w14:textId="77777777" w:rsidR="00F303E0" w:rsidRPr="00EE5714" w:rsidRDefault="00F303E0" w:rsidP="00851815">
            <w:pPr>
              <w:keepNext/>
              <w:jc w:val="center"/>
              <w:rPr>
                <w:rFonts w:cstheme="minorHAnsi"/>
                <w:sz w:val="21"/>
                <w:szCs w:val="21"/>
              </w:rPr>
            </w:pPr>
          </w:p>
        </w:tc>
        <w:tc>
          <w:tcPr>
            <w:tcW w:w="2790" w:type="dxa"/>
            <w:tcBorders>
              <w:top w:val="single" w:sz="8" w:space="0" w:color="000000" w:themeColor="text1"/>
              <w:bottom w:val="single" w:sz="8" w:space="0" w:color="000000" w:themeColor="text1"/>
            </w:tcBorders>
            <w:shd w:val="clear" w:color="auto" w:fill="F2F2F2" w:themeFill="background1" w:themeFillShade="F2"/>
            <w:noWrap/>
            <w:vAlign w:val="center"/>
          </w:tcPr>
          <w:p w14:paraId="7FCD9450" w14:textId="77777777" w:rsidR="00F303E0" w:rsidRPr="00EE5714" w:rsidRDefault="00F303E0" w:rsidP="00851815">
            <w:pPr>
              <w:keepNext/>
              <w:jc w:val="center"/>
              <w:rPr>
                <w:rFonts w:cstheme="minorHAnsi"/>
                <w:sz w:val="21"/>
                <w:szCs w:val="21"/>
              </w:rPr>
            </w:pPr>
          </w:p>
        </w:tc>
        <w:tc>
          <w:tcPr>
            <w:tcW w:w="2520"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noWrap/>
            <w:vAlign w:val="center"/>
          </w:tcPr>
          <w:p w14:paraId="0CBFCB15" w14:textId="77777777" w:rsidR="00F303E0" w:rsidRPr="00EE5714" w:rsidRDefault="00F303E0" w:rsidP="00851815">
            <w:pPr>
              <w:keepNext/>
              <w:jc w:val="center"/>
              <w:rPr>
                <w:rFonts w:cstheme="minorHAnsi"/>
                <w:sz w:val="21"/>
                <w:szCs w:val="21"/>
              </w:rPr>
            </w:pPr>
          </w:p>
        </w:tc>
      </w:tr>
      <w:tr w:rsidR="00F303E0" w:rsidRPr="00EE5714" w14:paraId="5C5301EE" w14:textId="77777777" w:rsidTr="00824DBE">
        <w:trPr>
          <w:trHeight w:hRule="exact" w:val="245"/>
        </w:trPr>
        <w:tc>
          <w:tcPr>
            <w:tcW w:w="2070" w:type="dxa"/>
            <w:shd w:val="clear" w:color="auto" w:fill="auto"/>
            <w:noWrap/>
            <w:vAlign w:val="center"/>
          </w:tcPr>
          <w:p w14:paraId="5DDC6EAE" w14:textId="65642A5F" w:rsidR="00F303E0" w:rsidRPr="00EE5714" w:rsidRDefault="00F303E0">
            <w:pPr>
              <w:keepNext/>
              <w:rPr>
                <w:rFonts w:eastAsia="Times New Roman"/>
                <w:b/>
                <w:bCs/>
                <w:color w:val="000000"/>
                <w:sz w:val="21"/>
                <w:szCs w:val="21"/>
              </w:rPr>
            </w:pPr>
            <w:r w:rsidRPr="00EE5714">
              <w:rPr>
                <w:rFonts w:eastAsia="Times New Roman"/>
                <w:color w:val="000000"/>
                <w:sz w:val="21"/>
                <w:szCs w:val="21"/>
              </w:rPr>
              <w:t xml:space="preserve">Bills </w:t>
            </w:r>
            <w:r w:rsidR="00923EA8" w:rsidRPr="00EE5714">
              <w:rPr>
                <w:rFonts w:eastAsia="Times New Roman"/>
                <w:color w:val="000000"/>
                <w:sz w:val="21"/>
                <w:szCs w:val="21"/>
              </w:rPr>
              <w:t>Issued</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6C8F0045" w14:textId="77777777" w:rsidR="00F303E0" w:rsidRPr="00EE5714" w:rsidRDefault="00F303E0" w:rsidP="00851815">
            <w:pPr>
              <w:keepNext/>
              <w:jc w:val="center"/>
              <w:rPr>
                <w:rFonts w:cstheme="minorHAnsi"/>
                <w:sz w:val="21"/>
                <w:szCs w:val="21"/>
              </w:rPr>
            </w:pPr>
            <w:r w:rsidRPr="00EE5714">
              <w:rPr>
                <w:rFonts w:cstheme="minorHAnsi"/>
                <w:sz w:val="21"/>
                <w:szCs w:val="21"/>
              </w:rPr>
              <w:t>47,433</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50A48F5" w14:textId="77777777" w:rsidR="00F303E0" w:rsidRPr="00EE5714" w:rsidRDefault="00F303E0" w:rsidP="00851815">
            <w:pPr>
              <w:keepNext/>
              <w:jc w:val="center"/>
              <w:rPr>
                <w:rFonts w:cstheme="minorHAnsi"/>
                <w:sz w:val="21"/>
                <w:szCs w:val="21"/>
              </w:rPr>
            </w:pPr>
            <w:r w:rsidRPr="00EE5714">
              <w:rPr>
                <w:rFonts w:cstheme="minorHAnsi"/>
                <w:sz w:val="21"/>
                <w:szCs w:val="21"/>
              </w:rPr>
              <w:t>76,015</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69DBC71" w14:textId="77777777" w:rsidR="00F303E0" w:rsidRPr="00EE5714" w:rsidRDefault="00F303E0" w:rsidP="00851815">
            <w:pPr>
              <w:keepNext/>
              <w:jc w:val="center"/>
              <w:rPr>
                <w:rFonts w:cstheme="minorHAnsi"/>
                <w:sz w:val="21"/>
                <w:szCs w:val="21"/>
              </w:rPr>
            </w:pPr>
            <w:r w:rsidRPr="00EE5714">
              <w:rPr>
                <w:rFonts w:cstheme="minorHAnsi"/>
                <w:sz w:val="21"/>
                <w:szCs w:val="21"/>
              </w:rPr>
              <w:t>11,547</w:t>
            </w:r>
          </w:p>
        </w:tc>
      </w:tr>
      <w:tr w:rsidR="00F303E0" w:rsidRPr="00EE5714" w14:paraId="63859CC0" w14:textId="77777777" w:rsidTr="00824DBE">
        <w:trPr>
          <w:trHeight w:hRule="exact" w:val="245"/>
        </w:trPr>
        <w:tc>
          <w:tcPr>
            <w:tcW w:w="2070" w:type="dxa"/>
            <w:tcBorders>
              <w:bottom w:val="single" w:sz="8" w:space="0" w:color="000000" w:themeColor="text1"/>
            </w:tcBorders>
            <w:shd w:val="clear" w:color="auto" w:fill="auto"/>
            <w:noWrap/>
            <w:vAlign w:val="center"/>
          </w:tcPr>
          <w:p w14:paraId="777E0137" w14:textId="77777777" w:rsidR="00F303E0" w:rsidRPr="00EE5714" w:rsidRDefault="00F303E0" w:rsidP="00851815">
            <w:pPr>
              <w:keepNext/>
              <w:rPr>
                <w:rFonts w:eastAsia="Times New Roman" w:cstheme="minorHAnsi"/>
                <w:b/>
                <w:bCs/>
                <w:color w:val="000000"/>
                <w:sz w:val="21"/>
                <w:szCs w:val="21"/>
              </w:rPr>
            </w:pPr>
            <w:r w:rsidRPr="00EE5714">
              <w:rPr>
                <w:rFonts w:eastAsia="Times New Roman" w:cstheme="minorHAnsi"/>
                <w:color w:val="000000"/>
                <w:sz w:val="21"/>
                <w:szCs w:val="21"/>
              </w:rPr>
              <w:t>Bills Paid in Full</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3801A18D" w14:textId="77777777" w:rsidR="00F303E0" w:rsidRPr="00EE5714" w:rsidRDefault="00F303E0" w:rsidP="00851815">
            <w:pPr>
              <w:keepNext/>
              <w:jc w:val="center"/>
              <w:rPr>
                <w:rFonts w:cstheme="minorHAnsi"/>
                <w:sz w:val="21"/>
                <w:szCs w:val="21"/>
              </w:rPr>
            </w:pPr>
            <w:r w:rsidRPr="00EE5714">
              <w:rPr>
                <w:rFonts w:cstheme="minorHAnsi"/>
                <w:sz w:val="21"/>
                <w:szCs w:val="21"/>
              </w:rPr>
              <w:t>36,366</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19F80C1" w14:textId="77777777" w:rsidR="00F303E0" w:rsidRPr="00EE5714" w:rsidRDefault="00F303E0" w:rsidP="00851815">
            <w:pPr>
              <w:keepNext/>
              <w:jc w:val="center"/>
              <w:rPr>
                <w:rFonts w:cstheme="minorHAnsi"/>
                <w:sz w:val="21"/>
                <w:szCs w:val="21"/>
              </w:rPr>
            </w:pPr>
            <w:r w:rsidRPr="00EE5714">
              <w:rPr>
                <w:rFonts w:cstheme="minorHAnsi"/>
                <w:sz w:val="21"/>
                <w:szCs w:val="21"/>
              </w:rPr>
              <w:t>56,708</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F1B407B" w14:textId="77777777" w:rsidR="00F303E0" w:rsidRPr="00EE5714" w:rsidRDefault="00F303E0" w:rsidP="00851815">
            <w:pPr>
              <w:keepNext/>
              <w:jc w:val="center"/>
              <w:rPr>
                <w:rFonts w:cstheme="minorHAnsi"/>
                <w:sz w:val="21"/>
                <w:szCs w:val="21"/>
              </w:rPr>
            </w:pPr>
            <w:r w:rsidRPr="00EE5714">
              <w:rPr>
                <w:rFonts w:cstheme="minorHAnsi"/>
                <w:sz w:val="21"/>
                <w:szCs w:val="21"/>
              </w:rPr>
              <w:t>8,891</w:t>
            </w:r>
          </w:p>
        </w:tc>
      </w:tr>
      <w:tr w:rsidR="00F303E0" w:rsidRPr="00EE5714" w14:paraId="3D2C51CC" w14:textId="77777777" w:rsidTr="00824DBE">
        <w:trPr>
          <w:trHeight w:hRule="exact" w:val="245"/>
        </w:trPr>
        <w:tc>
          <w:tcPr>
            <w:tcW w:w="2070" w:type="dxa"/>
            <w:shd w:val="clear" w:color="auto" w:fill="F2F2F2" w:themeFill="background1" w:themeFillShade="F2"/>
            <w:noWrap/>
            <w:vAlign w:val="center"/>
          </w:tcPr>
          <w:p w14:paraId="17DB6B70" w14:textId="77777777" w:rsidR="00F303E0" w:rsidRPr="00EE5714" w:rsidRDefault="00F303E0" w:rsidP="00851815">
            <w:pPr>
              <w:keepNext/>
              <w:rPr>
                <w:rFonts w:eastAsia="Times New Roman" w:cstheme="minorHAnsi"/>
                <w:b/>
                <w:bCs/>
                <w:color w:val="000000"/>
                <w:sz w:val="21"/>
                <w:szCs w:val="21"/>
              </w:rPr>
            </w:pPr>
            <w:r w:rsidRPr="00EE5714">
              <w:rPr>
                <w:rFonts w:eastAsia="Times New Roman" w:cstheme="minorHAnsi"/>
                <w:b/>
                <w:bCs/>
                <w:color w:val="000000"/>
                <w:sz w:val="21"/>
                <w:szCs w:val="21"/>
              </w:rPr>
              <w:t>PGW</w:t>
            </w:r>
          </w:p>
        </w:tc>
        <w:tc>
          <w:tcPr>
            <w:tcW w:w="2610" w:type="dxa"/>
            <w:shd w:val="clear" w:color="auto" w:fill="F2F2F2" w:themeFill="background1" w:themeFillShade="F2"/>
            <w:noWrap/>
            <w:vAlign w:val="center"/>
          </w:tcPr>
          <w:p w14:paraId="57B55A90" w14:textId="77777777" w:rsidR="00F303E0" w:rsidRPr="00EE5714" w:rsidRDefault="00F303E0" w:rsidP="00851815">
            <w:pPr>
              <w:keepNext/>
              <w:jc w:val="center"/>
              <w:rPr>
                <w:rFonts w:cstheme="minorHAnsi"/>
                <w:sz w:val="21"/>
                <w:szCs w:val="21"/>
              </w:rPr>
            </w:pPr>
          </w:p>
        </w:tc>
        <w:tc>
          <w:tcPr>
            <w:tcW w:w="2790" w:type="dxa"/>
            <w:shd w:val="clear" w:color="auto" w:fill="F2F2F2" w:themeFill="background1" w:themeFillShade="F2"/>
            <w:noWrap/>
            <w:vAlign w:val="center"/>
          </w:tcPr>
          <w:p w14:paraId="63602CF6" w14:textId="77777777" w:rsidR="00F303E0" w:rsidRPr="00EE5714" w:rsidRDefault="00F303E0" w:rsidP="00851815">
            <w:pPr>
              <w:keepNext/>
              <w:jc w:val="center"/>
              <w:rPr>
                <w:rFonts w:cstheme="minorHAnsi"/>
                <w:sz w:val="21"/>
                <w:szCs w:val="21"/>
              </w:rPr>
            </w:pPr>
          </w:p>
        </w:tc>
        <w:tc>
          <w:tcPr>
            <w:tcW w:w="2520" w:type="dxa"/>
            <w:tcBorders>
              <w:right w:val="single" w:sz="8" w:space="0" w:color="000000" w:themeColor="text1"/>
            </w:tcBorders>
            <w:shd w:val="clear" w:color="auto" w:fill="F2F2F2" w:themeFill="background1" w:themeFillShade="F2"/>
            <w:noWrap/>
            <w:vAlign w:val="center"/>
          </w:tcPr>
          <w:p w14:paraId="7BA9D3B9" w14:textId="77777777" w:rsidR="00F303E0" w:rsidRPr="00EE5714" w:rsidRDefault="00F303E0" w:rsidP="00851815">
            <w:pPr>
              <w:keepNext/>
              <w:jc w:val="center"/>
              <w:rPr>
                <w:rFonts w:cstheme="minorHAnsi"/>
                <w:sz w:val="21"/>
                <w:szCs w:val="21"/>
              </w:rPr>
            </w:pPr>
          </w:p>
        </w:tc>
      </w:tr>
      <w:tr w:rsidR="00F303E0" w:rsidRPr="00EE5714" w14:paraId="20B75B75" w14:textId="77777777" w:rsidTr="00824DBE">
        <w:trPr>
          <w:trHeight w:hRule="exact" w:val="245"/>
        </w:trPr>
        <w:tc>
          <w:tcPr>
            <w:tcW w:w="2070" w:type="dxa"/>
            <w:shd w:val="clear" w:color="auto" w:fill="auto"/>
            <w:noWrap/>
            <w:vAlign w:val="center"/>
          </w:tcPr>
          <w:p w14:paraId="684AE708" w14:textId="4EBA6BE8" w:rsidR="00F303E0" w:rsidRPr="00EE5714" w:rsidRDefault="00F303E0">
            <w:pPr>
              <w:keepNext/>
              <w:rPr>
                <w:rFonts w:eastAsia="Times New Roman"/>
                <w:color w:val="000000"/>
                <w:sz w:val="21"/>
                <w:szCs w:val="21"/>
              </w:rPr>
            </w:pPr>
            <w:r w:rsidRPr="00EE5714">
              <w:rPr>
                <w:rFonts w:eastAsia="Times New Roman"/>
                <w:color w:val="000000"/>
                <w:sz w:val="21"/>
                <w:szCs w:val="21"/>
              </w:rPr>
              <w:t xml:space="preserve">Bills </w:t>
            </w:r>
            <w:r w:rsidR="00923EA8" w:rsidRPr="00EE5714">
              <w:rPr>
                <w:rFonts w:eastAsia="Times New Roman"/>
                <w:color w:val="000000"/>
                <w:sz w:val="21"/>
                <w:szCs w:val="21"/>
              </w:rPr>
              <w:t>Issued</w:t>
            </w:r>
          </w:p>
        </w:tc>
        <w:tc>
          <w:tcPr>
            <w:tcW w:w="2610" w:type="dxa"/>
            <w:shd w:val="clear" w:color="auto" w:fill="auto"/>
            <w:noWrap/>
            <w:vAlign w:val="center"/>
          </w:tcPr>
          <w:p w14:paraId="1C8E1BA3" w14:textId="77777777" w:rsidR="00F303E0" w:rsidRPr="00EE5714" w:rsidRDefault="00F303E0" w:rsidP="00851815">
            <w:pPr>
              <w:keepNext/>
              <w:jc w:val="center"/>
              <w:rPr>
                <w:rFonts w:cstheme="minorHAnsi"/>
                <w:sz w:val="21"/>
                <w:szCs w:val="21"/>
              </w:rPr>
            </w:pPr>
            <w:r w:rsidRPr="00EE5714">
              <w:rPr>
                <w:rFonts w:cstheme="minorHAnsi"/>
                <w:sz w:val="21"/>
                <w:szCs w:val="21"/>
              </w:rPr>
              <w:t>257,298</w:t>
            </w:r>
          </w:p>
        </w:tc>
        <w:tc>
          <w:tcPr>
            <w:tcW w:w="2790" w:type="dxa"/>
            <w:shd w:val="clear" w:color="auto" w:fill="auto"/>
            <w:noWrap/>
            <w:vAlign w:val="center"/>
          </w:tcPr>
          <w:p w14:paraId="12C70E1D" w14:textId="77777777" w:rsidR="00F303E0" w:rsidRPr="00EE5714" w:rsidRDefault="00F303E0" w:rsidP="00851815">
            <w:pPr>
              <w:keepNext/>
              <w:jc w:val="center"/>
              <w:rPr>
                <w:rFonts w:cstheme="minorHAnsi"/>
                <w:sz w:val="21"/>
                <w:szCs w:val="21"/>
              </w:rPr>
            </w:pPr>
            <w:r w:rsidRPr="00EE5714">
              <w:rPr>
                <w:rFonts w:cstheme="minorHAnsi"/>
                <w:sz w:val="21"/>
                <w:szCs w:val="21"/>
              </w:rPr>
              <w:t>481,593</w:t>
            </w:r>
          </w:p>
        </w:tc>
        <w:tc>
          <w:tcPr>
            <w:tcW w:w="2520" w:type="dxa"/>
            <w:tcBorders>
              <w:right w:val="single" w:sz="8" w:space="0" w:color="000000" w:themeColor="text1"/>
            </w:tcBorders>
            <w:shd w:val="clear" w:color="auto" w:fill="auto"/>
            <w:noWrap/>
            <w:vAlign w:val="center"/>
          </w:tcPr>
          <w:p w14:paraId="79753677" w14:textId="77777777" w:rsidR="00F303E0" w:rsidRPr="00EE5714" w:rsidRDefault="00F303E0" w:rsidP="00851815">
            <w:pPr>
              <w:keepNext/>
              <w:jc w:val="center"/>
              <w:rPr>
                <w:rFonts w:cstheme="minorHAnsi"/>
                <w:sz w:val="21"/>
                <w:szCs w:val="21"/>
              </w:rPr>
            </w:pPr>
            <w:r w:rsidRPr="00EE5714">
              <w:rPr>
                <w:rFonts w:cstheme="minorHAnsi"/>
                <w:sz w:val="21"/>
                <w:szCs w:val="21"/>
              </w:rPr>
              <w:t>150,414</w:t>
            </w:r>
          </w:p>
        </w:tc>
      </w:tr>
      <w:tr w:rsidR="00F303E0" w:rsidRPr="00EE5714" w14:paraId="0B368C14" w14:textId="77777777" w:rsidTr="00824DBE">
        <w:trPr>
          <w:trHeight w:hRule="exact" w:val="245"/>
        </w:trPr>
        <w:tc>
          <w:tcPr>
            <w:tcW w:w="2070" w:type="dxa"/>
            <w:tcBorders>
              <w:bottom w:val="single" w:sz="8" w:space="0" w:color="000000" w:themeColor="text1"/>
            </w:tcBorders>
            <w:shd w:val="clear" w:color="auto" w:fill="auto"/>
            <w:noWrap/>
            <w:vAlign w:val="center"/>
          </w:tcPr>
          <w:p w14:paraId="353C6475" w14:textId="77777777" w:rsidR="00F303E0" w:rsidRPr="00EE5714" w:rsidRDefault="00F303E0" w:rsidP="00851815">
            <w:pPr>
              <w:keepNext/>
              <w:rPr>
                <w:rFonts w:eastAsia="Times New Roman" w:cstheme="minorHAnsi"/>
                <w:color w:val="000000"/>
                <w:sz w:val="21"/>
                <w:szCs w:val="21"/>
              </w:rPr>
            </w:pPr>
            <w:r w:rsidRPr="00EE5714">
              <w:rPr>
                <w:rFonts w:eastAsia="Times New Roman" w:cstheme="minorHAnsi"/>
                <w:color w:val="000000"/>
                <w:sz w:val="21"/>
                <w:szCs w:val="21"/>
              </w:rPr>
              <w:t>Bills Paid in Full</w:t>
            </w:r>
          </w:p>
        </w:tc>
        <w:tc>
          <w:tcPr>
            <w:tcW w:w="2610" w:type="dxa"/>
            <w:tcBorders>
              <w:bottom w:val="single" w:sz="8" w:space="0" w:color="000000" w:themeColor="text1"/>
            </w:tcBorders>
            <w:shd w:val="clear" w:color="auto" w:fill="auto"/>
            <w:noWrap/>
            <w:vAlign w:val="center"/>
          </w:tcPr>
          <w:p w14:paraId="68E6A4E2" w14:textId="77777777" w:rsidR="00F303E0" w:rsidRPr="00EE5714" w:rsidRDefault="00F303E0" w:rsidP="00851815">
            <w:pPr>
              <w:keepNext/>
              <w:jc w:val="center"/>
              <w:rPr>
                <w:rFonts w:cstheme="minorHAnsi"/>
                <w:sz w:val="21"/>
                <w:szCs w:val="21"/>
              </w:rPr>
            </w:pPr>
            <w:r w:rsidRPr="00EE5714">
              <w:rPr>
                <w:rFonts w:cstheme="minorHAnsi"/>
                <w:sz w:val="21"/>
                <w:szCs w:val="21"/>
              </w:rPr>
              <w:t>147,522</w:t>
            </w:r>
          </w:p>
        </w:tc>
        <w:tc>
          <w:tcPr>
            <w:tcW w:w="2790" w:type="dxa"/>
            <w:tcBorders>
              <w:bottom w:val="single" w:sz="8" w:space="0" w:color="000000" w:themeColor="text1"/>
            </w:tcBorders>
            <w:shd w:val="clear" w:color="auto" w:fill="auto"/>
            <w:noWrap/>
            <w:vAlign w:val="center"/>
          </w:tcPr>
          <w:p w14:paraId="73505DC5" w14:textId="77777777" w:rsidR="00F303E0" w:rsidRPr="00EE5714" w:rsidRDefault="00F303E0" w:rsidP="00851815">
            <w:pPr>
              <w:keepNext/>
              <w:jc w:val="center"/>
              <w:rPr>
                <w:rFonts w:cstheme="minorHAnsi"/>
                <w:sz w:val="21"/>
                <w:szCs w:val="21"/>
              </w:rPr>
            </w:pPr>
            <w:r w:rsidRPr="00EE5714">
              <w:rPr>
                <w:rFonts w:cstheme="minorHAnsi"/>
                <w:sz w:val="21"/>
                <w:szCs w:val="21"/>
              </w:rPr>
              <w:t>265,712</w:t>
            </w:r>
          </w:p>
        </w:tc>
        <w:tc>
          <w:tcPr>
            <w:tcW w:w="2520" w:type="dxa"/>
            <w:tcBorders>
              <w:bottom w:val="single" w:sz="8" w:space="0" w:color="000000" w:themeColor="text1"/>
            </w:tcBorders>
            <w:shd w:val="clear" w:color="auto" w:fill="auto"/>
            <w:noWrap/>
            <w:vAlign w:val="center"/>
          </w:tcPr>
          <w:p w14:paraId="6D2A4F71" w14:textId="77777777" w:rsidR="00F303E0" w:rsidRPr="00EE5714" w:rsidRDefault="00F303E0" w:rsidP="00851815">
            <w:pPr>
              <w:keepNext/>
              <w:jc w:val="center"/>
              <w:rPr>
                <w:rFonts w:cstheme="minorHAnsi"/>
                <w:sz w:val="21"/>
                <w:szCs w:val="21"/>
              </w:rPr>
            </w:pPr>
            <w:r w:rsidRPr="00EE5714">
              <w:rPr>
                <w:rFonts w:cstheme="minorHAnsi"/>
                <w:sz w:val="21"/>
                <w:szCs w:val="21"/>
              </w:rPr>
              <w:t>77,920</w:t>
            </w:r>
          </w:p>
        </w:tc>
      </w:tr>
      <w:tr w:rsidR="00F303E0" w:rsidRPr="00EE5714" w14:paraId="77A9623D" w14:textId="77777777" w:rsidTr="00824DBE">
        <w:trPr>
          <w:trHeight w:hRule="exact" w:val="245"/>
        </w:trPr>
        <w:tc>
          <w:tcPr>
            <w:tcW w:w="2070" w:type="dxa"/>
            <w:shd w:val="clear" w:color="auto" w:fill="F2F2F2" w:themeFill="background1" w:themeFillShade="F2"/>
            <w:noWrap/>
            <w:vAlign w:val="center"/>
          </w:tcPr>
          <w:p w14:paraId="46A88FA4" w14:textId="77777777" w:rsidR="00F303E0" w:rsidRPr="00EE5714" w:rsidRDefault="00F303E0" w:rsidP="00851815">
            <w:pPr>
              <w:keepNext/>
              <w:rPr>
                <w:rFonts w:eastAsia="Times New Roman" w:cstheme="minorHAnsi"/>
                <w:b/>
                <w:bCs/>
                <w:color w:val="000000"/>
                <w:sz w:val="21"/>
                <w:szCs w:val="21"/>
              </w:rPr>
            </w:pPr>
            <w:r w:rsidRPr="00EE5714">
              <w:rPr>
                <w:rFonts w:eastAsia="Times New Roman" w:cstheme="minorHAnsi"/>
                <w:b/>
                <w:bCs/>
                <w:color w:val="000000"/>
                <w:sz w:val="21"/>
                <w:szCs w:val="21"/>
              </w:rPr>
              <w:t>UGI Gas</w:t>
            </w:r>
          </w:p>
        </w:tc>
        <w:tc>
          <w:tcPr>
            <w:tcW w:w="2610" w:type="dxa"/>
            <w:shd w:val="clear" w:color="auto" w:fill="F2F2F2" w:themeFill="background1" w:themeFillShade="F2"/>
            <w:noWrap/>
            <w:vAlign w:val="center"/>
          </w:tcPr>
          <w:p w14:paraId="4B9B5F25" w14:textId="77777777" w:rsidR="00F303E0" w:rsidRPr="00EE5714" w:rsidRDefault="00F303E0" w:rsidP="00851815">
            <w:pPr>
              <w:keepNext/>
              <w:jc w:val="center"/>
              <w:rPr>
                <w:rFonts w:cstheme="minorHAnsi"/>
                <w:sz w:val="21"/>
                <w:szCs w:val="21"/>
              </w:rPr>
            </w:pPr>
          </w:p>
        </w:tc>
        <w:tc>
          <w:tcPr>
            <w:tcW w:w="2790" w:type="dxa"/>
            <w:shd w:val="clear" w:color="auto" w:fill="F2F2F2" w:themeFill="background1" w:themeFillShade="F2"/>
            <w:noWrap/>
            <w:vAlign w:val="center"/>
          </w:tcPr>
          <w:p w14:paraId="229DDCBE" w14:textId="77777777" w:rsidR="00F303E0" w:rsidRPr="00EE5714" w:rsidRDefault="00F303E0" w:rsidP="00851815">
            <w:pPr>
              <w:keepNext/>
              <w:jc w:val="center"/>
              <w:rPr>
                <w:rFonts w:cstheme="minorHAnsi"/>
                <w:sz w:val="21"/>
                <w:szCs w:val="21"/>
              </w:rPr>
            </w:pPr>
          </w:p>
        </w:tc>
        <w:tc>
          <w:tcPr>
            <w:tcW w:w="2520" w:type="dxa"/>
            <w:shd w:val="clear" w:color="auto" w:fill="F2F2F2" w:themeFill="background1" w:themeFillShade="F2"/>
            <w:noWrap/>
            <w:vAlign w:val="center"/>
          </w:tcPr>
          <w:p w14:paraId="1D2A37BF" w14:textId="77777777" w:rsidR="00F303E0" w:rsidRPr="00EE5714" w:rsidRDefault="00F303E0" w:rsidP="00851815">
            <w:pPr>
              <w:keepNext/>
              <w:jc w:val="center"/>
              <w:rPr>
                <w:rFonts w:cstheme="minorHAnsi"/>
                <w:sz w:val="21"/>
                <w:szCs w:val="21"/>
              </w:rPr>
            </w:pPr>
          </w:p>
        </w:tc>
      </w:tr>
      <w:tr w:rsidR="00F303E0" w:rsidRPr="00EE5714" w14:paraId="76BD0DA2" w14:textId="77777777" w:rsidTr="00824DBE">
        <w:trPr>
          <w:trHeight w:hRule="exact" w:val="245"/>
        </w:trPr>
        <w:tc>
          <w:tcPr>
            <w:tcW w:w="2070" w:type="dxa"/>
            <w:shd w:val="clear" w:color="auto" w:fill="auto"/>
            <w:noWrap/>
            <w:vAlign w:val="center"/>
          </w:tcPr>
          <w:p w14:paraId="382AC5C8" w14:textId="60CA849D" w:rsidR="00F303E0" w:rsidRPr="00EE5714" w:rsidRDefault="00F303E0">
            <w:pPr>
              <w:keepNext/>
              <w:rPr>
                <w:rFonts w:eastAsia="Times New Roman"/>
                <w:color w:val="000000"/>
                <w:sz w:val="21"/>
                <w:szCs w:val="21"/>
              </w:rPr>
            </w:pPr>
            <w:r w:rsidRPr="00EE5714">
              <w:rPr>
                <w:rFonts w:eastAsia="Times New Roman"/>
                <w:color w:val="000000"/>
                <w:sz w:val="21"/>
                <w:szCs w:val="21"/>
              </w:rPr>
              <w:t xml:space="preserve">Bills </w:t>
            </w:r>
            <w:r w:rsidR="00923EA8" w:rsidRPr="00EE5714">
              <w:rPr>
                <w:rFonts w:eastAsia="Times New Roman"/>
                <w:color w:val="000000"/>
                <w:sz w:val="21"/>
                <w:szCs w:val="21"/>
              </w:rPr>
              <w:t>Issued</w:t>
            </w:r>
          </w:p>
        </w:tc>
        <w:tc>
          <w:tcPr>
            <w:tcW w:w="2610" w:type="dxa"/>
            <w:shd w:val="clear" w:color="auto" w:fill="auto"/>
            <w:noWrap/>
            <w:vAlign w:val="center"/>
          </w:tcPr>
          <w:p w14:paraId="5BF25ACD"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24,630 </w:t>
            </w:r>
          </w:p>
        </w:tc>
        <w:tc>
          <w:tcPr>
            <w:tcW w:w="2790" w:type="dxa"/>
            <w:shd w:val="clear" w:color="auto" w:fill="auto"/>
            <w:noWrap/>
            <w:vAlign w:val="center"/>
          </w:tcPr>
          <w:p w14:paraId="7B925FCF"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27,918 </w:t>
            </w:r>
          </w:p>
        </w:tc>
        <w:tc>
          <w:tcPr>
            <w:tcW w:w="2520" w:type="dxa"/>
            <w:shd w:val="clear" w:color="auto" w:fill="auto"/>
            <w:noWrap/>
            <w:vAlign w:val="center"/>
          </w:tcPr>
          <w:p w14:paraId="39727346"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4,046 </w:t>
            </w:r>
          </w:p>
        </w:tc>
      </w:tr>
      <w:tr w:rsidR="00F303E0" w:rsidRPr="00EE5714" w14:paraId="7BE96164" w14:textId="77777777" w:rsidTr="00824DBE">
        <w:trPr>
          <w:trHeight w:hRule="exact" w:val="245"/>
        </w:trPr>
        <w:tc>
          <w:tcPr>
            <w:tcW w:w="2070" w:type="dxa"/>
            <w:tcBorders>
              <w:bottom w:val="single" w:sz="8" w:space="0" w:color="000000" w:themeColor="text1"/>
            </w:tcBorders>
            <w:shd w:val="clear" w:color="auto" w:fill="auto"/>
            <w:noWrap/>
            <w:vAlign w:val="center"/>
          </w:tcPr>
          <w:p w14:paraId="4DC0EB73" w14:textId="77777777" w:rsidR="00F303E0" w:rsidRPr="00EE5714" w:rsidRDefault="00F303E0" w:rsidP="00851815">
            <w:pPr>
              <w:keepNext/>
              <w:rPr>
                <w:rFonts w:eastAsia="Times New Roman" w:cstheme="minorHAnsi"/>
                <w:color w:val="000000"/>
                <w:sz w:val="21"/>
                <w:szCs w:val="21"/>
              </w:rPr>
            </w:pPr>
            <w:r w:rsidRPr="00EE5714">
              <w:rPr>
                <w:rFonts w:eastAsia="Times New Roman" w:cstheme="minorHAnsi"/>
                <w:color w:val="000000"/>
                <w:sz w:val="21"/>
                <w:szCs w:val="21"/>
              </w:rPr>
              <w:t>Bills Paid in Full</w:t>
            </w:r>
          </w:p>
        </w:tc>
        <w:tc>
          <w:tcPr>
            <w:tcW w:w="2610" w:type="dxa"/>
            <w:tcBorders>
              <w:bottom w:val="single" w:sz="8" w:space="0" w:color="000000" w:themeColor="text1"/>
            </w:tcBorders>
            <w:shd w:val="clear" w:color="auto" w:fill="auto"/>
            <w:noWrap/>
            <w:vAlign w:val="center"/>
          </w:tcPr>
          <w:p w14:paraId="7D156E52"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22,780 </w:t>
            </w:r>
          </w:p>
        </w:tc>
        <w:tc>
          <w:tcPr>
            <w:tcW w:w="2790" w:type="dxa"/>
            <w:tcBorders>
              <w:bottom w:val="single" w:sz="8" w:space="0" w:color="000000" w:themeColor="text1"/>
            </w:tcBorders>
            <w:shd w:val="clear" w:color="auto" w:fill="auto"/>
            <w:noWrap/>
            <w:vAlign w:val="center"/>
          </w:tcPr>
          <w:p w14:paraId="3A362DEF"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25,140 </w:t>
            </w:r>
          </w:p>
        </w:tc>
        <w:tc>
          <w:tcPr>
            <w:tcW w:w="2520" w:type="dxa"/>
            <w:tcBorders>
              <w:bottom w:val="single" w:sz="8" w:space="0" w:color="000000" w:themeColor="text1"/>
            </w:tcBorders>
            <w:shd w:val="clear" w:color="auto" w:fill="auto"/>
            <w:noWrap/>
            <w:vAlign w:val="center"/>
          </w:tcPr>
          <w:p w14:paraId="4B8D0443"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3,497 </w:t>
            </w:r>
          </w:p>
        </w:tc>
      </w:tr>
      <w:tr w:rsidR="00F303E0" w:rsidRPr="00EE5714" w14:paraId="5AD6D55C" w14:textId="77777777" w:rsidTr="00824DBE">
        <w:trPr>
          <w:trHeight w:hRule="exact" w:val="245"/>
        </w:trPr>
        <w:tc>
          <w:tcPr>
            <w:tcW w:w="2070" w:type="dxa"/>
            <w:shd w:val="clear" w:color="auto" w:fill="F2F2F2" w:themeFill="background1" w:themeFillShade="F2"/>
            <w:noWrap/>
            <w:vAlign w:val="center"/>
          </w:tcPr>
          <w:p w14:paraId="434A3E7A" w14:textId="77777777" w:rsidR="00F303E0" w:rsidRPr="00EE5714" w:rsidRDefault="00F303E0" w:rsidP="00851815">
            <w:pPr>
              <w:keepNext/>
              <w:rPr>
                <w:rFonts w:eastAsia="Times New Roman" w:cstheme="minorHAnsi"/>
                <w:b/>
                <w:bCs/>
                <w:color w:val="000000"/>
                <w:sz w:val="21"/>
                <w:szCs w:val="21"/>
              </w:rPr>
            </w:pPr>
            <w:r w:rsidRPr="00EE5714">
              <w:rPr>
                <w:rFonts w:eastAsia="Times New Roman" w:cstheme="minorHAnsi"/>
                <w:b/>
                <w:bCs/>
                <w:color w:val="000000"/>
                <w:sz w:val="21"/>
                <w:szCs w:val="21"/>
              </w:rPr>
              <w:t>UGI PNG</w:t>
            </w:r>
          </w:p>
        </w:tc>
        <w:tc>
          <w:tcPr>
            <w:tcW w:w="2610" w:type="dxa"/>
            <w:shd w:val="clear" w:color="auto" w:fill="F2F2F2" w:themeFill="background1" w:themeFillShade="F2"/>
            <w:noWrap/>
            <w:vAlign w:val="center"/>
          </w:tcPr>
          <w:p w14:paraId="124B9F9F" w14:textId="77777777" w:rsidR="00F303E0" w:rsidRPr="00EE5714" w:rsidRDefault="00F303E0" w:rsidP="00851815">
            <w:pPr>
              <w:keepNext/>
              <w:jc w:val="center"/>
              <w:rPr>
                <w:rFonts w:cstheme="minorHAnsi"/>
                <w:sz w:val="21"/>
                <w:szCs w:val="21"/>
              </w:rPr>
            </w:pPr>
          </w:p>
        </w:tc>
        <w:tc>
          <w:tcPr>
            <w:tcW w:w="2790" w:type="dxa"/>
            <w:shd w:val="clear" w:color="auto" w:fill="F2F2F2" w:themeFill="background1" w:themeFillShade="F2"/>
            <w:noWrap/>
            <w:vAlign w:val="center"/>
          </w:tcPr>
          <w:p w14:paraId="7A374D4E" w14:textId="77777777" w:rsidR="00F303E0" w:rsidRPr="00EE5714" w:rsidRDefault="00F303E0" w:rsidP="00851815">
            <w:pPr>
              <w:keepNext/>
              <w:jc w:val="center"/>
              <w:rPr>
                <w:rFonts w:cstheme="minorHAnsi"/>
                <w:sz w:val="21"/>
                <w:szCs w:val="21"/>
              </w:rPr>
            </w:pPr>
          </w:p>
        </w:tc>
        <w:tc>
          <w:tcPr>
            <w:tcW w:w="2520" w:type="dxa"/>
            <w:shd w:val="clear" w:color="auto" w:fill="F2F2F2" w:themeFill="background1" w:themeFillShade="F2"/>
            <w:noWrap/>
            <w:vAlign w:val="center"/>
          </w:tcPr>
          <w:p w14:paraId="369DB288" w14:textId="77777777" w:rsidR="00F303E0" w:rsidRPr="00EE5714" w:rsidRDefault="00F303E0" w:rsidP="00851815">
            <w:pPr>
              <w:keepNext/>
              <w:jc w:val="center"/>
              <w:rPr>
                <w:rFonts w:cstheme="minorHAnsi"/>
                <w:sz w:val="21"/>
                <w:szCs w:val="21"/>
              </w:rPr>
            </w:pPr>
          </w:p>
        </w:tc>
      </w:tr>
      <w:tr w:rsidR="00F303E0" w:rsidRPr="00EE5714" w14:paraId="1011760F" w14:textId="77777777" w:rsidTr="00824DBE">
        <w:trPr>
          <w:trHeight w:hRule="exact" w:val="245"/>
        </w:trPr>
        <w:tc>
          <w:tcPr>
            <w:tcW w:w="2070" w:type="dxa"/>
            <w:shd w:val="clear" w:color="auto" w:fill="auto"/>
            <w:noWrap/>
            <w:vAlign w:val="center"/>
          </w:tcPr>
          <w:p w14:paraId="7EC40EF9" w14:textId="544E5300" w:rsidR="00F303E0" w:rsidRPr="00EE5714" w:rsidRDefault="00F303E0">
            <w:pPr>
              <w:keepNext/>
              <w:rPr>
                <w:rFonts w:eastAsia="Times New Roman"/>
                <w:color w:val="000000"/>
                <w:sz w:val="21"/>
                <w:szCs w:val="21"/>
              </w:rPr>
            </w:pPr>
            <w:r w:rsidRPr="00EE5714">
              <w:rPr>
                <w:rFonts w:eastAsia="Times New Roman"/>
                <w:color w:val="000000"/>
                <w:sz w:val="21"/>
                <w:szCs w:val="21"/>
              </w:rPr>
              <w:t xml:space="preserve">Bills </w:t>
            </w:r>
            <w:r w:rsidR="00923EA8" w:rsidRPr="00EE5714">
              <w:rPr>
                <w:rFonts w:eastAsia="Times New Roman"/>
                <w:color w:val="000000"/>
                <w:sz w:val="21"/>
                <w:szCs w:val="21"/>
              </w:rPr>
              <w:t>Issued</w:t>
            </w:r>
          </w:p>
        </w:tc>
        <w:tc>
          <w:tcPr>
            <w:tcW w:w="2610" w:type="dxa"/>
            <w:shd w:val="clear" w:color="auto" w:fill="auto"/>
            <w:noWrap/>
            <w:vAlign w:val="center"/>
          </w:tcPr>
          <w:p w14:paraId="427F5D85"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12,971 </w:t>
            </w:r>
          </w:p>
        </w:tc>
        <w:tc>
          <w:tcPr>
            <w:tcW w:w="2790" w:type="dxa"/>
            <w:shd w:val="clear" w:color="auto" w:fill="auto"/>
            <w:noWrap/>
            <w:vAlign w:val="center"/>
          </w:tcPr>
          <w:p w14:paraId="2B3382EC"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25,385 </w:t>
            </w:r>
          </w:p>
        </w:tc>
        <w:tc>
          <w:tcPr>
            <w:tcW w:w="2520" w:type="dxa"/>
            <w:shd w:val="clear" w:color="auto" w:fill="auto"/>
            <w:noWrap/>
            <w:vAlign w:val="center"/>
          </w:tcPr>
          <w:p w14:paraId="723255C6"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6,374 </w:t>
            </w:r>
          </w:p>
        </w:tc>
      </w:tr>
      <w:tr w:rsidR="00F303E0" w:rsidRPr="00EE5714" w14:paraId="1BF4EDAB" w14:textId="77777777" w:rsidTr="00824DBE">
        <w:trPr>
          <w:trHeight w:hRule="exact" w:val="245"/>
        </w:trPr>
        <w:tc>
          <w:tcPr>
            <w:tcW w:w="2070" w:type="dxa"/>
            <w:tcBorders>
              <w:bottom w:val="single" w:sz="8" w:space="0" w:color="000000" w:themeColor="text1"/>
            </w:tcBorders>
            <w:shd w:val="clear" w:color="auto" w:fill="auto"/>
            <w:noWrap/>
            <w:vAlign w:val="center"/>
          </w:tcPr>
          <w:p w14:paraId="08EACAEF" w14:textId="77777777" w:rsidR="00F303E0" w:rsidRPr="00EE5714" w:rsidRDefault="00F303E0" w:rsidP="00851815">
            <w:pPr>
              <w:keepNext/>
              <w:rPr>
                <w:rFonts w:eastAsia="Times New Roman" w:cstheme="minorHAnsi"/>
                <w:color w:val="000000"/>
                <w:sz w:val="21"/>
                <w:szCs w:val="21"/>
              </w:rPr>
            </w:pPr>
            <w:r w:rsidRPr="00EE5714">
              <w:rPr>
                <w:rFonts w:eastAsia="Times New Roman" w:cstheme="minorHAnsi"/>
                <w:color w:val="000000"/>
                <w:sz w:val="21"/>
                <w:szCs w:val="21"/>
              </w:rPr>
              <w:t>Bills Paid in Full</w:t>
            </w:r>
          </w:p>
        </w:tc>
        <w:tc>
          <w:tcPr>
            <w:tcW w:w="2610" w:type="dxa"/>
            <w:tcBorders>
              <w:bottom w:val="single" w:sz="8" w:space="0" w:color="000000" w:themeColor="text1"/>
            </w:tcBorders>
            <w:shd w:val="clear" w:color="auto" w:fill="auto"/>
            <w:noWrap/>
            <w:vAlign w:val="center"/>
          </w:tcPr>
          <w:p w14:paraId="3277F01E"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11,912 </w:t>
            </w:r>
          </w:p>
        </w:tc>
        <w:tc>
          <w:tcPr>
            <w:tcW w:w="2790" w:type="dxa"/>
            <w:tcBorders>
              <w:bottom w:val="single" w:sz="8" w:space="0" w:color="000000" w:themeColor="text1"/>
            </w:tcBorders>
            <w:shd w:val="clear" w:color="auto" w:fill="auto"/>
            <w:noWrap/>
            <w:vAlign w:val="center"/>
          </w:tcPr>
          <w:p w14:paraId="3E4378B4"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23,264 </w:t>
            </w:r>
          </w:p>
        </w:tc>
        <w:tc>
          <w:tcPr>
            <w:tcW w:w="2520" w:type="dxa"/>
            <w:tcBorders>
              <w:bottom w:val="single" w:sz="8" w:space="0" w:color="000000" w:themeColor="text1"/>
            </w:tcBorders>
            <w:shd w:val="clear" w:color="auto" w:fill="auto"/>
            <w:noWrap/>
            <w:vAlign w:val="center"/>
          </w:tcPr>
          <w:p w14:paraId="3D7A6802" w14:textId="77777777" w:rsidR="00F303E0" w:rsidRPr="00EE5714" w:rsidRDefault="00F303E0" w:rsidP="00851815">
            <w:pPr>
              <w:keepNext/>
              <w:jc w:val="center"/>
              <w:rPr>
                <w:rFonts w:cstheme="minorHAnsi"/>
                <w:sz w:val="21"/>
                <w:szCs w:val="21"/>
              </w:rPr>
            </w:pPr>
            <w:r w:rsidRPr="00EE5714">
              <w:rPr>
                <w:rFonts w:cstheme="minorHAnsi"/>
                <w:sz w:val="21"/>
                <w:szCs w:val="21"/>
              </w:rPr>
              <w:t xml:space="preserve">5,648 </w:t>
            </w:r>
          </w:p>
        </w:tc>
      </w:tr>
    </w:tbl>
    <w:p w14:paraId="1E4E83E7" w14:textId="77777777" w:rsidR="00F303E0" w:rsidRPr="00EE5714" w:rsidRDefault="00F303E0" w:rsidP="00F303E0">
      <w:pPr>
        <w:pStyle w:val="NoSpacing"/>
        <w:rPr>
          <w:rFonts w:cs="Times New Roman"/>
          <w:sz w:val="24"/>
          <w:szCs w:val="24"/>
        </w:rPr>
      </w:pPr>
      <w:r w:rsidRPr="00EE5714">
        <w:rPr>
          <w:rFonts w:cs="Times New Roman"/>
          <w:sz w:val="24"/>
          <w:szCs w:val="24"/>
        </w:rPr>
        <w:t>*NFG only provided aggregate data for the 0-150% FPIG level.</w:t>
      </w:r>
    </w:p>
    <w:p w14:paraId="4526F309" w14:textId="77777777" w:rsidR="00F303E0" w:rsidRPr="00EE5714" w:rsidRDefault="00F303E0" w:rsidP="00F303E0">
      <w:pPr>
        <w:pStyle w:val="NoSpacing"/>
        <w:rPr>
          <w:rFonts w:cs="Times New Roman"/>
          <w:sz w:val="24"/>
          <w:szCs w:val="24"/>
        </w:rPr>
      </w:pPr>
    </w:p>
    <w:p w14:paraId="02466A01" w14:textId="77777777" w:rsidR="00F303E0" w:rsidRPr="00EE5714" w:rsidRDefault="00F303E0" w:rsidP="00F303E0">
      <w:pPr>
        <w:pStyle w:val="NoSpacing"/>
        <w:rPr>
          <w:rFonts w:cs="Times New Roman"/>
          <w:szCs w:val="26"/>
        </w:rPr>
      </w:pPr>
    </w:p>
    <w:p w14:paraId="625D51A6" w14:textId="5BD30A47" w:rsidR="00F303E0" w:rsidRPr="00EE5714" w:rsidRDefault="00F303E0">
      <w:pPr>
        <w:pStyle w:val="NoSpacing"/>
        <w:keepNext/>
        <w:rPr>
          <w:rFonts w:cs="Times New Roman"/>
        </w:rPr>
      </w:pPr>
      <w:r w:rsidRPr="00EE5714">
        <w:rPr>
          <w:rFonts w:cs="Times New Roman"/>
        </w:rPr>
        <w:lastRenderedPageBreak/>
        <w:t xml:space="preserve">Appendix </w:t>
      </w:r>
      <w:r w:rsidR="003E499A" w:rsidRPr="00EE5714">
        <w:rPr>
          <w:rFonts w:cs="Times New Roman"/>
        </w:rPr>
        <w:t>5</w:t>
      </w:r>
      <w:r w:rsidRPr="00EE5714">
        <w:rPr>
          <w:rFonts w:cs="Times New Roman"/>
        </w:rPr>
        <w:t xml:space="preserve">.B.3: </w:t>
      </w:r>
      <w:r w:rsidRPr="00EE5714">
        <w:rPr>
          <w:rFonts w:eastAsia="Times New Roman" w:cs="Times New Roman"/>
          <w:b/>
          <w:bCs/>
          <w:color w:val="000000"/>
        </w:rPr>
        <w:t xml:space="preserve">NGDC CAP Bills </w:t>
      </w:r>
      <w:r w:rsidR="00923EA8" w:rsidRPr="00EE5714">
        <w:rPr>
          <w:rFonts w:eastAsia="Times New Roman" w:cs="Times New Roman"/>
          <w:b/>
          <w:bCs/>
          <w:color w:val="000000"/>
        </w:rPr>
        <w:t>Issued</w:t>
      </w:r>
      <w:r w:rsidRPr="00EE5714">
        <w:rPr>
          <w:rFonts w:eastAsia="Times New Roman" w:cs="Times New Roman"/>
          <w:b/>
          <w:bCs/>
          <w:color w:val="000000"/>
        </w:rPr>
        <w:t xml:space="preserve"> and Paid In-Full</w:t>
      </w:r>
    </w:p>
    <w:tbl>
      <w:tblPr>
        <w:tblW w:w="999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70"/>
        <w:gridCol w:w="2610"/>
        <w:gridCol w:w="2790"/>
        <w:gridCol w:w="2520"/>
      </w:tblGrid>
      <w:tr w:rsidR="00F303E0" w:rsidRPr="00EE5714" w14:paraId="3ADCDB85" w14:textId="77777777" w:rsidTr="00824DBE">
        <w:trPr>
          <w:trHeight w:val="304"/>
        </w:trPr>
        <w:tc>
          <w:tcPr>
            <w:tcW w:w="2070" w:type="dxa"/>
            <w:vMerge w:val="restart"/>
            <w:shd w:val="clear" w:color="auto" w:fill="auto"/>
            <w:noWrap/>
            <w:vAlign w:val="center"/>
            <w:hideMark/>
          </w:tcPr>
          <w:p w14:paraId="31122A5F" w14:textId="77777777" w:rsidR="00F303E0" w:rsidRPr="00EE5714" w:rsidRDefault="00F303E0" w:rsidP="00CE67A6">
            <w:pPr>
              <w:keepNext/>
              <w:spacing w:after="0" w:line="240" w:lineRule="auto"/>
              <w:jc w:val="center"/>
              <w:rPr>
                <w:rFonts w:ascii="Calibri" w:eastAsia="Times New Roman" w:hAnsi="Calibri" w:cs="Calibri"/>
                <w:b/>
                <w:bCs/>
                <w:color w:val="000000"/>
                <w:szCs w:val="24"/>
              </w:rPr>
            </w:pPr>
            <w:r w:rsidRPr="00EE5714">
              <w:rPr>
                <w:rFonts w:ascii="Calibri" w:eastAsia="Times New Roman" w:hAnsi="Calibri" w:cs="Calibri"/>
                <w:b/>
                <w:bCs/>
                <w:color w:val="000000"/>
                <w:szCs w:val="24"/>
              </w:rPr>
              <w:t>2014</w:t>
            </w:r>
          </w:p>
        </w:tc>
        <w:tc>
          <w:tcPr>
            <w:tcW w:w="7920" w:type="dxa"/>
            <w:gridSpan w:val="3"/>
            <w:tcBorders>
              <w:right w:val="single" w:sz="8" w:space="0" w:color="000000" w:themeColor="text1"/>
            </w:tcBorders>
            <w:shd w:val="clear" w:color="auto" w:fill="D9D9D9" w:themeFill="background1" w:themeFillShade="D9"/>
            <w:noWrap/>
            <w:vAlign w:val="bottom"/>
            <w:hideMark/>
          </w:tcPr>
          <w:p w14:paraId="20F0398F" w14:textId="4A3E397B" w:rsidR="00F303E0" w:rsidRPr="00EE5714" w:rsidRDefault="00F303E0" w:rsidP="00CE67A6">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rPr>
              <w:t xml:space="preserve">NGDC CAP Bills </w:t>
            </w:r>
            <w:r w:rsidR="00923EA8" w:rsidRPr="00EE5714">
              <w:rPr>
                <w:rFonts w:ascii="Calibri" w:eastAsia="Times New Roman" w:hAnsi="Calibri" w:cs="Calibri"/>
                <w:b/>
                <w:bCs/>
                <w:color w:val="000000"/>
              </w:rPr>
              <w:t>Issued</w:t>
            </w:r>
            <w:r w:rsidRPr="00EE5714">
              <w:rPr>
                <w:rFonts w:ascii="Calibri" w:eastAsia="Times New Roman" w:hAnsi="Calibri" w:cs="Calibri"/>
                <w:b/>
                <w:bCs/>
                <w:color w:val="000000"/>
              </w:rPr>
              <w:t xml:space="preserve"> and Paid In-Full</w:t>
            </w:r>
          </w:p>
        </w:tc>
      </w:tr>
      <w:tr w:rsidR="00F303E0" w:rsidRPr="00EE5714" w14:paraId="2F86498E" w14:textId="77777777" w:rsidTr="00824DBE">
        <w:trPr>
          <w:trHeight w:val="72"/>
        </w:trPr>
        <w:tc>
          <w:tcPr>
            <w:tcW w:w="2070" w:type="dxa"/>
            <w:vMerge/>
            <w:shd w:val="clear" w:color="auto" w:fill="auto"/>
            <w:vAlign w:val="center"/>
            <w:hideMark/>
          </w:tcPr>
          <w:p w14:paraId="45DE5C7A" w14:textId="77777777" w:rsidR="00F303E0" w:rsidRPr="00EE5714" w:rsidRDefault="00F303E0" w:rsidP="00CE67A6">
            <w:pPr>
              <w:keepNext/>
              <w:spacing w:after="0" w:line="240" w:lineRule="auto"/>
              <w:rPr>
                <w:rFonts w:ascii="Calibri" w:eastAsia="Times New Roman" w:hAnsi="Calibri" w:cs="Calibri"/>
                <w:b/>
                <w:bCs/>
                <w:color w:val="000000"/>
              </w:rPr>
            </w:pPr>
          </w:p>
        </w:tc>
        <w:tc>
          <w:tcPr>
            <w:tcW w:w="2610" w:type="dxa"/>
            <w:tcBorders>
              <w:bottom w:val="single" w:sz="8" w:space="0" w:color="000000" w:themeColor="text1"/>
            </w:tcBorders>
            <w:shd w:val="clear" w:color="auto" w:fill="auto"/>
            <w:noWrap/>
            <w:vAlign w:val="bottom"/>
            <w:hideMark/>
          </w:tcPr>
          <w:p w14:paraId="7E8E8204"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 FPIG</w:t>
            </w:r>
          </w:p>
        </w:tc>
        <w:tc>
          <w:tcPr>
            <w:tcW w:w="2790" w:type="dxa"/>
            <w:tcBorders>
              <w:bottom w:val="single" w:sz="8" w:space="0" w:color="000000" w:themeColor="text1"/>
            </w:tcBorders>
            <w:shd w:val="clear" w:color="auto" w:fill="auto"/>
            <w:noWrap/>
            <w:vAlign w:val="bottom"/>
            <w:hideMark/>
          </w:tcPr>
          <w:p w14:paraId="3C1EE185"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 FPIG</w:t>
            </w:r>
          </w:p>
        </w:tc>
        <w:tc>
          <w:tcPr>
            <w:tcW w:w="2520" w:type="dxa"/>
            <w:tcBorders>
              <w:bottom w:val="single" w:sz="8" w:space="0" w:color="000000" w:themeColor="text1"/>
              <w:right w:val="single" w:sz="8" w:space="0" w:color="000000" w:themeColor="text1"/>
            </w:tcBorders>
            <w:shd w:val="clear" w:color="auto" w:fill="auto"/>
            <w:noWrap/>
            <w:vAlign w:val="bottom"/>
            <w:hideMark/>
          </w:tcPr>
          <w:p w14:paraId="07BE6DC8"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 FPIG</w:t>
            </w:r>
          </w:p>
        </w:tc>
      </w:tr>
      <w:tr w:rsidR="00F303E0" w:rsidRPr="00EE5714" w14:paraId="461F38E8" w14:textId="77777777" w:rsidTr="00824DBE">
        <w:trPr>
          <w:trHeight w:hRule="exact" w:val="245"/>
        </w:trPr>
        <w:tc>
          <w:tcPr>
            <w:tcW w:w="2070" w:type="dxa"/>
            <w:tcBorders>
              <w:bottom w:val="single" w:sz="8" w:space="0" w:color="000000" w:themeColor="text1"/>
            </w:tcBorders>
            <w:shd w:val="clear" w:color="auto" w:fill="F2F2F2" w:themeFill="background1" w:themeFillShade="F2"/>
            <w:noWrap/>
            <w:vAlign w:val="center"/>
          </w:tcPr>
          <w:p w14:paraId="4DC09365"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2610" w:type="dxa"/>
            <w:tcBorders>
              <w:bottom w:val="single" w:sz="8" w:space="0" w:color="000000" w:themeColor="text1"/>
            </w:tcBorders>
            <w:shd w:val="clear" w:color="auto" w:fill="F2F2F2" w:themeFill="background1" w:themeFillShade="F2"/>
            <w:noWrap/>
            <w:vAlign w:val="center"/>
          </w:tcPr>
          <w:p w14:paraId="6FE3561E" w14:textId="77777777" w:rsidR="00F303E0" w:rsidRPr="00EE5714" w:rsidRDefault="00F303E0" w:rsidP="00851815">
            <w:pPr>
              <w:keepNext/>
              <w:jc w:val="center"/>
              <w:rPr>
                <w:rFonts w:ascii="Calibri" w:hAnsi="Calibri" w:cs="Calibri"/>
                <w:sz w:val="21"/>
                <w:szCs w:val="21"/>
              </w:rPr>
            </w:pPr>
          </w:p>
        </w:tc>
        <w:tc>
          <w:tcPr>
            <w:tcW w:w="2790" w:type="dxa"/>
            <w:tcBorders>
              <w:bottom w:val="single" w:sz="8" w:space="0" w:color="000000" w:themeColor="text1"/>
            </w:tcBorders>
            <w:shd w:val="clear" w:color="auto" w:fill="F2F2F2" w:themeFill="background1" w:themeFillShade="F2"/>
            <w:noWrap/>
            <w:vAlign w:val="center"/>
          </w:tcPr>
          <w:p w14:paraId="7F6BA139" w14:textId="77777777" w:rsidR="00F303E0" w:rsidRPr="00EE5714" w:rsidRDefault="00F303E0" w:rsidP="00851815">
            <w:pPr>
              <w:keepNext/>
              <w:jc w:val="center"/>
              <w:rPr>
                <w:rFonts w:ascii="Calibri" w:hAnsi="Calibri" w:cs="Calibri"/>
                <w:sz w:val="21"/>
                <w:szCs w:val="21"/>
              </w:rPr>
            </w:pPr>
          </w:p>
        </w:tc>
        <w:tc>
          <w:tcPr>
            <w:tcW w:w="2520" w:type="dxa"/>
            <w:tcBorders>
              <w:bottom w:val="single" w:sz="8" w:space="0" w:color="000000" w:themeColor="text1"/>
              <w:right w:val="single" w:sz="8" w:space="0" w:color="000000" w:themeColor="text1"/>
            </w:tcBorders>
            <w:shd w:val="clear" w:color="auto" w:fill="F2F2F2" w:themeFill="background1" w:themeFillShade="F2"/>
            <w:noWrap/>
            <w:vAlign w:val="center"/>
          </w:tcPr>
          <w:p w14:paraId="5F15104D" w14:textId="77777777" w:rsidR="00F303E0" w:rsidRPr="00EE5714" w:rsidRDefault="00F303E0" w:rsidP="00851815">
            <w:pPr>
              <w:keepNext/>
              <w:jc w:val="center"/>
              <w:rPr>
                <w:rFonts w:ascii="Calibri" w:hAnsi="Calibri" w:cs="Calibri"/>
                <w:sz w:val="21"/>
                <w:szCs w:val="21"/>
              </w:rPr>
            </w:pPr>
          </w:p>
        </w:tc>
      </w:tr>
      <w:tr w:rsidR="00F303E0" w:rsidRPr="00EE5714" w14:paraId="74D57234" w14:textId="77777777" w:rsidTr="00824DBE">
        <w:trPr>
          <w:trHeight w:hRule="exact" w:val="245"/>
        </w:trPr>
        <w:tc>
          <w:tcPr>
            <w:tcW w:w="2070" w:type="dxa"/>
            <w:shd w:val="clear" w:color="auto" w:fill="auto"/>
            <w:noWrap/>
            <w:vAlign w:val="center"/>
          </w:tcPr>
          <w:p w14:paraId="36D6FB71" w14:textId="50300EE8"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7078EBC0"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54,428</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69F90C73"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115,013</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125F809B"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76,092</w:t>
            </w:r>
          </w:p>
        </w:tc>
      </w:tr>
      <w:tr w:rsidR="00F303E0" w:rsidRPr="00EE5714" w14:paraId="1E0DEFC6" w14:textId="77777777" w:rsidTr="00824DBE">
        <w:trPr>
          <w:trHeight w:hRule="exact" w:val="245"/>
        </w:trPr>
        <w:tc>
          <w:tcPr>
            <w:tcW w:w="2070" w:type="dxa"/>
            <w:tcBorders>
              <w:bottom w:val="single" w:sz="8" w:space="0" w:color="000000" w:themeColor="text1"/>
            </w:tcBorders>
            <w:shd w:val="clear" w:color="auto" w:fill="auto"/>
            <w:noWrap/>
            <w:vAlign w:val="center"/>
          </w:tcPr>
          <w:p w14:paraId="3B8B2210"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63A68C50"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27,971</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761C45D"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66,677</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CB6DB75"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46,496</w:t>
            </w:r>
          </w:p>
        </w:tc>
      </w:tr>
      <w:tr w:rsidR="00F303E0" w:rsidRPr="00EE5714" w14:paraId="5EF0664F" w14:textId="77777777" w:rsidTr="00824DBE">
        <w:trPr>
          <w:trHeight w:hRule="exact" w:val="245"/>
        </w:trPr>
        <w:tc>
          <w:tcPr>
            <w:tcW w:w="2070" w:type="dxa"/>
            <w:shd w:val="clear" w:color="auto" w:fill="F2F2F2" w:themeFill="background1" w:themeFillShade="F2"/>
            <w:noWrap/>
            <w:vAlign w:val="center"/>
          </w:tcPr>
          <w:p w14:paraId="17B4315C"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NFG*</w:t>
            </w:r>
          </w:p>
        </w:tc>
        <w:tc>
          <w:tcPr>
            <w:tcW w:w="2610" w:type="dxa"/>
            <w:tcBorders>
              <w:top w:val="single" w:sz="8" w:space="0" w:color="000000" w:themeColor="text1"/>
            </w:tcBorders>
            <w:shd w:val="clear" w:color="auto" w:fill="F2F2F2" w:themeFill="background1" w:themeFillShade="F2"/>
            <w:noWrap/>
            <w:vAlign w:val="center"/>
          </w:tcPr>
          <w:p w14:paraId="76D65343" w14:textId="77777777" w:rsidR="00F303E0" w:rsidRPr="00EE5714" w:rsidRDefault="00F303E0" w:rsidP="00851815">
            <w:pPr>
              <w:keepNext/>
              <w:jc w:val="center"/>
              <w:rPr>
                <w:rFonts w:ascii="Calibri" w:eastAsia="Times New Roman" w:hAnsi="Calibri" w:cs="Calibri"/>
                <w:sz w:val="21"/>
                <w:szCs w:val="21"/>
              </w:rPr>
            </w:pPr>
          </w:p>
        </w:tc>
        <w:tc>
          <w:tcPr>
            <w:tcW w:w="2790" w:type="dxa"/>
            <w:tcBorders>
              <w:top w:val="single" w:sz="8" w:space="0" w:color="000000" w:themeColor="text1"/>
            </w:tcBorders>
            <w:shd w:val="clear" w:color="auto" w:fill="F2F2F2" w:themeFill="background1" w:themeFillShade="F2"/>
            <w:noWrap/>
            <w:vAlign w:val="center"/>
          </w:tcPr>
          <w:p w14:paraId="17451E10" w14:textId="77777777" w:rsidR="00F303E0" w:rsidRPr="00EE5714" w:rsidRDefault="00F303E0" w:rsidP="00851815">
            <w:pPr>
              <w:keepNext/>
              <w:jc w:val="center"/>
              <w:rPr>
                <w:rFonts w:ascii="Calibri" w:eastAsia="Times New Roman" w:hAnsi="Calibri" w:cs="Calibri"/>
                <w:sz w:val="21"/>
                <w:szCs w:val="21"/>
              </w:rPr>
            </w:pPr>
          </w:p>
        </w:tc>
        <w:tc>
          <w:tcPr>
            <w:tcW w:w="2520"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noWrap/>
            <w:vAlign w:val="center"/>
          </w:tcPr>
          <w:p w14:paraId="519F14DE"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649042F4" w14:textId="77777777" w:rsidTr="00824DBE">
        <w:trPr>
          <w:trHeight w:hRule="exact" w:val="245"/>
        </w:trPr>
        <w:tc>
          <w:tcPr>
            <w:tcW w:w="2070" w:type="dxa"/>
            <w:shd w:val="clear" w:color="auto" w:fill="auto"/>
            <w:noWrap/>
            <w:vAlign w:val="center"/>
          </w:tcPr>
          <w:p w14:paraId="4791C07C" w14:textId="5EB8B159"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3D92427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2790" w:type="dxa"/>
            <w:shd w:val="clear" w:color="auto" w:fill="auto"/>
            <w:noWrap/>
            <w:vAlign w:val="center"/>
          </w:tcPr>
          <w:p w14:paraId="2F0BCA6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252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725FE99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120,792</w:t>
            </w:r>
          </w:p>
        </w:tc>
      </w:tr>
      <w:tr w:rsidR="00F303E0" w:rsidRPr="00EE5714" w14:paraId="25CBE9CA" w14:textId="77777777" w:rsidTr="00824DBE">
        <w:trPr>
          <w:trHeight w:hRule="exact" w:val="245"/>
        </w:trPr>
        <w:tc>
          <w:tcPr>
            <w:tcW w:w="2070" w:type="dxa"/>
            <w:tcBorders>
              <w:bottom w:val="single" w:sz="8" w:space="0" w:color="000000" w:themeColor="text1"/>
            </w:tcBorders>
            <w:shd w:val="clear" w:color="auto" w:fill="auto"/>
            <w:noWrap/>
            <w:vAlign w:val="center"/>
          </w:tcPr>
          <w:p w14:paraId="0D657E69"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09AF279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2790" w:type="dxa"/>
            <w:tcBorders>
              <w:bottom w:val="single" w:sz="8" w:space="0" w:color="000000" w:themeColor="text1"/>
            </w:tcBorders>
            <w:shd w:val="clear" w:color="auto" w:fill="auto"/>
            <w:noWrap/>
            <w:vAlign w:val="center"/>
          </w:tcPr>
          <w:p w14:paraId="1F8F5E9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252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5A2DB029"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73,471</w:t>
            </w:r>
          </w:p>
        </w:tc>
      </w:tr>
      <w:tr w:rsidR="00F303E0" w:rsidRPr="00EE5714" w14:paraId="73EA88F7" w14:textId="77777777" w:rsidTr="00824DBE">
        <w:trPr>
          <w:trHeight w:hRule="exact" w:val="245"/>
        </w:trPr>
        <w:tc>
          <w:tcPr>
            <w:tcW w:w="2070" w:type="dxa"/>
            <w:shd w:val="clear" w:color="auto" w:fill="F2F2F2" w:themeFill="background1" w:themeFillShade="F2"/>
            <w:noWrap/>
            <w:vAlign w:val="center"/>
          </w:tcPr>
          <w:p w14:paraId="1AD4BC82"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Gas</w:t>
            </w:r>
          </w:p>
        </w:tc>
        <w:tc>
          <w:tcPr>
            <w:tcW w:w="2610" w:type="dxa"/>
            <w:shd w:val="clear" w:color="auto" w:fill="F2F2F2" w:themeFill="background1" w:themeFillShade="F2"/>
            <w:noWrap/>
            <w:vAlign w:val="center"/>
          </w:tcPr>
          <w:p w14:paraId="6E507DB2"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tcPr>
          <w:p w14:paraId="20F317E4" w14:textId="77777777" w:rsidR="00F303E0" w:rsidRPr="00EE5714" w:rsidRDefault="00F303E0" w:rsidP="00851815">
            <w:pPr>
              <w:keepNext/>
              <w:jc w:val="center"/>
              <w:rPr>
                <w:rFonts w:ascii="Calibri" w:eastAsia="Times New Roman" w:hAnsi="Calibri" w:cs="Calibri"/>
                <w:sz w:val="21"/>
                <w:szCs w:val="21"/>
              </w:rPr>
            </w:pPr>
          </w:p>
        </w:tc>
        <w:tc>
          <w:tcPr>
            <w:tcW w:w="2520" w:type="dxa"/>
            <w:shd w:val="clear" w:color="auto" w:fill="F2F2F2" w:themeFill="background1" w:themeFillShade="F2"/>
            <w:noWrap/>
            <w:vAlign w:val="center"/>
          </w:tcPr>
          <w:p w14:paraId="28E853FB"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72BD880D" w14:textId="77777777" w:rsidTr="00824DBE">
        <w:trPr>
          <w:trHeight w:hRule="exact" w:val="245"/>
        </w:trPr>
        <w:tc>
          <w:tcPr>
            <w:tcW w:w="2070" w:type="dxa"/>
            <w:shd w:val="clear" w:color="auto" w:fill="auto"/>
            <w:noWrap/>
            <w:vAlign w:val="center"/>
          </w:tcPr>
          <w:p w14:paraId="07956232" w14:textId="6E787FB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08E4D263"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 xml:space="preserve"> 12,412 </w:t>
            </w:r>
          </w:p>
        </w:tc>
        <w:tc>
          <w:tcPr>
            <w:tcW w:w="2790" w:type="dxa"/>
            <w:shd w:val="clear" w:color="auto" w:fill="auto"/>
            <w:noWrap/>
            <w:vAlign w:val="center"/>
          </w:tcPr>
          <w:p w14:paraId="4D67D89C"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 xml:space="preserve"> 24,802 </w:t>
            </w:r>
          </w:p>
        </w:tc>
        <w:tc>
          <w:tcPr>
            <w:tcW w:w="2520" w:type="dxa"/>
            <w:shd w:val="clear" w:color="auto" w:fill="auto"/>
            <w:noWrap/>
            <w:vAlign w:val="center"/>
          </w:tcPr>
          <w:p w14:paraId="23EDBECD"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 xml:space="preserve"> 20,118 </w:t>
            </w:r>
          </w:p>
        </w:tc>
      </w:tr>
      <w:tr w:rsidR="00F303E0" w:rsidRPr="00EE5714" w14:paraId="3C00BA77" w14:textId="77777777" w:rsidTr="00824DBE">
        <w:trPr>
          <w:trHeight w:hRule="exact" w:val="245"/>
        </w:trPr>
        <w:tc>
          <w:tcPr>
            <w:tcW w:w="2070" w:type="dxa"/>
            <w:shd w:val="clear" w:color="auto" w:fill="auto"/>
            <w:noWrap/>
            <w:vAlign w:val="center"/>
          </w:tcPr>
          <w:p w14:paraId="6C1942CC"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Bills Paid in Full</w:t>
            </w:r>
          </w:p>
        </w:tc>
        <w:tc>
          <w:tcPr>
            <w:tcW w:w="2610" w:type="dxa"/>
            <w:shd w:val="clear" w:color="auto" w:fill="auto"/>
            <w:noWrap/>
            <w:vAlign w:val="center"/>
          </w:tcPr>
          <w:p w14:paraId="2024717D"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 xml:space="preserve"> 6,379 </w:t>
            </w:r>
          </w:p>
        </w:tc>
        <w:tc>
          <w:tcPr>
            <w:tcW w:w="2790" w:type="dxa"/>
            <w:shd w:val="clear" w:color="auto" w:fill="auto"/>
            <w:noWrap/>
            <w:vAlign w:val="center"/>
          </w:tcPr>
          <w:p w14:paraId="3122991C"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 xml:space="preserve"> 15,033 </w:t>
            </w:r>
          </w:p>
        </w:tc>
        <w:tc>
          <w:tcPr>
            <w:tcW w:w="2520" w:type="dxa"/>
            <w:shd w:val="clear" w:color="auto" w:fill="auto"/>
            <w:noWrap/>
            <w:vAlign w:val="center"/>
          </w:tcPr>
          <w:p w14:paraId="175892B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 xml:space="preserve"> 12,834 </w:t>
            </w:r>
          </w:p>
        </w:tc>
      </w:tr>
      <w:tr w:rsidR="00F303E0" w:rsidRPr="00EE5714" w14:paraId="2FD62C35" w14:textId="77777777" w:rsidTr="00824DBE">
        <w:trPr>
          <w:trHeight w:hRule="exact" w:val="245"/>
        </w:trPr>
        <w:tc>
          <w:tcPr>
            <w:tcW w:w="2070" w:type="dxa"/>
            <w:shd w:val="clear" w:color="auto" w:fill="F2F2F2" w:themeFill="background1" w:themeFillShade="F2"/>
            <w:noWrap/>
            <w:vAlign w:val="center"/>
          </w:tcPr>
          <w:p w14:paraId="02FE2E1E"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w:t>
            </w:r>
          </w:p>
        </w:tc>
        <w:tc>
          <w:tcPr>
            <w:tcW w:w="2610" w:type="dxa"/>
            <w:shd w:val="clear" w:color="auto" w:fill="F2F2F2" w:themeFill="background1" w:themeFillShade="F2"/>
            <w:noWrap/>
            <w:vAlign w:val="center"/>
          </w:tcPr>
          <w:p w14:paraId="6C3BE1EE"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tcPr>
          <w:p w14:paraId="505747AC" w14:textId="77777777" w:rsidR="00F303E0" w:rsidRPr="00EE5714" w:rsidRDefault="00F303E0" w:rsidP="00851815">
            <w:pPr>
              <w:keepNext/>
              <w:jc w:val="center"/>
              <w:rPr>
                <w:rFonts w:ascii="Calibri" w:eastAsia="Times New Roman" w:hAnsi="Calibri" w:cs="Calibri"/>
                <w:sz w:val="21"/>
                <w:szCs w:val="21"/>
              </w:rPr>
            </w:pPr>
          </w:p>
        </w:tc>
        <w:tc>
          <w:tcPr>
            <w:tcW w:w="2520" w:type="dxa"/>
            <w:tcBorders>
              <w:top w:val="single" w:sz="8" w:space="0" w:color="000000" w:themeColor="text1"/>
              <w:right w:val="single" w:sz="8" w:space="0" w:color="000000" w:themeColor="text1"/>
            </w:tcBorders>
            <w:shd w:val="clear" w:color="auto" w:fill="F2F2F2" w:themeFill="background1" w:themeFillShade="F2"/>
            <w:noWrap/>
            <w:vAlign w:val="center"/>
          </w:tcPr>
          <w:p w14:paraId="3F6564BB"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5AEAE5C2" w14:textId="77777777" w:rsidTr="00824DBE">
        <w:trPr>
          <w:trHeight w:hRule="exact" w:val="245"/>
        </w:trPr>
        <w:tc>
          <w:tcPr>
            <w:tcW w:w="2070" w:type="dxa"/>
            <w:shd w:val="clear" w:color="auto" w:fill="auto"/>
            <w:noWrap/>
            <w:vAlign w:val="center"/>
          </w:tcPr>
          <w:p w14:paraId="466AB1AA" w14:textId="1FC88E43"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062E9A62"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48,937 </w:t>
            </w:r>
          </w:p>
        </w:tc>
        <w:tc>
          <w:tcPr>
            <w:tcW w:w="2790" w:type="dxa"/>
            <w:shd w:val="clear" w:color="auto" w:fill="auto"/>
            <w:noWrap/>
            <w:vAlign w:val="center"/>
          </w:tcPr>
          <w:p w14:paraId="44E549FD"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107,919 </w:t>
            </w:r>
          </w:p>
        </w:tc>
        <w:tc>
          <w:tcPr>
            <w:tcW w:w="2520" w:type="dxa"/>
            <w:tcBorders>
              <w:right w:val="single" w:sz="8" w:space="0" w:color="000000" w:themeColor="text1"/>
            </w:tcBorders>
            <w:shd w:val="clear" w:color="auto" w:fill="auto"/>
            <w:noWrap/>
            <w:vAlign w:val="center"/>
          </w:tcPr>
          <w:p w14:paraId="2B544514"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75,416 </w:t>
            </w:r>
          </w:p>
        </w:tc>
      </w:tr>
      <w:tr w:rsidR="00F303E0" w:rsidRPr="00EE5714" w14:paraId="20A927A4" w14:textId="77777777" w:rsidTr="00824DBE">
        <w:trPr>
          <w:trHeight w:hRule="exact" w:val="245"/>
        </w:trPr>
        <w:tc>
          <w:tcPr>
            <w:tcW w:w="2070" w:type="dxa"/>
            <w:tcBorders>
              <w:bottom w:val="single" w:sz="8" w:space="0" w:color="000000" w:themeColor="text1"/>
            </w:tcBorders>
            <w:shd w:val="clear" w:color="auto" w:fill="auto"/>
            <w:noWrap/>
            <w:vAlign w:val="center"/>
          </w:tcPr>
          <w:p w14:paraId="007D26FC"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5C4D4D6A"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16,552 </w:t>
            </w:r>
          </w:p>
        </w:tc>
        <w:tc>
          <w:tcPr>
            <w:tcW w:w="2790" w:type="dxa"/>
            <w:tcBorders>
              <w:bottom w:val="single" w:sz="8" w:space="0" w:color="000000" w:themeColor="text1"/>
            </w:tcBorders>
            <w:shd w:val="clear" w:color="auto" w:fill="auto"/>
            <w:noWrap/>
            <w:vAlign w:val="center"/>
          </w:tcPr>
          <w:p w14:paraId="1C9FBA5F"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65,429 </w:t>
            </w:r>
          </w:p>
        </w:tc>
        <w:tc>
          <w:tcPr>
            <w:tcW w:w="2520" w:type="dxa"/>
            <w:tcBorders>
              <w:bottom w:val="single" w:sz="8" w:space="0" w:color="000000" w:themeColor="text1"/>
              <w:right w:val="single" w:sz="8" w:space="0" w:color="000000" w:themeColor="text1"/>
            </w:tcBorders>
            <w:shd w:val="clear" w:color="auto" w:fill="auto"/>
            <w:noWrap/>
            <w:vAlign w:val="center"/>
          </w:tcPr>
          <w:p w14:paraId="36BD8BCE"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52,338 </w:t>
            </w:r>
          </w:p>
        </w:tc>
      </w:tr>
      <w:tr w:rsidR="00F303E0" w:rsidRPr="00EE5714" w14:paraId="1E019E44" w14:textId="77777777" w:rsidTr="00824DBE">
        <w:trPr>
          <w:trHeight w:hRule="exact" w:val="245"/>
        </w:trPr>
        <w:tc>
          <w:tcPr>
            <w:tcW w:w="2070" w:type="dxa"/>
            <w:shd w:val="clear" w:color="auto" w:fill="F2F2F2" w:themeFill="background1" w:themeFillShade="F2"/>
            <w:noWrap/>
            <w:vAlign w:val="center"/>
          </w:tcPr>
          <w:p w14:paraId="14629533"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 EQT</w:t>
            </w:r>
          </w:p>
        </w:tc>
        <w:tc>
          <w:tcPr>
            <w:tcW w:w="2610" w:type="dxa"/>
            <w:tcBorders>
              <w:top w:val="single" w:sz="8" w:space="0" w:color="000000" w:themeColor="text1"/>
              <w:bottom w:val="single" w:sz="8" w:space="0" w:color="000000" w:themeColor="text1"/>
            </w:tcBorders>
            <w:shd w:val="clear" w:color="auto" w:fill="F2F2F2" w:themeFill="background1" w:themeFillShade="F2"/>
            <w:noWrap/>
            <w:vAlign w:val="center"/>
          </w:tcPr>
          <w:p w14:paraId="2502781B" w14:textId="77777777" w:rsidR="00F303E0" w:rsidRPr="00EE5714" w:rsidRDefault="00F303E0" w:rsidP="00851815">
            <w:pPr>
              <w:keepNext/>
              <w:jc w:val="center"/>
              <w:rPr>
                <w:rFonts w:ascii="Calibri" w:eastAsia="Times New Roman" w:hAnsi="Calibri" w:cs="Calibri"/>
                <w:sz w:val="21"/>
                <w:szCs w:val="21"/>
              </w:rPr>
            </w:pPr>
          </w:p>
        </w:tc>
        <w:tc>
          <w:tcPr>
            <w:tcW w:w="2790" w:type="dxa"/>
            <w:tcBorders>
              <w:top w:val="single" w:sz="8" w:space="0" w:color="000000" w:themeColor="text1"/>
              <w:bottom w:val="single" w:sz="8" w:space="0" w:color="000000" w:themeColor="text1"/>
            </w:tcBorders>
            <w:shd w:val="clear" w:color="auto" w:fill="F2F2F2" w:themeFill="background1" w:themeFillShade="F2"/>
            <w:noWrap/>
            <w:vAlign w:val="center"/>
          </w:tcPr>
          <w:p w14:paraId="6AC66E96" w14:textId="77777777" w:rsidR="00F303E0" w:rsidRPr="00EE5714" w:rsidRDefault="00F303E0" w:rsidP="00851815">
            <w:pPr>
              <w:keepNext/>
              <w:jc w:val="center"/>
              <w:rPr>
                <w:rFonts w:ascii="Calibri" w:eastAsia="Times New Roman" w:hAnsi="Calibri" w:cs="Calibri"/>
                <w:sz w:val="21"/>
                <w:szCs w:val="21"/>
              </w:rPr>
            </w:pPr>
          </w:p>
        </w:tc>
        <w:tc>
          <w:tcPr>
            <w:tcW w:w="2520"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noWrap/>
            <w:vAlign w:val="center"/>
          </w:tcPr>
          <w:p w14:paraId="598D54F8"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1F1BF321" w14:textId="77777777" w:rsidTr="00824DBE">
        <w:trPr>
          <w:trHeight w:hRule="exact" w:val="245"/>
        </w:trPr>
        <w:tc>
          <w:tcPr>
            <w:tcW w:w="2070" w:type="dxa"/>
            <w:shd w:val="clear" w:color="auto" w:fill="auto"/>
            <w:noWrap/>
            <w:vAlign w:val="center"/>
          </w:tcPr>
          <w:p w14:paraId="3F2146F5" w14:textId="6C0660B3"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7AABFDF1"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52,590</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339F7B2"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88,101</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51E025EE"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16,951</w:t>
            </w:r>
          </w:p>
        </w:tc>
      </w:tr>
      <w:tr w:rsidR="00F303E0" w:rsidRPr="00EE5714" w14:paraId="4625E4E0" w14:textId="77777777" w:rsidTr="00824DBE">
        <w:trPr>
          <w:trHeight w:hRule="exact" w:val="245"/>
        </w:trPr>
        <w:tc>
          <w:tcPr>
            <w:tcW w:w="2070" w:type="dxa"/>
            <w:tcBorders>
              <w:bottom w:val="single" w:sz="8" w:space="0" w:color="000000" w:themeColor="text1"/>
            </w:tcBorders>
            <w:shd w:val="clear" w:color="auto" w:fill="auto"/>
            <w:noWrap/>
            <w:vAlign w:val="center"/>
          </w:tcPr>
          <w:p w14:paraId="0E4B0066"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Bills Paid in Full</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6E5B0080"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39,866</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42F183A"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65,102</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DC127F0"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11,625</w:t>
            </w:r>
          </w:p>
        </w:tc>
      </w:tr>
      <w:tr w:rsidR="00F303E0" w:rsidRPr="00EE5714" w14:paraId="63EEA98B" w14:textId="77777777" w:rsidTr="00824DBE">
        <w:trPr>
          <w:trHeight w:hRule="exact" w:val="245"/>
        </w:trPr>
        <w:tc>
          <w:tcPr>
            <w:tcW w:w="2070" w:type="dxa"/>
            <w:shd w:val="clear" w:color="auto" w:fill="F2F2F2" w:themeFill="background1" w:themeFillShade="F2"/>
            <w:noWrap/>
            <w:vAlign w:val="center"/>
          </w:tcPr>
          <w:p w14:paraId="36CA322D"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PGW</w:t>
            </w:r>
          </w:p>
        </w:tc>
        <w:tc>
          <w:tcPr>
            <w:tcW w:w="2610" w:type="dxa"/>
            <w:shd w:val="clear" w:color="auto" w:fill="F2F2F2" w:themeFill="background1" w:themeFillShade="F2"/>
            <w:noWrap/>
            <w:vAlign w:val="center"/>
          </w:tcPr>
          <w:p w14:paraId="05F3C929"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tcPr>
          <w:p w14:paraId="7478D114" w14:textId="77777777" w:rsidR="00F303E0" w:rsidRPr="00EE5714" w:rsidRDefault="00F303E0" w:rsidP="00851815">
            <w:pPr>
              <w:keepNext/>
              <w:jc w:val="center"/>
              <w:rPr>
                <w:rFonts w:ascii="Calibri" w:eastAsia="Times New Roman" w:hAnsi="Calibri" w:cs="Calibri"/>
                <w:sz w:val="21"/>
                <w:szCs w:val="21"/>
              </w:rPr>
            </w:pPr>
          </w:p>
        </w:tc>
        <w:tc>
          <w:tcPr>
            <w:tcW w:w="2520" w:type="dxa"/>
            <w:tcBorders>
              <w:right w:val="single" w:sz="8" w:space="0" w:color="000000" w:themeColor="text1"/>
            </w:tcBorders>
            <w:shd w:val="clear" w:color="auto" w:fill="F2F2F2" w:themeFill="background1" w:themeFillShade="F2"/>
            <w:noWrap/>
            <w:vAlign w:val="center"/>
          </w:tcPr>
          <w:p w14:paraId="59F9EC64"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156C65A0" w14:textId="77777777" w:rsidTr="00824DBE">
        <w:trPr>
          <w:trHeight w:hRule="exact" w:val="245"/>
        </w:trPr>
        <w:tc>
          <w:tcPr>
            <w:tcW w:w="2070" w:type="dxa"/>
            <w:shd w:val="clear" w:color="auto" w:fill="auto"/>
            <w:noWrap/>
            <w:vAlign w:val="center"/>
          </w:tcPr>
          <w:p w14:paraId="55EB24F1" w14:textId="4BB8B45A"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38F51D8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197,379</w:t>
            </w:r>
          </w:p>
        </w:tc>
        <w:tc>
          <w:tcPr>
            <w:tcW w:w="2790" w:type="dxa"/>
            <w:shd w:val="clear" w:color="auto" w:fill="auto"/>
            <w:noWrap/>
            <w:vAlign w:val="center"/>
          </w:tcPr>
          <w:p w14:paraId="2E7A6DB4"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429,460</w:t>
            </w:r>
          </w:p>
        </w:tc>
        <w:tc>
          <w:tcPr>
            <w:tcW w:w="2520" w:type="dxa"/>
            <w:tcBorders>
              <w:right w:val="single" w:sz="8" w:space="0" w:color="000000" w:themeColor="text1"/>
            </w:tcBorders>
            <w:shd w:val="clear" w:color="auto" w:fill="auto"/>
            <w:noWrap/>
            <w:vAlign w:val="center"/>
          </w:tcPr>
          <w:p w14:paraId="29CF6BEE"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130,952</w:t>
            </w:r>
          </w:p>
        </w:tc>
      </w:tr>
      <w:tr w:rsidR="00F303E0" w:rsidRPr="00EE5714" w14:paraId="1B588964" w14:textId="77777777" w:rsidTr="00824DBE">
        <w:trPr>
          <w:trHeight w:hRule="exact" w:val="245"/>
        </w:trPr>
        <w:tc>
          <w:tcPr>
            <w:tcW w:w="2070" w:type="dxa"/>
            <w:tcBorders>
              <w:bottom w:val="single" w:sz="8" w:space="0" w:color="000000" w:themeColor="text1"/>
            </w:tcBorders>
            <w:shd w:val="clear" w:color="auto" w:fill="auto"/>
            <w:noWrap/>
            <w:vAlign w:val="center"/>
          </w:tcPr>
          <w:p w14:paraId="7A836EA2"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1F382FF2"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117,250</w:t>
            </w:r>
          </w:p>
        </w:tc>
        <w:tc>
          <w:tcPr>
            <w:tcW w:w="2790" w:type="dxa"/>
            <w:tcBorders>
              <w:bottom w:val="single" w:sz="8" w:space="0" w:color="000000" w:themeColor="text1"/>
            </w:tcBorders>
            <w:shd w:val="clear" w:color="auto" w:fill="auto"/>
            <w:noWrap/>
            <w:vAlign w:val="center"/>
          </w:tcPr>
          <w:p w14:paraId="49940A64"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248,825</w:t>
            </w:r>
          </w:p>
        </w:tc>
        <w:tc>
          <w:tcPr>
            <w:tcW w:w="2520" w:type="dxa"/>
            <w:tcBorders>
              <w:bottom w:val="single" w:sz="8" w:space="0" w:color="000000" w:themeColor="text1"/>
            </w:tcBorders>
            <w:shd w:val="clear" w:color="auto" w:fill="auto"/>
            <w:noWrap/>
            <w:vAlign w:val="center"/>
          </w:tcPr>
          <w:p w14:paraId="4F5F7000"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72,113</w:t>
            </w:r>
          </w:p>
        </w:tc>
      </w:tr>
      <w:tr w:rsidR="00F303E0" w:rsidRPr="00EE5714" w14:paraId="4849E39C" w14:textId="77777777" w:rsidTr="00824DBE">
        <w:trPr>
          <w:trHeight w:hRule="exact" w:val="245"/>
        </w:trPr>
        <w:tc>
          <w:tcPr>
            <w:tcW w:w="2070" w:type="dxa"/>
            <w:shd w:val="clear" w:color="auto" w:fill="F2F2F2" w:themeFill="background1" w:themeFillShade="F2"/>
            <w:noWrap/>
            <w:vAlign w:val="center"/>
          </w:tcPr>
          <w:p w14:paraId="2E9B8F8E"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Gas</w:t>
            </w:r>
          </w:p>
        </w:tc>
        <w:tc>
          <w:tcPr>
            <w:tcW w:w="2610" w:type="dxa"/>
            <w:shd w:val="clear" w:color="auto" w:fill="F2F2F2" w:themeFill="background1" w:themeFillShade="F2"/>
            <w:noWrap/>
            <w:vAlign w:val="center"/>
          </w:tcPr>
          <w:p w14:paraId="20DF0657" w14:textId="77777777" w:rsidR="00F303E0" w:rsidRPr="00EE5714" w:rsidRDefault="00F303E0" w:rsidP="00851815">
            <w:pPr>
              <w:keepNext/>
              <w:jc w:val="center"/>
              <w:rPr>
                <w:rFonts w:ascii="Calibri" w:hAnsi="Calibri" w:cs="Calibri"/>
                <w:sz w:val="21"/>
                <w:szCs w:val="21"/>
              </w:rPr>
            </w:pPr>
          </w:p>
        </w:tc>
        <w:tc>
          <w:tcPr>
            <w:tcW w:w="2790" w:type="dxa"/>
            <w:shd w:val="clear" w:color="auto" w:fill="F2F2F2" w:themeFill="background1" w:themeFillShade="F2"/>
            <w:noWrap/>
            <w:vAlign w:val="center"/>
          </w:tcPr>
          <w:p w14:paraId="27030396" w14:textId="77777777" w:rsidR="00F303E0" w:rsidRPr="00EE5714" w:rsidRDefault="00F303E0" w:rsidP="00851815">
            <w:pPr>
              <w:keepNext/>
              <w:jc w:val="center"/>
              <w:rPr>
                <w:rFonts w:ascii="Calibri" w:hAnsi="Calibri" w:cs="Calibri"/>
                <w:sz w:val="21"/>
                <w:szCs w:val="21"/>
              </w:rPr>
            </w:pPr>
          </w:p>
        </w:tc>
        <w:tc>
          <w:tcPr>
            <w:tcW w:w="2520" w:type="dxa"/>
            <w:shd w:val="clear" w:color="auto" w:fill="F2F2F2" w:themeFill="background1" w:themeFillShade="F2"/>
            <w:noWrap/>
            <w:vAlign w:val="center"/>
          </w:tcPr>
          <w:p w14:paraId="39AD4C03" w14:textId="77777777" w:rsidR="00F303E0" w:rsidRPr="00EE5714" w:rsidRDefault="00F303E0" w:rsidP="00851815">
            <w:pPr>
              <w:keepNext/>
              <w:jc w:val="center"/>
              <w:rPr>
                <w:rFonts w:ascii="Calibri" w:hAnsi="Calibri" w:cs="Calibri"/>
                <w:sz w:val="21"/>
                <w:szCs w:val="21"/>
              </w:rPr>
            </w:pPr>
          </w:p>
        </w:tc>
      </w:tr>
      <w:tr w:rsidR="00F303E0" w:rsidRPr="00EE5714" w14:paraId="3C3EE9FD" w14:textId="77777777" w:rsidTr="00824DBE">
        <w:trPr>
          <w:trHeight w:hRule="exact" w:val="245"/>
        </w:trPr>
        <w:tc>
          <w:tcPr>
            <w:tcW w:w="2070" w:type="dxa"/>
            <w:shd w:val="clear" w:color="auto" w:fill="auto"/>
            <w:noWrap/>
            <w:vAlign w:val="center"/>
          </w:tcPr>
          <w:p w14:paraId="55ADAD50" w14:textId="07EBCE52"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02DEC782"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27,305 </w:t>
            </w:r>
          </w:p>
        </w:tc>
        <w:tc>
          <w:tcPr>
            <w:tcW w:w="2790" w:type="dxa"/>
            <w:shd w:val="clear" w:color="auto" w:fill="auto"/>
            <w:noWrap/>
            <w:vAlign w:val="center"/>
          </w:tcPr>
          <w:p w14:paraId="379879DA"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37,417 </w:t>
            </w:r>
          </w:p>
        </w:tc>
        <w:tc>
          <w:tcPr>
            <w:tcW w:w="2520" w:type="dxa"/>
            <w:shd w:val="clear" w:color="auto" w:fill="auto"/>
            <w:noWrap/>
            <w:vAlign w:val="center"/>
          </w:tcPr>
          <w:p w14:paraId="6F877FCE"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11,452 </w:t>
            </w:r>
          </w:p>
        </w:tc>
      </w:tr>
      <w:tr w:rsidR="00F303E0" w:rsidRPr="00EE5714" w14:paraId="1B03FA09" w14:textId="77777777" w:rsidTr="00824DBE">
        <w:trPr>
          <w:trHeight w:hRule="exact" w:val="245"/>
        </w:trPr>
        <w:tc>
          <w:tcPr>
            <w:tcW w:w="2070" w:type="dxa"/>
            <w:tcBorders>
              <w:bottom w:val="single" w:sz="8" w:space="0" w:color="000000" w:themeColor="text1"/>
            </w:tcBorders>
            <w:shd w:val="clear" w:color="auto" w:fill="auto"/>
            <w:noWrap/>
            <w:vAlign w:val="center"/>
          </w:tcPr>
          <w:p w14:paraId="54A354F8"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18FF819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25,515 </w:t>
            </w:r>
          </w:p>
        </w:tc>
        <w:tc>
          <w:tcPr>
            <w:tcW w:w="2790" w:type="dxa"/>
            <w:tcBorders>
              <w:bottom w:val="single" w:sz="8" w:space="0" w:color="000000" w:themeColor="text1"/>
            </w:tcBorders>
            <w:shd w:val="clear" w:color="auto" w:fill="auto"/>
            <w:noWrap/>
            <w:vAlign w:val="center"/>
          </w:tcPr>
          <w:p w14:paraId="1D1A587E"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34,970 </w:t>
            </w:r>
          </w:p>
        </w:tc>
        <w:tc>
          <w:tcPr>
            <w:tcW w:w="2520" w:type="dxa"/>
            <w:tcBorders>
              <w:bottom w:val="single" w:sz="8" w:space="0" w:color="000000" w:themeColor="text1"/>
            </w:tcBorders>
            <w:shd w:val="clear" w:color="auto" w:fill="auto"/>
            <w:noWrap/>
            <w:vAlign w:val="center"/>
          </w:tcPr>
          <w:p w14:paraId="16C191D3"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10,669 </w:t>
            </w:r>
          </w:p>
        </w:tc>
      </w:tr>
      <w:tr w:rsidR="00F303E0" w:rsidRPr="00EE5714" w14:paraId="6122155D" w14:textId="77777777" w:rsidTr="00824DBE">
        <w:trPr>
          <w:trHeight w:hRule="exact" w:val="245"/>
        </w:trPr>
        <w:tc>
          <w:tcPr>
            <w:tcW w:w="2070" w:type="dxa"/>
            <w:shd w:val="clear" w:color="auto" w:fill="F2F2F2" w:themeFill="background1" w:themeFillShade="F2"/>
            <w:noWrap/>
            <w:vAlign w:val="center"/>
          </w:tcPr>
          <w:p w14:paraId="029BEF75"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PNG</w:t>
            </w:r>
          </w:p>
        </w:tc>
        <w:tc>
          <w:tcPr>
            <w:tcW w:w="2610" w:type="dxa"/>
            <w:shd w:val="clear" w:color="auto" w:fill="F2F2F2" w:themeFill="background1" w:themeFillShade="F2"/>
            <w:noWrap/>
            <w:vAlign w:val="center"/>
          </w:tcPr>
          <w:p w14:paraId="333E1A38" w14:textId="77777777" w:rsidR="00F303E0" w:rsidRPr="00EE5714" w:rsidRDefault="00F303E0" w:rsidP="00851815">
            <w:pPr>
              <w:keepNext/>
              <w:jc w:val="center"/>
              <w:rPr>
                <w:rFonts w:ascii="Calibri" w:hAnsi="Calibri" w:cs="Calibri"/>
                <w:sz w:val="21"/>
                <w:szCs w:val="21"/>
              </w:rPr>
            </w:pPr>
          </w:p>
        </w:tc>
        <w:tc>
          <w:tcPr>
            <w:tcW w:w="2790" w:type="dxa"/>
            <w:shd w:val="clear" w:color="auto" w:fill="F2F2F2" w:themeFill="background1" w:themeFillShade="F2"/>
            <w:noWrap/>
            <w:vAlign w:val="center"/>
          </w:tcPr>
          <w:p w14:paraId="7080B175" w14:textId="77777777" w:rsidR="00F303E0" w:rsidRPr="00EE5714" w:rsidRDefault="00F303E0" w:rsidP="00851815">
            <w:pPr>
              <w:keepNext/>
              <w:jc w:val="center"/>
              <w:rPr>
                <w:rFonts w:ascii="Calibri" w:hAnsi="Calibri" w:cs="Calibri"/>
                <w:sz w:val="21"/>
                <w:szCs w:val="21"/>
              </w:rPr>
            </w:pPr>
          </w:p>
        </w:tc>
        <w:tc>
          <w:tcPr>
            <w:tcW w:w="2520" w:type="dxa"/>
            <w:shd w:val="clear" w:color="auto" w:fill="F2F2F2" w:themeFill="background1" w:themeFillShade="F2"/>
            <w:noWrap/>
            <w:vAlign w:val="center"/>
          </w:tcPr>
          <w:p w14:paraId="1424C18E" w14:textId="77777777" w:rsidR="00F303E0" w:rsidRPr="00EE5714" w:rsidRDefault="00F303E0" w:rsidP="00851815">
            <w:pPr>
              <w:keepNext/>
              <w:jc w:val="center"/>
              <w:rPr>
                <w:rFonts w:ascii="Calibri" w:hAnsi="Calibri" w:cs="Calibri"/>
                <w:sz w:val="21"/>
                <w:szCs w:val="21"/>
              </w:rPr>
            </w:pPr>
          </w:p>
        </w:tc>
      </w:tr>
      <w:tr w:rsidR="00F303E0" w:rsidRPr="00EE5714" w14:paraId="7E5CFD13" w14:textId="77777777" w:rsidTr="00824DBE">
        <w:trPr>
          <w:trHeight w:hRule="exact" w:val="245"/>
        </w:trPr>
        <w:tc>
          <w:tcPr>
            <w:tcW w:w="2070" w:type="dxa"/>
            <w:shd w:val="clear" w:color="auto" w:fill="auto"/>
            <w:noWrap/>
            <w:vAlign w:val="center"/>
          </w:tcPr>
          <w:p w14:paraId="739A7423" w14:textId="7C56C94C"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07665D60"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16,109 </w:t>
            </w:r>
          </w:p>
        </w:tc>
        <w:tc>
          <w:tcPr>
            <w:tcW w:w="2790" w:type="dxa"/>
            <w:shd w:val="clear" w:color="auto" w:fill="auto"/>
            <w:noWrap/>
            <w:vAlign w:val="center"/>
          </w:tcPr>
          <w:p w14:paraId="7D18ECAF"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31,781 </w:t>
            </w:r>
          </w:p>
        </w:tc>
        <w:tc>
          <w:tcPr>
            <w:tcW w:w="2520" w:type="dxa"/>
            <w:shd w:val="clear" w:color="auto" w:fill="auto"/>
            <w:noWrap/>
            <w:vAlign w:val="center"/>
          </w:tcPr>
          <w:p w14:paraId="403CFA59"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13,461 </w:t>
            </w:r>
          </w:p>
        </w:tc>
      </w:tr>
      <w:tr w:rsidR="00F303E0" w:rsidRPr="00EE5714" w14:paraId="18662296" w14:textId="77777777" w:rsidTr="00824DBE">
        <w:trPr>
          <w:trHeight w:hRule="exact" w:val="245"/>
        </w:trPr>
        <w:tc>
          <w:tcPr>
            <w:tcW w:w="2070" w:type="dxa"/>
            <w:tcBorders>
              <w:bottom w:val="single" w:sz="8" w:space="0" w:color="000000" w:themeColor="text1"/>
            </w:tcBorders>
            <w:shd w:val="clear" w:color="auto" w:fill="auto"/>
            <w:noWrap/>
            <w:vAlign w:val="center"/>
          </w:tcPr>
          <w:p w14:paraId="5065AC73"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67959D0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14,986 </w:t>
            </w:r>
          </w:p>
        </w:tc>
        <w:tc>
          <w:tcPr>
            <w:tcW w:w="2790" w:type="dxa"/>
            <w:tcBorders>
              <w:bottom w:val="single" w:sz="8" w:space="0" w:color="000000" w:themeColor="text1"/>
            </w:tcBorders>
            <w:shd w:val="clear" w:color="auto" w:fill="auto"/>
            <w:noWrap/>
            <w:vAlign w:val="center"/>
          </w:tcPr>
          <w:p w14:paraId="71B51869"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29,904 </w:t>
            </w:r>
          </w:p>
        </w:tc>
        <w:tc>
          <w:tcPr>
            <w:tcW w:w="2520" w:type="dxa"/>
            <w:tcBorders>
              <w:bottom w:val="single" w:sz="8" w:space="0" w:color="000000" w:themeColor="text1"/>
            </w:tcBorders>
            <w:shd w:val="clear" w:color="auto" w:fill="auto"/>
            <w:noWrap/>
            <w:vAlign w:val="center"/>
          </w:tcPr>
          <w:p w14:paraId="4B76674F"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12,628 </w:t>
            </w:r>
          </w:p>
        </w:tc>
      </w:tr>
    </w:tbl>
    <w:p w14:paraId="214982A6" w14:textId="77777777" w:rsidR="00F303E0" w:rsidRPr="00EE5714" w:rsidRDefault="00F303E0" w:rsidP="00F303E0">
      <w:pPr>
        <w:pStyle w:val="NoSpacing"/>
        <w:rPr>
          <w:rFonts w:cs="Times New Roman"/>
          <w:sz w:val="24"/>
          <w:szCs w:val="24"/>
        </w:rPr>
      </w:pPr>
      <w:r w:rsidRPr="00EE5714">
        <w:rPr>
          <w:rFonts w:cs="Times New Roman"/>
          <w:sz w:val="24"/>
          <w:szCs w:val="24"/>
        </w:rPr>
        <w:t>*NFG only provided aggregate data for the 0-150% FPIG level.</w:t>
      </w:r>
    </w:p>
    <w:p w14:paraId="1C25EFF3" w14:textId="77777777" w:rsidR="00F303E0" w:rsidRPr="00EE5714" w:rsidRDefault="00F303E0" w:rsidP="00F303E0">
      <w:pPr>
        <w:pStyle w:val="NoSpacing"/>
        <w:rPr>
          <w:rFonts w:cs="Times New Roman"/>
          <w:sz w:val="24"/>
          <w:szCs w:val="24"/>
        </w:rPr>
      </w:pPr>
    </w:p>
    <w:p w14:paraId="7673085A" w14:textId="77777777" w:rsidR="00F303E0" w:rsidRPr="00EE5714" w:rsidRDefault="00F303E0" w:rsidP="00F303E0">
      <w:pPr>
        <w:pStyle w:val="NoSpacing"/>
        <w:rPr>
          <w:rFonts w:cs="Times New Roman"/>
          <w:sz w:val="24"/>
          <w:szCs w:val="24"/>
        </w:rPr>
      </w:pPr>
    </w:p>
    <w:p w14:paraId="3614650C" w14:textId="28755A94" w:rsidR="00F303E0" w:rsidRPr="00EE5714" w:rsidRDefault="00F303E0">
      <w:pPr>
        <w:pStyle w:val="NoSpacing"/>
        <w:keepNext/>
        <w:rPr>
          <w:rFonts w:cs="Times New Roman"/>
        </w:rPr>
      </w:pPr>
      <w:r w:rsidRPr="00EE5714">
        <w:rPr>
          <w:rFonts w:cs="Times New Roman"/>
        </w:rPr>
        <w:lastRenderedPageBreak/>
        <w:t xml:space="preserve">Appendix </w:t>
      </w:r>
      <w:r w:rsidR="003E499A" w:rsidRPr="00EE5714">
        <w:rPr>
          <w:rFonts w:cs="Times New Roman"/>
        </w:rPr>
        <w:t>5</w:t>
      </w:r>
      <w:r w:rsidRPr="00EE5714">
        <w:rPr>
          <w:rFonts w:cs="Times New Roman"/>
        </w:rPr>
        <w:t xml:space="preserve">.B.4: </w:t>
      </w:r>
      <w:r w:rsidRPr="00EE5714">
        <w:rPr>
          <w:rFonts w:eastAsia="Times New Roman" w:cs="Times New Roman"/>
          <w:b/>
          <w:bCs/>
          <w:color w:val="000000"/>
        </w:rPr>
        <w:t xml:space="preserve">NGDC CAP Bills </w:t>
      </w:r>
      <w:r w:rsidR="00923EA8" w:rsidRPr="00EE5714">
        <w:rPr>
          <w:rFonts w:eastAsia="Times New Roman" w:cs="Times New Roman"/>
          <w:b/>
          <w:bCs/>
          <w:color w:val="000000"/>
        </w:rPr>
        <w:t>Issued</w:t>
      </w:r>
      <w:r w:rsidRPr="00EE5714">
        <w:rPr>
          <w:rFonts w:eastAsia="Times New Roman" w:cs="Times New Roman"/>
          <w:b/>
          <w:bCs/>
          <w:color w:val="000000"/>
        </w:rPr>
        <w:t xml:space="preserve"> and Paid In-Full</w:t>
      </w:r>
    </w:p>
    <w:tbl>
      <w:tblPr>
        <w:tblW w:w="999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70"/>
        <w:gridCol w:w="2610"/>
        <w:gridCol w:w="2790"/>
        <w:gridCol w:w="2520"/>
      </w:tblGrid>
      <w:tr w:rsidR="00F303E0" w:rsidRPr="00EE5714" w14:paraId="39D7EE64" w14:textId="77777777" w:rsidTr="00824DBE">
        <w:trPr>
          <w:trHeight w:val="313"/>
        </w:trPr>
        <w:tc>
          <w:tcPr>
            <w:tcW w:w="2070" w:type="dxa"/>
            <w:vMerge w:val="restart"/>
            <w:shd w:val="clear" w:color="auto" w:fill="auto"/>
            <w:noWrap/>
            <w:vAlign w:val="center"/>
            <w:hideMark/>
          </w:tcPr>
          <w:p w14:paraId="47755D0B" w14:textId="77777777" w:rsidR="00F303E0" w:rsidRPr="00EE5714" w:rsidRDefault="00F303E0" w:rsidP="00851815">
            <w:pPr>
              <w:keepNext/>
              <w:jc w:val="center"/>
              <w:rPr>
                <w:rFonts w:ascii="Calibri" w:eastAsia="Times New Roman" w:hAnsi="Calibri" w:cs="Calibri"/>
                <w:b/>
                <w:bCs/>
                <w:color w:val="000000"/>
                <w:szCs w:val="24"/>
              </w:rPr>
            </w:pPr>
            <w:bookmarkStart w:id="67" w:name="_Hlk525811941"/>
            <w:r w:rsidRPr="00EE5714">
              <w:rPr>
                <w:rFonts w:ascii="Calibri" w:eastAsia="Times New Roman" w:hAnsi="Calibri" w:cs="Calibri"/>
                <w:b/>
                <w:bCs/>
                <w:color w:val="000000"/>
                <w:szCs w:val="24"/>
              </w:rPr>
              <w:t>2015</w:t>
            </w:r>
          </w:p>
        </w:tc>
        <w:tc>
          <w:tcPr>
            <w:tcW w:w="7920" w:type="dxa"/>
            <w:gridSpan w:val="3"/>
            <w:tcBorders>
              <w:right w:val="single" w:sz="8" w:space="0" w:color="000000" w:themeColor="text1"/>
            </w:tcBorders>
            <w:shd w:val="clear" w:color="auto" w:fill="D9D9D9" w:themeFill="background1" w:themeFillShade="D9"/>
            <w:noWrap/>
            <w:vAlign w:val="bottom"/>
            <w:hideMark/>
          </w:tcPr>
          <w:p w14:paraId="7C7F471C" w14:textId="39209DE2" w:rsidR="00F303E0" w:rsidRPr="00EE5714" w:rsidRDefault="00F303E0" w:rsidP="00CE67A6">
            <w:pPr>
              <w:keepNext/>
              <w:spacing w:after="0" w:line="240" w:lineRule="auto"/>
              <w:jc w:val="center"/>
              <w:rPr>
                <w:rFonts w:ascii="Calibri" w:eastAsia="Times New Roman" w:hAnsi="Calibri" w:cs="Calibri"/>
                <w:b/>
                <w:bCs/>
                <w:color w:val="000000"/>
                <w:sz w:val="20"/>
                <w:szCs w:val="20"/>
              </w:rPr>
            </w:pPr>
            <w:r w:rsidRPr="00EE5714">
              <w:rPr>
                <w:rFonts w:ascii="Calibri" w:eastAsia="Times New Roman" w:hAnsi="Calibri" w:cs="Calibri"/>
                <w:b/>
                <w:bCs/>
                <w:color w:val="000000"/>
              </w:rPr>
              <w:t xml:space="preserve">NGDC CAP Bills </w:t>
            </w:r>
            <w:r w:rsidR="00923EA8" w:rsidRPr="00EE5714">
              <w:rPr>
                <w:rFonts w:ascii="Calibri" w:eastAsia="Times New Roman" w:hAnsi="Calibri" w:cs="Calibri"/>
                <w:b/>
                <w:bCs/>
                <w:color w:val="000000"/>
              </w:rPr>
              <w:t>Issued</w:t>
            </w:r>
            <w:r w:rsidRPr="00EE5714">
              <w:rPr>
                <w:rFonts w:ascii="Calibri" w:eastAsia="Times New Roman" w:hAnsi="Calibri" w:cs="Calibri"/>
                <w:b/>
                <w:bCs/>
                <w:color w:val="000000"/>
              </w:rPr>
              <w:t xml:space="preserve"> and Paid In-Full</w:t>
            </w:r>
          </w:p>
        </w:tc>
      </w:tr>
      <w:tr w:rsidR="00F303E0" w:rsidRPr="00EE5714" w14:paraId="166378D6" w14:textId="77777777" w:rsidTr="00824DBE">
        <w:trPr>
          <w:trHeight w:val="72"/>
        </w:trPr>
        <w:tc>
          <w:tcPr>
            <w:tcW w:w="2070" w:type="dxa"/>
            <w:vMerge/>
            <w:shd w:val="clear" w:color="auto" w:fill="auto"/>
            <w:vAlign w:val="center"/>
            <w:hideMark/>
          </w:tcPr>
          <w:p w14:paraId="2BE1377D" w14:textId="77777777" w:rsidR="00F303E0" w:rsidRPr="00EE5714" w:rsidRDefault="00F303E0" w:rsidP="00851815">
            <w:pPr>
              <w:keepNext/>
              <w:rPr>
                <w:rFonts w:ascii="Calibri" w:eastAsia="Times New Roman" w:hAnsi="Calibri" w:cs="Calibri"/>
                <w:b/>
                <w:bCs/>
                <w:color w:val="000000"/>
              </w:rPr>
            </w:pPr>
          </w:p>
        </w:tc>
        <w:tc>
          <w:tcPr>
            <w:tcW w:w="2610" w:type="dxa"/>
            <w:tcBorders>
              <w:bottom w:val="single" w:sz="8" w:space="0" w:color="000000" w:themeColor="text1"/>
            </w:tcBorders>
            <w:shd w:val="clear" w:color="auto" w:fill="auto"/>
            <w:noWrap/>
            <w:vAlign w:val="bottom"/>
            <w:hideMark/>
          </w:tcPr>
          <w:p w14:paraId="7A1A82FC"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 FPIG</w:t>
            </w:r>
          </w:p>
        </w:tc>
        <w:tc>
          <w:tcPr>
            <w:tcW w:w="2790" w:type="dxa"/>
            <w:tcBorders>
              <w:bottom w:val="single" w:sz="8" w:space="0" w:color="000000" w:themeColor="text1"/>
            </w:tcBorders>
            <w:shd w:val="clear" w:color="auto" w:fill="auto"/>
            <w:noWrap/>
            <w:vAlign w:val="bottom"/>
            <w:hideMark/>
          </w:tcPr>
          <w:p w14:paraId="661FEFCF"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 FPIG</w:t>
            </w:r>
          </w:p>
        </w:tc>
        <w:tc>
          <w:tcPr>
            <w:tcW w:w="2520" w:type="dxa"/>
            <w:tcBorders>
              <w:bottom w:val="single" w:sz="8" w:space="0" w:color="000000" w:themeColor="text1"/>
              <w:right w:val="single" w:sz="8" w:space="0" w:color="000000" w:themeColor="text1"/>
            </w:tcBorders>
            <w:shd w:val="clear" w:color="auto" w:fill="auto"/>
            <w:noWrap/>
            <w:vAlign w:val="bottom"/>
            <w:hideMark/>
          </w:tcPr>
          <w:p w14:paraId="723FD88C" w14:textId="77777777" w:rsidR="00F303E0" w:rsidRPr="00EE5714" w:rsidRDefault="00F303E0" w:rsidP="00CE67A6">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 FPIG</w:t>
            </w:r>
          </w:p>
        </w:tc>
      </w:tr>
      <w:tr w:rsidR="00F303E0" w:rsidRPr="00EE5714" w14:paraId="2D4896C3" w14:textId="77777777" w:rsidTr="00824DBE">
        <w:trPr>
          <w:trHeight w:hRule="exact" w:val="245"/>
        </w:trPr>
        <w:tc>
          <w:tcPr>
            <w:tcW w:w="2070" w:type="dxa"/>
            <w:tcBorders>
              <w:bottom w:val="single" w:sz="8" w:space="0" w:color="000000" w:themeColor="text1"/>
            </w:tcBorders>
            <w:shd w:val="clear" w:color="auto" w:fill="F2F2F2" w:themeFill="background1" w:themeFillShade="F2"/>
            <w:noWrap/>
            <w:vAlign w:val="center"/>
          </w:tcPr>
          <w:p w14:paraId="011F5488"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2610" w:type="dxa"/>
            <w:tcBorders>
              <w:bottom w:val="single" w:sz="8" w:space="0" w:color="000000" w:themeColor="text1"/>
            </w:tcBorders>
            <w:shd w:val="clear" w:color="auto" w:fill="F2F2F2" w:themeFill="background1" w:themeFillShade="F2"/>
            <w:noWrap/>
            <w:vAlign w:val="center"/>
          </w:tcPr>
          <w:p w14:paraId="29FA8E05" w14:textId="77777777" w:rsidR="00F303E0" w:rsidRPr="00EE5714" w:rsidRDefault="00F303E0" w:rsidP="00CE67A6">
            <w:pPr>
              <w:keepNext/>
              <w:spacing w:after="0" w:line="240" w:lineRule="auto"/>
              <w:jc w:val="center"/>
              <w:rPr>
                <w:rFonts w:ascii="Calibri" w:hAnsi="Calibri" w:cs="Calibri"/>
                <w:sz w:val="21"/>
                <w:szCs w:val="21"/>
              </w:rPr>
            </w:pPr>
          </w:p>
        </w:tc>
        <w:tc>
          <w:tcPr>
            <w:tcW w:w="2790" w:type="dxa"/>
            <w:tcBorders>
              <w:bottom w:val="single" w:sz="8" w:space="0" w:color="000000" w:themeColor="text1"/>
            </w:tcBorders>
            <w:shd w:val="clear" w:color="auto" w:fill="F2F2F2" w:themeFill="background1" w:themeFillShade="F2"/>
            <w:noWrap/>
            <w:vAlign w:val="center"/>
          </w:tcPr>
          <w:p w14:paraId="0C271A88" w14:textId="77777777" w:rsidR="00F303E0" w:rsidRPr="00EE5714" w:rsidRDefault="00F303E0" w:rsidP="00CE67A6">
            <w:pPr>
              <w:keepNext/>
              <w:spacing w:after="0" w:line="240" w:lineRule="auto"/>
              <w:jc w:val="center"/>
              <w:rPr>
                <w:rFonts w:ascii="Calibri" w:hAnsi="Calibri" w:cs="Calibri"/>
                <w:sz w:val="21"/>
                <w:szCs w:val="21"/>
              </w:rPr>
            </w:pPr>
          </w:p>
        </w:tc>
        <w:tc>
          <w:tcPr>
            <w:tcW w:w="2520" w:type="dxa"/>
            <w:tcBorders>
              <w:bottom w:val="single" w:sz="8" w:space="0" w:color="000000" w:themeColor="text1"/>
              <w:right w:val="single" w:sz="8" w:space="0" w:color="000000" w:themeColor="text1"/>
            </w:tcBorders>
            <w:shd w:val="clear" w:color="auto" w:fill="F2F2F2" w:themeFill="background1" w:themeFillShade="F2"/>
            <w:noWrap/>
            <w:vAlign w:val="center"/>
          </w:tcPr>
          <w:p w14:paraId="533181AC" w14:textId="77777777" w:rsidR="00F303E0" w:rsidRPr="00EE5714" w:rsidRDefault="00F303E0" w:rsidP="00CE67A6">
            <w:pPr>
              <w:keepNext/>
              <w:spacing w:after="0" w:line="240" w:lineRule="auto"/>
              <w:jc w:val="center"/>
              <w:rPr>
                <w:rFonts w:ascii="Calibri" w:hAnsi="Calibri" w:cs="Calibri"/>
                <w:sz w:val="21"/>
                <w:szCs w:val="21"/>
              </w:rPr>
            </w:pPr>
          </w:p>
        </w:tc>
      </w:tr>
      <w:tr w:rsidR="00F303E0" w:rsidRPr="00EE5714" w14:paraId="4DD91544" w14:textId="77777777" w:rsidTr="00824DBE">
        <w:trPr>
          <w:trHeight w:hRule="exact" w:val="245"/>
        </w:trPr>
        <w:tc>
          <w:tcPr>
            <w:tcW w:w="2070" w:type="dxa"/>
            <w:shd w:val="clear" w:color="auto" w:fill="auto"/>
            <w:noWrap/>
            <w:vAlign w:val="center"/>
          </w:tcPr>
          <w:p w14:paraId="54CC8EF4" w14:textId="3355B0D5"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469517DB"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52,153</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60C1180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116,624</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6AC2CA55"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78,941</w:t>
            </w:r>
          </w:p>
        </w:tc>
      </w:tr>
      <w:tr w:rsidR="00F303E0" w:rsidRPr="00EE5714" w14:paraId="4B25CA93" w14:textId="77777777" w:rsidTr="00824DBE">
        <w:trPr>
          <w:trHeight w:hRule="exact" w:val="245"/>
        </w:trPr>
        <w:tc>
          <w:tcPr>
            <w:tcW w:w="2070" w:type="dxa"/>
            <w:tcBorders>
              <w:bottom w:val="single" w:sz="8" w:space="0" w:color="000000" w:themeColor="text1"/>
            </w:tcBorders>
            <w:shd w:val="clear" w:color="auto" w:fill="auto"/>
            <w:noWrap/>
            <w:vAlign w:val="center"/>
          </w:tcPr>
          <w:p w14:paraId="1C11AB3F"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6CE345AF"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27,385</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65F53472"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68,927</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AE9EC95"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50,048</w:t>
            </w:r>
          </w:p>
        </w:tc>
      </w:tr>
      <w:tr w:rsidR="00F303E0" w:rsidRPr="00EE5714" w14:paraId="46782DCD" w14:textId="77777777" w:rsidTr="00824DBE">
        <w:trPr>
          <w:trHeight w:hRule="exact" w:val="245"/>
        </w:trPr>
        <w:tc>
          <w:tcPr>
            <w:tcW w:w="2070" w:type="dxa"/>
            <w:shd w:val="clear" w:color="auto" w:fill="F2F2F2" w:themeFill="background1" w:themeFillShade="F2"/>
            <w:noWrap/>
            <w:vAlign w:val="center"/>
          </w:tcPr>
          <w:p w14:paraId="03D936F5"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NFG*</w:t>
            </w:r>
          </w:p>
        </w:tc>
        <w:tc>
          <w:tcPr>
            <w:tcW w:w="2610" w:type="dxa"/>
            <w:tcBorders>
              <w:top w:val="single" w:sz="8" w:space="0" w:color="000000" w:themeColor="text1"/>
            </w:tcBorders>
            <w:shd w:val="clear" w:color="auto" w:fill="F2F2F2" w:themeFill="background1" w:themeFillShade="F2"/>
            <w:noWrap/>
            <w:vAlign w:val="center"/>
          </w:tcPr>
          <w:p w14:paraId="3F1E0868" w14:textId="77777777" w:rsidR="00F303E0" w:rsidRPr="00EE5714" w:rsidRDefault="00F303E0" w:rsidP="00851815">
            <w:pPr>
              <w:keepNext/>
              <w:jc w:val="center"/>
              <w:rPr>
                <w:rFonts w:ascii="Calibri" w:eastAsia="Times New Roman" w:hAnsi="Calibri" w:cs="Calibri"/>
                <w:sz w:val="21"/>
                <w:szCs w:val="21"/>
              </w:rPr>
            </w:pPr>
          </w:p>
        </w:tc>
        <w:tc>
          <w:tcPr>
            <w:tcW w:w="2790" w:type="dxa"/>
            <w:tcBorders>
              <w:top w:val="single" w:sz="8" w:space="0" w:color="000000" w:themeColor="text1"/>
            </w:tcBorders>
            <w:shd w:val="clear" w:color="auto" w:fill="F2F2F2" w:themeFill="background1" w:themeFillShade="F2"/>
            <w:noWrap/>
            <w:vAlign w:val="center"/>
          </w:tcPr>
          <w:p w14:paraId="7E35487B" w14:textId="77777777" w:rsidR="00F303E0" w:rsidRPr="00EE5714" w:rsidRDefault="00F303E0" w:rsidP="00851815">
            <w:pPr>
              <w:keepNext/>
              <w:jc w:val="center"/>
              <w:rPr>
                <w:rFonts w:ascii="Calibri" w:eastAsia="Times New Roman" w:hAnsi="Calibri" w:cs="Calibri"/>
                <w:sz w:val="21"/>
                <w:szCs w:val="21"/>
              </w:rPr>
            </w:pPr>
          </w:p>
        </w:tc>
        <w:tc>
          <w:tcPr>
            <w:tcW w:w="2520"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noWrap/>
            <w:vAlign w:val="center"/>
          </w:tcPr>
          <w:p w14:paraId="5D2A9A8E"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367BFBFC" w14:textId="77777777" w:rsidTr="00824DBE">
        <w:trPr>
          <w:trHeight w:hRule="exact" w:val="245"/>
        </w:trPr>
        <w:tc>
          <w:tcPr>
            <w:tcW w:w="2070" w:type="dxa"/>
            <w:shd w:val="clear" w:color="auto" w:fill="auto"/>
            <w:noWrap/>
            <w:vAlign w:val="center"/>
          </w:tcPr>
          <w:p w14:paraId="0B81E0C0" w14:textId="796DAB06"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1097DFF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2790" w:type="dxa"/>
            <w:shd w:val="clear" w:color="auto" w:fill="auto"/>
            <w:noWrap/>
            <w:vAlign w:val="center"/>
          </w:tcPr>
          <w:p w14:paraId="2D780C1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252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71752792"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118,250</w:t>
            </w:r>
          </w:p>
        </w:tc>
      </w:tr>
      <w:tr w:rsidR="00F303E0" w:rsidRPr="00EE5714" w14:paraId="25E7CA72" w14:textId="77777777" w:rsidTr="00824DBE">
        <w:trPr>
          <w:trHeight w:hRule="exact" w:val="245"/>
        </w:trPr>
        <w:tc>
          <w:tcPr>
            <w:tcW w:w="2070" w:type="dxa"/>
            <w:tcBorders>
              <w:bottom w:val="single" w:sz="8" w:space="0" w:color="000000" w:themeColor="text1"/>
            </w:tcBorders>
            <w:shd w:val="clear" w:color="auto" w:fill="auto"/>
            <w:noWrap/>
            <w:vAlign w:val="center"/>
          </w:tcPr>
          <w:p w14:paraId="4D7EB469"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10DBED0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2790" w:type="dxa"/>
            <w:tcBorders>
              <w:bottom w:val="single" w:sz="8" w:space="0" w:color="000000" w:themeColor="text1"/>
            </w:tcBorders>
            <w:shd w:val="clear" w:color="auto" w:fill="auto"/>
            <w:noWrap/>
            <w:vAlign w:val="center"/>
          </w:tcPr>
          <w:p w14:paraId="6020C09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252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638950A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74,035</w:t>
            </w:r>
          </w:p>
        </w:tc>
      </w:tr>
      <w:tr w:rsidR="00F303E0" w:rsidRPr="00EE5714" w14:paraId="192450E3" w14:textId="77777777" w:rsidTr="00824DBE">
        <w:trPr>
          <w:trHeight w:hRule="exact" w:val="245"/>
        </w:trPr>
        <w:tc>
          <w:tcPr>
            <w:tcW w:w="2070" w:type="dxa"/>
            <w:shd w:val="clear" w:color="auto" w:fill="F2F2F2" w:themeFill="background1" w:themeFillShade="F2"/>
            <w:noWrap/>
            <w:vAlign w:val="center"/>
          </w:tcPr>
          <w:p w14:paraId="484E3E99"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Gas</w:t>
            </w:r>
          </w:p>
        </w:tc>
        <w:tc>
          <w:tcPr>
            <w:tcW w:w="2610" w:type="dxa"/>
            <w:shd w:val="clear" w:color="auto" w:fill="F2F2F2" w:themeFill="background1" w:themeFillShade="F2"/>
            <w:noWrap/>
            <w:vAlign w:val="center"/>
          </w:tcPr>
          <w:p w14:paraId="7CC43C7C"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tcPr>
          <w:p w14:paraId="0F515723" w14:textId="77777777" w:rsidR="00F303E0" w:rsidRPr="00EE5714" w:rsidRDefault="00F303E0" w:rsidP="00851815">
            <w:pPr>
              <w:keepNext/>
              <w:jc w:val="center"/>
              <w:rPr>
                <w:rFonts w:ascii="Calibri" w:eastAsia="Times New Roman" w:hAnsi="Calibri" w:cs="Calibri"/>
                <w:sz w:val="21"/>
                <w:szCs w:val="21"/>
              </w:rPr>
            </w:pPr>
          </w:p>
        </w:tc>
        <w:tc>
          <w:tcPr>
            <w:tcW w:w="2520" w:type="dxa"/>
            <w:shd w:val="clear" w:color="auto" w:fill="F2F2F2" w:themeFill="background1" w:themeFillShade="F2"/>
            <w:noWrap/>
            <w:vAlign w:val="center"/>
          </w:tcPr>
          <w:p w14:paraId="3E889762"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035BB731" w14:textId="77777777" w:rsidTr="00824DBE">
        <w:trPr>
          <w:trHeight w:hRule="exact" w:val="245"/>
        </w:trPr>
        <w:tc>
          <w:tcPr>
            <w:tcW w:w="2070" w:type="dxa"/>
            <w:shd w:val="clear" w:color="auto" w:fill="auto"/>
            <w:noWrap/>
            <w:vAlign w:val="center"/>
          </w:tcPr>
          <w:p w14:paraId="213FD67B" w14:textId="7F47089A"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2913E123"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 xml:space="preserve">14,612 </w:t>
            </w:r>
          </w:p>
        </w:tc>
        <w:tc>
          <w:tcPr>
            <w:tcW w:w="2790" w:type="dxa"/>
            <w:shd w:val="clear" w:color="auto" w:fill="auto"/>
            <w:noWrap/>
            <w:vAlign w:val="center"/>
          </w:tcPr>
          <w:p w14:paraId="7AB0B4E2"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 xml:space="preserve">27,378 </w:t>
            </w:r>
          </w:p>
        </w:tc>
        <w:tc>
          <w:tcPr>
            <w:tcW w:w="2520" w:type="dxa"/>
            <w:shd w:val="clear" w:color="auto" w:fill="auto"/>
            <w:noWrap/>
            <w:vAlign w:val="center"/>
          </w:tcPr>
          <w:p w14:paraId="681832A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 xml:space="preserve">22,228 </w:t>
            </w:r>
          </w:p>
        </w:tc>
      </w:tr>
      <w:tr w:rsidR="00F303E0" w:rsidRPr="00EE5714" w14:paraId="29B8F149" w14:textId="77777777" w:rsidTr="00824DBE">
        <w:trPr>
          <w:trHeight w:hRule="exact" w:val="245"/>
        </w:trPr>
        <w:tc>
          <w:tcPr>
            <w:tcW w:w="2070" w:type="dxa"/>
            <w:shd w:val="clear" w:color="auto" w:fill="auto"/>
            <w:noWrap/>
            <w:vAlign w:val="center"/>
          </w:tcPr>
          <w:p w14:paraId="708F7EB5"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Bills Paid in Full</w:t>
            </w:r>
          </w:p>
        </w:tc>
        <w:tc>
          <w:tcPr>
            <w:tcW w:w="2610" w:type="dxa"/>
            <w:shd w:val="clear" w:color="auto" w:fill="auto"/>
            <w:noWrap/>
            <w:vAlign w:val="center"/>
          </w:tcPr>
          <w:p w14:paraId="4BFCD087"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 xml:space="preserve">7,657 </w:t>
            </w:r>
          </w:p>
        </w:tc>
        <w:tc>
          <w:tcPr>
            <w:tcW w:w="2790" w:type="dxa"/>
            <w:shd w:val="clear" w:color="auto" w:fill="auto"/>
            <w:noWrap/>
            <w:vAlign w:val="center"/>
          </w:tcPr>
          <w:p w14:paraId="3CD89EBD"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 xml:space="preserve">16,507 </w:t>
            </w:r>
          </w:p>
        </w:tc>
        <w:tc>
          <w:tcPr>
            <w:tcW w:w="2520" w:type="dxa"/>
            <w:shd w:val="clear" w:color="auto" w:fill="auto"/>
            <w:noWrap/>
            <w:vAlign w:val="center"/>
          </w:tcPr>
          <w:p w14:paraId="5D4E8E60"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 xml:space="preserve">13,638 </w:t>
            </w:r>
          </w:p>
        </w:tc>
      </w:tr>
      <w:tr w:rsidR="00F303E0" w:rsidRPr="00EE5714" w14:paraId="4A920E40" w14:textId="77777777" w:rsidTr="00824DBE">
        <w:trPr>
          <w:trHeight w:hRule="exact" w:val="245"/>
        </w:trPr>
        <w:tc>
          <w:tcPr>
            <w:tcW w:w="2070" w:type="dxa"/>
            <w:shd w:val="clear" w:color="auto" w:fill="F2F2F2" w:themeFill="background1" w:themeFillShade="F2"/>
            <w:noWrap/>
            <w:vAlign w:val="center"/>
          </w:tcPr>
          <w:p w14:paraId="370D5363"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w:t>
            </w:r>
          </w:p>
        </w:tc>
        <w:tc>
          <w:tcPr>
            <w:tcW w:w="2610" w:type="dxa"/>
            <w:shd w:val="clear" w:color="auto" w:fill="F2F2F2" w:themeFill="background1" w:themeFillShade="F2"/>
            <w:noWrap/>
            <w:vAlign w:val="center"/>
          </w:tcPr>
          <w:p w14:paraId="1544DCF3"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tcPr>
          <w:p w14:paraId="0DDD23E8" w14:textId="77777777" w:rsidR="00F303E0" w:rsidRPr="00EE5714" w:rsidRDefault="00F303E0" w:rsidP="00851815">
            <w:pPr>
              <w:keepNext/>
              <w:jc w:val="center"/>
              <w:rPr>
                <w:rFonts w:ascii="Calibri" w:eastAsia="Times New Roman" w:hAnsi="Calibri" w:cs="Calibri"/>
                <w:sz w:val="21"/>
                <w:szCs w:val="21"/>
              </w:rPr>
            </w:pPr>
          </w:p>
        </w:tc>
        <w:tc>
          <w:tcPr>
            <w:tcW w:w="2520" w:type="dxa"/>
            <w:tcBorders>
              <w:top w:val="single" w:sz="8" w:space="0" w:color="000000" w:themeColor="text1"/>
              <w:right w:val="single" w:sz="8" w:space="0" w:color="000000" w:themeColor="text1"/>
            </w:tcBorders>
            <w:shd w:val="clear" w:color="auto" w:fill="F2F2F2" w:themeFill="background1" w:themeFillShade="F2"/>
            <w:noWrap/>
            <w:vAlign w:val="center"/>
          </w:tcPr>
          <w:p w14:paraId="77B735A6"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5E34F623" w14:textId="77777777" w:rsidTr="00824DBE">
        <w:trPr>
          <w:trHeight w:hRule="exact" w:val="245"/>
        </w:trPr>
        <w:tc>
          <w:tcPr>
            <w:tcW w:w="2070" w:type="dxa"/>
            <w:shd w:val="clear" w:color="auto" w:fill="auto"/>
            <w:noWrap/>
            <w:vAlign w:val="center"/>
          </w:tcPr>
          <w:p w14:paraId="60398B49" w14:textId="6321ECDC"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1AA147CA"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51,344 </w:t>
            </w:r>
          </w:p>
        </w:tc>
        <w:tc>
          <w:tcPr>
            <w:tcW w:w="2790" w:type="dxa"/>
            <w:shd w:val="clear" w:color="auto" w:fill="auto"/>
            <w:noWrap/>
            <w:vAlign w:val="center"/>
          </w:tcPr>
          <w:p w14:paraId="384BC2CF"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111,399 </w:t>
            </w:r>
          </w:p>
        </w:tc>
        <w:tc>
          <w:tcPr>
            <w:tcW w:w="2520" w:type="dxa"/>
            <w:tcBorders>
              <w:right w:val="single" w:sz="8" w:space="0" w:color="000000" w:themeColor="text1"/>
            </w:tcBorders>
            <w:shd w:val="clear" w:color="auto" w:fill="auto"/>
            <w:noWrap/>
            <w:vAlign w:val="center"/>
          </w:tcPr>
          <w:p w14:paraId="4D7D6267"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79,184 </w:t>
            </w:r>
          </w:p>
        </w:tc>
      </w:tr>
      <w:tr w:rsidR="00F303E0" w:rsidRPr="00EE5714" w14:paraId="68BCAD87" w14:textId="77777777" w:rsidTr="00824DBE">
        <w:trPr>
          <w:trHeight w:hRule="exact" w:val="245"/>
        </w:trPr>
        <w:tc>
          <w:tcPr>
            <w:tcW w:w="2070" w:type="dxa"/>
            <w:tcBorders>
              <w:bottom w:val="single" w:sz="8" w:space="0" w:color="000000" w:themeColor="text1"/>
            </w:tcBorders>
            <w:shd w:val="clear" w:color="auto" w:fill="auto"/>
            <w:noWrap/>
            <w:vAlign w:val="center"/>
          </w:tcPr>
          <w:p w14:paraId="30D38C0F"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3EB0F224"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23,135 </w:t>
            </w:r>
          </w:p>
        </w:tc>
        <w:tc>
          <w:tcPr>
            <w:tcW w:w="2790" w:type="dxa"/>
            <w:tcBorders>
              <w:bottom w:val="single" w:sz="8" w:space="0" w:color="000000" w:themeColor="text1"/>
            </w:tcBorders>
            <w:shd w:val="clear" w:color="auto" w:fill="auto"/>
            <w:noWrap/>
            <w:vAlign w:val="center"/>
          </w:tcPr>
          <w:p w14:paraId="25462EFD"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 73,640 </w:t>
            </w:r>
          </w:p>
        </w:tc>
        <w:tc>
          <w:tcPr>
            <w:tcW w:w="2520" w:type="dxa"/>
            <w:tcBorders>
              <w:bottom w:val="single" w:sz="8" w:space="0" w:color="000000" w:themeColor="text1"/>
              <w:right w:val="single" w:sz="8" w:space="0" w:color="000000" w:themeColor="text1"/>
            </w:tcBorders>
            <w:shd w:val="clear" w:color="auto" w:fill="auto"/>
            <w:noWrap/>
            <w:vAlign w:val="center"/>
          </w:tcPr>
          <w:p w14:paraId="10856692"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57,627 </w:t>
            </w:r>
          </w:p>
        </w:tc>
      </w:tr>
      <w:tr w:rsidR="00F303E0" w:rsidRPr="00EE5714" w14:paraId="67CAA453" w14:textId="77777777" w:rsidTr="00824DBE">
        <w:trPr>
          <w:trHeight w:hRule="exact" w:val="245"/>
        </w:trPr>
        <w:tc>
          <w:tcPr>
            <w:tcW w:w="2070" w:type="dxa"/>
            <w:shd w:val="clear" w:color="auto" w:fill="F2F2F2" w:themeFill="background1" w:themeFillShade="F2"/>
            <w:noWrap/>
            <w:vAlign w:val="center"/>
          </w:tcPr>
          <w:p w14:paraId="295A009E"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 EQT</w:t>
            </w:r>
          </w:p>
        </w:tc>
        <w:tc>
          <w:tcPr>
            <w:tcW w:w="2610" w:type="dxa"/>
            <w:tcBorders>
              <w:top w:val="single" w:sz="8" w:space="0" w:color="000000" w:themeColor="text1"/>
              <w:bottom w:val="single" w:sz="8" w:space="0" w:color="000000" w:themeColor="text1"/>
            </w:tcBorders>
            <w:shd w:val="clear" w:color="auto" w:fill="F2F2F2" w:themeFill="background1" w:themeFillShade="F2"/>
            <w:noWrap/>
            <w:vAlign w:val="center"/>
          </w:tcPr>
          <w:p w14:paraId="7CD66870" w14:textId="77777777" w:rsidR="00F303E0" w:rsidRPr="00EE5714" w:rsidRDefault="00F303E0" w:rsidP="00851815">
            <w:pPr>
              <w:keepNext/>
              <w:jc w:val="center"/>
              <w:rPr>
                <w:rFonts w:ascii="Calibri" w:eastAsia="Times New Roman" w:hAnsi="Calibri" w:cs="Calibri"/>
                <w:sz w:val="21"/>
                <w:szCs w:val="21"/>
              </w:rPr>
            </w:pPr>
          </w:p>
        </w:tc>
        <w:tc>
          <w:tcPr>
            <w:tcW w:w="2790" w:type="dxa"/>
            <w:tcBorders>
              <w:top w:val="single" w:sz="8" w:space="0" w:color="000000" w:themeColor="text1"/>
              <w:bottom w:val="single" w:sz="8" w:space="0" w:color="000000" w:themeColor="text1"/>
            </w:tcBorders>
            <w:shd w:val="clear" w:color="auto" w:fill="F2F2F2" w:themeFill="background1" w:themeFillShade="F2"/>
            <w:noWrap/>
            <w:vAlign w:val="center"/>
          </w:tcPr>
          <w:p w14:paraId="487195FC" w14:textId="77777777" w:rsidR="00F303E0" w:rsidRPr="00EE5714" w:rsidRDefault="00F303E0" w:rsidP="00851815">
            <w:pPr>
              <w:keepNext/>
              <w:jc w:val="center"/>
              <w:rPr>
                <w:rFonts w:ascii="Calibri" w:eastAsia="Times New Roman" w:hAnsi="Calibri" w:cs="Calibri"/>
                <w:sz w:val="21"/>
                <w:szCs w:val="21"/>
              </w:rPr>
            </w:pPr>
          </w:p>
        </w:tc>
        <w:tc>
          <w:tcPr>
            <w:tcW w:w="2520"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noWrap/>
            <w:vAlign w:val="center"/>
          </w:tcPr>
          <w:p w14:paraId="4893C3C8"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38361B2F" w14:textId="77777777" w:rsidTr="00824DBE">
        <w:trPr>
          <w:trHeight w:hRule="exact" w:val="245"/>
        </w:trPr>
        <w:tc>
          <w:tcPr>
            <w:tcW w:w="2070" w:type="dxa"/>
            <w:shd w:val="clear" w:color="auto" w:fill="auto"/>
            <w:noWrap/>
            <w:vAlign w:val="center"/>
          </w:tcPr>
          <w:p w14:paraId="640EE7BB" w14:textId="2788A9F0"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2ADCDA22"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55,568</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75A92516"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91,192</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7500BBE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23,218</w:t>
            </w:r>
          </w:p>
        </w:tc>
      </w:tr>
      <w:tr w:rsidR="00F303E0" w:rsidRPr="00EE5714" w14:paraId="40A4BCAF" w14:textId="77777777" w:rsidTr="00824DBE">
        <w:trPr>
          <w:trHeight w:hRule="exact" w:val="245"/>
        </w:trPr>
        <w:tc>
          <w:tcPr>
            <w:tcW w:w="2070" w:type="dxa"/>
            <w:tcBorders>
              <w:bottom w:val="single" w:sz="8" w:space="0" w:color="000000" w:themeColor="text1"/>
            </w:tcBorders>
            <w:shd w:val="clear" w:color="auto" w:fill="auto"/>
            <w:noWrap/>
            <w:vAlign w:val="center"/>
          </w:tcPr>
          <w:p w14:paraId="0EBDBACF"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Bills Paid in Full</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1FB45DC9"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36,593</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657E9F8A"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69,857</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5BB61D3"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17,527</w:t>
            </w:r>
          </w:p>
        </w:tc>
      </w:tr>
      <w:tr w:rsidR="00F303E0" w:rsidRPr="00EE5714" w14:paraId="2B1D99AD" w14:textId="77777777" w:rsidTr="00824DBE">
        <w:trPr>
          <w:trHeight w:hRule="exact" w:val="245"/>
        </w:trPr>
        <w:tc>
          <w:tcPr>
            <w:tcW w:w="2070" w:type="dxa"/>
            <w:shd w:val="clear" w:color="auto" w:fill="F2F2F2" w:themeFill="background1" w:themeFillShade="F2"/>
            <w:noWrap/>
            <w:vAlign w:val="center"/>
          </w:tcPr>
          <w:p w14:paraId="0AE76809"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PGW</w:t>
            </w:r>
          </w:p>
        </w:tc>
        <w:tc>
          <w:tcPr>
            <w:tcW w:w="2610" w:type="dxa"/>
            <w:shd w:val="clear" w:color="auto" w:fill="F2F2F2" w:themeFill="background1" w:themeFillShade="F2"/>
            <w:noWrap/>
            <w:vAlign w:val="center"/>
          </w:tcPr>
          <w:p w14:paraId="6A8EC84E"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tcPr>
          <w:p w14:paraId="02A74A88" w14:textId="77777777" w:rsidR="00F303E0" w:rsidRPr="00EE5714" w:rsidRDefault="00F303E0" w:rsidP="00851815">
            <w:pPr>
              <w:keepNext/>
              <w:jc w:val="center"/>
              <w:rPr>
                <w:rFonts w:ascii="Calibri" w:eastAsia="Times New Roman" w:hAnsi="Calibri" w:cs="Calibri"/>
                <w:sz w:val="21"/>
                <w:szCs w:val="21"/>
              </w:rPr>
            </w:pPr>
          </w:p>
        </w:tc>
        <w:tc>
          <w:tcPr>
            <w:tcW w:w="2520" w:type="dxa"/>
            <w:tcBorders>
              <w:right w:val="single" w:sz="8" w:space="0" w:color="000000" w:themeColor="text1"/>
            </w:tcBorders>
            <w:shd w:val="clear" w:color="auto" w:fill="F2F2F2" w:themeFill="background1" w:themeFillShade="F2"/>
            <w:noWrap/>
            <w:vAlign w:val="center"/>
          </w:tcPr>
          <w:p w14:paraId="66E2EFFD"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336BFC63" w14:textId="77777777" w:rsidTr="00824DBE">
        <w:trPr>
          <w:trHeight w:hRule="exact" w:val="245"/>
        </w:trPr>
        <w:tc>
          <w:tcPr>
            <w:tcW w:w="2070" w:type="dxa"/>
            <w:shd w:val="clear" w:color="auto" w:fill="auto"/>
            <w:noWrap/>
            <w:vAlign w:val="center"/>
          </w:tcPr>
          <w:p w14:paraId="299D4762" w14:textId="40EC12E3"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11C843A9"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202,086</w:t>
            </w:r>
          </w:p>
        </w:tc>
        <w:tc>
          <w:tcPr>
            <w:tcW w:w="2790" w:type="dxa"/>
            <w:shd w:val="clear" w:color="auto" w:fill="auto"/>
            <w:noWrap/>
            <w:vAlign w:val="center"/>
          </w:tcPr>
          <w:p w14:paraId="4AD861B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407,460</w:t>
            </w:r>
          </w:p>
        </w:tc>
        <w:tc>
          <w:tcPr>
            <w:tcW w:w="2520" w:type="dxa"/>
            <w:tcBorders>
              <w:right w:val="single" w:sz="8" w:space="0" w:color="000000" w:themeColor="text1"/>
            </w:tcBorders>
            <w:shd w:val="clear" w:color="auto" w:fill="auto"/>
            <w:noWrap/>
            <w:vAlign w:val="center"/>
          </w:tcPr>
          <w:p w14:paraId="6A289F1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113,047</w:t>
            </w:r>
          </w:p>
        </w:tc>
      </w:tr>
      <w:tr w:rsidR="00F303E0" w:rsidRPr="00EE5714" w14:paraId="5D4724C7" w14:textId="77777777" w:rsidTr="00824DBE">
        <w:trPr>
          <w:trHeight w:hRule="exact" w:val="245"/>
        </w:trPr>
        <w:tc>
          <w:tcPr>
            <w:tcW w:w="2070" w:type="dxa"/>
            <w:tcBorders>
              <w:bottom w:val="single" w:sz="8" w:space="0" w:color="000000" w:themeColor="text1"/>
            </w:tcBorders>
            <w:shd w:val="clear" w:color="auto" w:fill="auto"/>
            <w:noWrap/>
            <w:vAlign w:val="center"/>
          </w:tcPr>
          <w:p w14:paraId="50BE434C"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2E289294"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119,192</w:t>
            </w:r>
          </w:p>
        </w:tc>
        <w:tc>
          <w:tcPr>
            <w:tcW w:w="2790" w:type="dxa"/>
            <w:tcBorders>
              <w:bottom w:val="single" w:sz="8" w:space="0" w:color="000000" w:themeColor="text1"/>
            </w:tcBorders>
            <w:shd w:val="clear" w:color="auto" w:fill="auto"/>
            <w:noWrap/>
            <w:vAlign w:val="center"/>
          </w:tcPr>
          <w:p w14:paraId="658BF4AE"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245,869</w:t>
            </w:r>
          </w:p>
        </w:tc>
        <w:tc>
          <w:tcPr>
            <w:tcW w:w="2520" w:type="dxa"/>
            <w:tcBorders>
              <w:bottom w:val="single" w:sz="8" w:space="0" w:color="000000" w:themeColor="text1"/>
            </w:tcBorders>
            <w:shd w:val="clear" w:color="auto" w:fill="auto"/>
            <w:noWrap/>
            <w:vAlign w:val="center"/>
          </w:tcPr>
          <w:p w14:paraId="4536AAE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66,509</w:t>
            </w:r>
          </w:p>
        </w:tc>
      </w:tr>
      <w:tr w:rsidR="00F303E0" w:rsidRPr="00EE5714" w14:paraId="5AB9B7CD" w14:textId="77777777" w:rsidTr="00824DBE">
        <w:trPr>
          <w:trHeight w:hRule="exact" w:val="245"/>
        </w:trPr>
        <w:tc>
          <w:tcPr>
            <w:tcW w:w="2070" w:type="dxa"/>
            <w:shd w:val="clear" w:color="auto" w:fill="F2F2F2" w:themeFill="background1" w:themeFillShade="F2"/>
            <w:noWrap/>
            <w:vAlign w:val="center"/>
          </w:tcPr>
          <w:p w14:paraId="0D5ABD5D"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Gas</w:t>
            </w:r>
          </w:p>
        </w:tc>
        <w:tc>
          <w:tcPr>
            <w:tcW w:w="2610" w:type="dxa"/>
            <w:shd w:val="clear" w:color="auto" w:fill="F2F2F2" w:themeFill="background1" w:themeFillShade="F2"/>
            <w:noWrap/>
            <w:vAlign w:val="center"/>
          </w:tcPr>
          <w:p w14:paraId="6D1F4ECE"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tcPr>
          <w:p w14:paraId="651F339D" w14:textId="77777777" w:rsidR="00F303E0" w:rsidRPr="00EE5714" w:rsidRDefault="00F303E0" w:rsidP="00851815">
            <w:pPr>
              <w:keepNext/>
              <w:jc w:val="center"/>
              <w:rPr>
                <w:rFonts w:ascii="Calibri" w:eastAsia="Times New Roman" w:hAnsi="Calibri" w:cs="Calibri"/>
                <w:sz w:val="21"/>
                <w:szCs w:val="21"/>
              </w:rPr>
            </w:pPr>
          </w:p>
        </w:tc>
        <w:tc>
          <w:tcPr>
            <w:tcW w:w="2520" w:type="dxa"/>
            <w:shd w:val="clear" w:color="auto" w:fill="F2F2F2" w:themeFill="background1" w:themeFillShade="F2"/>
            <w:noWrap/>
            <w:vAlign w:val="center"/>
          </w:tcPr>
          <w:p w14:paraId="790BF4C2"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60F5766C" w14:textId="77777777" w:rsidTr="00824DBE">
        <w:trPr>
          <w:trHeight w:hRule="exact" w:val="245"/>
        </w:trPr>
        <w:tc>
          <w:tcPr>
            <w:tcW w:w="2070" w:type="dxa"/>
            <w:shd w:val="clear" w:color="auto" w:fill="auto"/>
            <w:noWrap/>
            <w:vAlign w:val="center"/>
          </w:tcPr>
          <w:p w14:paraId="21CD2118" w14:textId="3B9D58DF"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557B6597"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30,827 </w:t>
            </w:r>
          </w:p>
        </w:tc>
        <w:tc>
          <w:tcPr>
            <w:tcW w:w="2790" w:type="dxa"/>
            <w:shd w:val="clear" w:color="auto" w:fill="auto"/>
            <w:noWrap/>
            <w:vAlign w:val="center"/>
          </w:tcPr>
          <w:p w14:paraId="79F543D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48,390 </w:t>
            </w:r>
          </w:p>
        </w:tc>
        <w:tc>
          <w:tcPr>
            <w:tcW w:w="2520" w:type="dxa"/>
            <w:shd w:val="clear" w:color="auto" w:fill="auto"/>
            <w:noWrap/>
            <w:vAlign w:val="center"/>
          </w:tcPr>
          <w:p w14:paraId="5137B3B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20,187 </w:t>
            </w:r>
          </w:p>
        </w:tc>
      </w:tr>
      <w:tr w:rsidR="00F303E0" w:rsidRPr="00EE5714" w14:paraId="4840323F" w14:textId="77777777" w:rsidTr="00824DBE">
        <w:trPr>
          <w:trHeight w:hRule="exact" w:val="245"/>
        </w:trPr>
        <w:tc>
          <w:tcPr>
            <w:tcW w:w="2070" w:type="dxa"/>
            <w:tcBorders>
              <w:bottom w:val="single" w:sz="8" w:space="0" w:color="000000" w:themeColor="text1"/>
            </w:tcBorders>
            <w:shd w:val="clear" w:color="auto" w:fill="auto"/>
            <w:noWrap/>
            <w:vAlign w:val="center"/>
          </w:tcPr>
          <w:p w14:paraId="43CD075E"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2BA07DD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28,470 </w:t>
            </w:r>
          </w:p>
        </w:tc>
        <w:tc>
          <w:tcPr>
            <w:tcW w:w="2790" w:type="dxa"/>
            <w:tcBorders>
              <w:bottom w:val="single" w:sz="8" w:space="0" w:color="000000" w:themeColor="text1"/>
            </w:tcBorders>
            <w:shd w:val="clear" w:color="auto" w:fill="auto"/>
            <w:noWrap/>
            <w:vAlign w:val="center"/>
          </w:tcPr>
          <w:p w14:paraId="470848AB"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41,870 </w:t>
            </w:r>
          </w:p>
        </w:tc>
        <w:tc>
          <w:tcPr>
            <w:tcW w:w="2520" w:type="dxa"/>
            <w:tcBorders>
              <w:bottom w:val="single" w:sz="8" w:space="0" w:color="000000" w:themeColor="text1"/>
            </w:tcBorders>
            <w:shd w:val="clear" w:color="auto" w:fill="auto"/>
            <w:noWrap/>
            <w:vAlign w:val="center"/>
          </w:tcPr>
          <w:p w14:paraId="23D89E5E"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18,539 </w:t>
            </w:r>
          </w:p>
        </w:tc>
      </w:tr>
      <w:tr w:rsidR="00F303E0" w:rsidRPr="00EE5714" w14:paraId="487CB1DB" w14:textId="77777777" w:rsidTr="00824DBE">
        <w:trPr>
          <w:trHeight w:hRule="exact" w:val="245"/>
        </w:trPr>
        <w:tc>
          <w:tcPr>
            <w:tcW w:w="2070" w:type="dxa"/>
            <w:shd w:val="clear" w:color="auto" w:fill="F2F2F2" w:themeFill="background1" w:themeFillShade="F2"/>
            <w:noWrap/>
            <w:vAlign w:val="center"/>
          </w:tcPr>
          <w:p w14:paraId="61D47A45"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PNG</w:t>
            </w:r>
          </w:p>
        </w:tc>
        <w:tc>
          <w:tcPr>
            <w:tcW w:w="2610" w:type="dxa"/>
            <w:shd w:val="clear" w:color="auto" w:fill="F2F2F2" w:themeFill="background1" w:themeFillShade="F2"/>
            <w:noWrap/>
            <w:vAlign w:val="center"/>
          </w:tcPr>
          <w:p w14:paraId="2F638BAC"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tcPr>
          <w:p w14:paraId="18F220D3" w14:textId="77777777" w:rsidR="00F303E0" w:rsidRPr="00EE5714" w:rsidRDefault="00F303E0" w:rsidP="00851815">
            <w:pPr>
              <w:keepNext/>
              <w:jc w:val="center"/>
              <w:rPr>
                <w:rFonts w:ascii="Calibri" w:eastAsia="Times New Roman" w:hAnsi="Calibri" w:cs="Calibri"/>
                <w:sz w:val="21"/>
                <w:szCs w:val="21"/>
              </w:rPr>
            </w:pPr>
          </w:p>
        </w:tc>
        <w:tc>
          <w:tcPr>
            <w:tcW w:w="2520" w:type="dxa"/>
            <w:shd w:val="clear" w:color="auto" w:fill="F2F2F2" w:themeFill="background1" w:themeFillShade="F2"/>
            <w:noWrap/>
            <w:vAlign w:val="center"/>
          </w:tcPr>
          <w:p w14:paraId="1BE2023D"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5D774891" w14:textId="77777777" w:rsidTr="00824DBE">
        <w:trPr>
          <w:trHeight w:hRule="exact" w:val="245"/>
        </w:trPr>
        <w:tc>
          <w:tcPr>
            <w:tcW w:w="2070" w:type="dxa"/>
            <w:shd w:val="clear" w:color="auto" w:fill="auto"/>
            <w:noWrap/>
            <w:vAlign w:val="center"/>
          </w:tcPr>
          <w:p w14:paraId="72BFF446" w14:textId="1E6724A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490B19D7"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17,932 </w:t>
            </w:r>
          </w:p>
        </w:tc>
        <w:tc>
          <w:tcPr>
            <w:tcW w:w="2790" w:type="dxa"/>
            <w:shd w:val="clear" w:color="auto" w:fill="auto"/>
            <w:noWrap/>
            <w:vAlign w:val="center"/>
          </w:tcPr>
          <w:p w14:paraId="49EB230C"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39,051 </w:t>
            </w:r>
          </w:p>
        </w:tc>
        <w:tc>
          <w:tcPr>
            <w:tcW w:w="2520" w:type="dxa"/>
            <w:shd w:val="clear" w:color="auto" w:fill="auto"/>
            <w:noWrap/>
            <w:vAlign w:val="center"/>
          </w:tcPr>
          <w:p w14:paraId="5CAC6A4F"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21,731 </w:t>
            </w:r>
          </w:p>
        </w:tc>
      </w:tr>
      <w:tr w:rsidR="00F303E0" w:rsidRPr="00EE5714" w14:paraId="770FED41" w14:textId="77777777" w:rsidTr="00824DBE">
        <w:trPr>
          <w:trHeight w:hRule="exact" w:val="245"/>
        </w:trPr>
        <w:tc>
          <w:tcPr>
            <w:tcW w:w="2070" w:type="dxa"/>
            <w:tcBorders>
              <w:bottom w:val="single" w:sz="8" w:space="0" w:color="000000" w:themeColor="text1"/>
            </w:tcBorders>
            <w:shd w:val="clear" w:color="auto" w:fill="auto"/>
            <w:noWrap/>
            <w:vAlign w:val="center"/>
          </w:tcPr>
          <w:p w14:paraId="4427C3C8"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448EB915"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16,654 </w:t>
            </w:r>
          </w:p>
        </w:tc>
        <w:tc>
          <w:tcPr>
            <w:tcW w:w="2790" w:type="dxa"/>
            <w:tcBorders>
              <w:bottom w:val="single" w:sz="8" w:space="0" w:color="000000" w:themeColor="text1"/>
            </w:tcBorders>
            <w:shd w:val="clear" w:color="auto" w:fill="auto"/>
            <w:noWrap/>
            <w:vAlign w:val="center"/>
          </w:tcPr>
          <w:p w14:paraId="325F23E9"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36,326 </w:t>
            </w:r>
          </w:p>
        </w:tc>
        <w:tc>
          <w:tcPr>
            <w:tcW w:w="2520" w:type="dxa"/>
            <w:tcBorders>
              <w:bottom w:val="single" w:sz="8" w:space="0" w:color="000000" w:themeColor="text1"/>
            </w:tcBorders>
            <w:shd w:val="clear" w:color="auto" w:fill="auto"/>
            <w:noWrap/>
            <w:vAlign w:val="center"/>
          </w:tcPr>
          <w:p w14:paraId="06F16DDA"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 xml:space="preserve">20,097 </w:t>
            </w:r>
          </w:p>
        </w:tc>
      </w:tr>
    </w:tbl>
    <w:p w14:paraId="390DC522" w14:textId="77777777" w:rsidR="00F303E0" w:rsidRPr="00EE5714" w:rsidRDefault="00F303E0" w:rsidP="00F303E0">
      <w:pPr>
        <w:pStyle w:val="NoSpacing"/>
        <w:rPr>
          <w:rFonts w:cs="Times New Roman"/>
          <w:sz w:val="24"/>
          <w:szCs w:val="24"/>
        </w:rPr>
      </w:pPr>
      <w:r w:rsidRPr="00EE5714">
        <w:rPr>
          <w:rFonts w:cs="Times New Roman"/>
          <w:sz w:val="24"/>
          <w:szCs w:val="24"/>
        </w:rPr>
        <w:t>*NFG only provided aggregate data for the 0-150% FPIG level.</w:t>
      </w:r>
    </w:p>
    <w:p w14:paraId="60508031" w14:textId="77777777" w:rsidR="00F303E0" w:rsidRPr="00EE5714" w:rsidRDefault="00F303E0" w:rsidP="00F303E0">
      <w:pPr>
        <w:pStyle w:val="NoSpacing"/>
        <w:rPr>
          <w:rFonts w:cs="Times New Roman"/>
          <w:szCs w:val="26"/>
        </w:rPr>
      </w:pPr>
    </w:p>
    <w:p w14:paraId="0B52C5A6" w14:textId="77777777" w:rsidR="00F303E0" w:rsidRPr="00EE5714" w:rsidRDefault="00F303E0" w:rsidP="00F303E0">
      <w:pPr>
        <w:pStyle w:val="NoSpacing"/>
        <w:rPr>
          <w:rFonts w:cs="Times New Roman"/>
          <w:i/>
          <w:szCs w:val="26"/>
        </w:rPr>
      </w:pPr>
    </w:p>
    <w:p w14:paraId="01752FB9" w14:textId="75F5D2A3" w:rsidR="00F303E0" w:rsidRPr="00EE5714" w:rsidRDefault="00F303E0">
      <w:pPr>
        <w:pStyle w:val="NoSpacing"/>
        <w:keepNext/>
        <w:rPr>
          <w:rFonts w:cs="Times New Roman"/>
        </w:rPr>
      </w:pPr>
      <w:r w:rsidRPr="00EE5714">
        <w:rPr>
          <w:rFonts w:cs="Times New Roman"/>
        </w:rPr>
        <w:lastRenderedPageBreak/>
        <w:t xml:space="preserve">Appendix </w:t>
      </w:r>
      <w:r w:rsidR="003E499A" w:rsidRPr="00EE5714">
        <w:rPr>
          <w:rFonts w:cs="Times New Roman"/>
        </w:rPr>
        <w:t>5</w:t>
      </w:r>
      <w:r w:rsidRPr="00EE5714">
        <w:rPr>
          <w:rFonts w:cs="Times New Roman"/>
        </w:rPr>
        <w:t xml:space="preserve">.B.5: </w:t>
      </w:r>
      <w:r w:rsidRPr="00EE5714">
        <w:rPr>
          <w:rFonts w:eastAsia="Times New Roman" w:cs="Times New Roman"/>
          <w:b/>
          <w:bCs/>
          <w:color w:val="000000"/>
        </w:rPr>
        <w:t xml:space="preserve">NGDC CAP Bills </w:t>
      </w:r>
      <w:r w:rsidR="00923EA8" w:rsidRPr="00EE5714">
        <w:rPr>
          <w:rFonts w:eastAsia="Times New Roman" w:cs="Times New Roman"/>
          <w:b/>
          <w:bCs/>
          <w:color w:val="000000"/>
        </w:rPr>
        <w:t>Issued</w:t>
      </w:r>
      <w:r w:rsidRPr="00EE5714">
        <w:rPr>
          <w:rFonts w:eastAsia="Times New Roman" w:cs="Times New Roman"/>
          <w:b/>
          <w:bCs/>
          <w:color w:val="000000"/>
        </w:rPr>
        <w:t xml:space="preserve"> and Paid In-Full</w:t>
      </w:r>
    </w:p>
    <w:tbl>
      <w:tblPr>
        <w:tblW w:w="999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70"/>
        <w:gridCol w:w="2610"/>
        <w:gridCol w:w="2790"/>
        <w:gridCol w:w="2520"/>
      </w:tblGrid>
      <w:tr w:rsidR="00F303E0" w:rsidRPr="00EE5714" w14:paraId="7490FC9C" w14:textId="77777777" w:rsidTr="00824DBE">
        <w:trPr>
          <w:trHeight w:val="432"/>
        </w:trPr>
        <w:tc>
          <w:tcPr>
            <w:tcW w:w="2070" w:type="dxa"/>
            <w:vMerge w:val="restart"/>
            <w:shd w:val="clear" w:color="auto" w:fill="auto"/>
            <w:noWrap/>
            <w:vAlign w:val="center"/>
            <w:hideMark/>
          </w:tcPr>
          <w:bookmarkEnd w:id="67"/>
          <w:p w14:paraId="07B48B73" w14:textId="77777777" w:rsidR="00F303E0" w:rsidRPr="00EE5714" w:rsidRDefault="00F303E0" w:rsidP="00851815">
            <w:pPr>
              <w:keepNext/>
              <w:jc w:val="center"/>
              <w:rPr>
                <w:rFonts w:ascii="Calibri" w:eastAsia="Times New Roman" w:hAnsi="Calibri" w:cs="Calibri"/>
                <w:b/>
                <w:bCs/>
                <w:color w:val="000000"/>
                <w:szCs w:val="24"/>
              </w:rPr>
            </w:pPr>
            <w:r w:rsidRPr="00EE5714">
              <w:rPr>
                <w:rFonts w:ascii="Calibri" w:eastAsia="Times New Roman" w:hAnsi="Calibri" w:cs="Calibri"/>
                <w:b/>
                <w:bCs/>
                <w:color w:val="000000"/>
                <w:szCs w:val="24"/>
              </w:rPr>
              <w:t>2016</w:t>
            </w:r>
          </w:p>
        </w:tc>
        <w:tc>
          <w:tcPr>
            <w:tcW w:w="7920" w:type="dxa"/>
            <w:gridSpan w:val="3"/>
            <w:tcBorders>
              <w:right w:val="single" w:sz="8" w:space="0" w:color="000000" w:themeColor="text1"/>
            </w:tcBorders>
            <w:shd w:val="clear" w:color="auto" w:fill="D9D9D9" w:themeFill="background1" w:themeFillShade="D9"/>
            <w:noWrap/>
            <w:vAlign w:val="bottom"/>
            <w:hideMark/>
          </w:tcPr>
          <w:p w14:paraId="345679F2" w14:textId="0D54ABB3" w:rsidR="00F303E0" w:rsidRPr="00EE5714" w:rsidRDefault="00F303E0" w:rsidP="00851815">
            <w:pPr>
              <w:keepNext/>
              <w:jc w:val="center"/>
              <w:rPr>
                <w:rFonts w:ascii="Calibri" w:eastAsia="Times New Roman" w:hAnsi="Calibri" w:cs="Calibri"/>
                <w:b/>
                <w:bCs/>
                <w:color w:val="000000"/>
                <w:sz w:val="20"/>
                <w:szCs w:val="20"/>
              </w:rPr>
            </w:pPr>
            <w:r w:rsidRPr="00EE5714">
              <w:rPr>
                <w:rFonts w:ascii="Calibri" w:eastAsia="Times New Roman" w:hAnsi="Calibri" w:cs="Calibri"/>
                <w:b/>
                <w:bCs/>
                <w:color w:val="000000"/>
              </w:rPr>
              <w:t xml:space="preserve">NGDC CAP Bills </w:t>
            </w:r>
            <w:r w:rsidR="00923EA8" w:rsidRPr="00EE5714">
              <w:rPr>
                <w:rFonts w:ascii="Calibri" w:eastAsia="Times New Roman" w:hAnsi="Calibri" w:cs="Calibri"/>
                <w:b/>
                <w:bCs/>
                <w:color w:val="000000"/>
              </w:rPr>
              <w:t>Issued</w:t>
            </w:r>
            <w:r w:rsidRPr="00EE5714">
              <w:rPr>
                <w:rFonts w:ascii="Calibri" w:eastAsia="Times New Roman" w:hAnsi="Calibri" w:cs="Calibri"/>
                <w:b/>
                <w:bCs/>
                <w:color w:val="000000"/>
              </w:rPr>
              <w:t xml:space="preserve"> and Paid In-Full</w:t>
            </w:r>
          </w:p>
        </w:tc>
      </w:tr>
      <w:tr w:rsidR="00F303E0" w:rsidRPr="00EE5714" w14:paraId="32CF94E5" w14:textId="77777777" w:rsidTr="00824DBE">
        <w:trPr>
          <w:trHeight w:val="72"/>
        </w:trPr>
        <w:tc>
          <w:tcPr>
            <w:tcW w:w="2070" w:type="dxa"/>
            <w:vMerge/>
            <w:shd w:val="clear" w:color="auto" w:fill="auto"/>
            <w:vAlign w:val="center"/>
            <w:hideMark/>
          </w:tcPr>
          <w:p w14:paraId="7937DDFF" w14:textId="77777777" w:rsidR="00F303E0" w:rsidRPr="00EE5714" w:rsidRDefault="00F303E0" w:rsidP="00851815">
            <w:pPr>
              <w:keepNext/>
              <w:rPr>
                <w:rFonts w:ascii="Calibri" w:eastAsia="Times New Roman" w:hAnsi="Calibri" w:cs="Calibri"/>
                <w:b/>
                <w:bCs/>
                <w:color w:val="000000"/>
              </w:rPr>
            </w:pPr>
          </w:p>
        </w:tc>
        <w:tc>
          <w:tcPr>
            <w:tcW w:w="2610" w:type="dxa"/>
            <w:tcBorders>
              <w:bottom w:val="single" w:sz="8" w:space="0" w:color="000000" w:themeColor="text1"/>
            </w:tcBorders>
            <w:shd w:val="clear" w:color="auto" w:fill="auto"/>
            <w:noWrap/>
            <w:vAlign w:val="bottom"/>
            <w:hideMark/>
          </w:tcPr>
          <w:p w14:paraId="6F4C88D4"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 FPIG</w:t>
            </w:r>
          </w:p>
        </w:tc>
        <w:tc>
          <w:tcPr>
            <w:tcW w:w="2790" w:type="dxa"/>
            <w:tcBorders>
              <w:bottom w:val="single" w:sz="8" w:space="0" w:color="000000" w:themeColor="text1"/>
            </w:tcBorders>
            <w:shd w:val="clear" w:color="auto" w:fill="auto"/>
            <w:noWrap/>
            <w:vAlign w:val="bottom"/>
            <w:hideMark/>
          </w:tcPr>
          <w:p w14:paraId="662A1D55"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 FPIG</w:t>
            </w:r>
          </w:p>
        </w:tc>
        <w:tc>
          <w:tcPr>
            <w:tcW w:w="2520" w:type="dxa"/>
            <w:tcBorders>
              <w:bottom w:val="single" w:sz="8" w:space="0" w:color="000000" w:themeColor="text1"/>
              <w:right w:val="single" w:sz="8" w:space="0" w:color="000000" w:themeColor="text1"/>
            </w:tcBorders>
            <w:shd w:val="clear" w:color="auto" w:fill="auto"/>
            <w:noWrap/>
            <w:vAlign w:val="bottom"/>
            <w:hideMark/>
          </w:tcPr>
          <w:p w14:paraId="78B42A81"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 FPIG</w:t>
            </w:r>
          </w:p>
        </w:tc>
      </w:tr>
      <w:tr w:rsidR="00F303E0" w:rsidRPr="00EE5714" w14:paraId="32B56632" w14:textId="77777777" w:rsidTr="00824DBE">
        <w:trPr>
          <w:trHeight w:hRule="exact" w:val="245"/>
        </w:trPr>
        <w:tc>
          <w:tcPr>
            <w:tcW w:w="2070" w:type="dxa"/>
            <w:tcBorders>
              <w:bottom w:val="single" w:sz="8" w:space="0" w:color="000000" w:themeColor="text1"/>
            </w:tcBorders>
            <w:shd w:val="clear" w:color="auto" w:fill="F2F2F2" w:themeFill="background1" w:themeFillShade="F2"/>
            <w:noWrap/>
            <w:vAlign w:val="center"/>
          </w:tcPr>
          <w:p w14:paraId="608FDCBF"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2610" w:type="dxa"/>
            <w:tcBorders>
              <w:bottom w:val="single" w:sz="8" w:space="0" w:color="000000" w:themeColor="text1"/>
            </w:tcBorders>
            <w:shd w:val="clear" w:color="auto" w:fill="F2F2F2" w:themeFill="background1" w:themeFillShade="F2"/>
            <w:noWrap/>
            <w:vAlign w:val="center"/>
          </w:tcPr>
          <w:p w14:paraId="0A147723" w14:textId="77777777" w:rsidR="00F303E0" w:rsidRPr="00EE5714" w:rsidRDefault="00F303E0" w:rsidP="00851815">
            <w:pPr>
              <w:keepNext/>
              <w:jc w:val="center"/>
              <w:rPr>
                <w:rFonts w:ascii="Calibri" w:eastAsia="Times New Roman" w:hAnsi="Calibri" w:cs="Calibri"/>
                <w:sz w:val="21"/>
                <w:szCs w:val="21"/>
              </w:rPr>
            </w:pPr>
          </w:p>
        </w:tc>
        <w:tc>
          <w:tcPr>
            <w:tcW w:w="2790" w:type="dxa"/>
            <w:tcBorders>
              <w:bottom w:val="single" w:sz="8" w:space="0" w:color="000000" w:themeColor="text1"/>
            </w:tcBorders>
            <w:shd w:val="clear" w:color="auto" w:fill="F2F2F2" w:themeFill="background1" w:themeFillShade="F2"/>
            <w:noWrap/>
            <w:vAlign w:val="center"/>
          </w:tcPr>
          <w:p w14:paraId="4E2B34D5" w14:textId="77777777" w:rsidR="00F303E0" w:rsidRPr="00EE5714" w:rsidRDefault="00F303E0" w:rsidP="00851815">
            <w:pPr>
              <w:keepNext/>
              <w:jc w:val="center"/>
              <w:rPr>
                <w:rFonts w:ascii="Calibri" w:eastAsia="Times New Roman" w:hAnsi="Calibri" w:cs="Calibri"/>
                <w:sz w:val="21"/>
                <w:szCs w:val="21"/>
              </w:rPr>
            </w:pPr>
          </w:p>
        </w:tc>
        <w:tc>
          <w:tcPr>
            <w:tcW w:w="2520" w:type="dxa"/>
            <w:tcBorders>
              <w:bottom w:val="single" w:sz="8" w:space="0" w:color="000000" w:themeColor="text1"/>
              <w:right w:val="single" w:sz="8" w:space="0" w:color="000000" w:themeColor="text1"/>
            </w:tcBorders>
            <w:shd w:val="clear" w:color="auto" w:fill="F2F2F2" w:themeFill="background1" w:themeFillShade="F2"/>
            <w:noWrap/>
            <w:vAlign w:val="center"/>
          </w:tcPr>
          <w:p w14:paraId="6A96B547"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5E725179" w14:textId="77777777" w:rsidTr="00824DBE">
        <w:trPr>
          <w:trHeight w:hRule="exact" w:val="245"/>
        </w:trPr>
        <w:tc>
          <w:tcPr>
            <w:tcW w:w="2070" w:type="dxa"/>
            <w:shd w:val="clear" w:color="auto" w:fill="auto"/>
            <w:noWrap/>
            <w:vAlign w:val="center"/>
          </w:tcPr>
          <w:p w14:paraId="741E5A3D" w14:textId="044BB1F2"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4B78BA57"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56,984</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71916FE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111,311</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737EB1A7"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78,139</w:t>
            </w:r>
          </w:p>
        </w:tc>
      </w:tr>
      <w:tr w:rsidR="00F303E0" w:rsidRPr="00EE5714" w14:paraId="5D35D8D1" w14:textId="77777777" w:rsidTr="00824DBE">
        <w:trPr>
          <w:trHeight w:hRule="exact" w:val="245"/>
        </w:trPr>
        <w:tc>
          <w:tcPr>
            <w:tcW w:w="2070" w:type="dxa"/>
            <w:tcBorders>
              <w:bottom w:val="single" w:sz="8" w:space="0" w:color="000000" w:themeColor="text1"/>
            </w:tcBorders>
            <w:shd w:val="clear" w:color="auto" w:fill="auto"/>
            <w:noWrap/>
            <w:vAlign w:val="center"/>
          </w:tcPr>
          <w:p w14:paraId="62AC67E5"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0B1AAD5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30,926</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19787A5C"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67,237</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DFAE527"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49,795</w:t>
            </w:r>
          </w:p>
        </w:tc>
      </w:tr>
      <w:tr w:rsidR="00F303E0" w:rsidRPr="00EE5714" w14:paraId="0043747A" w14:textId="77777777" w:rsidTr="00824DBE">
        <w:trPr>
          <w:trHeight w:hRule="exact" w:val="245"/>
        </w:trPr>
        <w:tc>
          <w:tcPr>
            <w:tcW w:w="2070" w:type="dxa"/>
            <w:shd w:val="clear" w:color="auto" w:fill="F2F2F2" w:themeFill="background1" w:themeFillShade="F2"/>
            <w:noWrap/>
            <w:vAlign w:val="center"/>
          </w:tcPr>
          <w:p w14:paraId="75CBA6FC"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NFG*</w:t>
            </w:r>
          </w:p>
        </w:tc>
        <w:tc>
          <w:tcPr>
            <w:tcW w:w="2610" w:type="dxa"/>
            <w:tcBorders>
              <w:top w:val="single" w:sz="8" w:space="0" w:color="000000" w:themeColor="text1"/>
            </w:tcBorders>
            <w:shd w:val="clear" w:color="auto" w:fill="F2F2F2" w:themeFill="background1" w:themeFillShade="F2"/>
            <w:noWrap/>
            <w:vAlign w:val="center"/>
          </w:tcPr>
          <w:p w14:paraId="20D20251" w14:textId="77777777" w:rsidR="00F303E0" w:rsidRPr="00EE5714" w:rsidRDefault="00F303E0" w:rsidP="00851815">
            <w:pPr>
              <w:keepNext/>
              <w:jc w:val="center"/>
              <w:rPr>
                <w:rFonts w:ascii="Calibri" w:eastAsia="Times New Roman" w:hAnsi="Calibri" w:cs="Calibri"/>
                <w:sz w:val="21"/>
                <w:szCs w:val="21"/>
              </w:rPr>
            </w:pPr>
          </w:p>
        </w:tc>
        <w:tc>
          <w:tcPr>
            <w:tcW w:w="2790" w:type="dxa"/>
            <w:tcBorders>
              <w:top w:val="single" w:sz="8" w:space="0" w:color="000000" w:themeColor="text1"/>
            </w:tcBorders>
            <w:shd w:val="clear" w:color="auto" w:fill="F2F2F2" w:themeFill="background1" w:themeFillShade="F2"/>
            <w:noWrap/>
            <w:vAlign w:val="center"/>
          </w:tcPr>
          <w:p w14:paraId="33AF9F24" w14:textId="77777777" w:rsidR="00F303E0" w:rsidRPr="00EE5714" w:rsidRDefault="00F303E0" w:rsidP="00851815">
            <w:pPr>
              <w:keepNext/>
              <w:jc w:val="center"/>
              <w:rPr>
                <w:rFonts w:ascii="Calibri" w:eastAsia="Times New Roman" w:hAnsi="Calibri" w:cs="Calibri"/>
                <w:sz w:val="21"/>
                <w:szCs w:val="21"/>
              </w:rPr>
            </w:pPr>
          </w:p>
        </w:tc>
        <w:tc>
          <w:tcPr>
            <w:tcW w:w="2520"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noWrap/>
            <w:vAlign w:val="center"/>
          </w:tcPr>
          <w:p w14:paraId="7378E704"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28A0F31F" w14:textId="77777777" w:rsidTr="00824DBE">
        <w:trPr>
          <w:trHeight w:hRule="exact" w:val="245"/>
        </w:trPr>
        <w:tc>
          <w:tcPr>
            <w:tcW w:w="2070" w:type="dxa"/>
            <w:shd w:val="clear" w:color="auto" w:fill="auto"/>
            <w:noWrap/>
            <w:vAlign w:val="center"/>
          </w:tcPr>
          <w:p w14:paraId="36D80EB7" w14:textId="66F64211"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19B9444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2790" w:type="dxa"/>
            <w:shd w:val="clear" w:color="auto" w:fill="auto"/>
            <w:noWrap/>
            <w:vAlign w:val="center"/>
          </w:tcPr>
          <w:p w14:paraId="737CDF5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252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1891B387" w14:textId="77777777" w:rsidR="00F303E0" w:rsidRPr="00EE5714" w:rsidRDefault="00F303E0" w:rsidP="00851815">
            <w:pPr>
              <w:keepNext/>
              <w:jc w:val="center"/>
              <w:rPr>
                <w:rFonts w:ascii="Calibri" w:hAnsi="Calibri" w:cs="Calibri"/>
                <w:b/>
                <w:bCs/>
                <w:sz w:val="21"/>
                <w:szCs w:val="21"/>
              </w:rPr>
            </w:pPr>
            <w:r w:rsidRPr="00EE5714">
              <w:rPr>
                <w:rFonts w:ascii="Calibri" w:hAnsi="Calibri" w:cs="Calibri"/>
                <w:b/>
                <w:bCs/>
                <w:sz w:val="21"/>
                <w:szCs w:val="21"/>
              </w:rPr>
              <w:t>104,325</w:t>
            </w:r>
          </w:p>
        </w:tc>
      </w:tr>
      <w:tr w:rsidR="00F303E0" w:rsidRPr="00EE5714" w14:paraId="474A9021" w14:textId="77777777" w:rsidTr="00824DBE">
        <w:trPr>
          <w:trHeight w:hRule="exact" w:val="245"/>
        </w:trPr>
        <w:tc>
          <w:tcPr>
            <w:tcW w:w="2070" w:type="dxa"/>
            <w:tcBorders>
              <w:bottom w:val="single" w:sz="8" w:space="0" w:color="000000" w:themeColor="text1"/>
            </w:tcBorders>
            <w:shd w:val="clear" w:color="auto" w:fill="auto"/>
            <w:noWrap/>
            <w:vAlign w:val="center"/>
          </w:tcPr>
          <w:p w14:paraId="419BC520"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0FE646C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2790" w:type="dxa"/>
            <w:tcBorders>
              <w:bottom w:val="single" w:sz="8" w:space="0" w:color="000000" w:themeColor="text1"/>
            </w:tcBorders>
            <w:shd w:val="clear" w:color="auto" w:fill="auto"/>
            <w:noWrap/>
            <w:vAlign w:val="center"/>
          </w:tcPr>
          <w:p w14:paraId="1036E8B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252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258A5779" w14:textId="77777777" w:rsidR="00F303E0" w:rsidRPr="00EE5714" w:rsidRDefault="00F303E0" w:rsidP="00851815">
            <w:pPr>
              <w:keepNext/>
              <w:jc w:val="center"/>
              <w:rPr>
                <w:rFonts w:ascii="Calibri" w:hAnsi="Calibri" w:cs="Calibri"/>
                <w:b/>
                <w:bCs/>
                <w:sz w:val="21"/>
                <w:szCs w:val="21"/>
              </w:rPr>
            </w:pPr>
            <w:r w:rsidRPr="00EE5714">
              <w:rPr>
                <w:rFonts w:ascii="Calibri" w:hAnsi="Calibri" w:cs="Calibri"/>
                <w:b/>
                <w:bCs/>
                <w:sz w:val="21"/>
                <w:szCs w:val="21"/>
              </w:rPr>
              <w:t>70,224</w:t>
            </w:r>
          </w:p>
        </w:tc>
      </w:tr>
      <w:tr w:rsidR="00F303E0" w:rsidRPr="00EE5714" w14:paraId="43421D31" w14:textId="77777777" w:rsidTr="00824DBE">
        <w:trPr>
          <w:trHeight w:hRule="exact" w:val="245"/>
        </w:trPr>
        <w:tc>
          <w:tcPr>
            <w:tcW w:w="2070" w:type="dxa"/>
            <w:shd w:val="clear" w:color="auto" w:fill="F2F2F2" w:themeFill="background1" w:themeFillShade="F2"/>
            <w:noWrap/>
            <w:vAlign w:val="center"/>
          </w:tcPr>
          <w:p w14:paraId="12880D4B"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Gas</w:t>
            </w:r>
          </w:p>
        </w:tc>
        <w:tc>
          <w:tcPr>
            <w:tcW w:w="2610" w:type="dxa"/>
            <w:shd w:val="clear" w:color="auto" w:fill="F2F2F2" w:themeFill="background1" w:themeFillShade="F2"/>
            <w:noWrap/>
            <w:vAlign w:val="center"/>
          </w:tcPr>
          <w:p w14:paraId="0872BEC8"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tcPr>
          <w:p w14:paraId="350DAB8A" w14:textId="77777777" w:rsidR="00F303E0" w:rsidRPr="00EE5714" w:rsidRDefault="00F303E0" w:rsidP="00851815">
            <w:pPr>
              <w:keepNext/>
              <w:jc w:val="center"/>
              <w:rPr>
                <w:rFonts w:ascii="Calibri" w:eastAsia="Times New Roman" w:hAnsi="Calibri" w:cs="Calibri"/>
                <w:sz w:val="21"/>
                <w:szCs w:val="21"/>
              </w:rPr>
            </w:pPr>
          </w:p>
        </w:tc>
        <w:tc>
          <w:tcPr>
            <w:tcW w:w="2520" w:type="dxa"/>
            <w:shd w:val="clear" w:color="auto" w:fill="F2F2F2" w:themeFill="background1" w:themeFillShade="F2"/>
            <w:noWrap/>
            <w:vAlign w:val="center"/>
          </w:tcPr>
          <w:p w14:paraId="687A9F67"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23A4D6F7" w14:textId="77777777" w:rsidTr="00824DBE">
        <w:trPr>
          <w:trHeight w:hRule="exact" w:val="245"/>
        </w:trPr>
        <w:tc>
          <w:tcPr>
            <w:tcW w:w="2070" w:type="dxa"/>
            <w:shd w:val="clear" w:color="auto" w:fill="auto"/>
            <w:noWrap/>
            <w:vAlign w:val="center"/>
          </w:tcPr>
          <w:p w14:paraId="5A66B46B" w14:textId="10516603"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312461FC"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15,919</w:t>
            </w:r>
          </w:p>
        </w:tc>
        <w:tc>
          <w:tcPr>
            <w:tcW w:w="2790" w:type="dxa"/>
            <w:shd w:val="clear" w:color="auto" w:fill="auto"/>
            <w:noWrap/>
            <w:vAlign w:val="center"/>
          </w:tcPr>
          <w:p w14:paraId="5BCFD6B7"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31,839</w:t>
            </w:r>
          </w:p>
        </w:tc>
        <w:tc>
          <w:tcPr>
            <w:tcW w:w="2520" w:type="dxa"/>
            <w:shd w:val="clear" w:color="auto" w:fill="auto"/>
            <w:noWrap/>
            <w:vAlign w:val="center"/>
          </w:tcPr>
          <w:p w14:paraId="4F6CFFF9"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23,011</w:t>
            </w:r>
          </w:p>
        </w:tc>
      </w:tr>
      <w:tr w:rsidR="00F303E0" w:rsidRPr="00EE5714" w14:paraId="34E18B4C" w14:textId="77777777" w:rsidTr="00824DBE">
        <w:trPr>
          <w:trHeight w:hRule="exact" w:val="245"/>
        </w:trPr>
        <w:tc>
          <w:tcPr>
            <w:tcW w:w="2070" w:type="dxa"/>
            <w:shd w:val="clear" w:color="auto" w:fill="auto"/>
            <w:noWrap/>
            <w:vAlign w:val="center"/>
          </w:tcPr>
          <w:p w14:paraId="05D77D9A"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Bills Paid in Full</w:t>
            </w:r>
          </w:p>
        </w:tc>
        <w:tc>
          <w:tcPr>
            <w:tcW w:w="2610" w:type="dxa"/>
            <w:shd w:val="clear" w:color="auto" w:fill="auto"/>
            <w:noWrap/>
            <w:vAlign w:val="center"/>
          </w:tcPr>
          <w:p w14:paraId="36FA3571"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8,734</w:t>
            </w:r>
          </w:p>
        </w:tc>
        <w:tc>
          <w:tcPr>
            <w:tcW w:w="2790" w:type="dxa"/>
            <w:shd w:val="clear" w:color="auto" w:fill="auto"/>
            <w:noWrap/>
            <w:vAlign w:val="center"/>
          </w:tcPr>
          <w:p w14:paraId="37E1083E"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20,408</w:t>
            </w:r>
          </w:p>
        </w:tc>
        <w:tc>
          <w:tcPr>
            <w:tcW w:w="2520" w:type="dxa"/>
            <w:shd w:val="clear" w:color="auto" w:fill="auto"/>
            <w:noWrap/>
            <w:vAlign w:val="center"/>
          </w:tcPr>
          <w:p w14:paraId="4F060458"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14,392</w:t>
            </w:r>
          </w:p>
        </w:tc>
      </w:tr>
      <w:tr w:rsidR="00F303E0" w:rsidRPr="00EE5714" w14:paraId="641A7CCC" w14:textId="77777777" w:rsidTr="00824DBE">
        <w:trPr>
          <w:trHeight w:hRule="exact" w:val="245"/>
        </w:trPr>
        <w:tc>
          <w:tcPr>
            <w:tcW w:w="2070" w:type="dxa"/>
            <w:shd w:val="clear" w:color="auto" w:fill="F2F2F2" w:themeFill="background1" w:themeFillShade="F2"/>
            <w:noWrap/>
            <w:vAlign w:val="center"/>
          </w:tcPr>
          <w:p w14:paraId="4BA9A898"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w:t>
            </w:r>
          </w:p>
        </w:tc>
        <w:tc>
          <w:tcPr>
            <w:tcW w:w="2610" w:type="dxa"/>
            <w:shd w:val="clear" w:color="auto" w:fill="F2F2F2" w:themeFill="background1" w:themeFillShade="F2"/>
            <w:noWrap/>
            <w:vAlign w:val="center"/>
          </w:tcPr>
          <w:p w14:paraId="46B59BB8"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tcPr>
          <w:p w14:paraId="4023CD24" w14:textId="77777777" w:rsidR="00F303E0" w:rsidRPr="00EE5714" w:rsidRDefault="00F303E0" w:rsidP="00851815">
            <w:pPr>
              <w:keepNext/>
              <w:jc w:val="center"/>
              <w:rPr>
                <w:rFonts w:ascii="Calibri" w:eastAsia="Times New Roman" w:hAnsi="Calibri" w:cs="Calibri"/>
                <w:sz w:val="21"/>
                <w:szCs w:val="21"/>
              </w:rPr>
            </w:pPr>
          </w:p>
        </w:tc>
        <w:tc>
          <w:tcPr>
            <w:tcW w:w="2520" w:type="dxa"/>
            <w:tcBorders>
              <w:top w:val="single" w:sz="8" w:space="0" w:color="000000" w:themeColor="text1"/>
              <w:right w:val="single" w:sz="8" w:space="0" w:color="000000" w:themeColor="text1"/>
            </w:tcBorders>
            <w:shd w:val="clear" w:color="auto" w:fill="F2F2F2" w:themeFill="background1" w:themeFillShade="F2"/>
            <w:noWrap/>
            <w:vAlign w:val="center"/>
          </w:tcPr>
          <w:p w14:paraId="3881BC1D"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538DF6D8" w14:textId="77777777" w:rsidTr="00824DBE">
        <w:trPr>
          <w:trHeight w:hRule="exact" w:val="245"/>
        </w:trPr>
        <w:tc>
          <w:tcPr>
            <w:tcW w:w="2070" w:type="dxa"/>
            <w:shd w:val="clear" w:color="auto" w:fill="auto"/>
            <w:noWrap/>
            <w:vAlign w:val="center"/>
          </w:tcPr>
          <w:p w14:paraId="67329D43" w14:textId="1DC340C8"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1BC7F68C"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48,534</w:t>
            </w:r>
          </w:p>
        </w:tc>
        <w:tc>
          <w:tcPr>
            <w:tcW w:w="2790" w:type="dxa"/>
            <w:shd w:val="clear" w:color="auto" w:fill="auto"/>
            <w:noWrap/>
            <w:vAlign w:val="center"/>
          </w:tcPr>
          <w:p w14:paraId="614A1F37"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107,200</w:t>
            </w:r>
          </w:p>
        </w:tc>
        <w:tc>
          <w:tcPr>
            <w:tcW w:w="2520" w:type="dxa"/>
            <w:tcBorders>
              <w:right w:val="single" w:sz="8" w:space="0" w:color="000000" w:themeColor="text1"/>
            </w:tcBorders>
            <w:shd w:val="clear" w:color="auto" w:fill="auto"/>
            <w:noWrap/>
            <w:vAlign w:val="center"/>
          </w:tcPr>
          <w:p w14:paraId="739C7052"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76,958</w:t>
            </w:r>
          </w:p>
        </w:tc>
      </w:tr>
      <w:tr w:rsidR="00F303E0" w:rsidRPr="00EE5714" w14:paraId="09E0CA75" w14:textId="77777777" w:rsidTr="00824DBE">
        <w:trPr>
          <w:trHeight w:hRule="exact" w:val="245"/>
        </w:trPr>
        <w:tc>
          <w:tcPr>
            <w:tcW w:w="2070" w:type="dxa"/>
            <w:tcBorders>
              <w:bottom w:val="single" w:sz="8" w:space="0" w:color="000000" w:themeColor="text1"/>
            </w:tcBorders>
            <w:shd w:val="clear" w:color="auto" w:fill="auto"/>
            <w:noWrap/>
            <w:vAlign w:val="center"/>
          </w:tcPr>
          <w:p w14:paraId="08439C75"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24D5DBC5"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20,060</w:t>
            </w:r>
          </w:p>
        </w:tc>
        <w:tc>
          <w:tcPr>
            <w:tcW w:w="2790" w:type="dxa"/>
            <w:tcBorders>
              <w:bottom w:val="single" w:sz="8" w:space="0" w:color="000000" w:themeColor="text1"/>
            </w:tcBorders>
            <w:shd w:val="clear" w:color="auto" w:fill="auto"/>
            <w:noWrap/>
            <w:vAlign w:val="center"/>
          </w:tcPr>
          <w:p w14:paraId="3B5CCEF0"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71,340</w:t>
            </w:r>
          </w:p>
        </w:tc>
        <w:tc>
          <w:tcPr>
            <w:tcW w:w="2520" w:type="dxa"/>
            <w:tcBorders>
              <w:bottom w:val="single" w:sz="8" w:space="0" w:color="000000" w:themeColor="text1"/>
              <w:right w:val="single" w:sz="8" w:space="0" w:color="000000" w:themeColor="text1"/>
            </w:tcBorders>
            <w:shd w:val="clear" w:color="auto" w:fill="auto"/>
            <w:noWrap/>
            <w:vAlign w:val="center"/>
          </w:tcPr>
          <w:p w14:paraId="727B93C4"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57,748</w:t>
            </w:r>
          </w:p>
        </w:tc>
      </w:tr>
      <w:tr w:rsidR="00F303E0" w:rsidRPr="00EE5714" w14:paraId="230AF79B" w14:textId="77777777" w:rsidTr="00824DBE">
        <w:trPr>
          <w:trHeight w:hRule="exact" w:val="245"/>
        </w:trPr>
        <w:tc>
          <w:tcPr>
            <w:tcW w:w="2070" w:type="dxa"/>
            <w:shd w:val="clear" w:color="auto" w:fill="F2F2F2" w:themeFill="background1" w:themeFillShade="F2"/>
            <w:noWrap/>
            <w:vAlign w:val="center"/>
          </w:tcPr>
          <w:p w14:paraId="0FC38E8C"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 EQT</w:t>
            </w:r>
          </w:p>
        </w:tc>
        <w:tc>
          <w:tcPr>
            <w:tcW w:w="2610" w:type="dxa"/>
            <w:tcBorders>
              <w:top w:val="single" w:sz="8" w:space="0" w:color="000000" w:themeColor="text1"/>
              <w:bottom w:val="single" w:sz="8" w:space="0" w:color="000000" w:themeColor="text1"/>
            </w:tcBorders>
            <w:shd w:val="clear" w:color="auto" w:fill="F2F2F2" w:themeFill="background1" w:themeFillShade="F2"/>
            <w:noWrap/>
            <w:vAlign w:val="center"/>
          </w:tcPr>
          <w:p w14:paraId="5C40527F" w14:textId="77777777" w:rsidR="00F303E0" w:rsidRPr="00EE5714" w:rsidRDefault="00F303E0" w:rsidP="00851815">
            <w:pPr>
              <w:keepNext/>
              <w:jc w:val="center"/>
              <w:rPr>
                <w:rFonts w:ascii="Calibri" w:eastAsia="Times New Roman" w:hAnsi="Calibri" w:cs="Calibri"/>
                <w:sz w:val="21"/>
                <w:szCs w:val="21"/>
              </w:rPr>
            </w:pPr>
          </w:p>
        </w:tc>
        <w:tc>
          <w:tcPr>
            <w:tcW w:w="2790" w:type="dxa"/>
            <w:tcBorders>
              <w:top w:val="single" w:sz="8" w:space="0" w:color="000000" w:themeColor="text1"/>
              <w:bottom w:val="single" w:sz="8" w:space="0" w:color="000000" w:themeColor="text1"/>
            </w:tcBorders>
            <w:shd w:val="clear" w:color="auto" w:fill="F2F2F2" w:themeFill="background1" w:themeFillShade="F2"/>
            <w:noWrap/>
            <w:vAlign w:val="center"/>
          </w:tcPr>
          <w:p w14:paraId="2AA9B079" w14:textId="77777777" w:rsidR="00F303E0" w:rsidRPr="00EE5714" w:rsidRDefault="00F303E0" w:rsidP="00851815">
            <w:pPr>
              <w:keepNext/>
              <w:jc w:val="center"/>
              <w:rPr>
                <w:rFonts w:ascii="Calibri" w:eastAsia="Times New Roman" w:hAnsi="Calibri" w:cs="Calibri"/>
                <w:sz w:val="21"/>
                <w:szCs w:val="21"/>
              </w:rPr>
            </w:pPr>
          </w:p>
        </w:tc>
        <w:tc>
          <w:tcPr>
            <w:tcW w:w="2520"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noWrap/>
            <w:vAlign w:val="center"/>
          </w:tcPr>
          <w:p w14:paraId="4AE3DFBB"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42E06031" w14:textId="77777777" w:rsidTr="00824DBE">
        <w:trPr>
          <w:trHeight w:hRule="exact" w:val="245"/>
        </w:trPr>
        <w:tc>
          <w:tcPr>
            <w:tcW w:w="2070" w:type="dxa"/>
            <w:shd w:val="clear" w:color="auto" w:fill="auto"/>
            <w:noWrap/>
            <w:vAlign w:val="center"/>
          </w:tcPr>
          <w:p w14:paraId="76C9B3A5" w14:textId="6698FB44"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32FDC5F1"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45,515</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C9F71E9"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80,316</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1BE1DCCD"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33,151</w:t>
            </w:r>
          </w:p>
        </w:tc>
      </w:tr>
      <w:tr w:rsidR="00F303E0" w:rsidRPr="00EE5714" w14:paraId="1DBE94AE" w14:textId="77777777" w:rsidTr="00824DBE">
        <w:trPr>
          <w:trHeight w:hRule="exact" w:val="245"/>
        </w:trPr>
        <w:tc>
          <w:tcPr>
            <w:tcW w:w="2070" w:type="dxa"/>
            <w:tcBorders>
              <w:bottom w:val="single" w:sz="8" w:space="0" w:color="000000" w:themeColor="text1"/>
            </w:tcBorders>
            <w:shd w:val="clear" w:color="auto" w:fill="auto"/>
            <w:noWrap/>
            <w:vAlign w:val="center"/>
          </w:tcPr>
          <w:p w14:paraId="34D708B9"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Bills Paid in Full</w:t>
            </w:r>
          </w:p>
        </w:tc>
        <w:tc>
          <w:tcPr>
            <w:tcW w:w="261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tcPr>
          <w:p w14:paraId="387681A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33,303</w:t>
            </w:r>
          </w:p>
        </w:tc>
        <w:tc>
          <w:tcPr>
            <w:tcW w:w="2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55841A7"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58,918</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15DB6BAD"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24,323</w:t>
            </w:r>
          </w:p>
        </w:tc>
      </w:tr>
      <w:tr w:rsidR="00F303E0" w:rsidRPr="00EE5714" w14:paraId="037B452F" w14:textId="77777777" w:rsidTr="00824DBE">
        <w:trPr>
          <w:trHeight w:hRule="exact" w:val="245"/>
        </w:trPr>
        <w:tc>
          <w:tcPr>
            <w:tcW w:w="2070" w:type="dxa"/>
            <w:shd w:val="clear" w:color="auto" w:fill="F2F2F2" w:themeFill="background1" w:themeFillShade="F2"/>
            <w:noWrap/>
            <w:vAlign w:val="center"/>
          </w:tcPr>
          <w:p w14:paraId="335A9FF8"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PGW</w:t>
            </w:r>
          </w:p>
        </w:tc>
        <w:tc>
          <w:tcPr>
            <w:tcW w:w="2610" w:type="dxa"/>
            <w:shd w:val="clear" w:color="auto" w:fill="F2F2F2" w:themeFill="background1" w:themeFillShade="F2"/>
            <w:noWrap/>
            <w:vAlign w:val="center"/>
          </w:tcPr>
          <w:p w14:paraId="36B7AEE2"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tcPr>
          <w:p w14:paraId="3FBCDA03" w14:textId="77777777" w:rsidR="00F303E0" w:rsidRPr="00EE5714" w:rsidRDefault="00F303E0" w:rsidP="00851815">
            <w:pPr>
              <w:keepNext/>
              <w:jc w:val="center"/>
              <w:rPr>
                <w:rFonts w:ascii="Calibri" w:eastAsia="Times New Roman" w:hAnsi="Calibri" w:cs="Calibri"/>
                <w:sz w:val="21"/>
                <w:szCs w:val="21"/>
              </w:rPr>
            </w:pPr>
          </w:p>
        </w:tc>
        <w:tc>
          <w:tcPr>
            <w:tcW w:w="2520" w:type="dxa"/>
            <w:tcBorders>
              <w:right w:val="single" w:sz="8" w:space="0" w:color="000000" w:themeColor="text1"/>
            </w:tcBorders>
            <w:shd w:val="clear" w:color="auto" w:fill="F2F2F2" w:themeFill="background1" w:themeFillShade="F2"/>
            <w:noWrap/>
            <w:vAlign w:val="center"/>
          </w:tcPr>
          <w:p w14:paraId="4B046A9F"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751363A1" w14:textId="77777777" w:rsidTr="00824DBE">
        <w:trPr>
          <w:trHeight w:hRule="exact" w:val="245"/>
        </w:trPr>
        <w:tc>
          <w:tcPr>
            <w:tcW w:w="2070" w:type="dxa"/>
            <w:shd w:val="clear" w:color="auto" w:fill="auto"/>
            <w:noWrap/>
            <w:vAlign w:val="center"/>
          </w:tcPr>
          <w:p w14:paraId="2B19D35F" w14:textId="15EC4BE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18CEBF4D"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195,629</w:t>
            </w:r>
          </w:p>
        </w:tc>
        <w:tc>
          <w:tcPr>
            <w:tcW w:w="2790" w:type="dxa"/>
            <w:shd w:val="clear" w:color="auto" w:fill="auto"/>
            <w:noWrap/>
            <w:vAlign w:val="center"/>
          </w:tcPr>
          <w:p w14:paraId="4E8DB40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353,907</w:t>
            </w:r>
          </w:p>
        </w:tc>
        <w:tc>
          <w:tcPr>
            <w:tcW w:w="2520" w:type="dxa"/>
            <w:tcBorders>
              <w:right w:val="single" w:sz="8" w:space="0" w:color="000000" w:themeColor="text1"/>
            </w:tcBorders>
            <w:shd w:val="clear" w:color="auto" w:fill="auto"/>
            <w:noWrap/>
            <w:vAlign w:val="center"/>
          </w:tcPr>
          <w:p w14:paraId="2D3F6BB2"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82,091</w:t>
            </w:r>
          </w:p>
        </w:tc>
      </w:tr>
      <w:tr w:rsidR="00F303E0" w:rsidRPr="00EE5714" w14:paraId="2ED970F9" w14:textId="77777777" w:rsidTr="00824DBE">
        <w:trPr>
          <w:trHeight w:hRule="exact" w:val="245"/>
        </w:trPr>
        <w:tc>
          <w:tcPr>
            <w:tcW w:w="2070" w:type="dxa"/>
            <w:tcBorders>
              <w:bottom w:val="single" w:sz="8" w:space="0" w:color="000000" w:themeColor="text1"/>
            </w:tcBorders>
            <w:shd w:val="clear" w:color="auto" w:fill="auto"/>
            <w:noWrap/>
            <w:vAlign w:val="center"/>
          </w:tcPr>
          <w:p w14:paraId="03E1FAC6"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hideMark/>
          </w:tcPr>
          <w:p w14:paraId="0F5E24F8"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115,830</w:t>
            </w:r>
          </w:p>
        </w:tc>
        <w:tc>
          <w:tcPr>
            <w:tcW w:w="2790" w:type="dxa"/>
            <w:tcBorders>
              <w:bottom w:val="single" w:sz="8" w:space="0" w:color="000000" w:themeColor="text1"/>
            </w:tcBorders>
            <w:shd w:val="clear" w:color="auto" w:fill="auto"/>
            <w:noWrap/>
            <w:vAlign w:val="center"/>
            <w:hideMark/>
          </w:tcPr>
          <w:p w14:paraId="29BD09EC"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225,104</w:t>
            </w:r>
          </w:p>
        </w:tc>
        <w:tc>
          <w:tcPr>
            <w:tcW w:w="2520" w:type="dxa"/>
            <w:tcBorders>
              <w:bottom w:val="single" w:sz="8" w:space="0" w:color="000000" w:themeColor="text1"/>
            </w:tcBorders>
            <w:shd w:val="clear" w:color="auto" w:fill="auto"/>
            <w:noWrap/>
            <w:vAlign w:val="center"/>
            <w:hideMark/>
          </w:tcPr>
          <w:p w14:paraId="543275AE"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51,192</w:t>
            </w:r>
          </w:p>
        </w:tc>
      </w:tr>
      <w:tr w:rsidR="00F303E0" w:rsidRPr="00EE5714" w14:paraId="0AE2948B" w14:textId="77777777" w:rsidTr="00824DBE">
        <w:trPr>
          <w:trHeight w:hRule="exact" w:val="245"/>
        </w:trPr>
        <w:tc>
          <w:tcPr>
            <w:tcW w:w="2070" w:type="dxa"/>
            <w:shd w:val="clear" w:color="auto" w:fill="F2F2F2" w:themeFill="background1" w:themeFillShade="F2"/>
            <w:noWrap/>
            <w:vAlign w:val="center"/>
          </w:tcPr>
          <w:p w14:paraId="66CFD559"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Gas</w:t>
            </w:r>
          </w:p>
        </w:tc>
        <w:tc>
          <w:tcPr>
            <w:tcW w:w="2610" w:type="dxa"/>
            <w:shd w:val="clear" w:color="auto" w:fill="F2F2F2" w:themeFill="background1" w:themeFillShade="F2"/>
            <w:noWrap/>
            <w:vAlign w:val="center"/>
            <w:hideMark/>
          </w:tcPr>
          <w:p w14:paraId="4E38AFD1"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hideMark/>
          </w:tcPr>
          <w:p w14:paraId="6FBDC1C2" w14:textId="77777777" w:rsidR="00F303E0" w:rsidRPr="00EE5714" w:rsidRDefault="00F303E0" w:rsidP="00851815">
            <w:pPr>
              <w:keepNext/>
              <w:jc w:val="center"/>
              <w:rPr>
                <w:rFonts w:ascii="Calibri" w:eastAsia="Times New Roman" w:hAnsi="Calibri" w:cs="Calibri"/>
                <w:sz w:val="21"/>
                <w:szCs w:val="21"/>
              </w:rPr>
            </w:pPr>
          </w:p>
        </w:tc>
        <w:tc>
          <w:tcPr>
            <w:tcW w:w="2520" w:type="dxa"/>
            <w:shd w:val="clear" w:color="auto" w:fill="F2F2F2" w:themeFill="background1" w:themeFillShade="F2"/>
            <w:noWrap/>
            <w:vAlign w:val="center"/>
            <w:hideMark/>
          </w:tcPr>
          <w:p w14:paraId="5DBF31B3"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239EDA4C" w14:textId="77777777" w:rsidTr="00824DBE">
        <w:trPr>
          <w:trHeight w:hRule="exact" w:val="245"/>
        </w:trPr>
        <w:tc>
          <w:tcPr>
            <w:tcW w:w="2070" w:type="dxa"/>
            <w:shd w:val="clear" w:color="auto" w:fill="auto"/>
            <w:noWrap/>
            <w:vAlign w:val="center"/>
          </w:tcPr>
          <w:p w14:paraId="31695D48" w14:textId="25289B7C"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322C634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29,346</w:t>
            </w:r>
          </w:p>
        </w:tc>
        <w:tc>
          <w:tcPr>
            <w:tcW w:w="2790" w:type="dxa"/>
            <w:shd w:val="clear" w:color="auto" w:fill="auto"/>
            <w:noWrap/>
            <w:vAlign w:val="center"/>
          </w:tcPr>
          <w:p w14:paraId="6BE8951E"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44,404</w:t>
            </w:r>
          </w:p>
        </w:tc>
        <w:tc>
          <w:tcPr>
            <w:tcW w:w="2520" w:type="dxa"/>
            <w:shd w:val="clear" w:color="auto" w:fill="auto"/>
            <w:noWrap/>
            <w:vAlign w:val="center"/>
          </w:tcPr>
          <w:p w14:paraId="54AD9E4D"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19,297</w:t>
            </w:r>
          </w:p>
        </w:tc>
      </w:tr>
      <w:tr w:rsidR="00F303E0" w:rsidRPr="00EE5714" w14:paraId="26D309FD" w14:textId="77777777" w:rsidTr="00824DBE">
        <w:trPr>
          <w:trHeight w:hRule="exact" w:val="245"/>
        </w:trPr>
        <w:tc>
          <w:tcPr>
            <w:tcW w:w="2070" w:type="dxa"/>
            <w:tcBorders>
              <w:bottom w:val="single" w:sz="8" w:space="0" w:color="000000" w:themeColor="text1"/>
            </w:tcBorders>
            <w:shd w:val="clear" w:color="auto" w:fill="auto"/>
            <w:noWrap/>
            <w:vAlign w:val="center"/>
          </w:tcPr>
          <w:p w14:paraId="202965C9"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6F329121"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27,943</w:t>
            </w:r>
          </w:p>
        </w:tc>
        <w:tc>
          <w:tcPr>
            <w:tcW w:w="2790" w:type="dxa"/>
            <w:tcBorders>
              <w:bottom w:val="single" w:sz="8" w:space="0" w:color="000000" w:themeColor="text1"/>
            </w:tcBorders>
            <w:shd w:val="clear" w:color="auto" w:fill="auto"/>
            <w:noWrap/>
            <w:vAlign w:val="center"/>
          </w:tcPr>
          <w:p w14:paraId="01F6994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41,557</w:t>
            </w:r>
          </w:p>
        </w:tc>
        <w:tc>
          <w:tcPr>
            <w:tcW w:w="2520" w:type="dxa"/>
            <w:tcBorders>
              <w:bottom w:val="single" w:sz="8" w:space="0" w:color="000000" w:themeColor="text1"/>
            </w:tcBorders>
            <w:shd w:val="clear" w:color="auto" w:fill="auto"/>
            <w:noWrap/>
            <w:vAlign w:val="center"/>
          </w:tcPr>
          <w:p w14:paraId="6C62D6B0"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17,795</w:t>
            </w:r>
          </w:p>
        </w:tc>
      </w:tr>
      <w:tr w:rsidR="00F303E0" w:rsidRPr="00EE5714" w14:paraId="5F783327" w14:textId="77777777" w:rsidTr="00824DBE">
        <w:trPr>
          <w:trHeight w:hRule="exact" w:val="245"/>
        </w:trPr>
        <w:tc>
          <w:tcPr>
            <w:tcW w:w="2070" w:type="dxa"/>
            <w:shd w:val="clear" w:color="auto" w:fill="F2F2F2" w:themeFill="background1" w:themeFillShade="F2"/>
            <w:noWrap/>
            <w:vAlign w:val="center"/>
          </w:tcPr>
          <w:p w14:paraId="0932F69F"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PNG</w:t>
            </w:r>
          </w:p>
        </w:tc>
        <w:tc>
          <w:tcPr>
            <w:tcW w:w="2610" w:type="dxa"/>
            <w:shd w:val="clear" w:color="auto" w:fill="F2F2F2" w:themeFill="background1" w:themeFillShade="F2"/>
            <w:noWrap/>
            <w:vAlign w:val="center"/>
          </w:tcPr>
          <w:p w14:paraId="032BDEB9" w14:textId="77777777" w:rsidR="00F303E0" w:rsidRPr="00EE5714" w:rsidRDefault="00F303E0" w:rsidP="00851815">
            <w:pPr>
              <w:keepNext/>
              <w:jc w:val="center"/>
              <w:rPr>
                <w:rFonts w:ascii="Calibri" w:eastAsia="Times New Roman" w:hAnsi="Calibri" w:cs="Calibri"/>
                <w:sz w:val="21"/>
                <w:szCs w:val="21"/>
              </w:rPr>
            </w:pPr>
          </w:p>
        </w:tc>
        <w:tc>
          <w:tcPr>
            <w:tcW w:w="2790" w:type="dxa"/>
            <w:shd w:val="clear" w:color="auto" w:fill="F2F2F2" w:themeFill="background1" w:themeFillShade="F2"/>
            <w:noWrap/>
            <w:vAlign w:val="center"/>
          </w:tcPr>
          <w:p w14:paraId="450C1215" w14:textId="77777777" w:rsidR="00F303E0" w:rsidRPr="00EE5714" w:rsidRDefault="00F303E0" w:rsidP="00851815">
            <w:pPr>
              <w:keepNext/>
              <w:jc w:val="center"/>
              <w:rPr>
                <w:rFonts w:ascii="Calibri" w:eastAsia="Times New Roman" w:hAnsi="Calibri" w:cs="Calibri"/>
                <w:sz w:val="21"/>
                <w:szCs w:val="21"/>
              </w:rPr>
            </w:pPr>
          </w:p>
        </w:tc>
        <w:tc>
          <w:tcPr>
            <w:tcW w:w="2520" w:type="dxa"/>
            <w:shd w:val="clear" w:color="auto" w:fill="F2F2F2" w:themeFill="background1" w:themeFillShade="F2"/>
            <w:noWrap/>
            <w:vAlign w:val="center"/>
          </w:tcPr>
          <w:p w14:paraId="7B1E9648"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16596B9A" w14:textId="77777777" w:rsidTr="00824DBE">
        <w:trPr>
          <w:trHeight w:hRule="exact" w:val="245"/>
        </w:trPr>
        <w:tc>
          <w:tcPr>
            <w:tcW w:w="2070" w:type="dxa"/>
            <w:shd w:val="clear" w:color="auto" w:fill="auto"/>
            <w:noWrap/>
            <w:vAlign w:val="center"/>
          </w:tcPr>
          <w:p w14:paraId="214F47B2" w14:textId="21E1B13A"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2610" w:type="dxa"/>
            <w:shd w:val="clear" w:color="auto" w:fill="auto"/>
            <w:noWrap/>
            <w:vAlign w:val="center"/>
          </w:tcPr>
          <w:p w14:paraId="797E3A0C"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18,096</w:t>
            </w:r>
          </w:p>
        </w:tc>
        <w:tc>
          <w:tcPr>
            <w:tcW w:w="2790" w:type="dxa"/>
            <w:shd w:val="clear" w:color="auto" w:fill="auto"/>
            <w:noWrap/>
            <w:vAlign w:val="center"/>
          </w:tcPr>
          <w:p w14:paraId="7A85DC03"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35,532</w:t>
            </w:r>
          </w:p>
        </w:tc>
        <w:tc>
          <w:tcPr>
            <w:tcW w:w="2520" w:type="dxa"/>
            <w:shd w:val="clear" w:color="auto" w:fill="auto"/>
            <w:noWrap/>
            <w:vAlign w:val="center"/>
          </w:tcPr>
          <w:p w14:paraId="7C565074"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18,904</w:t>
            </w:r>
          </w:p>
        </w:tc>
      </w:tr>
      <w:tr w:rsidR="00F303E0" w:rsidRPr="00EE5714" w14:paraId="60A0C243" w14:textId="77777777" w:rsidTr="00824DBE">
        <w:trPr>
          <w:trHeight w:hRule="exact" w:val="245"/>
        </w:trPr>
        <w:tc>
          <w:tcPr>
            <w:tcW w:w="2070" w:type="dxa"/>
            <w:tcBorders>
              <w:bottom w:val="single" w:sz="8" w:space="0" w:color="000000" w:themeColor="text1"/>
            </w:tcBorders>
            <w:shd w:val="clear" w:color="auto" w:fill="auto"/>
            <w:noWrap/>
            <w:vAlign w:val="center"/>
          </w:tcPr>
          <w:p w14:paraId="7F81B75A"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2610" w:type="dxa"/>
            <w:tcBorders>
              <w:bottom w:val="single" w:sz="8" w:space="0" w:color="000000" w:themeColor="text1"/>
            </w:tcBorders>
            <w:shd w:val="clear" w:color="auto" w:fill="auto"/>
            <w:noWrap/>
            <w:vAlign w:val="center"/>
          </w:tcPr>
          <w:p w14:paraId="2E63F1AE"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17,261</w:t>
            </w:r>
          </w:p>
        </w:tc>
        <w:tc>
          <w:tcPr>
            <w:tcW w:w="2790" w:type="dxa"/>
            <w:tcBorders>
              <w:bottom w:val="single" w:sz="8" w:space="0" w:color="000000" w:themeColor="text1"/>
            </w:tcBorders>
            <w:shd w:val="clear" w:color="auto" w:fill="auto"/>
            <w:noWrap/>
            <w:vAlign w:val="center"/>
          </w:tcPr>
          <w:p w14:paraId="4B3B6EF6"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32,990</w:t>
            </w:r>
          </w:p>
        </w:tc>
        <w:tc>
          <w:tcPr>
            <w:tcW w:w="2520" w:type="dxa"/>
            <w:tcBorders>
              <w:bottom w:val="single" w:sz="8" w:space="0" w:color="000000" w:themeColor="text1"/>
            </w:tcBorders>
            <w:shd w:val="clear" w:color="auto" w:fill="auto"/>
            <w:noWrap/>
            <w:vAlign w:val="center"/>
          </w:tcPr>
          <w:p w14:paraId="421CA989" w14:textId="77777777" w:rsidR="00F303E0" w:rsidRPr="00EE5714" w:rsidRDefault="00F303E0" w:rsidP="00851815">
            <w:pPr>
              <w:keepNext/>
              <w:jc w:val="center"/>
              <w:rPr>
                <w:rFonts w:ascii="Calibri" w:hAnsi="Calibri" w:cs="Calibri"/>
                <w:sz w:val="21"/>
                <w:szCs w:val="21"/>
              </w:rPr>
            </w:pPr>
            <w:r w:rsidRPr="00EE5714">
              <w:rPr>
                <w:rFonts w:ascii="Calibri" w:hAnsi="Calibri" w:cs="Calibri"/>
                <w:sz w:val="21"/>
                <w:szCs w:val="21"/>
              </w:rPr>
              <w:t>17,156</w:t>
            </w:r>
          </w:p>
        </w:tc>
      </w:tr>
    </w:tbl>
    <w:p w14:paraId="124967D9" w14:textId="77777777" w:rsidR="00F303E0" w:rsidRPr="00EE5714" w:rsidRDefault="00F303E0" w:rsidP="00F303E0">
      <w:pPr>
        <w:pStyle w:val="NoSpacing"/>
        <w:rPr>
          <w:rFonts w:cs="Times New Roman"/>
          <w:sz w:val="24"/>
          <w:szCs w:val="24"/>
        </w:rPr>
      </w:pPr>
      <w:r w:rsidRPr="00EE5714">
        <w:rPr>
          <w:rFonts w:cs="Times New Roman"/>
          <w:sz w:val="24"/>
          <w:szCs w:val="24"/>
        </w:rPr>
        <w:t>*NFG only provided aggregate data for the 0-150% FPIG level.</w:t>
      </w:r>
    </w:p>
    <w:p w14:paraId="2521ABB4" w14:textId="77777777" w:rsidR="00F303E0" w:rsidRPr="00EE5714" w:rsidRDefault="00F303E0" w:rsidP="00F303E0">
      <w:pPr>
        <w:pStyle w:val="NoSpacing"/>
        <w:tabs>
          <w:tab w:val="left" w:pos="6660"/>
        </w:tabs>
        <w:rPr>
          <w:rFonts w:cs="Times New Roman"/>
          <w:sz w:val="24"/>
          <w:szCs w:val="24"/>
        </w:rPr>
      </w:pPr>
    </w:p>
    <w:p w14:paraId="17C4D0E4" w14:textId="77777777" w:rsidR="00F303E0" w:rsidRPr="00EE5714" w:rsidRDefault="00F303E0" w:rsidP="00F303E0">
      <w:pPr>
        <w:pStyle w:val="NoSpacing"/>
        <w:rPr>
          <w:rFonts w:cs="Times New Roman"/>
          <w:sz w:val="24"/>
          <w:szCs w:val="24"/>
        </w:rPr>
      </w:pPr>
    </w:p>
    <w:p w14:paraId="748E6CA7" w14:textId="77777777" w:rsidR="00F303E0" w:rsidRPr="00EE5714" w:rsidRDefault="00F303E0" w:rsidP="00F303E0">
      <w:pPr>
        <w:pStyle w:val="NoSpacing"/>
        <w:keepNext/>
        <w:suppressLineNumbers/>
        <w:suppressAutoHyphens/>
        <w:rPr>
          <w:rFonts w:cs="Times New Roman"/>
          <w:i/>
          <w:szCs w:val="26"/>
        </w:rPr>
      </w:pPr>
      <w:r w:rsidRPr="00EE5714">
        <w:rPr>
          <w:rFonts w:cs="Times New Roman"/>
          <w:i/>
          <w:szCs w:val="26"/>
        </w:rPr>
        <w:lastRenderedPageBreak/>
        <w:t xml:space="preserve">Appendix </w:t>
      </w:r>
      <w:r w:rsidR="003E499A" w:rsidRPr="00EE5714">
        <w:rPr>
          <w:rFonts w:cs="Times New Roman"/>
          <w:i/>
          <w:szCs w:val="26"/>
        </w:rPr>
        <w:t>5</w:t>
      </w:r>
      <w:r w:rsidRPr="00EE5714">
        <w:rPr>
          <w:rFonts w:cs="Times New Roman"/>
          <w:i/>
          <w:szCs w:val="26"/>
        </w:rPr>
        <w:t xml:space="preserve">.C: Table 6-3 EDC Percentage of CAP Bills Paid </w:t>
      </w:r>
    </w:p>
    <w:p w14:paraId="16EB3ADB" w14:textId="77777777" w:rsidR="00F303E0" w:rsidRPr="00EE5714" w:rsidRDefault="00F303E0" w:rsidP="00F303E0">
      <w:pPr>
        <w:pStyle w:val="NoSpacing"/>
        <w:keepNext/>
        <w:suppressLineNumbers/>
        <w:suppressAutoHyphens/>
        <w:rPr>
          <w:rFonts w:eastAsia="Times New Roman" w:cs="Times New Roman"/>
          <w:szCs w:val="26"/>
        </w:rPr>
      </w:pPr>
    </w:p>
    <w:p w14:paraId="593DA485" w14:textId="77777777" w:rsidR="00F303E0" w:rsidRPr="00EE5714" w:rsidRDefault="00F303E0" w:rsidP="00F303E0">
      <w:pPr>
        <w:pStyle w:val="NoSpacing"/>
        <w:keepNext/>
        <w:suppressLineNumbers/>
        <w:suppressAutoHyphens/>
        <w:rPr>
          <w:rFonts w:eastAsia="Times New Roman" w:cs="Times New Roman"/>
          <w:szCs w:val="26"/>
        </w:rPr>
      </w:pPr>
      <w:r w:rsidRPr="00EE5714">
        <w:rPr>
          <w:rFonts w:eastAsia="Times New Roman" w:cs="Times New Roman"/>
          <w:szCs w:val="26"/>
        </w:rPr>
        <w:t xml:space="preserve">The percentage of EDC heating and non-heating accounts CAP bills paid in full for all FPIG levels for the period from 2012 through 2016.  </w:t>
      </w:r>
    </w:p>
    <w:p w14:paraId="2CDD6EAA" w14:textId="77777777" w:rsidR="00F303E0" w:rsidRPr="00EE5714" w:rsidRDefault="00F303E0" w:rsidP="00F303E0">
      <w:pPr>
        <w:pStyle w:val="NoSpacing"/>
        <w:keepNext/>
        <w:suppressLineNumbers/>
        <w:suppressAutoHyphens/>
        <w:rPr>
          <w:rFonts w:cs="Times New Roman"/>
          <w:szCs w:val="26"/>
        </w:rPr>
      </w:pPr>
    </w:p>
    <w:p w14:paraId="45EB3C42" w14:textId="77777777" w:rsidR="00F303E0" w:rsidRPr="00EE5714" w:rsidRDefault="00F303E0" w:rsidP="00CE67A6">
      <w:pPr>
        <w:keepNext/>
        <w:suppressLineNumbers/>
        <w:tabs>
          <w:tab w:val="left" w:pos="720"/>
        </w:tabs>
        <w:suppressAutoHyphens/>
        <w:spacing w:after="0" w:line="240" w:lineRule="auto"/>
        <w:rPr>
          <w:rFonts w:ascii="Times New Roman" w:hAnsi="Times New Roman" w:cs="Times New Roman"/>
          <w:sz w:val="26"/>
          <w:szCs w:val="26"/>
        </w:rPr>
      </w:pPr>
      <w:r w:rsidRPr="00EE5714">
        <w:rPr>
          <w:rFonts w:ascii="Times New Roman" w:hAnsi="Times New Roman" w:cs="Times New Roman"/>
          <w:sz w:val="26"/>
          <w:szCs w:val="26"/>
        </w:rPr>
        <w:t xml:space="preserve">Appendix </w:t>
      </w:r>
      <w:r w:rsidR="003E499A" w:rsidRPr="00EE5714">
        <w:rPr>
          <w:rFonts w:ascii="Times New Roman" w:hAnsi="Times New Roman" w:cs="Times New Roman"/>
          <w:sz w:val="26"/>
          <w:szCs w:val="26"/>
        </w:rPr>
        <w:t>5</w:t>
      </w:r>
      <w:r w:rsidRPr="00EE5714">
        <w:rPr>
          <w:rFonts w:ascii="Times New Roman" w:hAnsi="Times New Roman" w:cs="Times New Roman"/>
          <w:sz w:val="26"/>
          <w:szCs w:val="26"/>
        </w:rPr>
        <w:t xml:space="preserve">.C.1: </w:t>
      </w:r>
      <w:r w:rsidRPr="00EE5714">
        <w:rPr>
          <w:rFonts w:ascii="Times New Roman" w:eastAsia="Times New Roman" w:hAnsi="Times New Roman" w:cs="Times New Roman"/>
          <w:b/>
          <w:bCs/>
          <w:color w:val="000000"/>
          <w:sz w:val="26"/>
          <w:szCs w:val="26"/>
        </w:rPr>
        <w:t>EDC CAP Electric Accounts – Percent of Bills Paid in-Full</w:t>
      </w:r>
    </w:p>
    <w:tbl>
      <w:tblPr>
        <w:tblW w:w="999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70"/>
        <w:gridCol w:w="1620"/>
        <w:gridCol w:w="1530"/>
        <w:gridCol w:w="1620"/>
        <w:gridCol w:w="1530"/>
        <w:gridCol w:w="1620"/>
      </w:tblGrid>
      <w:tr w:rsidR="00F303E0" w:rsidRPr="00EE5714" w14:paraId="1BD513CD" w14:textId="77777777" w:rsidTr="00CE67A6">
        <w:trPr>
          <w:trHeight w:val="432"/>
        </w:trPr>
        <w:tc>
          <w:tcPr>
            <w:tcW w:w="2070" w:type="dxa"/>
            <w:vMerge w:val="restart"/>
            <w:shd w:val="clear" w:color="auto" w:fill="auto"/>
            <w:noWrap/>
            <w:vAlign w:val="center"/>
            <w:hideMark/>
          </w:tcPr>
          <w:p w14:paraId="6C739B46" w14:textId="77777777" w:rsidR="00F303E0" w:rsidRPr="00EE5714" w:rsidRDefault="00F303E0" w:rsidP="00851815">
            <w:pPr>
              <w:keepNext/>
              <w:suppressLineNumbers/>
              <w:suppressAutoHyphens/>
              <w:jc w:val="center"/>
              <w:rPr>
                <w:rFonts w:ascii="Calibri" w:eastAsia="Times New Roman" w:hAnsi="Calibri" w:cs="Calibri"/>
                <w:b/>
                <w:bCs/>
                <w:color w:val="000000"/>
              </w:rPr>
            </w:pPr>
            <w:bookmarkStart w:id="68" w:name="_Hlk525822764"/>
          </w:p>
        </w:tc>
        <w:tc>
          <w:tcPr>
            <w:tcW w:w="7920" w:type="dxa"/>
            <w:gridSpan w:val="5"/>
            <w:shd w:val="clear" w:color="auto" w:fill="D9D9D9" w:themeFill="background1" w:themeFillShade="D9"/>
            <w:vAlign w:val="bottom"/>
          </w:tcPr>
          <w:p w14:paraId="2A18AA77" w14:textId="77777777" w:rsidR="00F303E0" w:rsidRPr="00EE5714" w:rsidRDefault="00F303E0" w:rsidP="00851815">
            <w:pPr>
              <w:keepNext/>
              <w:suppressLineNumbers/>
              <w:suppressAutoHyphens/>
              <w:jc w:val="center"/>
              <w:rPr>
                <w:rFonts w:ascii="Calibri" w:eastAsia="Times New Roman" w:hAnsi="Calibri" w:cs="Calibri"/>
                <w:b/>
                <w:bCs/>
                <w:color w:val="000000"/>
              </w:rPr>
            </w:pPr>
            <w:r w:rsidRPr="00EE5714">
              <w:rPr>
                <w:rFonts w:ascii="Calibri" w:eastAsia="Times New Roman" w:hAnsi="Calibri" w:cs="Calibri"/>
                <w:b/>
                <w:bCs/>
                <w:color w:val="000000"/>
              </w:rPr>
              <w:t xml:space="preserve">EDC CAP Electric Heating and Non-Heating Accounts </w:t>
            </w:r>
          </w:p>
          <w:p w14:paraId="0F506F93" w14:textId="77777777" w:rsidR="00F303E0" w:rsidRPr="00EE5714" w:rsidRDefault="00F303E0" w:rsidP="00851815">
            <w:pPr>
              <w:keepNext/>
              <w:suppressLineNumbers/>
              <w:suppressAutoHyphens/>
              <w:jc w:val="center"/>
              <w:rPr>
                <w:rFonts w:ascii="Calibri" w:eastAsia="Times New Roman" w:hAnsi="Calibri" w:cs="Calibri"/>
                <w:b/>
                <w:bCs/>
                <w:color w:val="000000"/>
                <w:sz w:val="20"/>
                <w:szCs w:val="20"/>
              </w:rPr>
            </w:pPr>
            <w:r w:rsidRPr="00EE5714">
              <w:rPr>
                <w:rFonts w:ascii="Calibri" w:eastAsia="Times New Roman" w:hAnsi="Calibri" w:cs="Calibri"/>
                <w:b/>
                <w:bCs/>
                <w:color w:val="000000"/>
              </w:rPr>
              <w:t>Percent of Bills Paid in-Full</w:t>
            </w:r>
            <w:r w:rsidRPr="00EE5714">
              <w:rPr>
                <w:rFonts w:ascii="Calibri" w:eastAsia="Times New Roman" w:hAnsi="Calibri" w:cs="Calibri"/>
                <w:b/>
                <w:bCs/>
                <w:color w:val="000000"/>
                <w:sz w:val="20"/>
                <w:szCs w:val="20"/>
              </w:rPr>
              <w:t xml:space="preserve">  </w:t>
            </w:r>
          </w:p>
        </w:tc>
      </w:tr>
      <w:tr w:rsidR="00201ED4" w:rsidRPr="00EE5714" w14:paraId="05091CCB" w14:textId="77777777" w:rsidTr="00CE67A6">
        <w:trPr>
          <w:trHeight w:val="72"/>
        </w:trPr>
        <w:tc>
          <w:tcPr>
            <w:tcW w:w="2070" w:type="dxa"/>
            <w:vMerge/>
            <w:shd w:val="clear" w:color="auto" w:fill="auto"/>
            <w:vAlign w:val="bottom"/>
            <w:hideMark/>
          </w:tcPr>
          <w:p w14:paraId="58655831" w14:textId="77777777" w:rsidR="00F303E0" w:rsidRPr="00EE5714" w:rsidRDefault="00F303E0" w:rsidP="00851815">
            <w:pPr>
              <w:keepNext/>
              <w:suppressLineNumbers/>
              <w:suppressAutoHyphens/>
              <w:jc w:val="center"/>
              <w:rPr>
                <w:rFonts w:ascii="Calibri" w:eastAsia="Times New Roman" w:hAnsi="Calibri" w:cs="Calibri"/>
                <w:b/>
                <w:bCs/>
                <w:color w:val="000000"/>
              </w:rPr>
            </w:pPr>
          </w:p>
        </w:tc>
        <w:tc>
          <w:tcPr>
            <w:tcW w:w="1620" w:type="dxa"/>
            <w:shd w:val="clear" w:color="auto" w:fill="auto"/>
            <w:noWrap/>
            <w:vAlign w:val="bottom"/>
            <w:hideMark/>
          </w:tcPr>
          <w:p w14:paraId="42F53CE6" w14:textId="77777777" w:rsidR="00F303E0" w:rsidRPr="00EE5714" w:rsidRDefault="00F303E0" w:rsidP="00851815">
            <w:pPr>
              <w:keepNext/>
              <w:suppressLineNumbers/>
              <w:suppressAutoHyphen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2012</w:t>
            </w:r>
          </w:p>
        </w:tc>
        <w:tc>
          <w:tcPr>
            <w:tcW w:w="1530" w:type="dxa"/>
            <w:shd w:val="clear" w:color="auto" w:fill="auto"/>
            <w:noWrap/>
            <w:vAlign w:val="bottom"/>
            <w:hideMark/>
          </w:tcPr>
          <w:p w14:paraId="552E0903" w14:textId="77777777" w:rsidR="00F303E0" w:rsidRPr="00EE5714" w:rsidRDefault="00F303E0" w:rsidP="00851815">
            <w:pPr>
              <w:keepNext/>
              <w:suppressLineNumbers/>
              <w:suppressAutoHyphen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2013</w:t>
            </w:r>
          </w:p>
        </w:tc>
        <w:tc>
          <w:tcPr>
            <w:tcW w:w="1620" w:type="dxa"/>
            <w:shd w:val="clear" w:color="auto" w:fill="auto"/>
            <w:noWrap/>
            <w:vAlign w:val="bottom"/>
            <w:hideMark/>
          </w:tcPr>
          <w:p w14:paraId="621CA08A" w14:textId="77777777" w:rsidR="00F303E0" w:rsidRPr="00EE5714" w:rsidRDefault="00F303E0" w:rsidP="00851815">
            <w:pPr>
              <w:keepNext/>
              <w:suppressLineNumbers/>
              <w:suppressAutoHyphen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2014</w:t>
            </w:r>
          </w:p>
        </w:tc>
        <w:tc>
          <w:tcPr>
            <w:tcW w:w="1530" w:type="dxa"/>
            <w:shd w:val="clear" w:color="auto" w:fill="auto"/>
            <w:vAlign w:val="bottom"/>
          </w:tcPr>
          <w:p w14:paraId="7F47AFE9" w14:textId="77777777" w:rsidR="00F303E0" w:rsidRPr="00EE5714" w:rsidRDefault="00F303E0" w:rsidP="00851815">
            <w:pPr>
              <w:keepNext/>
              <w:suppressLineNumbers/>
              <w:suppressAutoHyphen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2015</w:t>
            </w:r>
          </w:p>
        </w:tc>
        <w:tc>
          <w:tcPr>
            <w:tcW w:w="1620" w:type="dxa"/>
            <w:shd w:val="clear" w:color="auto" w:fill="auto"/>
            <w:vAlign w:val="bottom"/>
          </w:tcPr>
          <w:p w14:paraId="7C347F6B" w14:textId="77777777" w:rsidR="00F303E0" w:rsidRPr="00EE5714" w:rsidRDefault="00F303E0" w:rsidP="00851815">
            <w:pPr>
              <w:keepNext/>
              <w:suppressLineNumbers/>
              <w:suppressAutoHyphens/>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2016</w:t>
            </w:r>
          </w:p>
        </w:tc>
      </w:tr>
      <w:bookmarkEnd w:id="68"/>
      <w:tr w:rsidR="00201ED4" w:rsidRPr="00EE5714" w14:paraId="5AADEC02" w14:textId="77777777" w:rsidTr="00CE67A6">
        <w:trPr>
          <w:trHeight w:hRule="exact" w:val="245"/>
        </w:trPr>
        <w:tc>
          <w:tcPr>
            <w:tcW w:w="2070" w:type="dxa"/>
            <w:shd w:val="clear" w:color="000000" w:fill="F2F2F2"/>
            <w:noWrap/>
            <w:vAlign w:val="center"/>
            <w:hideMark/>
          </w:tcPr>
          <w:p w14:paraId="49A24108" w14:textId="77777777" w:rsidR="00F303E0" w:rsidRPr="00EE5714" w:rsidRDefault="00F303E0" w:rsidP="00851815">
            <w:pPr>
              <w:keepNext/>
              <w:suppressLineNumbers/>
              <w:suppressAutoHyphen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620" w:type="dxa"/>
            <w:shd w:val="clear" w:color="000000" w:fill="F2F2F2"/>
            <w:noWrap/>
            <w:vAlign w:val="center"/>
            <w:hideMark/>
          </w:tcPr>
          <w:p w14:paraId="70A5ACF7" w14:textId="77777777" w:rsidR="00F303E0" w:rsidRPr="00EE5714" w:rsidRDefault="00F303E0" w:rsidP="00851815">
            <w:pPr>
              <w:keepNext/>
              <w:suppressLineNumbers/>
              <w:suppressAutoHyphens/>
              <w:jc w:val="center"/>
              <w:rPr>
                <w:rFonts w:eastAsia="Times New Roman" w:cstheme="minorHAnsi"/>
                <w:color w:val="000000"/>
                <w:sz w:val="21"/>
                <w:szCs w:val="21"/>
              </w:rPr>
            </w:pPr>
          </w:p>
        </w:tc>
        <w:tc>
          <w:tcPr>
            <w:tcW w:w="1530" w:type="dxa"/>
            <w:shd w:val="clear" w:color="000000" w:fill="F2F2F2"/>
            <w:noWrap/>
            <w:vAlign w:val="center"/>
            <w:hideMark/>
          </w:tcPr>
          <w:p w14:paraId="1EE97080" w14:textId="77777777" w:rsidR="00F303E0" w:rsidRPr="00EE5714" w:rsidRDefault="00F303E0" w:rsidP="00851815">
            <w:pPr>
              <w:keepNext/>
              <w:suppressLineNumbers/>
              <w:suppressAutoHyphens/>
              <w:jc w:val="center"/>
              <w:rPr>
                <w:rFonts w:eastAsia="Times New Roman" w:cstheme="minorHAnsi"/>
                <w:color w:val="000000"/>
                <w:sz w:val="21"/>
                <w:szCs w:val="21"/>
              </w:rPr>
            </w:pPr>
          </w:p>
        </w:tc>
        <w:tc>
          <w:tcPr>
            <w:tcW w:w="1620" w:type="dxa"/>
            <w:shd w:val="clear" w:color="000000" w:fill="F2F2F2"/>
            <w:noWrap/>
            <w:vAlign w:val="center"/>
            <w:hideMark/>
          </w:tcPr>
          <w:p w14:paraId="7C8DA035" w14:textId="77777777" w:rsidR="00F303E0" w:rsidRPr="00EE5714" w:rsidRDefault="00F303E0" w:rsidP="00851815">
            <w:pPr>
              <w:keepNext/>
              <w:suppressLineNumbers/>
              <w:suppressAutoHyphens/>
              <w:jc w:val="center"/>
              <w:rPr>
                <w:rFonts w:eastAsia="Times New Roman" w:cstheme="minorHAnsi"/>
                <w:color w:val="000000"/>
                <w:sz w:val="21"/>
                <w:szCs w:val="21"/>
              </w:rPr>
            </w:pPr>
          </w:p>
        </w:tc>
        <w:tc>
          <w:tcPr>
            <w:tcW w:w="1530" w:type="dxa"/>
            <w:shd w:val="clear" w:color="000000" w:fill="F2F2F2"/>
            <w:vAlign w:val="center"/>
          </w:tcPr>
          <w:p w14:paraId="60481CEB" w14:textId="77777777" w:rsidR="00F303E0" w:rsidRPr="00EE5714" w:rsidRDefault="00F303E0" w:rsidP="00851815">
            <w:pPr>
              <w:keepNext/>
              <w:suppressLineNumbers/>
              <w:suppressAutoHyphens/>
              <w:jc w:val="center"/>
              <w:rPr>
                <w:rFonts w:eastAsia="Times New Roman" w:cstheme="minorHAnsi"/>
                <w:color w:val="000000"/>
                <w:sz w:val="21"/>
                <w:szCs w:val="21"/>
              </w:rPr>
            </w:pPr>
          </w:p>
        </w:tc>
        <w:tc>
          <w:tcPr>
            <w:tcW w:w="1620" w:type="dxa"/>
            <w:shd w:val="clear" w:color="000000" w:fill="F2F2F2"/>
            <w:vAlign w:val="center"/>
          </w:tcPr>
          <w:p w14:paraId="498A5363" w14:textId="77777777" w:rsidR="00F303E0" w:rsidRPr="00EE5714" w:rsidRDefault="00F303E0" w:rsidP="00851815">
            <w:pPr>
              <w:keepNext/>
              <w:suppressLineNumbers/>
              <w:suppressAutoHyphens/>
              <w:jc w:val="center"/>
              <w:rPr>
                <w:rFonts w:eastAsia="Times New Roman" w:cstheme="minorHAnsi"/>
                <w:color w:val="000000"/>
                <w:sz w:val="21"/>
                <w:szCs w:val="21"/>
              </w:rPr>
            </w:pPr>
          </w:p>
        </w:tc>
      </w:tr>
      <w:tr w:rsidR="00201ED4" w:rsidRPr="00EE5714" w14:paraId="4ED3676A" w14:textId="77777777" w:rsidTr="00CE67A6">
        <w:trPr>
          <w:trHeight w:hRule="exact" w:val="245"/>
        </w:trPr>
        <w:tc>
          <w:tcPr>
            <w:tcW w:w="2070" w:type="dxa"/>
            <w:shd w:val="clear" w:color="auto" w:fill="auto"/>
            <w:noWrap/>
            <w:vAlign w:val="center"/>
          </w:tcPr>
          <w:p w14:paraId="5D43E9E8"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Heat </w:t>
            </w:r>
          </w:p>
        </w:tc>
        <w:tc>
          <w:tcPr>
            <w:tcW w:w="1620" w:type="dxa"/>
            <w:shd w:val="clear" w:color="auto" w:fill="auto"/>
            <w:noWrap/>
            <w:vAlign w:val="center"/>
          </w:tcPr>
          <w:p w14:paraId="117159AD" w14:textId="77777777" w:rsidR="00F303E0" w:rsidRPr="00EE5714" w:rsidRDefault="00F303E0" w:rsidP="00851815">
            <w:pPr>
              <w:keepNext/>
              <w:suppressLineNumbers/>
              <w:suppressAutoHyphens/>
              <w:jc w:val="center"/>
              <w:rPr>
                <w:rFonts w:eastAsia="Times New Roman" w:cstheme="minorHAnsi"/>
                <w:sz w:val="21"/>
                <w:szCs w:val="21"/>
              </w:rPr>
            </w:pPr>
            <w:r w:rsidRPr="00EE5714">
              <w:rPr>
                <w:rFonts w:cstheme="minorHAnsi"/>
                <w:sz w:val="21"/>
                <w:szCs w:val="21"/>
              </w:rPr>
              <w:t>82.65%</w:t>
            </w:r>
          </w:p>
        </w:tc>
        <w:tc>
          <w:tcPr>
            <w:tcW w:w="1530" w:type="dxa"/>
            <w:shd w:val="clear" w:color="auto" w:fill="auto"/>
            <w:noWrap/>
            <w:vAlign w:val="center"/>
          </w:tcPr>
          <w:p w14:paraId="448A0702" w14:textId="77777777" w:rsidR="00F303E0" w:rsidRPr="00EE5714" w:rsidRDefault="00F303E0" w:rsidP="00851815">
            <w:pPr>
              <w:keepNext/>
              <w:suppressLineNumbers/>
              <w:suppressAutoHyphens/>
              <w:jc w:val="center"/>
              <w:rPr>
                <w:rFonts w:eastAsia="Times New Roman" w:cstheme="minorHAnsi"/>
                <w:sz w:val="21"/>
                <w:szCs w:val="21"/>
              </w:rPr>
            </w:pPr>
            <w:r w:rsidRPr="00EE5714">
              <w:rPr>
                <w:rFonts w:cstheme="minorHAnsi"/>
                <w:sz w:val="21"/>
                <w:szCs w:val="21"/>
              </w:rPr>
              <w:t>83.52%</w:t>
            </w:r>
          </w:p>
        </w:tc>
        <w:tc>
          <w:tcPr>
            <w:tcW w:w="1620" w:type="dxa"/>
            <w:shd w:val="clear" w:color="auto" w:fill="auto"/>
            <w:noWrap/>
            <w:vAlign w:val="center"/>
          </w:tcPr>
          <w:p w14:paraId="7E3BA44D" w14:textId="77777777" w:rsidR="00F303E0" w:rsidRPr="00EE5714" w:rsidRDefault="00F303E0" w:rsidP="00851815">
            <w:pPr>
              <w:keepNext/>
              <w:suppressLineNumbers/>
              <w:suppressAutoHyphens/>
              <w:jc w:val="center"/>
              <w:rPr>
                <w:rFonts w:eastAsia="Times New Roman" w:cstheme="minorHAnsi"/>
                <w:sz w:val="21"/>
                <w:szCs w:val="21"/>
              </w:rPr>
            </w:pPr>
            <w:r w:rsidRPr="00EE5714">
              <w:rPr>
                <w:rFonts w:cstheme="minorHAnsi"/>
                <w:sz w:val="21"/>
                <w:szCs w:val="21"/>
              </w:rPr>
              <w:t>78.65%</w:t>
            </w:r>
          </w:p>
        </w:tc>
        <w:tc>
          <w:tcPr>
            <w:tcW w:w="1530" w:type="dxa"/>
            <w:vAlign w:val="center"/>
          </w:tcPr>
          <w:p w14:paraId="511B103D" w14:textId="77777777" w:rsidR="00F303E0" w:rsidRPr="00EE5714" w:rsidRDefault="00F303E0" w:rsidP="00851815">
            <w:pPr>
              <w:keepNext/>
              <w:suppressLineNumbers/>
              <w:suppressAutoHyphens/>
              <w:jc w:val="center"/>
              <w:rPr>
                <w:rFonts w:eastAsia="Times New Roman" w:cstheme="minorHAnsi"/>
                <w:sz w:val="21"/>
                <w:szCs w:val="21"/>
              </w:rPr>
            </w:pPr>
            <w:r w:rsidRPr="00EE5714">
              <w:rPr>
                <w:rFonts w:cstheme="minorHAnsi"/>
                <w:sz w:val="21"/>
                <w:szCs w:val="21"/>
              </w:rPr>
              <w:t>49.83%</w:t>
            </w:r>
          </w:p>
        </w:tc>
        <w:tc>
          <w:tcPr>
            <w:tcW w:w="1620" w:type="dxa"/>
            <w:vAlign w:val="center"/>
          </w:tcPr>
          <w:p w14:paraId="164ACE27" w14:textId="77777777" w:rsidR="00F303E0" w:rsidRPr="00EE5714" w:rsidRDefault="00F303E0" w:rsidP="00851815">
            <w:pPr>
              <w:keepNext/>
              <w:suppressLineNumbers/>
              <w:suppressAutoHyphens/>
              <w:jc w:val="center"/>
              <w:rPr>
                <w:rFonts w:eastAsia="Times New Roman" w:cstheme="minorHAnsi"/>
                <w:sz w:val="21"/>
                <w:szCs w:val="21"/>
              </w:rPr>
            </w:pPr>
            <w:r w:rsidRPr="00EE5714">
              <w:rPr>
                <w:rFonts w:cstheme="minorHAnsi"/>
                <w:sz w:val="21"/>
                <w:szCs w:val="21"/>
              </w:rPr>
              <w:t>44.80%</w:t>
            </w:r>
          </w:p>
        </w:tc>
      </w:tr>
      <w:tr w:rsidR="00201ED4" w:rsidRPr="00EE5714" w14:paraId="5FA01E05" w14:textId="77777777" w:rsidTr="00CE67A6">
        <w:trPr>
          <w:trHeight w:hRule="exact" w:val="245"/>
        </w:trPr>
        <w:tc>
          <w:tcPr>
            <w:tcW w:w="2070" w:type="dxa"/>
            <w:shd w:val="clear" w:color="auto" w:fill="auto"/>
            <w:noWrap/>
            <w:vAlign w:val="center"/>
          </w:tcPr>
          <w:p w14:paraId="1F331EA8"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Non-Heat </w:t>
            </w:r>
          </w:p>
        </w:tc>
        <w:tc>
          <w:tcPr>
            <w:tcW w:w="1620" w:type="dxa"/>
            <w:shd w:val="clear" w:color="auto" w:fill="auto"/>
            <w:noWrap/>
            <w:vAlign w:val="center"/>
          </w:tcPr>
          <w:p w14:paraId="072BE202"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79.18%</w:t>
            </w:r>
          </w:p>
        </w:tc>
        <w:tc>
          <w:tcPr>
            <w:tcW w:w="1530" w:type="dxa"/>
            <w:shd w:val="clear" w:color="auto" w:fill="auto"/>
            <w:noWrap/>
            <w:vAlign w:val="center"/>
          </w:tcPr>
          <w:p w14:paraId="398A2B70"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79.92%</w:t>
            </w:r>
          </w:p>
        </w:tc>
        <w:tc>
          <w:tcPr>
            <w:tcW w:w="1620" w:type="dxa"/>
            <w:shd w:val="clear" w:color="auto" w:fill="auto"/>
            <w:noWrap/>
            <w:vAlign w:val="center"/>
          </w:tcPr>
          <w:p w14:paraId="04B130D2"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77.00%</w:t>
            </w:r>
          </w:p>
        </w:tc>
        <w:tc>
          <w:tcPr>
            <w:tcW w:w="1530" w:type="dxa"/>
            <w:vAlign w:val="center"/>
          </w:tcPr>
          <w:p w14:paraId="1CAAA68F"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46.86%</w:t>
            </w:r>
          </w:p>
        </w:tc>
        <w:tc>
          <w:tcPr>
            <w:tcW w:w="1620" w:type="dxa"/>
            <w:vAlign w:val="center"/>
          </w:tcPr>
          <w:p w14:paraId="59C46D40"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39.82%</w:t>
            </w:r>
          </w:p>
        </w:tc>
      </w:tr>
      <w:tr w:rsidR="00201ED4" w:rsidRPr="00EE5714" w14:paraId="4DF7C7D6" w14:textId="77777777" w:rsidTr="00CE67A6">
        <w:trPr>
          <w:trHeight w:hRule="exact" w:val="245"/>
        </w:trPr>
        <w:tc>
          <w:tcPr>
            <w:tcW w:w="2070" w:type="dxa"/>
            <w:shd w:val="clear" w:color="auto" w:fill="auto"/>
            <w:noWrap/>
            <w:vAlign w:val="center"/>
          </w:tcPr>
          <w:p w14:paraId="1CAC83A1"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Aggregate</w:t>
            </w:r>
          </w:p>
        </w:tc>
        <w:tc>
          <w:tcPr>
            <w:tcW w:w="1620" w:type="dxa"/>
            <w:shd w:val="clear" w:color="auto" w:fill="auto"/>
            <w:noWrap/>
            <w:vAlign w:val="center"/>
          </w:tcPr>
          <w:p w14:paraId="21427AD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79.52%</w:t>
            </w:r>
          </w:p>
        </w:tc>
        <w:tc>
          <w:tcPr>
            <w:tcW w:w="1530" w:type="dxa"/>
            <w:shd w:val="clear" w:color="auto" w:fill="auto"/>
            <w:noWrap/>
            <w:vAlign w:val="center"/>
          </w:tcPr>
          <w:p w14:paraId="0E6FBBFD"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80.29%</w:t>
            </w:r>
          </w:p>
        </w:tc>
        <w:tc>
          <w:tcPr>
            <w:tcW w:w="1620" w:type="dxa"/>
            <w:shd w:val="clear" w:color="auto" w:fill="auto"/>
            <w:noWrap/>
            <w:vAlign w:val="center"/>
          </w:tcPr>
          <w:p w14:paraId="6F8B94A0"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77.18%</w:t>
            </w:r>
          </w:p>
        </w:tc>
        <w:tc>
          <w:tcPr>
            <w:tcW w:w="1530" w:type="dxa"/>
            <w:vAlign w:val="center"/>
          </w:tcPr>
          <w:p w14:paraId="58D1B569"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47.20%</w:t>
            </w:r>
          </w:p>
        </w:tc>
        <w:tc>
          <w:tcPr>
            <w:tcW w:w="1620" w:type="dxa"/>
            <w:vAlign w:val="center"/>
          </w:tcPr>
          <w:p w14:paraId="00295D95"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40.38%</w:t>
            </w:r>
          </w:p>
        </w:tc>
      </w:tr>
      <w:tr w:rsidR="00201ED4" w:rsidRPr="00EE5714" w14:paraId="57AC4527" w14:textId="77777777" w:rsidTr="00CE67A6">
        <w:trPr>
          <w:trHeight w:hRule="exact" w:val="245"/>
        </w:trPr>
        <w:tc>
          <w:tcPr>
            <w:tcW w:w="2070" w:type="dxa"/>
            <w:shd w:val="clear" w:color="000000" w:fill="F2F2F2"/>
            <w:noWrap/>
            <w:vAlign w:val="center"/>
            <w:hideMark/>
          </w:tcPr>
          <w:p w14:paraId="35BA4B1D" w14:textId="77777777" w:rsidR="00F303E0" w:rsidRPr="00EE5714" w:rsidRDefault="00F303E0" w:rsidP="00851815">
            <w:pPr>
              <w:keepNext/>
              <w:suppressLineNumbers/>
              <w:suppressAutoHyphen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620" w:type="dxa"/>
            <w:shd w:val="clear" w:color="000000" w:fill="F2F2F2"/>
            <w:noWrap/>
            <w:vAlign w:val="center"/>
          </w:tcPr>
          <w:p w14:paraId="46E06EC0" w14:textId="77777777" w:rsidR="00F303E0" w:rsidRPr="00EE5714" w:rsidRDefault="00F303E0" w:rsidP="00851815">
            <w:pPr>
              <w:keepNext/>
              <w:suppressLineNumbers/>
              <w:suppressAutoHyphens/>
              <w:jc w:val="center"/>
              <w:rPr>
                <w:rFonts w:eastAsia="Times New Roman" w:cstheme="minorHAnsi"/>
                <w:sz w:val="21"/>
                <w:szCs w:val="21"/>
              </w:rPr>
            </w:pPr>
          </w:p>
        </w:tc>
        <w:tc>
          <w:tcPr>
            <w:tcW w:w="1530" w:type="dxa"/>
            <w:shd w:val="clear" w:color="000000" w:fill="F2F2F2"/>
            <w:noWrap/>
            <w:vAlign w:val="center"/>
          </w:tcPr>
          <w:p w14:paraId="2B05A613" w14:textId="77777777" w:rsidR="00F303E0" w:rsidRPr="00EE5714" w:rsidRDefault="00F303E0" w:rsidP="00851815">
            <w:pPr>
              <w:keepNext/>
              <w:suppressLineNumbers/>
              <w:suppressAutoHyphens/>
              <w:jc w:val="center"/>
              <w:rPr>
                <w:rFonts w:eastAsia="Times New Roman" w:cstheme="minorHAnsi"/>
                <w:sz w:val="21"/>
                <w:szCs w:val="21"/>
              </w:rPr>
            </w:pPr>
          </w:p>
        </w:tc>
        <w:tc>
          <w:tcPr>
            <w:tcW w:w="1620" w:type="dxa"/>
            <w:shd w:val="clear" w:color="000000" w:fill="F2F2F2"/>
            <w:noWrap/>
            <w:vAlign w:val="center"/>
          </w:tcPr>
          <w:p w14:paraId="12C0F714" w14:textId="77777777" w:rsidR="00F303E0" w:rsidRPr="00EE5714" w:rsidRDefault="00F303E0" w:rsidP="00851815">
            <w:pPr>
              <w:keepNext/>
              <w:suppressLineNumbers/>
              <w:suppressAutoHyphens/>
              <w:jc w:val="center"/>
              <w:rPr>
                <w:rFonts w:eastAsia="Times New Roman" w:cstheme="minorHAnsi"/>
                <w:sz w:val="21"/>
                <w:szCs w:val="21"/>
              </w:rPr>
            </w:pPr>
          </w:p>
        </w:tc>
        <w:tc>
          <w:tcPr>
            <w:tcW w:w="1530" w:type="dxa"/>
            <w:shd w:val="clear" w:color="000000" w:fill="F2F2F2"/>
            <w:vAlign w:val="center"/>
          </w:tcPr>
          <w:p w14:paraId="0FD37B62" w14:textId="77777777" w:rsidR="00F303E0" w:rsidRPr="00EE5714" w:rsidRDefault="00F303E0" w:rsidP="00851815">
            <w:pPr>
              <w:keepNext/>
              <w:suppressLineNumbers/>
              <w:suppressAutoHyphens/>
              <w:jc w:val="center"/>
              <w:rPr>
                <w:rFonts w:eastAsia="Times New Roman" w:cstheme="minorHAnsi"/>
                <w:sz w:val="21"/>
                <w:szCs w:val="21"/>
              </w:rPr>
            </w:pPr>
          </w:p>
        </w:tc>
        <w:tc>
          <w:tcPr>
            <w:tcW w:w="1620" w:type="dxa"/>
            <w:shd w:val="clear" w:color="000000" w:fill="F2F2F2"/>
            <w:vAlign w:val="center"/>
          </w:tcPr>
          <w:p w14:paraId="3F310C29" w14:textId="77777777" w:rsidR="00F303E0" w:rsidRPr="00EE5714" w:rsidRDefault="00F303E0" w:rsidP="00851815">
            <w:pPr>
              <w:keepNext/>
              <w:suppressLineNumbers/>
              <w:suppressAutoHyphens/>
              <w:jc w:val="center"/>
              <w:rPr>
                <w:rFonts w:eastAsia="Times New Roman" w:cstheme="minorHAnsi"/>
                <w:sz w:val="21"/>
                <w:szCs w:val="21"/>
              </w:rPr>
            </w:pPr>
          </w:p>
        </w:tc>
      </w:tr>
      <w:tr w:rsidR="00201ED4" w:rsidRPr="00EE5714" w14:paraId="4376D8B7" w14:textId="77777777" w:rsidTr="00CE67A6">
        <w:trPr>
          <w:trHeight w:hRule="exact" w:val="245"/>
        </w:trPr>
        <w:tc>
          <w:tcPr>
            <w:tcW w:w="2070" w:type="dxa"/>
            <w:shd w:val="clear" w:color="auto" w:fill="auto"/>
            <w:noWrap/>
            <w:vAlign w:val="center"/>
          </w:tcPr>
          <w:p w14:paraId="06E5D538"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Heat </w:t>
            </w:r>
          </w:p>
        </w:tc>
        <w:tc>
          <w:tcPr>
            <w:tcW w:w="1620" w:type="dxa"/>
            <w:shd w:val="clear" w:color="auto" w:fill="auto"/>
            <w:noWrap/>
            <w:vAlign w:val="center"/>
          </w:tcPr>
          <w:p w14:paraId="3A3175F9"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51.82%</w:t>
            </w:r>
          </w:p>
        </w:tc>
        <w:tc>
          <w:tcPr>
            <w:tcW w:w="1530" w:type="dxa"/>
            <w:shd w:val="clear" w:color="auto" w:fill="auto"/>
            <w:noWrap/>
            <w:vAlign w:val="center"/>
          </w:tcPr>
          <w:p w14:paraId="1687A6E1"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40.03%</w:t>
            </w:r>
          </w:p>
        </w:tc>
        <w:tc>
          <w:tcPr>
            <w:tcW w:w="1620" w:type="dxa"/>
            <w:shd w:val="clear" w:color="auto" w:fill="auto"/>
            <w:noWrap/>
            <w:vAlign w:val="center"/>
          </w:tcPr>
          <w:p w14:paraId="6D19BBE9"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52.96%</w:t>
            </w:r>
          </w:p>
        </w:tc>
        <w:tc>
          <w:tcPr>
            <w:tcW w:w="1530" w:type="dxa"/>
            <w:vAlign w:val="center"/>
          </w:tcPr>
          <w:p w14:paraId="0F4AC000"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56.87%</w:t>
            </w:r>
          </w:p>
        </w:tc>
        <w:tc>
          <w:tcPr>
            <w:tcW w:w="1620" w:type="dxa"/>
            <w:vAlign w:val="center"/>
          </w:tcPr>
          <w:p w14:paraId="41B47845"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59.09%</w:t>
            </w:r>
          </w:p>
        </w:tc>
      </w:tr>
      <w:tr w:rsidR="00201ED4" w:rsidRPr="00EE5714" w14:paraId="0499C737" w14:textId="77777777" w:rsidTr="00CE67A6">
        <w:trPr>
          <w:trHeight w:hRule="exact" w:val="245"/>
        </w:trPr>
        <w:tc>
          <w:tcPr>
            <w:tcW w:w="2070" w:type="dxa"/>
            <w:shd w:val="clear" w:color="auto" w:fill="auto"/>
            <w:noWrap/>
            <w:vAlign w:val="center"/>
          </w:tcPr>
          <w:p w14:paraId="4164C2AA"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Non-Heat </w:t>
            </w:r>
          </w:p>
        </w:tc>
        <w:tc>
          <w:tcPr>
            <w:tcW w:w="1620" w:type="dxa"/>
            <w:shd w:val="clear" w:color="auto" w:fill="auto"/>
            <w:noWrap/>
            <w:vAlign w:val="center"/>
          </w:tcPr>
          <w:p w14:paraId="518CD9F6"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49.40%</w:t>
            </w:r>
          </w:p>
        </w:tc>
        <w:tc>
          <w:tcPr>
            <w:tcW w:w="1530" w:type="dxa"/>
            <w:shd w:val="clear" w:color="auto" w:fill="auto"/>
            <w:noWrap/>
            <w:vAlign w:val="center"/>
          </w:tcPr>
          <w:p w14:paraId="239282EB"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41.64%</w:t>
            </w:r>
          </w:p>
        </w:tc>
        <w:tc>
          <w:tcPr>
            <w:tcW w:w="1620" w:type="dxa"/>
            <w:shd w:val="clear" w:color="auto" w:fill="auto"/>
            <w:noWrap/>
            <w:vAlign w:val="center"/>
          </w:tcPr>
          <w:p w14:paraId="46B52EF6"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62.35%</w:t>
            </w:r>
          </w:p>
        </w:tc>
        <w:tc>
          <w:tcPr>
            <w:tcW w:w="1530" w:type="dxa"/>
            <w:vAlign w:val="center"/>
          </w:tcPr>
          <w:p w14:paraId="2FD7790C"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65.79%</w:t>
            </w:r>
          </w:p>
        </w:tc>
        <w:tc>
          <w:tcPr>
            <w:tcW w:w="1620" w:type="dxa"/>
            <w:vAlign w:val="center"/>
          </w:tcPr>
          <w:p w14:paraId="784B877D"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69.13%</w:t>
            </w:r>
          </w:p>
        </w:tc>
      </w:tr>
      <w:tr w:rsidR="00201ED4" w:rsidRPr="00EE5714" w14:paraId="75EA12D2" w14:textId="77777777" w:rsidTr="00CE67A6">
        <w:trPr>
          <w:trHeight w:hRule="exact" w:val="245"/>
        </w:trPr>
        <w:tc>
          <w:tcPr>
            <w:tcW w:w="2070" w:type="dxa"/>
            <w:shd w:val="clear" w:color="auto" w:fill="auto"/>
            <w:noWrap/>
            <w:vAlign w:val="center"/>
          </w:tcPr>
          <w:p w14:paraId="1A7C45C0"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Aggregate</w:t>
            </w:r>
          </w:p>
        </w:tc>
        <w:tc>
          <w:tcPr>
            <w:tcW w:w="1620" w:type="dxa"/>
            <w:shd w:val="clear" w:color="auto" w:fill="auto"/>
            <w:noWrap/>
            <w:vAlign w:val="center"/>
          </w:tcPr>
          <w:p w14:paraId="2C8C9624"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50.01%</w:t>
            </w:r>
          </w:p>
        </w:tc>
        <w:tc>
          <w:tcPr>
            <w:tcW w:w="1530" w:type="dxa"/>
            <w:shd w:val="clear" w:color="auto" w:fill="auto"/>
            <w:noWrap/>
            <w:vAlign w:val="center"/>
          </w:tcPr>
          <w:p w14:paraId="2868B02E"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41.22%</w:t>
            </w:r>
          </w:p>
        </w:tc>
        <w:tc>
          <w:tcPr>
            <w:tcW w:w="1620" w:type="dxa"/>
            <w:shd w:val="clear" w:color="auto" w:fill="auto"/>
            <w:noWrap/>
            <w:vAlign w:val="center"/>
          </w:tcPr>
          <w:p w14:paraId="533BAB07"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59.82%</w:t>
            </w:r>
          </w:p>
        </w:tc>
        <w:tc>
          <w:tcPr>
            <w:tcW w:w="1530" w:type="dxa"/>
            <w:vAlign w:val="center"/>
          </w:tcPr>
          <w:p w14:paraId="331D0EF9"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63.32%</w:t>
            </w:r>
          </w:p>
        </w:tc>
        <w:tc>
          <w:tcPr>
            <w:tcW w:w="1620" w:type="dxa"/>
            <w:vAlign w:val="center"/>
          </w:tcPr>
          <w:p w14:paraId="7CD441B7"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66.31%</w:t>
            </w:r>
          </w:p>
        </w:tc>
      </w:tr>
      <w:tr w:rsidR="00201ED4" w:rsidRPr="00EE5714" w14:paraId="26936585" w14:textId="77777777" w:rsidTr="00CE67A6">
        <w:trPr>
          <w:trHeight w:hRule="exact" w:val="245"/>
        </w:trPr>
        <w:tc>
          <w:tcPr>
            <w:tcW w:w="2070" w:type="dxa"/>
            <w:shd w:val="clear" w:color="000000" w:fill="F2F2F2"/>
            <w:noWrap/>
            <w:vAlign w:val="center"/>
          </w:tcPr>
          <w:p w14:paraId="2FE1008B" w14:textId="77777777" w:rsidR="00F303E0" w:rsidRPr="00EE5714" w:rsidRDefault="00F303E0" w:rsidP="00851815">
            <w:pPr>
              <w:keepNext/>
              <w:suppressLineNumbers/>
              <w:suppressAutoHyphen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Electric</w:t>
            </w:r>
          </w:p>
        </w:tc>
        <w:tc>
          <w:tcPr>
            <w:tcW w:w="1620" w:type="dxa"/>
            <w:shd w:val="clear" w:color="000000" w:fill="F2F2F2"/>
            <w:noWrap/>
            <w:vAlign w:val="center"/>
          </w:tcPr>
          <w:p w14:paraId="65DEB0E1" w14:textId="77777777" w:rsidR="00F303E0" w:rsidRPr="00EE5714" w:rsidRDefault="00F303E0" w:rsidP="00851815">
            <w:pPr>
              <w:keepNext/>
              <w:suppressLineNumbers/>
              <w:suppressAutoHyphens/>
              <w:jc w:val="center"/>
              <w:rPr>
                <w:rFonts w:eastAsia="Times New Roman" w:cstheme="minorHAnsi"/>
                <w:sz w:val="21"/>
                <w:szCs w:val="21"/>
              </w:rPr>
            </w:pPr>
          </w:p>
        </w:tc>
        <w:tc>
          <w:tcPr>
            <w:tcW w:w="1530" w:type="dxa"/>
            <w:shd w:val="clear" w:color="000000" w:fill="F2F2F2"/>
            <w:noWrap/>
            <w:vAlign w:val="center"/>
          </w:tcPr>
          <w:p w14:paraId="2B34A685" w14:textId="77777777" w:rsidR="00F303E0" w:rsidRPr="00EE5714" w:rsidRDefault="00F303E0" w:rsidP="00851815">
            <w:pPr>
              <w:keepNext/>
              <w:suppressLineNumbers/>
              <w:suppressAutoHyphens/>
              <w:jc w:val="center"/>
              <w:rPr>
                <w:rFonts w:eastAsia="Times New Roman" w:cstheme="minorHAnsi"/>
                <w:sz w:val="21"/>
                <w:szCs w:val="21"/>
              </w:rPr>
            </w:pPr>
          </w:p>
        </w:tc>
        <w:tc>
          <w:tcPr>
            <w:tcW w:w="1620" w:type="dxa"/>
            <w:shd w:val="clear" w:color="000000" w:fill="F2F2F2"/>
            <w:noWrap/>
            <w:vAlign w:val="center"/>
          </w:tcPr>
          <w:p w14:paraId="1DE4FCAF" w14:textId="77777777" w:rsidR="00F303E0" w:rsidRPr="00EE5714" w:rsidRDefault="00F303E0" w:rsidP="00851815">
            <w:pPr>
              <w:keepNext/>
              <w:suppressLineNumbers/>
              <w:suppressAutoHyphens/>
              <w:jc w:val="center"/>
              <w:rPr>
                <w:rFonts w:eastAsia="Times New Roman" w:cstheme="minorHAnsi"/>
                <w:sz w:val="21"/>
                <w:szCs w:val="21"/>
              </w:rPr>
            </w:pPr>
          </w:p>
        </w:tc>
        <w:tc>
          <w:tcPr>
            <w:tcW w:w="1530" w:type="dxa"/>
            <w:shd w:val="clear" w:color="000000" w:fill="F2F2F2"/>
            <w:vAlign w:val="center"/>
          </w:tcPr>
          <w:p w14:paraId="74BE7A2C" w14:textId="77777777" w:rsidR="00F303E0" w:rsidRPr="00EE5714" w:rsidRDefault="00F303E0" w:rsidP="00851815">
            <w:pPr>
              <w:keepNext/>
              <w:suppressLineNumbers/>
              <w:suppressAutoHyphens/>
              <w:jc w:val="center"/>
              <w:rPr>
                <w:rFonts w:eastAsia="Times New Roman" w:cstheme="minorHAnsi"/>
                <w:sz w:val="21"/>
                <w:szCs w:val="21"/>
              </w:rPr>
            </w:pPr>
          </w:p>
        </w:tc>
        <w:tc>
          <w:tcPr>
            <w:tcW w:w="1620" w:type="dxa"/>
            <w:shd w:val="clear" w:color="000000" w:fill="F2F2F2"/>
            <w:vAlign w:val="center"/>
          </w:tcPr>
          <w:p w14:paraId="4A61D774" w14:textId="77777777" w:rsidR="00F303E0" w:rsidRPr="00EE5714" w:rsidRDefault="00F303E0" w:rsidP="00851815">
            <w:pPr>
              <w:keepNext/>
              <w:suppressLineNumbers/>
              <w:suppressAutoHyphens/>
              <w:jc w:val="center"/>
              <w:rPr>
                <w:rFonts w:eastAsia="Times New Roman" w:cstheme="minorHAnsi"/>
                <w:sz w:val="21"/>
                <w:szCs w:val="21"/>
              </w:rPr>
            </w:pPr>
          </w:p>
        </w:tc>
      </w:tr>
      <w:tr w:rsidR="00201ED4" w:rsidRPr="00EE5714" w14:paraId="14DFA773" w14:textId="77777777" w:rsidTr="00CE67A6">
        <w:trPr>
          <w:trHeight w:hRule="exact" w:val="245"/>
        </w:trPr>
        <w:tc>
          <w:tcPr>
            <w:tcW w:w="2070" w:type="dxa"/>
            <w:shd w:val="clear" w:color="000000" w:fill="auto"/>
            <w:noWrap/>
            <w:vAlign w:val="center"/>
          </w:tcPr>
          <w:p w14:paraId="7FAA53C3" w14:textId="77777777" w:rsidR="00F303E0" w:rsidRPr="00EE5714" w:rsidRDefault="00F303E0" w:rsidP="00851815">
            <w:pPr>
              <w:keepNext/>
              <w:suppressLineNumbers/>
              <w:suppressAutoHyphen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Heat</w:t>
            </w:r>
          </w:p>
        </w:tc>
        <w:tc>
          <w:tcPr>
            <w:tcW w:w="1620" w:type="dxa"/>
            <w:shd w:val="clear" w:color="000000" w:fill="auto"/>
            <w:noWrap/>
            <w:vAlign w:val="center"/>
          </w:tcPr>
          <w:p w14:paraId="445C65BD"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63.19%</w:t>
            </w:r>
          </w:p>
        </w:tc>
        <w:tc>
          <w:tcPr>
            <w:tcW w:w="1530" w:type="dxa"/>
            <w:shd w:val="clear" w:color="000000" w:fill="auto"/>
            <w:noWrap/>
            <w:vAlign w:val="center"/>
          </w:tcPr>
          <w:p w14:paraId="27B7CDE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62.55%</w:t>
            </w:r>
          </w:p>
        </w:tc>
        <w:tc>
          <w:tcPr>
            <w:tcW w:w="1620" w:type="dxa"/>
            <w:shd w:val="clear" w:color="000000" w:fill="auto"/>
            <w:noWrap/>
            <w:vAlign w:val="center"/>
          </w:tcPr>
          <w:p w14:paraId="51636412"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59.73%</w:t>
            </w:r>
          </w:p>
        </w:tc>
        <w:tc>
          <w:tcPr>
            <w:tcW w:w="1530" w:type="dxa"/>
            <w:shd w:val="clear" w:color="000000" w:fill="auto"/>
            <w:vAlign w:val="center"/>
          </w:tcPr>
          <w:p w14:paraId="6D02ED1D"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58.86%</w:t>
            </w:r>
          </w:p>
        </w:tc>
        <w:tc>
          <w:tcPr>
            <w:tcW w:w="1620" w:type="dxa"/>
            <w:shd w:val="clear" w:color="000000" w:fill="auto"/>
            <w:vAlign w:val="center"/>
          </w:tcPr>
          <w:p w14:paraId="244F64ED"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62.49%</w:t>
            </w:r>
          </w:p>
        </w:tc>
      </w:tr>
      <w:tr w:rsidR="00201ED4" w:rsidRPr="00EE5714" w14:paraId="73A044DB" w14:textId="77777777" w:rsidTr="00CE67A6">
        <w:trPr>
          <w:trHeight w:hRule="exact" w:val="245"/>
        </w:trPr>
        <w:tc>
          <w:tcPr>
            <w:tcW w:w="2070" w:type="dxa"/>
            <w:shd w:val="clear" w:color="000000" w:fill="auto"/>
            <w:noWrap/>
            <w:vAlign w:val="center"/>
          </w:tcPr>
          <w:p w14:paraId="6327A7F7" w14:textId="77777777" w:rsidR="00F303E0" w:rsidRPr="00EE5714" w:rsidRDefault="00F303E0" w:rsidP="00851815">
            <w:pPr>
              <w:keepNext/>
              <w:suppressLineNumbers/>
              <w:suppressAutoHyphen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Non-Heat</w:t>
            </w:r>
          </w:p>
        </w:tc>
        <w:tc>
          <w:tcPr>
            <w:tcW w:w="1620" w:type="dxa"/>
            <w:shd w:val="clear" w:color="000000" w:fill="auto"/>
            <w:noWrap/>
            <w:vAlign w:val="center"/>
          </w:tcPr>
          <w:p w14:paraId="0363899F"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60.07%</w:t>
            </w:r>
          </w:p>
        </w:tc>
        <w:tc>
          <w:tcPr>
            <w:tcW w:w="1530" w:type="dxa"/>
            <w:shd w:val="clear" w:color="000000" w:fill="auto"/>
            <w:noWrap/>
            <w:vAlign w:val="center"/>
          </w:tcPr>
          <w:p w14:paraId="1CA358E7"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59.12%</w:t>
            </w:r>
          </w:p>
        </w:tc>
        <w:tc>
          <w:tcPr>
            <w:tcW w:w="1620" w:type="dxa"/>
            <w:shd w:val="clear" w:color="000000" w:fill="auto"/>
            <w:noWrap/>
            <w:vAlign w:val="center"/>
          </w:tcPr>
          <w:p w14:paraId="41965BF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58.42%</w:t>
            </w:r>
          </w:p>
        </w:tc>
        <w:tc>
          <w:tcPr>
            <w:tcW w:w="1530" w:type="dxa"/>
            <w:shd w:val="clear" w:color="000000" w:fill="auto"/>
            <w:vAlign w:val="center"/>
          </w:tcPr>
          <w:p w14:paraId="4053594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59.26%</w:t>
            </w:r>
          </w:p>
        </w:tc>
        <w:tc>
          <w:tcPr>
            <w:tcW w:w="1620" w:type="dxa"/>
            <w:shd w:val="clear" w:color="000000" w:fill="auto"/>
            <w:vAlign w:val="center"/>
          </w:tcPr>
          <w:p w14:paraId="5895530F"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62.43%</w:t>
            </w:r>
          </w:p>
        </w:tc>
      </w:tr>
      <w:tr w:rsidR="00201ED4" w:rsidRPr="00EE5714" w14:paraId="740EC0B0" w14:textId="77777777" w:rsidTr="00CE67A6">
        <w:trPr>
          <w:trHeight w:hRule="exact" w:val="245"/>
        </w:trPr>
        <w:tc>
          <w:tcPr>
            <w:tcW w:w="2070" w:type="dxa"/>
            <w:shd w:val="clear" w:color="000000" w:fill="auto"/>
            <w:noWrap/>
            <w:vAlign w:val="center"/>
          </w:tcPr>
          <w:p w14:paraId="667E80AA" w14:textId="77777777" w:rsidR="00F303E0" w:rsidRPr="00EE5714" w:rsidRDefault="00F303E0" w:rsidP="00851815">
            <w:pPr>
              <w:keepNext/>
              <w:suppressLineNumbers/>
              <w:suppressAutoHyphen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Aggregate</w:t>
            </w:r>
          </w:p>
        </w:tc>
        <w:tc>
          <w:tcPr>
            <w:tcW w:w="1620" w:type="dxa"/>
            <w:shd w:val="clear" w:color="000000" w:fill="auto"/>
            <w:noWrap/>
            <w:vAlign w:val="center"/>
          </w:tcPr>
          <w:p w14:paraId="1E1AE462"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60.67%</w:t>
            </w:r>
          </w:p>
        </w:tc>
        <w:tc>
          <w:tcPr>
            <w:tcW w:w="1530" w:type="dxa"/>
            <w:shd w:val="clear" w:color="000000" w:fill="auto"/>
            <w:noWrap/>
            <w:vAlign w:val="center"/>
          </w:tcPr>
          <w:p w14:paraId="08B8494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59.65%</w:t>
            </w:r>
          </w:p>
        </w:tc>
        <w:tc>
          <w:tcPr>
            <w:tcW w:w="1620" w:type="dxa"/>
            <w:shd w:val="clear" w:color="000000" w:fill="auto"/>
            <w:noWrap/>
            <w:vAlign w:val="center"/>
          </w:tcPr>
          <w:p w14:paraId="20E04C83"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58.60%</w:t>
            </w:r>
          </w:p>
        </w:tc>
        <w:tc>
          <w:tcPr>
            <w:tcW w:w="1530" w:type="dxa"/>
            <w:shd w:val="clear" w:color="000000" w:fill="auto"/>
            <w:vAlign w:val="center"/>
          </w:tcPr>
          <w:p w14:paraId="57E41302"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59.20%</w:t>
            </w:r>
          </w:p>
        </w:tc>
        <w:tc>
          <w:tcPr>
            <w:tcW w:w="1620" w:type="dxa"/>
            <w:shd w:val="clear" w:color="000000" w:fill="auto"/>
            <w:vAlign w:val="center"/>
          </w:tcPr>
          <w:p w14:paraId="63BA1043"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62.44%</w:t>
            </w:r>
          </w:p>
        </w:tc>
      </w:tr>
      <w:tr w:rsidR="00201ED4" w:rsidRPr="00EE5714" w14:paraId="2402EF90" w14:textId="77777777" w:rsidTr="00CE67A6">
        <w:trPr>
          <w:trHeight w:hRule="exact" w:val="245"/>
        </w:trPr>
        <w:tc>
          <w:tcPr>
            <w:tcW w:w="2070" w:type="dxa"/>
            <w:shd w:val="clear" w:color="000000" w:fill="F2F2F2"/>
            <w:noWrap/>
            <w:vAlign w:val="center"/>
            <w:hideMark/>
          </w:tcPr>
          <w:p w14:paraId="750324C8" w14:textId="77777777" w:rsidR="00F303E0" w:rsidRPr="00EE5714" w:rsidRDefault="00F303E0" w:rsidP="00851815">
            <w:pPr>
              <w:keepNext/>
              <w:suppressLineNumbers/>
              <w:suppressAutoHyphens/>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620" w:type="dxa"/>
            <w:shd w:val="clear" w:color="000000" w:fill="F2F2F2"/>
            <w:noWrap/>
            <w:vAlign w:val="center"/>
          </w:tcPr>
          <w:p w14:paraId="14A70ECF" w14:textId="77777777" w:rsidR="00F303E0" w:rsidRPr="00EE5714" w:rsidRDefault="00F303E0" w:rsidP="00851815">
            <w:pPr>
              <w:keepNext/>
              <w:suppressLineNumbers/>
              <w:suppressAutoHyphens/>
              <w:jc w:val="center"/>
              <w:rPr>
                <w:rFonts w:eastAsia="Times New Roman" w:cstheme="minorHAnsi"/>
                <w:sz w:val="21"/>
                <w:szCs w:val="21"/>
              </w:rPr>
            </w:pPr>
          </w:p>
        </w:tc>
        <w:tc>
          <w:tcPr>
            <w:tcW w:w="1530" w:type="dxa"/>
            <w:shd w:val="clear" w:color="000000" w:fill="F2F2F2"/>
            <w:noWrap/>
            <w:vAlign w:val="center"/>
          </w:tcPr>
          <w:p w14:paraId="67EFE24E" w14:textId="77777777" w:rsidR="00F303E0" w:rsidRPr="00EE5714" w:rsidRDefault="00F303E0" w:rsidP="00851815">
            <w:pPr>
              <w:keepNext/>
              <w:suppressLineNumbers/>
              <w:suppressAutoHyphens/>
              <w:jc w:val="center"/>
              <w:rPr>
                <w:rFonts w:eastAsia="Times New Roman" w:cstheme="minorHAnsi"/>
                <w:sz w:val="21"/>
                <w:szCs w:val="21"/>
              </w:rPr>
            </w:pPr>
          </w:p>
        </w:tc>
        <w:tc>
          <w:tcPr>
            <w:tcW w:w="1620" w:type="dxa"/>
            <w:shd w:val="clear" w:color="000000" w:fill="F2F2F2"/>
            <w:noWrap/>
            <w:vAlign w:val="center"/>
          </w:tcPr>
          <w:p w14:paraId="78C9B2A2" w14:textId="77777777" w:rsidR="00F303E0" w:rsidRPr="00EE5714" w:rsidRDefault="00F303E0" w:rsidP="00851815">
            <w:pPr>
              <w:keepNext/>
              <w:suppressLineNumbers/>
              <w:suppressAutoHyphens/>
              <w:jc w:val="center"/>
              <w:rPr>
                <w:rFonts w:eastAsia="Times New Roman" w:cstheme="minorHAnsi"/>
                <w:sz w:val="21"/>
                <w:szCs w:val="21"/>
              </w:rPr>
            </w:pPr>
          </w:p>
        </w:tc>
        <w:tc>
          <w:tcPr>
            <w:tcW w:w="1530" w:type="dxa"/>
            <w:shd w:val="clear" w:color="000000" w:fill="F2F2F2"/>
            <w:vAlign w:val="center"/>
          </w:tcPr>
          <w:p w14:paraId="6CD6EB0F" w14:textId="77777777" w:rsidR="00F303E0" w:rsidRPr="00EE5714" w:rsidRDefault="00F303E0" w:rsidP="00851815">
            <w:pPr>
              <w:keepNext/>
              <w:suppressLineNumbers/>
              <w:suppressAutoHyphens/>
              <w:jc w:val="center"/>
              <w:rPr>
                <w:rFonts w:eastAsia="Times New Roman" w:cstheme="minorHAnsi"/>
                <w:sz w:val="21"/>
                <w:szCs w:val="21"/>
              </w:rPr>
            </w:pPr>
          </w:p>
        </w:tc>
        <w:tc>
          <w:tcPr>
            <w:tcW w:w="1620" w:type="dxa"/>
            <w:shd w:val="clear" w:color="000000" w:fill="F2F2F2"/>
            <w:vAlign w:val="center"/>
          </w:tcPr>
          <w:p w14:paraId="0C04822F" w14:textId="77777777" w:rsidR="00F303E0" w:rsidRPr="00EE5714" w:rsidRDefault="00F303E0" w:rsidP="00851815">
            <w:pPr>
              <w:keepNext/>
              <w:suppressLineNumbers/>
              <w:suppressAutoHyphens/>
              <w:jc w:val="center"/>
              <w:rPr>
                <w:rFonts w:eastAsia="Times New Roman" w:cstheme="minorHAnsi"/>
                <w:sz w:val="21"/>
                <w:szCs w:val="21"/>
              </w:rPr>
            </w:pPr>
          </w:p>
        </w:tc>
      </w:tr>
      <w:tr w:rsidR="00201ED4" w:rsidRPr="00EE5714" w14:paraId="65090533" w14:textId="77777777" w:rsidTr="00CE67A6">
        <w:trPr>
          <w:trHeight w:hRule="exact" w:val="245"/>
        </w:trPr>
        <w:tc>
          <w:tcPr>
            <w:tcW w:w="2070" w:type="dxa"/>
            <w:shd w:val="clear" w:color="auto" w:fill="auto"/>
            <w:noWrap/>
            <w:vAlign w:val="center"/>
          </w:tcPr>
          <w:p w14:paraId="1FAD1A6A"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Heat </w:t>
            </w:r>
          </w:p>
        </w:tc>
        <w:tc>
          <w:tcPr>
            <w:tcW w:w="1620" w:type="dxa"/>
            <w:shd w:val="clear" w:color="auto" w:fill="auto"/>
            <w:noWrap/>
            <w:vAlign w:val="center"/>
          </w:tcPr>
          <w:p w14:paraId="4EDB29B3"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57.54%</w:t>
            </w:r>
          </w:p>
        </w:tc>
        <w:tc>
          <w:tcPr>
            <w:tcW w:w="1530" w:type="dxa"/>
            <w:shd w:val="clear" w:color="auto" w:fill="auto"/>
            <w:noWrap/>
            <w:vAlign w:val="center"/>
          </w:tcPr>
          <w:p w14:paraId="48DBA606"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46.77%</w:t>
            </w:r>
          </w:p>
        </w:tc>
        <w:tc>
          <w:tcPr>
            <w:tcW w:w="1620" w:type="dxa"/>
            <w:shd w:val="clear" w:color="auto" w:fill="auto"/>
            <w:noWrap/>
            <w:vAlign w:val="center"/>
          </w:tcPr>
          <w:p w14:paraId="2D7D0088"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60.61%</w:t>
            </w:r>
          </w:p>
        </w:tc>
        <w:tc>
          <w:tcPr>
            <w:tcW w:w="1530" w:type="dxa"/>
            <w:vAlign w:val="center"/>
          </w:tcPr>
          <w:p w14:paraId="2F8A3EC5"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63.45%</w:t>
            </w:r>
          </w:p>
        </w:tc>
        <w:tc>
          <w:tcPr>
            <w:tcW w:w="1620" w:type="dxa"/>
            <w:vAlign w:val="center"/>
          </w:tcPr>
          <w:p w14:paraId="6596CB7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64.55%</w:t>
            </w:r>
          </w:p>
        </w:tc>
      </w:tr>
      <w:tr w:rsidR="00201ED4" w:rsidRPr="00EE5714" w14:paraId="0F1A34C9" w14:textId="77777777" w:rsidTr="00CE67A6">
        <w:trPr>
          <w:trHeight w:hRule="exact" w:val="245"/>
        </w:trPr>
        <w:tc>
          <w:tcPr>
            <w:tcW w:w="2070" w:type="dxa"/>
            <w:shd w:val="clear" w:color="auto" w:fill="auto"/>
            <w:noWrap/>
            <w:vAlign w:val="center"/>
          </w:tcPr>
          <w:p w14:paraId="2619555D"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Non-Heat </w:t>
            </w:r>
          </w:p>
        </w:tc>
        <w:tc>
          <w:tcPr>
            <w:tcW w:w="1620" w:type="dxa"/>
            <w:shd w:val="clear" w:color="auto" w:fill="auto"/>
            <w:noWrap/>
            <w:vAlign w:val="center"/>
          </w:tcPr>
          <w:p w14:paraId="34EC907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51.74%</w:t>
            </w:r>
          </w:p>
        </w:tc>
        <w:tc>
          <w:tcPr>
            <w:tcW w:w="1530" w:type="dxa"/>
            <w:shd w:val="clear" w:color="auto" w:fill="auto"/>
            <w:noWrap/>
            <w:vAlign w:val="center"/>
          </w:tcPr>
          <w:p w14:paraId="726F5AEE"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49.68%</w:t>
            </w:r>
          </w:p>
        </w:tc>
        <w:tc>
          <w:tcPr>
            <w:tcW w:w="1620" w:type="dxa"/>
            <w:shd w:val="clear" w:color="auto" w:fill="auto"/>
            <w:noWrap/>
            <w:vAlign w:val="center"/>
          </w:tcPr>
          <w:p w14:paraId="350048A9"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67.28%</w:t>
            </w:r>
          </w:p>
        </w:tc>
        <w:tc>
          <w:tcPr>
            <w:tcW w:w="1530" w:type="dxa"/>
            <w:vAlign w:val="center"/>
          </w:tcPr>
          <w:p w14:paraId="66F039F5"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69.86%</w:t>
            </w:r>
          </w:p>
        </w:tc>
        <w:tc>
          <w:tcPr>
            <w:tcW w:w="1620" w:type="dxa"/>
            <w:vAlign w:val="center"/>
          </w:tcPr>
          <w:p w14:paraId="28EC5F8C"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71.54%</w:t>
            </w:r>
          </w:p>
        </w:tc>
      </w:tr>
      <w:tr w:rsidR="00201ED4" w:rsidRPr="00EE5714" w14:paraId="20C1AD4B" w14:textId="77777777" w:rsidTr="00CE67A6">
        <w:trPr>
          <w:trHeight w:hRule="exact" w:val="245"/>
        </w:trPr>
        <w:tc>
          <w:tcPr>
            <w:tcW w:w="2070" w:type="dxa"/>
            <w:shd w:val="clear" w:color="auto" w:fill="auto"/>
            <w:noWrap/>
            <w:vAlign w:val="center"/>
          </w:tcPr>
          <w:p w14:paraId="7B67BBF6"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Aggregate</w:t>
            </w:r>
          </w:p>
        </w:tc>
        <w:tc>
          <w:tcPr>
            <w:tcW w:w="1620" w:type="dxa"/>
            <w:shd w:val="clear" w:color="auto" w:fill="auto"/>
            <w:noWrap/>
            <w:vAlign w:val="center"/>
          </w:tcPr>
          <w:p w14:paraId="55A2CE5E"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52.55%</w:t>
            </w:r>
          </w:p>
        </w:tc>
        <w:tc>
          <w:tcPr>
            <w:tcW w:w="1530" w:type="dxa"/>
            <w:shd w:val="clear" w:color="auto" w:fill="auto"/>
            <w:noWrap/>
            <w:vAlign w:val="center"/>
          </w:tcPr>
          <w:p w14:paraId="61D3CBAE"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49.24%</w:t>
            </w:r>
          </w:p>
        </w:tc>
        <w:tc>
          <w:tcPr>
            <w:tcW w:w="1620" w:type="dxa"/>
            <w:shd w:val="clear" w:color="auto" w:fill="auto"/>
            <w:noWrap/>
            <w:vAlign w:val="center"/>
          </w:tcPr>
          <w:p w14:paraId="1539C2C2"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66.33%</w:t>
            </w:r>
          </w:p>
        </w:tc>
        <w:tc>
          <w:tcPr>
            <w:tcW w:w="1530" w:type="dxa"/>
            <w:vAlign w:val="center"/>
          </w:tcPr>
          <w:p w14:paraId="63F13935"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68.92%</w:t>
            </w:r>
          </w:p>
        </w:tc>
        <w:tc>
          <w:tcPr>
            <w:tcW w:w="1620" w:type="dxa"/>
            <w:vAlign w:val="center"/>
          </w:tcPr>
          <w:p w14:paraId="382C90F4"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70.45%</w:t>
            </w:r>
          </w:p>
        </w:tc>
      </w:tr>
      <w:tr w:rsidR="00201ED4" w:rsidRPr="00EE5714" w14:paraId="28198C08" w14:textId="77777777" w:rsidTr="00CE67A6">
        <w:trPr>
          <w:trHeight w:hRule="exact" w:val="245"/>
        </w:trPr>
        <w:tc>
          <w:tcPr>
            <w:tcW w:w="2070" w:type="dxa"/>
            <w:shd w:val="clear" w:color="000000" w:fill="F2F2F2"/>
            <w:noWrap/>
            <w:vAlign w:val="center"/>
            <w:hideMark/>
          </w:tcPr>
          <w:p w14:paraId="4121E91E" w14:textId="77777777" w:rsidR="00F303E0" w:rsidRPr="00EE5714" w:rsidRDefault="00F303E0" w:rsidP="00851815">
            <w:pPr>
              <w:keepNext/>
              <w:suppressLineNumbers/>
              <w:suppressAutoHyphen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620" w:type="dxa"/>
            <w:shd w:val="clear" w:color="000000" w:fill="F2F2F2"/>
            <w:noWrap/>
            <w:vAlign w:val="center"/>
          </w:tcPr>
          <w:p w14:paraId="4CF8F9B1" w14:textId="77777777" w:rsidR="00F303E0" w:rsidRPr="00EE5714" w:rsidRDefault="00F303E0" w:rsidP="00851815">
            <w:pPr>
              <w:keepNext/>
              <w:suppressLineNumbers/>
              <w:suppressAutoHyphens/>
              <w:jc w:val="center"/>
              <w:rPr>
                <w:rFonts w:eastAsia="Times New Roman" w:cstheme="minorHAnsi"/>
                <w:sz w:val="21"/>
                <w:szCs w:val="21"/>
              </w:rPr>
            </w:pPr>
          </w:p>
        </w:tc>
        <w:tc>
          <w:tcPr>
            <w:tcW w:w="1530" w:type="dxa"/>
            <w:shd w:val="clear" w:color="000000" w:fill="F2F2F2"/>
            <w:noWrap/>
            <w:vAlign w:val="center"/>
          </w:tcPr>
          <w:p w14:paraId="068FD452" w14:textId="77777777" w:rsidR="00F303E0" w:rsidRPr="00EE5714" w:rsidRDefault="00F303E0" w:rsidP="00851815">
            <w:pPr>
              <w:keepNext/>
              <w:suppressLineNumbers/>
              <w:suppressAutoHyphens/>
              <w:jc w:val="center"/>
              <w:rPr>
                <w:rFonts w:eastAsia="Times New Roman" w:cstheme="minorHAnsi"/>
                <w:sz w:val="21"/>
                <w:szCs w:val="21"/>
              </w:rPr>
            </w:pPr>
          </w:p>
        </w:tc>
        <w:tc>
          <w:tcPr>
            <w:tcW w:w="1620" w:type="dxa"/>
            <w:shd w:val="clear" w:color="000000" w:fill="F2F2F2"/>
            <w:noWrap/>
            <w:vAlign w:val="center"/>
          </w:tcPr>
          <w:p w14:paraId="56D0F92C" w14:textId="77777777" w:rsidR="00F303E0" w:rsidRPr="00EE5714" w:rsidRDefault="00F303E0" w:rsidP="00851815">
            <w:pPr>
              <w:keepNext/>
              <w:suppressLineNumbers/>
              <w:suppressAutoHyphens/>
              <w:jc w:val="center"/>
              <w:rPr>
                <w:rFonts w:eastAsia="Times New Roman" w:cstheme="minorHAnsi"/>
                <w:sz w:val="21"/>
                <w:szCs w:val="21"/>
              </w:rPr>
            </w:pPr>
          </w:p>
        </w:tc>
        <w:tc>
          <w:tcPr>
            <w:tcW w:w="1530" w:type="dxa"/>
            <w:shd w:val="clear" w:color="000000" w:fill="F2F2F2"/>
            <w:vAlign w:val="center"/>
          </w:tcPr>
          <w:p w14:paraId="29F3ED58" w14:textId="77777777" w:rsidR="00F303E0" w:rsidRPr="00EE5714" w:rsidRDefault="00F303E0" w:rsidP="00851815">
            <w:pPr>
              <w:keepNext/>
              <w:suppressLineNumbers/>
              <w:suppressAutoHyphens/>
              <w:jc w:val="center"/>
              <w:rPr>
                <w:rFonts w:eastAsia="Times New Roman" w:cstheme="minorHAnsi"/>
                <w:sz w:val="21"/>
                <w:szCs w:val="21"/>
              </w:rPr>
            </w:pPr>
          </w:p>
        </w:tc>
        <w:tc>
          <w:tcPr>
            <w:tcW w:w="1620" w:type="dxa"/>
            <w:shd w:val="clear" w:color="000000" w:fill="F2F2F2"/>
            <w:vAlign w:val="center"/>
          </w:tcPr>
          <w:p w14:paraId="0DE51314" w14:textId="77777777" w:rsidR="00F303E0" w:rsidRPr="00EE5714" w:rsidRDefault="00F303E0" w:rsidP="00851815">
            <w:pPr>
              <w:keepNext/>
              <w:suppressLineNumbers/>
              <w:suppressAutoHyphens/>
              <w:jc w:val="center"/>
              <w:rPr>
                <w:rFonts w:eastAsia="Times New Roman" w:cstheme="minorHAnsi"/>
                <w:sz w:val="21"/>
                <w:szCs w:val="21"/>
              </w:rPr>
            </w:pPr>
          </w:p>
        </w:tc>
      </w:tr>
      <w:tr w:rsidR="00201ED4" w:rsidRPr="00EE5714" w14:paraId="3C887DCD" w14:textId="77777777" w:rsidTr="00CE67A6">
        <w:trPr>
          <w:trHeight w:hRule="exact" w:val="245"/>
        </w:trPr>
        <w:tc>
          <w:tcPr>
            <w:tcW w:w="2070" w:type="dxa"/>
            <w:shd w:val="clear" w:color="auto" w:fill="auto"/>
            <w:noWrap/>
            <w:vAlign w:val="center"/>
          </w:tcPr>
          <w:p w14:paraId="771DD75C"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Heat </w:t>
            </w:r>
          </w:p>
        </w:tc>
        <w:tc>
          <w:tcPr>
            <w:tcW w:w="1620" w:type="dxa"/>
            <w:shd w:val="clear" w:color="auto" w:fill="auto"/>
            <w:noWrap/>
            <w:vAlign w:val="center"/>
          </w:tcPr>
          <w:p w14:paraId="4EDBD710"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60.80%</w:t>
            </w:r>
          </w:p>
        </w:tc>
        <w:tc>
          <w:tcPr>
            <w:tcW w:w="1530" w:type="dxa"/>
            <w:shd w:val="clear" w:color="auto" w:fill="auto"/>
            <w:noWrap/>
            <w:vAlign w:val="center"/>
          </w:tcPr>
          <w:p w14:paraId="62D6575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47.27%</w:t>
            </w:r>
          </w:p>
        </w:tc>
        <w:tc>
          <w:tcPr>
            <w:tcW w:w="1620" w:type="dxa"/>
            <w:shd w:val="clear" w:color="auto" w:fill="auto"/>
            <w:noWrap/>
            <w:vAlign w:val="center"/>
          </w:tcPr>
          <w:p w14:paraId="53E21007"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61.27%</w:t>
            </w:r>
          </w:p>
        </w:tc>
        <w:tc>
          <w:tcPr>
            <w:tcW w:w="1530" w:type="dxa"/>
            <w:vAlign w:val="center"/>
          </w:tcPr>
          <w:p w14:paraId="228DD1CF"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63.65%</w:t>
            </w:r>
          </w:p>
        </w:tc>
        <w:tc>
          <w:tcPr>
            <w:tcW w:w="1620" w:type="dxa"/>
            <w:vAlign w:val="center"/>
          </w:tcPr>
          <w:p w14:paraId="35B6AFF1"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63.13%</w:t>
            </w:r>
          </w:p>
        </w:tc>
      </w:tr>
      <w:tr w:rsidR="00201ED4" w:rsidRPr="00EE5714" w14:paraId="4FA43D4D" w14:textId="77777777" w:rsidTr="00CE67A6">
        <w:trPr>
          <w:trHeight w:hRule="exact" w:val="245"/>
        </w:trPr>
        <w:tc>
          <w:tcPr>
            <w:tcW w:w="2070" w:type="dxa"/>
            <w:shd w:val="clear" w:color="auto" w:fill="auto"/>
            <w:noWrap/>
            <w:vAlign w:val="center"/>
          </w:tcPr>
          <w:p w14:paraId="5B4F05BA"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Non-Heat </w:t>
            </w:r>
          </w:p>
        </w:tc>
        <w:tc>
          <w:tcPr>
            <w:tcW w:w="1620" w:type="dxa"/>
            <w:shd w:val="clear" w:color="auto" w:fill="auto"/>
            <w:noWrap/>
            <w:vAlign w:val="center"/>
          </w:tcPr>
          <w:p w14:paraId="019B8BC3"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57.20%</w:t>
            </w:r>
          </w:p>
        </w:tc>
        <w:tc>
          <w:tcPr>
            <w:tcW w:w="1530" w:type="dxa"/>
            <w:shd w:val="clear" w:color="auto" w:fill="auto"/>
            <w:noWrap/>
            <w:vAlign w:val="center"/>
          </w:tcPr>
          <w:p w14:paraId="474D6D7D"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51.14%</w:t>
            </w:r>
          </w:p>
        </w:tc>
        <w:tc>
          <w:tcPr>
            <w:tcW w:w="1620" w:type="dxa"/>
            <w:shd w:val="clear" w:color="auto" w:fill="auto"/>
            <w:noWrap/>
            <w:vAlign w:val="center"/>
          </w:tcPr>
          <w:p w14:paraId="006E305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69.09%</w:t>
            </w:r>
          </w:p>
        </w:tc>
        <w:tc>
          <w:tcPr>
            <w:tcW w:w="1530" w:type="dxa"/>
            <w:vAlign w:val="center"/>
          </w:tcPr>
          <w:p w14:paraId="1E41A6C4"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68.80%</w:t>
            </w:r>
          </w:p>
        </w:tc>
        <w:tc>
          <w:tcPr>
            <w:tcW w:w="1620" w:type="dxa"/>
            <w:vAlign w:val="center"/>
          </w:tcPr>
          <w:p w14:paraId="57A77E47"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70.57%</w:t>
            </w:r>
          </w:p>
        </w:tc>
      </w:tr>
      <w:tr w:rsidR="00201ED4" w:rsidRPr="00EE5714" w14:paraId="70542EEB" w14:textId="77777777" w:rsidTr="00CE67A6">
        <w:trPr>
          <w:trHeight w:hRule="exact" w:val="245"/>
        </w:trPr>
        <w:tc>
          <w:tcPr>
            <w:tcW w:w="2070" w:type="dxa"/>
            <w:shd w:val="clear" w:color="auto" w:fill="auto"/>
            <w:noWrap/>
            <w:vAlign w:val="center"/>
          </w:tcPr>
          <w:p w14:paraId="6AD08A7D"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Aggregate</w:t>
            </w:r>
          </w:p>
        </w:tc>
        <w:tc>
          <w:tcPr>
            <w:tcW w:w="1620" w:type="dxa"/>
            <w:shd w:val="clear" w:color="auto" w:fill="auto"/>
            <w:noWrap/>
            <w:vAlign w:val="center"/>
          </w:tcPr>
          <w:p w14:paraId="5D5DBD3E"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57.77%</w:t>
            </w:r>
          </w:p>
        </w:tc>
        <w:tc>
          <w:tcPr>
            <w:tcW w:w="1530" w:type="dxa"/>
            <w:shd w:val="clear" w:color="auto" w:fill="auto"/>
            <w:noWrap/>
            <w:vAlign w:val="center"/>
          </w:tcPr>
          <w:p w14:paraId="7031D9A6"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50.44%</w:t>
            </w:r>
          </w:p>
        </w:tc>
        <w:tc>
          <w:tcPr>
            <w:tcW w:w="1620" w:type="dxa"/>
            <w:shd w:val="clear" w:color="auto" w:fill="auto"/>
            <w:noWrap/>
            <w:vAlign w:val="center"/>
          </w:tcPr>
          <w:p w14:paraId="4377A53F"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67.82%</w:t>
            </w:r>
          </w:p>
        </w:tc>
        <w:tc>
          <w:tcPr>
            <w:tcW w:w="1530" w:type="dxa"/>
            <w:vAlign w:val="center"/>
          </w:tcPr>
          <w:p w14:paraId="600B4A1C"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67.94%</w:t>
            </w:r>
          </w:p>
        </w:tc>
        <w:tc>
          <w:tcPr>
            <w:tcW w:w="1620" w:type="dxa"/>
            <w:vAlign w:val="center"/>
          </w:tcPr>
          <w:p w14:paraId="2C27076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69.16%</w:t>
            </w:r>
          </w:p>
        </w:tc>
      </w:tr>
      <w:tr w:rsidR="00201ED4" w:rsidRPr="00EE5714" w14:paraId="6A6849C6" w14:textId="77777777" w:rsidTr="00CE67A6">
        <w:trPr>
          <w:trHeight w:hRule="exact" w:val="245"/>
        </w:trPr>
        <w:tc>
          <w:tcPr>
            <w:tcW w:w="2070" w:type="dxa"/>
            <w:shd w:val="clear" w:color="000000" w:fill="F2F2F2"/>
            <w:noWrap/>
            <w:vAlign w:val="center"/>
            <w:hideMark/>
          </w:tcPr>
          <w:p w14:paraId="6898DD29" w14:textId="77777777" w:rsidR="00F303E0" w:rsidRPr="00EE5714" w:rsidRDefault="00F303E0" w:rsidP="00851815">
            <w:pPr>
              <w:keepNext/>
              <w:suppressLineNumbers/>
              <w:suppressAutoHyphen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620" w:type="dxa"/>
            <w:shd w:val="clear" w:color="000000" w:fill="F2F2F2"/>
            <w:noWrap/>
            <w:vAlign w:val="center"/>
          </w:tcPr>
          <w:p w14:paraId="4B696E65" w14:textId="77777777" w:rsidR="00F303E0" w:rsidRPr="00EE5714" w:rsidRDefault="00F303E0" w:rsidP="00851815">
            <w:pPr>
              <w:keepNext/>
              <w:suppressLineNumbers/>
              <w:suppressAutoHyphens/>
              <w:jc w:val="center"/>
              <w:rPr>
                <w:rFonts w:eastAsia="Times New Roman" w:cstheme="minorHAnsi"/>
                <w:sz w:val="21"/>
                <w:szCs w:val="21"/>
              </w:rPr>
            </w:pPr>
          </w:p>
        </w:tc>
        <w:tc>
          <w:tcPr>
            <w:tcW w:w="1530" w:type="dxa"/>
            <w:shd w:val="clear" w:color="000000" w:fill="F2F2F2"/>
            <w:noWrap/>
            <w:vAlign w:val="center"/>
          </w:tcPr>
          <w:p w14:paraId="26BD063D" w14:textId="77777777" w:rsidR="00F303E0" w:rsidRPr="00EE5714" w:rsidRDefault="00F303E0" w:rsidP="00851815">
            <w:pPr>
              <w:keepNext/>
              <w:suppressLineNumbers/>
              <w:suppressAutoHyphens/>
              <w:jc w:val="center"/>
              <w:rPr>
                <w:rFonts w:eastAsia="Times New Roman" w:cstheme="minorHAnsi"/>
                <w:sz w:val="21"/>
                <w:szCs w:val="21"/>
              </w:rPr>
            </w:pPr>
          </w:p>
        </w:tc>
        <w:tc>
          <w:tcPr>
            <w:tcW w:w="1620" w:type="dxa"/>
            <w:shd w:val="clear" w:color="000000" w:fill="F2F2F2"/>
            <w:noWrap/>
            <w:vAlign w:val="center"/>
          </w:tcPr>
          <w:p w14:paraId="3CA51B11" w14:textId="77777777" w:rsidR="00F303E0" w:rsidRPr="00EE5714" w:rsidRDefault="00F303E0" w:rsidP="00851815">
            <w:pPr>
              <w:keepNext/>
              <w:suppressLineNumbers/>
              <w:suppressAutoHyphens/>
              <w:jc w:val="center"/>
              <w:rPr>
                <w:rFonts w:eastAsia="Times New Roman" w:cstheme="minorHAnsi"/>
                <w:sz w:val="21"/>
                <w:szCs w:val="21"/>
              </w:rPr>
            </w:pPr>
          </w:p>
        </w:tc>
        <w:tc>
          <w:tcPr>
            <w:tcW w:w="1530" w:type="dxa"/>
            <w:shd w:val="clear" w:color="000000" w:fill="F2F2F2"/>
            <w:vAlign w:val="center"/>
          </w:tcPr>
          <w:p w14:paraId="250C2AE7" w14:textId="77777777" w:rsidR="00F303E0" w:rsidRPr="00EE5714" w:rsidRDefault="00F303E0" w:rsidP="00851815">
            <w:pPr>
              <w:keepNext/>
              <w:suppressLineNumbers/>
              <w:suppressAutoHyphens/>
              <w:jc w:val="center"/>
              <w:rPr>
                <w:rFonts w:eastAsia="Times New Roman" w:cstheme="minorHAnsi"/>
                <w:sz w:val="21"/>
                <w:szCs w:val="21"/>
              </w:rPr>
            </w:pPr>
          </w:p>
        </w:tc>
        <w:tc>
          <w:tcPr>
            <w:tcW w:w="1620" w:type="dxa"/>
            <w:shd w:val="clear" w:color="000000" w:fill="F2F2F2"/>
            <w:vAlign w:val="center"/>
          </w:tcPr>
          <w:p w14:paraId="5ED69D95" w14:textId="77777777" w:rsidR="00F303E0" w:rsidRPr="00EE5714" w:rsidRDefault="00F303E0" w:rsidP="00851815">
            <w:pPr>
              <w:keepNext/>
              <w:suppressLineNumbers/>
              <w:suppressAutoHyphens/>
              <w:jc w:val="center"/>
              <w:rPr>
                <w:rFonts w:eastAsia="Times New Roman" w:cstheme="minorHAnsi"/>
                <w:sz w:val="21"/>
                <w:szCs w:val="21"/>
              </w:rPr>
            </w:pPr>
          </w:p>
        </w:tc>
      </w:tr>
      <w:tr w:rsidR="00201ED4" w:rsidRPr="00EE5714" w14:paraId="665E973A" w14:textId="77777777" w:rsidTr="00CE67A6">
        <w:trPr>
          <w:trHeight w:hRule="exact" w:val="245"/>
        </w:trPr>
        <w:tc>
          <w:tcPr>
            <w:tcW w:w="2070" w:type="dxa"/>
            <w:shd w:val="clear" w:color="auto" w:fill="auto"/>
            <w:noWrap/>
            <w:vAlign w:val="center"/>
          </w:tcPr>
          <w:p w14:paraId="3DE3194E"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Heat </w:t>
            </w:r>
          </w:p>
        </w:tc>
        <w:tc>
          <w:tcPr>
            <w:tcW w:w="1620" w:type="dxa"/>
            <w:shd w:val="clear" w:color="auto" w:fill="auto"/>
            <w:noWrap/>
            <w:vAlign w:val="center"/>
          </w:tcPr>
          <w:p w14:paraId="4C4EA026"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62.71%</w:t>
            </w:r>
          </w:p>
        </w:tc>
        <w:tc>
          <w:tcPr>
            <w:tcW w:w="1530" w:type="dxa"/>
            <w:shd w:val="clear" w:color="auto" w:fill="auto"/>
            <w:noWrap/>
            <w:vAlign w:val="center"/>
          </w:tcPr>
          <w:p w14:paraId="7F62B156"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56.40%</w:t>
            </w:r>
          </w:p>
        </w:tc>
        <w:tc>
          <w:tcPr>
            <w:tcW w:w="1620" w:type="dxa"/>
            <w:shd w:val="clear" w:color="auto" w:fill="auto"/>
            <w:noWrap/>
            <w:vAlign w:val="center"/>
          </w:tcPr>
          <w:p w14:paraId="083A20C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56.86%</w:t>
            </w:r>
          </w:p>
        </w:tc>
        <w:tc>
          <w:tcPr>
            <w:tcW w:w="1530" w:type="dxa"/>
            <w:vAlign w:val="center"/>
          </w:tcPr>
          <w:p w14:paraId="39089244"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63.09%</w:t>
            </w:r>
          </w:p>
        </w:tc>
        <w:tc>
          <w:tcPr>
            <w:tcW w:w="1620" w:type="dxa"/>
            <w:vAlign w:val="center"/>
          </w:tcPr>
          <w:p w14:paraId="18E00CF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57.91%</w:t>
            </w:r>
          </w:p>
        </w:tc>
      </w:tr>
      <w:tr w:rsidR="00201ED4" w:rsidRPr="00EE5714" w14:paraId="00F94E44" w14:textId="77777777" w:rsidTr="00CE67A6">
        <w:trPr>
          <w:trHeight w:hRule="exact" w:val="245"/>
        </w:trPr>
        <w:tc>
          <w:tcPr>
            <w:tcW w:w="2070" w:type="dxa"/>
            <w:shd w:val="clear" w:color="auto" w:fill="auto"/>
            <w:noWrap/>
            <w:vAlign w:val="center"/>
          </w:tcPr>
          <w:p w14:paraId="55DC860D"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Non-Heat </w:t>
            </w:r>
          </w:p>
        </w:tc>
        <w:tc>
          <w:tcPr>
            <w:tcW w:w="1620" w:type="dxa"/>
            <w:shd w:val="clear" w:color="auto" w:fill="auto"/>
            <w:noWrap/>
            <w:vAlign w:val="center"/>
          </w:tcPr>
          <w:p w14:paraId="080F95D7"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62.71%</w:t>
            </w:r>
          </w:p>
        </w:tc>
        <w:tc>
          <w:tcPr>
            <w:tcW w:w="1530" w:type="dxa"/>
            <w:shd w:val="clear" w:color="auto" w:fill="auto"/>
            <w:noWrap/>
            <w:vAlign w:val="center"/>
          </w:tcPr>
          <w:p w14:paraId="58F408E9"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56.40%</w:t>
            </w:r>
          </w:p>
        </w:tc>
        <w:tc>
          <w:tcPr>
            <w:tcW w:w="1620" w:type="dxa"/>
            <w:shd w:val="clear" w:color="auto" w:fill="auto"/>
            <w:noWrap/>
            <w:vAlign w:val="center"/>
          </w:tcPr>
          <w:p w14:paraId="2506A824"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56.86%</w:t>
            </w:r>
          </w:p>
        </w:tc>
        <w:tc>
          <w:tcPr>
            <w:tcW w:w="1530" w:type="dxa"/>
            <w:vAlign w:val="center"/>
          </w:tcPr>
          <w:p w14:paraId="0B6D2A39"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63.09%</w:t>
            </w:r>
          </w:p>
        </w:tc>
        <w:tc>
          <w:tcPr>
            <w:tcW w:w="1620" w:type="dxa"/>
            <w:vAlign w:val="center"/>
          </w:tcPr>
          <w:p w14:paraId="75F98892"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57.91%</w:t>
            </w:r>
          </w:p>
        </w:tc>
      </w:tr>
      <w:tr w:rsidR="00201ED4" w:rsidRPr="00EE5714" w14:paraId="0102A27A" w14:textId="77777777" w:rsidTr="00CE67A6">
        <w:trPr>
          <w:trHeight w:hRule="exact" w:val="245"/>
        </w:trPr>
        <w:tc>
          <w:tcPr>
            <w:tcW w:w="2070" w:type="dxa"/>
            <w:shd w:val="clear" w:color="auto" w:fill="auto"/>
            <w:noWrap/>
            <w:vAlign w:val="center"/>
          </w:tcPr>
          <w:p w14:paraId="773C38AD"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Aggregate</w:t>
            </w:r>
          </w:p>
        </w:tc>
        <w:tc>
          <w:tcPr>
            <w:tcW w:w="1620" w:type="dxa"/>
            <w:shd w:val="clear" w:color="auto" w:fill="auto"/>
            <w:noWrap/>
            <w:vAlign w:val="center"/>
          </w:tcPr>
          <w:p w14:paraId="5C574AF8"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57.60%</w:t>
            </w:r>
          </w:p>
        </w:tc>
        <w:tc>
          <w:tcPr>
            <w:tcW w:w="1530" w:type="dxa"/>
            <w:shd w:val="clear" w:color="auto" w:fill="auto"/>
            <w:noWrap/>
            <w:vAlign w:val="center"/>
          </w:tcPr>
          <w:p w14:paraId="1BE3F6B8"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59.62%</w:t>
            </w:r>
          </w:p>
        </w:tc>
        <w:tc>
          <w:tcPr>
            <w:tcW w:w="1620" w:type="dxa"/>
            <w:shd w:val="clear" w:color="auto" w:fill="auto"/>
            <w:noWrap/>
            <w:vAlign w:val="center"/>
          </w:tcPr>
          <w:p w14:paraId="137CB688"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61.18%</w:t>
            </w:r>
          </w:p>
        </w:tc>
        <w:tc>
          <w:tcPr>
            <w:tcW w:w="1530" w:type="dxa"/>
            <w:vAlign w:val="center"/>
          </w:tcPr>
          <w:p w14:paraId="32733009"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64.65%</w:t>
            </w:r>
          </w:p>
        </w:tc>
        <w:tc>
          <w:tcPr>
            <w:tcW w:w="1620" w:type="dxa"/>
            <w:vAlign w:val="center"/>
          </w:tcPr>
          <w:p w14:paraId="08069EB1"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60.32%</w:t>
            </w:r>
          </w:p>
        </w:tc>
      </w:tr>
      <w:tr w:rsidR="00201ED4" w:rsidRPr="00EE5714" w14:paraId="054D9A5E" w14:textId="77777777" w:rsidTr="00CE67A6">
        <w:trPr>
          <w:trHeight w:hRule="exact" w:val="245"/>
        </w:trPr>
        <w:tc>
          <w:tcPr>
            <w:tcW w:w="2070" w:type="dxa"/>
            <w:shd w:val="clear" w:color="000000" w:fill="F2F2F2"/>
            <w:noWrap/>
            <w:vAlign w:val="center"/>
            <w:hideMark/>
          </w:tcPr>
          <w:p w14:paraId="5D1FE24F" w14:textId="77777777" w:rsidR="00F303E0" w:rsidRPr="00EE5714" w:rsidRDefault="00F303E0" w:rsidP="00851815">
            <w:pPr>
              <w:keepNext/>
              <w:suppressLineNumbers/>
              <w:suppressAutoHyphens/>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c>
          <w:tcPr>
            <w:tcW w:w="1620" w:type="dxa"/>
            <w:shd w:val="clear" w:color="000000" w:fill="F2F2F2"/>
            <w:noWrap/>
            <w:vAlign w:val="center"/>
          </w:tcPr>
          <w:p w14:paraId="2B39CF30" w14:textId="77777777" w:rsidR="00F303E0" w:rsidRPr="00EE5714" w:rsidRDefault="00F303E0" w:rsidP="00851815">
            <w:pPr>
              <w:keepNext/>
              <w:suppressLineNumbers/>
              <w:suppressAutoHyphens/>
              <w:jc w:val="center"/>
              <w:rPr>
                <w:rFonts w:eastAsia="Times New Roman" w:cstheme="minorHAnsi"/>
                <w:sz w:val="21"/>
                <w:szCs w:val="21"/>
              </w:rPr>
            </w:pPr>
          </w:p>
        </w:tc>
        <w:tc>
          <w:tcPr>
            <w:tcW w:w="1530" w:type="dxa"/>
            <w:shd w:val="clear" w:color="000000" w:fill="F2F2F2"/>
            <w:noWrap/>
            <w:vAlign w:val="center"/>
          </w:tcPr>
          <w:p w14:paraId="63CE2540" w14:textId="77777777" w:rsidR="00F303E0" w:rsidRPr="00EE5714" w:rsidRDefault="00F303E0" w:rsidP="00851815">
            <w:pPr>
              <w:keepNext/>
              <w:suppressLineNumbers/>
              <w:suppressAutoHyphens/>
              <w:jc w:val="center"/>
              <w:rPr>
                <w:rFonts w:eastAsia="Times New Roman" w:cstheme="minorHAnsi"/>
                <w:sz w:val="21"/>
                <w:szCs w:val="21"/>
              </w:rPr>
            </w:pPr>
          </w:p>
        </w:tc>
        <w:tc>
          <w:tcPr>
            <w:tcW w:w="1620" w:type="dxa"/>
            <w:shd w:val="clear" w:color="000000" w:fill="F2F2F2"/>
            <w:noWrap/>
            <w:vAlign w:val="center"/>
          </w:tcPr>
          <w:p w14:paraId="7677E6A8" w14:textId="77777777" w:rsidR="00F303E0" w:rsidRPr="00EE5714" w:rsidRDefault="00F303E0" w:rsidP="00851815">
            <w:pPr>
              <w:keepNext/>
              <w:suppressLineNumbers/>
              <w:suppressAutoHyphens/>
              <w:jc w:val="center"/>
              <w:rPr>
                <w:rFonts w:eastAsia="Times New Roman" w:cstheme="minorHAnsi"/>
                <w:sz w:val="21"/>
                <w:szCs w:val="21"/>
              </w:rPr>
            </w:pPr>
          </w:p>
        </w:tc>
        <w:tc>
          <w:tcPr>
            <w:tcW w:w="1530" w:type="dxa"/>
            <w:shd w:val="clear" w:color="000000" w:fill="F2F2F2"/>
            <w:vAlign w:val="center"/>
          </w:tcPr>
          <w:p w14:paraId="70D8B623" w14:textId="77777777" w:rsidR="00F303E0" w:rsidRPr="00EE5714" w:rsidRDefault="00F303E0" w:rsidP="00851815">
            <w:pPr>
              <w:keepNext/>
              <w:suppressLineNumbers/>
              <w:suppressAutoHyphens/>
              <w:jc w:val="center"/>
              <w:rPr>
                <w:rFonts w:eastAsia="Times New Roman" w:cstheme="minorHAnsi"/>
                <w:sz w:val="21"/>
                <w:szCs w:val="21"/>
              </w:rPr>
            </w:pPr>
          </w:p>
        </w:tc>
        <w:tc>
          <w:tcPr>
            <w:tcW w:w="1620" w:type="dxa"/>
            <w:shd w:val="clear" w:color="000000" w:fill="F2F2F2"/>
            <w:vAlign w:val="center"/>
          </w:tcPr>
          <w:p w14:paraId="44D04756" w14:textId="77777777" w:rsidR="00F303E0" w:rsidRPr="00EE5714" w:rsidRDefault="00F303E0" w:rsidP="00851815">
            <w:pPr>
              <w:keepNext/>
              <w:suppressLineNumbers/>
              <w:suppressAutoHyphens/>
              <w:jc w:val="center"/>
              <w:rPr>
                <w:rFonts w:eastAsia="Times New Roman" w:cstheme="minorHAnsi"/>
                <w:sz w:val="21"/>
                <w:szCs w:val="21"/>
              </w:rPr>
            </w:pPr>
          </w:p>
        </w:tc>
      </w:tr>
      <w:tr w:rsidR="00201ED4" w:rsidRPr="00EE5714" w14:paraId="28C1631C" w14:textId="77777777" w:rsidTr="00CE67A6">
        <w:trPr>
          <w:trHeight w:hRule="exact" w:val="245"/>
        </w:trPr>
        <w:tc>
          <w:tcPr>
            <w:tcW w:w="2070" w:type="dxa"/>
            <w:shd w:val="clear" w:color="auto" w:fill="auto"/>
            <w:noWrap/>
            <w:vAlign w:val="center"/>
          </w:tcPr>
          <w:p w14:paraId="0D27BFC0"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Heat </w:t>
            </w:r>
          </w:p>
        </w:tc>
        <w:tc>
          <w:tcPr>
            <w:tcW w:w="1620" w:type="dxa"/>
            <w:shd w:val="clear" w:color="auto" w:fill="auto"/>
            <w:noWrap/>
            <w:vAlign w:val="center"/>
            <w:hideMark/>
          </w:tcPr>
          <w:p w14:paraId="48F3D3AF"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N/A</w:t>
            </w:r>
          </w:p>
        </w:tc>
        <w:tc>
          <w:tcPr>
            <w:tcW w:w="1530" w:type="dxa"/>
            <w:shd w:val="clear" w:color="auto" w:fill="auto"/>
            <w:noWrap/>
            <w:vAlign w:val="center"/>
            <w:hideMark/>
          </w:tcPr>
          <w:p w14:paraId="4D0CBD7C"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N/A</w:t>
            </w:r>
          </w:p>
        </w:tc>
        <w:tc>
          <w:tcPr>
            <w:tcW w:w="1620" w:type="dxa"/>
            <w:shd w:val="clear" w:color="auto" w:fill="auto"/>
            <w:noWrap/>
            <w:vAlign w:val="center"/>
            <w:hideMark/>
          </w:tcPr>
          <w:p w14:paraId="7CCE20E0"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44.98%</w:t>
            </w:r>
          </w:p>
        </w:tc>
        <w:tc>
          <w:tcPr>
            <w:tcW w:w="1530" w:type="dxa"/>
            <w:vAlign w:val="center"/>
          </w:tcPr>
          <w:p w14:paraId="0AD0219F"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45.43%</w:t>
            </w:r>
          </w:p>
        </w:tc>
        <w:tc>
          <w:tcPr>
            <w:tcW w:w="1620" w:type="dxa"/>
            <w:vAlign w:val="center"/>
          </w:tcPr>
          <w:p w14:paraId="6DA68822"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51.04%</w:t>
            </w:r>
          </w:p>
        </w:tc>
      </w:tr>
      <w:tr w:rsidR="00201ED4" w:rsidRPr="00EE5714" w14:paraId="28949496" w14:textId="77777777" w:rsidTr="00CE67A6">
        <w:trPr>
          <w:trHeight w:hRule="exact" w:val="245"/>
        </w:trPr>
        <w:tc>
          <w:tcPr>
            <w:tcW w:w="2070" w:type="dxa"/>
            <w:shd w:val="clear" w:color="auto" w:fill="auto"/>
            <w:noWrap/>
            <w:vAlign w:val="center"/>
          </w:tcPr>
          <w:p w14:paraId="1E03EC3C" w14:textId="77777777" w:rsidR="00F303E0" w:rsidRPr="00EE5714" w:rsidRDefault="00F303E0" w:rsidP="00851815">
            <w:pPr>
              <w:keepNext/>
              <w:suppressLineNumbers/>
              <w:suppressAutoHyphens/>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Non-Heat </w:t>
            </w:r>
          </w:p>
        </w:tc>
        <w:tc>
          <w:tcPr>
            <w:tcW w:w="1620" w:type="dxa"/>
            <w:shd w:val="clear" w:color="auto" w:fill="auto"/>
            <w:noWrap/>
            <w:vAlign w:val="center"/>
            <w:hideMark/>
          </w:tcPr>
          <w:p w14:paraId="178A8314" w14:textId="77777777" w:rsidR="00F303E0" w:rsidRPr="00EE5714" w:rsidRDefault="00F303E0" w:rsidP="00851815">
            <w:pPr>
              <w:keepNext/>
              <w:suppressLineNumbers/>
              <w:suppressAutoHyphens/>
              <w:jc w:val="center"/>
              <w:rPr>
                <w:rFonts w:eastAsia="Times New Roman" w:cstheme="minorHAnsi"/>
                <w:sz w:val="21"/>
                <w:szCs w:val="21"/>
              </w:rPr>
            </w:pPr>
            <w:r w:rsidRPr="00EE5714">
              <w:rPr>
                <w:rFonts w:eastAsia="Times New Roman" w:cstheme="minorHAnsi"/>
                <w:sz w:val="21"/>
                <w:szCs w:val="21"/>
              </w:rPr>
              <w:t>N/A</w:t>
            </w:r>
          </w:p>
        </w:tc>
        <w:tc>
          <w:tcPr>
            <w:tcW w:w="1530" w:type="dxa"/>
            <w:shd w:val="clear" w:color="auto" w:fill="auto"/>
            <w:noWrap/>
            <w:vAlign w:val="center"/>
            <w:hideMark/>
          </w:tcPr>
          <w:p w14:paraId="37D36278" w14:textId="77777777" w:rsidR="00F303E0" w:rsidRPr="00EE5714" w:rsidRDefault="00F303E0" w:rsidP="00851815">
            <w:pPr>
              <w:keepNext/>
              <w:suppressLineNumbers/>
              <w:suppressAutoHyphens/>
              <w:jc w:val="center"/>
              <w:rPr>
                <w:rFonts w:eastAsia="Times New Roman" w:cstheme="minorHAnsi"/>
                <w:sz w:val="21"/>
                <w:szCs w:val="21"/>
              </w:rPr>
            </w:pPr>
            <w:r w:rsidRPr="00EE5714">
              <w:rPr>
                <w:rFonts w:eastAsia="Times New Roman" w:cstheme="minorHAnsi"/>
                <w:sz w:val="21"/>
                <w:szCs w:val="21"/>
              </w:rPr>
              <w:t>N/A</w:t>
            </w:r>
          </w:p>
        </w:tc>
        <w:tc>
          <w:tcPr>
            <w:tcW w:w="1620" w:type="dxa"/>
            <w:shd w:val="clear" w:color="auto" w:fill="auto"/>
            <w:noWrap/>
            <w:vAlign w:val="center"/>
            <w:hideMark/>
          </w:tcPr>
          <w:p w14:paraId="43756505"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41.97%</w:t>
            </w:r>
          </w:p>
        </w:tc>
        <w:tc>
          <w:tcPr>
            <w:tcW w:w="1530" w:type="dxa"/>
            <w:vAlign w:val="center"/>
          </w:tcPr>
          <w:p w14:paraId="09B138FA"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43.00%</w:t>
            </w:r>
          </w:p>
        </w:tc>
        <w:tc>
          <w:tcPr>
            <w:tcW w:w="1620" w:type="dxa"/>
            <w:vAlign w:val="center"/>
          </w:tcPr>
          <w:p w14:paraId="6EE37F39" w14:textId="77777777" w:rsidR="00F303E0" w:rsidRPr="00EE5714" w:rsidRDefault="00F303E0" w:rsidP="00851815">
            <w:pPr>
              <w:keepNext/>
              <w:suppressLineNumbers/>
              <w:suppressAutoHyphens/>
              <w:jc w:val="center"/>
              <w:rPr>
                <w:rFonts w:cstheme="minorHAnsi"/>
                <w:sz w:val="21"/>
                <w:szCs w:val="21"/>
              </w:rPr>
            </w:pPr>
            <w:r w:rsidRPr="00EE5714">
              <w:rPr>
                <w:rFonts w:cstheme="minorHAnsi"/>
                <w:sz w:val="21"/>
                <w:szCs w:val="21"/>
              </w:rPr>
              <w:t>55.80%</w:t>
            </w:r>
          </w:p>
        </w:tc>
      </w:tr>
      <w:tr w:rsidR="00201ED4" w:rsidRPr="00EE5714" w14:paraId="35AFC8AA" w14:textId="77777777" w:rsidTr="00CE67A6">
        <w:trPr>
          <w:trHeight w:hRule="exact" w:val="245"/>
        </w:trPr>
        <w:tc>
          <w:tcPr>
            <w:tcW w:w="2070" w:type="dxa"/>
            <w:shd w:val="clear" w:color="auto" w:fill="auto"/>
            <w:noWrap/>
            <w:vAlign w:val="center"/>
          </w:tcPr>
          <w:p w14:paraId="6715011A" w14:textId="77777777" w:rsidR="00F303E0" w:rsidRPr="00EE5714" w:rsidRDefault="00F303E0" w:rsidP="00851815">
            <w:pPr>
              <w:rPr>
                <w:rFonts w:ascii="Calibri" w:eastAsia="Times New Roman" w:hAnsi="Calibri" w:cs="Calibri"/>
                <w:color w:val="000000"/>
                <w:sz w:val="21"/>
                <w:szCs w:val="21"/>
              </w:rPr>
            </w:pPr>
            <w:r w:rsidRPr="00EE5714">
              <w:rPr>
                <w:rFonts w:ascii="Calibri" w:eastAsia="Times New Roman" w:hAnsi="Calibri" w:cs="Calibri"/>
                <w:color w:val="000000"/>
                <w:sz w:val="21"/>
                <w:szCs w:val="21"/>
              </w:rPr>
              <w:t>Aggregate</w:t>
            </w:r>
          </w:p>
        </w:tc>
        <w:tc>
          <w:tcPr>
            <w:tcW w:w="1620" w:type="dxa"/>
            <w:shd w:val="clear" w:color="auto" w:fill="auto"/>
            <w:noWrap/>
            <w:vAlign w:val="center"/>
          </w:tcPr>
          <w:p w14:paraId="2BD82EA5" w14:textId="77777777" w:rsidR="00F303E0" w:rsidRPr="00EE5714" w:rsidRDefault="00F303E0" w:rsidP="00851815">
            <w:pPr>
              <w:jc w:val="center"/>
              <w:rPr>
                <w:rFonts w:eastAsia="Times New Roman" w:cstheme="minorHAnsi"/>
                <w:sz w:val="21"/>
                <w:szCs w:val="21"/>
              </w:rPr>
            </w:pPr>
            <w:r w:rsidRPr="00EE5714">
              <w:rPr>
                <w:rFonts w:eastAsia="Times New Roman" w:cstheme="minorHAnsi"/>
                <w:sz w:val="21"/>
                <w:szCs w:val="21"/>
              </w:rPr>
              <w:t>N/A</w:t>
            </w:r>
          </w:p>
        </w:tc>
        <w:tc>
          <w:tcPr>
            <w:tcW w:w="1530" w:type="dxa"/>
            <w:shd w:val="clear" w:color="auto" w:fill="auto"/>
            <w:noWrap/>
            <w:vAlign w:val="center"/>
          </w:tcPr>
          <w:p w14:paraId="1F822E82" w14:textId="77777777" w:rsidR="00F303E0" w:rsidRPr="00EE5714" w:rsidRDefault="00F303E0" w:rsidP="00851815">
            <w:pPr>
              <w:jc w:val="center"/>
              <w:rPr>
                <w:rFonts w:eastAsia="Times New Roman" w:cstheme="minorHAnsi"/>
                <w:sz w:val="21"/>
                <w:szCs w:val="21"/>
              </w:rPr>
            </w:pPr>
            <w:r w:rsidRPr="00EE5714">
              <w:rPr>
                <w:rFonts w:eastAsia="Times New Roman" w:cstheme="minorHAnsi"/>
                <w:sz w:val="21"/>
                <w:szCs w:val="21"/>
              </w:rPr>
              <w:t>N/A</w:t>
            </w:r>
          </w:p>
        </w:tc>
        <w:tc>
          <w:tcPr>
            <w:tcW w:w="1620" w:type="dxa"/>
            <w:shd w:val="clear" w:color="auto" w:fill="auto"/>
            <w:noWrap/>
            <w:vAlign w:val="center"/>
          </w:tcPr>
          <w:p w14:paraId="603EFE67" w14:textId="77777777" w:rsidR="00F303E0" w:rsidRPr="00EE5714" w:rsidRDefault="00F303E0" w:rsidP="00851815">
            <w:pPr>
              <w:jc w:val="center"/>
              <w:rPr>
                <w:rFonts w:cstheme="minorHAnsi"/>
                <w:sz w:val="21"/>
                <w:szCs w:val="21"/>
              </w:rPr>
            </w:pPr>
            <w:r w:rsidRPr="00EE5714">
              <w:rPr>
                <w:rFonts w:cstheme="minorHAnsi"/>
                <w:sz w:val="21"/>
                <w:szCs w:val="21"/>
              </w:rPr>
              <w:t>42.66%</w:t>
            </w:r>
          </w:p>
        </w:tc>
        <w:tc>
          <w:tcPr>
            <w:tcW w:w="1530" w:type="dxa"/>
            <w:vAlign w:val="center"/>
          </w:tcPr>
          <w:p w14:paraId="6BB292B4" w14:textId="77777777" w:rsidR="00F303E0" w:rsidRPr="00EE5714" w:rsidRDefault="00F303E0" w:rsidP="00851815">
            <w:pPr>
              <w:jc w:val="center"/>
              <w:rPr>
                <w:rFonts w:cstheme="minorHAnsi"/>
                <w:sz w:val="21"/>
                <w:szCs w:val="21"/>
              </w:rPr>
            </w:pPr>
            <w:r w:rsidRPr="00EE5714">
              <w:rPr>
                <w:rFonts w:cstheme="minorHAnsi"/>
                <w:sz w:val="21"/>
                <w:szCs w:val="21"/>
              </w:rPr>
              <w:t>43.57%</w:t>
            </w:r>
          </w:p>
        </w:tc>
        <w:tc>
          <w:tcPr>
            <w:tcW w:w="1620" w:type="dxa"/>
            <w:vAlign w:val="center"/>
          </w:tcPr>
          <w:p w14:paraId="3CB2E2B3" w14:textId="77777777" w:rsidR="00F303E0" w:rsidRPr="00EE5714" w:rsidRDefault="00F303E0" w:rsidP="00851815">
            <w:pPr>
              <w:jc w:val="center"/>
              <w:rPr>
                <w:rFonts w:cstheme="minorHAnsi"/>
                <w:sz w:val="21"/>
                <w:szCs w:val="21"/>
              </w:rPr>
            </w:pPr>
            <w:r w:rsidRPr="00EE5714">
              <w:rPr>
                <w:rFonts w:cstheme="minorHAnsi"/>
                <w:sz w:val="21"/>
                <w:szCs w:val="21"/>
              </w:rPr>
              <w:t>54.65%</w:t>
            </w:r>
          </w:p>
        </w:tc>
      </w:tr>
    </w:tbl>
    <w:p w14:paraId="33B20138" w14:textId="77777777" w:rsidR="00F303E0" w:rsidRPr="00EE5714" w:rsidRDefault="00F303E0" w:rsidP="00F303E0">
      <w:pPr>
        <w:pStyle w:val="NoSpacing"/>
        <w:rPr>
          <w:rFonts w:cs="Times New Roman"/>
          <w:szCs w:val="26"/>
        </w:rPr>
      </w:pPr>
    </w:p>
    <w:p w14:paraId="4EE5848E" w14:textId="77777777" w:rsidR="00F303E0" w:rsidRPr="00EE5714" w:rsidRDefault="00F303E0" w:rsidP="00F303E0">
      <w:pPr>
        <w:pStyle w:val="NoSpacing"/>
        <w:rPr>
          <w:rFonts w:cs="Times New Roman"/>
          <w:szCs w:val="26"/>
        </w:rPr>
      </w:pPr>
    </w:p>
    <w:p w14:paraId="561B12CD" w14:textId="77777777" w:rsidR="00F303E0" w:rsidRPr="00EE5714" w:rsidRDefault="003E499A" w:rsidP="00F303E0">
      <w:pPr>
        <w:pStyle w:val="NoSpacing"/>
        <w:keepNext/>
        <w:rPr>
          <w:rFonts w:cs="Times New Roman"/>
          <w:i/>
          <w:szCs w:val="26"/>
        </w:rPr>
      </w:pPr>
      <w:r w:rsidRPr="00EE5714">
        <w:rPr>
          <w:rFonts w:cs="Times New Roman"/>
          <w:i/>
          <w:szCs w:val="26"/>
        </w:rPr>
        <w:lastRenderedPageBreak/>
        <w:t>Appendix 5</w:t>
      </w:r>
      <w:r w:rsidR="00F303E0" w:rsidRPr="00EE5714">
        <w:rPr>
          <w:rFonts w:cs="Times New Roman"/>
          <w:i/>
          <w:szCs w:val="26"/>
        </w:rPr>
        <w:t xml:space="preserve">.D: Tables 6-9 to 6-11 EDCs Number of CAP Bills Paid in Full </w:t>
      </w:r>
    </w:p>
    <w:p w14:paraId="67AD2CCB" w14:textId="77777777" w:rsidR="00F303E0" w:rsidRPr="00EE5714" w:rsidRDefault="00F303E0" w:rsidP="00F303E0">
      <w:pPr>
        <w:pStyle w:val="NoSpacing"/>
        <w:keepNext/>
        <w:rPr>
          <w:rFonts w:eastAsia="Times New Roman" w:cs="Times New Roman"/>
          <w:szCs w:val="26"/>
        </w:rPr>
      </w:pPr>
    </w:p>
    <w:p w14:paraId="799C5E48" w14:textId="6A58B4FE" w:rsidR="00F303E0" w:rsidRPr="00EE5714" w:rsidRDefault="00F303E0">
      <w:pPr>
        <w:pStyle w:val="NoSpacing"/>
        <w:keepNext/>
        <w:rPr>
          <w:rFonts w:cs="Times New Roman"/>
        </w:rPr>
      </w:pPr>
      <w:r w:rsidRPr="00EE5714">
        <w:rPr>
          <w:rFonts w:eastAsia="Times New Roman" w:cs="Times New Roman"/>
        </w:rPr>
        <w:t xml:space="preserve">The total number of EDCs CAP bills </w:t>
      </w:r>
      <w:r w:rsidR="00923EA8" w:rsidRPr="00EE5714">
        <w:rPr>
          <w:rFonts w:eastAsia="Times New Roman" w:cs="Times New Roman"/>
        </w:rPr>
        <w:t>issued</w:t>
      </w:r>
      <w:r w:rsidRPr="00EE5714">
        <w:rPr>
          <w:rFonts w:eastAsia="Times New Roman" w:cs="Times New Roman"/>
        </w:rPr>
        <w:t xml:space="preserve"> and paid in full by FPIG level for the period from 2012 through 2016.  </w:t>
      </w:r>
    </w:p>
    <w:p w14:paraId="7ED9D7A1" w14:textId="77777777" w:rsidR="00F303E0" w:rsidRPr="00EE5714" w:rsidRDefault="00F303E0" w:rsidP="00F303E0">
      <w:pPr>
        <w:pStyle w:val="NoSpacing"/>
        <w:keepNext/>
        <w:rPr>
          <w:rFonts w:cs="Times New Roman"/>
          <w:szCs w:val="26"/>
        </w:rPr>
      </w:pPr>
    </w:p>
    <w:p w14:paraId="063235DA" w14:textId="77777777" w:rsidR="00F303E0" w:rsidRPr="00EE5714" w:rsidRDefault="003E499A" w:rsidP="00F303E0">
      <w:pPr>
        <w:pStyle w:val="NoSpacing"/>
        <w:keepNext/>
        <w:rPr>
          <w:rFonts w:cs="Times New Roman"/>
          <w:szCs w:val="26"/>
        </w:rPr>
      </w:pPr>
      <w:r w:rsidRPr="00EE5714">
        <w:rPr>
          <w:rFonts w:cs="Times New Roman"/>
          <w:szCs w:val="26"/>
        </w:rPr>
        <w:t>Appendix 5</w:t>
      </w:r>
      <w:r w:rsidR="00F303E0" w:rsidRPr="00EE5714">
        <w:rPr>
          <w:rFonts w:cs="Times New Roman"/>
          <w:szCs w:val="26"/>
        </w:rPr>
        <w:t xml:space="preserve">.D.1: CAP Electric – Bills Paid in Full </w:t>
      </w:r>
    </w:p>
    <w:tbl>
      <w:tblPr>
        <w:tblStyle w:val="TableGrid"/>
        <w:tblW w:w="9990" w:type="dxa"/>
        <w:tblInd w:w="-365" w:type="dxa"/>
        <w:tblLook w:val="04A0" w:firstRow="1" w:lastRow="0" w:firstColumn="1" w:lastColumn="0" w:noHBand="0" w:noVBand="1"/>
      </w:tblPr>
      <w:tblGrid>
        <w:gridCol w:w="1885"/>
        <w:gridCol w:w="1355"/>
        <w:gridCol w:w="1350"/>
        <w:gridCol w:w="1350"/>
        <w:gridCol w:w="1350"/>
        <w:gridCol w:w="1350"/>
        <w:gridCol w:w="1350"/>
      </w:tblGrid>
      <w:tr w:rsidR="00F303E0" w:rsidRPr="00EE5714" w14:paraId="6E436363" w14:textId="77777777" w:rsidTr="00824DBE">
        <w:trPr>
          <w:trHeight w:val="580"/>
        </w:trPr>
        <w:tc>
          <w:tcPr>
            <w:tcW w:w="1885" w:type="dxa"/>
            <w:vMerge w:val="restart"/>
            <w:vAlign w:val="center"/>
          </w:tcPr>
          <w:p w14:paraId="4F489122" w14:textId="77777777" w:rsidR="00F303E0" w:rsidRPr="00EE5714" w:rsidRDefault="00F303E0" w:rsidP="00851815">
            <w:pPr>
              <w:pStyle w:val="NoSpacing"/>
              <w:keepNext/>
              <w:ind w:left="-300" w:firstLine="195"/>
              <w:jc w:val="center"/>
              <w:rPr>
                <w:rFonts w:eastAsia="Times New Roman" w:cs="Arial"/>
                <w:b/>
              </w:rPr>
            </w:pPr>
            <w:r w:rsidRPr="00EE5714">
              <w:rPr>
                <w:rFonts w:eastAsia="Times New Roman" w:cs="Arial"/>
                <w:b/>
              </w:rPr>
              <w:t>2012</w:t>
            </w:r>
          </w:p>
        </w:tc>
        <w:tc>
          <w:tcPr>
            <w:tcW w:w="4055" w:type="dxa"/>
            <w:gridSpan w:val="3"/>
            <w:tcBorders>
              <w:right w:val="single" w:sz="12" w:space="0" w:color="auto"/>
            </w:tcBorders>
            <w:shd w:val="clear" w:color="auto" w:fill="D9D9D9" w:themeFill="background1" w:themeFillShade="D9"/>
          </w:tcPr>
          <w:p w14:paraId="2DF4B43F"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CAP Heating Accounts </w:t>
            </w:r>
          </w:p>
          <w:p w14:paraId="1FB3A822"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Number of Bills Paid In-Full</w:t>
            </w:r>
          </w:p>
        </w:tc>
        <w:tc>
          <w:tcPr>
            <w:tcW w:w="4050" w:type="dxa"/>
            <w:gridSpan w:val="3"/>
            <w:tcBorders>
              <w:top w:val="single" w:sz="8" w:space="0" w:color="000000" w:themeColor="text1"/>
              <w:left w:val="single" w:sz="12" w:space="0" w:color="auto"/>
              <w:bottom w:val="single" w:sz="8" w:space="0" w:color="000000" w:themeColor="text1"/>
              <w:right w:val="single" w:sz="8" w:space="0" w:color="000000" w:themeColor="text1"/>
            </w:tcBorders>
            <w:shd w:val="clear" w:color="auto" w:fill="D9D9D9" w:themeFill="background1" w:themeFillShade="D9"/>
          </w:tcPr>
          <w:p w14:paraId="4A45F29F"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CAP Non-Heating Accounts </w:t>
            </w:r>
          </w:p>
          <w:p w14:paraId="7879A888" w14:textId="77777777" w:rsidR="00F303E0" w:rsidRPr="00EE5714" w:rsidRDefault="00F303E0" w:rsidP="00851815">
            <w:pPr>
              <w:pStyle w:val="NoSpacing"/>
              <w:keepNext/>
              <w:jc w:val="center"/>
              <w:rPr>
                <w:rFonts w:ascii="Calibri" w:eastAsia="Times New Roman" w:hAnsi="Calibri" w:cs="Calibri"/>
                <w:b/>
                <w:bCs/>
                <w:color w:val="000000"/>
              </w:rPr>
            </w:pPr>
            <w:r w:rsidRPr="00EE5714">
              <w:rPr>
                <w:rFonts w:ascii="Calibri" w:eastAsia="Times New Roman" w:hAnsi="Calibri" w:cs="Calibri"/>
                <w:b/>
                <w:bCs/>
                <w:color w:val="000000"/>
              </w:rPr>
              <w:t>Number of Bills Paid In-Full</w:t>
            </w:r>
          </w:p>
        </w:tc>
      </w:tr>
      <w:tr w:rsidR="00A67CDB" w:rsidRPr="00EE5714" w14:paraId="5B0A5EAC" w14:textId="77777777" w:rsidTr="00824DBE">
        <w:trPr>
          <w:trHeight w:val="314"/>
        </w:trPr>
        <w:tc>
          <w:tcPr>
            <w:tcW w:w="1885" w:type="dxa"/>
            <w:vMerge/>
          </w:tcPr>
          <w:p w14:paraId="2A48C214" w14:textId="77777777" w:rsidR="00F303E0" w:rsidRPr="00EE5714" w:rsidRDefault="00F303E0" w:rsidP="00851815">
            <w:pPr>
              <w:pStyle w:val="NoSpacing"/>
              <w:keepNext/>
              <w:rPr>
                <w:rFonts w:cs="Arial"/>
              </w:rPr>
            </w:pPr>
          </w:p>
        </w:tc>
        <w:tc>
          <w:tcPr>
            <w:tcW w:w="1355" w:type="dxa"/>
            <w:vAlign w:val="bottom"/>
          </w:tcPr>
          <w:p w14:paraId="444A4F82" w14:textId="77777777" w:rsidR="00F303E0" w:rsidRPr="00EE5714" w:rsidRDefault="00F303E0" w:rsidP="00851815">
            <w:pPr>
              <w:pStyle w:val="NoSpacing"/>
              <w:keepNext/>
              <w:jc w:val="center"/>
              <w:rPr>
                <w:rFonts w:cs="Arial"/>
              </w:rPr>
            </w:pPr>
            <w:r w:rsidRPr="00EE5714">
              <w:rPr>
                <w:rFonts w:eastAsia="Times New Roman" w:cs="Arial"/>
                <w:b/>
                <w:color w:val="000000"/>
              </w:rPr>
              <w:t>50% FPIG</w:t>
            </w:r>
          </w:p>
        </w:tc>
        <w:tc>
          <w:tcPr>
            <w:tcW w:w="1350" w:type="dxa"/>
            <w:vAlign w:val="bottom"/>
          </w:tcPr>
          <w:p w14:paraId="71D90AAF" w14:textId="77777777" w:rsidR="00F303E0" w:rsidRPr="00EE5714" w:rsidRDefault="00F303E0" w:rsidP="00851815">
            <w:pPr>
              <w:pStyle w:val="NoSpacing"/>
              <w:keepNext/>
              <w:jc w:val="center"/>
              <w:rPr>
                <w:rFonts w:cs="Arial"/>
              </w:rPr>
            </w:pPr>
            <w:r w:rsidRPr="00EE5714">
              <w:rPr>
                <w:rFonts w:eastAsia="Times New Roman" w:cs="Arial"/>
                <w:b/>
                <w:color w:val="000000"/>
              </w:rPr>
              <w:t>100% FPIG</w:t>
            </w:r>
          </w:p>
        </w:tc>
        <w:tc>
          <w:tcPr>
            <w:tcW w:w="1350" w:type="dxa"/>
            <w:tcBorders>
              <w:right w:val="single" w:sz="12" w:space="0" w:color="auto"/>
            </w:tcBorders>
            <w:vAlign w:val="bottom"/>
          </w:tcPr>
          <w:p w14:paraId="2E7BE153" w14:textId="77777777" w:rsidR="00F303E0" w:rsidRPr="00EE5714" w:rsidRDefault="00F303E0" w:rsidP="00851815">
            <w:pPr>
              <w:pStyle w:val="NoSpacing"/>
              <w:keepNext/>
              <w:jc w:val="center"/>
              <w:rPr>
                <w:rFonts w:cs="Arial"/>
              </w:rPr>
            </w:pPr>
            <w:r w:rsidRPr="00EE5714">
              <w:rPr>
                <w:rFonts w:eastAsia="Times New Roman" w:cs="Arial"/>
                <w:b/>
                <w:color w:val="000000"/>
              </w:rPr>
              <w:t>150% FPIG</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bottom"/>
          </w:tcPr>
          <w:p w14:paraId="617FE978" w14:textId="77777777" w:rsidR="00F303E0" w:rsidRPr="00EE5714" w:rsidRDefault="00F303E0" w:rsidP="00851815">
            <w:pPr>
              <w:pStyle w:val="NoSpacing"/>
              <w:keepNext/>
              <w:jc w:val="center"/>
              <w:rPr>
                <w:rFonts w:cs="Arial"/>
              </w:rPr>
            </w:pPr>
            <w:r w:rsidRPr="00EE5714">
              <w:rPr>
                <w:rFonts w:eastAsia="Times New Roman" w:cs="Arial"/>
                <w:b/>
                <w:color w:val="000000"/>
              </w:rPr>
              <w:t>50% FPIG</w:t>
            </w:r>
          </w:p>
        </w:tc>
        <w:tc>
          <w:tcPr>
            <w:tcW w:w="1350" w:type="dxa"/>
            <w:tcBorders>
              <w:left w:val="single" w:sz="8" w:space="0" w:color="000000" w:themeColor="text1"/>
            </w:tcBorders>
            <w:vAlign w:val="bottom"/>
          </w:tcPr>
          <w:p w14:paraId="032C82E7" w14:textId="77777777" w:rsidR="00F303E0" w:rsidRPr="00EE5714" w:rsidRDefault="00F303E0" w:rsidP="00851815">
            <w:pPr>
              <w:pStyle w:val="NoSpacing"/>
              <w:keepNext/>
              <w:jc w:val="center"/>
              <w:rPr>
                <w:rFonts w:cs="Arial"/>
              </w:rPr>
            </w:pPr>
            <w:r w:rsidRPr="00EE5714">
              <w:rPr>
                <w:rFonts w:eastAsia="Times New Roman" w:cs="Arial"/>
                <w:b/>
                <w:color w:val="000000"/>
              </w:rPr>
              <w:t>100% FPIG</w:t>
            </w:r>
          </w:p>
        </w:tc>
        <w:tc>
          <w:tcPr>
            <w:tcW w:w="1350" w:type="dxa"/>
            <w:vAlign w:val="bottom"/>
          </w:tcPr>
          <w:p w14:paraId="5DA69761" w14:textId="77777777" w:rsidR="00F303E0" w:rsidRPr="00EE5714" w:rsidRDefault="00F303E0" w:rsidP="00851815">
            <w:pPr>
              <w:pStyle w:val="NoSpacing"/>
              <w:keepNext/>
              <w:jc w:val="center"/>
              <w:rPr>
                <w:rFonts w:cs="Arial"/>
              </w:rPr>
            </w:pPr>
            <w:r w:rsidRPr="00EE5714">
              <w:rPr>
                <w:rFonts w:eastAsia="Times New Roman" w:cs="Arial"/>
                <w:b/>
                <w:color w:val="000000"/>
              </w:rPr>
              <w:t>150% FPIG</w:t>
            </w:r>
          </w:p>
        </w:tc>
      </w:tr>
      <w:tr w:rsidR="00A67CDB" w:rsidRPr="00EE5714" w14:paraId="28460AF9" w14:textId="77777777" w:rsidTr="00824DBE">
        <w:trPr>
          <w:trHeight w:val="281"/>
        </w:trPr>
        <w:tc>
          <w:tcPr>
            <w:tcW w:w="1885" w:type="dxa"/>
            <w:shd w:val="clear" w:color="auto" w:fill="F2F2F2" w:themeFill="background1" w:themeFillShade="F2"/>
            <w:vAlign w:val="center"/>
          </w:tcPr>
          <w:p w14:paraId="37DED5AF"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355" w:type="dxa"/>
            <w:shd w:val="clear" w:color="auto" w:fill="F2F2F2" w:themeFill="background1" w:themeFillShade="F2"/>
            <w:vAlign w:val="center"/>
          </w:tcPr>
          <w:p w14:paraId="7AB8754F"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shd w:val="clear" w:color="auto" w:fill="F2F2F2" w:themeFill="background1" w:themeFillShade="F2"/>
            <w:vAlign w:val="center"/>
          </w:tcPr>
          <w:p w14:paraId="117956A2"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right w:val="single" w:sz="12" w:space="0" w:color="auto"/>
            </w:tcBorders>
            <w:shd w:val="clear" w:color="auto" w:fill="F2F2F2" w:themeFill="background1" w:themeFillShade="F2"/>
            <w:vAlign w:val="center"/>
          </w:tcPr>
          <w:p w14:paraId="76FD2CEF"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shd w:val="clear" w:color="auto" w:fill="F2F2F2" w:themeFill="background1" w:themeFillShade="F2"/>
            <w:vAlign w:val="center"/>
          </w:tcPr>
          <w:p w14:paraId="69B1D3D8"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left w:val="single" w:sz="8" w:space="0" w:color="000000" w:themeColor="text1"/>
            </w:tcBorders>
            <w:shd w:val="clear" w:color="auto" w:fill="F2F2F2" w:themeFill="background1" w:themeFillShade="F2"/>
            <w:vAlign w:val="center"/>
          </w:tcPr>
          <w:p w14:paraId="6618EB98"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shd w:val="clear" w:color="auto" w:fill="F2F2F2" w:themeFill="background1" w:themeFillShade="F2"/>
            <w:vAlign w:val="center"/>
          </w:tcPr>
          <w:p w14:paraId="65131629" w14:textId="77777777" w:rsidR="00F303E0" w:rsidRPr="00EE5714" w:rsidRDefault="00F303E0" w:rsidP="00851815">
            <w:pPr>
              <w:keepNext/>
              <w:tabs>
                <w:tab w:val="left" w:pos="1111"/>
              </w:tabs>
              <w:jc w:val="center"/>
              <w:rPr>
                <w:rFonts w:ascii="Calibri" w:eastAsia="Times New Roman" w:hAnsi="Calibri" w:cs="Calibri"/>
                <w:b/>
                <w:bCs/>
                <w:color w:val="000000"/>
                <w:sz w:val="21"/>
                <w:szCs w:val="21"/>
              </w:rPr>
            </w:pPr>
          </w:p>
        </w:tc>
      </w:tr>
      <w:tr w:rsidR="00A67CDB" w:rsidRPr="00EE5714" w14:paraId="059BE466" w14:textId="77777777" w:rsidTr="00824DBE">
        <w:trPr>
          <w:trHeight w:val="281"/>
        </w:trPr>
        <w:tc>
          <w:tcPr>
            <w:tcW w:w="1885" w:type="dxa"/>
            <w:vAlign w:val="center"/>
          </w:tcPr>
          <w:p w14:paraId="221FB166" w14:textId="68245395" w:rsidR="00F303E0" w:rsidRPr="00EE5714" w:rsidRDefault="00F303E0" w:rsidP="00851815">
            <w:pPr>
              <w:pStyle w:val="NoSpacing"/>
              <w:keepNext/>
              <w:rPr>
                <w:rFonts w:cs="Arial"/>
                <w:sz w:val="21"/>
                <w:szCs w:val="21"/>
              </w:rPr>
            </w:pPr>
            <w:r w:rsidRPr="00EE5714">
              <w:rPr>
                <w:rFonts w:eastAsia="Times New Roman" w:cs="Arial"/>
                <w:color w:val="000000"/>
                <w:sz w:val="21"/>
                <w:szCs w:val="21"/>
              </w:rPr>
              <w:t xml:space="preserve">Bills </w:t>
            </w:r>
            <w:r w:rsidR="00923EA8" w:rsidRPr="00EE5714">
              <w:rPr>
                <w:rFonts w:eastAsia="Times New Roman" w:cs="Arial"/>
                <w:color w:val="000000"/>
                <w:sz w:val="21"/>
                <w:szCs w:val="21"/>
              </w:rPr>
              <w:t>Issued</w:t>
            </w:r>
          </w:p>
        </w:tc>
        <w:tc>
          <w:tcPr>
            <w:tcW w:w="1355" w:type="dxa"/>
            <w:vAlign w:val="center"/>
          </w:tcPr>
          <w:p w14:paraId="34E55FB6"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6,291</w:t>
            </w:r>
          </w:p>
        </w:tc>
        <w:tc>
          <w:tcPr>
            <w:tcW w:w="1350" w:type="dxa"/>
            <w:vAlign w:val="center"/>
          </w:tcPr>
          <w:p w14:paraId="5E9591CC"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23,117</w:t>
            </w:r>
          </w:p>
        </w:tc>
        <w:tc>
          <w:tcPr>
            <w:tcW w:w="1350" w:type="dxa"/>
            <w:tcBorders>
              <w:right w:val="single" w:sz="12" w:space="0" w:color="auto"/>
            </w:tcBorders>
            <w:vAlign w:val="center"/>
          </w:tcPr>
          <w:p w14:paraId="2B07204B"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11,834</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center"/>
          </w:tcPr>
          <w:p w14:paraId="4B6EA746"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61,402</w:t>
            </w:r>
          </w:p>
        </w:tc>
        <w:tc>
          <w:tcPr>
            <w:tcW w:w="1350" w:type="dxa"/>
            <w:tcBorders>
              <w:left w:val="single" w:sz="8" w:space="0" w:color="000000" w:themeColor="text1"/>
            </w:tcBorders>
            <w:vAlign w:val="center"/>
          </w:tcPr>
          <w:p w14:paraId="6F1413F3"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206,767</w:t>
            </w:r>
          </w:p>
        </w:tc>
        <w:tc>
          <w:tcPr>
            <w:tcW w:w="1350" w:type="dxa"/>
            <w:vAlign w:val="center"/>
          </w:tcPr>
          <w:p w14:paraId="704E4437"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110,544</w:t>
            </w:r>
          </w:p>
        </w:tc>
      </w:tr>
      <w:tr w:rsidR="00A67CDB" w:rsidRPr="00EE5714" w14:paraId="235DA800" w14:textId="77777777" w:rsidTr="00824DBE">
        <w:trPr>
          <w:trHeight w:val="264"/>
        </w:trPr>
        <w:tc>
          <w:tcPr>
            <w:tcW w:w="1885" w:type="dxa"/>
            <w:vAlign w:val="center"/>
          </w:tcPr>
          <w:p w14:paraId="4895DE9E" w14:textId="77777777" w:rsidR="00F303E0" w:rsidRPr="00EE5714" w:rsidRDefault="00F303E0" w:rsidP="00851815">
            <w:pPr>
              <w:pStyle w:val="NoSpacing"/>
              <w:keepNext/>
              <w:rPr>
                <w:rFonts w:cs="Arial"/>
                <w:sz w:val="21"/>
                <w:szCs w:val="21"/>
              </w:rPr>
            </w:pPr>
            <w:r w:rsidRPr="00EE5714">
              <w:rPr>
                <w:rFonts w:eastAsia="Times New Roman" w:cs="Arial"/>
                <w:color w:val="000000"/>
                <w:sz w:val="21"/>
                <w:szCs w:val="21"/>
              </w:rPr>
              <w:t>Bills Paid in Full</w:t>
            </w:r>
          </w:p>
        </w:tc>
        <w:tc>
          <w:tcPr>
            <w:tcW w:w="1355" w:type="dxa"/>
            <w:vAlign w:val="center"/>
          </w:tcPr>
          <w:p w14:paraId="388A2AC4"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4,412</w:t>
            </w:r>
          </w:p>
        </w:tc>
        <w:tc>
          <w:tcPr>
            <w:tcW w:w="1350" w:type="dxa"/>
            <w:vAlign w:val="center"/>
          </w:tcPr>
          <w:p w14:paraId="2797731A"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19,050</w:t>
            </w:r>
          </w:p>
        </w:tc>
        <w:tc>
          <w:tcPr>
            <w:tcW w:w="1350" w:type="dxa"/>
            <w:tcBorders>
              <w:right w:val="single" w:sz="12" w:space="0" w:color="auto"/>
            </w:tcBorders>
            <w:vAlign w:val="center"/>
          </w:tcPr>
          <w:p w14:paraId="78277460"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10,623</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center"/>
          </w:tcPr>
          <w:p w14:paraId="1CA86F1A"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42,716</w:t>
            </w:r>
          </w:p>
        </w:tc>
        <w:tc>
          <w:tcPr>
            <w:tcW w:w="1350" w:type="dxa"/>
            <w:tcBorders>
              <w:left w:val="single" w:sz="8" w:space="0" w:color="000000" w:themeColor="text1"/>
            </w:tcBorders>
            <w:vAlign w:val="center"/>
          </w:tcPr>
          <w:p w14:paraId="04BB0567"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164,544</w:t>
            </w:r>
          </w:p>
        </w:tc>
        <w:tc>
          <w:tcPr>
            <w:tcW w:w="1350" w:type="dxa"/>
            <w:vAlign w:val="center"/>
          </w:tcPr>
          <w:p w14:paraId="15CAE270"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92,613</w:t>
            </w:r>
          </w:p>
        </w:tc>
      </w:tr>
      <w:tr w:rsidR="00A67CDB" w:rsidRPr="00EE5714" w14:paraId="16DD98ED" w14:textId="77777777" w:rsidTr="00824DBE">
        <w:trPr>
          <w:trHeight w:val="281"/>
        </w:trPr>
        <w:tc>
          <w:tcPr>
            <w:tcW w:w="1885" w:type="dxa"/>
            <w:shd w:val="clear" w:color="auto" w:fill="F2F2F2" w:themeFill="background1" w:themeFillShade="F2"/>
            <w:vAlign w:val="center"/>
          </w:tcPr>
          <w:p w14:paraId="5B02BC26"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355" w:type="dxa"/>
            <w:shd w:val="clear" w:color="auto" w:fill="F2F2F2" w:themeFill="background1" w:themeFillShade="F2"/>
            <w:vAlign w:val="center"/>
          </w:tcPr>
          <w:p w14:paraId="12F8E7D5"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shd w:val="clear" w:color="auto" w:fill="F2F2F2" w:themeFill="background1" w:themeFillShade="F2"/>
            <w:vAlign w:val="center"/>
          </w:tcPr>
          <w:p w14:paraId="71E28AAD"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right w:val="single" w:sz="12" w:space="0" w:color="auto"/>
            </w:tcBorders>
            <w:shd w:val="clear" w:color="auto" w:fill="F2F2F2" w:themeFill="background1" w:themeFillShade="F2"/>
            <w:vAlign w:val="center"/>
          </w:tcPr>
          <w:p w14:paraId="1AEF06CF"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shd w:val="clear" w:color="auto" w:fill="F2F2F2" w:themeFill="background1" w:themeFillShade="F2"/>
            <w:vAlign w:val="center"/>
          </w:tcPr>
          <w:p w14:paraId="5EE505B2"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left w:val="single" w:sz="8" w:space="0" w:color="000000" w:themeColor="text1"/>
            </w:tcBorders>
            <w:shd w:val="clear" w:color="auto" w:fill="F2F2F2" w:themeFill="background1" w:themeFillShade="F2"/>
            <w:vAlign w:val="center"/>
          </w:tcPr>
          <w:p w14:paraId="131856FB"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shd w:val="clear" w:color="auto" w:fill="F2F2F2" w:themeFill="background1" w:themeFillShade="F2"/>
            <w:vAlign w:val="center"/>
          </w:tcPr>
          <w:p w14:paraId="27CDA271" w14:textId="77777777" w:rsidR="00F303E0" w:rsidRPr="00EE5714" w:rsidRDefault="00F303E0" w:rsidP="00851815">
            <w:pPr>
              <w:keepNext/>
              <w:jc w:val="center"/>
              <w:rPr>
                <w:rFonts w:ascii="Calibri" w:eastAsia="Times New Roman" w:hAnsi="Calibri" w:cs="Calibri"/>
                <w:b/>
                <w:bCs/>
                <w:color w:val="000000"/>
                <w:sz w:val="21"/>
                <w:szCs w:val="21"/>
              </w:rPr>
            </w:pPr>
          </w:p>
        </w:tc>
      </w:tr>
      <w:tr w:rsidR="00A67CDB" w:rsidRPr="00EE5714" w14:paraId="65DF32B4" w14:textId="77777777" w:rsidTr="00824DBE">
        <w:trPr>
          <w:trHeight w:val="281"/>
        </w:trPr>
        <w:tc>
          <w:tcPr>
            <w:tcW w:w="1885" w:type="dxa"/>
            <w:vAlign w:val="center"/>
          </w:tcPr>
          <w:p w14:paraId="4E4087B3" w14:textId="54A756C4" w:rsidR="00F303E0" w:rsidRPr="00EE5714" w:rsidRDefault="00F303E0" w:rsidP="00851815">
            <w:pPr>
              <w:pStyle w:val="NoSpacing"/>
              <w:keepNext/>
              <w:rPr>
                <w:rFonts w:cs="Arial"/>
                <w:sz w:val="21"/>
                <w:szCs w:val="21"/>
              </w:rPr>
            </w:pPr>
            <w:r w:rsidRPr="00EE5714">
              <w:rPr>
                <w:rFonts w:eastAsia="Times New Roman" w:cs="Arial"/>
                <w:color w:val="000000"/>
                <w:sz w:val="21"/>
                <w:szCs w:val="21"/>
              </w:rPr>
              <w:t xml:space="preserve">Bills </w:t>
            </w:r>
            <w:r w:rsidR="00923EA8" w:rsidRPr="00EE5714">
              <w:rPr>
                <w:rFonts w:eastAsia="Times New Roman" w:cs="Arial"/>
                <w:color w:val="000000"/>
                <w:sz w:val="21"/>
                <w:szCs w:val="21"/>
              </w:rPr>
              <w:t>Issued</w:t>
            </w:r>
          </w:p>
        </w:tc>
        <w:tc>
          <w:tcPr>
            <w:tcW w:w="1355" w:type="dxa"/>
            <w:vAlign w:val="center"/>
          </w:tcPr>
          <w:p w14:paraId="1CA2C26F"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27,218</w:t>
            </w:r>
          </w:p>
        </w:tc>
        <w:tc>
          <w:tcPr>
            <w:tcW w:w="1350" w:type="dxa"/>
            <w:vAlign w:val="center"/>
          </w:tcPr>
          <w:p w14:paraId="2B09DF16"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50,954</w:t>
            </w:r>
          </w:p>
        </w:tc>
        <w:tc>
          <w:tcPr>
            <w:tcW w:w="1350" w:type="dxa"/>
            <w:tcBorders>
              <w:right w:val="single" w:sz="12" w:space="0" w:color="auto"/>
            </w:tcBorders>
            <w:vAlign w:val="center"/>
          </w:tcPr>
          <w:p w14:paraId="34C022C3"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27,033</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center"/>
          </w:tcPr>
          <w:p w14:paraId="4A026F87"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86,501</w:t>
            </w:r>
          </w:p>
        </w:tc>
        <w:tc>
          <w:tcPr>
            <w:tcW w:w="1350" w:type="dxa"/>
            <w:tcBorders>
              <w:left w:val="single" w:sz="8" w:space="0" w:color="000000" w:themeColor="text1"/>
            </w:tcBorders>
            <w:vAlign w:val="center"/>
          </w:tcPr>
          <w:p w14:paraId="5A7D5BF8"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133,170</w:t>
            </w:r>
          </w:p>
        </w:tc>
        <w:tc>
          <w:tcPr>
            <w:tcW w:w="1350" w:type="dxa"/>
            <w:vAlign w:val="center"/>
          </w:tcPr>
          <w:p w14:paraId="163E0F57"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91,517</w:t>
            </w:r>
          </w:p>
        </w:tc>
      </w:tr>
      <w:tr w:rsidR="00A67CDB" w:rsidRPr="00EE5714" w14:paraId="6D9DDBDE" w14:textId="77777777" w:rsidTr="00824DBE">
        <w:trPr>
          <w:trHeight w:val="281"/>
        </w:trPr>
        <w:tc>
          <w:tcPr>
            <w:tcW w:w="1885" w:type="dxa"/>
            <w:vAlign w:val="center"/>
          </w:tcPr>
          <w:p w14:paraId="3EA902C6" w14:textId="77777777" w:rsidR="00F303E0" w:rsidRPr="00EE5714" w:rsidRDefault="00F303E0" w:rsidP="00851815">
            <w:pPr>
              <w:pStyle w:val="NoSpacing"/>
              <w:keepNext/>
              <w:rPr>
                <w:rFonts w:cs="Arial"/>
                <w:sz w:val="21"/>
                <w:szCs w:val="21"/>
              </w:rPr>
            </w:pPr>
            <w:r w:rsidRPr="00EE5714">
              <w:rPr>
                <w:rFonts w:eastAsia="Times New Roman" w:cs="Arial"/>
                <w:color w:val="000000"/>
                <w:sz w:val="21"/>
                <w:szCs w:val="21"/>
              </w:rPr>
              <w:t>Bills Paid in Full</w:t>
            </w:r>
          </w:p>
        </w:tc>
        <w:tc>
          <w:tcPr>
            <w:tcW w:w="1355" w:type="dxa"/>
            <w:vAlign w:val="center"/>
          </w:tcPr>
          <w:p w14:paraId="74DC4888"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12,439</w:t>
            </w:r>
          </w:p>
        </w:tc>
        <w:tc>
          <w:tcPr>
            <w:tcW w:w="1350" w:type="dxa"/>
            <w:vAlign w:val="center"/>
          </w:tcPr>
          <w:p w14:paraId="41D78B1B"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27,682</w:t>
            </w:r>
          </w:p>
        </w:tc>
        <w:tc>
          <w:tcPr>
            <w:tcW w:w="1350" w:type="dxa"/>
            <w:tcBorders>
              <w:right w:val="single" w:sz="12" w:space="0" w:color="auto"/>
            </w:tcBorders>
            <w:vAlign w:val="center"/>
          </w:tcPr>
          <w:p w14:paraId="050074D6"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14,396</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center"/>
          </w:tcPr>
          <w:p w14:paraId="7D8EEA0A"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36,410</w:t>
            </w:r>
          </w:p>
        </w:tc>
        <w:tc>
          <w:tcPr>
            <w:tcW w:w="1350" w:type="dxa"/>
            <w:tcBorders>
              <w:left w:val="single" w:sz="8" w:space="0" w:color="000000" w:themeColor="text1"/>
            </w:tcBorders>
            <w:vAlign w:val="center"/>
          </w:tcPr>
          <w:p w14:paraId="6EB57997"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67,866</w:t>
            </w:r>
          </w:p>
        </w:tc>
        <w:tc>
          <w:tcPr>
            <w:tcW w:w="1350" w:type="dxa"/>
            <w:vAlign w:val="center"/>
          </w:tcPr>
          <w:p w14:paraId="43068EB7"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49,449</w:t>
            </w:r>
          </w:p>
        </w:tc>
      </w:tr>
      <w:tr w:rsidR="00A67CDB" w:rsidRPr="00EE5714" w14:paraId="048C2136" w14:textId="77777777" w:rsidTr="00824DBE">
        <w:trPr>
          <w:trHeight w:val="264"/>
        </w:trPr>
        <w:tc>
          <w:tcPr>
            <w:tcW w:w="1885" w:type="dxa"/>
            <w:shd w:val="clear" w:color="auto" w:fill="F2F2F2" w:themeFill="background1" w:themeFillShade="F2"/>
            <w:vAlign w:val="center"/>
          </w:tcPr>
          <w:p w14:paraId="5C08C83C"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 xml:space="preserve">PECO Electric </w:t>
            </w:r>
          </w:p>
        </w:tc>
        <w:tc>
          <w:tcPr>
            <w:tcW w:w="1355" w:type="dxa"/>
            <w:shd w:val="clear" w:color="auto" w:fill="F2F2F2" w:themeFill="background1" w:themeFillShade="F2"/>
            <w:vAlign w:val="center"/>
          </w:tcPr>
          <w:p w14:paraId="57F697E9"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shd w:val="clear" w:color="auto" w:fill="F2F2F2" w:themeFill="background1" w:themeFillShade="F2"/>
            <w:vAlign w:val="center"/>
          </w:tcPr>
          <w:p w14:paraId="2A2EB7FD"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right w:val="single" w:sz="12" w:space="0" w:color="auto"/>
            </w:tcBorders>
            <w:shd w:val="clear" w:color="auto" w:fill="F2F2F2" w:themeFill="background1" w:themeFillShade="F2"/>
            <w:vAlign w:val="center"/>
          </w:tcPr>
          <w:p w14:paraId="5D551F6D"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shd w:val="clear" w:color="auto" w:fill="F2F2F2" w:themeFill="background1" w:themeFillShade="F2"/>
            <w:vAlign w:val="center"/>
          </w:tcPr>
          <w:p w14:paraId="25A3937B"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left w:val="single" w:sz="8" w:space="0" w:color="000000" w:themeColor="text1"/>
            </w:tcBorders>
            <w:shd w:val="clear" w:color="auto" w:fill="F2F2F2" w:themeFill="background1" w:themeFillShade="F2"/>
            <w:vAlign w:val="center"/>
          </w:tcPr>
          <w:p w14:paraId="0F5DAB54"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shd w:val="clear" w:color="auto" w:fill="F2F2F2" w:themeFill="background1" w:themeFillShade="F2"/>
            <w:vAlign w:val="center"/>
          </w:tcPr>
          <w:p w14:paraId="17828099" w14:textId="77777777" w:rsidR="00F303E0" w:rsidRPr="00EE5714" w:rsidRDefault="00F303E0" w:rsidP="00851815">
            <w:pPr>
              <w:keepNext/>
              <w:jc w:val="center"/>
              <w:rPr>
                <w:rFonts w:ascii="Calibri" w:eastAsia="Times New Roman" w:hAnsi="Calibri" w:cs="Calibri"/>
                <w:b/>
                <w:bCs/>
                <w:color w:val="000000"/>
                <w:sz w:val="21"/>
                <w:szCs w:val="21"/>
              </w:rPr>
            </w:pPr>
          </w:p>
        </w:tc>
      </w:tr>
      <w:tr w:rsidR="00A67CDB" w:rsidRPr="00EE5714" w14:paraId="06010275" w14:textId="77777777" w:rsidTr="00824DBE">
        <w:trPr>
          <w:trHeight w:val="281"/>
        </w:trPr>
        <w:tc>
          <w:tcPr>
            <w:tcW w:w="1885" w:type="dxa"/>
          </w:tcPr>
          <w:p w14:paraId="0EE2CDDE" w14:textId="32B87CAA" w:rsidR="00F303E0" w:rsidRPr="00EE5714" w:rsidRDefault="00F303E0" w:rsidP="00851815">
            <w:pPr>
              <w:pStyle w:val="NoSpacing"/>
              <w:keepNext/>
              <w:rPr>
                <w:rFonts w:cs="Arial"/>
                <w:sz w:val="21"/>
                <w:szCs w:val="21"/>
              </w:rPr>
            </w:pPr>
            <w:r w:rsidRPr="00EE5714">
              <w:rPr>
                <w:rFonts w:eastAsia="Times New Roman" w:cs="Arial"/>
                <w:color w:val="000000"/>
                <w:sz w:val="21"/>
                <w:szCs w:val="21"/>
              </w:rPr>
              <w:t xml:space="preserve">Bills </w:t>
            </w:r>
            <w:r w:rsidR="00923EA8" w:rsidRPr="00EE5714">
              <w:rPr>
                <w:rFonts w:eastAsia="Times New Roman" w:cs="Arial"/>
                <w:color w:val="000000"/>
                <w:sz w:val="21"/>
                <w:szCs w:val="21"/>
              </w:rPr>
              <w:t>Issued</w:t>
            </w:r>
          </w:p>
        </w:tc>
        <w:tc>
          <w:tcPr>
            <w:tcW w:w="1355" w:type="dxa"/>
          </w:tcPr>
          <w:p w14:paraId="2E00686F"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60,950</w:t>
            </w:r>
          </w:p>
        </w:tc>
        <w:tc>
          <w:tcPr>
            <w:tcW w:w="1350" w:type="dxa"/>
          </w:tcPr>
          <w:p w14:paraId="60B3394C"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119,219</w:t>
            </w:r>
          </w:p>
        </w:tc>
        <w:tc>
          <w:tcPr>
            <w:tcW w:w="1350" w:type="dxa"/>
            <w:tcBorders>
              <w:right w:val="single" w:sz="12" w:space="0" w:color="auto"/>
            </w:tcBorders>
          </w:tcPr>
          <w:p w14:paraId="56AA03AE"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107,234</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tcPr>
          <w:p w14:paraId="535C19B4"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294,333</w:t>
            </w:r>
          </w:p>
        </w:tc>
        <w:tc>
          <w:tcPr>
            <w:tcW w:w="1350" w:type="dxa"/>
            <w:tcBorders>
              <w:left w:val="single" w:sz="8" w:space="0" w:color="000000" w:themeColor="text1"/>
            </w:tcBorders>
          </w:tcPr>
          <w:p w14:paraId="0F52F306"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581,666</w:t>
            </w:r>
          </w:p>
        </w:tc>
        <w:tc>
          <w:tcPr>
            <w:tcW w:w="1350" w:type="dxa"/>
          </w:tcPr>
          <w:p w14:paraId="7C41DE7B"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349,000</w:t>
            </w:r>
          </w:p>
        </w:tc>
      </w:tr>
      <w:tr w:rsidR="00A67CDB" w:rsidRPr="00EE5714" w14:paraId="2E54BF33" w14:textId="77777777" w:rsidTr="00824DBE">
        <w:trPr>
          <w:trHeight w:val="281"/>
        </w:trPr>
        <w:tc>
          <w:tcPr>
            <w:tcW w:w="1885" w:type="dxa"/>
          </w:tcPr>
          <w:p w14:paraId="6FC7FA06" w14:textId="77777777" w:rsidR="00F303E0" w:rsidRPr="00EE5714" w:rsidRDefault="00F303E0" w:rsidP="00851815">
            <w:pPr>
              <w:pStyle w:val="NoSpacing"/>
              <w:keepNext/>
              <w:rPr>
                <w:rFonts w:cs="Arial"/>
                <w:sz w:val="21"/>
                <w:szCs w:val="21"/>
              </w:rPr>
            </w:pPr>
            <w:r w:rsidRPr="00EE5714">
              <w:rPr>
                <w:rFonts w:eastAsia="Times New Roman" w:cs="Arial"/>
                <w:color w:val="000000"/>
                <w:sz w:val="21"/>
                <w:szCs w:val="21"/>
              </w:rPr>
              <w:t>Bills Paid in Full</w:t>
            </w:r>
          </w:p>
        </w:tc>
        <w:tc>
          <w:tcPr>
            <w:tcW w:w="1355" w:type="dxa"/>
          </w:tcPr>
          <w:p w14:paraId="65CFA8DF"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34,808</w:t>
            </w:r>
          </w:p>
        </w:tc>
        <w:tc>
          <w:tcPr>
            <w:tcW w:w="1350" w:type="dxa"/>
          </w:tcPr>
          <w:p w14:paraId="6A8E540B"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76,395</w:t>
            </w:r>
          </w:p>
        </w:tc>
        <w:tc>
          <w:tcPr>
            <w:tcW w:w="1350" w:type="dxa"/>
            <w:tcBorders>
              <w:right w:val="single" w:sz="12" w:space="0" w:color="auto"/>
            </w:tcBorders>
          </w:tcPr>
          <w:p w14:paraId="713B0C73"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70,414</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tcPr>
          <w:p w14:paraId="01598B8C"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157,739</w:t>
            </w:r>
          </w:p>
        </w:tc>
        <w:tc>
          <w:tcPr>
            <w:tcW w:w="1350" w:type="dxa"/>
            <w:tcBorders>
              <w:left w:val="single" w:sz="8" w:space="0" w:color="000000" w:themeColor="text1"/>
            </w:tcBorders>
          </w:tcPr>
          <w:p w14:paraId="634B1F66"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366,853</w:t>
            </w:r>
          </w:p>
        </w:tc>
        <w:tc>
          <w:tcPr>
            <w:tcW w:w="1350" w:type="dxa"/>
          </w:tcPr>
          <w:p w14:paraId="540065F8"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211,315</w:t>
            </w:r>
          </w:p>
        </w:tc>
      </w:tr>
      <w:tr w:rsidR="00A67CDB" w:rsidRPr="00EE5714" w14:paraId="72690867" w14:textId="77777777" w:rsidTr="00824DBE">
        <w:trPr>
          <w:trHeight w:val="281"/>
        </w:trPr>
        <w:tc>
          <w:tcPr>
            <w:tcW w:w="1885" w:type="dxa"/>
            <w:shd w:val="clear" w:color="auto" w:fill="F2F2F2" w:themeFill="background1" w:themeFillShade="F2"/>
            <w:vAlign w:val="center"/>
          </w:tcPr>
          <w:p w14:paraId="0437D4C8" w14:textId="77777777" w:rsidR="00F303E0" w:rsidRPr="00EE5714" w:rsidRDefault="00F303E0" w:rsidP="00851815">
            <w:pPr>
              <w:keepNext/>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355" w:type="dxa"/>
            <w:shd w:val="clear" w:color="auto" w:fill="F2F2F2" w:themeFill="background1" w:themeFillShade="F2"/>
            <w:vAlign w:val="center"/>
          </w:tcPr>
          <w:p w14:paraId="6CEABA8B"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shd w:val="clear" w:color="auto" w:fill="F2F2F2" w:themeFill="background1" w:themeFillShade="F2"/>
            <w:vAlign w:val="center"/>
          </w:tcPr>
          <w:p w14:paraId="0403680D"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right w:val="single" w:sz="12" w:space="0" w:color="auto"/>
            </w:tcBorders>
            <w:shd w:val="clear" w:color="auto" w:fill="F2F2F2" w:themeFill="background1" w:themeFillShade="F2"/>
            <w:vAlign w:val="center"/>
          </w:tcPr>
          <w:p w14:paraId="11BB7073"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shd w:val="clear" w:color="auto" w:fill="F2F2F2" w:themeFill="background1" w:themeFillShade="F2"/>
            <w:vAlign w:val="center"/>
          </w:tcPr>
          <w:p w14:paraId="5ED5A851"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left w:val="single" w:sz="8" w:space="0" w:color="000000" w:themeColor="text1"/>
            </w:tcBorders>
            <w:shd w:val="clear" w:color="auto" w:fill="F2F2F2" w:themeFill="background1" w:themeFillShade="F2"/>
            <w:vAlign w:val="center"/>
          </w:tcPr>
          <w:p w14:paraId="45A722A3"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shd w:val="clear" w:color="auto" w:fill="F2F2F2" w:themeFill="background1" w:themeFillShade="F2"/>
            <w:vAlign w:val="center"/>
          </w:tcPr>
          <w:p w14:paraId="37E8A0AE" w14:textId="77777777" w:rsidR="00F303E0" w:rsidRPr="00EE5714" w:rsidRDefault="00F303E0" w:rsidP="00851815">
            <w:pPr>
              <w:keepNext/>
              <w:jc w:val="center"/>
              <w:rPr>
                <w:rFonts w:ascii="Calibri" w:eastAsia="Times New Roman" w:hAnsi="Calibri" w:cs="Calibri"/>
                <w:b/>
                <w:bCs/>
                <w:color w:val="000000"/>
                <w:sz w:val="21"/>
                <w:szCs w:val="21"/>
              </w:rPr>
            </w:pPr>
          </w:p>
        </w:tc>
      </w:tr>
      <w:tr w:rsidR="00A67CDB" w:rsidRPr="00EE5714" w14:paraId="33C03929" w14:textId="77777777" w:rsidTr="00824DBE">
        <w:trPr>
          <w:trHeight w:val="264"/>
        </w:trPr>
        <w:tc>
          <w:tcPr>
            <w:tcW w:w="1885" w:type="dxa"/>
            <w:vAlign w:val="center"/>
          </w:tcPr>
          <w:p w14:paraId="4274456A" w14:textId="6A9348F7" w:rsidR="00F303E0" w:rsidRPr="00EE5714" w:rsidRDefault="00F303E0" w:rsidP="00851815">
            <w:pPr>
              <w:pStyle w:val="NoSpacing"/>
              <w:keepNext/>
              <w:rPr>
                <w:rFonts w:cs="Arial"/>
                <w:sz w:val="21"/>
                <w:szCs w:val="21"/>
              </w:rPr>
            </w:pPr>
            <w:r w:rsidRPr="00EE5714">
              <w:rPr>
                <w:rFonts w:eastAsia="Times New Roman" w:cs="Arial"/>
                <w:color w:val="000000"/>
                <w:sz w:val="21"/>
                <w:szCs w:val="21"/>
              </w:rPr>
              <w:t xml:space="preserve">Bills </w:t>
            </w:r>
            <w:r w:rsidR="00923EA8" w:rsidRPr="00EE5714">
              <w:rPr>
                <w:rFonts w:eastAsia="Times New Roman" w:cs="Arial"/>
                <w:color w:val="000000"/>
                <w:sz w:val="21"/>
                <w:szCs w:val="21"/>
              </w:rPr>
              <w:t>Issued</w:t>
            </w:r>
          </w:p>
        </w:tc>
        <w:tc>
          <w:tcPr>
            <w:tcW w:w="1355" w:type="dxa"/>
            <w:vAlign w:val="center"/>
          </w:tcPr>
          <w:p w14:paraId="0197BFDD"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18,033</w:t>
            </w:r>
          </w:p>
        </w:tc>
        <w:tc>
          <w:tcPr>
            <w:tcW w:w="1350" w:type="dxa"/>
            <w:vAlign w:val="center"/>
          </w:tcPr>
          <w:p w14:paraId="35A83849"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39,022</w:t>
            </w:r>
          </w:p>
        </w:tc>
        <w:tc>
          <w:tcPr>
            <w:tcW w:w="1350" w:type="dxa"/>
            <w:tcBorders>
              <w:right w:val="single" w:sz="12" w:space="0" w:color="auto"/>
            </w:tcBorders>
            <w:vAlign w:val="center"/>
          </w:tcPr>
          <w:p w14:paraId="11840870"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17,631</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center"/>
          </w:tcPr>
          <w:p w14:paraId="11446D4F"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119,727</w:t>
            </w:r>
          </w:p>
        </w:tc>
        <w:tc>
          <w:tcPr>
            <w:tcW w:w="1350" w:type="dxa"/>
            <w:tcBorders>
              <w:left w:val="single" w:sz="8" w:space="0" w:color="000000" w:themeColor="text1"/>
            </w:tcBorders>
            <w:vAlign w:val="center"/>
          </w:tcPr>
          <w:p w14:paraId="09222128"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209,479</w:t>
            </w:r>
          </w:p>
        </w:tc>
        <w:tc>
          <w:tcPr>
            <w:tcW w:w="1350" w:type="dxa"/>
            <w:vAlign w:val="center"/>
          </w:tcPr>
          <w:p w14:paraId="7D5EAA82"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131,850</w:t>
            </w:r>
          </w:p>
        </w:tc>
      </w:tr>
      <w:tr w:rsidR="00A67CDB" w:rsidRPr="00EE5714" w14:paraId="0A22D5F5" w14:textId="77777777" w:rsidTr="00824DBE">
        <w:trPr>
          <w:trHeight w:val="281"/>
        </w:trPr>
        <w:tc>
          <w:tcPr>
            <w:tcW w:w="1885" w:type="dxa"/>
            <w:vAlign w:val="center"/>
          </w:tcPr>
          <w:p w14:paraId="705D9E27" w14:textId="77777777" w:rsidR="00F303E0" w:rsidRPr="00EE5714" w:rsidRDefault="00F303E0" w:rsidP="00851815">
            <w:pPr>
              <w:pStyle w:val="NoSpacing"/>
              <w:keepNext/>
              <w:rPr>
                <w:rFonts w:cs="Arial"/>
                <w:sz w:val="21"/>
                <w:szCs w:val="21"/>
              </w:rPr>
            </w:pPr>
            <w:r w:rsidRPr="00EE5714">
              <w:rPr>
                <w:rFonts w:eastAsia="Times New Roman" w:cs="Arial"/>
                <w:color w:val="000000"/>
                <w:sz w:val="21"/>
                <w:szCs w:val="21"/>
              </w:rPr>
              <w:t>Bills Paid in Full</w:t>
            </w:r>
          </w:p>
        </w:tc>
        <w:tc>
          <w:tcPr>
            <w:tcW w:w="1355" w:type="dxa"/>
            <w:vAlign w:val="center"/>
          </w:tcPr>
          <w:p w14:paraId="52892A37"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8,721</w:t>
            </w:r>
          </w:p>
        </w:tc>
        <w:tc>
          <w:tcPr>
            <w:tcW w:w="1350" w:type="dxa"/>
            <w:vAlign w:val="center"/>
          </w:tcPr>
          <w:p w14:paraId="7325571F"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23,660</w:t>
            </w:r>
          </w:p>
        </w:tc>
        <w:tc>
          <w:tcPr>
            <w:tcW w:w="1350" w:type="dxa"/>
            <w:tcBorders>
              <w:right w:val="single" w:sz="12" w:space="0" w:color="auto"/>
            </w:tcBorders>
            <w:vAlign w:val="center"/>
          </w:tcPr>
          <w:p w14:paraId="7A8C239D"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10,592</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center"/>
          </w:tcPr>
          <w:p w14:paraId="6D3F38D7"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50,484</w:t>
            </w:r>
          </w:p>
        </w:tc>
        <w:tc>
          <w:tcPr>
            <w:tcW w:w="1350" w:type="dxa"/>
            <w:tcBorders>
              <w:left w:val="single" w:sz="8" w:space="0" w:color="000000" w:themeColor="text1"/>
            </w:tcBorders>
            <w:vAlign w:val="center"/>
          </w:tcPr>
          <w:p w14:paraId="2D748538"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112,763</w:t>
            </w:r>
          </w:p>
        </w:tc>
        <w:tc>
          <w:tcPr>
            <w:tcW w:w="1350" w:type="dxa"/>
            <w:vAlign w:val="center"/>
          </w:tcPr>
          <w:p w14:paraId="6A278B95"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75,305</w:t>
            </w:r>
          </w:p>
        </w:tc>
      </w:tr>
      <w:tr w:rsidR="00A67CDB" w:rsidRPr="00EE5714" w14:paraId="4881CFCE" w14:textId="77777777" w:rsidTr="00824DBE">
        <w:trPr>
          <w:trHeight w:val="281"/>
        </w:trPr>
        <w:tc>
          <w:tcPr>
            <w:tcW w:w="1885" w:type="dxa"/>
            <w:shd w:val="clear" w:color="auto" w:fill="F2F2F2" w:themeFill="background1" w:themeFillShade="F2"/>
            <w:vAlign w:val="center"/>
          </w:tcPr>
          <w:p w14:paraId="7576D105" w14:textId="77777777" w:rsidR="00F303E0" w:rsidRPr="00EE5714" w:rsidRDefault="00F303E0" w:rsidP="00851815">
            <w:pPr>
              <w:pStyle w:val="NoSpacing"/>
              <w:keepNext/>
              <w:rPr>
                <w:rFonts w:cs="Arial"/>
                <w:sz w:val="21"/>
                <w:szCs w:val="21"/>
              </w:rPr>
            </w:pPr>
            <w:r w:rsidRPr="00EE5714">
              <w:rPr>
                <w:rFonts w:eastAsia="Times New Roman" w:cs="Arial"/>
                <w:b/>
                <w:bCs/>
                <w:color w:val="000000"/>
                <w:sz w:val="21"/>
                <w:szCs w:val="21"/>
              </w:rPr>
              <w:t>Penn Power</w:t>
            </w:r>
          </w:p>
        </w:tc>
        <w:tc>
          <w:tcPr>
            <w:tcW w:w="1355" w:type="dxa"/>
            <w:shd w:val="clear" w:color="auto" w:fill="F2F2F2" w:themeFill="background1" w:themeFillShade="F2"/>
            <w:vAlign w:val="center"/>
          </w:tcPr>
          <w:p w14:paraId="6A3DB5C8" w14:textId="77777777" w:rsidR="00F303E0" w:rsidRPr="00EE5714" w:rsidRDefault="00F303E0" w:rsidP="00851815">
            <w:pPr>
              <w:pStyle w:val="NoSpacing"/>
              <w:keepNext/>
              <w:jc w:val="center"/>
              <w:rPr>
                <w:rFonts w:cs="Arial"/>
                <w:sz w:val="21"/>
                <w:szCs w:val="21"/>
              </w:rPr>
            </w:pPr>
          </w:p>
        </w:tc>
        <w:tc>
          <w:tcPr>
            <w:tcW w:w="1350" w:type="dxa"/>
            <w:shd w:val="clear" w:color="auto" w:fill="F2F2F2" w:themeFill="background1" w:themeFillShade="F2"/>
            <w:vAlign w:val="center"/>
          </w:tcPr>
          <w:p w14:paraId="5C73BB5B" w14:textId="77777777" w:rsidR="00F303E0" w:rsidRPr="00EE5714" w:rsidRDefault="00F303E0" w:rsidP="00851815">
            <w:pPr>
              <w:pStyle w:val="NoSpacing"/>
              <w:keepNext/>
              <w:jc w:val="center"/>
              <w:rPr>
                <w:rFonts w:cs="Arial"/>
                <w:sz w:val="21"/>
                <w:szCs w:val="21"/>
              </w:rPr>
            </w:pPr>
          </w:p>
        </w:tc>
        <w:tc>
          <w:tcPr>
            <w:tcW w:w="1350" w:type="dxa"/>
            <w:tcBorders>
              <w:right w:val="single" w:sz="12" w:space="0" w:color="auto"/>
            </w:tcBorders>
            <w:shd w:val="clear" w:color="auto" w:fill="F2F2F2" w:themeFill="background1" w:themeFillShade="F2"/>
            <w:vAlign w:val="center"/>
          </w:tcPr>
          <w:p w14:paraId="5EE77C01" w14:textId="77777777" w:rsidR="00F303E0" w:rsidRPr="00EE5714" w:rsidRDefault="00F303E0" w:rsidP="00851815">
            <w:pPr>
              <w:pStyle w:val="NoSpacing"/>
              <w:keepNext/>
              <w:jc w:val="center"/>
              <w:rPr>
                <w:rFonts w:cs="Arial"/>
                <w:sz w:val="21"/>
                <w:szCs w:val="21"/>
              </w:rPr>
            </w:pP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shd w:val="clear" w:color="auto" w:fill="F2F2F2" w:themeFill="background1" w:themeFillShade="F2"/>
            <w:vAlign w:val="center"/>
          </w:tcPr>
          <w:p w14:paraId="718D2C6B" w14:textId="77777777" w:rsidR="00F303E0" w:rsidRPr="00EE5714" w:rsidRDefault="00F303E0" w:rsidP="00851815">
            <w:pPr>
              <w:pStyle w:val="NoSpacing"/>
              <w:keepNext/>
              <w:jc w:val="center"/>
              <w:rPr>
                <w:rFonts w:cs="Arial"/>
                <w:sz w:val="21"/>
                <w:szCs w:val="21"/>
              </w:rPr>
            </w:pPr>
          </w:p>
        </w:tc>
        <w:tc>
          <w:tcPr>
            <w:tcW w:w="1350" w:type="dxa"/>
            <w:tcBorders>
              <w:left w:val="single" w:sz="8" w:space="0" w:color="000000" w:themeColor="text1"/>
            </w:tcBorders>
            <w:shd w:val="clear" w:color="auto" w:fill="F2F2F2" w:themeFill="background1" w:themeFillShade="F2"/>
            <w:vAlign w:val="center"/>
          </w:tcPr>
          <w:p w14:paraId="4FEE00F4" w14:textId="77777777" w:rsidR="00F303E0" w:rsidRPr="00EE5714" w:rsidRDefault="00F303E0" w:rsidP="00851815">
            <w:pPr>
              <w:pStyle w:val="NoSpacing"/>
              <w:keepNext/>
              <w:jc w:val="center"/>
              <w:rPr>
                <w:rFonts w:cs="Arial"/>
                <w:sz w:val="21"/>
                <w:szCs w:val="21"/>
              </w:rPr>
            </w:pPr>
          </w:p>
        </w:tc>
        <w:tc>
          <w:tcPr>
            <w:tcW w:w="1350" w:type="dxa"/>
            <w:shd w:val="clear" w:color="auto" w:fill="F2F2F2" w:themeFill="background1" w:themeFillShade="F2"/>
            <w:vAlign w:val="center"/>
          </w:tcPr>
          <w:p w14:paraId="78A762AF" w14:textId="77777777" w:rsidR="00F303E0" w:rsidRPr="00EE5714" w:rsidRDefault="00F303E0" w:rsidP="00851815">
            <w:pPr>
              <w:pStyle w:val="NoSpacing"/>
              <w:keepNext/>
              <w:jc w:val="center"/>
              <w:rPr>
                <w:rFonts w:cs="Arial"/>
                <w:sz w:val="21"/>
                <w:szCs w:val="21"/>
              </w:rPr>
            </w:pPr>
          </w:p>
        </w:tc>
      </w:tr>
      <w:tr w:rsidR="00A67CDB" w:rsidRPr="00EE5714" w14:paraId="5673A336" w14:textId="77777777" w:rsidTr="00824DBE">
        <w:trPr>
          <w:trHeight w:val="281"/>
        </w:trPr>
        <w:tc>
          <w:tcPr>
            <w:tcW w:w="1885" w:type="dxa"/>
            <w:vAlign w:val="center"/>
          </w:tcPr>
          <w:p w14:paraId="370DF1F8" w14:textId="2F632950" w:rsidR="00F303E0" w:rsidRPr="00EE5714" w:rsidRDefault="00F303E0" w:rsidP="00851815">
            <w:pPr>
              <w:pStyle w:val="NoSpacing"/>
              <w:keepNext/>
              <w:rPr>
                <w:rFonts w:cs="Arial"/>
                <w:sz w:val="21"/>
                <w:szCs w:val="21"/>
              </w:rPr>
            </w:pPr>
            <w:r w:rsidRPr="00EE5714">
              <w:rPr>
                <w:rFonts w:eastAsia="Times New Roman" w:cs="Arial"/>
                <w:color w:val="000000"/>
                <w:sz w:val="21"/>
                <w:szCs w:val="21"/>
              </w:rPr>
              <w:t xml:space="preserve">Bills </w:t>
            </w:r>
            <w:r w:rsidR="00923EA8" w:rsidRPr="00EE5714">
              <w:rPr>
                <w:rFonts w:eastAsia="Times New Roman" w:cs="Arial"/>
                <w:color w:val="000000"/>
                <w:sz w:val="21"/>
                <w:szCs w:val="21"/>
              </w:rPr>
              <w:t>Issued</w:t>
            </w:r>
          </w:p>
        </w:tc>
        <w:tc>
          <w:tcPr>
            <w:tcW w:w="1355" w:type="dxa"/>
            <w:vAlign w:val="center"/>
          </w:tcPr>
          <w:p w14:paraId="2D0892A8"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4,639</w:t>
            </w:r>
          </w:p>
        </w:tc>
        <w:tc>
          <w:tcPr>
            <w:tcW w:w="1350" w:type="dxa"/>
            <w:vAlign w:val="center"/>
          </w:tcPr>
          <w:p w14:paraId="3CEF0F86"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9,712</w:t>
            </w:r>
          </w:p>
        </w:tc>
        <w:tc>
          <w:tcPr>
            <w:tcW w:w="1350" w:type="dxa"/>
            <w:tcBorders>
              <w:right w:val="single" w:sz="12" w:space="0" w:color="auto"/>
            </w:tcBorders>
            <w:vAlign w:val="center"/>
          </w:tcPr>
          <w:p w14:paraId="3A334F03"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6,703</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center"/>
          </w:tcPr>
          <w:p w14:paraId="5D6AFCEE"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24,881</w:t>
            </w:r>
          </w:p>
        </w:tc>
        <w:tc>
          <w:tcPr>
            <w:tcW w:w="1350" w:type="dxa"/>
            <w:tcBorders>
              <w:left w:val="single" w:sz="8" w:space="0" w:color="000000" w:themeColor="text1"/>
            </w:tcBorders>
            <w:vAlign w:val="center"/>
          </w:tcPr>
          <w:p w14:paraId="6C76244E"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49,396</w:t>
            </w:r>
          </w:p>
        </w:tc>
        <w:tc>
          <w:tcPr>
            <w:tcW w:w="1350" w:type="dxa"/>
            <w:vAlign w:val="center"/>
          </w:tcPr>
          <w:p w14:paraId="0B5BA91E"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38,616</w:t>
            </w:r>
          </w:p>
        </w:tc>
      </w:tr>
      <w:tr w:rsidR="00A67CDB" w:rsidRPr="00EE5714" w14:paraId="2B6D7A99" w14:textId="77777777" w:rsidTr="00824DBE">
        <w:trPr>
          <w:trHeight w:val="264"/>
        </w:trPr>
        <w:tc>
          <w:tcPr>
            <w:tcW w:w="1885" w:type="dxa"/>
            <w:vAlign w:val="center"/>
          </w:tcPr>
          <w:p w14:paraId="2D493B1D" w14:textId="77777777" w:rsidR="00F303E0" w:rsidRPr="00EE5714" w:rsidRDefault="00F303E0" w:rsidP="00851815">
            <w:pPr>
              <w:pStyle w:val="NoSpacing"/>
              <w:keepNext/>
              <w:rPr>
                <w:rFonts w:cs="Arial"/>
                <w:sz w:val="21"/>
                <w:szCs w:val="21"/>
              </w:rPr>
            </w:pPr>
            <w:r w:rsidRPr="00EE5714">
              <w:rPr>
                <w:rFonts w:eastAsia="Times New Roman" w:cs="Arial"/>
                <w:color w:val="000000"/>
                <w:sz w:val="21"/>
                <w:szCs w:val="21"/>
              </w:rPr>
              <w:t>Bills Paid in Full</w:t>
            </w:r>
          </w:p>
        </w:tc>
        <w:tc>
          <w:tcPr>
            <w:tcW w:w="1355" w:type="dxa"/>
            <w:vAlign w:val="center"/>
          </w:tcPr>
          <w:p w14:paraId="6D6DA1F9"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2,575</w:t>
            </w:r>
          </w:p>
        </w:tc>
        <w:tc>
          <w:tcPr>
            <w:tcW w:w="1350" w:type="dxa"/>
            <w:vAlign w:val="center"/>
          </w:tcPr>
          <w:p w14:paraId="21EBB084"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6,076</w:t>
            </w:r>
          </w:p>
        </w:tc>
        <w:tc>
          <w:tcPr>
            <w:tcW w:w="1350" w:type="dxa"/>
            <w:tcBorders>
              <w:right w:val="single" w:sz="12" w:space="0" w:color="auto"/>
            </w:tcBorders>
            <w:vAlign w:val="center"/>
          </w:tcPr>
          <w:p w14:paraId="69DF7086"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4,149</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center"/>
          </w:tcPr>
          <w:p w14:paraId="3BECA3D7"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11,295</w:t>
            </w:r>
          </w:p>
        </w:tc>
        <w:tc>
          <w:tcPr>
            <w:tcW w:w="1350" w:type="dxa"/>
            <w:tcBorders>
              <w:left w:val="single" w:sz="8" w:space="0" w:color="000000" w:themeColor="text1"/>
            </w:tcBorders>
            <w:vAlign w:val="center"/>
          </w:tcPr>
          <w:p w14:paraId="00563CCF"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29,019</w:t>
            </w:r>
          </w:p>
        </w:tc>
        <w:tc>
          <w:tcPr>
            <w:tcW w:w="1350" w:type="dxa"/>
            <w:vAlign w:val="center"/>
          </w:tcPr>
          <w:p w14:paraId="0767928A"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24,266</w:t>
            </w:r>
          </w:p>
        </w:tc>
      </w:tr>
      <w:tr w:rsidR="00A67CDB" w:rsidRPr="00EE5714" w14:paraId="0B895881" w14:textId="77777777" w:rsidTr="00824DBE">
        <w:trPr>
          <w:trHeight w:val="281"/>
        </w:trPr>
        <w:tc>
          <w:tcPr>
            <w:tcW w:w="1885" w:type="dxa"/>
            <w:shd w:val="clear" w:color="auto" w:fill="F2F2F2" w:themeFill="background1" w:themeFillShade="F2"/>
            <w:vAlign w:val="center"/>
          </w:tcPr>
          <w:p w14:paraId="220505DC"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355" w:type="dxa"/>
            <w:shd w:val="clear" w:color="auto" w:fill="F2F2F2" w:themeFill="background1" w:themeFillShade="F2"/>
            <w:vAlign w:val="center"/>
          </w:tcPr>
          <w:p w14:paraId="35BE7BB0"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shd w:val="clear" w:color="auto" w:fill="F2F2F2" w:themeFill="background1" w:themeFillShade="F2"/>
            <w:vAlign w:val="center"/>
          </w:tcPr>
          <w:p w14:paraId="679BD7F4"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right w:val="single" w:sz="12" w:space="0" w:color="auto"/>
            </w:tcBorders>
            <w:shd w:val="clear" w:color="auto" w:fill="F2F2F2" w:themeFill="background1" w:themeFillShade="F2"/>
            <w:vAlign w:val="center"/>
          </w:tcPr>
          <w:p w14:paraId="60B89909"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shd w:val="clear" w:color="auto" w:fill="F2F2F2" w:themeFill="background1" w:themeFillShade="F2"/>
            <w:vAlign w:val="center"/>
          </w:tcPr>
          <w:p w14:paraId="24D3CF9A"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left w:val="single" w:sz="8" w:space="0" w:color="000000" w:themeColor="text1"/>
            </w:tcBorders>
            <w:shd w:val="clear" w:color="auto" w:fill="F2F2F2" w:themeFill="background1" w:themeFillShade="F2"/>
            <w:vAlign w:val="center"/>
          </w:tcPr>
          <w:p w14:paraId="6CD01EE9"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shd w:val="clear" w:color="auto" w:fill="F2F2F2" w:themeFill="background1" w:themeFillShade="F2"/>
            <w:vAlign w:val="center"/>
          </w:tcPr>
          <w:p w14:paraId="073EB3EE" w14:textId="77777777" w:rsidR="00F303E0" w:rsidRPr="00EE5714" w:rsidRDefault="00F303E0" w:rsidP="00851815">
            <w:pPr>
              <w:keepNext/>
              <w:jc w:val="center"/>
              <w:rPr>
                <w:rFonts w:ascii="Calibri" w:eastAsia="Times New Roman" w:hAnsi="Calibri" w:cs="Calibri"/>
                <w:b/>
                <w:bCs/>
                <w:color w:val="000000"/>
                <w:sz w:val="21"/>
                <w:szCs w:val="21"/>
              </w:rPr>
            </w:pPr>
          </w:p>
        </w:tc>
      </w:tr>
      <w:tr w:rsidR="00A67CDB" w:rsidRPr="00EE5714" w14:paraId="77D0BCEB" w14:textId="77777777" w:rsidTr="00824DBE">
        <w:trPr>
          <w:trHeight w:val="281"/>
        </w:trPr>
        <w:tc>
          <w:tcPr>
            <w:tcW w:w="1885" w:type="dxa"/>
            <w:vAlign w:val="center"/>
          </w:tcPr>
          <w:p w14:paraId="2F14F254" w14:textId="0A34A607" w:rsidR="00F303E0" w:rsidRPr="00EE5714" w:rsidRDefault="00F303E0" w:rsidP="00851815">
            <w:pPr>
              <w:pStyle w:val="NoSpacing"/>
              <w:keepNext/>
              <w:rPr>
                <w:rFonts w:cs="Arial"/>
                <w:sz w:val="21"/>
                <w:szCs w:val="21"/>
              </w:rPr>
            </w:pPr>
            <w:r w:rsidRPr="00EE5714">
              <w:rPr>
                <w:rFonts w:eastAsia="Times New Roman" w:cs="Arial"/>
                <w:color w:val="000000"/>
                <w:sz w:val="21"/>
                <w:szCs w:val="21"/>
              </w:rPr>
              <w:t xml:space="preserve">Bills </w:t>
            </w:r>
            <w:r w:rsidR="00923EA8" w:rsidRPr="00EE5714">
              <w:rPr>
                <w:rFonts w:eastAsia="Times New Roman" w:cs="Arial"/>
                <w:color w:val="000000"/>
                <w:sz w:val="21"/>
                <w:szCs w:val="21"/>
              </w:rPr>
              <w:t>Issued</w:t>
            </w:r>
          </w:p>
        </w:tc>
        <w:tc>
          <w:tcPr>
            <w:tcW w:w="1355" w:type="dxa"/>
            <w:vAlign w:val="center"/>
          </w:tcPr>
          <w:p w14:paraId="51A15376"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2,437</w:t>
            </w:r>
          </w:p>
        </w:tc>
        <w:tc>
          <w:tcPr>
            <w:tcW w:w="1350" w:type="dxa"/>
            <w:vAlign w:val="center"/>
          </w:tcPr>
          <w:p w14:paraId="350BB2A1"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6,600</w:t>
            </w:r>
          </w:p>
        </w:tc>
        <w:tc>
          <w:tcPr>
            <w:tcW w:w="1350" w:type="dxa"/>
            <w:tcBorders>
              <w:right w:val="single" w:sz="12" w:space="0" w:color="auto"/>
            </w:tcBorders>
            <w:vAlign w:val="center"/>
          </w:tcPr>
          <w:p w14:paraId="1CD09F62"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4,748</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center"/>
          </w:tcPr>
          <w:p w14:paraId="0A7F44BA"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3,655</w:t>
            </w:r>
          </w:p>
        </w:tc>
        <w:tc>
          <w:tcPr>
            <w:tcW w:w="1350" w:type="dxa"/>
            <w:tcBorders>
              <w:left w:val="single" w:sz="8" w:space="0" w:color="000000" w:themeColor="text1"/>
            </w:tcBorders>
            <w:vAlign w:val="center"/>
          </w:tcPr>
          <w:p w14:paraId="4F7C4A0B"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9,900</w:t>
            </w:r>
          </w:p>
        </w:tc>
        <w:tc>
          <w:tcPr>
            <w:tcW w:w="1350" w:type="dxa"/>
            <w:vAlign w:val="center"/>
          </w:tcPr>
          <w:p w14:paraId="6E3163DB"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7,122</w:t>
            </w:r>
          </w:p>
        </w:tc>
      </w:tr>
      <w:tr w:rsidR="00A67CDB" w:rsidRPr="00EE5714" w14:paraId="175A07F5" w14:textId="77777777" w:rsidTr="00824DBE">
        <w:trPr>
          <w:trHeight w:val="281"/>
        </w:trPr>
        <w:tc>
          <w:tcPr>
            <w:tcW w:w="1885" w:type="dxa"/>
            <w:vAlign w:val="center"/>
          </w:tcPr>
          <w:p w14:paraId="1DEC8706" w14:textId="77777777" w:rsidR="00F303E0" w:rsidRPr="00EE5714" w:rsidRDefault="00F303E0" w:rsidP="00851815">
            <w:pPr>
              <w:pStyle w:val="NoSpacing"/>
              <w:keepNext/>
              <w:rPr>
                <w:rFonts w:eastAsia="Times New Roman" w:cs="Arial"/>
                <w:color w:val="000000"/>
                <w:sz w:val="21"/>
                <w:szCs w:val="21"/>
              </w:rPr>
            </w:pPr>
            <w:r w:rsidRPr="00EE5714">
              <w:rPr>
                <w:rFonts w:eastAsia="Times New Roman" w:cs="Arial"/>
                <w:color w:val="000000"/>
                <w:sz w:val="21"/>
                <w:szCs w:val="21"/>
              </w:rPr>
              <w:t>Bills Paid in Full</w:t>
            </w:r>
          </w:p>
        </w:tc>
        <w:tc>
          <w:tcPr>
            <w:tcW w:w="1355" w:type="dxa"/>
            <w:vAlign w:val="center"/>
          </w:tcPr>
          <w:p w14:paraId="1604AA34" w14:textId="77777777" w:rsidR="00F303E0" w:rsidRPr="00EE5714" w:rsidRDefault="00F303E0" w:rsidP="00851815">
            <w:pPr>
              <w:pStyle w:val="NoSpacing"/>
              <w:keepNext/>
              <w:jc w:val="center"/>
              <w:rPr>
                <w:rFonts w:eastAsia="Times New Roman" w:cs="Arial"/>
                <w:sz w:val="21"/>
                <w:szCs w:val="21"/>
              </w:rPr>
            </w:pPr>
            <w:r w:rsidRPr="00EE5714">
              <w:rPr>
                <w:rFonts w:eastAsia="Times New Roman" w:cs="Arial"/>
                <w:sz w:val="21"/>
                <w:szCs w:val="21"/>
              </w:rPr>
              <w:t>1,404</w:t>
            </w:r>
          </w:p>
        </w:tc>
        <w:tc>
          <w:tcPr>
            <w:tcW w:w="1350" w:type="dxa"/>
            <w:vAlign w:val="center"/>
          </w:tcPr>
          <w:p w14:paraId="4C024922" w14:textId="77777777" w:rsidR="00F303E0" w:rsidRPr="00EE5714" w:rsidRDefault="00F303E0" w:rsidP="00851815">
            <w:pPr>
              <w:pStyle w:val="NoSpacing"/>
              <w:keepNext/>
              <w:jc w:val="center"/>
              <w:rPr>
                <w:rFonts w:eastAsia="Times New Roman" w:cs="Arial"/>
                <w:sz w:val="21"/>
                <w:szCs w:val="21"/>
              </w:rPr>
            </w:pPr>
            <w:r w:rsidRPr="00EE5714">
              <w:rPr>
                <w:rFonts w:eastAsia="Times New Roman" w:cs="Arial"/>
                <w:sz w:val="21"/>
                <w:szCs w:val="21"/>
              </w:rPr>
              <w:t>3,802</w:t>
            </w:r>
          </w:p>
        </w:tc>
        <w:tc>
          <w:tcPr>
            <w:tcW w:w="1350" w:type="dxa"/>
            <w:tcBorders>
              <w:right w:val="single" w:sz="12" w:space="0" w:color="auto"/>
            </w:tcBorders>
            <w:vAlign w:val="center"/>
          </w:tcPr>
          <w:p w14:paraId="0EBC78B1" w14:textId="77777777" w:rsidR="00F303E0" w:rsidRPr="00EE5714" w:rsidRDefault="00F303E0" w:rsidP="00851815">
            <w:pPr>
              <w:pStyle w:val="NoSpacing"/>
              <w:keepNext/>
              <w:jc w:val="center"/>
              <w:rPr>
                <w:rFonts w:eastAsia="Times New Roman" w:cs="Arial"/>
                <w:sz w:val="21"/>
                <w:szCs w:val="21"/>
              </w:rPr>
            </w:pPr>
            <w:r w:rsidRPr="00EE5714">
              <w:rPr>
                <w:rFonts w:eastAsia="Times New Roman" w:cs="Arial"/>
                <w:sz w:val="21"/>
                <w:szCs w:val="21"/>
              </w:rPr>
              <w:t>2,735</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center"/>
          </w:tcPr>
          <w:p w14:paraId="6F6EE1E2" w14:textId="77777777" w:rsidR="00F303E0" w:rsidRPr="00EE5714" w:rsidRDefault="00F303E0" w:rsidP="00851815">
            <w:pPr>
              <w:pStyle w:val="NoSpacing"/>
              <w:keepNext/>
              <w:jc w:val="center"/>
              <w:rPr>
                <w:rFonts w:eastAsia="Times New Roman" w:cs="Arial"/>
                <w:sz w:val="21"/>
                <w:szCs w:val="21"/>
              </w:rPr>
            </w:pPr>
            <w:r w:rsidRPr="00EE5714">
              <w:rPr>
                <w:rFonts w:eastAsia="Times New Roman" w:cs="Arial"/>
                <w:sz w:val="21"/>
                <w:szCs w:val="21"/>
              </w:rPr>
              <w:t>2,105</w:t>
            </w:r>
          </w:p>
        </w:tc>
        <w:tc>
          <w:tcPr>
            <w:tcW w:w="1350" w:type="dxa"/>
            <w:tcBorders>
              <w:left w:val="single" w:sz="8" w:space="0" w:color="000000" w:themeColor="text1"/>
            </w:tcBorders>
            <w:vAlign w:val="center"/>
          </w:tcPr>
          <w:p w14:paraId="0BDC952A" w14:textId="77777777" w:rsidR="00F303E0" w:rsidRPr="00EE5714" w:rsidRDefault="00F303E0" w:rsidP="00851815">
            <w:pPr>
              <w:pStyle w:val="NoSpacing"/>
              <w:keepNext/>
              <w:jc w:val="center"/>
              <w:rPr>
                <w:rFonts w:eastAsia="Times New Roman" w:cs="Arial"/>
                <w:sz w:val="21"/>
                <w:szCs w:val="21"/>
              </w:rPr>
            </w:pPr>
            <w:r w:rsidRPr="00EE5714">
              <w:rPr>
                <w:rFonts w:eastAsia="Times New Roman" w:cs="Arial"/>
                <w:sz w:val="21"/>
                <w:szCs w:val="21"/>
              </w:rPr>
              <w:t>5,703</w:t>
            </w:r>
          </w:p>
        </w:tc>
        <w:tc>
          <w:tcPr>
            <w:tcW w:w="1350" w:type="dxa"/>
            <w:vAlign w:val="center"/>
          </w:tcPr>
          <w:p w14:paraId="28531BB0" w14:textId="77777777" w:rsidR="00F303E0" w:rsidRPr="00EE5714" w:rsidRDefault="00F303E0" w:rsidP="00851815">
            <w:pPr>
              <w:pStyle w:val="NoSpacing"/>
              <w:keepNext/>
              <w:jc w:val="center"/>
              <w:rPr>
                <w:rFonts w:eastAsia="Times New Roman" w:cs="Arial"/>
                <w:sz w:val="21"/>
                <w:szCs w:val="21"/>
              </w:rPr>
            </w:pPr>
            <w:r w:rsidRPr="00EE5714">
              <w:rPr>
                <w:rFonts w:eastAsia="Times New Roman" w:cs="Arial"/>
                <w:sz w:val="21"/>
                <w:szCs w:val="21"/>
              </w:rPr>
              <w:t>4,102</w:t>
            </w:r>
          </w:p>
        </w:tc>
      </w:tr>
      <w:tr w:rsidR="00A67CDB" w:rsidRPr="00EE5714" w14:paraId="400FD7B0" w14:textId="77777777" w:rsidTr="00824DBE">
        <w:trPr>
          <w:trHeight w:val="264"/>
        </w:trPr>
        <w:tc>
          <w:tcPr>
            <w:tcW w:w="1885" w:type="dxa"/>
            <w:shd w:val="clear" w:color="auto" w:fill="F2F2F2" w:themeFill="background1" w:themeFillShade="F2"/>
            <w:vAlign w:val="center"/>
          </w:tcPr>
          <w:p w14:paraId="73EFED62"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c>
          <w:tcPr>
            <w:tcW w:w="1355" w:type="dxa"/>
            <w:shd w:val="clear" w:color="auto" w:fill="F2F2F2" w:themeFill="background1" w:themeFillShade="F2"/>
            <w:vAlign w:val="center"/>
          </w:tcPr>
          <w:p w14:paraId="5672CF52"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shd w:val="clear" w:color="auto" w:fill="F2F2F2" w:themeFill="background1" w:themeFillShade="F2"/>
            <w:vAlign w:val="center"/>
          </w:tcPr>
          <w:p w14:paraId="0D886D69"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right w:val="single" w:sz="12" w:space="0" w:color="auto"/>
            </w:tcBorders>
            <w:shd w:val="clear" w:color="auto" w:fill="F2F2F2" w:themeFill="background1" w:themeFillShade="F2"/>
            <w:vAlign w:val="center"/>
          </w:tcPr>
          <w:p w14:paraId="45DA08D8"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shd w:val="clear" w:color="auto" w:fill="F2F2F2" w:themeFill="background1" w:themeFillShade="F2"/>
            <w:vAlign w:val="center"/>
          </w:tcPr>
          <w:p w14:paraId="58922D0B"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tcBorders>
              <w:left w:val="single" w:sz="8" w:space="0" w:color="000000" w:themeColor="text1"/>
            </w:tcBorders>
            <w:shd w:val="clear" w:color="auto" w:fill="F2F2F2" w:themeFill="background1" w:themeFillShade="F2"/>
            <w:vAlign w:val="center"/>
          </w:tcPr>
          <w:p w14:paraId="7AD6F262" w14:textId="77777777" w:rsidR="00F303E0" w:rsidRPr="00EE5714" w:rsidRDefault="00F303E0" w:rsidP="00851815">
            <w:pPr>
              <w:keepNext/>
              <w:jc w:val="center"/>
              <w:rPr>
                <w:rFonts w:ascii="Calibri" w:eastAsia="Times New Roman" w:hAnsi="Calibri" w:cs="Calibri"/>
                <w:b/>
                <w:bCs/>
                <w:color w:val="000000"/>
                <w:sz w:val="21"/>
                <w:szCs w:val="21"/>
              </w:rPr>
            </w:pPr>
          </w:p>
        </w:tc>
        <w:tc>
          <w:tcPr>
            <w:tcW w:w="1350" w:type="dxa"/>
            <w:shd w:val="clear" w:color="auto" w:fill="F2F2F2" w:themeFill="background1" w:themeFillShade="F2"/>
            <w:vAlign w:val="center"/>
          </w:tcPr>
          <w:p w14:paraId="231D8F51" w14:textId="77777777" w:rsidR="00F303E0" w:rsidRPr="00EE5714" w:rsidRDefault="00F303E0" w:rsidP="00851815">
            <w:pPr>
              <w:keepNext/>
              <w:jc w:val="center"/>
              <w:rPr>
                <w:rFonts w:ascii="Calibri" w:eastAsia="Times New Roman" w:hAnsi="Calibri" w:cs="Calibri"/>
                <w:b/>
                <w:bCs/>
                <w:color w:val="000000"/>
                <w:sz w:val="21"/>
                <w:szCs w:val="21"/>
              </w:rPr>
            </w:pPr>
          </w:p>
        </w:tc>
      </w:tr>
      <w:tr w:rsidR="00A67CDB" w:rsidRPr="00EE5714" w14:paraId="3767D181" w14:textId="77777777" w:rsidTr="00824DBE">
        <w:trPr>
          <w:trHeight w:val="281"/>
        </w:trPr>
        <w:tc>
          <w:tcPr>
            <w:tcW w:w="1885" w:type="dxa"/>
            <w:vAlign w:val="center"/>
          </w:tcPr>
          <w:p w14:paraId="3AD25CCB" w14:textId="20D2045B" w:rsidR="00F303E0" w:rsidRPr="00EE5714" w:rsidRDefault="00F303E0" w:rsidP="00851815">
            <w:pPr>
              <w:pStyle w:val="NoSpacing"/>
              <w:keepNext/>
              <w:rPr>
                <w:rFonts w:cs="Arial"/>
                <w:sz w:val="21"/>
                <w:szCs w:val="21"/>
              </w:rPr>
            </w:pPr>
            <w:r w:rsidRPr="00EE5714">
              <w:rPr>
                <w:rFonts w:eastAsia="Times New Roman" w:cs="Arial"/>
                <w:color w:val="000000"/>
                <w:sz w:val="21"/>
                <w:szCs w:val="21"/>
              </w:rPr>
              <w:t xml:space="preserve">Bills </w:t>
            </w:r>
            <w:r w:rsidR="00923EA8" w:rsidRPr="00EE5714">
              <w:rPr>
                <w:rFonts w:eastAsia="Times New Roman" w:cs="Arial"/>
                <w:color w:val="000000"/>
                <w:sz w:val="21"/>
                <w:szCs w:val="21"/>
              </w:rPr>
              <w:t>Issued</w:t>
            </w:r>
          </w:p>
        </w:tc>
        <w:tc>
          <w:tcPr>
            <w:tcW w:w="1355" w:type="dxa"/>
            <w:vAlign w:val="center"/>
          </w:tcPr>
          <w:p w14:paraId="333EBA21"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N/A</w:t>
            </w:r>
          </w:p>
        </w:tc>
        <w:tc>
          <w:tcPr>
            <w:tcW w:w="1350" w:type="dxa"/>
            <w:vAlign w:val="center"/>
          </w:tcPr>
          <w:p w14:paraId="08774A6D"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N/A</w:t>
            </w:r>
          </w:p>
        </w:tc>
        <w:tc>
          <w:tcPr>
            <w:tcW w:w="1350" w:type="dxa"/>
            <w:tcBorders>
              <w:right w:val="single" w:sz="12" w:space="0" w:color="auto"/>
            </w:tcBorders>
            <w:vAlign w:val="center"/>
          </w:tcPr>
          <w:p w14:paraId="636EE12E"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N/A</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center"/>
          </w:tcPr>
          <w:p w14:paraId="2FC19AA6"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N/A</w:t>
            </w:r>
          </w:p>
        </w:tc>
        <w:tc>
          <w:tcPr>
            <w:tcW w:w="1350" w:type="dxa"/>
            <w:tcBorders>
              <w:left w:val="single" w:sz="8" w:space="0" w:color="000000" w:themeColor="text1"/>
            </w:tcBorders>
            <w:vAlign w:val="center"/>
          </w:tcPr>
          <w:p w14:paraId="31568C3A"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N/A</w:t>
            </w:r>
          </w:p>
        </w:tc>
        <w:tc>
          <w:tcPr>
            <w:tcW w:w="1350" w:type="dxa"/>
            <w:vAlign w:val="center"/>
          </w:tcPr>
          <w:p w14:paraId="604E5034" w14:textId="77777777" w:rsidR="00F303E0" w:rsidRPr="00EE5714" w:rsidRDefault="00F303E0" w:rsidP="00851815">
            <w:pPr>
              <w:pStyle w:val="NoSpacing"/>
              <w:keepNext/>
              <w:jc w:val="center"/>
              <w:rPr>
                <w:rFonts w:cs="Arial"/>
                <w:sz w:val="21"/>
                <w:szCs w:val="21"/>
              </w:rPr>
            </w:pPr>
            <w:r w:rsidRPr="00EE5714">
              <w:rPr>
                <w:rFonts w:eastAsia="Times New Roman" w:cs="Arial"/>
                <w:sz w:val="21"/>
                <w:szCs w:val="21"/>
              </w:rPr>
              <w:t>N/A</w:t>
            </w:r>
          </w:p>
        </w:tc>
      </w:tr>
      <w:tr w:rsidR="00A67CDB" w:rsidRPr="00EE5714" w14:paraId="4C1CE865" w14:textId="77777777" w:rsidTr="00824DBE">
        <w:trPr>
          <w:trHeight w:val="281"/>
        </w:trPr>
        <w:tc>
          <w:tcPr>
            <w:tcW w:w="1885" w:type="dxa"/>
            <w:vAlign w:val="center"/>
          </w:tcPr>
          <w:p w14:paraId="24DD09F2" w14:textId="77777777" w:rsidR="00F303E0" w:rsidRPr="00EE5714" w:rsidRDefault="00F303E0" w:rsidP="00851815">
            <w:pPr>
              <w:pStyle w:val="NoSpacing"/>
              <w:widowControl w:val="0"/>
              <w:rPr>
                <w:rFonts w:cs="Arial"/>
                <w:sz w:val="21"/>
                <w:szCs w:val="21"/>
              </w:rPr>
            </w:pPr>
            <w:r w:rsidRPr="00EE5714">
              <w:rPr>
                <w:rFonts w:eastAsia="Times New Roman" w:cs="Arial"/>
                <w:color w:val="000000"/>
                <w:sz w:val="21"/>
                <w:szCs w:val="21"/>
              </w:rPr>
              <w:t>Bills Paid in Full</w:t>
            </w:r>
          </w:p>
        </w:tc>
        <w:tc>
          <w:tcPr>
            <w:tcW w:w="1355" w:type="dxa"/>
            <w:vAlign w:val="center"/>
          </w:tcPr>
          <w:p w14:paraId="4ED358B6" w14:textId="77777777" w:rsidR="00F303E0" w:rsidRPr="00EE5714" w:rsidRDefault="00F303E0" w:rsidP="00851815">
            <w:pPr>
              <w:pStyle w:val="NoSpacing"/>
              <w:widowControl w:val="0"/>
              <w:jc w:val="center"/>
              <w:rPr>
                <w:rFonts w:cs="Arial"/>
                <w:sz w:val="21"/>
                <w:szCs w:val="21"/>
              </w:rPr>
            </w:pPr>
            <w:r w:rsidRPr="00EE5714">
              <w:rPr>
                <w:rFonts w:eastAsia="Times New Roman" w:cs="Arial"/>
                <w:sz w:val="21"/>
                <w:szCs w:val="21"/>
              </w:rPr>
              <w:t>N/A</w:t>
            </w:r>
          </w:p>
        </w:tc>
        <w:tc>
          <w:tcPr>
            <w:tcW w:w="1350" w:type="dxa"/>
            <w:vAlign w:val="center"/>
          </w:tcPr>
          <w:p w14:paraId="1CFF291E" w14:textId="77777777" w:rsidR="00F303E0" w:rsidRPr="00EE5714" w:rsidRDefault="00F303E0" w:rsidP="00851815">
            <w:pPr>
              <w:pStyle w:val="NoSpacing"/>
              <w:widowControl w:val="0"/>
              <w:jc w:val="center"/>
              <w:rPr>
                <w:rFonts w:cs="Arial"/>
                <w:sz w:val="21"/>
                <w:szCs w:val="21"/>
              </w:rPr>
            </w:pPr>
            <w:r w:rsidRPr="00EE5714">
              <w:rPr>
                <w:rFonts w:eastAsia="Times New Roman" w:cs="Arial"/>
                <w:sz w:val="21"/>
                <w:szCs w:val="21"/>
              </w:rPr>
              <w:t>N/A</w:t>
            </w:r>
          </w:p>
        </w:tc>
        <w:tc>
          <w:tcPr>
            <w:tcW w:w="1350" w:type="dxa"/>
            <w:tcBorders>
              <w:right w:val="single" w:sz="12" w:space="0" w:color="auto"/>
            </w:tcBorders>
            <w:vAlign w:val="center"/>
          </w:tcPr>
          <w:p w14:paraId="03D92610" w14:textId="77777777" w:rsidR="00F303E0" w:rsidRPr="00EE5714" w:rsidRDefault="00F303E0" w:rsidP="00851815">
            <w:pPr>
              <w:pStyle w:val="NoSpacing"/>
              <w:widowControl w:val="0"/>
              <w:jc w:val="center"/>
              <w:rPr>
                <w:rFonts w:cs="Arial"/>
                <w:sz w:val="21"/>
                <w:szCs w:val="21"/>
              </w:rPr>
            </w:pPr>
            <w:r w:rsidRPr="00EE5714">
              <w:rPr>
                <w:rFonts w:eastAsia="Times New Roman" w:cs="Arial"/>
                <w:sz w:val="21"/>
                <w:szCs w:val="21"/>
              </w:rPr>
              <w:t>N/A</w:t>
            </w:r>
          </w:p>
        </w:tc>
        <w:tc>
          <w:tcPr>
            <w:tcW w:w="1350" w:type="dxa"/>
            <w:tcBorders>
              <w:top w:val="single" w:sz="8" w:space="0" w:color="000000" w:themeColor="text1"/>
              <w:left w:val="single" w:sz="12" w:space="0" w:color="auto"/>
              <w:bottom w:val="single" w:sz="8" w:space="0" w:color="000000" w:themeColor="text1"/>
              <w:right w:val="single" w:sz="8" w:space="0" w:color="000000" w:themeColor="text1"/>
            </w:tcBorders>
            <w:vAlign w:val="center"/>
          </w:tcPr>
          <w:p w14:paraId="3C95F633" w14:textId="77777777" w:rsidR="00F303E0" w:rsidRPr="00EE5714" w:rsidRDefault="00F303E0" w:rsidP="00851815">
            <w:pPr>
              <w:pStyle w:val="NoSpacing"/>
              <w:widowControl w:val="0"/>
              <w:jc w:val="center"/>
              <w:rPr>
                <w:rFonts w:cs="Arial"/>
                <w:sz w:val="21"/>
                <w:szCs w:val="21"/>
              </w:rPr>
            </w:pPr>
            <w:r w:rsidRPr="00EE5714">
              <w:rPr>
                <w:rFonts w:eastAsia="Times New Roman" w:cs="Arial"/>
                <w:sz w:val="21"/>
                <w:szCs w:val="21"/>
              </w:rPr>
              <w:t>N/A</w:t>
            </w:r>
          </w:p>
        </w:tc>
        <w:tc>
          <w:tcPr>
            <w:tcW w:w="1350" w:type="dxa"/>
            <w:tcBorders>
              <w:left w:val="single" w:sz="8" w:space="0" w:color="000000" w:themeColor="text1"/>
            </w:tcBorders>
            <w:vAlign w:val="center"/>
          </w:tcPr>
          <w:p w14:paraId="6012D9D1" w14:textId="77777777" w:rsidR="00F303E0" w:rsidRPr="00EE5714" w:rsidRDefault="00F303E0" w:rsidP="00851815">
            <w:pPr>
              <w:pStyle w:val="NoSpacing"/>
              <w:widowControl w:val="0"/>
              <w:jc w:val="center"/>
              <w:rPr>
                <w:rFonts w:cs="Arial"/>
                <w:sz w:val="21"/>
                <w:szCs w:val="21"/>
              </w:rPr>
            </w:pPr>
            <w:r w:rsidRPr="00EE5714">
              <w:rPr>
                <w:rFonts w:eastAsia="Times New Roman" w:cs="Arial"/>
                <w:sz w:val="21"/>
                <w:szCs w:val="21"/>
              </w:rPr>
              <w:t>N/A</w:t>
            </w:r>
          </w:p>
        </w:tc>
        <w:tc>
          <w:tcPr>
            <w:tcW w:w="1350" w:type="dxa"/>
            <w:vAlign w:val="center"/>
          </w:tcPr>
          <w:p w14:paraId="4E3B1838" w14:textId="77777777" w:rsidR="00F303E0" w:rsidRPr="00EE5714" w:rsidRDefault="00F303E0" w:rsidP="00851815">
            <w:pPr>
              <w:pStyle w:val="NoSpacing"/>
              <w:widowControl w:val="0"/>
              <w:jc w:val="center"/>
              <w:rPr>
                <w:rFonts w:cs="Arial"/>
                <w:sz w:val="21"/>
                <w:szCs w:val="21"/>
              </w:rPr>
            </w:pPr>
            <w:r w:rsidRPr="00EE5714">
              <w:rPr>
                <w:rFonts w:eastAsia="Times New Roman" w:cs="Arial"/>
                <w:sz w:val="21"/>
                <w:szCs w:val="21"/>
              </w:rPr>
              <w:t>N/A</w:t>
            </w:r>
          </w:p>
        </w:tc>
      </w:tr>
    </w:tbl>
    <w:p w14:paraId="0C0C528C" w14:textId="77777777" w:rsidR="00F303E0" w:rsidRPr="00EE5714" w:rsidRDefault="00F303E0" w:rsidP="00F303E0">
      <w:pPr>
        <w:pStyle w:val="NoSpacing"/>
        <w:widowControl w:val="0"/>
        <w:rPr>
          <w:rFonts w:cs="Times New Roman"/>
          <w:szCs w:val="26"/>
        </w:rPr>
      </w:pPr>
    </w:p>
    <w:p w14:paraId="4FC76EE5" w14:textId="77777777" w:rsidR="00F303E0" w:rsidRPr="00EE5714" w:rsidRDefault="00F303E0" w:rsidP="00F303E0">
      <w:pPr>
        <w:pStyle w:val="NoSpacing"/>
        <w:widowControl w:val="0"/>
        <w:rPr>
          <w:rFonts w:cs="Times New Roman"/>
          <w:szCs w:val="26"/>
        </w:rPr>
      </w:pPr>
    </w:p>
    <w:p w14:paraId="30F61D36" w14:textId="77777777" w:rsidR="00F303E0" w:rsidRPr="00EE5714" w:rsidRDefault="003E499A" w:rsidP="00F303E0">
      <w:pPr>
        <w:pStyle w:val="NoSpacing"/>
        <w:keepNext/>
        <w:rPr>
          <w:rFonts w:cs="Times New Roman"/>
          <w:szCs w:val="26"/>
        </w:rPr>
      </w:pPr>
      <w:r w:rsidRPr="00EE5714">
        <w:rPr>
          <w:rFonts w:cs="Times New Roman"/>
          <w:szCs w:val="26"/>
        </w:rPr>
        <w:lastRenderedPageBreak/>
        <w:t>Appendix 5</w:t>
      </w:r>
      <w:r w:rsidR="00F303E0" w:rsidRPr="00EE5714">
        <w:rPr>
          <w:rFonts w:cs="Times New Roman"/>
          <w:szCs w:val="26"/>
        </w:rPr>
        <w:t>.D.2: CAP Electric – Bills Paid in Full</w:t>
      </w:r>
    </w:p>
    <w:tbl>
      <w:tblPr>
        <w:tblW w:w="999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80"/>
        <w:gridCol w:w="1260"/>
        <w:gridCol w:w="1350"/>
        <w:gridCol w:w="1350"/>
        <w:gridCol w:w="1350"/>
        <w:gridCol w:w="1350"/>
        <w:gridCol w:w="1350"/>
      </w:tblGrid>
      <w:tr w:rsidR="00F303E0" w:rsidRPr="00EE5714" w14:paraId="79511A8D" w14:textId="77777777" w:rsidTr="00824DBE">
        <w:trPr>
          <w:trHeight w:val="432"/>
        </w:trPr>
        <w:tc>
          <w:tcPr>
            <w:tcW w:w="1980" w:type="dxa"/>
            <w:vMerge w:val="restart"/>
            <w:shd w:val="clear" w:color="auto" w:fill="auto"/>
            <w:noWrap/>
            <w:vAlign w:val="center"/>
            <w:hideMark/>
          </w:tcPr>
          <w:p w14:paraId="6CCB682C" w14:textId="77777777" w:rsidR="00F303E0" w:rsidRPr="00EE5714" w:rsidRDefault="00F303E0" w:rsidP="00851815">
            <w:pPr>
              <w:keepNext/>
              <w:jc w:val="center"/>
              <w:rPr>
                <w:rFonts w:ascii="Calibri" w:eastAsia="Times New Roman" w:hAnsi="Calibri" w:cs="Calibri"/>
                <w:b/>
                <w:bCs/>
                <w:color w:val="000000"/>
                <w:szCs w:val="24"/>
              </w:rPr>
            </w:pPr>
            <w:r w:rsidRPr="00EE5714">
              <w:rPr>
                <w:rFonts w:ascii="Calibri" w:eastAsia="Times New Roman" w:hAnsi="Calibri" w:cs="Calibri"/>
                <w:b/>
                <w:bCs/>
                <w:color w:val="000000"/>
                <w:szCs w:val="24"/>
              </w:rPr>
              <w:t>2013</w:t>
            </w:r>
          </w:p>
        </w:tc>
        <w:tc>
          <w:tcPr>
            <w:tcW w:w="3960" w:type="dxa"/>
            <w:gridSpan w:val="3"/>
            <w:tcBorders>
              <w:right w:val="single" w:sz="12" w:space="0" w:color="000000" w:themeColor="text1"/>
            </w:tcBorders>
            <w:shd w:val="clear" w:color="auto" w:fill="D9D9D9" w:themeFill="background1" w:themeFillShade="D9"/>
            <w:noWrap/>
            <w:vAlign w:val="bottom"/>
            <w:hideMark/>
          </w:tcPr>
          <w:p w14:paraId="52684BBB"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CAP Heating Accounts </w:t>
            </w:r>
          </w:p>
          <w:p w14:paraId="062E2692"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Number of Bills Paid In-Full</w:t>
            </w:r>
          </w:p>
        </w:tc>
        <w:tc>
          <w:tcPr>
            <w:tcW w:w="4050" w:type="dxa"/>
            <w:gridSpan w:val="3"/>
            <w:tcBorders>
              <w:left w:val="single" w:sz="12" w:space="0" w:color="000000" w:themeColor="text1"/>
            </w:tcBorders>
            <w:shd w:val="clear" w:color="auto" w:fill="D9D9D9" w:themeFill="background1" w:themeFillShade="D9"/>
            <w:noWrap/>
            <w:vAlign w:val="bottom"/>
            <w:hideMark/>
          </w:tcPr>
          <w:p w14:paraId="338A5627"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CAP Non-Heating Accounts </w:t>
            </w:r>
          </w:p>
          <w:p w14:paraId="5D17E8F6"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Number of Bills Paid In-Full</w:t>
            </w:r>
          </w:p>
        </w:tc>
      </w:tr>
      <w:tr w:rsidR="00F303E0" w:rsidRPr="00EE5714" w14:paraId="6D45611E" w14:textId="77777777" w:rsidTr="00824DBE">
        <w:trPr>
          <w:trHeight w:val="72"/>
        </w:trPr>
        <w:tc>
          <w:tcPr>
            <w:tcW w:w="1980" w:type="dxa"/>
            <w:vMerge/>
            <w:shd w:val="clear" w:color="auto" w:fill="auto"/>
            <w:vAlign w:val="center"/>
            <w:hideMark/>
          </w:tcPr>
          <w:p w14:paraId="377496B9" w14:textId="77777777" w:rsidR="00F303E0" w:rsidRPr="00EE5714" w:rsidRDefault="00F303E0" w:rsidP="00851815">
            <w:pPr>
              <w:keepNext/>
              <w:rPr>
                <w:rFonts w:ascii="Calibri" w:eastAsia="Times New Roman" w:hAnsi="Calibri" w:cs="Calibri"/>
                <w:b/>
                <w:bCs/>
                <w:color w:val="000000"/>
              </w:rPr>
            </w:pPr>
          </w:p>
        </w:tc>
        <w:tc>
          <w:tcPr>
            <w:tcW w:w="1260" w:type="dxa"/>
            <w:tcBorders>
              <w:bottom w:val="single" w:sz="8" w:space="0" w:color="000000" w:themeColor="text1"/>
            </w:tcBorders>
            <w:shd w:val="clear" w:color="auto" w:fill="auto"/>
            <w:noWrap/>
            <w:vAlign w:val="bottom"/>
            <w:hideMark/>
          </w:tcPr>
          <w:p w14:paraId="0EC708A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 FPIG</w:t>
            </w:r>
          </w:p>
        </w:tc>
        <w:tc>
          <w:tcPr>
            <w:tcW w:w="1350" w:type="dxa"/>
            <w:tcBorders>
              <w:bottom w:val="single" w:sz="8" w:space="0" w:color="000000" w:themeColor="text1"/>
            </w:tcBorders>
            <w:shd w:val="clear" w:color="auto" w:fill="auto"/>
            <w:noWrap/>
            <w:vAlign w:val="bottom"/>
            <w:hideMark/>
          </w:tcPr>
          <w:p w14:paraId="04A3D985"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 FPIG</w:t>
            </w:r>
          </w:p>
        </w:tc>
        <w:tc>
          <w:tcPr>
            <w:tcW w:w="1350" w:type="dxa"/>
            <w:tcBorders>
              <w:bottom w:val="single" w:sz="8" w:space="0" w:color="000000" w:themeColor="text1"/>
              <w:right w:val="single" w:sz="12" w:space="0" w:color="000000" w:themeColor="text1"/>
            </w:tcBorders>
            <w:shd w:val="clear" w:color="auto" w:fill="auto"/>
            <w:noWrap/>
            <w:vAlign w:val="bottom"/>
            <w:hideMark/>
          </w:tcPr>
          <w:p w14:paraId="1CDC778B"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 FPIG</w:t>
            </w:r>
          </w:p>
        </w:tc>
        <w:tc>
          <w:tcPr>
            <w:tcW w:w="1350" w:type="dxa"/>
            <w:tcBorders>
              <w:left w:val="single" w:sz="12" w:space="0" w:color="000000" w:themeColor="text1"/>
              <w:bottom w:val="single" w:sz="8" w:space="0" w:color="000000" w:themeColor="text1"/>
            </w:tcBorders>
            <w:shd w:val="clear" w:color="auto" w:fill="auto"/>
            <w:noWrap/>
            <w:vAlign w:val="bottom"/>
            <w:hideMark/>
          </w:tcPr>
          <w:p w14:paraId="50E2DA20"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 FPIG</w:t>
            </w:r>
          </w:p>
        </w:tc>
        <w:tc>
          <w:tcPr>
            <w:tcW w:w="1350" w:type="dxa"/>
            <w:tcBorders>
              <w:bottom w:val="single" w:sz="8" w:space="0" w:color="000000" w:themeColor="text1"/>
            </w:tcBorders>
            <w:shd w:val="clear" w:color="auto" w:fill="auto"/>
            <w:noWrap/>
            <w:vAlign w:val="bottom"/>
            <w:hideMark/>
          </w:tcPr>
          <w:p w14:paraId="29D6D42B"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 FPIG</w:t>
            </w:r>
          </w:p>
        </w:tc>
        <w:tc>
          <w:tcPr>
            <w:tcW w:w="1350" w:type="dxa"/>
            <w:tcBorders>
              <w:bottom w:val="single" w:sz="8" w:space="0" w:color="000000" w:themeColor="text1"/>
            </w:tcBorders>
            <w:shd w:val="clear" w:color="auto" w:fill="auto"/>
            <w:noWrap/>
            <w:vAlign w:val="bottom"/>
            <w:hideMark/>
          </w:tcPr>
          <w:p w14:paraId="3196479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 FPIG</w:t>
            </w:r>
          </w:p>
        </w:tc>
      </w:tr>
      <w:tr w:rsidR="00F303E0" w:rsidRPr="00EE5714" w14:paraId="371F333F" w14:textId="77777777" w:rsidTr="00824DBE">
        <w:trPr>
          <w:trHeight w:hRule="exact" w:val="245"/>
        </w:trPr>
        <w:tc>
          <w:tcPr>
            <w:tcW w:w="1980" w:type="dxa"/>
            <w:shd w:val="clear" w:color="auto" w:fill="F2F2F2" w:themeFill="background1" w:themeFillShade="F2"/>
            <w:noWrap/>
            <w:vAlign w:val="center"/>
            <w:hideMark/>
          </w:tcPr>
          <w:p w14:paraId="19ABA001"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260" w:type="dxa"/>
            <w:shd w:val="clear" w:color="auto" w:fill="F2F2F2" w:themeFill="background1" w:themeFillShade="F2"/>
            <w:noWrap/>
            <w:vAlign w:val="center"/>
            <w:hideMark/>
          </w:tcPr>
          <w:p w14:paraId="6826139D"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shd w:val="clear" w:color="auto" w:fill="F2F2F2" w:themeFill="background1" w:themeFillShade="F2"/>
            <w:noWrap/>
            <w:vAlign w:val="center"/>
            <w:hideMark/>
          </w:tcPr>
          <w:p w14:paraId="17CB524B"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tcBorders>
              <w:right w:val="single" w:sz="12" w:space="0" w:color="000000" w:themeColor="text1"/>
            </w:tcBorders>
            <w:shd w:val="clear" w:color="auto" w:fill="F2F2F2" w:themeFill="background1" w:themeFillShade="F2"/>
            <w:noWrap/>
            <w:vAlign w:val="center"/>
            <w:hideMark/>
          </w:tcPr>
          <w:p w14:paraId="6E20BC11"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78DBDA8C"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shd w:val="clear" w:color="auto" w:fill="F2F2F2" w:themeFill="background1" w:themeFillShade="F2"/>
            <w:noWrap/>
            <w:vAlign w:val="center"/>
            <w:hideMark/>
          </w:tcPr>
          <w:p w14:paraId="255C2F29"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shd w:val="clear" w:color="auto" w:fill="F2F2F2" w:themeFill="background1" w:themeFillShade="F2"/>
            <w:noWrap/>
            <w:vAlign w:val="center"/>
            <w:hideMark/>
          </w:tcPr>
          <w:p w14:paraId="5C8A0CF0" w14:textId="77777777" w:rsidR="00F303E0" w:rsidRPr="00EE5714" w:rsidRDefault="00F303E0" w:rsidP="00851815">
            <w:pPr>
              <w:keepNext/>
              <w:jc w:val="center"/>
              <w:rPr>
                <w:rFonts w:ascii="Calibri" w:eastAsia="Times New Roman" w:hAnsi="Calibri" w:cs="Calibri"/>
                <w:color w:val="000000"/>
                <w:sz w:val="21"/>
                <w:szCs w:val="21"/>
              </w:rPr>
            </w:pPr>
          </w:p>
        </w:tc>
      </w:tr>
      <w:tr w:rsidR="00F303E0" w:rsidRPr="00EE5714" w14:paraId="4D317F0C" w14:textId="77777777" w:rsidTr="00824DBE">
        <w:trPr>
          <w:trHeight w:hRule="exact" w:val="245"/>
        </w:trPr>
        <w:tc>
          <w:tcPr>
            <w:tcW w:w="1980" w:type="dxa"/>
            <w:shd w:val="clear" w:color="auto" w:fill="auto"/>
            <w:noWrap/>
            <w:vAlign w:val="center"/>
            <w:hideMark/>
          </w:tcPr>
          <w:p w14:paraId="42FDCC7B" w14:textId="33FDD82C"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hideMark/>
          </w:tcPr>
          <w:p w14:paraId="1D9A674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6,540</w:t>
            </w:r>
          </w:p>
        </w:tc>
        <w:tc>
          <w:tcPr>
            <w:tcW w:w="1350" w:type="dxa"/>
            <w:shd w:val="clear" w:color="auto" w:fill="auto"/>
            <w:noWrap/>
            <w:vAlign w:val="center"/>
            <w:hideMark/>
          </w:tcPr>
          <w:p w14:paraId="4779959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24,216</w:t>
            </w:r>
          </w:p>
        </w:tc>
        <w:tc>
          <w:tcPr>
            <w:tcW w:w="1350" w:type="dxa"/>
            <w:tcBorders>
              <w:right w:val="single" w:sz="12" w:space="0" w:color="000000" w:themeColor="text1"/>
            </w:tcBorders>
            <w:shd w:val="clear" w:color="auto" w:fill="auto"/>
            <w:noWrap/>
            <w:vAlign w:val="center"/>
            <w:hideMark/>
          </w:tcPr>
          <w:p w14:paraId="1E6BB60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12,369</w:t>
            </w:r>
          </w:p>
        </w:tc>
        <w:tc>
          <w:tcPr>
            <w:tcW w:w="1350" w:type="dxa"/>
            <w:tcBorders>
              <w:left w:val="single" w:sz="12" w:space="0" w:color="000000" w:themeColor="text1"/>
            </w:tcBorders>
            <w:shd w:val="clear" w:color="auto" w:fill="auto"/>
            <w:noWrap/>
            <w:vAlign w:val="center"/>
            <w:hideMark/>
          </w:tcPr>
          <w:p w14:paraId="253379B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61,234</w:t>
            </w:r>
          </w:p>
        </w:tc>
        <w:tc>
          <w:tcPr>
            <w:tcW w:w="1350" w:type="dxa"/>
            <w:shd w:val="clear" w:color="auto" w:fill="auto"/>
            <w:noWrap/>
            <w:vAlign w:val="center"/>
            <w:hideMark/>
          </w:tcPr>
          <w:p w14:paraId="42D16AC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199,823</w:t>
            </w:r>
          </w:p>
        </w:tc>
        <w:tc>
          <w:tcPr>
            <w:tcW w:w="1350" w:type="dxa"/>
            <w:shd w:val="clear" w:color="auto" w:fill="auto"/>
            <w:noWrap/>
            <w:vAlign w:val="center"/>
            <w:hideMark/>
          </w:tcPr>
          <w:p w14:paraId="76F9189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113,902</w:t>
            </w:r>
          </w:p>
        </w:tc>
      </w:tr>
      <w:tr w:rsidR="00F303E0" w:rsidRPr="00EE5714" w14:paraId="3FDA9844" w14:textId="77777777" w:rsidTr="00824DBE">
        <w:trPr>
          <w:trHeight w:hRule="exact" w:val="245"/>
        </w:trPr>
        <w:tc>
          <w:tcPr>
            <w:tcW w:w="1980" w:type="dxa"/>
            <w:shd w:val="clear" w:color="auto" w:fill="auto"/>
            <w:noWrap/>
            <w:vAlign w:val="center"/>
            <w:hideMark/>
          </w:tcPr>
          <w:p w14:paraId="7EE3C4B3"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shd w:val="clear" w:color="auto" w:fill="auto"/>
            <w:noWrap/>
            <w:vAlign w:val="center"/>
            <w:hideMark/>
          </w:tcPr>
          <w:p w14:paraId="02FE02F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4,518</w:t>
            </w:r>
          </w:p>
        </w:tc>
        <w:tc>
          <w:tcPr>
            <w:tcW w:w="1350" w:type="dxa"/>
            <w:shd w:val="clear" w:color="auto" w:fill="auto"/>
            <w:noWrap/>
            <w:vAlign w:val="center"/>
            <w:hideMark/>
          </w:tcPr>
          <w:p w14:paraId="65C45BA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20,321</w:t>
            </w:r>
          </w:p>
        </w:tc>
        <w:tc>
          <w:tcPr>
            <w:tcW w:w="1350" w:type="dxa"/>
            <w:tcBorders>
              <w:right w:val="single" w:sz="12" w:space="0" w:color="000000" w:themeColor="text1"/>
            </w:tcBorders>
            <w:shd w:val="clear" w:color="auto" w:fill="auto"/>
            <w:noWrap/>
            <w:vAlign w:val="center"/>
            <w:hideMark/>
          </w:tcPr>
          <w:p w14:paraId="38FBF52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11,181</w:t>
            </w:r>
          </w:p>
        </w:tc>
        <w:tc>
          <w:tcPr>
            <w:tcW w:w="1350" w:type="dxa"/>
            <w:tcBorders>
              <w:left w:val="single" w:sz="12" w:space="0" w:color="000000" w:themeColor="text1"/>
            </w:tcBorders>
            <w:shd w:val="clear" w:color="auto" w:fill="auto"/>
            <w:noWrap/>
            <w:vAlign w:val="center"/>
            <w:hideMark/>
          </w:tcPr>
          <w:p w14:paraId="34F986F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42,525</w:t>
            </w:r>
          </w:p>
        </w:tc>
        <w:tc>
          <w:tcPr>
            <w:tcW w:w="1350" w:type="dxa"/>
            <w:shd w:val="clear" w:color="auto" w:fill="auto"/>
            <w:noWrap/>
            <w:vAlign w:val="center"/>
            <w:hideMark/>
          </w:tcPr>
          <w:p w14:paraId="63BC178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160,740</w:t>
            </w:r>
          </w:p>
        </w:tc>
        <w:tc>
          <w:tcPr>
            <w:tcW w:w="1350" w:type="dxa"/>
            <w:shd w:val="clear" w:color="auto" w:fill="auto"/>
            <w:noWrap/>
            <w:vAlign w:val="center"/>
            <w:hideMark/>
          </w:tcPr>
          <w:p w14:paraId="41DFC02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96,384</w:t>
            </w:r>
          </w:p>
        </w:tc>
      </w:tr>
      <w:tr w:rsidR="00F303E0" w:rsidRPr="00EE5714" w14:paraId="11689732" w14:textId="77777777" w:rsidTr="00824DBE">
        <w:trPr>
          <w:trHeight w:hRule="exact" w:val="245"/>
        </w:trPr>
        <w:tc>
          <w:tcPr>
            <w:tcW w:w="1980" w:type="dxa"/>
            <w:shd w:val="clear" w:color="auto" w:fill="F2F2F2" w:themeFill="background1" w:themeFillShade="F2"/>
            <w:noWrap/>
            <w:vAlign w:val="center"/>
            <w:hideMark/>
          </w:tcPr>
          <w:p w14:paraId="40104038"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260" w:type="dxa"/>
            <w:shd w:val="clear" w:color="auto" w:fill="F2F2F2" w:themeFill="background1" w:themeFillShade="F2"/>
            <w:noWrap/>
            <w:vAlign w:val="center"/>
            <w:hideMark/>
          </w:tcPr>
          <w:p w14:paraId="4A7C842D"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25E79867" w14:textId="77777777" w:rsidR="00F303E0" w:rsidRPr="00EE5714" w:rsidRDefault="00F303E0" w:rsidP="00851815">
            <w:pPr>
              <w:keepNext/>
              <w:jc w:val="center"/>
              <w:rPr>
                <w:rFonts w:ascii="Calibri" w:eastAsia="Times New Roman" w:hAnsi="Calibri" w:cs="Calibri"/>
                <w:sz w:val="21"/>
                <w:szCs w:val="21"/>
              </w:rPr>
            </w:pPr>
          </w:p>
        </w:tc>
        <w:tc>
          <w:tcPr>
            <w:tcW w:w="1350" w:type="dxa"/>
            <w:tcBorders>
              <w:right w:val="single" w:sz="12" w:space="0" w:color="000000" w:themeColor="text1"/>
            </w:tcBorders>
            <w:shd w:val="clear" w:color="auto" w:fill="F2F2F2" w:themeFill="background1" w:themeFillShade="F2"/>
            <w:noWrap/>
            <w:vAlign w:val="center"/>
            <w:hideMark/>
          </w:tcPr>
          <w:p w14:paraId="40CE6A08"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49C67ABD"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5E5F8996"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122E3309"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4B983C85" w14:textId="77777777" w:rsidTr="00824DBE">
        <w:trPr>
          <w:trHeight w:hRule="exact" w:val="245"/>
        </w:trPr>
        <w:tc>
          <w:tcPr>
            <w:tcW w:w="1980" w:type="dxa"/>
            <w:shd w:val="clear" w:color="auto" w:fill="auto"/>
            <w:noWrap/>
            <w:vAlign w:val="center"/>
            <w:hideMark/>
          </w:tcPr>
          <w:p w14:paraId="747D121B" w14:textId="2C5AE3E8"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hideMark/>
          </w:tcPr>
          <w:p w14:paraId="7D2C97C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26,353</w:t>
            </w:r>
          </w:p>
        </w:tc>
        <w:tc>
          <w:tcPr>
            <w:tcW w:w="1350" w:type="dxa"/>
            <w:shd w:val="clear" w:color="auto" w:fill="auto"/>
            <w:noWrap/>
            <w:vAlign w:val="center"/>
            <w:hideMark/>
          </w:tcPr>
          <w:p w14:paraId="32C8BFB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50,172</w:t>
            </w:r>
          </w:p>
        </w:tc>
        <w:tc>
          <w:tcPr>
            <w:tcW w:w="1350" w:type="dxa"/>
            <w:tcBorders>
              <w:right w:val="single" w:sz="12" w:space="0" w:color="000000" w:themeColor="text1"/>
            </w:tcBorders>
            <w:shd w:val="clear" w:color="auto" w:fill="auto"/>
            <w:noWrap/>
            <w:vAlign w:val="center"/>
            <w:hideMark/>
          </w:tcPr>
          <w:p w14:paraId="5A70598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27,605</w:t>
            </w:r>
          </w:p>
        </w:tc>
        <w:tc>
          <w:tcPr>
            <w:tcW w:w="1350" w:type="dxa"/>
            <w:tcBorders>
              <w:left w:val="single" w:sz="12" w:space="0" w:color="000000" w:themeColor="text1"/>
            </w:tcBorders>
            <w:shd w:val="clear" w:color="auto" w:fill="auto"/>
            <w:noWrap/>
            <w:vAlign w:val="center"/>
            <w:hideMark/>
          </w:tcPr>
          <w:p w14:paraId="2328504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75,793</w:t>
            </w:r>
          </w:p>
        </w:tc>
        <w:tc>
          <w:tcPr>
            <w:tcW w:w="1350" w:type="dxa"/>
            <w:shd w:val="clear" w:color="auto" w:fill="auto"/>
            <w:noWrap/>
            <w:vAlign w:val="center"/>
            <w:hideMark/>
          </w:tcPr>
          <w:p w14:paraId="5C9CE71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126,381</w:t>
            </w:r>
          </w:p>
        </w:tc>
        <w:tc>
          <w:tcPr>
            <w:tcW w:w="1350" w:type="dxa"/>
            <w:shd w:val="clear" w:color="auto" w:fill="auto"/>
            <w:noWrap/>
            <w:vAlign w:val="center"/>
            <w:hideMark/>
          </w:tcPr>
          <w:p w14:paraId="0A5A771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92,702</w:t>
            </w:r>
          </w:p>
        </w:tc>
      </w:tr>
      <w:tr w:rsidR="00F303E0" w:rsidRPr="00EE5714" w14:paraId="2EF7499E" w14:textId="77777777" w:rsidTr="00824DBE">
        <w:trPr>
          <w:trHeight w:hRule="exact" w:val="245"/>
        </w:trPr>
        <w:tc>
          <w:tcPr>
            <w:tcW w:w="1980" w:type="dxa"/>
            <w:shd w:val="clear" w:color="auto" w:fill="auto"/>
            <w:noWrap/>
            <w:vAlign w:val="center"/>
            <w:hideMark/>
          </w:tcPr>
          <w:p w14:paraId="2A56A1DE"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shd w:val="clear" w:color="auto" w:fill="auto"/>
            <w:noWrap/>
            <w:vAlign w:val="center"/>
            <w:hideMark/>
          </w:tcPr>
          <w:p w14:paraId="588C9C8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9,421</w:t>
            </w:r>
          </w:p>
        </w:tc>
        <w:tc>
          <w:tcPr>
            <w:tcW w:w="1350" w:type="dxa"/>
            <w:shd w:val="clear" w:color="auto" w:fill="auto"/>
            <w:noWrap/>
            <w:vAlign w:val="center"/>
            <w:hideMark/>
          </w:tcPr>
          <w:p w14:paraId="255E1A4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21,641</w:t>
            </w:r>
          </w:p>
        </w:tc>
        <w:tc>
          <w:tcPr>
            <w:tcW w:w="1350" w:type="dxa"/>
            <w:tcBorders>
              <w:right w:val="single" w:sz="12" w:space="0" w:color="000000" w:themeColor="text1"/>
            </w:tcBorders>
            <w:shd w:val="clear" w:color="auto" w:fill="auto"/>
            <w:noWrap/>
            <w:vAlign w:val="center"/>
            <w:hideMark/>
          </w:tcPr>
          <w:p w14:paraId="2622B57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10,623</w:t>
            </w:r>
          </w:p>
        </w:tc>
        <w:tc>
          <w:tcPr>
            <w:tcW w:w="1350" w:type="dxa"/>
            <w:tcBorders>
              <w:left w:val="single" w:sz="12" w:space="0" w:color="000000" w:themeColor="text1"/>
            </w:tcBorders>
            <w:shd w:val="clear" w:color="auto" w:fill="auto"/>
            <w:noWrap/>
            <w:vAlign w:val="center"/>
            <w:hideMark/>
          </w:tcPr>
          <w:p w14:paraId="1C994FE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25,526</w:t>
            </w:r>
          </w:p>
        </w:tc>
        <w:tc>
          <w:tcPr>
            <w:tcW w:w="1350" w:type="dxa"/>
            <w:shd w:val="clear" w:color="auto" w:fill="auto"/>
            <w:noWrap/>
            <w:vAlign w:val="center"/>
            <w:hideMark/>
          </w:tcPr>
          <w:p w14:paraId="409A51E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55,304</w:t>
            </w:r>
          </w:p>
        </w:tc>
        <w:tc>
          <w:tcPr>
            <w:tcW w:w="1350" w:type="dxa"/>
            <w:shd w:val="clear" w:color="auto" w:fill="auto"/>
            <w:noWrap/>
            <w:vAlign w:val="center"/>
            <w:hideMark/>
          </w:tcPr>
          <w:p w14:paraId="7B455C6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41,958</w:t>
            </w:r>
          </w:p>
        </w:tc>
      </w:tr>
      <w:tr w:rsidR="00F303E0" w:rsidRPr="00EE5714" w14:paraId="49EEC151" w14:textId="77777777" w:rsidTr="00824DBE">
        <w:trPr>
          <w:trHeight w:hRule="exact" w:val="245"/>
        </w:trPr>
        <w:tc>
          <w:tcPr>
            <w:tcW w:w="1980" w:type="dxa"/>
            <w:shd w:val="clear" w:color="auto" w:fill="F2F2F2" w:themeFill="background1" w:themeFillShade="F2"/>
            <w:noWrap/>
            <w:vAlign w:val="center"/>
          </w:tcPr>
          <w:p w14:paraId="5FCFF6A8"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 xml:space="preserve">PECO Electric </w:t>
            </w:r>
          </w:p>
        </w:tc>
        <w:tc>
          <w:tcPr>
            <w:tcW w:w="1260" w:type="dxa"/>
            <w:shd w:val="clear" w:color="auto" w:fill="F2F2F2" w:themeFill="background1" w:themeFillShade="F2"/>
            <w:noWrap/>
            <w:vAlign w:val="center"/>
          </w:tcPr>
          <w:p w14:paraId="48367714"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tcPr>
          <w:p w14:paraId="6C831141" w14:textId="77777777" w:rsidR="00F303E0" w:rsidRPr="00EE5714" w:rsidRDefault="00F303E0" w:rsidP="00851815">
            <w:pPr>
              <w:keepNext/>
              <w:jc w:val="center"/>
              <w:rPr>
                <w:rFonts w:ascii="Calibri" w:eastAsia="Times New Roman" w:hAnsi="Calibri" w:cs="Calibri"/>
                <w:sz w:val="21"/>
                <w:szCs w:val="21"/>
              </w:rPr>
            </w:pPr>
          </w:p>
        </w:tc>
        <w:tc>
          <w:tcPr>
            <w:tcW w:w="1350" w:type="dxa"/>
            <w:tcBorders>
              <w:right w:val="single" w:sz="12" w:space="0" w:color="000000" w:themeColor="text1"/>
            </w:tcBorders>
            <w:shd w:val="clear" w:color="auto" w:fill="F2F2F2" w:themeFill="background1" w:themeFillShade="F2"/>
            <w:noWrap/>
            <w:vAlign w:val="center"/>
          </w:tcPr>
          <w:p w14:paraId="7B39E664"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tcPr>
          <w:p w14:paraId="77488D3A"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tcPr>
          <w:p w14:paraId="355ED080"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tcPr>
          <w:p w14:paraId="11717DAB"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7A01BD39" w14:textId="77777777" w:rsidTr="00824DBE">
        <w:trPr>
          <w:trHeight w:hRule="exact" w:val="245"/>
        </w:trPr>
        <w:tc>
          <w:tcPr>
            <w:tcW w:w="1980" w:type="dxa"/>
            <w:shd w:val="clear" w:color="auto" w:fill="auto"/>
            <w:noWrap/>
            <w:vAlign w:val="center"/>
          </w:tcPr>
          <w:p w14:paraId="677B231B" w14:textId="35E5FF8B"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tcPr>
          <w:p w14:paraId="79FEA51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50,070</w:t>
            </w:r>
          </w:p>
        </w:tc>
        <w:tc>
          <w:tcPr>
            <w:tcW w:w="1350" w:type="dxa"/>
            <w:shd w:val="clear" w:color="auto" w:fill="auto"/>
            <w:noWrap/>
            <w:vAlign w:val="center"/>
          </w:tcPr>
          <w:p w14:paraId="39112F5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103,323</w:t>
            </w:r>
          </w:p>
        </w:tc>
        <w:tc>
          <w:tcPr>
            <w:tcW w:w="1350" w:type="dxa"/>
            <w:tcBorders>
              <w:right w:val="single" w:sz="12" w:space="0" w:color="000000" w:themeColor="text1"/>
            </w:tcBorders>
            <w:shd w:val="clear" w:color="auto" w:fill="auto"/>
            <w:noWrap/>
            <w:vAlign w:val="center"/>
          </w:tcPr>
          <w:p w14:paraId="6352D6E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88,775</w:t>
            </w:r>
          </w:p>
        </w:tc>
        <w:tc>
          <w:tcPr>
            <w:tcW w:w="1350" w:type="dxa"/>
            <w:tcBorders>
              <w:left w:val="single" w:sz="12" w:space="0" w:color="000000" w:themeColor="text1"/>
            </w:tcBorders>
            <w:shd w:val="clear" w:color="auto" w:fill="auto"/>
            <w:noWrap/>
            <w:vAlign w:val="center"/>
          </w:tcPr>
          <w:p w14:paraId="7C0C419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308,649</w:t>
            </w:r>
          </w:p>
        </w:tc>
        <w:tc>
          <w:tcPr>
            <w:tcW w:w="1350" w:type="dxa"/>
            <w:shd w:val="clear" w:color="auto" w:fill="auto"/>
            <w:noWrap/>
            <w:vAlign w:val="center"/>
          </w:tcPr>
          <w:p w14:paraId="7D3E76C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624,959</w:t>
            </w:r>
          </w:p>
        </w:tc>
        <w:tc>
          <w:tcPr>
            <w:tcW w:w="1350" w:type="dxa"/>
            <w:shd w:val="clear" w:color="auto" w:fill="auto"/>
            <w:noWrap/>
            <w:vAlign w:val="center"/>
          </w:tcPr>
          <w:p w14:paraId="6060BB6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376,571</w:t>
            </w:r>
          </w:p>
        </w:tc>
      </w:tr>
      <w:tr w:rsidR="00F303E0" w:rsidRPr="00EE5714" w14:paraId="51FFE5E6" w14:textId="77777777" w:rsidTr="00824DBE">
        <w:trPr>
          <w:trHeight w:hRule="exact" w:val="245"/>
        </w:trPr>
        <w:tc>
          <w:tcPr>
            <w:tcW w:w="1980" w:type="dxa"/>
            <w:shd w:val="clear" w:color="auto" w:fill="auto"/>
            <w:noWrap/>
            <w:vAlign w:val="center"/>
          </w:tcPr>
          <w:p w14:paraId="2FC52201"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Bills Paid in Full</w:t>
            </w:r>
          </w:p>
        </w:tc>
        <w:tc>
          <w:tcPr>
            <w:tcW w:w="1260" w:type="dxa"/>
            <w:shd w:val="clear" w:color="auto" w:fill="auto"/>
            <w:noWrap/>
            <w:vAlign w:val="center"/>
          </w:tcPr>
          <w:p w14:paraId="38B6423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27,355</w:t>
            </w:r>
          </w:p>
        </w:tc>
        <w:tc>
          <w:tcPr>
            <w:tcW w:w="1350" w:type="dxa"/>
            <w:shd w:val="clear" w:color="auto" w:fill="auto"/>
            <w:noWrap/>
            <w:vAlign w:val="center"/>
          </w:tcPr>
          <w:p w14:paraId="431777F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65,431</w:t>
            </w:r>
          </w:p>
        </w:tc>
        <w:tc>
          <w:tcPr>
            <w:tcW w:w="1350" w:type="dxa"/>
            <w:tcBorders>
              <w:right w:val="single" w:sz="12" w:space="0" w:color="000000" w:themeColor="text1"/>
            </w:tcBorders>
            <w:shd w:val="clear" w:color="auto" w:fill="auto"/>
            <w:noWrap/>
            <w:vAlign w:val="center"/>
          </w:tcPr>
          <w:p w14:paraId="766166B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58,688</w:t>
            </w:r>
          </w:p>
        </w:tc>
        <w:tc>
          <w:tcPr>
            <w:tcW w:w="1350" w:type="dxa"/>
            <w:tcBorders>
              <w:left w:val="single" w:sz="12" w:space="0" w:color="000000" w:themeColor="text1"/>
            </w:tcBorders>
            <w:shd w:val="clear" w:color="auto" w:fill="auto"/>
            <w:noWrap/>
            <w:vAlign w:val="center"/>
          </w:tcPr>
          <w:p w14:paraId="11AD5DB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162,168</w:t>
            </w:r>
          </w:p>
        </w:tc>
        <w:tc>
          <w:tcPr>
            <w:tcW w:w="1350" w:type="dxa"/>
            <w:shd w:val="clear" w:color="auto" w:fill="auto"/>
            <w:noWrap/>
            <w:vAlign w:val="center"/>
          </w:tcPr>
          <w:p w14:paraId="42F1A91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385,588</w:t>
            </w:r>
          </w:p>
        </w:tc>
        <w:tc>
          <w:tcPr>
            <w:tcW w:w="1350" w:type="dxa"/>
            <w:shd w:val="clear" w:color="auto" w:fill="auto"/>
            <w:noWrap/>
            <w:vAlign w:val="center"/>
          </w:tcPr>
          <w:p w14:paraId="4BF0051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226,757</w:t>
            </w:r>
          </w:p>
        </w:tc>
      </w:tr>
      <w:tr w:rsidR="00F303E0" w:rsidRPr="00EE5714" w14:paraId="02E5942B" w14:textId="77777777" w:rsidTr="00824DBE">
        <w:trPr>
          <w:trHeight w:hRule="exact" w:val="245"/>
        </w:trPr>
        <w:tc>
          <w:tcPr>
            <w:tcW w:w="1980" w:type="dxa"/>
            <w:shd w:val="clear" w:color="auto" w:fill="F2F2F2" w:themeFill="background1" w:themeFillShade="F2"/>
            <w:noWrap/>
            <w:vAlign w:val="center"/>
            <w:hideMark/>
          </w:tcPr>
          <w:p w14:paraId="61237847" w14:textId="77777777" w:rsidR="00F303E0" w:rsidRPr="00EE5714" w:rsidRDefault="00F303E0" w:rsidP="00851815">
            <w:pPr>
              <w:keepNext/>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260" w:type="dxa"/>
            <w:shd w:val="clear" w:color="auto" w:fill="F2F2F2" w:themeFill="background1" w:themeFillShade="F2"/>
            <w:noWrap/>
            <w:vAlign w:val="center"/>
            <w:hideMark/>
          </w:tcPr>
          <w:p w14:paraId="28CA1FD3"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6D33A7EF" w14:textId="77777777" w:rsidR="00F303E0" w:rsidRPr="00EE5714" w:rsidRDefault="00F303E0" w:rsidP="00851815">
            <w:pPr>
              <w:keepNext/>
              <w:jc w:val="center"/>
              <w:rPr>
                <w:rFonts w:ascii="Calibri" w:eastAsia="Times New Roman" w:hAnsi="Calibri" w:cs="Calibri"/>
                <w:sz w:val="21"/>
                <w:szCs w:val="21"/>
              </w:rPr>
            </w:pPr>
          </w:p>
        </w:tc>
        <w:tc>
          <w:tcPr>
            <w:tcW w:w="1350" w:type="dxa"/>
            <w:tcBorders>
              <w:right w:val="single" w:sz="12" w:space="0" w:color="000000" w:themeColor="text1"/>
            </w:tcBorders>
            <w:shd w:val="clear" w:color="auto" w:fill="F2F2F2" w:themeFill="background1" w:themeFillShade="F2"/>
            <w:noWrap/>
            <w:vAlign w:val="center"/>
            <w:hideMark/>
          </w:tcPr>
          <w:p w14:paraId="71BE6432"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3016D36B"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76B97015"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430DC905"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052EB409" w14:textId="77777777" w:rsidTr="00824DBE">
        <w:trPr>
          <w:trHeight w:hRule="exact" w:val="245"/>
        </w:trPr>
        <w:tc>
          <w:tcPr>
            <w:tcW w:w="1980" w:type="dxa"/>
            <w:shd w:val="clear" w:color="auto" w:fill="auto"/>
            <w:noWrap/>
            <w:vAlign w:val="center"/>
            <w:hideMark/>
          </w:tcPr>
          <w:p w14:paraId="3C71F6CF" w14:textId="53893D2E"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hideMark/>
          </w:tcPr>
          <w:p w14:paraId="7B163E1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16,043</w:t>
            </w:r>
          </w:p>
        </w:tc>
        <w:tc>
          <w:tcPr>
            <w:tcW w:w="1350" w:type="dxa"/>
            <w:shd w:val="clear" w:color="auto" w:fill="auto"/>
            <w:noWrap/>
            <w:vAlign w:val="center"/>
            <w:hideMark/>
          </w:tcPr>
          <w:p w14:paraId="1F58CF8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38,967</w:t>
            </w:r>
          </w:p>
        </w:tc>
        <w:tc>
          <w:tcPr>
            <w:tcW w:w="1350" w:type="dxa"/>
            <w:tcBorders>
              <w:right w:val="single" w:sz="12" w:space="0" w:color="000000" w:themeColor="text1"/>
            </w:tcBorders>
            <w:shd w:val="clear" w:color="auto" w:fill="auto"/>
            <w:noWrap/>
            <w:vAlign w:val="center"/>
            <w:hideMark/>
          </w:tcPr>
          <w:p w14:paraId="2D1D1E9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18,033</w:t>
            </w:r>
          </w:p>
        </w:tc>
        <w:tc>
          <w:tcPr>
            <w:tcW w:w="1350" w:type="dxa"/>
            <w:tcBorders>
              <w:left w:val="single" w:sz="12" w:space="0" w:color="000000" w:themeColor="text1"/>
            </w:tcBorders>
            <w:shd w:val="clear" w:color="auto" w:fill="auto"/>
            <w:noWrap/>
            <w:vAlign w:val="center"/>
            <w:hideMark/>
          </w:tcPr>
          <w:p w14:paraId="512A7BF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94,126</w:t>
            </w:r>
          </w:p>
        </w:tc>
        <w:tc>
          <w:tcPr>
            <w:tcW w:w="1350" w:type="dxa"/>
            <w:shd w:val="clear" w:color="auto" w:fill="auto"/>
            <w:noWrap/>
            <w:vAlign w:val="center"/>
            <w:hideMark/>
          </w:tcPr>
          <w:p w14:paraId="65E1892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186,754</w:t>
            </w:r>
          </w:p>
        </w:tc>
        <w:tc>
          <w:tcPr>
            <w:tcW w:w="1350" w:type="dxa"/>
            <w:shd w:val="clear" w:color="auto" w:fill="auto"/>
            <w:noWrap/>
            <w:vAlign w:val="center"/>
            <w:hideMark/>
          </w:tcPr>
          <w:p w14:paraId="18580E7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125,237</w:t>
            </w:r>
          </w:p>
        </w:tc>
      </w:tr>
      <w:tr w:rsidR="00F303E0" w:rsidRPr="00EE5714" w14:paraId="2EAE205D" w14:textId="77777777" w:rsidTr="00824DBE">
        <w:trPr>
          <w:trHeight w:hRule="exact" w:val="245"/>
        </w:trPr>
        <w:tc>
          <w:tcPr>
            <w:tcW w:w="1980" w:type="dxa"/>
            <w:shd w:val="clear" w:color="auto" w:fill="auto"/>
            <w:noWrap/>
            <w:vAlign w:val="center"/>
            <w:hideMark/>
          </w:tcPr>
          <w:p w14:paraId="6BBD6C79"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shd w:val="clear" w:color="auto" w:fill="auto"/>
            <w:noWrap/>
            <w:vAlign w:val="center"/>
            <w:hideMark/>
          </w:tcPr>
          <w:p w14:paraId="5CF7486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6,076</w:t>
            </w:r>
          </w:p>
        </w:tc>
        <w:tc>
          <w:tcPr>
            <w:tcW w:w="1350" w:type="dxa"/>
            <w:shd w:val="clear" w:color="auto" w:fill="auto"/>
            <w:noWrap/>
            <w:vAlign w:val="center"/>
            <w:hideMark/>
          </w:tcPr>
          <w:p w14:paraId="15A2822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19,751</w:t>
            </w:r>
          </w:p>
        </w:tc>
        <w:tc>
          <w:tcPr>
            <w:tcW w:w="1350" w:type="dxa"/>
            <w:tcBorders>
              <w:right w:val="single" w:sz="12" w:space="0" w:color="000000" w:themeColor="text1"/>
            </w:tcBorders>
            <w:shd w:val="clear" w:color="auto" w:fill="auto"/>
            <w:noWrap/>
            <w:vAlign w:val="center"/>
            <w:hideMark/>
          </w:tcPr>
          <w:p w14:paraId="1667ABA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8,335</w:t>
            </w:r>
          </w:p>
        </w:tc>
        <w:tc>
          <w:tcPr>
            <w:tcW w:w="1350" w:type="dxa"/>
            <w:tcBorders>
              <w:left w:val="single" w:sz="12" w:space="0" w:color="000000" w:themeColor="text1"/>
            </w:tcBorders>
            <w:shd w:val="clear" w:color="auto" w:fill="auto"/>
            <w:noWrap/>
            <w:vAlign w:val="center"/>
            <w:hideMark/>
          </w:tcPr>
          <w:p w14:paraId="2230A97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35,172</w:t>
            </w:r>
          </w:p>
        </w:tc>
        <w:tc>
          <w:tcPr>
            <w:tcW w:w="1350" w:type="dxa"/>
            <w:shd w:val="clear" w:color="auto" w:fill="auto"/>
            <w:noWrap/>
            <w:vAlign w:val="center"/>
            <w:hideMark/>
          </w:tcPr>
          <w:p w14:paraId="3FE3045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98,109</w:t>
            </w:r>
          </w:p>
        </w:tc>
        <w:tc>
          <w:tcPr>
            <w:tcW w:w="1350" w:type="dxa"/>
            <w:shd w:val="clear" w:color="auto" w:fill="auto"/>
            <w:noWrap/>
            <w:vAlign w:val="center"/>
            <w:hideMark/>
          </w:tcPr>
          <w:p w14:paraId="032B497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68,473</w:t>
            </w:r>
          </w:p>
        </w:tc>
      </w:tr>
      <w:tr w:rsidR="00F303E0" w:rsidRPr="00EE5714" w14:paraId="0307A67A" w14:textId="77777777" w:rsidTr="00824DBE">
        <w:trPr>
          <w:trHeight w:hRule="exact" w:val="245"/>
        </w:trPr>
        <w:tc>
          <w:tcPr>
            <w:tcW w:w="1980" w:type="dxa"/>
            <w:shd w:val="clear" w:color="auto" w:fill="F2F2F2" w:themeFill="background1" w:themeFillShade="F2"/>
            <w:noWrap/>
            <w:vAlign w:val="center"/>
            <w:hideMark/>
          </w:tcPr>
          <w:p w14:paraId="691C6A39"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260" w:type="dxa"/>
            <w:shd w:val="clear" w:color="auto" w:fill="F2F2F2" w:themeFill="background1" w:themeFillShade="F2"/>
            <w:noWrap/>
            <w:vAlign w:val="center"/>
            <w:hideMark/>
          </w:tcPr>
          <w:p w14:paraId="022406C5"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3B2462EC" w14:textId="77777777" w:rsidR="00F303E0" w:rsidRPr="00EE5714" w:rsidRDefault="00F303E0" w:rsidP="00851815">
            <w:pPr>
              <w:keepNext/>
              <w:jc w:val="center"/>
              <w:rPr>
                <w:rFonts w:ascii="Calibri" w:eastAsia="Times New Roman" w:hAnsi="Calibri" w:cs="Calibri"/>
                <w:sz w:val="21"/>
                <w:szCs w:val="21"/>
              </w:rPr>
            </w:pPr>
          </w:p>
        </w:tc>
        <w:tc>
          <w:tcPr>
            <w:tcW w:w="1350" w:type="dxa"/>
            <w:tcBorders>
              <w:right w:val="single" w:sz="12" w:space="0" w:color="000000" w:themeColor="text1"/>
            </w:tcBorders>
            <w:shd w:val="clear" w:color="auto" w:fill="F2F2F2" w:themeFill="background1" w:themeFillShade="F2"/>
            <w:noWrap/>
            <w:vAlign w:val="center"/>
            <w:hideMark/>
          </w:tcPr>
          <w:p w14:paraId="7DF3C9C8"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0C90EA88"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2E821409"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4F4772B0"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178B10F3" w14:textId="77777777" w:rsidTr="00824DBE">
        <w:trPr>
          <w:trHeight w:hRule="exact" w:val="245"/>
        </w:trPr>
        <w:tc>
          <w:tcPr>
            <w:tcW w:w="1980" w:type="dxa"/>
            <w:shd w:val="clear" w:color="auto" w:fill="auto"/>
            <w:noWrap/>
            <w:vAlign w:val="center"/>
            <w:hideMark/>
          </w:tcPr>
          <w:p w14:paraId="578A564F" w14:textId="52FCE4B4"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hideMark/>
          </w:tcPr>
          <w:p w14:paraId="711DF32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4,985</w:t>
            </w:r>
          </w:p>
        </w:tc>
        <w:tc>
          <w:tcPr>
            <w:tcW w:w="1350" w:type="dxa"/>
            <w:shd w:val="clear" w:color="auto" w:fill="auto"/>
            <w:noWrap/>
            <w:vAlign w:val="center"/>
            <w:hideMark/>
          </w:tcPr>
          <w:p w14:paraId="250744C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10,563</w:t>
            </w:r>
          </w:p>
        </w:tc>
        <w:tc>
          <w:tcPr>
            <w:tcW w:w="1350" w:type="dxa"/>
            <w:tcBorders>
              <w:right w:val="single" w:sz="12" w:space="0" w:color="000000" w:themeColor="text1"/>
            </w:tcBorders>
            <w:shd w:val="clear" w:color="auto" w:fill="auto"/>
            <w:noWrap/>
            <w:vAlign w:val="center"/>
            <w:hideMark/>
          </w:tcPr>
          <w:p w14:paraId="22E6D6D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6,703</w:t>
            </w:r>
          </w:p>
        </w:tc>
        <w:tc>
          <w:tcPr>
            <w:tcW w:w="1350" w:type="dxa"/>
            <w:tcBorders>
              <w:left w:val="single" w:sz="12" w:space="0" w:color="000000" w:themeColor="text1"/>
            </w:tcBorders>
            <w:shd w:val="clear" w:color="auto" w:fill="auto"/>
            <w:noWrap/>
            <w:vAlign w:val="center"/>
            <w:hideMark/>
          </w:tcPr>
          <w:p w14:paraId="0CCBFD2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21,786</w:t>
            </w:r>
          </w:p>
        </w:tc>
        <w:tc>
          <w:tcPr>
            <w:tcW w:w="1350" w:type="dxa"/>
            <w:shd w:val="clear" w:color="auto" w:fill="auto"/>
            <w:noWrap/>
            <w:vAlign w:val="center"/>
            <w:hideMark/>
          </w:tcPr>
          <w:p w14:paraId="08BC546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45,529</w:t>
            </w:r>
          </w:p>
        </w:tc>
        <w:tc>
          <w:tcPr>
            <w:tcW w:w="1350" w:type="dxa"/>
            <w:shd w:val="clear" w:color="auto" w:fill="auto"/>
            <w:noWrap/>
            <w:vAlign w:val="center"/>
            <w:hideMark/>
          </w:tcPr>
          <w:p w14:paraId="3BFDED7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34,709</w:t>
            </w:r>
          </w:p>
        </w:tc>
      </w:tr>
      <w:tr w:rsidR="00F303E0" w:rsidRPr="00EE5714" w14:paraId="5322EDDA" w14:textId="77777777" w:rsidTr="00824DBE">
        <w:trPr>
          <w:trHeight w:hRule="exact" w:val="245"/>
        </w:trPr>
        <w:tc>
          <w:tcPr>
            <w:tcW w:w="1980" w:type="dxa"/>
            <w:shd w:val="clear" w:color="auto" w:fill="auto"/>
            <w:noWrap/>
            <w:vAlign w:val="center"/>
            <w:hideMark/>
          </w:tcPr>
          <w:p w14:paraId="4D15E848"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shd w:val="clear" w:color="auto" w:fill="auto"/>
            <w:noWrap/>
            <w:vAlign w:val="center"/>
            <w:hideMark/>
          </w:tcPr>
          <w:p w14:paraId="5C7D003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2,149</w:t>
            </w:r>
          </w:p>
        </w:tc>
        <w:tc>
          <w:tcPr>
            <w:tcW w:w="1350" w:type="dxa"/>
            <w:shd w:val="clear" w:color="auto" w:fill="auto"/>
            <w:noWrap/>
            <w:vAlign w:val="center"/>
            <w:hideMark/>
          </w:tcPr>
          <w:p w14:paraId="427E846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5,229</w:t>
            </w:r>
          </w:p>
        </w:tc>
        <w:tc>
          <w:tcPr>
            <w:tcW w:w="1350" w:type="dxa"/>
            <w:tcBorders>
              <w:right w:val="single" w:sz="12" w:space="0" w:color="000000" w:themeColor="text1"/>
            </w:tcBorders>
            <w:shd w:val="clear" w:color="auto" w:fill="auto"/>
            <w:noWrap/>
            <w:vAlign w:val="center"/>
            <w:hideMark/>
          </w:tcPr>
          <w:p w14:paraId="0AA9C99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3,139</w:t>
            </w:r>
          </w:p>
        </w:tc>
        <w:tc>
          <w:tcPr>
            <w:tcW w:w="1350" w:type="dxa"/>
            <w:tcBorders>
              <w:left w:val="single" w:sz="12" w:space="0" w:color="000000" w:themeColor="text1"/>
            </w:tcBorders>
            <w:shd w:val="clear" w:color="auto" w:fill="auto"/>
            <w:noWrap/>
            <w:vAlign w:val="center"/>
            <w:hideMark/>
          </w:tcPr>
          <w:p w14:paraId="2EA6A65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8,905</w:t>
            </w:r>
          </w:p>
        </w:tc>
        <w:tc>
          <w:tcPr>
            <w:tcW w:w="1350" w:type="dxa"/>
            <w:shd w:val="clear" w:color="auto" w:fill="auto"/>
            <w:noWrap/>
            <w:vAlign w:val="center"/>
            <w:hideMark/>
          </w:tcPr>
          <w:p w14:paraId="4A47B88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24,076</w:t>
            </w:r>
          </w:p>
        </w:tc>
        <w:tc>
          <w:tcPr>
            <w:tcW w:w="1350" w:type="dxa"/>
            <w:shd w:val="clear" w:color="auto" w:fill="auto"/>
            <w:noWrap/>
            <w:vAlign w:val="center"/>
            <w:hideMark/>
          </w:tcPr>
          <w:p w14:paraId="3C7E44D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19,191</w:t>
            </w:r>
          </w:p>
        </w:tc>
      </w:tr>
      <w:tr w:rsidR="00F303E0" w:rsidRPr="00EE5714" w14:paraId="5789E3A9" w14:textId="77777777" w:rsidTr="00824DBE">
        <w:trPr>
          <w:trHeight w:hRule="exact" w:val="245"/>
        </w:trPr>
        <w:tc>
          <w:tcPr>
            <w:tcW w:w="1980" w:type="dxa"/>
            <w:shd w:val="clear" w:color="auto" w:fill="F2F2F2" w:themeFill="background1" w:themeFillShade="F2"/>
            <w:noWrap/>
            <w:vAlign w:val="center"/>
            <w:hideMark/>
          </w:tcPr>
          <w:p w14:paraId="7E0B9B8F"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260" w:type="dxa"/>
            <w:shd w:val="clear" w:color="auto" w:fill="F2F2F2" w:themeFill="background1" w:themeFillShade="F2"/>
            <w:noWrap/>
            <w:vAlign w:val="center"/>
            <w:hideMark/>
          </w:tcPr>
          <w:p w14:paraId="1E5BB536"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3F43A0A0" w14:textId="77777777" w:rsidR="00F303E0" w:rsidRPr="00EE5714" w:rsidRDefault="00F303E0" w:rsidP="00851815">
            <w:pPr>
              <w:keepNext/>
              <w:jc w:val="center"/>
              <w:rPr>
                <w:rFonts w:ascii="Calibri" w:eastAsia="Times New Roman" w:hAnsi="Calibri" w:cs="Calibri"/>
                <w:sz w:val="21"/>
                <w:szCs w:val="21"/>
              </w:rPr>
            </w:pPr>
          </w:p>
        </w:tc>
        <w:tc>
          <w:tcPr>
            <w:tcW w:w="1350" w:type="dxa"/>
            <w:tcBorders>
              <w:right w:val="single" w:sz="12" w:space="0" w:color="000000" w:themeColor="text1"/>
            </w:tcBorders>
            <w:shd w:val="clear" w:color="auto" w:fill="F2F2F2" w:themeFill="background1" w:themeFillShade="F2"/>
            <w:noWrap/>
            <w:vAlign w:val="center"/>
            <w:hideMark/>
          </w:tcPr>
          <w:p w14:paraId="2075E2F5"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659099C2"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77678FA0"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5AFDD965"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1C9B917F" w14:textId="77777777" w:rsidTr="00824DBE">
        <w:trPr>
          <w:trHeight w:hRule="exact" w:val="245"/>
        </w:trPr>
        <w:tc>
          <w:tcPr>
            <w:tcW w:w="1980" w:type="dxa"/>
            <w:shd w:val="clear" w:color="auto" w:fill="auto"/>
            <w:noWrap/>
            <w:vAlign w:val="center"/>
            <w:hideMark/>
          </w:tcPr>
          <w:p w14:paraId="5FEFC0C8" w14:textId="4ADEA2CF"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hideMark/>
          </w:tcPr>
          <w:p w14:paraId="0BC3923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2,503</w:t>
            </w:r>
          </w:p>
        </w:tc>
        <w:tc>
          <w:tcPr>
            <w:tcW w:w="1350" w:type="dxa"/>
            <w:shd w:val="clear" w:color="auto" w:fill="auto"/>
            <w:noWrap/>
            <w:vAlign w:val="center"/>
            <w:hideMark/>
          </w:tcPr>
          <w:p w14:paraId="68CC645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6,791</w:t>
            </w:r>
          </w:p>
        </w:tc>
        <w:tc>
          <w:tcPr>
            <w:tcW w:w="1350" w:type="dxa"/>
            <w:tcBorders>
              <w:right w:val="single" w:sz="12" w:space="0" w:color="000000" w:themeColor="text1"/>
            </w:tcBorders>
            <w:shd w:val="clear" w:color="auto" w:fill="auto"/>
            <w:noWrap/>
            <w:vAlign w:val="center"/>
            <w:hideMark/>
          </w:tcPr>
          <w:p w14:paraId="0431AE0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4,785</w:t>
            </w:r>
          </w:p>
        </w:tc>
        <w:tc>
          <w:tcPr>
            <w:tcW w:w="1350" w:type="dxa"/>
            <w:tcBorders>
              <w:left w:val="single" w:sz="12" w:space="0" w:color="000000" w:themeColor="text1"/>
            </w:tcBorders>
            <w:shd w:val="clear" w:color="auto" w:fill="auto"/>
            <w:noWrap/>
            <w:vAlign w:val="center"/>
            <w:hideMark/>
          </w:tcPr>
          <w:p w14:paraId="00EE0F4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3,755</w:t>
            </w:r>
          </w:p>
        </w:tc>
        <w:tc>
          <w:tcPr>
            <w:tcW w:w="1350" w:type="dxa"/>
            <w:shd w:val="clear" w:color="auto" w:fill="auto"/>
            <w:noWrap/>
            <w:vAlign w:val="center"/>
            <w:hideMark/>
          </w:tcPr>
          <w:p w14:paraId="47CCA3E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10,186</w:t>
            </w:r>
          </w:p>
        </w:tc>
        <w:tc>
          <w:tcPr>
            <w:tcW w:w="1350" w:type="dxa"/>
            <w:shd w:val="clear" w:color="auto" w:fill="auto"/>
            <w:noWrap/>
            <w:vAlign w:val="center"/>
            <w:hideMark/>
          </w:tcPr>
          <w:p w14:paraId="10B8CCF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7,177</w:t>
            </w:r>
          </w:p>
        </w:tc>
      </w:tr>
      <w:tr w:rsidR="00F303E0" w:rsidRPr="00EE5714" w14:paraId="36B37DF4" w14:textId="77777777" w:rsidTr="00824DBE">
        <w:trPr>
          <w:trHeight w:hRule="exact" w:val="245"/>
        </w:trPr>
        <w:tc>
          <w:tcPr>
            <w:tcW w:w="1980" w:type="dxa"/>
            <w:shd w:val="clear" w:color="auto" w:fill="auto"/>
            <w:noWrap/>
            <w:vAlign w:val="center"/>
            <w:hideMark/>
          </w:tcPr>
          <w:p w14:paraId="17297B59"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shd w:val="clear" w:color="auto" w:fill="auto"/>
            <w:noWrap/>
            <w:vAlign w:val="center"/>
            <w:hideMark/>
          </w:tcPr>
          <w:p w14:paraId="2D6DC06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1,492</w:t>
            </w:r>
          </w:p>
        </w:tc>
        <w:tc>
          <w:tcPr>
            <w:tcW w:w="1350" w:type="dxa"/>
            <w:shd w:val="clear" w:color="auto" w:fill="auto"/>
            <w:noWrap/>
            <w:vAlign w:val="center"/>
            <w:hideMark/>
          </w:tcPr>
          <w:p w14:paraId="667A01C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4,049</w:t>
            </w:r>
          </w:p>
        </w:tc>
        <w:tc>
          <w:tcPr>
            <w:tcW w:w="1350" w:type="dxa"/>
            <w:tcBorders>
              <w:right w:val="single" w:sz="12" w:space="0" w:color="000000" w:themeColor="text1"/>
            </w:tcBorders>
            <w:shd w:val="clear" w:color="auto" w:fill="auto"/>
            <w:noWrap/>
            <w:vAlign w:val="center"/>
            <w:hideMark/>
          </w:tcPr>
          <w:p w14:paraId="71A4415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2,852</w:t>
            </w:r>
          </w:p>
        </w:tc>
        <w:tc>
          <w:tcPr>
            <w:tcW w:w="1350" w:type="dxa"/>
            <w:tcBorders>
              <w:left w:val="single" w:sz="12" w:space="0" w:color="000000" w:themeColor="text1"/>
              <w:bottom w:val="single" w:sz="8" w:space="0" w:color="000000" w:themeColor="text1"/>
            </w:tcBorders>
            <w:shd w:val="clear" w:color="auto" w:fill="auto"/>
            <w:noWrap/>
            <w:vAlign w:val="center"/>
            <w:hideMark/>
          </w:tcPr>
          <w:p w14:paraId="456C341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2,239</w:t>
            </w:r>
          </w:p>
        </w:tc>
        <w:tc>
          <w:tcPr>
            <w:tcW w:w="1350" w:type="dxa"/>
            <w:shd w:val="clear" w:color="auto" w:fill="auto"/>
            <w:noWrap/>
            <w:vAlign w:val="center"/>
            <w:hideMark/>
          </w:tcPr>
          <w:p w14:paraId="6318710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6,074</w:t>
            </w:r>
          </w:p>
        </w:tc>
        <w:tc>
          <w:tcPr>
            <w:tcW w:w="1350" w:type="dxa"/>
            <w:shd w:val="clear" w:color="auto" w:fill="auto"/>
            <w:noWrap/>
            <w:vAlign w:val="center"/>
            <w:hideMark/>
          </w:tcPr>
          <w:p w14:paraId="3BB5561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4,278</w:t>
            </w:r>
          </w:p>
        </w:tc>
      </w:tr>
      <w:tr w:rsidR="00F303E0" w:rsidRPr="00EE5714" w14:paraId="107449A5" w14:textId="77777777" w:rsidTr="00824DBE">
        <w:trPr>
          <w:trHeight w:hRule="exact" w:val="245"/>
        </w:trPr>
        <w:tc>
          <w:tcPr>
            <w:tcW w:w="1980" w:type="dxa"/>
            <w:shd w:val="clear" w:color="auto" w:fill="F2F2F2" w:themeFill="background1" w:themeFillShade="F2"/>
            <w:noWrap/>
            <w:vAlign w:val="center"/>
            <w:hideMark/>
          </w:tcPr>
          <w:p w14:paraId="1EF3C0D3"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c>
          <w:tcPr>
            <w:tcW w:w="1260" w:type="dxa"/>
            <w:shd w:val="clear" w:color="auto" w:fill="F2F2F2" w:themeFill="background1" w:themeFillShade="F2"/>
            <w:noWrap/>
            <w:vAlign w:val="center"/>
            <w:hideMark/>
          </w:tcPr>
          <w:p w14:paraId="08392790"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13AF68AD" w14:textId="77777777" w:rsidR="00F303E0" w:rsidRPr="00EE5714" w:rsidRDefault="00F303E0" w:rsidP="00851815">
            <w:pPr>
              <w:keepNext/>
              <w:jc w:val="center"/>
              <w:rPr>
                <w:rFonts w:ascii="Calibri" w:eastAsia="Times New Roman" w:hAnsi="Calibri" w:cs="Calibri"/>
                <w:sz w:val="21"/>
                <w:szCs w:val="21"/>
              </w:rPr>
            </w:pPr>
          </w:p>
        </w:tc>
        <w:tc>
          <w:tcPr>
            <w:tcW w:w="1350" w:type="dxa"/>
            <w:tcBorders>
              <w:right w:val="single" w:sz="12" w:space="0" w:color="000000" w:themeColor="text1"/>
            </w:tcBorders>
            <w:shd w:val="clear" w:color="auto" w:fill="F2F2F2" w:themeFill="background1" w:themeFillShade="F2"/>
            <w:noWrap/>
            <w:vAlign w:val="center"/>
            <w:hideMark/>
          </w:tcPr>
          <w:p w14:paraId="4B4F7283"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bottom w:val="single" w:sz="8" w:space="0" w:color="000000" w:themeColor="text1"/>
            </w:tcBorders>
            <w:shd w:val="clear" w:color="auto" w:fill="F2F2F2" w:themeFill="background1" w:themeFillShade="F2"/>
            <w:noWrap/>
            <w:vAlign w:val="center"/>
            <w:hideMark/>
          </w:tcPr>
          <w:p w14:paraId="41E8F83C"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2187FE2D"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792EB8CB"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739D6DCE" w14:textId="77777777" w:rsidTr="00824DBE">
        <w:trPr>
          <w:trHeight w:hRule="exact" w:val="245"/>
        </w:trPr>
        <w:tc>
          <w:tcPr>
            <w:tcW w:w="1980" w:type="dxa"/>
            <w:shd w:val="clear" w:color="auto" w:fill="auto"/>
            <w:noWrap/>
            <w:vAlign w:val="center"/>
            <w:hideMark/>
          </w:tcPr>
          <w:p w14:paraId="583A0932" w14:textId="5A18BBBC"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hideMark/>
          </w:tcPr>
          <w:p w14:paraId="457F9D3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1350" w:type="dxa"/>
            <w:shd w:val="clear" w:color="auto" w:fill="auto"/>
            <w:noWrap/>
            <w:vAlign w:val="center"/>
            <w:hideMark/>
          </w:tcPr>
          <w:p w14:paraId="4BBFA0A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1350" w:type="dxa"/>
            <w:tcBorders>
              <w:right w:val="single" w:sz="12" w:space="0" w:color="000000" w:themeColor="text1"/>
            </w:tcBorders>
            <w:shd w:val="clear" w:color="auto" w:fill="auto"/>
            <w:noWrap/>
            <w:vAlign w:val="center"/>
            <w:hideMark/>
          </w:tcPr>
          <w:p w14:paraId="1182CD5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1350" w:type="dxa"/>
            <w:tcBorders>
              <w:left w:val="single" w:sz="12" w:space="0" w:color="000000" w:themeColor="text1"/>
              <w:bottom w:val="single" w:sz="8" w:space="0" w:color="000000" w:themeColor="text1"/>
            </w:tcBorders>
            <w:shd w:val="clear" w:color="auto" w:fill="auto"/>
            <w:noWrap/>
            <w:vAlign w:val="center"/>
            <w:hideMark/>
          </w:tcPr>
          <w:p w14:paraId="620C053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1350" w:type="dxa"/>
            <w:shd w:val="clear" w:color="auto" w:fill="auto"/>
            <w:noWrap/>
            <w:vAlign w:val="center"/>
            <w:hideMark/>
          </w:tcPr>
          <w:p w14:paraId="023169A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1350" w:type="dxa"/>
            <w:shd w:val="clear" w:color="auto" w:fill="auto"/>
            <w:noWrap/>
            <w:vAlign w:val="center"/>
            <w:hideMark/>
          </w:tcPr>
          <w:p w14:paraId="3CADD3A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N/A</w:t>
            </w:r>
          </w:p>
        </w:tc>
      </w:tr>
      <w:tr w:rsidR="00F303E0" w:rsidRPr="00EE5714" w14:paraId="0688EB37" w14:textId="77777777" w:rsidTr="00824DBE">
        <w:trPr>
          <w:trHeight w:hRule="exact" w:val="245"/>
        </w:trPr>
        <w:tc>
          <w:tcPr>
            <w:tcW w:w="1980" w:type="dxa"/>
            <w:shd w:val="clear" w:color="auto" w:fill="auto"/>
            <w:noWrap/>
            <w:vAlign w:val="center"/>
            <w:hideMark/>
          </w:tcPr>
          <w:p w14:paraId="798A7B42" w14:textId="77777777" w:rsidR="00F303E0" w:rsidRPr="00EE5714" w:rsidRDefault="00F303E0" w:rsidP="00851815">
            <w:pPr>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tcBorders>
              <w:bottom w:val="single" w:sz="8" w:space="0" w:color="000000" w:themeColor="text1"/>
            </w:tcBorders>
            <w:shd w:val="clear" w:color="auto" w:fill="auto"/>
            <w:noWrap/>
            <w:vAlign w:val="center"/>
            <w:hideMark/>
          </w:tcPr>
          <w:p w14:paraId="50A783E5"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1350" w:type="dxa"/>
            <w:tcBorders>
              <w:bottom w:val="single" w:sz="8" w:space="0" w:color="000000" w:themeColor="text1"/>
            </w:tcBorders>
            <w:shd w:val="clear" w:color="auto" w:fill="auto"/>
            <w:noWrap/>
            <w:vAlign w:val="center"/>
            <w:hideMark/>
          </w:tcPr>
          <w:p w14:paraId="457BB7D7"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1350" w:type="dxa"/>
            <w:tcBorders>
              <w:bottom w:val="single" w:sz="8" w:space="0" w:color="000000" w:themeColor="text1"/>
              <w:right w:val="single" w:sz="12" w:space="0" w:color="000000" w:themeColor="text1"/>
            </w:tcBorders>
            <w:shd w:val="clear" w:color="auto" w:fill="auto"/>
            <w:noWrap/>
            <w:vAlign w:val="center"/>
            <w:hideMark/>
          </w:tcPr>
          <w:p w14:paraId="3648902B"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1350" w:type="dxa"/>
            <w:tcBorders>
              <w:left w:val="single" w:sz="12" w:space="0" w:color="000000" w:themeColor="text1"/>
              <w:bottom w:val="single" w:sz="8" w:space="0" w:color="000000" w:themeColor="text1"/>
            </w:tcBorders>
            <w:shd w:val="clear" w:color="auto" w:fill="auto"/>
            <w:noWrap/>
            <w:vAlign w:val="center"/>
            <w:hideMark/>
          </w:tcPr>
          <w:p w14:paraId="18CF8C07"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1350" w:type="dxa"/>
            <w:tcBorders>
              <w:bottom w:val="single" w:sz="8" w:space="0" w:color="000000" w:themeColor="text1"/>
            </w:tcBorders>
            <w:shd w:val="clear" w:color="auto" w:fill="auto"/>
            <w:noWrap/>
            <w:vAlign w:val="center"/>
            <w:hideMark/>
          </w:tcPr>
          <w:p w14:paraId="6D3BAA2D"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N/A</w:t>
            </w:r>
          </w:p>
        </w:tc>
        <w:tc>
          <w:tcPr>
            <w:tcW w:w="1350" w:type="dxa"/>
            <w:tcBorders>
              <w:bottom w:val="single" w:sz="8" w:space="0" w:color="000000" w:themeColor="text1"/>
            </w:tcBorders>
            <w:shd w:val="clear" w:color="auto" w:fill="auto"/>
            <w:noWrap/>
            <w:vAlign w:val="center"/>
            <w:hideMark/>
          </w:tcPr>
          <w:p w14:paraId="24FC850C"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N/A</w:t>
            </w:r>
          </w:p>
        </w:tc>
      </w:tr>
    </w:tbl>
    <w:p w14:paraId="4DB445E4" w14:textId="77777777" w:rsidR="00F303E0" w:rsidRPr="00EE5714" w:rsidRDefault="00F303E0" w:rsidP="00F303E0">
      <w:pPr>
        <w:pStyle w:val="NoSpacing"/>
        <w:rPr>
          <w:rFonts w:cs="Times New Roman"/>
          <w:szCs w:val="26"/>
        </w:rPr>
      </w:pPr>
    </w:p>
    <w:p w14:paraId="17EA1C6A" w14:textId="77777777" w:rsidR="00F303E0" w:rsidRPr="00EE5714" w:rsidRDefault="00F303E0" w:rsidP="00F303E0">
      <w:pPr>
        <w:pStyle w:val="NoSpacing"/>
        <w:rPr>
          <w:rFonts w:cs="Times New Roman"/>
          <w:szCs w:val="26"/>
        </w:rPr>
      </w:pPr>
    </w:p>
    <w:p w14:paraId="0B50C728" w14:textId="77777777" w:rsidR="00F303E0" w:rsidRPr="00EE5714" w:rsidRDefault="003E499A" w:rsidP="00F303E0">
      <w:pPr>
        <w:pStyle w:val="NoSpacing"/>
        <w:keepNext/>
        <w:rPr>
          <w:rFonts w:cs="Times New Roman"/>
          <w:szCs w:val="26"/>
        </w:rPr>
      </w:pPr>
      <w:r w:rsidRPr="00EE5714">
        <w:rPr>
          <w:rFonts w:cs="Times New Roman"/>
          <w:szCs w:val="26"/>
        </w:rPr>
        <w:t>Appendix 5</w:t>
      </w:r>
      <w:r w:rsidR="00F303E0" w:rsidRPr="00EE5714">
        <w:rPr>
          <w:rFonts w:cs="Times New Roman"/>
          <w:szCs w:val="26"/>
        </w:rPr>
        <w:t>.D.3: CAP Electric Number of Bills Paid in Full</w:t>
      </w:r>
    </w:p>
    <w:tbl>
      <w:tblPr>
        <w:tblW w:w="999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80"/>
        <w:gridCol w:w="1260"/>
        <w:gridCol w:w="1350"/>
        <w:gridCol w:w="1350"/>
        <w:gridCol w:w="1350"/>
        <w:gridCol w:w="1350"/>
        <w:gridCol w:w="1350"/>
      </w:tblGrid>
      <w:tr w:rsidR="00F303E0" w:rsidRPr="00EE5714" w14:paraId="28D68484" w14:textId="77777777" w:rsidTr="00824DBE">
        <w:trPr>
          <w:trHeight w:val="432"/>
        </w:trPr>
        <w:tc>
          <w:tcPr>
            <w:tcW w:w="1980" w:type="dxa"/>
            <w:vMerge w:val="restart"/>
            <w:shd w:val="clear" w:color="auto" w:fill="auto"/>
            <w:noWrap/>
            <w:vAlign w:val="center"/>
            <w:hideMark/>
          </w:tcPr>
          <w:p w14:paraId="34F5094C" w14:textId="77777777" w:rsidR="00F303E0" w:rsidRPr="00EE5714" w:rsidRDefault="00F303E0" w:rsidP="00851815">
            <w:pPr>
              <w:keepNext/>
              <w:jc w:val="center"/>
              <w:rPr>
                <w:rFonts w:ascii="Calibri" w:eastAsia="Times New Roman" w:hAnsi="Calibri" w:cs="Calibri"/>
                <w:b/>
                <w:bCs/>
                <w:color w:val="000000"/>
                <w:szCs w:val="24"/>
              </w:rPr>
            </w:pPr>
            <w:r w:rsidRPr="00EE5714">
              <w:rPr>
                <w:rFonts w:ascii="Calibri" w:eastAsia="Times New Roman" w:hAnsi="Calibri" w:cs="Calibri"/>
                <w:b/>
                <w:bCs/>
                <w:color w:val="000000"/>
                <w:szCs w:val="24"/>
              </w:rPr>
              <w:t>2014</w:t>
            </w:r>
          </w:p>
        </w:tc>
        <w:tc>
          <w:tcPr>
            <w:tcW w:w="3960" w:type="dxa"/>
            <w:gridSpan w:val="3"/>
            <w:tcBorders>
              <w:right w:val="single" w:sz="12" w:space="0" w:color="000000" w:themeColor="text1"/>
            </w:tcBorders>
            <w:shd w:val="clear" w:color="auto" w:fill="D9D9D9" w:themeFill="background1" w:themeFillShade="D9"/>
            <w:noWrap/>
            <w:vAlign w:val="bottom"/>
            <w:hideMark/>
          </w:tcPr>
          <w:p w14:paraId="37727231"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CAP Heating Accounts</w:t>
            </w:r>
          </w:p>
          <w:p w14:paraId="3C938383"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 Number of Bills Paid In-Full</w:t>
            </w:r>
          </w:p>
        </w:tc>
        <w:tc>
          <w:tcPr>
            <w:tcW w:w="4050" w:type="dxa"/>
            <w:gridSpan w:val="3"/>
            <w:tcBorders>
              <w:left w:val="single" w:sz="12" w:space="0" w:color="000000" w:themeColor="text1"/>
            </w:tcBorders>
            <w:shd w:val="clear" w:color="auto" w:fill="D9D9D9" w:themeFill="background1" w:themeFillShade="D9"/>
            <w:noWrap/>
            <w:vAlign w:val="bottom"/>
            <w:hideMark/>
          </w:tcPr>
          <w:p w14:paraId="02291DE6"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CAP Non-Heating Accounts </w:t>
            </w:r>
          </w:p>
          <w:p w14:paraId="7E6CA3D8"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Number of Bills Paid In-Full</w:t>
            </w:r>
          </w:p>
        </w:tc>
      </w:tr>
      <w:tr w:rsidR="00F303E0" w:rsidRPr="00EE5714" w14:paraId="15E19AEA" w14:textId="77777777" w:rsidTr="00824DBE">
        <w:trPr>
          <w:trHeight w:val="72"/>
        </w:trPr>
        <w:tc>
          <w:tcPr>
            <w:tcW w:w="1980" w:type="dxa"/>
            <w:vMerge/>
            <w:shd w:val="clear" w:color="auto" w:fill="auto"/>
            <w:vAlign w:val="center"/>
            <w:hideMark/>
          </w:tcPr>
          <w:p w14:paraId="48A68DD9" w14:textId="77777777" w:rsidR="00F303E0" w:rsidRPr="00EE5714" w:rsidRDefault="00F303E0" w:rsidP="00851815">
            <w:pPr>
              <w:keepNext/>
              <w:rPr>
                <w:rFonts w:ascii="Calibri" w:eastAsia="Times New Roman" w:hAnsi="Calibri" w:cs="Calibri"/>
                <w:b/>
                <w:bCs/>
                <w:color w:val="000000"/>
              </w:rPr>
            </w:pPr>
          </w:p>
        </w:tc>
        <w:tc>
          <w:tcPr>
            <w:tcW w:w="1260" w:type="dxa"/>
            <w:shd w:val="clear" w:color="auto" w:fill="auto"/>
            <w:noWrap/>
            <w:vAlign w:val="bottom"/>
            <w:hideMark/>
          </w:tcPr>
          <w:p w14:paraId="389CAC21"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 FPIG</w:t>
            </w:r>
          </w:p>
        </w:tc>
        <w:tc>
          <w:tcPr>
            <w:tcW w:w="1350" w:type="dxa"/>
            <w:shd w:val="clear" w:color="auto" w:fill="auto"/>
            <w:noWrap/>
            <w:vAlign w:val="bottom"/>
            <w:hideMark/>
          </w:tcPr>
          <w:p w14:paraId="6D842FD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 FPIG</w:t>
            </w:r>
          </w:p>
        </w:tc>
        <w:tc>
          <w:tcPr>
            <w:tcW w:w="1350" w:type="dxa"/>
            <w:tcBorders>
              <w:right w:val="single" w:sz="12" w:space="0" w:color="000000" w:themeColor="text1"/>
            </w:tcBorders>
            <w:shd w:val="clear" w:color="auto" w:fill="auto"/>
            <w:noWrap/>
            <w:vAlign w:val="bottom"/>
            <w:hideMark/>
          </w:tcPr>
          <w:p w14:paraId="032C8B13"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 FPIG</w:t>
            </w:r>
          </w:p>
        </w:tc>
        <w:tc>
          <w:tcPr>
            <w:tcW w:w="1350" w:type="dxa"/>
            <w:tcBorders>
              <w:left w:val="single" w:sz="12" w:space="0" w:color="000000" w:themeColor="text1"/>
            </w:tcBorders>
            <w:shd w:val="clear" w:color="auto" w:fill="auto"/>
            <w:noWrap/>
            <w:vAlign w:val="bottom"/>
            <w:hideMark/>
          </w:tcPr>
          <w:p w14:paraId="5EE0197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 FPIG</w:t>
            </w:r>
          </w:p>
        </w:tc>
        <w:tc>
          <w:tcPr>
            <w:tcW w:w="1350" w:type="dxa"/>
            <w:shd w:val="clear" w:color="auto" w:fill="auto"/>
            <w:noWrap/>
            <w:vAlign w:val="bottom"/>
            <w:hideMark/>
          </w:tcPr>
          <w:p w14:paraId="563DC19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 FPIG</w:t>
            </w:r>
          </w:p>
        </w:tc>
        <w:tc>
          <w:tcPr>
            <w:tcW w:w="1350" w:type="dxa"/>
            <w:shd w:val="clear" w:color="auto" w:fill="auto"/>
            <w:noWrap/>
            <w:vAlign w:val="bottom"/>
            <w:hideMark/>
          </w:tcPr>
          <w:p w14:paraId="1A38F37C"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 FPIG</w:t>
            </w:r>
          </w:p>
        </w:tc>
      </w:tr>
      <w:tr w:rsidR="00F303E0" w:rsidRPr="00EE5714" w14:paraId="754A5CBF" w14:textId="77777777" w:rsidTr="00824DBE">
        <w:trPr>
          <w:trHeight w:hRule="exact" w:val="245"/>
        </w:trPr>
        <w:tc>
          <w:tcPr>
            <w:tcW w:w="1980" w:type="dxa"/>
            <w:shd w:val="clear" w:color="auto" w:fill="F2F2F2" w:themeFill="background1" w:themeFillShade="F2"/>
            <w:noWrap/>
            <w:vAlign w:val="center"/>
            <w:hideMark/>
          </w:tcPr>
          <w:p w14:paraId="0B00C5B3"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260" w:type="dxa"/>
            <w:shd w:val="clear" w:color="auto" w:fill="F2F2F2" w:themeFill="background1" w:themeFillShade="F2"/>
            <w:noWrap/>
            <w:vAlign w:val="center"/>
            <w:hideMark/>
          </w:tcPr>
          <w:p w14:paraId="37AD0A77"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shd w:val="clear" w:color="auto" w:fill="F2F2F2" w:themeFill="background1" w:themeFillShade="F2"/>
            <w:noWrap/>
            <w:vAlign w:val="center"/>
            <w:hideMark/>
          </w:tcPr>
          <w:p w14:paraId="0477580B"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tcBorders>
              <w:right w:val="single" w:sz="12" w:space="0" w:color="000000" w:themeColor="text1"/>
            </w:tcBorders>
            <w:shd w:val="clear" w:color="auto" w:fill="F2F2F2" w:themeFill="background1" w:themeFillShade="F2"/>
            <w:noWrap/>
            <w:vAlign w:val="center"/>
            <w:hideMark/>
          </w:tcPr>
          <w:p w14:paraId="7179452E"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545FF5D6"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shd w:val="clear" w:color="auto" w:fill="F2F2F2" w:themeFill="background1" w:themeFillShade="F2"/>
            <w:noWrap/>
            <w:vAlign w:val="center"/>
            <w:hideMark/>
          </w:tcPr>
          <w:p w14:paraId="006703F7"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shd w:val="clear" w:color="auto" w:fill="F2F2F2" w:themeFill="background1" w:themeFillShade="F2"/>
            <w:noWrap/>
            <w:vAlign w:val="center"/>
            <w:hideMark/>
          </w:tcPr>
          <w:p w14:paraId="0B0FB974" w14:textId="77777777" w:rsidR="00F303E0" w:rsidRPr="00EE5714" w:rsidRDefault="00F303E0" w:rsidP="00851815">
            <w:pPr>
              <w:keepNext/>
              <w:jc w:val="center"/>
              <w:rPr>
                <w:rFonts w:ascii="Calibri" w:eastAsia="Times New Roman" w:hAnsi="Calibri" w:cs="Calibri"/>
                <w:color w:val="000000"/>
                <w:sz w:val="21"/>
                <w:szCs w:val="21"/>
              </w:rPr>
            </w:pPr>
          </w:p>
        </w:tc>
      </w:tr>
      <w:tr w:rsidR="00F303E0" w:rsidRPr="00EE5714" w14:paraId="55DC909B" w14:textId="77777777" w:rsidTr="00824DBE">
        <w:trPr>
          <w:trHeight w:hRule="exact" w:val="245"/>
        </w:trPr>
        <w:tc>
          <w:tcPr>
            <w:tcW w:w="1980" w:type="dxa"/>
            <w:shd w:val="clear" w:color="auto" w:fill="auto"/>
            <w:noWrap/>
            <w:vAlign w:val="center"/>
            <w:hideMark/>
          </w:tcPr>
          <w:p w14:paraId="40D51027" w14:textId="01E701A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hideMark/>
          </w:tcPr>
          <w:p w14:paraId="48D96DC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6,165</w:t>
            </w:r>
          </w:p>
        </w:tc>
        <w:tc>
          <w:tcPr>
            <w:tcW w:w="1350" w:type="dxa"/>
            <w:shd w:val="clear" w:color="auto" w:fill="auto"/>
            <w:noWrap/>
            <w:vAlign w:val="center"/>
            <w:hideMark/>
          </w:tcPr>
          <w:p w14:paraId="58553B5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24,119</w:t>
            </w:r>
          </w:p>
        </w:tc>
        <w:tc>
          <w:tcPr>
            <w:tcW w:w="1350" w:type="dxa"/>
            <w:tcBorders>
              <w:right w:val="single" w:sz="12" w:space="0" w:color="000000" w:themeColor="text1"/>
            </w:tcBorders>
            <w:shd w:val="clear" w:color="auto" w:fill="auto"/>
            <w:noWrap/>
            <w:vAlign w:val="center"/>
            <w:hideMark/>
          </w:tcPr>
          <w:p w14:paraId="58D16BF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12,570</w:t>
            </w:r>
          </w:p>
        </w:tc>
        <w:tc>
          <w:tcPr>
            <w:tcW w:w="1350" w:type="dxa"/>
            <w:tcBorders>
              <w:left w:val="single" w:sz="12" w:space="0" w:color="000000" w:themeColor="text1"/>
            </w:tcBorders>
            <w:shd w:val="clear" w:color="auto" w:fill="auto"/>
            <w:noWrap/>
            <w:vAlign w:val="center"/>
            <w:hideMark/>
          </w:tcPr>
          <w:p w14:paraId="7527BEE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62,945</w:t>
            </w:r>
          </w:p>
        </w:tc>
        <w:tc>
          <w:tcPr>
            <w:tcW w:w="1350" w:type="dxa"/>
            <w:shd w:val="clear" w:color="auto" w:fill="auto"/>
            <w:noWrap/>
            <w:vAlign w:val="center"/>
            <w:hideMark/>
          </w:tcPr>
          <w:p w14:paraId="10D31AB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183,857</w:t>
            </w:r>
          </w:p>
        </w:tc>
        <w:tc>
          <w:tcPr>
            <w:tcW w:w="1350" w:type="dxa"/>
            <w:shd w:val="clear" w:color="auto" w:fill="auto"/>
            <w:noWrap/>
            <w:vAlign w:val="center"/>
            <w:hideMark/>
          </w:tcPr>
          <w:p w14:paraId="0DB4383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107,078</w:t>
            </w:r>
          </w:p>
        </w:tc>
      </w:tr>
      <w:tr w:rsidR="00F303E0" w:rsidRPr="00EE5714" w14:paraId="11A32FC4" w14:textId="77777777" w:rsidTr="00824DBE">
        <w:trPr>
          <w:trHeight w:hRule="exact" w:val="245"/>
        </w:trPr>
        <w:tc>
          <w:tcPr>
            <w:tcW w:w="1980" w:type="dxa"/>
            <w:shd w:val="clear" w:color="auto" w:fill="auto"/>
            <w:noWrap/>
            <w:vAlign w:val="center"/>
            <w:hideMark/>
          </w:tcPr>
          <w:p w14:paraId="09A47E3A"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shd w:val="clear" w:color="auto" w:fill="auto"/>
            <w:noWrap/>
            <w:vAlign w:val="center"/>
            <w:hideMark/>
          </w:tcPr>
          <w:p w14:paraId="068B2A7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3,874</w:t>
            </w:r>
          </w:p>
        </w:tc>
        <w:tc>
          <w:tcPr>
            <w:tcW w:w="1350" w:type="dxa"/>
            <w:shd w:val="clear" w:color="auto" w:fill="auto"/>
            <w:noWrap/>
            <w:vAlign w:val="center"/>
            <w:hideMark/>
          </w:tcPr>
          <w:p w14:paraId="23E92EA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19,028</w:t>
            </w:r>
          </w:p>
        </w:tc>
        <w:tc>
          <w:tcPr>
            <w:tcW w:w="1350" w:type="dxa"/>
            <w:tcBorders>
              <w:right w:val="single" w:sz="12" w:space="0" w:color="000000" w:themeColor="text1"/>
            </w:tcBorders>
            <w:shd w:val="clear" w:color="auto" w:fill="auto"/>
            <w:noWrap/>
            <w:vAlign w:val="center"/>
            <w:hideMark/>
          </w:tcPr>
          <w:p w14:paraId="43AFE6E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10,804</w:t>
            </w:r>
          </w:p>
        </w:tc>
        <w:tc>
          <w:tcPr>
            <w:tcW w:w="1350" w:type="dxa"/>
            <w:tcBorders>
              <w:left w:val="single" w:sz="12" w:space="0" w:color="000000" w:themeColor="text1"/>
            </w:tcBorders>
            <w:shd w:val="clear" w:color="auto" w:fill="auto"/>
            <w:noWrap/>
            <w:vAlign w:val="center"/>
            <w:hideMark/>
          </w:tcPr>
          <w:p w14:paraId="4E3A202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39,954</w:t>
            </w:r>
          </w:p>
        </w:tc>
        <w:tc>
          <w:tcPr>
            <w:tcW w:w="1350" w:type="dxa"/>
            <w:shd w:val="clear" w:color="auto" w:fill="auto"/>
            <w:noWrap/>
            <w:vAlign w:val="center"/>
            <w:hideMark/>
          </w:tcPr>
          <w:p w14:paraId="26EF87A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144,047</w:t>
            </w:r>
          </w:p>
        </w:tc>
        <w:tc>
          <w:tcPr>
            <w:tcW w:w="1350" w:type="dxa"/>
            <w:shd w:val="clear" w:color="auto" w:fill="auto"/>
            <w:noWrap/>
            <w:vAlign w:val="center"/>
            <w:hideMark/>
          </w:tcPr>
          <w:p w14:paraId="4E32E5B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88,491</w:t>
            </w:r>
          </w:p>
        </w:tc>
      </w:tr>
      <w:tr w:rsidR="00F303E0" w:rsidRPr="00EE5714" w14:paraId="797ABE11" w14:textId="77777777" w:rsidTr="00824DBE">
        <w:trPr>
          <w:trHeight w:hRule="exact" w:val="245"/>
        </w:trPr>
        <w:tc>
          <w:tcPr>
            <w:tcW w:w="1980" w:type="dxa"/>
            <w:shd w:val="clear" w:color="auto" w:fill="F2F2F2" w:themeFill="background1" w:themeFillShade="F2"/>
            <w:noWrap/>
            <w:vAlign w:val="center"/>
            <w:hideMark/>
          </w:tcPr>
          <w:p w14:paraId="3C6C31F8"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260" w:type="dxa"/>
            <w:shd w:val="clear" w:color="auto" w:fill="F2F2F2" w:themeFill="background1" w:themeFillShade="F2"/>
            <w:noWrap/>
            <w:vAlign w:val="center"/>
            <w:hideMark/>
          </w:tcPr>
          <w:p w14:paraId="1DC5C0AD"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467D6E8F" w14:textId="77777777" w:rsidR="00F303E0" w:rsidRPr="00EE5714" w:rsidRDefault="00F303E0" w:rsidP="00851815">
            <w:pPr>
              <w:keepNext/>
              <w:jc w:val="center"/>
              <w:rPr>
                <w:rFonts w:ascii="Calibri" w:eastAsia="Times New Roman" w:hAnsi="Calibri" w:cs="Calibri"/>
                <w:sz w:val="21"/>
                <w:szCs w:val="21"/>
              </w:rPr>
            </w:pPr>
          </w:p>
        </w:tc>
        <w:tc>
          <w:tcPr>
            <w:tcW w:w="1350" w:type="dxa"/>
            <w:tcBorders>
              <w:right w:val="single" w:sz="12" w:space="0" w:color="000000" w:themeColor="text1"/>
            </w:tcBorders>
            <w:shd w:val="clear" w:color="auto" w:fill="F2F2F2" w:themeFill="background1" w:themeFillShade="F2"/>
            <w:noWrap/>
            <w:vAlign w:val="center"/>
            <w:hideMark/>
          </w:tcPr>
          <w:p w14:paraId="55074940"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13920C45"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64ED7BBF"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05B12F93"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564C5DCC" w14:textId="77777777" w:rsidTr="00824DBE">
        <w:trPr>
          <w:trHeight w:hRule="exact" w:val="245"/>
        </w:trPr>
        <w:tc>
          <w:tcPr>
            <w:tcW w:w="1980" w:type="dxa"/>
            <w:shd w:val="clear" w:color="auto" w:fill="auto"/>
            <w:noWrap/>
            <w:vAlign w:val="center"/>
            <w:hideMark/>
          </w:tcPr>
          <w:p w14:paraId="74DA7DB2" w14:textId="16371BCB"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hideMark/>
          </w:tcPr>
          <w:p w14:paraId="7D1508A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11,699</w:t>
            </w:r>
          </w:p>
        </w:tc>
        <w:tc>
          <w:tcPr>
            <w:tcW w:w="1350" w:type="dxa"/>
            <w:shd w:val="clear" w:color="auto" w:fill="auto"/>
            <w:noWrap/>
            <w:vAlign w:val="center"/>
            <w:hideMark/>
          </w:tcPr>
          <w:p w14:paraId="2AFACE2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28,583</w:t>
            </w:r>
          </w:p>
        </w:tc>
        <w:tc>
          <w:tcPr>
            <w:tcW w:w="1350" w:type="dxa"/>
            <w:tcBorders>
              <w:right w:val="single" w:sz="12" w:space="0" w:color="000000" w:themeColor="text1"/>
            </w:tcBorders>
            <w:shd w:val="clear" w:color="auto" w:fill="auto"/>
            <w:noWrap/>
            <w:vAlign w:val="center"/>
            <w:hideMark/>
          </w:tcPr>
          <w:p w14:paraId="72C3B15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15,497</w:t>
            </w:r>
          </w:p>
        </w:tc>
        <w:tc>
          <w:tcPr>
            <w:tcW w:w="1350" w:type="dxa"/>
            <w:tcBorders>
              <w:left w:val="single" w:sz="12" w:space="0" w:color="000000" w:themeColor="text1"/>
            </w:tcBorders>
            <w:shd w:val="clear" w:color="auto" w:fill="auto"/>
            <w:noWrap/>
            <w:vAlign w:val="center"/>
            <w:hideMark/>
          </w:tcPr>
          <w:p w14:paraId="58783F0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32,249</w:t>
            </w:r>
          </w:p>
        </w:tc>
        <w:tc>
          <w:tcPr>
            <w:tcW w:w="1350" w:type="dxa"/>
            <w:shd w:val="clear" w:color="auto" w:fill="auto"/>
            <w:noWrap/>
            <w:vAlign w:val="center"/>
            <w:hideMark/>
          </w:tcPr>
          <w:p w14:paraId="1816243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67,845</w:t>
            </w:r>
          </w:p>
        </w:tc>
        <w:tc>
          <w:tcPr>
            <w:tcW w:w="1350" w:type="dxa"/>
            <w:shd w:val="clear" w:color="auto" w:fill="auto"/>
            <w:noWrap/>
            <w:vAlign w:val="center"/>
            <w:hideMark/>
          </w:tcPr>
          <w:p w14:paraId="2479234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51,087</w:t>
            </w:r>
          </w:p>
        </w:tc>
      </w:tr>
      <w:tr w:rsidR="00F303E0" w:rsidRPr="00EE5714" w14:paraId="0E834F3D" w14:textId="77777777" w:rsidTr="00824DBE">
        <w:trPr>
          <w:trHeight w:hRule="exact" w:val="245"/>
        </w:trPr>
        <w:tc>
          <w:tcPr>
            <w:tcW w:w="1980" w:type="dxa"/>
            <w:shd w:val="clear" w:color="auto" w:fill="auto"/>
            <w:noWrap/>
            <w:vAlign w:val="center"/>
            <w:hideMark/>
          </w:tcPr>
          <w:p w14:paraId="4AB73B9E"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shd w:val="clear" w:color="auto" w:fill="auto"/>
            <w:noWrap/>
            <w:vAlign w:val="center"/>
            <w:hideMark/>
          </w:tcPr>
          <w:p w14:paraId="7276F47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6,440</w:t>
            </w:r>
          </w:p>
        </w:tc>
        <w:tc>
          <w:tcPr>
            <w:tcW w:w="1350" w:type="dxa"/>
            <w:shd w:val="clear" w:color="auto" w:fill="auto"/>
            <w:noWrap/>
            <w:vAlign w:val="center"/>
            <w:hideMark/>
          </w:tcPr>
          <w:p w14:paraId="588C56E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15,433</w:t>
            </w:r>
          </w:p>
        </w:tc>
        <w:tc>
          <w:tcPr>
            <w:tcW w:w="1350" w:type="dxa"/>
            <w:tcBorders>
              <w:right w:val="single" w:sz="12" w:space="0" w:color="000000" w:themeColor="text1"/>
            </w:tcBorders>
            <w:shd w:val="clear" w:color="auto" w:fill="auto"/>
            <w:noWrap/>
            <w:vAlign w:val="center"/>
            <w:hideMark/>
          </w:tcPr>
          <w:p w14:paraId="1AEFFE8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7,667</w:t>
            </w:r>
          </w:p>
        </w:tc>
        <w:tc>
          <w:tcPr>
            <w:tcW w:w="1350" w:type="dxa"/>
            <w:tcBorders>
              <w:left w:val="single" w:sz="12" w:space="0" w:color="000000" w:themeColor="text1"/>
            </w:tcBorders>
            <w:shd w:val="clear" w:color="auto" w:fill="auto"/>
            <w:noWrap/>
            <w:vAlign w:val="center"/>
            <w:hideMark/>
          </w:tcPr>
          <w:p w14:paraId="0404EDA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18,250</w:t>
            </w:r>
          </w:p>
        </w:tc>
        <w:tc>
          <w:tcPr>
            <w:tcW w:w="1350" w:type="dxa"/>
            <w:shd w:val="clear" w:color="auto" w:fill="auto"/>
            <w:noWrap/>
            <w:vAlign w:val="center"/>
            <w:hideMark/>
          </w:tcPr>
          <w:p w14:paraId="4C1E846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43,082</w:t>
            </w:r>
          </w:p>
        </w:tc>
        <w:tc>
          <w:tcPr>
            <w:tcW w:w="1350" w:type="dxa"/>
            <w:shd w:val="clear" w:color="auto" w:fill="auto"/>
            <w:noWrap/>
            <w:vAlign w:val="center"/>
            <w:hideMark/>
          </w:tcPr>
          <w:p w14:paraId="49CB122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32,925</w:t>
            </w:r>
          </w:p>
        </w:tc>
      </w:tr>
      <w:tr w:rsidR="00F303E0" w:rsidRPr="00EE5714" w14:paraId="01D3A08C" w14:textId="77777777" w:rsidTr="00824DBE">
        <w:trPr>
          <w:trHeight w:hRule="exact" w:val="245"/>
        </w:trPr>
        <w:tc>
          <w:tcPr>
            <w:tcW w:w="1980" w:type="dxa"/>
            <w:shd w:val="clear" w:color="auto" w:fill="F2F2F2" w:themeFill="background1" w:themeFillShade="F2"/>
            <w:noWrap/>
            <w:vAlign w:val="center"/>
          </w:tcPr>
          <w:p w14:paraId="5E838311"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 xml:space="preserve">PECO Electric </w:t>
            </w:r>
          </w:p>
        </w:tc>
        <w:tc>
          <w:tcPr>
            <w:tcW w:w="1260" w:type="dxa"/>
            <w:shd w:val="clear" w:color="auto" w:fill="F2F2F2" w:themeFill="background1" w:themeFillShade="F2"/>
            <w:noWrap/>
            <w:vAlign w:val="center"/>
          </w:tcPr>
          <w:p w14:paraId="76480DF2"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tcPr>
          <w:p w14:paraId="454BF6E6" w14:textId="77777777" w:rsidR="00F303E0" w:rsidRPr="00EE5714" w:rsidRDefault="00F303E0" w:rsidP="00851815">
            <w:pPr>
              <w:keepNext/>
              <w:jc w:val="center"/>
              <w:rPr>
                <w:rFonts w:ascii="Calibri" w:eastAsia="Times New Roman" w:hAnsi="Calibri" w:cs="Calibri"/>
                <w:sz w:val="21"/>
                <w:szCs w:val="21"/>
              </w:rPr>
            </w:pPr>
          </w:p>
        </w:tc>
        <w:tc>
          <w:tcPr>
            <w:tcW w:w="1350" w:type="dxa"/>
            <w:tcBorders>
              <w:right w:val="single" w:sz="12" w:space="0" w:color="000000" w:themeColor="text1"/>
            </w:tcBorders>
            <w:shd w:val="clear" w:color="auto" w:fill="F2F2F2" w:themeFill="background1" w:themeFillShade="F2"/>
            <w:noWrap/>
            <w:vAlign w:val="center"/>
          </w:tcPr>
          <w:p w14:paraId="0E4BA44F"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tcPr>
          <w:p w14:paraId="06EB1A82"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tcPr>
          <w:p w14:paraId="04649C5C"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tcPr>
          <w:p w14:paraId="22CF3291"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2AD850D6" w14:textId="77777777" w:rsidTr="00824DBE">
        <w:trPr>
          <w:trHeight w:hRule="exact" w:val="245"/>
        </w:trPr>
        <w:tc>
          <w:tcPr>
            <w:tcW w:w="1980" w:type="dxa"/>
            <w:shd w:val="clear" w:color="auto" w:fill="auto"/>
            <w:noWrap/>
          </w:tcPr>
          <w:p w14:paraId="2EC2D35B" w14:textId="5B31F019"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tcPr>
          <w:p w14:paraId="0333224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48,676</w:t>
            </w:r>
          </w:p>
        </w:tc>
        <w:tc>
          <w:tcPr>
            <w:tcW w:w="1350" w:type="dxa"/>
            <w:shd w:val="clear" w:color="auto" w:fill="auto"/>
            <w:noWrap/>
            <w:vAlign w:val="center"/>
          </w:tcPr>
          <w:p w14:paraId="5BB5DA1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97,267</w:t>
            </w:r>
          </w:p>
        </w:tc>
        <w:tc>
          <w:tcPr>
            <w:tcW w:w="1350" w:type="dxa"/>
            <w:tcBorders>
              <w:right w:val="single" w:sz="12" w:space="0" w:color="000000" w:themeColor="text1"/>
            </w:tcBorders>
            <w:shd w:val="clear" w:color="auto" w:fill="auto"/>
            <w:noWrap/>
            <w:vAlign w:val="center"/>
          </w:tcPr>
          <w:p w14:paraId="6A7BE92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78,899</w:t>
            </w:r>
          </w:p>
        </w:tc>
        <w:tc>
          <w:tcPr>
            <w:tcW w:w="1350" w:type="dxa"/>
            <w:tcBorders>
              <w:left w:val="single" w:sz="12" w:space="0" w:color="000000" w:themeColor="text1"/>
            </w:tcBorders>
            <w:shd w:val="clear" w:color="auto" w:fill="auto"/>
            <w:noWrap/>
            <w:vAlign w:val="center"/>
          </w:tcPr>
          <w:p w14:paraId="2EACCE1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330,499</w:t>
            </w:r>
          </w:p>
        </w:tc>
        <w:tc>
          <w:tcPr>
            <w:tcW w:w="1350" w:type="dxa"/>
            <w:shd w:val="clear" w:color="auto" w:fill="auto"/>
            <w:noWrap/>
            <w:vAlign w:val="center"/>
          </w:tcPr>
          <w:p w14:paraId="366A4BE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651,536</w:t>
            </w:r>
          </w:p>
        </w:tc>
        <w:tc>
          <w:tcPr>
            <w:tcW w:w="1350" w:type="dxa"/>
            <w:shd w:val="clear" w:color="auto" w:fill="auto"/>
            <w:noWrap/>
            <w:vAlign w:val="center"/>
          </w:tcPr>
          <w:p w14:paraId="26EE9BB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400,191</w:t>
            </w:r>
          </w:p>
        </w:tc>
      </w:tr>
      <w:tr w:rsidR="00F303E0" w:rsidRPr="00EE5714" w14:paraId="7A1369C7" w14:textId="77777777" w:rsidTr="00824DBE">
        <w:trPr>
          <w:trHeight w:hRule="exact" w:val="245"/>
        </w:trPr>
        <w:tc>
          <w:tcPr>
            <w:tcW w:w="1980" w:type="dxa"/>
            <w:shd w:val="clear" w:color="auto" w:fill="auto"/>
            <w:noWrap/>
          </w:tcPr>
          <w:p w14:paraId="47A1F2AA"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shd w:val="clear" w:color="auto" w:fill="auto"/>
            <w:noWrap/>
            <w:vAlign w:val="center"/>
          </w:tcPr>
          <w:p w14:paraId="2AE7443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25,017</w:t>
            </w:r>
          </w:p>
        </w:tc>
        <w:tc>
          <w:tcPr>
            <w:tcW w:w="1350" w:type="dxa"/>
            <w:shd w:val="clear" w:color="auto" w:fill="auto"/>
            <w:noWrap/>
            <w:vAlign w:val="center"/>
          </w:tcPr>
          <w:p w14:paraId="052FDCE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58,955</w:t>
            </w:r>
          </w:p>
        </w:tc>
        <w:tc>
          <w:tcPr>
            <w:tcW w:w="1350" w:type="dxa"/>
            <w:tcBorders>
              <w:right w:val="single" w:sz="12" w:space="0" w:color="000000" w:themeColor="text1"/>
            </w:tcBorders>
            <w:shd w:val="clear" w:color="auto" w:fill="auto"/>
            <w:noWrap/>
            <w:vAlign w:val="center"/>
          </w:tcPr>
          <w:p w14:paraId="1839456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50,330</w:t>
            </w:r>
          </w:p>
        </w:tc>
        <w:tc>
          <w:tcPr>
            <w:tcW w:w="1350" w:type="dxa"/>
            <w:tcBorders>
              <w:left w:val="single" w:sz="12" w:space="0" w:color="000000" w:themeColor="text1"/>
            </w:tcBorders>
            <w:shd w:val="clear" w:color="auto" w:fill="auto"/>
            <w:noWrap/>
            <w:vAlign w:val="center"/>
          </w:tcPr>
          <w:p w14:paraId="6827896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171,394</w:t>
            </w:r>
          </w:p>
        </w:tc>
        <w:tc>
          <w:tcPr>
            <w:tcW w:w="1350" w:type="dxa"/>
            <w:shd w:val="clear" w:color="auto" w:fill="auto"/>
            <w:noWrap/>
            <w:vAlign w:val="center"/>
          </w:tcPr>
          <w:p w14:paraId="4FD0301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397,984</w:t>
            </w:r>
          </w:p>
        </w:tc>
        <w:tc>
          <w:tcPr>
            <w:tcW w:w="1350" w:type="dxa"/>
            <w:shd w:val="clear" w:color="auto" w:fill="auto"/>
            <w:noWrap/>
            <w:vAlign w:val="center"/>
          </w:tcPr>
          <w:p w14:paraId="00D1576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238,060</w:t>
            </w:r>
          </w:p>
        </w:tc>
      </w:tr>
      <w:tr w:rsidR="00F303E0" w:rsidRPr="00EE5714" w14:paraId="1E993574" w14:textId="77777777" w:rsidTr="00824DBE">
        <w:trPr>
          <w:trHeight w:hRule="exact" w:val="245"/>
        </w:trPr>
        <w:tc>
          <w:tcPr>
            <w:tcW w:w="1980" w:type="dxa"/>
            <w:shd w:val="clear" w:color="auto" w:fill="F2F2F2" w:themeFill="background1" w:themeFillShade="F2"/>
            <w:noWrap/>
            <w:vAlign w:val="center"/>
            <w:hideMark/>
          </w:tcPr>
          <w:p w14:paraId="55CDE331" w14:textId="77777777" w:rsidR="00F303E0" w:rsidRPr="00EE5714" w:rsidRDefault="00F303E0" w:rsidP="00851815">
            <w:pPr>
              <w:keepNext/>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260" w:type="dxa"/>
            <w:shd w:val="clear" w:color="auto" w:fill="F2F2F2" w:themeFill="background1" w:themeFillShade="F2"/>
            <w:noWrap/>
            <w:vAlign w:val="center"/>
            <w:hideMark/>
          </w:tcPr>
          <w:p w14:paraId="5691A365"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2C36364E" w14:textId="77777777" w:rsidR="00F303E0" w:rsidRPr="00EE5714" w:rsidRDefault="00F303E0" w:rsidP="00851815">
            <w:pPr>
              <w:keepNext/>
              <w:jc w:val="center"/>
              <w:rPr>
                <w:rFonts w:ascii="Calibri" w:eastAsia="Times New Roman" w:hAnsi="Calibri" w:cs="Calibri"/>
                <w:sz w:val="21"/>
                <w:szCs w:val="21"/>
              </w:rPr>
            </w:pPr>
          </w:p>
        </w:tc>
        <w:tc>
          <w:tcPr>
            <w:tcW w:w="1350" w:type="dxa"/>
            <w:tcBorders>
              <w:right w:val="single" w:sz="12" w:space="0" w:color="000000" w:themeColor="text1"/>
            </w:tcBorders>
            <w:shd w:val="clear" w:color="auto" w:fill="F2F2F2" w:themeFill="background1" w:themeFillShade="F2"/>
            <w:noWrap/>
            <w:vAlign w:val="center"/>
            <w:hideMark/>
          </w:tcPr>
          <w:p w14:paraId="36CE154B"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1B13B89D"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5E9E14C2"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718F3961"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4DB3DC7D" w14:textId="77777777" w:rsidTr="00824DBE">
        <w:trPr>
          <w:trHeight w:hRule="exact" w:val="245"/>
        </w:trPr>
        <w:tc>
          <w:tcPr>
            <w:tcW w:w="1980" w:type="dxa"/>
            <w:shd w:val="clear" w:color="auto" w:fill="auto"/>
            <w:noWrap/>
            <w:vAlign w:val="center"/>
            <w:hideMark/>
          </w:tcPr>
          <w:p w14:paraId="76A45650" w14:textId="25D4C62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hideMark/>
          </w:tcPr>
          <w:p w14:paraId="19903D9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6,851</w:t>
            </w:r>
          </w:p>
        </w:tc>
        <w:tc>
          <w:tcPr>
            <w:tcW w:w="1350" w:type="dxa"/>
            <w:shd w:val="clear" w:color="auto" w:fill="auto"/>
            <w:noWrap/>
            <w:vAlign w:val="center"/>
            <w:hideMark/>
          </w:tcPr>
          <w:p w14:paraId="4D978D8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23,514</w:t>
            </w:r>
          </w:p>
        </w:tc>
        <w:tc>
          <w:tcPr>
            <w:tcW w:w="1350" w:type="dxa"/>
            <w:tcBorders>
              <w:right w:val="single" w:sz="12" w:space="0" w:color="000000" w:themeColor="text1"/>
            </w:tcBorders>
            <w:shd w:val="clear" w:color="auto" w:fill="auto"/>
            <w:noWrap/>
            <w:vAlign w:val="center"/>
            <w:hideMark/>
          </w:tcPr>
          <w:p w14:paraId="4A1CDB9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9,945</w:t>
            </w:r>
          </w:p>
        </w:tc>
        <w:tc>
          <w:tcPr>
            <w:tcW w:w="1350" w:type="dxa"/>
            <w:tcBorders>
              <w:left w:val="single" w:sz="12" w:space="0" w:color="000000" w:themeColor="text1"/>
            </w:tcBorders>
            <w:shd w:val="clear" w:color="auto" w:fill="auto"/>
            <w:noWrap/>
            <w:vAlign w:val="center"/>
            <w:hideMark/>
          </w:tcPr>
          <w:p w14:paraId="50220DF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44,804</w:t>
            </w:r>
          </w:p>
        </w:tc>
        <w:tc>
          <w:tcPr>
            <w:tcW w:w="1350" w:type="dxa"/>
            <w:shd w:val="clear" w:color="auto" w:fill="auto"/>
            <w:noWrap/>
            <w:vAlign w:val="center"/>
            <w:hideMark/>
          </w:tcPr>
          <w:p w14:paraId="457FC20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118,909</w:t>
            </w:r>
          </w:p>
        </w:tc>
        <w:tc>
          <w:tcPr>
            <w:tcW w:w="1350" w:type="dxa"/>
            <w:shd w:val="clear" w:color="auto" w:fill="auto"/>
            <w:noWrap/>
            <w:vAlign w:val="center"/>
            <w:hideMark/>
          </w:tcPr>
          <w:p w14:paraId="51448BC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78,870</w:t>
            </w:r>
          </w:p>
        </w:tc>
      </w:tr>
      <w:tr w:rsidR="00F303E0" w:rsidRPr="00EE5714" w14:paraId="5E78F0AC" w14:textId="77777777" w:rsidTr="00824DBE">
        <w:trPr>
          <w:trHeight w:hRule="exact" w:val="245"/>
        </w:trPr>
        <w:tc>
          <w:tcPr>
            <w:tcW w:w="1980" w:type="dxa"/>
            <w:shd w:val="clear" w:color="auto" w:fill="auto"/>
            <w:noWrap/>
            <w:vAlign w:val="center"/>
            <w:hideMark/>
          </w:tcPr>
          <w:p w14:paraId="081E76EA"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shd w:val="clear" w:color="auto" w:fill="auto"/>
            <w:noWrap/>
            <w:vAlign w:val="center"/>
            <w:hideMark/>
          </w:tcPr>
          <w:p w14:paraId="13C497C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4,007</w:t>
            </w:r>
          </w:p>
        </w:tc>
        <w:tc>
          <w:tcPr>
            <w:tcW w:w="1350" w:type="dxa"/>
            <w:shd w:val="clear" w:color="auto" w:fill="auto"/>
            <w:noWrap/>
            <w:vAlign w:val="center"/>
            <w:hideMark/>
          </w:tcPr>
          <w:p w14:paraId="77FF333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14,708</w:t>
            </w:r>
          </w:p>
        </w:tc>
        <w:tc>
          <w:tcPr>
            <w:tcW w:w="1350" w:type="dxa"/>
            <w:tcBorders>
              <w:right w:val="single" w:sz="12" w:space="0" w:color="000000" w:themeColor="text1"/>
            </w:tcBorders>
            <w:shd w:val="clear" w:color="auto" w:fill="auto"/>
            <w:noWrap/>
            <w:vAlign w:val="center"/>
            <w:hideMark/>
          </w:tcPr>
          <w:p w14:paraId="145C85D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5,718</w:t>
            </w:r>
          </w:p>
        </w:tc>
        <w:tc>
          <w:tcPr>
            <w:tcW w:w="1350" w:type="dxa"/>
            <w:tcBorders>
              <w:left w:val="single" w:sz="12" w:space="0" w:color="000000" w:themeColor="text1"/>
            </w:tcBorders>
            <w:shd w:val="clear" w:color="auto" w:fill="auto"/>
            <w:noWrap/>
            <w:vAlign w:val="center"/>
            <w:hideMark/>
          </w:tcPr>
          <w:p w14:paraId="3C887B2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26,106</w:t>
            </w:r>
          </w:p>
        </w:tc>
        <w:tc>
          <w:tcPr>
            <w:tcW w:w="1350" w:type="dxa"/>
            <w:shd w:val="clear" w:color="auto" w:fill="auto"/>
            <w:noWrap/>
            <w:vAlign w:val="center"/>
            <w:hideMark/>
          </w:tcPr>
          <w:p w14:paraId="5AEA4BE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81,831</w:t>
            </w:r>
          </w:p>
        </w:tc>
        <w:tc>
          <w:tcPr>
            <w:tcW w:w="1350" w:type="dxa"/>
            <w:shd w:val="clear" w:color="auto" w:fill="auto"/>
            <w:noWrap/>
            <w:vAlign w:val="center"/>
            <w:hideMark/>
          </w:tcPr>
          <w:p w14:paraId="696EE5F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55,265</w:t>
            </w:r>
          </w:p>
        </w:tc>
      </w:tr>
      <w:tr w:rsidR="00F303E0" w:rsidRPr="00EE5714" w14:paraId="30B65ECE" w14:textId="77777777" w:rsidTr="00824DBE">
        <w:trPr>
          <w:trHeight w:hRule="exact" w:val="245"/>
        </w:trPr>
        <w:tc>
          <w:tcPr>
            <w:tcW w:w="1980" w:type="dxa"/>
            <w:shd w:val="clear" w:color="auto" w:fill="F2F2F2" w:themeFill="background1" w:themeFillShade="F2"/>
            <w:noWrap/>
            <w:vAlign w:val="center"/>
            <w:hideMark/>
          </w:tcPr>
          <w:p w14:paraId="60B5DC4F"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260" w:type="dxa"/>
            <w:shd w:val="clear" w:color="auto" w:fill="F2F2F2" w:themeFill="background1" w:themeFillShade="F2"/>
            <w:noWrap/>
            <w:vAlign w:val="center"/>
            <w:hideMark/>
          </w:tcPr>
          <w:p w14:paraId="3BD1BD22"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7851938B" w14:textId="77777777" w:rsidR="00F303E0" w:rsidRPr="00EE5714" w:rsidRDefault="00F303E0" w:rsidP="00851815">
            <w:pPr>
              <w:keepNext/>
              <w:jc w:val="center"/>
              <w:rPr>
                <w:rFonts w:ascii="Calibri" w:eastAsia="Times New Roman" w:hAnsi="Calibri" w:cs="Calibri"/>
                <w:sz w:val="21"/>
                <w:szCs w:val="21"/>
              </w:rPr>
            </w:pPr>
          </w:p>
        </w:tc>
        <w:tc>
          <w:tcPr>
            <w:tcW w:w="1350" w:type="dxa"/>
            <w:tcBorders>
              <w:right w:val="single" w:sz="12" w:space="0" w:color="000000" w:themeColor="text1"/>
            </w:tcBorders>
            <w:shd w:val="clear" w:color="auto" w:fill="F2F2F2" w:themeFill="background1" w:themeFillShade="F2"/>
            <w:noWrap/>
            <w:vAlign w:val="center"/>
            <w:hideMark/>
          </w:tcPr>
          <w:p w14:paraId="6C9645A9"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5BFB627F"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55FE96F3"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22F1C8F0"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31994B53" w14:textId="77777777" w:rsidTr="00824DBE">
        <w:trPr>
          <w:trHeight w:hRule="exact" w:val="245"/>
        </w:trPr>
        <w:tc>
          <w:tcPr>
            <w:tcW w:w="1980" w:type="dxa"/>
            <w:shd w:val="clear" w:color="auto" w:fill="auto"/>
            <w:noWrap/>
            <w:vAlign w:val="center"/>
            <w:hideMark/>
          </w:tcPr>
          <w:p w14:paraId="5F5FC07A" w14:textId="6EC27C30"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hideMark/>
          </w:tcPr>
          <w:p w14:paraId="7767F8A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2,123</w:t>
            </w:r>
          </w:p>
        </w:tc>
        <w:tc>
          <w:tcPr>
            <w:tcW w:w="1350" w:type="dxa"/>
            <w:shd w:val="clear" w:color="auto" w:fill="auto"/>
            <w:noWrap/>
            <w:vAlign w:val="center"/>
            <w:hideMark/>
          </w:tcPr>
          <w:p w14:paraId="6ABA69C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5,237</w:t>
            </w:r>
          </w:p>
        </w:tc>
        <w:tc>
          <w:tcPr>
            <w:tcW w:w="1350" w:type="dxa"/>
            <w:tcBorders>
              <w:right w:val="single" w:sz="12" w:space="0" w:color="000000" w:themeColor="text1"/>
            </w:tcBorders>
            <w:shd w:val="clear" w:color="auto" w:fill="auto"/>
            <w:noWrap/>
            <w:vAlign w:val="center"/>
            <w:hideMark/>
          </w:tcPr>
          <w:p w14:paraId="0C787B6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2,952</w:t>
            </w:r>
          </w:p>
        </w:tc>
        <w:tc>
          <w:tcPr>
            <w:tcW w:w="1350" w:type="dxa"/>
            <w:tcBorders>
              <w:left w:val="single" w:sz="12" w:space="0" w:color="000000" w:themeColor="text1"/>
            </w:tcBorders>
            <w:shd w:val="clear" w:color="auto" w:fill="auto"/>
            <w:noWrap/>
            <w:vAlign w:val="center"/>
            <w:hideMark/>
          </w:tcPr>
          <w:p w14:paraId="05236AF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9,205</w:t>
            </w:r>
          </w:p>
        </w:tc>
        <w:tc>
          <w:tcPr>
            <w:tcW w:w="1350" w:type="dxa"/>
            <w:shd w:val="clear" w:color="auto" w:fill="auto"/>
            <w:noWrap/>
            <w:vAlign w:val="center"/>
            <w:hideMark/>
          </w:tcPr>
          <w:p w14:paraId="3ACBA7A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25,450</w:t>
            </w:r>
          </w:p>
        </w:tc>
        <w:tc>
          <w:tcPr>
            <w:tcW w:w="1350" w:type="dxa"/>
            <w:shd w:val="clear" w:color="auto" w:fill="auto"/>
            <w:noWrap/>
            <w:vAlign w:val="center"/>
            <w:hideMark/>
          </w:tcPr>
          <w:p w14:paraId="31EB794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18,380</w:t>
            </w:r>
          </w:p>
        </w:tc>
      </w:tr>
      <w:tr w:rsidR="00F303E0" w:rsidRPr="00EE5714" w14:paraId="71698BA0" w14:textId="77777777" w:rsidTr="00824DBE">
        <w:trPr>
          <w:trHeight w:hRule="exact" w:val="245"/>
        </w:trPr>
        <w:tc>
          <w:tcPr>
            <w:tcW w:w="1980" w:type="dxa"/>
            <w:shd w:val="clear" w:color="auto" w:fill="auto"/>
            <w:noWrap/>
            <w:vAlign w:val="center"/>
            <w:hideMark/>
          </w:tcPr>
          <w:p w14:paraId="60EB8C83"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shd w:val="clear" w:color="auto" w:fill="auto"/>
            <w:noWrap/>
            <w:vAlign w:val="center"/>
            <w:hideMark/>
          </w:tcPr>
          <w:p w14:paraId="477A63D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1,225</w:t>
            </w:r>
          </w:p>
        </w:tc>
        <w:tc>
          <w:tcPr>
            <w:tcW w:w="1350" w:type="dxa"/>
            <w:shd w:val="clear" w:color="auto" w:fill="auto"/>
            <w:noWrap/>
            <w:vAlign w:val="center"/>
            <w:hideMark/>
          </w:tcPr>
          <w:p w14:paraId="3D56132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3,260</w:t>
            </w:r>
          </w:p>
        </w:tc>
        <w:tc>
          <w:tcPr>
            <w:tcW w:w="1350" w:type="dxa"/>
            <w:tcBorders>
              <w:right w:val="single" w:sz="12" w:space="0" w:color="000000" w:themeColor="text1"/>
            </w:tcBorders>
            <w:shd w:val="clear" w:color="auto" w:fill="auto"/>
            <w:noWrap/>
            <w:vAlign w:val="center"/>
            <w:hideMark/>
          </w:tcPr>
          <w:p w14:paraId="2A2A121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1,833</w:t>
            </w:r>
          </w:p>
        </w:tc>
        <w:tc>
          <w:tcPr>
            <w:tcW w:w="1350" w:type="dxa"/>
            <w:tcBorders>
              <w:left w:val="single" w:sz="12" w:space="0" w:color="000000" w:themeColor="text1"/>
            </w:tcBorders>
            <w:shd w:val="clear" w:color="auto" w:fill="auto"/>
            <w:noWrap/>
            <w:vAlign w:val="center"/>
            <w:hideMark/>
          </w:tcPr>
          <w:p w14:paraId="2B04E26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5,533</w:t>
            </w:r>
          </w:p>
        </w:tc>
        <w:tc>
          <w:tcPr>
            <w:tcW w:w="1350" w:type="dxa"/>
            <w:shd w:val="clear" w:color="auto" w:fill="auto"/>
            <w:noWrap/>
            <w:vAlign w:val="center"/>
            <w:hideMark/>
          </w:tcPr>
          <w:p w14:paraId="756E98C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17,743</w:t>
            </w:r>
          </w:p>
        </w:tc>
        <w:tc>
          <w:tcPr>
            <w:tcW w:w="1350" w:type="dxa"/>
            <w:shd w:val="clear" w:color="auto" w:fill="auto"/>
            <w:noWrap/>
            <w:vAlign w:val="center"/>
            <w:hideMark/>
          </w:tcPr>
          <w:p w14:paraId="2EE7105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13,367</w:t>
            </w:r>
          </w:p>
        </w:tc>
      </w:tr>
      <w:tr w:rsidR="00F303E0" w:rsidRPr="00EE5714" w14:paraId="0017A896" w14:textId="77777777" w:rsidTr="00824DBE">
        <w:trPr>
          <w:trHeight w:hRule="exact" w:val="245"/>
        </w:trPr>
        <w:tc>
          <w:tcPr>
            <w:tcW w:w="1980" w:type="dxa"/>
            <w:shd w:val="clear" w:color="auto" w:fill="F2F2F2" w:themeFill="background1" w:themeFillShade="F2"/>
            <w:noWrap/>
            <w:vAlign w:val="center"/>
            <w:hideMark/>
          </w:tcPr>
          <w:p w14:paraId="791E6CA9"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260" w:type="dxa"/>
            <w:shd w:val="clear" w:color="auto" w:fill="F2F2F2" w:themeFill="background1" w:themeFillShade="F2"/>
            <w:noWrap/>
            <w:vAlign w:val="center"/>
            <w:hideMark/>
          </w:tcPr>
          <w:p w14:paraId="1F3B9332"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4B8AAC1F" w14:textId="77777777" w:rsidR="00F303E0" w:rsidRPr="00EE5714" w:rsidRDefault="00F303E0" w:rsidP="00851815">
            <w:pPr>
              <w:keepNext/>
              <w:jc w:val="center"/>
              <w:rPr>
                <w:rFonts w:ascii="Calibri" w:eastAsia="Times New Roman" w:hAnsi="Calibri" w:cs="Calibri"/>
                <w:sz w:val="21"/>
                <w:szCs w:val="21"/>
              </w:rPr>
            </w:pPr>
          </w:p>
        </w:tc>
        <w:tc>
          <w:tcPr>
            <w:tcW w:w="1350" w:type="dxa"/>
            <w:tcBorders>
              <w:right w:val="single" w:sz="12" w:space="0" w:color="000000" w:themeColor="text1"/>
            </w:tcBorders>
            <w:shd w:val="clear" w:color="auto" w:fill="F2F2F2" w:themeFill="background1" w:themeFillShade="F2"/>
            <w:noWrap/>
            <w:vAlign w:val="center"/>
            <w:hideMark/>
          </w:tcPr>
          <w:p w14:paraId="21F9FBA1"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0E370537"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6FCFCB85"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11BFA488"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1F3CA457" w14:textId="77777777" w:rsidTr="00824DBE">
        <w:trPr>
          <w:trHeight w:hRule="exact" w:val="245"/>
        </w:trPr>
        <w:tc>
          <w:tcPr>
            <w:tcW w:w="1980" w:type="dxa"/>
            <w:shd w:val="clear" w:color="auto" w:fill="auto"/>
            <w:noWrap/>
            <w:vAlign w:val="center"/>
            <w:hideMark/>
          </w:tcPr>
          <w:p w14:paraId="26AB384B" w14:textId="36233C38"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hideMark/>
          </w:tcPr>
          <w:p w14:paraId="119B58C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2,631</w:t>
            </w:r>
          </w:p>
        </w:tc>
        <w:tc>
          <w:tcPr>
            <w:tcW w:w="1350" w:type="dxa"/>
            <w:shd w:val="clear" w:color="auto" w:fill="auto"/>
            <w:noWrap/>
            <w:vAlign w:val="center"/>
            <w:hideMark/>
          </w:tcPr>
          <w:p w14:paraId="0FA8E4D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7,295</w:t>
            </w:r>
          </w:p>
        </w:tc>
        <w:tc>
          <w:tcPr>
            <w:tcW w:w="1350" w:type="dxa"/>
            <w:tcBorders>
              <w:right w:val="single" w:sz="12" w:space="0" w:color="000000" w:themeColor="text1"/>
            </w:tcBorders>
            <w:shd w:val="clear" w:color="auto" w:fill="auto"/>
            <w:noWrap/>
            <w:vAlign w:val="center"/>
            <w:hideMark/>
          </w:tcPr>
          <w:p w14:paraId="5D5FE83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5,423</w:t>
            </w:r>
          </w:p>
        </w:tc>
        <w:tc>
          <w:tcPr>
            <w:tcW w:w="1350" w:type="dxa"/>
            <w:tcBorders>
              <w:left w:val="single" w:sz="12" w:space="0" w:color="000000" w:themeColor="text1"/>
            </w:tcBorders>
            <w:shd w:val="clear" w:color="auto" w:fill="auto"/>
            <w:noWrap/>
            <w:vAlign w:val="center"/>
            <w:hideMark/>
          </w:tcPr>
          <w:p w14:paraId="435B82B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3,947</w:t>
            </w:r>
          </w:p>
        </w:tc>
        <w:tc>
          <w:tcPr>
            <w:tcW w:w="1350" w:type="dxa"/>
            <w:shd w:val="clear" w:color="auto" w:fill="auto"/>
            <w:noWrap/>
            <w:vAlign w:val="center"/>
            <w:hideMark/>
          </w:tcPr>
          <w:p w14:paraId="28B22A9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10,943</w:t>
            </w:r>
          </w:p>
        </w:tc>
        <w:tc>
          <w:tcPr>
            <w:tcW w:w="1350" w:type="dxa"/>
            <w:shd w:val="clear" w:color="auto" w:fill="auto"/>
            <w:noWrap/>
            <w:vAlign w:val="center"/>
            <w:hideMark/>
          </w:tcPr>
          <w:p w14:paraId="56192F6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8,134</w:t>
            </w:r>
          </w:p>
        </w:tc>
      </w:tr>
      <w:tr w:rsidR="00F303E0" w:rsidRPr="00EE5714" w14:paraId="6DE91DB7" w14:textId="77777777" w:rsidTr="00824DBE">
        <w:trPr>
          <w:trHeight w:hRule="exact" w:val="245"/>
        </w:trPr>
        <w:tc>
          <w:tcPr>
            <w:tcW w:w="1980" w:type="dxa"/>
            <w:shd w:val="clear" w:color="auto" w:fill="auto"/>
            <w:noWrap/>
            <w:vAlign w:val="center"/>
            <w:hideMark/>
          </w:tcPr>
          <w:p w14:paraId="7479653C"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shd w:val="clear" w:color="auto" w:fill="auto"/>
            <w:noWrap/>
            <w:vAlign w:val="center"/>
            <w:hideMark/>
          </w:tcPr>
          <w:p w14:paraId="702DA18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1,610</w:t>
            </w:r>
          </w:p>
        </w:tc>
        <w:tc>
          <w:tcPr>
            <w:tcW w:w="1350" w:type="dxa"/>
            <w:shd w:val="clear" w:color="auto" w:fill="auto"/>
            <w:noWrap/>
            <w:vAlign w:val="center"/>
            <w:hideMark/>
          </w:tcPr>
          <w:p w14:paraId="2199FC0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4,463</w:t>
            </w:r>
          </w:p>
        </w:tc>
        <w:tc>
          <w:tcPr>
            <w:tcW w:w="1350" w:type="dxa"/>
            <w:tcBorders>
              <w:right w:val="single" w:sz="12" w:space="0" w:color="000000" w:themeColor="text1"/>
            </w:tcBorders>
            <w:shd w:val="clear" w:color="auto" w:fill="auto"/>
            <w:noWrap/>
            <w:vAlign w:val="center"/>
            <w:hideMark/>
          </w:tcPr>
          <w:p w14:paraId="2B665F8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3,317</w:t>
            </w:r>
          </w:p>
        </w:tc>
        <w:tc>
          <w:tcPr>
            <w:tcW w:w="1350" w:type="dxa"/>
            <w:tcBorders>
              <w:left w:val="single" w:sz="12" w:space="0" w:color="000000" w:themeColor="text1"/>
            </w:tcBorders>
            <w:shd w:val="clear" w:color="auto" w:fill="auto"/>
            <w:noWrap/>
            <w:vAlign w:val="center"/>
            <w:hideMark/>
          </w:tcPr>
          <w:p w14:paraId="116A8BD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2,415</w:t>
            </w:r>
          </w:p>
        </w:tc>
        <w:tc>
          <w:tcPr>
            <w:tcW w:w="1350" w:type="dxa"/>
            <w:shd w:val="clear" w:color="auto" w:fill="auto"/>
            <w:noWrap/>
            <w:vAlign w:val="center"/>
            <w:hideMark/>
          </w:tcPr>
          <w:p w14:paraId="3F84795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6,695</w:t>
            </w:r>
          </w:p>
        </w:tc>
        <w:tc>
          <w:tcPr>
            <w:tcW w:w="1350" w:type="dxa"/>
            <w:shd w:val="clear" w:color="auto" w:fill="auto"/>
            <w:noWrap/>
            <w:vAlign w:val="center"/>
            <w:hideMark/>
          </w:tcPr>
          <w:p w14:paraId="5831146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4,976</w:t>
            </w:r>
          </w:p>
        </w:tc>
      </w:tr>
      <w:tr w:rsidR="00F303E0" w:rsidRPr="00EE5714" w14:paraId="022136BA" w14:textId="77777777" w:rsidTr="00824DBE">
        <w:trPr>
          <w:trHeight w:hRule="exact" w:val="245"/>
        </w:trPr>
        <w:tc>
          <w:tcPr>
            <w:tcW w:w="1980" w:type="dxa"/>
            <w:shd w:val="clear" w:color="auto" w:fill="F2F2F2" w:themeFill="background1" w:themeFillShade="F2"/>
            <w:noWrap/>
            <w:vAlign w:val="center"/>
            <w:hideMark/>
          </w:tcPr>
          <w:p w14:paraId="2325F54F"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c>
          <w:tcPr>
            <w:tcW w:w="1260" w:type="dxa"/>
            <w:shd w:val="clear" w:color="auto" w:fill="F2F2F2" w:themeFill="background1" w:themeFillShade="F2"/>
            <w:noWrap/>
            <w:vAlign w:val="center"/>
            <w:hideMark/>
          </w:tcPr>
          <w:p w14:paraId="0240AD0C"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063B5491" w14:textId="77777777" w:rsidR="00F303E0" w:rsidRPr="00EE5714" w:rsidRDefault="00F303E0" w:rsidP="00851815">
            <w:pPr>
              <w:keepNext/>
              <w:jc w:val="center"/>
              <w:rPr>
                <w:rFonts w:ascii="Calibri" w:eastAsia="Times New Roman" w:hAnsi="Calibri" w:cs="Calibri"/>
                <w:sz w:val="21"/>
                <w:szCs w:val="21"/>
              </w:rPr>
            </w:pPr>
          </w:p>
        </w:tc>
        <w:tc>
          <w:tcPr>
            <w:tcW w:w="1350" w:type="dxa"/>
            <w:tcBorders>
              <w:right w:val="single" w:sz="12" w:space="0" w:color="000000" w:themeColor="text1"/>
            </w:tcBorders>
            <w:shd w:val="clear" w:color="auto" w:fill="F2F2F2" w:themeFill="background1" w:themeFillShade="F2"/>
            <w:noWrap/>
            <w:vAlign w:val="center"/>
            <w:hideMark/>
          </w:tcPr>
          <w:p w14:paraId="2D2802CA"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72FFCE1F"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5A93688B"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641E86AB"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7F418895" w14:textId="77777777" w:rsidTr="00824DBE">
        <w:trPr>
          <w:trHeight w:hRule="exact" w:val="245"/>
        </w:trPr>
        <w:tc>
          <w:tcPr>
            <w:tcW w:w="1980" w:type="dxa"/>
            <w:shd w:val="clear" w:color="auto" w:fill="auto"/>
            <w:noWrap/>
            <w:vAlign w:val="center"/>
            <w:hideMark/>
          </w:tcPr>
          <w:p w14:paraId="4F3D2090" w14:textId="00C9F0B6"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260" w:type="dxa"/>
            <w:shd w:val="clear" w:color="auto" w:fill="auto"/>
            <w:noWrap/>
            <w:vAlign w:val="center"/>
            <w:hideMark/>
          </w:tcPr>
          <w:p w14:paraId="7717077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13,943</w:t>
            </w:r>
          </w:p>
        </w:tc>
        <w:tc>
          <w:tcPr>
            <w:tcW w:w="1350" w:type="dxa"/>
            <w:shd w:val="clear" w:color="auto" w:fill="auto"/>
            <w:noWrap/>
            <w:vAlign w:val="center"/>
            <w:hideMark/>
          </w:tcPr>
          <w:p w14:paraId="4987025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28,265</w:t>
            </w:r>
          </w:p>
        </w:tc>
        <w:tc>
          <w:tcPr>
            <w:tcW w:w="1350" w:type="dxa"/>
            <w:tcBorders>
              <w:right w:val="single" w:sz="12" w:space="0" w:color="000000" w:themeColor="text1"/>
            </w:tcBorders>
            <w:shd w:val="clear" w:color="auto" w:fill="auto"/>
            <w:noWrap/>
            <w:vAlign w:val="center"/>
            <w:hideMark/>
          </w:tcPr>
          <w:p w14:paraId="5B721C8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17,207</w:t>
            </w:r>
          </w:p>
        </w:tc>
        <w:tc>
          <w:tcPr>
            <w:tcW w:w="1350" w:type="dxa"/>
            <w:tcBorders>
              <w:left w:val="single" w:sz="12" w:space="0" w:color="000000" w:themeColor="text1"/>
            </w:tcBorders>
            <w:shd w:val="clear" w:color="auto" w:fill="auto"/>
            <w:noWrap/>
            <w:vAlign w:val="center"/>
            <w:hideMark/>
          </w:tcPr>
          <w:p w14:paraId="43BD14C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48,491</w:t>
            </w:r>
          </w:p>
        </w:tc>
        <w:tc>
          <w:tcPr>
            <w:tcW w:w="1350" w:type="dxa"/>
            <w:shd w:val="clear" w:color="auto" w:fill="auto"/>
            <w:noWrap/>
            <w:vAlign w:val="center"/>
            <w:hideMark/>
          </w:tcPr>
          <w:p w14:paraId="47D1DBF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94,702</w:t>
            </w:r>
          </w:p>
        </w:tc>
        <w:tc>
          <w:tcPr>
            <w:tcW w:w="1350" w:type="dxa"/>
            <w:shd w:val="clear" w:color="auto" w:fill="auto"/>
            <w:noWrap/>
            <w:vAlign w:val="center"/>
            <w:hideMark/>
          </w:tcPr>
          <w:p w14:paraId="58EFB6B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57,558</w:t>
            </w:r>
          </w:p>
        </w:tc>
      </w:tr>
      <w:tr w:rsidR="00F303E0" w:rsidRPr="00EE5714" w14:paraId="045FB132" w14:textId="77777777" w:rsidTr="00824DBE">
        <w:trPr>
          <w:trHeight w:hRule="exact" w:val="245"/>
        </w:trPr>
        <w:tc>
          <w:tcPr>
            <w:tcW w:w="1980" w:type="dxa"/>
            <w:shd w:val="clear" w:color="auto" w:fill="auto"/>
            <w:noWrap/>
            <w:vAlign w:val="center"/>
            <w:hideMark/>
          </w:tcPr>
          <w:p w14:paraId="1021B0DF" w14:textId="77777777" w:rsidR="00F303E0" w:rsidRPr="00EE5714" w:rsidRDefault="00F303E0" w:rsidP="00851815">
            <w:pPr>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260" w:type="dxa"/>
            <w:tcBorders>
              <w:bottom w:val="single" w:sz="8" w:space="0" w:color="000000" w:themeColor="text1"/>
            </w:tcBorders>
            <w:shd w:val="clear" w:color="auto" w:fill="auto"/>
            <w:noWrap/>
            <w:vAlign w:val="center"/>
            <w:hideMark/>
          </w:tcPr>
          <w:p w14:paraId="778B0E7C"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6,682</w:t>
            </w:r>
          </w:p>
        </w:tc>
        <w:tc>
          <w:tcPr>
            <w:tcW w:w="1350" w:type="dxa"/>
            <w:tcBorders>
              <w:bottom w:val="single" w:sz="8" w:space="0" w:color="000000" w:themeColor="text1"/>
            </w:tcBorders>
            <w:shd w:val="clear" w:color="auto" w:fill="auto"/>
            <w:noWrap/>
            <w:vAlign w:val="center"/>
            <w:hideMark/>
          </w:tcPr>
          <w:p w14:paraId="2CB7A315"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12,149</w:t>
            </w:r>
          </w:p>
        </w:tc>
        <w:tc>
          <w:tcPr>
            <w:tcW w:w="1350" w:type="dxa"/>
            <w:tcBorders>
              <w:bottom w:val="single" w:sz="8" w:space="0" w:color="000000" w:themeColor="text1"/>
              <w:right w:val="single" w:sz="12" w:space="0" w:color="000000" w:themeColor="text1"/>
            </w:tcBorders>
            <w:shd w:val="clear" w:color="auto" w:fill="auto"/>
            <w:noWrap/>
            <w:vAlign w:val="center"/>
            <w:hideMark/>
          </w:tcPr>
          <w:p w14:paraId="1BF8362C"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7,894</w:t>
            </w:r>
          </w:p>
        </w:tc>
        <w:tc>
          <w:tcPr>
            <w:tcW w:w="1350" w:type="dxa"/>
            <w:tcBorders>
              <w:left w:val="single" w:sz="12" w:space="0" w:color="000000" w:themeColor="text1"/>
              <w:bottom w:val="single" w:sz="8" w:space="0" w:color="000000" w:themeColor="text1"/>
            </w:tcBorders>
            <w:shd w:val="clear" w:color="auto" w:fill="auto"/>
            <w:noWrap/>
            <w:vAlign w:val="center"/>
            <w:hideMark/>
          </w:tcPr>
          <w:p w14:paraId="1C42EBC9"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19,917</w:t>
            </w:r>
          </w:p>
        </w:tc>
        <w:tc>
          <w:tcPr>
            <w:tcW w:w="1350" w:type="dxa"/>
            <w:tcBorders>
              <w:bottom w:val="single" w:sz="8" w:space="0" w:color="000000" w:themeColor="text1"/>
            </w:tcBorders>
            <w:shd w:val="clear" w:color="auto" w:fill="auto"/>
            <w:noWrap/>
            <w:vAlign w:val="center"/>
            <w:hideMark/>
          </w:tcPr>
          <w:p w14:paraId="4E5C4188"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40,947</w:t>
            </w:r>
          </w:p>
        </w:tc>
        <w:tc>
          <w:tcPr>
            <w:tcW w:w="1350" w:type="dxa"/>
            <w:tcBorders>
              <w:bottom w:val="single" w:sz="8" w:space="0" w:color="000000" w:themeColor="text1"/>
            </w:tcBorders>
            <w:shd w:val="clear" w:color="auto" w:fill="auto"/>
            <w:noWrap/>
            <w:vAlign w:val="center"/>
            <w:hideMark/>
          </w:tcPr>
          <w:p w14:paraId="444ACB22"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23,386</w:t>
            </w:r>
          </w:p>
        </w:tc>
      </w:tr>
    </w:tbl>
    <w:p w14:paraId="661D7678" w14:textId="77777777" w:rsidR="00F303E0" w:rsidRPr="00EE5714" w:rsidRDefault="00F303E0" w:rsidP="00F303E0">
      <w:pPr>
        <w:pStyle w:val="NoSpacing"/>
        <w:rPr>
          <w:rFonts w:cs="Times New Roman"/>
          <w:szCs w:val="26"/>
        </w:rPr>
      </w:pPr>
    </w:p>
    <w:p w14:paraId="1356D959" w14:textId="77777777" w:rsidR="00F303E0" w:rsidRPr="00EE5714" w:rsidRDefault="00F303E0" w:rsidP="00F303E0">
      <w:pPr>
        <w:pStyle w:val="NoSpacing"/>
        <w:rPr>
          <w:rFonts w:cs="Times New Roman"/>
          <w:szCs w:val="26"/>
        </w:rPr>
      </w:pPr>
    </w:p>
    <w:p w14:paraId="05DCF990" w14:textId="77777777" w:rsidR="00F303E0" w:rsidRPr="00EE5714" w:rsidRDefault="003E499A" w:rsidP="00F303E0">
      <w:pPr>
        <w:pStyle w:val="NoSpacing"/>
        <w:keepNext/>
        <w:rPr>
          <w:rFonts w:cs="Times New Roman"/>
          <w:szCs w:val="26"/>
        </w:rPr>
      </w:pPr>
      <w:r w:rsidRPr="00EE5714">
        <w:rPr>
          <w:rFonts w:cs="Times New Roman"/>
          <w:szCs w:val="26"/>
        </w:rPr>
        <w:t>Appendix 5</w:t>
      </w:r>
      <w:r w:rsidR="00F303E0" w:rsidRPr="00EE5714">
        <w:rPr>
          <w:rFonts w:cs="Times New Roman"/>
          <w:szCs w:val="26"/>
        </w:rPr>
        <w:t>.D.4: CAP Electric Number of Bills Paid in Full</w:t>
      </w:r>
    </w:p>
    <w:tbl>
      <w:tblPr>
        <w:tblW w:w="999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Pr>
      <w:tblGrid>
        <w:gridCol w:w="2070"/>
        <w:gridCol w:w="1170"/>
        <w:gridCol w:w="1350"/>
        <w:gridCol w:w="1350"/>
        <w:gridCol w:w="1350"/>
        <w:gridCol w:w="1350"/>
        <w:gridCol w:w="1350"/>
      </w:tblGrid>
      <w:tr w:rsidR="00F303E0" w:rsidRPr="00EE5714" w14:paraId="0CE7F19B" w14:textId="77777777" w:rsidTr="00824DBE">
        <w:trPr>
          <w:trHeight w:val="432"/>
        </w:trPr>
        <w:tc>
          <w:tcPr>
            <w:tcW w:w="2070" w:type="dxa"/>
            <w:vMerge w:val="restart"/>
            <w:shd w:val="clear" w:color="auto" w:fill="auto"/>
            <w:noWrap/>
            <w:vAlign w:val="center"/>
            <w:hideMark/>
          </w:tcPr>
          <w:p w14:paraId="095EAEB5" w14:textId="77777777" w:rsidR="00F303E0" w:rsidRPr="00EE5714" w:rsidRDefault="00F303E0" w:rsidP="00851815">
            <w:pPr>
              <w:keepNext/>
              <w:jc w:val="center"/>
              <w:rPr>
                <w:rFonts w:ascii="Calibri" w:eastAsia="Times New Roman" w:hAnsi="Calibri" w:cs="Calibri"/>
                <w:b/>
                <w:bCs/>
                <w:color w:val="000000"/>
                <w:szCs w:val="24"/>
              </w:rPr>
            </w:pPr>
            <w:r w:rsidRPr="00EE5714">
              <w:rPr>
                <w:rFonts w:ascii="Calibri" w:eastAsia="Times New Roman" w:hAnsi="Calibri" w:cs="Calibri"/>
                <w:b/>
                <w:bCs/>
                <w:color w:val="000000"/>
                <w:szCs w:val="24"/>
              </w:rPr>
              <w:t>2015</w:t>
            </w:r>
          </w:p>
        </w:tc>
        <w:tc>
          <w:tcPr>
            <w:tcW w:w="3870" w:type="dxa"/>
            <w:gridSpan w:val="3"/>
            <w:tcBorders>
              <w:right w:val="single" w:sz="12" w:space="0" w:color="000000" w:themeColor="text1"/>
            </w:tcBorders>
            <w:shd w:val="clear" w:color="auto" w:fill="D9D9D9" w:themeFill="background1" w:themeFillShade="D9"/>
            <w:noWrap/>
            <w:vAlign w:val="center"/>
            <w:hideMark/>
          </w:tcPr>
          <w:p w14:paraId="1060FB5F"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CAP Heating Accounts</w:t>
            </w:r>
          </w:p>
          <w:p w14:paraId="73982607"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Number of Bills Paid In-Full</w:t>
            </w:r>
          </w:p>
        </w:tc>
        <w:tc>
          <w:tcPr>
            <w:tcW w:w="4050" w:type="dxa"/>
            <w:gridSpan w:val="3"/>
            <w:tcBorders>
              <w:left w:val="single" w:sz="12" w:space="0" w:color="000000" w:themeColor="text1"/>
            </w:tcBorders>
            <w:shd w:val="clear" w:color="auto" w:fill="D9D9D9" w:themeFill="background1" w:themeFillShade="D9"/>
            <w:noWrap/>
            <w:vAlign w:val="center"/>
            <w:hideMark/>
          </w:tcPr>
          <w:p w14:paraId="2EF7D56D"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CAP Non-Heating Accounts </w:t>
            </w:r>
          </w:p>
          <w:p w14:paraId="74C38C3D"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Number of Bills Paid In-Full</w:t>
            </w:r>
          </w:p>
        </w:tc>
      </w:tr>
      <w:tr w:rsidR="00F303E0" w:rsidRPr="00EE5714" w14:paraId="0CD9D1F6" w14:textId="77777777" w:rsidTr="00824DBE">
        <w:trPr>
          <w:trHeight w:val="72"/>
        </w:trPr>
        <w:tc>
          <w:tcPr>
            <w:tcW w:w="2070" w:type="dxa"/>
            <w:vMerge/>
            <w:shd w:val="clear" w:color="auto" w:fill="auto"/>
            <w:vAlign w:val="center"/>
            <w:hideMark/>
          </w:tcPr>
          <w:p w14:paraId="392C7B16" w14:textId="77777777" w:rsidR="00F303E0" w:rsidRPr="00EE5714" w:rsidRDefault="00F303E0" w:rsidP="00851815">
            <w:pPr>
              <w:keepNext/>
              <w:rPr>
                <w:rFonts w:ascii="Calibri" w:eastAsia="Times New Roman" w:hAnsi="Calibri" w:cs="Calibri"/>
                <w:b/>
                <w:bCs/>
                <w:color w:val="000000"/>
              </w:rPr>
            </w:pPr>
          </w:p>
        </w:tc>
        <w:tc>
          <w:tcPr>
            <w:tcW w:w="1170" w:type="dxa"/>
            <w:tcBorders>
              <w:right w:val="single" w:sz="8" w:space="0" w:color="000000" w:themeColor="text1"/>
            </w:tcBorders>
            <w:shd w:val="clear" w:color="auto" w:fill="auto"/>
            <w:noWrap/>
            <w:vAlign w:val="bottom"/>
            <w:hideMark/>
          </w:tcPr>
          <w:p w14:paraId="7A7AC22C"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 FPIG</w:t>
            </w:r>
          </w:p>
        </w:tc>
        <w:tc>
          <w:tcPr>
            <w:tcW w:w="1350" w:type="dxa"/>
            <w:tcBorders>
              <w:left w:val="single" w:sz="8" w:space="0" w:color="000000" w:themeColor="text1"/>
              <w:right w:val="single" w:sz="8" w:space="0" w:color="000000" w:themeColor="text1"/>
            </w:tcBorders>
            <w:shd w:val="clear" w:color="auto" w:fill="auto"/>
            <w:noWrap/>
            <w:vAlign w:val="bottom"/>
            <w:hideMark/>
          </w:tcPr>
          <w:p w14:paraId="52780141"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 FPIG</w:t>
            </w:r>
          </w:p>
        </w:tc>
        <w:tc>
          <w:tcPr>
            <w:tcW w:w="1350" w:type="dxa"/>
            <w:tcBorders>
              <w:left w:val="single" w:sz="8" w:space="0" w:color="000000" w:themeColor="text1"/>
              <w:right w:val="single" w:sz="12" w:space="0" w:color="000000" w:themeColor="text1"/>
            </w:tcBorders>
            <w:shd w:val="clear" w:color="auto" w:fill="auto"/>
            <w:noWrap/>
            <w:vAlign w:val="bottom"/>
            <w:hideMark/>
          </w:tcPr>
          <w:p w14:paraId="60D4EA6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 FPIG</w:t>
            </w:r>
          </w:p>
        </w:tc>
        <w:tc>
          <w:tcPr>
            <w:tcW w:w="1350" w:type="dxa"/>
            <w:tcBorders>
              <w:left w:val="single" w:sz="12" w:space="0" w:color="000000" w:themeColor="text1"/>
            </w:tcBorders>
            <w:shd w:val="clear" w:color="auto" w:fill="auto"/>
            <w:noWrap/>
            <w:vAlign w:val="bottom"/>
            <w:hideMark/>
          </w:tcPr>
          <w:p w14:paraId="6331A924"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 FPIG</w:t>
            </w:r>
          </w:p>
        </w:tc>
        <w:tc>
          <w:tcPr>
            <w:tcW w:w="1350" w:type="dxa"/>
            <w:shd w:val="clear" w:color="auto" w:fill="auto"/>
            <w:noWrap/>
            <w:vAlign w:val="bottom"/>
            <w:hideMark/>
          </w:tcPr>
          <w:p w14:paraId="0332B29B"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 FPIG</w:t>
            </w:r>
          </w:p>
        </w:tc>
        <w:tc>
          <w:tcPr>
            <w:tcW w:w="1350" w:type="dxa"/>
            <w:shd w:val="clear" w:color="auto" w:fill="auto"/>
            <w:noWrap/>
            <w:vAlign w:val="bottom"/>
            <w:hideMark/>
          </w:tcPr>
          <w:p w14:paraId="4AFAA6B2"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 FPIG</w:t>
            </w:r>
          </w:p>
        </w:tc>
      </w:tr>
      <w:tr w:rsidR="00F303E0" w:rsidRPr="00EE5714" w14:paraId="15A51BD3" w14:textId="77777777" w:rsidTr="00824DBE">
        <w:trPr>
          <w:trHeight w:hRule="exact" w:val="245"/>
        </w:trPr>
        <w:tc>
          <w:tcPr>
            <w:tcW w:w="2070" w:type="dxa"/>
            <w:shd w:val="clear" w:color="auto" w:fill="F2F2F2" w:themeFill="background1" w:themeFillShade="F2"/>
            <w:noWrap/>
            <w:vAlign w:val="center"/>
            <w:hideMark/>
          </w:tcPr>
          <w:p w14:paraId="1B5885F0"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170" w:type="dxa"/>
            <w:tcBorders>
              <w:right w:val="single" w:sz="8" w:space="0" w:color="000000" w:themeColor="text1"/>
            </w:tcBorders>
            <w:shd w:val="clear" w:color="auto" w:fill="F2F2F2" w:themeFill="background1" w:themeFillShade="F2"/>
            <w:noWrap/>
            <w:vAlign w:val="center"/>
            <w:hideMark/>
          </w:tcPr>
          <w:p w14:paraId="2E170B2D"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tcBorders>
              <w:left w:val="single" w:sz="8" w:space="0" w:color="000000" w:themeColor="text1"/>
              <w:right w:val="single" w:sz="8" w:space="0" w:color="000000" w:themeColor="text1"/>
            </w:tcBorders>
            <w:shd w:val="clear" w:color="auto" w:fill="F2F2F2" w:themeFill="background1" w:themeFillShade="F2"/>
            <w:noWrap/>
            <w:vAlign w:val="center"/>
            <w:hideMark/>
          </w:tcPr>
          <w:p w14:paraId="45147FA9"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tcBorders>
              <w:left w:val="single" w:sz="8" w:space="0" w:color="000000" w:themeColor="text1"/>
              <w:right w:val="single" w:sz="12" w:space="0" w:color="000000" w:themeColor="text1"/>
            </w:tcBorders>
            <w:shd w:val="clear" w:color="auto" w:fill="F2F2F2" w:themeFill="background1" w:themeFillShade="F2"/>
            <w:noWrap/>
            <w:vAlign w:val="center"/>
            <w:hideMark/>
          </w:tcPr>
          <w:p w14:paraId="3E7246B8"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410FCFE5"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shd w:val="clear" w:color="auto" w:fill="F2F2F2" w:themeFill="background1" w:themeFillShade="F2"/>
            <w:noWrap/>
            <w:vAlign w:val="center"/>
            <w:hideMark/>
          </w:tcPr>
          <w:p w14:paraId="16A74FDF"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shd w:val="clear" w:color="auto" w:fill="F2F2F2" w:themeFill="background1" w:themeFillShade="F2"/>
            <w:noWrap/>
            <w:vAlign w:val="center"/>
            <w:hideMark/>
          </w:tcPr>
          <w:p w14:paraId="2BAFE306" w14:textId="77777777" w:rsidR="00F303E0" w:rsidRPr="00EE5714" w:rsidRDefault="00F303E0" w:rsidP="00851815">
            <w:pPr>
              <w:keepNext/>
              <w:jc w:val="center"/>
              <w:rPr>
                <w:rFonts w:ascii="Calibri" w:eastAsia="Times New Roman" w:hAnsi="Calibri" w:cs="Calibri"/>
                <w:color w:val="000000"/>
                <w:sz w:val="21"/>
                <w:szCs w:val="21"/>
              </w:rPr>
            </w:pPr>
          </w:p>
        </w:tc>
      </w:tr>
      <w:tr w:rsidR="00F303E0" w:rsidRPr="00EE5714" w14:paraId="322E43C5" w14:textId="77777777" w:rsidTr="00824DBE">
        <w:trPr>
          <w:trHeight w:hRule="exact" w:val="245"/>
        </w:trPr>
        <w:tc>
          <w:tcPr>
            <w:tcW w:w="2070" w:type="dxa"/>
            <w:shd w:val="clear" w:color="auto" w:fill="auto"/>
            <w:noWrap/>
            <w:vAlign w:val="center"/>
            <w:hideMark/>
          </w:tcPr>
          <w:p w14:paraId="7A291B6E" w14:textId="5E242AB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right w:val="single" w:sz="8" w:space="0" w:color="000000" w:themeColor="text1"/>
            </w:tcBorders>
            <w:shd w:val="clear" w:color="auto" w:fill="auto"/>
            <w:noWrap/>
            <w:vAlign w:val="center"/>
            <w:hideMark/>
          </w:tcPr>
          <w:p w14:paraId="160E4A7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10,113</w:t>
            </w:r>
          </w:p>
        </w:tc>
        <w:tc>
          <w:tcPr>
            <w:tcW w:w="1350" w:type="dxa"/>
            <w:tcBorders>
              <w:left w:val="single" w:sz="8" w:space="0" w:color="000000" w:themeColor="text1"/>
              <w:right w:val="single" w:sz="8" w:space="0" w:color="000000" w:themeColor="text1"/>
            </w:tcBorders>
            <w:shd w:val="clear" w:color="auto" w:fill="auto"/>
            <w:noWrap/>
            <w:vAlign w:val="center"/>
            <w:hideMark/>
          </w:tcPr>
          <w:p w14:paraId="3D4C7D3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25,009</w:t>
            </w:r>
          </w:p>
        </w:tc>
        <w:tc>
          <w:tcPr>
            <w:tcW w:w="1350" w:type="dxa"/>
            <w:tcBorders>
              <w:left w:val="single" w:sz="8" w:space="0" w:color="000000" w:themeColor="text1"/>
              <w:right w:val="single" w:sz="12" w:space="0" w:color="000000" w:themeColor="text1"/>
            </w:tcBorders>
            <w:shd w:val="clear" w:color="auto" w:fill="auto"/>
            <w:noWrap/>
            <w:vAlign w:val="center"/>
            <w:hideMark/>
          </w:tcPr>
          <w:p w14:paraId="3A6D999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12,853</w:t>
            </w:r>
          </w:p>
        </w:tc>
        <w:tc>
          <w:tcPr>
            <w:tcW w:w="1350" w:type="dxa"/>
            <w:tcBorders>
              <w:left w:val="single" w:sz="12" w:space="0" w:color="000000" w:themeColor="text1"/>
            </w:tcBorders>
            <w:shd w:val="clear" w:color="auto" w:fill="auto"/>
            <w:noWrap/>
            <w:vAlign w:val="center"/>
            <w:hideMark/>
          </w:tcPr>
          <w:p w14:paraId="19A9856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110,550</w:t>
            </w:r>
          </w:p>
        </w:tc>
        <w:tc>
          <w:tcPr>
            <w:tcW w:w="1350" w:type="dxa"/>
            <w:shd w:val="clear" w:color="auto" w:fill="auto"/>
            <w:noWrap/>
            <w:vAlign w:val="center"/>
            <w:hideMark/>
          </w:tcPr>
          <w:p w14:paraId="176EA01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179,294</w:t>
            </w:r>
          </w:p>
        </w:tc>
        <w:tc>
          <w:tcPr>
            <w:tcW w:w="1350" w:type="dxa"/>
            <w:shd w:val="clear" w:color="auto" w:fill="auto"/>
            <w:noWrap/>
            <w:vAlign w:val="center"/>
            <w:hideMark/>
          </w:tcPr>
          <w:p w14:paraId="09FFB77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88,904</w:t>
            </w:r>
          </w:p>
        </w:tc>
      </w:tr>
      <w:tr w:rsidR="00F303E0" w:rsidRPr="00EE5714" w14:paraId="634C4E66" w14:textId="77777777" w:rsidTr="00824DBE">
        <w:trPr>
          <w:trHeight w:hRule="exact" w:val="245"/>
        </w:trPr>
        <w:tc>
          <w:tcPr>
            <w:tcW w:w="2070" w:type="dxa"/>
            <w:shd w:val="clear" w:color="auto" w:fill="auto"/>
            <w:noWrap/>
            <w:vAlign w:val="center"/>
            <w:hideMark/>
          </w:tcPr>
          <w:p w14:paraId="33EAB9DA"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170" w:type="dxa"/>
            <w:tcBorders>
              <w:right w:val="single" w:sz="8" w:space="0" w:color="000000" w:themeColor="text1"/>
            </w:tcBorders>
            <w:shd w:val="clear" w:color="auto" w:fill="auto"/>
            <w:noWrap/>
            <w:vAlign w:val="center"/>
            <w:hideMark/>
          </w:tcPr>
          <w:p w14:paraId="4EE8BF8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3,160</w:t>
            </w:r>
          </w:p>
        </w:tc>
        <w:tc>
          <w:tcPr>
            <w:tcW w:w="1350" w:type="dxa"/>
            <w:tcBorders>
              <w:left w:val="single" w:sz="8" w:space="0" w:color="000000" w:themeColor="text1"/>
              <w:right w:val="single" w:sz="8" w:space="0" w:color="000000" w:themeColor="text1"/>
            </w:tcBorders>
            <w:shd w:val="clear" w:color="auto" w:fill="auto"/>
            <w:noWrap/>
            <w:vAlign w:val="center"/>
            <w:hideMark/>
          </w:tcPr>
          <w:p w14:paraId="5207938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13,196</w:t>
            </w:r>
          </w:p>
        </w:tc>
        <w:tc>
          <w:tcPr>
            <w:tcW w:w="1350" w:type="dxa"/>
            <w:tcBorders>
              <w:left w:val="single" w:sz="8" w:space="0" w:color="000000" w:themeColor="text1"/>
              <w:right w:val="single" w:sz="12" w:space="0" w:color="000000" w:themeColor="text1"/>
            </w:tcBorders>
            <w:shd w:val="clear" w:color="auto" w:fill="auto"/>
            <w:noWrap/>
            <w:vAlign w:val="center"/>
            <w:hideMark/>
          </w:tcPr>
          <w:p w14:paraId="07B274F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7,548</w:t>
            </w:r>
          </w:p>
        </w:tc>
        <w:tc>
          <w:tcPr>
            <w:tcW w:w="1350" w:type="dxa"/>
            <w:tcBorders>
              <w:left w:val="single" w:sz="12" w:space="0" w:color="000000" w:themeColor="text1"/>
            </w:tcBorders>
            <w:shd w:val="clear" w:color="auto" w:fill="auto"/>
            <w:noWrap/>
            <w:vAlign w:val="center"/>
            <w:hideMark/>
          </w:tcPr>
          <w:p w14:paraId="643DC49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38,822</w:t>
            </w:r>
          </w:p>
        </w:tc>
        <w:tc>
          <w:tcPr>
            <w:tcW w:w="1350" w:type="dxa"/>
            <w:shd w:val="clear" w:color="auto" w:fill="auto"/>
            <w:noWrap/>
            <w:vAlign w:val="center"/>
            <w:hideMark/>
          </w:tcPr>
          <w:p w14:paraId="30AB38F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90,940</w:t>
            </w:r>
          </w:p>
        </w:tc>
        <w:tc>
          <w:tcPr>
            <w:tcW w:w="1350" w:type="dxa"/>
            <w:shd w:val="clear" w:color="auto" w:fill="auto"/>
            <w:noWrap/>
            <w:vAlign w:val="center"/>
            <w:hideMark/>
          </w:tcPr>
          <w:p w14:paraId="33B5DF8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47,733</w:t>
            </w:r>
          </w:p>
        </w:tc>
      </w:tr>
      <w:tr w:rsidR="00F303E0" w:rsidRPr="00EE5714" w14:paraId="2AE6D660" w14:textId="77777777" w:rsidTr="00824DBE">
        <w:trPr>
          <w:trHeight w:hRule="exact" w:val="245"/>
        </w:trPr>
        <w:tc>
          <w:tcPr>
            <w:tcW w:w="2070" w:type="dxa"/>
            <w:shd w:val="clear" w:color="auto" w:fill="F2F2F2" w:themeFill="background1" w:themeFillShade="F2"/>
            <w:noWrap/>
            <w:vAlign w:val="center"/>
            <w:hideMark/>
          </w:tcPr>
          <w:p w14:paraId="01688689"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170" w:type="dxa"/>
            <w:tcBorders>
              <w:right w:val="single" w:sz="8" w:space="0" w:color="000000" w:themeColor="text1"/>
            </w:tcBorders>
            <w:shd w:val="clear" w:color="auto" w:fill="F2F2F2" w:themeFill="background1" w:themeFillShade="F2"/>
            <w:noWrap/>
            <w:vAlign w:val="center"/>
            <w:hideMark/>
          </w:tcPr>
          <w:p w14:paraId="21FDE354"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8" w:space="0" w:color="000000" w:themeColor="text1"/>
              <w:right w:val="single" w:sz="8" w:space="0" w:color="000000" w:themeColor="text1"/>
            </w:tcBorders>
            <w:shd w:val="clear" w:color="auto" w:fill="F2F2F2" w:themeFill="background1" w:themeFillShade="F2"/>
            <w:noWrap/>
            <w:vAlign w:val="center"/>
            <w:hideMark/>
          </w:tcPr>
          <w:p w14:paraId="2406D1C7"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8" w:space="0" w:color="000000" w:themeColor="text1"/>
              <w:right w:val="single" w:sz="12" w:space="0" w:color="000000" w:themeColor="text1"/>
            </w:tcBorders>
            <w:shd w:val="clear" w:color="auto" w:fill="F2F2F2" w:themeFill="background1" w:themeFillShade="F2"/>
            <w:noWrap/>
            <w:vAlign w:val="center"/>
            <w:hideMark/>
          </w:tcPr>
          <w:p w14:paraId="34AA907B"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0E757DF7"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4C6E1C32"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373C99D8"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33314EDD" w14:textId="77777777" w:rsidTr="00824DBE">
        <w:trPr>
          <w:trHeight w:hRule="exact" w:val="245"/>
        </w:trPr>
        <w:tc>
          <w:tcPr>
            <w:tcW w:w="2070" w:type="dxa"/>
            <w:shd w:val="clear" w:color="auto" w:fill="auto"/>
            <w:noWrap/>
            <w:vAlign w:val="center"/>
            <w:hideMark/>
          </w:tcPr>
          <w:p w14:paraId="74BAF1B8" w14:textId="2C879BF4"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right w:val="single" w:sz="8" w:space="0" w:color="000000" w:themeColor="text1"/>
            </w:tcBorders>
            <w:shd w:val="clear" w:color="auto" w:fill="auto"/>
            <w:noWrap/>
            <w:vAlign w:val="center"/>
            <w:hideMark/>
          </w:tcPr>
          <w:p w14:paraId="42D81FA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10,572</w:t>
            </w:r>
          </w:p>
        </w:tc>
        <w:tc>
          <w:tcPr>
            <w:tcW w:w="1350" w:type="dxa"/>
            <w:tcBorders>
              <w:left w:val="single" w:sz="8" w:space="0" w:color="000000" w:themeColor="text1"/>
              <w:right w:val="single" w:sz="8" w:space="0" w:color="000000" w:themeColor="text1"/>
            </w:tcBorders>
            <w:shd w:val="clear" w:color="auto" w:fill="auto"/>
            <w:noWrap/>
            <w:vAlign w:val="center"/>
            <w:hideMark/>
          </w:tcPr>
          <w:p w14:paraId="7843DED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26,602</w:t>
            </w:r>
          </w:p>
        </w:tc>
        <w:tc>
          <w:tcPr>
            <w:tcW w:w="1350" w:type="dxa"/>
            <w:tcBorders>
              <w:left w:val="single" w:sz="8" w:space="0" w:color="000000" w:themeColor="text1"/>
              <w:right w:val="single" w:sz="12" w:space="0" w:color="000000" w:themeColor="text1"/>
            </w:tcBorders>
            <w:shd w:val="clear" w:color="auto" w:fill="auto"/>
            <w:noWrap/>
            <w:vAlign w:val="center"/>
            <w:hideMark/>
          </w:tcPr>
          <w:p w14:paraId="5EC8409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15,187</w:t>
            </w:r>
          </w:p>
        </w:tc>
        <w:tc>
          <w:tcPr>
            <w:tcW w:w="1350" w:type="dxa"/>
            <w:tcBorders>
              <w:left w:val="single" w:sz="12" w:space="0" w:color="000000" w:themeColor="text1"/>
            </w:tcBorders>
            <w:shd w:val="clear" w:color="auto" w:fill="auto"/>
            <w:noWrap/>
            <w:vAlign w:val="center"/>
            <w:hideMark/>
          </w:tcPr>
          <w:p w14:paraId="43627EC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26,945</w:t>
            </w:r>
          </w:p>
        </w:tc>
        <w:tc>
          <w:tcPr>
            <w:tcW w:w="1350" w:type="dxa"/>
            <w:shd w:val="clear" w:color="auto" w:fill="auto"/>
            <w:noWrap/>
            <w:vAlign w:val="center"/>
            <w:hideMark/>
          </w:tcPr>
          <w:p w14:paraId="34A577C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62,073</w:t>
            </w:r>
          </w:p>
        </w:tc>
        <w:tc>
          <w:tcPr>
            <w:tcW w:w="1350" w:type="dxa"/>
            <w:shd w:val="clear" w:color="auto" w:fill="auto"/>
            <w:noWrap/>
            <w:vAlign w:val="center"/>
            <w:hideMark/>
          </w:tcPr>
          <w:p w14:paraId="4AF1A41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47,411</w:t>
            </w:r>
          </w:p>
        </w:tc>
      </w:tr>
      <w:tr w:rsidR="00F303E0" w:rsidRPr="00EE5714" w14:paraId="6C538700" w14:textId="77777777" w:rsidTr="00824DBE">
        <w:trPr>
          <w:trHeight w:hRule="exact" w:val="245"/>
        </w:trPr>
        <w:tc>
          <w:tcPr>
            <w:tcW w:w="2070" w:type="dxa"/>
            <w:shd w:val="clear" w:color="auto" w:fill="auto"/>
            <w:noWrap/>
            <w:vAlign w:val="center"/>
            <w:hideMark/>
          </w:tcPr>
          <w:p w14:paraId="05AB50D3"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170" w:type="dxa"/>
            <w:tcBorders>
              <w:right w:val="single" w:sz="8" w:space="0" w:color="000000" w:themeColor="text1"/>
            </w:tcBorders>
            <w:shd w:val="clear" w:color="auto" w:fill="auto"/>
            <w:noWrap/>
            <w:vAlign w:val="center"/>
            <w:hideMark/>
          </w:tcPr>
          <w:p w14:paraId="18486EA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5,915</w:t>
            </w:r>
          </w:p>
        </w:tc>
        <w:tc>
          <w:tcPr>
            <w:tcW w:w="1350" w:type="dxa"/>
            <w:tcBorders>
              <w:left w:val="single" w:sz="8" w:space="0" w:color="000000" w:themeColor="text1"/>
              <w:right w:val="single" w:sz="8" w:space="0" w:color="000000" w:themeColor="text1"/>
            </w:tcBorders>
            <w:shd w:val="clear" w:color="auto" w:fill="auto"/>
            <w:noWrap/>
            <w:vAlign w:val="center"/>
            <w:hideMark/>
          </w:tcPr>
          <w:p w14:paraId="2DC9681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15,563</w:t>
            </w:r>
          </w:p>
        </w:tc>
        <w:tc>
          <w:tcPr>
            <w:tcW w:w="1350" w:type="dxa"/>
            <w:tcBorders>
              <w:left w:val="single" w:sz="8" w:space="0" w:color="000000" w:themeColor="text1"/>
              <w:right w:val="single" w:sz="12" w:space="0" w:color="000000" w:themeColor="text1"/>
            </w:tcBorders>
            <w:shd w:val="clear" w:color="auto" w:fill="auto"/>
            <w:noWrap/>
            <w:vAlign w:val="center"/>
            <w:hideMark/>
          </w:tcPr>
          <w:p w14:paraId="22AA098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8,298</w:t>
            </w:r>
          </w:p>
        </w:tc>
        <w:tc>
          <w:tcPr>
            <w:tcW w:w="1350" w:type="dxa"/>
            <w:tcBorders>
              <w:left w:val="single" w:sz="12" w:space="0" w:color="000000" w:themeColor="text1"/>
            </w:tcBorders>
            <w:shd w:val="clear" w:color="auto" w:fill="auto"/>
            <w:noWrap/>
            <w:vAlign w:val="center"/>
            <w:hideMark/>
          </w:tcPr>
          <w:p w14:paraId="703C401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15,980</w:t>
            </w:r>
          </w:p>
        </w:tc>
        <w:tc>
          <w:tcPr>
            <w:tcW w:w="1350" w:type="dxa"/>
            <w:shd w:val="clear" w:color="auto" w:fill="auto"/>
            <w:noWrap/>
            <w:vAlign w:val="center"/>
            <w:hideMark/>
          </w:tcPr>
          <w:p w14:paraId="5274314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41,622</w:t>
            </w:r>
          </w:p>
        </w:tc>
        <w:tc>
          <w:tcPr>
            <w:tcW w:w="1350" w:type="dxa"/>
            <w:shd w:val="clear" w:color="auto" w:fill="auto"/>
            <w:noWrap/>
            <w:vAlign w:val="center"/>
            <w:hideMark/>
          </w:tcPr>
          <w:p w14:paraId="4E92AF1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32,159</w:t>
            </w:r>
          </w:p>
        </w:tc>
      </w:tr>
      <w:tr w:rsidR="00F303E0" w:rsidRPr="00EE5714" w14:paraId="4E035EC3" w14:textId="77777777" w:rsidTr="00824DBE">
        <w:trPr>
          <w:trHeight w:hRule="exact" w:val="245"/>
        </w:trPr>
        <w:tc>
          <w:tcPr>
            <w:tcW w:w="2070" w:type="dxa"/>
            <w:shd w:val="clear" w:color="auto" w:fill="F2F2F2" w:themeFill="background1" w:themeFillShade="F2"/>
            <w:noWrap/>
            <w:vAlign w:val="center"/>
          </w:tcPr>
          <w:p w14:paraId="5B6F0B0D"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 xml:space="preserve">PECO Electric </w:t>
            </w:r>
          </w:p>
        </w:tc>
        <w:tc>
          <w:tcPr>
            <w:tcW w:w="1170" w:type="dxa"/>
            <w:tcBorders>
              <w:right w:val="single" w:sz="8" w:space="0" w:color="000000" w:themeColor="text1"/>
            </w:tcBorders>
            <w:shd w:val="clear" w:color="auto" w:fill="F2F2F2" w:themeFill="background1" w:themeFillShade="F2"/>
            <w:noWrap/>
            <w:vAlign w:val="center"/>
          </w:tcPr>
          <w:p w14:paraId="4E07DBE5"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8" w:space="0" w:color="000000" w:themeColor="text1"/>
              <w:right w:val="single" w:sz="8" w:space="0" w:color="000000" w:themeColor="text1"/>
            </w:tcBorders>
            <w:shd w:val="clear" w:color="auto" w:fill="F2F2F2" w:themeFill="background1" w:themeFillShade="F2"/>
            <w:noWrap/>
            <w:vAlign w:val="center"/>
          </w:tcPr>
          <w:p w14:paraId="1E8BC8CB"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8" w:space="0" w:color="000000" w:themeColor="text1"/>
              <w:right w:val="single" w:sz="12" w:space="0" w:color="000000" w:themeColor="text1"/>
            </w:tcBorders>
            <w:shd w:val="clear" w:color="auto" w:fill="F2F2F2" w:themeFill="background1" w:themeFillShade="F2"/>
            <w:noWrap/>
            <w:vAlign w:val="center"/>
          </w:tcPr>
          <w:p w14:paraId="73A2DD19"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tcPr>
          <w:p w14:paraId="4A09019E"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tcPr>
          <w:p w14:paraId="568FD5DA"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tcPr>
          <w:p w14:paraId="670BE2A9"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7B01F0FC" w14:textId="77777777" w:rsidTr="00824DBE">
        <w:tblPrEx>
          <w:tblCellMar>
            <w:left w:w="108" w:type="dxa"/>
            <w:right w:w="108" w:type="dxa"/>
          </w:tblCellMar>
        </w:tblPrEx>
        <w:trPr>
          <w:trHeight w:hRule="exact" w:val="245"/>
        </w:trPr>
        <w:tc>
          <w:tcPr>
            <w:tcW w:w="2070" w:type="dxa"/>
            <w:shd w:val="clear" w:color="auto" w:fill="auto"/>
            <w:noWrap/>
            <w:vAlign w:val="center"/>
          </w:tcPr>
          <w:p w14:paraId="725731DC" w14:textId="6976AD0A"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right w:val="single" w:sz="8" w:space="0" w:color="000000" w:themeColor="text1"/>
            </w:tcBorders>
            <w:shd w:val="clear" w:color="auto" w:fill="auto"/>
            <w:noWrap/>
            <w:vAlign w:val="center"/>
          </w:tcPr>
          <w:p w14:paraId="1620A8A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57,305</w:t>
            </w:r>
          </w:p>
        </w:tc>
        <w:tc>
          <w:tcPr>
            <w:tcW w:w="1350" w:type="dxa"/>
            <w:tcBorders>
              <w:left w:val="single" w:sz="8" w:space="0" w:color="000000" w:themeColor="text1"/>
              <w:right w:val="single" w:sz="8" w:space="0" w:color="000000" w:themeColor="text1"/>
            </w:tcBorders>
            <w:shd w:val="clear" w:color="auto" w:fill="auto"/>
            <w:noWrap/>
            <w:vAlign w:val="center"/>
          </w:tcPr>
          <w:p w14:paraId="7DF2DF8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107,370</w:t>
            </w:r>
          </w:p>
        </w:tc>
        <w:tc>
          <w:tcPr>
            <w:tcW w:w="1350" w:type="dxa"/>
            <w:tcBorders>
              <w:left w:val="single" w:sz="8" w:space="0" w:color="000000" w:themeColor="text1"/>
              <w:right w:val="single" w:sz="12" w:space="0" w:color="000000" w:themeColor="text1"/>
            </w:tcBorders>
            <w:shd w:val="clear" w:color="auto" w:fill="auto"/>
            <w:noWrap/>
            <w:vAlign w:val="center"/>
          </w:tcPr>
          <w:p w14:paraId="6975A46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87,174</w:t>
            </w:r>
          </w:p>
        </w:tc>
        <w:tc>
          <w:tcPr>
            <w:tcW w:w="1350" w:type="dxa"/>
            <w:tcBorders>
              <w:left w:val="single" w:sz="12" w:space="0" w:color="000000" w:themeColor="text1"/>
            </w:tcBorders>
            <w:shd w:val="clear" w:color="auto" w:fill="auto"/>
            <w:noWrap/>
            <w:vAlign w:val="center"/>
          </w:tcPr>
          <w:p w14:paraId="6131723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320,905</w:t>
            </w:r>
          </w:p>
        </w:tc>
        <w:tc>
          <w:tcPr>
            <w:tcW w:w="1350" w:type="dxa"/>
            <w:shd w:val="clear" w:color="auto" w:fill="auto"/>
            <w:noWrap/>
            <w:vAlign w:val="center"/>
          </w:tcPr>
          <w:p w14:paraId="40F77D8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634,576</w:t>
            </w:r>
          </w:p>
        </w:tc>
        <w:tc>
          <w:tcPr>
            <w:tcW w:w="1350" w:type="dxa"/>
            <w:shd w:val="clear" w:color="auto" w:fill="auto"/>
            <w:noWrap/>
            <w:vAlign w:val="center"/>
          </w:tcPr>
          <w:p w14:paraId="71984E5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387,979</w:t>
            </w:r>
          </w:p>
        </w:tc>
      </w:tr>
      <w:tr w:rsidR="00F303E0" w:rsidRPr="00EE5714" w14:paraId="65B7CEC6" w14:textId="77777777" w:rsidTr="00824DBE">
        <w:tblPrEx>
          <w:tblCellMar>
            <w:left w:w="108" w:type="dxa"/>
            <w:right w:w="108" w:type="dxa"/>
          </w:tblCellMar>
        </w:tblPrEx>
        <w:trPr>
          <w:trHeight w:hRule="exact" w:val="245"/>
        </w:trPr>
        <w:tc>
          <w:tcPr>
            <w:tcW w:w="2070" w:type="dxa"/>
            <w:shd w:val="clear" w:color="auto" w:fill="auto"/>
            <w:noWrap/>
            <w:vAlign w:val="center"/>
          </w:tcPr>
          <w:p w14:paraId="1486F926"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Bills Paid in Full</w:t>
            </w:r>
          </w:p>
        </w:tc>
        <w:tc>
          <w:tcPr>
            <w:tcW w:w="1170" w:type="dxa"/>
            <w:tcBorders>
              <w:right w:val="single" w:sz="8" w:space="0" w:color="000000" w:themeColor="text1"/>
            </w:tcBorders>
            <w:shd w:val="clear" w:color="auto" w:fill="auto"/>
            <w:noWrap/>
            <w:vAlign w:val="center"/>
          </w:tcPr>
          <w:p w14:paraId="1910D53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30,027</w:t>
            </w:r>
          </w:p>
        </w:tc>
        <w:tc>
          <w:tcPr>
            <w:tcW w:w="1350" w:type="dxa"/>
            <w:tcBorders>
              <w:left w:val="single" w:sz="8" w:space="0" w:color="000000" w:themeColor="text1"/>
              <w:right w:val="single" w:sz="8" w:space="0" w:color="000000" w:themeColor="text1"/>
            </w:tcBorders>
            <w:shd w:val="clear" w:color="auto" w:fill="auto"/>
            <w:noWrap/>
            <w:vAlign w:val="center"/>
          </w:tcPr>
          <w:p w14:paraId="35CF56A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64,737</w:t>
            </w:r>
          </w:p>
        </w:tc>
        <w:tc>
          <w:tcPr>
            <w:tcW w:w="1350" w:type="dxa"/>
            <w:tcBorders>
              <w:left w:val="single" w:sz="8" w:space="0" w:color="000000" w:themeColor="text1"/>
              <w:right w:val="single" w:sz="12" w:space="0" w:color="000000" w:themeColor="text1"/>
            </w:tcBorders>
            <w:shd w:val="clear" w:color="auto" w:fill="auto"/>
            <w:noWrap/>
            <w:vAlign w:val="center"/>
          </w:tcPr>
          <w:p w14:paraId="6E3AF6D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53,484</w:t>
            </w:r>
          </w:p>
        </w:tc>
        <w:tc>
          <w:tcPr>
            <w:tcW w:w="1350" w:type="dxa"/>
            <w:tcBorders>
              <w:left w:val="single" w:sz="12" w:space="0" w:color="000000" w:themeColor="text1"/>
            </w:tcBorders>
            <w:shd w:val="clear" w:color="auto" w:fill="auto"/>
            <w:noWrap/>
            <w:vAlign w:val="center"/>
          </w:tcPr>
          <w:p w14:paraId="671C713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167,905</w:t>
            </w:r>
          </w:p>
        </w:tc>
        <w:tc>
          <w:tcPr>
            <w:tcW w:w="1350" w:type="dxa"/>
            <w:shd w:val="clear" w:color="auto" w:fill="auto"/>
            <w:noWrap/>
            <w:vAlign w:val="center"/>
          </w:tcPr>
          <w:p w14:paraId="4930466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395,153</w:t>
            </w:r>
          </w:p>
        </w:tc>
        <w:tc>
          <w:tcPr>
            <w:tcW w:w="1350" w:type="dxa"/>
            <w:shd w:val="clear" w:color="auto" w:fill="auto"/>
            <w:noWrap/>
            <w:vAlign w:val="center"/>
          </w:tcPr>
          <w:p w14:paraId="5C09240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233,123</w:t>
            </w:r>
          </w:p>
        </w:tc>
      </w:tr>
      <w:tr w:rsidR="00F303E0" w:rsidRPr="00EE5714" w14:paraId="28E17DDF" w14:textId="77777777" w:rsidTr="00824DBE">
        <w:tblPrEx>
          <w:tblCellMar>
            <w:left w:w="108" w:type="dxa"/>
            <w:right w:w="108" w:type="dxa"/>
          </w:tblCellMar>
        </w:tblPrEx>
        <w:trPr>
          <w:trHeight w:hRule="exact" w:val="263"/>
        </w:trPr>
        <w:tc>
          <w:tcPr>
            <w:tcW w:w="2070" w:type="dxa"/>
            <w:shd w:val="clear" w:color="auto" w:fill="F2F2F2" w:themeFill="background1" w:themeFillShade="F2"/>
            <w:noWrap/>
            <w:vAlign w:val="center"/>
            <w:hideMark/>
          </w:tcPr>
          <w:p w14:paraId="57845E8A" w14:textId="77777777" w:rsidR="00F303E0" w:rsidRPr="00EE5714" w:rsidRDefault="00F303E0" w:rsidP="00851815">
            <w:pPr>
              <w:keepNext/>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170" w:type="dxa"/>
            <w:tcBorders>
              <w:right w:val="single" w:sz="8" w:space="0" w:color="000000" w:themeColor="text1"/>
            </w:tcBorders>
            <w:shd w:val="clear" w:color="auto" w:fill="F2F2F2" w:themeFill="background1" w:themeFillShade="F2"/>
            <w:noWrap/>
          </w:tcPr>
          <w:p w14:paraId="0C2BC175"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8" w:space="0" w:color="000000" w:themeColor="text1"/>
              <w:right w:val="single" w:sz="8" w:space="0" w:color="000000" w:themeColor="text1"/>
            </w:tcBorders>
            <w:shd w:val="clear" w:color="auto" w:fill="F2F2F2" w:themeFill="background1" w:themeFillShade="F2"/>
            <w:noWrap/>
          </w:tcPr>
          <w:p w14:paraId="05A95982"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8" w:space="0" w:color="000000" w:themeColor="text1"/>
              <w:right w:val="single" w:sz="12" w:space="0" w:color="000000" w:themeColor="text1"/>
            </w:tcBorders>
            <w:shd w:val="clear" w:color="auto" w:fill="F2F2F2" w:themeFill="background1" w:themeFillShade="F2"/>
            <w:noWrap/>
          </w:tcPr>
          <w:p w14:paraId="4CDB85F3"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tcPr>
          <w:p w14:paraId="1CAE9E2F"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tcPr>
          <w:p w14:paraId="71F741EB"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tcPr>
          <w:p w14:paraId="35A8D433"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1F71E279" w14:textId="77777777" w:rsidTr="00824DBE">
        <w:trPr>
          <w:trHeight w:hRule="exact" w:val="245"/>
        </w:trPr>
        <w:tc>
          <w:tcPr>
            <w:tcW w:w="2070" w:type="dxa"/>
            <w:shd w:val="clear" w:color="auto" w:fill="auto"/>
            <w:noWrap/>
            <w:vAlign w:val="center"/>
            <w:hideMark/>
          </w:tcPr>
          <w:p w14:paraId="6DA6A994" w14:textId="08D94AD4"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right w:val="single" w:sz="8" w:space="0" w:color="000000" w:themeColor="text1"/>
            </w:tcBorders>
            <w:shd w:val="clear" w:color="auto" w:fill="auto"/>
            <w:noWrap/>
            <w:vAlign w:val="center"/>
            <w:hideMark/>
          </w:tcPr>
          <w:p w14:paraId="2DC47D3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6,483</w:t>
            </w:r>
          </w:p>
        </w:tc>
        <w:tc>
          <w:tcPr>
            <w:tcW w:w="1350" w:type="dxa"/>
            <w:tcBorders>
              <w:left w:val="single" w:sz="8" w:space="0" w:color="000000" w:themeColor="text1"/>
              <w:right w:val="single" w:sz="8" w:space="0" w:color="000000" w:themeColor="text1"/>
            </w:tcBorders>
            <w:shd w:val="clear" w:color="auto" w:fill="auto"/>
            <w:noWrap/>
            <w:vAlign w:val="center"/>
            <w:hideMark/>
          </w:tcPr>
          <w:p w14:paraId="66056B5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22,312</w:t>
            </w:r>
          </w:p>
        </w:tc>
        <w:tc>
          <w:tcPr>
            <w:tcW w:w="1350" w:type="dxa"/>
            <w:tcBorders>
              <w:left w:val="single" w:sz="8" w:space="0" w:color="000000" w:themeColor="text1"/>
              <w:right w:val="single" w:sz="12" w:space="0" w:color="000000" w:themeColor="text1"/>
            </w:tcBorders>
            <w:shd w:val="clear" w:color="auto" w:fill="auto"/>
            <w:noWrap/>
            <w:vAlign w:val="center"/>
            <w:hideMark/>
          </w:tcPr>
          <w:p w14:paraId="78F3F52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9,986</w:t>
            </w:r>
          </w:p>
        </w:tc>
        <w:tc>
          <w:tcPr>
            <w:tcW w:w="1350" w:type="dxa"/>
            <w:tcBorders>
              <w:left w:val="single" w:sz="12" w:space="0" w:color="000000" w:themeColor="text1"/>
            </w:tcBorders>
            <w:shd w:val="clear" w:color="auto" w:fill="auto"/>
            <w:noWrap/>
            <w:vAlign w:val="center"/>
            <w:hideMark/>
          </w:tcPr>
          <w:p w14:paraId="4211698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39,445</w:t>
            </w:r>
          </w:p>
        </w:tc>
        <w:tc>
          <w:tcPr>
            <w:tcW w:w="1350" w:type="dxa"/>
            <w:shd w:val="clear" w:color="auto" w:fill="auto"/>
            <w:noWrap/>
            <w:vAlign w:val="center"/>
            <w:hideMark/>
          </w:tcPr>
          <w:p w14:paraId="310A6A7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109,541</w:t>
            </w:r>
          </w:p>
        </w:tc>
        <w:tc>
          <w:tcPr>
            <w:tcW w:w="1350" w:type="dxa"/>
            <w:shd w:val="clear" w:color="auto" w:fill="auto"/>
            <w:noWrap/>
            <w:vAlign w:val="center"/>
            <w:hideMark/>
          </w:tcPr>
          <w:p w14:paraId="77A210F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75,600</w:t>
            </w:r>
          </w:p>
        </w:tc>
      </w:tr>
      <w:tr w:rsidR="00F303E0" w:rsidRPr="00EE5714" w14:paraId="032D3297" w14:textId="77777777" w:rsidTr="00824DBE">
        <w:trPr>
          <w:trHeight w:hRule="exact" w:val="245"/>
        </w:trPr>
        <w:tc>
          <w:tcPr>
            <w:tcW w:w="2070" w:type="dxa"/>
            <w:shd w:val="clear" w:color="auto" w:fill="auto"/>
            <w:noWrap/>
            <w:vAlign w:val="center"/>
            <w:hideMark/>
          </w:tcPr>
          <w:p w14:paraId="6F09F07B"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170" w:type="dxa"/>
            <w:tcBorders>
              <w:right w:val="single" w:sz="8" w:space="0" w:color="000000" w:themeColor="text1"/>
            </w:tcBorders>
            <w:shd w:val="clear" w:color="auto" w:fill="auto"/>
            <w:noWrap/>
            <w:vAlign w:val="center"/>
            <w:hideMark/>
          </w:tcPr>
          <w:p w14:paraId="6B5B852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3,820</w:t>
            </w:r>
          </w:p>
        </w:tc>
        <w:tc>
          <w:tcPr>
            <w:tcW w:w="1350" w:type="dxa"/>
            <w:tcBorders>
              <w:left w:val="single" w:sz="8" w:space="0" w:color="000000" w:themeColor="text1"/>
              <w:right w:val="single" w:sz="8" w:space="0" w:color="000000" w:themeColor="text1"/>
            </w:tcBorders>
            <w:shd w:val="clear" w:color="auto" w:fill="auto"/>
            <w:noWrap/>
            <w:vAlign w:val="center"/>
            <w:hideMark/>
          </w:tcPr>
          <w:p w14:paraId="3111487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14,708</w:t>
            </w:r>
          </w:p>
        </w:tc>
        <w:tc>
          <w:tcPr>
            <w:tcW w:w="1350" w:type="dxa"/>
            <w:tcBorders>
              <w:left w:val="single" w:sz="8" w:space="0" w:color="000000" w:themeColor="text1"/>
              <w:right w:val="single" w:sz="12" w:space="0" w:color="000000" w:themeColor="text1"/>
            </w:tcBorders>
            <w:shd w:val="clear" w:color="auto" w:fill="auto"/>
            <w:noWrap/>
            <w:vAlign w:val="center"/>
            <w:hideMark/>
          </w:tcPr>
          <w:p w14:paraId="7F1703A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6,080</w:t>
            </w:r>
          </w:p>
        </w:tc>
        <w:tc>
          <w:tcPr>
            <w:tcW w:w="1350" w:type="dxa"/>
            <w:tcBorders>
              <w:left w:val="single" w:sz="12" w:space="0" w:color="000000" w:themeColor="text1"/>
            </w:tcBorders>
            <w:shd w:val="clear" w:color="auto" w:fill="auto"/>
            <w:noWrap/>
            <w:vAlign w:val="center"/>
            <w:hideMark/>
          </w:tcPr>
          <w:p w14:paraId="30F5185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23,327</w:t>
            </w:r>
          </w:p>
        </w:tc>
        <w:tc>
          <w:tcPr>
            <w:tcW w:w="1350" w:type="dxa"/>
            <w:shd w:val="clear" w:color="auto" w:fill="auto"/>
            <w:noWrap/>
            <w:vAlign w:val="center"/>
            <w:hideMark/>
          </w:tcPr>
          <w:p w14:paraId="45B4357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78,188</w:t>
            </w:r>
          </w:p>
        </w:tc>
        <w:tc>
          <w:tcPr>
            <w:tcW w:w="1350" w:type="dxa"/>
            <w:shd w:val="clear" w:color="auto" w:fill="auto"/>
            <w:noWrap/>
            <w:vAlign w:val="center"/>
            <w:hideMark/>
          </w:tcPr>
          <w:p w14:paraId="2D752C3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55,390</w:t>
            </w:r>
          </w:p>
        </w:tc>
      </w:tr>
      <w:tr w:rsidR="00F303E0" w:rsidRPr="00EE5714" w14:paraId="6090537F" w14:textId="77777777" w:rsidTr="00824DBE">
        <w:trPr>
          <w:trHeight w:hRule="exact" w:val="245"/>
        </w:trPr>
        <w:tc>
          <w:tcPr>
            <w:tcW w:w="2070" w:type="dxa"/>
            <w:shd w:val="clear" w:color="auto" w:fill="F2F2F2" w:themeFill="background1" w:themeFillShade="F2"/>
            <w:noWrap/>
            <w:vAlign w:val="center"/>
            <w:hideMark/>
          </w:tcPr>
          <w:p w14:paraId="77FA75B6"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170" w:type="dxa"/>
            <w:tcBorders>
              <w:right w:val="single" w:sz="8" w:space="0" w:color="000000" w:themeColor="text1"/>
            </w:tcBorders>
            <w:shd w:val="clear" w:color="auto" w:fill="F2F2F2" w:themeFill="background1" w:themeFillShade="F2"/>
            <w:noWrap/>
            <w:vAlign w:val="center"/>
            <w:hideMark/>
          </w:tcPr>
          <w:p w14:paraId="5E82C36D"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8" w:space="0" w:color="000000" w:themeColor="text1"/>
              <w:right w:val="single" w:sz="8" w:space="0" w:color="000000" w:themeColor="text1"/>
            </w:tcBorders>
            <w:shd w:val="clear" w:color="auto" w:fill="F2F2F2" w:themeFill="background1" w:themeFillShade="F2"/>
            <w:noWrap/>
            <w:vAlign w:val="center"/>
            <w:hideMark/>
          </w:tcPr>
          <w:p w14:paraId="59900430"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8" w:space="0" w:color="000000" w:themeColor="text1"/>
              <w:right w:val="single" w:sz="12" w:space="0" w:color="000000" w:themeColor="text1"/>
            </w:tcBorders>
            <w:shd w:val="clear" w:color="auto" w:fill="F2F2F2" w:themeFill="background1" w:themeFillShade="F2"/>
            <w:noWrap/>
            <w:vAlign w:val="center"/>
            <w:hideMark/>
          </w:tcPr>
          <w:p w14:paraId="04FD8C3E"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0DF9E218"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466375B4"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70A76310"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2C3A92A4" w14:textId="77777777" w:rsidTr="00824DBE">
        <w:trPr>
          <w:trHeight w:hRule="exact" w:val="245"/>
        </w:trPr>
        <w:tc>
          <w:tcPr>
            <w:tcW w:w="2070" w:type="dxa"/>
            <w:shd w:val="clear" w:color="auto" w:fill="auto"/>
            <w:noWrap/>
            <w:vAlign w:val="center"/>
            <w:hideMark/>
          </w:tcPr>
          <w:p w14:paraId="1BE0248D" w14:textId="1318539A"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right w:val="single" w:sz="8" w:space="0" w:color="000000" w:themeColor="text1"/>
            </w:tcBorders>
            <w:shd w:val="clear" w:color="auto" w:fill="auto"/>
            <w:noWrap/>
            <w:vAlign w:val="center"/>
            <w:hideMark/>
          </w:tcPr>
          <w:p w14:paraId="00E700E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1,605</w:t>
            </w:r>
          </w:p>
        </w:tc>
        <w:tc>
          <w:tcPr>
            <w:tcW w:w="1350" w:type="dxa"/>
            <w:tcBorders>
              <w:left w:val="single" w:sz="8" w:space="0" w:color="000000" w:themeColor="text1"/>
              <w:right w:val="single" w:sz="8" w:space="0" w:color="000000" w:themeColor="text1"/>
            </w:tcBorders>
            <w:shd w:val="clear" w:color="auto" w:fill="auto"/>
            <w:noWrap/>
            <w:vAlign w:val="center"/>
            <w:hideMark/>
          </w:tcPr>
          <w:p w14:paraId="391A62E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5,079</w:t>
            </w:r>
          </w:p>
        </w:tc>
        <w:tc>
          <w:tcPr>
            <w:tcW w:w="1350" w:type="dxa"/>
            <w:tcBorders>
              <w:left w:val="single" w:sz="8" w:space="0" w:color="000000" w:themeColor="text1"/>
              <w:right w:val="single" w:sz="12" w:space="0" w:color="000000" w:themeColor="text1"/>
            </w:tcBorders>
            <w:shd w:val="clear" w:color="auto" w:fill="auto"/>
            <w:noWrap/>
            <w:vAlign w:val="center"/>
            <w:hideMark/>
          </w:tcPr>
          <w:p w14:paraId="4452031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2,706</w:t>
            </w:r>
          </w:p>
        </w:tc>
        <w:tc>
          <w:tcPr>
            <w:tcW w:w="1350" w:type="dxa"/>
            <w:tcBorders>
              <w:left w:val="single" w:sz="12" w:space="0" w:color="000000" w:themeColor="text1"/>
            </w:tcBorders>
            <w:shd w:val="clear" w:color="auto" w:fill="auto"/>
            <w:noWrap/>
            <w:vAlign w:val="center"/>
            <w:hideMark/>
          </w:tcPr>
          <w:p w14:paraId="194DDC0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7,743</w:t>
            </w:r>
          </w:p>
        </w:tc>
        <w:tc>
          <w:tcPr>
            <w:tcW w:w="1350" w:type="dxa"/>
            <w:shd w:val="clear" w:color="auto" w:fill="auto"/>
            <w:noWrap/>
            <w:vAlign w:val="center"/>
            <w:hideMark/>
          </w:tcPr>
          <w:p w14:paraId="5AFFD63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22,344</w:t>
            </w:r>
          </w:p>
        </w:tc>
        <w:tc>
          <w:tcPr>
            <w:tcW w:w="1350" w:type="dxa"/>
            <w:shd w:val="clear" w:color="auto" w:fill="auto"/>
            <w:noWrap/>
            <w:vAlign w:val="center"/>
            <w:hideMark/>
          </w:tcPr>
          <w:p w14:paraId="23CA8AC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16,705</w:t>
            </w:r>
          </w:p>
        </w:tc>
      </w:tr>
      <w:tr w:rsidR="00F303E0" w:rsidRPr="00EE5714" w14:paraId="14A45C56" w14:textId="77777777" w:rsidTr="00824DBE">
        <w:trPr>
          <w:trHeight w:hRule="exact" w:val="245"/>
        </w:trPr>
        <w:tc>
          <w:tcPr>
            <w:tcW w:w="2070" w:type="dxa"/>
            <w:shd w:val="clear" w:color="auto" w:fill="auto"/>
            <w:noWrap/>
            <w:vAlign w:val="center"/>
            <w:hideMark/>
          </w:tcPr>
          <w:p w14:paraId="5E1866B5"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170" w:type="dxa"/>
            <w:tcBorders>
              <w:right w:val="single" w:sz="8" w:space="0" w:color="000000" w:themeColor="text1"/>
            </w:tcBorders>
            <w:shd w:val="clear" w:color="auto" w:fill="auto"/>
            <w:noWrap/>
            <w:vAlign w:val="center"/>
            <w:hideMark/>
          </w:tcPr>
          <w:p w14:paraId="6929126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914</w:t>
            </w:r>
          </w:p>
        </w:tc>
        <w:tc>
          <w:tcPr>
            <w:tcW w:w="1350" w:type="dxa"/>
            <w:tcBorders>
              <w:left w:val="single" w:sz="8" w:space="0" w:color="000000" w:themeColor="text1"/>
              <w:right w:val="single" w:sz="8" w:space="0" w:color="000000" w:themeColor="text1"/>
            </w:tcBorders>
            <w:shd w:val="clear" w:color="auto" w:fill="auto"/>
            <w:noWrap/>
            <w:vAlign w:val="center"/>
            <w:hideMark/>
          </w:tcPr>
          <w:p w14:paraId="67B3114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3,328</w:t>
            </w:r>
          </w:p>
        </w:tc>
        <w:tc>
          <w:tcPr>
            <w:tcW w:w="1350" w:type="dxa"/>
            <w:tcBorders>
              <w:left w:val="single" w:sz="8" w:space="0" w:color="000000" w:themeColor="text1"/>
              <w:right w:val="single" w:sz="12" w:space="0" w:color="000000" w:themeColor="text1"/>
            </w:tcBorders>
            <w:shd w:val="clear" w:color="auto" w:fill="auto"/>
            <w:noWrap/>
            <w:vAlign w:val="center"/>
            <w:hideMark/>
          </w:tcPr>
          <w:p w14:paraId="5BAA4B7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1,735</w:t>
            </w:r>
          </w:p>
        </w:tc>
        <w:tc>
          <w:tcPr>
            <w:tcW w:w="1350" w:type="dxa"/>
            <w:tcBorders>
              <w:left w:val="single" w:sz="12" w:space="0" w:color="000000" w:themeColor="text1"/>
            </w:tcBorders>
            <w:shd w:val="clear" w:color="auto" w:fill="auto"/>
            <w:noWrap/>
            <w:vAlign w:val="center"/>
            <w:hideMark/>
          </w:tcPr>
          <w:p w14:paraId="2F1E3EC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4,477</w:t>
            </w:r>
          </w:p>
        </w:tc>
        <w:tc>
          <w:tcPr>
            <w:tcW w:w="1350" w:type="dxa"/>
            <w:shd w:val="clear" w:color="auto" w:fill="auto"/>
            <w:noWrap/>
            <w:vAlign w:val="center"/>
            <w:hideMark/>
          </w:tcPr>
          <w:p w14:paraId="365ACEE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15,588</w:t>
            </w:r>
          </w:p>
        </w:tc>
        <w:tc>
          <w:tcPr>
            <w:tcW w:w="1350" w:type="dxa"/>
            <w:shd w:val="clear" w:color="auto" w:fill="auto"/>
            <w:noWrap/>
            <w:vAlign w:val="center"/>
            <w:hideMark/>
          </w:tcPr>
          <w:p w14:paraId="54C13F4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12,128</w:t>
            </w:r>
          </w:p>
        </w:tc>
      </w:tr>
      <w:tr w:rsidR="00F303E0" w:rsidRPr="00EE5714" w14:paraId="0D4EABC2" w14:textId="77777777" w:rsidTr="00824DBE">
        <w:trPr>
          <w:trHeight w:hRule="exact" w:val="245"/>
        </w:trPr>
        <w:tc>
          <w:tcPr>
            <w:tcW w:w="2070" w:type="dxa"/>
            <w:shd w:val="clear" w:color="auto" w:fill="F2F2F2" w:themeFill="background1" w:themeFillShade="F2"/>
            <w:noWrap/>
            <w:vAlign w:val="center"/>
            <w:hideMark/>
          </w:tcPr>
          <w:p w14:paraId="0076F9CE"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170" w:type="dxa"/>
            <w:tcBorders>
              <w:right w:val="single" w:sz="8" w:space="0" w:color="000000" w:themeColor="text1"/>
            </w:tcBorders>
            <w:shd w:val="clear" w:color="auto" w:fill="F2F2F2" w:themeFill="background1" w:themeFillShade="F2"/>
            <w:noWrap/>
            <w:vAlign w:val="center"/>
            <w:hideMark/>
          </w:tcPr>
          <w:p w14:paraId="6F5A0DE7"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8" w:space="0" w:color="000000" w:themeColor="text1"/>
              <w:right w:val="single" w:sz="8" w:space="0" w:color="000000" w:themeColor="text1"/>
            </w:tcBorders>
            <w:shd w:val="clear" w:color="auto" w:fill="F2F2F2" w:themeFill="background1" w:themeFillShade="F2"/>
            <w:noWrap/>
            <w:vAlign w:val="center"/>
            <w:hideMark/>
          </w:tcPr>
          <w:p w14:paraId="6CD44E5A"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8" w:space="0" w:color="000000" w:themeColor="text1"/>
              <w:right w:val="single" w:sz="12" w:space="0" w:color="000000" w:themeColor="text1"/>
            </w:tcBorders>
            <w:shd w:val="clear" w:color="auto" w:fill="F2F2F2" w:themeFill="background1" w:themeFillShade="F2"/>
            <w:noWrap/>
            <w:vAlign w:val="center"/>
            <w:hideMark/>
          </w:tcPr>
          <w:p w14:paraId="27CECC9B"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438C1E2A"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716E1283"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26C922F4"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0E61C45F" w14:textId="77777777" w:rsidTr="00824DBE">
        <w:trPr>
          <w:trHeight w:hRule="exact" w:val="245"/>
        </w:trPr>
        <w:tc>
          <w:tcPr>
            <w:tcW w:w="2070" w:type="dxa"/>
            <w:shd w:val="clear" w:color="auto" w:fill="auto"/>
            <w:noWrap/>
            <w:vAlign w:val="center"/>
            <w:hideMark/>
          </w:tcPr>
          <w:p w14:paraId="1E1FDF09" w14:textId="274BF158"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right w:val="single" w:sz="8" w:space="0" w:color="000000" w:themeColor="text1"/>
            </w:tcBorders>
            <w:shd w:val="clear" w:color="auto" w:fill="auto"/>
            <w:noWrap/>
            <w:vAlign w:val="center"/>
            <w:hideMark/>
          </w:tcPr>
          <w:p w14:paraId="47BC208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2,996</w:t>
            </w:r>
          </w:p>
        </w:tc>
        <w:tc>
          <w:tcPr>
            <w:tcW w:w="1350" w:type="dxa"/>
            <w:tcBorders>
              <w:left w:val="single" w:sz="8" w:space="0" w:color="000000" w:themeColor="text1"/>
              <w:right w:val="single" w:sz="8" w:space="0" w:color="000000" w:themeColor="text1"/>
            </w:tcBorders>
            <w:shd w:val="clear" w:color="auto" w:fill="auto"/>
            <w:noWrap/>
            <w:vAlign w:val="center"/>
            <w:hideMark/>
          </w:tcPr>
          <w:p w14:paraId="1738C71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8,679</w:t>
            </w:r>
          </w:p>
        </w:tc>
        <w:tc>
          <w:tcPr>
            <w:tcW w:w="1350" w:type="dxa"/>
            <w:tcBorders>
              <w:left w:val="single" w:sz="8" w:space="0" w:color="000000" w:themeColor="text1"/>
              <w:right w:val="single" w:sz="12" w:space="0" w:color="000000" w:themeColor="text1"/>
            </w:tcBorders>
            <w:shd w:val="clear" w:color="auto" w:fill="auto"/>
            <w:noWrap/>
            <w:vAlign w:val="center"/>
            <w:hideMark/>
          </w:tcPr>
          <w:p w14:paraId="783A945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6,645</w:t>
            </w:r>
          </w:p>
        </w:tc>
        <w:tc>
          <w:tcPr>
            <w:tcW w:w="1350" w:type="dxa"/>
            <w:tcBorders>
              <w:left w:val="single" w:sz="12" w:space="0" w:color="000000" w:themeColor="text1"/>
            </w:tcBorders>
            <w:shd w:val="clear" w:color="auto" w:fill="auto"/>
            <w:noWrap/>
            <w:vAlign w:val="center"/>
            <w:hideMark/>
          </w:tcPr>
          <w:p w14:paraId="7A59EFB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4,494</w:t>
            </w:r>
          </w:p>
        </w:tc>
        <w:tc>
          <w:tcPr>
            <w:tcW w:w="1350" w:type="dxa"/>
            <w:shd w:val="clear" w:color="auto" w:fill="auto"/>
            <w:noWrap/>
            <w:vAlign w:val="center"/>
            <w:hideMark/>
          </w:tcPr>
          <w:p w14:paraId="674F754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13,019</w:t>
            </w:r>
          </w:p>
        </w:tc>
        <w:tc>
          <w:tcPr>
            <w:tcW w:w="1350" w:type="dxa"/>
            <w:shd w:val="clear" w:color="auto" w:fill="auto"/>
            <w:noWrap/>
            <w:vAlign w:val="center"/>
            <w:hideMark/>
          </w:tcPr>
          <w:p w14:paraId="6E5357F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9,967</w:t>
            </w:r>
          </w:p>
        </w:tc>
      </w:tr>
      <w:tr w:rsidR="00F303E0" w:rsidRPr="00EE5714" w14:paraId="5DDA4A50" w14:textId="77777777" w:rsidTr="00824DBE">
        <w:trPr>
          <w:trHeight w:hRule="exact" w:val="245"/>
        </w:trPr>
        <w:tc>
          <w:tcPr>
            <w:tcW w:w="2070" w:type="dxa"/>
            <w:shd w:val="clear" w:color="auto" w:fill="auto"/>
            <w:noWrap/>
            <w:vAlign w:val="center"/>
            <w:hideMark/>
          </w:tcPr>
          <w:p w14:paraId="57B721E3"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170" w:type="dxa"/>
            <w:tcBorders>
              <w:right w:val="single" w:sz="8" w:space="0" w:color="000000" w:themeColor="text1"/>
            </w:tcBorders>
            <w:shd w:val="clear" w:color="auto" w:fill="auto"/>
            <w:noWrap/>
            <w:vAlign w:val="center"/>
            <w:hideMark/>
          </w:tcPr>
          <w:p w14:paraId="279BF63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1,938</w:t>
            </w:r>
          </w:p>
        </w:tc>
        <w:tc>
          <w:tcPr>
            <w:tcW w:w="1350" w:type="dxa"/>
            <w:tcBorders>
              <w:left w:val="single" w:sz="8" w:space="0" w:color="000000" w:themeColor="text1"/>
              <w:right w:val="single" w:sz="8" w:space="0" w:color="000000" w:themeColor="text1"/>
            </w:tcBorders>
            <w:shd w:val="clear" w:color="auto" w:fill="auto"/>
            <w:noWrap/>
            <w:vAlign w:val="center"/>
            <w:hideMark/>
          </w:tcPr>
          <w:p w14:paraId="2541029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5,612</w:t>
            </w:r>
          </w:p>
        </w:tc>
        <w:tc>
          <w:tcPr>
            <w:tcW w:w="1350" w:type="dxa"/>
            <w:tcBorders>
              <w:left w:val="single" w:sz="8" w:space="0" w:color="000000" w:themeColor="text1"/>
              <w:right w:val="single" w:sz="12" w:space="0" w:color="000000" w:themeColor="text1"/>
            </w:tcBorders>
            <w:shd w:val="clear" w:color="auto" w:fill="auto"/>
            <w:noWrap/>
            <w:vAlign w:val="center"/>
            <w:hideMark/>
          </w:tcPr>
          <w:p w14:paraId="4A0CD1D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4,294</w:t>
            </w:r>
          </w:p>
        </w:tc>
        <w:tc>
          <w:tcPr>
            <w:tcW w:w="1350" w:type="dxa"/>
            <w:tcBorders>
              <w:left w:val="single" w:sz="12" w:space="0" w:color="000000" w:themeColor="text1"/>
            </w:tcBorders>
            <w:shd w:val="clear" w:color="auto" w:fill="auto"/>
            <w:noWrap/>
            <w:vAlign w:val="center"/>
            <w:hideMark/>
          </w:tcPr>
          <w:p w14:paraId="68DBECE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2,907</w:t>
            </w:r>
          </w:p>
        </w:tc>
        <w:tc>
          <w:tcPr>
            <w:tcW w:w="1350" w:type="dxa"/>
            <w:shd w:val="clear" w:color="auto" w:fill="auto"/>
            <w:noWrap/>
            <w:vAlign w:val="center"/>
            <w:hideMark/>
          </w:tcPr>
          <w:p w14:paraId="581CC0D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8,418</w:t>
            </w:r>
          </w:p>
        </w:tc>
        <w:tc>
          <w:tcPr>
            <w:tcW w:w="1350" w:type="dxa"/>
            <w:shd w:val="clear" w:color="auto" w:fill="auto"/>
            <w:noWrap/>
            <w:vAlign w:val="center"/>
            <w:hideMark/>
          </w:tcPr>
          <w:p w14:paraId="621F17A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6,442</w:t>
            </w:r>
          </w:p>
        </w:tc>
      </w:tr>
      <w:tr w:rsidR="00F303E0" w:rsidRPr="00EE5714" w14:paraId="737BC3DC" w14:textId="77777777" w:rsidTr="00824DBE">
        <w:trPr>
          <w:trHeight w:hRule="exact" w:val="245"/>
        </w:trPr>
        <w:tc>
          <w:tcPr>
            <w:tcW w:w="2070" w:type="dxa"/>
            <w:shd w:val="clear" w:color="auto" w:fill="F2F2F2" w:themeFill="background1" w:themeFillShade="F2"/>
            <w:noWrap/>
            <w:vAlign w:val="center"/>
            <w:hideMark/>
          </w:tcPr>
          <w:p w14:paraId="1A61BC33"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c>
          <w:tcPr>
            <w:tcW w:w="1170" w:type="dxa"/>
            <w:tcBorders>
              <w:right w:val="single" w:sz="8" w:space="0" w:color="000000" w:themeColor="text1"/>
            </w:tcBorders>
            <w:shd w:val="clear" w:color="auto" w:fill="F2F2F2" w:themeFill="background1" w:themeFillShade="F2"/>
            <w:noWrap/>
            <w:vAlign w:val="center"/>
            <w:hideMark/>
          </w:tcPr>
          <w:p w14:paraId="327DC1E7"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8" w:space="0" w:color="000000" w:themeColor="text1"/>
              <w:right w:val="single" w:sz="8" w:space="0" w:color="000000" w:themeColor="text1"/>
            </w:tcBorders>
            <w:shd w:val="clear" w:color="auto" w:fill="F2F2F2" w:themeFill="background1" w:themeFillShade="F2"/>
            <w:noWrap/>
            <w:vAlign w:val="center"/>
            <w:hideMark/>
          </w:tcPr>
          <w:p w14:paraId="1D847870"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8" w:space="0" w:color="000000" w:themeColor="text1"/>
              <w:right w:val="single" w:sz="12" w:space="0" w:color="000000" w:themeColor="text1"/>
            </w:tcBorders>
            <w:shd w:val="clear" w:color="auto" w:fill="F2F2F2" w:themeFill="background1" w:themeFillShade="F2"/>
            <w:noWrap/>
            <w:vAlign w:val="center"/>
            <w:hideMark/>
          </w:tcPr>
          <w:p w14:paraId="7E0D1908" w14:textId="77777777" w:rsidR="00F303E0" w:rsidRPr="00EE5714" w:rsidRDefault="00F303E0" w:rsidP="00851815">
            <w:pPr>
              <w:keepNext/>
              <w:jc w:val="center"/>
              <w:rPr>
                <w:rFonts w:ascii="Calibri" w:eastAsia="Times New Roman" w:hAnsi="Calibri" w:cs="Calibri"/>
                <w:sz w:val="21"/>
                <w:szCs w:val="21"/>
              </w:rPr>
            </w:pPr>
          </w:p>
        </w:tc>
        <w:tc>
          <w:tcPr>
            <w:tcW w:w="1350" w:type="dxa"/>
            <w:tcBorders>
              <w:left w:val="single" w:sz="12" w:space="0" w:color="000000" w:themeColor="text1"/>
            </w:tcBorders>
            <w:shd w:val="clear" w:color="auto" w:fill="F2F2F2" w:themeFill="background1" w:themeFillShade="F2"/>
            <w:noWrap/>
            <w:vAlign w:val="center"/>
            <w:hideMark/>
          </w:tcPr>
          <w:p w14:paraId="57863886"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533346D1" w14:textId="77777777" w:rsidR="00F303E0" w:rsidRPr="00EE5714" w:rsidRDefault="00F303E0" w:rsidP="00851815">
            <w:pPr>
              <w:keepNext/>
              <w:jc w:val="center"/>
              <w:rPr>
                <w:rFonts w:ascii="Calibri" w:eastAsia="Times New Roman" w:hAnsi="Calibri" w:cs="Calibri"/>
                <w:sz w:val="21"/>
                <w:szCs w:val="21"/>
              </w:rPr>
            </w:pPr>
          </w:p>
        </w:tc>
        <w:tc>
          <w:tcPr>
            <w:tcW w:w="1350" w:type="dxa"/>
            <w:shd w:val="clear" w:color="auto" w:fill="F2F2F2" w:themeFill="background1" w:themeFillShade="F2"/>
            <w:noWrap/>
            <w:vAlign w:val="center"/>
            <w:hideMark/>
          </w:tcPr>
          <w:p w14:paraId="7130AD78"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3431F44A" w14:textId="77777777" w:rsidTr="00824DBE">
        <w:trPr>
          <w:trHeight w:hRule="exact" w:val="245"/>
        </w:trPr>
        <w:tc>
          <w:tcPr>
            <w:tcW w:w="2070" w:type="dxa"/>
            <w:shd w:val="clear" w:color="auto" w:fill="auto"/>
            <w:noWrap/>
            <w:vAlign w:val="center"/>
            <w:hideMark/>
          </w:tcPr>
          <w:p w14:paraId="6E15C515" w14:textId="277691DD"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right w:val="single" w:sz="8" w:space="0" w:color="000000" w:themeColor="text1"/>
            </w:tcBorders>
            <w:shd w:val="clear" w:color="auto" w:fill="auto"/>
            <w:noWrap/>
            <w:vAlign w:val="center"/>
            <w:hideMark/>
          </w:tcPr>
          <w:p w14:paraId="5436A1B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12,887</w:t>
            </w:r>
          </w:p>
        </w:tc>
        <w:tc>
          <w:tcPr>
            <w:tcW w:w="1350" w:type="dxa"/>
            <w:tcBorders>
              <w:left w:val="single" w:sz="8" w:space="0" w:color="000000" w:themeColor="text1"/>
              <w:right w:val="single" w:sz="8" w:space="0" w:color="000000" w:themeColor="text1"/>
            </w:tcBorders>
            <w:shd w:val="clear" w:color="auto" w:fill="auto"/>
            <w:noWrap/>
            <w:vAlign w:val="center"/>
            <w:hideMark/>
          </w:tcPr>
          <w:p w14:paraId="4EE63F9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31,842</w:t>
            </w:r>
          </w:p>
        </w:tc>
        <w:tc>
          <w:tcPr>
            <w:tcW w:w="1350" w:type="dxa"/>
            <w:tcBorders>
              <w:left w:val="single" w:sz="8" w:space="0" w:color="000000" w:themeColor="text1"/>
              <w:right w:val="single" w:sz="12" w:space="0" w:color="000000" w:themeColor="text1"/>
            </w:tcBorders>
            <w:shd w:val="clear" w:color="auto" w:fill="auto"/>
            <w:noWrap/>
            <w:vAlign w:val="center"/>
            <w:hideMark/>
          </w:tcPr>
          <w:p w14:paraId="722295D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20,191</w:t>
            </w:r>
          </w:p>
        </w:tc>
        <w:tc>
          <w:tcPr>
            <w:tcW w:w="1350" w:type="dxa"/>
            <w:tcBorders>
              <w:left w:val="single" w:sz="12" w:space="0" w:color="000000" w:themeColor="text1"/>
            </w:tcBorders>
            <w:shd w:val="clear" w:color="auto" w:fill="auto"/>
            <w:noWrap/>
            <w:vAlign w:val="center"/>
            <w:hideMark/>
          </w:tcPr>
          <w:p w14:paraId="33DA467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48,995</w:t>
            </w:r>
          </w:p>
        </w:tc>
        <w:tc>
          <w:tcPr>
            <w:tcW w:w="1350" w:type="dxa"/>
            <w:shd w:val="clear" w:color="auto" w:fill="auto"/>
            <w:noWrap/>
            <w:vAlign w:val="center"/>
            <w:hideMark/>
          </w:tcPr>
          <w:p w14:paraId="57CE57D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95,651</w:t>
            </w:r>
          </w:p>
        </w:tc>
        <w:tc>
          <w:tcPr>
            <w:tcW w:w="1350" w:type="dxa"/>
            <w:shd w:val="clear" w:color="auto" w:fill="auto"/>
            <w:noWrap/>
            <w:vAlign w:val="center"/>
            <w:hideMark/>
          </w:tcPr>
          <w:p w14:paraId="220BA7D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65,519</w:t>
            </w:r>
          </w:p>
        </w:tc>
      </w:tr>
      <w:tr w:rsidR="00F303E0" w:rsidRPr="00EE5714" w14:paraId="7C1C2503" w14:textId="77777777" w:rsidTr="00824DBE">
        <w:trPr>
          <w:trHeight w:hRule="exact" w:val="245"/>
        </w:trPr>
        <w:tc>
          <w:tcPr>
            <w:tcW w:w="2070" w:type="dxa"/>
            <w:shd w:val="clear" w:color="auto" w:fill="auto"/>
            <w:noWrap/>
            <w:vAlign w:val="center"/>
            <w:hideMark/>
          </w:tcPr>
          <w:p w14:paraId="7B757BEB" w14:textId="77777777" w:rsidR="00F303E0" w:rsidRPr="00EE5714" w:rsidRDefault="00F303E0" w:rsidP="00851815">
            <w:pPr>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170" w:type="dxa"/>
            <w:tcBorders>
              <w:bottom w:val="single" w:sz="8" w:space="0" w:color="000000" w:themeColor="text1"/>
              <w:right w:val="single" w:sz="8" w:space="0" w:color="000000" w:themeColor="text1"/>
            </w:tcBorders>
            <w:shd w:val="clear" w:color="auto" w:fill="auto"/>
            <w:noWrap/>
            <w:vAlign w:val="center"/>
            <w:hideMark/>
          </w:tcPr>
          <w:p w14:paraId="651FD9AF"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5,809</w:t>
            </w:r>
          </w:p>
        </w:tc>
        <w:tc>
          <w:tcPr>
            <w:tcW w:w="1350" w:type="dxa"/>
            <w:tcBorders>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11EEFD65"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14,531</w:t>
            </w:r>
          </w:p>
        </w:tc>
        <w:tc>
          <w:tcPr>
            <w:tcW w:w="1350" w:type="dxa"/>
            <w:tcBorders>
              <w:left w:val="single" w:sz="8" w:space="0" w:color="000000" w:themeColor="text1"/>
              <w:bottom w:val="single" w:sz="8" w:space="0" w:color="000000" w:themeColor="text1"/>
              <w:right w:val="single" w:sz="12" w:space="0" w:color="000000" w:themeColor="text1"/>
            </w:tcBorders>
            <w:shd w:val="clear" w:color="auto" w:fill="auto"/>
            <w:noWrap/>
            <w:vAlign w:val="center"/>
            <w:hideMark/>
          </w:tcPr>
          <w:p w14:paraId="187BD7F9"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9,156</w:t>
            </w:r>
          </w:p>
        </w:tc>
        <w:tc>
          <w:tcPr>
            <w:tcW w:w="1350" w:type="dxa"/>
            <w:tcBorders>
              <w:left w:val="single" w:sz="12" w:space="0" w:color="000000" w:themeColor="text1"/>
              <w:bottom w:val="single" w:sz="8" w:space="0" w:color="000000" w:themeColor="text1"/>
            </w:tcBorders>
            <w:shd w:val="clear" w:color="auto" w:fill="auto"/>
            <w:noWrap/>
            <w:vAlign w:val="center"/>
            <w:hideMark/>
          </w:tcPr>
          <w:p w14:paraId="62191B7C"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20,040</w:t>
            </w:r>
          </w:p>
        </w:tc>
        <w:tc>
          <w:tcPr>
            <w:tcW w:w="1350" w:type="dxa"/>
            <w:tcBorders>
              <w:bottom w:val="single" w:sz="8" w:space="0" w:color="000000" w:themeColor="text1"/>
            </w:tcBorders>
            <w:shd w:val="clear" w:color="auto" w:fill="auto"/>
            <w:noWrap/>
            <w:vAlign w:val="center"/>
            <w:hideMark/>
          </w:tcPr>
          <w:p w14:paraId="78404E71"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42,699</w:t>
            </w:r>
          </w:p>
        </w:tc>
        <w:tc>
          <w:tcPr>
            <w:tcW w:w="1350" w:type="dxa"/>
            <w:tcBorders>
              <w:bottom w:val="single" w:sz="8" w:space="0" w:color="000000" w:themeColor="text1"/>
            </w:tcBorders>
            <w:shd w:val="clear" w:color="auto" w:fill="auto"/>
            <w:noWrap/>
            <w:vAlign w:val="center"/>
            <w:hideMark/>
          </w:tcPr>
          <w:p w14:paraId="560E428E"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27,631</w:t>
            </w:r>
          </w:p>
        </w:tc>
      </w:tr>
    </w:tbl>
    <w:p w14:paraId="5EC4E5B7" w14:textId="77777777" w:rsidR="00F303E0" w:rsidRPr="00EE5714" w:rsidRDefault="00F303E0" w:rsidP="00F303E0">
      <w:pPr>
        <w:pStyle w:val="NoSpacing"/>
        <w:rPr>
          <w:rFonts w:cs="Times New Roman"/>
          <w:szCs w:val="26"/>
        </w:rPr>
      </w:pPr>
    </w:p>
    <w:p w14:paraId="42AD809C" w14:textId="77777777" w:rsidR="00F303E0" w:rsidRPr="00EE5714" w:rsidRDefault="00F303E0" w:rsidP="00F303E0">
      <w:pPr>
        <w:pStyle w:val="NoSpacing"/>
        <w:rPr>
          <w:rFonts w:cs="Times New Roman"/>
          <w:szCs w:val="26"/>
        </w:rPr>
      </w:pPr>
    </w:p>
    <w:p w14:paraId="152BC66D" w14:textId="77777777" w:rsidR="00F303E0" w:rsidRPr="00EE5714" w:rsidRDefault="003E499A" w:rsidP="00F303E0">
      <w:pPr>
        <w:pStyle w:val="NoSpacing"/>
        <w:keepNext/>
        <w:rPr>
          <w:rFonts w:cs="Times New Roman"/>
          <w:szCs w:val="26"/>
        </w:rPr>
      </w:pPr>
      <w:r w:rsidRPr="00EE5714">
        <w:rPr>
          <w:rFonts w:cs="Times New Roman"/>
          <w:szCs w:val="26"/>
        </w:rPr>
        <w:lastRenderedPageBreak/>
        <w:t>Appendix 5</w:t>
      </w:r>
      <w:r w:rsidR="00F303E0" w:rsidRPr="00EE5714">
        <w:rPr>
          <w:rFonts w:cs="Times New Roman"/>
          <w:szCs w:val="26"/>
        </w:rPr>
        <w:t>.D.5: CAP Electric Number of Bills Paid in Full</w:t>
      </w:r>
    </w:p>
    <w:tbl>
      <w:tblPr>
        <w:tblW w:w="9990" w:type="dxa"/>
        <w:tblInd w:w="-370" w:type="dxa"/>
        <w:tblLayout w:type="fixed"/>
        <w:tblLook w:val="04A0" w:firstRow="1" w:lastRow="0" w:firstColumn="1" w:lastColumn="0" w:noHBand="0" w:noVBand="1"/>
      </w:tblPr>
      <w:tblGrid>
        <w:gridCol w:w="2070"/>
        <w:gridCol w:w="1170"/>
        <w:gridCol w:w="1350"/>
        <w:gridCol w:w="1350"/>
        <w:gridCol w:w="1350"/>
        <w:gridCol w:w="1350"/>
        <w:gridCol w:w="1350"/>
      </w:tblGrid>
      <w:tr w:rsidR="00F303E0" w:rsidRPr="00EE5714" w14:paraId="6EDB71A3" w14:textId="77777777" w:rsidTr="0044534E">
        <w:trPr>
          <w:trHeight w:val="432"/>
        </w:trPr>
        <w:tc>
          <w:tcPr>
            <w:tcW w:w="2070" w:type="dxa"/>
            <w:vMerge w:val="restart"/>
            <w:tcBorders>
              <w:top w:val="single" w:sz="8" w:space="0" w:color="000000" w:themeColor="text1"/>
              <w:left w:val="single" w:sz="4" w:space="0" w:color="auto"/>
              <w:right w:val="single" w:sz="4" w:space="0" w:color="auto"/>
            </w:tcBorders>
            <w:shd w:val="clear" w:color="auto" w:fill="auto"/>
            <w:noWrap/>
            <w:vAlign w:val="center"/>
            <w:hideMark/>
          </w:tcPr>
          <w:p w14:paraId="4B6810B3" w14:textId="77777777" w:rsidR="00F303E0" w:rsidRPr="00EE5714" w:rsidRDefault="00F303E0" w:rsidP="00851815">
            <w:pPr>
              <w:keepNext/>
              <w:jc w:val="center"/>
              <w:rPr>
                <w:rFonts w:ascii="Calibri" w:eastAsia="Times New Roman" w:hAnsi="Calibri" w:cs="Calibri"/>
                <w:b/>
                <w:bCs/>
                <w:color w:val="000000"/>
                <w:szCs w:val="24"/>
              </w:rPr>
            </w:pPr>
            <w:bookmarkStart w:id="69" w:name="_Hlk525810983"/>
            <w:r w:rsidRPr="00EE5714">
              <w:rPr>
                <w:rFonts w:ascii="Calibri" w:eastAsia="Times New Roman" w:hAnsi="Calibri" w:cs="Calibri"/>
                <w:b/>
                <w:bCs/>
                <w:color w:val="000000"/>
                <w:szCs w:val="24"/>
              </w:rPr>
              <w:t>2016</w:t>
            </w:r>
          </w:p>
        </w:tc>
        <w:tc>
          <w:tcPr>
            <w:tcW w:w="3870" w:type="dxa"/>
            <w:gridSpan w:val="3"/>
            <w:tcBorders>
              <w:top w:val="single" w:sz="8" w:space="0" w:color="000000" w:themeColor="text1"/>
              <w:left w:val="single" w:sz="4" w:space="0" w:color="auto"/>
              <w:bottom w:val="single" w:sz="4" w:space="0" w:color="000000" w:themeColor="text1"/>
              <w:right w:val="single" w:sz="12" w:space="0" w:color="000000" w:themeColor="text1"/>
            </w:tcBorders>
            <w:shd w:val="clear" w:color="auto" w:fill="D9D9D9" w:themeFill="background1" w:themeFillShade="D9"/>
            <w:noWrap/>
            <w:vAlign w:val="bottom"/>
            <w:hideMark/>
          </w:tcPr>
          <w:p w14:paraId="72557958"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CAP Heating Accounts</w:t>
            </w:r>
          </w:p>
          <w:p w14:paraId="541D0866" w14:textId="0AC69D69"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Bills </w:t>
            </w:r>
            <w:r w:rsidR="00923EA8" w:rsidRPr="00EE5714">
              <w:rPr>
                <w:rFonts w:ascii="Calibri" w:eastAsia="Times New Roman" w:hAnsi="Calibri" w:cs="Calibri"/>
                <w:b/>
                <w:bCs/>
                <w:color w:val="000000"/>
              </w:rPr>
              <w:t>Issued</w:t>
            </w:r>
            <w:r w:rsidRPr="00EE5714">
              <w:rPr>
                <w:rFonts w:ascii="Calibri" w:eastAsia="Times New Roman" w:hAnsi="Calibri" w:cs="Calibri"/>
                <w:b/>
                <w:bCs/>
                <w:color w:val="000000"/>
              </w:rPr>
              <w:t xml:space="preserve"> and Paid In-Full</w:t>
            </w:r>
          </w:p>
        </w:tc>
        <w:tc>
          <w:tcPr>
            <w:tcW w:w="4050" w:type="dxa"/>
            <w:gridSpan w:val="3"/>
            <w:tcBorders>
              <w:top w:val="single" w:sz="8" w:space="0" w:color="000000" w:themeColor="text1"/>
              <w:left w:val="single" w:sz="12" w:space="0" w:color="000000" w:themeColor="text1"/>
              <w:bottom w:val="single" w:sz="4" w:space="0" w:color="000000" w:themeColor="text1"/>
              <w:right w:val="single" w:sz="8" w:space="0" w:color="000000" w:themeColor="text1"/>
            </w:tcBorders>
            <w:shd w:val="clear" w:color="auto" w:fill="D9D9D9" w:themeFill="background1" w:themeFillShade="D9"/>
            <w:noWrap/>
            <w:vAlign w:val="bottom"/>
            <w:hideMark/>
          </w:tcPr>
          <w:p w14:paraId="78D80C64"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CAP Non-Heating Accounts</w:t>
            </w:r>
          </w:p>
          <w:p w14:paraId="13604248"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Number of Bills Paid In-Full</w:t>
            </w:r>
          </w:p>
        </w:tc>
      </w:tr>
      <w:tr w:rsidR="00F303E0" w:rsidRPr="00EE5714" w14:paraId="29DBA4B3" w14:textId="77777777" w:rsidTr="0044534E">
        <w:trPr>
          <w:trHeight w:val="72"/>
        </w:trPr>
        <w:tc>
          <w:tcPr>
            <w:tcW w:w="2070" w:type="dxa"/>
            <w:vMerge/>
            <w:tcBorders>
              <w:left w:val="single" w:sz="4" w:space="0" w:color="auto"/>
              <w:right w:val="single" w:sz="4" w:space="0" w:color="auto"/>
            </w:tcBorders>
            <w:shd w:val="clear" w:color="auto" w:fill="auto"/>
            <w:noWrap/>
            <w:vAlign w:val="bottom"/>
            <w:hideMark/>
          </w:tcPr>
          <w:p w14:paraId="73A35DDE" w14:textId="77777777" w:rsidR="00F303E0" w:rsidRPr="00EE5714" w:rsidRDefault="00F303E0" w:rsidP="00851815">
            <w:pPr>
              <w:keepNext/>
              <w:rPr>
                <w:rFonts w:ascii="Calibri" w:eastAsia="Times New Roman" w:hAnsi="Calibri" w:cs="Calibri"/>
                <w:b/>
                <w:bCs/>
                <w:color w:val="000000"/>
                <w:sz w:val="20"/>
                <w:szCs w:val="20"/>
              </w:rPr>
            </w:pPr>
          </w:p>
        </w:tc>
        <w:tc>
          <w:tcPr>
            <w:tcW w:w="1170" w:type="dxa"/>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5D54FDF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 FPIG</w:t>
            </w:r>
          </w:p>
        </w:tc>
        <w:tc>
          <w:tcPr>
            <w:tcW w:w="1350" w:type="dxa"/>
            <w:tcBorders>
              <w:top w:val="nil"/>
              <w:left w:val="nil"/>
              <w:bottom w:val="single" w:sz="4" w:space="0" w:color="000000" w:themeColor="text1"/>
              <w:right w:val="single" w:sz="4" w:space="0" w:color="000000" w:themeColor="text1"/>
            </w:tcBorders>
            <w:shd w:val="clear" w:color="auto" w:fill="auto"/>
            <w:noWrap/>
            <w:vAlign w:val="bottom"/>
            <w:hideMark/>
          </w:tcPr>
          <w:p w14:paraId="209FD15D"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 FPIG</w:t>
            </w:r>
          </w:p>
        </w:tc>
        <w:tc>
          <w:tcPr>
            <w:tcW w:w="1350" w:type="dxa"/>
            <w:tcBorders>
              <w:top w:val="nil"/>
              <w:left w:val="nil"/>
              <w:bottom w:val="single" w:sz="4" w:space="0" w:color="000000" w:themeColor="text1"/>
              <w:right w:val="single" w:sz="12" w:space="0" w:color="000000" w:themeColor="text1"/>
            </w:tcBorders>
            <w:shd w:val="clear" w:color="auto" w:fill="auto"/>
            <w:noWrap/>
            <w:vAlign w:val="bottom"/>
            <w:hideMark/>
          </w:tcPr>
          <w:p w14:paraId="2E2F8E1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 FPIG</w:t>
            </w:r>
          </w:p>
        </w:tc>
        <w:tc>
          <w:tcPr>
            <w:tcW w:w="1350"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bottom"/>
            <w:hideMark/>
          </w:tcPr>
          <w:p w14:paraId="716ACFC2"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50% FPIG</w:t>
            </w:r>
          </w:p>
        </w:tc>
        <w:tc>
          <w:tcPr>
            <w:tcW w:w="1350" w:type="dxa"/>
            <w:tcBorders>
              <w:top w:val="nil"/>
              <w:left w:val="nil"/>
              <w:bottom w:val="single" w:sz="4" w:space="0" w:color="000000" w:themeColor="text1"/>
              <w:right w:val="single" w:sz="4" w:space="0" w:color="000000" w:themeColor="text1"/>
            </w:tcBorders>
            <w:shd w:val="clear" w:color="auto" w:fill="auto"/>
            <w:noWrap/>
            <w:vAlign w:val="bottom"/>
            <w:hideMark/>
          </w:tcPr>
          <w:p w14:paraId="29B149A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100% FPIG</w:t>
            </w:r>
          </w:p>
        </w:tc>
        <w:tc>
          <w:tcPr>
            <w:tcW w:w="1350" w:type="dxa"/>
            <w:tcBorders>
              <w:top w:val="nil"/>
              <w:left w:val="nil"/>
              <w:bottom w:val="single" w:sz="4" w:space="0" w:color="000000" w:themeColor="text1"/>
              <w:right w:val="single" w:sz="8" w:space="0" w:color="000000" w:themeColor="text1"/>
            </w:tcBorders>
            <w:shd w:val="clear" w:color="auto" w:fill="auto"/>
            <w:noWrap/>
            <w:vAlign w:val="bottom"/>
            <w:hideMark/>
          </w:tcPr>
          <w:p w14:paraId="11634F0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150% FPIG</w:t>
            </w:r>
          </w:p>
        </w:tc>
      </w:tr>
      <w:tr w:rsidR="00F303E0" w:rsidRPr="00EE5714" w14:paraId="1A6E7688"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6A4A22BE"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3923CA4F"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2D151922"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2F2F2" w:themeFill="background1" w:themeFillShade="F2"/>
            <w:noWrap/>
            <w:vAlign w:val="center"/>
            <w:hideMark/>
          </w:tcPr>
          <w:p w14:paraId="1D71FE6D"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393A639B"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100BFA24" w14:textId="77777777" w:rsidR="00F303E0" w:rsidRPr="00EE5714" w:rsidRDefault="00F303E0" w:rsidP="00851815">
            <w:pPr>
              <w:keepNext/>
              <w:jc w:val="center"/>
              <w:rPr>
                <w:rFonts w:ascii="Calibri" w:eastAsia="Times New Roman" w:hAnsi="Calibri" w:cs="Calibri"/>
                <w:color w:val="000000"/>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F2F2F2" w:themeFill="background1" w:themeFillShade="F2"/>
            <w:noWrap/>
            <w:vAlign w:val="center"/>
            <w:hideMark/>
          </w:tcPr>
          <w:p w14:paraId="3687FFD6" w14:textId="77777777" w:rsidR="00F303E0" w:rsidRPr="00EE5714" w:rsidRDefault="00F303E0" w:rsidP="00851815">
            <w:pPr>
              <w:keepNext/>
              <w:jc w:val="center"/>
              <w:rPr>
                <w:rFonts w:ascii="Calibri" w:eastAsia="Times New Roman" w:hAnsi="Calibri" w:cs="Calibri"/>
                <w:color w:val="000000"/>
                <w:sz w:val="21"/>
                <w:szCs w:val="21"/>
              </w:rPr>
            </w:pPr>
          </w:p>
        </w:tc>
      </w:tr>
      <w:tr w:rsidR="00F303E0" w:rsidRPr="00EE5714" w14:paraId="547A4CCA"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hideMark/>
          </w:tcPr>
          <w:p w14:paraId="1AC60551" w14:textId="00917B9F"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9C6B9F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10,770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7D8DB6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27,806</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hideMark/>
          </w:tcPr>
          <w:p w14:paraId="75669BE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15,570</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hideMark/>
          </w:tcPr>
          <w:p w14:paraId="7C777BF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121,892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EDC134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201,209</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hideMark/>
          </w:tcPr>
          <w:p w14:paraId="2BDCE64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104,890</w:t>
            </w:r>
          </w:p>
        </w:tc>
      </w:tr>
      <w:tr w:rsidR="00F303E0" w:rsidRPr="00EE5714" w14:paraId="3DB29C88"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hideMark/>
          </w:tcPr>
          <w:p w14:paraId="72E0C0EA"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355C18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2,897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BEF117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13,006</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hideMark/>
          </w:tcPr>
          <w:p w14:paraId="1D7DFAD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8,355</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hideMark/>
          </w:tcPr>
          <w:p w14:paraId="050DDB3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33,948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F9F61C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87,547</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hideMark/>
          </w:tcPr>
          <w:p w14:paraId="20782F1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48,924</w:t>
            </w:r>
          </w:p>
        </w:tc>
      </w:tr>
      <w:tr w:rsidR="00F303E0" w:rsidRPr="00EE5714" w14:paraId="3A3AB88C"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082BE2D4"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16A99531"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02CD38CB"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2F2F2" w:themeFill="background1" w:themeFillShade="F2"/>
            <w:noWrap/>
            <w:vAlign w:val="center"/>
            <w:hideMark/>
          </w:tcPr>
          <w:p w14:paraId="16087BDF"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5E84CF5D"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2813F9DB"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F2F2F2" w:themeFill="background1" w:themeFillShade="F2"/>
            <w:noWrap/>
            <w:vAlign w:val="center"/>
            <w:hideMark/>
          </w:tcPr>
          <w:p w14:paraId="2164FC96"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0B02710D"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hideMark/>
          </w:tcPr>
          <w:p w14:paraId="79C69338" w14:textId="68403842"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20ACCA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10,583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35AA9B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25,101</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hideMark/>
          </w:tcPr>
          <w:p w14:paraId="482EADE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14,298</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hideMark/>
          </w:tcPr>
          <w:p w14:paraId="41D21C2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25,758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48F0EF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57,689</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hideMark/>
          </w:tcPr>
          <w:p w14:paraId="6F3CCFF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44,705</w:t>
            </w:r>
          </w:p>
        </w:tc>
      </w:tr>
      <w:tr w:rsidR="00F303E0" w:rsidRPr="00EE5714" w14:paraId="6C0E2853"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hideMark/>
          </w:tcPr>
          <w:p w14:paraId="77B7B631"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DD5780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6,076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16A72B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15,157</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hideMark/>
          </w:tcPr>
          <w:p w14:paraId="4BBEDB7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8,302</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hideMark/>
          </w:tcPr>
          <w:p w14:paraId="73F59AD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16,316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04363E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40,492</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hideMark/>
          </w:tcPr>
          <w:p w14:paraId="245BAD2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31,785</w:t>
            </w:r>
          </w:p>
        </w:tc>
      </w:tr>
      <w:tr w:rsidR="00F303E0" w:rsidRPr="00EE5714" w14:paraId="662DAC6F"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2DE7B8"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Electric</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1F6984"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1FC78C"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2F2F2" w:themeFill="background1" w:themeFillShade="F2"/>
            <w:noWrap/>
            <w:vAlign w:val="center"/>
          </w:tcPr>
          <w:p w14:paraId="1836EA21"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C0A42C"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66EE99"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F2F2F2" w:themeFill="background1" w:themeFillShade="F2"/>
            <w:noWrap/>
            <w:vAlign w:val="center"/>
          </w:tcPr>
          <w:p w14:paraId="31DC296B"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561A8790"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tcPr>
          <w:p w14:paraId="013D11DE" w14:textId="02BB3058"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EE3289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57,230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B98485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107,807</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tcPr>
          <w:p w14:paraId="6C1C657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93,388</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tcPr>
          <w:p w14:paraId="186D9AB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203,232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FD4AF0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407,344</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tcPr>
          <w:p w14:paraId="5D4C606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57,230</w:t>
            </w:r>
          </w:p>
        </w:tc>
      </w:tr>
      <w:tr w:rsidR="00F303E0" w:rsidRPr="00EE5714" w14:paraId="6096C9BD"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tcPr>
          <w:p w14:paraId="52CF71BC"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color w:val="000000"/>
                <w:sz w:val="21"/>
                <w:szCs w:val="21"/>
              </w:rPr>
              <w:t>Bills Paid in Full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B4B0BA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32,433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90A845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69,152</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tcPr>
          <w:p w14:paraId="73830D6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59,911</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tcPr>
          <w:p w14:paraId="05A75EC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112,881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0EAB64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266,429</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tcPr>
          <w:p w14:paraId="47609DE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32,433</w:t>
            </w:r>
          </w:p>
        </w:tc>
      </w:tr>
      <w:tr w:rsidR="00F303E0" w:rsidRPr="00EE5714" w14:paraId="7F30C59D"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13C631A7" w14:textId="77777777" w:rsidR="00F303E0" w:rsidRPr="00EE5714" w:rsidRDefault="00F303E0" w:rsidP="00851815">
            <w:pPr>
              <w:keepNext/>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356B8CEA"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7A09BE27"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2F2F2" w:themeFill="background1" w:themeFillShade="F2"/>
            <w:noWrap/>
            <w:vAlign w:val="center"/>
            <w:hideMark/>
          </w:tcPr>
          <w:p w14:paraId="62D0D381"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004EE717"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6E040E0E"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F2F2F2" w:themeFill="background1" w:themeFillShade="F2"/>
            <w:noWrap/>
            <w:vAlign w:val="center"/>
            <w:hideMark/>
          </w:tcPr>
          <w:p w14:paraId="2C9C31D7"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4D5DC31A"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hideMark/>
          </w:tcPr>
          <w:p w14:paraId="0D1A274D" w14:textId="623A624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F6273D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6,854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F02C1C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22,842</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hideMark/>
          </w:tcPr>
          <w:p w14:paraId="67D1558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10,324</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hideMark/>
          </w:tcPr>
          <w:p w14:paraId="64CBBCA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37,574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711B9A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106,106</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hideMark/>
          </w:tcPr>
          <w:p w14:paraId="7E0CD53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72,655</w:t>
            </w:r>
          </w:p>
        </w:tc>
      </w:tr>
      <w:tr w:rsidR="00F303E0" w:rsidRPr="00EE5714" w14:paraId="54D031FD"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hideMark/>
          </w:tcPr>
          <w:p w14:paraId="2112A7F8"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3C2A1A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3,938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CC10F6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15,337</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hideMark/>
          </w:tcPr>
          <w:p w14:paraId="557822E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6,558</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hideMark/>
          </w:tcPr>
          <w:p w14:paraId="7CDEEA6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23,121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ED2608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77,723</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hideMark/>
          </w:tcPr>
          <w:p w14:paraId="37CD29F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53,920</w:t>
            </w:r>
          </w:p>
        </w:tc>
      </w:tr>
      <w:tr w:rsidR="00F303E0" w:rsidRPr="00EE5714" w14:paraId="673C1F9D"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521A8C67"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5F892EEC"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2CD9F5F8"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2F2F2" w:themeFill="background1" w:themeFillShade="F2"/>
            <w:noWrap/>
            <w:vAlign w:val="center"/>
            <w:hideMark/>
          </w:tcPr>
          <w:p w14:paraId="40BDE397"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4FD0F00C"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1D95CE2F"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F2F2F2" w:themeFill="background1" w:themeFillShade="F2"/>
            <w:noWrap/>
            <w:vAlign w:val="center"/>
            <w:hideMark/>
          </w:tcPr>
          <w:p w14:paraId="1713A20A"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00DD3278"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hideMark/>
          </w:tcPr>
          <w:p w14:paraId="0895BCE7" w14:textId="74D9347B"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37CAED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2,213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14CBF3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5,208</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hideMark/>
          </w:tcPr>
          <w:p w14:paraId="485112C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3,038</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hideMark/>
          </w:tcPr>
          <w:p w14:paraId="694A15B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6,824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A2EE00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20,822</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hideMark/>
          </w:tcPr>
          <w:p w14:paraId="53550CE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17,006</w:t>
            </w:r>
          </w:p>
        </w:tc>
      </w:tr>
      <w:tr w:rsidR="00F303E0" w:rsidRPr="00EE5714" w14:paraId="661CA89D"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hideMark/>
          </w:tcPr>
          <w:p w14:paraId="40E5E7AE"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EF5DFF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1,240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99EFA2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3,370</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hideMark/>
          </w:tcPr>
          <w:p w14:paraId="72EF6CB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1,993</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hideMark/>
          </w:tcPr>
          <w:p w14:paraId="662A1A9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4,076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84C088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14,809</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hideMark/>
          </w:tcPr>
          <w:p w14:paraId="17EFD07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12,626</w:t>
            </w:r>
          </w:p>
        </w:tc>
      </w:tr>
      <w:tr w:rsidR="00F303E0" w:rsidRPr="00EE5714" w14:paraId="1EA4679D"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747D6AE5"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0A7AC78F"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23466FE0"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2F2F2" w:themeFill="background1" w:themeFillShade="F2"/>
            <w:noWrap/>
            <w:vAlign w:val="center"/>
            <w:hideMark/>
          </w:tcPr>
          <w:p w14:paraId="603E9D52"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5D262E6D"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1CCFEB0F"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F2F2F2" w:themeFill="background1" w:themeFillShade="F2"/>
            <w:noWrap/>
            <w:vAlign w:val="center"/>
            <w:hideMark/>
          </w:tcPr>
          <w:p w14:paraId="6F7961A8"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4B3CC94F"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hideMark/>
          </w:tcPr>
          <w:p w14:paraId="2427B5FF" w14:textId="4BBF38BC"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27DC7D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3,452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E6737A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10,096</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hideMark/>
          </w:tcPr>
          <w:p w14:paraId="68CFBBC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8,040</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hideMark/>
          </w:tcPr>
          <w:p w14:paraId="046338D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5,177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D87E2B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15,144</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hideMark/>
          </w:tcPr>
          <w:p w14:paraId="1110C40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12,061</w:t>
            </w:r>
          </w:p>
        </w:tc>
      </w:tr>
      <w:tr w:rsidR="00F303E0" w:rsidRPr="00EE5714" w14:paraId="2E28AE1F"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hideMark/>
          </w:tcPr>
          <w:p w14:paraId="7603BF33"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8CB102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2,082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136543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6,091</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hideMark/>
          </w:tcPr>
          <w:p w14:paraId="4C48E15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4,850</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hideMark/>
          </w:tcPr>
          <w:p w14:paraId="22F8FB0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3,123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4C224A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9,136</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hideMark/>
          </w:tcPr>
          <w:p w14:paraId="670461C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7,275</w:t>
            </w:r>
          </w:p>
        </w:tc>
      </w:tr>
      <w:tr w:rsidR="00F303E0" w:rsidRPr="00EE5714" w14:paraId="7EAF08C2"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69AC9B06" w14:textId="77777777" w:rsidR="00F303E0" w:rsidRPr="00EE5714" w:rsidRDefault="00F303E0" w:rsidP="00851815">
            <w:pPr>
              <w:keepNex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1DC42520"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08D0FE57"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2F2F2" w:themeFill="background1" w:themeFillShade="F2"/>
            <w:noWrap/>
            <w:vAlign w:val="center"/>
            <w:hideMark/>
          </w:tcPr>
          <w:p w14:paraId="54BA0E8B"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00CCDA85"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4DE7C2A2" w14:textId="77777777" w:rsidR="00F303E0" w:rsidRPr="00EE5714" w:rsidRDefault="00F303E0" w:rsidP="00851815">
            <w:pPr>
              <w:keepNext/>
              <w:jc w:val="center"/>
              <w:rPr>
                <w:rFonts w:ascii="Calibri" w:eastAsia="Times New Roman" w:hAnsi="Calibri" w:cs="Calibri"/>
                <w:sz w:val="21"/>
                <w:szCs w:val="21"/>
              </w:rPr>
            </w:pP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F2F2F2" w:themeFill="background1" w:themeFillShade="F2"/>
            <w:noWrap/>
            <w:vAlign w:val="center"/>
            <w:hideMark/>
          </w:tcPr>
          <w:p w14:paraId="4F22A209"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3E2DE2F7"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hideMark/>
          </w:tcPr>
          <w:p w14:paraId="1BF00459" w14:textId="01F06D6D"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xml:space="preserve">Bills </w:t>
            </w:r>
            <w:r w:rsidR="00923EA8" w:rsidRPr="00EE5714">
              <w:rPr>
                <w:rFonts w:ascii="Calibri" w:eastAsia="Times New Roman" w:hAnsi="Calibri" w:cs="Calibri"/>
                <w:color w:val="000000"/>
                <w:sz w:val="21"/>
                <w:szCs w:val="21"/>
              </w:rPr>
              <w:t>Issued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1E3863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14,251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0A0316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35,047</w:t>
            </w:r>
          </w:p>
        </w:tc>
        <w:tc>
          <w:tcPr>
            <w:tcW w:w="135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noWrap/>
            <w:vAlign w:val="center"/>
            <w:hideMark/>
          </w:tcPr>
          <w:p w14:paraId="4C937B2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19,872</w:t>
            </w:r>
          </w:p>
        </w:tc>
        <w:tc>
          <w:tcPr>
            <w:tcW w:w="13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hideMark/>
          </w:tcPr>
          <w:p w14:paraId="50E87F6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50,472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26D66E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98,383</w:t>
            </w:r>
          </w:p>
        </w:tc>
        <w:tc>
          <w:tcPr>
            <w:tcW w:w="1350" w:type="dxa"/>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noWrap/>
            <w:vAlign w:val="center"/>
            <w:hideMark/>
          </w:tcPr>
          <w:p w14:paraId="3A11210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67,337</w:t>
            </w:r>
          </w:p>
        </w:tc>
      </w:tr>
      <w:tr w:rsidR="00F303E0" w:rsidRPr="00EE5714" w14:paraId="2FE2DFF5" w14:textId="77777777" w:rsidTr="00824DBE">
        <w:trPr>
          <w:trHeight w:hRule="exact" w:val="245"/>
        </w:trPr>
        <w:tc>
          <w:tcPr>
            <w:tcW w:w="207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noWrap/>
            <w:vAlign w:val="center"/>
            <w:hideMark/>
          </w:tcPr>
          <w:p w14:paraId="0168F626" w14:textId="77777777" w:rsidR="00F303E0" w:rsidRPr="00EE5714" w:rsidRDefault="00F303E0" w:rsidP="00851815">
            <w:pPr>
              <w:rPr>
                <w:rFonts w:ascii="Calibri" w:eastAsia="Times New Roman" w:hAnsi="Calibri" w:cs="Calibri"/>
                <w:color w:val="000000"/>
                <w:sz w:val="21"/>
                <w:szCs w:val="21"/>
              </w:rPr>
            </w:pPr>
            <w:r w:rsidRPr="00EE5714">
              <w:rPr>
                <w:rFonts w:ascii="Calibri" w:eastAsia="Times New Roman" w:hAnsi="Calibri" w:cs="Calibri"/>
                <w:color w:val="000000"/>
                <w:sz w:val="21"/>
                <w:szCs w:val="21"/>
              </w:rPr>
              <w:t>Bills Paid in Full</w:t>
            </w:r>
          </w:p>
        </w:tc>
        <w:tc>
          <w:tcPr>
            <w:tcW w:w="1170"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auto"/>
            <w:noWrap/>
            <w:vAlign w:val="center"/>
            <w:hideMark/>
          </w:tcPr>
          <w:p w14:paraId="32B7D02B"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6,692</w:t>
            </w:r>
          </w:p>
        </w:tc>
        <w:tc>
          <w:tcPr>
            <w:tcW w:w="1350"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auto"/>
            <w:noWrap/>
            <w:vAlign w:val="center"/>
            <w:hideMark/>
          </w:tcPr>
          <w:p w14:paraId="50B9DC96"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18,628</w:t>
            </w:r>
          </w:p>
        </w:tc>
        <w:tc>
          <w:tcPr>
            <w:tcW w:w="1350" w:type="dxa"/>
            <w:tcBorders>
              <w:top w:val="single" w:sz="4" w:space="0" w:color="000000" w:themeColor="text1"/>
              <w:left w:val="single" w:sz="4" w:space="0" w:color="000000" w:themeColor="text1"/>
              <w:bottom w:val="single" w:sz="8" w:space="0" w:color="000000" w:themeColor="text1"/>
              <w:right w:val="single" w:sz="12" w:space="0" w:color="000000" w:themeColor="text1"/>
            </w:tcBorders>
            <w:shd w:val="clear" w:color="auto" w:fill="auto"/>
            <w:noWrap/>
            <w:vAlign w:val="center"/>
            <w:hideMark/>
          </w:tcPr>
          <w:p w14:paraId="0550391B"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9,987</w:t>
            </w:r>
          </w:p>
        </w:tc>
        <w:tc>
          <w:tcPr>
            <w:tcW w:w="1350" w:type="dxa"/>
            <w:tcBorders>
              <w:top w:val="single" w:sz="4" w:space="0" w:color="000000" w:themeColor="text1"/>
              <w:left w:val="single" w:sz="12" w:space="0" w:color="000000" w:themeColor="text1"/>
              <w:bottom w:val="single" w:sz="8" w:space="0" w:color="000000" w:themeColor="text1"/>
              <w:right w:val="single" w:sz="4" w:space="0" w:color="000000" w:themeColor="text1"/>
            </w:tcBorders>
            <w:shd w:val="clear" w:color="auto" w:fill="auto"/>
            <w:noWrap/>
            <w:vAlign w:val="center"/>
            <w:hideMark/>
          </w:tcPr>
          <w:p w14:paraId="71AB6B11"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24,306</w:t>
            </w:r>
          </w:p>
        </w:tc>
        <w:tc>
          <w:tcPr>
            <w:tcW w:w="1350"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auto"/>
            <w:noWrap/>
            <w:vAlign w:val="center"/>
            <w:hideMark/>
          </w:tcPr>
          <w:p w14:paraId="58375619"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57,240</w:t>
            </w:r>
          </w:p>
        </w:tc>
        <w:tc>
          <w:tcPr>
            <w:tcW w:w="1350"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auto"/>
            <w:noWrap/>
            <w:vAlign w:val="center"/>
            <w:hideMark/>
          </w:tcPr>
          <w:p w14:paraId="5DEEDEB6"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39,090</w:t>
            </w:r>
          </w:p>
        </w:tc>
      </w:tr>
      <w:bookmarkEnd w:id="69"/>
    </w:tbl>
    <w:p w14:paraId="2DB68CCD" w14:textId="77777777" w:rsidR="00F303E0" w:rsidRPr="00EE5714" w:rsidRDefault="00F303E0" w:rsidP="00F303E0">
      <w:pPr>
        <w:rPr>
          <w:rFonts w:ascii="Times New Roman" w:eastAsiaTheme="minorEastAsia" w:hAnsi="Times New Roman" w:cs="Times New Roman"/>
          <w:b/>
          <w:color w:val="2F5496" w:themeColor="accent1" w:themeShade="BF"/>
          <w:sz w:val="26"/>
          <w:szCs w:val="26"/>
        </w:rPr>
      </w:pPr>
      <w:r w:rsidRPr="00EE5714">
        <w:rPr>
          <w:rFonts w:ascii="Times New Roman" w:hAnsi="Times New Roman" w:cs="Times New Roman"/>
          <w:b/>
          <w:color w:val="2F5496" w:themeColor="accent1" w:themeShade="BF"/>
          <w:sz w:val="26"/>
          <w:szCs w:val="26"/>
        </w:rPr>
        <w:br w:type="page"/>
      </w:r>
    </w:p>
    <w:p w14:paraId="4F44634C" w14:textId="1D96F9AB" w:rsidR="00F303E0" w:rsidRPr="00EE5714" w:rsidRDefault="00F734A0" w:rsidP="00F303E0">
      <w:pPr>
        <w:pStyle w:val="Heading2"/>
      </w:pPr>
      <w:bookmarkStart w:id="70" w:name="_Toc533674876"/>
      <w:bookmarkStart w:id="71" w:name="_Toc534547881"/>
      <w:r w:rsidRPr="00EE5714">
        <w:lastRenderedPageBreak/>
        <w:t>Appendix 6</w:t>
      </w:r>
      <w:r w:rsidR="00F303E0" w:rsidRPr="00EE5714">
        <w:t xml:space="preserve"> –</w:t>
      </w:r>
      <w:r w:rsidR="00544923" w:rsidRPr="00EE5714">
        <w:t xml:space="preserve"> </w:t>
      </w:r>
      <w:r w:rsidR="00F303E0" w:rsidRPr="00EE5714">
        <w:t>CAP Default Exit and Termination Rates</w:t>
      </w:r>
      <w:bookmarkEnd w:id="70"/>
      <w:bookmarkEnd w:id="71"/>
    </w:p>
    <w:p w14:paraId="0DA237C0" w14:textId="77777777" w:rsidR="00F303E0" w:rsidRPr="00EE5714" w:rsidRDefault="00F303E0" w:rsidP="00F303E0">
      <w:pPr>
        <w:pStyle w:val="NoSpacing"/>
        <w:keepNext/>
        <w:rPr>
          <w:rFonts w:cs="Times New Roman"/>
          <w:szCs w:val="26"/>
        </w:rPr>
      </w:pPr>
    </w:p>
    <w:p w14:paraId="23416BC3" w14:textId="77777777" w:rsidR="00F303E0" w:rsidRPr="00EE5714" w:rsidRDefault="00F734A0" w:rsidP="00F303E0">
      <w:pPr>
        <w:pStyle w:val="NoSpacing"/>
        <w:keepNext/>
        <w:rPr>
          <w:rFonts w:cs="Times New Roman"/>
          <w:i/>
          <w:szCs w:val="26"/>
        </w:rPr>
      </w:pPr>
      <w:r w:rsidRPr="00EE5714">
        <w:rPr>
          <w:rFonts w:cs="Times New Roman"/>
          <w:i/>
          <w:szCs w:val="26"/>
        </w:rPr>
        <w:t>Appendix 6</w:t>
      </w:r>
      <w:r w:rsidR="00F303E0" w:rsidRPr="00EE5714">
        <w:rPr>
          <w:rFonts w:cs="Times New Roman"/>
          <w:i/>
          <w:szCs w:val="26"/>
        </w:rPr>
        <w:t>.A: Tables 7-1 to 7-2 NGDCs Default Exit and CAP Termination Rates</w:t>
      </w:r>
    </w:p>
    <w:p w14:paraId="1FCFD55C" w14:textId="77777777" w:rsidR="00F303E0" w:rsidRPr="00EE5714" w:rsidRDefault="00F303E0" w:rsidP="00F303E0">
      <w:pPr>
        <w:pStyle w:val="NoSpacing"/>
        <w:keepNext/>
        <w:rPr>
          <w:rFonts w:eastAsia="Times New Roman" w:cs="Times New Roman"/>
          <w:szCs w:val="26"/>
        </w:rPr>
      </w:pPr>
    </w:p>
    <w:p w14:paraId="0338E2C6" w14:textId="77777777" w:rsidR="00F303E0" w:rsidRPr="00EE5714" w:rsidRDefault="00F303E0" w:rsidP="00F303E0">
      <w:pPr>
        <w:pStyle w:val="NoSpacing"/>
        <w:keepNext/>
        <w:rPr>
          <w:rFonts w:cs="Times New Roman"/>
          <w:szCs w:val="26"/>
        </w:rPr>
      </w:pPr>
      <w:bookmarkStart w:id="72" w:name="_Hlk526404929"/>
      <w:r w:rsidRPr="00EE5714">
        <w:rPr>
          <w:rFonts w:eastAsia="Times New Roman" w:cs="Times New Roman"/>
          <w:szCs w:val="26"/>
        </w:rPr>
        <w:t xml:space="preserve">The number and percentage of NGDC CAP default exits and default exit rates for the period from 2012 through 2016.  </w:t>
      </w:r>
    </w:p>
    <w:bookmarkEnd w:id="72"/>
    <w:p w14:paraId="386069D2" w14:textId="77777777" w:rsidR="00F303E0" w:rsidRPr="00EE5714" w:rsidRDefault="00F303E0" w:rsidP="00F303E0">
      <w:pPr>
        <w:pStyle w:val="NoSpacing"/>
        <w:keepNext/>
        <w:rPr>
          <w:rFonts w:cs="Times New Roman"/>
          <w:szCs w:val="26"/>
        </w:rPr>
      </w:pPr>
    </w:p>
    <w:p w14:paraId="65C8775A" w14:textId="77777777" w:rsidR="00F303E0" w:rsidRPr="00EE5714" w:rsidRDefault="00F734A0" w:rsidP="00F303E0">
      <w:pPr>
        <w:pStyle w:val="NoSpacing"/>
        <w:keepNext/>
        <w:rPr>
          <w:rFonts w:cs="Times New Roman"/>
          <w:szCs w:val="26"/>
        </w:rPr>
      </w:pPr>
      <w:r w:rsidRPr="00EE5714">
        <w:rPr>
          <w:rFonts w:cs="Times New Roman"/>
          <w:szCs w:val="26"/>
        </w:rPr>
        <w:t>Appendix 6</w:t>
      </w:r>
      <w:r w:rsidR="00F303E0" w:rsidRPr="00EE5714">
        <w:rPr>
          <w:rFonts w:cs="Times New Roman"/>
          <w:szCs w:val="26"/>
        </w:rPr>
        <w:t xml:space="preserve">.A.1: </w:t>
      </w:r>
      <w:r w:rsidR="00F303E0" w:rsidRPr="00EE5714">
        <w:rPr>
          <w:rFonts w:eastAsia="Times New Roman" w:cs="Times New Roman"/>
          <w:b/>
          <w:bCs/>
          <w:color w:val="000000"/>
          <w:szCs w:val="26"/>
        </w:rPr>
        <w:t>NGDC Aggregate Total CAP Default Exits 0%-150% FPIG</w:t>
      </w:r>
    </w:p>
    <w:tbl>
      <w:tblPr>
        <w:tblW w:w="10160" w:type="dxa"/>
        <w:jc w:val="center"/>
        <w:tblLayout w:type="fixed"/>
        <w:tblLook w:val="04A0" w:firstRow="1" w:lastRow="0" w:firstColumn="1" w:lastColumn="0" w:noHBand="0" w:noVBand="1"/>
      </w:tblPr>
      <w:tblGrid>
        <w:gridCol w:w="800"/>
        <w:gridCol w:w="1170"/>
        <w:gridCol w:w="1080"/>
        <w:gridCol w:w="1093"/>
        <w:gridCol w:w="1262"/>
        <w:gridCol w:w="1155"/>
        <w:gridCol w:w="1260"/>
        <w:gridCol w:w="1080"/>
        <w:gridCol w:w="1260"/>
      </w:tblGrid>
      <w:tr w:rsidR="00F303E0" w:rsidRPr="00EE5714" w14:paraId="151228C2" w14:textId="77777777" w:rsidTr="00CE67A6">
        <w:trPr>
          <w:trHeight w:val="115"/>
          <w:jc w:val="center"/>
        </w:trPr>
        <w:tc>
          <w:tcPr>
            <w:tcW w:w="10160" w:type="dxa"/>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noWrap/>
            <w:vAlign w:val="center"/>
            <w:hideMark/>
          </w:tcPr>
          <w:p w14:paraId="5697B546"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NGDC Aggregate Total CAP Default Exits 0%-150% FPIG </w:t>
            </w:r>
          </w:p>
        </w:tc>
      </w:tr>
      <w:tr w:rsidR="00A95C31" w:rsidRPr="00EE5714" w14:paraId="2F5CC2FE" w14:textId="77777777" w:rsidTr="00A95C31">
        <w:trPr>
          <w:trHeight w:val="216"/>
          <w:jc w:val="center"/>
        </w:trPr>
        <w:tc>
          <w:tcPr>
            <w:tcW w:w="800" w:type="dxa"/>
            <w:tcBorders>
              <w:top w:val="nil"/>
              <w:left w:val="single" w:sz="8" w:space="0" w:color="000000"/>
              <w:bottom w:val="single" w:sz="4" w:space="0" w:color="000000"/>
              <w:right w:val="single" w:sz="4" w:space="0" w:color="000000"/>
            </w:tcBorders>
            <w:shd w:val="clear" w:color="auto" w:fill="auto"/>
            <w:noWrap/>
            <w:vAlign w:val="bottom"/>
            <w:hideMark/>
          </w:tcPr>
          <w:p w14:paraId="74B24449" w14:textId="77777777" w:rsidR="00F303E0" w:rsidRPr="00EE5714" w:rsidRDefault="00F303E0" w:rsidP="00851815">
            <w:pPr>
              <w:keepNext/>
              <w:rPr>
                <w:rFonts w:eastAsia="Times New Roman" w:cstheme="minorHAnsi"/>
                <w:color w:val="000000"/>
                <w:sz w:val="21"/>
                <w:szCs w:val="21"/>
              </w:rPr>
            </w:pPr>
            <w:r w:rsidRPr="00EE5714">
              <w:rPr>
                <w:rFonts w:eastAsia="Times New Roman" w:cstheme="minorHAnsi"/>
                <w:color w:val="000000"/>
                <w:sz w:val="21"/>
                <w:szCs w:val="21"/>
              </w:rPr>
              <w:t> </w:t>
            </w:r>
          </w:p>
        </w:tc>
        <w:tc>
          <w:tcPr>
            <w:tcW w:w="1170" w:type="dxa"/>
            <w:tcBorders>
              <w:top w:val="nil"/>
              <w:left w:val="nil"/>
              <w:bottom w:val="single" w:sz="4" w:space="0" w:color="000000"/>
              <w:right w:val="single" w:sz="4" w:space="0" w:color="000000"/>
            </w:tcBorders>
            <w:shd w:val="clear" w:color="auto" w:fill="auto"/>
            <w:noWrap/>
            <w:vAlign w:val="center"/>
            <w:hideMark/>
          </w:tcPr>
          <w:p w14:paraId="75F28BFE" w14:textId="77777777" w:rsidR="00F303E0" w:rsidRPr="00EE5714" w:rsidRDefault="00F303E0" w:rsidP="00851815">
            <w:pPr>
              <w:keepNext/>
              <w:jc w:val="center"/>
              <w:rPr>
                <w:rFonts w:eastAsia="Times New Roman" w:cstheme="minorHAnsi"/>
                <w:b/>
                <w:bCs/>
                <w:color w:val="000000"/>
                <w:sz w:val="21"/>
                <w:szCs w:val="21"/>
              </w:rPr>
            </w:pPr>
            <w:r w:rsidRPr="00EE5714">
              <w:rPr>
                <w:rFonts w:ascii="Calibri" w:eastAsia="Times New Roman" w:hAnsi="Calibri" w:cs="Calibri"/>
                <w:b/>
                <w:bCs/>
                <w:color w:val="000000"/>
                <w:sz w:val="21"/>
                <w:szCs w:val="21"/>
              </w:rPr>
              <w:t>Columbia</w:t>
            </w:r>
            <w:r w:rsidRPr="00EE5714">
              <w:rPr>
                <w:rFonts w:eastAsia="Times New Roman" w:cstheme="minorHAnsi"/>
                <w:b/>
                <w:bCs/>
                <w:color w:val="000000"/>
                <w:sz w:val="21"/>
                <w:szCs w:val="21"/>
              </w:rPr>
              <w:t xml:space="preserve"> </w:t>
            </w:r>
          </w:p>
        </w:tc>
        <w:tc>
          <w:tcPr>
            <w:tcW w:w="1080" w:type="dxa"/>
            <w:tcBorders>
              <w:top w:val="nil"/>
              <w:left w:val="nil"/>
              <w:bottom w:val="single" w:sz="4" w:space="0" w:color="000000"/>
              <w:right w:val="single" w:sz="4" w:space="0" w:color="000000"/>
            </w:tcBorders>
            <w:shd w:val="clear" w:color="auto" w:fill="auto"/>
            <w:noWrap/>
            <w:vAlign w:val="center"/>
            <w:hideMark/>
          </w:tcPr>
          <w:p w14:paraId="74F189A1" w14:textId="77777777" w:rsidR="00F303E0" w:rsidRPr="00EE5714" w:rsidRDefault="00F303E0" w:rsidP="00851815">
            <w:pPr>
              <w:keepNext/>
              <w:jc w:val="center"/>
              <w:rPr>
                <w:rFonts w:eastAsia="Times New Roman" w:cstheme="minorHAnsi"/>
                <w:b/>
                <w:bCs/>
                <w:color w:val="000000"/>
                <w:sz w:val="21"/>
                <w:szCs w:val="21"/>
              </w:rPr>
            </w:pPr>
            <w:r w:rsidRPr="00EE5714">
              <w:rPr>
                <w:rFonts w:eastAsia="Times New Roman" w:cstheme="minorHAnsi"/>
                <w:b/>
                <w:bCs/>
                <w:color w:val="000000"/>
                <w:sz w:val="21"/>
                <w:szCs w:val="21"/>
              </w:rPr>
              <w:t>Equitable</w:t>
            </w:r>
          </w:p>
        </w:tc>
        <w:tc>
          <w:tcPr>
            <w:tcW w:w="1093" w:type="dxa"/>
            <w:tcBorders>
              <w:top w:val="nil"/>
              <w:left w:val="nil"/>
              <w:bottom w:val="single" w:sz="4" w:space="0" w:color="000000"/>
              <w:right w:val="single" w:sz="4" w:space="0" w:color="000000"/>
            </w:tcBorders>
            <w:shd w:val="clear" w:color="auto" w:fill="auto"/>
            <w:noWrap/>
            <w:vAlign w:val="center"/>
            <w:hideMark/>
          </w:tcPr>
          <w:p w14:paraId="7139D727" w14:textId="77777777" w:rsidR="00F303E0" w:rsidRPr="00EE5714" w:rsidRDefault="00F303E0" w:rsidP="00851815">
            <w:pPr>
              <w:keepNext/>
              <w:jc w:val="center"/>
              <w:rPr>
                <w:rFonts w:eastAsia="Times New Roman" w:cstheme="minorHAnsi"/>
                <w:b/>
                <w:bCs/>
                <w:color w:val="000000"/>
                <w:sz w:val="21"/>
                <w:szCs w:val="21"/>
              </w:rPr>
            </w:pPr>
            <w:r w:rsidRPr="00EE5714">
              <w:rPr>
                <w:rFonts w:eastAsia="Times New Roman" w:cstheme="minorHAnsi"/>
                <w:b/>
                <w:bCs/>
                <w:color w:val="000000"/>
                <w:sz w:val="21"/>
                <w:szCs w:val="21"/>
              </w:rPr>
              <w:t>NFG</w:t>
            </w:r>
          </w:p>
        </w:tc>
        <w:tc>
          <w:tcPr>
            <w:tcW w:w="1262" w:type="dxa"/>
            <w:tcBorders>
              <w:top w:val="nil"/>
              <w:left w:val="nil"/>
              <w:bottom w:val="single" w:sz="4" w:space="0" w:color="000000"/>
              <w:right w:val="single" w:sz="4" w:space="0" w:color="000000"/>
            </w:tcBorders>
            <w:shd w:val="clear" w:color="auto" w:fill="auto"/>
            <w:noWrap/>
            <w:vAlign w:val="center"/>
            <w:hideMark/>
          </w:tcPr>
          <w:p w14:paraId="52FFE223" w14:textId="77777777" w:rsidR="00F303E0" w:rsidRPr="00EE5714" w:rsidRDefault="00F303E0" w:rsidP="00851815">
            <w:pPr>
              <w:keepNext/>
              <w:jc w:val="center"/>
              <w:rPr>
                <w:rFonts w:eastAsia="Times New Roman" w:cstheme="minorHAnsi"/>
                <w:b/>
                <w:bCs/>
                <w:color w:val="000000"/>
                <w:sz w:val="21"/>
                <w:szCs w:val="21"/>
              </w:rPr>
            </w:pPr>
            <w:r w:rsidRPr="00EE5714">
              <w:rPr>
                <w:rFonts w:eastAsia="Times New Roman" w:cstheme="minorHAnsi"/>
                <w:b/>
                <w:bCs/>
                <w:color w:val="000000"/>
                <w:sz w:val="21"/>
                <w:szCs w:val="21"/>
              </w:rPr>
              <w:t>PECO Gas</w:t>
            </w:r>
          </w:p>
        </w:tc>
        <w:tc>
          <w:tcPr>
            <w:tcW w:w="1155" w:type="dxa"/>
            <w:tcBorders>
              <w:top w:val="nil"/>
              <w:left w:val="nil"/>
              <w:bottom w:val="single" w:sz="4" w:space="0" w:color="000000"/>
              <w:right w:val="single" w:sz="4" w:space="0" w:color="000000"/>
            </w:tcBorders>
            <w:shd w:val="clear" w:color="auto" w:fill="auto"/>
            <w:noWrap/>
            <w:vAlign w:val="center"/>
            <w:hideMark/>
          </w:tcPr>
          <w:p w14:paraId="3D933301" w14:textId="77777777" w:rsidR="00F303E0" w:rsidRPr="00EE5714" w:rsidRDefault="00F303E0" w:rsidP="00851815">
            <w:pPr>
              <w:keepNext/>
              <w:jc w:val="center"/>
              <w:rPr>
                <w:rFonts w:eastAsia="Times New Roman" w:cstheme="minorHAnsi"/>
                <w:b/>
                <w:bCs/>
                <w:color w:val="000000"/>
                <w:sz w:val="21"/>
                <w:szCs w:val="21"/>
              </w:rPr>
            </w:pPr>
            <w:r w:rsidRPr="00EE5714">
              <w:rPr>
                <w:rFonts w:eastAsia="Times New Roman" w:cstheme="minorHAnsi"/>
                <w:b/>
                <w:bCs/>
                <w:color w:val="000000"/>
                <w:sz w:val="21"/>
                <w:szCs w:val="21"/>
              </w:rPr>
              <w:t>Peoples</w:t>
            </w:r>
          </w:p>
        </w:tc>
        <w:tc>
          <w:tcPr>
            <w:tcW w:w="1260" w:type="dxa"/>
            <w:tcBorders>
              <w:top w:val="nil"/>
              <w:left w:val="nil"/>
              <w:bottom w:val="single" w:sz="4" w:space="0" w:color="000000"/>
              <w:right w:val="single" w:sz="4" w:space="0" w:color="000000"/>
            </w:tcBorders>
            <w:shd w:val="clear" w:color="auto" w:fill="auto"/>
            <w:noWrap/>
            <w:vAlign w:val="center"/>
            <w:hideMark/>
          </w:tcPr>
          <w:p w14:paraId="5318827B" w14:textId="77777777" w:rsidR="00F303E0" w:rsidRPr="00EE5714" w:rsidRDefault="00F303E0" w:rsidP="00851815">
            <w:pPr>
              <w:keepNext/>
              <w:jc w:val="center"/>
              <w:rPr>
                <w:rFonts w:eastAsia="Times New Roman" w:cstheme="minorHAnsi"/>
                <w:b/>
                <w:bCs/>
                <w:color w:val="000000"/>
                <w:sz w:val="21"/>
                <w:szCs w:val="21"/>
              </w:rPr>
            </w:pPr>
            <w:r w:rsidRPr="00EE5714">
              <w:rPr>
                <w:rFonts w:eastAsia="Times New Roman" w:cstheme="minorHAnsi"/>
                <w:b/>
                <w:bCs/>
                <w:color w:val="000000"/>
                <w:sz w:val="21"/>
                <w:szCs w:val="21"/>
              </w:rPr>
              <w:t>PGW</w:t>
            </w:r>
          </w:p>
        </w:tc>
        <w:tc>
          <w:tcPr>
            <w:tcW w:w="1080" w:type="dxa"/>
            <w:tcBorders>
              <w:top w:val="nil"/>
              <w:left w:val="nil"/>
              <w:bottom w:val="single" w:sz="4" w:space="0" w:color="000000"/>
              <w:right w:val="single" w:sz="4" w:space="0" w:color="000000"/>
            </w:tcBorders>
            <w:shd w:val="clear" w:color="auto" w:fill="auto"/>
            <w:noWrap/>
            <w:vAlign w:val="center"/>
            <w:hideMark/>
          </w:tcPr>
          <w:p w14:paraId="6E528FB5" w14:textId="77777777" w:rsidR="00F303E0" w:rsidRPr="00EE5714" w:rsidRDefault="00F303E0" w:rsidP="00851815">
            <w:pPr>
              <w:keepNext/>
              <w:jc w:val="center"/>
              <w:rPr>
                <w:rFonts w:eastAsia="Times New Roman" w:cstheme="minorHAnsi"/>
                <w:b/>
                <w:bCs/>
                <w:color w:val="000000"/>
                <w:sz w:val="21"/>
                <w:szCs w:val="21"/>
              </w:rPr>
            </w:pPr>
            <w:r w:rsidRPr="00EE5714">
              <w:rPr>
                <w:rFonts w:eastAsia="Times New Roman" w:cstheme="minorHAnsi"/>
                <w:b/>
                <w:bCs/>
                <w:color w:val="000000"/>
                <w:sz w:val="21"/>
                <w:szCs w:val="21"/>
              </w:rPr>
              <w:t>UGI Gas</w:t>
            </w:r>
          </w:p>
        </w:tc>
        <w:tc>
          <w:tcPr>
            <w:tcW w:w="1260" w:type="dxa"/>
            <w:tcBorders>
              <w:top w:val="nil"/>
              <w:left w:val="nil"/>
              <w:bottom w:val="single" w:sz="4" w:space="0" w:color="000000"/>
              <w:right w:val="single" w:sz="8" w:space="0" w:color="000000"/>
            </w:tcBorders>
            <w:shd w:val="clear" w:color="auto" w:fill="auto"/>
            <w:noWrap/>
            <w:vAlign w:val="center"/>
            <w:hideMark/>
          </w:tcPr>
          <w:p w14:paraId="70600996" w14:textId="77777777" w:rsidR="00F303E0" w:rsidRPr="00EE5714" w:rsidRDefault="00F303E0" w:rsidP="00851815">
            <w:pPr>
              <w:keepNext/>
              <w:jc w:val="center"/>
              <w:rPr>
                <w:rFonts w:eastAsia="Times New Roman" w:cstheme="minorHAnsi"/>
                <w:b/>
                <w:bCs/>
                <w:color w:val="000000"/>
                <w:sz w:val="21"/>
                <w:szCs w:val="21"/>
              </w:rPr>
            </w:pPr>
            <w:r w:rsidRPr="00EE5714">
              <w:rPr>
                <w:rFonts w:eastAsia="Times New Roman" w:cstheme="minorHAnsi"/>
                <w:b/>
                <w:bCs/>
                <w:color w:val="000000"/>
                <w:sz w:val="21"/>
                <w:szCs w:val="21"/>
              </w:rPr>
              <w:t>UGI PNG</w:t>
            </w:r>
          </w:p>
        </w:tc>
      </w:tr>
      <w:tr w:rsidR="00A95C31" w:rsidRPr="00EE5714" w14:paraId="1BA48D87" w14:textId="77777777" w:rsidTr="00A95C31">
        <w:trPr>
          <w:trHeight w:hRule="exact" w:val="245"/>
          <w:jc w:val="center"/>
        </w:trPr>
        <w:tc>
          <w:tcPr>
            <w:tcW w:w="80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14B15BB9" w14:textId="77777777" w:rsidR="00F303E0" w:rsidRPr="00EE5714" w:rsidRDefault="00F303E0" w:rsidP="00851815">
            <w:pPr>
              <w:keepNext/>
              <w:jc w:val="center"/>
              <w:rPr>
                <w:rFonts w:eastAsia="Times New Roman" w:cstheme="minorHAnsi"/>
                <w:b/>
                <w:bCs/>
                <w:color w:val="000000"/>
                <w:sz w:val="21"/>
                <w:szCs w:val="21"/>
              </w:rPr>
            </w:pPr>
            <w:r w:rsidRPr="00EE5714">
              <w:rPr>
                <w:rFonts w:eastAsia="Times New Roman" w:cstheme="minorHAnsi"/>
                <w:b/>
                <w:bCs/>
                <w:color w:val="000000"/>
                <w:sz w:val="21"/>
                <w:szCs w:val="21"/>
              </w:rPr>
              <w:t>2012</w:t>
            </w:r>
          </w:p>
        </w:tc>
        <w:tc>
          <w:tcPr>
            <w:tcW w:w="1170" w:type="dxa"/>
            <w:tcBorders>
              <w:top w:val="nil"/>
              <w:left w:val="nil"/>
              <w:bottom w:val="single" w:sz="4" w:space="0" w:color="808080"/>
              <w:right w:val="single" w:sz="4" w:space="0" w:color="000000"/>
            </w:tcBorders>
            <w:shd w:val="clear" w:color="auto" w:fill="auto"/>
            <w:noWrap/>
            <w:vAlign w:val="center"/>
            <w:hideMark/>
          </w:tcPr>
          <w:p w14:paraId="73188CB0"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2,166</w:t>
            </w:r>
          </w:p>
        </w:tc>
        <w:tc>
          <w:tcPr>
            <w:tcW w:w="1080" w:type="dxa"/>
            <w:tcBorders>
              <w:top w:val="nil"/>
              <w:left w:val="nil"/>
              <w:bottom w:val="single" w:sz="4" w:space="0" w:color="808080"/>
              <w:right w:val="single" w:sz="4" w:space="0" w:color="000000"/>
            </w:tcBorders>
            <w:shd w:val="clear" w:color="auto" w:fill="auto"/>
            <w:noWrap/>
            <w:vAlign w:val="center"/>
            <w:hideMark/>
          </w:tcPr>
          <w:p w14:paraId="0FDA3CE4"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4,249</w:t>
            </w:r>
          </w:p>
        </w:tc>
        <w:tc>
          <w:tcPr>
            <w:tcW w:w="1093" w:type="dxa"/>
            <w:tcBorders>
              <w:top w:val="nil"/>
              <w:left w:val="nil"/>
              <w:bottom w:val="single" w:sz="4" w:space="0" w:color="808080"/>
              <w:right w:val="single" w:sz="4" w:space="0" w:color="000000"/>
            </w:tcBorders>
            <w:shd w:val="clear" w:color="auto" w:fill="auto"/>
            <w:noWrap/>
            <w:vAlign w:val="center"/>
            <w:hideMark/>
          </w:tcPr>
          <w:p w14:paraId="425EC188"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2,298</w:t>
            </w:r>
          </w:p>
        </w:tc>
        <w:tc>
          <w:tcPr>
            <w:tcW w:w="1262" w:type="dxa"/>
            <w:tcBorders>
              <w:top w:val="nil"/>
              <w:left w:val="nil"/>
              <w:bottom w:val="single" w:sz="4" w:space="0" w:color="808080"/>
              <w:right w:val="single" w:sz="4" w:space="0" w:color="000000"/>
            </w:tcBorders>
            <w:shd w:val="clear" w:color="auto" w:fill="auto"/>
            <w:noWrap/>
            <w:vAlign w:val="center"/>
            <w:hideMark/>
          </w:tcPr>
          <w:p w14:paraId="48335BEB"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8,481</w:t>
            </w:r>
          </w:p>
        </w:tc>
        <w:tc>
          <w:tcPr>
            <w:tcW w:w="1155" w:type="dxa"/>
            <w:tcBorders>
              <w:top w:val="nil"/>
              <w:left w:val="nil"/>
              <w:bottom w:val="single" w:sz="4" w:space="0" w:color="808080"/>
              <w:right w:val="single" w:sz="4" w:space="0" w:color="000000"/>
            </w:tcBorders>
            <w:shd w:val="clear" w:color="auto" w:fill="auto"/>
            <w:noWrap/>
            <w:vAlign w:val="center"/>
            <w:hideMark/>
          </w:tcPr>
          <w:p w14:paraId="755A1438"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5,530</w:t>
            </w:r>
          </w:p>
        </w:tc>
        <w:tc>
          <w:tcPr>
            <w:tcW w:w="1260" w:type="dxa"/>
            <w:tcBorders>
              <w:top w:val="nil"/>
              <w:left w:val="nil"/>
              <w:bottom w:val="single" w:sz="4" w:space="0" w:color="808080"/>
              <w:right w:val="single" w:sz="4" w:space="0" w:color="000000"/>
            </w:tcBorders>
            <w:shd w:val="clear" w:color="auto" w:fill="auto"/>
            <w:noWrap/>
            <w:vAlign w:val="center"/>
            <w:hideMark/>
          </w:tcPr>
          <w:p w14:paraId="1BC69DFC"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82,662</w:t>
            </w:r>
          </w:p>
        </w:tc>
        <w:tc>
          <w:tcPr>
            <w:tcW w:w="1080" w:type="dxa"/>
            <w:tcBorders>
              <w:top w:val="nil"/>
              <w:left w:val="nil"/>
              <w:bottom w:val="single" w:sz="4" w:space="0" w:color="808080"/>
              <w:right w:val="single" w:sz="4" w:space="0" w:color="000000"/>
            </w:tcBorders>
            <w:shd w:val="clear" w:color="auto" w:fill="auto"/>
            <w:noWrap/>
            <w:vAlign w:val="center"/>
            <w:hideMark/>
          </w:tcPr>
          <w:p w14:paraId="2DA786EB"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2,744</w:t>
            </w:r>
          </w:p>
        </w:tc>
        <w:tc>
          <w:tcPr>
            <w:tcW w:w="1260" w:type="dxa"/>
            <w:tcBorders>
              <w:top w:val="nil"/>
              <w:left w:val="nil"/>
              <w:bottom w:val="single" w:sz="4" w:space="0" w:color="808080"/>
              <w:right w:val="single" w:sz="8" w:space="0" w:color="000000"/>
            </w:tcBorders>
            <w:shd w:val="clear" w:color="auto" w:fill="auto"/>
            <w:noWrap/>
            <w:vAlign w:val="center"/>
            <w:hideMark/>
          </w:tcPr>
          <w:p w14:paraId="0EEFABF5"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1,580</w:t>
            </w:r>
          </w:p>
        </w:tc>
      </w:tr>
      <w:tr w:rsidR="00A95C31" w:rsidRPr="00EE5714" w14:paraId="1109098D" w14:textId="77777777" w:rsidTr="00A95C31">
        <w:trPr>
          <w:trHeight w:hRule="exact" w:val="245"/>
          <w:jc w:val="center"/>
        </w:trPr>
        <w:tc>
          <w:tcPr>
            <w:tcW w:w="80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12D63E60" w14:textId="77777777" w:rsidR="00F303E0" w:rsidRPr="00EE5714" w:rsidRDefault="00F303E0" w:rsidP="00851815">
            <w:pPr>
              <w:keepNext/>
              <w:jc w:val="center"/>
              <w:rPr>
                <w:rFonts w:eastAsia="Times New Roman" w:cstheme="minorHAnsi"/>
                <w:b/>
                <w:bCs/>
                <w:color w:val="000000"/>
                <w:sz w:val="21"/>
                <w:szCs w:val="21"/>
              </w:rPr>
            </w:pPr>
            <w:r w:rsidRPr="00EE5714">
              <w:rPr>
                <w:rFonts w:eastAsia="Times New Roman" w:cstheme="minorHAnsi"/>
                <w:b/>
                <w:bCs/>
                <w:color w:val="000000"/>
                <w:sz w:val="21"/>
                <w:szCs w:val="21"/>
              </w:rPr>
              <w:t>2013</w:t>
            </w:r>
          </w:p>
        </w:tc>
        <w:tc>
          <w:tcPr>
            <w:tcW w:w="1170" w:type="dxa"/>
            <w:tcBorders>
              <w:top w:val="nil"/>
              <w:left w:val="nil"/>
              <w:bottom w:val="single" w:sz="4" w:space="0" w:color="808080"/>
              <w:right w:val="single" w:sz="4" w:space="0" w:color="000000"/>
            </w:tcBorders>
            <w:shd w:val="clear" w:color="auto" w:fill="auto"/>
            <w:noWrap/>
            <w:vAlign w:val="center"/>
            <w:hideMark/>
          </w:tcPr>
          <w:p w14:paraId="4023A38B"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2,461</w:t>
            </w:r>
          </w:p>
        </w:tc>
        <w:tc>
          <w:tcPr>
            <w:tcW w:w="1080" w:type="dxa"/>
            <w:tcBorders>
              <w:top w:val="nil"/>
              <w:left w:val="nil"/>
              <w:bottom w:val="single" w:sz="4" w:space="0" w:color="808080"/>
              <w:right w:val="single" w:sz="4" w:space="0" w:color="000000"/>
            </w:tcBorders>
            <w:shd w:val="clear" w:color="auto" w:fill="auto"/>
            <w:noWrap/>
            <w:vAlign w:val="center"/>
            <w:hideMark/>
          </w:tcPr>
          <w:p w14:paraId="3245EDF4"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3,940</w:t>
            </w:r>
          </w:p>
        </w:tc>
        <w:tc>
          <w:tcPr>
            <w:tcW w:w="1093" w:type="dxa"/>
            <w:tcBorders>
              <w:top w:val="nil"/>
              <w:left w:val="nil"/>
              <w:bottom w:val="single" w:sz="4" w:space="0" w:color="808080"/>
              <w:right w:val="single" w:sz="4" w:space="0" w:color="000000"/>
            </w:tcBorders>
            <w:shd w:val="clear" w:color="auto" w:fill="auto"/>
            <w:noWrap/>
            <w:vAlign w:val="center"/>
            <w:hideMark/>
          </w:tcPr>
          <w:p w14:paraId="3FC6770B"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2,063</w:t>
            </w:r>
          </w:p>
        </w:tc>
        <w:tc>
          <w:tcPr>
            <w:tcW w:w="1262" w:type="dxa"/>
            <w:tcBorders>
              <w:top w:val="nil"/>
              <w:left w:val="nil"/>
              <w:bottom w:val="single" w:sz="4" w:space="0" w:color="808080"/>
              <w:right w:val="single" w:sz="4" w:space="0" w:color="000000"/>
            </w:tcBorders>
            <w:shd w:val="clear" w:color="auto" w:fill="auto"/>
            <w:noWrap/>
            <w:vAlign w:val="center"/>
            <w:hideMark/>
          </w:tcPr>
          <w:p w14:paraId="3BD1ACD3"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11,002</w:t>
            </w:r>
          </w:p>
        </w:tc>
        <w:tc>
          <w:tcPr>
            <w:tcW w:w="1155" w:type="dxa"/>
            <w:tcBorders>
              <w:top w:val="nil"/>
              <w:left w:val="nil"/>
              <w:bottom w:val="single" w:sz="4" w:space="0" w:color="808080"/>
              <w:right w:val="single" w:sz="4" w:space="0" w:color="000000"/>
            </w:tcBorders>
            <w:shd w:val="clear" w:color="auto" w:fill="auto"/>
            <w:noWrap/>
            <w:vAlign w:val="center"/>
            <w:hideMark/>
          </w:tcPr>
          <w:p w14:paraId="75DFED98"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2,788</w:t>
            </w:r>
          </w:p>
        </w:tc>
        <w:tc>
          <w:tcPr>
            <w:tcW w:w="1260" w:type="dxa"/>
            <w:tcBorders>
              <w:top w:val="nil"/>
              <w:left w:val="nil"/>
              <w:bottom w:val="single" w:sz="4" w:space="0" w:color="808080"/>
              <w:right w:val="single" w:sz="4" w:space="0" w:color="000000"/>
            </w:tcBorders>
            <w:shd w:val="clear" w:color="auto" w:fill="auto"/>
            <w:noWrap/>
            <w:vAlign w:val="center"/>
            <w:hideMark/>
          </w:tcPr>
          <w:p w14:paraId="2AAAE358"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94,173</w:t>
            </w:r>
          </w:p>
        </w:tc>
        <w:tc>
          <w:tcPr>
            <w:tcW w:w="1080" w:type="dxa"/>
            <w:tcBorders>
              <w:top w:val="nil"/>
              <w:left w:val="nil"/>
              <w:bottom w:val="single" w:sz="4" w:space="0" w:color="808080"/>
              <w:right w:val="single" w:sz="4" w:space="0" w:color="000000"/>
            </w:tcBorders>
            <w:shd w:val="clear" w:color="auto" w:fill="auto"/>
            <w:noWrap/>
            <w:vAlign w:val="center"/>
            <w:hideMark/>
          </w:tcPr>
          <w:p w14:paraId="78E07C02"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782</w:t>
            </w:r>
          </w:p>
        </w:tc>
        <w:tc>
          <w:tcPr>
            <w:tcW w:w="1260" w:type="dxa"/>
            <w:tcBorders>
              <w:top w:val="nil"/>
              <w:left w:val="nil"/>
              <w:bottom w:val="single" w:sz="4" w:space="0" w:color="808080"/>
              <w:right w:val="single" w:sz="8" w:space="0" w:color="000000"/>
            </w:tcBorders>
            <w:shd w:val="clear" w:color="auto" w:fill="auto"/>
            <w:noWrap/>
            <w:vAlign w:val="center"/>
            <w:hideMark/>
          </w:tcPr>
          <w:p w14:paraId="57025F26"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522</w:t>
            </w:r>
          </w:p>
        </w:tc>
      </w:tr>
      <w:tr w:rsidR="00A95C31" w:rsidRPr="00EE5714" w14:paraId="2D954719" w14:textId="77777777" w:rsidTr="00A95C31">
        <w:trPr>
          <w:trHeight w:hRule="exact" w:val="245"/>
          <w:jc w:val="center"/>
        </w:trPr>
        <w:tc>
          <w:tcPr>
            <w:tcW w:w="80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22C02A69" w14:textId="77777777" w:rsidR="00F303E0" w:rsidRPr="00EE5714" w:rsidRDefault="00F303E0" w:rsidP="00851815">
            <w:pPr>
              <w:keepNext/>
              <w:jc w:val="center"/>
              <w:rPr>
                <w:rFonts w:eastAsia="Times New Roman" w:cstheme="minorHAnsi"/>
                <w:b/>
                <w:bCs/>
                <w:color w:val="000000"/>
                <w:sz w:val="21"/>
                <w:szCs w:val="21"/>
              </w:rPr>
            </w:pPr>
            <w:r w:rsidRPr="00EE5714">
              <w:rPr>
                <w:rFonts w:eastAsia="Times New Roman" w:cstheme="minorHAnsi"/>
                <w:b/>
                <w:bCs/>
                <w:color w:val="000000"/>
                <w:sz w:val="21"/>
                <w:szCs w:val="21"/>
              </w:rPr>
              <w:t>2014</w:t>
            </w:r>
          </w:p>
        </w:tc>
        <w:tc>
          <w:tcPr>
            <w:tcW w:w="1170" w:type="dxa"/>
            <w:tcBorders>
              <w:top w:val="nil"/>
              <w:left w:val="nil"/>
              <w:bottom w:val="single" w:sz="4" w:space="0" w:color="808080"/>
              <w:right w:val="single" w:sz="4" w:space="0" w:color="000000"/>
            </w:tcBorders>
            <w:shd w:val="clear" w:color="auto" w:fill="auto"/>
            <w:noWrap/>
            <w:vAlign w:val="center"/>
            <w:hideMark/>
          </w:tcPr>
          <w:p w14:paraId="4127BCDC"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1,841</w:t>
            </w:r>
          </w:p>
        </w:tc>
        <w:tc>
          <w:tcPr>
            <w:tcW w:w="1080" w:type="dxa"/>
            <w:tcBorders>
              <w:top w:val="nil"/>
              <w:left w:val="nil"/>
              <w:bottom w:val="single" w:sz="4" w:space="0" w:color="808080"/>
              <w:right w:val="single" w:sz="4" w:space="0" w:color="000000"/>
            </w:tcBorders>
            <w:shd w:val="clear" w:color="auto" w:fill="auto"/>
            <w:noWrap/>
            <w:vAlign w:val="center"/>
            <w:hideMark/>
          </w:tcPr>
          <w:p w14:paraId="2C851F09"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2,861</w:t>
            </w:r>
          </w:p>
        </w:tc>
        <w:tc>
          <w:tcPr>
            <w:tcW w:w="1093" w:type="dxa"/>
            <w:tcBorders>
              <w:top w:val="nil"/>
              <w:left w:val="nil"/>
              <w:bottom w:val="single" w:sz="4" w:space="0" w:color="808080"/>
              <w:right w:val="single" w:sz="4" w:space="0" w:color="000000"/>
            </w:tcBorders>
            <w:shd w:val="clear" w:color="auto" w:fill="auto"/>
            <w:noWrap/>
            <w:vAlign w:val="center"/>
            <w:hideMark/>
          </w:tcPr>
          <w:p w14:paraId="0A047151"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2,020</w:t>
            </w:r>
          </w:p>
        </w:tc>
        <w:tc>
          <w:tcPr>
            <w:tcW w:w="1262" w:type="dxa"/>
            <w:tcBorders>
              <w:top w:val="nil"/>
              <w:left w:val="nil"/>
              <w:bottom w:val="single" w:sz="4" w:space="0" w:color="808080"/>
              <w:right w:val="single" w:sz="4" w:space="0" w:color="000000"/>
            </w:tcBorders>
            <w:shd w:val="clear" w:color="auto" w:fill="auto"/>
            <w:noWrap/>
            <w:vAlign w:val="center"/>
            <w:hideMark/>
          </w:tcPr>
          <w:p w14:paraId="677BEA1E"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12,608</w:t>
            </w:r>
          </w:p>
        </w:tc>
        <w:tc>
          <w:tcPr>
            <w:tcW w:w="1155" w:type="dxa"/>
            <w:tcBorders>
              <w:top w:val="nil"/>
              <w:left w:val="nil"/>
              <w:bottom w:val="single" w:sz="4" w:space="0" w:color="808080"/>
              <w:right w:val="single" w:sz="4" w:space="0" w:color="000000"/>
            </w:tcBorders>
            <w:shd w:val="clear" w:color="auto" w:fill="auto"/>
            <w:noWrap/>
            <w:vAlign w:val="center"/>
            <w:hideMark/>
          </w:tcPr>
          <w:p w14:paraId="17D17BDC"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2,819</w:t>
            </w:r>
          </w:p>
        </w:tc>
        <w:tc>
          <w:tcPr>
            <w:tcW w:w="1260" w:type="dxa"/>
            <w:tcBorders>
              <w:top w:val="nil"/>
              <w:left w:val="nil"/>
              <w:bottom w:val="single" w:sz="4" w:space="0" w:color="808080"/>
              <w:right w:val="single" w:sz="4" w:space="0" w:color="000000"/>
            </w:tcBorders>
            <w:shd w:val="clear" w:color="auto" w:fill="auto"/>
            <w:noWrap/>
            <w:vAlign w:val="center"/>
            <w:hideMark/>
          </w:tcPr>
          <w:p w14:paraId="5A895D2B"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102,156</w:t>
            </w:r>
          </w:p>
        </w:tc>
        <w:tc>
          <w:tcPr>
            <w:tcW w:w="1080" w:type="dxa"/>
            <w:tcBorders>
              <w:top w:val="nil"/>
              <w:left w:val="nil"/>
              <w:bottom w:val="single" w:sz="4" w:space="0" w:color="808080"/>
              <w:right w:val="single" w:sz="4" w:space="0" w:color="000000"/>
            </w:tcBorders>
            <w:shd w:val="clear" w:color="auto" w:fill="auto"/>
            <w:noWrap/>
            <w:vAlign w:val="center"/>
            <w:hideMark/>
          </w:tcPr>
          <w:p w14:paraId="62C827F1"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715</w:t>
            </w:r>
          </w:p>
        </w:tc>
        <w:tc>
          <w:tcPr>
            <w:tcW w:w="1260" w:type="dxa"/>
            <w:tcBorders>
              <w:top w:val="nil"/>
              <w:left w:val="nil"/>
              <w:bottom w:val="single" w:sz="4" w:space="0" w:color="808080"/>
              <w:right w:val="single" w:sz="8" w:space="0" w:color="000000"/>
            </w:tcBorders>
            <w:shd w:val="clear" w:color="auto" w:fill="auto"/>
            <w:noWrap/>
            <w:vAlign w:val="center"/>
            <w:hideMark/>
          </w:tcPr>
          <w:p w14:paraId="33B122EA"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406</w:t>
            </w:r>
          </w:p>
        </w:tc>
      </w:tr>
      <w:tr w:rsidR="00A95C31" w:rsidRPr="00EE5714" w14:paraId="5712F106" w14:textId="77777777" w:rsidTr="00A95C31">
        <w:trPr>
          <w:trHeight w:hRule="exact" w:val="245"/>
          <w:jc w:val="center"/>
        </w:trPr>
        <w:tc>
          <w:tcPr>
            <w:tcW w:w="80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52D546A0" w14:textId="77777777" w:rsidR="00F303E0" w:rsidRPr="00EE5714" w:rsidRDefault="00F303E0" w:rsidP="00851815">
            <w:pPr>
              <w:keepNext/>
              <w:jc w:val="center"/>
              <w:rPr>
                <w:rFonts w:eastAsia="Times New Roman" w:cstheme="minorHAnsi"/>
                <w:b/>
                <w:bCs/>
                <w:color w:val="000000"/>
                <w:sz w:val="21"/>
                <w:szCs w:val="21"/>
              </w:rPr>
            </w:pPr>
            <w:r w:rsidRPr="00EE5714">
              <w:rPr>
                <w:rFonts w:eastAsia="Times New Roman" w:cstheme="minorHAnsi"/>
                <w:b/>
                <w:bCs/>
                <w:color w:val="000000"/>
                <w:sz w:val="21"/>
                <w:szCs w:val="21"/>
              </w:rPr>
              <w:t>2015</w:t>
            </w:r>
          </w:p>
        </w:tc>
        <w:tc>
          <w:tcPr>
            <w:tcW w:w="1170" w:type="dxa"/>
            <w:tcBorders>
              <w:top w:val="nil"/>
              <w:left w:val="nil"/>
              <w:bottom w:val="single" w:sz="4" w:space="0" w:color="808080"/>
              <w:right w:val="single" w:sz="4" w:space="0" w:color="000000"/>
            </w:tcBorders>
            <w:shd w:val="clear" w:color="auto" w:fill="auto"/>
            <w:noWrap/>
            <w:vAlign w:val="center"/>
            <w:hideMark/>
          </w:tcPr>
          <w:p w14:paraId="5B0338F9"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3,638</w:t>
            </w:r>
          </w:p>
        </w:tc>
        <w:tc>
          <w:tcPr>
            <w:tcW w:w="1080" w:type="dxa"/>
            <w:tcBorders>
              <w:top w:val="nil"/>
              <w:left w:val="nil"/>
              <w:bottom w:val="single" w:sz="4" w:space="0" w:color="808080"/>
              <w:right w:val="single" w:sz="4" w:space="0" w:color="000000"/>
            </w:tcBorders>
            <w:shd w:val="clear" w:color="auto" w:fill="auto"/>
            <w:noWrap/>
            <w:vAlign w:val="center"/>
            <w:hideMark/>
          </w:tcPr>
          <w:p w14:paraId="25AD81EC"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3,438</w:t>
            </w:r>
          </w:p>
        </w:tc>
        <w:tc>
          <w:tcPr>
            <w:tcW w:w="1093" w:type="dxa"/>
            <w:tcBorders>
              <w:top w:val="nil"/>
              <w:left w:val="nil"/>
              <w:bottom w:val="single" w:sz="4" w:space="0" w:color="808080"/>
              <w:right w:val="single" w:sz="4" w:space="0" w:color="000000"/>
            </w:tcBorders>
            <w:shd w:val="clear" w:color="auto" w:fill="auto"/>
            <w:noWrap/>
            <w:vAlign w:val="center"/>
            <w:hideMark/>
          </w:tcPr>
          <w:p w14:paraId="0C5E0FEE"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1,922</w:t>
            </w:r>
          </w:p>
        </w:tc>
        <w:tc>
          <w:tcPr>
            <w:tcW w:w="1262" w:type="dxa"/>
            <w:tcBorders>
              <w:top w:val="nil"/>
              <w:left w:val="nil"/>
              <w:bottom w:val="single" w:sz="4" w:space="0" w:color="808080"/>
              <w:right w:val="single" w:sz="4" w:space="0" w:color="000000"/>
            </w:tcBorders>
            <w:shd w:val="clear" w:color="auto" w:fill="auto"/>
            <w:noWrap/>
            <w:vAlign w:val="center"/>
            <w:hideMark/>
          </w:tcPr>
          <w:p w14:paraId="0F95E518"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13,422</w:t>
            </w:r>
          </w:p>
        </w:tc>
        <w:tc>
          <w:tcPr>
            <w:tcW w:w="1155" w:type="dxa"/>
            <w:tcBorders>
              <w:top w:val="nil"/>
              <w:left w:val="nil"/>
              <w:bottom w:val="single" w:sz="4" w:space="0" w:color="808080"/>
              <w:right w:val="single" w:sz="4" w:space="0" w:color="000000"/>
            </w:tcBorders>
            <w:shd w:val="clear" w:color="auto" w:fill="auto"/>
            <w:noWrap/>
            <w:vAlign w:val="center"/>
            <w:hideMark/>
          </w:tcPr>
          <w:p w14:paraId="04829613"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4,067</w:t>
            </w:r>
          </w:p>
        </w:tc>
        <w:tc>
          <w:tcPr>
            <w:tcW w:w="1260" w:type="dxa"/>
            <w:tcBorders>
              <w:top w:val="nil"/>
              <w:left w:val="nil"/>
              <w:bottom w:val="single" w:sz="4" w:space="0" w:color="808080"/>
              <w:right w:val="single" w:sz="4" w:space="0" w:color="000000"/>
            </w:tcBorders>
            <w:shd w:val="clear" w:color="auto" w:fill="auto"/>
            <w:noWrap/>
            <w:vAlign w:val="center"/>
            <w:hideMark/>
          </w:tcPr>
          <w:p w14:paraId="20C40DE7"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9,975</w:t>
            </w:r>
          </w:p>
        </w:tc>
        <w:tc>
          <w:tcPr>
            <w:tcW w:w="1080" w:type="dxa"/>
            <w:tcBorders>
              <w:top w:val="nil"/>
              <w:left w:val="nil"/>
              <w:bottom w:val="single" w:sz="4" w:space="0" w:color="808080"/>
              <w:right w:val="single" w:sz="4" w:space="0" w:color="000000"/>
            </w:tcBorders>
            <w:shd w:val="clear" w:color="auto" w:fill="auto"/>
            <w:noWrap/>
            <w:vAlign w:val="center"/>
            <w:hideMark/>
          </w:tcPr>
          <w:p w14:paraId="1C5616D6"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1,712</w:t>
            </w:r>
          </w:p>
        </w:tc>
        <w:tc>
          <w:tcPr>
            <w:tcW w:w="1260" w:type="dxa"/>
            <w:tcBorders>
              <w:top w:val="nil"/>
              <w:left w:val="nil"/>
              <w:bottom w:val="single" w:sz="4" w:space="0" w:color="808080"/>
              <w:right w:val="single" w:sz="8" w:space="0" w:color="000000"/>
            </w:tcBorders>
            <w:shd w:val="clear" w:color="auto" w:fill="auto"/>
            <w:noWrap/>
            <w:vAlign w:val="center"/>
            <w:hideMark/>
          </w:tcPr>
          <w:p w14:paraId="2DB6C0E6" w14:textId="77777777" w:rsidR="00F303E0" w:rsidRPr="00EE5714" w:rsidRDefault="00F303E0" w:rsidP="00851815">
            <w:pPr>
              <w:keepNext/>
              <w:jc w:val="center"/>
              <w:rPr>
                <w:rFonts w:eastAsia="Times New Roman" w:cstheme="minorHAnsi"/>
                <w:color w:val="000000"/>
                <w:sz w:val="21"/>
                <w:szCs w:val="21"/>
              </w:rPr>
            </w:pPr>
            <w:r w:rsidRPr="00EE5714">
              <w:rPr>
                <w:rFonts w:eastAsia="Times New Roman" w:cstheme="minorHAnsi"/>
                <w:color w:val="000000"/>
                <w:sz w:val="21"/>
                <w:szCs w:val="21"/>
              </w:rPr>
              <w:t>1,153</w:t>
            </w:r>
          </w:p>
        </w:tc>
      </w:tr>
      <w:tr w:rsidR="00A95C31" w:rsidRPr="00EE5714" w14:paraId="43F6C668" w14:textId="77777777" w:rsidTr="00A95C31">
        <w:trPr>
          <w:trHeight w:hRule="exact" w:val="245"/>
          <w:jc w:val="center"/>
        </w:trPr>
        <w:tc>
          <w:tcPr>
            <w:tcW w:w="800" w:type="dxa"/>
            <w:tcBorders>
              <w:top w:val="single" w:sz="4" w:space="0" w:color="000000"/>
              <w:left w:val="single" w:sz="8" w:space="0" w:color="000000"/>
              <w:bottom w:val="single" w:sz="8" w:space="0" w:color="000000"/>
              <w:right w:val="single" w:sz="4" w:space="0" w:color="000000"/>
            </w:tcBorders>
            <w:shd w:val="clear" w:color="auto" w:fill="F2F2F2" w:themeFill="background1" w:themeFillShade="F2"/>
            <w:noWrap/>
            <w:vAlign w:val="center"/>
            <w:hideMark/>
          </w:tcPr>
          <w:p w14:paraId="0CB5593C" w14:textId="77777777" w:rsidR="00F303E0" w:rsidRPr="00EE5714" w:rsidRDefault="00F303E0" w:rsidP="00851815">
            <w:pPr>
              <w:jc w:val="center"/>
              <w:rPr>
                <w:rFonts w:eastAsia="Times New Roman" w:cstheme="minorHAnsi"/>
                <w:b/>
                <w:bCs/>
                <w:color w:val="000000"/>
                <w:sz w:val="21"/>
                <w:szCs w:val="21"/>
              </w:rPr>
            </w:pPr>
            <w:r w:rsidRPr="00EE5714">
              <w:rPr>
                <w:rFonts w:eastAsia="Times New Roman" w:cstheme="minorHAnsi"/>
                <w:b/>
                <w:bCs/>
                <w:color w:val="000000"/>
                <w:sz w:val="21"/>
                <w:szCs w:val="21"/>
              </w:rPr>
              <w:t>2016</w:t>
            </w:r>
          </w:p>
        </w:tc>
        <w:tc>
          <w:tcPr>
            <w:tcW w:w="1170" w:type="dxa"/>
            <w:tcBorders>
              <w:top w:val="nil"/>
              <w:left w:val="nil"/>
              <w:bottom w:val="single" w:sz="8" w:space="0" w:color="000000"/>
              <w:right w:val="single" w:sz="4" w:space="0" w:color="000000"/>
            </w:tcBorders>
            <w:shd w:val="clear" w:color="auto" w:fill="auto"/>
            <w:noWrap/>
            <w:vAlign w:val="center"/>
            <w:hideMark/>
          </w:tcPr>
          <w:p w14:paraId="242D1569" w14:textId="77777777" w:rsidR="00F303E0" w:rsidRPr="00EE5714" w:rsidRDefault="00F303E0" w:rsidP="00851815">
            <w:pPr>
              <w:jc w:val="center"/>
              <w:rPr>
                <w:rFonts w:eastAsia="Times New Roman" w:cstheme="minorHAnsi"/>
                <w:color w:val="000000"/>
                <w:sz w:val="21"/>
                <w:szCs w:val="21"/>
              </w:rPr>
            </w:pPr>
            <w:r w:rsidRPr="00EE5714">
              <w:rPr>
                <w:rFonts w:eastAsia="Times New Roman" w:cstheme="minorHAnsi"/>
                <w:color w:val="000000"/>
                <w:sz w:val="21"/>
                <w:szCs w:val="21"/>
              </w:rPr>
              <w:t>3,565</w:t>
            </w:r>
          </w:p>
        </w:tc>
        <w:tc>
          <w:tcPr>
            <w:tcW w:w="1080" w:type="dxa"/>
            <w:tcBorders>
              <w:top w:val="nil"/>
              <w:left w:val="nil"/>
              <w:bottom w:val="single" w:sz="8" w:space="0" w:color="000000"/>
              <w:right w:val="single" w:sz="4" w:space="0" w:color="000000"/>
            </w:tcBorders>
            <w:shd w:val="clear" w:color="auto" w:fill="auto"/>
            <w:noWrap/>
            <w:vAlign w:val="center"/>
            <w:hideMark/>
          </w:tcPr>
          <w:p w14:paraId="709B22FA" w14:textId="77777777" w:rsidR="00F303E0" w:rsidRPr="00EE5714" w:rsidRDefault="00F303E0" w:rsidP="00851815">
            <w:pPr>
              <w:jc w:val="center"/>
              <w:rPr>
                <w:rFonts w:eastAsia="Times New Roman" w:cstheme="minorHAnsi"/>
                <w:color w:val="000000"/>
                <w:sz w:val="21"/>
                <w:szCs w:val="21"/>
              </w:rPr>
            </w:pPr>
            <w:r w:rsidRPr="00EE5714">
              <w:rPr>
                <w:rFonts w:eastAsia="Times New Roman" w:cstheme="minorHAnsi"/>
                <w:color w:val="000000"/>
                <w:sz w:val="21"/>
                <w:szCs w:val="21"/>
              </w:rPr>
              <w:t>4,322</w:t>
            </w:r>
          </w:p>
        </w:tc>
        <w:tc>
          <w:tcPr>
            <w:tcW w:w="1093" w:type="dxa"/>
            <w:tcBorders>
              <w:top w:val="nil"/>
              <w:left w:val="nil"/>
              <w:bottom w:val="single" w:sz="8" w:space="0" w:color="000000"/>
              <w:right w:val="single" w:sz="4" w:space="0" w:color="000000"/>
            </w:tcBorders>
            <w:shd w:val="clear" w:color="auto" w:fill="auto"/>
            <w:noWrap/>
            <w:vAlign w:val="center"/>
            <w:hideMark/>
          </w:tcPr>
          <w:p w14:paraId="0A99B5C1" w14:textId="77777777" w:rsidR="00F303E0" w:rsidRPr="00EE5714" w:rsidRDefault="00F303E0" w:rsidP="00851815">
            <w:pPr>
              <w:jc w:val="center"/>
              <w:rPr>
                <w:rFonts w:eastAsia="Times New Roman" w:cstheme="minorHAnsi"/>
                <w:color w:val="000000"/>
                <w:sz w:val="21"/>
                <w:szCs w:val="21"/>
              </w:rPr>
            </w:pPr>
            <w:r w:rsidRPr="00EE5714">
              <w:rPr>
                <w:rFonts w:eastAsia="Times New Roman" w:cstheme="minorHAnsi"/>
                <w:color w:val="000000"/>
                <w:sz w:val="21"/>
                <w:szCs w:val="21"/>
              </w:rPr>
              <w:t>935</w:t>
            </w:r>
          </w:p>
        </w:tc>
        <w:tc>
          <w:tcPr>
            <w:tcW w:w="1262" w:type="dxa"/>
            <w:tcBorders>
              <w:top w:val="nil"/>
              <w:left w:val="nil"/>
              <w:bottom w:val="single" w:sz="8" w:space="0" w:color="000000"/>
              <w:right w:val="single" w:sz="4" w:space="0" w:color="000000"/>
            </w:tcBorders>
            <w:shd w:val="clear" w:color="auto" w:fill="auto"/>
            <w:noWrap/>
            <w:vAlign w:val="center"/>
            <w:hideMark/>
          </w:tcPr>
          <w:p w14:paraId="45DE5400" w14:textId="77777777" w:rsidR="00F303E0" w:rsidRPr="00EE5714" w:rsidRDefault="00F303E0" w:rsidP="00851815">
            <w:pPr>
              <w:jc w:val="center"/>
              <w:rPr>
                <w:rFonts w:eastAsia="Times New Roman" w:cstheme="minorHAnsi"/>
                <w:color w:val="000000"/>
                <w:sz w:val="21"/>
                <w:szCs w:val="21"/>
              </w:rPr>
            </w:pPr>
            <w:r w:rsidRPr="00EE5714">
              <w:rPr>
                <w:rFonts w:eastAsia="Times New Roman" w:cstheme="minorHAnsi"/>
                <w:color w:val="000000"/>
                <w:sz w:val="21"/>
                <w:szCs w:val="21"/>
              </w:rPr>
              <w:t>11,997</w:t>
            </w:r>
          </w:p>
        </w:tc>
        <w:tc>
          <w:tcPr>
            <w:tcW w:w="1155" w:type="dxa"/>
            <w:tcBorders>
              <w:top w:val="nil"/>
              <w:left w:val="nil"/>
              <w:bottom w:val="single" w:sz="8" w:space="0" w:color="000000"/>
              <w:right w:val="single" w:sz="4" w:space="0" w:color="000000"/>
            </w:tcBorders>
            <w:shd w:val="clear" w:color="auto" w:fill="auto"/>
            <w:noWrap/>
            <w:vAlign w:val="center"/>
            <w:hideMark/>
          </w:tcPr>
          <w:p w14:paraId="7D496840" w14:textId="77777777" w:rsidR="00F303E0" w:rsidRPr="00EE5714" w:rsidRDefault="00F303E0" w:rsidP="00851815">
            <w:pPr>
              <w:jc w:val="center"/>
              <w:rPr>
                <w:rFonts w:eastAsia="Times New Roman" w:cstheme="minorHAnsi"/>
                <w:color w:val="000000"/>
                <w:sz w:val="21"/>
                <w:szCs w:val="21"/>
              </w:rPr>
            </w:pPr>
            <w:r w:rsidRPr="00EE5714">
              <w:rPr>
                <w:rFonts w:eastAsia="Times New Roman" w:cstheme="minorHAnsi"/>
                <w:color w:val="000000"/>
                <w:sz w:val="21"/>
                <w:szCs w:val="21"/>
              </w:rPr>
              <w:t>3,573</w:t>
            </w:r>
          </w:p>
        </w:tc>
        <w:tc>
          <w:tcPr>
            <w:tcW w:w="1260" w:type="dxa"/>
            <w:tcBorders>
              <w:top w:val="nil"/>
              <w:left w:val="nil"/>
              <w:bottom w:val="single" w:sz="8" w:space="0" w:color="000000"/>
              <w:right w:val="single" w:sz="4" w:space="0" w:color="000000"/>
            </w:tcBorders>
            <w:shd w:val="clear" w:color="auto" w:fill="auto"/>
            <w:noWrap/>
            <w:vAlign w:val="center"/>
            <w:hideMark/>
          </w:tcPr>
          <w:p w14:paraId="043160CE" w14:textId="77777777" w:rsidR="00F303E0" w:rsidRPr="00EE5714" w:rsidRDefault="00F303E0" w:rsidP="00851815">
            <w:pPr>
              <w:jc w:val="center"/>
              <w:rPr>
                <w:rFonts w:eastAsia="Times New Roman" w:cstheme="minorHAnsi"/>
                <w:color w:val="000000"/>
                <w:sz w:val="21"/>
                <w:szCs w:val="21"/>
              </w:rPr>
            </w:pPr>
            <w:r w:rsidRPr="00EE5714">
              <w:rPr>
                <w:rFonts w:eastAsia="Times New Roman" w:cstheme="minorHAnsi"/>
                <w:color w:val="000000"/>
                <w:sz w:val="21"/>
                <w:szCs w:val="21"/>
              </w:rPr>
              <w:t>10,027</w:t>
            </w:r>
          </w:p>
        </w:tc>
        <w:tc>
          <w:tcPr>
            <w:tcW w:w="1080" w:type="dxa"/>
            <w:tcBorders>
              <w:top w:val="nil"/>
              <w:left w:val="nil"/>
              <w:bottom w:val="single" w:sz="8" w:space="0" w:color="000000"/>
              <w:right w:val="single" w:sz="4" w:space="0" w:color="000000"/>
            </w:tcBorders>
            <w:shd w:val="clear" w:color="auto" w:fill="auto"/>
            <w:noWrap/>
            <w:vAlign w:val="center"/>
            <w:hideMark/>
          </w:tcPr>
          <w:p w14:paraId="755B748E" w14:textId="77777777" w:rsidR="00F303E0" w:rsidRPr="00EE5714" w:rsidRDefault="00F303E0" w:rsidP="00851815">
            <w:pPr>
              <w:jc w:val="center"/>
              <w:rPr>
                <w:rFonts w:eastAsia="Times New Roman" w:cstheme="minorHAnsi"/>
                <w:color w:val="000000"/>
                <w:sz w:val="21"/>
                <w:szCs w:val="21"/>
              </w:rPr>
            </w:pPr>
            <w:r w:rsidRPr="00EE5714">
              <w:rPr>
                <w:rFonts w:eastAsia="Times New Roman" w:cstheme="minorHAnsi"/>
                <w:color w:val="000000"/>
                <w:sz w:val="21"/>
                <w:szCs w:val="21"/>
              </w:rPr>
              <w:t>974</w:t>
            </w:r>
          </w:p>
        </w:tc>
        <w:tc>
          <w:tcPr>
            <w:tcW w:w="1260" w:type="dxa"/>
            <w:tcBorders>
              <w:top w:val="nil"/>
              <w:left w:val="nil"/>
              <w:bottom w:val="single" w:sz="8" w:space="0" w:color="000000"/>
              <w:right w:val="single" w:sz="8" w:space="0" w:color="000000"/>
            </w:tcBorders>
            <w:shd w:val="clear" w:color="auto" w:fill="auto"/>
            <w:noWrap/>
            <w:vAlign w:val="center"/>
            <w:hideMark/>
          </w:tcPr>
          <w:p w14:paraId="509374DB" w14:textId="77777777" w:rsidR="00F303E0" w:rsidRPr="00EE5714" w:rsidRDefault="00F303E0" w:rsidP="00851815">
            <w:pPr>
              <w:jc w:val="center"/>
              <w:rPr>
                <w:rFonts w:eastAsia="Times New Roman" w:cstheme="minorHAnsi"/>
                <w:color w:val="000000"/>
                <w:sz w:val="21"/>
                <w:szCs w:val="21"/>
              </w:rPr>
            </w:pPr>
            <w:r w:rsidRPr="00EE5714">
              <w:rPr>
                <w:rFonts w:eastAsia="Times New Roman" w:cstheme="minorHAnsi"/>
                <w:color w:val="000000"/>
                <w:sz w:val="21"/>
                <w:szCs w:val="21"/>
              </w:rPr>
              <w:t>622</w:t>
            </w:r>
          </w:p>
        </w:tc>
      </w:tr>
    </w:tbl>
    <w:p w14:paraId="6D265D3E" w14:textId="77777777" w:rsidR="00F303E0" w:rsidRPr="00EE5714" w:rsidRDefault="00F303E0" w:rsidP="00CE67A6">
      <w:pPr>
        <w:spacing w:after="0" w:line="240" w:lineRule="auto"/>
        <w:rPr>
          <w:rFonts w:ascii="Times New Roman" w:hAnsi="Times New Roman" w:cs="Times New Roman"/>
          <w:sz w:val="26"/>
          <w:szCs w:val="26"/>
        </w:rPr>
      </w:pPr>
    </w:p>
    <w:p w14:paraId="73D40F14" w14:textId="77777777" w:rsidR="00F303E0" w:rsidRPr="00EE5714" w:rsidRDefault="00F303E0" w:rsidP="00CE67A6">
      <w:pPr>
        <w:spacing w:after="0" w:line="240" w:lineRule="auto"/>
        <w:rPr>
          <w:rFonts w:ascii="Times New Roman" w:hAnsi="Times New Roman" w:cs="Times New Roman"/>
          <w:sz w:val="26"/>
          <w:szCs w:val="26"/>
        </w:rPr>
      </w:pPr>
    </w:p>
    <w:p w14:paraId="29536056" w14:textId="77777777" w:rsidR="00F303E0" w:rsidRPr="00EE5714" w:rsidRDefault="00F734A0" w:rsidP="00F303E0">
      <w:pPr>
        <w:keepNext/>
        <w:rPr>
          <w:rFonts w:ascii="Times New Roman" w:hAnsi="Times New Roman" w:cs="Times New Roman"/>
          <w:sz w:val="26"/>
          <w:szCs w:val="26"/>
        </w:rPr>
      </w:pPr>
      <w:r w:rsidRPr="00EE5714">
        <w:rPr>
          <w:rFonts w:ascii="Times New Roman" w:hAnsi="Times New Roman" w:cs="Times New Roman"/>
          <w:sz w:val="26"/>
          <w:szCs w:val="26"/>
        </w:rPr>
        <w:t>Appendix 6</w:t>
      </w:r>
      <w:r w:rsidR="00F303E0" w:rsidRPr="00EE5714">
        <w:rPr>
          <w:rFonts w:ascii="Times New Roman" w:hAnsi="Times New Roman" w:cs="Times New Roman"/>
          <w:sz w:val="26"/>
          <w:szCs w:val="26"/>
        </w:rPr>
        <w:t xml:space="preserve">.A.2: </w:t>
      </w:r>
      <w:r w:rsidR="00F303E0" w:rsidRPr="00EE5714">
        <w:rPr>
          <w:rFonts w:ascii="Times New Roman" w:eastAsia="Times New Roman" w:hAnsi="Times New Roman" w:cs="Times New Roman"/>
          <w:b/>
          <w:bCs/>
          <w:color w:val="000000"/>
          <w:sz w:val="26"/>
          <w:szCs w:val="26"/>
        </w:rPr>
        <w:t>Percent of NGDC Aggregate Total CAP Default Exit Rates 0%-150% FPIG</w:t>
      </w:r>
    </w:p>
    <w:tbl>
      <w:tblPr>
        <w:tblW w:w="10080" w:type="dxa"/>
        <w:tblInd w:w="-370" w:type="dxa"/>
        <w:tblLayout w:type="fixed"/>
        <w:tblLook w:val="04A0" w:firstRow="1" w:lastRow="0" w:firstColumn="1" w:lastColumn="0" w:noHBand="0" w:noVBand="1"/>
      </w:tblPr>
      <w:tblGrid>
        <w:gridCol w:w="810"/>
        <w:gridCol w:w="1170"/>
        <w:gridCol w:w="1080"/>
        <w:gridCol w:w="1080"/>
        <w:gridCol w:w="1260"/>
        <w:gridCol w:w="1080"/>
        <w:gridCol w:w="1350"/>
        <w:gridCol w:w="990"/>
        <w:gridCol w:w="1260"/>
      </w:tblGrid>
      <w:tr w:rsidR="00F303E0" w:rsidRPr="00EE5714" w14:paraId="64D6CB6C" w14:textId="77777777" w:rsidTr="00CE67A6">
        <w:trPr>
          <w:trHeight w:val="115"/>
        </w:trPr>
        <w:tc>
          <w:tcPr>
            <w:tcW w:w="10080" w:type="dxa"/>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noWrap/>
            <w:vAlign w:val="center"/>
            <w:hideMark/>
          </w:tcPr>
          <w:p w14:paraId="7EA396A2"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Percent of NGDC Aggregate Total CAP Default Exit Rates 0%-150% FPIG </w:t>
            </w:r>
          </w:p>
        </w:tc>
      </w:tr>
      <w:tr w:rsidR="00F303E0" w:rsidRPr="00EE5714" w14:paraId="1A840576" w14:textId="77777777" w:rsidTr="00CE67A6">
        <w:trPr>
          <w:trHeight w:val="216"/>
        </w:trPr>
        <w:tc>
          <w:tcPr>
            <w:tcW w:w="810" w:type="dxa"/>
            <w:tcBorders>
              <w:top w:val="nil"/>
              <w:left w:val="single" w:sz="8" w:space="0" w:color="000000"/>
              <w:bottom w:val="single" w:sz="4" w:space="0" w:color="000000"/>
              <w:right w:val="single" w:sz="4" w:space="0" w:color="000000"/>
            </w:tcBorders>
            <w:shd w:val="clear" w:color="auto" w:fill="auto"/>
            <w:noWrap/>
            <w:vAlign w:val="center"/>
            <w:hideMark/>
          </w:tcPr>
          <w:p w14:paraId="1F46D0C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170" w:type="dxa"/>
            <w:tcBorders>
              <w:top w:val="nil"/>
              <w:left w:val="nil"/>
              <w:bottom w:val="single" w:sz="4" w:space="0" w:color="000000"/>
              <w:right w:val="single" w:sz="4" w:space="0" w:color="000000"/>
            </w:tcBorders>
            <w:shd w:val="clear" w:color="auto" w:fill="auto"/>
            <w:noWrap/>
            <w:vAlign w:val="center"/>
            <w:hideMark/>
          </w:tcPr>
          <w:p w14:paraId="7AC3C392"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 xml:space="preserve">Columbia </w:t>
            </w:r>
          </w:p>
        </w:tc>
        <w:tc>
          <w:tcPr>
            <w:tcW w:w="1080" w:type="dxa"/>
            <w:tcBorders>
              <w:top w:val="nil"/>
              <w:left w:val="nil"/>
              <w:bottom w:val="single" w:sz="4" w:space="0" w:color="000000"/>
              <w:right w:val="single" w:sz="4" w:space="0" w:color="000000"/>
            </w:tcBorders>
            <w:shd w:val="clear" w:color="auto" w:fill="auto"/>
            <w:noWrap/>
            <w:vAlign w:val="center"/>
            <w:hideMark/>
          </w:tcPr>
          <w:p w14:paraId="4332A61C"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Equitable</w:t>
            </w:r>
          </w:p>
        </w:tc>
        <w:tc>
          <w:tcPr>
            <w:tcW w:w="1080" w:type="dxa"/>
            <w:tcBorders>
              <w:top w:val="nil"/>
              <w:left w:val="nil"/>
              <w:bottom w:val="single" w:sz="4" w:space="0" w:color="000000"/>
              <w:right w:val="single" w:sz="4" w:space="0" w:color="000000"/>
            </w:tcBorders>
            <w:shd w:val="clear" w:color="auto" w:fill="auto"/>
            <w:noWrap/>
            <w:vAlign w:val="center"/>
            <w:hideMark/>
          </w:tcPr>
          <w:p w14:paraId="091B5392"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NFG</w:t>
            </w:r>
          </w:p>
        </w:tc>
        <w:tc>
          <w:tcPr>
            <w:tcW w:w="1260" w:type="dxa"/>
            <w:tcBorders>
              <w:top w:val="nil"/>
              <w:left w:val="nil"/>
              <w:bottom w:val="single" w:sz="4" w:space="0" w:color="000000"/>
              <w:right w:val="single" w:sz="4" w:space="0" w:color="000000"/>
            </w:tcBorders>
            <w:shd w:val="clear" w:color="auto" w:fill="auto"/>
            <w:noWrap/>
            <w:vAlign w:val="center"/>
            <w:hideMark/>
          </w:tcPr>
          <w:p w14:paraId="7861C1E1"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Gas</w:t>
            </w:r>
          </w:p>
        </w:tc>
        <w:tc>
          <w:tcPr>
            <w:tcW w:w="1080" w:type="dxa"/>
            <w:tcBorders>
              <w:top w:val="nil"/>
              <w:left w:val="nil"/>
              <w:bottom w:val="single" w:sz="4" w:space="0" w:color="000000"/>
              <w:right w:val="single" w:sz="4" w:space="0" w:color="000000"/>
            </w:tcBorders>
            <w:shd w:val="clear" w:color="auto" w:fill="auto"/>
            <w:noWrap/>
            <w:vAlign w:val="center"/>
            <w:hideMark/>
          </w:tcPr>
          <w:p w14:paraId="5957DDA2"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w:t>
            </w:r>
          </w:p>
        </w:tc>
        <w:tc>
          <w:tcPr>
            <w:tcW w:w="1350" w:type="dxa"/>
            <w:tcBorders>
              <w:top w:val="nil"/>
              <w:left w:val="nil"/>
              <w:bottom w:val="single" w:sz="4" w:space="0" w:color="000000"/>
              <w:right w:val="single" w:sz="4" w:space="0" w:color="000000"/>
            </w:tcBorders>
            <w:shd w:val="clear" w:color="auto" w:fill="auto"/>
            <w:noWrap/>
            <w:vAlign w:val="center"/>
            <w:hideMark/>
          </w:tcPr>
          <w:p w14:paraId="1ADE644C"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PGW</w:t>
            </w:r>
          </w:p>
        </w:tc>
        <w:tc>
          <w:tcPr>
            <w:tcW w:w="990" w:type="dxa"/>
            <w:tcBorders>
              <w:top w:val="nil"/>
              <w:left w:val="nil"/>
              <w:bottom w:val="single" w:sz="4" w:space="0" w:color="000000"/>
              <w:right w:val="single" w:sz="4" w:space="0" w:color="000000"/>
            </w:tcBorders>
            <w:shd w:val="clear" w:color="auto" w:fill="auto"/>
            <w:noWrap/>
            <w:vAlign w:val="center"/>
            <w:hideMark/>
          </w:tcPr>
          <w:p w14:paraId="60BA8648"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Gas</w:t>
            </w:r>
          </w:p>
        </w:tc>
        <w:tc>
          <w:tcPr>
            <w:tcW w:w="1260" w:type="dxa"/>
            <w:tcBorders>
              <w:top w:val="nil"/>
              <w:left w:val="nil"/>
              <w:bottom w:val="single" w:sz="4" w:space="0" w:color="000000"/>
              <w:right w:val="single" w:sz="8" w:space="0" w:color="000000"/>
            </w:tcBorders>
            <w:shd w:val="clear" w:color="auto" w:fill="auto"/>
            <w:noWrap/>
            <w:vAlign w:val="center"/>
            <w:hideMark/>
          </w:tcPr>
          <w:p w14:paraId="6EBE6DB7"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PNG</w:t>
            </w:r>
          </w:p>
        </w:tc>
      </w:tr>
      <w:tr w:rsidR="00F303E0" w:rsidRPr="00EE5714" w14:paraId="691E4587" w14:textId="77777777" w:rsidTr="00CE67A6">
        <w:trPr>
          <w:trHeight w:hRule="exact" w:val="245"/>
        </w:trPr>
        <w:tc>
          <w:tcPr>
            <w:tcW w:w="81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55D23CA2"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1170" w:type="dxa"/>
            <w:tcBorders>
              <w:top w:val="nil"/>
              <w:left w:val="nil"/>
              <w:bottom w:val="single" w:sz="4" w:space="0" w:color="808080"/>
              <w:right w:val="single" w:sz="4" w:space="0" w:color="000000"/>
            </w:tcBorders>
            <w:shd w:val="clear" w:color="auto" w:fill="auto"/>
            <w:noWrap/>
            <w:vAlign w:val="center"/>
            <w:hideMark/>
          </w:tcPr>
          <w:p w14:paraId="7D6CF89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10.25%</w:t>
            </w:r>
          </w:p>
        </w:tc>
        <w:tc>
          <w:tcPr>
            <w:tcW w:w="1080" w:type="dxa"/>
            <w:tcBorders>
              <w:top w:val="nil"/>
              <w:left w:val="nil"/>
              <w:bottom w:val="single" w:sz="4" w:space="0" w:color="808080"/>
              <w:right w:val="single" w:sz="4" w:space="0" w:color="000000"/>
            </w:tcBorders>
            <w:shd w:val="clear" w:color="auto" w:fill="auto"/>
            <w:noWrap/>
            <w:vAlign w:val="center"/>
            <w:hideMark/>
          </w:tcPr>
          <w:p w14:paraId="588A1F6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32.38%</w:t>
            </w:r>
          </w:p>
        </w:tc>
        <w:tc>
          <w:tcPr>
            <w:tcW w:w="1080" w:type="dxa"/>
            <w:tcBorders>
              <w:top w:val="nil"/>
              <w:left w:val="nil"/>
              <w:bottom w:val="single" w:sz="4" w:space="0" w:color="808080"/>
              <w:right w:val="single" w:sz="4" w:space="0" w:color="000000"/>
            </w:tcBorders>
            <w:shd w:val="clear" w:color="auto" w:fill="auto"/>
            <w:noWrap/>
            <w:vAlign w:val="center"/>
            <w:hideMark/>
          </w:tcPr>
          <w:p w14:paraId="45E3D58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20.50%</w:t>
            </w:r>
          </w:p>
        </w:tc>
        <w:tc>
          <w:tcPr>
            <w:tcW w:w="1260" w:type="dxa"/>
            <w:tcBorders>
              <w:top w:val="nil"/>
              <w:left w:val="nil"/>
              <w:bottom w:val="single" w:sz="4" w:space="0" w:color="808080"/>
              <w:right w:val="single" w:sz="4" w:space="0" w:color="000000"/>
            </w:tcBorders>
            <w:shd w:val="clear" w:color="auto" w:fill="auto"/>
            <w:noWrap/>
            <w:vAlign w:val="center"/>
            <w:hideMark/>
          </w:tcPr>
          <w:p w14:paraId="5083D32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35.56%</w:t>
            </w:r>
          </w:p>
        </w:tc>
        <w:tc>
          <w:tcPr>
            <w:tcW w:w="1080" w:type="dxa"/>
            <w:tcBorders>
              <w:top w:val="nil"/>
              <w:left w:val="nil"/>
              <w:bottom w:val="single" w:sz="4" w:space="0" w:color="808080"/>
              <w:right w:val="single" w:sz="4" w:space="0" w:color="000000"/>
            </w:tcBorders>
            <w:shd w:val="clear" w:color="auto" w:fill="auto"/>
            <w:noWrap/>
            <w:vAlign w:val="center"/>
            <w:hideMark/>
          </w:tcPr>
          <w:p w14:paraId="6C48EFC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36.84%</w:t>
            </w:r>
          </w:p>
        </w:tc>
        <w:tc>
          <w:tcPr>
            <w:tcW w:w="1350" w:type="dxa"/>
            <w:tcBorders>
              <w:top w:val="nil"/>
              <w:left w:val="nil"/>
              <w:bottom w:val="single" w:sz="4" w:space="0" w:color="808080"/>
              <w:right w:val="single" w:sz="4" w:space="0" w:color="000000"/>
            </w:tcBorders>
            <w:shd w:val="clear" w:color="auto" w:fill="auto"/>
            <w:noWrap/>
            <w:vAlign w:val="center"/>
            <w:hideMark/>
          </w:tcPr>
          <w:p w14:paraId="4522EF3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102.89%</w:t>
            </w:r>
          </w:p>
        </w:tc>
        <w:tc>
          <w:tcPr>
            <w:tcW w:w="990" w:type="dxa"/>
            <w:tcBorders>
              <w:top w:val="nil"/>
              <w:left w:val="nil"/>
              <w:bottom w:val="single" w:sz="4" w:space="0" w:color="808080"/>
              <w:right w:val="single" w:sz="4" w:space="0" w:color="000000"/>
            </w:tcBorders>
            <w:shd w:val="clear" w:color="auto" w:fill="auto"/>
            <w:noWrap/>
            <w:vAlign w:val="center"/>
            <w:hideMark/>
          </w:tcPr>
          <w:p w14:paraId="683F259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44.73%</w:t>
            </w:r>
          </w:p>
        </w:tc>
        <w:tc>
          <w:tcPr>
            <w:tcW w:w="1260" w:type="dxa"/>
            <w:tcBorders>
              <w:top w:val="nil"/>
              <w:left w:val="nil"/>
              <w:bottom w:val="single" w:sz="4" w:space="0" w:color="808080"/>
              <w:right w:val="single" w:sz="8" w:space="0" w:color="000000"/>
            </w:tcBorders>
            <w:shd w:val="clear" w:color="auto" w:fill="auto"/>
            <w:noWrap/>
            <w:vAlign w:val="center"/>
            <w:hideMark/>
          </w:tcPr>
          <w:p w14:paraId="5992A05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37.49%</w:t>
            </w:r>
          </w:p>
        </w:tc>
      </w:tr>
      <w:tr w:rsidR="00F303E0" w:rsidRPr="00EE5714" w14:paraId="168F5A84" w14:textId="77777777" w:rsidTr="00CE67A6">
        <w:trPr>
          <w:trHeight w:hRule="exact" w:val="245"/>
        </w:trPr>
        <w:tc>
          <w:tcPr>
            <w:tcW w:w="81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495E4C05"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70" w:type="dxa"/>
            <w:tcBorders>
              <w:top w:val="nil"/>
              <w:left w:val="nil"/>
              <w:bottom w:val="single" w:sz="4" w:space="0" w:color="808080"/>
              <w:right w:val="single" w:sz="4" w:space="0" w:color="000000"/>
            </w:tcBorders>
            <w:shd w:val="clear" w:color="auto" w:fill="auto"/>
            <w:noWrap/>
            <w:vAlign w:val="center"/>
            <w:hideMark/>
          </w:tcPr>
          <w:p w14:paraId="41973EF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12.43%</w:t>
            </w:r>
          </w:p>
        </w:tc>
        <w:tc>
          <w:tcPr>
            <w:tcW w:w="1080" w:type="dxa"/>
            <w:tcBorders>
              <w:top w:val="nil"/>
              <w:left w:val="nil"/>
              <w:bottom w:val="single" w:sz="4" w:space="0" w:color="808080"/>
              <w:right w:val="single" w:sz="4" w:space="0" w:color="000000"/>
            </w:tcBorders>
            <w:shd w:val="clear" w:color="auto" w:fill="auto"/>
            <w:noWrap/>
            <w:vAlign w:val="center"/>
            <w:hideMark/>
          </w:tcPr>
          <w:p w14:paraId="6256AFA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34.93%</w:t>
            </w:r>
          </w:p>
        </w:tc>
        <w:tc>
          <w:tcPr>
            <w:tcW w:w="1080" w:type="dxa"/>
            <w:tcBorders>
              <w:top w:val="nil"/>
              <w:left w:val="nil"/>
              <w:bottom w:val="single" w:sz="4" w:space="0" w:color="808080"/>
              <w:right w:val="single" w:sz="4" w:space="0" w:color="000000"/>
            </w:tcBorders>
            <w:shd w:val="clear" w:color="auto" w:fill="auto"/>
            <w:noWrap/>
            <w:vAlign w:val="center"/>
            <w:hideMark/>
          </w:tcPr>
          <w:p w14:paraId="329E003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20.71%</w:t>
            </w:r>
          </w:p>
        </w:tc>
        <w:tc>
          <w:tcPr>
            <w:tcW w:w="1260" w:type="dxa"/>
            <w:tcBorders>
              <w:top w:val="nil"/>
              <w:left w:val="nil"/>
              <w:bottom w:val="single" w:sz="4" w:space="0" w:color="808080"/>
              <w:right w:val="single" w:sz="4" w:space="0" w:color="000000"/>
            </w:tcBorders>
            <w:shd w:val="clear" w:color="auto" w:fill="auto"/>
            <w:noWrap/>
            <w:vAlign w:val="center"/>
            <w:hideMark/>
          </w:tcPr>
          <w:p w14:paraId="727B610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46.34%</w:t>
            </w:r>
          </w:p>
        </w:tc>
        <w:tc>
          <w:tcPr>
            <w:tcW w:w="1080" w:type="dxa"/>
            <w:tcBorders>
              <w:top w:val="nil"/>
              <w:left w:val="nil"/>
              <w:bottom w:val="single" w:sz="4" w:space="0" w:color="808080"/>
              <w:right w:val="single" w:sz="4" w:space="0" w:color="000000"/>
            </w:tcBorders>
            <w:shd w:val="clear" w:color="auto" w:fill="auto"/>
            <w:noWrap/>
            <w:vAlign w:val="center"/>
            <w:hideMark/>
          </w:tcPr>
          <w:p w14:paraId="0246069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15.34%</w:t>
            </w:r>
          </w:p>
        </w:tc>
        <w:tc>
          <w:tcPr>
            <w:tcW w:w="1350" w:type="dxa"/>
            <w:tcBorders>
              <w:top w:val="nil"/>
              <w:left w:val="nil"/>
              <w:bottom w:val="single" w:sz="4" w:space="0" w:color="808080"/>
              <w:right w:val="single" w:sz="4" w:space="0" w:color="000000"/>
            </w:tcBorders>
            <w:shd w:val="clear" w:color="auto" w:fill="auto"/>
            <w:noWrap/>
            <w:vAlign w:val="center"/>
            <w:hideMark/>
          </w:tcPr>
          <w:p w14:paraId="53786A0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126.39%</w:t>
            </w:r>
          </w:p>
        </w:tc>
        <w:tc>
          <w:tcPr>
            <w:tcW w:w="990" w:type="dxa"/>
            <w:tcBorders>
              <w:top w:val="nil"/>
              <w:left w:val="nil"/>
              <w:bottom w:val="single" w:sz="4" w:space="0" w:color="808080"/>
              <w:right w:val="single" w:sz="4" w:space="0" w:color="000000"/>
            </w:tcBorders>
            <w:shd w:val="clear" w:color="auto" w:fill="auto"/>
            <w:noWrap/>
            <w:vAlign w:val="center"/>
            <w:hideMark/>
          </w:tcPr>
          <w:p w14:paraId="4D87B8A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16.09%</w:t>
            </w:r>
          </w:p>
        </w:tc>
        <w:tc>
          <w:tcPr>
            <w:tcW w:w="1260" w:type="dxa"/>
            <w:tcBorders>
              <w:top w:val="nil"/>
              <w:left w:val="nil"/>
              <w:bottom w:val="single" w:sz="4" w:space="0" w:color="808080"/>
              <w:right w:val="single" w:sz="8" w:space="0" w:color="000000"/>
            </w:tcBorders>
            <w:shd w:val="clear" w:color="auto" w:fill="auto"/>
            <w:noWrap/>
            <w:vAlign w:val="center"/>
            <w:hideMark/>
          </w:tcPr>
          <w:p w14:paraId="6AC4AF8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13.88%</w:t>
            </w:r>
          </w:p>
        </w:tc>
      </w:tr>
      <w:tr w:rsidR="00F303E0" w:rsidRPr="00EE5714" w14:paraId="7186E404" w14:textId="77777777" w:rsidTr="00CE67A6">
        <w:trPr>
          <w:trHeight w:hRule="exact" w:val="245"/>
        </w:trPr>
        <w:tc>
          <w:tcPr>
            <w:tcW w:w="81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1490268A"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170" w:type="dxa"/>
            <w:tcBorders>
              <w:top w:val="nil"/>
              <w:left w:val="nil"/>
              <w:bottom w:val="single" w:sz="4" w:space="0" w:color="808080"/>
              <w:right w:val="single" w:sz="4" w:space="0" w:color="000000"/>
            </w:tcBorders>
            <w:shd w:val="clear" w:color="auto" w:fill="auto"/>
            <w:noWrap/>
            <w:vAlign w:val="center"/>
            <w:hideMark/>
          </w:tcPr>
          <w:p w14:paraId="7923328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8.60%</w:t>
            </w:r>
          </w:p>
        </w:tc>
        <w:tc>
          <w:tcPr>
            <w:tcW w:w="1080" w:type="dxa"/>
            <w:tcBorders>
              <w:top w:val="nil"/>
              <w:left w:val="nil"/>
              <w:bottom w:val="single" w:sz="4" w:space="0" w:color="808080"/>
              <w:right w:val="single" w:sz="4" w:space="0" w:color="000000"/>
            </w:tcBorders>
            <w:shd w:val="clear" w:color="auto" w:fill="auto"/>
            <w:noWrap/>
            <w:vAlign w:val="center"/>
            <w:hideMark/>
          </w:tcPr>
          <w:p w14:paraId="5656604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21.46%</w:t>
            </w:r>
          </w:p>
        </w:tc>
        <w:tc>
          <w:tcPr>
            <w:tcW w:w="1080" w:type="dxa"/>
            <w:tcBorders>
              <w:top w:val="nil"/>
              <w:left w:val="nil"/>
              <w:bottom w:val="single" w:sz="4" w:space="0" w:color="808080"/>
              <w:right w:val="single" w:sz="4" w:space="0" w:color="000000"/>
            </w:tcBorders>
            <w:shd w:val="clear" w:color="auto" w:fill="auto"/>
            <w:noWrap/>
            <w:vAlign w:val="center"/>
            <w:hideMark/>
          </w:tcPr>
          <w:p w14:paraId="4AB93C2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20.62%</w:t>
            </w:r>
          </w:p>
        </w:tc>
        <w:tc>
          <w:tcPr>
            <w:tcW w:w="1260" w:type="dxa"/>
            <w:tcBorders>
              <w:top w:val="nil"/>
              <w:left w:val="nil"/>
              <w:bottom w:val="single" w:sz="4" w:space="0" w:color="808080"/>
              <w:right w:val="single" w:sz="4" w:space="0" w:color="000000"/>
            </w:tcBorders>
            <w:shd w:val="clear" w:color="auto" w:fill="auto"/>
            <w:noWrap/>
            <w:vAlign w:val="center"/>
            <w:hideMark/>
          </w:tcPr>
          <w:p w14:paraId="3F46216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51.11%</w:t>
            </w:r>
          </w:p>
        </w:tc>
        <w:tc>
          <w:tcPr>
            <w:tcW w:w="1080" w:type="dxa"/>
            <w:tcBorders>
              <w:top w:val="nil"/>
              <w:left w:val="nil"/>
              <w:bottom w:val="single" w:sz="4" w:space="0" w:color="808080"/>
              <w:right w:val="single" w:sz="4" w:space="0" w:color="000000"/>
            </w:tcBorders>
            <w:shd w:val="clear" w:color="auto" w:fill="auto"/>
            <w:noWrap/>
            <w:vAlign w:val="center"/>
            <w:hideMark/>
          </w:tcPr>
          <w:p w14:paraId="007D2A5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14.26%</w:t>
            </w:r>
          </w:p>
        </w:tc>
        <w:tc>
          <w:tcPr>
            <w:tcW w:w="1350" w:type="dxa"/>
            <w:tcBorders>
              <w:top w:val="nil"/>
              <w:left w:val="nil"/>
              <w:bottom w:val="single" w:sz="4" w:space="0" w:color="808080"/>
              <w:right w:val="single" w:sz="4" w:space="0" w:color="000000"/>
            </w:tcBorders>
            <w:shd w:val="clear" w:color="auto" w:fill="auto"/>
            <w:noWrap/>
            <w:vAlign w:val="center"/>
            <w:hideMark/>
          </w:tcPr>
          <w:p w14:paraId="5CCE19F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160.68%</w:t>
            </w:r>
          </w:p>
        </w:tc>
        <w:tc>
          <w:tcPr>
            <w:tcW w:w="990" w:type="dxa"/>
            <w:tcBorders>
              <w:top w:val="nil"/>
              <w:left w:val="nil"/>
              <w:bottom w:val="single" w:sz="4" w:space="0" w:color="808080"/>
              <w:right w:val="single" w:sz="4" w:space="0" w:color="000000"/>
            </w:tcBorders>
            <w:shd w:val="clear" w:color="auto" w:fill="auto"/>
            <w:noWrap/>
            <w:vAlign w:val="center"/>
            <w:hideMark/>
          </w:tcPr>
          <w:p w14:paraId="69C78BD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10.66%</w:t>
            </w:r>
          </w:p>
        </w:tc>
        <w:tc>
          <w:tcPr>
            <w:tcW w:w="1260" w:type="dxa"/>
            <w:tcBorders>
              <w:top w:val="nil"/>
              <w:left w:val="nil"/>
              <w:bottom w:val="single" w:sz="4" w:space="0" w:color="808080"/>
              <w:right w:val="single" w:sz="8" w:space="0" w:color="000000"/>
            </w:tcBorders>
            <w:shd w:val="clear" w:color="auto" w:fill="auto"/>
            <w:noWrap/>
            <w:vAlign w:val="center"/>
            <w:hideMark/>
          </w:tcPr>
          <w:p w14:paraId="274DDF9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7.69%</w:t>
            </w:r>
          </w:p>
        </w:tc>
      </w:tr>
      <w:tr w:rsidR="00F303E0" w:rsidRPr="00EE5714" w14:paraId="27DD49D8" w14:textId="77777777" w:rsidTr="00CE67A6">
        <w:trPr>
          <w:trHeight w:hRule="exact" w:val="245"/>
        </w:trPr>
        <w:tc>
          <w:tcPr>
            <w:tcW w:w="81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5EE65095"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170" w:type="dxa"/>
            <w:tcBorders>
              <w:top w:val="nil"/>
              <w:left w:val="nil"/>
              <w:bottom w:val="single" w:sz="4" w:space="0" w:color="808080"/>
              <w:right w:val="single" w:sz="4" w:space="0" w:color="000000"/>
            </w:tcBorders>
            <w:shd w:val="clear" w:color="auto" w:fill="auto"/>
            <w:noWrap/>
            <w:vAlign w:val="center"/>
            <w:hideMark/>
          </w:tcPr>
          <w:p w14:paraId="44AE49F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16.59%</w:t>
            </w:r>
          </w:p>
        </w:tc>
        <w:tc>
          <w:tcPr>
            <w:tcW w:w="1080" w:type="dxa"/>
            <w:tcBorders>
              <w:top w:val="nil"/>
              <w:left w:val="nil"/>
              <w:bottom w:val="single" w:sz="4" w:space="0" w:color="808080"/>
              <w:right w:val="single" w:sz="4" w:space="0" w:color="000000"/>
            </w:tcBorders>
            <w:shd w:val="clear" w:color="auto" w:fill="auto"/>
            <w:noWrap/>
            <w:vAlign w:val="center"/>
            <w:hideMark/>
          </w:tcPr>
          <w:p w14:paraId="6D58101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23.99%</w:t>
            </w:r>
          </w:p>
        </w:tc>
        <w:tc>
          <w:tcPr>
            <w:tcW w:w="1080" w:type="dxa"/>
            <w:tcBorders>
              <w:top w:val="nil"/>
              <w:left w:val="nil"/>
              <w:bottom w:val="single" w:sz="4" w:space="0" w:color="808080"/>
              <w:right w:val="single" w:sz="4" w:space="0" w:color="000000"/>
            </w:tcBorders>
            <w:shd w:val="clear" w:color="auto" w:fill="auto"/>
            <w:noWrap/>
            <w:vAlign w:val="center"/>
            <w:hideMark/>
          </w:tcPr>
          <w:p w14:paraId="666D7B1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20.07%</w:t>
            </w:r>
          </w:p>
        </w:tc>
        <w:tc>
          <w:tcPr>
            <w:tcW w:w="1260" w:type="dxa"/>
            <w:tcBorders>
              <w:top w:val="nil"/>
              <w:left w:val="nil"/>
              <w:bottom w:val="single" w:sz="4" w:space="0" w:color="808080"/>
              <w:right w:val="single" w:sz="4" w:space="0" w:color="000000"/>
            </w:tcBorders>
            <w:shd w:val="clear" w:color="auto" w:fill="auto"/>
            <w:noWrap/>
            <w:vAlign w:val="center"/>
            <w:hideMark/>
          </w:tcPr>
          <w:p w14:paraId="111851F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54.09%</w:t>
            </w:r>
          </w:p>
        </w:tc>
        <w:tc>
          <w:tcPr>
            <w:tcW w:w="1080" w:type="dxa"/>
            <w:tcBorders>
              <w:top w:val="nil"/>
              <w:left w:val="nil"/>
              <w:bottom w:val="single" w:sz="4" w:space="0" w:color="808080"/>
              <w:right w:val="single" w:sz="4" w:space="0" w:color="000000"/>
            </w:tcBorders>
            <w:shd w:val="clear" w:color="auto" w:fill="auto"/>
            <w:noWrap/>
            <w:vAlign w:val="center"/>
            <w:hideMark/>
          </w:tcPr>
          <w:p w14:paraId="6D0D291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19.91%</w:t>
            </w:r>
          </w:p>
        </w:tc>
        <w:tc>
          <w:tcPr>
            <w:tcW w:w="1350" w:type="dxa"/>
            <w:tcBorders>
              <w:top w:val="nil"/>
              <w:left w:val="nil"/>
              <w:bottom w:val="single" w:sz="4" w:space="0" w:color="808080"/>
              <w:right w:val="single" w:sz="4" w:space="0" w:color="000000"/>
            </w:tcBorders>
            <w:shd w:val="clear" w:color="auto" w:fill="auto"/>
            <w:noWrap/>
            <w:vAlign w:val="center"/>
            <w:hideMark/>
          </w:tcPr>
          <w:p w14:paraId="2CEDAE8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16.49%</w:t>
            </w:r>
          </w:p>
        </w:tc>
        <w:tc>
          <w:tcPr>
            <w:tcW w:w="990" w:type="dxa"/>
            <w:tcBorders>
              <w:top w:val="nil"/>
              <w:left w:val="nil"/>
              <w:bottom w:val="single" w:sz="4" w:space="0" w:color="808080"/>
              <w:right w:val="single" w:sz="4" w:space="0" w:color="000000"/>
            </w:tcBorders>
            <w:shd w:val="clear" w:color="auto" w:fill="auto"/>
            <w:noWrap/>
            <w:vAlign w:val="center"/>
            <w:hideMark/>
          </w:tcPr>
          <w:p w14:paraId="354CFE7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19.69%</w:t>
            </w:r>
          </w:p>
        </w:tc>
        <w:tc>
          <w:tcPr>
            <w:tcW w:w="1260" w:type="dxa"/>
            <w:tcBorders>
              <w:top w:val="nil"/>
              <w:left w:val="nil"/>
              <w:bottom w:val="single" w:sz="4" w:space="0" w:color="808080"/>
              <w:right w:val="single" w:sz="8" w:space="0" w:color="000000"/>
            </w:tcBorders>
            <w:shd w:val="clear" w:color="auto" w:fill="auto"/>
            <w:noWrap/>
            <w:vAlign w:val="center"/>
            <w:hideMark/>
          </w:tcPr>
          <w:p w14:paraId="65CA95A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17.17%</w:t>
            </w:r>
          </w:p>
        </w:tc>
      </w:tr>
      <w:tr w:rsidR="00F303E0" w:rsidRPr="00EE5714" w14:paraId="2DF0DD29" w14:textId="77777777" w:rsidTr="00CE67A6">
        <w:trPr>
          <w:trHeight w:hRule="exact" w:val="245"/>
        </w:trPr>
        <w:tc>
          <w:tcPr>
            <w:tcW w:w="810" w:type="dxa"/>
            <w:tcBorders>
              <w:top w:val="single" w:sz="4" w:space="0" w:color="000000"/>
              <w:left w:val="single" w:sz="8" w:space="0" w:color="000000"/>
              <w:bottom w:val="single" w:sz="8" w:space="0" w:color="000000"/>
              <w:right w:val="single" w:sz="4" w:space="0" w:color="000000"/>
            </w:tcBorders>
            <w:shd w:val="clear" w:color="auto" w:fill="F2F2F2" w:themeFill="background1" w:themeFillShade="F2"/>
            <w:noWrap/>
            <w:vAlign w:val="center"/>
            <w:hideMark/>
          </w:tcPr>
          <w:p w14:paraId="6F66B331"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170" w:type="dxa"/>
            <w:tcBorders>
              <w:top w:val="nil"/>
              <w:left w:val="nil"/>
              <w:bottom w:val="single" w:sz="8" w:space="0" w:color="000000"/>
              <w:right w:val="single" w:sz="4" w:space="0" w:color="000000"/>
            </w:tcBorders>
            <w:shd w:val="clear" w:color="auto" w:fill="auto"/>
            <w:noWrap/>
            <w:vAlign w:val="center"/>
            <w:hideMark/>
          </w:tcPr>
          <w:p w14:paraId="51F542D4"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16.57%</w:t>
            </w:r>
          </w:p>
        </w:tc>
        <w:tc>
          <w:tcPr>
            <w:tcW w:w="1080" w:type="dxa"/>
            <w:tcBorders>
              <w:top w:val="nil"/>
              <w:left w:val="nil"/>
              <w:bottom w:val="single" w:sz="8" w:space="0" w:color="000000"/>
              <w:right w:val="single" w:sz="4" w:space="0" w:color="000000"/>
            </w:tcBorders>
            <w:shd w:val="clear" w:color="auto" w:fill="auto"/>
            <w:noWrap/>
            <w:vAlign w:val="center"/>
            <w:hideMark/>
          </w:tcPr>
          <w:p w14:paraId="4911ABB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31.86%</w:t>
            </w:r>
          </w:p>
        </w:tc>
        <w:tc>
          <w:tcPr>
            <w:tcW w:w="1080" w:type="dxa"/>
            <w:tcBorders>
              <w:top w:val="nil"/>
              <w:left w:val="nil"/>
              <w:bottom w:val="single" w:sz="8" w:space="0" w:color="000000"/>
              <w:right w:val="single" w:sz="4" w:space="0" w:color="000000"/>
            </w:tcBorders>
            <w:shd w:val="clear" w:color="auto" w:fill="auto"/>
            <w:noWrap/>
            <w:vAlign w:val="center"/>
            <w:hideMark/>
          </w:tcPr>
          <w:p w14:paraId="45F63AA4"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10.85%</w:t>
            </w:r>
          </w:p>
        </w:tc>
        <w:tc>
          <w:tcPr>
            <w:tcW w:w="1260" w:type="dxa"/>
            <w:tcBorders>
              <w:top w:val="nil"/>
              <w:left w:val="nil"/>
              <w:bottom w:val="single" w:sz="8" w:space="0" w:color="000000"/>
              <w:right w:val="single" w:sz="4" w:space="0" w:color="000000"/>
            </w:tcBorders>
            <w:shd w:val="clear" w:color="auto" w:fill="auto"/>
            <w:noWrap/>
            <w:vAlign w:val="center"/>
            <w:hideMark/>
          </w:tcPr>
          <w:p w14:paraId="12347C4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50.17%</w:t>
            </w:r>
          </w:p>
        </w:tc>
        <w:tc>
          <w:tcPr>
            <w:tcW w:w="1080" w:type="dxa"/>
            <w:tcBorders>
              <w:top w:val="nil"/>
              <w:left w:val="nil"/>
              <w:bottom w:val="single" w:sz="8" w:space="0" w:color="000000"/>
              <w:right w:val="single" w:sz="4" w:space="0" w:color="000000"/>
            </w:tcBorders>
            <w:shd w:val="clear" w:color="auto" w:fill="auto"/>
            <w:noWrap/>
            <w:vAlign w:val="center"/>
            <w:hideMark/>
          </w:tcPr>
          <w:p w14:paraId="029042F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18.04%</w:t>
            </w:r>
          </w:p>
        </w:tc>
        <w:tc>
          <w:tcPr>
            <w:tcW w:w="1350" w:type="dxa"/>
            <w:tcBorders>
              <w:top w:val="nil"/>
              <w:left w:val="nil"/>
              <w:bottom w:val="single" w:sz="8" w:space="0" w:color="000000"/>
              <w:right w:val="single" w:sz="4" w:space="0" w:color="000000"/>
            </w:tcBorders>
            <w:shd w:val="clear" w:color="auto" w:fill="auto"/>
            <w:noWrap/>
            <w:vAlign w:val="center"/>
            <w:hideMark/>
          </w:tcPr>
          <w:p w14:paraId="7366377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19.00%</w:t>
            </w:r>
          </w:p>
        </w:tc>
        <w:tc>
          <w:tcPr>
            <w:tcW w:w="990" w:type="dxa"/>
            <w:tcBorders>
              <w:top w:val="nil"/>
              <w:left w:val="nil"/>
              <w:bottom w:val="single" w:sz="8" w:space="0" w:color="000000"/>
              <w:right w:val="single" w:sz="4" w:space="0" w:color="000000"/>
            </w:tcBorders>
            <w:shd w:val="clear" w:color="auto" w:fill="auto"/>
            <w:noWrap/>
            <w:vAlign w:val="center"/>
            <w:hideMark/>
          </w:tcPr>
          <w:p w14:paraId="336B282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12.14%</w:t>
            </w:r>
          </w:p>
        </w:tc>
        <w:tc>
          <w:tcPr>
            <w:tcW w:w="1260" w:type="dxa"/>
            <w:tcBorders>
              <w:top w:val="nil"/>
              <w:left w:val="nil"/>
              <w:bottom w:val="single" w:sz="8" w:space="0" w:color="000000"/>
              <w:right w:val="single" w:sz="8" w:space="0" w:color="000000"/>
            </w:tcBorders>
            <w:shd w:val="clear" w:color="auto" w:fill="auto"/>
            <w:noWrap/>
            <w:vAlign w:val="center"/>
            <w:hideMark/>
          </w:tcPr>
          <w:p w14:paraId="30F123A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10.17%</w:t>
            </w:r>
          </w:p>
        </w:tc>
      </w:tr>
    </w:tbl>
    <w:p w14:paraId="0C614989" w14:textId="77777777" w:rsidR="00F303E0" w:rsidRPr="00EE5714" w:rsidRDefault="00F303E0" w:rsidP="00F303E0">
      <w:pPr>
        <w:pStyle w:val="NoSpacing"/>
        <w:rPr>
          <w:rFonts w:cs="Times New Roman"/>
          <w:szCs w:val="26"/>
        </w:rPr>
      </w:pPr>
    </w:p>
    <w:p w14:paraId="0B4EC5DE" w14:textId="77777777" w:rsidR="00F303E0" w:rsidRPr="00EE5714" w:rsidRDefault="00F303E0" w:rsidP="00F303E0">
      <w:pPr>
        <w:pStyle w:val="NoSpacing"/>
        <w:rPr>
          <w:rFonts w:cs="Times New Roman"/>
          <w:szCs w:val="26"/>
        </w:rPr>
      </w:pPr>
    </w:p>
    <w:p w14:paraId="680998DB" w14:textId="77777777" w:rsidR="00F303E0" w:rsidRPr="00EE5714" w:rsidRDefault="00F303E0" w:rsidP="00F303E0">
      <w:pPr>
        <w:pStyle w:val="NoSpacing"/>
        <w:rPr>
          <w:rFonts w:cs="Times New Roman"/>
          <w:szCs w:val="26"/>
        </w:rPr>
      </w:pPr>
      <w:bookmarkStart w:id="73" w:name="_Hlk526405079"/>
      <w:r w:rsidRPr="00EE5714">
        <w:rPr>
          <w:rFonts w:eastAsia="Times New Roman" w:cs="Times New Roman"/>
          <w:szCs w:val="26"/>
        </w:rPr>
        <w:t>The number and percentage of NGDC CAP gas heating terminations and termination rates for the period from 2012 through 2016</w:t>
      </w:r>
      <w:bookmarkEnd w:id="73"/>
      <w:r w:rsidRPr="00EE5714">
        <w:rPr>
          <w:rFonts w:eastAsia="Times New Roman" w:cs="Times New Roman"/>
          <w:szCs w:val="26"/>
        </w:rPr>
        <w:t xml:space="preserve">.  </w:t>
      </w:r>
    </w:p>
    <w:p w14:paraId="533A0723" w14:textId="77777777" w:rsidR="00F303E0" w:rsidRPr="00EE5714" w:rsidRDefault="00F303E0" w:rsidP="00F303E0">
      <w:pPr>
        <w:pStyle w:val="NoSpacing"/>
        <w:rPr>
          <w:rFonts w:cs="Times New Roman"/>
          <w:szCs w:val="26"/>
        </w:rPr>
      </w:pPr>
    </w:p>
    <w:p w14:paraId="7430B409" w14:textId="77777777" w:rsidR="00F303E0" w:rsidRPr="00EE5714" w:rsidRDefault="00F734A0" w:rsidP="00F303E0">
      <w:pPr>
        <w:pStyle w:val="NoSpacing"/>
        <w:keepNext/>
        <w:rPr>
          <w:rFonts w:cs="Times New Roman"/>
          <w:szCs w:val="26"/>
        </w:rPr>
      </w:pPr>
      <w:r w:rsidRPr="00EE5714">
        <w:rPr>
          <w:rFonts w:cs="Times New Roman"/>
          <w:szCs w:val="26"/>
        </w:rPr>
        <w:t>Appendix 6</w:t>
      </w:r>
      <w:r w:rsidR="00F303E0" w:rsidRPr="00EE5714">
        <w:rPr>
          <w:rFonts w:cs="Times New Roman"/>
          <w:szCs w:val="26"/>
        </w:rPr>
        <w:t xml:space="preserve">.A.3: </w:t>
      </w:r>
      <w:r w:rsidR="00F303E0" w:rsidRPr="00EE5714">
        <w:rPr>
          <w:rFonts w:eastAsia="Times New Roman" w:cs="Times New Roman"/>
          <w:b/>
          <w:bCs/>
          <w:color w:val="000000"/>
          <w:szCs w:val="26"/>
        </w:rPr>
        <w:t>NGDC Aggregate Total CAP Terminations 0%-150% FPIG</w:t>
      </w:r>
    </w:p>
    <w:tbl>
      <w:tblPr>
        <w:tblW w:w="10080" w:type="dxa"/>
        <w:tblInd w:w="-370" w:type="dxa"/>
        <w:tblLayout w:type="fixed"/>
        <w:tblLook w:val="04A0" w:firstRow="1" w:lastRow="0" w:firstColumn="1" w:lastColumn="0" w:noHBand="0" w:noVBand="1"/>
      </w:tblPr>
      <w:tblGrid>
        <w:gridCol w:w="810"/>
        <w:gridCol w:w="1170"/>
        <w:gridCol w:w="1080"/>
        <w:gridCol w:w="1080"/>
        <w:gridCol w:w="1305"/>
        <w:gridCol w:w="1035"/>
        <w:gridCol w:w="1350"/>
        <w:gridCol w:w="990"/>
        <w:gridCol w:w="1260"/>
      </w:tblGrid>
      <w:tr w:rsidR="00F303E0" w:rsidRPr="00EE5714" w14:paraId="0A39CD77" w14:textId="77777777" w:rsidTr="00CE67A6">
        <w:trPr>
          <w:trHeight w:val="115"/>
        </w:trPr>
        <w:tc>
          <w:tcPr>
            <w:tcW w:w="10080" w:type="dxa"/>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noWrap/>
            <w:vAlign w:val="center"/>
            <w:hideMark/>
          </w:tcPr>
          <w:p w14:paraId="0B77B3CF"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NGDC Aggregate Total CAP Terminations 0%-150% FPIG </w:t>
            </w:r>
          </w:p>
        </w:tc>
      </w:tr>
      <w:tr w:rsidR="00F303E0" w:rsidRPr="00EE5714" w14:paraId="04B88D43" w14:textId="77777777" w:rsidTr="00CE67A6">
        <w:trPr>
          <w:trHeight w:val="216"/>
        </w:trPr>
        <w:tc>
          <w:tcPr>
            <w:tcW w:w="810" w:type="dxa"/>
            <w:tcBorders>
              <w:top w:val="nil"/>
              <w:left w:val="single" w:sz="8" w:space="0" w:color="000000"/>
              <w:bottom w:val="single" w:sz="4" w:space="0" w:color="000000"/>
              <w:right w:val="single" w:sz="4" w:space="0" w:color="000000"/>
            </w:tcBorders>
            <w:shd w:val="clear" w:color="auto" w:fill="auto"/>
            <w:noWrap/>
            <w:vAlign w:val="bottom"/>
            <w:hideMark/>
          </w:tcPr>
          <w:p w14:paraId="668C09B9"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170" w:type="dxa"/>
            <w:tcBorders>
              <w:top w:val="nil"/>
              <w:left w:val="nil"/>
              <w:bottom w:val="single" w:sz="4" w:space="0" w:color="000000"/>
              <w:right w:val="single" w:sz="4" w:space="0" w:color="000000"/>
            </w:tcBorders>
            <w:shd w:val="clear" w:color="auto" w:fill="auto"/>
            <w:noWrap/>
            <w:vAlign w:val="center"/>
            <w:hideMark/>
          </w:tcPr>
          <w:p w14:paraId="255DE097"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 xml:space="preserve">Columbia </w:t>
            </w:r>
          </w:p>
        </w:tc>
        <w:tc>
          <w:tcPr>
            <w:tcW w:w="1080" w:type="dxa"/>
            <w:tcBorders>
              <w:top w:val="nil"/>
              <w:left w:val="nil"/>
              <w:bottom w:val="single" w:sz="4" w:space="0" w:color="000000"/>
              <w:right w:val="single" w:sz="4" w:space="0" w:color="000000"/>
            </w:tcBorders>
            <w:shd w:val="clear" w:color="auto" w:fill="auto"/>
            <w:noWrap/>
            <w:vAlign w:val="center"/>
            <w:hideMark/>
          </w:tcPr>
          <w:p w14:paraId="1D7DC74A"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Equitable</w:t>
            </w:r>
          </w:p>
        </w:tc>
        <w:tc>
          <w:tcPr>
            <w:tcW w:w="1080" w:type="dxa"/>
            <w:tcBorders>
              <w:top w:val="nil"/>
              <w:left w:val="nil"/>
              <w:bottom w:val="single" w:sz="4" w:space="0" w:color="000000"/>
              <w:right w:val="single" w:sz="4" w:space="0" w:color="000000"/>
            </w:tcBorders>
            <w:shd w:val="clear" w:color="auto" w:fill="auto"/>
            <w:noWrap/>
            <w:vAlign w:val="center"/>
            <w:hideMark/>
          </w:tcPr>
          <w:p w14:paraId="7D5331D4"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NFG</w:t>
            </w:r>
          </w:p>
        </w:tc>
        <w:tc>
          <w:tcPr>
            <w:tcW w:w="1305" w:type="dxa"/>
            <w:tcBorders>
              <w:top w:val="nil"/>
              <w:left w:val="nil"/>
              <w:bottom w:val="single" w:sz="4" w:space="0" w:color="000000"/>
              <w:right w:val="single" w:sz="4" w:space="0" w:color="000000"/>
            </w:tcBorders>
            <w:shd w:val="clear" w:color="auto" w:fill="auto"/>
            <w:noWrap/>
            <w:vAlign w:val="center"/>
            <w:hideMark/>
          </w:tcPr>
          <w:p w14:paraId="7BAB8AF2"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Gas</w:t>
            </w:r>
          </w:p>
        </w:tc>
        <w:tc>
          <w:tcPr>
            <w:tcW w:w="1035" w:type="dxa"/>
            <w:tcBorders>
              <w:top w:val="nil"/>
              <w:left w:val="nil"/>
              <w:bottom w:val="single" w:sz="4" w:space="0" w:color="000000"/>
              <w:right w:val="single" w:sz="4" w:space="0" w:color="000000"/>
            </w:tcBorders>
            <w:shd w:val="clear" w:color="auto" w:fill="auto"/>
            <w:noWrap/>
            <w:vAlign w:val="center"/>
            <w:hideMark/>
          </w:tcPr>
          <w:p w14:paraId="7EFE6CB5"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w:t>
            </w:r>
          </w:p>
        </w:tc>
        <w:tc>
          <w:tcPr>
            <w:tcW w:w="1350" w:type="dxa"/>
            <w:tcBorders>
              <w:top w:val="nil"/>
              <w:left w:val="nil"/>
              <w:bottom w:val="single" w:sz="4" w:space="0" w:color="000000"/>
              <w:right w:val="single" w:sz="4" w:space="0" w:color="000000"/>
            </w:tcBorders>
            <w:shd w:val="clear" w:color="auto" w:fill="auto"/>
            <w:noWrap/>
            <w:vAlign w:val="center"/>
            <w:hideMark/>
          </w:tcPr>
          <w:p w14:paraId="019D5345"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PGW</w:t>
            </w:r>
          </w:p>
        </w:tc>
        <w:tc>
          <w:tcPr>
            <w:tcW w:w="990" w:type="dxa"/>
            <w:tcBorders>
              <w:top w:val="nil"/>
              <w:left w:val="nil"/>
              <w:bottom w:val="single" w:sz="4" w:space="0" w:color="000000"/>
              <w:right w:val="single" w:sz="4" w:space="0" w:color="000000"/>
            </w:tcBorders>
            <w:shd w:val="clear" w:color="auto" w:fill="auto"/>
            <w:noWrap/>
            <w:vAlign w:val="center"/>
            <w:hideMark/>
          </w:tcPr>
          <w:p w14:paraId="0B9026C2"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Gas</w:t>
            </w:r>
          </w:p>
        </w:tc>
        <w:tc>
          <w:tcPr>
            <w:tcW w:w="1260" w:type="dxa"/>
            <w:tcBorders>
              <w:top w:val="nil"/>
              <w:left w:val="nil"/>
              <w:bottom w:val="single" w:sz="4" w:space="0" w:color="000000"/>
              <w:right w:val="single" w:sz="8" w:space="0" w:color="000000"/>
            </w:tcBorders>
            <w:shd w:val="clear" w:color="auto" w:fill="auto"/>
            <w:noWrap/>
            <w:vAlign w:val="center"/>
            <w:hideMark/>
          </w:tcPr>
          <w:p w14:paraId="342B85CB"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PNG</w:t>
            </w:r>
          </w:p>
        </w:tc>
      </w:tr>
      <w:tr w:rsidR="00F303E0" w:rsidRPr="00EE5714" w14:paraId="39F840C6" w14:textId="77777777" w:rsidTr="00CE67A6">
        <w:trPr>
          <w:trHeight w:hRule="exact" w:val="245"/>
        </w:trPr>
        <w:tc>
          <w:tcPr>
            <w:tcW w:w="810" w:type="dxa"/>
            <w:tcBorders>
              <w:top w:val="nil"/>
              <w:left w:val="single" w:sz="8" w:space="0" w:color="000000"/>
              <w:bottom w:val="single" w:sz="4" w:space="0" w:color="000000"/>
              <w:right w:val="single" w:sz="4" w:space="0" w:color="000000"/>
            </w:tcBorders>
            <w:shd w:val="clear" w:color="auto" w:fill="F2F2F2" w:themeFill="background1" w:themeFillShade="F2"/>
            <w:noWrap/>
            <w:vAlign w:val="center"/>
            <w:hideMark/>
          </w:tcPr>
          <w:p w14:paraId="370FEA44"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1170" w:type="dxa"/>
            <w:tcBorders>
              <w:top w:val="nil"/>
              <w:left w:val="nil"/>
              <w:bottom w:val="single" w:sz="4" w:space="0" w:color="808080"/>
              <w:right w:val="single" w:sz="4" w:space="0" w:color="000000"/>
            </w:tcBorders>
            <w:shd w:val="clear" w:color="auto" w:fill="auto"/>
            <w:noWrap/>
            <w:vAlign w:val="center"/>
            <w:hideMark/>
          </w:tcPr>
          <w:p w14:paraId="789B074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2,458</w:t>
            </w:r>
          </w:p>
        </w:tc>
        <w:tc>
          <w:tcPr>
            <w:tcW w:w="1080" w:type="dxa"/>
            <w:tcBorders>
              <w:top w:val="nil"/>
              <w:left w:val="nil"/>
              <w:bottom w:val="single" w:sz="4" w:space="0" w:color="808080"/>
              <w:right w:val="single" w:sz="4" w:space="0" w:color="000000"/>
            </w:tcBorders>
            <w:shd w:val="clear" w:color="auto" w:fill="auto"/>
            <w:noWrap/>
            <w:vAlign w:val="center"/>
            <w:hideMark/>
          </w:tcPr>
          <w:p w14:paraId="6E725B5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N/A</w:t>
            </w:r>
          </w:p>
        </w:tc>
        <w:tc>
          <w:tcPr>
            <w:tcW w:w="1080" w:type="dxa"/>
            <w:tcBorders>
              <w:top w:val="nil"/>
              <w:left w:val="nil"/>
              <w:bottom w:val="single" w:sz="4" w:space="0" w:color="808080"/>
              <w:right w:val="single" w:sz="4" w:space="0" w:color="000000"/>
            </w:tcBorders>
            <w:shd w:val="clear" w:color="auto" w:fill="auto"/>
            <w:noWrap/>
            <w:vAlign w:val="center"/>
            <w:hideMark/>
          </w:tcPr>
          <w:p w14:paraId="34264BC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641</w:t>
            </w:r>
          </w:p>
        </w:tc>
        <w:tc>
          <w:tcPr>
            <w:tcW w:w="1305" w:type="dxa"/>
            <w:tcBorders>
              <w:top w:val="nil"/>
              <w:left w:val="nil"/>
              <w:bottom w:val="single" w:sz="4" w:space="0" w:color="808080"/>
              <w:right w:val="single" w:sz="4" w:space="0" w:color="000000"/>
            </w:tcBorders>
            <w:shd w:val="clear" w:color="auto" w:fill="auto"/>
            <w:noWrap/>
            <w:vAlign w:val="center"/>
            <w:hideMark/>
          </w:tcPr>
          <w:p w14:paraId="3C36F0C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w:t>
            </w:r>
          </w:p>
        </w:tc>
        <w:tc>
          <w:tcPr>
            <w:tcW w:w="1035" w:type="dxa"/>
            <w:tcBorders>
              <w:top w:val="nil"/>
              <w:left w:val="nil"/>
              <w:bottom w:val="single" w:sz="4" w:space="0" w:color="808080"/>
              <w:right w:val="single" w:sz="4" w:space="0" w:color="000000"/>
            </w:tcBorders>
            <w:shd w:val="clear" w:color="auto" w:fill="auto"/>
            <w:noWrap/>
            <w:vAlign w:val="center"/>
            <w:hideMark/>
          </w:tcPr>
          <w:p w14:paraId="22C0056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794</w:t>
            </w:r>
          </w:p>
        </w:tc>
        <w:tc>
          <w:tcPr>
            <w:tcW w:w="1350" w:type="dxa"/>
            <w:tcBorders>
              <w:top w:val="nil"/>
              <w:left w:val="nil"/>
              <w:bottom w:val="single" w:sz="4" w:space="0" w:color="808080"/>
              <w:right w:val="single" w:sz="4" w:space="0" w:color="000000"/>
            </w:tcBorders>
            <w:shd w:val="clear" w:color="auto" w:fill="auto"/>
            <w:noWrap/>
            <w:vAlign w:val="center"/>
            <w:hideMark/>
          </w:tcPr>
          <w:p w14:paraId="3B9CAEC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5,571</w:t>
            </w:r>
          </w:p>
        </w:tc>
        <w:tc>
          <w:tcPr>
            <w:tcW w:w="990" w:type="dxa"/>
            <w:tcBorders>
              <w:top w:val="nil"/>
              <w:left w:val="nil"/>
              <w:bottom w:val="single" w:sz="4" w:space="0" w:color="808080"/>
              <w:right w:val="single" w:sz="4" w:space="0" w:color="000000"/>
            </w:tcBorders>
            <w:shd w:val="clear" w:color="auto" w:fill="auto"/>
            <w:noWrap/>
            <w:vAlign w:val="center"/>
            <w:hideMark/>
          </w:tcPr>
          <w:p w14:paraId="04E9675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1,285</w:t>
            </w:r>
          </w:p>
        </w:tc>
        <w:tc>
          <w:tcPr>
            <w:tcW w:w="1260" w:type="dxa"/>
            <w:tcBorders>
              <w:top w:val="nil"/>
              <w:left w:val="nil"/>
              <w:bottom w:val="single" w:sz="4" w:space="0" w:color="808080"/>
              <w:right w:val="single" w:sz="8" w:space="0" w:color="000000"/>
            </w:tcBorders>
            <w:shd w:val="clear" w:color="auto" w:fill="auto"/>
            <w:noWrap/>
            <w:vAlign w:val="center"/>
            <w:hideMark/>
          </w:tcPr>
          <w:p w14:paraId="092DB7F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963</w:t>
            </w:r>
          </w:p>
        </w:tc>
      </w:tr>
      <w:tr w:rsidR="00F303E0" w:rsidRPr="00EE5714" w14:paraId="7C3C3090" w14:textId="77777777" w:rsidTr="00CE67A6">
        <w:trPr>
          <w:trHeight w:hRule="exact" w:val="245"/>
        </w:trPr>
        <w:tc>
          <w:tcPr>
            <w:tcW w:w="810" w:type="dxa"/>
            <w:tcBorders>
              <w:top w:val="nil"/>
              <w:left w:val="single" w:sz="8" w:space="0" w:color="000000"/>
              <w:bottom w:val="single" w:sz="4" w:space="0" w:color="000000"/>
              <w:right w:val="single" w:sz="4" w:space="0" w:color="000000"/>
            </w:tcBorders>
            <w:shd w:val="clear" w:color="auto" w:fill="F2F2F2" w:themeFill="background1" w:themeFillShade="F2"/>
            <w:noWrap/>
            <w:vAlign w:val="center"/>
            <w:hideMark/>
          </w:tcPr>
          <w:p w14:paraId="03D9B9EF"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70" w:type="dxa"/>
            <w:tcBorders>
              <w:top w:val="nil"/>
              <w:left w:val="nil"/>
              <w:bottom w:val="single" w:sz="4" w:space="0" w:color="808080"/>
              <w:right w:val="single" w:sz="4" w:space="0" w:color="000000"/>
            </w:tcBorders>
            <w:shd w:val="clear" w:color="auto" w:fill="auto"/>
            <w:noWrap/>
            <w:vAlign w:val="center"/>
            <w:hideMark/>
          </w:tcPr>
          <w:p w14:paraId="52BEBCA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2,245</w:t>
            </w:r>
          </w:p>
        </w:tc>
        <w:tc>
          <w:tcPr>
            <w:tcW w:w="1080" w:type="dxa"/>
            <w:tcBorders>
              <w:top w:val="nil"/>
              <w:left w:val="nil"/>
              <w:bottom w:val="single" w:sz="4" w:space="0" w:color="808080"/>
              <w:right w:val="single" w:sz="4" w:space="0" w:color="000000"/>
            </w:tcBorders>
            <w:shd w:val="clear" w:color="auto" w:fill="auto"/>
            <w:noWrap/>
            <w:vAlign w:val="center"/>
            <w:hideMark/>
          </w:tcPr>
          <w:p w14:paraId="7A58EAD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N/A</w:t>
            </w:r>
          </w:p>
        </w:tc>
        <w:tc>
          <w:tcPr>
            <w:tcW w:w="1080" w:type="dxa"/>
            <w:tcBorders>
              <w:top w:val="nil"/>
              <w:left w:val="nil"/>
              <w:bottom w:val="single" w:sz="4" w:space="0" w:color="808080"/>
              <w:right w:val="single" w:sz="4" w:space="0" w:color="000000"/>
            </w:tcBorders>
            <w:shd w:val="clear" w:color="auto" w:fill="auto"/>
            <w:noWrap/>
            <w:vAlign w:val="center"/>
            <w:hideMark/>
          </w:tcPr>
          <w:p w14:paraId="4035806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408</w:t>
            </w:r>
          </w:p>
        </w:tc>
        <w:tc>
          <w:tcPr>
            <w:tcW w:w="1305" w:type="dxa"/>
            <w:tcBorders>
              <w:top w:val="nil"/>
              <w:left w:val="nil"/>
              <w:bottom w:val="single" w:sz="4" w:space="0" w:color="808080"/>
              <w:right w:val="single" w:sz="4" w:space="0" w:color="000000"/>
            </w:tcBorders>
            <w:shd w:val="clear" w:color="auto" w:fill="auto"/>
            <w:noWrap/>
            <w:vAlign w:val="center"/>
            <w:hideMark/>
          </w:tcPr>
          <w:p w14:paraId="5F8C1B6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89</w:t>
            </w:r>
          </w:p>
        </w:tc>
        <w:tc>
          <w:tcPr>
            <w:tcW w:w="1035" w:type="dxa"/>
            <w:tcBorders>
              <w:top w:val="nil"/>
              <w:left w:val="nil"/>
              <w:bottom w:val="single" w:sz="4" w:space="0" w:color="808080"/>
              <w:right w:val="single" w:sz="4" w:space="0" w:color="000000"/>
            </w:tcBorders>
            <w:shd w:val="clear" w:color="auto" w:fill="auto"/>
            <w:noWrap/>
            <w:vAlign w:val="center"/>
            <w:hideMark/>
          </w:tcPr>
          <w:p w14:paraId="1D032CE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1,218</w:t>
            </w:r>
          </w:p>
        </w:tc>
        <w:tc>
          <w:tcPr>
            <w:tcW w:w="1350" w:type="dxa"/>
            <w:tcBorders>
              <w:top w:val="nil"/>
              <w:left w:val="nil"/>
              <w:bottom w:val="single" w:sz="4" w:space="0" w:color="808080"/>
              <w:right w:val="single" w:sz="4" w:space="0" w:color="000000"/>
            </w:tcBorders>
            <w:shd w:val="clear" w:color="auto" w:fill="auto"/>
            <w:noWrap/>
            <w:vAlign w:val="center"/>
            <w:hideMark/>
          </w:tcPr>
          <w:p w14:paraId="1DDEA3D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4,484</w:t>
            </w:r>
          </w:p>
        </w:tc>
        <w:tc>
          <w:tcPr>
            <w:tcW w:w="990" w:type="dxa"/>
            <w:tcBorders>
              <w:top w:val="nil"/>
              <w:left w:val="nil"/>
              <w:bottom w:val="single" w:sz="4" w:space="0" w:color="808080"/>
              <w:right w:val="single" w:sz="4" w:space="0" w:color="000000"/>
            </w:tcBorders>
            <w:shd w:val="clear" w:color="auto" w:fill="auto"/>
            <w:noWrap/>
            <w:vAlign w:val="center"/>
            <w:hideMark/>
          </w:tcPr>
          <w:p w14:paraId="0141182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782</w:t>
            </w:r>
          </w:p>
        </w:tc>
        <w:tc>
          <w:tcPr>
            <w:tcW w:w="1260" w:type="dxa"/>
            <w:tcBorders>
              <w:top w:val="nil"/>
              <w:left w:val="nil"/>
              <w:bottom w:val="single" w:sz="4" w:space="0" w:color="808080"/>
              <w:right w:val="single" w:sz="8" w:space="0" w:color="000000"/>
            </w:tcBorders>
            <w:shd w:val="clear" w:color="auto" w:fill="auto"/>
            <w:noWrap/>
            <w:vAlign w:val="center"/>
            <w:hideMark/>
          </w:tcPr>
          <w:p w14:paraId="3947380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626</w:t>
            </w:r>
          </w:p>
        </w:tc>
      </w:tr>
      <w:tr w:rsidR="00F303E0" w:rsidRPr="00EE5714" w14:paraId="41F8E840" w14:textId="77777777" w:rsidTr="00CE67A6">
        <w:trPr>
          <w:trHeight w:hRule="exact" w:val="245"/>
        </w:trPr>
        <w:tc>
          <w:tcPr>
            <w:tcW w:w="810" w:type="dxa"/>
            <w:tcBorders>
              <w:top w:val="nil"/>
              <w:left w:val="single" w:sz="8" w:space="0" w:color="000000"/>
              <w:bottom w:val="single" w:sz="4" w:space="0" w:color="000000"/>
              <w:right w:val="single" w:sz="4" w:space="0" w:color="000000"/>
            </w:tcBorders>
            <w:shd w:val="clear" w:color="auto" w:fill="F2F2F2" w:themeFill="background1" w:themeFillShade="F2"/>
            <w:noWrap/>
            <w:vAlign w:val="center"/>
            <w:hideMark/>
          </w:tcPr>
          <w:p w14:paraId="2C200471"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170" w:type="dxa"/>
            <w:tcBorders>
              <w:top w:val="nil"/>
              <w:left w:val="nil"/>
              <w:bottom w:val="single" w:sz="4" w:space="0" w:color="808080"/>
              <w:right w:val="single" w:sz="4" w:space="0" w:color="000000"/>
            </w:tcBorders>
            <w:shd w:val="clear" w:color="auto" w:fill="auto"/>
            <w:noWrap/>
            <w:vAlign w:val="center"/>
            <w:hideMark/>
          </w:tcPr>
          <w:p w14:paraId="63572DE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2,250</w:t>
            </w:r>
          </w:p>
        </w:tc>
        <w:tc>
          <w:tcPr>
            <w:tcW w:w="1080" w:type="dxa"/>
            <w:tcBorders>
              <w:top w:val="nil"/>
              <w:left w:val="nil"/>
              <w:bottom w:val="single" w:sz="4" w:space="0" w:color="808080"/>
              <w:right w:val="single" w:sz="4" w:space="0" w:color="000000"/>
            </w:tcBorders>
            <w:shd w:val="clear" w:color="auto" w:fill="auto"/>
            <w:noWrap/>
            <w:vAlign w:val="center"/>
            <w:hideMark/>
          </w:tcPr>
          <w:p w14:paraId="2288E25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N/A</w:t>
            </w:r>
          </w:p>
        </w:tc>
        <w:tc>
          <w:tcPr>
            <w:tcW w:w="1080" w:type="dxa"/>
            <w:tcBorders>
              <w:top w:val="nil"/>
              <w:left w:val="nil"/>
              <w:bottom w:val="single" w:sz="4" w:space="0" w:color="808080"/>
              <w:right w:val="single" w:sz="4" w:space="0" w:color="000000"/>
            </w:tcBorders>
            <w:shd w:val="clear" w:color="auto" w:fill="auto"/>
            <w:noWrap/>
            <w:vAlign w:val="center"/>
            <w:hideMark/>
          </w:tcPr>
          <w:p w14:paraId="7860F5C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723</w:t>
            </w:r>
          </w:p>
        </w:tc>
        <w:tc>
          <w:tcPr>
            <w:tcW w:w="1305" w:type="dxa"/>
            <w:tcBorders>
              <w:top w:val="nil"/>
              <w:left w:val="nil"/>
              <w:bottom w:val="single" w:sz="4" w:space="0" w:color="808080"/>
              <w:right w:val="single" w:sz="4" w:space="0" w:color="000000"/>
            </w:tcBorders>
            <w:shd w:val="clear" w:color="auto" w:fill="auto"/>
            <w:noWrap/>
            <w:vAlign w:val="center"/>
            <w:hideMark/>
          </w:tcPr>
          <w:p w14:paraId="3AC0E38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180</w:t>
            </w:r>
          </w:p>
        </w:tc>
        <w:tc>
          <w:tcPr>
            <w:tcW w:w="1035" w:type="dxa"/>
            <w:tcBorders>
              <w:top w:val="nil"/>
              <w:left w:val="nil"/>
              <w:bottom w:val="single" w:sz="4" w:space="0" w:color="808080"/>
              <w:right w:val="single" w:sz="4" w:space="0" w:color="000000"/>
            </w:tcBorders>
            <w:shd w:val="clear" w:color="auto" w:fill="auto"/>
            <w:noWrap/>
            <w:vAlign w:val="center"/>
            <w:hideMark/>
          </w:tcPr>
          <w:p w14:paraId="14E47F0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1,626</w:t>
            </w:r>
          </w:p>
        </w:tc>
        <w:tc>
          <w:tcPr>
            <w:tcW w:w="1350" w:type="dxa"/>
            <w:tcBorders>
              <w:top w:val="nil"/>
              <w:left w:val="nil"/>
              <w:bottom w:val="single" w:sz="4" w:space="0" w:color="808080"/>
              <w:right w:val="single" w:sz="4" w:space="0" w:color="000000"/>
            </w:tcBorders>
            <w:shd w:val="clear" w:color="auto" w:fill="auto"/>
            <w:noWrap/>
            <w:vAlign w:val="center"/>
            <w:hideMark/>
          </w:tcPr>
          <w:p w14:paraId="1CEA7EC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3,999</w:t>
            </w:r>
          </w:p>
        </w:tc>
        <w:tc>
          <w:tcPr>
            <w:tcW w:w="990" w:type="dxa"/>
            <w:tcBorders>
              <w:top w:val="nil"/>
              <w:left w:val="nil"/>
              <w:bottom w:val="single" w:sz="4" w:space="0" w:color="808080"/>
              <w:right w:val="single" w:sz="4" w:space="0" w:color="000000"/>
            </w:tcBorders>
            <w:shd w:val="clear" w:color="auto" w:fill="auto"/>
            <w:noWrap/>
            <w:vAlign w:val="center"/>
            <w:hideMark/>
          </w:tcPr>
          <w:p w14:paraId="6B0F1B9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782</w:t>
            </w:r>
          </w:p>
        </w:tc>
        <w:tc>
          <w:tcPr>
            <w:tcW w:w="1260" w:type="dxa"/>
            <w:tcBorders>
              <w:top w:val="nil"/>
              <w:left w:val="nil"/>
              <w:bottom w:val="single" w:sz="4" w:space="0" w:color="808080"/>
              <w:right w:val="single" w:sz="8" w:space="0" w:color="000000"/>
            </w:tcBorders>
            <w:shd w:val="clear" w:color="auto" w:fill="auto"/>
            <w:noWrap/>
            <w:vAlign w:val="center"/>
            <w:hideMark/>
          </w:tcPr>
          <w:p w14:paraId="3DA36F7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970</w:t>
            </w:r>
          </w:p>
        </w:tc>
      </w:tr>
      <w:tr w:rsidR="00F303E0" w:rsidRPr="00EE5714" w14:paraId="4C86EB89" w14:textId="77777777" w:rsidTr="00CE67A6">
        <w:trPr>
          <w:trHeight w:hRule="exact" w:val="245"/>
        </w:trPr>
        <w:tc>
          <w:tcPr>
            <w:tcW w:w="810" w:type="dxa"/>
            <w:tcBorders>
              <w:top w:val="nil"/>
              <w:left w:val="single" w:sz="8" w:space="0" w:color="000000"/>
              <w:bottom w:val="single" w:sz="4" w:space="0" w:color="000000"/>
              <w:right w:val="single" w:sz="4" w:space="0" w:color="000000"/>
            </w:tcBorders>
            <w:shd w:val="clear" w:color="auto" w:fill="F2F2F2" w:themeFill="background1" w:themeFillShade="F2"/>
            <w:noWrap/>
            <w:vAlign w:val="center"/>
            <w:hideMark/>
          </w:tcPr>
          <w:p w14:paraId="04F2B0ED"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170" w:type="dxa"/>
            <w:tcBorders>
              <w:top w:val="nil"/>
              <w:left w:val="nil"/>
              <w:bottom w:val="single" w:sz="4" w:space="0" w:color="808080"/>
              <w:right w:val="single" w:sz="4" w:space="0" w:color="000000"/>
            </w:tcBorders>
            <w:shd w:val="clear" w:color="auto" w:fill="auto"/>
            <w:noWrap/>
            <w:vAlign w:val="center"/>
            <w:hideMark/>
          </w:tcPr>
          <w:p w14:paraId="6D7A271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2,486</w:t>
            </w:r>
          </w:p>
        </w:tc>
        <w:tc>
          <w:tcPr>
            <w:tcW w:w="1080" w:type="dxa"/>
            <w:tcBorders>
              <w:top w:val="nil"/>
              <w:left w:val="nil"/>
              <w:bottom w:val="single" w:sz="4" w:space="0" w:color="808080"/>
              <w:right w:val="single" w:sz="4" w:space="0" w:color="000000"/>
            </w:tcBorders>
            <w:shd w:val="clear" w:color="auto" w:fill="auto"/>
            <w:noWrap/>
            <w:vAlign w:val="center"/>
            <w:hideMark/>
          </w:tcPr>
          <w:p w14:paraId="023BC4D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532</w:t>
            </w:r>
          </w:p>
        </w:tc>
        <w:tc>
          <w:tcPr>
            <w:tcW w:w="1080" w:type="dxa"/>
            <w:tcBorders>
              <w:top w:val="nil"/>
              <w:left w:val="nil"/>
              <w:bottom w:val="single" w:sz="4" w:space="0" w:color="808080"/>
              <w:right w:val="single" w:sz="4" w:space="0" w:color="000000"/>
            </w:tcBorders>
            <w:shd w:val="clear" w:color="auto" w:fill="auto"/>
            <w:noWrap/>
            <w:vAlign w:val="center"/>
            <w:hideMark/>
          </w:tcPr>
          <w:p w14:paraId="49FBAAF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549</w:t>
            </w:r>
          </w:p>
        </w:tc>
        <w:tc>
          <w:tcPr>
            <w:tcW w:w="1305" w:type="dxa"/>
            <w:tcBorders>
              <w:top w:val="nil"/>
              <w:left w:val="nil"/>
              <w:bottom w:val="single" w:sz="4" w:space="0" w:color="808080"/>
              <w:right w:val="single" w:sz="4" w:space="0" w:color="000000"/>
            </w:tcBorders>
            <w:shd w:val="clear" w:color="auto" w:fill="auto"/>
            <w:noWrap/>
            <w:vAlign w:val="center"/>
            <w:hideMark/>
          </w:tcPr>
          <w:p w14:paraId="56D9F84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166</w:t>
            </w:r>
          </w:p>
        </w:tc>
        <w:tc>
          <w:tcPr>
            <w:tcW w:w="1035" w:type="dxa"/>
            <w:tcBorders>
              <w:top w:val="nil"/>
              <w:left w:val="nil"/>
              <w:bottom w:val="single" w:sz="4" w:space="0" w:color="808080"/>
              <w:right w:val="single" w:sz="4" w:space="0" w:color="000000"/>
            </w:tcBorders>
            <w:shd w:val="clear" w:color="auto" w:fill="auto"/>
            <w:noWrap/>
            <w:vAlign w:val="center"/>
            <w:hideMark/>
          </w:tcPr>
          <w:p w14:paraId="0315CD8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1,785</w:t>
            </w:r>
          </w:p>
        </w:tc>
        <w:tc>
          <w:tcPr>
            <w:tcW w:w="1350" w:type="dxa"/>
            <w:tcBorders>
              <w:top w:val="nil"/>
              <w:left w:val="nil"/>
              <w:bottom w:val="single" w:sz="4" w:space="0" w:color="808080"/>
              <w:right w:val="single" w:sz="4" w:space="0" w:color="000000"/>
            </w:tcBorders>
            <w:shd w:val="clear" w:color="auto" w:fill="auto"/>
            <w:noWrap/>
            <w:vAlign w:val="center"/>
            <w:hideMark/>
          </w:tcPr>
          <w:p w14:paraId="767972F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2,991</w:t>
            </w:r>
          </w:p>
        </w:tc>
        <w:tc>
          <w:tcPr>
            <w:tcW w:w="990" w:type="dxa"/>
            <w:tcBorders>
              <w:top w:val="nil"/>
              <w:left w:val="nil"/>
              <w:bottom w:val="single" w:sz="4" w:space="0" w:color="808080"/>
              <w:right w:val="single" w:sz="4" w:space="0" w:color="000000"/>
            </w:tcBorders>
            <w:shd w:val="clear" w:color="auto" w:fill="auto"/>
            <w:noWrap/>
            <w:vAlign w:val="center"/>
            <w:hideMark/>
          </w:tcPr>
          <w:p w14:paraId="2C3BD11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1,265</w:t>
            </w:r>
          </w:p>
        </w:tc>
        <w:tc>
          <w:tcPr>
            <w:tcW w:w="1260" w:type="dxa"/>
            <w:tcBorders>
              <w:top w:val="nil"/>
              <w:left w:val="nil"/>
              <w:bottom w:val="single" w:sz="4" w:space="0" w:color="808080"/>
              <w:right w:val="single" w:sz="8" w:space="0" w:color="000000"/>
            </w:tcBorders>
            <w:shd w:val="clear" w:color="auto" w:fill="auto"/>
            <w:noWrap/>
            <w:vAlign w:val="center"/>
            <w:hideMark/>
          </w:tcPr>
          <w:p w14:paraId="0DD2014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1,267</w:t>
            </w:r>
          </w:p>
        </w:tc>
      </w:tr>
      <w:tr w:rsidR="00F303E0" w:rsidRPr="00EE5714" w14:paraId="2D0BE735" w14:textId="77777777" w:rsidTr="00CE67A6">
        <w:trPr>
          <w:trHeight w:hRule="exact" w:val="245"/>
        </w:trPr>
        <w:tc>
          <w:tcPr>
            <w:tcW w:w="810" w:type="dxa"/>
            <w:tcBorders>
              <w:top w:val="nil"/>
              <w:left w:val="single" w:sz="8" w:space="0" w:color="000000"/>
              <w:bottom w:val="single" w:sz="8" w:space="0" w:color="000000"/>
              <w:right w:val="single" w:sz="4" w:space="0" w:color="000000"/>
            </w:tcBorders>
            <w:shd w:val="clear" w:color="auto" w:fill="F2F2F2" w:themeFill="background1" w:themeFillShade="F2"/>
            <w:noWrap/>
            <w:vAlign w:val="center"/>
            <w:hideMark/>
          </w:tcPr>
          <w:p w14:paraId="6F06C733"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170" w:type="dxa"/>
            <w:tcBorders>
              <w:top w:val="nil"/>
              <w:left w:val="nil"/>
              <w:bottom w:val="single" w:sz="8" w:space="0" w:color="000000"/>
              <w:right w:val="single" w:sz="4" w:space="0" w:color="000000"/>
            </w:tcBorders>
            <w:shd w:val="clear" w:color="auto" w:fill="auto"/>
            <w:noWrap/>
            <w:vAlign w:val="center"/>
            <w:hideMark/>
          </w:tcPr>
          <w:p w14:paraId="7214E6F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2,161</w:t>
            </w:r>
          </w:p>
        </w:tc>
        <w:tc>
          <w:tcPr>
            <w:tcW w:w="1080" w:type="dxa"/>
            <w:tcBorders>
              <w:top w:val="nil"/>
              <w:left w:val="nil"/>
              <w:bottom w:val="single" w:sz="8" w:space="0" w:color="000000"/>
              <w:right w:val="single" w:sz="4" w:space="0" w:color="000000"/>
            </w:tcBorders>
            <w:shd w:val="clear" w:color="auto" w:fill="auto"/>
            <w:noWrap/>
            <w:vAlign w:val="center"/>
            <w:hideMark/>
          </w:tcPr>
          <w:p w14:paraId="26ED59E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1,071</w:t>
            </w:r>
          </w:p>
        </w:tc>
        <w:tc>
          <w:tcPr>
            <w:tcW w:w="1080" w:type="dxa"/>
            <w:tcBorders>
              <w:top w:val="nil"/>
              <w:left w:val="nil"/>
              <w:bottom w:val="single" w:sz="8" w:space="0" w:color="000000"/>
              <w:right w:val="single" w:sz="4" w:space="0" w:color="000000"/>
            </w:tcBorders>
            <w:shd w:val="clear" w:color="auto" w:fill="auto"/>
            <w:noWrap/>
            <w:vAlign w:val="center"/>
            <w:hideMark/>
          </w:tcPr>
          <w:p w14:paraId="7A9E304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w:t>
            </w:r>
          </w:p>
        </w:tc>
        <w:tc>
          <w:tcPr>
            <w:tcW w:w="1305" w:type="dxa"/>
            <w:tcBorders>
              <w:top w:val="nil"/>
              <w:left w:val="nil"/>
              <w:bottom w:val="single" w:sz="8" w:space="0" w:color="000000"/>
              <w:right w:val="single" w:sz="4" w:space="0" w:color="000000"/>
            </w:tcBorders>
            <w:shd w:val="clear" w:color="auto" w:fill="auto"/>
            <w:noWrap/>
            <w:vAlign w:val="center"/>
            <w:hideMark/>
          </w:tcPr>
          <w:p w14:paraId="21B00E2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144</w:t>
            </w:r>
          </w:p>
        </w:tc>
        <w:tc>
          <w:tcPr>
            <w:tcW w:w="1035" w:type="dxa"/>
            <w:tcBorders>
              <w:top w:val="nil"/>
              <w:left w:val="nil"/>
              <w:bottom w:val="single" w:sz="8" w:space="0" w:color="000000"/>
              <w:right w:val="single" w:sz="4" w:space="0" w:color="000000"/>
            </w:tcBorders>
            <w:shd w:val="clear" w:color="auto" w:fill="auto"/>
            <w:noWrap/>
            <w:vAlign w:val="center"/>
            <w:hideMark/>
          </w:tcPr>
          <w:p w14:paraId="7A1CDFA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1,309</w:t>
            </w:r>
          </w:p>
        </w:tc>
        <w:tc>
          <w:tcPr>
            <w:tcW w:w="1350" w:type="dxa"/>
            <w:tcBorders>
              <w:top w:val="nil"/>
              <w:left w:val="nil"/>
              <w:bottom w:val="single" w:sz="8" w:space="0" w:color="000000"/>
              <w:right w:val="single" w:sz="4" w:space="0" w:color="000000"/>
            </w:tcBorders>
            <w:shd w:val="clear" w:color="auto" w:fill="auto"/>
            <w:noWrap/>
            <w:vAlign w:val="center"/>
            <w:hideMark/>
          </w:tcPr>
          <w:p w14:paraId="40BC63C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3,333</w:t>
            </w:r>
          </w:p>
        </w:tc>
        <w:tc>
          <w:tcPr>
            <w:tcW w:w="990" w:type="dxa"/>
            <w:tcBorders>
              <w:top w:val="nil"/>
              <w:left w:val="nil"/>
              <w:bottom w:val="single" w:sz="8" w:space="0" w:color="000000"/>
              <w:right w:val="single" w:sz="4" w:space="0" w:color="000000"/>
            </w:tcBorders>
            <w:shd w:val="clear" w:color="auto" w:fill="auto"/>
            <w:noWrap/>
            <w:vAlign w:val="center"/>
            <w:hideMark/>
          </w:tcPr>
          <w:p w14:paraId="164BC08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1,093</w:t>
            </w:r>
          </w:p>
        </w:tc>
        <w:tc>
          <w:tcPr>
            <w:tcW w:w="1260" w:type="dxa"/>
            <w:tcBorders>
              <w:top w:val="nil"/>
              <w:left w:val="nil"/>
              <w:bottom w:val="single" w:sz="8" w:space="0" w:color="000000"/>
              <w:right w:val="single" w:sz="8" w:space="0" w:color="000000"/>
            </w:tcBorders>
            <w:shd w:val="clear" w:color="auto" w:fill="auto"/>
            <w:noWrap/>
            <w:vAlign w:val="center"/>
            <w:hideMark/>
          </w:tcPr>
          <w:p w14:paraId="7326A81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969</w:t>
            </w:r>
          </w:p>
        </w:tc>
      </w:tr>
    </w:tbl>
    <w:p w14:paraId="3CB1962D" w14:textId="77777777" w:rsidR="00F303E0" w:rsidRPr="00EE5714" w:rsidRDefault="00F303E0" w:rsidP="00F303E0">
      <w:pPr>
        <w:pStyle w:val="NoSpacing"/>
        <w:rPr>
          <w:rFonts w:cs="Times New Roman"/>
          <w:szCs w:val="26"/>
        </w:rPr>
      </w:pPr>
    </w:p>
    <w:p w14:paraId="03DAFF7D" w14:textId="77777777" w:rsidR="00F303E0" w:rsidRPr="00EE5714" w:rsidRDefault="00F303E0" w:rsidP="00F303E0">
      <w:pPr>
        <w:pStyle w:val="NoSpacing"/>
        <w:rPr>
          <w:rFonts w:cs="Times New Roman"/>
          <w:szCs w:val="26"/>
        </w:rPr>
      </w:pPr>
    </w:p>
    <w:p w14:paraId="0388084D" w14:textId="77777777" w:rsidR="00F303E0" w:rsidRPr="00EE5714" w:rsidRDefault="00F734A0" w:rsidP="00F303E0">
      <w:pPr>
        <w:pStyle w:val="NoSpacing"/>
        <w:keepNext/>
        <w:rPr>
          <w:rFonts w:cs="Times New Roman"/>
          <w:szCs w:val="26"/>
        </w:rPr>
      </w:pPr>
      <w:r w:rsidRPr="00EE5714">
        <w:rPr>
          <w:rFonts w:cs="Times New Roman"/>
          <w:szCs w:val="26"/>
        </w:rPr>
        <w:lastRenderedPageBreak/>
        <w:t>Appendix 6</w:t>
      </w:r>
      <w:r w:rsidR="00F303E0" w:rsidRPr="00EE5714">
        <w:rPr>
          <w:rFonts w:cs="Times New Roman"/>
          <w:szCs w:val="26"/>
        </w:rPr>
        <w:t xml:space="preserve">.A.4: </w:t>
      </w:r>
      <w:r w:rsidR="00F303E0" w:rsidRPr="00EE5714">
        <w:rPr>
          <w:rFonts w:eastAsia="Times New Roman" w:cs="Times New Roman"/>
          <w:b/>
          <w:bCs/>
          <w:color w:val="000000"/>
          <w:szCs w:val="26"/>
        </w:rPr>
        <w:t>Percent of NGDC Aggregate Total CAP Termination Rates 0%-150% FPIG</w:t>
      </w:r>
    </w:p>
    <w:tbl>
      <w:tblPr>
        <w:tblW w:w="10080" w:type="dxa"/>
        <w:tblInd w:w="-370" w:type="dxa"/>
        <w:tblLayout w:type="fixed"/>
        <w:tblLook w:val="04A0" w:firstRow="1" w:lastRow="0" w:firstColumn="1" w:lastColumn="0" w:noHBand="0" w:noVBand="1"/>
      </w:tblPr>
      <w:tblGrid>
        <w:gridCol w:w="810"/>
        <w:gridCol w:w="1170"/>
        <w:gridCol w:w="1080"/>
        <w:gridCol w:w="1080"/>
        <w:gridCol w:w="1260"/>
        <w:gridCol w:w="1080"/>
        <w:gridCol w:w="1350"/>
        <w:gridCol w:w="990"/>
        <w:gridCol w:w="1260"/>
      </w:tblGrid>
      <w:tr w:rsidR="00F303E0" w:rsidRPr="00EE5714" w14:paraId="35073D1A" w14:textId="77777777" w:rsidTr="00CE67A6">
        <w:trPr>
          <w:trHeight w:val="315"/>
        </w:trPr>
        <w:tc>
          <w:tcPr>
            <w:tcW w:w="10080" w:type="dxa"/>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noWrap/>
            <w:vAlign w:val="center"/>
            <w:hideMark/>
          </w:tcPr>
          <w:p w14:paraId="14B313B2"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Percent of NGDC Aggregate Total CAP Termination Rates 0%-150% FPIG </w:t>
            </w:r>
          </w:p>
        </w:tc>
      </w:tr>
      <w:tr w:rsidR="00F303E0" w:rsidRPr="00EE5714" w14:paraId="32FC2498" w14:textId="77777777" w:rsidTr="00CE67A6">
        <w:trPr>
          <w:trHeight w:val="216"/>
        </w:trPr>
        <w:tc>
          <w:tcPr>
            <w:tcW w:w="810" w:type="dxa"/>
            <w:tcBorders>
              <w:top w:val="nil"/>
              <w:left w:val="single" w:sz="8" w:space="0" w:color="000000"/>
              <w:bottom w:val="single" w:sz="4" w:space="0" w:color="000000"/>
              <w:right w:val="single" w:sz="4" w:space="0" w:color="000000"/>
            </w:tcBorders>
            <w:shd w:val="clear" w:color="auto" w:fill="auto"/>
            <w:noWrap/>
            <w:vAlign w:val="center"/>
            <w:hideMark/>
          </w:tcPr>
          <w:p w14:paraId="71BFD31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170" w:type="dxa"/>
            <w:tcBorders>
              <w:top w:val="nil"/>
              <w:left w:val="nil"/>
              <w:bottom w:val="single" w:sz="4" w:space="0" w:color="000000"/>
              <w:right w:val="single" w:sz="4" w:space="0" w:color="000000"/>
            </w:tcBorders>
            <w:shd w:val="clear" w:color="auto" w:fill="auto"/>
            <w:noWrap/>
            <w:vAlign w:val="center"/>
            <w:hideMark/>
          </w:tcPr>
          <w:p w14:paraId="67118ECA"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 xml:space="preserve">Columbia </w:t>
            </w:r>
          </w:p>
        </w:tc>
        <w:tc>
          <w:tcPr>
            <w:tcW w:w="1080" w:type="dxa"/>
            <w:tcBorders>
              <w:top w:val="nil"/>
              <w:left w:val="nil"/>
              <w:bottom w:val="single" w:sz="4" w:space="0" w:color="000000"/>
              <w:right w:val="single" w:sz="4" w:space="0" w:color="000000"/>
            </w:tcBorders>
            <w:shd w:val="clear" w:color="auto" w:fill="auto"/>
            <w:noWrap/>
            <w:vAlign w:val="center"/>
            <w:hideMark/>
          </w:tcPr>
          <w:p w14:paraId="279FC436"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Equitable</w:t>
            </w:r>
          </w:p>
        </w:tc>
        <w:tc>
          <w:tcPr>
            <w:tcW w:w="1080" w:type="dxa"/>
            <w:tcBorders>
              <w:top w:val="nil"/>
              <w:left w:val="nil"/>
              <w:bottom w:val="single" w:sz="4" w:space="0" w:color="000000"/>
              <w:right w:val="single" w:sz="4" w:space="0" w:color="000000"/>
            </w:tcBorders>
            <w:shd w:val="clear" w:color="auto" w:fill="auto"/>
            <w:noWrap/>
            <w:vAlign w:val="center"/>
            <w:hideMark/>
          </w:tcPr>
          <w:p w14:paraId="37370384"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NFG</w:t>
            </w:r>
          </w:p>
        </w:tc>
        <w:tc>
          <w:tcPr>
            <w:tcW w:w="1260" w:type="dxa"/>
            <w:tcBorders>
              <w:top w:val="nil"/>
              <w:left w:val="nil"/>
              <w:bottom w:val="single" w:sz="4" w:space="0" w:color="000000"/>
              <w:right w:val="single" w:sz="4" w:space="0" w:color="000000"/>
            </w:tcBorders>
            <w:shd w:val="clear" w:color="auto" w:fill="auto"/>
            <w:noWrap/>
            <w:vAlign w:val="center"/>
            <w:hideMark/>
          </w:tcPr>
          <w:p w14:paraId="548EA5C2"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Gas</w:t>
            </w:r>
          </w:p>
        </w:tc>
        <w:tc>
          <w:tcPr>
            <w:tcW w:w="1080" w:type="dxa"/>
            <w:tcBorders>
              <w:top w:val="nil"/>
              <w:left w:val="nil"/>
              <w:bottom w:val="single" w:sz="4" w:space="0" w:color="000000"/>
              <w:right w:val="single" w:sz="4" w:space="0" w:color="000000"/>
            </w:tcBorders>
            <w:shd w:val="clear" w:color="auto" w:fill="auto"/>
            <w:noWrap/>
            <w:vAlign w:val="center"/>
            <w:hideMark/>
          </w:tcPr>
          <w:p w14:paraId="7F79F643"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Peoples</w:t>
            </w:r>
          </w:p>
        </w:tc>
        <w:tc>
          <w:tcPr>
            <w:tcW w:w="1350" w:type="dxa"/>
            <w:tcBorders>
              <w:top w:val="nil"/>
              <w:left w:val="nil"/>
              <w:bottom w:val="single" w:sz="4" w:space="0" w:color="000000"/>
              <w:right w:val="single" w:sz="4" w:space="0" w:color="000000"/>
            </w:tcBorders>
            <w:shd w:val="clear" w:color="auto" w:fill="auto"/>
            <w:noWrap/>
            <w:vAlign w:val="center"/>
            <w:hideMark/>
          </w:tcPr>
          <w:p w14:paraId="04E97309"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PGW</w:t>
            </w:r>
          </w:p>
        </w:tc>
        <w:tc>
          <w:tcPr>
            <w:tcW w:w="990" w:type="dxa"/>
            <w:tcBorders>
              <w:top w:val="nil"/>
              <w:left w:val="nil"/>
              <w:bottom w:val="single" w:sz="4" w:space="0" w:color="000000"/>
              <w:right w:val="single" w:sz="4" w:space="0" w:color="000000"/>
            </w:tcBorders>
            <w:shd w:val="clear" w:color="auto" w:fill="auto"/>
            <w:noWrap/>
            <w:vAlign w:val="center"/>
            <w:hideMark/>
          </w:tcPr>
          <w:p w14:paraId="0AEEDC24"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Gas</w:t>
            </w:r>
          </w:p>
        </w:tc>
        <w:tc>
          <w:tcPr>
            <w:tcW w:w="1260" w:type="dxa"/>
            <w:tcBorders>
              <w:top w:val="nil"/>
              <w:left w:val="nil"/>
              <w:bottom w:val="single" w:sz="4" w:space="0" w:color="000000"/>
              <w:right w:val="single" w:sz="8" w:space="0" w:color="000000"/>
            </w:tcBorders>
            <w:shd w:val="clear" w:color="auto" w:fill="auto"/>
            <w:noWrap/>
            <w:vAlign w:val="center"/>
            <w:hideMark/>
          </w:tcPr>
          <w:p w14:paraId="08800994"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UGI PNG</w:t>
            </w:r>
          </w:p>
        </w:tc>
      </w:tr>
      <w:tr w:rsidR="00F303E0" w:rsidRPr="00EE5714" w14:paraId="0F28711E" w14:textId="77777777" w:rsidTr="00CE67A6">
        <w:trPr>
          <w:trHeight w:hRule="exact" w:val="245"/>
        </w:trPr>
        <w:tc>
          <w:tcPr>
            <w:tcW w:w="810" w:type="dxa"/>
            <w:tcBorders>
              <w:top w:val="nil"/>
              <w:left w:val="single" w:sz="8" w:space="0" w:color="000000"/>
              <w:bottom w:val="single" w:sz="4" w:space="0" w:color="000000"/>
              <w:right w:val="single" w:sz="4" w:space="0" w:color="000000"/>
            </w:tcBorders>
            <w:shd w:val="clear" w:color="auto" w:fill="F2F2F2" w:themeFill="background1" w:themeFillShade="F2"/>
            <w:noWrap/>
            <w:vAlign w:val="center"/>
            <w:hideMark/>
          </w:tcPr>
          <w:p w14:paraId="0E14AD0B"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1170" w:type="dxa"/>
            <w:tcBorders>
              <w:top w:val="nil"/>
              <w:left w:val="nil"/>
              <w:bottom w:val="single" w:sz="4" w:space="0" w:color="808080"/>
              <w:right w:val="single" w:sz="4" w:space="0" w:color="000000"/>
            </w:tcBorders>
            <w:shd w:val="clear" w:color="auto" w:fill="auto"/>
            <w:noWrap/>
            <w:vAlign w:val="center"/>
            <w:hideMark/>
          </w:tcPr>
          <w:p w14:paraId="4A3F3FF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11.63%</w:t>
            </w:r>
          </w:p>
        </w:tc>
        <w:tc>
          <w:tcPr>
            <w:tcW w:w="1080" w:type="dxa"/>
            <w:tcBorders>
              <w:top w:val="nil"/>
              <w:left w:val="nil"/>
              <w:bottom w:val="single" w:sz="4" w:space="0" w:color="808080"/>
              <w:right w:val="single" w:sz="4" w:space="0" w:color="000000"/>
            </w:tcBorders>
            <w:shd w:val="clear" w:color="auto" w:fill="auto"/>
            <w:noWrap/>
            <w:vAlign w:val="center"/>
            <w:hideMark/>
          </w:tcPr>
          <w:p w14:paraId="7785865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080" w:type="dxa"/>
            <w:tcBorders>
              <w:top w:val="nil"/>
              <w:left w:val="nil"/>
              <w:bottom w:val="single" w:sz="4" w:space="0" w:color="808080"/>
              <w:right w:val="single" w:sz="4" w:space="0" w:color="000000"/>
            </w:tcBorders>
            <w:shd w:val="clear" w:color="auto" w:fill="auto"/>
            <w:noWrap/>
            <w:vAlign w:val="center"/>
            <w:hideMark/>
          </w:tcPr>
          <w:p w14:paraId="587FF73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5.72%</w:t>
            </w:r>
          </w:p>
        </w:tc>
        <w:tc>
          <w:tcPr>
            <w:tcW w:w="1260" w:type="dxa"/>
            <w:tcBorders>
              <w:top w:val="nil"/>
              <w:left w:val="nil"/>
              <w:bottom w:val="single" w:sz="4" w:space="0" w:color="808080"/>
              <w:right w:val="single" w:sz="4" w:space="0" w:color="000000"/>
            </w:tcBorders>
            <w:shd w:val="clear" w:color="auto" w:fill="auto"/>
            <w:noWrap/>
            <w:vAlign w:val="center"/>
            <w:hideMark/>
          </w:tcPr>
          <w:p w14:paraId="403B248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0.22%</w:t>
            </w:r>
          </w:p>
        </w:tc>
        <w:tc>
          <w:tcPr>
            <w:tcW w:w="1080" w:type="dxa"/>
            <w:tcBorders>
              <w:top w:val="nil"/>
              <w:left w:val="nil"/>
              <w:bottom w:val="single" w:sz="4" w:space="0" w:color="808080"/>
              <w:right w:val="single" w:sz="4" w:space="0" w:color="000000"/>
            </w:tcBorders>
            <w:shd w:val="clear" w:color="auto" w:fill="auto"/>
            <w:noWrap/>
            <w:vAlign w:val="center"/>
            <w:hideMark/>
          </w:tcPr>
          <w:p w14:paraId="37F580C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5.29%</w:t>
            </w:r>
          </w:p>
        </w:tc>
        <w:tc>
          <w:tcPr>
            <w:tcW w:w="1350" w:type="dxa"/>
            <w:tcBorders>
              <w:top w:val="nil"/>
              <w:left w:val="nil"/>
              <w:bottom w:val="single" w:sz="4" w:space="0" w:color="808080"/>
              <w:right w:val="single" w:sz="4" w:space="0" w:color="000000"/>
            </w:tcBorders>
            <w:shd w:val="clear" w:color="auto" w:fill="auto"/>
            <w:noWrap/>
            <w:vAlign w:val="center"/>
            <w:hideMark/>
          </w:tcPr>
          <w:p w14:paraId="605A001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6.93%</w:t>
            </w:r>
          </w:p>
        </w:tc>
        <w:tc>
          <w:tcPr>
            <w:tcW w:w="990" w:type="dxa"/>
            <w:tcBorders>
              <w:top w:val="nil"/>
              <w:left w:val="nil"/>
              <w:bottom w:val="single" w:sz="4" w:space="0" w:color="808080"/>
              <w:right w:val="single" w:sz="4" w:space="0" w:color="000000"/>
            </w:tcBorders>
            <w:shd w:val="clear" w:color="auto" w:fill="auto"/>
            <w:noWrap/>
            <w:vAlign w:val="center"/>
            <w:hideMark/>
          </w:tcPr>
          <w:p w14:paraId="77C1B21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20.95%</w:t>
            </w:r>
          </w:p>
        </w:tc>
        <w:tc>
          <w:tcPr>
            <w:tcW w:w="1260" w:type="dxa"/>
            <w:tcBorders>
              <w:top w:val="nil"/>
              <w:left w:val="nil"/>
              <w:bottom w:val="single" w:sz="4" w:space="0" w:color="808080"/>
              <w:right w:val="single" w:sz="8" w:space="0" w:color="000000"/>
            </w:tcBorders>
            <w:shd w:val="clear" w:color="auto" w:fill="auto"/>
            <w:noWrap/>
            <w:vAlign w:val="center"/>
            <w:hideMark/>
          </w:tcPr>
          <w:p w14:paraId="5CD915D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22.85%</w:t>
            </w:r>
          </w:p>
        </w:tc>
      </w:tr>
      <w:tr w:rsidR="00F303E0" w:rsidRPr="00EE5714" w14:paraId="0014A378" w14:textId="77777777" w:rsidTr="00CE67A6">
        <w:trPr>
          <w:trHeight w:hRule="exact" w:val="245"/>
        </w:trPr>
        <w:tc>
          <w:tcPr>
            <w:tcW w:w="810" w:type="dxa"/>
            <w:tcBorders>
              <w:top w:val="nil"/>
              <w:left w:val="single" w:sz="8" w:space="0" w:color="000000"/>
              <w:bottom w:val="single" w:sz="4" w:space="0" w:color="000000"/>
              <w:right w:val="single" w:sz="4" w:space="0" w:color="000000"/>
            </w:tcBorders>
            <w:shd w:val="clear" w:color="auto" w:fill="F2F2F2" w:themeFill="background1" w:themeFillShade="F2"/>
            <w:noWrap/>
            <w:vAlign w:val="center"/>
            <w:hideMark/>
          </w:tcPr>
          <w:p w14:paraId="1D88375C"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170" w:type="dxa"/>
            <w:tcBorders>
              <w:top w:val="nil"/>
              <w:left w:val="nil"/>
              <w:bottom w:val="single" w:sz="4" w:space="0" w:color="808080"/>
              <w:right w:val="single" w:sz="4" w:space="0" w:color="000000"/>
            </w:tcBorders>
            <w:shd w:val="clear" w:color="auto" w:fill="auto"/>
            <w:noWrap/>
            <w:vAlign w:val="center"/>
            <w:hideMark/>
          </w:tcPr>
          <w:p w14:paraId="0DC0856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11.34%</w:t>
            </w:r>
          </w:p>
        </w:tc>
        <w:tc>
          <w:tcPr>
            <w:tcW w:w="1080" w:type="dxa"/>
            <w:tcBorders>
              <w:top w:val="nil"/>
              <w:left w:val="nil"/>
              <w:bottom w:val="single" w:sz="4" w:space="0" w:color="808080"/>
              <w:right w:val="single" w:sz="4" w:space="0" w:color="000000"/>
            </w:tcBorders>
            <w:shd w:val="clear" w:color="auto" w:fill="auto"/>
            <w:noWrap/>
            <w:vAlign w:val="center"/>
            <w:hideMark/>
          </w:tcPr>
          <w:p w14:paraId="2DC9ECF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080" w:type="dxa"/>
            <w:tcBorders>
              <w:top w:val="nil"/>
              <w:left w:val="nil"/>
              <w:bottom w:val="single" w:sz="4" w:space="0" w:color="808080"/>
              <w:right w:val="single" w:sz="4" w:space="0" w:color="000000"/>
            </w:tcBorders>
            <w:shd w:val="clear" w:color="auto" w:fill="auto"/>
            <w:noWrap/>
            <w:vAlign w:val="center"/>
            <w:hideMark/>
          </w:tcPr>
          <w:p w14:paraId="3693F2C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4.10%</w:t>
            </w:r>
          </w:p>
        </w:tc>
        <w:tc>
          <w:tcPr>
            <w:tcW w:w="1260" w:type="dxa"/>
            <w:tcBorders>
              <w:top w:val="nil"/>
              <w:left w:val="nil"/>
              <w:bottom w:val="single" w:sz="4" w:space="0" w:color="808080"/>
              <w:right w:val="single" w:sz="4" w:space="0" w:color="000000"/>
            </w:tcBorders>
            <w:shd w:val="clear" w:color="auto" w:fill="auto"/>
            <w:noWrap/>
            <w:vAlign w:val="center"/>
            <w:hideMark/>
          </w:tcPr>
          <w:p w14:paraId="64D5A79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0.37%</w:t>
            </w:r>
          </w:p>
        </w:tc>
        <w:tc>
          <w:tcPr>
            <w:tcW w:w="1080" w:type="dxa"/>
            <w:tcBorders>
              <w:top w:val="nil"/>
              <w:left w:val="nil"/>
              <w:bottom w:val="single" w:sz="4" w:space="0" w:color="808080"/>
              <w:right w:val="single" w:sz="4" w:space="0" w:color="000000"/>
            </w:tcBorders>
            <w:shd w:val="clear" w:color="auto" w:fill="auto"/>
            <w:noWrap/>
            <w:vAlign w:val="center"/>
            <w:hideMark/>
          </w:tcPr>
          <w:p w14:paraId="738B29E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6.70%</w:t>
            </w:r>
          </w:p>
        </w:tc>
        <w:tc>
          <w:tcPr>
            <w:tcW w:w="1350" w:type="dxa"/>
            <w:tcBorders>
              <w:top w:val="nil"/>
              <w:left w:val="nil"/>
              <w:bottom w:val="single" w:sz="4" w:space="0" w:color="808080"/>
              <w:right w:val="single" w:sz="4" w:space="0" w:color="000000"/>
            </w:tcBorders>
            <w:shd w:val="clear" w:color="auto" w:fill="auto"/>
            <w:noWrap/>
            <w:vAlign w:val="center"/>
            <w:hideMark/>
          </w:tcPr>
          <w:p w14:paraId="3CD2E81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6.02%</w:t>
            </w:r>
          </w:p>
        </w:tc>
        <w:tc>
          <w:tcPr>
            <w:tcW w:w="990" w:type="dxa"/>
            <w:tcBorders>
              <w:top w:val="nil"/>
              <w:left w:val="nil"/>
              <w:bottom w:val="single" w:sz="4" w:space="0" w:color="808080"/>
              <w:right w:val="single" w:sz="4" w:space="0" w:color="000000"/>
            </w:tcBorders>
            <w:shd w:val="clear" w:color="auto" w:fill="auto"/>
            <w:noWrap/>
            <w:vAlign w:val="center"/>
            <w:hideMark/>
          </w:tcPr>
          <w:p w14:paraId="021EB9A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16.09%</w:t>
            </w:r>
          </w:p>
        </w:tc>
        <w:tc>
          <w:tcPr>
            <w:tcW w:w="1260" w:type="dxa"/>
            <w:tcBorders>
              <w:top w:val="nil"/>
              <w:left w:val="nil"/>
              <w:bottom w:val="single" w:sz="4" w:space="0" w:color="808080"/>
              <w:right w:val="single" w:sz="8" w:space="0" w:color="000000"/>
            </w:tcBorders>
            <w:shd w:val="clear" w:color="auto" w:fill="auto"/>
            <w:noWrap/>
            <w:vAlign w:val="center"/>
            <w:hideMark/>
          </w:tcPr>
          <w:p w14:paraId="6FC5532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16.65%</w:t>
            </w:r>
          </w:p>
        </w:tc>
      </w:tr>
      <w:tr w:rsidR="00F303E0" w:rsidRPr="00EE5714" w14:paraId="1BB9875D" w14:textId="77777777" w:rsidTr="00CE67A6">
        <w:trPr>
          <w:trHeight w:hRule="exact" w:val="245"/>
        </w:trPr>
        <w:tc>
          <w:tcPr>
            <w:tcW w:w="810" w:type="dxa"/>
            <w:tcBorders>
              <w:top w:val="nil"/>
              <w:left w:val="single" w:sz="8" w:space="0" w:color="000000"/>
              <w:bottom w:val="single" w:sz="4" w:space="0" w:color="000000"/>
              <w:right w:val="single" w:sz="4" w:space="0" w:color="000000"/>
            </w:tcBorders>
            <w:shd w:val="clear" w:color="auto" w:fill="F2F2F2" w:themeFill="background1" w:themeFillShade="F2"/>
            <w:noWrap/>
            <w:vAlign w:val="center"/>
            <w:hideMark/>
          </w:tcPr>
          <w:p w14:paraId="32CFECF7"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170" w:type="dxa"/>
            <w:tcBorders>
              <w:top w:val="nil"/>
              <w:left w:val="nil"/>
              <w:bottom w:val="single" w:sz="4" w:space="0" w:color="808080"/>
              <w:right w:val="single" w:sz="4" w:space="0" w:color="000000"/>
            </w:tcBorders>
            <w:shd w:val="clear" w:color="auto" w:fill="auto"/>
            <w:noWrap/>
            <w:vAlign w:val="center"/>
            <w:hideMark/>
          </w:tcPr>
          <w:p w14:paraId="6DC2865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10.51%</w:t>
            </w:r>
          </w:p>
        </w:tc>
        <w:tc>
          <w:tcPr>
            <w:tcW w:w="1080" w:type="dxa"/>
            <w:tcBorders>
              <w:top w:val="nil"/>
              <w:left w:val="nil"/>
              <w:bottom w:val="single" w:sz="4" w:space="0" w:color="808080"/>
              <w:right w:val="single" w:sz="4" w:space="0" w:color="000000"/>
            </w:tcBorders>
            <w:shd w:val="clear" w:color="auto" w:fill="auto"/>
            <w:noWrap/>
            <w:vAlign w:val="center"/>
            <w:hideMark/>
          </w:tcPr>
          <w:p w14:paraId="5AA7969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080" w:type="dxa"/>
            <w:tcBorders>
              <w:top w:val="nil"/>
              <w:left w:val="nil"/>
              <w:bottom w:val="single" w:sz="4" w:space="0" w:color="808080"/>
              <w:right w:val="single" w:sz="4" w:space="0" w:color="000000"/>
            </w:tcBorders>
            <w:shd w:val="clear" w:color="auto" w:fill="auto"/>
            <w:noWrap/>
            <w:vAlign w:val="center"/>
            <w:hideMark/>
          </w:tcPr>
          <w:p w14:paraId="6A48C52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7.38%</w:t>
            </w:r>
          </w:p>
        </w:tc>
        <w:tc>
          <w:tcPr>
            <w:tcW w:w="1260" w:type="dxa"/>
            <w:tcBorders>
              <w:top w:val="nil"/>
              <w:left w:val="nil"/>
              <w:bottom w:val="single" w:sz="4" w:space="0" w:color="808080"/>
              <w:right w:val="single" w:sz="4" w:space="0" w:color="000000"/>
            </w:tcBorders>
            <w:shd w:val="clear" w:color="auto" w:fill="auto"/>
            <w:noWrap/>
            <w:vAlign w:val="center"/>
            <w:hideMark/>
          </w:tcPr>
          <w:p w14:paraId="04BFEF5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0.73%</w:t>
            </w:r>
          </w:p>
        </w:tc>
        <w:tc>
          <w:tcPr>
            <w:tcW w:w="1080" w:type="dxa"/>
            <w:tcBorders>
              <w:top w:val="nil"/>
              <w:left w:val="nil"/>
              <w:bottom w:val="single" w:sz="4" w:space="0" w:color="808080"/>
              <w:right w:val="single" w:sz="4" w:space="0" w:color="000000"/>
            </w:tcBorders>
            <w:shd w:val="clear" w:color="auto" w:fill="auto"/>
            <w:noWrap/>
            <w:vAlign w:val="center"/>
            <w:hideMark/>
          </w:tcPr>
          <w:p w14:paraId="524CA5D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8.23%</w:t>
            </w:r>
          </w:p>
        </w:tc>
        <w:tc>
          <w:tcPr>
            <w:tcW w:w="1350" w:type="dxa"/>
            <w:tcBorders>
              <w:top w:val="nil"/>
              <w:left w:val="nil"/>
              <w:bottom w:val="single" w:sz="4" w:space="0" w:color="808080"/>
              <w:right w:val="single" w:sz="4" w:space="0" w:color="000000"/>
            </w:tcBorders>
            <w:shd w:val="clear" w:color="auto" w:fill="auto"/>
            <w:noWrap/>
            <w:vAlign w:val="center"/>
            <w:hideMark/>
          </w:tcPr>
          <w:p w14:paraId="61839B9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6.29%</w:t>
            </w:r>
          </w:p>
        </w:tc>
        <w:tc>
          <w:tcPr>
            <w:tcW w:w="990" w:type="dxa"/>
            <w:tcBorders>
              <w:top w:val="nil"/>
              <w:left w:val="nil"/>
              <w:bottom w:val="single" w:sz="4" w:space="0" w:color="808080"/>
              <w:right w:val="single" w:sz="4" w:space="0" w:color="000000"/>
            </w:tcBorders>
            <w:shd w:val="clear" w:color="auto" w:fill="auto"/>
            <w:noWrap/>
            <w:vAlign w:val="center"/>
            <w:hideMark/>
          </w:tcPr>
          <w:p w14:paraId="10F4282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11.66%</w:t>
            </w:r>
          </w:p>
        </w:tc>
        <w:tc>
          <w:tcPr>
            <w:tcW w:w="1260" w:type="dxa"/>
            <w:tcBorders>
              <w:top w:val="nil"/>
              <w:left w:val="nil"/>
              <w:bottom w:val="single" w:sz="4" w:space="0" w:color="808080"/>
              <w:right w:val="single" w:sz="8" w:space="0" w:color="000000"/>
            </w:tcBorders>
            <w:shd w:val="clear" w:color="auto" w:fill="auto"/>
            <w:noWrap/>
            <w:vAlign w:val="center"/>
            <w:hideMark/>
          </w:tcPr>
          <w:p w14:paraId="01B51A2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18.37%</w:t>
            </w:r>
          </w:p>
        </w:tc>
      </w:tr>
      <w:tr w:rsidR="00F303E0" w:rsidRPr="00EE5714" w14:paraId="11E83025" w14:textId="77777777" w:rsidTr="00CE67A6">
        <w:trPr>
          <w:trHeight w:hRule="exact" w:val="245"/>
        </w:trPr>
        <w:tc>
          <w:tcPr>
            <w:tcW w:w="810" w:type="dxa"/>
            <w:tcBorders>
              <w:top w:val="nil"/>
              <w:left w:val="single" w:sz="8" w:space="0" w:color="000000"/>
              <w:bottom w:val="single" w:sz="4" w:space="0" w:color="000000"/>
              <w:right w:val="single" w:sz="4" w:space="0" w:color="000000"/>
            </w:tcBorders>
            <w:shd w:val="clear" w:color="auto" w:fill="F2F2F2" w:themeFill="background1" w:themeFillShade="F2"/>
            <w:noWrap/>
            <w:vAlign w:val="center"/>
            <w:hideMark/>
          </w:tcPr>
          <w:p w14:paraId="378AC6EA"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170" w:type="dxa"/>
            <w:tcBorders>
              <w:top w:val="nil"/>
              <w:left w:val="nil"/>
              <w:bottom w:val="single" w:sz="4" w:space="0" w:color="808080"/>
              <w:right w:val="single" w:sz="4" w:space="0" w:color="000000"/>
            </w:tcBorders>
            <w:shd w:val="clear" w:color="auto" w:fill="auto"/>
            <w:noWrap/>
            <w:vAlign w:val="center"/>
            <w:hideMark/>
          </w:tcPr>
          <w:p w14:paraId="61FDDE7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11.34%</w:t>
            </w:r>
          </w:p>
        </w:tc>
        <w:tc>
          <w:tcPr>
            <w:tcW w:w="1080" w:type="dxa"/>
            <w:tcBorders>
              <w:top w:val="nil"/>
              <w:left w:val="nil"/>
              <w:bottom w:val="single" w:sz="4" w:space="0" w:color="808080"/>
              <w:right w:val="single" w:sz="4" w:space="0" w:color="000000"/>
            </w:tcBorders>
            <w:shd w:val="clear" w:color="auto" w:fill="auto"/>
            <w:noWrap/>
            <w:vAlign w:val="center"/>
            <w:hideMark/>
          </w:tcPr>
          <w:p w14:paraId="634C64C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3.71%</w:t>
            </w:r>
          </w:p>
        </w:tc>
        <w:tc>
          <w:tcPr>
            <w:tcW w:w="1080" w:type="dxa"/>
            <w:tcBorders>
              <w:top w:val="nil"/>
              <w:left w:val="nil"/>
              <w:bottom w:val="single" w:sz="4" w:space="0" w:color="808080"/>
              <w:right w:val="single" w:sz="4" w:space="0" w:color="000000"/>
            </w:tcBorders>
            <w:shd w:val="clear" w:color="auto" w:fill="auto"/>
            <w:noWrap/>
            <w:vAlign w:val="center"/>
            <w:hideMark/>
          </w:tcPr>
          <w:p w14:paraId="04C40A0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5.73%</w:t>
            </w:r>
          </w:p>
        </w:tc>
        <w:tc>
          <w:tcPr>
            <w:tcW w:w="1260" w:type="dxa"/>
            <w:tcBorders>
              <w:top w:val="nil"/>
              <w:left w:val="nil"/>
              <w:bottom w:val="single" w:sz="4" w:space="0" w:color="808080"/>
              <w:right w:val="single" w:sz="4" w:space="0" w:color="000000"/>
            </w:tcBorders>
            <w:shd w:val="clear" w:color="auto" w:fill="auto"/>
            <w:noWrap/>
            <w:vAlign w:val="center"/>
            <w:hideMark/>
          </w:tcPr>
          <w:p w14:paraId="6FC27F0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0.67%</w:t>
            </w:r>
          </w:p>
        </w:tc>
        <w:tc>
          <w:tcPr>
            <w:tcW w:w="1080" w:type="dxa"/>
            <w:tcBorders>
              <w:top w:val="nil"/>
              <w:left w:val="nil"/>
              <w:bottom w:val="single" w:sz="4" w:space="0" w:color="808080"/>
              <w:right w:val="single" w:sz="4" w:space="0" w:color="000000"/>
            </w:tcBorders>
            <w:shd w:val="clear" w:color="auto" w:fill="auto"/>
            <w:noWrap/>
            <w:vAlign w:val="center"/>
            <w:hideMark/>
          </w:tcPr>
          <w:p w14:paraId="1390BF8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8.74%</w:t>
            </w:r>
          </w:p>
        </w:tc>
        <w:tc>
          <w:tcPr>
            <w:tcW w:w="1350" w:type="dxa"/>
            <w:tcBorders>
              <w:top w:val="nil"/>
              <w:left w:val="nil"/>
              <w:bottom w:val="single" w:sz="4" w:space="0" w:color="808080"/>
              <w:right w:val="single" w:sz="4" w:space="0" w:color="000000"/>
            </w:tcBorders>
            <w:shd w:val="clear" w:color="auto" w:fill="auto"/>
            <w:noWrap/>
            <w:vAlign w:val="center"/>
            <w:hideMark/>
          </w:tcPr>
          <w:p w14:paraId="3310AC0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4.94%</w:t>
            </w:r>
          </w:p>
        </w:tc>
        <w:tc>
          <w:tcPr>
            <w:tcW w:w="990" w:type="dxa"/>
            <w:tcBorders>
              <w:top w:val="nil"/>
              <w:left w:val="nil"/>
              <w:bottom w:val="single" w:sz="4" w:space="0" w:color="808080"/>
              <w:right w:val="single" w:sz="4" w:space="0" w:color="000000"/>
            </w:tcBorders>
            <w:shd w:val="clear" w:color="auto" w:fill="auto"/>
            <w:noWrap/>
            <w:vAlign w:val="center"/>
            <w:hideMark/>
          </w:tcPr>
          <w:p w14:paraId="21A490C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14.55%</w:t>
            </w:r>
          </w:p>
        </w:tc>
        <w:tc>
          <w:tcPr>
            <w:tcW w:w="1260" w:type="dxa"/>
            <w:tcBorders>
              <w:top w:val="nil"/>
              <w:left w:val="nil"/>
              <w:bottom w:val="single" w:sz="4" w:space="0" w:color="808080"/>
              <w:right w:val="single" w:sz="8" w:space="0" w:color="000000"/>
            </w:tcBorders>
            <w:shd w:val="clear" w:color="auto" w:fill="auto"/>
            <w:noWrap/>
            <w:vAlign w:val="center"/>
            <w:hideMark/>
          </w:tcPr>
          <w:p w14:paraId="41526B3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18.86%</w:t>
            </w:r>
          </w:p>
        </w:tc>
      </w:tr>
      <w:tr w:rsidR="00F303E0" w:rsidRPr="00EE5714" w14:paraId="2E4696D3" w14:textId="77777777" w:rsidTr="00CE67A6">
        <w:trPr>
          <w:trHeight w:hRule="exact" w:val="245"/>
        </w:trPr>
        <w:tc>
          <w:tcPr>
            <w:tcW w:w="810" w:type="dxa"/>
            <w:tcBorders>
              <w:top w:val="nil"/>
              <w:left w:val="single" w:sz="8" w:space="0" w:color="000000"/>
              <w:bottom w:val="single" w:sz="8" w:space="0" w:color="000000"/>
              <w:right w:val="single" w:sz="4" w:space="0" w:color="000000"/>
            </w:tcBorders>
            <w:shd w:val="clear" w:color="auto" w:fill="F2F2F2" w:themeFill="background1" w:themeFillShade="F2"/>
            <w:noWrap/>
            <w:vAlign w:val="center"/>
            <w:hideMark/>
          </w:tcPr>
          <w:p w14:paraId="138BA508"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170" w:type="dxa"/>
            <w:tcBorders>
              <w:top w:val="nil"/>
              <w:left w:val="nil"/>
              <w:bottom w:val="single" w:sz="8" w:space="0" w:color="000000"/>
              <w:right w:val="single" w:sz="4" w:space="0" w:color="000000"/>
            </w:tcBorders>
            <w:shd w:val="clear" w:color="auto" w:fill="auto"/>
            <w:noWrap/>
            <w:vAlign w:val="center"/>
            <w:hideMark/>
          </w:tcPr>
          <w:p w14:paraId="6F46D01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10.05%</w:t>
            </w:r>
          </w:p>
        </w:tc>
        <w:tc>
          <w:tcPr>
            <w:tcW w:w="1080" w:type="dxa"/>
            <w:tcBorders>
              <w:top w:val="nil"/>
              <w:left w:val="nil"/>
              <w:bottom w:val="single" w:sz="8" w:space="0" w:color="000000"/>
              <w:right w:val="single" w:sz="4" w:space="0" w:color="000000"/>
            </w:tcBorders>
            <w:shd w:val="clear" w:color="auto" w:fill="auto"/>
            <w:noWrap/>
            <w:vAlign w:val="center"/>
            <w:hideMark/>
          </w:tcPr>
          <w:p w14:paraId="0AAAC8D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7.90%</w:t>
            </w:r>
          </w:p>
        </w:tc>
        <w:tc>
          <w:tcPr>
            <w:tcW w:w="1080" w:type="dxa"/>
            <w:tcBorders>
              <w:top w:val="nil"/>
              <w:left w:val="nil"/>
              <w:bottom w:val="single" w:sz="8" w:space="0" w:color="000000"/>
              <w:right w:val="single" w:sz="4" w:space="0" w:color="000000"/>
            </w:tcBorders>
            <w:shd w:val="clear" w:color="auto" w:fill="auto"/>
            <w:noWrap/>
            <w:vAlign w:val="center"/>
            <w:hideMark/>
          </w:tcPr>
          <w:p w14:paraId="54E6E38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0.60%</w:t>
            </w:r>
          </w:p>
        </w:tc>
        <w:tc>
          <w:tcPr>
            <w:tcW w:w="1260" w:type="dxa"/>
            <w:tcBorders>
              <w:top w:val="nil"/>
              <w:left w:val="nil"/>
              <w:bottom w:val="single" w:sz="8" w:space="0" w:color="000000"/>
              <w:right w:val="single" w:sz="4" w:space="0" w:color="000000"/>
            </w:tcBorders>
            <w:shd w:val="clear" w:color="auto" w:fill="auto"/>
            <w:noWrap/>
            <w:vAlign w:val="center"/>
            <w:hideMark/>
          </w:tcPr>
          <w:p w14:paraId="38B27CB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0.60%</w:t>
            </w:r>
          </w:p>
        </w:tc>
        <w:tc>
          <w:tcPr>
            <w:tcW w:w="1080" w:type="dxa"/>
            <w:tcBorders>
              <w:top w:val="nil"/>
              <w:left w:val="nil"/>
              <w:bottom w:val="single" w:sz="8" w:space="0" w:color="000000"/>
              <w:right w:val="single" w:sz="4" w:space="0" w:color="000000"/>
            </w:tcBorders>
            <w:shd w:val="clear" w:color="auto" w:fill="auto"/>
            <w:noWrap/>
            <w:vAlign w:val="center"/>
            <w:hideMark/>
          </w:tcPr>
          <w:p w14:paraId="326762C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6.61%</w:t>
            </w:r>
          </w:p>
        </w:tc>
        <w:tc>
          <w:tcPr>
            <w:tcW w:w="1350" w:type="dxa"/>
            <w:tcBorders>
              <w:top w:val="nil"/>
              <w:left w:val="nil"/>
              <w:bottom w:val="single" w:sz="8" w:space="0" w:color="000000"/>
              <w:right w:val="single" w:sz="4" w:space="0" w:color="000000"/>
            </w:tcBorders>
            <w:shd w:val="clear" w:color="auto" w:fill="auto"/>
            <w:noWrap/>
            <w:vAlign w:val="center"/>
            <w:hideMark/>
          </w:tcPr>
          <w:p w14:paraId="4346490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6.32%</w:t>
            </w:r>
          </w:p>
        </w:tc>
        <w:tc>
          <w:tcPr>
            <w:tcW w:w="990" w:type="dxa"/>
            <w:tcBorders>
              <w:top w:val="nil"/>
              <w:left w:val="nil"/>
              <w:bottom w:val="single" w:sz="8" w:space="0" w:color="000000"/>
              <w:right w:val="single" w:sz="4" w:space="0" w:color="000000"/>
            </w:tcBorders>
            <w:shd w:val="clear" w:color="auto" w:fill="auto"/>
            <w:noWrap/>
            <w:vAlign w:val="center"/>
            <w:hideMark/>
          </w:tcPr>
          <w:p w14:paraId="7A6BB933"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13.62%</w:t>
            </w:r>
          </w:p>
        </w:tc>
        <w:tc>
          <w:tcPr>
            <w:tcW w:w="1260" w:type="dxa"/>
            <w:tcBorders>
              <w:top w:val="nil"/>
              <w:left w:val="nil"/>
              <w:bottom w:val="single" w:sz="8" w:space="0" w:color="000000"/>
              <w:right w:val="single" w:sz="8" w:space="0" w:color="000000"/>
            </w:tcBorders>
            <w:shd w:val="clear" w:color="auto" w:fill="auto"/>
            <w:noWrap/>
            <w:vAlign w:val="center"/>
            <w:hideMark/>
          </w:tcPr>
          <w:p w14:paraId="11ACD3D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15.84%</w:t>
            </w:r>
          </w:p>
        </w:tc>
      </w:tr>
    </w:tbl>
    <w:p w14:paraId="6514E255" w14:textId="77777777" w:rsidR="00F303E0" w:rsidRPr="00EE5714" w:rsidRDefault="00F303E0" w:rsidP="00F303E0">
      <w:pPr>
        <w:pStyle w:val="NoSpacing"/>
        <w:rPr>
          <w:rFonts w:cs="Times New Roman"/>
          <w:szCs w:val="26"/>
        </w:rPr>
      </w:pPr>
    </w:p>
    <w:p w14:paraId="6D3BD43B" w14:textId="77777777" w:rsidR="00F303E0" w:rsidRPr="00EE5714" w:rsidRDefault="00F303E0" w:rsidP="00F303E0">
      <w:pPr>
        <w:pStyle w:val="NoSpacing"/>
        <w:rPr>
          <w:rFonts w:cs="Times New Roman"/>
          <w:szCs w:val="26"/>
        </w:rPr>
      </w:pPr>
    </w:p>
    <w:p w14:paraId="2B49D737" w14:textId="77777777" w:rsidR="00F303E0" w:rsidRPr="00EE5714" w:rsidRDefault="00F734A0" w:rsidP="00F303E0">
      <w:pPr>
        <w:pStyle w:val="NoSpacing"/>
        <w:keepNext/>
        <w:rPr>
          <w:rFonts w:cs="Times New Roman"/>
          <w:i/>
          <w:szCs w:val="26"/>
        </w:rPr>
      </w:pPr>
      <w:r w:rsidRPr="00EE5714">
        <w:rPr>
          <w:rFonts w:cs="Times New Roman"/>
          <w:szCs w:val="26"/>
        </w:rPr>
        <w:t>Appendix 6</w:t>
      </w:r>
      <w:r w:rsidR="00F303E0" w:rsidRPr="00EE5714">
        <w:rPr>
          <w:rFonts w:cs="Times New Roman"/>
          <w:i/>
          <w:szCs w:val="26"/>
        </w:rPr>
        <w:t>.B: Tables 7-3 to 7-6 EDCs Default Exit and CAP Termination Rates</w:t>
      </w:r>
    </w:p>
    <w:p w14:paraId="4AD23584" w14:textId="77777777" w:rsidR="00F303E0" w:rsidRPr="00EE5714" w:rsidRDefault="00F303E0" w:rsidP="00F303E0">
      <w:pPr>
        <w:pStyle w:val="NoSpacing"/>
        <w:keepNext/>
        <w:rPr>
          <w:rFonts w:cs="Times New Roman"/>
          <w:i/>
          <w:szCs w:val="26"/>
        </w:rPr>
      </w:pPr>
    </w:p>
    <w:p w14:paraId="7D5BEF4D" w14:textId="77777777" w:rsidR="00F303E0" w:rsidRPr="00EE5714" w:rsidRDefault="00F303E0" w:rsidP="00F303E0">
      <w:pPr>
        <w:pStyle w:val="NoSpacing"/>
        <w:keepNext/>
        <w:rPr>
          <w:rFonts w:eastAsia="Times New Roman" w:cs="Times New Roman"/>
          <w:szCs w:val="26"/>
        </w:rPr>
      </w:pPr>
      <w:bookmarkStart w:id="74" w:name="_Hlk526405210"/>
      <w:r w:rsidRPr="00EE5714">
        <w:rPr>
          <w:rFonts w:eastAsia="Times New Roman" w:cs="Times New Roman"/>
          <w:szCs w:val="26"/>
        </w:rPr>
        <w:t xml:space="preserve">The number and percentage of EDCs CAP electric non-heating default exits and default exit rates for the period from 2012 through 2016.  </w:t>
      </w:r>
    </w:p>
    <w:bookmarkEnd w:id="74"/>
    <w:p w14:paraId="4AF861D2" w14:textId="77777777" w:rsidR="00F303E0" w:rsidRPr="00EE5714" w:rsidRDefault="00F303E0" w:rsidP="00F303E0">
      <w:pPr>
        <w:pStyle w:val="NoSpacing"/>
        <w:keepNext/>
        <w:rPr>
          <w:rFonts w:cs="Times New Roman"/>
          <w:szCs w:val="26"/>
        </w:rPr>
      </w:pPr>
    </w:p>
    <w:p w14:paraId="35CD9114" w14:textId="77777777" w:rsidR="00F303E0" w:rsidRPr="00EE5714" w:rsidRDefault="00F734A0" w:rsidP="00F303E0">
      <w:pPr>
        <w:pStyle w:val="NoSpacing"/>
        <w:keepNext/>
        <w:rPr>
          <w:rFonts w:cs="Times New Roman"/>
          <w:szCs w:val="26"/>
        </w:rPr>
      </w:pPr>
      <w:r w:rsidRPr="00EE5714">
        <w:rPr>
          <w:rFonts w:cs="Times New Roman"/>
          <w:szCs w:val="26"/>
        </w:rPr>
        <w:t>Appendix 6</w:t>
      </w:r>
      <w:r w:rsidR="00F303E0" w:rsidRPr="00EE5714">
        <w:rPr>
          <w:rFonts w:cs="Times New Roman"/>
          <w:szCs w:val="26"/>
        </w:rPr>
        <w:t xml:space="preserve">.B.1: </w:t>
      </w:r>
      <w:r w:rsidR="00F303E0" w:rsidRPr="00EE5714">
        <w:rPr>
          <w:rFonts w:eastAsia="Times New Roman" w:cs="Times New Roman"/>
          <w:b/>
          <w:bCs/>
          <w:color w:val="000000"/>
          <w:szCs w:val="26"/>
        </w:rPr>
        <w:t>EDC Non-Heating Aggregate CAP Estimated* Default Exits 0%-150% FPIG</w:t>
      </w:r>
    </w:p>
    <w:tbl>
      <w:tblPr>
        <w:tblW w:w="10250" w:type="dxa"/>
        <w:jc w:val="center"/>
        <w:tblLayout w:type="fixed"/>
        <w:tblLook w:val="04A0" w:firstRow="1" w:lastRow="0" w:firstColumn="1" w:lastColumn="0" w:noHBand="0" w:noVBand="1"/>
      </w:tblPr>
      <w:tblGrid>
        <w:gridCol w:w="890"/>
        <w:gridCol w:w="1310"/>
        <w:gridCol w:w="1390"/>
        <w:gridCol w:w="1390"/>
        <w:gridCol w:w="1390"/>
        <w:gridCol w:w="1390"/>
        <w:gridCol w:w="1230"/>
        <w:gridCol w:w="1260"/>
      </w:tblGrid>
      <w:tr w:rsidR="00F303E0" w:rsidRPr="00EE5714" w14:paraId="78AB0BF0" w14:textId="77777777" w:rsidTr="00CE67A6">
        <w:trPr>
          <w:trHeight w:val="115"/>
          <w:jc w:val="center"/>
        </w:trPr>
        <w:tc>
          <w:tcPr>
            <w:tcW w:w="10250" w:type="dxa"/>
            <w:gridSpan w:val="8"/>
            <w:tcBorders>
              <w:top w:val="single" w:sz="8" w:space="0" w:color="000000"/>
              <w:left w:val="single" w:sz="8" w:space="0" w:color="000000"/>
              <w:bottom w:val="single" w:sz="8" w:space="0" w:color="000000"/>
              <w:right w:val="single" w:sz="8" w:space="0" w:color="000000"/>
            </w:tcBorders>
            <w:shd w:val="clear" w:color="auto" w:fill="BFBFBF" w:themeFill="background1" w:themeFillShade="BF"/>
            <w:noWrap/>
            <w:vAlign w:val="center"/>
            <w:hideMark/>
          </w:tcPr>
          <w:p w14:paraId="2A43734D" w14:textId="77777777" w:rsidR="00F303E0" w:rsidRPr="00EE5714" w:rsidRDefault="00F303E0" w:rsidP="00851815">
            <w:pPr>
              <w:keepNext/>
              <w:jc w:val="center"/>
              <w:rPr>
                <w:rFonts w:ascii="Calibri" w:eastAsia="Times New Roman" w:hAnsi="Calibri" w:cs="Calibri"/>
                <w:b/>
                <w:color w:val="000000"/>
              </w:rPr>
            </w:pPr>
            <w:r w:rsidRPr="00EE5714">
              <w:rPr>
                <w:rFonts w:ascii="Calibri" w:eastAsia="Times New Roman" w:hAnsi="Calibri" w:cs="Calibri"/>
                <w:b/>
                <w:color w:val="000000"/>
              </w:rPr>
              <w:t xml:space="preserve">EDC Non-Heating Aggregate CAP Estimated* Default Exits 0%-150% FPIG </w:t>
            </w:r>
          </w:p>
        </w:tc>
      </w:tr>
      <w:tr w:rsidR="00F303E0" w:rsidRPr="00EE5714" w14:paraId="75D5286E" w14:textId="77777777" w:rsidTr="00CE67A6">
        <w:trPr>
          <w:trHeight w:val="216"/>
          <w:jc w:val="center"/>
        </w:trPr>
        <w:tc>
          <w:tcPr>
            <w:tcW w:w="890" w:type="dxa"/>
            <w:tcBorders>
              <w:top w:val="nil"/>
              <w:left w:val="single" w:sz="8" w:space="0" w:color="000000"/>
              <w:bottom w:val="single" w:sz="4" w:space="0" w:color="000000"/>
              <w:right w:val="single" w:sz="4" w:space="0" w:color="000000"/>
            </w:tcBorders>
            <w:shd w:val="clear" w:color="auto" w:fill="auto"/>
            <w:noWrap/>
            <w:vAlign w:val="center"/>
            <w:hideMark/>
          </w:tcPr>
          <w:p w14:paraId="54F5F48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310" w:type="dxa"/>
            <w:tcBorders>
              <w:top w:val="nil"/>
              <w:left w:val="nil"/>
              <w:bottom w:val="single" w:sz="4" w:space="0" w:color="000000"/>
              <w:right w:val="single" w:sz="4" w:space="0" w:color="000000"/>
            </w:tcBorders>
            <w:shd w:val="clear" w:color="auto" w:fill="auto"/>
            <w:noWrap/>
            <w:vAlign w:val="center"/>
            <w:hideMark/>
          </w:tcPr>
          <w:p w14:paraId="7AB24F61"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Duquesne</w:t>
            </w:r>
          </w:p>
        </w:tc>
        <w:tc>
          <w:tcPr>
            <w:tcW w:w="1390" w:type="dxa"/>
            <w:tcBorders>
              <w:top w:val="nil"/>
              <w:left w:val="nil"/>
              <w:bottom w:val="single" w:sz="4" w:space="0" w:color="000000"/>
              <w:right w:val="single" w:sz="4" w:space="0" w:color="000000"/>
            </w:tcBorders>
            <w:shd w:val="clear" w:color="auto" w:fill="auto"/>
            <w:noWrap/>
            <w:vAlign w:val="center"/>
            <w:hideMark/>
          </w:tcPr>
          <w:p w14:paraId="259C3DDE"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1390" w:type="dxa"/>
            <w:tcBorders>
              <w:top w:val="nil"/>
              <w:left w:val="nil"/>
              <w:bottom w:val="single" w:sz="4" w:space="0" w:color="000000"/>
              <w:right w:val="single" w:sz="4" w:space="0" w:color="000000"/>
            </w:tcBorders>
            <w:shd w:val="clear" w:color="auto" w:fill="auto"/>
            <w:noWrap/>
            <w:vAlign w:val="center"/>
            <w:hideMark/>
          </w:tcPr>
          <w:p w14:paraId="75FE2A6A"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1390" w:type="dxa"/>
            <w:tcBorders>
              <w:top w:val="nil"/>
              <w:left w:val="nil"/>
              <w:bottom w:val="single" w:sz="4" w:space="0" w:color="000000"/>
              <w:right w:val="single" w:sz="4" w:space="0" w:color="000000"/>
            </w:tcBorders>
            <w:shd w:val="clear" w:color="auto" w:fill="auto"/>
            <w:noWrap/>
            <w:vAlign w:val="center"/>
            <w:hideMark/>
          </w:tcPr>
          <w:p w14:paraId="32AE0A43" w14:textId="77777777" w:rsidR="00F303E0" w:rsidRPr="00EE5714" w:rsidRDefault="00F303E0" w:rsidP="00851815">
            <w:pPr>
              <w:keepNext/>
              <w:jc w:val="center"/>
              <w:rPr>
                <w:rFonts w:ascii="Calibri" w:eastAsia="Times New Roman" w:hAnsi="Calibri" w:cs="Calibri"/>
                <w:b/>
                <w:color w:val="000000"/>
                <w:sz w:val="21"/>
                <w:szCs w:val="21"/>
              </w:rPr>
            </w:pPr>
            <w:proofErr w:type="spellStart"/>
            <w:r w:rsidRPr="00EE5714">
              <w:rPr>
                <w:rFonts w:ascii="Calibri" w:eastAsia="Times New Roman" w:hAnsi="Calibri" w:cs="Calibri"/>
                <w:b/>
                <w:color w:val="000000"/>
                <w:sz w:val="21"/>
                <w:szCs w:val="21"/>
              </w:rPr>
              <w:t>Penelec</w:t>
            </w:r>
            <w:proofErr w:type="spellEnd"/>
          </w:p>
        </w:tc>
        <w:tc>
          <w:tcPr>
            <w:tcW w:w="1390" w:type="dxa"/>
            <w:tcBorders>
              <w:top w:val="nil"/>
              <w:left w:val="nil"/>
              <w:bottom w:val="single" w:sz="4" w:space="0" w:color="000000"/>
              <w:right w:val="single" w:sz="4" w:space="0" w:color="000000"/>
            </w:tcBorders>
            <w:shd w:val="clear" w:color="auto" w:fill="auto"/>
            <w:noWrap/>
            <w:vAlign w:val="center"/>
            <w:hideMark/>
          </w:tcPr>
          <w:p w14:paraId="59CC799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Penn Power</w:t>
            </w:r>
          </w:p>
        </w:tc>
        <w:tc>
          <w:tcPr>
            <w:tcW w:w="1230" w:type="dxa"/>
            <w:tcBorders>
              <w:top w:val="nil"/>
              <w:left w:val="nil"/>
              <w:bottom w:val="single" w:sz="4" w:space="0" w:color="000000"/>
              <w:right w:val="single" w:sz="4" w:space="0" w:color="000000"/>
            </w:tcBorders>
            <w:shd w:val="clear" w:color="auto" w:fill="auto"/>
            <w:noWrap/>
            <w:vAlign w:val="center"/>
            <w:hideMark/>
          </w:tcPr>
          <w:p w14:paraId="14617A1D"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PPL</w:t>
            </w:r>
          </w:p>
        </w:tc>
        <w:tc>
          <w:tcPr>
            <w:tcW w:w="1260" w:type="dxa"/>
            <w:tcBorders>
              <w:top w:val="nil"/>
              <w:left w:val="nil"/>
              <w:bottom w:val="single" w:sz="4" w:space="0" w:color="000000"/>
              <w:right w:val="single" w:sz="8" w:space="0" w:color="000000"/>
            </w:tcBorders>
            <w:shd w:val="clear" w:color="auto" w:fill="auto"/>
            <w:noWrap/>
            <w:vAlign w:val="center"/>
            <w:hideMark/>
          </w:tcPr>
          <w:p w14:paraId="7A965F5B"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West Penn</w:t>
            </w:r>
          </w:p>
        </w:tc>
      </w:tr>
      <w:tr w:rsidR="00F303E0" w:rsidRPr="00EE5714" w14:paraId="6300A22C" w14:textId="77777777" w:rsidTr="00CE67A6">
        <w:trPr>
          <w:trHeight w:val="216"/>
          <w:jc w:val="center"/>
        </w:trPr>
        <w:tc>
          <w:tcPr>
            <w:tcW w:w="89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0D7D0644"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2012</w:t>
            </w:r>
          </w:p>
        </w:tc>
        <w:tc>
          <w:tcPr>
            <w:tcW w:w="1310" w:type="dxa"/>
            <w:tcBorders>
              <w:top w:val="nil"/>
              <w:left w:val="nil"/>
              <w:bottom w:val="single" w:sz="4" w:space="0" w:color="808080"/>
              <w:right w:val="single" w:sz="4" w:space="0" w:color="000000"/>
            </w:tcBorders>
            <w:shd w:val="clear" w:color="auto" w:fill="auto"/>
            <w:noWrap/>
            <w:vAlign w:val="center"/>
            <w:hideMark/>
          </w:tcPr>
          <w:p w14:paraId="10660D6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4,954</w:t>
            </w:r>
          </w:p>
        </w:tc>
        <w:tc>
          <w:tcPr>
            <w:tcW w:w="1390" w:type="dxa"/>
            <w:tcBorders>
              <w:top w:val="nil"/>
              <w:left w:val="nil"/>
              <w:bottom w:val="single" w:sz="4" w:space="0" w:color="808080"/>
              <w:right w:val="single" w:sz="4" w:space="0" w:color="000000"/>
            </w:tcBorders>
            <w:shd w:val="clear" w:color="auto" w:fill="auto"/>
            <w:noWrap/>
            <w:vAlign w:val="center"/>
            <w:hideMark/>
          </w:tcPr>
          <w:p w14:paraId="361C48A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1,484</w:t>
            </w:r>
          </w:p>
        </w:tc>
        <w:tc>
          <w:tcPr>
            <w:tcW w:w="1390" w:type="dxa"/>
            <w:tcBorders>
              <w:top w:val="nil"/>
              <w:left w:val="nil"/>
              <w:bottom w:val="single" w:sz="4" w:space="0" w:color="808080"/>
              <w:right w:val="single" w:sz="4" w:space="0" w:color="000000"/>
            </w:tcBorders>
            <w:shd w:val="clear" w:color="auto" w:fill="auto"/>
            <w:noWrap/>
            <w:vAlign w:val="center"/>
            <w:hideMark/>
          </w:tcPr>
          <w:p w14:paraId="761C4FF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28,067</w:t>
            </w:r>
          </w:p>
        </w:tc>
        <w:tc>
          <w:tcPr>
            <w:tcW w:w="1390" w:type="dxa"/>
            <w:tcBorders>
              <w:top w:val="nil"/>
              <w:left w:val="nil"/>
              <w:bottom w:val="single" w:sz="4" w:space="0" w:color="808080"/>
              <w:right w:val="single" w:sz="4" w:space="0" w:color="000000"/>
            </w:tcBorders>
            <w:shd w:val="clear" w:color="auto" w:fill="auto"/>
            <w:noWrap/>
            <w:vAlign w:val="center"/>
            <w:hideMark/>
          </w:tcPr>
          <w:p w14:paraId="3735798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6,503</w:t>
            </w:r>
          </w:p>
        </w:tc>
        <w:tc>
          <w:tcPr>
            <w:tcW w:w="1390" w:type="dxa"/>
            <w:tcBorders>
              <w:top w:val="nil"/>
              <w:left w:val="nil"/>
              <w:bottom w:val="single" w:sz="4" w:space="0" w:color="808080"/>
              <w:right w:val="single" w:sz="4" w:space="0" w:color="000000"/>
            </w:tcBorders>
            <w:shd w:val="clear" w:color="auto" w:fill="auto"/>
            <w:noWrap/>
            <w:vAlign w:val="center"/>
            <w:hideMark/>
          </w:tcPr>
          <w:p w14:paraId="1983D0A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1,045</w:t>
            </w:r>
          </w:p>
        </w:tc>
        <w:tc>
          <w:tcPr>
            <w:tcW w:w="1230" w:type="dxa"/>
            <w:tcBorders>
              <w:top w:val="nil"/>
              <w:left w:val="nil"/>
              <w:bottom w:val="single" w:sz="4" w:space="0" w:color="808080"/>
              <w:right w:val="single" w:sz="4" w:space="0" w:color="000000"/>
            </w:tcBorders>
            <w:shd w:val="clear" w:color="auto" w:fill="auto"/>
            <w:noWrap/>
            <w:vAlign w:val="center"/>
            <w:hideMark/>
          </w:tcPr>
          <w:p w14:paraId="70E7D79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6,920</w:t>
            </w:r>
          </w:p>
        </w:tc>
        <w:tc>
          <w:tcPr>
            <w:tcW w:w="1260" w:type="dxa"/>
            <w:tcBorders>
              <w:top w:val="nil"/>
              <w:left w:val="nil"/>
              <w:bottom w:val="single" w:sz="4" w:space="0" w:color="808080"/>
              <w:right w:val="single" w:sz="8" w:space="0" w:color="000000"/>
            </w:tcBorders>
            <w:shd w:val="clear" w:color="auto" w:fill="auto"/>
            <w:noWrap/>
            <w:vAlign w:val="center"/>
            <w:hideMark/>
          </w:tcPr>
          <w:p w14:paraId="094624D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3,906</w:t>
            </w:r>
          </w:p>
        </w:tc>
      </w:tr>
      <w:tr w:rsidR="00F303E0" w:rsidRPr="00EE5714" w14:paraId="5228D812" w14:textId="77777777" w:rsidTr="00CE67A6">
        <w:trPr>
          <w:trHeight w:val="216"/>
          <w:jc w:val="center"/>
        </w:trPr>
        <w:tc>
          <w:tcPr>
            <w:tcW w:w="89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2A5A702A"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2013</w:t>
            </w:r>
          </w:p>
        </w:tc>
        <w:tc>
          <w:tcPr>
            <w:tcW w:w="1310" w:type="dxa"/>
            <w:tcBorders>
              <w:top w:val="nil"/>
              <w:left w:val="nil"/>
              <w:bottom w:val="single" w:sz="4" w:space="0" w:color="808080"/>
              <w:right w:val="single" w:sz="4" w:space="0" w:color="000000"/>
            </w:tcBorders>
            <w:shd w:val="clear" w:color="auto" w:fill="auto"/>
            <w:noWrap/>
            <w:vAlign w:val="center"/>
            <w:hideMark/>
          </w:tcPr>
          <w:p w14:paraId="6A8DD09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3,188</w:t>
            </w:r>
          </w:p>
        </w:tc>
        <w:tc>
          <w:tcPr>
            <w:tcW w:w="1390" w:type="dxa"/>
            <w:tcBorders>
              <w:top w:val="nil"/>
              <w:left w:val="nil"/>
              <w:bottom w:val="single" w:sz="4" w:space="0" w:color="808080"/>
              <w:right w:val="single" w:sz="4" w:space="0" w:color="000000"/>
            </w:tcBorders>
            <w:shd w:val="clear" w:color="auto" w:fill="auto"/>
            <w:noWrap/>
            <w:vAlign w:val="center"/>
            <w:hideMark/>
          </w:tcPr>
          <w:p w14:paraId="5D88798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12,497</w:t>
            </w:r>
          </w:p>
        </w:tc>
        <w:tc>
          <w:tcPr>
            <w:tcW w:w="1390" w:type="dxa"/>
            <w:tcBorders>
              <w:top w:val="nil"/>
              <w:left w:val="nil"/>
              <w:bottom w:val="single" w:sz="4" w:space="0" w:color="808080"/>
              <w:right w:val="single" w:sz="4" w:space="0" w:color="000000"/>
            </w:tcBorders>
            <w:shd w:val="clear" w:color="auto" w:fill="auto"/>
            <w:noWrap/>
            <w:vAlign w:val="center"/>
            <w:hideMark/>
          </w:tcPr>
          <w:p w14:paraId="57AA811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42,332</w:t>
            </w:r>
          </w:p>
        </w:tc>
        <w:tc>
          <w:tcPr>
            <w:tcW w:w="1390" w:type="dxa"/>
            <w:tcBorders>
              <w:top w:val="nil"/>
              <w:left w:val="nil"/>
              <w:bottom w:val="single" w:sz="4" w:space="0" w:color="808080"/>
              <w:right w:val="single" w:sz="4" w:space="0" w:color="000000"/>
            </w:tcBorders>
            <w:shd w:val="clear" w:color="auto" w:fill="auto"/>
            <w:noWrap/>
            <w:vAlign w:val="center"/>
            <w:hideMark/>
          </w:tcPr>
          <w:p w14:paraId="432620E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16,848</w:t>
            </w:r>
          </w:p>
        </w:tc>
        <w:tc>
          <w:tcPr>
            <w:tcW w:w="1390" w:type="dxa"/>
            <w:tcBorders>
              <w:top w:val="nil"/>
              <w:left w:val="nil"/>
              <w:bottom w:val="single" w:sz="4" w:space="0" w:color="808080"/>
              <w:right w:val="single" w:sz="4" w:space="0" w:color="000000"/>
            </w:tcBorders>
            <w:shd w:val="clear" w:color="auto" w:fill="auto"/>
            <w:noWrap/>
            <w:vAlign w:val="center"/>
            <w:hideMark/>
          </w:tcPr>
          <w:p w14:paraId="28C9DCF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3,038</w:t>
            </w:r>
          </w:p>
        </w:tc>
        <w:tc>
          <w:tcPr>
            <w:tcW w:w="1230" w:type="dxa"/>
            <w:tcBorders>
              <w:top w:val="nil"/>
              <w:left w:val="nil"/>
              <w:bottom w:val="single" w:sz="4" w:space="0" w:color="808080"/>
              <w:right w:val="single" w:sz="4" w:space="0" w:color="000000"/>
            </w:tcBorders>
            <w:shd w:val="clear" w:color="auto" w:fill="auto"/>
            <w:noWrap/>
            <w:vAlign w:val="center"/>
            <w:hideMark/>
          </w:tcPr>
          <w:p w14:paraId="632EEAC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5,041</w:t>
            </w:r>
          </w:p>
        </w:tc>
        <w:tc>
          <w:tcPr>
            <w:tcW w:w="1260" w:type="dxa"/>
            <w:tcBorders>
              <w:top w:val="nil"/>
              <w:left w:val="nil"/>
              <w:bottom w:val="single" w:sz="4" w:space="0" w:color="808080"/>
              <w:right w:val="single" w:sz="8" w:space="0" w:color="000000"/>
            </w:tcBorders>
            <w:shd w:val="clear" w:color="auto" w:fill="auto"/>
            <w:noWrap/>
            <w:vAlign w:val="center"/>
            <w:hideMark/>
          </w:tcPr>
          <w:p w14:paraId="19F11E6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10,266</w:t>
            </w:r>
          </w:p>
        </w:tc>
      </w:tr>
      <w:tr w:rsidR="00F303E0" w:rsidRPr="00EE5714" w14:paraId="5A1BDD18" w14:textId="77777777" w:rsidTr="00CE67A6">
        <w:trPr>
          <w:trHeight w:val="216"/>
          <w:jc w:val="center"/>
        </w:trPr>
        <w:tc>
          <w:tcPr>
            <w:tcW w:w="89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03F6054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2014</w:t>
            </w:r>
          </w:p>
        </w:tc>
        <w:tc>
          <w:tcPr>
            <w:tcW w:w="1310" w:type="dxa"/>
            <w:tcBorders>
              <w:top w:val="nil"/>
              <w:left w:val="nil"/>
              <w:bottom w:val="single" w:sz="4" w:space="0" w:color="808080"/>
              <w:right w:val="single" w:sz="4" w:space="0" w:color="000000"/>
            </w:tcBorders>
            <w:shd w:val="clear" w:color="auto" w:fill="auto"/>
            <w:noWrap/>
            <w:vAlign w:val="center"/>
            <w:hideMark/>
          </w:tcPr>
          <w:p w14:paraId="10354D5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3,581</w:t>
            </w:r>
          </w:p>
        </w:tc>
        <w:tc>
          <w:tcPr>
            <w:tcW w:w="1390" w:type="dxa"/>
            <w:tcBorders>
              <w:top w:val="nil"/>
              <w:left w:val="nil"/>
              <w:bottom w:val="single" w:sz="4" w:space="0" w:color="808080"/>
              <w:right w:val="single" w:sz="4" w:space="0" w:color="000000"/>
            </w:tcBorders>
            <w:shd w:val="clear" w:color="auto" w:fill="auto"/>
            <w:noWrap/>
            <w:vAlign w:val="center"/>
            <w:hideMark/>
          </w:tcPr>
          <w:p w14:paraId="67E590B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6,126</w:t>
            </w:r>
          </w:p>
        </w:tc>
        <w:tc>
          <w:tcPr>
            <w:tcW w:w="1390" w:type="dxa"/>
            <w:tcBorders>
              <w:top w:val="nil"/>
              <w:left w:val="nil"/>
              <w:bottom w:val="single" w:sz="4" w:space="0" w:color="808080"/>
              <w:right w:val="single" w:sz="4" w:space="0" w:color="000000"/>
            </w:tcBorders>
            <w:shd w:val="clear" w:color="auto" w:fill="auto"/>
            <w:noWrap/>
            <w:vAlign w:val="center"/>
            <w:hideMark/>
          </w:tcPr>
          <w:p w14:paraId="6CEDDBE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51,469</w:t>
            </w:r>
          </w:p>
        </w:tc>
        <w:tc>
          <w:tcPr>
            <w:tcW w:w="1390" w:type="dxa"/>
            <w:tcBorders>
              <w:top w:val="nil"/>
              <w:left w:val="nil"/>
              <w:bottom w:val="single" w:sz="4" w:space="0" w:color="808080"/>
              <w:right w:val="single" w:sz="4" w:space="0" w:color="000000"/>
            </w:tcBorders>
            <w:shd w:val="clear" w:color="auto" w:fill="auto"/>
            <w:noWrap/>
            <w:vAlign w:val="center"/>
            <w:hideMark/>
          </w:tcPr>
          <w:p w14:paraId="7C1B015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8,900</w:t>
            </w:r>
          </w:p>
        </w:tc>
        <w:tc>
          <w:tcPr>
            <w:tcW w:w="1390" w:type="dxa"/>
            <w:tcBorders>
              <w:top w:val="nil"/>
              <w:left w:val="nil"/>
              <w:bottom w:val="single" w:sz="4" w:space="0" w:color="808080"/>
              <w:right w:val="single" w:sz="4" w:space="0" w:color="000000"/>
            </w:tcBorders>
            <w:shd w:val="clear" w:color="auto" w:fill="auto"/>
            <w:noWrap/>
            <w:vAlign w:val="center"/>
            <w:hideMark/>
          </w:tcPr>
          <w:p w14:paraId="330E61C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1,500</w:t>
            </w:r>
          </w:p>
        </w:tc>
        <w:tc>
          <w:tcPr>
            <w:tcW w:w="1230" w:type="dxa"/>
            <w:tcBorders>
              <w:top w:val="nil"/>
              <w:left w:val="nil"/>
              <w:bottom w:val="single" w:sz="4" w:space="0" w:color="808080"/>
              <w:right w:val="single" w:sz="4" w:space="0" w:color="000000"/>
            </w:tcBorders>
            <w:shd w:val="clear" w:color="auto" w:fill="auto"/>
            <w:noWrap/>
            <w:vAlign w:val="center"/>
            <w:hideMark/>
          </w:tcPr>
          <w:p w14:paraId="49C9278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3,998</w:t>
            </w:r>
          </w:p>
        </w:tc>
        <w:tc>
          <w:tcPr>
            <w:tcW w:w="1260" w:type="dxa"/>
            <w:tcBorders>
              <w:top w:val="nil"/>
              <w:left w:val="nil"/>
              <w:bottom w:val="single" w:sz="4" w:space="0" w:color="808080"/>
              <w:right w:val="single" w:sz="8" w:space="0" w:color="000000"/>
            </w:tcBorders>
            <w:shd w:val="clear" w:color="auto" w:fill="auto"/>
            <w:noWrap/>
            <w:vAlign w:val="center"/>
            <w:hideMark/>
          </w:tcPr>
          <w:p w14:paraId="44FDDD3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9,553</w:t>
            </w:r>
          </w:p>
        </w:tc>
      </w:tr>
      <w:tr w:rsidR="00F303E0" w:rsidRPr="00EE5714" w14:paraId="4D686B8D" w14:textId="77777777" w:rsidTr="00CE67A6">
        <w:trPr>
          <w:trHeight w:val="216"/>
          <w:jc w:val="center"/>
        </w:trPr>
        <w:tc>
          <w:tcPr>
            <w:tcW w:w="89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79FDCD50"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2015</w:t>
            </w:r>
          </w:p>
        </w:tc>
        <w:tc>
          <w:tcPr>
            <w:tcW w:w="1310" w:type="dxa"/>
            <w:tcBorders>
              <w:top w:val="nil"/>
              <w:left w:val="nil"/>
              <w:bottom w:val="single" w:sz="4" w:space="0" w:color="808080"/>
              <w:right w:val="single" w:sz="4" w:space="0" w:color="000000"/>
            </w:tcBorders>
            <w:shd w:val="clear" w:color="auto" w:fill="auto"/>
            <w:noWrap/>
            <w:vAlign w:val="center"/>
            <w:hideMark/>
          </w:tcPr>
          <w:p w14:paraId="18BA6FF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4,198</w:t>
            </w:r>
          </w:p>
        </w:tc>
        <w:tc>
          <w:tcPr>
            <w:tcW w:w="1390" w:type="dxa"/>
            <w:tcBorders>
              <w:top w:val="nil"/>
              <w:left w:val="nil"/>
              <w:bottom w:val="single" w:sz="4" w:space="0" w:color="808080"/>
              <w:right w:val="single" w:sz="4" w:space="0" w:color="000000"/>
            </w:tcBorders>
            <w:shd w:val="clear" w:color="auto" w:fill="auto"/>
            <w:noWrap/>
            <w:vAlign w:val="center"/>
            <w:hideMark/>
          </w:tcPr>
          <w:p w14:paraId="43666B5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6,148</w:t>
            </w:r>
          </w:p>
        </w:tc>
        <w:tc>
          <w:tcPr>
            <w:tcW w:w="1390" w:type="dxa"/>
            <w:tcBorders>
              <w:top w:val="nil"/>
              <w:left w:val="nil"/>
              <w:bottom w:val="single" w:sz="4" w:space="0" w:color="808080"/>
              <w:right w:val="single" w:sz="4" w:space="0" w:color="000000"/>
            </w:tcBorders>
            <w:shd w:val="clear" w:color="auto" w:fill="auto"/>
            <w:noWrap/>
            <w:vAlign w:val="center"/>
            <w:hideMark/>
          </w:tcPr>
          <w:p w14:paraId="4B2FBD5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58,302</w:t>
            </w:r>
          </w:p>
        </w:tc>
        <w:tc>
          <w:tcPr>
            <w:tcW w:w="1390" w:type="dxa"/>
            <w:tcBorders>
              <w:top w:val="nil"/>
              <w:left w:val="nil"/>
              <w:bottom w:val="single" w:sz="4" w:space="0" w:color="808080"/>
              <w:right w:val="single" w:sz="4" w:space="0" w:color="000000"/>
            </w:tcBorders>
            <w:shd w:val="clear" w:color="auto" w:fill="auto"/>
            <w:noWrap/>
            <w:vAlign w:val="center"/>
            <w:hideMark/>
          </w:tcPr>
          <w:p w14:paraId="017EC3C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8,562</w:t>
            </w:r>
          </w:p>
        </w:tc>
        <w:tc>
          <w:tcPr>
            <w:tcW w:w="1390" w:type="dxa"/>
            <w:tcBorders>
              <w:top w:val="nil"/>
              <w:left w:val="nil"/>
              <w:bottom w:val="single" w:sz="4" w:space="0" w:color="808080"/>
              <w:right w:val="single" w:sz="4" w:space="0" w:color="000000"/>
            </w:tcBorders>
            <w:shd w:val="clear" w:color="auto" w:fill="auto"/>
            <w:noWrap/>
            <w:vAlign w:val="center"/>
            <w:hideMark/>
          </w:tcPr>
          <w:p w14:paraId="7729DD6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1,151</w:t>
            </w:r>
          </w:p>
        </w:tc>
        <w:tc>
          <w:tcPr>
            <w:tcW w:w="1230" w:type="dxa"/>
            <w:tcBorders>
              <w:top w:val="nil"/>
              <w:left w:val="nil"/>
              <w:bottom w:val="single" w:sz="4" w:space="0" w:color="808080"/>
              <w:right w:val="single" w:sz="4" w:space="0" w:color="000000"/>
            </w:tcBorders>
            <w:shd w:val="clear" w:color="auto" w:fill="auto"/>
            <w:noWrap/>
            <w:vAlign w:val="center"/>
            <w:hideMark/>
          </w:tcPr>
          <w:p w14:paraId="1C20453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6,447</w:t>
            </w:r>
          </w:p>
        </w:tc>
        <w:tc>
          <w:tcPr>
            <w:tcW w:w="1260" w:type="dxa"/>
            <w:tcBorders>
              <w:top w:val="nil"/>
              <w:left w:val="nil"/>
              <w:bottom w:val="single" w:sz="4" w:space="0" w:color="808080"/>
              <w:right w:val="single" w:sz="8" w:space="0" w:color="000000"/>
            </w:tcBorders>
            <w:shd w:val="clear" w:color="auto" w:fill="auto"/>
            <w:noWrap/>
            <w:vAlign w:val="center"/>
            <w:hideMark/>
          </w:tcPr>
          <w:p w14:paraId="1D0B166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9,537</w:t>
            </w:r>
          </w:p>
        </w:tc>
      </w:tr>
      <w:tr w:rsidR="00F303E0" w:rsidRPr="00EE5714" w14:paraId="6B8C2A7A" w14:textId="77777777" w:rsidTr="00CE67A6">
        <w:trPr>
          <w:trHeight w:val="216"/>
          <w:jc w:val="center"/>
        </w:trPr>
        <w:tc>
          <w:tcPr>
            <w:tcW w:w="890" w:type="dxa"/>
            <w:tcBorders>
              <w:top w:val="single" w:sz="4" w:space="0" w:color="000000"/>
              <w:left w:val="single" w:sz="8" w:space="0" w:color="000000"/>
              <w:bottom w:val="single" w:sz="8" w:space="0" w:color="000000"/>
              <w:right w:val="single" w:sz="4" w:space="0" w:color="000000"/>
            </w:tcBorders>
            <w:shd w:val="clear" w:color="auto" w:fill="F2F2F2" w:themeFill="background1" w:themeFillShade="F2"/>
            <w:noWrap/>
            <w:vAlign w:val="center"/>
            <w:hideMark/>
          </w:tcPr>
          <w:p w14:paraId="39F2E826"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2016</w:t>
            </w:r>
          </w:p>
        </w:tc>
        <w:tc>
          <w:tcPr>
            <w:tcW w:w="1310" w:type="dxa"/>
            <w:tcBorders>
              <w:top w:val="nil"/>
              <w:left w:val="nil"/>
              <w:bottom w:val="single" w:sz="8" w:space="0" w:color="000000"/>
              <w:right w:val="single" w:sz="4" w:space="0" w:color="000000"/>
            </w:tcBorders>
            <w:shd w:val="clear" w:color="auto" w:fill="auto"/>
            <w:noWrap/>
            <w:vAlign w:val="center"/>
            <w:hideMark/>
          </w:tcPr>
          <w:p w14:paraId="36C0D12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3,068</w:t>
            </w:r>
          </w:p>
        </w:tc>
        <w:tc>
          <w:tcPr>
            <w:tcW w:w="1390" w:type="dxa"/>
            <w:tcBorders>
              <w:top w:val="nil"/>
              <w:left w:val="nil"/>
              <w:bottom w:val="single" w:sz="8" w:space="0" w:color="000000"/>
              <w:right w:val="single" w:sz="4" w:space="0" w:color="000000"/>
            </w:tcBorders>
            <w:shd w:val="clear" w:color="auto" w:fill="auto"/>
            <w:noWrap/>
            <w:vAlign w:val="center"/>
            <w:hideMark/>
          </w:tcPr>
          <w:p w14:paraId="1E2556E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4,955</w:t>
            </w:r>
          </w:p>
        </w:tc>
        <w:tc>
          <w:tcPr>
            <w:tcW w:w="1390" w:type="dxa"/>
            <w:tcBorders>
              <w:top w:val="nil"/>
              <w:left w:val="nil"/>
              <w:bottom w:val="single" w:sz="8" w:space="0" w:color="000000"/>
              <w:right w:val="single" w:sz="4" w:space="0" w:color="000000"/>
            </w:tcBorders>
            <w:shd w:val="clear" w:color="auto" w:fill="auto"/>
            <w:noWrap/>
            <w:vAlign w:val="center"/>
            <w:hideMark/>
          </w:tcPr>
          <w:p w14:paraId="1982E40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47,340</w:t>
            </w:r>
          </w:p>
        </w:tc>
        <w:tc>
          <w:tcPr>
            <w:tcW w:w="1390" w:type="dxa"/>
            <w:tcBorders>
              <w:top w:val="nil"/>
              <w:left w:val="nil"/>
              <w:bottom w:val="single" w:sz="8" w:space="0" w:color="000000"/>
              <w:right w:val="single" w:sz="4" w:space="0" w:color="000000"/>
            </w:tcBorders>
            <w:shd w:val="clear" w:color="auto" w:fill="auto"/>
            <w:noWrap/>
            <w:vAlign w:val="center"/>
            <w:hideMark/>
          </w:tcPr>
          <w:p w14:paraId="4D72EF2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7,173</w:t>
            </w:r>
          </w:p>
        </w:tc>
        <w:tc>
          <w:tcPr>
            <w:tcW w:w="1390" w:type="dxa"/>
            <w:tcBorders>
              <w:top w:val="nil"/>
              <w:left w:val="nil"/>
              <w:bottom w:val="single" w:sz="8" w:space="0" w:color="000000"/>
              <w:right w:val="single" w:sz="4" w:space="0" w:color="000000"/>
            </w:tcBorders>
            <w:shd w:val="clear" w:color="auto" w:fill="auto"/>
            <w:noWrap/>
            <w:vAlign w:val="center"/>
            <w:hideMark/>
          </w:tcPr>
          <w:p w14:paraId="4D4CB83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1,073</w:t>
            </w:r>
          </w:p>
        </w:tc>
        <w:tc>
          <w:tcPr>
            <w:tcW w:w="1230" w:type="dxa"/>
            <w:tcBorders>
              <w:top w:val="nil"/>
              <w:left w:val="nil"/>
              <w:bottom w:val="single" w:sz="8" w:space="0" w:color="000000"/>
              <w:right w:val="single" w:sz="4" w:space="0" w:color="000000"/>
            </w:tcBorders>
            <w:shd w:val="clear" w:color="auto" w:fill="auto"/>
            <w:noWrap/>
            <w:vAlign w:val="center"/>
            <w:hideMark/>
          </w:tcPr>
          <w:p w14:paraId="134470D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6,165</w:t>
            </w:r>
          </w:p>
        </w:tc>
        <w:tc>
          <w:tcPr>
            <w:tcW w:w="1260" w:type="dxa"/>
            <w:tcBorders>
              <w:top w:val="nil"/>
              <w:left w:val="nil"/>
              <w:bottom w:val="single" w:sz="8" w:space="0" w:color="000000"/>
              <w:right w:val="single" w:sz="8" w:space="0" w:color="000000"/>
            </w:tcBorders>
            <w:shd w:val="clear" w:color="auto" w:fill="auto"/>
            <w:noWrap/>
            <w:vAlign w:val="center"/>
            <w:hideMark/>
          </w:tcPr>
          <w:p w14:paraId="43A9FE4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9,514</w:t>
            </w:r>
          </w:p>
        </w:tc>
      </w:tr>
    </w:tbl>
    <w:p w14:paraId="7B4677DD" w14:textId="77777777" w:rsidR="00F303E0" w:rsidRPr="00EE5714" w:rsidRDefault="00F303E0" w:rsidP="00F303E0">
      <w:pPr>
        <w:pStyle w:val="NoSpacing"/>
        <w:rPr>
          <w:rFonts w:cs="Times New Roman"/>
          <w:sz w:val="24"/>
          <w:szCs w:val="24"/>
        </w:rPr>
      </w:pPr>
      <w:r w:rsidRPr="00EE5714">
        <w:rPr>
          <w:rFonts w:cs="Times New Roman"/>
          <w:sz w:val="24"/>
          <w:szCs w:val="24"/>
        </w:rPr>
        <w:t xml:space="preserve">*Default Exits were split Heating/Non-Heating based on allocation of CAP Heating/Non-Heating accounts for this analysis.  </w:t>
      </w:r>
    </w:p>
    <w:p w14:paraId="597148B4" w14:textId="77777777" w:rsidR="00F303E0" w:rsidRPr="00EE5714" w:rsidRDefault="00F303E0" w:rsidP="00F303E0">
      <w:pPr>
        <w:pStyle w:val="NoSpacing"/>
        <w:rPr>
          <w:rFonts w:cs="Times New Roman"/>
          <w:szCs w:val="26"/>
        </w:rPr>
      </w:pPr>
    </w:p>
    <w:p w14:paraId="69FEFF20" w14:textId="77777777" w:rsidR="00F303E0" w:rsidRPr="00EE5714" w:rsidRDefault="00F303E0" w:rsidP="00F303E0">
      <w:pPr>
        <w:pStyle w:val="NoSpacing"/>
        <w:rPr>
          <w:rFonts w:cs="Times New Roman"/>
          <w:szCs w:val="26"/>
        </w:rPr>
      </w:pPr>
    </w:p>
    <w:p w14:paraId="768E5161" w14:textId="77777777" w:rsidR="00F303E0" w:rsidRPr="00EE5714" w:rsidRDefault="00F734A0" w:rsidP="00F303E0">
      <w:pPr>
        <w:pStyle w:val="NoSpacing"/>
        <w:keepNext/>
        <w:rPr>
          <w:rFonts w:cs="Times New Roman"/>
          <w:szCs w:val="26"/>
        </w:rPr>
      </w:pPr>
      <w:r w:rsidRPr="00EE5714">
        <w:rPr>
          <w:rFonts w:cs="Times New Roman"/>
          <w:szCs w:val="26"/>
        </w:rPr>
        <w:t>Appendix 6</w:t>
      </w:r>
      <w:r w:rsidR="00F303E0" w:rsidRPr="00EE5714">
        <w:rPr>
          <w:rFonts w:cs="Times New Roman"/>
          <w:szCs w:val="26"/>
        </w:rPr>
        <w:t xml:space="preserve">.B.2: </w:t>
      </w:r>
      <w:r w:rsidR="00F303E0" w:rsidRPr="00EE5714">
        <w:rPr>
          <w:rFonts w:eastAsia="Times New Roman" w:cs="Times New Roman"/>
          <w:b/>
          <w:bCs/>
          <w:color w:val="000000"/>
          <w:szCs w:val="26"/>
        </w:rPr>
        <w:t>Percent of EDC Non-Heating Aggregate CAP Estimated* Default Exit Rates 0%-150% FPIG</w:t>
      </w:r>
    </w:p>
    <w:tbl>
      <w:tblPr>
        <w:tblW w:w="10430" w:type="dxa"/>
        <w:jc w:val="center"/>
        <w:tblLayout w:type="fixed"/>
        <w:tblLook w:val="04A0" w:firstRow="1" w:lastRow="0" w:firstColumn="1" w:lastColumn="0" w:noHBand="0" w:noVBand="1"/>
      </w:tblPr>
      <w:tblGrid>
        <w:gridCol w:w="980"/>
        <w:gridCol w:w="1317"/>
        <w:gridCol w:w="1383"/>
        <w:gridCol w:w="1391"/>
        <w:gridCol w:w="1387"/>
        <w:gridCol w:w="1452"/>
        <w:gridCol w:w="1170"/>
        <w:gridCol w:w="1350"/>
      </w:tblGrid>
      <w:tr w:rsidR="00F303E0" w:rsidRPr="00EE5714" w14:paraId="1D8F8660" w14:textId="77777777" w:rsidTr="00CE67A6">
        <w:trPr>
          <w:trHeight w:val="115"/>
          <w:jc w:val="center"/>
        </w:trPr>
        <w:tc>
          <w:tcPr>
            <w:tcW w:w="10430" w:type="dxa"/>
            <w:gridSpan w:val="8"/>
            <w:tcBorders>
              <w:top w:val="single" w:sz="8" w:space="0" w:color="auto"/>
              <w:left w:val="single" w:sz="8" w:space="0" w:color="auto"/>
              <w:bottom w:val="single" w:sz="8" w:space="0" w:color="000000"/>
              <w:right w:val="single" w:sz="8" w:space="0" w:color="000000"/>
            </w:tcBorders>
            <w:shd w:val="clear" w:color="auto" w:fill="BFBFBF" w:themeFill="background1" w:themeFillShade="BF"/>
            <w:noWrap/>
            <w:vAlign w:val="center"/>
            <w:hideMark/>
          </w:tcPr>
          <w:p w14:paraId="4CD4DF83"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Percent of EDC Non-Heating Aggregate CAP Estimated* Default Exit Rates 0%-150% FPIG </w:t>
            </w:r>
          </w:p>
        </w:tc>
      </w:tr>
      <w:tr w:rsidR="00F303E0" w:rsidRPr="00EE5714" w14:paraId="56C6549E" w14:textId="77777777" w:rsidTr="00CE67A6">
        <w:trPr>
          <w:trHeight w:val="216"/>
          <w:jc w:val="center"/>
        </w:trPr>
        <w:tc>
          <w:tcPr>
            <w:tcW w:w="980" w:type="dxa"/>
            <w:tcBorders>
              <w:top w:val="nil"/>
              <w:left w:val="single" w:sz="8" w:space="0" w:color="auto"/>
              <w:bottom w:val="single" w:sz="4" w:space="0" w:color="000000"/>
              <w:right w:val="single" w:sz="4" w:space="0" w:color="000000"/>
            </w:tcBorders>
            <w:shd w:val="clear" w:color="auto" w:fill="auto"/>
            <w:noWrap/>
            <w:vAlign w:val="bottom"/>
            <w:hideMark/>
          </w:tcPr>
          <w:p w14:paraId="2622C5ED"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317" w:type="dxa"/>
            <w:tcBorders>
              <w:top w:val="nil"/>
              <w:left w:val="nil"/>
              <w:bottom w:val="single" w:sz="4" w:space="0" w:color="000000"/>
              <w:right w:val="single" w:sz="4" w:space="0" w:color="000000"/>
            </w:tcBorders>
            <w:shd w:val="clear" w:color="auto" w:fill="auto"/>
            <w:noWrap/>
            <w:vAlign w:val="center"/>
            <w:hideMark/>
          </w:tcPr>
          <w:p w14:paraId="1F0FDFA7"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383" w:type="dxa"/>
            <w:tcBorders>
              <w:top w:val="nil"/>
              <w:left w:val="nil"/>
              <w:bottom w:val="single" w:sz="4" w:space="0" w:color="000000"/>
              <w:right w:val="single" w:sz="4" w:space="0" w:color="000000"/>
            </w:tcBorders>
            <w:shd w:val="clear" w:color="auto" w:fill="auto"/>
            <w:noWrap/>
            <w:vAlign w:val="center"/>
            <w:hideMark/>
          </w:tcPr>
          <w:p w14:paraId="3F03D93E"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391" w:type="dxa"/>
            <w:tcBorders>
              <w:top w:val="nil"/>
              <w:left w:val="nil"/>
              <w:bottom w:val="single" w:sz="4" w:space="0" w:color="000000"/>
              <w:right w:val="single" w:sz="4" w:space="0" w:color="000000"/>
            </w:tcBorders>
            <w:shd w:val="clear" w:color="auto" w:fill="auto"/>
            <w:noWrap/>
            <w:vAlign w:val="center"/>
            <w:hideMark/>
          </w:tcPr>
          <w:p w14:paraId="11B1F59F"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Electric</w:t>
            </w:r>
          </w:p>
        </w:tc>
        <w:tc>
          <w:tcPr>
            <w:tcW w:w="1387" w:type="dxa"/>
            <w:tcBorders>
              <w:top w:val="nil"/>
              <w:left w:val="nil"/>
              <w:bottom w:val="single" w:sz="4" w:space="0" w:color="000000"/>
              <w:right w:val="single" w:sz="4" w:space="0" w:color="000000"/>
            </w:tcBorders>
            <w:shd w:val="clear" w:color="auto" w:fill="auto"/>
            <w:noWrap/>
            <w:vAlign w:val="center"/>
            <w:hideMark/>
          </w:tcPr>
          <w:p w14:paraId="73287CEC" w14:textId="77777777" w:rsidR="00F303E0" w:rsidRPr="00EE5714" w:rsidRDefault="00F303E0" w:rsidP="00851815">
            <w:pPr>
              <w:keepNext/>
              <w:jc w:val="center"/>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452" w:type="dxa"/>
            <w:tcBorders>
              <w:top w:val="nil"/>
              <w:left w:val="nil"/>
              <w:bottom w:val="single" w:sz="4" w:space="0" w:color="000000"/>
              <w:right w:val="single" w:sz="4" w:space="0" w:color="000000"/>
            </w:tcBorders>
            <w:shd w:val="clear" w:color="auto" w:fill="auto"/>
            <w:noWrap/>
            <w:vAlign w:val="center"/>
            <w:hideMark/>
          </w:tcPr>
          <w:p w14:paraId="734D515B"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170" w:type="dxa"/>
            <w:tcBorders>
              <w:top w:val="nil"/>
              <w:left w:val="nil"/>
              <w:bottom w:val="single" w:sz="4" w:space="0" w:color="000000"/>
              <w:right w:val="single" w:sz="4" w:space="0" w:color="000000"/>
            </w:tcBorders>
            <w:shd w:val="clear" w:color="auto" w:fill="auto"/>
            <w:noWrap/>
            <w:vAlign w:val="center"/>
            <w:hideMark/>
          </w:tcPr>
          <w:p w14:paraId="7837185A"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350" w:type="dxa"/>
            <w:tcBorders>
              <w:top w:val="nil"/>
              <w:left w:val="nil"/>
              <w:bottom w:val="single" w:sz="4" w:space="0" w:color="000000"/>
              <w:right w:val="single" w:sz="8" w:space="0" w:color="auto"/>
            </w:tcBorders>
            <w:shd w:val="clear" w:color="auto" w:fill="auto"/>
            <w:noWrap/>
            <w:vAlign w:val="center"/>
            <w:hideMark/>
          </w:tcPr>
          <w:p w14:paraId="74AE1E1E"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r>
      <w:tr w:rsidR="00F303E0" w:rsidRPr="00EE5714" w14:paraId="161C4F95" w14:textId="77777777" w:rsidTr="00CE67A6">
        <w:trPr>
          <w:trHeight w:val="216"/>
          <w:jc w:val="center"/>
        </w:trPr>
        <w:tc>
          <w:tcPr>
            <w:tcW w:w="980" w:type="dxa"/>
            <w:tcBorders>
              <w:top w:val="nil"/>
              <w:left w:val="single" w:sz="8" w:space="0" w:color="auto"/>
              <w:bottom w:val="single" w:sz="4" w:space="0" w:color="000000"/>
              <w:right w:val="single" w:sz="4" w:space="0" w:color="000000"/>
            </w:tcBorders>
            <w:shd w:val="clear" w:color="auto" w:fill="F2F2F2" w:themeFill="background1" w:themeFillShade="F2"/>
            <w:noWrap/>
            <w:vAlign w:val="center"/>
            <w:hideMark/>
          </w:tcPr>
          <w:p w14:paraId="11A904A6"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1317" w:type="dxa"/>
            <w:tcBorders>
              <w:top w:val="nil"/>
              <w:left w:val="nil"/>
              <w:bottom w:val="single" w:sz="4" w:space="0" w:color="808080"/>
              <w:right w:val="single" w:sz="4" w:space="0" w:color="000000"/>
            </w:tcBorders>
            <w:shd w:val="clear" w:color="auto" w:fill="auto"/>
            <w:noWrap/>
            <w:vAlign w:val="center"/>
            <w:hideMark/>
          </w:tcPr>
          <w:p w14:paraId="1C24003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13.73%</w:t>
            </w:r>
          </w:p>
        </w:tc>
        <w:tc>
          <w:tcPr>
            <w:tcW w:w="1383" w:type="dxa"/>
            <w:tcBorders>
              <w:top w:val="nil"/>
              <w:left w:val="nil"/>
              <w:bottom w:val="single" w:sz="4" w:space="0" w:color="808080"/>
              <w:right w:val="single" w:sz="4" w:space="0" w:color="000000"/>
            </w:tcBorders>
            <w:shd w:val="clear" w:color="auto" w:fill="auto"/>
            <w:noWrap/>
            <w:vAlign w:val="center"/>
            <w:hideMark/>
          </w:tcPr>
          <w:p w14:paraId="2C29026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5.02%</w:t>
            </w:r>
          </w:p>
        </w:tc>
        <w:tc>
          <w:tcPr>
            <w:tcW w:w="1391" w:type="dxa"/>
            <w:tcBorders>
              <w:top w:val="nil"/>
              <w:left w:val="nil"/>
              <w:bottom w:val="single" w:sz="4" w:space="0" w:color="808080"/>
              <w:right w:val="single" w:sz="4" w:space="0" w:color="000000"/>
            </w:tcBorders>
            <w:shd w:val="clear" w:color="auto" w:fill="auto"/>
            <w:noWrap/>
            <w:vAlign w:val="center"/>
            <w:hideMark/>
          </w:tcPr>
          <w:p w14:paraId="3C4D89F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20.24%</w:t>
            </w:r>
          </w:p>
        </w:tc>
        <w:tc>
          <w:tcPr>
            <w:tcW w:w="1387" w:type="dxa"/>
            <w:tcBorders>
              <w:top w:val="nil"/>
              <w:left w:val="nil"/>
              <w:bottom w:val="single" w:sz="4" w:space="0" w:color="808080"/>
              <w:right w:val="single" w:sz="4" w:space="0" w:color="000000"/>
            </w:tcBorders>
            <w:shd w:val="clear" w:color="auto" w:fill="auto"/>
            <w:noWrap/>
            <w:vAlign w:val="center"/>
            <w:hideMark/>
          </w:tcPr>
          <w:p w14:paraId="05B1FE0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16.69%</w:t>
            </w:r>
          </w:p>
        </w:tc>
        <w:tc>
          <w:tcPr>
            <w:tcW w:w="1452" w:type="dxa"/>
            <w:tcBorders>
              <w:top w:val="nil"/>
              <w:left w:val="nil"/>
              <w:bottom w:val="single" w:sz="4" w:space="0" w:color="808080"/>
              <w:right w:val="single" w:sz="4" w:space="0" w:color="000000"/>
            </w:tcBorders>
            <w:shd w:val="clear" w:color="auto" w:fill="auto"/>
            <w:noWrap/>
            <w:vAlign w:val="center"/>
            <w:hideMark/>
          </w:tcPr>
          <w:p w14:paraId="186B28B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10.63%</w:t>
            </w:r>
          </w:p>
        </w:tc>
        <w:tc>
          <w:tcPr>
            <w:tcW w:w="1170" w:type="dxa"/>
            <w:tcBorders>
              <w:top w:val="nil"/>
              <w:left w:val="nil"/>
              <w:bottom w:val="single" w:sz="4" w:space="0" w:color="808080"/>
              <w:right w:val="single" w:sz="4" w:space="0" w:color="000000"/>
            </w:tcBorders>
            <w:shd w:val="clear" w:color="auto" w:fill="auto"/>
            <w:noWrap/>
            <w:vAlign w:val="center"/>
            <w:hideMark/>
          </w:tcPr>
          <w:p w14:paraId="6205A39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20.08%</w:t>
            </w:r>
          </w:p>
        </w:tc>
        <w:tc>
          <w:tcPr>
            <w:tcW w:w="1350" w:type="dxa"/>
            <w:tcBorders>
              <w:top w:val="nil"/>
              <w:left w:val="nil"/>
              <w:bottom w:val="single" w:sz="4" w:space="0" w:color="808080"/>
              <w:right w:val="single" w:sz="8" w:space="0" w:color="auto"/>
            </w:tcBorders>
            <w:shd w:val="clear" w:color="auto" w:fill="auto"/>
            <w:noWrap/>
            <w:vAlign w:val="center"/>
            <w:hideMark/>
          </w:tcPr>
          <w:p w14:paraId="0D627B2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17.79%</w:t>
            </w:r>
          </w:p>
        </w:tc>
      </w:tr>
      <w:tr w:rsidR="00F303E0" w:rsidRPr="00EE5714" w14:paraId="1E03ACC5" w14:textId="77777777" w:rsidTr="00CE67A6">
        <w:trPr>
          <w:trHeight w:val="216"/>
          <w:jc w:val="center"/>
        </w:trPr>
        <w:tc>
          <w:tcPr>
            <w:tcW w:w="980" w:type="dxa"/>
            <w:tcBorders>
              <w:top w:val="nil"/>
              <w:left w:val="single" w:sz="8" w:space="0" w:color="auto"/>
              <w:bottom w:val="single" w:sz="4" w:space="0" w:color="000000"/>
              <w:right w:val="single" w:sz="4" w:space="0" w:color="000000"/>
            </w:tcBorders>
            <w:shd w:val="clear" w:color="auto" w:fill="F2F2F2" w:themeFill="background1" w:themeFillShade="F2"/>
            <w:noWrap/>
            <w:vAlign w:val="center"/>
            <w:hideMark/>
          </w:tcPr>
          <w:p w14:paraId="5725BFA0"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317" w:type="dxa"/>
            <w:tcBorders>
              <w:top w:val="nil"/>
              <w:left w:val="nil"/>
              <w:bottom w:val="single" w:sz="4" w:space="0" w:color="808080"/>
              <w:right w:val="single" w:sz="4" w:space="0" w:color="000000"/>
            </w:tcBorders>
            <w:shd w:val="clear" w:color="auto" w:fill="auto"/>
            <w:noWrap/>
            <w:vAlign w:val="center"/>
            <w:hideMark/>
          </w:tcPr>
          <w:p w14:paraId="5E35355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8.72%</w:t>
            </w:r>
          </w:p>
        </w:tc>
        <w:tc>
          <w:tcPr>
            <w:tcW w:w="1383" w:type="dxa"/>
            <w:tcBorders>
              <w:top w:val="nil"/>
              <w:left w:val="nil"/>
              <w:bottom w:val="single" w:sz="4" w:space="0" w:color="808080"/>
              <w:right w:val="single" w:sz="4" w:space="0" w:color="000000"/>
            </w:tcBorders>
            <w:shd w:val="clear" w:color="auto" w:fill="auto"/>
            <w:noWrap/>
            <w:vAlign w:val="center"/>
            <w:hideMark/>
          </w:tcPr>
          <w:p w14:paraId="3A4B364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53.66%</w:t>
            </w:r>
          </w:p>
        </w:tc>
        <w:tc>
          <w:tcPr>
            <w:tcW w:w="1391" w:type="dxa"/>
            <w:tcBorders>
              <w:top w:val="nil"/>
              <w:left w:val="nil"/>
              <w:bottom w:val="single" w:sz="4" w:space="0" w:color="808080"/>
              <w:right w:val="single" w:sz="4" w:space="0" w:color="000000"/>
            </w:tcBorders>
            <w:shd w:val="clear" w:color="auto" w:fill="auto"/>
            <w:noWrap/>
            <w:vAlign w:val="center"/>
            <w:hideMark/>
          </w:tcPr>
          <w:p w14:paraId="726CF63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30.66%</w:t>
            </w:r>
          </w:p>
        </w:tc>
        <w:tc>
          <w:tcPr>
            <w:tcW w:w="1387" w:type="dxa"/>
            <w:tcBorders>
              <w:top w:val="nil"/>
              <w:left w:val="nil"/>
              <w:bottom w:val="single" w:sz="4" w:space="0" w:color="808080"/>
              <w:right w:val="single" w:sz="4" w:space="0" w:color="000000"/>
            </w:tcBorders>
            <w:shd w:val="clear" w:color="auto" w:fill="auto"/>
            <w:noWrap/>
            <w:vAlign w:val="center"/>
            <w:hideMark/>
          </w:tcPr>
          <w:p w14:paraId="592E61F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54.90%</w:t>
            </w:r>
          </w:p>
        </w:tc>
        <w:tc>
          <w:tcPr>
            <w:tcW w:w="1452" w:type="dxa"/>
            <w:tcBorders>
              <w:top w:val="nil"/>
              <w:left w:val="nil"/>
              <w:bottom w:val="single" w:sz="4" w:space="0" w:color="808080"/>
              <w:right w:val="single" w:sz="4" w:space="0" w:color="000000"/>
            </w:tcBorders>
            <w:shd w:val="clear" w:color="auto" w:fill="auto"/>
            <w:noWrap/>
            <w:vAlign w:val="center"/>
            <w:hideMark/>
          </w:tcPr>
          <w:p w14:paraId="63710D6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41.83%</w:t>
            </w:r>
          </w:p>
        </w:tc>
        <w:tc>
          <w:tcPr>
            <w:tcW w:w="1170" w:type="dxa"/>
            <w:tcBorders>
              <w:top w:val="nil"/>
              <w:left w:val="nil"/>
              <w:bottom w:val="single" w:sz="4" w:space="0" w:color="808080"/>
              <w:right w:val="single" w:sz="4" w:space="0" w:color="000000"/>
            </w:tcBorders>
            <w:shd w:val="clear" w:color="auto" w:fill="auto"/>
            <w:noWrap/>
            <w:vAlign w:val="center"/>
            <w:hideMark/>
          </w:tcPr>
          <w:p w14:paraId="031B3B7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14.32%</w:t>
            </w:r>
          </w:p>
        </w:tc>
        <w:tc>
          <w:tcPr>
            <w:tcW w:w="1350" w:type="dxa"/>
            <w:tcBorders>
              <w:top w:val="nil"/>
              <w:left w:val="nil"/>
              <w:bottom w:val="single" w:sz="4" w:space="0" w:color="808080"/>
              <w:right w:val="single" w:sz="8" w:space="0" w:color="auto"/>
            </w:tcBorders>
            <w:shd w:val="clear" w:color="auto" w:fill="auto"/>
            <w:noWrap/>
            <w:vAlign w:val="center"/>
            <w:hideMark/>
          </w:tcPr>
          <w:p w14:paraId="46C566C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49.77%</w:t>
            </w:r>
          </w:p>
        </w:tc>
      </w:tr>
      <w:tr w:rsidR="00F303E0" w:rsidRPr="00EE5714" w14:paraId="7E472A83" w14:textId="77777777" w:rsidTr="00CE67A6">
        <w:trPr>
          <w:trHeight w:val="216"/>
          <w:jc w:val="center"/>
        </w:trPr>
        <w:tc>
          <w:tcPr>
            <w:tcW w:w="980" w:type="dxa"/>
            <w:tcBorders>
              <w:top w:val="nil"/>
              <w:left w:val="single" w:sz="8" w:space="0" w:color="auto"/>
              <w:bottom w:val="single" w:sz="4" w:space="0" w:color="000000"/>
              <w:right w:val="single" w:sz="4" w:space="0" w:color="000000"/>
            </w:tcBorders>
            <w:shd w:val="clear" w:color="auto" w:fill="F2F2F2" w:themeFill="background1" w:themeFillShade="F2"/>
            <w:noWrap/>
            <w:vAlign w:val="center"/>
            <w:hideMark/>
          </w:tcPr>
          <w:p w14:paraId="0E07C3F5"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317" w:type="dxa"/>
            <w:tcBorders>
              <w:top w:val="nil"/>
              <w:left w:val="nil"/>
              <w:bottom w:val="single" w:sz="4" w:space="0" w:color="808080"/>
              <w:right w:val="single" w:sz="4" w:space="0" w:color="000000"/>
            </w:tcBorders>
            <w:shd w:val="clear" w:color="auto" w:fill="auto"/>
            <w:noWrap/>
            <w:vAlign w:val="center"/>
            <w:hideMark/>
          </w:tcPr>
          <w:p w14:paraId="5AF53EE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10.13%</w:t>
            </w:r>
          </w:p>
        </w:tc>
        <w:tc>
          <w:tcPr>
            <w:tcW w:w="1383" w:type="dxa"/>
            <w:tcBorders>
              <w:top w:val="nil"/>
              <w:left w:val="nil"/>
              <w:bottom w:val="single" w:sz="4" w:space="0" w:color="808080"/>
              <w:right w:val="single" w:sz="4" w:space="0" w:color="000000"/>
            </w:tcBorders>
            <w:shd w:val="clear" w:color="auto" w:fill="auto"/>
            <w:noWrap/>
            <w:vAlign w:val="center"/>
            <w:hideMark/>
          </w:tcPr>
          <w:p w14:paraId="0D7C21C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35.80%</w:t>
            </w:r>
          </w:p>
        </w:tc>
        <w:tc>
          <w:tcPr>
            <w:tcW w:w="1391" w:type="dxa"/>
            <w:tcBorders>
              <w:top w:val="nil"/>
              <w:left w:val="nil"/>
              <w:bottom w:val="single" w:sz="4" w:space="0" w:color="808080"/>
              <w:right w:val="single" w:sz="4" w:space="0" w:color="000000"/>
            </w:tcBorders>
            <w:shd w:val="clear" w:color="auto" w:fill="auto"/>
            <w:noWrap/>
            <w:vAlign w:val="center"/>
            <w:hideMark/>
          </w:tcPr>
          <w:p w14:paraId="6E27B52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36.43%</w:t>
            </w:r>
          </w:p>
        </w:tc>
        <w:tc>
          <w:tcPr>
            <w:tcW w:w="1387" w:type="dxa"/>
            <w:tcBorders>
              <w:top w:val="nil"/>
              <w:left w:val="nil"/>
              <w:bottom w:val="single" w:sz="4" w:space="0" w:color="808080"/>
              <w:right w:val="single" w:sz="4" w:space="0" w:color="000000"/>
            </w:tcBorders>
            <w:shd w:val="clear" w:color="auto" w:fill="auto"/>
            <w:noWrap/>
            <w:vAlign w:val="center"/>
            <w:hideMark/>
          </w:tcPr>
          <w:p w14:paraId="045DF41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37.97%</w:t>
            </w:r>
          </w:p>
        </w:tc>
        <w:tc>
          <w:tcPr>
            <w:tcW w:w="1452" w:type="dxa"/>
            <w:tcBorders>
              <w:top w:val="nil"/>
              <w:left w:val="nil"/>
              <w:bottom w:val="single" w:sz="4" w:space="0" w:color="808080"/>
              <w:right w:val="single" w:sz="4" w:space="0" w:color="000000"/>
            </w:tcBorders>
            <w:shd w:val="clear" w:color="auto" w:fill="auto"/>
            <w:noWrap/>
            <w:vAlign w:val="center"/>
            <w:hideMark/>
          </w:tcPr>
          <w:p w14:paraId="236AA6B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28.42%</w:t>
            </w:r>
          </w:p>
        </w:tc>
        <w:tc>
          <w:tcPr>
            <w:tcW w:w="1170" w:type="dxa"/>
            <w:tcBorders>
              <w:top w:val="nil"/>
              <w:left w:val="nil"/>
              <w:bottom w:val="single" w:sz="4" w:space="0" w:color="808080"/>
              <w:right w:val="single" w:sz="4" w:space="0" w:color="000000"/>
            </w:tcBorders>
            <w:shd w:val="clear" w:color="auto" w:fill="auto"/>
            <w:noWrap/>
            <w:vAlign w:val="center"/>
            <w:hideMark/>
          </w:tcPr>
          <w:p w14:paraId="4D8AC4C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10.42%</w:t>
            </w:r>
          </w:p>
        </w:tc>
        <w:tc>
          <w:tcPr>
            <w:tcW w:w="1350" w:type="dxa"/>
            <w:tcBorders>
              <w:top w:val="nil"/>
              <w:left w:val="nil"/>
              <w:bottom w:val="single" w:sz="4" w:space="0" w:color="808080"/>
              <w:right w:val="single" w:sz="8" w:space="0" w:color="auto"/>
            </w:tcBorders>
            <w:shd w:val="clear" w:color="auto" w:fill="auto"/>
            <w:noWrap/>
            <w:vAlign w:val="center"/>
            <w:hideMark/>
          </w:tcPr>
          <w:p w14:paraId="5FACABC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43.78%</w:t>
            </w:r>
          </w:p>
        </w:tc>
      </w:tr>
      <w:tr w:rsidR="00F303E0" w:rsidRPr="00EE5714" w14:paraId="0E93944B" w14:textId="77777777" w:rsidTr="00CE67A6">
        <w:trPr>
          <w:trHeight w:val="216"/>
          <w:jc w:val="center"/>
        </w:trPr>
        <w:tc>
          <w:tcPr>
            <w:tcW w:w="980" w:type="dxa"/>
            <w:tcBorders>
              <w:top w:val="nil"/>
              <w:left w:val="single" w:sz="8" w:space="0" w:color="auto"/>
              <w:bottom w:val="single" w:sz="4" w:space="0" w:color="000000"/>
              <w:right w:val="single" w:sz="4" w:space="0" w:color="000000"/>
            </w:tcBorders>
            <w:shd w:val="clear" w:color="auto" w:fill="F2F2F2" w:themeFill="background1" w:themeFillShade="F2"/>
            <w:noWrap/>
            <w:vAlign w:val="center"/>
            <w:hideMark/>
          </w:tcPr>
          <w:p w14:paraId="0B36E465"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317" w:type="dxa"/>
            <w:tcBorders>
              <w:top w:val="nil"/>
              <w:left w:val="nil"/>
              <w:bottom w:val="single" w:sz="4" w:space="0" w:color="808080"/>
              <w:right w:val="single" w:sz="4" w:space="0" w:color="000000"/>
            </w:tcBorders>
            <w:shd w:val="clear" w:color="auto" w:fill="auto"/>
            <w:noWrap/>
            <w:vAlign w:val="center"/>
            <w:hideMark/>
          </w:tcPr>
          <w:p w14:paraId="53E4B37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11.79%</w:t>
            </w:r>
          </w:p>
        </w:tc>
        <w:tc>
          <w:tcPr>
            <w:tcW w:w="1383" w:type="dxa"/>
            <w:tcBorders>
              <w:top w:val="nil"/>
              <w:left w:val="nil"/>
              <w:bottom w:val="single" w:sz="4" w:space="0" w:color="808080"/>
              <w:right w:val="single" w:sz="4" w:space="0" w:color="000000"/>
            </w:tcBorders>
            <w:shd w:val="clear" w:color="auto" w:fill="auto"/>
            <w:noWrap/>
            <w:vAlign w:val="center"/>
            <w:hideMark/>
          </w:tcPr>
          <w:p w14:paraId="07C5754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39.32%</w:t>
            </w:r>
          </w:p>
        </w:tc>
        <w:tc>
          <w:tcPr>
            <w:tcW w:w="1391" w:type="dxa"/>
            <w:tcBorders>
              <w:top w:val="nil"/>
              <w:left w:val="nil"/>
              <w:bottom w:val="single" w:sz="4" w:space="0" w:color="808080"/>
              <w:right w:val="single" w:sz="4" w:space="0" w:color="000000"/>
            </w:tcBorders>
            <w:shd w:val="clear" w:color="auto" w:fill="auto"/>
            <w:noWrap/>
            <w:vAlign w:val="center"/>
            <w:hideMark/>
          </w:tcPr>
          <w:p w14:paraId="3D30321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41.51%</w:t>
            </w:r>
          </w:p>
        </w:tc>
        <w:tc>
          <w:tcPr>
            <w:tcW w:w="1387" w:type="dxa"/>
            <w:tcBorders>
              <w:top w:val="nil"/>
              <w:left w:val="nil"/>
              <w:bottom w:val="single" w:sz="4" w:space="0" w:color="808080"/>
              <w:right w:val="single" w:sz="4" w:space="0" w:color="000000"/>
            </w:tcBorders>
            <w:shd w:val="clear" w:color="auto" w:fill="auto"/>
            <w:noWrap/>
            <w:vAlign w:val="center"/>
            <w:hideMark/>
          </w:tcPr>
          <w:p w14:paraId="7CFDFF9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39.16%</w:t>
            </w:r>
          </w:p>
        </w:tc>
        <w:tc>
          <w:tcPr>
            <w:tcW w:w="1452" w:type="dxa"/>
            <w:tcBorders>
              <w:top w:val="nil"/>
              <w:left w:val="nil"/>
              <w:bottom w:val="single" w:sz="4" w:space="0" w:color="808080"/>
              <w:right w:val="single" w:sz="4" w:space="0" w:color="000000"/>
            </w:tcBorders>
            <w:shd w:val="clear" w:color="auto" w:fill="auto"/>
            <w:noWrap/>
            <w:vAlign w:val="center"/>
            <w:hideMark/>
          </w:tcPr>
          <w:p w14:paraId="3742DA8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24.61%</w:t>
            </w:r>
          </w:p>
        </w:tc>
        <w:tc>
          <w:tcPr>
            <w:tcW w:w="1170" w:type="dxa"/>
            <w:tcBorders>
              <w:top w:val="nil"/>
              <w:left w:val="nil"/>
              <w:bottom w:val="single" w:sz="4" w:space="0" w:color="808080"/>
              <w:right w:val="single" w:sz="4" w:space="0" w:color="000000"/>
            </w:tcBorders>
            <w:shd w:val="clear" w:color="auto" w:fill="auto"/>
            <w:noWrap/>
            <w:vAlign w:val="center"/>
            <w:hideMark/>
          </w:tcPr>
          <w:p w14:paraId="1AC77B4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14.08%</w:t>
            </w:r>
          </w:p>
        </w:tc>
        <w:tc>
          <w:tcPr>
            <w:tcW w:w="1350" w:type="dxa"/>
            <w:tcBorders>
              <w:top w:val="nil"/>
              <w:left w:val="nil"/>
              <w:bottom w:val="single" w:sz="4" w:space="0" w:color="808080"/>
              <w:right w:val="single" w:sz="8" w:space="0" w:color="auto"/>
            </w:tcBorders>
            <w:shd w:val="clear" w:color="auto" w:fill="auto"/>
            <w:noWrap/>
            <w:vAlign w:val="center"/>
            <w:hideMark/>
          </w:tcPr>
          <w:p w14:paraId="71D1897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41.34%</w:t>
            </w:r>
          </w:p>
        </w:tc>
      </w:tr>
      <w:tr w:rsidR="00F303E0" w:rsidRPr="00EE5714" w14:paraId="38DD0BB1" w14:textId="77777777" w:rsidTr="00CE67A6">
        <w:trPr>
          <w:trHeight w:val="216"/>
          <w:jc w:val="center"/>
        </w:trPr>
        <w:tc>
          <w:tcPr>
            <w:tcW w:w="980" w:type="dxa"/>
            <w:tcBorders>
              <w:top w:val="nil"/>
              <w:left w:val="single" w:sz="8" w:space="0" w:color="auto"/>
              <w:bottom w:val="single" w:sz="8" w:space="0" w:color="auto"/>
              <w:right w:val="single" w:sz="4" w:space="0" w:color="000000"/>
            </w:tcBorders>
            <w:shd w:val="clear" w:color="auto" w:fill="F2F2F2" w:themeFill="background1" w:themeFillShade="F2"/>
            <w:noWrap/>
            <w:vAlign w:val="center"/>
            <w:hideMark/>
          </w:tcPr>
          <w:p w14:paraId="4EACB0AD"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317" w:type="dxa"/>
            <w:tcBorders>
              <w:top w:val="nil"/>
              <w:left w:val="nil"/>
              <w:bottom w:val="single" w:sz="8" w:space="0" w:color="auto"/>
              <w:right w:val="single" w:sz="4" w:space="0" w:color="000000"/>
            </w:tcBorders>
            <w:shd w:val="clear" w:color="auto" w:fill="auto"/>
            <w:noWrap/>
            <w:vAlign w:val="center"/>
            <w:hideMark/>
          </w:tcPr>
          <w:p w14:paraId="5202B5D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7.92%</w:t>
            </w:r>
          </w:p>
        </w:tc>
        <w:tc>
          <w:tcPr>
            <w:tcW w:w="1383" w:type="dxa"/>
            <w:tcBorders>
              <w:top w:val="nil"/>
              <w:left w:val="nil"/>
              <w:bottom w:val="single" w:sz="8" w:space="0" w:color="auto"/>
              <w:right w:val="single" w:sz="4" w:space="0" w:color="000000"/>
            </w:tcBorders>
            <w:shd w:val="clear" w:color="auto" w:fill="auto"/>
            <w:noWrap/>
            <w:vAlign w:val="center"/>
            <w:hideMark/>
          </w:tcPr>
          <w:p w14:paraId="4D07B10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33.59%</w:t>
            </w:r>
          </w:p>
        </w:tc>
        <w:tc>
          <w:tcPr>
            <w:tcW w:w="1391" w:type="dxa"/>
            <w:tcBorders>
              <w:top w:val="nil"/>
              <w:left w:val="nil"/>
              <w:bottom w:val="single" w:sz="8" w:space="0" w:color="auto"/>
              <w:right w:val="single" w:sz="4" w:space="0" w:color="000000"/>
            </w:tcBorders>
            <w:shd w:val="clear" w:color="auto" w:fill="auto"/>
            <w:noWrap/>
            <w:vAlign w:val="center"/>
            <w:hideMark/>
          </w:tcPr>
          <w:p w14:paraId="3B1F604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34.60%</w:t>
            </w:r>
          </w:p>
        </w:tc>
        <w:tc>
          <w:tcPr>
            <w:tcW w:w="1387" w:type="dxa"/>
            <w:tcBorders>
              <w:top w:val="nil"/>
              <w:left w:val="nil"/>
              <w:bottom w:val="single" w:sz="8" w:space="0" w:color="auto"/>
              <w:right w:val="single" w:sz="4" w:space="0" w:color="000000"/>
            </w:tcBorders>
            <w:shd w:val="clear" w:color="auto" w:fill="auto"/>
            <w:noWrap/>
            <w:vAlign w:val="center"/>
            <w:hideMark/>
          </w:tcPr>
          <w:p w14:paraId="3DBCDAC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33.69%</w:t>
            </w:r>
          </w:p>
        </w:tc>
        <w:tc>
          <w:tcPr>
            <w:tcW w:w="1452" w:type="dxa"/>
            <w:tcBorders>
              <w:top w:val="nil"/>
              <w:left w:val="nil"/>
              <w:bottom w:val="single" w:sz="8" w:space="0" w:color="auto"/>
              <w:right w:val="single" w:sz="4" w:space="0" w:color="000000"/>
            </w:tcBorders>
            <w:shd w:val="clear" w:color="auto" w:fill="auto"/>
            <w:noWrap/>
            <w:vAlign w:val="center"/>
            <w:hideMark/>
          </w:tcPr>
          <w:p w14:paraId="1123035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23.34%</w:t>
            </w:r>
          </w:p>
        </w:tc>
        <w:tc>
          <w:tcPr>
            <w:tcW w:w="1170" w:type="dxa"/>
            <w:tcBorders>
              <w:top w:val="nil"/>
              <w:left w:val="nil"/>
              <w:bottom w:val="single" w:sz="8" w:space="0" w:color="auto"/>
              <w:right w:val="single" w:sz="4" w:space="0" w:color="000000"/>
            </w:tcBorders>
            <w:shd w:val="clear" w:color="auto" w:fill="auto"/>
            <w:noWrap/>
            <w:vAlign w:val="center"/>
            <w:hideMark/>
          </w:tcPr>
          <w:p w14:paraId="074375F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11.42%</w:t>
            </w:r>
          </w:p>
        </w:tc>
        <w:tc>
          <w:tcPr>
            <w:tcW w:w="1350" w:type="dxa"/>
            <w:tcBorders>
              <w:top w:val="nil"/>
              <w:left w:val="nil"/>
              <w:bottom w:val="single" w:sz="8" w:space="0" w:color="auto"/>
              <w:right w:val="single" w:sz="8" w:space="0" w:color="auto"/>
            </w:tcBorders>
            <w:shd w:val="clear" w:color="auto" w:fill="auto"/>
            <w:noWrap/>
            <w:vAlign w:val="center"/>
            <w:hideMark/>
          </w:tcPr>
          <w:p w14:paraId="42119DB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39.82%</w:t>
            </w:r>
          </w:p>
        </w:tc>
      </w:tr>
    </w:tbl>
    <w:p w14:paraId="13164957" w14:textId="77777777" w:rsidR="00F303E0" w:rsidRPr="00EE5714" w:rsidRDefault="00F303E0" w:rsidP="00F303E0">
      <w:pPr>
        <w:pStyle w:val="NoSpacing"/>
        <w:rPr>
          <w:rFonts w:cs="Times New Roman"/>
          <w:sz w:val="24"/>
          <w:szCs w:val="24"/>
        </w:rPr>
      </w:pPr>
      <w:r w:rsidRPr="00EE5714">
        <w:rPr>
          <w:rFonts w:cs="Times New Roman"/>
          <w:sz w:val="24"/>
          <w:szCs w:val="24"/>
        </w:rPr>
        <w:t xml:space="preserve">*Default Exits were split Heating/Non-Heating based on allocation of CAP Heating/Non-Heating accounts for this analysis.  </w:t>
      </w:r>
    </w:p>
    <w:p w14:paraId="59083F62" w14:textId="77777777" w:rsidR="00F303E0" w:rsidRPr="00EE5714" w:rsidRDefault="00F303E0" w:rsidP="00F303E0">
      <w:pPr>
        <w:pStyle w:val="NoSpacing"/>
        <w:rPr>
          <w:rFonts w:eastAsia="Times New Roman" w:cs="Times New Roman"/>
          <w:szCs w:val="26"/>
        </w:rPr>
      </w:pPr>
    </w:p>
    <w:p w14:paraId="2C7475F5" w14:textId="77777777" w:rsidR="00F303E0" w:rsidRPr="00EE5714" w:rsidRDefault="00F303E0" w:rsidP="00F303E0">
      <w:pPr>
        <w:pStyle w:val="NoSpacing"/>
        <w:rPr>
          <w:rFonts w:eastAsia="Times New Roman" w:cs="Times New Roman"/>
          <w:szCs w:val="26"/>
        </w:rPr>
      </w:pPr>
    </w:p>
    <w:p w14:paraId="0ADE0C4D" w14:textId="77777777" w:rsidR="00F303E0" w:rsidRPr="00EE5714" w:rsidRDefault="00F303E0" w:rsidP="00F303E0">
      <w:pPr>
        <w:pStyle w:val="NoSpacing"/>
        <w:keepNext/>
        <w:rPr>
          <w:rFonts w:cs="Times New Roman"/>
          <w:szCs w:val="26"/>
        </w:rPr>
      </w:pPr>
      <w:r w:rsidRPr="00EE5714">
        <w:rPr>
          <w:rFonts w:eastAsia="Times New Roman" w:cs="Times New Roman"/>
          <w:szCs w:val="26"/>
        </w:rPr>
        <w:t>The number and percentage of EDCs CAP electric non-heating terminations and termination rates for the period from 2012 through 2016.</w:t>
      </w:r>
    </w:p>
    <w:p w14:paraId="038AA6B7" w14:textId="77777777" w:rsidR="00F303E0" w:rsidRPr="00EE5714" w:rsidRDefault="00F303E0" w:rsidP="00F303E0">
      <w:pPr>
        <w:pStyle w:val="NoSpacing"/>
        <w:keepNext/>
        <w:rPr>
          <w:rFonts w:cs="Times New Roman"/>
          <w:szCs w:val="26"/>
        </w:rPr>
      </w:pPr>
    </w:p>
    <w:p w14:paraId="792A6B8E" w14:textId="77777777" w:rsidR="00F303E0" w:rsidRPr="00EE5714" w:rsidRDefault="00F734A0" w:rsidP="00F303E0">
      <w:pPr>
        <w:pStyle w:val="NoSpacing"/>
        <w:keepNext/>
        <w:rPr>
          <w:rFonts w:cs="Times New Roman"/>
          <w:szCs w:val="26"/>
        </w:rPr>
      </w:pPr>
      <w:r w:rsidRPr="00EE5714">
        <w:rPr>
          <w:rFonts w:cs="Times New Roman"/>
          <w:szCs w:val="26"/>
        </w:rPr>
        <w:t>Appendix 6</w:t>
      </w:r>
      <w:r w:rsidR="00F303E0" w:rsidRPr="00EE5714">
        <w:rPr>
          <w:rFonts w:cs="Times New Roman"/>
          <w:szCs w:val="26"/>
        </w:rPr>
        <w:t xml:space="preserve">.B.3: </w:t>
      </w:r>
      <w:r w:rsidR="00F303E0" w:rsidRPr="00EE5714">
        <w:rPr>
          <w:rFonts w:eastAsia="Times New Roman" w:cs="Times New Roman"/>
          <w:b/>
          <w:bCs/>
          <w:color w:val="000000"/>
          <w:szCs w:val="26"/>
        </w:rPr>
        <w:t>EDC Non-Heating Aggregate CAP Terminations 0%-150% FPIG</w:t>
      </w:r>
    </w:p>
    <w:tbl>
      <w:tblPr>
        <w:tblW w:w="10440" w:type="dxa"/>
        <w:tblInd w:w="-550" w:type="dxa"/>
        <w:tblLayout w:type="fixed"/>
        <w:tblLook w:val="04A0" w:firstRow="1" w:lastRow="0" w:firstColumn="1" w:lastColumn="0" w:noHBand="0" w:noVBand="1"/>
      </w:tblPr>
      <w:tblGrid>
        <w:gridCol w:w="990"/>
        <w:gridCol w:w="1350"/>
        <w:gridCol w:w="1350"/>
        <w:gridCol w:w="1350"/>
        <w:gridCol w:w="1440"/>
        <w:gridCol w:w="1440"/>
        <w:gridCol w:w="1170"/>
        <w:gridCol w:w="1350"/>
      </w:tblGrid>
      <w:tr w:rsidR="00F303E0" w:rsidRPr="00EE5714" w14:paraId="555086E3" w14:textId="77777777" w:rsidTr="00CE67A6">
        <w:trPr>
          <w:trHeight w:val="115"/>
        </w:trPr>
        <w:tc>
          <w:tcPr>
            <w:tcW w:w="10440" w:type="dxa"/>
            <w:gridSpan w:val="8"/>
            <w:tcBorders>
              <w:top w:val="single" w:sz="8" w:space="0" w:color="000000"/>
              <w:left w:val="single" w:sz="8" w:space="0" w:color="000000"/>
              <w:bottom w:val="single" w:sz="8" w:space="0" w:color="000000"/>
              <w:right w:val="single" w:sz="8" w:space="0" w:color="000000"/>
            </w:tcBorders>
            <w:shd w:val="clear" w:color="auto" w:fill="BFBFBF" w:themeFill="background1" w:themeFillShade="BF"/>
            <w:noWrap/>
            <w:vAlign w:val="center"/>
            <w:hideMark/>
          </w:tcPr>
          <w:p w14:paraId="6B6D25D0"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EDC Non-Heating Aggregate CAP Terminations 0%-150% FPIG </w:t>
            </w:r>
          </w:p>
        </w:tc>
      </w:tr>
      <w:tr w:rsidR="00F303E0" w:rsidRPr="00EE5714" w14:paraId="58A2EB5B" w14:textId="77777777" w:rsidTr="00CE67A6">
        <w:trPr>
          <w:trHeight w:val="216"/>
        </w:trPr>
        <w:tc>
          <w:tcPr>
            <w:tcW w:w="990" w:type="dxa"/>
            <w:tcBorders>
              <w:top w:val="nil"/>
              <w:left w:val="single" w:sz="8" w:space="0" w:color="000000"/>
              <w:bottom w:val="nil"/>
              <w:right w:val="nil"/>
            </w:tcBorders>
            <w:shd w:val="clear" w:color="auto" w:fill="auto"/>
            <w:noWrap/>
            <w:vAlign w:val="center"/>
            <w:hideMark/>
          </w:tcPr>
          <w:p w14:paraId="0D5382B7" w14:textId="77777777" w:rsidR="00F303E0" w:rsidRPr="00EE5714" w:rsidRDefault="00F303E0" w:rsidP="00851815">
            <w:pPr>
              <w:keepNext/>
              <w:jc w:val="center"/>
              <w:rPr>
                <w:rFonts w:ascii="Calibri" w:eastAsia="Times New Roman" w:hAnsi="Calibri" w:cs="Calibri"/>
                <w:color w:val="000000"/>
              </w:rPr>
            </w:pPr>
            <w:r w:rsidRPr="00EE5714">
              <w:rPr>
                <w:rFonts w:ascii="Calibri" w:eastAsia="Times New Roman" w:hAnsi="Calibri" w:cs="Calibri"/>
                <w:color w:val="000000"/>
              </w:rPr>
              <w:t> </w:t>
            </w:r>
          </w:p>
        </w:tc>
        <w:tc>
          <w:tcPr>
            <w:tcW w:w="1350" w:type="dxa"/>
            <w:tcBorders>
              <w:top w:val="nil"/>
              <w:left w:val="single" w:sz="4" w:space="0" w:color="000000"/>
              <w:bottom w:val="single" w:sz="4" w:space="0" w:color="000000"/>
              <w:right w:val="single" w:sz="4" w:space="0" w:color="000000"/>
            </w:tcBorders>
            <w:shd w:val="clear" w:color="auto" w:fill="auto"/>
            <w:noWrap/>
            <w:vAlign w:val="center"/>
            <w:hideMark/>
          </w:tcPr>
          <w:p w14:paraId="57CA6E8F"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350" w:type="dxa"/>
            <w:tcBorders>
              <w:top w:val="nil"/>
              <w:left w:val="nil"/>
              <w:bottom w:val="single" w:sz="4" w:space="0" w:color="000000"/>
              <w:right w:val="single" w:sz="4" w:space="0" w:color="000000"/>
            </w:tcBorders>
            <w:shd w:val="clear" w:color="auto" w:fill="auto"/>
            <w:noWrap/>
            <w:vAlign w:val="center"/>
            <w:hideMark/>
          </w:tcPr>
          <w:p w14:paraId="0C005A1D"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350" w:type="dxa"/>
            <w:tcBorders>
              <w:top w:val="nil"/>
              <w:left w:val="nil"/>
              <w:bottom w:val="single" w:sz="4" w:space="0" w:color="000000"/>
              <w:right w:val="single" w:sz="4" w:space="0" w:color="000000"/>
            </w:tcBorders>
            <w:shd w:val="clear" w:color="auto" w:fill="auto"/>
            <w:noWrap/>
            <w:vAlign w:val="center"/>
            <w:hideMark/>
          </w:tcPr>
          <w:p w14:paraId="048DCF2C"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Electric</w:t>
            </w:r>
          </w:p>
        </w:tc>
        <w:tc>
          <w:tcPr>
            <w:tcW w:w="1440" w:type="dxa"/>
            <w:tcBorders>
              <w:top w:val="nil"/>
              <w:left w:val="nil"/>
              <w:bottom w:val="single" w:sz="4" w:space="0" w:color="000000"/>
              <w:right w:val="single" w:sz="4" w:space="0" w:color="000000"/>
            </w:tcBorders>
            <w:shd w:val="clear" w:color="auto" w:fill="auto"/>
            <w:noWrap/>
            <w:vAlign w:val="center"/>
            <w:hideMark/>
          </w:tcPr>
          <w:p w14:paraId="4F518D25" w14:textId="77777777" w:rsidR="00F303E0" w:rsidRPr="00EE5714" w:rsidRDefault="00F303E0" w:rsidP="00851815">
            <w:pPr>
              <w:keepNext/>
              <w:jc w:val="center"/>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440" w:type="dxa"/>
            <w:tcBorders>
              <w:top w:val="nil"/>
              <w:left w:val="nil"/>
              <w:bottom w:val="single" w:sz="4" w:space="0" w:color="000000"/>
              <w:right w:val="single" w:sz="4" w:space="0" w:color="000000"/>
            </w:tcBorders>
            <w:shd w:val="clear" w:color="auto" w:fill="auto"/>
            <w:noWrap/>
            <w:vAlign w:val="center"/>
            <w:hideMark/>
          </w:tcPr>
          <w:p w14:paraId="06A0AD32"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170" w:type="dxa"/>
            <w:tcBorders>
              <w:top w:val="nil"/>
              <w:left w:val="nil"/>
              <w:bottom w:val="single" w:sz="4" w:space="0" w:color="000000"/>
              <w:right w:val="single" w:sz="4" w:space="0" w:color="000000"/>
            </w:tcBorders>
            <w:shd w:val="clear" w:color="auto" w:fill="auto"/>
            <w:noWrap/>
            <w:vAlign w:val="center"/>
            <w:hideMark/>
          </w:tcPr>
          <w:p w14:paraId="5D210817"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350" w:type="dxa"/>
            <w:tcBorders>
              <w:top w:val="nil"/>
              <w:left w:val="nil"/>
              <w:bottom w:val="single" w:sz="4" w:space="0" w:color="000000"/>
              <w:right w:val="single" w:sz="8" w:space="0" w:color="000000"/>
            </w:tcBorders>
            <w:shd w:val="clear" w:color="auto" w:fill="auto"/>
            <w:noWrap/>
            <w:vAlign w:val="center"/>
            <w:hideMark/>
          </w:tcPr>
          <w:p w14:paraId="57404BA5"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r>
      <w:tr w:rsidR="00F303E0" w:rsidRPr="00EE5714" w14:paraId="3F5D0CB3" w14:textId="77777777" w:rsidTr="00CE67A6">
        <w:trPr>
          <w:trHeight w:val="216"/>
        </w:trPr>
        <w:tc>
          <w:tcPr>
            <w:tcW w:w="99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7D2BE9E8"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1350" w:type="dxa"/>
            <w:tcBorders>
              <w:top w:val="nil"/>
              <w:left w:val="nil"/>
              <w:bottom w:val="single" w:sz="4" w:space="0" w:color="808080"/>
              <w:right w:val="single" w:sz="4" w:space="0" w:color="000000"/>
            </w:tcBorders>
            <w:shd w:val="clear" w:color="auto" w:fill="auto"/>
            <w:noWrap/>
            <w:vAlign w:val="center"/>
            <w:hideMark/>
          </w:tcPr>
          <w:p w14:paraId="18B9600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5,575</w:t>
            </w:r>
          </w:p>
        </w:tc>
        <w:tc>
          <w:tcPr>
            <w:tcW w:w="1350" w:type="dxa"/>
            <w:tcBorders>
              <w:top w:val="nil"/>
              <w:left w:val="nil"/>
              <w:bottom w:val="single" w:sz="4" w:space="0" w:color="808080"/>
              <w:right w:val="single" w:sz="4" w:space="0" w:color="000000"/>
            </w:tcBorders>
            <w:shd w:val="clear" w:color="auto" w:fill="auto"/>
            <w:noWrap/>
            <w:vAlign w:val="center"/>
            <w:hideMark/>
          </w:tcPr>
          <w:p w14:paraId="1AA65C1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N/A</w:t>
            </w:r>
          </w:p>
        </w:tc>
        <w:tc>
          <w:tcPr>
            <w:tcW w:w="1350" w:type="dxa"/>
            <w:tcBorders>
              <w:top w:val="nil"/>
              <w:left w:val="nil"/>
              <w:bottom w:val="single" w:sz="4" w:space="0" w:color="808080"/>
              <w:right w:val="single" w:sz="4" w:space="0" w:color="000000"/>
            </w:tcBorders>
            <w:shd w:val="clear" w:color="auto" w:fill="auto"/>
            <w:noWrap/>
            <w:vAlign w:val="center"/>
            <w:hideMark/>
          </w:tcPr>
          <w:p w14:paraId="7B27ACE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16,590</w:t>
            </w:r>
          </w:p>
        </w:tc>
        <w:tc>
          <w:tcPr>
            <w:tcW w:w="1440" w:type="dxa"/>
            <w:tcBorders>
              <w:top w:val="nil"/>
              <w:left w:val="nil"/>
              <w:bottom w:val="single" w:sz="4" w:space="0" w:color="808080"/>
              <w:right w:val="single" w:sz="4" w:space="0" w:color="000000"/>
            </w:tcBorders>
            <w:shd w:val="clear" w:color="auto" w:fill="auto"/>
            <w:noWrap/>
            <w:vAlign w:val="center"/>
            <w:hideMark/>
          </w:tcPr>
          <w:p w14:paraId="3C201B5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440" w:type="dxa"/>
            <w:tcBorders>
              <w:top w:val="nil"/>
              <w:left w:val="nil"/>
              <w:bottom w:val="single" w:sz="4" w:space="0" w:color="808080"/>
              <w:right w:val="single" w:sz="4" w:space="0" w:color="000000"/>
            </w:tcBorders>
            <w:shd w:val="clear" w:color="auto" w:fill="auto"/>
            <w:noWrap/>
            <w:vAlign w:val="center"/>
            <w:hideMark/>
          </w:tcPr>
          <w:p w14:paraId="36C6A0B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170" w:type="dxa"/>
            <w:tcBorders>
              <w:top w:val="nil"/>
              <w:left w:val="nil"/>
              <w:bottom w:val="single" w:sz="4" w:space="0" w:color="808080"/>
              <w:right w:val="single" w:sz="4" w:space="0" w:color="000000"/>
            </w:tcBorders>
            <w:shd w:val="clear" w:color="auto" w:fill="auto"/>
            <w:noWrap/>
            <w:vAlign w:val="center"/>
            <w:hideMark/>
          </w:tcPr>
          <w:p w14:paraId="7D1075D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970</w:t>
            </w:r>
          </w:p>
        </w:tc>
        <w:tc>
          <w:tcPr>
            <w:tcW w:w="1350" w:type="dxa"/>
            <w:tcBorders>
              <w:top w:val="nil"/>
              <w:left w:val="nil"/>
              <w:bottom w:val="single" w:sz="4" w:space="0" w:color="808080"/>
              <w:right w:val="single" w:sz="8" w:space="0" w:color="000000"/>
            </w:tcBorders>
            <w:shd w:val="clear" w:color="auto" w:fill="auto"/>
            <w:noWrap/>
            <w:vAlign w:val="center"/>
            <w:hideMark/>
          </w:tcPr>
          <w:p w14:paraId="7B852EB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 </w:t>
            </w:r>
          </w:p>
        </w:tc>
      </w:tr>
      <w:tr w:rsidR="00F303E0" w:rsidRPr="00EE5714" w14:paraId="6871C626" w14:textId="77777777" w:rsidTr="00CE67A6">
        <w:trPr>
          <w:trHeight w:val="216"/>
        </w:trPr>
        <w:tc>
          <w:tcPr>
            <w:tcW w:w="99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6FBD051E"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350" w:type="dxa"/>
            <w:tcBorders>
              <w:top w:val="nil"/>
              <w:left w:val="nil"/>
              <w:bottom w:val="single" w:sz="4" w:space="0" w:color="808080"/>
              <w:right w:val="single" w:sz="4" w:space="0" w:color="000000"/>
            </w:tcBorders>
            <w:shd w:val="clear" w:color="auto" w:fill="auto"/>
            <w:noWrap/>
            <w:vAlign w:val="center"/>
            <w:hideMark/>
          </w:tcPr>
          <w:p w14:paraId="417A44C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5,930</w:t>
            </w:r>
          </w:p>
        </w:tc>
        <w:tc>
          <w:tcPr>
            <w:tcW w:w="1350" w:type="dxa"/>
            <w:tcBorders>
              <w:top w:val="nil"/>
              <w:left w:val="nil"/>
              <w:bottom w:val="single" w:sz="4" w:space="0" w:color="808080"/>
              <w:right w:val="single" w:sz="4" w:space="0" w:color="000000"/>
            </w:tcBorders>
            <w:shd w:val="clear" w:color="auto" w:fill="auto"/>
            <w:noWrap/>
            <w:vAlign w:val="center"/>
            <w:hideMark/>
          </w:tcPr>
          <w:p w14:paraId="0AADBAA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N/A</w:t>
            </w:r>
          </w:p>
        </w:tc>
        <w:tc>
          <w:tcPr>
            <w:tcW w:w="1350" w:type="dxa"/>
            <w:tcBorders>
              <w:top w:val="nil"/>
              <w:left w:val="nil"/>
              <w:bottom w:val="single" w:sz="4" w:space="0" w:color="808080"/>
              <w:right w:val="single" w:sz="4" w:space="0" w:color="000000"/>
            </w:tcBorders>
            <w:shd w:val="clear" w:color="auto" w:fill="auto"/>
            <w:noWrap/>
            <w:vAlign w:val="center"/>
            <w:hideMark/>
          </w:tcPr>
          <w:p w14:paraId="45DE2DC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22,301</w:t>
            </w:r>
          </w:p>
        </w:tc>
        <w:tc>
          <w:tcPr>
            <w:tcW w:w="1440" w:type="dxa"/>
            <w:tcBorders>
              <w:top w:val="nil"/>
              <w:left w:val="nil"/>
              <w:bottom w:val="single" w:sz="4" w:space="0" w:color="808080"/>
              <w:right w:val="single" w:sz="4" w:space="0" w:color="000000"/>
            </w:tcBorders>
            <w:shd w:val="clear" w:color="auto" w:fill="auto"/>
            <w:noWrap/>
            <w:vAlign w:val="center"/>
            <w:hideMark/>
          </w:tcPr>
          <w:p w14:paraId="778FCD7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440" w:type="dxa"/>
            <w:tcBorders>
              <w:top w:val="nil"/>
              <w:left w:val="nil"/>
              <w:bottom w:val="single" w:sz="4" w:space="0" w:color="808080"/>
              <w:right w:val="single" w:sz="4" w:space="0" w:color="000000"/>
            </w:tcBorders>
            <w:shd w:val="clear" w:color="auto" w:fill="auto"/>
            <w:noWrap/>
            <w:vAlign w:val="center"/>
            <w:hideMark/>
          </w:tcPr>
          <w:p w14:paraId="62CB213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170" w:type="dxa"/>
            <w:tcBorders>
              <w:top w:val="nil"/>
              <w:left w:val="nil"/>
              <w:bottom w:val="single" w:sz="4" w:space="0" w:color="808080"/>
              <w:right w:val="single" w:sz="4" w:space="0" w:color="000000"/>
            </w:tcBorders>
            <w:shd w:val="clear" w:color="auto" w:fill="auto"/>
            <w:noWrap/>
            <w:vAlign w:val="center"/>
            <w:hideMark/>
          </w:tcPr>
          <w:p w14:paraId="25C5BE3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1,467</w:t>
            </w:r>
          </w:p>
        </w:tc>
        <w:tc>
          <w:tcPr>
            <w:tcW w:w="1350" w:type="dxa"/>
            <w:tcBorders>
              <w:top w:val="nil"/>
              <w:left w:val="nil"/>
              <w:bottom w:val="single" w:sz="4" w:space="0" w:color="808080"/>
              <w:right w:val="single" w:sz="8" w:space="0" w:color="000000"/>
            </w:tcBorders>
            <w:shd w:val="clear" w:color="auto" w:fill="auto"/>
            <w:noWrap/>
            <w:vAlign w:val="center"/>
            <w:hideMark/>
          </w:tcPr>
          <w:p w14:paraId="2E1EA37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 </w:t>
            </w:r>
          </w:p>
        </w:tc>
      </w:tr>
      <w:tr w:rsidR="00F303E0" w:rsidRPr="00EE5714" w14:paraId="58551C00" w14:textId="77777777" w:rsidTr="00CE67A6">
        <w:trPr>
          <w:trHeight w:val="216"/>
        </w:trPr>
        <w:tc>
          <w:tcPr>
            <w:tcW w:w="99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6FCB894D"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350" w:type="dxa"/>
            <w:tcBorders>
              <w:top w:val="nil"/>
              <w:left w:val="nil"/>
              <w:bottom w:val="single" w:sz="4" w:space="0" w:color="808080"/>
              <w:right w:val="single" w:sz="4" w:space="0" w:color="000000"/>
            </w:tcBorders>
            <w:shd w:val="clear" w:color="auto" w:fill="auto"/>
            <w:noWrap/>
            <w:vAlign w:val="center"/>
            <w:hideMark/>
          </w:tcPr>
          <w:p w14:paraId="6E5F459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4,918</w:t>
            </w:r>
          </w:p>
        </w:tc>
        <w:tc>
          <w:tcPr>
            <w:tcW w:w="1350" w:type="dxa"/>
            <w:tcBorders>
              <w:top w:val="nil"/>
              <w:left w:val="nil"/>
              <w:bottom w:val="single" w:sz="4" w:space="0" w:color="808080"/>
              <w:right w:val="single" w:sz="4" w:space="0" w:color="000000"/>
            </w:tcBorders>
            <w:shd w:val="clear" w:color="auto" w:fill="auto"/>
            <w:noWrap/>
            <w:vAlign w:val="center"/>
            <w:hideMark/>
          </w:tcPr>
          <w:p w14:paraId="57FD53A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991</w:t>
            </w:r>
          </w:p>
        </w:tc>
        <w:tc>
          <w:tcPr>
            <w:tcW w:w="1350" w:type="dxa"/>
            <w:tcBorders>
              <w:top w:val="nil"/>
              <w:left w:val="nil"/>
              <w:bottom w:val="single" w:sz="4" w:space="0" w:color="808080"/>
              <w:right w:val="single" w:sz="4" w:space="0" w:color="000000"/>
            </w:tcBorders>
            <w:shd w:val="clear" w:color="auto" w:fill="auto"/>
            <w:noWrap/>
            <w:vAlign w:val="center"/>
            <w:hideMark/>
          </w:tcPr>
          <w:p w14:paraId="2C7EDE2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24,948</w:t>
            </w:r>
          </w:p>
        </w:tc>
        <w:tc>
          <w:tcPr>
            <w:tcW w:w="1440" w:type="dxa"/>
            <w:tcBorders>
              <w:top w:val="nil"/>
              <w:left w:val="nil"/>
              <w:bottom w:val="single" w:sz="4" w:space="0" w:color="808080"/>
              <w:right w:val="single" w:sz="4" w:space="0" w:color="000000"/>
            </w:tcBorders>
            <w:shd w:val="clear" w:color="auto" w:fill="auto"/>
            <w:noWrap/>
            <w:vAlign w:val="center"/>
            <w:hideMark/>
          </w:tcPr>
          <w:p w14:paraId="1A1D1F4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1,082</w:t>
            </w:r>
          </w:p>
        </w:tc>
        <w:tc>
          <w:tcPr>
            <w:tcW w:w="1440" w:type="dxa"/>
            <w:tcBorders>
              <w:top w:val="nil"/>
              <w:left w:val="nil"/>
              <w:bottom w:val="single" w:sz="4" w:space="0" w:color="808080"/>
              <w:right w:val="single" w:sz="4" w:space="0" w:color="000000"/>
            </w:tcBorders>
            <w:shd w:val="clear" w:color="auto" w:fill="auto"/>
            <w:noWrap/>
            <w:vAlign w:val="center"/>
            <w:hideMark/>
          </w:tcPr>
          <w:p w14:paraId="6A46184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196</w:t>
            </w:r>
          </w:p>
        </w:tc>
        <w:tc>
          <w:tcPr>
            <w:tcW w:w="1170" w:type="dxa"/>
            <w:tcBorders>
              <w:top w:val="nil"/>
              <w:left w:val="nil"/>
              <w:bottom w:val="single" w:sz="4" w:space="0" w:color="808080"/>
              <w:right w:val="single" w:sz="4" w:space="0" w:color="000000"/>
            </w:tcBorders>
            <w:shd w:val="clear" w:color="auto" w:fill="auto"/>
            <w:noWrap/>
            <w:vAlign w:val="center"/>
            <w:hideMark/>
          </w:tcPr>
          <w:p w14:paraId="1E1F013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1,428</w:t>
            </w:r>
          </w:p>
        </w:tc>
        <w:tc>
          <w:tcPr>
            <w:tcW w:w="1350" w:type="dxa"/>
            <w:tcBorders>
              <w:top w:val="nil"/>
              <w:left w:val="nil"/>
              <w:bottom w:val="single" w:sz="4" w:space="0" w:color="808080"/>
              <w:right w:val="single" w:sz="8" w:space="0" w:color="000000"/>
            </w:tcBorders>
            <w:shd w:val="clear" w:color="auto" w:fill="auto"/>
            <w:noWrap/>
            <w:vAlign w:val="center"/>
            <w:hideMark/>
          </w:tcPr>
          <w:p w14:paraId="267E5A2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1,017</w:t>
            </w:r>
          </w:p>
        </w:tc>
      </w:tr>
      <w:tr w:rsidR="00F303E0" w:rsidRPr="00EE5714" w14:paraId="6F1307B0" w14:textId="77777777" w:rsidTr="00CE67A6">
        <w:trPr>
          <w:trHeight w:val="216"/>
        </w:trPr>
        <w:tc>
          <w:tcPr>
            <w:tcW w:w="99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54200EAE"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350" w:type="dxa"/>
            <w:tcBorders>
              <w:top w:val="nil"/>
              <w:left w:val="nil"/>
              <w:bottom w:val="single" w:sz="4" w:space="0" w:color="808080"/>
              <w:right w:val="single" w:sz="4" w:space="0" w:color="000000"/>
            </w:tcBorders>
            <w:shd w:val="clear" w:color="auto" w:fill="auto"/>
            <w:noWrap/>
            <w:vAlign w:val="center"/>
            <w:hideMark/>
          </w:tcPr>
          <w:p w14:paraId="6CE00B8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306</w:t>
            </w:r>
          </w:p>
        </w:tc>
        <w:tc>
          <w:tcPr>
            <w:tcW w:w="1350" w:type="dxa"/>
            <w:tcBorders>
              <w:top w:val="nil"/>
              <w:left w:val="nil"/>
              <w:bottom w:val="single" w:sz="4" w:space="0" w:color="808080"/>
              <w:right w:val="single" w:sz="4" w:space="0" w:color="000000"/>
            </w:tcBorders>
            <w:shd w:val="clear" w:color="auto" w:fill="auto"/>
            <w:noWrap/>
            <w:vAlign w:val="center"/>
            <w:hideMark/>
          </w:tcPr>
          <w:p w14:paraId="6A26ACC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873</w:t>
            </w:r>
          </w:p>
        </w:tc>
        <w:tc>
          <w:tcPr>
            <w:tcW w:w="1350" w:type="dxa"/>
            <w:tcBorders>
              <w:top w:val="nil"/>
              <w:left w:val="nil"/>
              <w:bottom w:val="single" w:sz="4" w:space="0" w:color="808080"/>
              <w:right w:val="single" w:sz="4" w:space="0" w:color="000000"/>
            </w:tcBorders>
            <w:shd w:val="clear" w:color="auto" w:fill="auto"/>
            <w:noWrap/>
            <w:vAlign w:val="center"/>
            <w:hideMark/>
          </w:tcPr>
          <w:p w14:paraId="68BF48C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13,012</w:t>
            </w:r>
          </w:p>
        </w:tc>
        <w:tc>
          <w:tcPr>
            <w:tcW w:w="1440" w:type="dxa"/>
            <w:tcBorders>
              <w:top w:val="nil"/>
              <w:left w:val="nil"/>
              <w:bottom w:val="single" w:sz="4" w:space="0" w:color="808080"/>
              <w:right w:val="single" w:sz="4" w:space="0" w:color="000000"/>
            </w:tcBorders>
            <w:shd w:val="clear" w:color="auto" w:fill="auto"/>
            <w:noWrap/>
            <w:vAlign w:val="center"/>
            <w:hideMark/>
          </w:tcPr>
          <w:p w14:paraId="0D58B9A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1,075</w:t>
            </w:r>
          </w:p>
        </w:tc>
        <w:tc>
          <w:tcPr>
            <w:tcW w:w="1440" w:type="dxa"/>
            <w:tcBorders>
              <w:top w:val="nil"/>
              <w:left w:val="nil"/>
              <w:bottom w:val="single" w:sz="4" w:space="0" w:color="808080"/>
              <w:right w:val="single" w:sz="4" w:space="0" w:color="000000"/>
            </w:tcBorders>
            <w:shd w:val="clear" w:color="auto" w:fill="auto"/>
            <w:noWrap/>
            <w:vAlign w:val="center"/>
            <w:hideMark/>
          </w:tcPr>
          <w:p w14:paraId="1FD681E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178</w:t>
            </w:r>
          </w:p>
        </w:tc>
        <w:tc>
          <w:tcPr>
            <w:tcW w:w="1170" w:type="dxa"/>
            <w:tcBorders>
              <w:top w:val="nil"/>
              <w:left w:val="nil"/>
              <w:bottom w:val="single" w:sz="4" w:space="0" w:color="808080"/>
              <w:right w:val="single" w:sz="4" w:space="0" w:color="000000"/>
            </w:tcBorders>
            <w:shd w:val="clear" w:color="auto" w:fill="auto"/>
            <w:noWrap/>
            <w:vAlign w:val="center"/>
            <w:hideMark/>
          </w:tcPr>
          <w:p w14:paraId="03422CA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1,206</w:t>
            </w:r>
          </w:p>
        </w:tc>
        <w:tc>
          <w:tcPr>
            <w:tcW w:w="1350" w:type="dxa"/>
            <w:tcBorders>
              <w:top w:val="nil"/>
              <w:left w:val="nil"/>
              <w:bottom w:val="single" w:sz="4" w:space="0" w:color="808080"/>
              <w:right w:val="single" w:sz="8" w:space="0" w:color="000000"/>
            </w:tcBorders>
            <w:shd w:val="clear" w:color="auto" w:fill="auto"/>
            <w:noWrap/>
            <w:vAlign w:val="center"/>
            <w:hideMark/>
          </w:tcPr>
          <w:p w14:paraId="1CB88D5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1,172</w:t>
            </w:r>
          </w:p>
        </w:tc>
      </w:tr>
      <w:tr w:rsidR="00F303E0" w:rsidRPr="00EE5714" w14:paraId="1E503C96" w14:textId="77777777" w:rsidTr="00CE67A6">
        <w:trPr>
          <w:trHeight w:val="216"/>
        </w:trPr>
        <w:tc>
          <w:tcPr>
            <w:tcW w:w="990" w:type="dxa"/>
            <w:tcBorders>
              <w:top w:val="single" w:sz="4" w:space="0" w:color="000000"/>
              <w:left w:val="single" w:sz="8" w:space="0" w:color="000000"/>
              <w:bottom w:val="single" w:sz="8" w:space="0" w:color="000000"/>
              <w:right w:val="single" w:sz="4" w:space="0" w:color="000000"/>
            </w:tcBorders>
            <w:shd w:val="clear" w:color="auto" w:fill="F2F2F2" w:themeFill="background1" w:themeFillShade="F2"/>
            <w:noWrap/>
            <w:vAlign w:val="center"/>
            <w:hideMark/>
          </w:tcPr>
          <w:p w14:paraId="481AEDE9"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350" w:type="dxa"/>
            <w:tcBorders>
              <w:top w:val="nil"/>
              <w:left w:val="nil"/>
              <w:bottom w:val="single" w:sz="8" w:space="0" w:color="000000"/>
              <w:right w:val="single" w:sz="4" w:space="0" w:color="000000"/>
            </w:tcBorders>
            <w:shd w:val="clear" w:color="auto" w:fill="auto"/>
            <w:noWrap/>
            <w:vAlign w:val="center"/>
            <w:hideMark/>
          </w:tcPr>
          <w:p w14:paraId="4C25F0F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w:t>
            </w:r>
          </w:p>
        </w:tc>
        <w:tc>
          <w:tcPr>
            <w:tcW w:w="1350" w:type="dxa"/>
            <w:tcBorders>
              <w:top w:val="nil"/>
              <w:left w:val="nil"/>
              <w:bottom w:val="single" w:sz="8" w:space="0" w:color="000000"/>
              <w:right w:val="single" w:sz="4" w:space="0" w:color="000000"/>
            </w:tcBorders>
            <w:shd w:val="clear" w:color="auto" w:fill="auto"/>
            <w:noWrap/>
            <w:vAlign w:val="center"/>
            <w:hideMark/>
          </w:tcPr>
          <w:p w14:paraId="669A0E1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799</w:t>
            </w:r>
          </w:p>
        </w:tc>
        <w:tc>
          <w:tcPr>
            <w:tcW w:w="1350" w:type="dxa"/>
            <w:tcBorders>
              <w:top w:val="nil"/>
              <w:left w:val="nil"/>
              <w:bottom w:val="single" w:sz="8" w:space="0" w:color="000000"/>
              <w:right w:val="single" w:sz="4" w:space="0" w:color="000000"/>
            </w:tcBorders>
            <w:shd w:val="clear" w:color="auto" w:fill="auto"/>
            <w:noWrap/>
            <w:vAlign w:val="center"/>
            <w:hideMark/>
          </w:tcPr>
          <w:p w14:paraId="3F1B8AC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9,326</w:t>
            </w:r>
          </w:p>
        </w:tc>
        <w:tc>
          <w:tcPr>
            <w:tcW w:w="1440" w:type="dxa"/>
            <w:tcBorders>
              <w:top w:val="nil"/>
              <w:left w:val="nil"/>
              <w:bottom w:val="single" w:sz="8" w:space="0" w:color="000000"/>
              <w:right w:val="single" w:sz="4" w:space="0" w:color="000000"/>
            </w:tcBorders>
            <w:shd w:val="clear" w:color="auto" w:fill="auto"/>
            <w:noWrap/>
            <w:vAlign w:val="center"/>
            <w:hideMark/>
          </w:tcPr>
          <w:p w14:paraId="1EA8E3B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918</w:t>
            </w:r>
          </w:p>
        </w:tc>
        <w:tc>
          <w:tcPr>
            <w:tcW w:w="1440" w:type="dxa"/>
            <w:tcBorders>
              <w:top w:val="nil"/>
              <w:left w:val="nil"/>
              <w:bottom w:val="single" w:sz="8" w:space="0" w:color="000000"/>
              <w:right w:val="single" w:sz="4" w:space="0" w:color="000000"/>
            </w:tcBorders>
            <w:shd w:val="clear" w:color="auto" w:fill="auto"/>
            <w:noWrap/>
            <w:vAlign w:val="center"/>
            <w:hideMark/>
          </w:tcPr>
          <w:p w14:paraId="5035C0D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166</w:t>
            </w:r>
          </w:p>
        </w:tc>
        <w:tc>
          <w:tcPr>
            <w:tcW w:w="1170" w:type="dxa"/>
            <w:tcBorders>
              <w:top w:val="nil"/>
              <w:left w:val="nil"/>
              <w:bottom w:val="single" w:sz="8" w:space="0" w:color="000000"/>
              <w:right w:val="single" w:sz="4" w:space="0" w:color="000000"/>
            </w:tcBorders>
            <w:shd w:val="clear" w:color="auto" w:fill="auto"/>
            <w:noWrap/>
            <w:vAlign w:val="center"/>
            <w:hideMark/>
          </w:tcPr>
          <w:p w14:paraId="3935047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1,269</w:t>
            </w:r>
          </w:p>
        </w:tc>
        <w:tc>
          <w:tcPr>
            <w:tcW w:w="1350" w:type="dxa"/>
            <w:tcBorders>
              <w:top w:val="nil"/>
              <w:left w:val="nil"/>
              <w:bottom w:val="single" w:sz="8" w:space="0" w:color="000000"/>
              <w:right w:val="single" w:sz="8" w:space="0" w:color="000000"/>
            </w:tcBorders>
            <w:shd w:val="clear" w:color="auto" w:fill="auto"/>
            <w:noWrap/>
            <w:vAlign w:val="center"/>
            <w:hideMark/>
          </w:tcPr>
          <w:p w14:paraId="41F99184"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1,041</w:t>
            </w:r>
          </w:p>
        </w:tc>
      </w:tr>
    </w:tbl>
    <w:p w14:paraId="073112D9" w14:textId="77777777" w:rsidR="00F303E0" w:rsidRPr="00EE5714" w:rsidRDefault="00F303E0" w:rsidP="00F303E0">
      <w:pPr>
        <w:pStyle w:val="NoSpacing"/>
        <w:rPr>
          <w:rFonts w:cs="Times New Roman"/>
          <w:szCs w:val="26"/>
        </w:rPr>
      </w:pPr>
    </w:p>
    <w:p w14:paraId="00ACC5D5" w14:textId="77777777" w:rsidR="00F303E0" w:rsidRPr="00EE5714" w:rsidRDefault="00F303E0" w:rsidP="00F303E0">
      <w:pPr>
        <w:pStyle w:val="NoSpacing"/>
        <w:rPr>
          <w:rFonts w:cs="Times New Roman"/>
          <w:szCs w:val="26"/>
        </w:rPr>
      </w:pPr>
    </w:p>
    <w:p w14:paraId="7F2E3C4A" w14:textId="77777777" w:rsidR="00F303E0" w:rsidRPr="00EE5714" w:rsidRDefault="00F734A0" w:rsidP="00F303E0">
      <w:pPr>
        <w:pStyle w:val="NoSpacing"/>
        <w:keepNext/>
        <w:rPr>
          <w:rFonts w:cs="Times New Roman"/>
          <w:szCs w:val="26"/>
        </w:rPr>
      </w:pPr>
      <w:r w:rsidRPr="00EE5714">
        <w:rPr>
          <w:rFonts w:cs="Times New Roman"/>
          <w:szCs w:val="26"/>
        </w:rPr>
        <w:t>Appendix 6</w:t>
      </w:r>
      <w:r w:rsidR="00F303E0" w:rsidRPr="00EE5714">
        <w:rPr>
          <w:rFonts w:cs="Times New Roman"/>
          <w:szCs w:val="26"/>
        </w:rPr>
        <w:t xml:space="preserve">.B.4: </w:t>
      </w:r>
      <w:r w:rsidR="00F303E0" w:rsidRPr="00EE5714">
        <w:rPr>
          <w:rFonts w:eastAsia="Times New Roman" w:cs="Times New Roman"/>
          <w:b/>
          <w:bCs/>
          <w:color w:val="000000"/>
          <w:szCs w:val="26"/>
        </w:rPr>
        <w:t>Percent of EDC Non-Heating Aggregate CAP Termination Rates 0%-150% FPIG</w:t>
      </w:r>
    </w:p>
    <w:tbl>
      <w:tblPr>
        <w:tblW w:w="10440" w:type="dxa"/>
        <w:tblInd w:w="-550" w:type="dxa"/>
        <w:tblLayout w:type="fixed"/>
        <w:tblLook w:val="04A0" w:firstRow="1" w:lastRow="0" w:firstColumn="1" w:lastColumn="0" w:noHBand="0" w:noVBand="1"/>
      </w:tblPr>
      <w:tblGrid>
        <w:gridCol w:w="990"/>
        <w:gridCol w:w="1350"/>
        <w:gridCol w:w="1350"/>
        <w:gridCol w:w="1350"/>
        <w:gridCol w:w="1440"/>
        <w:gridCol w:w="1440"/>
        <w:gridCol w:w="1170"/>
        <w:gridCol w:w="1350"/>
      </w:tblGrid>
      <w:tr w:rsidR="00F303E0" w:rsidRPr="00EE5714" w14:paraId="477A8436" w14:textId="77777777" w:rsidTr="00CE67A6">
        <w:trPr>
          <w:trHeight w:val="115"/>
        </w:trPr>
        <w:tc>
          <w:tcPr>
            <w:tcW w:w="10440" w:type="dxa"/>
            <w:gridSpan w:val="8"/>
            <w:tcBorders>
              <w:top w:val="single" w:sz="8" w:space="0" w:color="000000"/>
              <w:left w:val="single" w:sz="8" w:space="0" w:color="000000"/>
              <w:bottom w:val="single" w:sz="8" w:space="0" w:color="000000"/>
              <w:right w:val="single" w:sz="8" w:space="0" w:color="000000"/>
            </w:tcBorders>
            <w:shd w:val="clear" w:color="auto" w:fill="BFBFBF" w:themeFill="background1" w:themeFillShade="BF"/>
            <w:noWrap/>
            <w:vAlign w:val="center"/>
            <w:hideMark/>
          </w:tcPr>
          <w:p w14:paraId="2BCBE0C4" w14:textId="77777777" w:rsidR="00F303E0" w:rsidRPr="00EE5714" w:rsidRDefault="00F303E0" w:rsidP="00851815">
            <w:pPr>
              <w:keepNext/>
              <w:keepLines/>
              <w:jc w:val="center"/>
              <w:rPr>
                <w:rFonts w:ascii="Calibri" w:eastAsia="Times New Roman" w:hAnsi="Calibri" w:cs="Calibri"/>
                <w:b/>
                <w:bCs/>
                <w:color w:val="000000"/>
              </w:rPr>
            </w:pPr>
            <w:r w:rsidRPr="00EE5714">
              <w:rPr>
                <w:rFonts w:ascii="Calibri" w:eastAsia="Times New Roman" w:hAnsi="Calibri" w:cs="Calibri"/>
                <w:b/>
                <w:bCs/>
                <w:color w:val="000000"/>
              </w:rPr>
              <w:t xml:space="preserve">Percent of EDC Non-Heating Aggregate CAP Termination Rates 0%-150% FPIG </w:t>
            </w:r>
          </w:p>
        </w:tc>
      </w:tr>
      <w:tr w:rsidR="00F303E0" w:rsidRPr="00EE5714" w14:paraId="3DE28AE2" w14:textId="77777777" w:rsidTr="00CE67A6">
        <w:trPr>
          <w:trHeight w:val="216"/>
        </w:trPr>
        <w:tc>
          <w:tcPr>
            <w:tcW w:w="990" w:type="dxa"/>
            <w:tcBorders>
              <w:top w:val="nil"/>
              <w:left w:val="single" w:sz="8" w:space="0" w:color="000000"/>
              <w:bottom w:val="single" w:sz="4" w:space="0" w:color="000000"/>
              <w:right w:val="single" w:sz="4" w:space="0" w:color="000000"/>
            </w:tcBorders>
            <w:shd w:val="clear" w:color="auto" w:fill="auto"/>
            <w:noWrap/>
            <w:vAlign w:val="bottom"/>
            <w:hideMark/>
          </w:tcPr>
          <w:p w14:paraId="422EF09F"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350" w:type="dxa"/>
            <w:tcBorders>
              <w:top w:val="nil"/>
              <w:left w:val="nil"/>
              <w:bottom w:val="single" w:sz="4" w:space="0" w:color="000000"/>
              <w:right w:val="single" w:sz="4" w:space="0" w:color="000000"/>
            </w:tcBorders>
            <w:shd w:val="clear" w:color="auto" w:fill="auto"/>
            <w:noWrap/>
            <w:vAlign w:val="center"/>
            <w:hideMark/>
          </w:tcPr>
          <w:p w14:paraId="1DD1D7E9"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350" w:type="dxa"/>
            <w:tcBorders>
              <w:top w:val="nil"/>
              <w:left w:val="nil"/>
              <w:bottom w:val="single" w:sz="4" w:space="0" w:color="000000"/>
              <w:right w:val="single" w:sz="4" w:space="0" w:color="000000"/>
            </w:tcBorders>
            <w:shd w:val="clear" w:color="auto" w:fill="auto"/>
            <w:noWrap/>
            <w:vAlign w:val="center"/>
            <w:hideMark/>
          </w:tcPr>
          <w:p w14:paraId="1654B873"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350" w:type="dxa"/>
            <w:tcBorders>
              <w:top w:val="nil"/>
              <w:left w:val="nil"/>
              <w:bottom w:val="single" w:sz="4" w:space="0" w:color="000000"/>
              <w:right w:val="single" w:sz="4" w:space="0" w:color="000000"/>
            </w:tcBorders>
            <w:shd w:val="clear" w:color="auto" w:fill="auto"/>
            <w:noWrap/>
            <w:vAlign w:val="center"/>
            <w:hideMark/>
          </w:tcPr>
          <w:p w14:paraId="4B34CD19"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Electric</w:t>
            </w:r>
          </w:p>
        </w:tc>
        <w:tc>
          <w:tcPr>
            <w:tcW w:w="1440" w:type="dxa"/>
            <w:tcBorders>
              <w:top w:val="nil"/>
              <w:left w:val="nil"/>
              <w:bottom w:val="single" w:sz="4" w:space="0" w:color="000000"/>
              <w:right w:val="single" w:sz="4" w:space="0" w:color="000000"/>
            </w:tcBorders>
            <w:shd w:val="clear" w:color="auto" w:fill="auto"/>
            <w:noWrap/>
            <w:vAlign w:val="center"/>
            <w:hideMark/>
          </w:tcPr>
          <w:p w14:paraId="43AD1033" w14:textId="77777777" w:rsidR="00F303E0" w:rsidRPr="00EE5714" w:rsidRDefault="00F303E0" w:rsidP="00851815">
            <w:pPr>
              <w:keepNext/>
              <w:keepLines/>
              <w:jc w:val="center"/>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440" w:type="dxa"/>
            <w:tcBorders>
              <w:top w:val="nil"/>
              <w:left w:val="nil"/>
              <w:bottom w:val="single" w:sz="4" w:space="0" w:color="000000"/>
              <w:right w:val="single" w:sz="4" w:space="0" w:color="000000"/>
            </w:tcBorders>
            <w:shd w:val="clear" w:color="auto" w:fill="auto"/>
            <w:noWrap/>
            <w:vAlign w:val="center"/>
            <w:hideMark/>
          </w:tcPr>
          <w:p w14:paraId="61533F61"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170" w:type="dxa"/>
            <w:tcBorders>
              <w:top w:val="nil"/>
              <w:left w:val="nil"/>
              <w:bottom w:val="single" w:sz="4" w:space="0" w:color="000000"/>
              <w:right w:val="single" w:sz="4" w:space="0" w:color="000000"/>
            </w:tcBorders>
            <w:shd w:val="clear" w:color="auto" w:fill="auto"/>
            <w:noWrap/>
            <w:vAlign w:val="center"/>
            <w:hideMark/>
          </w:tcPr>
          <w:p w14:paraId="51B357AF"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350" w:type="dxa"/>
            <w:tcBorders>
              <w:top w:val="nil"/>
              <w:left w:val="nil"/>
              <w:bottom w:val="single" w:sz="4" w:space="0" w:color="000000"/>
              <w:right w:val="single" w:sz="8" w:space="0" w:color="000000"/>
            </w:tcBorders>
            <w:shd w:val="clear" w:color="auto" w:fill="auto"/>
            <w:noWrap/>
            <w:vAlign w:val="center"/>
            <w:hideMark/>
          </w:tcPr>
          <w:p w14:paraId="6837C08B"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r>
      <w:tr w:rsidR="00F303E0" w:rsidRPr="00EE5714" w14:paraId="598295CC" w14:textId="77777777" w:rsidTr="00CE67A6">
        <w:trPr>
          <w:trHeight w:val="216"/>
        </w:trPr>
        <w:tc>
          <w:tcPr>
            <w:tcW w:w="99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36F6D9A4"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1350" w:type="dxa"/>
            <w:tcBorders>
              <w:top w:val="nil"/>
              <w:left w:val="nil"/>
              <w:bottom w:val="single" w:sz="4" w:space="0" w:color="808080"/>
              <w:right w:val="single" w:sz="4" w:space="0" w:color="000000"/>
            </w:tcBorders>
            <w:shd w:val="clear" w:color="auto" w:fill="auto"/>
            <w:noWrap/>
            <w:vAlign w:val="center"/>
            <w:hideMark/>
          </w:tcPr>
          <w:p w14:paraId="370844B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15.45%</w:t>
            </w:r>
          </w:p>
        </w:tc>
        <w:tc>
          <w:tcPr>
            <w:tcW w:w="1350" w:type="dxa"/>
            <w:tcBorders>
              <w:top w:val="nil"/>
              <w:left w:val="nil"/>
              <w:bottom w:val="single" w:sz="4" w:space="0" w:color="808080"/>
              <w:right w:val="single" w:sz="4" w:space="0" w:color="000000"/>
            </w:tcBorders>
            <w:shd w:val="clear" w:color="auto" w:fill="auto"/>
            <w:noWrap/>
            <w:vAlign w:val="center"/>
            <w:hideMark/>
          </w:tcPr>
          <w:p w14:paraId="5341F08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350" w:type="dxa"/>
            <w:tcBorders>
              <w:top w:val="nil"/>
              <w:left w:val="nil"/>
              <w:bottom w:val="single" w:sz="4" w:space="0" w:color="808080"/>
              <w:right w:val="single" w:sz="4" w:space="0" w:color="000000"/>
            </w:tcBorders>
            <w:shd w:val="clear" w:color="auto" w:fill="auto"/>
            <w:noWrap/>
            <w:vAlign w:val="center"/>
            <w:hideMark/>
          </w:tcPr>
          <w:p w14:paraId="23B58480"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11.96%</w:t>
            </w:r>
          </w:p>
        </w:tc>
        <w:tc>
          <w:tcPr>
            <w:tcW w:w="1440" w:type="dxa"/>
            <w:tcBorders>
              <w:top w:val="nil"/>
              <w:left w:val="nil"/>
              <w:bottom w:val="single" w:sz="4" w:space="0" w:color="808080"/>
              <w:right w:val="single" w:sz="4" w:space="0" w:color="000000"/>
            </w:tcBorders>
            <w:shd w:val="clear" w:color="auto" w:fill="auto"/>
            <w:noWrap/>
            <w:vAlign w:val="center"/>
            <w:hideMark/>
          </w:tcPr>
          <w:p w14:paraId="05A8D5F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440" w:type="dxa"/>
            <w:tcBorders>
              <w:top w:val="nil"/>
              <w:left w:val="nil"/>
              <w:bottom w:val="single" w:sz="4" w:space="0" w:color="808080"/>
              <w:right w:val="single" w:sz="4" w:space="0" w:color="000000"/>
            </w:tcBorders>
            <w:shd w:val="clear" w:color="auto" w:fill="auto"/>
            <w:noWrap/>
            <w:vAlign w:val="center"/>
            <w:hideMark/>
          </w:tcPr>
          <w:p w14:paraId="3925A97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170" w:type="dxa"/>
            <w:tcBorders>
              <w:top w:val="nil"/>
              <w:left w:val="nil"/>
              <w:bottom w:val="single" w:sz="4" w:space="0" w:color="808080"/>
              <w:right w:val="single" w:sz="4" w:space="0" w:color="000000"/>
            </w:tcBorders>
            <w:shd w:val="clear" w:color="auto" w:fill="auto"/>
            <w:noWrap/>
            <w:vAlign w:val="center"/>
            <w:hideMark/>
          </w:tcPr>
          <w:p w14:paraId="74E4202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2.81%</w:t>
            </w:r>
          </w:p>
        </w:tc>
        <w:tc>
          <w:tcPr>
            <w:tcW w:w="1350" w:type="dxa"/>
            <w:tcBorders>
              <w:top w:val="nil"/>
              <w:left w:val="nil"/>
              <w:bottom w:val="single" w:sz="4" w:space="0" w:color="808080"/>
              <w:right w:val="single" w:sz="8" w:space="0" w:color="000000"/>
            </w:tcBorders>
            <w:shd w:val="clear" w:color="auto" w:fill="auto"/>
            <w:noWrap/>
            <w:vAlign w:val="center"/>
            <w:hideMark/>
          </w:tcPr>
          <w:p w14:paraId="6EB2B97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r>
      <w:tr w:rsidR="00F303E0" w:rsidRPr="00EE5714" w14:paraId="09CD1B38" w14:textId="77777777" w:rsidTr="00CE67A6">
        <w:trPr>
          <w:trHeight w:val="216"/>
        </w:trPr>
        <w:tc>
          <w:tcPr>
            <w:tcW w:w="99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01B9A587"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350" w:type="dxa"/>
            <w:tcBorders>
              <w:top w:val="nil"/>
              <w:left w:val="nil"/>
              <w:bottom w:val="single" w:sz="4" w:space="0" w:color="808080"/>
              <w:right w:val="single" w:sz="4" w:space="0" w:color="000000"/>
            </w:tcBorders>
            <w:shd w:val="clear" w:color="auto" w:fill="auto"/>
            <w:noWrap/>
            <w:vAlign w:val="center"/>
            <w:hideMark/>
          </w:tcPr>
          <w:p w14:paraId="4A0FED8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16.23%</w:t>
            </w:r>
          </w:p>
        </w:tc>
        <w:tc>
          <w:tcPr>
            <w:tcW w:w="1350" w:type="dxa"/>
            <w:tcBorders>
              <w:top w:val="nil"/>
              <w:left w:val="nil"/>
              <w:bottom w:val="single" w:sz="4" w:space="0" w:color="808080"/>
              <w:right w:val="single" w:sz="4" w:space="0" w:color="000000"/>
            </w:tcBorders>
            <w:shd w:val="clear" w:color="auto" w:fill="auto"/>
            <w:noWrap/>
            <w:vAlign w:val="center"/>
            <w:hideMark/>
          </w:tcPr>
          <w:p w14:paraId="60184AC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350" w:type="dxa"/>
            <w:tcBorders>
              <w:top w:val="nil"/>
              <w:left w:val="nil"/>
              <w:bottom w:val="single" w:sz="4" w:space="0" w:color="808080"/>
              <w:right w:val="single" w:sz="4" w:space="0" w:color="000000"/>
            </w:tcBorders>
            <w:shd w:val="clear" w:color="auto" w:fill="auto"/>
            <w:noWrap/>
            <w:vAlign w:val="center"/>
            <w:hideMark/>
          </w:tcPr>
          <w:p w14:paraId="1EFAADDC"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16.15%</w:t>
            </w:r>
          </w:p>
        </w:tc>
        <w:tc>
          <w:tcPr>
            <w:tcW w:w="1440" w:type="dxa"/>
            <w:tcBorders>
              <w:top w:val="nil"/>
              <w:left w:val="nil"/>
              <w:bottom w:val="single" w:sz="4" w:space="0" w:color="808080"/>
              <w:right w:val="single" w:sz="4" w:space="0" w:color="000000"/>
            </w:tcBorders>
            <w:shd w:val="clear" w:color="auto" w:fill="auto"/>
            <w:noWrap/>
            <w:vAlign w:val="center"/>
            <w:hideMark/>
          </w:tcPr>
          <w:p w14:paraId="11EC8F6A"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440" w:type="dxa"/>
            <w:tcBorders>
              <w:top w:val="nil"/>
              <w:left w:val="nil"/>
              <w:bottom w:val="single" w:sz="4" w:space="0" w:color="808080"/>
              <w:right w:val="single" w:sz="4" w:space="0" w:color="000000"/>
            </w:tcBorders>
            <w:shd w:val="clear" w:color="auto" w:fill="auto"/>
            <w:noWrap/>
            <w:vAlign w:val="center"/>
            <w:hideMark/>
          </w:tcPr>
          <w:p w14:paraId="3B469BB7"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170" w:type="dxa"/>
            <w:tcBorders>
              <w:top w:val="nil"/>
              <w:left w:val="nil"/>
              <w:bottom w:val="single" w:sz="4" w:space="0" w:color="808080"/>
              <w:right w:val="single" w:sz="4" w:space="0" w:color="000000"/>
            </w:tcBorders>
            <w:shd w:val="clear" w:color="auto" w:fill="auto"/>
            <w:noWrap/>
            <w:vAlign w:val="center"/>
            <w:hideMark/>
          </w:tcPr>
          <w:p w14:paraId="1ED09CE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4.17%</w:t>
            </w:r>
          </w:p>
        </w:tc>
        <w:tc>
          <w:tcPr>
            <w:tcW w:w="1350" w:type="dxa"/>
            <w:tcBorders>
              <w:top w:val="nil"/>
              <w:left w:val="nil"/>
              <w:bottom w:val="single" w:sz="4" w:space="0" w:color="808080"/>
              <w:right w:val="single" w:sz="8" w:space="0" w:color="000000"/>
            </w:tcBorders>
            <w:shd w:val="clear" w:color="auto" w:fill="auto"/>
            <w:noWrap/>
            <w:vAlign w:val="center"/>
            <w:hideMark/>
          </w:tcPr>
          <w:p w14:paraId="441F8F66"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r>
      <w:tr w:rsidR="00F303E0" w:rsidRPr="00EE5714" w14:paraId="151061FD" w14:textId="77777777" w:rsidTr="00CE67A6">
        <w:trPr>
          <w:trHeight w:val="216"/>
        </w:trPr>
        <w:tc>
          <w:tcPr>
            <w:tcW w:w="99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1C99DAAF"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350" w:type="dxa"/>
            <w:tcBorders>
              <w:top w:val="nil"/>
              <w:left w:val="nil"/>
              <w:bottom w:val="single" w:sz="4" w:space="0" w:color="808080"/>
              <w:right w:val="single" w:sz="4" w:space="0" w:color="000000"/>
            </w:tcBorders>
            <w:shd w:val="clear" w:color="auto" w:fill="auto"/>
            <w:noWrap/>
            <w:vAlign w:val="center"/>
            <w:hideMark/>
          </w:tcPr>
          <w:p w14:paraId="55672CE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13.91%</w:t>
            </w:r>
          </w:p>
        </w:tc>
        <w:tc>
          <w:tcPr>
            <w:tcW w:w="1350" w:type="dxa"/>
            <w:tcBorders>
              <w:top w:val="nil"/>
              <w:left w:val="nil"/>
              <w:bottom w:val="single" w:sz="4" w:space="0" w:color="808080"/>
              <w:right w:val="single" w:sz="4" w:space="0" w:color="000000"/>
            </w:tcBorders>
            <w:shd w:val="clear" w:color="auto" w:fill="auto"/>
            <w:noWrap/>
            <w:vAlign w:val="center"/>
            <w:hideMark/>
          </w:tcPr>
          <w:p w14:paraId="7232CF77"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5.79%</w:t>
            </w:r>
          </w:p>
        </w:tc>
        <w:tc>
          <w:tcPr>
            <w:tcW w:w="1350" w:type="dxa"/>
            <w:tcBorders>
              <w:top w:val="nil"/>
              <w:left w:val="nil"/>
              <w:bottom w:val="single" w:sz="4" w:space="0" w:color="808080"/>
              <w:right w:val="single" w:sz="4" w:space="0" w:color="000000"/>
            </w:tcBorders>
            <w:shd w:val="clear" w:color="auto" w:fill="auto"/>
            <w:noWrap/>
            <w:vAlign w:val="center"/>
            <w:hideMark/>
          </w:tcPr>
          <w:p w14:paraId="224E0CD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17.66%</w:t>
            </w:r>
          </w:p>
        </w:tc>
        <w:tc>
          <w:tcPr>
            <w:tcW w:w="1440" w:type="dxa"/>
            <w:tcBorders>
              <w:top w:val="nil"/>
              <w:left w:val="nil"/>
              <w:bottom w:val="single" w:sz="4" w:space="0" w:color="808080"/>
              <w:right w:val="single" w:sz="4" w:space="0" w:color="000000"/>
            </w:tcBorders>
            <w:shd w:val="clear" w:color="auto" w:fill="auto"/>
            <w:noWrap/>
            <w:vAlign w:val="center"/>
            <w:hideMark/>
          </w:tcPr>
          <w:p w14:paraId="274FF48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4.62%</w:t>
            </w:r>
          </w:p>
        </w:tc>
        <w:tc>
          <w:tcPr>
            <w:tcW w:w="1440" w:type="dxa"/>
            <w:tcBorders>
              <w:top w:val="nil"/>
              <w:left w:val="nil"/>
              <w:bottom w:val="single" w:sz="4" w:space="0" w:color="808080"/>
              <w:right w:val="single" w:sz="4" w:space="0" w:color="000000"/>
            </w:tcBorders>
            <w:shd w:val="clear" w:color="auto" w:fill="auto"/>
            <w:noWrap/>
            <w:vAlign w:val="center"/>
            <w:hideMark/>
          </w:tcPr>
          <w:p w14:paraId="41644651"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3.71%</w:t>
            </w:r>
          </w:p>
        </w:tc>
        <w:tc>
          <w:tcPr>
            <w:tcW w:w="1170" w:type="dxa"/>
            <w:tcBorders>
              <w:top w:val="nil"/>
              <w:left w:val="nil"/>
              <w:bottom w:val="single" w:sz="4" w:space="0" w:color="808080"/>
              <w:right w:val="single" w:sz="4" w:space="0" w:color="000000"/>
            </w:tcBorders>
            <w:shd w:val="clear" w:color="auto" w:fill="auto"/>
            <w:noWrap/>
            <w:vAlign w:val="center"/>
            <w:hideMark/>
          </w:tcPr>
          <w:p w14:paraId="3EEA6D83"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3.72%</w:t>
            </w:r>
          </w:p>
        </w:tc>
        <w:tc>
          <w:tcPr>
            <w:tcW w:w="1350" w:type="dxa"/>
            <w:tcBorders>
              <w:top w:val="nil"/>
              <w:left w:val="nil"/>
              <w:bottom w:val="single" w:sz="4" w:space="0" w:color="808080"/>
              <w:right w:val="single" w:sz="8" w:space="0" w:color="000000"/>
            </w:tcBorders>
            <w:shd w:val="clear" w:color="auto" w:fill="auto"/>
            <w:noWrap/>
            <w:vAlign w:val="center"/>
            <w:hideMark/>
          </w:tcPr>
          <w:p w14:paraId="42781D7F"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4.66%</w:t>
            </w:r>
          </w:p>
        </w:tc>
      </w:tr>
      <w:tr w:rsidR="00F303E0" w:rsidRPr="00EE5714" w14:paraId="651F85E9" w14:textId="77777777" w:rsidTr="00CE67A6">
        <w:trPr>
          <w:trHeight w:val="216"/>
        </w:trPr>
        <w:tc>
          <w:tcPr>
            <w:tcW w:w="99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308BDA03"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350" w:type="dxa"/>
            <w:tcBorders>
              <w:top w:val="nil"/>
              <w:left w:val="nil"/>
              <w:bottom w:val="single" w:sz="4" w:space="0" w:color="808080"/>
              <w:right w:val="single" w:sz="4" w:space="0" w:color="000000"/>
            </w:tcBorders>
            <w:shd w:val="clear" w:color="auto" w:fill="auto"/>
            <w:noWrap/>
            <w:vAlign w:val="center"/>
            <w:hideMark/>
          </w:tcPr>
          <w:p w14:paraId="00377A4A"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0.86%</w:t>
            </w:r>
          </w:p>
        </w:tc>
        <w:tc>
          <w:tcPr>
            <w:tcW w:w="1350" w:type="dxa"/>
            <w:tcBorders>
              <w:top w:val="nil"/>
              <w:left w:val="nil"/>
              <w:bottom w:val="single" w:sz="4" w:space="0" w:color="808080"/>
              <w:right w:val="single" w:sz="4" w:space="0" w:color="000000"/>
            </w:tcBorders>
            <w:shd w:val="clear" w:color="auto" w:fill="auto"/>
            <w:noWrap/>
            <w:vAlign w:val="center"/>
            <w:hideMark/>
          </w:tcPr>
          <w:p w14:paraId="6B5B0A26"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5.58%</w:t>
            </w:r>
          </w:p>
        </w:tc>
        <w:tc>
          <w:tcPr>
            <w:tcW w:w="1350" w:type="dxa"/>
            <w:tcBorders>
              <w:top w:val="nil"/>
              <w:left w:val="nil"/>
              <w:bottom w:val="single" w:sz="4" w:space="0" w:color="808080"/>
              <w:right w:val="single" w:sz="4" w:space="0" w:color="000000"/>
            </w:tcBorders>
            <w:shd w:val="clear" w:color="auto" w:fill="auto"/>
            <w:noWrap/>
            <w:vAlign w:val="center"/>
            <w:hideMark/>
          </w:tcPr>
          <w:p w14:paraId="1EA14686"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9.26%</w:t>
            </w:r>
          </w:p>
        </w:tc>
        <w:tc>
          <w:tcPr>
            <w:tcW w:w="1440" w:type="dxa"/>
            <w:tcBorders>
              <w:top w:val="nil"/>
              <w:left w:val="nil"/>
              <w:bottom w:val="single" w:sz="4" w:space="0" w:color="808080"/>
              <w:right w:val="single" w:sz="4" w:space="0" w:color="000000"/>
            </w:tcBorders>
            <w:shd w:val="clear" w:color="auto" w:fill="auto"/>
            <w:noWrap/>
            <w:vAlign w:val="center"/>
            <w:hideMark/>
          </w:tcPr>
          <w:p w14:paraId="2C1B482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4.92%</w:t>
            </w:r>
          </w:p>
        </w:tc>
        <w:tc>
          <w:tcPr>
            <w:tcW w:w="1440" w:type="dxa"/>
            <w:tcBorders>
              <w:top w:val="nil"/>
              <w:left w:val="nil"/>
              <w:bottom w:val="single" w:sz="4" w:space="0" w:color="808080"/>
              <w:right w:val="single" w:sz="4" w:space="0" w:color="000000"/>
            </w:tcBorders>
            <w:shd w:val="clear" w:color="auto" w:fill="auto"/>
            <w:noWrap/>
            <w:vAlign w:val="center"/>
            <w:hideMark/>
          </w:tcPr>
          <w:p w14:paraId="2DAB4F2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3.81%</w:t>
            </w:r>
          </w:p>
        </w:tc>
        <w:tc>
          <w:tcPr>
            <w:tcW w:w="1170" w:type="dxa"/>
            <w:tcBorders>
              <w:top w:val="nil"/>
              <w:left w:val="nil"/>
              <w:bottom w:val="single" w:sz="4" w:space="0" w:color="808080"/>
              <w:right w:val="single" w:sz="4" w:space="0" w:color="000000"/>
            </w:tcBorders>
            <w:shd w:val="clear" w:color="auto" w:fill="auto"/>
            <w:noWrap/>
            <w:vAlign w:val="center"/>
            <w:hideMark/>
          </w:tcPr>
          <w:p w14:paraId="2008E00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2.63%</w:t>
            </w:r>
          </w:p>
        </w:tc>
        <w:tc>
          <w:tcPr>
            <w:tcW w:w="1350" w:type="dxa"/>
            <w:tcBorders>
              <w:top w:val="nil"/>
              <w:left w:val="nil"/>
              <w:bottom w:val="single" w:sz="4" w:space="0" w:color="808080"/>
              <w:right w:val="single" w:sz="8" w:space="0" w:color="000000"/>
            </w:tcBorders>
            <w:shd w:val="clear" w:color="auto" w:fill="auto"/>
            <w:noWrap/>
            <w:vAlign w:val="center"/>
            <w:hideMark/>
          </w:tcPr>
          <w:p w14:paraId="0F87BB0C"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5.08%</w:t>
            </w:r>
          </w:p>
        </w:tc>
      </w:tr>
      <w:tr w:rsidR="00F303E0" w:rsidRPr="00EE5714" w14:paraId="666A8598" w14:textId="77777777" w:rsidTr="00CE67A6">
        <w:trPr>
          <w:trHeight w:val="216"/>
        </w:trPr>
        <w:tc>
          <w:tcPr>
            <w:tcW w:w="990" w:type="dxa"/>
            <w:tcBorders>
              <w:top w:val="single" w:sz="4" w:space="0" w:color="000000"/>
              <w:left w:val="single" w:sz="8" w:space="0" w:color="000000"/>
              <w:bottom w:val="single" w:sz="8" w:space="0" w:color="000000"/>
              <w:right w:val="single" w:sz="4" w:space="0" w:color="000000"/>
            </w:tcBorders>
            <w:shd w:val="clear" w:color="auto" w:fill="F2F2F2" w:themeFill="background1" w:themeFillShade="F2"/>
            <w:noWrap/>
            <w:vAlign w:val="center"/>
            <w:hideMark/>
          </w:tcPr>
          <w:p w14:paraId="05613196"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350" w:type="dxa"/>
            <w:tcBorders>
              <w:top w:val="nil"/>
              <w:left w:val="nil"/>
              <w:bottom w:val="single" w:sz="8" w:space="0" w:color="000000"/>
              <w:right w:val="single" w:sz="4" w:space="0" w:color="000000"/>
            </w:tcBorders>
            <w:shd w:val="clear" w:color="auto" w:fill="auto"/>
            <w:noWrap/>
            <w:vAlign w:val="center"/>
            <w:hideMark/>
          </w:tcPr>
          <w:p w14:paraId="7CB7F73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0.15%</w:t>
            </w:r>
          </w:p>
        </w:tc>
        <w:tc>
          <w:tcPr>
            <w:tcW w:w="1350" w:type="dxa"/>
            <w:tcBorders>
              <w:top w:val="nil"/>
              <w:left w:val="nil"/>
              <w:bottom w:val="single" w:sz="8" w:space="0" w:color="000000"/>
              <w:right w:val="single" w:sz="4" w:space="0" w:color="000000"/>
            </w:tcBorders>
            <w:shd w:val="clear" w:color="auto" w:fill="auto"/>
            <w:noWrap/>
            <w:vAlign w:val="center"/>
            <w:hideMark/>
          </w:tcPr>
          <w:p w14:paraId="3894143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5.42%</w:t>
            </w:r>
          </w:p>
        </w:tc>
        <w:tc>
          <w:tcPr>
            <w:tcW w:w="1350" w:type="dxa"/>
            <w:tcBorders>
              <w:top w:val="nil"/>
              <w:left w:val="nil"/>
              <w:bottom w:val="single" w:sz="8" w:space="0" w:color="000000"/>
              <w:right w:val="single" w:sz="4" w:space="0" w:color="000000"/>
            </w:tcBorders>
            <w:shd w:val="clear" w:color="auto" w:fill="auto"/>
            <w:noWrap/>
            <w:vAlign w:val="center"/>
            <w:hideMark/>
          </w:tcPr>
          <w:p w14:paraId="23D9031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6.82%</w:t>
            </w:r>
          </w:p>
        </w:tc>
        <w:tc>
          <w:tcPr>
            <w:tcW w:w="1440" w:type="dxa"/>
            <w:tcBorders>
              <w:top w:val="nil"/>
              <w:left w:val="nil"/>
              <w:bottom w:val="single" w:sz="8" w:space="0" w:color="000000"/>
              <w:right w:val="single" w:sz="4" w:space="0" w:color="000000"/>
            </w:tcBorders>
            <w:shd w:val="clear" w:color="auto" w:fill="auto"/>
            <w:noWrap/>
            <w:vAlign w:val="center"/>
            <w:hideMark/>
          </w:tcPr>
          <w:p w14:paraId="5757384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4.31%</w:t>
            </w:r>
          </w:p>
        </w:tc>
        <w:tc>
          <w:tcPr>
            <w:tcW w:w="1440" w:type="dxa"/>
            <w:tcBorders>
              <w:top w:val="nil"/>
              <w:left w:val="nil"/>
              <w:bottom w:val="single" w:sz="8" w:space="0" w:color="000000"/>
              <w:right w:val="single" w:sz="4" w:space="0" w:color="000000"/>
            </w:tcBorders>
            <w:shd w:val="clear" w:color="auto" w:fill="auto"/>
            <w:noWrap/>
            <w:vAlign w:val="center"/>
            <w:hideMark/>
          </w:tcPr>
          <w:p w14:paraId="4817EAB7"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3.61%</w:t>
            </w:r>
          </w:p>
        </w:tc>
        <w:tc>
          <w:tcPr>
            <w:tcW w:w="1170" w:type="dxa"/>
            <w:tcBorders>
              <w:top w:val="nil"/>
              <w:left w:val="nil"/>
              <w:bottom w:val="single" w:sz="8" w:space="0" w:color="000000"/>
              <w:right w:val="single" w:sz="4" w:space="0" w:color="000000"/>
            </w:tcBorders>
            <w:shd w:val="clear" w:color="auto" w:fill="auto"/>
            <w:noWrap/>
            <w:vAlign w:val="center"/>
            <w:hideMark/>
          </w:tcPr>
          <w:p w14:paraId="58945B4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2.35%</w:t>
            </w:r>
          </w:p>
        </w:tc>
        <w:tc>
          <w:tcPr>
            <w:tcW w:w="1350" w:type="dxa"/>
            <w:tcBorders>
              <w:top w:val="nil"/>
              <w:left w:val="nil"/>
              <w:bottom w:val="single" w:sz="8" w:space="0" w:color="000000"/>
              <w:right w:val="single" w:sz="8" w:space="0" w:color="000000"/>
            </w:tcBorders>
            <w:shd w:val="clear" w:color="auto" w:fill="auto"/>
            <w:noWrap/>
            <w:vAlign w:val="center"/>
            <w:hideMark/>
          </w:tcPr>
          <w:p w14:paraId="4E7E82B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4.36%</w:t>
            </w:r>
          </w:p>
        </w:tc>
      </w:tr>
    </w:tbl>
    <w:p w14:paraId="1F93F881" w14:textId="77777777" w:rsidR="00F303E0" w:rsidRPr="00EE5714" w:rsidRDefault="00F303E0" w:rsidP="00F303E0">
      <w:pPr>
        <w:pStyle w:val="NoSpacing"/>
        <w:rPr>
          <w:rFonts w:cs="Times New Roman"/>
          <w:szCs w:val="26"/>
        </w:rPr>
      </w:pPr>
    </w:p>
    <w:p w14:paraId="0AB13001" w14:textId="77777777" w:rsidR="00F303E0" w:rsidRPr="00EE5714" w:rsidRDefault="00F303E0" w:rsidP="00F303E0">
      <w:pPr>
        <w:pStyle w:val="NoSpacing"/>
        <w:rPr>
          <w:rFonts w:cs="Times New Roman"/>
          <w:szCs w:val="26"/>
        </w:rPr>
      </w:pPr>
    </w:p>
    <w:p w14:paraId="4A8B403F" w14:textId="77777777" w:rsidR="00F303E0" w:rsidRPr="00EE5714" w:rsidRDefault="00F303E0" w:rsidP="00F303E0">
      <w:pPr>
        <w:pStyle w:val="NoSpacing"/>
        <w:rPr>
          <w:rFonts w:eastAsia="Times New Roman" w:cs="Times New Roman"/>
          <w:szCs w:val="26"/>
        </w:rPr>
      </w:pPr>
      <w:r w:rsidRPr="00EE5714">
        <w:rPr>
          <w:rFonts w:eastAsia="Times New Roman" w:cs="Times New Roman"/>
          <w:szCs w:val="26"/>
        </w:rPr>
        <w:t xml:space="preserve">The number and percentage of EDCs CAP electric heating default exits and default exit rates for the period from 2012 through 2016.  </w:t>
      </w:r>
    </w:p>
    <w:p w14:paraId="5B2C9F54" w14:textId="77777777" w:rsidR="00F303E0" w:rsidRPr="00EE5714" w:rsidRDefault="00F303E0" w:rsidP="00F303E0">
      <w:pPr>
        <w:pStyle w:val="NoSpacing"/>
        <w:rPr>
          <w:rFonts w:cs="Times New Roman"/>
          <w:szCs w:val="26"/>
        </w:rPr>
      </w:pPr>
    </w:p>
    <w:p w14:paraId="59E94FAD" w14:textId="77777777" w:rsidR="00F303E0" w:rsidRPr="00EE5714" w:rsidRDefault="00F734A0" w:rsidP="00F303E0">
      <w:pPr>
        <w:pStyle w:val="NoSpacing"/>
        <w:keepNext/>
        <w:rPr>
          <w:rFonts w:cs="Times New Roman"/>
          <w:szCs w:val="26"/>
        </w:rPr>
      </w:pPr>
      <w:r w:rsidRPr="00EE5714">
        <w:rPr>
          <w:rFonts w:cs="Times New Roman"/>
          <w:szCs w:val="26"/>
        </w:rPr>
        <w:lastRenderedPageBreak/>
        <w:t>Appendix 6</w:t>
      </w:r>
      <w:r w:rsidR="00F303E0" w:rsidRPr="00EE5714">
        <w:rPr>
          <w:rFonts w:cs="Times New Roman"/>
          <w:szCs w:val="26"/>
        </w:rPr>
        <w:t xml:space="preserve">.B.5: </w:t>
      </w:r>
      <w:r w:rsidR="00F303E0" w:rsidRPr="00EE5714">
        <w:rPr>
          <w:rFonts w:eastAsia="Times New Roman" w:cs="Times New Roman"/>
          <w:b/>
          <w:bCs/>
          <w:color w:val="000000"/>
          <w:szCs w:val="26"/>
        </w:rPr>
        <w:t>EDC Heating Aggregate CAP Estimated* Default Exits 0%-150% FPIG</w:t>
      </w:r>
    </w:p>
    <w:tbl>
      <w:tblPr>
        <w:tblW w:w="10440" w:type="dxa"/>
        <w:jc w:val="center"/>
        <w:tblLayout w:type="fixed"/>
        <w:tblLook w:val="04A0" w:firstRow="1" w:lastRow="0" w:firstColumn="1" w:lastColumn="0" w:noHBand="0" w:noVBand="1"/>
      </w:tblPr>
      <w:tblGrid>
        <w:gridCol w:w="980"/>
        <w:gridCol w:w="1440"/>
        <w:gridCol w:w="1260"/>
        <w:gridCol w:w="1350"/>
        <w:gridCol w:w="1440"/>
        <w:gridCol w:w="1440"/>
        <w:gridCol w:w="1170"/>
        <w:gridCol w:w="1360"/>
      </w:tblGrid>
      <w:tr w:rsidR="00F303E0" w:rsidRPr="00EE5714" w14:paraId="04B568FF" w14:textId="77777777" w:rsidTr="00CE67A6">
        <w:trPr>
          <w:trHeight w:val="109"/>
          <w:jc w:val="center"/>
        </w:trPr>
        <w:tc>
          <w:tcPr>
            <w:tcW w:w="10440" w:type="dxa"/>
            <w:gridSpan w:val="8"/>
            <w:tcBorders>
              <w:top w:val="single" w:sz="8" w:space="0" w:color="000000"/>
              <w:left w:val="single" w:sz="8" w:space="0" w:color="000000"/>
              <w:bottom w:val="single" w:sz="8" w:space="0" w:color="000000"/>
              <w:right w:val="single" w:sz="8" w:space="0" w:color="000000"/>
            </w:tcBorders>
            <w:shd w:val="clear" w:color="auto" w:fill="BFBFBF" w:themeFill="background1" w:themeFillShade="BF"/>
            <w:noWrap/>
            <w:vAlign w:val="center"/>
            <w:hideMark/>
          </w:tcPr>
          <w:p w14:paraId="66A28AD8"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EDC Heating Aggregate CAP Estimated* Default Exits 0%-150% FPIG</w:t>
            </w:r>
          </w:p>
        </w:tc>
      </w:tr>
      <w:tr w:rsidR="00F303E0" w:rsidRPr="00EE5714" w14:paraId="5037E281" w14:textId="77777777" w:rsidTr="00CE67A6">
        <w:trPr>
          <w:trHeight w:val="212"/>
          <w:jc w:val="center"/>
        </w:trPr>
        <w:tc>
          <w:tcPr>
            <w:tcW w:w="980" w:type="dxa"/>
            <w:tcBorders>
              <w:top w:val="nil"/>
              <w:left w:val="single" w:sz="8" w:space="0" w:color="000000"/>
              <w:bottom w:val="single" w:sz="4" w:space="0" w:color="000000"/>
              <w:right w:val="single" w:sz="4" w:space="0" w:color="000000"/>
            </w:tcBorders>
            <w:shd w:val="clear" w:color="auto" w:fill="auto"/>
            <w:noWrap/>
            <w:vAlign w:val="center"/>
            <w:hideMark/>
          </w:tcPr>
          <w:p w14:paraId="3E89C106" w14:textId="77777777" w:rsidR="00F303E0" w:rsidRPr="00EE5714" w:rsidRDefault="00F303E0" w:rsidP="00851815">
            <w:pPr>
              <w:keepNext/>
              <w:jc w:val="center"/>
              <w:rPr>
                <w:rFonts w:ascii="Calibri" w:eastAsia="Times New Roman" w:hAnsi="Calibri" w:cs="Calibri"/>
                <w:color w:val="000000"/>
                <w:sz w:val="21"/>
                <w:szCs w:val="21"/>
              </w:rPr>
            </w:pPr>
          </w:p>
        </w:tc>
        <w:tc>
          <w:tcPr>
            <w:tcW w:w="1440" w:type="dxa"/>
            <w:tcBorders>
              <w:top w:val="nil"/>
              <w:left w:val="nil"/>
              <w:bottom w:val="single" w:sz="4" w:space="0" w:color="808080"/>
              <w:right w:val="single" w:sz="4" w:space="0" w:color="000000"/>
            </w:tcBorders>
            <w:shd w:val="clear" w:color="auto" w:fill="auto"/>
            <w:noWrap/>
            <w:vAlign w:val="center"/>
            <w:hideMark/>
          </w:tcPr>
          <w:p w14:paraId="45BEDA79"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260" w:type="dxa"/>
            <w:tcBorders>
              <w:top w:val="nil"/>
              <w:left w:val="nil"/>
              <w:bottom w:val="single" w:sz="4" w:space="0" w:color="808080"/>
              <w:right w:val="single" w:sz="4" w:space="0" w:color="000000"/>
            </w:tcBorders>
            <w:shd w:val="clear" w:color="auto" w:fill="auto"/>
            <w:noWrap/>
            <w:vAlign w:val="center"/>
            <w:hideMark/>
          </w:tcPr>
          <w:p w14:paraId="45D01EE3"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350" w:type="dxa"/>
            <w:tcBorders>
              <w:top w:val="nil"/>
              <w:left w:val="nil"/>
              <w:bottom w:val="single" w:sz="4" w:space="0" w:color="808080"/>
              <w:right w:val="single" w:sz="4" w:space="0" w:color="000000"/>
            </w:tcBorders>
            <w:shd w:val="clear" w:color="auto" w:fill="auto"/>
            <w:noWrap/>
            <w:vAlign w:val="center"/>
            <w:hideMark/>
          </w:tcPr>
          <w:p w14:paraId="5C3DB684"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Electric</w:t>
            </w:r>
          </w:p>
        </w:tc>
        <w:tc>
          <w:tcPr>
            <w:tcW w:w="1440" w:type="dxa"/>
            <w:tcBorders>
              <w:top w:val="nil"/>
              <w:left w:val="nil"/>
              <w:bottom w:val="single" w:sz="4" w:space="0" w:color="808080"/>
              <w:right w:val="single" w:sz="4" w:space="0" w:color="000000"/>
            </w:tcBorders>
            <w:shd w:val="clear" w:color="auto" w:fill="auto"/>
            <w:noWrap/>
            <w:vAlign w:val="center"/>
            <w:hideMark/>
          </w:tcPr>
          <w:p w14:paraId="468FCDCE" w14:textId="77777777" w:rsidR="00F303E0" w:rsidRPr="00EE5714" w:rsidRDefault="00F303E0" w:rsidP="00851815">
            <w:pPr>
              <w:keepNext/>
              <w:jc w:val="center"/>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440" w:type="dxa"/>
            <w:tcBorders>
              <w:top w:val="nil"/>
              <w:left w:val="nil"/>
              <w:bottom w:val="single" w:sz="4" w:space="0" w:color="808080"/>
              <w:right w:val="single" w:sz="4" w:space="0" w:color="000000"/>
            </w:tcBorders>
            <w:shd w:val="clear" w:color="auto" w:fill="auto"/>
            <w:noWrap/>
            <w:vAlign w:val="center"/>
            <w:hideMark/>
          </w:tcPr>
          <w:p w14:paraId="15D7283D"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170" w:type="dxa"/>
            <w:tcBorders>
              <w:top w:val="nil"/>
              <w:left w:val="nil"/>
              <w:bottom w:val="single" w:sz="4" w:space="0" w:color="808080"/>
              <w:right w:val="single" w:sz="4" w:space="0" w:color="000000"/>
            </w:tcBorders>
            <w:shd w:val="clear" w:color="auto" w:fill="auto"/>
            <w:noWrap/>
            <w:vAlign w:val="center"/>
            <w:hideMark/>
          </w:tcPr>
          <w:p w14:paraId="7A2F5BD0"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360" w:type="dxa"/>
            <w:tcBorders>
              <w:top w:val="nil"/>
              <w:left w:val="nil"/>
              <w:bottom w:val="single" w:sz="4" w:space="0" w:color="808080"/>
              <w:right w:val="single" w:sz="8" w:space="0" w:color="000000"/>
            </w:tcBorders>
            <w:shd w:val="clear" w:color="auto" w:fill="auto"/>
            <w:noWrap/>
            <w:vAlign w:val="center"/>
            <w:hideMark/>
          </w:tcPr>
          <w:p w14:paraId="05E2287C"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r>
      <w:tr w:rsidR="00F303E0" w:rsidRPr="00EE5714" w14:paraId="4B806834" w14:textId="77777777" w:rsidTr="00CE67A6">
        <w:trPr>
          <w:trHeight w:val="212"/>
          <w:jc w:val="center"/>
        </w:trPr>
        <w:tc>
          <w:tcPr>
            <w:tcW w:w="98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0AF95751"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1440" w:type="dxa"/>
            <w:tcBorders>
              <w:top w:val="nil"/>
              <w:left w:val="nil"/>
              <w:bottom w:val="single" w:sz="4" w:space="0" w:color="808080"/>
              <w:right w:val="single" w:sz="4" w:space="0" w:color="000000"/>
            </w:tcBorders>
            <w:shd w:val="clear" w:color="auto" w:fill="auto"/>
            <w:noWrap/>
            <w:vAlign w:val="center"/>
            <w:hideMark/>
          </w:tcPr>
          <w:p w14:paraId="1A9779D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540</w:t>
            </w:r>
          </w:p>
        </w:tc>
        <w:tc>
          <w:tcPr>
            <w:tcW w:w="1260" w:type="dxa"/>
            <w:tcBorders>
              <w:top w:val="nil"/>
              <w:left w:val="nil"/>
              <w:bottom w:val="single" w:sz="4" w:space="0" w:color="808080"/>
              <w:right w:val="single" w:sz="4" w:space="0" w:color="000000"/>
            </w:tcBorders>
            <w:shd w:val="clear" w:color="auto" w:fill="auto"/>
            <w:noWrap/>
            <w:vAlign w:val="center"/>
            <w:hideMark/>
          </w:tcPr>
          <w:p w14:paraId="402A2EE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489</w:t>
            </w:r>
          </w:p>
        </w:tc>
        <w:tc>
          <w:tcPr>
            <w:tcW w:w="1350" w:type="dxa"/>
            <w:tcBorders>
              <w:top w:val="nil"/>
              <w:left w:val="nil"/>
              <w:bottom w:val="single" w:sz="4" w:space="0" w:color="808080"/>
              <w:right w:val="single" w:sz="4" w:space="0" w:color="000000"/>
            </w:tcBorders>
            <w:shd w:val="clear" w:color="auto" w:fill="auto"/>
            <w:noWrap/>
            <w:vAlign w:val="center"/>
            <w:hideMark/>
          </w:tcPr>
          <w:p w14:paraId="2D555EA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3,490</w:t>
            </w:r>
          </w:p>
        </w:tc>
        <w:tc>
          <w:tcPr>
            <w:tcW w:w="1440" w:type="dxa"/>
            <w:tcBorders>
              <w:top w:val="nil"/>
              <w:left w:val="nil"/>
              <w:bottom w:val="single" w:sz="4" w:space="0" w:color="808080"/>
              <w:right w:val="single" w:sz="4" w:space="0" w:color="000000"/>
            </w:tcBorders>
            <w:shd w:val="clear" w:color="auto" w:fill="auto"/>
            <w:noWrap/>
            <w:vAlign w:val="center"/>
            <w:hideMark/>
          </w:tcPr>
          <w:p w14:paraId="3F1D229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1,209</w:t>
            </w:r>
          </w:p>
        </w:tc>
        <w:tc>
          <w:tcPr>
            <w:tcW w:w="1440" w:type="dxa"/>
            <w:tcBorders>
              <w:top w:val="nil"/>
              <w:left w:val="nil"/>
              <w:bottom w:val="single" w:sz="4" w:space="0" w:color="808080"/>
              <w:right w:val="single" w:sz="4" w:space="0" w:color="000000"/>
            </w:tcBorders>
            <w:shd w:val="clear" w:color="auto" w:fill="auto"/>
            <w:noWrap/>
            <w:vAlign w:val="center"/>
            <w:hideMark/>
          </w:tcPr>
          <w:p w14:paraId="5BC56A6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831</w:t>
            </w:r>
          </w:p>
        </w:tc>
        <w:tc>
          <w:tcPr>
            <w:tcW w:w="1170" w:type="dxa"/>
            <w:tcBorders>
              <w:top w:val="nil"/>
              <w:left w:val="nil"/>
              <w:bottom w:val="single" w:sz="4" w:space="0" w:color="808080"/>
              <w:right w:val="single" w:sz="4" w:space="0" w:color="000000"/>
            </w:tcBorders>
            <w:shd w:val="clear" w:color="auto" w:fill="auto"/>
            <w:noWrap/>
            <w:vAlign w:val="center"/>
            <w:hideMark/>
          </w:tcPr>
          <w:p w14:paraId="3F8FBFF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2,092</w:t>
            </w:r>
          </w:p>
        </w:tc>
        <w:tc>
          <w:tcPr>
            <w:tcW w:w="1360" w:type="dxa"/>
            <w:tcBorders>
              <w:top w:val="nil"/>
              <w:left w:val="nil"/>
              <w:bottom w:val="single" w:sz="4" w:space="0" w:color="808080"/>
              <w:right w:val="single" w:sz="8" w:space="0" w:color="000000"/>
            </w:tcBorders>
            <w:shd w:val="clear" w:color="auto" w:fill="auto"/>
            <w:noWrap/>
            <w:vAlign w:val="center"/>
            <w:hideMark/>
          </w:tcPr>
          <w:p w14:paraId="08C3682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917</w:t>
            </w:r>
          </w:p>
        </w:tc>
      </w:tr>
      <w:tr w:rsidR="00F303E0" w:rsidRPr="00EE5714" w14:paraId="2C5C713C" w14:textId="77777777" w:rsidTr="00CE67A6">
        <w:trPr>
          <w:trHeight w:val="212"/>
          <w:jc w:val="center"/>
        </w:trPr>
        <w:tc>
          <w:tcPr>
            <w:tcW w:w="98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182A7546"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440" w:type="dxa"/>
            <w:tcBorders>
              <w:top w:val="nil"/>
              <w:left w:val="nil"/>
              <w:bottom w:val="single" w:sz="4" w:space="0" w:color="808080"/>
              <w:right w:val="single" w:sz="4" w:space="0" w:color="000000"/>
            </w:tcBorders>
            <w:shd w:val="clear" w:color="auto" w:fill="auto"/>
            <w:noWrap/>
            <w:vAlign w:val="center"/>
            <w:hideMark/>
          </w:tcPr>
          <w:p w14:paraId="2FE1C4D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367</w:t>
            </w:r>
          </w:p>
        </w:tc>
        <w:tc>
          <w:tcPr>
            <w:tcW w:w="1260" w:type="dxa"/>
            <w:tcBorders>
              <w:top w:val="nil"/>
              <w:left w:val="nil"/>
              <w:bottom w:val="single" w:sz="4" w:space="0" w:color="808080"/>
              <w:right w:val="single" w:sz="4" w:space="0" w:color="000000"/>
            </w:tcBorders>
            <w:shd w:val="clear" w:color="auto" w:fill="auto"/>
            <w:noWrap/>
            <w:vAlign w:val="center"/>
            <w:hideMark/>
          </w:tcPr>
          <w:p w14:paraId="034A223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4,406</w:t>
            </w:r>
          </w:p>
        </w:tc>
        <w:tc>
          <w:tcPr>
            <w:tcW w:w="1350" w:type="dxa"/>
            <w:tcBorders>
              <w:top w:val="nil"/>
              <w:left w:val="nil"/>
              <w:bottom w:val="single" w:sz="4" w:space="0" w:color="808080"/>
              <w:right w:val="single" w:sz="4" w:space="0" w:color="000000"/>
            </w:tcBorders>
            <w:shd w:val="clear" w:color="auto" w:fill="auto"/>
            <w:noWrap/>
            <w:vAlign w:val="center"/>
            <w:hideMark/>
          </w:tcPr>
          <w:p w14:paraId="4E102A5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7,110</w:t>
            </w:r>
          </w:p>
        </w:tc>
        <w:tc>
          <w:tcPr>
            <w:tcW w:w="1440" w:type="dxa"/>
            <w:tcBorders>
              <w:top w:val="nil"/>
              <w:left w:val="nil"/>
              <w:bottom w:val="single" w:sz="4" w:space="0" w:color="808080"/>
              <w:right w:val="single" w:sz="4" w:space="0" w:color="000000"/>
            </w:tcBorders>
            <w:shd w:val="clear" w:color="auto" w:fill="auto"/>
            <w:noWrap/>
            <w:vAlign w:val="center"/>
            <w:hideMark/>
          </w:tcPr>
          <w:p w14:paraId="5D36386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3,477</w:t>
            </w:r>
          </w:p>
        </w:tc>
        <w:tc>
          <w:tcPr>
            <w:tcW w:w="1440" w:type="dxa"/>
            <w:tcBorders>
              <w:top w:val="nil"/>
              <w:left w:val="nil"/>
              <w:bottom w:val="single" w:sz="4" w:space="0" w:color="808080"/>
              <w:right w:val="single" w:sz="4" w:space="0" w:color="000000"/>
            </w:tcBorders>
            <w:shd w:val="clear" w:color="auto" w:fill="auto"/>
            <w:noWrap/>
            <w:vAlign w:val="center"/>
            <w:hideMark/>
          </w:tcPr>
          <w:p w14:paraId="041FD47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2,472</w:t>
            </w:r>
          </w:p>
        </w:tc>
        <w:tc>
          <w:tcPr>
            <w:tcW w:w="1170" w:type="dxa"/>
            <w:tcBorders>
              <w:top w:val="nil"/>
              <w:left w:val="nil"/>
              <w:bottom w:val="single" w:sz="4" w:space="0" w:color="808080"/>
              <w:right w:val="single" w:sz="4" w:space="0" w:color="000000"/>
            </w:tcBorders>
            <w:shd w:val="clear" w:color="auto" w:fill="auto"/>
            <w:noWrap/>
            <w:vAlign w:val="center"/>
            <w:hideMark/>
          </w:tcPr>
          <w:p w14:paraId="5426A06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1,300</w:t>
            </w:r>
          </w:p>
        </w:tc>
        <w:tc>
          <w:tcPr>
            <w:tcW w:w="1360" w:type="dxa"/>
            <w:tcBorders>
              <w:top w:val="nil"/>
              <w:left w:val="nil"/>
              <w:bottom w:val="single" w:sz="4" w:space="0" w:color="808080"/>
              <w:right w:val="single" w:sz="8" w:space="0" w:color="000000"/>
            </w:tcBorders>
            <w:shd w:val="clear" w:color="auto" w:fill="auto"/>
            <w:noWrap/>
            <w:vAlign w:val="center"/>
            <w:hideMark/>
          </w:tcPr>
          <w:p w14:paraId="68E4CB6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1,897</w:t>
            </w:r>
          </w:p>
        </w:tc>
      </w:tr>
      <w:tr w:rsidR="00F303E0" w:rsidRPr="00EE5714" w14:paraId="5FE9CD5A" w14:textId="77777777" w:rsidTr="00CE67A6">
        <w:trPr>
          <w:trHeight w:val="212"/>
          <w:jc w:val="center"/>
        </w:trPr>
        <w:tc>
          <w:tcPr>
            <w:tcW w:w="98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7170C876"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440" w:type="dxa"/>
            <w:tcBorders>
              <w:top w:val="nil"/>
              <w:left w:val="nil"/>
              <w:bottom w:val="single" w:sz="4" w:space="0" w:color="808080"/>
              <w:right w:val="single" w:sz="4" w:space="0" w:color="000000"/>
            </w:tcBorders>
            <w:shd w:val="clear" w:color="auto" w:fill="auto"/>
            <w:noWrap/>
            <w:vAlign w:val="center"/>
            <w:hideMark/>
          </w:tcPr>
          <w:p w14:paraId="0EC7438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434</w:t>
            </w:r>
          </w:p>
        </w:tc>
        <w:tc>
          <w:tcPr>
            <w:tcW w:w="1260" w:type="dxa"/>
            <w:tcBorders>
              <w:top w:val="nil"/>
              <w:left w:val="nil"/>
              <w:bottom w:val="single" w:sz="4" w:space="0" w:color="808080"/>
              <w:right w:val="single" w:sz="4" w:space="0" w:color="000000"/>
            </w:tcBorders>
            <w:shd w:val="clear" w:color="auto" w:fill="auto"/>
            <w:noWrap/>
            <w:vAlign w:val="center"/>
            <w:hideMark/>
          </w:tcPr>
          <w:p w14:paraId="0D75E11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2,253</w:t>
            </w:r>
          </w:p>
        </w:tc>
        <w:tc>
          <w:tcPr>
            <w:tcW w:w="1350" w:type="dxa"/>
            <w:tcBorders>
              <w:top w:val="nil"/>
              <w:left w:val="nil"/>
              <w:bottom w:val="single" w:sz="4" w:space="0" w:color="808080"/>
              <w:right w:val="single" w:sz="4" w:space="0" w:color="000000"/>
            </w:tcBorders>
            <w:shd w:val="clear" w:color="auto" w:fill="auto"/>
            <w:noWrap/>
            <w:vAlign w:val="center"/>
            <w:hideMark/>
          </w:tcPr>
          <w:p w14:paraId="7E49FE4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8,505</w:t>
            </w:r>
          </w:p>
        </w:tc>
        <w:tc>
          <w:tcPr>
            <w:tcW w:w="1440" w:type="dxa"/>
            <w:tcBorders>
              <w:top w:val="nil"/>
              <w:left w:val="nil"/>
              <w:bottom w:val="single" w:sz="4" w:space="0" w:color="808080"/>
              <w:right w:val="single" w:sz="4" w:space="0" w:color="000000"/>
            </w:tcBorders>
            <w:shd w:val="clear" w:color="auto" w:fill="auto"/>
            <w:noWrap/>
            <w:vAlign w:val="center"/>
            <w:hideMark/>
          </w:tcPr>
          <w:p w14:paraId="77AD0DC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1,722</w:t>
            </w:r>
          </w:p>
        </w:tc>
        <w:tc>
          <w:tcPr>
            <w:tcW w:w="1440" w:type="dxa"/>
            <w:tcBorders>
              <w:top w:val="nil"/>
              <w:left w:val="nil"/>
              <w:bottom w:val="single" w:sz="4" w:space="0" w:color="808080"/>
              <w:right w:val="single" w:sz="4" w:space="0" w:color="000000"/>
            </w:tcBorders>
            <w:shd w:val="clear" w:color="auto" w:fill="auto"/>
            <w:noWrap/>
            <w:vAlign w:val="center"/>
            <w:hideMark/>
          </w:tcPr>
          <w:p w14:paraId="44F7AF9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1,268</w:t>
            </w:r>
          </w:p>
        </w:tc>
        <w:tc>
          <w:tcPr>
            <w:tcW w:w="1170" w:type="dxa"/>
            <w:tcBorders>
              <w:top w:val="nil"/>
              <w:left w:val="nil"/>
              <w:bottom w:val="single" w:sz="4" w:space="0" w:color="808080"/>
              <w:right w:val="single" w:sz="4" w:space="0" w:color="000000"/>
            </w:tcBorders>
            <w:shd w:val="clear" w:color="auto" w:fill="auto"/>
            <w:noWrap/>
            <w:vAlign w:val="center"/>
            <w:hideMark/>
          </w:tcPr>
          <w:p w14:paraId="6D1720C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1,183</w:t>
            </w:r>
          </w:p>
        </w:tc>
        <w:tc>
          <w:tcPr>
            <w:tcW w:w="1360" w:type="dxa"/>
            <w:tcBorders>
              <w:top w:val="nil"/>
              <w:left w:val="nil"/>
              <w:bottom w:val="single" w:sz="4" w:space="0" w:color="808080"/>
              <w:right w:val="single" w:sz="8" w:space="0" w:color="000000"/>
            </w:tcBorders>
            <w:shd w:val="clear" w:color="auto" w:fill="auto"/>
            <w:noWrap/>
            <w:vAlign w:val="center"/>
            <w:hideMark/>
          </w:tcPr>
          <w:p w14:paraId="2B51104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1,554</w:t>
            </w:r>
          </w:p>
        </w:tc>
      </w:tr>
      <w:tr w:rsidR="00F303E0" w:rsidRPr="00EE5714" w14:paraId="637368C3" w14:textId="77777777" w:rsidTr="00CE67A6">
        <w:trPr>
          <w:trHeight w:val="212"/>
          <w:jc w:val="center"/>
        </w:trPr>
        <w:tc>
          <w:tcPr>
            <w:tcW w:w="98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2777EEEE"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440" w:type="dxa"/>
            <w:tcBorders>
              <w:top w:val="nil"/>
              <w:left w:val="nil"/>
              <w:bottom w:val="single" w:sz="4" w:space="0" w:color="808080"/>
              <w:right w:val="single" w:sz="4" w:space="0" w:color="000000"/>
            </w:tcBorders>
            <w:shd w:val="clear" w:color="auto" w:fill="auto"/>
            <w:noWrap/>
            <w:vAlign w:val="center"/>
            <w:hideMark/>
          </w:tcPr>
          <w:p w14:paraId="3F15F64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529</w:t>
            </w:r>
          </w:p>
        </w:tc>
        <w:tc>
          <w:tcPr>
            <w:tcW w:w="1260" w:type="dxa"/>
            <w:tcBorders>
              <w:top w:val="nil"/>
              <w:left w:val="nil"/>
              <w:bottom w:val="single" w:sz="4" w:space="0" w:color="808080"/>
              <w:right w:val="single" w:sz="4" w:space="0" w:color="000000"/>
            </w:tcBorders>
            <w:shd w:val="clear" w:color="auto" w:fill="auto"/>
            <w:noWrap/>
            <w:vAlign w:val="center"/>
            <w:hideMark/>
          </w:tcPr>
          <w:p w14:paraId="4894F4A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2,342</w:t>
            </w:r>
          </w:p>
        </w:tc>
        <w:tc>
          <w:tcPr>
            <w:tcW w:w="1350" w:type="dxa"/>
            <w:tcBorders>
              <w:top w:val="nil"/>
              <w:left w:val="nil"/>
              <w:bottom w:val="single" w:sz="4" w:space="0" w:color="808080"/>
              <w:right w:val="single" w:sz="4" w:space="0" w:color="000000"/>
            </w:tcBorders>
            <w:shd w:val="clear" w:color="auto" w:fill="auto"/>
            <w:noWrap/>
            <w:vAlign w:val="center"/>
            <w:hideMark/>
          </w:tcPr>
          <w:p w14:paraId="1579963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9,996</w:t>
            </w:r>
          </w:p>
        </w:tc>
        <w:tc>
          <w:tcPr>
            <w:tcW w:w="1440" w:type="dxa"/>
            <w:tcBorders>
              <w:top w:val="nil"/>
              <w:left w:val="nil"/>
              <w:bottom w:val="single" w:sz="4" w:space="0" w:color="808080"/>
              <w:right w:val="single" w:sz="4" w:space="0" w:color="000000"/>
            </w:tcBorders>
            <w:shd w:val="clear" w:color="auto" w:fill="auto"/>
            <w:noWrap/>
            <w:vAlign w:val="center"/>
            <w:hideMark/>
          </w:tcPr>
          <w:p w14:paraId="74855C2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1,719</w:t>
            </w:r>
          </w:p>
        </w:tc>
        <w:tc>
          <w:tcPr>
            <w:tcW w:w="1440" w:type="dxa"/>
            <w:tcBorders>
              <w:top w:val="nil"/>
              <w:left w:val="nil"/>
              <w:bottom w:val="single" w:sz="4" w:space="0" w:color="808080"/>
              <w:right w:val="single" w:sz="4" w:space="0" w:color="000000"/>
            </w:tcBorders>
            <w:shd w:val="clear" w:color="auto" w:fill="auto"/>
            <w:noWrap/>
            <w:vAlign w:val="center"/>
            <w:hideMark/>
          </w:tcPr>
          <w:p w14:paraId="3B2D34A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966</w:t>
            </w:r>
          </w:p>
        </w:tc>
        <w:tc>
          <w:tcPr>
            <w:tcW w:w="1170" w:type="dxa"/>
            <w:tcBorders>
              <w:top w:val="nil"/>
              <w:left w:val="nil"/>
              <w:bottom w:val="single" w:sz="4" w:space="0" w:color="808080"/>
              <w:right w:val="single" w:sz="4" w:space="0" w:color="000000"/>
            </w:tcBorders>
            <w:shd w:val="clear" w:color="auto" w:fill="auto"/>
            <w:noWrap/>
            <w:vAlign w:val="center"/>
            <w:hideMark/>
          </w:tcPr>
          <w:p w14:paraId="50491D6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1,977</w:t>
            </w:r>
          </w:p>
        </w:tc>
        <w:tc>
          <w:tcPr>
            <w:tcW w:w="1360" w:type="dxa"/>
            <w:tcBorders>
              <w:top w:val="nil"/>
              <w:left w:val="nil"/>
              <w:bottom w:val="single" w:sz="4" w:space="0" w:color="808080"/>
              <w:right w:val="single" w:sz="8" w:space="0" w:color="000000"/>
            </w:tcBorders>
            <w:shd w:val="clear" w:color="auto" w:fill="auto"/>
            <w:noWrap/>
            <w:vAlign w:val="center"/>
            <w:hideMark/>
          </w:tcPr>
          <w:p w14:paraId="1FFA614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1,788</w:t>
            </w:r>
          </w:p>
        </w:tc>
      </w:tr>
      <w:tr w:rsidR="00F303E0" w:rsidRPr="00EE5714" w14:paraId="68A4FF4B" w14:textId="77777777" w:rsidTr="00CE67A6">
        <w:trPr>
          <w:trHeight w:val="212"/>
          <w:jc w:val="center"/>
        </w:trPr>
        <w:tc>
          <w:tcPr>
            <w:tcW w:w="980" w:type="dxa"/>
            <w:tcBorders>
              <w:top w:val="single" w:sz="4" w:space="0" w:color="000000"/>
              <w:left w:val="single" w:sz="8" w:space="0" w:color="000000"/>
              <w:bottom w:val="single" w:sz="8" w:space="0" w:color="000000"/>
              <w:right w:val="single" w:sz="4" w:space="0" w:color="000000"/>
            </w:tcBorders>
            <w:shd w:val="clear" w:color="auto" w:fill="F2F2F2" w:themeFill="background1" w:themeFillShade="F2"/>
            <w:noWrap/>
            <w:vAlign w:val="center"/>
            <w:hideMark/>
          </w:tcPr>
          <w:p w14:paraId="5D86FDF8"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440" w:type="dxa"/>
            <w:tcBorders>
              <w:top w:val="nil"/>
              <w:left w:val="nil"/>
              <w:bottom w:val="single" w:sz="8" w:space="0" w:color="000000"/>
              <w:right w:val="single" w:sz="4" w:space="0" w:color="000000"/>
            </w:tcBorders>
            <w:shd w:val="clear" w:color="auto" w:fill="auto"/>
            <w:noWrap/>
            <w:vAlign w:val="center"/>
            <w:hideMark/>
          </w:tcPr>
          <w:p w14:paraId="1EC9F9F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387</w:t>
            </w:r>
          </w:p>
        </w:tc>
        <w:tc>
          <w:tcPr>
            <w:tcW w:w="1260" w:type="dxa"/>
            <w:tcBorders>
              <w:top w:val="nil"/>
              <w:left w:val="nil"/>
              <w:bottom w:val="single" w:sz="8" w:space="0" w:color="000000"/>
              <w:right w:val="single" w:sz="4" w:space="0" w:color="000000"/>
            </w:tcBorders>
            <w:shd w:val="clear" w:color="auto" w:fill="auto"/>
            <w:noWrap/>
            <w:vAlign w:val="center"/>
            <w:hideMark/>
          </w:tcPr>
          <w:p w14:paraId="458787F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1,887</w:t>
            </w:r>
          </w:p>
        </w:tc>
        <w:tc>
          <w:tcPr>
            <w:tcW w:w="1350" w:type="dxa"/>
            <w:tcBorders>
              <w:top w:val="nil"/>
              <w:left w:val="nil"/>
              <w:bottom w:val="single" w:sz="8" w:space="0" w:color="000000"/>
              <w:right w:val="single" w:sz="4" w:space="0" w:color="000000"/>
            </w:tcBorders>
            <w:shd w:val="clear" w:color="auto" w:fill="auto"/>
            <w:noWrap/>
            <w:vAlign w:val="center"/>
            <w:hideMark/>
          </w:tcPr>
          <w:p w14:paraId="7B79008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8,938</w:t>
            </w:r>
          </w:p>
        </w:tc>
        <w:tc>
          <w:tcPr>
            <w:tcW w:w="1440" w:type="dxa"/>
            <w:tcBorders>
              <w:top w:val="nil"/>
              <w:left w:val="nil"/>
              <w:bottom w:val="single" w:sz="8" w:space="0" w:color="000000"/>
              <w:right w:val="single" w:sz="4" w:space="0" w:color="000000"/>
            </w:tcBorders>
            <w:shd w:val="clear" w:color="auto" w:fill="auto"/>
            <w:noWrap/>
            <w:vAlign w:val="center"/>
            <w:hideMark/>
          </w:tcPr>
          <w:p w14:paraId="6C15178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1,593</w:t>
            </w:r>
          </w:p>
        </w:tc>
        <w:tc>
          <w:tcPr>
            <w:tcW w:w="1440" w:type="dxa"/>
            <w:tcBorders>
              <w:top w:val="nil"/>
              <w:left w:val="nil"/>
              <w:bottom w:val="single" w:sz="8" w:space="0" w:color="000000"/>
              <w:right w:val="single" w:sz="4" w:space="0" w:color="000000"/>
            </w:tcBorders>
            <w:shd w:val="clear" w:color="auto" w:fill="auto"/>
            <w:noWrap/>
            <w:vAlign w:val="center"/>
            <w:hideMark/>
          </w:tcPr>
          <w:p w14:paraId="0035492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888</w:t>
            </w:r>
          </w:p>
        </w:tc>
        <w:tc>
          <w:tcPr>
            <w:tcW w:w="1170" w:type="dxa"/>
            <w:tcBorders>
              <w:top w:val="nil"/>
              <w:left w:val="nil"/>
              <w:bottom w:val="single" w:sz="8" w:space="0" w:color="000000"/>
              <w:right w:val="single" w:sz="4" w:space="0" w:color="000000"/>
            </w:tcBorders>
            <w:shd w:val="clear" w:color="auto" w:fill="auto"/>
            <w:noWrap/>
            <w:vAlign w:val="center"/>
            <w:hideMark/>
          </w:tcPr>
          <w:p w14:paraId="17450BC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1,960</w:t>
            </w:r>
          </w:p>
        </w:tc>
        <w:tc>
          <w:tcPr>
            <w:tcW w:w="1360" w:type="dxa"/>
            <w:tcBorders>
              <w:top w:val="nil"/>
              <w:left w:val="nil"/>
              <w:bottom w:val="single" w:sz="8" w:space="0" w:color="000000"/>
              <w:right w:val="single" w:sz="8" w:space="0" w:color="000000"/>
            </w:tcBorders>
            <w:shd w:val="clear" w:color="auto" w:fill="auto"/>
            <w:noWrap/>
            <w:vAlign w:val="center"/>
            <w:hideMark/>
          </w:tcPr>
          <w:p w14:paraId="4EE2AA1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2,848</w:t>
            </w:r>
          </w:p>
        </w:tc>
      </w:tr>
    </w:tbl>
    <w:p w14:paraId="1CE2CDB8" w14:textId="77777777" w:rsidR="00F303E0" w:rsidRPr="00EE5714" w:rsidRDefault="00F303E0" w:rsidP="00F303E0">
      <w:pPr>
        <w:pStyle w:val="NoSpacing"/>
        <w:rPr>
          <w:rFonts w:cs="Times New Roman"/>
          <w:sz w:val="24"/>
          <w:szCs w:val="24"/>
        </w:rPr>
      </w:pPr>
      <w:r w:rsidRPr="00EE5714">
        <w:rPr>
          <w:rFonts w:cs="Times New Roman"/>
          <w:sz w:val="24"/>
          <w:szCs w:val="24"/>
        </w:rPr>
        <w:t xml:space="preserve">*Default Exits were split Heating/Non-Heating based on allocation of CAP Heating/Non-Heating accounts for this analysis.  </w:t>
      </w:r>
    </w:p>
    <w:p w14:paraId="43FACDC8" w14:textId="77777777" w:rsidR="00F303E0" w:rsidRPr="00EE5714" w:rsidRDefault="00F303E0" w:rsidP="00F303E0">
      <w:pPr>
        <w:pStyle w:val="NoSpacing"/>
        <w:rPr>
          <w:rFonts w:cs="Times New Roman"/>
          <w:sz w:val="24"/>
          <w:szCs w:val="24"/>
        </w:rPr>
      </w:pPr>
    </w:p>
    <w:p w14:paraId="07B54581" w14:textId="77777777" w:rsidR="00F303E0" w:rsidRPr="00EE5714" w:rsidRDefault="00F303E0" w:rsidP="00F303E0">
      <w:pPr>
        <w:pStyle w:val="NoSpacing"/>
        <w:rPr>
          <w:rFonts w:cs="Times New Roman"/>
          <w:szCs w:val="26"/>
        </w:rPr>
      </w:pPr>
    </w:p>
    <w:p w14:paraId="50382327" w14:textId="77777777" w:rsidR="00F303E0" w:rsidRPr="00EE5714" w:rsidRDefault="00F734A0" w:rsidP="00F303E0">
      <w:pPr>
        <w:pStyle w:val="NoSpacing"/>
        <w:keepNext/>
        <w:rPr>
          <w:rFonts w:cs="Times New Roman"/>
          <w:szCs w:val="26"/>
        </w:rPr>
      </w:pPr>
      <w:r w:rsidRPr="00EE5714">
        <w:rPr>
          <w:rFonts w:cs="Times New Roman"/>
          <w:szCs w:val="26"/>
        </w:rPr>
        <w:t>Appendix 6</w:t>
      </w:r>
      <w:r w:rsidR="00F303E0" w:rsidRPr="00EE5714">
        <w:rPr>
          <w:rFonts w:cs="Times New Roman"/>
          <w:szCs w:val="26"/>
        </w:rPr>
        <w:t xml:space="preserve">.B.6: </w:t>
      </w:r>
      <w:r w:rsidR="00F303E0" w:rsidRPr="00EE5714">
        <w:rPr>
          <w:rFonts w:eastAsia="Times New Roman" w:cs="Times New Roman"/>
          <w:b/>
          <w:bCs/>
          <w:color w:val="000000"/>
          <w:szCs w:val="26"/>
        </w:rPr>
        <w:t>Percent of EDC Heating Aggregate CAP Estimated* Default Exit Rates 0%-150% FPIG</w:t>
      </w:r>
    </w:p>
    <w:tbl>
      <w:tblPr>
        <w:tblW w:w="10520" w:type="dxa"/>
        <w:jc w:val="center"/>
        <w:tblLayout w:type="fixed"/>
        <w:tblLook w:val="04A0" w:firstRow="1" w:lastRow="0" w:firstColumn="1" w:lastColumn="0" w:noHBand="0" w:noVBand="1"/>
      </w:tblPr>
      <w:tblGrid>
        <w:gridCol w:w="1070"/>
        <w:gridCol w:w="1360"/>
        <w:gridCol w:w="1260"/>
        <w:gridCol w:w="1350"/>
        <w:gridCol w:w="1440"/>
        <w:gridCol w:w="1520"/>
        <w:gridCol w:w="1080"/>
        <w:gridCol w:w="1440"/>
      </w:tblGrid>
      <w:tr w:rsidR="00F303E0" w:rsidRPr="00EE5714" w14:paraId="4586DCDC" w14:textId="77777777" w:rsidTr="00CE67A6">
        <w:trPr>
          <w:trHeight w:val="109"/>
          <w:jc w:val="center"/>
        </w:trPr>
        <w:tc>
          <w:tcPr>
            <w:tcW w:w="10520" w:type="dxa"/>
            <w:gridSpan w:val="8"/>
            <w:tcBorders>
              <w:top w:val="single" w:sz="8" w:space="0" w:color="000000"/>
              <w:left w:val="single" w:sz="8" w:space="0" w:color="000000"/>
              <w:bottom w:val="single" w:sz="8" w:space="0" w:color="000000"/>
              <w:right w:val="single" w:sz="8" w:space="0" w:color="000000"/>
            </w:tcBorders>
            <w:shd w:val="clear" w:color="auto" w:fill="BFBFBF" w:themeFill="background1" w:themeFillShade="BF"/>
            <w:noWrap/>
            <w:vAlign w:val="center"/>
            <w:hideMark/>
          </w:tcPr>
          <w:p w14:paraId="14A97F57" w14:textId="77777777" w:rsidR="00F303E0" w:rsidRPr="00EE5714" w:rsidRDefault="00F303E0" w:rsidP="00851815">
            <w:pPr>
              <w:keepNext/>
              <w:jc w:val="center"/>
              <w:rPr>
                <w:rFonts w:ascii="Calibri" w:eastAsia="Times New Roman" w:hAnsi="Calibri" w:cs="Calibri"/>
                <w:b/>
                <w:bCs/>
                <w:color w:val="000000"/>
              </w:rPr>
            </w:pPr>
            <w:r w:rsidRPr="00EE5714">
              <w:rPr>
                <w:rFonts w:ascii="Calibri" w:eastAsia="Times New Roman" w:hAnsi="Calibri" w:cs="Calibri"/>
                <w:b/>
                <w:bCs/>
                <w:color w:val="000000"/>
              </w:rPr>
              <w:t xml:space="preserve">Percent of EDC Heating Aggregate CAP Estimated* Default Exit Rates 0%-150% FPIG </w:t>
            </w:r>
          </w:p>
        </w:tc>
      </w:tr>
      <w:tr w:rsidR="003E3BAC" w:rsidRPr="00EE5714" w14:paraId="0DC1DE7E" w14:textId="77777777" w:rsidTr="00CE67A6">
        <w:trPr>
          <w:trHeight w:val="212"/>
          <w:jc w:val="center"/>
        </w:trPr>
        <w:tc>
          <w:tcPr>
            <w:tcW w:w="1070" w:type="dxa"/>
            <w:tcBorders>
              <w:top w:val="nil"/>
              <w:left w:val="single" w:sz="8" w:space="0" w:color="000000"/>
              <w:bottom w:val="single" w:sz="4" w:space="0" w:color="000000"/>
              <w:right w:val="single" w:sz="4" w:space="0" w:color="000000"/>
            </w:tcBorders>
            <w:shd w:val="clear" w:color="auto" w:fill="auto"/>
            <w:noWrap/>
            <w:vAlign w:val="bottom"/>
            <w:hideMark/>
          </w:tcPr>
          <w:p w14:paraId="61D3BCDC" w14:textId="77777777" w:rsidR="00F303E0" w:rsidRPr="00EE5714" w:rsidRDefault="00F303E0" w:rsidP="00851815">
            <w:pPr>
              <w:keepNext/>
              <w:rPr>
                <w:rFonts w:ascii="Calibri" w:eastAsia="Times New Roman" w:hAnsi="Calibri" w:cs="Calibri"/>
                <w:b/>
                <w:bCs/>
                <w:color w:val="000000"/>
                <w:sz w:val="21"/>
                <w:szCs w:val="21"/>
              </w:rPr>
            </w:pPr>
          </w:p>
        </w:tc>
        <w:tc>
          <w:tcPr>
            <w:tcW w:w="1360" w:type="dxa"/>
            <w:tcBorders>
              <w:top w:val="nil"/>
              <w:left w:val="nil"/>
              <w:bottom w:val="single" w:sz="4" w:space="0" w:color="000000"/>
              <w:right w:val="single" w:sz="4" w:space="0" w:color="000000"/>
            </w:tcBorders>
            <w:shd w:val="clear" w:color="auto" w:fill="auto"/>
            <w:noWrap/>
            <w:vAlign w:val="center"/>
            <w:hideMark/>
          </w:tcPr>
          <w:p w14:paraId="13013511"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260" w:type="dxa"/>
            <w:tcBorders>
              <w:top w:val="nil"/>
              <w:left w:val="nil"/>
              <w:bottom w:val="single" w:sz="4" w:space="0" w:color="000000"/>
              <w:right w:val="single" w:sz="4" w:space="0" w:color="000000"/>
            </w:tcBorders>
            <w:shd w:val="clear" w:color="auto" w:fill="auto"/>
            <w:noWrap/>
            <w:vAlign w:val="center"/>
            <w:hideMark/>
          </w:tcPr>
          <w:p w14:paraId="305D8B4B"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350" w:type="dxa"/>
            <w:tcBorders>
              <w:top w:val="nil"/>
              <w:left w:val="nil"/>
              <w:bottom w:val="single" w:sz="4" w:space="0" w:color="000000"/>
              <w:right w:val="single" w:sz="4" w:space="0" w:color="000000"/>
            </w:tcBorders>
            <w:shd w:val="clear" w:color="auto" w:fill="auto"/>
            <w:noWrap/>
            <w:vAlign w:val="center"/>
            <w:hideMark/>
          </w:tcPr>
          <w:p w14:paraId="0FB585FB"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Electric</w:t>
            </w:r>
          </w:p>
        </w:tc>
        <w:tc>
          <w:tcPr>
            <w:tcW w:w="1440" w:type="dxa"/>
            <w:tcBorders>
              <w:top w:val="nil"/>
              <w:left w:val="nil"/>
              <w:bottom w:val="single" w:sz="4" w:space="0" w:color="000000"/>
              <w:right w:val="single" w:sz="4" w:space="0" w:color="000000"/>
            </w:tcBorders>
            <w:shd w:val="clear" w:color="auto" w:fill="auto"/>
            <w:noWrap/>
            <w:vAlign w:val="center"/>
            <w:hideMark/>
          </w:tcPr>
          <w:p w14:paraId="41E19778" w14:textId="77777777" w:rsidR="00F303E0" w:rsidRPr="00EE5714" w:rsidRDefault="00F303E0" w:rsidP="00851815">
            <w:pPr>
              <w:keepNext/>
              <w:jc w:val="center"/>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520" w:type="dxa"/>
            <w:tcBorders>
              <w:top w:val="nil"/>
              <w:left w:val="nil"/>
              <w:bottom w:val="single" w:sz="4" w:space="0" w:color="000000"/>
              <w:right w:val="single" w:sz="4" w:space="0" w:color="000000"/>
            </w:tcBorders>
            <w:shd w:val="clear" w:color="auto" w:fill="auto"/>
            <w:noWrap/>
            <w:vAlign w:val="center"/>
            <w:hideMark/>
          </w:tcPr>
          <w:p w14:paraId="067CB3A9"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080" w:type="dxa"/>
            <w:tcBorders>
              <w:top w:val="nil"/>
              <w:left w:val="nil"/>
              <w:bottom w:val="single" w:sz="4" w:space="0" w:color="000000"/>
              <w:right w:val="single" w:sz="4" w:space="0" w:color="000000"/>
            </w:tcBorders>
            <w:shd w:val="clear" w:color="auto" w:fill="auto"/>
            <w:noWrap/>
            <w:vAlign w:val="center"/>
            <w:hideMark/>
          </w:tcPr>
          <w:p w14:paraId="7904FE6F"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440" w:type="dxa"/>
            <w:tcBorders>
              <w:top w:val="nil"/>
              <w:left w:val="nil"/>
              <w:bottom w:val="single" w:sz="4" w:space="0" w:color="000000"/>
              <w:right w:val="single" w:sz="8" w:space="0" w:color="000000"/>
            </w:tcBorders>
            <w:shd w:val="clear" w:color="auto" w:fill="auto"/>
            <w:noWrap/>
            <w:vAlign w:val="center"/>
            <w:hideMark/>
          </w:tcPr>
          <w:p w14:paraId="4FA1D053"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r>
      <w:tr w:rsidR="003E3BAC" w:rsidRPr="00EE5714" w14:paraId="57BB22A1" w14:textId="77777777" w:rsidTr="00CE67A6">
        <w:trPr>
          <w:trHeight w:val="212"/>
          <w:jc w:val="center"/>
        </w:trPr>
        <w:tc>
          <w:tcPr>
            <w:tcW w:w="107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61812F2F"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1360" w:type="dxa"/>
            <w:tcBorders>
              <w:top w:val="nil"/>
              <w:left w:val="nil"/>
              <w:bottom w:val="single" w:sz="4" w:space="0" w:color="808080"/>
              <w:right w:val="single" w:sz="4" w:space="0" w:color="000000"/>
            </w:tcBorders>
            <w:shd w:val="clear" w:color="auto" w:fill="auto"/>
            <w:noWrap/>
            <w:vAlign w:val="center"/>
            <w:hideMark/>
          </w:tcPr>
          <w:p w14:paraId="33FC0CB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1.50%</w:t>
            </w:r>
          </w:p>
        </w:tc>
        <w:tc>
          <w:tcPr>
            <w:tcW w:w="1260" w:type="dxa"/>
            <w:tcBorders>
              <w:top w:val="nil"/>
              <w:left w:val="nil"/>
              <w:bottom w:val="single" w:sz="4" w:space="0" w:color="808080"/>
              <w:right w:val="single" w:sz="4" w:space="0" w:color="000000"/>
            </w:tcBorders>
            <w:shd w:val="clear" w:color="auto" w:fill="auto"/>
            <w:noWrap/>
            <w:vAlign w:val="center"/>
            <w:hideMark/>
          </w:tcPr>
          <w:p w14:paraId="6781B9B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1.65%</w:t>
            </w:r>
          </w:p>
        </w:tc>
        <w:tc>
          <w:tcPr>
            <w:tcW w:w="1350" w:type="dxa"/>
            <w:tcBorders>
              <w:top w:val="nil"/>
              <w:left w:val="nil"/>
              <w:bottom w:val="single" w:sz="4" w:space="0" w:color="808080"/>
              <w:right w:val="single" w:sz="4" w:space="0" w:color="000000"/>
            </w:tcBorders>
            <w:shd w:val="clear" w:color="auto" w:fill="auto"/>
            <w:noWrap/>
            <w:vAlign w:val="center"/>
            <w:hideMark/>
          </w:tcPr>
          <w:p w14:paraId="76BEF33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2.52%</w:t>
            </w:r>
          </w:p>
        </w:tc>
        <w:tc>
          <w:tcPr>
            <w:tcW w:w="1440" w:type="dxa"/>
            <w:tcBorders>
              <w:top w:val="nil"/>
              <w:left w:val="nil"/>
              <w:bottom w:val="single" w:sz="4" w:space="0" w:color="808080"/>
              <w:right w:val="single" w:sz="4" w:space="0" w:color="000000"/>
            </w:tcBorders>
            <w:shd w:val="clear" w:color="auto" w:fill="auto"/>
            <w:noWrap/>
            <w:vAlign w:val="center"/>
            <w:hideMark/>
          </w:tcPr>
          <w:p w14:paraId="1684FB8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3.10%</w:t>
            </w:r>
          </w:p>
        </w:tc>
        <w:tc>
          <w:tcPr>
            <w:tcW w:w="1520" w:type="dxa"/>
            <w:tcBorders>
              <w:top w:val="nil"/>
              <w:left w:val="nil"/>
              <w:bottom w:val="single" w:sz="4" w:space="0" w:color="808080"/>
              <w:right w:val="single" w:sz="4" w:space="0" w:color="000000"/>
            </w:tcBorders>
            <w:shd w:val="clear" w:color="auto" w:fill="auto"/>
            <w:noWrap/>
            <w:vAlign w:val="center"/>
            <w:hideMark/>
          </w:tcPr>
          <w:p w14:paraId="06B2BB7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8.45%</w:t>
            </w:r>
          </w:p>
        </w:tc>
        <w:tc>
          <w:tcPr>
            <w:tcW w:w="1080" w:type="dxa"/>
            <w:tcBorders>
              <w:top w:val="nil"/>
              <w:left w:val="nil"/>
              <w:bottom w:val="single" w:sz="4" w:space="0" w:color="808080"/>
              <w:right w:val="single" w:sz="4" w:space="0" w:color="000000"/>
            </w:tcBorders>
            <w:shd w:val="clear" w:color="auto" w:fill="auto"/>
            <w:noWrap/>
            <w:vAlign w:val="center"/>
            <w:hideMark/>
          </w:tcPr>
          <w:p w14:paraId="11CEB85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6.07%</w:t>
            </w:r>
          </w:p>
        </w:tc>
        <w:tc>
          <w:tcPr>
            <w:tcW w:w="1440" w:type="dxa"/>
            <w:tcBorders>
              <w:top w:val="nil"/>
              <w:left w:val="nil"/>
              <w:bottom w:val="single" w:sz="4" w:space="0" w:color="808080"/>
              <w:right w:val="single" w:sz="8" w:space="0" w:color="000000"/>
            </w:tcBorders>
            <w:shd w:val="clear" w:color="auto" w:fill="auto"/>
            <w:noWrap/>
            <w:vAlign w:val="center"/>
            <w:hideMark/>
          </w:tcPr>
          <w:p w14:paraId="4283DCD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4.17%</w:t>
            </w:r>
          </w:p>
        </w:tc>
      </w:tr>
      <w:tr w:rsidR="003E3BAC" w:rsidRPr="00EE5714" w14:paraId="24F11CC0" w14:textId="77777777" w:rsidTr="00CE67A6">
        <w:trPr>
          <w:trHeight w:val="212"/>
          <w:jc w:val="center"/>
        </w:trPr>
        <w:tc>
          <w:tcPr>
            <w:tcW w:w="107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412C591F"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360" w:type="dxa"/>
            <w:tcBorders>
              <w:top w:val="nil"/>
              <w:left w:val="nil"/>
              <w:bottom w:val="single" w:sz="4" w:space="0" w:color="808080"/>
              <w:right w:val="single" w:sz="4" w:space="0" w:color="000000"/>
            </w:tcBorders>
            <w:shd w:val="clear" w:color="auto" w:fill="auto"/>
            <w:noWrap/>
            <w:vAlign w:val="center"/>
            <w:hideMark/>
          </w:tcPr>
          <w:p w14:paraId="5D63E3E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1.00%</w:t>
            </w:r>
          </w:p>
        </w:tc>
        <w:tc>
          <w:tcPr>
            <w:tcW w:w="1260" w:type="dxa"/>
            <w:tcBorders>
              <w:top w:val="nil"/>
              <w:left w:val="nil"/>
              <w:bottom w:val="single" w:sz="4" w:space="0" w:color="808080"/>
              <w:right w:val="single" w:sz="4" w:space="0" w:color="000000"/>
            </w:tcBorders>
            <w:shd w:val="clear" w:color="auto" w:fill="auto"/>
            <w:noWrap/>
            <w:vAlign w:val="center"/>
            <w:hideMark/>
          </w:tcPr>
          <w:p w14:paraId="5C2B3FD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18.92%</w:t>
            </w:r>
          </w:p>
        </w:tc>
        <w:tc>
          <w:tcPr>
            <w:tcW w:w="1350" w:type="dxa"/>
            <w:tcBorders>
              <w:top w:val="nil"/>
              <w:left w:val="nil"/>
              <w:bottom w:val="single" w:sz="4" w:space="0" w:color="808080"/>
              <w:right w:val="single" w:sz="4" w:space="0" w:color="000000"/>
            </w:tcBorders>
            <w:shd w:val="clear" w:color="auto" w:fill="auto"/>
            <w:noWrap/>
            <w:vAlign w:val="center"/>
            <w:hideMark/>
          </w:tcPr>
          <w:p w14:paraId="023C8E3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5.15%</w:t>
            </w:r>
          </w:p>
        </w:tc>
        <w:tc>
          <w:tcPr>
            <w:tcW w:w="1440" w:type="dxa"/>
            <w:tcBorders>
              <w:top w:val="nil"/>
              <w:left w:val="nil"/>
              <w:bottom w:val="single" w:sz="4" w:space="0" w:color="808080"/>
              <w:right w:val="single" w:sz="4" w:space="0" w:color="000000"/>
            </w:tcBorders>
            <w:shd w:val="clear" w:color="auto" w:fill="auto"/>
            <w:noWrap/>
            <w:vAlign w:val="center"/>
            <w:hideMark/>
          </w:tcPr>
          <w:p w14:paraId="6828CAE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11.33%</w:t>
            </w:r>
          </w:p>
        </w:tc>
        <w:tc>
          <w:tcPr>
            <w:tcW w:w="1520" w:type="dxa"/>
            <w:tcBorders>
              <w:top w:val="nil"/>
              <w:left w:val="nil"/>
              <w:bottom w:val="single" w:sz="4" w:space="0" w:color="808080"/>
              <w:right w:val="single" w:sz="4" w:space="0" w:color="000000"/>
            </w:tcBorders>
            <w:shd w:val="clear" w:color="auto" w:fill="auto"/>
            <w:noWrap/>
            <w:vAlign w:val="center"/>
            <w:hideMark/>
          </w:tcPr>
          <w:p w14:paraId="7FFC70C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34.04%</w:t>
            </w:r>
          </w:p>
        </w:tc>
        <w:tc>
          <w:tcPr>
            <w:tcW w:w="1080" w:type="dxa"/>
            <w:tcBorders>
              <w:top w:val="nil"/>
              <w:left w:val="nil"/>
              <w:bottom w:val="single" w:sz="4" w:space="0" w:color="808080"/>
              <w:right w:val="single" w:sz="4" w:space="0" w:color="000000"/>
            </w:tcBorders>
            <w:shd w:val="clear" w:color="auto" w:fill="auto"/>
            <w:noWrap/>
            <w:vAlign w:val="center"/>
            <w:hideMark/>
          </w:tcPr>
          <w:p w14:paraId="127FA55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3.69%</w:t>
            </w:r>
          </w:p>
        </w:tc>
        <w:tc>
          <w:tcPr>
            <w:tcW w:w="1440" w:type="dxa"/>
            <w:tcBorders>
              <w:top w:val="nil"/>
              <w:left w:val="nil"/>
              <w:bottom w:val="single" w:sz="4" w:space="0" w:color="808080"/>
              <w:right w:val="single" w:sz="8" w:space="0" w:color="000000"/>
            </w:tcBorders>
            <w:shd w:val="clear" w:color="auto" w:fill="auto"/>
            <w:noWrap/>
            <w:vAlign w:val="center"/>
            <w:hideMark/>
          </w:tcPr>
          <w:p w14:paraId="45F6B7A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9.20%</w:t>
            </w:r>
          </w:p>
        </w:tc>
      </w:tr>
      <w:tr w:rsidR="003E3BAC" w:rsidRPr="00EE5714" w14:paraId="2F33213D" w14:textId="77777777" w:rsidTr="00CE67A6">
        <w:trPr>
          <w:trHeight w:val="212"/>
          <w:jc w:val="center"/>
        </w:trPr>
        <w:tc>
          <w:tcPr>
            <w:tcW w:w="107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50E8AE5E"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360" w:type="dxa"/>
            <w:tcBorders>
              <w:top w:val="nil"/>
              <w:left w:val="nil"/>
              <w:bottom w:val="single" w:sz="4" w:space="0" w:color="808080"/>
              <w:right w:val="single" w:sz="4" w:space="0" w:color="000000"/>
            </w:tcBorders>
            <w:shd w:val="clear" w:color="auto" w:fill="auto"/>
            <w:noWrap/>
            <w:vAlign w:val="center"/>
            <w:hideMark/>
          </w:tcPr>
          <w:p w14:paraId="097623F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1.23%</w:t>
            </w:r>
          </w:p>
        </w:tc>
        <w:tc>
          <w:tcPr>
            <w:tcW w:w="1260" w:type="dxa"/>
            <w:tcBorders>
              <w:top w:val="nil"/>
              <w:left w:val="nil"/>
              <w:bottom w:val="single" w:sz="4" w:space="0" w:color="808080"/>
              <w:right w:val="single" w:sz="4" w:space="0" w:color="000000"/>
            </w:tcBorders>
            <w:shd w:val="clear" w:color="auto" w:fill="auto"/>
            <w:noWrap/>
            <w:vAlign w:val="center"/>
            <w:hideMark/>
          </w:tcPr>
          <w:p w14:paraId="144E901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13.17%</w:t>
            </w:r>
          </w:p>
        </w:tc>
        <w:tc>
          <w:tcPr>
            <w:tcW w:w="1350" w:type="dxa"/>
            <w:tcBorders>
              <w:top w:val="nil"/>
              <w:left w:val="nil"/>
              <w:bottom w:val="single" w:sz="4" w:space="0" w:color="808080"/>
              <w:right w:val="single" w:sz="4" w:space="0" w:color="000000"/>
            </w:tcBorders>
            <w:shd w:val="clear" w:color="auto" w:fill="auto"/>
            <w:noWrap/>
            <w:vAlign w:val="center"/>
            <w:hideMark/>
          </w:tcPr>
          <w:p w14:paraId="24F9FE7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6.02%</w:t>
            </w:r>
          </w:p>
        </w:tc>
        <w:tc>
          <w:tcPr>
            <w:tcW w:w="1440" w:type="dxa"/>
            <w:tcBorders>
              <w:top w:val="nil"/>
              <w:left w:val="nil"/>
              <w:bottom w:val="single" w:sz="4" w:space="0" w:color="808080"/>
              <w:right w:val="single" w:sz="4" w:space="0" w:color="000000"/>
            </w:tcBorders>
            <w:shd w:val="clear" w:color="auto" w:fill="auto"/>
            <w:noWrap/>
            <w:vAlign w:val="center"/>
            <w:hideMark/>
          </w:tcPr>
          <w:p w14:paraId="25A42C1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7.35%</w:t>
            </w:r>
          </w:p>
        </w:tc>
        <w:tc>
          <w:tcPr>
            <w:tcW w:w="1520" w:type="dxa"/>
            <w:tcBorders>
              <w:top w:val="nil"/>
              <w:left w:val="nil"/>
              <w:bottom w:val="single" w:sz="4" w:space="0" w:color="808080"/>
              <w:right w:val="single" w:sz="4" w:space="0" w:color="000000"/>
            </w:tcBorders>
            <w:shd w:val="clear" w:color="auto" w:fill="auto"/>
            <w:noWrap/>
            <w:vAlign w:val="center"/>
            <w:hideMark/>
          </w:tcPr>
          <w:p w14:paraId="263B664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24.03%</w:t>
            </w:r>
          </w:p>
        </w:tc>
        <w:tc>
          <w:tcPr>
            <w:tcW w:w="1080" w:type="dxa"/>
            <w:tcBorders>
              <w:top w:val="nil"/>
              <w:left w:val="nil"/>
              <w:bottom w:val="single" w:sz="4" w:space="0" w:color="808080"/>
              <w:right w:val="single" w:sz="4" w:space="0" w:color="000000"/>
            </w:tcBorders>
            <w:shd w:val="clear" w:color="auto" w:fill="auto"/>
            <w:noWrap/>
            <w:vAlign w:val="center"/>
            <w:hideMark/>
          </w:tcPr>
          <w:p w14:paraId="4FCFDDC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3.08%</w:t>
            </w:r>
          </w:p>
        </w:tc>
        <w:tc>
          <w:tcPr>
            <w:tcW w:w="1440" w:type="dxa"/>
            <w:tcBorders>
              <w:top w:val="nil"/>
              <w:left w:val="nil"/>
              <w:bottom w:val="single" w:sz="4" w:space="0" w:color="808080"/>
              <w:right w:val="single" w:sz="8" w:space="0" w:color="000000"/>
            </w:tcBorders>
            <w:shd w:val="clear" w:color="auto" w:fill="auto"/>
            <w:noWrap/>
            <w:vAlign w:val="center"/>
            <w:hideMark/>
          </w:tcPr>
          <w:p w14:paraId="747B09C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7.12%</w:t>
            </w:r>
          </w:p>
        </w:tc>
      </w:tr>
      <w:tr w:rsidR="003E3BAC" w:rsidRPr="00EE5714" w14:paraId="46B6D129" w14:textId="77777777" w:rsidTr="00CE67A6">
        <w:trPr>
          <w:trHeight w:val="212"/>
          <w:jc w:val="center"/>
        </w:trPr>
        <w:tc>
          <w:tcPr>
            <w:tcW w:w="1070"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578EE412"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360" w:type="dxa"/>
            <w:tcBorders>
              <w:top w:val="nil"/>
              <w:left w:val="nil"/>
              <w:bottom w:val="single" w:sz="4" w:space="0" w:color="808080"/>
              <w:right w:val="single" w:sz="4" w:space="0" w:color="000000"/>
            </w:tcBorders>
            <w:shd w:val="clear" w:color="auto" w:fill="auto"/>
            <w:noWrap/>
            <w:vAlign w:val="center"/>
            <w:hideMark/>
          </w:tcPr>
          <w:p w14:paraId="1FD0683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1.49%</w:t>
            </w:r>
          </w:p>
        </w:tc>
        <w:tc>
          <w:tcPr>
            <w:tcW w:w="1260" w:type="dxa"/>
            <w:tcBorders>
              <w:top w:val="nil"/>
              <w:left w:val="nil"/>
              <w:bottom w:val="single" w:sz="4" w:space="0" w:color="808080"/>
              <w:right w:val="single" w:sz="4" w:space="0" w:color="000000"/>
            </w:tcBorders>
            <w:shd w:val="clear" w:color="auto" w:fill="auto"/>
            <w:noWrap/>
            <w:vAlign w:val="center"/>
            <w:hideMark/>
          </w:tcPr>
          <w:p w14:paraId="193C0D5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14.97%</w:t>
            </w:r>
          </w:p>
        </w:tc>
        <w:tc>
          <w:tcPr>
            <w:tcW w:w="1350" w:type="dxa"/>
            <w:tcBorders>
              <w:top w:val="nil"/>
              <w:left w:val="nil"/>
              <w:bottom w:val="single" w:sz="4" w:space="0" w:color="808080"/>
              <w:right w:val="single" w:sz="4" w:space="0" w:color="000000"/>
            </w:tcBorders>
            <w:shd w:val="clear" w:color="auto" w:fill="auto"/>
            <w:noWrap/>
            <w:vAlign w:val="center"/>
            <w:hideMark/>
          </w:tcPr>
          <w:p w14:paraId="2FD8448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7.12%</w:t>
            </w:r>
          </w:p>
        </w:tc>
        <w:tc>
          <w:tcPr>
            <w:tcW w:w="1440" w:type="dxa"/>
            <w:tcBorders>
              <w:top w:val="nil"/>
              <w:left w:val="nil"/>
              <w:bottom w:val="single" w:sz="4" w:space="0" w:color="808080"/>
              <w:right w:val="single" w:sz="4" w:space="0" w:color="000000"/>
            </w:tcBorders>
            <w:shd w:val="clear" w:color="auto" w:fill="auto"/>
            <w:noWrap/>
            <w:vAlign w:val="center"/>
            <w:hideMark/>
          </w:tcPr>
          <w:p w14:paraId="16CACAC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7.86%</w:t>
            </w:r>
          </w:p>
        </w:tc>
        <w:tc>
          <w:tcPr>
            <w:tcW w:w="1520" w:type="dxa"/>
            <w:tcBorders>
              <w:top w:val="nil"/>
              <w:left w:val="nil"/>
              <w:bottom w:val="single" w:sz="4" w:space="0" w:color="808080"/>
              <w:right w:val="single" w:sz="4" w:space="0" w:color="000000"/>
            </w:tcBorders>
            <w:shd w:val="clear" w:color="auto" w:fill="auto"/>
            <w:noWrap/>
            <w:vAlign w:val="center"/>
            <w:hideMark/>
          </w:tcPr>
          <w:p w14:paraId="7CD25AA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20.64%</w:t>
            </w:r>
          </w:p>
        </w:tc>
        <w:tc>
          <w:tcPr>
            <w:tcW w:w="1080" w:type="dxa"/>
            <w:tcBorders>
              <w:top w:val="nil"/>
              <w:left w:val="nil"/>
              <w:bottom w:val="single" w:sz="4" w:space="0" w:color="808080"/>
              <w:right w:val="single" w:sz="4" w:space="0" w:color="000000"/>
            </w:tcBorders>
            <w:shd w:val="clear" w:color="auto" w:fill="auto"/>
            <w:noWrap/>
            <w:vAlign w:val="center"/>
            <w:hideMark/>
          </w:tcPr>
          <w:p w14:paraId="2CEBDBF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4.32%</w:t>
            </w:r>
          </w:p>
        </w:tc>
        <w:tc>
          <w:tcPr>
            <w:tcW w:w="1440" w:type="dxa"/>
            <w:tcBorders>
              <w:top w:val="nil"/>
              <w:left w:val="nil"/>
              <w:bottom w:val="single" w:sz="4" w:space="0" w:color="808080"/>
              <w:right w:val="single" w:sz="8" w:space="0" w:color="000000"/>
            </w:tcBorders>
            <w:shd w:val="clear" w:color="auto" w:fill="auto"/>
            <w:noWrap/>
            <w:vAlign w:val="center"/>
            <w:hideMark/>
          </w:tcPr>
          <w:p w14:paraId="6F63120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7.75%</w:t>
            </w:r>
          </w:p>
        </w:tc>
      </w:tr>
      <w:tr w:rsidR="003E3BAC" w:rsidRPr="00EE5714" w14:paraId="0F836230" w14:textId="77777777" w:rsidTr="00CE67A6">
        <w:trPr>
          <w:trHeight w:val="212"/>
          <w:jc w:val="center"/>
        </w:trPr>
        <w:tc>
          <w:tcPr>
            <w:tcW w:w="1070" w:type="dxa"/>
            <w:tcBorders>
              <w:top w:val="single" w:sz="4" w:space="0" w:color="000000"/>
              <w:left w:val="single" w:sz="8" w:space="0" w:color="000000"/>
              <w:bottom w:val="single" w:sz="8" w:space="0" w:color="000000"/>
              <w:right w:val="single" w:sz="4" w:space="0" w:color="000000"/>
            </w:tcBorders>
            <w:shd w:val="clear" w:color="auto" w:fill="F2F2F2" w:themeFill="background1" w:themeFillShade="F2"/>
            <w:noWrap/>
            <w:vAlign w:val="center"/>
            <w:hideMark/>
          </w:tcPr>
          <w:p w14:paraId="6E82E43D"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360" w:type="dxa"/>
            <w:tcBorders>
              <w:top w:val="nil"/>
              <w:left w:val="nil"/>
              <w:bottom w:val="single" w:sz="8" w:space="0" w:color="000000"/>
              <w:right w:val="single" w:sz="4" w:space="0" w:color="000000"/>
            </w:tcBorders>
            <w:shd w:val="clear" w:color="auto" w:fill="auto"/>
            <w:noWrap/>
            <w:vAlign w:val="center"/>
            <w:hideMark/>
          </w:tcPr>
          <w:p w14:paraId="2E7AE9E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1.00%</w:t>
            </w:r>
          </w:p>
        </w:tc>
        <w:tc>
          <w:tcPr>
            <w:tcW w:w="1260" w:type="dxa"/>
            <w:tcBorders>
              <w:top w:val="nil"/>
              <w:left w:val="nil"/>
              <w:bottom w:val="single" w:sz="8" w:space="0" w:color="000000"/>
              <w:right w:val="single" w:sz="4" w:space="0" w:color="000000"/>
            </w:tcBorders>
            <w:shd w:val="clear" w:color="auto" w:fill="auto"/>
            <w:noWrap/>
            <w:vAlign w:val="center"/>
            <w:hideMark/>
          </w:tcPr>
          <w:p w14:paraId="3C6C129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12.79%</w:t>
            </w:r>
          </w:p>
        </w:tc>
        <w:tc>
          <w:tcPr>
            <w:tcW w:w="1350" w:type="dxa"/>
            <w:tcBorders>
              <w:top w:val="nil"/>
              <w:left w:val="nil"/>
              <w:bottom w:val="single" w:sz="8" w:space="0" w:color="000000"/>
              <w:right w:val="single" w:sz="4" w:space="0" w:color="000000"/>
            </w:tcBorders>
            <w:shd w:val="clear" w:color="auto" w:fill="auto"/>
            <w:noWrap/>
            <w:vAlign w:val="center"/>
            <w:hideMark/>
          </w:tcPr>
          <w:p w14:paraId="191121B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6.53%</w:t>
            </w:r>
          </w:p>
        </w:tc>
        <w:tc>
          <w:tcPr>
            <w:tcW w:w="1440" w:type="dxa"/>
            <w:tcBorders>
              <w:top w:val="nil"/>
              <w:left w:val="nil"/>
              <w:bottom w:val="single" w:sz="8" w:space="0" w:color="000000"/>
              <w:right w:val="single" w:sz="4" w:space="0" w:color="000000"/>
            </w:tcBorders>
            <w:shd w:val="clear" w:color="auto" w:fill="auto"/>
            <w:noWrap/>
            <w:vAlign w:val="center"/>
            <w:hideMark/>
          </w:tcPr>
          <w:p w14:paraId="41481A1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7.48%</w:t>
            </w:r>
          </w:p>
        </w:tc>
        <w:tc>
          <w:tcPr>
            <w:tcW w:w="1520" w:type="dxa"/>
            <w:tcBorders>
              <w:top w:val="nil"/>
              <w:left w:val="nil"/>
              <w:bottom w:val="single" w:sz="8" w:space="0" w:color="000000"/>
              <w:right w:val="single" w:sz="4" w:space="0" w:color="000000"/>
            </w:tcBorders>
            <w:shd w:val="clear" w:color="auto" w:fill="auto"/>
            <w:noWrap/>
            <w:vAlign w:val="center"/>
            <w:hideMark/>
          </w:tcPr>
          <w:p w14:paraId="061CBFD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19.33%</w:t>
            </w:r>
          </w:p>
        </w:tc>
        <w:tc>
          <w:tcPr>
            <w:tcW w:w="1080" w:type="dxa"/>
            <w:tcBorders>
              <w:top w:val="nil"/>
              <w:left w:val="nil"/>
              <w:bottom w:val="single" w:sz="8" w:space="0" w:color="000000"/>
              <w:right w:val="single" w:sz="4" w:space="0" w:color="000000"/>
            </w:tcBorders>
            <w:shd w:val="clear" w:color="auto" w:fill="auto"/>
            <w:noWrap/>
            <w:vAlign w:val="center"/>
            <w:hideMark/>
          </w:tcPr>
          <w:p w14:paraId="17F76CE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3.63%</w:t>
            </w:r>
          </w:p>
        </w:tc>
        <w:tc>
          <w:tcPr>
            <w:tcW w:w="1440" w:type="dxa"/>
            <w:tcBorders>
              <w:top w:val="nil"/>
              <w:left w:val="nil"/>
              <w:bottom w:val="single" w:sz="8" w:space="0" w:color="000000"/>
              <w:right w:val="single" w:sz="8" w:space="0" w:color="000000"/>
            </w:tcBorders>
            <w:shd w:val="clear" w:color="auto" w:fill="auto"/>
            <w:noWrap/>
            <w:vAlign w:val="center"/>
            <w:hideMark/>
          </w:tcPr>
          <w:p w14:paraId="0A19815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11.92%</w:t>
            </w:r>
          </w:p>
        </w:tc>
      </w:tr>
    </w:tbl>
    <w:p w14:paraId="3E5A89C7" w14:textId="77777777" w:rsidR="00F303E0" w:rsidRPr="00EE5714" w:rsidRDefault="00F303E0" w:rsidP="00F303E0">
      <w:pPr>
        <w:pStyle w:val="NoSpacing"/>
        <w:rPr>
          <w:rFonts w:cs="Times New Roman"/>
          <w:sz w:val="24"/>
          <w:szCs w:val="24"/>
        </w:rPr>
      </w:pPr>
      <w:r w:rsidRPr="00EE5714">
        <w:rPr>
          <w:rFonts w:cs="Times New Roman"/>
          <w:sz w:val="24"/>
          <w:szCs w:val="24"/>
        </w:rPr>
        <w:t xml:space="preserve">*Default Exits were split Heating/Non-Heating based on allocation of CAP Heating/Non-Heating accounts for this analysis.  </w:t>
      </w:r>
    </w:p>
    <w:p w14:paraId="326475EE" w14:textId="77777777" w:rsidR="00F303E0" w:rsidRPr="00EE5714" w:rsidRDefault="00F303E0" w:rsidP="00F303E0">
      <w:pPr>
        <w:pStyle w:val="NoSpacing"/>
        <w:rPr>
          <w:rFonts w:cs="Times New Roman"/>
          <w:sz w:val="24"/>
          <w:szCs w:val="24"/>
        </w:rPr>
      </w:pPr>
    </w:p>
    <w:p w14:paraId="530CEEBF" w14:textId="77777777" w:rsidR="00F303E0" w:rsidRPr="00EE5714" w:rsidRDefault="00F303E0" w:rsidP="00F303E0">
      <w:pPr>
        <w:pStyle w:val="NoSpacing"/>
        <w:rPr>
          <w:rFonts w:cs="Times New Roman"/>
          <w:szCs w:val="26"/>
        </w:rPr>
      </w:pPr>
    </w:p>
    <w:p w14:paraId="322FF393" w14:textId="77777777" w:rsidR="00F303E0" w:rsidRPr="00EE5714" w:rsidRDefault="00F303E0" w:rsidP="00F303E0">
      <w:pPr>
        <w:pStyle w:val="NoSpacing"/>
        <w:rPr>
          <w:rFonts w:cs="Times New Roman"/>
          <w:szCs w:val="26"/>
        </w:rPr>
      </w:pPr>
      <w:bookmarkStart w:id="75" w:name="_Hlk526405933"/>
      <w:r w:rsidRPr="00EE5714">
        <w:rPr>
          <w:rFonts w:eastAsia="Times New Roman" w:cs="Times New Roman"/>
          <w:szCs w:val="26"/>
        </w:rPr>
        <w:t>The number and percentage of EDCs CAP electric heating terminations and termination rates for the period from 2012 through 2016</w:t>
      </w:r>
    </w:p>
    <w:bookmarkEnd w:id="75"/>
    <w:p w14:paraId="74A00E3D" w14:textId="77777777" w:rsidR="00F303E0" w:rsidRPr="00EE5714" w:rsidRDefault="00F303E0" w:rsidP="00F303E0">
      <w:pPr>
        <w:pStyle w:val="NoSpacing"/>
        <w:rPr>
          <w:rFonts w:cs="Times New Roman"/>
          <w:szCs w:val="26"/>
        </w:rPr>
      </w:pPr>
    </w:p>
    <w:p w14:paraId="3B4F3112" w14:textId="77777777" w:rsidR="00F303E0" w:rsidRPr="00EE5714" w:rsidRDefault="00F734A0" w:rsidP="00F303E0">
      <w:pPr>
        <w:pStyle w:val="NoSpacing"/>
        <w:keepNext/>
        <w:keepLines/>
        <w:rPr>
          <w:rFonts w:cs="Times New Roman"/>
          <w:szCs w:val="26"/>
        </w:rPr>
      </w:pPr>
      <w:r w:rsidRPr="00EE5714">
        <w:rPr>
          <w:rFonts w:cs="Times New Roman"/>
          <w:szCs w:val="26"/>
        </w:rPr>
        <w:lastRenderedPageBreak/>
        <w:t>Appendix 6</w:t>
      </w:r>
      <w:r w:rsidR="00F303E0" w:rsidRPr="00EE5714">
        <w:rPr>
          <w:rFonts w:cs="Times New Roman"/>
          <w:szCs w:val="26"/>
        </w:rPr>
        <w:t xml:space="preserve">.B.7: </w:t>
      </w:r>
      <w:r w:rsidR="00F303E0" w:rsidRPr="00EE5714">
        <w:rPr>
          <w:rFonts w:eastAsia="Times New Roman" w:cs="Times New Roman"/>
          <w:b/>
          <w:bCs/>
          <w:color w:val="000000"/>
          <w:szCs w:val="26"/>
        </w:rPr>
        <w:t>EDC Heating Aggregate CAP Terminations 0%-150% FPIG</w:t>
      </w:r>
    </w:p>
    <w:tbl>
      <w:tblPr>
        <w:tblW w:w="10520" w:type="dxa"/>
        <w:jc w:val="center"/>
        <w:tblLayout w:type="fixed"/>
        <w:tblLook w:val="04A0" w:firstRow="1" w:lastRow="0" w:firstColumn="1" w:lastColumn="0" w:noHBand="0" w:noVBand="1"/>
      </w:tblPr>
      <w:tblGrid>
        <w:gridCol w:w="1070"/>
        <w:gridCol w:w="1350"/>
        <w:gridCol w:w="1260"/>
        <w:gridCol w:w="1350"/>
        <w:gridCol w:w="1440"/>
        <w:gridCol w:w="1530"/>
        <w:gridCol w:w="1080"/>
        <w:gridCol w:w="1440"/>
      </w:tblGrid>
      <w:tr w:rsidR="00F303E0" w:rsidRPr="00EE5714" w14:paraId="576A9E52" w14:textId="77777777" w:rsidTr="00CE67A6">
        <w:trPr>
          <w:trHeight w:val="115"/>
          <w:jc w:val="center"/>
        </w:trPr>
        <w:tc>
          <w:tcPr>
            <w:tcW w:w="1052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noWrap/>
            <w:vAlign w:val="center"/>
            <w:hideMark/>
          </w:tcPr>
          <w:p w14:paraId="681A6391" w14:textId="77777777" w:rsidR="00F303E0" w:rsidRPr="00EE5714" w:rsidRDefault="00F303E0" w:rsidP="00851815">
            <w:pPr>
              <w:keepNext/>
              <w:keepLines/>
              <w:ind w:right="-89"/>
              <w:jc w:val="center"/>
              <w:rPr>
                <w:rFonts w:ascii="Calibri" w:eastAsia="Times New Roman" w:hAnsi="Calibri" w:cs="Calibri"/>
                <w:b/>
                <w:bCs/>
                <w:color w:val="000000"/>
              </w:rPr>
            </w:pPr>
            <w:r w:rsidRPr="00EE5714">
              <w:rPr>
                <w:rFonts w:ascii="Calibri" w:eastAsia="Times New Roman" w:hAnsi="Calibri" w:cs="Calibri"/>
                <w:b/>
                <w:bCs/>
                <w:color w:val="000000"/>
              </w:rPr>
              <w:t xml:space="preserve">EDC Heating Aggregate CAP Terminations 0%-150% FPIG </w:t>
            </w:r>
          </w:p>
        </w:tc>
      </w:tr>
      <w:tr w:rsidR="00F303E0" w:rsidRPr="00EE5714" w14:paraId="1D2732C5" w14:textId="77777777" w:rsidTr="00CE67A6">
        <w:trPr>
          <w:trHeight w:val="216"/>
          <w:jc w:val="center"/>
        </w:trPr>
        <w:tc>
          <w:tcPr>
            <w:tcW w:w="1070" w:type="dxa"/>
            <w:tcBorders>
              <w:top w:val="nil"/>
              <w:left w:val="single" w:sz="8" w:space="0" w:color="000000" w:themeColor="text1"/>
              <w:bottom w:val="single" w:sz="4" w:space="0" w:color="000000" w:themeColor="text1"/>
              <w:right w:val="single" w:sz="4" w:space="0" w:color="000000" w:themeColor="text1"/>
            </w:tcBorders>
            <w:shd w:val="clear" w:color="auto" w:fill="auto"/>
            <w:noWrap/>
            <w:vAlign w:val="bottom"/>
            <w:hideMark/>
          </w:tcPr>
          <w:p w14:paraId="3048982A" w14:textId="77777777" w:rsidR="00F303E0" w:rsidRPr="00EE5714" w:rsidRDefault="00F303E0" w:rsidP="00851815">
            <w:pPr>
              <w:keepNext/>
              <w:keepLines/>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350" w:type="dxa"/>
            <w:tcBorders>
              <w:top w:val="nil"/>
              <w:left w:val="nil"/>
              <w:bottom w:val="single" w:sz="4" w:space="0" w:color="000000" w:themeColor="text1"/>
              <w:right w:val="single" w:sz="4" w:space="0" w:color="000000" w:themeColor="text1"/>
            </w:tcBorders>
            <w:shd w:val="clear" w:color="auto" w:fill="auto"/>
            <w:noWrap/>
            <w:vAlign w:val="center"/>
            <w:hideMark/>
          </w:tcPr>
          <w:p w14:paraId="6C025E12"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260" w:type="dxa"/>
            <w:tcBorders>
              <w:top w:val="nil"/>
              <w:left w:val="nil"/>
              <w:bottom w:val="single" w:sz="4" w:space="0" w:color="000000" w:themeColor="text1"/>
              <w:right w:val="single" w:sz="4" w:space="0" w:color="000000" w:themeColor="text1"/>
            </w:tcBorders>
            <w:shd w:val="clear" w:color="auto" w:fill="auto"/>
            <w:noWrap/>
            <w:vAlign w:val="center"/>
            <w:hideMark/>
          </w:tcPr>
          <w:p w14:paraId="31DFB813"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350" w:type="dxa"/>
            <w:tcBorders>
              <w:top w:val="nil"/>
              <w:left w:val="nil"/>
              <w:bottom w:val="single" w:sz="4" w:space="0" w:color="000000" w:themeColor="text1"/>
              <w:right w:val="single" w:sz="4" w:space="0" w:color="000000" w:themeColor="text1"/>
            </w:tcBorders>
            <w:shd w:val="clear" w:color="auto" w:fill="auto"/>
            <w:noWrap/>
            <w:vAlign w:val="center"/>
            <w:hideMark/>
          </w:tcPr>
          <w:p w14:paraId="6EA57B27"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Electric</w:t>
            </w:r>
          </w:p>
        </w:tc>
        <w:tc>
          <w:tcPr>
            <w:tcW w:w="1440" w:type="dxa"/>
            <w:tcBorders>
              <w:top w:val="nil"/>
              <w:left w:val="nil"/>
              <w:bottom w:val="single" w:sz="4" w:space="0" w:color="000000" w:themeColor="text1"/>
              <w:right w:val="single" w:sz="4" w:space="0" w:color="000000" w:themeColor="text1"/>
            </w:tcBorders>
            <w:shd w:val="clear" w:color="auto" w:fill="auto"/>
            <w:noWrap/>
            <w:vAlign w:val="center"/>
            <w:hideMark/>
          </w:tcPr>
          <w:p w14:paraId="5D728798" w14:textId="77777777" w:rsidR="00F303E0" w:rsidRPr="00EE5714" w:rsidRDefault="00F303E0" w:rsidP="00851815">
            <w:pPr>
              <w:keepNext/>
              <w:keepLines/>
              <w:jc w:val="center"/>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530" w:type="dxa"/>
            <w:tcBorders>
              <w:top w:val="nil"/>
              <w:left w:val="nil"/>
              <w:bottom w:val="single" w:sz="4" w:space="0" w:color="000000" w:themeColor="text1"/>
              <w:right w:val="single" w:sz="4" w:space="0" w:color="000000" w:themeColor="text1"/>
            </w:tcBorders>
            <w:shd w:val="clear" w:color="auto" w:fill="auto"/>
            <w:noWrap/>
            <w:vAlign w:val="center"/>
            <w:hideMark/>
          </w:tcPr>
          <w:p w14:paraId="0DC8B8F3"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080" w:type="dxa"/>
            <w:tcBorders>
              <w:top w:val="nil"/>
              <w:left w:val="nil"/>
              <w:bottom w:val="single" w:sz="4" w:space="0" w:color="000000" w:themeColor="text1"/>
              <w:right w:val="single" w:sz="4" w:space="0" w:color="000000" w:themeColor="text1"/>
            </w:tcBorders>
            <w:shd w:val="clear" w:color="auto" w:fill="auto"/>
            <w:noWrap/>
            <w:vAlign w:val="center"/>
            <w:hideMark/>
          </w:tcPr>
          <w:p w14:paraId="686BF6E0"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440" w:type="dxa"/>
            <w:tcBorders>
              <w:top w:val="nil"/>
              <w:left w:val="nil"/>
              <w:bottom w:val="single" w:sz="4" w:space="0" w:color="000000" w:themeColor="text1"/>
              <w:right w:val="single" w:sz="8" w:space="0" w:color="000000" w:themeColor="text1"/>
            </w:tcBorders>
            <w:shd w:val="clear" w:color="auto" w:fill="auto"/>
            <w:noWrap/>
            <w:vAlign w:val="center"/>
            <w:hideMark/>
          </w:tcPr>
          <w:p w14:paraId="10EADCD9"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r>
      <w:tr w:rsidR="00F303E0" w:rsidRPr="00EE5714" w14:paraId="6EB3D2A7" w14:textId="77777777" w:rsidTr="00CE67A6">
        <w:trPr>
          <w:trHeight w:val="216"/>
          <w:jc w:val="center"/>
        </w:trPr>
        <w:tc>
          <w:tcPr>
            <w:tcW w:w="1070" w:type="dxa"/>
            <w:tcBorders>
              <w:top w:val="nil"/>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03D3836A"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135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646536CC"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494</w:t>
            </w:r>
          </w:p>
        </w:tc>
        <w:tc>
          <w:tcPr>
            <w:tcW w:w="126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19F4204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 </w:t>
            </w:r>
          </w:p>
        </w:tc>
        <w:tc>
          <w:tcPr>
            <w:tcW w:w="135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45871A6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w:t>
            </w:r>
          </w:p>
        </w:tc>
        <w:tc>
          <w:tcPr>
            <w:tcW w:w="144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6B0D0715"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N/A</w:t>
            </w:r>
          </w:p>
        </w:tc>
        <w:tc>
          <w:tcPr>
            <w:tcW w:w="153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6DD5A1C5"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 </w:t>
            </w:r>
          </w:p>
        </w:tc>
        <w:tc>
          <w:tcPr>
            <w:tcW w:w="108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37ABE73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790</w:t>
            </w:r>
          </w:p>
        </w:tc>
        <w:tc>
          <w:tcPr>
            <w:tcW w:w="1440" w:type="dxa"/>
            <w:tcBorders>
              <w:top w:val="nil"/>
              <w:left w:val="nil"/>
              <w:bottom w:val="single" w:sz="4" w:space="0" w:color="808080" w:themeColor="text1" w:themeTint="7F"/>
              <w:right w:val="single" w:sz="8" w:space="0" w:color="000000" w:themeColor="text1"/>
            </w:tcBorders>
            <w:shd w:val="clear" w:color="auto" w:fill="auto"/>
            <w:noWrap/>
            <w:vAlign w:val="center"/>
            <w:hideMark/>
          </w:tcPr>
          <w:p w14:paraId="58D140E7"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 </w:t>
            </w:r>
          </w:p>
        </w:tc>
      </w:tr>
      <w:tr w:rsidR="00F303E0" w:rsidRPr="00EE5714" w14:paraId="6E1BA9FF" w14:textId="77777777" w:rsidTr="00CE67A6">
        <w:trPr>
          <w:trHeight w:val="216"/>
          <w:jc w:val="center"/>
        </w:trPr>
        <w:tc>
          <w:tcPr>
            <w:tcW w:w="1070" w:type="dxa"/>
            <w:tcBorders>
              <w:top w:val="nil"/>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03A550B9"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35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78168D0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604</w:t>
            </w:r>
          </w:p>
        </w:tc>
        <w:tc>
          <w:tcPr>
            <w:tcW w:w="126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142CBB0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N/A</w:t>
            </w:r>
          </w:p>
        </w:tc>
        <w:tc>
          <w:tcPr>
            <w:tcW w:w="135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1310D17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209</w:t>
            </w:r>
          </w:p>
        </w:tc>
        <w:tc>
          <w:tcPr>
            <w:tcW w:w="144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073FAF3A"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N/A</w:t>
            </w:r>
          </w:p>
        </w:tc>
        <w:tc>
          <w:tcPr>
            <w:tcW w:w="153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3131E903"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 N/A</w:t>
            </w:r>
          </w:p>
        </w:tc>
        <w:tc>
          <w:tcPr>
            <w:tcW w:w="108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62C4E09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1,358</w:t>
            </w:r>
          </w:p>
        </w:tc>
        <w:tc>
          <w:tcPr>
            <w:tcW w:w="1440" w:type="dxa"/>
            <w:tcBorders>
              <w:top w:val="nil"/>
              <w:left w:val="nil"/>
              <w:bottom w:val="single" w:sz="4" w:space="0" w:color="808080" w:themeColor="text1" w:themeTint="7F"/>
              <w:right w:val="single" w:sz="8" w:space="0" w:color="000000" w:themeColor="text1"/>
            </w:tcBorders>
            <w:shd w:val="clear" w:color="auto" w:fill="auto"/>
            <w:noWrap/>
            <w:vAlign w:val="center"/>
            <w:hideMark/>
          </w:tcPr>
          <w:p w14:paraId="35EA070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 </w:t>
            </w:r>
          </w:p>
        </w:tc>
      </w:tr>
      <w:tr w:rsidR="00F303E0" w:rsidRPr="00EE5714" w14:paraId="2605F8C1" w14:textId="77777777" w:rsidTr="00CE67A6">
        <w:trPr>
          <w:trHeight w:val="216"/>
          <w:jc w:val="center"/>
        </w:trPr>
        <w:tc>
          <w:tcPr>
            <w:tcW w:w="1070" w:type="dxa"/>
            <w:tcBorders>
              <w:top w:val="nil"/>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36558669"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35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0A123DD8"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488</w:t>
            </w:r>
          </w:p>
        </w:tc>
        <w:tc>
          <w:tcPr>
            <w:tcW w:w="126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78DB36D2"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733</w:t>
            </w:r>
          </w:p>
        </w:tc>
        <w:tc>
          <w:tcPr>
            <w:tcW w:w="135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0CD30EB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423</w:t>
            </w:r>
          </w:p>
        </w:tc>
        <w:tc>
          <w:tcPr>
            <w:tcW w:w="144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17E7BEF9"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400</w:t>
            </w:r>
          </w:p>
        </w:tc>
        <w:tc>
          <w:tcPr>
            <w:tcW w:w="153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3096170C"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w:t>
            </w:r>
          </w:p>
        </w:tc>
        <w:tc>
          <w:tcPr>
            <w:tcW w:w="108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08FEF0D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1,683</w:t>
            </w:r>
          </w:p>
        </w:tc>
        <w:tc>
          <w:tcPr>
            <w:tcW w:w="1440" w:type="dxa"/>
            <w:tcBorders>
              <w:top w:val="nil"/>
              <w:left w:val="nil"/>
              <w:bottom w:val="single" w:sz="4" w:space="0" w:color="808080" w:themeColor="text1" w:themeTint="7F"/>
              <w:right w:val="single" w:sz="8" w:space="0" w:color="000000" w:themeColor="text1"/>
            </w:tcBorders>
            <w:shd w:val="clear" w:color="auto" w:fill="auto"/>
            <w:noWrap/>
            <w:vAlign w:val="center"/>
            <w:hideMark/>
          </w:tcPr>
          <w:p w14:paraId="376B2F65"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577</w:t>
            </w:r>
          </w:p>
        </w:tc>
      </w:tr>
      <w:tr w:rsidR="00F303E0" w:rsidRPr="00EE5714" w14:paraId="5C21D98E" w14:textId="77777777" w:rsidTr="00CE67A6">
        <w:trPr>
          <w:trHeight w:val="216"/>
          <w:jc w:val="center"/>
        </w:trPr>
        <w:tc>
          <w:tcPr>
            <w:tcW w:w="1070" w:type="dxa"/>
            <w:tcBorders>
              <w:top w:val="nil"/>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4E24CD65" w14:textId="77777777" w:rsidR="00F303E0" w:rsidRPr="00EE5714" w:rsidRDefault="00F303E0" w:rsidP="00851815">
            <w:pPr>
              <w:keepNext/>
              <w:keepLines/>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35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74E867E4"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w:t>
            </w:r>
          </w:p>
        </w:tc>
        <w:tc>
          <w:tcPr>
            <w:tcW w:w="126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12E68B9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674</w:t>
            </w:r>
          </w:p>
        </w:tc>
        <w:tc>
          <w:tcPr>
            <w:tcW w:w="135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3186F48E"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390</w:t>
            </w:r>
          </w:p>
        </w:tc>
        <w:tc>
          <w:tcPr>
            <w:tcW w:w="144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2160C25B"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390</w:t>
            </w:r>
          </w:p>
        </w:tc>
        <w:tc>
          <w:tcPr>
            <w:tcW w:w="153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180CDD93"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88</w:t>
            </w:r>
          </w:p>
        </w:tc>
        <w:tc>
          <w:tcPr>
            <w:tcW w:w="108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409D12F0"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1,395</w:t>
            </w:r>
          </w:p>
        </w:tc>
        <w:tc>
          <w:tcPr>
            <w:tcW w:w="1440" w:type="dxa"/>
            <w:tcBorders>
              <w:top w:val="nil"/>
              <w:left w:val="nil"/>
              <w:bottom w:val="single" w:sz="4" w:space="0" w:color="808080" w:themeColor="text1" w:themeTint="7F"/>
              <w:right w:val="single" w:sz="8" w:space="0" w:color="000000" w:themeColor="text1"/>
            </w:tcBorders>
            <w:shd w:val="clear" w:color="auto" w:fill="auto"/>
            <w:noWrap/>
            <w:vAlign w:val="center"/>
            <w:hideMark/>
          </w:tcPr>
          <w:p w14:paraId="64EC666A" w14:textId="77777777" w:rsidR="00F303E0" w:rsidRPr="00EE5714" w:rsidRDefault="00F303E0" w:rsidP="00851815">
            <w:pPr>
              <w:keepNext/>
              <w:keepLines/>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614</w:t>
            </w:r>
          </w:p>
        </w:tc>
      </w:tr>
      <w:tr w:rsidR="00F303E0" w:rsidRPr="00EE5714" w14:paraId="07F61C34" w14:textId="77777777" w:rsidTr="00CE67A6">
        <w:trPr>
          <w:trHeight w:val="216"/>
          <w:jc w:val="center"/>
        </w:trPr>
        <w:tc>
          <w:tcPr>
            <w:tcW w:w="1070" w:type="dxa"/>
            <w:tcBorders>
              <w:top w:val="nil"/>
              <w:left w:val="single" w:sz="8" w:space="0" w:color="000000" w:themeColor="text1"/>
              <w:bottom w:val="single" w:sz="8" w:space="0" w:color="000000" w:themeColor="text1"/>
              <w:right w:val="single" w:sz="4" w:space="0" w:color="000000" w:themeColor="text1"/>
            </w:tcBorders>
            <w:shd w:val="clear" w:color="auto" w:fill="F2F2F2" w:themeFill="background1" w:themeFillShade="F2"/>
            <w:noWrap/>
            <w:vAlign w:val="center"/>
            <w:hideMark/>
          </w:tcPr>
          <w:p w14:paraId="19A40FC1"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350" w:type="dxa"/>
            <w:tcBorders>
              <w:top w:val="nil"/>
              <w:left w:val="nil"/>
              <w:bottom w:val="single" w:sz="8" w:space="0" w:color="000000" w:themeColor="text1"/>
              <w:right w:val="single" w:sz="4" w:space="0" w:color="000000" w:themeColor="text1"/>
            </w:tcBorders>
            <w:shd w:val="clear" w:color="auto" w:fill="auto"/>
            <w:noWrap/>
            <w:vAlign w:val="center"/>
            <w:hideMark/>
          </w:tcPr>
          <w:p w14:paraId="45FD198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1260" w:type="dxa"/>
            <w:tcBorders>
              <w:top w:val="nil"/>
              <w:left w:val="nil"/>
              <w:bottom w:val="single" w:sz="8" w:space="0" w:color="000000" w:themeColor="text1"/>
              <w:right w:val="single" w:sz="4" w:space="0" w:color="000000" w:themeColor="text1"/>
            </w:tcBorders>
            <w:shd w:val="clear" w:color="auto" w:fill="auto"/>
            <w:noWrap/>
            <w:vAlign w:val="center"/>
            <w:hideMark/>
          </w:tcPr>
          <w:p w14:paraId="19CA508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636</w:t>
            </w:r>
          </w:p>
        </w:tc>
        <w:tc>
          <w:tcPr>
            <w:tcW w:w="1350" w:type="dxa"/>
            <w:tcBorders>
              <w:top w:val="nil"/>
              <w:left w:val="nil"/>
              <w:bottom w:val="single" w:sz="8" w:space="0" w:color="000000" w:themeColor="text1"/>
              <w:right w:val="single" w:sz="4" w:space="0" w:color="000000" w:themeColor="text1"/>
            </w:tcBorders>
            <w:shd w:val="clear" w:color="auto" w:fill="auto"/>
            <w:noWrap/>
            <w:vAlign w:val="center"/>
            <w:hideMark/>
          </w:tcPr>
          <w:p w14:paraId="017F1845"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339</w:t>
            </w:r>
          </w:p>
        </w:tc>
        <w:tc>
          <w:tcPr>
            <w:tcW w:w="1440" w:type="dxa"/>
            <w:tcBorders>
              <w:top w:val="nil"/>
              <w:left w:val="nil"/>
              <w:bottom w:val="single" w:sz="8" w:space="0" w:color="000000" w:themeColor="text1"/>
              <w:right w:val="single" w:sz="4" w:space="0" w:color="000000" w:themeColor="text1"/>
            </w:tcBorders>
            <w:shd w:val="clear" w:color="auto" w:fill="auto"/>
            <w:noWrap/>
            <w:vAlign w:val="center"/>
            <w:hideMark/>
          </w:tcPr>
          <w:p w14:paraId="03D2B36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353</w:t>
            </w:r>
          </w:p>
        </w:tc>
        <w:tc>
          <w:tcPr>
            <w:tcW w:w="1530" w:type="dxa"/>
            <w:tcBorders>
              <w:top w:val="nil"/>
              <w:left w:val="nil"/>
              <w:bottom w:val="single" w:sz="8" w:space="0" w:color="000000" w:themeColor="text1"/>
              <w:right w:val="single" w:sz="4" w:space="0" w:color="000000" w:themeColor="text1"/>
            </w:tcBorders>
            <w:shd w:val="clear" w:color="auto" w:fill="auto"/>
            <w:noWrap/>
            <w:vAlign w:val="center"/>
            <w:hideMark/>
          </w:tcPr>
          <w:p w14:paraId="45397A4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83</w:t>
            </w:r>
          </w:p>
        </w:tc>
        <w:tc>
          <w:tcPr>
            <w:tcW w:w="1080" w:type="dxa"/>
            <w:tcBorders>
              <w:top w:val="nil"/>
              <w:left w:val="nil"/>
              <w:bottom w:val="single" w:sz="8" w:space="0" w:color="000000" w:themeColor="text1"/>
              <w:right w:val="single" w:sz="4" w:space="0" w:color="000000" w:themeColor="text1"/>
            </w:tcBorders>
            <w:shd w:val="clear" w:color="auto" w:fill="auto"/>
            <w:noWrap/>
            <w:vAlign w:val="center"/>
            <w:hideMark/>
          </w:tcPr>
          <w:p w14:paraId="4915689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1,227</w:t>
            </w:r>
          </w:p>
        </w:tc>
        <w:tc>
          <w:tcPr>
            <w:tcW w:w="1440" w:type="dxa"/>
            <w:tcBorders>
              <w:top w:val="nil"/>
              <w:left w:val="nil"/>
              <w:bottom w:val="single" w:sz="8" w:space="0" w:color="000000" w:themeColor="text1"/>
              <w:right w:val="single" w:sz="8" w:space="0" w:color="000000" w:themeColor="text1"/>
            </w:tcBorders>
            <w:shd w:val="clear" w:color="auto" w:fill="auto"/>
            <w:noWrap/>
            <w:vAlign w:val="center"/>
            <w:hideMark/>
          </w:tcPr>
          <w:p w14:paraId="555A658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590</w:t>
            </w:r>
          </w:p>
        </w:tc>
      </w:tr>
    </w:tbl>
    <w:p w14:paraId="07A4ABCB" w14:textId="77777777" w:rsidR="00F303E0" w:rsidRPr="00EE5714" w:rsidRDefault="00F303E0" w:rsidP="00F303E0">
      <w:pPr>
        <w:pStyle w:val="NoSpacing"/>
        <w:rPr>
          <w:rFonts w:cs="Times New Roman"/>
          <w:szCs w:val="26"/>
        </w:rPr>
      </w:pPr>
    </w:p>
    <w:p w14:paraId="535F475D" w14:textId="77777777" w:rsidR="00F303E0" w:rsidRPr="00EE5714" w:rsidRDefault="00F303E0" w:rsidP="00F303E0">
      <w:pPr>
        <w:pStyle w:val="NoSpacing"/>
        <w:rPr>
          <w:rFonts w:cs="Times New Roman"/>
          <w:szCs w:val="26"/>
        </w:rPr>
      </w:pPr>
    </w:p>
    <w:p w14:paraId="0941929B" w14:textId="77777777" w:rsidR="00F303E0" w:rsidRPr="00EE5714" w:rsidRDefault="00F734A0" w:rsidP="00F303E0">
      <w:pPr>
        <w:pStyle w:val="NoSpacing"/>
        <w:keepNext/>
        <w:rPr>
          <w:rFonts w:cs="Times New Roman"/>
          <w:szCs w:val="26"/>
        </w:rPr>
      </w:pPr>
      <w:r w:rsidRPr="00EE5714">
        <w:rPr>
          <w:rFonts w:cs="Times New Roman"/>
          <w:szCs w:val="26"/>
        </w:rPr>
        <w:t>Appendix 6</w:t>
      </w:r>
      <w:r w:rsidR="00F303E0" w:rsidRPr="00EE5714">
        <w:rPr>
          <w:rFonts w:cs="Times New Roman"/>
          <w:szCs w:val="26"/>
        </w:rPr>
        <w:t xml:space="preserve">.B.8: </w:t>
      </w:r>
      <w:r w:rsidR="00F303E0" w:rsidRPr="00EE5714">
        <w:rPr>
          <w:rFonts w:eastAsia="Times New Roman" w:cs="Times New Roman"/>
          <w:b/>
          <w:bCs/>
          <w:color w:val="000000"/>
          <w:szCs w:val="26"/>
        </w:rPr>
        <w:t>Percent of EDC Heating Aggregate CAP Termination Rates 0%-150% FPIG</w:t>
      </w:r>
    </w:p>
    <w:tbl>
      <w:tblPr>
        <w:tblW w:w="10620" w:type="dxa"/>
        <w:tblInd w:w="-640" w:type="dxa"/>
        <w:tblLayout w:type="fixed"/>
        <w:tblLook w:val="04A0" w:firstRow="1" w:lastRow="0" w:firstColumn="1" w:lastColumn="0" w:noHBand="0" w:noVBand="1"/>
      </w:tblPr>
      <w:tblGrid>
        <w:gridCol w:w="1170"/>
        <w:gridCol w:w="1260"/>
        <w:gridCol w:w="1260"/>
        <w:gridCol w:w="1350"/>
        <w:gridCol w:w="1440"/>
        <w:gridCol w:w="1530"/>
        <w:gridCol w:w="1170"/>
        <w:gridCol w:w="1440"/>
      </w:tblGrid>
      <w:tr w:rsidR="00F303E0" w:rsidRPr="00EE5714" w14:paraId="66FF3373" w14:textId="77777777" w:rsidTr="00CE67A6">
        <w:trPr>
          <w:trHeight w:val="115"/>
        </w:trPr>
        <w:tc>
          <w:tcPr>
            <w:tcW w:w="1062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noWrap/>
            <w:vAlign w:val="center"/>
            <w:hideMark/>
          </w:tcPr>
          <w:p w14:paraId="33A1F34A" w14:textId="77777777" w:rsidR="00F303E0" w:rsidRPr="00EE5714" w:rsidRDefault="00F303E0" w:rsidP="00851815">
            <w:pPr>
              <w:keepNext/>
              <w:ind w:right="-104"/>
              <w:jc w:val="center"/>
              <w:rPr>
                <w:rFonts w:ascii="Calibri" w:eastAsia="Times New Roman" w:hAnsi="Calibri" w:cs="Calibri"/>
                <w:b/>
                <w:bCs/>
                <w:color w:val="000000"/>
              </w:rPr>
            </w:pPr>
            <w:r w:rsidRPr="00EE5714">
              <w:rPr>
                <w:rFonts w:ascii="Calibri" w:eastAsia="Times New Roman" w:hAnsi="Calibri" w:cs="Calibri"/>
                <w:b/>
                <w:bCs/>
                <w:color w:val="000000"/>
              </w:rPr>
              <w:t xml:space="preserve">Percent of EDC Heating Aggregate CAP Termination Rates 0%-150% FPIG </w:t>
            </w:r>
          </w:p>
        </w:tc>
      </w:tr>
      <w:tr w:rsidR="00F303E0" w:rsidRPr="00EE5714" w14:paraId="6694DAE8" w14:textId="77777777" w:rsidTr="00CE67A6">
        <w:trPr>
          <w:trHeight w:val="216"/>
        </w:trPr>
        <w:tc>
          <w:tcPr>
            <w:tcW w:w="1170" w:type="dxa"/>
            <w:tcBorders>
              <w:top w:val="nil"/>
              <w:left w:val="single" w:sz="8" w:space="0" w:color="000000" w:themeColor="text1"/>
              <w:bottom w:val="single" w:sz="4" w:space="0" w:color="000000" w:themeColor="text1"/>
              <w:right w:val="single" w:sz="4" w:space="0" w:color="000000" w:themeColor="text1"/>
            </w:tcBorders>
            <w:shd w:val="clear" w:color="auto" w:fill="auto"/>
            <w:noWrap/>
            <w:vAlign w:val="bottom"/>
            <w:hideMark/>
          </w:tcPr>
          <w:p w14:paraId="6765AD40" w14:textId="77777777" w:rsidR="00F303E0" w:rsidRPr="00EE5714" w:rsidRDefault="00F303E0" w:rsidP="00851815">
            <w:pPr>
              <w:keepNext/>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260" w:type="dxa"/>
            <w:tcBorders>
              <w:top w:val="nil"/>
              <w:left w:val="nil"/>
              <w:bottom w:val="single" w:sz="4" w:space="0" w:color="000000" w:themeColor="text1"/>
              <w:right w:val="single" w:sz="4" w:space="0" w:color="000000" w:themeColor="text1"/>
            </w:tcBorders>
            <w:shd w:val="clear" w:color="auto" w:fill="auto"/>
            <w:noWrap/>
            <w:vAlign w:val="center"/>
            <w:hideMark/>
          </w:tcPr>
          <w:p w14:paraId="42B44E5C"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Duquesne</w:t>
            </w:r>
          </w:p>
        </w:tc>
        <w:tc>
          <w:tcPr>
            <w:tcW w:w="1260" w:type="dxa"/>
            <w:tcBorders>
              <w:top w:val="nil"/>
              <w:left w:val="nil"/>
              <w:bottom w:val="single" w:sz="4" w:space="0" w:color="000000" w:themeColor="text1"/>
              <w:right w:val="single" w:sz="4" w:space="0" w:color="000000" w:themeColor="text1"/>
            </w:tcBorders>
            <w:shd w:val="clear" w:color="auto" w:fill="auto"/>
            <w:noWrap/>
            <w:vAlign w:val="center"/>
            <w:hideMark/>
          </w:tcPr>
          <w:p w14:paraId="1A2EFEA9"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Met-Ed</w:t>
            </w:r>
          </w:p>
        </w:tc>
        <w:tc>
          <w:tcPr>
            <w:tcW w:w="1350" w:type="dxa"/>
            <w:tcBorders>
              <w:top w:val="nil"/>
              <w:left w:val="nil"/>
              <w:bottom w:val="single" w:sz="4" w:space="0" w:color="000000" w:themeColor="text1"/>
              <w:right w:val="single" w:sz="4" w:space="0" w:color="000000" w:themeColor="text1"/>
            </w:tcBorders>
            <w:shd w:val="clear" w:color="auto" w:fill="auto"/>
            <w:noWrap/>
            <w:vAlign w:val="center"/>
            <w:hideMark/>
          </w:tcPr>
          <w:p w14:paraId="17EC47B4"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PECO Electric</w:t>
            </w:r>
          </w:p>
        </w:tc>
        <w:tc>
          <w:tcPr>
            <w:tcW w:w="1440" w:type="dxa"/>
            <w:tcBorders>
              <w:top w:val="nil"/>
              <w:left w:val="nil"/>
              <w:bottom w:val="single" w:sz="4" w:space="0" w:color="000000" w:themeColor="text1"/>
              <w:right w:val="single" w:sz="4" w:space="0" w:color="000000" w:themeColor="text1"/>
            </w:tcBorders>
            <w:shd w:val="clear" w:color="auto" w:fill="auto"/>
            <w:noWrap/>
            <w:vAlign w:val="center"/>
            <w:hideMark/>
          </w:tcPr>
          <w:p w14:paraId="5E87819B" w14:textId="77777777" w:rsidR="00F303E0" w:rsidRPr="00EE5714" w:rsidRDefault="00F303E0" w:rsidP="00851815">
            <w:pPr>
              <w:keepNext/>
              <w:jc w:val="center"/>
              <w:rPr>
                <w:rFonts w:ascii="Calibri" w:eastAsia="Times New Roman" w:hAnsi="Calibri" w:cs="Calibri"/>
                <w:b/>
                <w:bCs/>
                <w:color w:val="000000"/>
                <w:sz w:val="21"/>
                <w:szCs w:val="21"/>
              </w:rPr>
            </w:pPr>
            <w:proofErr w:type="spellStart"/>
            <w:r w:rsidRPr="00EE5714">
              <w:rPr>
                <w:rFonts w:ascii="Calibri" w:eastAsia="Times New Roman" w:hAnsi="Calibri" w:cs="Calibri"/>
                <w:b/>
                <w:bCs/>
                <w:color w:val="000000"/>
                <w:sz w:val="21"/>
                <w:szCs w:val="21"/>
              </w:rPr>
              <w:t>Penelec</w:t>
            </w:r>
            <w:proofErr w:type="spellEnd"/>
          </w:p>
        </w:tc>
        <w:tc>
          <w:tcPr>
            <w:tcW w:w="1530" w:type="dxa"/>
            <w:tcBorders>
              <w:top w:val="nil"/>
              <w:left w:val="nil"/>
              <w:bottom w:val="single" w:sz="4" w:space="0" w:color="000000" w:themeColor="text1"/>
              <w:right w:val="single" w:sz="4" w:space="0" w:color="000000" w:themeColor="text1"/>
            </w:tcBorders>
            <w:shd w:val="clear" w:color="auto" w:fill="auto"/>
            <w:noWrap/>
            <w:vAlign w:val="center"/>
            <w:hideMark/>
          </w:tcPr>
          <w:p w14:paraId="0F840083"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Penn Power</w:t>
            </w:r>
          </w:p>
        </w:tc>
        <w:tc>
          <w:tcPr>
            <w:tcW w:w="1170" w:type="dxa"/>
            <w:tcBorders>
              <w:top w:val="nil"/>
              <w:left w:val="nil"/>
              <w:bottom w:val="single" w:sz="4" w:space="0" w:color="000000" w:themeColor="text1"/>
              <w:right w:val="single" w:sz="4" w:space="0" w:color="000000" w:themeColor="text1"/>
            </w:tcBorders>
            <w:shd w:val="clear" w:color="auto" w:fill="auto"/>
            <w:noWrap/>
            <w:vAlign w:val="center"/>
            <w:hideMark/>
          </w:tcPr>
          <w:p w14:paraId="561455F7"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PPL</w:t>
            </w:r>
          </w:p>
        </w:tc>
        <w:tc>
          <w:tcPr>
            <w:tcW w:w="1440" w:type="dxa"/>
            <w:tcBorders>
              <w:top w:val="nil"/>
              <w:left w:val="nil"/>
              <w:bottom w:val="single" w:sz="4" w:space="0" w:color="000000" w:themeColor="text1"/>
              <w:right w:val="single" w:sz="8" w:space="0" w:color="000000" w:themeColor="text1"/>
            </w:tcBorders>
            <w:shd w:val="clear" w:color="auto" w:fill="auto"/>
            <w:noWrap/>
            <w:vAlign w:val="center"/>
            <w:hideMark/>
          </w:tcPr>
          <w:p w14:paraId="6532BD4B"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West Penn</w:t>
            </w:r>
          </w:p>
        </w:tc>
      </w:tr>
      <w:tr w:rsidR="00F303E0" w:rsidRPr="00EE5714" w14:paraId="6EB3F8C5" w14:textId="77777777" w:rsidTr="00CE67A6">
        <w:trPr>
          <w:trHeight w:val="216"/>
        </w:trPr>
        <w:tc>
          <w:tcPr>
            <w:tcW w:w="1170" w:type="dxa"/>
            <w:tcBorders>
              <w:top w:val="nil"/>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779EEF5D"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126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2751B10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1.37%</w:t>
            </w:r>
          </w:p>
        </w:tc>
        <w:tc>
          <w:tcPr>
            <w:tcW w:w="1260" w:type="dxa"/>
            <w:tcBorders>
              <w:top w:val="nil"/>
              <w:left w:val="nil"/>
              <w:bottom w:val="single" w:sz="4" w:space="0" w:color="808080" w:themeColor="text1" w:themeTint="7F"/>
              <w:right w:val="single" w:sz="4" w:space="0" w:color="000000" w:themeColor="text1"/>
            </w:tcBorders>
            <w:shd w:val="clear" w:color="auto" w:fill="auto"/>
            <w:noWrap/>
            <w:vAlign w:val="center"/>
          </w:tcPr>
          <w:p w14:paraId="040054B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35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1BBE08A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0.09%</w:t>
            </w:r>
          </w:p>
        </w:tc>
        <w:tc>
          <w:tcPr>
            <w:tcW w:w="144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645DEBC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53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022AB1E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17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3AF7630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2.29%</w:t>
            </w:r>
          </w:p>
        </w:tc>
        <w:tc>
          <w:tcPr>
            <w:tcW w:w="1440" w:type="dxa"/>
            <w:tcBorders>
              <w:top w:val="nil"/>
              <w:left w:val="nil"/>
              <w:bottom w:val="single" w:sz="4" w:space="0" w:color="808080" w:themeColor="text1" w:themeTint="7F"/>
              <w:right w:val="single" w:sz="8" w:space="0" w:color="000000" w:themeColor="text1"/>
            </w:tcBorders>
            <w:shd w:val="clear" w:color="auto" w:fill="auto"/>
            <w:noWrap/>
            <w:vAlign w:val="center"/>
            <w:hideMark/>
          </w:tcPr>
          <w:p w14:paraId="3F9FC0C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r>
      <w:tr w:rsidR="00F303E0" w:rsidRPr="00EE5714" w14:paraId="4A8BF65D" w14:textId="77777777" w:rsidTr="00CE67A6">
        <w:trPr>
          <w:trHeight w:val="216"/>
        </w:trPr>
        <w:tc>
          <w:tcPr>
            <w:tcW w:w="1170" w:type="dxa"/>
            <w:tcBorders>
              <w:top w:val="nil"/>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095B9348"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126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192DF26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1.65%</w:t>
            </w:r>
          </w:p>
        </w:tc>
        <w:tc>
          <w:tcPr>
            <w:tcW w:w="1260" w:type="dxa"/>
            <w:tcBorders>
              <w:top w:val="nil"/>
              <w:left w:val="nil"/>
              <w:bottom w:val="single" w:sz="4" w:space="0" w:color="808080" w:themeColor="text1" w:themeTint="7F"/>
              <w:right w:val="single" w:sz="4" w:space="0" w:color="000000" w:themeColor="text1"/>
            </w:tcBorders>
            <w:shd w:val="clear" w:color="auto" w:fill="auto"/>
            <w:noWrap/>
            <w:vAlign w:val="center"/>
          </w:tcPr>
          <w:p w14:paraId="12B9D4B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35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7E22C5F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0.15%</w:t>
            </w:r>
          </w:p>
        </w:tc>
        <w:tc>
          <w:tcPr>
            <w:tcW w:w="144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1710E81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53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7EA3F0D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c>
          <w:tcPr>
            <w:tcW w:w="117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725BADC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3.86%</w:t>
            </w:r>
          </w:p>
        </w:tc>
        <w:tc>
          <w:tcPr>
            <w:tcW w:w="1440" w:type="dxa"/>
            <w:tcBorders>
              <w:top w:val="nil"/>
              <w:left w:val="nil"/>
              <w:bottom w:val="single" w:sz="4" w:space="0" w:color="808080" w:themeColor="text1" w:themeTint="7F"/>
              <w:right w:val="single" w:sz="8" w:space="0" w:color="000000" w:themeColor="text1"/>
            </w:tcBorders>
            <w:shd w:val="clear" w:color="auto" w:fill="auto"/>
            <w:noWrap/>
            <w:vAlign w:val="center"/>
            <w:hideMark/>
          </w:tcPr>
          <w:p w14:paraId="422618A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N/A</w:t>
            </w:r>
          </w:p>
        </w:tc>
      </w:tr>
      <w:tr w:rsidR="00F303E0" w:rsidRPr="00EE5714" w14:paraId="4D804785" w14:textId="77777777" w:rsidTr="00CE67A6">
        <w:trPr>
          <w:trHeight w:val="216"/>
        </w:trPr>
        <w:tc>
          <w:tcPr>
            <w:tcW w:w="1170" w:type="dxa"/>
            <w:tcBorders>
              <w:top w:val="nil"/>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76771CC2"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126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5297298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1.38%</w:t>
            </w:r>
          </w:p>
        </w:tc>
        <w:tc>
          <w:tcPr>
            <w:tcW w:w="126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0C21CF6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4.28%</w:t>
            </w:r>
          </w:p>
        </w:tc>
        <w:tc>
          <w:tcPr>
            <w:tcW w:w="135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081F743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0.30%</w:t>
            </w:r>
          </w:p>
        </w:tc>
        <w:tc>
          <w:tcPr>
            <w:tcW w:w="144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39B975B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1.71%</w:t>
            </w:r>
          </w:p>
        </w:tc>
        <w:tc>
          <w:tcPr>
            <w:tcW w:w="153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1AE58EE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1.63%</w:t>
            </w:r>
          </w:p>
        </w:tc>
        <w:tc>
          <w:tcPr>
            <w:tcW w:w="117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73A7E7D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4.39%</w:t>
            </w:r>
          </w:p>
        </w:tc>
        <w:tc>
          <w:tcPr>
            <w:tcW w:w="1440" w:type="dxa"/>
            <w:tcBorders>
              <w:top w:val="nil"/>
              <w:left w:val="nil"/>
              <w:bottom w:val="single" w:sz="4" w:space="0" w:color="808080" w:themeColor="text1" w:themeTint="7F"/>
              <w:right w:val="single" w:sz="8" w:space="0" w:color="000000" w:themeColor="text1"/>
            </w:tcBorders>
            <w:shd w:val="clear" w:color="auto" w:fill="auto"/>
            <w:noWrap/>
            <w:vAlign w:val="center"/>
            <w:hideMark/>
          </w:tcPr>
          <w:p w14:paraId="0B761E9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2.64%</w:t>
            </w:r>
          </w:p>
        </w:tc>
      </w:tr>
      <w:tr w:rsidR="00F303E0" w:rsidRPr="00EE5714" w14:paraId="04797C43" w14:textId="77777777" w:rsidTr="00CE67A6">
        <w:trPr>
          <w:trHeight w:val="216"/>
        </w:trPr>
        <w:tc>
          <w:tcPr>
            <w:tcW w:w="1170" w:type="dxa"/>
            <w:tcBorders>
              <w:top w:val="nil"/>
              <w:left w:val="single" w:sz="8"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4D4489CA" w14:textId="77777777" w:rsidR="00F303E0" w:rsidRPr="00EE5714" w:rsidRDefault="00F303E0" w:rsidP="00851815">
            <w:pPr>
              <w:keepNext/>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126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5966E75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0.13%</w:t>
            </w:r>
          </w:p>
        </w:tc>
        <w:tc>
          <w:tcPr>
            <w:tcW w:w="126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5BC6EAF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4.31%</w:t>
            </w:r>
          </w:p>
        </w:tc>
        <w:tc>
          <w:tcPr>
            <w:tcW w:w="135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7930320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0.28%</w:t>
            </w:r>
          </w:p>
        </w:tc>
        <w:tc>
          <w:tcPr>
            <w:tcW w:w="144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48FC613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1.78%</w:t>
            </w:r>
          </w:p>
        </w:tc>
        <w:tc>
          <w:tcPr>
            <w:tcW w:w="153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152AE5E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1.88%</w:t>
            </w:r>
          </w:p>
        </w:tc>
        <w:tc>
          <w:tcPr>
            <w:tcW w:w="1170" w:type="dxa"/>
            <w:tcBorders>
              <w:top w:val="nil"/>
              <w:left w:val="nil"/>
              <w:bottom w:val="single" w:sz="4" w:space="0" w:color="808080" w:themeColor="text1" w:themeTint="7F"/>
              <w:right w:val="single" w:sz="4" w:space="0" w:color="000000" w:themeColor="text1"/>
            </w:tcBorders>
            <w:shd w:val="clear" w:color="auto" w:fill="auto"/>
            <w:noWrap/>
            <w:vAlign w:val="center"/>
            <w:hideMark/>
          </w:tcPr>
          <w:p w14:paraId="29C1D39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3.05%</w:t>
            </w:r>
          </w:p>
        </w:tc>
        <w:tc>
          <w:tcPr>
            <w:tcW w:w="1440" w:type="dxa"/>
            <w:tcBorders>
              <w:top w:val="nil"/>
              <w:left w:val="nil"/>
              <w:bottom w:val="single" w:sz="4" w:space="0" w:color="808080" w:themeColor="text1" w:themeTint="7F"/>
              <w:right w:val="single" w:sz="8" w:space="0" w:color="000000" w:themeColor="text1"/>
            </w:tcBorders>
            <w:shd w:val="clear" w:color="auto" w:fill="auto"/>
            <w:noWrap/>
            <w:vAlign w:val="center"/>
            <w:hideMark/>
          </w:tcPr>
          <w:p w14:paraId="0BDEFC1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2.66%</w:t>
            </w:r>
          </w:p>
        </w:tc>
      </w:tr>
      <w:tr w:rsidR="00F303E0" w:rsidRPr="00EE5714" w14:paraId="692389C2" w14:textId="77777777" w:rsidTr="00CE67A6">
        <w:trPr>
          <w:trHeight w:val="216"/>
        </w:trPr>
        <w:tc>
          <w:tcPr>
            <w:tcW w:w="1170" w:type="dxa"/>
            <w:tcBorders>
              <w:top w:val="nil"/>
              <w:left w:val="single" w:sz="8" w:space="0" w:color="000000" w:themeColor="text1"/>
              <w:bottom w:val="single" w:sz="8" w:space="0" w:color="000000" w:themeColor="text1"/>
              <w:right w:val="single" w:sz="4" w:space="0" w:color="000000" w:themeColor="text1"/>
            </w:tcBorders>
            <w:shd w:val="clear" w:color="auto" w:fill="F2F2F2" w:themeFill="background1" w:themeFillShade="F2"/>
            <w:noWrap/>
            <w:vAlign w:val="center"/>
            <w:hideMark/>
          </w:tcPr>
          <w:p w14:paraId="43A0C685" w14:textId="77777777" w:rsidR="00F303E0" w:rsidRPr="00EE5714" w:rsidRDefault="00F303E0" w:rsidP="00851815">
            <w:pPr>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1260" w:type="dxa"/>
            <w:tcBorders>
              <w:top w:val="nil"/>
              <w:left w:val="nil"/>
              <w:bottom w:val="single" w:sz="8" w:space="0" w:color="000000" w:themeColor="text1"/>
              <w:right w:val="single" w:sz="4" w:space="0" w:color="000000" w:themeColor="text1"/>
            </w:tcBorders>
            <w:shd w:val="clear" w:color="auto" w:fill="auto"/>
            <w:noWrap/>
            <w:vAlign w:val="center"/>
            <w:hideMark/>
          </w:tcPr>
          <w:p w14:paraId="09ECAE4B"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260" w:type="dxa"/>
            <w:tcBorders>
              <w:top w:val="nil"/>
              <w:left w:val="nil"/>
              <w:bottom w:val="single" w:sz="8" w:space="0" w:color="000000" w:themeColor="text1"/>
              <w:right w:val="single" w:sz="4" w:space="0" w:color="000000" w:themeColor="text1"/>
            </w:tcBorders>
            <w:shd w:val="clear" w:color="auto" w:fill="auto"/>
            <w:noWrap/>
            <w:vAlign w:val="center"/>
            <w:hideMark/>
          </w:tcPr>
          <w:p w14:paraId="57E71BC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4.31%</w:t>
            </w:r>
          </w:p>
        </w:tc>
        <w:tc>
          <w:tcPr>
            <w:tcW w:w="1350" w:type="dxa"/>
            <w:tcBorders>
              <w:top w:val="nil"/>
              <w:left w:val="nil"/>
              <w:bottom w:val="single" w:sz="8" w:space="0" w:color="000000" w:themeColor="text1"/>
              <w:right w:val="single" w:sz="4" w:space="0" w:color="000000" w:themeColor="text1"/>
            </w:tcBorders>
            <w:shd w:val="clear" w:color="auto" w:fill="auto"/>
            <w:noWrap/>
            <w:vAlign w:val="center"/>
            <w:hideMark/>
          </w:tcPr>
          <w:p w14:paraId="5821ABC2"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0.25%</w:t>
            </w:r>
          </w:p>
        </w:tc>
        <w:tc>
          <w:tcPr>
            <w:tcW w:w="1440" w:type="dxa"/>
            <w:tcBorders>
              <w:top w:val="nil"/>
              <w:left w:val="nil"/>
              <w:bottom w:val="single" w:sz="8" w:space="0" w:color="000000" w:themeColor="text1"/>
              <w:right w:val="single" w:sz="4" w:space="0" w:color="000000" w:themeColor="text1"/>
            </w:tcBorders>
            <w:shd w:val="clear" w:color="auto" w:fill="auto"/>
            <w:noWrap/>
            <w:vAlign w:val="center"/>
            <w:hideMark/>
          </w:tcPr>
          <w:p w14:paraId="1EC72518"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1.66%</w:t>
            </w:r>
          </w:p>
        </w:tc>
        <w:tc>
          <w:tcPr>
            <w:tcW w:w="1530" w:type="dxa"/>
            <w:tcBorders>
              <w:top w:val="nil"/>
              <w:left w:val="nil"/>
              <w:bottom w:val="single" w:sz="8" w:space="0" w:color="000000" w:themeColor="text1"/>
              <w:right w:val="single" w:sz="4" w:space="0" w:color="000000" w:themeColor="text1"/>
            </w:tcBorders>
            <w:shd w:val="clear" w:color="auto" w:fill="auto"/>
            <w:noWrap/>
            <w:vAlign w:val="center"/>
            <w:hideMark/>
          </w:tcPr>
          <w:p w14:paraId="58E6C79C"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1.81%</w:t>
            </w:r>
          </w:p>
        </w:tc>
        <w:tc>
          <w:tcPr>
            <w:tcW w:w="1170" w:type="dxa"/>
            <w:tcBorders>
              <w:top w:val="nil"/>
              <w:left w:val="nil"/>
              <w:bottom w:val="single" w:sz="8" w:space="0" w:color="000000" w:themeColor="text1"/>
              <w:right w:val="single" w:sz="4" w:space="0" w:color="000000" w:themeColor="text1"/>
            </w:tcBorders>
            <w:shd w:val="clear" w:color="auto" w:fill="auto"/>
            <w:noWrap/>
            <w:vAlign w:val="center"/>
            <w:hideMark/>
          </w:tcPr>
          <w:p w14:paraId="288486D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2.27%</w:t>
            </w:r>
          </w:p>
        </w:tc>
        <w:tc>
          <w:tcPr>
            <w:tcW w:w="1440" w:type="dxa"/>
            <w:tcBorders>
              <w:top w:val="nil"/>
              <w:left w:val="nil"/>
              <w:bottom w:val="single" w:sz="8" w:space="0" w:color="000000" w:themeColor="text1"/>
              <w:right w:val="single" w:sz="8" w:space="0" w:color="000000" w:themeColor="text1"/>
            </w:tcBorders>
            <w:shd w:val="clear" w:color="auto" w:fill="auto"/>
            <w:noWrap/>
            <w:vAlign w:val="center"/>
            <w:hideMark/>
          </w:tcPr>
          <w:p w14:paraId="7F3681E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2.47%</w:t>
            </w:r>
          </w:p>
        </w:tc>
      </w:tr>
    </w:tbl>
    <w:p w14:paraId="1368D2E3" w14:textId="77777777" w:rsidR="00F303E0" w:rsidRPr="00EE5714" w:rsidRDefault="00F303E0" w:rsidP="00F303E0">
      <w:pPr>
        <w:rPr>
          <w:rFonts w:ascii="Times New Roman" w:eastAsiaTheme="minorEastAsia" w:hAnsi="Times New Roman" w:cs="Times New Roman"/>
          <w:b/>
          <w:color w:val="2F5496" w:themeColor="accent1" w:themeShade="BF"/>
          <w:sz w:val="26"/>
          <w:szCs w:val="26"/>
        </w:rPr>
      </w:pPr>
      <w:r w:rsidRPr="00EE5714">
        <w:rPr>
          <w:rFonts w:ascii="Times New Roman" w:hAnsi="Times New Roman" w:cs="Times New Roman"/>
          <w:b/>
          <w:color w:val="2F5496" w:themeColor="accent1" w:themeShade="BF"/>
          <w:sz w:val="26"/>
          <w:szCs w:val="26"/>
        </w:rPr>
        <w:br w:type="page"/>
      </w:r>
    </w:p>
    <w:p w14:paraId="376F0829" w14:textId="76C67AB8" w:rsidR="00F303E0" w:rsidRPr="00EE5714" w:rsidRDefault="00F734A0" w:rsidP="00F303E0">
      <w:pPr>
        <w:pStyle w:val="Heading2"/>
      </w:pPr>
      <w:bookmarkStart w:id="76" w:name="_Toc533674877"/>
      <w:bookmarkStart w:id="77" w:name="_Toc534547882"/>
      <w:r w:rsidRPr="00EE5714">
        <w:lastRenderedPageBreak/>
        <w:t>Appendix 7</w:t>
      </w:r>
      <w:r w:rsidR="00F303E0" w:rsidRPr="00EE5714">
        <w:t xml:space="preserve"> – Non-CAP Residential and Confirmed Low-Income (CLI) Customer Debt</w:t>
      </w:r>
      <w:bookmarkEnd w:id="76"/>
      <w:bookmarkEnd w:id="77"/>
    </w:p>
    <w:p w14:paraId="3998E17D" w14:textId="77777777" w:rsidR="00F303E0" w:rsidRPr="00EE5714" w:rsidRDefault="00F303E0" w:rsidP="00F303E0">
      <w:pPr>
        <w:pStyle w:val="NoSpacing"/>
        <w:keepNext/>
        <w:rPr>
          <w:rFonts w:cs="Times New Roman"/>
          <w:color w:val="2F5496" w:themeColor="accent1" w:themeShade="BF"/>
          <w:szCs w:val="26"/>
        </w:rPr>
      </w:pPr>
    </w:p>
    <w:p w14:paraId="04EE8C44" w14:textId="6D29CCB8" w:rsidR="006F211B" w:rsidRDefault="008E5915" w:rsidP="00F303E0">
      <w:pPr>
        <w:pStyle w:val="NoSpacing"/>
        <w:keepNext/>
        <w:rPr>
          <w:rFonts w:cs="Times New Roman"/>
          <w:color w:val="000000" w:themeColor="text1"/>
          <w:szCs w:val="26"/>
        </w:rPr>
      </w:pPr>
      <w:r>
        <w:rPr>
          <w:rFonts w:cs="Times New Roman"/>
          <w:color w:val="000000" w:themeColor="text1"/>
          <w:szCs w:val="26"/>
        </w:rPr>
        <w:t xml:space="preserve">Source: </w:t>
      </w:r>
      <w:r w:rsidR="00AF0818">
        <w:rPr>
          <w:rFonts w:cs="Times New Roman"/>
          <w:color w:val="000000" w:themeColor="text1"/>
          <w:szCs w:val="26"/>
        </w:rPr>
        <w:t xml:space="preserve">All data </w:t>
      </w:r>
      <w:r w:rsidR="008C1510">
        <w:rPr>
          <w:rFonts w:cs="Times New Roman"/>
          <w:color w:val="000000" w:themeColor="text1"/>
          <w:szCs w:val="26"/>
        </w:rPr>
        <w:t xml:space="preserve">for tables in Appendix 7 from </w:t>
      </w:r>
      <w:r w:rsidR="008D69E3">
        <w:rPr>
          <w:rFonts w:cs="Times New Roman"/>
          <w:color w:val="000000" w:themeColor="text1"/>
          <w:szCs w:val="26"/>
        </w:rPr>
        <w:t>Universal Service Programs &amp; Collections Performance Reports 2012-2016</w:t>
      </w:r>
      <w:r w:rsidR="008C1510">
        <w:rPr>
          <w:rFonts w:cs="Times New Roman"/>
          <w:color w:val="000000" w:themeColor="text1"/>
          <w:szCs w:val="26"/>
        </w:rPr>
        <w:t>.</w:t>
      </w:r>
    </w:p>
    <w:p w14:paraId="3F41E471" w14:textId="42EFCF3F" w:rsidR="00D67D84" w:rsidRDefault="008E5915" w:rsidP="00F303E0">
      <w:pPr>
        <w:pStyle w:val="NoSpacing"/>
        <w:keepNext/>
        <w:rPr>
          <w:rFonts w:cs="Times New Roman"/>
          <w:color w:val="000000" w:themeColor="text1"/>
          <w:szCs w:val="26"/>
        </w:rPr>
      </w:pPr>
      <w:r>
        <w:rPr>
          <w:rFonts w:cs="Times New Roman"/>
          <w:color w:val="000000" w:themeColor="text1"/>
          <w:szCs w:val="26"/>
        </w:rPr>
        <w:t xml:space="preserve"> </w:t>
      </w:r>
    </w:p>
    <w:p w14:paraId="390F5506" w14:textId="08ABBB6C" w:rsidR="00F303E0" w:rsidRPr="00EE5714" w:rsidRDefault="00F734A0" w:rsidP="00F303E0">
      <w:pPr>
        <w:pStyle w:val="NoSpacing"/>
        <w:keepNext/>
        <w:rPr>
          <w:rFonts w:cs="Times New Roman"/>
          <w:i/>
          <w:color w:val="000000" w:themeColor="text1"/>
          <w:szCs w:val="26"/>
        </w:rPr>
      </w:pPr>
      <w:r w:rsidRPr="00EE5714">
        <w:rPr>
          <w:rFonts w:cs="Times New Roman"/>
          <w:i/>
          <w:color w:val="000000" w:themeColor="text1"/>
          <w:szCs w:val="26"/>
        </w:rPr>
        <w:t>Appendix 7</w:t>
      </w:r>
      <w:r w:rsidR="00F303E0" w:rsidRPr="00EE5714">
        <w:rPr>
          <w:rFonts w:cs="Times New Roman"/>
          <w:i/>
          <w:color w:val="000000" w:themeColor="text1"/>
          <w:szCs w:val="26"/>
        </w:rPr>
        <w:t>.A: Industry Averages NGDC and EDC Non-CAP Residential and CLI Customer Debt</w:t>
      </w:r>
    </w:p>
    <w:p w14:paraId="1C3D8E24" w14:textId="77777777" w:rsidR="00F303E0" w:rsidRPr="00EE5714" w:rsidRDefault="00F303E0" w:rsidP="00F303E0">
      <w:pPr>
        <w:pStyle w:val="NoSpacing"/>
        <w:keepNext/>
        <w:rPr>
          <w:rFonts w:cs="Times New Roman"/>
          <w:i/>
          <w:color w:val="000000" w:themeColor="text1"/>
          <w:szCs w:val="26"/>
        </w:rPr>
      </w:pPr>
    </w:p>
    <w:p w14:paraId="0082AF15" w14:textId="2F1C833B" w:rsidR="00F303E0" w:rsidRPr="00EE5714" w:rsidRDefault="00F734A0" w:rsidP="00F303E0">
      <w:pPr>
        <w:pStyle w:val="NoSpacing"/>
        <w:keepNext/>
        <w:rPr>
          <w:rFonts w:cs="Times New Roman"/>
          <w:i/>
          <w:color w:val="000000" w:themeColor="text1"/>
          <w:szCs w:val="26"/>
        </w:rPr>
      </w:pPr>
      <w:r w:rsidRPr="00EE5714">
        <w:rPr>
          <w:rFonts w:cs="Times New Roman"/>
          <w:color w:val="000000" w:themeColor="text1"/>
          <w:szCs w:val="26"/>
        </w:rPr>
        <w:t>Appendix 7</w:t>
      </w:r>
      <w:r w:rsidR="00F303E0" w:rsidRPr="00EE5714">
        <w:rPr>
          <w:rFonts w:cs="Times New Roman"/>
          <w:color w:val="000000" w:themeColor="text1"/>
          <w:szCs w:val="26"/>
        </w:rPr>
        <w:t>.A.1:</w:t>
      </w:r>
      <w:r w:rsidR="00F303E0" w:rsidRPr="00EE5714">
        <w:rPr>
          <w:rFonts w:cs="Times New Roman"/>
          <w:i/>
          <w:color w:val="000000" w:themeColor="text1"/>
          <w:szCs w:val="26"/>
        </w:rPr>
        <w:t xml:space="preserve"> </w:t>
      </w:r>
      <w:r w:rsidR="00F303E0" w:rsidRPr="00EE5714">
        <w:rPr>
          <w:rFonts w:eastAsia="Times New Roman" w:cs="Times New Roman"/>
          <w:b/>
          <w:color w:val="000000"/>
          <w:szCs w:val="26"/>
        </w:rPr>
        <w:t>NGDC Non-CAP Residential and CLI Total Debt &amp; Debt Ratios</w:t>
      </w:r>
    </w:p>
    <w:tbl>
      <w:tblPr>
        <w:tblW w:w="1035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63"/>
        <w:gridCol w:w="1259"/>
        <w:gridCol w:w="1178"/>
        <w:gridCol w:w="1178"/>
        <w:gridCol w:w="1112"/>
        <w:gridCol w:w="1326"/>
        <w:gridCol w:w="1178"/>
        <w:gridCol w:w="1178"/>
        <w:gridCol w:w="1178"/>
      </w:tblGrid>
      <w:tr w:rsidR="00F303E0" w:rsidRPr="00EE5714" w14:paraId="3D2D559A" w14:textId="77777777" w:rsidTr="00CE67A6">
        <w:trPr>
          <w:trHeight w:val="300"/>
        </w:trPr>
        <w:tc>
          <w:tcPr>
            <w:tcW w:w="10350" w:type="dxa"/>
            <w:gridSpan w:val="9"/>
            <w:shd w:val="clear" w:color="auto" w:fill="D9D9D9" w:themeFill="background1" w:themeFillShade="D9"/>
            <w:vAlign w:val="bottom"/>
          </w:tcPr>
          <w:p w14:paraId="30836E5B" w14:textId="77777777" w:rsidR="00F303E0" w:rsidRPr="00EE5714" w:rsidRDefault="00F303E0" w:rsidP="00393999">
            <w:pPr>
              <w:keepNext/>
              <w:spacing w:after="0" w:line="240" w:lineRule="auto"/>
              <w:jc w:val="center"/>
              <w:rPr>
                <w:rFonts w:ascii="Calibri" w:eastAsia="Times New Roman" w:hAnsi="Calibri" w:cs="Calibri"/>
                <w:color w:val="000000"/>
              </w:rPr>
            </w:pPr>
            <w:r w:rsidRPr="00EE5714">
              <w:rPr>
                <w:rFonts w:ascii="Calibri" w:eastAsia="Times New Roman" w:hAnsi="Calibri" w:cs="Calibri"/>
                <w:b/>
                <w:color w:val="000000"/>
              </w:rPr>
              <w:t>NGDC Non-CAP Residential and Confirmed Low-Income Total Debt &amp; Debt Ratios</w:t>
            </w:r>
          </w:p>
        </w:tc>
      </w:tr>
      <w:tr w:rsidR="00F303E0" w:rsidRPr="00EE5714" w14:paraId="0D260144" w14:textId="77777777" w:rsidTr="00393999">
        <w:trPr>
          <w:trHeight w:val="267"/>
        </w:trPr>
        <w:tc>
          <w:tcPr>
            <w:tcW w:w="763" w:type="dxa"/>
            <w:tcBorders>
              <w:right w:val="single" w:sz="12" w:space="0" w:color="000000"/>
            </w:tcBorders>
            <w:vAlign w:val="bottom"/>
          </w:tcPr>
          <w:p w14:paraId="0F39D14C" w14:textId="77777777" w:rsidR="00F303E0" w:rsidRPr="00EE5714" w:rsidRDefault="00F303E0" w:rsidP="00393999">
            <w:pPr>
              <w:keepNext/>
              <w:spacing w:after="0" w:line="240" w:lineRule="auto"/>
              <w:rPr>
                <w:rFonts w:ascii="Calibri" w:eastAsia="Times New Roman" w:hAnsi="Calibri" w:cs="Calibri"/>
                <w:color w:val="000000"/>
              </w:rPr>
            </w:pPr>
          </w:p>
        </w:tc>
        <w:tc>
          <w:tcPr>
            <w:tcW w:w="4727" w:type="dxa"/>
            <w:gridSpan w:val="4"/>
            <w:tcBorders>
              <w:top w:val="single" w:sz="12" w:space="0" w:color="000000"/>
              <w:left w:val="single" w:sz="12" w:space="0" w:color="000000"/>
              <w:right w:val="single" w:sz="12" w:space="0" w:color="000000"/>
            </w:tcBorders>
            <w:vAlign w:val="bottom"/>
          </w:tcPr>
          <w:p w14:paraId="381F1266" w14:textId="77777777" w:rsidR="00F303E0" w:rsidRPr="00EE5714" w:rsidRDefault="00F303E0" w:rsidP="00393999">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Residential Customers</w:t>
            </w:r>
          </w:p>
        </w:tc>
        <w:tc>
          <w:tcPr>
            <w:tcW w:w="4860" w:type="dxa"/>
            <w:gridSpan w:val="4"/>
            <w:tcBorders>
              <w:top w:val="single" w:sz="12" w:space="0" w:color="000000"/>
              <w:left w:val="single" w:sz="12" w:space="0" w:color="000000"/>
              <w:right w:val="single" w:sz="12" w:space="0" w:color="000000"/>
            </w:tcBorders>
            <w:vAlign w:val="bottom"/>
          </w:tcPr>
          <w:p w14:paraId="1B1198F7" w14:textId="77777777" w:rsidR="00F303E0" w:rsidRPr="00EE5714" w:rsidRDefault="00F303E0" w:rsidP="00393999">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CLI Customers</w:t>
            </w:r>
          </w:p>
        </w:tc>
      </w:tr>
      <w:tr w:rsidR="002F034B" w:rsidRPr="00EE5714" w14:paraId="122FFF59" w14:textId="77777777" w:rsidTr="00393999">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274"/>
        </w:trPr>
        <w:tc>
          <w:tcPr>
            <w:tcW w:w="763" w:type="dxa"/>
            <w:tcBorders>
              <w:right w:val="single" w:sz="12" w:space="0" w:color="000000" w:themeColor="text1"/>
            </w:tcBorders>
            <w:shd w:val="clear" w:color="auto" w:fill="auto"/>
          </w:tcPr>
          <w:p w14:paraId="060B56C3" w14:textId="77777777" w:rsidR="00F303E0" w:rsidRPr="00EE5714" w:rsidRDefault="00F303E0" w:rsidP="00851815">
            <w:pPr>
              <w:keepNext/>
              <w:jc w:val="center"/>
              <w:rPr>
                <w:rFonts w:ascii="Calibri" w:eastAsia="Times New Roman" w:hAnsi="Calibri" w:cs="Calibri"/>
                <w:color w:val="000000"/>
                <w:sz w:val="20"/>
                <w:szCs w:val="20"/>
              </w:rPr>
            </w:pPr>
          </w:p>
        </w:tc>
        <w:tc>
          <w:tcPr>
            <w:tcW w:w="1259"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7A52D080" w14:textId="648E75A2" w:rsidR="00F303E0" w:rsidRPr="00393999" w:rsidRDefault="00F303E0" w:rsidP="00393999">
            <w:pPr>
              <w:keepNext/>
              <w:spacing w:after="0" w:line="240" w:lineRule="auto"/>
              <w:jc w:val="center"/>
              <w:rPr>
                <w:rFonts w:ascii="Calibri" w:eastAsia="Times New Roman" w:hAnsi="Calibri" w:cs="Calibri"/>
                <w:color w:val="000000"/>
                <w:sz w:val="19"/>
                <w:szCs w:val="19"/>
              </w:rPr>
            </w:pPr>
            <w:r w:rsidRPr="00393999">
              <w:rPr>
                <w:rFonts w:ascii="Calibri" w:eastAsia="Times New Roman" w:hAnsi="Calibri" w:cs="Calibri"/>
                <w:b/>
                <w:color w:val="000000"/>
                <w:sz w:val="19"/>
                <w:szCs w:val="19"/>
              </w:rPr>
              <w:t>Dollars in Debt</w:t>
            </w:r>
            <w:r>
              <w:rPr>
                <w:rFonts w:ascii="Calibri" w:eastAsia="Times New Roman" w:hAnsi="Calibri" w:cs="Calibri"/>
                <w:b/>
                <w:color w:val="000000"/>
                <w:sz w:val="19"/>
                <w:szCs w:val="19"/>
              </w:rPr>
              <w:t xml:space="preserve"> </w:t>
            </w:r>
            <w:r w:rsidRPr="00393999">
              <w:rPr>
                <w:rFonts w:ascii="Calibri" w:eastAsia="Times New Roman" w:hAnsi="Calibri" w:cs="Calibri"/>
                <w:b/>
                <w:color w:val="000000"/>
                <w:sz w:val="19"/>
                <w:szCs w:val="19"/>
              </w:rPr>
              <w:t>on Agreement</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5615ABF8" w14:textId="4843BBB1" w:rsidR="00F303E0" w:rsidRPr="00393999" w:rsidRDefault="00F303E0" w:rsidP="00393999">
            <w:pPr>
              <w:keepNext/>
              <w:spacing w:after="0" w:line="240" w:lineRule="auto"/>
              <w:jc w:val="center"/>
              <w:rPr>
                <w:rFonts w:ascii="Calibri" w:eastAsia="Times New Roman" w:hAnsi="Calibri" w:cs="Calibri"/>
                <w:color w:val="000000"/>
                <w:sz w:val="19"/>
                <w:szCs w:val="19"/>
              </w:rPr>
            </w:pPr>
            <w:r w:rsidRPr="00393999">
              <w:rPr>
                <w:rFonts w:ascii="Calibri" w:eastAsia="Times New Roman" w:hAnsi="Calibri" w:cs="Calibri"/>
                <w:b/>
                <w:color w:val="000000"/>
                <w:sz w:val="19"/>
                <w:szCs w:val="19"/>
              </w:rPr>
              <w:t>Debt Ratio on Agreement</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163DA369" w14:textId="783D743D" w:rsidR="00F303E0" w:rsidRPr="00393999" w:rsidRDefault="00F303E0" w:rsidP="00393999">
            <w:pPr>
              <w:keepNext/>
              <w:spacing w:after="0" w:line="240" w:lineRule="auto"/>
              <w:jc w:val="center"/>
              <w:rPr>
                <w:rFonts w:ascii="Calibri" w:eastAsia="Times New Roman" w:hAnsi="Calibri" w:cs="Calibri"/>
                <w:color w:val="000000"/>
                <w:sz w:val="19"/>
                <w:szCs w:val="19"/>
              </w:rPr>
            </w:pPr>
            <w:r w:rsidRPr="00393999">
              <w:rPr>
                <w:rFonts w:ascii="Calibri" w:eastAsia="Times New Roman" w:hAnsi="Calibri" w:cs="Calibri"/>
                <w:b/>
                <w:color w:val="000000"/>
                <w:sz w:val="19"/>
                <w:szCs w:val="19"/>
              </w:rPr>
              <w:t>Dollars in Debt</w:t>
            </w:r>
            <w:r>
              <w:rPr>
                <w:rFonts w:ascii="Calibri" w:eastAsia="Times New Roman" w:hAnsi="Calibri" w:cs="Calibri"/>
                <w:b/>
                <w:color w:val="000000"/>
                <w:sz w:val="19"/>
                <w:szCs w:val="19"/>
              </w:rPr>
              <w:t xml:space="preserve"> </w:t>
            </w:r>
            <w:r w:rsidRPr="00393999">
              <w:rPr>
                <w:rFonts w:ascii="Calibri" w:eastAsia="Times New Roman" w:hAnsi="Calibri" w:cs="Calibri"/>
                <w:b/>
                <w:color w:val="000000"/>
                <w:sz w:val="19"/>
                <w:szCs w:val="19"/>
              </w:rPr>
              <w:t>Not on Agreement</w:t>
            </w:r>
          </w:p>
        </w:tc>
        <w:tc>
          <w:tcPr>
            <w:tcW w:w="1112"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2F2F2" w:themeFill="background1" w:themeFillShade="F2"/>
            <w:vAlign w:val="center"/>
          </w:tcPr>
          <w:p w14:paraId="55B2AC50" w14:textId="0FE31835" w:rsidR="00F303E0" w:rsidRPr="00393999" w:rsidRDefault="00F303E0" w:rsidP="00393999">
            <w:pPr>
              <w:keepNext/>
              <w:spacing w:after="0" w:line="240" w:lineRule="auto"/>
              <w:jc w:val="center"/>
              <w:rPr>
                <w:rFonts w:ascii="Calibri" w:eastAsia="Times New Roman" w:hAnsi="Calibri" w:cs="Calibri"/>
                <w:color w:val="000000"/>
                <w:sz w:val="19"/>
                <w:szCs w:val="19"/>
              </w:rPr>
            </w:pPr>
            <w:r w:rsidRPr="00393999">
              <w:rPr>
                <w:rFonts w:ascii="Calibri" w:eastAsia="Times New Roman" w:hAnsi="Calibri" w:cs="Calibri"/>
                <w:b/>
                <w:color w:val="000000"/>
                <w:sz w:val="19"/>
                <w:szCs w:val="19"/>
              </w:rPr>
              <w:t>Debt Ratio Not on Agreement</w:t>
            </w:r>
          </w:p>
        </w:tc>
        <w:tc>
          <w:tcPr>
            <w:tcW w:w="132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CA53268" w14:textId="247AC950" w:rsidR="00F303E0" w:rsidRPr="00393999" w:rsidRDefault="00F303E0" w:rsidP="00393999">
            <w:pPr>
              <w:keepNext/>
              <w:spacing w:after="0" w:line="240" w:lineRule="auto"/>
              <w:jc w:val="center"/>
              <w:rPr>
                <w:rFonts w:ascii="Calibri" w:eastAsia="Times New Roman" w:hAnsi="Calibri" w:cs="Calibri"/>
                <w:color w:val="000000"/>
                <w:sz w:val="19"/>
                <w:szCs w:val="19"/>
              </w:rPr>
            </w:pPr>
            <w:r w:rsidRPr="00393999">
              <w:rPr>
                <w:rFonts w:ascii="Calibri" w:eastAsia="Times New Roman" w:hAnsi="Calibri" w:cs="Calibri"/>
                <w:b/>
                <w:color w:val="000000"/>
                <w:sz w:val="19"/>
                <w:szCs w:val="19"/>
              </w:rPr>
              <w:t>Dollars in Debt</w:t>
            </w:r>
            <w:r>
              <w:rPr>
                <w:rFonts w:ascii="Calibri" w:eastAsia="Times New Roman" w:hAnsi="Calibri" w:cs="Calibri"/>
                <w:b/>
                <w:color w:val="000000"/>
                <w:sz w:val="19"/>
                <w:szCs w:val="19"/>
              </w:rPr>
              <w:t xml:space="preserve"> </w:t>
            </w:r>
            <w:r w:rsidRPr="00393999">
              <w:rPr>
                <w:rFonts w:ascii="Calibri" w:eastAsia="Times New Roman" w:hAnsi="Calibri" w:cs="Calibri"/>
                <w:b/>
                <w:color w:val="000000"/>
                <w:sz w:val="19"/>
                <w:szCs w:val="19"/>
              </w:rPr>
              <w:t>on Agreement</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88B841D" w14:textId="1589D8E8" w:rsidR="00F303E0" w:rsidRPr="00393999" w:rsidRDefault="00F303E0" w:rsidP="00393999">
            <w:pPr>
              <w:keepNext/>
              <w:spacing w:after="0" w:line="240" w:lineRule="auto"/>
              <w:jc w:val="center"/>
              <w:rPr>
                <w:rFonts w:ascii="Calibri" w:eastAsia="Times New Roman" w:hAnsi="Calibri" w:cs="Calibri"/>
                <w:color w:val="000000"/>
                <w:sz w:val="19"/>
                <w:szCs w:val="19"/>
              </w:rPr>
            </w:pPr>
            <w:r w:rsidRPr="00393999">
              <w:rPr>
                <w:rFonts w:ascii="Calibri" w:eastAsia="Times New Roman" w:hAnsi="Calibri" w:cs="Calibri"/>
                <w:b/>
                <w:color w:val="000000"/>
                <w:sz w:val="19"/>
                <w:szCs w:val="19"/>
              </w:rPr>
              <w:t>Debt Ratio on Agreement</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38AD719" w14:textId="3C992087" w:rsidR="00F303E0" w:rsidRPr="00393999" w:rsidRDefault="00F303E0" w:rsidP="00393999">
            <w:pPr>
              <w:keepNext/>
              <w:spacing w:after="0" w:line="240" w:lineRule="auto"/>
              <w:jc w:val="center"/>
              <w:rPr>
                <w:rFonts w:ascii="Calibri" w:eastAsia="Times New Roman" w:hAnsi="Calibri" w:cs="Calibri"/>
                <w:color w:val="000000"/>
                <w:sz w:val="19"/>
                <w:szCs w:val="19"/>
              </w:rPr>
            </w:pPr>
            <w:r w:rsidRPr="00393999">
              <w:rPr>
                <w:rFonts w:ascii="Calibri" w:eastAsia="Times New Roman" w:hAnsi="Calibri" w:cs="Calibri"/>
                <w:b/>
                <w:color w:val="000000"/>
                <w:sz w:val="19"/>
                <w:szCs w:val="19"/>
              </w:rPr>
              <w:t>Dollars in Debt</w:t>
            </w:r>
            <w:r>
              <w:rPr>
                <w:rFonts w:ascii="Calibri" w:eastAsia="Times New Roman" w:hAnsi="Calibri" w:cs="Calibri"/>
                <w:b/>
                <w:color w:val="000000"/>
                <w:sz w:val="19"/>
                <w:szCs w:val="19"/>
              </w:rPr>
              <w:t xml:space="preserve"> </w:t>
            </w:r>
            <w:r w:rsidRPr="00393999">
              <w:rPr>
                <w:rFonts w:ascii="Calibri" w:eastAsia="Times New Roman" w:hAnsi="Calibri" w:cs="Calibri"/>
                <w:b/>
                <w:color w:val="000000"/>
                <w:sz w:val="19"/>
                <w:szCs w:val="19"/>
              </w:rPr>
              <w:t>Not on Agreement</w:t>
            </w:r>
          </w:p>
        </w:tc>
        <w:tc>
          <w:tcPr>
            <w:tcW w:w="1178"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2F2F2" w:themeFill="background1" w:themeFillShade="F2"/>
            <w:noWrap/>
            <w:vAlign w:val="center"/>
            <w:hideMark/>
          </w:tcPr>
          <w:p w14:paraId="006A89AA" w14:textId="5981B99A" w:rsidR="00F303E0" w:rsidRPr="00393999" w:rsidRDefault="00F303E0" w:rsidP="00393999">
            <w:pPr>
              <w:keepNext/>
              <w:spacing w:after="0" w:line="240" w:lineRule="auto"/>
              <w:jc w:val="center"/>
              <w:rPr>
                <w:rFonts w:ascii="Calibri" w:eastAsia="Times New Roman" w:hAnsi="Calibri" w:cs="Calibri"/>
                <w:color w:val="000000"/>
                <w:sz w:val="19"/>
                <w:szCs w:val="19"/>
              </w:rPr>
            </w:pPr>
            <w:r w:rsidRPr="00393999">
              <w:rPr>
                <w:rFonts w:ascii="Calibri" w:eastAsia="Times New Roman" w:hAnsi="Calibri" w:cs="Calibri"/>
                <w:b/>
                <w:color w:val="000000"/>
                <w:sz w:val="19"/>
                <w:szCs w:val="19"/>
              </w:rPr>
              <w:t>Debt Ratio Not on Agreement</w:t>
            </w:r>
          </w:p>
        </w:tc>
      </w:tr>
      <w:tr w:rsidR="00F932BC" w:rsidRPr="00EE5714" w14:paraId="6BAF38CE" w14:textId="77777777" w:rsidTr="00393999">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hRule="exact" w:val="245"/>
        </w:trPr>
        <w:tc>
          <w:tcPr>
            <w:tcW w:w="763" w:type="dxa"/>
            <w:tcBorders>
              <w:right w:val="single" w:sz="12" w:space="0" w:color="000000" w:themeColor="text1"/>
            </w:tcBorders>
            <w:shd w:val="clear" w:color="auto" w:fill="auto"/>
            <w:vAlign w:val="center"/>
          </w:tcPr>
          <w:p w14:paraId="5663C2D6"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color w:val="000000"/>
                <w:sz w:val="21"/>
                <w:szCs w:val="21"/>
              </w:rPr>
              <w:t>2012</w:t>
            </w:r>
          </w:p>
        </w:tc>
        <w:tc>
          <w:tcPr>
            <w:tcW w:w="1259" w:type="dxa"/>
            <w:tcBorders>
              <w:left w:val="single" w:sz="12" w:space="0" w:color="000000" w:themeColor="text1"/>
            </w:tcBorders>
            <w:shd w:val="clear" w:color="auto" w:fill="auto"/>
            <w:noWrap/>
            <w:vAlign w:val="center"/>
            <w:hideMark/>
          </w:tcPr>
          <w:p w14:paraId="4C36785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$41,301,354</w:t>
            </w:r>
          </w:p>
        </w:tc>
        <w:tc>
          <w:tcPr>
            <w:tcW w:w="1178" w:type="dxa"/>
            <w:shd w:val="clear" w:color="auto" w:fill="auto"/>
            <w:noWrap/>
            <w:vAlign w:val="center"/>
            <w:hideMark/>
          </w:tcPr>
          <w:p w14:paraId="60B3E65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2.04%</w:t>
            </w:r>
          </w:p>
        </w:tc>
        <w:tc>
          <w:tcPr>
            <w:tcW w:w="1178" w:type="dxa"/>
            <w:shd w:val="clear" w:color="auto" w:fill="auto"/>
            <w:noWrap/>
            <w:vAlign w:val="center"/>
            <w:hideMark/>
          </w:tcPr>
          <w:p w14:paraId="70997D8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$56,594,661</w:t>
            </w:r>
          </w:p>
        </w:tc>
        <w:tc>
          <w:tcPr>
            <w:tcW w:w="1112" w:type="dxa"/>
            <w:tcBorders>
              <w:right w:val="single" w:sz="12" w:space="0" w:color="000000" w:themeColor="text1"/>
            </w:tcBorders>
            <w:vAlign w:val="center"/>
          </w:tcPr>
          <w:p w14:paraId="4B71E55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2.80%</w:t>
            </w:r>
          </w:p>
        </w:tc>
        <w:tc>
          <w:tcPr>
            <w:tcW w:w="1326" w:type="dxa"/>
            <w:tcBorders>
              <w:left w:val="single" w:sz="12" w:space="0" w:color="000000" w:themeColor="text1"/>
            </w:tcBorders>
            <w:vAlign w:val="center"/>
          </w:tcPr>
          <w:p w14:paraId="6B78C62C"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color w:val="000000"/>
                <w:sz w:val="21"/>
                <w:szCs w:val="21"/>
              </w:rPr>
              <w:t>$22,755,986</w:t>
            </w:r>
          </w:p>
        </w:tc>
        <w:tc>
          <w:tcPr>
            <w:tcW w:w="1178" w:type="dxa"/>
            <w:vAlign w:val="center"/>
          </w:tcPr>
          <w:p w14:paraId="1357785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5.74%</w:t>
            </w:r>
          </w:p>
        </w:tc>
        <w:tc>
          <w:tcPr>
            <w:tcW w:w="1178" w:type="dxa"/>
            <w:vAlign w:val="center"/>
          </w:tcPr>
          <w:p w14:paraId="1DAFE93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color w:val="000000"/>
                <w:sz w:val="21"/>
                <w:szCs w:val="21"/>
              </w:rPr>
              <w:t>$17,645,298</w:t>
            </w:r>
          </w:p>
        </w:tc>
        <w:tc>
          <w:tcPr>
            <w:tcW w:w="1178" w:type="dxa"/>
            <w:tcBorders>
              <w:right w:val="single" w:sz="12" w:space="0" w:color="000000" w:themeColor="text1"/>
            </w:tcBorders>
            <w:shd w:val="clear" w:color="auto" w:fill="auto"/>
            <w:noWrap/>
            <w:vAlign w:val="center"/>
          </w:tcPr>
          <w:p w14:paraId="0091928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color w:val="000000"/>
                <w:sz w:val="21"/>
                <w:szCs w:val="21"/>
              </w:rPr>
              <w:t>4.45%</w:t>
            </w:r>
          </w:p>
        </w:tc>
      </w:tr>
      <w:tr w:rsidR="00F932BC" w:rsidRPr="00EE5714" w14:paraId="494004AC" w14:textId="77777777" w:rsidTr="00393999">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hRule="exact" w:val="245"/>
        </w:trPr>
        <w:tc>
          <w:tcPr>
            <w:tcW w:w="763" w:type="dxa"/>
            <w:tcBorders>
              <w:right w:val="single" w:sz="12" w:space="0" w:color="000000" w:themeColor="text1"/>
            </w:tcBorders>
            <w:shd w:val="clear" w:color="auto" w:fill="auto"/>
            <w:vAlign w:val="center"/>
          </w:tcPr>
          <w:p w14:paraId="3C23290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color w:val="000000"/>
                <w:sz w:val="21"/>
                <w:szCs w:val="21"/>
              </w:rPr>
              <w:t>2013</w:t>
            </w:r>
          </w:p>
        </w:tc>
        <w:tc>
          <w:tcPr>
            <w:tcW w:w="1259" w:type="dxa"/>
            <w:tcBorders>
              <w:left w:val="single" w:sz="12" w:space="0" w:color="000000" w:themeColor="text1"/>
            </w:tcBorders>
            <w:shd w:val="clear" w:color="auto" w:fill="auto"/>
            <w:noWrap/>
            <w:vAlign w:val="center"/>
            <w:hideMark/>
          </w:tcPr>
          <w:p w14:paraId="2BE9D00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$44,364,733</w:t>
            </w:r>
          </w:p>
        </w:tc>
        <w:tc>
          <w:tcPr>
            <w:tcW w:w="1178" w:type="dxa"/>
            <w:shd w:val="clear" w:color="auto" w:fill="auto"/>
            <w:noWrap/>
            <w:vAlign w:val="center"/>
            <w:hideMark/>
          </w:tcPr>
          <w:p w14:paraId="43DE784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1.91%</w:t>
            </w:r>
          </w:p>
        </w:tc>
        <w:tc>
          <w:tcPr>
            <w:tcW w:w="1178" w:type="dxa"/>
            <w:shd w:val="clear" w:color="auto" w:fill="auto"/>
            <w:noWrap/>
            <w:vAlign w:val="center"/>
            <w:hideMark/>
          </w:tcPr>
          <w:p w14:paraId="48B83C0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$65,690,144</w:t>
            </w:r>
          </w:p>
        </w:tc>
        <w:tc>
          <w:tcPr>
            <w:tcW w:w="1112" w:type="dxa"/>
            <w:tcBorders>
              <w:right w:val="single" w:sz="12" w:space="0" w:color="000000" w:themeColor="text1"/>
            </w:tcBorders>
            <w:vAlign w:val="center"/>
          </w:tcPr>
          <w:p w14:paraId="5EE4311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2.83%</w:t>
            </w:r>
          </w:p>
        </w:tc>
        <w:tc>
          <w:tcPr>
            <w:tcW w:w="1326" w:type="dxa"/>
            <w:tcBorders>
              <w:left w:val="single" w:sz="12" w:space="0" w:color="000000" w:themeColor="text1"/>
            </w:tcBorders>
            <w:vAlign w:val="center"/>
          </w:tcPr>
          <w:p w14:paraId="733BF09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color w:val="000000"/>
                <w:sz w:val="21"/>
                <w:szCs w:val="21"/>
              </w:rPr>
              <w:t>$19,546,385</w:t>
            </w:r>
          </w:p>
        </w:tc>
        <w:tc>
          <w:tcPr>
            <w:tcW w:w="1178" w:type="dxa"/>
            <w:vAlign w:val="center"/>
          </w:tcPr>
          <w:p w14:paraId="5D896AE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5.00%</w:t>
            </w:r>
          </w:p>
        </w:tc>
        <w:tc>
          <w:tcPr>
            <w:tcW w:w="1178" w:type="dxa"/>
            <w:vAlign w:val="center"/>
          </w:tcPr>
          <w:p w14:paraId="7BD80E6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color w:val="000000"/>
                <w:sz w:val="21"/>
                <w:szCs w:val="21"/>
              </w:rPr>
              <w:t>$20,259,970</w:t>
            </w:r>
          </w:p>
        </w:tc>
        <w:tc>
          <w:tcPr>
            <w:tcW w:w="1178" w:type="dxa"/>
            <w:tcBorders>
              <w:right w:val="single" w:sz="12" w:space="0" w:color="000000" w:themeColor="text1"/>
            </w:tcBorders>
            <w:shd w:val="clear" w:color="auto" w:fill="auto"/>
            <w:noWrap/>
            <w:vAlign w:val="center"/>
          </w:tcPr>
          <w:p w14:paraId="2AACFBA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color w:val="000000"/>
                <w:sz w:val="21"/>
                <w:szCs w:val="21"/>
              </w:rPr>
              <w:t>5.18%</w:t>
            </w:r>
          </w:p>
        </w:tc>
      </w:tr>
      <w:tr w:rsidR="00F932BC" w:rsidRPr="00EE5714" w14:paraId="6EB2A940" w14:textId="77777777" w:rsidTr="00393999">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hRule="exact" w:val="245"/>
        </w:trPr>
        <w:tc>
          <w:tcPr>
            <w:tcW w:w="763" w:type="dxa"/>
            <w:tcBorders>
              <w:right w:val="single" w:sz="12" w:space="0" w:color="000000" w:themeColor="text1"/>
            </w:tcBorders>
            <w:shd w:val="clear" w:color="auto" w:fill="auto"/>
            <w:vAlign w:val="center"/>
          </w:tcPr>
          <w:p w14:paraId="380018BF"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color w:val="000000"/>
                <w:sz w:val="21"/>
                <w:szCs w:val="21"/>
              </w:rPr>
              <w:t>2014</w:t>
            </w:r>
          </w:p>
        </w:tc>
        <w:tc>
          <w:tcPr>
            <w:tcW w:w="1259" w:type="dxa"/>
            <w:tcBorders>
              <w:left w:val="single" w:sz="12" w:space="0" w:color="000000" w:themeColor="text1"/>
            </w:tcBorders>
            <w:shd w:val="clear" w:color="auto" w:fill="auto"/>
            <w:noWrap/>
            <w:vAlign w:val="center"/>
            <w:hideMark/>
          </w:tcPr>
          <w:p w14:paraId="76C21E3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$45,636,682</w:t>
            </w:r>
          </w:p>
        </w:tc>
        <w:tc>
          <w:tcPr>
            <w:tcW w:w="1178" w:type="dxa"/>
            <w:shd w:val="clear" w:color="auto" w:fill="auto"/>
            <w:noWrap/>
            <w:vAlign w:val="center"/>
            <w:hideMark/>
          </w:tcPr>
          <w:p w14:paraId="100D309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1.78%</w:t>
            </w:r>
          </w:p>
        </w:tc>
        <w:tc>
          <w:tcPr>
            <w:tcW w:w="1178" w:type="dxa"/>
            <w:shd w:val="clear" w:color="auto" w:fill="auto"/>
            <w:noWrap/>
            <w:vAlign w:val="center"/>
            <w:hideMark/>
          </w:tcPr>
          <w:p w14:paraId="650DF52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$63,722,920</w:t>
            </w:r>
          </w:p>
        </w:tc>
        <w:tc>
          <w:tcPr>
            <w:tcW w:w="1112" w:type="dxa"/>
            <w:tcBorders>
              <w:right w:val="single" w:sz="12" w:space="0" w:color="000000" w:themeColor="text1"/>
            </w:tcBorders>
            <w:vAlign w:val="center"/>
          </w:tcPr>
          <w:p w14:paraId="6383EE3A"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2.49%</w:t>
            </w:r>
          </w:p>
        </w:tc>
        <w:tc>
          <w:tcPr>
            <w:tcW w:w="1326" w:type="dxa"/>
            <w:tcBorders>
              <w:left w:val="single" w:sz="12" w:space="0" w:color="000000" w:themeColor="text1"/>
            </w:tcBorders>
            <w:vAlign w:val="center"/>
          </w:tcPr>
          <w:p w14:paraId="57572553"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color w:val="000000"/>
                <w:sz w:val="21"/>
                <w:szCs w:val="21"/>
              </w:rPr>
              <w:t>$22,168,530</w:t>
            </w:r>
          </w:p>
        </w:tc>
        <w:tc>
          <w:tcPr>
            <w:tcW w:w="1178" w:type="dxa"/>
            <w:vAlign w:val="center"/>
          </w:tcPr>
          <w:p w14:paraId="453FBD7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5.38%</w:t>
            </w:r>
          </w:p>
        </w:tc>
        <w:tc>
          <w:tcPr>
            <w:tcW w:w="1178" w:type="dxa"/>
            <w:vAlign w:val="center"/>
          </w:tcPr>
          <w:p w14:paraId="39544FA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color w:val="000000"/>
                <w:sz w:val="21"/>
                <w:szCs w:val="21"/>
              </w:rPr>
              <w:t>$20,951,882</w:t>
            </w:r>
          </w:p>
        </w:tc>
        <w:tc>
          <w:tcPr>
            <w:tcW w:w="1178" w:type="dxa"/>
            <w:tcBorders>
              <w:right w:val="single" w:sz="12" w:space="0" w:color="000000" w:themeColor="text1"/>
            </w:tcBorders>
            <w:shd w:val="clear" w:color="auto" w:fill="auto"/>
            <w:noWrap/>
            <w:vAlign w:val="center"/>
          </w:tcPr>
          <w:p w14:paraId="72818AB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color w:val="000000"/>
                <w:sz w:val="21"/>
                <w:szCs w:val="21"/>
              </w:rPr>
              <w:t>5.08%</w:t>
            </w:r>
          </w:p>
        </w:tc>
      </w:tr>
      <w:tr w:rsidR="00F932BC" w:rsidRPr="00EE5714" w14:paraId="6EF0B5D1" w14:textId="77777777" w:rsidTr="00393999">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hRule="exact" w:val="245"/>
        </w:trPr>
        <w:tc>
          <w:tcPr>
            <w:tcW w:w="763" w:type="dxa"/>
            <w:tcBorders>
              <w:right w:val="single" w:sz="12" w:space="0" w:color="000000" w:themeColor="text1"/>
            </w:tcBorders>
            <w:shd w:val="clear" w:color="auto" w:fill="auto"/>
            <w:vAlign w:val="center"/>
          </w:tcPr>
          <w:p w14:paraId="5713ED51"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color w:val="000000"/>
                <w:sz w:val="21"/>
                <w:szCs w:val="21"/>
              </w:rPr>
              <w:t>2015</w:t>
            </w:r>
          </w:p>
        </w:tc>
        <w:tc>
          <w:tcPr>
            <w:tcW w:w="1259" w:type="dxa"/>
            <w:tcBorders>
              <w:left w:val="single" w:sz="12" w:space="0" w:color="000000" w:themeColor="text1"/>
            </w:tcBorders>
            <w:shd w:val="clear" w:color="auto" w:fill="auto"/>
            <w:noWrap/>
            <w:vAlign w:val="center"/>
            <w:hideMark/>
          </w:tcPr>
          <w:p w14:paraId="32841A0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$46,348,665</w:t>
            </w:r>
          </w:p>
        </w:tc>
        <w:tc>
          <w:tcPr>
            <w:tcW w:w="1178" w:type="dxa"/>
            <w:shd w:val="clear" w:color="auto" w:fill="auto"/>
            <w:noWrap/>
            <w:vAlign w:val="center"/>
            <w:hideMark/>
          </w:tcPr>
          <w:p w14:paraId="10E6B9E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2.02%</w:t>
            </w:r>
          </w:p>
        </w:tc>
        <w:tc>
          <w:tcPr>
            <w:tcW w:w="1178" w:type="dxa"/>
            <w:shd w:val="clear" w:color="auto" w:fill="auto"/>
            <w:noWrap/>
            <w:vAlign w:val="center"/>
            <w:hideMark/>
          </w:tcPr>
          <w:p w14:paraId="7E76EAC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$66,600,476</w:t>
            </w:r>
          </w:p>
        </w:tc>
        <w:tc>
          <w:tcPr>
            <w:tcW w:w="1112" w:type="dxa"/>
            <w:tcBorders>
              <w:right w:val="single" w:sz="12" w:space="0" w:color="000000" w:themeColor="text1"/>
            </w:tcBorders>
            <w:vAlign w:val="center"/>
          </w:tcPr>
          <w:p w14:paraId="331A751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2.91%</w:t>
            </w:r>
          </w:p>
        </w:tc>
        <w:tc>
          <w:tcPr>
            <w:tcW w:w="1326" w:type="dxa"/>
            <w:tcBorders>
              <w:left w:val="single" w:sz="12" w:space="0" w:color="000000" w:themeColor="text1"/>
            </w:tcBorders>
            <w:vAlign w:val="center"/>
          </w:tcPr>
          <w:p w14:paraId="1909E8D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color w:val="000000"/>
                <w:sz w:val="21"/>
                <w:szCs w:val="21"/>
              </w:rPr>
              <w:t>$26,817,387</w:t>
            </w:r>
          </w:p>
        </w:tc>
        <w:tc>
          <w:tcPr>
            <w:tcW w:w="1178" w:type="dxa"/>
            <w:vAlign w:val="center"/>
          </w:tcPr>
          <w:p w14:paraId="2C35530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6.48%</w:t>
            </w:r>
          </w:p>
        </w:tc>
        <w:tc>
          <w:tcPr>
            <w:tcW w:w="1178" w:type="dxa"/>
            <w:vAlign w:val="center"/>
          </w:tcPr>
          <w:p w14:paraId="14BED06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color w:val="000000"/>
                <w:sz w:val="21"/>
                <w:szCs w:val="21"/>
              </w:rPr>
              <w:t>$20,349,970</w:t>
            </w:r>
          </w:p>
        </w:tc>
        <w:tc>
          <w:tcPr>
            <w:tcW w:w="1178" w:type="dxa"/>
            <w:tcBorders>
              <w:right w:val="single" w:sz="12" w:space="0" w:color="000000" w:themeColor="text1"/>
            </w:tcBorders>
            <w:shd w:val="clear" w:color="auto" w:fill="auto"/>
            <w:noWrap/>
            <w:vAlign w:val="center"/>
          </w:tcPr>
          <w:p w14:paraId="774D638B"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color w:val="000000"/>
                <w:sz w:val="21"/>
                <w:szCs w:val="21"/>
              </w:rPr>
              <w:t>4.92%</w:t>
            </w:r>
          </w:p>
        </w:tc>
      </w:tr>
      <w:tr w:rsidR="00F932BC" w:rsidRPr="00EE5714" w14:paraId="5BB3CC9B" w14:textId="77777777" w:rsidTr="00393999">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hRule="exact" w:val="245"/>
        </w:trPr>
        <w:tc>
          <w:tcPr>
            <w:tcW w:w="763" w:type="dxa"/>
            <w:tcBorders>
              <w:right w:val="single" w:sz="12" w:space="0" w:color="000000" w:themeColor="text1"/>
            </w:tcBorders>
            <w:shd w:val="clear" w:color="auto" w:fill="auto"/>
            <w:vAlign w:val="center"/>
          </w:tcPr>
          <w:p w14:paraId="237C098A" w14:textId="77777777" w:rsidR="00F303E0" w:rsidRPr="00EE5714" w:rsidRDefault="00F303E0" w:rsidP="00851815">
            <w:pPr>
              <w:jc w:val="center"/>
              <w:rPr>
                <w:rFonts w:ascii="Calibri" w:eastAsia="Times New Roman" w:hAnsi="Calibri" w:cs="Calibri"/>
                <w:b/>
                <w:color w:val="000000"/>
                <w:sz w:val="21"/>
                <w:szCs w:val="21"/>
              </w:rPr>
            </w:pPr>
            <w:r w:rsidRPr="00EE5714">
              <w:rPr>
                <w:rFonts w:ascii="Calibri" w:hAnsi="Calibri" w:cs="Calibri"/>
                <w:b/>
                <w:color w:val="000000"/>
                <w:sz w:val="21"/>
                <w:szCs w:val="21"/>
              </w:rPr>
              <w:t>2016</w:t>
            </w:r>
          </w:p>
        </w:tc>
        <w:tc>
          <w:tcPr>
            <w:tcW w:w="1259" w:type="dxa"/>
            <w:tcBorders>
              <w:left w:val="single" w:sz="12" w:space="0" w:color="000000" w:themeColor="text1"/>
              <w:bottom w:val="single" w:sz="12" w:space="0" w:color="000000" w:themeColor="text1"/>
            </w:tcBorders>
            <w:shd w:val="clear" w:color="auto" w:fill="auto"/>
            <w:noWrap/>
            <w:vAlign w:val="center"/>
            <w:hideMark/>
          </w:tcPr>
          <w:p w14:paraId="6886BB4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$33,110,041</w:t>
            </w:r>
          </w:p>
        </w:tc>
        <w:tc>
          <w:tcPr>
            <w:tcW w:w="1178" w:type="dxa"/>
            <w:tcBorders>
              <w:bottom w:val="single" w:sz="12" w:space="0" w:color="000000" w:themeColor="text1"/>
            </w:tcBorders>
            <w:shd w:val="clear" w:color="auto" w:fill="auto"/>
            <w:noWrap/>
            <w:vAlign w:val="center"/>
            <w:hideMark/>
          </w:tcPr>
          <w:p w14:paraId="13CBDCA7"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1.74%</w:t>
            </w:r>
          </w:p>
        </w:tc>
        <w:tc>
          <w:tcPr>
            <w:tcW w:w="1178" w:type="dxa"/>
            <w:tcBorders>
              <w:bottom w:val="single" w:sz="12" w:space="0" w:color="000000" w:themeColor="text1"/>
            </w:tcBorders>
            <w:shd w:val="clear" w:color="auto" w:fill="auto"/>
            <w:noWrap/>
            <w:vAlign w:val="center"/>
            <w:hideMark/>
          </w:tcPr>
          <w:p w14:paraId="0EDCB32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$55,419,021</w:t>
            </w:r>
          </w:p>
        </w:tc>
        <w:tc>
          <w:tcPr>
            <w:tcW w:w="1112" w:type="dxa"/>
            <w:tcBorders>
              <w:bottom w:val="single" w:sz="12" w:space="0" w:color="000000" w:themeColor="text1"/>
              <w:right w:val="single" w:sz="12" w:space="0" w:color="000000" w:themeColor="text1"/>
            </w:tcBorders>
            <w:vAlign w:val="center"/>
          </w:tcPr>
          <w:p w14:paraId="43D2D49C"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2.91%</w:t>
            </w:r>
          </w:p>
        </w:tc>
        <w:tc>
          <w:tcPr>
            <w:tcW w:w="1326" w:type="dxa"/>
            <w:tcBorders>
              <w:left w:val="single" w:sz="12" w:space="0" w:color="000000" w:themeColor="text1"/>
              <w:bottom w:val="single" w:sz="12" w:space="0" w:color="000000" w:themeColor="text1"/>
            </w:tcBorders>
            <w:vAlign w:val="center"/>
          </w:tcPr>
          <w:p w14:paraId="0A3349E7"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color w:val="000000"/>
                <w:sz w:val="21"/>
                <w:szCs w:val="21"/>
              </w:rPr>
              <w:t>$19,373,791</w:t>
            </w:r>
          </w:p>
        </w:tc>
        <w:tc>
          <w:tcPr>
            <w:tcW w:w="1178" w:type="dxa"/>
            <w:tcBorders>
              <w:bottom w:val="single" w:sz="12" w:space="0" w:color="000000" w:themeColor="text1"/>
            </w:tcBorders>
            <w:vAlign w:val="center"/>
          </w:tcPr>
          <w:p w14:paraId="6CA6E59A"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5.67%</w:t>
            </w:r>
          </w:p>
        </w:tc>
        <w:tc>
          <w:tcPr>
            <w:tcW w:w="1178" w:type="dxa"/>
            <w:tcBorders>
              <w:bottom w:val="single" w:sz="12" w:space="0" w:color="000000" w:themeColor="text1"/>
            </w:tcBorders>
            <w:vAlign w:val="center"/>
          </w:tcPr>
          <w:p w14:paraId="59C3381C"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color w:val="000000"/>
                <w:sz w:val="21"/>
                <w:szCs w:val="21"/>
              </w:rPr>
              <w:t>$12,103,643</w:t>
            </w:r>
          </w:p>
        </w:tc>
        <w:tc>
          <w:tcPr>
            <w:tcW w:w="1178" w:type="dxa"/>
            <w:tcBorders>
              <w:bottom w:val="single" w:sz="12" w:space="0" w:color="000000" w:themeColor="text1"/>
              <w:right w:val="single" w:sz="12" w:space="0" w:color="000000" w:themeColor="text1"/>
            </w:tcBorders>
            <w:shd w:val="clear" w:color="auto" w:fill="auto"/>
            <w:noWrap/>
            <w:vAlign w:val="center"/>
          </w:tcPr>
          <w:p w14:paraId="314C6B0E"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color w:val="000000"/>
                <w:sz w:val="21"/>
                <w:szCs w:val="21"/>
              </w:rPr>
              <w:t>3.54%</w:t>
            </w:r>
          </w:p>
        </w:tc>
      </w:tr>
    </w:tbl>
    <w:p w14:paraId="434BFAB8" w14:textId="77777777" w:rsidR="00F303E0" w:rsidRPr="00EE5714" w:rsidRDefault="00F303E0" w:rsidP="00F303E0">
      <w:pPr>
        <w:pStyle w:val="NoSpacing"/>
        <w:rPr>
          <w:rFonts w:cs="Times New Roman"/>
          <w:szCs w:val="26"/>
        </w:rPr>
      </w:pPr>
    </w:p>
    <w:p w14:paraId="54DE3ED5" w14:textId="77777777" w:rsidR="00F303E0" w:rsidRPr="00EE5714" w:rsidRDefault="00F303E0" w:rsidP="00F303E0">
      <w:pPr>
        <w:pStyle w:val="NoSpacing"/>
        <w:rPr>
          <w:rFonts w:cs="Times New Roman"/>
          <w:szCs w:val="26"/>
        </w:rPr>
      </w:pPr>
    </w:p>
    <w:p w14:paraId="6D1D50FC" w14:textId="73E349FE" w:rsidR="00F303E0" w:rsidRPr="00EE5714" w:rsidRDefault="00F734A0" w:rsidP="00F303E0">
      <w:pPr>
        <w:pStyle w:val="NoSpacing"/>
        <w:keepNext/>
        <w:rPr>
          <w:rFonts w:cs="Times New Roman"/>
          <w:szCs w:val="26"/>
        </w:rPr>
      </w:pPr>
      <w:r w:rsidRPr="00EE5714">
        <w:rPr>
          <w:rFonts w:cs="Times New Roman"/>
          <w:szCs w:val="26"/>
        </w:rPr>
        <w:t>Appendix 7</w:t>
      </w:r>
      <w:r w:rsidR="00F303E0" w:rsidRPr="00EE5714">
        <w:rPr>
          <w:rFonts w:cs="Times New Roman"/>
          <w:szCs w:val="26"/>
        </w:rPr>
        <w:t xml:space="preserve">.A.2: </w:t>
      </w:r>
      <w:r w:rsidR="00F303E0" w:rsidRPr="00EE5714">
        <w:rPr>
          <w:rFonts w:eastAsia="Times New Roman" w:cs="Times New Roman"/>
          <w:b/>
          <w:color w:val="000000"/>
          <w:szCs w:val="26"/>
        </w:rPr>
        <w:t>EDC Non-CAP Residential and CLI Total Debt &amp; Debt Ratios</w:t>
      </w:r>
    </w:p>
    <w:tbl>
      <w:tblPr>
        <w:tblW w:w="10440" w:type="dxa"/>
        <w:tblInd w:w="-4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780"/>
        <w:gridCol w:w="1292"/>
        <w:gridCol w:w="1150"/>
        <w:gridCol w:w="1178"/>
        <w:gridCol w:w="1180"/>
        <w:gridCol w:w="1234"/>
        <w:gridCol w:w="1106"/>
        <w:gridCol w:w="1350"/>
        <w:gridCol w:w="1170"/>
      </w:tblGrid>
      <w:tr w:rsidR="00F303E0" w:rsidRPr="00EE5714" w14:paraId="0452CD81" w14:textId="77777777" w:rsidTr="00CB67A2">
        <w:trPr>
          <w:trHeight w:val="300"/>
        </w:trPr>
        <w:tc>
          <w:tcPr>
            <w:tcW w:w="10440" w:type="dxa"/>
            <w:gridSpan w:val="9"/>
            <w:shd w:val="clear" w:color="auto" w:fill="D9D9D9" w:themeFill="background1" w:themeFillShade="D9"/>
            <w:vAlign w:val="bottom"/>
          </w:tcPr>
          <w:p w14:paraId="18B8CB0F" w14:textId="77777777" w:rsidR="00F303E0" w:rsidRPr="00EE5714" w:rsidRDefault="00F303E0" w:rsidP="00E43678">
            <w:pPr>
              <w:keepNext/>
              <w:spacing w:after="0" w:line="240" w:lineRule="auto"/>
              <w:jc w:val="center"/>
              <w:rPr>
                <w:rFonts w:ascii="Calibri" w:eastAsia="Times New Roman" w:hAnsi="Calibri" w:cs="Calibri"/>
                <w:color w:val="000000"/>
              </w:rPr>
            </w:pPr>
            <w:r w:rsidRPr="00EE5714">
              <w:rPr>
                <w:rFonts w:ascii="Calibri" w:eastAsia="Times New Roman" w:hAnsi="Calibri" w:cs="Calibri"/>
                <w:b/>
                <w:color w:val="000000"/>
              </w:rPr>
              <w:t xml:space="preserve">EDC Non-CAP Residential and Confirmed Low-Income Total Debt &amp; Debt Ratios </w:t>
            </w:r>
          </w:p>
        </w:tc>
      </w:tr>
      <w:tr w:rsidR="00F303E0" w:rsidRPr="00EE5714" w14:paraId="60C663D8" w14:textId="77777777" w:rsidTr="00997CB4">
        <w:trPr>
          <w:trHeight w:val="300"/>
        </w:trPr>
        <w:tc>
          <w:tcPr>
            <w:tcW w:w="780" w:type="dxa"/>
            <w:tcBorders>
              <w:right w:val="single" w:sz="12" w:space="0" w:color="000000" w:themeColor="text1"/>
            </w:tcBorders>
          </w:tcPr>
          <w:p w14:paraId="77A2732D" w14:textId="77777777" w:rsidR="00F303E0" w:rsidRPr="00EE5714" w:rsidRDefault="00F303E0" w:rsidP="00E43678">
            <w:pPr>
              <w:keepNext/>
              <w:spacing w:after="0" w:line="240" w:lineRule="auto"/>
              <w:rPr>
                <w:rFonts w:ascii="Calibri" w:eastAsia="Times New Roman" w:hAnsi="Calibri" w:cs="Calibri"/>
                <w:color w:val="000000"/>
                <w:sz w:val="21"/>
                <w:szCs w:val="21"/>
              </w:rPr>
            </w:pPr>
          </w:p>
        </w:tc>
        <w:tc>
          <w:tcPr>
            <w:tcW w:w="4800" w:type="dxa"/>
            <w:gridSpan w:val="4"/>
            <w:tcBorders>
              <w:top w:val="single" w:sz="12" w:space="0" w:color="000000" w:themeColor="text1"/>
              <w:left w:val="single" w:sz="12" w:space="0" w:color="000000" w:themeColor="text1"/>
              <w:right w:val="single" w:sz="12" w:space="0" w:color="000000" w:themeColor="text1"/>
            </w:tcBorders>
            <w:vAlign w:val="bottom"/>
          </w:tcPr>
          <w:p w14:paraId="2E2970B9" w14:textId="77777777" w:rsidR="00F303E0" w:rsidRPr="00EE5714" w:rsidRDefault="00F303E0" w:rsidP="00E43678">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Residential Customers</w:t>
            </w:r>
          </w:p>
        </w:tc>
        <w:tc>
          <w:tcPr>
            <w:tcW w:w="4860" w:type="dxa"/>
            <w:gridSpan w:val="4"/>
            <w:tcBorders>
              <w:top w:val="single" w:sz="12" w:space="0" w:color="000000" w:themeColor="text1"/>
              <w:left w:val="single" w:sz="12" w:space="0" w:color="000000" w:themeColor="text1"/>
              <w:right w:val="single" w:sz="12" w:space="0" w:color="000000" w:themeColor="text1"/>
            </w:tcBorders>
            <w:vAlign w:val="bottom"/>
          </w:tcPr>
          <w:p w14:paraId="06D627ED" w14:textId="77777777" w:rsidR="00F303E0" w:rsidRPr="00EE5714" w:rsidRDefault="00F303E0" w:rsidP="00E43678">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CLI Customers</w:t>
            </w:r>
          </w:p>
        </w:tc>
      </w:tr>
      <w:tr w:rsidR="002F034B" w:rsidRPr="00EE5714" w14:paraId="791BF66D" w14:textId="77777777" w:rsidTr="00997CB4">
        <w:trPr>
          <w:trHeight w:val="300"/>
        </w:trPr>
        <w:tc>
          <w:tcPr>
            <w:tcW w:w="780" w:type="dxa"/>
            <w:tcBorders>
              <w:right w:val="single" w:sz="12" w:space="0" w:color="000000" w:themeColor="text1"/>
            </w:tcBorders>
            <w:shd w:val="clear" w:color="auto" w:fill="auto"/>
          </w:tcPr>
          <w:p w14:paraId="35F150E0" w14:textId="77777777" w:rsidR="00F303E0" w:rsidRPr="00EE5714" w:rsidRDefault="00F303E0" w:rsidP="00E43678">
            <w:pPr>
              <w:keepNext/>
              <w:spacing w:after="0" w:line="240" w:lineRule="auto"/>
              <w:jc w:val="center"/>
              <w:rPr>
                <w:rFonts w:ascii="Calibri" w:eastAsia="Times New Roman" w:hAnsi="Calibri" w:cs="Calibri"/>
                <w:color w:val="000000"/>
                <w:sz w:val="21"/>
                <w:szCs w:val="21"/>
              </w:rPr>
            </w:pPr>
          </w:p>
        </w:tc>
        <w:tc>
          <w:tcPr>
            <w:tcW w:w="1292"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124A53EC" w14:textId="34AF257F" w:rsidR="00F303E0" w:rsidRPr="00EE5714" w:rsidRDefault="00F303E0" w:rsidP="00E43678">
            <w:pPr>
              <w:keepNext/>
              <w:spacing w:after="0" w:line="240" w:lineRule="auto"/>
              <w:jc w:val="center"/>
              <w:rPr>
                <w:rFonts w:ascii="Calibri" w:eastAsia="Times New Roman" w:hAnsi="Calibri" w:cs="Calibri"/>
                <w:color w:val="000000"/>
                <w:sz w:val="21"/>
                <w:szCs w:val="21"/>
              </w:rPr>
            </w:pPr>
            <w:r w:rsidRPr="00393999">
              <w:rPr>
                <w:rFonts w:ascii="Calibri" w:eastAsia="Times New Roman" w:hAnsi="Calibri" w:cs="Calibri"/>
                <w:b/>
                <w:color w:val="000000"/>
                <w:sz w:val="19"/>
                <w:szCs w:val="19"/>
              </w:rPr>
              <w:t>Dollars in Debt</w:t>
            </w:r>
            <w:r>
              <w:rPr>
                <w:rFonts w:ascii="Calibri" w:eastAsia="Times New Roman" w:hAnsi="Calibri" w:cs="Calibri"/>
                <w:b/>
                <w:color w:val="000000"/>
                <w:sz w:val="19"/>
                <w:szCs w:val="19"/>
              </w:rPr>
              <w:t xml:space="preserve"> </w:t>
            </w:r>
            <w:r w:rsidRPr="00393999">
              <w:rPr>
                <w:rFonts w:ascii="Calibri" w:eastAsia="Times New Roman" w:hAnsi="Calibri" w:cs="Calibri"/>
                <w:b/>
                <w:color w:val="000000"/>
                <w:sz w:val="19"/>
                <w:szCs w:val="19"/>
              </w:rPr>
              <w:t>on Agreement</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48823AFB" w14:textId="76DCDFAE" w:rsidR="00F303E0" w:rsidRPr="00EE5714" w:rsidRDefault="00F303E0" w:rsidP="00E43678">
            <w:pPr>
              <w:keepNext/>
              <w:spacing w:after="0" w:line="240" w:lineRule="auto"/>
              <w:jc w:val="center"/>
              <w:rPr>
                <w:rFonts w:ascii="Calibri" w:eastAsia="Times New Roman" w:hAnsi="Calibri" w:cs="Calibri"/>
                <w:color w:val="000000"/>
                <w:sz w:val="21"/>
                <w:szCs w:val="21"/>
              </w:rPr>
            </w:pPr>
            <w:r w:rsidRPr="00393999">
              <w:rPr>
                <w:rFonts w:ascii="Calibri" w:eastAsia="Times New Roman" w:hAnsi="Calibri" w:cs="Calibri"/>
                <w:b/>
                <w:color w:val="000000"/>
                <w:sz w:val="19"/>
                <w:szCs w:val="19"/>
              </w:rPr>
              <w:t>Debt Ratio on Agreement</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5609DB3A" w14:textId="303E031C" w:rsidR="00F303E0" w:rsidRPr="00EE5714" w:rsidRDefault="00F303E0" w:rsidP="00E43678">
            <w:pPr>
              <w:keepNext/>
              <w:spacing w:after="0" w:line="240" w:lineRule="auto"/>
              <w:jc w:val="center"/>
              <w:rPr>
                <w:rFonts w:ascii="Calibri" w:eastAsia="Times New Roman" w:hAnsi="Calibri" w:cs="Calibri"/>
                <w:color w:val="000000"/>
                <w:sz w:val="21"/>
                <w:szCs w:val="21"/>
              </w:rPr>
            </w:pPr>
            <w:r w:rsidRPr="00393999">
              <w:rPr>
                <w:rFonts w:ascii="Calibri" w:eastAsia="Times New Roman" w:hAnsi="Calibri" w:cs="Calibri"/>
                <w:b/>
                <w:color w:val="000000"/>
                <w:sz w:val="19"/>
                <w:szCs w:val="19"/>
              </w:rPr>
              <w:t>Dollars in Debt</w:t>
            </w:r>
            <w:r>
              <w:rPr>
                <w:rFonts w:ascii="Calibri" w:eastAsia="Times New Roman" w:hAnsi="Calibri" w:cs="Calibri"/>
                <w:b/>
                <w:color w:val="000000"/>
                <w:sz w:val="19"/>
                <w:szCs w:val="19"/>
              </w:rPr>
              <w:t xml:space="preserve"> </w:t>
            </w:r>
            <w:r w:rsidRPr="00393999">
              <w:rPr>
                <w:rFonts w:ascii="Calibri" w:eastAsia="Times New Roman" w:hAnsi="Calibri" w:cs="Calibri"/>
                <w:b/>
                <w:color w:val="000000"/>
                <w:sz w:val="19"/>
                <w:szCs w:val="19"/>
              </w:rPr>
              <w:t>Not on Agreement</w:t>
            </w:r>
          </w:p>
        </w:tc>
        <w:tc>
          <w:tcPr>
            <w:tcW w:w="118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2F2F2" w:themeFill="background1" w:themeFillShade="F2"/>
            <w:vAlign w:val="center"/>
          </w:tcPr>
          <w:p w14:paraId="532C1C28" w14:textId="560A1320" w:rsidR="00F303E0" w:rsidRPr="00EE5714" w:rsidRDefault="00F303E0" w:rsidP="00E43678">
            <w:pPr>
              <w:keepNext/>
              <w:spacing w:after="0" w:line="240" w:lineRule="auto"/>
              <w:jc w:val="center"/>
              <w:rPr>
                <w:rFonts w:ascii="Calibri" w:eastAsia="Times New Roman" w:hAnsi="Calibri" w:cs="Calibri"/>
                <w:color w:val="000000"/>
                <w:sz w:val="21"/>
                <w:szCs w:val="21"/>
              </w:rPr>
            </w:pPr>
            <w:r w:rsidRPr="00393999">
              <w:rPr>
                <w:rFonts w:ascii="Calibri" w:eastAsia="Times New Roman" w:hAnsi="Calibri" w:cs="Calibri"/>
                <w:b/>
                <w:color w:val="000000"/>
                <w:sz w:val="19"/>
                <w:szCs w:val="19"/>
              </w:rPr>
              <w:t>Debt Ratio Not on Agreement</w:t>
            </w:r>
          </w:p>
        </w:tc>
        <w:tc>
          <w:tcPr>
            <w:tcW w:w="1234"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0AD528A" w14:textId="10CF2A9F" w:rsidR="00F303E0" w:rsidRPr="00EE5714" w:rsidRDefault="00F303E0" w:rsidP="00E43678">
            <w:pPr>
              <w:keepNext/>
              <w:spacing w:after="0" w:line="240" w:lineRule="auto"/>
              <w:jc w:val="center"/>
              <w:rPr>
                <w:rFonts w:ascii="Calibri" w:eastAsia="Times New Roman" w:hAnsi="Calibri" w:cs="Calibri"/>
                <w:color w:val="000000"/>
                <w:sz w:val="21"/>
                <w:szCs w:val="21"/>
              </w:rPr>
            </w:pPr>
            <w:r w:rsidRPr="00393999">
              <w:rPr>
                <w:rFonts w:ascii="Calibri" w:eastAsia="Times New Roman" w:hAnsi="Calibri" w:cs="Calibri"/>
                <w:b/>
                <w:color w:val="000000"/>
                <w:sz w:val="19"/>
                <w:szCs w:val="19"/>
              </w:rPr>
              <w:t>Dollars in Debt</w:t>
            </w:r>
            <w:r>
              <w:rPr>
                <w:rFonts w:ascii="Calibri" w:eastAsia="Times New Roman" w:hAnsi="Calibri" w:cs="Calibri"/>
                <w:b/>
                <w:color w:val="000000"/>
                <w:sz w:val="19"/>
                <w:szCs w:val="19"/>
              </w:rPr>
              <w:t xml:space="preserve"> </w:t>
            </w:r>
            <w:r w:rsidRPr="00393999">
              <w:rPr>
                <w:rFonts w:ascii="Calibri" w:eastAsia="Times New Roman" w:hAnsi="Calibri" w:cs="Calibri"/>
                <w:b/>
                <w:color w:val="000000"/>
                <w:sz w:val="19"/>
                <w:szCs w:val="19"/>
              </w:rPr>
              <w:t>on Agreement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4442B3D" w14:textId="76A2C2CA" w:rsidR="00F303E0" w:rsidRPr="00EE5714" w:rsidRDefault="00F303E0" w:rsidP="00E43678">
            <w:pPr>
              <w:keepNext/>
              <w:spacing w:after="0" w:line="240" w:lineRule="auto"/>
              <w:jc w:val="center"/>
              <w:rPr>
                <w:rFonts w:ascii="Calibri" w:eastAsia="Times New Roman" w:hAnsi="Calibri" w:cs="Calibri"/>
                <w:color w:val="000000"/>
                <w:sz w:val="21"/>
                <w:szCs w:val="21"/>
              </w:rPr>
            </w:pPr>
            <w:r w:rsidRPr="00393999">
              <w:rPr>
                <w:rFonts w:ascii="Calibri" w:eastAsia="Times New Roman" w:hAnsi="Calibri" w:cs="Calibri"/>
                <w:b/>
                <w:color w:val="000000"/>
                <w:sz w:val="19"/>
                <w:szCs w:val="19"/>
              </w:rPr>
              <w:t>Debt Ratio on Agreement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190F069" w14:textId="2FFA5457" w:rsidR="00F303E0" w:rsidRPr="00EE5714" w:rsidRDefault="00F303E0" w:rsidP="00E43678">
            <w:pPr>
              <w:keepNext/>
              <w:spacing w:after="0" w:line="240" w:lineRule="auto"/>
              <w:jc w:val="center"/>
              <w:rPr>
                <w:rFonts w:ascii="Calibri" w:eastAsia="Times New Roman" w:hAnsi="Calibri" w:cs="Calibri"/>
                <w:color w:val="000000"/>
                <w:sz w:val="21"/>
                <w:szCs w:val="21"/>
              </w:rPr>
            </w:pPr>
            <w:r w:rsidRPr="00393999">
              <w:rPr>
                <w:rFonts w:ascii="Calibri" w:eastAsia="Times New Roman" w:hAnsi="Calibri" w:cs="Calibri"/>
                <w:b/>
                <w:color w:val="000000"/>
                <w:sz w:val="19"/>
                <w:szCs w:val="19"/>
              </w:rPr>
              <w:t>Dollars in Debt</w:t>
            </w:r>
            <w:r>
              <w:rPr>
                <w:rFonts w:ascii="Calibri" w:eastAsia="Times New Roman" w:hAnsi="Calibri" w:cs="Calibri"/>
                <w:b/>
                <w:color w:val="000000"/>
                <w:sz w:val="19"/>
                <w:szCs w:val="19"/>
              </w:rPr>
              <w:t xml:space="preserve"> </w:t>
            </w:r>
            <w:r w:rsidRPr="00393999">
              <w:rPr>
                <w:rFonts w:ascii="Calibri" w:eastAsia="Times New Roman" w:hAnsi="Calibri" w:cs="Calibri"/>
                <w:b/>
                <w:color w:val="000000"/>
                <w:sz w:val="19"/>
                <w:szCs w:val="19"/>
              </w:rPr>
              <w:t>Not on Agreement</w:t>
            </w:r>
          </w:p>
        </w:tc>
        <w:tc>
          <w:tcPr>
            <w:tcW w:w="117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F2F2F2" w:themeFill="background1" w:themeFillShade="F2"/>
            <w:noWrap/>
            <w:vAlign w:val="center"/>
            <w:hideMark/>
          </w:tcPr>
          <w:p w14:paraId="3063A0C8" w14:textId="31826593" w:rsidR="00F303E0" w:rsidRPr="00EE5714" w:rsidRDefault="00F303E0" w:rsidP="00E43678">
            <w:pPr>
              <w:keepNext/>
              <w:spacing w:after="0" w:line="240" w:lineRule="auto"/>
              <w:jc w:val="center"/>
              <w:rPr>
                <w:rFonts w:ascii="Calibri" w:eastAsia="Times New Roman" w:hAnsi="Calibri" w:cs="Calibri"/>
                <w:color w:val="000000"/>
                <w:sz w:val="21"/>
                <w:szCs w:val="21"/>
              </w:rPr>
            </w:pPr>
            <w:r w:rsidRPr="00393999">
              <w:rPr>
                <w:rFonts w:ascii="Calibri" w:eastAsia="Times New Roman" w:hAnsi="Calibri" w:cs="Calibri"/>
                <w:b/>
                <w:color w:val="000000"/>
                <w:sz w:val="19"/>
                <w:szCs w:val="19"/>
              </w:rPr>
              <w:t>Debt Ratio Not on Agreement</w:t>
            </w:r>
          </w:p>
        </w:tc>
      </w:tr>
      <w:tr w:rsidR="00F303E0" w:rsidRPr="00EE5714" w14:paraId="53095C86" w14:textId="77777777" w:rsidTr="00997CB4">
        <w:trPr>
          <w:trHeight w:hRule="exact" w:val="245"/>
        </w:trPr>
        <w:tc>
          <w:tcPr>
            <w:tcW w:w="780" w:type="dxa"/>
            <w:tcBorders>
              <w:right w:val="single" w:sz="12" w:space="0" w:color="000000" w:themeColor="text1"/>
            </w:tcBorders>
            <w:shd w:val="clear" w:color="auto" w:fill="auto"/>
            <w:vAlign w:val="center"/>
          </w:tcPr>
          <w:p w14:paraId="40C9B885"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color w:val="000000"/>
                <w:sz w:val="21"/>
                <w:szCs w:val="21"/>
              </w:rPr>
              <w:t>2012</w:t>
            </w:r>
          </w:p>
        </w:tc>
        <w:tc>
          <w:tcPr>
            <w:tcW w:w="1292" w:type="dxa"/>
            <w:tcBorders>
              <w:left w:val="single" w:sz="12" w:space="0" w:color="000000" w:themeColor="text1"/>
            </w:tcBorders>
            <w:shd w:val="clear" w:color="auto" w:fill="auto"/>
            <w:noWrap/>
          </w:tcPr>
          <w:p w14:paraId="15B8A92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$87,933,654</w:t>
            </w:r>
          </w:p>
        </w:tc>
        <w:tc>
          <w:tcPr>
            <w:tcW w:w="1150" w:type="dxa"/>
            <w:shd w:val="clear" w:color="auto" w:fill="auto"/>
            <w:noWrap/>
          </w:tcPr>
          <w:p w14:paraId="683DE0A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1.50%</w:t>
            </w:r>
          </w:p>
        </w:tc>
        <w:tc>
          <w:tcPr>
            <w:tcW w:w="1178" w:type="dxa"/>
            <w:shd w:val="clear" w:color="auto" w:fill="auto"/>
            <w:noWrap/>
          </w:tcPr>
          <w:p w14:paraId="28E1772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$121,967,580</w:t>
            </w:r>
          </w:p>
        </w:tc>
        <w:tc>
          <w:tcPr>
            <w:tcW w:w="1180" w:type="dxa"/>
            <w:tcBorders>
              <w:right w:val="single" w:sz="12" w:space="0" w:color="000000" w:themeColor="text1"/>
            </w:tcBorders>
          </w:tcPr>
          <w:p w14:paraId="6CA534B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2.08%</w:t>
            </w:r>
          </w:p>
        </w:tc>
        <w:tc>
          <w:tcPr>
            <w:tcW w:w="1234" w:type="dxa"/>
            <w:tcBorders>
              <w:left w:val="single" w:sz="12" w:space="0" w:color="000000" w:themeColor="text1"/>
            </w:tcBorders>
          </w:tcPr>
          <w:p w14:paraId="18E41BA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$49,252,710</w:t>
            </w:r>
          </w:p>
        </w:tc>
        <w:tc>
          <w:tcPr>
            <w:tcW w:w="1106" w:type="dxa"/>
          </w:tcPr>
          <w:p w14:paraId="0204F6E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7.13%</w:t>
            </w:r>
          </w:p>
        </w:tc>
        <w:tc>
          <w:tcPr>
            <w:tcW w:w="1350" w:type="dxa"/>
          </w:tcPr>
          <w:p w14:paraId="13801E8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$60,096,962</w:t>
            </w:r>
          </w:p>
        </w:tc>
        <w:tc>
          <w:tcPr>
            <w:tcW w:w="1170" w:type="dxa"/>
            <w:tcBorders>
              <w:right w:val="single" w:sz="12" w:space="0" w:color="000000" w:themeColor="text1"/>
            </w:tcBorders>
            <w:shd w:val="clear" w:color="auto" w:fill="auto"/>
            <w:noWrap/>
          </w:tcPr>
          <w:p w14:paraId="3521215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8.70%</w:t>
            </w:r>
          </w:p>
        </w:tc>
      </w:tr>
      <w:tr w:rsidR="00F303E0" w:rsidRPr="00EE5714" w14:paraId="2E2E31A3" w14:textId="77777777" w:rsidTr="00997CB4">
        <w:trPr>
          <w:trHeight w:hRule="exact" w:val="245"/>
        </w:trPr>
        <w:tc>
          <w:tcPr>
            <w:tcW w:w="780" w:type="dxa"/>
            <w:tcBorders>
              <w:right w:val="single" w:sz="12" w:space="0" w:color="000000" w:themeColor="text1"/>
            </w:tcBorders>
            <w:shd w:val="clear" w:color="auto" w:fill="auto"/>
            <w:vAlign w:val="center"/>
          </w:tcPr>
          <w:p w14:paraId="292F70ED"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color w:val="000000"/>
                <w:sz w:val="21"/>
                <w:szCs w:val="21"/>
              </w:rPr>
              <w:t>2013</w:t>
            </w:r>
          </w:p>
        </w:tc>
        <w:tc>
          <w:tcPr>
            <w:tcW w:w="1292" w:type="dxa"/>
            <w:tcBorders>
              <w:left w:val="single" w:sz="12" w:space="0" w:color="000000" w:themeColor="text1"/>
            </w:tcBorders>
            <w:shd w:val="clear" w:color="auto" w:fill="auto"/>
            <w:noWrap/>
          </w:tcPr>
          <w:p w14:paraId="1C0BEB5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$86,497,160</w:t>
            </w:r>
          </w:p>
        </w:tc>
        <w:tc>
          <w:tcPr>
            <w:tcW w:w="1150" w:type="dxa"/>
            <w:shd w:val="clear" w:color="auto" w:fill="auto"/>
            <w:noWrap/>
          </w:tcPr>
          <w:p w14:paraId="104F7D9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1.48%</w:t>
            </w:r>
          </w:p>
        </w:tc>
        <w:tc>
          <w:tcPr>
            <w:tcW w:w="1178" w:type="dxa"/>
            <w:shd w:val="clear" w:color="auto" w:fill="auto"/>
            <w:noWrap/>
          </w:tcPr>
          <w:p w14:paraId="549294D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$123,492,726</w:t>
            </w:r>
          </w:p>
        </w:tc>
        <w:tc>
          <w:tcPr>
            <w:tcW w:w="1180" w:type="dxa"/>
            <w:tcBorders>
              <w:right w:val="single" w:sz="12" w:space="0" w:color="000000" w:themeColor="text1"/>
            </w:tcBorders>
          </w:tcPr>
          <w:p w14:paraId="1664439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2.11%</w:t>
            </w:r>
          </w:p>
        </w:tc>
        <w:tc>
          <w:tcPr>
            <w:tcW w:w="1234" w:type="dxa"/>
            <w:tcBorders>
              <w:left w:val="single" w:sz="12" w:space="0" w:color="000000" w:themeColor="text1"/>
            </w:tcBorders>
          </w:tcPr>
          <w:p w14:paraId="1F82932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$49,749,028</w:t>
            </w:r>
          </w:p>
        </w:tc>
        <w:tc>
          <w:tcPr>
            <w:tcW w:w="1106" w:type="dxa"/>
          </w:tcPr>
          <w:p w14:paraId="6F545D6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6.91%</w:t>
            </w:r>
          </w:p>
        </w:tc>
        <w:tc>
          <w:tcPr>
            <w:tcW w:w="1350" w:type="dxa"/>
          </w:tcPr>
          <w:p w14:paraId="12909D5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$63,385,552</w:t>
            </w:r>
          </w:p>
        </w:tc>
        <w:tc>
          <w:tcPr>
            <w:tcW w:w="1170" w:type="dxa"/>
            <w:tcBorders>
              <w:right w:val="single" w:sz="12" w:space="0" w:color="000000" w:themeColor="text1"/>
            </w:tcBorders>
            <w:shd w:val="clear" w:color="auto" w:fill="auto"/>
            <w:noWrap/>
          </w:tcPr>
          <w:p w14:paraId="50F04FB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8.81%</w:t>
            </w:r>
          </w:p>
        </w:tc>
      </w:tr>
      <w:tr w:rsidR="00F303E0" w:rsidRPr="00EE5714" w14:paraId="74C9C1CD" w14:textId="77777777" w:rsidTr="00997CB4">
        <w:trPr>
          <w:trHeight w:hRule="exact" w:val="245"/>
        </w:trPr>
        <w:tc>
          <w:tcPr>
            <w:tcW w:w="780" w:type="dxa"/>
            <w:tcBorders>
              <w:right w:val="single" w:sz="12" w:space="0" w:color="000000" w:themeColor="text1"/>
            </w:tcBorders>
            <w:shd w:val="clear" w:color="auto" w:fill="auto"/>
            <w:vAlign w:val="center"/>
          </w:tcPr>
          <w:p w14:paraId="3D33091D"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color w:val="000000"/>
                <w:sz w:val="21"/>
                <w:szCs w:val="21"/>
              </w:rPr>
              <w:t>2014</w:t>
            </w:r>
          </w:p>
        </w:tc>
        <w:tc>
          <w:tcPr>
            <w:tcW w:w="1292" w:type="dxa"/>
            <w:tcBorders>
              <w:left w:val="single" w:sz="12" w:space="0" w:color="000000" w:themeColor="text1"/>
            </w:tcBorders>
            <w:shd w:val="clear" w:color="auto" w:fill="auto"/>
            <w:noWrap/>
          </w:tcPr>
          <w:p w14:paraId="69F181A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$88,622,175</w:t>
            </w:r>
          </w:p>
        </w:tc>
        <w:tc>
          <w:tcPr>
            <w:tcW w:w="1150" w:type="dxa"/>
            <w:shd w:val="clear" w:color="auto" w:fill="auto"/>
            <w:noWrap/>
          </w:tcPr>
          <w:p w14:paraId="71073DD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1.46%</w:t>
            </w:r>
          </w:p>
        </w:tc>
        <w:tc>
          <w:tcPr>
            <w:tcW w:w="1178" w:type="dxa"/>
            <w:shd w:val="clear" w:color="auto" w:fill="auto"/>
            <w:noWrap/>
          </w:tcPr>
          <w:p w14:paraId="3DDBD24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$117,253,696</w:t>
            </w:r>
          </w:p>
        </w:tc>
        <w:tc>
          <w:tcPr>
            <w:tcW w:w="1180" w:type="dxa"/>
            <w:tcBorders>
              <w:right w:val="single" w:sz="12" w:space="0" w:color="000000" w:themeColor="text1"/>
            </w:tcBorders>
          </w:tcPr>
          <w:p w14:paraId="351E7C6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1.93%</w:t>
            </w:r>
          </w:p>
        </w:tc>
        <w:tc>
          <w:tcPr>
            <w:tcW w:w="1234" w:type="dxa"/>
            <w:tcBorders>
              <w:left w:val="single" w:sz="12" w:space="0" w:color="000000" w:themeColor="text1"/>
            </w:tcBorders>
          </w:tcPr>
          <w:p w14:paraId="6D97655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$52,146,789</w:t>
            </w:r>
          </w:p>
        </w:tc>
        <w:tc>
          <w:tcPr>
            <w:tcW w:w="1106" w:type="dxa"/>
          </w:tcPr>
          <w:p w14:paraId="64189AD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6.89%</w:t>
            </w:r>
          </w:p>
        </w:tc>
        <w:tc>
          <w:tcPr>
            <w:tcW w:w="1350" w:type="dxa"/>
          </w:tcPr>
          <w:p w14:paraId="1EF9264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$63,456,151</w:t>
            </w:r>
          </w:p>
        </w:tc>
        <w:tc>
          <w:tcPr>
            <w:tcW w:w="1170" w:type="dxa"/>
            <w:tcBorders>
              <w:right w:val="single" w:sz="12" w:space="0" w:color="000000" w:themeColor="text1"/>
            </w:tcBorders>
            <w:shd w:val="clear" w:color="auto" w:fill="auto"/>
            <w:noWrap/>
          </w:tcPr>
          <w:p w14:paraId="573DB15B"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8.39%</w:t>
            </w:r>
          </w:p>
        </w:tc>
      </w:tr>
      <w:tr w:rsidR="00F303E0" w:rsidRPr="00EE5714" w14:paraId="115D2F66" w14:textId="77777777" w:rsidTr="00997CB4">
        <w:trPr>
          <w:trHeight w:hRule="exact" w:val="245"/>
        </w:trPr>
        <w:tc>
          <w:tcPr>
            <w:tcW w:w="780" w:type="dxa"/>
            <w:tcBorders>
              <w:right w:val="single" w:sz="12" w:space="0" w:color="000000" w:themeColor="text1"/>
            </w:tcBorders>
            <w:shd w:val="clear" w:color="auto" w:fill="auto"/>
            <w:vAlign w:val="center"/>
          </w:tcPr>
          <w:p w14:paraId="7B1CDC31"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color w:val="000000"/>
                <w:sz w:val="21"/>
                <w:szCs w:val="21"/>
              </w:rPr>
              <w:t>2015</w:t>
            </w:r>
          </w:p>
        </w:tc>
        <w:tc>
          <w:tcPr>
            <w:tcW w:w="1292" w:type="dxa"/>
            <w:tcBorders>
              <w:left w:val="single" w:sz="12" w:space="0" w:color="000000" w:themeColor="text1"/>
            </w:tcBorders>
            <w:shd w:val="clear" w:color="auto" w:fill="auto"/>
            <w:noWrap/>
          </w:tcPr>
          <w:p w14:paraId="1D38346C"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$85,684,424</w:t>
            </w:r>
          </w:p>
        </w:tc>
        <w:tc>
          <w:tcPr>
            <w:tcW w:w="1150" w:type="dxa"/>
            <w:shd w:val="clear" w:color="auto" w:fill="auto"/>
            <w:noWrap/>
          </w:tcPr>
          <w:p w14:paraId="103FC70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1.31%</w:t>
            </w:r>
          </w:p>
        </w:tc>
        <w:tc>
          <w:tcPr>
            <w:tcW w:w="1178" w:type="dxa"/>
            <w:shd w:val="clear" w:color="auto" w:fill="auto"/>
            <w:noWrap/>
          </w:tcPr>
          <w:p w14:paraId="79C2854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$118,382,200</w:t>
            </w:r>
          </w:p>
        </w:tc>
        <w:tc>
          <w:tcPr>
            <w:tcW w:w="1180" w:type="dxa"/>
            <w:tcBorders>
              <w:right w:val="single" w:sz="12" w:space="0" w:color="000000" w:themeColor="text1"/>
            </w:tcBorders>
          </w:tcPr>
          <w:p w14:paraId="367F975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1.81%</w:t>
            </w:r>
          </w:p>
        </w:tc>
        <w:tc>
          <w:tcPr>
            <w:tcW w:w="1234" w:type="dxa"/>
            <w:tcBorders>
              <w:left w:val="single" w:sz="12" w:space="0" w:color="000000" w:themeColor="text1"/>
            </w:tcBorders>
          </w:tcPr>
          <w:p w14:paraId="57DD8E0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$49,875,767</w:t>
            </w:r>
          </w:p>
        </w:tc>
        <w:tc>
          <w:tcPr>
            <w:tcW w:w="1106" w:type="dxa"/>
          </w:tcPr>
          <w:p w14:paraId="699F00A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5.89%</w:t>
            </w:r>
          </w:p>
        </w:tc>
        <w:tc>
          <w:tcPr>
            <w:tcW w:w="1350" w:type="dxa"/>
          </w:tcPr>
          <w:p w14:paraId="13E8090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$59,078,750</w:t>
            </w:r>
          </w:p>
        </w:tc>
        <w:tc>
          <w:tcPr>
            <w:tcW w:w="1170" w:type="dxa"/>
            <w:tcBorders>
              <w:right w:val="single" w:sz="12" w:space="0" w:color="000000" w:themeColor="text1"/>
            </w:tcBorders>
            <w:shd w:val="clear" w:color="auto" w:fill="auto"/>
            <w:noWrap/>
          </w:tcPr>
          <w:p w14:paraId="47AEA0D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6.98%</w:t>
            </w:r>
          </w:p>
        </w:tc>
      </w:tr>
      <w:tr w:rsidR="00F303E0" w:rsidRPr="00EE5714" w14:paraId="6323AAE2" w14:textId="77777777" w:rsidTr="00997CB4">
        <w:trPr>
          <w:trHeight w:hRule="exact" w:val="245"/>
        </w:trPr>
        <w:tc>
          <w:tcPr>
            <w:tcW w:w="780" w:type="dxa"/>
            <w:tcBorders>
              <w:right w:val="single" w:sz="12" w:space="0" w:color="000000" w:themeColor="text1"/>
            </w:tcBorders>
            <w:shd w:val="clear" w:color="auto" w:fill="auto"/>
            <w:vAlign w:val="center"/>
          </w:tcPr>
          <w:p w14:paraId="3EF026FC" w14:textId="77777777" w:rsidR="00F303E0" w:rsidRPr="00EE5714" w:rsidRDefault="00F303E0" w:rsidP="00851815">
            <w:pPr>
              <w:jc w:val="center"/>
              <w:rPr>
                <w:rFonts w:ascii="Calibri" w:eastAsia="Times New Roman" w:hAnsi="Calibri" w:cs="Calibri"/>
                <w:b/>
                <w:color w:val="000000"/>
                <w:sz w:val="21"/>
                <w:szCs w:val="21"/>
              </w:rPr>
            </w:pPr>
            <w:r w:rsidRPr="00EE5714">
              <w:rPr>
                <w:rFonts w:ascii="Calibri" w:hAnsi="Calibri" w:cs="Calibri"/>
                <w:b/>
                <w:color w:val="000000"/>
                <w:sz w:val="21"/>
                <w:szCs w:val="21"/>
              </w:rPr>
              <w:t>2016</w:t>
            </w:r>
          </w:p>
        </w:tc>
        <w:tc>
          <w:tcPr>
            <w:tcW w:w="1292" w:type="dxa"/>
            <w:tcBorders>
              <w:left w:val="single" w:sz="12" w:space="0" w:color="000000" w:themeColor="text1"/>
              <w:bottom w:val="single" w:sz="12" w:space="0" w:color="000000" w:themeColor="text1"/>
            </w:tcBorders>
            <w:shd w:val="clear" w:color="auto" w:fill="auto"/>
            <w:noWrap/>
          </w:tcPr>
          <w:p w14:paraId="1E145D9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$88,010,703</w:t>
            </w:r>
          </w:p>
        </w:tc>
        <w:tc>
          <w:tcPr>
            <w:tcW w:w="1150" w:type="dxa"/>
            <w:tcBorders>
              <w:bottom w:val="single" w:sz="12" w:space="0" w:color="000000" w:themeColor="text1"/>
            </w:tcBorders>
            <w:shd w:val="clear" w:color="auto" w:fill="auto"/>
            <w:noWrap/>
          </w:tcPr>
          <w:p w14:paraId="0E579E70"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1.33%</w:t>
            </w:r>
          </w:p>
        </w:tc>
        <w:tc>
          <w:tcPr>
            <w:tcW w:w="1178" w:type="dxa"/>
            <w:tcBorders>
              <w:bottom w:val="single" w:sz="12" w:space="0" w:color="000000" w:themeColor="text1"/>
            </w:tcBorders>
            <w:shd w:val="clear" w:color="auto" w:fill="auto"/>
            <w:noWrap/>
          </w:tcPr>
          <w:p w14:paraId="5265D8B9"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$128,615,186</w:t>
            </w:r>
          </w:p>
        </w:tc>
        <w:tc>
          <w:tcPr>
            <w:tcW w:w="1180" w:type="dxa"/>
            <w:tcBorders>
              <w:bottom w:val="single" w:sz="12" w:space="0" w:color="000000" w:themeColor="text1"/>
              <w:right w:val="single" w:sz="12" w:space="0" w:color="000000" w:themeColor="text1"/>
            </w:tcBorders>
          </w:tcPr>
          <w:p w14:paraId="2838073A"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1.95%</w:t>
            </w:r>
          </w:p>
        </w:tc>
        <w:tc>
          <w:tcPr>
            <w:tcW w:w="1234" w:type="dxa"/>
            <w:tcBorders>
              <w:left w:val="single" w:sz="12" w:space="0" w:color="000000" w:themeColor="text1"/>
              <w:bottom w:val="single" w:sz="12" w:space="0" w:color="000000" w:themeColor="text1"/>
            </w:tcBorders>
          </w:tcPr>
          <w:p w14:paraId="087A03A1"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$44,425,964</w:t>
            </w:r>
          </w:p>
        </w:tc>
        <w:tc>
          <w:tcPr>
            <w:tcW w:w="1106" w:type="dxa"/>
            <w:tcBorders>
              <w:bottom w:val="single" w:sz="12" w:space="0" w:color="000000" w:themeColor="text1"/>
            </w:tcBorders>
          </w:tcPr>
          <w:p w14:paraId="4BE9FCDF"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5.19%</w:t>
            </w:r>
          </w:p>
        </w:tc>
        <w:tc>
          <w:tcPr>
            <w:tcW w:w="1350" w:type="dxa"/>
            <w:tcBorders>
              <w:bottom w:val="single" w:sz="12" w:space="0" w:color="000000" w:themeColor="text1"/>
            </w:tcBorders>
          </w:tcPr>
          <w:p w14:paraId="6A96D87E"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$53,936,970</w:t>
            </w:r>
          </w:p>
        </w:tc>
        <w:tc>
          <w:tcPr>
            <w:tcW w:w="1170" w:type="dxa"/>
            <w:tcBorders>
              <w:bottom w:val="single" w:sz="12" w:space="0" w:color="000000" w:themeColor="text1"/>
              <w:right w:val="single" w:sz="12" w:space="0" w:color="000000" w:themeColor="text1"/>
            </w:tcBorders>
            <w:shd w:val="clear" w:color="auto" w:fill="auto"/>
            <w:noWrap/>
          </w:tcPr>
          <w:p w14:paraId="37FC3FAD"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6.30%</w:t>
            </w:r>
          </w:p>
        </w:tc>
      </w:tr>
    </w:tbl>
    <w:p w14:paraId="6FD2564F" w14:textId="77777777" w:rsidR="00F303E0" w:rsidRPr="00EE5714" w:rsidRDefault="00F303E0" w:rsidP="00F303E0">
      <w:pPr>
        <w:pStyle w:val="NoSpacing"/>
        <w:rPr>
          <w:rFonts w:cs="Times New Roman"/>
          <w:szCs w:val="26"/>
        </w:rPr>
      </w:pPr>
    </w:p>
    <w:p w14:paraId="73460F47" w14:textId="77777777" w:rsidR="00F303E0" w:rsidRPr="00EE5714" w:rsidRDefault="00F303E0" w:rsidP="00F303E0">
      <w:pPr>
        <w:pStyle w:val="NoSpacing"/>
        <w:rPr>
          <w:rFonts w:cs="Times New Roman"/>
          <w:szCs w:val="26"/>
        </w:rPr>
      </w:pPr>
    </w:p>
    <w:p w14:paraId="367E70A1" w14:textId="77777777" w:rsidR="00AF0818" w:rsidRDefault="00F734A0" w:rsidP="009D29C1">
      <w:pPr>
        <w:keepNext/>
        <w:spacing w:after="0" w:line="240" w:lineRule="auto"/>
        <w:rPr>
          <w:rFonts w:ascii="Times New Roman" w:hAnsi="Times New Roman" w:cs="Times New Roman"/>
          <w:i/>
          <w:color w:val="000000" w:themeColor="text1"/>
          <w:sz w:val="26"/>
          <w:szCs w:val="26"/>
        </w:rPr>
      </w:pPr>
      <w:r w:rsidRPr="00AF0818">
        <w:rPr>
          <w:rFonts w:ascii="Times New Roman" w:hAnsi="Times New Roman" w:cs="Times New Roman"/>
          <w:i/>
          <w:color w:val="000000" w:themeColor="text1"/>
          <w:sz w:val="26"/>
          <w:szCs w:val="26"/>
        </w:rPr>
        <w:t>Appendix 7</w:t>
      </w:r>
      <w:r w:rsidR="00F303E0" w:rsidRPr="00AF0818">
        <w:rPr>
          <w:rFonts w:ascii="Times New Roman" w:hAnsi="Times New Roman" w:cs="Times New Roman"/>
          <w:i/>
          <w:color w:val="000000" w:themeColor="text1"/>
          <w:sz w:val="26"/>
          <w:szCs w:val="26"/>
        </w:rPr>
        <w:t>.B: Tables 8-1 and 8-3 NGDC Non-CAP Residential Customers</w:t>
      </w:r>
    </w:p>
    <w:p w14:paraId="218B52A4" w14:textId="3570767D" w:rsidR="00423E64" w:rsidRDefault="00423E64" w:rsidP="00AF0818">
      <w:pPr>
        <w:keepNext/>
        <w:spacing w:after="0" w:line="240" w:lineRule="auto"/>
        <w:rPr>
          <w:rFonts w:ascii="Times New Roman" w:hAnsi="Times New Roman" w:cs="Times New Roman"/>
          <w:b/>
          <w:color w:val="000000" w:themeColor="text1"/>
          <w:sz w:val="26"/>
          <w:szCs w:val="26"/>
        </w:rPr>
      </w:pPr>
      <w:r w:rsidRPr="00AF0818">
        <w:rPr>
          <w:rFonts w:ascii="Times New Roman" w:hAnsi="Times New Roman" w:cs="Times New Roman"/>
          <w:color w:val="000000" w:themeColor="text1"/>
          <w:sz w:val="26"/>
          <w:szCs w:val="26"/>
        </w:rPr>
        <w:t>Appendix</w:t>
      </w:r>
      <w:r>
        <w:rPr>
          <w:rFonts w:ascii="Times New Roman" w:hAnsi="Times New Roman" w:cs="Times New Roman"/>
          <w:color w:val="000000" w:themeColor="text1"/>
          <w:sz w:val="26"/>
          <w:szCs w:val="26"/>
        </w:rPr>
        <w:t xml:space="preserve"> 7.B.1:  </w:t>
      </w:r>
      <w:r>
        <w:rPr>
          <w:rFonts w:ascii="Times New Roman" w:hAnsi="Times New Roman" w:cs="Times New Roman"/>
          <w:b/>
          <w:color w:val="000000" w:themeColor="text1"/>
          <w:sz w:val="26"/>
          <w:szCs w:val="26"/>
        </w:rPr>
        <w:t>NGDC Non-CAP Residential Customers Debt &amp; Debt Ratio</w:t>
      </w:r>
    </w:p>
    <w:tbl>
      <w:tblPr>
        <w:tblW w:w="11340" w:type="dxa"/>
        <w:tblInd w:w="-910" w:type="dxa"/>
        <w:tblLayout w:type="fixed"/>
        <w:tblLook w:val="04A0" w:firstRow="1" w:lastRow="0" w:firstColumn="1" w:lastColumn="0" w:noHBand="0" w:noVBand="1"/>
      </w:tblPr>
      <w:tblGrid>
        <w:gridCol w:w="1350"/>
        <w:gridCol w:w="2497"/>
        <w:gridCol w:w="2498"/>
        <w:gridCol w:w="2497"/>
        <w:gridCol w:w="2498"/>
      </w:tblGrid>
      <w:tr w:rsidR="0064393E" w:rsidRPr="0064393E" w14:paraId="17ADED01" w14:textId="77777777" w:rsidTr="00946035">
        <w:trPr>
          <w:trHeight w:val="274"/>
        </w:trPr>
        <w:tc>
          <w:tcPr>
            <w:tcW w:w="1350" w:type="dxa"/>
            <w:tcBorders>
              <w:top w:val="single" w:sz="8" w:space="0" w:color="000000"/>
              <w:left w:val="single" w:sz="8" w:space="0" w:color="000000"/>
              <w:bottom w:val="single" w:sz="4" w:space="0" w:color="000000"/>
              <w:right w:val="single" w:sz="4" w:space="0" w:color="000000"/>
            </w:tcBorders>
            <w:shd w:val="clear" w:color="auto" w:fill="auto"/>
          </w:tcPr>
          <w:p w14:paraId="41F3102C" w14:textId="77777777" w:rsidR="0064393E" w:rsidRPr="0064393E" w:rsidRDefault="0064393E" w:rsidP="00AF0818">
            <w:pPr>
              <w:keepNext/>
              <w:spacing w:after="0" w:line="240" w:lineRule="auto"/>
              <w:rPr>
                <w:rFonts w:ascii="Calibri" w:eastAsia="Times New Roman" w:hAnsi="Calibri" w:cs="Calibri"/>
                <w:color w:val="000000"/>
                <w:sz w:val="21"/>
                <w:szCs w:val="21"/>
              </w:rPr>
            </w:pPr>
          </w:p>
        </w:tc>
        <w:tc>
          <w:tcPr>
            <w:tcW w:w="2497" w:type="dxa"/>
            <w:tcBorders>
              <w:top w:val="single" w:sz="4" w:space="0" w:color="000000"/>
              <w:bottom w:val="single" w:sz="4" w:space="0" w:color="000000"/>
              <w:right w:val="single" w:sz="4" w:space="0" w:color="000000"/>
            </w:tcBorders>
            <w:shd w:val="clear" w:color="auto" w:fill="auto"/>
            <w:noWrap/>
            <w:vAlign w:val="bottom"/>
            <w:hideMark/>
          </w:tcPr>
          <w:p w14:paraId="24C03C95" w14:textId="06D1B1CE"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Dollars in Debt on Agreement</w:t>
            </w:r>
          </w:p>
        </w:tc>
        <w:tc>
          <w:tcPr>
            <w:tcW w:w="249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E0D660" w14:textId="4E6EB915" w:rsidR="0064393E" w:rsidRPr="0064393E" w:rsidRDefault="0064393E" w:rsidP="00AF0818">
            <w:pPr>
              <w:keepNext/>
              <w:spacing w:after="0" w:line="240" w:lineRule="auto"/>
              <w:jc w:val="center"/>
              <w:rPr>
                <w:rFonts w:ascii="Calibri" w:eastAsia="Times New Roman" w:hAnsi="Calibri" w:cs="Calibri"/>
                <w:b/>
                <w:bCs/>
                <w:color w:val="000000"/>
                <w:sz w:val="21"/>
                <w:szCs w:val="21"/>
              </w:rPr>
            </w:pPr>
            <w:r w:rsidRPr="0064393E">
              <w:rPr>
                <w:rFonts w:ascii="Calibri" w:eastAsia="Times New Roman" w:hAnsi="Calibri" w:cs="Calibri"/>
                <w:b/>
                <w:bCs/>
                <w:color w:val="000000"/>
                <w:sz w:val="21"/>
                <w:szCs w:val="21"/>
              </w:rPr>
              <w:t>Debt Ratio on Agreement</w:t>
            </w:r>
          </w:p>
        </w:tc>
        <w:tc>
          <w:tcPr>
            <w:tcW w:w="24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8D0E32" w14:textId="08BF4901"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Dollars in Debt Not on Agreement</w:t>
            </w:r>
          </w:p>
        </w:tc>
        <w:tc>
          <w:tcPr>
            <w:tcW w:w="24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666E99" w14:textId="6296AD22" w:rsidR="0064393E" w:rsidRPr="0064393E" w:rsidRDefault="0064393E" w:rsidP="00AF0818">
            <w:pPr>
              <w:keepNext/>
              <w:spacing w:after="0" w:line="240" w:lineRule="auto"/>
              <w:jc w:val="center"/>
              <w:rPr>
                <w:rFonts w:ascii="Calibri" w:eastAsia="Times New Roman" w:hAnsi="Calibri" w:cs="Calibri"/>
                <w:b/>
                <w:bCs/>
                <w:color w:val="000000"/>
                <w:sz w:val="21"/>
                <w:szCs w:val="21"/>
              </w:rPr>
            </w:pPr>
            <w:r w:rsidRPr="0064393E">
              <w:rPr>
                <w:rFonts w:ascii="Calibri" w:eastAsia="Times New Roman" w:hAnsi="Calibri" w:cs="Calibri"/>
                <w:b/>
                <w:bCs/>
                <w:color w:val="000000"/>
                <w:sz w:val="21"/>
                <w:szCs w:val="21"/>
              </w:rPr>
              <w:t>Debt Ratio Not on Agreement</w:t>
            </w:r>
          </w:p>
        </w:tc>
      </w:tr>
      <w:tr w:rsidR="0064393E" w:rsidRPr="0064393E" w14:paraId="7C136FAF"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0669F7F0" w14:textId="77777777" w:rsidR="0064393E" w:rsidRPr="0064393E" w:rsidRDefault="0064393E" w:rsidP="00AF0818">
            <w:pPr>
              <w:keepNext/>
              <w:spacing w:after="0" w:line="240" w:lineRule="auto"/>
              <w:rPr>
                <w:rFonts w:ascii="Calibri" w:eastAsia="Times New Roman" w:hAnsi="Calibri" w:cs="Calibri"/>
                <w:sz w:val="21"/>
                <w:szCs w:val="21"/>
              </w:rPr>
            </w:pPr>
            <w:r w:rsidRPr="0064393E">
              <w:rPr>
                <w:rFonts w:ascii="Calibri" w:eastAsia="Times New Roman" w:hAnsi="Calibri" w:cs="Calibri"/>
                <w:b/>
                <w:color w:val="000000"/>
                <w:sz w:val="21"/>
                <w:szCs w:val="21"/>
              </w:rPr>
              <w:t>Columbia</w:t>
            </w:r>
          </w:p>
        </w:tc>
        <w:tc>
          <w:tcPr>
            <w:tcW w:w="2497"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tcPr>
          <w:p w14:paraId="2A596AFC" w14:textId="77777777" w:rsidR="0064393E" w:rsidRPr="0064393E" w:rsidRDefault="0064393E" w:rsidP="00AF0818">
            <w:pPr>
              <w:keepNext/>
              <w:spacing w:after="0" w:line="240" w:lineRule="auto"/>
              <w:jc w:val="center"/>
              <w:rPr>
                <w:rFonts w:ascii="Calibri" w:eastAsia="Times New Roman" w:hAnsi="Calibri" w:cs="Calibri"/>
                <w:sz w:val="21"/>
                <w:szCs w:val="21"/>
              </w:rPr>
            </w:pPr>
          </w:p>
        </w:tc>
        <w:tc>
          <w:tcPr>
            <w:tcW w:w="2498" w:type="dxa"/>
            <w:tcBorders>
              <w:top w:val="nil"/>
              <w:left w:val="nil"/>
              <w:bottom w:val="single" w:sz="4" w:space="0" w:color="000000"/>
              <w:right w:val="single" w:sz="4" w:space="0" w:color="000000"/>
            </w:tcBorders>
            <w:shd w:val="clear" w:color="auto" w:fill="F2F2F2" w:themeFill="background1" w:themeFillShade="F2"/>
            <w:noWrap/>
            <w:vAlign w:val="bottom"/>
          </w:tcPr>
          <w:p w14:paraId="436A133F" w14:textId="77777777" w:rsidR="0064393E" w:rsidRPr="0064393E" w:rsidRDefault="0064393E" w:rsidP="00AF0818">
            <w:pPr>
              <w:keepNext/>
              <w:spacing w:after="0" w:line="240" w:lineRule="auto"/>
              <w:jc w:val="center"/>
              <w:rPr>
                <w:rFonts w:ascii="Calibri" w:eastAsia="Times New Roman" w:hAnsi="Calibri" w:cs="Calibri"/>
                <w:sz w:val="21"/>
                <w:szCs w:val="21"/>
              </w:rPr>
            </w:pPr>
          </w:p>
        </w:tc>
        <w:tc>
          <w:tcPr>
            <w:tcW w:w="2497" w:type="dxa"/>
            <w:tcBorders>
              <w:top w:val="nil"/>
              <w:left w:val="nil"/>
              <w:bottom w:val="single" w:sz="4" w:space="0" w:color="000000"/>
              <w:right w:val="single" w:sz="4" w:space="0" w:color="000000"/>
            </w:tcBorders>
            <w:shd w:val="clear" w:color="auto" w:fill="F2F2F2" w:themeFill="background1" w:themeFillShade="F2"/>
            <w:noWrap/>
            <w:vAlign w:val="bottom"/>
          </w:tcPr>
          <w:p w14:paraId="57713F96" w14:textId="77777777" w:rsidR="0064393E" w:rsidRPr="0064393E" w:rsidRDefault="0064393E" w:rsidP="00AF0818">
            <w:pPr>
              <w:keepNext/>
              <w:spacing w:after="0" w:line="240" w:lineRule="auto"/>
              <w:jc w:val="center"/>
              <w:rPr>
                <w:rFonts w:ascii="Calibri" w:eastAsia="Times New Roman" w:hAnsi="Calibri" w:cs="Calibri"/>
                <w:sz w:val="21"/>
                <w:szCs w:val="21"/>
              </w:rPr>
            </w:pPr>
          </w:p>
        </w:tc>
        <w:tc>
          <w:tcPr>
            <w:tcW w:w="2498" w:type="dxa"/>
            <w:tcBorders>
              <w:top w:val="nil"/>
              <w:left w:val="nil"/>
              <w:bottom w:val="single" w:sz="4" w:space="0" w:color="000000"/>
              <w:right w:val="single" w:sz="8" w:space="0" w:color="000000"/>
            </w:tcBorders>
            <w:shd w:val="clear" w:color="auto" w:fill="F2F2F2" w:themeFill="background1" w:themeFillShade="F2"/>
            <w:noWrap/>
            <w:vAlign w:val="bottom"/>
          </w:tcPr>
          <w:p w14:paraId="2EA14651"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p>
        </w:tc>
      </w:tr>
      <w:tr w:rsidR="0064393E" w:rsidRPr="0064393E" w14:paraId="5F9CE25E"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0B079BF"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2012</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5D3B60E3"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$3,164,943</w:t>
            </w:r>
          </w:p>
        </w:tc>
        <w:tc>
          <w:tcPr>
            <w:tcW w:w="2498" w:type="dxa"/>
            <w:tcBorders>
              <w:top w:val="nil"/>
              <w:left w:val="nil"/>
              <w:bottom w:val="single" w:sz="4" w:space="0" w:color="000000"/>
              <w:right w:val="single" w:sz="4" w:space="0" w:color="000000"/>
            </w:tcBorders>
            <w:shd w:val="clear" w:color="auto" w:fill="auto"/>
            <w:noWrap/>
            <w:vAlign w:val="center"/>
            <w:hideMark/>
          </w:tcPr>
          <w:p w14:paraId="4A00CFC3"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6.80%</w:t>
            </w:r>
          </w:p>
        </w:tc>
        <w:tc>
          <w:tcPr>
            <w:tcW w:w="2497" w:type="dxa"/>
            <w:tcBorders>
              <w:top w:val="nil"/>
              <w:left w:val="nil"/>
              <w:bottom w:val="single" w:sz="4" w:space="0" w:color="000000"/>
              <w:right w:val="single" w:sz="4" w:space="0" w:color="000000"/>
            </w:tcBorders>
            <w:shd w:val="clear" w:color="auto" w:fill="auto"/>
            <w:noWrap/>
            <w:vAlign w:val="center"/>
            <w:hideMark/>
          </w:tcPr>
          <w:p w14:paraId="1C2F49E1"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$1,121,775</w:t>
            </w:r>
          </w:p>
        </w:tc>
        <w:tc>
          <w:tcPr>
            <w:tcW w:w="2498" w:type="dxa"/>
            <w:tcBorders>
              <w:top w:val="nil"/>
              <w:left w:val="nil"/>
              <w:bottom w:val="single" w:sz="4" w:space="0" w:color="000000"/>
              <w:right w:val="single" w:sz="8" w:space="0" w:color="000000"/>
            </w:tcBorders>
            <w:shd w:val="clear" w:color="auto" w:fill="auto"/>
            <w:noWrap/>
            <w:vAlign w:val="center"/>
            <w:hideMark/>
          </w:tcPr>
          <w:p w14:paraId="5D31EEA4"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2.41%</w:t>
            </w:r>
          </w:p>
        </w:tc>
      </w:tr>
      <w:tr w:rsidR="0064393E" w:rsidRPr="0064393E" w14:paraId="06ED7F51"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20A5135B"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2013</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77E4506A"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$5,282,905</w:t>
            </w:r>
          </w:p>
        </w:tc>
        <w:tc>
          <w:tcPr>
            <w:tcW w:w="2498" w:type="dxa"/>
            <w:tcBorders>
              <w:top w:val="nil"/>
              <w:left w:val="nil"/>
              <w:bottom w:val="single" w:sz="4" w:space="0" w:color="000000"/>
              <w:right w:val="single" w:sz="4" w:space="0" w:color="000000"/>
            </w:tcBorders>
            <w:shd w:val="clear" w:color="auto" w:fill="auto"/>
            <w:noWrap/>
            <w:vAlign w:val="center"/>
            <w:hideMark/>
          </w:tcPr>
          <w:p w14:paraId="0CEDE1DB"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9.46%</w:t>
            </w:r>
          </w:p>
        </w:tc>
        <w:tc>
          <w:tcPr>
            <w:tcW w:w="2497" w:type="dxa"/>
            <w:tcBorders>
              <w:top w:val="nil"/>
              <w:left w:val="nil"/>
              <w:bottom w:val="single" w:sz="4" w:space="0" w:color="000000"/>
              <w:right w:val="single" w:sz="4" w:space="0" w:color="000000"/>
            </w:tcBorders>
            <w:shd w:val="clear" w:color="auto" w:fill="auto"/>
            <w:noWrap/>
            <w:vAlign w:val="center"/>
            <w:hideMark/>
          </w:tcPr>
          <w:p w14:paraId="1CFE3F0A"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$628,897</w:t>
            </w:r>
          </w:p>
        </w:tc>
        <w:tc>
          <w:tcPr>
            <w:tcW w:w="2498" w:type="dxa"/>
            <w:tcBorders>
              <w:top w:val="nil"/>
              <w:left w:val="nil"/>
              <w:bottom w:val="single" w:sz="4" w:space="0" w:color="000000"/>
              <w:right w:val="single" w:sz="8" w:space="0" w:color="000000"/>
            </w:tcBorders>
            <w:shd w:val="clear" w:color="auto" w:fill="auto"/>
            <w:noWrap/>
            <w:vAlign w:val="center"/>
            <w:hideMark/>
          </w:tcPr>
          <w:p w14:paraId="60C52A1D"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1.13%</w:t>
            </w:r>
          </w:p>
        </w:tc>
      </w:tr>
      <w:tr w:rsidR="0064393E" w:rsidRPr="0064393E" w14:paraId="6F46FC2B"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603A05AA"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2014</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2CF8304A"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$6,756,013</w:t>
            </w:r>
          </w:p>
        </w:tc>
        <w:tc>
          <w:tcPr>
            <w:tcW w:w="2498" w:type="dxa"/>
            <w:tcBorders>
              <w:top w:val="nil"/>
              <w:left w:val="nil"/>
              <w:bottom w:val="single" w:sz="4" w:space="0" w:color="000000"/>
              <w:right w:val="single" w:sz="4" w:space="0" w:color="000000"/>
            </w:tcBorders>
            <w:shd w:val="clear" w:color="auto" w:fill="auto"/>
            <w:noWrap/>
            <w:vAlign w:val="center"/>
            <w:hideMark/>
          </w:tcPr>
          <w:p w14:paraId="48613F14"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10.19%</w:t>
            </w:r>
          </w:p>
        </w:tc>
        <w:tc>
          <w:tcPr>
            <w:tcW w:w="2497" w:type="dxa"/>
            <w:tcBorders>
              <w:top w:val="nil"/>
              <w:left w:val="nil"/>
              <w:bottom w:val="single" w:sz="4" w:space="0" w:color="000000"/>
              <w:right w:val="single" w:sz="4" w:space="0" w:color="000000"/>
            </w:tcBorders>
            <w:shd w:val="clear" w:color="auto" w:fill="auto"/>
            <w:noWrap/>
            <w:vAlign w:val="center"/>
            <w:hideMark/>
          </w:tcPr>
          <w:p w14:paraId="55BDC4F2"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$1,159,968</w:t>
            </w:r>
          </w:p>
        </w:tc>
        <w:tc>
          <w:tcPr>
            <w:tcW w:w="2498" w:type="dxa"/>
            <w:tcBorders>
              <w:top w:val="nil"/>
              <w:left w:val="nil"/>
              <w:bottom w:val="single" w:sz="4" w:space="0" w:color="000000"/>
              <w:right w:val="single" w:sz="8" w:space="0" w:color="000000"/>
            </w:tcBorders>
            <w:shd w:val="clear" w:color="auto" w:fill="auto"/>
            <w:noWrap/>
            <w:vAlign w:val="center"/>
            <w:hideMark/>
          </w:tcPr>
          <w:p w14:paraId="6C395A38"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1.75%</w:t>
            </w:r>
          </w:p>
        </w:tc>
      </w:tr>
      <w:tr w:rsidR="0064393E" w:rsidRPr="0064393E" w14:paraId="2550DFD3"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144F822"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2015</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1DEFE33B"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$7,232,765</w:t>
            </w:r>
          </w:p>
        </w:tc>
        <w:tc>
          <w:tcPr>
            <w:tcW w:w="2498" w:type="dxa"/>
            <w:tcBorders>
              <w:top w:val="nil"/>
              <w:left w:val="nil"/>
              <w:bottom w:val="single" w:sz="4" w:space="0" w:color="000000"/>
              <w:right w:val="single" w:sz="4" w:space="0" w:color="000000"/>
            </w:tcBorders>
            <w:shd w:val="clear" w:color="auto" w:fill="auto"/>
            <w:noWrap/>
            <w:vAlign w:val="center"/>
            <w:hideMark/>
          </w:tcPr>
          <w:p w14:paraId="16ED0EBA"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10.92%</w:t>
            </w:r>
          </w:p>
        </w:tc>
        <w:tc>
          <w:tcPr>
            <w:tcW w:w="2497" w:type="dxa"/>
            <w:tcBorders>
              <w:top w:val="nil"/>
              <w:left w:val="nil"/>
              <w:bottom w:val="single" w:sz="4" w:space="0" w:color="000000"/>
              <w:right w:val="single" w:sz="4" w:space="0" w:color="000000"/>
            </w:tcBorders>
            <w:shd w:val="clear" w:color="auto" w:fill="auto"/>
            <w:noWrap/>
            <w:vAlign w:val="center"/>
            <w:hideMark/>
          </w:tcPr>
          <w:p w14:paraId="1F5AA334"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$1,427,095</w:t>
            </w:r>
          </w:p>
        </w:tc>
        <w:tc>
          <w:tcPr>
            <w:tcW w:w="2498" w:type="dxa"/>
            <w:tcBorders>
              <w:top w:val="nil"/>
              <w:left w:val="nil"/>
              <w:bottom w:val="single" w:sz="4" w:space="0" w:color="000000"/>
              <w:right w:val="single" w:sz="8" w:space="0" w:color="000000"/>
            </w:tcBorders>
            <w:shd w:val="clear" w:color="auto" w:fill="auto"/>
            <w:noWrap/>
            <w:vAlign w:val="center"/>
            <w:hideMark/>
          </w:tcPr>
          <w:p w14:paraId="7333CD1E"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2.15%</w:t>
            </w:r>
          </w:p>
        </w:tc>
      </w:tr>
      <w:tr w:rsidR="0064393E" w:rsidRPr="0064393E" w14:paraId="283BDD8A"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2AA77918"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2016</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75DD6695"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$5,341,059</w:t>
            </w:r>
          </w:p>
        </w:tc>
        <w:tc>
          <w:tcPr>
            <w:tcW w:w="2498" w:type="dxa"/>
            <w:tcBorders>
              <w:top w:val="nil"/>
              <w:left w:val="nil"/>
              <w:bottom w:val="single" w:sz="4" w:space="0" w:color="000000"/>
              <w:right w:val="single" w:sz="4" w:space="0" w:color="000000"/>
            </w:tcBorders>
            <w:shd w:val="clear" w:color="auto" w:fill="auto"/>
            <w:noWrap/>
            <w:vAlign w:val="center"/>
            <w:hideMark/>
          </w:tcPr>
          <w:p w14:paraId="49B54C4D"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9.33%</w:t>
            </w:r>
          </w:p>
        </w:tc>
        <w:tc>
          <w:tcPr>
            <w:tcW w:w="2497" w:type="dxa"/>
            <w:tcBorders>
              <w:top w:val="nil"/>
              <w:left w:val="nil"/>
              <w:bottom w:val="single" w:sz="4" w:space="0" w:color="000000"/>
              <w:right w:val="single" w:sz="4" w:space="0" w:color="000000"/>
            </w:tcBorders>
            <w:shd w:val="clear" w:color="auto" w:fill="auto"/>
            <w:noWrap/>
            <w:vAlign w:val="center"/>
            <w:hideMark/>
          </w:tcPr>
          <w:p w14:paraId="4B3D0EA6"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$1,171,674</w:t>
            </w:r>
          </w:p>
        </w:tc>
        <w:tc>
          <w:tcPr>
            <w:tcW w:w="2498" w:type="dxa"/>
            <w:tcBorders>
              <w:top w:val="nil"/>
              <w:left w:val="nil"/>
              <w:bottom w:val="single" w:sz="4" w:space="0" w:color="000000"/>
              <w:right w:val="single" w:sz="8" w:space="0" w:color="000000"/>
            </w:tcBorders>
            <w:shd w:val="clear" w:color="auto" w:fill="auto"/>
            <w:noWrap/>
            <w:vAlign w:val="center"/>
            <w:hideMark/>
          </w:tcPr>
          <w:p w14:paraId="0067C6A2"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2.05%</w:t>
            </w:r>
          </w:p>
        </w:tc>
      </w:tr>
      <w:tr w:rsidR="0064393E" w:rsidRPr="0064393E" w14:paraId="270A748F"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1BAEC2D0" w14:textId="77777777" w:rsidR="0064393E" w:rsidRPr="0064393E" w:rsidRDefault="0064393E" w:rsidP="00AF0818">
            <w:pPr>
              <w:keepNext/>
              <w:spacing w:after="0" w:line="240" w:lineRule="auto"/>
              <w:rPr>
                <w:rFonts w:ascii="Calibri" w:eastAsia="Times New Roman" w:hAnsi="Calibri" w:cs="Calibri"/>
                <w:color w:val="000000"/>
                <w:sz w:val="21"/>
                <w:szCs w:val="21"/>
              </w:rPr>
            </w:pPr>
            <w:r w:rsidRPr="0064393E">
              <w:rPr>
                <w:rFonts w:ascii="Calibri" w:eastAsia="Times New Roman" w:hAnsi="Calibri" w:cs="Calibri"/>
                <w:b/>
                <w:color w:val="000000"/>
                <w:sz w:val="21"/>
                <w:szCs w:val="21"/>
              </w:rPr>
              <w:t>NFG</w:t>
            </w:r>
          </w:p>
        </w:tc>
        <w:tc>
          <w:tcPr>
            <w:tcW w:w="2497"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hideMark/>
          </w:tcPr>
          <w:p w14:paraId="1A7478F6"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p>
        </w:tc>
        <w:tc>
          <w:tcPr>
            <w:tcW w:w="249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01512F37"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p>
        </w:tc>
        <w:tc>
          <w:tcPr>
            <w:tcW w:w="24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228D0D26"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p>
        </w:tc>
        <w:tc>
          <w:tcPr>
            <w:tcW w:w="2498"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183E3F2E"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p>
        </w:tc>
      </w:tr>
      <w:tr w:rsidR="0064393E" w:rsidRPr="0064393E" w14:paraId="51669E4C"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7264D8E"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2012</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737A1A3C"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$1,495,326</w:t>
            </w:r>
          </w:p>
        </w:tc>
        <w:tc>
          <w:tcPr>
            <w:tcW w:w="2498" w:type="dxa"/>
            <w:tcBorders>
              <w:top w:val="nil"/>
              <w:left w:val="nil"/>
              <w:bottom w:val="single" w:sz="4" w:space="0" w:color="000000"/>
              <w:right w:val="single" w:sz="4" w:space="0" w:color="000000"/>
            </w:tcBorders>
            <w:shd w:val="clear" w:color="auto" w:fill="auto"/>
            <w:noWrap/>
            <w:vAlign w:val="center"/>
            <w:hideMark/>
          </w:tcPr>
          <w:p w14:paraId="2E4D69A2"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8.35%</w:t>
            </w:r>
          </w:p>
        </w:tc>
        <w:tc>
          <w:tcPr>
            <w:tcW w:w="2497" w:type="dxa"/>
            <w:tcBorders>
              <w:top w:val="nil"/>
              <w:left w:val="nil"/>
              <w:bottom w:val="single" w:sz="4" w:space="0" w:color="000000"/>
              <w:right w:val="single" w:sz="4" w:space="0" w:color="000000"/>
            </w:tcBorders>
            <w:shd w:val="clear" w:color="auto" w:fill="auto"/>
            <w:noWrap/>
            <w:vAlign w:val="center"/>
            <w:hideMark/>
          </w:tcPr>
          <w:p w14:paraId="6ADA2CD0"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$858,526</w:t>
            </w:r>
          </w:p>
        </w:tc>
        <w:tc>
          <w:tcPr>
            <w:tcW w:w="2498" w:type="dxa"/>
            <w:tcBorders>
              <w:top w:val="nil"/>
              <w:left w:val="nil"/>
              <w:bottom w:val="single" w:sz="4" w:space="0" w:color="000000"/>
              <w:right w:val="single" w:sz="8" w:space="0" w:color="000000"/>
            </w:tcBorders>
            <w:shd w:val="clear" w:color="auto" w:fill="auto"/>
            <w:noWrap/>
            <w:vAlign w:val="center"/>
            <w:hideMark/>
          </w:tcPr>
          <w:p w14:paraId="4EF613E9"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4.79%</w:t>
            </w:r>
          </w:p>
        </w:tc>
      </w:tr>
      <w:tr w:rsidR="0064393E" w:rsidRPr="0064393E" w14:paraId="53566C2B"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68D39C7A"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2013</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1926F07B"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$1,229,077</w:t>
            </w:r>
          </w:p>
        </w:tc>
        <w:tc>
          <w:tcPr>
            <w:tcW w:w="2498" w:type="dxa"/>
            <w:tcBorders>
              <w:top w:val="nil"/>
              <w:left w:val="nil"/>
              <w:bottom w:val="single" w:sz="4" w:space="0" w:color="000000"/>
              <w:right w:val="single" w:sz="4" w:space="0" w:color="000000"/>
            </w:tcBorders>
            <w:shd w:val="clear" w:color="auto" w:fill="auto"/>
            <w:noWrap/>
            <w:vAlign w:val="center"/>
            <w:hideMark/>
          </w:tcPr>
          <w:p w14:paraId="05E45157"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6.33%</w:t>
            </w:r>
          </w:p>
        </w:tc>
        <w:tc>
          <w:tcPr>
            <w:tcW w:w="2497" w:type="dxa"/>
            <w:tcBorders>
              <w:top w:val="nil"/>
              <w:left w:val="nil"/>
              <w:bottom w:val="single" w:sz="4" w:space="0" w:color="000000"/>
              <w:right w:val="single" w:sz="4" w:space="0" w:color="000000"/>
            </w:tcBorders>
            <w:shd w:val="clear" w:color="auto" w:fill="auto"/>
            <w:noWrap/>
            <w:vAlign w:val="center"/>
            <w:hideMark/>
          </w:tcPr>
          <w:p w14:paraId="231121FE"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$915,782</w:t>
            </w:r>
          </w:p>
        </w:tc>
        <w:tc>
          <w:tcPr>
            <w:tcW w:w="2498" w:type="dxa"/>
            <w:tcBorders>
              <w:top w:val="nil"/>
              <w:left w:val="nil"/>
              <w:bottom w:val="single" w:sz="4" w:space="0" w:color="000000"/>
              <w:right w:val="single" w:sz="8" w:space="0" w:color="000000"/>
            </w:tcBorders>
            <w:shd w:val="clear" w:color="auto" w:fill="auto"/>
            <w:noWrap/>
            <w:vAlign w:val="center"/>
            <w:hideMark/>
          </w:tcPr>
          <w:p w14:paraId="6351C744"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4.72%</w:t>
            </w:r>
          </w:p>
        </w:tc>
      </w:tr>
      <w:tr w:rsidR="0064393E" w:rsidRPr="0064393E" w14:paraId="5C740177"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3580A01D"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2014</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228B40FE"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$1,468,095</w:t>
            </w:r>
          </w:p>
        </w:tc>
        <w:tc>
          <w:tcPr>
            <w:tcW w:w="2498" w:type="dxa"/>
            <w:tcBorders>
              <w:top w:val="nil"/>
              <w:left w:val="nil"/>
              <w:bottom w:val="single" w:sz="4" w:space="0" w:color="000000"/>
              <w:right w:val="single" w:sz="4" w:space="0" w:color="000000"/>
            </w:tcBorders>
            <w:shd w:val="clear" w:color="auto" w:fill="auto"/>
            <w:noWrap/>
            <w:vAlign w:val="center"/>
            <w:hideMark/>
          </w:tcPr>
          <w:p w14:paraId="53491C8D"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6.75%</w:t>
            </w:r>
          </w:p>
        </w:tc>
        <w:tc>
          <w:tcPr>
            <w:tcW w:w="2497" w:type="dxa"/>
            <w:tcBorders>
              <w:top w:val="nil"/>
              <w:left w:val="nil"/>
              <w:bottom w:val="single" w:sz="4" w:space="0" w:color="000000"/>
              <w:right w:val="single" w:sz="4" w:space="0" w:color="000000"/>
            </w:tcBorders>
            <w:shd w:val="clear" w:color="auto" w:fill="auto"/>
            <w:noWrap/>
            <w:vAlign w:val="center"/>
            <w:hideMark/>
          </w:tcPr>
          <w:p w14:paraId="36D9239E"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$988,370</w:t>
            </w:r>
          </w:p>
        </w:tc>
        <w:tc>
          <w:tcPr>
            <w:tcW w:w="2498" w:type="dxa"/>
            <w:tcBorders>
              <w:top w:val="nil"/>
              <w:left w:val="nil"/>
              <w:bottom w:val="single" w:sz="4" w:space="0" w:color="000000"/>
              <w:right w:val="single" w:sz="8" w:space="0" w:color="000000"/>
            </w:tcBorders>
            <w:shd w:val="clear" w:color="auto" w:fill="auto"/>
            <w:noWrap/>
            <w:vAlign w:val="center"/>
            <w:hideMark/>
          </w:tcPr>
          <w:p w14:paraId="4338286F"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4.54%</w:t>
            </w:r>
          </w:p>
        </w:tc>
      </w:tr>
      <w:tr w:rsidR="0064393E" w:rsidRPr="0064393E" w14:paraId="49708AC9"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69691595"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2015</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7F6DEFC8"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$1,496,516</w:t>
            </w:r>
          </w:p>
        </w:tc>
        <w:tc>
          <w:tcPr>
            <w:tcW w:w="2498" w:type="dxa"/>
            <w:tcBorders>
              <w:top w:val="nil"/>
              <w:left w:val="nil"/>
              <w:bottom w:val="single" w:sz="4" w:space="0" w:color="000000"/>
              <w:right w:val="single" w:sz="4" w:space="0" w:color="000000"/>
            </w:tcBorders>
            <w:shd w:val="clear" w:color="auto" w:fill="auto"/>
            <w:noWrap/>
            <w:vAlign w:val="center"/>
            <w:hideMark/>
          </w:tcPr>
          <w:p w14:paraId="3794D91F"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8.78%</w:t>
            </w:r>
          </w:p>
        </w:tc>
        <w:tc>
          <w:tcPr>
            <w:tcW w:w="2497" w:type="dxa"/>
            <w:tcBorders>
              <w:top w:val="nil"/>
              <w:left w:val="nil"/>
              <w:bottom w:val="single" w:sz="4" w:space="0" w:color="000000"/>
              <w:right w:val="single" w:sz="4" w:space="0" w:color="000000"/>
            </w:tcBorders>
            <w:shd w:val="clear" w:color="auto" w:fill="auto"/>
            <w:noWrap/>
            <w:vAlign w:val="center"/>
            <w:hideMark/>
          </w:tcPr>
          <w:p w14:paraId="645A51B3"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$981,719</w:t>
            </w:r>
          </w:p>
        </w:tc>
        <w:tc>
          <w:tcPr>
            <w:tcW w:w="2498" w:type="dxa"/>
            <w:tcBorders>
              <w:top w:val="nil"/>
              <w:left w:val="nil"/>
              <w:bottom w:val="single" w:sz="4" w:space="0" w:color="000000"/>
              <w:right w:val="single" w:sz="8" w:space="0" w:color="000000"/>
            </w:tcBorders>
            <w:shd w:val="clear" w:color="auto" w:fill="auto"/>
            <w:noWrap/>
            <w:vAlign w:val="center"/>
            <w:hideMark/>
          </w:tcPr>
          <w:p w14:paraId="77FD3F41"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5.76%</w:t>
            </w:r>
          </w:p>
        </w:tc>
      </w:tr>
      <w:tr w:rsidR="0064393E" w:rsidRPr="0064393E" w14:paraId="61A32226"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7D8929B1"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2016</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121161FE"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$1,335,709</w:t>
            </w:r>
          </w:p>
        </w:tc>
        <w:tc>
          <w:tcPr>
            <w:tcW w:w="2498" w:type="dxa"/>
            <w:tcBorders>
              <w:top w:val="nil"/>
              <w:left w:val="nil"/>
              <w:bottom w:val="single" w:sz="4" w:space="0" w:color="000000"/>
              <w:right w:val="single" w:sz="4" w:space="0" w:color="000000"/>
            </w:tcBorders>
            <w:shd w:val="clear" w:color="auto" w:fill="auto"/>
            <w:noWrap/>
            <w:vAlign w:val="center"/>
            <w:hideMark/>
          </w:tcPr>
          <w:p w14:paraId="3FE8F5F6"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9.83%</w:t>
            </w:r>
          </w:p>
        </w:tc>
        <w:tc>
          <w:tcPr>
            <w:tcW w:w="2497" w:type="dxa"/>
            <w:tcBorders>
              <w:top w:val="nil"/>
              <w:left w:val="nil"/>
              <w:bottom w:val="single" w:sz="4" w:space="0" w:color="000000"/>
              <w:right w:val="single" w:sz="4" w:space="0" w:color="000000"/>
            </w:tcBorders>
            <w:shd w:val="clear" w:color="auto" w:fill="auto"/>
            <w:noWrap/>
            <w:vAlign w:val="center"/>
            <w:hideMark/>
          </w:tcPr>
          <w:p w14:paraId="6730AA0B" w14:textId="77777777" w:rsidR="0064393E" w:rsidRPr="0064393E" w:rsidRDefault="0064393E" w:rsidP="00AF0818">
            <w:pPr>
              <w:keepNext/>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$1,133,617</w:t>
            </w:r>
          </w:p>
        </w:tc>
        <w:tc>
          <w:tcPr>
            <w:tcW w:w="2498" w:type="dxa"/>
            <w:tcBorders>
              <w:top w:val="nil"/>
              <w:left w:val="nil"/>
              <w:bottom w:val="single" w:sz="4" w:space="0" w:color="000000"/>
              <w:right w:val="single" w:sz="8" w:space="0" w:color="000000"/>
            </w:tcBorders>
            <w:shd w:val="clear" w:color="auto" w:fill="auto"/>
            <w:noWrap/>
            <w:vAlign w:val="center"/>
            <w:hideMark/>
          </w:tcPr>
          <w:p w14:paraId="50F8535E" w14:textId="77777777" w:rsidR="0064393E" w:rsidRPr="0064393E" w:rsidRDefault="0064393E" w:rsidP="00AF0818">
            <w:pPr>
              <w:keepNext/>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8.35%</w:t>
            </w:r>
          </w:p>
        </w:tc>
      </w:tr>
      <w:tr w:rsidR="0064393E" w:rsidRPr="0064393E" w14:paraId="67F2ADF7"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4A620650" w14:textId="77777777" w:rsidR="0064393E" w:rsidRPr="0064393E" w:rsidRDefault="0064393E" w:rsidP="0064393E">
            <w:pPr>
              <w:spacing w:after="0" w:line="240" w:lineRule="auto"/>
              <w:rPr>
                <w:rFonts w:ascii="Calibri" w:eastAsia="Times New Roman" w:hAnsi="Calibri" w:cs="Calibri"/>
                <w:color w:val="000000"/>
                <w:sz w:val="21"/>
                <w:szCs w:val="21"/>
              </w:rPr>
            </w:pPr>
            <w:r w:rsidRPr="0064393E">
              <w:rPr>
                <w:rFonts w:ascii="Calibri" w:eastAsia="Times New Roman" w:hAnsi="Calibri" w:cs="Calibri"/>
                <w:b/>
                <w:color w:val="000000"/>
                <w:sz w:val="21"/>
                <w:szCs w:val="21"/>
              </w:rPr>
              <w:t>PECO-Gas</w:t>
            </w:r>
          </w:p>
        </w:tc>
        <w:tc>
          <w:tcPr>
            <w:tcW w:w="2497"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hideMark/>
          </w:tcPr>
          <w:p w14:paraId="2D99043B"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c>
          <w:tcPr>
            <w:tcW w:w="2498"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24404C1"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c>
          <w:tcPr>
            <w:tcW w:w="2497"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6677383A"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c>
          <w:tcPr>
            <w:tcW w:w="2498"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06B4FA4A"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r>
      <w:tr w:rsidR="0064393E" w:rsidRPr="0064393E" w14:paraId="79677186"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6408C8B3"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lastRenderedPageBreak/>
              <w:t>2012</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4008716A"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$882,306</w:t>
            </w:r>
          </w:p>
        </w:tc>
        <w:tc>
          <w:tcPr>
            <w:tcW w:w="2498" w:type="dxa"/>
            <w:tcBorders>
              <w:top w:val="nil"/>
              <w:left w:val="nil"/>
              <w:bottom w:val="single" w:sz="4" w:space="0" w:color="000000"/>
              <w:right w:val="single" w:sz="4" w:space="0" w:color="000000"/>
            </w:tcBorders>
            <w:shd w:val="clear" w:color="auto" w:fill="auto"/>
            <w:noWrap/>
            <w:vAlign w:val="center"/>
            <w:hideMark/>
          </w:tcPr>
          <w:p w14:paraId="1EF3C90D"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5.71%</w:t>
            </w:r>
          </w:p>
        </w:tc>
        <w:tc>
          <w:tcPr>
            <w:tcW w:w="2497" w:type="dxa"/>
            <w:tcBorders>
              <w:top w:val="nil"/>
              <w:left w:val="nil"/>
              <w:bottom w:val="single" w:sz="4" w:space="0" w:color="000000"/>
              <w:right w:val="single" w:sz="4" w:space="0" w:color="000000"/>
            </w:tcBorders>
            <w:shd w:val="clear" w:color="auto" w:fill="auto"/>
            <w:noWrap/>
            <w:vAlign w:val="center"/>
            <w:hideMark/>
          </w:tcPr>
          <w:p w14:paraId="0974AD86"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$2,565,367</w:t>
            </w:r>
          </w:p>
        </w:tc>
        <w:tc>
          <w:tcPr>
            <w:tcW w:w="2498" w:type="dxa"/>
            <w:tcBorders>
              <w:top w:val="nil"/>
              <w:left w:val="nil"/>
              <w:bottom w:val="single" w:sz="4" w:space="0" w:color="000000"/>
              <w:right w:val="single" w:sz="8" w:space="0" w:color="000000"/>
            </w:tcBorders>
            <w:shd w:val="clear" w:color="auto" w:fill="auto"/>
            <w:noWrap/>
            <w:vAlign w:val="center"/>
            <w:hideMark/>
          </w:tcPr>
          <w:p w14:paraId="5C31B130"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16.59%</w:t>
            </w:r>
          </w:p>
        </w:tc>
      </w:tr>
      <w:tr w:rsidR="0064393E" w:rsidRPr="0064393E" w14:paraId="7C792299"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07B21E3"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2013</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5ECFACD9"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$1,031,022</w:t>
            </w:r>
          </w:p>
        </w:tc>
        <w:tc>
          <w:tcPr>
            <w:tcW w:w="2498" w:type="dxa"/>
            <w:tcBorders>
              <w:top w:val="nil"/>
              <w:left w:val="nil"/>
              <w:bottom w:val="single" w:sz="4" w:space="0" w:color="000000"/>
              <w:right w:val="single" w:sz="4" w:space="0" w:color="000000"/>
            </w:tcBorders>
            <w:shd w:val="clear" w:color="auto" w:fill="auto"/>
            <w:noWrap/>
            <w:vAlign w:val="center"/>
          </w:tcPr>
          <w:p w14:paraId="6026E130"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6.03%</w:t>
            </w:r>
          </w:p>
        </w:tc>
        <w:tc>
          <w:tcPr>
            <w:tcW w:w="2497" w:type="dxa"/>
            <w:tcBorders>
              <w:top w:val="nil"/>
              <w:left w:val="nil"/>
              <w:bottom w:val="single" w:sz="4" w:space="0" w:color="000000"/>
              <w:right w:val="single" w:sz="4" w:space="0" w:color="000000"/>
            </w:tcBorders>
            <w:shd w:val="clear" w:color="auto" w:fill="auto"/>
            <w:noWrap/>
            <w:vAlign w:val="center"/>
          </w:tcPr>
          <w:p w14:paraId="4E99DEE8"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$2,989,994</w:t>
            </w:r>
          </w:p>
        </w:tc>
        <w:tc>
          <w:tcPr>
            <w:tcW w:w="2498" w:type="dxa"/>
            <w:tcBorders>
              <w:top w:val="nil"/>
              <w:left w:val="nil"/>
              <w:bottom w:val="single" w:sz="4" w:space="0" w:color="000000"/>
              <w:right w:val="single" w:sz="8" w:space="0" w:color="000000"/>
            </w:tcBorders>
            <w:shd w:val="clear" w:color="auto" w:fill="auto"/>
            <w:noWrap/>
            <w:vAlign w:val="center"/>
          </w:tcPr>
          <w:p w14:paraId="0009366A"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17.48%</w:t>
            </w:r>
          </w:p>
        </w:tc>
      </w:tr>
      <w:tr w:rsidR="0064393E" w:rsidRPr="0064393E" w14:paraId="589E83EA"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4E313A39"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2014</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519380E3"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$993,347</w:t>
            </w:r>
          </w:p>
        </w:tc>
        <w:tc>
          <w:tcPr>
            <w:tcW w:w="2498" w:type="dxa"/>
            <w:tcBorders>
              <w:top w:val="nil"/>
              <w:left w:val="nil"/>
              <w:bottom w:val="single" w:sz="4" w:space="0" w:color="000000"/>
              <w:right w:val="single" w:sz="4" w:space="0" w:color="000000"/>
            </w:tcBorders>
            <w:shd w:val="clear" w:color="auto" w:fill="auto"/>
            <w:noWrap/>
            <w:vAlign w:val="center"/>
          </w:tcPr>
          <w:p w14:paraId="22C458B0"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5.02%</w:t>
            </w:r>
          </w:p>
        </w:tc>
        <w:tc>
          <w:tcPr>
            <w:tcW w:w="2497" w:type="dxa"/>
            <w:tcBorders>
              <w:top w:val="nil"/>
              <w:left w:val="nil"/>
              <w:bottom w:val="single" w:sz="4" w:space="0" w:color="000000"/>
              <w:right w:val="single" w:sz="4" w:space="0" w:color="000000"/>
            </w:tcBorders>
            <w:shd w:val="clear" w:color="auto" w:fill="auto"/>
            <w:noWrap/>
            <w:vAlign w:val="center"/>
          </w:tcPr>
          <w:p w14:paraId="618B11B5"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$1,856,335</w:t>
            </w:r>
          </w:p>
        </w:tc>
        <w:tc>
          <w:tcPr>
            <w:tcW w:w="2498" w:type="dxa"/>
            <w:tcBorders>
              <w:top w:val="nil"/>
              <w:left w:val="nil"/>
              <w:bottom w:val="single" w:sz="4" w:space="0" w:color="000000"/>
              <w:right w:val="single" w:sz="8" w:space="0" w:color="000000"/>
            </w:tcBorders>
            <w:shd w:val="clear" w:color="auto" w:fill="auto"/>
            <w:noWrap/>
            <w:vAlign w:val="center"/>
          </w:tcPr>
          <w:p w14:paraId="2F332851"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9.38%</w:t>
            </w:r>
          </w:p>
        </w:tc>
      </w:tr>
      <w:tr w:rsidR="0064393E" w:rsidRPr="0064393E" w14:paraId="41009D0A"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43795B4"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2015</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7376F13B"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$919,207</w:t>
            </w:r>
          </w:p>
        </w:tc>
        <w:tc>
          <w:tcPr>
            <w:tcW w:w="2498" w:type="dxa"/>
            <w:tcBorders>
              <w:top w:val="nil"/>
              <w:left w:val="nil"/>
              <w:bottom w:val="single" w:sz="4" w:space="0" w:color="000000"/>
              <w:right w:val="single" w:sz="4" w:space="0" w:color="000000"/>
            </w:tcBorders>
            <w:shd w:val="clear" w:color="auto" w:fill="auto"/>
            <w:noWrap/>
            <w:vAlign w:val="center"/>
          </w:tcPr>
          <w:p w14:paraId="35115248"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5.27%</w:t>
            </w:r>
          </w:p>
        </w:tc>
        <w:tc>
          <w:tcPr>
            <w:tcW w:w="2497" w:type="dxa"/>
            <w:tcBorders>
              <w:top w:val="nil"/>
              <w:left w:val="nil"/>
              <w:bottom w:val="single" w:sz="4" w:space="0" w:color="000000"/>
              <w:right w:val="single" w:sz="4" w:space="0" w:color="000000"/>
            </w:tcBorders>
            <w:shd w:val="clear" w:color="auto" w:fill="auto"/>
            <w:noWrap/>
            <w:vAlign w:val="center"/>
          </w:tcPr>
          <w:p w14:paraId="748E52B8"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$1,686,623</w:t>
            </w:r>
          </w:p>
        </w:tc>
        <w:tc>
          <w:tcPr>
            <w:tcW w:w="2498" w:type="dxa"/>
            <w:tcBorders>
              <w:top w:val="nil"/>
              <w:left w:val="nil"/>
              <w:bottom w:val="single" w:sz="4" w:space="0" w:color="000000"/>
              <w:right w:val="single" w:sz="8" w:space="0" w:color="000000"/>
            </w:tcBorders>
            <w:shd w:val="clear" w:color="auto" w:fill="auto"/>
            <w:noWrap/>
            <w:vAlign w:val="center"/>
          </w:tcPr>
          <w:p w14:paraId="13085063"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9.66%</w:t>
            </w:r>
          </w:p>
        </w:tc>
      </w:tr>
      <w:tr w:rsidR="0064393E" w:rsidRPr="0064393E" w14:paraId="5929BB90"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4F954F84"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2016</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2E184E5A"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$1,056,220</w:t>
            </w:r>
          </w:p>
        </w:tc>
        <w:tc>
          <w:tcPr>
            <w:tcW w:w="2498" w:type="dxa"/>
            <w:tcBorders>
              <w:top w:val="nil"/>
              <w:left w:val="nil"/>
              <w:bottom w:val="single" w:sz="4" w:space="0" w:color="000000"/>
              <w:right w:val="single" w:sz="4" w:space="0" w:color="000000"/>
            </w:tcBorders>
            <w:shd w:val="clear" w:color="auto" w:fill="auto"/>
            <w:noWrap/>
            <w:vAlign w:val="center"/>
          </w:tcPr>
          <w:p w14:paraId="75828C89"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7.69%</w:t>
            </w:r>
          </w:p>
        </w:tc>
        <w:tc>
          <w:tcPr>
            <w:tcW w:w="2497" w:type="dxa"/>
            <w:tcBorders>
              <w:top w:val="nil"/>
              <w:left w:val="nil"/>
              <w:bottom w:val="single" w:sz="4" w:space="0" w:color="000000"/>
              <w:right w:val="single" w:sz="4" w:space="0" w:color="000000"/>
            </w:tcBorders>
            <w:shd w:val="clear" w:color="auto" w:fill="auto"/>
            <w:noWrap/>
            <w:vAlign w:val="center"/>
          </w:tcPr>
          <w:p w14:paraId="2C566CAA"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$1,355,545</w:t>
            </w:r>
          </w:p>
        </w:tc>
        <w:tc>
          <w:tcPr>
            <w:tcW w:w="2498" w:type="dxa"/>
            <w:tcBorders>
              <w:top w:val="nil"/>
              <w:left w:val="nil"/>
              <w:bottom w:val="single" w:sz="4" w:space="0" w:color="000000"/>
              <w:right w:val="single" w:sz="8" w:space="0" w:color="000000"/>
            </w:tcBorders>
            <w:shd w:val="clear" w:color="auto" w:fill="auto"/>
            <w:noWrap/>
            <w:vAlign w:val="center"/>
          </w:tcPr>
          <w:p w14:paraId="0A938A35"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9.87%</w:t>
            </w:r>
          </w:p>
        </w:tc>
      </w:tr>
      <w:tr w:rsidR="0064393E" w:rsidRPr="0064393E" w14:paraId="60B8F362"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310D78E0" w14:textId="77777777" w:rsidR="0064393E" w:rsidRPr="0064393E" w:rsidRDefault="0064393E" w:rsidP="0064393E">
            <w:pPr>
              <w:spacing w:after="0" w:line="240" w:lineRule="auto"/>
              <w:rPr>
                <w:rFonts w:ascii="Calibri" w:eastAsia="Times New Roman" w:hAnsi="Calibri" w:cs="Calibri"/>
                <w:color w:val="000000"/>
                <w:sz w:val="21"/>
                <w:szCs w:val="21"/>
              </w:rPr>
            </w:pPr>
            <w:r w:rsidRPr="0064393E">
              <w:rPr>
                <w:rFonts w:ascii="Calibri" w:eastAsia="Times New Roman" w:hAnsi="Calibri" w:cs="Calibri"/>
                <w:b/>
                <w:color w:val="000000"/>
                <w:sz w:val="21"/>
                <w:szCs w:val="21"/>
              </w:rPr>
              <w:t>Peoples</w:t>
            </w:r>
          </w:p>
        </w:tc>
        <w:tc>
          <w:tcPr>
            <w:tcW w:w="2497"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tcPr>
          <w:p w14:paraId="6CE302FD"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c>
          <w:tcPr>
            <w:tcW w:w="2498" w:type="dxa"/>
            <w:tcBorders>
              <w:top w:val="nil"/>
              <w:left w:val="nil"/>
              <w:bottom w:val="single" w:sz="4" w:space="0" w:color="000000"/>
              <w:right w:val="single" w:sz="4" w:space="0" w:color="000000"/>
            </w:tcBorders>
            <w:shd w:val="clear" w:color="auto" w:fill="F2F2F2" w:themeFill="background1" w:themeFillShade="F2"/>
            <w:noWrap/>
            <w:vAlign w:val="bottom"/>
          </w:tcPr>
          <w:p w14:paraId="5BF6870A" w14:textId="77777777" w:rsidR="0064393E" w:rsidRPr="0064393E" w:rsidRDefault="0064393E" w:rsidP="0064393E">
            <w:pPr>
              <w:spacing w:after="0" w:line="240" w:lineRule="auto"/>
              <w:jc w:val="center"/>
              <w:rPr>
                <w:rFonts w:ascii="Calibri" w:eastAsia="Times New Roman" w:hAnsi="Calibri" w:cs="Calibri"/>
                <w:sz w:val="21"/>
                <w:szCs w:val="21"/>
              </w:rPr>
            </w:pPr>
          </w:p>
        </w:tc>
        <w:tc>
          <w:tcPr>
            <w:tcW w:w="2497" w:type="dxa"/>
            <w:tcBorders>
              <w:top w:val="nil"/>
              <w:left w:val="nil"/>
              <w:bottom w:val="single" w:sz="4" w:space="0" w:color="000000"/>
              <w:right w:val="single" w:sz="4" w:space="0" w:color="000000"/>
            </w:tcBorders>
            <w:shd w:val="clear" w:color="auto" w:fill="F2F2F2" w:themeFill="background1" w:themeFillShade="F2"/>
            <w:noWrap/>
            <w:vAlign w:val="bottom"/>
          </w:tcPr>
          <w:p w14:paraId="1BA77077" w14:textId="77777777" w:rsidR="0064393E" w:rsidRPr="0064393E" w:rsidRDefault="0064393E" w:rsidP="0064393E">
            <w:pPr>
              <w:spacing w:after="0" w:line="240" w:lineRule="auto"/>
              <w:jc w:val="center"/>
              <w:rPr>
                <w:rFonts w:ascii="Calibri" w:eastAsia="Times New Roman" w:hAnsi="Calibri" w:cs="Calibri"/>
                <w:sz w:val="21"/>
                <w:szCs w:val="21"/>
              </w:rPr>
            </w:pPr>
          </w:p>
        </w:tc>
        <w:tc>
          <w:tcPr>
            <w:tcW w:w="2498" w:type="dxa"/>
            <w:tcBorders>
              <w:top w:val="nil"/>
              <w:left w:val="nil"/>
              <w:bottom w:val="single" w:sz="4" w:space="0" w:color="000000"/>
              <w:right w:val="single" w:sz="8" w:space="0" w:color="000000"/>
            </w:tcBorders>
            <w:shd w:val="clear" w:color="auto" w:fill="F2F2F2" w:themeFill="background1" w:themeFillShade="F2"/>
            <w:noWrap/>
            <w:vAlign w:val="bottom"/>
          </w:tcPr>
          <w:p w14:paraId="019232F1"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r>
      <w:tr w:rsidR="0064393E" w:rsidRPr="0064393E" w14:paraId="545863A1"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325DDA69"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2012</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5590AAFC"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$5,175,426</w:t>
            </w:r>
          </w:p>
        </w:tc>
        <w:tc>
          <w:tcPr>
            <w:tcW w:w="2498" w:type="dxa"/>
            <w:tcBorders>
              <w:top w:val="nil"/>
              <w:left w:val="nil"/>
              <w:bottom w:val="single" w:sz="4" w:space="0" w:color="000000"/>
              <w:right w:val="single" w:sz="4" w:space="0" w:color="000000"/>
            </w:tcBorders>
            <w:shd w:val="clear" w:color="auto" w:fill="auto"/>
            <w:noWrap/>
            <w:vAlign w:val="center"/>
            <w:hideMark/>
          </w:tcPr>
          <w:p w14:paraId="29FC7245"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7.94%</w:t>
            </w:r>
          </w:p>
        </w:tc>
        <w:tc>
          <w:tcPr>
            <w:tcW w:w="2497" w:type="dxa"/>
            <w:tcBorders>
              <w:top w:val="nil"/>
              <w:left w:val="nil"/>
              <w:bottom w:val="single" w:sz="4" w:space="0" w:color="000000"/>
              <w:right w:val="single" w:sz="4" w:space="0" w:color="000000"/>
            </w:tcBorders>
            <w:shd w:val="clear" w:color="auto" w:fill="auto"/>
            <w:noWrap/>
            <w:vAlign w:val="center"/>
            <w:hideMark/>
          </w:tcPr>
          <w:p w14:paraId="54B88A0C"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$3,358,032</w:t>
            </w:r>
          </w:p>
        </w:tc>
        <w:tc>
          <w:tcPr>
            <w:tcW w:w="2498" w:type="dxa"/>
            <w:tcBorders>
              <w:top w:val="nil"/>
              <w:left w:val="nil"/>
              <w:bottom w:val="single" w:sz="4" w:space="0" w:color="000000"/>
              <w:right w:val="single" w:sz="8" w:space="0" w:color="000000"/>
            </w:tcBorders>
            <w:shd w:val="clear" w:color="auto" w:fill="auto"/>
            <w:noWrap/>
            <w:vAlign w:val="center"/>
            <w:hideMark/>
          </w:tcPr>
          <w:p w14:paraId="4694C50D"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5.15%</w:t>
            </w:r>
          </w:p>
        </w:tc>
      </w:tr>
      <w:tr w:rsidR="0064393E" w:rsidRPr="0064393E" w14:paraId="01D9F7D3"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DF30482"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2013</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4F00D414"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$3,412,550</w:t>
            </w:r>
          </w:p>
        </w:tc>
        <w:tc>
          <w:tcPr>
            <w:tcW w:w="2498" w:type="dxa"/>
            <w:tcBorders>
              <w:top w:val="nil"/>
              <w:left w:val="nil"/>
              <w:bottom w:val="single" w:sz="4" w:space="0" w:color="000000"/>
              <w:right w:val="single" w:sz="4" w:space="0" w:color="000000"/>
            </w:tcBorders>
            <w:shd w:val="clear" w:color="auto" w:fill="auto"/>
            <w:noWrap/>
            <w:vAlign w:val="center"/>
            <w:hideMark/>
          </w:tcPr>
          <w:p w14:paraId="6DD4EFD6"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4.38%</w:t>
            </w:r>
          </w:p>
        </w:tc>
        <w:tc>
          <w:tcPr>
            <w:tcW w:w="2497" w:type="dxa"/>
            <w:tcBorders>
              <w:top w:val="nil"/>
              <w:left w:val="nil"/>
              <w:bottom w:val="single" w:sz="4" w:space="0" w:color="000000"/>
              <w:right w:val="single" w:sz="4" w:space="0" w:color="000000"/>
            </w:tcBorders>
            <w:shd w:val="clear" w:color="auto" w:fill="auto"/>
            <w:noWrap/>
            <w:vAlign w:val="center"/>
            <w:hideMark/>
          </w:tcPr>
          <w:p w14:paraId="1D01C627"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$3,402,725</w:t>
            </w:r>
          </w:p>
        </w:tc>
        <w:tc>
          <w:tcPr>
            <w:tcW w:w="2498" w:type="dxa"/>
            <w:tcBorders>
              <w:top w:val="nil"/>
              <w:left w:val="nil"/>
              <w:bottom w:val="single" w:sz="4" w:space="0" w:color="000000"/>
              <w:right w:val="single" w:sz="8" w:space="0" w:color="000000"/>
            </w:tcBorders>
            <w:shd w:val="clear" w:color="auto" w:fill="auto"/>
            <w:noWrap/>
            <w:vAlign w:val="center"/>
            <w:hideMark/>
          </w:tcPr>
          <w:p w14:paraId="681B7EBD"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4.37%</w:t>
            </w:r>
          </w:p>
        </w:tc>
      </w:tr>
      <w:tr w:rsidR="0064393E" w:rsidRPr="0064393E" w14:paraId="02EC0FD6"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220500FE"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2014</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3503D19D"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$3,289,065</w:t>
            </w:r>
          </w:p>
        </w:tc>
        <w:tc>
          <w:tcPr>
            <w:tcW w:w="2498" w:type="dxa"/>
            <w:tcBorders>
              <w:top w:val="nil"/>
              <w:left w:val="nil"/>
              <w:bottom w:val="single" w:sz="4" w:space="0" w:color="000000"/>
              <w:right w:val="single" w:sz="4" w:space="0" w:color="000000"/>
            </w:tcBorders>
            <w:shd w:val="clear" w:color="auto" w:fill="auto"/>
            <w:noWrap/>
            <w:vAlign w:val="center"/>
          </w:tcPr>
          <w:p w14:paraId="6E8D4D7F"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3.84%</w:t>
            </w:r>
          </w:p>
        </w:tc>
        <w:tc>
          <w:tcPr>
            <w:tcW w:w="2497" w:type="dxa"/>
            <w:tcBorders>
              <w:top w:val="nil"/>
              <w:left w:val="nil"/>
              <w:bottom w:val="single" w:sz="4" w:space="0" w:color="000000"/>
              <w:right w:val="single" w:sz="4" w:space="0" w:color="000000"/>
            </w:tcBorders>
            <w:shd w:val="clear" w:color="auto" w:fill="auto"/>
            <w:noWrap/>
            <w:vAlign w:val="center"/>
          </w:tcPr>
          <w:p w14:paraId="3DE2FCB2"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$2,087,002</w:t>
            </w:r>
          </w:p>
        </w:tc>
        <w:tc>
          <w:tcPr>
            <w:tcW w:w="2498" w:type="dxa"/>
            <w:tcBorders>
              <w:top w:val="nil"/>
              <w:left w:val="nil"/>
              <w:bottom w:val="single" w:sz="4" w:space="0" w:color="000000"/>
              <w:right w:val="single" w:sz="8" w:space="0" w:color="000000"/>
            </w:tcBorders>
            <w:shd w:val="clear" w:color="auto" w:fill="auto"/>
            <w:noWrap/>
            <w:vAlign w:val="center"/>
          </w:tcPr>
          <w:p w14:paraId="4805005F"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2.44%</w:t>
            </w:r>
          </w:p>
        </w:tc>
      </w:tr>
      <w:tr w:rsidR="0064393E" w:rsidRPr="0064393E" w14:paraId="3C4337D9"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3528379F"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2015</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62EA8F0D"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$2,387,402</w:t>
            </w:r>
          </w:p>
        </w:tc>
        <w:tc>
          <w:tcPr>
            <w:tcW w:w="2498" w:type="dxa"/>
            <w:tcBorders>
              <w:top w:val="nil"/>
              <w:left w:val="nil"/>
              <w:bottom w:val="single" w:sz="4" w:space="0" w:color="000000"/>
              <w:right w:val="single" w:sz="4" w:space="0" w:color="000000"/>
            </w:tcBorders>
            <w:shd w:val="clear" w:color="auto" w:fill="auto"/>
            <w:noWrap/>
            <w:vAlign w:val="center"/>
          </w:tcPr>
          <w:p w14:paraId="5B7ED0B8"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3.18%</w:t>
            </w:r>
          </w:p>
        </w:tc>
        <w:tc>
          <w:tcPr>
            <w:tcW w:w="2497" w:type="dxa"/>
            <w:tcBorders>
              <w:top w:val="nil"/>
              <w:left w:val="nil"/>
              <w:bottom w:val="single" w:sz="4" w:space="0" w:color="000000"/>
              <w:right w:val="single" w:sz="4" w:space="0" w:color="000000"/>
            </w:tcBorders>
            <w:shd w:val="clear" w:color="auto" w:fill="auto"/>
            <w:noWrap/>
            <w:vAlign w:val="center"/>
          </w:tcPr>
          <w:p w14:paraId="2B1A0B5F"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$2,125,573</w:t>
            </w:r>
          </w:p>
        </w:tc>
        <w:tc>
          <w:tcPr>
            <w:tcW w:w="2498" w:type="dxa"/>
            <w:tcBorders>
              <w:top w:val="nil"/>
              <w:left w:val="nil"/>
              <w:bottom w:val="single" w:sz="4" w:space="0" w:color="000000"/>
              <w:right w:val="single" w:sz="8" w:space="0" w:color="000000"/>
            </w:tcBorders>
            <w:shd w:val="clear" w:color="auto" w:fill="auto"/>
            <w:noWrap/>
            <w:vAlign w:val="center"/>
          </w:tcPr>
          <w:p w14:paraId="2132FDE7"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2.83%</w:t>
            </w:r>
          </w:p>
        </w:tc>
      </w:tr>
      <w:tr w:rsidR="0064393E" w:rsidRPr="0064393E" w14:paraId="2ADF56E1"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79C24AC2"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2016</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2DBAE6E5"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$1,181,803</w:t>
            </w:r>
          </w:p>
        </w:tc>
        <w:tc>
          <w:tcPr>
            <w:tcW w:w="2498" w:type="dxa"/>
            <w:tcBorders>
              <w:top w:val="nil"/>
              <w:left w:val="nil"/>
              <w:bottom w:val="single" w:sz="4" w:space="0" w:color="000000"/>
              <w:right w:val="single" w:sz="4" w:space="0" w:color="000000"/>
            </w:tcBorders>
            <w:shd w:val="clear" w:color="auto" w:fill="auto"/>
            <w:noWrap/>
            <w:vAlign w:val="center"/>
          </w:tcPr>
          <w:p w14:paraId="7638A0C0"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1.95%</w:t>
            </w:r>
          </w:p>
        </w:tc>
        <w:tc>
          <w:tcPr>
            <w:tcW w:w="2497" w:type="dxa"/>
            <w:tcBorders>
              <w:top w:val="nil"/>
              <w:left w:val="nil"/>
              <w:bottom w:val="single" w:sz="4" w:space="0" w:color="000000"/>
              <w:right w:val="single" w:sz="4" w:space="0" w:color="000000"/>
            </w:tcBorders>
            <w:shd w:val="clear" w:color="auto" w:fill="auto"/>
            <w:noWrap/>
            <w:vAlign w:val="center"/>
          </w:tcPr>
          <w:p w14:paraId="757BE37A"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$1,036,381</w:t>
            </w:r>
          </w:p>
        </w:tc>
        <w:tc>
          <w:tcPr>
            <w:tcW w:w="2498" w:type="dxa"/>
            <w:tcBorders>
              <w:top w:val="nil"/>
              <w:left w:val="nil"/>
              <w:bottom w:val="single" w:sz="4" w:space="0" w:color="000000"/>
              <w:right w:val="single" w:sz="8" w:space="0" w:color="000000"/>
            </w:tcBorders>
            <w:shd w:val="clear" w:color="auto" w:fill="auto"/>
            <w:noWrap/>
            <w:vAlign w:val="center"/>
          </w:tcPr>
          <w:p w14:paraId="2CD2B7BB"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1.71%</w:t>
            </w:r>
          </w:p>
        </w:tc>
      </w:tr>
      <w:tr w:rsidR="0064393E" w:rsidRPr="0064393E" w14:paraId="460ABDB3"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5514B653" w14:textId="77777777" w:rsidR="0064393E" w:rsidRPr="0064393E" w:rsidRDefault="0064393E" w:rsidP="0064393E">
            <w:pPr>
              <w:spacing w:after="0" w:line="240" w:lineRule="auto"/>
              <w:rPr>
                <w:rFonts w:ascii="Calibri" w:eastAsia="Times New Roman" w:hAnsi="Calibri" w:cs="Calibri"/>
                <w:sz w:val="21"/>
                <w:szCs w:val="21"/>
              </w:rPr>
            </w:pPr>
            <w:r w:rsidRPr="0064393E">
              <w:rPr>
                <w:rFonts w:ascii="Calibri" w:eastAsia="Times New Roman" w:hAnsi="Calibri" w:cs="Calibri"/>
                <w:b/>
                <w:color w:val="000000"/>
                <w:sz w:val="21"/>
                <w:szCs w:val="21"/>
              </w:rPr>
              <w:t>Peoples EQT</w:t>
            </w:r>
          </w:p>
        </w:tc>
        <w:tc>
          <w:tcPr>
            <w:tcW w:w="2497"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tcPr>
          <w:p w14:paraId="16A37E06" w14:textId="77777777" w:rsidR="0064393E" w:rsidRPr="0064393E" w:rsidRDefault="0064393E" w:rsidP="0064393E">
            <w:pPr>
              <w:spacing w:after="0" w:line="240" w:lineRule="auto"/>
              <w:jc w:val="center"/>
              <w:rPr>
                <w:rFonts w:ascii="Calibri" w:eastAsia="Times New Roman" w:hAnsi="Calibri" w:cs="Calibri"/>
                <w:sz w:val="21"/>
                <w:szCs w:val="21"/>
              </w:rPr>
            </w:pPr>
          </w:p>
        </w:tc>
        <w:tc>
          <w:tcPr>
            <w:tcW w:w="2498" w:type="dxa"/>
            <w:tcBorders>
              <w:top w:val="nil"/>
              <w:left w:val="nil"/>
              <w:bottom w:val="single" w:sz="4" w:space="0" w:color="000000"/>
              <w:right w:val="single" w:sz="4" w:space="0" w:color="000000"/>
            </w:tcBorders>
            <w:shd w:val="clear" w:color="auto" w:fill="F2F2F2" w:themeFill="background1" w:themeFillShade="F2"/>
            <w:noWrap/>
            <w:vAlign w:val="bottom"/>
          </w:tcPr>
          <w:p w14:paraId="192666ED" w14:textId="77777777" w:rsidR="0064393E" w:rsidRPr="0064393E" w:rsidRDefault="0064393E" w:rsidP="0064393E">
            <w:pPr>
              <w:spacing w:after="0" w:line="240" w:lineRule="auto"/>
              <w:jc w:val="center"/>
              <w:rPr>
                <w:rFonts w:ascii="Calibri" w:eastAsia="Times New Roman" w:hAnsi="Calibri" w:cs="Calibri"/>
                <w:sz w:val="21"/>
                <w:szCs w:val="21"/>
              </w:rPr>
            </w:pPr>
          </w:p>
        </w:tc>
        <w:tc>
          <w:tcPr>
            <w:tcW w:w="2497" w:type="dxa"/>
            <w:tcBorders>
              <w:top w:val="nil"/>
              <w:left w:val="nil"/>
              <w:bottom w:val="single" w:sz="4" w:space="0" w:color="000000"/>
              <w:right w:val="single" w:sz="4" w:space="0" w:color="000000"/>
            </w:tcBorders>
            <w:shd w:val="clear" w:color="auto" w:fill="F2F2F2" w:themeFill="background1" w:themeFillShade="F2"/>
            <w:noWrap/>
            <w:vAlign w:val="bottom"/>
          </w:tcPr>
          <w:p w14:paraId="71475528" w14:textId="77777777" w:rsidR="0064393E" w:rsidRPr="0064393E" w:rsidRDefault="0064393E" w:rsidP="0064393E">
            <w:pPr>
              <w:spacing w:after="0" w:line="240" w:lineRule="auto"/>
              <w:jc w:val="center"/>
              <w:rPr>
                <w:rFonts w:ascii="Calibri" w:eastAsia="Times New Roman" w:hAnsi="Calibri" w:cs="Calibri"/>
                <w:sz w:val="21"/>
                <w:szCs w:val="21"/>
              </w:rPr>
            </w:pPr>
          </w:p>
        </w:tc>
        <w:tc>
          <w:tcPr>
            <w:tcW w:w="2498" w:type="dxa"/>
            <w:tcBorders>
              <w:top w:val="nil"/>
              <w:left w:val="nil"/>
              <w:bottom w:val="single" w:sz="4" w:space="0" w:color="000000"/>
              <w:right w:val="single" w:sz="8" w:space="0" w:color="000000"/>
            </w:tcBorders>
            <w:shd w:val="clear" w:color="auto" w:fill="F2F2F2" w:themeFill="background1" w:themeFillShade="F2"/>
            <w:noWrap/>
            <w:vAlign w:val="bottom"/>
          </w:tcPr>
          <w:p w14:paraId="589ACF2C"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r>
      <w:tr w:rsidR="0064393E" w:rsidRPr="0064393E" w14:paraId="0D50C449"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251C5964"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2012</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4B9E113E"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color w:val="000000"/>
                <w:sz w:val="21"/>
                <w:szCs w:val="21"/>
              </w:rPr>
              <w:t>$3,046,495</w:t>
            </w:r>
          </w:p>
        </w:tc>
        <w:tc>
          <w:tcPr>
            <w:tcW w:w="2498" w:type="dxa"/>
            <w:tcBorders>
              <w:top w:val="nil"/>
              <w:left w:val="nil"/>
              <w:bottom w:val="single" w:sz="4" w:space="0" w:color="000000"/>
              <w:right w:val="single" w:sz="4" w:space="0" w:color="000000"/>
            </w:tcBorders>
            <w:shd w:val="clear" w:color="auto" w:fill="auto"/>
            <w:noWrap/>
            <w:vAlign w:val="center"/>
          </w:tcPr>
          <w:p w14:paraId="0A084F0B"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9.63%</w:t>
            </w:r>
          </w:p>
        </w:tc>
        <w:tc>
          <w:tcPr>
            <w:tcW w:w="2497" w:type="dxa"/>
            <w:tcBorders>
              <w:top w:val="nil"/>
              <w:left w:val="nil"/>
              <w:bottom w:val="single" w:sz="4" w:space="0" w:color="000000"/>
              <w:right w:val="single" w:sz="4" w:space="0" w:color="000000"/>
            </w:tcBorders>
            <w:shd w:val="clear" w:color="auto" w:fill="auto"/>
            <w:noWrap/>
            <w:vAlign w:val="center"/>
          </w:tcPr>
          <w:p w14:paraId="7BCD1276"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$722,376</w:t>
            </w:r>
          </w:p>
        </w:tc>
        <w:tc>
          <w:tcPr>
            <w:tcW w:w="2498" w:type="dxa"/>
            <w:tcBorders>
              <w:top w:val="nil"/>
              <w:left w:val="nil"/>
              <w:bottom w:val="single" w:sz="4" w:space="0" w:color="000000"/>
              <w:right w:val="single" w:sz="8" w:space="0" w:color="000000"/>
            </w:tcBorders>
            <w:shd w:val="clear" w:color="auto" w:fill="auto"/>
            <w:noWrap/>
            <w:vAlign w:val="center"/>
          </w:tcPr>
          <w:p w14:paraId="054A4549"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2.28%</w:t>
            </w:r>
          </w:p>
        </w:tc>
      </w:tr>
      <w:tr w:rsidR="0064393E" w:rsidRPr="0064393E" w14:paraId="601454DC"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6E86D1EC"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2013</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45304DC9"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$3,268,826</w:t>
            </w:r>
          </w:p>
        </w:tc>
        <w:tc>
          <w:tcPr>
            <w:tcW w:w="2498" w:type="dxa"/>
            <w:tcBorders>
              <w:top w:val="nil"/>
              <w:left w:val="nil"/>
              <w:bottom w:val="single" w:sz="4" w:space="0" w:color="000000"/>
              <w:right w:val="single" w:sz="4" w:space="0" w:color="000000"/>
            </w:tcBorders>
            <w:shd w:val="clear" w:color="auto" w:fill="auto"/>
            <w:noWrap/>
            <w:vAlign w:val="center"/>
            <w:hideMark/>
          </w:tcPr>
          <w:p w14:paraId="6924E605"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8.67%</w:t>
            </w:r>
          </w:p>
        </w:tc>
        <w:tc>
          <w:tcPr>
            <w:tcW w:w="2497" w:type="dxa"/>
            <w:tcBorders>
              <w:top w:val="nil"/>
              <w:left w:val="nil"/>
              <w:bottom w:val="single" w:sz="4" w:space="0" w:color="000000"/>
              <w:right w:val="single" w:sz="4" w:space="0" w:color="000000"/>
            </w:tcBorders>
            <w:shd w:val="clear" w:color="auto" w:fill="auto"/>
            <w:noWrap/>
            <w:vAlign w:val="center"/>
            <w:hideMark/>
          </w:tcPr>
          <w:p w14:paraId="47992B07"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$875,335</w:t>
            </w:r>
          </w:p>
        </w:tc>
        <w:tc>
          <w:tcPr>
            <w:tcW w:w="2498" w:type="dxa"/>
            <w:tcBorders>
              <w:top w:val="nil"/>
              <w:left w:val="nil"/>
              <w:bottom w:val="single" w:sz="4" w:space="0" w:color="000000"/>
              <w:right w:val="single" w:sz="8" w:space="0" w:color="000000"/>
            </w:tcBorders>
            <w:shd w:val="clear" w:color="auto" w:fill="auto"/>
            <w:noWrap/>
            <w:vAlign w:val="center"/>
            <w:hideMark/>
          </w:tcPr>
          <w:p w14:paraId="5A1483E2"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2.32%</w:t>
            </w:r>
          </w:p>
        </w:tc>
      </w:tr>
      <w:tr w:rsidR="0064393E" w:rsidRPr="0064393E" w14:paraId="189499BA"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07085B02"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2014</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66982275"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$3,230,526</w:t>
            </w:r>
          </w:p>
        </w:tc>
        <w:tc>
          <w:tcPr>
            <w:tcW w:w="2498" w:type="dxa"/>
            <w:tcBorders>
              <w:top w:val="nil"/>
              <w:left w:val="nil"/>
              <w:bottom w:val="single" w:sz="4" w:space="0" w:color="000000"/>
              <w:right w:val="single" w:sz="4" w:space="0" w:color="000000"/>
            </w:tcBorders>
            <w:shd w:val="clear" w:color="auto" w:fill="auto"/>
            <w:noWrap/>
            <w:vAlign w:val="center"/>
            <w:hideMark/>
          </w:tcPr>
          <w:p w14:paraId="756ECE53"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8.58%</w:t>
            </w:r>
          </w:p>
        </w:tc>
        <w:tc>
          <w:tcPr>
            <w:tcW w:w="2497" w:type="dxa"/>
            <w:tcBorders>
              <w:top w:val="nil"/>
              <w:left w:val="nil"/>
              <w:bottom w:val="single" w:sz="4" w:space="0" w:color="000000"/>
              <w:right w:val="single" w:sz="4" w:space="0" w:color="000000"/>
            </w:tcBorders>
            <w:shd w:val="clear" w:color="auto" w:fill="auto"/>
            <w:noWrap/>
            <w:vAlign w:val="center"/>
            <w:hideMark/>
          </w:tcPr>
          <w:p w14:paraId="36EE2E9A"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$858,822</w:t>
            </w:r>
          </w:p>
        </w:tc>
        <w:tc>
          <w:tcPr>
            <w:tcW w:w="2498" w:type="dxa"/>
            <w:tcBorders>
              <w:top w:val="nil"/>
              <w:left w:val="nil"/>
              <w:bottom w:val="single" w:sz="4" w:space="0" w:color="000000"/>
              <w:right w:val="single" w:sz="8" w:space="0" w:color="000000"/>
            </w:tcBorders>
            <w:shd w:val="clear" w:color="auto" w:fill="auto"/>
            <w:noWrap/>
            <w:vAlign w:val="center"/>
            <w:hideMark/>
          </w:tcPr>
          <w:p w14:paraId="6A7EABE0"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2.28%</w:t>
            </w:r>
          </w:p>
        </w:tc>
      </w:tr>
      <w:tr w:rsidR="0064393E" w:rsidRPr="0064393E" w14:paraId="6AFB9796"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7DA36E2"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2015</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29784C6D"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$2,641,103</w:t>
            </w:r>
          </w:p>
        </w:tc>
        <w:tc>
          <w:tcPr>
            <w:tcW w:w="2498" w:type="dxa"/>
            <w:tcBorders>
              <w:top w:val="nil"/>
              <w:left w:val="nil"/>
              <w:bottom w:val="single" w:sz="4" w:space="0" w:color="000000"/>
              <w:right w:val="single" w:sz="4" w:space="0" w:color="000000"/>
            </w:tcBorders>
            <w:shd w:val="clear" w:color="auto" w:fill="auto"/>
            <w:noWrap/>
            <w:vAlign w:val="center"/>
          </w:tcPr>
          <w:p w14:paraId="0718C0A7"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7.16%</w:t>
            </w:r>
          </w:p>
        </w:tc>
        <w:tc>
          <w:tcPr>
            <w:tcW w:w="2497" w:type="dxa"/>
            <w:tcBorders>
              <w:top w:val="nil"/>
              <w:left w:val="nil"/>
              <w:bottom w:val="single" w:sz="4" w:space="0" w:color="000000"/>
              <w:right w:val="single" w:sz="4" w:space="0" w:color="000000"/>
            </w:tcBorders>
            <w:shd w:val="clear" w:color="auto" w:fill="auto"/>
            <w:noWrap/>
            <w:vAlign w:val="center"/>
          </w:tcPr>
          <w:p w14:paraId="5BA36BFB"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$829,595</w:t>
            </w:r>
          </w:p>
        </w:tc>
        <w:tc>
          <w:tcPr>
            <w:tcW w:w="2498" w:type="dxa"/>
            <w:tcBorders>
              <w:top w:val="nil"/>
              <w:left w:val="nil"/>
              <w:bottom w:val="single" w:sz="4" w:space="0" w:color="000000"/>
              <w:right w:val="single" w:sz="8" w:space="0" w:color="000000"/>
            </w:tcBorders>
            <w:shd w:val="clear" w:color="auto" w:fill="auto"/>
            <w:noWrap/>
            <w:vAlign w:val="center"/>
          </w:tcPr>
          <w:p w14:paraId="2772678F"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2.25%</w:t>
            </w:r>
          </w:p>
        </w:tc>
      </w:tr>
      <w:tr w:rsidR="0064393E" w:rsidRPr="0064393E" w14:paraId="7AD1FD45"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0F35000"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2016</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2150E93E"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$647,581</w:t>
            </w:r>
          </w:p>
        </w:tc>
        <w:tc>
          <w:tcPr>
            <w:tcW w:w="2498" w:type="dxa"/>
            <w:tcBorders>
              <w:top w:val="nil"/>
              <w:left w:val="nil"/>
              <w:bottom w:val="single" w:sz="4" w:space="0" w:color="000000"/>
              <w:right w:val="single" w:sz="4" w:space="0" w:color="000000"/>
            </w:tcBorders>
            <w:shd w:val="clear" w:color="auto" w:fill="auto"/>
            <w:noWrap/>
            <w:vAlign w:val="center"/>
          </w:tcPr>
          <w:p w14:paraId="3810AFD0"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2.18%</w:t>
            </w:r>
          </w:p>
        </w:tc>
        <w:tc>
          <w:tcPr>
            <w:tcW w:w="2497" w:type="dxa"/>
            <w:tcBorders>
              <w:top w:val="nil"/>
              <w:left w:val="nil"/>
              <w:bottom w:val="single" w:sz="4" w:space="0" w:color="000000"/>
              <w:right w:val="single" w:sz="4" w:space="0" w:color="000000"/>
            </w:tcBorders>
            <w:shd w:val="clear" w:color="auto" w:fill="auto"/>
            <w:noWrap/>
            <w:vAlign w:val="center"/>
          </w:tcPr>
          <w:p w14:paraId="7335928E"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$1,066,339</w:t>
            </w:r>
          </w:p>
        </w:tc>
        <w:tc>
          <w:tcPr>
            <w:tcW w:w="2498" w:type="dxa"/>
            <w:tcBorders>
              <w:top w:val="nil"/>
              <w:left w:val="nil"/>
              <w:bottom w:val="single" w:sz="4" w:space="0" w:color="000000"/>
              <w:right w:val="single" w:sz="8" w:space="0" w:color="000000"/>
            </w:tcBorders>
            <w:shd w:val="clear" w:color="auto" w:fill="auto"/>
            <w:noWrap/>
            <w:vAlign w:val="center"/>
          </w:tcPr>
          <w:p w14:paraId="6944432D"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3.59%</w:t>
            </w:r>
          </w:p>
        </w:tc>
      </w:tr>
      <w:tr w:rsidR="0064393E" w:rsidRPr="0064393E" w14:paraId="31192FB6"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64EE3DCB" w14:textId="77777777" w:rsidR="0064393E" w:rsidRPr="0064393E" w:rsidRDefault="0064393E" w:rsidP="0064393E">
            <w:pPr>
              <w:spacing w:after="0" w:line="240" w:lineRule="auto"/>
              <w:rPr>
                <w:rFonts w:ascii="Calibri" w:eastAsia="Times New Roman" w:hAnsi="Calibri" w:cs="Calibri"/>
                <w:color w:val="000000"/>
                <w:sz w:val="21"/>
                <w:szCs w:val="21"/>
              </w:rPr>
            </w:pPr>
            <w:r w:rsidRPr="0064393E">
              <w:rPr>
                <w:rFonts w:ascii="Calibri" w:eastAsia="Times New Roman" w:hAnsi="Calibri" w:cs="Calibri"/>
                <w:b/>
                <w:color w:val="000000"/>
                <w:sz w:val="21"/>
                <w:szCs w:val="21"/>
              </w:rPr>
              <w:t>PGW</w:t>
            </w:r>
          </w:p>
        </w:tc>
        <w:tc>
          <w:tcPr>
            <w:tcW w:w="2497"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tcPr>
          <w:p w14:paraId="22C58D28"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c>
          <w:tcPr>
            <w:tcW w:w="2498" w:type="dxa"/>
            <w:tcBorders>
              <w:top w:val="nil"/>
              <w:left w:val="nil"/>
              <w:bottom w:val="single" w:sz="4" w:space="0" w:color="000000"/>
              <w:right w:val="single" w:sz="4" w:space="0" w:color="000000"/>
            </w:tcBorders>
            <w:shd w:val="clear" w:color="auto" w:fill="F2F2F2" w:themeFill="background1" w:themeFillShade="F2"/>
            <w:noWrap/>
            <w:vAlign w:val="bottom"/>
          </w:tcPr>
          <w:p w14:paraId="0FC50D67" w14:textId="77777777" w:rsidR="0064393E" w:rsidRPr="0064393E" w:rsidRDefault="0064393E" w:rsidP="0064393E">
            <w:pPr>
              <w:spacing w:after="0" w:line="240" w:lineRule="auto"/>
              <w:jc w:val="center"/>
              <w:rPr>
                <w:rFonts w:ascii="Calibri" w:eastAsia="Times New Roman" w:hAnsi="Calibri" w:cs="Calibri"/>
                <w:sz w:val="21"/>
                <w:szCs w:val="21"/>
              </w:rPr>
            </w:pPr>
          </w:p>
        </w:tc>
        <w:tc>
          <w:tcPr>
            <w:tcW w:w="2497" w:type="dxa"/>
            <w:tcBorders>
              <w:top w:val="nil"/>
              <w:left w:val="nil"/>
              <w:bottom w:val="single" w:sz="4" w:space="0" w:color="000000"/>
              <w:right w:val="single" w:sz="4" w:space="0" w:color="000000"/>
            </w:tcBorders>
            <w:shd w:val="clear" w:color="auto" w:fill="F2F2F2" w:themeFill="background1" w:themeFillShade="F2"/>
            <w:noWrap/>
            <w:vAlign w:val="bottom"/>
          </w:tcPr>
          <w:p w14:paraId="159FE20A" w14:textId="77777777" w:rsidR="0064393E" w:rsidRPr="0064393E" w:rsidRDefault="0064393E" w:rsidP="0064393E">
            <w:pPr>
              <w:spacing w:after="0" w:line="240" w:lineRule="auto"/>
              <w:jc w:val="center"/>
              <w:rPr>
                <w:rFonts w:ascii="Calibri" w:eastAsia="Times New Roman" w:hAnsi="Calibri" w:cs="Calibri"/>
                <w:sz w:val="21"/>
                <w:szCs w:val="21"/>
              </w:rPr>
            </w:pPr>
          </w:p>
        </w:tc>
        <w:tc>
          <w:tcPr>
            <w:tcW w:w="2498" w:type="dxa"/>
            <w:tcBorders>
              <w:top w:val="nil"/>
              <w:left w:val="nil"/>
              <w:bottom w:val="single" w:sz="4" w:space="0" w:color="000000"/>
              <w:right w:val="single" w:sz="8" w:space="0" w:color="000000"/>
            </w:tcBorders>
            <w:shd w:val="clear" w:color="auto" w:fill="F2F2F2" w:themeFill="background1" w:themeFillShade="F2"/>
            <w:noWrap/>
            <w:vAlign w:val="bottom"/>
          </w:tcPr>
          <w:p w14:paraId="31AF6742"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r>
      <w:tr w:rsidR="0064393E" w:rsidRPr="0064393E" w14:paraId="647BE2DD"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2E481FB3"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2012</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1FF4F3EA"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color w:val="000000"/>
                <w:sz w:val="21"/>
                <w:szCs w:val="21"/>
              </w:rPr>
              <w:t>$6,700,882</w:t>
            </w:r>
          </w:p>
        </w:tc>
        <w:tc>
          <w:tcPr>
            <w:tcW w:w="2498" w:type="dxa"/>
            <w:tcBorders>
              <w:top w:val="nil"/>
              <w:left w:val="nil"/>
              <w:bottom w:val="single" w:sz="4" w:space="0" w:color="000000"/>
              <w:right w:val="single" w:sz="4" w:space="0" w:color="000000"/>
            </w:tcBorders>
            <w:shd w:val="clear" w:color="auto" w:fill="auto"/>
            <w:noWrap/>
            <w:vAlign w:val="center"/>
          </w:tcPr>
          <w:p w14:paraId="133E2257"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4.15%</w:t>
            </w:r>
          </w:p>
        </w:tc>
        <w:tc>
          <w:tcPr>
            <w:tcW w:w="2497" w:type="dxa"/>
            <w:tcBorders>
              <w:top w:val="nil"/>
              <w:left w:val="nil"/>
              <w:bottom w:val="single" w:sz="4" w:space="0" w:color="000000"/>
              <w:right w:val="single" w:sz="4" w:space="0" w:color="000000"/>
            </w:tcBorders>
            <w:shd w:val="clear" w:color="auto" w:fill="auto"/>
            <w:noWrap/>
            <w:vAlign w:val="center"/>
          </w:tcPr>
          <w:p w14:paraId="51B81E46"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$4,932,157</w:t>
            </w:r>
          </w:p>
        </w:tc>
        <w:tc>
          <w:tcPr>
            <w:tcW w:w="2498" w:type="dxa"/>
            <w:tcBorders>
              <w:top w:val="nil"/>
              <w:left w:val="nil"/>
              <w:bottom w:val="single" w:sz="4" w:space="0" w:color="000000"/>
              <w:right w:val="single" w:sz="8" w:space="0" w:color="000000"/>
            </w:tcBorders>
            <w:shd w:val="clear" w:color="auto" w:fill="auto"/>
            <w:noWrap/>
            <w:vAlign w:val="center"/>
          </w:tcPr>
          <w:p w14:paraId="1F6E45E3"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3.05%</w:t>
            </w:r>
          </w:p>
        </w:tc>
      </w:tr>
      <w:tr w:rsidR="0064393E" w:rsidRPr="0064393E" w14:paraId="5DBA7D6D"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7FBB2A79"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2013</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4A595D44"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color w:val="000000"/>
                <w:sz w:val="21"/>
                <w:szCs w:val="21"/>
              </w:rPr>
              <w:t>$2,288,750</w:t>
            </w:r>
          </w:p>
        </w:tc>
        <w:tc>
          <w:tcPr>
            <w:tcW w:w="2498" w:type="dxa"/>
            <w:tcBorders>
              <w:top w:val="nil"/>
              <w:left w:val="nil"/>
              <w:bottom w:val="single" w:sz="4" w:space="0" w:color="000000"/>
              <w:right w:val="single" w:sz="4" w:space="0" w:color="000000"/>
            </w:tcBorders>
            <w:shd w:val="clear" w:color="auto" w:fill="auto"/>
            <w:noWrap/>
            <w:vAlign w:val="center"/>
          </w:tcPr>
          <w:p w14:paraId="615BD68A"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1.88%</w:t>
            </w:r>
          </w:p>
        </w:tc>
        <w:tc>
          <w:tcPr>
            <w:tcW w:w="2497" w:type="dxa"/>
            <w:tcBorders>
              <w:top w:val="nil"/>
              <w:left w:val="nil"/>
              <w:bottom w:val="single" w:sz="4" w:space="0" w:color="000000"/>
              <w:right w:val="single" w:sz="4" w:space="0" w:color="000000"/>
            </w:tcBorders>
            <w:shd w:val="clear" w:color="auto" w:fill="auto"/>
            <w:noWrap/>
            <w:vAlign w:val="center"/>
          </w:tcPr>
          <w:p w14:paraId="1B4247FF"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$6,105,622</w:t>
            </w:r>
          </w:p>
        </w:tc>
        <w:tc>
          <w:tcPr>
            <w:tcW w:w="2498" w:type="dxa"/>
            <w:tcBorders>
              <w:top w:val="nil"/>
              <w:left w:val="nil"/>
              <w:bottom w:val="single" w:sz="4" w:space="0" w:color="000000"/>
              <w:right w:val="single" w:sz="8" w:space="0" w:color="000000"/>
            </w:tcBorders>
            <w:shd w:val="clear" w:color="auto" w:fill="auto"/>
            <w:noWrap/>
            <w:vAlign w:val="center"/>
          </w:tcPr>
          <w:p w14:paraId="58D0CFA3"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5.02%</w:t>
            </w:r>
          </w:p>
        </w:tc>
      </w:tr>
      <w:tr w:rsidR="0064393E" w:rsidRPr="0064393E" w14:paraId="0A201AA4"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66A96F0"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2014</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522D54F2"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$2,410,536</w:t>
            </w:r>
          </w:p>
        </w:tc>
        <w:tc>
          <w:tcPr>
            <w:tcW w:w="2498" w:type="dxa"/>
            <w:tcBorders>
              <w:top w:val="nil"/>
              <w:left w:val="nil"/>
              <w:bottom w:val="single" w:sz="4" w:space="0" w:color="000000"/>
              <w:right w:val="single" w:sz="4" w:space="0" w:color="000000"/>
            </w:tcBorders>
            <w:shd w:val="clear" w:color="auto" w:fill="auto"/>
            <w:noWrap/>
            <w:vAlign w:val="center"/>
            <w:hideMark/>
          </w:tcPr>
          <w:p w14:paraId="3020A700"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2.14%</w:t>
            </w:r>
          </w:p>
        </w:tc>
        <w:tc>
          <w:tcPr>
            <w:tcW w:w="2497" w:type="dxa"/>
            <w:tcBorders>
              <w:top w:val="nil"/>
              <w:left w:val="nil"/>
              <w:bottom w:val="single" w:sz="4" w:space="0" w:color="000000"/>
              <w:right w:val="single" w:sz="4" w:space="0" w:color="000000"/>
            </w:tcBorders>
            <w:shd w:val="clear" w:color="auto" w:fill="auto"/>
            <w:noWrap/>
            <w:vAlign w:val="center"/>
            <w:hideMark/>
          </w:tcPr>
          <w:p w14:paraId="6FB371BB"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$6,835,691</w:t>
            </w:r>
          </w:p>
        </w:tc>
        <w:tc>
          <w:tcPr>
            <w:tcW w:w="2498" w:type="dxa"/>
            <w:tcBorders>
              <w:top w:val="nil"/>
              <w:left w:val="nil"/>
              <w:bottom w:val="single" w:sz="4" w:space="0" w:color="000000"/>
              <w:right w:val="single" w:sz="8" w:space="0" w:color="000000"/>
            </w:tcBorders>
            <w:shd w:val="clear" w:color="auto" w:fill="auto"/>
            <w:noWrap/>
            <w:vAlign w:val="center"/>
            <w:hideMark/>
          </w:tcPr>
          <w:p w14:paraId="521EFEC1"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6.06%</w:t>
            </w:r>
          </w:p>
        </w:tc>
      </w:tr>
      <w:tr w:rsidR="0064393E" w:rsidRPr="0064393E" w14:paraId="1451915A"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0CAAC7F8"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2015</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0EC62606"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$8,618,074</w:t>
            </w:r>
          </w:p>
        </w:tc>
        <w:tc>
          <w:tcPr>
            <w:tcW w:w="2498" w:type="dxa"/>
            <w:tcBorders>
              <w:top w:val="nil"/>
              <w:left w:val="nil"/>
              <w:bottom w:val="single" w:sz="4" w:space="0" w:color="000000"/>
              <w:right w:val="single" w:sz="4" w:space="0" w:color="000000"/>
            </w:tcBorders>
            <w:shd w:val="clear" w:color="auto" w:fill="auto"/>
            <w:noWrap/>
            <w:vAlign w:val="center"/>
            <w:hideMark/>
          </w:tcPr>
          <w:p w14:paraId="62AD7F1B"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6.40%</w:t>
            </w:r>
          </w:p>
        </w:tc>
        <w:tc>
          <w:tcPr>
            <w:tcW w:w="2497" w:type="dxa"/>
            <w:tcBorders>
              <w:top w:val="nil"/>
              <w:left w:val="nil"/>
              <w:bottom w:val="single" w:sz="4" w:space="0" w:color="000000"/>
              <w:right w:val="single" w:sz="4" w:space="0" w:color="000000"/>
            </w:tcBorders>
            <w:shd w:val="clear" w:color="auto" w:fill="auto"/>
            <w:noWrap/>
            <w:vAlign w:val="center"/>
            <w:hideMark/>
          </w:tcPr>
          <w:p w14:paraId="34F2213A"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$6,340,821</w:t>
            </w:r>
          </w:p>
        </w:tc>
        <w:tc>
          <w:tcPr>
            <w:tcW w:w="2498" w:type="dxa"/>
            <w:tcBorders>
              <w:top w:val="nil"/>
              <w:left w:val="nil"/>
              <w:bottom w:val="single" w:sz="4" w:space="0" w:color="000000"/>
              <w:right w:val="single" w:sz="8" w:space="0" w:color="000000"/>
            </w:tcBorders>
            <w:shd w:val="clear" w:color="auto" w:fill="auto"/>
            <w:noWrap/>
            <w:vAlign w:val="center"/>
            <w:hideMark/>
          </w:tcPr>
          <w:p w14:paraId="47F16F8F"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4.71%</w:t>
            </w:r>
          </w:p>
        </w:tc>
      </w:tr>
      <w:tr w:rsidR="0064393E" w:rsidRPr="0064393E" w14:paraId="444AB283"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841D95A"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2016</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313C1941"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$7,384,073</w:t>
            </w:r>
          </w:p>
        </w:tc>
        <w:tc>
          <w:tcPr>
            <w:tcW w:w="2498" w:type="dxa"/>
            <w:tcBorders>
              <w:top w:val="nil"/>
              <w:left w:val="nil"/>
              <w:bottom w:val="single" w:sz="4" w:space="0" w:color="000000"/>
              <w:right w:val="single" w:sz="4" w:space="0" w:color="000000"/>
            </w:tcBorders>
            <w:shd w:val="clear" w:color="auto" w:fill="auto"/>
            <w:noWrap/>
            <w:vAlign w:val="center"/>
          </w:tcPr>
          <w:p w14:paraId="69A197FF"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6.01%</w:t>
            </w:r>
          </w:p>
        </w:tc>
        <w:tc>
          <w:tcPr>
            <w:tcW w:w="2497" w:type="dxa"/>
            <w:tcBorders>
              <w:top w:val="nil"/>
              <w:left w:val="nil"/>
              <w:bottom w:val="single" w:sz="4" w:space="0" w:color="000000"/>
              <w:right w:val="single" w:sz="4" w:space="0" w:color="000000"/>
            </w:tcBorders>
            <w:shd w:val="clear" w:color="auto" w:fill="auto"/>
            <w:noWrap/>
            <w:vAlign w:val="center"/>
          </w:tcPr>
          <w:p w14:paraId="7750F31E"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$2,188,203</w:t>
            </w:r>
          </w:p>
        </w:tc>
        <w:tc>
          <w:tcPr>
            <w:tcW w:w="2498" w:type="dxa"/>
            <w:tcBorders>
              <w:top w:val="nil"/>
              <w:left w:val="nil"/>
              <w:bottom w:val="single" w:sz="4" w:space="0" w:color="000000"/>
              <w:right w:val="single" w:sz="8" w:space="0" w:color="000000"/>
            </w:tcBorders>
            <w:shd w:val="clear" w:color="auto" w:fill="auto"/>
            <w:noWrap/>
            <w:vAlign w:val="center"/>
          </w:tcPr>
          <w:p w14:paraId="778BABCC"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1.78%</w:t>
            </w:r>
          </w:p>
        </w:tc>
      </w:tr>
      <w:tr w:rsidR="0064393E" w:rsidRPr="0064393E" w14:paraId="4786E7B5"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00AF19BF" w14:textId="77777777" w:rsidR="0064393E" w:rsidRPr="0064393E" w:rsidRDefault="0064393E" w:rsidP="0064393E">
            <w:pPr>
              <w:spacing w:after="0" w:line="240" w:lineRule="auto"/>
              <w:rPr>
                <w:rFonts w:ascii="Calibri" w:eastAsia="Times New Roman" w:hAnsi="Calibri" w:cs="Calibri"/>
                <w:color w:val="000000"/>
                <w:sz w:val="21"/>
                <w:szCs w:val="21"/>
              </w:rPr>
            </w:pPr>
            <w:r w:rsidRPr="0064393E">
              <w:rPr>
                <w:rFonts w:ascii="Calibri" w:eastAsia="Times New Roman" w:hAnsi="Calibri" w:cs="Calibri"/>
                <w:b/>
                <w:color w:val="000000"/>
                <w:sz w:val="21"/>
                <w:szCs w:val="21"/>
              </w:rPr>
              <w:t>UGI Gas</w:t>
            </w:r>
          </w:p>
        </w:tc>
        <w:tc>
          <w:tcPr>
            <w:tcW w:w="2497"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tcPr>
          <w:p w14:paraId="587B52CE"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c>
          <w:tcPr>
            <w:tcW w:w="2498" w:type="dxa"/>
            <w:tcBorders>
              <w:top w:val="nil"/>
              <w:left w:val="nil"/>
              <w:bottom w:val="single" w:sz="4" w:space="0" w:color="000000"/>
              <w:right w:val="single" w:sz="4" w:space="0" w:color="000000"/>
            </w:tcBorders>
            <w:shd w:val="clear" w:color="auto" w:fill="F2F2F2" w:themeFill="background1" w:themeFillShade="F2"/>
            <w:noWrap/>
            <w:vAlign w:val="bottom"/>
          </w:tcPr>
          <w:p w14:paraId="0E249F4D" w14:textId="77777777" w:rsidR="0064393E" w:rsidRPr="0064393E" w:rsidRDefault="0064393E" w:rsidP="0064393E">
            <w:pPr>
              <w:spacing w:after="0" w:line="240" w:lineRule="auto"/>
              <w:jc w:val="center"/>
              <w:rPr>
                <w:rFonts w:ascii="Calibri" w:eastAsia="Times New Roman" w:hAnsi="Calibri" w:cs="Calibri"/>
                <w:sz w:val="21"/>
                <w:szCs w:val="21"/>
              </w:rPr>
            </w:pPr>
          </w:p>
        </w:tc>
        <w:tc>
          <w:tcPr>
            <w:tcW w:w="2497" w:type="dxa"/>
            <w:tcBorders>
              <w:top w:val="nil"/>
              <w:left w:val="nil"/>
              <w:bottom w:val="single" w:sz="4" w:space="0" w:color="000000"/>
              <w:right w:val="single" w:sz="4" w:space="0" w:color="000000"/>
            </w:tcBorders>
            <w:shd w:val="clear" w:color="auto" w:fill="F2F2F2" w:themeFill="background1" w:themeFillShade="F2"/>
            <w:noWrap/>
            <w:vAlign w:val="bottom"/>
          </w:tcPr>
          <w:p w14:paraId="2E001295" w14:textId="77777777" w:rsidR="0064393E" w:rsidRPr="0064393E" w:rsidRDefault="0064393E" w:rsidP="0064393E">
            <w:pPr>
              <w:spacing w:after="0" w:line="240" w:lineRule="auto"/>
              <w:jc w:val="center"/>
              <w:rPr>
                <w:rFonts w:ascii="Calibri" w:eastAsia="Times New Roman" w:hAnsi="Calibri" w:cs="Calibri"/>
                <w:sz w:val="21"/>
                <w:szCs w:val="21"/>
              </w:rPr>
            </w:pPr>
          </w:p>
        </w:tc>
        <w:tc>
          <w:tcPr>
            <w:tcW w:w="2498" w:type="dxa"/>
            <w:tcBorders>
              <w:top w:val="nil"/>
              <w:left w:val="nil"/>
              <w:bottom w:val="single" w:sz="4" w:space="0" w:color="000000"/>
              <w:right w:val="single" w:sz="8" w:space="0" w:color="000000"/>
            </w:tcBorders>
            <w:shd w:val="clear" w:color="auto" w:fill="F2F2F2" w:themeFill="background1" w:themeFillShade="F2"/>
            <w:noWrap/>
            <w:vAlign w:val="bottom"/>
          </w:tcPr>
          <w:p w14:paraId="53D5AE27"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r>
      <w:tr w:rsidR="0064393E" w:rsidRPr="0064393E" w14:paraId="7CAAC81E"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D73E6EB"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2012</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026E88E3"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$1,245,209</w:t>
            </w:r>
          </w:p>
        </w:tc>
        <w:tc>
          <w:tcPr>
            <w:tcW w:w="2498" w:type="dxa"/>
            <w:tcBorders>
              <w:top w:val="nil"/>
              <w:left w:val="nil"/>
              <w:bottom w:val="single" w:sz="4" w:space="0" w:color="000000"/>
              <w:right w:val="single" w:sz="4" w:space="0" w:color="000000"/>
            </w:tcBorders>
            <w:shd w:val="clear" w:color="auto" w:fill="auto"/>
            <w:noWrap/>
            <w:vAlign w:val="center"/>
          </w:tcPr>
          <w:p w14:paraId="658612D3"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4.02%</w:t>
            </w:r>
          </w:p>
        </w:tc>
        <w:tc>
          <w:tcPr>
            <w:tcW w:w="2497" w:type="dxa"/>
            <w:tcBorders>
              <w:top w:val="nil"/>
              <w:left w:val="nil"/>
              <w:bottom w:val="single" w:sz="4" w:space="0" w:color="000000"/>
              <w:right w:val="single" w:sz="4" w:space="0" w:color="000000"/>
            </w:tcBorders>
            <w:shd w:val="clear" w:color="auto" w:fill="auto"/>
            <w:noWrap/>
            <w:vAlign w:val="center"/>
          </w:tcPr>
          <w:p w14:paraId="638D28DB"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$2,408,765</w:t>
            </w:r>
          </w:p>
        </w:tc>
        <w:tc>
          <w:tcPr>
            <w:tcW w:w="2498" w:type="dxa"/>
            <w:tcBorders>
              <w:top w:val="nil"/>
              <w:left w:val="nil"/>
              <w:bottom w:val="single" w:sz="4" w:space="0" w:color="000000"/>
              <w:right w:val="single" w:sz="8" w:space="0" w:color="000000"/>
            </w:tcBorders>
            <w:shd w:val="clear" w:color="auto" w:fill="auto"/>
            <w:noWrap/>
            <w:vAlign w:val="center"/>
          </w:tcPr>
          <w:p w14:paraId="3965423C"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7.78%</w:t>
            </w:r>
          </w:p>
        </w:tc>
      </w:tr>
      <w:tr w:rsidR="0064393E" w:rsidRPr="0064393E" w14:paraId="67DA74EA"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3ECC1C50"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2013</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3766F4D1"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color w:val="000000"/>
                <w:sz w:val="21"/>
                <w:szCs w:val="21"/>
              </w:rPr>
              <w:t>$1,684,812</w:t>
            </w:r>
          </w:p>
        </w:tc>
        <w:tc>
          <w:tcPr>
            <w:tcW w:w="2498" w:type="dxa"/>
            <w:tcBorders>
              <w:top w:val="nil"/>
              <w:left w:val="nil"/>
              <w:bottom w:val="single" w:sz="4" w:space="0" w:color="000000"/>
              <w:right w:val="single" w:sz="4" w:space="0" w:color="000000"/>
            </w:tcBorders>
            <w:shd w:val="clear" w:color="auto" w:fill="auto"/>
            <w:noWrap/>
            <w:vAlign w:val="center"/>
          </w:tcPr>
          <w:p w14:paraId="03CAC1E8"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5.28%</w:t>
            </w:r>
          </w:p>
        </w:tc>
        <w:tc>
          <w:tcPr>
            <w:tcW w:w="2497" w:type="dxa"/>
            <w:tcBorders>
              <w:top w:val="nil"/>
              <w:left w:val="nil"/>
              <w:bottom w:val="single" w:sz="4" w:space="0" w:color="000000"/>
              <w:right w:val="single" w:sz="4" w:space="0" w:color="000000"/>
            </w:tcBorders>
            <w:shd w:val="clear" w:color="auto" w:fill="auto"/>
            <w:noWrap/>
            <w:vAlign w:val="center"/>
          </w:tcPr>
          <w:p w14:paraId="147D9BCE"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$3,133,749</w:t>
            </w:r>
          </w:p>
        </w:tc>
        <w:tc>
          <w:tcPr>
            <w:tcW w:w="2498" w:type="dxa"/>
            <w:tcBorders>
              <w:top w:val="nil"/>
              <w:left w:val="nil"/>
              <w:bottom w:val="single" w:sz="4" w:space="0" w:color="000000"/>
              <w:right w:val="single" w:sz="8" w:space="0" w:color="000000"/>
            </w:tcBorders>
            <w:shd w:val="clear" w:color="auto" w:fill="auto"/>
            <w:noWrap/>
            <w:vAlign w:val="center"/>
          </w:tcPr>
          <w:p w14:paraId="31CEDBFE"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9.83%</w:t>
            </w:r>
          </w:p>
        </w:tc>
      </w:tr>
      <w:tr w:rsidR="0064393E" w:rsidRPr="0064393E" w14:paraId="6E177A6E"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42C42673"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b/>
                <w:color w:val="000000"/>
                <w:sz w:val="21"/>
                <w:szCs w:val="21"/>
              </w:rPr>
              <w:t>2014</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7A03E3C3"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color w:val="000000"/>
                <w:sz w:val="21"/>
                <w:szCs w:val="21"/>
              </w:rPr>
              <w:t>$2,354,783</w:t>
            </w:r>
          </w:p>
        </w:tc>
        <w:tc>
          <w:tcPr>
            <w:tcW w:w="2498" w:type="dxa"/>
            <w:tcBorders>
              <w:top w:val="nil"/>
              <w:left w:val="nil"/>
              <w:bottom w:val="single" w:sz="4" w:space="0" w:color="000000"/>
              <w:right w:val="single" w:sz="4" w:space="0" w:color="000000"/>
            </w:tcBorders>
            <w:shd w:val="clear" w:color="auto" w:fill="auto"/>
            <w:noWrap/>
            <w:vAlign w:val="center"/>
          </w:tcPr>
          <w:p w14:paraId="0245B5D1"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6.54%</w:t>
            </w:r>
          </w:p>
        </w:tc>
        <w:tc>
          <w:tcPr>
            <w:tcW w:w="2497" w:type="dxa"/>
            <w:tcBorders>
              <w:top w:val="nil"/>
              <w:left w:val="nil"/>
              <w:bottom w:val="single" w:sz="4" w:space="0" w:color="000000"/>
              <w:right w:val="single" w:sz="4" w:space="0" w:color="000000"/>
            </w:tcBorders>
            <w:shd w:val="clear" w:color="auto" w:fill="auto"/>
            <w:noWrap/>
            <w:vAlign w:val="center"/>
          </w:tcPr>
          <w:p w14:paraId="475CBDB6"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$4,302,184</w:t>
            </w:r>
          </w:p>
        </w:tc>
        <w:tc>
          <w:tcPr>
            <w:tcW w:w="2498" w:type="dxa"/>
            <w:tcBorders>
              <w:top w:val="nil"/>
              <w:left w:val="nil"/>
              <w:bottom w:val="single" w:sz="4" w:space="0" w:color="000000"/>
              <w:right w:val="single" w:sz="8" w:space="0" w:color="000000"/>
            </w:tcBorders>
            <w:shd w:val="clear" w:color="auto" w:fill="auto"/>
            <w:noWrap/>
            <w:vAlign w:val="center"/>
          </w:tcPr>
          <w:p w14:paraId="4BE6BE18"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11.95%</w:t>
            </w:r>
          </w:p>
        </w:tc>
      </w:tr>
      <w:tr w:rsidR="0064393E" w:rsidRPr="0064393E" w14:paraId="20049971"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5C0B464"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2015</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1CD51F7F"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$1,956,803</w:t>
            </w:r>
          </w:p>
        </w:tc>
        <w:tc>
          <w:tcPr>
            <w:tcW w:w="2498" w:type="dxa"/>
            <w:tcBorders>
              <w:top w:val="nil"/>
              <w:left w:val="nil"/>
              <w:bottom w:val="single" w:sz="4" w:space="0" w:color="000000"/>
              <w:right w:val="single" w:sz="4" w:space="0" w:color="000000"/>
            </w:tcBorders>
            <w:shd w:val="clear" w:color="auto" w:fill="auto"/>
            <w:noWrap/>
            <w:vAlign w:val="center"/>
            <w:hideMark/>
          </w:tcPr>
          <w:p w14:paraId="37260355"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5.65%</w:t>
            </w:r>
          </w:p>
        </w:tc>
        <w:tc>
          <w:tcPr>
            <w:tcW w:w="2497" w:type="dxa"/>
            <w:tcBorders>
              <w:top w:val="nil"/>
              <w:left w:val="nil"/>
              <w:bottom w:val="single" w:sz="4" w:space="0" w:color="000000"/>
              <w:right w:val="single" w:sz="4" w:space="0" w:color="000000"/>
            </w:tcBorders>
            <w:shd w:val="clear" w:color="auto" w:fill="auto"/>
            <w:noWrap/>
            <w:vAlign w:val="center"/>
            <w:hideMark/>
          </w:tcPr>
          <w:p w14:paraId="485AB68F"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$4,193,699</w:t>
            </w:r>
          </w:p>
        </w:tc>
        <w:tc>
          <w:tcPr>
            <w:tcW w:w="2498" w:type="dxa"/>
            <w:tcBorders>
              <w:top w:val="nil"/>
              <w:left w:val="nil"/>
              <w:bottom w:val="single" w:sz="4" w:space="0" w:color="000000"/>
              <w:right w:val="single" w:sz="8" w:space="0" w:color="000000"/>
            </w:tcBorders>
            <w:shd w:val="clear" w:color="auto" w:fill="auto"/>
            <w:noWrap/>
            <w:vAlign w:val="center"/>
            <w:hideMark/>
          </w:tcPr>
          <w:p w14:paraId="5B1A6E41"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12.10%</w:t>
            </w:r>
          </w:p>
        </w:tc>
      </w:tr>
      <w:tr w:rsidR="0064393E" w:rsidRPr="0064393E" w14:paraId="5CBB817D"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6B7F581E"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2016</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0F646F76"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$1,489,546</w:t>
            </w:r>
          </w:p>
        </w:tc>
        <w:tc>
          <w:tcPr>
            <w:tcW w:w="2498" w:type="dxa"/>
            <w:tcBorders>
              <w:top w:val="nil"/>
              <w:left w:val="nil"/>
              <w:bottom w:val="single" w:sz="4" w:space="0" w:color="000000"/>
              <w:right w:val="single" w:sz="4" w:space="0" w:color="000000"/>
            </w:tcBorders>
            <w:shd w:val="clear" w:color="auto" w:fill="auto"/>
            <w:noWrap/>
            <w:vAlign w:val="center"/>
            <w:hideMark/>
          </w:tcPr>
          <w:p w14:paraId="1B14BF63"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6.47%</w:t>
            </w:r>
          </w:p>
        </w:tc>
        <w:tc>
          <w:tcPr>
            <w:tcW w:w="2497" w:type="dxa"/>
            <w:tcBorders>
              <w:top w:val="nil"/>
              <w:left w:val="nil"/>
              <w:bottom w:val="single" w:sz="4" w:space="0" w:color="000000"/>
              <w:right w:val="single" w:sz="4" w:space="0" w:color="000000"/>
            </w:tcBorders>
            <w:shd w:val="clear" w:color="auto" w:fill="auto"/>
            <w:noWrap/>
            <w:vAlign w:val="center"/>
            <w:hideMark/>
          </w:tcPr>
          <w:p w14:paraId="05FEF151"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$2,536,577</w:t>
            </w:r>
          </w:p>
        </w:tc>
        <w:tc>
          <w:tcPr>
            <w:tcW w:w="2498" w:type="dxa"/>
            <w:tcBorders>
              <w:top w:val="nil"/>
              <w:left w:val="nil"/>
              <w:bottom w:val="single" w:sz="4" w:space="0" w:color="000000"/>
              <w:right w:val="single" w:sz="8" w:space="0" w:color="000000"/>
            </w:tcBorders>
            <w:shd w:val="clear" w:color="auto" w:fill="auto"/>
            <w:noWrap/>
            <w:vAlign w:val="center"/>
            <w:hideMark/>
          </w:tcPr>
          <w:p w14:paraId="207C5452"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11.02%</w:t>
            </w:r>
          </w:p>
        </w:tc>
      </w:tr>
      <w:tr w:rsidR="0064393E" w:rsidRPr="0064393E" w14:paraId="5CBC2859"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20637EFD" w14:textId="77777777" w:rsidR="0064393E" w:rsidRPr="0064393E" w:rsidRDefault="0064393E" w:rsidP="0064393E">
            <w:pPr>
              <w:spacing w:after="0" w:line="240" w:lineRule="auto"/>
              <w:rPr>
                <w:rFonts w:ascii="Calibri" w:eastAsia="Times New Roman" w:hAnsi="Calibri" w:cs="Calibri"/>
                <w:color w:val="000000"/>
                <w:sz w:val="21"/>
                <w:szCs w:val="21"/>
              </w:rPr>
            </w:pPr>
            <w:r w:rsidRPr="0064393E">
              <w:rPr>
                <w:rFonts w:ascii="Calibri" w:eastAsia="Times New Roman" w:hAnsi="Calibri" w:cs="Calibri"/>
                <w:b/>
                <w:color w:val="000000"/>
                <w:sz w:val="21"/>
                <w:szCs w:val="21"/>
              </w:rPr>
              <w:t>UGI PNG</w:t>
            </w:r>
          </w:p>
        </w:tc>
        <w:tc>
          <w:tcPr>
            <w:tcW w:w="2497"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tcPr>
          <w:p w14:paraId="240B7CF0"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c>
          <w:tcPr>
            <w:tcW w:w="2498" w:type="dxa"/>
            <w:tcBorders>
              <w:top w:val="nil"/>
              <w:left w:val="nil"/>
              <w:bottom w:val="single" w:sz="4" w:space="0" w:color="000000"/>
              <w:right w:val="single" w:sz="4" w:space="0" w:color="000000"/>
            </w:tcBorders>
            <w:shd w:val="clear" w:color="auto" w:fill="F2F2F2" w:themeFill="background1" w:themeFillShade="F2"/>
            <w:noWrap/>
            <w:vAlign w:val="bottom"/>
          </w:tcPr>
          <w:p w14:paraId="67C4D289" w14:textId="77777777" w:rsidR="0064393E" w:rsidRPr="0064393E" w:rsidRDefault="0064393E" w:rsidP="0064393E">
            <w:pPr>
              <w:spacing w:after="0" w:line="240" w:lineRule="auto"/>
              <w:jc w:val="center"/>
              <w:rPr>
                <w:rFonts w:ascii="Calibri" w:eastAsia="Times New Roman" w:hAnsi="Calibri" w:cs="Calibri"/>
                <w:sz w:val="21"/>
                <w:szCs w:val="21"/>
              </w:rPr>
            </w:pPr>
          </w:p>
        </w:tc>
        <w:tc>
          <w:tcPr>
            <w:tcW w:w="2497" w:type="dxa"/>
            <w:tcBorders>
              <w:top w:val="nil"/>
              <w:left w:val="nil"/>
              <w:bottom w:val="single" w:sz="4" w:space="0" w:color="000000"/>
              <w:right w:val="single" w:sz="4" w:space="0" w:color="000000"/>
            </w:tcBorders>
            <w:shd w:val="clear" w:color="auto" w:fill="F2F2F2" w:themeFill="background1" w:themeFillShade="F2"/>
            <w:noWrap/>
            <w:vAlign w:val="bottom"/>
          </w:tcPr>
          <w:p w14:paraId="04CDB953" w14:textId="77777777" w:rsidR="0064393E" w:rsidRPr="0064393E" w:rsidRDefault="0064393E" w:rsidP="0064393E">
            <w:pPr>
              <w:spacing w:after="0" w:line="240" w:lineRule="auto"/>
              <w:jc w:val="center"/>
              <w:rPr>
                <w:rFonts w:ascii="Calibri" w:eastAsia="Times New Roman" w:hAnsi="Calibri" w:cs="Calibri"/>
                <w:sz w:val="21"/>
                <w:szCs w:val="21"/>
              </w:rPr>
            </w:pPr>
          </w:p>
        </w:tc>
        <w:tc>
          <w:tcPr>
            <w:tcW w:w="2498" w:type="dxa"/>
            <w:tcBorders>
              <w:top w:val="nil"/>
              <w:left w:val="nil"/>
              <w:bottom w:val="single" w:sz="4" w:space="0" w:color="000000"/>
              <w:right w:val="single" w:sz="8" w:space="0" w:color="000000"/>
            </w:tcBorders>
            <w:shd w:val="clear" w:color="auto" w:fill="F2F2F2" w:themeFill="background1" w:themeFillShade="F2"/>
            <w:noWrap/>
            <w:vAlign w:val="bottom"/>
          </w:tcPr>
          <w:p w14:paraId="634B59AD" w14:textId="77777777" w:rsidR="0064393E" w:rsidRPr="0064393E" w:rsidRDefault="0064393E" w:rsidP="0064393E">
            <w:pPr>
              <w:spacing w:after="0" w:line="240" w:lineRule="auto"/>
              <w:jc w:val="center"/>
              <w:rPr>
                <w:rFonts w:ascii="Calibri" w:eastAsia="Times New Roman" w:hAnsi="Calibri" w:cs="Calibri"/>
                <w:color w:val="000000"/>
                <w:sz w:val="21"/>
                <w:szCs w:val="21"/>
              </w:rPr>
            </w:pPr>
          </w:p>
        </w:tc>
      </w:tr>
      <w:tr w:rsidR="0064393E" w:rsidRPr="0064393E" w14:paraId="73D39689"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3964CAC1"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2012</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6AC32195"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$1,045,398</w:t>
            </w:r>
          </w:p>
        </w:tc>
        <w:tc>
          <w:tcPr>
            <w:tcW w:w="2498" w:type="dxa"/>
            <w:tcBorders>
              <w:top w:val="nil"/>
              <w:left w:val="nil"/>
              <w:bottom w:val="single" w:sz="4" w:space="0" w:color="000000"/>
              <w:right w:val="single" w:sz="4" w:space="0" w:color="000000"/>
            </w:tcBorders>
            <w:shd w:val="clear" w:color="auto" w:fill="auto"/>
            <w:noWrap/>
            <w:vAlign w:val="center"/>
          </w:tcPr>
          <w:p w14:paraId="5AEC384E"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3.82%</w:t>
            </w:r>
          </w:p>
        </w:tc>
        <w:tc>
          <w:tcPr>
            <w:tcW w:w="2497" w:type="dxa"/>
            <w:tcBorders>
              <w:top w:val="nil"/>
              <w:left w:val="nil"/>
              <w:bottom w:val="single" w:sz="4" w:space="0" w:color="000000"/>
              <w:right w:val="single" w:sz="4" w:space="0" w:color="000000"/>
            </w:tcBorders>
            <w:shd w:val="clear" w:color="auto" w:fill="auto"/>
            <w:noWrap/>
            <w:vAlign w:val="center"/>
          </w:tcPr>
          <w:p w14:paraId="3338E6BF"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$1,678,300</w:t>
            </w:r>
          </w:p>
        </w:tc>
        <w:tc>
          <w:tcPr>
            <w:tcW w:w="2498" w:type="dxa"/>
            <w:tcBorders>
              <w:top w:val="nil"/>
              <w:left w:val="nil"/>
              <w:bottom w:val="single" w:sz="4" w:space="0" w:color="000000"/>
              <w:right w:val="single" w:sz="8" w:space="0" w:color="000000"/>
            </w:tcBorders>
            <w:shd w:val="clear" w:color="auto" w:fill="auto"/>
            <w:noWrap/>
            <w:vAlign w:val="center"/>
          </w:tcPr>
          <w:p w14:paraId="28F90222"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6.14%</w:t>
            </w:r>
          </w:p>
        </w:tc>
      </w:tr>
      <w:tr w:rsidR="0064393E" w:rsidRPr="0064393E" w14:paraId="0D1273A3"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742EADA"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2013</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7D386204"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$1,348,443</w:t>
            </w:r>
          </w:p>
        </w:tc>
        <w:tc>
          <w:tcPr>
            <w:tcW w:w="2498" w:type="dxa"/>
            <w:tcBorders>
              <w:top w:val="nil"/>
              <w:left w:val="nil"/>
              <w:bottom w:val="single" w:sz="4" w:space="0" w:color="000000"/>
              <w:right w:val="single" w:sz="4" w:space="0" w:color="000000"/>
            </w:tcBorders>
            <w:shd w:val="clear" w:color="auto" w:fill="auto"/>
            <w:noWrap/>
            <w:vAlign w:val="center"/>
          </w:tcPr>
          <w:p w14:paraId="771535D3"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4.60%</w:t>
            </w:r>
          </w:p>
        </w:tc>
        <w:tc>
          <w:tcPr>
            <w:tcW w:w="2497" w:type="dxa"/>
            <w:tcBorders>
              <w:top w:val="nil"/>
              <w:left w:val="nil"/>
              <w:bottom w:val="single" w:sz="4" w:space="0" w:color="000000"/>
              <w:right w:val="single" w:sz="4" w:space="0" w:color="000000"/>
            </w:tcBorders>
            <w:shd w:val="clear" w:color="auto" w:fill="auto"/>
            <w:noWrap/>
            <w:vAlign w:val="center"/>
          </w:tcPr>
          <w:p w14:paraId="03BEE1F5"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$2,207,866</w:t>
            </w:r>
          </w:p>
        </w:tc>
        <w:tc>
          <w:tcPr>
            <w:tcW w:w="2498" w:type="dxa"/>
            <w:tcBorders>
              <w:top w:val="nil"/>
              <w:left w:val="nil"/>
              <w:bottom w:val="single" w:sz="4" w:space="0" w:color="000000"/>
              <w:right w:val="single" w:sz="8" w:space="0" w:color="000000"/>
            </w:tcBorders>
            <w:shd w:val="clear" w:color="auto" w:fill="auto"/>
            <w:noWrap/>
            <w:vAlign w:val="center"/>
          </w:tcPr>
          <w:p w14:paraId="4CEF22AF"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7.54%</w:t>
            </w:r>
          </w:p>
        </w:tc>
      </w:tr>
      <w:tr w:rsidR="0064393E" w:rsidRPr="0064393E" w14:paraId="2352246B"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7EAE273"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2014</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28FE0C07"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$1,666,165</w:t>
            </w:r>
          </w:p>
        </w:tc>
        <w:tc>
          <w:tcPr>
            <w:tcW w:w="2498" w:type="dxa"/>
            <w:tcBorders>
              <w:top w:val="nil"/>
              <w:left w:val="nil"/>
              <w:bottom w:val="single" w:sz="4" w:space="0" w:color="000000"/>
              <w:right w:val="single" w:sz="4" w:space="0" w:color="000000"/>
            </w:tcBorders>
            <w:shd w:val="clear" w:color="auto" w:fill="auto"/>
            <w:noWrap/>
            <w:vAlign w:val="center"/>
          </w:tcPr>
          <w:p w14:paraId="35202F80"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5.14%</w:t>
            </w:r>
          </w:p>
        </w:tc>
        <w:tc>
          <w:tcPr>
            <w:tcW w:w="2497" w:type="dxa"/>
            <w:tcBorders>
              <w:top w:val="nil"/>
              <w:left w:val="nil"/>
              <w:bottom w:val="single" w:sz="4" w:space="0" w:color="000000"/>
              <w:right w:val="single" w:sz="4" w:space="0" w:color="000000"/>
            </w:tcBorders>
            <w:shd w:val="clear" w:color="auto" w:fill="auto"/>
            <w:noWrap/>
            <w:vAlign w:val="center"/>
          </w:tcPr>
          <w:p w14:paraId="2ECB1BDD"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$2,863,510</w:t>
            </w:r>
          </w:p>
        </w:tc>
        <w:tc>
          <w:tcPr>
            <w:tcW w:w="2498" w:type="dxa"/>
            <w:tcBorders>
              <w:top w:val="nil"/>
              <w:left w:val="nil"/>
              <w:bottom w:val="single" w:sz="4" w:space="0" w:color="000000"/>
              <w:right w:val="single" w:sz="8" w:space="0" w:color="000000"/>
            </w:tcBorders>
            <w:shd w:val="clear" w:color="auto" w:fill="auto"/>
            <w:noWrap/>
            <w:vAlign w:val="center"/>
          </w:tcPr>
          <w:p w14:paraId="40F8C95F"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8.83%</w:t>
            </w:r>
          </w:p>
        </w:tc>
      </w:tr>
      <w:tr w:rsidR="0064393E" w:rsidRPr="0064393E" w14:paraId="5DEAF07C"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214BEDB9"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2015</w:t>
            </w:r>
          </w:p>
        </w:tc>
        <w:tc>
          <w:tcPr>
            <w:tcW w:w="2497" w:type="dxa"/>
            <w:tcBorders>
              <w:top w:val="nil"/>
              <w:left w:val="single" w:sz="8" w:space="0" w:color="000000"/>
              <w:bottom w:val="single" w:sz="4" w:space="0" w:color="000000"/>
              <w:right w:val="single" w:sz="4" w:space="0" w:color="000000"/>
            </w:tcBorders>
            <w:shd w:val="clear" w:color="auto" w:fill="auto"/>
            <w:noWrap/>
            <w:vAlign w:val="center"/>
          </w:tcPr>
          <w:p w14:paraId="78EB854E"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$1,565,517</w:t>
            </w:r>
          </w:p>
        </w:tc>
        <w:tc>
          <w:tcPr>
            <w:tcW w:w="2498" w:type="dxa"/>
            <w:tcBorders>
              <w:top w:val="nil"/>
              <w:left w:val="nil"/>
              <w:bottom w:val="single" w:sz="4" w:space="0" w:color="000000"/>
              <w:right w:val="single" w:sz="4" w:space="0" w:color="000000"/>
            </w:tcBorders>
            <w:shd w:val="clear" w:color="auto" w:fill="auto"/>
            <w:noWrap/>
            <w:vAlign w:val="center"/>
          </w:tcPr>
          <w:p w14:paraId="7E65FCE4"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4.91%</w:t>
            </w:r>
          </w:p>
        </w:tc>
        <w:tc>
          <w:tcPr>
            <w:tcW w:w="2497" w:type="dxa"/>
            <w:tcBorders>
              <w:top w:val="nil"/>
              <w:left w:val="nil"/>
              <w:bottom w:val="single" w:sz="4" w:space="0" w:color="000000"/>
              <w:right w:val="single" w:sz="4" w:space="0" w:color="000000"/>
            </w:tcBorders>
            <w:shd w:val="clear" w:color="auto" w:fill="auto"/>
            <w:noWrap/>
            <w:vAlign w:val="center"/>
          </w:tcPr>
          <w:p w14:paraId="29A3A4E6" w14:textId="77777777" w:rsidR="0064393E" w:rsidRPr="0064393E" w:rsidRDefault="0064393E" w:rsidP="0064393E">
            <w:pPr>
              <w:spacing w:after="0" w:line="240" w:lineRule="auto"/>
              <w:jc w:val="center"/>
              <w:rPr>
                <w:rFonts w:ascii="Calibri" w:eastAsia="Times New Roman" w:hAnsi="Calibri" w:cs="Calibri"/>
                <w:sz w:val="21"/>
                <w:szCs w:val="21"/>
              </w:rPr>
            </w:pPr>
            <w:r w:rsidRPr="0064393E">
              <w:rPr>
                <w:rFonts w:ascii="Calibri" w:eastAsia="Times New Roman" w:hAnsi="Calibri" w:cs="Calibri"/>
                <w:sz w:val="21"/>
                <w:szCs w:val="21"/>
              </w:rPr>
              <w:t>$2,764,845</w:t>
            </w:r>
          </w:p>
        </w:tc>
        <w:tc>
          <w:tcPr>
            <w:tcW w:w="2498" w:type="dxa"/>
            <w:tcBorders>
              <w:top w:val="nil"/>
              <w:left w:val="nil"/>
              <w:bottom w:val="single" w:sz="4" w:space="0" w:color="000000"/>
              <w:right w:val="single" w:sz="8" w:space="0" w:color="000000"/>
            </w:tcBorders>
            <w:shd w:val="clear" w:color="auto" w:fill="auto"/>
            <w:noWrap/>
            <w:vAlign w:val="center"/>
          </w:tcPr>
          <w:p w14:paraId="05F9DEF4"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8.68%</w:t>
            </w:r>
          </w:p>
        </w:tc>
      </w:tr>
      <w:tr w:rsidR="0064393E" w:rsidRPr="0064393E" w14:paraId="1D76124E" w14:textId="77777777" w:rsidTr="009B1A73">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918A795"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b/>
                <w:color w:val="000000"/>
                <w:sz w:val="21"/>
                <w:szCs w:val="21"/>
              </w:rPr>
              <w:t>2016</w:t>
            </w:r>
          </w:p>
        </w:tc>
        <w:tc>
          <w:tcPr>
            <w:tcW w:w="2497" w:type="dxa"/>
            <w:tcBorders>
              <w:top w:val="nil"/>
              <w:left w:val="single" w:sz="8" w:space="0" w:color="000000"/>
              <w:bottom w:val="single" w:sz="4" w:space="0" w:color="000000"/>
              <w:right w:val="single" w:sz="4" w:space="0" w:color="000000"/>
            </w:tcBorders>
            <w:shd w:val="clear" w:color="auto" w:fill="auto"/>
            <w:noWrap/>
            <w:vAlign w:val="center"/>
            <w:hideMark/>
          </w:tcPr>
          <w:p w14:paraId="61E1AD22"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$937,800</w:t>
            </w:r>
          </w:p>
        </w:tc>
        <w:tc>
          <w:tcPr>
            <w:tcW w:w="2498" w:type="dxa"/>
            <w:tcBorders>
              <w:top w:val="nil"/>
              <w:left w:val="nil"/>
              <w:bottom w:val="single" w:sz="4" w:space="0" w:color="000000"/>
              <w:right w:val="single" w:sz="4" w:space="0" w:color="000000"/>
            </w:tcBorders>
            <w:shd w:val="clear" w:color="auto" w:fill="auto"/>
            <w:noWrap/>
            <w:vAlign w:val="center"/>
            <w:hideMark/>
          </w:tcPr>
          <w:p w14:paraId="29BBDF6C"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4.55%</w:t>
            </w:r>
          </w:p>
        </w:tc>
        <w:tc>
          <w:tcPr>
            <w:tcW w:w="2497" w:type="dxa"/>
            <w:tcBorders>
              <w:top w:val="nil"/>
              <w:left w:val="nil"/>
              <w:bottom w:val="single" w:sz="4" w:space="0" w:color="000000"/>
              <w:right w:val="single" w:sz="4" w:space="0" w:color="000000"/>
            </w:tcBorders>
            <w:shd w:val="clear" w:color="auto" w:fill="auto"/>
            <w:noWrap/>
            <w:vAlign w:val="center"/>
            <w:hideMark/>
          </w:tcPr>
          <w:p w14:paraId="2777058E"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sz w:val="21"/>
                <w:szCs w:val="21"/>
              </w:rPr>
              <w:t>$1,615,307</w:t>
            </w:r>
          </w:p>
        </w:tc>
        <w:tc>
          <w:tcPr>
            <w:tcW w:w="2498" w:type="dxa"/>
            <w:tcBorders>
              <w:top w:val="nil"/>
              <w:left w:val="nil"/>
              <w:bottom w:val="single" w:sz="4" w:space="0" w:color="000000"/>
              <w:right w:val="single" w:sz="8" w:space="0" w:color="000000"/>
            </w:tcBorders>
            <w:shd w:val="clear" w:color="auto" w:fill="auto"/>
            <w:noWrap/>
            <w:vAlign w:val="center"/>
            <w:hideMark/>
          </w:tcPr>
          <w:p w14:paraId="1C1CF1D4" w14:textId="77777777" w:rsidR="0064393E" w:rsidRPr="0064393E" w:rsidRDefault="0064393E" w:rsidP="0064393E">
            <w:pPr>
              <w:spacing w:after="0" w:line="240" w:lineRule="auto"/>
              <w:jc w:val="center"/>
              <w:rPr>
                <w:rFonts w:ascii="Calibri" w:eastAsia="Times New Roman" w:hAnsi="Calibri" w:cs="Calibri"/>
                <w:color w:val="000000"/>
                <w:sz w:val="21"/>
                <w:szCs w:val="21"/>
              </w:rPr>
            </w:pPr>
            <w:r w:rsidRPr="0064393E">
              <w:rPr>
                <w:rFonts w:ascii="Calibri" w:eastAsia="Times New Roman" w:hAnsi="Calibri" w:cs="Calibri"/>
                <w:color w:val="000000"/>
                <w:sz w:val="21"/>
                <w:szCs w:val="21"/>
              </w:rPr>
              <w:t>7.83%</w:t>
            </w:r>
          </w:p>
        </w:tc>
      </w:tr>
    </w:tbl>
    <w:p w14:paraId="34CF47A2" w14:textId="109ADBDC" w:rsidR="00F303E0" w:rsidRPr="00EE5714" w:rsidRDefault="00F734A0" w:rsidP="00EC5F68">
      <w:pPr>
        <w:pStyle w:val="NoSpacing"/>
        <w:keepNext/>
        <w:rPr>
          <w:rFonts w:cs="Times New Roman"/>
          <w:i/>
          <w:color w:val="000000" w:themeColor="text1"/>
          <w:szCs w:val="26"/>
        </w:rPr>
      </w:pPr>
      <w:r w:rsidRPr="00EE5714">
        <w:rPr>
          <w:rFonts w:cs="Times New Roman"/>
          <w:i/>
          <w:color w:val="000000" w:themeColor="text1"/>
          <w:szCs w:val="26"/>
        </w:rPr>
        <w:lastRenderedPageBreak/>
        <w:t>Appendix 7</w:t>
      </w:r>
      <w:r w:rsidR="00F303E0" w:rsidRPr="00EE5714">
        <w:rPr>
          <w:rFonts w:cs="Times New Roman"/>
          <w:i/>
          <w:color w:val="000000" w:themeColor="text1"/>
          <w:szCs w:val="26"/>
        </w:rPr>
        <w:t xml:space="preserve">.C: Tables 8-2 and 8-4 EDCs Non-CAP Residential Customers Debt </w:t>
      </w:r>
    </w:p>
    <w:p w14:paraId="0EFBD91D" w14:textId="77777777" w:rsidR="00F303E0" w:rsidRPr="00EE5714" w:rsidRDefault="00F303E0" w:rsidP="00EC5F68">
      <w:pPr>
        <w:keepNext/>
        <w:spacing w:after="0" w:line="240" w:lineRule="auto"/>
        <w:rPr>
          <w:rFonts w:ascii="Times New Roman" w:eastAsia="Times New Roman" w:hAnsi="Times New Roman" w:cs="Times New Roman"/>
          <w:sz w:val="26"/>
          <w:szCs w:val="26"/>
        </w:rPr>
      </w:pPr>
    </w:p>
    <w:p w14:paraId="34B2EF13" w14:textId="5D699358" w:rsidR="00071E2B" w:rsidRPr="00564DD1" w:rsidRDefault="00F734A0" w:rsidP="00071E2B">
      <w:pPr>
        <w:pStyle w:val="NoSpacing"/>
        <w:keepNext/>
        <w:rPr>
          <w:rFonts w:cs="Times New Roman"/>
          <w:b/>
          <w:color w:val="000000"/>
          <w:szCs w:val="26"/>
        </w:rPr>
      </w:pPr>
      <w:r w:rsidRPr="00EE5714">
        <w:rPr>
          <w:rFonts w:cs="Times New Roman"/>
          <w:szCs w:val="26"/>
        </w:rPr>
        <w:t>Appendix 7</w:t>
      </w:r>
      <w:r w:rsidR="00F303E0" w:rsidRPr="00EE5714">
        <w:rPr>
          <w:rFonts w:cs="Times New Roman"/>
          <w:szCs w:val="26"/>
        </w:rPr>
        <w:t xml:space="preserve">.C.1: </w:t>
      </w:r>
      <w:r w:rsidR="00F303E0" w:rsidRPr="00EE5714">
        <w:rPr>
          <w:rFonts w:cs="Times New Roman"/>
          <w:b/>
          <w:bCs/>
          <w:color w:val="000000"/>
          <w:szCs w:val="26"/>
        </w:rPr>
        <w:t>EDC Non-CAP Residential Customers Debt &amp; Debt Ratios</w:t>
      </w:r>
    </w:p>
    <w:tbl>
      <w:tblPr>
        <w:tblW w:w="1044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000000" w:fill="auto"/>
        <w:tblLayout w:type="fixed"/>
        <w:tblCellMar>
          <w:left w:w="115" w:type="dxa"/>
          <w:right w:w="115" w:type="dxa"/>
        </w:tblCellMar>
        <w:tblLook w:val="04A0" w:firstRow="1" w:lastRow="0" w:firstColumn="1" w:lastColumn="0" w:noHBand="0" w:noVBand="1"/>
      </w:tblPr>
      <w:tblGrid>
        <w:gridCol w:w="1620"/>
        <w:gridCol w:w="2160"/>
        <w:gridCol w:w="2205"/>
        <w:gridCol w:w="2295"/>
        <w:gridCol w:w="2160"/>
      </w:tblGrid>
      <w:tr w:rsidR="00F303E0" w:rsidRPr="00EE5714" w14:paraId="2673F5EC" w14:textId="77777777" w:rsidTr="00EC5F68">
        <w:trPr>
          <w:trHeight w:val="274"/>
        </w:trPr>
        <w:tc>
          <w:tcPr>
            <w:tcW w:w="1620" w:type="dxa"/>
            <w:shd w:val="clear" w:color="auto" w:fill="auto"/>
            <w:vAlign w:val="bottom"/>
          </w:tcPr>
          <w:p w14:paraId="1814066E" w14:textId="77777777" w:rsidR="00F303E0" w:rsidRPr="00EE5714" w:rsidRDefault="00F303E0" w:rsidP="00851815">
            <w:pPr>
              <w:keepNext/>
              <w:rPr>
                <w:rFonts w:ascii="Calibri" w:eastAsia="Times New Roman" w:hAnsi="Calibri" w:cs="Calibri"/>
                <w:color w:val="000000"/>
                <w:sz w:val="21"/>
                <w:szCs w:val="21"/>
              </w:rPr>
            </w:pPr>
          </w:p>
        </w:tc>
        <w:tc>
          <w:tcPr>
            <w:tcW w:w="2160" w:type="dxa"/>
            <w:shd w:val="clear" w:color="auto" w:fill="auto"/>
            <w:noWrap/>
            <w:vAlign w:val="bottom"/>
            <w:hideMark/>
          </w:tcPr>
          <w:p w14:paraId="5347745D" w14:textId="6999109C" w:rsidR="00F303E0" w:rsidRPr="00EE5714" w:rsidRDefault="00F303E0" w:rsidP="00EC5F68">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 xml:space="preserve">Dollars </w:t>
            </w:r>
            <w:r w:rsidR="009B2677">
              <w:rPr>
                <w:rFonts w:ascii="Calibri" w:eastAsia="Times New Roman" w:hAnsi="Calibri" w:cs="Calibri"/>
                <w:b/>
                <w:color w:val="000000"/>
                <w:sz w:val="21"/>
                <w:szCs w:val="21"/>
              </w:rPr>
              <w:t>in</w:t>
            </w:r>
            <w:r w:rsidRPr="00EE5714">
              <w:rPr>
                <w:rFonts w:ascii="Calibri" w:eastAsia="Times New Roman" w:hAnsi="Calibri" w:cs="Calibri"/>
                <w:b/>
                <w:color w:val="000000"/>
                <w:sz w:val="21"/>
                <w:szCs w:val="21"/>
              </w:rPr>
              <w:t xml:space="preserve"> Debt on Agreement </w:t>
            </w:r>
          </w:p>
        </w:tc>
        <w:tc>
          <w:tcPr>
            <w:tcW w:w="2205" w:type="dxa"/>
            <w:shd w:val="clear" w:color="auto" w:fill="auto"/>
            <w:vAlign w:val="bottom"/>
          </w:tcPr>
          <w:p w14:paraId="7747FBC8" w14:textId="301F1CDF" w:rsidR="00F303E0" w:rsidRPr="00EE5714" w:rsidRDefault="00F303E0" w:rsidP="00EC5F68">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Debt Ratio on Agreement</w:t>
            </w:r>
          </w:p>
        </w:tc>
        <w:tc>
          <w:tcPr>
            <w:tcW w:w="2295" w:type="dxa"/>
            <w:shd w:val="clear" w:color="auto" w:fill="auto"/>
            <w:noWrap/>
            <w:vAlign w:val="bottom"/>
            <w:hideMark/>
          </w:tcPr>
          <w:p w14:paraId="1F932C5B" w14:textId="77777777" w:rsidR="00F303E0" w:rsidRPr="00EE5714" w:rsidRDefault="00F303E0" w:rsidP="00EC5F68">
            <w:pPr>
              <w:keepNext/>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Dollars in Debt Not on Agreement</w:t>
            </w:r>
          </w:p>
        </w:tc>
        <w:tc>
          <w:tcPr>
            <w:tcW w:w="2160" w:type="dxa"/>
            <w:shd w:val="clear" w:color="auto" w:fill="auto"/>
            <w:noWrap/>
            <w:vAlign w:val="bottom"/>
            <w:hideMark/>
          </w:tcPr>
          <w:p w14:paraId="6C196CE8" w14:textId="34A35594" w:rsidR="00F303E0" w:rsidRPr="00EE5714" w:rsidRDefault="00F303E0" w:rsidP="00EC5F68">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Debt Ratio Not on Agreement</w:t>
            </w:r>
          </w:p>
        </w:tc>
      </w:tr>
      <w:tr w:rsidR="00F303E0" w:rsidRPr="00EE5714" w14:paraId="04568478" w14:textId="77777777" w:rsidTr="00EC5F68">
        <w:trPr>
          <w:trHeight w:hRule="exact" w:val="245"/>
        </w:trPr>
        <w:tc>
          <w:tcPr>
            <w:tcW w:w="1620" w:type="dxa"/>
            <w:shd w:val="clear" w:color="000000" w:fill="F2F2F2" w:themeFill="background1" w:themeFillShade="F2"/>
            <w:vAlign w:val="bottom"/>
          </w:tcPr>
          <w:p w14:paraId="49AE191A" w14:textId="77777777" w:rsidR="00F303E0" w:rsidRPr="00EE5714" w:rsidRDefault="00F303E0" w:rsidP="00851815">
            <w:pPr>
              <w:keepNext/>
              <w:rPr>
                <w:rFonts w:ascii="Calibri" w:hAnsi="Calibri" w:cs="Calibri"/>
                <w:b/>
                <w:sz w:val="21"/>
                <w:szCs w:val="21"/>
              </w:rPr>
            </w:pPr>
            <w:bookmarkStart w:id="78" w:name="_Hlk525906640"/>
            <w:r w:rsidRPr="00EE5714">
              <w:rPr>
                <w:rFonts w:ascii="Calibri" w:hAnsi="Calibri" w:cs="Calibri"/>
                <w:b/>
                <w:sz w:val="21"/>
                <w:szCs w:val="21"/>
              </w:rPr>
              <w:t>Duquesne</w:t>
            </w:r>
          </w:p>
        </w:tc>
        <w:tc>
          <w:tcPr>
            <w:tcW w:w="2160" w:type="dxa"/>
            <w:shd w:val="clear" w:color="000000" w:fill="F2F2F2" w:themeFill="background1" w:themeFillShade="F2"/>
            <w:noWrap/>
            <w:vAlign w:val="center"/>
          </w:tcPr>
          <w:p w14:paraId="3705E764" w14:textId="77777777" w:rsidR="00F303E0" w:rsidRPr="00EE5714" w:rsidRDefault="00F303E0" w:rsidP="00851815">
            <w:pPr>
              <w:keepNext/>
              <w:jc w:val="center"/>
              <w:rPr>
                <w:rFonts w:ascii="Calibri" w:eastAsia="Times New Roman" w:hAnsi="Calibri" w:cs="Calibri"/>
                <w:color w:val="000000"/>
                <w:sz w:val="21"/>
                <w:szCs w:val="21"/>
              </w:rPr>
            </w:pPr>
          </w:p>
        </w:tc>
        <w:tc>
          <w:tcPr>
            <w:tcW w:w="2205" w:type="dxa"/>
            <w:shd w:val="clear" w:color="000000" w:fill="F2F2F2" w:themeFill="background1" w:themeFillShade="F2"/>
            <w:noWrap/>
            <w:vAlign w:val="center"/>
          </w:tcPr>
          <w:p w14:paraId="788AC536" w14:textId="77777777" w:rsidR="00F303E0" w:rsidRPr="00EE5714" w:rsidRDefault="00F303E0" w:rsidP="00851815">
            <w:pPr>
              <w:keepNext/>
              <w:jc w:val="center"/>
              <w:rPr>
                <w:rFonts w:ascii="Calibri" w:eastAsia="Times New Roman" w:hAnsi="Calibri" w:cs="Calibri"/>
                <w:b/>
                <w:bCs/>
                <w:color w:val="000000"/>
                <w:sz w:val="21"/>
                <w:szCs w:val="21"/>
              </w:rPr>
            </w:pPr>
          </w:p>
        </w:tc>
        <w:tc>
          <w:tcPr>
            <w:tcW w:w="2295" w:type="dxa"/>
            <w:shd w:val="clear" w:color="000000" w:fill="F2F2F2" w:themeFill="background1" w:themeFillShade="F2"/>
            <w:noWrap/>
            <w:vAlign w:val="center"/>
          </w:tcPr>
          <w:p w14:paraId="7EBC994E" w14:textId="77777777" w:rsidR="00F303E0" w:rsidRPr="00EE5714" w:rsidRDefault="00F303E0" w:rsidP="00851815">
            <w:pPr>
              <w:keepNext/>
              <w:jc w:val="center"/>
              <w:rPr>
                <w:rFonts w:ascii="Calibri" w:eastAsia="Times New Roman" w:hAnsi="Calibri" w:cs="Calibri"/>
                <w:color w:val="000000"/>
                <w:sz w:val="21"/>
                <w:szCs w:val="21"/>
              </w:rPr>
            </w:pPr>
          </w:p>
        </w:tc>
        <w:tc>
          <w:tcPr>
            <w:tcW w:w="2160" w:type="dxa"/>
            <w:shd w:val="clear" w:color="000000" w:fill="F2F2F2" w:themeFill="background1" w:themeFillShade="F2"/>
            <w:noWrap/>
            <w:vAlign w:val="center"/>
          </w:tcPr>
          <w:p w14:paraId="24524CBC" w14:textId="77777777" w:rsidR="00F303E0" w:rsidRPr="00EE5714" w:rsidRDefault="00F303E0" w:rsidP="00851815">
            <w:pPr>
              <w:keepNext/>
              <w:jc w:val="center"/>
              <w:rPr>
                <w:rFonts w:ascii="Calibri" w:eastAsia="Times New Roman" w:hAnsi="Calibri" w:cs="Calibri"/>
                <w:b/>
                <w:bCs/>
                <w:color w:val="000000"/>
                <w:sz w:val="21"/>
                <w:szCs w:val="21"/>
              </w:rPr>
            </w:pPr>
          </w:p>
        </w:tc>
      </w:tr>
      <w:tr w:rsidR="00F303E0" w:rsidRPr="00EE5714" w14:paraId="381B1080" w14:textId="77777777" w:rsidTr="00EC5F68">
        <w:trPr>
          <w:trHeight w:hRule="exact" w:val="245"/>
        </w:trPr>
        <w:tc>
          <w:tcPr>
            <w:tcW w:w="1620" w:type="dxa"/>
            <w:shd w:val="clear" w:color="000000" w:fill="auto"/>
            <w:vAlign w:val="center"/>
          </w:tcPr>
          <w:p w14:paraId="06249D9B"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2012</w:t>
            </w:r>
          </w:p>
        </w:tc>
        <w:tc>
          <w:tcPr>
            <w:tcW w:w="2160" w:type="dxa"/>
            <w:shd w:val="clear" w:color="000000" w:fill="auto"/>
            <w:noWrap/>
            <w:vAlign w:val="center"/>
            <w:hideMark/>
          </w:tcPr>
          <w:p w14:paraId="45BEE4A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$7,111,396</w:t>
            </w:r>
          </w:p>
        </w:tc>
        <w:tc>
          <w:tcPr>
            <w:tcW w:w="2205" w:type="dxa"/>
            <w:shd w:val="clear" w:color="000000" w:fill="auto"/>
            <w:noWrap/>
            <w:vAlign w:val="center"/>
            <w:hideMark/>
          </w:tcPr>
          <w:p w14:paraId="4756ADFD"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1.48%</w:t>
            </w:r>
          </w:p>
        </w:tc>
        <w:tc>
          <w:tcPr>
            <w:tcW w:w="2295" w:type="dxa"/>
            <w:shd w:val="clear" w:color="000000" w:fill="auto"/>
            <w:noWrap/>
            <w:vAlign w:val="center"/>
            <w:hideMark/>
          </w:tcPr>
          <w:p w14:paraId="635D9C2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$3,893,461</w:t>
            </w:r>
          </w:p>
        </w:tc>
        <w:tc>
          <w:tcPr>
            <w:tcW w:w="2160" w:type="dxa"/>
            <w:shd w:val="clear" w:color="000000" w:fill="auto"/>
            <w:noWrap/>
            <w:vAlign w:val="center"/>
            <w:hideMark/>
          </w:tcPr>
          <w:p w14:paraId="193C4476"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0.81%</w:t>
            </w:r>
          </w:p>
        </w:tc>
      </w:tr>
      <w:tr w:rsidR="00F303E0" w:rsidRPr="00EE5714" w14:paraId="033DA903" w14:textId="77777777" w:rsidTr="00EC5F68">
        <w:trPr>
          <w:trHeight w:hRule="exact" w:val="245"/>
        </w:trPr>
        <w:tc>
          <w:tcPr>
            <w:tcW w:w="1620" w:type="dxa"/>
            <w:shd w:val="clear" w:color="000000" w:fill="auto"/>
            <w:vAlign w:val="center"/>
          </w:tcPr>
          <w:p w14:paraId="0154C9BB"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2013</w:t>
            </w:r>
          </w:p>
        </w:tc>
        <w:tc>
          <w:tcPr>
            <w:tcW w:w="2160" w:type="dxa"/>
            <w:shd w:val="clear" w:color="000000" w:fill="auto"/>
            <w:noWrap/>
            <w:vAlign w:val="center"/>
            <w:hideMark/>
          </w:tcPr>
          <w:p w14:paraId="2CCBCC7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$6,881,436</w:t>
            </w:r>
          </w:p>
        </w:tc>
        <w:tc>
          <w:tcPr>
            <w:tcW w:w="2205" w:type="dxa"/>
            <w:shd w:val="clear" w:color="000000" w:fill="auto"/>
            <w:noWrap/>
            <w:vAlign w:val="center"/>
            <w:hideMark/>
          </w:tcPr>
          <w:p w14:paraId="2170FB82"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1.68%</w:t>
            </w:r>
          </w:p>
        </w:tc>
        <w:tc>
          <w:tcPr>
            <w:tcW w:w="2295" w:type="dxa"/>
            <w:shd w:val="clear" w:color="000000" w:fill="auto"/>
            <w:noWrap/>
            <w:vAlign w:val="center"/>
            <w:hideMark/>
          </w:tcPr>
          <w:p w14:paraId="066D614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$4,390,065</w:t>
            </w:r>
          </w:p>
        </w:tc>
        <w:tc>
          <w:tcPr>
            <w:tcW w:w="2160" w:type="dxa"/>
            <w:shd w:val="clear" w:color="000000" w:fill="auto"/>
            <w:noWrap/>
            <w:vAlign w:val="center"/>
            <w:hideMark/>
          </w:tcPr>
          <w:p w14:paraId="2D391DEC"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1.07%</w:t>
            </w:r>
          </w:p>
        </w:tc>
      </w:tr>
      <w:tr w:rsidR="00F303E0" w:rsidRPr="00EE5714" w14:paraId="5AE34C1D" w14:textId="77777777" w:rsidTr="00EC5F68">
        <w:trPr>
          <w:trHeight w:hRule="exact" w:val="245"/>
        </w:trPr>
        <w:tc>
          <w:tcPr>
            <w:tcW w:w="1620" w:type="dxa"/>
            <w:shd w:val="clear" w:color="000000" w:fill="auto"/>
            <w:vAlign w:val="center"/>
          </w:tcPr>
          <w:p w14:paraId="6F8991BF"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2014</w:t>
            </w:r>
          </w:p>
        </w:tc>
        <w:tc>
          <w:tcPr>
            <w:tcW w:w="2160" w:type="dxa"/>
            <w:shd w:val="clear" w:color="000000" w:fill="auto"/>
            <w:noWrap/>
            <w:vAlign w:val="center"/>
            <w:hideMark/>
          </w:tcPr>
          <w:p w14:paraId="0BA930A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$7,413,769</w:t>
            </w:r>
          </w:p>
        </w:tc>
        <w:tc>
          <w:tcPr>
            <w:tcW w:w="2205" w:type="dxa"/>
            <w:shd w:val="clear" w:color="000000" w:fill="auto"/>
            <w:noWrap/>
            <w:vAlign w:val="center"/>
            <w:hideMark/>
          </w:tcPr>
          <w:p w14:paraId="74BD65BD"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1.70%</w:t>
            </w:r>
          </w:p>
        </w:tc>
        <w:tc>
          <w:tcPr>
            <w:tcW w:w="2295" w:type="dxa"/>
            <w:shd w:val="clear" w:color="000000" w:fill="auto"/>
            <w:noWrap/>
            <w:vAlign w:val="center"/>
            <w:hideMark/>
          </w:tcPr>
          <w:p w14:paraId="20F4FE6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$5,256,987</w:t>
            </w:r>
          </w:p>
        </w:tc>
        <w:tc>
          <w:tcPr>
            <w:tcW w:w="2160" w:type="dxa"/>
            <w:shd w:val="clear" w:color="000000" w:fill="auto"/>
            <w:noWrap/>
            <w:vAlign w:val="center"/>
            <w:hideMark/>
          </w:tcPr>
          <w:p w14:paraId="71D0308C"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1.20%</w:t>
            </w:r>
          </w:p>
        </w:tc>
      </w:tr>
      <w:tr w:rsidR="00F303E0" w:rsidRPr="00EE5714" w14:paraId="32A802D5" w14:textId="77777777" w:rsidTr="00EC5F68">
        <w:trPr>
          <w:trHeight w:hRule="exact" w:val="245"/>
        </w:trPr>
        <w:tc>
          <w:tcPr>
            <w:tcW w:w="1620" w:type="dxa"/>
            <w:shd w:val="clear" w:color="000000" w:fill="auto"/>
            <w:vAlign w:val="center"/>
          </w:tcPr>
          <w:p w14:paraId="5CEBEC0B"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2015</w:t>
            </w:r>
          </w:p>
        </w:tc>
        <w:tc>
          <w:tcPr>
            <w:tcW w:w="2160" w:type="dxa"/>
            <w:shd w:val="clear" w:color="000000" w:fill="auto"/>
            <w:noWrap/>
            <w:vAlign w:val="center"/>
            <w:hideMark/>
          </w:tcPr>
          <w:p w14:paraId="61CB575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$8,475,599</w:t>
            </w:r>
          </w:p>
        </w:tc>
        <w:tc>
          <w:tcPr>
            <w:tcW w:w="2205" w:type="dxa"/>
            <w:shd w:val="clear" w:color="000000" w:fill="auto"/>
            <w:noWrap/>
            <w:vAlign w:val="center"/>
            <w:hideMark/>
          </w:tcPr>
          <w:p w14:paraId="50E242F3"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1.64%</w:t>
            </w:r>
          </w:p>
        </w:tc>
        <w:tc>
          <w:tcPr>
            <w:tcW w:w="2295" w:type="dxa"/>
            <w:shd w:val="clear" w:color="000000" w:fill="auto"/>
            <w:noWrap/>
            <w:vAlign w:val="center"/>
            <w:hideMark/>
          </w:tcPr>
          <w:p w14:paraId="132F53C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$11,655,027</w:t>
            </w:r>
          </w:p>
        </w:tc>
        <w:tc>
          <w:tcPr>
            <w:tcW w:w="2160" w:type="dxa"/>
            <w:shd w:val="clear" w:color="000000" w:fill="auto"/>
            <w:noWrap/>
            <w:vAlign w:val="center"/>
            <w:hideMark/>
          </w:tcPr>
          <w:p w14:paraId="19AD9133"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2.25%</w:t>
            </w:r>
          </w:p>
        </w:tc>
      </w:tr>
      <w:tr w:rsidR="00F303E0" w:rsidRPr="00EE5714" w14:paraId="167790DE" w14:textId="77777777" w:rsidTr="00EC5F68">
        <w:trPr>
          <w:trHeight w:hRule="exact" w:val="245"/>
        </w:trPr>
        <w:tc>
          <w:tcPr>
            <w:tcW w:w="1620" w:type="dxa"/>
            <w:shd w:val="clear" w:color="000000" w:fill="auto"/>
            <w:vAlign w:val="center"/>
          </w:tcPr>
          <w:p w14:paraId="72816CC8" w14:textId="77777777" w:rsidR="00F303E0" w:rsidRPr="00EE5714" w:rsidRDefault="00F303E0" w:rsidP="00851815">
            <w:pPr>
              <w:keepNext/>
              <w:jc w:val="center"/>
              <w:rPr>
                <w:rFonts w:ascii="Calibri" w:eastAsia="Times New Roman" w:hAnsi="Calibri" w:cs="Calibri"/>
                <w:b/>
                <w:sz w:val="21"/>
                <w:szCs w:val="21"/>
              </w:rPr>
            </w:pPr>
            <w:r w:rsidRPr="00EE5714">
              <w:rPr>
                <w:rFonts w:ascii="Calibri" w:hAnsi="Calibri" w:cs="Calibri"/>
                <w:b/>
                <w:sz w:val="21"/>
                <w:szCs w:val="21"/>
              </w:rPr>
              <w:t>2016</w:t>
            </w:r>
          </w:p>
        </w:tc>
        <w:tc>
          <w:tcPr>
            <w:tcW w:w="2160" w:type="dxa"/>
            <w:shd w:val="clear" w:color="000000" w:fill="auto"/>
            <w:noWrap/>
            <w:vAlign w:val="center"/>
            <w:hideMark/>
          </w:tcPr>
          <w:p w14:paraId="6A3738D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$12,409,870</w:t>
            </w:r>
          </w:p>
        </w:tc>
        <w:tc>
          <w:tcPr>
            <w:tcW w:w="2205" w:type="dxa"/>
            <w:shd w:val="clear" w:color="000000" w:fill="auto"/>
            <w:noWrap/>
            <w:vAlign w:val="center"/>
            <w:hideMark/>
          </w:tcPr>
          <w:p w14:paraId="638C06BD"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2.34%</w:t>
            </w:r>
          </w:p>
        </w:tc>
        <w:tc>
          <w:tcPr>
            <w:tcW w:w="2295" w:type="dxa"/>
            <w:shd w:val="clear" w:color="000000" w:fill="auto"/>
            <w:noWrap/>
            <w:vAlign w:val="center"/>
            <w:hideMark/>
          </w:tcPr>
          <w:p w14:paraId="0DEB65D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$11,011,293</w:t>
            </w:r>
          </w:p>
        </w:tc>
        <w:tc>
          <w:tcPr>
            <w:tcW w:w="2160" w:type="dxa"/>
            <w:shd w:val="clear" w:color="000000" w:fill="auto"/>
            <w:noWrap/>
            <w:vAlign w:val="center"/>
            <w:hideMark/>
          </w:tcPr>
          <w:p w14:paraId="1AADBEA5"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2.07%</w:t>
            </w:r>
          </w:p>
        </w:tc>
      </w:tr>
      <w:tr w:rsidR="00F303E0" w:rsidRPr="00EE5714" w14:paraId="18B63A66" w14:textId="77777777" w:rsidTr="00EC5F68">
        <w:trPr>
          <w:trHeight w:hRule="exact" w:val="245"/>
        </w:trPr>
        <w:tc>
          <w:tcPr>
            <w:tcW w:w="1620" w:type="dxa"/>
            <w:shd w:val="clear" w:color="000000" w:fill="F2F2F2" w:themeFill="background1" w:themeFillShade="F2"/>
            <w:vAlign w:val="bottom"/>
          </w:tcPr>
          <w:p w14:paraId="03FD4EB9"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Met-Ed</w:t>
            </w:r>
          </w:p>
        </w:tc>
        <w:tc>
          <w:tcPr>
            <w:tcW w:w="2160" w:type="dxa"/>
            <w:shd w:val="clear" w:color="000000" w:fill="F2F2F2" w:themeFill="background1" w:themeFillShade="F2"/>
            <w:noWrap/>
            <w:vAlign w:val="center"/>
            <w:hideMark/>
          </w:tcPr>
          <w:p w14:paraId="27C1B9EB" w14:textId="77777777" w:rsidR="00F303E0" w:rsidRPr="00EE5714" w:rsidRDefault="00F303E0" w:rsidP="00851815">
            <w:pPr>
              <w:keepNext/>
              <w:jc w:val="center"/>
              <w:rPr>
                <w:rFonts w:ascii="Calibri" w:eastAsia="Times New Roman" w:hAnsi="Calibri" w:cs="Calibri"/>
                <w:color w:val="000000"/>
                <w:sz w:val="21"/>
                <w:szCs w:val="21"/>
              </w:rPr>
            </w:pPr>
          </w:p>
        </w:tc>
        <w:tc>
          <w:tcPr>
            <w:tcW w:w="2205" w:type="dxa"/>
            <w:shd w:val="clear" w:color="000000" w:fill="F2F2F2" w:themeFill="background1" w:themeFillShade="F2"/>
            <w:noWrap/>
            <w:vAlign w:val="center"/>
            <w:hideMark/>
          </w:tcPr>
          <w:p w14:paraId="4E063460" w14:textId="77777777" w:rsidR="00F303E0" w:rsidRPr="00EE5714" w:rsidRDefault="00F303E0" w:rsidP="00851815">
            <w:pPr>
              <w:keepNext/>
              <w:jc w:val="center"/>
              <w:rPr>
                <w:rFonts w:ascii="Calibri" w:eastAsia="Times New Roman" w:hAnsi="Calibri" w:cs="Calibri"/>
                <w:bCs/>
                <w:color w:val="000000"/>
                <w:sz w:val="21"/>
                <w:szCs w:val="21"/>
              </w:rPr>
            </w:pPr>
          </w:p>
        </w:tc>
        <w:tc>
          <w:tcPr>
            <w:tcW w:w="2295" w:type="dxa"/>
            <w:shd w:val="clear" w:color="000000" w:fill="F2F2F2" w:themeFill="background1" w:themeFillShade="F2"/>
            <w:noWrap/>
            <w:vAlign w:val="center"/>
            <w:hideMark/>
          </w:tcPr>
          <w:p w14:paraId="5F143611" w14:textId="77777777" w:rsidR="00F303E0" w:rsidRPr="00EE5714" w:rsidRDefault="00F303E0" w:rsidP="00851815">
            <w:pPr>
              <w:keepNext/>
              <w:jc w:val="center"/>
              <w:rPr>
                <w:rFonts w:ascii="Calibri" w:eastAsia="Times New Roman" w:hAnsi="Calibri" w:cs="Calibri"/>
                <w:color w:val="000000"/>
                <w:sz w:val="21"/>
                <w:szCs w:val="21"/>
              </w:rPr>
            </w:pPr>
          </w:p>
        </w:tc>
        <w:tc>
          <w:tcPr>
            <w:tcW w:w="2160" w:type="dxa"/>
            <w:shd w:val="clear" w:color="000000" w:fill="F2F2F2" w:themeFill="background1" w:themeFillShade="F2"/>
            <w:noWrap/>
            <w:vAlign w:val="center"/>
            <w:hideMark/>
          </w:tcPr>
          <w:p w14:paraId="256B194C" w14:textId="77777777" w:rsidR="00F303E0" w:rsidRPr="00EE5714" w:rsidRDefault="00F303E0" w:rsidP="00851815">
            <w:pPr>
              <w:keepNext/>
              <w:jc w:val="center"/>
              <w:rPr>
                <w:rFonts w:ascii="Calibri" w:eastAsia="Times New Roman" w:hAnsi="Calibri" w:cs="Calibri"/>
                <w:bCs/>
                <w:color w:val="000000"/>
                <w:sz w:val="21"/>
                <w:szCs w:val="21"/>
              </w:rPr>
            </w:pPr>
          </w:p>
        </w:tc>
      </w:tr>
      <w:tr w:rsidR="00F303E0" w:rsidRPr="00EE5714" w14:paraId="5D5E53A3" w14:textId="77777777" w:rsidTr="00EC5F68">
        <w:trPr>
          <w:trHeight w:hRule="exact" w:val="245"/>
        </w:trPr>
        <w:tc>
          <w:tcPr>
            <w:tcW w:w="1620" w:type="dxa"/>
            <w:shd w:val="clear" w:color="000000" w:fill="auto"/>
            <w:vAlign w:val="center"/>
          </w:tcPr>
          <w:p w14:paraId="21EB20F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2012</w:t>
            </w:r>
          </w:p>
        </w:tc>
        <w:tc>
          <w:tcPr>
            <w:tcW w:w="2160" w:type="dxa"/>
            <w:shd w:val="clear" w:color="000000" w:fill="auto"/>
            <w:noWrap/>
            <w:vAlign w:val="center"/>
            <w:hideMark/>
          </w:tcPr>
          <w:p w14:paraId="545C6943"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$22,176,919</w:t>
            </w:r>
          </w:p>
        </w:tc>
        <w:tc>
          <w:tcPr>
            <w:tcW w:w="2205" w:type="dxa"/>
            <w:shd w:val="clear" w:color="000000" w:fill="auto"/>
            <w:noWrap/>
            <w:vAlign w:val="center"/>
            <w:hideMark/>
          </w:tcPr>
          <w:p w14:paraId="783F1EC1"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3.69%</w:t>
            </w:r>
          </w:p>
        </w:tc>
        <w:tc>
          <w:tcPr>
            <w:tcW w:w="2295" w:type="dxa"/>
            <w:shd w:val="clear" w:color="000000" w:fill="auto"/>
            <w:noWrap/>
            <w:vAlign w:val="center"/>
            <w:hideMark/>
          </w:tcPr>
          <w:p w14:paraId="288BD62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$5,228,520</w:t>
            </w:r>
          </w:p>
        </w:tc>
        <w:tc>
          <w:tcPr>
            <w:tcW w:w="2160" w:type="dxa"/>
            <w:shd w:val="clear" w:color="000000" w:fill="auto"/>
            <w:noWrap/>
            <w:vAlign w:val="center"/>
            <w:hideMark/>
          </w:tcPr>
          <w:p w14:paraId="17A2D8A8"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0.87%</w:t>
            </w:r>
          </w:p>
        </w:tc>
      </w:tr>
      <w:tr w:rsidR="00F303E0" w:rsidRPr="00EE5714" w14:paraId="453882E7" w14:textId="77777777" w:rsidTr="00EC5F68">
        <w:trPr>
          <w:trHeight w:hRule="exact" w:val="245"/>
        </w:trPr>
        <w:tc>
          <w:tcPr>
            <w:tcW w:w="1620" w:type="dxa"/>
            <w:shd w:val="clear" w:color="000000" w:fill="auto"/>
            <w:vAlign w:val="center"/>
          </w:tcPr>
          <w:p w14:paraId="06BB6D4F"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2013</w:t>
            </w:r>
          </w:p>
        </w:tc>
        <w:tc>
          <w:tcPr>
            <w:tcW w:w="2160" w:type="dxa"/>
            <w:shd w:val="clear" w:color="000000" w:fill="auto"/>
            <w:noWrap/>
            <w:vAlign w:val="center"/>
            <w:hideMark/>
          </w:tcPr>
          <w:p w14:paraId="5F5D220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$19,375,229</w:t>
            </w:r>
          </w:p>
        </w:tc>
        <w:tc>
          <w:tcPr>
            <w:tcW w:w="2205" w:type="dxa"/>
            <w:shd w:val="clear" w:color="000000" w:fill="auto"/>
            <w:noWrap/>
            <w:vAlign w:val="center"/>
            <w:hideMark/>
          </w:tcPr>
          <w:p w14:paraId="12F028F6"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3.42%</w:t>
            </w:r>
          </w:p>
        </w:tc>
        <w:tc>
          <w:tcPr>
            <w:tcW w:w="2295" w:type="dxa"/>
            <w:shd w:val="clear" w:color="000000" w:fill="auto"/>
            <w:noWrap/>
            <w:vAlign w:val="center"/>
            <w:hideMark/>
          </w:tcPr>
          <w:p w14:paraId="22602FD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$4,365,518</w:t>
            </w:r>
          </w:p>
        </w:tc>
        <w:tc>
          <w:tcPr>
            <w:tcW w:w="2160" w:type="dxa"/>
            <w:shd w:val="clear" w:color="000000" w:fill="auto"/>
            <w:noWrap/>
            <w:vAlign w:val="center"/>
            <w:hideMark/>
          </w:tcPr>
          <w:p w14:paraId="5F186070"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0.77%</w:t>
            </w:r>
          </w:p>
        </w:tc>
      </w:tr>
      <w:tr w:rsidR="00F303E0" w:rsidRPr="00EE5714" w14:paraId="23F03834" w14:textId="77777777" w:rsidTr="00EC5F68">
        <w:trPr>
          <w:trHeight w:hRule="exact" w:val="245"/>
        </w:trPr>
        <w:tc>
          <w:tcPr>
            <w:tcW w:w="1620" w:type="dxa"/>
            <w:shd w:val="clear" w:color="000000" w:fill="auto"/>
            <w:vAlign w:val="center"/>
          </w:tcPr>
          <w:p w14:paraId="2402A612"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2014</w:t>
            </w:r>
          </w:p>
        </w:tc>
        <w:tc>
          <w:tcPr>
            <w:tcW w:w="2160" w:type="dxa"/>
            <w:shd w:val="clear" w:color="000000" w:fill="auto"/>
            <w:noWrap/>
            <w:vAlign w:val="center"/>
            <w:hideMark/>
          </w:tcPr>
          <w:p w14:paraId="14A9C55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$19,051,671</w:t>
            </w:r>
          </w:p>
        </w:tc>
        <w:tc>
          <w:tcPr>
            <w:tcW w:w="2205" w:type="dxa"/>
            <w:shd w:val="clear" w:color="000000" w:fill="auto"/>
            <w:noWrap/>
            <w:vAlign w:val="center"/>
            <w:hideMark/>
          </w:tcPr>
          <w:p w14:paraId="5003D140"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3.60%</w:t>
            </w:r>
          </w:p>
        </w:tc>
        <w:tc>
          <w:tcPr>
            <w:tcW w:w="2295" w:type="dxa"/>
            <w:shd w:val="clear" w:color="000000" w:fill="auto"/>
            <w:noWrap/>
            <w:vAlign w:val="center"/>
            <w:hideMark/>
          </w:tcPr>
          <w:p w14:paraId="3D7F64C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$4,740,501</w:t>
            </w:r>
          </w:p>
        </w:tc>
        <w:tc>
          <w:tcPr>
            <w:tcW w:w="2160" w:type="dxa"/>
            <w:shd w:val="clear" w:color="000000" w:fill="auto"/>
            <w:noWrap/>
            <w:vAlign w:val="center"/>
            <w:hideMark/>
          </w:tcPr>
          <w:p w14:paraId="5B493E84"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0.90%</w:t>
            </w:r>
          </w:p>
        </w:tc>
      </w:tr>
      <w:tr w:rsidR="00F303E0" w:rsidRPr="00EE5714" w14:paraId="09D33CE6" w14:textId="77777777" w:rsidTr="00EC5F68">
        <w:trPr>
          <w:trHeight w:hRule="exact" w:val="245"/>
        </w:trPr>
        <w:tc>
          <w:tcPr>
            <w:tcW w:w="1620" w:type="dxa"/>
            <w:shd w:val="clear" w:color="000000" w:fill="auto"/>
            <w:vAlign w:val="center"/>
          </w:tcPr>
          <w:p w14:paraId="51A8EC1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2015</w:t>
            </w:r>
          </w:p>
        </w:tc>
        <w:tc>
          <w:tcPr>
            <w:tcW w:w="2160" w:type="dxa"/>
            <w:shd w:val="clear" w:color="000000" w:fill="auto"/>
            <w:noWrap/>
            <w:vAlign w:val="center"/>
            <w:hideMark/>
          </w:tcPr>
          <w:p w14:paraId="5876405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$16,068,324</w:t>
            </w:r>
          </w:p>
        </w:tc>
        <w:tc>
          <w:tcPr>
            <w:tcW w:w="2205" w:type="dxa"/>
            <w:shd w:val="clear" w:color="000000" w:fill="auto"/>
            <w:noWrap/>
            <w:vAlign w:val="center"/>
            <w:hideMark/>
          </w:tcPr>
          <w:p w14:paraId="4B8E36F8"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2.77%</w:t>
            </w:r>
          </w:p>
        </w:tc>
        <w:tc>
          <w:tcPr>
            <w:tcW w:w="2295" w:type="dxa"/>
            <w:shd w:val="clear" w:color="000000" w:fill="auto"/>
            <w:noWrap/>
            <w:vAlign w:val="center"/>
            <w:hideMark/>
          </w:tcPr>
          <w:p w14:paraId="29DFB63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$5,188,397</w:t>
            </w:r>
          </w:p>
        </w:tc>
        <w:tc>
          <w:tcPr>
            <w:tcW w:w="2160" w:type="dxa"/>
            <w:shd w:val="clear" w:color="000000" w:fill="auto"/>
            <w:noWrap/>
            <w:vAlign w:val="center"/>
            <w:hideMark/>
          </w:tcPr>
          <w:p w14:paraId="065F1C74"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0.89%</w:t>
            </w:r>
          </w:p>
        </w:tc>
      </w:tr>
      <w:tr w:rsidR="00F303E0" w:rsidRPr="00EE5714" w14:paraId="6A05F0D5" w14:textId="77777777" w:rsidTr="00EC5F68">
        <w:trPr>
          <w:trHeight w:hRule="exact" w:val="245"/>
        </w:trPr>
        <w:tc>
          <w:tcPr>
            <w:tcW w:w="1620" w:type="dxa"/>
            <w:shd w:val="clear" w:color="000000" w:fill="auto"/>
            <w:vAlign w:val="center"/>
          </w:tcPr>
          <w:p w14:paraId="07D4043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2016</w:t>
            </w:r>
          </w:p>
        </w:tc>
        <w:tc>
          <w:tcPr>
            <w:tcW w:w="2160" w:type="dxa"/>
            <w:shd w:val="clear" w:color="000000" w:fill="auto"/>
            <w:noWrap/>
            <w:vAlign w:val="center"/>
            <w:hideMark/>
          </w:tcPr>
          <w:p w14:paraId="6BB2A8D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$13,865,755</w:t>
            </w:r>
          </w:p>
        </w:tc>
        <w:tc>
          <w:tcPr>
            <w:tcW w:w="2205" w:type="dxa"/>
            <w:shd w:val="clear" w:color="000000" w:fill="auto"/>
            <w:noWrap/>
            <w:vAlign w:val="center"/>
            <w:hideMark/>
          </w:tcPr>
          <w:p w14:paraId="400336EA"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2.41%</w:t>
            </w:r>
          </w:p>
        </w:tc>
        <w:tc>
          <w:tcPr>
            <w:tcW w:w="2295" w:type="dxa"/>
            <w:shd w:val="clear" w:color="000000" w:fill="auto"/>
            <w:noWrap/>
            <w:vAlign w:val="center"/>
            <w:hideMark/>
          </w:tcPr>
          <w:p w14:paraId="565E728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$6,223,947</w:t>
            </w:r>
          </w:p>
        </w:tc>
        <w:tc>
          <w:tcPr>
            <w:tcW w:w="2160" w:type="dxa"/>
            <w:shd w:val="clear" w:color="000000" w:fill="auto"/>
            <w:noWrap/>
            <w:vAlign w:val="center"/>
            <w:hideMark/>
          </w:tcPr>
          <w:p w14:paraId="005C250C"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1.08%</w:t>
            </w:r>
          </w:p>
        </w:tc>
      </w:tr>
      <w:tr w:rsidR="00F303E0" w:rsidRPr="00EE5714" w14:paraId="61FA3D43" w14:textId="77777777" w:rsidTr="00EC5F68">
        <w:trPr>
          <w:trHeight w:hRule="exact" w:val="245"/>
        </w:trPr>
        <w:tc>
          <w:tcPr>
            <w:tcW w:w="1620" w:type="dxa"/>
            <w:shd w:val="clear" w:color="000000" w:fill="F2F2F2" w:themeFill="background1" w:themeFillShade="F2"/>
            <w:vAlign w:val="bottom"/>
          </w:tcPr>
          <w:p w14:paraId="00F5136B"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PECO Electric</w:t>
            </w:r>
          </w:p>
        </w:tc>
        <w:tc>
          <w:tcPr>
            <w:tcW w:w="2160" w:type="dxa"/>
            <w:shd w:val="clear" w:color="000000" w:fill="F2F2F2" w:themeFill="background1" w:themeFillShade="F2"/>
            <w:noWrap/>
            <w:vAlign w:val="center"/>
            <w:hideMark/>
          </w:tcPr>
          <w:p w14:paraId="54F6B148" w14:textId="77777777" w:rsidR="00F303E0" w:rsidRPr="00EE5714" w:rsidRDefault="00F303E0" w:rsidP="00851815">
            <w:pPr>
              <w:keepNext/>
              <w:jc w:val="center"/>
              <w:rPr>
                <w:rFonts w:ascii="Calibri" w:eastAsia="Times New Roman" w:hAnsi="Calibri" w:cs="Calibri"/>
                <w:color w:val="000000"/>
                <w:sz w:val="21"/>
                <w:szCs w:val="21"/>
              </w:rPr>
            </w:pPr>
          </w:p>
        </w:tc>
        <w:tc>
          <w:tcPr>
            <w:tcW w:w="2205" w:type="dxa"/>
            <w:shd w:val="clear" w:color="000000" w:fill="F2F2F2" w:themeFill="background1" w:themeFillShade="F2"/>
            <w:noWrap/>
            <w:vAlign w:val="center"/>
            <w:hideMark/>
          </w:tcPr>
          <w:p w14:paraId="16FC06F4" w14:textId="77777777" w:rsidR="00F303E0" w:rsidRPr="00EE5714" w:rsidRDefault="00F303E0" w:rsidP="00851815">
            <w:pPr>
              <w:keepNext/>
              <w:jc w:val="center"/>
              <w:rPr>
                <w:rFonts w:ascii="Calibri" w:eastAsia="Times New Roman" w:hAnsi="Calibri" w:cs="Calibri"/>
                <w:bCs/>
                <w:color w:val="000000"/>
                <w:sz w:val="21"/>
                <w:szCs w:val="21"/>
              </w:rPr>
            </w:pPr>
          </w:p>
        </w:tc>
        <w:tc>
          <w:tcPr>
            <w:tcW w:w="2295" w:type="dxa"/>
            <w:shd w:val="clear" w:color="000000" w:fill="F2F2F2" w:themeFill="background1" w:themeFillShade="F2"/>
            <w:noWrap/>
            <w:vAlign w:val="center"/>
            <w:hideMark/>
          </w:tcPr>
          <w:p w14:paraId="5DA37DE1" w14:textId="77777777" w:rsidR="00F303E0" w:rsidRPr="00EE5714" w:rsidRDefault="00F303E0" w:rsidP="00851815">
            <w:pPr>
              <w:keepNext/>
              <w:jc w:val="center"/>
              <w:rPr>
                <w:rFonts w:ascii="Calibri" w:eastAsia="Times New Roman" w:hAnsi="Calibri" w:cs="Calibri"/>
                <w:color w:val="000000"/>
                <w:sz w:val="21"/>
                <w:szCs w:val="21"/>
              </w:rPr>
            </w:pPr>
          </w:p>
        </w:tc>
        <w:tc>
          <w:tcPr>
            <w:tcW w:w="2160" w:type="dxa"/>
            <w:shd w:val="clear" w:color="000000" w:fill="F2F2F2" w:themeFill="background1" w:themeFillShade="F2"/>
            <w:noWrap/>
            <w:vAlign w:val="center"/>
            <w:hideMark/>
          </w:tcPr>
          <w:p w14:paraId="64210644" w14:textId="77777777" w:rsidR="00F303E0" w:rsidRPr="00EE5714" w:rsidRDefault="00F303E0" w:rsidP="00851815">
            <w:pPr>
              <w:keepNext/>
              <w:jc w:val="center"/>
              <w:rPr>
                <w:rFonts w:ascii="Calibri" w:eastAsia="Times New Roman" w:hAnsi="Calibri" w:cs="Calibri"/>
                <w:bCs/>
                <w:color w:val="000000"/>
                <w:sz w:val="21"/>
                <w:szCs w:val="21"/>
              </w:rPr>
            </w:pPr>
          </w:p>
        </w:tc>
      </w:tr>
      <w:tr w:rsidR="00F303E0" w:rsidRPr="00EE5714" w14:paraId="7985C78C" w14:textId="77777777" w:rsidTr="00EC5F68">
        <w:trPr>
          <w:trHeight w:hRule="exact" w:val="245"/>
        </w:trPr>
        <w:tc>
          <w:tcPr>
            <w:tcW w:w="1620" w:type="dxa"/>
            <w:shd w:val="clear" w:color="000000" w:fill="auto"/>
            <w:vAlign w:val="center"/>
          </w:tcPr>
          <w:p w14:paraId="580D1605"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2012</w:t>
            </w:r>
          </w:p>
        </w:tc>
        <w:tc>
          <w:tcPr>
            <w:tcW w:w="2160" w:type="dxa"/>
            <w:shd w:val="clear" w:color="000000" w:fill="auto"/>
            <w:noWrap/>
            <w:vAlign w:val="center"/>
            <w:hideMark/>
          </w:tcPr>
          <w:p w14:paraId="0912A020"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$12,422,305</w:t>
            </w:r>
          </w:p>
        </w:tc>
        <w:tc>
          <w:tcPr>
            <w:tcW w:w="2205" w:type="dxa"/>
            <w:shd w:val="clear" w:color="000000" w:fill="auto"/>
            <w:noWrap/>
            <w:vAlign w:val="center"/>
            <w:hideMark/>
          </w:tcPr>
          <w:p w14:paraId="2A95AB17"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0.61%</w:t>
            </w:r>
          </w:p>
        </w:tc>
        <w:tc>
          <w:tcPr>
            <w:tcW w:w="2295" w:type="dxa"/>
            <w:shd w:val="clear" w:color="000000" w:fill="auto"/>
            <w:noWrap/>
            <w:vAlign w:val="center"/>
            <w:hideMark/>
          </w:tcPr>
          <w:p w14:paraId="4AD1656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$38,874,965</w:t>
            </w:r>
          </w:p>
        </w:tc>
        <w:tc>
          <w:tcPr>
            <w:tcW w:w="2160" w:type="dxa"/>
            <w:shd w:val="clear" w:color="000000" w:fill="auto"/>
            <w:noWrap/>
            <w:vAlign w:val="center"/>
            <w:hideMark/>
          </w:tcPr>
          <w:p w14:paraId="5E2CD8CB"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1.92%</w:t>
            </w:r>
          </w:p>
        </w:tc>
      </w:tr>
      <w:tr w:rsidR="00F303E0" w:rsidRPr="00EE5714" w14:paraId="334317CF" w14:textId="77777777" w:rsidTr="00EC5F68">
        <w:trPr>
          <w:trHeight w:hRule="exact" w:val="245"/>
        </w:trPr>
        <w:tc>
          <w:tcPr>
            <w:tcW w:w="1620" w:type="dxa"/>
            <w:shd w:val="clear" w:color="000000" w:fill="auto"/>
            <w:vAlign w:val="center"/>
          </w:tcPr>
          <w:p w14:paraId="1C4543F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2013</w:t>
            </w:r>
          </w:p>
        </w:tc>
        <w:tc>
          <w:tcPr>
            <w:tcW w:w="2160" w:type="dxa"/>
            <w:shd w:val="clear" w:color="000000" w:fill="auto"/>
            <w:noWrap/>
            <w:vAlign w:val="center"/>
            <w:hideMark/>
          </w:tcPr>
          <w:p w14:paraId="284D292F"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$13,362,308</w:t>
            </w:r>
          </w:p>
        </w:tc>
        <w:tc>
          <w:tcPr>
            <w:tcW w:w="2205" w:type="dxa"/>
            <w:shd w:val="clear" w:color="000000" w:fill="auto"/>
            <w:noWrap/>
            <w:vAlign w:val="center"/>
            <w:hideMark/>
          </w:tcPr>
          <w:p w14:paraId="3331AA5F"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0.66%</w:t>
            </w:r>
          </w:p>
        </w:tc>
        <w:tc>
          <w:tcPr>
            <w:tcW w:w="2295" w:type="dxa"/>
            <w:shd w:val="clear" w:color="000000" w:fill="auto"/>
            <w:noWrap/>
            <w:vAlign w:val="center"/>
            <w:hideMark/>
          </w:tcPr>
          <w:p w14:paraId="1361BE2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$39,668,475</w:t>
            </w:r>
          </w:p>
        </w:tc>
        <w:tc>
          <w:tcPr>
            <w:tcW w:w="2160" w:type="dxa"/>
            <w:shd w:val="clear" w:color="000000" w:fill="auto"/>
            <w:noWrap/>
            <w:vAlign w:val="center"/>
            <w:hideMark/>
          </w:tcPr>
          <w:p w14:paraId="27C7B3A2"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1.96%</w:t>
            </w:r>
          </w:p>
        </w:tc>
      </w:tr>
      <w:tr w:rsidR="00F303E0" w:rsidRPr="00EE5714" w14:paraId="7B6797C8" w14:textId="77777777" w:rsidTr="00EC5F68">
        <w:trPr>
          <w:trHeight w:hRule="exact" w:val="245"/>
        </w:trPr>
        <w:tc>
          <w:tcPr>
            <w:tcW w:w="1620" w:type="dxa"/>
            <w:shd w:val="clear" w:color="000000" w:fill="auto"/>
            <w:vAlign w:val="center"/>
          </w:tcPr>
          <w:p w14:paraId="2FF51E64"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2014</w:t>
            </w:r>
          </w:p>
        </w:tc>
        <w:tc>
          <w:tcPr>
            <w:tcW w:w="2160" w:type="dxa"/>
            <w:shd w:val="clear" w:color="000000" w:fill="auto"/>
            <w:noWrap/>
            <w:vAlign w:val="center"/>
            <w:hideMark/>
          </w:tcPr>
          <w:p w14:paraId="699BB30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$11,820,927</w:t>
            </w:r>
          </w:p>
        </w:tc>
        <w:tc>
          <w:tcPr>
            <w:tcW w:w="2205" w:type="dxa"/>
            <w:shd w:val="clear" w:color="000000" w:fill="auto"/>
            <w:noWrap/>
            <w:vAlign w:val="center"/>
            <w:hideMark/>
          </w:tcPr>
          <w:p w14:paraId="152FDF13"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0.57%</w:t>
            </w:r>
          </w:p>
        </w:tc>
        <w:tc>
          <w:tcPr>
            <w:tcW w:w="2295" w:type="dxa"/>
            <w:shd w:val="clear" w:color="000000" w:fill="auto"/>
            <w:noWrap/>
            <w:vAlign w:val="center"/>
            <w:hideMark/>
          </w:tcPr>
          <w:p w14:paraId="688D92F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$29,714,134</w:t>
            </w:r>
          </w:p>
        </w:tc>
        <w:tc>
          <w:tcPr>
            <w:tcW w:w="2160" w:type="dxa"/>
            <w:shd w:val="clear" w:color="000000" w:fill="auto"/>
            <w:noWrap/>
            <w:vAlign w:val="center"/>
            <w:hideMark/>
          </w:tcPr>
          <w:p w14:paraId="1A4C47B5"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1.43%</w:t>
            </w:r>
          </w:p>
        </w:tc>
      </w:tr>
      <w:tr w:rsidR="00F303E0" w:rsidRPr="00EE5714" w14:paraId="492FDEB9" w14:textId="77777777" w:rsidTr="00EC5F68">
        <w:trPr>
          <w:trHeight w:hRule="exact" w:val="245"/>
        </w:trPr>
        <w:tc>
          <w:tcPr>
            <w:tcW w:w="1620" w:type="dxa"/>
            <w:shd w:val="clear" w:color="000000" w:fill="auto"/>
            <w:vAlign w:val="center"/>
          </w:tcPr>
          <w:p w14:paraId="5036DA3A"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2015</w:t>
            </w:r>
          </w:p>
        </w:tc>
        <w:tc>
          <w:tcPr>
            <w:tcW w:w="2160" w:type="dxa"/>
            <w:shd w:val="clear" w:color="000000" w:fill="auto"/>
            <w:noWrap/>
            <w:vAlign w:val="center"/>
            <w:hideMark/>
          </w:tcPr>
          <w:p w14:paraId="635EC59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$9,496,265</w:t>
            </w:r>
          </w:p>
        </w:tc>
        <w:tc>
          <w:tcPr>
            <w:tcW w:w="2205" w:type="dxa"/>
            <w:shd w:val="clear" w:color="000000" w:fill="auto"/>
            <w:noWrap/>
            <w:vAlign w:val="center"/>
            <w:hideMark/>
          </w:tcPr>
          <w:p w14:paraId="45CF7951"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0.45%</w:t>
            </w:r>
          </w:p>
        </w:tc>
        <w:tc>
          <w:tcPr>
            <w:tcW w:w="2295" w:type="dxa"/>
            <w:shd w:val="clear" w:color="000000" w:fill="auto"/>
            <w:noWrap/>
            <w:vAlign w:val="center"/>
            <w:hideMark/>
          </w:tcPr>
          <w:p w14:paraId="436DE02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$23,695,090</w:t>
            </w:r>
          </w:p>
        </w:tc>
        <w:tc>
          <w:tcPr>
            <w:tcW w:w="2160" w:type="dxa"/>
            <w:shd w:val="clear" w:color="000000" w:fill="auto"/>
            <w:noWrap/>
            <w:vAlign w:val="center"/>
            <w:hideMark/>
          </w:tcPr>
          <w:p w14:paraId="693C4BAB"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1.12%</w:t>
            </w:r>
          </w:p>
        </w:tc>
      </w:tr>
      <w:tr w:rsidR="00F303E0" w:rsidRPr="00EE5714" w14:paraId="086C461E" w14:textId="77777777" w:rsidTr="00EC5F68">
        <w:trPr>
          <w:trHeight w:hRule="exact" w:val="245"/>
        </w:trPr>
        <w:tc>
          <w:tcPr>
            <w:tcW w:w="1620" w:type="dxa"/>
            <w:shd w:val="clear" w:color="000000" w:fill="auto"/>
            <w:vAlign w:val="center"/>
          </w:tcPr>
          <w:p w14:paraId="4C8045DC"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2016</w:t>
            </w:r>
          </w:p>
        </w:tc>
        <w:tc>
          <w:tcPr>
            <w:tcW w:w="2160" w:type="dxa"/>
            <w:shd w:val="clear" w:color="000000" w:fill="auto"/>
            <w:noWrap/>
            <w:vAlign w:val="center"/>
            <w:hideMark/>
          </w:tcPr>
          <w:p w14:paraId="7004DCE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$9,907,906</w:t>
            </w:r>
          </w:p>
        </w:tc>
        <w:tc>
          <w:tcPr>
            <w:tcW w:w="2205" w:type="dxa"/>
            <w:shd w:val="clear" w:color="000000" w:fill="auto"/>
            <w:noWrap/>
            <w:vAlign w:val="center"/>
            <w:hideMark/>
          </w:tcPr>
          <w:p w14:paraId="059BEE9A"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0.48%</w:t>
            </w:r>
          </w:p>
        </w:tc>
        <w:tc>
          <w:tcPr>
            <w:tcW w:w="2295" w:type="dxa"/>
            <w:shd w:val="clear" w:color="000000" w:fill="auto"/>
            <w:noWrap/>
            <w:vAlign w:val="center"/>
            <w:hideMark/>
          </w:tcPr>
          <w:p w14:paraId="4A1D4B8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$17,552,052</w:t>
            </w:r>
          </w:p>
        </w:tc>
        <w:tc>
          <w:tcPr>
            <w:tcW w:w="2160" w:type="dxa"/>
            <w:shd w:val="clear" w:color="000000" w:fill="auto"/>
            <w:noWrap/>
            <w:vAlign w:val="center"/>
            <w:hideMark/>
          </w:tcPr>
          <w:p w14:paraId="60E69197"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0.84%</w:t>
            </w:r>
          </w:p>
        </w:tc>
      </w:tr>
      <w:tr w:rsidR="00F303E0" w:rsidRPr="00EE5714" w14:paraId="09064757" w14:textId="77777777" w:rsidTr="00EC5F68">
        <w:trPr>
          <w:trHeight w:hRule="exact" w:val="245"/>
        </w:trPr>
        <w:tc>
          <w:tcPr>
            <w:tcW w:w="1620" w:type="dxa"/>
            <w:shd w:val="clear" w:color="000000" w:fill="F2F2F2" w:themeFill="background1" w:themeFillShade="F2"/>
            <w:vAlign w:val="bottom"/>
          </w:tcPr>
          <w:p w14:paraId="3CCAB4D5" w14:textId="77777777" w:rsidR="00F303E0" w:rsidRPr="00EE5714" w:rsidRDefault="00F303E0" w:rsidP="00851815">
            <w:pPr>
              <w:keepNext/>
              <w:rPr>
                <w:rFonts w:ascii="Calibri" w:eastAsia="Times New Roman" w:hAnsi="Calibri" w:cs="Calibri"/>
                <w:b/>
                <w:color w:val="000000"/>
                <w:sz w:val="21"/>
                <w:szCs w:val="21"/>
              </w:rPr>
            </w:pPr>
            <w:proofErr w:type="spellStart"/>
            <w:r w:rsidRPr="00EE5714">
              <w:rPr>
                <w:rFonts w:ascii="Calibri" w:hAnsi="Calibri" w:cs="Calibri"/>
                <w:b/>
                <w:sz w:val="21"/>
                <w:szCs w:val="21"/>
              </w:rPr>
              <w:t>Penelec</w:t>
            </w:r>
            <w:proofErr w:type="spellEnd"/>
          </w:p>
        </w:tc>
        <w:tc>
          <w:tcPr>
            <w:tcW w:w="2160" w:type="dxa"/>
            <w:shd w:val="clear" w:color="000000" w:fill="F2F2F2" w:themeFill="background1" w:themeFillShade="F2"/>
            <w:noWrap/>
            <w:vAlign w:val="center"/>
            <w:hideMark/>
          </w:tcPr>
          <w:p w14:paraId="4788113E" w14:textId="77777777" w:rsidR="00F303E0" w:rsidRPr="00EE5714" w:rsidRDefault="00F303E0" w:rsidP="00851815">
            <w:pPr>
              <w:keepNext/>
              <w:jc w:val="center"/>
              <w:rPr>
                <w:rFonts w:ascii="Calibri" w:eastAsia="Times New Roman" w:hAnsi="Calibri" w:cs="Calibri"/>
                <w:color w:val="000000"/>
                <w:sz w:val="21"/>
                <w:szCs w:val="21"/>
              </w:rPr>
            </w:pPr>
          </w:p>
        </w:tc>
        <w:tc>
          <w:tcPr>
            <w:tcW w:w="2205" w:type="dxa"/>
            <w:shd w:val="clear" w:color="000000" w:fill="F2F2F2" w:themeFill="background1" w:themeFillShade="F2"/>
            <w:noWrap/>
            <w:vAlign w:val="center"/>
            <w:hideMark/>
          </w:tcPr>
          <w:p w14:paraId="4A0A4466" w14:textId="77777777" w:rsidR="00F303E0" w:rsidRPr="00EE5714" w:rsidRDefault="00F303E0" w:rsidP="00851815">
            <w:pPr>
              <w:keepNext/>
              <w:jc w:val="center"/>
              <w:rPr>
                <w:rFonts w:ascii="Calibri" w:eastAsia="Times New Roman" w:hAnsi="Calibri" w:cs="Calibri"/>
                <w:bCs/>
                <w:color w:val="000000"/>
                <w:sz w:val="21"/>
                <w:szCs w:val="21"/>
              </w:rPr>
            </w:pPr>
          </w:p>
        </w:tc>
        <w:tc>
          <w:tcPr>
            <w:tcW w:w="2295" w:type="dxa"/>
            <w:shd w:val="clear" w:color="000000" w:fill="F2F2F2" w:themeFill="background1" w:themeFillShade="F2"/>
            <w:noWrap/>
            <w:vAlign w:val="center"/>
            <w:hideMark/>
          </w:tcPr>
          <w:p w14:paraId="06EEE4D6" w14:textId="77777777" w:rsidR="00F303E0" w:rsidRPr="00EE5714" w:rsidRDefault="00F303E0" w:rsidP="00851815">
            <w:pPr>
              <w:keepNext/>
              <w:jc w:val="center"/>
              <w:rPr>
                <w:rFonts w:ascii="Calibri" w:eastAsia="Times New Roman" w:hAnsi="Calibri" w:cs="Calibri"/>
                <w:color w:val="000000"/>
                <w:sz w:val="21"/>
                <w:szCs w:val="21"/>
              </w:rPr>
            </w:pPr>
          </w:p>
        </w:tc>
        <w:tc>
          <w:tcPr>
            <w:tcW w:w="2160" w:type="dxa"/>
            <w:shd w:val="clear" w:color="000000" w:fill="F2F2F2" w:themeFill="background1" w:themeFillShade="F2"/>
            <w:noWrap/>
            <w:vAlign w:val="center"/>
            <w:hideMark/>
          </w:tcPr>
          <w:p w14:paraId="15CD88D0" w14:textId="77777777" w:rsidR="00F303E0" w:rsidRPr="00EE5714" w:rsidRDefault="00F303E0" w:rsidP="00851815">
            <w:pPr>
              <w:keepNext/>
              <w:jc w:val="center"/>
              <w:rPr>
                <w:rFonts w:ascii="Calibri" w:eastAsia="Times New Roman" w:hAnsi="Calibri" w:cs="Calibri"/>
                <w:bCs/>
                <w:color w:val="000000"/>
                <w:sz w:val="21"/>
                <w:szCs w:val="21"/>
              </w:rPr>
            </w:pPr>
          </w:p>
        </w:tc>
      </w:tr>
      <w:tr w:rsidR="00F303E0" w:rsidRPr="00EE5714" w14:paraId="73AFF8C8" w14:textId="77777777" w:rsidTr="00EC5F68">
        <w:trPr>
          <w:trHeight w:hRule="exact" w:val="245"/>
        </w:trPr>
        <w:tc>
          <w:tcPr>
            <w:tcW w:w="1620" w:type="dxa"/>
            <w:shd w:val="clear" w:color="000000" w:fill="auto"/>
            <w:vAlign w:val="center"/>
          </w:tcPr>
          <w:p w14:paraId="50EB9BC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2012</w:t>
            </w:r>
          </w:p>
        </w:tc>
        <w:tc>
          <w:tcPr>
            <w:tcW w:w="2160" w:type="dxa"/>
            <w:shd w:val="clear" w:color="000000" w:fill="auto"/>
            <w:noWrap/>
            <w:vAlign w:val="center"/>
            <w:hideMark/>
          </w:tcPr>
          <w:p w14:paraId="79C45D49"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$18,891,292</w:t>
            </w:r>
          </w:p>
        </w:tc>
        <w:tc>
          <w:tcPr>
            <w:tcW w:w="2205" w:type="dxa"/>
            <w:shd w:val="clear" w:color="000000" w:fill="auto"/>
            <w:noWrap/>
            <w:vAlign w:val="center"/>
            <w:hideMark/>
          </w:tcPr>
          <w:p w14:paraId="7D3BAF9A"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3.67%</w:t>
            </w:r>
          </w:p>
        </w:tc>
        <w:tc>
          <w:tcPr>
            <w:tcW w:w="2295" w:type="dxa"/>
            <w:shd w:val="clear" w:color="000000" w:fill="auto"/>
            <w:noWrap/>
            <w:vAlign w:val="center"/>
            <w:hideMark/>
          </w:tcPr>
          <w:p w14:paraId="75CCB15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$4,824,677</w:t>
            </w:r>
          </w:p>
        </w:tc>
        <w:tc>
          <w:tcPr>
            <w:tcW w:w="2160" w:type="dxa"/>
            <w:shd w:val="clear" w:color="000000" w:fill="auto"/>
            <w:noWrap/>
            <w:vAlign w:val="center"/>
            <w:hideMark/>
          </w:tcPr>
          <w:p w14:paraId="48BC1CF7"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0.94%</w:t>
            </w:r>
          </w:p>
        </w:tc>
      </w:tr>
      <w:tr w:rsidR="00F303E0" w:rsidRPr="00EE5714" w14:paraId="2BC10384" w14:textId="77777777" w:rsidTr="00EC5F68">
        <w:trPr>
          <w:trHeight w:hRule="exact" w:val="245"/>
        </w:trPr>
        <w:tc>
          <w:tcPr>
            <w:tcW w:w="1620" w:type="dxa"/>
            <w:shd w:val="clear" w:color="000000" w:fill="auto"/>
            <w:vAlign w:val="center"/>
          </w:tcPr>
          <w:p w14:paraId="40E814AE"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2013</w:t>
            </w:r>
          </w:p>
        </w:tc>
        <w:tc>
          <w:tcPr>
            <w:tcW w:w="2160" w:type="dxa"/>
            <w:shd w:val="clear" w:color="000000" w:fill="auto"/>
            <w:noWrap/>
            <w:vAlign w:val="center"/>
            <w:hideMark/>
          </w:tcPr>
          <w:p w14:paraId="226E332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$16,991,387</w:t>
            </w:r>
          </w:p>
        </w:tc>
        <w:tc>
          <w:tcPr>
            <w:tcW w:w="2205" w:type="dxa"/>
            <w:shd w:val="clear" w:color="000000" w:fill="auto"/>
            <w:noWrap/>
            <w:vAlign w:val="center"/>
            <w:hideMark/>
          </w:tcPr>
          <w:p w14:paraId="78AD0DC5"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3.60%</w:t>
            </w:r>
          </w:p>
        </w:tc>
        <w:tc>
          <w:tcPr>
            <w:tcW w:w="2295" w:type="dxa"/>
            <w:shd w:val="clear" w:color="000000" w:fill="auto"/>
            <w:noWrap/>
            <w:vAlign w:val="center"/>
            <w:hideMark/>
          </w:tcPr>
          <w:p w14:paraId="21F63E0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$4,024,969</w:t>
            </w:r>
          </w:p>
        </w:tc>
        <w:tc>
          <w:tcPr>
            <w:tcW w:w="2160" w:type="dxa"/>
            <w:shd w:val="clear" w:color="000000" w:fill="auto"/>
            <w:noWrap/>
            <w:vAlign w:val="center"/>
            <w:hideMark/>
          </w:tcPr>
          <w:p w14:paraId="7EB61E9A"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0.85%</w:t>
            </w:r>
          </w:p>
        </w:tc>
      </w:tr>
      <w:tr w:rsidR="00F303E0" w:rsidRPr="00EE5714" w14:paraId="13CA2944" w14:textId="77777777" w:rsidTr="00EC5F68">
        <w:trPr>
          <w:trHeight w:hRule="exact" w:val="245"/>
        </w:trPr>
        <w:tc>
          <w:tcPr>
            <w:tcW w:w="1620" w:type="dxa"/>
            <w:shd w:val="clear" w:color="000000" w:fill="auto"/>
            <w:vAlign w:val="center"/>
          </w:tcPr>
          <w:p w14:paraId="26B0A550"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2014</w:t>
            </w:r>
          </w:p>
        </w:tc>
        <w:tc>
          <w:tcPr>
            <w:tcW w:w="2160" w:type="dxa"/>
            <w:shd w:val="clear" w:color="000000" w:fill="auto"/>
            <w:noWrap/>
            <w:vAlign w:val="center"/>
            <w:hideMark/>
          </w:tcPr>
          <w:p w14:paraId="61C2B70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$17,104,959</w:t>
            </w:r>
          </w:p>
        </w:tc>
        <w:tc>
          <w:tcPr>
            <w:tcW w:w="2205" w:type="dxa"/>
            <w:shd w:val="clear" w:color="000000" w:fill="auto"/>
            <w:noWrap/>
            <w:vAlign w:val="center"/>
            <w:hideMark/>
          </w:tcPr>
          <w:p w14:paraId="05F4F7B1"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3.79%</w:t>
            </w:r>
          </w:p>
        </w:tc>
        <w:tc>
          <w:tcPr>
            <w:tcW w:w="2295" w:type="dxa"/>
            <w:shd w:val="clear" w:color="000000" w:fill="auto"/>
            <w:noWrap/>
            <w:vAlign w:val="center"/>
            <w:hideMark/>
          </w:tcPr>
          <w:p w14:paraId="21CEFAD9"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$4,217,542</w:t>
            </w:r>
          </w:p>
        </w:tc>
        <w:tc>
          <w:tcPr>
            <w:tcW w:w="2160" w:type="dxa"/>
            <w:shd w:val="clear" w:color="000000" w:fill="auto"/>
            <w:noWrap/>
            <w:vAlign w:val="center"/>
            <w:hideMark/>
          </w:tcPr>
          <w:p w14:paraId="1C7A1D7E"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0.94%</w:t>
            </w:r>
          </w:p>
        </w:tc>
      </w:tr>
      <w:tr w:rsidR="00F303E0" w:rsidRPr="00EE5714" w14:paraId="375412F1" w14:textId="77777777" w:rsidTr="00EC5F68">
        <w:trPr>
          <w:trHeight w:hRule="exact" w:val="245"/>
        </w:trPr>
        <w:tc>
          <w:tcPr>
            <w:tcW w:w="1620" w:type="dxa"/>
            <w:shd w:val="clear" w:color="000000" w:fill="auto"/>
            <w:vAlign w:val="center"/>
          </w:tcPr>
          <w:p w14:paraId="4D9DDBE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2015</w:t>
            </w:r>
          </w:p>
        </w:tc>
        <w:tc>
          <w:tcPr>
            <w:tcW w:w="2160" w:type="dxa"/>
            <w:shd w:val="clear" w:color="000000" w:fill="auto"/>
            <w:noWrap/>
            <w:vAlign w:val="center"/>
            <w:hideMark/>
          </w:tcPr>
          <w:p w14:paraId="3C0A5B0D"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$15,044,320</w:t>
            </w:r>
          </w:p>
        </w:tc>
        <w:tc>
          <w:tcPr>
            <w:tcW w:w="2205" w:type="dxa"/>
            <w:shd w:val="clear" w:color="000000" w:fill="auto"/>
            <w:noWrap/>
            <w:vAlign w:val="center"/>
            <w:hideMark/>
          </w:tcPr>
          <w:p w14:paraId="7453E0A7"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3.00%</w:t>
            </w:r>
          </w:p>
        </w:tc>
        <w:tc>
          <w:tcPr>
            <w:tcW w:w="2295" w:type="dxa"/>
            <w:shd w:val="clear" w:color="000000" w:fill="auto"/>
            <w:noWrap/>
            <w:vAlign w:val="center"/>
            <w:hideMark/>
          </w:tcPr>
          <w:p w14:paraId="50DE6C31"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$4,842,244</w:t>
            </w:r>
          </w:p>
        </w:tc>
        <w:tc>
          <w:tcPr>
            <w:tcW w:w="2160" w:type="dxa"/>
            <w:shd w:val="clear" w:color="000000" w:fill="auto"/>
            <w:noWrap/>
            <w:vAlign w:val="center"/>
            <w:hideMark/>
          </w:tcPr>
          <w:p w14:paraId="7FE961A6"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0.97%</w:t>
            </w:r>
          </w:p>
        </w:tc>
      </w:tr>
      <w:tr w:rsidR="00F303E0" w:rsidRPr="00EE5714" w14:paraId="1DEC39FA" w14:textId="77777777" w:rsidTr="00EC5F68">
        <w:trPr>
          <w:trHeight w:hRule="exact" w:val="245"/>
        </w:trPr>
        <w:tc>
          <w:tcPr>
            <w:tcW w:w="1620" w:type="dxa"/>
            <w:shd w:val="clear" w:color="000000" w:fill="auto"/>
            <w:vAlign w:val="center"/>
          </w:tcPr>
          <w:p w14:paraId="2F67884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2016</w:t>
            </w:r>
          </w:p>
        </w:tc>
        <w:tc>
          <w:tcPr>
            <w:tcW w:w="2160" w:type="dxa"/>
            <w:shd w:val="clear" w:color="000000" w:fill="auto"/>
            <w:noWrap/>
            <w:vAlign w:val="center"/>
            <w:hideMark/>
          </w:tcPr>
          <w:p w14:paraId="31E41F1A"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$14,022,529</w:t>
            </w:r>
          </w:p>
        </w:tc>
        <w:tc>
          <w:tcPr>
            <w:tcW w:w="2205" w:type="dxa"/>
            <w:shd w:val="clear" w:color="000000" w:fill="auto"/>
            <w:noWrap/>
            <w:vAlign w:val="center"/>
            <w:hideMark/>
          </w:tcPr>
          <w:p w14:paraId="178A0655"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2.65%</w:t>
            </w:r>
          </w:p>
        </w:tc>
        <w:tc>
          <w:tcPr>
            <w:tcW w:w="2295" w:type="dxa"/>
            <w:shd w:val="clear" w:color="000000" w:fill="auto"/>
            <w:noWrap/>
            <w:vAlign w:val="center"/>
            <w:hideMark/>
          </w:tcPr>
          <w:p w14:paraId="2521B53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$6,465,524</w:t>
            </w:r>
          </w:p>
        </w:tc>
        <w:tc>
          <w:tcPr>
            <w:tcW w:w="2160" w:type="dxa"/>
            <w:shd w:val="clear" w:color="000000" w:fill="auto"/>
            <w:noWrap/>
            <w:vAlign w:val="center"/>
            <w:hideMark/>
          </w:tcPr>
          <w:p w14:paraId="1931934A"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1.22%</w:t>
            </w:r>
          </w:p>
        </w:tc>
      </w:tr>
      <w:tr w:rsidR="00F303E0" w:rsidRPr="00EE5714" w14:paraId="3F22ABBC" w14:textId="77777777" w:rsidTr="00EC5F68">
        <w:trPr>
          <w:trHeight w:hRule="exact" w:val="245"/>
        </w:trPr>
        <w:tc>
          <w:tcPr>
            <w:tcW w:w="1620" w:type="dxa"/>
            <w:shd w:val="clear" w:color="000000" w:fill="F2F2F2" w:themeFill="background1" w:themeFillShade="F2"/>
            <w:vAlign w:val="bottom"/>
          </w:tcPr>
          <w:p w14:paraId="0A78F93A"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Penn Power</w:t>
            </w:r>
          </w:p>
        </w:tc>
        <w:tc>
          <w:tcPr>
            <w:tcW w:w="2160" w:type="dxa"/>
            <w:shd w:val="clear" w:color="000000" w:fill="F2F2F2" w:themeFill="background1" w:themeFillShade="F2"/>
            <w:noWrap/>
            <w:vAlign w:val="center"/>
            <w:hideMark/>
          </w:tcPr>
          <w:p w14:paraId="5DFDCB88" w14:textId="77777777" w:rsidR="00F303E0" w:rsidRPr="00EE5714" w:rsidRDefault="00F303E0" w:rsidP="00851815">
            <w:pPr>
              <w:keepNext/>
              <w:jc w:val="center"/>
              <w:rPr>
                <w:rFonts w:ascii="Calibri" w:eastAsia="Times New Roman" w:hAnsi="Calibri" w:cs="Calibri"/>
                <w:color w:val="000000"/>
                <w:sz w:val="21"/>
                <w:szCs w:val="21"/>
              </w:rPr>
            </w:pPr>
          </w:p>
        </w:tc>
        <w:tc>
          <w:tcPr>
            <w:tcW w:w="2205" w:type="dxa"/>
            <w:shd w:val="clear" w:color="000000" w:fill="F2F2F2" w:themeFill="background1" w:themeFillShade="F2"/>
            <w:noWrap/>
            <w:vAlign w:val="center"/>
            <w:hideMark/>
          </w:tcPr>
          <w:p w14:paraId="6C7619B6" w14:textId="77777777" w:rsidR="00F303E0" w:rsidRPr="00EE5714" w:rsidRDefault="00F303E0" w:rsidP="00851815">
            <w:pPr>
              <w:keepNext/>
              <w:jc w:val="center"/>
              <w:rPr>
                <w:rFonts w:ascii="Calibri" w:eastAsia="Times New Roman" w:hAnsi="Calibri" w:cs="Calibri"/>
                <w:bCs/>
                <w:color w:val="000000"/>
                <w:sz w:val="21"/>
                <w:szCs w:val="21"/>
              </w:rPr>
            </w:pPr>
          </w:p>
        </w:tc>
        <w:tc>
          <w:tcPr>
            <w:tcW w:w="2295" w:type="dxa"/>
            <w:shd w:val="clear" w:color="000000" w:fill="F2F2F2" w:themeFill="background1" w:themeFillShade="F2"/>
            <w:noWrap/>
            <w:vAlign w:val="center"/>
            <w:hideMark/>
          </w:tcPr>
          <w:p w14:paraId="09C55E3F" w14:textId="77777777" w:rsidR="00F303E0" w:rsidRPr="00EE5714" w:rsidRDefault="00F303E0" w:rsidP="00851815">
            <w:pPr>
              <w:keepNext/>
              <w:jc w:val="center"/>
              <w:rPr>
                <w:rFonts w:ascii="Calibri" w:eastAsia="Times New Roman" w:hAnsi="Calibri" w:cs="Calibri"/>
                <w:color w:val="000000"/>
                <w:sz w:val="21"/>
                <w:szCs w:val="21"/>
              </w:rPr>
            </w:pPr>
          </w:p>
        </w:tc>
        <w:tc>
          <w:tcPr>
            <w:tcW w:w="2160" w:type="dxa"/>
            <w:shd w:val="clear" w:color="000000" w:fill="F2F2F2" w:themeFill="background1" w:themeFillShade="F2"/>
            <w:noWrap/>
            <w:vAlign w:val="center"/>
            <w:hideMark/>
          </w:tcPr>
          <w:p w14:paraId="73BD4590" w14:textId="77777777" w:rsidR="00F303E0" w:rsidRPr="00EE5714" w:rsidRDefault="00F303E0" w:rsidP="00851815">
            <w:pPr>
              <w:keepNext/>
              <w:jc w:val="center"/>
              <w:rPr>
                <w:rFonts w:ascii="Calibri" w:eastAsia="Times New Roman" w:hAnsi="Calibri" w:cs="Calibri"/>
                <w:bCs/>
                <w:color w:val="000000"/>
                <w:sz w:val="21"/>
                <w:szCs w:val="21"/>
              </w:rPr>
            </w:pPr>
          </w:p>
        </w:tc>
      </w:tr>
      <w:tr w:rsidR="00F303E0" w:rsidRPr="00EE5714" w14:paraId="22CB44C5" w14:textId="77777777" w:rsidTr="00EC5F68">
        <w:trPr>
          <w:trHeight w:hRule="exact" w:val="245"/>
        </w:trPr>
        <w:tc>
          <w:tcPr>
            <w:tcW w:w="1620" w:type="dxa"/>
            <w:shd w:val="clear" w:color="000000" w:fill="auto"/>
            <w:vAlign w:val="center"/>
          </w:tcPr>
          <w:p w14:paraId="3023200B"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2012</w:t>
            </w:r>
          </w:p>
        </w:tc>
        <w:tc>
          <w:tcPr>
            <w:tcW w:w="2160" w:type="dxa"/>
            <w:shd w:val="clear" w:color="000000" w:fill="auto"/>
            <w:noWrap/>
            <w:vAlign w:val="center"/>
            <w:hideMark/>
          </w:tcPr>
          <w:p w14:paraId="4E910A2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$4,825,654</w:t>
            </w:r>
          </w:p>
        </w:tc>
        <w:tc>
          <w:tcPr>
            <w:tcW w:w="2205" w:type="dxa"/>
            <w:shd w:val="clear" w:color="000000" w:fill="auto"/>
            <w:noWrap/>
            <w:vAlign w:val="center"/>
            <w:hideMark/>
          </w:tcPr>
          <w:p w14:paraId="2D406BCA"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3.20%</w:t>
            </w:r>
          </w:p>
        </w:tc>
        <w:tc>
          <w:tcPr>
            <w:tcW w:w="2295" w:type="dxa"/>
            <w:shd w:val="clear" w:color="000000" w:fill="auto"/>
            <w:noWrap/>
            <w:vAlign w:val="center"/>
            <w:hideMark/>
          </w:tcPr>
          <w:p w14:paraId="1B73FF8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$1,073,501</w:t>
            </w:r>
          </w:p>
        </w:tc>
        <w:tc>
          <w:tcPr>
            <w:tcW w:w="2160" w:type="dxa"/>
            <w:shd w:val="clear" w:color="000000" w:fill="auto"/>
            <w:noWrap/>
            <w:vAlign w:val="center"/>
            <w:hideMark/>
          </w:tcPr>
          <w:p w14:paraId="4C1D802E"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0.71%</w:t>
            </w:r>
          </w:p>
        </w:tc>
      </w:tr>
      <w:tr w:rsidR="00F303E0" w:rsidRPr="00EE5714" w14:paraId="777A00D5" w14:textId="77777777" w:rsidTr="00EC5F68">
        <w:trPr>
          <w:trHeight w:hRule="exact" w:val="245"/>
        </w:trPr>
        <w:tc>
          <w:tcPr>
            <w:tcW w:w="1620" w:type="dxa"/>
            <w:shd w:val="clear" w:color="000000" w:fill="auto"/>
            <w:vAlign w:val="center"/>
          </w:tcPr>
          <w:p w14:paraId="6B1A0E2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2013</w:t>
            </w:r>
          </w:p>
        </w:tc>
        <w:tc>
          <w:tcPr>
            <w:tcW w:w="2160" w:type="dxa"/>
            <w:shd w:val="clear" w:color="000000" w:fill="auto"/>
            <w:noWrap/>
            <w:vAlign w:val="center"/>
            <w:hideMark/>
          </w:tcPr>
          <w:p w14:paraId="619E178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$4,050,249</w:t>
            </w:r>
          </w:p>
        </w:tc>
        <w:tc>
          <w:tcPr>
            <w:tcW w:w="2205" w:type="dxa"/>
            <w:shd w:val="clear" w:color="000000" w:fill="auto"/>
            <w:noWrap/>
            <w:vAlign w:val="center"/>
            <w:hideMark/>
          </w:tcPr>
          <w:p w14:paraId="08F89D30"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2.90%</w:t>
            </w:r>
          </w:p>
        </w:tc>
        <w:tc>
          <w:tcPr>
            <w:tcW w:w="2295" w:type="dxa"/>
            <w:shd w:val="clear" w:color="000000" w:fill="auto"/>
            <w:noWrap/>
            <w:vAlign w:val="center"/>
            <w:hideMark/>
          </w:tcPr>
          <w:p w14:paraId="44B2EE7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$964,919</w:t>
            </w:r>
          </w:p>
        </w:tc>
        <w:tc>
          <w:tcPr>
            <w:tcW w:w="2160" w:type="dxa"/>
            <w:shd w:val="clear" w:color="000000" w:fill="auto"/>
            <w:noWrap/>
            <w:vAlign w:val="center"/>
            <w:hideMark/>
          </w:tcPr>
          <w:p w14:paraId="1F721AC7"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0.69%</w:t>
            </w:r>
          </w:p>
        </w:tc>
      </w:tr>
      <w:tr w:rsidR="00F303E0" w:rsidRPr="00EE5714" w14:paraId="58D7D469" w14:textId="77777777" w:rsidTr="00EC5F68">
        <w:trPr>
          <w:trHeight w:hRule="exact" w:val="245"/>
        </w:trPr>
        <w:tc>
          <w:tcPr>
            <w:tcW w:w="1620" w:type="dxa"/>
            <w:shd w:val="clear" w:color="000000" w:fill="auto"/>
            <w:vAlign w:val="center"/>
          </w:tcPr>
          <w:p w14:paraId="1E7EE29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2014</w:t>
            </w:r>
          </w:p>
        </w:tc>
        <w:tc>
          <w:tcPr>
            <w:tcW w:w="2160" w:type="dxa"/>
            <w:shd w:val="clear" w:color="000000" w:fill="auto"/>
            <w:noWrap/>
            <w:vAlign w:val="center"/>
            <w:hideMark/>
          </w:tcPr>
          <w:p w14:paraId="04C7946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$3,923,847</w:t>
            </w:r>
          </w:p>
        </w:tc>
        <w:tc>
          <w:tcPr>
            <w:tcW w:w="2205" w:type="dxa"/>
            <w:shd w:val="clear" w:color="000000" w:fill="auto"/>
            <w:noWrap/>
            <w:vAlign w:val="center"/>
            <w:hideMark/>
          </w:tcPr>
          <w:p w14:paraId="7794C2DA"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2.86%</w:t>
            </w:r>
          </w:p>
        </w:tc>
        <w:tc>
          <w:tcPr>
            <w:tcW w:w="2295" w:type="dxa"/>
            <w:shd w:val="clear" w:color="000000" w:fill="auto"/>
            <w:noWrap/>
            <w:vAlign w:val="center"/>
            <w:hideMark/>
          </w:tcPr>
          <w:p w14:paraId="21040F12"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$998,328</w:t>
            </w:r>
          </w:p>
        </w:tc>
        <w:tc>
          <w:tcPr>
            <w:tcW w:w="2160" w:type="dxa"/>
            <w:shd w:val="clear" w:color="000000" w:fill="auto"/>
            <w:noWrap/>
            <w:vAlign w:val="center"/>
            <w:hideMark/>
          </w:tcPr>
          <w:p w14:paraId="33C2F257"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0.73%</w:t>
            </w:r>
          </w:p>
        </w:tc>
      </w:tr>
      <w:tr w:rsidR="00F303E0" w:rsidRPr="00EE5714" w14:paraId="6F759130" w14:textId="77777777" w:rsidTr="00EC5F68">
        <w:trPr>
          <w:trHeight w:hRule="exact" w:val="245"/>
        </w:trPr>
        <w:tc>
          <w:tcPr>
            <w:tcW w:w="1620" w:type="dxa"/>
            <w:shd w:val="clear" w:color="000000" w:fill="auto"/>
            <w:vAlign w:val="center"/>
          </w:tcPr>
          <w:p w14:paraId="6AFCB40E"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2015</w:t>
            </w:r>
          </w:p>
        </w:tc>
        <w:tc>
          <w:tcPr>
            <w:tcW w:w="2160" w:type="dxa"/>
            <w:shd w:val="clear" w:color="000000" w:fill="auto"/>
            <w:noWrap/>
            <w:vAlign w:val="center"/>
            <w:hideMark/>
          </w:tcPr>
          <w:p w14:paraId="7B947D3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$3,846,100</w:t>
            </w:r>
          </w:p>
        </w:tc>
        <w:tc>
          <w:tcPr>
            <w:tcW w:w="2205" w:type="dxa"/>
            <w:shd w:val="clear" w:color="000000" w:fill="auto"/>
            <w:noWrap/>
            <w:vAlign w:val="center"/>
            <w:hideMark/>
          </w:tcPr>
          <w:p w14:paraId="0A9471D6"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2.22%</w:t>
            </w:r>
          </w:p>
        </w:tc>
        <w:tc>
          <w:tcPr>
            <w:tcW w:w="2295" w:type="dxa"/>
            <w:shd w:val="clear" w:color="000000" w:fill="auto"/>
            <w:noWrap/>
            <w:vAlign w:val="center"/>
            <w:hideMark/>
          </w:tcPr>
          <w:p w14:paraId="7BDFE3E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$1,355,800</w:t>
            </w:r>
          </w:p>
        </w:tc>
        <w:tc>
          <w:tcPr>
            <w:tcW w:w="2160" w:type="dxa"/>
            <w:shd w:val="clear" w:color="000000" w:fill="auto"/>
            <w:noWrap/>
            <w:vAlign w:val="center"/>
            <w:hideMark/>
          </w:tcPr>
          <w:p w14:paraId="5736E17E"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0.78%</w:t>
            </w:r>
          </w:p>
        </w:tc>
      </w:tr>
      <w:tr w:rsidR="00F303E0" w:rsidRPr="00EE5714" w14:paraId="624114C2" w14:textId="77777777" w:rsidTr="00EC5F68">
        <w:trPr>
          <w:trHeight w:hRule="exact" w:val="245"/>
        </w:trPr>
        <w:tc>
          <w:tcPr>
            <w:tcW w:w="1620" w:type="dxa"/>
            <w:shd w:val="clear" w:color="000000" w:fill="auto"/>
            <w:vAlign w:val="center"/>
          </w:tcPr>
          <w:p w14:paraId="0C4FC64B"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2016</w:t>
            </w:r>
          </w:p>
        </w:tc>
        <w:tc>
          <w:tcPr>
            <w:tcW w:w="2160" w:type="dxa"/>
            <w:shd w:val="clear" w:color="000000" w:fill="auto"/>
            <w:noWrap/>
            <w:vAlign w:val="center"/>
            <w:hideMark/>
          </w:tcPr>
          <w:p w14:paraId="6B76D56E"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$4,403,138</w:t>
            </w:r>
          </w:p>
        </w:tc>
        <w:tc>
          <w:tcPr>
            <w:tcW w:w="2205" w:type="dxa"/>
            <w:shd w:val="clear" w:color="000000" w:fill="auto"/>
            <w:noWrap/>
            <w:vAlign w:val="center"/>
            <w:hideMark/>
          </w:tcPr>
          <w:p w14:paraId="48E6C0EA"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2.39%</w:t>
            </w:r>
          </w:p>
        </w:tc>
        <w:tc>
          <w:tcPr>
            <w:tcW w:w="2295" w:type="dxa"/>
            <w:shd w:val="clear" w:color="000000" w:fill="auto"/>
            <w:noWrap/>
            <w:vAlign w:val="center"/>
            <w:hideMark/>
          </w:tcPr>
          <w:p w14:paraId="5783B6D6"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$1,779,980</w:t>
            </w:r>
          </w:p>
        </w:tc>
        <w:tc>
          <w:tcPr>
            <w:tcW w:w="2160" w:type="dxa"/>
            <w:shd w:val="clear" w:color="000000" w:fill="auto"/>
            <w:noWrap/>
            <w:vAlign w:val="center"/>
            <w:hideMark/>
          </w:tcPr>
          <w:p w14:paraId="730A03CF"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0.97%</w:t>
            </w:r>
          </w:p>
        </w:tc>
      </w:tr>
      <w:tr w:rsidR="00F303E0" w:rsidRPr="00EE5714" w14:paraId="3EECF133" w14:textId="77777777" w:rsidTr="00EC5F68">
        <w:trPr>
          <w:trHeight w:hRule="exact" w:val="245"/>
        </w:trPr>
        <w:tc>
          <w:tcPr>
            <w:tcW w:w="1620" w:type="dxa"/>
            <w:shd w:val="clear" w:color="000000" w:fill="F2F2F2" w:themeFill="background1" w:themeFillShade="F2"/>
            <w:vAlign w:val="bottom"/>
          </w:tcPr>
          <w:p w14:paraId="75C63A5A"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PPL</w:t>
            </w:r>
          </w:p>
        </w:tc>
        <w:tc>
          <w:tcPr>
            <w:tcW w:w="2160" w:type="dxa"/>
            <w:shd w:val="clear" w:color="000000" w:fill="F2F2F2" w:themeFill="background1" w:themeFillShade="F2"/>
            <w:noWrap/>
            <w:vAlign w:val="center"/>
            <w:hideMark/>
          </w:tcPr>
          <w:p w14:paraId="50B993C4" w14:textId="77777777" w:rsidR="00F303E0" w:rsidRPr="00EE5714" w:rsidRDefault="00F303E0" w:rsidP="00851815">
            <w:pPr>
              <w:keepNext/>
              <w:jc w:val="center"/>
              <w:rPr>
                <w:rFonts w:ascii="Calibri" w:eastAsia="Times New Roman" w:hAnsi="Calibri" w:cs="Calibri"/>
                <w:color w:val="000000"/>
                <w:sz w:val="21"/>
                <w:szCs w:val="21"/>
              </w:rPr>
            </w:pPr>
          </w:p>
        </w:tc>
        <w:tc>
          <w:tcPr>
            <w:tcW w:w="2205" w:type="dxa"/>
            <w:shd w:val="clear" w:color="000000" w:fill="F2F2F2" w:themeFill="background1" w:themeFillShade="F2"/>
            <w:noWrap/>
            <w:vAlign w:val="center"/>
            <w:hideMark/>
          </w:tcPr>
          <w:p w14:paraId="7A66B6D1" w14:textId="77777777" w:rsidR="00F303E0" w:rsidRPr="00EE5714" w:rsidRDefault="00F303E0" w:rsidP="00851815">
            <w:pPr>
              <w:keepNext/>
              <w:jc w:val="center"/>
              <w:rPr>
                <w:rFonts w:ascii="Calibri" w:eastAsia="Times New Roman" w:hAnsi="Calibri" w:cs="Calibri"/>
                <w:bCs/>
                <w:color w:val="000000"/>
                <w:sz w:val="21"/>
                <w:szCs w:val="21"/>
              </w:rPr>
            </w:pPr>
          </w:p>
        </w:tc>
        <w:tc>
          <w:tcPr>
            <w:tcW w:w="2295" w:type="dxa"/>
            <w:shd w:val="clear" w:color="000000" w:fill="F2F2F2" w:themeFill="background1" w:themeFillShade="F2"/>
            <w:noWrap/>
            <w:vAlign w:val="center"/>
            <w:hideMark/>
          </w:tcPr>
          <w:p w14:paraId="5180705A" w14:textId="77777777" w:rsidR="00F303E0" w:rsidRPr="00EE5714" w:rsidRDefault="00F303E0" w:rsidP="00851815">
            <w:pPr>
              <w:keepNext/>
              <w:jc w:val="center"/>
              <w:rPr>
                <w:rFonts w:ascii="Calibri" w:eastAsia="Times New Roman" w:hAnsi="Calibri" w:cs="Calibri"/>
                <w:color w:val="000000"/>
                <w:sz w:val="21"/>
                <w:szCs w:val="21"/>
              </w:rPr>
            </w:pPr>
          </w:p>
        </w:tc>
        <w:tc>
          <w:tcPr>
            <w:tcW w:w="2160" w:type="dxa"/>
            <w:shd w:val="clear" w:color="000000" w:fill="F2F2F2" w:themeFill="background1" w:themeFillShade="F2"/>
            <w:noWrap/>
            <w:vAlign w:val="center"/>
            <w:hideMark/>
          </w:tcPr>
          <w:p w14:paraId="4763136C" w14:textId="77777777" w:rsidR="00F303E0" w:rsidRPr="00EE5714" w:rsidRDefault="00F303E0" w:rsidP="00851815">
            <w:pPr>
              <w:keepNext/>
              <w:jc w:val="center"/>
              <w:rPr>
                <w:rFonts w:ascii="Calibri" w:eastAsia="Times New Roman" w:hAnsi="Calibri" w:cs="Calibri"/>
                <w:bCs/>
                <w:color w:val="000000"/>
                <w:sz w:val="21"/>
                <w:szCs w:val="21"/>
              </w:rPr>
            </w:pPr>
          </w:p>
        </w:tc>
      </w:tr>
      <w:tr w:rsidR="00F303E0" w:rsidRPr="00EE5714" w14:paraId="681C2C6A" w14:textId="77777777" w:rsidTr="00EC5F68">
        <w:trPr>
          <w:trHeight w:hRule="exact" w:val="245"/>
        </w:trPr>
        <w:tc>
          <w:tcPr>
            <w:tcW w:w="1620" w:type="dxa"/>
            <w:shd w:val="clear" w:color="000000" w:fill="auto"/>
            <w:vAlign w:val="center"/>
          </w:tcPr>
          <w:p w14:paraId="22EDF8A3"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2012</w:t>
            </w:r>
          </w:p>
        </w:tc>
        <w:tc>
          <w:tcPr>
            <w:tcW w:w="2160" w:type="dxa"/>
            <w:shd w:val="clear" w:color="000000" w:fill="auto"/>
            <w:noWrap/>
            <w:vAlign w:val="center"/>
            <w:hideMark/>
          </w:tcPr>
          <w:p w14:paraId="1E68472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$18,143,704</w:t>
            </w:r>
          </w:p>
        </w:tc>
        <w:tc>
          <w:tcPr>
            <w:tcW w:w="2205" w:type="dxa"/>
            <w:shd w:val="clear" w:color="000000" w:fill="auto"/>
            <w:noWrap/>
            <w:vAlign w:val="center"/>
            <w:hideMark/>
          </w:tcPr>
          <w:p w14:paraId="217E7704"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1.14%</w:t>
            </w:r>
          </w:p>
        </w:tc>
        <w:tc>
          <w:tcPr>
            <w:tcW w:w="2295" w:type="dxa"/>
            <w:shd w:val="clear" w:color="000000" w:fill="auto"/>
            <w:noWrap/>
            <w:vAlign w:val="center"/>
            <w:hideMark/>
          </w:tcPr>
          <w:p w14:paraId="0BA891BF"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$61,844,995</w:t>
            </w:r>
          </w:p>
        </w:tc>
        <w:tc>
          <w:tcPr>
            <w:tcW w:w="2160" w:type="dxa"/>
            <w:shd w:val="clear" w:color="000000" w:fill="auto"/>
            <w:noWrap/>
            <w:vAlign w:val="center"/>
            <w:hideMark/>
          </w:tcPr>
          <w:p w14:paraId="5CEC1631"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3.90%</w:t>
            </w:r>
          </w:p>
        </w:tc>
      </w:tr>
      <w:tr w:rsidR="00F303E0" w:rsidRPr="00EE5714" w14:paraId="0100A8B3" w14:textId="77777777" w:rsidTr="00EC5F68">
        <w:trPr>
          <w:trHeight w:hRule="exact" w:val="245"/>
        </w:trPr>
        <w:tc>
          <w:tcPr>
            <w:tcW w:w="1620" w:type="dxa"/>
            <w:shd w:val="clear" w:color="000000" w:fill="auto"/>
            <w:vAlign w:val="center"/>
          </w:tcPr>
          <w:p w14:paraId="1BE0DDD0"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2013</w:t>
            </w:r>
          </w:p>
        </w:tc>
        <w:tc>
          <w:tcPr>
            <w:tcW w:w="2160" w:type="dxa"/>
            <w:shd w:val="clear" w:color="000000" w:fill="auto"/>
            <w:noWrap/>
            <w:vAlign w:val="center"/>
            <w:hideMark/>
          </w:tcPr>
          <w:p w14:paraId="1CAA3F58"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$17,617,784</w:t>
            </w:r>
          </w:p>
        </w:tc>
        <w:tc>
          <w:tcPr>
            <w:tcW w:w="2205" w:type="dxa"/>
            <w:shd w:val="clear" w:color="000000" w:fill="auto"/>
            <w:noWrap/>
            <w:vAlign w:val="center"/>
            <w:hideMark/>
          </w:tcPr>
          <w:p w14:paraId="4A4CD116"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1.01%</w:t>
            </w:r>
          </w:p>
        </w:tc>
        <w:tc>
          <w:tcPr>
            <w:tcW w:w="2295" w:type="dxa"/>
            <w:shd w:val="clear" w:color="000000" w:fill="auto"/>
            <w:noWrap/>
            <w:vAlign w:val="center"/>
            <w:hideMark/>
          </w:tcPr>
          <w:p w14:paraId="7FFE02B8"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$65,872,581</w:t>
            </w:r>
          </w:p>
        </w:tc>
        <w:tc>
          <w:tcPr>
            <w:tcW w:w="2160" w:type="dxa"/>
            <w:shd w:val="clear" w:color="000000" w:fill="auto"/>
            <w:noWrap/>
            <w:vAlign w:val="center"/>
            <w:hideMark/>
          </w:tcPr>
          <w:p w14:paraId="4EBB42DB"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3.77%</w:t>
            </w:r>
          </w:p>
        </w:tc>
      </w:tr>
      <w:tr w:rsidR="00F303E0" w:rsidRPr="00EE5714" w14:paraId="1A3A6213" w14:textId="77777777" w:rsidTr="00EC5F68">
        <w:trPr>
          <w:trHeight w:hRule="exact" w:val="245"/>
        </w:trPr>
        <w:tc>
          <w:tcPr>
            <w:tcW w:w="1620" w:type="dxa"/>
            <w:shd w:val="clear" w:color="000000" w:fill="auto"/>
            <w:vAlign w:val="center"/>
          </w:tcPr>
          <w:p w14:paraId="1154860A"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2014</w:t>
            </w:r>
          </w:p>
        </w:tc>
        <w:tc>
          <w:tcPr>
            <w:tcW w:w="2160" w:type="dxa"/>
            <w:shd w:val="clear" w:color="000000" w:fill="auto"/>
            <w:noWrap/>
            <w:vAlign w:val="center"/>
            <w:hideMark/>
          </w:tcPr>
          <w:p w14:paraId="72A6EB26"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$19,161,432</w:t>
            </w:r>
          </w:p>
        </w:tc>
        <w:tc>
          <w:tcPr>
            <w:tcW w:w="2205" w:type="dxa"/>
            <w:shd w:val="clear" w:color="000000" w:fill="auto"/>
            <w:noWrap/>
            <w:vAlign w:val="center"/>
            <w:hideMark/>
          </w:tcPr>
          <w:p w14:paraId="0897FB05"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0.99%</w:t>
            </w:r>
          </w:p>
        </w:tc>
        <w:tc>
          <w:tcPr>
            <w:tcW w:w="2295" w:type="dxa"/>
            <w:shd w:val="clear" w:color="000000" w:fill="auto"/>
            <w:noWrap/>
            <w:vAlign w:val="center"/>
            <w:hideMark/>
          </w:tcPr>
          <w:p w14:paraId="4985A165"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$68,105,839</w:t>
            </w:r>
          </w:p>
        </w:tc>
        <w:tc>
          <w:tcPr>
            <w:tcW w:w="2160" w:type="dxa"/>
            <w:shd w:val="clear" w:color="000000" w:fill="auto"/>
            <w:noWrap/>
            <w:vAlign w:val="center"/>
            <w:hideMark/>
          </w:tcPr>
          <w:p w14:paraId="268D6A79"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3.53%</w:t>
            </w:r>
          </w:p>
        </w:tc>
      </w:tr>
      <w:tr w:rsidR="00F303E0" w:rsidRPr="00EE5714" w14:paraId="48BD5805" w14:textId="77777777" w:rsidTr="00EC5F68">
        <w:trPr>
          <w:trHeight w:hRule="exact" w:val="245"/>
        </w:trPr>
        <w:tc>
          <w:tcPr>
            <w:tcW w:w="1620" w:type="dxa"/>
            <w:shd w:val="clear" w:color="000000" w:fill="auto"/>
            <w:vAlign w:val="center"/>
          </w:tcPr>
          <w:p w14:paraId="4CD13CA2"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2015</w:t>
            </w:r>
          </w:p>
        </w:tc>
        <w:tc>
          <w:tcPr>
            <w:tcW w:w="2160" w:type="dxa"/>
            <w:shd w:val="clear" w:color="000000" w:fill="auto"/>
            <w:noWrap/>
            <w:vAlign w:val="center"/>
            <w:hideMark/>
          </w:tcPr>
          <w:p w14:paraId="120FE281"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$22,412,561</w:t>
            </w:r>
          </w:p>
        </w:tc>
        <w:tc>
          <w:tcPr>
            <w:tcW w:w="2205" w:type="dxa"/>
            <w:shd w:val="clear" w:color="000000" w:fill="auto"/>
            <w:noWrap/>
            <w:vAlign w:val="center"/>
            <w:hideMark/>
          </w:tcPr>
          <w:p w14:paraId="06712591"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1.11%</w:t>
            </w:r>
          </w:p>
        </w:tc>
        <w:tc>
          <w:tcPr>
            <w:tcW w:w="2295" w:type="dxa"/>
            <w:shd w:val="clear" w:color="000000" w:fill="auto"/>
            <w:noWrap/>
            <w:vAlign w:val="center"/>
            <w:hideMark/>
          </w:tcPr>
          <w:p w14:paraId="3DBACFB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$66,174,920</w:t>
            </w:r>
          </w:p>
        </w:tc>
        <w:tc>
          <w:tcPr>
            <w:tcW w:w="2160" w:type="dxa"/>
            <w:shd w:val="clear" w:color="000000" w:fill="auto"/>
            <w:noWrap/>
            <w:vAlign w:val="center"/>
            <w:hideMark/>
          </w:tcPr>
          <w:p w14:paraId="42BF877B"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3.26%</w:t>
            </w:r>
          </w:p>
        </w:tc>
      </w:tr>
      <w:tr w:rsidR="00F303E0" w:rsidRPr="00EE5714" w14:paraId="216155C0" w14:textId="77777777" w:rsidTr="00EC5F68">
        <w:trPr>
          <w:trHeight w:hRule="exact" w:val="245"/>
        </w:trPr>
        <w:tc>
          <w:tcPr>
            <w:tcW w:w="1620" w:type="dxa"/>
            <w:shd w:val="clear" w:color="000000" w:fill="auto"/>
            <w:vAlign w:val="center"/>
          </w:tcPr>
          <w:p w14:paraId="22E6859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2016</w:t>
            </w:r>
          </w:p>
        </w:tc>
        <w:tc>
          <w:tcPr>
            <w:tcW w:w="2160" w:type="dxa"/>
            <w:shd w:val="clear" w:color="000000" w:fill="auto"/>
            <w:noWrap/>
            <w:vAlign w:val="center"/>
            <w:hideMark/>
          </w:tcPr>
          <w:p w14:paraId="009FE08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$22,619,415</w:t>
            </w:r>
          </w:p>
        </w:tc>
        <w:tc>
          <w:tcPr>
            <w:tcW w:w="2205" w:type="dxa"/>
            <w:shd w:val="clear" w:color="000000" w:fill="auto"/>
            <w:noWrap/>
            <w:vAlign w:val="center"/>
            <w:hideMark/>
          </w:tcPr>
          <w:p w14:paraId="10755963"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1.11%</w:t>
            </w:r>
          </w:p>
        </w:tc>
        <w:tc>
          <w:tcPr>
            <w:tcW w:w="2295" w:type="dxa"/>
            <w:shd w:val="clear" w:color="000000" w:fill="auto"/>
            <w:noWrap/>
            <w:vAlign w:val="center"/>
            <w:hideMark/>
          </w:tcPr>
          <w:p w14:paraId="00F2E33E"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$78,760,112</w:t>
            </w:r>
          </w:p>
        </w:tc>
        <w:tc>
          <w:tcPr>
            <w:tcW w:w="2160" w:type="dxa"/>
            <w:shd w:val="clear" w:color="000000" w:fill="auto"/>
            <w:noWrap/>
            <w:vAlign w:val="center"/>
            <w:hideMark/>
          </w:tcPr>
          <w:p w14:paraId="010469F4"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3.86%</w:t>
            </w:r>
          </w:p>
        </w:tc>
      </w:tr>
      <w:tr w:rsidR="00F303E0" w:rsidRPr="00EE5714" w14:paraId="464F7C1B" w14:textId="77777777" w:rsidTr="00EC5F68">
        <w:trPr>
          <w:trHeight w:hRule="exact" w:val="245"/>
        </w:trPr>
        <w:tc>
          <w:tcPr>
            <w:tcW w:w="1620" w:type="dxa"/>
            <w:shd w:val="clear" w:color="000000" w:fill="F2F2F2" w:themeFill="background1" w:themeFillShade="F2"/>
            <w:vAlign w:val="bottom"/>
          </w:tcPr>
          <w:p w14:paraId="2E237280"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hAnsi="Calibri" w:cs="Calibri"/>
                <w:b/>
                <w:sz w:val="21"/>
                <w:szCs w:val="21"/>
              </w:rPr>
              <w:t>West Penn</w:t>
            </w:r>
          </w:p>
        </w:tc>
        <w:tc>
          <w:tcPr>
            <w:tcW w:w="2160" w:type="dxa"/>
            <w:shd w:val="clear" w:color="000000" w:fill="F2F2F2" w:themeFill="background1" w:themeFillShade="F2"/>
            <w:noWrap/>
            <w:vAlign w:val="center"/>
            <w:hideMark/>
          </w:tcPr>
          <w:p w14:paraId="20EC73D7" w14:textId="77777777" w:rsidR="00F303E0" w:rsidRPr="00EE5714" w:rsidRDefault="00F303E0" w:rsidP="00851815">
            <w:pPr>
              <w:keepNext/>
              <w:jc w:val="center"/>
              <w:rPr>
                <w:rFonts w:ascii="Calibri" w:eastAsia="Times New Roman" w:hAnsi="Calibri" w:cs="Calibri"/>
                <w:color w:val="000000"/>
                <w:sz w:val="21"/>
                <w:szCs w:val="21"/>
              </w:rPr>
            </w:pPr>
          </w:p>
        </w:tc>
        <w:tc>
          <w:tcPr>
            <w:tcW w:w="2205" w:type="dxa"/>
            <w:shd w:val="clear" w:color="000000" w:fill="F2F2F2" w:themeFill="background1" w:themeFillShade="F2"/>
            <w:noWrap/>
            <w:vAlign w:val="center"/>
            <w:hideMark/>
          </w:tcPr>
          <w:p w14:paraId="2A24C2B1" w14:textId="77777777" w:rsidR="00F303E0" w:rsidRPr="00EE5714" w:rsidRDefault="00F303E0" w:rsidP="00851815">
            <w:pPr>
              <w:keepNext/>
              <w:jc w:val="center"/>
              <w:rPr>
                <w:rFonts w:ascii="Calibri" w:eastAsia="Times New Roman" w:hAnsi="Calibri" w:cs="Calibri"/>
                <w:bCs/>
                <w:color w:val="000000"/>
                <w:sz w:val="21"/>
                <w:szCs w:val="21"/>
              </w:rPr>
            </w:pPr>
          </w:p>
        </w:tc>
        <w:tc>
          <w:tcPr>
            <w:tcW w:w="2295" w:type="dxa"/>
            <w:shd w:val="clear" w:color="000000" w:fill="F2F2F2" w:themeFill="background1" w:themeFillShade="F2"/>
            <w:noWrap/>
            <w:vAlign w:val="center"/>
            <w:hideMark/>
          </w:tcPr>
          <w:p w14:paraId="5F4DD3FE" w14:textId="77777777" w:rsidR="00F303E0" w:rsidRPr="00EE5714" w:rsidRDefault="00F303E0" w:rsidP="00851815">
            <w:pPr>
              <w:keepNext/>
              <w:jc w:val="center"/>
              <w:rPr>
                <w:rFonts w:ascii="Calibri" w:eastAsia="Times New Roman" w:hAnsi="Calibri" w:cs="Calibri"/>
                <w:color w:val="000000"/>
                <w:sz w:val="21"/>
                <w:szCs w:val="21"/>
              </w:rPr>
            </w:pPr>
          </w:p>
        </w:tc>
        <w:tc>
          <w:tcPr>
            <w:tcW w:w="2160" w:type="dxa"/>
            <w:shd w:val="clear" w:color="000000" w:fill="F2F2F2" w:themeFill="background1" w:themeFillShade="F2"/>
            <w:noWrap/>
            <w:vAlign w:val="center"/>
            <w:hideMark/>
          </w:tcPr>
          <w:p w14:paraId="47CAB35B" w14:textId="77777777" w:rsidR="00F303E0" w:rsidRPr="00EE5714" w:rsidRDefault="00F303E0" w:rsidP="00851815">
            <w:pPr>
              <w:keepNext/>
              <w:jc w:val="center"/>
              <w:rPr>
                <w:rFonts w:ascii="Calibri" w:eastAsia="Times New Roman" w:hAnsi="Calibri" w:cs="Calibri"/>
                <w:bCs/>
                <w:color w:val="000000"/>
                <w:sz w:val="21"/>
                <w:szCs w:val="21"/>
              </w:rPr>
            </w:pPr>
          </w:p>
        </w:tc>
      </w:tr>
      <w:tr w:rsidR="00F303E0" w:rsidRPr="00EE5714" w14:paraId="761E09D8" w14:textId="77777777" w:rsidTr="00EC5F68">
        <w:trPr>
          <w:trHeight w:hRule="exact" w:val="245"/>
        </w:trPr>
        <w:tc>
          <w:tcPr>
            <w:tcW w:w="1620" w:type="dxa"/>
            <w:shd w:val="clear" w:color="000000" w:fill="auto"/>
            <w:vAlign w:val="center"/>
          </w:tcPr>
          <w:p w14:paraId="7258EDAC"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2012</w:t>
            </w:r>
          </w:p>
        </w:tc>
        <w:tc>
          <w:tcPr>
            <w:tcW w:w="2160" w:type="dxa"/>
            <w:shd w:val="clear" w:color="000000" w:fill="auto"/>
            <w:noWrap/>
            <w:vAlign w:val="center"/>
            <w:hideMark/>
          </w:tcPr>
          <w:p w14:paraId="58A2E5D4"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$4,362,384</w:t>
            </w:r>
          </w:p>
        </w:tc>
        <w:tc>
          <w:tcPr>
            <w:tcW w:w="2205" w:type="dxa"/>
            <w:shd w:val="clear" w:color="000000" w:fill="auto"/>
            <w:noWrap/>
            <w:vAlign w:val="center"/>
            <w:hideMark/>
          </w:tcPr>
          <w:p w14:paraId="7C57EA14"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0.84%</w:t>
            </w:r>
          </w:p>
        </w:tc>
        <w:tc>
          <w:tcPr>
            <w:tcW w:w="2295" w:type="dxa"/>
            <w:shd w:val="clear" w:color="000000" w:fill="auto"/>
            <w:noWrap/>
            <w:vAlign w:val="center"/>
            <w:hideMark/>
          </w:tcPr>
          <w:p w14:paraId="53BBE8F7"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$6,227,461</w:t>
            </w:r>
          </w:p>
        </w:tc>
        <w:tc>
          <w:tcPr>
            <w:tcW w:w="2160" w:type="dxa"/>
            <w:shd w:val="clear" w:color="000000" w:fill="auto"/>
            <w:noWrap/>
            <w:vAlign w:val="center"/>
            <w:hideMark/>
          </w:tcPr>
          <w:p w14:paraId="6AE5348E"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1.20%</w:t>
            </w:r>
          </w:p>
        </w:tc>
      </w:tr>
      <w:tr w:rsidR="00F303E0" w:rsidRPr="00EE5714" w14:paraId="3F4D1663" w14:textId="77777777" w:rsidTr="00EC5F68">
        <w:trPr>
          <w:trHeight w:hRule="exact" w:val="245"/>
        </w:trPr>
        <w:tc>
          <w:tcPr>
            <w:tcW w:w="1620" w:type="dxa"/>
            <w:shd w:val="clear" w:color="000000" w:fill="auto"/>
            <w:vAlign w:val="center"/>
          </w:tcPr>
          <w:p w14:paraId="796C90C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2013</w:t>
            </w:r>
          </w:p>
        </w:tc>
        <w:tc>
          <w:tcPr>
            <w:tcW w:w="2160" w:type="dxa"/>
            <w:shd w:val="clear" w:color="000000" w:fill="auto"/>
            <w:noWrap/>
            <w:vAlign w:val="center"/>
            <w:hideMark/>
          </w:tcPr>
          <w:p w14:paraId="54FB6FD2"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$8,218,767</w:t>
            </w:r>
          </w:p>
        </w:tc>
        <w:tc>
          <w:tcPr>
            <w:tcW w:w="2205" w:type="dxa"/>
            <w:shd w:val="clear" w:color="000000" w:fill="auto"/>
            <w:noWrap/>
            <w:vAlign w:val="center"/>
            <w:hideMark/>
          </w:tcPr>
          <w:p w14:paraId="4CFDAE6B"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1.65%</w:t>
            </w:r>
          </w:p>
        </w:tc>
        <w:tc>
          <w:tcPr>
            <w:tcW w:w="2295" w:type="dxa"/>
            <w:shd w:val="clear" w:color="000000" w:fill="auto"/>
            <w:noWrap/>
            <w:vAlign w:val="center"/>
            <w:hideMark/>
          </w:tcPr>
          <w:p w14:paraId="3B1924A0"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$4,206,199</w:t>
            </w:r>
          </w:p>
        </w:tc>
        <w:tc>
          <w:tcPr>
            <w:tcW w:w="2160" w:type="dxa"/>
            <w:shd w:val="clear" w:color="000000" w:fill="auto"/>
            <w:noWrap/>
            <w:vAlign w:val="center"/>
            <w:hideMark/>
          </w:tcPr>
          <w:p w14:paraId="4E9EDB3A"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0.84%</w:t>
            </w:r>
          </w:p>
        </w:tc>
      </w:tr>
      <w:tr w:rsidR="00F303E0" w:rsidRPr="00EE5714" w14:paraId="08A598BE" w14:textId="77777777" w:rsidTr="00EC5F68">
        <w:trPr>
          <w:trHeight w:hRule="exact" w:val="245"/>
        </w:trPr>
        <w:tc>
          <w:tcPr>
            <w:tcW w:w="1620" w:type="dxa"/>
            <w:shd w:val="clear" w:color="000000" w:fill="auto"/>
            <w:vAlign w:val="center"/>
          </w:tcPr>
          <w:p w14:paraId="0B60B766"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2014</w:t>
            </w:r>
          </w:p>
        </w:tc>
        <w:tc>
          <w:tcPr>
            <w:tcW w:w="2160" w:type="dxa"/>
            <w:shd w:val="clear" w:color="000000" w:fill="auto"/>
            <w:noWrap/>
            <w:vAlign w:val="center"/>
            <w:hideMark/>
          </w:tcPr>
          <w:p w14:paraId="186878F5"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$10,145,570</w:t>
            </w:r>
          </w:p>
        </w:tc>
        <w:tc>
          <w:tcPr>
            <w:tcW w:w="2205" w:type="dxa"/>
            <w:shd w:val="clear" w:color="000000" w:fill="auto"/>
            <w:noWrap/>
            <w:vAlign w:val="center"/>
            <w:hideMark/>
          </w:tcPr>
          <w:p w14:paraId="7AF50B9E"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1.95%</w:t>
            </w:r>
          </w:p>
        </w:tc>
        <w:tc>
          <w:tcPr>
            <w:tcW w:w="2295" w:type="dxa"/>
            <w:shd w:val="clear" w:color="000000" w:fill="auto"/>
            <w:noWrap/>
            <w:vAlign w:val="center"/>
            <w:hideMark/>
          </w:tcPr>
          <w:p w14:paraId="25CBAA94"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$4,220,365</w:t>
            </w:r>
          </w:p>
        </w:tc>
        <w:tc>
          <w:tcPr>
            <w:tcW w:w="2160" w:type="dxa"/>
            <w:shd w:val="clear" w:color="000000" w:fill="auto"/>
            <w:noWrap/>
            <w:vAlign w:val="center"/>
            <w:hideMark/>
          </w:tcPr>
          <w:p w14:paraId="115BC51D"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0.81%</w:t>
            </w:r>
          </w:p>
        </w:tc>
      </w:tr>
      <w:tr w:rsidR="00F303E0" w:rsidRPr="00EE5714" w14:paraId="228204BD" w14:textId="77777777" w:rsidTr="00EC5F68">
        <w:trPr>
          <w:trHeight w:hRule="exact" w:val="245"/>
        </w:trPr>
        <w:tc>
          <w:tcPr>
            <w:tcW w:w="1620" w:type="dxa"/>
            <w:shd w:val="clear" w:color="000000" w:fill="auto"/>
            <w:vAlign w:val="center"/>
          </w:tcPr>
          <w:p w14:paraId="53E17522"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hAnsi="Calibri" w:cs="Calibri"/>
                <w:b/>
                <w:sz w:val="21"/>
                <w:szCs w:val="21"/>
              </w:rPr>
              <w:t>2015</w:t>
            </w:r>
          </w:p>
        </w:tc>
        <w:tc>
          <w:tcPr>
            <w:tcW w:w="2160" w:type="dxa"/>
            <w:shd w:val="clear" w:color="000000" w:fill="auto"/>
            <w:noWrap/>
            <w:vAlign w:val="center"/>
            <w:hideMark/>
          </w:tcPr>
          <w:p w14:paraId="0B577777" w14:textId="77777777" w:rsidR="00F303E0" w:rsidRPr="00EE5714" w:rsidRDefault="00F303E0" w:rsidP="00851815">
            <w:pPr>
              <w:keepNext/>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$10,341,255</w:t>
            </w:r>
          </w:p>
        </w:tc>
        <w:tc>
          <w:tcPr>
            <w:tcW w:w="2205" w:type="dxa"/>
            <w:shd w:val="clear" w:color="000000" w:fill="auto"/>
            <w:noWrap/>
            <w:vAlign w:val="center"/>
            <w:hideMark/>
          </w:tcPr>
          <w:p w14:paraId="358EC91A"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1.69%</w:t>
            </w:r>
          </w:p>
        </w:tc>
        <w:tc>
          <w:tcPr>
            <w:tcW w:w="2295" w:type="dxa"/>
            <w:shd w:val="clear" w:color="000000" w:fill="auto"/>
            <w:noWrap/>
            <w:vAlign w:val="center"/>
            <w:hideMark/>
          </w:tcPr>
          <w:p w14:paraId="41C5BF1D" w14:textId="77777777" w:rsidR="00F303E0" w:rsidRPr="00EE5714" w:rsidRDefault="00F303E0" w:rsidP="00851815">
            <w:pPr>
              <w:keepNext/>
              <w:jc w:val="center"/>
              <w:rPr>
                <w:rFonts w:ascii="Calibri" w:eastAsia="Times New Roman" w:hAnsi="Calibri" w:cs="Calibri"/>
                <w:sz w:val="21"/>
                <w:szCs w:val="21"/>
              </w:rPr>
            </w:pPr>
            <w:r w:rsidRPr="00EE5714">
              <w:rPr>
                <w:rFonts w:ascii="Calibri" w:eastAsia="Times New Roman" w:hAnsi="Calibri" w:cs="Calibri"/>
                <w:sz w:val="21"/>
                <w:szCs w:val="21"/>
              </w:rPr>
              <w:t>$5,470,722</w:t>
            </w:r>
          </w:p>
        </w:tc>
        <w:tc>
          <w:tcPr>
            <w:tcW w:w="2160" w:type="dxa"/>
            <w:shd w:val="clear" w:color="000000" w:fill="auto"/>
            <w:noWrap/>
            <w:vAlign w:val="center"/>
            <w:hideMark/>
          </w:tcPr>
          <w:p w14:paraId="5A419F1D" w14:textId="77777777" w:rsidR="00F303E0" w:rsidRPr="00EE5714" w:rsidRDefault="00F303E0" w:rsidP="00851815">
            <w:pPr>
              <w:keepNext/>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0.89%</w:t>
            </w:r>
          </w:p>
        </w:tc>
      </w:tr>
      <w:tr w:rsidR="00F303E0" w:rsidRPr="00EE5714" w14:paraId="32FE3E6F" w14:textId="77777777" w:rsidTr="00EC5F68">
        <w:trPr>
          <w:trHeight w:hRule="exact" w:val="245"/>
        </w:trPr>
        <w:tc>
          <w:tcPr>
            <w:tcW w:w="1620" w:type="dxa"/>
            <w:shd w:val="clear" w:color="000000" w:fill="auto"/>
            <w:vAlign w:val="center"/>
          </w:tcPr>
          <w:p w14:paraId="70FC7B08" w14:textId="77777777" w:rsidR="00F303E0" w:rsidRPr="00EE5714" w:rsidRDefault="00F303E0" w:rsidP="00851815">
            <w:pPr>
              <w:jc w:val="center"/>
              <w:rPr>
                <w:rFonts w:ascii="Calibri" w:eastAsia="Times New Roman" w:hAnsi="Calibri" w:cs="Calibri"/>
                <w:b/>
                <w:color w:val="000000"/>
                <w:sz w:val="21"/>
                <w:szCs w:val="21"/>
              </w:rPr>
            </w:pPr>
            <w:r w:rsidRPr="00EE5714">
              <w:rPr>
                <w:rFonts w:ascii="Calibri" w:hAnsi="Calibri" w:cs="Calibri"/>
                <w:b/>
                <w:sz w:val="21"/>
                <w:szCs w:val="21"/>
              </w:rPr>
              <w:t>2016</w:t>
            </w:r>
          </w:p>
        </w:tc>
        <w:tc>
          <w:tcPr>
            <w:tcW w:w="2160" w:type="dxa"/>
            <w:shd w:val="clear" w:color="000000" w:fill="auto"/>
            <w:noWrap/>
            <w:vAlign w:val="center"/>
            <w:hideMark/>
          </w:tcPr>
          <w:p w14:paraId="2108E0D6" w14:textId="77777777" w:rsidR="00F303E0" w:rsidRPr="00EE5714" w:rsidRDefault="00F303E0" w:rsidP="00851815">
            <w:pPr>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$10,782,090</w:t>
            </w:r>
          </w:p>
        </w:tc>
        <w:tc>
          <w:tcPr>
            <w:tcW w:w="2205" w:type="dxa"/>
            <w:shd w:val="clear" w:color="000000" w:fill="auto"/>
            <w:noWrap/>
            <w:vAlign w:val="center"/>
            <w:hideMark/>
          </w:tcPr>
          <w:p w14:paraId="6CA64031" w14:textId="77777777" w:rsidR="00F303E0" w:rsidRPr="00EE5714" w:rsidRDefault="00F303E0" w:rsidP="00851815">
            <w:pPr>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1.63%</w:t>
            </w:r>
          </w:p>
        </w:tc>
        <w:tc>
          <w:tcPr>
            <w:tcW w:w="2295" w:type="dxa"/>
            <w:shd w:val="clear" w:color="000000" w:fill="auto"/>
            <w:noWrap/>
            <w:vAlign w:val="center"/>
            <w:hideMark/>
          </w:tcPr>
          <w:p w14:paraId="40F97875" w14:textId="77777777" w:rsidR="00F303E0" w:rsidRPr="00EE5714" w:rsidRDefault="00F303E0" w:rsidP="00851815">
            <w:pPr>
              <w:jc w:val="center"/>
              <w:rPr>
                <w:rFonts w:ascii="Calibri" w:eastAsia="Times New Roman" w:hAnsi="Calibri" w:cs="Calibri"/>
                <w:sz w:val="21"/>
                <w:szCs w:val="21"/>
              </w:rPr>
            </w:pPr>
            <w:r w:rsidRPr="00EE5714">
              <w:rPr>
                <w:rFonts w:ascii="Calibri" w:eastAsia="Times New Roman" w:hAnsi="Calibri" w:cs="Calibri"/>
                <w:sz w:val="21"/>
                <w:szCs w:val="21"/>
              </w:rPr>
              <w:t>$6,822,278</w:t>
            </w:r>
          </w:p>
        </w:tc>
        <w:tc>
          <w:tcPr>
            <w:tcW w:w="2160" w:type="dxa"/>
            <w:shd w:val="clear" w:color="000000" w:fill="auto"/>
            <w:noWrap/>
            <w:vAlign w:val="center"/>
            <w:hideMark/>
          </w:tcPr>
          <w:p w14:paraId="3D8F06A2" w14:textId="77777777" w:rsidR="00F303E0" w:rsidRPr="00EE5714" w:rsidRDefault="00F303E0" w:rsidP="00851815">
            <w:pPr>
              <w:jc w:val="center"/>
              <w:rPr>
                <w:rFonts w:ascii="Calibri" w:eastAsia="Times New Roman" w:hAnsi="Calibri" w:cs="Calibri"/>
                <w:bCs/>
                <w:color w:val="000000"/>
                <w:sz w:val="21"/>
                <w:szCs w:val="21"/>
              </w:rPr>
            </w:pPr>
            <w:r w:rsidRPr="00EE5714">
              <w:rPr>
                <w:rFonts w:ascii="Calibri" w:eastAsia="Times New Roman" w:hAnsi="Calibri" w:cs="Calibri"/>
                <w:bCs/>
                <w:color w:val="000000"/>
                <w:sz w:val="21"/>
                <w:szCs w:val="21"/>
              </w:rPr>
              <w:t>1.03%</w:t>
            </w:r>
          </w:p>
        </w:tc>
      </w:tr>
      <w:bookmarkEnd w:id="78"/>
    </w:tbl>
    <w:p w14:paraId="0E2E0C40" w14:textId="77777777" w:rsidR="007D7895" w:rsidRDefault="007D7895" w:rsidP="00121A2D">
      <w:pPr>
        <w:pStyle w:val="NoSpacing"/>
        <w:rPr>
          <w:rFonts w:cs="Times New Roman"/>
          <w:i/>
          <w:color w:val="000000" w:themeColor="text1"/>
          <w:szCs w:val="26"/>
        </w:rPr>
      </w:pPr>
    </w:p>
    <w:p w14:paraId="6334142B" w14:textId="7D201D58" w:rsidR="00071E2B" w:rsidRDefault="00F734A0" w:rsidP="007D7895">
      <w:pPr>
        <w:pStyle w:val="NoSpacing"/>
        <w:keepNext/>
        <w:rPr>
          <w:rFonts w:cs="Times New Roman"/>
          <w:i/>
          <w:color w:val="000000" w:themeColor="text1"/>
          <w:szCs w:val="26"/>
        </w:rPr>
      </w:pPr>
      <w:r w:rsidRPr="00EE5714">
        <w:rPr>
          <w:rFonts w:cs="Times New Roman"/>
          <w:i/>
          <w:color w:val="000000" w:themeColor="text1"/>
          <w:szCs w:val="26"/>
        </w:rPr>
        <w:lastRenderedPageBreak/>
        <w:t>Appendix 7</w:t>
      </w:r>
      <w:r w:rsidR="00F303E0" w:rsidRPr="00EE5714">
        <w:rPr>
          <w:rFonts w:cs="Times New Roman"/>
          <w:i/>
          <w:color w:val="000000" w:themeColor="text1"/>
          <w:szCs w:val="26"/>
        </w:rPr>
        <w:t xml:space="preserve">.D: Tables 8-5 and 8-7 NGDC CLI Customers Debt </w:t>
      </w:r>
    </w:p>
    <w:p w14:paraId="5FF6A603" w14:textId="035C2ACD" w:rsidR="00F303E0" w:rsidRPr="00EE5714" w:rsidRDefault="00F734A0" w:rsidP="00121A2D">
      <w:pPr>
        <w:pStyle w:val="NoSpacing"/>
        <w:keepNext/>
        <w:rPr>
          <w:rFonts w:cs="Times New Roman"/>
          <w:szCs w:val="26"/>
        </w:rPr>
      </w:pPr>
      <w:r w:rsidRPr="00EE5714">
        <w:rPr>
          <w:rFonts w:cs="Times New Roman"/>
          <w:szCs w:val="26"/>
        </w:rPr>
        <w:t>Appendix 7</w:t>
      </w:r>
      <w:r w:rsidR="00F303E0" w:rsidRPr="00EE5714">
        <w:rPr>
          <w:rFonts w:cs="Times New Roman"/>
          <w:szCs w:val="26"/>
        </w:rPr>
        <w:t xml:space="preserve">.D.1: </w:t>
      </w:r>
      <w:r w:rsidR="00F303E0" w:rsidRPr="00EE5714">
        <w:rPr>
          <w:rFonts w:eastAsia="Times New Roman" w:cs="Times New Roman"/>
          <w:b/>
          <w:bCs/>
          <w:color w:val="000000"/>
          <w:szCs w:val="26"/>
        </w:rPr>
        <w:t>NGDC Confirmed Low-Income Customers Debt &amp; Debt Ratios</w:t>
      </w:r>
    </w:p>
    <w:tbl>
      <w:tblPr>
        <w:tblW w:w="10620" w:type="dxa"/>
        <w:tblInd w:w="-640" w:type="dxa"/>
        <w:tblLayout w:type="fixed"/>
        <w:tblLook w:val="04A0" w:firstRow="1" w:lastRow="0" w:firstColumn="1" w:lastColumn="0" w:noHBand="0" w:noVBand="1"/>
      </w:tblPr>
      <w:tblGrid>
        <w:gridCol w:w="1350"/>
        <w:gridCol w:w="2070"/>
        <w:gridCol w:w="2160"/>
        <w:gridCol w:w="2520"/>
        <w:gridCol w:w="2520"/>
      </w:tblGrid>
      <w:tr w:rsidR="009C4649" w:rsidRPr="00EE5714" w14:paraId="2066BEC9" w14:textId="77777777" w:rsidTr="00840960">
        <w:trPr>
          <w:trHeight w:val="349"/>
        </w:trPr>
        <w:tc>
          <w:tcPr>
            <w:tcW w:w="135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D0E85EF" w14:textId="07CA56B6" w:rsidR="00F303E0" w:rsidRPr="00EE5714" w:rsidRDefault="00F303E0" w:rsidP="00AD505B">
            <w:pPr>
              <w:keepNext/>
              <w:spacing w:after="0" w:line="240" w:lineRule="auto"/>
              <w:jc w:val="center"/>
              <w:rPr>
                <w:rFonts w:ascii="Calibri" w:eastAsia="Times New Roman" w:hAnsi="Calibri" w:cs="Calibri"/>
                <w:color w:val="000000"/>
                <w:sz w:val="21"/>
                <w:szCs w:val="21"/>
              </w:rPr>
            </w:pPr>
          </w:p>
        </w:tc>
        <w:tc>
          <w:tcPr>
            <w:tcW w:w="2070" w:type="dxa"/>
            <w:tcBorders>
              <w:top w:val="single" w:sz="4" w:space="0" w:color="000000"/>
              <w:bottom w:val="single" w:sz="4" w:space="0" w:color="000000"/>
              <w:right w:val="single" w:sz="4" w:space="0" w:color="000000"/>
            </w:tcBorders>
            <w:shd w:val="clear" w:color="auto" w:fill="auto"/>
            <w:noWrap/>
            <w:vAlign w:val="center"/>
            <w:hideMark/>
          </w:tcPr>
          <w:p w14:paraId="3135221A" w14:textId="30662374" w:rsidR="00F303E0" w:rsidRPr="009B2D77" w:rsidRDefault="00F30D20" w:rsidP="00AD505B">
            <w:pPr>
              <w:keepNext/>
              <w:spacing w:after="0" w:line="240" w:lineRule="auto"/>
              <w:jc w:val="center"/>
              <w:rPr>
                <w:rFonts w:ascii="Calibri" w:eastAsia="Times New Roman" w:hAnsi="Calibri" w:cs="Calibri"/>
                <w:color w:val="000000"/>
                <w:sz w:val="20"/>
                <w:szCs w:val="20"/>
              </w:rPr>
            </w:pPr>
            <w:r>
              <w:rPr>
                <w:rFonts w:ascii="Calibri" w:eastAsia="Times New Roman" w:hAnsi="Calibri" w:cs="Calibri"/>
                <w:b/>
                <w:color w:val="000000"/>
                <w:sz w:val="20"/>
                <w:szCs w:val="20"/>
              </w:rPr>
              <w:t xml:space="preserve">Dollars in </w:t>
            </w:r>
            <w:r w:rsidR="00F303E0" w:rsidRPr="009B2D77">
              <w:rPr>
                <w:rFonts w:ascii="Calibri" w:eastAsia="Times New Roman" w:hAnsi="Calibri" w:cs="Calibri"/>
                <w:b/>
                <w:color w:val="000000"/>
                <w:sz w:val="20"/>
                <w:szCs w:val="20"/>
              </w:rPr>
              <w:t>Debt on Agreement</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6A1815" w14:textId="77777777" w:rsidR="00F303E0" w:rsidRPr="009B2D77" w:rsidRDefault="00F303E0" w:rsidP="00AD505B">
            <w:pPr>
              <w:keepNext/>
              <w:spacing w:after="0" w:line="240" w:lineRule="auto"/>
              <w:jc w:val="center"/>
              <w:rPr>
                <w:rFonts w:ascii="Calibri" w:eastAsia="Times New Roman" w:hAnsi="Calibri" w:cs="Calibri"/>
                <w:b/>
                <w:color w:val="000000"/>
                <w:sz w:val="20"/>
                <w:szCs w:val="20"/>
              </w:rPr>
            </w:pPr>
            <w:r w:rsidRPr="009B2D77">
              <w:rPr>
                <w:rFonts w:ascii="Calibri" w:eastAsia="Times New Roman" w:hAnsi="Calibri" w:cs="Calibri"/>
                <w:b/>
                <w:color w:val="000000"/>
                <w:sz w:val="20"/>
                <w:szCs w:val="20"/>
              </w:rPr>
              <w:t>Debt Ratio on Agreement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2AD943" w14:textId="5D7036CA" w:rsidR="00F303E0" w:rsidRPr="009B2D77" w:rsidRDefault="00F303E0" w:rsidP="00AD505B">
            <w:pPr>
              <w:keepNext/>
              <w:spacing w:after="0" w:line="240" w:lineRule="auto"/>
              <w:jc w:val="center"/>
              <w:rPr>
                <w:rFonts w:ascii="Calibri" w:eastAsia="Times New Roman" w:hAnsi="Calibri" w:cs="Calibri"/>
                <w:color w:val="000000"/>
                <w:sz w:val="20"/>
                <w:szCs w:val="20"/>
              </w:rPr>
            </w:pPr>
            <w:r w:rsidRPr="009B2D77">
              <w:rPr>
                <w:rFonts w:ascii="Calibri" w:eastAsia="Times New Roman" w:hAnsi="Calibri" w:cs="Calibri"/>
                <w:b/>
                <w:color w:val="000000"/>
                <w:sz w:val="20"/>
                <w:szCs w:val="20"/>
              </w:rPr>
              <w:t>D</w:t>
            </w:r>
            <w:r w:rsidR="00F30D20">
              <w:rPr>
                <w:rFonts w:ascii="Calibri" w:eastAsia="Times New Roman" w:hAnsi="Calibri" w:cs="Calibri"/>
                <w:b/>
                <w:color w:val="000000"/>
                <w:sz w:val="20"/>
                <w:szCs w:val="20"/>
              </w:rPr>
              <w:t xml:space="preserve">ollars in </w:t>
            </w:r>
            <w:r>
              <w:rPr>
                <w:rFonts w:ascii="Calibri" w:eastAsia="Times New Roman" w:hAnsi="Calibri" w:cs="Calibri"/>
                <w:b/>
                <w:color w:val="000000"/>
                <w:sz w:val="20"/>
                <w:szCs w:val="20"/>
              </w:rPr>
              <w:t>Debt</w:t>
            </w:r>
            <w:r w:rsidRPr="009B2D77">
              <w:rPr>
                <w:rFonts w:ascii="Calibri" w:eastAsia="Times New Roman" w:hAnsi="Calibri" w:cs="Calibri"/>
                <w:b/>
                <w:color w:val="000000"/>
                <w:sz w:val="20"/>
                <w:szCs w:val="20"/>
              </w:rPr>
              <w:t xml:space="preserve"> Not on Agreement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DDADF1" w14:textId="5DA18BFC" w:rsidR="00F303E0" w:rsidRPr="009B2D77" w:rsidRDefault="00F303E0" w:rsidP="00AD505B">
            <w:pPr>
              <w:keepNext/>
              <w:spacing w:after="0" w:line="240" w:lineRule="auto"/>
              <w:jc w:val="center"/>
              <w:rPr>
                <w:rFonts w:ascii="Calibri" w:eastAsia="Times New Roman" w:hAnsi="Calibri" w:cs="Calibri"/>
                <w:b/>
                <w:color w:val="000000"/>
                <w:sz w:val="20"/>
                <w:szCs w:val="20"/>
              </w:rPr>
            </w:pPr>
            <w:r w:rsidRPr="009B2D77">
              <w:rPr>
                <w:rFonts w:ascii="Calibri" w:eastAsia="Times New Roman" w:hAnsi="Calibri" w:cs="Calibri"/>
                <w:b/>
                <w:color w:val="000000"/>
                <w:sz w:val="20"/>
                <w:szCs w:val="20"/>
              </w:rPr>
              <w:t xml:space="preserve">Debt Ratio Not </w:t>
            </w:r>
            <w:r w:rsidR="009B2D77">
              <w:rPr>
                <w:rFonts w:ascii="Calibri" w:eastAsia="Times New Roman" w:hAnsi="Calibri" w:cs="Calibri"/>
                <w:b/>
                <w:bCs/>
                <w:color w:val="000000"/>
                <w:sz w:val="20"/>
                <w:szCs w:val="20"/>
              </w:rPr>
              <w:t>o</w:t>
            </w:r>
            <w:r w:rsidRPr="009B2D77">
              <w:rPr>
                <w:rFonts w:ascii="Calibri" w:eastAsia="Times New Roman" w:hAnsi="Calibri" w:cs="Calibri"/>
                <w:b/>
                <w:bCs/>
                <w:color w:val="000000"/>
                <w:sz w:val="20"/>
                <w:szCs w:val="20"/>
              </w:rPr>
              <w:t>n</w:t>
            </w:r>
            <w:r w:rsidRPr="009B2D77">
              <w:rPr>
                <w:rFonts w:ascii="Calibri" w:eastAsia="Times New Roman" w:hAnsi="Calibri" w:cs="Calibri"/>
                <w:b/>
                <w:color w:val="000000"/>
                <w:sz w:val="20"/>
                <w:szCs w:val="20"/>
              </w:rPr>
              <w:t xml:space="preserve"> Agreement</w:t>
            </w:r>
          </w:p>
        </w:tc>
      </w:tr>
      <w:tr w:rsidR="00323C84" w:rsidRPr="00EE5714" w14:paraId="57163DCA"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center"/>
          </w:tcPr>
          <w:p w14:paraId="20B1DC65" w14:textId="77777777" w:rsidR="00F303E0" w:rsidRPr="00EE5714" w:rsidRDefault="00F303E0" w:rsidP="00D07EA7">
            <w:pPr>
              <w:keepNext/>
              <w:spacing w:line="240" w:lineRule="auto"/>
              <w:rPr>
                <w:rFonts w:ascii="Calibri" w:eastAsia="Times New Roman" w:hAnsi="Calibri" w:cs="Calibri"/>
                <w:sz w:val="20"/>
                <w:szCs w:val="20"/>
              </w:rPr>
            </w:pPr>
            <w:r w:rsidRPr="00EE5714">
              <w:rPr>
                <w:rFonts w:ascii="Calibri" w:eastAsia="Times New Roman" w:hAnsi="Calibri" w:cs="Calibri"/>
                <w:b/>
                <w:color w:val="000000"/>
                <w:sz w:val="20"/>
                <w:szCs w:val="20"/>
              </w:rPr>
              <w:t>Columbia</w:t>
            </w:r>
          </w:p>
        </w:tc>
        <w:tc>
          <w:tcPr>
            <w:tcW w:w="2070" w:type="dxa"/>
            <w:tcBorders>
              <w:top w:val="nil"/>
              <w:left w:val="single" w:sz="8" w:space="0" w:color="000000"/>
              <w:bottom w:val="single" w:sz="4" w:space="0" w:color="000000"/>
              <w:right w:val="single" w:sz="4" w:space="0" w:color="000000"/>
            </w:tcBorders>
            <w:shd w:val="clear" w:color="auto" w:fill="F2F2F2" w:themeFill="background1" w:themeFillShade="F2"/>
            <w:noWrap/>
            <w:vAlign w:val="center"/>
          </w:tcPr>
          <w:p w14:paraId="6260CB15" w14:textId="77777777" w:rsidR="00F303E0" w:rsidRPr="00EE5714" w:rsidRDefault="00F303E0" w:rsidP="00A01043">
            <w:pPr>
              <w:keepNext/>
              <w:spacing w:line="240" w:lineRule="auto"/>
              <w:jc w:val="center"/>
              <w:rPr>
                <w:rFonts w:ascii="Calibri" w:eastAsia="Times New Roman" w:hAnsi="Calibri" w:cs="Calibri"/>
                <w:sz w:val="20"/>
                <w:szCs w:val="20"/>
              </w:rPr>
            </w:pPr>
          </w:p>
        </w:tc>
        <w:tc>
          <w:tcPr>
            <w:tcW w:w="2160" w:type="dxa"/>
            <w:tcBorders>
              <w:top w:val="nil"/>
              <w:left w:val="nil"/>
              <w:bottom w:val="single" w:sz="4" w:space="0" w:color="000000"/>
              <w:right w:val="single" w:sz="4" w:space="0" w:color="000000"/>
            </w:tcBorders>
            <w:shd w:val="clear" w:color="auto" w:fill="F2F2F2" w:themeFill="background1" w:themeFillShade="F2"/>
            <w:noWrap/>
            <w:vAlign w:val="center"/>
          </w:tcPr>
          <w:p w14:paraId="365BCDE7" w14:textId="77777777" w:rsidR="00F303E0" w:rsidRPr="00EE5714" w:rsidRDefault="00F303E0" w:rsidP="00A01043">
            <w:pPr>
              <w:keepNext/>
              <w:spacing w:line="240" w:lineRule="auto"/>
              <w:jc w:val="center"/>
              <w:rPr>
                <w:rFonts w:ascii="Calibri" w:eastAsia="Times New Roman" w:hAnsi="Calibri" w:cs="Calibri"/>
                <w:sz w:val="20"/>
                <w:szCs w:val="20"/>
              </w:rPr>
            </w:pPr>
          </w:p>
        </w:tc>
        <w:tc>
          <w:tcPr>
            <w:tcW w:w="2520" w:type="dxa"/>
            <w:tcBorders>
              <w:top w:val="nil"/>
              <w:left w:val="nil"/>
              <w:bottom w:val="single" w:sz="4" w:space="0" w:color="000000"/>
              <w:right w:val="single" w:sz="4" w:space="0" w:color="000000"/>
            </w:tcBorders>
            <w:shd w:val="clear" w:color="auto" w:fill="F2F2F2" w:themeFill="background1" w:themeFillShade="F2"/>
            <w:noWrap/>
            <w:vAlign w:val="center"/>
          </w:tcPr>
          <w:p w14:paraId="7AF6F89F" w14:textId="77777777" w:rsidR="00F303E0" w:rsidRPr="00EE5714" w:rsidRDefault="00F303E0" w:rsidP="00A01043">
            <w:pPr>
              <w:keepNext/>
              <w:spacing w:line="240" w:lineRule="auto"/>
              <w:jc w:val="center"/>
              <w:rPr>
                <w:rFonts w:ascii="Calibri" w:eastAsia="Times New Roman" w:hAnsi="Calibri" w:cs="Calibri"/>
                <w:sz w:val="20"/>
                <w:szCs w:val="20"/>
              </w:rPr>
            </w:pPr>
          </w:p>
        </w:tc>
        <w:tc>
          <w:tcPr>
            <w:tcW w:w="2520" w:type="dxa"/>
            <w:tcBorders>
              <w:top w:val="nil"/>
              <w:left w:val="nil"/>
              <w:bottom w:val="single" w:sz="4" w:space="0" w:color="000000"/>
              <w:right w:val="single" w:sz="8" w:space="0" w:color="000000"/>
            </w:tcBorders>
            <w:shd w:val="clear" w:color="auto" w:fill="F2F2F2" w:themeFill="background1" w:themeFillShade="F2"/>
            <w:noWrap/>
            <w:vAlign w:val="center"/>
          </w:tcPr>
          <w:p w14:paraId="6FACE691" w14:textId="77777777" w:rsidR="00F303E0" w:rsidRPr="00EE5714" w:rsidRDefault="00F303E0" w:rsidP="00A01043">
            <w:pPr>
              <w:keepNext/>
              <w:spacing w:line="240" w:lineRule="auto"/>
              <w:jc w:val="center"/>
              <w:rPr>
                <w:rFonts w:ascii="Calibri" w:eastAsia="Times New Roman" w:hAnsi="Calibri" w:cs="Calibri"/>
                <w:color w:val="000000"/>
                <w:sz w:val="20"/>
                <w:szCs w:val="20"/>
              </w:rPr>
            </w:pPr>
          </w:p>
        </w:tc>
      </w:tr>
      <w:tr w:rsidR="009C4649" w:rsidRPr="00EE5714" w14:paraId="11832245"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0B4D44A1"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2012</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2E4E8A97"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$3,164,943</w:t>
            </w:r>
          </w:p>
        </w:tc>
        <w:tc>
          <w:tcPr>
            <w:tcW w:w="2160" w:type="dxa"/>
            <w:tcBorders>
              <w:top w:val="nil"/>
              <w:left w:val="nil"/>
              <w:bottom w:val="single" w:sz="4" w:space="0" w:color="000000"/>
              <w:right w:val="single" w:sz="4" w:space="0" w:color="000000"/>
            </w:tcBorders>
            <w:shd w:val="clear" w:color="auto" w:fill="auto"/>
            <w:noWrap/>
            <w:vAlign w:val="center"/>
            <w:hideMark/>
          </w:tcPr>
          <w:p w14:paraId="16277BE1"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6.80%</w:t>
            </w:r>
          </w:p>
        </w:tc>
        <w:tc>
          <w:tcPr>
            <w:tcW w:w="2520" w:type="dxa"/>
            <w:tcBorders>
              <w:top w:val="nil"/>
              <w:left w:val="nil"/>
              <w:bottom w:val="single" w:sz="4" w:space="0" w:color="000000"/>
              <w:right w:val="single" w:sz="4" w:space="0" w:color="000000"/>
            </w:tcBorders>
            <w:shd w:val="clear" w:color="auto" w:fill="auto"/>
            <w:noWrap/>
            <w:vAlign w:val="center"/>
            <w:hideMark/>
          </w:tcPr>
          <w:p w14:paraId="03C822FC"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$1,121,775</w:t>
            </w:r>
          </w:p>
        </w:tc>
        <w:tc>
          <w:tcPr>
            <w:tcW w:w="2520" w:type="dxa"/>
            <w:tcBorders>
              <w:top w:val="nil"/>
              <w:left w:val="nil"/>
              <w:bottom w:val="single" w:sz="4" w:space="0" w:color="000000"/>
              <w:right w:val="single" w:sz="8" w:space="0" w:color="000000"/>
            </w:tcBorders>
            <w:shd w:val="clear" w:color="auto" w:fill="auto"/>
            <w:noWrap/>
            <w:vAlign w:val="center"/>
            <w:hideMark/>
          </w:tcPr>
          <w:p w14:paraId="2FF2D286"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2.41%</w:t>
            </w:r>
          </w:p>
        </w:tc>
      </w:tr>
      <w:tr w:rsidR="009C4649" w:rsidRPr="00EE5714" w14:paraId="0D95AF5D"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6EC65E65"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2013</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4B2044C6"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$5,282,905</w:t>
            </w:r>
          </w:p>
        </w:tc>
        <w:tc>
          <w:tcPr>
            <w:tcW w:w="2160" w:type="dxa"/>
            <w:tcBorders>
              <w:top w:val="nil"/>
              <w:left w:val="nil"/>
              <w:bottom w:val="single" w:sz="4" w:space="0" w:color="000000"/>
              <w:right w:val="single" w:sz="4" w:space="0" w:color="000000"/>
            </w:tcBorders>
            <w:shd w:val="clear" w:color="auto" w:fill="auto"/>
            <w:noWrap/>
            <w:vAlign w:val="center"/>
            <w:hideMark/>
          </w:tcPr>
          <w:p w14:paraId="2FFB31FA"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9.46%</w:t>
            </w:r>
          </w:p>
        </w:tc>
        <w:tc>
          <w:tcPr>
            <w:tcW w:w="2520" w:type="dxa"/>
            <w:tcBorders>
              <w:top w:val="nil"/>
              <w:left w:val="nil"/>
              <w:bottom w:val="single" w:sz="4" w:space="0" w:color="000000"/>
              <w:right w:val="single" w:sz="4" w:space="0" w:color="000000"/>
            </w:tcBorders>
            <w:shd w:val="clear" w:color="auto" w:fill="auto"/>
            <w:noWrap/>
            <w:vAlign w:val="center"/>
            <w:hideMark/>
          </w:tcPr>
          <w:p w14:paraId="52B919B0"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$628,897</w:t>
            </w:r>
          </w:p>
        </w:tc>
        <w:tc>
          <w:tcPr>
            <w:tcW w:w="2520" w:type="dxa"/>
            <w:tcBorders>
              <w:top w:val="nil"/>
              <w:left w:val="nil"/>
              <w:bottom w:val="single" w:sz="4" w:space="0" w:color="000000"/>
              <w:right w:val="single" w:sz="8" w:space="0" w:color="000000"/>
            </w:tcBorders>
            <w:shd w:val="clear" w:color="auto" w:fill="auto"/>
            <w:noWrap/>
            <w:vAlign w:val="center"/>
            <w:hideMark/>
          </w:tcPr>
          <w:p w14:paraId="221B54EC"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1.13%</w:t>
            </w:r>
          </w:p>
        </w:tc>
      </w:tr>
      <w:tr w:rsidR="009C4649" w:rsidRPr="00EE5714" w14:paraId="6102706C"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42753D28"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2014</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26B7EE1E"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$6,756,013</w:t>
            </w:r>
          </w:p>
        </w:tc>
        <w:tc>
          <w:tcPr>
            <w:tcW w:w="2160" w:type="dxa"/>
            <w:tcBorders>
              <w:top w:val="nil"/>
              <w:left w:val="nil"/>
              <w:bottom w:val="single" w:sz="4" w:space="0" w:color="000000"/>
              <w:right w:val="single" w:sz="4" w:space="0" w:color="000000"/>
            </w:tcBorders>
            <w:shd w:val="clear" w:color="auto" w:fill="auto"/>
            <w:noWrap/>
            <w:vAlign w:val="center"/>
            <w:hideMark/>
          </w:tcPr>
          <w:p w14:paraId="7936AC6B"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10.19%</w:t>
            </w:r>
          </w:p>
        </w:tc>
        <w:tc>
          <w:tcPr>
            <w:tcW w:w="2520" w:type="dxa"/>
            <w:tcBorders>
              <w:top w:val="nil"/>
              <w:left w:val="nil"/>
              <w:bottom w:val="single" w:sz="4" w:space="0" w:color="000000"/>
              <w:right w:val="single" w:sz="4" w:space="0" w:color="000000"/>
            </w:tcBorders>
            <w:shd w:val="clear" w:color="auto" w:fill="auto"/>
            <w:noWrap/>
            <w:vAlign w:val="center"/>
            <w:hideMark/>
          </w:tcPr>
          <w:p w14:paraId="41817590"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$1,159,968</w:t>
            </w:r>
          </w:p>
        </w:tc>
        <w:tc>
          <w:tcPr>
            <w:tcW w:w="2520" w:type="dxa"/>
            <w:tcBorders>
              <w:top w:val="nil"/>
              <w:left w:val="nil"/>
              <w:bottom w:val="single" w:sz="4" w:space="0" w:color="000000"/>
              <w:right w:val="single" w:sz="8" w:space="0" w:color="000000"/>
            </w:tcBorders>
            <w:shd w:val="clear" w:color="auto" w:fill="auto"/>
            <w:noWrap/>
            <w:vAlign w:val="center"/>
            <w:hideMark/>
          </w:tcPr>
          <w:p w14:paraId="1E87F659"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1.75%</w:t>
            </w:r>
          </w:p>
        </w:tc>
      </w:tr>
      <w:tr w:rsidR="009C4649" w:rsidRPr="00EE5714" w14:paraId="4644AD39"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359FD300"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2015</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4F6E72D4"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$7,232,765</w:t>
            </w:r>
          </w:p>
        </w:tc>
        <w:tc>
          <w:tcPr>
            <w:tcW w:w="2160" w:type="dxa"/>
            <w:tcBorders>
              <w:top w:val="nil"/>
              <w:left w:val="nil"/>
              <w:bottom w:val="single" w:sz="4" w:space="0" w:color="000000"/>
              <w:right w:val="single" w:sz="4" w:space="0" w:color="000000"/>
            </w:tcBorders>
            <w:shd w:val="clear" w:color="auto" w:fill="auto"/>
            <w:noWrap/>
            <w:vAlign w:val="center"/>
            <w:hideMark/>
          </w:tcPr>
          <w:p w14:paraId="5B3801F6"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10.92%</w:t>
            </w:r>
          </w:p>
        </w:tc>
        <w:tc>
          <w:tcPr>
            <w:tcW w:w="2520" w:type="dxa"/>
            <w:tcBorders>
              <w:top w:val="nil"/>
              <w:left w:val="nil"/>
              <w:bottom w:val="single" w:sz="4" w:space="0" w:color="000000"/>
              <w:right w:val="single" w:sz="4" w:space="0" w:color="000000"/>
            </w:tcBorders>
            <w:shd w:val="clear" w:color="auto" w:fill="auto"/>
            <w:noWrap/>
            <w:vAlign w:val="center"/>
            <w:hideMark/>
          </w:tcPr>
          <w:p w14:paraId="0EB01722"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$1,427,095</w:t>
            </w:r>
          </w:p>
        </w:tc>
        <w:tc>
          <w:tcPr>
            <w:tcW w:w="2520" w:type="dxa"/>
            <w:tcBorders>
              <w:top w:val="nil"/>
              <w:left w:val="nil"/>
              <w:bottom w:val="single" w:sz="4" w:space="0" w:color="000000"/>
              <w:right w:val="single" w:sz="8" w:space="0" w:color="000000"/>
            </w:tcBorders>
            <w:shd w:val="clear" w:color="auto" w:fill="auto"/>
            <w:noWrap/>
            <w:vAlign w:val="center"/>
            <w:hideMark/>
          </w:tcPr>
          <w:p w14:paraId="147421E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2.15%</w:t>
            </w:r>
          </w:p>
        </w:tc>
      </w:tr>
      <w:tr w:rsidR="009C4649" w:rsidRPr="00EE5714" w14:paraId="636833DF"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3B6408B"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2016</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11D6F05C"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$5,341,059</w:t>
            </w:r>
          </w:p>
        </w:tc>
        <w:tc>
          <w:tcPr>
            <w:tcW w:w="2160" w:type="dxa"/>
            <w:tcBorders>
              <w:top w:val="nil"/>
              <w:left w:val="nil"/>
              <w:bottom w:val="single" w:sz="4" w:space="0" w:color="000000"/>
              <w:right w:val="single" w:sz="4" w:space="0" w:color="000000"/>
            </w:tcBorders>
            <w:shd w:val="clear" w:color="auto" w:fill="auto"/>
            <w:noWrap/>
            <w:vAlign w:val="center"/>
            <w:hideMark/>
          </w:tcPr>
          <w:p w14:paraId="7DCFC76B"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9.33%</w:t>
            </w:r>
          </w:p>
        </w:tc>
        <w:tc>
          <w:tcPr>
            <w:tcW w:w="2520" w:type="dxa"/>
            <w:tcBorders>
              <w:top w:val="nil"/>
              <w:left w:val="nil"/>
              <w:bottom w:val="single" w:sz="4" w:space="0" w:color="000000"/>
              <w:right w:val="single" w:sz="4" w:space="0" w:color="000000"/>
            </w:tcBorders>
            <w:shd w:val="clear" w:color="auto" w:fill="auto"/>
            <w:noWrap/>
            <w:vAlign w:val="center"/>
            <w:hideMark/>
          </w:tcPr>
          <w:p w14:paraId="27225772"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$1,171,674</w:t>
            </w:r>
          </w:p>
        </w:tc>
        <w:tc>
          <w:tcPr>
            <w:tcW w:w="2520" w:type="dxa"/>
            <w:tcBorders>
              <w:top w:val="nil"/>
              <w:left w:val="nil"/>
              <w:bottom w:val="single" w:sz="4" w:space="0" w:color="000000"/>
              <w:right w:val="single" w:sz="8" w:space="0" w:color="000000"/>
            </w:tcBorders>
            <w:shd w:val="clear" w:color="auto" w:fill="auto"/>
            <w:noWrap/>
            <w:vAlign w:val="center"/>
            <w:hideMark/>
          </w:tcPr>
          <w:p w14:paraId="6B8188C1"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2.05%</w:t>
            </w:r>
          </w:p>
        </w:tc>
      </w:tr>
      <w:tr w:rsidR="00323C84" w:rsidRPr="00EE5714" w14:paraId="624D9716"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2F9AD13F" w14:textId="77777777" w:rsidR="00F303E0" w:rsidRPr="00EE5714" w:rsidRDefault="00F303E0" w:rsidP="00851815">
            <w:pPr>
              <w:keepNext/>
              <w:rPr>
                <w:rFonts w:ascii="Calibri" w:eastAsia="Times New Roman" w:hAnsi="Calibri" w:cs="Calibri"/>
                <w:color w:val="000000"/>
                <w:sz w:val="20"/>
                <w:szCs w:val="20"/>
              </w:rPr>
            </w:pPr>
            <w:r w:rsidRPr="00EE5714">
              <w:rPr>
                <w:rFonts w:ascii="Calibri" w:eastAsia="Times New Roman" w:hAnsi="Calibri" w:cs="Calibri"/>
                <w:b/>
                <w:color w:val="000000"/>
                <w:sz w:val="20"/>
                <w:szCs w:val="20"/>
              </w:rPr>
              <w:t>NFG</w:t>
            </w:r>
          </w:p>
        </w:tc>
        <w:tc>
          <w:tcPr>
            <w:tcW w:w="2070"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hideMark/>
          </w:tcPr>
          <w:p w14:paraId="615A328E" w14:textId="77777777" w:rsidR="00F303E0" w:rsidRPr="00EE5714" w:rsidRDefault="00F303E0" w:rsidP="00851815">
            <w:pPr>
              <w:keepNext/>
              <w:jc w:val="center"/>
              <w:rPr>
                <w:rFonts w:ascii="Calibri" w:eastAsia="Times New Roman" w:hAnsi="Calibri" w:cs="Calibri"/>
                <w:color w:val="000000"/>
                <w:sz w:val="20"/>
                <w:szCs w:val="20"/>
              </w:rPr>
            </w:pP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C52552A" w14:textId="77777777" w:rsidR="00F303E0" w:rsidRPr="00EE5714" w:rsidRDefault="00F303E0" w:rsidP="00851815">
            <w:pPr>
              <w:keepNext/>
              <w:jc w:val="center"/>
              <w:rPr>
                <w:rFonts w:ascii="Calibri" w:eastAsia="Times New Roman" w:hAnsi="Calibri" w:cs="Calibri"/>
                <w:color w:val="000000"/>
                <w:sz w:val="20"/>
                <w:szCs w:val="20"/>
              </w:rPr>
            </w:pPr>
          </w:p>
        </w:tc>
        <w:tc>
          <w:tcPr>
            <w:tcW w:w="252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5D9A1575" w14:textId="77777777" w:rsidR="00F303E0" w:rsidRPr="00EE5714" w:rsidRDefault="00F303E0" w:rsidP="00851815">
            <w:pPr>
              <w:keepNext/>
              <w:jc w:val="center"/>
              <w:rPr>
                <w:rFonts w:ascii="Calibri" w:eastAsia="Times New Roman" w:hAnsi="Calibri" w:cs="Calibri"/>
                <w:color w:val="000000"/>
                <w:sz w:val="20"/>
                <w:szCs w:val="20"/>
              </w:rPr>
            </w:pPr>
          </w:p>
        </w:tc>
        <w:tc>
          <w:tcPr>
            <w:tcW w:w="2520"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7B36043D" w14:textId="77777777" w:rsidR="00F303E0" w:rsidRPr="00EE5714" w:rsidRDefault="00F303E0" w:rsidP="00851815">
            <w:pPr>
              <w:keepNext/>
              <w:jc w:val="center"/>
              <w:rPr>
                <w:rFonts w:ascii="Calibri" w:eastAsia="Times New Roman" w:hAnsi="Calibri" w:cs="Calibri"/>
                <w:color w:val="000000"/>
                <w:sz w:val="20"/>
                <w:szCs w:val="20"/>
              </w:rPr>
            </w:pPr>
          </w:p>
        </w:tc>
      </w:tr>
      <w:tr w:rsidR="009C4649" w:rsidRPr="00EE5714" w14:paraId="68388646"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5AA1BCE"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2012</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79F98E7D"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$1,495,326</w:t>
            </w:r>
          </w:p>
        </w:tc>
        <w:tc>
          <w:tcPr>
            <w:tcW w:w="2160" w:type="dxa"/>
            <w:tcBorders>
              <w:top w:val="nil"/>
              <w:left w:val="nil"/>
              <w:bottom w:val="single" w:sz="4" w:space="0" w:color="000000"/>
              <w:right w:val="single" w:sz="4" w:space="0" w:color="000000"/>
            </w:tcBorders>
            <w:shd w:val="clear" w:color="auto" w:fill="auto"/>
            <w:noWrap/>
            <w:vAlign w:val="center"/>
            <w:hideMark/>
          </w:tcPr>
          <w:p w14:paraId="75DC5DBF"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8.35%</w:t>
            </w:r>
          </w:p>
        </w:tc>
        <w:tc>
          <w:tcPr>
            <w:tcW w:w="2520" w:type="dxa"/>
            <w:tcBorders>
              <w:top w:val="nil"/>
              <w:left w:val="nil"/>
              <w:bottom w:val="single" w:sz="4" w:space="0" w:color="000000"/>
              <w:right w:val="single" w:sz="4" w:space="0" w:color="000000"/>
            </w:tcBorders>
            <w:shd w:val="clear" w:color="auto" w:fill="auto"/>
            <w:noWrap/>
            <w:vAlign w:val="center"/>
            <w:hideMark/>
          </w:tcPr>
          <w:p w14:paraId="220570D5"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$858,526</w:t>
            </w:r>
          </w:p>
        </w:tc>
        <w:tc>
          <w:tcPr>
            <w:tcW w:w="2520" w:type="dxa"/>
            <w:tcBorders>
              <w:top w:val="nil"/>
              <w:left w:val="nil"/>
              <w:bottom w:val="single" w:sz="4" w:space="0" w:color="000000"/>
              <w:right w:val="single" w:sz="8" w:space="0" w:color="000000"/>
            </w:tcBorders>
            <w:shd w:val="clear" w:color="auto" w:fill="auto"/>
            <w:noWrap/>
            <w:vAlign w:val="center"/>
            <w:hideMark/>
          </w:tcPr>
          <w:p w14:paraId="45C66C60"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4.79%</w:t>
            </w:r>
          </w:p>
        </w:tc>
      </w:tr>
      <w:tr w:rsidR="009C4649" w:rsidRPr="00EE5714" w14:paraId="3A70C7F7"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B841EBE"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2013</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769C4DC4"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$1,229,077</w:t>
            </w:r>
          </w:p>
        </w:tc>
        <w:tc>
          <w:tcPr>
            <w:tcW w:w="2160" w:type="dxa"/>
            <w:tcBorders>
              <w:top w:val="nil"/>
              <w:left w:val="nil"/>
              <w:bottom w:val="single" w:sz="4" w:space="0" w:color="000000"/>
              <w:right w:val="single" w:sz="4" w:space="0" w:color="000000"/>
            </w:tcBorders>
            <w:shd w:val="clear" w:color="auto" w:fill="auto"/>
            <w:noWrap/>
            <w:vAlign w:val="center"/>
            <w:hideMark/>
          </w:tcPr>
          <w:p w14:paraId="656043E0"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6.33%</w:t>
            </w:r>
          </w:p>
        </w:tc>
        <w:tc>
          <w:tcPr>
            <w:tcW w:w="2520" w:type="dxa"/>
            <w:tcBorders>
              <w:top w:val="nil"/>
              <w:left w:val="nil"/>
              <w:bottom w:val="single" w:sz="4" w:space="0" w:color="000000"/>
              <w:right w:val="single" w:sz="4" w:space="0" w:color="000000"/>
            </w:tcBorders>
            <w:shd w:val="clear" w:color="auto" w:fill="auto"/>
            <w:noWrap/>
            <w:vAlign w:val="center"/>
            <w:hideMark/>
          </w:tcPr>
          <w:p w14:paraId="3918C2F7"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$915,782</w:t>
            </w:r>
          </w:p>
        </w:tc>
        <w:tc>
          <w:tcPr>
            <w:tcW w:w="2520" w:type="dxa"/>
            <w:tcBorders>
              <w:top w:val="nil"/>
              <w:left w:val="nil"/>
              <w:bottom w:val="single" w:sz="4" w:space="0" w:color="000000"/>
              <w:right w:val="single" w:sz="8" w:space="0" w:color="000000"/>
            </w:tcBorders>
            <w:shd w:val="clear" w:color="auto" w:fill="auto"/>
            <w:noWrap/>
            <w:vAlign w:val="center"/>
            <w:hideMark/>
          </w:tcPr>
          <w:p w14:paraId="05FC485D"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4.72%</w:t>
            </w:r>
          </w:p>
        </w:tc>
      </w:tr>
      <w:tr w:rsidR="009C4649" w:rsidRPr="00EE5714" w14:paraId="5E633229"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3B420B4"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2014</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0057684B"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$1,468,095</w:t>
            </w:r>
          </w:p>
        </w:tc>
        <w:tc>
          <w:tcPr>
            <w:tcW w:w="2160" w:type="dxa"/>
            <w:tcBorders>
              <w:top w:val="nil"/>
              <w:left w:val="nil"/>
              <w:bottom w:val="single" w:sz="4" w:space="0" w:color="000000"/>
              <w:right w:val="single" w:sz="4" w:space="0" w:color="000000"/>
            </w:tcBorders>
            <w:shd w:val="clear" w:color="auto" w:fill="auto"/>
            <w:noWrap/>
            <w:vAlign w:val="center"/>
            <w:hideMark/>
          </w:tcPr>
          <w:p w14:paraId="3448C2FD"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6.75%</w:t>
            </w:r>
          </w:p>
        </w:tc>
        <w:tc>
          <w:tcPr>
            <w:tcW w:w="2520" w:type="dxa"/>
            <w:tcBorders>
              <w:top w:val="nil"/>
              <w:left w:val="nil"/>
              <w:bottom w:val="single" w:sz="4" w:space="0" w:color="000000"/>
              <w:right w:val="single" w:sz="4" w:space="0" w:color="000000"/>
            </w:tcBorders>
            <w:shd w:val="clear" w:color="auto" w:fill="auto"/>
            <w:noWrap/>
            <w:vAlign w:val="center"/>
            <w:hideMark/>
          </w:tcPr>
          <w:p w14:paraId="666D3129"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$988,370</w:t>
            </w:r>
          </w:p>
        </w:tc>
        <w:tc>
          <w:tcPr>
            <w:tcW w:w="2520" w:type="dxa"/>
            <w:tcBorders>
              <w:top w:val="nil"/>
              <w:left w:val="nil"/>
              <w:bottom w:val="single" w:sz="4" w:space="0" w:color="000000"/>
              <w:right w:val="single" w:sz="8" w:space="0" w:color="000000"/>
            </w:tcBorders>
            <w:shd w:val="clear" w:color="auto" w:fill="auto"/>
            <w:noWrap/>
            <w:vAlign w:val="center"/>
            <w:hideMark/>
          </w:tcPr>
          <w:p w14:paraId="0603E48A"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4.54%</w:t>
            </w:r>
          </w:p>
        </w:tc>
      </w:tr>
      <w:tr w:rsidR="009C4649" w:rsidRPr="00EE5714" w14:paraId="67F05127"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E88394C"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2015</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6B0AC96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$1,496,516</w:t>
            </w:r>
          </w:p>
        </w:tc>
        <w:tc>
          <w:tcPr>
            <w:tcW w:w="2160" w:type="dxa"/>
            <w:tcBorders>
              <w:top w:val="nil"/>
              <w:left w:val="nil"/>
              <w:bottom w:val="single" w:sz="4" w:space="0" w:color="000000"/>
              <w:right w:val="single" w:sz="4" w:space="0" w:color="000000"/>
            </w:tcBorders>
            <w:shd w:val="clear" w:color="auto" w:fill="auto"/>
            <w:noWrap/>
            <w:vAlign w:val="center"/>
            <w:hideMark/>
          </w:tcPr>
          <w:p w14:paraId="17DCBE53"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8.78%</w:t>
            </w:r>
          </w:p>
        </w:tc>
        <w:tc>
          <w:tcPr>
            <w:tcW w:w="2520" w:type="dxa"/>
            <w:tcBorders>
              <w:top w:val="nil"/>
              <w:left w:val="nil"/>
              <w:bottom w:val="single" w:sz="4" w:space="0" w:color="000000"/>
              <w:right w:val="single" w:sz="4" w:space="0" w:color="000000"/>
            </w:tcBorders>
            <w:shd w:val="clear" w:color="auto" w:fill="auto"/>
            <w:noWrap/>
            <w:vAlign w:val="center"/>
            <w:hideMark/>
          </w:tcPr>
          <w:p w14:paraId="0A7E243D"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$981,719</w:t>
            </w:r>
          </w:p>
        </w:tc>
        <w:tc>
          <w:tcPr>
            <w:tcW w:w="2520" w:type="dxa"/>
            <w:tcBorders>
              <w:top w:val="nil"/>
              <w:left w:val="nil"/>
              <w:bottom w:val="single" w:sz="4" w:space="0" w:color="000000"/>
              <w:right w:val="single" w:sz="8" w:space="0" w:color="000000"/>
            </w:tcBorders>
            <w:shd w:val="clear" w:color="auto" w:fill="auto"/>
            <w:noWrap/>
            <w:vAlign w:val="center"/>
            <w:hideMark/>
          </w:tcPr>
          <w:p w14:paraId="2440E079"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5.76%</w:t>
            </w:r>
          </w:p>
        </w:tc>
      </w:tr>
      <w:tr w:rsidR="009C4649" w:rsidRPr="00EE5714" w14:paraId="185B293D"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09664526"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2016</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33777F93"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$1,335,709</w:t>
            </w:r>
          </w:p>
        </w:tc>
        <w:tc>
          <w:tcPr>
            <w:tcW w:w="2160" w:type="dxa"/>
            <w:tcBorders>
              <w:top w:val="nil"/>
              <w:left w:val="nil"/>
              <w:bottom w:val="single" w:sz="4" w:space="0" w:color="000000"/>
              <w:right w:val="single" w:sz="4" w:space="0" w:color="000000"/>
            </w:tcBorders>
            <w:shd w:val="clear" w:color="auto" w:fill="auto"/>
            <w:noWrap/>
            <w:vAlign w:val="center"/>
            <w:hideMark/>
          </w:tcPr>
          <w:p w14:paraId="0A65E9CC"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9.83%</w:t>
            </w:r>
          </w:p>
        </w:tc>
        <w:tc>
          <w:tcPr>
            <w:tcW w:w="2520" w:type="dxa"/>
            <w:tcBorders>
              <w:top w:val="nil"/>
              <w:left w:val="nil"/>
              <w:bottom w:val="single" w:sz="4" w:space="0" w:color="000000"/>
              <w:right w:val="single" w:sz="4" w:space="0" w:color="000000"/>
            </w:tcBorders>
            <w:shd w:val="clear" w:color="auto" w:fill="auto"/>
            <w:noWrap/>
            <w:vAlign w:val="center"/>
            <w:hideMark/>
          </w:tcPr>
          <w:p w14:paraId="02C6DDDA"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$1,133,617</w:t>
            </w:r>
          </w:p>
        </w:tc>
        <w:tc>
          <w:tcPr>
            <w:tcW w:w="2520" w:type="dxa"/>
            <w:tcBorders>
              <w:top w:val="nil"/>
              <w:left w:val="nil"/>
              <w:bottom w:val="single" w:sz="4" w:space="0" w:color="000000"/>
              <w:right w:val="single" w:sz="8" w:space="0" w:color="000000"/>
            </w:tcBorders>
            <w:shd w:val="clear" w:color="auto" w:fill="auto"/>
            <w:noWrap/>
            <w:vAlign w:val="center"/>
            <w:hideMark/>
          </w:tcPr>
          <w:p w14:paraId="2239A427"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8.35%</w:t>
            </w:r>
          </w:p>
        </w:tc>
      </w:tr>
      <w:tr w:rsidR="00323C84" w:rsidRPr="00EE5714" w14:paraId="602A7F68"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7C49D50F" w14:textId="77777777" w:rsidR="00F303E0" w:rsidRPr="00EE5714" w:rsidRDefault="00F303E0" w:rsidP="00851815">
            <w:pPr>
              <w:keepNext/>
              <w:rPr>
                <w:rFonts w:ascii="Calibri" w:eastAsia="Times New Roman" w:hAnsi="Calibri" w:cs="Calibri"/>
                <w:color w:val="000000"/>
                <w:sz w:val="20"/>
                <w:szCs w:val="20"/>
              </w:rPr>
            </w:pPr>
            <w:r w:rsidRPr="00EE5714">
              <w:rPr>
                <w:rFonts w:ascii="Calibri" w:eastAsia="Times New Roman" w:hAnsi="Calibri" w:cs="Calibri"/>
                <w:b/>
                <w:color w:val="000000"/>
                <w:sz w:val="20"/>
                <w:szCs w:val="20"/>
              </w:rPr>
              <w:t>PECO Gas</w:t>
            </w:r>
          </w:p>
        </w:tc>
        <w:tc>
          <w:tcPr>
            <w:tcW w:w="2070"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hideMark/>
          </w:tcPr>
          <w:p w14:paraId="377FA0BA" w14:textId="77777777" w:rsidR="00F303E0" w:rsidRPr="00EE5714" w:rsidRDefault="00F303E0" w:rsidP="00851815">
            <w:pPr>
              <w:keepNext/>
              <w:jc w:val="center"/>
              <w:rPr>
                <w:rFonts w:ascii="Calibri" w:eastAsia="Times New Roman" w:hAnsi="Calibri" w:cs="Calibri"/>
                <w:color w:val="000000"/>
                <w:sz w:val="20"/>
                <w:szCs w:val="20"/>
              </w:rPr>
            </w:pP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645D836" w14:textId="77777777" w:rsidR="00F303E0" w:rsidRPr="00EE5714" w:rsidRDefault="00F303E0" w:rsidP="00851815">
            <w:pPr>
              <w:keepNext/>
              <w:jc w:val="center"/>
              <w:rPr>
                <w:rFonts w:ascii="Calibri" w:eastAsia="Times New Roman" w:hAnsi="Calibri" w:cs="Calibri"/>
                <w:color w:val="000000"/>
                <w:sz w:val="20"/>
                <w:szCs w:val="20"/>
              </w:rPr>
            </w:pPr>
          </w:p>
        </w:tc>
        <w:tc>
          <w:tcPr>
            <w:tcW w:w="2520" w:type="dxa"/>
            <w:tcBorders>
              <w:top w:val="nil"/>
              <w:left w:val="nil"/>
              <w:bottom w:val="single" w:sz="4" w:space="0" w:color="000000"/>
              <w:right w:val="single" w:sz="4" w:space="0" w:color="000000"/>
            </w:tcBorders>
            <w:shd w:val="clear" w:color="auto" w:fill="F2F2F2" w:themeFill="background1" w:themeFillShade="F2"/>
            <w:noWrap/>
            <w:vAlign w:val="bottom"/>
            <w:hideMark/>
          </w:tcPr>
          <w:p w14:paraId="308464E3" w14:textId="77777777" w:rsidR="00F303E0" w:rsidRPr="00EE5714" w:rsidRDefault="00F303E0" w:rsidP="00851815">
            <w:pPr>
              <w:keepNext/>
              <w:jc w:val="center"/>
              <w:rPr>
                <w:rFonts w:ascii="Calibri" w:eastAsia="Times New Roman" w:hAnsi="Calibri" w:cs="Calibri"/>
                <w:color w:val="000000"/>
                <w:sz w:val="20"/>
                <w:szCs w:val="20"/>
              </w:rPr>
            </w:pPr>
          </w:p>
        </w:tc>
        <w:tc>
          <w:tcPr>
            <w:tcW w:w="2520" w:type="dxa"/>
            <w:tcBorders>
              <w:top w:val="nil"/>
              <w:left w:val="nil"/>
              <w:bottom w:val="single" w:sz="4" w:space="0" w:color="000000"/>
              <w:right w:val="single" w:sz="8" w:space="0" w:color="000000"/>
            </w:tcBorders>
            <w:shd w:val="clear" w:color="auto" w:fill="F2F2F2" w:themeFill="background1" w:themeFillShade="F2"/>
            <w:noWrap/>
            <w:vAlign w:val="bottom"/>
            <w:hideMark/>
          </w:tcPr>
          <w:p w14:paraId="621F2710" w14:textId="77777777" w:rsidR="00F303E0" w:rsidRPr="00EE5714" w:rsidRDefault="00F303E0" w:rsidP="00851815">
            <w:pPr>
              <w:keepNext/>
              <w:jc w:val="center"/>
              <w:rPr>
                <w:rFonts w:ascii="Calibri" w:eastAsia="Times New Roman" w:hAnsi="Calibri" w:cs="Calibri"/>
                <w:color w:val="000000"/>
                <w:sz w:val="20"/>
                <w:szCs w:val="20"/>
              </w:rPr>
            </w:pPr>
          </w:p>
        </w:tc>
      </w:tr>
      <w:tr w:rsidR="009C4649" w:rsidRPr="00EE5714" w14:paraId="30D60D57"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9669684"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2012</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4FA928B5"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$882,306</w:t>
            </w:r>
          </w:p>
        </w:tc>
        <w:tc>
          <w:tcPr>
            <w:tcW w:w="2160" w:type="dxa"/>
            <w:tcBorders>
              <w:top w:val="nil"/>
              <w:left w:val="nil"/>
              <w:bottom w:val="single" w:sz="4" w:space="0" w:color="000000"/>
              <w:right w:val="single" w:sz="4" w:space="0" w:color="000000"/>
            </w:tcBorders>
            <w:shd w:val="clear" w:color="auto" w:fill="auto"/>
            <w:noWrap/>
            <w:vAlign w:val="center"/>
            <w:hideMark/>
          </w:tcPr>
          <w:p w14:paraId="278B9108"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5.71%</w:t>
            </w:r>
          </w:p>
        </w:tc>
        <w:tc>
          <w:tcPr>
            <w:tcW w:w="2520" w:type="dxa"/>
            <w:tcBorders>
              <w:top w:val="nil"/>
              <w:left w:val="nil"/>
              <w:bottom w:val="single" w:sz="4" w:space="0" w:color="000000"/>
              <w:right w:val="single" w:sz="4" w:space="0" w:color="000000"/>
            </w:tcBorders>
            <w:shd w:val="clear" w:color="auto" w:fill="auto"/>
            <w:noWrap/>
            <w:vAlign w:val="center"/>
            <w:hideMark/>
          </w:tcPr>
          <w:p w14:paraId="30479B40"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$2,565,367</w:t>
            </w:r>
          </w:p>
        </w:tc>
        <w:tc>
          <w:tcPr>
            <w:tcW w:w="2520" w:type="dxa"/>
            <w:tcBorders>
              <w:top w:val="nil"/>
              <w:left w:val="nil"/>
              <w:bottom w:val="single" w:sz="4" w:space="0" w:color="000000"/>
              <w:right w:val="single" w:sz="8" w:space="0" w:color="000000"/>
            </w:tcBorders>
            <w:shd w:val="clear" w:color="auto" w:fill="auto"/>
            <w:noWrap/>
            <w:vAlign w:val="center"/>
            <w:hideMark/>
          </w:tcPr>
          <w:p w14:paraId="461BBAB2"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16.59%</w:t>
            </w:r>
          </w:p>
        </w:tc>
      </w:tr>
      <w:tr w:rsidR="009C4649" w:rsidRPr="00EE5714" w14:paraId="489565D4"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ECA91CF"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2013</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5C48657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$1,031,022</w:t>
            </w:r>
          </w:p>
        </w:tc>
        <w:tc>
          <w:tcPr>
            <w:tcW w:w="2160" w:type="dxa"/>
            <w:tcBorders>
              <w:top w:val="nil"/>
              <w:left w:val="nil"/>
              <w:bottom w:val="single" w:sz="4" w:space="0" w:color="000000"/>
              <w:right w:val="single" w:sz="4" w:space="0" w:color="000000"/>
            </w:tcBorders>
            <w:shd w:val="clear" w:color="auto" w:fill="auto"/>
            <w:noWrap/>
            <w:vAlign w:val="center"/>
          </w:tcPr>
          <w:p w14:paraId="6068CFE8"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6.03%</w:t>
            </w:r>
          </w:p>
        </w:tc>
        <w:tc>
          <w:tcPr>
            <w:tcW w:w="2520" w:type="dxa"/>
            <w:tcBorders>
              <w:top w:val="nil"/>
              <w:left w:val="nil"/>
              <w:bottom w:val="single" w:sz="4" w:space="0" w:color="000000"/>
              <w:right w:val="single" w:sz="4" w:space="0" w:color="000000"/>
            </w:tcBorders>
            <w:shd w:val="clear" w:color="auto" w:fill="auto"/>
            <w:noWrap/>
            <w:vAlign w:val="center"/>
          </w:tcPr>
          <w:p w14:paraId="2FFCDD09"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$2,989,994</w:t>
            </w:r>
          </w:p>
        </w:tc>
        <w:tc>
          <w:tcPr>
            <w:tcW w:w="2520" w:type="dxa"/>
            <w:tcBorders>
              <w:top w:val="nil"/>
              <w:left w:val="nil"/>
              <w:bottom w:val="single" w:sz="4" w:space="0" w:color="000000"/>
              <w:right w:val="single" w:sz="8" w:space="0" w:color="000000"/>
            </w:tcBorders>
            <w:shd w:val="clear" w:color="auto" w:fill="auto"/>
            <w:noWrap/>
            <w:vAlign w:val="center"/>
          </w:tcPr>
          <w:p w14:paraId="12B86F60"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17.48%</w:t>
            </w:r>
          </w:p>
        </w:tc>
      </w:tr>
      <w:tr w:rsidR="009C4649" w:rsidRPr="00EE5714" w14:paraId="02F62AC7"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2670597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2014</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3F2445AD"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$993,347</w:t>
            </w:r>
          </w:p>
        </w:tc>
        <w:tc>
          <w:tcPr>
            <w:tcW w:w="2160" w:type="dxa"/>
            <w:tcBorders>
              <w:top w:val="nil"/>
              <w:left w:val="nil"/>
              <w:bottom w:val="single" w:sz="4" w:space="0" w:color="000000"/>
              <w:right w:val="single" w:sz="4" w:space="0" w:color="000000"/>
            </w:tcBorders>
            <w:shd w:val="clear" w:color="auto" w:fill="auto"/>
            <w:noWrap/>
            <w:vAlign w:val="center"/>
          </w:tcPr>
          <w:p w14:paraId="6D91E0D3"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5.02%</w:t>
            </w:r>
          </w:p>
        </w:tc>
        <w:tc>
          <w:tcPr>
            <w:tcW w:w="2520" w:type="dxa"/>
            <w:tcBorders>
              <w:top w:val="nil"/>
              <w:left w:val="nil"/>
              <w:bottom w:val="single" w:sz="4" w:space="0" w:color="000000"/>
              <w:right w:val="single" w:sz="4" w:space="0" w:color="000000"/>
            </w:tcBorders>
            <w:shd w:val="clear" w:color="auto" w:fill="auto"/>
            <w:noWrap/>
            <w:vAlign w:val="center"/>
          </w:tcPr>
          <w:p w14:paraId="106AFCD6"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$1,856,335</w:t>
            </w:r>
          </w:p>
        </w:tc>
        <w:tc>
          <w:tcPr>
            <w:tcW w:w="2520" w:type="dxa"/>
            <w:tcBorders>
              <w:top w:val="nil"/>
              <w:left w:val="nil"/>
              <w:bottom w:val="single" w:sz="4" w:space="0" w:color="000000"/>
              <w:right w:val="single" w:sz="8" w:space="0" w:color="000000"/>
            </w:tcBorders>
            <w:shd w:val="clear" w:color="auto" w:fill="auto"/>
            <w:noWrap/>
            <w:vAlign w:val="center"/>
          </w:tcPr>
          <w:p w14:paraId="73724CB8"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9.38%</w:t>
            </w:r>
          </w:p>
        </w:tc>
      </w:tr>
      <w:tr w:rsidR="009C4649" w:rsidRPr="00EE5714" w14:paraId="1B054BAE"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38D3D88E"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2015</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32278546"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$919,207</w:t>
            </w:r>
          </w:p>
        </w:tc>
        <w:tc>
          <w:tcPr>
            <w:tcW w:w="2160" w:type="dxa"/>
            <w:tcBorders>
              <w:top w:val="nil"/>
              <w:left w:val="nil"/>
              <w:bottom w:val="single" w:sz="4" w:space="0" w:color="000000"/>
              <w:right w:val="single" w:sz="4" w:space="0" w:color="000000"/>
            </w:tcBorders>
            <w:shd w:val="clear" w:color="auto" w:fill="auto"/>
            <w:noWrap/>
            <w:vAlign w:val="center"/>
          </w:tcPr>
          <w:p w14:paraId="31309610"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5.27%</w:t>
            </w:r>
          </w:p>
        </w:tc>
        <w:tc>
          <w:tcPr>
            <w:tcW w:w="2520" w:type="dxa"/>
            <w:tcBorders>
              <w:top w:val="nil"/>
              <w:left w:val="nil"/>
              <w:bottom w:val="single" w:sz="4" w:space="0" w:color="000000"/>
              <w:right w:val="single" w:sz="4" w:space="0" w:color="000000"/>
            </w:tcBorders>
            <w:shd w:val="clear" w:color="auto" w:fill="auto"/>
            <w:noWrap/>
            <w:vAlign w:val="center"/>
          </w:tcPr>
          <w:p w14:paraId="2FF9B02A"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$1,686,623</w:t>
            </w:r>
          </w:p>
        </w:tc>
        <w:tc>
          <w:tcPr>
            <w:tcW w:w="2520" w:type="dxa"/>
            <w:tcBorders>
              <w:top w:val="nil"/>
              <w:left w:val="nil"/>
              <w:bottom w:val="single" w:sz="4" w:space="0" w:color="000000"/>
              <w:right w:val="single" w:sz="8" w:space="0" w:color="000000"/>
            </w:tcBorders>
            <w:shd w:val="clear" w:color="auto" w:fill="auto"/>
            <w:noWrap/>
            <w:vAlign w:val="center"/>
          </w:tcPr>
          <w:p w14:paraId="18E8189F"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9.66%</w:t>
            </w:r>
          </w:p>
        </w:tc>
      </w:tr>
      <w:tr w:rsidR="009C4649" w:rsidRPr="00EE5714" w14:paraId="58DD5ED7"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3535035D"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2016</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4DCEE69E"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$1,056,220</w:t>
            </w:r>
          </w:p>
        </w:tc>
        <w:tc>
          <w:tcPr>
            <w:tcW w:w="2160" w:type="dxa"/>
            <w:tcBorders>
              <w:top w:val="nil"/>
              <w:left w:val="nil"/>
              <w:bottom w:val="single" w:sz="4" w:space="0" w:color="000000"/>
              <w:right w:val="single" w:sz="4" w:space="0" w:color="000000"/>
            </w:tcBorders>
            <w:shd w:val="clear" w:color="auto" w:fill="auto"/>
            <w:noWrap/>
            <w:vAlign w:val="center"/>
          </w:tcPr>
          <w:p w14:paraId="15722174"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7.69%</w:t>
            </w:r>
          </w:p>
        </w:tc>
        <w:tc>
          <w:tcPr>
            <w:tcW w:w="2520" w:type="dxa"/>
            <w:tcBorders>
              <w:top w:val="nil"/>
              <w:left w:val="nil"/>
              <w:bottom w:val="single" w:sz="4" w:space="0" w:color="000000"/>
              <w:right w:val="single" w:sz="4" w:space="0" w:color="000000"/>
            </w:tcBorders>
            <w:shd w:val="clear" w:color="auto" w:fill="auto"/>
            <w:noWrap/>
            <w:vAlign w:val="center"/>
          </w:tcPr>
          <w:p w14:paraId="567A21C0"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$1,355,545</w:t>
            </w:r>
          </w:p>
        </w:tc>
        <w:tc>
          <w:tcPr>
            <w:tcW w:w="2520" w:type="dxa"/>
            <w:tcBorders>
              <w:top w:val="nil"/>
              <w:left w:val="nil"/>
              <w:bottom w:val="single" w:sz="4" w:space="0" w:color="000000"/>
              <w:right w:val="single" w:sz="8" w:space="0" w:color="000000"/>
            </w:tcBorders>
            <w:shd w:val="clear" w:color="auto" w:fill="auto"/>
            <w:noWrap/>
            <w:vAlign w:val="center"/>
          </w:tcPr>
          <w:p w14:paraId="266DAEF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9.87%</w:t>
            </w:r>
          </w:p>
        </w:tc>
      </w:tr>
      <w:tr w:rsidR="00323C84" w:rsidRPr="00EE5714" w14:paraId="24C3FCE7"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3F8C51A5" w14:textId="77777777" w:rsidR="00F303E0" w:rsidRPr="00EE5714" w:rsidRDefault="00F303E0" w:rsidP="00851815">
            <w:pPr>
              <w:keepNext/>
              <w:rPr>
                <w:rFonts w:ascii="Calibri" w:eastAsia="Times New Roman" w:hAnsi="Calibri" w:cs="Calibri"/>
                <w:color w:val="000000"/>
                <w:sz w:val="20"/>
                <w:szCs w:val="20"/>
              </w:rPr>
            </w:pPr>
            <w:r w:rsidRPr="00EE5714">
              <w:rPr>
                <w:rFonts w:ascii="Calibri" w:eastAsia="Times New Roman" w:hAnsi="Calibri" w:cs="Calibri"/>
                <w:b/>
                <w:color w:val="000000"/>
                <w:sz w:val="20"/>
                <w:szCs w:val="20"/>
              </w:rPr>
              <w:t>Peoples</w:t>
            </w:r>
          </w:p>
        </w:tc>
        <w:tc>
          <w:tcPr>
            <w:tcW w:w="2070"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tcPr>
          <w:p w14:paraId="0525043B" w14:textId="77777777" w:rsidR="00F303E0" w:rsidRPr="00EE5714" w:rsidRDefault="00F303E0" w:rsidP="00851815">
            <w:pPr>
              <w:keepNext/>
              <w:jc w:val="center"/>
              <w:rPr>
                <w:rFonts w:ascii="Calibri" w:eastAsia="Times New Roman" w:hAnsi="Calibri" w:cs="Calibri"/>
                <w:color w:val="000000"/>
                <w:sz w:val="20"/>
                <w:szCs w:val="20"/>
              </w:rPr>
            </w:pP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tcPr>
          <w:p w14:paraId="78200460" w14:textId="77777777" w:rsidR="00F303E0" w:rsidRPr="00EE5714" w:rsidRDefault="00F303E0" w:rsidP="00851815">
            <w:pPr>
              <w:keepNext/>
              <w:jc w:val="center"/>
              <w:rPr>
                <w:rFonts w:ascii="Calibri" w:eastAsia="Times New Roman" w:hAnsi="Calibri" w:cs="Calibri"/>
                <w:sz w:val="20"/>
                <w:szCs w:val="20"/>
              </w:rPr>
            </w:pPr>
          </w:p>
        </w:tc>
        <w:tc>
          <w:tcPr>
            <w:tcW w:w="2520" w:type="dxa"/>
            <w:tcBorders>
              <w:top w:val="nil"/>
              <w:left w:val="nil"/>
              <w:bottom w:val="single" w:sz="4" w:space="0" w:color="000000"/>
              <w:right w:val="single" w:sz="4" w:space="0" w:color="000000"/>
            </w:tcBorders>
            <w:shd w:val="clear" w:color="auto" w:fill="F2F2F2" w:themeFill="background1" w:themeFillShade="F2"/>
            <w:noWrap/>
            <w:vAlign w:val="bottom"/>
          </w:tcPr>
          <w:p w14:paraId="7F54D8DF" w14:textId="77777777" w:rsidR="00F303E0" w:rsidRPr="00EE5714" w:rsidRDefault="00F303E0" w:rsidP="00851815">
            <w:pPr>
              <w:keepNext/>
              <w:jc w:val="center"/>
              <w:rPr>
                <w:rFonts w:ascii="Calibri" w:eastAsia="Times New Roman" w:hAnsi="Calibri" w:cs="Calibri"/>
                <w:sz w:val="20"/>
                <w:szCs w:val="20"/>
              </w:rPr>
            </w:pPr>
          </w:p>
        </w:tc>
        <w:tc>
          <w:tcPr>
            <w:tcW w:w="2520" w:type="dxa"/>
            <w:tcBorders>
              <w:top w:val="nil"/>
              <w:left w:val="nil"/>
              <w:bottom w:val="single" w:sz="4" w:space="0" w:color="000000"/>
              <w:right w:val="single" w:sz="8" w:space="0" w:color="000000"/>
            </w:tcBorders>
            <w:shd w:val="clear" w:color="auto" w:fill="F2F2F2" w:themeFill="background1" w:themeFillShade="F2"/>
            <w:noWrap/>
            <w:vAlign w:val="bottom"/>
          </w:tcPr>
          <w:p w14:paraId="7510E8E8" w14:textId="77777777" w:rsidR="00F303E0" w:rsidRPr="00EE5714" w:rsidRDefault="00F303E0" w:rsidP="00851815">
            <w:pPr>
              <w:keepNext/>
              <w:jc w:val="center"/>
              <w:rPr>
                <w:rFonts w:ascii="Calibri" w:eastAsia="Times New Roman" w:hAnsi="Calibri" w:cs="Calibri"/>
                <w:color w:val="000000"/>
                <w:sz w:val="20"/>
                <w:szCs w:val="20"/>
              </w:rPr>
            </w:pPr>
          </w:p>
        </w:tc>
      </w:tr>
      <w:tr w:rsidR="009C4649" w:rsidRPr="00EE5714" w14:paraId="21132323"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0DC9DDB2"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2012</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144ABCD9"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$5,175,426</w:t>
            </w:r>
          </w:p>
        </w:tc>
        <w:tc>
          <w:tcPr>
            <w:tcW w:w="2160" w:type="dxa"/>
            <w:tcBorders>
              <w:top w:val="nil"/>
              <w:left w:val="nil"/>
              <w:bottom w:val="single" w:sz="4" w:space="0" w:color="000000"/>
              <w:right w:val="single" w:sz="4" w:space="0" w:color="000000"/>
            </w:tcBorders>
            <w:shd w:val="clear" w:color="auto" w:fill="auto"/>
            <w:noWrap/>
            <w:vAlign w:val="center"/>
            <w:hideMark/>
          </w:tcPr>
          <w:p w14:paraId="123B99BE"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7.94%</w:t>
            </w:r>
          </w:p>
        </w:tc>
        <w:tc>
          <w:tcPr>
            <w:tcW w:w="2520" w:type="dxa"/>
            <w:tcBorders>
              <w:top w:val="nil"/>
              <w:left w:val="nil"/>
              <w:bottom w:val="single" w:sz="4" w:space="0" w:color="000000"/>
              <w:right w:val="single" w:sz="4" w:space="0" w:color="000000"/>
            </w:tcBorders>
            <w:shd w:val="clear" w:color="auto" w:fill="auto"/>
            <w:noWrap/>
            <w:vAlign w:val="center"/>
            <w:hideMark/>
          </w:tcPr>
          <w:p w14:paraId="1385B76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$3,358,032</w:t>
            </w:r>
          </w:p>
        </w:tc>
        <w:tc>
          <w:tcPr>
            <w:tcW w:w="2520" w:type="dxa"/>
            <w:tcBorders>
              <w:top w:val="nil"/>
              <w:left w:val="nil"/>
              <w:bottom w:val="single" w:sz="4" w:space="0" w:color="000000"/>
              <w:right w:val="single" w:sz="8" w:space="0" w:color="000000"/>
            </w:tcBorders>
            <w:shd w:val="clear" w:color="auto" w:fill="auto"/>
            <w:noWrap/>
            <w:vAlign w:val="center"/>
            <w:hideMark/>
          </w:tcPr>
          <w:p w14:paraId="0BD90EA2"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5.15%</w:t>
            </w:r>
          </w:p>
        </w:tc>
      </w:tr>
      <w:tr w:rsidR="009C4649" w:rsidRPr="00EE5714" w14:paraId="7CF052AE"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7637B7B9"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2013</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52903562"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$3,412,550</w:t>
            </w:r>
          </w:p>
        </w:tc>
        <w:tc>
          <w:tcPr>
            <w:tcW w:w="2160" w:type="dxa"/>
            <w:tcBorders>
              <w:top w:val="nil"/>
              <w:left w:val="nil"/>
              <w:bottom w:val="single" w:sz="4" w:space="0" w:color="000000"/>
              <w:right w:val="single" w:sz="4" w:space="0" w:color="000000"/>
            </w:tcBorders>
            <w:shd w:val="clear" w:color="auto" w:fill="auto"/>
            <w:noWrap/>
            <w:vAlign w:val="center"/>
            <w:hideMark/>
          </w:tcPr>
          <w:p w14:paraId="015CD024"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4.38%</w:t>
            </w:r>
          </w:p>
        </w:tc>
        <w:tc>
          <w:tcPr>
            <w:tcW w:w="2520" w:type="dxa"/>
            <w:tcBorders>
              <w:top w:val="nil"/>
              <w:left w:val="nil"/>
              <w:bottom w:val="single" w:sz="4" w:space="0" w:color="000000"/>
              <w:right w:val="single" w:sz="4" w:space="0" w:color="000000"/>
            </w:tcBorders>
            <w:shd w:val="clear" w:color="auto" w:fill="auto"/>
            <w:noWrap/>
            <w:vAlign w:val="center"/>
            <w:hideMark/>
          </w:tcPr>
          <w:p w14:paraId="60A998E4"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$3,402,725</w:t>
            </w:r>
          </w:p>
        </w:tc>
        <w:tc>
          <w:tcPr>
            <w:tcW w:w="2520" w:type="dxa"/>
            <w:tcBorders>
              <w:top w:val="nil"/>
              <w:left w:val="nil"/>
              <w:bottom w:val="single" w:sz="4" w:space="0" w:color="000000"/>
              <w:right w:val="single" w:sz="8" w:space="0" w:color="000000"/>
            </w:tcBorders>
            <w:shd w:val="clear" w:color="auto" w:fill="auto"/>
            <w:noWrap/>
            <w:vAlign w:val="center"/>
            <w:hideMark/>
          </w:tcPr>
          <w:p w14:paraId="655B5C49"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4.37%</w:t>
            </w:r>
          </w:p>
        </w:tc>
      </w:tr>
      <w:tr w:rsidR="009C4649" w:rsidRPr="00EE5714" w14:paraId="32728545"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2AA0C836"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2014</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752D81C7"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$3,289,065</w:t>
            </w:r>
          </w:p>
        </w:tc>
        <w:tc>
          <w:tcPr>
            <w:tcW w:w="2160" w:type="dxa"/>
            <w:tcBorders>
              <w:top w:val="nil"/>
              <w:left w:val="nil"/>
              <w:bottom w:val="single" w:sz="4" w:space="0" w:color="000000"/>
              <w:right w:val="single" w:sz="4" w:space="0" w:color="000000"/>
            </w:tcBorders>
            <w:shd w:val="clear" w:color="auto" w:fill="auto"/>
            <w:noWrap/>
            <w:vAlign w:val="center"/>
          </w:tcPr>
          <w:p w14:paraId="6DD8980A"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3.84%</w:t>
            </w:r>
          </w:p>
        </w:tc>
        <w:tc>
          <w:tcPr>
            <w:tcW w:w="2520" w:type="dxa"/>
            <w:tcBorders>
              <w:top w:val="nil"/>
              <w:left w:val="nil"/>
              <w:bottom w:val="single" w:sz="4" w:space="0" w:color="000000"/>
              <w:right w:val="single" w:sz="4" w:space="0" w:color="000000"/>
            </w:tcBorders>
            <w:shd w:val="clear" w:color="auto" w:fill="auto"/>
            <w:noWrap/>
            <w:vAlign w:val="center"/>
          </w:tcPr>
          <w:p w14:paraId="294DB570"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$2,087,002</w:t>
            </w:r>
          </w:p>
        </w:tc>
        <w:tc>
          <w:tcPr>
            <w:tcW w:w="2520" w:type="dxa"/>
            <w:tcBorders>
              <w:top w:val="nil"/>
              <w:left w:val="nil"/>
              <w:bottom w:val="single" w:sz="4" w:space="0" w:color="000000"/>
              <w:right w:val="single" w:sz="8" w:space="0" w:color="000000"/>
            </w:tcBorders>
            <w:shd w:val="clear" w:color="auto" w:fill="auto"/>
            <w:noWrap/>
            <w:vAlign w:val="center"/>
          </w:tcPr>
          <w:p w14:paraId="253662A1"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2.44%</w:t>
            </w:r>
          </w:p>
        </w:tc>
      </w:tr>
      <w:tr w:rsidR="009C4649" w:rsidRPr="00EE5714" w14:paraId="0DE6A526"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6E6F662E"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2015</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42AFE2CE"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$2,387,402</w:t>
            </w:r>
          </w:p>
        </w:tc>
        <w:tc>
          <w:tcPr>
            <w:tcW w:w="2160" w:type="dxa"/>
            <w:tcBorders>
              <w:top w:val="nil"/>
              <w:left w:val="nil"/>
              <w:bottom w:val="single" w:sz="4" w:space="0" w:color="000000"/>
              <w:right w:val="single" w:sz="4" w:space="0" w:color="000000"/>
            </w:tcBorders>
            <w:shd w:val="clear" w:color="auto" w:fill="auto"/>
            <w:noWrap/>
            <w:vAlign w:val="center"/>
          </w:tcPr>
          <w:p w14:paraId="709CC87B"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3.18%</w:t>
            </w:r>
          </w:p>
        </w:tc>
        <w:tc>
          <w:tcPr>
            <w:tcW w:w="2520" w:type="dxa"/>
            <w:tcBorders>
              <w:top w:val="nil"/>
              <w:left w:val="nil"/>
              <w:bottom w:val="single" w:sz="4" w:space="0" w:color="000000"/>
              <w:right w:val="single" w:sz="4" w:space="0" w:color="000000"/>
            </w:tcBorders>
            <w:shd w:val="clear" w:color="auto" w:fill="auto"/>
            <w:noWrap/>
            <w:vAlign w:val="center"/>
          </w:tcPr>
          <w:p w14:paraId="49C41A1C"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$2,125,573</w:t>
            </w:r>
          </w:p>
        </w:tc>
        <w:tc>
          <w:tcPr>
            <w:tcW w:w="2520" w:type="dxa"/>
            <w:tcBorders>
              <w:top w:val="nil"/>
              <w:left w:val="nil"/>
              <w:bottom w:val="single" w:sz="4" w:space="0" w:color="000000"/>
              <w:right w:val="single" w:sz="8" w:space="0" w:color="000000"/>
            </w:tcBorders>
            <w:shd w:val="clear" w:color="auto" w:fill="auto"/>
            <w:noWrap/>
            <w:vAlign w:val="center"/>
          </w:tcPr>
          <w:p w14:paraId="032A6EBB"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2.83%</w:t>
            </w:r>
          </w:p>
        </w:tc>
      </w:tr>
      <w:tr w:rsidR="009C4649" w:rsidRPr="00EE5714" w14:paraId="34C0BE8D"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645A5289"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2016</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781D374B"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$1,181,803</w:t>
            </w:r>
          </w:p>
        </w:tc>
        <w:tc>
          <w:tcPr>
            <w:tcW w:w="2160" w:type="dxa"/>
            <w:tcBorders>
              <w:top w:val="nil"/>
              <w:left w:val="nil"/>
              <w:bottom w:val="single" w:sz="4" w:space="0" w:color="000000"/>
              <w:right w:val="single" w:sz="4" w:space="0" w:color="000000"/>
            </w:tcBorders>
            <w:shd w:val="clear" w:color="auto" w:fill="auto"/>
            <w:noWrap/>
            <w:vAlign w:val="center"/>
          </w:tcPr>
          <w:p w14:paraId="13DF3D2C"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1.95%</w:t>
            </w:r>
          </w:p>
        </w:tc>
        <w:tc>
          <w:tcPr>
            <w:tcW w:w="2520" w:type="dxa"/>
            <w:tcBorders>
              <w:top w:val="nil"/>
              <w:left w:val="nil"/>
              <w:bottom w:val="single" w:sz="4" w:space="0" w:color="000000"/>
              <w:right w:val="single" w:sz="4" w:space="0" w:color="000000"/>
            </w:tcBorders>
            <w:shd w:val="clear" w:color="auto" w:fill="auto"/>
            <w:noWrap/>
            <w:vAlign w:val="center"/>
          </w:tcPr>
          <w:p w14:paraId="763A7D73"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$1,036,381</w:t>
            </w:r>
          </w:p>
        </w:tc>
        <w:tc>
          <w:tcPr>
            <w:tcW w:w="2520" w:type="dxa"/>
            <w:tcBorders>
              <w:top w:val="nil"/>
              <w:left w:val="nil"/>
              <w:bottom w:val="single" w:sz="4" w:space="0" w:color="000000"/>
              <w:right w:val="single" w:sz="8" w:space="0" w:color="000000"/>
            </w:tcBorders>
            <w:shd w:val="clear" w:color="auto" w:fill="auto"/>
            <w:noWrap/>
            <w:vAlign w:val="center"/>
          </w:tcPr>
          <w:p w14:paraId="3CEB9505"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1.71%</w:t>
            </w:r>
          </w:p>
        </w:tc>
      </w:tr>
      <w:tr w:rsidR="00323C84" w:rsidRPr="00EE5714" w14:paraId="43CCCAD5"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615B09FA" w14:textId="77777777" w:rsidR="00F303E0" w:rsidRPr="00EE5714" w:rsidRDefault="00F303E0" w:rsidP="00851815">
            <w:pPr>
              <w:keepNext/>
              <w:rPr>
                <w:rFonts w:ascii="Calibri" w:eastAsia="Times New Roman" w:hAnsi="Calibri" w:cs="Calibri"/>
                <w:sz w:val="20"/>
                <w:szCs w:val="20"/>
              </w:rPr>
            </w:pPr>
            <w:r w:rsidRPr="00EE5714">
              <w:rPr>
                <w:rFonts w:ascii="Calibri" w:eastAsia="Times New Roman" w:hAnsi="Calibri" w:cs="Calibri"/>
                <w:b/>
                <w:color w:val="000000"/>
                <w:sz w:val="20"/>
                <w:szCs w:val="20"/>
              </w:rPr>
              <w:t>Peoples EQT</w:t>
            </w:r>
          </w:p>
        </w:tc>
        <w:tc>
          <w:tcPr>
            <w:tcW w:w="2070"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tcPr>
          <w:p w14:paraId="7C9AA517" w14:textId="77777777" w:rsidR="00F303E0" w:rsidRPr="00EE5714" w:rsidRDefault="00F303E0" w:rsidP="00851815">
            <w:pPr>
              <w:keepNext/>
              <w:jc w:val="center"/>
              <w:rPr>
                <w:rFonts w:ascii="Calibri" w:eastAsia="Times New Roman" w:hAnsi="Calibri" w:cs="Calibri"/>
                <w:sz w:val="20"/>
                <w:szCs w:val="20"/>
              </w:rPr>
            </w:pP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tcPr>
          <w:p w14:paraId="53BC6B6D" w14:textId="77777777" w:rsidR="00F303E0" w:rsidRPr="00EE5714" w:rsidRDefault="00F303E0" w:rsidP="00851815">
            <w:pPr>
              <w:keepNext/>
              <w:jc w:val="center"/>
              <w:rPr>
                <w:rFonts w:ascii="Calibri" w:eastAsia="Times New Roman" w:hAnsi="Calibri" w:cs="Calibri"/>
                <w:sz w:val="20"/>
                <w:szCs w:val="20"/>
              </w:rPr>
            </w:pPr>
          </w:p>
        </w:tc>
        <w:tc>
          <w:tcPr>
            <w:tcW w:w="2520" w:type="dxa"/>
            <w:tcBorders>
              <w:top w:val="nil"/>
              <w:left w:val="nil"/>
              <w:bottom w:val="single" w:sz="4" w:space="0" w:color="000000"/>
              <w:right w:val="single" w:sz="4" w:space="0" w:color="000000"/>
            </w:tcBorders>
            <w:shd w:val="clear" w:color="auto" w:fill="F2F2F2" w:themeFill="background1" w:themeFillShade="F2"/>
            <w:noWrap/>
            <w:vAlign w:val="bottom"/>
          </w:tcPr>
          <w:p w14:paraId="7E72090A" w14:textId="77777777" w:rsidR="00F303E0" w:rsidRPr="00EE5714" w:rsidRDefault="00F303E0" w:rsidP="00851815">
            <w:pPr>
              <w:keepNext/>
              <w:jc w:val="center"/>
              <w:rPr>
                <w:rFonts w:ascii="Calibri" w:eastAsia="Times New Roman" w:hAnsi="Calibri" w:cs="Calibri"/>
                <w:sz w:val="20"/>
                <w:szCs w:val="20"/>
              </w:rPr>
            </w:pPr>
          </w:p>
        </w:tc>
        <w:tc>
          <w:tcPr>
            <w:tcW w:w="2520" w:type="dxa"/>
            <w:tcBorders>
              <w:top w:val="nil"/>
              <w:left w:val="nil"/>
              <w:bottom w:val="single" w:sz="4" w:space="0" w:color="000000"/>
              <w:right w:val="single" w:sz="8" w:space="0" w:color="000000"/>
            </w:tcBorders>
            <w:shd w:val="clear" w:color="auto" w:fill="F2F2F2" w:themeFill="background1" w:themeFillShade="F2"/>
            <w:noWrap/>
            <w:vAlign w:val="bottom"/>
          </w:tcPr>
          <w:p w14:paraId="77D1B9AB" w14:textId="77777777" w:rsidR="00F303E0" w:rsidRPr="00EE5714" w:rsidRDefault="00F303E0" w:rsidP="00851815">
            <w:pPr>
              <w:keepNext/>
              <w:jc w:val="center"/>
              <w:rPr>
                <w:rFonts w:ascii="Calibri" w:eastAsia="Times New Roman" w:hAnsi="Calibri" w:cs="Calibri"/>
                <w:color w:val="000000"/>
                <w:sz w:val="20"/>
                <w:szCs w:val="20"/>
              </w:rPr>
            </w:pPr>
          </w:p>
        </w:tc>
      </w:tr>
      <w:tr w:rsidR="009C4649" w:rsidRPr="00EE5714" w14:paraId="29537AA3"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228E3502"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2012</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44944938"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color w:val="000000"/>
                <w:sz w:val="20"/>
                <w:szCs w:val="20"/>
              </w:rPr>
              <w:t>$3,046,495</w:t>
            </w:r>
          </w:p>
        </w:tc>
        <w:tc>
          <w:tcPr>
            <w:tcW w:w="2160" w:type="dxa"/>
            <w:tcBorders>
              <w:top w:val="nil"/>
              <w:left w:val="nil"/>
              <w:bottom w:val="single" w:sz="4" w:space="0" w:color="000000"/>
              <w:right w:val="single" w:sz="4" w:space="0" w:color="000000"/>
            </w:tcBorders>
            <w:shd w:val="clear" w:color="auto" w:fill="auto"/>
            <w:noWrap/>
            <w:vAlign w:val="center"/>
          </w:tcPr>
          <w:p w14:paraId="07C9CBBA"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9.63%</w:t>
            </w:r>
          </w:p>
        </w:tc>
        <w:tc>
          <w:tcPr>
            <w:tcW w:w="2520" w:type="dxa"/>
            <w:tcBorders>
              <w:top w:val="nil"/>
              <w:left w:val="nil"/>
              <w:bottom w:val="single" w:sz="4" w:space="0" w:color="000000"/>
              <w:right w:val="single" w:sz="4" w:space="0" w:color="000000"/>
            </w:tcBorders>
            <w:shd w:val="clear" w:color="auto" w:fill="auto"/>
            <w:noWrap/>
            <w:vAlign w:val="center"/>
          </w:tcPr>
          <w:p w14:paraId="63996500"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$722,376</w:t>
            </w:r>
          </w:p>
        </w:tc>
        <w:tc>
          <w:tcPr>
            <w:tcW w:w="2520" w:type="dxa"/>
            <w:tcBorders>
              <w:top w:val="nil"/>
              <w:left w:val="nil"/>
              <w:bottom w:val="single" w:sz="4" w:space="0" w:color="000000"/>
              <w:right w:val="single" w:sz="8" w:space="0" w:color="000000"/>
            </w:tcBorders>
            <w:shd w:val="clear" w:color="auto" w:fill="auto"/>
            <w:noWrap/>
            <w:vAlign w:val="center"/>
          </w:tcPr>
          <w:p w14:paraId="0EC4A751"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2.28%</w:t>
            </w:r>
          </w:p>
        </w:tc>
      </w:tr>
      <w:tr w:rsidR="009C4649" w:rsidRPr="00EE5714" w14:paraId="3B1D9542"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0294792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2013</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14F7F6DB"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$3,268,826</w:t>
            </w:r>
          </w:p>
        </w:tc>
        <w:tc>
          <w:tcPr>
            <w:tcW w:w="2160" w:type="dxa"/>
            <w:tcBorders>
              <w:top w:val="nil"/>
              <w:left w:val="nil"/>
              <w:bottom w:val="single" w:sz="4" w:space="0" w:color="000000"/>
              <w:right w:val="single" w:sz="4" w:space="0" w:color="000000"/>
            </w:tcBorders>
            <w:shd w:val="clear" w:color="auto" w:fill="auto"/>
            <w:noWrap/>
            <w:vAlign w:val="center"/>
            <w:hideMark/>
          </w:tcPr>
          <w:p w14:paraId="07C5D97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8.67%</w:t>
            </w:r>
          </w:p>
        </w:tc>
        <w:tc>
          <w:tcPr>
            <w:tcW w:w="2520" w:type="dxa"/>
            <w:tcBorders>
              <w:top w:val="nil"/>
              <w:left w:val="nil"/>
              <w:bottom w:val="single" w:sz="4" w:space="0" w:color="000000"/>
              <w:right w:val="single" w:sz="4" w:space="0" w:color="000000"/>
            </w:tcBorders>
            <w:shd w:val="clear" w:color="auto" w:fill="auto"/>
            <w:noWrap/>
            <w:vAlign w:val="center"/>
            <w:hideMark/>
          </w:tcPr>
          <w:p w14:paraId="4C33C97F"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$875,335</w:t>
            </w:r>
          </w:p>
        </w:tc>
        <w:tc>
          <w:tcPr>
            <w:tcW w:w="2520" w:type="dxa"/>
            <w:tcBorders>
              <w:top w:val="nil"/>
              <w:left w:val="nil"/>
              <w:bottom w:val="single" w:sz="4" w:space="0" w:color="000000"/>
              <w:right w:val="single" w:sz="8" w:space="0" w:color="000000"/>
            </w:tcBorders>
            <w:shd w:val="clear" w:color="auto" w:fill="auto"/>
            <w:noWrap/>
            <w:vAlign w:val="center"/>
            <w:hideMark/>
          </w:tcPr>
          <w:p w14:paraId="79C5FA3B"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2.32%</w:t>
            </w:r>
          </w:p>
        </w:tc>
      </w:tr>
      <w:tr w:rsidR="009C4649" w:rsidRPr="00EE5714" w14:paraId="1A2EC277"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78F3C72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2014</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3B2B7277"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$3,230,526</w:t>
            </w:r>
          </w:p>
        </w:tc>
        <w:tc>
          <w:tcPr>
            <w:tcW w:w="2160" w:type="dxa"/>
            <w:tcBorders>
              <w:top w:val="nil"/>
              <w:left w:val="nil"/>
              <w:bottom w:val="single" w:sz="4" w:space="0" w:color="000000"/>
              <w:right w:val="single" w:sz="4" w:space="0" w:color="000000"/>
            </w:tcBorders>
            <w:shd w:val="clear" w:color="auto" w:fill="auto"/>
            <w:noWrap/>
            <w:vAlign w:val="center"/>
            <w:hideMark/>
          </w:tcPr>
          <w:p w14:paraId="0CD316AD"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8.58%</w:t>
            </w:r>
          </w:p>
        </w:tc>
        <w:tc>
          <w:tcPr>
            <w:tcW w:w="2520" w:type="dxa"/>
            <w:tcBorders>
              <w:top w:val="nil"/>
              <w:left w:val="nil"/>
              <w:bottom w:val="single" w:sz="4" w:space="0" w:color="000000"/>
              <w:right w:val="single" w:sz="4" w:space="0" w:color="000000"/>
            </w:tcBorders>
            <w:shd w:val="clear" w:color="auto" w:fill="auto"/>
            <w:noWrap/>
            <w:vAlign w:val="center"/>
            <w:hideMark/>
          </w:tcPr>
          <w:p w14:paraId="19199D5A"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$858,822</w:t>
            </w:r>
          </w:p>
        </w:tc>
        <w:tc>
          <w:tcPr>
            <w:tcW w:w="2520" w:type="dxa"/>
            <w:tcBorders>
              <w:top w:val="nil"/>
              <w:left w:val="nil"/>
              <w:bottom w:val="single" w:sz="4" w:space="0" w:color="000000"/>
              <w:right w:val="single" w:sz="8" w:space="0" w:color="000000"/>
            </w:tcBorders>
            <w:shd w:val="clear" w:color="auto" w:fill="auto"/>
            <w:noWrap/>
            <w:vAlign w:val="center"/>
            <w:hideMark/>
          </w:tcPr>
          <w:p w14:paraId="06B64982"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2.28%</w:t>
            </w:r>
          </w:p>
        </w:tc>
      </w:tr>
      <w:tr w:rsidR="009C4649" w:rsidRPr="00EE5714" w14:paraId="2FE0B341"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0EE71897"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2015</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52A705A9"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$2,641,103</w:t>
            </w:r>
          </w:p>
        </w:tc>
        <w:tc>
          <w:tcPr>
            <w:tcW w:w="2160" w:type="dxa"/>
            <w:tcBorders>
              <w:top w:val="nil"/>
              <w:left w:val="nil"/>
              <w:bottom w:val="single" w:sz="4" w:space="0" w:color="000000"/>
              <w:right w:val="single" w:sz="4" w:space="0" w:color="000000"/>
            </w:tcBorders>
            <w:shd w:val="clear" w:color="auto" w:fill="auto"/>
            <w:noWrap/>
            <w:vAlign w:val="center"/>
          </w:tcPr>
          <w:p w14:paraId="6C91160F"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7.16%</w:t>
            </w:r>
          </w:p>
        </w:tc>
        <w:tc>
          <w:tcPr>
            <w:tcW w:w="2520" w:type="dxa"/>
            <w:tcBorders>
              <w:top w:val="nil"/>
              <w:left w:val="nil"/>
              <w:bottom w:val="single" w:sz="4" w:space="0" w:color="000000"/>
              <w:right w:val="single" w:sz="4" w:space="0" w:color="000000"/>
            </w:tcBorders>
            <w:shd w:val="clear" w:color="auto" w:fill="auto"/>
            <w:noWrap/>
            <w:vAlign w:val="center"/>
          </w:tcPr>
          <w:p w14:paraId="15082C59"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$829,595</w:t>
            </w:r>
          </w:p>
        </w:tc>
        <w:tc>
          <w:tcPr>
            <w:tcW w:w="2520" w:type="dxa"/>
            <w:tcBorders>
              <w:top w:val="nil"/>
              <w:left w:val="nil"/>
              <w:bottom w:val="single" w:sz="4" w:space="0" w:color="000000"/>
              <w:right w:val="single" w:sz="8" w:space="0" w:color="000000"/>
            </w:tcBorders>
            <w:shd w:val="clear" w:color="auto" w:fill="auto"/>
            <w:noWrap/>
            <w:vAlign w:val="center"/>
          </w:tcPr>
          <w:p w14:paraId="7599FF36"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2.25%</w:t>
            </w:r>
          </w:p>
        </w:tc>
      </w:tr>
      <w:tr w:rsidR="009C4649" w:rsidRPr="00EE5714" w14:paraId="59469D0A"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A49892C"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2016</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52203E8A"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$647,581</w:t>
            </w:r>
          </w:p>
        </w:tc>
        <w:tc>
          <w:tcPr>
            <w:tcW w:w="2160" w:type="dxa"/>
            <w:tcBorders>
              <w:top w:val="nil"/>
              <w:left w:val="nil"/>
              <w:bottom w:val="single" w:sz="4" w:space="0" w:color="000000"/>
              <w:right w:val="single" w:sz="4" w:space="0" w:color="000000"/>
            </w:tcBorders>
            <w:shd w:val="clear" w:color="auto" w:fill="auto"/>
            <w:noWrap/>
            <w:vAlign w:val="center"/>
          </w:tcPr>
          <w:p w14:paraId="3A0C2101"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2.18%</w:t>
            </w:r>
          </w:p>
        </w:tc>
        <w:tc>
          <w:tcPr>
            <w:tcW w:w="2520" w:type="dxa"/>
            <w:tcBorders>
              <w:top w:val="nil"/>
              <w:left w:val="nil"/>
              <w:bottom w:val="single" w:sz="4" w:space="0" w:color="000000"/>
              <w:right w:val="single" w:sz="4" w:space="0" w:color="000000"/>
            </w:tcBorders>
            <w:shd w:val="clear" w:color="auto" w:fill="auto"/>
            <w:noWrap/>
            <w:vAlign w:val="center"/>
          </w:tcPr>
          <w:p w14:paraId="7E5AFA47"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$1,066,339</w:t>
            </w:r>
          </w:p>
        </w:tc>
        <w:tc>
          <w:tcPr>
            <w:tcW w:w="2520" w:type="dxa"/>
            <w:tcBorders>
              <w:top w:val="nil"/>
              <w:left w:val="nil"/>
              <w:bottom w:val="single" w:sz="4" w:space="0" w:color="000000"/>
              <w:right w:val="single" w:sz="8" w:space="0" w:color="000000"/>
            </w:tcBorders>
            <w:shd w:val="clear" w:color="auto" w:fill="auto"/>
            <w:noWrap/>
            <w:vAlign w:val="center"/>
          </w:tcPr>
          <w:p w14:paraId="03406A9C"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3.59%</w:t>
            </w:r>
          </w:p>
        </w:tc>
      </w:tr>
      <w:tr w:rsidR="00323C84" w:rsidRPr="00EE5714" w14:paraId="24153049"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05037596" w14:textId="77777777" w:rsidR="00F303E0" w:rsidRPr="00EE5714" w:rsidRDefault="00F303E0" w:rsidP="00851815">
            <w:pPr>
              <w:keepNext/>
              <w:rPr>
                <w:rFonts w:ascii="Calibri" w:eastAsia="Times New Roman" w:hAnsi="Calibri" w:cs="Calibri"/>
                <w:color w:val="000000"/>
                <w:sz w:val="20"/>
                <w:szCs w:val="20"/>
              </w:rPr>
            </w:pPr>
            <w:r w:rsidRPr="00EE5714">
              <w:rPr>
                <w:rFonts w:ascii="Calibri" w:eastAsia="Times New Roman" w:hAnsi="Calibri" w:cs="Calibri"/>
                <w:b/>
                <w:color w:val="000000"/>
                <w:sz w:val="20"/>
                <w:szCs w:val="20"/>
              </w:rPr>
              <w:t>PGW</w:t>
            </w:r>
          </w:p>
        </w:tc>
        <w:tc>
          <w:tcPr>
            <w:tcW w:w="2070"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tcPr>
          <w:p w14:paraId="70C2A3A7" w14:textId="77777777" w:rsidR="00F303E0" w:rsidRPr="00EE5714" w:rsidRDefault="00F303E0" w:rsidP="00851815">
            <w:pPr>
              <w:keepNext/>
              <w:jc w:val="center"/>
              <w:rPr>
                <w:rFonts w:ascii="Calibri" w:eastAsia="Times New Roman" w:hAnsi="Calibri" w:cs="Calibri"/>
                <w:color w:val="000000"/>
                <w:sz w:val="20"/>
                <w:szCs w:val="20"/>
              </w:rPr>
            </w:pP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tcPr>
          <w:p w14:paraId="760D254A" w14:textId="77777777" w:rsidR="00F303E0" w:rsidRPr="00EE5714" w:rsidRDefault="00F303E0" w:rsidP="00851815">
            <w:pPr>
              <w:keepNext/>
              <w:jc w:val="center"/>
              <w:rPr>
                <w:rFonts w:ascii="Calibri" w:eastAsia="Times New Roman" w:hAnsi="Calibri" w:cs="Calibri"/>
                <w:sz w:val="20"/>
                <w:szCs w:val="20"/>
              </w:rPr>
            </w:pPr>
          </w:p>
        </w:tc>
        <w:tc>
          <w:tcPr>
            <w:tcW w:w="2520" w:type="dxa"/>
            <w:tcBorders>
              <w:top w:val="nil"/>
              <w:left w:val="nil"/>
              <w:bottom w:val="single" w:sz="4" w:space="0" w:color="000000"/>
              <w:right w:val="single" w:sz="4" w:space="0" w:color="000000"/>
            </w:tcBorders>
            <w:shd w:val="clear" w:color="auto" w:fill="F2F2F2" w:themeFill="background1" w:themeFillShade="F2"/>
            <w:noWrap/>
            <w:vAlign w:val="bottom"/>
          </w:tcPr>
          <w:p w14:paraId="715C902D" w14:textId="77777777" w:rsidR="00F303E0" w:rsidRPr="00EE5714" w:rsidRDefault="00F303E0" w:rsidP="00851815">
            <w:pPr>
              <w:keepNext/>
              <w:jc w:val="center"/>
              <w:rPr>
                <w:rFonts w:ascii="Calibri" w:eastAsia="Times New Roman" w:hAnsi="Calibri" w:cs="Calibri"/>
                <w:sz w:val="20"/>
                <w:szCs w:val="20"/>
              </w:rPr>
            </w:pPr>
          </w:p>
        </w:tc>
        <w:tc>
          <w:tcPr>
            <w:tcW w:w="2520" w:type="dxa"/>
            <w:tcBorders>
              <w:top w:val="nil"/>
              <w:left w:val="nil"/>
              <w:bottom w:val="single" w:sz="4" w:space="0" w:color="000000"/>
              <w:right w:val="single" w:sz="8" w:space="0" w:color="000000"/>
            </w:tcBorders>
            <w:shd w:val="clear" w:color="auto" w:fill="F2F2F2" w:themeFill="background1" w:themeFillShade="F2"/>
            <w:noWrap/>
            <w:vAlign w:val="bottom"/>
          </w:tcPr>
          <w:p w14:paraId="0713F7C7" w14:textId="77777777" w:rsidR="00F303E0" w:rsidRPr="00EE5714" w:rsidRDefault="00F303E0" w:rsidP="00851815">
            <w:pPr>
              <w:keepNext/>
              <w:jc w:val="center"/>
              <w:rPr>
                <w:rFonts w:ascii="Calibri" w:eastAsia="Times New Roman" w:hAnsi="Calibri" w:cs="Calibri"/>
                <w:color w:val="000000"/>
                <w:sz w:val="20"/>
                <w:szCs w:val="20"/>
              </w:rPr>
            </w:pPr>
          </w:p>
        </w:tc>
      </w:tr>
      <w:tr w:rsidR="009C4649" w:rsidRPr="00EE5714" w14:paraId="530D2960"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BEA33B0"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2012</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42CDD89B"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color w:val="000000"/>
                <w:sz w:val="20"/>
                <w:szCs w:val="20"/>
              </w:rPr>
              <w:t>$6,700,882</w:t>
            </w:r>
          </w:p>
        </w:tc>
        <w:tc>
          <w:tcPr>
            <w:tcW w:w="2160" w:type="dxa"/>
            <w:tcBorders>
              <w:top w:val="nil"/>
              <w:left w:val="nil"/>
              <w:bottom w:val="single" w:sz="4" w:space="0" w:color="000000"/>
              <w:right w:val="single" w:sz="4" w:space="0" w:color="000000"/>
            </w:tcBorders>
            <w:shd w:val="clear" w:color="auto" w:fill="auto"/>
            <w:noWrap/>
            <w:vAlign w:val="center"/>
          </w:tcPr>
          <w:p w14:paraId="6DFB7AD6"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4.15%</w:t>
            </w:r>
          </w:p>
        </w:tc>
        <w:tc>
          <w:tcPr>
            <w:tcW w:w="2520" w:type="dxa"/>
            <w:tcBorders>
              <w:top w:val="nil"/>
              <w:left w:val="nil"/>
              <w:bottom w:val="single" w:sz="4" w:space="0" w:color="000000"/>
              <w:right w:val="single" w:sz="4" w:space="0" w:color="000000"/>
            </w:tcBorders>
            <w:shd w:val="clear" w:color="auto" w:fill="auto"/>
            <w:noWrap/>
            <w:vAlign w:val="center"/>
          </w:tcPr>
          <w:p w14:paraId="63A45D59"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$4,932,157</w:t>
            </w:r>
          </w:p>
        </w:tc>
        <w:tc>
          <w:tcPr>
            <w:tcW w:w="2520" w:type="dxa"/>
            <w:tcBorders>
              <w:top w:val="nil"/>
              <w:left w:val="nil"/>
              <w:bottom w:val="single" w:sz="4" w:space="0" w:color="000000"/>
              <w:right w:val="single" w:sz="8" w:space="0" w:color="000000"/>
            </w:tcBorders>
            <w:shd w:val="clear" w:color="auto" w:fill="auto"/>
            <w:noWrap/>
            <w:vAlign w:val="center"/>
          </w:tcPr>
          <w:p w14:paraId="339E180B"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3.05%</w:t>
            </w:r>
          </w:p>
        </w:tc>
      </w:tr>
      <w:tr w:rsidR="009C4649" w:rsidRPr="00EE5714" w14:paraId="46BC4A8C"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3AF91760"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2013</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01028D01"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color w:val="000000"/>
                <w:sz w:val="20"/>
                <w:szCs w:val="20"/>
              </w:rPr>
              <w:t>$2,288,750</w:t>
            </w:r>
          </w:p>
        </w:tc>
        <w:tc>
          <w:tcPr>
            <w:tcW w:w="2160" w:type="dxa"/>
            <w:tcBorders>
              <w:top w:val="nil"/>
              <w:left w:val="nil"/>
              <w:bottom w:val="single" w:sz="4" w:space="0" w:color="000000"/>
              <w:right w:val="single" w:sz="4" w:space="0" w:color="000000"/>
            </w:tcBorders>
            <w:shd w:val="clear" w:color="auto" w:fill="auto"/>
            <w:noWrap/>
            <w:vAlign w:val="center"/>
          </w:tcPr>
          <w:p w14:paraId="59E80BA5"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1.88%</w:t>
            </w:r>
          </w:p>
        </w:tc>
        <w:tc>
          <w:tcPr>
            <w:tcW w:w="2520" w:type="dxa"/>
            <w:tcBorders>
              <w:top w:val="nil"/>
              <w:left w:val="nil"/>
              <w:bottom w:val="single" w:sz="4" w:space="0" w:color="000000"/>
              <w:right w:val="single" w:sz="4" w:space="0" w:color="000000"/>
            </w:tcBorders>
            <w:shd w:val="clear" w:color="auto" w:fill="auto"/>
            <w:noWrap/>
            <w:vAlign w:val="center"/>
          </w:tcPr>
          <w:p w14:paraId="3613A032"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$6,105,622</w:t>
            </w:r>
          </w:p>
        </w:tc>
        <w:tc>
          <w:tcPr>
            <w:tcW w:w="2520" w:type="dxa"/>
            <w:tcBorders>
              <w:top w:val="nil"/>
              <w:left w:val="nil"/>
              <w:bottom w:val="single" w:sz="4" w:space="0" w:color="000000"/>
              <w:right w:val="single" w:sz="8" w:space="0" w:color="000000"/>
            </w:tcBorders>
            <w:shd w:val="clear" w:color="auto" w:fill="auto"/>
            <w:noWrap/>
            <w:vAlign w:val="center"/>
          </w:tcPr>
          <w:p w14:paraId="29F568A5"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5.02%</w:t>
            </w:r>
          </w:p>
        </w:tc>
      </w:tr>
      <w:tr w:rsidR="009C4649" w:rsidRPr="00EE5714" w14:paraId="1910BB20"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4084B71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2014</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3E70220E"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$2,410,536</w:t>
            </w:r>
          </w:p>
        </w:tc>
        <w:tc>
          <w:tcPr>
            <w:tcW w:w="2160" w:type="dxa"/>
            <w:tcBorders>
              <w:top w:val="nil"/>
              <w:left w:val="nil"/>
              <w:bottom w:val="single" w:sz="4" w:space="0" w:color="000000"/>
              <w:right w:val="single" w:sz="4" w:space="0" w:color="000000"/>
            </w:tcBorders>
            <w:shd w:val="clear" w:color="auto" w:fill="auto"/>
            <w:noWrap/>
            <w:vAlign w:val="center"/>
            <w:hideMark/>
          </w:tcPr>
          <w:p w14:paraId="6ED737DE"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2.14%</w:t>
            </w:r>
          </w:p>
        </w:tc>
        <w:tc>
          <w:tcPr>
            <w:tcW w:w="2520" w:type="dxa"/>
            <w:tcBorders>
              <w:top w:val="nil"/>
              <w:left w:val="nil"/>
              <w:bottom w:val="single" w:sz="4" w:space="0" w:color="000000"/>
              <w:right w:val="single" w:sz="4" w:space="0" w:color="000000"/>
            </w:tcBorders>
            <w:shd w:val="clear" w:color="auto" w:fill="auto"/>
            <w:noWrap/>
            <w:vAlign w:val="center"/>
            <w:hideMark/>
          </w:tcPr>
          <w:p w14:paraId="5187361C"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$6,835,691</w:t>
            </w:r>
          </w:p>
        </w:tc>
        <w:tc>
          <w:tcPr>
            <w:tcW w:w="2520" w:type="dxa"/>
            <w:tcBorders>
              <w:top w:val="nil"/>
              <w:left w:val="nil"/>
              <w:bottom w:val="single" w:sz="4" w:space="0" w:color="000000"/>
              <w:right w:val="single" w:sz="8" w:space="0" w:color="000000"/>
            </w:tcBorders>
            <w:shd w:val="clear" w:color="auto" w:fill="auto"/>
            <w:noWrap/>
            <w:vAlign w:val="center"/>
            <w:hideMark/>
          </w:tcPr>
          <w:p w14:paraId="4B33B0C1"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6.06%</w:t>
            </w:r>
          </w:p>
        </w:tc>
      </w:tr>
      <w:tr w:rsidR="009C4649" w:rsidRPr="00EE5714" w14:paraId="56A6D7BB"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31E77A64"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2015</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184F17E9"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$8,618,074</w:t>
            </w:r>
          </w:p>
        </w:tc>
        <w:tc>
          <w:tcPr>
            <w:tcW w:w="2160" w:type="dxa"/>
            <w:tcBorders>
              <w:top w:val="nil"/>
              <w:left w:val="nil"/>
              <w:bottom w:val="single" w:sz="4" w:space="0" w:color="000000"/>
              <w:right w:val="single" w:sz="4" w:space="0" w:color="000000"/>
            </w:tcBorders>
            <w:shd w:val="clear" w:color="auto" w:fill="auto"/>
            <w:noWrap/>
            <w:vAlign w:val="center"/>
            <w:hideMark/>
          </w:tcPr>
          <w:p w14:paraId="2D55075C"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6.40%</w:t>
            </w:r>
          </w:p>
        </w:tc>
        <w:tc>
          <w:tcPr>
            <w:tcW w:w="2520" w:type="dxa"/>
            <w:tcBorders>
              <w:top w:val="nil"/>
              <w:left w:val="nil"/>
              <w:bottom w:val="single" w:sz="4" w:space="0" w:color="000000"/>
              <w:right w:val="single" w:sz="4" w:space="0" w:color="000000"/>
            </w:tcBorders>
            <w:shd w:val="clear" w:color="auto" w:fill="auto"/>
            <w:noWrap/>
            <w:vAlign w:val="center"/>
            <w:hideMark/>
          </w:tcPr>
          <w:p w14:paraId="3208135D"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$6,340,821</w:t>
            </w:r>
          </w:p>
        </w:tc>
        <w:tc>
          <w:tcPr>
            <w:tcW w:w="2520" w:type="dxa"/>
            <w:tcBorders>
              <w:top w:val="nil"/>
              <w:left w:val="nil"/>
              <w:bottom w:val="single" w:sz="4" w:space="0" w:color="000000"/>
              <w:right w:val="single" w:sz="8" w:space="0" w:color="000000"/>
            </w:tcBorders>
            <w:shd w:val="clear" w:color="auto" w:fill="auto"/>
            <w:noWrap/>
            <w:vAlign w:val="center"/>
            <w:hideMark/>
          </w:tcPr>
          <w:p w14:paraId="7ADBA070"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4.71%</w:t>
            </w:r>
          </w:p>
        </w:tc>
      </w:tr>
      <w:tr w:rsidR="009C4649" w:rsidRPr="00EE5714" w14:paraId="6509A8F4"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9AF0244"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2016</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29F6C2AC"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$7,384,073</w:t>
            </w:r>
          </w:p>
        </w:tc>
        <w:tc>
          <w:tcPr>
            <w:tcW w:w="2160" w:type="dxa"/>
            <w:tcBorders>
              <w:top w:val="nil"/>
              <w:left w:val="nil"/>
              <w:bottom w:val="single" w:sz="4" w:space="0" w:color="000000"/>
              <w:right w:val="single" w:sz="4" w:space="0" w:color="000000"/>
            </w:tcBorders>
            <w:shd w:val="clear" w:color="auto" w:fill="auto"/>
            <w:noWrap/>
            <w:vAlign w:val="center"/>
          </w:tcPr>
          <w:p w14:paraId="7A96FD66"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6.01%</w:t>
            </w:r>
          </w:p>
        </w:tc>
        <w:tc>
          <w:tcPr>
            <w:tcW w:w="2520" w:type="dxa"/>
            <w:tcBorders>
              <w:top w:val="nil"/>
              <w:left w:val="nil"/>
              <w:bottom w:val="single" w:sz="4" w:space="0" w:color="000000"/>
              <w:right w:val="single" w:sz="4" w:space="0" w:color="000000"/>
            </w:tcBorders>
            <w:shd w:val="clear" w:color="auto" w:fill="auto"/>
            <w:noWrap/>
            <w:vAlign w:val="center"/>
          </w:tcPr>
          <w:p w14:paraId="0D8425BF"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$2,188,203</w:t>
            </w:r>
          </w:p>
        </w:tc>
        <w:tc>
          <w:tcPr>
            <w:tcW w:w="2520" w:type="dxa"/>
            <w:tcBorders>
              <w:top w:val="nil"/>
              <w:left w:val="nil"/>
              <w:bottom w:val="single" w:sz="4" w:space="0" w:color="000000"/>
              <w:right w:val="single" w:sz="8" w:space="0" w:color="000000"/>
            </w:tcBorders>
            <w:shd w:val="clear" w:color="auto" w:fill="auto"/>
            <w:noWrap/>
            <w:vAlign w:val="center"/>
          </w:tcPr>
          <w:p w14:paraId="21A8D53F"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1.78%</w:t>
            </w:r>
          </w:p>
        </w:tc>
      </w:tr>
      <w:tr w:rsidR="00323C84" w:rsidRPr="00EE5714" w14:paraId="0AEE27B3"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3EA37507" w14:textId="77777777" w:rsidR="00F303E0" w:rsidRPr="00EE5714" w:rsidRDefault="00F303E0" w:rsidP="00851815">
            <w:pPr>
              <w:keepNext/>
              <w:rPr>
                <w:rFonts w:ascii="Calibri" w:eastAsia="Times New Roman" w:hAnsi="Calibri" w:cs="Calibri"/>
                <w:color w:val="000000"/>
                <w:sz w:val="20"/>
                <w:szCs w:val="20"/>
              </w:rPr>
            </w:pPr>
            <w:r w:rsidRPr="00EE5714">
              <w:rPr>
                <w:rFonts w:ascii="Calibri" w:eastAsia="Times New Roman" w:hAnsi="Calibri" w:cs="Calibri"/>
                <w:b/>
                <w:color w:val="000000"/>
                <w:sz w:val="20"/>
                <w:szCs w:val="20"/>
              </w:rPr>
              <w:t>UGI Gas</w:t>
            </w:r>
          </w:p>
        </w:tc>
        <w:tc>
          <w:tcPr>
            <w:tcW w:w="2070"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tcPr>
          <w:p w14:paraId="1FCD65F6" w14:textId="77777777" w:rsidR="00F303E0" w:rsidRPr="00EE5714" w:rsidRDefault="00F303E0" w:rsidP="00851815">
            <w:pPr>
              <w:keepNext/>
              <w:jc w:val="center"/>
              <w:rPr>
                <w:rFonts w:ascii="Calibri" w:eastAsia="Times New Roman" w:hAnsi="Calibri" w:cs="Calibri"/>
                <w:color w:val="000000"/>
                <w:sz w:val="20"/>
                <w:szCs w:val="20"/>
              </w:rPr>
            </w:pP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tcPr>
          <w:p w14:paraId="25CD4EBC" w14:textId="77777777" w:rsidR="00F303E0" w:rsidRPr="00EE5714" w:rsidRDefault="00F303E0" w:rsidP="00851815">
            <w:pPr>
              <w:keepNext/>
              <w:jc w:val="center"/>
              <w:rPr>
                <w:rFonts w:ascii="Calibri" w:eastAsia="Times New Roman" w:hAnsi="Calibri" w:cs="Calibri"/>
                <w:sz w:val="20"/>
                <w:szCs w:val="20"/>
              </w:rPr>
            </w:pPr>
          </w:p>
        </w:tc>
        <w:tc>
          <w:tcPr>
            <w:tcW w:w="2520" w:type="dxa"/>
            <w:tcBorders>
              <w:top w:val="nil"/>
              <w:left w:val="nil"/>
              <w:bottom w:val="single" w:sz="4" w:space="0" w:color="000000"/>
              <w:right w:val="single" w:sz="4" w:space="0" w:color="000000"/>
            </w:tcBorders>
            <w:shd w:val="clear" w:color="auto" w:fill="F2F2F2" w:themeFill="background1" w:themeFillShade="F2"/>
            <w:noWrap/>
            <w:vAlign w:val="bottom"/>
          </w:tcPr>
          <w:p w14:paraId="505236E5" w14:textId="77777777" w:rsidR="00F303E0" w:rsidRPr="00EE5714" w:rsidRDefault="00F303E0" w:rsidP="00851815">
            <w:pPr>
              <w:keepNext/>
              <w:jc w:val="center"/>
              <w:rPr>
                <w:rFonts w:ascii="Calibri" w:eastAsia="Times New Roman" w:hAnsi="Calibri" w:cs="Calibri"/>
                <w:sz w:val="20"/>
                <w:szCs w:val="20"/>
              </w:rPr>
            </w:pPr>
          </w:p>
        </w:tc>
        <w:tc>
          <w:tcPr>
            <w:tcW w:w="2520" w:type="dxa"/>
            <w:tcBorders>
              <w:top w:val="nil"/>
              <w:left w:val="nil"/>
              <w:bottom w:val="single" w:sz="4" w:space="0" w:color="000000"/>
              <w:right w:val="single" w:sz="8" w:space="0" w:color="000000"/>
            </w:tcBorders>
            <w:shd w:val="clear" w:color="auto" w:fill="F2F2F2" w:themeFill="background1" w:themeFillShade="F2"/>
            <w:noWrap/>
            <w:vAlign w:val="bottom"/>
          </w:tcPr>
          <w:p w14:paraId="7D10DCA9" w14:textId="77777777" w:rsidR="00F303E0" w:rsidRPr="00EE5714" w:rsidRDefault="00F303E0" w:rsidP="00851815">
            <w:pPr>
              <w:keepNext/>
              <w:jc w:val="center"/>
              <w:rPr>
                <w:rFonts w:ascii="Calibri" w:eastAsia="Times New Roman" w:hAnsi="Calibri" w:cs="Calibri"/>
                <w:color w:val="000000"/>
                <w:sz w:val="20"/>
                <w:szCs w:val="20"/>
              </w:rPr>
            </w:pPr>
          </w:p>
        </w:tc>
      </w:tr>
      <w:tr w:rsidR="009C4649" w:rsidRPr="00EE5714" w14:paraId="6EFDBD51"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6D75AB82"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2012</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56417DE1"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$1,245,209</w:t>
            </w:r>
          </w:p>
        </w:tc>
        <w:tc>
          <w:tcPr>
            <w:tcW w:w="2160" w:type="dxa"/>
            <w:tcBorders>
              <w:top w:val="nil"/>
              <w:left w:val="nil"/>
              <w:bottom w:val="single" w:sz="4" w:space="0" w:color="000000"/>
              <w:right w:val="single" w:sz="4" w:space="0" w:color="000000"/>
            </w:tcBorders>
            <w:shd w:val="clear" w:color="auto" w:fill="auto"/>
            <w:noWrap/>
            <w:vAlign w:val="center"/>
          </w:tcPr>
          <w:p w14:paraId="2987110F"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4.02%</w:t>
            </w:r>
          </w:p>
        </w:tc>
        <w:tc>
          <w:tcPr>
            <w:tcW w:w="2520" w:type="dxa"/>
            <w:tcBorders>
              <w:top w:val="nil"/>
              <w:left w:val="nil"/>
              <w:bottom w:val="single" w:sz="4" w:space="0" w:color="000000"/>
              <w:right w:val="single" w:sz="4" w:space="0" w:color="000000"/>
            </w:tcBorders>
            <w:shd w:val="clear" w:color="auto" w:fill="auto"/>
            <w:noWrap/>
            <w:vAlign w:val="center"/>
          </w:tcPr>
          <w:p w14:paraId="3DA62AA4"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$2,408,765</w:t>
            </w:r>
          </w:p>
        </w:tc>
        <w:tc>
          <w:tcPr>
            <w:tcW w:w="2520" w:type="dxa"/>
            <w:tcBorders>
              <w:top w:val="nil"/>
              <w:left w:val="nil"/>
              <w:bottom w:val="single" w:sz="4" w:space="0" w:color="000000"/>
              <w:right w:val="single" w:sz="8" w:space="0" w:color="000000"/>
            </w:tcBorders>
            <w:shd w:val="clear" w:color="auto" w:fill="auto"/>
            <w:noWrap/>
            <w:vAlign w:val="center"/>
          </w:tcPr>
          <w:p w14:paraId="2ABEA647"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7.78%</w:t>
            </w:r>
          </w:p>
        </w:tc>
      </w:tr>
      <w:tr w:rsidR="009C4649" w:rsidRPr="00EE5714" w14:paraId="4D5F04EF"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754D03A"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2013</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2BC50807"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color w:val="000000"/>
                <w:sz w:val="20"/>
                <w:szCs w:val="20"/>
              </w:rPr>
              <w:t>$1,684,812</w:t>
            </w:r>
          </w:p>
        </w:tc>
        <w:tc>
          <w:tcPr>
            <w:tcW w:w="2160" w:type="dxa"/>
            <w:tcBorders>
              <w:top w:val="nil"/>
              <w:left w:val="nil"/>
              <w:bottom w:val="single" w:sz="4" w:space="0" w:color="000000"/>
              <w:right w:val="single" w:sz="4" w:space="0" w:color="000000"/>
            </w:tcBorders>
            <w:shd w:val="clear" w:color="auto" w:fill="auto"/>
            <w:noWrap/>
            <w:vAlign w:val="center"/>
          </w:tcPr>
          <w:p w14:paraId="40D1CEE8"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5.28%</w:t>
            </w:r>
          </w:p>
        </w:tc>
        <w:tc>
          <w:tcPr>
            <w:tcW w:w="2520" w:type="dxa"/>
            <w:tcBorders>
              <w:top w:val="nil"/>
              <w:left w:val="nil"/>
              <w:bottom w:val="single" w:sz="4" w:space="0" w:color="000000"/>
              <w:right w:val="single" w:sz="4" w:space="0" w:color="000000"/>
            </w:tcBorders>
            <w:shd w:val="clear" w:color="auto" w:fill="auto"/>
            <w:noWrap/>
            <w:vAlign w:val="center"/>
          </w:tcPr>
          <w:p w14:paraId="4BFB765E"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$3,133,749</w:t>
            </w:r>
          </w:p>
        </w:tc>
        <w:tc>
          <w:tcPr>
            <w:tcW w:w="2520" w:type="dxa"/>
            <w:tcBorders>
              <w:top w:val="nil"/>
              <w:left w:val="nil"/>
              <w:bottom w:val="single" w:sz="4" w:space="0" w:color="000000"/>
              <w:right w:val="single" w:sz="8" w:space="0" w:color="000000"/>
            </w:tcBorders>
            <w:shd w:val="clear" w:color="auto" w:fill="auto"/>
            <w:noWrap/>
            <w:vAlign w:val="center"/>
          </w:tcPr>
          <w:p w14:paraId="08F8D70F"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9.83%</w:t>
            </w:r>
          </w:p>
        </w:tc>
      </w:tr>
      <w:tr w:rsidR="009C4649" w:rsidRPr="00EE5714" w14:paraId="5BD2E1DB"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514D1E4A"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b/>
                <w:color w:val="000000"/>
                <w:sz w:val="20"/>
                <w:szCs w:val="20"/>
              </w:rPr>
              <w:t>2014</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168FD214"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color w:val="000000"/>
                <w:sz w:val="20"/>
                <w:szCs w:val="20"/>
              </w:rPr>
              <w:t>$2,354,783</w:t>
            </w:r>
          </w:p>
        </w:tc>
        <w:tc>
          <w:tcPr>
            <w:tcW w:w="2160" w:type="dxa"/>
            <w:tcBorders>
              <w:top w:val="nil"/>
              <w:left w:val="nil"/>
              <w:bottom w:val="single" w:sz="4" w:space="0" w:color="000000"/>
              <w:right w:val="single" w:sz="4" w:space="0" w:color="000000"/>
            </w:tcBorders>
            <w:shd w:val="clear" w:color="auto" w:fill="auto"/>
            <w:noWrap/>
            <w:vAlign w:val="center"/>
          </w:tcPr>
          <w:p w14:paraId="267B10E6"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6.54%</w:t>
            </w:r>
          </w:p>
        </w:tc>
        <w:tc>
          <w:tcPr>
            <w:tcW w:w="2520" w:type="dxa"/>
            <w:tcBorders>
              <w:top w:val="nil"/>
              <w:left w:val="nil"/>
              <w:bottom w:val="single" w:sz="4" w:space="0" w:color="000000"/>
              <w:right w:val="single" w:sz="4" w:space="0" w:color="000000"/>
            </w:tcBorders>
            <w:shd w:val="clear" w:color="auto" w:fill="auto"/>
            <w:noWrap/>
            <w:vAlign w:val="center"/>
          </w:tcPr>
          <w:p w14:paraId="5A4413E8"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$4,302,184</w:t>
            </w:r>
          </w:p>
        </w:tc>
        <w:tc>
          <w:tcPr>
            <w:tcW w:w="2520" w:type="dxa"/>
            <w:tcBorders>
              <w:top w:val="nil"/>
              <w:left w:val="nil"/>
              <w:bottom w:val="single" w:sz="4" w:space="0" w:color="000000"/>
              <w:right w:val="single" w:sz="8" w:space="0" w:color="000000"/>
            </w:tcBorders>
            <w:shd w:val="clear" w:color="auto" w:fill="auto"/>
            <w:noWrap/>
            <w:vAlign w:val="center"/>
          </w:tcPr>
          <w:p w14:paraId="00BC88A5"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11.95%</w:t>
            </w:r>
          </w:p>
        </w:tc>
      </w:tr>
      <w:tr w:rsidR="009C4649" w:rsidRPr="00EE5714" w14:paraId="5AFD20CA"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442F661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2015</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696BD23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$1,956,803</w:t>
            </w:r>
          </w:p>
        </w:tc>
        <w:tc>
          <w:tcPr>
            <w:tcW w:w="2160" w:type="dxa"/>
            <w:tcBorders>
              <w:top w:val="nil"/>
              <w:left w:val="nil"/>
              <w:bottom w:val="single" w:sz="4" w:space="0" w:color="000000"/>
              <w:right w:val="single" w:sz="4" w:space="0" w:color="000000"/>
            </w:tcBorders>
            <w:shd w:val="clear" w:color="auto" w:fill="auto"/>
            <w:noWrap/>
            <w:vAlign w:val="center"/>
            <w:hideMark/>
          </w:tcPr>
          <w:p w14:paraId="686BCC8F"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5.65%</w:t>
            </w:r>
          </w:p>
        </w:tc>
        <w:tc>
          <w:tcPr>
            <w:tcW w:w="2520" w:type="dxa"/>
            <w:tcBorders>
              <w:top w:val="nil"/>
              <w:left w:val="nil"/>
              <w:bottom w:val="single" w:sz="4" w:space="0" w:color="000000"/>
              <w:right w:val="single" w:sz="4" w:space="0" w:color="000000"/>
            </w:tcBorders>
            <w:shd w:val="clear" w:color="auto" w:fill="auto"/>
            <w:noWrap/>
            <w:vAlign w:val="center"/>
            <w:hideMark/>
          </w:tcPr>
          <w:p w14:paraId="0A938895"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$4,193,699</w:t>
            </w:r>
          </w:p>
        </w:tc>
        <w:tc>
          <w:tcPr>
            <w:tcW w:w="2520" w:type="dxa"/>
            <w:tcBorders>
              <w:top w:val="nil"/>
              <w:left w:val="nil"/>
              <w:bottom w:val="single" w:sz="4" w:space="0" w:color="000000"/>
              <w:right w:val="single" w:sz="8" w:space="0" w:color="000000"/>
            </w:tcBorders>
            <w:shd w:val="clear" w:color="auto" w:fill="auto"/>
            <w:noWrap/>
            <w:vAlign w:val="center"/>
            <w:hideMark/>
          </w:tcPr>
          <w:p w14:paraId="58EB6E8E"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12.10%</w:t>
            </w:r>
          </w:p>
        </w:tc>
      </w:tr>
      <w:tr w:rsidR="009C4649" w:rsidRPr="00EE5714" w14:paraId="5255B532"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3BDFD21B"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2016</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148C1ECB"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$1,489,546</w:t>
            </w:r>
          </w:p>
        </w:tc>
        <w:tc>
          <w:tcPr>
            <w:tcW w:w="2160" w:type="dxa"/>
            <w:tcBorders>
              <w:top w:val="nil"/>
              <w:left w:val="nil"/>
              <w:bottom w:val="single" w:sz="4" w:space="0" w:color="000000"/>
              <w:right w:val="single" w:sz="4" w:space="0" w:color="000000"/>
            </w:tcBorders>
            <w:shd w:val="clear" w:color="auto" w:fill="auto"/>
            <w:noWrap/>
            <w:vAlign w:val="center"/>
            <w:hideMark/>
          </w:tcPr>
          <w:p w14:paraId="5E86021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6.47%</w:t>
            </w:r>
          </w:p>
        </w:tc>
        <w:tc>
          <w:tcPr>
            <w:tcW w:w="2520" w:type="dxa"/>
            <w:tcBorders>
              <w:top w:val="nil"/>
              <w:left w:val="nil"/>
              <w:bottom w:val="single" w:sz="4" w:space="0" w:color="000000"/>
              <w:right w:val="single" w:sz="4" w:space="0" w:color="000000"/>
            </w:tcBorders>
            <w:shd w:val="clear" w:color="auto" w:fill="auto"/>
            <w:noWrap/>
            <w:vAlign w:val="center"/>
            <w:hideMark/>
          </w:tcPr>
          <w:p w14:paraId="560A72CF"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sz w:val="20"/>
                <w:szCs w:val="20"/>
              </w:rPr>
              <w:t>$2,536,577</w:t>
            </w:r>
          </w:p>
        </w:tc>
        <w:tc>
          <w:tcPr>
            <w:tcW w:w="2520" w:type="dxa"/>
            <w:tcBorders>
              <w:top w:val="nil"/>
              <w:left w:val="nil"/>
              <w:bottom w:val="single" w:sz="4" w:space="0" w:color="000000"/>
              <w:right w:val="single" w:sz="8" w:space="0" w:color="000000"/>
            </w:tcBorders>
            <w:shd w:val="clear" w:color="auto" w:fill="auto"/>
            <w:noWrap/>
            <w:vAlign w:val="center"/>
            <w:hideMark/>
          </w:tcPr>
          <w:p w14:paraId="69E35C38"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11.02%</w:t>
            </w:r>
          </w:p>
        </w:tc>
      </w:tr>
      <w:tr w:rsidR="00323C84" w:rsidRPr="00EE5714" w14:paraId="4A12976E"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3D152BBC" w14:textId="77777777" w:rsidR="00F303E0" w:rsidRPr="00EE5714" w:rsidRDefault="00F303E0" w:rsidP="00851815">
            <w:pPr>
              <w:keepNext/>
              <w:rPr>
                <w:rFonts w:ascii="Calibri" w:eastAsia="Times New Roman" w:hAnsi="Calibri" w:cs="Calibri"/>
                <w:color w:val="000000"/>
                <w:sz w:val="20"/>
                <w:szCs w:val="20"/>
              </w:rPr>
            </w:pPr>
            <w:r w:rsidRPr="00EE5714">
              <w:rPr>
                <w:rFonts w:ascii="Calibri" w:eastAsia="Times New Roman" w:hAnsi="Calibri" w:cs="Calibri"/>
                <w:b/>
                <w:color w:val="000000"/>
                <w:sz w:val="20"/>
                <w:szCs w:val="20"/>
              </w:rPr>
              <w:t>UGI PNG</w:t>
            </w:r>
          </w:p>
        </w:tc>
        <w:tc>
          <w:tcPr>
            <w:tcW w:w="2070" w:type="dxa"/>
            <w:tcBorders>
              <w:top w:val="nil"/>
              <w:left w:val="single" w:sz="8" w:space="0" w:color="000000"/>
              <w:bottom w:val="single" w:sz="4" w:space="0" w:color="000000"/>
              <w:right w:val="single" w:sz="4" w:space="0" w:color="000000"/>
            </w:tcBorders>
            <w:shd w:val="clear" w:color="auto" w:fill="F2F2F2" w:themeFill="background1" w:themeFillShade="F2"/>
            <w:noWrap/>
            <w:vAlign w:val="bottom"/>
          </w:tcPr>
          <w:p w14:paraId="703BACB3" w14:textId="77777777" w:rsidR="00F303E0" w:rsidRPr="00EE5714" w:rsidRDefault="00F303E0" w:rsidP="00851815">
            <w:pPr>
              <w:keepNext/>
              <w:jc w:val="center"/>
              <w:rPr>
                <w:rFonts w:ascii="Calibri" w:eastAsia="Times New Roman" w:hAnsi="Calibri" w:cs="Calibri"/>
                <w:color w:val="000000"/>
                <w:sz w:val="20"/>
                <w:szCs w:val="20"/>
              </w:rPr>
            </w:pPr>
          </w:p>
        </w:tc>
        <w:tc>
          <w:tcPr>
            <w:tcW w:w="2160" w:type="dxa"/>
            <w:tcBorders>
              <w:top w:val="nil"/>
              <w:left w:val="nil"/>
              <w:bottom w:val="single" w:sz="4" w:space="0" w:color="000000"/>
              <w:right w:val="single" w:sz="4" w:space="0" w:color="000000"/>
            </w:tcBorders>
            <w:shd w:val="clear" w:color="auto" w:fill="F2F2F2" w:themeFill="background1" w:themeFillShade="F2"/>
            <w:noWrap/>
            <w:vAlign w:val="bottom"/>
          </w:tcPr>
          <w:p w14:paraId="3C5D5453" w14:textId="77777777" w:rsidR="00F303E0" w:rsidRPr="00EE5714" w:rsidRDefault="00F303E0" w:rsidP="00851815">
            <w:pPr>
              <w:keepNext/>
              <w:jc w:val="center"/>
              <w:rPr>
                <w:rFonts w:ascii="Calibri" w:eastAsia="Times New Roman" w:hAnsi="Calibri" w:cs="Calibri"/>
                <w:sz w:val="20"/>
                <w:szCs w:val="20"/>
              </w:rPr>
            </w:pPr>
          </w:p>
        </w:tc>
        <w:tc>
          <w:tcPr>
            <w:tcW w:w="2520" w:type="dxa"/>
            <w:tcBorders>
              <w:top w:val="nil"/>
              <w:left w:val="nil"/>
              <w:bottom w:val="single" w:sz="4" w:space="0" w:color="000000"/>
              <w:right w:val="single" w:sz="4" w:space="0" w:color="000000"/>
            </w:tcBorders>
            <w:shd w:val="clear" w:color="auto" w:fill="F2F2F2" w:themeFill="background1" w:themeFillShade="F2"/>
            <w:noWrap/>
            <w:vAlign w:val="bottom"/>
          </w:tcPr>
          <w:p w14:paraId="6378D362" w14:textId="77777777" w:rsidR="00F303E0" w:rsidRPr="00EE5714" w:rsidRDefault="00F303E0" w:rsidP="00851815">
            <w:pPr>
              <w:keepNext/>
              <w:jc w:val="center"/>
              <w:rPr>
                <w:rFonts w:ascii="Calibri" w:eastAsia="Times New Roman" w:hAnsi="Calibri" w:cs="Calibri"/>
                <w:sz w:val="20"/>
                <w:szCs w:val="20"/>
              </w:rPr>
            </w:pPr>
          </w:p>
        </w:tc>
        <w:tc>
          <w:tcPr>
            <w:tcW w:w="2520" w:type="dxa"/>
            <w:tcBorders>
              <w:top w:val="nil"/>
              <w:left w:val="nil"/>
              <w:bottom w:val="single" w:sz="4" w:space="0" w:color="000000"/>
              <w:right w:val="single" w:sz="8" w:space="0" w:color="000000"/>
            </w:tcBorders>
            <w:shd w:val="clear" w:color="auto" w:fill="F2F2F2" w:themeFill="background1" w:themeFillShade="F2"/>
            <w:noWrap/>
            <w:vAlign w:val="bottom"/>
          </w:tcPr>
          <w:p w14:paraId="2D5251A3" w14:textId="77777777" w:rsidR="00F303E0" w:rsidRPr="00EE5714" w:rsidRDefault="00F303E0" w:rsidP="00851815">
            <w:pPr>
              <w:keepNext/>
              <w:jc w:val="center"/>
              <w:rPr>
                <w:rFonts w:ascii="Calibri" w:eastAsia="Times New Roman" w:hAnsi="Calibri" w:cs="Calibri"/>
                <w:color w:val="000000"/>
                <w:sz w:val="20"/>
                <w:szCs w:val="20"/>
              </w:rPr>
            </w:pPr>
          </w:p>
        </w:tc>
      </w:tr>
      <w:tr w:rsidR="009C4649" w:rsidRPr="00EE5714" w14:paraId="2441429D"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46484029"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2012</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5CD23FA2"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$1,045,398</w:t>
            </w:r>
          </w:p>
        </w:tc>
        <w:tc>
          <w:tcPr>
            <w:tcW w:w="2160" w:type="dxa"/>
            <w:tcBorders>
              <w:top w:val="nil"/>
              <w:left w:val="nil"/>
              <w:bottom w:val="single" w:sz="4" w:space="0" w:color="000000"/>
              <w:right w:val="single" w:sz="4" w:space="0" w:color="000000"/>
            </w:tcBorders>
            <w:shd w:val="clear" w:color="auto" w:fill="auto"/>
            <w:noWrap/>
            <w:vAlign w:val="center"/>
          </w:tcPr>
          <w:p w14:paraId="08E0026C"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3.82%</w:t>
            </w:r>
          </w:p>
        </w:tc>
        <w:tc>
          <w:tcPr>
            <w:tcW w:w="2520" w:type="dxa"/>
            <w:tcBorders>
              <w:top w:val="nil"/>
              <w:left w:val="nil"/>
              <w:bottom w:val="single" w:sz="4" w:space="0" w:color="000000"/>
              <w:right w:val="single" w:sz="4" w:space="0" w:color="000000"/>
            </w:tcBorders>
            <w:shd w:val="clear" w:color="auto" w:fill="auto"/>
            <w:noWrap/>
            <w:vAlign w:val="center"/>
          </w:tcPr>
          <w:p w14:paraId="14C9912D"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$1,678,300</w:t>
            </w:r>
          </w:p>
        </w:tc>
        <w:tc>
          <w:tcPr>
            <w:tcW w:w="2520" w:type="dxa"/>
            <w:tcBorders>
              <w:top w:val="nil"/>
              <w:left w:val="nil"/>
              <w:bottom w:val="single" w:sz="4" w:space="0" w:color="000000"/>
              <w:right w:val="single" w:sz="8" w:space="0" w:color="000000"/>
            </w:tcBorders>
            <w:shd w:val="clear" w:color="auto" w:fill="auto"/>
            <w:noWrap/>
            <w:vAlign w:val="center"/>
          </w:tcPr>
          <w:p w14:paraId="13D317B5"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6.14%</w:t>
            </w:r>
          </w:p>
        </w:tc>
      </w:tr>
      <w:tr w:rsidR="009C4649" w:rsidRPr="00EE5714" w14:paraId="7DBFF64B"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76A53BED"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2013</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3BF8EA76"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$1,348,443</w:t>
            </w:r>
          </w:p>
        </w:tc>
        <w:tc>
          <w:tcPr>
            <w:tcW w:w="2160" w:type="dxa"/>
            <w:tcBorders>
              <w:top w:val="nil"/>
              <w:left w:val="nil"/>
              <w:bottom w:val="single" w:sz="4" w:space="0" w:color="000000"/>
              <w:right w:val="single" w:sz="4" w:space="0" w:color="000000"/>
            </w:tcBorders>
            <w:shd w:val="clear" w:color="auto" w:fill="auto"/>
            <w:noWrap/>
            <w:vAlign w:val="center"/>
          </w:tcPr>
          <w:p w14:paraId="574771FB"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4.60%</w:t>
            </w:r>
          </w:p>
        </w:tc>
        <w:tc>
          <w:tcPr>
            <w:tcW w:w="2520" w:type="dxa"/>
            <w:tcBorders>
              <w:top w:val="nil"/>
              <w:left w:val="nil"/>
              <w:bottom w:val="single" w:sz="4" w:space="0" w:color="000000"/>
              <w:right w:val="single" w:sz="4" w:space="0" w:color="000000"/>
            </w:tcBorders>
            <w:shd w:val="clear" w:color="auto" w:fill="auto"/>
            <w:noWrap/>
            <w:vAlign w:val="center"/>
          </w:tcPr>
          <w:p w14:paraId="6AEC7E1A"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$2,207,866</w:t>
            </w:r>
          </w:p>
        </w:tc>
        <w:tc>
          <w:tcPr>
            <w:tcW w:w="2520" w:type="dxa"/>
            <w:tcBorders>
              <w:top w:val="nil"/>
              <w:left w:val="nil"/>
              <w:bottom w:val="single" w:sz="4" w:space="0" w:color="000000"/>
              <w:right w:val="single" w:sz="8" w:space="0" w:color="000000"/>
            </w:tcBorders>
            <w:shd w:val="clear" w:color="auto" w:fill="auto"/>
            <w:noWrap/>
            <w:vAlign w:val="center"/>
          </w:tcPr>
          <w:p w14:paraId="0DAE9612"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7.54%</w:t>
            </w:r>
          </w:p>
        </w:tc>
      </w:tr>
      <w:tr w:rsidR="009C4649" w:rsidRPr="00EE5714" w14:paraId="5FF340EE"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48589F92"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2014</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0AEE757D"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$1,666,165</w:t>
            </w:r>
          </w:p>
        </w:tc>
        <w:tc>
          <w:tcPr>
            <w:tcW w:w="2160" w:type="dxa"/>
            <w:tcBorders>
              <w:top w:val="nil"/>
              <w:left w:val="nil"/>
              <w:bottom w:val="single" w:sz="4" w:space="0" w:color="000000"/>
              <w:right w:val="single" w:sz="4" w:space="0" w:color="000000"/>
            </w:tcBorders>
            <w:shd w:val="clear" w:color="auto" w:fill="auto"/>
            <w:noWrap/>
            <w:vAlign w:val="center"/>
          </w:tcPr>
          <w:p w14:paraId="791E00E4"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5.14%</w:t>
            </w:r>
          </w:p>
        </w:tc>
        <w:tc>
          <w:tcPr>
            <w:tcW w:w="2520" w:type="dxa"/>
            <w:tcBorders>
              <w:top w:val="nil"/>
              <w:left w:val="nil"/>
              <w:bottom w:val="single" w:sz="4" w:space="0" w:color="000000"/>
              <w:right w:val="single" w:sz="4" w:space="0" w:color="000000"/>
            </w:tcBorders>
            <w:shd w:val="clear" w:color="auto" w:fill="auto"/>
            <w:noWrap/>
            <w:vAlign w:val="center"/>
          </w:tcPr>
          <w:p w14:paraId="0F152BC8"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$2,863,510</w:t>
            </w:r>
          </w:p>
        </w:tc>
        <w:tc>
          <w:tcPr>
            <w:tcW w:w="2520" w:type="dxa"/>
            <w:tcBorders>
              <w:top w:val="nil"/>
              <w:left w:val="nil"/>
              <w:bottom w:val="single" w:sz="4" w:space="0" w:color="000000"/>
              <w:right w:val="single" w:sz="8" w:space="0" w:color="000000"/>
            </w:tcBorders>
            <w:shd w:val="clear" w:color="auto" w:fill="auto"/>
            <w:noWrap/>
            <w:vAlign w:val="center"/>
          </w:tcPr>
          <w:p w14:paraId="3A3D625C"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8.83%</w:t>
            </w:r>
          </w:p>
        </w:tc>
      </w:tr>
      <w:tr w:rsidR="009C4649" w:rsidRPr="00EE5714" w14:paraId="732246DB"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120EDEAE"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2015</w:t>
            </w:r>
          </w:p>
        </w:tc>
        <w:tc>
          <w:tcPr>
            <w:tcW w:w="2070" w:type="dxa"/>
            <w:tcBorders>
              <w:top w:val="nil"/>
              <w:left w:val="single" w:sz="8" w:space="0" w:color="000000"/>
              <w:bottom w:val="single" w:sz="4" w:space="0" w:color="000000"/>
              <w:right w:val="single" w:sz="4" w:space="0" w:color="000000"/>
            </w:tcBorders>
            <w:shd w:val="clear" w:color="auto" w:fill="auto"/>
            <w:noWrap/>
            <w:vAlign w:val="center"/>
          </w:tcPr>
          <w:p w14:paraId="5F81621F"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$1,565,517</w:t>
            </w:r>
          </w:p>
        </w:tc>
        <w:tc>
          <w:tcPr>
            <w:tcW w:w="2160" w:type="dxa"/>
            <w:tcBorders>
              <w:top w:val="nil"/>
              <w:left w:val="nil"/>
              <w:bottom w:val="single" w:sz="4" w:space="0" w:color="000000"/>
              <w:right w:val="single" w:sz="4" w:space="0" w:color="000000"/>
            </w:tcBorders>
            <w:shd w:val="clear" w:color="auto" w:fill="auto"/>
            <w:noWrap/>
            <w:vAlign w:val="center"/>
          </w:tcPr>
          <w:p w14:paraId="019E1FD9"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4.91%</w:t>
            </w:r>
          </w:p>
        </w:tc>
        <w:tc>
          <w:tcPr>
            <w:tcW w:w="2520" w:type="dxa"/>
            <w:tcBorders>
              <w:top w:val="nil"/>
              <w:left w:val="nil"/>
              <w:bottom w:val="single" w:sz="4" w:space="0" w:color="000000"/>
              <w:right w:val="single" w:sz="4" w:space="0" w:color="000000"/>
            </w:tcBorders>
            <w:shd w:val="clear" w:color="auto" w:fill="auto"/>
            <w:noWrap/>
            <w:vAlign w:val="center"/>
          </w:tcPr>
          <w:p w14:paraId="2A38807B" w14:textId="77777777" w:rsidR="00F303E0" w:rsidRPr="00EE5714" w:rsidRDefault="00F303E0" w:rsidP="00851815">
            <w:pPr>
              <w:keepNext/>
              <w:jc w:val="center"/>
              <w:rPr>
                <w:rFonts w:ascii="Calibri" w:eastAsia="Times New Roman" w:hAnsi="Calibri" w:cs="Calibri"/>
                <w:sz w:val="20"/>
                <w:szCs w:val="20"/>
              </w:rPr>
            </w:pPr>
            <w:r w:rsidRPr="00EE5714">
              <w:rPr>
                <w:rFonts w:ascii="Calibri" w:eastAsia="Times New Roman" w:hAnsi="Calibri" w:cs="Calibri"/>
                <w:sz w:val="20"/>
                <w:szCs w:val="20"/>
              </w:rPr>
              <w:t>$2,764,845</w:t>
            </w:r>
          </w:p>
        </w:tc>
        <w:tc>
          <w:tcPr>
            <w:tcW w:w="2520" w:type="dxa"/>
            <w:tcBorders>
              <w:top w:val="nil"/>
              <w:left w:val="nil"/>
              <w:bottom w:val="single" w:sz="4" w:space="0" w:color="000000"/>
              <w:right w:val="single" w:sz="8" w:space="0" w:color="000000"/>
            </w:tcBorders>
            <w:shd w:val="clear" w:color="auto" w:fill="auto"/>
            <w:noWrap/>
            <w:vAlign w:val="center"/>
          </w:tcPr>
          <w:p w14:paraId="54A5AE73" w14:textId="77777777" w:rsidR="00F303E0" w:rsidRPr="00EE5714" w:rsidRDefault="00F303E0" w:rsidP="00851815">
            <w:pPr>
              <w:keepNext/>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8.68%</w:t>
            </w:r>
          </w:p>
        </w:tc>
      </w:tr>
      <w:tr w:rsidR="009C4649" w:rsidRPr="00EE5714" w14:paraId="4CD9FF6A" w14:textId="77777777" w:rsidTr="00A077EA">
        <w:trPr>
          <w:trHeight w:hRule="exact" w:val="245"/>
        </w:trPr>
        <w:tc>
          <w:tcPr>
            <w:tcW w:w="1350" w:type="dxa"/>
            <w:tcBorders>
              <w:top w:val="nil"/>
              <w:left w:val="single" w:sz="8" w:space="0" w:color="000000"/>
              <w:bottom w:val="single" w:sz="4" w:space="0" w:color="000000"/>
              <w:right w:val="single" w:sz="4" w:space="0" w:color="000000"/>
            </w:tcBorders>
            <w:shd w:val="clear" w:color="auto" w:fill="auto"/>
            <w:vAlign w:val="center"/>
          </w:tcPr>
          <w:p w14:paraId="05053640" w14:textId="77777777" w:rsidR="00F303E0" w:rsidRPr="00EE5714" w:rsidRDefault="00F303E0" w:rsidP="00851815">
            <w:pPr>
              <w:jc w:val="center"/>
              <w:rPr>
                <w:rFonts w:ascii="Calibri" w:eastAsia="Times New Roman" w:hAnsi="Calibri" w:cs="Calibri"/>
                <w:color w:val="000000"/>
                <w:sz w:val="20"/>
                <w:szCs w:val="20"/>
              </w:rPr>
            </w:pPr>
            <w:r w:rsidRPr="00EE5714">
              <w:rPr>
                <w:rFonts w:ascii="Calibri" w:eastAsia="Times New Roman" w:hAnsi="Calibri" w:cs="Calibri"/>
                <w:b/>
                <w:color w:val="000000"/>
                <w:sz w:val="20"/>
                <w:szCs w:val="20"/>
              </w:rPr>
              <w:t>2016</w:t>
            </w:r>
          </w:p>
        </w:tc>
        <w:tc>
          <w:tcPr>
            <w:tcW w:w="2070" w:type="dxa"/>
            <w:tcBorders>
              <w:top w:val="nil"/>
              <w:left w:val="single" w:sz="8" w:space="0" w:color="000000"/>
              <w:bottom w:val="single" w:sz="4" w:space="0" w:color="000000"/>
              <w:right w:val="single" w:sz="4" w:space="0" w:color="000000"/>
            </w:tcBorders>
            <w:shd w:val="clear" w:color="auto" w:fill="auto"/>
            <w:noWrap/>
            <w:vAlign w:val="center"/>
            <w:hideMark/>
          </w:tcPr>
          <w:p w14:paraId="33FEDDF0" w14:textId="77777777" w:rsidR="00F303E0" w:rsidRPr="00EE5714" w:rsidRDefault="00F303E0" w:rsidP="00851815">
            <w:pPr>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$937,800</w:t>
            </w:r>
          </w:p>
        </w:tc>
        <w:tc>
          <w:tcPr>
            <w:tcW w:w="2160" w:type="dxa"/>
            <w:tcBorders>
              <w:top w:val="nil"/>
              <w:left w:val="nil"/>
              <w:bottom w:val="single" w:sz="4" w:space="0" w:color="000000"/>
              <w:right w:val="single" w:sz="4" w:space="0" w:color="000000"/>
            </w:tcBorders>
            <w:shd w:val="clear" w:color="auto" w:fill="auto"/>
            <w:noWrap/>
            <w:vAlign w:val="center"/>
            <w:hideMark/>
          </w:tcPr>
          <w:p w14:paraId="53950BDD" w14:textId="77777777" w:rsidR="00F303E0" w:rsidRPr="00EE5714" w:rsidRDefault="00F303E0" w:rsidP="00851815">
            <w:pPr>
              <w:jc w:val="center"/>
              <w:rPr>
                <w:rFonts w:ascii="Calibri" w:eastAsia="Times New Roman" w:hAnsi="Calibri" w:cs="Calibri"/>
                <w:color w:val="000000"/>
                <w:sz w:val="20"/>
                <w:szCs w:val="20"/>
              </w:rPr>
            </w:pPr>
            <w:r w:rsidRPr="00EE5714">
              <w:rPr>
                <w:rFonts w:ascii="Calibri" w:eastAsia="Times New Roman" w:hAnsi="Calibri" w:cs="Calibri"/>
                <w:sz w:val="20"/>
                <w:szCs w:val="20"/>
              </w:rPr>
              <w:t>4.55%</w:t>
            </w:r>
          </w:p>
        </w:tc>
        <w:tc>
          <w:tcPr>
            <w:tcW w:w="2520" w:type="dxa"/>
            <w:tcBorders>
              <w:top w:val="nil"/>
              <w:left w:val="nil"/>
              <w:bottom w:val="single" w:sz="4" w:space="0" w:color="000000"/>
              <w:right w:val="single" w:sz="4" w:space="0" w:color="000000"/>
            </w:tcBorders>
            <w:shd w:val="clear" w:color="auto" w:fill="auto"/>
            <w:noWrap/>
            <w:vAlign w:val="center"/>
            <w:hideMark/>
          </w:tcPr>
          <w:p w14:paraId="17F508A9" w14:textId="77777777" w:rsidR="00F303E0" w:rsidRPr="00EE5714" w:rsidRDefault="00F303E0" w:rsidP="00851815">
            <w:pPr>
              <w:jc w:val="center"/>
              <w:rPr>
                <w:rFonts w:ascii="Calibri" w:eastAsia="Times New Roman" w:hAnsi="Calibri" w:cs="Calibri"/>
                <w:color w:val="000000"/>
                <w:sz w:val="20"/>
                <w:szCs w:val="20"/>
              </w:rPr>
            </w:pPr>
            <w:r w:rsidRPr="00EE5714">
              <w:rPr>
                <w:rFonts w:ascii="Calibri" w:eastAsia="Times New Roman" w:hAnsi="Calibri" w:cs="Calibri"/>
                <w:sz w:val="20"/>
                <w:szCs w:val="20"/>
              </w:rPr>
              <w:t>$1,615,307</w:t>
            </w:r>
          </w:p>
        </w:tc>
        <w:tc>
          <w:tcPr>
            <w:tcW w:w="2520" w:type="dxa"/>
            <w:tcBorders>
              <w:top w:val="nil"/>
              <w:left w:val="nil"/>
              <w:bottom w:val="single" w:sz="4" w:space="0" w:color="000000"/>
              <w:right w:val="single" w:sz="8" w:space="0" w:color="000000"/>
            </w:tcBorders>
            <w:shd w:val="clear" w:color="auto" w:fill="auto"/>
            <w:noWrap/>
            <w:vAlign w:val="center"/>
            <w:hideMark/>
          </w:tcPr>
          <w:p w14:paraId="2E59FA09" w14:textId="77777777" w:rsidR="00F303E0" w:rsidRPr="00EE5714" w:rsidRDefault="00F303E0" w:rsidP="00851815">
            <w:pPr>
              <w:jc w:val="center"/>
              <w:rPr>
                <w:rFonts w:ascii="Calibri" w:eastAsia="Times New Roman" w:hAnsi="Calibri" w:cs="Calibri"/>
                <w:color w:val="000000"/>
                <w:sz w:val="20"/>
                <w:szCs w:val="20"/>
              </w:rPr>
            </w:pPr>
            <w:r w:rsidRPr="00EE5714">
              <w:rPr>
                <w:rFonts w:ascii="Calibri" w:eastAsia="Times New Roman" w:hAnsi="Calibri" w:cs="Calibri"/>
                <w:color w:val="000000"/>
                <w:sz w:val="20"/>
                <w:szCs w:val="20"/>
              </w:rPr>
              <w:t>7.83%</w:t>
            </w:r>
          </w:p>
        </w:tc>
      </w:tr>
    </w:tbl>
    <w:p w14:paraId="7020CE83" w14:textId="2F4BF0BB" w:rsidR="00F303E0" w:rsidRPr="00EE5714" w:rsidRDefault="00F734A0" w:rsidP="00F303E0">
      <w:pPr>
        <w:pStyle w:val="NoSpacing"/>
        <w:keepNext/>
        <w:rPr>
          <w:rFonts w:cs="Times New Roman"/>
          <w:i/>
          <w:color w:val="000000" w:themeColor="text1"/>
          <w:szCs w:val="26"/>
        </w:rPr>
      </w:pPr>
      <w:r w:rsidRPr="00EE5714">
        <w:rPr>
          <w:rFonts w:cs="Times New Roman"/>
          <w:i/>
          <w:color w:val="000000" w:themeColor="text1"/>
          <w:szCs w:val="26"/>
        </w:rPr>
        <w:t>Appendix 7</w:t>
      </w:r>
      <w:r w:rsidR="00F303E0" w:rsidRPr="00EE5714">
        <w:rPr>
          <w:rFonts w:cs="Times New Roman"/>
          <w:i/>
          <w:color w:val="000000" w:themeColor="text1"/>
          <w:szCs w:val="26"/>
        </w:rPr>
        <w:t xml:space="preserve">.E: Tables 8-6 and 8-8 EDCs CLI Customers Debt </w:t>
      </w:r>
    </w:p>
    <w:p w14:paraId="30C4A64A" w14:textId="77777777" w:rsidR="00F303E0" w:rsidRPr="00EE5714" w:rsidRDefault="00F303E0" w:rsidP="004A27C8">
      <w:pPr>
        <w:pStyle w:val="NoSpacing"/>
        <w:rPr>
          <w:rFonts w:cs="Times New Roman"/>
          <w:szCs w:val="26"/>
        </w:rPr>
      </w:pPr>
    </w:p>
    <w:p w14:paraId="032C362F" w14:textId="77777777" w:rsidR="00F303E0" w:rsidRPr="00EE5714" w:rsidRDefault="00F734A0" w:rsidP="00F303E0">
      <w:pPr>
        <w:pStyle w:val="NoSpacing"/>
        <w:keepNext/>
        <w:rPr>
          <w:rFonts w:cs="Times New Roman"/>
          <w:szCs w:val="26"/>
        </w:rPr>
      </w:pPr>
      <w:r w:rsidRPr="00EE5714">
        <w:rPr>
          <w:rFonts w:cs="Times New Roman"/>
          <w:szCs w:val="26"/>
        </w:rPr>
        <w:lastRenderedPageBreak/>
        <w:t>Appendix 7</w:t>
      </w:r>
      <w:r w:rsidR="00F303E0" w:rsidRPr="00EE5714">
        <w:rPr>
          <w:rFonts w:cs="Times New Roman"/>
          <w:szCs w:val="26"/>
        </w:rPr>
        <w:t xml:space="preserve">.E.1: </w:t>
      </w:r>
      <w:r w:rsidR="00F303E0" w:rsidRPr="00EE5714">
        <w:rPr>
          <w:rFonts w:cs="Times New Roman"/>
          <w:b/>
          <w:bCs/>
          <w:color w:val="000000"/>
          <w:szCs w:val="26"/>
        </w:rPr>
        <w:t>EDC Confirmed Low-Income Customers Debt &amp; Debt Ratios</w:t>
      </w:r>
    </w:p>
    <w:tbl>
      <w:tblPr>
        <w:tblW w:w="1071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620"/>
        <w:gridCol w:w="2250"/>
        <w:gridCol w:w="2295"/>
        <w:gridCol w:w="2385"/>
        <w:gridCol w:w="2160"/>
      </w:tblGrid>
      <w:tr w:rsidR="00F303E0" w:rsidRPr="00EE5714" w14:paraId="705F3618" w14:textId="77777777" w:rsidTr="00E92AC6">
        <w:trPr>
          <w:trHeight w:val="493"/>
        </w:trPr>
        <w:tc>
          <w:tcPr>
            <w:tcW w:w="1620" w:type="dxa"/>
            <w:tcBorders>
              <w:bottom w:val="single" w:sz="8" w:space="0" w:color="000000"/>
            </w:tcBorders>
            <w:shd w:val="clear" w:color="auto" w:fill="auto"/>
            <w:noWrap/>
            <w:vAlign w:val="bottom"/>
          </w:tcPr>
          <w:p w14:paraId="5D8A5D19" w14:textId="77777777" w:rsidR="00F303E0" w:rsidRPr="00EE5714" w:rsidRDefault="00F303E0" w:rsidP="00E92AC6">
            <w:pPr>
              <w:keepNext/>
              <w:spacing w:after="0" w:line="240" w:lineRule="auto"/>
              <w:rPr>
                <w:rFonts w:ascii="Calibri" w:eastAsia="Times New Roman" w:hAnsi="Calibri" w:cs="Calibri"/>
                <w:color w:val="000000"/>
                <w:sz w:val="21"/>
                <w:szCs w:val="21"/>
              </w:rPr>
            </w:pPr>
          </w:p>
        </w:tc>
        <w:tc>
          <w:tcPr>
            <w:tcW w:w="2250" w:type="dxa"/>
            <w:tcBorders>
              <w:bottom w:val="single" w:sz="8" w:space="0" w:color="000000"/>
            </w:tcBorders>
            <w:vAlign w:val="bottom"/>
          </w:tcPr>
          <w:p w14:paraId="202282F7" w14:textId="77777777" w:rsidR="00F303E0" w:rsidRPr="00EE5714" w:rsidRDefault="00F303E0" w:rsidP="00E92AC6">
            <w:pPr>
              <w:keepNext/>
              <w:spacing w:after="0" w:line="240" w:lineRule="auto"/>
              <w:jc w:val="center"/>
              <w:rPr>
                <w:rFonts w:ascii="Calibri" w:hAnsi="Calibri" w:cs="Calibri"/>
                <w:color w:val="000000"/>
                <w:sz w:val="21"/>
                <w:szCs w:val="21"/>
              </w:rPr>
            </w:pPr>
            <w:r w:rsidRPr="00EE5714">
              <w:rPr>
                <w:rFonts w:ascii="Calibri" w:eastAsia="Times New Roman" w:hAnsi="Calibri" w:cs="Calibri"/>
                <w:b/>
                <w:color w:val="000000"/>
                <w:sz w:val="21"/>
                <w:szCs w:val="21"/>
              </w:rPr>
              <w:t>Dollars in Debt on Agreement</w:t>
            </w:r>
          </w:p>
        </w:tc>
        <w:tc>
          <w:tcPr>
            <w:tcW w:w="2295" w:type="dxa"/>
            <w:tcBorders>
              <w:bottom w:val="single" w:sz="8" w:space="0" w:color="000000"/>
            </w:tcBorders>
            <w:vAlign w:val="bottom"/>
          </w:tcPr>
          <w:p w14:paraId="6707135F" w14:textId="72F3CF9A" w:rsidR="00F303E0" w:rsidRPr="00EE5714" w:rsidRDefault="00F303E0" w:rsidP="00E92AC6">
            <w:pPr>
              <w:keepNext/>
              <w:spacing w:after="0" w:line="240" w:lineRule="auto"/>
              <w:jc w:val="center"/>
              <w:rPr>
                <w:rFonts w:ascii="Calibri" w:hAnsi="Calibri" w:cs="Calibri"/>
                <w:b/>
                <w:bCs/>
                <w:color w:val="000000"/>
                <w:sz w:val="21"/>
                <w:szCs w:val="21"/>
              </w:rPr>
            </w:pPr>
            <w:r w:rsidRPr="00EE5714">
              <w:rPr>
                <w:rFonts w:ascii="Calibri" w:eastAsia="Times New Roman" w:hAnsi="Calibri" w:cs="Calibri"/>
                <w:b/>
                <w:bCs/>
                <w:color w:val="000000"/>
                <w:sz w:val="21"/>
                <w:szCs w:val="21"/>
              </w:rPr>
              <w:t>Debt Ratio on Agreement</w:t>
            </w:r>
          </w:p>
        </w:tc>
        <w:tc>
          <w:tcPr>
            <w:tcW w:w="2385" w:type="dxa"/>
            <w:tcBorders>
              <w:bottom w:val="single" w:sz="8" w:space="0" w:color="000000"/>
            </w:tcBorders>
            <w:vAlign w:val="bottom"/>
          </w:tcPr>
          <w:p w14:paraId="157F14F5" w14:textId="77777777" w:rsidR="00F303E0" w:rsidRPr="00EE5714" w:rsidRDefault="00F303E0" w:rsidP="00E92AC6">
            <w:pPr>
              <w:keepNext/>
              <w:spacing w:after="0" w:line="240" w:lineRule="auto"/>
              <w:jc w:val="center"/>
              <w:rPr>
                <w:rFonts w:ascii="Calibri" w:hAnsi="Calibri" w:cs="Calibri"/>
                <w:color w:val="000000"/>
                <w:sz w:val="21"/>
                <w:szCs w:val="21"/>
              </w:rPr>
            </w:pPr>
            <w:r w:rsidRPr="00EE5714">
              <w:rPr>
                <w:rFonts w:ascii="Calibri" w:eastAsia="Times New Roman" w:hAnsi="Calibri" w:cs="Calibri"/>
                <w:b/>
                <w:color w:val="000000"/>
                <w:sz w:val="21"/>
                <w:szCs w:val="21"/>
              </w:rPr>
              <w:t>Dollars in Debt Not on Agreement</w:t>
            </w:r>
          </w:p>
        </w:tc>
        <w:tc>
          <w:tcPr>
            <w:tcW w:w="2160" w:type="dxa"/>
            <w:tcBorders>
              <w:bottom w:val="single" w:sz="8" w:space="0" w:color="000000"/>
            </w:tcBorders>
            <w:vAlign w:val="bottom"/>
          </w:tcPr>
          <w:p w14:paraId="4753AEA1" w14:textId="0E703F0F" w:rsidR="00F303E0" w:rsidRPr="00EE5714" w:rsidRDefault="00F303E0" w:rsidP="00E92AC6">
            <w:pPr>
              <w:keepNext/>
              <w:spacing w:after="0" w:line="240" w:lineRule="auto"/>
              <w:jc w:val="center"/>
              <w:rPr>
                <w:rFonts w:ascii="Calibri" w:hAnsi="Calibri" w:cs="Calibri"/>
                <w:b/>
                <w:bCs/>
                <w:color w:val="000000"/>
                <w:sz w:val="21"/>
                <w:szCs w:val="21"/>
              </w:rPr>
            </w:pPr>
            <w:r w:rsidRPr="00EE5714">
              <w:rPr>
                <w:rFonts w:ascii="Calibri" w:eastAsia="Times New Roman" w:hAnsi="Calibri" w:cs="Calibri"/>
                <w:b/>
                <w:bCs/>
                <w:color w:val="000000"/>
                <w:sz w:val="21"/>
                <w:szCs w:val="21"/>
              </w:rPr>
              <w:t>Debt Ratio Not on Agreement</w:t>
            </w:r>
          </w:p>
        </w:tc>
      </w:tr>
      <w:tr w:rsidR="00F303E0" w:rsidRPr="00EE5714" w14:paraId="13E5A3B7" w14:textId="77777777" w:rsidTr="00F85FAA">
        <w:trPr>
          <w:trHeight w:hRule="exact" w:val="245"/>
        </w:trPr>
        <w:tc>
          <w:tcPr>
            <w:tcW w:w="1620" w:type="dxa"/>
            <w:shd w:val="clear" w:color="auto" w:fill="F2F2F2" w:themeFill="background1" w:themeFillShade="F2"/>
            <w:noWrap/>
            <w:vAlign w:val="bottom"/>
            <w:hideMark/>
          </w:tcPr>
          <w:p w14:paraId="0FAB2E3C"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Duquesne</w:t>
            </w:r>
          </w:p>
        </w:tc>
        <w:tc>
          <w:tcPr>
            <w:tcW w:w="2250" w:type="dxa"/>
            <w:shd w:val="clear" w:color="auto" w:fill="F2F2F2" w:themeFill="background1" w:themeFillShade="F2"/>
            <w:vAlign w:val="bottom"/>
          </w:tcPr>
          <w:p w14:paraId="35195C7C" w14:textId="77777777" w:rsidR="00F303E0" w:rsidRPr="00EE5714" w:rsidRDefault="00F303E0" w:rsidP="00851815">
            <w:pPr>
              <w:keepNext/>
              <w:jc w:val="center"/>
              <w:rPr>
                <w:rFonts w:ascii="Calibri" w:eastAsia="Times New Roman" w:hAnsi="Calibri" w:cs="Calibri"/>
                <w:sz w:val="21"/>
                <w:szCs w:val="21"/>
              </w:rPr>
            </w:pPr>
          </w:p>
        </w:tc>
        <w:tc>
          <w:tcPr>
            <w:tcW w:w="2295" w:type="dxa"/>
            <w:shd w:val="clear" w:color="auto" w:fill="F2F2F2" w:themeFill="background1" w:themeFillShade="F2"/>
            <w:vAlign w:val="bottom"/>
          </w:tcPr>
          <w:p w14:paraId="28FDCCBA" w14:textId="77777777" w:rsidR="00F303E0" w:rsidRPr="00EE5714" w:rsidRDefault="00F303E0" w:rsidP="00851815">
            <w:pPr>
              <w:keepNext/>
              <w:jc w:val="center"/>
              <w:rPr>
                <w:rFonts w:ascii="Calibri" w:eastAsia="Times New Roman" w:hAnsi="Calibri" w:cs="Calibri"/>
                <w:sz w:val="21"/>
                <w:szCs w:val="21"/>
              </w:rPr>
            </w:pPr>
          </w:p>
        </w:tc>
        <w:tc>
          <w:tcPr>
            <w:tcW w:w="2385" w:type="dxa"/>
            <w:shd w:val="clear" w:color="auto" w:fill="F2F2F2" w:themeFill="background1" w:themeFillShade="F2"/>
            <w:vAlign w:val="bottom"/>
          </w:tcPr>
          <w:p w14:paraId="2BA3C095" w14:textId="77777777" w:rsidR="00F303E0" w:rsidRPr="00EE5714" w:rsidRDefault="00F303E0" w:rsidP="00851815">
            <w:pPr>
              <w:keepNext/>
              <w:jc w:val="center"/>
              <w:rPr>
                <w:rFonts w:ascii="Calibri" w:eastAsia="Times New Roman" w:hAnsi="Calibri" w:cs="Calibri"/>
                <w:sz w:val="21"/>
                <w:szCs w:val="21"/>
              </w:rPr>
            </w:pPr>
          </w:p>
        </w:tc>
        <w:tc>
          <w:tcPr>
            <w:tcW w:w="2160" w:type="dxa"/>
            <w:shd w:val="clear" w:color="auto" w:fill="F2F2F2" w:themeFill="background1" w:themeFillShade="F2"/>
            <w:vAlign w:val="bottom"/>
          </w:tcPr>
          <w:p w14:paraId="441FD2C5"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131057F2" w14:textId="77777777" w:rsidTr="00F85FAA">
        <w:trPr>
          <w:trHeight w:hRule="exact" w:val="245"/>
        </w:trPr>
        <w:tc>
          <w:tcPr>
            <w:tcW w:w="1620" w:type="dxa"/>
            <w:shd w:val="clear" w:color="auto" w:fill="auto"/>
            <w:noWrap/>
            <w:vAlign w:val="center"/>
            <w:hideMark/>
          </w:tcPr>
          <w:p w14:paraId="6BC6564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2012</w:t>
            </w:r>
          </w:p>
        </w:tc>
        <w:tc>
          <w:tcPr>
            <w:tcW w:w="2250" w:type="dxa"/>
            <w:vAlign w:val="center"/>
          </w:tcPr>
          <w:p w14:paraId="32E8E7D7"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$1,763,408</w:t>
            </w:r>
          </w:p>
        </w:tc>
        <w:tc>
          <w:tcPr>
            <w:tcW w:w="2295" w:type="dxa"/>
            <w:vAlign w:val="center"/>
          </w:tcPr>
          <w:p w14:paraId="2C12FB4C"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2.81%</w:t>
            </w:r>
          </w:p>
        </w:tc>
        <w:tc>
          <w:tcPr>
            <w:tcW w:w="2385" w:type="dxa"/>
            <w:vAlign w:val="center"/>
          </w:tcPr>
          <w:p w14:paraId="6F3F646E"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$3,818,908</w:t>
            </w:r>
          </w:p>
        </w:tc>
        <w:tc>
          <w:tcPr>
            <w:tcW w:w="2160" w:type="dxa"/>
            <w:vAlign w:val="center"/>
          </w:tcPr>
          <w:p w14:paraId="6DFCB749"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6.10%</w:t>
            </w:r>
          </w:p>
        </w:tc>
      </w:tr>
      <w:tr w:rsidR="00F303E0" w:rsidRPr="00EE5714" w14:paraId="24A997D9" w14:textId="77777777" w:rsidTr="00F85FAA">
        <w:trPr>
          <w:trHeight w:hRule="exact" w:val="245"/>
        </w:trPr>
        <w:tc>
          <w:tcPr>
            <w:tcW w:w="1620" w:type="dxa"/>
            <w:shd w:val="clear" w:color="auto" w:fill="auto"/>
            <w:noWrap/>
            <w:vAlign w:val="center"/>
            <w:hideMark/>
          </w:tcPr>
          <w:p w14:paraId="750A8C1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2013</w:t>
            </w:r>
          </w:p>
        </w:tc>
        <w:tc>
          <w:tcPr>
            <w:tcW w:w="2250" w:type="dxa"/>
            <w:vAlign w:val="center"/>
          </w:tcPr>
          <w:p w14:paraId="30AD62DD"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$1,831,381</w:t>
            </w:r>
          </w:p>
        </w:tc>
        <w:tc>
          <w:tcPr>
            <w:tcW w:w="2295" w:type="dxa"/>
            <w:vAlign w:val="center"/>
          </w:tcPr>
          <w:p w14:paraId="06B692BA"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2.99%</w:t>
            </w:r>
          </w:p>
        </w:tc>
        <w:tc>
          <w:tcPr>
            <w:tcW w:w="2385" w:type="dxa"/>
            <w:vAlign w:val="center"/>
          </w:tcPr>
          <w:p w14:paraId="2527A64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$3,971,232</w:t>
            </w:r>
          </w:p>
        </w:tc>
        <w:tc>
          <w:tcPr>
            <w:tcW w:w="2160" w:type="dxa"/>
            <w:vAlign w:val="center"/>
          </w:tcPr>
          <w:p w14:paraId="7D22371F"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6.48%</w:t>
            </w:r>
          </w:p>
        </w:tc>
      </w:tr>
      <w:tr w:rsidR="00F303E0" w:rsidRPr="00EE5714" w14:paraId="7A45121A" w14:textId="77777777" w:rsidTr="00F85FAA">
        <w:trPr>
          <w:trHeight w:hRule="exact" w:val="245"/>
        </w:trPr>
        <w:tc>
          <w:tcPr>
            <w:tcW w:w="1620" w:type="dxa"/>
            <w:shd w:val="clear" w:color="auto" w:fill="auto"/>
            <w:noWrap/>
            <w:vAlign w:val="center"/>
            <w:hideMark/>
          </w:tcPr>
          <w:p w14:paraId="193335C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2014</w:t>
            </w:r>
          </w:p>
        </w:tc>
        <w:tc>
          <w:tcPr>
            <w:tcW w:w="2250" w:type="dxa"/>
            <w:vAlign w:val="center"/>
          </w:tcPr>
          <w:p w14:paraId="5CA2D3E1"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$2,204,174</w:t>
            </w:r>
          </w:p>
        </w:tc>
        <w:tc>
          <w:tcPr>
            <w:tcW w:w="2295" w:type="dxa"/>
            <w:vAlign w:val="center"/>
          </w:tcPr>
          <w:p w14:paraId="6DA74E9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4.20%</w:t>
            </w:r>
          </w:p>
        </w:tc>
        <w:tc>
          <w:tcPr>
            <w:tcW w:w="2385" w:type="dxa"/>
            <w:vAlign w:val="center"/>
          </w:tcPr>
          <w:p w14:paraId="467F716A"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$4,565,510</w:t>
            </w:r>
          </w:p>
        </w:tc>
        <w:tc>
          <w:tcPr>
            <w:tcW w:w="2160" w:type="dxa"/>
            <w:vAlign w:val="center"/>
          </w:tcPr>
          <w:p w14:paraId="222ED8EF"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8.70%</w:t>
            </w:r>
          </w:p>
        </w:tc>
      </w:tr>
      <w:tr w:rsidR="00F303E0" w:rsidRPr="00EE5714" w14:paraId="08C95FF5" w14:textId="77777777" w:rsidTr="00F85FAA">
        <w:trPr>
          <w:trHeight w:hRule="exact" w:val="245"/>
        </w:trPr>
        <w:tc>
          <w:tcPr>
            <w:tcW w:w="1620" w:type="dxa"/>
            <w:shd w:val="clear" w:color="auto" w:fill="auto"/>
            <w:noWrap/>
            <w:vAlign w:val="center"/>
            <w:hideMark/>
          </w:tcPr>
          <w:p w14:paraId="46D46203"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2015</w:t>
            </w:r>
          </w:p>
        </w:tc>
        <w:tc>
          <w:tcPr>
            <w:tcW w:w="2250" w:type="dxa"/>
            <w:vAlign w:val="center"/>
          </w:tcPr>
          <w:p w14:paraId="5CC0DC96"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$1,061,156</w:t>
            </w:r>
          </w:p>
        </w:tc>
        <w:tc>
          <w:tcPr>
            <w:tcW w:w="2295" w:type="dxa"/>
            <w:vAlign w:val="center"/>
          </w:tcPr>
          <w:p w14:paraId="6DDB5BFA"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2.11%</w:t>
            </w:r>
          </w:p>
        </w:tc>
        <w:tc>
          <w:tcPr>
            <w:tcW w:w="2385" w:type="dxa"/>
            <w:vAlign w:val="center"/>
          </w:tcPr>
          <w:p w14:paraId="13647ED5"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$2,499,669</w:t>
            </w:r>
          </w:p>
        </w:tc>
        <w:tc>
          <w:tcPr>
            <w:tcW w:w="2160" w:type="dxa"/>
            <w:vAlign w:val="center"/>
          </w:tcPr>
          <w:p w14:paraId="11627258"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4.96%</w:t>
            </w:r>
          </w:p>
        </w:tc>
      </w:tr>
      <w:tr w:rsidR="00F303E0" w:rsidRPr="00EE5714" w14:paraId="6BA79E87" w14:textId="77777777" w:rsidTr="00F85FAA">
        <w:trPr>
          <w:trHeight w:hRule="exact" w:val="245"/>
        </w:trPr>
        <w:tc>
          <w:tcPr>
            <w:tcW w:w="1620" w:type="dxa"/>
            <w:tcBorders>
              <w:bottom w:val="single" w:sz="8" w:space="0" w:color="000000"/>
            </w:tcBorders>
            <w:shd w:val="clear" w:color="auto" w:fill="auto"/>
            <w:noWrap/>
            <w:vAlign w:val="center"/>
            <w:hideMark/>
          </w:tcPr>
          <w:p w14:paraId="3072E025"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2016</w:t>
            </w:r>
          </w:p>
        </w:tc>
        <w:tc>
          <w:tcPr>
            <w:tcW w:w="2250" w:type="dxa"/>
            <w:tcBorders>
              <w:bottom w:val="single" w:sz="8" w:space="0" w:color="000000"/>
            </w:tcBorders>
            <w:vAlign w:val="center"/>
          </w:tcPr>
          <w:p w14:paraId="420DB060"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$780,301</w:t>
            </w:r>
          </w:p>
        </w:tc>
        <w:tc>
          <w:tcPr>
            <w:tcW w:w="2295" w:type="dxa"/>
            <w:tcBorders>
              <w:bottom w:val="single" w:sz="8" w:space="0" w:color="000000"/>
            </w:tcBorders>
            <w:vAlign w:val="center"/>
          </w:tcPr>
          <w:p w14:paraId="223430EA"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1.38%</w:t>
            </w:r>
          </w:p>
        </w:tc>
        <w:tc>
          <w:tcPr>
            <w:tcW w:w="2385" w:type="dxa"/>
            <w:tcBorders>
              <w:bottom w:val="single" w:sz="8" w:space="0" w:color="000000"/>
            </w:tcBorders>
            <w:vAlign w:val="center"/>
          </w:tcPr>
          <w:p w14:paraId="474532E9"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$2,612,553</w:t>
            </w:r>
          </w:p>
        </w:tc>
        <w:tc>
          <w:tcPr>
            <w:tcW w:w="2160" w:type="dxa"/>
            <w:tcBorders>
              <w:bottom w:val="single" w:sz="8" w:space="0" w:color="000000"/>
            </w:tcBorders>
            <w:vAlign w:val="center"/>
          </w:tcPr>
          <w:p w14:paraId="44BEED6F"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4.63%</w:t>
            </w:r>
          </w:p>
        </w:tc>
      </w:tr>
      <w:tr w:rsidR="00F303E0" w:rsidRPr="00EE5714" w14:paraId="6EF76405" w14:textId="77777777" w:rsidTr="00F85FAA">
        <w:trPr>
          <w:trHeight w:hRule="exact" w:val="245"/>
        </w:trPr>
        <w:tc>
          <w:tcPr>
            <w:tcW w:w="1620" w:type="dxa"/>
            <w:shd w:val="clear" w:color="auto" w:fill="F2F2F2" w:themeFill="background1" w:themeFillShade="F2"/>
            <w:noWrap/>
            <w:vAlign w:val="bottom"/>
            <w:hideMark/>
          </w:tcPr>
          <w:p w14:paraId="18798DC4"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2250" w:type="dxa"/>
            <w:shd w:val="clear" w:color="auto" w:fill="F2F2F2" w:themeFill="background1" w:themeFillShade="F2"/>
            <w:vAlign w:val="bottom"/>
          </w:tcPr>
          <w:p w14:paraId="0A406143" w14:textId="77777777" w:rsidR="00F303E0" w:rsidRPr="00EE5714" w:rsidRDefault="00F303E0" w:rsidP="00851815">
            <w:pPr>
              <w:keepNext/>
              <w:jc w:val="center"/>
              <w:rPr>
                <w:rFonts w:ascii="Calibri" w:eastAsia="Times New Roman" w:hAnsi="Calibri" w:cs="Calibri"/>
                <w:sz w:val="21"/>
                <w:szCs w:val="21"/>
              </w:rPr>
            </w:pPr>
          </w:p>
        </w:tc>
        <w:tc>
          <w:tcPr>
            <w:tcW w:w="2295" w:type="dxa"/>
            <w:shd w:val="clear" w:color="auto" w:fill="F2F2F2" w:themeFill="background1" w:themeFillShade="F2"/>
            <w:vAlign w:val="bottom"/>
          </w:tcPr>
          <w:p w14:paraId="62DFFEA3" w14:textId="77777777" w:rsidR="00F303E0" w:rsidRPr="00EE5714" w:rsidRDefault="00F303E0" w:rsidP="00851815">
            <w:pPr>
              <w:keepNext/>
              <w:jc w:val="center"/>
              <w:rPr>
                <w:rFonts w:ascii="Calibri" w:eastAsia="Times New Roman" w:hAnsi="Calibri" w:cs="Calibri"/>
                <w:sz w:val="21"/>
                <w:szCs w:val="21"/>
              </w:rPr>
            </w:pPr>
          </w:p>
        </w:tc>
        <w:tc>
          <w:tcPr>
            <w:tcW w:w="2385" w:type="dxa"/>
            <w:shd w:val="clear" w:color="auto" w:fill="F2F2F2" w:themeFill="background1" w:themeFillShade="F2"/>
            <w:vAlign w:val="bottom"/>
          </w:tcPr>
          <w:p w14:paraId="46388F00" w14:textId="77777777" w:rsidR="00F303E0" w:rsidRPr="00EE5714" w:rsidRDefault="00F303E0" w:rsidP="00851815">
            <w:pPr>
              <w:keepNext/>
              <w:jc w:val="center"/>
              <w:rPr>
                <w:rFonts w:ascii="Calibri" w:eastAsia="Times New Roman" w:hAnsi="Calibri" w:cs="Calibri"/>
                <w:sz w:val="21"/>
                <w:szCs w:val="21"/>
              </w:rPr>
            </w:pPr>
          </w:p>
        </w:tc>
        <w:tc>
          <w:tcPr>
            <w:tcW w:w="2160" w:type="dxa"/>
            <w:shd w:val="clear" w:color="auto" w:fill="F2F2F2" w:themeFill="background1" w:themeFillShade="F2"/>
            <w:vAlign w:val="bottom"/>
          </w:tcPr>
          <w:p w14:paraId="02D2E066"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7D6FBE9F" w14:textId="77777777" w:rsidTr="00F85FAA">
        <w:trPr>
          <w:trHeight w:hRule="exact" w:val="245"/>
        </w:trPr>
        <w:tc>
          <w:tcPr>
            <w:tcW w:w="1620" w:type="dxa"/>
            <w:shd w:val="clear" w:color="auto" w:fill="auto"/>
            <w:noWrap/>
            <w:vAlign w:val="center"/>
            <w:hideMark/>
          </w:tcPr>
          <w:p w14:paraId="23C51226"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2012</w:t>
            </w:r>
          </w:p>
        </w:tc>
        <w:tc>
          <w:tcPr>
            <w:tcW w:w="2250" w:type="dxa"/>
            <w:vAlign w:val="center"/>
          </w:tcPr>
          <w:p w14:paraId="5A560FCC"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$13,573,213</w:t>
            </w:r>
          </w:p>
        </w:tc>
        <w:tc>
          <w:tcPr>
            <w:tcW w:w="2295" w:type="dxa"/>
            <w:vAlign w:val="center"/>
          </w:tcPr>
          <w:p w14:paraId="32A8F6B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15.27%</w:t>
            </w:r>
          </w:p>
        </w:tc>
        <w:tc>
          <w:tcPr>
            <w:tcW w:w="2385" w:type="dxa"/>
            <w:vAlign w:val="center"/>
          </w:tcPr>
          <w:p w14:paraId="170D18F5"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$1,672,475</w:t>
            </w:r>
          </w:p>
        </w:tc>
        <w:tc>
          <w:tcPr>
            <w:tcW w:w="2160" w:type="dxa"/>
            <w:vAlign w:val="center"/>
          </w:tcPr>
          <w:p w14:paraId="6C832001"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1.88%</w:t>
            </w:r>
          </w:p>
        </w:tc>
      </w:tr>
      <w:tr w:rsidR="00F303E0" w:rsidRPr="00EE5714" w14:paraId="4AD7C64F" w14:textId="77777777" w:rsidTr="00F85FAA">
        <w:trPr>
          <w:trHeight w:hRule="exact" w:val="245"/>
        </w:trPr>
        <w:tc>
          <w:tcPr>
            <w:tcW w:w="1620" w:type="dxa"/>
            <w:shd w:val="clear" w:color="auto" w:fill="auto"/>
            <w:noWrap/>
            <w:vAlign w:val="center"/>
            <w:hideMark/>
          </w:tcPr>
          <w:p w14:paraId="42F0C822"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2013</w:t>
            </w:r>
          </w:p>
        </w:tc>
        <w:tc>
          <w:tcPr>
            <w:tcW w:w="2250" w:type="dxa"/>
            <w:vAlign w:val="center"/>
          </w:tcPr>
          <w:p w14:paraId="2A3A8942"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$12,491,100</w:t>
            </w:r>
          </w:p>
        </w:tc>
        <w:tc>
          <w:tcPr>
            <w:tcW w:w="2295" w:type="dxa"/>
            <w:vAlign w:val="center"/>
          </w:tcPr>
          <w:p w14:paraId="22B078B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14.81%</w:t>
            </w:r>
          </w:p>
        </w:tc>
        <w:tc>
          <w:tcPr>
            <w:tcW w:w="2385" w:type="dxa"/>
            <w:vAlign w:val="center"/>
          </w:tcPr>
          <w:p w14:paraId="67134F0E"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$1,432,428</w:t>
            </w:r>
          </w:p>
        </w:tc>
        <w:tc>
          <w:tcPr>
            <w:tcW w:w="2160" w:type="dxa"/>
            <w:vAlign w:val="center"/>
          </w:tcPr>
          <w:p w14:paraId="6ACCB8B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1.70%</w:t>
            </w:r>
          </w:p>
        </w:tc>
      </w:tr>
      <w:tr w:rsidR="00F303E0" w:rsidRPr="00EE5714" w14:paraId="1032D275" w14:textId="77777777" w:rsidTr="00F85FAA">
        <w:trPr>
          <w:trHeight w:hRule="exact" w:val="245"/>
        </w:trPr>
        <w:tc>
          <w:tcPr>
            <w:tcW w:w="1620" w:type="dxa"/>
            <w:shd w:val="clear" w:color="auto" w:fill="auto"/>
            <w:noWrap/>
            <w:vAlign w:val="center"/>
            <w:hideMark/>
          </w:tcPr>
          <w:p w14:paraId="52DF9F96"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2014</w:t>
            </w:r>
          </w:p>
        </w:tc>
        <w:tc>
          <w:tcPr>
            <w:tcW w:w="2250" w:type="dxa"/>
            <w:vAlign w:val="center"/>
          </w:tcPr>
          <w:p w14:paraId="67FA23FE"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$12,364,042</w:t>
            </w:r>
          </w:p>
        </w:tc>
        <w:tc>
          <w:tcPr>
            <w:tcW w:w="2295" w:type="dxa"/>
            <w:vAlign w:val="center"/>
          </w:tcPr>
          <w:p w14:paraId="0243B3B3"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15.46%</w:t>
            </w:r>
          </w:p>
        </w:tc>
        <w:tc>
          <w:tcPr>
            <w:tcW w:w="2385" w:type="dxa"/>
            <w:vAlign w:val="center"/>
          </w:tcPr>
          <w:p w14:paraId="7A518722"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$1,894,114</w:t>
            </w:r>
          </w:p>
        </w:tc>
        <w:tc>
          <w:tcPr>
            <w:tcW w:w="2160" w:type="dxa"/>
            <w:vAlign w:val="center"/>
          </w:tcPr>
          <w:p w14:paraId="24BA0A88"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2.37%</w:t>
            </w:r>
          </w:p>
        </w:tc>
      </w:tr>
      <w:tr w:rsidR="00F303E0" w:rsidRPr="00EE5714" w14:paraId="7E9CBD27" w14:textId="77777777" w:rsidTr="00F85FAA">
        <w:trPr>
          <w:trHeight w:hRule="exact" w:val="245"/>
        </w:trPr>
        <w:tc>
          <w:tcPr>
            <w:tcW w:w="1620" w:type="dxa"/>
            <w:shd w:val="clear" w:color="auto" w:fill="auto"/>
            <w:noWrap/>
            <w:vAlign w:val="center"/>
            <w:hideMark/>
          </w:tcPr>
          <w:p w14:paraId="08C09E2F"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2015</w:t>
            </w:r>
          </w:p>
        </w:tc>
        <w:tc>
          <w:tcPr>
            <w:tcW w:w="2250" w:type="dxa"/>
            <w:vAlign w:val="center"/>
          </w:tcPr>
          <w:p w14:paraId="60813615"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$10,947,284</w:t>
            </w:r>
          </w:p>
        </w:tc>
        <w:tc>
          <w:tcPr>
            <w:tcW w:w="2295" w:type="dxa"/>
            <w:vAlign w:val="center"/>
          </w:tcPr>
          <w:p w14:paraId="5804A8A2"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11.31%</w:t>
            </w:r>
          </w:p>
        </w:tc>
        <w:tc>
          <w:tcPr>
            <w:tcW w:w="2385" w:type="dxa"/>
            <w:vAlign w:val="center"/>
          </w:tcPr>
          <w:p w14:paraId="45C622FF"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$2,122,143</w:t>
            </w:r>
          </w:p>
        </w:tc>
        <w:tc>
          <w:tcPr>
            <w:tcW w:w="2160" w:type="dxa"/>
            <w:vAlign w:val="center"/>
          </w:tcPr>
          <w:p w14:paraId="5D3969CD"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2.19%</w:t>
            </w:r>
          </w:p>
        </w:tc>
      </w:tr>
      <w:tr w:rsidR="00F303E0" w:rsidRPr="00EE5714" w14:paraId="5AF47B1B" w14:textId="77777777" w:rsidTr="00F85FAA">
        <w:trPr>
          <w:trHeight w:hRule="exact" w:val="245"/>
        </w:trPr>
        <w:tc>
          <w:tcPr>
            <w:tcW w:w="1620" w:type="dxa"/>
            <w:tcBorders>
              <w:bottom w:val="single" w:sz="8" w:space="0" w:color="000000"/>
            </w:tcBorders>
            <w:shd w:val="clear" w:color="auto" w:fill="auto"/>
            <w:noWrap/>
            <w:vAlign w:val="center"/>
            <w:hideMark/>
          </w:tcPr>
          <w:p w14:paraId="5E117FA5"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2016</w:t>
            </w:r>
          </w:p>
        </w:tc>
        <w:tc>
          <w:tcPr>
            <w:tcW w:w="2250" w:type="dxa"/>
            <w:tcBorders>
              <w:bottom w:val="single" w:sz="8" w:space="0" w:color="000000"/>
            </w:tcBorders>
            <w:vAlign w:val="center"/>
          </w:tcPr>
          <w:p w14:paraId="605ACE28"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$9,434,155</w:t>
            </w:r>
          </w:p>
        </w:tc>
        <w:tc>
          <w:tcPr>
            <w:tcW w:w="2295" w:type="dxa"/>
            <w:tcBorders>
              <w:bottom w:val="single" w:sz="8" w:space="0" w:color="000000"/>
            </w:tcBorders>
            <w:vAlign w:val="center"/>
          </w:tcPr>
          <w:p w14:paraId="16A3BFF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10.26%</w:t>
            </w:r>
          </w:p>
        </w:tc>
        <w:tc>
          <w:tcPr>
            <w:tcW w:w="2385" w:type="dxa"/>
            <w:tcBorders>
              <w:bottom w:val="single" w:sz="8" w:space="0" w:color="000000"/>
            </w:tcBorders>
            <w:vAlign w:val="center"/>
          </w:tcPr>
          <w:p w14:paraId="2308C5C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$2,844,351</w:t>
            </w:r>
          </w:p>
        </w:tc>
        <w:tc>
          <w:tcPr>
            <w:tcW w:w="2160" w:type="dxa"/>
            <w:tcBorders>
              <w:bottom w:val="single" w:sz="8" w:space="0" w:color="000000"/>
            </w:tcBorders>
            <w:vAlign w:val="center"/>
          </w:tcPr>
          <w:p w14:paraId="2298CCC6"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3.09%</w:t>
            </w:r>
          </w:p>
        </w:tc>
      </w:tr>
      <w:tr w:rsidR="00F303E0" w:rsidRPr="00EE5714" w14:paraId="45F8E4FD" w14:textId="77777777" w:rsidTr="00F85FAA">
        <w:trPr>
          <w:trHeight w:hRule="exact" w:val="245"/>
        </w:trPr>
        <w:tc>
          <w:tcPr>
            <w:tcW w:w="1620" w:type="dxa"/>
            <w:shd w:val="clear" w:color="auto" w:fill="F2F2F2" w:themeFill="background1" w:themeFillShade="F2"/>
            <w:noWrap/>
            <w:vAlign w:val="bottom"/>
            <w:hideMark/>
          </w:tcPr>
          <w:p w14:paraId="702396F8"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2250" w:type="dxa"/>
            <w:shd w:val="clear" w:color="auto" w:fill="F2F2F2" w:themeFill="background1" w:themeFillShade="F2"/>
            <w:vAlign w:val="bottom"/>
          </w:tcPr>
          <w:p w14:paraId="206391F8" w14:textId="77777777" w:rsidR="00F303E0" w:rsidRPr="00EE5714" w:rsidRDefault="00F303E0" w:rsidP="00851815">
            <w:pPr>
              <w:keepNext/>
              <w:jc w:val="center"/>
              <w:rPr>
                <w:rFonts w:ascii="Calibri" w:eastAsia="Times New Roman" w:hAnsi="Calibri" w:cs="Calibri"/>
                <w:sz w:val="21"/>
                <w:szCs w:val="21"/>
              </w:rPr>
            </w:pPr>
          </w:p>
        </w:tc>
        <w:tc>
          <w:tcPr>
            <w:tcW w:w="2295" w:type="dxa"/>
            <w:shd w:val="clear" w:color="auto" w:fill="F2F2F2" w:themeFill="background1" w:themeFillShade="F2"/>
            <w:vAlign w:val="bottom"/>
          </w:tcPr>
          <w:p w14:paraId="26E3A3E6" w14:textId="77777777" w:rsidR="00F303E0" w:rsidRPr="00EE5714" w:rsidRDefault="00F303E0" w:rsidP="00851815">
            <w:pPr>
              <w:keepNext/>
              <w:jc w:val="center"/>
              <w:rPr>
                <w:rFonts w:ascii="Calibri" w:eastAsia="Times New Roman" w:hAnsi="Calibri" w:cs="Calibri"/>
                <w:sz w:val="21"/>
                <w:szCs w:val="21"/>
              </w:rPr>
            </w:pPr>
          </w:p>
        </w:tc>
        <w:tc>
          <w:tcPr>
            <w:tcW w:w="2385" w:type="dxa"/>
            <w:shd w:val="clear" w:color="auto" w:fill="F2F2F2" w:themeFill="background1" w:themeFillShade="F2"/>
            <w:vAlign w:val="bottom"/>
          </w:tcPr>
          <w:p w14:paraId="06136901" w14:textId="77777777" w:rsidR="00F303E0" w:rsidRPr="00EE5714" w:rsidRDefault="00F303E0" w:rsidP="00851815">
            <w:pPr>
              <w:keepNext/>
              <w:jc w:val="center"/>
              <w:rPr>
                <w:rFonts w:ascii="Calibri" w:eastAsia="Times New Roman" w:hAnsi="Calibri" w:cs="Calibri"/>
                <w:sz w:val="21"/>
                <w:szCs w:val="21"/>
              </w:rPr>
            </w:pPr>
          </w:p>
        </w:tc>
        <w:tc>
          <w:tcPr>
            <w:tcW w:w="2160" w:type="dxa"/>
            <w:shd w:val="clear" w:color="auto" w:fill="F2F2F2" w:themeFill="background1" w:themeFillShade="F2"/>
            <w:vAlign w:val="bottom"/>
          </w:tcPr>
          <w:p w14:paraId="31AFF28D"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0179A6A8" w14:textId="77777777" w:rsidTr="00F85FAA">
        <w:trPr>
          <w:trHeight w:hRule="exact" w:val="245"/>
        </w:trPr>
        <w:tc>
          <w:tcPr>
            <w:tcW w:w="1620" w:type="dxa"/>
            <w:shd w:val="clear" w:color="auto" w:fill="auto"/>
            <w:noWrap/>
            <w:vAlign w:val="center"/>
            <w:hideMark/>
          </w:tcPr>
          <w:p w14:paraId="7875889C"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2012</w:t>
            </w:r>
          </w:p>
        </w:tc>
        <w:tc>
          <w:tcPr>
            <w:tcW w:w="2250" w:type="dxa"/>
            <w:vAlign w:val="center"/>
          </w:tcPr>
          <w:p w14:paraId="5006CC8C"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$2,233,654</w:t>
            </w:r>
          </w:p>
        </w:tc>
        <w:tc>
          <w:tcPr>
            <w:tcW w:w="2295" w:type="dxa"/>
            <w:vAlign w:val="center"/>
          </w:tcPr>
          <w:p w14:paraId="2FE1E4B6"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1.98%</w:t>
            </w:r>
          </w:p>
        </w:tc>
        <w:tc>
          <w:tcPr>
            <w:tcW w:w="2385" w:type="dxa"/>
            <w:vAlign w:val="center"/>
          </w:tcPr>
          <w:p w14:paraId="080FE965"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$7,131,993</w:t>
            </w:r>
          </w:p>
        </w:tc>
        <w:tc>
          <w:tcPr>
            <w:tcW w:w="2160" w:type="dxa"/>
            <w:vAlign w:val="center"/>
          </w:tcPr>
          <w:p w14:paraId="657981E9"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6.33%</w:t>
            </w:r>
          </w:p>
        </w:tc>
      </w:tr>
      <w:tr w:rsidR="00F303E0" w:rsidRPr="00EE5714" w14:paraId="65980DF9" w14:textId="77777777" w:rsidTr="00F85FAA">
        <w:trPr>
          <w:trHeight w:hRule="exact" w:val="245"/>
        </w:trPr>
        <w:tc>
          <w:tcPr>
            <w:tcW w:w="1620" w:type="dxa"/>
            <w:shd w:val="clear" w:color="auto" w:fill="auto"/>
            <w:noWrap/>
            <w:vAlign w:val="center"/>
            <w:hideMark/>
          </w:tcPr>
          <w:p w14:paraId="32FB3ACC"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2013</w:t>
            </w:r>
          </w:p>
        </w:tc>
        <w:tc>
          <w:tcPr>
            <w:tcW w:w="2250" w:type="dxa"/>
            <w:vAlign w:val="center"/>
          </w:tcPr>
          <w:p w14:paraId="6B0B6DB0"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$2,926,340</w:t>
            </w:r>
          </w:p>
        </w:tc>
        <w:tc>
          <w:tcPr>
            <w:tcW w:w="2295" w:type="dxa"/>
            <w:vAlign w:val="center"/>
          </w:tcPr>
          <w:p w14:paraId="307BEC8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2.54%</w:t>
            </w:r>
          </w:p>
        </w:tc>
        <w:tc>
          <w:tcPr>
            <w:tcW w:w="2385" w:type="dxa"/>
            <w:vAlign w:val="center"/>
          </w:tcPr>
          <w:p w14:paraId="1D2D51A8"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$8,961,442</w:t>
            </w:r>
          </w:p>
        </w:tc>
        <w:tc>
          <w:tcPr>
            <w:tcW w:w="2160" w:type="dxa"/>
            <w:vAlign w:val="center"/>
          </w:tcPr>
          <w:p w14:paraId="6EA25B5E"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7.79%</w:t>
            </w:r>
          </w:p>
        </w:tc>
      </w:tr>
      <w:tr w:rsidR="00F303E0" w:rsidRPr="00EE5714" w14:paraId="1CE5E0C1" w14:textId="77777777" w:rsidTr="00F85FAA">
        <w:trPr>
          <w:trHeight w:hRule="exact" w:val="245"/>
        </w:trPr>
        <w:tc>
          <w:tcPr>
            <w:tcW w:w="1620" w:type="dxa"/>
            <w:shd w:val="clear" w:color="auto" w:fill="auto"/>
            <w:noWrap/>
            <w:vAlign w:val="center"/>
            <w:hideMark/>
          </w:tcPr>
          <w:p w14:paraId="155CE7CB"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2014</w:t>
            </w:r>
          </w:p>
        </w:tc>
        <w:tc>
          <w:tcPr>
            <w:tcW w:w="2250" w:type="dxa"/>
            <w:vAlign w:val="center"/>
          </w:tcPr>
          <w:p w14:paraId="28352486"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$2,904,709</w:t>
            </w:r>
          </w:p>
        </w:tc>
        <w:tc>
          <w:tcPr>
            <w:tcW w:w="2295" w:type="dxa"/>
            <w:vAlign w:val="center"/>
          </w:tcPr>
          <w:p w14:paraId="19C6F0FD"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2.49%</w:t>
            </w:r>
          </w:p>
        </w:tc>
        <w:tc>
          <w:tcPr>
            <w:tcW w:w="2385" w:type="dxa"/>
            <w:vAlign w:val="center"/>
          </w:tcPr>
          <w:p w14:paraId="0017D841"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$5,675,610</w:t>
            </w:r>
          </w:p>
        </w:tc>
        <w:tc>
          <w:tcPr>
            <w:tcW w:w="2160" w:type="dxa"/>
            <w:vAlign w:val="center"/>
          </w:tcPr>
          <w:p w14:paraId="2DCFEDE3"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4.87%</w:t>
            </w:r>
          </w:p>
        </w:tc>
      </w:tr>
      <w:tr w:rsidR="00F303E0" w:rsidRPr="00EE5714" w14:paraId="3C0B3158" w14:textId="77777777" w:rsidTr="00F85FAA">
        <w:trPr>
          <w:trHeight w:hRule="exact" w:val="245"/>
        </w:trPr>
        <w:tc>
          <w:tcPr>
            <w:tcW w:w="1620" w:type="dxa"/>
            <w:shd w:val="clear" w:color="auto" w:fill="auto"/>
            <w:noWrap/>
            <w:vAlign w:val="center"/>
            <w:hideMark/>
          </w:tcPr>
          <w:p w14:paraId="39EC1193"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2015</w:t>
            </w:r>
          </w:p>
        </w:tc>
        <w:tc>
          <w:tcPr>
            <w:tcW w:w="2250" w:type="dxa"/>
            <w:vAlign w:val="center"/>
          </w:tcPr>
          <w:p w14:paraId="306AF67E"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$2,789,568</w:t>
            </w:r>
          </w:p>
        </w:tc>
        <w:tc>
          <w:tcPr>
            <w:tcW w:w="2295" w:type="dxa"/>
            <w:vAlign w:val="center"/>
          </w:tcPr>
          <w:p w14:paraId="127EFB32"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2.33%</w:t>
            </w:r>
          </w:p>
        </w:tc>
        <w:tc>
          <w:tcPr>
            <w:tcW w:w="2385" w:type="dxa"/>
            <w:vAlign w:val="center"/>
          </w:tcPr>
          <w:p w14:paraId="2C776237"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$4,674,494</w:t>
            </w:r>
          </w:p>
        </w:tc>
        <w:tc>
          <w:tcPr>
            <w:tcW w:w="2160" w:type="dxa"/>
            <w:vAlign w:val="center"/>
          </w:tcPr>
          <w:p w14:paraId="7AFFA288"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3.91%</w:t>
            </w:r>
          </w:p>
        </w:tc>
      </w:tr>
      <w:tr w:rsidR="00F303E0" w:rsidRPr="00EE5714" w14:paraId="24184B22" w14:textId="77777777" w:rsidTr="00F85FAA">
        <w:trPr>
          <w:trHeight w:hRule="exact" w:val="245"/>
        </w:trPr>
        <w:tc>
          <w:tcPr>
            <w:tcW w:w="1620" w:type="dxa"/>
            <w:tcBorders>
              <w:bottom w:val="single" w:sz="8" w:space="0" w:color="000000"/>
            </w:tcBorders>
            <w:shd w:val="clear" w:color="auto" w:fill="auto"/>
            <w:noWrap/>
            <w:vAlign w:val="center"/>
            <w:hideMark/>
          </w:tcPr>
          <w:p w14:paraId="1470D33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2016</w:t>
            </w:r>
          </w:p>
        </w:tc>
        <w:tc>
          <w:tcPr>
            <w:tcW w:w="2250" w:type="dxa"/>
            <w:tcBorders>
              <w:bottom w:val="single" w:sz="8" w:space="0" w:color="000000"/>
            </w:tcBorders>
            <w:vAlign w:val="center"/>
          </w:tcPr>
          <w:p w14:paraId="47639B1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$2,874,058</w:t>
            </w:r>
          </w:p>
        </w:tc>
        <w:tc>
          <w:tcPr>
            <w:tcW w:w="2295" w:type="dxa"/>
            <w:tcBorders>
              <w:bottom w:val="single" w:sz="8" w:space="0" w:color="000000"/>
            </w:tcBorders>
            <w:vAlign w:val="center"/>
          </w:tcPr>
          <w:p w14:paraId="53412DA6"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2.59%</w:t>
            </w:r>
          </w:p>
        </w:tc>
        <w:tc>
          <w:tcPr>
            <w:tcW w:w="2385" w:type="dxa"/>
            <w:tcBorders>
              <w:bottom w:val="single" w:sz="8" w:space="0" w:color="000000"/>
            </w:tcBorders>
            <w:vAlign w:val="center"/>
          </w:tcPr>
          <w:p w14:paraId="06811BEA"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$3,355,357</w:t>
            </w:r>
          </w:p>
        </w:tc>
        <w:tc>
          <w:tcPr>
            <w:tcW w:w="2160" w:type="dxa"/>
            <w:tcBorders>
              <w:bottom w:val="single" w:sz="8" w:space="0" w:color="000000"/>
            </w:tcBorders>
            <w:vAlign w:val="center"/>
          </w:tcPr>
          <w:p w14:paraId="221894FC"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3.02%</w:t>
            </w:r>
          </w:p>
        </w:tc>
      </w:tr>
      <w:tr w:rsidR="00F303E0" w:rsidRPr="00EE5714" w14:paraId="32B10D0A" w14:textId="77777777" w:rsidTr="00F85FAA">
        <w:trPr>
          <w:trHeight w:hRule="exact" w:val="245"/>
        </w:trPr>
        <w:tc>
          <w:tcPr>
            <w:tcW w:w="1620" w:type="dxa"/>
            <w:shd w:val="clear" w:color="auto" w:fill="F2F2F2" w:themeFill="background1" w:themeFillShade="F2"/>
            <w:noWrap/>
            <w:vAlign w:val="bottom"/>
            <w:hideMark/>
          </w:tcPr>
          <w:p w14:paraId="53072B0C" w14:textId="77777777" w:rsidR="00F303E0" w:rsidRPr="00EE5714" w:rsidRDefault="00F303E0" w:rsidP="00851815">
            <w:pPr>
              <w:keepNext/>
              <w:rPr>
                <w:rFonts w:ascii="Calibri" w:eastAsia="Times New Roman" w:hAnsi="Calibri" w:cs="Calibri"/>
                <w:b/>
                <w:color w:val="000000"/>
                <w:sz w:val="21"/>
                <w:szCs w:val="21"/>
              </w:rPr>
            </w:pPr>
            <w:proofErr w:type="spellStart"/>
            <w:r w:rsidRPr="00EE5714">
              <w:rPr>
                <w:rFonts w:ascii="Calibri" w:eastAsia="Times New Roman" w:hAnsi="Calibri" w:cs="Calibri"/>
                <w:b/>
                <w:color w:val="000000"/>
                <w:sz w:val="21"/>
                <w:szCs w:val="21"/>
              </w:rPr>
              <w:t>Penelec</w:t>
            </w:r>
            <w:proofErr w:type="spellEnd"/>
          </w:p>
        </w:tc>
        <w:tc>
          <w:tcPr>
            <w:tcW w:w="2250" w:type="dxa"/>
            <w:shd w:val="clear" w:color="auto" w:fill="F2F2F2" w:themeFill="background1" w:themeFillShade="F2"/>
            <w:vAlign w:val="bottom"/>
          </w:tcPr>
          <w:p w14:paraId="550B4114" w14:textId="77777777" w:rsidR="00F303E0" w:rsidRPr="00EE5714" w:rsidRDefault="00F303E0" w:rsidP="00851815">
            <w:pPr>
              <w:keepNext/>
              <w:jc w:val="center"/>
              <w:rPr>
                <w:rFonts w:ascii="Calibri" w:eastAsia="Times New Roman" w:hAnsi="Calibri" w:cs="Calibri"/>
                <w:sz w:val="21"/>
                <w:szCs w:val="21"/>
              </w:rPr>
            </w:pPr>
          </w:p>
        </w:tc>
        <w:tc>
          <w:tcPr>
            <w:tcW w:w="2295" w:type="dxa"/>
            <w:shd w:val="clear" w:color="auto" w:fill="F2F2F2" w:themeFill="background1" w:themeFillShade="F2"/>
            <w:vAlign w:val="bottom"/>
          </w:tcPr>
          <w:p w14:paraId="2BCC6E50" w14:textId="77777777" w:rsidR="00F303E0" w:rsidRPr="00EE5714" w:rsidRDefault="00F303E0" w:rsidP="00851815">
            <w:pPr>
              <w:keepNext/>
              <w:jc w:val="center"/>
              <w:rPr>
                <w:rFonts w:ascii="Calibri" w:eastAsia="Times New Roman" w:hAnsi="Calibri" w:cs="Calibri"/>
                <w:sz w:val="21"/>
                <w:szCs w:val="21"/>
              </w:rPr>
            </w:pPr>
          </w:p>
        </w:tc>
        <w:tc>
          <w:tcPr>
            <w:tcW w:w="2385" w:type="dxa"/>
            <w:shd w:val="clear" w:color="auto" w:fill="F2F2F2" w:themeFill="background1" w:themeFillShade="F2"/>
            <w:vAlign w:val="bottom"/>
          </w:tcPr>
          <w:p w14:paraId="5CB0C8EE" w14:textId="77777777" w:rsidR="00F303E0" w:rsidRPr="00EE5714" w:rsidRDefault="00F303E0" w:rsidP="00851815">
            <w:pPr>
              <w:keepNext/>
              <w:jc w:val="center"/>
              <w:rPr>
                <w:rFonts w:ascii="Calibri" w:eastAsia="Times New Roman" w:hAnsi="Calibri" w:cs="Calibri"/>
                <w:sz w:val="21"/>
                <w:szCs w:val="21"/>
              </w:rPr>
            </w:pPr>
          </w:p>
        </w:tc>
        <w:tc>
          <w:tcPr>
            <w:tcW w:w="2160" w:type="dxa"/>
            <w:shd w:val="clear" w:color="auto" w:fill="F2F2F2" w:themeFill="background1" w:themeFillShade="F2"/>
            <w:vAlign w:val="bottom"/>
          </w:tcPr>
          <w:p w14:paraId="05193273"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1031F67F" w14:textId="77777777" w:rsidTr="00F85FAA">
        <w:trPr>
          <w:trHeight w:hRule="exact" w:val="245"/>
        </w:trPr>
        <w:tc>
          <w:tcPr>
            <w:tcW w:w="1620" w:type="dxa"/>
            <w:shd w:val="clear" w:color="auto" w:fill="auto"/>
            <w:noWrap/>
            <w:vAlign w:val="center"/>
            <w:hideMark/>
          </w:tcPr>
          <w:p w14:paraId="4D4E195D"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2012</w:t>
            </w:r>
          </w:p>
        </w:tc>
        <w:tc>
          <w:tcPr>
            <w:tcW w:w="2250" w:type="dxa"/>
            <w:vAlign w:val="center"/>
          </w:tcPr>
          <w:p w14:paraId="482FF1B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$12,630,650</w:t>
            </w:r>
          </w:p>
        </w:tc>
        <w:tc>
          <w:tcPr>
            <w:tcW w:w="2295" w:type="dxa"/>
            <w:vAlign w:val="center"/>
          </w:tcPr>
          <w:p w14:paraId="725970D1"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12.83%</w:t>
            </w:r>
          </w:p>
        </w:tc>
        <w:tc>
          <w:tcPr>
            <w:tcW w:w="2385" w:type="dxa"/>
            <w:vAlign w:val="center"/>
          </w:tcPr>
          <w:p w14:paraId="6C49F29E"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$1,886,507</w:t>
            </w:r>
          </w:p>
        </w:tc>
        <w:tc>
          <w:tcPr>
            <w:tcW w:w="2160" w:type="dxa"/>
            <w:vAlign w:val="center"/>
          </w:tcPr>
          <w:p w14:paraId="6BED786E"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1.92%</w:t>
            </w:r>
          </w:p>
        </w:tc>
      </w:tr>
      <w:tr w:rsidR="00F303E0" w:rsidRPr="00EE5714" w14:paraId="47382617" w14:textId="77777777" w:rsidTr="00F85FAA">
        <w:trPr>
          <w:trHeight w:hRule="exact" w:val="245"/>
        </w:trPr>
        <w:tc>
          <w:tcPr>
            <w:tcW w:w="1620" w:type="dxa"/>
            <w:shd w:val="clear" w:color="auto" w:fill="auto"/>
            <w:noWrap/>
            <w:vAlign w:val="center"/>
            <w:hideMark/>
          </w:tcPr>
          <w:p w14:paraId="67CA1437"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2013</w:t>
            </w:r>
          </w:p>
        </w:tc>
        <w:tc>
          <w:tcPr>
            <w:tcW w:w="2250" w:type="dxa"/>
            <w:vAlign w:val="center"/>
          </w:tcPr>
          <w:p w14:paraId="4E767705"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$11,990,862</w:t>
            </w:r>
          </w:p>
        </w:tc>
        <w:tc>
          <w:tcPr>
            <w:tcW w:w="2295" w:type="dxa"/>
            <w:vAlign w:val="center"/>
          </w:tcPr>
          <w:p w14:paraId="31C0CA0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13.42%</w:t>
            </w:r>
          </w:p>
        </w:tc>
        <w:tc>
          <w:tcPr>
            <w:tcW w:w="2385" w:type="dxa"/>
            <w:vAlign w:val="center"/>
          </w:tcPr>
          <w:p w14:paraId="4C12D511"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$1,630,552</w:t>
            </w:r>
          </w:p>
        </w:tc>
        <w:tc>
          <w:tcPr>
            <w:tcW w:w="2160" w:type="dxa"/>
            <w:vAlign w:val="center"/>
          </w:tcPr>
          <w:p w14:paraId="0984D04F"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1.82%</w:t>
            </w:r>
          </w:p>
        </w:tc>
      </w:tr>
      <w:tr w:rsidR="00F303E0" w:rsidRPr="00EE5714" w14:paraId="1CD67F34" w14:textId="77777777" w:rsidTr="00F85FAA">
        <w:trPr>
          <w:trHeight w:hRule="exact" w:val="245"/>
        </w:trPr>
        <w:tc>
          <w:tcPr>
            <w:tcW w:w="1620" w:type="dxa"/>
            <w:shd w:val="clear" w:color="auto" w:fill="auto"/>
            <w:noWrap/>
            <w:vAlign w:val="center"/>
            <w:hideMark/>
          </w:tcPr>
          <w:p w14:paraId="501A0D75"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2014</w:t>
            </w:r>
          </w:p>
        </w:tc>
        <w:tc>
          <w:tcPr>
            <w:tcW w:w="2250" w:type="dxa"/>
            <w:vAlign w:val="center"/>
          </w:tcPr>
          <w:p w14:paraId="128317D3"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$12,162,602</w:t>
            </w:r>
          </w:p>
        </w:tc>
        <w:tc>
          <w:tcPr>
            <w:tcW w:w="2295" w:type="dxa"/>
            <w:vAlign w:val="center"/>
          </w:tcPr>
          <w:p w14:paraId="4A35B6B8"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14.22%</w:t>
            </w:r>
          </w:p>
        </w:tc>
        <w:tc>
          <w:tcPr>
            <w:tcW w:w="2385" w:type="dxa"/>
            <w:vAlign w:val="center"/>
          </w:tcPr>
          <w:p w14:paraId="09AF8C1C"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$1,946,277</w:t>
            </w:r>
          </w:p>
        </w:tc>
        <w:tc>
          <w:tcPr>
            <w:tcW w:w="2160" w:type="dxa"/>
            <w:vAlign w:val="center"/>
          </w:tcPr>
          <w:p w14:paraId="2E9ECACA"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2.28%</w:t>
            </w:r>
          </w:p>
        </w:tc>
      </w:tr>
      <w:tr w:rsidR="00F303E0" w:rsidRPr="00EE5714" w14:paraId="5FC9530C" w14:textId="77777777" w:rsidTr="00F85FAA">
        <w:trPr>
          <w:trHeight w:hRule="exact" w:val="245"/>
        </w:trPr>
        <w:tc>
          <w:tcPr>
            <w:tcW w:w="1620" w:type="dxa"/>
            <w:shd w:val="clear" w:color="auto" w:fill="auto"/>
            <w:noWrap/>
            <w:vAlign w:val="center"/>
            <w:hideMark/>
          </w:tcPr>
          <w:p w14:paraId="6BDA9CDE"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2015</w:t>
            </w:r>
          </w:p>
        </w:tc>
        <w:tc>
          <w:tcPr>
            <w:tcW w:w="2250" w:type="dxa"/>
            <w:vAlign w:val="center"/>
          </w:tcPr>
          <w:p w14:paraId="3CC0EC95"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$11,050,780</w:t>
            </w:r>
          </w:p>
        </w:tc>
        <w:tc>
          <w:tcPr>
            <w:tcW w:w="2295" w:type="dxa"/>
            <w:vAlign w:val="center"/>
          </w:tcPr>
          <w:p w14:paraId="5040D463"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10.24%</w:t>
            </w:r>
          </w:p>
        </w:tc>
        <w:tc>
          <w:tcPr>
            <w:tcW w:w="2385" w:type="dxa"/>
            <w:vAlign w:val="center"/>
          </w:tcPr>
          <w:p w14:paraId="6220C602"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$2,236,890</w:t>
            </w:r>
          </w:p>
        </w:tc>
        <w:tc>
          <w:tcPr>
            <w:tcW w:w="2160" w:type="dxa"/>
            <w:vAlign w:val="center"/>
          </w:tcPr>
          <w:p w14:paraId="1E593815"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2.07%</w:t>
            </w:r>
          </w:p>
        </w:tc>
      </w:tr>
      <w:tr w:rsidR="00F303E0" w:rsidRPr="00EE5714" w14:paraId="511DC9DA" w14:textId="77777777" w:rsidTr="00F85FAA">
        <w:trPr>
          <w:trHeight w:hRule="exact" w:val="245"/>
        </w:trPr>
        <w:tc>
          <w:tcPr>
            <w:tcW w:w="1620" w:type="dxa"/>
            <w:tcBorders>
              <w:bottom w:val="single" w:sz="8" w:space="0" w:color="000000"/>
            </w:tcBorders>
            <w:shd w:val="clear" w:color="auto" w:fill="auto"/>
            <w:noWrap/>
            <w:vAlign w:val="center"/>
            <w:hideMark/>
          </w:tcPr>
          <w:p w14:paraId="4983CFE5"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2016</w:t>
            </w:r>
          </w:p>
        </w:tc>
        <w:tc>
          <w:tcPr>
            <w:tcW w:w="2250" w:type="dxa"/>
            <w:tcBorders>
              <w:bottom w:val="single" w:sz="8" w:space="0" w:color="000000"/>
            </w:tcBorders>
            <w:vAlign w:val="center"/>
          </w:tcPr>
          <w:p w14:paraId="60CB6A8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$10,200,122</w:t>
            </w:r>
          </w:p>
        </w:tc>
        <w:tc>
          <w:tcPr>
            <w:tcW w:w="2295" w:type="dxa"/>
            <w:tcBorders>
              <w:bottom w:val="single" w:sz="8" w:space="0" w:color="000000"/>
            </w:tcBorders>
            <w:vAlign w:val="center"/>
          </w:tcPr>
          <w:p w14:paraId="76C334FA"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9.28%</w:t>
            </w:r>
          </w:p>
        </w:tc>
        <w:tc>
          <w:tcPr>
            <w:tcW w:w="2385" w:type="dxa"/>
            <w:tcBorders>
              <w:bottom w:val="single" w:sz="8" w:space="0" w:color="000000"/>
            </w:tcBorders>
            <w:vAlign w:val="center"/>
          </w:tcPr>
          <w:p w14:paraId="39D45CE6"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$3,362,454</w:t>
            </w:r>
          </w:p>
        </w:tc>
        <w:tc>
          <w:tcPr>
            <w:tcW w:w="2160" w:type="dxa"/>
            <w:tcBorders>
              <w:bottom w:val="single" w:sz="8" w:space="0" w:color="000000"/>
            </w:tcBorders>
            <w:vAlign w:val="center"/>
          </w:tcPr>
          <w:p w14:paraId="22FCA39F"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3.06%</w:t>
            </w:r>
          </w:p>
        </w:tc>
      </w:tr>
      <w:tr w:rsidR="00F303E0" w:rsidRPr="00EE5714" w14:paraId="398D8438" w14:textId="77777777" w:rsidTr="00F85FAA">
        <w:trPr>
          <w:trHeight w:hRule="exact" w:val="245"/>
        </w:trPr>
        <w:tc>
          <w:tcPr>
            <w:tcW w:w="1620" w:type="dxa"/>
            <w:shd w:val="clear" w:color="auto" w:fill="F2F2F2" w:themeFill="background1" w:themeFillShade="F2"/>
            <w:noWrap/>
            <w:vAlign w:val="bottom"/>
            <w:hideMark/>
          </w:tcPr>
          <w:p w14:paraId="7ED587C8"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Penn Power</w:t>
            </w:r>
          </w:p>
        </w:tc>
        <w:tc>
          <w:tcPr>
            <w:tcW w:w="2250" w:type="dxa"/>
            <w:shd w:val="clear" w:color="auto" w:fill="F2F2F2" w:themeFill="background1" w:themeFillShade="F2"/>
            <w:vAlign w:val="bottom"/>
          </w:tcPr>
          <w:p w14:paraId="60C710D2" w14:textId="77777777" w:rsidR="00F303E0" w:rsidRPr="00EE5714" w:rsidRDefault="00F303E0" w:rsidP="00851815">
            <w:pPr>
              <w:keepNext/>
              <w:jc w:val="center"/>
              <w:rPr>
                <w:rFonts w:ascii="Calibri" w:eastAsia="Times New Roman" w:hAnsi="Calibri" w:cs="Calibri"/>
                <w:sz w:val="21"/>
                <w:szCs w:val="21"/>
              </w:rPr>
            </w:pPr>
          </w:p>
        </w:tc>
        <w:tc>
          <w:tcPr>
            <w:tcW w:w="2295" w:type="dxa"/>
            <w:shd w:val="clear" w:color="auto" w:fill="F2F2F2" w:themeFill="background1" w:themeFillShade="F2"/>
            <w:vAlign w:val="bottom"/>
          </w:tcPr>
          <w:p w14:paraId="4FDD2A38" w14:textId="77777777" w:rsidR="00F303E0" w:rsidRPr="00EE5714" w:rsidRDefault="00F303E0" w:rsidP="00851815">
            <w:pPr>
              <w:keepNext/>
              <w:jc w:val="center"/>
              <w:rPr>
                <w:rFonts w:ascii="Calibri" w:eastAsia="Times New Roman" w:hAnsi="Calibri" w:cs="Calibri"/>
                <w:sz w:val="21"/>
                <w:szCs w:val="21"/>
              </w:rPr>
            </w:pPr>
          </w:p>
        </w:tc>
        <w:tc>
          <w:tcPr>
            <w:tcW w:w="2385" w:type="dxa"/>
            <w:shd w:val="clear" w:color="auto" w:fill="F2F2F2" w:themeFill="background1" w:themeFillShade="F2"/>
            <w:vAlign w:val="bottom"/>
          </w:tcPr>
          <w:p w14:paraId="72A98FB1" w14:textId="77777777" w:rsidR="00F303E0" w:rsidRPr="00EE5714" w:rsidRDefault="00F303E0" w:rsidP="00851815">
            <w:pPr>
              <w:keepNext/>
              <w:jc w:val="center"/>
              <w:rPr>
                <w:rFonts w:ascii="Calibri" w:eastAsia="Times New Roman" w:hAnsi="Calibri" w:cs="Calibri"/>
                <w:sz w:val="21"/>
                <w:szCs w:val="21"/>
              </w:rPr>
            </w:pPr>
          </w:p>
        </w:tc>
        <w:tc>
          <w:tcPr>
            <w:tcW w:w="2160" w:type="dxa"/>
            <w:shd w:val="clear" w:color="auto" w:fill="F2F2F2" w:themeFill="background1" w:themeFillShade="F2"/>
            <w:vAlign w:val="bottom"/>
          </w:tcPr>
          <w:p w14:paraId="6DFA61F9"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46BBDD32" w14:textId="77777777" w:rsidTr="00F85FAA">
        <w:trPr>
          <w:trHeight w:hRule="exact" w:val="245"/>
        </w:trPr>
        <w:tc>
          <w:tcPr>
            <w:tcW w:w="1620" w:type="dxa"/>
            <w:shd w:val="clear" w:color="auto" w:fill="auto"/>
            <w:noWrap/>
            <w:vAlign w:val="center"/>
            <w:hideMark/>
          </w:tcPr>
          <w:p w14:paraId="05162E71"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2012</w:t>
            </w:r>
          </w:p>
        </w:tc>
        <w:tc>
          <w:tcPr>
            <w:tcW w:w="2250" w:type="dxa"/>
            <w:vAlign w:val="center"/>
          </w:tcPr>
          <w:p w14:paraId="3F004D36"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$3,173,251</w:t>
            </w:r>
          </w:p>
        </w:tc>
        <w:tc>
          <w:tcPr>
            <w:tcW w:w="2295" w:type="dxa"/>
            <w:vAlign w:val="center"/>
          </w:tcPr>
          <w:p w14:paraId="099EF83F"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13.32%</w:t>
            </w:r>
          </w:p>
        </w:tc>
        <w:tc>
          <w:tcPr>
            <w:tcW w:w="2385" w:type="dxa"/>
            <w:vAlign w:val="center"/>
          </w:tcPr>
          <w:p w14:paraId="32A64462"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$365,630</w:t>
            </w:r>
          </w:p>
        </w:tc>
        <w:tc>
          <w:tcPr>
            <w:tcW w:w="2160" w:type="dxa"/>
            <w:vAlign w:val="center"/>
          </w:tcPr>
          <w:p w14:paraId="2F9A1F9F"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1.53%</w:t>
            </w:r>
          </w:p>
        </w:tc>
      </w:tr>
      <w:tr w:rsidR="00F303E0" w:rsidRPr="00EE5714" w14:paraId="79AE3F47" w14:textId="77777777" w:rsidTr="00F85FAA">
        <w:trPr>
          <w:trHeight w:hRule="exact" w:val="245"/>
        </w:trPr>
        <w:tc>
          <w:tcPr>
            <w:tcW w:w="1620" w:type="dxa"/>
            <w:shd w:val="clear" w:color="auto" w:fill="auto"/>
            <w:noWrap/>
            <w:vAlign w:val="center"/>
            <w:hideMark/>
          </w:tcPr>
          <w:p w14:paraId="3021971D"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2013</w:t>
            </w:r>
          </w:p>
        </w:tc>
        <w:tc>
          <w:tcPr>
            <w:tcW w:w="2250" w:type="dxa"/>
            <w:vAlign w:val="center"/>
          </w:tcPr>
          <w:p w14:paraId="13AF061C"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$2,837,341</w:t>
            </w:r>
          </w:p>
        </w:tc>
        <w:tc>
          <w:tcPr>
            <w:tcW w:w="2295" w:type="dxa"/>
            <w:vAlign w:val="center"/>
          </w:tcPr>
          <w:p w14:paraId="3C8A1A18"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13.26%</w:t>
            </w:r>
          </w:p>
        </w:tc>
        <w:tc>
          <w:tcPr>
            <w:tcW w:w="2385" w:type="dxa"/>
            <w:vAlign w:val="center"/>
          </w:tcPr>
          <w:p w14:paraId="1917CDD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$350,002</w:t>
            </w:r>
          </w:p>
        </w:tc>
        <w:tc>
          <w:tcPr>
            <w:tcW w:w="2160" w:type="dxa"/>
            <w:vAlign w:val="center"/>
          </w:tcPr>
          <w:p w14:paraId="41411ACF"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1.64%</w:t>
            </w:r>
          </w:p>
        </w:tc>
      </w:tr>
      <w:tr w:rsidR="00F303E0" w:rsidRPr="00EE5714" w14:paraId="564E0522" w14:textId="77777777" w:rsidTr="00F85FAA">
        <w:trPr>
          <w:trHeight w:hRule="exact" w:val="245"/>
        </w:trPr>
        <w:tc>
          <w:tcPr>
            <w:tcW w:w="1620" w:type="dxa"/>
            <w:shd w:val="clear" w:color="auto" w:fill="auto"/>
            <w:noWrap/>
            <w:vAlign w:val="center"/>
            <w:hideMark/>
          </w:tcPr>
          <w:p w14:paraId="2CBE7CF5"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2014</w:t>
            </w:r>
          </w:p>
        </w:tc>
        <w:tc>
          <w:tcPr>
            <w:tcW w:w="2250" w:type="dxa"/>
            <w:vAlign w:val="center"/>
          </w:tcPr>
          <w:p w14:paraId="22CC87B7"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$2,790,788</w:t>
            </w:r>
          </w:p>
        </w:tc>
        <w:tc>
          <w:tcPr>
            <w:tcW w:w="2295" w:type="dxa"/>
            <w:vAlign w:val="center"/>
          </w:tcPr>
          <w:p w14:paraId="1B7F409D"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13.66%</w:t>
            </w:r>
          </w:p>
        </w:tc>
        <w:tc>
          <w:tcPr>
            <w:tcW w:w="2385" w:type="dxa"/>
            <w:vAlign w:val="center"/>
          </w:tcPr>
          <w:p w14:paraId="7BDE854C"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$417,487</w:t>
            </w:r>
          </w:p>
        </w:tc>
        <w:tc>
          <w:tcPr>
            <w:tcW w:w="2160" w:type="dxa"/>
            <w:vAlign w:val="center"/>
          </w:tcPr>
          <w:p w14:paraId="22ACB2A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2.04%</w:t>
            </w:r>
          </w:p>
        </w:tc>
      </w:tr>
      <w:tr w:rsidR="00F303E0" w:rsidRPr="00EE5714" w14:paraId="2B4A1C02" w14:textId="77777777" w:rsidTr="00F85FAA">
        <w:trPr>
          <w:trHeight w:hRule="exact" w:val="245"/>
        </w:trPr>
        <w:tc>
          <w:tcPr>
            <w:tcW w:w="1620" w:type="dxa"/>
            <w:shd w:val="clear" w:color="auto" w:fill="auto"/>
            <w:noWrap/>
            <w:vAlign w:val="center"/>
            <w:hideMark/>
          </w:tcPr>
          <w:p w14:paraId="0A27D51A"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2015</w:t>
            </w:r>
          </w:p>
        </w:tc>
        <w:tc>
          <w:tcPr>
            <w:tcW w:w="2250" w:type="dxa"/>
            <w:vAlign w:val="center"/>
          </w:tcPr>
          <w:p w14:paraId="35270191"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$2,725,270</w:t>
            </w:r>
          </w:p>
        </w:tc>
        <w:tc>
          <w:tcPr>
            <w:tcW w:w="2295" w:type="dxa"/>
            <w:vAlign w:val="center"/>
          </w:tcPr>
          <w:p w14:paraId="3473D737"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10.07%</w:t>
            </w:r>
          </w:p>
        </w:tc>
        <w:tc>
          <w:tcPr>
            <w:tcW w:w="2385" w:type="dxa"/>
            <w:vAlign w:val="center"/>
          </w:tcPr>
          <w:p w14:paraId="5B14340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$562,532</w:t>
            </w:r>
          </w:p>
        </w:tc>
        <w:tc>
          <w:tcPr>
            <w:tcW w:w="2160" w:type="dxa"/>
            <w:vAlign w:val="center"/>
          </w:tcPr>
          <w:p w14:paraId="311C71E5"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2.08%</w:t>
            </w:r>
          </w:p>
        </w:tc>
      </w:tr>
      <w:tr w:rsidR="00F303E0" w:rsidRPr="00EE5714" w14:paraId="3BFD1B0B" w14:textId="77777777" w:rsidTr="00F85FAA">
        <w:trPr>
          <w:trHeight w:hRule="exact" w:val="245"/>
        </w:trPr>
        <w:tc>
          <w:tcPr>
            <w:tcW w:w="1620" w:type="dxa"/>
            <w:tcBorders>
              <w:bottom w:val="single" w:sz="8" w:space="0" w:color="000000"/>
            </w:tcBorders>
            <w:shd w:val="clear" w:color="auto" w:fill="auto"/>
            <w:noWrap/>
            <w:vAlign w:val="center"/>
            <w:hideMark/>
          </w:tcPr>
          <w:p w14:paraId="55214CF2"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2016</w:t>
            </w:r>
          </w:p>
        </w:tc>
        <w:tc>
          <w:tcPr>
            <w:tcW w:w="2250" w:type="dxa"/>
            <w:tcBorders>
              <w:bottom w:val="single" w:sz="8" w:space="0" w:color="000000"/>
            </w:tcBorders>
            <w:vAlign w:val="center"/>
          </w:tcPr>
          <w:p w14:paraId="7991C00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$3,000,987</w:t>
            </w:r>
          </w:p>
        </w:tc>
        <w:tc>
          <w:tcPr>
            <w:tcW w:w="2295" w:type="dxa"/>
            <w:tcBorders>
              <w:bottom w:val="single" w:sz="8" w:space="0" w:color="000000"/>
            </w:tcBorders>
            <w:vAlign w:val="center"/>
          </w:tcPr>
          <w:p w14:paraId="678167E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10.83%</w:t>
            </w:r>
          </w:p>
        </w:tc>
        <w:tc>
          <w:tcPr>
            <w:tcW w:w="2385" w:type="dxa"/>
            <w:tcBorders>
              <w:bottom w:val="single" w:sz="8" w:space="0" w:color="000000"/>
            </w:tcBorders>
            <w:vAlign w:val="center"/>
          </w:tcPr>
          <w:p w14:paraId="6A7CA15F"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$833,929</w:t>
            </w:r>
          </w:p>
        </w:tc>
        <w:tc>
          <w:tcPr>
            <w:tcW w:w="2160" w:type="dxa"/>
            <w:tcBorders>
              <w:bottom w:val="single" w:sz="8" w:space="0" w:color="000000"/>
            </w:tcBorders>
            <w:vAlign w:val="center"/>
          </w:tcPr>
          <w:p w14:paraId="4A47B525"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3.01%</w:t>
            </w:r>
          </w:p>
        </w:tc>
      </w:tr>
      <w:tr w:rsidR="00F303E0" w:rsidRPr="00EE5714" w14:paraId="5F31FE4F" w14:textId="77777777" w:rsidTr="00F85FAA">
        <w:trPr>
          <w:trHeight w:hRule="exact" w:val="245"/>
        </w:trPr>
        <w:tc>
          <w:tcPr>
            <w:tcW w:w="1620" w:type="dxa"/>
            <w:shd w:val="clear" w:color="auto" w:fill="F2F2F2" w:themeFill="background1" w:themeFillShade="F2"/>
            <w:noWrap/>
            <w:vAlign w:val="bottom"/>
            <w:hideMark/>
          </w:tcPr>
          <w:p w14:paraId="78033D39"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PPL</w:t>
            </w:r>
          </w:p>
        </w:tc>
        <w:tc>
          <w:tcPr>
            <w:tcW w:w="2250" w:type="dxa"/>
            <w:shd w:val="clear" w:color="auto" w:fill="F2F2F2" w:themeFill="background1" w:themeFillShade="F2"/>
            <w:vAlign w:val="bottom"/>
          </w:tcPr>
          <w:p w14:paraId="2F50B7CF" w14:textId="77777777" w:rsidR="00F303E0" w:rsidRPr="00EE5714" w:rsidRDefault="00F303E0" w:rsidP="00851815">
            <w:pPr>
              <w:keepNext/>
              <w:jc w:val="center"/>
              <w:rPr>
                <w:rFonts w:ascii="Calibri" w:eastAsia="Times New Roman" w:hAnsi="Calibri" w:cs="Calibri"/>
                <w:sz w:val="21"/>
                <w:szCs w:val="21"/>
              </w:rPr>
            </w:pPr>
          </w:p>
        </w:tc>
        <w:tc>
          <w:tcPr>
            <w:tcW w:w="2295" w:type="dxa"/>
            <w:shd w:val="clear" w:color="auto" w:fill="F2F2F2" w:themeFill="background1" w:themeFillShade="F2"/>
            <w:vAlign w:val="bottom"/>
          </w:tcPr>
          <w:p w14:paraId="46A83CAB" w14:textId="77777777" w:rsidR="00F303E0" w:rsidRPr="00EE5714" w:rsidRDefault="00F303E0" w:rsidP="00851815">
            <w:pPr>
              <w:keepNext/>
              <w:jc w:val="center"/>
              <w:rPr>
                <w:rFonts w:ascii="Calibri" w:eastAsia="Times New Roman" w:hAnsi="Calibri" w:cs="Calibri"/>
                <w:sz w:val="21"/>
                <w:szCs w:val="21"/>
              </w:rPr>
            </w:pPr>
          </w:p>
        </w:tc>
        <w:tc>
          <w:tcPr>
            <w:tcW w:w="2385" w:type="dxa"/>
            <w:shd w:val="clear" w:color="auto" w:fill="F2F2F2" w:themeFill="background1" w:themeFillShade="F2"/>
            <w:vAlign w:val="bottom"/>
          </w:tcPr>
          <w:p w14:paraId="3F2C3600" w14:textId="77777777" w:rsidR="00F303E0" w:rsidRPr="00EE5714" w:rsidRDefault="00F303E0" w:rsidP="00851815">
            <w:pPr>
              <w:keepNext/>
              <w:jc w:val="center"/>
              <w:rPr>
                <w:rFonts w:ascii="Calibri" w:eastAsia="Times New Roman" w:hAnsi="Calibri" w:cs="Calibri"/>
                <w:sz w:val="21"/>
                <w:szCs w:val="21"/>
              </w:rPr>
            </w:pPr>
          </w:p>
        </w:tc>
        <w:tc>
          <w:tcPr>
            <w:tcW w:w="2160" w:type="dxa"/>
            <w:shd w:val="clear" w:color="auto" w:fill="F2F2F2" w:themeFill="background1" w:themeFillShade="F2"/>
            <w:vAlign w:val="bottom"/>
          </w:tcPr>
          <w:p w14:paraId="1E207B96"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5B252132" w14:textId="77777777" w:rsidTr="00F85FAA">
        <w:trPr>
          <w:trHeight w:hRule="exact" w:val="245"/>
        </w:trPr>
        <w:tc>
          <w:tcPr>
            <w:tcW w:w="1620" w:type="dxa"/>
            <w:shd w:val="clear" w:color="auto" w:fill="auto"/>
            <w:noWrap/>
            <w:vAlign w:val="center"/>
            <w:hideMark/>
          </w:tcPr>
          <w:p w14:paraId="1BF60E3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2012</w:t>
            </w:r>
          </w:p>
        </w:tc>
        <w:tc>
          <w:tcPr>
            <w:tcW w:w="2250" w:type="dxa"/>
            <w:vAlign w:val="center"/>
          </w:tcPr>
          <w:p w14:paraId="498C34F0"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$13,150,465</w:t>
            </w:r>
          </w:p>
        </w:tc>
        <w:tc>
          <w:tcPr>
            <w:tcW w:w="2295" w:type="dxa"/>
            <w:vAlign w:val="center"/>
          </w:tcPr>
          <w:p w14:paraId="22D7B6AD"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5.19%</w:t>
            </w:r>
          </w:p>
        </w:tc>
        <w:tc>
          <w:tcPr>
            <w:tcW w:w="2385" w:type="dxa"/>
            <w:vAlign w:val="center"/>
          </w:tcPr>
          <w:p w14:paraId="4887DC5F"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$42,798,103</w:t>
            </w:r>
          </w:p>
        </w:tc>
        <w:tc>
          <w:tcPr>
            <w:tcW w:w="2160" w:type="dxa"/>
            <w:vAlign w:val="center"/>
          </w:tcPr>
          <w:p w14:paraId="1F1DF3F8"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16.88%</w:t>
            </w:r>
          </w:p>
        </w:tc>
      </w:tr>
      <w:tr w:rsidR="00F303E0" w:rsidRPr="00EE5714" w14:paraId="755E738D" w14:textId="77777777" w:rsidTr="00F85FAA">
        <w:trPr>
          <w:trHeight w:hRule="exact" w:val="245"/>
        </w:trPr>
        <w:tc>
          <w:tcPr>
            <w:tcW w:w="1620" w:type="dxa"/>
            <w:shd w:val="clear" w:color="auto" w:fill="auto"/>
            <w:noWrap/>
            <w:vAlign w:val="center"/>
            <w:hideMark/>
          </w:tcPr>
          <w:p w14:paraId="3A776C8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2013</w:t>
            </w:r>
          </w:p>
        </w:tc>
        <w:tc>
          <w:tcPr>
            <w:tcW w:w="2250" w:type="dxa"/>
            <w:vAlign w:val="center"/>
          </w:tcPr>
          <w:p w14:paraId="128B706E"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$12,622,149</w:t>
            </w:r>
          </w:p>
        </w:tc>
        <w:tc>
          <w:tcPr>
            <w:tcW w:w="2295" w:type="dxa"/>
            <w:vAlign w:val="center"/>
          </w:tcPr>
          <w:p w14:paraId="0A64E955"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4.25%</w:t>
            </w:r>
          </w:p>
        </w:tc>
        <w:tc>
          <w:tcPr>
            <w:tcW w:w="2385" w:type="dxa"/>
            <w:vAlign w:val="center"/>
          </w:tcPr>
          <w:p w14:paraId="5C580C49"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$45,838,694</w:t>
            </w:r>
          </w:p>
        </w:tc>
        <w:tc>
          <w:tcPr>
            <w:tcW w:w="2160" w:type="dxa"/>
            <w:vAlign w:val="center"/>
          </w:tcPr>
          <w:p w14:paraId="38DC4561"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15.43%</w:t>
            </w:r>
          </w:p>
        </w:tc>
      </w:tr>
      <w:tr w:rsidR="00F303E0" w:rsidRPr="00EE5714" w14:paraId="47D3145B" w14:textId="77777777" w:rsidTr="00F85FAA">
        <w:trPr>
          <w:trHeight w:hRule="exact" w:val="245"/>
        </w:trPr>
        <w:tc>
          <w:tcPr>
            <w:tcW w:w="1620" w:type="dxa"/>
            <w:shd w:val="clear" w:color="auto" w:fill="auto"/>
            <w:noWrap/>
            <w:vAlign w:val="center"/>
            <w:hideMark/>
          </w:tcPr>
          <w:p w14:paraId="4383D5D8"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2014</w:t>
            </w:r>
          </w:p>
        </w:tc>
        <w:tc>
          <w:tcPr>
            <w:tcW w:w="2250" w:type="dxa"/>
            <w:vAlign w:val="center"/>
          </w:tcPr>
          <w:p w14:paraId="33AF8F6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$13,692,419</w:t>
            </w:r>
          </w:p>
        </w:tc>
        <w:tc>
          <w:tcPr>
            <w:tcW w:w="2295" w:type="dxa"/>
            <w:vAlign w:val="center"/>
          </w:tcPr>
          <w:p w14:paraId="711DCE70"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3.95%</w:t>
            </w:r>
          </w:p>
        </w:tc>
        <w:tc>
          <w:tcPr>
            <w:tcW w:w="2385" w:type="dxa"/>
            <w:vAlign w:val="center"/>
          </w:tcPr>
          <w:p w14:paraId="1F85A556"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$47,729,889</w:t>
            </w:r>
          </w:p>
        </w:tc>
        <w:tc>
          <w:tcPr>
            <w:tcW w:w="2160" w:type="dxa"/>
            <w:vAlign w:val="center"/>
          </w:tcPr>
          <w:p w14:paraId="65249773"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13.75%</w:t>
            </w:r>
          </w:p>
        </w:tc>
      </w:tr>
      <w:tr w:rsidR="00F303E0" w:rsidRPr="00EE5714" w14:paraId="52ACF15A" w14:textId="77777777" w:rsidTr="00F85FAA">
        <w:trPr>
          <w:trHeight w:hRule="exact" w:val="245"/>
        </w:trPr>
        <w:tc>
          <w:tcPr>
            <w:tcW w:w="1620" w:type="dxa"/>
            <w:shd w:val="clear" w:color="auto" w:fill="auto"/>
            <w:noWrap/>
            <w:vAlign w:val="center"/>
            <w:hideMark/>
          </w:tcPr>
          <w:p w14:paraId="07C0D163"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2015</w:t>
            </w:r>
          </w:p>
        </w:tc>
        <w:tc>
          <w:tcPr>
            <w:tcW w:w="2250" w:type="dxa"/>
            <w:vAlign w:val="center"/>
          </w:tcPr>
          <w:p w14:paraId="0B2D6CC7"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color w:val="000000"/>
                <w:sz w:val="21"/>
                <w:szCs w:val="21"/>
              </w:rPr>
              <w:t>$15,116,573</w:t>
            </w:r>
          </w:p>
        </w:tc>
        <w:tc>
          <w:tcPr>
            <w:tcW w:w="2295" w:type="dxa"/>
            <w:vAlign w:val="center"/>
          </w:tcPr>
          <w:p w14:paraId="68B2CF67"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4.15%</w:t>
            </w:r>
          </w:p>
        </w:tc>
        <w:tc>
          <w:tcPr>
            <w:tcW w:w="2385" w:type="dxa"/>
            <w:vAlign w:val="center"/>
          </w:tcPr>
          <w:p w14:paraId="2ECB9CB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$45,269,005</w:t>
            </w:r>
          </w:p>
        </w:tc>
        <w:tc>
          <w:tcPr>
            <w:tcW w:w="2160" w:type="dxa"/>
            <w:vAlign w:val="center"/>
          </w:tcPr>
          <w:p w14:paraId="544769A6"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12.44%</w:t>
            </w:r>
          </w:p>
        </w:tc>
      </w:tr>
      <w:tr w:rsidR="00F303E0" w:rsidRPr="00EE5714" w14:paraId="72EE4864" w14:textId="77777777" w:rsidTr="00F85FAA">
        <w:trPr>
          <w:trHeight w:hRule="exact" w:val="245"/>
        </w:trPr>
        <w:tc>
          <w:tcPr>
            <w:tcW w:w="1620" w:type="dxa"/>
            <w:tcBorders>
              <w:bottom w:val="single" w:sz="8" w:space="0" w:color="000000"/>
            </w:tcBorders>
            <w:shd w:val="clear" w:color="auto" w:fill="auto"/>
            <w:noWrap/>
            <w:vAlign w:val="center"/>
            <w:hideMark/>
          </w:tcPr>
          <w:p w14:paraId="4FB3E0B0"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2016</w:t>
            </w:r>
          </w:p>
        </w:tc>
        <w:tc>
          <w:tcPr>
            <w:tcW w:w="2250" w:type="dxa"/>
            <w:tcBorders>
              <w:bottom w:val="single" w:sz="8" w:space="0" w:color="000000"/>
            </w:tcBorders>
            <w:vAlign w:val="center"/>
          </w:tcPr>
          <w:p w14:paraId="42BF955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$11,882,724</w:t>
            </w:r>
          </w:p>
        </w:tc>
        <w:tc>
          <w:tcPr>
            <w:tcW w:w="2295" w:type="dxa"/>
            <w:tcBorders>
              <w:bottom w:val="single" w:sz="8" w:space="0" w:color="000000"/>
            </w:tcBorders>
            <w:vAlign w:val="center"/>
          </w:tcPr>
          <w:p w14:paraId="4AD1A098"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3.18%</w:t>
            </w:r>
          </w:p>
        </w:tc>
        <w:tc>
          <w:tcPr>
            <w:tcW w:w="2385" w:type="dxa"/>
            <w:tcBorders>
              <w:bottom w:val="single" w:sz="8" w:space="0" w:color="000000"/>
            </w:tcBorders>
            <w:vAlign w:val="center"/>
          </w:tcPr>
          <w:p w14:paraId="670ACD92"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$38,238,163</w:t>
            </w:r>
          </w:p>
        </w:tc>
        <w:tc>
          <w:tcPr>
            <w:tcW w:w="2160" w:type="dxa"/>
            <w:tcBorders>
              <w:bottom w:val="single" w:sz="8" w:space="0" w:color="000000"/>
            </w:tcBorders>
            <w:vAlign w:val="center"/>
          </w:tcPr>
          <w:p w14:paraId="247D3887"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10.23%</w:t>
            </w:r>
          </w:p>
        </w:tc>
      </w:tr>
      <w:tr w:rsidR="00F303E0" w:rsidRPr="00EE5714" w14:paraId="05B16A66" w14:textId="77777777" w:rsidTr="00F85FAA">
        <w:trPr>
          <w:trHeight w:hRule="exact" w:val="245"/>
        </w:trPr>
        <w:tc>
          <w:tcPr>
            <w:tcW w:w="1620" w:type="dxa"/>
            <w:shd w:val="clear" w:color="auto" w:fill="F2F2F2" w:themeFill="background1" w:themeFillShade="F2"/>
            <w:noWrap/>
            <w:vAlign w:val="bottom"/>
            <w:hideMark/>
          </w:tcPr>
          <w:p w14:paraId="3A5C0AC1" w14:textId="77777777" w:rsidR="00F303E0" w:rsidRPr="00EE5714" w:rsidRDefault="00F303E0" w:rsidP="00851815">
            <w:pPr>
              <w:keepNext/>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West Penn</w:t>
            </w:r>
          </w:p>
        </w:tc>
        <w:tc>
          <w:tcPr>
            <w:tcW w:w="2250" w:type="dxa"/>
            <w:shd w:val="clear" w:color="auto" w:fill="F2F2F2" w:themeFill="background1" w:themeFillShade="F2"/>
            <w:vAlign w:val="bottom"/>
          </w:tcPr>
          <w:p w14:paraId="781573A3" w14:textId="77777777" w:rsidR="00F303E0" w:rsidRPr="00EE5714" w:rsidRDefault="00F303E0" w:rsidP="00851815">
            <w:pPr>
              <w:keepNext/>
              <w:jc w:val="center"/>
              <w:rPr>
                <w:rFonts w:ascii="Calibri" w:eastAsia="Times New Roman" w:hAnsi="Calibri" w:cs="Calibri"/>
                <w:sz w:val="21"/>
                <w:szCs w:val="21"/>
              </w:rPr>
            </w:pPr>
          </w:p>
        </w:tc>
        <w:tc>
          <w:tcPr>
            <w:tcW w:w="2295" w:type="dxa"/>
            <w:shd w:val="clear" w:color="auto" w:fill="F2F2F2" w:themeFill="background1" w:themeFillShade="F2"/>
            <w:vAlign w:val="bottom"/>
          </w:tcPr>
          <w:p w14:paraId="6A023923" w14:textId="77777777" w:rsidR="00F303E0" w:rsidRPr="00EE5714" w:rsidRDefault="00F303E0" w:rsidP="00851815">
            <w:pPr>
              <w:keepNext/>
              <w:jc w:val="center"/>
              <w:rPr>
                <w:rFonts w:ascii="Calibri" w:eastAsia="Times New Roman" w:hAnsi="Calibri" w:cs="Calibri"/>
                <w:sz w:val="21"/>
                <w:szCs w:val="21"/>
              </w:rPr>
            </w:pPr>
          </w:p>
        </w:tc>
        <w:tc>
          <w:tcPr>
            <w:tcW w:w="2385" w:type="dxa"/>
            <w:shd w:val="clear" w:color="auto" w:fill="F2F2F2" w:themeFill="background1" w:themeFillShade="F2"/>
            <w:vAlign w:val="bottom"/>
          </w:tcPr>
          <w:p w14:paraId="7256D68B" w14:textId="77777777" w:rsidR="00F303E0" w:rsidRPr="00EE5714" w:rsidRDefault="00F303E0" w:rsidP="00851815">
            <w:pPr>
              <w:keepNext/>
              <w:jc w:val="center"/>
              <w:rPr>
                <w:rFonts w:ascii="Calibri" w:eastAsia="Times New Roman" w:hAnsi="Calibri" w:cs="Calibri"/>
                <w:sz w:val="21"/>
                <w:szCs w:val="21"/>
              </w:rPr>
            </w:pPr>
          </w:p>
        </w:tc>
        <w:tc>
          <w:tcPr>
            <w:tcW w:w="2160" w:type="dxa"/>
            <w:shd w:val="clear" w:color="auto" w:fill="F2F2F2" w:themeFill="background1" w:themeFillShade="F2"/>
            <w:vAlign w:val="bottom"/>
          </w:tcPr>
          <w:p w14:paraId="087182BE" w14:textId="77777777" w:rsidR="00F303E0" w:rsidRPr="00EE5714" w:rsidRDefault="00F303E0" w:rsidP="00851815">
            <w:pPr>
              <w:keepNext/>
              <w:jc w:val="center"/>
              <w:rPr>
                <w:rFonts w:ascii="Calibri" w:eastAsia="Times New Roman" w:hAnsi="Calibri" w:cs="Calibri"/>
                <w:sz w:val="21"/>
                <w:szCs w:val="21"/>
              </w:rPr>
            </w:pPr>
          </w:p>
        </w:tc>
      </w:tr>
      <w:tr w:rsidR="00F303E0" w:rsidRPr="00EE5714" w14:paraId="5C960F36" w14:textId="77777777" w:rsidTr="00F85FAA">
        <w:trPr>
          <w:trHeight w:hRule="exact" w:val="245"/>
        </w:trPr>
        <w:tc>
          <w:tcPr>
            <w:tcW w:w="1620" w:type="dxa"/>
            <w:shd w:val="clear" w:color="auto" w:fill="auto"/>
            <w:noWrap/>
            <w:vAlign w:val="center"/>
            <w:hideMark/>
          </w:tcPr>
          <w:p w14:paraId="024B8773"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2012</w:t>
            </w:r>
          </w:p>
        </w:tc>
        <w:tc>
          <w:tcPr>
            <w:tcW w:w="2250" w:type="dxa"/>
            <w:vAlign w:val="center"/>
          </w:tcPr>
          <w:p w14:paraId="269809B1"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$2,728,070</w:t>
            </w:r>
          </w:p>
        </w:tc>
        <w:tc>
          <w:tcPr>
            <w:tcW w:w="2295" w:type="dxa"/>
            <w:vAlign w:val="center"/>
          </w:tcPr>
          <w:p w14:paraId="31B886A6"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5.42%</w:t>
            </w:r>
          </w:p>
        </w:tc>
        <w:tc>
          <w:tcPr>
            <w:tcW w:w="2385" w:type="dxa"/>
            <w:vAlign w:val="center"/>
          </w:tcPr>
          <w:p w14:paraId="0F12536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$2,423,346</w:t>
            </w:r>
          </w:p>
        </w:tc>
        <w:tc>
          <w:tcPr>
            <w:tcW w:w="2160" w:type="dxa"/>
            <w:vAlign w:val="center"/>
          </w:tcPr>
          <w:p w14:paraId="4D15E8F0"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4.81%</w:t>
            </w:r>
          </w:p>
        </w:tc>
      </w:tr>
      <w:tr w:rsidR="00F303E0" w:rsidRPr="00EE5714" w14:paraId="43D5D5B3" w14:textId="77777777" w:rsidTr="00F85FAA">
        <w:trPr>
          <w:trHeight w:hRule="exact" w:val="245"/>
        </w:trPr>
        <w:tc>
          <w:tcPr>
            <w:tcW w:w="1620" w:type="dxa"/>
            <w:shd w:val="clear" w:color="auto" w:fill="auto"/>
            <w:noWrap/>
            <w:vAlign w:val="center"/>
            <w:hideMark/>
          </w:tcPr>
          <w:p w14:paraId="03D2642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2013</w:t>
            </w:r>
          </w:p>
        </w:tc>
        <w:tc>
          <w:tcPr>
            <w:tcW w:w="2250" w:type="dxa"/>
            <w:vAlign w:val="center"/>
          </w:tcPr>
          <w:p w14:paraId="39592EB2"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$5,049,855</w:t>
            </w:r>
          </w:p>
        </w:tc>
        <w:tc>
          <w:tcPr>
            <w:tcW w:w="2295" w:type="dxa"/>
            <w:vAlign w:val="center"/>
          </w:tcPr>
          <w:p w14:paraId="2D61262D"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9.90%</w:t>
            </w:r>
          </w:p>
        </w:tc>
        <w:tc>
          <w:tcPr>
            <w:tcW w:w="2385" w:type="dxa"/>
            <w:vAlign w:val="center"/>
          </w:tcPr>
          <w:p w14:paraId="03025914"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$1,201,202</w:t>
            </w:r>
          </w:p>
        </w:tc>
        <w:tc>
          <w:tcPr>
            <w:tcW w:w="2160" w:type="dxa"/>
            <w:vAlign w:val="center"/>
          </w:tcPr>
          <w:p w14:paraId="0C2007BF"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2.35%</w:t>
            </w:r>
          </w:p>
        </w:tc>
      </w:tr>
      <w:tr w:rsidR="00F303E0" w:rsidRPr="00EE5714" w14:paraId="1259E559" w14:textId="77777777" w:rsidTr="00F85FAA">
        <w:trPr>
          <w:trHeight w:hRule="exact" w:val="245"/>
        </w:trPr>
        <w:tc>
          <w:tcPr>
            <w:tcW w:w="1620" w:type="dxa"/>
            <w:shd w:val="clear" w:color="auto" w:fill="auto"/>
            <w:noWrap/>
            <w:vAlign w:val="center"/>
            <w:hideMark/>
          </w:tcPr>
          <w:p w14:paraId="7D73FE0B"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2014</w:t>
            </w:r>
          </w:p>
        </w:tc>
        <w:tc>
          <w:tcPr>
            <w:tcW w:w="2250" w:type="dxa"/>
            <w:vAlign w:val="center"/>
          </w:tcPr>
          <w:p w14:paraId="65E5EE98"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$6,028,055</w:t>
            </w:r>
          </w:p>
        </w:tc>
        <w:tc>
          <w:tcPr>
            <w:tcW w:w="2295" w:type="dxa"/>
            <w:vAlign w:val="center"/>
          </w:tcPr>
          <w:p w14:paraId="40FF2E23"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11.01%</w:t>
            </w:r>
          </w:p>
        </w:tc>
        <w:tc>
          <w:tcPr>
            <w:tcW w:w="2385" w:type="dxa"/>
            <w:vAlign w:val="center"/>
          </w:tcPr>
          <w:p w14:paraId="1899C44B"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$1,227,264</w:t>
            </w:r>
          </w:p>
        </w:tc>
        <w:tc>
          <w:tcPr>
            <w:tcW w:w="2160" w:type="dxa"/>
            <w:vAlign w:val="center"/>
          </w:tcPr>
          <w:p w14:paraId="5E0C20F9"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2.24%</w:t>
            </w:r>
          </w:p>
        </w:tc>
      </w:tr>
      <w:tr w:rsidR="00F303E0" w:rsidRPr="00EE5714" w14:paraId="12FAEB52" w14:textId="77777777" w:rsidTr="00F85FAA">
        <w:trPr>
          <w:trHeight w:hRule="exact" w:val="245"/>
        </w:trPr>
        <w:tc>
          <w:tcPr>
            <w:tcW w:w="1620" w:type="dxa"/>
            <w:shd w:val="clear" w:color="auto" w:fill="auto"/>
            <w:noWrap/>
            <w:vAlign w:val="center"/>
            <w:hideMark/>
          </w:tcPr>
          <w:p w14:paraId="1DC04899" w14:textId="77777777" w:rsidR="00F303E0" w:rsidRPr="00EE5714" w:rsidRDefault="00F303E0" w:rsidP="00851815">
            <w:pPr>
              <w:keepNext/>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2015</w:t>
            </w:r>
          </w:p>
        </w:tc>
        <w:tc>
          <w:tcPr>
            <w:tcW w:w="2250" w:type="dxa"/>
            <w:vAlign w:val="center"/>
          </w:tcPr>
          <w:p w14:paraId="74ADD112"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$6,185,136</w:t>
            </w:r>
          </w:p>
        </w:tc>
        <w:tc>
          <w:tcPr>
            <w:tcW w:w="2295" w:type="dxa"/>
            <w:vAlign w:val="center"/>
          </w:tcPr>
          <w:p w14:paraId="4B3AA848"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7.65%</w:t>
            </w:r>
          </w:p>
        </w:tc>
        <w:tc>
          <w:tcPr>
            <w:tcW w:w="2385" w:type="dxa"/>
            <w:vAlign w:val="center"/>
          </w:tcPr>
          <w:p w14:paraId="2456BF07"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sz w:val="21"/>
                <w:szCs w:val="21"/>
              </w:rPr>
              <w:t>$1,714,017</w:t>
            </w:r>
          </w:p>
        </w:tc>
        <w:tc>
          <w:tcPr>
            <w:tcW w:w="2160" w:type="dxa"/>
            <w:vAlign w:val="center"/>
          </w:tcPr>
          <w:p w14:paraId="2EEB4676" w14:textId="77777777" w:rsidR="00F303E0" w:rsidRPr="00EE5714" w:rsidRDefault="00F303E0" w:rsidP="00851815">
            <w:pPr>
              <w:keepNext/>
              <w:jc w:val="center"/>
              <w:rPr>
                <w:rFonts w:ascii="Calibri" w:eastAsia="Times New Roman" w:hAnsi="Calibri" w:cs="Calibri"/>
                <w:sz w:val="21"/>
                <w:szCs w:val="21"/>
              </w:rPr>
            </w:pPr>
            <w:r w:rsidRPr="00EE5714">
              <w:rPr>
                <w:rFonts w:ascii="Calibri" w:hAnsi="Calibri" w:cs="Calibri"/>
                <w:bCs/>
                <w:color w:val="000000"/>
                <w:sz w:val="21"/>
                <w:szCs w:val="21"/>
              </w:rPr>
              <w:t>2.12%</w:t>
            </w:r>
          </w:p>
        </w:tc>
      </w:tr>
      <w:tr w:rsidR="00F303E0" w:rsidRPr="00EE5714" w14:paraId="427F1872" w14:textId="77777777" w:rsidTr="00F85FAA">
        <w:trPr>
          <w:trHeight w:hRule="exact" w:val="245"/>
        </w:trPr>
        <w:tc>
          <w:tcPr>
            <w:tcW w:w="1620" w:type="dxa"/>
            <w:shd w:val="clear" w:color="auto" w:fill="auto"/>
            <w:noWrap/>
            <w:vAlign w:val="center"/>
            <w:hideMark/>
          </w:tcPr>
          <w:p w14:paraId="3F226315" w14:textId="77777777" w:rsidR="00F303E0" w:rsidRPr="00EE5714" w:rsidRDefault="00F303E0" w:rsidP="00851815">
            <w:pPr>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2016</w:t>
            </w:r>
          </w:p>
        </w:tc>
        <w:tc>
          <w:tcPr>
            <w:tcW w:w="2250" w:type="dxa"/>
            <w:vAlign w:val="center"/>
          </w:tcPr>
          <w:p w14:paraId="2540029C" w14:textId="77777777" w:rsidR="00F303E0" w:rsidRPr="00EE5714" w:rsidRDefault="00F303E0" w:rsidP="00851815">
            <w:pPr>
              <w:jc w:val="center"/>
              <w:rPr>
                <w:rFonts w:ascii="Calibri" w:eastAsia="Times New Roman" w:hAnsi="Calibri" w:cs="Calibri"/>
                <w:sz w:val="21"/>
                <w:szCs w:val="21"/>
              </w:rPr>
            </w:pPr>
            <w:r w:rsidRPr="00EE5714">
              <w:rPr>
                <w:rFonts w:ascii="Calibri" w:hAnsi="Calibri" w:cs="Calibri"/>
                <w:sz w:val="21"/>
                <w:szCs w:val="21"/>
              </w:rPr>
              <w:t>$6,253,617</w:t>
            </w:r>
          </w:p>
        </w:tc>
        <w:tc>
          <w:tcPr>
            <w:tcW w:w="2295" w:type="dxa"/>
            <w:vAlign w:val="center"/>
          </w:tcPr>
          <w:p w14:paraId="23B0D651" w14:textId="77777777" w:rsidR="00F303E0" w:rsidRPr="00EE5714" w:rsidRDefault="00F303E0" w:rsidP="00851815">
            <w:pPr>
              <w:jc w:val="center"/>
              <w:rPr>
                <w:rFonts w:ascii="Calibri" w:eastAsia="Times New Roman" w:hAnsi="Calibri" w:cs="Calibri"/>
                <w:sz w:val="21"/>
                <w:szCs w:val="21"/>
              </w:rPr>
            </w:pPr>
            <w:r w:rsidRPr="00EE5714">
              <w:rPr>
                <w:rFonts w:ascii="Calibri" w:hAnsi="Calibri" w:cs="Calibri"/>
                <w:bCs/>
                <w:color w:val="000000"/>
                <w:sz w:val="21"/>
                <w:szCs w:val="21"/>
              </w:rPr>
              <w:t>7.31%</w:t>
            </w:r>
          </w:p>
        </w:tc>
        <w:tc>
          <w:tcPr>
            <w:tcW w:w="2385" w:type="dxa"/>
            <w:vAlign w:val="center"/>
          </w:tcPr>
          <w:p w14:paraId="521AAB61" w14:textId="77777777" w:rsidR="00F303E0" w:rsidRPr="00EE5714" w:rsidRDefault="00F303E0" w:rsidP="00851815">
            <w:pPr>
              <w:jc w:val="center"/>
              <w:rPr>
                <w:rFonts w:ascii="Calibri" w:eastAsia="Times New Roman" w:hAnsi="Calibri" w:cs="Calibri"/>
                <w:sz w:val="21"/>
                <w:szCs w:val="21"/>
              </w:rPr>
            </w:pPr>
            <w:r w:rsidRPr="00EE5714">
              <w:rPr>
                <w:rFonts w:ascii="Calibri" w:hAnsi="Calibri" w:cs="Calibri"/>
                <w:sz w:val="21"/>
                <w:szCs w:val="21"/>
              </w:rPr>
              <w:t>$2,690,163</w:t>
            </w:r>
          </w:p>
        </w:tc>
        <w:tc>
          <w:tcPr>
            <w:tcW w:w="2160" w:type="dxa"/>
            <w:vAlign w:val="center"/>
          </w:tcPr>
          <w:p w14:paraId="642D8CCA" w14:textId="77777777" w:rsidR="00F303E0" w:rsidRPr="00EE5714" w:rsidRDefault="00F303E0" w:rsidP="00851815">
            <w:pPr>
              <w:jc w:val="center"/>
              <w:rPr>
                <w:rFonts w:ascii="Calibri" w:eastAsia="Times New Roman" w:hAnsi="Calibri" w:cs="Calibri"/>
                <w:sz w:val="21"/>
                <w:szCs w:val="21"/>
              </w:rPr>
            </w:pPr>
            <w:r w:rsidRPr="00EE5714">
              <w:rPr>
                <w:rFonts w:ascii="Calibri" w:hAnsi="Calibri" w:cs="Calibri"/>
                <w:bCs/>
                <w:color w:val="000000"/>
                <w:sz w:val="21"/>
                <w:szCs w:val="21"/>
              </w:rPr>
              <w:t>3.15%</w:t>
            </w:r>
          </w:p>
        </w:tc>
      </w:tr>
    </w:tbl>
    <w:p w14:paraId="20D998F2" w14:textId="133AEC0A" w:rsidR="00F303E0" w:rsidRPr="00EE5714" w:rsidRDefault="00F303E0" w:rsidP="00F303E0">
      <w:pPr>
        <w:pStyle w:val="NoSpacing"/>
        <w:rPr>
          <w:rFonts w:cs="Times New Roman"/>
          <w:sz w:val="24"/>
          <w:szCs w:val="24"/>
        </w:rPr>
      </w:pPr>
      <w:r w:rsidRPr="00EE5714">
        <w:rPr>
          <w:rFonts w:cs="Times New Roman"/>
          <w:b/>
          <w:color w:val="2F5496" w:themeColor="accent1" w:themeShade="BF"/>
          <w:sz w:val="24"/>
          <w:szCs w:val="24"/>
        </w:rPr>
        <w:br w:type="page"/>
      </w:r>
    </w:p>
    <w:p w14:paraId="56CD32FC" w14:textId="36A1413A" w:rsidR="00F303E0" w:rsidRPr="00EE5714" w:rsidRDefault="00F734A0" w:rsidP="00406D0A">
      <w:pPr>
        <w:pStyle w:val="Heading2"/>
        <w:spacing w:before="0" w:line="240" w:lineRule="auto"/>
        <w:contextualSpacing/>
      </w:pPr>
      <w:bookmarkStart w:id="79" w:name="_Toc533674878"/>
      <w:bookmarkStart w:id="80" w:name="_Toc534547883"/>
      <w:r w:rsidRPr="00EE5714">
        <w:lastRenderedPageBreak/>
        <w:t>Appendix 8</w:t>
      </w:r>
      <w:r w:rsidR="00F303E0" w:rsidRPr="00EE5714">
        <w:t xml:space="preserve"> – </w:t>
      </w:r>
      <w:bookmarkEnd w:id="79"/>
      <w:r w:rsidR="00544923" w:rsidRPr="00EE5714">
        <w:t>State Survey Responses</w:t>
      </w:r>
      <w:bookmarkEnd w:id="80"/>
    </w:p>
    <w:p w14:paraId="1929DACC" w14:textId="77777777" w:rsidR="00F303E0" w:rsidRPr="00EE5714" w:rsidRDefault="00F303E0" w:rsidP="00406D0A">
      <w:pPr>
        <w:pStyle w:val="NoSpacing"/>
        <w:contextualSpacing/>
        <w:rPr>
          <w:rFonts w:cs="Times New Roman"/>
          <w:szCs w:val="26"/>
        </w:rPr>
      </w:pPr>
    </w:p>
    <w:p w14:paraId="75BB7123" w14:textId="77777777" w:rsidR="00F303E0" w:rsidRPr="00EE5714" w:rsidRDefault="00F303E0" w:rsidP="00406D0A">
      <w:pPr>
        <w:spacing w:after="0" w:line="240" w:lineRule="auto"/>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Staff received eight responses to the survey.  None of the responders provided data for every question.</w:t>
      </w:r>
      <w:r w:rsidRPr="00EE5714">
        <w:rPr>
          <w:rStyle w:val="FootnoteReference"/>
          <w:rFonts w:ascii="Times New Roman" w:eastAsia="Calibri" w:hAnsi="Times New Roman" w:cs="Times New Roman"/>
          <w:sz w:val="26"/>
          <w:szCs w:val="26"/>
        </w:rPr>
        <w:footnoteReference w:id="99"/>
      </w:r>
      <w:r w:rsidRPr="00EE5714">
        <w:rPr>
          <w:rFonts w:ascii="Times New Roman" w:eastAsia="Calibri" w:hAnsi="Times New Roman" w:cs="Times New Roman"/>
          <w:sz w:val="26"/>
          <w:szCs w:val="26"/>
        </w:rPr>
        <w:t xml:space="preserve">  These summaries have been supplemented by limited staff research.</w:t>
      </w:r>
    </w:p>
    <w:p w14:paraId="32F0524A" w14:textId="77777777" w:rsidR="001D0318" w:rsidRPr="00EE5714" w:rsidRDefault="001D0318" w:rsidP="00406D0A">
      <w:pPr>
        <w:spacing w:after="0" w:line="240" w:lineRule="auto"/>
        <w:contextualSpacing/>
        <w:rPr>
          <w:rFonts w:ascii="Times New Roman" w:eastAsia="Calibri" w:hAnsi="Times New Roman" w:cs="Times New Roman"/>
          <w:sz w:val="26"/>
          <w:szCs w:val="26"/>
        </w:rPr>
      </w:pPr>
    </w:p>
    <w:p w14:paraId="48919D0D" w14:textId="77777777" w:rsidR="00F303E0" w:rsidRPr="00EE5714" w:rsidRDefault="00F303E0" w:rsidP="00406D0A">
      <w:pPr>
        <w:spacing w:after="0" w:line="240" w:lineRule="auto"/>
        <w:contextualSpacing/>
        <w:rPr>
          <w:rFonts w:ascii="Times New Roman" w:eastAsia="Calibri" w:hAnsi="Times New Roman" w:cs="Times New Roman"/>
          <w:b/>
          <w:i/>
          <w:sz w:val="26"/>
          <w:szCs w:val="26"/>
        </w:rPr>
      </w:pPr>
      <w:r w:rsidRPr="00EE5714">
        <w:rPr>
          <w:rFonts w:ascii="Times New Roman" w:eastAsia="Calibri" w:hAnsi="Times New Roman" w:cs="Times New Roman"/>
          <w:b/>
          <w:i/>
          <w:sz w:val="26"/>
          <w:szCs w:val="26"/>
        </w:rPr>
        <w:t>Question 1:  Excluding LIHEAP, what utility and/or energy assistance programs does your state offer to low-income customers?</w:t>
      </w:r>
    </w:p>
    <w:p w14:paraId="1542D018"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3F35F06D"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Colorado:</w:t>
      </w:r>
    </w:p>
    <w:p w14:paraId="135558EC"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4C41089C"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Energy Outreach Colorado</w:t>
      </w:r>
    </w:p>
    <w:p w14:paraId="75F42F52" w14:textId="77777777" w:rsidR="00F303E0" w:rsidRPr="00EE5714" w:rsidRDefault="00F303E0" w:rsidP="007D5276">
      <w:pPr>
        <w:numPr>
          <w:ilvl w:val="0"/>
          <w:numId w:val="14"/>
        </w:numPr>
        <w:tabs>
          <w:tab w:val="left" w:pos="3489"/>
        </w:tabs>
        <w:spacing w:after="0" w:line="240" w:lineRule="auto"/>
        <w:ind w:left="180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Low-income assistance</w:t>
      </w:r>
    </w:p>
    <w:p w14:paraId="33C85726" w14:textId="77777777" w:rsidR="00F303E0" w:rsidRPr="00EE5714" w:rsidRDefault="00F303E0" w:rsidP="007D5276">
      <w:pPr>
        <w:numPr>
          <w:ilvl w:val="0"/>
          <w:numId w:val="14"/>
        </w:numPr>
        <w:tabs>
          <w:tab w:val="left" w:pos="3489"/>
        </w:tabs>
        <w:spacing w:after="0" w:line="240" w:lineRule="auto"/>
        <w:ind w:left="180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Program specifically targeted to low-income customers for each utility</w:t>
      </w:r>
    </w:p>
    <w:p w14:paraId="27C4181C" w14:textId="77777777" w:rsidR="00F303E0" w:rsidRPr="00EE5714" w:rsidRDefault="00F303E0" w:rsidP="007D5276">
      <w:pPr>
        <w:numPr>
          <w:ilvl w:val="0"/>
          <w:numId w:val="14"/>
        </w:numPr>
        <w:tabs>
          <w:tab w:val="left" w:pos="3489"/>
        </w:tabs>
        <w:spacing w:after="0" w:line="240" w:lineRule="auto"/>
        <w:ind w:left="180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Paid by rate charged to each residential non-participant monthly bill</w:t>
      </w:r>
    </w:p>
    <w:p w14:paraId="28DDB2B4"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p>
    <w:p w14:paraId="5C1D76A2"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Michigan:</w:t>
      </w:r>
    </w:p>
    <w:p w14:paraId="715D1D7C"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p>
    <w:p w14:paraId="1C4108D2"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Michigan Energy Assistance Program </w:t>
      </w:r>
    </w:p>
    <w:p w14:paraId="05FC33FD" w14:textId="77777777" w:rsidR="00F303E0" w:rsidRPr="00EE5714" w:rsidRDefault="00F303E0" w:rsidP="007D5276">
      <w:pPr>
        <w:numPr>
          <w:ilvl w:val="0"/>
          <w:numId w:val="16"/>
        </w:numPr>
        <w:tabs>
          <w:tab w:val="left" w:pos="3489"/>
        </w:tabs>
        <w:spacing w:after="0" w:line="240" w:lineRule="auto"/>
        <w:ind w:left="180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Implemented by utilities</w:t>
      </w:r>
    </w:p>
    <w:p w14:paraId="37632044" w14:textId="77777777" w:rsidR="00F303E0" w:rsidRPr="00EE5714" w:rsidRDefault="00F303E0" w:rsidP="007D5276">
      <w:pPr>
        <w:numPr>
          <w:ilvl w:val="0"/>
          <w:numId w:val="15"/>
        </w:numPr>
        <w:tabs>
          <w:tab w:val="left" w:pos="3489"/>
        </w:tabs>
        <w:spacing w:after="0" w:line="240" w:lineRule="auto"/>
        <w:ind w:left="180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Funded by state’s Low-Income Energy Assistance Fund</w:t>
      </w:r>
    </w:p>
    <w:p w14:paraId="70D9A2BF" w14:textId="77777777" w:rsidR="00F303E0" w:rsidRPr="00EE5714" w:rsidRDefault="00F303E0" w:rsidP="007D5276">
      <w:pPr>
        <w:numPr>
          <w:ilvl w:val="0"/>
          <w:numId w:val="15"/>
        </w:numPr>
        <w:tabs>
          <w:tab w:val="left" w:pos="3489"/>
        </w:tabs>
        <w:spacing w:after="0" w:line="240" w:lineRule="auto"/>
        <w:ind w:left="180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Utilities can opt in or out on an annual basis</w:t>
      </w:r>
    </w:p>
    <w:p w14:paraId="6845759E"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p>
    <w:p w14:paraId="4BBE0E88"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Indiana:</w:t>
      </w:r>
    </w:p>
    <w:p w14:paraId="554052F8"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rPr>
      </w:pPr>
    </w:p>
    <w:p w14:paraId="1FBBCC96"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A state-funded energy assistance program which provides benefits to homeowners only.</w:t>
      </w:r>
      <w:r w:rsidR="00B903C7" w:rsidRPr="00EE5714">
        <w:rPr>
          <w:rStyle w:val="FootnoteReference"/>
          <w:rFonts w:ascii="Times New Roman" w:eastAsia="Calibri" w:hAnsi="Times New Roman" w:cs="Times New Roman"/>
          <w:sz w:val="26"/>
          <w:szCs w:val="26"/>
        </w:rPr>
        <w:footnoteReference w:id="100"/>
      </w:r>
      <w:r w:rsidRPr="00EE5714">
        <w:rPr>
          <w:rFonts w:ascii="Times New Roman" w:eastAsia="Calibri" w:hAnsi="Times New Roman" w:cs="Times New Roman"/>
          <w:sz w:val="26"/>
          <w:szCs w:val="26"/>
        </w:rPr>
        <w:t xml:space="preserve">  </w:t>
      </w:r>
    </w:p>
    <w:p w14:paraId="02A45DD4"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p>
    <w:p w14:paraId="76B03E7E"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District of Columbia:</w:t>
      </w:r>
    </w:p>
    <w:p w14:paraId="625A559E"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3E938A41"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Residential Aid Discount Program </w:t>
      </w:r>
    </w:p>
    <w:p w14:paraId="3D2BC31E" w14:textId="77777777" w:rsidR="00F303E0" w:rsidRPr="00EE5714" w:rsidRDefault="00F303E0" w:rsidP="007D5276">
      <w:pPr>
        <w:numPr>
          <w:ilvl w:val="0"/>
          <w:numId w:val="17"/>
        </w:numPr>
        <w:tabs>
          <w:tab w:val="left" w:pos="3489"/>
        </w:tabs>
        <w:spacing w:after="0" w:line="240" w:lineRule="auto"/>
        <w:ind w:left="180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Offered by Pepco for electric customers.  This program offers a credit that covers full customer charges for energy distribution and exemption for several surcharges.  The combined discount equals about 30% of the typical bill for eligible customers.</w:t>
      </w:r>
    </w:p>
    <w:p w14:paraId="52E93821"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581B28D9"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Residential Essential Service Program</w:t>
      </w:r>
      <w:r w:rsidR="00834FCF" w:rsidRPr="00EE5714">
        <w:rPr>
          <w:rFonts w:ascii="Times New Roman" w:eastAsia="Calibri" w:hAnsi="Times New Roman" w:cs="Times New Roman"/>
          <w:sz w:val="26"/>
          <w:szCs w:val="26"/>
        </w:rPr>
        <w:t xml:space="preserve"> (RES)</w:t>
      </w:r>
    </w:p>
    <w:p w14:paraId="24FAE506" w14:textId="77777777" w:rsidR="00F303E0" w:rsidRPr="00EE5714" w:rsidRDefault="00F303E0" w:rsidP="007D5276">
      <w:pPr>
        <w:numPr>
          <w:ilvl w:val="0"/>
          <w:numId w:val="17"/>
        </w:numPr>
        <w:tabs>
          <w:tab w:val="left" w:pos="3489"/>
        </w:tabs>
        <w:spacing w:after="0" w:line="240" w:lineRule="auto"/>
        <w:ind w:left="180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Offered for gas customers of Washington Gas.  The program offers a discount to eligible Pepco residential customers in D.C.  The discount is a percentage reduction in the distribution portion of the customer’s bill for the winter months, November through April, resulting in approximately 25% reduction in charges.  RES also provides for an automatic short-term increase in this reduction if gas prices increase above a specific historical average.</w:t>
      </w:r>
    </w:p>
    <w:p w14:paraId="4830E900"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17678C54"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lastRenderedPageBreak/>
        <w:t>Ohio:</w:t>
      </w:r>
    </w:p>
    <w:p w14:paraId="7A7F387F"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7DA75300"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PIPP Plus</w:t>
      </w:r>
    </w:p>
    <w:p w14:paraId="17281260" w14:textId="77777777" w:rsidR="00F303E0" w:rsidRPr="00EE5714" w:rsidRDefault="00F303E0" w:rsidP="007D5276">
      <w:pPr>
        <w:numPr>
          <w:ilvl w:val="0"/>
          <w:numId w:val="17"/>
        </w:numPr>
        <w:tabs>
          <w:tab w:val="left" w:pos="3489"/>
        </w:tabs>
        <w:spacing w:after="0" w:line="240" w:lineRule="auto"/>
        <w:ind w:left="180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Customers are eligible if their household income is at or below 150% of the FPIG level.  (Ohio LIHEAP income eligibility guidelines are set at or below 175% of the FPIG level.)</w:t>
      </w:r>
    </w:p>
    <w:p w14:paraId="7755AB96"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p>
    <w:p w14:paraId="2CA49AF8"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Winter Reconnect Orders </w:t>
      </w:r>
    </w:p>
    <w:p w14:paraId="41D9F123" w14:textId="77777777" w:rsidR="00F303E0" w:rsidRPr="00EE5714" w:rsidRDefault="00F303E0" w:rsidP="007D5276">
      <w:pPr>
        <w:numPr>
          <w:ilvl w:val="0"/>
          <w:numId w:val="17"/>
        </w:numPr>
        <w:tabs>
          <w:tab w:val="left" w:pos="3489"/>
        </w:tabs>
        <w:spacing w:after="0" w:line="240" w:lineRule="auto"/>
        <w:ind w:left="180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Issued annually by the Public Utility Commission of Ohio, allowing customers who are disconnected or being threatened with disconnection to pay a maximum of $175 to maintain or restore their utility service once per winter heating season.</w:t>
      </w:r>
    </w:p>
    <w:p w14:paraId="6104ABC5"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p>
    <w:p w14:paraId="0B3E9F87"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The electric and gas companies offer their own specific programs to assist eligible customers with paying their utility bills.</w:t>
      </w:r>
    </w:p>
    <w:p w14:paraId="7C7AB44A"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0A636835"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22A16D55" w14:textId="77777777" w:rsidR="00F303E0" w:rsidRPr="00EE5714" w:rsidRDefault="00F303E0" w:rsidP="00406D0A">
      <w:pPr>
        <w:keepLines/>
        <w:spacing w:after="0" w:line="240" w:lineRule="auto"/>
        <w:contextualSpacing/>
        <w:rPr>
          <w:rFonts w:ascii="Times New Roman" w:eastAsia="Calibri" w:hAnsi="Times New Roman" w:cs="Times New Roman"/>
          <w:b/>
          <w:i/>
          <w:sz w:val="26"/>
          <w:szCs w:val="26"/>
        </w:rPr>
      </w:pPr>
      <w:r w:rsidRPr="00EE5714">
        <w:rPr>
          <w:rFonts w:ascii="Times New Roman" w:eastAsia="Calibri" w:hAnsi="Times New Roman" w:cs="Times New Roman"/>
          <w:b/>
          <w:i/>
          <w:sz w:val="26"/>
          <w:szCs w:val="26"/>
        </w:rPr>
        <w:t>Question 2: Does your state have a definition for an “affordable” energy burden?</w:t>
      </w:r>
    </w:p>
    <w:p w14:paraId="25EC1293" w14:textId="77777777" w:rsidR="00F303E0" w:rsidRPr="00EE5714" w:rsidRDefault="00F303E0" w:rsidP="00406D0A">
      <w:pPr>
        <w:keepLines/>
        <w:tabs>
          <w:tab w:val="left" w:pos="3489"/>
        </w:tabs>
        <w:spacing w:after="0" w:line="240" w:lineRule="auto"/>
        <w:contextualSpacing/>
        <w:rPr>
          <w:rFonts w:ascii="Times New Roman" w:eastAsia="Calibri" w:hAnsi="Times New Roman" w:cs="Times New Roman"/>
          <w:sz w:val="26"/>
          <w:szCs w:val="26"/>
        </w:rPr>
      </w:pPr>
    </w:p>
    <w:p w14:paraId="6C9149D2" w14:textId="77777777" w:rsidR="00F303E0" w:rsidRPr="00EE5714" w:rsidRDefault="00B536C7" w:rsidP="00406D0A">
      <w:pPr>
        <w:keepLines/>
        <w:tabs>
          <w:tab w:val="left" w:pos="3489"/>
        </w:tabs>
        <w:spacing w:after="0" w:line="240" w:lineRule="auto"/>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No </w:t>
      </w:r>
      <w:r w:rsidR="00F303E0" w:rsidRPr="00EE5714">
        <w:rPr>
          <w:rFonts w:ascii="Times New Roman" w:eastAsia="Calibri" w:hAnsi="Times New Roman" w:cs="Times New Roman"/>
          <w:sz w:val="26"/>
          <w:szCs w:val="26"/>
        </w:rPr>
        <w:t xml:space="preserve">respondents </w:t>
      </w:r>
      <w:r w:rsidRPr="00EE5714">
        <w:rPr>
          <w:rFonts w:ascii="Times New Roman" w:eastAsia="Calibri" w:hAnsi="Times New Roman" w:cs="Times New Roman"/>
          <w:sz w:val="26"/>
          <w:szCs w:val="26"/>
        </w:rPr>
        <w:t>reported</w:t>
      </w:r>
      <w:r w:rsidR="00F303E0" w:rsidRPr="00EE5714">
        <w:rPr>
          <w:rFonts w:ascii="Times New Roman" w:eastAsia="Calibri" w:hAnsi="Times New Roman" w:cs="Times New Roman"/>
          <w:sz w:val="26"/>
          <w:szCs w:val="26"/>
        </w:rPr>
        <w:t xml:space="preserve"> a definition for an affordable energy burden.</w:t>
      </w:r>
    </w:p>
    <w:p w14:paraId="1CC9F4E1"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0AC40B52" w14:textId="77777777" w:rsidR="000F31BC" w:rsidRPr="00EE5714" w:rsidRDefault="000F31BC" w:rsidP="00406D0A">
      <w:pPr>
        <w:tabs>
          <w:tab w:val="left" w:pos="3489"/>
        </w:tabs>
        <w:spacing w:after="0" w:line="240" w:lineRule="auto"/>
        <w:contextualSpacing/>
        <w:rPr>
          <w:rFonts w:ascii="Times New Roman" w:eastAsia="Calibri" w:hAnsi="Times New Roman" w:cs="Times New Roman"/>
          <w:sz w:val="26"/>
          <w:szCs w:val="26"/>
        </w:rPr>
      </w:pPr>
    </w:p>
    <w:p w14:paraId="1DF30961"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b/>
          <w:i/>
          <w:sz w:val="26"/>
          <w:szCs w:val="26"/>
        </w:rPr>
      </w:pPr>
      <w:r w:rsidRPr="00EE5714">
        <w:rPr>
          <w:rFonts w:ascii="Times New Roman" w:eastAsia="Calibri" w:hAnsi="Times New Roman" w:cs="Times New Roman"/>
          <w:b/>
          <w:i/>
          <w:sz w:val="26"/>
          <w:szCs w:val="26"/>
        </w:rPr>
        <w:t>Question 3:  Please provide an explanation of how your state calculates a household’s energy burden (i.e., statewide; includes housing expenses) and if there is a difference based on fuel type (i.e., electric or gas; heating/non-heating account).</w:t>
      </w:r>
    </w:p>
    <w:p w14:paraId="0FBB97BF"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b/>
          <w:i/>
          <w:sz w:val="26"/>
          <w:szCs w:val="26"/>
        </w:rPr>
      </w:pPr>
    </w:p>
    <w:p w14:paraId="2AB93522"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Colorado:</w:t>
      </w:r>
    </w:p>
    <w:p w14:paraId="1E381C6A"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p>
    <w:p w14:paraId="69A6D7C9"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Eligible participants are limited to those with a household income at or below 186% of the current federal </w:t>
      </w:r>
      <w:r w:rsidRPr="00EE5714" w:rsidDel="00D46CCA">
        <w:rPr>
          <w:rFonts w:ascii="Times New Roman" w:eastAsia="Calibri" w:hAnsi="Times New Roman" w:cs="Times New Roman"/>
          <w:sz w:val="26"/>
          <w:szCs w:val="26"/>
        </w:rPr>
        <w:t>poverty</w:t>
      </w:r>
      <w:r w:rsidRPr="00EE5714">
        <w:rPr>
          <w:rFonts w:ascii="Times New Roman" w:eastAsia="Calibri" w:hAnsi="Times New Roman" w:cs="Times New Roman"/>
          <w:sz w:val="26"/>
          <w:szCs w:val="26"/>
        </w:rPr>
        <w:t xml:space="preserve"> level, or, if the utility applies Low-Income Energy Assistance Program (LEAP) benefits to offset the costs of the unaffordable portion of the participating customer’s utility bill, the percent of the current federal </w:t>
      </w:r>
      <w:r w:rsidRPr="00EE5714" w:rsidDel="00D46CCA">
        <w:rPr>
          <w:rFonts w:ascii="Times New Roman" w:eastAsia="Calibri" w:hAnsi="Times New Roman" w:cs="Times New Roman"/>
          <w:sz w:val="26"/>
          <w:szCs w:val="26"/>
        </w:rPr>
        <w:t>poverty</w:t>
      </w:r>
      <w:r w:rsidRPr="00EE5714">
        <w:rPr>
          <w:rFonts w:ascii="Times New Roman" w:eastAsia="Calibri" w:hAnsi="Times New Roman" w:cs="Times New Roman"/>
          <w:sz w:val="26"/>
          <w:szCs w:val="26"/>
        </w:rPr>
        <w:t xml:space="preserve"> level set by the Colorado Department of Human Services, Division of Low-Income Energy Assistance for eligibility in the LEAP program.</w:t>
      </w:r>
    </w:p>
    <w:p w14:paraId="40B12C96"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p>
    <w:p w14:paraId="680845EA"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Participant payments for natural gas bills rendered to participants shall not exceed an </w:t>
      </w:r>
      <w:r w:rsidR="00AD62A5" w:rsidRPr="00EE5714">
        <w:rPr>
          <w:rFonts w:ascii="Times New Roman" w:eastAsia="Calibri" w:hAnsi="Times New Roman" w:cs="Times New Roman"/>
          <w:sz w:val="26"/>
          <w:szCs w:val="26"/>
        </w:rPr>
        <w:t>“</w:t>
      </w:r>
      <w:r w:rsidRPr="00EE5714">
        <w:rPr>
          <w:rFonts w:ascii="Times New Roman" w:eastAsia="Calibri" w:hAnsi="Times New Roman" w:cs="Times New Roman"/>
          <w:sz w:val="26"/>
          <w:szCs w:val="26"/>
        </w:rPr>
        <w:t>affordable PIPP.</w:t>
      </w:r>
      <w:r w:rsidR="00AD62A5" w:rsidRPr="00EE5714">
        <w:rPr>
          <w:rFonts w:ascii="Times New Roman" w:eastAsia="Calibri" w:hAnsi="Times New Roman" w:cs="Times New Roman"/>
          <w:sz w:val="26"/>
          <w:szCs w:val="26"/>
        </w:rPr>
        <w:t>”</w:t>
      </w:r>
      <w:r w:rsidRPr="00EE5714">
        <w:rPr>
          <w:rFonts w:ascii="Times New Roman" w:eastAsia="Calibri" w:hAnsi="Times New Roman" w:cs="Times New Roman"/>
          <w:sz w:val="26"/>
          <w:szCs w:val="26"/>
        </w:rPr>
        <w:t xml:space="preserve">  For accounts for which natural gas is the primary heating fuel, participant payments shall be no lower than 2% and not greater than 3% of the participant’s household income.</w:t>
      </w:r>
    </w:p>
    <w:p w14:paraId="206F1087"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p>
    <w:p w14:paraId="5FD9E1CF"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Participant payments for electric bills rendered to participants shall not exceed an </w:t>
      </w:r>
      <w:r w:rsidR="005A46AA" w:rsidRPr="00EE5714">
        <w:rPr>
          <w:rFonts w:ascii="Times New Roman" w:eastAsia="Calibri" w:hAnsi="Times New Roman" w:cs="Times New Roman"/>
          <w:sz w:val="26"/>
          <w:szCs w:val="26"/>
        </w:rPr>
        <w:t>“</w:t>
      </w:r>
      <w:r w:rsidRPr="00EE5714">
        <w:rPr>
          <w:rFonts w:ascii="Times New Roman" w:eastAsia="Calibri" w:hAnsi="Times New Roman" w:cs="Times New Roman"/>
          <w:sz w:val="26"/>
          <w:szCs w:val="26"/>
        </w:rPr>
        <w:t>affordable PIPP.</w:t>
      </w:r>
      <w:r w:rsidR="005A46AA" w:rsidRPr="00EE5714">
        <w:rPr>
          <w:rFonts w:ascii="Times New Roman" w:eastAsia="Calibri" w:hAnsi="Times New Roman" w:cs="Times New Roman"/>
          <w:sz w:val="26"/>
          <w:szCs w:val="26"/>
        </w:rPr>
        <w:t>”</w:t>
      </w:r>
      <w:r w:rsidRPr="00EE5714">
        <w:rPr>
          <w:rFonts w:ascii="Times New Roman" w:eastAsia="Calibri" w:hAnsi="Times New Roman" w:cs="Times New Roman"/>
          <w:sz w:val="26"/>
          <w:szCs w:val="26"/>
        </w:rPr>
        <w:t xml:space="preserve">  The percentage of a participant’s household income for which the participant is responsible shall be determined as follows:</w:t>
      </w:r>
    </w:p>
    <w:p w14:paraId="44B8A913"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p>
    <w:p w14:paraId="7B3B26CC" w14:textId="77777777" w:rsidR="00F303E0" w:rsidRPr="00EE5714" w:rsidRDefault="00F303E0" w:rsidP="007D5276">
      <w:pPr>
        <w:numPr>
          <w:ilvl w:val="0"/>
          <w:numId w:val="18"/>
        </w:numPr>
        <w:tabs>
          <w:tab w:val="left" w:pos="3489"/>
        </w:tabs>
        <w:spacing w:after="0" w:line="240" w:lineRule="auto"/>
        <w:ind w:left="144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xml:space="preserve">For electric accounts for which electricity is the primary heating fuel, participant payments shall be no lower than </w:t>
      </w:r>
      <w:r w:rsidR="00CB1A33" w:rsidRPr="00EE5714">
        <w:rPr>
          <w:rFonts w:ascii="Times New Roman" w:eastAsia="Times New Roman" w:hAnsi="Times New Roman" w:cs="Times New Roman"/>
          <w:sz w:val="26"/>
          <w:szCs w:val="26"/>
        </w:rPr>
        <w:t>3%</w:t>
      </w:r>
      <w:r w:rsidRPr="00EE5714">
        <w:rPr>
          <w:rFonts w:ascii="Times New Roman" w:eastAsia="Times New Roman" w:hAnsi="Times New Roman" w:cs="Times New Roman"/>
          <w:sz w:val="26"/>
          <w:szCs w:val="26"/>
        </w:rPr>
        <w:t xml:space="preserve"> and not greater than </w:t>
      </w:r>
      <w:r w:rsidR="00CB1A33" w:rsidRPr="00EE5714">
        <w:rPr>
          <w:rFonts w:ascii="Times New Roman" w:eastAsia="Times New Roman" w:hAnsi="Times New Roman" w:cs="Times New Roman"/>
          <w:sz w:val="26"/>
          <w:szCs w:val="26"/>
        </w:rPr>
        <w:t>6%</w:t>
      </w:r>
      <w:r w:rsidRPr="00EE5714">
        <w:rPr>
          <w:rFonts w:ascii="Times New Roman" w:eastAsia="Times New Roman" w:hAnsi="Times New Roman" w:cs="Times New Roman"/>
          <w:sz w:val="26"/>
          <w:szCs w:val="26"/>
        </w:rPr>
        <w:t xml:space="preserve"> of the participant’s household income; and</w:t>
      </w:r>
    </w:p>
    <w:p w14:paraId="274C6BB4" w14:textId="77777777" w:rsidR="00F303E0" w:rsidRPr="00EE5714" w:rsidRDefault="00F303E0" w:rsidP="00406D0A">
      <w:pPr>
        <w:tabs>
          <w:tab w:val="left" w:pos="3489"/>
        </w:tabs>
        <w:spacing w:after="0" w:line="240" w:lineRule="auto"/>
        <w:ind w:left="1440"/>
        <w:contextualSpacing/>
        <w:rPr>
          <w:rFonts w:ascii="Times New Roman" w:eastAsia="Times New Roman" w:hAnsi="Times New Roman" w:cs="Times New Roman"/>
          <w:sz w:val="26"/>
          <w:szCs w:val="26"/>
        </w:rPr>
      </w:pPr>
    </w:p>
    <w:p w14:paraId="39CC9B27" w14:textId="77777777" w:rsidR="00F303E0" w:rsidRPr="00EE5714" w:rsidRDefault="00F303E0" w:rsidP="007D5276">
      <w:pPr>
        <w:numPr>
          <w:ilvl w:val="0"/>
          <w:numId w:val="18"/>
        </w:numPr>
        <w:tabs>
          <w:tab w:val="left" w:pos="3489"/>
        </w:tabs>
        <w:spacing w:after="0" w:line="240" w:lineRule="auto"/>
        <w:ind w:left="144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lastRenderedPageBreak/>
        <w:t xml:space="preserve">For electric accounts for which electricity is not the primary heating fuel, participant payments shall be no lower than </w:t>
      </w:r>
      <w:r w:rsidR="00CB1A33" w:rsidRPr="00EE5714">
        <w:rPr>
          <w:rFonts w:ascii="Times New Roman" w:eastAsia="Times New Roman" w:hAnsi="Times New Roman" w:cs="Times New Roman"/>
          <w:sz w:val="26"/>
          <w:szCs w:val="26"/>
        </w:rPr>
        <w:t>2%</w:t>
      </w:r>
      <w:r w:rsidRPr="00EE5714">
        <w:rPr>
          <w:rFonts w:ascii="Times New Roman" w:eastAsia="Times New Roman" w:hAnsi="Times New Roman" w:cs="Times New Roman"/>
          <w:sz w:val="26"/>
          <w:szCs w:val="26"/>
        </w:rPr>
        <w:t xml:space="preserve"> and not greater than </w:t>
      </w:r>
      <w:r w:rsidR="00CB1A33" w:rsidRPr="00EE5714">
        <w:rPr>
          <w:rFonts w:ascii="Times New Roman" w:eastAsia="Times New Roman" w:hAnsi="Times New Roman" w:cs="Times New Roman"/>
          <w:sz w:val="26"/>
          <w:szCs w:val="26"/>
        </w:rPr>
        <w:t>3%</w:t>
      </w:r>
      <w:r w:rsidRPr="00EE5714">
        <w:rPr>
          <w:rFonts w:ascii="Times New Roman" w:eastAsia="Times New Roman" w:hAnsi="Times New Roman" w:cs="Times New Roman"/>
          <w:sz w:val="26"/>
          <w:szCs w:val="26"/>
        </w:rPr>
        <w:t xml:space="preserve"> of the participant’s household income.</w:t>
      </w:r>
    </w:p>
    <w:p w14:paraId="7968FAEF"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p>
    <w:p w14:paraId="4B6FA5E0"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Colorado does not perform any calculations.  Each utility is required to calculate the total bill and the “affordable” portion of the average bill for each eligible participant.  There is a small difference in the calculation for gas versus gas/electric.</w:t>
      </w:r>
    </w:p>
    <w:p w14:paraId="153B5061"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1F875017"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Indiana:</w:t>
      </w:r>
    </w:p>
    <w:p w14:paraId="25183456"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p>
    <w:p w14:paraId="2C9C80A4"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Indiana does not calculate energy burden except for its Performance Measure Reporting.  This is simply the total cost of energy compared to income.</w:t>
      </w:r>
    </w:p>
    <w:p w14:paraId="0AFFCC4D"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p>
    <w:p w14:paraId="124D6CB5"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Ohio:</w:t>
      </w:r>
    </w:p>
    <w:p w14:paraId="3F502136"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0016FD12"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Ohio does not calculate a household’s energy burden.  </w:t>
      </w:r>
      <w:r w:rsidRPr="00EE5714">
        <w:rPr>
          <w:rFonts w:ascii="Times New Roman" w:hAnsi="Times New Roman" w:cs="Times New Roman"/>
          <w:sz w:val="26"/>
          <w:szCs w:val="26"/>
          <w:lang w:val="en"/>
        </w:rPr>
        <w:t>Electric and natural gas customers who qualify pay $10 or 6% of their gross monthly household income, whichever is greater, to the utility each month.  If the utility provides both gas and electric services or if the customer has an all-electric home, the payment is $10 or 10% of the gross monthly income, whichever is greater.  (</w:t>
      </w:r>
      <w:r w:rsidRPr="00EE5714">
        <w:rPr>
          <w:rFonts w:ascii="Times New Roman" w:hAnsi="Times New Roman" w:cs="Times New Roman"/>
          <w:i/>
          <w:sz w:val="26"/>
          <w:szCs w:val="26"/>
          <w:lang w:val="en"/>
        </w:rPr>
        <w:t>See</w:t>
      </w:r>
      <w:r w:rsidRPr="00EE5714">
        <w:rPr>
          <w:rFonts w:ascii="Times New Roman" w:hAnsi="Times New Roman" w:cs="Times New Roman"/>
          <w:sz w:val="26"/>
          <w:szCs w:val="26"/>
          <w:lang w:val="en"/>
        </w:rPr>
        <w:t xml:space="preserve"> </w:t>
      </w:r>
      <w:hyperlink r:id="rId82" w:history="1">
        <w:r w:rsidR="00151BEC" w:rsidRPr="00EE5714">
          <w:rPr>
            <w:rStyle w:val="Hyperlink"/>
            <w:rFonts w:ascii="Times New Roman" w:hAnsi="Times New Roman" w:cs="Times New Roman"/>
            <w:sz w:val="26"/>
            <w:szCs w:val="26"/>
            <w:lang w:val="en"/>
          </w:rPr>
          <w:t>https://www.puco.ohio.gov/be-informed/consumer-topics/energy-assistance-programs-help-with-paying-your-utility-bills/</w:t>
        </w:r>
      </w:hyperlink>
      <w:r w:rsidR="00B536C7" w:rsidRPr="00EE5714">
        <w:rPr>
          <w:rFonts w:ascii="Times New Roman" w:hAnsi="Times New Roman" w:cs="Times New Roman"/>
          <w:sz w:val="26"/>
          <w:szCs w:val="26"/>
          <w:lang w:val="en"/>
        </w:rPr>
        <w:t>)</w:t>
      </w:r>
      <w:r w:rsidRPr="00EE5714">
        <w:rPr>
          <w:rFonts w:ascii="Times New Roman" w:hAnsi="Times New Roman" w:cs="Times New Roman"/>
          <w:sz w:val="26"/>
          <w:szCs w:val="26"/>
          <w:lang w:val="en"/>
        </w:rPr>
        <w:t xml:space="preserve">  </w:t>
      </w:r>
      <w:r w:rsidRPr="00EE5714">
        <w:rPr>
          <w:rFonts w:ascii="Times New Roman" w:eastAsia="Calibri" w:hAnsi="Times New Roman" w:cs="Times New Roman"/>
          <w:sz w:val="26"/>
          <w:szCs w:val="26"/>
        </w:rPr>
        <w:t>The eligibility threshold for LIHEAP is 60% of the State Median Income which is roughly 175% of the FPIG.</w:t>
      </w:r>
    </w:p>
    <w:p w14:paraId="0CF756F6" w14:textId="77777777" w:rsidR="007B226C" w:rsidRPr="00EE5714" w:rsidRDefault="007B226C" w:rsidP="00406D0A">
      <w:pPr>
        <w:tabs>
          <w:tab w:val="left" w:pos="3489"/>
        </w:tabs>
        <w:spacing w:after="0" w:line="240" w:lineRule="auto"/>
        <w:ind w:left="720"/>
        <w:contextualSpacing/>
        <w:rPr>
          <w:rFonts w:ascii="Times New Roman" w:eastAsia="Calibri" w:hAnsi="Times New Roman" w:cs="Times New Roman"/>
          <w:sz w:val="26"/>
          <w:szCs w:val="26"/>
        </w:rPr>
      </w:pPr>
    </w:p>
    <w:p w14:paraId="07CFD06C" w14:textId="77777777" w:rsidR="00380D0E" w:rsidRPr="00EE5714" w:rsidRDefault="00380D0E" w:rsidP="00406D0A">
      <w:pPr>
        <w:tabs>
          <w:tab w:val="left" w:pos="3489"/>
        </w:tabs>
        <w:spacing w:after="0" w:line="240" w:lineRule="auto"/>
        <w:ind w:left="720"/>
        <w:contextualSpacing/>
        <w:rPr>
          <w:rFonts w:ascii="Times New Roman" w:eastAsia="Calibri" w:hAnsi="Times New Roman" w:cs="Times New Roman"/>
          <w:sz w:val="26"/>
          <w:szCs w:val="26"/>
        </w:rPr>
      </w:pPr>
    </w:p>
    <w:p w14:paraId="4A7B7115" w14:textId="77777777" w:rsidR="00F303E0" w:rsidRPr="00EE5714" w:rsidRDefault="00F303E0" w:rsidP="008174BF">
      <w:pPr>
        <w:keepNext/>
        <w:spacing w:after="0" w:line="240" w:lineRule="auto"/>
        <w:contextualSpacing/>
        <w:rPr>
          <w:rFonts w:ascii="Times New Roman" w:eastAsia="Calibri" w:hAnsi="Times New Roman" w:cs="Times New Roman"/>
          <w:b/>
          <w:i/>
          <w:sz w:val="26"/>
          <w:szCs w:val="26"/>
        </w:rPr>
      </w:pPr>
      <w:r w:rsidRPr="00EE5714">
        <w:rPr>
          <w:rFonts w:ascii="Times New Roman" w:eastAsia="Calibri" w:hAnsi="Times New Roman" w:cs="Times New Roman"/>
          <w:b/>
          <w:i/>
          <w:sz w:val="26"/>
          <w:szCs w:val="26"/>
        </w:rPr>
        <w:t>Question 4:  Do you establish a target energy burden level for your utility and/or energy assistance programs?</w:t>
      </w:r>
    </w:p>
    <w:p w14:paraId="7CADFC99" w14:textId="77777777" w:rsidR="00F303E0" w:rsidRPr="00EE5714" w:rsidRDefault="00F303E0" w:rsidP="008174BF">
      <w:pPr>
        <w:keepNext/>
        <w:tabs>
          <w:tab w:val="left" w:pos="3489"/>
        </w:tabs>
        <w:spacing w:after="0" w:line="240" w:lineRule="auto"/>
        <w:contextualSpacing/>
        <w:rPr>
          <w:rFonts w:ascii="Times New Roman" w:eastAsia="Calibri" w:hAnsi="Times New Roman" w:cs="Times New Roman"/>
          <w:b/>
          <w:i/>
          <w:sz w:val="26"/>
          <w:szCs w:val="26"/>
        </w:rPr>
      </w:pPr>
    </w:p>
    <w:p w14:paraId="39C07CA2"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u w:val="single"/>
        </w:rPr>
        <w:t>Colorado</w:t>
      </w:r>
      <w:r w:rsidRPr="00EE5714">
        <w:rPr>
          <w:rFonts w:ascii="Times New Roman" w:eastAsia="Calibri" w:hAnsi="Times New Roman" w:cs="Times New Roman"/>
          <w:sz w:val="26"/>
          <w:szCs w:val="26"/>
        </w:rPr>
        <w:t xml:space="preserve"> and </w:t>
      </w:r>
      <w:r w:rsidRPr="00EE5714">
        <w:rPr>
          <w:rFonts w:ascii="Times New Roman" w:eastAsia="Calibri" w:hAnsi="Times New Roman" w:cs="Times New Roman"/>
          <w:sz w:val="26"/>
          <w:szCs w:val="26"/>
          <w:u w:val="single"/>
        </w:rPr>
        <w:t>New Hampshire</w:t>
      </w:r>
      <w:r w:rsidRPr="00EE5714">
        <w:rPr>
          <w:rFonts w:ascii="Times New Roman" w:eastAsia="Calibri" w:hAnsi="Times New Roman" w:cs="Times New Roman"/>
          <w:sz w:val="26"/>
          <w:szCs w:val="26"/>
        </w:rPr>
        <w:t xml:space="preserve"> establish target energy burdens.</w:t>
      </w:r>
    </w:p>
    <w:p w14:paraId="287A20DB"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u w:val="single"/>
        </w:rPr>
        <w:t>Colorado</w:t>
      </w:r>
      <w:r w:rsidRPr="00EE5714">
        <w:rPr>
          <w:rFonts w:ascii="Times New Roman" w:eastAsia="Calibri" w:hAnsi="Times New Roman" w:cs="Times New Roman"/>
          <w:sz w:val="26"/>
          <w:szCs w:val="26"/>
        </w:rPr>
        <w:t xml:space="preserve"> includes LIHEAP payments in the calculation for target energy burden levels.</w:t>
      </w:r>
    </w:p>
    <w:p w14:paraId="704B2867"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0E59F620"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2C43E319"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b/>
          <w:i/>
          <w:sz w:val="26"/>
          <w:szCs w:val="26"/>
        </w:rPr>
      </w:pPr>
      <w:r w:rsidRPr="00EE5714">
        <w:rPr>
          <w:rFonts w:ascii="Times New Roman" w:eastAsia="Calibri" w:hAnsi="Times New Roman" w:cs="Times New Roman"/>
          <w:b/>
          <w:i/>
          <w:sz w:val="26"/>
          <w:szCs w:val="26"/>
        </w:rPr>
        <w:t>Question5:  Does your state use the same target energy burden for all programs, or are there different levels for each program or fuel type?</w:t>
      </w:r>
    </w:p>
    <w:p w14:paraId="436BF5C5"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1FC06F8B"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New Hampshire:</w:t>
      </w:r>
    </w:p>
    <w:p w14:paraId="3483ED55"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rPr>
      </w:pPr>
    </w:p>
    <w:p w14:paraId="44349472"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New Hampshire does not use energy burden as described above.  The discount levels are set to bring the amount that the average participating customer pays between 4% and 5% of the average income for that discount tier.  There are five discount tiers with discounts ranging from 8% to 76%.</w:t>
      </w:r>
    </w:p>
    <w:p w14:paraId="302FA697"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p>
    <w:p w14:paraId="2F16CC24"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bookmarkStart w:id="81" w:name="_Hlk518890573"/>
      <w:r w:rsidRPr="00EE5714">
        <w:rPr>
          <w:rFonts w:ascii="Times New Roman" w:eastAsia="Calibri" w:hAnsi="Times New Roman" w:cs="Times New Roman"/>
          <w:sz w:val="26"/>
          <w:szCs w:val="26"/>
          <w:u w:val="single"/>
        </w:rPr>
        <w:t>Colorado:</w:t>
      </w:r>
    </w:p>
    <w:bookmarkEnd w:id="81"/>
    <w:p w14:paraId="18A26064"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2858919B" w14:textId="77777777" w:rsidR="00F303E0" w:rsidRPr="00EE5714" w:rsidRDefault="00406D0A" w:rsidP="00406D0A">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In </w:t>
      </w:r>
      <w:r w:rsidR="00F303E0" w:rsidRPr="00EE5714">
        <w:rPr>
          <w:rFonts w:ascii="Times New Roman" w:eastAsia="Calibri" w:hAnsi="Times New Roman" w:cs="Times New Roman"/>
          <w:sz w:val="26"/>
          <w:szCs w:val="26"/>
        </w:rPr>
        <w:t>Colorado</w:t>
      </w:r>
      <w:r w:rsidRPr="00EE5714">
        <w:rPr>
          <w:rFonts w:ascii="Times New Roman" w:eastAsia="Calibri" w:hAnsi="Times New Roman" w:cs="Times New Roman"/>
          <w:sz w:val="26"/>
          <w:szCs w:val="26"/>
        </w:rPr>
        <w:t>, a</w:t>
      </w:r>
      <w:r w:rsidR="00F303E0" w:rsidRPr="00EE5714">
        <w:rPr>
          <w:rFonts w:ascii="Times New Roman" w:eastAsia="Calibri" w:hAnsi="Times New Roman" w:cs="Times New Roman"/>
          <w:sz w:val="26"/>
          <w:szCs w:val="26"/>
        </w:rPr>
        <w:t xml:space="preserve"> participant’s minimum payment for an electric heating account shall be no more than $20 per month, and the minimum payment for a non-heating electric account shall be no more than $10 per month.  For gas heating customers, </w:t>
      </w:r>
      <w:r w:rsidR="00F303E0" w:rsidRPr="00EE5714">
        <w:rPr>
          <w:rFonts w:ascii="Times New Roman" w:eastAsia="Calibri" w:hAnsi="Times New Roman" w:cs="Times New Roman"/>
          <w:sz w:val="26"/>
          <w:szCs w:val="26"/>
        </w:rPr>
        <w:lastRenderedPageBreak/>
        <w:t>with a household income of zero dollars, a utility may establish a minimum monthly payment amount of $10 per month or less.</w:t>
      </w:r>
    </w:p>
    <w:p w14:paraId="68D6A067"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p>
    <w:p w14:paraId="0CD478FF"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p>
    <w:p w14:paraId="4E327F7D" w14:textId="77777777" w:rsidR="00F303E0" w:rsidRPr="00EE5714" w:rsidRDefault="00F303E0" w:rsidP="00CD2139">
      <w:pPr>
        <w:tabs>
          <w:tab w:val="left" w:pos="3489"/>
        </w:tabs>
        <w:spacing w:after="0" w:line="240" w:lineRule="auto"/>
        <w:contextualSpacing/>
        <w:rPr>
          <w:rFonts w:ascii="Times New Roman" w:eastAsia="Calibri" w:hAnsi="Times New Roman" w:cs="Times New Roman"/>
          <w:b/>
          <w:i/>
          <w:sz w:val="26"/>
          <w:szCs w:val="26"/>
        </w:rPr>
      </w:pPr>
      <w:r w:rsidRPr="00EE5714">
        <w:rPr>
          <w:rFonts w:ascii="Times New Roman" w:eastAsia="Calibri" w:hAnsi="Times New Roman" w:cs="Times New Roman"/>
          <w:b/>
          <w:i/>
          <w:sz w:val="26"/>
          <w:szCs w:val="26"/>
        </w:rPr>
        <w:t>Question 6:  Does your state provide a CAP program</w:t>
      </w:r>
      <w:r w:rsidR="00041C6E" w:rsidRPr="00EE5714">
        <w:rPr>
          <w:rFonts w:ascii="Times New Roman" w:eastAsia="Calibri" w:hAnsi="Times New Roman" w:cs="Times New Roman"/>
          <w:b/>
          <w:i/>
          <w:sz w:val="26"/>
          <w:szCs w:val="26"/>
        </w:rPr>
        <w:t xml:space="preserve">? </w:t>
      </w:r>
      <w:r w:rsidRPr="00EE5714">
        <w:rPr>
          <w:rFonts w:ascii="Times New Roman" w:eastAsia="Calibri" w:hAnsi="Times New Roman" w:cs="Times New Roman"/>
          <w:b/>
          <w:i/>
          <w:sz w:val="26"/>
          <w:szCs w:val="26"/>
        </w:rPr>
        <w:t xml:space="preserve"> </w:t>
      </w:r>
      <w:r w:rsidR="009D7A80" w:rsidRPr="00EE5714">
        <w:rPr>
          <w:rFonts w:ascii="Times New Roman" w:eastAsia="Calibri" w:hAnsi="Times New Roman" w:cs="Times New Roman"/>
          <w:b/>
          <w:i/>
          <w:sz w:val="26"/>
          <w:szCs w:val="26"/>
        </w:rPr>
        <w:t>I</w:t>
      </w:r>
      <w:r w:rsidRPr="00EE5714">
        <w:rPr>
          <w:rFonts w:ascii="Times New Roman" w:eastAsia="Calibri" w:hAnsi="Times New Roman" w:cs="Times New Roman"/>
          <w:b/>
          <w:i/>
          <w:sz w:val="26"/>
          <w:szCs w:val="26"/>
        </w:rPr>
        <w:t>f yes, please describe program</w:t>
      </w:r>
      <w:r w:rsidR="009D7A80" w:rsidRPr="00EE5714">
        <w:rPr>
          <w:rFonts w:ascii="Times New Roman" w:eastAsia="Calibri" w:hAnsi="Times New Roman" w:cs="Times New Roman"/>
          <w:b/>
          <w:i/>
          <w:sz w:val="26"/>
          <w:szCs w:val="26"/>
        </w:rPr>
        <w:t>.</w:t>
      </w:r>
    </w:p>
    <w:p w14:paraId="0251C8BD"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b/>
          <w:i/>
          <w:sz w:val="26"/>
          <w:szCs w:val="26"/>
        </w:rPr>
      </w:pPr>
    </w:p>
    <w:p w14:paraId="168EA479"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u w:val="single"/>
        </w:rPr>
        <w:t>South Dakota</w:t>
      </w:r>
      <w:r w:rsidRPr="00EE5714">
        <w:rPr>
          <w:rFonts w:ascii="Times New Roman" w:eastAsia="Calibri" w:hAnsi="Times New Roman" w:cs="Times New Roman"/>
          <w:sz w:val="26"/>
          <w:szCs w:val="26"/>
        </w:rPr>
        <w:t xml:space="preserve"> does not offer CAPs.  </w:t>
      </w:r>
    </w:p>
    <w:p w14:paraId="79487712" w14:textId="77777777" w:rsidR="00406D0A" w:rsidRPr="00EE5714" w:rsidRDefault="00406D0A" w:rsidP="00406D0A">
      <w:pPr>
        <w:tabs>
          <w:tab w:val="left" w:pos="3489"/>
        </w:tabs>
        <w:spacing w:after="0" w:line="240" w:lineRule="auto"/>
        <w:contextualSpacing/>
        <w:rPr>
          <w:rFonts w:ascii="Times New Roman" w:eastAsia="Calibri" w:hAnsi="Times New Roman" w:cs="Times New Roman"/>
          <w:sz w:val="26"/>
          <w:szCs w:val="26"/>
        </w:rPr>
      </w:pPr>
    </w:p>
    <w:p w14:paraId="6C0CD876" w14:textId="77777777" w:rsidR="002B0527"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u w:val="single"/>
        </w:rPr>
        <w:t>New Hampshire</w:t>
      </w:r>
      <w:r w:rsidRPr="00EE5714">
        <w:rPr>
          <w:rFonts w:ascii="Times New Roman" w:eastAsia="Calibri" w:hAnsi="Times New Roman" w:cs="Times New Roman"/>
          <w:sz w:val="26"/>
          <w:szCs w:val="26"/>
        </w:rPr>
        <w:t xml:space="preserve"> </w:t>
      </w:r>
    </w:p>
    <w:p w14:paraId="43D90880" w14:textId="77777777" w:rsidR="002B0527" w:rsidRPr="00EE5714" w:rsidRDefault="002B0527" w:rsidP="00406D0A">
      <w:pPr>
        <w:tabs>
          <w:tab w:val="left" w:pos="3489"/>
        </w:tabs>
        <w:spacing w:after="0" w:line="240" w:lineRule="auto"/>
        <w:contextualSpacing/>
        <w:rPr>
          <w:rFonts w:ascii="Times New Roman" w:eastAsia="Calibri" w:hAnsi="Times New Roman" w:cs="Times New Roman"/>
          <w:sz w:val="26"/>
          <w:szCs w:val="26"/>
        </w:rPr>
      </w:pPr>
    </w:p>
    <w:p w14:paraId="7827E40C" w14:textId="77777777" w:rsidR="00F303E0" w:rsidRPr="00EE5714" w:rsidRDefault="004E5655">
      <w:pPr>
        <w:tabs>
          <w:tab w:val="left" w:pos="3489"/>
        </w:tabs>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New Hampshire </w:t>
      </w:r>
      <w:r w:rsidR="00F303E0" w:rsidRPr="00EE5714">
        <w:rPr>
          <w:rFonts w:ascii="Times New Roman" w:eastAsia="Calibri" w:hAnsi="Times New Roman" w:cs="Times New Roman"/>
          <w:sz w:val="26"/>
          <w:szCs w:val="26"/>
        </w:rPr>
        <w:t>has CAPs but provided no additional information.  Staff notes th</w:t>
      </w:r>
      <w:r w:rsidR="009F30C1" w:rsidRPr="00EE5714">
        <w:rPr>
          <w:rFonts w:ascii="Times New Roman" w:eastAsia="Calibri" w:hAnsi="Times New Roman" w:cs="Times New Roman"/>
          <w:sz w:val="26"/>
          <w:szCs w:val="26"/>
        </w:rPr>
        <w:t>at</w:t>
      </w:r>
      <w:r w:rsidR="00F303E0" w:rsidRPr="00EE5714">
        <w:rPr>
          <w:rFonts w:ascii="Times New Roman" w:eastAsia="Calibri" w:hAnsi="Times New Roman" w:cs="Times New Roman"/>
          <w:sz w:val="26"/>
          <w:szCs w:val="26"/>
        </w:rPr>
        <w:t xml:space="preserve"> additional information</w:t>
      </w:r>
      <w:r w:rsidR="009F30C1" w:rsidRPr="00EE5714">
        <w:rPr>
          <w:rFonts w:ascii="Times New Roman" w:eastAsia="Calibri" w:hAnsi="Times New Roman" w:cs="Times New Roman"/>
          <w:sz w:val="26"/>
          <w:szCs w:val="26"/>
        </w:rPr>
        <w:t xml:space="preserve"> may be found at</w:t>
      </w:r>
      <w:r w:rsidR="00F303E0" w:rsidRPr="00EE5714">
        <w:rPr>
          <w:rFonts w:ascii="Times New Roman" w:eastAsia="Calibri" w:hAnsi="Times New Roman" w:cs="Times New Roman"/>
          <w:sz w:val="26"/>
          <w:szCs w:val="26"/>
        </w:rPr>
        <w:t xml:space="preserve">: </w:t>
      </w:r>
      <w:hyperlink r:id="rId83" w:history="1">
        <w:r w:rsidR="00F57998" w:rsidRPr="00EE5714">
          <w:rPr>
            <w:rStyle w:val="Hyperlink"/>
            <w:rFonts w:ascii="Times New Roman" w:eastAsia="Calibri" w:hAnsi="Times New Roman" w:cs="Times New Roman"/>
            <w:sz w:val="26"/>
            <w:szCs w:val="26"/>
          </w:rPr>
          <w:t>https://www.puc.nh.gov/consumer/electricassistanceprogram.htm</w:t>
        </w:r>
      </w:hyperlink>
    </w:p>
    <w:p w14:paraId="2D64A07D"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086DA644"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District of Columbia:</w:t>
      </w:r>
    </w:p>
    <w:p w14:paraId="719043C9"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p>
    <w:p w14:paraId="468561FE"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For electric, D.C. has the Residential Aid Discount (RAD) Program offered by Pepco.  The credit covers the following charges: the full customer charge and energy charge for distribution and exemption from the following surcharges: the RAD Surcharge, the Sustainable Energy Trust Fund, and the Energy Assistance Trust Fund.  Credits for these charges are individually listed on the customer’s bills as “Residential Aid Credit (RAC) – Distribution” and “RAC Surcharges.”  Customers will receive the RAC </w:t>
      </w:r>
      <w:proofErr w:type="gramStart"/>
      <w:r w:rsidRPr="00EE5714">
        <w:rPr>
          <w:rFonts w:ascii="Times New Roman" w:eastAsia="Calibri" w:hAnsi="Times New Roman" w:cs="Times New Roman"/>
          <w:sz w:val="26"/>
          <w:szCs w:val="26"/>
        </w:rPr>
        <w:t>whether or not</w:t>
      </w:r>
      <w:proofErr w:type="gramEnd"/>
      <w:r w:rsidRPr="00EE5714">
        <w:rPr>
          <w:rFonts w:ascii="Times New Roman" w:eastAsia="Calibri" w:hAnsi="Times New Roman" w:cs="Times New Roman"/>
          <w:sz w:val="26"/>
          <w:szCs w:val="26"/>
        </w:rPr>
        <w:t xml:space="preserve"> they have a retail supplier.  The full RAC is equal to approximately 30% of a typical RAD customer</w:t>
      </w:r>
      <w:r w:rsidR="00F57998" w:rsidRPr="00EE5714">
        <w:rPr>
          <w:rFonts w:ascii="Times New Roman" w:eastAsia="Calibri" w:hAnsi="Times New Roman" w:cs="Times New Roman"/>
          <w:sz w:val="26"/>
          <w:szCs w:val="26"/>
        </w:rPr>
        <w:t>’</w:t>
      </w:r>
      <w:r w:rsidRPr="00EE5714">
        <w:rPr>
          <w:rFonts w:ascii="Times New Roman" w:eastAsia="Calibri" w:hAnsi="Times New Roman" w:cs="Times New Roman"/>
          <w:sz w:val="26"/>
          <w:szCs w:val="26"/>
        </w:rPr>
        <w:t>s bill.  In addition, the D.C. Commission is working with stakeholders to develop an arrearage management</w:t>
      </w:r>
      <w:r w:rsidRPr="00EE5714">
        <w:rPr>
          <w:rFonts w:ascii="Times New Roman" w:eastAsia="Calibri" w:hAnsi="Times New Roman" w:cs="Times New Roman"/>
          <w:spacing w:val="8"/>
          <w:sz w:val="26"/>
          <w:szCs w:val="26"/>
        </w:rPr>
        <w:t xml:space="preserve"> </w:t>
      </w:r>
      <w:r w:rsidRPr="00EE5714">
        <w:rPr>
          <w:rFonts w:ascii="Times New Roman" w:eastAsia="Calibri" w:hAnsi="Times New Roman" w:cs="Times New Roman"/>
          <w:sz w:val="26"/>
          <w:szCs w:val="26"/>
        </w:rPr>
        <w:t>plan.</w:t>
      </w:r>
    </w:p>
    <w:p w14:paraId="060D1D60" w14:textId="77777777" w:rsidR="00F303E0" w:rsidRPr="00EE5714" w:rsidRDefault="00F303E0" w:rsidP="00406D0A">
      <w:pPr>
        <w:autoSpaceDE w:val="0"/>
        <w:autoSpaceDN w:val="0"/>
        <w:spacing w:after="0" w:line="240" w:lineRule="auto"/>
        <w:ind w:left="554"/>
        <w:contextualSpacing/>
        <w:rPr>
          <w:rFonts w:ascii="Times New Roman" w:eastAsia="Arial" w:hAnsi="Times New Roman" w:cs="Times New Roman"/>
          <w:sz w:val="26"/>
          <w:szCs w:val="26"/>
        </w:rPr>
      </w:pPr>
    </w:p>
    <w:p w14:paraId="402CA605" w14:textId="77777777" w:rsidR="00F303E0" w:rsidRPr="00EE5714" w:rsidRDefault="00F303E0" w:rsidP="00406D0A">
      <w:pPr>
        <w:spacing w:after="0" w:line="240" w:lineRule="auto"/>
        <w:ind w:left="720" w:right="348"/>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For gas, D.C. has the Residential Essential Service (RES) offered by Washington Gas.  The program offers eligible Pepco D.C. residential customers a discount on the distribution portion of the customer’s bill from November through April.  The discount is achieved through a percentage reduction of the distribution portion of a customer’s bill, resulting in an approximately 25% reduction in the total bill.  The RES additionally provides for an automatic short-term increase in the reduction to the distribution portion of the bill when purchased gas prices rise above a specified historic percentage.  RES customer bills also indicate the costs of surcharges that RES customers are exempt from paying</w:t>
      </w:r>
      <w:r w:rsidR="00991340" w:rsidRPr="00EE5714">
        <w:rPr>
          <w:rFonts w:ascii="Times New Roman" w:eastAsia="Calibri" w:hAnsi="Times New Roman" w:cs="Times New Roman"/>
          <w:sz w:val="26"/>
          <w:szCs w:val="26"/>
        </w:rPr>
        <w:t xml:space="preserve">, </w:t>
      </w:r>
      <w:r w:rsidR="005C70F4" w:rsidRPr="00EE5714">
        <w:rPr>
          <w:rFonts w:ascii="Times New Roman" w:eastAsia="Calibri" w:hAnsi="Times New Roman" w:cs="Times New Roman"/>
          <w:sz w:val="26"/>
          <w:szCs w:val="26"/>
        </w:rPr>
        <w:t>s</w:t>
      </w:r>
      <w:r w:rsidRPr="00EE5714">
        <w:rPr>
          <w:rFonts w:ascii="Times New Roman" w:eastAsia="Calibri" w:hAnsi="Times New Roman" w:cs="Times New Roman"/>
          <w:sz w:val="26"/>
          <w:szCs w:val="26"/>
        </w:rPr>
        <w:t>pecifically: RES surcharge; Sustainable Energy Trust Fund surcharge, and Energy Assistance Trust Fund surcharge.  Customers can enroll in the RES program year-round; the enrollment year begins on October</w:t>
      </w:r>
      <w:r w:rsidRPr="00EE5714">
        <w:rPr>
          <w:rFonts w:ascii="Times New Roman" w:eastAsia="Calibri" w:hAnsi="Times New Roman" w:cs="Times New Roman"/>
          <w:spacing w:val="1"/>
          <w:sz w:val="26"/>
          <w:szCs w:val="26"/>
        </w:rPr>
        <w:t xml:space="preserve"> </w:t>
      </w:r>
      <w:r w:rsidRPr="00EE5714">
        <w:rPr>
          <w:rFonts w:ascii="Times New Roman" w:eastAsia="Calibri" w:hAnsi="Times New Roman" w:cs="Times New Roman"/>
          <w:sz w:val="26"/>
          <w:szCs w:val="26"/>
        </w:rPr>
        <w:t>1.</w:t>
      </w:r>
    </w:p>
    <w:p w14:paraId="0BE9E5DC" w14:textId="77777777" w:rsidR="00F303E0" w:rsidRPr="00EE5714" w:rsidRDefault="00F303E0" w:rsidP="00406D0A">
      <w:pPr>
        <w:spacing w:after="0" w:line="240" w:lineRule="auto"/>
        <w:ind w:left="720" w:right="348"/>
        <w:contextualSpacing/>
        <w:rPr>
          <w:rFonts w:ascii="Times New Roman" w:eastAsia="Calibri" w:hAnsi="Times New Roman" w:cs="Times New Roman"/>
          <w:sz w:val="26"/>
          <w:szCs w:val="26"/>
        </w:rPr>
      </w:pPr>
    </w:p>
    <w:p w14:paraId="2723ECCF" w14:textId="77777777" w:rsidR="00F303E0" w:rsidRPr="00EE5714" w:rsidRDefault="00F303E0" w:rsidP="00406D0A">
      <w:pPr>
        <w:keepNext/>
        <w:spacing w:after="0" w:line="240" w:lineRule="auto"/>
        <w:ind w:right="346"/>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Ohio:</w:t>
      </w:r>
    </w:p>
    <w:p w14:paraId="28408A68" w14:textId="77777777" w:rsidR="00F303E0" w:rsidRPr="00EE5714" w:rsidRDefault="00F303E0" w:rsidP="00406D0A">
      <w:pPr>
        <w:keepNext/>
        <w:spacing w:after="0" w:line="240" w:lineRule="auto"/>
        <w:ind w:right="346"/>
        <w:contextualSpacing/>
        <w:rPr>
          <w:rFonts w:ascii="Times New Roman" w:eastAsia="Calibri" w:hAnsi="Times New Roman" w:cs="Times New Roman"/>
          <w:sz w:val="26"/>
          <w:szCs w:val="26"/>
          <w:u w:val="single"/>
        </w:rPr>
      </w:pPr>
    </w:p>
    <w:p w14:paraId="4F0A7D04"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Ohio provide</w:t>
      </w:r>
      <w:r w:rsidR="005C70F4" w:rsidRPr="00EE5714">
        <w:rPr>
          <w:rFonts w:ascii="Times New Roman" w:eastAsia="Calibri" w:hAnsi="Times New Roman" w:cs="Times New Roman"/>
          <w:sz w:val="26"/>
          <w:szCs w:val="26"/>
        </w:rPr>
        <w:t>d</w:t>
      </w:r>
      <w:r w:rsidRPr="00EE5714">
        <w:rPr>
          <w:rFonts w:ascii="Times New Roman" w:eastAsia="Calibri" w:hAnsi="Times New Roman" w:cs="Times New Roman"/>
          <w:sz w:val="26"/>
          <w:szCs w:val="26"/>
        </w:rPr>
        <w:t xml:space="preserve"> detailed information on three variations of its PIPP programs.  </w:t>
      </w:r>
    </w:p>
    <w:p w14:paraId="606AD5FF"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p>
    <w:p w14:paraId="7DA085C7"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PIPP Plus is an extended payment arrangement that requires regulated gas and electric companies to accept payments based on a percentage of the household income for those customers who are at or below 150% of FPIG.  The PIPP Plus </w:t>
      </w:r>
      <w:r w:rsidRPr="00EE5714">
        <w:rPr>
          <w:rFonts w:ascii="Times New Roman" w:eastAsia="Calibri" w:hAnsi="Times New Roman" w:cs="Times New Roman"/>
          <w:sz w:val="26"/>
          <w:szCs w:val="26"/>
        </w:rPr>
        <w:lastRenderedPageBreak/>
        <w:t>payment amount is based on the household’s countable income received during the previous 30 days.  If a gas customer qualifies for PIPP Plus, he or she would pay 6% of the household’s current gross monthly income to the gas company or a minimum of $10, whichever is greater,</w:t>
      </w:r>
      <w:r w:rsidRPr="00EE5714">
        <w:rPr>
          <w:rFonts w:ascii="Times New Roman" w:eastAsia="Calibri" w:hAnsi="Times New Roman" w:cs="Times New Roman"/>
          <w:spacing w:val="10"/>
          <w:sz w:val="26"/>
          <w:szCs w:val="26"/>
        </w:rPr>
        <w:t xml:space="preserve"> </w:t>
      </w:r>
      <w:r w:rsidRPr="00EE5714">
        <w:rPr>
          <w:rFonts w:ascii="Times New Roman" w:eastAsia="Calibri" w:hAnsi="Times New Roman" w:cs="Times New Roman"/>
          <w:sz w:val="26"/>
          <w:szCs w:val="26"/>
        </w:rPr>
        <w:t>year-round.  If electricity is not the primary heat source, a customer pays 6% of the household’s current gross monthly income or a minimum of $10, whichever is greater, year-round.  The customer of an all-electric household pays 10% of the household’s monthly income or a minimum of $10, whichever is greater, year-round.</w:t>
      </w:r>
    </w:p>
    <w:p w14:paraId="123923F3" w14:textId="77777777" w:rsidR="00F303E0" w:rsidRPr="00EE5714" w:rsidRDefault="00F303E0" w:rsidP="00406D0A">
      <w:pPr>
        <w:autoSpaceDE w:val="0"/>
        <w:autoSpaceDN w:val="0"/>
        <w:spacing w:after="0" w:line="240" w:lineRule="auto"/>
        <w:ind w:left="554"/>
        <w:contextualSpacing/>
        <w:rPr>
          <w:rFonts w:ascii="Times New Roman" w:eastAsia="Arial" w:hAnsi="Times New Roman" w:cs="Times New Roman"/>
          <w:sz w:val="26"/>
          <w:szCs w:val="26"/>
        </w:rPr>
      </w:pPr>
    </w:p>
    <w:p w14:paraId="3524D01C"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Graduate PIPP Plus allows customers who are no longer eligible to participate in PIPP Plus as a result of an increase in the household income or a change in the household size to continue to receive a reduction in their outstanding arrearages in return for making timely</w:t>
      </w:r>
      <w:r w:rsidRPr="00EE5714">
        <w:rPr>
          <w:rFonts w:ascii="Times New Roman" w:eastAsia="Calibri" w:hAnsi="Times New Roman" w:cs="Times New Roman"/>
          <w:spacing w:val="2"/>
          <w:sz w:val="26"/>
          <w:szCs w:val="26"/>
        </w:rPr>
        <w:t xml:space="preserve"> </w:t>
      </w:r>
      <w:r w:rsidRPr="00EE5714">
        <w:rPr>
          <w:rFonts w:ascii="Times New Roman" w:eastAsia="Calibri" w:hAnsi="Times New Roman" w:cs="Times New Roman"/>
          <w:sz w:val="26"/>
          <w:szCs w:val="26"/>
        </w:rPr>
        <w:t>payments.  Graduate PIPP Plus customers receive arrearage reduction for on-time and in-full payments.  Customer will earn 1/12th credit on arrearages.  Graduate PIPP Plus customer bills will be adjusted for the difference between the required installment payment and the current month’s utility charges.</w:t>
      </w:r>
    </w:p>
    <w:p w14:paraId="605089CD" w14:textId="77777777" w:rsidR="00F303E0" w:rsidRPr="00EE5714" w:rsidRDefault="00F303E0" w:rsidP="00406D0A">
      <w:pPr>
        <w:autoSpaceDE w:val="0"/>
        <w:autoSpaceDN w:val="0"/>
        <w:spacing w:after="0" w:line="240" w:lineRule="auto"/>
        <w:ind w:left="554"/>
        <w:contextualSpacing/>
        <w:rPr>
          <w:rFonts w:ascii="Times New Roman" w:eastAsia="Arial" w:hAnsi="Times New Roman" w:cs="Times New Roman"/>
          <w:sz w:val="26"/>
          <w:szCs w:val="26"/>
        </w:rPr>
      </w:pPr>
    </w:p>
    <w:p w14:paraId="0CC37031"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Post PIPP Plus is a 12-month payment plan for former PIPP Plus or former Graduate PIPP Plus customers who are no longer customers of the utility but still have an arrearage.  Post PIPP Plus is only available in the 12 months immediately after a PIPP Plus account is</w:t>
      </w:r>
      <w:r w:rsidRPr="00EE5714">
        <w:rPr>
          <w:rFonts w:ascii="Times New Roman" w:eastAsia="Calibri" w:hAnsi="Times New Roman" w:cs="Times New Roman"/>
          <w:spacing w:val="2"/>
          <w:sz w:val="26"/>
          <w:szCs w:val="26"/>
        </w:rPr>
        <w:t xml:space="preserve"> </w:t>
      </w:r>
      <w:r w:rsidRPr="00EE5714">
        <w:rPr>
          <w:rFonts w:ascii="Times New Roman" w:eastAsia="Calibri" w:hAnsi="Times New Roman" w:cs="Times New Roman"/>
          <w:sz w:val="26"/>
          <w:szCs w:val="26"/>
        </w:rPr>
        <w:t xml:space="preserve">closed.  The customer </w:t>
      </w:r>
      <w:proofErr w:type="gramStart"/>
      <w:r w:rsidRPr="00EE5714">
        <w:rPr>
          <w:rFonts w:ascii="Times New Roman" w:eastAsia="Calibri" w:hAnsi="Times New Roman" w:cs="Times New Roman"/>
          <w:sz w:val="26"/>
          <w:szCs w:val="26"/>
        </w:rPr>
        <w:t>enters into</w:t>
      </w:r>
      <w:proofErr w:type="gramEnd"/>
      <w:r w:rsidRPr="00EE5714">
        <w:rPr>
          <w:rFonts w:ascii="Times New Roman" w:eastAsia="Calibri" w:hAnsi="Times New Roman" w:cs="Times New Roman"/>
          <w:sz w:val="26"/>
          <w:szCs w:val="26"/>
        </w:rPr>
        <w:t xml:space="preserve"> a payment plan to pay at least 1/60</w:t>
      </w:r>
      <w:r w:rsidR="009F6D4A" w:rsidRPr="00EE5714">
        <w:rPr>
          <w:rFonts w:ascii="Times New Roman" w:eastAsia="Calibri" w:hAnsi="Times New Roman" w:cs="Times New Roman"/>
          <w:sz w:val="26"/>
          <w:szCs w:val="26"/>
          <w:vertAlign w:val="superscript"/>
        </w:rPr>
        <w:t>th</w:t>
      </w:r>
      <w:r w:rsidR="009F6D4A" w:rsidRPr="00EE5714">
        <w:rPr>
          <w:rFonts w:ascii="Times New Roman" w:eastAsia="Calibri" w:hAnsi="Times New Roman" w:cs="Times New Roman"/>
          <w:sz w:val="26"/>
          <w:szCs w:val="26"/>
        </w:rPr>
        <w:t xml:space="preserve"> </w:t>
      </w:r>
      <w:r w:rsidRPr="00EE5714">
        <w:rPr>
          <w:rFonts w:ascii="Times New Roman" w:eastAsia="Calibri" w:hAnsi="Times New Roman" w:cs="Times New Roman"/>
          <w:sz w:val="26"/>
          <w:szCs w:val="26"/>
        </w:rPr>
        <w:t>of the final account arrears for 12 months.  For each payment made, the utility will credit 1/12</w:t>
      </w:r>
      <w:r w:rsidR="00137A78" w:rsidRPr="00EE5714">
        <w:rPr>
          <w:rFonts w:ascii="Times New Roman" w:eastAsia="Calibri" w:hAnsi="Times New Roman" w:cs="Times New Roman"/>
          <w:sz w:val="26"/>
          <w:szCs w:val="26"/>
          <w:vertAlign w:val="superscript"/>
        </w:rPr>
        <w:t>th</w:t>
      </w:r>
      <w:r w:rsidRPr="00EE5714">
        <w:rPr>
          <w:rFonts w:ascii="Times New Roman" w:eastAsia="Calibri" w:hAnsi="Times New Roman" w:cs="Times New Roman"/>
          <w:sz w:val="26"/>
          <w:szCs w:val="26"/>
        </w:rPr>
        <w:t xml:space="preserve"> of the customer’s arrears.  </w:t>
      </w:r>
      <w:r w:rsidRPr="00EE5714">
        <w:rPr>
          <w:rFonts w:ascii="Times New Roman" w:eastAsia="Calibri" w:hAnsi="Times New Roman" w:cs="Times New Roman"/>
          <w:i/>
          <w:sz w:val="26"/>
          <w:szCs w:val="26"/>
        </w:rPr>
        <w:t>See</w:t>
      </w:r>
      <w:r w:rsidRPr="00EE5714">
        <w:rPr>
          <w:rFonts w:ascii="Times New Roman" w:eastAsia="Calibri" w:hAnsi="Times New Roman" w:cs="Times New Roman"/>
          <w:sz w:val="26"/>
          <w:szCs w:val="26"/>
        </w:rPr>
        <w:t xml:space="preserve"> </w:t>
      </w:r>
      <w:hyperlink r:id="rId84" w:history="1">
        <w:r w:rsidRPr="00EE5714">
          <w:rPr>
            <w:rStyle w:val="Hyperlink"/>
            <w:rFonts w:ascii="Times New Roman" w:eastAsia="Calibri" w:hAnsi="Times New Roman" w:cs="Times New Roman"/>
            <w:sz w:val="26"/>
            <w:szCs w:val="26"/>
          </w:rPr>
          <w:t>https://development.ohio.gov/is/is_PIPP_plus_review.htm</w:t>
        </w:r>
      </w:hyperlink>
      <w:r w:rsidRPr="00EE5714">
        <w:rPr>
          <w:rFonts w:ascii="Times New Roman" w:eastAsia="Calibri" w:hAnsi="Times New Roman" w:cs="Times New Roman"/>
          <w:sz w:val="26"/>
          <w:szCs w:val="26"/>
        </w:rPr>
        <w:t xml:space="preserve"> </w:t>
      </w:r>
    </w:p>
    <w:p w14:paraId="40B3BECC"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p>
    <w:p w14:paraId="4AAB7E63" w14:textId="77777777" w:rsidR="00F303E0" w:rsidRPr="00EE5714" w:rsidRDefault="00F303E0" w:rsidP="00406D0A">
      <w:pPr>
        <w:spacing w:after="0" w:line="240" w:lineRule="auto"/>
        <w:ind w:right="354"/>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Colorado:</w:t>
      </w:r>
    </w:p>
    <w:p w14:paraId="301C737B" w14:textId="77777777" w:rsidR="00F303E0" w:rsidRPr="00EE5714" w:rsidRDefault="00F303E0" w:rsidP="00406D0A">
      <w:pPr>
        <w:spacing w:after="0" w:line="240" w:lineRule="auto"/>
        <w:ind w:right="354"/>
        <w:contextualSpacing/>
        <w:rPr>
          <w:rFonts w:ascii="Times New Roman" w:eastAsia="Calibri" w:hAnsi="Times New Roman" w:cs="Times New Roman"/>
          <w:sz w:val="26"/>
          <w:szCs w:val="26"/>
          <w:u w:val="single"/>
        </w:rPr>
      </w:pPr>
    </w:p>
    <w:p w14:paraId="4E871584"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Debt forgiveness is included in Colorado’s authorized low-income assistance program.</w:t>
      </w:r>
    </w:p>
    <w:p w14:paraId="2F514F02"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p>
    <w:p w14:paraId="5D50C256"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Utility A: Customers must pay down the PPA to $300 before being allowed to enroll in the program and receive 1/24</w:t>
      </w:r>
      <w:r w:rsidR="00E31B18" w:rsidRPr="00EE5714">
        <w:rPr>
          <w:rFonts w:ascii="Times New Roman" w:eastAsia="Calibri" w:hAnsi="Times New Roman" w:cs="Times New Roman"/>
          <w:sz w:val="26"/>
          <w:szCs w:val="26"/>
          <w:vertAlign w:val="superscript"/>
        </w:rPr>
        <w:t>th</w:t>
      </w:r>
      <w:r w:rsidRPr="00EE5714">
        <w:rPr>
          <w:rFonts w:ascii="Times New Roman" w:eastAsia="Calibri" w:hAnsi="Times New Roman" w:cs="Times New Roman"/>
          <w:sz w:val="26"/>
          <w:szCs w:val="26"/>
        </w:rPr>
        <w:t xml:space="preserve"> PPA </w:t>
      </w:r>
      <w:r w:rsidR="00E31B18" w:rsidRPr="00EE5714">
        <w:rPr>
          <w:rFonts w:ascii="Times New Roman" w:eastAsia="Calibri" w:hAnsi="Times New Roman" w:cs="Times New Roman"/>
          <w:sz w:val="26"/>
          <w:szCs w:val="26"/>
        </w:rPr>
        <w:t xml:space="preserve">forgiveness </w:t>
      </w:r>
      <w:r w:rsidRPr="00EE5714">
        <w:rPr>
          <w:rFonts w:ascii="Times New Roman" w:eastAsia="Calibri" w:hAnsi="Times New Roman" w:cs="Times New Roman"/>
          <w:sz w:val="26"/>
          <w:szCs w:val="26"/>
        </w:rPr>
        <w:t>per month over 24 month</w:t>
      </w:r>
      <w:r w:rsidR="009B7B88" w:rsidRPr="00EE5714">
        <w:rPr>
          <w:rFonts w:ascii="Times New Roman" w:eastAsia="Calibri" w:hAnsi="Times New Roman" w:cs="Times New Roman"/>
          <w:sz w:val="26"/>
          <w:szCs w:val="26"/>
        </w:rPr>
        <w:t>s</w:t>
      </w:r>
      <w:r w:rsidRPr="00EE5714">
        <w:rPr>
          <w:rFonts w:ascii="Times New Roman" w:eastAsia="Calibri" w:hAnsi="Times New Roman" w:cs="Times New Roman"/>
          <w:sz w:val="26"/>
          <w:szCs w:val="26"/>
        </w:rPr>
        <w:t>.</w:t>
      </w:r>
    </w:p>
    <w:p w14:paraId="7E3C496F"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p>
    <w:p w14:paraId="69DA329D"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Utility B: PPAs of $500 or less are “retired” over 12 months; larger PPAs are retired over 24 months.  This utility also offers a one-time forgiveness of up to $200.</w:t>
      </w:r>
    </w:p>
    <w:p w14:paraId="72D4A4A6"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p>
    <w:p w14:paraId="62BD588F"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Other utilities offer credit designed to reduce PPAs to zero over 12 months.</w:t>
      </w:r>
    </w:p>
    <w:p w14:paraId="14FB414A"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p>
    <w:p w14:paraId="06047779"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Regarding rate assistance, one </w:t>
      </w:r>
      <w:r w:rsidR="006937EB" w:rsidRPr="00EE5714">
        <w:rPr>
          <w:rFonts w:ascii="Times New Roman" w:eastAsia="Calibri" w:hAnsi="Times New Roman" w:cs="Times New Roman"/>
          <w:sz w:val="26"/>
          <w:szCs w:val="26"/>
        </w:rPr>
        <w:t>utility</w:t>
      </w:r>
      <w:r w:rsidRPr="00EE5714">
        <w:rPr>
          <w:rFonts w:ascii="Times New Roman" w:eastAsia="Calibri" w:hAnsi="Times New Roman" w:cs="Times New Roman"/>
          <w:sz w:val="26"/>
          <w:szCs w:val="26"/>
        </w:rPr>
        <w:t xml:space="preserve"> offers a fixed monthly credit to customers who are LIHEAP recipients with income below 150% of the FPIG level and who agree to participate in a weatherization program and enroll in a budget billing plan.</w:t>
      </w:r>
    </w:p>
    <w:p w14:paraId="74680A49"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p>
    <w:p w14:paraId="565F8E9A"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lastRenderedPageBreak/>
        <w:t xml:space="preserve">Some </w:t>
      </w:r>
      <w:r w:rsidR="004A5D98" w:rsidRPr="00EE5714">
        <w:rPr>
          <w:rFonts w:ascii="Times New Roman" w:eastAsia="Calibri" w:hAnsi="Times New Roman" w:cs="Times New Roman"/>
          <w:sz w:val="26"/>
          <w:szCs w:val="26"/>
        </w:rPr>
        <w:t xml:space="preserve">utilities </w:t>
      </w:r>
      <w:r w:rsidRPr="00EE5714">
        <w:rPr>
          <w:rFonts w:ascii="Times New Roman" w:eastAsia="Calibri" w:hAnsi="Times New Roman" w:cs="Times New Roman"/>
          <w:sz w:val="26"/>
          <w:szCs w:val="26"/>
        </w:rPr>
        <w:t xml:space="preserve">offer percentage of income plans for customers who receive LIHEAP and have incomes at or below 150% of the FPIG level, based on a </w:t>
      </w:r>
      <w:r w:rsidR="004A5D98" w:rsidRPr="00EE5714">
        <w:rPr>
          <w:rFonts w:ascii="Times New Roman" w:eastAsia="Calibri" w:hAnsi="Times New Roman" w:cs="Times New Roman"/>
          <w:sz w:val="26"/>
          <w:szCs w:val="26"/>
        </w:rPr>
        <w:t>utility</w:t>
      </w:r>
      <w:r w:rsidRPr="00EE5714">
        <w:rPr>
          <w:rFonts w:ascii="Times New Roman" w:eastAsia="Calibri" w:hAnsi="Times New Roman" w:cs="Times New Roman"/>
          <w:sz w:val="26"/>
          <w:szCs w:val="26"/>
        </w:rPr>
        <w:t xml:space="preserve"> formula.</w:t>
      </w:r>
    </w:p>
    <w:p w14:paraId="2AEE7BFE"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p>
    <w:p w14:paraId="1A179525"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 xml:space="preserve">For another </w:t>
      </w:r>
      <w:r w:rsidR="0051139D" w:rsidRPr="00EE5714">
        <w:rPr>
          <w:rFonts w:ascii="Times New Roman" w:eastAsia="Calibri" w:hAnsi="Times New Roman" w:cs="Times New Roman"/>
          <w:sz w:val="26"/>
          <w:szCs w:val="26"/>
        </w:rPr>
        <w:t>utility</w:t>
      </w:r>
      <w:r w:rsidRPr="00EE5714">
        <w:rPr>
          <w:rFonts w:ascii="Times New Roman" w:eastAsia="Calibri" w:hAnsi="Times New Roman" w:cs="Times New Roman"/>
          <w:sz w:val="26"/>
          <w:szCs w:val="26"/>
        </w:rPr>
        <w:t>, households at or below 100% of the FPIG level can receive a 25% discount based on their prior 12 months of usage, while customers between 100 and 150% of the FPIG level receive a 20% discount.</w:t>
      </w:r>
    </w:p>
    <w:p w14:paraId="15C16610"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p>
    <w:p w14:paraId="37754170"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bookmarkStart w:id="82" w:name="_Hlk518897660"/>
      <w:r w:rsidRPr="00EE5714">
        <w:rPr>
          <w:rFonts w:ascii="Times New Roman" w:eastAsia="Calibri" w:hAnsi="Times New Roman" w:cs="Times New Roman"/>
          <w:sz w:val="26"/>
          <w:szCs w:val="26"/>
        </w:rPr>
        <w:t xml:space="preserve">A gas </w:t>
      </w:r>
      <w:r w:rsidR="0051139D" w:rsidRPr="00EE5714">
        <w:rPr>
          <w:rFonts w:ascii="Times New Roman" w:eastAsia="Calibri" w:hAnsi="Times New Roman" w:cs="Times New Roman"/>
          <w:sz w:val="26"/>
          <w:szCs w:val="26"/>
        </w:rPr>
        <w:t>utility</w:t>
      </w:r>
      <w:r w:rsidRPr="00EE5714">
        <w:rPr>
          <w:rFonts w:ascii="Times New Roman" w:eastAsia="Calibri" w:hAnsi="Times New Roman" w:cs="Times New Roman"/>
          <w:sz w:val="26"/>
          <w:szCs w:val="26"/>
        </w:rPr>
        <w:t xml:space="preserve"> offers customers who are LIHEAP recipients with household income at or below 125% of the FPIG level a tiered-maximum payment option</w:t>
      </w:r>
      <w:bookmarkEnd w:id="82"/>
      <w:r w:rsidRPr="00EE5714">
        <w:rPr>
          <w:rFonts w:ascii="Times New Roman" w:eastAsia="Calibri" w:hAnsi="Times New Roman" w:cs="Times New Roman"/>
          <w:sz w:val="26"/>
          <w:szCs w:val="26"/>
        </w:rPr>
        <w:t>:</w:t>
      </w:r>
    </w:p>
    <w:p w14:paraId="285C466C"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p>
    <w:p w14:paraId="770663D0" w14:textId="77777777" w:rsidR="00F303E0" w:rsidRPr="00EE5714" w:rsidRDefault="00F303E0" w:rsidP="007D5276">
      <w:pPr>
        <w:numPr>
          <w:ilvl w:val="0"/>
          <w:numId w:val="19"/>
        </w:numPr>
        <w:spacing w:after="0" w:line="240" w:lineRule="auto"/>
        <w:ind w:right="354"/>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 of income if household income is at or below 75% of the FPIG level</w:t>
      </w:r>
    </w:p>
    <w:p w14:paraId="4B3026D0" w14:textId="77777777" w:rsidR="00F303E0" w:rsidRPr="00EE5714" w:rsidRDefault="00F303E0" w:rsidP="00406D0A">
      <w:pPr>
        <w:spacing w:after="0" w:line="240" w:lineRule="auto"/>
        <w:ind w:left="1800" w:right="354"/>
        <w:contextualSpacing/>
        <w:rPr>
          <w:rFonts w:ascii="Times New Roman" w:eastAsia="Times New Roman" w:hAnsi="Times New Roman" w:cs="Times New Roman"/>
          <w:sz w:val="26"/>
          <w:szCs w:val="26"/>
        </w:rPr>
      </w:pPr>
    </w:p>
    <w:p w14:paraId="114DC3F8" w14:textId="77777777" w:rsidR="00F303E0" w:rsidRPr="00EE5714" w:rsidRDefault="00F303E0" w:rsidP="007D5276">
      <w:pPr>
        <w:numPr>
          <w:ilvl w:val="0"/>
          <w:numId w:val="19"/>
        </w:numPr>
        <w:spacing w:after="0" w:line="240" w:lineRule="auto"/>
        <w:ind w:right="354"/>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2.5% of income if income is between 76 and 125% of the FPIG level</w:t>
      </w:r>
    </w:p>
    <w:p w14:paraId="6F63C2BA" w14:textId="77777777" w:rsidR="00F303E0" w:rsidRPr="00EE5714" w:rsidRDefault="00F303E0" w:rsidP="00406D0A">
      <w:pPr>
        <w:spacing w:after="0" w:line="240" w:lineRule="auto"/>
        <w:ind w:left="720"/>
        <w:contextualSpacing/>
        <w:rPr>
          <w:rFonts w:ascii="Times New Roman" w:eastAsia="Times New Roman" w:hAnsi="Times New Roman" w:cs="Times New Roman"/>
          <w:sz w:val="26"/>
          <w:szCs w:val="26"/>
        </w:rPr>
      </w:pPr>
    </w:p>
    <w:p w14:paraId="61325E44" w14:textId="77777777" w:rsidR="00F303E0" w:rsidRPr="00EE5714" w:rsidRDefault="00F303E0" w:rsidP="007D5276">
      <w:pPr>
        <w:numPr>
          <w:ilvl w:val="0"/>
          <w:numId w:val="19"/>
        </w:numPr>
        <w:spacing w:after="0" w:line="240" w:lineRule="auto"/>
        <w:ind w:right="354"/>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3% of income for households with incomes between 126 and 185% of the FPIG level</w:t>
      </w:r>
    </w:p>
    <w:p w14:paraId="64574AEA" w14:textId="77777777" w:rsidR="00F303E0" w:rsidRPr="00EE5714" w:rsidRDefault="00F303E0" w:rsidP="00406D0A">
      <w:pPr>
        <w:spacing w:after="0" w:line="240" w:lineRule="auto"/>
        <w:ind w:left="720"/>
        <w:contextualSpacing/>
        <w:rPr>
          <w:rFonts w:ascii="Times New Roman" w:eastAsia="Times New Roman" w:hAnsi="Times New Roman" w:cs="Times New Roman"/>
          <w:sz w:val="26"/>
          <w:szCs w:val="26"/>
        </w:rPr>
      </w:pPr>
    </w:p>
    <w:p w14:paraId="03E1E8A6" w14:textId="77777777" w:rsidR="00F303E0" w:rsidRPr="00EE5714" w:rsidRDefault="00F303E0" w:rsidP="00406D0A">
      <w:pPr>
        <w:spacing w:after="0" w:line="240" w:lineRule="auto"/>
        <w:ind w:left="720"/>
        <w:contextualSpacing/>
        <w:rPr>
          <w:rFonts w:ascii="Times New Roman" w:eastAsia="Times New Roman" w:hAnsi="Times New Roman" w:cs="Times New Roman"/>
          <w:sz w:val="26"/>
          <w:szCs w:val="26"/>
        </w:rPr>
      </w:pPr>
    </w:p>
    <w:p w14:paraId="0CA6E287" w14:textId="77777777" w:rsidR="00F303E0" w:rsidRPr="00EE5714" w:rsidRDefault="00F303E0" w:rsidP="00406D0A">
      <w:pPr>
        <w:spacing w:after="0" w:line="240" w:lineRule="auto"/>
        <w:ind w:right="354"/>
        <w:contextualSpacing/>
        <w:rPr>
          <w:rFonts w:ascii="Times New Roman" w:eastAsia="Calibri" w:hAnsi="Times New Roman" w:cs="Times New Roman"/>
          <w:b/>
          <w:i/>
          <w:sz w:val="26"/>
          <w:szCs w:val="26"/>
        </w:rPr>
      </w:pPr>
      <w:bookmarkStart w:id="83" w:name="_Hlk518897675"/>
      <w:r w:rsidRPr="00EE5714">
        <w:rPr>
          <w:rFonts w:ascii="Times New Roman" w:eastAsia="Calibri" w:hAnsi="Times New Roman" w:cs="Times New Roman"/>
          <w:b/>
          <w:i/>
          <w:sz w:val="26"/>
          <w:szCs w:val="26"/>
        </w:rPr>
        <w:t>Question 7: If the state has a CAP program, what are the eligibility requirements?</w:t>
      </w:r>
    </w:p>
    <w:bookmarkEnd w:id="83"/>
    <w:p w14:paraId="794D0DB0" w14:textId="77777777" w:rsidR="00F303E0" w:rsidRPr="00EE5714" w:rsidRDefault="00F303E0" w:rsidP="00406D0A">
      <w:pPr>
        <w:spacing w:after="0" w:line="240" w:lineRule="auto"/>
        <w:contextualSpacing/>
        <w:rPr>
          <w:rFonts w:ascii="Times New Roman" w:eastAsia="Calibri" w:hAnsi="Times New Roman" w:cs="Times New Roman"/>
          <w:sz w:val="26"/>
          <w:szCs w:val="26"/>
          <w:u w:val="single"/>
        </w:rPr>
      </w:pPr>
    </w:p>
    <w:p w14:paraId="1C12FF11" w14:textId="77777777" w:rsidR="00F303E0" w:rsidRPr="00EE5714" w:rsidRDefault="00F303E0" w:rsidP="00406D0A">
      <w:pPr>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New Hampshire:</w:t>
      </w:r>
    </w:p>
    <w:p w14:paraId="1FCFF8D5" w14:textId="77777777" w:rsidR="00F303E0" w:rsidRPr="00EE5714" w:rsidRDefault="00F303E0" w:rsidP="00406D0A">
      <w:pPr>
        <w:spacing w:after="0" w:line="240" w:lineRule="auto"/>
        <w:ind w:right="348"/>
        <w:contextualSpacing/>
        <w:rPr>
          <w:rFonts w:ascii="Times New Roman" w:eastAsia="Calibri" w:hAnsi="Times New Roman" w:cs="Times New Roman"/>
          <w:sz w:val="26"/>
          <w:szCs w:val="26"/>
        </w:rPr>
      </w:pPr>
    </w:p>
    <w:p w14:paraId="0889CC10"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For New Hampshire’s Energy Assistance Program (EAP), the eligibility level is at or below 200% of the FPIG.  For the gas discount program, it is categorical eligibility, with participation in one of 13 programs qualifying a customer.</w:t>
      </w:r>
    </w:p>
    <w:p w14:paraId="29663CA2"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p>
    <w:p w14:paraId="5230DCE1" w14:textId="77777777" w:rsidR="00F303E0" w:rsidRPr="00EE5714" w:rsidRDefault="00F303E0" w:rsidP="00406D0A">
      <w:pPr>
        <w:keepNext/>
        <w:spacing w:after="0" w:line="240" w:lineRule="auto"/>
        <w:ind w:right="354"/>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District of Columbia:</w:t>
      </w:r>
    </w:p>
    <w:p w14:paraId="37968F43" w14:textId="77777777" w:rsidR="00F303E0" w:rsidRPr="00EE5714" w:rsidRDefault="00F303E0" w:rsidP="00406D0A">
      <w:pPr>
        <w:keepNext/>
        <w:spacing w:after="0" w:line="240" w:lineRule="auto"/>
        <w:ind w:right="354"/>
        <w:contextualSpacing/>
        <w:rPr>
          <w:rFonts w:ascii="Times New Roman" w:eastAsia="Calibri" w:hAnsi="Times New Roman" w:cs="Times New Roman"/>
          <w:sz w:val="26"/>
          <w:szCs w:val="26"/>
        </w:rPr>
      </w:pPr>
    </w:p>
    <w:tbl>
      <w:tblPr>
        <w:tblStyle w:val="TableGrid"/>
        <w:tblW w:w="0" w:type="auto"/>
        <w:tblInd w:w="2875" w:type="dxa"/>
        <w:tblLook w:val="04A0" w:firstRow="1" w:lastRow="0" w:firstColumn="1" w:lastColumn="0" w:noHBand="0" w:noVBand="1"/>
      </w:tblPr>
      <w:tblGrid>
        <w:gridCol w:w="2160"/>
        <w:gridCol w:w="3870"/>
      </w:tblGrid>
      <w:tr w:rsidR="00F303E0" w:rsidRPr="00EE5714" w14:paraId="798F3F57" w14:textId="77777777" w:rsidTr="00851815">
        <w:tc>
          <w:tcPr>
            <w:tcW w:w="2160" w:type="dxa"/>
            <w:vAlign w:val="center"/>
          </w:tcPr>
          <w:p w14:paraId="2602C9EB" w14:textId="77777777" w:rsidR="00F303E0" w:rsidRPr="00EE5714" w:rsidRDefault="00F303E0" w:rsidP="00406D0A">
            <w:pPr>
              <w:keepNext/>
              <w:contextualSpacing/>
              <w:jc w:val="center"/>
              <w:rPr>
                <w:rFonts w:ascii="Calibri" w:eastAsia="Calibri" w:hAnsi="Calibri" w:cs="Calibri"/>
                <w:szCs w:val="24"/>
              </w:rPr>
            </w:pPr>
            <w:r w:rsidRPr="00EE5714">
              <w:rPr>
                <w:rFonts w:ascii="Calibri" w:eastAsia="Calibri" w:hAnsi="Calibri" w:cs="Calibri"/>
                <w:szCs w:val="24"/>
              </w:rPr>
              <w:t>Household Size</w:t>
            </w:r>
          </w:p>
        </w:tc>
        <w:tc>
          <w:tcPr>
            <w:tcW w:w="3870" w:type="dxa"/>
            <w:vAlign w:val="center"/>
          </w:tcPr>
          <w:p w14:paraId="54090846" w14:textId="77777777" w:rsidR="00F303E0" w:rsidRPr="00EE5714" w:rsidRDefault="00F303E0" w:rsidP="00406D0A">
            <w:pPr>
              <w:keepNext/>
              <w:contextualSpacing/>
              <w:jc w:val="center"/>
              <w:rPr>
                <w:rFonts w:ascii="Calibri" w:eastAsia="Calibri" w:hAnsi="Calibri" w:cs="Calibri"/>
                <w:szCs w:val="24"/>
              </w:rPr>
            </w:pPr>
            <w:r w:rsidRPr="00EE5714">
              <w:rPr>
                <w:rFonts w:ascii="Calibri" w:eastAsia="Calibri" w:hAnsi="Calibri" w:cs="Calibri"/>
                <w:szCs w:val="24"/>
              </w:rPr>
              <w:t>FY 2018 Maximum Annual Income</w:t>
            </w:r>
          </w:p>
        </w:tc>
      </w:tr>
      <w:tr w:rsidR="00F303E0" w:rsidRPr="00EE5714" w14:paraId="04959006" w14:textId="77777777" w:rsidTr="00851815">
        <w:tc>
          <w:tcPr>
            <w:tcW w:w="2160" w:type="dxa"/>
            <w:vAlign w:val="center"/>
          </w:tcPr>
          <w:p w14:paraId="077DEB9D" w14:textId="77777777" w:rsidR="00F303E0" w:rsidRPr="00EE5714" w:rsidRDefault="00F303E0" w:rsidP="00406D0A">
            <w:pPr>
              <w:keepNext/>
              <w:contextualSpacing/>
              <w:jc w:val="center"/>
              <w:rPr>
                <w:rFonts w:ascii="Calibri" w:eastAsia="Calibri" w:hAnsi="Calibri" w:cs="Calibri"/>
                <w:szCs w:val="24"/>
              </w:rPr>
            </w:pPr>
            <w:r w:rsidRPr="00EE5714">
              <w:rPr>
                <w:rFonts w:ascii="Calibri" w:eastAsia="Calibri" w:hAnsi="Calibri" w:cs="Calibri"/>
                <w:szCs w:val="24"/>
              </w:rPr>
              <w:t>1</w:t>
            </w:r>
          </w:p>
        </w:tc>
        <w:tc>
          <w:tcPr>
            <w:tcW w:w="3870" w:type="dxa"/>
          </w:tcPr>
          <w:p w14:paraId="04C49505" w14:textId="77777777" w:rsidR="00F303E0" w:rsidRPr="00EE5714" w:rsidRDefault="00F303E0" w:rsidP="00406D0A">
            <w:pPr>
              <w:keepNext/>
              <w:contextualSpacing/>
              <w:jc w:val="center"/>
              <w:rPr>
                <w:rFonts w:ascii="Calibri" w:eastAsia="Calibri" w:hAnsi="Calibri" w:cs="Calibri"/>
                <w:szCs w:val="24"/>
              </w:rPr>
            </w:pPr>
            <w:r w:rsidRPr="00EE5714">
              <w:rPr>
                <w:sz w:val="20"/>
                <w:szCs w:val="20"/>
              </w:rPr>
              <w:t>$30,142</w:t>
            </w:r>
          </w:p>
        </w:tc>
      </w:tr>
      <w:tr w:rsidR="00F303E0" w:rsidRPr="00EE5714" w14:paraId="4AC6DD82" w14:textId="77777777" w:rsidTr="00851815">
        <w:tc>
          <w:tcPr>
            <w:tcW w:w="2160" w:type="dxa"/>
            <w:vAlign w:val="center"/>
          </w:tcPr>
          <w:p w14:paraId="78C2FA49" w14:textId="77777777" w:rsidR="00F303E0" w:rsidRPr="00EE5714" w:rsidRDefault="00F303E0" w:rsidP="00406D0A">
            <w:pPr>
              <w:keepNext/>
              <w:contextualSpacing/>
              <w:jc w:val="center"/>
              <w:rPr>
                <w:rFonts w:ascii="Calibri" w:eastAsia="Calibri" w:hAnsi="Calibri" w:cs="Calibri"/>
                <w:szCs w:val="24"/>
              </w:rPr>
            </w:pPr>
            <w:r w:rsidRPr="00EE5714">
              <w:rPr>
                <w:rFonts w:ascii="Calibri" w:eastAsia="Calibri" w:hAnsi="Calibri" w:cs="Calibri"/>
                <w:szCs w:val="24"/>
              </w:rPr>
              <w:t>2</w:t>
            </w:r>
          </w:p>
        </w:tc>
        <w:tc>
          <w:tcPr>
            <w:tcW w:w="3870" w:type="dxa"/>
          </w:tcPr>
          <w:p w14:paraId="6B08C6FE" w14:textId="77777777" w:rsidR="00F303E0" w:rsidRPr="00EE5714" w:rsidRDefault="00F303E0" w:rsidP="00406D0A">
            <w:pPr>
              <w:keepNext/>
              <w:contextualSpacing/>
              <w:jc w:val="center"/>
              <w:rPr>
                <w:rFonts w:ascii="Calibri" w:eastAsia="Calibri" w:hAnsi="Calibri" w:cs="Calibri"/>
                <w:szCs w:val="24"/>
              </w:rPr>
            </w:pPr>
            <w:r w:rsidRPr="00EE5714">
              <w:rPr>
                <w:sz w:val="20"/>
                <w:szCs w:val="20"/>
              </w:rPr>
              <w:t>$39,416</w:t>
            </w:r>
          </w:p>
        </w:tc>
      </w:tr>
      <w:tr w:rsidR="00F303E0" w:rsidRPr="00EE5714" w14:paraId="7C8A14A7" w14:textId="77777777" w:rsidTr="00851815">
        <w:tc>
          <w:tcPr>
            <w:tcW w:w="2160" w:type="dxa"/>
            <w:vAlign w:val="center"/>
          </w:tcPr>
          <w:p w14:paraId="4A2C98F8" w14:textId="77777777" w:rsidR="00F303E0" w:rsidRPr="00EE5714" w:rsidRDefault="00F303E0" w:rsidP="00406D0A">
            <w:pPr>
              <w:keepNext/>
              <w:contextualSpacing/>
              <w:jc w:val="center"/>
              <w:rPr>
                <w:rFonts w:ascii="Calibri" w:eastAsia="Calibri" w:hAnsi="Calibri" w:cs="Calibri"/>
                <w:szCs w:val="24"/>
              </w:rPr>
            </w:pPr>
            <w:r w:rsidRPr="00EE5714">
              <w:rPr>
                <w:rFonts w:ascii="Calibri" w:eastAsia="Calibri" w:hAnsi="Calibri" w:cs="Calibri"/>
                <w:szCs w:val="24"/>
              </w:rPr>
              <w:t>3</w:t>
            </w:r>
          </w:p>
        </w:tc>
        <w:tc>
          <w:tcPr>
            <w:tcW w:w="3870" w:type="dxa"/>
          </w:tcPr>
          <w:p w14:paraId="2BF54CA5" w14:textId="77777777" w:rsidR="00F303E0" w:rsidRPr="00EE5714" w:rsidRDefault="00F303E0" w:rsidP="00406D0A">
            <w:pPr>
              <w:keepNext/>
              <w:contextualSpacing/>
              <w:jc w:val="center"/>
              <w:rPr>
                <w:rFonts w:ascii="Calibri" w:eastAsia="Calibri" w:hAnsi="Calibri" w:cs="Calibri"/>
                <w:szCs w:val="24"/>
              </w:rPr>
            </w:pPr>
            <w:r w:rsidRPr="00EE5714">
              <w:rPr>
                <w:sz w:val="20"/>
                <w:szCs w:val="20"/>
              </w:rPr>
              <w:t>$48,691</w:t>
            </w:r>
          </w:p>
        </w:tc>
      </w:tr>
      <w:tr w:rsidR="00F303E0" w:rsidRPr="00EE5714" w14:paraId="5223011B" w14:textId="77777777" w:rsidTr="00851815">
        <w:tc>
          <w:tcPr>
            <w:tcW w:w="2160" w:type="dxa"/>
            <w:vAlign w:val="center"/>
          </w:tcPr>
          <w:p w14:paraId="58474C25" w14:textId="77777777" w:rsidR="00F303E0" w:rsidRPr="00EE5714" w:rsidRDefault="00F303E0" w:rsidP="00406D0A">
            <w:pPr>
              <w:keepNext/>
              <w:contextualSpacing/>
              <w:jc w:val="center"/>
              <w:rPr>
                <w:rFonts w:ascii="Calibri" w:eastAsia="Calibri" w:hAnsi="Calibri" w:cs="Calibri"/>
                <w:szCs w:val="24"/>
              </w:rPr>
            </w:pPr>
            <w:r w:rsidRPr="00EE5714">
              <w:rPr>
                <w:rFonts w:ascii="Calibri" w:eastAsia="Calibri" w:hAnsi="Calibri" w:cs="Calibri"/>
                <w:szCs w:val="24"/>
              </w:rPr>
              <w:t>4</w:t>
            </w:r>
          </w:p>
        </w:tc>
        <w:tc>
          <w:tcPr>
            <w:tcW w:w="3870" w:type="dxa"/>
          </w:tcPr>
          <w:p w14:paraId="4240FC7C" w14:textId="77777777" w:rsidR="00F303E0" w:rsidRPr="00EE5714" w:rsidRDefault="00F303E0" w:rsidP="00406D0A">
            <w:pPr>
              <w:keepNext/>
              <w:contextualSpacing/>
              <w:jc w:val="center"/>
              <w:rPr>
                <w:rFonts w:ascii="Calibri" w:eastAsia="Calibri" w:hAnsi="Calibri" w:cs="Calibri"/>
                <w:szCs w:val="24"/>
              </w:rPr>
            </w:pPr>
            <w:r w:rsidRPr="00EE5714">
              <w:rPr>
                <w:sz w:val="20"/>
                <w:szCs w:val="20"/>
              </w:rPr>
              <w:t>$57,965</w:t>
            </w:r>
          </w:p>
        </w:tc>
      </w:tr>
      <w:tr w:rsidR="00F303E0" w:rsidRPr="00EE5714" w14:paraId="43B47ADD" w14:textId="77777777" w:rsidTr="00851815">
        <w:tc>
          <w:tcPr>
            <w:tcW w:w="2160" w:type="dxa"/>
            <w:vAlign w:val="center"/>
          </w:tcPr>
          <w:p w14:paraId="23EE3D68" w14:textId="77777777" w:rsidR="00F303E0" w:rsidRPr="00EE5714" w:rsidRDefault="00F303E0" w:rsidP="00406D0A">
            <w:pPr>
              <w:keepNext/>
              <w:contextualSpacing/>
              <w:jc w:val="center"/>
              <w:rPr>
                <w:rFonts w:ascii="Calibri" w:eastAsia="Calibri" w:hAnsi="Calibri" w:cs="Calibri"/>
                <w:szCs w:val="24"/>
              </w:rPr>
            </w:pPr>
            <w:r w:rsidRPr="00EE5714">
              <w:rPr>
                <w:rFonts w:ascii="Calibri" w:eastAsia="Calibri" w:hAnsi="Calibri" w:cs="Calibri"/>
                <w:szCs w:val="24"/>
              </w:rPr>
              <w:t>5</w:t>
            </w:r>
          </w:p>
        </w:tc>
        <w:tc>
          <w:tcPr>
            <w:tcW w:w="3870" w:type="dxa"/>
          </w:tcPr>
          <w:p w14:paraId="05B67509" w14:textId="77777777" w:rsidR="00F303E0" w:rsidRPr="00EE5714" w:rsidRDefault="00F303E0" w:rsidP="00406D0A">
            <w:pPr>
              <w:keepNext/>
              <w:contextualSpacing/>
              <w:jc w:val="center"/>
              <w:rPr>
                <w:rFonts w:ascii="Calibri" w:eastAsia="Calibri" w:hAnsi="Calibri" w:cs="Calibri"/>
                <w:szCs w:val="24"/>
              </w:rPr>
            </w:pPr>
            <w:r w:rsidRPr="00EE5714">
              <w:rPr>
                <w:sz w:val="20"/>
                <w:szCs w:val="20"/>
              </w:rPr>
              <w:t>$67,239</w:t>
            </w:r>
          </w:p>
        </w:tc>
      </w:tr>
      <w:tr w:rsidR="00F303E0" w:rsidRPr="00EE5714" w14:paraId="40BF454F" w14:textId="77777777" w:rsidTr="00851815">
        <w:tc>
          <w:tcPr>
            <w:tcW w:w="2160" w:type="dxa"/>
            <w:vAlign w:val="center"/>
          </w:tcPr>
          <w:p w14:paraId="7DDA4AA5" w14:textId="77777777" w:rsidR="00F303E0" w:rsidRPr="00EE5714" w:rsidRDefault="00F303E0" w:rsidP="00406D0A">
            <w:pPr>
              <w:keepNext/>
              <w:contextualSpacing/>
              <w:jc w:val="center"/>
              <w:rPr>
                <w:rFonts w:ascii="Calibri" w:eastAsia="Calibri" w:hAnsi="Calibri" w:cs="Calibri"/>
                <w:szCs w:val="24"/>
              </w:rPr>
            </w:pPr>
            <w:r w:rsidRPr="00EE5714">
              <w:rPr>
                <w:rFonts w:ascii="Calibri" w:eastAsia="Calibri" w:hAnsi="Calibri" w:cs="Calibri"/>
                <w:szCs w:val="24"/>
              </w:rPr>
              <w:t>6</w:t>
            </w:r>
          </w:p>
        </w:tc>
        <w:tc>
          <w:tcPr>
            <w:tcW w:w="3870" w:type="dxa"/>
          </w:tcPr>
          <w:p w14:paraId="3A6E9E64" w14:textId="77777777" w:rsidR="00F303E0" w:rsidRPr="00EE5714" w:rsidRDefault="00F303E0" w:rsidP="00406D0A">
            <w:pPr>
              <w:keepNext/>
              <w:contextualSpacing/>
              <w:jc w:val="center"/>
              <w:rPr>
                <w:rFonts w:ascii="Calibri" w:eastAsia="Calibri" w:hAnsi="Calibri" w:cs="Calibri"/>
                <w:szCs w:val="24"/>
              </w:rPr>
            </w:pPr>
            <w:r w:rsidRPr="00EE5714">
              <w:rPr>
                <w:sz w:val="20"/>
                <w:szCs w:val="20"/>
              </w:rPr>
              <w:t>$76,514</w:t>
            </w:r>
          </w:p>
        </w:tc>
      </w:tr>
      <w:tr w:rsidR="00F303E0" w:rsidRPr="00EE5714" w14:paraId="2EBA392E" w14:textId="77777777" w:rsidTr="00851815">
        <w:tc>
          <w:tcPr>
            <w:tcW w:w="2160" w:type="dxa"/>
            <w:vAlign w:val="center"/>
          </w:tcPr>
          <w:p w14:paraId="04D2BF85" w14:textId="77777777" w:rsidR="00F303E0" w:rsidRPr="00EE5714" w:rsidRDefault="00F303E0" w:rsidP="00406D0A">
            <w:pPr>
              <w:keepNext/>
              <w:contextualSpacing/>
              <w:jc w:val="center"/>
              <w:rPr>
                <w:rFonts w:ascii="Calibri" w:eastAsia="Calibri" w:hAnsi="Calibri" w:cs="Calibri"/>
                <w:szCs w:val="24"/>
              </w:rPr>
            </w:pPr>
            <w:r w:rsidRPr="00EE5714">
              <w:rPr>
                <w:rFonts w:ascii="Calibri" w:eastAsia="Calibri" w:hAnsi="Calibri" w:cs="Calibri"/>
                <w:szCs w:val="24"/>
              </w:rPr>
              <w:t>7</w:t>
            </w:r>
          </w:p>
        </w:tc>
        <w:tc>
          <w:tcPr>
            <w:tcW w:w="3870" w:type="dxa"/>
          </w:tcPr>
          <w:p w14:paraId="240A004C" w14:textId="77777777" w:rsidR="00F303E0" w:rsidRPr="00EE5714" w:rsidRDefault="00F303E0" w:rsidP="00406D0A">
            <w:pPr>
              <w:keepNext/>
              <w:contextualSpacing/>
              <w:jc w:val="center"/>
              <w:rPr>
                <w:rFonts w:ascii="Calibri" w:eastAsia="Calibri" w:hAnsi="Calibri" w:cs="Calibri"/>
                <w:szCs w:val="24"/>
              </w:rPr>
            </w:pPr>
            <w:r w:rsidRPr="00EE5714">
              <w:rPr>
                <w:sz w:val="20"/>
                <w:szCs w:val="20"/>
              </w:rPr>
              <w:t>$78,253</w:t>
            </w:r>
          </w:p>
        </w:tc>
      </w:tr>
      <w:tr w:rsidR="00F303E0" w:rsidRPr="00EE5714" w14:paraId="0D9D6B4B" w14:textId="77777777" w:rsidTr="00851815">
        <w:tc>
          <w:tcPr>
            <w:tcW w:w="2160" w:type="dxa"/>
            <w:vAlign w:val="center"/>
          </w:tcPr>
          <w:p w14:paraId="39305DD2" w14:textId="77777777" w:rsidR="00F303E0" w:rsidRPr="00EE5714" w:rsidRDefault="00F303E0" w:rsidP="00406D0A">
            <w:pPr>
              <w:contextualSpacing/>
              <w:jc w:val="center"/>
              <w:rPr>
                <w:rFonts w:ascii="Calibri" w:eastAsia="Calibri" w:hAnsi="Calibri" w:cs="Calibri"/>
                <w:szCs w:val="24"/>
              </w:rPr>
            </w:pPr>
            <w:r w:rsidRPr="00EE5714">
              <w:rPr>
                <w:rFonts w:ascii="Calibri" w:eastAsia="Calibri" w:hAnsi="Calibri" w:cs="Calibri"/>
                <w:szCs w:val="24"/>
              </w:rPr>
              <w:t>8</w:t>
            </w:r>
          </w:p>
        </w:tc>
        <w:tc>
          <w:tcPr>
            <w:tcW w:w="3870" w:type="dxa"/>
          </w:tcPr>
          <w:p w14:paraId="0F8C1F67" w14:textId="77777777" w:rsidR="00F303E0" w:rsidRPr="00EE5714" w:rsidRDefault="00F303E0" w:rsidP="00406D0A">
            <w:pPr>
              <w:contextualSpacing/>
              <w:jc w:val="center"/>
              <w:rPr>
                <w:rFonts w:ascii="Calibri" w:eastAsia="Calibri" w:hAnsi="Calibri" w:cs="Calibri"/>
                <w:szCs w:val="24"/>
              </w:rPr>
            </w:pPr>
            <w:r w:rsidRPr="00EE5714">
              <w:rPr>
                <w:sz w:val="20"/>
                <w:szCs w:val="20"/>
              </w:rPr>
              <w:t>$79,992</w:t>
            </w:r>
          </w:p>
        </w:tc>
      </w:tr>
    </w:tbl>
    <w:p w14:paraId="6B29CA8D" w14:textId="77777777" w:rsidR="00F303E0" w:rsidRPr="00EE5714" w:rsidRDefault="00F303E0" w:rsidP="00406D0A">
      <w:pPr>
        <w:spacing w:after="0" w:line="240" w:lineRule="auto"/>
        <w:ind w:left="720"/>
        <w:contextualSpacing/>
        <w:rPr>
          <w:rFonts w:ascii="Times New Roman" w:eastAsia="Calibri" w:hAnsi="Times New Roman" w:cs="Times New Roman"/>
          <w:sz w:val="26"/>
          <w:szCs w:val="26"/>
        </w:rPr>
      </w:pPr>
    </w:p>
    <w:p w14:paraId="3D4C66CE"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Ohio:</w:t>
      </w:r>
    </w:p>
    <w:p w14:paraId="3710AFBF"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rPr>
      </w:pPr>
    </w:p>
    <w:p w14:paraId="16331419" w14:textId="77777777" w:rsidR="00F303E0" w:rsidRPr="00EE5714" w:rsidRDefault="00F303E0" w:rsidP="00406D0A">
      <w:pPr>
        <w:spacing w:after="0" w:line="240" w:lineRule="auto"/>
        <w:ind w:left="720" w:right="448"/>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PIPP Plus eligibility - The customer must be at or below 150% of the FPIG and have an active account with a regulated utility.</w:t>
      </w:r>
    </w:p>
    <w:p w14:paraId="4096B12A" w14:textId="77777777" w:rsidR="00F303E0" w:rsidRPr="00EE5714" w:rsidRDefault="00F303E0" w:rsidP="00406D0A">
      <w:pPr>
        <w:autoSpaceDE w:val="0"/>
        <w:autoSpaceDN w:val="0"/>
        <w:spacing w:after="0" w:line="240" w:lineRule="auto"/>
        <w:ind w:left="554"/>
        <w:contextualSpacing/>
        <w:rPr>
          <w:rFonts w:ascii="Times New Roman" w:eastAsia="Arial" w:hAnsi="Times New Roman" w:cs="Times New Roman"/>
          <w:sz w:val="26"/>
          <w:szCs w:val="26"/>
        </w:rPr>
      </w:pPr>
    </w:p>
    <w:p w14:paraId="701766EE"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lastRenderedPageBreak/>
        <w:t>Graduate PIPP Plus eligibility - The customer may elect to enroll on graduate PIPP Plus, or the customer must be income-ineligible for PIPP Plus.  The customer must be current with all PIPP Plus payments.</w:t>
      </w:r>
    </w:p>
    <w:p w14:paraId="4CD4AE06" w14:textId="77777777" w:rsidR="00F303E0" w:rsidRPr="00EE5714" w:rsidRDefault="00F303E0" w:rsidP="00406D0A">
      <w:pPr>
        <w:autoSpaceDE w:val="0"/>
        <w:autoSpaceDN w:val="0"/>
        <w:spacing w:after="0" w:line="240" w:lineRule="auto"/>
        <w:ind w:left="554"/>
        <w:contextualSpacing/>
        <w:rPr>
          <w:rFonts w:ascii="Times New Roman" w:eastAsia="Arial" w:hAnsi="Times New Roman" w:cs="Times New Roman"/>
          <w:sz w:val="26"/>
          <w:szCs w:val="26"/>
        </w:rPr>
      </w:pPr>
    </w:p>
    <w:p w14:paraId="1624F5DF" w14:textId="77777777" w:rsidR="00F303E0" w:rsidRPr="00EE5714" w:rsidRDefault="00F303E0" w:rsidP="00406D0A">
      <w:pPr>
        <w:spacing w:after="0" w:line="240" w:lineRule="auto"/>
        <w:ind w:left="720" w:right="992"/>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Post PIPP</w:t>
      </w:r>
      <w:r w:rsidR="007718EC" w:rsidRPr="00EE5714">
        <w:rPr>
          <w:rFonts w:ascii="Times New Roman" w:eastAsia="Calibri" w:hAnsi="Times New Roman" w:cs="Times New Roman"/>
          <w:sz w:val="26"/>
          <w:szCs w:val="26"/>
        </w:rPr>
        <w:t xml:space="preserve"> eligibility - </w:t>
      </w:r>
      <w:r w:rsidRPr="00EE5714">
        <w:rPr>
          <w:rFonts w:ascii="Times New Roman" w:eastAsia="Calibri" w:hAnsi="Times New Roman" w:cs="Times New Roman"/>
          <w:sz w:val="26"/>
          <w:szCs w:val="26"/>
        </w:rPr>
        <w:t>Plus-PIPP Plus or Graduate PIPP customers who contact the utility to close their account for the following reason(s):</w:t>
      </w:r>
    </w:p>
    <w:p w14:paraId="22F92FC0" w14:textId="77777777" w:rsidR="00F303E0" w:rsidRPr="00EE5714" w:rsidRDefault="00F303E0" w:rsidP="00406D0A">
      <w:pPr>
        <w:autoSpaceDE w:val="0"/>
        <w:autoSpaceDN w:val="0"/>
        <w:spacing w:after="0" w:line="240" w:lineRule="auto"/>
        <w:ind w:left="554"/>
        <w:contextualSpacing/>
        <w:rPr>
          <w:rFonts w:ascii="Times New Roman" w:eastAsia="Arial" w:hAnsi="Times New Roman" w:cs="Times New Roman"/>
          <w:sz w:val="26"/>
          <w:szCs w:val="26"/>
        </w:rPr>
      </w:pPr>
    </w:p>
    <w:p w14:paraId="4CA99405" w14:textId="77777777" w:rsidR="00F303E0" w:rsidRPr="00EE5714" w:rsidRDefault="00F303E0" w:rsidP="007D5276">
      <w:pPr>
        <w:numPr>
          <w:ilvl w:val="0"/>
          <w:numId w:val="20"/>
        </w:numPr>
        <w:tabs>
          <w:tab w:val="left" w:pos="372"/>
        </w:tabs>
        <w:autoSpaceDE w:val="0"/>
        <w:autoSpaceDN w:val="0"/>
        <w:spacing w:after="0" w:line="240" w:lineRule="auto"/>
        <w:ind w:left="113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xml:space="preserve"> Moving beyond the utility companies service</w:t>
      </w:r>
      <w:r w:rsidRPr="00EE5714">
        <w:rPr>
          <w:rFonts w:ascii="Times New Roman" w:eastAsia="Times New Roman" w:hAnsi="Times New Roman" w:cs="Times New Roman"/>
          <w:spacing w:val="7"/>
          <w:sz w:val="26"/>
          <w:szCs w:val="26"/>
        </w:rPr>
        <w:t xml:space="preserve"> </w:t>
      </w:r>
      <w:r w:rsidRPr="00EE5714">
        <w:rPr>
          <w:rFonts w:ascii="Times New Roman" w:eastAsia="Times New Roman" w:hAnsi="Times New Roman" w:cs="Times New Roman"/>
          <w:sz w:val="26"/>
          <w:szCs w:val="26"/>
        </w:rPr>
        <w:t>territory.</w:t>
      </w:r>
    </w:p>
    <w:p w14:paraId="20A0514B" w14:textId="77777777" w:rsidR="00F303E0" w:rsidRPr="00EE5714" w:rsidRDefault="00F303E0" w:rsidP="007D5276">
      <w:pPr>
        <w:numPr>
          <w:ilvl w:val="0"/>
          <w:numId w:val="20"/>
        </w:numPr>
        <w:tabs>
          <w:tab w:val="left" w:pos="372"/>
        </w:tabs>
        <w:autoSpaceDE w:val="0"/>
        <w:autoSpaceDN w:val="0"/>
        <w:spacing w:after="0" w:line="240" w:lineRule="auto"/>
        <w:ind w:left="1130"/>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xml:space="preserve"> Transferring</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to</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a</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residence</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where</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utility</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service</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is</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not</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in</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the</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former</w:t>
      </w:r>
      <w:r w:rsidRPr="00EE5714">
        <w:rPr>
          <w:rFonts w:ascii="Times New Roman" w:eastAsia="Times New Roman" w:hAnsi="Times New Roman" w:cs="Times New Roman"/>
          <w:spacing w:val="2"/>
          <w:sz w:val="26"/>
          <w:szCs w:val="26"/>
        </w:rPr>
        <w:t xml:space="preserve"> </w:t>
      </w:r>
      <w:r w:rsidRPr="00EE5714">
        <w:rPr>
          <w:rFonts w:ascii="Times New Roman" w:eastAsia="Times New Roman" w:hAnsi="Times New Roman" w:cs="Times New Roman"/>
          <w:sz w:val="26"/>
          <w:szCs w:val="26"/>
        </w:rPr>
        <w:t>PIPP</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Plus</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or</w:t>
      </w:r>
      <w:r w:rsidRPr="00EE5714">
        <w:rPr>
          <w:rFonts w:ascii="Times New Roman" w:eastAsia="Times New Roman" w:hAnsi="Times New Roman" w:cs="Times New Roman"/>
          <w:spacing w:val="2"/>
          <w:sz w:val="26"/>
          <w:szCs w:val="26"/>
        </w:rPr>
        <w:t xml:space="preserve"> </w:t>
      </w:r>
      <w:r w:rsidRPr="00EE5714">
        <w:rPr>
          <w:rFonts w:ascii="Times New Roman" w:eastAsia="Times New Roman" w:hAnsi="Times New Roman" w:cs="Times New Roman"/>
          <w:sz w:val="26"/>
          <w:szCs w:val="26"/>
        </w:rPr>
        <w:t>Graduate</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PIPP</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Plus</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customer’s</w:t>
      </w:r>
      <w:r w:rsidRPr="00EE5714">
        <w:rPr>
          <w:rFonts w:ascii="Times New Roman" w:eastAsia="Times New Roman" w:hAnsi="Times New Roman" w:cs="Times New Roman"/>
          <w:spacing w:val="3"/>
          <w:sz w:val="26"/>
          <w:szCs w:val="26"/>
        </w:rPr>
        <w:t xml:space="preserve"> </w:t>
      </w:r>
      <w:r w:rsidRPr="00EE5714">
        <w:rPr>
          <w:rFonts w:ascii="Times New Roman" w:eastAsia="Times New Roman" w:hAnsi="Times New Roman" w:cs="Times New Roman"/>
          <w:sz w:val="26"/>
          <w:szCs w:val="26"/>
        </w:rPr>
        <w:t>name.</w:t>
      </w:r>
    </w:p>
    <w:p w14:paraId="415B7D0B" w14:textId="77777777" w:rsidR="00F303E0" w:rsidRPr="00EE5714" w:rsidRDefault="00F303E0" w:rsidP="007D5276">
      <w:pPr>
        <w:numPr>
          <w:ilvl w:val="0"/>
          <w:numId w:val="20"/>
        </w:numPr>
        <w:tabs>
          <w:tab w:val="left" w:pos="361"/>
        </w:tabs>
        <w:autoSpaceDE w:val="0"/>
        <w:autoSpaceDN w:val="0"/>
        <w:spacing w:after="0" w:line="240" w:lineRule="auto"/>
        <w:ind w:left="1119" w:hanging="194"/>
        <w:contextualSpacing/>
        <w:rPr>
          <w:rFonts w:ascii="Times New Roman" w:eastAsia="Times New Roman" w:hAnsi="Times New Roman" w:cs="Times New Roman"/>
          <w:sz w:val="26"/>
          <w:szCs w:val="26"/>
        </w:rPr>
      </w:pPr>
      <w:r w:rsidRPr="00EE5714">
        <w:rPr>
          <w:rFonts w:ascii="Times New Roman" w:eastAsia="Times New Roman" w:hAnsi="Times New Roman" w:cs="Times New Roman"/>
          <w:sz w:val="26"/>
          <w:szCs w:val="26"/>
        </w:rPr>
        <w:t xml:space="preserve"> Moving to a master-metered</w:t>
      </w:r>
      <w:r w:rsidRPr="00EE5714">
        <w:rPr>
          <w:rFonts w:ascii="Times New Roman" w:eastAsia="Times New Roman" w:hAnsi="Times New Roman" w:cs="Times New Roman"/>
          <w:spacing w:val="5"/>
          <w:sz w:val="26"/>
          <w:szCs w:val="26"/>
        </w:rPr>
        <w:t xml:space="preserve"> </w:t>
      </w:r>
      <w:r w:rsidRPr="00EE5714">
        <w:rPr>
          <w:rFonts w:ascii="Times New Roman" w:eastAsia="Times New Roman" w:hAnsi="Times New Roman" w:cs="Times New Roman"/>
          <w:sz w:val="26"/>
          <w:szCs w:val="26"/>
        </w:rPr>
        <w:t>residence.</w:t>
      </w:r>
    </w:p>
    <w:p w14:paraId="6DD8DDD1"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33C29E6D"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4C448D0B" w14:textId="77777777" w:rsidR="00F303E0" w:rsidRPr="00EE5714" w:rsidRDefault="00F303E0" w:rsidP="00DB3C41">
      <w:pPr>
        <w:keepNext/>
        <w:keepLines/>
        <w:autoSpaceDE w:val="0"/>
        <w:autoSpaceDN w:val="0"/>
        <w:spacing w:after="0" w:line="240" w:lineRule="auto"/>
        <w:ind w:left="166"/>
        <w:contextualSpacing/>
        <w:rPr>
          <w:rFonts w:ascii="Times New Roman" w:eastAsia="Arial" w:hAnsi="Times New Roman" w:cs="Times New Roman"/>
          <w:b/>
          <w:i/>
          <w:sz w:val="26"/>
          <w:szCs w:val="26"/>
        </w:rPr>
      </w:pPr>
      <w:r w:rsidRPr="00EE5714">
        <w:rPr>
          <w:rFonts w:ascii="Times New Roman" w:eastAsia="Arial" w:hAnsi="Times New Roman" w:cs="Times New Roman"/>
          <w:b/>
          <w:i/>
          <w:sz w:val="26"/>
          <w:szCs w:val="26"/>
        </w:rPr>
        <w:t>Question 8:  How is your CAP program funded (i.e., through LIHEAP, residential rates, commercial rates, industrial rates, etc.)?</w:t>
      </w:r>
    </w:p>
    <w:p w14:paraId="7CE3C9D7" w14:textId="77777777" w:rsidR="00F303E0" w:rsidRPr="00EE5714" w:rsidRDefault="00F303E0" w:rsidP="00DB3C41">
      <w:pPr>
        <w:keepNext/>
        <w:keepLines/>
        <w:tabs>
          <w:tab w:val="left" w:pos="3489"/>
        </w:tabs>
        <w:spacing w:after="0" w:line="240" w:lineRule="auto"/>
        <w:contextualSpacing/>
        <w:rPr>
          <w:rFonts w:ascii="Times New Roman" w:eastAsia="Calibri" w:hAnsi="Times New Roman" w:cs="Times New Roman"/>
          <w:b/>
          <w:i/>
          <w:sz w:val="26"/>
          <w:szCs w:val="26"/>
        </w:rPr>
      </w:pPr>
    </w:p>
    <w:p w14:paraId="49C33E0F" w14:textId="77777777" w:rsidR="00F303E0" w:rsidRPr="00EE5714" w:rsidRDefault="00F303E0" w:rsidP="00DB3C41">
      <w:pPr>
        <w:keepNext/>
        <w:keepLines/>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New Hampshire:</w:t>
      </w:r>
    </w:p>
    <w:p w14:paraId="62309027"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p>
    <w:p w14:paraId="7C1705AD" w14:textId="77777777" w:rsidR="00F303E0" w:rsidRPr="00EE5714" w:rsidRDefault="00F303E0" w:rsidP="00406D0A">
      <w:pPr>
        <w:spacing w:after="0" w:line="240" w:lineRule="auto"/>
        <w:ind w:left="720" w:right="354"/>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The EAP is funded through a per kWh system benefits charge on all electric bills, both residential and commercial.  The gas low-income program is funded through a component of the local distribution adjustment clause (LDAC) assessed to all customer classes.</w:t>
      </w:r>
    </w:p>
    <w:p w14:paraId="1A41B210" w14:textId="77777777" w:rsidR="00F303E0" w:rsidRPr="00EE5714" w:rsidRDefault="00F303E0" w:rsidP="00406D0A">
      <w:pPr>
        <w:spacing w:after="0" w:line="240" w:lineRule="auto"/>
        <w:ind w:right="354"/>
        <w:contextualSpacing/>
        <w:rPr>
          <w:rFonts w:ascii="Times New Roman" w:eastAsia="Calibri" w:hAnsi="Times New Roman" w:cs="Times New Roman"/>
          <w:sz w:val="26"/>
          <w:szCs w:val="26"/>
        </w:rPr>
      </w:pPr>
    </w:p>
    <w:p w14:paraId="6558DF29"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Ohio:</w:t>
      </w:r>
    </w:p>
    <w:p w14:paraId="1D760F73"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553B634D" w14:textId="77777777" w:rsidR="00F303E0" w:rsidRPr="00EE5714" w:rsidRDefault="00F303E0" w:rsidP="00406D0A">
      <w:pPr>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PIPP Plus is funded through all ratepayers based on kWh or Mcf.</w:t>
      </w:r>
    </w:p>
    <w:p w14:paraId="625D6779" w14:textId="77777777" w:rsidR="00F303E0" w:rsidRPr="00EE5714" w:rsidRDefault="00F303E0" w:rsidP="0090396A">
      <w:pPr>
        <w:spacing w:after="0" w:line="240" w:lineRule="auto"/>
        <w:contextualSpacing/>
        <w:rPr>
          <w:rFonts w:ascii="Times New Roman" w:eastAsia="Calibri" w:hAnsi="Times New Roman" w:cs="Times New Roman"/>
          <w:sz w:val="26"/>
          <w:szCs w:val="26"/>
        </w:rPr>
      </w:pPr>
    </w:p>
    <w:p w14:paraId="34577961"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1AD851B6" w14:textId="77777777" w:rsidR="00F303E0" w:rsidRPr="00EE5714" w:rsidRDefault="00F303E0" w:rsidP="00406D0A">
      <w:pPr>
        <w:keepNext/>
        <w:autoSpaceDE w:val="0"/>
        <w:autoSpaceDN w:val="0"/>
        <w:spacing w:after="0" w:line="240" w:lineRule="auto"/>
        <w:contextualSpacing/>
        <w:rPr>
          <w:rFonts w:ascii="Times New Roman" w:eastAsia="Arial" w:hAnsi="Times New Roman" w:cs="Times New Roman"/>
          <w:b/>
          <w:i/>
          <w:sz w:val="26"/>
          <w:szCs w:val="26"/>
        </w:rPr>
      </w:pPr>
      <w:r w:rsidRPr="00EE5714">
        <w:rPr>
          <w:rFonts w:ascii="Times New Roman" w:eastAsia="Arial" w:hAnsi="Times New Roman" w:cs="Times New Roman"/>
          <w:b/>
          <w:i/>
          <w:sz w:val="26"/>
          <w:szCs w:val="26"/>
        </w:rPr>
        <w:t>Question 9: What is the total CAP program cost for your state for 2012-2016?</w:t>
      </w:r>
    </w:p>
    <w:p w14:paraId="77C373ED"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rPr>
      </w:pPr>
    </w:p>
    <w:p w14:paraId="20434FDF"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New Hampshire:</w:t>
      </w:r>
    </w:p>
    <w:p w14:paraId="515BF2C1"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u w:val="single"/>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87"/>
        <w:gridCol w:w="5040"/>
      </w:tblGrid>
      <w:tr w:rsidR="00F303E0" w:rsidRPr="00EE5714" w14:paraId="67041511" w14:textId="77777777" w:rsidTr="00851815">
        <w:trPr>
          <w:trHeight w:val="295"/>
        </w:trPr>
        <w:tc>
          <w:tcPr>
            <w:tcW w:w="1487" w:type="dxa"/>
            <w:vAlign w:val="center"/>
          </w:tcPr>
          <w:p w14:paraId="4F7CC0A9" w14:textId="77777777" w:rsidR="00F303E0" w:rsidRPr="00EE5714" w:rsidRDefault="00F303E0" w:rsidP="00406D0A">
            <w:pPr>
              <w:spacing w:after="0" w:line="240" w:lineRule="auto"/>
              <w:contextualSpacing/>
              <w:jc w:val="center"/>
              <w:rPr>
                <w:rFonts w:ascii="Calibri" w:eastAsia="Calibri" w:hAnsi="Calibri" w:cs="Calibri"/>
                <w:szCs w:val="24"/>
              </w:rPr>
            </w:pPr>
            <w:r w:rsidRPr="00EE5714">
              <w:rPr>
                <w:rFonts w:ascii="Calibri" w:eastAsia="Calibri" w:hAnsi="Calibri" w:cs="Calibri"/>
                <w:szCs w:val="24"/>
              </w:rPr>
              <w:t>Year</w:t>
            </w:r>
          </w:p>
        </w:tc>
        <w:tc>
          <w:tcPr>
            <w:tcW w:w="5040" w:type="dxa"/>
          </w:tcPr>
          <w:p w14:paraId="7FF7F878" w14:textId="77777777" w:rsidR="00F303E0" w:rsidRPr="00EE5714" w:rsidRDefault="00F303E0" w:rsidP="00406D0A">
            <w:pPr>
              <w:spacing w:after="0" w:line="240" w:lineRule="auto"/>
              <w:contextualSpacing/>
              <w:jc w:val="center"/>
              <w:rPr>
                <w:rFonts w:ascii="Calibri" w:eastAsia="Calibri" w:hAnsi="Calibri" w:cs="Calibri"/>
                <w:szCs w:val="24"/>
              </w:rPr>
            </w:pPr>
            <w:r w:rsidRPr="00EE5714">
              <w:rPr>
                <w:rFonts w:ascii="Calibri" w:eastAsia="Calibri" w:hAnsi="Calibri" w:cs="Calibri"/>
                <w:szCs w:val="24"/>
              </w:rPr>
              <w:t>CAP Cost</w:t>
            </w:r>
          </w:p>
        </w:tc>
      </w:tr>
      <w:tr w:rsidR="00F303E0" w:rsidRPr="00EE5714" w14:paraId="21EE5209" w14:textId="77777777" w:rsidTr="00851815">
        <w:trPr>
          <w:trHeight w:val="295"/>
        </w:trPr>
        <w:tc>
          <w:tcPr>
            <w:tcW w:w="1487" w:type="dxa"/>
            <w:vAlign w:val="center"/>
          </w:tcPr>
          <w:p w14:paraId="22A92896" w14:textId="77777777" w:rsidR="00F303E0" w:rsidRPr="00EE5714" w:rsidRDefault="00F303E0" w:rsidP="00406D0A">
            <w:pPr>
              <w:spacing w:after="0" w:line="240" w:lineRule="auto"/>
              <w:contextualSpacing/>
              <w:jc w:val="center"/>
              <w:rPr>
                <w:rFonts w:ascii="Calibri" w:eastAsia="Calibri" w:hAnsi="Calibri" w:cs="Calibri"/>
                <w:szCs w:val="24"/>
              </w:rPr>
            </w:pPr>
            <w:r w:rsidRPr="00EE5714">
              <w:rPr>
                <w:rFonts w:ascii="Calibri" w:eastAsia="Calibri" w:hAnsi="Calibri" w:cs="Calibri"/>
                <w:szCs w:val="24"/>
              </w:rPr>
              <w:t>2012</w:t>
            </w:r>
          </w:p>
        </w:tc>
        <w:tc>
          <w:tcPr>
            <w:tcW w:w="5040" w:type="dxa"/>
          </w:tcPr>
          <w:p w14:paraId="4E86BC30" w14:textId="77777777" w:rsidR="00F303E0" w:rsidRPr="00EE5714" w:rsidRDefault="00F303E0" w:rsidP="00406D0A">
            <w:pPr>
              <w:spacing w:after="0" w:line="240" w:lineRule="auto"/>
              <w:contextualSpacing/>
              <w:rPr>
                <w:rFonts w:ascii="Calibri" w:eastAsia="Calibri" w:hAnsi="Calibri" w:cs="Calibri"/>
                <w:szCs w:val="24"/>
              </w:rPr>
            </w:pPr>
            <w:r w:rsidRPr="00EE5714">
              <w:rPr>
                <w:rFonts w:ascii="Calibri" w:eastAsia="Calibri" w:hAnsi="Calibri" w:cs="Calibri"/>
                <w:szCs w:val="24"/>
              </w:rPr>
              <w:t xml:space="preserve">$16,227,754 (10/1/2012 through </w:t>
            </w:r>
            <w:r w:rsidRPr="00EE5714">
              <w:rPr>
                <w:rFonts w:ascii="Calibri" w:eastAsia="Calibri" w:hAnsi="Calibri" w:cs="Calibri"/>
                <w:spacing w:val="5"/>
                <w:szCs w:val="24"/>
              </w:rPr>
              <w:t>9</w:t>
            </w:r>
            <w:r w:rsidRPr="00EE5714">
              <w:rPr>
                <w:rFonts w:ascii="Calibri" w:eastAsia="Calibri" w:hAnsi="Calibri" w:cs="Calibri"/>
                <w:szCs w:val="24"/>
              </w:rPr>
              <w:t>/30/2013)</w:t>
            </w:r>
          </w:p>
        </w:tc>
      </w:tr>
      <w:tr w:rsidR="00F303E0" w:rsidRPr="00EE5714" w14:paraId="10AB79CC" w14:textId="77777777" w:rsidTr="00851815">
        <w:trPr>
          <w:trHeight w:val="295"/>
        </w:trPr>
        <w:tc>
          <w:tcPr>
            <w:tcW w:w="1487" w:type="dxa"/>
            <w:vAlign w:val="center"/>
          </w:tcPr>
          <w:p w14:paraId="4ECDD984" w14:textId="77777777" w:rsidR="00F303E0" w:rsidRPr="00EE5714" w:rsidRDefault="00F303E0" w:rsidP="00406D0A">
            <w:pPr>
              <w:spacing w:after="0" w:line="240" w:lineRule="auto"/>
              <w:contextualSpacing/>
              <w:jc w:val="center"/>
              <w:rPr>
                <w:rFonts w:ascii="Calibri" w:eastAsia="Calibri" w:hAnsi="Calibri" w:cs="Calibri"/>
                <w:szCs w:val="24"/>
              </w:rPr>
            </w:pPr>
            <w:r w:rsidRPr="00EE5714">
              <w:rPr>
                <w:rFonts w:ascii="Calibri" w:eastAsia="Calibri" w:hAnsi="Calibri" w:cs="Calibri"/>
                <w:szCs w:val="24"/>
              </w:rPr>
              <w:t>2013</w:t>
            </w:r>
          </w:p>
        </w:tc>
        <w:tc>
          <w:tcPr>
            <w:tcW w:w="5040" w:type="dxa"/>
          </w:tcPr>
          <w:p w14:paraId="4A1E8A46" w14:textId="77777777" w:rsidR="00F303E0" w:rsidRPr="00EE5714" w:rsidRDefault="00F303E0" w:rsidP="00406D0A">
            <w:pPr>
              <w:spacing w:after="0" w:line="240" w:lineRule="auto"/>
              <w:contextualSpacing/>
              <w:rPr>
                <w:rFonts w:ascii="Calibri" w:eastAsia="Calibri" w:hAnsi="Calibri" w:cs="Calibri"/>
                <w:szCs w:val="24"/>
              </w:rPr>
            </w:pPr>
            <w:r w:rsidRPr="00EE5714">
              <w:rPr>
                <w:rFonts w:ascii="Calibri" w:eastAsia="Calibri" w:hAnsi="Calibri" w:cs="Calibri"/>
                <w:szCs w:val="24"/>
              </w:rPr>
              <w:t xml:space="preserve">$16,213,338 (10/1/2013 through </w:t>
            </w:r>
            <w:r w:rsidRPr="00EE5714">
              <w:rPr>
                <w:rFonts w:ascii="Calibri" w:eastAsia="Calibri" w:hAnsi="Calibri" w:cs="Calibri"/>
                <w:spacing w:val="5"/>
                <w:szCs w:val="24"/>
              </w:rPr>
              <w:t>9</w:t>
            </w:r>
            <w:r w:rsidRPr="00EE5714">
              <w:rPr>
                <w:rFonts w:ascii="Calibri" w:eastAsia="Calibri" w:hAnsi="Calibri" w:cs="Calibri"/>
                <w:szCs w:val="24"/>
              </w:rPr>
              <w:t>/30/2014)</w:t>
            </w:r>
          </w:p>
        </w:tc>
      </w:tr>
      <w:tr w:rsidR="00F303E0" w:rsidRPr="00EE5714" w14:paraId="6739B35D" w14:textId="77777777" w:rsidTr="00851815">
        <w:trPr>
          <w:trHeight w:val="296"/>
        </w:trPr>
        <w:tc>
          <w:tcPr>
            <w:tcW w:w="1487" w:type="dxa"/>
            <w:vAlign w:val="center"/>
          </w:tcPr>
          <w:p w14:paraId="1D6C3CD6" w14:textId="77777777" w:rsidR="00F303E0" w:rsidRPr="00EE5714" w:rsidRDefault="00F303E0" w:rsidP="00406D0A">
            <w:pPr>
              <w:spacing w:after="0" w:line="240" w:lineRule="auto"/>
              <w:contextualSpacing/>
              <w:jc w:val="center"/>
              <w:rPr>
                <w:rFonts w:ascii="Calibri" w:eastAsia="Calibri" w:hAnsi="Calibri" w:cs="Calibri"/>
                <w:szCs w:val="24"/>
              </w:rPr>
            </w:pPr>
            <w:r w:rsidRPr="00EE5714">
              <w:rPr>
                <w:rFonts w:ascii="Calibri" w:eastAsia="Calibri" w:hAnsi="Calibri" w:cs="Calibri"/>
                <w:szCs w:val="24"/>
              </w:rPr>
              <w:t>2014</w:t>
            </w:r>
          </w:p>
        </w:tc>
        <w:tc>
          <w:tcPr>
            <w:tcW w:w="5040" w:type="dxa"/>
          </w:tcPr>
          <w:p w14:paraId="5C669A48" w14:textId="77777777" w:rsidR="00F303E0" w:rsidRPr="00EE5714" w:rsidRDefault="00F303E0" w:rsidP="00406D0A">
            <w:pPr>
              <w:spacing w:after="0" w:line="240" w:lineRule="auto"/>
              <w:contextualSpacing/>
              <w:rPr>
                <w:rFonts w:ascii="Calibri" w:eastAsia="Calibri" w:hAnsi="Calibri" w:cs="Calibri"/>
                <w:szCs w:val="24"/>
              </w:rPr>
            </w:pPr>
            <w:r w:rsidRPr="00EE5714">
              <w:rPr>
                <w:rFonts w:ascii="Calibri" w:eastAsia="Calibri" w:hAnsi="Calibri" w:cs="Calibri"/>
                <w:szCs w:val="24"/>
              </w:rPr>
              <w:t xml:space="preserve">$16,351,717 (10/1/2014 through </w:t>
            </w:r>
            <w:r w:rsidRPr="00EE5714">
              <w:rPr>
                <w:rFonts w:ascii="Calibri" w:eastAsia="Calibri" w:hAnsi="Calibri" w:cs="Calibri"/>
                <w:spacing w:val="5"/>
                <w:szCs w:val="24"/>
              </w:rPr>
              <w:t>9</w:t>
            </w:r>
            <w:r w:rsidRPr="00EE5714">
              <w:rPr>
                <w:rFonts w:ascii="Calibri" w:eastAsia="Calibri" w:hAnsi="Calibri" w:cs="Calibri"/>
                <w:szCs w:val="24"/>
              </w:rPr>
              <w:t>/30/2015)</w:t>
            </w:r>
          </w:p>
        </w:tc>
      </w:tr>
      <w:tr w:rsidR="00F303E0" w:rsidRPr="00EE5714" w14:paraId="79843110" w14:textId="77777777" w:rsidTr="00851815">
        <w:trPr>
          <w:trHeight w:val="269"/>
        </w:trPr>
        <w:tc>
          <w:tcPr>
            <w:tcW w:w="1487" w:type="dxa"/>
            <w:vAlign w:val="center"/>
          </w:tcPr>
          <w:p w14:paraId="2BA2F69D" w14:textId="77777777" w:rsidR="00F303E0" w:rsidRPr="00EE5714" w:rsidRDefault="00F303E0" w:rsidP="00406D0A">
            <w:pPr>
              <w:spacing w:after="0" w:line="240" w:lineRule="auto"/>
              <w:contextualSpacing/>
              <w:jc w:val="center"/>
              <w:rPr>
                <w:rFonts w:ascii="Calibri" w:eastAsia="Calibri" w:hAnsi="Calibri" w:cs="Calibri"/>
                <w:szCs w:val="24"/>
              </w:rPr>
            </w:pPr>
            <w:r w:rsidRPr="00EE5714">
              <w:rPr>
                <w:rFonts w:ascii="Calibri" w:eastAsia="Calibri" w:hAnsi="Calibri" w:cs="Calibri"/>
                <w:szCs w:val="24"/>
              </w:rPr>
              <w:t>2015</w:t>
            </w:r>
          </w:p>
        </w:tc>
        <w:tc>
          <w:tcPr>
            <w:tcW w:w="5040" w:type="dxa"/>
          </w:tcPr>
          <w:p w14:paraId="25DBBA3B" w14:textId="77777777" w:rsidR="00F303E0" w:rsidRPr="00EE5714" w:rsidRDefault="00F303E0" w:rsidP="00406D0A">
            <w:pPr>
              <w:spacing w:after="0" w:line="240" w:lineRule="auto"/>
              <w:contextualSpacing/>
              <w:rPr>
                <w:rFonts w:ascii="Calibri" w:eastAsia="Calibri" w:hAnsi="Calibri" w:cs="Calibri"/>
                <w:szCs w:val="24"/>
              </w:rPr>
            </w:pPr>
            <w:r w:rsidRPr="00EE5714">
              <w:rPr>
                <w:rFonts w:ascii="Calibri" w:eastAsia="Calibri" w:hAnsi="Calibri" w:cs="Calibri"/>
                <w:szCs w:val="24"/>
              </w:rPr>
              <w:t xml:space="preserve">$16,057,192 (10/1/2015 through </w:t>
            </w:r>
            <w:r w:rsidRPr="00EE5714">
              <w:rPr>
                <w:rFonts w:ascii="Calibri" w:eastAsia="Calibri" w:hAnsi="Calibri" w:cs="Calibri"/>
                <w:spacing w:val="5"/>
                <w:szCs w:val="24"/>
              </w:rPr>
              <w:t>9</w:t>
            </w:r>
            <w:r w:rsidRPr="00EE5714">
              <w:rPr>
                <w:rFonts w:ascii="Calibri" w:eastAsia="Calibri" w:hAnsi="Calibri" w:cs="Calibri"/>
                <w:szCs w:val="24"/>
              </w:rPr>
              <w:t>/30/2016)</w:t>
            </w:r>
          </w:p>
        </w:tc>
      </w:tr>
      <w:tr w:rsidR="00F303E0" w:rsidRPr="00EE5714" w14:paraId="2395FA91" w14:textId="77777777" w:rsidTr="00851815">
        <w:trPr>
          <w:trHeight w:val="295"/>
        </w:trPr>
        <w:tc>
          <w:tcPr>
            <w:tcW w:w="1487" w:type="dxa"/>
            <w:vAlign w:val="center"/>
          </w:tcPr>
          <w:p w14:paraId="5F5B2587" w14:textId="77777777" w:rsidR="00F303E0" w:rsidRPr="00EE5714" w:rsidRDefault="00F303E0" w:rsidP="00406D0A">
            <w:pPr>
              <w:spacing w:after="0" w:line="240" w:lineRule="auto"/>
              <w:contextualSpacing/>
              <w:jc w:val="center"/>
              <w:rPr>
                <w:rFonts w:ascii="Calibri" w:eastAsia="Calibri" w:hAnsi="Calibri" w:cs="Calibri"/>
                <w:szCs w:val="24"/>
              </w:rPr>
            </w:pPr>
            <w:r w:rsidRPr="00EE5714">
              <w:rPr>
                <w:rFonts w:ascii="Calibri" w:eastAsia="Calibri" w:hAnsi="Calibri" w:cs="Calibri"/>
                <w:szCs w:val="24"/>
              </w:rPr>
              <w:t>2016</w:t>
            </w:r>
          </w:p>
        </w:tc>
        <w:tc>
          <w:tcPr>
            <w:tcW w:w="5040" w:type="dxa"/>
          </w:tcPr>
          <w:p w14:paraId="46BB897A" w14:textId="77777777" w:rsidR="00F303E0" w:rsidRPr="00EE5714" w:rsidRDefault="00F303E0" w:rsidP="00406D0A">
            <w:pPr>
              <w:spacing w:after="0" w:line="240" w:lineRule="auto"/>
              <w:contextualSpacing/>
              <w:rPr>
                <w:rFonts w:ascii="Calibri" w:eastAsia="Calibri" w:hAnsi="Calibri" w:cs="Calibri"/>
                <w:szCs w:val="24"/>
              </w:rPr>
            </w:pPr>
            <w:r w:rsidRPr="00EE5714">
              <w:rPr>
                <w:rFonts w:ascii="Calibri" w:eastAsia="Calibri" w:hAnsi="Calibri" w:cs="Calibri"/>
                <w:szCs w:val="24"/>
              </w:rPr>
              <w:t>$15,797,509 (10/1/2016 through</w:t>
            </w:r>
            <w:r w:rsidRPr="00EE5714">
              <w:rPr>
                <w:rFonts w:ascii="Calibri" w:eastAsia="Calibri" w:hAnsi="Calibri" w:cs="Calibri"/>
                <w:spacing w:val="10"/>
                <w:szCs w:val="24"/>
              </w:rPr>
              <w:t xml:space="preserve"> </w:t>
            </w:r>
            <w:r w:rsidRPr="00EE5714">
              <w:rPr>
                <w:rFonts w:ascii="Calibri" w:eastAsia="Calibri" w:hAnsi="Calibri" w:cs="Calibri"/>
                <w:szCs w:val="24"/>
              </w:rPr>
              <w:t>9/30/2017)</w:t>
            </w:r>
          </w:p>
        </w:tc>
      </w:tr>
    </w:tbl>
    <w:p w14:paraId="4BBA6012"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p>
    <w:p w14:paraId="480472BF" w14:textId="77777777" w:rsidR="00495671" w:rsidRPr="00EE5714" w:rsidRDefault="00495671" w:rsidP="00406D0A">
      <w:pPr>
        <w:tabs>
          <w:tab w:val="left" w:pos="3489"/>
        </w:tabs>
        <w:spacing w:after="0" w:line="240" w:lineRule="auto"/>
        <w:contextualSpacing/>
        <w:rPr>
          <w:rFonts w:ascii="Times New Roman" w:eastAsia="Calibri" w:hAnsi="Times New Roman" w:cs="Times New Roman"/>
          <w:sz w:val="26"/>
          <w:szCs w:val="26"/>
          <w:u w:val="single"/>
        </w:rPr>
      </w:pPr>
    </w:p>
    <w:p w14:paraId="6DB2EBEA"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b/>
          <w:i/>
          <w:sz w:val="26"/>
          <w:szCs w:val="26"/>
        </w:rPr>
      </w:pPr>
      <w:r w:rsidRPr="00EE5714">
        <w:rPr>
          <w:rFonts w:ascii="Times New Roman" w:eastAsia="Calibri" w:hAnsi="Times New Roman" w:cs="Times New Roman"/>
          <w:b/>
          <w:i/>
          <w:sz w:val="26"/>
          <w:szCs w:val="26"/>
        </w:rPr>
        <w:t>Question 10: If funded through residential rates, for each of the past five years (2012-2016), what is the average spending/cost per residential customer in your state to support the CAP</w:t>
      </w:r>
      <w:r w:rsidRPr="00EE5714">
        <w:rPr>
          <w:rFonts w:ascii="Times New Roman" w:eastAsia="Calibri" w:hAnsi="Times New Roman" w:cs="Times New Roman"/>
          <w:b/>
          <w:i/>
          <w:spacing w:val="3"/>
          <w:sz w:val="26"/>
          <w:szCs w:val="26"/>
        </w:rPr>
        <w:t xml:space="preserve"> </w:t>
      </w:r>
      <w:r w:rsidRPr="00EE5714">
        <w:rPr>
          <w:rFonts w:ascii="Times New Roman" w:eastAsia="Calibri" w:hAnsi="Times New Roman" w:cs="Times New Roman"/>
          <w:b/>
          <w:i/>
          <w:sz w:val="26"/>
          <w:szCs w:val="26"/>
        </w:rPr>
        <w:t>program?</w:t>
      </w:r>
    </w:p>
    <w:p w14:paraId="04116ABF"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b/>
          <w:i/>
          <w:sz w:val="26"/>
          <w:szCs w:val="26"/>
        </w:rPr>
      </w:pPr>
    </w:p>
    <w:p w14:paraId="2B38C2E2"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New Hampshire:</w:t>
      </w:r>
    </w:p>
    <w:p w14:paraId="3B9912FF"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u w:val="single"/>
        </w:rPr>
      </w:pP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86"/>
        <w:gridCol w:w="3780"/>
      </w:tblGrid>
      <w:tr w:rsidR="00F303E0" w:rsidRPr="00EE5714" w14:paraId="52B51990" w14:textId="77777777" w:rsidTr="00851815">
        <w:trPr>
          <w:trHeight w:val="295"/>
        </w:trPr>
        <w:tc>
          <w:tcPr>
            <w:tcW w:w="786" w:type="dxa"/>
          </w:tcPr>
          <w:p w14:paraId="7A7A91A2" w14:textId="77777777" w:rsidR="00F303E0" w:rsidRPr="00EE5714" w:rsidRDefault="00F303E0" w:rsidP="00406D0A">
            <w:pPr>
              <w:autoSpaceDE w:val="0"/>
              <w:autoSpaceDN w:val="0"/>
              <w:spacing w:after="0" w:line="240" w:lineRule="auto"/>
              <w:ind w:left="50"/>
              <w:contextualSpacing/>
              <w:rPr>
                <w:rFonts w:ascii="Calibri" w:eastAsia="Arial" w:hAnsi="Calibri" w:cs="Calibri"/>
                <w:b/>
                <w:szCs w:val="24"/>
              </w:rPr>
            </w:pPr>
            <w:r w:rsidRPr="00EE5714">
              <w:rPr>
                <w:rFonts w:ascii="Calibri" w:eastAsia="Arial" w:hAnsi="Calibri" w:cs="Calibri"/>
                <w:b/>
                <w:szCs w:val="24"/>
              </w:rPr>
              <w:t>Year</w:t>
            </w:r>
          </w:p>
        </w:tc>
        <w:tc>
          <w:tcPr>
            <w:tcW w:w="3780" w:type="dxa"/>
            <w:vAlign w:val="center"/>
          </w:tcPr>
          <w:p w14:paraId="4B31DB41" w14:textId="77777777" w:rsidR="00F303E0" w:rsidRPr="00EE5714" w:rsidRDefault="00F303E0" w:rsidP="00406D0A">
            <w:pPr>
              <w:tabs>
                <w:tab w:val="left" w:pos="565"/>
                <w:tab w:val="right" w:pos="3293"/>
              </w:tabs>
              <w:autoSpaceDE w:val="0"/>
              <w:autoSpaceDN w:val="0"/>
              <w:spacing w:after="0" w:line="240" w:lineRule="auto"/>
              <w:ind w:right="47"/>
              <w:contextualSpacing/>
              <w:jc w:val="center"/>
              <w:rPr>
                <w:rFonts w:ascii="Calibri" w:eastAsia="Arial" w:hAnsi="Calibri" w:cs="Calibri"/>
                <w:b/>
                <w:szCs w:val="24"/>
              </w:rPr>
            </w:pPr>
            <w:r w:rsidRPr="00EE5714">
              <w:rPr>
                <w:rFonts w:ascii="Calibri" w:eastAsia="Arial" w:hAnsi="Calibri" w:cs="Calibri"/>
                <w:b/>
                <w:szCs w:val="24"/>
              </w:rPr>
              <w:t>CAP Cost per Residential Customer</w:t>
            </w:r>
          </w:p>
        </w:tc>
      </w:tr>
      <w:tr w:rsidR="00F303E0" w:rsidRPr="00EE5714" w14:paraId="6417B8FD" w14:textId="77777777" w:rsidTr="00851815">
        <w:trPr>
          <w:trHeight w:val="295"/>
        </w:trPr>
        <w:tc>
          <w:tcPr>
            <w:tcW w:w="786" w:type="dxa"/>
          </w:tcPr>
          <w:p w14:paraId="08A2980F" w14:textId="77777777" w:rsidR="00F303E0" w:rsidRPr="00EE5714" w:rsidRDefault="00F303E0" w:rsidP="00406D0A">
            <w:pPr>
              <w:autoSpaceDE w:val="0"/>
              <w:autoSpaceDN w:val="0"/>
              <w:spacing w:after="0" w:line="240" w:lineRule="auto"/>
              <w:ind w:left="50"/>
              <w:contextualSpacing/>
              <w:rPr>
                <w:rFonts w:ascii="Calibri" w:eastAsia="Arial" w:hAnsi="Calibri" w:cs="Calibri"/>
                <w:szCs w:val="24"/>
              </w:rPr>
            </w:pPr>
            <w:r w:rsidRPr="00EE5714">
              <w:rPr>
                <w:rFonts w:ascii="Calibri" w:eastAsia="Arial" w:hAnsi="Calibri" w:cs="Calibri"/>
                <w:szCs w:val="24"/>
              </w:rPr>
              <w:t>2012</w:t>
            </w:r>
          </w:p>
        </w:tc>
        <w:tc>
          <w:tcPr>
            <w:tcW w:w="3780" w:type="dxa"/>
            <w:vAlign w:val="center"/>
          </w:tcPr>
          <w:p w14:paraId="60B03CC2" w14:textId="77777777" w:rsidR="00F303E0" w:rsidRPr="00EE5714" w:rsidRDefault="00F303E0" w:rsidP="00406D0A">
            <w:pPr>
              <w:tabs>
                <w:tab w:val="left" w:pos="565"/>
                <w:tab w:val="right" w:pos="3293"/>
              </w:tabs>
              <w:autoSpaceDE w:val="0"/>
              <w:autoSpaceDN w:val="0"/>
              <w:spacing w:after="0" w:line="240" w:lineRule="auto"/>
              <w:ind w:right="47"/>
              <w:contextualSpacing/>
              <w:jc w:val="center"/>
              <w:rPr>
                <w:rFonts w:ascii="Calibri" w:eastAsia="Arial" w:hAnsi="Calibri" w:cs="Calibri"/>
                <w:szCs w:val="24"/>
              </w:rPr>
            </w:pPr>
            <w:r w:rsidRPr="00EE5714">
              <w:rPr>
                <w:rFonts w:ascii="Calibri" w:eastAsia="Arial" w:hAnsi="Calibri" w:cs="Calibri"/>
                <w:szCs w:val="24"/>
              </w:rPr>
              <w:t>0.0015 mills per kWh</w:t>
            </w:r>
          </w:p>
        </w:tc>
      </w:tr>
      <w:tr w:rsidR="00F303E0" w:rsidRPr="00EE5714" w14:paraId="2714EF29" w14:textId="77777777" w:rsidTr="00851815">
        <w:trPr>
          <w:trHeight w:val="278"/>
        </w:trPr>
        <w:tc>
          <w:tcPr>
            <w:tcW w:w="786" w:type="dxa"/>
          </w:tcPr>
          <w:p w14:paraId="7D20ABEE" w14:textId="77777777" w:rsidR="00F303E0" w:rsidRPr="00EE5714" w:rsidRDefault="00F303E0" w:rsidP="00406D0A">
            <w:pPr>
              <w:autoSpaceDE w:val="0"/>
              <w:autoSpaceDN w:val="0"/>
              <w:spacing w:after="0" w:line="240" w:lineRule="auto"/>
              <w:ind w:left="50"/>
              <w:contextualSpacing/>
              <w:rPr>
                <w:rFonts w:ascii="Calibri" w:eastAsia="Arial" w:hAnsi="Calibri" w:cs="Calibri"/>
                <w:szCs w:val="24"/>
              </w:rPr>
            </w:pPr>
            <w:r w:rsidRPr="00EE5714">
              <w:rPr>
                <w:rFonts w:ascii="Calibri" w:eastAsia="Arial" w:hAnsi="Calibri" w:cs="Calibri"/>
                <w:szCs w:val="24"/>
              </w:rPr>
              <w:lastRenderedPageBreak/>
              <w:t>2013</w:t>
            </w:r>
          </w:p>
        </w:tc>
        <w:tc>
          <w:tcPr>
            <w:tcW w:w="3780" w:type="dxa"/>
          </w:tcPr>
          <w:p w14:paraId="6970CA7C" w14:textId="77777777" w:rsidR="00F303E0" w:rsidRPr="00EE5714" w:rsidRDefault="00F303E0" w:rsidP="00406D0A">
            <w:pPr>
              <w:autoSpaceDE w:val="0"/>
              <w:autoSpaceDN w:val="0"/>
              <w:spacing w:after="0" w:line="240" w:lineRule="auto"/>
              <w:ind w:right="47"/>
              <w:contextualSpacing/>
              <w:jc w:val="center"/>
              <w:rPr>
                <w:rFonts w:ascii="Calibri" w:eastAsia="Arial" w:hAnsi="Calibri" w:cs="Calibri"/>
                <w:szCs w:val="24"/>
              </w:rPr>
            </w:pPr>
            <w:r w:rsidRPr="00EE5714">
              <w:rPr>
                <w:rFonts w:ascii="Calibri" w:eastAsia="Arial" w:hAnsi="Calibri" w:cs="Calibri"/>
                <w:szCs w:val="24"/>
              </w:rPr>
              <w:t>0.0015 mills per kWh</w:t>
            </w:r>
          </w:p>
        </w:tc>
      </w:tr>
      <w:tr w:rsidR="00F303E0" w:rsidRPr="00EE5714" w14:paraId="604E39F3" w14:textId="77777777" w:rsidTr="00851815">
        <w:trPr>
          <w:trHeight w:val="251"/>
        </w:trPr>
        <w:tc>
          <w:tcPr>
            <w:tcW w:w="786" w:type="dxa"/>
          </w:tcPr>
          <w:p w14:paraId="6927B1E3" w14:textId="77777777" w:rsidR="00F303E0" w:rsidRPr="00EE5714" w:rsidRDefault="00F303E0" w:rsidP="00406D0A">
            <w:pPr>
              <w:autoSpaceDE w:val="0"/>
              <w:autoSpaceDN w:val="0"/>
              <w:spacing w:after="0" w:line="240" w:lineRule="auto"/>
              <w:ind w:left="50"/>
              <w:contextualSpacing/>
              <w:rPr>
                <w:rFonts w:ascii="Calibri" w:eastAsia="Arial" w:hAnsi="Calibri" w:cs="Calibri"/>
                <w:szCs w:val="24"/>
              </w:rPr>
            </w:pPr>
            <w:r w:rsidRPr="00EE5714">
              <w:rPr>
                <w:rFonts w:ascii="Calibri" w:eastAsia="Arial" w:hAnsi="Calibri" w:cs="Calibri"/>
                <w:szCs w:val="24"/>
              </w:rPr>
              <w:t>2014</w:t>
            </w:r>
          </w:p>
        </w:tc>
        <w:tc>
          <w:tcPr>
            <w:tcW w:w="3780" w:type="dxa"/>
          </w:tcPr>
          <w:p w14:paraId="32E041EF" w14:textId="77777777" w:rsidR="00F303E0" w:rsidRPr="00EE5714" w:rsidRDefault="00F303E0" w:rsidP="00406D0A">
            <w:pPr>
              <w:autoSpaceDE w:val="0"/>
              <w:autoSpaceDN w:val="0"/>
              <w:spacing w:after="0" w:line="240" w:lineRule="auto"/>
              <w:ind w:right="47"/>
              <w:contextualSpacing/>
              <w:jc w:val="center"/>
              <w:rPr>
                <w:rFonts w:ascii="Calibri" w:eastAsia="Arial" w:hAnsi="Calibri" w:cs="Calibri"/>
                <w:szCs w:val="24"/>
              </w:rPr>
            </w:pPr>
            <w:r w:rsidRPr="00EE5714">
              <w:rPr>
                <w:rFonts w:ascii="Calibri" w:eastAsia="Arial" w:hAnsi="Calibri" w:cs="Calibri"/>
                <w:szCs w:val="24"/>
              </w:rPr>
              <w:t>0.0015 mills per kWh</w:t>
            </w:r>
          </w:p>
        </w:tc>
      </w:tr>
      <w:tr w:rsidR="00F303E0" w:rsidRPr="00EE5714" w14:paraId="0D421CD1" w14:textId="77777777" w:rsidTr="00851815">
        <w:trPr>
          <w:trHeight w:val="305"/>
        </w:trPr>
        <w:tc>
          <w:tcPr>
            <w:tcW w:w="786" w:type="dxa"/>
          </w:tcPr>
          <w:p w14:paraId="34120E19" w14:textId="77777777" w:rsidR="00F303E0" w:rsidRPr="00EE5714" w:rsidRDefault="00F303E0" w:rsidP="00406D0A">
            <w:pPr>
              <w:autoSpaceDE w:val="0"/>
              <w:autoSpaceDN w:val="0"/>
              <w:spacing w:after="0" w:line="240" w:lineRule="auto"/>
              <w:ind w:left="50"/>
              <w:contextualSpacing/>
              <w:rPr>
                <w:rFonts w:ascii="Calibri" w:eastAsia="Arial" w:hAnsi="Calibri" w:cs="Calibri"/>
                <w:szCs w:val="24"/>
              </w:rPr>
            </w:pPr>
            <w:r w:rsidRPr="00EE5714">
              <w:rPr>
                <w:rFonts w:ascii="Calibri" w:eastAsia="Arial" w:hAnsi="Calibri" w:cs="Calibri"/>
                <w:szCs w:val="24"/>
              </w:rPr>
              <w:t>2015</w:t>
            </w:r>
          </w:p>
        </w:tc>
        <w:tc>
          <w:tcPr>
            <w:tcW w:w="3780" w:type="dxa"/>
          </w:tcPr>
          <w:p w14:paraId="33B3A15C" w14:textId="77777777" w:rsidR="00F303E0" w:rsidRPr="00EE5714" w:rsidRDefault="00F303E0" w:rsidP="00406D0A">
            <w:pPr>
              <w:autoSpaceDE w:val="0"/>
              <w:autoSpaceDN w:val="0"/>
              <w:spacing w:after="0" w:line="240" w:lineRule="auto"/>
              <w:ind w:right="47"/>
              <w:contextualSpacing/>
              <w:jc w:val="center"/>
              <w:rPr>
                <w:rFonts w:ascii="Calibri" w:eastAsia="Arial" w:hAnsi="Calibri" w:cs="Calibri"/>
                <w:szCs w:val="24"/>
              </w:rPr>
            </w:pPr>
            <w:r w:rsidRPr="00EE5714">
              <w:rPr>
                <w:rFonts w:ascii="Calibri" w:eastAsia="Arial" w:hAnsi="Calibri" w:cs="Calibri"/>
                <w:szCs w:val="24"/>
              </w:rPr>
              <w:t>0.0015 mills per kWh</w:t>
            </w:r>
          </w:p>
        </w:tc>
      </w:tr>
      <w:tr w:rsidR="00F303E0" w:rsidRPr="00EE5714" w14:paraId="652ECB94" w14:textId="77777777" w:rsidTr="00851815">
        <w:trPr>
          <w:trHeight w:val="295"/>
        </w:trPr>
        <w:tc>
          <w:tcPr>
            <w:tcW w:w="786" w:type="dxa"/>
          </w:tcPr>
          <w:p w14:paraId="3C5841F6" w14:textId="77777777" w:rsidR="00F303E0" w:rsidRPr="00EE5714" w:rsidRDefault="00F303E0" w:rsidP="00406D0A">
            <w:pPr>
              <w:autoSpaceDE w:val="0"/>
              <w:autoSpaceDN w:val="0"/>
              <w:spacing w:after="0" w:line="240" w:lineRule="auto"/>
              <w:ind w:left="50"/>
              <w:contextualSpacing/>
              <w:rPr>
                <w:rFonts w:ascii="Calibri" w:eastAsia="Arial" w:hAnsi="Calibri" w:cs="Calibri"/>
                <w:szCs w:val="24"/>
              </w:rPr>
            </w:pPr>
            <w:r w:rsidRPr="00EE5714">
              <w:rPr>
                <w:rFonts w:ascii="Calibri" w:eastAsia="Arial" w:hAnsi="Calibri" w:cs="Calibri"/>
                <w:szCs w:val="24"/>
              </w:rPr>
              <w:t>2016</w:t>
            </w:r>
          </w:p>
        </w:tc>
        <w:tc>
          <w:tcPr>
            <w:tcW w:w="3780" w:type="dxa"/>
          </w:tcPr>
          <w:p w14:paraId="20E75183" w14:textId="77777777" w:rsidR="00F303E0" w:rsidRPr="00EE5714" w:rsidRDefault="00F303E0" w:rsidP="00406D0A">
            <w:pPr>
              <w:autoSpaceDE w:val="0"/>
              <w:autoSpaceDN w:val="0"/>
              <w:spacing w:after="0" w:line="240" w:lineRule="auto"/>
              <w:ind w:right="47"/>
              <w:contextualSpacing/>
              <w:jc w:val="center"/>
              <w:rPr>
                <w:rFonts w:ascii="Calibri" w:eastAsia="Arial" w:hAnsi="Calibri" w:cs="Calibri"/>
                <w:szCs w:val="24"/>
              </w:rPr>
            </w:pPr>
            <w:r w:rsidRPr="00EE5714">
              <w:rPr>
                <w:rFonts w:ascii="Calibri" w:eastAsia="Arial" w:hAnsi="Calibri" w:cs="Calibri"/>
                <w:szCs w:val="24"/>
              </w:rPr>
              <w:t>0.0015 mills per kWh</w:t>
            </w:r>
          </w:p>
        </w:tc>
      </w:tr>
    </w:tbl>
    <w:p w14:paraId="4F44E76C"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216F0157"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3A9317AF" w14:textId="77777777" w:rsidR="00F303E0" w:rsidRPr="00EE5714" w:rsidRDefault="00F303E0" w:rsidP="00406D0A">
      <w:pPr>
        <w:keepNext/>
        <w:autoSpaceDE w:val="0"/>
        <w:autoSpaceDN w:val="0"/>
        <w:spacing w:after="0" w:line="240" w:lineRule="auto"/>
        <w:contextualSpacing/>
        <w:rPr>
          <w:rFonts w:ascii="Times New Roman" w:eastAsia="Arial" w:hAnsi="Times New Roman" w:cs="Times New Roman"/>
          <w:b/>
          <w:i/>
          <w:sz w:val="26"/>
          <w:szCs w:val="26"/>
        </w:rPr>
      </w:pPr>
      <w:r w:rsidRPr="00EE5714">
        <w:rPr>
          <w:rFonts w:ascii="Times New Roman" w:eastAsia="Arial" w:hAnsi="Times New Roman" w:cs="Times New Roman"/>
          <w:b/>
          <w:i/>
          <w:sz w:val="26"/>
          <w:szCs w:val="26"/>
        </w:rPr>
        <w:t>Question 11:  How do you define collections expenses for utility companies?</w:t>
      </w:r>
    </w:p>
    <w:p w14:paraId="38006D71"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rPr>
      </w:pPr>
    </w:p>
    <w:p w14:paraId="03734BDD"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Colorado:</w:t>
      </w:r>
    </w:p>
    <w:p w14:paraId="79321F85"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u w:val="single"/>
        </w:rPr>
      </w:pPr>
    </w:p>
    <w:p w14:paraId="12F0210A" w14:textId="77777777" w:rsidR="00F303E0" w:rsidRPr="00EE5714" w:rsidRDefault="00F303E0" w:rsidP="00406D0A">
      <w:pPr>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Administrative costs are considered part of the cost included in the low-income program.</w:t>
      </w:r>
    </w:p>
    <w:p w14:paraId="21302984"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4FB57F39" w14:textId="77777777" w:rsidR="00F303E0" w:rsidRPr="00EE5714" w:rsidRDefault="00F303E0" w:rsidP="00406D0A">
      <w:pPr>
        <w:keepNext/>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New Hampshire:</w:t>
      </w:r>
    </w:p>
    <w:p w14:paraId="00DE987C"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rPr>
      </w:pPr>
    </w:p>
    <w:p w14:paraId="768C7A4D" w14:textId="77777777" w:rsidR="00F303E0" w:rsidRPr="00EE5714" w:rsidRDefault="00F303E0" w:rsidP="00406D0A">
      <w:pPr>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Collection expenses are reviewed during rate cases, not as part of assistance programs or energy efficiency programs.</w:t>
      </w:r>
    </w:p>
    <w:p w14:paraId="063CD117" w14:textId="77777777" w:rsidR="00F303E0" w:rsidRPr="00EE5714" w:rsidRDefault="00F303E0" w:rsidP="00406D0A">
      <w:pPr>
        <w:spacing w:after="0" w:line="240" w:lineRule="auto"/>
        <w:contextualSpacing/>
        <w:rPr>
          <w:rFonts w:ascii="Times New Roman" w:eastAsia="Calibri" w:hAnsi="Times New Roman" w:cs="Times New Roman"/>
          <w:sz w:val="26"/>
          <w:szCs w:val="26"/>
        </w:rPr>
      </w:pPr>
    </w:p>
    <w:p w14:paraId="662E1AC6" w14:textId="77777777" w:rsidR="00F303E0" w:rsidRPr="00EE5714" w:rsidRDefault="00F303E0" w:rsidP="00406D0A">
      <w:pPr>
        <w:keepNext/>
        <w:spacing w:after="0" w:line="240" w:lineRule="auto"/>
        <w:contextualSpacing/>
        <w:rPr>
          <w:rFonts w:ascii="Times New Roman" w:eastAsia="Calibri" w:hAnsi="Times New Roman" w:cs="Times New Roman"/>
          <w:sz w:val="26"/>
          <w:szCs w:val="26"/>
          <w:u w:val="single"/>
        </w:rPr>
      </w:pPr>
      <w:r w:rsidRPr="00EE5714">
        <w:rPr>
          <w:rFonts w:ascii="Times New Roman" w:eastAsia="Calibri" w:hAnsi="Times New Roman" w:cs="Times New Roman"/>
          <w:sz w:val="26"/>
          <w:szCs w:val="26"/>
          <w:u w:val="single"/>
        </w:rPr>
        <w:t>Ohio:</w:t>
      </w:r>
    </w:p>
    <w:p w14:paraId="11C5F958" w14:textId="77777777" w:rsidR="00F303E0" w:rsidRPr="00EE5714" w:rsidRDefault="00F303E0" w:rsidP="00406D0A">
      <w:pPr>
        <w:keepNext/>
        <w:spacing w:after="0" w:line="240" w:lineRule="auto"/>
        <w:contextualSpacing/>
        <w:rPr>
          <w:rFonts w:ascii="Times New Roman" w:eastAsia="Calibri" w:hAnsi="Times New Roman" w:cs="Times New Roman"/>
          <w:sz w:val="26"/>
          <w:szCs w:val="26"/>
        </w:rPr>
      </w:pPr>
    </w:p>
    <w:p w14:paraId="72FB6F85" w14:textId="77777777" w:rsidR="00F303E0" w:rsidRPr="00EE5714" w:rsidRDefault="00F303E0" w:rsidP="00406D0A">
      <w:pPr>
        <w:spacing w:after="0" w:line="240" w:lineRule="auto"/>
        <w:ind w:left="720"/>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Collection expenses are defined as the cost labor, materials, and expenses incurred in work on collections as recorded in the Federal Energy Regulatory Commission (FERC) 903 account during a rate case.  Collection expenses may also include uncollectible expenses.</w:t>
      </w:r>
    </w:p>
    <w:p w14:paraId="32F23741" w14:textId="77777777" w:rsidR="00F303E0" w:rsidRPr="00EE5714" w:rsidRDefault="00F303E0" w:rsidP="00406D0A">
      <w:pPr>
        <w:spacing w:after="0" w:line="240" w:lineRule="auto"/>
        <w:contextualSpacing/>
        <w:rPr>
          <w:rFonts w:ascii="Times New Roman" w:eastAsia="Calibri" w:hAnsi="Times New Roman" w:cs="Times New Roman"/>
          <w:sz w:val="26"/>
          <w:szCs w:val="26"/>
        </w:rPr>
      </w:pPr>
    </w:p>
    <w:p w14:paraId="113E8EDC" w14:textId="77777777" w:rsidR="00F303E0" w:rsidRPr="00EE5714" w:rsidRDefault="00F303E0" w:rsidP="00406D0A">
      <w:pPr>
        <w:spacing w:after="0" w:line="240" w:lineRule="auto"/>
        <w:contextualSpacing/>
        <w:rPr>
          <w:rFonts w:ascii="Times New Roman" w:eastAsia="Calibri" w:hAnsi="Times New Roman" w:cs="Times New Roman"/>
          <w:i/>
          <w:sz w:val="26"/>
          <w:szCs w:val="26"/>
        </w:rPr>
      </w:pPr>
    </w:p>
    <w:p w14:paraId="27FB4406" w14:textId="77777777" w:rsidR="00F303E0" w:rsidRPr="00EE5714" w:rsidRDefault="00F303E0" w:rsidP="00406D0A">
      <w:pPr>
        <w:keepNext/>
        <w:spacing w:after="0" w:line="240" w:lineRule="auto"/>
        <w:contextualSpacing/>
        <w:rPr>
          <w:rFonts w:ascii="Times New Roman" w:eastAsia="Calibri" w:hAnsi="Times New Roman" w:cs="Times New Roman"/>
          <w:b/>
          <w:i/>
          <w:sz w:val="26"/>
          <w:szCs w:val="26"/>
        </w:rPr>
      </w:pPr>
      <w:r w:rsidRPr="00EE5714">
        <w:rPr>
          <w:rFonts w:ascii="Times New Roman" w:eastAsia="Calibri" w:hAnsi="Times New Roman" w:cs="Times New Roman"/>
          <w:b/>
          <w:i/>
          <w:sz w:val="26"/>
          <w:szCs w:val="26"/>
        </w:rPr>
        <w:t>Question 12: Questions about utility</w:t>
      </w:r>
      <w:r w:rsidRPr="00EE5714">
        <w:rPr>
          <w:rFonts w:ascii="Times New Roman" w:eastAsia="Calibri" w:hAnsi="Times New Roman" w:cs="Times New Roman"/>
          <w:b/>
          <w:i/>
          <w:spacing w:val="-21"/>
          <w:sz w:val="26"/>
          <w:szCs w:val="26"/>
        </w:rPr>
        <w:t xml:space="preserve"> </w:t>
      </w:r>
      <w:r w:rsidRPr="00EE5714">
        <w:rPr>
          <w:rFonts w:ascii="Times New Roman" w:eastAsia="Calibri" w:hAnsi="Times New Roman" w:cs="Times New Roman"/>
          <w:b/>
          <w:i/>
          <w:sz w:val="26"/>
          <w:szCs w:val="26"/>
        </w:rPr>
        <w:t>collections</w:t>
      </w:r>
      <w:r w:rsidRPr="00EE5714">
        <w:rPr>
          <w:rFonts w:ascii="Times New Roman" w:eastAsia="Calibri" w:hAnsi="Times New Roman" w:cs="Times New Roman"/>
          <w:b/>
          <w:i/>
          <w:spacing w:val="7"/>
          <w:sz w:val="26"/>
          <w:szCs w:val="26"/>
        </w:rPr>
        <w:t xml:space="preserve"> </w:t>
      </w:r>
      <w:r w:rsidRPr="00EE5714">
        <w:rPr>
          <w:rFonts w:ascii="Times New Roman" w:eastAsia="Calibri" w:hAnsi="Times New Roman" w:cs="Times New Roman"/>
          <w:b/>
          <w:i/>
          <w:sz w:val="26"/>
          <w:szCs w:val="26"/>
        </w:rPr>
        <w:t>expenses:</w:t>
      </w:r>
    </w:p>
    <w:p w14:paraId="6D6D5333" w14:textId="77777777" w:rsidR="00F303E0" w:rsidRPr="00EE5714" w:rsidRDefault="00F303E0" w:rsidP="00406D0A">
      <w:pPr>
        <w:keepNext/>
        <w:spacing w:after="0" w:line="240" w:lineRule="auto"/>
        <w:contextualSpacing/>
        <w:rPr>
          <w:rFonts w:ascii="Times New Roman" w:eastAsia="Calibri" w:hAnsi="Times New Roman" w:cs="Times New Roman"/>
          <w:sz w:val="26"/>
          <w:szCs w:val="26"/>
        </w:rPr>
      </w:pPr>
    </w:p>
    <w:p w14:paraId="161DAE23"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u w:val="single"/>
        </w:rPr>
        <w:t>Colorado</w:t>
      </w:r>
      <w:r w:rsidRPr="00EE5714">
        <w:rPr>
          <w:rFonts w:ascii="Times New Roman" w:eastAsia="Calibri" w:hAnsi="Times New Roman" w:cs="Times New Roman"/>
          <w:sz w:val="26"/>
          <w:szCs w:val="26"/>
        </w:rPr>
        <w:t xml:space="preserve">, </w:t>
      </w:r>
      <w:r w:rsidRPr="00EE5714">
        <w:rPr>
          <w:rFonts w:ascii="Times New Roman" w:eastAsia="Calibri" w:hAnsi="Times New Roman" w:cs="Times New Roman"/>
          <w:sz w:val="26"/>
          <w:szCs w:val="26"/>
          <w:u w:val="single"/>
        </w:rPr>
        <w:t>New Hampshire</w:t>
      </w:r>
      <w:r w:rsidRPr="00EE5714">
        <w:rPr>
          <w:rFonts w:ascii="Times New Roman" w:eastAsia="Calibri" w:hAnsi="Times New Roman" w:cs="Times New Roman"/>
          <w:sz w:val="26"/>
          <w:szCs w:val="26"/>
        </w:rPr>
        <w:t xml:space="preserve">, and </w:t>
      </w:r>
      <w:r w:rsidRPr="00EE5714">
        <w:rPr>
          <w:rFonts w:ascii="Times New Roman" w:eastAsia="Calibri" w:hAnsi="Times New Roman" w:cs="Times New Roman"/>
          <w:sz w:val="26"/>
          <w:szCs w:val="26"/>
          <w:u w:val="single"/>
        </w:rPr>
        <w:t>Ohio</w:t>
      </w:r>
      <w:r w:rsidRPr="00EE5714">
        <w:rPr>
          <w:rFonts w:ascii="Times New Roman" w:eastAsia="Calibri" w:hAnsi="Times New Roman" w:cs="Times New Roman"/>
          <w:sz w:val="26"/>
          <w:szCs w:val="26"/>
        </w:rPr>
        <w:t xml:space="preserve"> track utility collections expenses.  Only Colorado includes CAP expenses in their utility collections expenses.</w:t>
      </w:r>
    </w:p>
    <w:p w14:paraId="0BAE29B1" w14:textId="77777777" w:rsidR="00F303E0" w:rsidRPr="00EE5714" w:rsidRDefault="00F303E0" w:rsidP="00406D0A">
      <w:pPr>
        <w:keepNext/>
        <w:tabs>
          <w:tab w:val="left" w:pos="3489"/>
        </w:tabs>
        <w:spacing w:after="0" w:line="240" w:lineRule="auto"/>
        <w:contextualSpacing/>
        <w:rPr>
          <w:rFonts w:ascii="Times New Roman" w:eastAsia="Calibri" w:hAnsi="Times New Roman" w:cs="Times New Roman"/>
          <w:sz w:val="26"/>
          <w:szCs w:val="26"/>
        </w:rPr>
      </w:pPr>
    </w:p>
    <w:p w14:paraId="33822EE3"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None of these states reported seeing a corresponding reduction in utility collections expenses for increased enrollment of low-income customers in their CAP programs.</w:t>
      </w:r>
    </w:p>
    <w:p w14:paraId="244D8E29"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4E53909D"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r w:rsidRPr="00EE5714">
        <w:rPr>
          <w:rFonts w:ascii="Times New Roman" w:eastAsia="Calibri" w:hAnsi="Times New Roman" w:cs="Times New Roman"/>
          <w:sz w:val="26"/>
          <w:szCs w:val="26"/>
        </w:rPr>
        <w:t>Only Colorado reported having different collections procedures for CAP, non-CAP low-income, and non-low-income residential customers.  For low-income customers, expenses are included in the low-income program while all other collection expenses are included in base rates.</w:t>
      </w:r>
    </w:p>
    <w:p w14:paraId="76DFA914"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7D66607E"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bookmarkStart w:id="84" w:name="_Hlk518906718"/>
      <w:r w:rsidRPr="00EE5714">
        <w:rPr>
          <w:rFonts w:ascii="Times New Roman" w:eastAsia="Calibri" w:hAnsi="Times New Roman" w:cs="Times New Roman"/>
          <w:sz w:val="26"/>
          <w:szCs w:val="26"/>
        </w:rPr>
        <w:t xml:space="preserve">None of the </w:t>
      </w:r>
      <w:r w:rsidR="0023510E" w:rsidRPr="00EE5714">
        <w:rPr>
          <w:rFonts w:ascii="Times New Roman" w:eastAsia="Calibri" w:hAnsi="Times New Roman" w:cs="Times New Roman"/>
          <w:sz w:val="26"/>
          <w:szCs w:val="26"/>
        </w:rPr>
        <w:t xml:space="preserve">responding </w:t>
      </w:r>
      <w:r w:rsidRPr="00EE5714">
        <w:rPr>
          <w:rFonts w:ascii="Times New Roman" w:eastAsia="Calibri" w:hAnsi="Times New Roman" w:cs="Times New Roman"/>
          <w:sz w:val="26"/>
          <w:szCs w:val="26"/>
        </w:rPr>
        <w:t>states reported observing better payment patterns for low-income customers who are in CAP compared to low-income customers not in CAP.</w:t>
      </w:r>
    </w:p>
    <w:bookmarkEnd w:id="84"/>
    <w:p w14:paraId="5B90C845"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5C5FDAB4" w14:textId="77777777" w:rsidR="00F303E0" w:rsidRPr="00EE5714" w:rsidRDefault="00F303E0" w:rsidP="00406D0A">
      <w:pPr>
        <w:tabs>
          <w:tab w:val="left" w:pos="3489"/>
        </w:tabs>
        <w:spacing w:after="0" w:line="240" w:lineRule="auto"/>
        <w:contextualSpacing/>
        <w:rPr>
          <w:rFonts w:ascii="Times New Roman" w:eastAsia="Calibri" w:hAnsi="Times New Roman" w:cs="Times New Roman"/>
          <w:sz w:val="26"/>
          <w:szCs w:val="26"/>
        </w:rPr>
      </w:pPr>
    </w:p>
    <w:p w14:paraId="64560AD9" w14:textId="77777777" w:rsidR="00F303E0" w:rsidRPr="00EE5714" w:rsidRDefault="00F303E0" w:rsidP="00406D0A">
      <w:pPr>
        <w:keepNext/>
        <w:autoSpaceDE w:val="0"/>
        <w:autoSpaceDN w:val="0"/>
        <w:spacing w:after="0" w:line="240" w:lineRule="auto"/>
        <w:ind w:right="403"/>
        <w:contextualSpacing/>
        <w:jc w:val="both"/>
        <w:rPr>
          <w:rFonts w:ascii="Times New Roman" w:eastAsia="Arial" w:hAnsi="Times New Roman" w:cs="Times New Roman"/>
          <w:b/>
          <w:i/>
          <w:sz w:val="26"/>
          <w:szCs w:val="26"/>
        </w:rPr>
      </w:pPr>
      <w:r w:rsidRPr="00EE5714">
        <w:rPr>
          <w:rFonts w:ascii="Times New Roman" w:eastAsia="Arial" w:hAnsi="Times New Roman" w:cs="Times New Roman"/>
          <w:b/>
          <w:i/>
          <w:sz w:val="26"/>
          <w:szCs w:val="26"/>
        </w:rPr>
        <w:lastRenderedPageBreak/>
        <w:t>Question 13: On the average over each of the past five years (2012-2016), what percent of monthly payments for CAP customers are paid in full?</w:t>
      </w:r>
    </w:p>
    <w:p w14:paraId="53EB1068" w14:textId="77777777" w:rsidR="00F303E0" w:rsidRPr="00EE5714" w:rsidRDefault="00F303E0" w:rsidP="00406D0A">
      <w:pPr>
        <w:keepNext/>
        <w:autoSpaceDE w:val="0"/>
        <w:autoSpaceDN w:val="0"/>
        <w:spacing w:after="0" w:line="240" w:lineRule="auto"/>
        <w:ind w:right="403"/>
        <w:contextualSpacing/>
        <w:jc w:val="both"/>
        <w:rPr>
          <w:rFonts w:ascii="Times New Roman" w:eastAsia="Arial" w:hAnsi="Times New Roman" w:cs="Times New Roman"/>
          <w:b/>
          <w:i/>
          <w:sz w:val="26"/>
          <w:szCs w:val="26"/>
        </w:rPr>
      </w:pPr>
    </w:p>
    <w:p w14:paraId="7BE13CFF" w14:textId="77777777" w:rsidR="00F303E0" w:rsidRPr="00EE5714" w:rsidRDefault="00F303E0" w:rsidP="00406D0A">
      <w:pPr>
        <w:keepNext/>
        <w:autoSpaceDE w:val="0"/>
        <w:autoSpaceDN w:val="0"/>
        <w:spacing w:after="0" w:line="240" w:lineRule="auto"/>
        <w:ind w:right="403"/>
        <w:contextualSpacing/>
        <w:jc w:val="both"/>
        <w:rPr>
          <w:rFonts w:ascii="Times New Roman" w:eastAsia="Arial" w:hAnsi="Times New Roman" w:cs="Times New Roman"/>
          <w:sz w:val="26"/>
          <w:szCs w:val="26"/>
        </w:rPr>
      </w:pPr>
      <w:r w:rsidRPr="00EE5714">
        <w:rPr>
          <w:rFonts w:ascii="Times New Roman" w:eastAsia="Arial" w:hAnsi="Times New Roman" w:cs="Times New Roman"/>
          <w:sz w:val="26"/>
          <w:szCs w:val="26"/>
          <w:u w:val="single"/>
        </w:rPr>
        <w:t>Ohio</w:t>
      </w:r>
      <w:r w:rsidRPr="00EE5714">
        <w:rPr>
          <w:rFonts w:ascii="Times New Roman" w:eastAsia="Arial" w:hAnsi="Times New Roman" w:cs="Times New Roman"/>
          <w:sz w:val="26"/>
          <w:szCs w:val="26"/>
        </w:rPr>
        <w:t xml:space="preserve"> </w:t>
      </w:r>
    </w:p>
    <w:p w14:paraId="0AEDECF7" w14:textId="77777777" w:rsidR="00F303E0" w:rsidRPr="00EE5714" w:rsidRDefault="00F303E0" w:rsidP="00406D0A">
      <w:pPr>
        <w:keepNext/>
        <w:autoSpaceDE w:val="0"/>
        <w:autoSpaceDN w:val="0"/>
        <w:spacing w:after="0" w:line="240" w:lineRule="auto"/>
        <w:ind w:right="403"/>
        <w:contextualSpacing/>
        <w:jc w:val="both"/>
        <w:rPr>
          <w:rFonts w:ascii="Times New Roman" w:eastAsia="Arial" w:hAnsi="Times New Roman" w:cs="Times New Roman"/>
          <w:sz w:val="26"/>
          <w:szCs w:val="26"/>
        </w:rPr>
      </w:pPr>
    </w:p>
    <w:tbl>
      <w:tblPr>
        <w:tblStyle w:val="TableGrid"/>
        <w:tblW w:w="0" w:type="auto"/>
        <w:tblInd w:w="1747" w:type="dxa"/>
        <w:tblLook w:val="04A0" w:firstRow="1" w:lastRow="0" w:firstColumn="1" w:lastColumn="0" w:noHBand="0" w:noVBand="1"/>
      </w:tblPr>
      <w:tblGrid>
        <w:gridCol w:w="1411"/>
        <w:gridCol w:w="1739"/>
        <w:gridCol w:w="1980"/>
      </w:tblGrid>
      <w:tr w:rsidR="00F303E0" w:rsidRPr="00EE5714" w14:paraId="2BE89A7B" w14:textId="77777777" w:rsidTr="00851815">
        <w:tc>
          <w:tcPr>
            <w:tcW w:w="5130" w:type="dxa"/>
            <w:gridSpan w:val="3"/>
          </w:tcPr>
          <w:p w14:paraId="64A8699D" w14:textId="77777777" w:rsidR="00F303E0" w:rsidRPr="00EE5714" w:rsidRDefault="00F303E0" w:rsidP="00406D0A">
            <w:pPr>
              <w:keepNext/>
              <w:autoSpaceDE w:val="0"/>
              <w:autoSpaceDN w:val="0"/>
              <w:ind w:right="403"/>
              <w:contextualSpacing/>
              <w:jc w:val="center"/>
              <w:rPr>
                <w:rFonts w:ascii="Calibri" w:eastAsia="Arial" w:hAnsi="Calibri" w:cs="Calibri"/>
                <w:b/>
                <w:szCs w:val="24"/>
              </w:rPr>
            </w:pPr>
            <w:r w:rsidRPr="00EE5714">
              <w:rPr>
                <w:rFonts w:ascii="Calibri" w:eastAsia="Arial" w:hAnsi="Calibri" w:cs="Calibri"/>
                <w:b/>
                <w:szCs w:val="24"/>
              </w:rPr>
              <w:t>Percent of Monthly CAP Bills Paid in Full</w:t>
            </w:r>
          </w:p>
        </w:tc>
      </w:tr>
      <w:tr w:rsidR="00F303E0" w:rsidRPr="00EE5714" w14:paraId="51CE150C" w14:textId="77777777" w:rsidTr="00851815">
        <w:tc>
          <w:tcPr>
            <w:tcW w:w="1411" w:type="dxa"/>
          </w:tcPr>
          <w:p w14:paraId="157B307C" w14:textId="77777777" w:rsidR="00F303E0" w:rsidRPr="00EE5714" w:rsidRDefault="00F303E0" w:rsidP="00406D0A">
            <w:pPr>
              <w:keepNext/>
              <w:autoSpaceDE w:val="0"/>
              <w:autoSpaceDN w:val="0"/>
              <w:ind w:right="403"/>
              <w:contextualSpacing/>
              <w:jc w:val="center"/>
              <w:rPr>
                <w:rFonts w:ascii="Calibri" w:eastAsia="Arial" w:hAnsi="Calibri" w:cs="Calibri"/>
                <w:b/>
                <w:szCs w:val="24"/>
              </w:rPr>
            </w:pPr>
            <w:r w:rsidRPr="00EE5714">
              <w:rPr>
                <w:rFonts w:ascii="Calibri" w:eastAsia="Arial" w:hAnsi="Calibri" w:cs="Calibri"/>
                <w:b/>
                <w:szCs w:val="24"/>
              </w:rPr>
              <w:t>Year</w:t>
            </w:r>
          </w:p>
        </w:tc>
        <w:tc>
          <w:tcPr>
            <w:tcW w:w="1739" w:type="dxa"/>
          </w:tcPr>
          <w:p w14:paraId="31FFC9AF" w14:textId="77777777" w:rsidR="00F303E0" w:rsidRPr="00EE5714" w:rsidRDefault="00F303E0" w:rsidP="00406D0A">
            <w:pPr>
              <w:keepNext/>
              <w:autoSpaceDE w:val="0"/>
              <w:autoSpaceDN w:val="0"/>
              <w:ind w:right="403"/>
              <w:contextualSpacing/>
              <w:jc w:val="center"/>
              <w:rPr>
                <w:rFonts w:ascii="Calibri" w:eastAsia="Arial" w:hAnsi="Calibri" w:cs="Calibri"/>
                <w:b/>
                <w:szCs w:val="24"/>
              </w:rPr>
            </w:pPr>
            <w:r w:rsidRPr="00EE5714">
              <w:rPr>
                <w:rFonts w:ascii="Calibri" w:eastAsia="Arial" w:hAnsi="Calibri" w:cs="Calibri"/>
                <w:b/>
                <w:szCs w:val="24"/>
              </w:rPr>
              <w:t>Electric</w:t>
            </w:r>
          </w:p>
        </w:tc>
        <w:tc>
          <w:tcPr>
            <w:tcW w:w="1980" w:type="dxa"/>
          </w:tcPr>
          <w:p w14:paraId="3CE900BD" w14:textId="77777777" w:rsidR="00F303E0" w:rsidRPr="00EE5714" w:rsidRDefault="00F303E0" w:rsidP="00406D0A">
            <w:pPr>
              <w:keepNext/>
              <w:autoSpaceDE w:val="0"/>
              <w:autoSpaceDN w:val="0"/>
              <w:ind w:right="403"/>
              <w:contextualSpacing/>
              <w:jc w:val="center"/>
              <w:rPr>
                <w:rFonts w:ascii="Calibri" w:eastAsia="Arial" w:hAnsi="Calibri" w:cs="Calibri"/>
                <w:b/>
                <w:szCs w:val="24"/>
              </w:rPr>
            </w:pPr>
            <w:r w:rsidRPr="00EE5714">
              <w:rPr>
                <w:rFonts w:ascii="Calibri" w:eastAsia="Arial" w:hAnsi="Calibri" w:cs="Calibri"/>
                <w:b/>
                <w:szCs w:val="24"/>
              </w:rPr>
              <w:t>Gas</w:t>
            </w:r>
          </w:p>
        </w:tc>
      </w:tr>
      <w:tr w:rsidR="00F303E0" w:rsidRPr="00EE5714" w14:paraId="12E6D0B5" w14:textId="77777777" w:rsidTr="00851815">
        <w:tc>
          <w:tcPr>
            <w:tcW w:w="1411" w:type="dxa"/>
          </w:tcPr>
          <w:p w14:paraId="6A0A44A6" w14:textId="77777777" w:rsidR="00F303E0" w:rsidRPr="00EE5714" w:rsidRDefault="00F303E0" w:rsidP="00406D0A">
            <w:pPr>
              <w:keepNext/>
              <w:autoSpaceDE w:val="0"/>
              <w:autoSpaceDN w:val="0"/>
              <w:ind w:right="403"/>
              <w:contextualSpacing/>
              <w:jc w:val="center"/>
              <w:rPr>
                <w:rFonts w:ascii="Calibri" w:eastAsia="Arial" w:hAnsi="Calibri" w:cs="Calibri"/>
                <w:szCs w:val="24"/>
              </w:rPr>
            </w:pPr>
            <w:r w:rsidRPr="00EE5714">
              <w:rPr>
                <w:rFonts w:ascii="Calibri" w:eastAsia="Arial" w:hAnsi="Calibri" w:cs="Calibri"/>
                <w:szCs w:val="24"/>
              </w:rPr>
              <w:t>2012</w:t>
            </w:r>
          </w:p>
        </w:tc>
        <w:tc>
          <w:tcPr>
            <w:tcW w:w="1739" w:type="dxa"/>
          </w:tcPr>
          <w:p w14:paraId="26F88599" w14:textId="77777777" w:rsidR="00F303E0" w:rsidRPr="00EE5714" w:rsidRDefault="00F303E0" w:rsidP="00406D0A">
            <w:pPr>
              <w:keepNext/>
              <w:autoSpaceDE w:val="0"/>
              <w:autoSpaceDN w:val="0"/>
              <w:ind w:right="403"/>
              <w:contextualSpacing/>
              <w:jc w:val="center"/>
              <w:rPr>
                <w:rFonts w:ascii="Calibri" w:eastAsia="Arial" w:hAnsi="Calibri" w:cs="Calibri"/>
                <w:szCs w:val="24"/>
              </w:rPr>
            </w:pPr>
            <w:r w:rsidRPr="00EE5714">
              <w:rPr>
                <w:rFonts w:ascii="Calibri" w:eastAsia="Arial" w:hAnsi="Calibri" w:cs="Calibri"/>
                <w:szCs w:val="24"/>
              </w:rPr>
              <w:t>52%</w:t>
            </w:r>
          </w:p>
        </w:tc>
        <w:tc>
          <w:tcPr>
            <w:tcW w:w="1980" w:type="dxa"/>
          </w:tcPr>
          <w:p w14:paraId="272A0AA3" w14:textId="77777777" w:rsidR="00F303E0" w:rsidRPr="00EE5714" w:rsidRDefault="00F303E0" w:rsidP="00406D0A">
            <w:pPr>
              <w:keepNext/>
              <w:autoSpaceDE w:val="0"/>
              <w:autoSpaceDN w:val="0"/>
              <w:ind w:right="403"/>
              <w:contextualSpacing/>
              <w:jc w:val="center"/>
              <w:rPr>
                <w:rFonts w:ascii="Calibri" w:eastAsia="Arial" w:hAnsi="Calibri" w:cs="Calibri"/>
                <w:szCs w:val="24"/>
              </w:rPr>
            </w:pPr>
            <w:r w:rsidRPr="00EE5714">
              <w:rPr>
                <w:rFonts w:ascii="Calibri" w:eastAsia="Arial" w:hAnsi="Calibri" w:cs="Calibri"/>
                <w:szCs w:val="24"/>
              </w:rPr>
              <w:t>50%</w:t>
            </w:r>
          </w:p>
        </w:tc>
      </w:tr>
      <w:tr w:rsidR="00F303E0" w:rsidRPr="00EE5714" w14:paraId="052BCA35" w14:textId="77777777" w:rsidTr="00851815">
        <w:tc>
          <w:tcPr>
            <w:tcW w:w="1411" w:type="dxa"/>
          </w:tcPr>
          <w:p w14:paraId="3BE159CA" w14:textId="77777777" w:rsidR="00F303E0" w:rsidRPr="00EE5714" w:rsidRDefault="00F303E0" w:rsidP="00406D0A">
            <w:pPr>
              <w:keepNext/>
              <w:autoSpaceDE w:val="0"/>
              <w:autoSpaceDN w:val="0"/>
              <w:ind w:right="403"/>
              <w:contextualSpacing/>
              <w:jc w:val="center"/>
              <w:rPr>
                <w:rFonts w:ascii="Calibri" w:eastAsia="Arial" w:hAnsi="Calibri" w:cs="Calibri"/>
                <w:szCs w:val="24"/>
              </w:rPr>
            </w:pPr>
            <w:r w:rsidRPr="00EE5714">
              <w:rPr>
                <w:rFonts w:ascii="Calibri" w:eastAsia="Arial" w:hAnsi="Calibri" w:cs="Calibri"/>
                <w:szCs w:val="24"/>
              </w:rPr>
              <w:t>2013</w:t>
            </w:r>
          </w:p>
        </w:tc>
        <w:tc>
          <w:tcPr>
            <w:tcW w:w="1739" w:type="dxa"/>
          </w:tcPr>
          <w:p w14:paraId="4F3E7066" w14:textId="77777777" w:rsidR="00F303E0" w:rsidRPr="00EE5714" w:rsidRDefault="00F303E0" w:rsidP="00406D0A">
            <w:pPr>
              <w:keepNext/>
              <w:autoSpaceDE w:val="0"/>
              <w:autoSpaceDN w:val="0"/>
              <w:ind w:right="403"/>
              <w:contextualSpacing/>
              <w:jc w:val="center"/>
              <w:rPr>
                <w:rFonts w:ascii="Calibri" w:eastAsia="Arial" w:hAnsi="Calibri" w:cs="Calibri"/>
                <w:szCs w:val="24"/>
              </w:rPr>
            </w:pPr>
            <w:r w:rsidRPr="00EE5714">
              <w:rPr>
                <w:rFonts w:ascii="Calibri" w:eastAsia="Arial" w:hAnsi="Calibri" w:cs="Calibri"/>
                <w:szCs w:val="24"/>
              </w:rPr>
              <w:t>52%</w:t>
            </w:r>
          </w:p>
        </w:tc>
        <w:tc>
          <w:tcPr>
            <w:tcW w:w="1980" w:type="dxa"/>
          </w:tcPr>
          <w:p w14:paraId="296AE6FA" w14:textId="77777777" w:rsidR="00F303E0" w:rsidRPr="00EE5714" w:rsidRDefault="00F303E0" w:rsidP="00406D0A">
            <w:pPr>
              <w:keepNext/>
              <w:autoSpaceDE w:val="0"/>
              <w:autoSpaceDN w:val="0"/>
              <w:ind w:right="403"/>
              <w:contextualSpacing/>
              <w:jc w:val="center"/>
              <w:rPr>
                <w:rFonts w:ascii="Calibri" w:eastAsia="Arial" w:hAnsi="Calibri" w:cs="Calibri"/>
                <w:szCs w:val="24"/>
              </w:rPr>
            </w:pPr>
            <w:r w:rsidRPr="00EE5714">
              <w:rPr>
                <w:rFonts w:ascii="Calibri" w:eastAsia="Arial" w:hAnsi="Calibri" w:cs="Calibri"/>
                <w:szCs w:val="24"/>
              </w:rPr>
              <w:t>51%</w:t>
            </w:r>
          </w:p>
        </w:tc>
      </w:tr>
      <w:tr w:rsidR="00F303E0" w:rsidRPr="00EE5714" w14:paraId="6FD569EF" w14:textId="77777777" w:rsidTr="00851815">
        <w:tc>
          <w:tcPr>
            <w:tcW w:w="1411" w:type="dxa"/>
          </w:tcPr>
          <w:p w14:paraId="7BF90E5E" w14:textId="77777777" w:rsidR="00F303E0" w:rsidRPr="00EE5714" w:rsidRDefault="00F303E0" w:rsidP="00406D0A">
            <w:pPr>
              <w:keepNext/>
              <w:autoSpaceDE w:val="0"/>
              <w:autoSpaceDN w:val="0"/>
              <w:ind w:right="403"/>
              <w:contextualSpacing/>
              <w:jc w:val="center"/>
              <w:rPr>
                <w:rFonts w:ascii="Calibri" w:eastAsia="Arial" w:hAnsi="Calibri" w:cs="Calibri"/>
                <w:szCs w:val="24"/>
              </w:rPr>
            </w:pPr>
            <w:r w:rsidRPr="00EE5714">
              <w:rPr>
                <w:rFonts w:ascii="Calibri" w:eastAsia="Arial" w:hAnsi="Calibri" w:cs="Calibri"/>
                <w:szCs w:val="24"/>
              </w:rPr>
              <w:t>2014</w:t>
            </w:r>
          </w:p>
        </w:tc>
        <w:tc>
          <w:tcPr>
            <w:tcW w:w="1739" w:type="dxa"/>
          </w:tcPr>
          <w:p w14:paraId="1CA9386B" w14:textId="77777777" w:rsidR="00F303E0" w:rsidRPr="00EE5714" w:rsidRDefault="00F303E0" w:rsidP="00406D0A">
            <w:pPr>
              <w:keepNext/>
              <w:autoSpaceDE w:val="0"/>
              <w:autoSpaceDN w:val="0"/>
              <w:ind w:right="403"/>
              <w:contextualSpacing/>
              <w:jc w:val="center"/>
              <w:rPr>
                <w:rFonts w:ascii="Calibri" w:eastAsia="Arial" w:hAnsi="Calibri" w:cs="Calibri"/>
                <w:szCs w:val="24"/>
              </w:rPr>
            </w:pPr>
            <w:r w:rsidRPr="00EE5714">
              <w:rPr>
                <w:rFonts w:ascii="Calibri" w:eastAsia="Arial" w:hAnsi="Calibri" w:cs="Calibri"/>
                <w:szCs w:val="24"/>
              </w:rPr>
              <w:t>53%</w:t>
            </w:r>
          </w:p>
        </w:tc>
        <w:tc>
          <w:tcPr>
            <w:tcW w:w="1980" w:type="dxa"/>
          </w:tcPr>
          <w:p w14:paraId="22E6158C" w14:textId="77777777" w:rsidR="00F303E0" w:rsidRPr="00EE5714" w:rsidRDefault="00F303E0" w:rsidP="00406D0A">
            <w:pPr>
              <w:keepNext/>
              <w:autoSpaceDE w:val="0"/>
              <w:autoSpaceDN w:val="0"/>
              <w:ind w:right="403"/>
              <w:contextualSpacing/>
              <w:jc w:val="center"/>
              <w:rPr>
                <w:rFonts w:ascii="Calibri" w:eastAsia="Arial" w:hAnsi="Calibri" w:cs="Calibri"/>
                <w:szCs w:val="24"/>
              </w:rPr>
            </w:pPr>
            <w:r w:rsidRPr="00EE5714">
              <w:rPr>
                <w:rFonts w:ascii="Calibri" w:eastAsia="Arial" w:hAnsi="Calibri" w:cs="Calibri"/>
                <w:szCs w:val="24"/>
              </w:rPr>
              <w:t>53%</w:t>
            </w:r>
          </w:p>
        </w:tc>
      </w:tr>
      <w:tr w:rsidR="00F303E0" w:rsidRPr="00EE5714" w14:paraId="0576BFCC" w14:textId="77777777" w:rsidTr="00851815">
        <w:tc>
          <w:tcPr>
            <w:tcW w:w="1411" w:type="dxa"/>
          </w:tcPr>
          <w:p w14:paraId="694DDA00" w14:textId="77777777" w:rsidR="00F303E0" w:rsidRPr="00EE5714" w:rsidRDefault="00F303E0" w:rsidP="00406D0A">
            <w:pPr>
              <w:keepNext/>
              <w:autoSpaceDE w:val="0"/>
              <w:autoSpaceDN w:val="0"/>
              <w:ind w:right="403"/>
              <w:contextualSpacing/>
              <w:jc w:val="center"/>
              <w:rPr>
                <w:rFonts w:ascii="Calibri" w:eastAsia="Arial" w:hAnsi="Calibri" w:cs="Calibri"/>
                <w:szCs w:val="24"/>
              </w:rPr>
            </w:pPr>
            <w:r w:rsidRPr="00EE5714">
              <w:rPr>
                <w:rFonts w:ascii="Calibri" w:eastAsia="Arial" w:hAnsi="Calibri" w:cs="Calibri"/>
                <w:szCs w:val="24"/>
              </w:rPr>
              <w:t>2015</w:t>
            </w:r>
          </w:p>
        </w:tc>
        <w:tc>
          <w:tcPr>
            <w:tcW w:w="1739" w:type="dxa"/>
          </w:tcPr>
          <w:p w14:paraId="6AB12CA8" w14:textId="77777777" w:rsidR="00F303E0" w:rsidRPr="00EE5714" w:rsidRDefault="00F303E0" w:rsidP="00406D0A">
            <w:pPr>
              <w:keepNext/>
              <w:autoSpaceDE w:val="0"/>
              <w:autoSpaceDN w:val="0"/>
              <w:ind w:right="403"/>
              <w:contextualSpacing/>
              <w:jc w:val="center"/>
              <w:rPr>
                <w:rFonts w:ascii="Calibri" w:eastAsia="Arial" w:hAnsi="Calibri" w:cs="Calibri"/>
                <w:szCs w:val="24"/>
              </w:rPr>
            </w:pPr>
            <w:r w:rsidRPr="00EE5714">
              <w:rPr>
                <w:rFonts w:ascii="Calibri" w:eastAsia="Arial" w:hAnsi="Calibri" w:cs="Calibri"/>
                <w:szCs w:val="24"/>
              </w:rPr>
              <w:t>55%</w:t>
            </w:r>
          </w:p>
        </w:tc>
        <w:tc>
          <w:tcPr>
            <w:tcW w:w="1980" w:type="dxa"/>
          </w:tcPr>
          <w:p w14:paraId="2A0B1022" w14:textId="77777777" w:rsidR="00F303E0" w:rsidRPr="00EE5714" w:rsidRDefault="00F303E0" w:rsidP="00406D0A">
            <w:pPr>
              <w:keepNext/>
              <w:autoSpaceDE w:val="0"/>
              <w:autoSpaceDN w:val="0"/>
              <w:ind w:right="403"/>
              <w:contextualSpacing/>
              <w:jc w:val="center"/>
              <w:rPr>
                <w:rFonts w:ascii="Calibri" w:eastAsia="Arial" w:hAnsi="Calibri" w:cs="Calibri"/>
                <w:szCs w:val="24"/>
              </w:rPr>
            </w:pPr>
            <w:r w:rsidRPr="00EE5714">
              <w:rPr>
                <w:rFonts w:ascii="Calibri" w:eastAsia="Arial" w:hAnsi="Calibri" w:cs="Calibri"/>
                <w:szCs w:val="24"/>
              </w:rPr>
              <w:t>59%</w:t>
            </w:r>
          </w:p>
        </w:tc>
      </w:tr>
      <w:tr w:rsidR="00F303E0" w:rsidRPr="00EE5714" w14:paraId="00EFA3E6" w14:textId="77777777" w:rsidTr="00851815">
        <w:tc>
          <w:tcPr>
            <w:tcW w:w="1411" w:type="dxa"/>
          </w:tcPr>
          <w:p w14:paraId="37A8A79D" w14:textId="77777777" w:rsidR="00F303E0" w:rsidRPr="00EE5714" w:rsidRDefault="00F303E0" w:rsidP="00406D0A">
            <w:pPr>
              <w:autoSpaceDE w:val="0"/>
              <w:autoSpaceDN w:val="0"/>
              <w:ind w:right="400"/>
              <w:contextualSpacing/>
              <w:jc w:val="center"/>
              <w:rPr>
                <w:rFonts w:ascii="Calibri" w:eastAsia="Arial" w:hAnsi="Calibri" w:cs="Calibri"/>
                <w:szCs w:val="24"/>
              </w:rPr>
            </w:pPr>
            <w:r w:rsidRPr="00EE5714">
              <w:rPr>
                <w:rFonts w:ascii="Calibri" w:eastAsia="Arial" w:hAnsi="Calibri" w:cs="Calibri"/>
                <w:szCs w:val="24"/>
              </w:rPr>
              <w:t>2016</w:t>
            </w:r>
          </w:p>
        </w:tc>
        <w:tc>
          <w:tcPr>
            <w:tcW w:w="1739" w:type="dxa"/>
          </w:tcPr>
          <w:p w14:paraId="5C32F5D8" w14:textId="77777777" w:rsidR="00F303E0" w:rsidRPr="00EE5714" w:rsidRDefault="00F303E0" w:rsidP="00406D0A">
            <w:pPr>
              <w:autoSpaceDE w:val="0"/>
              <w:autoSpaceDN w:val="0"/>
              <w:ind w:right="400"/>
              <w:contextualSpacing/>
              <w:jc w:val="center"/>
              <w:rPr>
                <w:rFonts w:ascii="Calibri" w:eastAsia="Arial" w:hAnsi="Calibri" w:cs="Calibri"/>
                <w:szCs w:val="24"/>
              </w:rPr>
            </w:pPr>
            <w:r w:rsidRPr="00EE5714">
              <w:rPr>
                <w:rFonts w:ascii="Calibri" w:eastAsia="Arial" w:hAnsi="Calibri" w:cs="Calibri"/>
                <w:szCs w:val="24"/>
              </w:rPr>
              <w:t>55%</w:t>
            </w:r>
          </w:p>
        </w:tc>
        <w:tc>
          <w:tcPr>
            <w:tcW w:w="1980" w:type="dxa"/>
          </w:tcPr>
          <w:p w14:paraId="2A0E4812" w14:textId="77777777" w:rsidR="00F303E0" w:rsidRPr="00EE5714" w:rsidRDefault="00F303E0" w:rsidP="00406D0A">
            <w:pPr>
              <w:autoSpaceDE w:val="0"/>
              <w:autoSpaceDN w:val="0"/>
              <w:ind w:right="400"/>
              <w:contextualSpacing/>
              <w:jc w:val="center"/>
              <w:rPr>
                <w:rFonts w:ascii="Calibri" w:eastAsia="Arial" w:hAnsi="Calibri" w:cs="Calibri"/>
                <w:szCs w:val="24"/>
              </w:rPr>
            </w:pPr>
            <w:r w:rsidRPr="00EE5714">
              <w:rPr>
                <w:rFonts w:ascii="Calibri" w:eastAsia="Arial" w:hAnsi="Calibri" w:cs="Calibri"/>
                <w:szCs w:val="24"/>
              </w:rPr>
              <w:t>59%</w:t>
            </w:r>
          </w:p>
        </w:tc>
      </w:tr>
    </w:tbl>
    <w:p w14:paraId="046F5B5E" w14:textId="77777777" w:rsidR="00495671" w:rsidRPr="00EE5714" w:rsidRDefault="00495671" w:rsidP="00406D0A">
      <w:pPr>
        <w:tabs>
          <w:tab w:val="left" w:pos="3489"/>
        </w:tabs>
        <w:spacing w:after="0" w:line="240" w:lineRule="auto"/>
        <w:ind w:left="720"/>
        <w:contextualSpacing/>
        <w:rPr>
          <w:rFonts w:ascii="Times New Roman" w:eastAsia="Calibri" w:hAnsi="Times New Roman" w:cs="Times New Roman"/>
          <w:sz w:val="26"/>
          <w:szCs w:val="26"/>
        </w:rPr>
      </w:pPr>
    </w:p>
    <w:p w14:paraId="3F10CA17" w14:textId="77777777" w:rsidR="00F303E0" w:rsidRPr="00EE5714" w:rsidRDefault="00F303E0" w:rsidP="00406D0A">
      <w:pPr>
        <w:tabs>
          <w:tab w:val="left" w:pos="3489"/>
        </w:tabs>
        <w:spacing w:after="0" w:line="240" w:lineRule="auto"/>
        <w:ind w:left="720"/>
        <w:contextualSpacing/>
        <w:rPr>
          <w:rFonts w:ascii="Times New Roman" w:eastAsia="Calibri" w:hAnsi="Times New Roman" w:cs="Times New Roman"/>
          <w:sz w:val="26"/>
          <w:szCs w:val="26"/>
        </w:rPr>
      </w:pPr>
    </w:p>
    <w:p w14:paraId="0225A863" w14:textId="77777777" w:rsidR="00F303E0" w:rsidRPr="00EE5714" w:rsidRDefault="00F303E0" w:rsidP="00406D0A">
      <w:pPr>
        <w:keepNext/>
        <w:autoSpaceDE w:val="0"/>
        <w:autoSpaceDN w:val="0"/>
        <w:spacing w:after="0" w:line="240" w:lineRule="auto"/>
        <w:ind w:left="166"/>
        <w:contextualSpacing/>
        <w:rPr>
          <w:rFonts w:ascii="Times New Roman" w:eastAsia="Arial" w:hAnsi="Times New Roman" w:cs="Times New Roman"/>
          <w:b/>
          <w:i/>
          <w:sz w:val="26"/>
          <w:szCs w:val="26"/>
        </w:rPr>
      </w:pPr>
      <w:r w:rsidRPr="00EE5714">
        <w:rPr>
          <w:rFonts w:ascii="Times New Roman" w:eastAsia="Arial" w:hAnsi="Times New Roman" w:cs="Times New Roman"/>
          <w:b/>
          <w:i/>
          <w:sz w:val="26"/>
          <w:szCs w:val="26"/>
        </w:rPr>
        <w:t>Question 14: For each of the past five years (2012-2016), what were the service termination rates?</w:t>
      </w:r>
    </w:p>
    <w:p w14:paraId="79B991E3" w14:textId="77777777" w:rsidR="00F303E0" w:rsidRPr="00EE5714" w:rsidRDefault="00F303E0" w:rsidP="00406D0A">
      <w:pPr>
        <w:keepNext/>
        <w:autoSpaceDE w:val="0"/>
        <w:autoSpaceDN w:val="0"/>
        <w:spacing w:after="0" w:line="240" w:lineRule="auto"/>
        <w:ind w:left="166"/>
        <w:contextualSpacing/>
        <w:rPr>
          <w:rFonts w:ascii="Times New Roman" w:eastAsia="Arial" w:hAnsi="Times New Roman" w:cs="Times New Roman"/>
          <w:sz w:val="26"/>
          <w:szCs w:val="26"/>
        </w:rPr>
      </w:pPr>
    </w:p>
    <w:p w14:paraId="5F1EACF3" w14:textId="77777777" w:rsidR="00F303E0" w:rsidRPr="00EE5714" w:rsidRDefault="00F303E0" w:rsidP="00406D0A">
      <w:pPr>
        <w:keepNext/>
        <w:autoSpaceDE w:val="0"/>
        <w:autoSpaceDN w:val="0"/>
        <w:spacing w:after="0" w:line="240" w:lineRule="auto"/>
        <w:ind w:firstLine="14"/>
        <w:contextualSpacing/>
        <w:rPr>
          <w:rFonts w:ascii="Times New Roman" w:eastAsia="Arial" w:hAnsi="Times New Roman" w:cs="Times New Roman"/>
          <w:sz w:val="26"/>
          <w:szCs w:val="26"/>
        </w:rPr>
      </w:pPr>
      <w:r w:rsidRPr="00EE5714">
        <w:rPr>
          <w:rFonts w:ascii="Times New Roman" w:eastAsia="Arial" w:hAnsi="Times New Roman" w:cs="Times New Roman"/>
          <w:sz w:val="26"/>
          <w:szCs w:val="26"/>
          <w:u w:val="single"/>
        </w:rPr>
        <w:t>Ohio:</w:t>
      </w:r>
    </w:p>
    <w:p w14:paraId="36DDBE05" w14:textId="77777777" w:rsidR="00F303E0" w:rsidRPr="00EE5714" w:rsidRDefault="00F303E0" w:rsidP="00406D0A">
      <w:pPr>
        <w:keepNext/>
        <w:autoSpaceDE w:val="0"/>
        <w:autoSpaceDN w:val="0"/>
        <w:spacing w:after="0" w:line="240" w:lineRule="auto"/>
        <w:ind w:left="166"/>
        <w:contextualSpacing/>
        <w:rPr>
          <w:rFonts w:ascii="Times New Roman" w:eastAsia="Arial" w:hAnsi="Times New Roman" w:cs="Times New Roman"/>
          <w:sz w:val="26"/>
          <w:szCs w:val="26"/>
        </w:rPr>
      </w:pPr>
    </w:p>
    <w:tbl>
      <w:tblPr>
        <w:tblStyle w:val="TableGrid"/>
        <w:tblW w:w="9090" w:type="dxa"/>
        <w:tblInd w:w="265" w:type="dxa"/>
        <w:tblLook w:val="04A0" w:firstRow="1" w:lastRow="0" w:firstColumn="1" w:lastColumn="0" w:noHBand="0" w:noVBand="1"/>
      </w:tblPr>
      <w:tblGrid>
        <w:gridCol w:w="1710"/>
        <w:gridCol w:w="2070"/>
        <w:gridCol w:w="2520"/>
        <w:gridCol w:w="2790"/>
      </w:tblGrid>
      <w:tr w:rsidR="00F303E0" w:rsidRPr="00EE5714" w14:paraId="7D74F57D" w14:textId="77777777" w:rsidTr="00851815">
        <w:tc>
          <w:tcPr>
            <w:tcW w:w="9090" w:type="dxa"/>
            <w:gridSpan w:val="4"/>
            <w:vAlign w:val="center"/>
          </w:tcPr>
          <w:p w14:paraId="73CF9430" w14:textId="77777777" w:rsidR="00F303E0" w:rsidRPr="00EE5714" w:rsidRDefault="00F303E0" w:rsidP="00406D0A">
            <w:pPr>
              <w:keepNext/>
              <w:autoSpaceDE w:val="0"/>
              <w:autoSpaceDN w:val="0"/>
              <w:contextualSpacing/>
              <w:jc w:val="center"/>
              <w:rPr>
                <w:rFonts w:ascii="Calibri" w:eastAsia="Arial" w:hAnsi="Calibri" w:cs="Calibri"/>
                <w:b/>
                <w:szCs w:val="24"/>
              </w:rPr>
            </w:pPr>
            <w:r w:rsidRPr="00EE5714">
              <w:rPr>
                <w:rFonts w:ascii="Calibri" w:eastAsia="Arial" w:hAnsi="Calibri" w:cs="Calibri"/>
                <w:b/>
                <w:szCs w:val="24"/>
              </w:rPr>
              <w:t>Ohio CAP Termination Rates</w:t>
            </w:r>
          </w:p>
        </w:tc>
      </w:tr>
      <w:tr w:rsidR="00F303E0" w:rsidRPr="00EE5714" w14:paraId="79A06F97" w14:textId="77777777" w:rsidTr="00851815">
        <w:tc>
          <w:tcPr>
            <w:tcW w:w="1710" w:type="dxa"/>
            <w:vAlign w:val="center"/>
          </w:tcPr>
          <w:p w14:paraId="0AFAA696" w14:textId="77777777" w:rsidR="00F303E0" w:rsidRPr="00EE5714" w:rsidRDefault="00F303E0" w:rsidP="00406D0A">
            <w:pPr>
              <w:keepNext/>
              <w:autoSpaceDE w:val="0"/>
              <w:autoSpaceDN w:val="0"/>
              <w:contextualSpacing/>
              <w:jc w:val="center"/>
              <w:rPr>
                <w:rFonts w:ascii="Calibri" w:eastAsia="Arial" w:hAnsi="Calibri" w:cs="Calibri"/>
                <w:b/>
                <w:szCs w:val="24"/>
              </w:rPr>
            </w:pPr>
            <w:r w:rsidRPr="00EE5714">
              <w:rPr>
                <w:rFonts w:ascii="Calibri" w:eastAsia="Arial" w:hAnsi="Calibri" w:cs="Calibri"/>
                <w:b/>
                <w:szCs w:val="24"/>
              </w:rPr>
              <w:t>Year</w:t>
            </w:r>
          </w:p>
        </w:tc>
        <w:tc>
          <w:tcPr>
            <w:tcW w:w="2070" w:type="dxa"/>
            <w:vAlign w:val="center"/>
          </w:tcPr>
          <w:p w14:paraId="4CD58ACE" w14:textId="77777777" w:rsidR="00F303E0" w:rsidRPr="00EE5714" w:rsidRDefault="00F303E0" w:rsidP="00406D0A">
            <w:pPr>
              <w:keepNext/>
              <w:autoSpaceDE w:val="0"/>
              <w:autoSpaceDN w:val="0"/>
              <w:contextualSpacing/>
              <w:jc w:val="center"/>
              <w:rPr>
                <w:rFonts w:ascii="Calibri" w:eastAsia="Arial" w:hAnsi="Calibri" w:cs="Calibri"/>
                <w:b/>
                <w:szCs w:val="24"/>
              </w:rPr>
            </w:pPr>
            <w:r w:rsidRPr="00EE5714">
              <w:rPr>
                <w:rFonts w:ascii="Calibri" w:eastAsia="Arial" w:hAnsi="Calibri" w:cs="Calibri"/>
                <w:b/>
                <w:szCs w:val="24"/>
              </w:rPr>
              <w:t>CAP Customers</w:t>
            </w:r>
          </w:p>
        </w:tc>
        <w:tc>
          <w:tcPr>
            <w:tcW w:w="2520" w:type="dxa"/>
            <w:vAlign w:val="center"/>
          </w:tcPr>
          <w:p w14:paraId="373AD129" w14:textId="77777777" w:rsidR="00F303E0" w:rsidRPr="00EE5714" w:rsidRDefault="00F303E0" w:rsidP="00406D0A">
            <w:pPr>
              <w:keepNext/>
              <w:autoSpaceDE w:val="0"/>
              <w:autoSpaceDN w:val="0"/>
              <w:contextualSpacing/>
              <w:jc w:val="center"/>
              <w:rPr>
                <w:rFonts w:ascii="Calibri" w:eastAsia="Arial" w:hAnsi="Calibri" w:cs="Calibri"/>
                <w:b/>
                <w:szCs w:val="24"/>
              </w:rPr>
            </w:pPr>
            <w:r w:rsidRPr="00EE5714">
              <w:rPr>
                <w:rFonts w:ascii="Calibri" w:eastAsia="Arial" w:hAnsi="Calibri" w:cs="Calibri"/>
                <w:b/>
                <w:szCs w:val="24"/>
              </w:rPr>
              <w:t>CLI Customers</w:t>
            </w:r>
          </w:p>
        </w:tc>
        <w:tc>
          <w:tcPr>
            <w:tcW w:w="2790" w:type="dxa"/>
            <w:vAlign w:val="center"/>
          </w:tcPr>
          <w:p w14:paraId="6676E0F1" w14:textId="77777777" w:rsidR="00F303E0" w:rsidRPr="00EE5714" w:rsidRDefault="00F303E0" w:rsidP="00406D0A">
            <w:pPr>
              <w:keepNext/>
              <w:autoSpaceDE w:val="0"/>
              <w:autoSpaceDN w:val="0"/>
              <w:contextualSpacing/>
              <w:jc w:val="center"/>
              <w:rPr>
                <w:rFonts w:ascii="Calibri" w:eastAsia="Arial" w:hAnsi="Calibri" w:cs="Calibri"/>
                <w:b/>
                <w:szCs w:val="24"/>
              </w:rPr>
            </w:pPr>
            <w:r w:rsidRPr="00EE5714">
              <w:rPr>
                <w:rFonts w:ascii="Calibri" w:eastAsia="Arial" w:hAnsi="Calibri" w:cs="Calibri"/>
                <w:b/>
                <w:szCs w:val="24"/>
              </w:rPr>
              <w:t xml:space="preserve">Non-CAP </w:t>
            </w:r>
            <w:r w:rsidR="009B7AA6" w:rsidRPr="00EE5714">
              <w:rPr>
                <w:rFonts w:ascii="Calibri" w:eastAsia="Arial" w:hAnsi="Calibri" w:cs="Calibri"/>
                <w:b/>
                <w:szCs w:val="24"/>
              </w:rPr>
              <w:t>Residential</w:t>
            </w:r>
          </w:p>
        </w:tc>
      </w:tr>
      <w:tr w:rsidR="00F303E0" w:rsidRPr="00EE5714" w14:paraId="5D450790" w14:textId="77777777" w:rsidTr="00851815">
        <w:tc>
          <w:tcPr>
            <w:tcW w:w="1710" w:type="dxa"/>
            <w:vAlign w:val="center"/>
          </w:tcPr>
          <w:p w14:paraId="1AE5DF3B"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2012</w:t>
            </w:r>
          </w:p>
        </w:tc>
        <w:tc>
          <w:tcPr>
            <w:tcW w:w="2070" w:type="dxa"/>
            <w:vAlign w:val="center"/>
          </w:tcPr>
          <w:p w14:paraId="7FB19925"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11%</w:t>
            </w:r>
          </w:p>
        </w:tc>
        <w:tc>
          <w:tcPr>
            <w:tcW w:w="2520" w:type="dxa"/>
            <w:vAlign w:val="center"/>
          </w:tcPr>
          <w:p w14:paraId="5B4D21EB"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b/>
                <w:szCs w:val="24"/>
              </w:rPr>
              <w:t>No Response</w:t>
            </w:r>
          </w:p>
        </w:tc>
        <w:tc>
          <w:tcPr>
            <w:tcW w:w="2790" w:type="dxa"/>
            <w:vAlign w:val="center"/>
          </w:tcPr>
          <w:p w14:paraId="391B096A"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3%</w:t>
            </w:r>
          </w:p>
        </w:tc>
      </w:tr>
      <w:tr w:rsidR="00F303E0" w:rsidRPr="00EE5714" w14:paraId="5FE158B6" w14:textId="77777777" w:rsidTr="00851815">
        <w:tc>
          <w:tcPr>
            <w:tcW w:w="1710" w:type="dxa"/>
            <w:vAlign w:val="center"/>
          </w:tcPr>
          <w:p w14:paraId="3C401A45"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2013</w:t>
            </w:r>
          </w:p>
        </w:tc>
        <w:tc>
          <w:tcPr>
            <w:tcW w:w="2070" w:type="dxa"/>
            <w:vAlign w:val="center"/>
          </w:tcPr>
          <w:p w14:paraId="023CA5AF"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17%</w:t>
            </w:r>
          </w:p>
        </w:tc>
        <w:tc>
          <w:tcPr>
            <w:tcW w:w="2520" w:type="dxa"/>
            <w:vAlign w:val="center"/>
          </w:tcPr>
          <w:p w14:paraId="6BACCB2A"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b/>
                <w:szCs w:val="24"/>
              </w:rPr>
              <w:t>No Response</w:t>
            </w:r>
          </w:p>
        </w:tc>
        <w:tc>
          <w:tcPr>
            <w:tcW w:w="2790" w:type="dxa"/>
            <w:vAlign w:val="center"/>
          </w:tcPr>
          <w:p w14:paraId="5EFB0AFC"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6%</w:t>
            </w:r>
          </w:p>
        </w:tc>
      </w:tr>
      <w:tr w:rsidR="00F303E0" w:rsidRPr="00EE5714" w14:paraId="5ABEAE1C" w14:textId="77777777" w:rsidTr="00851815">
        <w:tc>
          <w:tcPr>
            <w:tcW w:w="1710" w:type="dxa"/>
            <w:vAlign w:val="center"/>
          </w:tcPr>
          <w:p w14:paraId="63151EEC"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2014</w:t>
            </w:r>
          </w:p>
        </w:tc>
        <w:tc>
          <w:tcPr>
            <w:tcW w:w="2070" w:type="dxa"/>
            <w:vAlign w:val="center"/>
          </w:tcPr>
          <w:p w14:paraId="3C5037A6"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9%</w:t>
            </w:r>
          </w:p>
        </w:tc>
        <w:tc>
          <w:tcPr>
            <w:tcW w:w="2520" w:type="dxa"/>
            <w:vAlign w:val="center"/>
          </w:tcPr>
          <w:p w14:paraId="6C73B511"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b/>
                <w:szCs w:val="24"/>
              </w:rPr>
              <w:t>No Response</w:t>
            </w:r>
          </w:p>
        </w:tc>
        <w:tc>
          <w:tcPr>
            <w:tcW w:w="2790" w:type="dxa"/>
            <w:vAlign w:val="center"/>
          </w:tcPr>
          <w:p w14:paraId="2DF63E3E"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5%</w:t>
            </w:r>
          </w:p>
        </w:tc>
      </w:tr>
      <w:tr w:rsidR="00F303E0" w:rsidRPr="00EE5714" w14:paraId="712B0A7F" w14:textId="77777777" w:rsidTr="00851815">
        <w:tc>
          <w:tcPr>
            <w:tcW w:w="1710" w:type="dxa"/>
            <w:vAlign w:val="center"/>
          </w:tcPr>
          <w:p w14:paraId="602A3CFD"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2015</w:t>
            </w:r>
          </w:p>
        </w:tc>
        <w:tc>
          <w:tcPr>
            <w:tcW w:w="2070" w:type="dxa"/>
            <w:vAlign w:val="center"/>
          </w:tcPr>
          <w:p w14:paraId="4F72A76D"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3%</w:t>
            </w:r>
          </w:p>
        </w:tc>
        <w:tc>
          <w:tcPr>
            <w:tcW w:w="2520" w:type="dxa"/>
            <w:vAlign w:val="center"/>
          </w:tcPr>
          <w:p w14:paraId="7C8DE18D"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b/>
                <w:szCs w:val="24"/>
              </w:rPr>
              <w:t>No Response</w:t>
            </w:r>
          </w:p>
        </w:tc>
        <w:tc>
          <w:tcPr>
            <w:tcW w:w="2790" w:type="dxa"/>
            <w:vAlign w:val="center"/>
          </w:tcPr>
          <w:p w14:paraId="6A12E012"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3%</w:t>
            </w:r>
          </w:p>
        </w:tc>
      </w:tr>
      <w:tr w:rsidR="00F303E0" w:rsidRPr="00EE5714" w14:paraId="23331732" w14:textId="77777777" w:rsidTr="00851815">
        <w:tc>
          <w:tcPr>
            <w:tcW w:w="1710" w:type="dxa"/>
            <w:vAlign w:val="center"/>
          </w:tcPr>
          <w:p w14:paraId="1B3EA2EC" w14:textId="77777777" w:rsidR="00F303E0" w:rsidRPr="00EE5714" w:rsidRDefault="00F303E0" w:rsidP="00406D0A">
            <w:pPr>
              <w:autoSpaceDE w:val="0"/>
              <w:autoSpaceDN w:val="0"/>
              <w:contextualSpacing/>
              <w:jc w:val="center"/>
              <w:rPr>
                <w:rFonts w:ascii="Calibri" w:eastAsia="Arial" w:hAnsi="Calibri" w:cs="Calibri"/>
                <w:szCs w:val="24"/>
              </w:rPr>
            </w:pPr>
            <w:r w:rsidRPr="00EE5714">
              <w:rPr>
                <w:rFonts w:ascii="Calibri" w:eastAsia="Arial" w:hAnsi="Calibri" w:cs="Calibri"/>
                <w:szCs w:val="24"/>
              </w:rPr>
              <w:t>2016</w:t>
            </w:r>
          </w:p>
        </w:tc>
        <w:tc>
          <w:tcPr>
            <w:tcW w:w="2070" w:type="dxa"/>
            <w:vAlign w:val="center"/>
          </w:tcPr>
          <w:p w14:paraId="4CFD0A15"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11%</w:t>
            </w:r>
          </w:p>
        </w:tc>
        <w:tc>
          <w:tcPr>
            <w:tcW w:w="2520" w:type="dxa"/>
            <w:vAlign w:val="center"/>
          </w:tcPr>
          <w:p w14:paraId="22789302"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b/>
                <w:szCs w:val="24"/>
              </w:rPr>
              <w:t>No Response</w:t>
            </w:r>
          </w:p>
        </w:tc>
        <w:tc>
          <w:tcPr>
            <w:tcW w:w="2790" w:type="dxa"/>
            <w:vAlign w:val="center"/>
          </w:tcPr>
          <w:p w14:paraId="06AC833B" w14:textId="77777777" w:rsidR="00F303E0" w:rsidRPr="00EE5714" w:rsidRDefault="00F303E0" w:rsidP="00406D0A">
            <w:pPr>
              <w:keepNext/>
              <w:autoSpaceDE w:val="0"/>
              <w:autoSpaceDN w:val="0"/>
              <w:contextualSpacing/>
              <w:jc w:val="center"/>
              <w:rPr>
                <w:rFonts w:ascii="Calibri" w:eastAsia="Arial" w:hAnsi="Calibri" w:cs="Calibri"/>
                <w:szCs w:val="24"/>
              </w:rPr>
            </w:pPr>
            <w:r w:rsidRPr="00EE5714">
              <w:rPr>
                <w:rFonts w:ascii="Calibri" w:eastAsia="Arial" w:hAnsi="Calibri" w:cs="Calibri"/>
                <w:szCs w:val="24"/>
              </w:rPr>
              <w:t>5%</w:t>
            </w:r>
          </w:p>
        </w:tc>
      </w:tr>
    </w:tbl>
    <w:p w14:paraId="7A0DABCF" w14:textId="77777777" w:rsidR="00F303E0" w:rsidRPr="00EE5714" w:rsidRDefault="00F303E0" w:rsidP="00406D0A">
      <w:pPr>
        <w:autoSpaceDE w:val="0"/>
        <w:autoSpaceDN w:val="0"/>
        <w:spacing w:after="0" w:line="240" w:lineRule="auto"/>
        <w:ind w:left="173"/>
        <w:contextualSpacing/>
        <w:rPr>
          <w:rFonts w:ascii="Times New Roman" w:eastAsia="Arial" w:hAnsi="Times New Roman" w:cs="Times New Roman"/>
          <w:sz w:val="26"/>
          <w:szCs w:val="26"/>
        </w:rPr>
      </w:pPr>
    </w:p>
    <w:p w14:paraId="79850B72" w14:textId="77777777" w:rsidR="00F303E0" w:rsidRPr="00EE5714" w:rsidRDefault="00F303E0" w:rsidP="00F303E0">
      <w:pPr>
        <w:pStyle w:val="NoSpacing"/>
        <w:rPr>
          <w:rFonts w:cs="Times New Roman"/>
          <w:b/>
          <w:color w:val="2F5496" w:themeColor="accent1" w:themeShade="BF"/>
          <w:szCs w:val="26"/>
        </w:rPr>
      </w:pPr>
      <w:r w:rsidRPr="00EE5714">
        <w:rPr>
          <w:rFonts w:cs="Times New Roman"/>
          <w:b/>
          <w:color w:val="2F5496" w:themeColor="accent1" w:themeShade="BF"/>
          <w:szCs w:val="26"/>
        </w:rPr>
        <w:br w:type="page"/>
      </w:r>
    </w:p>
    <w:p w14:paraId="0015204F" w14:textId="63502A01" w:rsidR="00F303E0" w:rsidRPr="00EE5714" w:rsidRDefault="00F734A0" w:rsidP="001223B9">
      <w:pPr>
        <w:pStyle w:val="Heading2"/>
        <w:spacing w:before="0" w:line="240" w:lineRule="auto"/>
      </w:pPr>
      <w:bookmarkStart w:id="85" w:name="_Toc533674879"/>
      <w:bookmarkStart w:id="86" w:name="_Toc534547884"/>
      <w:r w:rsidRPr="00EE5714">
        <w:lastRenderedPageBreak/>
        <w:t>Appendix 9</w:t>
      </w:r>
      <w:r w:rsidR="00F303E0" w:rsidRPr="00EE5714">
        <w:t xml:space="preserve"> –CAP Costs and Forecasts</w:t>
      </w:r>
      <w:bookmarkEnd w:id="85"/>
      <w:bookmarkEnd w:id="86"/>
    </w:p>
    <w:p w14:paraId="45852EF8" w14:textId="77777777" w:rsidR="00F303E0" w:rsidRPr="00EE5714" w:rsidRDefault="00F303E0" w:rsidP="001223B9">
      <w:pPr>
        <w:keepNext/>
        <w:spacing w:after="0" w:line="240" w:lineRule="auto"/>
      </w:pPr>
    </w:p>
    <w:p w14:paraId="2167C9BF" w14:textId="625EF162" w:rsidR="00F303E0" w:rsidRPr="00EE5714" w:rsidRDefault="00F734A0" w:rsidP="001223B9">
      <w:pPr>
        <w:keepNext/>
        <w:spacing w:after="0" w:line="240" w:lineRule="auto"/>
        <w:rPr>
          <w:rFonts w:ascii="Times New Roman" w:hAnsi="Times New Roman" w:cs="Times New Roman"/>
          <w:i/>
          <w:color w:val="000000" w:themeColor="text1"/>
          <w:sz w:val="26"/>
          <w:szCs w:val="26"/>
        </w:rPr>
      </w:pPr>
      <w:r w:rsidRPr="00EE5714">
        <w:rPr>
          <w:rFonts w:ascii="Times New Roman" w:hAnsi="Times New Roman" w:cs="Times New Roman"/>
          <w:i/>
          <w:color w:val="000000" w:themeColor="text1"/>
          <w:sz w:val="26"/>
          <w:szCs w:val="26"/>
        </w:rPr>
        <w:t>Appendix 9</w:t>
      </w:r>
      <w:r w:rsidR="00F303E0" w:rsidRPr="00EE5714">
        <w:rPr>
          <w:rFonts w:ascii="Times New Roman" w:hAnsi="Times New Roman" w:cs="Times New Roman"/>
          <w:i/>
          <w:color w:val="000000" w:themeColor="text1"/>
          <w:sz w:val="26"/>
          <w:szCs w:val="26"/>
        </w:rPr>
        <w:t>.A: Table 10-</w:t>
      </w:r>
      <w:r w:rsidR="00083E32">
        <w:rPr>
          <w:rFonts w:ascii="Times New Roman" w:hAnsi="Times New Roman" w:cs="Times New Roman"/>
          <w:i/>
          <w:color w:val="000000" w:themeColor="text1"/>
          <w:sz w:val="26"/>
          <w:szCs w:val="26"/>
        </w:rPr>
        <w:t>3</w:t>
      </w:r>
      <w:r w:rsidR="00F303E0" w:rsidRPr="00EE5714">
        <w:rPr>
          <w:rFonts w:ascii="Times New Roman" w:hAnsi="Times New Roman" w:cs="Times New Roman"/>
          <w:i/>
          <w:color w:val="000000" w:themeColor="text1"/>
          <w:sz w:val="26"/>
          <w:szCs w:val="26"/>
        </w:rPr>
        <w:t xml:space="preserve"> NGDC Residential Customers and Average CAP Enrollment</w:t>
      </w:r>
      <w:r w:rsidR="006F66C9">
        <w:rPr>
          <w:rFonts w:ascii="Times New Roman" w:hAnsi="Times New Roman" w:cs="Times New Roman"/>
          <w:i/>
          <w:color w:val="000000" w:themeColor="text1"/>
          <w:sz w:val="26"/>
          <w:szCs w:val="26"/>
        </w:rPr>
        <w:t xml:space="preserve"> </w:t>
      </w:r>
      <w:r w:rsidR="006337C7">
        <w:rPr>
          <w:rFonts w:ascii="Times New Roman" w:hAnsi="Times New Roman" w:cs="Times New Roman"/>
          <w:i/>
          <w:color w:val="000000" w:themeColor="text1"/>
          <w:sz w:val="26"/>
          <w:szCs w:val="26"/>
        </w:rPr>
        <w:t>U</w:t>
      </w:r>
      <w:r w:rsidR="006F66C9">
        <w:rPr>
          <w:rFonts w:ascii="Times New Roman" w:hAnsi="Times New Roman" w:cs="Times New Roman"/>
          <w:i/>
          <w:color w:val="000000" w:themeColor="text1"/>
          <w:sz w:val="26"/>
          <w:szCs w:val="26"/>
        </w:rPr>
        <w:t>sed to Calculate</w:t>
      </w:r>
      <w:r w:rsidR="006337C7">
        <w:rPr>
          <w:rFonts w:ascii="Times New Roman" w:hAnsi="Times New Roman" w:cs="Times New Roman"/>
          <w:i/>
          <w:color w:val="000000" w:themeColor="text1"/>
          <w:sz w:val="26"/>
          <w:szCs w:val="26"/>
        </w:rPr>
        <w:t xml:space="preserve"> </w:t>
      </w:r>
      <w:r w:rsidR="003B3E83">
        <w:rPr>
          <w:rFonts w:ascii="Times New Roman" w:hAnsi="Times New Roman" w:cs="Times New Roman"/>
          <w:i/>
          <w:color w:val="000000" w:themeColor="text1"/>
          <w:sz w:val="26"/>
          <w:szCs w:val="26"/>
        </w:rPr>
        <w:t xml:space="preserve">NGDC </w:t>
      </w:r>
      <w:r w:rsidR="006337C7">
        <w:rPr>
          <w:rFonts w:ascii="Times New Roman" w:hAnsi="Times New Roman" w:cs="Times New Roman"/>
          <w:i/>
          <w:color w:val="000000" w:themeColor="text1"/>
          <w:sz w:val="26"/>
          <w:szCs w:val="26"/>
        </w:rPr>
        <w:t xml:space="preserve">Non-CAP Residential Customers </w:t>
      </w:r>
    </w:p>
    <w:p w14:paraId="25B369D9" w14:textId="77777777" w:rsidR="00F303E0" w:rsidRPr="00EE5714" w:rsidRDefault="00F303E0" w:rsidP="001223B9">
      <w:pPr>
        <w:keepNext/>
        <w:spacing w:after="0" w:line="240" w:lineRule="auto"/>
      </w:pPr>
    </w:p>
    <w:p w14:paraId="232AF303" w14:textId="77777777" w:rsidR="00417B67" w:rsidRDefault="00F734A0" w:rsidP="008014A8">
      <w:pPr>
        <w:keepNext/>
        <w:spacing w:after="0"/>
        <w:rPr>
          <w:rFonts w:ascii="Times New Roman" w:eastAsia="Times New Roman" w:hAnsi="Times New Roman" w:cs="Times New Roman"/>
          <w:b/>
          <w:bCs/>
          <w:color w:val="000000"/>
          <w:sz w:val="26"/>
          <w:szCs w:val="26"/>
        </w:rPr>
      </w:pPr>
      <w:r w:rsidRPr="00EE5714">
        <w:rPr>
          <w:rFonts w:ascii="Times New Roman" w:hAnsi="Times New Roman" w:cs="Times New Roman"/>
          <w:sz w:val="26"/>
          <w:szCs w:val="26"/>
        </w:rPr>
        <w:t>Appendix 9</w:t>
      </w:r>
      <w:r w:rsidR="00F303E0" w:rsidRPr="00EE5714">
        <w:rPr>
          <w:rFonts w:ascii="Times New Roman" w:hAnsi="Times New Roman" w:cs="Times New Roman"/>
          <w:sz w:val="26"/>
          <w:szCs w:val="26"/>
        </w:rPr>
        <w:t xml:space="preserve">.A.1: </w:t>
      </w:r>
      <w:r w:rsidR="00F303E0" w:rsidRPr="00EE5714">
        <w:rPr>
          <w:rFonts w:ascii="Times New Roman" w:eastAsia="Times New Roman" w:hAnsi="Times New Roman" w:cs="Times New Roman"/>
          <w:b/>
          <w:bCs/>
          <w:color w:val="000000"/>
          <w:sz w:val="26"/>
          <w:szCs w:val="26"/>
        </w:rPr>
        <w:t>NGDC Residential Customers</w:t>
      </w:r>
    </w:p>
    <w:tbl>
      <w:tblPr>
        <w:tblW w:w="10440" w:type="dxa"/>
        <w:jc w:val="center"/>
        <w:tblLook w:val="04A0" w:firstRow="1" w:lastRow="0" w:firstColumn="1" w:lastColumn="0" w:noHBand="0" w:noVBand="1"/>
      </w:tblPr>
      <w:tblGrid>
        <w:gridCol w:w="1710"/>
        <w:gridCol w:w="1350"/>
        <w:gridCol w:w="1440"/>
        <w:gridCol w:w="1620"/>
        <w:gridCol w:w="1530"/>
        <w:gridCol w:w="1530"/>
        <w:gridCol w:w="1260"/>
      </w:tblGrid>
      <w:tr w:rsidR="00CD674D" w:rsidRPr="00CD674D" w14:paraId="7BDF11F1" w14:textId="77777777" w:rsidTr="002569F9">
        <w:trPr>
          <w:trHeight w:val="300"/>
          <w:jc w:val="center"/>
        </w:trPr>
        <w:tc>
          <w:tcPr>
            <w:tcW w:w="10440" w:type="dxa"/>
            <w:gridSpan w:val="7"/>
            <w:tcBorders>
              <w:top w:val="single" w:sz="4" w:space="0" w:color="auto"/>
              <w:left w:val="single" w:sz="4" w:space="0" w:color="000000"/>
              <w:bottom w:val="single" w:sz="4" w:space="0" w:color="000000"/>
              <w:right w:val="single" w:sz="4" w:space="0" w:color="auto"/>
            </w:tcBorders>
            <w:shd w:val="clear" w:color="000000" w:fill="BFBFBF"/>
            <w:noWrap/>
            <w:vAlign w:val="center"/>
            <w:hideMark/>
          </w:tcPr>
          <w:p w14:paraId="47F778B8" w14:textId="77777777" w:rsidR="00CD674D" w:rsidRPr="00CD674D" w:rsidRDefault="00CD674D" w:rsidP="00CD674D">
            <w:pPr>
              <w:spacing w:after="0" w:line="240" w:lineRule="auto"/>
              <w:jc w:val="center"/>
              <w:rPr>
                <w:rFonts w:ascii="Calibri" w:eastAsia="Times New Roman" w:hAnsi="Calibri" w:cs="Calibri"/>
                <w:b/>
                <w:bCs/>
                <w:color w:val="000000"/>
              </w:rPr>
            </w:pPr>
            <w:r w:rsidRPr="00CD674D">
              <w:rPr>
                <w:rFonts w:ascii="Calibri" w:eastAsia="Times New Roman" w:hAnsi="Calibri" w:cs="Calibri"/>
                <w:b/>
                <w:bCs/>
                <w:color w:val="000000"/>
              </w:rPr>
              <w:t>NGDC Residential Customers</w:t>
            </w:r>
          </w:p>
        </w:tc>
      </w:tr>
      <w:tr w:rsidR="00CD674D" w:rsidRPr="00CD674D" w14:paraId="266717EF" w14:textId="77777777" w:rsidTr="006F0F9B">
        <w:trPr>
          <w:trHeight w:val="56"/>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37C0485B" w14:textId="77777777" w:rsidR="00CD674D" w:rsidRPr="00CD674D" w:rsidRDefault="00CD674D" w:rsidP="00CD674D">
            <w:pPr>
              <w:spacing w:after="0" w:line="240" w:lineRule="auto"/>
              <w:jc w:val="center"/>
              <w:rPr>
                <w:rFonts w:ascii="Calibri" w:eastAsia="Times New Roman" w:hAnsi="Calibri" w:cs="Calibri"/>
                <w:b/>
                <w:bCs/>
                <w:i/>
                <w:iCs/>
                <w:color w:val="000000"/>
                <w:sz w:val="21"/>
                <w:szCs w:val="21"/>
              </w:rPr>
            </w:pPr>
            <w:r w:rsidRPr="00CD674D">
              <w:rPr>
                <w:rFonts w:ascii="Calibri" w:eastAsia="Times New Roman" w:hAnsi="Calibri" w:cs="Calibri"/>
                <w:b/>
                <w:bCs/>
                <w:i/>
                <w:iCs/>
                <w:color w:val="000000"/>
                <w:sz w:val="21"/>
                <w:szCs w:val="21"/>
              </w:rPr>
              <w:t> </w:t>
            </w:r>
          </w:p>
        </w:tc>
        <w:tc>
          <w:tcPr>
            <w:tcW w:w="1350" w:type="dxa"/>
            <w:tcBorders>
              <w:top w:val="nil"/>
              <w:left w:val="nil"/>
              <w:bottom w:val="single" w:sz="4" w:space="0" w:color="000000"/>
              <w:right w:val="single" w:sz="4" w:space="0" w:color="000000"/>
            </w:tcBorders>
            <w:shd w:val="clear" w:color="auto" w:fill="auto"/>
            <w:noWrap/>
            <w:vAlign w:val="center"/>
            <w:hideMark/>
          </w:tcPr>
          <w:p w14:paraId="66A4A3FF" w14:textId="77777777" w:rsidR="00CD674D" w:rsidRPr="00CD674D" w:rsidRDefault="00CD674D" w:rsidP="00CD674D">
            <w:pPr>
              <w:spacing w:after="0" w:line="240" w:lineRule="auto"/>
              <w:jc w:val="center"/>
              <w:rPr>
                <w:rFonts w:ascii="Calibri" w:eastAsia="Times New Roman" w:hAnsi="Calibri" w:cs="Calibri"/>
                <w:b/>
                <w:bCs/>
                <w:color w:val="000000"/>
              </w:rPr>
            </w:pPr>
            <w:r w:rsidRPr="00CD674D">
              <w:rPr>
                <w:rFonts w:ascii="Calibri" w:eastAsia="Times New Roman" w:hAnsi="Calibri" w:cs="Calibri"/>
                <w:b/>
                <w:bCs/>
                <w:color w:val="000000"/>
              </w:rPr>
              <w:t>2012</w:t>
            </w:r>
          </w:p>
        </w:tc>
        <w:tc>
          <w:tcPr>
            <w:tcW w:w="1440" w:type="dxa"/>
            <w:tcBorders>
              <w:top w:val="nil"/>
              <w:left w:val="nil"/>
              <w:bottom w:val="single" w:sz="4" w:space="0" w:color="000000"/>
              <w:right w:val="single" w:sz="4" w:space="0" w:color="000000"/>
            </w:tcBorders>
            <w:shd w:val="clear" w:color="auto" w:fill="auto"/>
            <w:noWrap/>
            <w:vAlign w:val="center"/>
            <w:hideMark/>
          </w:tcPr>
          <w:p w14:paraId="55345EC7" w14:textId="77777777" w:rsidR="00CD674D" w:rsidRPr="00CD674D" w:rsidRDefault="00CD674D" w:rsidP="00CD674D">
            <w:pPr>
              <w:spacing w:after="0" w:line="240" w:lineRule="auto"/>
              <w:jc w:val="center"/>
              <w:rPr>
                <w:rFonts w:ascii="Calibri" w:eastAsia="Times New Roman" w:hAnsi="Calibri" w:cs="Calibri"/>
                <w:b/>
                <w:bCs/>
                <w:color w:val="000000"/>
              </w:rPr>
            </w:pPr>
            <w:r w:rsidRPr="00CD674D">
              <w:rPr>
                <w:rFonts w:ascii="Calibri" w:eastAsia="Times New Roman" w:hAnsi="Calibri" w:cs="Calibri"/>
                <w:b/>
                <w:bCs/>
                <w:color w:val="000000"/>
              </w:rPr>
              <w:t>2013</w:t>
            </w:r>
          </w:p>
        </w:tc>
        <w:tc>
          <w:tcPr>
            <w:tcW w:w="1620" w:type="dxa"/>
            <w:tcBorders>
              <w:top w:val="nil"/>
              <w:left w:val="nil"/>
              <w:bottom w:val="single" w:sz="4" w:space="0" w:color="000000"/>
              <w:right w:val="single" w:sz="4" w:space="0" w:color="000000"/>
            </w:tcBorders>
            <w:shd w:val="clear" w:color="auto" w:fill="auto"/>
            <w:noWrap/>
            <w:vAlign w:val="center"/>
            <w:hideMark/>
          </w:tcPr>
          <w:p w14:paraId="5524DCC5" w14:textId="77777777" w:rsidR="00CD674D" w:rsidRPr="00CD674D" w:rsidRDefault="00CD674D" w:rsidP="00CD674D">
            <w:pPr>
              <w:spacing w:after="0" w:line="240" w:lineRule="auto"/>
              <w:jc w:val="center"/>
              <w:rPr>
                <w:rFonts w:ascii="Calibri" w:eastAsia="Times New Roman" w:hAnsi="Calibri" w:cs="Calibri"/>
                <w:b/>
                <w:bCs/>
                <w:color w:val="000000"/>
              </w:rPr>
            </w:pPr>
            <w:r w:rsidRPr="00CD674D">
              <w:rPr>
                <w:rFonts w:ascii="Calibri" w:eastAsia="Times New Roman" w:hAnsi="Calibri" w:cs="Calibri"/>
                <w:b/>
                <w:bCs/>
                <w:color w:val="000000"/>
              </w:rPr>
              <w:t>2014</w:t>
            </w:r>
          </w:p>
        </w:tc>
        <w:tc>
          <w:tcPr>
            <w:tcW w:w="1530" w:type="dxa"/>
            <w:tcBorders>
              <w:top w:val="nil"/>
              <w:left w:val="nil"/>
              <w:bottom w:val="single" w:sz="4" w:space="0" w:color="000000"/>
              <w:right w:val="single" w:sz="4" w:space="0" w:color="000000"/>
            </w:tcBorders>
            <w:shd w:val="clear" w:color="auto" w:fill="auto"/>
            <w:noWrap/>
            <w:vAlign w:val="center"/>
            <w:hideMark/>
          </w:tcPr>
          <w:p w14:paraId="023661AA" w14:textId="77777777" w:rsidR="00CD674D" w:rsidRPr="00CD674D" w:rsidRDefault="00CD674D" w:rsidP="00CD674D">
            <w:pPr>
              <w:spacing w:after="0" w:line="240" w:lineRule="auto"/>
              <w:jc w:val="center"/>
              <w:rPr>
                <w:rFonts w:ascii="Calibri" w:eastAsia="Times New Roman" w:hAnsi="Calibri" w:cs="Calibri"/>
                <w:b/>
                <w:bCs/>
                <w:color w:val="000000"/>
              </w:rPr>
            </w:pPr>
            <w:r w:rsidRPr="00CD674D">
              <w:rPr>
                <w:rFonts w:ascii="Calibri" w:eastAsia="Times New Roman" w:hAnsi="Calibri" w:cs="Calibri"/>
                <w:b/>
                <w:bCs/>
                <w:color w:val="000000"/>
              </w:rPr>
              <w:t>2015</w:t>
            </w:r>
          </w:p>
        </w:tc>
        <w:tc>
          <w:tcPr>
            <w:tcW w:w="1530" w:type="dxa"/>
            <w:tcBorders>
              <w:top w:val="nil"/>
              <w:left w:val="nil"/>
              <w:bottom w:val="single" w:sz="4" w:space="0" w:color="000000"/>
              <w:right w:val="single" w:sz="4" w:space="0" w:color="000000"/>
            </w:tcBorders>
            <w:shd w:val="clear" w:color="auto" w:fill="auto"/>
            <w:noWrap/>
            <w:vAlign w:val="center"/>
            <w:hideMark/>
          </w:tcPr>
          <w:p w14:paraId="7B4D600A" w14:textId="77777777" w:rsidR="00CD674D" w:rsidRPr="00CD674D" w:rsidRDefault="00CD674D" w:rsidP="00CD674D">
            <w:pPr>
              <w:spacing w:after="0" w:line="240" w:lineRule="auto"/>
              <w:jc w:val="center"/>
              <w:rPr>
                <w:rFonts w:ascii="Calibri" w:eastAsia="Times New Roman" w:hAnsi="Calibri" w:cs="Calibri"/>
                <w:b/>
                <w:bCs/>
                <w:color w:val="000000"/>
              </w:rPr>
            </w:pPr>
            <w:r w:rsidRPr="00CD674D">
              <w:rPr>
                <w:rFonts w:ascii="Calibri" w:eastAsia="Times New Roman" w:hAnsi="Calibri" w:cs="Calibri"/>
                <w:b/>
                <w:bCs/>
                <w:color w:val="000000"/>
              </w:rPr>
              <w:t>2016</w:t>
            </w:r>
          </w:p>
        </w:tc>
        <w:tc>
          <w:tcPr>
            <w:tcW w:w="1260" w:type="dxa"/>
            <w:tcBorders>
              <w:top w:val="nil"/>
              <w:left w:val="nil"/>
              <w:bottom w:val="single" w:sz="4" w:space="0" w:color="000000"/>
              <w:right w:val="single" w:sz="4" w:space="0" w:color="000000"/>
            </w:tcBorders>
            <w:shd w:val="clear" w:color="auto" w:fill="auto"/>
            <w:noWrap/>
            <w:vAlign w:val="center"/>
            <w:hideMark/>
          </w:tcPr>
          <w:p w14:paraId="626A630F" w14:textId="77777777" w:rsidR="00CD674D" w:rsidRPr="00CD674D" w:rsidRDefault="00CD674D" w:rsidP="00CD674D">
            <w:pPr>
              <w:spacing w:after="0" w:line="240" w:lineRule="auto"/>
              <w:jc w:val="center"/>
              <w:rPr>
                <w:rFonts w:ascii="Calibri" w:eastAsia="Times New Roman" w:hAnsi="Calibri" w:cs="Calibri"/>
                <w:b/>
                <w:bCs/>
                <w:color w:val="000000"/>
              </w:rPr>
            </w:pPr>
            <w:r w:rsidRPr="00CD674D">
              <w:rPr>
                <w:rFonts w:ascii="Calibri" w:eastAsia="Times New Roman" w:hAnsi="Calibri" w:cs="Calibri"/>
                <w:b/>
                <w:bCs/>
                <w:color w:val="000000"/>
              </w:rPr>
              <w:t>2017</w:t>
            </w:r>
          </w:p>
        </w:tc>
      </w:tr>
      <w:tr w:rsidR="00564DD1" w:rsidRPr="00CD674D" w14:paraId="5F580257" w14:textId="77777777" w:rsidTr="006F0F9B">
        <w:trPr>
          <w:trHeight w:val="300"/>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5C0DEB5D" w14:textId="77777777" w:rsidR="00CD674D" w:rsidRPr="00CD674D" w:rsidRDefault="00CD674D" w:rsidP="00CD674D">
            <w:pPr>
              <w:spacing w:after="0" w:line="240" w:lineRule="auto"/>
              <w:rPr>
                <w:rFonts w:ascii="Calibri" w:eastAsia="Times New Roman" w:hAnsi="Calibri" w:cs="Calibri"/>
                <w:b/>
                <w:bCs/>
                <w:color w:val="000000"/>
              </w:rPr>
            </w:pPr>
            <w:r w:rsidRPr="00CD674D">
              <w:rPr>
                <w:rFonts w:ascii="Calibri" w:eastAsia="Times New Roman" w:hAnsi="Calibri" w:cs="Calibri"/>
                <w:b/>
                <w:bCs/>
                <w:color w:val="000000"/>
              </w:rPr>
              <w:t>Columbia</w:t>
            </w:r>
          </w:p>
        </w:tc>
        <w:tc>
          <w:tcPr>
            <w:tcW w:w="1350" w:type="dxa"/>
            <w:tcBorders>
              <w:top w:val="nil"/>
              <w:left w:val="nil"/>
              <w:bottom w:val="single" w:sz="4" w:space="0" w:color="000000"/>
              <w:right w:val="single" w:sz="4" w:space="0" w:color="000000"/>
            </w:tcBorders>
            <w:shd w:val="clear" w:color="auto" w:fill="auto"/>
            <w:noWrap/>
            <w:vAlign w:val="bottom"/>
            <w:hideMark/>
          </w:tcPr>
          <w:p w14:paraId="1D0B29D3" w14:textId="77777777" w:rsidR="00CD674D" w:rsidRPr="00CD674D" w:rsidRDefault="00CD674D" w:rsidP="00CD674D">
            <w:pPr>
              <w:spacing w:after="0" w:line="240" w:lineRule="auto"/>
              <w:rPr>
                <w:rFonts w:ascii="Calibri" w:eastAsia="Times New Roman" w:hAnsi="Calibri" w:cs="Calibri"/>
                <w:sz w:val="21"/>
                <w:szCs w:val="21"/>
              </w:rPr>
            </w:pPr>
            <w:r w:rsidRPr="00CD674D">
              <w:rPr>
                <w:rFonts w:ascii="Calibri" w:eastAsia="Times New Roman" w:hAnsi="Calibri" w:cs="Calibri"/>
                <w:sz w:val="21"/>
                <w:szCs w:val="21"/>
              </w:rPr>
              <w:t xml:space="preserve">      382,677 </w:t>
            </w:r>
          </w:p>
        </w:tc>
        <w:tc>
          <w:tcPr>
            <w:tcW w:w="1440" w:type="dxa"/>
            <w:tcBorders>
              <w:top w:val="nil"/>
              <w:left w:val="nil"/>
              <w:bottom w:val="single" w:sz="4" w:space="0" w:color="000000"/>
              <w:right w:val="single" w:sz="4" w:space="0" w:color="000000"/>
            </w:tcBorders>
            <w:shd w:val="clear" w:color="auto" w:fill="auto"/>
            <w:noWrap/>
            <w:vAlign w:val="center"/>
            <w:hideMark/>
          </w:tcPr>
          <w:p w14:paraId="505051BA"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384,213</w:t>
            </w:r>
          </w:p>
        </w:tc>
        <w:tc>
          <w:tcPr>
            <w:tcW w:w="1620" w:type="dxa"/>
            <w:tcBorders>
              <w:top w:val="nil"/>
              <w:left w:val="nil"/>
              <w:bottom w:val="single" w:sz="4" w:space="0" w:color="000000"/>
              <w:right w:val="single" w:sz="4" w:space="0" w:color="000000"/>
            </w:tcBorders>
            <w:shd w:val="clear" w:color="auto" w:fill="auto"/>
            <w:noWrap/>
            <w:vAlign w:val="center"/>
            <w:hideMark/>
          </w:tcPr>
          <w:p w14:paraId="345C30C0"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386,150</w:t>
            </w:r>
          </w:p>
        </w:tc>
        <w:tc>
          <w:tcPr>
            <w:tcW w:w="1530" w:type="dxa"/>
            <w:tcBorders>
              <w:top w:val="nil"/>
              <w:left w:val="nil"/>
              <w:bottom w:val="single" w:sz="4" w:space="0" w:color="000000"/>
              <w:right w:val="single" w:sz="4" w:space="0" w:color="000000"/>
            </w:tcBorders>
            <w:shd w:val="clear" w:color="auto" w:fill="auto"/>
            <w:noWrap/>
            <w:vAlign w:val="bottom"/>
            <w:hideMark/>
          </w:tcPr>
          <w:p w14:paraId="4FC709F8"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387,782</w:t>
            </w:r>
          </w:p>
        </w:tc>
        <w:tc>
          <w:tcPr>
            <w:tcW w:w="1530" w:type="dxa"/>
            <w:tcBorders>
              <w:top w:val="nil"/>
              <w:left w:val="nil"/>
              <w:bottom w:val="single" w:sz="4" w:space="0" w:color="000000"/>
              <w:right w:val="single" w:sz="4" w:space="0" w:color="000000"/>
            </w:tcBorders>
            <w:shd w:val="clear" w:color="auto" w:fill="auto"/>
            <w:vAlign w:val="bottom"/>
            <w:hideMark/>
          </w:tcPr>
          <w:p w14:paraId="21D64F3B"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390,394</w:t>
            </w:r>
          </w:p>
        </w:tc>
        <w:tc>
          <w:tcPr>
            <w:tcW w:w="1260" w:type="dxa"/>
            <w:tcBorders>
              <w:top w:val="nil"/>
              <w:left w:val="nil"/>
              <w:bottom w:val="single" w:sz="4" w:space="0" w:color="000000"/>
              <w:right w:val="single" w:sz="4" w:space="0" w:color="000000"/>
            </w:tcBorders>
            <w:shd w:val="clear" w:color="auto" w:fill="auto"/>
            <w:vAlign w:val="bottom"/>
            <w:hideMark/>
          </w:tcPr>
          <w:p w14:paraId="35AA3FA2"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393,410</w:t>
            </w:r>
          </w:p>
        </w:tc>
      </w:tr>
      <w:tr w:rsidR="00564DD1" w:rsidRPr="00CD674D" w14:paraId="28834662" w14:textId="77777777" w:rsidTr="006F0F9B">
        <w:trPr>
          <w:trHeight w:val="300"/>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4E5EB14D" w14:textId="77777777" w:rsidR="00CD674D" w:rsidRPr="00CD674D" w:rsidRDefault="00CD674D" w:rsidP="00CD674D">
            <w:pPr>
              <w:spacing w:after="0" w:line="240" w:lineRule="auto"/>
              <w:rPr>
                <w:rFonts w:ascii="Calibri" w:eastAsia="Times New Roman" w:hAnsi="Calibri" w:cs="Calibri"/>
                <w:b/>
                <w:bCs/>
                <w:color w:val="000000"/>
              </w:rPr>
            </w:pPr>
            <w:r w:rsidRPr="00CD674D">
              <w:rPr>
                <w:rFonts w:ascii="Calibri" w:eastAsia="Times New Roman" w:hAnsi="Calibri" w:cs="Calibri"/>
                <w:b/>
                <w:bCs/>
                <w:color w:val="000000"/>
              </w:rPr>
              <w:t>NFG</w:t>
            </w:r>
          </w:p>
        </w:tc>
        <w:tc>
          <w:tcPr>
            <w:tcW w:w="1350" w:type="dxa"/>
            <w:tcBorders>
              <w:top w:val="nil"/>
              <w:left w:val="nil"/>
              <w:bottom w:val="single" w:sz="4" w:space="0" w:color="000000"/>
              <w:right w:val="single" w:sz="4" w:space="0" w:color="000000"/>
            </w:tcBorders>
            <w:shd w:val="clear" w:color="auto" w:fill="auto"/>
            <w:noWrap/>
            <w:vAlign w:val="bottom"/>
            <w:hideMark/>
          </w:tcPr>
          <w:p w14:paraId="21C4ADD1" w14:textId="77777777" w:rsidR="00CD674D" w:rsidRPr="00CD674D" w:rsidRDefault="00CD674D" w:rsidP="00CD674D">
            <w:pPr>
              <w:spacing w:after="0" w:line="240" w:lineRule="auto"/>
              <w:rPr>
                <w:rFonts w:ascii="Calibri" w:eastAsia="Times New Roman" w:hAnsi="Calibri" w:cs="Calibri"/>
                <w:color w:val="000000"/>
                <w:sz w:val="21"/>
                <w:szCs w:val="21"/>
              </w:rPr>
            </w:pPr>
            <w:r w:rsidRPr="00CD674D">
              <w:rPr>
                <w:rFonts w:ascii="Calibri" w:eastAsia="Times New Roman" w:hAnsi="Calibri" w:cs="Calibri"/>
                <w:color w:val="000000"/>
                <w:sz w:val="21"/>
                <w:szCs w:val="21"/>
              </w:rPr>
              <w:t xml:space="preserve">      198,663 </w:t>
            </w:r>
          </w:p>
        </w:tc>
        <w:tc>
          <w:tcPr>
            <w:tcW w:w="1440" w:type="dxa"/>
            <w:tcBorders>
              <w:top w:val="nil"/>
              <w:left w:val="nil"/>
              <w:bottom w:val="single" w:sz="4" w:space="0" w:color="000000"/>
              <w:right w:val="single" w:sz="4" w:space="0" w:color="000000"/>
            </w:tcBorders>
            <w:shd w:val="clear" w:color="auto" w:fill="auto"/>
            <w:noWrap/>
            <w:vAlign w:val="center"/>
            <w:hideMark/>
          </w:tcPr>
          <w:p w14:paraId="114CF269"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198,763</w:t>
            </w:r>
          </w:p>
        </w:tc>
        <w:tc>
          <w:tcPr>
            <w:tcW w:w="1620" w:type="dxa"/>
            <w:tcBorders>
              <w:top w:val="nil"/>
              <w:left w:val="nil"/>
              <w:bottom w:val="single" w:sz="4" w:space="0" w:color="000000"/>
              <w:right w:val="single" w:sz="4" w:space="0" w:color="000000"/>
            </w:tcBorders>
            <w:shd w:val="clear" w:color="auto" w:fill="auto"/>
            <w:noWrap/>
            <w:vAlign w:val="center"/>
            <w:hideMark/>
          </w:tcPr>
          <w:p w14:paraId="4FFC648F"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198,681</w:t>
            </w:r>
          </w:p>
        </w:tc>
        <w:tc>
          <w:tcPr>
            <w:tcW w:w="1530" w:type="dxa"/>
            <w:tcBorders>
              <w:top w:val="nil"/>
              <w:left w:val="nil"/>
              <w:bottom w:val="single" w:sz="4" w:space="0" w:color="000000"/>
              <w:right w:val="single" w:sz="4" w:space="0" w:color="000000"/>
            </w:tcBorders>
            <w:shd w:val="clear" w:color="auto" w:fill="auto"/>
            <w:noWrap/>
            <w:vAlign w:val="bottom"/>
            <w:hideMark/>
          </w:tcPr>
          <w:p w14:paraId="20AAA78E"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199,061</w:t>
            </w:r>
          </w:p>
        </w:tc>
        <w:tc>
          <w:tcPr>
            <w:tcW w:w="1530" w:type="dxa"/>
            <w:tcBorders>
              <w:top w:val="nil"/>
              <w:left w:val="nil"/>
              <w:bottom w:val="single" w:sz="4" w:space="0" w:color="000000"/>
              <w:right w:val="single" w:sz="4" w:space="0" w:color="000000"/>
            </w:tcBorders>
            <w:shd w:val="clear" w:color="auto" w:fill="auto"/>
            <w:vAlign w:val="bottom"/>
            <w:hideMark/>
          </w:tcPr>
          <w:p w14:paraId="4DEAB1C0"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197,992</w:t>
            </w:r>
          </w:p>
        </w:tc>
        <w:tc>
          <w:tcPr>
            <w:tcW w:w="1260" w:type="dxa"/>
            <w:tcBorders>
              <w:top w:val="nil"/>
              <w:left w:val="nil"/>
              <w:bottom w:val="single" w:sz="4" w:space="0" w:color="000000"/>
              <w:right w:val="single" w:sz="4" w:space="0" w:color="000000"/>
            </w:tcBorders>
            <w:shd w:val="clear" w:color="auto" w:fill="auto"/>
            <w:vAlign w:val="bottom"/>
            <w:hideMark/>
          </w:tcPr>
          <w:p w14:paraId="3FB1F14F"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196,950</w:t>
            </w:r>
          </w:p>
        </w:tc>
      </w:tr>
      <w:tr w:rsidR="00564DD1" w:rsidRPr="00CD674D" w14:paraId="641E36BF" w14:textId="77777777" w:rsidTr="006F0F9B">
        <w:trPr>
          <w:trHeight w:val="300"/>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4F2FD98B" w14:textId="77777777" w:rsidR="00CD674D" w:rsidRPr="00CD674D" w:rsidRDefault="00CD674D" w:rsidP="00CD674D">
            <w:pPr>
              <w:spacing w:after="0" w:line="240" w:lineRule="auto"/>
              <w:rPr>
                <w:rFonts w:ascii="Calibri" w:eastAsia="Times New Roman" w:hAnsi="Calibri" w:cs="Calibri"/>
                <w:b/>
                <w:bCs/>
                <w:color w:val="000000"/>
              </w:rPr>
            </w:pPr>
            <w:r w:rsidRPr="00CD674D">
              <w:rPr>
                <w:rFonts w:ascii="Calibri" w:eastAsia="Times New Roman" w:hAnsi="Calibri" w:cs="Calibri"/>
                <w:b/>
                <w:bCs/>
                <w:color w:val="000000"/>
              </w:rPr>
              <w:t>PECO Gas</w:t>
            </w:r>
          </w:p>
        </w:tc>
        <w:tc>
          <w:tcPr>
            <w:tcW w:w="1350" w:type="dxa"/>
            <w:tcBorders>
              <w:top w:val="nil"/>
              <w:left w:val="nil"/>
              <w:bottom w:val="single" w:sz="4" w:space="0" w:color="000000"/>
              <w:right w:val="single" w:sz="4" w:space="0" w:color="000000"/>
            </w:tcBorders>
            <w:shd w:val="clear" w:color="auto" w:fill="auto"/>
            <w:noWrap/>
            <w:vAlign w:val="bottom"/>
            <w:hideMark/>
          </w:tcPr>
          <w:p w14:paraId="79B98F52" w14:textId="77777777" w:rsidR="00CD674D" w:rsidRPr="00CD674D" w:rsidRDefault="00CD674D" w:rsidP="00CD674D">
            <w:pPr>
              <w:spacing w:after="0" w:line="240" w:lineRule="auto"/>
              <w:rPr>
                <w:rFonts w:ascii="Calibri" w:eastAsia="Times New Roman" w:hAnsi="Calibri" w:cs="Calibri"/>
                <w:color w:val="000000"/>
                <w:sz w:val="21"/>
                <w:szCs w:val="21"/>
              </w:rPr>
            </w:pPr>
            <w:r w:rsidRPr="00CD674D">
              <w:rPr>
                <w:rFonts w:ascii="Calibri" w:eastAsia="Times New Roman" w:hAnsi="Calibri" w:cs="Calibri"/>
                <w:color w:val="000000"/>
                <w:sz w:val="21"/>
                <w:szCs w:val="21"/>
              </w:rPr>
              <w:t xml:space="preserve">      454,583 </w:t>
            </w:r>
          </w:p>
        </w:tc>
        <w:tc>
          <w:tcPr>
            <w:tcW w:w="1440" w:type="dxa"/>
            <w:tcBorders>
              <w:top w:val="nil"/>
              <w:left w:val="nil"/>
              <w:bottom w:val="single" w:sz="4" w:space="0" w:color="000000"/>
              <w:right w:val="single" w:sz="4" w:space="0" w:color="000000"/>
            </w:tcBorders>
            <w:shd w:val="clear" w:color="auto" w:fill="auto"/>
            <w:noWrap/>
            <w:vAlign w:val="center"/>
            <w:hideMark/>
          </w:tcPr>
          <w:p w14:paraId="5EBC3738"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456,331</w:t>
            </w:r>
          </w:p>
        </w:tc>
        <w:tc>
          <w:tcPr>
            <w:tcW w:w="1620" w:type="dxa"/>
            <w:tcBorders>
              <w:top w:val="nil"/>
              <w:left w:val="nil"/>
              <w:bottom w:val="single" w:sz="4" w:space="0" w:color="000000"/>
              <w:right w:val="single" w:sz="4" w:space="0" w:color="000000"/>
            </w:tcBorders>
            <w:shd w:val="clear" w:color="auto" w:fill="auto"/>
            <w:noWrap/>
            <w:vAlign w:val="center"/>
            <w:hideMark/>
          </w:tcPr>
          <w:p w14:paraId="759F580D"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461,173</w:t>
            </w:r>
          </w:p>
        </w:tc>
        <w:tc>
          <w:tcPr>
            <w:tcW w:w="1530" w:type="dxa"/>
            <w:tcBorders>
              <w:top w:val="nil"/>
              <w:left w:val="nil"/>
              <w:bottom w:val="single" w:sz="4" w:space="0" w:color="000000"/>
              <w:right w:val="single" w:sz="4" w:space="0" w:color="000000"/>
            </w:tcBorders>
            <w:shd w:val="clear" w:color="auto" w:fill="auto"/>
            <w:noWrap/>
            <w:vAlign w:val="bottom"/>
            <w:hideMark/>
          </w:tcPr>
          <w:p w14:paraId="7D01DC76"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465,404</w:t>
            </w:r>
          </w:p>
        </w:tc>
        <w:tc>
          <w:tcPr>
            <w:tcW w:w="1530" w:type="dxa"/>
            <w:tcBorders>
              <w:top w:val="nil"/>
              <w:left w:val="nil"/>
              <w:bottom w:val="single" w:sz="4" w:space="0" w:color="000000"/>
              <w:right w:val="single" w:sz="4" w:space="0" w:color="000000"/>
            </w:tcBorders>
            <w:shd w:val="clear" w:color="auto" w:fill="auto"/>
            <w:vAlign w:val="bottom"/>
            <w:hideMark/>
          </w:tcPr>
          <w:p w14:paraId="4B7390E1"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470,133</w:t>
            </w:r>
          </w:p>
        </w:tc>
        <w:tc>
          <w:tcPr>
            <w:tcW w:w="1260" w:type="dxa"/>
            <w:tcBorders>
              <w:top w:val="nil"/>
              <w:left w:val="nil"/>
              <w:bottom w:val="single" w:sz="4" w:space="0" w:color="000000"/>
              <w:right w:val="single" w:sz="4" w:space="0" w:color="000000"/>
            </w:tcBorders>
            <w:shd w:val="clear" w:color="auto" w:fill="auto"/>
            <w:vAlign w:val="bottom"/>
            <w:hideMark/>
          </w:tcPr>
          <w:p w14:paraId="2B89E4E0"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480,586</w:t>
            </w:r>
          </w:p>
        </w:tc>
      </w:tr>
      <w:tr w:rsidR="00564DD1" w:rsidRPr="00CD674D" w14:paraId="4C847EDC" w14:textId="77777777" w:rsidTr="006F0F9B">
        <w:trPr>
          <w:trHeight w:val="300"/>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76272143" w14:textId="77777777" w:rsidR="00CD674D" w:rsidRPr="00CD674D" w:rsidRDefault="00CD674D" w:rsidP="00CD674D">
            <w:pPr>
              <w:spacing w:after="0" w:line="240" w:lineRule="auto"/>
              <w:rPr>
                <w:rFonts w:ascii="Calibri" w:eastAsia="Times New Roman" w:hAnsi="Calibri" w:cs="Calibri"/>
                <w:b/>
                <w:bCs/>
                <w:color w:val="000000"/>
              </w:rPr>
            </w:pPr>
            <w:r w:rsidRPr="00CD674D">
              <w:rPr>
                <w:rFonts w:ascii="Calibri" w:eastAsia="Times New Roman" w:hAnsi="Calibri" w:cs="Calibri"/>
                <w:b/>
                <w:bCs/>
                <w:color w:val="000000"/>
              </w:rPr>
              <w:t>Peoples</w:t>
            </w:r>
          </w:p>
        </w:tc>
        <w:tc>
          <w:tcPr>
            <w:tcW w:w="1350" w:type="dxa"/>
            <w:tcBorders>
              <w:top w:val="nil"/>
              <w:left w:val="nil"/>
              <w:bottom w:val="single" w:sz="4" w:space="0" w:color="000000"/>
              <w:right w:val="single" w:sz="4" w:space="0" w:color="000000"/>
            </w:tcBorders>
            <w:shd w:val="clear" w:color="auto" w:fill="auto"/>
            <w:noWrap/>
            <w:vAlign w:val="bottom"/>
            <w:hideMark/>
          </w:tcPr>
          <w:p w14:paraId="56340C69" w14:textId="77777777" w:rsidR="00CD674D" w:rsidRPr="00CD674D" w:rsidRDefault="00CD674D" w:rsidP="00CD674D">
            <w:pPr>
              <w:spacing w:after="0" w:line="240" w:lineRule="auto"/>
              <w:rPr>
                <w:rFonts w:ascii="Calibri" w:eastAsia="Times New Roman" w:hAnsi="Calibri" w:cs="Calibri"/>
                <w:color w:val="000000"/>
                <w:sz w:val="21"/>
                <w:szCs w:val="21"/>
              </w:rPr>
            </w:pPr>
            <w:r w:rsidRPr="00CD674D">
              <w:rPr>
                <w:rFonts w:ascii="Calibri" w:eastAsia="Times New Roman" w:hAnsi="Calibri" w:cs="Calibri"/>
                <w:color w:val="000000"/>
                <w:sz w:val="21"/>
                <w:szCs w:val="21"/>
              </w:rPr>
              <w:t xml:space="preserve">      329,809 </w:t>
            </w:r>
          </w:p>
        </w:tc>
        <w:tc>
          <w:tcPr>
            <w:tcW w:w="1440" w:type="dxa"/>
            <w:tcBorders>
              <w:top w:val="nil"/>
              <w:left w:val="nil"/>
              <w:bottom w:val="single" w:sz="4" w:space="0" w:color="000000"/>
              <w:right w:val="single" w:sz="4" w:space="0" w:color="000000"/>
            </w:tcBorders>
            <w:shd w:val="clear" w:color="auto" w:fill="auto"/>
            <w:noWrap/>
            <w:vAlign w:val="center"/>
            <w:hideMark/>
          </w:tcPr>
          <w:p w14:paraId="25CD08C4"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330,123</w:t>
            </w:r>
          </w:p>
        </w:tc>
        <w:tc>
          <w:tcPr>
            <w:tcW w:w="1620" w:type="dxa"/>
            <w:tcBorders>
              <w:top w:val="nil"/>
              <w:left w:val="nil"/>
              <w:bottom w:val="single" w:sz="4" w:space="0" w:color="000000"/>
              <w:right w:val="single" w:sz="4" w:space="0" w:color="000000"/>
            </w:tcBorders>
            <w:shd w:val="clear" w:color="auto" w:fill="auto"/>
            <w:noWrap/>
            <w:vAlign w:val="center"/>
            <w:hideMark/>
          </w:tcPr>
          <w:p w14:paraId="45D5FAE7"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330,459</w:t>
            </w:r>
          </w:p>
        </w:tc>
        <w:tc>
          <w:tcPr>
            <w:tcW w:w="1530" w:type="dxa"/>
            <w:tcBorders>
              <w:top w:val="nil"/>
              <w:left w:val="nil"/>
              <w:bottom w:val="single" w:sz="4" w:space="0" w:color="000000"/>
              <w:right w:val="single" w:sz="4" w:space="0" w:color="000000"/>
            </w:tcBorders>
            <w:shd w:val="clear" w:color="auto" w:fill="auto"/>
            <w:noWrap/>
            <w:vAlign w:val="bottom"/>
            <w:hideMark/>
          </w:tcPr>
          <w:p w14:paraId="3D07567F"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331,587</w:t>
            </w:r>
          </w:p>
        </w:tc>
        <w:tc>
          <w:tcPr>
            <w:tcW w:w="1530" w:type="dxa"/>
            <w:tcBorders>
              <w:top w:val="nil"/>
              <w:left w:val="nil"/>
              <w:bottom w:val="single" w:sz="4" w:space="0" w:color="000000"/>
              <w:right w:val="single" w:sz="4" w:space="0" w:color="000000"/>
            </w:tcBorders>
            <w:shd w:val="clear" w:color="auto" w:fill="auto"/>
            <w:vAlign w:val="bottom"/>
            <w:hideMark/>
          </w:tcPr>
          <w:p w14:paraId="5D8E1329"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331,814</w:t>
            </w:r>
          </w:p>
        </w:tc>
        <w:tc>
          <w:tcPr>
            <w:tcW w:w="1260" w:type="dxa"/>
            <w:tcBorders>
              <w:top w:val="nil"/>
              <w:left w:val="nil"/>
              <w:bottom w:val="single" w:sz="4" w:space="0" w:color="000000"/>
              <w:right w:val="single" w:sz="4" w:space="0" w:color="000000"/>
            </w:tcBorders>
            <w:shd w:val="clear" w:color="auto" w:fill="auto"/>
            <w:vAlign w:val="bottom"/>
            <w:hideMark/>
          </w:tcPr>
          <w:p w14:paraId="2E82019C"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333,761</w:t>
            </w:r>
          </w:p>
        </w:tc>
      </w:tr>
      <w:tr w:rsidR="00564DD1" w:rsidRPr="00CD674D" w14:paraId="276C4254" w14:textId="77777777" w:rsidTr="006F0F9B">
        <w:trPr>
          <w:trHeight w:val="300"/>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120398D0" w14:textId="77777777" w:rsidR="00CD674D" w:rsidRPr="00CD674D" w:rsidRDefault="00CD674D" w:rsidP="00CD674D">
            <w:pPr>
              <w:spacing w:after="0" w:line="240" w:lineRule="auto"/>
              <w:rPr>
                <w:rFonts w:ascii="Calibri" w:eastAsia="Times New Roman" w:hAnsi="Calibri" w:cs="Calibri"/>
                <w:b/>
                <w:bCs/>
                <w:color w:val="000000"/>
              </w:rPr>
            </w:pPr>
            <w:r w:rsidRPr="00CD674D">
              <w:rPr>
                <w:rFonts w:ascii="Calibri" w:eastAsia="Times New Roman" w:hAnsi="Calibri" w:cs="Calibri"/>
                <w:b/>
                <w:bCs/>
                <w:color w:val="000000"/>
              </w:rPr>
              <w:t>Peoples EQT</w:t>
            </w:r>
          </w:p>
        </w:tc>
        <w:tc>
          <w:tcPr>
            <w:tcW w:w="1350" w:type="dxa"/>
            <w:tcBorders>
              <w:top w:val="nil"/>
              <w:left w:val="nil"/>
              <w:bottom w:val="single" w:sz="4" w:space="0" w:color="000000"/>
              <w:right w:val="single" w:sz="4" w:space="0" w:color="000000"/>
            </w:tcBorders>
            <w:shd w:val="clear" w:color="auto" w:fill="auto"/>
            <w:noWrap/>
            <w:vAlign w:val="bottom"/>
            <w:hideMark/>
          </w:tcPr>
          <w:p w14:paraId="2F0A23B4" w14:textId="77777777" w:rsidR="00CD674D" w:rsidRPr="00CD674D" w:rsidRDefault="00CD674D" w:rsidP="00CD674D">
            <w:pPr>
              <w:spacing w:after="0" w:line="240" w:lineRule="auto"/>
              <w:rPr>
                <w:rFonts w:ascii="Calibri" w:eastAsia="Times New Roman" w:hAnsi="Calibri" w:cs="Calibri"/>
                <w:sz w:val="21"/>
                <w:szCs w:val="21"/>
              </w:rPr>
            </w:pPr>
            <w:r w:rsidRPr="00CD674D">
              <w:rPr>
                <w:rFonts w:ascii="Calibri" w:eastAsia="Times New Roman" w:hAnsi="Calibri" w:cs="Calibri"/>
                <w:sz w:val="21"/>
                <w:szCs w:val="21"/>
              </w:rPr>
              <w:t xml:space="preserve">      241,778 </w:t>
            </w:r>
          </w:p>
        </w:tc>
        <w:tc>
          <w:tcPr>
            <w:tcW w:w="1440" w:type="dxa"/>
            <w:tcBorders>
              <w:top w:val="nil"/>
              <w:left w:val="nil"/>
              <w:bottom w:val="single" w:sz="4" w:space="0" w:color="000000"/>
              <w:right w:val="single" w:sz="4" w:space="0" w:color="000000"/>
            </w:tcBorders>
            <w:shd w:val="clear" w:color="auto" w:fill="auto"/>
            <w:noWrap/>
            <w:vAlign w:val="center"/>
            <w:hideMark/>
          </w:tcPr>
          <w:p w14:paraId="33087673"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242,632</w:t>
            </w:r>
          </w:p>
        </w:tc>
        <w:tc>
          <w:tcPr>
            <w:tcW w:w="1620" w:type="dxa"/>
            <w:tcBorders>
              <w:top w:val="nil"/>
              <w:left w:val="nil"/>
              <w:bottom w:val="single" w:sz="4" w:space="0" w:color="000000"/>
              <w:right w:val="single" w:sz="4" w:space="0" w:color="000000"/>
            </w:tcBorders>
            <w:shd w:val="clear" w:color="auto" w:fill="auto"/>
            <w:noWrap/>
            <w:vAlign w:val="center"/>
            <w:hideMark/>
          </w:tcPr>
          <w:p w14:paraId="66B4ED3F"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243,610</w:t>
            </w:r>
          </w:p>
        </w:tc>
        <w:tc>
          <w:tcPr>
            <w:tcW w:w="1530" w:type="dxa"/>
            <w:tcBorders>
              <w:top w:val="nil"/>
              <w:left w:val="nil"/>
              <w:bottom w:val="single" w:sz="4" w:space="0" w:color="000000"/>
              <w:right w:val="single" w:sz="4" w:space="0" w:color="000000"/>
            </w:tcBorders>
            <w:shd w:val="clear" w:color="auto" w:fill="auto"/>
            <w:noWrap/>
            <w:vAlign w:val="bottom"/>
            <w:hideMark/>
          </w:tcPr>
          <w:p w14:paraId="45FE7110"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245,930</w:t>
            </w:r>
          </w:p>
        </w:tc>
        <w:tc>
          <w:tcPr>
            <w:tcW w:w="1530" w:type="dxa"/>
            <w:tcBorders>
              <w:top w:val="nil"/>
              <w:left w:val="nil"/>
              <w:bottom w:val="single" w:sz="4" w:space="0" w:color="000000"/>
              <w:right w:val="single" w:sz="4" w:space="0" w:color="000000"/>
            </w:tcBorders>
            <w:shd w:val="clear" w:color="auto" w:fill="auto"/>
            <w:vAlign w:val="bottom"/>
            <w:hideMark/>
          </w:tcPr>
          <w:p w14:paraId="4D445139"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243,371</w:t>
            </w:r>
          </w:p>
        </w:tc>
        <w:tc>
          <w:tcPr>
            <w:tcW w:w="1260" w:type="dxa"/>
            <w:tcBorders>
              <w:top w:val="nil"/>
              <w:left w:val="nil"/>
              <w:bottom w:val="single" w:sz="4" w:space="0" w:color="000000"/>
              <w:right w:val="single" w:sz="4" w:space="0" w:color="000000"/>
            </w:tcBorders>
            <w:shd w:val="clear" w:color="auto" w:fill="auto"/>
            <w:vAlign w:val="bottom"/>
            <w:hideMark/>
          </w:tcPr>
          <w:p w14:paraId="50ECCC73"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247,930</w:t>
            </w:r>
          </w:p>
        </w:tc>
      </w:tr>
      <w:tr w:rsidR="00564DD1" w:rsidRPr="00CD674D" w14:paraId="0C13DF9A" w14:textId="77777777" w:rsidTr="006F0F9B">
        <w:trPr>
          <w:trHeight w:val="300"/>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7F394F3A" w14:textId="77777777" w:rsidR="00CD674D" w:rsidRPr="00CD674D" w:rsidRDefault="00CD674D" w:rsidP="00CD674D">
            <w:pPr>
              <w:spacing w:after="0" w:line="240" w:lineRule="auto"/>
              <w:rPr>
                <w:rFonts w:ascii="Calibri" w:eastAsia="Times New Roman" w:hAnsi="Calibri" w:cs="Calibri"/>
                <w:b/>
                <w:bCs/>
                <w:color w:val="000000"/>
              </w:rPr>
            </w:pPr>
            <w:r w:rsidRPr="00CD674D">
              <w:rPr>
                <w:rFonts w:ascii="Calibri" w:eastAsia="Times New Roman" w:hAnsi="Calibri" w:cs="Calibri"/>
                <w:b/>
                <w:bCs/>
                <w:color w:val="000000"/>
              </w:rPr>
              <w:t>PGW</w:t>
            </w:r>
          </w:p>
        </w:tc>
        <w:tc>
          <w:tcPr>
            <w:tcW w:w="1350" w:type="dxa"/>
            <w:tcBorders>
              <w:top w:val="nil"/>
              <w:left w:val="nil"/>
              <w:bottom w:val="single" w:sz="4" w:space="0" w:color="000000"/>
              <w:right w:val="single" w:sz="4" w:space="0" w:color="000000"/>
            </w:tcBorders>
            <w:shd w:val="clear" w:color="auto" w:fill="auto"/>
            <w:noWrap/>
            <w:vAlign w:val="bottom"/>
            <w:hideMark/>
          </w:tcPr>
          <w:p w14:paraId="54A1658C" w14:textId="77777777" w:rsidR="00CD674D" w:rsidRPr="00CD674D" w:rsidRDefault="00CD674D" w:rsidP="00CD674D">
            <w:pPr>
              <w:spacing w:after="0" w:line="240" w:lineRule="auto"/>
              <w:rPr>
                <w:rFonts w:ascii="Calibri" w:eastAsia="Times New Roman" w:hAnsi="Calibri" w:cs="Calibri"/>
                <w:color w:val="000000"/>
                <w:sz w:val="21"/>
                <w:szCs w:val="21"/>
              </w:rPr>
            </w:pPr>
            <w:r w:rsidRPr="00CD674D">
              <w:rPr>
                <w:rFonts w:ascii="Calibri" w:eastAsia="Times New Roman" w:hAnsi="Calibri" w:cs="Calibri"/>
                <w:color w:val="000000"/>
                <w:sz w:val="21"/>
                <w:szCs w:val="21"/>
              </w:rPr>
              <w:t xml:space="preserve">      479,889 </w:t>
            </w:r>
          </w:p>
        </w:tc>
        <w:tc>
          <w:tcPr>
            <w:tcW w:w="1440" w:type="dxa"/>
            <w:tcBorders>
              <w:top w:val="nil"/>
              <w:left w:val="nil"/>
              <w:bottom w:val="single" w:sz="4" w:space="0" w:color="000000"/>
              <w:right w:val="single" w:sz="4" w:space="0" w:color="000000"/>
            </w:tcBorders>
            <w:shd w:val="clear" w:color="auto" w:fill="auto"/>
            <w:noWrap/>
            <w:vAlign w:val="center"/>
            <w:hideMark/>
          </w:tcPr>
          <w:p w14:paraId="4EC180E7"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468,943</w:t>
            </w:r>
          </w:p>
        </w:tc>
        <w:tc>
          <w:tcPr>
            <w:tcW w:w="1620" w:type="dxa"/>
            <w:tcBorders>
              <w:top w:val="nil"/>
              <w:left w:val="nil"/>
              <w:bottom w:val="single" w:sz="4" w:space="0" w:color="000000"/>
              <w:right w:val="single" w:sz="4" w:space="0" w:color="000000"/>
            </w:tcBorders>
            <w:shd w:val="clear" w:color="auto" w:fill="auto"/>
            <w:noWrap/>
            <w:vAlign w:val="center"/>
            <w:hideMark/>
          </w:tcPr>
          <w:p w14:paraId="707AFDF9"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469,283</w:t>
            </w:r>
          </w:p>
        </w:tc>
        <w:tc>
          <w:tcPr>
            <w:tcW w:w="1530" w:type="dxa"/>
            <w:tcBorders>
              <w:top w:val="nil"/>
              <w:left w:val="nil"/>
              <w:bottom w:val="single" w:sz="4" w:space="0" w:color="000000"/>
              <w:right w:val="single" w:sz="4" w:space="0" w:color="000000"/>
            </w:tcBorders>
            <w:shd w:val="clear" w:color="auto" w:fill="auto"/>
            <w:noWrap/>
            <w:vAlign w:val="bottom"/>
            <w:hideMark/>
          </w:tcPr>
          <w:p w14:paraId="396E346A"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470,788</w:t>
            </w:r>
          </w:p>
        </w:tc>
        <w:tc>
          <w:tcPr>
            <w:tcW w:w="1530" w:type="dxa"/>
            <w:tcBorders>
              <w:top w:val="nil"/>
              <w:left w:val="nil"/>
              <w:bottom w:val="single" w:sz="4" w:space="0" w:color="000000"/>
              <w:right w:val="single" w:sz="4" w:space="0" w:color="000000"/>
            </w:tcBorders>
            <w:shd w:val="clear" w:color="auto" w:fill="auto"/>
            <w:vAlign w:val="bottom"/>
            <w:hideMark/>
          </w:tcPr>
          <w:p w14:paraId="53DDA331"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473,019</w:t>
            </w:r>
          </w:p>
        </w:tc>
        <w:tc>
          <w:tcPr>
            <w:tcW w:w="1260" w:type="dxa"/>
            <w:tcBorders>
              <w:top w:val="nil"/>
              <w:left w:val="nil"/>
              <w:bottom w:val="single" w:sz="4" w:space="0" w:color="000000"/>
              <w:right w:val="single" w:sz="4" w:space="0" w:color="000000"/>
            </w:tcBorders>
            <w:shd w:val="clear" w:color="auto" w:fill="auto"/>
            <w:vAlign w:val="bottom"/>
            <w:hideMark/>
          </w:tcPr>
          <w:p w14:paraId="78CA8316"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474,960</w:t>
            </w:r>
          </w:p>
        </w:tc>
      </w:tr>
      <w:tr w:rsidR="00564DD1" w:rsidRPr="00CD674D" w14:paraId="11585D34" w14:textId="77777777" w:rsidTr="006F0F9B">
        <w:trPr>
          <w:trHeight w:val="300"/>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7175CD1E" w14:textId="77777777" w:rsidR="00CD674D" w:rsidRPr="00CD674D" w:rsidRDefault="00CD674D" w:rsidP="00CD674D">
            <w:pPr>
              <w:spacing w:after="0" w:line="240" w:lineRule="auto"/>
              <w:rPr>
                <w:rFonts w:ascii="Calibri" w:eastAsia="Times New Roman" w:hAnsi="Calibri" w:cs="Calibri"/>
                <w:b/>
                <w:bCs/>
                <w:color w:val="000000"/>
              </w:rPr>
            </w:pPr>
            <w:r w:rsidRPr="00CD674D">
              <w:rPr>
                <w:rFonts w:ascii="Calibri" w:eastAsia="Times New Roman" w:hAnsi="Calibri" w:cs="Calibri"/>
                <w:b/>
                <w:bCs/>
                <w:color w:val="000000"/>
              </w:rPr>
              <w:t>UGI Gas</w:t>
            </w:r>
          </w:p>
        </w:tc>
        <w:tc>
          <w:tcPr>
            <w:tcW w:w="1350" w:type="dxa"/>
            <w:tcBorders>
              <w:top w:val="nil"/>
              <w:left w:val="nil"/>
              <w:bottom w:val="single" w:sz="4" w:space="0" w:color="000000"/>
              <w:right w:val="single" w:sz="4" w:space="0" w:color="000000"/>
            </w:tcBorders>
            <w:shd w:val="clear" w:color="auto" w:fill="auto"/>
            <w:noWrap/>
            <w:vAlign w:val="bottom"/>
            <w:hideMark/>
          </w:tcPr>
          <w:p w14:paraId="4F4ADE40" w14:textId="77777777" w:rsidR="00CD674D" w:rsidRPr="00CD674D" w:rsidRDefault="00CD674D" w:rsidP="00CD674D">
            <w:pPr>
              <w:spacing w:after="0" w:line="240" w:lineRule="auto"/>
              <w:rPr>
                <w:rFonts w:ascii="Calibri" w:eastAsia="Times New Roman" w:hAnsi="Calibri" w:cs="Calibri"/>
                <w:color w:val="000000"/>
                <w:sz w:val="21"/>
                <w:szCs w:val="21"/>
              </w:rPr>
            </w:pPr>
            <w:r w:rsidRPr="00CD674D">
              <w:rPr>
                <w:rFonts w:ascii="Calibri" w:eastAsia="Times New Roman" w:hAnsi="Calibri" w:cs="Calibri"/>
                <w:color w:val="000000"/>
                <w:sz w:val="21"/>
                <w:szCs w:val="21"/>
              </w:rPr>
              <w:t xml:space="preserve">      317,170 </w:t>
            </w:r>
          </w:p>
        </w:tc>
        <w:tc>
          <w:tcPr>
            <w:tcW w:w="1440" w:type="dxa"/>
            <w:tcBorders>
              <w:top w:val="nil"/>
              <w:left w:val="nil"/>
              <w:bottom w:val="single" w:sz="4" w:space="0" w:color="000000"/>
              <w:right w:val="single" w:sz="4" w:space="0" w:color="000000"/>
            </w:tcBorders>
            <w:shd w:val="clear" w:color="auto" w:fill="auto"/>
            <w:noWrap/>
            <w:vAlign w:val="center"/>
            <w:hideMark/>
          </w:tcPr>
          <w:p w14:paraId="063D1BE3"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324,576</w:t>
            </w:r>
          </w:p>
        </w:tc>
        <w:tc>
          <w:tcPr>
            <w:tcW w:w="1620" w:type="dxa"/>
            <w:tcBorders>
              <w:top w:val="nil"/>
              <w:left w:val="nil"/>
              <w:bottom w:val="single" w:sz="4" w:space="0" w:color="000000"/>
              <w:right w:val="single" w:sz="4" w:space="0" w:color="000000"/>
            </w:tcBorders>
            <w:shd w:val="clear" w:color="auto" w:fill="auto"/>
            <w:noWrap/>
            <w:vAlign w:val="center"/>
            <w:hideMark/>
          </w:tcPr>
          <w:p w14:paraId="716396BF"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331,583</w:t>
            </w:r>
          </w:p>
        </w:tc>
        <w:tc>
          <w:tcPr>
            <w:tcW w:w="1530" w:type="dxa"/>
            <w:tcBorders>
              <w:top w:val="nil"/>
              <w:left w:val="nil"/>
              <w:bottom w:val="single" w:sz="4" w:space="0" w:color="000000"/>
              <w:right w:val="single" w:sz="4" w:space="0" w:color="000000"/>
            </w:tcBorders>
            <w:shd w:val="clear" w:color="auto" w:fill="auto"/>
            <w:noWrap/>
            <w:vAlign w:val="bottom"/>
            <w:hideMark/>
          </w:tcPr>
          <w:p w14:paraId="149B21F0"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338,929</w:t>
            </w:r>
          </w:p>
        </w:tc>
        <w:tc>
          <w:tcPr>
            <w:tcW w:w="1530" w:type="dxa"/>
            <w:tcBorders>
              <w:top w:val="nil"/>
              <w:left w:val="nil"/>
              <w:bottom w:val="single" w:sz="4" w:space="0" w:color="000000"/>
              <w:right w:val="single" w:sz="4" w:space="0" w:color="000000"/>
            </w:tcBorders>
            <w:shd w:val="clear" w:color="auto" w:fill="auto"/>
            <w:vAlign w:val="bottom"/>
            <w:hideMark/>
          </w:tcPr>
          <w:p w14:paraId="1E71B41B"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345,693</w:t>
            </w:r>
          </w:p>
        </w:tc>
        <w:tc>
          <w:tcPr>
            <w:tcW w:w="1260" w:type="dxa"/>
            <w:tcBorders>
              <w:top w:val="nil"/>
              <w:left w:val="nil"/>
              <w:bottom w:val="single" w:sz="4" w:space="0" w:color="000000"/>
              <w:right w:val="single" w:sz="4" w:space="0" w:color="000000"/>
            </w:tcBorders>
            <w:shd w:val="clear" w:color="auto" w:fill="auto"/>
            <w:vAlign w:val="bottom"/>
            <w:hideMark/>
          </w:tcPr>
          <w:p w14:paraId="0B1720F7"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352,720</w:t>
            </w:r>
          </w:p>
        </w:tc>
      </w:tr>
      <w:tr w:rsidR="00564DD1" w:rsidRPr="00CD674D" w14:paraId="39A32495" w14:textId="77777777" w:rsidTr="006F0F9B">
        <w:trPr>
          <w:trHeight w:val="300"/>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05FC5395" w14:textId="77777777" w:rsidR="00CD674D" w:rsidRPr="00CD674D" w:rsidRDefault="00CD674D" w:rsidP="00CD674D">
            <w:pPr>
              <w:spacing w:after="0" w:line="240" w:lineRule="auto"/>
              <w:rPr>
                <w:rFonts w:ascii="Calibri" w:eastAsia="Times New Roman" w:hAnsi="Calibri" w:cs="Calibri"/>
                <w:b/>
                <w:bCs/>
                <w:color w:val="000000"/>
              </w:rPr>
            </w:pPr>
            <w:r w:rsidRPr="00CD674D">
              <w:rPr>
                <w:rFonts w:ascii="Calibri" w:eastAsia="Times New Roman" w:hAnsi="Calibri" w:cs="Calibri"/>
                <w:b/>
                <w:bCs/>
                <w:color w:val="000000"/>
              </w:rPr>
              <w:t>UGI PNG</w:t>
            </w:r>
          </w:p>
        </w:tc>
        <w:tc>
          <w:tcPr>
            <w:tcW w:w="1350" w:type="dxa"/>
            <w:tcBorders>
              <w:top w:val="nil"/>
              <w:left w:val="nil"/>
              <w:bottom w:val="single" w:sz="4" w:space="0" w:color="000000"/>
              <w:right w:val="single" w:sz="4" w:space="0" w:color="000000"/>
            </w:tcBorders>
            <w:shd w:val="clear" w:color="auto" w:fill="auto"/>
            <w:noWrap/>
            <w:vAlign w:val="bottom"/>
            <w:hideMark/>
          </w:tcPr>
          <w:p w14:paraId="3C1F3DBE" w14:textId="77777777" w:rsidR="00CD674D" w:rsidRPr="00CD674D" w:rsidRDefault="00CD674D" w:rsidP="00CD674D">
            <w:pPr>
              <w:spacing w:after="0" w:line="240" w:lineRule="auto"/>
              <w:rPr>
                <w:rFonts w:ascii="Calibri" w:eastAsia="Times New Roman" w:hAnsi="Calibri" w:cs="Calibri"/>
                <w:color w:val="000000"/>
                <w:sz w:val="21"/>
                <w:szCs w:val="21"/>
              </w:rPr>
            </w:pPr>
            <w:r w:rsidRPr="00CD674D">
              <w:rPr>
                <w:rFonts w:ascii="Calibri" w:eastAsia="Times New Roman" w:hAnsi="Calibri" w:cs="Calibri"/>
                <w:color w:val="000000"/>
                <w:sz w:val="21"/>
                <w:szCs w:val="21"/>
              </w:rPr>
              <w:t xml:space="preserve">      147,046 </w:t>
            </w:r>
          </w:p>
        </w:tc>
        <w:tc>
          <w:tcPr>
            <w:tcW w:w="1440" w:type="dxa"/>
            <w:tcBorders>
              <w:top w:val="nil"/>
              <w:left w:val="nil"/>
              <w:bottom w:val="single" w:sz="4" w:space="0" w:color="000000"/>
              <w:right w:val="single" w:sz="4" w:space="0" w:color="000000"/>
            </w:tcBorders>
            <w:shd w:val="clear" w:color="auto" w:fill="auto"/>
            <w:noWrap/>
            <w:vAlign w:val="center"/>
            <w:hideMark/>
          </w:tcPr>
          <w:p w14:paraId="159067DC"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149,097</w:t>
            </w:r>
          </w:p>
        </w:tc>
        <w:tc>
          <w:tcPr>
            <w:tcW w:w="1620" w:type="dxa"/>
            <w:tcBorders>
              <w:top w:val="nil"/>
              <w:left w:val="nil"/>
              <w:bottom w:val="single" w:sz="4" w:space="0" w:color="000000"/>
              <w:right w:val="single" w:sz="4" w:space="0" w:color="000000"/>
            </w:tcBorders>
            <w:shd w:val="clear" w:color="auto" w:fill="auto"/>
            <w:noWrap/>
            <w:vAlign w:val="center"/>
            <w:hideMark/>
          </w:tcPr>
          <w:p w14:paraId="5FED217C"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150,495</w:t>
            </w:r>
          </w:p>
        </w:tc>
        <w:tc>
          <w:tcPr>
            <w:tcW w:w="1530" w:type="dxa"/>
            <w:tcBorders>
              <w:top w:val="nil"/>
              <w:left w:val="nil"/>
              <w:bottom w:val="single" w:sz="4" w:space="0" w:color="000000"/>
              <w:right w:val="single" w:sz="4" w:space="0" w:color="000000"/>
            </w:tcBorders>
            <w:shd w:val="clear" w:color="auto" w:fill="auto"/>
            <w:noWrap/>
            <w:vAlign w:val="bottom"/>
            <w:hideMark/>
          </w:tcPr>
          <w:p w14:paraId="272A8597"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151,648</w:t>
            </w:r>
          </w:p>
        </w:tc>
        <w:tc>
          <w:tcPr>
            <w:tcW w:w="1530" w:type="dxa"/>
            <w:tcBorders>
              <w:top w:val="nil"/>
              <w:left w:val="nil"/>
              <w:bottom w:val="single" w:sz="4" w:space="0" w:color="000000"/>
              <w:right w:val="single" w:sz="4" w:space="0" w:color="000000"/>
            </w:tcBorders>
            <w:shd w:val="clear" w:color="auto" w:fill="auto"/>
            <w:vAlign w:val="bottom"/>
            <w:hideMark/>
          </w:tcPr>
          <w:p w14:paraId="2553A8C8"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152,761</w:t>
            </w:r>
          </w:p>
        </w:tc>
        <w:tc>
          <w:tcPr>
            <w:tcW w:w="1260" w:type="dxa"/>
            <w:tcBorders>
              <w:top w:val="nil"/>
              <w:left w:val="nil"/>
              <w:bottom w:val="single" w:sz="4" w:space="0" w:color="000000"/>
              <w:right w:val="single" w:sz="4" w:space="0" w:color="000000"/>
            </w:tcBorders>
            <w:shd w:val="clear" w:color="auto" w:fill="auto"/>
            <w:vAlign w:val="bottom"/>
            <w:hideMark/>
          </w:tcPr>
          <w:p w14:paraId="157EB99B" w14:textId="77777777" w:rsidR="00CD674D" w:rsidRPr="00CD674D" w:rsidRDefault="00CD674D" w:rsidP="00CD674D">
            <w:pPr>
              <w:spacing w:after="0" w:line="240" w:lineRule="auto"/>
              <w:jc w:val="center"/>
              <w:rPr>
                <w:rFonts w:ascii="Calibri" w:eastAsia="Times New Roman" w:hAnsi="Calibri" w:cs="Calibri"/>
                <w:color w:val="000000"/>
                <w:sz w:val="21"/>
                <w:szCs w:val="21"/>
              </w:rPr>
            </w:pPr>
            <w:r w:rsidRPr="00CD674D">
              <w:rPr>
                <w:rFonts w:ascii="Calibri" w:eastAsia="Times New Roman" w:hAnsi="Calibri" w:cs="Calibri"/>
                <w:color w:val="000000"/>
                <w:sz w:val="21"/>
                <w:szCs w:val="21"/>
              </w:rPr>
              <w:t>154,319</w:t>
            </w:r>
          </w:p>
        </w:tc>
      </w:tr>
      <w:tr w:rsidR="00CD674D" w:rsidRPr="00CD674D" w14:paraId="3F2A2F11" w14:textId="77777777" w:rsidTr="006F0F9B">
        <w:trPr>
          <w:trHeight w:val="300"/>
          <w:jc w:val="center"/>
        </w:trPr>
        <w:tc>
          <w:tcPr>
            <w:tcW w:w="10440" w:type="dxa"/>
            <w:gridSpan w:val="7"/>
            <w:tcBorders>
              <w:top w:val="single" w:sz="4" w:space="0" w:color="000000"/>
              <w:left w:val="nil"/>
              <w:bottom w:val="nil"/>
              <w:right w:val="nil"/>
            </w:tcBorders>
            <w:shd w:val="clear" w:color="auto" w:fill="auto"/>
            <w:noWrap/>
            <w:vAlign w:val="center"/>
            <w:hideMark/>
          </w:tcPr>
          <w:p w14:paraId="42BF4796" w14:textId="77777777" w:rsidR="00CD674D" w:rsidRPr="00212AEC" w:rsidRDefault="00CD674D" w:rsidP="00FA37F0">
            <w:pPr>
              <w:spacing w:after="0" w:line="240" w:lineRule="auto"/>
              <w:rPr>
                <w:rFonts w:ascii="Times New Roman" w:eastAsia="Times New Roman" w:hAnsi="Times New Roman" w:cs="Times New Roman"/>
                <w:color w:val="000000"/>
              </w:rPr>
            </w:pPr>
            <w:r w:rsidRPr="00212AEC">
              <w:rPr>
                <w:rFonts w:ascii="Times New Roman" w:eastAsia="Times New Roman" w:hAnsi="Times New Roman" w:cs="Times New Roman"/>
                <w:color w:val="000000"/>
              </w:rPr>
              <w:t>Source: Universal Service Programs &amp; Collections Performance Reports 2012-2017.</w:t>
            </w:r>
          </w:p>
        </w:tc>
      </w:tr>
    </w:tbl>
    <w:p w14:paraId="43C64FCB" w14:textId="77777777" w:rsidR="00F303E0" w:rsidRPr="00EE5714" w:rsidRDefault="00F303E0" w:rsidP="001223B9">
      <w:pPr>
        <w:spacing w:after="0" w:line="240" w:lineRule="auto"/>
        <w:rPr>
          <w:rFonts w:ascii="Times New Roman" w:hAnsi="Times New Roman" w:cs="Times New Roman"/>
          <w:sz w:val="26"/>
          <w:szCs w:val="26"/>
        </w:rPr>
      </w:pPr>
    </w:p>
    <w:p w14:paraId="29F00506" w14:textId="77777777" w:rsidR="00F303E0" w:rsidRPr="00EE5714" w:rsidRDefault="00F303E0" w:rsidP="001223B9">
      <w:pPr>
        <w:spacing w:after="0" w:line="240" w:lineRule="auto"/>
        <w:rPr>
          <w:rFonts w:ascii="Times New Roman" w:hAnsi="Times New Roman" w:cs="Times New Roman"/>
          <w:sz w:val="26"/>
          <w:szCs w:val="26"/>
        </w:rPr>
      </w:pPr>
    </w:p>
    <w:p w14:paraId="08F4634B" w14:textId="06EAA91F" w:rsidR="0094268F" w:rsidRDefault="00F734A0" w:rsidP="00940D77">
      <w:pPr>
        <w:pStyle w:val="NoSpacing"/>
        <w:rPr>
          <w:rFonts w:cs="Times New Roman"/>
          <w:szCs w:val="26"/>
        </w:rPr>
      </w:pPr>
      <w:r w:rsidRPr="00EE5714">
        <w:rPr>
          <w:rFonts w:cs="Times New Roman"/>
          <w:szCs w:val="26"/>
        </w:rPr>
        <w:t>Appendix 9</w:t>
      </w:r>
      <w:r w:rsidR="00F303E0" w:rsidRPr="00EE5714">
        <w:rPr>
          <w:rFonts w:cs="Times New Roman"/>
          <w:szCs w:val="26"/>
        </w:rPr>
        <w:t xml:space="preserve">.A.2: </w:t>
      </w:r>
      <w:r w:rsidR="00F303E0" w:rsidRPr="00EE5714">
        <w:rPr>
          <w:rFonts w:eastAsia="Times New Roman" w:cs="Times New Roman"/>
          <w:b/>
          <w:bCs/>
          <w:color w:val="000000"/>
          <w:szCs w:val="26"/>
        </w:rPr>
        <w:t xml:space="preserve">NGDC </w:t>
      </w:r>
      <w:r w:rsidR="00185A5D">
        <w:rPr>
          <w:rFonts w:eastAsia="Times New Roman" w:cs="Times New Roman"/>
          <w:b/>
          <w:bCs/>
          <w:color w:val="000000"/>
          <w:szCs w:val="26"/>
        </w:rPr>
        <w:t xml:space="preserve">Annual </w:t>
      </w:r>
      <w:r w:rsidR="00F303E0" w:rsidRPr="00EE5714">
        <w:rPr>
          <w:rFonts w:eastAsia="Times New Roman" w:cs="Times New Roman"/>
          <w:b/>
          <w:bCs/>
          <w:color w:val="000000"/>
          <w:szCs w:val="26"/>
        </w:rPr>
        <w:t>Average CAP Enrollment</w:t>
      </w:r>
      <w:r w:rsidR="00F303E0" w:rsidRPr="00EE5714">
        <w:rPr>
          <w:rFonts w:cs="Times New Roman"/>
          <w:szCs w:val="26"/>
        </w:rPr>
        <w:t xml:space="preserve"> </w:t>
      </w:r>
    </w:p>
    <w:tbl>
      <w:tblPr>
        <w:tblW w:w="10481" w:type="dxa"/>
        <w:jc w:val="center"/>
        <w:tblLook w:val="04A0" w:firstRow="1" w:lastRow="0" w:firstColumn="1" w:lastColumn="0" w:noHBand="0" w:noVBand="1"/>
      </w:tblPr>
      <w:tblGrid>
        <w:gridCol w:w="1710"/>
        <w:gridCol w:w="1350"/>
        <w:gridCol w:w="1440"/>
        <w:gridCol w:w="1620"/>
        <w:gridCol w:w="1530"/>
        <w:gridCol w:w="1530"/>
        <w:gridCol w:w="1301"/>
      </w:tblGrid>
      <w:tr w:rsidR="0094268F" w:rsidRPr="0094268F" w14:paraId="0ED45D73" w14:textId="77777777" w:rsidTr="002569F9">
        <w:trPr>
          <w:trHeight w:val="255"/>
          <w:jc w:val="center"/>
        </w:trPr>
        <w:tc>
          <w:tcPr>
            <w:tcW w:w="10481" w:type="dxa"/>
            <w:gridSpan w:val="7"/>
            <w:tcBorders>
              <w:top w:val="single" w:sz="4" w:space="0" w:color="auto"/>
              <w:left w:val="single" w:sz="4" w:space="0" w:color="000000"/>
              <w:bottom w:val="single" w:sz="4" w:space="0" w:color="000000"/>
              <w:right w:val="nil"/>
            </w:tcBorders>
            <w:shd w:val="clear" w:color="000000" w:fill="BFBFBF"/>
            <w:noWrap/>
            <w:vAlign w:val="center"/>
            <w:hideMark/>
          </w:tcPr>
          <w:p w14:paraId="1868FD91" w14:textId="77777777" w:rsidR="0094268F" w:rsidRPr="0094268F" w:rsidRDefault="0094268F" w:rsidP="0094268F">
            <w:pPr>
              <w:spacing w:after="0" w:line="240" w:lineRule="auto"/>
              <w:jc w:val="center"/>
              <w:rPr>
                <w:rFonts w:ascii="Calibri" w:eastAsia="Times New Roman" w:hAnsi="Calibri" w:cs="Calibri"/>
                <w:b/>
                <w:bCs/>
                <w:color w:val="000000"/>
              </w:rPr>
            </w:pPr>
            <w:r w:rsidRPr="0094268F">
              <w:rPr>
                <w:rFonts w:ascii="Calibri" w:eastAsia="Times New Roman" w:hAnsi="Calibri" w:cs="Calibri"/>
                <w:b/>
                <w:bCs/>
                <w:color w:val="000000"/>
              </w:rPr>
              <w:t>NGDC Average CAP Enrollment</w:t>
            </w:r>
          </w:p>
        </w:tc>
      </w:tr>
      <w:tr w:rsidR="0094268F" w:rsidRPr="0094268F" w14:paraId="4BB8969F" w14:textId="77777777" w:rsidTr="006F0F9B">
        <w:trPr>
          <w:trHeight w:val="255"/>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0411B9FB" w14:textId="77777777" w:rsidR="0094268F" w:rsidRPr="0094268F" w:rsidRDefault="0094268F" w:rsidP="0094268F">
            <w:pPr>
              <w:spacing w:after="0" w:line="240" w:lineRule="auto"/>
              <w:jc w:val="center"/>
              <w:rPr>
                <w:rFonts w:ascii="Calibri" w:eastAsia="Times New Roman" w:hAnsi="Calibri" w:cs="Calibri"/>
                <w:b/>
                <w:bCs/>
                <w:i/>
                <w:iCs/>
                <w:color w:val="000000"/>
                <w:sz w:val="21"/>
                <w:szCs w:val="21"/>
              </w:rPr>
            </w:pPr>
            <w:r w:rsidRPr="0094268F">
              <w:rPr>
                <w:rFonts w:ascii="Calibri" w:eastAsia="Times New Roman" w:hAnsi="Calibri" w:cs="Calibri"/>
                <w:b/>
                <w:bCs/>
                <w:i/>
                <w:iCs/>
                <w:color w:val="000000"/>
                <w:sz w:val="21"/>
                <w:szCs w:val="21"/>
              </w:rPr>
              <w:t> </w:t>
            </w:r>
          </w:p>
        </w:tc>
        <w:tc>
          <w:tcPr>
            <w:tcW w:w="1350" w:type="dxa"/>
            <w:tcBorders>
              <w:top w:val="nil"/>
              <w:left w:val="nil"/>
              <w:bottom w:val="single" w:sz="4" w:space="0" w:color="000000"/>
              <w:right w:val="single" w:sz="4" w:space="0" w:color="000000"/>
            </w:tcBorders>
            <w:shd w:val="clear" w:color="auto" w:fill="auto"/>
            <w:noWrap/>
            <w:vAlign w:val="center"/>
            <w:hideMark/>
          </w:tcPr>
          <w:p w14:paraId="37188450" w14:textId="77777777" w:rsidR="0094268F" w:rsidRPr="0094268F" w:rsidRDefault="0094268F" w:rsidP="0094268F">
            <w:pPr>
              <w:spacing w:after="0" w:line="240" w:lineRule="auto"/>
              <w:jc w:val="center"/>
              <w:rPr>
                <w:rFonts w:ascii="Calibri" w:eastAsia="Times New Roman" w:hAnsi="Calibri" w:cs="Calibri"/>
                <w:b/>
                <w:bCs/>
                <w:color w:val="000000"/>
              </w:rPr>
            </w:pPr>
            <w:r w:rsidRPr="0094268F">
              <w:rPr>
                <w:rFonts w:ascii="Calibri" w:eastAsia="Times New Roman" w:hAnsi="Calibri" w:cs="Calibri"/>
                <w:b/>
                <w:bCs/>
                <w:color w:val="000000"/>
              </w:rPr>
              <w:t>2012</w:t>
            </w:r>
          </w:p>
        </w:tc>
        <w:tc>
          <w:tcPr>
            <w:tcW w:w="1440" w:type="dxa"/>
            <w:tcBorders>
              <w:top w:val="nil"/>
              <w:left w:val="nil"/>
              <w:bottom w:val="single" w:sz="4" w:space="0" w:color="000000"/>
              <w:right w:val="single" w:sz="4" w:space="0" w:color="000000"/>
            </w:tcBorders>
            <w:shd w:val="clear" w:color="auto" w:fill="auto"/>
            <w:noWrap/>
            <w:vAlign w:val="center"/>
            <w:hideMark/>
          </w:tcPr>
          <w:p w14:paraId="4298B865" w14:textId="77777777" w:rsidR="0094268F" w:rsidRPr="0094268F" w:rsidRDefault="0094268F" w:rsidP="0094268F">
            <w:pPr>
              <w:spacing w:after="0" w:line="240" w:lineRule="auto"/>
              <w:jc w:val="center"/>
              <w:rPr>
                <w:rFonts w:ascii="Calibri" w:eastAsia="Times New Roman" w:hAnsi="Calibri" w:cs="Calibri"/>
                <w:b/>
                <w:bCs/>
                <w:color w:val="000000"/>
              </w:rPr>
            </w:pPr>
            <w:r w:rsidRPr="0094268F">
              <w:rPr>
                <w:rFonts w:ascii="Calibri" w:eastAsia="Times New Roman" w:hAnsi="Calibri" w:cs="Calibri"/>
                <w:b/>
                <w:bCs/>
                <w:color w:val="000000"/>
              </w:rPr>
              <w:t>2013</w:t>
            </w:r>
          </w:p>
        </w:tc>
        <w:tc>
          <w:tcPr>
            <w:tcW w:w="1620" w:type="dxa"/>
            <w:tcBorders>
              <w:top w:val="nil"/>
              <w:left w:val="nil"/>
              <w:bottom w:val="single" w:sz="4" w:space="0" w:color="000000"/>
              <w:right w:val="single" w:sz="4" w:space="0" w:color="000000"/>
            </w:tcBorders>
            <w:shd w:val="clear" w:color="auto" w:fill="auto"/>
            <w:noWrap/>
            <w:vAlign w:val="center"/>
            <w:hideMark/>
          </w:tcPr>
          <w:p w14:paraId="77E6D188" w14:textId="77777777" w:rsidR="0094268F" w:rsidRPr="0094268F" w:rsidRDefault="0094268F" w:rsidP="0094268F">
            <w:pPr>
              <w:spacing w:after="0" w:line="240" w:lineRule="auto"/>
              <w:jc w:val="center"/>
              <w:rPr>
                <w:rFonts w:ascii="Calibri" w:eastAsia="Times New Roman" w:hAnsi="Calibri" w:cs="Calibri"/>
                <w:b/>
                <w:bCs/>
                <w:color w:val="000000"/>
              </w:rPr>
            </w:pPr>
            <w:r w:rsidRPr="0094268F">
              <w:rPr>
                <w:rFonts w:ascii="Calibri" w:eastAsia="Times New Roman" w:hAnsi="Calibri" w:cs="Calibri"/>
                <w:b/>
                <w:bCs/>
                <w:color w:val="000000"/>
              </w:rPr>
              <w:t>2014</w:t>
            </w:r>
          </w:p>
        </w:tc>
        <w:tc>
          <w:tcPr>
            <w:tcW w:w="1530" w:type="dxa"/>
            <w:tcBorders>
              <w:top w:val="nil"/>
              <w:left w:val="nil"/>
              <w:bottom w:val="single" w:sz="4" w:space="0" w:color="000000"/>
              <w:right w:val="single" w:sz="4" w:space="0" w:color="000000"/>
            </w:tcBorders>
            <w:shd w:val="clear" w:color="auto" w:fill="auto"/>
            <w:noWrap/>
            <w:vAlign w:val="center"/>
            <w:hideMark/>
          </w:tcPr>
          <w:p w14:paraId="6D013C40" w14:textId="77777777" w:rsidR="0094268F" w:rsidRPr="0094268F" w:rsidRDefault="0094268F" w:rsidP="0094268F">
            <w:pPr>
              <w:spacing w:after="0" w:line="240" w:lineRule="auto"/>
              <w:jc w:val="center"/>
              <w:rPr>
                <w:rFonts w:ascii="Calibri" w:eastAsia="Times New Roman" w:hAnsi="Calibri" w:cs="Calibri"/>
                <w:b/>
                <w:bCs/>
                <w:color w:val="000000"/>
              </w:rPr>
            </w:pPr>
            <w:r w:rsidRPr="0094268F">
              <w:rPr>
                <w:rFonts w:ascii="Calibri" w:eastAsia="Times New Roman" w:hAnsi="Calibri" w:cs="Calibri"/>
                <w:b/>
                <w:bCs/>
                <w:color w:val="000000"/>
              </w:rPr>
              <w:t>2015</w:t>
            </w:r>
          </w:p>
        </w:tc>
        <w:tc>
          <w:tcPr>
            <w:tcW w:w="1530" w:type="dxa"/>
            <w:tcBorders>
              <w:top w:val="nil"/>
              <w:left w:val="nil"/>
              <w:bottom w:val="single" w:sz="4" w:space="0" w:color="000000"/>
              <w:right w:val="single" w:sz="4" w:space="0" w:color="000000"/>
            </w:tcBorders>
            <w:shd w:val="clear" w:color="auto" w:fill="auto"/>
            <w:noWrap/>
            <w:vAlign w:val="center"/>
            <w:hideMark/>
          </w:tcPr>
          <w:p w14:paraId="6371482D" w14:textId="77777777" w:rsidR="0094268F" w:rsidRPr="0094268F" w:rsidRDefault="0094268F" w:rsidP="0094268F">
            <w:pPr>
              <w:spacing w:after="0" w:line="240" w:lineRule="auto"/>
              <w:jc w:val="center"/>
              <w:rPr>
                <w:rFonts w:ascii="Calibri" w:eastAsia="Times New Roman" w:hAnsi="Calibri" w:cs="Calibri"/>
                <w:b/>
                <w:bCs/>
                <w:color w:val="000000"/>
              </w:rPr>
            </w:pPr>
            <w:r w:rsidRPr="0094268F">
              <w:rPr>
                <w:rFonts w:ascii="Calibri" w:eastAsia="Times New Roman" w:hAnsi="Calibri" w:cs="Calibri"/>
                <w:b/>
                <w:bCs/>
                <w:color w:val="000000"/>
              </w:rPr>
              <w:t>2016</w:t>
            </w:r>
          </w:p>
        </w:tc>
        <w:tc>
          <w:tcPr>
            <w:tcW w:w="1301" w:type="dxa"/>
            <w:tcBorders>
              <w:top w:val="nil"/>
              <w:left w:val="nil"/>
              <w:bottom w:val="single" w:sz="4" w:space="0" w:color="000000"/>
              <w:right w:val="single" w:sz="4" w:space="0" w:color="000000"/>
            </w:tcBorders>
            <w:shd w:val="clear" w:color="auto" w:fill="auto"/>
            <w:noWrap/>
            <w:vAlign w:val="center"/>
            <w:hideMark/>
          </w:tcPr>
          <w:p w14:paraId="0BEAD9F7" w14:textId="77777777" w:rsidR="0094268F" w:rsidRPr="0094268F" w:rsidRDefault="0094268F" w:rsidP="0094268F">
            <w:pPr>
              <w:spacing w:after="0" w:line="240" w:lineRule="auto"/>
              <w:jc w:val="center"/>
              <w:rPr>
                <w:rFonts w:ascii="Calibri" w:eastAsia="Times New Roman" w:hAnsi="Calibri" w:cs="Calibri"/>
                <w:b/>
                <w:bCs/>
                <w:color w:val="000000"/>
              </w:rPr>
            </w:pPr>
            <w:r w:rsidRPr="0094268F">
              <w:rPr>
                <w:rFonts w:ascii="Calibri" w:eastAsia="Times New Roman" w:hAnsi="Calibri" w:cs="Calibri"/>
                <w:b/>
                <w:bCs/>
                <w:color w:val="000000"/>
              </w:rPr>
              <w:t>2017</w:t>
            </w:r>
          </w:p>
        </w:tc>
      </w:tr>
      <w:tr w:rsidR="0094268F" w:rsidRPr="0094268F" w14:paraId="27456FA8" w14:textId="77777777" w:rsidTr="006F0F9B">
        <w:trPr>
          <w:trHeight w:val="255"/>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03772CF4" w14:textId="77777777" w:rsidR="0094268F" w:rsidRPr="0094268F" w:rsidRDefault="0094268F" w:rsidP="0094268F">
            <w:pPr>
              <w:spacing w:after="0" w:line="240" w:lineRule="auto"/>
              <w:rPr>
                <w:rFonts w:ascii="Calibri" w:eastAsia="Times New Roman" w:hAnsi="Calibri" w:cs="Calibri"/>
                <w:b/>
                <w:bCs/>
                <w:color w:val="000000"/>
              </w:rPr>
            </w:pPr>
            <w:r w:rsidRPr="0094268F">
              <w:rPr>
                <w:rFonts w:ascii="Calibri" w:eastAsia="Times New Roman" w:hAnsi="Calibri" w:cs="Calibri"/>
                <w:b/>
                <w:bCs/>
                <w:color w:val="000000"/>
              </w:rPr>
              <w:t>Columbia</w:t>
            </w:r>
          </w:p>
        </w:tc>
        <w:tc>
          <w:tcPr>
            <w:tcW w:w="1350" w:type="dxa"/>
            <w:tcBorders>
              <w:top w:val="nil"/>
              <w:left w:val="nil"/>
              <w:bottom w:val="single" w:sz="4" w:space="0" w:color="000000"/>
              <w:right w:val="single" w:sz="4" w:space="0" w:color="000000"/>
            </w:tcBorders>
            <w:shd w:val="clear" w:color="auto" w:fill="auto"/>
            <w:vAlign w:val="bottom"/>
            <w:hideMark/>
          </w:tcPr>
          <w:p w14:paraId="0E04424B"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21,137</w:t>
            </w:r>
          </w:p>
        </w:tc>
        <w:tc>
          <w:tcPr>
            <w:tcW w:w="1440" w:type="dxa"/>
            <w:tcBorders>
              <w:top w:val="nil"/>
              <w:left w:val="nil"/>
              <w:bottom w:val="single" w:sz="4" w:space="0" w:color="000000"/>
              <w:right w:val="single" w:sz="4" w:space="0" w:color="000000"/>
            </w:tcBorders>
            <w:shd w:val="clear" w:color="auto" w:fill="auto"/>
            <w:noWrap/>
            <w:vAlign w:val="center"/>
            <w:hideMark/>
          </w:tcPr>
          <w:p w14:paraId="546FECD2"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19,803</w:t>
            </w:r>
          </w:p>
        </w:tc>
        <w:tc>
          <w:tcPr>
            <w:tcW w:w="1620" w:type="dxa"/>
            <w:tcBorders>
              <w:top w:val="nil"/>
              <w:left w:val="nil"/>
              <w:bottom w:val="single" w:sz="4" w:space="0" w:color="000000"/>
              <w:right w:val="single" w:sz="4" w:space="0" w:color="000000"/>
            </w:tcBorders>
            <w:shd w:val="clear" w:color="auto" w:fill="auto"/>
            <w:noWrap/>
            <w:vAlign w:val="center"/>
            <w:hideMark/>
          </w:tcPr>
          <w:p w14:paraId="64DD0941"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21,418</w:t>
            </w:r>
          </w:p>
        </w:tc>
        <w:tc>
          <w:tcPr>
            <w:tcW w:w="1530" w:type="dxa"/>
            <w:tcBorders>
              <w:top w:val="nil"/>
              <w:left w:val="nil"/>
              <w:bottom w:val="single" w:sz="4" w:space="0" w:color="000000"/>
              <w:right w:val="single" w:sz="4" w:space="0" w:color="000000"/>
            </w:tcBorders>
            <w:shd w:val="clear" w:color="auto" w:fill="auto"/>
            <w:noWrap/>
            <w:vAlign w:val="bottom"/>
            <w:hideMark/>
          </w:tcPr>
          <w:p w14:paraId="0EB90212"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21,925</w:t>
            </w:r>
          </w:p>
        </w:tc>
        <w:tc>
          <w:tcPr>
            <w:tcW w:w="1530" w:type="dxa"/>
            <w:tcBorders>
              <w:top w:val="nil"/>
              <w:left w:val="nil"/>
              <w:bottom w:val="single" w:sz="4" w:space="0" w:color="000000"/>
              <w:right w:val="single" w:sz="4" w:space="0" w:color="000000"/>
            </w:tcBorders>
            <w:shd w:val="clear" w:color="auto" w:fill="auto"/>
            <w:vAlign w:val="bottom"/>
            <w:hideMark/>
          </w:tcPr>
          <w:p w14:paraId="6A911EE3"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21,509</w:t>
            </w:r>
          </w:p>
        </w:tc>
        <w:tc>
          <w:tcPr>
            <w:tcW w:w="1301" w:type="dxa"/>
            <w:tcBorders>
              <w:top w:val="nil"/>
              <w:left w:val="nil"/>
              <w:bottom w:val="single" w:sz="4" w:space="0" w:color="000000"/>
              <w:right w:val="single" w:sz="4" w:space="0" w:color="000000"/>
            </w:tcBorders>
            <w:shd w:val="clear" w:color="auto" w:fill="auto"/>
            <w:vAlign w:val="bottom"/>
            <w:hideMark/>
          </w:tcPr>
          <w:p w14:paraId="5C5AED10"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22,921</w:t>
            </w:r>
          </w:p>
        </w:tc>
      </w:tr>
      <w:tr w:rsidR="0094268F" w:rsidRPr="0094268F" w14:paraId="65EB0162" w14:textId="77777777" w:rsidTr="006F0F9B">
        <w:trPr>
          <w:trHeight w:val="255"/>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2DD948A3" w14:textId="77777777" w:rsidR="0094268F" w:rsidRPr="0094268F" w:rsidRDefault="0094268F" w:rsidP="0094268F">
            <w:pPr>
              <w:spacing w:after="0" w:line="240" w:lineRule="auto"/>
              <w:rPr>
                <w:rFonts w:ascii="Calibri" w:eastAsia="Times New Roman" w:hAnsi="Calibri" w:cs="Calibri"/>
                <w:b/>
                <w:bCs/>
                <w:color w:val="000000"/>
              </w:rPr>
            </w:pPr>
            <w:r w:rsidRPr="0094268F">
              <w:rPr>
                <w:rFonts w:ascii="Calibri" w:eastAsia="Times New Roman" w:hAnsi="Calibri" w:cs="Calibri"/>
                <w:b/>
                <w:bCs/>
                <w:color w:val="000000"/>
              </w:rPr>
              <w:t>NFG</w:t>
            </w:r>
          </w:p>
        </w:tc>
        <w:tc>
          <w:tcPr>
            <w:tcW w:w="1350" w:type="dxa"/>
            <w:tcBorders>
              <w:top w:val="nil"/>
              <w:left w:val="nil"/>
              <w:bottom w:val="single" w:sz="4" w:space="0" w:color="000000"/>
              <w:right w:val="single" w:sz="4" w:space="0" w:color="000000"/>
            </w:tcBorders>
            <w:shd w:val="clear" w:color="auto" w:fill="auto"/>
            <w:vAlign w:val="bottom"/>
            <w:hideMark/>
          </w:tcPr>
          <w:p w14:paraId="03C46F6F"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11,208</w:t>
            </w:r>
          </w:p>
        </w:tc>
        <w:tc>
          <w:tcPr>
            <w:tcW w:w="1440" w:type="dxa"/>
            <w:tcBorders>
              <w:top w:val="nil"/>
              <w:left w:val="nil"/>
              <w:bottom w:val="single" w:sz="4" w:space="0" w:color="000000"/>
              <w:right w:val="single" w:sz="4" w:space="0" w:color="000000"/>
            </w:tcBorders>
            <w:shd w:val="clear" w:color="auto" w:fill="auto"/>
            <w:noWrap/>
            <w:vAlign w:val="center"/>
            <w:hideMark/>
          </w:tcPr>
          <w:p w14:paraId="21F39D1D"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9,961</w:t>
            </w:r>
          </w:p>
        </w:tc>
        <w:tc>
          <w:tcPr>
            <w:tcW w:w="1620" w:type="dxa"/>
            <w:tcBorders>
              <w:top w:val="nil"/>
              <w:left w:val="nil"/>
              <w:bottom w:val="single" w:sz="4" w:space="0" w:color="000000"/>
              <w:right w:val="single" w:sz="4" w:space="0" w:color="000000"/>
            </w:tcBorders>
            <w:shd w:val="clear" w:color="auto" w:fill="auto"/>
            <w:noWrap/>
            <w:vAlign w:val="center"/>
            <w:hideMark/>
          </w:tcPr>
          <w:p w14:paraId="19DF2652"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9,797</w:t>
            </w:r>
          </w:p>
        </w:tc>
        <w:tc>
          <w:tcPr>
            <w:tcW w:w="1530" w:type="dxa"/>
            <w:tcBorders>
              <w:top w:val="nil"/>
              <w:left w:val="nil"/>
              <w:bottom w:val="single" w:sz="4" w:space="0" w:color="000000"/>
              <w:right w:val="single" w:sz="4" w:space="0" w:color="000000"/>
            </w:tcBorders>
            <w:shd w:val="clear" w:color="auto" w:fill="auto"/>
            <w:noWrap/>
            <w:vAlign w:val="bottom"/>
            <w:hideMark/>
          </w:tcPr>
          <w:p w14:paraId="20CDE7E4"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9,577</w:t>
            </w:r>
          </w:p>
        </w:tc>
        <w:tc>
          <w:tcPr>
            <w:tcW w:w="1530" w:type="dxa"/>
            <w:tcBorders>
              <w:top w:val="nil"/>
              <w:left w:val="nil"/>
              <w:bottom w:val="single" w:sz="4" w:space="0" w:color="000000"/>
              <w:right w:val="single" w:sz="4" w:space="0" w:color="000000"/>
            </w:tcBorders>
            <w:shd w:val="clear" w:color="auto" w:fill="auto"/>
            <w:vAlign w:val="bottom"/>
            <w:hideMark/>
          </w:tcPr>
          <w:p w14:paraId="1645CFFA"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8,615</w:t>
            </w:r>
          </w:p>
        </w:tc>
        <w:tc>
          <w:tcPr>
            <w:tcW w:w="1301" w:type="dxa"/>
            <w:tcBorders>
              <w:top w:val="nil"/>
              <w:left w:val="nil"/>
              <w:bottom w:val="single" w:sz="4" w:space="0" w:color="000000"/>
              <w:right w:val="single" w:sz="4" w:space="0" w:color="000000"/>
            </w:tcBorders>
            <w:shd w:val="clear" w:color="auto" w:fill="auto"/>
            <w:vAlign w:val="bottom"/>
            <w:hideMark/>
          </w:tcPr>
          <w:p w14:paraId="0F485B80"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8,014</w:t>
            </w:r>
          </w:p>
        </w:tc>
      </w:tr>
      <w:tr w:rsidR="0094268F" w:rsidRPr="0094268F" w14:paraId="2681D761" w14:textId="77777777" w:rsidTr="006F0F9B">
        <w:trPr>
          <w:trHeight w:val="255"/>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03A0FC2C" w14:textId="77777777" w:rsidR="0094268F" w:rsidRPr="0094268F" w:rsidRDefault="0094268F" w:rsidP="0094268F">
            <w:pPr>
              <w:spacing w:after="0" w:line="240" w:lineRule="auto"/>
              <w:rPr>
                <w:rFonts w:ascii="Calibri" w:eastAsia="Times New Roman" w:hAnsi="Calibri" w:cs="Calibri"/>
                <w:b/>
                <w:bCs/>
                <w:color w:val="000000"/>
              </w:rPr>
            </w:pPr>
            <w:r w:rsidRPr="0094268F">
              <w:rPr>
                <w:rFonts w:ascii="Calibri" w:eastAsia="Times New Roman" w:hAnsi="Calibri" w:cs="Calibri"/>
                <w:b/>
                <w:bCs/>
                <w:color w:val="000000"/>
              </w:rPr>
              <w:t>PECO Gas</w:t>
            </w:r>
          </w:p>
        </w:tc>
        <w:tc>
          <w:tcPr>
            <w:tcW w:w="1350" w:type="dxa"/>
            <w:tcBorders>
              <w:top w:val="nil"/>
              <w:left w:val="nil"/>
              <w:bottom w:val="single" w:sz="4" w:space="0" w:color="000000"/>
              <w:right w:val="single" w:sz="4" w:space="0" w:color="000000"/>
            </w:tcBorders>
            <w:shd w:val="clear" w:color="auto" w:fill="auto"/>
            <w:vAlign w:val="bottom"/>
            <w:hideMark/>
          </w:tcPr>
          <w:p w14:paraId="51F6E938"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23,847</w:t>
            </w:r>
          </w:p>
        </w:tc>
        <w:tc>
          <w:tcPr>
            <w:tcW w:w="1440" w:type="dxa"/>
            <w:tcBorders>
              <w:top w:val="nil"/>
              <w:left w:val="nil"/>
              <w:bottom w:val="single" w:sz="4" w:space="0" w:color="000000"/>
              <w:right w:val="single" w:sz="4" w:space="0" w:color="000000"/>
            </w:tcBorders>
            <w:shd w:val="clear" w:color="auto" w:fill="auto"/>
            <w:noWrap/>
            <w:vAlign w:val="center"/>
            <w:hideMark/>
          </w:tcPr>
          <w:p w14:paraId="085DDCE4"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23,744</w:t>
            </w:r>
          </w:p>
        </w:tc>
        <w:tc>
          <w:tcPr>
            <w:tcW w:w="1620" w:type="dxa"/>
            <w:tcBorders>
              <w:top w:val="nil"/>
              <w:left w:val="nil"/>
              <w:bottom w:val="single" w:sz="4" w:space="0" w:color="000000"/>
              <w:right w:val="single" w:sz="4" w:space="0" w:color="000000"/>
            </w:tcBorders>
            <w:shd w:val="clear" w:color="auto" w:fill="auto"/>
            <w:noWrap/>
            <w:vAlign w:val="center"/>
            <w:hideMark/>
          </w:tcPr>
          <w:p w14:paraId="13EFDE9D"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24,667</w:t>
            </w:r>
          </w:p>
        </w:tc>
        <w:tc>
          <w:tcPr>
            <w:tcW w:w="1530" w:type="dxa"/>
            <w:tcBorders>
              <w:top w:val="nil"/>
              <w:left w:val="nil"/>
              <w:bottom w:val="single" w:sz="4" w:space="0" w:color="000000"/>
              <w:right w:val="single" w:sz="4" w:space="0" w:color="000000"/>
            </w:tcBorders>
            <w:shd w:val="clear" w:color="auto" w:fill="auto"/>
            <w:noWrap/>
            <w:vAlign w:val="bottom"/>
            <w:hideMark/>
          </w:tcPr>
          <w:p w14:paraId="743BE0F5"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24,813</w:t>
            </w:r>
          </w:p>
        </w:tc>
        <w:tc>
          <w:tcPr>
            <w:tcW w:w="1530" w:type="dxa"/>
            <w:tcBorders>
              <w:top w:val="nil"/>
              <w:left w:val="nil"/>
              <w:bottom w:val="single" w:sz="4" w:space="0" w:color="000000"/>
              <w:right w:val="single" w:sz="4" w:space="0" w:color="000000"/>
            </w:tcBorders>
            <w:shd w:val="clear" w:color="auto" w:fill="auto"/>
            <w:vAlign w:val="bottom"/>
            <w:hideMark/>
          </w:tcPr>
          <w:p w14:paraId="3832127D"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23,915</w:t>
            </w:r>
          </w:p>
        </w:tc>
        <w:tc>
          <w:tcPr>
            <w:tcW w:w="1301" w:type="dxa"/>
            <w:tcBorders>
              <w:top w:val="nil"/>
              <w:left w:val="nil"/>
              <w:bottom w:val="single" w:sz="4" w:space="0" w:color="000000"/>
              <w:right w:val="single" w:sz="4" w:space="0" w:color="000000"/>
            </w:tcBorders>
            <w:shd w:val="clear" w:color="auto" w:fill="auto"/>
            <w:vAlign w:val="bottom"/>
            <w:hideMark/>
          </w:tcPr>
          <w:p w14:paraId="73FC0612"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21,898</w:t>
            </w:r>
          </w:p>
        </w:tc>
      </w:tr>
      <w:tr w:rsidR="0094268F" w:rsidRPr="0094268F" w14:paraId="0966B7F8" w14:textId="77777777" w:rsidTr="006F0F9B">
        <w:trPr>
          <w:trHeight w:val="255"/>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5E305B02" w14:textId="77777777" w:rsidR="0094268F" w:rsidRPr="0094268F" w:rsidRDefault="0094268F" w:rsidP="0094268F">
            <w:pPr>
              <w:spacing w:after="0" w:line="240" w:lineRule="auto"/>
              <w:rPr>
                <w:rFonts w:ascii="Calibri" w:eastAsia="Times New Roman" w:hAnsi="Calibri" w:cs="Calibri"/>
                <w:b/>
                <w:bCs/>
                <w:color w:val="000000"/>
              </w:rPr>
            </w:pPr>
            <w:r w:rsidRPr="0094268F">
              <w:rPr>
                <w:rFonts w:ascii="Calibri" w:eastAsia="Times New Roman" w:hAnsi="Calibri" w:cs="Calibri"/>
                <w:b/>
                <w:bCs/>
                <w:color w:val="000000"/>
              </w:rPr>
              <w:t>Peoples</w:t>
            </w:r>
          </w:p>
        </w:tc>
        <w:tc>
          <w:tcPr>
            <w:tcW w:w="1350" w:type="dxa"/>
            <w:tcBorders>
              <w:top w:val="nil"/>
              <w:left w:val="nil"/>
              <w:bottom w:val="single" w:sz="4" w:space="0" w:color="000000"/>
              <w:right w:val="single" w:sz="4" w:space="0" w:color="000000"/>
            </w:tcBorders>
            <w:shd w:val="clear" w:color="auto" w:fill="auto"/>
            <w:vAlign w:val="bottom"/>
            <w:hideMark/>
          </w:tcPr>
          <w:p w14:paraId="00205377"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15,009</w:t>
            </w:r>
          </w:p>
        </w:tc>
        <w:tc>
          <w:tcPr>
            <w:tcW w:w="1440" w:type="dxa"/>
            <w:tcBorders>
              <w:top w:val="nil"/>
              <w:left w:val="nil"/>
              <w:bottom w:val="single" w:sz="4" w:space="0" w:color="000000"/>
              <w:right w:val="single" w:sz="4" w:space="0" w:color="000000"/>
            </w:tcBorders>
            <w:shd w:val="clear" w:color="auto" w:fill="auto"/>
            <w:noWrap/>
            <w:vAlign w:val="center"/>
            <w:hideMark/>
          </w:tcPr>
          <w:p w14:paraId="732EB9BE"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18,170</w:t>
            </w:r>
          </w:p>
        </w:tc>
        <w:tc>
          <w:tcPr>
            <w:tcW w:w="1620" w:type="dxa"/>
            <w:tcBorders>
              <w:top w:val="nil"/>
              <w:left w:val="nil"/>
              <w:bottom w:val="single" w:sz="4" w:space="0" w:color="000000"/>
              <w:right w:val="single" w:sz="4" w:space="0" w:color="000000"/>
            </w:tcBorders>
            <w:shd w:val="clear" w:color="auto" w:fill="auto"/>
            <w:noWrap/>
            <w:vAlign w:val="center"/>
            <w:hideMark/>
          </w:tcPr>
          <w:p w14:paraId="6298B319"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19,762</w:t>
            </w:r>
          </w:p>
        </w:tc>
        <w:tc>
          <w:tcPr>
            <w:tcW w:w="1530" w:type="dxa"/>
            <w:tcBorders>
              <w:top w:val="nil"/>
              <w:left w:val="nil"/>
              <w:bottom w:val="single" w:sz="4" w:space="0" w:color="000000"/>
              <w:right w:val="single" w:sz="4" w:space="0" w:color="000000"/>
            </w:tcBorders>
            <w:shd w:val="clear" w:color="auto" w:fill="auto"/>
            <w:noWrap/>
            <w:vAlign w:val="bottom"/>
            <w:hideMark/>
          </w:tcPr>
          <w:p w14:paraId="171B9EBA"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20,432</w:t>
            </w:r>
          </w:p>
        </w:tc>
        <w:tc>
          <w:tcPr>
            <w:tcW w:w="1530" w:type="dxa"/>
            <w:tcBorders>
              <w:top w:val="nil"/>
              <w:left w:val="nil"/>
              <w:bottom w:val="single" w:sz="4" w:space="0" w:color="000000"/>
              <w:right w:val="single" w:sz="4" w:space="0" w:color="000000"/>
            </w:tcBorders>
            <w:shd w:val="clear" w:color="auto" w:fill="auto"/>
            <w:vAlign w:val="bottom"/>
            <w:hideMark/>
          </w:tcPr>
          <w:p w14:paraId="19A4F47A"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19,807</w:t>
            </w:r>
          </w:p>
        </w:tc>
        <w:tc>
          <w:tcPr>
            <w:tcW w:w="1301" w:type="dxa"/>
            <w:tcBorders>
              <w:top w:val="nil"/>
              <w:left w:val="nil"/>
              <w:bottom w:val="single" w:sz="4" w:space="0" w:color="000000"/>
              <w:right w:val="single" w:sz="4" w:space="0" w:color="000000"/>
            </w:tcBorders>
            <w:shd w:val="clear" w:color="auto" w:fill="auto"/>
            <w:vAlign w:val="bottom"/>
            <w:hideMark/>
          </w:tcPr>
          <w:p w14:paraId="6843BAEB"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18,194</w:t>
            </w:r>
          </w:p>
        </w:tc>
      </w:tr>
      <w:tr w:rsidR="0094268F" w:rsidRPr="0094268F" w14:paraId="159D5F34" w14:textId="77777777" w:rsidTr="006F0F9B">
        <w:trPr>
          <w:trHeight w:val="255"/>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44AC5C77" w14:textId="77777777" w:rsidR="0094268F" w:rsidRPr="0094268F" w:rsidRDefault="0094268F" w:rsidP="0094268F">
            <w:pPr>
              <w:spacing w:after="0" w:line="240" w:lineRule="auto"/>
              <w:rPr>
                <w:rFonts w:ascii="Calibri" w:eastAsia="Times New Roman" w:hAnsi="Calibri" w:cs="Calibri"/>
                <w:b/>
                <w:bCs/>
                <w:color w:val="000000"/>
              </w:rPr>
            </w:pPr>
            <w:r w:rsidRPr="0094268F">
              <w:rPr>
                <w:rFonts w:ascii="Calibri" w:eastAsia="Times New Roman" w:hAnsi="Calibri" w:cs="Calibri"/>
                <w:b/>
                <w:bCs/>
                <w:color w:val="000000"/>
              </w:rPr>
              <w:t>Peoples EQT</w:t>
            </w:r>
          </w:p>
        </w:tc>
        <w:tc>
          <w:tcPr>
            <w:tcW w:w="1350" w:type="dxa"/>
            <w:tcBorders>
              <w:top w:val="nil"/>
              <w:left w:val="nil"/>
              <w:bottom w:val="single" w:sz="4" w:space="0" w:color="000000"/>
              <w:right w:val="single" w:sz="4" w:space="0" w:color="000000"/>
            </w:tcBorders>
            <w:shd w:val="clear" w:color="auto" w:fill="auto"/>
            <w:vAlign w:val="bottom"/>
            <w:hideMark/>
          </w:tcPr>
          <w:p w14:paraId="236423FD"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13,122</w:t>
            </w:r>
          </w:p>
        </w:tc>
        <w:tc>
          <w:tcPr>
            <w:tcW w:w="1440" w:type="dxa"/>
            <w:tcBorders>
              <w:top w:val="nil"/>
              <w:left w:val="nil"/>
              <w:bottom w:val="single" w:sz="4" w:space="0" w:color="000000"/>
              <w:right w:val="single" w:sz="4" w:space="0" w:color="000000"/>
            </w:tcBorders>
            <w:shd w:val="clear" w:color="auto" w:fill="auto"/>
            <w:noWrap/>
            <w:vAlign w:val="center"/>
            <w:hideMark/>
          </w:tcPr>
          <w:p w14:paraId="53C563D2"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11,280</w:t>
            </w:r>
          </w:p>
        </w:tc>
        <w:tc>
          <w:tcPr>
            <w:tcW w:w="1620" w:type="dxa"/>
            <w:tcBorders>
              <w:top w:val="nil"/>
              <w:left w:val="nil"/>
              <w:bottom w:val="single" w:sz="4" w:space="0" w:color="000000"/>
              <w:right w:val="single" w:sz="4" w:space="0" w:color="000000"/>
            </w:tcBorders>
            <w:shd w:val="clear" w:color="auto" w:fill="auto"/>
            <w:noWrap/>
            <w:vAlign w:val="center"/>
            <w:hideMark/>
          </w:tcPr>
          <w:p w14:paraId="569350FF"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13,334</w:t>
            </w:r>
          </w:p>
        </w:tc>
        <w:tc>
          <w:tcPr>
            <w:tcW w:w="1530" w:type="dxa"/>
            <w:tcBorders>
              <w:top w:val="nil"/>
              <w:left w:val="nil"/>
              <w:bottom w:val="single" w:sz="4" w:space="0" w:color="000000"/>
              <w:right w:val="single" w:sz="4" w:space="0" w:color="000000"/>
            </w:tcBorders>
            <w:shd w:val="clear" w:color="auto" w:fill="auto"/>
            <w:noWrap/>
            <w:vAlign w:val="bottom"/>
            <w:hideMark/>
          </w:tcPr>
          <w:p w14:paraId="6C971B14"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14,333</w:t>
            </w:r>
          </w:p>
        </w:tc>
        <w:tc>
          <w:tcPr>
            <w:tcW w:w="1530" w:type="dxa"/>
            <w:tcBorders>
              <w:top w:val="nil"/>
              <w:left w:val="nil"/>
              <w:bottom w:val="single" w:sz="4" w:space="0" w:color="000000"/>
              <w:right w:val="single" w:sz="4" w:space="0" w:color="000000"/>
            </w:tcBorders>
            <w:shd w:val="clear" w:color="auto" w:fill="auto"/>
            <w:vAlign w:val="bottom"/>
            <w:hideMark/>
          </w:tcPr>
          <w:p w14:paraId="7BF6C34D"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13,564</w:t>
            </w:r>
          </w:p>
        </w:tc>
        <w:tc>
          <w:tcPr>
            <w:tcW w:w="1301" w:type="dxa"/>
            <w:tcBorders>
              <w:top w:val="nil"/>
              <w:left w:val="nil"/>
              <w:bottom w:val="single" w:sz="4" w:space="0" w:color="000000"/>
              <w:right w:val="single" w:sz="4" w:space="0" w:color="000000"/>
            </w:tcBorders>
            <w:shd w:val="clear" w:color="auto" w:fill="auto"/>
            <w:vAlign w:val="bottom"/>
            <w:hideMark/>
          </w:tcPr>
          <w:p w14:paraId="44AF56AF"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13,009</w:t>
            </w:r>
          </w:p>
        </w:tc>
      </w:tr>
      <w:tr w:rsidR="0094268F" w:rsidRPr="0094268F" w14:paraId="694B92E3" w14:textId="77777777" w:rsidTr="006F0F9B">
        <w:trPr>
          <w:trHeight w:val="255"/>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515A0962" w14:textId="77777777" w:rsidR="0094268F" w:rsidRPr="0094268F" w:rsidRDefault="0094268F" w:rsidP="0094268F">
            <w:pPr>
              <w:spacing w:after="0" w:line="240" w:lineRule="auto"/>
              <w:rPr>
                <w:rFonts w:ascii="Calibri" w:eastAsia="Times New Roman" w:hAnsi="Calibri" w:cs="Calibri"/>
                <w:b/>
                <w:bCs/>
                <w:color w:val="000000"/>
              </w:rPr>
            </w:pPr>
            <w:r w:rsidRPr="0094268F">
              <w:rPr>
                <w:rFonts w:ascii="Calibri" w:eastAsia="Times New Roman" w:hAnsi="Calibri" w:cs="Calibri"/>
                <w:b/>
                <w:bCs/>
                <w:color w:val="000000"/>
              </w:rPr>
              <w:t>PGW</w:t>
            </w:r>
          </w:p>
        </w:tc>
        <w:tc>
          <w:tcPr>
            <w:tcW w:w="1350" w:type="dxa"/>
            <w:tcBorders>
              <w:top w:val="nil"/>
              <w:left w:val="nil"/>
              <w:bottom w:val="single" w:sz="4" w:space="0" w:color="000000"/>
              <w:right w:val="single" w:sz="4" w:space="0" w:color="000000"/>
            </w:tcBorders>
            <w:shd w:val="clear" w:color="auto" w:fill="auto"/>
            <w:vAlign w:val="bottom"/>
            <w:hideMark/>
          </w:tcPr>
          <w:p w14:paraId="0626D6FC"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80,343</w:t>
            </w:r>
          </w:p>
        </w:tc>
        <w:tc>
          <w:tcPr>
            <w:tcW w:w="1440" w:type="dxa"/>
            <w:tcBorders>
              <w:top w:val="nil"/>
              <w:left w:val="nil"/>
              <w:bottom w:val="single" w:sz="4" w:space="0" w:color="000000"/>
              <w:right w:val="single" w:sz="4" w:space="0" w:color="000000"/>
            </w:tcBorders>
            <w:shd w:val="clear" w:color="auto" w:fill="auto"/>
            <w:noWrap/>
            <w:vAlign w:val="center"/>
            <w:hideMark/>
          </w:tcPr>
          <w:p w14:paraId="1B1247FB"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74,507</w:t>
            </w:r>
          </w:p>
        </w:tc>
        <w:tc>
          <w:tcPr>
            <w:tcW w:w="1620" w:type="dxa"/>
            <w:tcBorders>
              <w:top w:val="nil"/>
              <w:left w:val="nil"/>
              <w:bottom w:val="single" w:sz="4" w:space="0" w:color="000000"/>
              <w:right w:val="single" w:sz="4" w:space="0" w:color="000000"/>
            </w:tcBorders>
            <w:shd w:val="clear" w:color="auto" w:fill="auto"/>
            <w:noWrap/>
            <w:vAlign w:val="center"/>
            <w:hideMark/>
          </w:tcPr>
          <w:p w14:paraId="27603822"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63,578</w:t>
            </w:r>
          </w:p>
        </w:tc>
        <w:tc>
          <w:tcPr>
            <w:tcW w:w="1530" w:type="dxa"/>
            <w:tcBorders>
              <w:top w:val="nil"/>
              <w:left w:val="nil"/>
              <w:bottom w:val="single" w:sz="4" w:space="0" w:color="000000"/>
              <w:right w:val="single" w:sz="4" w:space="0" w:color="000000"/>
            </w:tcBorders>
            <w:shd w:val="clear" w:color="auto" w:fill="auto"/>
            <w:noWrap/>
            <w:vAlign w:val="bottom"/>
            <w:hideMark/>
          </w:tcPr>
          <w:p w14:paraId="315642EC"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60,507</w:t>
            </w:r>
          </w:p>
        </w:tc>
        <w:tc>
          <w:tcPr>
            <w:tcW w:w="1530" w:type="dxa"/>
            <w:tcBorders>
              <w:top w:val="nil"/>
              <w:left w:val="nil"/>
              <w:bottom w:val="single" w:sz="4" w:space="0" w:color="000000"/>
              <w:right w:val="single" w:sz="4" w:space="0" w:color="000000"/>
            </w:tcBorders>
            <w:shd w:val="clear" w:color="auto" w:fill="auto"/>
            <w:vAlign w:val="bottom"/>
            <w:hideMark/>
          </w:tcPr>
          <w:p w14:paraId="55523804"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52,767</w:t>
            </w:r>
          </w:p>
        </w:tc>
        <w:tc>
          <w:tcPr>
            <w:tcW w:w="1301" w:type="dxa"/>
            <w:tcBorders>
              <w:top w:val="nil"/>
              <w:left w:val="nil"/>
              <w:bottom w:val="single" w:sz="4" w:space="0" w:color="000000"/>
              <w:right w:val="single" w:sz="4" w:space="0" w:color="000000"/>
            </w:tcBorders>
            <w:shd w:val="clear" w:color="auto" w:fill="auto"/>
            <w:vAlign w:val="bottom"/>
            <w:hideMark/>
          </w:tcPr>
          <w:p w14:paraId="4E3BDAF4"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48,471</w:t>
            </w:r>
          </w:p>
        </w:tc>
      </w:tr>
      <w:tr w:rsidR="0094268F" w:rsidRPr="0094268F" w14:paraId="0FF00FA9" w14:textId="77777777" w:rsidTr="006F0F9B">
        <w:trPr>
          <w:trHeight w:val="255"/>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134EFCEA" w14:textId="77777777" w:rsidR="0094268F" w:rsidRPr="0094268F" w:rsidRDefault="0094268F" w:rsidP="0094268F">
            <w:pPr>
              <w:spacing w:after="0" w:line="240" w:lineRule="auto"/>
              <w:rPr>
                <w:rFonts w:ascii="Calibri" w:eastAsia="Times New Roman" w:hAnsi="Calibri" w:cs="Calibri"/>
                <w:b/>
                <w:bCs/>
                <w:color w:val="000000"/>
              </w:rPr>
            </w:pPr>
            <w:r w:rsidRPr="0094268F">
              <w:rPr>
                <w:rFonts w:ascii="Calibri" w:eastAsia="Times New Roman" w:hAnsi="Calibri" w:cs="Calibri"/>
                <w:b/>
                <w:bCs/>
                <w:color w:val="000000"/>
              </w:rPr>
              <w:t>UGI Gas</w:t>
            </w:r>
          </w:p>
        </w:tc>
        <w:tc>
          <w:tcPr>
            <w:tcW w:w="1350" w:type="dxa"/>
            <w:tcBorders>
              <w:top w:val="nil"/>
              <w:left w:val="nil"/>
              <w:bottom w:val="single" w:sz="4" w:space="0" w:color="000000"/>
              <w:right w:val="single" w:sz="4" w:space="0" w:color="000000"/>
            </w:tcBorders>
            <w:shd w:val="clear" w:color="auto" w:fill="auto"/>
            <w:vAlign w:val="bottom"/>
            <w:hideMark/>
          </w:tcPr>
          <w:p w14:paraId="58494671"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6,135</w:t>
            </w:r>
          </w:p>
        </w:tc>
        <w:tc>
          <w:tcPr>
            <w:tcW w:w="1440" w:type="dxa"/>
            <w:tcBorders>
              <w:top w:val="nil"/>
              <w:left w:val="nil"/>
              <w:bottom w:val="single" w:sz="4" w:space="0" w:color="000000"/>
              <w:right w:val="single" w:sz="4" w:space="0" w:color="000000"/>
            </w:tcBorders>
            <w:shd w:val="clear" w:color="auto" w:fill="auto"/>
            <w:noWrap/>
            <w:vAlign w:val="center"/>
            <w:hideMark/>
          </w:tcPr>
          <w:p w14:paraId="0E20480D"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4,859</w:t>
            </w:r>
          </w:p>
        </w:tc>
        <w:tc>
          <w:tcPr>
            <w:tcW w:w="1620" w:type="dxa"/>
            <w:tcBorders>
              <w:top w:val="nil"/>
              <w:left w:val="nil"/>
              <w:bottom w:val="single" w:sz="4" w:space="0" w:color="000000"/>
              <w:right w:val="single" w:sz="4" w:space="0" w:color="000000"/>
            </w:tcBorders>
            <w:shd w:val="clear" w:color="auto" w:fill="auto"/>
            <w:noWrap/>
            <w:vAlign w:val="center"/>
            <w:hideMark/>
          </w:tcPr>
          <w:p w14:paraId="0778DCE3"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6,709</w:t>
            </w:r>
          </w:p>
        </w:tc>
        <w:tc>
          <w:tcPr>
            <w:tcW w:w="1530" w:type="dxa"/>
            <w:tcBorders>
              <w:top w:val="nil"/>
              <w:left w:val="nil"/>
              <w:bottom w:val="single" w:sz="4" w:space="0" w:color="000000"/>
              <w:right w:val="single" w:sz="4" w:space="0" w:color="000000"/>
            </w:tcBorders>
            <w:shd w:val="clear" w:color="auto" w:fill="auto"/>
            <w:noWrap/>
            <w:vAlign w:val="bottom"/>
            <w:hideMark/>
          </w:tcPr>
          <w:p w14:paraId="42BEB2DA"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8,693</w:t>
            </w:r>
          </w:p>
        </w:tc>
        <w:tc>
          <w:tcPr>
            <w:tcW w:w="1530" w:type="dxa"/>
            <w:tcBorders>
              <w:top w:val="nil"/>
              <w:left w:val="nil"/>
              <w:bottom w:val="single" w:sz="4" w:space="0" w:color="000000"/>
              <w:right w:val="single" w:sz="4" w:space="0" w:color="000000"/>
            </w:tcBorders>
            <w:shd w:val="clear" w:color="auto" w:fill="auto"/>
            <w:vAlign w:val="bottom"/>
            <w:hideMark/>
          </w:tcPr>
          <w:p w14:paraId="28E02C7D"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8,026</w:t>
            </w:r>
          </w:p>
        </w:tc>
        <w:tc>
          <w:tcPr>
            <w:tcW w:w="1301" w:type="dxa"/>
            <w:tcBorders>
              <w:top w:val="nil"/>
              <w:left w:val="nil"/>
              <w:bottom w:val="single" w:sz="4" w:space="0" w:color="000000"/>
              <w:right w:val="single" w:sz="4" w:space="0" w:color="000000"/>
            </w:tcBorders>
            <w:shd w:val="clear" w:color="auto" w:fill="auto"/>
            <w:vAlign w:val="bottom"/>
            <w:hideMark/>
          </w:tcPr>
          <w:p w14:paraId="3B178257"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8,326</w:t>
            </w:r>
          </w:p>
        </w:tc>
      </w:tr>
      <w:tr w:rsidR="0094268F" w:rsidRPr="0094268F" w14:paraId="180E9E99" w14:textId="77777777" w:rsidTr="006F0F9B">
        <w:trPr>
          <w:trHeight w:val="255"/>
          <w:jc w:val="center"/>
        </w:trPr>
        <w:tc>
          <w:tcPr>
            <w:tcW w:w="1710" w:type="dxa"/>
            <w:tcBorders>
              <w:top w:val="nil"/>
              <w:left w:val="single" w:sz="4" w:space="0" w:color="000000"/>
              <w:bottom w:val="single" w:sz="4" w:space="0" w:color="000000"/>
              <w:right w:val="single" w:sz="4" w:space="0" w:color="000000"/>
            </w:tcBorders>
            <w:shd w:val="clear" w:color="auto" w:fill="auto"/>
            <w:noWrap/>
            <w:vAlign w:val="center"/>
            <w:hideMark/>
          </w:tcPr>
          <w:p w14:paraId="079587E3" w14:textId="77777777" w:rsidR="0094268F" w:rsidRPr="0094268F" w:rsidRDefault="0094268F" w:rsidP="0094268F">
            <w:pPr>
              <w:spacing w:after="0" w:line="240" w:lineRule="auto"/>
              <w:rPr>
                <w:rFonts w:ascii="Calibri" w:eastAsia="Times New Roman" w:hAnsi="Calibri" w:cs="Calibri"/>
                <w:b/>
                <w:bCs/>
                <w:color w:val="000000"/>
              </w:rPr>
            </w:pPr>
            <w:r w:rsidRPr="0094268F">
              <w:rPr>
                <w:rFonts w:ascii="Calibri" w:eastAsia="Times New Roman" w:hAnsi="Calibri" w:cs="Calibri"/>
                <w:b/>
                <w:bCs/>
                <w:color w:val="000000"/>
              </w:rPr>
              <w:t>UGI PNG</w:t>
            </w:r>
          </w:p>
        </w:tc>
        <w:tc>
          <w:tcPr>
            <w:tcW w:w="1350" w:type="dxa"/>
            <w:tcBorders>
              <w:top w:val="nil"/>
              <w:left w:val="nil"/>
              <w:bottom w:val="single" w:sz="4" w:space="0" w:color="000000"/>
              <w:right w:val="single" w:sz="4" w:space="0" w:color="000000"/>
            </w:tcBorders>
            <w:shd w:val="clear" w:color="auto" w:fill="auto"/>
            <w:vAlign w:val="bottom"/>
            <w:hideMark/>
          </w:tcPr>
          <w:p w14:paraId="0E8AB981"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4,214</w:t>
            </w:r>
          </w:p>
        </w:tc>
        <w:tc>
          <w:tcPr>
            <w:tcW w:w="1440" w:type="dxa"/>
            <w:tcBorders>
              <w:top w:val="nil"/>
              <w:left w:val="nil"/>
              <w:bottom w:val="single" w:sz="4" w:space="0" w:color="000000"/>
              <w:right w:val="single" w:sz="4" w:space="0" w:color="000000"/>
            </w:tcBorders>
            <w:shd w:val="clear" w:color="auto" w:fill="auto"/>
            <w:noWrap/>
            <w:vAlign w:val="center"/>
            <w:hideMark/>
          </w:tcPr>
          <w:p w14:paraId="7AFB3984"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3,760</w:t>
            </w:r>
          </w:p>
        </w:tc>
        <w:tc>
          <w:tcPr>
            <w:tcW w:w="1620" w:type="dxa"/>
            <w:tcBorders>
              <w:top w:val="nil"/>
              <w:left w:val="nil"/>
              <w:bottom w:val="single" w:sz="4" w:space="0" w:color="000000"/>
              <w:right w:val="single" w:sz="4" w:space="0" w:color="000000"/>
            </w:tcBorders>
            <w:shd w:val="clear" w:color="auto" w:fill="auto"/>
            <w:noWrap/>
            <w:vAlign w:val="center"/>
            <w:hideMark/>
          </w:tcPr>
          <w:p w14:paraId="12DA6AE0"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5,279</w:t>
            </w:r>
          </w:p>
        </w:tc>
        <w:tc>
          <w:tcPr>
            <w:tcW w:w="1530" w:type="dxa"/>
            <w:tcBorders>
              <w:top w:val="nil"/>
              <w:left w:val="nil"/>
              <w:bottom w:val="single" w:sz="4" w:space="0" w:color="000000"/>
              <w:right w:val="single" w:sz="4" w:space="0" w:color="000000"/>
            </w:tcBorders>
            <w:shd w:val="clear" w:color="auto" w:fill="auto"/>
            <w:noWrap/>
            <w:vAlign w:val="bottom"/>
            <w:hideMark/>
          </w:tcPr>
          <w:p w14:paraId="6042D8D5"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6,717</w:t>
            </w:r>
          </w:p>
        </w:tc>
        <w:tc>
          <w:tcPr>
            <w:tcW w:w="1530" w:type="dxa"/>
            <w:tcBorders>
              <w:top w:val="nil"/>
              <w:left w:val="nil"/>
              <w:bottom w:val="single" w:sz="4" w:space="0" w:color="000000"/>
              <w:right w:val="single" w:sz="4" w:space="0" w:color="000000"/>
            </w:tcBorders>
            <w:shd w:val="clear" w:color="auto" w:fill="auto"/>
            <w:vAlign w:val="bottom"/>
            <w:hideMark/>
          </w:tcPr>
          <w:p w14:paraId="7F854BD3"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6,116</w:t>
            </w:r>
          </w:p>
        </w:tc>
        <w:tc>
          <w:tcPr>
            <w:tcW w:w="1301" w:type="dxa"/>
            <w:tcBorders>
              <w:top w:val="nil"/>
              <w:left w:val="nil"/>
              <w:bottom w:val="single" w:sz="4" w:space="0" w:color="000000"/>
              <w:right w:val="single" w:sz="4" w:space="0" w:color="000000"/>
            </w:tcBorders>
            <w:shd w:val="clear" w:color="auto" w:fill="auto"/>
            <w:vAlign w:val="bottom"/>
            <w:hideMark/>
          </w:tcPr>
          <w:p w14:paraId="37BAE5CC" w14:textId="77777777" w:rsidR="0094268F" w:rsidRPr="0094268F" w:rsidRDefault="0094268F" w:rsidP="0094268F">
            <w:pPr>
              <w:spacing w:after="0" w:line="240" w:lineRule="auto"/>
              <w:jc w:val="center"/>
              <w:rPr>
                <w:rFonts w:ascii="Calibri" w:eastAsia="Times New Roman" w:hAnsi="Calibri" w:cs="Calibri"/>
                <w:color w:val="000000"/>
                <w:sz w:val="21"/>
                <w:szCs w:val="21"/>
              </w:rPr>
            </w:pPr>
            <w:r w:rsidRPr="0094268F">
              <w:rPr>
                <w:rFonts w:ascii="Calibri" w:eastAsia="Times New Roman" w:hAnsi="Calibri" w:cs="Calibri"/>
                <w:color w:val="000000"/>
                <w:sz w:val="21"/>
                <w:szCs w:val="21"/>
              </w:rPr>
              <w:t>5,666</w:t>
            </w:r>
          </w:p>
        </w:tc>
      </w:tr>
      <w:tr w:rsidR="0094268F" w:rsidRPr="0094268F" w14:paraId="55874843" w14:textId="77777777" w:rsidTr="006F0F9B">
        <w:trPr>
          <w:trHeight w:val="268"/>
          <w:jc w:val="center"/>
        </w:trPr>
        <w:tc>
          <w:tcPr>
            <w:tcW w:w="10481" w:type="dxa"/>
            <w:gridSpan w:val="7"/>
            <w:tcBorders>
              <w:top w:val="single" w:sz="4" w:space="0" w:color="000000"/>
              <w:left w:val="nil"/>
              <w:bottom w:val="nil"/>
              <w:right w:val="nil"/>
            </w:tcBorders>
            <w:shd w:val="clear" w:color="auto" w:fill="auto"/>
            <w:noWrap/>
            <w:vAlign w:val="center"/>
            <w:hideMark/>
          </w:tcPr>
          <w:p w14:paraId="03E7251C" w14:textId="77777777" w:rsidR="0094268F" w:rsidRPr="00DC362A" w:rsidRDefault="0094268F" w:rsidP="0094268F">
            <w:pPr>
              <w:spacing w:after="0" w:line="240" w:lineRule="auto"/>
              <w:rPr>
                <w:rFonts w:ascii="Times New Roman" w:eastAsia="Times New Roman" w:hAnsi="Times New Roman" w:cs="Times New Roman"/>
                <w:color w:val="000000"/>
              </w:rPr>
            </w:pPr>
            <w:r w:rsidRPr="00DC362A">
              <w:rPr>
                <w:rFonts w:ascii="Times New Roman" w:eastAsia="Times New Roman" w:hAnsi="Times New Roman" w:cs="Times New Roman"/>
                <w:color w:val="000000"/>
              </w:rPr>
              <w:t>Source: Universal Service Programs &amp; Collections Performance Reports 2012-2017</w:t>
            </w:r>
            <w:proofErr w:type="gramStart"/>
            <w:r w:rsidRPr="00DC362A">
              <w:rPr>
                <w:rFonts w:ascii="Times New Roman" w:eastAsia="Times New Roman" w:hAnsi="Times New Roman" w:cs="Times New Roman"/>
                <w:color w:val="000000"/>
              </w:rPr>
              <w:t xml:space="preserve">. </w:t>
            </w:r>
            <w:proofErr w:type="gramEnd"/>
          </w:p>
        </w:tc>
      </w:tr>
    </w:tbl>
    <w:p w14:paraId="6CD387A3" w14:textId="77777777" w:rsidR="00F303E0" w:rsidRPr="00EE5714" w:rsidRDefault="00F303E0" w:rsidP="001223B9">
      <w:pPr>
        <w:spacing w:after="0" w:line="240" w:lineRule="auto"/>
        <w:rPr>
          <w:rFonts w:ascii="Times New Roman" w:hAnsi="Times New Roman" w:cs="Times New Roman"/>
          <w:sz w:val="26"/>
          <w:szCs w:val="26"/>
        </w:rPr>
      </w:pPr>
    </w:p>
    <w:p w14:paraId="0A076CCF" w14:textId="77777777" w:rsidR="00F303E0" w:rsidRPr="00E00D44" w:rsidRDefault="00F303E0" w:rsidP="00500E02">
      <w:pPr>
        <w:pStyle w:val="NoSpacing"/>
        <w:rPr>
          <w:rFonts w:cs="Times New Roman"/>
          <w:szCs w:val="26"/>
        </w:rPr>
      </w:pPr>
    </w:p>
    <w:p w14:paraId="59E5E696" w14:textId="545EC93B" w:rsidR="00F303E0" w:rsidRPr="00EE5714" w:rsidRDefault="00F734A0" w:rsidP="00500E02">
      <w:pPr>
        <w:pStyle w:val="NoSpacing"/>
        <w:keepNext/>
        <w:rPr>
          <w:rFonts w:cs="Times New Roman"/>
          <w:i/>
          <w:color w:val="000000" w:themeColor="text1"/>
          <w:szCs w:val="26"/>
        </w:rPr>
      </w:pPr>
      <w:r w:rsidRPr="00EE5714">
        <w:rPr>
          <w:rFonts w:cs="Times New Roman"/>
          <w:i/>
          <w:color w:val="000000" w:themeColor="text1"/>
          <w:szCs w:val="26"/>
        </w:rPr>
        <w:t>Appendix 9</w:t>
      </w:r>
      <w:r w:rsidR="00F303E0" w:rsidRPr="00EE5714">
        <w:rPr>
          <w:rFonts w:cs="Times New Roman"/>
          <w:i/>
          <w:color w:val="000000" w:themeColor="text1"/>
          <w:szCs w:val="26"/>
        </w:rPr>
        <w:t>.B: Table 10-</w:t>
      </w:r>
      <w:r w:rsidR="00083E32">
        <w:rPr>
          <w:rFonts w:cs="Times New Roman"/>
          <w:i/>
          <w:color w:val="000000" w:themeColor="text1"/>
          <w:szCs w:val="26"/>
        </w:rPr>
        <w:t>1</w:t>
      </w:r>
      <w:r w:rsidR="00F303E0" w:rsidRPr="00EE5714">
        <w:rPr>
          <w:rFonts w:cs="Times New Roman"/>
          <w:i/>
          <w:color w:val="000000" w:themeColor="text1"/>
          <w:szCs w:val="26"/>
        </w:rPr>
        <w:t xml:space="preserve"> NGDCs CAP Total Costs with 5-Year Forecasting </w:t>
      </w:r>
    </w:p>
    <w:p w14:paraId="63CBFAD5" w14:textId="77777777" w:rsidR="00F303E0" w:rsidRPr="00EE5714" w:rsidRDefault="00F303E0" w:rsidP="007D7A46">
      <w:pPr>
        <w:pStyle w:val="NoSpacing"/>
        <w:keepNext/>
        <w:rPr>
          <w:rFonts w:cs="Times New Roman"/>
          <w:i/>
          <w:color w:val="000000" w:themeColor="text1"/>
          <w:szCs w:val="26"/>
        </w:rPr>
      </w:pPr>
    </w:p>
    <w:p w14:paraId="23629E43" w14:textId="77777777" w:rsidR="00F303E0" w:rsidRPr="00EE5714" w:rsidRDefault="00F734A0" w:rsidP="0009098D">
      <w:pPr>
        <w:pStyle w:val="NoSpacing"/>
        <w:keepNext/>
        <w:rPr>
          <w:rFonts w:cs="Times New Roman"/>
          <w:szCs w:val="26"/>
        </w:rPr>
      </w:pPr>
      <w:r w:rsidRPr="00EE5714">
        <w:rPr>
          <w:rFonts w:cs="Times New Roman"/>
          <w:szCs w:val="26"/>
        </w:rPr>
        <w:t>Appendix 9</w:t>
      </w:r>
      <w:r w:rsidR="00F303E0" w:rsidRPr="00EE5714">
        <w:rPr>
          <w:rFonts w:cs="Times New Roman"/>
          <w:szCs w:val="26"/>
        </w:rPr>
        <w:t xml:space="preserve">.B.1: </w:t>
      </w:r>
      <w:r w:rsidR="00F303E0" w:rsidRPr="00EE5714">
        <w:rPr>
          <w:rFonts w:cs="Times New Roman"/>
          <w:b/>
          <w:szCs w:val="26"/>
        </w:rPr>
        <w:t>NGDC</w:t>
      </w:r>
      <w:r w:rsidR="00F303E0" w:rsidRPr="00EE5714">
        <w:rPr>
          <w:rFonts w:cs="Times New Roman"/>
          <w:szCs w:val="26"/>
        </w:rPr>
        <w:t xml:space="preserve"> </w:t>
      </w:r>
      <w:r w:rsidR="00F303E0" w:rsidRPr="00EE5714">
        <w:rPr>
          <w:rFonts w:eastAsia="Times New Roman" w:cs="Times New Roman"/>
          <w:b/>
          <w:szCs w:val="26"/>
        </w:rPr>
        <w:t>Actual Total Gross CAP Costs</w:t>
      </w:r>
    </w:p>
    <w:tbl>
      <w:tblPr>
        <w:tblW w:w="11160" w:type="dxa"/>
        <w:jc w:val="center"/>
        <w:tblLayout w:type="fixed"/>
        <w:tblLook w:val="04A0" w:firstRow="1" w:lastRow="0" w:firstColumn="1" w:lastColumn="0" w:noHBand="0" w:noVBand="1"/>
      </w:tblPr>
      <w:tblGrid>
        <w:gridCol w:w="1350"/>
        <w:gridCol w:w="1710"/>
        <w:gridCol w:w="1620"/>
        <w:gridCol w:w="1620"/>
        <w:gridCol w:w="1620"/>
        <w:gridCol w:w="1620"/>
        <w:gridCol w:w="1620"/>
      </w:tblGrid>
      <w:tr w:rsidR="0046108E" w:rsidRPr="00EE5714" w14:paraId="50848190" w14:textId="3054039C" w:rsidTr="004217CE">
        <w:trPr>
          <w:trHeight w:val="315"/>
          <w:jc w:val="center"/>
        </w:trPr>
        <w:tc>
          <w:tcPr>
            <w:tcW w:w="11160" w:type="dxa"/>
            <w:gridSpan w:val="7"/>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hideMark/>
          </w:tcPr>
          <w:p w14:paraId="221B3F75" w14:textId="333861C8" w:rsidR="0046108E" w:rsidRPr="00EE5714" w:rsidRDefault="0046108E" w:rsidP="0009098D">
            <w:pPr>
              <w:keepNext/>
              <w:keepLine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Total Gross CAP Costs</w:t>
            </w:r>
          </w:p>
        </w:tc>
      </w:tr>
      <w:tr w:rsidR="0046108E" w:rsidRPr="00EE5714" w14:paraId="0B287FB6" w14:textId="1085AA4C" w:rsidTr="004217CE">
        <w:trPr>
          <w:trHeight w:val="300"/>
          <w:jc w:val="center"/>
        </w:trPr>
        <w:tc>
          <w:tcPr>
            <w:tcW w:w="1350" w:type="dxa"/>
            <w:tcBorders>
              <w:top w:val="nil"/>
              <w:left w:val="single" w:sz="8" w:space="0" w:color="000000"/>
              <w:bottom w:val="single" w:sz="4" w:space="0" w:color="000000"/>
              <w:right w:val="single" w:sz="8" w:space="0" w:color="000000"/>
            </w:tcBorders>
            <w:shd w:val="clear" w:color="auto" w:fill="auto"/>
            <w:noWrap/>
            <w:vAlign w:val="bottom"/>
          </w:tcPr>
          <w:p w14:paraId="066B62C2" w14:textId="77777777" w:rsidR="0046108E" w:rsidRPr="00EE5714" w:rsidRDefault="0046108E" w:rsidP="0046108E">
            <w:pPr>
              <w:keepNext/>
              <w:keepLines/>
              <w:spacing w:after="0" w:line="240" w:lineRule="auto"/>
              <w:jc w:val="center"/>
              <w:rPr>
                <w:rFonts w:ascii="Calibri" w:eastAsia="Times New Roman" w:hAnsi="Calibri" w:cs="Calibri"/>
                <w:b/>
                <w:bCs/>
                <w:i/>
                <w:iCs/>
                <w:color w:val="000000"/>
                <w:sz w:val="21"/>
                <w:szCs w:val="21"/>
              </w:rPr>
            </w:pP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0B8601A" w14:textId="77777777" w:rsidR="0046108E" w:rsidRPr="00EE5714" w:rsidRDefault="0046108E" w:rsidP="0046108E">
            <w:pPr>
              <w:keepNext/>
              <w:keepLines/>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1620" w:type="dxa"/>
            <w:tcBorders>
              <w:top w:val="nil"/>
              <w:left w:val="single" w:sz="8" w:space="0" w:color="000000"/>
              <w:bottom w:val="single" w:sz="4" w:space="0" w:color="000000"/>
              <w:right w:val="single" w:sz="4" w:space="0" w:color="000000"/>
            </w:tcBorders>
            <w:shd w:val="clear" w:color="auto" w:fill="auto"/>
            <w:noWrap/>
            <w:vAlign w:val="center"/>
            <w:hideMark/>
          </w:tcPr>
          <w:p w14:paraId="1C4BA50E" w14:textId="77777777" w:rsidR="0046108E" w:rsidRPr="00EE5714" w:rsidRDefault="0046108E" w:rsidP="0046108E">
            <w:pPr>
              <w:keepNext/>
              <w:keepLines/>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1620" w:type="dxa"/>
            <w:tcBorders>
              <w:top w:val="nil"/>
              <w:left w:val="nil"/>
              <w:bottom w:val="single" w:sz="4" w:space="0" w:color="000000"/>
              <w:right w:val="single" w:sz="4" w:space="0" w:color="000000"/>
            </w:tcBorders>
            <w:shd w:val="clear" w:color="auto" w:fill="auto"/>
            <w:noWrap/>
            <w:vAlign w:val="center"/>
            <w:hideMark/>
          </w:tcPr>
          <w:p w14:paraId="1D07DB3C" w14:textId="77777777" w:rsidR="0046108E" w:rsidRPr="00EE5714" w:rsidRDefault="0046108E" w:rsidP="0046108E">
            <w:pPr>
              <w:keepNext/>
              <w:keepLines/>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1620" w:type="dxa"/>
            <w:tcBorders>
              <w:top w:val="nil"/>
              <w:left w:val="nil"/>
              <w:bottom w:val="single" w:sz="4" w:space="0" w:color="000000"/>
              <w:right w:val="single" w:sz="4" w:space="0" w:color="000000"/>
            </w:tcBorders>
            <w:shd w:val="clear" w:color="auto" w:fill="auto"/>
            <w:noWrap/>
            <w:vAlign w:val="center"/>
            <w:hideMark/>
          </w:tcPr>
          <w:p w14:paraId="51725BC5" w14:textId="77777777" w:rsidR="0046108E" w:rsidRPr="00EE5714" w:rsidRDefault="0046108E" w:rsidP="0046108E">
            <w:pPr>
              <w:keepNext/>
              <w:keepLines/>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1620" w:type="dxa"/>
            <w:tcBorders>
              <w:top w:val="nil"/>
              <w:left w:val="nil"/>
              <w:bottom w:val="single" w:sz="4" w:space="0" w:color="000000"/>
              <w:right w:val="single" w:sz="8" w:space="0" w:color="000000"/>
            </w:tcBorders>
            <w:shd w:val="clear" w:color="auto" w:fill="auto"/>
            <w:noWrap/>
            <w:vAlign w:val="center"/>
            <w:hideMark/>
          </w:tcPr>
          <w:p w14:paraId="2B377FA4" w14:textId="77777777" w:rsidR="0046108E" w:rsidRPr="00EE5714" w:rsidRDefault="0046108E" w:rsidP="0046108E">
            <w:pPr>
              <w:keepNext/>
              <w:keepLines/>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1620" w:type="dxa"/>
            <w:tcBorders>
              <w:top w:val="nil"/>
              <w:left w:val="nil"/>
              <w:bottom w:val="single" w:sz="4" w:space="0" w:color="000000"/>
              <w:right w:val="single" w:sz="8" w:space="0" w:color="000000"/>
            </w:tcBorders>
            <w:vAlign w:val="center"/>
          </w:tcPr>
          <w:p w14:paraId="72E2CFB7" w14:textId="2617FB17" w:rsidR="0046108E" w:rsidRPr="00EE5714" w:rsidRDefault="0046108E" w:rsidP="0046108E">
            <w:pPr>
              <w:keepNext/>
              <w:keepLines/>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r>
      <w:tr w:rsidR="0046108E" w:rsidRPr="00EE5714" w14:paraId="3EAD6955" w14:textId="27165F8F" w:rsidTr="004217CE">
        <w:trPr>
          <w:trHeight w:val="144"/>
          <w:jc w:val="center"/>
        </w:trPr>
        <w:tc>
          <w:tcPr>
            <w:tcW w:w="1350" w:type="dxa"/>
            <w:tcBorders>
              <w:top w:val="nil"/>
              <w:left w:val="single" w:sz="8" w:space="0" w:color="000000"/>
              <w:bottom w:val="single" w:sz="4" w:space="0" w:color="000000"/>
              <w:right w:val="single" w:sz="8" w:space="0" w:color="000000"/>
            </w:tcBorders>
            <w:shd w:val="clear" w:color="auto" w:fill="auto"/>
            <w:noWrap/>
          </w:tcPr>
          <w:p w14:paraId="2BB82762" w14:textId="77777777" w:rsidR="0046108E" w:rsidRPr="00EE5714" w:rsidRDefault="0046108E" w:rsidP="0046108E">
            <w:pPr>
              <w:keepNext/>
              <w:keepLines/>
              <w:spacing w:after="0" w:line="240" w:lineRule="auto"/>
              <w:rPr>
                <w:rFonts w:ascii="Calibri" w:hAnsi="Calibri" w:cs="Calibri"/>
                <w:b/>
                <w:sz w:val="21"/>
                <w:szCs w:val="21"/>
              </w:rPr>
            </w:pPr>
            <w:r w:rsidRPr="00EE5714">
              <w:rPr>
                <w:rFonts w:ascii="Calibri" w:hAnsi="Calibri" w:cs="Calibri"/>
                <w:b/>
                <w:sz w:val="21"/>
                <w:szCs w:val="21"/>
              </w:rPr>
              <w:t>Columbia</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52CBB244" w14:textId="39EFB571"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$8,167,972</w:t>
            </w:r>
          </w:p>
        </w:tc>
        <w:tc>
          <w:tcPr>
            <w:tcW w:w="1620" w:type="dxa"/>
            <w:tcBorders>
              <w:top w:val="nil"/>
              <w:left w:val="single" w:sz="8" w:space="0" w:color="000000"/>
              <w:bottom w:val="single" w:sz="4" w:space="0" w:color="000000"/>
              <w:right w:val="single" w:sz="4" w:space="0" w:color="000000"/>
            </w:tcBorders>
            <w:shd w:val="clear" w:color="auto" w:fill="auto"/>
            <w:noWrap/>
            <w:vAlign w:val="bottom"/>
          </w:tcPr>
          <w:p w14:paraId="6B82C879" w14:textId="5EFFFE99"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$13,272,158</w:t>
            </w:r>
          </w:p>
        </w:tc>
        <w:tc>
          <w:tcPr>
            <w:tcW w:w="1620" w:type="dxa"/>
            <w:tcBorders>
              <w:top w:val="nil"/>
              <w:left w:val="nil"/>
              <w:bottom w:val="single" w:sz="4" w:space="0" w:color="000000"/>
              <w:right w:val="single" w:sz="4" w:space="0" w:color="000000"/>
            </w:tcBorders>
            <w:shd w:val="clear" w:color="auto" w:fill="auto"/>
            <w:noWrap/>
            <w:vAlign w:val="bottom"/>
          </w:tcPr>
          <w:p w14:paraId="1351A7C5" w14:textId="5F138F6E"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$18,237,407</w:t>
            </w:r>
          </w:p>
        </w:tc>
        <w:tc>
          <w:tcPr>
            <w:tcW w:w="1620" w:type="dxa"/>
            <w:tcBorders>
              <w:top w:val="nil"/>
              <w:left w:val="nil"/>
              <w:bottom w:val="single" w:sz="4" w:space="0" w:color="000000"/>
              <w:right w:val="single" w:sz="4" w:space="0" w:color="000000"/>
            </w:tcBorders>
            <w:shd w:val="clear" w:color="auto" w:fill="auto"/>
            <w:noWrap/>
            <w:vAlign w:val="bottom"/>
          </w:tcPr>
          <w:p w14:paraId="3E9DF3ED" w14:textId="19063F23"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$18,204,869</w:t>
            </w:r>
          </w:p>
        </w:tc>
        <w:tc>
          <w:tcPr>
            <w:tcW w:w="1620" w:type="dxa"/>
            <w:tcBorders>
              <w:top w:val="nil"/>
              <w:left w:val="nil"/>
              <w:bottom w:val="single" w:sz="4" w:space="0" w:color="000000"/>
              <w:right w:val="single" w:sz="8" w:space="0" w:color="000000"/>
            </w:tcBorders>
            <w:shd w:val="clear" w:color="auto" w:fill="auto"/>
            <w:noWrap/>
            <w:vAlign w:val="bottom"/>
          </w:tcPr>
          <w:p w14:paraId="4CA3B040" w14:textId="5F11DD69"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$13,544,667</w:t>
            </w:r>
          </w:p>
        </w:tc>
        <w:tc>
          <w:tcPr>
            <w:tcW w:w="1620" w:type="dxa"/>
            <w:tcBorders>
              <w:top w:val="nil"/>
              <w:left w:val="nil"/>
              <w:bottom w:val="single" w:sz="4" w:space="0" w:color="000000"/>
              <w:right w:val="single" w:sz="8" w:space="0" w:color="000000"/>
            </w:tcBorders>
            <w:vAlign w:val="center"/>
          </w:tcPr>
          <w:p w14:paraId="205CBB6E" w14:textId="010856A2" w:rsidR="0046108E" w:rsidRPr="00EE5714" w:rsidRDefault="0046108E" w:rsidP="0046108E">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$19,668,704 </w:t>
            </w:r>
          </w:p>
        </w:tc>
      </w:tr>
      <w:tr w:rsidR="0046108E" w:rsidRPr="00EE5714" w14:paraId="7A5B8AD5" w14:textId="6ECCC7FA" w:rsidTr="004217CE">
        <w:trPr>
          <w:trHeight w:val="144"/>
          <w:jc w:val="center"/>
        </w:trPr>
        <w:tc>
          <w:tcPr>
            <w:tcW w:w="1350" w:type="dxa"/>
            <w:tcBorders>
              <w:top w:val="nil"/>
              <w:left w:val="single" w:sz="8" w:space="0" w:color="000000"/>
              <w:bottom w:val="single" w:sz="4" w:space="0" w:color="000000"/>
              <w:right w:val="single" w:sz="8" w:space="0" w:color="000000"/>
            </w:tcBorders>
            <w:shd w:val="clear" w:color="auto" w:fill="auto"/>
            <w:noWrap/>
          </w:tcPr>
          <w:p w14:paraId="1DAEB2CE" w14:textId="77777777" w:rsidR="0046108E" w:rsidRPr="00EE5714" w:rsidRDefault="0046108E" w:rsidP="0046108E">
            <w:pPr>
              <w:keepNext/>
              <w:keepLines/>
              <w:spacing w:after="0" w:line="240" w:lineRule="auto"/>
              <w:rPr>
                <w:rFonts w:ascii="Calibri" w:hAnsi="Calibri" w:cs="Calibri"/>
                <w:b/>
                <w:sz w:val="21"/>
                <w:szCs w:val="21"/>
              </w:rPr>
            </w:pPr>
            <w:r w:rsidRPr="00EE5714">
              <w:rPr>
                <w:rFonts w:ascii="Calibri" w:hAnsi="Calibri" w:cs="Calibri"/>
                <w:b/>
                <w:sz w:val="21"/>
                <w:szCs w:val="21"/>
              </w:rPr>
              <w:t>NFG</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520E42E8" w14:textId="52ACFCFB"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$1,958,376</w:t>
            </w:r>
          </w:p>
        </w:tc>
        <w:tc>
          <w:tcPr>
            <w:tcW w:w="1620" w:type="dxa"/>
            <w:tcBorders>
              <w:top w:val="nil"/>
              <w:left w:val="single" w:sz="8" w:space="0" w:color="000000"/>
              <w:bottom w:val="single" w:sz="4" w:space="0" w:color="000000"/>
              <w:right w:val="single" w:sz="4" w:space="0" w:color="000000"/>
            </w:tcBorders>
            <w:shd w:val="clear" w:color="auto" w:fill="auto"/>
            <w:noWrap/>
            <w:vAlign w:val="bottom"/>
          </w:tcPr>
          <w:p w14:paraId="08298F5B" w14:textId="1ED0C482"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$1,838,472</w:t>
            </w:r>
          </w:p>
        </w:tc>
        <w:tc>
          <w:tcPr>
            <w:tcW w:w="1620" w:type="dxa"/>
            <w:tcBorders>
              <w:top w:val="nil"/>
              <w:left w:val="nil"/>
              <w:bottom w:val="single" w:sz="4" w:space="0" w:color="000000"/>
              <w:right w:val="single" w:sz="4" w:space="0" w:color="000000"/>
            </w:tcBorders>
            <w:shd w:val="clear" w:color="auto" w:fill="auto"/>
            <w:noWrap/>
            <w:vAlign w:val="bottom"/>
          </w:tcPr>
          <w:p w14:paraId="3D6D5E11" w14:textId="4D8F0AF0"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$1,934,109</w:t>
            </w:r>
          </w:p>
        </w:tc>
        <w:tc>
          <w:tcPr>
            <w:tcW w:w="1620" w:type="dxa"/>
            <w:tcBorders>
              <w:top w:val="nil"/>
              <w:left w:val="nil"/>
              <w:bottom w:val="single" w:sz="4" w:space="0" w:color="000000"/>
              <w:right w:val="single" w:sz="4" w:space="0" w:color="000000"/>
            </w:tcBorders>
            <w:shd w:val="clear" w:color="auto" w:fill="auto"/>
            <w:noWrap/>
            <w:vAlign w:val="bottom"/>
          </w:tcPr>
          <w:p w14:paraId="27BE7B02" w14:textId="322A1213"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$1,489,477</w:t>
            </w:r>
          </w:p>
        </w:tc>
        <w:tc>
          <w:tcPr>
            <w:tcW w:w="1620" w:type="dxa"/>
            <w:tcBorders>
              <w:top w:val="nil"/>
              <w:left w:val="nil"/>
              <w:bottom w:val="single" w:sz="4" w:space="0" w:color="000000"/>
              <w:right w:val="single" w:sz="8" w:space="0" w:color="000000"/>
            </w:tcBorders>
            <w:shd w:val="clear" w:color="auto" w:fill="auto"/>
            <w:noWrap/>
            <w:vAlign w:val="bottom"/>
          </w:tcPr>
          <w:p w14:paraId="5181C47B" w14:textId="251F50C0"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$1,169,595</w:t>
            </w:r>
          </w:p>
        </w:tc>
        <w:tc>
          <w:tcPr>
            <w:tcW w:w="1620" w:type="dxa"/>
            <w:tcBorders>
              <w:top w:val="nil"/>
              <w:left w:val="nil"/>
              <w:bottom w:val="single" w:sz="4" w:space="0" w:color="000000"/>
              <w:right w:val="single" w:sz="8" w:space="0" w:color="000000"/>
            </w:tcBorders>
            <w:vAlign w:val="center"/>
          </w:tcPr>
          <w:p w14:paraId="4120ACF8" w14:textId="37F03DF3" w:rsidR="0046108E" w:rsidRPr="00EE5714" w:rsidRDefault="0046108E" w:rsidP="0046108E">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$1,199,650 </w:t>
            </w:r>
          </w:p>
        </w:tc>
      </w:tr>
      <w:tr w:rsidR="0046108E" w:rsidRPr="00EE5714" w14:paraId="20F7059F" w14:textId="24208086" w:rsidTr="004217CE">
        <w:trPr>
          <w:trHeight w:val="144"/>
          <w:jc w:val="center"/>
        </w:trPr>
        <w:tc>
          <w:tcPr>
            <w:tcW w:w="1350" w:type="dxa"/>
            <w:tcBorders>
              <w:top w:val="nil"/>
              <w:left w:val="single" w:sz="8" w:space="0" w:color="000000"/>
              <w:bottom w:val="single" w:sz="4" w:space="0" w:color="000000"/>
              <w:right w:val="single" w:sz="8" w:space="0" w:color="000000"/>
            </w:tcBorders>
            <w:shd w:val="clear" w:color="auto" w:fill="auto"/>
            <w:noWrap/>
          </w:tcPr>
          <w:p w14:paraId="24E9F9A7" w14:textId="77777777" w:rsidR="0046108E" w:rsidRPr="00EE5714" w:rsidRDefault="0046108E" w:rsidP="0046108E">
            <w:pPr>
              <w:keepNext/>
              <w:keepLines/>
              <w:spacing w:after="0" w:line="240" w:lineRule="auto"/>
              <w:rPr>
                <w:rFonts w:ascii="Calibri" w:hAnsi="Calibri" w:cs="Calibri"/>
                <w:b/>
                <w:sz w:val="21"/>
                <w:szCs w:val="21"/>
              </w:rPr>
            </w:pPr>
            <w:r w:rsidRPr="00EE5714">
              <w:rPr>
                <w:rFonts w:ascii="Calibri" w:hAnsi="Calibri" w:cs="Calibri"/>
                <w:b/>
                <w:sz w:val="21"/>
                <w:szCs w:val="21"/>
              </w:rPr>
              <w:t>PECO Gas</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3F1B4147" w14:textId="28A1DA49"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$4,555,567</w:t>
            </w:r>
          </w:p>
        </w:tc>
        <w:tc>
          <w:tcPr>
            <w:tcW w:w="1620" w:type="dxa"/>
            <w:tcBorders>
              <w:top w:val="nil"/>
              <w:left w:val="single" w:sz="8" w:space="0" w:color="000000"/>
              <w:bottom w:val="single" w:sz="8" w:space="0" w:color="000000"/>
              <w:right w:val="single" w:sz="4" w:space="0" w:color="000000"/>
            </w:tcBorders>
            <w:shd w:val="clear" w:color="auto" w:fill="auto"/>
            <w:noWrap/>
            <w:vAlign w:val="bottom"/>
          </w:tcPr>
          <w:p w14:paraId="13A410D2" w14:textId="01EFD312"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$5,219,029</w:t>
            </w:r>
          </w:p>
        </w:tc>
        <w:tc>
          <w:tcPr>
            <w:tcW w:w="1620" w:type="dxa"/>
            <w:tcBorders>
              <w:top w:val="nil"/>
              <w:left w:val="nil"/>
              <w:bottom w:val="single" w:sz="8" w:space="0" w:color="000000"/>
              <w:right w:val="single" w:sz="4" w:space="0" w:color="000000"/>
            </w:tcBorders>
            <w:shd w:val="clear" w:color="auto" w:fill="auto"/>
            <w:noWrap/>
            <w:vAlign w:val="bottom"/>
          </w:tcPr>
          <w:p w14:paraId="1825FB78" w14:textId="370E8476"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$5,294,959</w:t>
            </w:r>
          </w:p>
        </w:tc>
        <w:tc>
          <w:tcPr>
            <w:tcW w:w="1620" w:type="dxa"/>
            <w:tcBorders>
              <w:top w:val="nil"/>
              <w:left w:val="nil"/>
              <w:bottom w:val="single" w:sz="8" w:space="0" w:color="000000"/>
              <w:right w:val="single" w:sz="4" w:space="0" w:color="000000"/>
            </w:tcBorders>
            <w:shd w:val="clear" w:color="auto" w:fill="auto"/>
            <w:noWrap/>
            <w:vAlign w:val="bottom"/>
          </w:tcPr>
          <w:p w14:paraId="042CE065" w14:textId="6815C248"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$4,905,156</w:t>
            </w:r>
          </w:p>
        </w:tc>
        <w:tc>
          <w:tcPr>
            <w:tcW w:w="1620" w:type="dxa"/>
            <w:tcBorders>
              <w:top w:val="nil"/>
              <w:left w:val="nil"/>
              <w:bottom w:val="single" w:sz="8" w:space="0" w:color="000000"/>
              <w:right w:val="single" w:sz="8" w:space="0" w:color="000000"/>
            </w:tcBorders>
            <w:shd w:val="clear" w:color="auto" w:fill="auto"/>
            <w:noWrap/>
            <w:vAlign w:val="bottom"/>
          </w:tcPr>
          <w:p w14:paraId="48A94634" w14:textId="7FC2C958"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$2,857,660</w:t>
            </w:r>
          </w:p>
        </w:tc>
        <w:tc>
          <w:tcPr>
            <w:tcW w:w="1620" w:type="dxa"/>
            <w:tcBorders>
              <w:top w:val="nil"/>
              <w:left w:val="nil"/>
              <w:bottom w:val="single" w:sz="8" w:space="0" w:color="000000"/>
              <w:right w:val="single" w:sz="8" w:space="0" w:color="000000"/>
            </w:tcBorders>
            <w:vAlign w:val="center"/>
          </w:tcPr>
          <w:p w14:paraId="0DEF5964" w14:textId="1685567E" w:rsidR="0046108E" w:rsidRPr="00EE5714" w:rsidRDefault="0046108E" w:rsidP="0046108E">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$2,357,836 </w:t>
            </w:r>
          </w:p>
        </w:tc>
      </w:tr>
      <w:tr w:rsidR="0046108E" w:rsidRPr="00EE5714" w14:paraId="4DC53634" w14:textId="5BC0F304" w:rsidTr="004217CE">
        <w:trPr>
          <w:trHeight w:val="144"/>
          <w:jc w:val="center"/>
        </w:trPr>
        <w:tc>
          <w:tcPr>
            <w:tcW w:w="1350" w:type="dxa"/>
            <w:tcBorders>
              <w:top w:val="nil"/>
              <w:left w:val="single" w:sz="8" w:space="0" w:color="000000"/>
              <w:bottom w:val="single" w:sz="4" w:space="0" w:color="000000"/>
              <w:right w:val="single" w:sz="8" w:space="0" w:color="000000"/>
            </w:tcBorders>
            <w:shd w:val="clear" w:color="auto" w:fill="auto"/>
            <w:noWrap/>
          </w:tcPr>
          <w:p w14:paraId="3F9F583D" w14:textId="77777777" w:rsidR="0046108E" w:rsidRPr="00EE5714" w:rsidRDefault="0046108E" w:rsidP="0046108E">
            <w:pPr>
              <w:keepNext/>
              <w:keepLines/>
              <w:spacing w:after="0" w:line="240" w:lineRule="auto"/>
              <w:rPr>
                <w:rFonts w:ascii="Calibri" w:hAnsi="Calibri" w:cs="Calibri"/>
                <w:b/>
                <w:sz w:val="21"/>
                <w:szCs w:val="21"/>
              </w:rPr>
            </w:pPr>
            <w:r w:rsidRPr="00EE5714">
              <w:rPr>
                <w:rFonts w:ascii="Calibri" w:hAnsi="Calibri" w:cs="Calibri"/>
                <w:b/>
                <w:sz w:val="21"/>
                <w:szCs w:val="21"/>
              </w:rPr>
              <w:t>Peoples</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5F08EDD5" w14:textId="1453DD3E"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$6,022,673</w:t>
            </w:r>
          </w:p>
        </w:tc>
        <w:tc>
          <w:tcPr>
            <w:tcW w:w="1620" w:type="dxa"/>
            <w:tcBorders>
              <w:top w:val="single" w:sz="8" w:space="0" w:color="000000"/>
              <w:left w:val="single" w:sz="8" w:space="0" w:color="000000"/>
              <w:bottom w:val="single" w:sz="4" w:space="0" w:color="000000"/>
              <w:right w:val="single" w:sz="4" w:space="0" w:color="000000"/>
            </w:tcBorders>
            <w:shd w:val="clear" w:color="auto" w:fill="auto"/>
            <w:noWrap/>
            <w:vAlign w:val="bottom"/>
          </w:tcPr>
          <w:p w14:paraId="7498DDC4" w14:textId="7BC4D9E1"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$8,227,588</w:t>
            </w:r>
          </w:p>
        </w:tc>
        <w:tc>
          <w:tcPr>
            <w:tcW w:w="1620" w:type="dxa"/>
            <w:tcBorders>
              <w:top w:val="single" w:sz="8" w:space="0" w:color="000000"/>
              <w:left w:val="nil"/>
              <w:bottom w:val="single" w:sz="4" w:space="0" w:color="000000"/>
              <w:right w:val="single" w:sz="4" w:space="0" w:color="000000"/>
            </w:tcBorders>
            <w:shd w:val="clear" w:color="auto" w:fill="auto"/>
            <w:noWrap/>
            <w:vAlign w:val="bottom"/>
          </w:tcPr>
          <w:p w14:paraId="27809CCB" w14:textId="53A0C517"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$11,270,401</w:t>
            </w:r>
          </w:p>
        </w:tc>
        <w:tc>
          <w:tcPr>
            <w:tcW w:w="1620" w:type="dxa"/>
            <w:tcBorders>
              <w:top w:val="single" w:sz="8" w:space="0" w:color="000000"/>
              <w:left w:val="nil"/>
              <w:bottom w:val="single" w:sz="4" w:space="0" w:color="000000"/>
              <w:right w:val="single" w:sz="4" w:space="0" w:color="000000"/>
            </w:tcBorders>
            <w:shd w:val="clear" w:color="auto" w:fill="auto"/>
            <w:noWrap/>
            <w:vAlign w:val="bottom"/>
          </w:tcPr>
          <w:p w14:paraId="0C0BE381" w14:textId="3107B7EF"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$12,607,004</w:t>
            </w:r>
          </w:p>
        </w:tc>
        <w:tc>
          <w:tcPr>
            <w:tcW w:w="1620" w:type="dxa"/>
            <w:tcBorders>
              <w:top w:val="single" w:sz="8" w:space="0" w:color="000000"/>
              <w:left w:val="nil"/>
              <w:bottom w:val="single" w:sz="4" w:space="0" w:color="000000"/>
              <w:right w:val="single" w:sz="8" w:space="0" w:color="000000"/>
            </w:tcBorders>
            <w:shd w:val="clear" w:color="auto" w:fill="auto"/>
            <w:noWrap/>
            <w:vAlign w:val="bottom"/>
          </w:tcPr>
          <w:p w14:paraId="3F23717A" w14:textId="6AD5CEFE"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$6,606,963</w:t>
            </w:r>
          </w:p>
        </w:tc>
        <w:tc>
          <w:tcPr>
            <w:tcW w:w="1620" w:type="dxa"/>
            <w:tcBorders>
              <w:top w:val="single" w:sz="8" w:space="0" w:color="000000"/>
              <w:left w:val="nil"/>
              <w:bottom w:val="single" w:sz="4" w:space="0" w:color="000000"/>
              <w:right w:val="single" w:sz="8" w:space="0" w:color="000000"/>
            </w:tcBorders>
            <w:vAlign w:val="center"/>
          </w:tcPr>
          <w:p w14:paraId="1437CE3A" w14:textId="1453DC18" w:rsidR="0046108E" w:rsidRPr="00EE5714" w:rsidRDefault="0046108E" w:rsidP="0046108E">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$8,102,420 </w:t>
            </w:r>
          </w:p>
        </w:tc>
      </w:tr>
      <w:tr w:rsidR="0046108E" w:rsidRPr="00EE5714" w14:paraId="5084D1F2" w14:textId="41EACD00" w:rsidTr="004217CE">
        <w:trPr>
          <w:trHeight w:val="144"/>
          <w:jc w:val="center"/>
        </w:trPr>
        <w:tc>
          <w:tcPr>
            <w:tcW w:w="1350" w:type="dxa"/>
            <w:tcBorders>
              <w:top w:val="nil"/>
              <w:left w:val="single" w:sz="8" w:space="0" w:color="000000"/>
              <w:bottom w:val="single" w:sz="4" w:space="0" w:color="000000"/>
              <w:right w:val="single" w:sz="8" w:space="0" w:color="000000"/>
            </w:tcBorders>
            <w:shd w:val="clear" w:color="auto" w:fill="auto"/>
            <w:noWrap/>
          </w:tcPr>
          <w:p w14:paraId="21BD3D69" w14:textId="77777777" w:rsidR="0046108E" w:rsidRPr="00EE5714" w:rsidRDefault="0046108E" w:rsidP="0046108E">
            <w:pPr>
              <w:keepNext/>
              <w:keepLines/>
              <w:spacing w:after="0" w:line="240" w:lineRule="auto"/>
              <w:rPr>
                <w:rFonts w:ascii="Calibri" w:hAnsi="Calibri" w:cs="Calibri"/>
                <w:b/>
                <w:sz w:val="21"/>
                <w:szCs w:val="21"/>
              </w:rPr>
            </w:pPr>
            <w:r w:rsidRPr="00EE5714">
              <w:rPr>
                <w:rFonts w:ascii="Calibri" w:hAnsi="Calibri" w:cs="Calibri"/>
                <w:b/>
                <w:sz w:val="21"/>
                <w:szCs w:val="21"/>
              </w:rPr>
              <w:t>Peoples EQT</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73E9BAC9" w14:textId="5A91FC5A"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$6,055,041</w:t>
            </w:r>
          </w:p>
        </w:tc>
        <w:tc>
          <w:tcPr>
            <w:tcW w:w="1620" w:type="dxa"/>
            <w:tcBorders>
              <w:top w:val="nil"/>
              <w:left w:val="single" w:sz="8" w:space="0" w:color="000000"/>
              <w:bottom w:val="single" w:sz="4" w:space="0" w:color="000000"/>
              <w:right w:val="single" w:sz="4" w:space="0" w:color="000000"/>
            </w:tcBorders>
            <w:shd w:val="clear" w:color="auto" w:fill="auto"/>
            <w:noWrap/>
            <w:vAlign w:val="bottom"/>
          </w:tcPr>
          <w:p w14:paraId="68AFA275" w14:textId="43E51628"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$7,090,722</w:t>
            </w:r>
          </w:p>
        </w:tc>
        <w:tc>
          <w:tcPr>
            <w:tcW w:w="1620" w:type="dxa"/>
            <w:tcBorders>
              <w:top w:val="nil"/>
              <w:left w:val="nil"/>
              <w:bottom w:val="single" w:sz="4" w:space="0" w:color="000000"/>
              <w:right w:val="single" w:sz="4" w:space="0" w:color="000000"/>
            </w:tcBorders>
            <w:shd w:val="clear" w:color="auto" w:fill="auto"/>
            <w:noWrap/>
            <w:vAlign w:val="bottom"/>
          </w:tcPr>
          <w:p w14:paraId="34F86302" w14:textId="18871C05"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$9,988,104</w:t>
            </w:r>
          </w:p>
        </w:tc>
        <w:tc>
          <w:tcPr>
            <w:tcW w:w="1620" w:type="dxa"/>
            <w:tcBorders>
              <w:top w:val="nil"/>
              <w:left w:val="nil"/>
              <w:bottom w:val="single" w:sz="4" w:space="0" w:color="000000"/>
              <w:right w:val="single" w:sz="4" w:space="0" w:color="000000"/>
            </w:tcBorders>
            <w:shd w:val="clear" w:color="auto" w:fill="auto"/>
            <w:noWrap/>
            <w:vAlign w:val="bottom"/>
          </w:tcPr>
          <w:p w14:paraId="37FB0AE9" w14:textId="5706CCCD"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$8,614,710</w:t>
            </w:r>
          </w:p>
        </w:tc>
        <w:tc>
          <w:tcPr>
            <w:tcW w:w="1620" w:type="dxa"/>
            <w:tcBorders>
              <w:top w:val="nil"/>
              <w:left w:val="nil"/>
              <w:bottom w:val="single" w:sz="4" w:space="0" w:color="000000"/>
              <w:right w:val="single" w:sz="8" w:space="0" w:color="000000"/>
            </w:tcBorders>
            <w:shd w:val="clear" w:color="auto" w:fill="auto"/>
            <w:noWrap/>
            <w:vAlign w:val="bottom"/>
          </w:tcPr>
          <w:p w14:paraId="34DE558D" w14:textId="7F73DA41"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$3,826,459</w:t>
            </w:r>
          </w:p>
        </w:tc>
        <w:tc>
          <w:tcPr>
            <w:tcW w:w="1620" w:type="dxa"/>
            <w:tcBorders>
              <w:top w:val="nil"/>
              <w:left w:val="nil"/>
              <w:bottom w:val="single" w:sz="4" w:space="0" w:color="000000"/>
              <w:right w:val="single" w:sz="8" w:space="0" w:color="000000"/>
            </w:tcBorders>
            <w:vAlign w:val="center"/>
          </w:tcPr>
          <w:p w14:paraId="67C75B14" w14:textId="702F40A9" w:rsidR="0046108E" w:rsidRPr="00EE5714" w:rsidRDefault="0046108E" w:rsidP="0046108E">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$5,328,722 </w:t>
            </w:r>
          </w:p>
        </w:tc>
      </w:tr>
      <w:tr w:rsidR="0046108E" w:rsidRPr="00EE5714" w14:paraId="7AC74A60" w14:textId="5BC9481A" w:rsidTr="004217CE">
        <w:trPr>
          <w:trHeight w:val="144"/>
          <w:jc w:val="center"/>
        </w:trPr>
        <w:tc>
          <w:tcPr>
            <w:tcW w:w="1350" w:type="dxa"/>
            <w:tcBorders>
              <w:top w:val="single" w:sz="4" w:space="0" w:color="000000"/>
              <w:left w:val="single" w:sz="8" w:space="0" w:color="000000"/>
              <w:bottom w:val="single" w:sz="8" w:space="0" w:color="000000"/>
              <w:right w:val="single" w:sz="8" w:space="0" w:color="000000"/>
            </w:tcBorders>
            <w:shd w:val="clear" w:color="auto" w:fill="auto"/>
            <w:noWrap/>
          </w:tcPr>
          <w:p w14:paraId="127714F2" w14:textId="77777777" w:rsidR="0046108E" w:rsidRPr="00EE5714" w:rsidRDefault="0046108E" w:rsidP="0046108E">
            <w:pPr>
              <w:keepNext/>
              <w:keepLines/>
              <w:spacing w:after="0" w:line="240" w:lineRule="auto"/>
              <w:rPr>
                <w:rFonts w:ascii="Calibri" w:hAnsi="Calibri" w:cs="Calibri"/>
                <w:b/>
                <w:sz w:val="21"/>
                <w:szCs w:val="21"/>
              </w:rPr>
            </w:pPr>
            <w:r w:rsidRPr="00EE5714">
              <w:rPr>
                <w:rFonts w:ascii="Calibri" w:hAnsi="Calibri" w:cs="Calibri"/>
                <w:b/>
                <w:sz w:val="21"/>
                <w:szCs w:val="21"/>
              </w:rPr>
              <w:t>PGW</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7D6B4E32" w14:textId="15B315A4"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$73,059,396</w:t>
            </w:r>
          </w:p>
        </w:tc>
        <w:tc>
          <w:tcPr>
            <w:tcW w:w="1620" w:type="dxa"/>
            <w:tcBorders>
              <w:top w:val="single" w:sz="4" w:space="0" w:color="000000"/>
              <w:left w:val="single" w:sz="8" w:space="0" w:color="000000"/>
              <w:bottom w:val="single" w:sz="8" w:space="0" w:color="000000"/>
              <w:right w:val="single" w:sz="8" w:space="0" w:color="000000"/>
            </w:tcBorders>
            <w:shd w:val="clear" w:color="auto" w:fill="auto"/>
            <w:noWrap/>
            <w:vAlign w:val="bottom"/>
          </w:tcPr>
          <w:p w14:paraId="18A3BC8B" w14:textId="6A20BFB0"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$77,281,237</w:t>
            </w:r>
          </w:p>
        </w:tc>
        <w:tc>
          <w:tcPr>
            <w:tcW w:w="1620" w:type="dxa"/>
            <w:tcBorders>
              <w:top w:val="single" w:sz="4" w:space="0" w:color="000000"/>
              <w:left w:val="single" w:sz="8" w:space="0" w:color="000000"/>
              <w:bottom w:val="single" w:sz="8" w:space="0" w:color="000000"/>
              <w:right w:val="single" w:sz="8" w:space="0" w:color="000000"/>
            </w:tcBorders>
            <w:shd w:val="clear" w:color="auto" w:fill="auto"/>
            <w:noWrap/>
            <w:vAlign w:val="bottom"/>
          </w:tcPr>
          <w:p w14:paraId="5C84D505" w14:textId="50CC5F99"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$71,187,450</w:t>
            </w:r>
          </w:p>
        </w:tc>
        <w:tc>
          <w:tcPr>
            <w:tcW w:w="1620" w:type="dxa"/>
            <w:tcBorders>
              <w:top w:val="single" w:sz="4" w:space="0" w:color="000000"/>
              <w:left w:val="single" w:sz="8" w:space="0" w:color="000000"/>
              <w:bottom w:val="single" w:sz="8" w:space="0" w:color="000000"/>
              <w:right w:val="single" w:sz="8" w:space="0" w:color="000000"/>
            </w:tcBorders>
            <w:shd w:val="clear" w:color="auto" w:fill="auto"/>
            <w:noWrap/>
            <w:vAlign w:val="bottom"/>
          </w:tcPr>
          <w:p w14:paraId="6EED0751" w14:textId="792BEF51"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$56,502,542</w:t>
            </w:r>
          </w:p>
        </w:tc>
        <w:tc>
          <w:tcPr>
            <w:tcW w:w="1620" w:type="dxa"/>
            <w:tcBorders>
              <w:top w:val="single" w:sz="4" w:space="0" w:color="000000"/>
              <w:left w:val="single" w:sz="8" w:space="0" w:color="000000"/>
              <w:bottom w:val="single" w:sz="8" w:space="0" w:color="000000"/>
              <w:right w:val="single" w:sz="8" w:space="0" w:color="000000"/>
            </w:tcBorders>
            <w:shd w:val="clear" w:color="auto" w:fill="auto"/>
            <w:noWrap/>
            <w:vAlign w:val="bottom"/>
          </w:tcPr>
          <w:p w14:paraId="163E9ADA" w14:textId="1424FC52"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$47,310,248</w:t>
            </w:r>
          </w:p>
        </w:tc>
        <w:tc>
          <w:tcPr>
            <w:tcW w:w="1620" w:type="dxa"/>
            <w:tcBorders>
              <w:top w:val="single" w:sz="4" w:space="0" w:color="000000"/>
              <w:left w:val="single" w:sz="8" w:space="0" w:color="000000"/>
              <w:bottom w:val="single" w:sz="8" w:space="0" w:color="000000"/>
              <w:right w:val="single" w:sz="8" w:space="0" w:color="000000"/>
            </w:tcBorders>
            <w:vAlign w:val="center"/>
          </w:tcPr>
          <w:p w14:paraId="53DFFBD0" w14:textId="5FD07938" w:rsidR="0046108E" w:rsidRPr="00EE5714" w:rsidRDefault="0046108E" w:rsidP="0046108E">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$49,005,928 </w:t>
            </w:r>
          </w:p>
        </w:tc>
      </w:tr>
      <w:tr w:rsidR="0046108E" w:rsidRPr="00EE5714" w14:paraId="2E1D11AE" w14:textId="7B169F95" w:rsidTr="004217CE">
        <w:trPr>
          <w:trHeight w:val="144"/>
          <w:jc w:val="center"/>
        </w:trPr>
        <w:tc>
          <w:tcPr>
            <w:tcW w:w="1350" w:type="dxa"/>
            <w:tcBorders>
              <w:top w:val="single" w:sz="8" w:space="0" w:color="000000"/>
              <w:left w:val="single" w:sz="8" w:space="0" w:color="000000"/>
              <w:bottom w:val="single" w:sz="8" w:space="0" w:color="000000"/>
              <w:right w:val="single" w:sz="8" w:space="0" w:color="000000"/>
            </w:tcBorders>
            <w:shd w:val="clear" w:color="auto" w:fill="auto"/>
            <w:noWrap/>
          </w:tcPr>
          <w:p w14:paraId="4A7D3305" w14:textId="77777777" w:rsidR="0046108E" w:rsidRPr="00EE5714" w:rsidRDefault="0046108E" w:rsidP="0046108E">
            <w:pPr>
              <w:keepNext/>
              <w:keepLines/>
              <w:spacing w:after="0" w:line="240" w:lineRule="auto"/>
              <w:rPr>
                <w:rFonts w:ascii="Calibri" w:hAnsi="Calibri" w:cs="Calibri"/>
                <w:b/>
                <w:sz w:val="21"/>
                <w:szCs w:val="21"/>
              </w:rPr>
            </w:pPr>
            <w:r w:rsidRPr="00EE5714">
              <w:rPr>
                <w:rFonts w:ascii="Calibri" w:hAnsi="Calibri" w:cs="Calibri"/>
                <w:b/>
                <w:sz w:val="21"/>
                <w:szCs w:val="21"/>
              </w:rPr>
              <w:t>UGI Gas</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401B2141" w14:textId="72251E9C"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$2,662,779</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6BD79DAB" w14:textId="431891EB"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$3,176,112</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49C887E8" w14:textId="1BB32E76"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$2,482,458</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2D12A094" w14:textId="519FA1CA"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$4,145,889</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3EA72AAD" w14:textId="6E24B88B"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$2,470,474</w:t>
            </w:r>
          </w:p>
        </w:tc>
        <w:tc>
          <w:tcPr>
            <w:tcW w:w="1620" w:type="dxa"/>
            <w:tcBorders>
              <w:top w:val="single" w:sz="8" w:space="0" w:color="000000"/>
              <w:left w:val="single" w:sz="8" w:space="0" w:color="000000"/>
              <w:bottom w:val="single" w:sz="8" w:space="0" w:color="000000"/>
              <w:right w:val="single" w:sz="8" w:space="0" w:color="000000"/>
            </w:tcBorders>
            <w:vAlign w:val="center"/>
          </w:tcPr>
          <w:p w14:paraId="2DF50367" w14:textId="5BC753DA" w:rsidR="0046108E" w:rsidRPr="00EE5714" w:rsidRDefault="0046108E" w:rsidP="0046108E">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$3,187,005 </w:t>
            </w:r>
          </w:p>
        </w:tc>
      </w:tr>
      <w:tr w:rsidR="0046108E" w:rsidRPr="00EE5714" w14:paraId="4F5F025B" w14:textId="3E65BEC2" w:rsidTr="004217CE">
        <w:trPr>
          <w:trHeight w:val="144"/>
          <w:jc w:val="center"/>
        </w:trPr>
        <w:tc>
          <w:tcPr>
            <w:tcW w:w="1350" w:type="dxa"/>
            <w:tcBorders>
              <w:top w:val="single" w:sz="8" w:space="0" w:color="000000"/>
              <w:left w:val="single" w:sz="8" w:space="0" w:color="000000"/>
              <w:bottom w:val="single" w:sz="8" w:space="0" w:color="000000"/>
              <w:right w:val="single" w:sz="8" w:space="0" w:color="000000"/>
            </w:tcBorders>
            <w:shd w:val="clear" w:color="auto" w:fill="auto"/>
            <w:noWrap/>
          </w:tcPr>
          <w:p w14:paraId="2C3C0A17" w14:textId="77777777" w:rsidR="0046108E" w:rsidRPr="00EE5714" w:rsidRDefault="0046108E" w:rsidP="0046108E">
            <w:pPr>
              <w:keepNext/>
              <w:keepLines/>
              <w:spacing w:after="0" w:line="240" w:lineRule="auto"/>
              <w:rPr>
                <w:rFonts w:ascii="Calibri" w:hAnsi="Calibri" w:cs="Calibri"/>
                <w:b/>
                <w:sz w:val="21"/>
                <w:szCs w:val="21"/>
              </w:rPr>
            </w:pPr>
            <w:r w:rsidRPr="00EE5714">
              <w:rPr>
                <w:rFonts w:ascii="Calibri" w:hAnsi="Calibri" w:cs="Calibri"/>
                <w:b/>
                <w:sz w:val="21"/>
                <w:szCs w:val="21"/>
              </w:rPr>
              <w:t>UGI PNG</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165BF1F2" w14:textId="2E00F94A"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$2,782,805</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605D7F5E" w14:textId="1C1C3283"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$2,852,339</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7DEC2AA9" w14:textId="7802CC99"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$2,299,074</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682D9CB7" w14:textId="48D89C77"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$3,747,453</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38E1F41E" w14:textId="02B5C700" w:rsidR="0046108E" w:rsidRPr="00EE5714" w:rsidRDefault="0046108E" w:rsidP="0046108E">
            <w:pPr>
              <w:keepNext/>
              <w:keepLines/>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$2,137,095</w:t>
            </w:r>
          </w:p>
        </w:tc>
        <w:tc>
          <w:tcPr>
            <w:tcW w:w="1620" w:type="dxa"/>
            <w:tcBorders>
              <w:top w:val="single" w:sz="8" w:space="0" w:color="000000"/>
              <w:left w:val="single" w:sz="8" w:space="0" w:color="000000"/>
              <w:bottom w:val="single" w:sz="8" w:space="0" w:color="000000"/>
              <w:right w:val="single" w:sz="8" w:space="0" w:color="000000"/>
            </w:tcBorders>
            <w:vAlign w:val="center"/>
          </w:tcPr>
          <w:p w14:paraId="6053F430" w14:textId="08E8AB5D" w:rsidR="0046108E" w:rsidRPr="00EE5714" w:rsidRDefault="0046108E" w:rsidP="0046108E">
            <w:pPr>
              <w:keepNext/>
              <w:keepLines/>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$2,088,411 </w:t>
            </w:r>
          </w:p>
        </w:tc>
      </w:tr>
      <w:tr w:rsidR="0046108E" w:rsidRPr="00EE5714" w14:paraId="4DD0E524" w14:textId="24571441" w:rsidTr="004217CE">
        <w:trPr>
          <w:trHeight w:val="144"/>
          <w:jc w:val="center"/>
        </w:trPr>
        <w:tc>
          <w:tcPr>
            <w:tcW w:w="1350" w:type="dxa"/>
            <w:tcBorders>
              <w:top w:val="single" w:sz="8" w:space="0" w:color="000000"/>
              <w:left w:val="single" w:sz="8" w:space="0" w:color="000000"/>
              <w:bottom w:val="single" w:sz="8" w:space="0" w:color="000000"/>
              <w:right w:val="single" w:sz="8" w:space="0" w:color="000000"/>
            </w:tcBorders>
            <w:shd w:val="clear" w:color="auto" w:fill="auto"/>
            <w:noWrap/>
          </w:tcPr>
          <w:p w14:paraId="0AEA46A3" w14:textId="77777777" w:rsidR="0046108E" w:rsidRPr="00EE5714" w:rsidRDefault="0046108E" w:rsidP="0046108E">
            <w:pPr>
              <w:spacing w:after="0" w:line="240" w:lineRule="auto"/>
              <w:rPr>
                <w:rFonts w:ascii="Calibri" w:eastAsia="Times New Roman" w:hAnsi="Calibri" w:cs="Calibri"/>
                <w:b/>
                <w:color w:val="000000"/>
                <w:sz w:val="21"/>
                <w:szCs w:val="21"/>
              </w:rPr>
            </w:pPr>
            <w:r w:rsidRPr="00EE5714">
              <w:rPr>
                <w:rFonts w:ascii="Calibri" w:hAnsi="Calibri" w:cs="Calibri"/>
                <w:b/>
                <w:sz w:val="21"/>
                <w:szCs w:val="21"/>
              </w:rPr>
              <w:t>Industry Average</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8A48C11" w14:textId="0BB1B288" w:rsidR="0046108E" w:rsidRPr="00EE5714" w:rsidRDefault="0046108E" w:rsidP="0046108E">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b/>
                <w:color w:val="000000"/>
                <w:sz w:val="21"/>
                <w:szCs w:val="21"/>
              </w:rPr>
              <w:t>$13,158,076.13</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B9E5280" w14:textId="26595571" w:rsidR="0046108E" w:rsidRPr="00EE5714" w:rsidRDefault="0046108E" w:rsidP="0046108E">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b/>
                <w:color w:val="000000"/>
                <w:sz w:val="21"/>
                <w:szCs w:val="21"/>
              </w:rPr>
              <w:t>$14,869,707.13</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3CFC8AC" w14:textId="62F56E68" w:rsidR="0046108E" w:rsidRPr="00EE5714" w:rsidRDefault="0046108E" w:rsidP="0046108E">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b/>
                <w:color w:val="000000"/>
                <w:sz w:val="21"/>
                <w:szCs w:val="21"/>
              </w:rPr>
              <w:t>$15,336,745.25</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55255F7" w14:textId="6186BAC7" w:rsidR="0046108E" w:rsidRPr="00EE5714" w:rsidRDefault="0046108E" w:rsidP="0046108E">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b/>
                <w:color w:val="000000"/>
                <w:sz w:val="21"/>
                <w:szCs w:val="21"/>
              </w:rPr>
              <w:t>$13,777,137.50</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B8924A" w14:textId="1F061D15" w:rsidR="0046108E" w:rsidRPr="00EE5714" w:rsidRDefault="0046108E" w:rsidP="0046108E">
            <w:pPr>
              <w:spacing w:after="0" w:line="240" w:lineRule="auto"/>
              <w:jc w:val="center"/>
              <w:rPr>
                <w:rFonts w:ascii="Calibri" w:eastAsia="Times New Roman" w:hAnsi="Calibri" w:cs="Calibri"/>
                <w:color w:val="000000"/>
                <w:sz w:val="20"/>
                <w:szCs w:val="20"/>
              </w:rPr>
            </w:pPr>
            <w:r w:rsidRPr="00EE5714">
              <w:rPr>
                <w:rFonts w:ascii="Calibri" w:eastAsia="Times New Roman" w:hAnsi="Calibri" w:cs="Calibri"/>
                <w:b/>
                <w:color w:val="000000"/>
                <w:sz w:val="21"/>
                <w:szCs w:val="21"/>
              </w:rPr>
              <w:t>$9,990,395.13</w:t>
            </w:r>
          </w:p>
        </w:tc>
        <w:tc>
          <w:tcPr>
            <w:tcW w:w="1620" w:type="dxa"/>
            <w:tcBorders>
              <w:top w:val="single" w:sz="8" w:space="0" w:color="000000"/>
              <w:left w:val="single" w:sz="8" w:space="0" w:color="000000"/>
              <w:bottom w:val="single" w:sz="8" w:space="0" w:color="000000"/>
              <w:right w:val="single" w:sz="8" w:space="0" w:color="000000"/>
            </w:tcBorders>
            <w:vAlign w:val="center"/>
          </w:tcPr>
          <w:p w14:paraId="3BB0C20D" w14:textId="6102C81B" w:rsidR="0046108E" w:rsidRPr="00EE5714" w:rsidRDefault="0046108E" w:rsidP="0046108E">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$11,367,334,50</w:t>
            </w:r>
          </w:p>
        </w:tc>
      </w:tr>
    </w:tbl>
    <w:p w14:paraId="61F3821F" w14:textId="2DD68BB7" w:rsidR="00F303E0" w:rsidRPr="00EE5714" w:rsidRDefault="00F303E0" w:rsidP="00500E02">
      <w:pPr>
        <w:pStyle w:val="NoSpacing"/>
        <w:rPr>
          <w:rFonts w:cs="Times New Roman"/>
          <w:sz w:val="24"/>
          <w:szCs w:val="24"/>
        </w:rPr>
      </w:pPr>
      <w:r w:rsidRPr="00EE5714">
        <w:rPr>
          <w:rFonts w:cs="Times New Roman"/>
          <w:sz w:val="24"/>
          <w:szCs w:val="24"/>
        </w:rPr>
        <w:t>Source: Universal Service Programs &amp; Collections Performance Reports 2012-201</w:t>
      </w:r>
      <w:r w:rsidR="00F509D5" w:rsidRPr="00EE5714">
        <w:rPr>
          <w:rFonts w:cs="Times New Roman"/>
          <w:sz w:val="24"/>
          <w:szCs w:val="24"/>
        </w:rPr>
        <w:t>7</w:t>
      </w:r>
      <w:r w:rsidRPr="00EE5714">
        <w:rPr>
          <w:rFonts w:cs="Times New Roman"/>
          <w:sz w:val="24"/>
          <w:szCs w:val="24"/>
        </w:rPr>
        <w:t xml:space="preserve">. </w:t>
      </w:r>
    </w:p>
    <w:p w14:paraId="55D3DC9E" w14:textId="77777777" w:rsidR="00F303E0" w:rsidRPr="00EE5714" w:rsidRDefault="00F303E0" w:rsidP="007D7A46">
      <w:pPr>
        <w:pStyle w:val="NoSpacing"/>
        <w:rPr>
          <w:rFonts w:cs="Times New Roman"/>
          <w:szCs w:val="26"/>
        </w:rPr>
      </w:pPr>
    </w:p>
    <w:p w14:paraId="3BC36ED1" w14:textId="77777777" w:rsidR="00F303E0" w:rsidRPr="00EE5714" w:rsidRDefault="00F303E0" w:rsidP="0009098D">
      <w:pPr>
        <w:pStyle w:val="NoSpacing"/>
        <w:rPr>
          <w:rFonts w:cs="Times New Roman"/>
          <w:szCs w:val="26"/>
        </w:rPr>
      </w:pPr>
    </w:p>
    <w:p w14:paraId="537F2476" w14:textId="2B4CBF1F" w:rsidR="00F303E0" w:rsidRPr="0094268F" w:rsidRDefault="00F734A0" w:rsidP="0009098D">
      <w:pPr>
        <w:pStyle w:val="NoSpacing"/>
        <w:keepNext/>
        <w:rPr>
          <w:rFonts w:cs="Times New Roman"/>
        </w:rPr>
      </w:pPr>
      <w:r w:rsidRPr="00215D3F">
        <w:rPr>
          <w:rFonts w:cs="Times New Roman"/>
        </w:rPr>
        <w:t>Appendix 9</w:t>
      </w:r>
      <w:r w:rsidR="00F303E0" w:rsidRPr="00771BBA">
        <w:rPr>
          <w:rFonts w:cs="Times New Roman"/>
        </w:rPr>
        <w:t xml:space="preserve">.B.2: </w:t>
      </w:r>
      <w:r w:rsidR="00F303E0" w:rsidRPr="0094268F">
        <w:rPr>
          <w:rFonts w:cs="Times New Roman"/>
          <w:b/>
        </w:rPr>
        <w:t xml:space="preserve">NGDC </w:t>
      </w:r>
      <w:r w:rsidR="00F303E0" w:rsidRPr="0094268F">
        <w:rPr>
          <w:rFonts w:eastAsia="Times New Roman" w:cs="Times New Roman"/>
          <w:b/>
          <w:color w:val="000000"/>
        </w:rPr>
        <w:t>Forecast Total Gross CAP Costs</w:t>
      </w:r>
      <w:r w:rsidR="007071AC" w:rsidRPr="0094268F">
        <w:rPr>
          <w:rFonts w:eastAsia="Times New Roman" w:cs="Times New Roman"/>
          <w:b/>
          <w:color w:val="000000"/>
        </w:rPr>
        <w:t>*</w:t>
      </w:r>
    </w:p>
    <w:tbl>
      <w:tblPr>
        <w:tblW w:w="8820" w:type="dxa"/>
        <w:jc w:val="center"/>
        <w:tblLayout w:type="fixed"/>
        <w:tblLook w:val="04A0" w:firstRow="1" w:lastRow="0" w:firstColumn="1" w:lastColumn="0" w:noHBand="0" w:noVBand="1"/>
      </w:tblPr>
      <w:tblGrid>
        <w:gridCol w:w="1350"/>
        <w:gridCol w:w="1908"/>
        <w:gridCol w:w="1908"/>
        <w:gridCol w:w="1908"/>
        <w:gridCol w:w="1746"/>
      </w:tblGrid>
      <w:tr w:rsidR="00F303E0" w:rsidRPr="00EE5714" w14:paraId="47B6A7D4" w14:textId="77777777" w:rsidTr="00241EF4">
        <w:trPr>
          <w:trHeight w:val="315"/>
          <w:jc w:val="center"/>
        </w:trPr>
        <w:tc>
          <w:tcPr>
            <w:tcW w:w="8820" w:type="dxa"/>
            <w:gridSpan w:val="5"/>
            <w:tcBorders>
              <w:top w:val="single" w:sz="8" w:space="0" w:color="000000"/>
              <w:left w:val="single" w:sz="8" w:space="0" w:color="000000"/>
              <w:bottom w:val="single" w:sz="4" w:space="0" w:color="000000"/>
              <w:right w:val="single" w:sz="8" w:space="0" w:color="000000"/>
            </w:tcBorders>
            <w:shd w:val="clear" w:color="auto" w:fill="D9D9D9" w:themeFill="background1" w:themeFillShade="D9"/>
          </w:tcPr>
          <w:p w14:paraId="4FA6A938" w14:textId="77777777" w:rsidR="00F303E0" w:rsidRPr="00EE5714" w:rsidRDefault="00F303E0" w:rsidP="0009098D">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 Total Gross CAP Costs</w:t>
            </w:r>
          </w:p>
        </w:tc>
      </w:tr>
      <w:tr w:rsidR="0046108E" w:rsidRPr="00EE5714" w14:paraId="52D95C62" w14:textId="77777777" w:rsidTr="00241EF4">
        <w:trPr>
          <w:trHeight w:val="300"/>
          <w:jc w:val="center"/>
        </w:trPr>
        <w:tc>
          <w:tcPr>
            <w:tcW w:w="1350" w:type="dxa"/>
            <w:tcBorders>
              <w:top w:val="nil"/>
              <w:left w:val="single" w:sz="8" w:space="0" w:color="000000"/>
              <w:bottom w:val="single" w:sz="4" w:space="0" w:color="000000"/>
              <w:right w:val="single" w:sz="4" w:space="0" w:color="000000"/>
            </w:tcBorders>
          </w:tcPr>
          <w:p w14:paraId="45514BBA" w14:textId="77777777" w:rsidR="0046108E" w:rsidRPr="00EE5714" w:rsidRDefault="0046108E" w:rsidP="0009098D">
            <w:pPr>
              <w:keepNext/>
              <w:spacing w:after="0" w:line="240" w:lineRule="auto"/>
              <w:jc w:val="center"/>
              <w:rPr>
                <w:rFonts w:ascii="Calibri" w:eastAsia="Times New Roman" w:hAnsi="Calibri" w:cs="Calibri"/>
                <w:b/>
                <w:bCs/>
                <w:iCs/>
                <w:color w:val="000000"/>
                <w:sz w:val="21"/>
                <w:szCs w:val="21"/>
              </w:rPr>
            </w:pPr>
          </w:p>
        </w:tc>
        <w:tc>
          <w:tcPr>
            <w:tcW w:w="1908" w:type="dxa"/>
            <w:tcBorders>
              <w:top w:val="nil"/>
              <w:left w:val="nil"/>
              <w:bottom w:val="single" w:sz="4" w:space="0" w:color="000000"/>
              <w:right w:val="single" w:sz="4" w:space="0" w:color="000000"/>
            </w:tcBorders>
            <w:shd w:val="clear" w:color="auto" w:fill="auto"/>
            <w:noWrap/>
            <w:vAlign w:val="center"/>
            <w:hideMark/>
          </w:tcPr>
          <w:p w14:paraId="6C739016" w14:textId="77777777" w:rsidR="0046108E" w:rsidRPr="00EE5714" w:rsidRDefault="0046108E"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1908" w:type="dxa"/>
            <w:tcBorders>
              <w:top w:val="nil"/>
              <w:left w:val="nil"/>
              <w:bottom w:val="single" w:sz="4" w:space="0" w:color="000000"/>
              <w:right w:val="single" w:sz="4" w:space="0" w:color="000000"/>
            </w:tcBorders>
            <w:shd w:val="clear" w:color="auto" w:fill="auto"/>
            <w:noWrap/>
            <w:vAlign w:val="center"/>
            <w:hideMark/>
          </w:tcPr>
          <w:p w14:paraId="286B99F3" w14:textId="77777777" w:rsidR="0046108E" w:rsidRPr="00EE5714" w:rsidRDefault="0046108E"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1908" w:type="dxa"/>
            <w:tcBorders>
              <w:top w:val="nil"/>
              <w:left w:val="nil"/>
              <w:bottom w:val="single" w:sz="4" w:space="0" w:color="000000"/>
              <w:right w:val="single" w:sz="4" w:space="0" w:color="000000"/>
            </w:tcBorders>
            <w:shd w:val="clear" w:color="auto" w:fill="auto"/>
            <w:noWrap/>
            <w:vAlign w:val="center"/>
            <w:hideMark/>
          </w:tcPr>
          <w:p w14:paraId="42FDBFCA" w14:textId="77777777" w:rsidR="0046108E" w:rsidRPr="00EE5714" w:rsidRDefault="0046108E"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1746" w:type="dxa"/>
            <w:tcBorders>
              <w:top w:val="nil"/>
              <w:left w:val="nil"/>
              <w:bottom w:val="single" w:sz="4" w:space="0" w:color="000000"/>
              <w:right w:val="single" w:sz="8" w:space="0" w:color="000000"/>
            </w:tcBorders>
            <w:shd w:val="clear" w:color="auto" w:fill="auto"/>
            <w:noWrap/>
            <w:vAlign w:val="center"/>
            <w:hideMark/>
          </w:tcPr>
          <w:p w14:paraId="1BB39149" w14:textId="77777777" w:rsidR="0046108E" w:rsidRPr="00EE5714" w:rsidRDefault="0046108E"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46108E" w:rsidRPr="00EE5714" w14:paraId="24320702" w14:textId="77777777" w:rsidTr="00241EF4">
        <w:trPr>
          <w:trHeight w:val="144"/>
          <w:jc w:val="center"/>
        </w:trPr>
        <w:tc>
          <w:tcPr>
            <w:tcW w:w="1350" w:type="dxa"/>
            <w:tcBorders>
              <w:top w:val="nil"/>
              <w:left w:val="single" w:sz="8" w:space="0" w:color="000000"/>
              <w:bottom w:val="single" w:sz="4" w:space="0" w:color="000000"/>
              <w:right w:val="single" w:sz="4" w:space="0" w:color="000000"/>
            </w:tcBorders>
          </w:tcPr>
          <w:p w14:paraId="77BA04A6" w14:textId="77777777" w:rsidR="0046108E" w:rsidRPr="00EE5714" w:rsidRDefault="0046108E" w:rsidP="007C48FD">
            <w:pPr>
              <w:keepNext/>
              <w:spacing w:after="0" w:line="240" w:lineRule="auto"/>
              <w:rPr>
                <w:rFonts w:ascii="Calibri" w:hAnsi="Calibri" w:cs="Calibri"/>
                <w:b/>
                <w:sz w:val="21"/>
                <w:szCs w:val="21"/>
              </w:rPr>
            </w:pPr>
            <w:r w:rsidRPr="00EE5714">
              <w:rPr>
                <w:rFonts w:ascii="Calibri" w:hAnsi="Calibri" w:cs="Calibri"/>
                <w:b/>
                <w:sz w:val="21"/>
                <w:szCs w:val="21"/>
              </w:rPr>
              <w:t>Columbia</w:t>
            </w:r>
          </w:p>
        </w:tc>
        <w:tc>
          <w:tcPr>
            <w:tcW w:w="1908" w:type="dxa"/>
            <w:tcBorders>
              <w:top w:val="nil"/>
              <w:left w:val="nil"/>
              <w:bottom w:val="single" w:sz="4" w:space="0" w:color="000000"/>
              <w:right w:val="single" w:sz="4" w:space="0" w:color="000000"/>
            </w:tcBorders>
            <w:shd w:val="clear" w:color="auto" w:fill="auto"/>
            <w:noWrap/>
            <w:vAlign w:val="center"/>
          </w:tcPr>
          <w:p w14:paraId="672FA779" w14:textId="424219BA"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$13,650,000 </w:t>
            </w:r>
          </w:p>
        </w:tc>
        <w:tc>
          <w:tcPr>
            <w:tcW w:w="1908" w:type="dxa"/>
            <w:tcBorders>
              <w:top w:val="nil"/>
              <w:left w:val="nil"/>
              <w:bottom w:val="single" w:sz="4" w:space="0" w:color="000000"/>
              <w:right w:val="single" w:sz="4" w:space="0" w:color="000000"/>
            </w:tcBorders>
            <w:shd w:val="clear" w:color="auto" w:fill="auto"/>
            <w:noWrap/>
            <w:vAlign w:val="center"/>
          </w:tcPr>
          <w:p w14:paraId="2A38C7D7" w14:textId="7C14B6B2"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$22,718,175 </w:t>
            </w:r>
          </w:p>
        </w:tc>
        <w:tc>
          <w:tcPr>
            <w:tcW w:w="1908" w:type="dxa"/>
            <w:tcBorders>
              <w:top w:val="nil"/>
              <w:left w:val="nil"/>
              <w:bottom w:val="single" w:sz="4" w:space="0" w:color="000000"/>
              <w:right w:val="single" w:sz="4" w:space="0" w:color="000000"/>
            </w:tcBorders>
            <w:shd w:val="clear" w:color="auto" w:fill="auto"/>
            <w:noWrap/>
            <w:vAlign w:val="center"/>
          </w:tcPr>
          <w:p w14:paraId="5F5758BF" w14:textId="5ADD8E1F"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$22,718,175 </w:t>
            </w:r>
          </w:p>
        </w:tc>
        <w:tc>
          <w:tcPr>
            <w:tcW w:w="1746" w:type="dxa"/>
            <w:tcBorders>
              <w:top w:val="nil"/>
              <w:left w:val="nil"/>
              <w:bottom w:val="single" w:sz="4" w:space="0" w:color="000000"/>
              <w:right w:val="single" w:sz="8" w:space="0" w:color="000000"/>
            </w:tcBorders>
            <w:shd w:val="clear" w:color="auto" w:fill="auto"/>
            <w:noWrap/>
            <w:vAlign w:val="center"/>
          </w:tcPr>
          <w:p w14:paraId="34F488D4" w14:textId="664F69C3"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$22,718,175 </w:t>
            </w:r>
          </w:p>
        </w:tc>
      </w:tr>
      <w:tr w:rsidR="0046108E" w:rsidRPr="00EE5714" w14:paraId="5F604CB2" w14:textId="77777777" w:rsidTr="00241EF4">
        <w:trPr>
          <w:trHeight w:val="144"/>
          <w:jc w:val="center"/>
        </w:trPr>
        <w:tc>
          <w:tcPr>
            <w:tcW w:w="1350" w:type="dxa"/>
            <w:tcBorders>
              <w:top w:val="nil"/>
              <w:left w:val="single" w:sz="8" w:space="0" w:color="000000"/>
              <w:bottom w:val="single" w:sz="4" w:space="0" w:color="000000"/>
              <w:right w:val="single" w:sz="4" w:space="0" w:color="000000"/>
            </w:tcBorders>
          </w:tcPr>
          <w:p w14:paraId="2E4390F9" w14:textId="77777777" w:rsidR="0046108E" w:rsidRPr="00EE5714" w:rsidRDefault="0046108E" w:rsidP="007C48FD">
            <w:pPr>
              <w:keepNext/>
              <w:spacing w:after="0" w:line="240" w:lineRule="auto"/>
              <w:rPr>
                <w:rFonts w:ascii="Calibri" w:hAnsi="Calibri" w:cs="Calibri"/>
                <w:b/>
                <w:sz w:val="21"/>
                <w:szCs w:val="21"/>
              </w:rPr>
            </w:pPr>
            <w:r w:rsidRPr="00EE5714">
              <w:rPr>
                <w:rFonts w:ascii="Calibri" w:hAnsi="Calibri" w:cs="Calibri"/>
                <w:b/>
                <w:sz w:val="21"/>
                <w:szCs w:val="21"/>
              </w:rPr>
              <w:t>NFG</w:t>
            </w:r>
          </w:p>
        </w:tc>
        <w:tc>
          <w:tcPr>
            <w:tcW w:w="1908" w:type="dxa"/>
            <w:tcBorders>
              <w:top w:val="nil"/>
              <w:left w:val="nil"/>
              <w:bottom w:val="single" w:sz="4" w:space="0" w:color="000000"/>
              <w:right w:val="single" w:sz="4" w:space="0" w:color="000000"/>
            </w:tcBorders>
            <w:shd w:val="clear" w:color="auto" w:fill="auto"/>
            <w:noWrap/>
            <w:vAlign w:val="center"/>
          </w:tcPr>
          <w:p w14:paraId="119C1649" w14:textId="2D35D638"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$2,323,457 </w:t>
            </w:r>
          </w:p>
        </w:tc>
        <w:tc>
          <w:tcPr>
            <w:tcW w:w="1908" w:type="dxa"/>
            <w:tcBorders>
              <w:top w:val="nil"/>
              <w:left w:val="nil"/>
              <w:bottom w:val="single" w:sz="4" w:space="0" w:color="000000"/>
              <w:right w:val="single" w:sz="4" w:space="0" w:color="000000"/>
            </w:tcBorders>
            <w:shd w:val="clear" w:color="auto" w:fill="auto"/>
            <w:noWrap/>
            <w:vAlign w:val="center"/>
          </w:tcPr>
          <w:p w14:paraId="2C0FB361" w14:textId="01CC628B"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$2,434,767 </w:t>
            </w:r>
          </w:p>
        </w:tc>
        <w:tc>
          <w:tcPr>
            <w:tcW w:w="1908" w:type="dxa"/>
            <w:tcBorders>
              <w:top w:val="nil"/>
              <w:left w:val="nil"/>
              <w:bottom w:val="single" w:sz="4" w:space="0" w:color="000000"/>
              <w:right w:val="single" w:sz="4" w:space="0" w:color="000000"/>
            </w:tcBorders>
            <w:shd w:val="clear" w:color="auto" w:fill="auto"/>
            <w:noWrap/>
            <w:vAlign w:val="center"/>
          </w:tcPr>
          <w:p w14:paraId="7161674D" w14:textId="5B45EA40"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$2,535,559 </w:t>
            </w:r>
          </w:p>
        </w:tc>
        <w:tc>
          <w:tcPr>
            <w:tcW w:w="1746" w:type="dxa"/>
            <w:tcBorders>
              <w:top w:val="nil"/>
              <w:left w:val="nil"/>
              <w:bottom w:val="single" w:sz="4" w:space="0" w:color="000000"/>
              <w:right w:val="single" w:sz="8" w:space="0" w:color="000000"/>
            </w:tcBorders>
            <w:shd w:val="clear" w:color="auto" w:fill="auto"/>
            <w:noWrap/>
            <w:vAlign w:val="bottom"/>
          </w:tcPr>
          <w:p w14:paraId="40C4F7B9" w14:textId="7F5BE0DD"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$3,011,408</w:t>
            </w:r>
          </w:p>
        </w:tc>
      </w:tr>
      <w:tr w:rsidR="0046108E" w:rsidRPr="00EE5714" w14:paraId="0FD21FC7" w14:textId="77777777" w:rsidTr="00241EF4">
        <w:trPr>
          <w:trHeight w:val="144"/>
          <w:jc w:val="center"/>
        </w:trPr>
        <w:tc>
          <w:tcPr>
            <w:tcW w:w="1350" w:type="dxa"/>
            <w:tcBorders>
              <w:top w:val="nil"/>
              <w:left w:val="single" w:sz="8" w:space="0" w:color="000000"/>
              <w:bottom w:val="single" w:sz="4" w:space="0" w:color="000000"/>
              <w:right w:val="single" w:sz="4" w:space="0" w:color="000000"/>
            </w:tcBorders>
          </w:tcPr>
          <w:p w14:paraId="0C6B365D" w14:textId="77777777" w:rsidR="0046108E" w:rsidRPr="00EE5714" w:rsidRDefault="0046108E" w:rsidP="007C48FD">
            <w:pPr>
              <w:keepNext/>
              <w:spacing w:after="0" w:line="240" w:lineRule="auto"/>
              <w:rPr>
                <w:rFonts w:ascii="Calibri" w:hAnsi="Calibri" w:cs="Calibri"/>
                <w:b/>
                <w:sz w:val="21"/>
                <w:szCs w:val="21"/>
              </w:rPr>
            </w:pPr>
            <w:r w:rsidRPr="00EE5714">
              <w:rPr>
                <w:rFonts w:ascii="Calibri" w:hAnsi="Calibri" w:cs="Calibri"/>
                <w:b/>
                <w:sz w:val="21"/>
                <w:szCs w:val="21"/>
              </w:rPr>
              <w:t>PECO Gas</w:t>
            </w:r>
          </w:p>
        </w:tc>
        <w:tc>
          <w:tcPr>
            <w:tcW w:w="1908" w:type="dxa"/>
            <w:tcBorders>
              <w:top w:val="nil"/>
              <w:left w:val="nil"/>
              <w:bottom w:val="single" w:sz="4" w:space="0" w:color="000000"/>
              <w:right w:val="single" w:sz="4" w:space="0" w:color="000000"/>
            </w:tcBorders>
            <w:shd w:val="clear" w:color="auto" w:fill="auto"/>
            <w:noWrap/>
            <w:vAlign w:val="bottom"/>
          </w:tcPr>
          <w:p w14:paraId="188E7E30" w14:textId="5E87444F"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$3,154,191</w:t>
            </w:r>
          </w:p>
        </w:tc>
        <w:tc>
          <w:tcPr>
            <w:tcW w:w="1908" w:type="dxa"/>
            <w:tcBorders>
              <w:top w:val="nil"/>
              <w:left w:val="nil"/>
              <w:bottom w:val="single" w:sz="4" w:space="0" w:color="000000"/>
              <w:right w:val="single" w:sz="4" w:space="0" w:color="000000"/>
            </w:tcBorders>
            <w:shd w:val="clear" w:color="auto" w:fill="auto"/>
            <w:noWrap/>
            <w:vAlign w:val="bottom"/>
          </w:tcPr>
          <w:p w14:paraId="2D8BB5DB" w14:textId="7162141E"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$2,435,981</w:t>
            </w:r>
          </w:p>
        </w:tc>
        <w:tc>
          <w:tcPr>
            <w:tcW w:w="1908" w:type="dxa"/>
            <w:tcBorders>
              <w:top w:val="nil"/>
              <w:left w:val="nil"/>
              <w:bottom w:val="single" w:sz="4" w:space="0" w:color="000000"/>
              <w:right w:val="single" w:sz="4" w:space="0" w:color="000000"/>
            </w:tcBorders>
            <w:shd w:val="clear" w:color="auto" w:fill="auto"/>
            <w:noWrap/>
            <w:vAlign w:val="bottom"/>
          </w:tcPr>
          <w:p w14:paraId="63CC51CC" w14:textId="6225C41F"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$2,439,918</w:t>
            </w:r>
          </w:p>
        </w:tc>
        <w:tc>
          <w:tcPr>
            <w:tcW w:w="1746" w:type="dxa"/>
            <w:tcBorders>
              <w:top w:val="nil"/>
              <w:left w:val="nil"/>
              <w:bottom w:val="single" w:sz="4" w:space="0" w:color="000000"/>
              <w:right w:val="single" w:sz="8" w:space="0" w:color="000000"/>
            </w:tcBorders>
            <w:shd w:val="clear" w:color="auto" w:fill="auto"/>
            <w:noWrap/>
            <w:vAlign w:val="bottom"/>
          </w:tcPr>
          <w:p w14:paraId="306AE4A3" w14:textId="39893C9F"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$2,564,742</w:t>
            </w:r>
          </w:p>
        </w:tc>
      </w:tr>
      <w:tr w:rsidR="0046108E" w:rsidRPr="00EE5714" w14:paraId="3DB355A8" w14:textId="77777777" w:rsidTr="00241EF4">
        <w:trPr>
          <w:trHeight w:val="144"/>
          <w:jc w:val="center"/>
        </w:trPr>
        <w:tc>
          <w:tcPr>
            <w:tcW w:w="1350" w:type="dxa"/>
            <w:tcBorders>
              <w:top w:val="nil"/>
              <w:left w:val="single" w:sz="8" w:space="0" w:color="000000"/>
              <w:bottom w:val="single" w:sz="4" w:space="0" w:color="000000"/>
              <w:right w:val="single" w:sz="4" w:space="0" w:color="000000"/>
            </w:tcBorders>
          </w:tcPr>
          <w:p w14:paraId="0B19D19D" w14:textId="77777777" w:rsidR="0046108E" w:rsidRPr="00EE5714" w:rsidRDefault="0046108E" w:rsidP="007C48FD">
            <w:pPr>
              <w:keepNext/>
              <w:spacing w:after="0" w:line="240" w:lineRule="auto"/>
              <w:rPr>
                <w:rFonts w:ascii="Calibri" w:hAnsi="Calibri" w:cs="Calibri"/>
                <w:b/>
                <w:sz w:val="21"/>
                <w:szCs w:val="21"/>
              </w:rPr>
            </w:pPr>
            <w:r w:rsidRPr="00EE5714">
              <w:rPr>
                <w:rFonts w:ascii="Calibri" w:hAnsi="Calibri" w:cs="Calibri"/>
                <w:b/>
                <w:sz w:val="21"/>
                <w:szCs w:val="21"/>
              </w:rPr>
              <w:t>Peoples</w:t>
            </w:r>
          </w:p>
        </w:tc>
        <w:tc>
          <w:tcPr>
            <w:tcW w:w="1908" w:type="dxa"/>
            <w:tcBorders>
              <w:top w:val="nil"/>
              <w:left w:val="nil"/>
              <w:bottom w:val="single" w:sz="4" w:space="0" w:color="000000"/>
              <w:right w:val="single" w:sz="4" w:space="0" w:color="000000"/>
            </w:tcBorders>
            <w:shd w:val="clear" w:color="auto" w:fill="auto"/>
            <w:noWrap/>
            <w:vAlign w:val="center"/>
          </w:tcPr>
          <w:p w14:paraId="0EBC6FA7" w14:textId="563419DE"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$5,897,531 </w:t>
            </w:r>
          </w:p>
        </w:tc>
        <w:tc>
          <w:tcPr>
            <w:tcW w:w="1908" w:type="dxa"/>
            <w:tcBorders>
              <w:top w:val="nil"/>
              <w:left w:val="nil"/>
              <w:bottom w:val="single" w:sz="4" w:space="0" w:color="000000"/>
              <w:right w:val="single" w:sz="4" w:space="0" w:color="000000"/>
            </w:tcBorders>
            <w:shd w:val="clear" w:color="auto" w:fill="auto"/>
            <w:noWrap/>
            <w:vAlign w:val="center"/>
          </w:tcPr>
          <w:p w14:paraId="6E140772" w14:textId="217FDF43"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$7,064,231 </w:t>
            </w:r>
          </w:p>
        </w:tc>
        <w:tc>
          <w:tcPr>
            <w:tcW w:w="1908" w:type="dxa"/>
            <w:tcBorders>
              <w:top w:val="nil"/>
              <w:left w:val="nil"/>
              <w:bottom w:val="single" w:sz="4" w:space="0" w:color="000000"/>
              <w:right w:val="single" w:sz="4" w:space="0" w:color="000000"/>
            </w:tcBorders>
            <w:shd w:val="clear" w:color="auto" w:fill="auto"/>
            <w:noWrap/>
            <w:vAlign w:val="center"/>
          </w:tcPr>
          <w:p w14:paraId="116E9FF2" w14:textId="6C8255AF"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$7,065,818 </w:t>
            </w:r>
          </w:p>
        </w:tc>
        <w:tc>
          <w:tcPr>
            <w:tcW w:w="1746" w:type="dxa"/>
            <w:tcBorders>
              <w:top w:val="nil"/>
              <w:left w:val="nil"/>
              <w:bottom w:val="single" w:sz="4" w:space="0" w:color="000000"/>
              <w:right w:val="single" w:sz="8" w:space="0" w:color="000000"/>
            </w:tcBorders>
            <w:shd w:val="clear" w:color="auto" w:fill="auto"/>
            <w:noWrap/>
            <w:vAlign w:val="center"/>
          </w:tcPr>
          <w:p w14:paraId="5BFAC062" w14:textId="201E7FAB"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$7,067,452 </w:t>
            </w:r>
          </w:p>
        </w:tc>
      </w:tr>
      <w:tr w:rsidR="0046108E" w:rsidRPr="00EE5714" w14:paraId="59CA2D24" w14:textId="77777777" w:rsidTr="00241EF4">
        <w:trPr>
          <w:trHeight w:val="144"/>
          <w:jc w:val="center"/>
        </w:trPr>
        <w:tc>
          <w:tcPr>
            <w:tcW w:w="1350" w:type="dxa"/>
            <w:tcBorders>
              <w:top w:val="nil"/>
              <w:left w:val="single" w:sz="8" w:space="0" w:color="000000"/>
              <w:bottom w:val="single" w:sz="4" w:space="0" w:color="000000"/>
              <w:right w:val="single" w:sz="4" w:space="0" w:color="000000"/>
            </w:tcBorders>
          </w:tcPr>
          <w:p w14:paraId="23E9D0A5" w14:textId="77777777" w:rsidR="0046108E" w:rsidRPr="00EE5714" w:rsidRDefault="0046108E" w:rsidP="007C48FD">
            <w:pPr>
              <w:keepNext/>
              <w:spacing w:after="0" w:line="240" w:lineRule="auto"/>
              <w:rPr>
                <w:rFonts w:ascii="Calibri" w:hAnsi="Calibri" w:cs="Calibri"/>
                <w:b/>
                <w:sz w:val="21"/>
                <w:szCs w:val="21"/>
              </w:rPr>
            </w:pPr>
            <w:r w:rsidRPr="00EE5714">
              <w:rPr>
                <w:rFonts w:ascii="Calibri" w:hAnsi="Calibri" w:cs="Calibri"/>
                <w:b/>
                <w:sz w:val="21"/>
                <w:szCs w:val="21"/>
              </w:rPr>
              <w:t>Peoples EQT</w:t>
            </w:r>
          </w:p>
        </w:tc>
        <w:tc>
          <w:tcPr>
            <w:tcW w:w="1908" w:type="dxa"/>
            <w:tcBorders>
              <w:top w:val="nil"/>
              <w:left w:val="nil"/>
              <w:bottom w:val="single" w:sz="4" w:space="0" w:color="000000"/>
              <w:right w:val="single" w:sz="4" w:space="0" w:color="000000"/>
            </w:tcBorders>
            <w:shd w:val="clear" w:color="auto" w:fill="auto"/>
            <w:noWrap/>
            <w:vAlign w:val="center"/>
          </w:tcPr>
          <w:p w14:paraId="09C803DD" w14:textId="2C31F3B3"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$3,907,618 </w:t>
            </w:r>
          </w:p>
        </w:tc>
        <w:tc>
          <w:tcPr>
            <w:tcW w:w="1908" w:type="dxa"/>
            <w:tcBorders>
              <w:top w:val="nil"/>
              <w:left w:val="nil"/>
              <w:bottom w:val="single" w:sz="4" w:space="0" w:color="000000"/>
              <w:right w:val="single" w:sz="4" w:space="0" w:color="000000"/>
            </w:tcBorders>
            <w:shd w:val="clear" w:color="auto" w:fill="auto"/>
            <w:noWrap/>
            <w:vAlign w:val="center"/>
          </w:tcPr>
          <w:p w14:paraId="5948DC19" w14:textId="37A837E8"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$4,531,268 </w:t>
            </w:r>
          </w:p>
        </w:tc>
        <w:tc>
          <w:tcPr>
            <w:tcW w:w="1908" w:type="dxa"/>
            <w:tcBorders>
              <w:top w:val="nil"/>
              <w:left w:val="nil"/>
              <w:bottom w:val="single" w:sz="4" w:space="0" w:color="000000"/>
              <w:right w:val="single" w:sz="4" w:space="0" w:color="000000"/>
            </w:tcBorders>
            <w:shd w:val="clear" w:color="auto" w:fill="auto"/>
            <w:noWrap/>
            <w:vAlign w:val="center"/>
          </w:tcPr>
          <w:p w14:paraId="5B30885E" w14:textId="777D8314"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$4,532,356 </w:t>
            </w:r>
          </w:p>
        </w:tc>
        <w:tc>
          <w:tcPr>
            <w:tcW w:w="1746" w:type="dxa"/>
            <w:tcBorders>
              <w:top w:val="nil"/>
              <w:left w:val="nil"/>
              <w:bottom w:val="single" w:sz="4" w:space="0" w:color="000000"/>
              <w:right w:val="single" w:sz="8" w:space="0" w:color="000000"/>
            </w:tcBorders>
            <w:shd w:val="clear" w:color="auto" w:fill="auto"/>
            <w:noWrap/>
            <w:vAlign w:val="center"/>
          </w:tcPr>
          <w:p w14:paraId="6FEC5D74" w14:textId="094A5D10"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$4,533,476 </w:t>
            </w:r>
          </w:p>
        </w:tc>
      </w:tr>
      <w:tr w:rsidR="0046108E" w:rsidRPr="00EE5714" w14:paraId="66BF2A22" w14:textId="77777777" w:rsidTr="00241EF4">
        <w:trPr>
          <w:trHeight w:val="144"/>
          <w:jc w:val="center"/>
        </w:trPr>
        <w:tc>
          <w:tcPr>
            <w:tcW w:w="1350" w:type="dxa"/>
            <w:tcBorders>
              <w:top w:val="single" w:sz="4" w:space="0" w:color="000000"/>
              <w:left w:val="single" w:sz="8" w:space="0" w:color="000000"/>
              <w:bottom w:val="single" w:sz="8" w:space="0" w:color="000000"/>
              <w:right w:val="single" w:sz="8" w:space="0" w:color="000000"/>
            </w:tcBorders>
          </w:tcPr>
          <w:p w14:paraId="3C329D9D" w14:textId="77777777" w:rsidR="0046108E" w:rsidRPr="00EE5714" w:rsidRDefault="0046108E" w:rsidP="00001EF5">
            <w:pPr>
              <w:keepNext/>
              <w:spacing w:after="0" w:line="240" w:lineRule="auto"/>
              <w:rPr>
                <w:rFonts w:ascii="Calibri" w:hAnsi="Calibri" w:cs="Calibri"/>
                <w:b/>
                <w:sz w:val="21"/>
                <w:szCs w:val="21"/>
              </w:rPr>
            </w:pPr>
            <w:r w:rsidRPr="00EE5714">
              <w:rPr>
                <w:rFonts w:ascii="Calibri" w:hAnsi="Calibri" w:cs="Calibri"/>
                <w:b/>
                <w:sz w:val="21"/>
                <w:szCs w:val="21"/>
              </w:rPr>
              <w:t>PGW</w:t>
            </w:r>
          </w:p>
        </w:tc>
        <w:tc>
          <w:tcPr>
            <w:tcW w:w="1908" w:type="dxa"/>
            <w:tcBorders>
              <w:top w:val="single" w:sz="4" w:space="0" w:color="000000"/>
              <w:left w:val="single" w:sz="8" w:space="0" w:color="000000"/>
              <w:bottom w:val="single" w:sz="8" w:space="0" w:color="000000"/>
              <w:right w:val="single" w:sz="8" w:space="0" w:color="000000"/>
            </w:tcBorders>
            <w:shd w:val="clear" w:color="auto" w:fill="auto"/>
            <w:noWrap/>
            <w:vAlign w:val="center"/>
          </w:tcPr>
          <w:p w14:paraId="1FF2C314" w14:textId="37D9AA5C" w:rsidR="0046108E" w:rsidRPr="00EE5714" w:rsidRDefault="0046108E" w:rsidP="00001EF5">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$56,071,383 </w:t>
            </w:r>
          </w:p>
        </w:tc>
        <w:tc>
          <w:tcPr>
            <w:tcW w:w="1908" w:type="dxa"/>
            <w:tcBorders>
              <w:top w:val="single" w:sz="4" w:space="0" w:color="000000"/>
              <w:left w:val="single" w:sz="8" w:space="0" w:color="000000"/>
              <w:bottom w:val="single" w:sz="8" w:space="0" w:color="000000"/>
              <w:right w:val="single" w:sz="8" w:space="0" w:color="000000"/>
            </w:tcBorders>
            <w:shd w:val="clear" w:color="auto" w:fill="auto"/>
            <w:noWrap/>
            <w:vAlign w:val="center"/>
          </w:tcPr>
          <w:p w14:paraId="3F329AAD" w14:textId="4B94FF0B" w:rsidR="0046108E" w:rsidRPr="00EE5714" w:rsidRDefault="0046108E" w:rsidP="00001EF5">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$58,428,965 </w:t>
            </w:r>
          </w:p>
        </w:tc>
        <w:tc>
          <w:tcPr>
            <w:tcW w:w="1908" w:type="dxa"/>
            <w:tcBorders>
              <w:top w:val="single" w:sz="4" w:space="0" w:color="000000"/>
              <w:left w:val="single" w:sz="8" w:space="0" w:color="000000"/>
              <w:bottom w:val="single" w:sz="8" w:space="0" w:color="000000"/>
              <w:right w:val="single" w:sz="8" w:space="0" w:color="000000"/>
            </w:tcBorders>
            <w:shd w:val="clear" w:color="auto" w:fill="auto"/>
            <w:noWrap/>
            <w:vAlign w:val="center"/>
          </w:tcPr>
          <w:p w14:paraId="1364B278" w14:textId="31C363CF" w:rsidR="0046108E" w:rsidRPr="00EE5714" w:rsidRDefault="0046108E" w:rsidP="00001EF5">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$59,694,816 </w:t>
            </w:r>
          </w:p>
        </w:tc>
        <w:tc>
          <w:tcPr>
            <w:tcW w:w="1746" w:type="dxa"/>
            <w:tcBorders>
              <w:top w:val="single" w:sz="4" w:space="0" w:color="000000"/>
              <w:left w:val="single" w:sz="8" w:space="0" w:color="000000"/>
              <w:bottom w:val="single" w:sz="8" w:space="0" w:color="000000"/>
              <w:right w:val="single" w:sz="8" w:space="0" w:color="000000"/>
            </w:tcBorders>
            <w:shd w:val="clear" w:color="auto" w:fill="auto"/>
            <w:noWrap/>
            <w:vAlign w:val="center"/>
          </w:tcPr>
          <w:p w14:paraId="191F7459" w14:textId="2AFA21EE" w:rsidR="0046108E" w:rsidRPr="00EE5714" w:rsidRDefault="0046108E" w:rsidP="00001EF5">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$63,614,524 </w:t>
            </w:r>
          </w:p>
        </w:tc>
      </w:tr>
      <w:tr w:rsidR="0046108E" w:rsidRPr="00EE5714" w14:paraId="7741B727" w14:textId="77777777" w:rsidTr="00241EF4">
        <w:trPr>
          <w:trHeight w:val="144"/>
          <w:jc w:val="center"/>
        </w:trPr>
        <w:tc>
          <w:tcPr>
            <w:tcW w:w="1350" w:type="dxa"/>
            <w:tcBorders>
              <w:top w:val="single" w:sz="8" w:space="0" w:color="000000"/>
              <w:left w:val="single" w:sz="8" w:space="0" w:color="000000"/>
              <w:bottom w:val="single" w:sz="8" w:space="0" w:color="000000"/>
              <w:right w:val="single" w:sz="8" w:space="0" w:color="000000"/>
            </w:tcBorders>
          </w:tcPr>
          <w:p w14:paraId="4EC05635" w14:textId="77777777" w:rsidR="0046108E" w:rsidRPr="00EE5714" w:rsidRDefault="0046108E" w:rsidP="007C48FD">
            <w:pPr>
              <w:keepNext/>
              <w:spacing w:after="0" w:line="240" w:lineRule="auto"/>
              <w:rPr>
                <w:rFonts w:ascii="Calibri" w:hAnsi="Calibri" w:cs="Calibri"/>
                <w:b/>
                <w:sz w:val="21"/>
                <w:szCs w:val="21"/>
              </w:rPr>
            </w:pPr>
            <w:r w:rsidRPr="00EE5714">
              <w:rPr>
                <w:rFonts w:ascii="Calibri" w:hAnsi="Calibri" w:cs="Calibri"/>
                <w:b/>
                <w:sz w:val="21"/>
                <w:szCs w:val="21"/>
              </w:rPr>
              <w:t>UGI Gas</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7B47EB6" w14:textId="47D2F72F"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$3,970,000 </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26DC49D" w14:textId="54269B55"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$4,135,000 </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81C933A" w14:textId="79BB3B63"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$4,341,750 </w:t>
            </w:r>
          </w:p>
        </w:tc>
        <w:tc>
          <w:tcPr>
            <w:tcW w:w="1746"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3B48E9E5" w14:textId="6B2DC13A"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$4,735,391</w:t>
            </w:r>
          </w:p>
        </w:tc>
      </w:tr>
      <w:tr w:rsidR="0046108E" w:rsidRPr="00EE5714" w14:paraId="760104E7" w14:textId="77777777" w:rsidTr="00241EF4">
        <w:trPr>
          <w:trHeight w:val="144"/>
          <w:jc w:val="center"/>
        </w:trPr>
        <w:tc>
          <w:tcPr>
            <w:tcW w:w="1350" w:type="dxa"/>
            <w:tcBorders>
              <w:top w:val="single" w:sz="8" w:space="0" w:color="000000"/>
              <w:left w:val="single" w:sz="8" w:space="0" w:color="000000"/>
              <w:bottom w:val="single" w:sz="8" w:space="0" w:color="000000"/>
              <w:right w:val="single" w:sz="8" w:space="0" w:color="000000"/>
            </w:tcBorders>
          </w:tcPr>
          <w:p w14:paraId="2F1C3F84" w14:textId="77777777" w:rsidR="0046108E" w:rsidRPr="00EE5714" w:rsidRDefault="0046108E" w:rsidP="007C48FD">
            <w:pPr>
              <w:keepNext/>
              <w:spacing w:after="0" w:line="240" w:lineRule="auto"/>
              <w:rPr>
                <w:rFonts w:ascii="Calibri" w:hAnsi="Calibri" w:cs="Calibri"/>
                <w:b/>
                <w:sz w:val="21"/>
                <w:szCs w:val="21"/>
              </w:rPr>
            </w:pPr>
            <w:r w:rsidRPr="00EE5714">
              <w:rPr>
                <w:rFonts w:ascii="Calibri" w:hAnsi="Calibri" w:cs="Calibri"/>
                <w:b/>
                <w:sz w:val="21"/>
                <w:szCs w:val="21"/>
              </w:rPr>
              <w:t>UGI PNG</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4A2482E" w14:textId="795A0445"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$3,025,000 </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0B7E282" w14:textId="239B368A"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$3,235,000 </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97947E1" w14:textId="446DC6EA"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$3,396,750 </w:t>
            </w:r>
          </w:p>
        </w:tc>
        <w:tc>
          <w:tcPr>
            <w:tcW w:w="1746"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2CC7547D" w14:textId="1A1F9271" w:rsidR="0046108E" w:rsidRPr="00EE5714" w:rsidRDefault="0046108E" w:rsidP="007C48F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$3,863,164</w:t>
            </w:r>
          </w:p>
        </w:tc>
      </w:tr>
      <w:tr w:rsidR="0046108E" w:rsidRPr="00EE5714" w14:paraId="56E41FCC" w14:textId="77777777" w:rsidTr="00241EF4">
        <w:trPr>
          <w:trHeight w:val="144"/>
          <w:jc w:val="center"/>
        </w:trPr>
        <w:tc>
          <w:tcPr>
            <w:tcW w:w="1350" w:type="dxa"/>
            <w:tcBorders>
              <w:top w:val="single" w:sz="8" w:space="0" w:color="000000"/>
              <w:left w:val="single" w:sz="8" w:space="0" w:color="000000"/>
              <w:bottom w:val="single" w:sz="8" w:space="0" w:color="000000"/>
              <w:right w:val="single" w:sz="8" w:space="0" w:color="000000"/>
            </w:tcBorders>
          </w:tcPr>
          <w:p w14:paraId="20261109" w14:textId="77777777" w:rsidR="0046108E" w:rsidRPr="00EE5714" w:rsidRDefault="0046108E" w:rsidP="0009098D">
            <w:pPr>
              <w:spacing w:after="0" w:line="240" w:lineRule="auto"/>
              <w:rPr>
                <w:rFonts w:ascii="Calibri" w:eastAsia="Times New Roman" w:hAnsi="Calibri" w:cs="Calibri"/>
                <w:color w:val="000000"/>
                <w:sz w:val="20"/>
                <w:szCs w:val="20"/>
              </w:rPr>
            </w:pPr>
            <w:r w:rsidRPr="00EE5714">
              <w:rPr>
                <w:rFonts w:ascii="Calibri" w:hAnsi="Calibri" w:cs="Calibri"/>
                <w:b/>
                <w:sz w:val="21"/>
                <w:szCs w:val="21"/>
              </w:rPr>
              <w:t>Industry Average</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041FA9C" w14:textId="5F66D369" w:rsidR="0046108E" w:rsidRPr="00EE5714" w:rsidRDefault="0046108E" w:rsidP="0009098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$11,367,334,50</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E37E240" w14:textId="4F2CD42A" w:rsidR="0046108E" w:rsidRPr="00EE5714" w:rsidRDefault="0046108E" w:rsidP="0009098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$13,122,923.43</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0EF9833" w14:textId="5E86DD1F" w:rsidR="0046108E" w:rsidRPr="00EE5714" w:rsidRDefault="0046108E" w:rsidP="0009098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$13,340,642.77</w:t>
            </w:r>
          </w:p>
        </w:tc>
        <w:tc>
          <w:tcPr>
            <w:tcW w:w="174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AECC66" w14:textId="3CB67F73" w:rsidR="0046108E" w:rsidRPr="00EE5714" w:rsidRDefault="0046108E" w:rsidP="0009098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$14,013,541.41</w:t>
            </w:r>
          </w:p>
        </w:tc>
      </w:tr>
    </w:tbl>
    <w:p w14:paraId="08A4BE8A" w14:textId="3A4CE566" w:rsidR="00F303E0" w:rsidRPr="0094268F" w:rsidRDefault="007071AC" w:rsidP="007C77B1">
      <w:pPr>
        <w:pStyle w:val="NoSpacing"/>
        <w:ind w:left="720"/>
        <w:rPr>
          <w:rFonts w:cs="Times New Roman"/>
        </w:rPr>
      </w:pPr>
      <w:r w:rsidRPr="00215D3F">
        <w:rPr>
          <w:rFonts w:cs="Times New Roman"/>
        </w:rPr>
        <w:t xml:space="preserve">*Italicized numbers reflect projected CAP costs from USECPs that the Commission has not yet </w:t>
      </w:r>
      <w:r w:rsidRPr="00771BBA">
        <w:rPr>
          <w:rFonts w:cs="Times New Roman"/>
        </w:rPr>
        <w:t>approved.</w:t>
      </w:r>
    </w:p>
    <w:p w14:paraId="332E570D" w14:textId="77777777" w:rsidR="00071E2B" w:rsidRPr="00071E2B" w:rsidRDefault="00071E2B" w:rsidP="00071E2B">
      <w:pPr>
        <w:pStyle w:val="NoSpacing"/>
        <w:rPr>
          <w:rFonts w:cs="Times New Roman"/>
          <w:szCs w:val="26"/>
        </w:rPr>
      </w:pPr>
    </w:p>
    <w:p w14:paraId="45763622" w14:textId="77777777" w:rsidR="003A7B71" w:rsidRPr="00FF6D0C" w:rsidRDefault="003A7B71" w:rsidP="00FF6D0C">
      <w:pPr>
        <w:pStyle w:val="NoSpacing"/>
        <w:rPr>
          <w:rFonts w:cs="Times New Roman"/>
          <w:szCs w:val="26"/>
        </w:rPr>
      </w:pPr>
    </w:p>
    <w:p w14:paraId="13CE59EE" w14:textId="6435F5DD" w:rsidR="00F303E0" w:rsidRPr="00EE5714" w:rsidRDefault="00F734A0" w:rsidP="007D7A46">
      <w:pPr>
        <w:pStyle w:val="NoSpacing"/>
        <w:keepNext/>
        <w:rPr>
          <w:rFonts w:cs="Times New Roman"/>
          <w:i/>
          <w:color w:val="000000" w:themeColor="text1"/>
          <w:szCs w:val="26"/>
        </w:rPr>
      </w:pPr>
      <w:r w:rsidRPr="00EE5714">
        <w:rPr>
          <w:rFonts w:cs="Times New Roman"/>
          <w:i/>
          <w:color w:val="000000" w:themeColor="text1"/>
          <w:szCs w:val="26"/>
        </w:rPr>
        <w:t>Appendix 9</w:t>
      </w:r>
      <w:r w:rsidR="00F303E0" w:rsidRPr="00EE5714">
        <w:rPr>
          <w:rFonts w:cs="Times New Roman"/>
          <w:i/>
          <w:color w:val="000000" w:themeColor="text1"/>
          <w:szCs w:val="26"/>
        </w:rPr>
        <w:t>.C: Table 10-</w:t>
      </w:r>
      <w:r w:rsidR="00083E32">
        <w:rPr>
          <w:rFonts w:cs="Times New Roman"/>
          <w:i/>
          <w:color w:val="000000" w:themeColor="text1"/>
          <w:szCs w:val="26"/>
        </w:rPr>
        <w:t>4</w:t>
      </w:r>
      <w:r w:rsidR="00F303E0" w:rsidRPr="00EE5714">
        <w:rPr>
          <w:rFonts w:cs="Times New Roman"/>
          <w:i/>
          <w:color w:val="000000" w:themeColor="text1"/>
          <w:szCs w:val="26"/>
        </w:rPr>
        <w:t xml:space="preserve"> EDC Residential Customers and Average CAP Enrollment</w:t>
      </w:r>
      <w:r w:rsidR="004162BB">
        <w:rPr>
          <w:rFonts w:cs="Times New Roman"/>
          <w:i/>
          <w:color w:val="000000" w:themeColor="text1"/>
          <w:szCs w:val="26"/>
        </w:rPr>
        <w:t xml:space="preserve"> Used to Calculate EDC Non-CAP Residential Customers</w:t>
      </w:r>
    </w:p>
    <w:p w14:paraId="6E5CA885" w14:textId="77777777" w:rsidR="00F303E0" w:rsidRPr="00EE5714" w:rsidRDefault="00F303E0" w:rsidP="0009098D">
      <w:pPr>
        <w:pStyle w:val="NoSpacing"/>
        <w:keepNext/>
        <w:rPr>
          <w:rFonts w:cs="Times New Roman"/>
          <w:i/>
          <w:color w:val="000000" w:themeColor="text1"/>
          <w:szCs w:val="26"/>
        </w:rPr>
      </w:pPr>
    </w:p>
    <w:p w14:paraId="3FAA2CEB" w14:textId="76B2C135" w:rsidR="00F303E0" w:rsidRPr="00EE5714" w:rsidRDefault="00F734A0" w:rsidP="003A7B71">
      <w:pPr>
        <w:pStyle w:val="NoSpacing"/>
        <w:keepNext/>
        <w:rPr>
          <w:rFonts w:cs="Times New Roman"/>
          <w:sz w:val="24"/>
          <w:szCs w:val="24"/>
        </w:rPr>
      </w:pPr>
      <w:r w:rsidRPr="00EE5714">
        <w:rPr>
          <w:rFonts w:cs="Times New Roman"/>
          <w:szCs w:val="26"/>
        </w:rPr>
        <w:t>Appendix 9</w:t>
      </w:r>
      <w:r w:rsidR="00F303E0" w:rsidRPr="00EE5714">
        <w:rPr>
          <w:rFonts w:cs="Times New Roman"/>
          <w:szCs w:val="26"/>
        </w:rPr>
        <w:t xml:space="preserve">.C.1: </w:t>
      </w:r>
      <w:r w:rsidR="00F303E0" w:rsidRPr="00EE5714">
        <w:rPr>
          <w:rFonts w:eastAsia="Times New Roman" w:cs="Times New Roman"/>
          <w:b/>
          <w:bCs/>
          <w:color w:val="000000"/>
          <w:szCs w:val="26"/>
        </w:rPr>
        <w:t>EDC Residential Customers</w:t>
      </w:r>
      <w:r w:rsidR="00F303E0" w:rsidRPr="00EE5714">
        <w:rPr>
          <w:rFonts w:cs="Times New Roman"/>
          <w:sz w:val="24"/>
          <w:szCs w:val="24"/>
        </w:rPr>
        <w:t xml:space="preserve"> </w:t>
      </w:r>
    </w:p>
    <w:tbl>
      <w:tblPr>
        <w:tblW w:w="8422" w:type="dxa"/>
        <w:jc w:val="center"/>
        <w:tblLook w:val="04A0" w:firstRow="1" w:lastRow="0" w:firstColumn="1" w:lastColumn="0" w:noHBand="0" w:noVBand="1"/>
      </w:tblPr>
      <w:tblGrid>
        <w:gridCol w:w="1470"/>
        <w:gridCol w:w="1242"/>
        <w:gridCol w:w="1095"/>
        <w:gridCol w:w="1095"/>
        <w:gridCol w:w="1095"/>
        <w:gridCol w:w="1211"/>
        <w:gridCol w:w="1214"/>
      </w:tblGrid>
      <w:tr w:rsidR="00F9796A" w:rsidRPr="00F9796A" w14:paraId="03F69226" w14:textId="77777777" w:rsidTr="00CF3FE7">
        <w:trPr>
          <w:trHeight w:val="301"/>
          <w:jc w:val="center"/>
        </w:trPr>
        <w:tc>
          <w:tcPr>
            <w:tcW w:w="8422" w:type="dxa"/>
            <w:gridSpan w:val="7"/>
            <w:tcBorders>
              <w:top w:val="nil"/>
              <w:left w:val="single" w:sz="4" w:space="0" w:color="000000"/>
              <w:bottom w:val="single" w:sz="4" w:space="0" w:color="000000"/>
              <w:right w:val="nil"/>
            </w:tcBorders>
            <w:shd w:val="clear" w:color="000000" w:fill="BFBFBF"/>
            <w:noWrap/>
            <w:vAlign w:val="center"/>
            <w:hideMark/>
          </w:tcPr>
          <w:p w14:paraId="54DED74D" w14:textId="77777777" w:rsidR="00F9796A" w:rsidRPr="00F9796A" w:rsidRDefault="00F9796A" w:rsidP="003A7B71">
            <w:pPr>
              <w:keepNext/>
              <w:spacing w:after="0" w:line="240" w:lineRule="auto"/>
              <w:jc w:val="center"/>
              <w:rPr>
                <w:rFonts w:ascii="Calibri" w:eastAsia="Times New Roman" w:hAnsi="Calibri" w:cs="Calibri"/>
                <w:b/>
                <w:bCs/>
                <w:color w:val="000000"/>
              </w:rPr>
            </w:pPr>
            <w:r w:rsidRPr="00F9796A">
              <w:rPr>
                <w:rFonts w:ascii="Calibri" w:eastAsia="Times New Roman" w:hAnsi="Calibri" w:cs="Calibri"/>
                <w:b/>
                <w:bCs/>
                <w:color w:val="000000"/>
              </w:rPr>
              <w:t xml:space="preserve">EDC Residential Customers </w:t>
            </w:r>
          </w:p>
        </w:tc>
      </w:tr>
      <w:tr w:rsidR="00F9796A" w:rsidRPr="00F9796A" w14:paraId="3AFF9D14" w14:textId="77777777" w:rsidTr="00CF3FE7">
        <w:trPr>
          <w:trHeight w:val="301"/>
          <w:jc w:val="center"/>
        </w:trPr>
        <w:tc>
          <w:tcPr>
            <w:tcW w:w="1470" w:type="dxa"/>
            <w:tcBorders>
              <w:top w:val="nil"/>
              <w:left w:val="single" w:sz="4" w:space="0" w:color="000000"/>
              <w:bottom w:val="single" w:sz="4" w:space="0" w:color="000000"/>
              <w:right w:val="single" w:sz="4" w:space="0" w:color="000000"/>
            </w:tcBorders>
            <w:shd w:val="clear" w:color="auto" w:fill="auto"/>
            <w:noWrap/>
            <w:vAlign w:val="center"/>
            <w:hideMark/>
          </w:tcPr>
          <w:p w14:paraId="255161DF" w14:textId="77777777" w:rsidR="00F9796A" w:rsidRPr="00F9796A" w:rsidRDefault="00F9796A" w:rsidP="003A7B71">
            <w:pPr>
              <w:keepNext/>
              <w:spacing w:after="0" w:line="240" w:lineRule="auto"/>
              <w:jc w:val="center"/>
              <w:rPr>
                <w:rFonts w:ascii="Calibri" w:eastAsia="Times New Roman" w:hAnsi="Calibri" w:cs="Calibri"/>
                <w:b/>
                <w:bCs/>
                <w:i/>
                <w:iCs/>
                <w:color w:val="000000"/>
                <w:sz w:val="21"/>
                <w:szCs w:val="21"/>
              </w:rPr>
            </w:pPr>
            <w:r w:rsidRPr="00F9796A">
              <w:rPr>
                <w:rFonts w:ascii="Calibri" w:eastAsia="Times New Roman" w:hAnsi="Calibri" w:cs="Calibri"/>
                <w:b/>
                <w:bCs/>
                <w:i/>
                <w:iCs/>
                <w:color w:val="000000"/>
                <w:sz w:val="21"/>
                <w:szCs w:val="21"/>
              </w:rPr>
              <w:t> </w:t>
            </w:r>
          </w:p>
        </w:tc>
        <w:tc>
          <w:tcPr>
            <w:tcW w:w="1242" w:type="dxa"/>
            <w:tcBorders>
              <w:top w:val="nil"/>
              <w:left w:val="nil"/>
              <w:bottom w:val="single" w:sz="4" w:space="0" w:color="000000"/>
              <w:right w:val="single" w:sz="4" w:space="0" w:color="000000"/>
            </w:tcBorders>
            <w:shd w:val="clear" w:color="auto" w:fill="auto"/>
            <w:noWrap/>
            <w:vAlign w:val="center"/>
            <w:hideMark/>
          </w:tcPr>
          <w:p w14:paraId="3E2465FA" w14:textId="77777777" w:rsidR="00F9796A" w:rsidRPr="00F9796A" w:rsidRDefault="00F9796A" w:rsidP="003A7B71">
            <w:pPr>
              <w:keepNext/>
              <w:spacing w:after="0" w:line="240" w:lineRule="auto"/>
              <w:jc w:val="center"/>
              <w:rPr>
                <w:rFonts w:ascii="Calibri" w:eastAsia="Times New Roman" w:hAnsi="Calibri" w:cs="Calibri"/>
                <w:b/>
                <w:bCs/>
                <w:color w:val="000000"/>
              </w:rPr>
            </w:pPr>
            <w:r w:rsidRPr="00F9796A">
              <w:rPr>
                <w:rFonts w:ascii="Calibri" w:eastAsia="Times New Roman" w:hAnsi="Calibri" w:cs="Calibri"/>
                <w:b/>
                <w:bCs/>
                <w:color w:val="000000"/>
              </w:rPr>
              <w:t>2012</w:t>
            </w:r>
          </w:p>
        </w:tc>
        <w:tc>
          <w:tcPr>
            <w:tcW w:w="1095" w:type="dxa"/>
            <w:tcBorders>
              <w:top w:val="nil"/>
              <w:left w:val="nil"/>
              <w:bottom w:val="single" w:sz="4" w:space="0" w:color="000000"/>
              <w:right w:val="single" w:sz="4" w:space="0" w:color="000000"/>
            </w:tcBorders>
            <w:shd w:val="clear" w:color="auto" w:fill="auto"/>
            <w:noWrap/>
            <w:vAlign w:val="center"/>
            <w:hideMark/>
          </w:tcPr>
          <w:p w14:paraId="156909FB" w14:textId="77777777" w:rsidR="00F9796A" w:rsidRPr="00F9796A" w:rsidRDefault="00F9796A" w:rsidP="003A7B71">
            <w:pPr>
              <w:keepNext/>
              <w:spacing w:after="0" w:line="240" w:lineRule="auto"/>
              <w:jc w:val="center"/>
              <w:rPr>
                <w:rFonts w:ascii="Calibri" w:eastAsia="Times New Roman" w:hAnsi="Calibri" w:cs="Calibri"/>
                <w:b/>
                <w:bCs/>
                <w:color w:val="000000"/>
              </w:rPr>
            </w:pPr>
            <w:r w:rsidRPr="00F9796A">
              <w:rPr>
                <w:rFonts w:ascii="Calibri" w:eastAsia="Times New Roman" w:hAnsi="Calibri" w:cs="Calibri"/>
                <w:b/>
                <w:bCs/>
                <w:color w:val="000000"/>
              </w:rPr>
              <w:t>2013</w:t>
            </w:r>
          </w:p>
        </w:tc>
        <w:tc>
          <w:tcPr>
            <w:tcW w:w="1095" w:type="dxa"/>
            <w:tcBorders>
              <w:top w:val="nil"/>
              <w:left w:val="nil"/>
              <w:bottom w:val="single" w:sz="4" w:space="0" w:color="000000"/>
              <w:right w:val="single" w:sz="4" w:space="0" w:color="000000"/>
            </w:tcBorders>
            <w:shd w:val="clear" w:color="auto" w:fill="auto"/>
            <w:noWrap/>
            <w:vAlign w:val="center"/>
            <w:hideMark/>
          </w:tcPr>
          <w:p w14:paraId="79B093B5" w14:textId="77777777" w:rsidR="00F9796A" w:rsidRPr="00F9796A" w:rsidRDefault="00F9796A" w:rsidP="003A7B71">
            <w:pPr>
              <w:keepNext/>
              <w:spacing w:after="0" w:line="240" w:lineRule="auto"/>
              <w:jc w:val="center"/>
              <w:rPr>
                <w:rFonts w:ascii="Calibri" w:eastAsia="Times New Roman" w:hAnsi="Calibri" w:cs="Calibri"/>
                <w:b/>
                <w:bCs/>
                <w:color w:val="000000"/>
              </w:rPr>
            </w:pPr>
            <w:r w:rsidRPr="00F9796A">
              <w:rPr>
                <w:rFonts w:ascii="Calibri" w:eastAsia="Times New Roman" w:hAnsi="Calibri" w:cs="Calibri"/>
                <w:b/>
                <w:bCs/>
                <w:color w:val="000000"/>
              </w:rPr>
              <w:t>2014</w:t>
            </w:r>
          </w:p>
        </w:tc>
        <w:tc>
          <w:tcPr>
            <w:tcW w:w="1095" w:type="dxa"/>
            <w:tcBorders>
              <w:top w:val="nil"/>
              <w:left w:val="nil"/>
              <w:bottom w:val="single" w:sz="4" w:space="0" w:color="000000"/>
              <w:right w:val="single" w:sz="4" w:space="0" w:color="000000"/>
            </w:tcBorders>
            <w:shd w:val="clear" w:color="auto" w:fill="auto"/>
            <w:noWrap/>
            <w:vAlign w:val="center"/>
            <w:hideMark/>
          </w:tcPr>
          <w:p w14:paraId="061F896F" w14:textId="77777777" w:rsidR="00F9796A" w:rsidRPr="00F9796A" w:rsidRDefault="00F9796A" w:rsidP="003A7B71">
            <w:pPr>
              <w:keepNext/>
              <w:spacing w:after="0" w:line="240" w:lineRule="auto"/>
              <w:jc w:val="center"/>
              <w:rPr>
                <w:rFonts w:ascii="Calibri" w:eastAsia="Times New Roman" w:hAnsi="Calibri" w:cs="Calibri"/>
                <w:b/>
                <w:bCs/>
                <w:color w:val="000000"/>
              </w:rPr>
            </w:pPr>
            <w:r w:rsidRPr="00F9796A">
              <w:rPr>
                <w:rFonts w:ascii="Calibri" w:eastAsia="Times New Roman" w:hAnsi="Calibri" w:cs="Calibri"/>
                <w:b/>
                <w:bCs/>
                <w:color w:val="000000"/>
              </w:rPr>
              <w:t>2015</w:t>
            </w:r>
          </w:p>
        </w:tc>
        <w:tc>
          <w:tcPr>
            <w:tcW w:w="1211" w:type="dxa"/>
            <w:tcBorders>
              <w:top w:val="nil"/>
              <w:left w:val="nil"/>
              <w:bottom w:val="single" w:sz="4" w:space="0" w:color="000000"/>
              <w:right w:val="single" w:sz="4" w:space="0" w:color="000000"/>
            </w:tcBorders>
            <w:shd w:val="clear" w:color="auto" w:fill="auto"/>
            <w:noWrap/>
            <w:vAlign w:val="center"/>
            <w:hideMark/>
          </w:tcPr>
          <w:p w14:paraId="02E81269" w14:textId="77777777" w:rsidR="00F9796A" w:rsidRPr="00F9796A" w:rsidRDefault="00F9796A" w:rsidP="003A7B71">
            <w:pPr>
              <w:keepNext/>
              <w:spacing w:after="0" w:line="240" w:lineRule="auto"/>
              <w:jc w:val="center"/>
              <w:rPr>
                <w:rFonts w:ascii="Calibri" w:eastAsia="Times New Roman" w:hAnsi="Calibri" w:cs="Calibri"/>
                <w:b/>
                <w:bCs/>
                <w:color w:val="000000"/>
              </w:rPr>
            </w:pPr>
            <w:r w:rsidRPr="00F9796A">
              <w:rPr>
                <w:rFonts w:ascii="Calibri" w:eastAsia="Times New Roman" w:hAnsi="Calibri" w:cs="Calibri"/>
                <w:b/>
                <w:bCs/>
                <w:color w:val="000000"/>
              </w:rPr>
              <w:t>2016</w:t>
            </w:r>
          </w:p>
        </w:tc>
        <w:tc>
          <w:tcPr>
            <w:tcW w:w="1211" w:type="dxa"/>
            <w:tcBorders>
              <w:top w:val="nil"/>
              <w:left w:val="nil"/>
              <w:bottom w:val="single" w:sz="4" w:space="0" w:color="000000"/>
              <w:right w:val="single" w:sz="4" w:space="0" w:color="000000"/>
            </w:tcBorders>
            <w:shd w:val="clear" w:color="auto" w:fill="auto"/>
            <w:noWrap/>
            <w:vAlign w:val="center"/>
            <w:hideMark/>
          </w:tcPr>
          <w:p w14:paraId="1C170AA2" w14:textId="77777777" w:rsidR="00F9796A" w:rsidRPr="00F9796A" w:rsidRDefault="00F9796A" w:rsidP="003A7B71">
            <w:pPr>
              <w:keepNext/>
              <w:spacing w:after="0" w:line="240" w:lineRule="auto"/>
              <w:jc w:val="center"/>
              <w:rPr>
                <w:rFonts w:ascii="Calibri" w:eastAsia="Times New Roman" w:hAnsi="Calibri" w:cs="Calibri"/>
                <w:b/>
                <w:bCs/>
                <w:color w:val="000000"/>
              </w:rPr>
            </w:pPr>
            <w:r w:rsidRPr="00F9796A">
              <w:rPr>
                <w:rFonts w:ascii="Calibri" w:eastAsia="Times New Roman" w:hAnsi="Calibri" w:cs="Calibri"/>
                <w:b/>
                <w:bCs/>
                <w:color w:val="000000"/>
              </w:rPr>
              <w:t>2017</w:t>
            </w:r>
          </w:p>
        </w:tc>
      </w:tr>
      <w:tr w:rsidR="00CF3FE7" w:rsidRPr="00F9796A" w14:paraId="25515F76" w14:textId="77777777" w:rsidTr="00CF3FE7">
        <w:trPr>
          <w:trHeight w:val="301"/>
          <w:jc w:val="center"/>
        </w:trPr>
        <w:tc>
          <w:tcPr>
            <w:tcW w:w="1470" w:type="dxa"/>
            <w:tcBorders>
              <w:top w:val="nil"/>
              <w:left w:val="single" w:sz="4" w:space="0" w:color="000000"/>
              <w:bottom w:val="single" w:sz="4" w:space="0" w:color="000000"/>
              <w:right w:val="single" w:sz="4" w:space="0" w:color="000000"/>
            </w:tcBorders>
            <w:shd w:val="clear" w:color="auto" w:fill="auto"/>
            <w:vAlign w:val="bottom"/>
            <w:hideMark/>
          </w:tcPr>
          <w:p w14:paraId="7B39E9E5" w14:textId="77777777" w:rsidR="00F9796A" w:rsidRPr="00F9796A" w:rsidRDefault="00F9796A" w:rsidP="003A7B71">
            <w:pPr>
              <w:keepNext/>
              <w:spacing w:after="0" w:line="240" w:lineRule="auto"/>
              <w:rPr>
                <w:rFonts w:ascii="Calibri" w:eastAsia="Times New Roman" w:hAnsi="Calibri" w:cs="Calibri"/>
                <w:b/>
                <w:bCs/>
                <w:color w:val="000000"/>
              </w:rPr>
            </w:pPr>
            <w:r w:rsidRPr="00F9796A">
              <w:rPr>
                <w:rFonts w:ascii="Calibri" w:eastAsia="Times New Roman" w:hAnsi="Calibri" w:cs="Calibri"/>
                <w:b/>
                <w:bCs/>
                <w:color w:val="000000"/>
              </w:rPr>
              <w:t>Duquesne</w:t>
            </w:r>
          </w:p>
        </w:tc>
        <w:tc>
          <w:tcPr>
            <w:tcW w:w="1242" w:type="dxa"/>
            <w:tcBorders>
              <w:top w:val="nil"/>
              <w:left w:val="nil"/>
              <w:bottom w:val="single" w:sz="4" w:space="0" w:color="000000"/>
              <w:right w:val="single" w:sz="4" w:space="0" w:color="000000"/>
            </w:tcBorders>
            <w:shd w:val="clear" w:color="auto" w:fill="auto"/>
            <w:noWrap/>
            <w:vAlign w:val="bottom"/>
            <w:hideMark/>
          </w:tcPr>
          <w:p w14:paraId="77CEEA07" w14:textId="77777777" w:rsidR="00F9796A" w:rsidRPr="00F9796A" w:rsidRDefault="00F9796A" w:rsidP="003A7B71">
            <w:pPr>
              <w:keepNext/>
              <w:spacing w:after="0" w:line="240" w:lineRule="auto"/>
              <w:rPr>
                <w:rFonts w:ascii="Calibri" w:eastAsia="Times New Roman" w:hAnsi="Calibri" w:cs="Calibri"/>
                <w:sz w:val="21"/>
                <w:szCs w:val="21"/>
              </w:rPr>
            </w:pPr>
            <w:r w:rsidRPr="00F9796A">
              <w:rPr>
                <w:rFonts w:ascii="Calibri" w:eastAsia="Times New Roman" w:hAnsi="Calibri" w:cs="Calibri"/>
                <w:sz w:val="21"/>
                <w:szCs w:val="21"/>
              </w:rPr>
              <w:t xml:space="preserve">      525,683 </w:t>
            </w:r>
          </w:p>
        </w:tc>
        <w:tc>
          <w:tcPr>
            <w:tcW w:w="1095" w:type="dxa"/>
            <w:tcBorders>
              <w:top w:val="nil"/>
              <w:left w:val="nil"/>
              <w:bottom w:val="single" w:sz="4" w:space="0" w:color="000000"/>
              <w:right w:val="single" w:sz="4" w:space="0" w:color="000000"/>
            </w:tcBorders>
            <w:shd w:val="clear" w:color="auto" w:fill="auto"/>
            <w:noWrap/>
            <w:vAlign w:val="center"/>
            <w:hideMark/>
          </w:tcPr>
          <w:p w14:paraId="57F507DA"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526,817</w:t>
            </w:r>
          </w:p>
        </w:tc>
        <w:tc>
          <w:tcPr>
            <w:tcW w:w="1095" w:type="dxa"/>
            <w:tcBorders>
              <w:top w:val="nil"/>
              <w:left w:val="nil"/>
              <w:bottom w:val="single" w:sz="4" w:space="0" w:color="000000"/>
              <w:right w:val="single" w:sz="4" w:space="0" w:color="000000"/>
            </w:tcBorders>
            <w:shd w:val="clear" w:color="auto" w:fill="auto"/>
            <w:noWrap/>
            <w:vAlign w:val="center"/>
            <w:hideMark/>
          </w:tcPr>
          <w:p w14:paraId="6E3B1307"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527,390</w:t>
            </w:r>
          </w:p>
        </w:tc>
        <w:tc>
          <w:tcPr>
            <w:tcW w:w="1095" w:type="dxa"/>
            <w:tcBorders>
              <w:top w:val="nil"/>
              <w:left w:val="nil"/>
              <w:bottom w:val="single" w:sz="4" w:space="0" w:color="000000"/>
              <w:right w:val="single" w:sz="4" w:space="0" w:color="000000"/>
            </w:tcBorders>
            <w:shd w:val="clear" w:color="auto" w:fill="auto"/>
            <w:noWrap/>
            <w:vAlign w:val="bottom"/>
            <w:hideMark/>
          </w:tcPr>
          <w:p w14:paraId="6B55F5C4"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525,714</w:t>
            </w:r>
          </w:p>
        </w:tc>
        <w:tc>
          <w:tcPr>
            <w:tcW w:w="1211" w:type="dxa"/>
            <w:tcBorders>
              <w:top w:val="nil"/>
              <w:left w:val="nil"/>
              <w:bottom w:val="single" w:sz="4" w:space="0" w:color="000000"/>
              <w:right w:val="single" w:sz="4" w:space="0" w:color="000000"/>
            </w:tcBorders>
            <w:shd w:val="clear" w:color="auto" w:fill="auto"/>
            <w:vAlign w:val="bottom"/>
            <w:hideMark/>
          </w:tcPr>
          <w:p w14:paraId="5BC254B7"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526,283</w:t>
            </w:r>
          </w:p>
        </w:tc>
        <w:tc>
          <w:tcPr>
            <w:tcW w:w="1211" w:type="dxa"/>
            <w:tcBorders>
              <w:top w:val="nil"/>
              <w:left w:val="nil"/>
              <w:bottom w:val="single" w:sz="4" w:space="0" w:color="000000"/>
              <w:right w:val="single" w:sz="4" w:space="0" w:color="000000"/>
            </w:tcBorders>
            <w:shd w:val="clear" w:color="auto" w:fill="auto"/>
            <w:vAlign w:val="bottom"/>
            <w:hideMark/>
          </w:tcPr>
          <w:p w14:paraId="4938DBB4"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532,204</w:t>
            </w:r>
          </w:p>
        </w:tc>
      </w:tr>
      <w:tr w:rsidR="00CF3FE7" w:rsidRPr="00F9796A" w14:paraId="57311D02" w14:textId="77777777" w:rsidTr="00CF3FE7">
        <w:trPr>
          <w:trHeight w:val="301"/>
          <w:jc w:val="center"/>
        </w:trPr>
        <w:tc>
          <w:tcPr>
            <w:tcW w:w="1470" w:type="dxa"/>
            <w:tcBorders>
              <w:top w:val="nil"/>
              <w:left w:val="single" w:sz="4" w:space="0" w:color="000000"/>
              <w:bottom w:val="single" w:sz="4" w:space="0" w:color="000000"/>
              <w:right w:val="single" w:sz="4" w:space="0" w:color="000000"/>
            </w:tcBorders>
            <w:shd w:val="clear" w:color="auto" w:fill="auto"/>
            <w:vAlign w:val="bottom"/>
            <w:hideMark/>
          </w:tcPr>
          <w:p w14:paraId="3DC7E7E4" w14:textId="77777777" w:rsidR="00F9796A" w:rsidRPr="00F9796A" w:rsidRDefault="00F9796A" w:rsidP="003A7B71">
            <w:pPr>
              <w:keepNext/>
              <w:spacing w:after="0" w:line="240" w:lineRule="auto"/>
              <w:rPr>
                <w:rFonts w:ascii="Calibri" w:eastAsia="Times New Roman" w:hAnsi="Calibri" w:cs="Calibri"/>
                <w:b/>
                <w:bCs/>
                <w:color w:val="000000"/>
              </w:rPr>
            </w:pPr>
            <w:r w:rsidRPr="00F9796A">
              <w:rPr>
                <w:rFonts w:ascii="Calibri" w:eastAsia="Times New Roman" w:hAnsi="Calibri" w:cs="Calibri"/>
                <w:b/>
                <w:bCs/>
                <w:color w:val="000000"/>
              </w:rPr>
              <w:t>Met-Ed</w:t>
            </w:r>
          </w:p>
        </w:tc>
        <w:tc>
          <w:tcPr>
            <w:tcW w:w="1242" w:type="dxa"/>
            <w:tcBorders>
              <w:top w:val="nil"/>
              <w:left w:val="nil"/>
              <w:bottom w:val="single" w:sz="4" w:space="0" w:color="000000"/>
              <w:right w:val="single" w:sz="4" w:space="0" w:color="000000"/>
            </w:tcBorders>
            <w:shd w:val="clear" w:color="auto" w:fill="auto"/>
            <w:noWrap/>
            <w:vAlign w:val="bottom"/>
            <w:hideMark/>
          </w:tcPr>
          <w:p w14:paraId="3917EE3F" w14:textId="77777777" w:rsidR="00F9796A" w:rsidRPr="00F9796A" w:rsidRDefault="00F9796A" w:rsidP="003A7B71">
            <w:pPr>
              <w:keepNext/>
              <w:spacing w:after="0" w:line="240" w:lineRule="auto"/>
              <w:rPr>
                <w:rFonts w:ascii="Calibri" w:eastAsia="Times New Roman" w:hAnsi="Calibri" w:cs="Calibri"/>
                <w:color w:val="000000"/>
                <w:sz w:val="21"/>
                <w:szCs w:val="21"/>
              </w:rPr>
            </w:pPr>
            <w:r w:rsidRPr="00F9796A">
              <w:rPr>
                <w:rFonts w:ascii="Calibri" w:eastAsia="Times New Roman" w:hAnsi="Calibri" w:cs="Calibri"/>
                <w:color w:val="000000"/>
                <w:sz w:val="21"/>
                <w:szCs w:val="21"/>
              </w:rPr>
              <w:t xml:space="preserve">      487,312 </w:t>
            </w:r>
          </w:p>
        </w:tc>
        <w:tc>
          <w:tcPr>
            <w:tcW w:w="1095" w:type="dxa"/>
            <w:tcBorders>
              <w:top w:val="nil"/>
              <w:left w:val="nil"/>
              <w:bottom w:val="single" w:sz="4" w:space="0" w:color="000000"/>
              <w:right w:val="single" w:sz="4" w:space="0" w:color="000000"/>
            </w:tcBorders>
            <w:shd w:val="clear" w:color="auto" w:fill="auto"/>
            <w:noWrap/>
            <w:vAlign w:val="center"/>
            <w:hideMark/>
          </w:tcPr>
          <w:p w14:paraId="661BA740"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488,375</w:t>
            </w:r>
          </w:p>
        </w:tc>
        <w:tc>
          <w:tcPr>
            <w:tcW w:w="1095" w:type="dxa"/>
            <w:tcBorders>
              <w:top w:val="nil"/>
              <w:left w:val="nil"/>
              <w:bottom w:val="single" w:sz="4" w:space="0" w:color="000000"/>
              <w:right w:val="single" w:sz="4" w:space="0" w:color="000000"/>
            </w:tcBorders>
            <w:shd w:val="clear" w:color="auto" w:fill="auto"/>
            <w:noWrap/>
            <w:vAlign w:val="center"/>
            <w:hideMark/>
          </w:tcPr>
          <w:p w14:paraId="4DEC1D36"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490,059</w:t>
            </w:r>
          </w:p>
        </w:tc>
        <w:tc>
          <w:tcPr>
            <w:tcW w:w="1095" w:type="dxa"/>
            <w:tcBorders>
              <w:top w:val="nil"/>
              <w:left w:val="nil"/>
              <w:bottom w:val="single" w:sz="4" w:space="0" w:color="000000"/>
              <w:right w:val="single" w:sz="4" w:space="0" w:color="000000"/>
            </w:tcBorders>
            <w:shd w:val="clear" w:color="auto" w:fill="auto"/>
            <w:noWrap/>
            <w:vAlign w:val="bottom"/>
            <w:hideMark/>
          </w:tcPr>
          <w:p w14:paraId="76298E16"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492,501</w:t>
            </w:r>
          </w:p>
        </w:tc>
        <w:tc>
          <w:tcPr>
            <w:tcW w:w="1211" w:type="dxa"/>
            <w:tcBorders>
              <w:top w:val="nil"/>
              <w:left w:val="nil"/>
              <w:bottom w:val="single" w:sz="4" w:space="0" w:color="000000"/>
              <w:right w:val="single" w:sz="4" w:space="0" w:color="000000"/>
            </w:tcBorders>
            <w:shd w:val="clear" w:color="auto" w:fill="auto"/>
            <w:vAlign w:val="bottom"/>
            <w:hideMark/>
          </w:tcPr>
          <w:p w14:paraId="333CCA4B"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495,698</w:t>
            </w:r>
          </w:p>
        </w:tc>
        <w:tc>
          <w:tcPr>
            <w:tcW w:w="1211" w:type="dxa"/>
            <w:tcBorders>
              <w:top w:val="nil"/>
              <w:left w:val="nil"/>
              <w:bottom w:val="single" w:sz="4" w:space="0" w:color="000000"/>
              <w:right w:val="single" w:sz="4" w:space="0" w:color="000000"/>
            </w:tcBorders>
            <w:shd w:val="clear" w:color="auto" w:fill="auto"/>
            <w:vAlign w:val="bottom"/>
            <w:hideMark/>
          </w:tcPr>
          <w:p w14:paraId="3E297317"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499,192</w:t>
            </w:r>
          </w:p>
        </w:tc>
      </w:tr>
      <w:tr w:rsidR="00CF3FE7" w:rsidRPr="00F9796A" w14:paraId="5E059E62" w14:textId="77777777" w:rsidTr="00CF3FE7">
        <w:trPr>
          <w:trHeight w:val="301"/>
          <w:jc w:val="center"/>
        </w:trPr>
        <w:tc>
          <w:tcPr>
            <w:tcW w:w="1470" w:type="dxa"/>
            <w:tcBorders>
              <w:top w:val="nil"/>
              <w:left w:val="single" w:sz="4" w:space="0" w:color="000000"/>
              <w:bottom w:val="single" w:sz="4" w:space="0" w:color="000000"/>
              <w:right w:val="single" w:sz="4" w:space="0" w:color="000000"/>
            </w:tcBorders>
            <w:shd w:val="clear" w:color="auto" w:fill="auto"/>
            <w:vAlign w:val="bottom"/>
            <w:hideMark/>
          </w:tcPr>
          <w:p w14:paraId="1232C5E6" w14:textId="77777777" w:rsidR="00F9796A" w:rsidRPr="00F9796A" w:rsidRDefault="00F9796A" w:rsidP="003A7B71">
            <w:pPr>
              <w:keepNext/>
              <w:spacing w:after="0" w:line="240" w:lineRule="auto"/>
              <w:rPr>
                <w:rFonts w:ascii="Calibri" w:eastAsia="Times New Roman" w:hAnsi="Calibri" w:cs="Calibri"/>
                <w:b/>
                <w:bCs/>
                <w:color w:val="000000"/>
              </w:rPr>
            </w:pPr>
            <w:r w:rsidRPr="00F9796A">
              <w:rPr>
                <w:rFonts w:ascii="Calibri" w:eastAsia="Times New Roman" w:hAnsi="Calibri" w:cs="Calibri"/>
                <w:b/>
                <w:bCs/>
                <w:color w:val="000000"/>
              </w:rPr>
              <w:t>PECO Electric</w:t>
            </w:r>
          </w:p>
        </w:tc>
        <w:tc>
          <w:tcPr>
            <w:tcW w:w="1242" w:type="dxa"/>
            <w:tcBorders>
              <w:top w:val="nil"/>
              <w:left w:val="nil"/>
              <w:bottom w:val="single" w:sz="4" w:space="0" w:color="000000"/>
              <w:right w:val="single" w:sz="4" w:space="0" w:color="000000"/>
            </w:tcBorders>
            <w:shd w:val="clear" w:color="auto" w:fill="auto"/>
            <w:noWrap/>
            <w:vAlign w:val="bottom"/>
            <w:hideMark/>
          </w:tcPr>
          <w:p w14:paraId="40DEB8CF" w14:textId="77777777" w:rsidR="00F9796A" w:rsidRPr="00F9796A" w:rsidRDefault="00F9796A" w:rsidP="003A7B71">
            <w:pPr>
              <w:keepNext/>
              <w:spacing w:after="0" w:line="240" w:lineRule="auto"/>
              <w:rPr>
                <w:rFonts w:ascii="Calibri" w:eastAsia="Times New Roman" w:hAnsi="Calibri" w:cs="Calibri"/>
                <w:color w:val="000000"/>
                <w:sz w:val="21"/>
                <w:szCs w:val="21"/>
              </w:rPr>
            </w:pPr>
            <w:r w:rsidRPr="00F9796A">
              <w:rPr>
                <w:rFonts w:ascii="Calibri" w:eastAsia="Times New Roman" w:hAnsi="Calibri" w:cs="Calibri"/>
                <w:color w:val="000000"/>
                <w:sz w:val="21"/>
                <w:szCs w:val="21"/>
              </w:rPr>
              <w:t xml:space="preserve">  1,418,715 </w:t>
            </w:r>
          </w:p>
        </w:tc>
        <w:tc>
          <w:tcPr>
            <w:tcW w:w="1095" w:type="dxa"/>
            <w:tcBorders>
              <w:top w:val="nil"/>
              <w:left w:val="nil"/>
              <w:bottom w:val="single" w:sz="4" w:space="0" w:color="000000"/>
              <w:right w:val="single" w:sz="4" w:space="0" w:color="000000"/>
            </w:tcBorders>
            <w:shd w:val="clear" w:color="auto" w:fill="auto"/>
            <w:noWrap/>
            <w:vAlign w:val="center"/>
            <w:hideMark/>
          </w:tcPr>
          <w:p w14:paraId="3B64B624"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1,421,426</w:t>
            </w:r>
          </w:p>
        </w:tc>
        <w:tc>
          <w:tcPr>
            <w:tcW w:w="1095" w:type="dxa"/>
            <w:tcBorders>
              <w:top w:val="nil"/>
              <w:left w:val="nil"/>
              <w:bottom w:val="single" w:sz="4" w:space="0" w:color="000000"/>
              <w:right w:val="single" w:sz="4" w:space="0" w:color="000000"/>
            </w:tcBorders>
            <w:shd w:val="clear" w:color="auto" w:fill="auto"/>
            <w:noWrap/>
            <w:vAlign w:val="center"/>
            <w:hideMark/>
          </w:tcPr>
          <w:p w14:paraId="21AC4DDC"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1,430,397</w:t>
            </w:r>
          </w:p>
        </w:tc>
        <w:tc>
          <w:tcPr>
            <w:tcW w:w="1095" w:type="dxa"/>
            <w:tcBorders>
              <w:top w:val="nil"/>
              <w:left w:val="nil"/>
              <w:bottom w:val="single" w:sz="4" w:space="0" w:color="000000"/>
              <w:right w:val="single" w:sz="4" w:space="0" w:color="000000"/>
            </w:tcBorders>
            <w:shd w:val="clear" w:color="auto" w:fill="auto"/>
            <w:noWrap/>
            <w:vAlign w:val="bottom"/>
            <w:hideMark/>
          </w:tcPr>
          <w:p w14:paraId="6A33AF09"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1,440,188</w:t>
            </w:r>
          </w:p>
        </w:tc>
        <w:tc>
          <w:tcPr>
            <w:tcW w:w="1211" w:type="dxa"/>
            <w:tcBorders>
              <w:top w:val="nil"/>
              <w:left w:val="nil"/>
              <w:bottom w:val="single" w:sz="4" w:space="0" w:color="000000"/>
              <w:right w:val="single" w:sz="4" w:space="0" w:color="000000"/>
            </w:tcBorders>
            <w:shd w:val="clear" w:color="auto" w:fill="auto"/>
            <w:vAlign w:val="bottom"/>
            <w:hideMark/>
          </w:tcPr>
          <w:p w14:paraId="5BCEDC5C"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1,450,942</w:t>
            </w:r>
          </w:p>
        </w:tc>
        <w:tc>
          <w:tcPr>
            <w:tcW w:w="1211" w:type="dxa"/>
            <w:tcBorders>
              <w:top w:val="nil"/>
              <w:left w:val="nil"/>
              <w:bottom w:val="single" w:sz="4" w:space="0" w:color="000000"/>
              <w:right w:val="single" w:sz="4" w:space="0" w:color="000000"/>
            </w:tcBorders>
            <w:shd w:val="clear" w:color="auto" w:fill="auto"/>
            <w:vAlign w:val="bottom"/>
            <w:hideMark/>
          </w:tcPr>
          <w:p w14:paraId="29E8AB70"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1,463,266</w:t>
            </w:r>
          </w:p>
        </w:tc>
      </w:tr>
      <w:tr w:rsidR="00CF3FE7" w:rsidRPr="00F9796A" w14:paraId="704A038C" w14:textId="77777777" w:rsidTr="00CF3FE7">
        <w:trPr>
          <w:trHeight w:val="301"/>
          <w:jc w:val="center"/>
        </w:trPr>
        <w:tc>
          <w:tcPr>
            <w:tcW w:w="1470" w:type="dxa"/>
            <w:tcBorders>
              <w:top w:val="nil"/>
              <w:left w:val="single" w:sz="4" w:space="0" w:color="000000"/>
              <w:bottom w:val="single" w:sz="4" w:space="0" w:color="000000"/>
              <w:right w:val="single" w:sz="4" w:space="0" w:color="000000"/>
            </w:tcBorders>
            <w:shd w:val="clear" w:color="auto" w:fill="auto"/>
            <w:vAlign w:val="bottom"/>
            <w:hideMark/>
          </w:tcPr>
          <w:p w14:paraId="189A065F" w14:textId="77777777" w:rsidR="00F9796A" w:rsidRPr="00F9796A" w:rsidRDefault="00F9796A" w:rsidP="003A7B71">
            <w:pPr>
              <w:keepNext/>
              <w:spacing w:after="0" w:line="240" w:lineRule="auto"/>
              <w:rPr>
                <w:rFonts w:ascii="Calibri" w:eastAsia="Times New Roman" w:hAnsi="Calibri" w:cs="Calibri"/>
                <w:b/>
                <w:bCs/>
                <w:color w:val="000000"/>
              </w:rPr>
            </w:pPr>
            <w:proofErr w:type="spellStart"/>
            <w:r w:rsidRPr="00F9796A">
              <w:rPr>
                <w:rFonts w:ascii="Calibri" w:eastAsia="Times New Roman" w:hAnsi="Calibri" w:cs="Calibri"/>
                <w:b/>
                <w:bCs/>
                <w:color w:val="000000"/>
              </w:rPr>
              <w:t>Penelec</w:t>
            </w:r>
            <w:proofErr w:type="spellEnd"/>
          </w:p>
        </w:tc>
        <w:tc>
          <w:tcPr>
            <w:tcW w:w="1242" w:type="dxa"/>
            <w:tcBorders>
              <w:top w:val="nil"/>
              <w:left w:val="nil"/>
              <w:bottom w:val="single" w:sz="4" w:space="0" w:color="000000"/>
              <w:right w:val="single" w:sz="4" w:space="0" w:color="000000"/>
            </w:tcBorders>
            <w:shd w:val="clear" w:color="auto" w:fill="auto"/>
            <w:noWrap/>
            <w:vAlign w:val="bottom"/>
            <w:hideMark/>
          </w:tcPr>
          <w:p w14:paraId="67F32C26" w14:textId="77777777" w:rsidR="00F9796A" w:rsidRPr="00F9796A" w:rsidRDefault="00F9796A" w:rsidP="003A7B71">
            <w:pPr>
              <w:keepNext/>
              <w:spacing w:after="0" w:line="240" w:lineRule="auto"/>
              <w:rPr>
                <w:rFonts w:ascii="Calibri" w:eastAsia="Times New Roman" w:hAnsi="Calibri" w:cs="Calibri"/>
                <w:color w:val="000000"/>
                <w:sz w:val="21"/>
                <w:szCs w:val="21"/>
              </w:rPr>
            </w:pPr>
            <w:r w:rsidRPr="00F9796A">
              <w:rPr>
                <w:rFonts w:ascii="Calibri" w:eastAsia="Times New Roman" w:hAnsi="Calibri" w:cs="Calibri"/>
                <w:color w:val="000000"/>
                <w:sz w:val="21"/>
                <w:szCs w:val="21"/>
              </w:rPr>
              <w:t xml:space="preserve">      505,013 </w:t>
            </w:r>
          </w:p>
        </w:tc>
        <w:tc>
          <w:tcPr>
            <w:tcW w:w="1095" w:type="dxa"/>
            <w:tcBorders>
              <w:top w:val="nil"/>
              <w:left w:val="nil"/>
              <w:bottom w:val="single" w:sz="4" w:space="0" w:color="000000"/>
              <w:right w:val="single" w:sz="4" w:space="0" w:color="000000"/>
            </w:tcBorders>
            <w:shd w:val="clear" w:color="auto" w:fill="auto"/>
            <w:noWrap/>
            <w:vAlign w:val="center"/>
            <w:hideMark/>
          </w:tcPr>
          <w:p w14:paraId="76F18C23"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504,543</w:t>
            </w:r>
          </w:p>
        </w:tc>
        <w:tc>
          <w:tcPr>
            <w:tcW w:w="1095" w:type="dxa"/>
            <w:tcBorders>
              <w:top w:val="nil"/>
              <w:left w:val="nil"/>
              <w:bottom w:val="single" w:sz="4" w:space="0" w:color="000000"/>
              <w:right w:val="single" w:sz="4" w:space="0" w:color="000000"/>
            </w:tcBorders>
            <w:shd w:val="clear" w:color="auto" w:fill="auto"/>
            <w:noWrap/>
            <w:vAlign w:val="center"/>
            <w:hideMark/>
          </w:tcPr>
          <w:p w14:paraId="2B9A0EDB"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503,596</w:t>
            </w:r>
          </w:p>
        </w:tc>
        <w:tc>
          <w:tcPr>
            <w:tcW w:w="1095" w:type="dxa"/>
            <w:tcBorders>
              <w:top w:val="nil"/>
              <w:left w:val="nil"/>
              <w:bottom w:val="single" w:sz="4" w:space="0" w:color="000000"/>
              <w:right w:val="single" w:sz="4" w:space="0" w:color="000000"/>
            </w:tcBorders>
            <w:shd w:val="clear" w:color="auto" w:fill="auto"/>
            <w:noWrap/>
            <w:vAlign w:val="bottom"/>
            <w:hideMark/>
          </w:tcPr>
          <w:p w14:paraId="5038B003"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502,415</w:t>
            </w:r>
          </w:p>
        </w:tc>
        <w:tc>
          <w:tcPr>
            <w:tcW w:w="1211" w:type="dxa"/>
            <w:tcBorders>
              <w:top w:val="nil"/>
              <w:left w:val="nil"/>
              <w:bottom w:val="single" w:sz="4" w:space="0" w:color="000000"/>
              <w:right w:val="single" w:sz="4" w:space="0" w:color="000000"/>
            </w:tcBorders>
            <w:shd w:val="clear" w:color="auto" w:fill="auto"/>
            <w:vAlign w:val="bottom"/>
            <w:hideMark/>
          </w:tcPr>
          <w:p w14:paraId="29C555BB"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501,820</w:t>
            </w:r>
          </w:p>
        </w:tc>
        <w:tc>
          <w:tcPr>
            <w:tcW w:w="1211" w:type="dxa"/>
            <w:tcBorders>
              <w:top w:val="nil"/>
              <w:left w:val="nil"/>
              <w:bottom w:val="single" w:sz="4" w:space="0" w:color="000000"/>
              <w:right w:val="single" w:sz="4" w:space="0" w:color="000000"/>
            </w:tcBorders>
            <w:shd w:val="clear" w:color="auto" w:fill="auto"/>
            <w:vAlign w:val="bottom"/>
            <w:hideMark/>
          </w:tcPr>
          <w:p w14:paraId="1276BD54"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501,533</w:t>
            </w:r>
          </w:p>
        </w:tc>
      </w:tr>
      <w:tr w:rsidR="00CF3FE7" w:rsidRPr="00F9796A" w14:paraId="312807A4" w14:textId="77777777" w:rsidTr="00CF3FE7">
        <w:trPr>
          <w:trHeight w:val="301"/>
          <w:jc w:val="center"/>
        </w:trPr>
        <w:tc>
          <w:tcPr>
            <w:tcW w:w="1470" w:type="dxa"/>
            <w:tcBorders>
              <w:top w:val="nil"/>
              <w:left w:val="single" w:sz="4" w:space="0" w:color="000000"/>
              <w:bottom w:val="single" w:sz="4" w:space="0" w:color="000000"/>
              <w:right w:val="single" w:sz="4" w:space="0" w:color="000000"/>
            </w:tcBorders>
            <w:shd w:val="clear" w:color="auto" w:fill="auto"/>
            <w:vAlign w:val="bottom"/>
            <w:hideMark/>
          </w:tcPr>
          <w:p w14:paraId="62770F5D" w14:textId="77777777" w:rsidR="00F9796A" w:rsidRPr="00F9796A" w:rsidRDefault="00F9796A" w:rsidP="003A7B71">
            <w:pPr>
              <w:keepNext/>
              <w:spacing w:after="0" w:line="240" w:lineRule="auto"/>
              <w:rPr>
                <w:rFonts w:ascii="Calibri" w:eastAsia="Times New Roman" w:hAnsi="Calibri" w:cs="Calibri"/>
                <w:b/>
                <w:bCs/>
                <w:color w:val="000000"/>
              </w:rPr>
            </w:pPr>
            <w:r w:rsidRPr="00F9796A">
              <w:rPr>
                <w:rFonts w:ascii="Calibri" w:eastAsia="Times New Roman" w:hAnsi="Calibri" w:cs="Calibri"/>
                <w:b/>
                <w:bCs/>
                <w:color w:val="000000"/>
              </w:rPr>
              <w:t>Penn Power</w:t>
            </w:r>
          </w:p>
        </w:tc>
        <w:tc>
          <w:tcPr>
            <w:tcW w:w="1242" w:type="dxa"/>
            <w:tcBorders>
              <w:top w:val="nil"/>
              <w:left w:val="nil"/>
              <w:bottom w:val="single" w:sz="4" w:space="0" w:color="000000"/>
              <w:right w:val="single" w:sz="4" w:space="0" w:color="000000"/>
            </w:tcBorders>
            <w:shd w:val="clear" w:color="auto" w:fill="auto"/>
            <w:noWrap/>
            <w:vAlign w:val="bottom"/>
            <w:hideMark/>
          </w:tcPr>
          <w:p w14:paraId="0C954638" w14:textId="77777777" w:rsidR="00F9796A" w:rsidRPr="00F9796A" w:rsidRDefault="00F9796A" w:rsidP="003A7B71">
            <w:pPr>
              <w:keepNext/>
              <w:spacing w:after="0" w:line="240" w:lineRule="auto"/>
              <w:rPr>
                <w:rFonts w:ascii="Calibri" w:eastAsia="Times New Roman" w:hAnsi="Calibri" w:cs="Calibri"/>
                <w:sz w:val="21"/>
                <w:szCs w:val="21"/>
              </w:rPr>
            </w:pPr>
            <w:r w:rsidRPr="00F9796A">
              <w:rPr>
                <w:rFonts w:ascii="Calibri" w:eastAsia="Times New Roman" w:hAnsi="Calibri" w:cs="Calibri"/>
                <w:sz w:val="21"/>
                <w:szCs w:val="21"/>
              </w:rPr>
              <w:t xml:space="preserve">      140,666 </w:t>
            </w:r>
          </w:p>
        </w:tc>
        <w:tc>
          <w:tcPr>
            <w:tcW w:w="1095" w:type="dxa"/>
            <w:tcBorders>
              <w:top w:val="nil"/>
              <w:left w:val="nil"/>
              <w:bottom w:val="single" w:sz="4" w:space="0" w:color="000000"/>
              <w:right w:val="single" w:sz="4" w:space="0" w:color="000000"/>
            </w:tcBorders>
            <w:shd w:val="clear" w:color="auto" w:fill="auto"/>
            <w:noWrap/>
            <w:vAlign w:val="center"/>
            <w:hideMark/>
          </w:tcPr>
          <w:p w14:paraId="55B3873E"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141,147</w:t>
            </w:r>
          </w:p>
        </w:tc>
        <w:tc>
          <w:tcPr>
            <w:tcW w:w="1095" w:type="dxa"/>
            <w:tcBorders>
              <w:top w:val="nil"/>
              <w:left w:val="nil"/>
              <w:bottom w:val="single" w:sz="4" w:space="0" w:color="000000"/>
              <w:right w:val="single" w:sz="4" w:space="0" w:color="000000"/>
            </w:tcBorders>
            <w:shd w:val="clear" w:color="auto" w:fill="auto"/>
            <w:noWrap/>
            <w:vAlign w:val="center"/>
            <w:hideMark/>
          </w:tcPr>
          <w:p w14:paraId="63583880"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141,745</w:t>
            </w:r>
          </w:p>
        </w:tc>
        <w:tc>
          <w:tcPr>
            <w:tcW w:w="1095" w:type="dxa"/>
            <w:tcBorders>
              <w:top w:val="nil"/>
              <w:left w:val="nil"/>
              <w:bottom w:val="single" w:sz="4" w:space="0" w:color="000000"/>
              <w:right w:val="single" w:sz="4" w:space="0" w:color="000000"/>
            </w:tcBorders>
            <w:shd w:val="clear" w:color="auto" w:fill="auto"/>
            <w:noWrap/>
            <w:vAlign w:val="bottom"/>
            <w:hideMark/>
          </w:tcPr>
          <w:p w14:paraId="4A7C84AE"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142,591</w:t>
            </w:r>
          </w:p>
        </w:tc>
        <w:tc>
          <w:tcPr>
            <w:tcW w:w="1211" w:type="dxa"/>
            <w:tcBorders>
              <w:top w:val="nil"/>
              <w:left w:val="nil"/>
              <w:bottom w:val="single" w:sz="4" w:space="0" w:color="000000"/>
              <w:right w:val="single" w:sz="4" w:space="0" w:color="000000"/>
            </w:tcBorders>
            <w:shd w:val="clear" w:color="auto" w:fill="auto"/>
            <w:vAlign w:val="bottom"/>
            <w:hideMark/>
          </w:tcPr>
          <w:p w14:paraId="25FADC8E"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143,536</w:t>
            </w:r>
          </w:p>
        </w:tc>
        <w:tc>
          <w:tcPr>
            <w:tcW w:w="1211" w:type="dxa"/>
            <w:tcBorders>
              <w:top w:val="nil"/>
              <w:left w:val="nil"/>
              <w:bottom w:val="single" w:sz="4" w:space="0" w:color="000000"/>
              <w:right w:val="single" w:sz="4" w:space="0" w:color="000000"/>
            </w:tcBorders>
            <w:shd w:val="clear" w:color="auto" w:fill="auto"/>
            <w:vAlign w:val="bottom"/>
            <w:hideMark/>
          </w:tcPr>
          <w:p w14:paraId="23EC0928"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144,286</w:t>
            </w:r>
          </w:p>
        </w:tc>
      </w:tr>
      <w:tr w:rsidR="00CF3FE7" w:rsidRPr="00F9796A" w14:paraId="4ED813CD" w14:textId="77777777" w:rsidTr="00CF3FE7">
        <w:trPr>
          <w:trHeight w:val="301"/>
          <w:jc w:val="center"/>
        </w:trPr>
        <w:tc>
          <w:tcPr>
            <w:tcW w:w="1470" w:type="dxa"/>
            <w:tcBorders>
              <w:top w:val="nil"/>
              <w:left w:val="single" w:sz="4" w:space="0" w:color="000000"/>
              <w:bottom w:val="single" w:sz="4" w:space="0" w:color="000000"/>
              <w:right w:val="single" w:sz="4" w:space="0" w:color="000000"/>
            </w:tcBorders>
            <w:shd w:val="clear" w:color="auto" w:fill="auto"/>
            <w:vAlign w:val="bottom"/>
            <w:hideMark/>
          </w:tcPr>
          <w:p w14:paraId="67B9FCB0" w14:textId="77777777" w:rsidR="00F9796A" w:rsidRPr="00F9796A" w:rsidRDefault="00F9796A" w:rsidP="003A7B71">
            <w:pPr>
              <w:keepNext/>
              <w:spacing w:after="0" w:line="240" w:lineRule="auto"/>
              <w:rPr>
                <w:rFonts w:ascii="Calibri" w:eastAsia="Times New Roman" w:hAnsi="Calibri" w:cs="Calibri"/>
                <w:b/>
                <w:bCs/>
                <w:color w:val="000000"/>
              </w:rPr>
            </w:pPr>
            <w:r w:rsidRPr="00F9796A">
              <w:rPr>
                <w:rFonts w:ascii="Calibri" w:eastAsia="Times New Roman" w:hAnsi="Calibri" w:cs="Calibri"/>
                <w:b/>
                <w:bCs/>
                <w:color w:val="000000"/>
              </w:rPr>
              <w:t>PPL</w:t>
            </w:r>
          </w:p>
        </w:tc>
        <w:tc>
          <w:tcPr>
            <w:tcW w:w="1242" w:type="dxa"/>
            <w:tcBorders>
              <w:top w:val="nil"/>
              <w:left w:val="nil"/>
              <w:bottom w:val="single" w:sz="4" w:space="0" w:color="000000"/>
              <w:right w:val="single" w:sz="4" w:space="0" w:color="000000"/>
            </w:tcBorders>
            <w:shd w:val="clear" w:color="auto" w:fill="auto"/>
            <w:noWrap/>
            <w:vAlign w:val="bottom"/>
            <w:hideMark/>
          </w:tcPr>
          <w:p w14:paraId="651FCB2B" w14:textId="77777777" w:rsidR="00F9796A" w:rsidRPr="00F9796A" w:rsidRDefault="00F9796A" w:rsidP="003A7B71">
            <w:pPr>
              <w:keepNext/>
              <w:spacing w:after="0" w:line="240" w:lineRule="auto"/>
              <w:rPr>
                <w:rFonts w:ascii="Calibri" w:eastAsia="Times New Roman" w:hAnsi="Calibri" w:cs="Calibri"/>
                <w:color w:val="000000"/>
                <w:sz w:val="21"/>
                <w:szCs w:val="21"/>
              </w:rPr>
            </w:pPr>
            <w:r w:rsidRPr="00F9796A">
              <w:rPr>
                <w:rFonts w:ascii="Calibri" w:eastAsia="Times New Roman" w:hAnsi="Calibri" w:cs="Calibri"/>
                <w:color w:val="000000"/>
                <w:sz w:val="21"/>
                <w:szCs w:val="21"/>
              </w:rPr>
              <w:t xml:space="preserve">  1,215,950 </w:t>
            </w:r>
          </w:p>
        </w:tc>
        <w:tc>
          <w:tcPr>
            <w:tcW w:w="1095" w:type="dxa"/>
            <w:tcBorders>
              <w:top w:val="nil"/>
              <w:left w:val="nil"/>
              <w:bottom w:val="single" w:sz="4" w:space="0" w:color="000000"/>
              <w:right w:val="single" w:sz="4" w:space="0" w:color="000000"/>
            </w:tcBorders>
            <w:shd w:val="clear" w:color="auto" w:fill="auto"/>
            <w:noWrap/>
            <w:vAlign w:val="center"/>
            <w:hideMark/>
          </w:tcPr>
          <w:p w14:paraId="0FC22BA8"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1,218,734</w:t>
            </w:r>
          </w:p>
        </w:tc>
        <w:tc>
          <w:tcPr>
            <w:tcW w:w="1095" w:type="dxa"/>
            <w:tcBorders>
              <w:top w:val="nil"/>
              <w:left w:val="nil"/>
              <w:bottom w:val="single" w:sz="4" w:space="0" w:color="000000"/>
              <w:right w:val="single" w:sz="4" w:space="0" w:color="000000"/>
            </w:tcBorders>
            <w:shd w:val="clear" w:color="auto" w:fill="auto"/>
            <w:noWrap/>
            <w:vAlign w:val="center"/>
            <w:hideMark/>
          </w:tcPr>
          <w:p w14:paraId="27118940"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1,221,960</w:t>
            </w:r>
          </w:p>
        </w:tc>
        <w:tc>
          <w:tcPr>
            <w:tcW w:w="1095" w:type="dxa"/>
            <w:tcBorders>
              <w:top w:val="nil"/>
              <w:left w:val="nil"/>
              <w:bottom w:val="single" w:sz="4" w:space="0" w:color="000000"/>
              <w:right w:val="single" w:sz="4" w:space="0" w:color="000000"/>
            </w:tcBorders>
            <w:shd w:val="clear" w:color="auto" w:fill="auto"/>
            <w:noWrap/>
            <w:vAlign w:val="bottom"/>
            <w:hideMark/>
          </w:tcPr>
          <w:p w14:paraId="66CB1F16"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1,226,583</w:t>
            </w:r>
          </w:p>
        </w:tc>
        <w:tc>
          <w:tcPr>
            <w:tcW w:w="1211" w:type="dxa"/>
            <w:tcBorders>
              <w:top w:val="nil"/>
              <w:left w:val="nil"/>
              <w:bottom w:val="single" w:sz="4" w:space="0" w:color="000000"/>
              <w:right w:val="single" w:sz="4" w:space="0" w:color="000000"/>
            </w:tcBorders>
            <w:shd w:val="clear" w:color="auto" w:fill="auto"/>
            <w:vAlign w:val="bottom"/>
            <w:hideMark/>
          </w:tcPr>
          <w:p w14:paraId="197469BC"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1,231,155</w:t>
            </w:r>
          </w:p>
        </w:tc>
        <w:tc>
          <w:tcPr>
            <w:tcW w:w="1211" w:type="dxa"/>
            <w:tcBorders>
              <w:top w:val="nil"/>
              <w:left w:val="nil"/>
              <w:bottom w:val="single" w:sz="4" w:space="0" w:color="000000"/>
              <w:right w:val="single" w:sz="4" w:space="0" w:color="000000"/>
            </w:tcBorders>
            <w:shd w:val="clear" w:color="auto" w:fill="auto"/>
            <w:vAlign w:val="bottom"/>
            <w:hideMark/>
          </w:tcPr>
          <w:p w14:paraId="22090380"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1,223,076</w:t>
            </w:r>
          </w:p>
        </w:tc>
      </w:tr>
      <w:tr w:rsidR="00CF3FE7" w:rsidRPr="00F9796A" w14:paraId="24C4A547" w14:textId="77777777" w:rsidTr="00CF3FE7">
        <w:trPr>
          <w:trHeight w:val="301"/>
          <w:jc w:val="center"/>
        </w:trPr>
        <w:tc>
          <w:tcPr>
            <w:tcW w:w="1470" w:type="dxa"/>
            <w:tcBorders>
              <w:top w:val="nil"/>
              <w:left w:val="single" w:sz="4" w:space="0" w:color="000000"/>
              <w:bottom w:val="single" w:sz="4" w:space="0" w:color="000000"/>
              <w:right w:val="single" w:sz="4" w:space="0" w:color="000000"/>
            </w:tcBorders>
            <w:shd w:val="clear" w:color="auto" w:fill="auto"/>
            <w:vAlign w:val="bottom"/>
            <w:hideMark/>
          </w:tcPr>
          <w:p w14:paraId="527C7231" w14:textId="77777777" w:rsidR="00F9796A" w:rsidRPr="00F9796A" w:rsidRDefault="00F9796A" w:rsidP="003A7B71">
            <w:pPr>
              <w:keepNext/>
              <w:spacing w:after="0" w:line="240" w:lineRule="auto"/>
              <w:rPr>
                <w:rFonts w:ascii="Calibri" w:eastAsia="Times New Roman" w:hAnsi="Calibri" w:cs="Calibri"/>
                <w:b/>
                <w:bCs/>
                <w:color w:val="000000"/>
              </w:rPr>
            </w:pPr>
            <w:r w:rsidRPr="00F9796A">
              <w:rPr>
                <w:rFonts w:ascii="Calibri" w:eastAsia="Times New Roman" w:hAnsi="Calibri" w:cs="Calibri"/>
                <w:b/>
                <w:bCs/>
                <w:color w:val="000000"/>
              </w:rPr>
              <w:t>West Penn</w:t>
            </w:r>
          </w:p>
        </w:tc>
        <w:tc>
          <w:tcPr>
            <w:tcW w:w="1242" w:type="dxa"/>
            <w:tcBorders>
              <w:top w:val="nil"/>
              <w:left w:val="nil"/>
              <w:bottom w:val="single" w:sz="4" w:space="0" w:color="000000"/>
              <w:right w:val="single" w:sz="4" w:space="0" w:color="000000"/>
            </w:tcBorders>
            <w:shd w:val="clear" w:color="auto" w:fill="auto"/>
            <w:noWrap/>
            <w:vAlign w:val="bottom"/>
            <w:hideMark/>
          </w:tcPr>
          <w:p w14:paraId="0B35B006" w14:textId="77777777" w:rsidR="00F9796A" w:rsidRPr="00F9796A" w:rsidRDefault="00F9796A" w:rsidP="003A7B71">
            <w:pPr>
              <w:keepNext/>
              <w:spacing w:after="0" w:line="240" w:lineRule="auto"/>
              <w:rPr>
                <w:rFonts w:ascii="Calibri" w:eastAsia="Times New Roman" w:hAnsi="Calibri" w:cs="Calibri"/>
                <w:color w:val="000000"/>
                <w:sz w:val="21"/>
                <w:szCs w:val="21"/>
              </w:rPr>
            </w:pPr>
            <w:r w:rsidRPr="00F9796A">
              <w:rPr>
                <w:rFonts w:ascii="Calibri" w:eastAsia="Times New Roman" w:hAnsi="Calibri" w:cs="Calibri"/>
                <w:color w:val="000000"/>
                <w:sz w:val="21"/>
                <w:szCs w:val="21"/>
              </w:rPr>
              <w:t xml:space="preserve">      618,033 </w:t>
            </w:r>
          </w:p>
        </w:tc>
        <w:tc>
          <w:tcPr>
            <w:tcW w:w="1095" w:type="dxa"/>
            <w:tcBorders>
              <w:top w:val="nil"/>
              <w:left w:val="nil"/>
              <w:bottom w:val="single" w:sz="4" w:space="0" w:color="000000"/>
              <w:right w:val="single" w:sz="4" w:space="0" w:color="000000"/>
            </w:tcBorders>
            <w:shd w:val="clear" w:color="auto" w:fill="auto"/>
            <w:noWrap/>
            <w:vAlign w:val="center"/>
            <w:hideMark/>
          </w:tcPr>
          <w:p w14:paraId="25AE9113"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619,531</w:t>
            </w:r>
          </w:p>
        </w:tc>
        <w:tc>
          <w:tcPr>
            <w:tcW w:w="1095" w:type="dxa"/>
            <w:tcBorders>
              <w:top w:val="nil"/>
              <w:left w:val="nil"/>
              <w:bottom w:val="single" w:sz="4" w:space="0" w:color="000000"/>
              <w:right w:val="single" w:sz="4" w:space="0" w:color="000000"/>
            </w:tcBorders>
            <w:shd w:val="clear" w:color="auto" w:fill="auto"/>
            <w:noWrap/>
            <w:vAlign w:val="center"/>
            <w:hideMark/>
          </w:tcPr>
          <w:p w14:paraId="350056E7"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621,020</w:t>
            </w:r>
          </w:p>
        </w:tc>
        <w:tc>
          <w:tcPr>
            <w:tcW w:w="1095" w:type="dxa"/>
            <w:tcBorders>
              <w:top w:val="nil"/>
              <w:left w:val="nil"/>
              <w:bottom w:val="single" w:sz="4" w:space="0" w:color="000000"/>
              <w:right w:val="single" w:sz="4" w:space="0" w:color="000000"/>
            </w:tcBorders>
            <w:shd w:val="clear" w:color="auto" w:fill="auto"/>
            <w:noWrap/>
            <w:vAlign w:val="bottom"/>
            <w:hideMark/>
          </w:tcPr>
          <w:p w14:paraId="69129CF4"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622,404</w:t>
            </w:r>
          </w:p>
        </w:tc>
        <w:tc>
          <w:tcPr>
            <w:tcW w:w="1211" w:type="dxa"/>
            <w:tcBorders>
              <w:top w:val="nil"/>
              <w:left w:val="nil"/>
              <w:bottom w:val="single" w:sz="4" w:space="0" w:color="000000"/>
              <w:right w:val="single" w:sz="4" w:space="0" w:color="000000"/>
            </w:tcBorders>
            <w:shd w:val="clear" w:color="auto" w:fill="auto"/>
            <w:vAlign w:val="bottom"/>
            <w:hideMark/>
          </w:tcPr>
          <w:p w14:paraId="0A1C2FF5"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623,830</w:t>
            </w:r>
          </w:p>
        </w:tc>
        <w:tc>
          <w:tcPr>
            <w:tcW w:w="1211" w:type="dxa"/>
            <w:tcBorders>
              <w:top w:val="nil"/>
              <w:left w:val="nil"/>
              <w:bottom w:val="single" w:sz="4" w:space="0" w:color="000000"/>
              <w:right w:val="single" w:sz="4" w:space="0" w:color="000000"/>
            </w:tcBorders>
            <w:shd w:val="clear" w:color="auto" w:fill="auto"/>
            <w:vAlign w:val="bottom"/>
            <w:hideMark/>
          </w:tcPr>
          <w:p w14:paraId="76689262" w14:textId="77777777" w:rsidR="00F9796A" w:rsidRPr="00F9796A" w:rsidRDefault="00F9796A" w:rsidP="003A7B71">
            <w:pPr>
              <w:keepNext/>
              <w:spacing w:after="0" w:line="240" w:lineRule="auto"/>
              <w:jc w:val="center"/>
              <w:rPr>
                <w:rFonts w:ascii="Calibri" w:eastAsia="Times New Roman" w:hAnsi="Calibri" w:cs="Calibri"/>
                <w:color w:val="000000"/>
                <w:sz w:val="21"/>
                <w:szCs w:val="21"/>
              </w:rPr>
            </w:pPr>
            <w:r w:rsidRPr="00F9796A">
              <w:rPr>
                <w:rFonts w:ascii="Calibri" w:eastAsia="Times New Roman" w:hAnsi="Calibri" w:cs="Calibri"/>
                <w:color w:val="000000"/>
                <w:sz w:val="21"/>
                <w:szCs w:val="21"/>
              </w:rPr>
              <w:t>624,914</w:t>
            </w:r>
          </w:p>
        </w:tc>
      </w:tr>
      <w:tr w:rsidR="00F9796A" w:rsidRPr="00F9796A" w14:paraId="10CF0F73" w14:textId="77777777" w:rsidTr="00CF3FE7">
        <w:trPr>
          <w:trHeight w:val="316"/>
          <w:jc w:val="center"/>
        </w:trPr>
        <w:tc>
          <w:tcPr>
            <w:tcW w:w="8422" w:type="dxa"/>
            <w:gridSpan w:val="7"/>
            <w:tcBorders>
              <w:top w:val="single" w:sz="4" w:space="0" w:color="000000"/>
              <w:left w:val="nil"/>
              <w:bottom w:val="nil"/>
              <w:right w:val="nil"/>
            </w:tcBorders>
            <w:shd w:val="clear" w:color="auto" w:fill="auto"/>
            <w:noWrap/>
            <w:vAlign w:val="center"/>
            <w:hideMark/>
          </w:tcPr>
          <w:p w14:paraId="27054905" w14:textId="77777777" w:rsidR="00F9796A" w:rsidRPr="00F9796A" w:rsidRDefault="00F9796A" w:rsidP="00F9796A">
            <w:pPr>
              <w:spacing w:after="0" w:line="240" w:lineRule="auto"/>
              <w:rPr>
                <w:rFonts w:ascii="Times New Roman" w:eastAsia="Times New Roman" w:hAnsi="Times New Roman" w:cs="Times New Roman"/>
                <w:color w:val="000000"/>
                <w:sz w:val="24"/>
                <w:szCs w:val="24"/>
              </w:rPr>
            </w:pPr>
            <w:r w:rsidRPr="00F9796A">
              <w:rPr>
                <w:rFonts w:ascii="Times New Roman" w:eastAsia="Times New Roman" w:hAnsi="Times New Roman" w:cs="Times New Roman"/>
                <w:color w:val="000000"/>
                <w:sz w:val="24"/>
                <w:szCs w:val="24"/>
              </w:rPr>
              <w:t>Source: Universal Service Programs &amp; Collections Performance Reports 2012-2017</w:t>
            </w:r>
            <w:proofErr w:type="gramStart"/>
            <w:r w:rsidRPr="00F9796A">
              <w:rPr>
                <w:rFonts w:ascii="Times New Roman" w:eastAsia="Times New Roman" w:hAnsi="Times New Roman" w:cs="Times New Roman"/>
                <w:color w:val="000000"/>
                <w:sz w:val="24"/>
                <w:szCs w:val="24"/>
              </w:rPr>
              <w:t xml:space="preserve">. </w:t>
            </w:r>
            <w:proofErr w:type="gramEnd"/>
          </w:p>
        </w:tc>
      </w:tr>
    </w:tbl>
    <w:p w14:paraId="7E8A1227" w14:textId="77777777" w:rsidR="00F303E0" w:rsidRPr="00EE5714" w:rsidRDefault="00F303E0" w:rsidP="007D7A46">
      <w:pPr>
        <w:pStyle w:val="NoSpacing"/>
        <w:rPr>
          <w:rFonts w:cs="Times New Roman"/>
          <w:szCs w:val="26"/>
        </w:rPr>
      </w:pPr>
    </w:p>
    <w:p w14:paraId="51812A25" w14:textId="265C7578" w:rsidR="00F303E0" w:rsidRPr="00EE5714" w:rsidRDefault="00F734A0" w:rsidP="00500E02">
      <w:pPr>
        <w:pStyle w:val="NoSpacing"/>
        <w:ind w:firstLine="720"/>
        <w:rPr>
          <w:rFonts w:cs="Times New Roman"/>
          <w:sz w:val="24"/>
          <w:szCs w:val="24"/>
        </w:rPr>
      </w:pPr>
      <w:r w:rsidRPr="00EE5714">
        <w:rPr>
          <w:rFonts w:cs="Times New Roman"/>
          <w:szCs w:val="26"/>
        </w:rPr>
        <w:t>Appendix 9</w:t>
      </w:r>
      <w:r w:rsidR="00F303E0" w:rsidRPr="00EE5714">
        <w:rPr>
          <w:rFonts w:cs="Times New Roman"/>
          <w:szCs w:val="26"/>
        </w:rPr>
        <w:t xml:space="preserve">.C.2: </w:t>
      </w:r>
      <w:r w:rsidR="00F303E0" w:rsidRPr="00EE5714">
        <w:rPr>
          <w:rFonts w:eastAsia="Times New Roman" w:cs="Times New Roman"/>
          <w:b/>
          <w:bCs/>
          <w:color w:val="000000"/>
          <w:szCs w:val="26"/>
        </w:rPr>
        <w:t xml:space="preserve">EDC </w:t>
      </w:r>
      <w:r w:rsidR="00185A5D">
        <w:rPr>
          <w:rFonts w:eastAsia="Times New Roman" w:cs="Times New Roman"/>
          <w:b/>
          <w:bCs/>
          <w:color w:val="000000"/>
          <w:szCs w:val="26"/>
        </w:rPr>
        <w:t xml:space="preserve">Annual </w:t>
      </w:r>
      <w:r w:rsidR="00F303E0" w:rsidRPr="00EE5714">
        <w:rPr>
          <w:rFonts w:eastAsia="Times New Roman" w:cs="Times New Roman"/>
          <w:b/>
          <w:bCs/>
          <w:color w:val="000000"/>
          <w:szCs w:val="26"/>
        </w:rPr>
        <w:t>Average CAP Enrollment</w:t>
      </w:r>
      <w:r w:rsidR="00F303E0" w:rsidRPr="00EE5714">
        <w:rPr>
          <w:rFonts w:cs="Times New Roman"/>
          <w:szCs w:val="26"/>
        </w:rPr>
        <w:t xml:space="preserve"> </w:t>
      </w:r>
    </w:p>
    <w:tbl>
      <w:tblPr>
        <w:tblW w:w="8420" w:type="dxa"/>
        <w:jc w:val="center"/>
        <w:tblLook w:val="04A0" w:firstRow="1" w:lastRow="0" w:firstColumn="1" w:lastColumn="0" w:noHBand="0" w:noVBand="1"/>
      </w:tblPr>
      <w:tblGrid>
        <w:gridCol w:w="1627"/>
        <w:gridCol w:w="1278"/>
        <w:gridCol w:w="991"/>
        <w:gridCol w:w="991"/>
        <w:gridCol w:w="991"/>
        <w:gridCol w:w="1388"/>
        <w:gridCol w:w="1154"/>
      </w:tblGrid>
      <w:tr w:rsidR="00301505" w:rsidRPr="00301505" w14:paraId="0BF09666" w14:textId="77777777" w:rsidTr="00E87077">
        <w:trPr>
          <w:trHeight w:val="300"/>
          <w:jc w:val="center"/>
        </w:trPr>
        <w:tc>
          <w:tcPr>
            <w:tcW w:w="8420" w:type="dxa"/>
            <w:gridSpan w:val="7"/>
            <w:tcBorders>
              <w:top w:val="nil"/>
              <w:left w:val="single" w:sz="4" w:space="0" w:color="000000"/>
              <w:bottom w:val="single" w:sz="4" w:space="0" w:color="000000"/>
              <w:right w:val="nil"/>
            </w:tcBorders>
            <w:shd w:val="clear" w:color="000000" w:fill="BFBFBF"/>
            <w:noWrap/>
            <w:vAlign w:val="center"/>
            <w:hideMark/>
          </w:tcPr>
          <w:p w14:paraId="4CDB163A" w14:textId="77777777" w:rsidR="00301505" w:rsidRPr="00301505" w:rsidRDefault="00301505" w:rsidP="00301505">
            <w:pPr>
              <w:spacing w:after="0" w:line="240" w:lineRule="auto"/>
              <w:jc w:val="center"/>
              <w:rPr>
                <w:rFonts w:ascii="Calibri" w:eastAsia="Times New Roman" w:hAnsi="Calibri" w:cs="Calibri"/>
                <w:b/>
                <w:bCs/>
                <w:color w:val="000000"/>
              </w:rPr>
            </w:pPr>
            <w:r w:rsidRPr="00301505">
              <w:rPr>
                <w:rFonts w:ascii="Calibri" w:eastAsia="Times New Roman" w:hAnsi="Calibri" w:cs="Calibri"/>
                <w:b/>
                <w:bCs/>
                <w:color w:val="000000"/>
              </w:rPr>
              <w:t>EDC Average CAP Enrollment</w:t>
            </w:r>
          </w:p>
        </w:tc>
      </w:tr>
      <w:tr w:rsidR="00301505" w:rsidRPr="00301505" w14:paraId="55280A91" w14:textId="77777777" w:rsidTr="00E87077">
        <w:trPr>
          <w:trHeight w:val="300"/>
          <w:jc w:val="center"/>
        </w:trPr>
        <w:tc>
          <w:tcPr>
            <w:tcW w:w="1627" w:type="dxa"/>
            <w:tcBorders>
              <w:top w:val="nil"/>
              <w:left w:val="single" w:sz="4" w:space="0" w:color="000000"/>
              <w:bottom w:val="single" w:sz="4" w:space="0" w:color="000000"/>
              <w:right w:val="single" w:sz="4" w:space="0" w:color="000000"/>
            </w:tcBorders>
            <w:shd w:val="clear" w:color="auto" w:fill="auto"/>
            <w:noWrap/>
            <w:vAlign w:val="center"/>
            <w:hideMark/>
          </w:tcPr>
          <w:p w14:paraId="27C68D0A" w14:textId="77777777" w:rsidR="00301505" w:rsidRPr="00301505" w:rsidRDefault="00301505" w:rsidP="00301505">
            <w:pPr>
              <w:spacing w:after="0" w:line="240" w:lineRule="auto"/>
              <w:jc w:val="center"/>
              <w:rPr>
                <w:rFonts w:ascii="Calibri" w:eastAsia="Times New Roman" w:hAnsi="Calibri" w:cs="Calibri"/>
                <w:b/>
                <w:bCs/>
                <w:i/>
                <w:iCs/>
                <w:color w:val="000000"/>
                <w:sz w:val="21"/>
                <w:szCs w:val="21"/>
              </w:rPr>
            </w:pPr>
            <w:r w:rsidRPr="00301505">
              <w:rPr>
                <w:rFonts w:ascii="Calibri" w:eastAsia="Times New Roman" w:hAnsi="Calibri" w:cs="Calibri"/>
                <w:b/>
                <w:bCs/>
                <w:i/>
                <w:iCs/>
                <w:color w:val="000000"/>
                <w:sz w:val="21"/>
                <w:szCs w:val="21"/>
              </w:rPr>
              <w:t> </w:t>
            </w:r>
          </w:p>
        </w:tc>
        <w:tc>
          <w:tcPr>
            <w:tcW w:w="1278" w:type="dxa"/>
            <w:tcBorders>
              <w:top w:val="nil"/>
              <w:left w:val="nil"/>
              <w:bottom w:val="single" w:sz="4" w:space="0" w:color="000000"/>
              <w:right w:val="single" w:sz="4" w:space="0" w:color="000000"/>
            </w:tcBorders>
            <w:shd w:val="clear" w:color="auto" w:fill="auto"/>
            <w:noWrap/>
            <w:vAlign w:val="center"/>
            <w:hideMark/>
          </w:tcPr>
          <w:p w14:paraId="071D8523" w14:textId="77777777" w:rsidR="00301505" w:rsidRPr="00301505" w:rsidRDefault="00301505" w:rsidP="00301505">
            <w:pPr>
              <w:spacing w:after="0" w:line="240" w:lineRule="auto"/>
              <w:jc w:val="center"/>
              <w:rPr>
                <w:rFonts w:ascii="Calibri" w:eastAsia="Times New Roman" w:hAnsi="Calibri" w:cs="Calibri"/>
                <w:b/>
                <w:bCs/>
                <w:color w:val="000000"/>
              </w:rPr>
            </w:pPr>
            <w:r w:rsidRPr="00301505">
              <w:rPr>
                <w:rFonts w:ascii="Calibri" w:eastAsia="Times New Roman" w:hAnsi="Calibri" w:cs="Calibri"/>
                <w:b/>
                <w:bCs/>
                <w:color w:val="000000"/>
              </w:rPr>
              <w:t>2012</w:t>
            </w:r>
          </w:p>
        </w:tc>
        <w:tc>
          <w:tcPr>
            <w:tcW w:w="991" w:type="dxa"/>
            <w:tcBorders>
              <w:top w:val="nil"/>
              <w:left w:val="nil"/>
              <w:bottom w:val="single" w:sz="4" w:space="0" w:color="000000"/>
              <w:right w:val="single" w:sz="4" w:space="0" w:color="000000"/>
            </w:tcBorders>
            <w:shd w:val="clear" w:color="auto" w:fill="auto"/>
            <w:noWrap/>
            <w:vAlign w:val="center"/>
            <w:hideMark/>
          </w:tcPr>
          <w:p w14:paraId="128954A7" w14:textId="77777777" w:rsidR="00301505" w:rsidRPr="00301505" w:rsidRDefault="00301505" w:rsidP="00301505">
            <w:pPr>
              <w:spacing w:after="0" w:line="240" w:lineRule="auto"/>
              <w:jc w:val="center"/>
              <w:rPr>
                <w:rFonts w:ascii="Calibri" w:eastAsia="Times New Roman" w:hAnsi="Calibri" w:cs="Calibri"/>
                <w:b/>
                <w:bCs/>
                <w:color w:val="000000"/>
              </w:rPr>
            </w:pPr>
            <w:r w:rsidRPr="00301505">
              <w:rPr>
                <w:rFonts w:ascii="Calibri" w:eastAsia="Times New Roman" w:hAnsi="Calibri" w:cs="Calibri"/>
                <w:b/>
                <w:bCs/>
                <w:color w:val="000000"/>
              </w:rPr>
              <w:t>2013</w:t>
            </w:r>
          </w:p>
        </w:tc>
        <w:tc>
          <w:tcPr>
            <w:tcW w:w="991" w:type="dxa"/>
            <w:tcBorders>
              <w:top w:val="nil"/>
              <w:left w:val="nil"/>
              <w:bottom w:val="single" w:sz="4" w:space="0" w:color="000000"/>
              <w:right w:val="single" w:sz="4" w:space="0" w:color="000000"/>
            </w:tcBorders>
            <w:shd w:val="clear" w:color="auto" w:fill="auto"/>
            <w:noWrap/>
            <w:vAlign w:val="center"/>
            <w:hideMark/>
          </w:tcPr>
          <w:p w14:paraId="39814257" w14:textId="77777777" w:rsidR="00301505" w:rsidRPr="00301505" w:rsidRDefault="00301505" w:rsidP="00301505">
            <w:pPr>
              <w:spacing w:after="0" w:line="240" w:lineRule="auto"/>
              <w:jc w:val="center"/>
              <w:rPr>
                <w:rFonts w:ascii="Calibri" w:eastAsia="Times New Roman" w:hAnsi="Calibri" w:cs="Calibri"/>
                <w:b/>
                <w:bCs/>
                <w:color w:val="000000"/>
              </w:rPr>
            </w:pPr>
            <w:r w:rsidRPr="00301505">
              <w:rPr>
                <w:rFonts w:ascii="Calibri" w:eastAsia="Times New Roman" w:hAnsi="Calibri" w:cs="Calibri"/>
                <w:b/>
                <w:bCs/>
                <w:color w:val="000000"/>
              </w:rPr>
              <w:t>2014</w:t>
            </w:r>
          </w:p>
        </w:tc>
        <w:tc>
          <w:tcPr>
            <w:tcW w:w="991" w:type="dxa"/>
            <w:tcBorders>
              <w:top w:val="nil"/>
              <w:left w:val="nil"/>
              <w:bottom w:val="single" w:sz="4" w:space="0" w:color="000000"/>
              <w:right w:val="single" w:sz="4" w:space="0" w:color="000000"/>
            </w:tcBorders>
            <w:shd w:val="clear" w:color="auto" w:fill="auto"/>
            <w:noWrap/>
            <w:vAlign w:val="center"/>
            <w:hideMark/>
          </w:tcPr>
          <w:p w14:paraId="2EDADBDF" w14:textId="77777777" w:rsidR="00301505" w:rsidRPr="00301505" w:rsidRDefault="00301505" w:rsidP="00301505">
            <w:pPr>
              <w:spacing w:after="0" w:line="240" w:lineRule="auto"/>
              <w:jc w:val="center"/>
              <w:rPr>
                <w:rFonts w:ascii="Calibri" w:eastAsia="Times New Roman" w:hAnsi="Calibri" w:cs="Calibri"/>
                <w:b/>
                <w:bCs/>
                <w:color w:val="000000"/>
              </w:rPr>
            </w:pPr>
            <w:r w:rsidRPr="00301505">
              <w:rPr>
                <w:rFonts w:ascii="Calibri" w:eastAsia="Times New Roman" w:hAnsi="Calibri" w:cs="Calibri"/>
                <w:b/>
                <w:bCs/>
                <w:color w:val="000000"/>
              </w:rPr>
              <w:t>2015</w:t>
            </w:r>
          </w:p>
        </w:tc>
        <w:tc>
          <w:tcPr>
            <w:tcW w:w="1388" w:type="dxa"/>
            <w:tcBorders>
              <w:top w:val="nil"/>
              <w:left w:val="nil"/>
              <w:bottom w:val="single" w:sz="4" w:space="0" w:color="000000"/>
              <w:right w:val="single" w:sz="4" w:space="0" w:color="000000"/>
            </w:tcBorders>
            <w:shd w:val="clear" w:color="auto" w:fill="auto"/>
            <w:noWrap/>
            <w:vAlign w:val="center"/>
            <w:hideMark/>
          </w:tcPr>
          <w:p w14:paraId="1D31D2CE" w14:textId="77777777" w:rsidR="00301505" w:rsidRPr="00301505" w:rsidRDefault="00301505" w:rsidP="00301505">
            <w:pPr>
              <w:spacing w:after="0" w:line="240" w:lineRule="auto"/>
              <w:jc w:val="center"/>
              <w:rPr>
                <w:rFonts w:ascii="Calibri" w:eastAsia="Times New Roman" w:hAnsi="Calibri" w:cs="Calibri"/>
                <w:b/>
                <w:bCs/>
                <w:color w:val="000000"/>
              </w:rPr>
            </w:pPr>
            <w:r w:rsidRPr="00301505">
              <w:rPr>
                <w:rFonts w:ascii="Calibri" w:eastAsia="Times New Roman" w:hAnsi="Calibri" w:cs="Calibri"/>
                <w:b/>
                <w:bCs/>
                <w:color w:val="000000"/>
              </w:rPr>
              <w:t>2016</w:t>
            </w:r>
          </w:p>
        </w:tc>
        <w:tc>
          <w:tcPr>
            <w:tcW w:w="1154" w:type="dxa"/>
            <w:tcBorders>
              <w:top w:val="nil"/>
              <w:left w:val="nil"/>
              <w:bottom w:val="single" w:sz="4" w:space="0" w:color="000000"/>
              <w:right w:val="single" w:sz="4" w:space="0" w:color="000000"/>
            </w:tcBorders>
            <w:shd w:val="clear" w:color="auto" w:fill="auto"/>
            <w:noWrap/>
            <w:vAlign w:val="center"/>
            <w:hideMark/>
          </w:tcPr>
          <w:p w14:paraId="1B70E5AE" w14:textId="77777777" w:rsidR="00301505" w:rsidRPr="00301505" w:rsidRDefault="00301505" w:rsidP="00301505">
            <w:pPr>
              <w:spacing w:after="0" w:line="240" w:lineRule="auto"/>
              <w:jc w:val="center"/>
              <w:rPr>
                <w:rFonts w:ascii="Calibri" w:eastAsia="Times New Roman" w:hAnsi="Calibri" w:cs="Calibri"/>
                <w:b/>
                <w:bCs/>
                <w:color w:val="000000"/>
              </w:rPr>
            </w:pPr>
            <w:r w:rsidRPr="00301505">
              <w:rPr>
                <w:rFonts w:ascii="Calibri" w:eastAsia="Times New Roman" w:hAnsi="Calibri" w:cs="Calibri"/>
                <w:b/>
                <w:bCs/>
                <w:color w:val="000000"/>
              </w:rPr>
              <w:t>2017</w:t>
            </w:r>
          </w:p>
        </w:tc>
      </w:tr>
      <w:tr w:rsidR="00301505" w:rsidRPr="00301505" w14:paraId="6BD35996" w14:textId="77777777" w:rsidTr="00E87077">
        <w:trPr>
          <w:trHeight w:val="300"/>
          <w:jc w:val="center"/>
        </w:trPr>
        <w:tc>
          <w:tcPr>
            <w:tcW w:w="1627" w:type="dxa"/>
            <w:tcBorders>
              <w:top w:val="nil"/>
              <w:left w:val="single" w:sz="4" w:space="0" w:color="000000"/>
              <w:bottom w:val="single" w:sz="4" w:space="0" w:color="000000"/>
              <w:right w:val="single" w:sz="4" w:space="0" w:color="000000"/>
            </w:tcBorders>
            <w:shd w:val="clear" w:color="auto" w:fill="auto"/>
            <w:vAlign w:val="bottom"/>
            <w:hideMark/>
          </w:tcPr>
          <w:p w14:paraId="7C2A4C04" w14:textId="77777777" w:rsidR="00301505" w:rsidRPr="00301505" w:rsidRDefault="00301505" w:rsidP="00301505">
            <w:pPr>
              <w:spacing w:after="0" w:line="240" w:lineRule="auto"/>
              <w:rPr>
                <w:rFonts w:ascii="Calibri" w:eastAsia="Times New Roman" w:hAnsi="Calibri" w:cs="Calibri"/>
                <w:b/>
                <w:bCs/>
                <w:color w:val="000000"/>
              </w:rPr>
            </w:pPr>
            <w:r w:rsidRPr="00301505">
              <w:rPr>
                <w:rFonts w:ascii="Calibri" w:eastAsia="Times New Roman" w:hAnsi="Calibri" w:cs="Calibri"/>
                <w:b/>
                <w:bCs/>
                <w:color w:val="000000"/>
              </w:rPr>
              <w:t>Duquesne</w:t>
            </w:r>
          </w:p>
        </w:tc>
        <w:tc>
          <w:tcPr>
            <w:tcW w:w="1278" w:type="dxa"/>
            <w:tcBorders>
              <w:top w:val="nil"/>
              <w:left w:val="nil"/>
              <w:bottom w:val="single" w:sz="4" w:space="0" w:color="000000"/>
              <w:right w:val="single" w:sz="4" w:space="0" w:color="000000"/>
            </w:tcBorders>
            <w:shd w:val="clear" w:color="auto" w:fill="auto"/>
            <w:vAlign w:val="bottom"/>
            <w:hideMark/>
          </w:tcPr>
          <w:p w14:paraId="7DB33281"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36,085</w:t>
            </w:r>
          </w:p>
        </w:tc>
        <w:tc>
          <w:tcPr>
            <w:tcW w:w="991" w:type="dxa"/>
            <w:tcBorders>
              <w:top w:val="nil"/>
              <w:left w:val="nil"/>
              <w:bottom w:val="single" w:sz="4" w:space="0" w:color="000000"/>
              <w:right w:val="single" w:sz="4" w:space="0" w:color="000000"/>
            </w:tcBorders>
            <w:shd w:val="clear" w:color="auto" w:fill="auto"/>
            <w:noWrap/>
            <w:vAlign w:val="center"/>
            <w:hideMark/>
          </w:tcPr>
          <w:p w14:paraId="5EA58535"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36,544</w:t>
            </w:r>
          </w:p>
        </w:tc>
        <w:tc>
          <w:tcPr>
            <w:tcW w:w="991" w:type="dxa"/>
            <w:tcBorders>
              <w:top w:val="nil"/>
              <w:left w:val="nil"/>
              <w:bottom w:val="single" w:sz="4" w:space="0" w:color="000000"/>
              <w:right w:val="single" w:sz="4" w:space="0" w:color="000000"/>
            </w:tcBorders>
            <w:shd w:val="clear" w:color="auto" w:fill="auto"/>
            <w:noWrap/>
            <w:vAlign w:val="center"/>
            <w:hideMark/>
          </w:tcPr>
          <w:p w14:paraId="0EF43652"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35,352</w:t>
            </w:r>
          </w:p>
        </w:tc>
        <w:tc>
          <w:tcPr>
            <w:tcW w:w="991" w:type="dxa"/>
            <w:tcBorders>
              <w:top w:val="nil"/>
              <w:left w:val="nil"/>
              <w:bottom w:val="single" w:sz="4" w:space="0" w:color="000000"/>
              <w:right w:val="single" w:sz="4" w:space="0" w:color="000000"/>
            </w:tcBorders>
            <w:shd w:val="clear" w:color="auto" w:fill="auto"/>
            <w:noWrap/>
            <w:vAlign w:val="bottom"/>
            <w:hideMark/>
          </w:tcPr>
          <w:p w14:paraId="49D4A920"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35,602</w:t>
            </w:r>
          </w:p>
        </w:tc>
        <w:tc>
          <w:tcPr>
            <w:tcW w:w="1388" w:type="dxa"/>
            <w:tcBorders>
              <w:top w:val="nil"/>
              <w:left w:val="nil"/>
              <w:bottom w:val="single" w:sz="4" w:space="0" w:color="000000"/>
              <w:right w:val="single" w:sz="4" w:space="0" w:color="000000"/>
            </w:tcBorders>
            <w:shd w:val="clear" w:color="auto" w:fill="auto"/>
            <w:vAlign w:val="bottom"/>
            <w:hideMark/>
          </w:tcPr>
          <w:p w14:paraId="7E691972"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38,719</w:t>
            </w:r>
          </w:p>
        </w:tc>
        <w:tc>
          <w:tcPr>
            <w:tcW w:w="1154" w:type="dxa"/>
            <w:tcBorders>
              <w:top w:val="nil"/>
              <w:left w:val="nil"/>
              <w:bottom w:val="single" w:sz="4" w:space="0" w:color="000000"/>
              <w:right w:val="single" w:sz="4" w:space="0" w:color="000000"/>
            </w:tcBorders>
            <w:shd w:val="clear" w:color="auto" w:fill="auto"/>
            <w:vAlign w:val="bottom"/>
            <w:hideMark/>
          </w:tcPr>
          <w:p w14:paraId="21022F0A"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37,596</w:t>
            </w:r>
          </w:p>
        </w:tc>
      </w:tr>
      <w:tr w:rsidR="00301505" w:rsidRPr="00301505" w14:paraId="7C9CAFFA" w14:textId="77777777" w:rsidTr="00E87077">
        <w:trPr>
          <w:trHeight w:val="300"/>
          <w:jc w:val="center"/>
        </w:trPr>
        <w:tc>
          <w:tcPr>
            <w:tcW w:w="1627" w:type="dxa"/>
            <w:tcBorders>
              <w:top w:val="nil"/>
              <w:left w:val="single" w:sz="4" w:space="0" w:color="000000"/>
              <w:bottom w:val="single" w:sz="4" w:space="0" w:color="000000"/>
              <w:right w:val="single" w:sz="4" w:space="0" w:color="000000"/>
            </w:tcBorders>
            <w:shd w:val="clear" w:color="auto" w:fill="auto"/>
            <w:vAlign w:val="bottom"/>
            <w:hideMark/>
          </w:tcPr>
          <w:p w14:paraId="2620D039" w14:textId="77777777" w:rsidR="00301505" w:rsidRPr="00301505" w:rsidRDefault="00301505" w:rsidP="00301505">
            <w:pPr>
              <w:spacing w:after="0" w:line="240" w:lineRule="auto"/>
              <w:rPr>
                <w:rFonts w:ascii="Calibri" w:eastAsia="Times New Roman" w:hAnsi="Calibri" w:cs="Calibri"/>
                <w:b/>
                <w:bCs/>
                <w:color w:val="000000"/>
              </w:rPr>
            </w:pPr>
            <w:r w:rsidRPr="00301505">
              <w:rPr>
                <w:rFonts w:ascii="Calibri" w:eastAsia="Times New Roman" w:hAnsi="Calibri" w:cs="Calibri"/>
                <w:b/>
                <w:bCs/>
                <w:color w:val="000000"/>
              </w:rPr>
              <w:t>Met-Ed</w:t>
            </w:r>
          </w:p>
        </w:tc>
        <w:tc>
          <w:tcPr>
            <w:tcW w:w="1278" w:type="dxa"/>
            <w:tcBorders>
              <w:top w:val="nil"/>
              <w:left w:val="nil"/>
              <w:bottom w:val="single" w:sz="4" w:space="0" w:color="000000"/>
              <w:right w:val="single" w:sz="4" w:space="0" w:color="000000"/>
            </w:tcBorders>
            <w:shd w:val="clear" w:color="auto" w:fill="auto"/>
            <w:vAlign w:val="bottom"/>
            <w:hideMark/>
          </w:tcPr>
          <w:p w14:paraId="53E0D094"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29,574</w:t>
            </w:r>
          </w:p>
        </w:tc>
        <w:tc>
          <w:tcPr>
            <w:tcW w:w="991" w:type="dxa"/>
            <w:tcBorders>
              <w:top w:val="nil"/>
              <w:left w:val="nil"/>
              <w:bottom w:val="single" w:sz="4" w:space="0" w:color="000000"/>
              <w:right w:val="single" w:sz="4" w:space="0" w:color="000000"/>
            </w:tcBorders>
            <w:shd w:val="clear" w:color="auto" w:fill="auto"/>
            <w:noWrap/>
            <w:vAlign w:val="center"/>
            <w:hideMark/>
          </w:tcPr>
          <w:p w14:paraId="72AEAE9B"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23,290</w:t>
            </w:r>
          </w:p>
        </w:tc>
        <w:tc>
          <w:tcPr>
            <w:tcW w:w="991" w:type="dxa"/>
            <w:tcBorders>
              <w:top w:val="nil"/>
              <w:left w:val="nil"/>
              <w:bottom w:val="single" w:sz="4" w:space="0" w:color="000000"/>
              <w:right w:val="single" w:sz="4" w:space="0" w:color="000000"/>
            </w:tcBorders>
            <w:shd w:val="clear" w:color="auto" w:fill="auto"/>
            <w:noWrap/>
            <w:vAlign w:val="center"/>
            <w:hideMark/>
          </w:tcPr>
          <w:p w14:paraId="326D5F47"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17,111</w:t>
            </w:r>
          </w:p>
        </w:tc>
        <w:tc>
          <w:tcPr>
            <w:tcW w:w="991" w:type="dxa"/>
            <w:tcBorders>
              <w:top w:val="nil"/>
              <w:left w:val="nil"/>
              <w:bottom w:val="single" w:sz="4" w:space="0" w:color="000000"/>
              <w:right w:val="single" w:sz="4" w:space="0" w:color="000000"/>
            </w:tcBorders>
            <w:shd w:val="clear" w:color="auto" w:fill="auto"/>
            <w:noWrap/>
            <w:vAlign w:val="bottom"/>
            <w:hideMark/>
          </w:tcPr>
          <w:p w14:paraId="28ED0115"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15,639</w:t>
            </w:r>
          </w:p>
        </w:tc>
        <w:tc>
          <w:tcPr>
            <w:tcW w:w="1388" w:type="dxa"/>
            <w:tcBorders>
              <w:top w:val="nil"/>
              <w:left w:val="nil"/>
              <w:bottom w:val="single" w:sz="4" w:space="0" w:color="000000"/>
              <w:right w:val="single" w:sz="4" w:space="0" w:color="000000"/>
            </w:tcBorders>
            <w:shd w:val="clear" w:color="auto" w:fill="auto"/>
            <w:vAlign w:val="bottom"/>
            <w:hideMark/>
          </w:tcPr>
          <w:p w14:paraId="274F57C0"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14,750</w:t>
            </w:r>
          </w:p>
        </w:tc>
        <w:tc>
          <w:tcPr>
            <w:tcW w:w="1154" w:type="dxa"/>
            <w:tcBorders>
              <w:top w:val="nil"/>
              <w:left w:val="nil"/>
              <w:bottom w:val="single" w:sz="4" w:space="0" w:color="000000"/>
              <w:right w:val="single" w:sz="4" w:space="0" w:color="000000"/>
            </w:tcBorders>
            <w:shd w:val="clear" w:color="auto" w:fill="auto"/>
            <w:vAlign w:val="bottom"/>
            <w:hideMark/>
          </w:tcPr>
          <w:p w14:paraId="29E6216A"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14,875</w:t>
            </w:r>
          </w:p>
        </w:tc>
      </w:tr>
      <w:tr w:rsidR="00301505" w:rsidRPr="00301505" w14:paraId="55A7F8D2" w14:textId="77777777" w:rsidTr="00E87077">
        <w:trPr>
          <w:trHeight w:val="300"/>
          <w:jc w:val="center"/>
        </w:trPr>
        <w:tc>
          <w:tcPr>
            <w:tcW w:w="1627" w:type="dxa"/>
            <w:tcBorders>
              <w:top w:val="nil"/>
              <w:left w:val="single" w:sz="4" w:space="0" w:color="000000"/>
              <w:bottom w:val="single" w:sz="4" w:space="0" w:color="000000"/>
              <w:right w:val="single" w:sz="4" w:space="0" w:color="000000"/>
            </w:tcBorders>
            <w:shd w:val="clear" w:color="auto" w:fill="auto"/>
            <w:vAlign w:val="bottom"/>
            <w:hideMark/>
          </w:tcPr>
          <w:p w14:paraId="22180D2C" w14:textId="77777777" w:rsidR="00301505" w:rsidRPr="00301505" w:rsidRDefault="00301505" w:rsidP="00301505">
            <w:pPr>
              <w:spacing w:after="0" w:line="240" w:lineRule="auto"/>
              <w:rPr>
                <w:rFonts w:ascii="Calibri" w:eastAsia="Times New Roman" w:hAnsi="Calibri" w:cs="Calibri"/>
                <w:b/>
                <w:bCs/>
                <w:color w:val="000000"/>
              </w:rPr>
            </w:pPr>
            <w:r w:rsidRPr="00301505">
              <w:rPr>
                <w:rFonts w:ascii="Calibri" w:eastAsia="Times New Roman" w:hAnsi="Calibri" w:cs="Calibri"/>
                <w:b/>
                <w:bCs/>
                <w:color w:val="000000"/>
              </w:rPr>
              <w:t>PECO Electric</w:t>
            </w:r>
          </w:p>
        </w:tc>
        <w:tc>
          <w:tcPr>
            <w:tcW w:w="1278" w:type="dxa"/>
            <w:tcBorders>
              <w:top w:val="nil"/>
              <w:left w:val="nil"/>
              <w:bottom w:val="single" w:sz="4" w:space="0" w:color="000000"/>
              <w:right w:val="single" w:sz="4" w:space="0" w:color="000000"/>
            </w:tcBorders>
            <w:shd w:val="clear" w:color="auto" w:fill="auto"/>
            <w:vAlign w:val="bottom"/>
            <w:hideMark/>
          </w:tcPr>
          <w:p w14:paraId="0FBE147F"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138,691</w:t>
            </w:r>
          </w:p>
        </w:tc>
        <w:tc>
          <w:tcPr>
            <w:tcW w:w="991" w:type="dxa"/>
            <w:tcBorders>
              <w:top w:val="nil"/>
              <w:left w:val="nil"/>
              <w:bottom w:val="single" w:sz="4" w:space="0" w:color="000000"/>
              <w:right w:val="single" w:sz="4" w:space="0" w:color="000000"/>
            </w:tcBorders>
            <w:shd w:val="clear" w:color="auto" w:fill="auto"/>
            <w:noWrap/>
            <w:vAlign w:val="center"/>
            <w:hideMark/>
          </w:tcPr>
          <w:p w14:paraId="0A2518DE"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138,086</w:t>
            </w:r>
          </w:p>
        </w:tc>
        <w:tc>
          <w:tcPr>
            <w:tcW w:w="991" w:type="dxa"/>
            <w:tcBorders>
              <w:top w:val="nil"/>
              <w:left w:val="nil"/>
              <w:bottom w:val="single" w:sz="4" w:space="0" w:color="000000"/>
              <w:right w:val="single" w:sz="4" w:space="0" w:color="000000"/>
            </w:tcBorders>
            <w:shd w:val="clear" w:color="auto" w:fill="auto"/>
            <w:noWrap/>
            <w:vAlign w:val="center"/>
            <w:hideMark/>
          </w:tcPr>
          <w:p w14:paraId="4C37B020"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141,297</w:t>
            </w:r>
          </w:p>
        </w:tc>
        <w:tc>
          <w:tcPr>
            <w:tcW w:w="991" w:type="dxa"/>
            <w:tcBorders>
              <w:top w:val="nil"/>
              <w:left w:val="nil"/>
              <w:bottom w:val="single" w:sz="4" w:space="0" w:color="000000"/>
              <w:right w:val="single" w:sz="4" w:space="0" w:color="000000"/>
            </w:tcBorders>
            <w:shd w:val="clear" w:color="auto" w:fill="auto"/>
            <w:noWrap/>
            <w:vAlign w:val="bottom"/>
            <w:hideMark/>
          </w:tcPr>
          <w:p w14:paraId="0F6C8D4D"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140,469</w:t>
            </w:r>
          </w:p>
        </w:tc>
        <w:tc>
          <w:tcPr>
            <w:tcW w:w="1388" w:type="dxa"/>
            <w:tcBorders>
              <w:top w:val="nil"/>
              <w:left w:val="nil"/>
              <w:bottom w:val="single" w:sz="4" w:space="0" w:color="000000"/>
              <w:right w:val="single" w:sz="4" w:space="0" w:color="000000"/>
            </w:tcBorders>
            <w:shd w:val="clear" w:color="auto" w:fill="auto"/>
            <w:vAlign w:val="bottom"/>
            <w:hideMark/>
          </w:tcPr>
          <w:p w14:paraId="527575FF"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136,841</w:t>
            </w:r>
          </w:p>
        </w:tc>
        <w:tc>
          <w:tcPr>
            <w:tcW w:w="1154" w:type="dxa"/>
            <w:tcBorders>
              <w:top w:val="nil"/>
              <w:left w:val="nil"/>
              <w:bottom w:val="single" w:sz="4" w:space="0" w:color="000000"/>
              <w:right w:val="single" w:sz="4" w:space="0" w:color="000000"/>
            </w:tcBorders>
            <w:shd w:val="clear" w:color="auto" w:fill="auto"/>
            <w:vAlign w:val="bottom"/>
            <w:hideMark/>
          </w:tcPr>
          <w:p w14:paraId="7F3CAC39"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126,401</w:t>
            </w:r>
          </w:p>
        </w:tc>
      </w:tr>
      <w:tr w:rsidR="00301505" w:rsidRPr="00301505" w14:paraId="05AA09C9" w14:textId="77777777" w:rsidTr="00E87077">
        <w:trPr>
          <w:trHeight w:val="300"/>
          <w:jc w:val="center"/>
        </w:trPr>
        <w:tc>
          <w:tcPr>
            <w:tcW w:w="1627" w:type="dxa"/>
            <w:tcBorders>
              <w:top w:val="nil"/>
              <w:left w:val="single" w:sz="4" w:space="0" w:color="000000"/>
              <w:bottom w:val="single" w:sz="4" w:space="0" w:color="000000"/>
              <w:right w:val="single" w:sz="4" w:space="0" w:color="000000"/>
            </w:tcBorders>
            <w:shd w:val="clear" w:color="auto" w:fill="auto"/>
            <w:vAlign w:val="bottom"/>
            <w:hideMark/>
          </w:tcPr>
          <w:p w14:paraId="280182B5" w14:textId="77777777" w:rsidR="00301505" w:rsidRPr="00301505" w:rsidRDefault="00301505" w:rsidP="00301505">
            <w:pPr>
              <w:spacing w:after="0" w:line="240" w:lineRule="auto"/>
              <w:rPr>
                <w:rFonts w:ascii="Calibri" w:eastAsia="Times New Roman" w:hAnsi="Calibri" w:cs="Calibri"/>
                <w:b/>
                <w:bCs/>
                <w:color w:val="000000"/>
              </w:rPr>
            </w:pPr>
            <w:proofErr w:type="spellStart"/>
            <w:r w:rsidRPr="00301505">
              <w:rPr>
                <w:rFonts w:ascii="Calibri" w:eastAsia="Times New Roman" w:hAnsi="Calibri" w:cs="Calibri"/>
                <w:b/>
                <w:bCs/>
                <w:color w:val="000000"/>
              </w:rPr>
              <w:t>Penelec</w:t>
            </w:r>
            <w:proofErr w:type="spellEnd"/>
          </w:p>
        </w:tc>
        <w:tc>
          <w:tcPr>
            <w:tcW w:w="1278" w:type="dxa"/>
            <w:tcBorders>
              <w:top w:val="nil"/>
              <w:left w:val="nil"/>
              <w:bottom w:val="single" w:sz="4" w:space="0" w:color="000000"/>
              <w:right w:val="single" w:sz="4" w:space="0" w:color="000000"/>
            </w:tcBorders>
            <w:shd w:val="clear" w:color="auto" w:fill="auto"/>
            <w:vAlign w:val="bottom"/>
            <w:hideMark/>
          </w:tcPr>
          <w:p w14:paraId="5D001B3D"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38,962</w:t>
            </w:r>
          </w:p>
        </w:tc>
        <w:tc>
          <w:tcPr>
            <w:tcW w:w="991" w:type="dxa"/>
            <w:tcBorders>
              <w:top w:val="nil"/>
              <w:left w:val="nil"/>
              <w:bottom w:val="single" w:sz="4" w:space="0" w:color="000000"/>
              <w:right w:val="single" w:sz="4" w:space="0" w:color="000000"/>
            </w:tcBorders>
            <w:shd w:val="clear" w:color="auto" w:fill="auto"/>
            <w:noWrap/>
            <w:vAlign w:val="center"/>
            <w:hideMark/>
          </w:tcPr>
          <w:p w14:paraId="6821E9EB"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30,687</w:t>
            </w:r>
          </w:p>
        </w:tc>
        <w:tc>
          <w:tcPr>
            <w:tcW w:w="991" w:type="dxa"/>
            <w:tcBorders>
              <w:top w:val="nil"/>
              <w:left w:val="nil"/>
              <w:bottom w:val="single" w:sz="4" w:space="0" w:color="000000"/>
              <w:right w:val="single" w:sz="4" w:space="0" w:color="000000"/>
            </w:tcBorders>
            <w:shd w:val="clear" w:color="auto" w:fill="auto"/>
            <w:noWrap/>
            <w:vAlign w:val="center"/>
            <w:hideMark/>
          </w:tcPr>
          <w:p w14:paraId="7817D8C0"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23,440</w:t>
            </w:r>
          </w:p>
        </w:tc>
        <w:tc>
          <w:tcPr>
            <w:tcW w:w="991" w:type="dxa"/>
            <w:tcBorders>
              <w:top w:val="nil"/>
              <w:left w:val="nil"/>
              <w:bottom w:val="single" w:sz="4" w:space="0" w:color="000000"/>
              <w:right w:val="single" w:sz="4" w:space="0" w:color="000000"/>
            </w:tcBorders>
            <w:shd w:val="clear" w:color="auto" w:fill="auto"/>
            <w:noWrap/>
            <w:vAlign w:val="bottom"/>
            <w:hideMark/>
          </w:tcPr>
          <w:p w14:paraId="45E32BAB"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21,865</w:t>
            </w:r>
          </w:p>
        </w:tc>
        <w:tc>
          <w:tcPr>
            <w:tcW w:w="1388" w:type="dxa"/>
            <w:tcBorders>
              <w:top w:val="nil"/>
              <w:left w:val="nil"/>
              <w:bottom w:val="single" w:sz="4" w:space="0" w:color="000000"/>
              <w:right w:val="single" w:sz="4" w:space="0" w:color="000000"/>
            </w:tcBorders>
            <w:shd w:val="clear" w:color="auto" w:fill="auto"/>
            <w:vAlign w:val="bottom"/>
            <w:hideMark/>
          </w:tcPr>
          <w:p w14:paraId="370F2AF2"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21,291</w:t>
            </w:r>
          </w:p>
        </w:tc>
        <w:tc>
          <w:tcPr>
            <w:tcW w:w="1154" w:type="dxa"/>
            <w:tcBorders>
              <w:top w:val="nil"/>
              <w:left w:val="nil"/>
              <w:bottom w:val="single" w:sz="4" w:space="0" w:color="000000"/>
              <w:right w:val="single" w:sz="4" w:space="0" w:color="000000"/>
            </w:tcBorders>
            <w:shd w:val="clear" w:color="auto" w:fill="auto"/>
            <w:vAlign w:val="bottom"/>
            <w:hideMark/>
          </w:tcPr>
          <w:p w14:paraId="5BEF4800"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21,154</w:t>
            </w:r>
          </w:p>
        </w:tc>
      </w:tr>
      <w:tr w:rsidR="00301505" w:rsidRPr="00301505" w14:paraId="32B97B36" w14:textId="77777777" w:rsidTr="00E87077">
        <w:trPr>
          <w:trHeight w:val="300"/>
          <w:jc w:val="center"/>
        </w:trPr>
        <w:tc>
          <w:tcPr>
            <w:tcW w:w="1627" w:type="dxa"/>
            <w:tcBorders>
              <w:top w:val="nil"/>
              <w:left w:val="single" w:sz="4" w:space="0" w:color="000000"/>
              <w:bottom w:val="single" w:sz="4" w:space="0" w:color="000000"/>
              <w:right w:val="single" w:sz="4" w:space="0" w:color="000000"/>
            </w:tcBorders>
            <w:shd w:val="clear" w:color="auto" w:fill="auto"/>
            <w:vAlign w:val="bottom"/>
            <w:hideMark/>
          </w:tcPr>
          <w:p w14:paraId="67461911" w14:textId="77777777" w:rsidR="00301505" w:rsidRPr="00301505" w:rsidRDefault="00301505" w:rsidP="00301505">
            <w:pPr>
              <w:spacing w:after="0" w:line="240" w:lineRule="auto"/>
              <w:rPr>
                <w:rFonts w:ascii="Calibri" w:eastAsia="Times New Roman" w:hAnsi="Calibri" w:cs="Calibri"/>
                <w:b/>
                <w:bCs/>
                <w:color w:val="000000"/>
              </w:rPr>
            </w:pPr>
            <w:r w:rsidRPr="00301505">
              <w:rPr>
                <w:rFonts w:ascii="Calibri" w:eastAsia="Times New Roman" w:hAnsi="Calibri" w:cs="Calibri"/>
                <w:b/>
                <w:bCs/>
                <w:color w:val="000000"/>
              </w:rPr>
              <w:t>Penn Power</w:t>
            </w:r>
          </w:p>
        </w:tc>
        <w:tc>
          <w:tcPr>
            <w:tcW w:w="1278" w:type="dxa"/>
            <w:tcBorders>
              <w:top w:val="nil"/>
              <w:left w:val="nil"/>
              <w:bottom w:val="single" w:sz="4" w:space="0" w:color="000000"/>
              <w:right w:val="single" w:sz="4" w:space="0" w:color="000000"/>
            </w:tcBorders>
            <w:shd w:val="clear" w:color="auto" w:fill="auto"/>
            <w:vAlign w:val="bottom"/>
            <w:hideMark/>
          </w:tcPr>
          <w:p w14:paraId="073C9219"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9,830</w:t>
            </w:r>
          </w:p>
        </w:tc>
        <w:tc>
          <w:tcPr>
            <w:tcW w:w="991" w:type="dxa"/>
            <w:tcBorders>
              <w:top w:val="nil"/>
              <w:left w:val="nil"/>
              <w:bottom w:val="single" w:sz="4" w:space="0" w:color="000000"/>
              <w:right w:val="single" w:sz="4" w:space="0" w:color="000000"/>
            </w:tcBorders>
            <w:shd w:val="clear" w:color="auto" w:fill="auto"/>
            <w:noWrap/>
            <w:vAlign w:val="center"/>
            <w:hideMark/>
          </w:tcPr>
          <w:p w14:paraId="39BD724B"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7,262</w:t>
            </w:r>
          </w:p>
        </w:tc>
        <w:tc>
          <w:tcPr>
            <w:tcW w:w="991" w:type="dxa"/>
            <w:tcBorders>
              <w:top w:val="nil"/>
              <w:left w:val="nil"/>
              <w:bottom w:val="single" w:sz="4" w:space="0" w:color="000000"/>
              <w:right w:val="single" w:sz="4" w:space="0" w:color="000000"/>
            </w:tcBorders>
            <w:shd w:val="clear" w:color="auto" w:fill="auto"/>
            <w:noWrap/>
            <w:vAlign w:val="center"/>
            <w:hideMark/>
          </w:tcPr>
          <w:p w14:paraId="33D67D57"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5,277</w:t>
            </w:r>
          </w:p>
        </w:tc>
        <w:tc>
          <w:tcPr>
            <w:tcW w:w="991" w:type="dxa"/>
            <w:tcBorders>
              <w:top w:val="nil"/>
              <w:left w:val="nil"/>
              <w:bottom w:val="single" w:sz="4" w:space="0" w:color="000000"/>
              <w:right w:val="single" w:sz="4" w:space="0" w:color="000000"/>
            </w:tcBorders>
            <w:shd w:val="clear" w:color="auto" w:fill="auto"/>
            <w:noWrap/>
            <w:vAlign w:val="bottom"/>
            <w:hideMark/>
          </w:tcPr>
          <w:p w14:paraId="46934121"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4,678</w:t>
            </w:r>
          </w:p>
        </w:tc>
        <w:tc>
          <w:tcPr>
            <w:tcW w:w="1388" w:type="dxa"/>
            <w:tcBorders>
              <w:top w:val="nil"/>
              <w:left w:val="nil"/>
              <w:bottom w:val="single" w:sz="4" w:space="0" w:color="000000"/>
              <w:right w:val="single" w:sz="4" w:space="0" w:color="000000"/>
            </w:tcBorders>
            <w:shd w:val="clear" w:color="auto" w:fill="auto"/>
            <w:vAlign w:val="bottom"/>
            <w:hideMark/>
          </w:tcPr>
          <w:p w14:paraId="1A36769E"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4,596</w:t>
            </w:r>
          </w:p>
        </w:tc>
        <w:tc>
          <w:tcPr>
            <w:tcW w:w="1154" w:type="dxa"/>
            <w:tcBorders>
              <w:top w:val="nil"/>
              <w:left w:val="nil"/>
              <w:bottom w:val="single" w:sz="4" w:space="0" w:color="000000"/>
              <w:right w:val="single" w:sz="4" w:space="0" w:color="000000"/>
            </w:tcBorders>
            <w:shd w:val="clear" w:color="auto" w:fill="auto"/>
            <w:vAlign w:val="bottom"/>
            <w:hideMark/>
          </w:tcPr>
          <w:p w14:paraId="367146E4"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4,667</w:t>
            </w:r>
          </w:p>
        </w:tc>
      </w:tr>
      <w:tr w:rsidR="00301505" w:rsidRPr="00301505" w14:paraId="393D7F12" w14:textId="77777777" w:rsidTr="00E87077">
        <w:trPr>
          <w:trHeight w:val="300"/>
          <w:jc w:val="center"/>
        </w:trPr>
        <w:tc>
          <w:tcPr>
            <w:tcW w:w="1627" w:type="dxa"/>
            <w:tcBorders>
              <w:top w:val="nil"/>
              <w:left w:val="single" w:sz="4" w:space="0" w:color="000000"/>
              <w:bottom w:val="single" w:sz="4" w:space="0" w:color="000000"/>
              <w:right w:val="single" w:sz="4" w:space="0" w:color="000000"/>
            </w:tcBorders>
            <w:shd w:val="clear" w:color="auto" w:fill="auto"/>
            <w:vAlign w:val="bottom"/>
            <w:hideMark/>
          </w:tcPr>
          <w:p w14:paraId="10B88D0E" w14:textId="77777777" w:rsidR="00301505" w:rsidRPr="00301505" w:rsidRDefault="00301505" w:rsidP="00301505">
            <w:pPr>
              <w:spacing w:after="0" w:line="240" w:lineRule="auto"/>
              <w:rPr>
                <w:rFonts w:ascii="Calibri" w:eastAsia="Times New Roman" w:hAnsi="Calibri" w:cs="Calibri"/>
                <w:b/>
                <w:bCs/>
                <w:color w:val="000000"/>
              </w:rPr>
            </w:pPr>
            <w:r w:rsidRPr="00301505">
              <w:rPr>
                <w:rFonts w:ascii="Calibri" w:eastAsia="Times New Roman" w:hAnsi="Calibri" w:cs="Calibri"/>
                <w:b/>
                <w:bCs/>
                <w:color w:val="000000"/>
              </w:rPr>
              <w:t>PPL</w:t>
            </w:r>
          </w:p>
        </w:tc>
        <w:tc>
          <w:tcPr>
            <w:tcW w:w="1278" w:type="dxa"/>
            <w:tcBorders>
              <w:top w:val="nil"/>
              <w:left w:val="nil"/>
              <w:bottom w:val="single" w:sz="4" w:space="0" w:color="000000"/>
              <w:right w:val="single" w:sz="4" w:space="0" w:color="000000"/>
            </w:tcBorders>
            <w:shd w:val="clear" w:color="auto" w:fill="auto"/>
            <w:vAlign w:val="bottom"/>
            <w:hideMark/>
          </w:tcPr>
          <w:p w14:paraId="1307FBAD"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34,462</w:t>
            </w:r>
          </w:p>
        </w:tc>
        <w:tc>
          <w:tcPr>
            <w:tcW w:w="991" w:type="dxa"/>
            <w:tcBorders>
              <w:top w:val="nil"/>
              <w:left w:val="nil"/>
              <w:bottom w:val="single" w:sz="4" w:space="0" w:color="000000"/>
              <w:right w:val="single" w:sz="4" w:space="0" w:color="000000"/>
            </w:tcBorders>
            <w:shd w:val="clear" w:color="auto" w:fill="auto"/>
            <w:noWrap/>
            <w:vAlign w:val="center"/>
            <w:hideMark/>
          </w:tcPr>
          <w:p w14:paraId="344EC80E"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35,197</w:t>
            </w:r>
          </w:p>
        </w:tc>
        <w:tc>
          <w:tcPr>
            <w:tcW w:w="991" w:type="dxa"/>
            <w:tcBorders>
              <w:top w:val="nil"/>
              <w:left w:val="nil"/>
              <w:bottom w:val="single" w:sz="4" w:space="0" w:color="000000"/>
              <w:right w:val="single" w:sz="4" w:space="0" w:color="000000"/>
            </w:tcBorders>
            <w:shd w:val="clear" w:color="auto" w:fill="auto"/>
            <w:noWrap/>
            <w:vAlign w:val="center"/>
            <w:hideMark/>
          </w:tcPr>
          <w:p w14:paraId="4D5DA15E"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38,373</w:t>
            </w:r>
          </w:p>
        </w:tc>
        <w:tc>
          <w:tcPr>
            <w:tcW w:w="991" w:type="dxa"/>
            <w:tcBorders>
              <w:top w:val="nil"/>
              <w:left w:val="nil"/>
              <w:bottom w:val="single" w:sz="4" w:space="0" w:color="000000"/>
              <w:right w:val="single" w:sz="4" w:space="0" w:color="000000"/>
            </w:tcBorders>
            <w:shd w:val="clear" w:color="auto" w:fill="auto"/>
            <w:noWrap/>
            <w:vAlign w:val="bottom"/>
            <w:hideMark/>
          </w:tcPr>
          <w:p w14:paraId="1C047CA6"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45,801</w:t>
            </w:r>
          </w:p>
        </w:tc>
        <w:tc>
          <w:tcPr>
            <w:tcW w:w="1388" w:type="dxa"/>
            <w:tcBorders>
              <w:top w:val="nil"/>
              <w:left w:val="nil"/>
              <w:bottom w:val="single" w:sz="4" w:space="0" w:color="000000"/>
              <w:right w:val="single" w:sz="4" w:space="0" w:color="000000"/>
            </w:tcBorders>
            <w:shd w:val="clear" w:color="auto" w:fill="auto"/>
            <w:vAlign w:val="bottom"/>
            <w:hideMark/>
          </w:tcPr>
          <w:p w14:paraId="732EBC8D"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53,970</w:t>
            </w:r>
          </w:p>
        </w:tc>
        <w:tc>
          <w:tcPr>
            <w:tcW w:w="1154" w:type="dxa"/>
            <w:tcBorders>
              <w:top w:val="nil"/>
              <w:left w:val="nil"/>
              <w:bottom w:val="single" w:sz="4" w:space="0" w:color="000000"/>
              <w:right w:val="single" w:sz="4" w:space="0" w:color="000000"/>
            </w:tcBorders>
            <w:shd w:val="clear" w:color="auto" w:fill="auto"/>
            <w:vAlign w:val="bottom"/>
            <w:hideMark/>
          </w:tcPr>
          <w:p w14:paraId="63045BAA"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52,726</w:t>
            </w:r>
          </w:p>
        </w:tc>
      </w:tr>
      <w:tr w:rsidR="00301505" w:rsidRPr="00301505" w14:paraId="30ECF9D3" w14:textId="77777777" w:rsidTr="00E87077">
        <w:trPr>
          <w:trHeight w:val="300"/>
          <w:jc w:val="center"/>
        </w:trPr>
        <w:tc>
          <w:tcPr>
            <w:tcW w:w="1627" w:type="dxa"/>
            <w:tcBorders>
              <w:top w:val="nil"/>
              <w:left w:val="single" w:sz="4" w:space="0" w:color="000000"/>
              <w:bottom w:val="single" w:sz="4" w:space="0" w:color="000000"/>
              <w:right w:val="single" w:sz="4" w:space="0" w:color="000000"/>
            </w:tcBorders>
            <w:shd w:val="clear" w:color="auto" w:fill="auto"/>
            <w:vAlign w:val="bottom"/>
            <w:hideMark/>
          </w:tcPr>
          <w:p w14:paraId="0740A81D" w14:textId="77777777" w:rsidR="00301505" w:rsidRPr="00301505" w:rsidRDefault="00301505" w:rsidP="00301505">
            <w:pPr>
              <w:spacing w:after="0" w:line="240" w:lineRule="auto"/>
              <w:rPr>
                <w:rFonts w:ascii="Calibri" w:eastAsia="Times New Roman" w:hAnsi="Calibri" w:cs="Calibri"/>
                <w:b/>
                <w:bCs/>
                <w:color w:val="000000"/>
              </w:rPr>
            </w:pPr>
            <w:r w:rsidRPr="00301505">
              <w:rPr>
                <w:rFonts w:ascii="Calibri" w:eastAsia="Times New Roman" w:hAnsi="Calibri" w:cs="Calibri"/>
                <w:b/>
                <w:bCs/>
                <w:color w:val="000000"/>
              </w:rPr>
              <w:t>West Penn</w:t>
            </w:r>
          </w:p>
        </w:tc>
        <w:tc>
          <w:tcPr>
            <w:tcW w:w="1278" w:type="dxa"/>
            <w:tcBorders>
              <w:top w:val="nil"/>
              <w:left w:val="nil"/>
              <w:bottom w:val="single" w:sz="4" w:space="0" w:color="000000"/>
              <w:right w:val="single" w:sz="4" w:space="0" w:color="000000"/>
            </w:tcBorders>
            <w:shd w:val="clear" w:color="auto" w:fill="auto"/>
            <w:vAlign w:val="bottom"/>
            <w:hideMark/>
          </w:tcPr>
          <w:p w14:paraId="567E1A74"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21,965</w:t>
            </w:r>
          </w:p>
        </w:tc>
        <w:tc>
          <w:tcPr>
            <w:tcW w:w="991" w:type="dxa"/>
            <w:tcBorders>
              <w:top w:val="nil"/>
              <w:left w:val="nil"/>
              <w:bottom w:val="single" w:sz="4" w:space="0" w:color="000000"/>
              <w:right w:val="single" w:sz="4" w:space="0" w:color="000000"/>
            </w:tcBorders>
            <w:shd w:val="clear" w:color="auto" w:fill="auto"/>
            <w:noWrap/>
            <w:vAlign w:val="center"/>
            <w:hideMark/>
          </w:tcPr>
          <w:p w14:paraId="3EC9BDA4"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20,627</w:t>
            </w:r>
          </w:p>
        </w:tc>
        <w:tc>
          <w:tcPr>
            <w:tcW w:w="991" w:type="dxa"/>
            <w:tcBorders>
              <w:top w:val="nil"/>
              <w:left w:val="nil"/>
              <w:bottom w:val="single" w:sz="4" w:space="0" w:color="000000"/>
              <w:right w:val="single" w:sz="4" w:space="0" w:color="000000"/>
            </w:tcBorders>
            <w:shd w:val="clear" w:color="auto" w:fill="auto"/>
            <w:noWrap/>
            <w:vAlign w:val="center"/>
            <w:hideMark/>
          </w:tcPr>
          <w:p w14:paraId="5C7D0CD3"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21,820</w:t>
            </w:r>
          </w:p>
        </w:tc>
        <w:tc>
          <w:tcPr>
            <w:tcW w:w="991" w:type="dxa"/>
            <w:tcBorders>
              <w:top w:val="nil"/>
              <w:left w:val="nil"/>
              <w:bottom w:val="single" w:sz="4" w:space="0" w:color="000000"/>
              <w:right w:val="single" w:sz="4" w:space="0" w:color="000000"/>
            </w:tcBorders>
            <w:shd w:val="clear" w:color="auto" w:fill="auto"/>
            <w:noWrap/>
            <w:vAlign w:val="bottom"/>
            <w:hideMark/>
          </w:tcPr>
          <w:p w14:paraId="4461E919"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23,071</w:t>
            </w:r>
          </w:p>
        </w:tc>
        <w:tc>
          <w:tcPr>
            <w:tcW w:w="1388" w:type="dxa"/>
            <w:tcBorders>
              <w:top w:val="nil"/>
              <w:left w:val="nil"/>
              <w:bottom w:val="single" w:sz="4" w:space="0" w:color="000000"/>
              <w:right w:val="single" w:sz="4" w:space="0" w:color="000000"/>
            </w:tcBorders>
            <w:shd w:val="clear" w:color="auto" w:fill="auto"/>
            <w:vAlign w:val="bottom"/>
            <w:hideMark/>
          </w:tcPr>
          <w:p w14:paraId="7B3833E1"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23,892</w:t>
            </w:r>
          </w:p>
        </w:tc>
        <w:tc>
          <w:tcPr>
            <w:tcW w:w="1154" w:type="dxa"/>
            <w:tcBorders>
              <w:top w:val="nil"/>
              <w:left w:val="nil"/>
              <w:bottom w:val="single" w:sz="4" w:space="0" w:color="000000"/>
              <w:right w:val="single" w:sz="4" w:space="0" w:color="000000"/>
            </w:tcBorders>
            <w:shd w:val="clear" w:color="auto" w:fill="auto"/>
            <w:vAlign w:val="bottom"/>
            <w:hideMark/>
          </w:tcPr>
          <w:p w14:paraId="362B29BD" w14:textId="77777777" w:rsidR="00301505" w:rsidRPr="00301505" w:rsidRDefault="00301505" w:rsidP="00301505">
            <w:pPr>
              <w:spacing w:after="0" w:line="240" w:lineRule="auto"/>
              <w:jc w:val="center"/>
              <w:rPr>
                <w:rFonts w:ascii="Calibri" w:eastAsia="Times New Roman" w:hAnsi="Calibri" w:cs="Calibri"/>
                <w:color w:val="000000"/>
                <w:sz w:val="21"/>
                <w:szCs w:val="21"/>
              </w:rPr>
            </w:pPr>
            <w:r w:rsidRPr="00301505">
              <w:rPr>
                <w:rFonts w:ascii="Calibri" w:eastAsia="Times New Roman" w:hAnsi="Calibri" w:cs="Calibri"/>
                <w:color w:val="000000"/>
                <w:sz w:val="21"/>
                <w:szCs w:val="21"/>
              </w:rPr>
              <w:t>25,568</w:t>
            </w:r>
          </w:p>
        </w:tc>
      </w:tr>
    </w:tbl>
    <w:p w14:paraId="633AA5C8" w14:textId="3A1C4D77" w:rsidR="00071E2B" w:rsidRPr="00071E2B" w:rsidRDefault="00570EAE" w:rsidP="00570EAE">
      <w:pPr>
        <w:pStyle w:val="NoSpacing"/>
        <w:ind w:left="720"/>
        <w:rPr>
          <w:rFonts w:cs="Times New Roman"/>
          <w:color w:val="000000" w:themeColor="text1"/>
          <w:szCs w:val="26"/>
        </w:rPr>
      </w:pPr>
      <w:r w:rsidRPr="00301505">
        <w:rPr>
          <w:rFonts w:eastAsia="Times New Roman" w:cs="Times New Roman"/>
          <w:color w:val="000000"/>
          <w:sz w:val="24"/>
          <w:szCs w:val="24"/>
        </w:rPr>
        <w:t>Source: Universal Service Programs &amp; Collections Performance Reports 2012-2017.</w:t>
      </w:r>
    </w:p>
    <w:p w14:paraId="3CEF5202" w14:textId="77777777" w:rsidR="00570EAE" w:rsidRPr="00EE5714" w:rsidRDefault="00570EAE" w:rsidP="007D7A46">
      <w:pPr>
        <w:pStyle w:val="NoSpacing"/>
        <w:rPr>
          <w:rFonts w:cs="Times New Roman"/>
          <w:color w:val="000000" w:themeColor="text1"/>
          <w:szCs w:val="26"/>
        </w:rPr>
      </w:pPr>
    </w:p>
    <w:p w14:paraId="5BF6C96A" w14:textId="77777777" w:rsidR="00F303E0" w:rsidRPr="00EE5714" w:rsidRDefault="00F303E0" w:rsidP="0009098D">
      <w:pPr>
        <w:pStyle w:val="NoSpacing"/>
        <w:rPr>
          <w:rFonts w:cs="Times New Roman"/>
          <w:i/>
          <w:color w:val="000000" w:themeColor="text1"/>
          <w:szCs w:val="26"/>
        </w:rPr>
      </w:pPr>
    </w:p>
    <w:p w14:paraId="2599C698" w14:textId="4A1B2455" w:rsidR="00F303E0" w:rsidRPr="00EE5714" w:rsidRDefault="00F734A0" w:rsidP="0009098D">
      <w:pPr>
        <w:pStyle w:val="NoSpacing"/>
        <w:keepNext/>
        <w:rPr>
          <w:rFonts w:cs="Times New Roman"/>
          <w:i/>
          <w:color w:val="000000" w:themeColor="text1"/>
          <w:szCs w:val="26"/>
        </w:rPr>
      </w:pPr>
      <w:r w:rsidRPr="00EE5714">
        <w:rPr>
          <w:rFonts w:cs="Times New Roman"/>
          <w:i/>
          <w:color w:val="000000" w:themeColor="text1"/>
          <w:szCs w:val="26"/>
        </w:rPr>
        <w:lastRenderedPageBreak/>
        <w:t>Appendix 9</w:t>
      </w:r>
      <w:r w:rsidR="00F303E0" w:rsidRPr="00EE5714">
        <w:rPr>
          <w:rFonts w:cs="Times New Roman"/>
          <w:i/>
          <w:color w:val="000000" w:themeColor="text1"/>
          <w:szCs w:val="26"/>
        </w:rPr>
        <w:t>.D: Table 10-</w:t>
      </w:r>
      <w:r w:rsidR="00083E32">
        <w:rPr>
          <w:rFonts w:cs="Times New Roman"/>
          <w:i/>
          <w:color w:val="000000" w:themeColor="text1"/>
          <w:szCs w:val="26"/>
        </w:rPr>
        <w:t>2</w:t>
      </w:r>
      <w:r w:rsidR="00F303E0" w:rsidRPr="00EE5714">
        <w:rPr>
          <w:rFonts w:cs="Times New Roman"/>
          <w:i/>
          <w:color w:val="000000" w:themeColor="text1"/>
          <w:szCs w:val="26"/>
        </w:rPr>
        <w:t xml:space="preserve"> EDCs CAP Total Costs with 5-Year Forecasting </w:t>
      </w:r>
    </w:p>
    <w:p w14:paraId="17647BF4" w14:textId="77777777" w:rsidR="00F303E0" w:rsidRPr="00EE5714" w:rsidRDefault="00F303E0" w:rsidP="0009098D">
      <w:pPr>
        <w:pStyle w:val="NoSpacing"/>
        <w:keepNext/>
        <w:rPr>
          <w:rFonts w:cs="Times New Roman"/>
          <w:szCs w:val="26"/>
        </w:rPr>
      </w:pPr>
    </w:p>
    <w:p w14:paraId="04F4051A" w14:textId="28A24AFC" w:rsidR="00F303E0" w:rsidRPr="00EE5714" w:rsidRDefault="00F734A0" w:rsidP="0009098D">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8F612D" w:rsidRPr="00EE5714">
        <w:rPr>
          <w:rFonts w:cs="Times New Roman"/>
          <w:szCs w:val="26"/>
        </w:rPr>
        <w:t>D</w:t>
      </w:r>
      <w:r w:rsidR="00F303E0" w:rsidRPr="00EE5714">
        <w:rPr>
          <w:rFonts w:cs="Times New Roman"/>
          <w:szCs w:val="26"/>
        </w:rPr>
        <w:t>.1:</w:t>
      </w:r>
      <w:r w:rsidR="00F303E0" w:rsidRPr="00EE5714">
        <w:rPr>
          <w:rFonts w:cs="Times New Roman"/>
          <w:b/>
          <w:szCs w:val="26"/>
        </w:rPr>
        <w:t xml:space="preserve"> EDC</w:t>
      </w:r>
      <w:r w:rsidR="00F303E0" w:rsidRPr="00EE5714">
        <w:rPr>
          <w:rFonts w:cs="Times New Roman"/>
          <w:szCs w:val="26"/>
        </w:rPr>
        <w:t xml:space="preserve"> </w:t>
      </w:r>
      <w:r w:rsidR="00F303E0" w:rsidRPr="00EE5714">
        <w:rPr>
          <w:rFonts w:eastAsia="Times New Roman" w:cs="Times New Roman"/>
          <w:b/>
          <w:color w:val="000000"/>
          <w:szCs w:val="26"/>
        </w:rPr>
        <w:t>Actual Total Gross CAP Costs</w:t>
      </w:r>
    </w:p>
    <w:tbl>
      <w:tblPr>
        <w:tblW w:w="11780" w:type="dxa"/>
        <w:jc w:val="center"/>
        <w:tblLayout w:type="fixed"/>
        <w:tblLook w:val="04A0" w:firstRow="1" w:lastRow="0" w:firstColumn="1" w:lastColumn="0" w:noHBand="0" w:noVBand="1"/>
      </w:tblPr>
      <w:tblGrid>
        <w:gridCol w:w="1440"/>
        <w:gridCol w:w="1700"/>
        <w:gridCol w:w="1710"/>
        <w:gridCol w:w="1980"/>
        <w:gridCol w:w="1620"/>
        <w:gridCol w:w="1710"/>
        <w:gridCol w:w="1620"/>
      </w:tblGrid>
      <w:tr w:rsidR="00E83110" w:rsidRPr="00EE5714" w14:paraId="2F40DB30" w14:textId="4026856F" w:rsidTr="00357D61">
        <w:trPr>
          <w:trHeight w:val="315"/>
          <w:jc w:val="center"/>
        </w:trPr>
        <w:tc>
          <w:tcPr>
            <w:tcW w:w="11780" w:type="dxa"/>
            <w:gridSpan w:val="7"/>
            <w:tcBorders>
              <w:top w:val="single" w:sz="8" w:space="0" w:color="000000"/>
              <w:left w:val="single" w:sz="8" w:space="0" w:color="000000"/>
              <w:bottom w:val="single" w:sz="4" w:space="0" w:color="000000"/>
              <w:right w:val="single" w:sz="8" w:space="0" w:color="000000"/>
            </w:tcBorders>
            <w:shd w:val="clear" w:color="auto" w:fill="D9D9D9" w:themeFill="background1" w:themeFillShade="D9"/>
            <w:noWrap/>
            <w:vAlign w:val="bottom"/>
            <w:hideMark/>
          </w:tcPr>
          <w:p w14:paraId="20D9C3D6" w14:textId="7DA73055" w:rsidR="00E83110" w:rsidRPr="00EE5714" w:rsidRDefault="00E83110" w:rsidP="0009098D">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Total Gross CAP Costs</w:t>
            </w:r>
          </w:p>
        </w:tc>
      </w:tr>
      <w:tr w:rsidR="00C24716" w:rsidRPr="00EE5714" w14:paraId="066F8C6D" w14:textId="10DB4120" w:rsidTr="00E7257D">
        <w:trPr>
          <w:trHeight w:val="300"/>
          <w:jc w:val="center"/>
        </w:trPr>
        <w:tc>
          <w:tcPr>
            <w:tcW w:w="1440" w:type="dxa"/>
            <w:tcBorders>
              <w:top w:val="nil"/>
              <w:left w:val="single" w:sz="8" w:space="0" w:color="000000"/>
              <w:bottom w:val="single" w:sz="4" w:space="0" w:color="000000"/>
              <w:right w:val="single" w:sz="8" w:space="0" w:color="000000"/>
            </w:tcBorders>
            <w:shd w:val="clear" w:color="auto" w:fill="auto"/>
            <w:noWrap/>
            <w:vAlign w:val="bottom"/>
          </w:tcPr>
          <w:p w14:paraId="66259BD9" w14:textId="77777777" w:rsidR="00C24716" w:rsidRPr="00EE5714" w:rsidRDefault="00C24716" w:rsidP="0009098D">
            <w:pPr>
              <w:keepNext/>
              <w:spacing w:after="0" w:line="240" w:lineRule="auto"/>
              <w:jc w:val="center"/>
              <w:rPr>
                <w:rFonts w:ascii="Calibri" w:eastAsia="Times New Roman" w:hAnsi="Calibri" w:cs="Calibri"/>
                <w:b/>
                <w:bCs/>
                <w:i/>
                <w:iCs/>
                <w:color w:val="000000"/>
                <w:sz w:val="21"/>
                <w:szCs w:val="21"/>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BD8C4C0" w14:textId="77777777" w:rsidR="00C24716" w:rsidRPr="00EE5714" w:rsidRDefault="00C24716"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1710" w:type="dxa"/>
            <w:tcBorders>
              <w:top w:val="nil"/>
              <w:left w:val="single" w:sz="8" w:space="0" w:color="000000"/>
              <w:bottom w:val="single" w:sz="4" w:space="0" w:color="000000"/>
              <w:right w:val="single" w:sz="4" w:space="0" w:color="000000"/>
            </w:tcBorders>
            <w:shd w:val="clear" w:color="auto" w:fill="auto"/>
            <w:noWrap/>
            <w:vAlign w:val="center"/>
            <w:hideMark/>
          </w:tcPr>
          <w:p w14:paraId="5600C953" w14:textId="77777777" w:rsidR="00C24716" w:rsidRPr="00EE5714" w:rsidRDefault="00C24716" w:rsidP="0009098D">
            <w:pPr>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1980" w:type="dxa"/>
            <w:tcBorders>
              <w:top w:val="nil"/>
              <w:left w:val="nil"/>
              <w:bottom w:val="single" w:sz="4" w:space="0" w:color="000000"/>
              <w:right w:val="single" w:sz="4" w:space="0" w:color="000000"/>
            </w:tcBorders>
            <w:shd w:val="clear" w:color="auto" w:fill="auto"/>
            <w:noWrap/>
            <w:vAlign w:val="center"/>
            <w:hideMark/>
          </w:tcPr>
          <w:p w14:paraId="77384B3E" w14:textId="77777777" w:rsidR="00C24716" w:rsidRPr="00EE5714" w:rsidRDefault="00C24716" w:rsidP="0009098D">
            <w:pPr>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1620" w:type="dxa"/>
            <w:tcBorders>
              <w:top w:val="nil"/>
              <w:left w:val="nil"/>
              <w:bottom w:val="single" w:sz="4" w:space="0" w:color="000000"/>
              <w:right w:val="single" w:sz="4" w:space="0" w:color="000000"/>
            </w:tcBorders>
            <w:shd w:val="clear" w:color="auto" w:fill="auto"/>
            <w:noWrap/>
            <w:vAlign w:val="center"/>
            <w:hideMark/>
          </w:tcPr>
          <w:p w14:paraId="45AB7E69" w14:textId="77777777" w:rsidR="00C24716" w:rsidRPr="00EE5714" w:rsidRDefault="00C24716" w:rsidP="0009098D">
            <w:pPr>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1710" w:type="dxa"/>
            <w:tcBorders>
              <w:top w:val="nil"/>
              <w:left w:val="nil"/>
              <w:bottom w:val="single" w:sz="4" w:space="0" w:color="000000"/>
              <w:right w:val="single" w:sz="8" w:space="0" w:color="000000"/>
            </w:tcBorders>
            <w:shd w:val="clear" w:color="auto" w:fill="auto"/>
            <w:noWrap/>
            <w:vAlign w:val="center"/>
            <w:hideMark/>
          </w:tcPr>
          <w:p w14:paraId="5F1D69C5" w14:textId="77777777" w:rsidR="00C24716" w:rsidRPr="00EE5714" w:rsidRDefault="00C24716" w:rsidP="0009098D">
            <w:pPr>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1620" w:type="dxa"/>
            <w:tcBorders>
              <w:top w:val="nil"/>
              <w:left w:val="nil"/>
              <w:bottom w:val="single" w:sz="4" w:space="0" w:color="000000"/>
              <w:right w:val="single" w:sz="8" w:space="0" w:color="000000"/>
            </w:tcBorders>
          </w:tcPr>
          <w:p w14:paraId="465E1EA6" w14:textId="27E500A8" w:rsidR="00C24716" w:rsidRPr="00EE5714" w:rsidRDefault="00E7257D" w:rsidP="0009098D">
            <w:pPr>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r>
      <w:tr w:rsidR="00E7257D" w:rsidRPr="00EE5714" w14:paraId="77E4B4C7" w14:textId="0D88BF01" w:rsidTr="00E7257D">
        <w:trPr>
          <w:trHeight w:val="144"/>
          <w:jc w:val="center"/>
        </w:trPr>
        <w:tc>
          <w:tcPr>
            <w:tcW w:w="1440" w:type="dxa"/>
            <w:tcBorders>
              <w:top w:val="nil"/>
              <w:left w:val="single" w:sz="8" w:space="0" w:color="000000"/>
              <w:bottom w:val="single" w:sz="4" w:space="0" w:color="000000"/>
              <w:right w:val="single" w:sz="8" w:space="0" w:color="000000"/>
            </w:tcBorders>
            <w:shd w:val="clear" w:color="auto" w:fill="auto"/>
            <w:noWrap/>
          </w:tcPr>
          <w:p w14:paraId="006AED9F" w14:textId="77777777" w:rsidR="00E7257D" w:rsidRPr="00EE5714" w:rsidRDefault="00E7257D" w:rsidP="00E7257D">
            <w:pPr>
              <w:keepNext/>
              <w:spacing w:after="0" w:line="240" w:lineRule="auto"/>
              <w:rPr>
                <w:rFonts w:ascii="Calibri" w:hAnsi="Calibri" w:cs="Calibri"/>
                <w:b/>
                <w:sz w:val="21"/>
                <w:szCs w:val="21"/>
              </w:rPr>
            </w:pPr>
            <w:r w:rsidRPr="00EE5714">
              <w:rPr>
                <w:rFonts w:ascii="Calibri" w:hAnsi="Calibri" w:cs="Calibri"/>
                <w:b/>
                <w:sz w:val="21"/>
                <w:szCs w:val="21"/>
              </w:rPr>
              <w:t xml:space="preserve">Duquesne </w:t>
            </w:r>
          </w:p>
        </w:tc>
        <w:tc>
          <w:tcPr>
            <w:tcW w:w="170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212A8CD5" w14:textId="06E98839" w:rsidR="00E7257D" w:rsidRPr="00EE5714" w:rsidRDefault="00E7257D" w:rsidP="00E7257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$16,680,684</w:t>
            </w:r>
          </w:p>
        </w:tc>
        <w:tc>
          <w:tcPr>
            <w:tcW w:w="1710" w:type="dxa"/>
            <w:tcBorders>
              <w:top w:val="nil"/>
              <w:left w:val="single" w:sz="8" w:space="0" w:color="000000"/>
              <w:bottom w:val="single" w:sz="4" w:space="0" w:color="000000"/>
              <w:right w:val="single" w:sz="4" w:space="0" w:color="000000"/>
            </w:tcBorders>
            <w:shd w:val="clear" w:color="auto" w:fill="auto"/>
            <w:noWrap/>
            <w:vAlign w:val="bottom"/>
          </w:tcPr>
          <w:p w14:paraId="78699753" w14:textId="68DFBDF1"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$16,549,705</w:t>
            </w:r>
          </w:p>
        </w:tc>
        <w:tc>
          <w:tcPr>
            <w:tcW w:w="1980" w:type="dxa"/>
            <w:tcBorders>
              <w:top w:val="nil"/>
              <w:left w:val="nil"/>
              <w:bottom w:val="single" w:sz="4" w:space="0" w:color="000000"/>
              <w:right w:val="single" w:sz="4" w:space="0" w:color="000000"/>
            </w:tcBorders>
            <w:shd w:val="clear" w:color="auto" w:fill="auto"/>
            <w:noWrap/>
            <w:vAlign w:val="bottom"/>
          </w:tcPr>
          <w:p w14:paraId="05DF4F98" w14:textId="4BCC3697"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$15,888,626</w:t>
            </w:r>
          </w:p>
        </w:tc>
        <w:tc>
          <w:tcPr>
            <w:tcW w:w="1620" w:type="dxa"/>
            <w:tcBorders>
              <w:top w:val="nil"/>
              <w:left w:val="nil"/>
              <w:bottom w:val="single" w:sz="4" w:space="0" w:color="000000"/>
              <w:right w:val="single" w:sz="4" w:space="0" w:color="000000"/>
            </w:tcBorders>
            <w:shd w:val="clear" w:color="auto" w:fill="auto"/>
            <w:noWrap/>
            <w:vAlign w:val="bottom"/>
          </w:tcPr>
          <w:p w14:paraId="62FD1C76" w14:textId="4F7D3241"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$18,984,666</w:t>
            </w:r>
          </w:p>
        </w:tc>
        <w:tc>
          <w:tcPr>
            <w:tcW w:w="1710" w:type="dxa"/>
            <w:tcBorders>
              <w:top w:val="nil"/>
              <w:left w:val="nil"/>
              <w:bottom w:val="single" w:sz="4" w:space="0" w:color="000000"/>
              <w:right w:val="single" w:sz="8" w:space="0" w:color="000000"/>
            </w:tcBorders>
            <w:shd w:val="clear" w:color="auto" w:fill="auto"/>
            <w:noWrap/>
            <w:vAlign w:val="bottom"/>
          </w:tcPr>
          <w:p w14:paraId="2339B515" w14:textId="72100F84"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$21,244,454</w:t>
            </w:r>
          </w:p>
        </w:tc>
        <w:tc>
          <w:tcPr>
            <w:tcW w:w="1620" w:type="dxa"/>
            <w:tcBorders>
              <w:top w:val="nil"/>
              <w:left w:val="nil"/>
              <w:bottom w:val="single" w:sz="4" w:space="0" w:color="000000"/>
              <w:right w:val="single" w:sz="8" w:space="0" w:color="000000"/>
            </w:tcBorders>
            <w:vAlign w:val="center"/>
          </w:tcPr>
          <w:p w14:paraId="52145078" w14:textId="79089A45" w:rsidR="00E7257D" w:rsidRPr="00EE5714" w:rsidRDefault="00E7257D" w:rsidP="00E7257D">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$23,083,236 </w:t>
            </w:r>
          </w:p>
        </w:tc>
      </w:tr>
      <w:tr w:rsidR="00E7257D" w:rsidRPr="00EE5714" w14:paraId="0E582510" w14:textId="596978FF" w:rsidTr="00E7257D">
        <w:trPr>
          <w:trHeight w:val="144"/>
          <w:jc w:val="center"/>
        </w:trPr>
        <w:tc>
          <w:tcPr>
            <w:tcW w:w="1440" w:type="dxa"/>
            <w:tcBorders>
              <w:top w:val="nil"/>
              <w:left w:val="single" w:sz="8" w:space="0" w:color="000000"/>
              <w:bottom w:val="single" w:sz="4" w:space="0" w:color="000000"/>
              <w:right w:val="single" w:sz="8" w:space="0" w:color="000000"/>
            </w:tcBorders>
            <w:shd w:val="clear" w:color="auto" w:fill="auto"/>
            <w:noWrap/>
          </w:tcPr>
          <w:p w14:paraId="1BF82171" w14:textId="77777777" w:rsidR="00E7257D" w:rsidRPr="00EE5714" w:rsidRDefault="00E7257D" w:rsidP="00E7257D">
            <w:pPr>
              <w:keepNext/>
              <w:spacing w:after="0" w:line="240" w:lineRule="auto"/>
              <w:rPr>
                <w:rFonts w:ascii="Calibri" w:hAnsi="Calibri" w:cs="Calibri"/>
                <w:b/>
                <w:sz w:val="21"/>
                <w:szCs w:val="21"/>
              </w:rPr>
            </w:pPr>
            <w:r w:rsidRPr="00EE5714">
              <w:rPr>
                <w:rFonts w:ascii="Calibri" w:hAnsi="Calibri" w:cs="Calibri"/>
                <w:b/>
                <w:sz w:val="21"/>
                <w:szCs w:val="21"/>
              </w:rPr>
              <w:t>Met-Ed</w:t>
            </w:r>
          </w:p>
        </w:tc>
        <w:tc>
          <w:tcPr>
            <w:tcW w:w="170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1927BC4D" w14:textId="64359E63" w:rsidR="00E7257D" w:rsidRPr="00EE5714" w:rsidRDefault="00E7257D" w:rsidP="00E7257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$28,356,979</w:t>
            </w:r>
          </w:p>
        </w:tc>
        <w:tc>
          <w:tcPr>
            <w:tcW w:w="1710" w:type="dxa"/>
            <w:tcBorders>
              <w:top w:val="nil"/>
              <w:left w:val="single" w:sz="8" w:space="0" w:color="000000"/>
              <w:bottom w:val="single" w:sz="4" w:space="0" w:color="000000"/>
              <w:right w:val="single" w:sz="4" w:space="0" w:color="000000"/>
            </w:tcBorders>
            <w:shd w:val="clear" w:color="auto" w:fill="auto"/>
            <w:noWrap/>
            <w:vAlign w:val="bottom"/>
          </w:tcPr>
          <w:p w14:paraId="246F9E0E" w14:textId="38DBD003"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$22,984,906</w:t>
            </w:r>
          </w:p>
        </w:tc>
        <w:tc>
          <w:tcPr>
            <w:tcW w:w="1980" w:type="dxa"/>
            <w:tcBorders>
              <w:top w:val="nil"/>
              <w:left w:val="nil"/>
              <w:bottom w:val="single" w:sz="4" w:space="0" w:color="000000"/>
              <w:right w:val="single" w:sz="4" w:space="0" w:color="000000"/>
            </w:tcBorders>
            <w:shd w:val="clear" w:color="auto" w:fill="auto"/>
            <w:noWrap/>
            <w:vAlign w:val="bottom"/>
          </w:tcPr>
          <w:p w14:paraId="690F4EE2" w14:textId="066A9D04"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$17,525,198</w:t>
            </w:r>
          </w:p>
        </w:tc>
        <w:tc>
          <w:tcPr>
            <w:tcW w:w="1620" w:type="dxa"/>
            <w:tcBorders>
              <w:top w:val="nil"/>
              <w:left w:val="nil"/>
              <w:bottom w:val="single" w:sz="4" w:space="0" w:color="000000"/>
              <w:right w:val="single" w:sz="4" w:space="0" w:color="000000"/>
            </w:tcBorders>
            <w:shd w:val="clear" w:color="auto" w:fill="auto"/>
            <w:noWrap/>
            <w:vAlign w:val="bottom"/>
          </w:tcPr>
          <w:p w14:paraId="0B521F1A" w14:textId="497B6DB0"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$15,113,962</w:t>
            </w:r>
          </w:p>
        </w:tc>
        <w:tc>
          <w:tcPr>
            <w:tcW w:w="1710" w:type="dxa"/>
            <w:tcBorders>
              <w:top w:val="nil"/>
              <w:left w:val="nil"/>
              <w:bottom w:val="single" w:sz="4" w:space="0" w:color="000000"/>
              <w:right w:val="single" w:sz="8" w:space="0" w:color="000000"/>
            </w:tcBorders>
            <w:shd w:val="clear" w:color="auto" w:fill="auto"/>
            <w:noWrap/>
            <w:vAlign w:val="bottom"/>
          </w:tcPr>
          <w:p w14:paraId="687FEA9B" w14:textId="6DC0BF4B"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$14,313,820</w:t>
            </w:r>
          </w:p>
        </w:tc>
        <w:tc>
          <w:tcPr>
            <w:tcW w:w="1620" w:type="dxa"/>
            <w:tcBorders>
              <w:top w:val="nil"/>
              <w:left w:val="nil"/>
              <w:bottom w:val="single" w:sz="4" w:space="0" w:color="000000"/>
              <w:right w:val="single" w:sz="8" w:space="0" w:color="000000"/>
            </w:tcBorders>
            <w:vAlign w:val="center"/>
          </w:tcPr>
          <w:p w14:paraId="3E53C5C6" w14:textId="5A133E54" w:rsidR="00E7257D" w:rsidRPr="00EE5714" w:rsidRDefault="00E7257D" w:rsidP="00E7257D">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$14,758,527 </w:t>
            </w:r>
          </w:p>
        </w:tc>
      </w:tr>
      <w:tr w:rsidR="00E7257D" w:rsidRPr="00EE5714" w14:paraId="382F2439" w14:textId="078B5545" w:rsidTr="00E7257D">
        <w:trPr>
          <w:trHeight w:val="144"/>
          <w:jc w:val="center"/>
        </w:trPr>
        <w:tc>
          <w:tcPr>
            <w:tcW w:w="1440" w:type="dxa"/>
            <w:tcBorders>
              <w:top w:val="nil"/>
              <w:left w:val="single" w:sz="8" w:space="0" w:color="000000"/>
              <w:bottom w:val="single" w:sz="4" w:space="0" w:color="000000"/>
              <w:right w:val="single" w:sz="8" w:space="0" w:color="000000"/>
            </w:tcBorders>
            <w:shd w:val="clear" w:color="auto" w:fill="auto"/>
            <w:noWrap/>
          </w:tcPr>
          <w:p w14:paraId="669287BD" w14:textId="77777777" w:rsidR="00E7257D" w:rsidRPr="00EE5714" w:rsidRDefault="00E7257D" w:rsidP="00E7257D">
            <w:pPr>
              <w:keepNext/>
              <w:spacing w:after="0" w:line="240" w:lineRule="auto"/>
              <w:rPr>
                <w:rFonts w:ascii="Calibri" w:hAnsi="Calibri" w:cs="Calibri"/>
                <w:b/>
                <w:sz w:val="21"/>
                <w:szCs w:val="21"/>
              </w:rPr>
            </w:pPr>
            <w:r w:rsidRPr="00EE5714">
              <w:rPr>
                <w:rFonts w:ascii="Calibri" w:hAnsi="Calibri" w:cs="Calibri"/>
                <w:b/>
                <w:sz w:val="21"/>
                <w:szCs w:val="21"/>
              </w:rPr>
              <w:t>PECO Electric</w:t>
            </w:r>
          </w:p>
        </w:tc>
        <w:tc>
          <w:tcPr>
            <w:tcW w:w="170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1E6E4EF4" w14:textId="62A1B120" w:rsidR="00E7257D" w:rsidRPr="00EE5714" w:rsidRDefault="00E7257D" w:rsidP="00E7257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$94,760,602</w:t>
            </w:r>
          </w:p>
        </w:tc>
        <w:tc>
          <w:tcPr>
            <w:tcW w:w="1710" w:type="dxa"/>
            <w:tcBorders>
              <w:top w:val="nil"/>
              <w:left w:val="single" w:sz="8" w:space="0" w:color="000000"/>
              <w:bottom w:val="single" w:sz="8" w:space="0" w:color="000000"/>
              <w:right w:val="single" w:sz="4" w:space="0" w:color="000000"/>
            </w:tcBorders>
            <w:shd w:val="clear" w:color="auto" w:fill="auto"/>
            <w:noWrap/>
            <w:vAlign w:val="bottom"/>
          </w:tcPr>
          <w:p w14:paraId="08D7B2B2" w14:textId="73581AD7"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$91,508,724</w:t>
            </w:r>
          </w:p>
        </w:tc>
        <w:tc>
          <w:tcPr>
            <w:tcW w:w="1980" w:type="dxa"/>
            <w:tcBorders>
              <w:top w:val="nil"/>
              <w:left w:val="nil"/>
              <w:bottom w:val="single" w:sz="8" w:space="0" w:color="000000"/>
              <w:right w:val="single" w:sz="4" w:space="0" w:color="000000"/>
            </w:tcBorders>
            <w:shd w:val="clear" w:color="auto" w:fill="auto"/>
            <w:noWrap/>
            <w:vAlign w:val="bottom"/>
          </w:tcPr>
          <w:p w14:paraId="55EF1826" w14:textId="32B2E4C2"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$94,812,522</w:t>
            </w:r>
          </w:p>
        </w:tc>
        <w:tc>
          <w:tcPr>
            <w:tcW w:w="1620" w:type="dxa"/>
            <w:tcBorders>
              <w:top w:val="nil"/>
              <w:left w:val="nil"/>
              <w:bottom w:val="single" w:sz="8" w:space="0" w:color="000000"/>
              <w:right w:val="single" w:sz="4" w:space="0" w:color="000000"/>
            </w:tcBorders>
            <w:shd w:val="clear" w:color="auto" w:fill="auto"/>
            <w:noWrap/>
            <w:vAlign w:val="bottom"/>
          </w:tcPr>
          <w:p w14:paraId="507E6091" w14:textId="2BF179F5"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$96,675,303</w:t>
            </w:r>
          </w:p>
        </w:tc>
        <w:tc>
          <w:tcPr>
            <w:tcW w:w="1710" w:type="dxa"/>
            <w:tcBorders>
              <w:top w:val="nil"/>
              <w:left w:val="nil"/>
              <w:bottom w:val="single" w:sz="8" w:space="0" w:color="000000"/>
              <w:right w:val="single" w:sz="8" w:space="0" w:color="000000"/>
            </w:tcBorders>
            <w:shd w:val="clear" w:color="auto" w:fill="auto"/>
            <w:noWrap/>
            <w:vAlign w:val="bottom"/>
          </w:tcPr>
          <w:p w14:paraId="1B4B70B2" w14:textId="6333FB64"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$92,369,577</w:t>
            </w:r>
          </w:p>
        </w:tc>
        <w:tc>
          <w:tcPr>
            <w:tcW w:w="1620" w:type="dxa"/>
            <w:tcBorders>
              <w:top w:val="nil"/>
              <w:left w:val="nil"/>
              <w:bottom w:val="single" w:sz="8" w:space="0" w:color="000000"/>
              <w:right w:val="single" w:sz="8" w:space="0" w:color="000000"/>
            </w:tcBorders>
            <w:vAlign w:val="center"/>
          </w:tcPr>
          <w:p w14:paraId="0752E195" w14:textId="2F4B00B2" w:rsidR="00E7257D" w:rsidRPr="00EE5714" w:rsidRDefault="00E7257D" w:rsidP="00E7257D">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$70,653,278 </w:t>
            </w:r>
          </w:p>
        </w:tc>
      </w:tr>
      <w:tr w:rsidR="00E7257D" w:rsidRPr="00EE5714" w14:paraId="6630A3C0" w14:textId="33BBC259" w:rsidTr="00E7257D">
        <w:trPr>
          <w:trHeight w:val="144"/>
          <w:jc w:val="center"/>
        </w:trPr>
        <w:tc>
          <w:tcPr>
            <w:tcW w:w="1440" w:type="dxa"/>
            <w:tcBorders>
              <w:top w:val="nil"/>
              <w:left w:val="single" w:sz="8" w:space="0" w:color="000000"/>
              <w:bottom w:val="single" w:sz="4" w:space="0" w:color="000000"/>
              <w:right w:val="single" w:sz="8" w:space="0" w:color="000000"/>
            </w:tcBorders>
            <w:shd w:val="clear" w:color="auto" w:fill="auto"/>
            <w:noWrap/>
          </w:tcPr>
          <w:p w14:paraId="038D6418" w14:textId="77777777" w:rsidR="00E7257D" w:rsidRPr="00EE5714" w:rsidRDefault="00E7257D" w:rsidP="00E7257D">
            <w:pPr>
              <w:keepNext/>
              <w:spacing w:after="0" w:line="240" w:lineRule="auto"/>
              <w:rPr>
                <w:rFonts w:ascii="Calibri" w:hAnsi="Calibri" w:cs="Calibri"/>
                <w:b/>
                <w:sz w:val="21"/>
                <w:szCs w:val="21"/>
              </w:rPr>
            </w:pPr>
            <w:proofErr w:type="spellStart"/>
            <w:r w:rsidRPr="00EE5714">
              <w:rPr>
                <w:rFonts w:ascii="Calibri" w:hAnsi="Calibri" w:cs="Calibri"/>
                <w:b/>
                <w:sz w:val="21"/>
                <w:szCs w:val="21"/>
              </w:rPr>
              <w:t>Penelec</w:t>
            </w:r>
            <w:proofErr w:type="spellEnd"/>
          </w:p>
        </w:tc>
        <w:tc>
          <w:tcPr>
            <w:tcW w:w="1700" w:type="dxa"/>
            <w:tcBorders>
              <w:top w:val="single" w:sz="8" w:space="0" w:color="000000"/>
              <w:left w:val="single" w:sz="8" w:space="0" w:color="000000"/>
              <w:bottom w:val="single" w:sz="8" w:space="0" w:color="000000"/>
              <w:right w:val="single" w:sz="4" w:space="0" w:color="auto"/>
            </w:tcBorders>
            <w:shd w:val="clear" w:color="auto" w:fill="auto"/>
            <w:noWrap/>
            <w:vAlign w:val="bottom"/>
          </w:tcPr>
          <w:p w14:paraId="6245A7D6" w14:textId="4AC48301" w:rsidR="00E7257D" w:rsidRPr="00EE5714" w:rsidRDefault="00E7257D" w:rsidP="00E7257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$30,152,302</w:t>
            </w:r>
          </w:p>
        </w:tc>
        <w:tc>
          <w:tcPr>
            <w:tcW w:w="1710" w:type="dxa"/>
            <w:tcBorders>
              <w:top w:val="single" w:sz="8" w:space="0" w:color="000000"/>
              <w:left w:val="single" w:sz="4" w:space="0" w:color="auto"/>
              <w:bottom w:val="single" w:sz="4" w:space="0" w:color="000000"/>
              <w:right w:val="single" w:sz="4" w:space="0" w:color="000000"/>
            </w:tcBorders>
            <w:shd w:val="clear" w:color="auto" w:fill="auto"/>
            <w:noWrap/>
            <w:vAlign w:val="bottom"/>
          </w:tcPr>
          <w:p w14:paraId="2544A2A6" w14:textId="615128C3"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$25,303,288</w:t>
            </w:r>
          </w:p>
        </w:tc>
        <w:tc>
          <w:tcPr>
            <w:tcW w:w="1980" w:type="dxa"/>
            <w:tcBorders>
              <w:top w:val="single" w:sz="8" w:space="0" w:color="000000"/>
              <w:left w:val="nil"/>
              <w:bottom w:val="single" w:sz="4" w:space="0" w:color="000000"/>
              <w:right w:val="single" w:sz="4" w:space="0" w:color="000000"/>
            </w:tcBorders>
            <w:shd w:val="clear" w:color="auto" w:fill="auto"/>
            <w:noWrap/>
            <w:vAlign w:val="bottom"/>
          </w:tcPr>
          <w:p w14:paraId="55206EFA" w14:textId="64F40484"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$20,236,493</w:t>
            </w:r>
          </w:p>
        </w:tc>
        <w:tc>
          <w:tcPr>
            <w:tcW w:w="1620" w:type="dxa"/>
            <w:tcBorders>
              <w:top w:val="single" w:sz="8" w:space="0" w:color="000000"/>
              <w:left w:val="nil"/>
              <w:bottom w:val="single" w:sz="4" w:space="0" w:color="000000"/>
              <w:right w:val="single" w:sz="4" w:space="0" w:color="000000"/>
            </w:tcBorders>
            <w:shd w:val="clear" w:color="auto" w:fill="auto"/>
            <w:noWrap/>
            <w:vAlign w:val="bottom"/>
          </w:tcPr>
          <w:p w14:paraId="584E6142" w14:textId="38AFB942"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$18,127,221</w:t>
            </w:r>
          </w:p>
        </w:tc>
        <w:tc>
          <w:tcPr>
            <w:tcW w:w="1710" w:type="dxa"/>
            <w:tcBorders>
              <w:top w:val="single" w:sz="8" w:space="0" w:color="000000"/>
              <w:left w:val="nil"/>
              <w:bottom w:val="single" w:sz="4" w:space="0" w:color="000000"/>
              <w:right w:val="single" w:sz="8" w:space="0" w:color="000000"/>
            </w:tcBorders>
            <w:shd w:val="clear" w:color="auto" w:fill="auto"/>
            <w:noWrap/>
            <w:vAlign w:val="bottom"/>
          </w:tcPr>
          <w:p w14:paraId="51F60528" w14:textId="13866477"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$18,254,884</w:t>
            </w:r>
          </w:p>
        </w:tc>
        <w:tc>
          <w:tcPr>
            <w:tcW w:w="1620" w:type="dxa"/>
            <w:tcBorders>
              <w:top w:val="single" w:sz="8" w:space="0" w:color="000000"/>
              <w:left w:val="nil"/>
              <w:bottom w:val="single" w:sz="4" w:space="0" w:color="000000"/>
              <w:right w:val="single" w:sz="8" w:space="0" w:color="000000"/>
            </w:tcBorders>
            <w:vAlign w:val="center"/>
          </w:tcPr>
          <w:p w14:paraId="451BA42D" w14:textId="6B6680E2" w:rsidR="00E7257D" w:rsidRPr="00EE5714" w:rsidRDefault="00E7257D" w:rsidP="00E7257D">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$18,852,006 </w:t>
            </w:r>
          </w:p>
        </w:tc>
      </w:tr>
      <w:tr w:rsidR="00E7257D" w:rsidRPr="00EE5714" w14:paraId="12EC1C5C" w14:textId="1714DE3E" w:rsidTr="00E7257D">
        <w:trPr>
          <w:trHeight w:val="144"/>
          <w:jc w:val="center"/>
        </w:trPr>
        <w:tc>
          <w:tcPr>
            <w:tcW w:w="1440" w:type="dxa"/>
            <w:tcBorders>
              <w:top w:val="nil"/>
              <w:left w:val="single" w:sz="8" w:space="0" w:color="000000"/>
              <w:bottom w:val="single" w:sz="4" w:space="0" w:color="000000"/>
              <w:right w:val="single" w:sz="8" w:space="0" w:color="000000"/>
            </w:tcBorders>
            <w:shd w:val="clear" w:color="auto" w:fill="auto"/>
            <w:noWrap/>
          </w:tcPr>
          <w:p w14:paraId="7306DCE1" w14:textId="77777777" w:rsidR="00E7257D" w:rsidRPr="00EE5714" w:rsidRDefault="00E7257D" w:rsidP="00E7257D">
            <w:pPr>
              <w:keepNext/>
              <w:spacing w:after="0" w:line="240" w:lineRule="auto"/>
              <w:rPr>
                <w:rFonts w:ascii="Calibri" w:hAnsi="Calibri" w:cs="Calibri"/>
                <w:b/>
                <w:sz w:val="21"/>
                <w:szCs w:val="21"/>
              </w:rPr>
            </w:pPr>
            <w:r w:rsidRPr="00EE5714">
              <w:rPr>
                <w:rFonts w:ascii="Calibri" w:hAnsi="Calibri" w:cs="Calibri"/>
                <w:b/>
                <w:sz w:val="21"/>
                <w:szCs w:val="21"/>
              </w:rPr>
              <w:t>Penn Power</w:t>
            </w:r>
          </w:p>
        </w:tc>
        <w:tc>
          <w:tcPr>
            <w:tcW w:w="170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6954A5A9" w14:textId="39AAD536" w:rsidR="00E7257D" w:rsidRPr="00EE5714" w:rsidRDefault="00E7257D" w:rsidP="00E7257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$8,861,651</w:t>
            </w:r>
          </w:p>
        </w:tc>
        <w:tc>
          <w:tcPr>
            <w:tcW w:w="1710" w:type="dxa"/>
            <w:tcBorders>
              <w:top w:val="nil"/>
              <w:left w:val="single" w:sz="8" w:space="0" w:color="000000"/>
              <w:bottom w:val="single" w:sz="4" w:space="0" w:color="000000"/>
              <w:right w:val="single" w:sz="4" w:space="0" w:color="000000"/>
            </w:tcBorders>
            <w:shd w:val="clear" w:color="auto" w:fill="auto"/>
            <w:noWrap/>
            <w:vAlign w:val="bottom"/>
          </w:tcPr>
          <w:p w14:paraId="6F644365" w14:textId="60971084"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$6,116,965</w:t>
            </w:r>
          </w:p>
        </w:tc>
        <w:tc>
          <w:tcPr>
            <w:tcW w:w="1980" w:type="dxa"/>
            <w:tcBorders>
              <w:top w:val="nil"/>
              <w:left w:val="nil"/>
              <w:bottom w:val="single" w:sz="4" w:space="0" w:color="000000"/>
              <w:right w:val="single" w:sz="4" w:space="0" w:color="000000"/>
            </w:tcBorders>
            <w:shd w:val="clear" w:color="auto" w:fill="auto"/>
            <w:noWrap/>
            <w:vAlign w:val="bottom"/>
          </w:tcPr>
          <w:p w14:paraId="747A7552" w14:textId="1F22DEB5"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$4,287,789</w:t>
            </w:r>
          </w:p>
        </w:tc>
        <w:tc>
          <w:tcPr>
            <w:tcW w:w="1620" w:type="dxa"/>
            <w:tcBorders>
              <w:top w:val="nil"/>
              <w:left w:val="nil"/>
              <w:bottom w:val="single" w:sz="4" w:space="0" w:color="000000"/>
              <w:right w:val="single" w:sz="4" w:space="0" w:color="000000"/>
            </w:tcBorders>
            <w:shd w:val="clear" w:color="auto" w:fill="auto"/>
            <w:noWrap/>
            <w:vAlign w:val="bottom"/>
          </w:tcPr>
          <w:p w14:paraId="18F3BFE8" w14:textId="380DF11A"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$3,970,526</w:t>
            </w:r>
          </w:p>
        </w:tc>
        <w:tc>
          <w:tcPr>
            <w:tcW w:w="1710" w:type="dxa"/>
            <w:tcBorders>
              <w:top w:val="nil"/>
              <w:left w:val="nil"/>
              <w:bottom w:val="single" w:sz="4" w:space="0" w:color="000000"/>
              <w:right w:val="single" w:sz="8" w:space="0" w:color="000000"/>
            </w:tcBorders>
            <w:shd w:val="clear" w:color="auto" w:fill="auto"/>
            <w:noWrap/>
            <w:vAlign w:val="bottom"/>
          </w:tcPr>
          <w:p w14:paraId="5A15D729" w14:textId="0721B852"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$4,275,287</w:t>
            </w:r>
          </w:p>
        </w:tc>
        <w:tc>
          <w:tcPr>
            <w:tcW w:w="1620" w:type="dxa"/>
            <w:tcBorders>
              <w:top w:val="nil"/>
              <w:left w:val="nil"/>
              <w:bottom w:val="single" w:sz="4" w:space="0" w:color="000000"/>
              <w:right w:val="single" w:sz="8" w:space="0" w:color="000000"/>
            </w:tcBorders>
            <w:vAlign w:val="center"/>
          </w:tcPr>
          <w:p w14:paraId="169EA31A" w14:textId="566B3E3C" w:rsidR="00E7257D" w:rsidRPr="00EE5714" w:rsidRDefault="00E7257D" w:rsidP="00E7257D">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$4,435,519 </w:t>
            </w:r>
          </w:p>
        </w:tc>
      </w:tr>
      <w:tr w:rsidR="00E7257D" w:rsidRPr="00EE5714" w14:paraId="03B04258" w14:textId="3BD2AD2B" w:rsidTr="00E7257D">
        <w:trPr>
          <w:trHeight w:val="144"/>
          <w:jc w:val="center"/>
        </w:trPr>
        <w:tc>
          <w:tcPr>
            <w:tcW w:w="1440" w:type="dxa"/>
            <w:tcBorders>
              <w:top w:val="single" w:sz="4" w:space="0" w:color="000000"/>
              <w:left w:val="single" w:sz="8" w:space="0" w:color="000000"/>
              <w:bottom w:val="single" w:sz="8" w:space="0" w:color="000000"/>
              <w:right w:val="single" w:sz="8" w:space="0" w:color="000000"/>
            </w:tcBorders>
            <w:shd w:val="clear" w:color="auto" w:fill="auto"/>
            <w:noWrap/>
          </w:tcPr>
          <w:p w14:paraId="0708AE72" w14:textId="77777777" w:rsidR="00E7257D" w:rsidRPr="00EE5714" w:rsidRDefault="00E7257D" w:rsidP="00E7257D">
            <w:pPr>
              <w:keepNext/>
              <w:spacing w:after="0" w:line="240" w:lineRule="auto"/>
              <w:rPr>
                <w:rFonts w:ascii="Calibri" w:hAnsi="Calibri" w:cs="Calibri"/>
                <w:b/>
                <w:sz w:val="21"/>
                <w:szCs w:val="21"/>
              </w:rPr>
            </w:pPr>
            <w:r w:rsidRPr="00EE5714">
              <w:rPr>
                <w:rFonts w:ascii="Calibri" w:hAnsi="Calibri" w:cs="Calibri"/>
                <w:b/>
                <w:sz w:val="21"/>
                <w:szCs w:val="21"/>
              </w:rPr>
              <w:t>PPL</w:t>
            </w:r>
          </w:p>
        </w:tc>
        <w:tc>
          <w:tcPr>
            <w:tcW w:w="170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731907A7" w14:textId="011C8022" w:rsidR="00E7257D" w:rsidRPr="00EE5714" w:rsidRDefault="00E7257D" w:rsidP="00E7257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$49,106,215</w:t>
            </w:r>
          </w:p>
        </w:tc>
        <w:tc>
          <w:tcPr>
            <w:tcW w:w="1710" w:type="dxa"/>
            <w:tcBorders>
              <w:top w:val="single" w:sz="4" w:space="0" w:color="000000"/>
              <w:left w:val="single" w:sz="8" w:space="0" w:color="000000"/>
              <w:bottom w:val="single" w:sz="8" w:space="0" w:color="000000"/>
              <w:right w:val="single" w:sz="8" w:space="0" w:color="000000"/>
            </w:tcBorders>
            <w:shd w:val="clear" w:color="auto" w:fill="auto"/>
            <w:noWrap/>
            <w:vAlign w:val="bottom"/>
          </w:tcPr>
          <w:p w14:paraId="2247935F" w14:textId="01017A89"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$55,223,019</w:t>
            </w:r>
          </w:p>
        </w:tc>
        <w:tc>
          <w:tcPr>
            <w:tcW w:w="1980" w:type="dxa"/>
            <w:tcBorders>
              <w:top w:val="single" w:sz="4" w:space="0" w:color="000000"/>
              <w:left w:val="single" w:sz="8" w:space="0" w:color="000000"/>
              <w:bottom w:val="single" w:sz="8" w:space="0" w:color="000000"/>
              <w:right w:val="single" w:sz="8" w:space="0" w:color="000000"/>
            </w:tcBorders>
            <w:shd w:val="clear" w:color="auto" w:fill="auto"/>
            <w:noWrap/>
            <w:vAlign w:val="bottom"/>
          </w:tcPr>
          <w:p w14:paraId="2EED672C" w14:textId="4A95ED89"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$72,016,857</w:t>
            </w:r>
          </w:p>
        </w:tc>
        <w:tc>
          <w:tcPr>
            <w:tcW w:w="1620" w:type="dxa"/>
            <w:tcBorders>
              <w:top w:val="single" w:sz="4" w:space="0" w:color="000000"/>
              <w:left w:val="single" w:sz="8" w:space="0" w:color="000000"/>
              <w:bottom w:val="single" w:sz="8" w:space="0" w:color="000000"/>
              <w:right w:val="single" w:sz="8" w:space="0" w:color="000000"/>
            </w:tcBorders>
            <w:shd w:val="clear" w:color="auto" w:fill="auto"/>
            <w:noWrap/>
            <w:vAlign w:val="bottom"/>
          </w:tcPr>
          <w:p w14:paraId="649BDDA5" w14:textId="7E9DE5C1"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$83,614,471</w:t>
            </w:r>
          </w:p>
        </w:tc>
        <w:tc>
          <w:tcPr>
            <w:tcW w:w="1710" w:type="dxa"/>
            <w:tcBorders>
              <w:top w:val="single" w:sz="4" w:space="0" w:color="000000"/>
              <w:left w:val="single" w:sz="8" w:space="0" w:color="000000"/>
              <w:bottom w:val="single" w:sz="8" w:space="0" w:color="000000"/>
              <w:right w:val="single" w:sz="8" w:space="0" w:color="000000"/>
            </w:tcBorders>
            <w:shd w:val="clear" w:color="auto" w:fill="auto"/>
            <w:noWrap/>
            <w:vAlign w:val="bottom"/>
          </w:tcPr>
          <w:p w14:paraId="4A92FAE7" w14:textId="08518A97"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$86,446,411</w:t>
            </w:r>
          </w:p>
        </w:tc>
        <w:tc>
          <w:tcPr>
            <w:tcW w:w="1620" w:type="dxa"/>
            <w:tcBorders>
              <w:top w:val="single" w:sz="4" w:space="0" w:color="000000"/>
              <w:left w:val="single" w:sz="8" w:space="0" w:color="000000"/>
              <w:bottom w:val="single" w:sz="8" w:space="0" w:color="000000"/>
              <w:right w:val="single" w:sz="8" w:space="0" w:color="000000"/>
            </w:tcBorders>
            <w:vAlign w:val="center"/>
          </w:tcPr>
          <w:p w14:paraId="1C4A1A46" w14:textId="6B3F5F6F" w:rsidR="00E7257D" w:rsidRPr="00EE5714" w:rsidRDefault="00E7257D" w:rsidP="00E7257D">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$80,923,575 </w:t>
            </w:r>
          </w:p>
        </w:tc>
      </w:tr>
      <w:tr w:rsidR="00E7257D" w:rsidRPr="00EE5714" w14:paraId="7A1938EE" w14:textId="24D38655" w:rsidTr="00E7257D">
        <w:trPr>
          <w:trHeight w:val="144"/>
          <w:jc w:val="center"/>
        </w:trPr>
        <w:tc>
          <w:tcPr>
            <w:tcW w:w="1440" w:type="dxa"/>
            <w:tcBorders>
              <w:top w:val="single" w:sz="8" w:space="0" w:color="000000"/>
              <w:left w:val="single" w:sz="8" w:space="0" w:color="000000"/>
              <w:bottom w:val="single" w:sz="8" w:space="0" w:color="000000"/>
              <w:right w:val="single" w:sz="8" w:space="0" w:color="000000"/>
            </w:tcBorders>
            <w:shd w:val="clear" w:color="auto" w:fill="auto"/>
            <w:noWrap/>
          </w:tcPr>
          <w:p w14:paraId="1BEDD5F4" w14:textId="77777777" w:rsidR="00E7257D" w:rsidRPr="00EE5714" w:rsidRDefault="00E7257D" w:rsidP="00E7257D">
            <w:pPr>
              <w:keepNext/>
              <w:spacing w:after="0" w:line="240" w:lineRule="auto"/>
              <w:rPr>
                <w:rFonts w:ascii="Calibri" w:hAnsi="Calibri" w:cs="Calibri"/>
                <w:b/>
                <w:sz w:val="21"/>
                <w:szCs w:val="21"/>
              </w:rPr>
            </w:pPr>
            <w:r w:rsidRPr="00EE5714">
              <w:rPr>
                <w:rFonts w:ascii="Calibri" w:hAnsi="Calibri" w:cs="Calibri"/>
                <w:b/>
                <w:sz w:val="21"/>
                <w:szCs w:val="21"/>
              </w:rPr>
              <w:t>West Penn</w:t>
            </w:r>
          </w:p>
        </w:tc>
        <w:tc>
          <w:tcPr>
            <w:tcW w:w="170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0E35BD06" w14:textId="2C631596" w:rsidR="00E7257D" w:rsidRPr="00EE5714" w:rsidRDefault="00E7257D" w:rsidP="00E7257D">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$8,495,135</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3EA13851" w14:textId="5D43F71F"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$10,768,235</w:t>
            </w:r>
          </w:p>
        </w:tc>
        <w:tc>
          <w:tcPr>
            <w:tcW w:w="198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49FA4A8D" w14:textId="3EEE9037"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$13,385,035</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220AD5DF" w14:textId="0B468754"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$16,540,073</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14BB8CE7" w14:textId="5AA7D5E8" w:rsidR="00E7257D" w:rsidRPr="00EE5714" w:rsidRDefault="00E7257D" w:rsidP="00E7257D">
            <w:pPr>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$24,609,316</w:t>
            </w:r>
          </w:p>
        </w:tc>
        <w:tc>
          <w:tcPr>
            <w:tcW w:w="1620" w:type="dxa"/>
            <w:tcBorders>
              <w:top w:val="single" w:sz="8" w:space="0" w:color="000000"/>
              <w:left w:val="single" w:sz="8" w:space="0" w:color="000000"/>
              <w:bottom w:val="single" w:sz="8" w:space="0" w:color="000000"/>
              <w:right w:val="single" w:sz="8" w:space="0" w:color="000000"/>
            </w:tcBorders>
            <w:vAlign w:val="center"/>
          </w:tcPr>
          <w:p w14:paraId="61D522D9" w14:textId="793D04C8" w:rsidR="00E7257D" w:rsidRPr="00EE5714" w:rsidRDefault="00E7257D" w:rsidP="00E7257D">
            <w:pPr>
              <w:spacing w:after="0" w:line="240" w:lineRule="auto"/>
              <w:jc w:val="center"/>
              <w:rPr>
                <w:rFonts w:ascii="Calibri" w:hAnsi="Calibri" w:cs="Calibri"/>
                <w:color w:val="000000"/>
                <w:sz w:val="21"/>
                <w:szCs w:val="21"/>
              </w:rPr>
            </w:pPr>
            <w:r w:rsidRPr="00EE5714">
              <w:rPr>
                <w:rFonts w:ascii="Calibri" w:hAnsi="Calibri" w:cs="Calibri"/>
                <w:color w:val="000000"/>
                <w:sz w:val="21"/>
                <w:szCs w:val="21"/>
              </w:rPr>
              <w:t xml:space="preserve">$27,280,111 </w:t>
            </w:r>
          </w:p>
        </w:tc>
      </w:tr>
      <w:tr w:rsidR="00E7257D" w:rsidRPr="00EE5714" w14:paraId="3089B855" w14:textId="4DF1B78B" w:rsidTr="00E7257D">
        <w:trPr>
          <w:trHeight w:val="144"/>
          <w:jc w:val="center"/>
        </w:trPr>
        <w:tc>
          <w:tcPr>
            <w:tcW w:w="1440" w:type="dxa"/>
            <w:tcBorders>
              <w:top w:val="single" w:sz="8" w:space="0" w:color="000000"/>
              <w:left w:val="single" w:sz="8" w:space="0" w:color="000000"/>
              <w:bottom w:val="single" w:sz="8" w:space="0" w:color="000000"/>
              <w:right w:val="single" w:sz="8" w:space="0" w:color="000000"/>
            </w:tcBorders>
            <w:shd w:val="clear" w:color="auto" w:fill="auto"/>
            <w:noWrap/>
          </w:tcPr>
          <w:p w14:paraId="34A9F973" w14:textId="77777777" w:rsidR="00E7257D" w:rsidRPr="00EE5714" w:rsidRDefault="00E7257D" w:rsidP="00E7257D">
            <w:pPr>
              <w:spacing w:after="0" w:line="240" w:lineRule="auto"/>
              <w:rPr>
                <w:rFonts w:ascii="Calibri" w:hAnsi="Calibri" w:cs="Calibri"/>
                <w:b/>
                <w:sz w:val="21"/>
                <w:szCs w:val="21"/>
              </w:rPr>
            </w:pPr>
            <w:r w:rsidRPr="00EE5714">
              <w:rPr>
                <w:rFonts w:ascii="Calibri" w:hAnsi="Calibri" w:cs="Calibri"/>
                <w:b/>
                <w:sz w:val="21"/>
                <w:szCs w:val="21"/>
              </w:rPr>
              <w:t>Industry Average</w:t>
            </w:r>
          </w:p>
        </w:tc>
        <w:tc>
          <w:tcPr>
            <w:tcW w:w="170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7D37555" w14:textId="77777777" w:rsidR="00E7257D" w:rsidRPr="00EE5714" w:rsidRDefault="00E7257D" w:rsidP="00E7257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$33,773,366.86</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64945CD" w14:textId="77777777" w:rsidR="00E7257D" w:rsidRPr="00EE5714" w:rsidRDefault="00E7257D" w:rsidP="00E7257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$32,636,406.00</w:t>
            </w:r>
          </w:p>
        </w:tc>
        <w:tc>
          <w:tcPr>
            <w:tcW w:w="19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4079021" w14:textId="77777777" w:rsidR="00E7257D" w:rsidRPr="00EE5714" w:rsidRDefault="00E7257D" w:rsidP="00E7257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$34,021,788.57</w:t>
            </w:r>
          </w:p>
        </w:tc>
        <w:tc>
          <w:tcPr>
            <w:tcW w:w="16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13126D7" w14:textId="77777777" w:rsidR="00E7257D" w:rsidRPr="00EE5714" w:rsidRDefault="00E7257D" w:rsidP="00E7257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$36,146,603.14</w:t>
            </w:r>
          </w:p>
        </w:tc>
        <w:tc>
          <w:tcPr>
            <w:tcW w:w="171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5ABF2AE" w14:textId="77777777" w:rsidR="00E7257D" w:rsidRPr="00EE5714" w:rsidRDefault="00E7257D" w:rsidP="00E7257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$37,359,107.00</w:t>
            </w:r>
          </w:p>
        </w:tc>
        <w:tc>
          <w:tcPr>
            <w:tcW w:w="1620" w:type="dxa"/>
            <w:tcBorders>
              <w:top w:val="single" w:sz="8" w:space="0" w:color="000000"/>
              <w:left w:val="single" w:sz="8" w:space="0" w:color="000000"/>
              <w:bottom w:val="single" w:sz="8" w:space="0" w:color="000000"/>
              <w:right w:val="single" w:sz="8" w:space="0" w:color="000000"/>
            </w:tcBorders>
            <w:vAlign w:val="center"/>
          </w:tcPr>
          <w:p w14:paraId="4D1B2E21" w14:textId="34ED5662" w:rsidR="00E7257D" w:rsidRPr="00EE5714" w:rsidRDefault="00E7257D" w:rsidP="00E7257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$34,283,750.29</w:t>
            </w:r>
          </w:p>
        </w:tc>
      </w:tr>
    </w:tbl>
    <w:p w14:paraId="2E71546B" w14:textId="77EC5BAF" w:rsidR="00F303E0" w:rsidRPr="00EE5714" w:rsidRDefault="00F303E0" w:rsidP="00500E02">
      <w:pPr>
        <w:pStyle w:val="NoSpacing"/>
        <w:rPr>
          <w:rFonts w:cs="Times New Roman"/>
          <w:sz w:val="24"/>
          <w:szCs w:val="24"/>
        </w:rPr>
      </w:pPr>
      <w:r w:rsidRPr="00EE5714">
        <w:rPr>
          <w:rFonts w:cs="Times New Roman"/>
          <w:sz w:val="24"/>
          <w:szCs w:val="24"/>
        </w:rPr>
        <w:t>Source: Universal Service Programs &amp; Collections Performance Reports 2012-201</w:t>
      </w:r>
      <w:r w:rsidR="00756532" w:rsidRPr="00EE5714">
        <w:rPr>
          <w:rFonts w:cs="Times New Roman"/>
          <w:sz w:val="24"/>
          <w:szCs w:val="24"/>
        </w:rPr>
        <w:t>7</w:t>
      </w:r>
      <w:r w:rsidRPr="00EE5714">
        <w:rPr>
          <w:rFonts w:cs="Times New Roman"/>
          <w:sz w:val="24"/>
          <w:szCs w:val="24"/>
        </w:rPr>
        <w:t xml:space="preserve">. </w:t>
      </w:r>
    </w:p>
    <w:p w14:paraId="4CC067E9" w14:textId="77777777" w:rsidR="00F303E0" w:rsidRPr="00EE5714" w:rsidRDefault="00F303E0" w:rsidP="007D7A46">
      <w:pPr>
        <w:pStyle w:val="NoSpacing"/>
        <w:rPr>
          <w:rFonts w:cs="Times New Roman"/>
          <w:szCs w:val="26"/>
        </w:rPr>
      </w:pPr>
    </w:p>
    <w:p w14:paraId="0C5F23B9" w14:textId="77777777" w:rsidR="00F303E0" w:rsidRPr="00EE5714" w:rsidRDefault="00F303E0" w:rsidP="0009098D">
      <w:pPr>
        <w:pStyle w:val="NoSpacing"/>
        <w:rPr>
          <w:rFonts w:cs="Times New Roman"/>
          <w:szCs w:val="26"/>
        </w:rPr>
      </w:pPr>
    </w:p>
    <w:p w14:paraId="38EA2E06" w14:textId="1644D2FF" w:rsidR="00F303E0" w:rsidRPr="00FB4689" w:rsidRDefault="00F734A0" w:rsidP="0009098D">
      <w:pPr>
        <w:pStyle w:val="NoSpacing"/>
        <w:keepNext/>
        <w:rPr>
          <w:rFonts w:cs="Times New Roman"/>
        </w:rPr>
      </w:pPr>
      <w:r w:rsidRPr="00215D3F">
        <w:rPr>
          <w:rFonts w:cs="Times New Roman"/>
        </w:rPr>
        <w:t>Appendix 9</w:t>
      </w:r>
      <w:r w:rsidR="00F303E0" w:rsidRPr="00771BBA">
        <w:rPr>
          <w:rFonts w:cs="Times New Roman"/>
        </w:rPr>
        <w:t>.</w:t>
      </w:r>
      <w:r w:rsidR="008F612D" w:rsidRPr="0094268F">
        <w:rPr>
          <w:rFonts w:cs="Times New Roman"/>
        </w:rPr>
        <w:t>D</w:t>
      </w:r>
      <w:r w:rsidR="00F303E0" w:rsidRPr="0094268F">
        <w:rPr>
          <w:rFonts w:cs="Times New Roman"/>
        </w:rPr>
        <w:t xml:space="preserve">.2: </w:t>
      </w:r>
      <w:r w:rsidR="00F303E0" w:rsidRPr="0094268F">
        <w:rPr>
          <w:rFonts w:cs="Times New Roman"/>
          <w:b/>
        </w:rPr>
        <w:t>EDC</w:t>
      </w:r>
      <w:r w:rsidR="00F303E0" w:rsidRPr="0094268F">
        <w:rPr>
          <w:rFonts w:cs="Times New Roman"/>
        </w:rPr>
        <w:t xml:space="preserve"> </w:t>
      </w:r>
      <w:r w:rsidR="00F303E0" w:rsidRPr="0094268F">
        <w:rPr>
          <w:rFonts w:eastAsia="Times New Roman" w:cs="Times New Roman"/>
          <w:b/>
          <w:color w:val="000000"/>
        </w:rPr>
        <w:t>Forecast Total Gross CAP Costs</w:t>
      </w:r>
      <w:r w:rsidR="00546E96" w:rsidRPr="0094268F">
        <w:rPr>
          <w:rFonts w:eastAsia="Times New Roman" w:cs="Times New Roman"/>
          <w:b/>
          <w:color w:val="000000"/>
        </w:rPr>
        <w:t>*</w:t>
      </w:r>
    </w:p>
    <w:tbl>
      <w:tblPr>
        <w:tblW w:w="8820" w:type="dxa"/>
        <w:jc w:val="center"/>
        <w:tblLayout w:type="fixed"/>
        <w:tblLook w:val="04A0" w:firstRow="1" w:lastRow="0" w:firstColumn="1" w:lastColumn="0" w:noHBand="0" w:noVBand="1"/>
      </w:tblPr>
      <w:tblGrid>
        <w:gridCol w:w="1440"/>
        <w:gridCol w:w="1908"/>
        <w:gridCol w:w="1908"/>
        <w:gridCol w:w="1908"/>
        <w:gridCol w:w="1656"/>
      </w:tblGrid>
      <w:tr w:rsidR="00F303E0" w:rsidRPr="00EE5714" w14:paraId="5E88D930" w14:textId="77777777" w:rsidTr="00DE7381">
        <w:trPr>
          <w:trHeight w:val="315"/>
          <w:jc w:val="center"/>
        </w:trPr>
        <w:tc>
          <w:tcPr>
            <w:tcW w:w="8820" w:type="dxa"/>
            <w:gridSpan w:val="5"/>
            <w:tcBorders>
              <w:top w:val="single" w:sz="8" w:space="0" w:color="000000"/>
              <w:left w:val="single" w:sz="8" w:space="0" w:color="000000"/>
              <w:bottom w:val="single" w:sz="4" w:space="0" w:color="000000"/>
              <w:right w:val="single" w:sz="8" w:space="0" w:color="000000"/>
            </w:tcBorders>
            <w:shd w:val="clear" w:color="auto" w:fill="D9D9D9" w:themeFill="background1" w:themeFillShade="D9"/>
          </w:tcPr>
          <w:p w14:paraId="0AF47067" w14:textId="77777777" w:rsidR="00F303E0" w:rsidRPr="00EE5714" w:rsidRDefault="00F303E0" w:rsidP="0009098D">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 Total Gross CAP Costs</w:t>
            </w:r>
          </w:p>
        </w:tc>
      </w:tr>
      <w:tr w:rsidR="00E83110" w:rsidRPr="00EE5714" w14:paraId="14E2E2BC" w14:textId="77777777" w:rsidTr="00DE7381">
        <w:trPr>
          <w:trHeight w:val="300"/>
          <w:jc w:val="center"/>
        </w:trPr>
        <w:tc>
          <w:tcPr>
            <w:tcW w:w="1440" w:type="dxa"/>
            <w:tcBorders>
              <w:top w:val="nil"/>
              <w:left w:val="single" w:sz="8" w:space="0" w:color="000000"/>
              <w:bottom w:val="single" w:sz="4" w:space="0" w:color="000000"/>
              <w:right w:val="single" w:sz="4" w:space="0" w:color="000000"/>
            </w:tcBorders>
          </w:tcPr>
          <w:p w14:paraId="4300E200" w14:textId="77777777" w:rsidR="00E83110" w:rsidRPr="00EE5714" w:rsidRDefault="00E83110" w:rsidP="0009098D">
            <w:pPr>
              <w:keepNext/>
              <w:spacing w:after="0" w:line="240" w:lineRule="auto"/>
              <w:jc w:val="center"/>
              <w:rPr>
                <w:rFonts w:ascii="Calibri" w:eastAsia="Times New Roman" w:hAnsi="Calibri" w:cs="Calibri"/>
                <w:b/>
                <w:bCs/>
                <w:iCs/>
                <w:color w:val="000000"/>
              </w:rPr>
            </w:pPr>
          </w:p>
        </w:tc>
        <w:tc>
          <w:tcPr>
            <w:tcW w:w="1908" w:type="dxa"/>
            <w:tcBorders>
              <w:top w:val="nil"/>
              <w:left w:val="nil"/>
              <w:bottom w:val="single" w:sz="4" w:space="0" w:color="000000"/>
              <w:right w:val="single" w:sz="4" w:space="0" w:color="000000"/>
            </w:tcBorders>
            <w:shd w:val="clear" w:color="auto" w:fill="auto"/>
            <w:noWrap/>
            <w:vAlign w:val="center"/>
            <w:hideMark/>
          </w:tcPr>
          <w:p w14:paraId="3765931B" w14:textId="77777777" w:rsidR="00E83110" w:rsidRPr="00EE5714" w:rsidRDefault="00E83110"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1908" w:type="dxa"/>
            <w:tcBorders>
              <w:top w:val="nil"/>
              <w:left w:val="nil"/>
              <w:bottom w:val="single" w:sz="4" w:space="0" w:color="000000"/>
              <w:right w:val="single" w:sz="4" w:space="0" w:color="000000"/>
            </w:tcBorders>
            <w:shd w:val="clear" w:color="auto" w:fill="auto"/>
            <w:noWrap/>
            <w:vAlign w:val="center"/>
            <w:hideMark/>
          </w:tcPr>
          <w:p w14:paraId="4EC949A6" w14:textId="77777777" w:rsidR="00E83110" w:rsidRPr="00EE5714" w:rsidRDefault="00E83110"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1908" w:type="dxa"/>
            <w:tcBorders>
              <w:top w:val="nil"/>
              <w:left w:val="nil"/>
              <w:bottom w:val="single" w:sz="4" w:space="0" w:color="000000"/>
              <w:right w:val="single" w:sz="4" w:space="0" w:color="000000"/>
            </w:tcBorders>
            <w:shd w:val="clear" w:color="auto" w:fill="auto"/>
            <w:noWrap/>
            <w:vAlign w:val="center"/>
            <w:hideMark/>
          </w:tcPr>
          <w:p w14:paraId="1B1B5327" w14:textId="77777777" w:rsidR="00E83110" w:rsidRPr="00EE5714" w:rsidRDefault="00E83110"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1656" w:type="dxa"/>
            <w:tcBorders>
              <w:top w:val="nil"/>
              <w:left w:val="nil"/>
              <w:bottom w:val="single" w:sz="4" w:space="0" w:color="000000"/>
              <w:right w:val="single" w:sz="8" w:space="0" w:color="000000"/>
            </w:tcBorders>
            <w:shd w:val="clear" w:color="auto" w:fill="auto"/>
            <w:noWrap/>
            <w:vAlign w:val="center"/>
            <w:hideMark/>
          </w:tcPr>
          <w:p w14:paraId="0251BD96" w14:textId="77777777" w:rsidR="00E83110" w:rsidRPr="00EE5714" w:rsidRDefault="00E83110"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E83110" w:rsidRPr="00EE5714" w14:paraId="2021A0F5" w14:textId="77777777" w:rsidTr="00DE7381">
        <w:trPr>
          <w:trHeight w:val="144"/>
          <w:jc w:val="center"/>
        </w:trPr>
        <w:tc>
          <w:tcPr>
            <w:tcW w:w="1440" w:type="dxa"/>
            <w:tcBorders>
              <w:top w:val="nil"/>
              <w:left w:val="single" w:sz="8" w:space="0" w:color="000000"/>
              <w:bottom w:val="single" w:sz="4" w:space="0" w:color="000000"/>
              <w:right w:val="single" w:sz="4" w:space="0" w:color="000000"/>
            </w:tcBorders>
          </w:tcPr>
          <w:p w14:paraId="5F210576" w14:textId="77777777" w:rsidR="00E83110" w:rsidRPr="00EE5714" w:rsidRDefault="00E83110" w:rsidP="00E231CB">
            <w:pPr>
              <w:keepNext/>
              <w:spacing w:after="0" w:line="240" w:lineRule="auto"/>
              <w:rPr>
                <w:rFonts w:ascii="Calibri" w:hAnsi="Calibri" w:cs="Calibri"/>
                <w:b/>
                <w:sz w:val="21"/>
                <w:szCs w:val="21"/>
              </w:rPr>
            </w:pPr>
            <w:r w:rsidRPr="00EE5714">
              <w:rPr>
                <w:rFonts w:ascii="Calibri" w:hAnsi="Calibri" w:cs="Calibri"/>
                <w:b/>
                <w:sz w:val="21"/>
                <w:szCs w:val="21"/>
              </w:rPr>
              <w:t xml:space="preserve">Duquesne </w:t>
            </w:r>
          </w:p>
        </w:tc>
        <w:tc>
          <w:tcPr>
            <w:tcW w:w="1908" w:type="dxa"/>
            <w:tcBorders>
              <w:top w:val="nil"/>
              <w:left w:val="nil"/>
              <w:bottom w:val="single" w:sz="4" w:space="0" w:color="000000"/>
              <w:right w:val="single" w:sz="4" w:space="0" w:color="000000"/>
            </w:tcBorders>
            <w:shd w:val="clear" w:color="auto" w:fill="auto"/>
            <w:noWrap/>
            <w:vAlign w:val="center"/>
          </w:tcPr>
          <w:p w14:paraId="4E34D693" w14:textId="75D05933"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$26,652,524 </w:t>
            </w:r>
          </w:p>
        </w:tc>
        <w:tc>
          <w:tcPr>
            <w:tcW w:w="1908" w:type="dxa"/>
            <w:tcBorders>
              <w:top w:val="nil"/>
              <w:left w:val="nil"/>
              <w:bottom w:val="single" w:sz="4" w:space="0" w:color="000000"/>
              <w:right w:val="single" w:sz="4" w:space="0" w:color="000000"/>
            </w:tcBorders>
            <w:shd w:val="clear" w:color="auto" w:fill="auto"/>
            <w:noWrap/>
            <w:vAlign w:val="center"/>
          </w:tcPr>
          <w:p w14:paraId="5C18A888" w14:textId="3C8D3E32"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$27,434,572 </w:t>
            </w:r>
          </w:p>
        </w:tc>
        <w:tc>
          <w:tcPr>
            <w:tcW w:w="1908" w:type="dxa"/>
            <w:tcBorders>
              <w:top w:val="nil"/>
              <w:left w:val="nil"/>
              <w:bottom w:val="single" w:sz="4" w:space="0" w:color="000000"/>
              <w:right w:val="single" w:sz="4" w:space="0" w:color="000000"/>
            </w:tcBorders>
            <w:shd w:val="clear" w:color="auto" w:fill="auto"/>
            <w:noWrap/>
            <w:vAlign w:val="center"/>
          </w:tcPr>
          <w:p w14:paraId="39064F29" w14:textId="4A930271"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$29,970,350</w:t>
            </w:r>
          </w:p>
        </w:tc>
        <w:tc>
          <w:tcPr>
            <w:tcW w:w="1656" w:type="dxa"/>
            <w:tcBorders>
              <w:top w:val="nil"/>
              <w:left w:val="nil"/>
              <w:bottom w:val="single" w:sz="4" w:space="0" w:color="000000"/>
              <w:right w:val="single" w:sz="8" w:space="0" w:color="000000"/>
            </w:tcBorders>
            <w:shd w:val="clear" w:color="auto" w:fill="auto"/>
            <w:noWrap/>
            <w:vAlign w:val="center"/>
          </w:tcPr>
          <w:p w14:paraId="4217A4FF" w14:textId="52A5743C"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$32,256,531</w:t>
            </w:r>
          </w:p>
        </w:tc>
      </w:tr>
      <w:tr w:rsidR="00E83110" w:rsidRPr="00EE5714" w14:paraId="5D939207" w14:textId="77777777" w:rsidTr="00DE7381">
        <w:trPr>
          <w:trHeight w:val="144"/>
          <w:jc w:val="center"/>
        </w:trPr>
        <w:tc>
          <w:tcPr>
            <w:tcW w:w="1440" w:type="dxa"/>
            <w:tcBorders>
              <w:top w:val="nil"/>
              <w:left w:val="single" w:sz="8" w:space="0" w:color="000000"/>
              <w:bottom w:val="single" w:sz="4" w:space="0" w:color="000000"/>
              <w:right w:val="single" w:sz="4" w:space="0" w:color="000000"/>
            </w:tcBorders>
          </w:tcPr>
          <w:p w14:paraId="45289412" w14:textId="77777777" w:rsidR="00E83110" w:rsidRPr="00EE5714" w:rsidRDefault="00E83110" w:rsidP="00E231CB">
            <w:pPr>
              <w:keepNext/>
              <w:spacing w:after="0" w:line="240" w:lineRule="auto"/>
              <w:rPr>
                <w:rFonts w:ascii="Calibri" w:hAnsi="Calibri" w:cs="Calibri"/>
                <w:b/>
                <w:sz w:val="21"/>
                <w:szCs w:val="21"/>
              </w:rPr>
            </w:pPr>
            <w:r w:rsidRPr="00EE5714">
              <w:rPr>
                <w:rFonts w:ascii="Calibri" w:hAnsi="Calibri" w:cs="Calibri"/>
                <w:b/>
                <w:sz w:val="21"/>
                <w:szCs w:val="21"/>
              </w:rPr>
              <w:t>Met-Ed</w:t>
            </w:r>
          </w:p>
        </w:tc>
        <w:tc>
          <w:tcPr>
            <w:tcW w:w="1908" w:type="dxa"/>
            <w:tcBorders>
              <w:top w:val="nil"/>
              <w:left w:val="nil"/>
              <w:bottom w:val="single" w:sz="4" w:space="0" w:color="000000"/>
              <w:right w:val="single" w:sz="4" w:space="0" w:color="000000"/>
            </w:tcBorders>
            <w:shd w:val="clear" w:color="auto" w:fill="auto"/>
            <w:noWrap/>
            <w:vAlign w:val="center"/>
          </w:tcPr>
          <w:p w14:paraId="6CE00873" w14:textId="48FDF19C"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$16,652,500 </w:t>
            </w:r>
          </w:p>
        </w:tc>
        <w:tc>
          <w:tcPr>
            <w:tcW w:w="1908" w:type="dxa"/>
            <w:tcBorders>
              <w:top w:val="nil"/>
              <w:left w:val="nil"/>
              <w:bottom w:val="single" w:sz="4" w:space="0" w:color="000000"/>
              <w:right w:val="single" w:sz="4" w:space="0" w:color="000000"/>
            </w:tcBorders>
            <w:shd w:val="clear" w:color="auto" w:fill="auto"/>
            <w:noWrap/>
            <w:vAlign w:val="center"/>
          </w:tcPr>
          <w:p w14:paraId="69B121F4" w14:textId="6EAB1B7D"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$17,818,900 </w:t>
            </w:r>
          </w:p>
        </w:tc>
        <w:tc>
          <w:tcPr>
            <w:tcW w:w="1908" w:type="dxa"/>
            <w:tcBorders>
              <w:top w:val="nil"/>
              <w:left w:val="nil"/>
              <w:bottom w:val="single" w:sz="4" w:space="0" w:color="000000"/>
              <w:right w:val="single" w:sz="4" w:space="0" w:color="000000"/>
            </w:tcBorders>
            <w:shd w:val="clear" w:color="auto" w:fill="auto"/>
            <w:noWrap/>
            <w:vAlign w:val="center"/>
          </w:tcPr>
          <w:p w14:paraId="4B708959" w14:textId="037BAB6A"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$17,791,600 </w:t>
            </w:r>
          </w:p>
        </w:tc>
        <w:tc>
          <w:tcPr>
            <w:tcW w:w="1656" w:type="dxa"/>
            <w:tcBorders>
              <w:top w:val="nil"/>
              <w:left w:val="nil"/>
              <w:bottom w:val="single" w:sz="4" w:space="0" w:color="000000"/>
              <w:right w:val="single" w:sz="8" w:space="0" w:color="000000"/>
            </w:tcBorders>
            <w:shd w:val="clear" w:color="auto" w:fill="auto"/>
            <w:noWrap/>
            <w:vAlign w:val="center"/>
          </w:tcPr>
          <w:p w14:paraId="3751F0E7" w14:textId="4E843651"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$17,791,600 </w:t>
            </w:r>
          </w:p>
        </w:tc>
      </w:tr>
      <w:tr w:rsidR="00E83110" w:rsidRPr="00EE5714" w14:paraId="7BAEB983" w14:textId="77777777" w:rsidTr="00DE7381">
        <w:trPr>
          <w:trHeight w:val="144"/>
          <w:jc w:val="center"/>
        </w:trPr>
        <w:tc>
          <w:tcPr>
            <w:tcW w:w="1440" w:type="dxa"/>
            <w:tcBorders>
              <w:top w:val="nil"/>
              <w:left w:val="single" w:sz="8" w:space="0" w:color="000000"/>
              <w:bottom w:val="single" w:sz="4" w:space="0" w:color="000000"/>
              <w:right w:val="single" w:sz="4" w:space="0" w:color="000000"/>
            </w:tcBorders>
          </w:tcPr>
          <w:p w14:paraId="0155F4A8" w14:textId="77777777" w:rsidR="00E83110" w:rsidRPr="00EE5714" w:rsidRDefault="00E83110" w:rsidP="00E231CB">
            <w:pPr>
              <w:keepNext/>
              <w:spacing w:after="0" w:line="240" w:lineRule="auto"/>
              <w:rPr>
                <w:rFonts w:ascii="Calibri" w:hAnsi="Calibri" w:cs="Calibri"/>
                <w:b/>
                <w:sz w:val="21"/>
                <w:szCs w:val="21"/>
              </w:rPr>
            </w:pPr>
            <w:r w:rsidRPr="00EE5714">
              <w:rPr>
                <w:rFonts w:ascii="Calibri" w:hAnsi="Calibri" w:cs="Calibri"/>
                <w:b/>
                <w:sz w:val="21"/>
                <w:szCs w:val="21"/>
              </w:rPr>
              <w:t>PECO Electric</w:t>
            </w:r>
          </w:p>
        </w:tc>
        <w:tc>
          <w:tcPr>
            <w:tcW w:w="1908" w:type="dxa"/>
            <w:tcBorders>
              <w:top w:val="nil"/>
              <w:left w:val="nil"/>
              <w:bottom w:val="single" w:sz="4" w:space="0" w:color="000000"/>
              <w:right w:val="single" w:sz="4" w:space="0" w:color="000000"/>
            </w:tcBorders>
            <w:shd w:val="clear" w:color="auto" w:fill="auto"/>
            <w:noWrap/>
            <w:vAlign w:val="bottom"/>
          </w:tcPr>
          <w:p w14:paraId="25923797" w14:textId="074DAC04"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$94,802,060</w:t>
            </w:r>
          </w:p>
        </w:tc>
        <w:tc>
          <w:tcPr>
            <w:tcW w:w="1908" w:type="dxa"/>
            <w:tcBorders>
              <w:top w:val="nil"/>
              <w:left w:val="nil"/>
              <w:bottom w:val="single" w:sz="4" w:space="0" w:color="000000"/>
              <w:right w:val="single" w:sz="4" w:space="0" w:color="000000"/>
            </w:tcBorders>
            <w:shd w:val="clear" w:color="auto" w:fill="auto"/>
            <w:noWrap/>
            <w:vAlign w:val="bottom"/>
          </w:tcPr>
          <w:p w14:paraId="756B6488" w14:textId="4FF1C7E2"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$73,215,616</w:t>
            </w:r>
          </w:p>
        </w:tc>
        <w:tc>
          <w:tcPr>
            <w:tcW w:w="1908" w:type="dxa"/>
            <w:tcBorders>
              <w:top w:val="nil"/>
              <w:left w:val="nil"/>
              <w:bottom w:val="single" w:sz="4" w:space="0" w:color="000000"/>
              <w:right w:val="single" w:sz="4" w:space="0" w:color="000000"/>
            </w:tcBorders>
            <w:shd w:val="clear" w:color="auto" w:fill="auto"/>
            <w:noWrap/>
            <w:vAlign w:val="bottom"/>
          </w:tcPr>
          <w:p w14:paraId="33FCBCF4" w14:textId="28AC025F"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$73,333,937</w:t>
            </w:r>
          </w:p>
        </w:tc>
        <w:tc>
          <w:tcPr>
            <w:tcW w:w="1656" w:type="dxa"/>
            <w:tcBorders>
              <w:top w:val="nil"/>
              <w:left w:val="nil"/>
              <w:bottom w:val="single" w:sz="4" w:space="0" w:color="000000"/>
              <w:right w:val="single" w:sz="8" w:space="0" w:color="000000"/>
            </w:tcBorders>
            <w:shd w:val="clear" w:color="auto" w:fill="auto"/>
            <w:noWrap/>
            <w:vAlign w:val="bottom"/>
          </w:tcPr>
          <w:p w14:paraId="01E9A6C0" w14:textId="5FAF2D0D"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$77,085,620</w:t>
            </w:r>
          </w:p>
        </w:tc>
      </w:tr>
      <w:tr w:rsidR="00E83110" w:rsidRPr="00EE5714" w14:paraId="0A1C322A" w14:textId="77777777" w:rsidTr="00DE7381">
        <w:trPr>
          <w:trHeight w:val="144"/>
          <w:jc w:val="center"/>
        </w:trPr>
        <w:tc>
          <w:tcPr>
            <w:tcW w:w="1440" w:type="dxa"/>
            <w:tcBorders>
              <w:top w:val="nil"/>
              <w:left w:val="single" w:sz="8" w:space="0" w:color="000000"/>
              <w:bottom w:val="single" w:sz="4" w:space="0" w:color="000000"/>
              <w:right w:val="single" w:sz="4" w:space="0" w:color="000000"/>
            </w:tcBorders>
          </w:tcPr>
          <w:p w14:paraId="790FC568" w14:textId="77777777" w:rsidR="00E83110" w:rsidRPr="00EE5714" w:rsidRDefault="00E83110" w:rsidP="00E231CB">
            <w:pPr>
              <w:keepNext/>
              <w:spacing w:after="0" w:line="240" w:lineRule="auto"/>
              <w:rPr>
                <w:rFonts w:ascii="Calibri" w:hAnsi="Calibri" w:cs="Calibri"/>
                <w:b/>
                <w:sz w:val="21"/>
                <w:szCs w:val="21"/>
              </w:rPr>
            </w:pPr>
            <w:proofErr w:type="spellStart"/>
            <w:r w:rsidRPr="00EE5714">
              <w:rPr>
                <w:rFonts w:ascii="Calibri" w:hAnsi="Calibri" w:cs="Calibri"/>
                <w:b/>
                <w:sz w:val="21"/>
                <w:szCs w:val="21"/>
              </w:rPr>
              <w:t>Penelec</w:t>
            </w:r>
            <w:proofErr w:type="spellEnd"/>
          </w:p>
        </w:tc>
        <w:tc>
          <w:tcPr>
            <w:tcW w:w="1908" w:type="dxa"/>
            <w:tcBorders>
              <w:top w:val="nil"/>
              <w:left w:val="nil"/>
              <w:bottom w:val="single" w:sz="4" w:space="0" w:color="000000"/>
              <w:right w:val="single" w:sz="4" w:space="0" w:color="000000"/>
            </w:tcBorders>
            <w:shd w:val="clear" w:color="auto" w:fill="auto"/>
            <w:noWrap/>
            <w:vAlign w:val="center"/>
          </w:tcPr>
          <w:p w14:paraId="60EF92FF" w14:textId="4D095EAE"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$22,202,500 </w:t>
            </w:r>
          </w:p>
        </w:tc>
        <w:tc>
          <w:tcPr>
            <w:tcW w:w="1908" w:type="dxa"/>
            <w:tcBorders>
              <w:top w:val="nil"/>
              <w:left w:val="nil"/>
              <w:bottom w:val="single" w:sz="4" w:space="0" w:color="000000"/>
              <w:right w:val="single" w:sz="4" w:space="0" w:color="000000"/>
            </w:tcBorders>
            <w:shd w:val="clear" w:color="auto" w:fill="auto"/>
            <w:noWrap/>
            <w:vAlign w:val="center"/>
          </w:tcPr>
          <w:p w14:paraId="61E732E7" w14:textId="48EAE257"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$23,556,250 </w:t>
            </w:r>
          </w:p>
        </w:tc>
        <w:tc>
          <w:tcPr>
            <w:tcW w:w="1908" w:type="dxa"/>
            <w:tcBorders>
              <w:top w:val="nil"/>
              <w:left w:val="nil"/>
              <w:bottom w:val="single" w:sz="4" w:space="0" w:color="000000"/>
              <w:right w:val="single" w:sz="4" w:space="0" w:color="000000"/>
            </w:tcBorders>
            <w:shd w:val="clear" w:color="auto" w:fill="auto"/>
            <w:noWrap/>
            <w:vAlign w:val="center"/>
          </w:tcPr>
          <w:p w14:paraId="7D98A1D4" w14:textId="152EB10D"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$23,874,650 </w:t>
            </w:r>
          </w:p>
        </w:tc>
        <w:tc>
          <w:tcPr>
            <w:tcW w:w="1656" w:type="dxa"/>
            <w:tcBorders>
              <w:top w:val="nil"/>
              <w:left w:val="nil"/>
              <w:bottom w:val="single" w:sz="4" w:space="0" w:color="000000"/>
              <w:right w:val="single" w:sz="8" w:space="0" w:color="000000"/>
            </w:tcBorders>
            <w:shd w:val="clear" w:color="auto" w:fill="auto"/>
            <w:noWrap/>
            <w:vAlign w:val="center"/>
          </w:tcPr>
          <w:p w14:paraId="63854104" w14:textId="46972F3B"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$24,228,000 </w:t>
            </w:r>
          </w:p>
        </w:tc>
      </w:tr>
      <w:tr w:rsidR="00E83110" w:rsidRPr="00EE5714" w14:paraId="0E12D12C" w14:textId="77777777" w:rsidTr="00DE7381">
        <w:trPr>
          <w:trHeight w:val="144"/>
          <w:jc w:val="center"/>
        </w:trPr>
        <w:tc>
          <w:tcPr>
            <w:tcW w:w="1440" w:type="dxa"/>
            <w:tcBorders>
              <w:top w:val="nil"/>
              <w:left w:val="single" w:sz="8" w:space="0" w:color="000000"/>
              <w:bottom w:val="single" w:sz="4" w:space="0" w:color="000000"/>
              <w:right w:val="single" w:sz="4" w:space="0" w:color="000000"/>
            </w:tcBorders>
          </w:tcPr>
          <w:p w14:paraId="76BD2476" w14:textId="77777777" w:rsidR="00E83110" w:rsidRPr="00EE5714" w:rsidRDefault="00E83110" w:rsidP="00E231CB">
            <w:pPr>
              <w:keepNext/>
              <w:spacing w:after="0" w:line="240" w:lineRule="auto"/>
              <w:rPr>
                <w:rFonts w:ascii="Calibri" w:hAnsi="Calibri" w:cs="Calibri"/>
                <w:b/>
                <w:sz w:val="21"/>
                <w:szCs w:val="21"/>
              </w:rPr>
            </w:pPr>
            <w:r w:rsidRPr="00EE5714">
              <w:rPr>
                <w:rFonts w:ascii="Calibri" w:hAnsi="Calibri" w:cs="Calibri"/>
                <w:b/>
                <w:sz w:val="21"/>
                <w:szCs w:val="21"/>
              </w:rPr>
              <w:t>Penn Power</w:t>
            </w:r>
          </w:p>
        </w:tc>
        <w:tc>
          <w:tcPr>
            <w:tcW w:w="1908" w:type="dxa"/>
            <w:tcBorders>
              <w:top w:val="nil"/>
              <w:left w:val="nil"/>
              <w:bottom w:val="single" w:sz="4" w:space="0" w:color="000000"/>
              <w:right w:val="single" w:sz="4" w:space="0" w:color="000000"/>
            </w:tcBorders>
            <w:shd w:val="clear" w:color="auto" w:fill="auto"/>
            <w:noWrap/>
            <w:vAlign w:val="center"/>
          </w:tcPr>
          <w:p w14:paraId="3A02C0CB" w14:textId="5A954164"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$5,068,000 </w:t>
            </w:r>
          </w:p>
        </w:tc>
        <w:tc>
          <w:tcPr>
            <w:tcW w:w="1908" w:type="dxa"/>
            <w:tcBorders>
              <w:top w:val="nil"/>
              <w:left w:val="nil"/>
              <w:bottom w:val="single" w:sz="4" w:space="0" w:color="000000"/>
              <w:right w:val="single" w:sz="4" w:space="0" w:color="000000"/>
            </w:tcBorders>
            <w:shd w:val="clear" w:color="auto" w:fill="auto"/>
            <w:noWrap/>
            <w:vAlign w:val="center"/>
          </w:tcPr>
          <w:p w14:paraId="16AAEB96" w14:textId="67CA4BA4"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$5,681,250 </w:t>
            </w:r>
          </w:p>
        </w:tc>
        <w:tc>
          <w:tcPr>
            <w:tcW w:w="1908" w:type="dxa"/>
            <w:tcBorders>
              <w:top w:val="nil"/>
              <w:left w:val="nil"/>
              <w:bottom w:val="single" w:sz="4" w:space="0" w:color="000000"/>
              <w:right w:val="single" w:sz="4" w:space="0" w:color="000000"/>
            </w:tcBorders>
            <w:shd w:val="clear" w:color="auto" w:fill="auto"/>
            <w:noWrap/>
            <w:vAlign w:val="center"/>
          </w:tcPr>
          <w:p w14:paraId="361CAA0B" w14:textId="5522537F"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$5,773,800 </w:t>
            </w:r>
          </w:p>
        </w:tc>
        <w:tc>
          <w:tcPr>
            <w:tcW w:w="1656" w:type="dxa"/>
            <w:tcBorders>
              <w:top w:val="nil"/>
              <w:left w:val="nil"/>
              <w:bottom w:val="single" w:sz="4" w:space="0" w:color="000000"/>
              <w:right w:val="single" w:sz="8" w:space="0" w:color="000000"/>
            </w:tcBorders>
            <w:shd w:val="clear" w:color="auto" w:fill="auto"/>
            <w:noWrap/>
            <w:vAlign w:val="center"/>
          </w:tcPr>
          <w:p w14:paraId="04B42597" w14:textId="4CB218A4"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$5,879,000 </w:t>
            </w:r>
          </w:p>
        </w:tc>
      </w:tr>
      <w:tr w:rsidR="00E83110" w:rsidRPr="00EE5714" w14:paraId="5C10807A" w14:textId="77777777" w:rsidTr="00DE7381">
        <w:trPr>
          <w:trHeight w:val="144"/>
          <w:jc w:val="center"/>
        </w:trPr>
        <w:tc>
          <w:tcPr>
            <w:tcW w:w="1440" w:type="dxa"/>
            <w:tcBorders>
              <w:top w:val="single" w:sz="4" w:space="0" w:color="000000"/>
              <w:left w:val="single" w:sz="8" w:space="0" w:color="000000"/>
              <w:bottom w:val="single" w:sz="8" w:space="0" w:color="000000"/>
              <w:right w:val="single" w:sz="8" w:space="0" w:color="000000"/>
            </w:tcBorders>
          </w:tcPr>
          <w:p w14:paraId="02EF4B1F" w14:textId="77777777" w:rsidR="00E83110" w:rsidRPr="00EE5714" w:rsidRDefault="00E83110" w:rsidP="00E231CB">
            <w:pPr>
              <w:keepNext/>
              <w:spacing w:after="0" w:line="240" w:lineRule="auto"/>
              <w:rPr>
                <w:rFonts w:ascii="Calibri" w:hAnsi="Calibri" w:cs="Calibri"/>
                <w:b/>
                <w:sz w:val="21"/>
                <w:szCs w:val="21"/>
              </w:rPr>
            </w:pPr>
            <w:r w:rsidRPr="00EE5714">
              <w:rPr>
                <w:rFonts w:ascii="Calibri" w:hAnsi="Calibri" w:cs="Calibri"/>
                <w:b/>
                <w:sz w:val="21"/>
                <w:szCs w:val="21"/>
              </w:rPr>
              <w:t>PPL</w:t>
            </w:r>
          </w:p>
        </w:tc>
        <w:tc>
          <w:tcPr>
            <w:tcW w:w="1908" w:type="dxa"/>
            <w:tcBorders>
              <w:top w:val="single" w:sz="4" w:space="0" w:color="000000"/>
              <w:left w:val="single" w:sz="8" w:space="0" w:color="000000"/>
              <w:bottom w:val="single" w:sz="8" w:space="0" w:color="000000"/>
              <w:right w:val="single" w:sz="8" w:space="0" w:color="000000"/>
            </w:tcBorders>
            <w:shd w:val="clear" w:color="auto" w:fill="auto"/>
            <w:noWrap/>
            <w:vAlign w:val="center"/>
          </w:tcPr>
          <w:p w14:paraId="70DDFE4C" w14:textId="1D2D59F3"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$118,000,000 </w:t>
            </w:r>
          </w:p>
        </w:tc>
        <w:tc>
          <w:tcPr>
            <w:tcW w:w="1908" w:type="dxa"/>
            <w:tcBorders>
              <w:top w:val="single" w:sz="4" w:space="0" w:color="000000"/>
              <w:left w:val="single" w:sz="8" w:space="0" w:color="000000"/>
              <w:bottom w:val="single" w:sz="8" w:space="0" w:color="000000"/>
              <w:right w:val="single" w:sz="8" w:space="0" w:color="000000"/>
            </w:tcBorders>
            <w:shd w:val="clear" w:color="auto" w:fill="auto"/>
            <w:noWrap/>
            <w:vAlign w:val="center"/>
          </w:tcPr>
          <w:p w14:paraId="0F719F66" w14:textId="11D599D2"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$129,000,000 </w:t>
            </w:r>
          </w:p>
        </w:tc>
        <w:tc>
          <w:tcPr>
            <w:tcW w:w="1908" w:type="dxa"/>
            <w:tcBorders>
              <w:top w:val="single" w:sz="4" w:space="0" w:color="000000"/>
              <w:left w:val="single" w:sz="8" w:space="0" w:color="000000"/>
              <w:bottom w:val="single" w:sz="8" w:space="0" w:color="000000"/>
              <w:right w:val="single" w:sz="8" w:space="0" w:color="000000"/>
            </w:tcBorders>
            <w:shd w:val="clear" w:color="auto" w:fill="auto"/>
            <w:noWrap/>
            <w:vAlign w:val="center"/>
          </w:tcPr>
          <w:p w14:paraId="14FCD437" w14:textId="5CB9ED67"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$156,407,274</w:t>
            </w:r>
          </w:p>
        </w:tc>
        <w:tc>
          <w:tcPr>
            <w:tcW w:w="1656" w:type="dxa"/>
            <w:tcBorders>
              <w:top w:val="single" w:sz="4" w:space="0" w:color="000000"/>
              <w:left w:val="single" w:sz="8" w:space="0" w:color="000000"/>
              <w:bottom w:val="single" w:sz="8" w:space="0" w:color="000000"/>
              <w:right w:val="single" w:sz="8" w:space="0" w:color="000000"/>
            </w:tcBorders>
            <w:shd w:val="clear" w:color="auto" w:fill="auto"/>
            <w:noWrap/>
            <w:vAlign w:val="center"/>
          </w:tcPr>
          <w:p w14:paraId="4265F262" w14:textId="1D74BEC8"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$181,479,403</w:t>
            </w:r>
          </w:p>
        </w:tc>
      </w:tr>
      <w:tr w:rsidR="00E83110" w:rsidRPr="00EE5714" w14:paraId="450BBAA6" w14:textId="77777777" w:rsidTr="00DE7381">
        <w:trPr>
          <w:trHeight w:val="144"/>
          <w:jc w:val="center"/>
        </w:trPr>
        <w:tc>
          <w:tcPr>
            <w:tcW w:w="1440" w:type="dxa"/>
            <w:tcBorders>
              <w:top w:val="single" w:sz="8" w:space="0" w:color="000000"/>
              <w:left w:val="single" w:sz="8" w:space="0" w:color="000000"/>
              <w:bottom w:val="single" w:sz="8" w:space="0" w:color="000000"/>
              <w:right w:val="single" w:sz="8" w:space="0" w:color="000000"/>
            </w:tcBorders>
          </w:tcPr>
          <w:p w14:paraId="001DB139" w14:textId="77777777" w:rsidR="00E83110" w:rsidRPr="00EE5714" w:rsidRDefault="00E83110" w:rsidP="00E231CB">
            <w:pPr>
              <w:keepNext/>
              <w:spacing w:after="0" w:line="240" w:lineRule="auto"/>
              <w:rPr>
                <w:rFonts w:ascii="Calibri" w:hAnsi="Calibri" w:cs="Calibri"/>
                <w:b/>
                <w:sz w:val="21"/>
                <w:szCs w:val="21"/>
              </w:rPr>
            </w:pPr>
            <w:r w:rsidRPr="00EE5714">
              <w:rPr>
                <w:rFonts w:ascii="Calibri" w:hAnsi="Calibri" w:cs="Calibri"/>
                <w:b/>
                <w:sz w:val="21"/>
                <w:szCs w:val="21"/>
              </w:rPr>
              <w:t>West Penn</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CB14817" w14:textId="359402B0"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color w:val="000000"/>
                <w:sz w:val="21"/>
                <w:szCs w:val="21"/>
              </w:rPr>
              <w:t xml:space="preserve">$31,855,500 </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8277587" w14:textId="1FDAA79B"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$38,511,900 </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CD47990" w14:textId="567D9BC2"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$38,916,350 </w:t>
            </w:r>
          </w:p>
        </w:tc>
        <w:tc>
          <w:tcPr>
            <w:tcW w:w="165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E4841A8" w14:textId="7CD393CD" w:rsidR="00E83110" w:rsidRPr="00EE5714" w:rsidRDefault="00E83110" w:rsidP="00E231CB">
            <w:pPr>
              <w:keepNext/>
              <w:spacing w:after="0" w:line="240" w:lineRule="auto"/>
              <w:jc w:val="center"/>
              <w:rPr>
                <w:rFonts w:ascii="Calibri" w:eastAsia="Times New Roman" w:hAnsi="Calibri" w:cs="Calibri"/>
                <w:color w:val="000000"/>
                <w:sz w:val="21"/>
                <w:szCs w:val="21"/>
              </w:rPr>
            </w:pPr>
            <w:r w:rsidRPr="00EE5714">
              <w:rPr>
                <w:rFonts w:ascii="Calibri" w:hAnsi="Calibri" w:cs="Calibri"/>
                <w:i/>
                <w:iCs/>
                <w:color w:val="000000"/>
                <w:sz w:val="21"/>
                <w:szCs w:val="21"/>
              </w:rPr>
              <w:t xml:space="preserve">$39,465,800 </w:t>
            </w:r>
          </w:p>
        </w:tc>
      </w:tr>
      <w:tr w:rsidR="00E83110" w:rsidRPr="00EE5714" w14:paraId="6B349FB0" w14:textId="77777777" w:rsidTr="00DE7381">
        <w:trPr>
          <w:trHeight w:val="144"/>
          <w:jc w:val="center"/>
        </w:trPr>
        <w:tc>
          <w:tcPr>
            <w:tcW w:w="1440" w:type="dxa"/>
            <w:tcBorders>
              <w:top w:val="single" w:sz="8" w:space="0" w:color="000000"/>
              <w:left w:val="single" w:sz="8" w:space="0" w:color="000000"/>
              <w:bottom w:val="single" w:sz="8" w:space="0" w:color="000000"/>
              <w:right w:val="single" w:sz="8" w:space="0" w:color="000000"/>
            </w:tcBorders>
          </w:tcPr>
          <w:p w14:paraId="6E044C5E" w14:textId="77777777" w:rsidR="00E83110" w:rsidRPr="00EE5714" w:rsidRDefault="00E83110" w:rsidP="0009098D">
            <w:pPr>
              <w:spacing w:after="0" w:line="240" w:lineRule="auto"/>
              <w:rPr>
                <w:rFonts w:ascii="Calibri" w:hAnsi="Calibri" w:cs="Calibri"/>
                <w:b/>
                <w:sz w:val="21"/>
                <w:szCs w:val="21"/>
              </w:rPr>
            </w:pPr>
            <w:r w:rsidRPr="00EE5714">
              <w:rPr>
                <w:rFonts w:ascii="Calibri" w:hAnsi="Calibri" w:cs="Calibri"/>
                <w:b/>
                <w:sz w:val="21"/>
                <w:szCs w:val="21"/>
              </w:rPr>
              <w:t>Industry Average</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6D9E4AC" w14:textId="2F72AF75" w:rsidR="00E83110" w:rsidRPr="00EE5714" w:rsidRDefault="00E83110" w:rsidP="0009098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$45,033,297.67</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602670CD" w14:textId="036E84F1" w:rsidR="00E83110" w:rsidRPr="00EE5714" w:rsidRDefault="00E83110" w:rsidP="0009098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$45,031,212.51</w:t>
            </w:r>
          </w:p>
        </w:tc>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DC24BE7" w14:textId="229E0685" w:rsidR="00E83110" w:rsidRPr="00EE5714" w:rsidRDefault="00E83110" w:rsidP="0009098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$49,438,280.07</w:t>
            </w:r>
          </w:p>
        </w:tc>
        <w:tc>
          <w:tcPr>
            <w:tcW w:w="165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61E6B82E" w14:textId="36D5C34F" w:rsidR="00E83110" w:rsidRPr="00EE5714" w:rsidRDefault="00E83110" w:rsidP="0009098D">
            <w:pPr>
              <w:spacing w:after="0" w:line="240" w:lineRule="auto"/>
              <w:jc w:val="center"/>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$54,026,564.90</w:t>
            </w:r>
          </w:p>
        </w:tc>
      </w:tr>
    </w:tbl>
    <w:p w14:paraId="5CDF211E" w14:textId="24873D3A" w:rsidR="00F303E0" w:rsidRPr="00564DD1" w:rsidRDefault="00546E96" w:rsidP="007C77B1">
      <w:pPr>
        <w:pStyle w:val="NoSpacing"/>
        <w:ind w:left="720"/>
        <w:rPr>
          <w:rFonts w:cs="Times New Roman"/>
        </w:rPr>
      </w:pPr>
      <w:r w:rsidRPr="00215D3F">
        <w:rPr>
          <w:rFonts w:cs="Times New Roman"/>
        </w:rPr>
        <w:t>*I</w:t>
      </w:r>
      <w:r w:rsidR="002C654A" w:rsidRPr="00771BBA">
        <w:rPr>
          <w:rFonts w:cs="Times New Roman"/>
        </w:rPr>
        <w:t xml:space="preserve">talicized numbers reflect </w:t>
      </w:r>
      <w:r w:rsidR="003824B8" w:rsidRPr="0094268F">
        <w:rPr>
          <w:rFonts w:cs="Times New Roman"/>
        </w:rPr>
        <w:t>projected CAP costs from USECPs that the Commission has no</w:t>
      </w:r>
      <w:r w:rsidR="00DE4A0C" w:rsidRPr="00FB4689">
        <w:rPr>
          <w:rFonts w:cs="Times New Roman"/>
        </w:rPr>
        <w:t xml:space="preserve">t </w:t>
      </w:r>
      <w:r w:rsidR="00185E28" w:rsidRPr="00FB4689">
        <w:rPr>
          <w:rFonts w:cs="Times New Roman"/>
        </w:rPr>
        <w:t>yet</w:t>
      </w:r>
      <w:r w:rsidR="007071AC" w:rsidRPr="00DC362A">
        <w:rPr>
          <w:rFonts w:cs="Times New Roman"/>
        </w:rPr>
        <w:t xml:space="preserve"> </w:t>
      </w:r>
      <w:r w:rsidR="007746E3" w:rsidRPr="00DC362A">
        <w:rPr>
          <w:rFonts w:cs="Times New Roman"/>
        </w:rPr>
        <w:t>approved</w:t>
      </w:r>
      <w:r w:rsidR="007071AC" w:rsidRPr="007D201F">
        <w:rPr>
          <w:rFonts w:cs="Times New Roman"/>
        </w:rPr>
        <w:t>.</w:t>
      </w:r>
      <w:r w:rsidR="007746E3" w:rsidRPr="007D201F">
        <w:rPr>
          <w:rFonts w:cs="Times New Roman"/>
        </w:rPr>
        <w:t xml:space="preserve"> </w:t>
      </w:r>
    </w:p>
    <w:p w14:paraId="7706513D" w14:textId="77777777" w:rsidR="00071E2B" w:rsidRPr="00071E2B" w:rsidRDefault="00071E2B" w:rsidP="00071E2B">
      <w:pPr>
        <w:pStyle w:val="NoSpacing"/>
        <w:rPr>
          <w:rFonts w:cs="Times New Roman"/>
          <w:szCs w:val="26"/>
        </w:rPr>
      </w:pPr>
    </w:p>
    <w:p w14:paraId="12314C0D" w14:textId="77777777" w:rsidR="00570EAE" w:rsidRPr="00EE5714" w:rsidRDefault="00570EAE" w:rsidP="007D7A46">
      <w:pPr>
        <w:pStyle w:val="NoSpacing"/>
        <w:rPr>
          <w:rFonts w:cs="Times New Roman"/>
          <w:szCs w:val="26"/>
        </w:rPr>
      </w:pPr>
    </w:p>
    <w:p w14:paraId="48678D17" w14:textId="398BACAA" w:rsidR="00F303E0" w:rsidRPr="00EE5714" w:rsidRDefault="00F734A0" w:rsidP="007D7A46">
      <w:pPr>
        <w:pStyle w:val="NoSpacing"/>
        <w:keepNext/>
        <w:rPr>
          <w:rFonts w:cs="Times New Roman"/>
          <w:i/>
          <w:color w:val="000000" w:themeColor="text1"/>
          <w:szCs w:val="26"/>
        </w:rPr>
      </w:pPr>
      <w:r w:rsidRPr="00EE5714">
        <w:rPr>
          <w:rFonts w:cs="Times New Roman"/>
          <w:i/>
          <w:color w:val="000000" w:themeColor="text1"/>
          <w:szCs w:val="26"/>
        </w:rPr>
        <w:lastRenderedPageBreak/>
        <w:t>Appendix 9</w:t>
      </w:r>
      <w:r w:rsidR="00F303E0" w:rsidRPr="00EE5714">
        <w:rPr>
          <w:rFonts w:cs="Times New Roman"/>
          <w:i/>
          <w:color w:val="000000" w:themeColor="text1"/>
          <w:szCs w:val="26"/>
        </w:rPr>
        <w:t>.</w:t>
      </w:r>
      <w:r w:rsidR="008F612D" w:rsidRPr="00EE5714">
        <w:rPr>
          <w:rFonts w:cs="Times New Roman"/>
          <w:i/>
          <w:color w:val="000000" w:themeColor="text1"/>
          <w:szCs w:val="26"/>
        </w:rPr>
        <w:t>E</w:t>
      </w:r>
      <w:r w:rsidR="00F303E0" w:rsidRPr="00EE5714">
        <w:rPr>
          <w:rFonts w:cs="Times New Roman"/>
          <w:i/>
          <w:color w:val="000000" w:themeColor="text1"/>
          <w:szCs w:val="26"/>
        </w:rPr>
        <w:t>: Table 10-5 NGDC Annual CAP Costs per Non-CAP Residential Customer 2012-2016</w:t>
      </w:r>
      <w:r w:rsidR="009B4CAE" w:rsidRPr="00EE5714">
        <w:rPr>
          <w:rFonts w:cs="Times New Roman"/>
          <w:i/>
          <w:color w:val="000000" w:themeColor="text1"/>
          <w:szCs w:val="26"/>
        </w:rPr>
        <w:t xml:space="preserve"> and </w:t>
      </w:r>
      <w:r w:rsidR="008758AA" w:rsidRPr="00EE5714">
        <w:rPr>
          <w:rFonts w:cs="Times New Roman"/>
          <w:i/>
          <w:color w:val="000000" w:themeColor="text1"/>
          <w:szCs w:val="26"/>
        </w:rPr>
        <w:t>5-Year Forecasting</w:t>
      </w:r>
      <w:r w:rsidR="00F303E0" w:rsidRPr="00EE5714">
        <w:rPr>
          <w:rFonts w:cs="Times New Roman"/>
          <w:i/>
          <w:color w:val="000000" w:themeColor="text1"/>
          <w:szCs w:val="26"/>
        </w:rPr>
        <w:t xml:space="preserve"> </w:t>
      </w:r>
      <w:r w:rsidR="002B08A2" w:rsidRPr="00EE5714">
        <w:rPr>
          <w:rFonts w:cs="Times New Roman"/>
          <w:i/>
          <w:color w:val="000000" w:themeColor="text1"/>
          <w:szCs w:val="26"/>
        </w:rPr>
        <w:t xml:space="preserve">if </w:t>
      </w:r>
      <w:r w:rsidR="00F303E0" w:rsidRPr="00EE5714">
        <w:rPr>
          <w:rFonts w:cs="Times New Roman"/>
          <w:i/>
          <w:color w:val="000000" w:themeColor="text1"/>
          <w:szCs w:val="26"/>
        </w:rPr>
        <w:t xml:space="preserve">CAP Enrollment Adjustments </w:t>
      </w:r>
      <w:r w:rsidR="008758AA" w:rsidRPr="00EE5714">
        <w:rPr>
          <w:rFonts w:cs="Times New Roman"/>
          <w:i/>
          <w:color w:val="000000" w:themeColor="text1"/>
          <w:szCs w:val="26"/>
        </w:rPr>
        <w:t>R</w:t>
      </w:r>
      <w:r w:rsidR="00EC35A9" w:rsidRPr="00EE5714">
        <w:rPr>
          <w:rFonts w:cs="Times New Roman"/>
          <w:i/>
          <w:color w:val="000000" w:themeColor="text1"/>
          <w:szCs w:val="26"/>
        </w:rPr>
        <w:t>ang</w:t>
      </w:r>
      <w:r w:rsidR="002B08A2" w:rsidRPr="00EE5714">
        <w:rPr>
          <w:rFonts w:cs="Times New Roman"/>
          <w:i/>
          <w:color w:val="000000" w:themeColor="text1"/>
          <w:szCs w:val="26"/>
        </w:rPr>
        <w:t>ed</w:t>
      </w:r>
      <w:r w:rsidR="00EC35A9" w:rsidRPr="00EE5714">
        <w:rPr>
          <w:rFonts w:cs="Times New Roman"/>
          <w:i/>
          <w:color w:val="000000" w:themeColor="text1"/>
          <w:szCs w:val="26"/>
        </w:rPr>
        <w:t xml:space="preserve"> between </w:t>
      </w:r>
      <w:r w:rsidR="002B08A2" w:rsidRPr="00EE5714">
        <w:rPr>
          <w:rFonts w:cs="Times New Roman"/>
          <w:i/>
          <w:color w:val="000000" w:themeColor="text1"/>
          <w:szCs w:val="26"/>
        </w:rPr>
        <w:t>a Decrease of 10% and an</w:t>
      </w:r>
      <w:r w:rsidR="009B4CAE" w:rsidRPr="00EE5714">
        <w:rPr>
          <w:rFonts w:cs="Times New Roman"/>
          <w:i/>
          <w:color w:val="000000" w:themeColor="text1"/>
          <w:szCs w:val="26"/>
        </w:rPr>
        <w:t xml:space="preserve"> Increa</w:t>
      </w:r>
      <w:r w:rsidR="00A91535" w:rsidRPr="00EE5714">
        <w:rPr>
          <w:rFonts w:cs="Times New Roman"/>
          <w:i/>
          <w:color w:val="000000" w:themeColor="text1"/>
          <w:szCs w:val="26"/>
        </w:rPr>
        <w:t>s</w:t>
      </w:r>
      <w:r w:rsidR="009B4CAE" w:rsidRPr="00EE5714">
        <w:rPr>
          <w:rFonts w:cs="Times New Roman"/>
          <w:i/>
          <w:color w:val="000000" w:themeColor="text1"/>
          <w:szCs w:val="26"/>
        </w:rPr>
        <w:t>e of 10%</w:t>
      </w:r>
    </w:p>
    <w:p w14:paraId="479C95FA" w14:textId="77777777" w:rsidR="00F303E0" w:rsidRPr="00EE5714" w:rsidRDefault="00F303E0" w:rsidP="0009098D">
      <w:pPr>
        <w:pStyle w:val="NoSpacing"/>
        <w:keepNext/>
        <w:rPr>
          <w:rFonts w:cs="Times New Roman"/>
          <w:szCs w:val="26"/>
        </w:rPr>
      </w:pPr>
    </w:p>
    <w:p w14:paraId="5D3283DE" w14:textId="47A0A26B" w:rsidR="00F303E0" w:rsidRPr="00EE5714" w:rsidRDefault="00F734A0" w:rsidP="0009098D">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8F612D" w:rsidRPr="00EE5714">
        <w:rPr>
          <w:rFonts w:cs="Times New Roman"/>
          <w:szCs w:val="26"/>
        </w:rPr>
        <w:t>E</w:t>
      </w:r>
      <w:r w:rsidR="00F303E0" w:rsidRPr="00EE5714">
        <w:rPr>
          <w:rFonts w:cs="Times New Roman"/>
          <w:szCs w:val="26"/>
        </w:rPr>
        <w:t xml:space="preserve">.1: </w:t>
      </w:r>
      <w:r w:rsidR="00F303E0" w:rsidRPr="00EE5714">
        <w:rPr>
          <w:rFonts w:eastAsia="Times New Roman" w:cs="Times New Roman"/>
          <w:b/>
          <w:color w:val="000000"/>
          <w:szCs w:val="26"/>
        </w:rPr>
        <w:t>Actual Data and Forecasts – Columbia</w:t>
      </w:r>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C53620" w:rsidRPr="00EE5714" w14:paraId="2E8A8756" w14:textId="77777777" w:rsidTr="00180883">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75F9B2A3" w14:textId="77777777" w:rsidR="00C53620" w:rsidRPr="00EE5714" w:rsidRDefault="00C53620" w:rsidP="0009098D">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07471300" w14:textId="723DAC6F" w:rsidR="00C53620" w:rsidRPr="00EE5714" w:rsidRDefault="00C53620" w:rsidP="0009098D">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4CB09D2C" w14:textId="77777777" w:rsidR="00C53620" w:rsidRPr="00EE5714" w:rsidRDefault="00C53620" w:rsidP="0009098D">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8D73AB" w:rsidRPr="00EE5714" w14:paraId="34E2066D" w14:textId="77777777" w:rsidTr="008D73AB">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376CCBB" w14:textId="77777777" w:rsidR="008D73AB" w:rsidRPr="00EE5714" w:rsidRDefault="008D73AB" w:rsidP="0009098D">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4F98D748" w14:textId="77777777" w:rsidR="008D73AB" w:rsidRPr="00EE5714" w:rsidRDefault="008D73AB"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3587CB96" w14:textId="77777777" w:rsidR="008D73AB" w:rsidRPr="00EE5714" w:rsidRDefault="008D73AB"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3599F895" w14:textId="77777777" w:rsidR="008D73AB" w:rsidRPr="00EE5714" w:rsidRDefault="008D73AB"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6EE243B8" w14:textId="77777777" w:rsidR="008D73AB" w:rsidRPr="00EE5714" w:rsidRDefault="008D73AB"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0659D15B" w14:textId="49FC8336" w:rsidR="008D73AB" w:rsidRPr="00EE5714" w:rsidRDefault="008D73AB"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794CD0A4" w14:textId="671C6E4D" w:rsidR="008D73AB" w:rsidRPr="00EE5714" w:rsidRDefault="008D73AB"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2FB8F370" w14:textId="77777777" w:rsidR="008D73AB" w:rsidRPr="00EE5714" w:rsidRDefault="008D73AB"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655FD8F7" w14:textId="77777777" w:rsidR="008D73AB" w:rsidRPr="00EE5714" w:rsidRDefault="008D73AB"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29136E4C" w14:textId="77777777" w:rsidR="008D73AB" w:rsidRPr="00EE5714" w:rsidRDefault="008D73AB"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697B2908" w14:textId="77777777" w:rsidR="008D73AB" w:rsidRPr="00EE5714" w:rsidRDefault="008D73AB" w:rsidP="0009098D">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8D73AB" w:rsidRPr="00EE5714" w14:paraId="2A355E88" w14:textId="77777777" w:rsidTr="008D73AB">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5E1D5A5D" w14:textId="77777777" w:rsidR="008D73AB" w:rsidRPr="00EE5714" w:rsidRDefault="008D73AB" w:rsidP="004E005A">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272088AA"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$22.59</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2627A44C"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$36.42</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59D6B679"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$50.00</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1D232902"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$49.76</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0D97443F" w14:textId="3E1B03A9"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$36.72</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68E8FE87" w14:textId="5015624F"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$53.09</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4ABB5BF" w14:textId="43915D26"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$36.66</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A683A28" w14:textId="4BE40CF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$60.74</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5B8BB4DF" w14:textId="5D0F332E"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$60.47</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19A6AC86" w14:textId="61CF9C4E"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$60.21</w:t>
            </w:r>
          </w:p>
        </w:tc>
      </w:tr>
      <w:tr w:rsidR="008D73AB" w:rsidRPr="00EE5714" w14:paraId="513F653B" w14:textId="77777777" w:rsidTr="008D73AB">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5C7856AE"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0FA231CC"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$20.33</w:t>
            </w:r>
          </w:p>
        </w:tc>
        <w:tc>
          <w:tcPr>
            <w:tcW w:w="927" w:type="dxa"/>
            <w:tcBorders>
              <w:top w:val="nil"/>
              <w:left w:val="nil"/>
              <w:bottom w:val="single" w:sz="4" w:space="0" w:color="000000"/>
              <w:right w:val="single" w:sz="4" w:space="0" w:color="000000"/>
            </w:tcBorders>
            <w:shd w:val="clear" w:color="auto" w:fill="auto"/>
            <w:noWrap/>
            <w:vAlign w:val="center"/>
          </w:tcPr>
          <w:p w14:paraId="5C5D17C1"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$32.78</w:t>
            </w:r>
          </w:p>
        </w:tc>
        <w:tc>
          <w:tcPr>
            <w:tcW w:w="927" w:type="dxa"/>
            <w:tcBorders>
              <w:top w:val="nil"/>
              <w:left w:val="nil"/>
              <w:bottom w:val="single" w:sz="4" w:space="0" w:color="000000"/>
              <w:right w:val="single" w:sz="4" w:space="0" w:color="000000"/>
            </w:tcBorders>
            <w:shd w:val="clear" w:color="auto" w:fill="auto"/>
            <w:noWrap/>
            <w:vAlign w:val="center"/>
          </w:tcPr>
          <w:p w14:paraId="7A652D3D"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$45.00</w:t>
            </w:r>
          </w:p>
        </w:tc>
        <w:tc>
          <w:tcPr>
            <w:tcW w:w="927" w:type="dxa"/>
            <w:tcBorders>
              <w:top w:val="nil"/>
              <w:left w:val="nil"/>
              <w:bottom w:val="single" w:sz="4" w:space="0" w:color="000000"/>
              <w:right w:val="single" w:sz="4" w:space="0" w:color="000000"/>
            </w:tcBorders>
            <w:shd w:val="clear" w:color="auto" w:fill="auto"/>
            <w:noWrap/>
            <w:vAlign w:val="center"/>
          </w:tcPr>
          <w:p w14:paraId="16856D1B"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$44.78</w:t>
            </w:r>
          </w:p>
        </w:tc>
        <w:tc>
          <w:tcPr>
            <w:tcW w:w="927" w:type="dxa"/>
            <w:tcBorders>
              <w:top w:val="single" w:sz="4" w:space="0" w:color="000000"/>
              <w:left w:val="nil"/>
              <w:bottom w:val="single" w:sz="4" w:space="0" w:color="000000"/>
              <w:right w:val="single" w:sz="4" w:space="0" w:color="auto"/>
            </w:tcBorders>
            <w:vAlign w:val="center"/>
          </w:tcPr>
          <w:p w14:paraId="380300D8" w14:textId="2D682FDB"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$33.05</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17B766AC" w14:textId="66FB4F2E"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$47.78</w:t>
            </w:r>
          </w:p>
        </w:tc>
        <w:tc>
          <w:tcPr>
            <w:tcW w:w="927" w:type="dxa"/>
            <w:tcBorders>
              <w:top w:val="nil"/>
              <w:left w:val="nil"/>
              <w:bottom w:val="single" w:sz="4" w:space="0" w:color="000000"/>
              <w:right w:val="single" w:sz="4" w:space="0" w:color="000000"/>
            </w:tcBorders>
            <w:shd w:val="clear" w:color="auto" w:fill="auto"/>
            <w:noWrap/>
            <w:vAlign w:val="center"/>
          </w:tcPr>
          <w:p w14:paraId="513D2E32" w14:textId="7BBD0D33"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$32.99</w:t>
            </w:r>
          </w:p>
        </w:tc>
        <w:tc>
          <w:tcPr>
            <w:tcW w:w="927" w:type="dxa"/>
            <w:tcBorders>
              <w:top w:val="nil"/>
              <w:left w:val="nil"/>
              <w:bottom w:val="single" w:sz="4" w:space="0" w:color="000000"/>
              <w:right w:val="single" w:sz="4" w:space="0" w:color="000000"/>
            </w:tcBorders>
            <w:shd w:val="clear" w:color="auto" w:fill="auto"/>
            <w:noWrap/>
            <w:vAlign w:val="center"/>
          </w:tcPr>
          <w:p w14:paraId="33222408" w14:textId="5487C356"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$54.67</w:t>
            </w:r>
          </w:p>
        </w:tc>
        <w:tc>
          <w:tcPr>
            <w:tcW w:w="864" w:type="dxa"/>
            <w:tcBorders>
              <w:top w:val="nil"/>
              <w:left w:val="nil"/>
              <w:bottom w:val="single" w:sz="4" w:space="0" w:color="000000"/>
              <w:right w:val="single" w:sz="4" w:space="0" w:color="000000"/>
            </w:tcBorders>
            <w:shd w:val="clear" w:color="auto" w:fill="auto"/>
            <w:noWrap/>
            <w:vAlign w:val="center"/>
          </w:tcPr>
          <w:p w14:paraId="3FCD2803" w14:textId="10B6C735"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$54.42</w:t>
            </w:r>
          </w:p>
        </w:tc>
        <w:tc>
          <w:tcPr>
            <w:tcW w:w="810" w:type="dxa"/>
            <w:tcBorders>
              <w:top w:val="nil"/>
              <w:left w:val="nil"/>
              <w:bottom w:val="single" w:sz="4" w:space="0" w:color="000000"/>
              <w:right w:val="single" w:sz="12" w:space="0" w:color="000000"/>
            </w:tcBorders>
            <w:shd w:val="clear" w:color="auto" w:fill="auto"/>
            <w:noWrap/>
            <w:vAlign w:val="center"/>
          </w:tcPr>
          <w:p w14:paraId="3C84E484" w14:textId="461E4563"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$54.19</w:t>
            </w:r>
          </w:p>
        </w:tc>
      </w:tr>
      <w:tr w:rsidR="008D73AB" w:rsidRPr="00EE5714" w14:paraId="68AE2878" w14:textId="77777777" w:rsidTr="008D73AB">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81B7B01"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214A7E6D"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$21.46</w:t>
            </w:r>
          </w:p>
        </w:tc>
        <w:tc>
          <w:tcPr>
            <w:tcW w:w="927" w:type="dxa"/>
            <w:tcBorders>
              <w:top w:val="nil"/>
              <w:left w:val="nil"/>
              <w:bottom w:val="single" w:sz="4" w:space="0" w:color="000000"/>
              <w:right w:val="single" w:sz="4" w:space="0" w:color="000000"/>
            </w:tcBorders>
            <w:shd w:val="clear" w:color="auto" w:fill="auto"/>
            <w:noWrap/>
            <w:vAlign w:val="center"/>
          </w:tcPr>
          <w:p w14:paraId="41E0E3C1"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$34.60</w:t>
            </w:r>
          </w:p>
        </w:tc>
        <w:tc>
          <w:tcPr>
            <w:tcW w:w="927" w:type="dxa"/>
            <w:tcBorders>
              <w:top w:val="nil"/>
              <w:left w:val="nil"/>
              <w:bottom w:val="single" w:sz="4" w:space="0" w:color="000000"/>
              <w:right w:val="single" w:sz="4" w:space="0" w:color="000000"/>
            </w:tcBorders>
            <w:shd w:val="clear" w:color="auto" w:fill="auto"/>
            <w:noWrap/>
            <w:vAlign w:val="center"/>
          </w:tcPr>
          <w:p w14:paraId="6B8E39E1"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$47.50</w:t>
            </w:r>
          </w:p>
        </w:tc>
        <w:tc>
          <w:tcPr>
            <w:tcW w:w="927" w:type="dxa"/>
            <w:tcBorders>
              <w:top w:val="nil"/>
              <w:left w:val="nil"/>
              <w:bottom w:val="single" w:sz="4" w:space="0" w:color="000000"/>
              <w:right w:val="single" w:sz="4" w:space="0" w:color="000000"/>
            </w:tcBorders>
            <w:shd w:val="clear" w:color="auto" w:fill="auto"/>
            <w:noWrap/>
            <w:vAlign w:val="center"/>
          </w:tcPr>
          <w:p w14:paraId="4A4F539D"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$47.27</w:t>
            </w:r>
          </w:p>
        </w:tc>
        <w:tc>
          <w:tcPr>
            <w:tcW w:w="927" w:type="dxa"/>
            <w:tcBorders>
              <w:top w:val="single" w:sz="4" w:space="0" w:color="000000"/>
              <w:left w:val="nil"/>
              <w:bottom w:val="single" w:sz="4" w:space="0" w:color="000000"/>
              <w:right w:val="single" w:sz="4" w:space="0" w:color="auto"/>
            </w:tcBorders>
            <w:vAlign w:val="center"/>
          </w:tcPr>
          <w:p w14:paraId="788F0850" w14:textId="1100A6A6"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$34.88</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60479702" w14:textId="38229D7F"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$50.43</w:t>
            </w:r>
          </w:p>
        </w:tc>
        <w:tc>
          <w:tcPr>
            <w:tcW w:w="927" w:type="dxa"/>
            <w:tcBorders>
              <w:top w:val="nil"/>
              <w:left w:val="nil"/>
              <w:bottom w:val="single" w:sz="4" w:space="0" w:color="000000"/>
              <w:right w:val="single" w:sz="4" w:space="0" w:color="000000"/>
            </w:tcBorders>
            <w:shd w:val="clear" w:color="auto" w:fill="auto"/>
            <w:noWrap/>
            <w:vAlign w:val="center"/>
          </w:tcPr>
          <w:p w14:paraId="00FE29AB" w14:textId="2AF2DFBB"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$34.83</w:t>
            </w:r>
          </w:p>
        </w:tc>
        <w:tc>
          <w:tcPr>
            <w:tcW w:w="927" w:type="dxa"/>
            <w:tcBorders>
              <w:top w:val="nil"/>
              <w:left w:val="nil"/>
              <w:bottom w:val="single" w:sz="4" w:space="0" w:color="000000"/>
              <w:right w:val="single" w:sz="4" w:space="0" w:color="000000"/>
            </w:tcBorders>
            <w:shd w:val="clear" w:color="auto" w:fill="auto"/>
            <w:noWrap/>
            <w:vAlign w:val="center"/>
          </w:tcPr>
          <w:p w14:paraId="31912BEF" w14:textId="6DDE6E41"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$57.70</w:t>
            </w:r>
          </w:p>
        </w:tc>
        <w:tc>
          <w:tcPr>
            <w:tcW w:w="864" w:type="dxa"/>
            <w:tcBorders>
              <w:top w:val="nil"/>
              <w:left w:val="nil"/>
              <w:bottom w:val="single" w:sz="4" w:space="0" w:color="000000"/>
              <w:right w:val="single" w:sz="4" w:space="0" w:color="000000"/>
            </w:tcBorders>
            <w:shd w:val="clear" w:color="auto" w:fill="auto"/>
            <w:noWrap/>
            <w:vAlign w:val="center"/>
          </w:tcPr>
          <w:p w14:paraId="294F4D1D" w14:textId="5DBBE52A"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$57.45</w:t>
            </w:r>
          </w:p>
        </w:tc>
        <w:tc>
          <w:tcPr>
            <w:tcW w:w="810" w:type="dxa"/>
            <w:tcBorders>
              <w:top w:val="nil"/>
              <w:left w:val="nil"/>
              <w:bottom w:val="single" w:sz="4" w:space="0" w:color="000000"/>
              <w:right w:val="single" w:sz="12" w:space="0" w:color="000000"/>
            </w:tcBorders>
            <w:shd w:val="clear" w:color="auto" w:fill="auto"/>
            <w:noWrap/>
            <w:vAlign w:val="center"/>
          </w:tcPr>
          <w:p w14:paraId="624E15FB" w14:textId="737F95BC"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$57.20</w:t>
            </w:r>
          </w:p>
        </w:tc>
      </w:tr>
      <w:tr w:rsidR="008D73AB" w:rsidRPr="00EE5714" w14:paraId="67356500" w14:textId="77777777" w:rsidTr="009C6A5A">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7C536380"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261D1286"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$22.37</w:t>
            </w:r>
          </w:p>
        </w:tc>
        <w:tc>
          <w:tcPr>
            <w:tcW w:w="927" w:type="dxa"/>
            <w:tcBorders>
              <w:top w:val="nil"/>
              <w:left w:val="nil"/>
              <w:bottom w:val="single" w:sz="8" w:space="0" w:color="000000"/>
              <w:right w:val="single" w:sz="4" w:space="0" w:color="000000"/>
            </w:tcBorders>
            <w:shd w:val="clear" w:color="auto" w:fill="auto"/>
            <w:noWrap/>
            <w:vAlign w:val="center"/>
          </w:tcPr>
          <w:p w14:paraId="445C5D3F"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$36.06</w:t>
            </w:r>
          </w:p>
        </w:tc>
        <w:tc>
          <w:tcPr>
            <w:tcW w:w="927" w:type="dxa"/>
            <w:tcBorders>
              <w:top w:val="nil"/>
              <w:left w:val="nil"/>
              <w:bottom w:val="single" w:sz="8" w:space="0" w:color="000000"/>
              <w:right w:val="single" w:sz="4" w:space="0" w:color="000000"/>
            </w:tcBorders>
            <w:shd w:val="clear" w:color="auto" w:fill="auto"/>
            <w:noWrap/>
            <w:vAlign w:val="center"/>
          </w:tcPr>
          <w:p w14:paraId="26720711"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$49.50</w:t>
            </w:r>
          </w:p>
        </w:tc>
        <w:tc>
          <w:tcPr>
            <w:tcW w:w="927" w:type="dxa"/>
            <w:tcBorders>
              <w:top w:val="nil"/>
              <w:left w:val="nil"/>
              <w:bottom w:val="single" w:sz="8" w:space="0" w:color="000000"/>
              <w:right w:val="single" w:sz="4" w:space="0" w:color="000000"/>
            </w:tcBorders>
            <w:shd w:val="clear" w:color="auto" w:fill="auto"/>
            <w:noWrap/>
            <w:vAlign w:val="center"/>
          </w:tcPr>
          <w:p w14:paraId="7F85CE18"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$49.26</w:t>
            </w:r>
          </w:p>
        </w:tc>
        <w:tc>
          <w:tcPr>
            <w:tcW w:w="927" w:type="dxa"/>
            <w:tcBorders>
              <w:top w:val="single" w:sz="4" w:space="0" w:color="000000"/>
              <w:left w:val="nil"/>
              <w:bottom w:val="single" w:sz="8" w:space="0" w:color="000000"/>
              <w:right w:val="single" w:sz="4" w:space="0" w:color="auto"/>
            </w:tcBorders>
            <w:vAlign w:val="center"/>
          </w:tcPr>
          <w:p w14:paraId="51E41A79" w14:textId="6105E9B9"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$36.35</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4B407464" w14:textId="71E4F14A"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$52.56</w:t>
            </w:r>
          </w:p>
        </w:tc>
        <w:tc>
          <w:tcPr>
            <w:tcW w:w="927" w:type="dxa"/>
            <w:tcBorders>
              <w:top w:val="nil"/>
              <w:left w:val="nil"/>
              <w:bottom w:val="single" w:sz="4" w:space="0" w:color="000000"/>
              <w:right w:val="single" w:sz="4" w:space="0" w:color="000000"/>
            </w:tcBorders>
            <w:shd w:val="clear" w:color="auto" w:fill="auto"/>
            <w:noWrap/>
            <w:vAlign w:val="center"/>
          </w:tcPr>
          <w:p w14:paraId="4D781230" w14:textId="6B745FC3"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$36.29</w:t>
            </w:r>
          </w:p>
        </w:tc>
        <w:tc>
          <w:tcPr>
            <w:tcW w:w="927" w:type="dxa"/>
            <w:tcBorders>
              <w:top w:val="nil"/>
              <w:left w:val="nil"/>
              <w:bottom w:val="single" w:sz="4" w:space="0" w:color="000000"/>
              <w:right w:val="single" w:sz="4" w:space="0" w:color="000000"/>
            </w:tcBorders>
            <w:shd w:val="clear" w:color="auto" w:fill="auto"/>
            <w:noWrap/>
            <w:vAlign w:val="center"/>
          </w:tcPr>
          <w:p w14:paraId="125EA504" w14:textId="0036D52B"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$60.13</w:t>
            </w:r>
          </w:p>
        </w:tc>
        <w:tc>
          <w:tcPr>
            <w:tcW w:w="864" w:type="dxa"/>
            <w:tcBorders>
              <w:top w:val="nil"/>
              <w:left w:val="nil"/>
              <w:bottom w:val="single" w:sz="4" w:space="0" w:color="000000"/>
              <w:right w:val="single" w:sz="4" w:space="0" w:color="000000"/>
            </w:tcBorders>
            <w:shd w:val="clear" w:color="auto" w:fill="auto"/>
            <w:noWrap/>
            <w:vAlign w:val="center"/>
          </w:tcPr>
          <w:p w14:paraId="53ED524F" w14:textId="72672000"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$59.87</w:t>
            </w:r>
          </w:p>
        </w:tc>
        <w:tc>
          <w:tcPr>
            <w:tcW w:w="810" w:type="dxa"/>
            <w:tcBorders>
              <w:top w:val="nil"/>
              <w:left w:val="nil"/>
              <w:bottom w:val="single" w:sz="4" w:space="0" w:color="000000"/>
              <w:right w:val="single" w:sz="12" w:space="0" w:color="000000"/>
            </w:tcBorders>
            <w:shd w:val="clear" w:color="auto" w:fill="auto"/>
            <w:noWrap/>
            <w:vAlign w:val="center"/>
          </w:tcPr>
          <w:p w14:paraId="527B81F5" w14:textId="68FE2BD4"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$59.61</w:t>
            </w:r>
          </w:p>
        </w:tc>
      </w:tr>
      <w:tr w:rsidR="00C53620" w:rsidRPr="00EE5714" w14:paraId="3B019E80" w14:textId="77777777" w:rsidTr="009C6A5A">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06709868" w14:textId="77777777" w:rsidR="00C53620" w:rsidRPr="00EE5714" w:rsidRDefault="00C53620" w:rsidP="0009098D">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4BFCB470" w14:textId="77777777" w:rsidR="00C53620" w:rsidRPr="00EE5714" w:rsidRDefault="00C53620" w:rsidP="0009098D">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2893745F" w14:textId="454039F8" w:rsidR="00C53620" w:rsidRPr="00EE5714" w:rsidRDefault="00C53620" w:rsidP="0009098D">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3BE428E5" w14:textId="77777777" w:rsidR="00C53620" w:rsidRPr="00EE5714" w:rsidRDefault="00C53620" w:rsidP="0009098D">
            <w:pPr>
              <w:keepNext/>
              <w:spacing w:after="0" w:line="240" w:lineRule="auto"/>
              <w:jc w:val="center"/>
              <w:rPr>
                <w:rFonts w:ascii="Calibri" w:eastAsia="Times New Roman" w:hAnsi="Calibri" w:cs="Calibri"/>
                <w:color w:val="000000"/>
                <w:sz w:val="21"/>
                <w:szCs w:val="21"/>
              </w:rPr>
            </w:pPr>
          </w:p>
        </w:tc>
      </w:tr>
      <w:tr w:rsidR="008D73AB" w:rsidRPr="00EE5714" w14:paraId="6237010E" w14:textId="77777777" w:rsidTr="008D73AB">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482A6F03"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1EF1B01E"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$22.82</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38FE2333"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$36.79</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08992D21"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$50.50</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7764F70B"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$50.26</w:t>
            </w:r>
          </w:p>
        </w:tc>
        <w:tc>
          <w:tcPr>
            <w:tcW w:w="927" w:type="dxa"/>
            <w:tcBorders>
              <w:top w:val="single" w:sz="8" w:space="0" w:color="000000"/>
              <w:left w:val="nil"/>
              <w:bottom w:val="single" w:sz="4" w:space="0" w:color="000000"/>
              <w:right w:val="single" w:sz="4" w:space="0" w:color="auto"/>
            </w:tcBorders>
            <w:vAlign w:val="center"/>
          </w:tcPr>
          <w:p w14:paraId="47BCF8AE" w14:textId="55449D16"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$37.09</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776659B4" w14:textId="577B2742"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$53.62</w:t>
            </w:r>
          </w:p>
        </w:tc>
        <w:tc>
          <w:tcPr>
            <w:tcW w:w="927" w:type="dxa"/>
            <w:tcBorders>
              <w:top w:val="nil"/>
              <w:left w:val="nil"/>
              <w:bottom w:val="single" w:sz="4" w:space="0" w:color="000000"/>
              <w:right w:val="single" w:sz="4" w:space="0" w:color="000000"/>
            </w:tcBorders>
            <w:shd w:val="clear" w:color="auto" w:fill="auto"/>
            <w:noWrap/>
            <w:vAlign w:val="center"/>
          </w:tcPr>
          <w:p w14:paraId="1B8807CC" w14:textId="32489FB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$37.03</w:t>
            </w:r>
          </w:p>
        </w:tc>
        <w:tc>
          <w:tcPr>
            <w:tcW w:w="927" w:type="dxa"/>
            <w:tcBorders>
              <w:top w:val="nil"/>
              <w:left w:val="nil"/>
              <w:bottom w:val="single" w:sz="4" w:space="0" w:color="000000"/>
              <w:right w:val="single" w:sz="4" w:space="0" w:color="000000"/>
            </w:tcBorders>
            <w:shd w:val="clear" w:color="auto" w:fill="auto"/>
            <w:noWrap/>
            <w:vAlign w:val="center"/>
          </w:tcPr>
          <w:p w14:paraId="4C9FEF15" w14:textId="4918AE2B"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$61.35</w:t>
            </w:r>
          </w:p>
        </w:tc>
        <w:tc>
          <w:tcPr>
            <w:tcW w:w="864" w:type="dxa"/>
            <w:tcBorders>
              <w:top w:val="nil"/>
              <w:left w:val="nil"/>
              <w:bottom w:val="single" w:sz="4" w:space="0" w:color="000000"/>
              <w:right w:val="single" w:sz="4" w:space="0" w:color="000000"/>
            </w:tcBorders>
            <w:shd w:val="clear" w:color="auto" w:fill="auto"/>
            <w:noWrap/>
            <w:vAlign w:val="center"/>
          </w:tcPr>
          <w:p w14:paraId="2EA3C788" w14:textId="0A80891E"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$61.07</w:t>
            </w:r>
          </w:p>
        </w:tc>
        <w:tc>
          <w:tcPr>
            <w:tcW w:w="810" w:type="dxa"/>
            <w:tcBorders>
              <w:top w:val="nil"/>
              <w:left w:val="nil"/>
              <w:bottom w:val="single" w:sz="4" w:space="0" w:color="000000"/>
              <w:right w:val="single" w:sz="12" w:space="0" w:color="000000"/>
            </w:tcBorders>
            <w:shd w:val="clear" w:color="auto" w:fill="auto"/>
            <w:noWrap/>
            <w:vAlign w:val="center"/>
          </w:tcPr>
          <w:p w14:paraId="5C2A6A25" w14:textId="3F34793D"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$60.81</w:t>
            </w:r>
          </w:p>
        </w:tc>
      </w:tr>
      <w:tr w:rsidR="008D73AB" w:rsidRPr="00EE5714" w14:paraId="4759DB2E" w14:textId="77777777" w:rsidTr="008D73AB">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73305A56"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210696CC"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$23.72</w:t>
            </w:r>
          </w:p>
        </w:tc>
        <w:tc>
          <w:tcPr>
            <w:tcW w:w="927" w:type="dxa"/>
            <w:tcBorders>
              <w:top w:val="nil"/>
              <w:left w:val="nil"/>
              <w:bottom w:val="single" w:sz="4" w:space="0" w:color="000000"/>
              <w:right w:val="single" w:sz="4" w:space="0" w:color="000000"/>
            </w:tcBorders>
            <w:shd w:val="clear" w:color="auto" w:fill="auto"/>
            <w:noWrap/>
            <w:vAlign w:val="center"/>
          </w:tcPr>
          <w:p w14:paraId="14D3C5D6"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$38.24</w:t>
            </w:r>
          </w:p>
        </w:tc>
        <w:tc>
          <w:tcPr>
            <w:tcW w:w="927" w:type="dxa"/>
            <w:tcBorders>
              <w:top w:val="nil"/>
              <w:left w:val="nil"/>
              <w:bottom w:val="single" w:sz="4" w:space="0" w:color="000000"/>
              <w:right w:val="single" w:sz="4" w:space="0" w:color="000000"/>
            </w:tcBorders>
            <w:shd w:val="clear" w:color="auto" w:fill="auto"/>
            <w:noWrap/>
            <w:vAlign w:val="center"/>
          </w:tcPr>
          <w:p w14:paraId="1B595F49"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$52.50</w:t>
            </w:r>
          </w:p>
        </w:tc>
        <w:tc>
          <w:tcPr>
            <w:tcW w:w="927" w:type="dxa"/>
            <w:tcBorders>
              <w:top w:val="nil"/>
              <w:left w:val="nil"/>
              <w:bottom w:val="single" w:sz="4" w:space="0" w:color="000000"/>
              <w:right w:val="single" w:sz="4" w:space="0" w:color="000000"/>
            </w:tcBorders>
            <w:shd w:val="clear" w:color="auto" w:fill="auto"/>
            <w:noWrap/>
            <w:vAlign w:val="center"/>
          </w:tcPr>
          <w:p w14:paraId="4EA9445E" w14:textId="7777777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$52.25</w:t>
            </w:r>
          </w:p>
        </w:tc>
        <w:tc>
          <w:tcPr>
            <w:tcW w:w="927" w:type="dxa"/>
            <w:tcBorders>
              <w:top w:val="single" w:sz="4" w:space="0" w:color="000000"/>
              <w:left w:val="nil"/>
              <w:bottom w:val="single" w:sz="4" w:space="0" w:color="000000"/>
              <w:right w:val="single" w:sz="4" w:space="0" w:color="auto"/>
            </w:tcBorders>
            <w:vAlign w:val="center"/>
          </w:tcPr>
          <w:p w14:paraId="7A55DEDC" w14:textId="444B4037"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$38.55</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4EB0A39D" w14:textId="07C5826B"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$55.74</w:t>
            </w:r>
          </w:p>
        </w:tc>
        <w:tc>
          <w:tcPr>
            <w:tcW w:w="927" w:type="dxa"/>
            <w:tcBorders>
              <w:top w:val="nil"/>
              <w:left w:val="nil"/>
              <w:bottom w:val="single" w:sz="4" w:space="0" w:color="000000"/>
              <w:right w:val="single" w:sz="4" w:space="0" w:color="000000"/>
            </w:tcBorders>
            <w:shd w:val="clear" w:color="auto" w:fill="auto"/>
            <w:noWrap/>
            <w:vAlign w:val="center"/>
          </w:tcPr>
          <w:p w14:paraId="2AFA0611" w14:textId="0A5F858E"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$38.49</w:t>
            </w:r>
          </w:p>
        </w:tc>
        <w:tc>
          <w:tcPr>
            <w:tcW w:w="927" w:type="dxa"/>
            <w:tcBorders>
              <w:top w:val="nil"/>
              <w:left w:val="nil"/>
              <w:bottom w:val="single" w:sz="4" w:space="0" w:color="000000"/>
              <w:right w:val="single" w:sz="4" w:space="0" w:color="000000"/>
            </w:tcBorders>
            <w:shd w:val="clear" w:color="auto" w:fill="auto"/>
            <w:noWrap/>
            <w:vAlign w:val="center"/>
          </w:tcPr>
          <w:p w14:paraId="54C78687" w14:textId="670BE82D"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$63.78</w:t>
            </w:r>
          </w:p>
        </w:tc>
        <w:tc>
          <w:tcPr>
            <w:tcW w:w="864" w:type="dxa"/>
            <w:tcBorders>
              <w:top w:val="nil"/>
              <w:left w:val="nil"/>
              <w:bottom w:val="single" w:sz="4" w:space="0" w:color="000000"/>
              <w:right w:val="single" w:sz="4" w:space="0" w:color="000000"/>
            </w:tcBorders>
            <w:shd w:val="clear" w:color="auto" w:fill="auto"/>
            <w:noWrap/>
            <w:vAlign w:val="center"/>
          </w:tcPr>
          <w:p w14:paraId="0580C668" w14:textId="5ACFCF86"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$63.49</w:t>
            </w:r>
          </w:p>
        </w:tc>
        <w:tc>
          <w:tcPr>
            <w:tcW w:w="810" w:type="dxa"/>
            <w:tcBorders>
              <w:top w:val="nil"/>
              <w:left w:val="nil"/>
              <w:bottom w:val="single" w:sz="4" w:space="0" w:color="000000"/>
              <w:right w:val="single" w:sz="12" w:space="0" w:color="000000"/>
            </w:tcBorders>
            <w:shd w:val="clear" w:color="auto" w:fill="auto"/>
            <w:noWrap/>
            <w:vAlign w:val="center"/>
          </w:tcPr>
          <w:p w14:paraId="384843B2" w14:textId="0F587C16" w:rsidR="008D73AB" w:rsidRPr="00EE5714" w:rsidRDefault="008D73AB" w:rsidP="004E005A">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$63.22</w:t>
            </w:r>
          </w:p>
        </w:tc>
      </w:tr>
      <w:tr w:rsidR="008D73AB" w:rsidRPr="00EE5714" w14:paraId="57E49EFF" w14:textId="77777777" w:rsidTr="008D73AB">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5D3A538B" w14:textId="77777777" w:rsidR="008D73AB" w:rsidRPr="00EE5714" w:rsidRDefault="008D73AB" w:rsidP="004E005A">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21A3E18D" w14:textId="77777777" w:rsidR="008D73AB" w:rsidRPr="00EE5714" w:rsidRDefault="008D73AB" w:rsidP="004E005A">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$24.85</w:t>
            </w:r>
          </w:p>
        </w:tc>
        <w:tc>
          <w:tcPr>
            <w:tcW w:w="927" w:type="dxa"/>
            <w:tcBorders>
              <w:top w:val="nil"/>
              <w:left w:val="nil"/>
              <w:bottom w:val="single" w:sz="12" w:space="0" w:color="000000"/>
              <w:right w:val="single" w:sz="4" w:space="0" w:color="000000"/>
            </w:tcBorders>
            <w:shd w:val="clear" w:color="auto" w:fill="auto"/>
            <w:noWrap/>
            <w:vAlign w:val="center"/>
          </w:tcPr>
          <w:p w14:paraId="2710A0D6" w14:textId="77777777" w:rsidR="008D73AB" w:rsidRPr="00EE5714" w:rsidRDefault="008D73AB" w:rsidP="004E005A">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$40.06</w:t>
            </w:r>
          </w:p>
        </w:tc>
        <w:tc>
          <w:tcPr>
            <w:tcW w:w="927" w:type="dxa"/>
            <w:tcBorders>
              <w:top w:val="nil"/>
              <w:left w:val="nil"/>
              <w:bottom w:val="single" w:sz="12" w:space="0" w:color="000000"/>
              <w:right w:val="single" w:sz="4" w:space="0" w:color="000000"/>
            </w:tcBorders>
            <w:shd w:val="clear" w:color="auto" w:fill="auto"/>
            <w:noWrap/>
            <w:vAlign w:val="center"/>
          </w:tcPr>
          <w:p w14:paraId="43F6F793" w14:textId="77777777" w:rsidR="008D73AB" w:rsidRPr="00EE5714" w:rsidRDefault="008D73AB" w:rsidP="004E005A">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$55.00</w:t>
            </w:r>
          </w:p>
        </w:tc>
        <w:tc>
          <w:tcPr>
            <w:tcW w:w="927" w:type="dxa"/>
            <w:tcBorders>
              <w:top w:val="nil"/>
              <w:left w:val="nil"/>
              <w:bottom w:val="single" w:sz="12" w:space="0" w:color="000000"/>
              <w:right w:val="single" w:sz="4" w:space="0" w:color="000000"/>
            </w:tcBorders>
            <w:shd w:val="clear" w:color="auto" w:fill="auto"/>
            <w:noWrap/>
            <w:vAlign w:val="center"/>
          </w:tcPr>
          <w:p w14:paraId="7484A754" w14:textId="77777777" w:rsidR="008D73AB" w:rsidRPr="00EE5714" w:rsidRDefault="008D73AB" w:rsidP="004E005A">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$54.74</w:t>
            </w:r>
          </w:p>
        </w:tc>
        <w:tc>
          <w:tcPr>
            <w:tcW w:w="927" w:type="dxa"/>
            <w:tcBorders>
              <w:top w:val="single" w:sz="4" w:space="0" w:color="000000"/>
              <w:left w:val="nil"/>
              <w:bottom w:val="single" w:sz="12" w:space="0" w:color="000000"/>
              <w:right w:val="single" w:sz="4" w:space="0" w:color="auto"/>
            </w:tcBorders>
            <w:vAlign w:val="center"/>
          </w:tcPr>
          <w:p w14:paraId="1B33D290" w14:textId="15EB550D" w:rsidR="008D73AB" w:rsidRPr="00EE5714" w:rsidRDefault="008D73AB" w:rsidP="004E005A">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$40.39</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2014350F" w14:textId="23934E15" w:rsidR="008D73AB" w:rsidRPr="00EE5714" w:rsidRDefault="008D73AB" w:rsidP="004E005A">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$58.40</w:t>
            </w:r>
          </w:p>
        </w:tc>
        <w:tc>
          <w:tcPr>
            <w:tcW w:w="927" w:type="dxa"/>
            <w:tcBorders>
              <w:top w:val="nil"/>
              <w:left w:val="nil"/>
              <w:bottom w:val="single" w:sz="12" w:space="0" w:color="000000"/>
              <w:right w:val="single" w:sz="4" w:space="0" w:color="000000"/>
            </w:tcBorders>
            <w:shd w:val="clear" w:color="auto" w:fill="auto"/>
            <w:noWrap/>
            <w:vAlign w:val="center"/>
          </w:tcPr>
          <w:p w14:paraId="4E12D690" w14:textId="41F88085" w:rsidR="008D73AB" w:rsidRPr="00EE5714" w:rsidRDefault="008D73AB" w:rsidP="004E005A">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$40.33</w:t>
            </w:r>
          </w:p>
        </w:tc>
        <w:tc>
          <w:tcPr>
            <w:tcW w:w="927" w:type="dxa"/>
            <w:tcBorders>
              <w:top w:val="nil"/>
              <w:left w:val="nil"/>
              <w:bottom w:val="single" w:sz="12" w:space="0" w:color="000000"/>
              <w:right w:val="single" w:sz="4" w:space="0" w:color="000000"/>
            </w:tcBorders>
            <w:shd w:val="clear" w:color="auto" w:fill="auto"/>
            <w:noWrap/>
            <w:vAlign w:val="center"/>
          </w:tcPr>
          <w:p w14:paraId="43BE25B5" w14:textId="043EEF7C" w:rsidR="008D73AB" w:rsidRPr="00EE5714" w:rsidRDefault="008D73AB" w:rsidP="004E005A">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$66.81</w:t>
            </w:r>
          </w:p>
        </w:tc>
        <w:tc>
          <w:tcPr>
            <w:tcW w:w="864" w:type="dxa"/>
            <w:tcBorders>
              <w:top w:val="nil"/>
              <w:left w:val="nil"/>
              <w:bottom w:val="single" w:sz="12" w:space="0" w:color="000000"/>
              <w:right w:val="single" w:sz="4" w:space="0" w:color="000000"/>
            </w:tcBorders>
            <w:shd w:val="clear" w:color="auto" w:fill="auto"/>
            <w:noWrap/>
            <w:vAlign w:val="center"/>
          </w:tcPr>
          <w:p w14:paraId="70B970F6" w14:textId="4FF9934D" w:rsidR="008D73AB" w:rsidRPr="00EE5714" w:rsidRDefault="008D73AB" w:rsidP="004E005A">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$66.52</w:t>
            </w:r>
          </w:p>
        </w:tc>
        <w:tc>
          <w:tcPr>
            <w:tcW w:w="810" w:type="dxa"/>
            <w:tcBorders>
              <w:top w:val="nil"/>
              <w:left w:val="nil"/>
              <w:bottom w:val="single" w:sz="12" w:space="0" w:color="000000"/>
              <w:right w:val="single" w:sz="12" w:space="0" w:color="000000"/>
            </w:tcBorders>
            <w:shd w:val="clear" w:color="auto" w:fill="auto"/>
            <w:noWrap/>
            <w:vAlign w:val="center"/>
          </w:tcPr>
          <w:p w14:paraId="152F6FE7" w14:textId="581B2E43" w:rsidR="008D73AB" w:rsidRPr="00EE5714" w:rsidRDefault="008D73AB" w:rsidP="004E005A">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$66.23</w:t>
            </w:r>
          </w:p>
        </w:tc>
      </w:tr>
    </w:tbl>
    <w:p w14:paraId="78B491AC" w14:textId="77777777" w:rsidR="00F303E0" w:rsidRPr="00EE5714" w:rsidRDefault="00F303E0" w:rsidP="00500E02">
      <w:pPr>
        <w:pStyle w:val="NoSpacing"/>
        <w:rPr>
          <w:rFonts w:cs="Times New Roman"/>
          <w:szCs w:val="26"/>
        </w:rPr>
      </w:pPr>
    </w:p>
    <w:p w14:paraId="4245690C" w14:textId="77777777" w:rsidR="00F303E0" w:rsidRPr="00EE5714" w:rsidRDefault="00F303E0" w:rsidP="007D7A46">
      <w:pPr>
        <w:pStyle w:val="NoSpacing"/>
        <w:rPr>
          <w:rFonts w:cs="Times New Roman"/>
          <w:szCs w:val="26"/>
        </w:rPr>
      </w:pPr>
    </w:p>
    <w:p w14:paraId="7BDBCB0C" w14:textId="734FA83D" w:rsidR="00F303E0" w:rsidRPr="00EE5714" w:rsidRDefault="00F734A0" w:rsidP="0009098D">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8F612D" w:rsidRPr="00EE5714">
        <w:rPr>
          <w:rFonts w:cs="Times New Roman"/>
          <w:szCs w:val="26"/>
        </w:rPr>
        <w:t>E</w:t>
      </w:r>
      <w:r w:rsidR="00F303E0" w:rsidRPr="00EE5714">
        <w:rPr>
          <w:rFonts w:cs="Times New Roman"/>
          <w:szCs w:val="26"/>
        </w:rPr>
        <w:t xml:space="preserve">.2: </w:t>
      </w:r>
      <w:r w:rsidR="00F303E0" w:rsidRPr="00EE5714">
        <w:rPr>
          <w:rFonts w:eastAsia="Times New Roman" w:cs="Times New Roman"/>
          <w:b/>
          <w:color w:val="000000"/>
          <w:szCs w:val="26"/>
        </w:rPr>
        <w:t>Actual Data and Forecasts – NFG</w:t>
      </w:r>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A87A68" w:rsidRPr="00EE5714" w14:paraId="3CF50BFC" w14:textId="77777777" w:rsidTr="00180883">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50A4C170" w14:textId="77777777" w:rsidR="00A87A68" w:rsidRPr="00EE5714" w:rsidRDefault="00A87A68"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4E61C8DC" w14:textId="77777777" w:rsidR="00A87A68" w:rsidRPr="00EE5714" w:rsidRDefault="00A87A68"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18638514" w14:textId="77777777" w:rsidR="00A87A68" w:rsidRPr="00EE5714" w:rsidRDefault="00A87A68"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A87A68" w:rsidRPr="00EE5714" w14:paraId="517E55CF"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FD99379" w14:textId="77777777" w:rsidR="00A87A68" w:rsidRPr="00EE5714" w:rsidRDefault="00A87A68"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78FB4306"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5A47349D"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78BA598D"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200A735B"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4BF82AB9"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0A8BCBAF"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3011AF33"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317AFAF7"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55FA9B7D"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0A2BE860"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C71C11" w:rsidRPr="00EE5714" w14:paraId="345D856F" w14:textId="77777777" w:rsidTr="003F3312">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76AEC31B" w14:textId="77777777" w:rsidR="00C71C11" w:rsidRPr="00EE5714" w:rsidRDefault="00C71C11" w:rsidP="00C71C11">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297FEC01" w14:textId="58350F63"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$10.45</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2B8DAC52" w14:textId="3F1F1705"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$9.74</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751883FA" w14:textId="20646061"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$10.24</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88C04E2" w14:textId="28F4E688"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$7.86</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3EA41DB4" w14:textId="74E488D9"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$6.18</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391466CC" w14:textId="6183008C"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$6.35</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5EB862DE" w14:textId="170EC609"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$12.29</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62B5D8C8" w14:textId="4599179B"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$12.86</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754A4D57" w14:textId="25B89D76"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$13.38</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3E85F6E5" w14:textId="09152C66"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$15.88</w:t>
            </w:r>
          </w:p>
        </w:tc>
      </w:tr>
      <w:tr w:rsidR="00C71C11" w:rsidRPr="00EE5714" w14:paraId="338A6A89"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2D4CFCA" w14:textId="77777777"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39343167" w14:textId="2F82A3EA"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$9.40</w:t>
            </w:r>
          </w:p>
        </w:tc>
        <w:tc>
          <w:tcPr>
            <w:tcW w:w="927" w:type="dxa"/>
            <w:tcBorders>
              <w:top w:val="nil"/>
              <w:left w:val="nil"/>
              <w:bottom w:val="single" w:sz="4" w:space="0" w:color="000000"/>
              <w:right w:val="single" w:sz="4" w:space="0" w:color="000000"/>
            </w:tcBorders>
            <w:shd w:val="clear" w:color="auto" w:fill="auto"/>
            <w:noWrap/>
            <w:vAlign w:val="center"/>
          </w:tcPr>
          <w:p w14:paraId="22581F07" w14:textId="34883FE1"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$8.76</w:t>
            </w:r>
          </w:p>
        </w:tc>
        <w:tc>
          <w:tcPr>
            <w:tcW w:w="927" w:type="dxa"/>
            <w:tcBorders>
              <w:top w:val="nil"/>
              <w:left w:val="nil"/>
              <w:bottom w:val="single" w:sz="4" w:space="0" w:color="000000"/>
              <w:right w:val="single" w:sz="4" w:space="0" w:color="000000"/>
            </w:tcBorders>
            <w:shd w:val="clear" w:color="auto" w:fill="auto"/>
            <w:noWrap/>
            <w:vAlign w:val="center"/>
          </w:tcPr>
          <w:p w14:paraId="29AB1B86" w14:textId="39893507"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$9.22</w:t>
            </w:r>
          </w:p>
        </w:tc>
        <w:tc>
          <w:tcPr>
            <w:tcW w:w="927" w:type="dxa"/>
            <w:tcBorders>
              <w:top w:val="nil"/>
              <w:left w:val="nil"/>
              <w:bottom w:val="single" w:sz="4" w:space="0" w:color="000000"/>
              <w:right w:val="single" w:sz="4" w:space="0" w:color="000000"/>
            </w:tcBorders>
            <w:shd w:val="clear" w:color="auto" w:fill="auto"/>
            <w:noWrap/>
            <w:vAlign w:val="center"/>
          </w:tcPr>
          <w:p w14:paraId="244B9E33" w14:textId="00D786EB"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$7.07</w:t>
            </w:r>
          </w:p>
        </w:tc>
        <w:tc>
          <w:tcPr>
            <w:tcW w:w="927" w:type="dxa"/>
            <w:tcBorders>
              <w:top w:val="single" w:sz="4" w:space="0" w:color="000000"/>
              <w:left w:val="nil"/>
              <w:bottom w:val="single" w:sz="4" w:space="0" w:color="000000"/>
              <w:right w:val="single" w:sz="4" w:space="0" w:color="auto"/>
            </w:tcBorders>
            <w:vAlign w:val="center"/>
          </w:tcPr>
          <w:p w14:paraId="0400DF0D" w14:textId="5A2406BF"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$5.56</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3079A501" w14:textId="470EB74C"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$5.71</w:t>
            </w:r>
          </w:p>
        </w:tc>
        <w:tc>
          <w:tcPr>
            <w:tcW w:w="927" w:type="dxa"/>
            <w:tcBorders>
              <w:top w:val="nil"/>
              <w:left w:val="nil"/>
              <w:bottom w:val="single" w:sz="4" w:space="0" w:color="000000"/>
              <w:right w:val="single" w:sz="4" w:space="0" w:color="000000"/>
            </w:tcBorders>
            <w:shd w:val="clear" w:color="auto" w:fill="auto"/>
            <w:noWrap/>
            <w:vAlign w:val="center"/>
          </w:tcPr>
          <w:p w14:paraId="45BBE271" w14:textId="3073A63D"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$11.06</w:t>
            </w:r>
          </w:p>
        </w:tc>
        <w:tc>
          <w:tcPr>
            <w:tcW w:w="927" w:type="dxa"/>
            <w:tcBorders>
              <w:top w:val="nil"/>
              <w:left w:val="nil"/>
              <w:bottom w:val="single" w:sz="4" w:space="0" w:color="000000"/>
              <w:right w:val="single" w:sz="4" w:space="0" w:color="000000"/>
            </w:tcBorders>
            <w:shd w:val="clear" w:color="auto" w:fill="auto"/>
            <w:noWrap/>
            <w:vAlign w:val="center"/>
          </w:tcPr>
          <w:p w14:paraId="53EAE30A" w14:textId="797E8BAC"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$11.57</w:t>
            </w:r>
          </w:p>
        </w:tc>
        <w:tc>
          <w:tcPr>
            <w:tcW w:w="864" w:type="dxa"/>
            <w:tcBorders>
              <w:top w:val="nil"/>
              <w:left w:val="nil"/>
              <w:bottom w:val="single" w:sz="4" w:space="0" w:color="000000"/>
              <w:right w:val="single" w:sz="4" w:space="0" w:color="000000"/>
            </w:tcBorders>
            <w:shd w:val="clear" w:color="auto" w:fill="auto"/>
            <w:noWrap/>
            <w:vAlign w:val="center"/>
          </w:tcPr>
          <w:p w14:paraId="7514D63D" w14:textId="3F1708A2"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$12.04</w:t>
            </w:r>
          </w:p>
        </w:tc>
        <w:tc>
          <w:tcPr>
            <w:tcW w:w="810" w:type="dxa"/>
            <w:tcBorders>
              <w:top w:val="nil"/>
              <w:left w:val="nil"/>
              <w:bottom w:val="single" w:sz="4" w:space="0" w:color="000000"/>
              <w:right w:val="single" w:sz="12" w:space="0" w:color="000000"/>
            </w:tcBorders>
            <w:shd w:val="clear" w:color="auto" w:fill="auto"/>
            <w:noWrap/>
            <w:vAlign w:val="center"/>
          </w:tcPr>
          <w:p w14:paraId="3B6BD9AC" w14:textId="7D051899"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$14.29</w:t>
            </w:r>
          </w:p>
        </w:tc>
      </w:tr>
      <w:tr w:rsidR="00C71C11" w:rsidRPr="00EE5714" w14:paraId="318343EF"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6025D572" w14:textId="77777777"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267A61CA" w14:textId="7268D3F6"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$9.92</w:t>
            </w:r>
          </w:p>
        </w:tc>
        <w:tc>
          <w:tcPr>
            <w:tcW w:w="927" w:type="dxa"/>
            <w:tcBorders>
              <w:top w:val="nil"/>
              <w:left w:val="nil"/>
              <w:bottom w:val="single" w:sz="4" w:space="0" w:color="000000"/>
              <w:right w:val="single" w:sz="4" w:space="0" w:color="000000"/>
            </w:tcBorders>
            <w:shd w:val="clear" w:color="auto" w:fill="auto"/>
            <w:noWrap/>
            <w:vAlign w:val="center"/>
          </w:tcPr>
          <w:p w14:paraId="40064106" w14:textId="78EA5837"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$9.25</w:t>
            </w:r>
          </w:p>
        </w:tc>
        <w:tc>
          <w:tcPr>
            <w:tcW w:w="927" w:type="dxa"/>
            <w:tcBorders>
              <w:top w:val="nil"/>
              <w:left w:val="nil"/>
              <w:bottom w:val="single" w:sz="4" w:space="0" w:color="000000"/>
              <w:right w:val="single" w:sz="4" w:space="0" w:color="000000"/>
            </w:tcBorders>
            <w:shd w:val="clear" w:color="auto" w:fill="auto"/>
            <w:noWrap/>
            <w:vAlign w:val="center"/>
          </w:tcPr>
          <w:p w14:paraId="4AF95753" w14:textId="322D6F4F"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$9.73</w:t>
            </w:r>
          </w:p>
        </w:tc>
        <w:tc>
          <w:tcPr>
            <w:tcW w:w="927" w:type="dxa"/>
            <w:tcBorders>
              <w:top w:val="nil"/>
              <w:left w:val="nil"/>
              <w:bottom w:val="single" w:sz="4" w:space="0" w:color="000000"/>
              <w:right w:val="single" w:sz="4" w:space="0" w:color="000000"/>
            </w:tcBorders>
            <w:shd w:val="clear" w:color="auto" w:fill="auto"/>
            <w:noWrap/>
            <w:vAlign w:val="center"/>
          </w:tcPr>
          <w:p w14:paraId="5A97E451" w14:textId="5F3D3247"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$7.47</w:t>
            </w:r>
          </w:p>
        </w:tc>
        <w:tc>
          <w:tcPr>
            <w:tcW w:w="927" w:type="dxa"/>
            <w:tcBorders>
              <w:top w:val="single" w:sz="4" w:space="0" w:color="000000"/>
              <w:left w:val="nil"/>
              <w:bottom w:val="single" w:sz="4" w:space="0" w:color="000000"/>
              <w:right w:val="single" w:sz="4" w:space="0" w:color="auto"/>
            </w:tcBorders>
            <w:vAlign w:val="center"/>
          </w:tcPr>
          <w:p w14:paraId="101ED71D" w14:textId="33821465"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$5.87</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0A2F254B" w14:textId="3C5DE88E"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$6.03</w:t>
            </w:r>
          </w:p>
        </w:tc>
        <w:tc>
          <w:tcPr>
            <w:tcW w:w="927" w:type="dxa"/>
            <w:tcBorders>
              <w:top w:val="nil"/>
              <w:left w:val="nil"/>
              <w:bottom w:val="single" w:sz="4" w:space="0" w:color="000000"/>
              <w:right w:val="single" w:sz="4" w:space="0" w:color="000000"/>
            </w:tcBorders>
            <w:shd w:val="clear" w:color="auto" w:fill="auto"/>
            <w:noWrap/>
            <w:vAlign w:val="center"/>
          </w:tcPr>
          <w:p w14:paraId="4DB652BC" w14:textId="1F5A6A90"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$11.68</w:t>
            </w:r>
          </w:p>
        </w:tc>
        <w:tc>
          <w:tcPr>
            <w:tcW w:w="927" w:type="dxa"/>
            <w:tcBorders>
              <w:top w:val="nil"/>
              <w:left w:val="nil"/>
              <w:bottom w:val="single" w:sz="4" w:space="0" w:color="000000"/>
              <w:right w:val="single" w:sz="4" w:space="0" w:color="000000"/>
            </w:tcBorders>
            <w:shd w:val="clear" w:color="auto" w:fill="auto"/>
            <w:noWrap/>
            <w:vAlign w:val="center"/>
          </w:tcPr>
          <w:p w14:paraId="6690E1BE" w14:textId="04229CA2"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$12.22</w:t>
            </w:r>
          </w:p>
        </w:tc>
        <w:tc>
          <w:tcPr>
            <w:tcW w:w="864" w:type="dxa"/>
            <w:tcBorders>
              <w:top w:val="nil"/>
              <w:left w:val="nil"/>
              <w:bottom w:val="single" w:sz="4" w:space="0" w:color="000000"/>
              <w:right w:val="single" w:sz="4" w:space="0" w:color="000000"/>
            </w:tcBorders>
            <w:shd w:val="clear" w:color="auto" w:fill="auto"/>
            <w:noWrap/>
            <w:vAlign w:val="center"/>
          </w:tcPr>
          <w:p w14:paraId="5F3121FE" w14:textId="24531DD2"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$12.71</w:t>
            </w:r>
          </w:p>
        </w:tc>
        <w:tc>
          <w:tcPr>
            <w:tcW w:w="810" w:type="dxa"/>
            <w:tcBorders>
              <w:top w:val="nil"/>
              <w:left w:val="nil"/>
              <w:bottom w:val="single" w:sz="4" w:space="0" w:color="000000"/>
              <w:right w:val="single" w:sz="12" w:space="0" w:color="000000"/>
            </w:tcBorders>
            <w:shd w:val="clear" w:color="auto" w:fill="auto"/>
            <w:noWrap/>
            <w:vAlign w:val="center"/>
          </w:tcPr>
          <w:p w14:paraId="7AF203A8" w14:textId="0F229F48"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$15.09</w:t>
            </w:r>
          </w:p>
        </w:tc>
      </w:tr>
      <w:tr w:rsidR="00C71C11" w:rsidRPr="00EE5714" w14:paraId="6E696F12" w14:textId="77777777" w:rsidTr="006607D0">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3D20410" w14:textId="77777777"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7AF2A44A" w14:textId="07DACA19"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$10.34</w:t>
            </w:r>
          </w:p>
        </w:tc>
        <w:tc>
          <w:tcPr>
            <w:tcW w:w="927" w:type="dxa"/>
            <w:tcBorders>
              <w:top w:val="nil"/>
              <w:left w:val="nil"/>
              <w:bottom w:val="single" w:sz="8" w:space="0" w:color="000000"/>
              <w:right w:val="single" w:sz="4" w:space="0" w:color="000000"/>
            </w:tcBorders>
            <w:shd w:val="clear" w:color="auto" w:fill="auto"/>
            <w:noWrap/>
            <w:vAlign w:val="center"/>
          </w:tcPr>
          <w:p w14:paraId="499599DA" w14:textId="7E43B97C"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$9.64</w:t>
            </w:r>
          </w:p>
        </w:tc>
        <w:tc>
          <w:tcPr>
            <w:tcW w:w="927" w:type="dxa"/>
            <w:tcBorders>
              <w:top w:val="nil"/>
              <w:left w:val="nil"/>
              <w:bottom w:val="single" w:sz="8" w:space="0" w:color="000000"/>
              <w:right w:val="single" w:sz="4" w:space="0" w:color="000000"/>
            </w:tcBorders>
            <w:shd w:val="clear" w:color="auto" w:fill="auto"/>
            <w:noWrap/>
            <w:vAlign w:val="center"/>
          </w:tcPr>
          <w:p w14:paraId="0B3C1A7D" w14:textId="4ED0B209"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$10.14</w:t>
            </w:r>
          </w:p>
        </w:tc>
        <w:tc>
          <w:tcPr>
            <w:tcW w:w="927" w:type="dxa"/>
            <w:tcBorders>
              <w:top w:val="nil"/>
              <w:left w:val="nil"/>
              <w:bottom w:val="single" w:sz="8" w:space="0" w:color="000000"/>
              <w:right w:val="single" w:sz="4" w:space="0" w:color="000000"/>
            </w:tcBorders>
            <w:shd w:val="clear" w:color="auto" w:fill="auto"/>
            <w:noWrap/>
            <w:vAlign w:val="center"/>
          </w:tcPr>
          <w:p w14:paraId="1BD0DC2B" w14:textId="4D78F3B3"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$7.78</w:t>
            </w:r>
          </w:p>
        </w:tc>
        <w:tc>
          <w:tcPr>
            <w:tcW w:w="927" w:type="dxa"/>
            <w:tcBorders>
              <w:top w:val="single" w:sz="4" w:space="0" w:color="000000"/>
              <w:left w:val="nil"/>
              <w:bottom w:val="single" w:sz="8" w:space="0" w:color="000000"/>
              <w:right w:val="single" w:sz="4" w:space="0" w:color="auto"/>
            </w:tcBorders>
            <w:vAlign w:val="center"/>
          </w:tcPr>
          <w:p w14:paraId="369B1E49" w14:textId="46A8D266"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$6.11</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77E5A6FD" w14:textId="56EE28FB"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$6.29</w:t>
            </w:r>
          </w:p>
        </w:tc>
        <w:tc>
          <w:tcPr>
            <w:tcW w:w="927" w:type="dxa"/>
            <w:tcBorders>
              <w:top w:val="nil"/>
              <w:left w:val="nil"/>
              <w:bottom w:val="single" w:sz="4" w:space="0" w:color="000000"/>
              <w:right w:val="single" w:sz="4" w:space="0" w:color="000000"/>
            </w:tcBorders>
            <w:shd w:val="clear" w:color="auto" w:fill="auto"/>
            <w:noWrap/>
            <w:vAlign w:val="center"/>
          </w:tcPr>
          <w:p w14:paraId="40443B42" w14:textId="0215354B"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$12.17</w:t>
            </w:r>
          </w:p>
        </w:tc>
        <w:tc>
          <w:tcPr>
            <w:tcW w:w="927" w:type="dxa"/>
            <w:tcBorders>
              <w:top w:val="nil"/>
              <w:left w:val="nil"/>
              <w:bottom w:val="single" w:sz="4" w:space="0" w:color="000000"/>
              <w:right w:val="single" w:sz="4" w:space="0" w:color="000000"/>
            </w:tcBorders>
            <w:shd w:val="clear" w:color="auto" w:fill="auto"/>
            <w:noWrap/>
            <w:vAlign w:val="center"/>
          </w:tcPr>
          <w:p w14:paraId="14A23CDA" w14:textId="57FFE3D6"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$12.73</w:t>
            </w:r>
          </w:p>
        </w:tc>
        <w:tc>
          <w:tcPr>
            <w:tcW w:w="864" w:type="dxa"/>
            <w:tcBorders>
              <w:top w:val="nil"/>
              <w:left w:val="nil"/>
              <w:bottom w:val="single" w:sz="4" w:space="0" w:color="000000"/>
              <w:right w:val="single" w:sz="4" w:space="0" w:color="000000"/>
            </w:tcBorders>
            <w:shd w:val="clear" w:color="auto" w:fill="auto"/>
            <w:noWrap/>
            <w:vAlign w:val="center"/>
          </w:tcPr>
          <w:p w14:paraId="2F0543EC" w14:textId="047A95F0"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$13.25</w:t>
            </w:r>
          </w:p>
        </w:tc>
        <w:tc>
          <w:tcPr>
            <w:tcW w:w="810" w:type="dxa"/>
            <w:tcBorders>
              <w:top w:val="nil"/>
              <w:left w:val="nil"/>
              <w:bottom w:val="single" w:sz="4" w:space="0" w:color="000000"/>
              <w:right w:val="single" w:sz="12" w:space="0" w:color="000000"/>
            </w:tcBorders>
            <w:shd w:val="clear" w:color="auto" w:fill="auto"/>
            <w:noWrap/>
            <w:vAlign w:val="center"/>
          </w:tcPr>
          <w:p w14:paraId="780B8E92" w14:textId="63BA9127" w:rsidR="00C71C11" w:rsidRPr="00EE5714" w:rsidRDefault="00C71C11" w:rsidP="00C71C1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$15.72</w:t>
            </w:r>
          </w:p>
        </w:tc>
      </w:tr>
      <w:tr w:rsidR="00A87A68" w:rsidRPr="00EE5714" w14:paraId="0FB8638C" w14:textId="77777777" w:rsidTr="006607D0">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5DD70571" w14:textId="77777777" w:rsidR="00A87A68" w:rsidRPr="00EE5714" w:rsidRDefault="00A87A68"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1CF89C4A" w14:textId="77777777" w:rsidR="00A87A68" w:rsidRPr="00EE5714" w:rsidRDefault="00A87A68"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08908D5E" w14:textId="77777777" w:rsidR="00A87A68" w:rsidRPr="00EE5714" w:rsidRDefault="00A87A68" w:rsidP="003F3312">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2C8BF164" w14:textId="77777777" w:rsidR="00A87A68" w:rsidRPr="00EE5714" w:rsidRDefault="00A87A68" w:rsidP="003F3312">
            <w:pPr>
              <w:keepNext/>
              <w:spacing w:after="0" w:line="240" w:lineRule="auto"/>
              <w:jc w:val="center"/>
              <w:rPr>
                <w:rFonts w:ascii="Calibri" w:eastAsia="Times New Roman" w:hAnsi="Calibri" w:cs="Calibri"/>
                <w:color w:val="000000"/>
                <w:sz w:val="21"/>
                <w:szCs w:val="21"/>
              </w:rPr>
            </w:pPr>
          </w:p>
        </w:tc>
      </w:tr>
      <w:tr w:rsidR="00BD54DF" w:rsidRPr="00EE5714" w14:paraId="1763ECE9"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2FCF99A6" w14:textId="77777777"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4A463A17" w14:textId="6E406FA6"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$10.55</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032F5475" w14:textId="07377BCF"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$9.83</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49C7C6A6" w14:textId="5E2FB894"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$10.34</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101CA65A" w14:textId="1FBE546A"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$7.94</w:t>
            </w:r>
          </w:p>
        </w:tc>
        <w:tc>
          <w:tcPr>
            <w:tcW w:w="927" w:type="dxa"/>
            <w:tcBorders>
              <w:top w:val="single" w:sz="8" w:space="0" w:color="000000"/>
              <w:left w:val="nil"/>
              <w:bottom w:val="single" w:sz="4" w:space="0" w:color="000000"/>
              <w:right w:val="single" w:sz="4" w:space="0" w:color="auto"/>
            </w:tcBorders>
            <w:vAlign w:val="center"/>
          </w:tcPr>
          <w:p w14:paraId="36267F39" w14:textId="5206891C"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$6.24</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7DEB6DD8" w14:textId="50161E39"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$6.41</w:t>
            </w:r>
          </w:p>
        </w:tc>
        <w:tc>
          <w:tcPr>
            <w:tcW w:w="927" w:type="dxa"/>
            <w:tcBorders>
              <w:top w:val="nil"/>
              <w:left w:val="nil"/>
              <w:bottom w:val="single" w:sz="4" w:space="0" w:color="000000"/>
              <w:right w:val="single" w:sz="4" w:space="0" w:color="000000"/>
            </w:tcBorders>
            <w:shd w:val="clear" w:color="auto" w:fill="auto"/>
            <w:noWrap/>
            <w:vAlign w:val="center"/>
          </w:tcPr>
          <w:p w14:paraId="4BE1E3E4" w14:textId="6ACB2B06"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$12.41</w:t>
            </w:r>
          </w:p>
        </w:tc>
        <w:tc>
          <w:tcPr>
            <w:tcW w:w="927" w:type="dxa"/>
            <w:tcBorders>
              <w:top w:val="nil"/>
              <w:left w:val="nil"/>
              <w:bottom w:val="single" w:sz="4" w:space="0" w:color="000000"/>
              <w:right w:val="single" w:sz="4" w:space="0" w:color="000000"/>
            </w:tcBorders>
            <w:shd w:val="clear" w:color="auto" w:fill="auto"/>
            <w:noWrap/>
            <w:vAlign w:val="center"/>
          </w:tcPr>
          <w:p w14:paraId="33F07560" w14:textId="6826253F"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$12.99</w:t>
            </w:r>
          </w:p>
        </w:tc>
        <w:tc>
          <w:tcPr>
            <w:tcW w:w="864" w:type="dxa"/>
            <w:tcBorders>
              <w:top w:val="nil"/>
              <w:left w:val="nil"/>
              <w:bottom w:val="single" w:sz="4" w:space="0" w:color="000000"/>
              <w:right w:val="single" w:sz="4" w:space="0" w:color="000000"/>
            </w:tcBorders>
            <w:shd w:val="clear" w:color="auto" w:fill="auto"/>
            <w:noWrap/>
            <w:vAlign w:val="center"/>
          </w:tcPr>
          <w:p w14:paraId="2AD3ABA8" w14:textId="4EC61A9C"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$13.51</w:t>
            </w:r>
          </w:p>
        </w:tc>
        <w:tc>
          <w:tcPr>
            <w:tcW w:w="810" w:type="dxa"/>
            <w:tcBorders>
              <w:top w:val="nil"/>
              <w:left w:val="nil"/>
              <w:bottom w:val="single" w:sz="4" w:space="0" w:color="000000"/>
              <w:right w:val="single" w:sz="12" w:space="0" w:color="000000"/>
            </w:tcBorders>
            <w:shd w:val="clear" w:color="auto" w:fill="auto"/>
            <w:noWrap/>
            <w:vAlign w:val="center"/>
          </w:tcPr>
          <w:p w14:paraId="156D2653" w14:textId="5712613D"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$16.04</w:t>
            </w:r>
          </w:p>
        </w:tc>
      </w:tr>
      <w:tr w:rsidR="00BD54DF" w:rsidRPr="00EE5714" w14:paraId="4E43B79F"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6F84674E" w14:textId="77777777"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457C122C" w14:textId="6C1BD16E"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$10.97</w:t>
            </w:r>
          </w:p>
        </w:tc>
        <w:tc>
          <w:tcPr>
            <w:tcW w:w="927" w:type="dxa"/>
            <w:tcBorders>
              <w:top w:val="nil"/>
              <w:left w:val="nil"/>
              <w:bottom w:val="single" w:sz="4" w:space="0" w:color="000000"/>
              <w:right w:val="single" w:sz="4" w:space="0" w:color="000000"/>
            </w:tcBorders>
            <w:shd w:val="clear" w:color="auto" w:fill="auto"/>
            <w:noWrap/>
            <w:vAlign w:val="center"/>
          </w:tcPr>
          <w:p w14:paraId="43D1FF1F" w14:textId="2A58FB6D"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$10.22</w:t>
            </w:r>
          </w:p>
        </w:tc>
        <w:tc>
          <w:tcPr>
            <w:tcW w:w="927" w:type="dxa"/>
            <w:tcBorders>
              <w:top w:val="nil"/>
              <w:left w:val="nil"/>
              <w:bottom w:val="single" w:sz="4" w:space="0" w:color="000000"/>
              <w:right w:val="single" w:sz="4" w:space="0" w:color="000000"/>
            </w:tcBorders>
            <w:shd w:val="clear" w:color="auto" w:fill="auto"/>
            <w:noWrap/>
            <w:vAlign w:val="center"/>
          </w:tcPr>
          <w:p w14:paraId="6A3519A2" w14:textId="7F178048"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$10.75</w:t>
            </w:r>
          </w:p>
        </w:tc>
        <w:tc>
          <w:tcPr>
            <w:tcW w:w="927" w:type="dxa"/>
            <w:tcBorders>
              <w:top w:val="nil"/>
              <w:left w:val="nil"/>
              <w:bottom w:val="single" w:sz="4" w:space="0" w:color="000000"/>
              <w:right w:val="single" w:sz="4" w:space="0" w:color="000000"/>
            </w:tcBorders>
            <w:shd w:val="clear" w:color="auto" w:fill="auto"/>
            <w:noWrap/>
            <w:vAlign w:val="center"/>
          </w:tcPr>
          <w:p w14:paraId="12253FBC" w14:textId="1E9FF24F"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$8.25</w:t>
            </w:r>
          </w:p>
        </w:tc>
        <w:tc>
          <w:tcPr>
            <w:tcW w:w="927" w:type="dxa"/>
            <w:tcBorders>
              <w:top w:val="single" w:sz="4" w:space="0" w:color="000000"/>
              <w:left w:val="nil"/>
              <w:bottom w:val="single" w:sz="4" w:space="0" w:color="000000"/>
              <w:right w:val="single" w:sz="4" w:space="0" w:color="auto"/>
            </w:tcBorders>
            <w:vAlign w:val="center"/>
          </w:tcPr>
          <w:p w14:paraId="3A0AC7A5" w14:textId="47904A52"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$6.48</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4A99CF32" w14:textId="352EBAF3"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$6.67</w:t>
            </w:r>
          </w:p>
        </w:tc>
        <w:tc>
          <w:tcPr>
            <w:tcW w:w="927" w:type="dxa"/>
            <w:tcBorders>
              <w:top w:val="nil"/>
              <w:left w:val="nil"/>
              <w:bottom w:val="single" w:sz="4" w:space="0" w:color="000000"/>
              <w:right w:val="single" w:sz="4" w:space="0" w:color="000000"/>
            </w:tcBorders>
            <w:shd w:val="clear" w:color="auto" w:fill="auto"/>
            <w:noWrap/>
            <w:vAlign w:val="center"/>
          </w:tcPr>
          <w:p w14:paraId="09AE8B3B" w14:textId="035365FA"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$12.90</w:t>
            </w:r>
          </w:p>
        </w:tc>
        <w:tc>
          <w:tcPr>
            <w:tcW w:w="927" w:type="dxa"/>
            <w:tcBorders>
              <w:top w:val="nil"/>
              <w:left w:val="nil"/>
              <w:bottom w:val="single" w:sz="4" w:space="0" w:color="000000"/>
              <w:right w:val="single" w:sz="4" w:space="0" w:color="000000"/>
            </w:tcBorders>
            <w:shd w:val="clear" w:color="auto" w:fill="auto"/>
            <w:noWrap/>
            <w:vAlign w:val="center"/>
          </w:tcPr>
          <w:p w14:paraId="082016A7" w14:textId="79DD6A28"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$13.50</w:t>
            </w:r>
          </w:p>
        </w:tc>
        <w:tc>
          <w:tcPr>
            <w:tcW w:w="864" w:type="dxa"/>
            <w:tcBorders>
              <w:top w:val="nil"/>
              <w:left w:val="nil"/>
              <w:bottom w:val="single" w:sz="4" w:space="0" w:color="000000"/>
              <w:right w:val="single" w:sz="4" w:space="0" w:color="000000"/>
            </w:tcBorders>
            <w:shd w:val="clear" w:color="auto" w:fill="auto"/>
            <w:noWrap/>
            <w:vAlign w:val="center"/>
          </w:tcPr>
          <w:p w14:paraId="5211AB55" w14:textId="7E39A57D"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$14.05</w:t>
            </w:r>
          </w:p>
        </w:tc>
        <w:tc>
          <w:tcPr>
            <w:tcW w:w="810" w:type="dxa"/>
            <w:tcBorders>
              <w:top w:val="nil"/>
              <w:left w:val="nil"/>
              <w:bottom w:val="single" w:sz="4" w:space="0" w:color="000000"/>
              <w:right w:val="single" w:sz="12" w:space="0" w:color="000000"/>
            </w:tcBorders>
            <w:shd w:val="clear" w:color="auto" w:fill="auto"/>
            <w:noWrap/>
            <w:vAlign w:val="center"/>
          </w:tcPr>
          <w:p w14:paraId="0AE6AB3B" w14:textId="6D7B97A5" w:rsidR="00BD54DF" w:rsidRPr="00EE5714" w:rsidRDefault="00BD54DF" w:rsidP="00BD54D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$16.67</w:t>
            </w:r>
          </w:p>
        </w:tc>
      </w:tr>
      <w:tr w:rsidR="00BD54DF" w:rsidRPr="00EE5714" w14:paraId="20FADBF1" w14:textId="77777777" w:rsidTr="003F3312">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16E829A7" w14:textId="77777777" w:rsidR="00BD54DF" w:rsidRPr="00EE5714" w:rsidRDefault="00BD54DF" w:rsidP="00BD54DF">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6392ABCE" w14:textId="1B03078F" w:rsidR="00BD54DF" w:rsidRPr="00EE5714" w:rsidRDefault="00BD54DF" w:rsidP="00BD54DF">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$11.49</w:t>
            </w:r>
          </w:p>
        </w:tc>
        <w:tc>
          <w:tcPr>
            <w:tcW w:w="927" w:type="dxa"/>
            <w:tcBorders>
              <w:top w:val="nil"/>
              <w:left w:val="nil"/>
              <w:bottom w:val="single" w:sz="12" w:space="0" w:color="000000"/>
              <w:right w:val="single" w:sz="4" w:space="0" w:color="000000"/>
            </w:tcBorders>
            <w:shd w:val="clear" w:color="auto" w:fill="auto"/>
            <w:noWrap/>
            <w:vAlign w:val="center"/>
          </w:tcPr>
          <w:p w14:paraId="0CD5EA43" w14:textId="35A378DA" w:rsidR="00BD54DF" w:rsidRPr="00EE5714" w:rsidRDefault="00BD54DF" w:rsidP="00BD54DF">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$10.71</w:t>
            </w:r>
          </w:p>
        </w:tc>
        <w:tc>
          <w:tcPr>
            <w:tcW w:w="927" w:type="dxa"/>
            <w:tcBorders>
              <w:top w:val="nil"/>
              <w:left w:val="nil"/>
              <w:bottom w:val="single" w:sz="12" w:space="0" w:color="000000"/>
              <w:right w:val="single" w:sz="4" w:space="0" w:color="000000"/>
            </w:tcBorders>
            <w:shd w:val="clear" w:color="auto" w:fill="auto"/>
            <w:noWrap/>
            <w:vAlign w:val="center"/>
          </w:tcPr>
          <w:p w14:paraId="0588B973" w14:textId="0FDC843D" w:rsidR="00BD54DF" w:rsidRPr="00EE5714" w:rsidRDefault="00BD54DF" w:rsidP="00BD54DF">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$11.26</w:t>
            </w:r>
          </w:p>
        </w:tc>
        <w:tc>
          <w:tcPr>
            <w:tcW w:w="927" w:type="dxa"/>
            <w:tcBorders>
              <w:top w:val="nil"/>
              <w:left w:val="nil"/>
              <w:bottom w:val="single" w:sz="12" w:space="0" w:color="000000"/>
              <w:right w:val="single" w:sz="4" w:space="0" w:color="000000"/>
            </w:tcBorders>
            <w:shd w:val="clear" w:color="auto" w:fill="auto"/>
            <w:noWrap/>
            <w:vAlign w:val="center"/>
          </w:tcPr>
          <w:p w14:paraId="693F3197" w14:textId="70985B3A" w:rsidR="00BD54DF" w:rsidRPr="00EE5714" w:rsidRDefault="00BD54DF" w:rsidP="00BD54DF">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$8.65</w:t>
            </w:r>
          </w:p>
        </w:tc>
        <w:tc>
          <w:tcPr>
            <w:tcW w:w="927" w:type="dxa"/>
            <w:tcBorders>
              <w:top w:val="single" w:sz="4" w:space="0" w:color="000000"/>
              <w:left w:val="nil"/>
              <w:bottom w:val="single" w:sz="12" w:space="0" w:color="000000"/>
              <w:right w:val="single" w:sz="4" w:space="0" w:color="auto"/>
            </w:tcBorders>
            <w:vAlign w:val="center"/>
          </w:tcPr>
          <w:p w14:paraId="385E4C44" w14:textId="6D728433" w:rsidR="00BD54DF" w:rsidRPr="00EE5714" w:rsidRDefault="00BD54DF" w:rsidP="00BD54DF">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$6.79</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14A0A173" w14:textId="4F11BC9C" w:rsidR="00BD54DF" w:rsidRPr="00EE5714" w:rsidRDefault="00BD54DF" w:rsidP="00BD54DF">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$6.98</w:t>
            </w:r>
          </w:p>
        </w:tc>
        <w:tc>
          <w:tcPr>
            <w:tcW w:w="927" w:type="dxa"/>
            <w:tcBorders>
              <w:top w:val="nil"/>
              <w:left w:val="nil"/>
              <w:bottom w:val="single" w:sz="12" w:space="0" w:color="000000"/>
              <w:right w:val="single" w:sz="4" w:space="0" w:color="000000"/>
            </w:tcBorders>
            <w:shd w:val="clear" w:color="auto" w:fill="auto"/>
            <w:noWrap/>
            <w:vAlign w:val="center"/>
          </w:tcPr>
          <w:p w14:paraId="715E7CF6" w14:textId="6A94D00D" w:rsidR="00BD54DF" w:rsidRPr="00EE5714" w:rsidRDefault="00BD54DF" w:rsidP="00BD54DF">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$13.52</w:t>
            </w:r>
          </w:p>
        </w:tc>
        <w:tc>
          <w:tcPr>
            <w:tcW w:w="927" w:type="dxa"/>
            <w:tcBorders>
              <w:top w:val="nil"/>
              <w:left w:val="nil"/>
              <w:bottom w:val="single" w:sz="12" w:space="0" w:color="000000"/>
              <w:right w:val="single" w:sz="4" w:space="0" w:color="000000"/>
            </w:tcBorders>
            <w:shd w:val="clear" w:color="auto" w:fill="auto"/>
            <w:noWrap/>
            <w:vAlign w:val="center"/>
          </w:tcPr>
          <w:p w14:paraId="50ECCE72" w14:textId="6245430A" w:rsidR="00BD54DF" w:rsidRPr="00EE5714" w:rsidRDefault="00BD54DF" w:rsidP="00BD54DF">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$14.15</w:t>
            </w:r>
          </w:p>
        </w:tc>
        <w:tc>
          <w:tcPr>
            <w:tcW w:w="864" w:type="dxa"/>
            <w:tcBorders>
              <w:top w:val="nil"/>
              <w:left w:val="nil"/>
              <w:bottom w:val="single" w:sz="12" w:space="0" w:color="000000"/>
              <w:right w:val="single" w:sz="4" w:space="0" w:color="000000"/>
            </w:tcBorders>
            <w:shd w:val="clear" w:color="auto" w:fill="auto"/>
            <w:noWrap/>
            <w:vAlign w:val="center"/>
          </w:tcPr>
          <w:p w14:paraId="27B8C69B" w14:textId="585B4404" w:rsidR="00BD54DF" w:rsidRPr="00EE5714" w:rsidRDefault="00BD54DF" w:rsidP="00BD54DF">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$14.72</w:t>
            </w:r>
          </w:p>
        </w:tc>
        <w:tc>
          <w:tcPr>
            <w:tcW w:w="810" w:type="dxa"/>
            <w:tcBorders>
              <w:top w:val="nil"/>
              <w:left w:val="nil"/>
              <w:bottom w:val="single" w:sz="12" w:space="0" w:color="000000"/>
              <w:right w:val="single" w:sz="12" w:space="0" w:color="000000"/>
            </w:tcBorders>
            <w:shd w:val="clear" w:color="auto" w:fill="auto"/>
            <w:noWrap/>
            <w:vAlign w:val="center"/>
          </w:tcPr>
          <w:p w14:paraId="76A7DDF4" w14:textId="6CB2455A" w:rsidR="00BD54DF" w:rsidRPr="00EE5714" w:rsidRDefault="00BD54DF" w:rsidP="00BD54DF">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$17.47</w:t>
            </w:r>
          </w:p>
        </w:tc>
      </w:tr>
    </w:tbl>
    <w:p w14:paraId="4159FF26" w14:textId="77777777" w:rsidR="00071E2B" w:rsidRPr="00071E2B" w:rsidRDefault="00071E2B" w:rsidP="00071E2B">
      <w:pPr>
        <w:pStyle w:val="NoSpacing"/>
        <w:rPr>
          <w:rFonts w:cs="Times New Roman"/>
          <w:szCs w:val="26"/>
        </w:rPr>
      </w:pPr>
    </w:p>
    <w:p w14:paraId="027B1E4E" w14:textId="77777777" w:rsidR="00570EAE" w:rsidRPr="00EE5714" w:rsidRDefault="00570EAE" w:rsidP="007D7A46">
      <w:pPr>
        <w:pStyle w:val="NoSpacing"/>
        <w:rPr>
          <w:rFonts w:cs="Times New Roman"/>
          <w:szCs w:val="26"/>
        </w:rPr>
      </w:pPr>
    </w:p>
    <w:p w14:paraId="349E3769" w14:textId="6CB1B64A" w:rsidR="00F303E0" w:rsidRPr="00EE5714" w:rsidRDefault="00F734A0" w:rsidP="007D7A46">
      <w:pPr>
        <w:pStyle w:val="NoSpacing"/>
        <w:keepNext/>
        <w:rPr>
          <w:rFonts w:cs="Times New Roman"/>
          <w:szCs w:val="26"/>
        </w:rPr>
      </w:pPr>
      <w:r w:rsidRPr="00EE5714">
        <w:rPr>
          <w:rFonts w:cs="Times New Roman"/>
          <w:szCs w:val="26"/>
        </w:rPr>
        <w:lastRenderedPageBreak/>
        <w:t>Appendix 9</w:t>
      </w:r>
      <w:r w:rsidR="00F303E0" w:rsidRPr="00EE5714">
        <w:rPr>
          <w:rFonts w:cs="Times New Roman"/>
          <w:szCs w:val="26"/>
        </w:rPr>
        <w:t>.</w:t>
      </w:r>
      <w:r w:rsidR="008F612D" w:rsidRPr="00EE5714">
        <w:rPr>
          <w:rFonts w:cs="Times New Roman"/>
          <w:szCs w:val="26"/>
        </w:rPr>
        <w:t>E</w:t>
      </w:r>
      <w:r w:rsidR="00F303E0" w:rsidRPr="00EE5714">
        <w:rPr>
          <w:rFonts w:cs="Times New Roman"/>
          <w:szCs w:val="26"/>
        </w:rPr>
        <w:t xml:space="preserve">.3: </w:t>
      </w:r>
      <w:r w:rsidR="00F303E0" w:rsidRPr="00EE5714">
        <w:rPr>
          <w:rFonts w:eastAsia="Times New Roman" w:cs="Times New Roman"/>
          <w:b/>
          <w:color w:val="000000"/>
          <w:szCs w:val="26"/>
        </w:rPr>
        <w:t>Actual Data and Forecasts – PECO Gas</w:t>
      </w:r>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A87A68" w:rsidRPr="00EE5714" w14:paraId="78326AB8" w14:textId="77777777" w:rsidTr="00180883">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52D48198" w14:textId="77777777" w:rsidR="00A87A68" w:rsidRPr="00EE5714" w:rsidRDefault="00A87A68"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6CEB6C62" w14:textId="77777777" w:rsidR="00A87A68" w:rsidRPr="00EE5714" w:rsidRDefault="00A87A68"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1EA9EE94" w14:textId="77777777" w:rsidR="00A87A68" w:rsidRPr="00EE5714" w:rsidRDefault="00A87A68"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A87A68" w:rsidRPr="00EE5714" w14:paraId="4E33AD51"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41351592" w14:textId="77777777" w:rsidR="00A87A68" w:rsidRPr="00EE5714" w:rsidRDefault="00A87A68"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2C895E47"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2CF29446"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712F0A08"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34A0D57C"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192AC433"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18B59D50"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0A60D62A"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4004C367"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11C91E76"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6BA258C0" w14:textId="77777777" w:rsidR="00A87A68" w:rsidRPr="00EE5714" w:rsidRDefault="00A87A68"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4368C6" w:rsidRPr="00EE5714" w14:paraId="6E9DB0B0" w14:textId="77777777" w:rsidTr="003F3312">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2F8CE819" w14:textId="77777777" w:rsidR="004368C6" w:rsidRPr="00EE5714" w:rsidRDefault="004368C6" w:rsidP="004368C6">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4BB0E198" w14:textId="564366B6"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$10.58</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5BCB6E3E" w14:textId="042206FB"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$12.06</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26511B30" w14:textId="4DB690F1"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$12.13</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108CD20A" w14:textId="7EE005DB"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$11.13</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056275B2" w14:textId="04F3DE62"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$6.40</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2D49D9A6" w14:textId="324BE4D6"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$5.14</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52F80B0" w14:textId="0AC6D49E"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$6.72</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A688914" w14:textId="4D95B0E5"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$5.06</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675F6D06" w14:textId="3AC19FCB"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$4.94</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52E67830" w14:textId="18F008C9"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$5.07</w:t>
            </w:r>
          </w:p>
        </w:tc>
      </w:tr>
      <w:tr w:rsidR="004368C6" w:rsidRPr="00EE5714" w14:paraId="59ABD5D9"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32903551" w14:textId="77777777"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615A351F" w14:textId="152B14E8"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$9.52</w:t>
            </w:r>
          </w:p>
        </w:tc>
        <w:tc>
          <w:tcPr>
            <w:tcW w:w="927" w:type="dxa"/>
            <w:tcBorders>
              <w:top w:val="nil"/>
              <w:left w:val="nil"/>
              <w:bottom w:val="single" w:sz="4" w:space="0" w:color="000000"/>
              <w:right w:val="single" w:sz="4" w:space="0" w:color="000000"/>
            </w:tcBorders>
            <w:shd w:val="clear" w:color="auto" w:fill="auto"/>
            <w:noWrap/>
            <w:vAlign w:val="center"/>
          </w:tcPr>
          <w:p w14:paraId="5CB4D827" w14:textId="60668A9C"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$10.86</w:t>
            </w:r>
          </w:p>
        </w:tc>
        <w:tc>
          <w:tcPr>
            <w:tcW w:w="927" w:type="dxa"/>
            <w:tcBorders>
              <w:top w:val="nil"/>
              <w:left w:val="nil"/>
              <w:bottom w:val="single" w:sz="4" w:space="0" w:color="000000"/>
              <w:right w:val="single" w:sz="4" w:space="0" w:color="000000"/>
            </w:tcBorders>
            <w:shd w:val="clear" w:color="auto" w:fill="auto"/>
            <w:noWrap/>
            <w:vAlign w:val="center"/>
          </w:tcPr>
          <w:p w14:paraId="20D52D9B" w14:textId="377423C6"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$10.92</w:t>
            </w:r>
          </w:p>
        </w:tc>
        <w:tc>
          <w:tcPr>
            <w:tcW w:w="927" w:type="dxa"/>
            <w:tcBorders>
              <w:top w:val="nil"/>
              <w:left w:val="nil"/>
              <w:bottom w:val="single" w:sz="4" w:space="0" w:color="000000"/>
              <w:right w:val="single" w:sz="4" w:space="0" w:color="000000"/>
            </w:tcBorders>
            <w:shd w:val="clear" w:color="auto" w:fill="auto"/>
            <w:noWrap/>
            <w:vAlign w:val="center"/>
          </w:tcPr>
          <w:p w14:paraId="2D435A31" w14:textId="2BEE7F6F"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$10.02</w:t>
            </w:r>
          </w:p>
        </w:tc>
        <w:tc>
          <w:tcPr>
            <w:tcW w:w="927" w:type="dxa"/>
            <w:tcBorders>
              <w:top w:val="single" w:sz="4" w:space="0" w:color="000000"/>
              <w:left w:val="nil"/>
              <w:bottom w:val="single" w:sz="4" w:space="0" w:color="000000"/>
              <w:right w:val="single" w:sz="4" w:space="0" w:color="auto"/>
            </w:tcBorders>
            <w:vAlign w:val="center"/>
          </w:tcPr>
          <w:p w14:paraId="0BE7DD33" w14:textId="24CC073F"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$5.76</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591DA75F" w14:textId="4585B135"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$4.63</w:t>
            </w:r>
          </w:p>
        </w:tc>
        <w:tc>
          <w:tcPr>
            <w:tcW w:w="927" w:type="dxa"/>
            <w:tcBorders>
              <w:top w:val="nil"/>
              <w:left w:val="nil"/>
              <w:bottom w:val="single" w:sz="4" w:space="0" w:color="000000"/>
              <w:right w:val="single" w:sz="4" w:space="0" w:color="000000"/>
            </w:tcBorders>
            <w:shd w:val="clear" w:color="auto" w:fill="auto"/>
            <w:noWrap/>
            <w:vAlign w:val="center"/>
          </w:tcPr>
          <w:p w14:paraId="61AACA0A" w14:textId="193DD488"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$6.05</w:t>
            </w:r>
          </w:p>
        </w:tc>
        <w:tc>
          <w:tcPr>
            <w:tcW w:w="927" w:type="dxa"/>
            <w:tcBorders>
              <w:top w:val="nil"/>
              <w:left w:val="nil"/>
              <w:bottom w:val="single" w:sz="4" w:space="0" w:color="000000"/>
              <w:right w:val="single" w:sz="4" w:space="0" w:color="000000"/>
            </w:tcBorders>
            <w:shd w:val="clear" w:color="auto" w:fill="auto"/>
            <w:noWrap/>
            <w:vAlign w:val="center"/>
          </w:tcPr>
          <w:p w14:paraId="7015DC5D" w14:textId="05FA7C95"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$4.55</w:t>
            </w:r>
          </w:p>
        </w:tc>
        <w:tc>
          <w:tcPr>
            <w:tcW w:w="864" w:type="dxa"/>
            <w:tcBorders>
              <w:top w:val="nil"/>
              <w:left w:val="nil"/>
              <w:bottom w:val="single" w:sz="4" w:space="0" w:color="000000"/>
              <w:right w:val="single" w:sz="4" w:space="0" w:color="000000"/>
            </w:tcBorders>
            <w:shd w:val="clear" w:color="auto" w:fill="auto"/>
            <w:noWrap/>
            <w:vAlign w:val="center"/>
          </w:tcPr>
          <w:p w14:paraId="11B3C9DC" w14:textId="4DBFEBBD"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$4.45</w:t>
            </w:r>
          </w:p>
        </w:tc>
        <w:tc>
          <w:tcPr>
            <w:tcW w:w="810" w:type="dxa"/>
            <w:tcBorders>
              <w:top w:val="nil"/>
              <w:left w:val="nil"/>
              <w:bottom w:val="single" w:sz="4" w:space="0" w:color="000000"/>
              <w:right w:val="single" w:sz="12" w:space="0" w:color="000000"/>
            </w:tcBorders>
            <w:shd w:val="clear" w:color="auto" w:fill="auto"/>
            <w:noWrap/>
            <w:vAlign w:val="center"/>
          </w:tcPr>
          <w:p w14:paraId="3953A9F4" w14:textId="26A900BA"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$4.56</w:t>
            </w:r>
          </w:p>
        </w:tc>
      </w:tr>
      <w:tr w:rsidR="004368C6" w:rsidRPr="00EE5714" w14:paraId="00C66404"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3037C85D" w14:textId="77777777"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670E6C27" w14:textId="7D94A984"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$10.05</w:t>
            </w:r>
          </w:p>
        </w:tc>
        <w:tc>
          <w:tcPr>
            <w:tcW w:w="927" w:type="dxa"/>
            <w:tcBorders>
              <w:top w:val="nil"/>
              <w:left w:val="nil"/>
              <w:bottom w:val="single" w:sz="4" w:space="0" w:color="000000"/>
              <w:right w:val="single" w:sz="4" w:space="0" w:color="000000"/>
            </w:tcBorders>
            <w:shd w:val="clear" w:color="auto" w:fill="auto"/>
            <w:noWrap/>
            <w:vAlign w:val="center"/>
          </w:tcPr>
          <w:p w14:paraId="2F58023D" w14:textId="470653CF"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$11.46</w:t>
            </w:r>
          </w:p>
        </w:tc>
        <w:tc>
          <w:tcPr>
            <w:tcW w:w="927" w:type="dxa"/>
            <w:tcBorders>
              <w:top w:val="nil"/>
              <w:left w:val="nil"/>
              <w:bottom w:val="single" w:sz="4" w:space="0" w:color="000000"/>
              <w:right w:val="single" w:sz="4" w:space="0" w:color="000000"/>
            </w:tcBorders>
            <w:shd w:val="clear" w:color="auto" w:fill="auto"/>
            <w:noWrap/>
            <w:vAlign w:val="center"/>
          </w:tcPr>
          <w:p w14:paraId="5E5AB17B" w14:textId="5B47C8EE"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$11.52</w:t>
            </w:r>
          </w:p>
        </w:tc>
        <w:tc>
          <w:tcPr>
            <w:tcW w:w="927" w:type="dxa"/>
            <w:tcBorders>
              <w:top w:val="nil"/>
              <w:left w:val="nil"/>
              <w:bottom w:val="single" w:sz="4" w:space="0" w:color="000000"/>
              <w:right w:val="single" w:sz="4" w:space="0" w:color="000000"/>
            </w:tcBorders>
            <w:shd w:val="clear" w:color="auto" w:fill="auto"/>
            <w:noWrap/>
            <w:vAlign w:val="center"/>
          </w:tcPr>
          <w:p w14:paraId="585794EC" w14:textId="13A75CE1"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$10.58</w:t>
            </w:r>
          </w:p>
        </w:tc>
        <w:tc>
          <w:tcPr>
            <w:tcW w:w="927" w:type="dxa"/>
            <w:tcBorders>
              <w:top w:val="single" w:sz="4" w:space="0" w:color="000000"/>
              <w:left w:val="nil"/>
              <w:bottom w:val="single" w:sz="4" w:space="0" w:color="000000"/>
              <w:right w:val="single" w:sz="4" w:space="0" w:color="auto"/>
            </w:tcBorders>
            <w:vAlign w:val="center"/>
          </w:tcPr>
          <w:p w14:paraId="32F90863" w14:textId="7EBCFAF2"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$6.08</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16C391F6" w14:textId="603A0454"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$4.88</w:t>
            </w:r>
          </w:p>
        </w:tc>
        <w:tc>
          <w:tcPr>
            <w:tcW w:w="927" w:type="dxa"/>
            <w:tcBorders>
              <w:top w:val="nil"/>
              <w:left w:val="nil"/>
              <w:bottom w:val="single" w:sz="4" w:space="0" w:color="000000"/>
              <w:right w:val="single" w:sz="4" w:space="0" w:color="000000"/>
            </w:tcBorders>
            <w:shd w:val="clear" w:color="auto" w:fill="auto"/>
            <w:noWrap/>
            <w:vAlign w:val="center"/>
          </w:tcPr>
          <w:p w14:paraId="67C35598" w14:textId="1FE732AB"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$6.38</w:t>
            </w:r>
          </w:p>
        </w:tc>
        <w:tc>
          <w:tcPr>
            <w:tcW w:w="927" w:type="dxa"/>
            <w:tcBorders>
              <w:top w:val="nil"/>
              <w:left w:val="nil"/>
              <w:bottom w:val="single" w:sz="4" w:space="0" w:color="000000"/>
              <w:right w:val="single" w:sz="4" w:space="0" w:color="000000"/>
            </w:tcBorders>
            <w:shd w:val="clear" w:color="auto" w:fill="auto"/>
            <w:noWrap/>
            <w:vAlign w:val="center"/>
          </w:tcPr>
          <w:p w14:paraId="4BB79025" w14:textId="370AF7A1"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$4.81</w:t>
            </w:r>
          </w:p>
        </w:tc>
        <w:tc>
          <w:tcPr>
            <w:tcW w:w="864" w:type="dxa"/>
            <w:tcBorders>
              <w:top w:val="nil"/>
              <w:left w:val="nil"/>
              <w:bottom w:val="single" w:sz="4" w:space="0" w:color="000000"/>
              <w:right w:val="single" w:sz="4" w:space="0" w:color="000000"/>
            </w:tcBorders>
            <w:shd w:val="clear" w:color="auto" w:fill="auto"/>
            <w:noWrap/>
            <w:vAlign w:val="center"/>
          </w:tcPr>
          <w:p w14:paraId="5C21B2CE" w14:textId="0B4B03D5"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$4.69</w:t>
            </w:r>
          </w:p>
        </w:tc>
        <w:tc>
          <w:tcPr>
            <w:tcW w:w="810" w:type="dxa"/>
            <w:tcBorders>
              <w:top w:val="nil"/>
              <w:left w:val="nil"/>
              <w:bottom w:val="single" w:sz="4" w:space="0" w:color="000000"/>
              <w:right w:val="single" w:sz="12" w:space="0" w:color="000000"/>
            </w:tcBorders>
            <w:shd w:val="clear" w:color="auto" w:fill="auto"/>
            <w:noWrap/>
            <w:vAlign w:val="center"/>
          </w:tcPr>
          <w:p w14:paraId="13D58119" w14:textId="169FDC79"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$4.82</w:t>
            </w:r>
          </w:p>
        </w:tc>
      </w:tr>
      <w:tr w:rsidR="004368C6" w:rsidRPr="00EE5714" w14:paraId="212E1168" w14:textId="77777777" w:rsidTr="00807BCF">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55F7AF50" w14:textId="77777777"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1A0D834E" w14:textId="5643EE33"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$10.47</w:t>
            </w:r>
          </w:p>
        </w:tc>
        <w:tc>
          <w:tcPr>
            <w:tcW w:w="927" w:type="dxa"/>
            <w:tcBorders>
              <w:top w:val="nil"/>
              <w:left w:val="nil"/>
              <w:bottom w:val="single" w:sz="8" w:space="0" w:color="000000"/>
              <w:right w:val="single" w:sz="4" w:space="0" w:color="000000"/>
            </w:tcBorders>
            <w:shd w:val="clear" w:color="auto" w:fill="auto"/>
            <w:noWrap/>
            <w:vAlign w:val="center"/>
          </w:tcPr>
          <w:p w14:paraId="13731437" w14:textId="727D1299"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$11.94</w:t>
            </w:r>
          </w:p>
        </w:tc>
        <w:tc>
          <w:tcPr>
            <w:tcW w:w="927" w:type="dxa"/>
            <w:tcBorders>
              <w:top w:val="nil"/>
              <w:left w:val="nil"/>
              <w:bottom w:val="single" w:sz="8" w:space="0" w:color="000000"/>
              <w:right w:val="single" w:sz="4" w:space="0" w:color="000000"/>
            </w:tcBorders>
            <w:shd w:val="clear" w:color="auto" w:fill="auto"/>
            <w:noWrap/>
            <w:vAlign w:val="center"/>
          </w:tcPr>
          <w:p w14:paraId="40DB4365" w14:textId="751F88F9"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$12.01</w:t>
            </w:r>
          </w:p>
        </w:tc>
        <w:tc>
          <w:tcPr>
            <w:tcW w:w="927" w:type="dxa"/>
            <w:tcBorders>
              <w:top w:val="nil"/>
              <w:left w:val="nil"/>
              <w:bottom w:val="single" w:sz="8" w:space="0" w:color="000000"/>
              <w:right w:val="single" w:sz="4" w:space="0" w:color="000000"/>
            </w:tcBorders>
            <w:shd w:val="clear" w:color="auto" w:fill="auto"/>
            <w:noWrap/>
            <w:vAlign w:val="center"/>
          </w:tcPr>
          <w:p w14:paraId="36B5431F" w14:textId="27ED2EF0"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$11.02</w:t>
            </w:r>
          </w:p>
        </w:tc>
        <w:tc>
          <w:tcPr>
            <w:tcW w:w="927" w:type="dxa"/>
            <w:tcBorders>
              <w:top w:val="single" w:sz="4" w:space="0" w:color="000000"/>
              <w:left w:val="nil"/>
              <w:bottom w:val="single" w:sz="8" w:space="0" w:color="000000"/>
              <w:right w:val="single" w:sz="4" w:space="0" w:color="auto"/>
            </w:tcBorders>
            <w:vAlign w:val="center"/>
          </w:tcPr>
          <w:p w14:paraId="62DCD666" w14:textId="7BA3C6E6"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$6.34</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4D19F499" w14:textId="1BEBC108"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$5.09</w:t>
            </w:r>
          </w:p>
        </w:tc>
        <w:tc>
          <w:tcPr>
            <w:tcW w:w="927" w:type="dxa"/>
            <w:tcBorders>
              <w:top w:val="nil"/>
              <w:left w:val="nil"/>
              <w:bottom w:val="single" w:sz="4" w:space="0" w:color="000000"/>
              <w:right w:val="single" w:sz="4" w:space="0" w:color="000000"/>
            </w:tcBorders>
            <w:shd w:val="clear" w:color="auto" w:fill="auto"/>
            <w:noWrap/>
            <w:vAlign w:val="center"/>
          </w:tcPr>
          <w:p w14:paraId="77C980D9" w14:textId="78FDAD0A"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$6.65</w:t>
            </w:r>
          </w:p>
        </w:tc>
        <w:tc>
          <w:tcPr>
            <w:tcW w:w="927" w:type="dxa"/>
            <w:tcBorders>
              <w:top w:val="nil"/>
              <w:left w:val="nil"/>
              <w:bottom w:val="single" w:sz="4" w:space="0" w:color="000000"/>
              <w:right w:val="single" w:sz="4" w:space="0" w:color="000000"/>
            </w:tcBorders>
            <w:shd w:val="clear" w:color="auto" w:fill="auto"/>
            <w:noWrap/>
            <w:vAlign w:val="center"/>
          </w:tcPr>
          <w:p w14:paraId="0860FAEC" w14:textId="71E8D336"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$5.01</w:t>
            </w:r>
          </w:p>
        </w:tc>
        <w:tc>
          <w:tcPr>
            <w:tcW w:w="864" w:type="dxa"/>
            <w:tcBorders>
              <w:top w:val="nil"/>
              <w:left w:val="nil"/>
              <w:bottom w:val="single" w:sz="4" w:space="0" w:color="000000"/>
              <w:right w:val="single" w:sz="4" w:space="0" w:color="000000"/>
            </w:tcBorders>
            <w:shd w:val="clear" w:color="auto" w:fill="auto"/>
            <w:noWrap/>
            <w:vAlign w:val="center"/>
          </w:tcPr>
          <w:p w14:paraId="0B86ED67" w14:textId="4FC69ECC"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$4.89</w:t>
            </w:r>
          </w:p>
        </w:tc>
        <w:tc>
          <w:tcPr>
            <w:tcW w:w="810" w:type="dxa"/>
            <w:tcBorders>
              <w:top w:val="nil"/>
              <w:left w:val="nil"/>
              <w:bottom w:val="single" w:sz="4" w:space="0" w:color="000000"/>
              <w:right w:val="single" w:sz="12" w:space="0" w:color="000000"/>
            </w:tcBorders>
            <w:shd w:val="clear" w:color="auto" w:fill="auto"/>
            <w:noWrap/>
            <w:vAlign w:val="center"/>
          </w:tcPr>
          <w:p w14:paraId="524E4EB3" w14:textId="1431C04A" w:rsidR="004368C6" w:rsidRPr="00EE5714" w:rsidRDefault="004368C6" w:rsidP="004368C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$5.02</w:t>
            </w:r>
          </w:p>
        </w:tc>
      </w:tr>
      <w:tr w:rsidR="00A87A68" w:rsidRPr="00EE5714" w14:paraId="7BB8C244" w14:textId="77777777" w:rsidTr="00807BCF">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7F5E773A" w14:textId="77777777" w:rsidR="00A87A68" w:rsidRPr="00EE5714" w:rsidRDefault="00A87A68"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6610F1F7" w14:textId="77777777" w:rsidR="00A87A68" w:rsidRPr="00EE5714" w:rsidRDefault="00A87A68"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331F8159" w14:textId="77777777" w:rsidR="00A87A68" w:rsidRPr="00EE5714" w:rsidRDefault="00A87A68" w:rsidP="003F3312">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5AB20D65" w14:textId="77777777" w:rsidR="00A87A68" w:rsidRPr="00EE5714" w:rsidRDefault="00A87A68" w:rsidP="003F3312">
            <w:pPr>
              <w:keepNext/>
              <w:spacing w:after="0" w:line="240" w:lineRule="auto"/>
              <w:jc w:val="center"/>
              <w:rPr>
                <w:rFonts w:ascii="Calibri" w:eastAsia="Times New Roman" w:hAnsi="Calibri" w:cs="Calibri"/>
                <w:color w:val="000000"/>
                <w:sz w:val="21"/>
                <w:szCs w:val="21"/>
              </w:rPr>
            </w:pPr>
          </w:p>
        </w:tc>
      </w:tr>
      <w:tr w:rsidR="00C61CB8" w:rsidRPr="00EE5714" w14:paraId="0E7D9A83"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7A019E17" w14:textId="77777777"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2B1ACE12" w14:textId="366BA9A9"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$10.68</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3E6049CD" w14:textId="6F64DFAC"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$12.19</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0EFC1F55" w14:textId="0A4BED1E"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$12.25</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794ABBE5" w14:textId="75A144EE"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$11.24</w:t>
            </w:r>
          </w:p>
        </w:tc>
        <w:tc>
          <w:tcPr>
            <w:tcW w:w="927" w:type="dxa"/>
            <w:tcBorders>
              <w:top w:val="single" w:sz="8" w:space="0" w:color="000000"/>
              <w:left w:val="nil"/>
              <w:bottom w:val="single" w:sz="4" w:space="0" w:color="000000"/>
              <w:right w:val="single" w:sz="4" w:space="0" w:color="auto"/>
            </w:tcBorders>
            <w:vAlign w:val="center"/>
          </w:tcPr>
          <w:p w14:paraId="43172CFD" w14:textId="5B051B89"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$6.47</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6B25B5DB" w14:textId="300FFBF5"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$5.19</w:t>
            </w:r>
          </w:p>
        </w:tc>
        <w:tc>
          <w:tcPr>
            <w:tcW w:w="927" w:type="dxa"/>
            <w:tcBorders>
              <w:top w:val="nil"/>
              <w:left w:val="nil"/>
              <w:bottom w:val="single" w:sz="4" w:space="0" w:color="000000"/>
              <w:right w:val="single" w:sz="4" w:space="0" w:color="000000"/>
            </w:tcBorders>
            <w:shd w:val="clear" w:color="auto" w:fill="auto"/>
            <w:noWrap/>
            <w:vAlign w:val="center"/>
          </w:tcPr>
          <w:p w14:paraId="20BE8B7F" w14:textId="3D7AC4C1"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$6.79</w:t>
            </w:r>
          </w:p>
        </w:tc>
        <w:tc>
          <w:tcPr>
            <w:tcW w:w="927" w:type="dxa"/>
            <w:tcBorders>
              <w:top w:val="nil"/>
              <w:left w:val="nil"/>
              <w:bottom w:val="single" w:sz="4" w:space="0" w:color="000000"/>
              <w:right w:val="single" w:sz="4" w:space="0" w:color="000000"/>
            </w:tcBorders>
            <w:shd w:val="clear" w:color="auto" w:fill="auto"/>
            <w:noWrap/>
            <w:vAlign w:val="center"/>
          </w:tcPr>
          <w:p w14:paraId="48FA4135" w14:textId="5299A175"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$5.11</w:t>
            </w:r>
          </w:p>
        </w:tc>
        <w:tc>
          <w:tcPr>
            <w:tcW w:w="864" w:type="dxa"/>
            <w:tcBorders>
              <w:top w:val="nil"/>
              <w:left w:val="nil"/>
              <w:bottom w:val="single" w:sz="4" w:space="0" w:color="000000"/>
              <w:right w:val="single" w:sz="4" w:space="0" w:color="000000"/>
            </w:tcBorders>
            <w:shd w:val="clear" w:color="auto" w:fill="auto"/>
            <w:noWrap/>
            <w:vAlign w:val="center"/>
          </w:tcPr>
          <w:p w14:paraId="43A45F54" w14:textId="5C37AFA2"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$4.99</w:t>
            </w:r>
          </w:p>
        </w:tc>
        <w:tc>
          <w:tcPr>
            <w:tcW w:w="810" w:type="dxa"/>
            <w:tcBorders>
              <w:top w:val="nil"/>
              <w:left w:val="nil"/>
              <w:bottom w:val="single" w:sz="4" w:space="0" w:color="000000"/>
              <w:right w:val="single" w:sz="12" w:space="0" w:color="000000"/>
            </w:tcBorders>
            <w:shd w:val="clear" w:color="auto" w:fill="auto"/>
            <w:noWrap/>
            <w:vAlign w:val="center"/>
          </w:tcPr>
          <w:p w14:paraId="13E9E186" w14:textId="100196F5"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$5.12</w:t>
            </w:r>
          </w:p>
        </w:tc>
      </w:tr>
      <w:tr w:rsidR="00C61CB8" w:rsidRPr="00EE5714" w14:paraId="12AA81EA"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39D5C59" w14:textId="77777777"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46EC841E" w14:textId="4F309917"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$11.11</w:t>
            </w:r>
          </w:p>
        </w:tc>
        <w:tc>
          <w:tcPr>
            <w:tcW w:w="927" w:type="dxa"/>
            <w:tcBorders>
              <w:top w:val="nil"/>
              <w:left w:val="nil"/>
              <w:bottom w:val="single" w:sz="4" w:space="0" w:color="000000"/>
              <w:right w:val="single" w:sz="4" w:space="0" w:color="000000"/>
            </w:tcBorders>
            <w:shd w:val="clear" w:color="auto" w:fill="auto"/>
            <w:noWrap/>
            <w:vAlign w:val="center"/>
          </w:tcPr>
          <w:p w14:paraId="7A955F2B" w14:textId="0ECCDF34"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$12.67</w:t>
            </w:r>
          </w:p>
        </w:tc>
        <w:tc>
          <w:tcPr>
            <w:tcW w:w="927" w:type="dxa"/>
            <w:tcBorders>
              <w:top w:val="nil"/>
              <w:left w:val="nil"/>
              <w:bottom w:val="single" w:sz="4" w:space="0" w:color="000000"/>
              <w:right w:val="single" w:sz="4" w:space="0" w:color="000000"/>
            </w:tcBorders>
            <w:shd w:val="clear" w:color="auto" w:fill="auto"/>
            <w:noWrap/>
            <w:vAlign w:val="center"/>
          </w:tcPr>
          <w:p w14:paraId="4F70E084" w14:textId="3E2334C9"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$12.74</w:t>
            </w:r>
          </w:p>
        </w:tc>
        <w:tc>
          <w:tcPr>
            <w:tcW w:w="927" w:type="dxa"/>
            <w:tcBorders>
              <w:top w:val="nil"/>
              <w:left w:val="nil"/>
              <w:bottom w:val="single" w:sz="4" w:space="0" w:color="000000"/>
              <w:right w:val="single" w:sz="4" w:space="0" w:color="000000"/>
            </w:tcBorders>
            <w:shd w:val="clear" w:color="auto" w:fill="auto"/>
            <w:noWrap/>
            <w:vAlign w:val="center"/>
          </w:tcPr>
          <w:p w14:paraId="3862175F" w14:textId="6BB90B94"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$11.69</w:t>
            </w:r>
          </w:p>
        </w:tc>
        <w:tc>
          <w:tcPr>
            <w:tcW w:w="927" w:type="dxa"/>
            <w:tcBorders>
              <w:top w:val="single" w:sz="4" w:space="0" w:color="000000"/>
              <w:left w:val="nil"/>
              <w:bottom w:val="single" w:sz="4" w:space="0" w:color="000000"/>
              <w:right w:val="single" w:sz="4" w:space="0" w:color="auto"/>
            </w:tcBorders>
            <w:vAlign w:val="center"/>
          </w:tcPr>
          <w:p w14:paraId="2627752D" w14:textId="11C02981"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$6.72</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52C6F4C5" w14:textId="232AAD02"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$5.40</w:t>
            </w:r>
          </w:p>
        </w:tc>
        <w:tc>
          <w:tcPr>
            <w:tcW w:w="927" w:type="dxa"/>
            <w:tcBorders>
              <w:top w:val="nil"/>
              <w:left w:val="nil"/>
              <w:bottom w:val="single" w:sz="4" w:space="0" w:color="000000"/>
              <w:right w:val="single" w:sz="4" w:space="0" w:color="000000"/>
            </w:tcBorders>
            <w:shd w:val="clear" w:color="auto" w:fill="auto"/>
            <w:noWrap/>
            <w:vAlign w:val="center"/>
          </w:tcPr>
          <w:p w14:paraId="35A916F6" w14:textId="7AAE72A0"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$7.06</w:t>
            </w:r>
          </w:p>
        </w:tc>
        <w:tc>
          <w:tcPr>
            <w:tcW w:w="927" w:type="dxa"/>
            <w:tcBorders>
              <w:top w:val="nil"/>
              <w:left w:val="nil"/>
              <w:bottom w:val="single" w:sz="4" w:space="0" w:color="000000"/>
              <w:right w:val="single" w:sz="4" w:space="0" w:color="000000"/>
            </w:tcBorders>
            <w:shd w:val="clear" w:color="auto" w:fill="auto"/>
            <w:noWrap/>
            <w:vAlign w:val="center"/>
          </w:tcPr>
          <w:p w14:paraId="32E2BCB3" w14:textId="1F6F8025"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$5.31</w:t>
            </w:r>
          </w:p>
        </w:tc>
        <w:tc>
          <w:tcPr>
            <w:tcW w:w="864" w:type="dxa"/>
            <w:tcBorders>
              <w:top w:val="nil"/>
              <w:left w:val="nil"/>
              <w:bottom w:val="single" w:sz="4" w:space="0" w:color="000000"/>
              <w:right w:val="single" w:sz="4" w:space="0" w:color="000000"/>
            </w:tcBorders>
            <w:shd w:val="clear" w:color="auto" w:fill="auto"/>
            <w:noWrap/>
            <w:vAlign w:val="center"/>
          </w:tcPr>
          <w:p w14:paraId="3F6DF6FE" w14:textId="2851D50D"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$5.19</w:t>
            </w:r>
          </w:p>
        </w:tc>
        <w:tc>
          <w:tcPr>
            <w:tcW w:w="810" w:type="dxa"/>
            <w:tcBorders>
              <w:top w:val="nil"/>
              <w:left w:val="nil"/>
              <w:bottom w:val="single" w:sz="4" w:space="0" w:color="000000"/>
              <w:right w:val="single" w:sz="12" w:space="0" w:color="000000"/>
            </w:tcBorders>
            <w:shd w:val="clear" w:color="auto" w:fill="auto"/>
            <w:noWrap/>
            <w:vAlign w:val="center"/>
          </w:tcPr>
          <w:p w14:paraId="78A9518D" w14:textId="1BD386F3" w:rsidR="00C61CB8" w:rsidRPr="00EE5714" w:rsidRDefault="00C61CB8" w:rsidP="00C61CB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$5.32</w:t>
            </w:r>
          </w:p>
        </w:tc>
      </w:tr>
      <w:tr w:rsidR="00C61CB8" w:rsidRPr="00EE5714" w14:paraId="70984FE0" w14:textId="77777777" w:rsidTr="003F3312">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3246B2DE" w14:textId="77777777" w:rsidR="00C61CB8" w:rsidRPr="00EE5714" w:rsidRDefault="00C61CB8" w:rsidP="00C61CB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5D48C5B7" w14:textId="1E7BF87A" w:rsidR="00C61CB8" w:rsidRPr="00EE5714" w:rsidRDefault="00C61CB8" w:rsidP="00C61CB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$11.63</w:t>
            </w:r>
          </w:p>
        </w:tc>
        <w:tc>
          <w:tcPr>
            <w:tcW w:w="927" w:type="dxa"/>
            <w:tcBorders>
              <w:top w:val="nil"/>
              <w:left w:val="nil"/>
              <w:bottom w:val="single" w:sz="12" w:space="0" w:color="000000"/>
              <w:right w:val="single" w:sz="4" w:space="0" w:color="000000"/>
            </w:tcBorders>
            <w:shd w:val="clear" w:color="auto" w:fill="auto"/>
            <w:noWrap/>
            <w:vAlign w:val="center"/>
          </w:tcPr>
          <w:p w14:paraId="4BD5D9DE" w14:textId="0B7E31E6" w:rsidR="00C61CB8" w:rsidRPr="00EE5714" w:rsidRDefault="00C61CB8" w:rsidP="00C61CB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$13.27</w:t>
            </w:r>
          </w:p>
        </w:tc>
        <w:tc>
          <w:tcPr>
            <w:tcW w:w="927" w:type="dxa"/>
            <w:tcBorders>
              <w:top w:val="nil"/>
              <w:left w:val="nil"/>
              <w:bottom w:val="single" w:sz="12" w:space="0" w:color="000000"/>
              <w:right w:val="single" w:sz="4" w:space="0" w:color="000000"/>
            </w:tcBorders>
            <w:shd w:val="clear" w:color="auto" w:fill="auto"/>
            <w:noWrap/>
            <w:vAlign w:val="center"/>
          </w:tcPr>
          <w:p w14:paraId="6613F210" w14:textId="3A3BC36F" w:rsidR="00C61CB8" w:rsidRPr="00EE5714" w:rsidRDefault="00C61CB8" w:rsidP="00C61CB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$13.34</w:t>
            </w:r>
          </w:p>
        </w:tc>
        <w:tc>
          <w:tcPr>
            <w:tcW w:w="927" w:type="dxa"/>
            <w:tcBorders>
              <w:top w:val="nil"/>
              <w:left w:val="nil"/>
              <w:bottom w:val="single" w:sz="12" w:space="0" w:color="000000"/>
              <w:right w:val="single" w:sz="4" w:space="0" w:color="000000"/>
            </w:tcBorders>
            <w:shd w:val="clear" w:color="auto" w:fill="auto"/>
            <w:noWrap/>
            <w:vAlign w:val="center"/>
          </w:tcPr>
          <w:p w14:paraId="263A368B" w14:textId="283FD004" w:rsidR="00C61CB8" w:rsidRPr="00EE5714" w:rsidRDefault="00C61CB8" w:rsidP="00C61CB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$12.25</w:t>
            </w:r>
          </w:p>
        </w:tc>
        <w:tc>
          <w:tcPr>
            <w:tcW w:w="927" w:type="dxa"/>
            <w:tcBorders>
              <w:top w:val="single" w:sz="4" w:space="0" w:color="000000"/>
              <w:left w:val="nil"/>
              <w:bottom w:val="single" w:sz="12" w:space="0" w:color="000000"/>
              <w:right w:val="single" w:sz="4" w:space="0" w:color="auto"/>
            </w:tcBorders>
            <w:vAlign w:val="center"/>
          </w:tcPr>
          <w:p w14:paraId="224B2719" w14:textId="507896CD" w:rsidR="00C61CB8" w:rsidRPr="00EE5714" w:rsidRDefault="00C61CB8" w:rsidP="00C61CB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$7.04</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3827B131" w14:textId="10C5D203" w:rsidR="00C61CB8" w:rsidRPr="00EE5714" w:rsidRDefault="00C61CB8" w:rsidP="00C61CB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$5.65</w:t>
            </w:r>
          </w:p>
        </w:tc>
        <w:tc>
          <w:tcPr>
            <w:tcW w:w="927" w:type="dxa"/>
            <w:tcBorders>
              <w:top w:val="nil"/>
              <w:left w:val="nil"/>
              <w:bottom w:val="single" w:sz="12" w:space="0" w:color="000000"/>
              <w:right w:val="single" w:sz="4" w:space="0" w:color="000000"/>
            </w:tcBorders>
            <w:shd w:val="clear" w:color="auto" w:fill="auto"/>
            <w:noWrap/>
            <w:vAlign w:val="center"/>
          </w:tcPr>
          <w:p w14:paraId="65C566BC" w14:textId="445CD0C2" w:rsidR="00C61CB8" w:rsidRPr="00EE5714" w:rsidRDefault="00C61CB8" w:rsidP="00C61CB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$7.39</w:t>
            </w:r>
          </w:p>
        </w:tc>
        <w:tc>
          <w:tcPr>
            <w:tcW w:w="927" w:type="dxa"/>
            <w:tcBorders>
              <w:top w:val="nil"/>
              <w:left w:val="nil"/>
              <w:bottom w:val="single" w:sz="12" w:space="0" w:color="000000"/>
              <w:right w:val="single" w:sz="4" w:space="0" w:color="000000"/>
            </w:tcBorders>
            <w:shd w:val="clear" w:color="auto" w:fill="auto"/>
            <w:noWrap/>
            <w:vAlign w:val="center"/>
          </w:tcPr>
          <w:p w14:paraId="61033481" w14:textId="14C8213B" w:rsidR="00C61CB8" w:rsidRPr="00EE5714" w:rsidRDefault="00C61CB8" w:rsidP="00C61CB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$5.57</w:t>
            </w:r>
          </w:p>
        </w:tc>
        <w:tc>
          <w:tcPr>
            <w:tcW w:w="864" w:type="dxa"/>
            <w:tcBorders>
              <w:top w:val="nil"/>
              <w:left w:val="nil"/>
              <w:bottom w:val="single" w:sz="12" w:space="0" w:color="000000"/>
              <w:right w:val="single" w:sz="4" w:space="0" w:color="000000"/>
            </w:tcBorders>
            <w:shd w:val="clear" w:color="auto" w:fill="auto"/>
            <w:noWrap/>
            <w:vAlign w:val="center"/>
          </w:tcPr>
          <w:p w14:paraId="53021C84" w14:textId="558AA0FA" w:rsidR="00C61CB8" w:rsidRPr="00EE5714" w:rsidRDefault="00C61CB8" w:rsidP="00C61CB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$5.43</w:t>
            </w:r>
          </w:p>
        </w:tc>
        <w:tc>
          <w:tcPr>
            <w:tcW w:w="810" w:type="dxa"/>
            <w:tcBorders>
              <w:top w:val="nil"/>
              <w:left w:val="nil"/>
              <w:bottom w:val="single" w:sz="12" w:space="0" w:color="000000"/>
              <w:right w:val="single" w:sz="12" w:space="0" w:color="000000"/>
            </w:tcBorders>
            <w:shd w:val="clear" w:color="auto" w:fill="auto"/>
            <w:noWrap/>
            <w:vAlign w:val="center"/>
          </w:tcPr>
          <w:p w14:paraId="130CE420" w14:textId="5A6F4516" w:rsidR="00C61CB8" w:rsidRPr="00EE5714" w:rsidRDefault="00C61CB8" w:rsidP="00C61CB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$5.58</w:t>
            </w:r>
          </w:p>
        </w:tc>
      </w:tr>
    </w:tbl>
    <w:p w14:paraId="7D5CC9A0" w14:textId="77777777" w:rsidR="00071E2B" w:rsidRPr="00071E2B" w:rsidRDefault="00071E2B" w:rsidP="00071E2B">
      <w:pPr>
        <w:pStyle w:val="NoSpacing"/>
        <w:rPr>
          <w:rFonts w:cs="Times New Roman"/>
          <w:szCs w:val="26"/>
        </w:rPr>
      </w:pPr>
    </w:p>
    <w:p w14:paraId="3E29037E" w14:textId="77777777" w:rsidR="00520567" w:rsidRPr="00EE5714" w:rsidRDefault="00520567" w:rsidP="007D7A46">
      <w:pPr>
        <w:pStyle w:val="NoSpacing"/>
        <w:rPr>
          <w:rFonts w:cs="Times New Roman"/>
          <w:szCs w:val="26"/>
        </w:rPr>
      </w:pPr>
    </w:p>
    <w:p w14:paraId="6BB00AA4" w14:textId="5643B6D0" w:rsidR="00F303E0" w:rsidRPr="00EE5714" w:rsidRDefault="00F734A0" w:rsidP="0009098D">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8F612D" w:rsidRPr="00EE5714">
        <w:rPr>
          <w:rFonts w:cs="Times New Roman"/>
          <w:szCs w:val="26"/>
        </w:rPr>
        <w:t>E</w:t>
      </w:r>
      <w:r w:rsidR="00F303E0" w:rsidRPr="00EE5714">
        <w:rPr>
          <w:rFonts w:cs="Times New Roman"/>
          <w:szCs w:val="26"/>
        </w:rPr>
        <w:t xml:space="preserve">.4: </w:t>
      </w:r>
      <w:r w:rsidR="00F303E0" w:rsidRPr="00EE5714">
        <w:rPr>
          <w:rFonts w:eastAsia="Times New Roman" w:cs="Times New Roman"/>
          <w:b/>
          <w:color w:val="000000"/>
          <w:szCs w:val="26"/>
        </w:rPr>
        <w:t>Actual Data and Forecasts – Peoples</w:t>
      </w:r>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7B40E0" w:rsidRPr="00EE5714" w14:paraId="0B5BD12B" w14:textId="77777777" w:rsidTr="00180883">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09AF5D26" w14:textId="77777777" w:rsidR="007B40E0" w:rsidRPr="00EE5714" w:rsidRDefault="007B40E0"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20205D36"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14A4A508"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7B40E0" w:rsidRPr="00EE5714" w14:paraId="07041A34"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5C740702" w14:textId="77777777" w:rsidR="007B40E0" w:rsidRPr="00EE5714" w:rsidRDefault="007B40E0"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6A3DADE4"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5B44FFA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0111C015"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2102A180"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7CFA63FE"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2CDB1155"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6B34A419"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5D883217"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4CF6827B"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27F898A1"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9961FD" w:rsidRPr="00EE5714" w14:paraId="40440A2B" w14:textId="77777777" w:rsidTr="003F3312">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436DFBD5" w14:textId="77777777" w:rsidR="009961FD" w:rsidRPr="00EE5714" w:rsidRDefault="009961FD" w:rsidP="009961FD">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6D62E408" w14:textId="587A8E2C"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$19.13</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5D2F5F4" w14:textId="3CE06F7C"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$26.37</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9324C9D" w14:textId="6CA54F54"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$36.27</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69B1D4A3" w14:textId="066C10E9"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$40.52</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6637547E" w14:textId="4E7A9871"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$21.18</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73B15976" w14:textId="7798B1D3"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$25.68</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75C1EF16" w14:textId="11C26400"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$18.69</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2BFE1C80" w14:textId="6301E225"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$22.36</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4E981791" w14:textId="6DB09571"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$22.34</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3BCCF0F0" w14:textId="0CDD38F8"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$22.32</w:t>
            </w:r>
          </w:p>
        </w:tc>
      </w:tr>
      <w:tr w:rsidR="009961FD" w:rsidRPr="00EE5714" w14:paraId="10006C1A"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D46EB71" w14:textId="77777777"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74C2FD07" w14:textId="6C549807"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$17.22</w:t>
            </w:r>
          </w:p>
        </w:tc>
        <w:tc>
          <w:tcPr>
            <w:tcW w:w="927" w:type="dxa"/>
            <w:tcBorders>
              <w:top w:val="nil"/>
              <w:left w:val="nil"/>
              <w:bottom w:val="single" w:sz="4" w:space="0" w:color="000000"/>
              <w:right w:val="single" w:sz="4" w:space="0" w:color="000000"/>
            </w:tcBorders>
            <w:shd w:val="clear" w:color="auto" w:fill="auto"/>
            <w:noWrap/>
            <w:vAlign w:val="center"/>
          </w:tcPr>
          <w:p w14:paraId="7771F179" w14:textId="6DEEB94E"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$23.74</w:t>
            </w:r>
          </w:p>
        </w:tc>
        <w:tc>
          <w:tcPr>
            <w:tcW w:w="927" w:type="dxa"/>
            <w:tcBorders>
              <w:top w:val="nil"/>
              <w:left w:val="nil"/>
              <w:bottom w:val="single" w:sz="4" w:space="0" w:color="000000"/>
              <w:right w:val="single" w:sz="4" w:space="0" w:color="000000"/>
            </w:tcBorders>
            <w:shd w:val="clear" w:color="auto" w:fill="auto"/>
            <w:noWrap/>
            <w:vAlign w:val="center"/>
          </w:tcPr>
          <w:p w14:paraId="69499994" w14:textId="32D355BE"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$32.65</w:t>
            </w:r>
          </w:p>
        </w:tc>
        <w:tc>
          <w:tcPr>
            <w:tcW w:w="927" w:type="dxa"/>
            <w:tcBorders>
              <w:top w:val="nil"/>
              <w:left w:val="nil"/>
              <w:bottom w:val="single" w:sz="4" w:space="0" w:color="000000"/>
              <w:right w:val="single" w:sz="4" w:space="0" w:color="000000"/>
            </w:tcBorders>
            <w:shd w:val="clear" w:color="auto" w:fill="auto"/>
            <w:noWrap/>
            <w:vAlign w:val="center"/>
          </w:tcPr>
          <w:p w14:paraId="4795AEE3" w14:textId="702EA371"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$36.47</w:t>
            </w:r>
          </w:p>
        </w:tc>
        <w:tc>
          <w:tcPr>
            <w:tcW w:w="927" w:type="dxa"/>
            <w:tcBorders>
              <w:top w:val="single" w:sz="4" w:space="0" w:color="000000"/>
              <w:left w:val="nil"/>
              <w:bottom w:val="single" w:sz="4" w:space="0" w:color="000000"/>
              <w:right w:val="single" w:sz="4" w:space="0" w:color="auto"/>
            </w:tcBorders>
            <w:vAlign w:val="center"/>
          </w:tcPr>
          <w:p w14:paraId="5463186D" w14:textId="0614E0FC"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$19.06</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78ACDEE4" w14:textId="468A2ECB"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$23.11</w:t>
            </w:r>
          </w:p>
        </w:tc>
        <w:tc>
          <w:tcPr>
            <w:tcW w:w="927" w:type="dxa"/>
            <w:tcBorders>
              <w:top w:val="nil"/>
              <w:left w:val="nil"/>
              <w:bottom w:val="single" w:sz="4" w:space="0" w:color="000000"/>
              <w:right w:val="single" w:sz="4" w:space="0" w:color="000000"/>
            </w:tcBorders>
            <w:shd w:val="clear" w:color="auto" w:fill="auto"/>
            <w:noWrap/>
            <w:vAlign w:val="center"/>
          </w:tcPr>
          <w:p w14:paraId="1AEFD41B" w14:textId="199DB69E"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$16.82</w:t>
            </w:r>
          </w:p>
        </w:tc>
        <w:tc>
          <w:tcPr>
            <w:tcW w:w="927" w:type="dxa"/>
            <w:tcBorders>
              <w:top w:val="nil"/>
              <w:left w:val="nil"/>
              <w:bottom w:val="single" w:sz="4" w:space="0" w:color="000000"/>
              <w:right w:val="single" w:sz="4" w:space="0" w:color="000000"/>
            </w:tcBorders>
            <w:shd w:val="clear" w:color="auto" w:fill="auto"/>
            <w:noWrap/>
            <w:vAlign w:val="center"/>
          </w:tcPr>
          <w:p w14:paraId="7DA8CC46" w14:textId="32CBD513"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$20.12</w:t>
            </w:r>
          </w:p>
        </w:tc>
        <w:tc>
          <w:tcPr>
            <w:tcW w:w="864" w:type="dxa"/>
            <w:tcBorders>
              <w:top w:val="nil"/>
              <w:left w:val="nil"/>
              <w:bottom w:val="single" w:sz="4" w:space="0" w:color="000000"/>
              <w:right w:val="single" w:sz="4" w:space="0" w:color="000000"/>
            </w:tcBorders>
            <w:shd w:val="clear" w:color="auto" w:fill="auto"/>
            <w:noWrap/>
            <w:vAlign w:val="center"/>
          </w:tcPr>
          <w:p w14:paraId="4FB189AC" w14:textId="0D74931F"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$20.11</w:t>
            </w:r>
          </w:p>
        </w:tc>
        <w:tc>
          <w:tcPr>
            <w:tcW w:w="810" w:type="dxa"/>
            <w:tcBorders>
              <w:top w:val="nil"/>
              <w:left w:val="nil"/>
              <w:bottom w:val="single" w:sz="4" w:space="0" w:color="000000"/>
              <w:right w:val="single" w:sz="12" w:space="0" w:color="000000"/>
            </w:tcBorders>
            <w:shd w:val="clear" w:color="auto" w:fill="auto"/>
            <w:noWrap/>
            <w:vAlign w:val="center"/>
          </w:tcPr>
          <w:p w14:paraId="68FB6938" w14:textId="528E9C14"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$20.09</w:t>
            </w:r>
          </w:p>
        </w:tc>
      </w:tr>
      <w:tr w:rsidR="009961FD" w:rsidRPr="00EE5714" w14:paraId="04822C7B"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7B3FE45A" w14:textId="77777777"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5D2858C3" w14:textId="4AD66715"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$18.18</w:t>
            </w:r>
          </w:p>
        </w:tc>
        <w:tc>
          <w:tcPr>
            <w:tcW w:w="927" w:type="dxa"/>
            <w:tcBorders>
              <w:top w:val="nil"/>
              <w:left w:val="nil"/>
              <w:bottom w:val="single" w:sz="4" w:space="0" w:color="000000"/>
              <w:right w:val="single" w:sz="4" w:space="0" w:color="000000"/>
            </w:tcBorders>
            <w:shd w:val="clear" w:color="auto" w:fill="auto"/>
            <w:noWrap/>
            <w:vAlign w:val="center"/>
          </w:tcPr>
          <w:p w14:paraId="6FE22BA5" w14:textId="3663A12C"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$25.06</w:t>
            </w:r>
          </w:p>
        </w:tc>
        <w:tc>
          <w:tcPr>
            <w:tcW w:w="927" w:type="dxa"/>
            <w:tcBorders>
              <w:top w:val="nil"/>
              <w:left w:val="nil"/>
              <w:bottom w:val="single" w:sz="4" w:space="0" w:color="000000"/>
              <w:right w:val="single" w:sz="4" w:space="0" w:color="000000"/>
            </w:tcBorders>
            <w:shd w:val="clear" w:color="auto" w:fill="auto"/>
            <w:noWrap/>
            <w:vAlign w:val="center"/>
          </w:tcPr>
          <w:p w14:paraId="52B14DFB" w14:textId="30F4360C"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$34.46</w:t>
            </w:r>
          </w:p>
        </w:tc>
        <w:tc>
          <w:tcPr>
            <w:tcW w:w="927" w:type="dxa"/>
            <w:tcBorders>
              <w:top w:val="nil"/>
              <w:left w:val="nil"/>
              <w:bottom w:val="single" w:sz="4" w:space="0" w:color="000000"/>
              <w:right w:val="single" w:sz="4" w:space="0" w:color="000000"/>
            </w:tcBorders>
            <w:shd w:val="clear" w:color="auto" w:fill="auto"/>
            <w:noWrap/>
            <w:vAlign w:val="center"/>
          </w:tcPr>
          <w:p w14:paraId="77096588" w14:textId="1F8222E7"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$38.49</w:t>
            </w:r>
          </w:p>
        </w:tc>
        <w:tc>
          <w:tcPr>
            <w:tcW w:w="927" w:type="dxa"/>
            <w:tcBorders>
              <w:top w:val="single" w:sz="4" w:space="0" w:color="000000"/>
              <w:left w:val="nil"/>
              <w:bottom w:val="single" w:sz="4" w:space="0" w:color="000000"/>
              <w:right w:val="single" w:sz="4" w:space="0" w:color="auto"/>
            </w:tcBorders>
            <w:vAlign w:val="center"/>
          </w:tcPr>
          <w:p w14:paraId="3E88F9F5" w14:textId="328191DE"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$20.12</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27EA070B" w14:textId="1F429305"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$24.39</w:t>
            </w:r>
          </w:p>
        </w:tc>
        <w:tc>
          <w:tcPr>
            <w:tcW w:w="927" w:type="dxa"/>
            <w:tcBorders>
              <w:top w:val="nil"/>
              <w:left w:val="nil"/>
              <w:bottom w:val="single" w:sz="4" w:space="0" w:color="000000"/>
              <w:right w:val="single" w:sz="4" w:space="0" w:color="000000"/>
            </w:tcBorders>
            <w:shd w:val="clear" w:color="auto" w:fill="auto"/>
            <w:noWrap/>
            <w:vAlign w:val="center"/>
          </w:tcPr>
          <w:p w14:paraId="581CFF12" w14:textId="4CDEE3EF"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$17.76</w:t>
            </w:r>
          </w:p>
        </w:tc>
        <w:tc>
          <w:tcPr>
            <w:tcW w:w="927" w:type="dxa"/>
            <w:tcBorders>
              <w:top w:val="nil"/>
              <w:left w:val="nil"/>
              <w:bottom w:val="single" w:sz="4" w:space="0" w:color="000000"/>
              <w:right w:val="single" w:sz="4" w:space="0" w:color="000000"/>
            </w:tcBorders>
            <w:shd w:val="clear" w:color="auto" w:fill="auto"/>
            <w:noWrap/>
            <w:vAlign w:val="center"/>
          </w:tcPr>
          <w:p w14:paraId="6B7239B7" w14:textId="789EFFD6"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$21.24</w:t>
            </w:r>
          </w:p>
        </w:tc>
        <w:tc>
          <w:tcPr>
            <w:tcW w:w="864" w:type="dxa"/>
            <w:tcBorders>
              <w:top w:val="nil"/>
              <w:left w:val="nil"/>
              <w:bottom w:val="single" w:sz="4" w:space="0" w:color="000000"/>
              <w:right w:val="single" w:sz="4" w:space="0" w:color="000000"/>
            </w:tcBorders>
            <w:shd w:val="clear" w:color="auto" w:fill="auto"/>
            <w:noWrap/>
            <w:vAlign w:val="center"/>
          </w:tcPr>
          <w:p w14:paraId="181D1C11" w14:textId="7FEAFF37"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$21.22</w:t>
            </w:r>
          </w:p>
        </w:tc>
        <w:tc>
          <w:tcPr>
            <w:tcW w:w="810" w:type="dxa"/>
            <w:tcBorders>
              <w:top w:val="nil"/>
              <w:left w:val="nil"/>
              <w:bottom w:val="single" w:sz="4" w:space="0" w:color="000000"/>
              <w:right w:val="single" w:sz="12" w:space="0" w:color="000000"/>
            </w:tcBorders>
            <w:shd w:val="clear" w:color="auto" w:fill="auto"/>
            <w:noWrap/>
            <w:vAlign w:val="center"/>
          </w:tcPr>
          <w:p w14:paraId="2FCA71F2" w14:textId="4931A979"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$21.20</w:t>
            </w:r>
          </w:p>
        </w:tc>
      </w:tr>
      <w:tr w:rsidR="009961FD" w:rsidRPr="00EE5714" w14:paraId="16899A24" w14:textId="77777777" w:rsidTr="00C1243B">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0F11CD0" w14:textId="77777777"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0CEB1EE6" w14:textId="5310A117"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$18.94</w:t>
            </w:r>
          </w:p>
        </w:tc>
        <w:tc>
          <w:tcPr>
            <w:tcW w:w="927" w:type="dxa"/>
            <w:tcBorders>
              <w:top w:val="nil"/>
              <w:left w:val="nil"/>
              <w:bottom w:val="single" w:sz="8" w:space="0" w:color="000000"/>
              <w:right w:val="single" w:sz="4" w:space="0" w:color="000000"/>
            </w:tcBorders>
            <w:shd w:val="clear" w:color="auto" w:fill="auto"/>
            <w:noWrap/>
            <w:vAlign w:val="center"/>
          </w:tcPr>
          <w:p w14:paraId="330D0E09" w14:textId="78617E46"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$26.11</w:t>
            </w:r>
          </w:p>
        </w:tc>
        <w:tc>
          <w:tcPr>
            <w:tcW w:w="927" w:type="dxa"/>
            <w:tcBorders>
              <w:top w:val="nil"/>
              <w:left w:val="nil"/>
              <w:bottom w:val="single" w:sz="8" w:space="0" w:color="000000"/>
              <w:right w:val="single" w:sz="4" w:space="0" w:color="000000"/>
            </w:tcBorders>
            <w:shd w:val="clear" w:color="auto" w:fill="auto"/>
            <w:noWrap/>
            <w:vAlign w:val="center"/>
          </w:tcPr>
          <w:p w14:paraId="16E036C1" w14:textId="6ED35AC6"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$35.91</w:t>
            </w:r>
          </w:p>
        </w:tc>
        <w:tc>
          <w:tcPr>
            <w:tcW w:w="927" w:type="dxa"/>
            <w:tcBorders>
              <w:top w:val="nil"/>
              <w:left w:val="nil"/>
              <w:bottom w:val="single" w:sz="8" w:space="0" w:color="000000"/>
              <w:right w:val="single" w:sz="4" w:space="0" w:color="000000"/>
            </w:tcBorders>
            <w:shd w:val="clear" w:color="auto" w:fill="auto"/>
            <w:noWrap/>
            <w:vAlign w:val="center"/>
          </w:tcPr>
          <w:p w14:paraId="32A14888" w14:textId="7EA9DC45"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$40.11</w:t>
            </w:r>
          </w:p>
        </w:tc>
        <w:tc>
          <w:tcPr>
            <w:tcW w:w="927" w:type="dxa"/>
            <w:tcBorders>
              <w:top w:val="single" w:sz="4" w:space="0" w:color="000000"/>
              <w:left w:val="nil"/>
              <w:bottom w:val="single" w:sz="8" w:space="0" w:color="000000"/>
              <w:right w:val="single" w:sz="4" w:space="0" w:color="auto"/>
            </w:tcBorders>
            <w:vAlign w:val="center"/>
          </w:tcPr>
          <w:p w14:paraId="706848A5" w14:textId="682BA10D"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$20.96</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6BB7C778" w14:textId="4E1E124E"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$25.42</w:t>
            </w:r>
          </w:p>
        </w:tc>
        <w:tc>
          <w:tcPr>
            <w:tcW w:w="927" w:type="dxa"/>
            <w:tcBorders>
              <w:top w:val="nil"/>
              <w:left w:val="nil"/>
              <w:bottom w:val="single" w:sz="4" w:space="0" w:color="000000"/>
              <w:right w:val="single" w:sz="4" w:space="0" w:color="000000"/>
            </w:tcBorders>
            <w:shd w:val="clear" w:color="auto" w:fill="auto"/>
            <w:noWrap/>
            <w:vAlign w:val="center"/>
          </w:tcPr>
          <w:p w14:paraId="046C253B" w14:textId="45C7D6EC"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$18.50</w:t>
            </w:r>
          </w:p>
        </w:tc>
        <w:tc>
          <w:tcPr>
            <w:tcW w:w="927" w:type="dxa"/>
            <w:tcBorders>
              <w:top w:val="nil"/>
              <w:left w:val="nil"/>
              <w:bottom w:val="single" w:sz="4" w:space="0" w:color="000000"/>
              <w:right w:val="single" w:sz="4" w:space="0" w:color="000000"/>
            </w:tcBorders>
            <w:shd w:val="clear" w:color="auto" w:fill="auto"/>
            <w:noWrap/>
            <w:vAlign w:val="center"/>
          </w:tcPr>
          <w:p w14:paraId="43DD0BCB" w14:textId="200F2194"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$22.14</w:t>
            </w:r>
          </w:p>
        </w:tc>
        <w:tc>
          <w:tcPr>
            <w:tcW w:w="864" w:type="dxa"/>
            <w:tcBorders>
              <w:top w:val="nil"/>
              <w:left w:val="nil"/>
              <w:bottom w:val="single" w:sz="4" w:space="0" w:color="000000"/>
              <w:right w:val="single" w:sz="4" w:space="0" w:color="000000"/>
            </w:tcBorders>
            <w:shd w:val="clear" w:color="auto" w:fill="auto"/>
            <w:noWrap/>
            <w:vAlign w:val="center"/>
          </w:tcPr>
          <w:p w14:paraId="121A4FE7" w14:textId="1BA7B3B7"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$22.12</w:t>
            </w:r>
          </w:p>
        </w:tc>
        <w:tc>
          <w:tcPr>
            <w:tcW w:w="810" w:type="dxa"/>
            <w:tcBorders>
              <w:top w:val="nil"/>
              <w:left w:val="nil"/>
              <w:bottom w:val="single" w:sz="4" w:space="0" w:color="000000"/>
              <w:right w:val="single" w:sz="12" w:space="0" w:color="000000"/>
            </w:tcBorders>
            <w:shd w:val="clear" w:color="auto" w:fill="auto"/>
            <w:noWrap/>
            <w:vAlign w:val="center"/>
          </w:tcPr>
          <w:p w14:paraId="16780CA4" w14:textId="7FF7D942"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$22.10</w:t>
            </w:r>
          </w:p>
        </w:tc>
      </w:tr>
      <w:tr w:rsidR="007B40E0" w:rsidRPr="00EE5714" w14:paraId="0881171A" w14:textId="77777777" w:rsidTr="00C1243B">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37EB1126" w14:textId="77777777" w:rsidR="007B40E0" w:rsidRPr="00EE5714" w:rsidRDefault="007B40E0"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4FFDAFE0"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525112BE"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0B48F238"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r>
      <w:tr w:rsidR="009961FD" w:rsidRPr="00EE5714" w14:paraId="3F9C440F"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5B60023B" w14:textId="77777777"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0D427DB5" w14:textId="72D196A9"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$19.32</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4ADD4E49" w14:textId="7566A40D"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$26.64</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271135F1" w14:textId="742A3266"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$36.64</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5A4F15D9" w14:textId="50588712"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$40.92</w:t>
            </w:r>
          </w:p>
        </w:tc>
        <w:tc>
          <w:tcPr>
            <w:tcW w:w="927" w:type="dxa"/>
            <w:tcBorders>
              <w:top w:val="single" w:sz="8" w:space="0" w:color="000000"/>
              <w:left w:val="nil"/>
              <w:bottom w:val="single" w:sz="4" w:space="0" w:color="000000"/>
              <w:right w:val="single" w:sz="4" w:space="0" w:color="auto"/>
            </w:tcBorders>
            <w:vAlign w:val="center"/>
          </w:tcPr>
          <w:p w14:paraId="2706019F" w14:textId="675A658E"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$21.39</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2C78F7CC" w14:textId="128E31A2"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$25.93</w:t>
            </w:r>
          </w:p>
        </w:tc>
        <w:tc>
          <w:tcPr>
            <w:tcW w:w="927" w:type="dxa"/>
            <w:tcBorders>
              <w:top w:val="nil"/>
              <w:left w:val="nil"/>
              <w:bottom w:val="single" w:sz="4" w:space="0" w:color="000000"/>
              <w:right w:val="single" w:sz="4" w:space="0" w:color="000000"/>
            </w:tcBorders>
            <w:shd w:val="clear" w:color="auto" w:fill="auto"/>
            <w:noWrap/>
            <w:vAlign w:val="center"/>
          </w:tcPr>
          <w:p w14:paraId="37C70814" w14:textId="201AA9A0"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$18.88</w:t>
            </w:r>
          </w:p>
        </w:tc>
        <w:tc>
          <w:tcPr>
            <w:tcW w:w="927" w:type="dxa"/>
            <w:tcBorders>
              <w:top w:val="nil"/>
              <w:left w:val="nil"/>
              <w:bottom w:val="single" w:sz="4" w:space="0" w:color="000000"/>
              <w:right w:val="single" w:sz="4" w:space="0" w:color="000000"/>
            </w:tcBorders>
            <w:shd w:val="clear" w:color="auto" w:fill="auto"/>
            <w:noWrap/>
            <w:vAlign w:val="center"/>
          </w:tcPr>
          <w:p w14:paraId="698DBF3B" w14:textId="68F174E7"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$22.58</w:t>
            </w:r>
          </w:p>
        </w:tc>
        <w:tc>
          <w:tcPr>
            <w:tcW w:w="864" w:type="dxa"/>
            <w:tcBorders>
              <w:top w:val="nil"/>
              <w:left w:val="nil"/>
              <w:bottom w:val="single" w:sz="4" w:space="0" w:color="000000"/>
              <w:right w:val="single" w:sz="4" w:space="0" w:color="000000"/>
            </w:tcBorders>
            <w:shd w:val="clear" w:color="auto" w:fill="auto"/>
            <w:noWrap/>
            <w:vAlign w:val="center"/>
          </w:tcPr>
          <w:p w14:paraId="7DEE1DB6" w14:textId="3C8C24AA"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$22.56</w:t>
            </w:r>
          </w:p>
        </w:tc>
        <w:tc>
          <w:tcPr>
            <w:tcW w:w="810" w:type="dxa"/>
            <w:tcBorders>
              <w:top w:val="nil"/>
              <w:left w:val="nil"/>
              <w:bottom w:val="single" w:sz="4" w:space="0" w:color="000000"/>
              <w:right w:val="single" w:sz="12" w:space="0" w:color="000000"/>
            </w:tcBorders>
            <w:shd w:val="clear" w:color="auto" w:fill="auto"/>
            <w:noWrap/>
            <w:vAlign w:val="center"/>
          </w:tcPr>
          <w:p w14:paraId="32F6C2CF" w14:textId="04BEED1A"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$22.54</w:t>
            </w:r>
          </w:p>
        </w:tc>
      </w:tr>
      <w:tr w:rsidR="009961FD" w:rsidRPr="00EE5714" w14:paraId="16418F0C"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68EBCA84" w14:textId="77777777"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38C50657" w14:textId="4AA1EFD5"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$20.09</w:t>
            </w:r>
          </w:p>
        </w:tc>
        <w:tc>
          <w:tcPr>
            <w:tcW w:w="927" w:type="dxa"/>
            <w:tcBorders>
              <w:top w:val="nil"/>
              <w:left w:val="nil"/>
              <w:bottom w:val="single" w:sz="4" w:space="0" w:color="000000"/>
              <w:right w:val="single" w:sz="4" w:space="0" w:color="000000"/>
            </w:tcBorders>
            <w:shd w:val="clear" w:color="auto" w:fill="auto"/>
            <w:noWrap/>
            <w:vAlign w:val="center"/>
          </w:tcPr>
          <w:p w14:paraId="79911005" w14:textId="15120655"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$27.69</w:t>
            </w:r>
          </w:p>
        </w:tc>
        <w:tc>
          <w:tcPr>
            <w:tcW w:w="927" w:type="dxa"/>
            <w:tcBorders>
              <w:top w:val="nil"/>
              <w:left w:val="nil"/>
              <w:bottom w:val="single" w:sz="4" w:space="0" w:color="000000"/>
              <w:right w:val="single" w:sz="4" w:space="0" w:color="000000"/>
            </w:tcBorders>
            <w:shd w:val="clear" w:color="auto" w:fill="auto"/>
            <w:noWrap/>
            <w:vAlign w:val="center"/>
          </w:tcPr>
          <w:p w14:paraId="4D20768B" w14:textId="0E9B0E94"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$38.09</w:t>
            </w:r>
          </w:p>
        </w:tc>
        <w:tc>
          <w:tcPr>
            <w:tcW w:w="927" w:type="dxa"/>
            <w:tcBorders>
              <w:top w:val="nil"/>
              <w:left w:val="nil"/>
              <w:bottom w:val="single" w:sz="4" w:space="0" w:color="000000"/>
              <w:right w:val="single" w:sz="4" w:space="0" w:color="000000"/>
            </w:tcBorders>
            <w:shd w:val="clear" w:color="auto" w:fill="auto"/>
            <w:noWrap/>
            <w:vAlign w:val="center"/>
          </w:tcPr>
          <w:p w14:paraId="71708D88" w14:textId="069ADE71"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$42.54</w:t>
            </w:r>
          </w:p>
        </w:tc>
        <w:tc>
          <w:tcPr>
            <w:tcW w:w="927" w:type="dxa"/>
            <w:tcBorders>
              <w:top w:val="single" w:sz="4" w:space="0" w:color="000000"/>
              <w:left w:val="nil"/>
              <w:bottom w:val="single" w:sz="4" w:space="0" w:color="000000"/>
              <w:right w:val="single" w:sz="4" w:space="0" w:color="auto"/>
            </w:tcBorders>
            <w:vAlign w:val="center"/>
          </w:tcPr>
          <w:p w14:paraId="05F28ED9" w14:textId="027AB434"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$22.23</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455ED8CC" w14:textId="0FC06FD4"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$26.96</w:t>
            </w:r>
          </w:p>
        </w:tc>
        <w:tc>
          <w:tcPr>
            <w:tcW w:w="927" w:type="dxa"/>
            <w:tcBorders>
              <w:top w:val="nil"/>
              <w:left w:val="nil"/>
              <w:bottom w:val="single" w:sz="4" w:space="0" w:color="000000"/>
              <w:right w:val="single" w:sz="4" w:space="0" w:color="000000"/>
            </w:tcBorders>
            <w:shd w:val="clear" w:color="auto" w:fill="auto"/>
            <w:noWrap/>
            <w:vAlign w:val="center"/>
          </w:tcPr>
          <w:p w14:paraId="62AFEC43" w14:textId="6AADE520"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$19.62</w:t>
            </w:r>
          </w:p>
        </w:tc>
        <w:tc>
          <w:tcPr>
            <w:tcW w:w="927" w:type="dxa"/>
            <w:tcBorders>
              <w:top w:val="nil"/>
              <w:left w:val="nil"/>
              <w:bottom w:val="single" w:sz="4" w:space="0" w:color="000000"/>
              <w:right w:val="single" w:sz="4" w:space="0" w:color="000000"/>
            </w:tcBorders>
            <w:shd w:val="clear" w:color="auto" w:fill="auto"/>
            <w:noWrap/>
            <w:vAlign w:val="center"/>
          </w:tcPr>
          <w:p w14:paraId="1207C499" w14:textId="125F79B6"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$23.48</w:t>
            </w:r>
          </w:p>
        </w:tc>
        <w:tc>
          <w:tcPr>
            <w:tcW w:w="864" w:type="dxa"/>
            <w:tcBorders>
              <w:top w:val="nil"/>
              <w:left w:val="nil"/>
              <w:bottom w:val="single" w:sz="4" w:space="0" w:color="000000"/>
              <w:right w:val="single" w:sz="4" w:space="0" w:color="000000"/>
            </w:tcBorders>
            <w:shd w:val="clear" w:color="auto" w:fill="auto"/>
            <w:noWrap/>
            <w:vAlign w:val="center"/>
          </w:tcPr>
          <w:p w14:paraId="4F0DD788" w14:textId="188B07A7"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$23.46</w:t>
            </w:r>
          </w:p>
        </w:tc>
        <w:tc>
          <w:tcPr>
            <w:tcW w:w="810" w:type="dxa"/>
            <w:tcBorders>
              <w:top w:val="nil"/>
              <w:left w:val="nil"/>
              <w:bottom w:val="single" w:sz="4" w:space="0" w:color="000000"/>
              <w:right w:val="single" w:sz="12" w:space="0" w:color="000000"/>
            </w:tcBorders>
            <w:shd w:val="clear" w:color="auto" w:fill="auto"/>
            <w:noWrap/>
            <w:vAlign w:val="center"/>
          </w:tcPr>
          <w:p w14:paraId="61124DDA" w14:textId="3393EFAB" w:rsidR="009961FD" w:rsidRPr="00EE5714" w:rsidRDefault="009961FD" w:rsidP="009961F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$23.44</w:t>
            </w:r>
          </w:p>
        </w:tc>
      </w:tr>
      <w:tr w:rsidR="009961FD" w:rsidRPr="00EE5714" w14:paraId="28F49B74" w14:textId="77777777" w:rsidTr="003F3312">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6C197395" w14:textId="77777777" w:rsidR="009961FD" w:rsidRPr="00EE5714" w:rsidRDefault="009961FD" w:rsidP="009961FD">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27740C1F" w14:textId="4EF81ECB" w:rsidR="009961FD" w:rsidRPr="00EE5714" w:rsidRDefault="009961FD" w:rsidP="009961FD">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$21.04</w:t>
            </w:r>
          </w:p>
        </w:tc>
        <w:tc>
          <w:tcPr>
            <w:tcW w:w="927" w:type="dxa"/>
            <w:tcBorders>
              <w:top w:val="nil"/>
              <w:left w:val="nil"/>
              <w:bottom w:val="single" w:sz="12" w:space="0" w:color="000000"/>
              <w:right w:val="single" w:sz="4" w:space="0" w:color="000000"/>
            </w:tcBorders>
            <w:shd w:val="clear" w:color="auto" w:fill="auto"/>
            <w:noWrap/>
            <w:vAlign w:val="center"/>
          </w:tcPr>
          <w:p w14:paraId="2A01D7CE" w14:textId="750C624F" w:rsidR="009961FD" w:rsidRPr="00EE5714" w:rsidRDefault="009961FD" w:rsidP="009961FD">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$29.01</w:t>
            </w:r>
          </w:p>
        </w:tc>
        <w:tc>
          <w:tcPr>
            <w:tcW w:w="927" w:type="dxa"/>
            <w:tcBorders>
              <w:top w:val="nil"/>
              <w:left w:val="nil"/>
              <w:bottom w:val="single" w:sz="12" w:space="0" w:color="000000"/>
              <w:right w:val="single" w:sz="4" w:space="0" w:color="000000"/>
            </w:tcBorders>
            <w:shd w:val="clear" w:color="auto" w:fill="auto"/>
            <w:noWrap/>
            <w:vAlign w:val="center"/>
          </w:tcPr>
          <w:p w14:paraId="23C0CBCF" w14:textId="4D4B3162" w:rsidR="009961FD" w:rsidRPr="00EE5714" w:rsidRDefault="009961FD" w:rsidP="009961FD">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$39.90</w:t>
            </w:r>
          </w:p>
        </w:tc>
        <w:tc>
          <w:tcPr>
            <w:tcW w:w="927" w:type="dxa"/>
            <w:tcBorders>
              <w:top w:val="nil"/>
              <w:left w:val="nil"/>
              <w:bottom w:val="single" w:sz="12" w:space="0" w:color="000000"/>
              <w:right w:val="single" w:sz="4" w:space="0" w:color="000000"/>
            </w:tcBorders>
            <w:shd w:val="clear" w:color="auto" w:fill="auto"/>
            <w:noWrap/>
            <w:vAlign w:val="center"/>
          </w:tcPr>
          <w:p w14:paraId="3657931A" w14:textId="4F236245" w:rsidR="009961FD" w:rsidRPr="00EE5714" w:rsidRDefault="009961FD" w:rsidP="009961FD">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$44.57</w:t>
            </w:r>
          </w:p>
        </w:tc>
        <w:tc>
          <w:tcPr>
            <w:tcW w:w="927" w:type="dxa"/>
            <w:tcBorders>
              <w:top w:val="single" w:sz="4" w:space="0" w:color="000000"/>
              <w:left w:val="nil"/>
              <w:bottom w:val="single" w:sz="12" w:space="0" w:color="000000"/>
              <w:right w:val="single" w:sz="4" w:space="0" w:color="auto"/>
            </w:tcBorders>
            <w:vAlign w:val="center"/>
          </w:tcPr>
          <w:p w14:paraId="58B30A2F" w14:textId="45E9206A" w:rsidR="009961FD" w:rsidRPr="00EE5714" w:rsidRDefault="009961FD" w:rsidP="009961FD">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$23.29</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679AA0B0" w14:textId="5640E583" w:rsidR="009961FD" w:rsidRPr="00EE5714" w:rsidRDefault="009961FD" w:rsidP="009961FD">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$28.24</w:t>
            </w:r>
          </w:p>
        </w:tc>
        <w:tc>
          <w:tcPr>
            <w:tcW w:w="927" w:type="dxa"/>
            <w:tcBorders>
              <w:top w:val="nil"/>
              <w:left w:val="nil"/>
              <w:bottom w:val="single" w:sz="12" w:space="0" w:color="000000"/>
              <w:right w:val="single" w:sz="4" w:space="0" w:color="000000"/>
            </w:tcBorders>
            <w:shd w:val="clear" w:color="auto" w:fill="auto"/>
            <w:noWrap/>
            <w:vAlign w:val="center"/>
          </w:tcPr>
          <w:p w14:paraId="32136431" w14:textId="3193BAE4" w:rsidR="009961FD" w:rsidRPr="00EE5714" w:rsidRDefault="009961FD" w:rsidP="009961FD">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$20.56</w:t>
            </w:r>
          </w:p>
        </w:tc>
        <w:tc>
          <w:tcPr>
            <w:tcW w:w="927" w:type="dxa"/>
            <w:tcBorders>
              <w:top w:val="nil"/>
              <w:left w:val="nil"/>
              <w:bottom w:val="single" w:sz="12" w:space="0" w:color="000000"/>
              <w:right w:val="single" w:sz="4" w:space="0" w:color="000000"/>
            </w:tcBorders>
            <w:shd w:val="clear" w:color="auto" w:fill="auto"/>
            <w:noWrap/>
            <w:vAlign w:val="center"/>
          </w:tcPr>
          <w:p w14:paraId="2CF786FD" w14:textId="379B0162" w:rsidR="009961FD" w:rsidRPr="00EE5714" w:rsidRDefault="009961FD" w:rsidP="009961FD">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$24.60</w:t>
            </w:r>
          </w:p>
        </w:tc>
        <w:tc>
          <w:tcPr>
            <w:tcW w:w="864" w:type="dxa"/>
            <w:tcBorders>
              <w:top w:val="nil"/>
              <w:left w:val="nil"/>
              <w:bottom w:val="single" w:sz="12" w:space="0" w:color="000000"/>
              <w:right w:val="single" w:sz="4" w:space="0" w:color="000000"/>
            </w:tcBorders>
            <w:shd w:val="clear" w:color="auto" w:fill="auto"/>
            <w:noWrap/>
            <w:vAlign w:val="center"/>
          </w:tcPr>
          <w:p w14:paraId="2F0273EC" w14:textId="5F95295D" w:rsidR="009961FD" w:rsidRPr="00EE5714" w:rsidRDefault="009961FD" w:rsidP="009961FD">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$24.57</w:t>
            </w:r>
          </w:p>
        </w:tc>
        <w:tc>
          <w:tcPr>
            <w:tcW w:w="810" w:type="dxa"/>
            <w:tcBorders>
              <w:top w:val="nil"/>
              <w:left w:val="nil"/>
              <w:bottom w:val="single" w:sz="12" w:space="0" w:color="000000"/>
              <w:right w:val="single" w:sz="12" w:space="0" w:color="000000"/>
            </w:tcBorders>
            <w:shd w:val="clear" w:color="auto" w:fill="auto"/>
            <w:noWrap/>
            <w:vAlign w:val="center"/>
          </w:tcPr>
          <w:p w14:paraId="0C2600AD" w14:textId="30C47A0A" w:rsidR="009961FD" w:rsidRPr="00EE5714" w:rsidRDefault="009961FD" w:rsidP="009961FD">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$24.55</w:t>
            </w:r>
          </w:p>
        </w:tc>
      </w:tr>
    </w:tbl>
    <w:p w14:paraId="0A1E3274" w14:textId="77777777" w:rsidR="00071E2B" w:rsidRPr="00071E2B" w:rsidRDefault="00071E2B" w:rsidP="00071E2B">
      <w:pPr>
        <w:pStyle w:val="NoSpacing"/>
        <w:rPr>
          <w:rFonts w:cs="Times New Roman"/>
          <w:szCs w:val="26"/>
        </w:rPr>
      </w:pPr>
    </w:p>
    <w:p w14:paraId="634E6A8B" w14:textId="77777777" w:rsidR="00570EAE" w:rsidRPr="00EE5714" w:rsidRDefault="00570EAE" w:rsidP="007D7A46">
      <w:pPr>
        <w:pStyle w:val="NoSpacing"/>
        <w:rPr>
          <w:rFonts w:cs="Times New Roman"/>
          <w:szCs w:val="26"/>
        </w:rPr>
      </w:pPr>
    </w:p>
    <w:p w14:paraId="4382538C" w14:textId="049C80E3" w:rsidR="00F303E0" w:rsidRPr="00EE5714" w:rsidRDefault="00F734A0" w:rsidP="007D7A46">
      <w:pPr>
        <w:pStyle w:val="NoSpacing"/>
        <w:keepNext/>
        <w:keepLines/>
        <w:rPr>
          <w:rFonts w:cs="Times New Roman"/>
          <w:szCs w:val="26"/>
        </w:rPr>
      </w:pPr>
      <w:r w:rsidRPr="00EE5714">
        <w:rPr>
          <w:rFonts w:cs="Times New Roman"/>
          <w:szCs w:val="26"/>
        </w:rPr>
        <w:lastRenderedPageBreak/>
        <w:t>Appendix 9</w:t>
      </w:r>
      <w:r w:rsidR="00F303E0" w:rsidRPr="00EE5714">
        <w:rPr>
          <w:rFonts w:cs="Times New Roman"/>
          <w:szCs w:val="26"/>
        </w:rPr>
        <w:t>.</w:t>
      </w:r>
      <w:r w:rsidR="008F612D" w:rsidRPr="00EE5714">
        <w:rPr>
          <w:rFonts w:cs="Times New Roman"/>
          <w:szCs w:val="26"/>
        </w:rPr>
        <w:t>E</w:t>
      </w:r>
      <w:r w:rsidR="00F303E0" w:rsidRPr="00EE5714">
        <w:rPr>
          <w:rFonts w:cs="Times New Roman"/>
          <w:szCs w:val="26"/>
        </w:rPr>
        <w:t xml:space="preserve">.5: </w:t>
      </w:r>
      <w:r w:rsidR="00F303E0" w:rsidRPr="00EE5714">
        <w:rPr>
          <w:rFonts w:eastAsia="Times New Roman" w:cs="Times New Roman"/>
          <w:b/>
          <w:color w:val="000000"/>
          <w:szCs w:val="26"/>
        </w:rPr>
        <w:t>Actual Data and Forecasts – Peoples EQT</w:t>
      </w:r>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7B40E0" w:rsidRPr="00EE5714" w14:paraId="17045914" w14:textId="77777777" w:rsidTr="004E2F1B">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4AFC8A3B" w14:textId="77777777" w:rsidR="007B40E0" w:rsidRPr="00EE5714" w:rsidRDefault="007B40E0"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723DD80A"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4995E879"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7B40E0" w:rsidRPr="00EE5714" w14:paraId="074E7E71"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CDA160E" w14:textId="77777777" w:rsidR="007B40E0" w:rsidRPr="00EE5714" w:rsidRDefault="007B40E0"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758CDCFE"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3806E82C"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7C05A909"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0032C24C"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3654932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659F470B"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2A755879"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72CFEDE0"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2DE59500"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5B91E6C2"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BB01F4" w:rsidRPr="00EE5714" w14:paraId="5CD86E19" w14:textId="77777777" w:rsidTr="003F3312">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69555FFC" w14:textId="77777777" w:rsidR="00BB01F4" w:rsidRPr="00EE5714" w:rsidRDefault="00BB01F4" w:rsidP="00BB01F4">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0B502376" w14:textId="77B2F878"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$26.48</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1C6D2256" w14:textId="2FE748D8"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$30.65</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21CB0720" w14:textId="40F25DC8"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$43.37</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4DD0DDA" w14:textId="26D67167"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$37.20</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2F6912A7" w14:textId="436131C8"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$16.65</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6CFD5BD2" w14:textId="1300508C"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$22.68</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EB8683F" w14:textId="56175CF9"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$16.77</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13841487" w14:textId="6B5A8190"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$19.27</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4D143823" w14:textId="6EC47703"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$19.31</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1BBA804B" w14:textId="37D38B7A"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$19.14</w:t>
            </w:r>
          </w:p>
        </w:tc>
      </w:tr>
      <w:tr w:rsidR="00BB01F4" w:rsidRPr="00EE5714" w14:paraId="1A08BA36"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76049F67" w14:textId="77777777"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2A6428F5" w14:textId="0C707BA6"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$23.83</w:t>
            </w:r>
          </w:p>
        </w:tc>
        <w:tc>
          <w:tcPr>
            <w:tcW w:w="927" w:type="dxa"/>
            <w:tcBorders>
              <w:top w:val="nil"/>
              <w:left w:val="nil"/>
              <w:bottom w:val="single" w:sz="4" w:space="0" w:color="000000"/>
              <w:right w:val="single" w:sz="4" w:space="0" w:color="000000"/>
            </w:tcBorders>
            <w:shd w:val="clear" w:color="auto" w:fill="auto"/>
            <w:noWrap/>
            <w:vAlign w:val="center"/>
          </w:tcPr>
          <w:p w14:paraId="5F840044" w14:textId="1FE279E7"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$23.74</w:t>
            </w:r>
          </w:p>
        </w:tc>
        <w:tc>
          <w:tcPr>
            <w:tcW w:w="927" w:type="dxa"/>
            <w:tcBorders>
              <w:top w:val="nil"/>
              <w:left w:val="nil"/>
              <w:bottom w:val="single" w:sz="4" w:space="0" w:color="000000"/>
              <w:right w:val="single" w:sz="4" w:space="0" w:color="000000"/>
            </w:tcBorders>
            <w:shd w:val="clear" w:color="auto" w:fill="auto"/>
            <w:noWrap/>
            <w:vAlign w:val="center"/>
          </w:tcPr>
          <w:p w14:paraId="660B128F" w14:textId="057556FD"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$32.65</w:t>
            </w:r>
          </w:p>
        </w:tc>
        <w:tc>
          <w:tcPr>
            <w:tcW w:w="927" w:type="dxa"/>
            <w:tcBorders>
              <w:top w:val="nil"/>
              <w:left w:val="nil"/>
              <w:bottom w:val="single" w:sz="4" w:space="0" w:color="000000"/>
              <w:right w:val="single" w:sz="4" w:space="0" w:color="000000"/>
            </w:tcBorders>
            <w:shd w:val="clear" w:color="auto" w:fill="auto"/>
            <w:noWrap/>
            <w:vAlign w:val="center"/>
          </w:tcPr>
          <w:p w14:paraId="51D3DA54" w14:textId="10BF156B"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$36.47</w:t>
            </w:r>
          </w:p>
        </w:tc>
        <w:tc>
          <w:tcPr>
            <w:tcW w:w="927" w:type="dxa"/>
            <w:tcBorders>
              <w:top w:val="single" w:sz="4" w:space="0" w:color="000000"/>
              <w:left w:val="nil"/>
              <w:bottom w:val="single" w:sz="4" w:space="0" w:color="000000"/>
              <w:right w:val="single" w:sz="4" w:space="0" w:color="auto"/>
            </w:tcBorders>
            <w:vAlign w:val="center"/>
          </w:tcPr>
          <w:p w14:paraId="476BB550" w14:textId="1F2B57C7"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$19.06</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0A178E04" w14:textId="4F10BD0A"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$23.11</w:t>
            </w:r>
          </w:p>
        </w:tc>
        <w:tc>
          <w:tcPr>
            <w:tcW w:w="927" w:type="dxa"/>
            <w:tcBorders>
              <w:top w:val="nil"/>
              <w:left w:val="nil"/>
              <w:bottom w:val="single" w:sz="4" w:space="0" w:color="000000"/>
              <w:right w:val="single" w:sz="4" w:space="0" w:color="000000"/>
            </w:tcBorders>
            <w:shd w:val="clear" w:color="auto" w:fill="auto"/>
            <w:noWrap/>
            <w:vAlign w:val="center"/>
          </w:tcPr>
          <w:p w14:paraId="44AFDBA9" w14:textId="4D9E19A1"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$16.82</w:t>
            </w:r>
          </w:p>
        </w:tc>
        <w:tc>
          <w:tcPr>
            <w:tcW w:w="927" w:type="dxa"/>
            <w:tcBorders>
              <w:top w:val="nil"/>
              <w:left w:val="nil"/>
              <w:bottom w:val="single" w:sz="4" w:space="0" w:color="000000"/>
              <w:right w:val="single" w:sz="4" w:space="0" w:color="000000"/>
            </w:tcBorders>
            <w:shd w:val="clear" w:color="auto" w:fill="auto"/>
            <w:noWrap/>
            <w:vAlign w:val="center"/>
          </w:tcPr>
          <w:p w14:paraId="298AC2AE" w14:textId="43637066"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$20.12</w:t>
            </w:r>
          </w:p>
        </w:tc>
        <w:tc>
          <w:tcPr>
            <w:tcW w:w="864" w:type="dxa"/>
            <w:tcBorders>
              <w:top w:val="nil"/>
              <w:left w:val="nil"/>
              <w:bottom w:val="single" w:sz="4" w:space="0" w:color="000000"/>
              <w:right w:val="single" w:sz="4" w:space="0" w:color="000000"/>
            </w:tcBorders>
            <w:shd w:val="clear" w:color="auto" w:fill="auto"/>
            <w:noWrap/>
            <w:vAlign w:val="center"/>
          </w:tcPr>
          <w:p w14:paraId="4B5B5059" w14:textId="01F1C6FE"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$20.11</w:t>
            </w:r>
          </w:p>
        </w:tc>
        <w:tc>
          <w:tcPr>
            <w:tcW w:w="810" w:type="dxa"/>
            <w:tcBorders>
              <w:top w:val="nil"/>
              <w:left w:val="nil"/>
              <w:bottom w:val="single" w:sz="4" w:space="0" w:color="000000"/>
              <w:right w:val="single" w:sz="12" w:space="0" w:color="000000"/>
            </w:tcBorders>
            <w:shd w:val="clear" w:color="auto" w:fill="auto"/>
            <w:noWrap/>
            <w:vAlign w:val="center"/>
          </w:tcPr>
          <w:p w14:paraId="09263695" w14:textId="43C2F91E"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$20.09</w:t>
            </w:r>
          </w:p>
        </w:tc>
      </w:tr>
      <w:tr w:rsidR="00BB01F4" w:rsidRPr="00EE5714" w14:paraId="0BD73EBE"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5BDC796A" w14:textId="77777777"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342AC282" w14:textId="2F920E24"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$25.16</w:t>
            </w:r>
          </w:p>
        </w:tc>
        <w:tc>
          <w:tcPr>
            <w:tcW w:w="927" w:type="dxa"/>
            <w:tcBorders>
              <w:top w:val="nil"/>
              <w:left w:val="nil"/>
              <w:bottom w:val="single" w:sz="4" w:space="0" w:color="000000"/>
              <w:right w:val="single" w:sz="4" w:space="0" w:color="000000"/>
            </w:tcBorders>
            <w:shd w:val="clear" w:color="auto" w:fill="auto"/>
            <w:noWrap/>
            <w:vAlign w:val="center"/>
          </w:tcPr>
          <w:p w14:paraId="6774B763" w14:textId="4660A909"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$25.06</w:t>
            </w:r>
          </w:p>
        </w:tc>
        <w:tc>
          <w:tcPr>
            <w:tcW w:w="927" w:type="dxa"/>
            <w:tcBorders>
              <w:top w:val="nil"/>
              <w:left w:val="nil"/>
              <w:bottom w:val="single" w:sz="4" w:space="0" w:color="000000"/>
              <w:right w:val="single" w:sz="4" w:space="0" w:color="000000"/>
            </w:tcBorders>
            <w:shd w:val="clear" w:color="auto" w:fill="auto"/>
            <w:noWrap/>
            <w:vAlign w:val="center"/>
          </w:tcPr>
          <w:p w14:paraId="03AC39B8" w14:textId="3E7E327A"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$34.46</w:t>
            </w:r>
          </w:p>
        </w:tc>
        <w:tc>
          <w:tcPr>
            <w:tcW w:w="927" w:type="dxa"/>
            <w:tcBorders>
              <w:top w:val="nil"/>
              <w:left w:val="nil"/>
              <w:bottom w:val="single" w:sz="4" w:space="0" w:color="000000"/>
              <w:right w:val="single" w:sz="4" w:space="0" w:color="000000"/>
            </w:tcBorders>
            <w:shd w:val="clear" w:color="auto" w:fill="auto"/>
            <w:noWrap/>
            <w:vAlign w:val="center"/>
          </w:tcPr>
          <w:p w14:paraId="012EF8C7" w14:textId="1D3440AA"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$38.49</w:t>
            </w:r>
          </w:p>
        </w:tc>
        <w:tc>
          <w:tcPr>
            <w:tcW w:w="927" w:type="dxa"/>
            <w:tcBorders>
              <w:top w:val="single" w:sz="4" w:space="0" w:color="000000"/>
              <w:left w:val="nil"/>
              <w:bottom w:val="single" w:sz="4" w:space="0" w:color="000000"/>
              <w:right w:val="single" w:sz="4" w:space="0" w:color="auto"/>
            </w:tcBorders>
            <w:vAlign w:val="center"/>
          </w:tcPr>
          <w:p w14:paraId="020A8EDD" w14:textId="67EA9A4C"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$20.12</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6A1759F9" w14:textId="0438821F"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$24.39</w:t>
            </w:r>
          </w:p>
        </w:tc>
        <w:tc>
          <w:tcPr>
            <w:tcW w:w="927" w:type="dxa"/>
            <w:tcBorders>
              <w:top w:val="nil"/>
              <w:left w:val="nil"/>
              <w:bottom w:val="single" w:sz="4" w:space="0" w:color="000000"/>
              <w:right w:val="single" w:sz="4" w:space="0" w:color="000000"/>
            </w:tcBorders>
            <w:shd w:val="clear" w:color="auto" w:fill="auto"/>
            <w:noWrap/>
            <w:vAlign w:val="center"/>
          </w:tcPr>
          <w:p w14:paraId="1CE398CF" w14:textId="6F260C34"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$17.76</w:t>
            </w:r>
          </w:p>
        </w:tc>
        <w:tc>
          <w:tcPr>
            <w:tcW w:w="927" w:type="dxa"/>
            <w:tcBorders>
              <w:top w:val="nil"/>
              <w:left w:val="nil"/>
              <w:bottom w:val="single" w:sz="4" w:space="0" w:color="000000"/>
              <w:right w:val="single" w:sz="4" w:space="0" w:color="000000"/>
            </w:tcBorders>
            <w:shd w:val="clear" w:color="auto" w:fill="auto"/>
            <w:noWrap/>
            <w:vAlign w:val="center"/>
          </w:tcPr>
          <w:p w14:paraId="626A0547" w14:textId="53B2E11F"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$21.24</w:t>
            </w:r>
          </w:p>
        </w:tc>
        <w:tc>
          <w:tcPr>
            <w:tcW w:w="864" w:type="dxa"/>
            <w:tcBorders>
              <w:top w:val="nil"/>
              <w:left w:val="nil"/>
              <w:bottom w:val="single" w:sz="4" w:space="0" w:color="000000"/>
              <w:right w:val="single" w:sz="4" w:space="0" w:color="000000"/>
            </w:tcBorders>
            <w:shd w:val="clear" w:color="auto" w:fill="auto"/>
            <w:noWrap/>
            <w:vAlign w:val="center"/>
          </w:tcPr>
          <w:p w14:paraId="18596AF5" w14:textId="3302FE85"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$21.22</w:t>
            </w:r>
          </w:p>
        </w:tc>
        <w:tc>
          <w:tcPr>
            <w:tcW w:w="810" w:type="dxa"/>
            <w:tcBorders>
              <w:top w:val="nil"/>
              <w:left w:val="nil"/>
              <w:bottom w:val="single" w:sz="4" w:space="0" w:color="000000"/>
              <w:right w:val="single" w:sz="12" w:space="0" w:color="000000"/>
            </w:tcBorders>
            <w:shd w:val="clear" w:color="auto" w:fill="auto"/>
            <w:noWrap/>
            <w:vAlign w:val="center"/>
          </w:tcPr>
          <w:p w14:paraId="3968FDA4" w14:textId="162C617E"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$21.20</w:t>
            </w:r>
          </w:p>
        </w:tc>
      </w:tr>
      <w:tr w:rsidR="00BB01F4" w:rsidRPr="00EE5714" w14:paraId="550209D2" w14:textId="77777777" w:rsidTr="00C1243B">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5B8EC169" w14:textId="77777777"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0E9EB070" w14:textId="408DF608"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$26.22</w:t>
            </w:r>
          </w:p>
        </w:tc>
        <w:tc>
          <w:tcPr>
            <w:tcW w:w="927" w:type="dxa"/>
            <w:tcBorders>
              <w:top w:val="nil"/>
              <w:left w:val="nil"/>
              <w:bottom w:val="single" w:sz="8" w:space="0" w:color="000000"/>
              <w:right w:val="single" w:sz="4" w:space="0" w:color="000000"/>
            </w:tcBorders>
            <w:shd w:val="clear" w:color="auto" w:fill="auto"/>
            <w:noWrap/>
            <w:vAlign w:val="center"/>
          </w:tcPr>
          <w:p w14:paraId="78E3839D" w14:textId="0BB5C35B"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$26.11</w:t>
            </w:r>
          </w:p>
        </w:tc>
        <w:tc>
          <w:tcPr>
            <w:tcW w:w="927" w:type="dxa"/>
            <w:tcBorders>
              <w:top w:val="nil"/>
              <w:left w:val="nil"/>
              <w:bottom w:val="single" w:sz="8" w:space="0" w:color="000000"/>
              <w:right w:val="single" w:sz="4" w:space="0" w:color="000000"/>
            </w:tcBorders>
            <w:shd w:val="clear" w:color="auto" w:fill="auto"/>
            <w:noWrap/>
            <w:vAlign w:val="center"/>
          </w:tcPr>
          <w:p w14:paraId="4B3D1073" w14:textId="3F260FC8"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$35.91</w:t>
            </w:r>
          </w:p>
        </w:tc>
        <w:tc>
          <w:tcPr>
            <w:tcW w:w="927" w:type="dxa"/>
            <w:tcBorders>
              <w:top w:val="nil"/>
              <w:left w:val="nil"/>
              <w:bottom w:val="single" w:sz="8" w:space="0" w:color="000000"/>
              <w:right w:val="single" w:sz="4" w:space="0" w:color="000000"/>
            </w:tcBorders>
            <w:shd w:val="clear" w:color="auto" w:fill="auto"/>
            <w:noWrap/>
            <w:vAlign w:val="center"/>
          </w:tcPr>
          <w:p w14:paraId="00ACF3B5" w14:textId="34F41D9E"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$40.11</w:t>
            </w:r>
          </w:p>
        </w:tc>
        <w:tc>
          <w:tcPr>
            <w:tcW w:w="927" w:type="dxa"/>
            <w:tcBorders>
              <w:top w:val="single" w:sz="4" w:space="0" w:color="000000"/>
              <w:left w:val="nil"/>
              <w:bottom w:val="single" w:sz="8" w:space="0" w:color="000000"/>
              <w:right w:val="single" w:sz="4" w:space="0" w:color="auto"/>
            </w:tcBorders>
            <w:vAlign w:val="center"/>
          </w:tcPr>
          <w:p w14:paraId="060E17C3" w14:textId="53A6C3C3"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$20.96</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65B23F5F" w14:textId="0C53B203"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$25.42</w:t>
            </w:r>
          </w:p>
        </w:tc>
        <w:tc>
          <w:tcPr>
            <w:tcW w:w="927" w:type="dxa"/>
            <w:tcBorders>
              <w:top w:val="nil"/>
              <w:left w:val="nil"/>
              <w:bottom w:val="single" w:sz="4" w:space="0" w:color="000000"/>
              <w:right w:val="single" w:sz="4" w:space="0" w:color="000000"/>
            </w:tcBorders>
            <w:shd w:val="clear" w:color="auto" w:fill="auto"/>
            <w:noWrap/>
            <w:vAlign w:val="center"/>
          </w:tcPr>
          <w:p w14:paraId="0236194F" w14:textId="34E5A799"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$18.50</w:t>
            </w:r>
          </w:p>
        </w:tc>
        <w:tc>
          <w:tcPr>
            <w:tcW w:w="927" w:type="dxa"/>
            <w:tcBorders>
              <w:top w:val="nil"/>
              <w:left w:val="nil"/>
              <w:bottom w:val="single" w:sz="4" w:space="0" w:color="000000"/>
              <w:right w:val="single" w:sz="4" w:space="0" w:color="000000"/>
            </w:tcBorders>
            <w:shd w:val="clear" w:color="auto" w:fill="auto"/>
            <w:noWrap/>
            <w:vAlign w:val="center"/>
          </w:tcPr>
          <w:p w14:paraId="70758E3D" w14:textId="74444AC6"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$22.14</w:t>
            </w:r>
          </w:p>
        </w:tc>
        <w:tc>
          <w:tcPr>
            <w:tcW w:w="864" w:type="dxa"/>
            <w:tcBorders>
              <w:top w:val="nil"/>
              <w:left w:val="nil"/>
              <w:bottom w:val="single" w:sz="4" w:space="0" w:color="000000"/>
              <w:right w:val="single" w:sz="4" w:space="0" w:color="000000"/>
            </w:tcBorders>
            <w:shd w:val="clear" w:color="auto" w:fill="auto"/>
            <w:noWrap/>
            <w:vAlign w:val="center"/>
          </w:tcPr>
          <w:p w14:paraId="68DEB03F" w14:textId="38AB2810"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$22.12</w:t>
            </w:r>
          </w:p>
        </w:tc>
        <w:tc>
          <w:tcPr>
            <w:tcW w:w="810" w:type="dxa"/>
            <w:tcBorders>
              <w:top w:val="nil"/>
              <w:left w:val="nil"/>
              <w:bottom w:val="single" w:sz="4" w:space="0" w:color="000000"/>
              <w:right w:val="single" w:sz="12" w:space="0" w:color="000000"/>
            </w:tcBorders>
            <w:shd w:val="clear" w:color="auto" w:fill="auto"/>
            <w:noWrap/>
            <w:vAlign w:val="center"/>
          </w:tcPr>
          <w:p w14:paraId="421C5BFE" w14:textId="656A298C"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$22.10</w:t>
            </w:r>
          </w:p>
        </w:tc>
      </w:tr>
      <w:tr w:rsidR="007B40E0" w:rsidRPr="00EE5714" w14:paraId="42EB28FD" w14:textId="77777777" w:rsidTr="00C1243B">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4A3FA25E" w14:textId="77777777" w:rsidR="007B40E0" w:rsidRPr="00EE5714" w:rsidRDefault="007B40E0"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0644CB44"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18369E63"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0266F5AA"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r>
      <w:tr w:rsidR="00BB01F4" w:rsidRPr="00EE5714" w14:paraId="3952C3BA"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52904E86" w14:textId="77777777"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052148A5" w14:textId="5A035167"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$26.75</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68EC8CE0" w14:textId="34FCBAC3"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$26.64</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55E54A49" w14:textId="2D431FBD"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$36.64</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585FB559" w14:textId="4C5EC840"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$40.92</w:t>
            </w:r>
          </w:p>
        </w:tc>
        <w:tc>
          <w:tcPr>
            <w:tcW w:w="927" w:type="dxa"/>
            <w:tcBorders>
              <w:top w:val="single" w:sz="8" w:space="0" w:color="000000"/>
              <w:left w:val="nil"/>
              <w:bottom w:val="single" w:sz="4" w:space="0" w:color="000000"/>
              <w:right w:val="single" w:sz="4" w:space="0" w:color="auto"/>
            </w:tcBorders>
            <w:vAlign w:val="center"/>
          </w:tcPr>
          <w:p w14:paraId="6ABD0793" w14:textId="71ED6F0D"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$21.39</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70D86FFC" w14:textId="3DFF1EAB"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$25.93</w:t>
            </w:r>
          </w:p>
        </w:tc>
        <w:tc>
          <w:tcPr>
            <w:tcW w:w="927" w:type="dxa"/>
            <w:tcBorders>
              <w:top w:val="nil"/>
              <w:left w:val="nil"/>
              <w:bottom w:val="single" w:sz="4" w:space="0" w:color="000000"/>
              <w:right w:val="single" w:sz="4" w:space="0" w:color="000000"/>
            </w:tcBorders>
            <w:shd w:val="clear" w:color="auto" w:fill="auto"/>
            <w:noWrap/>
            <w:vAlign w:val="center"/>
          </w:tcPr>
          <w:p w14:paraId="3A4D11BB" w14:textId="18122AD5"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$18.88</w:t>
            </w:r>
          </w:p>
        </w:tc>
        <w:tc>
          <w:tcPr>
            <w:tcW w:w="927" w:type="dxa"/>
            <w:tcBorders>
              <w:top w:val="nil"/>
              <w:left w:val="nil"/>
              <w:bottom w:val="single" w:sz="4" w:space="0" w:color="000000"/>
              <w:right w:val="single" w:sz="4" w:space="0" w:color="000000"/>
            </w:tcBorders>
            <w:shd w:val="clear" w:color="auto" w:fill="auto"/>
            <w:noWrap/>
            <w:vAlign w:val="center"/>
          </w:tcPr>
          <w:p w14:paraId="39ADFE16" w14:textId="3F9D5D69"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$22.58</w:t>
            </w:r>
          </w:p>
        </w:tc>
        <w:tc>
          <w:tcPr>
            <w:tcW w:w="864" w:type="dxa"/>
            <w:tcBorders>
              <w:top w:val="nil"/>
              <w:left w:val="nil"/>
              <w:bottom w:val="single" w:sz="4" w:space="0" w:color="000000"/>
              <w:right w:val="single" w:sz="4" w:space="0" w:color="000000"/>
            </w:tcBorders>
            <w:shd w:val="clear" w:color="auto" w:fill="auto"/>
            <w:noWrap/>
            <w:vAlign w:val="center"/>
          </w:tcPr>
          <w:p w14:paraId="62F972F3" w14:textId="36CCD101"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$22.56</w:t>
            </w:r>
          </w:p>
        </w:tc>
        <w:tc>
          <w:tcPr>
            <w:tcW w:w="810" w:type="dxa"/>
            <w:tcBorders>
              <w:top w:val="nil"/>
              <w:left w:val="nil"/>
              <w:bottom w:val="single" w:sz="4" w:space="0" w:color="000000"/>
              <w:right w:val="single" w:sz="12" w:space="0" w:color="000000"/>
            </w:tcBorders>
            <w:shd w:val="clear" w:color="auto" w:fill="auto"/>
            <w:noWrap/>
            <w:vAlign w:val="center"/>
          </w:tcPr>
          <w:p w14:paraId="16BBAFC5" w14:textId="060DB68B"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$22.54</w:t>
            </w:r>
          </w:p>
        </w:tc>
      </w:tr>
      <w:tr w:rsidR="00BB01F4" w:rsidRPr="00EE5714" w14:paraId="79303348"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372B8206" w14:textId="77777777"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1B27F6A6" w14:textId="333A9144"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$27.81</w:t>
            </w:r>
          </w:p>
        </w:tc>
        <w:tc>
          <w:tcPr>
            <w:tcW w:w="927" w:type="dxa"/>
            <w:tcBorders>
              <w:top w:val="nil"/>
              <w:left w:val="nil"/>
              <w:bottom w:val="single" w:sz="4" w:space="0" w:color="000000"/>
              <w:right w:val="single" w:sz="4" w:space="0" w:color="000000"/>
            </w:tcBorders>
            <w:shd w:val="clear" w:color="auto" w:fill="auto"/>
            <w:noWrap/>
            <w:vAlign w:val="center"/>
          </w:tcPr>
          <w:p w14:paraId="672E094E" w14:textId="7F98689C"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$27.69</w:t>
            </w:r>
          </w:p>
        </w:tc>
        <w:tc>
          <w:tcPr>
            <w:tcW w:w="927" w:type="dxa"/>
            <w:tcBorders>
              <w:top w:val="nil"/>
              <w:left w:val="nil"/>
              <w:bottom w:val="single" w:sz="4" w:space="0" w:color="000000"/>
              <w:right w:val="single" w:sz="4" w:space="0" w:color="000000"/>
            </w:tcBorders>
            <w:shd w:val="clear" w:color="auto" w:fill="auto"/>
            <w:noWrap/>
            <w:vAlign w:val="center"/>
          </w:tcPr>
          <w:p w14:paraId="6C27EEB8" w14:textId="27A9DB79"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$38.09</w:t>
            </w:r>
          </w:p>
        </w:tc>
        <w:tc>
          <w:tcPr>
            <w:tcW w:w="927" w:type="dxa"/>
            <w:tcBorders>
              <w:top w:val="nil"/>
              <w:left w:val="nil"/>
              <w:bottom w:val="single" w:sz="4" w:space="0" w:color="000000"/>
              <w:right w:val="single" w:sz="4" w:space="0" w:color="000000"/>
            </w:tcBorders>
            <w:shd w:val="clear" w:color="auto" w:fill="auto"/>
            <w:noWrap/>
            <w:vAlign w:val="center"/>
          </w:tcPr>
          <w:p w14:paraId="52FDEC93" w14:textId="7C9B3E38"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$42.54</w:t>
            </w:r>
          </w:p>
        </w:tc>
        <w:tc>
          <w:tcPr>
            <w:tcW w:w="927" w:type="dxa"/>
            <w:tcBorders>
              <w:top w:val="single" w:sz="4" w:space="0" w:color="000000"/>
              <w:left w:val="nil"/>
              <w:bottom w:val="single" w:sz="4" w:space="0" w:color="000000"/>
              <w:right w:val="single" w:sz="4" w:space="0" w:color="auto"/>
            </w:tcBorders>
            <w:vAlign w:val="center"/>
          </w:tcPr>
          <w:p w14:paraId="7269943F" w14:textId="55151B43"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$22.23</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576934B7" w14:textId="1506A405"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$26.96</w:t>
            </w:r>
          </w:p>
        </w:tc>
        <w:tc>
          <w:tcPr>
            <w:tcW w:w="927" w:type="dxa"/>
            <w:tcBorders>
              <w:top w:val="nil"/>
              <w:left w:val="nil"/>
              <w:bottom w:val="single" w:sz="4" w:space="0" w:color="000000"/>
              <w:right w:val="single" w:sz="4" w:space="0" w:color="000000"/>
            </w:tcBorders>
            <w:shd w:val="clear" w:color="auto" w:fill="auto"/>
            <w:noWrap/>
            <w:vAlign w:val="center"/>
          </w:tcPr>
          <w:p w14:paraId="7A1825D2" w14:textId="1CBC99EA"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$19.62</w:t>
            </w:r>
          </w:p>
        </w:tc>
        <w:tc>
          <w:tcPr>
            <w:tcW w:w="927" w:type="dxa"/>
            <w:tcBorders>
              <w:top w:val="nil"/>
              <w:left w:val="nil"/>
              <w:bottom w:val="single" w:sz="4" w:space="0" w:color="000000"/>
              <w:right w:val="single" w:sz="4" w:space="0" w:color="000000"/>
            </w:tcBorders>
            <w:shd w:val="clear" w:color="auto" w:fill="auto"/>
            <w:noWrap/>
            <w:vAlign w:val="center"/>
          </w:tcPr>
          <w:p w14:paraId="0B6FE539" w14:textId="06D71902"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$23.48</w:t>
            </w:r>
          </w:p>
        </w:tc>
        <w:tc>
          <w:tcPr>
            <w:tcW w:w="864" w:type="dxa"/>
            <w:tcBorders>
              <w:top w:val="nil"/>
              <w:left w:val="nil"/>
              <w:bottom w:val="single" w:sz="4" w:space="0" w:color="000000"/>
              <w:right w:val="single" w:sz="4" w:space="0" w:color="000000"/>
            </w:tcBorders>
            <w:shd w:val="clear" w:color="auto" w:fill="auto"/>
            <w:noWrap/>
            <w:vAlign w:val="center"/>
          </w:tcPr>
          <w:p w14:paraId="5EB97FF7" w14:textId="2E9B6F48"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$23.46</w:t>
            </w:r>
          </w:p>
        </w:tc>
        <w:tc>
          <w:tcPr>
            <w:tcW w:w="810" w:type="dxa"/>
            <w:tcBorders>
              <w:top w:val="nil"/>
              <w:left w:val="nil"/>
              <w:bottom w:val="single" w:sz="4" w:space="0" w:color="000000"/>
              <w:right w:val="single" w:sz="12" w:space="0" w:color="000000"/>
            </w:tcBorders>
            <w:shd w:val="clear" w:color="auto" w:fill="auto"/>
            <w:noWrap/>
            <w:vAlign w:val="center"/>
          </w:tcPr>
          <w:p w14:paraId="0D6F12C8" w14:textId="1D4659D7" w:rsidR="00BB01F4" w:rsidRPr="00EE5714" w:rsidRDefault="00BB01F4" w:rsidP="00BB01F4">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$23.44</w:t>
            </w:r>
          </w:p>
        </w:tc>
      </w:tr>
      <w:tr w:rsidR="00BB01F4" w:rsidRPr="00EE5714" w14:paraId="6ABE2C14" w14:textId="77777777" w:rsidTr="003F3312">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492C4CF0" w14:textId="77777777" w:rsidR="00BB01F4" w:rsidRPr="00EE5714" w:rsidRDefault="00BB01F4" w:rsidP="00BB01F4">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43906FB9" w14:textId="5FA3DE8C" w:rsidR="00BB01F4" w:rsidRPr="00EE5714" w:rsidRDefault="00BB01F4" w:rsidP="00BB01F4">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$29.13</w:t>
            </w:r>
          </w:p>
        </w:tc>
        <w:tc>
          <w:tcPr>
            <w:tcW w:w="927" w:type="dxa"/>
            <w:tcBorders>
              <w:top w:val="nil"/>
              <w:left w:val="nil"/>
              <w:bottom w:val="single" w:sz="12" w:space="0" w:color="000000"/>
              <w:right w:val="single" w:sz="4" w:space="0" w:color="000000"/>
            </w:tcBorders>
            <w:shd w:val="clear" w:color="auto" w:fill="auto"/>
            <w:noWrap/>
            <w:vAlign w:val="center"/>
          </w:tcPr>
          <w:p w14:paraId="171AF290" w14:textId="3036D9AD" w:rsidR="00BB01F4" w:rsidRPr="00EE5714" w:rsidRDefault="00BB01F4" w:rsidP="00BB01F4">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$33.71</w:t>
            </w:r>
          </w:p>
        </w:tc>
        <w:tc>
          <w:tcPr>
            <w:tcW w:w="927" w:type="dxa"/>
            <w:tcBorders>
              <w:top w:val="nil"/>
              <w:left w:val="nil"/>
              <w:bottom w:val="single" w:sz="12" w:space="0" w:color="000000"/>
              <w:right w:val="single" w:sz="4" w:space="0" w:color="000000"/>
            </w:tcBorders>
            <w:shd w:val="clear" w:color="auto" w:fill="auto"/>
            <w:noWrap/>
            <w:vAlign w:val="center"/>
          </w:tcPr>
          <w:p w14:paraId="7FD8366E" w14:textId="76CA446E" w:rsidR="00BB01F4" w:rsidRPr="00EE5714" w:rsidRDefault="00BB01F4" w:rsidP="00BB01F4">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$47.71</w:t>
            </w:r>
          </w:p>
        </w:tc>
        <w:tc>
          <w:tcPr>
            <w:tcW w:w="927" w:type="dxa"/>
            <w:tcBorders>
              <w:top w:val="nil"/>
              <w:left w:val="nil"/>
              <w:bottom w:val="single" w:sz="12" w:space="0" w:color="000000"/>
              <w:right w:val="single" w:sz="4" w:space="0" w:color="000000"/>
            </w:tcBorders>
            <w:shd w:val="clear" w:color="auto" w:fill="auto"/>
            <w:noWrap/>
            <w:vAlign w:val="center"/>
          </w:tcPr>
          <w:p w14:paraId="24AD1C0A" w14:textId="28BBFDE0" w:rsidR="00BB01F4" w:rsidRPr="00EE5714" w:rsidRDefault="00BB01F4" w:rsidP="00BB01F4">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$40.92</w:t>
            </w:r>
          </w:p>
        </w:tc>
        <w:tc>
          <w:tcPr>
            <w:tcW w:w="927" w:type="dxa"/>
            <w:tcBorders>
              <w:top w:val="single" w:sz="4" w:space="0" w:color="000000"/>
              <w:left w:val="nil"/>
              <w:bottom w:val="single" w:sz="12" w:space="0" w:color="000000"/>
              <w:right w:val="single" w:sz="4" w:space="0" w:color="auto"/>
            </w:tcBorders>
            <w:vAlign w:val="center"/>
          </w:tcPr>
          <w:p w14:paraId="20196BB3" w14:textId="61CFF1DB" w:rsidR="00BB01F4" w:rsidRPr="00EE5714" w:rsidRDefault="00BB01F4" w:rsidP="00BB01F4">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$18.32</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0A45711F" w14:textId="32E49F18" w:rsidR="00BB01F4" w:rsidRPr="00EE5714" w:rsidRDefault="00BB01F4" w:rsidP="00BB01F4">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$24.95</w:t>
            </w:r>
          </w:p>
        </w:tc>
        <w:tc>
          <w:tcPr>
            <w:tcW w:w="927" w:type="dxa"/>
            <w:tcBorders>
              <w:top w:val="nil"/>
              <w:left w:val="nil"/>
              <w:bottom w:val="single" w:sz="12" w:space="0" w:color="000000"/>
              <w:right w:val="single" w:sz="4" w:space="0" w:color="000000"/>
            </w:tcBorders>
            <w:shd w:val="clear" w:color="auto" w:fill="auto"/>
            <w:noWrap/>
            <w:vAlign w:val="center"/>
          </w:tcPr>
          <w:p w14:paraId="2511637E" w14:textId="797AF7F6" w:rsidR="00BB01F4" w:rsidRPr="00EE5714" w:rsidRDefault="00BB01F4" w:rsidP="00BB01F4">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$18.45</w:t>
            </w:r>
          </w:p>
        </w:tc>
        <w:tc>
          <w:tcPr>
            <w:tcW w:w="927" w:type="dxa"/>
            <w:tcBorders>
              <w:top w:val="nil"/>
              <w:left w:val="nil"/>
              <w:bottom w:val="single" w:sz="12" w:space="0" w:color="000000"/>
              <w:right w:val="single" w:sz="4" w:space="0" w:color="000000"/>
            </w:tcBorders>
            <w:shd w:val="clear" w:color="auto" w:fill="auto"/>
            <w:noWrap/>
            <w:vAlign w:val="center"/>
          </w:tcPr>
          <w:p w14:paraId="27229937" w14:textId="530C6C35" w:rsidR="00BB01F4" w:rsidRPr="00EE5714" w:rsidRDefault="00BB01F4" w:rsidP="00BB01F4">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$21.20</w:t>
            </w:r>
          </w:p>
        </w:tc>
        <w:tc>
          <w:tcPr>
            <w:tcW w:w="864" w:type="dxa"/>
            <w:tcBorders>
              <w:top w:val="nil"/>
              <w:left w:val="nil"/>
              <w:bottom w:val="single" w:sz="12" w:space="0" w:color="000000"/>
              <w:right w:val="single" w:sz="4" w:space="0" w:color="000000"/>
            </w:tcBorders>
            <w:shd w:val="clear" w:color="auto" w:fill="auto"/>
            <w:noWrap/>
            <w:vAlign w:val="center"/>
          </w:tcPr>
          <w:p w14:paraId="755C8E8C" w14:textId="7B2901CD" w:rsidR="00BB01F4" w:rsidRPr="00EE5714" w:rsidRDefault="00BB01F4" w:rsidP="00BB01F4">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$21.24</w:t>
            </w:r>
          </w:p>
        </w:tc>
        <w:tc>
          <w:tcPr>
            <w:tcW w:w="810" w:type="dxa"/>
            <w:tcBorders>
              <w:top w:val="nil"/>
              <w:left w:val="nil"/>
              <w:bottom w:val="single" w:sz="12" w:space="0" w:color="000000"/>
              <w:right w:val="single" w:sz="12" w:space="0" w:color="000000"/>
            </w:tcBorders>
            <w:shd w:val="clear" w:color="auto" w:fill="auto"/>
            <w:noWrap/>
            <w:vAlign w:val="center"/>
          </w:tcPr>
          <w:p w14:paraId="7AD57A35" w14:textId="31020BAE" w:rsidR="00BB01F4" w:rsidRPr="00EE5714" w:rsidRDefault="00BB01F4" w:rsidP="00BB01F4">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$21.05</w:t>
            </w:r>
          </w:p>
        </w:tc>
      </w:tr>
    </w:tbl>
    <w:p w14:paraId="7D2747BC" w14:textId="77777777" w:rsidR="00071E2B" w:rsidRPr="00071E2B" w:rsidRDefault="00071E2B" w:rsidP="00071E2B">
      <w:pPr>
        <w:pStyle w:val="NoSpacing"/>
        <w:rPr>
          <w:rFonts w:cs="Times New Roman"/>
          <w:szCs w:val="26"/>
        </w:rPr>
      </w:pPr>
    </w:p>
    <w:p w14:paraId="6DE73740" w14:textId="77777777" w:rsidR="00520567" w:rsidRPr="00EE5714" w:rsidRDefault="00520567" w:rsidP="007D7A46">
      <w:pPr>
        <w:pStyle w:val="NoSpacing"/>
        <w:rPr>
          <w:rFonts w:cs="Times New Roman"/>
          <w:szCs w:val="26"/>
        </w:rPr>
      </w:pPr>
    </w:p>
    <w:p w14:paraId="66F7FC98" w14:textId="3839824B" w:rsidR="00F303E0" w:rsidRPr="00EE5714" w:rsidRDefault="362F9E90" w:rsidP="362F9E90">
      <w:pPr>
        <w:pStyle w:val="NoSpacing"/>
        <w:keepNext/>
        <w:rPr>
          <w:rFonts w:cs="Times New Roman"/>
        </w:rPr>
      </w:pPr>
      <w:r w:rsidRPr="00EE5714">
        <w:rPr>
          <w:rFonts w:cs="Times New Roman"/>
        </w:rPr>
        <w:t>Appendix 9.</w:t>
      </w:r>
      <w:r w:rsidR="00521C79" w:rsidRPr="00EE5714">
        <w:rPr>
          <w:rFonts w:cs="Times New Roman"/>
        </w:rPr>
        <w:t>E</w:t>
      </w:r>
      <w:r w:rsidRPr="00EE5714">
        <w:rPr>
          <w:rFonts w:cs="Times New Roman"/>
        </w:rPr>
        <w:t xml:space="preserve">.6: </w:t>
      </w:r>
      <w:r w:rsidRPr="00EE5714">
        <w:rPr>
          <w:rFonts w:eastAsia="Times New Roman" w:cs="Times New Roman"/>
          <w:b/>
          <w:bCs/>
          <w:color w:val="000000" w:themeColor="text1"/>
        </w:rPr>
        <w:t>Actual Data and Forecasts – PGW</w:t>
      </w:r>
      <w:r w:rsidR="00F467D8" w:rsidRPr="00EE5714">
        <w:rPr>
          <w:rStyle w:val="FootnoteReference"/>
          <w:rFonts w:eastAsia="Times New Roman" w:cs="Times New Roman"/>
          <w:b/>
          <w:bCs/>
          <w:color w:val="000000" w:themeColor="text1"/>
        </w:rPr>
        <w:footnoteReference w:id="101"/>
      </w:r>
    </w:p>
    <w:tbl>
      <w:tblPr>
        <w:tblW w:w="1080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954"/>
        <w:gridCol w:w="900"/>
      </w:tblGrid>
      <w:tr w:rsidR="007B40E0" w:rsidRPr="00EE5714" w14:paraId="418FA0E1" w14:textId="77777777" w:rsidTr="00180883">
        <w:trPr>
          <w:trHeight w:val="315"/>
        </w:trPr>
        <w:tc>
          <w:tcPr>
            <w:tcW w:w="1530" w:type="dxa"/>
            <w:tcBorders>
              <w:top w:val="single" w:sz="8" w:space="0" w:color="000000" w:themeColor="text1"/>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1CADD99A" w14:textId="77777777" w:rsidR="007B40E0" w:rsidRPr="00EE5714" w:rsidRDefault="007B40E0"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BFBFBF" w:themeFill="background1" w:themeFillShade="BF"/>
          </w:tcPr>
          <w:p w14:paraId="0F4B9F84"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708" w:type="dxa"/>
            <w:gridSpan w:val="4"/>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BFBFBF" w:themeFill="background1" w:themeFillShade="BF"/>
            <w:noWrap/>
            <w:vAlign w:val="center"/>
            <w:hideMark/>
          </w:tcPr>
          <w:p w14:paraId="6333494B"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7B40E0" w:rsidRPr="00EE5714" w14:paraId="4816FFAF" w14:textId="77777777" w:rsidTr="362F9E90">
        <w:trPr>
          <w:trHeight w:val="300"/>
        </w:trPr>
        <w:tc>
          <w:tcPr>
            <w:tcW w:w="1530"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3E1BC163" w14:textId="77777777" w:rsidR="007B40E0" w:rsidRPr="00EE5714" w:rsidRDefault="007B40E0"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hideMark/>
          </w:tcPr>
          <w:p w14:paraId="49D6D126"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themeColor="text1"/>
              <w:right w:val="single" w:sz="4" w:space="0" w:color="000000" w:themeColor="text1"/>
            </w:tcBorders>
            <w:shd w:val="clear" w:color="auto" w:fill="auto"/>
            <w:noWrap/>
            <w:vAlign w:val="center"/>
            <w:hideMark/>
          </w:tcPr>
          <w:p w14:paraId="51228502"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themeColor="text1"/>
              <w:right w:val="single" w:sz="4" w:space="0" w:color="000000" w:themeColor="text1"/>
            </w:tcBorders>
            <w:shd w:val="clear" w:color="auto" w:fill="auto"/>
            <w:noWrap/>
            <w:vAlign w:val="center"/>
            <w:hideMark/>
          </w:tcPr>
          <w:p w14:paraId="34556E47"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themeColor="text1"/>
              <w:right w:val="single" w:sz="4" w:space="0" w:color="000000" w:themeColor="text1"/>
            </w:tcBorders>
            <w:shd w:val="clear" w:color="auto" w:fill="auto"/>
            <w:noWrap/>
            <w:vAlign w:val="center"/>
            <w:hideMark/>
          </w:tcPr>
          <w:p w14:paraId="4C745762"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themeColor="text1"/>
              <w:right w:val="single" w:sz="4" w:space="0" w:color="auto"/>
            </w:tcBorders>
          </w:tcPr>
          <w:p w14:paraId="26493048"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themeColor="text1"/>
              <w:right w:val="single" w:sz="12" w:space="0" w:color="000000" w:themeColor="text1"/>
            </w:tcBorders>
            <w:shd w:val="clear" w:color="auto" w:fill="auto"/>
            <w:noWrap/>
            <w:vAlign w:val="center"/>
            <w:hideMark/>
          </w:tcPr>
          <w:p w14:paraId="60CE004A"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themeColor="text1"/>
              <w:right w:val="single" w:sz="4" w:space="0" w:color="000000" w:themeColor="text1"/>
            </w:tcBorders>
            <w:shd w:val="clear" w:color="auto" w:fill="auto"/>
            <w:noWrap/>
            <w:vAlign w:val="center"/>
            <w:hideMark/>
          </w:tcPr>
          <w:p w14:paraId="59EDF152"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themeColor="text1"/>
              <w:right w:val="single" w:sz="4" w:space="0" w:color="000000" w:themeColor="text1"/>
            </w:tcBorders>
            <w:shd w:val="clear" w:color="auto" w:fill="auto"/>
            <w:noWrap/>
            <w:vAlign w:val="center"/>
            <w:hideMark/>
          </w:tcPr>
          <w:p w14:paraId="184FB9D9"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954" w:type="dxa"/>
            <w:tcBorders>
              <w:top w:val="nil"/>
              <w:left w:val="nil"/>
              <w:bottom w:val="single" w:sz="4" w:space="0" w:color="000000" w:themeColor="text1"/>
              <w:right w:val="single" w:sz="4" w:space="0" w:color="000000" w:themeColor="text1"/>
            </w:tcBorders>
            <w:shd w:val="clear" w:color="auto" w:fill="auto"/>
            <w:noWrap/>
            <w:vAlign w:val="center"/>
            <w:hideMark/>
          </w:tcPr>
          <w:p w14:paraId="45997241"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900" w:type="dxa"/>
            <w:tcBorders>
              <w:top w:val="nil"/>
              <w:left w:val="nil"/>
              <w:bottom w:val="single" w:sz="4" w:space="0" w:color="000000" w:themeColor="text1"/>
              <w:right w:val="single" w:sz="12" w:space="0" w:color="000000" w:themeColor="text1"/>
            </w:tcBorders>
            <w:shd w:val="clear" w:color="auto" w:fill="auto"/>
            <w:noWrap/>
            <w:vAlign w:val="center"/>
            <w:hideMark/>
          </w:tcPr>
          <w:p w14:paraId="2AC0F8D6"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AA749B" w:rsidRPr="00EE5714" w14:paraId="5B5A194E" w14:textId="77777777" w:rsidTr="362F9E90">
        <w:trPr>
          <w:trHeight w:val="600"/>
        </w:trPr>
        <w:tc>
          <w:tcPr>
            <w:tcW w:w="1530" w:type="dxa"/>
            <w:tcBorders>
              <w:top w:val="nil"/>
              <w:left w:val="single" w:sz="8" w:space="0" w:color="000000" w:themeColor="text1"/>
              <w:bottom w:val="single" w:sz="4" w:space="0" w:color="000000" w:themeColor="text1"/>
              <w:right w:val="single" w:sz="12" w:space="0" w:color="000000" w:themeColor="text1"/>
            </w:tcBorders>
            <w:shd w:val="clear" w:color="auto" w:fill="F2F2F2" w:themeFill="background1" w:themeFillShade="F2"/>
            <w:vAlign w:val="bottom"/>
            <w:hideMark/>
          </w:tcPr>
          <w:p w14:paraId="355BC387" w14:textId="77777777" w:rsidR="00AA749B" w:rsidRPr="00EE5714" w:rsidRDefault="00AA749B" w:rsidP="00AA749B">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68DB8D" w14:textId="16884E16"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$137.14</w:t>
            </w:r>
          </w:p>
        </w:tc>
        <w:tc>
          <w:tcPr>
            <w:tcW w:w="927" w:type="dxa"/>
            <w:tcBorders>
              <w:top w:val="nil"/>
              <w:left w:val="nil"/>
              <w:bottom w:val="single" w:sz="4" w:space="0" w:color="000000" w:themeColor="text1"/>
              <w:right w:val="single" w:sz="4" w:space="0" w:color="000000" w:themeColor="text1"/>
            </w:tcBorders>
            <w:shd w:val="clear" w:color="auto" w:fill="F2F2F2" w:themeFill="background1" w:themeFillShade="F2"/>
            <w:noWrap/>
            <w:vAlign w:val="center"/>
          </w:tcPr>
          <w:p w14:paraId="7DBB6AF7" w14:textId="5446EF8F"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$144.99</w:t>
            </w:r>
          </w:p>
        </w:tc>
        <w:tc>
          <w:tcPr>
            <w:tcW w:w="927" w:type="dxa"/>
            <w:tcBorders>
              <w:top w:val="nil"/>
              <w:left w:val="nil"/>
              <w:bottom w:val="single" w:sz="4" w:space="0" w:color="000000" w:themeColor="text1"/>
              <w:right w:val="single" w:sz="4" w:space="0" w:color="000000" w:themeColor="text1"/>
            </w:tcBorders>
            <w:shd w:val="clear" w:color="auto" w:fill="F2F2F2" w:themeFill="background1" w:themeFillShade="F2"/>
            <w:noWrap/>
            <w:vAlign w:val="center"/>
          </w:tcPr>
          <w:p w14:paraId="1A036F28" w14:textId="68A984EA"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$130.90</w:t>
            </w:r>
          </w:p>
        </w:tc>
        <w:tc>
          <w:tcPr>
            <w:tcW w:w="927" w:type="dxa"/>
            <w:tcBorders>
              <w:top w:val="nil"/>
              <w:left w:val="nil"/>
              <w:bottom w:val="single" w:sz="4" w:space="0" w:color="000000" w:themeColor="text1"/>
              <w:right w:val="single" w:sz="4" w:space="0" w:color="000000" w:themeColor="text1"/>
            </w:tcBorders>
            <w:shd w:val="clear" w:color="auto" w:fill="F2F2F2" w:themeFill="background1" w:themeFillShade="F2"/>
            <w:noWrap/>
            <w:vAlign w:val="center"/>
          </w:tcPr>
          <w:p w14:paraId="10CC1AE4" w14:textId="6B089808"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$101.63</w:t>
            </w:r>
          </w:p>
        </w:tc>
        <w:tc>
          <w:tcPr>
            <w:tcW w:w="927" w:type="dxa"/>
            <w:tcBorders>
              <w:top w:val="single" w:sz="4" w:space="0" w:color="000000" w:themeColor="text1"/>
              <w:left w:val="nil"/>
              <w:bottom w:val="single" w:sz="4" w:space="0" w:color="000000" w:themeColor="text1"/>
              <w:right w:val="single" w:sz="4" w:space="0" w:color="auto"/>
            </w:tcBorders>
            <w:shd w:val="clear" w:color="auto" w:fill="F2F2F2" w:themeFill="background1" w:themeFillShade="F2"/>
            <w:vAlign w:val="center"/>
          </w:tcPr>
          <w:p w14:paraId="013049A4" w14:textId="53027718"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$79.03</w:t>
            </w:r>
          </w:p>
        </w:tc>
        <w:tc>
          <w:tcPr>
            <w:tcW w:w="927" w:type="dxa"/>
            <w:tcBorders>
              <w:top w:val="nil"/>
              <w:left w:val="single" w:sz="4" w:space="0" w:color="auto"/>
              <w:bottom w:val="single" w:sz="4" w:space="0" w:color="000000" w:themeColor="text1"/>
              <w:right w:val="single" w:sz="12" w:space="0" w:color="000000" w:themeColor="text1"/>
            </w:tcBorders>
            <w:shd w:val="clear" w:color="auto" w:fill="F2F2F2" w:themeFill="background1" w:themeFillShade="F2"/>
            <w:noWrap/>
            <w:vAlign w:val="center"/>
          </w:tcPr>
          <w:p w14:paraId="3485BD85" w14:textId="380D5FE3" w:rsidR="00AA749B"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$81.12</w:t>
            </w:r>
          </w:p>
        </w:tc>
        <w:tc>
          <w:tcPr>
            <w:tcW w:w="927" w:type="dxa"/>
            <w:tcBorders>
              <w:top w:val="nil"/>
              <w:left w:val="nil"/>
              <w:bottom w:val="single" w:sz="4" w:space="0" w:color="000000" w:themeColor="text1"/>
              <w:right w:val="single" w:sz="4" w:space="0" w:color="000000" w:themeColor="text1"/>
            </w:tcBorders>
            <w:shd w:val="clear" w:color="auto" w:fill="F2F2F2" w:themeFill="background1" w:themeFillShade="F2"/>
            <w:noWrap/>
            <w:vAlign w:val="center"/>
          </w:tcPr>
          <w:p w14:paraId="09C45FDA" w14:textId="19B69CB8"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$90.06</w:t>
            </w:r>
          </w:p>
        </w:tc>
        <w:tc>
          <w:tcPr>
            <w:tcW w:w="927" w:type="dxa"/>
            <w:tcBorders>
              <w:top w:val="nil"/>
              <w:left w:val="nil"/>
              <w:bottom w:val="single" w:sz="4" w:space="0" w:color="000000" w:themeColor="text1"/>
              <w:right w:val="single" w:sz="4" w:space="0" w:color="000000" w:themeColor="text1"/>
            </w:tcBorders>
            <w:shd w:val="clear" w:color="auto" w:fill="F2F2F2" w:themeFill="background1" w:themeFillShade="F2"/>
            <w:noWrap/>
            <w:vAlign w:val="center"/>
          </w:tcPr>
          <w:p w14:paraId="4D9DE694" w14:textId="5AEFAB56"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$92.93</w:t>
            </w:r>
          </w:p>
        </w:tc>
        <w:tc>
          <w:tcPr>
            <w:tcW w:w="954" w:type="dxa"/>
            <w:tcBorders>
              <w:top w:val="nil"/>
              <w:left w:val="nil"/>
              <w:bottom w:val="single" w:sz="4" w:space="0" w:color="000000" w:themeColor="text1"/>
              <w:right w:val="single" w:sz="4" w:space="0" w:color="000000" w:themeColor="text1"/>
            </w:tcBorders>
            <w:shd w:val="clear" w:color="auto" w:fill="F2F2F2" w:themeFill="background1" w:themeFillShade="F2"/>
            <w:noWrap/>
            <w:vAlign w:val="center"/>
          </w:tcPr>
          <w:p w14:paraId="3DA39CB0" w14:textId="338D5029"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$92.93</w:t>
            </w:r>
          </w:p>
        </w:tc>
        <w:tc>
          <w:tcPr>
            <w:tcW w:w="900" w:type="dxa"/>
            <w:tcBorders>
              <w:top w:val="nil"/>
              <w:left w:val="nil"/>
              <w:bottom w:val="single" w:sz="4" w:space="0" w:color="000000" w:themeColor="text1"/>
              <w:right w:val="single" w:sz="12" w:space="0" w:color="000000" w:themeColor="text1"/>
            </w:tcBorders>
            <w:shd w:val="clear" w:color="auto" w:fill="F2F2F2" w:themeFill="background1" w:themeFillShade="F2"/>
            <w:noWrap/>
            <w:vAlign w:val="center"/>
          </w:tcPr>
          <w:p w14:paraId="48BED0B9" w14:textId="414B4E05"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$86.51</w:t>
            </w:r>
          </w:p>
        </w:tc>
      </w:tr>
      <w:tr w:rsidR="00AA749B" w:rsidRPr="00EE5714" w14:paraId="5747ACB0" w14:textId="77777777" w:rsidTr="362F9E90">
        <w:trPr>
          <w:trHeight w:val="300"/>
        </w:trPr>
        <w:tc>
          <w:tcPr>
            <w:tcW w:w="1530"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2A89A5D8" w14:textId="77777777"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7DAC2782" w14:textId="2867BD68"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$123.43</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50749079" w14:textId="7FB8BFE3"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$130.49</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22D761AD" w14:textId="240EFB01"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$117.81</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3BCAFD05" w14:textId="7F6440A1"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$91.47</w:t>
            </w:r>
          </w:p>
        </w:tc>
        <w:tc>
          <w:tcPr>
            <w:tcW w:w="927" w:type="dxa"/>
            <w:tcBorders>
              <w:top w:val="single" w:sz="4" w:space="0" w:color="000000" w:themeColor="text1"/>
              <w:left w:val="nil"/>
              <w:bottom w:val="single" w:sz="4" w:space="0" w:color="000000" w:themeColor="text1"/>
              <w:right w:val="single" w:sz="4" w:space="0" w:color="auto"/>
            </w:tcBorders>
            <w:vAlign w:val="center"/>
          </w:tcPr>
          <w:p w14:paraId="7559741E" w14:textId="44572CAB"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$71.13</w:t>
            </w:r>
          </w:p>
        </w:tc>
        <w:tc>
          <w:tcPr>
            <w:tcW w:w="927" w:type="dxa"/>
            <w:tcBorders>
              <w:top w:val="nil"/>
              <w:left w:val="single" w:sz="4" w:space="0" w:color="auto"/>
              <w:bottom w:val="single" w:sz="4" w:space="0" w:color="000000" w:themeColor="text1"/>
              <w:right w:val="single" w:sz="12" w:space="0" w:color="000000" w:themeColor="text1"/>
            </w:tcBorders>
            <w:shd w:val="clear" w:color="auto" w:fill="auto"/>
            <w:noWrap/>
            <w:vAlign w:val="center"/>
          </w:tcPr>
          <w:p w14:paraId="03C891CC" w14:textId="20078F22" w:rsidR="00AA749B"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$73.01</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408DEBFE" w14:textId="02C7CE9A"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$81.05</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1FA3418C" w14:textId="2CF8BA40"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$83.64</w:t>
            </w:r>
          </w:p>
        </w:tc>
        <w:tc>
          <w:tcPr>
            <w:tcW w:w="954" w:type="dxa"/>
            <w:tcBorders>
              <w:top w:val="nil"/>
              <w:left w:val="nil"/>
              <w:bottom w:val="single" w:sz="4" w:space="0" w:color="000000" w:themeColor="text1"/>
              <w:right w:val="single" w:sz="4" w:space="0" w:color="000000" w:themeColor="text1"/>
            </w:tcBorders>
            <w:shd w:val="clear" w:color="auto" w:fill="auto"/>
            <w:noWrap/>
            <w:vAlign w:val="center"/>
          </w:tcPr>
          <w:p w14:paraId="55165C45" w14:textId="7912EF24"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$83.64</w:t>
            </w:r>
          </w:p>
        </w:tc>
        <w:tc>
          <w:tcPr>
            <w:tcW w:w="900" w:type="dxa"/>
            <w:tcBorders>
              <w:top w:val="nil"/>
              <w:left w:val="nil"/>
              <w:bottom w:val="single" w:sz="4" w:space="0" w:color="000000" w:themeColor="text1"/>
              <w:right w:val="single" w:sz="12" w:space="0" w:color="000000" w:themeColor="text1"/>
            </w:tcBorders>
            <w:shd w:val="clear" w:color="auto" w:fill="auto"/>
            <w:noWrap/>
            <w:vAlign w:val="center"/>
          </w:tcPr>
          <w:p w14:paraId="55DE96AF" w14:textId="08B0017D"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$77.86</w:t>
            </w:r>
          </w:p>
        </w:tc>
      </w:tr>
      <w:tr w:rsidR="00AA749B" w:rsidRPr="00EE5714" w14:paraId="6A342A32" w14:textId="77777777" w:rsidTr="362F9E90">
        <w:trPr>
          <w:trHeight w:val="300"/>
        </w:trPr>
        <w:tc>
          <w:tcPr>
            <w:tcW w:w="1530"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73B8B21A" w14:textId="77777777"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0F958B4E" w14:textId="046E62CC"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$130.28</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770DEC8D" w14:textId="7A9D4C00"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$137.74</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6C38C66B" w14:textId="7716EC76"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$124.36</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5920F7F9" w14:textId="015C8677"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$96.55</w:t>
            </w:r>
          </w:p>
        </w:tc>
        <w:tc>
          <w:tcPr>
            <w:tcW w:w="927" w:type="dxa"/>
            <w:tcBorders>
              <w:top w:val="single" w:sz="4" w:space="0" w:color="000000" w:themeColor="text1"/>
              <w:left w:val="nil"/>
              <w:bottom w:val="single" w:sz="4" w:space="0" w:color="000000" w:themeColor="text1"/>
              <w:right w:val="single" w:sz="4" w:space="0" w:color="auto"/>
            </w:tcBorders>
            <w:vAlign w:val="center"/>
          </w:tcPr>
          <w:p w14:paraId="60D5E418" w14:textId="5A3E95B1"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$75.08</w:t>
            </w:r>
          </w:p>
        </w:tc>
        <w:tc>
          <w:tcPr>
            <w:tcW w:w="927" w:type="dxa"/>
            <w:tcBorders>
              <w:top w:val="nil"/>
              <w:left w:val="single" w:sz="4" w:space="0" w:color="auto"/>
              <w:bottom w:val="single" w:sz="4" w:space="0" w:color="000000" w:themeColor="text1"/>
              <w:right w:val="single" w:sz="12" w:space="0" w:color="000000" w:themeColor="text1"/>
            </w:tcBorders>
            <w:shd w:val="clear" w:color="auto" w:fill="auto"/>
            <w:noWrap/>
            <w:vAlign w:val="center"/>
          </w:tcPr>
          <w:p w14:paraId="089C685B" w14:textId="3BB7E090" w:rsidR="00AA749B"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$77.06</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735C134B" w14:textId="21CD35C9"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$85.56</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2E5D12D7" w14:textId="6D1EFE04"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$88.28</w:t>
            </w:r>
          </w:p>
        </w:tc>
        <w:tc>
          <w:tcPr>
            <w:tcW w:w="954" w:type="dxa"/>
            <w:tcBorders>
              <w:top w:val="nil"/>
              <w:left w:val="nil"/>
              <w:bottom w:val="single" w:sz="4" w:space="0" w:color="000000" w:themeColor="text1"/>
              <w:right w:val="single" w:sz="4" w:space="0" w:color="000000" w:themeColor="text1"/>
            </w:tcBorders>
            <w:shd w:val="clear" w:color="auto" w:fill="auto"/>
            <w:noWrap/>
            <w:vAlign w:val="center"/>
          </w:tcPr>
          <w:p w14:paraId="43A89FD7" w14:textId="052F1BC7"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$88.28</w:t>
            </w:r>
          </w:p>
        </w:tc>
        <w:tc>
          <w:tcPr>
            <w:tcW w:w="900" w:type="dxa"/>
            <w:tcBorders>
              <w:top w:val="nil"/>
              <w:left w:val="nil"/>
              <w:bottom w:val="single" w:sz="4" w:space="0" w:color="000000" w:themeColor="text1"/>
              <w:right w:val="single" w:sz="12" w:space="0" w:color="000000" w:themeColor="text1"/>
            </w:tcBorders>
            <w:shd w:val="clear" w:color="auto" w:fill="auto"/>
            <w:noWrap/>
            <w:vAlign w:val="center"/>
          </w:tcPr>
          <w:p w14:paraId="3708DDDD" w14:textId="49036731"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$82.18</w:t>
            </w:r>
          </w:p>
        </w:tc>
      </w:tr>
      <w:tr w:rsidR="00AA749B" w:rsidRPr="00EE5714" w14:paraId="059BE780" w14:textId="77777777" w:rsidTr="362F9E90">
        <w:trPr>
          <w:trHeight w:val="300"/>
        </w:trPr>
        <w:tc>
          <w:tcPr>
            <w:tcW w:w="1530"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6E43A1DE" w14:textId="77777777"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themeColor="text1"/>
              <w:bottom w:val="single" w:sz="8" w:space="0" w:color="000000" w:themeColor="text1"/>
              <w:right w:val="single" w:sz="4" w:space="0" w:color="000000" w:themeColor="text1"/>
            </w:tcBorders>
            <w:shd w:val="clear" w:color="auto" w:fill="auto"/>
            <w:noWrap/>
            <w:vAlign w:val="center"/>
          </w:tcPr>
          <w:p w14:paraId="33A5BC75" w14:textId="0A3FD9B4"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$135.77</w:t>
            </w:r>
          </w:p>
        </w:tc>
        <w:tc>
          <w:tcPr>
            <w:tcW w:w="927" w:type="dxa"/>
            <w:tcBorders>
              <w:top w:val="nil"/>
              <w:left w:val="nil"/>
              <w:bottom w:val="single" w:sz="8" w:space="0" w:color="000000" w:themeColor="text1"/>
              <w:right w:val="single" w:sz="4" w:space="0" w:color="000000" w:themeColor="text1"/>
            </w:tcBorders>
            <w:shd w:val="clear" w:color="auto" w:fill="auto"/>
            <w:noWrap/>
            <w:vAlign w:val="center"/>
          </w:tcPr>
          <w:p w14:paraId="783BA340" w14:textId="720E77F9"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$143.54</w:t>
            </w:r>
          </w:p>
        </w:tc>
        <w:tc>
          <w:tcPr>
            <w:tcW w:w="927" w:type="dxa"/>
            <w:tcBorders>
              <w:top w:val="nil"/>
              <w:left w:val="nil"/>
              <w:bottom w:val="single" w:sz="8" w:space="0" w:color="000000" w:themeColor="text1"/>
              <w:right w:val="single" w:sz="4" w:space="0" w:color="000000" w:themeColor="text1"/>
            </w:tcBorders>
            <w:shd w:val="clear" w:color="auto" w:fill="auto"/>
            <w:noWrap/>
            <w:vAlign w:val="center"/>
          </w:tcPr>
          <w:p w14:paraId="22F2CAC8" w14:textId="77AEEDB5"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$129.59</w:t>
            </w:r>
          </w:p>
        </w:tc>
        <w:tc>
          <w:tcPr>
            <w:tcW w:w="927" w:type="dxa"/>
            <w:tcBorders>
              <w:top w:val="nil"/>
              <w:left w:val="nil"/>
              <w:bottom w:val="single" w:sz="8" w:space="0" w:color="000000" w:themeColor="text1"/>
              <w:right w:val="single" w:sz="4" w:space="0" w:color="000000" w:themeColor="text1"/>
            </w:tcBorders>
            <w:shd w:val="clear" w:color="auto" w:fill="auto"/>
            <w:noWrap/>
            <w:vAlign w:val="center"/>
          </w:tcPr>
          <w:p w14:paraId="575A304C" w14:textId="5E5F38C9"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$100.61</w:t>
            </w:r>
          </w:p>
        </w:tc>
        <w:tc>
          <w:tcPr>
            <w:tcW w:w="927" w:type="dxa"/>
            <w:tcBorders>
              <w:top w:val="single" w:sz="4" w:space="0" w:color="000000" w:themeColor="text1"/>
              <w:left w:val="nil"/>
              <w:bottom w:val="single" w:sz="8" w:space="0" w:color="000000" w:themeColor="text1"/>
              <w:right w:val="single" w:sz="4" w:space="0" w:color="auto"/>
            </w:tcBorders>
            <w:vAlign w:val="center"/>
          </w:tcPr>
          <w:p w14:paraId="39FBC50D" w14:textId="0A35DCC2"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$78.24</w:t>
            </w:r>
          </w:p>
        </w:tc>
        <w:tc>
          <w:tcPr>
            <w:tcW w:w="927" w:type="dxa"/>
            <w:tcBorders>
              <w:top w:val="nil"/>
              <w:left w:val="single" w:sz="4" w:space="0" w:color="auto"/>
              <w:bottom w:val="single" w:sz="8" w:space="0" w:color="000000" w:themeColor="text1"/>
              <w:right w:val="single" w:sz="12" w:space="0" w:color="000000" w:themeColor="text1"/>
            </w:tcBorders>
            <w:shd w:val="clear" w:color="auto" w:fill="auto"/>
            <w:noWrap/>
            <w:vAlign w:val="center"/>
          </w:tcPr>
          <w:p w14:paraId="0AC35DB7" w14:textId="20CC706F" w:rsidR="00AA749B"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$80.31</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03EEEEBB" w14:textId="226C3AC0"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$89.16</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004926B9" w14:textId="569CEE15"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$92.00</w:t>
            </w:r>
          </w:p>
        </w:tc>
        <w:tc>
          <w:tcPr>
            <w:tcW w:w="954" w:type="dxa"/>
            <w:tcBorders>
              <w:top w:val="nil"/>
              <w:left w:val="nil"/>
              <w:bottom w:val="single" w:sz="4" w:space="0" w:color="000000" w:themeColor="text1"/>
              <w:right w:val="single" w:sz="4" w:space="0" w:color="000000" w:themeColor="text1"/>
            </w:tcBorders>
            <w:shd w:val="clear" w:color="auto" w:fill="auto"/>
            <w:noWrap/>
            <w:vAlign w:val="center"/>
          </w:tcPr>
          <w:p w14:paraId="115F2FD2" w14:textId="4280E28E"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$92.00</w:t>
            </w:r>
          </w:p>
        </w:tc>
        <w:tc>
          <w:tcPr>
            <w:tcW w:w="900" w:type="dxa"/>
            <w:tcBorders>
              <w:top w:val="nil"/>
              <w:left w:val="nil"/>
              <w:bottom w:val="single" w:sz="4" w:space="0" w:color="000000" w:themeColor="text1"/>
              <w:right w:val="single" w:sz="12" w:space="0" w:color="000000" w:themeColor="text1"/>
            </w:tcBorders>
            <w:shd w:val="clear" w:color="auto" w:fill="auto"/>
            <w:noWrap/>
            <w:vAlign w:val="center"/>
          </w:tcPr>
          <w:p w14:paraId="0BBA5001" w14:textId="019D2B7C" w:rsidR="00AA749B" w:rsidRPr="00EE5714" w:rsidRDefault="00AA749B" w:rsidP="00AA749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$85.64</w:t>
            </w:r>
          </w:p>
        </w:tc>
      </w:tr>
      <w:tr w:rsidR="007B40E0" w:rsidRPr="00EE5714" w14:paraId="1AA544B2" w14:textId="77777777" w:rsidTr="362F9E90">
        <w:trPr>
          <w:trHeight w:val="300"/>
        </w:trPr>
        <w:tc>
          <w:tcPr>
            <w:tcW w:w="1530" w:type="dxa"/>
            <w:tcBorders>
              <w:top w:val="nil"/>
              <w:left w:val="single" w:sz="8" w:space="0" w:color="000000" w:themeColor="text1"/>
              <w:bottom w:val="single" w:sz="4" w:space="0" w:color="000000" w:themeColor="text1"/>
              <w:right w:val="single" w:sz="12" w:space="0" w:color="000000" w:themeColor="text1"/>
            </w:tcBorders>
            <w:shd w:val="clear" w:color="auto" w:fill="F2F2F2" w:themeFill="background1" w:themeFillShade="F2"/>
            <w:noWrap/>
            <w:vAlign w:val="bottom"/>
            <w:hideMark/>
          </w:tcPr>
          <w:p w14:paraId="490CDAD2" w14:textId="77777777" w:rsidR="007B40E0" w:rsidRPr="00EE5714" w:rsidRDefault="007B40E0"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themeColor="text1"/>
              <w:left w:val="single" w:sz="12" w:space="0" w:color="000000" w:themeColor="text1"/>
              <w:bottom w:val="single" w:sz="8" w:space="0" w:color="000000" w:themeColor="text1"/>
            </w:tcBorders>
            <w:shd w:val="clear" w:color="auto" w:fill="F2F2F2" w:themeFill="background1" w:themeFillShade="F2"/>
          </w:tcPr>
          <w:p w14:paraId="0D33749A"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themeColor="text1"/>
              <w:bottom w:val="single" w:sz="8" w:space="0" w:color="000000" w:themeColor="text1"/>
              <w:right w:val="single" w:sz="12" w:space="0" w:color="000000" w:themeColor="text1"/>
            </w:tcBorders>
            <w:shd w:val="clear" w:color="auto" w:fill="F2F2F2" w:themeFill="background1" w:themeFillShade="F2"/>
            <w:noWrap/>
            <w:vAlign w:val="center"/>
          </w:tcPr>
          <w:p w14:paraId="0A0CFA7C"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3708" w:type="dxa"/>
            <w:gridSpan w:val="4"/>
            <w:tcBorders>
              <w:top w:val="nil"/>
              <w:left w:val="single" w:sz="12" w:space="0" w:color="000000" w:themeColor="text1"/>
              <w:bottom w:val="single" w:sz="4" w:space="0" w:color="000000" w:themeColor="text1"/>
              <w:right w:val="single" w:sz="12" w:space="0" w:color="000000" w:themeColor="text1"/>
            </w:tcBorders>
            <w:shd w:val="clear" w:color="auto" w:fill="F2F2F2" w:themeFill="background1" w:themeFillShade="F2"/>
            <w:vAlign w:val="center"/>
          </w:tcPr>
          <w:p w14:paraId="2EF225EA"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r>
      <w:tr w:rsidR="0054262B" w:rsidRPr="00EE5714" w14:paraId="73459882" w14:textId="77777777" w:rsidTr="362F9E90">
        <w:trPr>
          <w:trHeight w:val="300"/>
        </w:trPr>
        <w:tc>
          <w:tcPr>
            <w:tcW w:w="1530"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51492D77" w14:textId="77777777"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themeColor="text1"/>
              <w:left w:val="single" w:sz="12" w:space="0" w:color="000000" w:themeColor="text1"/>
              <w:bottom w:val="single" w:sz="4" w:space="0" w:color="000000" w:themeColor="text1"/>
              <w:right w:val="single" w:sz="4" w:space="0" w:color="000000" w:themeColor="text1"/>
            </w:tcBorders>
            <w:shd w:val="clear" w:color="auto" w:fill="auto"/>
            <w:noWrap/>
            <w:vAlign w:val="center"/>
          </w:tcPr>
          <w:p w14:paraId="7F620F09" w14:textId="15312894"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$138.51</w:t>
            </w:r>
          </w:p>
        </w:tc>
        <w:tc>
          <w:tcPr>
            <w:tcW w:w="927"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6FE7C02E" w14:textId="6A877E59"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$146.44</w:t>
            </w:r>
          </w:p>
        </w:tc>
        <w:tc>
          <w:tcPr>
            <w:tcW w:w="927"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28C4A4EA" w14:textId="08B69E47"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$132.21</w:t>
            </w:r>
          </w:p>
        </w:tc>
        <w:tc>
          <w:tcPr>
            <w:tcW w:w="927"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1AF776C2" w14:textId="73506B15"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$102.65</w:t>
            </w:r>
          </w:p>
        </w:tc>
        <w:tc>
          <w:tcPr>
            <w:tcW w:w="927" w:type="dxa"/>
            <w:tcBorders>
              <w:top w:val="single" w:sz="8" w:space="0" w:color="000000" w:themeColor="text1"/>
              <w:left w:val="nil"/>
              <w:bottom w:val="single" w:sz="4" w:space="0" w:color="000000" w:themeColor="text1"/>
              <w:right w:val="single" w:sz="4" w:space="0" w:color="auto"/>
            </w:tcBorders>
            <w:vAlign w:val="center"/>
          </w:tcPr>
          <w:p w14:paraId="2293AA79" w14:textId="13EA6E49"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$79.82</w:t>
            </w:r>
          </w:p>
        </w:tc>
        <w:tc>
          <w:tcPr>
            <w:tcW w:w="927" w:type="dxa"/>
            <w:tcBorders>
              <w:top w:val="single" w:sz="8" w:space="0" w:color="000000" w:themeColor="text1"/>
              <w:left w:val="single" w:sz="4" w:space="0" w:color="auto"/>
              <w:bottom w:val="single" w:sz="4" w:space="0" w:color="000000" w:themeColor="text1"/>
              <w:right w:val="single" w:sz="12" w:space="0" w:color="000000" w:themeColor="text1"/>
            </w:tcBorders>
            <w:shd w:val="clear" w:color="auto" w:fill="auto"/>
            <w:noWrap/>
            <w:vAlign w:val="center"/>
          </w:tcPr>
          <w:p w14:paraId="15FFAE10" w14:textId="3331333A" w:rsidR="0054262B"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$81.93</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0CC567F1" w14:textId="4F10F911"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$90.96</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0C315103" w14:textId="1E9E1B59"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$93.86</w:t>
            </w:r>
          </w:p>
        </w:tc>
        <w:tc>
          <w:tcPr>
            <w:tcW w:w="954" w:type="dxa"/>
            <w:tcBorders>
              <w:top w:val="nil"/>
              <w:left w:val="nil"/>
              <w:bottom w:val="single" w:sz="4" w:space="0" w:color="000000" w:themeColor="text1"/>
              <w:right w:val="single" w:sz="4" w:space="0" w:color="000000" w:themeColor="text1"/>
            </w:tcBorders>
            <w:shd w:val="clear" w:color="auto" w:fill="auto"/>
            <w:noWrap/>
            <w:vAlign w:val="center"/>
          </w:tcPr>
          <w:p w14:paraId="5AFD8601" w14:textId="3C7632F0"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$93.86</w:t>
            </w:r>
          </w:p>
        </w:tc>
        <w:tc>
          <w:tcPr>
            <w:tcW w:w="900" w:type="dxa"/>
            <w:tcBorders>
              <w:top w:val="nil"/>
              <w:left w:val="nil"/>
              <w:bottom w:val="single" w:sz="4" w:space="0" w:color="000000" w:themeColor="text1"/>
              <w:right w:val="single" w:sz="12" w:space="0" w:color="000000" w:themeColor="text1"/>
            </w:tcBorders>
            <w:shd w:val="clear" w:color="auto" w:fill="auto"/>
            <w:noWrap/>
            <w:vAlign w:val="center"/>
          </w:tcPr>
          <w:p w14:paraId="4B0AAAC1" w14:textId="434ADB71"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$87.38</w:t>
            </w:r>
          </w:p>
        </w:tc>
      </w:tr>
      <w:tr w:rsidR="0054262B" w:rsidRPr="00EE5714" w14:paraId="270DF5D6" w14:textId="77777777" w:rsidTr="362F9E90">
        <w:trPr>
          <w:trHeight w:val="300"/>
        </w:trPr>
        <w:tc>
          <w:tcPr>
            <w:tcW w:w="1530"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4FF8B0BB" w14:textId="77777777"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12A0D95E" w14:textId="3C27E9FC"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$144.00</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3FBFA00C" w14:textId="065EC1B7"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$152.24</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356BCF57" w14:textId="5F1F2D3F"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$137.45</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03FE146D" w14:textId="0A3B4DDD"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$106.71</w:t>
            </w:r>
          </w:p>
        </w:tc>
        <w:tc>
          <w:tcPr>
            <w:tcW w:w="927" w:type="dxa"/>
            <w:tcBorders>
              <w:top w:val="single" w:sz="4" w:space="0" w:color="000000" w:themeColor="text1"/>
              <w:left w:val="nil"/>
              <w:bottom w:val="single" w:sz="4" w:space="0" w:color="000000" w:themeColor="text1"/>
              <w:right w:val="single" w:sz="4" w:space="0" w:color="auto"/>
            </w:tcBorders>
            <w:vAlign w:val="center"/>
          </w:tcPr>
          <w:p w14:paraId="45624894" w14:textId="0BAAA79A"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$82.98</w:t>
            </w:r>
          </w:p>
        </w:tc>
        <w:tc>
          <w:tcPr>
            <w:tcW w:w="927" w:type="dxa"/>
            <w:tcBorders>
              <w:top w:val="nil"/>
              <w:left w:val="single" w:sz="4" w:space="0" w:color="auto"/>
              <w:bottom w:val="single" w:sz="4" w:space="0" w:color="000000" w:themeColor="text1"/>
              <w:right w:val="single" w:sz="12" w:space="0" w:color="000000" w:themeColor="text1"/>
            </w:tcBorders>
            <w:shd w:val="clear" w:color="auto" w:fill="auto"/>
            <w:noWrap/>
            <w:vAlign w:val="center"/>
          </w:tcPr>
          <w:p w14:paraId="66872B55" w14:textId="2EE77114" w:rsidR="0054262B"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$85.18</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6A96465A" w14:textId="061C32CD"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$94.56</w:t>
            </w:r>
          </w:p>
        </w:tc>
        <w:tc>
          <w:tcPr>
            <w:tcW w:w="927" w:type="dxa"/>
            <w:tcBorders>
              <w:top w:val="nil"/>
              <w:left w:val="nil"/>
              <w:bottom w:val="single" w:sz="4" w:space="0" w:color="000000" w:themeColor="text1"/>
              <w:right w:val="single" w:sz="4" w:space="0" w:color="000000" w:themeColor="text1"/>
            </w:tcBorders>
            <w:shd w:val="clear" w:color="auto" w:fill="auto"/>
            <w:noWrap/>
            <w:vAlign w:val="center"/>
          </w:tcPr>
          <w:p w14:paraId="2215C8CF" w14:textId="29BBA071"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$97.58</w:t>
            </w:r>
          </w:p>
        </w:tc>
        <w:tc>
          <w:tcPr>
            <w:tcW w:w="954" w:type="dxa"/>
            <w:tcBorders>
              <w:top w:val="nil"/>
              <w:left w:val="nil"/>
              <w:bottom w:val="single" w:sz="4" w:space="0" w:color="000000" w:themeColor="text1"/>
              <w:right w:val="single" w:sz="4" w:space="0" w:color="000000" w:themeColor="text1"/>
            </w:tcBorders>
            <w:shd w:val="clear" w:color="auto" w:fill="auto"/>
            <w:noWrap/>
            <w:vAlign w:val="center"/>
          </w:tcPr>
          <w:p w14:paraId="38C56612" w14:textId="0B0ABEC8"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$97.58</w:t>
            </w:r>
          </w:p>
        </w:tc>
        <w:tc>
          <w:tcPr>
            <w:tcW w:w="900" w:type="dxa"/>
            <w:tcBorders>
              <w:top w:val="nil"/>
              <w:left w:val="nil"/>
              <w:bottom w:val="single" w:sz="4" w:space="0" w:color="000000" w:themeColor="text1"/>
              <w:right w:val="single" w:sz="12" w:space="0" w:color="000000" w:themeColor="text1"/>
            </w:tcBorders>
            <w:shd w:val="clear" w:color="auto" w:fill="auto"/>
            <w:noWrap/>
            <w:vAlign w:val="center"/>
          </w:tcPr>
          <w:p w14:paraId="07E99536" w14:textId="5E06246E" w:rsidR="0054262B" w:rsidRPr="00EE5714" w:rsidRDefault="0054262B" w:rsidP="0054262B">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$90.84</w:t>
            </w:r>
          </w:p>
        </w:tc>
      </w:tr>
      <w:tr w:rsidR="0054262B" w:rsidRPr="00EE5714" w14:paraId="5DD37F7C" w14:textId="77777777" w:rsidTr="362F9E90">
        <w:trPr>
          <w:trHeight w:val="315"/>
        </w:trPr>
        <w:tc>
          <w:tcPr>
            <w:tcW w:w="1530" w:type="dxa"/>
            <w:tcBorders>
              <w:top w:val="nil"/>
              <w:left w:val="single" w:sz="8" w:space="0" w:color="000000" w:themeColor="text1"/>
              <w:bottom w:val="single" w:sz="8" w:space="0" w:color="000000" w:themeColor="text1"/>
              <w:right w:val="single" w:sz="12" w:space="0" w:color="000000" w:themeColor="text1"/>
            </w:tcBorders>
            <w:shd w:val="clear" w:color="auto" w:fill="auto"/>
            <w:noWrap/>
            <w:vAlign w:val="bottom"/>
            <w:hideMark/>
          </w:tcPr>
          <w:p w14:paraId="5D9CD594" w14:textId="77777777" w:rsidR="0054262B" w:rsidRPr="00EE5714" w:rsidRDefault="0054262B" w:rsidP="0054262B">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themeColor="text1"/>
              <w:bottom w:val="single" w:sz="12" w:space="0" w:color="000000" w:themeColor="text1"/>
              <w:right w:val="single" w:sz="4" w:space="0" w:color="000000" w:themeColor="text1"/>
            </w:tcBorders>
            <w:shd w:val="clear" w:color="auto" w:fill="auto"/>
            <w:noWrap/>
            <w:vAlign w:val="center"/>
          </w:tcPr>
          <w:p w14:paraId="64BA6980" w14:textId="0564711E" w:rsidR="0054262B" w:rsidRPr="00EE5714" w:rsidRDefault="0054262B" w:rsidP="0054262B">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$150.85</w:t>
            </w:r>
          </w:p>
        </w:tc>
        <w:tc>
          <w:tcPr>
            <w:tcW w:w="927" w:type="dxa"/>
            <w:tcBorders>
              <w:top w:val="nil"/>
              <w:left w:val="nil"/>
              <w:bottom w:val="single" w:sz="12" w:space="0" w:color="000000" w:themeColor="text1"/>
              <w:right w:val="single" w:sz="4" w:space="0" w:color="000000" w:themeColor="text1"/>
            </w:tcBorders>
            <w:shd w:val="clear" w:color="auto" w:fill="auto"/>
            <w:noWrap/>
            <w:vAlign w:val="center"/>
          </w:tcPr>
          <w:p w14:paraId="5E6E526D" w14:textId="30E4CDFA" w:rsidR="0054262B" w:rsidRPr="00EE5714" w:rsidRDefault="0054262B" w:rsidP="0054262B">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$159.49</w:t>
            </w:r>
          </w:p>
        </w:tc>
        <w:tc>
          <w:tcPr>
            <w:tcW w:w="927" w:type="dxa"/>
            <w:tcBorders>
              <w:top w:val="nil"/>
              <w:left w:val="nil"/>
              <w:bottom w:val="single" w:sz="12" w:space="0" w:color="000000" w:themeColor="text1"/>
              <w:right w:val="single" w:sz="4" w:space="0" w:color="000000" w:themeColor="text1"/>
            </w:tcBorders>
            <w:shd w:val="clear" w:color="auto" w:fill="auto"/>
            <w:noWrap/>
            <w:vAlign w:val="center"/>
          </w:tcPr>
          <w:p w14:paraId="495D1443" w14:textId="3684A77B" w:rsidR="0054262B" w:rsidRPr="00EE5714" w:rsidRDefault="0054262B" w:rsidP="0054262B">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$143.99</w:t>
            </w:r>
          </w:p>
        </w:tc>
        <w:tc>
          <w:tcPr>
            <w:tcW w:w="927" w:type="dxa"/>
            <w:tcBorders>
              <w:top w:val="nil"/>
              <w:left w:val="nil"/>
              <w:bottom w:val="single" w:sz="12" w:space="0" w:color="000000" w:themeColor="text1"/>
              <w:right w:val="single" w:sz="4" w:space="0" w:color="000000" w:themeColor="text1"/>
            </w:tcBorders>
            <w:shd w:val="clear" w:color="auto" w:fill="auto"/>
            <w:noWrap/>
            <w:vAlign w:val="center"/>
          </w:tcPr>
          <w:p w14:paraId="12DF2110" w14:textId="6FB477F4" w:rsidR="0054262B" w:rsidRPr="00EE5714" w:rsidRDefault="0054262B" w:rsidP="0054262B">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$111.79</w:t>
            </w:r>
          </w:p>
        </w:tc>
        <w:tc>
          <w:tcPr>
            <w:tcW w:w="927" w:type="dxa"/>
            <w:tcBorders>
              <w:top w:val="single" w:sz="4" w:space="0" w:color="000000" w:themeColor="text1"/>
              <w:left w:val="nil"/>
              <w:bottom w:val="single" w:sz="12" w:space="0" w:color="000000" w:themeColor="text1"/>
              <w:right w:val="single" w:sz="4" w:space="0" w:color="auto"/>
            </w:tcBorders>
            <w:vAlign w:val="center"/>
          </w:tcPr>
          <w:p w14:paraId="15042AAC" w14:textId="0FEFFCAB" w:rsidR="0054262B" w:rsidRPr="00EE5714" w:rsidRDefault="0054262B" w:rsidP="0054262B">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$86.93</w:t>
            </w:r>
          </w:p>
        </w:tc>
        <w:tc>
          <w:tcPr>
            <w:tcW w:w="927" w:type="dxa"/>
            <w:tcBorders>
              <w:top w:val="nil"/>
              <w:left w:val="single" w:sz="4" w:space="0" w:color="auto"/>
              <w:bottom w:val="single" w:sz="12" w:space="0" w:color="000000" w:themeColor="text1"/>
              <w:right w:val="single" w:sz="12" w:space="0" w:color="000000" w:themeColor="text1"/>
            </w:tcBorders>
            <w:shd w:val="clear" w:color="auto" w:fill="auto"/>
            <w:noWrap/>
            <w:vAlign w:val="center"/>
          </w:tcPr>
          <w:p w14:paraId="5BE5C360" w14:textId="043E4D08" w:rsidR="0054262B"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$89.23</w:t>
            </w:r>
          </w:p>
        </w:tc>
        <w:tc>
          <w:tcPr>
            <w:tcW w:w="927" w:type="dxa"/>
            <w:tcBorders>
              <w:top w:val="nil"/>
              <w:left w:val="nil"/>
              <w:bottom w:val="single" w:sz="12" w:space="0" w:color="000000" w:themeColor="text1"/>
              <w:right w:val="single" w:sz="4" w:space="0" w:color="000000" w:themeColor="text1"/>
            </w:tcBorders>
            <w:shd w:val="clear" w:color="auto" w:fill="auto"/>
            <w:noWrap/>
            <w:vAlign w:val="center"/>
          </w:tcPr>
          <w:p w14:paraId="1885313D" w14:textId="5975BF76" w:rsidR="0054262B" w:rsidRPr="00EE5714" w:rsidRDefault="0054262B" w:rsidP="0054262B">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$99.07</w:t>
            </w:r>
          </w:p>
        </w:tc>
        <w:tc>
          <w:tcPr>
            <w:tcW w:w="927" w:type="dxa"/>
            <w:tcBorders>
              <w:top w:val="nil"/>
              <w:left w:val="nil"/>
              <w:bottom w:val="single" w:sz="12" w:space="0" w:color="000000" w:themeColor="text1"/>
              <w:right w:val="single" w:sz="4" w:space="0" w:color="000000" w:themeColor="text1"/>
            </w:tcBorders>
            <w:shd w:val="clear" w:color="auto" w:fill="auto"/>
            <w:noWrap/>
            <w:vAlign w:val="center"/>
          </w:tcPr>
          <w:p w14:paraId="48BEB233" w14:textId="2CBF8695" w:rsidR="0054262B" w:rsidRPr="00EE5714" w:rsidRDefault="0054262B" w:rsidP="0054262B">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$102.22</w:t>
            </w:r>
          </w:p>
        </w:tc>
        <w:tc>
          <w:tcPr>
            <w:tcW w:w="954" w:type="dxa"/>
            <w:tcBorders>
              <w:top w:val="nil"/>
              <w:left w:val="nil"/>
              <w:bottom w:val="single" w:sz="12" w:space="0" w:color="000000" w:themeColor="text1"/>
              <w:right w:val="single" w:sz="4" w:space="0" w:color="000000" w:themeColor="text1"/>
            </w:tcBorders>
            <w:shd w:val="clear" w:color="auto" w:fill="auto"/>
            <w:noWrap/>
            <w:vAlign w:val="center"/>
          </w:tcPr>
          <w:p w14:paraId="56C71B7A" w14:textId="2EE4CE13" w:rsidR="0054262B" w:rsidRPr="00EE5714" w:rsidRDefault="0054262B" w:rsidP="0054262B">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$102.22</w:t>
            </w:r>
          </w:p>
        </w:tc>
        <w:tc>
          <w:tcPr>
            <w:tcW w:w="900" w:type="dxa"/>
            <w:tcBorders>
              <w:top w:val="nil"/>
              <w:left w:val="nil"/>
              <w:bottom w:val="single" w:sz="12" w:space="0" w:color="000000" w:themeColor="text1"/>
              <w:right w:val="single" w:sz="12" w:space="0" w:color="000000" w:themeColor="text1"/>
            </w:tcBorders>
            <w:shd w:val="clear" w:color="auto" w:fill="auto"/>
            <w:noWrap/>
            <w:vAlign w:val="center"/>
          </w:tcPr>
          <w:p w14:paraId="2F760611" w14:textId="3013C017" w:rsidR="0054262B" w:rsidRPr="00EE5714" w:rsidRDefault="0054262B" w:rsidP="0054262B">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$95.16</w:t>
            </w:r>
          </w:p>
        </w:tc>
      </w:tr>
    </w:tbl>
    <w:p w14:paraId="50FA2F06" w14:textId="77777777" w:rsidR="00071E2B" w:rsidRPr="00071E2B" w:rsidRDefault="00071E2B" w:rsidP="00071E2B">
      <w:pPr>
        <w:pStyle w:val="NoSpacing"/>
        <w:rPr>
          <w:rFonts w:cs="Times New Roman"/>
          <w:szCs w:val="26"/>
        </w:rPr>
      </w:pPr>
    </w:p>
    <w:p w14:paraId="2B9CD203" w14:textId="77777777" w:rsidR="00570EAE" w:rsidRPr="00EE5714" w:rsidRDefault="00570EAE" w:rsidP="007D7A46">
      <w:pPr>
        <w:pStyle w:val="NoSpacing"/>
        <w:rPr>
          <w:rFonts w:cs="Times New Roman"/>
          <w:szCs w:val="26"/>
        </w:rPr>
      </w:pPr>
    </w:p>
    <w:p w14:paraId="28EAE2D5" w14:textId="6F441D21" w:rsidR="00F303E0" w:rsidRPr="00EE5714" w:rsidRDefault="00F734A0" w:rsidP="007D7A46">
      <w:pPr>
        <w:pStyle w:val="NoSpacing"/>
        <w:keepNext/>
        <w:keepLines/>
        <w:rPr>
          <w:rFonts w:cs="Times New Roman"/>
          <w:szCs w:val="26"/>
        </w:rPr>
      </w:pPr>
      <w:r w:rsidRPr="00EE5714">
        <w:rPr>
          <w:rFonts w:cs="Times New Roman"/>
          <w:szCs w:val="26"/>
        </w:rPr>
        <w:lastRenderedPageBreak/>
        <w:t>Appendix 9</w:t>
      </w:r>
      <w:r w:rsidR="00F303E0" w:rsidRPr="00EE5714">
        <w:rPr>
          <w:rFonts w:cs="Times New Roman"/>
          <w:szCs w:val="26"/>
        </w:rPr>
        <w:t>.</w:t>
      </w:r>
      <w:r w:rsidR="00521C79" w:rsidRPr="00EE5714">
        <w:rPr>
          <w:rFonts w:cs="Times New Roman"/>
          <w:szCs w:val="26"/>
        </w:rPr>
        <w:t>E</w:t>
      </w:r>
      <w:r w:rsidR="00F303E0" w:rsidRPr="00EE5714">
        <w:rPr>
          <w:rFonts w:cs="Times New Roman"/>
          <w:szCs w:val="26"/>
        </w:rPr>
        <w:t xml:space="preserve">.7: </w:t>
      </w:r>
      <w:r w:rsidR="00F303E0" w:rsidRPr="00EE5714">
        <w:rPr>
          <w:rFonts w:eastAsia="Times New Roman" w:cs="Times New Roman"/>
          <w:b/>
          <w:color w:val="000000"/>
          <w:szCs w:val="26"/>
        </w:rPr>
        <w:t>Actual Data and Forecasts – UGI Gas</w:t>
      </w:r>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7B40E0" w:rsidRPr="00EE5714" w14:paraId="3C335058" w14:textId="77777777" w:rsidTr="00180883">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15CE9290" w14:textId="77777777" w:rsidR="007B40E0" w:rsidRPr="00EE5714" w:rsidRDefault="007B40E0"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1E90681F"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24F73EDC"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7B40E0" w:rsidRPr="00EE5714" w14:paraId="35B56594"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79E1251" w14:textId="77777777" w:rsidR="007B40E0" w:rsidRPr="00EE5714" w:rsidRDefault="007B40E0"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263178CE"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52F44656"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003B205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775588CB"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276DBB00"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37ABBC67"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5267873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68BC4ED5"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1B291E25"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13761FFA"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0075CE" w:rsidRPr="00EE5714" w14:paraId="4C020771" w14:textId="77777777" w:rsidTr="003F3312">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0B06BB9B" w14:textId="77777777" w:rsidR="000075CE" w:rsidRPr="00EE5714" w:rsidRDefault="000075CE" w:rsidP="000075CE">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1C57DECF" w14:textId="0F25FD32"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$8.56</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720B7932" w14:textId="235B22E4"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$9.93</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3D3576BD" w14:textId="5C80AE8E"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$7.64</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7190900" w14:textId="7A5248FE"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$12.55</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267B24C3" w14:textId="105BCE43"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$7.32</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5D3E058F" w14:textId="32C58131"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$9.25</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2F682C0C" w14:textId="363A0FB2"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$11.32</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A6E8DD1" w14:textId="796D0B7F"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$11.58</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0E437361" w14:textId="41C67C14"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$11.94</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4CAE0BA8" w14:textId="7DAB201F"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$12.79</w:t>
            </w:r>
          </w:p>
        </w:tc>
      </w:tr>
      <w:tr w:rsidR="000075CE" w:rsidRPr="00EE5714" w14:paraId="36D7DEEA"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4E46AF9" w14:textId="7777777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49E87BAB" w14:textId="2708C3AC"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$7.70</w:t>
            </w:r>
          </w:p>
        </w:tc>
        <w:tc>
          <w:tcPr>
            <w:tcW w:w="927" w:type="dxa"/>
            <w:tcBorders>
              <w:top w:val="nil"/>
              <w:left w:val="nil"/>
              <w:bottom w:val="single" w:sz="4" w:space="0" w:color="000000"/>
              <w:right w:val="single" w:sz="4" w:space="0" w:color="000000"/>
            </w:tcBorders>
            <w:shd w:val="clear" w:color="auto" w:fill="auto"/>
            <w:noWrap/>
            <w:vAlign w:val="center"/>
          </w:tcPr>
          <w:p w14:paraId="76DD2536" w14:textId="4CBCB3B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$8.94</w:t>
            </w:r>
          </w:p>
        </w:tc>
        <w:tc>
          <w:tcPr>
            <w:tcW w:w="927" w:type="dxa"/>
            <w:tcBorders>
              <w:top w:val="nil"/>
              <w:left w:val="nil"/>
              <w:bottom w:val="single" w:sz="4" w:space="0" w:color="000000"/>
              <w:right w:val="single" w:sz="4" w:space="0" w:color="000000"/>
            </w:tcBorders>
            <w:shd w:val="clear" w:color="auto" w:fill="auto"/>
            <w:noWrap/>
            <w:vAlign w:val="center"/>
          </w:tcPr>
          <w:p w14:paraId="1CE97D82" w14:textId="1070F456"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$6.88</w:t>
            </w:r>
          </w:p>
        </w:tc>
        <w:tc>
          <w:tcPr>
            <w:tcW w:w="927" w:type="dxa"/>
            <w:tcBorders>
              <w:top w:val="nil"/>
              <w:left w:val="nil"/>
              <w:bottom w:val="single" w:sz="4" w:space="0" w:color="000000"/>
              <w:right w:val="single" w:sz="4" w:space="0" w:color="000000"/>
            </w:tcBorders>
            <w:shd w:val="clear" w:color="auto" w:fill="auto"/>
            <w:noWrap/>
            <w:vAlign w:val="center"/>
          </w:tcPr>
          <w:p w14:paraId="4480A57D" w14:textId="17DEFE4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$11.30</w:t>
            </w:r>
          </w:p>
        </w:tc>
        <w:tc>
          <w:tcPr>
            <w:tcW w:w="927" w:type="dxa"/>
            <w:tcBorders>
              <w:top w:val="single" w:sz="4" w:space="0" w:color="000000"/>
              <w:left w:val="nil"/>
              <w:bottom w:val="single" w:sz="4" w:space="0" w:color="000000"/>
              <w:right w:val="single" w:sz="4" w:space="0" w:color="auto"/>
            </w:tcBorders>
            <w:vAlign w:val="center"/>
          </w:tcPr>
          <w:p w14:paraId="16598E45" w14:textId="4D95550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$6.58</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04B3A917" w14:textId="5C304556"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$8.33</w:t>
            </w:r>
          </w:p>
        </w:tc>
        <w:tc>
          <w:tcPr>
            <w:tcW w:w="927" w:type="dxa"/>
            <w:tcBorders>
              <w:top w:val="nil"/>
              <w:left w:val="nil"/>
              <w:bottom w:val="single" w:sz="4" w:space="0" w:color="000000"/>
              <w:right w:val="single" w:sz="4" w:space="0" w:color="000000"/>
            </w:tcBorders>
            <w:shd w:val="clear" w:color="auto" w:fill="auto"/>
            <w:noWrap/>
            <w:vAlign w:val="center"/>
          </w:tcPr>
          <w:p w14:paraId="7B6A776C" w14:textId="71637394"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$10.19</w:t>
            </w:r>
          </w:p>
        </w:tc>
        <w:tc>
          <w:tcPr>
            <w:tcW w:w="927" w:type="dxa"/>
            <w:tcBorders>
              <w:top w:val="nil"/>
              <w:left w:val="nil"/>
              <w:bottom w:val="single" w:sz="4" w:space="0" w:color="000000"/>
              <w:right w:val="single" w:sz="4" w:space="0" w:color="000000"/>
            </w:tcBorders>
            <w:shd w:val="clear" w:color="auto" w:fill="auto"/>
            <w:noWrap/>
            <w:vAlign w:val="center"/>
          </w:tcPr>
          <w:p w14:paraId="3E74608C" w14:textId="6CDD9FB5"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$10.42</w:t>
            </w:r>
          </w:p>
        </w:tc>
        <w:tc>
          <w:tcPr>
            <w:tcW w:w="864" w:type="dxa"/>
            <w:tcBorders>
              <w:top w:val="nil"/>
              <w:left w:val="nil"/>
              <w:bottom w:val="single" w:sz="4" w:space="0" w:color="000000"/>
              <w:right w:val="single" w:sz="4" w:space="0" w:color="000000"/>
            </w:tcBorders>
            <w:shd w:val="clear" w:color="auto" w:fill="auto"/>
            <w:noWrap/>
            <w:vAlign w:val="center"/>
          </w:tcPr>
          <w:p w14:paraId="11A8AD82" w14:textId="24036283"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$10.75</w:t>
            </w:r>
          </w:p>
        </w:tc>
        <w:tc>
          <w:tcPr>
            <w:tcW w:w="810" w:type="dxa"/>
            <w:tcBorders>
              <w:top w:val="nil"/>
              <w:left w:val="nil"/>
              <w:bottom w:val="single" w:sz="4" w:space="0" w:color="000000"/>
              <w:right w:val="single" w:sz="12" w:space="0" w:color="000000"/>
            </w:tcBorders>
            <w:shd w:val="clear" w:color="auto" w:fill="auto"/>
            <w:noWrap/>
            <w:vAlign w:val="center"/>
          </w:tcPr>
          <w:p w14:paraId="0F15151E" w14:textId="2A48247E"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$11.51</w:t>
            </w:r>
          </w:p>
        </w:tc>
      </w:tr>
      <w:tr w:rsidR="000075CE" w:rsidRPr="00EE5714" w14:paraId="6B5A7BD6"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28F87A2" w14:textId="7777777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2753166A" w14:textId="151BC2F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$8.13</w:t>
            </w:r>
          </w:p>
        </w:tc>
        <w:tc>
          <w:tcPr>
            <w:tcW w:w="927" w:type="dxa"/>
            <w:tcBorders>
              <w:top w:val="nil"/>
              <w:left w:val="nil"/>
              <w:bottom w:val="single" w:sz="4" w:space="0" w:color="000000"/>
              <w:right w:val="single" w:sz="4" w:space="0" w:color="000000"/>
            </w:tcBorders>
            <w:shd w:val="clear" w:color="auto" w:fill="auto"/>
            <w:noWrap/>
            <w:vAlign w:val="center"/>
          </w:tcPr>
          <w:p w14:paraId="398F9BB4" w14:textId="2DCEFEDB"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$9.44</w:t>
            </w:r>
          </w:p>
        </w:tc>
        <w:tc>
          <w:tcPr>
            <w:tcW w:w="927" w:type="dxa"/>
            <w:tcBorders>
              <w:top w:val="nil"/>
              <w:left w:val="nil"/>
              <w:bottom w:val="single" w:sz="4" w:space="0" w:color="000000"/>
              <w:right w:val="single" w:sz="4" w:space="0" w:color="000000"/>
            </w:tcBorders>
            <w:shd w:val="clear" w:color="auto" w:fill="auto"/>
            <w:noWrap/>
            <w:vAlign w:val="center"/>
          </w:tcPr>
          <w:p w14:paraId="55550EE6" w14:textId="0C06F46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$7.26</w:t>
            </w:r>
          </w:p>
        </w:tc>
        <w:tc>
          <w:tcPr>
            <w:tcW w:w="927" w:type="dxa"/>
            <w:tcBorders>
              <w:top w:val="nil"/>
              <w:left w:val="nil"/>
              <w:bottom w:val="single" w:sz="4" w:space="0" w:color="000000"/>
              <w:right w:val="single" w:sz="4" w:space="0" w:color="000000"/>
            </w:tcBorders>
            <w:shd w:val="clear" w:color="auto" w:fill="auto"/>
            <w:noWrap/>
            <w:vAlign w:val="center"/>
          </w:tcPr>
          <w:p w14:paraId="3B296479" w14:textId="4403EEB9"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$11.93</w:t>
            </w:r>
          </w:p>
        </w:tc>
        <w:tc>
          <w:tcPr>
            <w:tcW w:w="927" w:type="dxa"/>
            <w:tcBorders>
              <w:top w:val="single" w:sz="4" w:space="0" w:color="000000"/>
              <w:left w:val="nil"/>
              <w:bottom w:val="single" w:sz="4" w:space="0" w:color="000000"/>
              <w:right w:val="single" w:sz="4" w:space="0" w:color="auto"/>
            </w:tcBorders>
            <w:vAlign w:val="center"/>
          </w:tcPr>
          <w:p w14:paraId="3E004468" w14:textId="5C47D29B"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$6.95</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2B4D2A71" w14:textId="476B34FD"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$8.79</w:t>
            </w:r>
          </w:p>
        </w:tc>
        <w:tc>
          <w:tcPr>
            <w:tcW w:w="927" w:type="dxa"/>
            <w:tcBorders>
              <w:top w:val="nil"/>
              <w:left w:val="nil"/>
              <w:bottom w:val="single" w:sz="4" w:space="0" w:color="000000"/>
              <w:right w:val="single" w:sz="4" w:space="0" w:color="000000"/>
            </w:tcBorders>
            <w:shd w:val="clear" w:color="auto" w:fill="auto"/>
            <w:noWrap/>
            <w:vAlign w:val="center"/>
          </w:tcPr>
          <w:p w14:paraId="4A61F0AA" w14:textId="77B7A47A"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$10.75</w:t>
            </w:r>
          </w:p>
        </w:tc>
        <w:tc>
          <w:tcPr>
            <w:tcW w:w="927" w:type="dxa"/>
            <w:tcBorders>
              <w:top w:val="nil"/>
              <w:left w:val="nil"/>
              <w:bottom w:val="single" w:sz="4" w:space="0" w:color="000000"/>
              <w:right w:val="single" w:sz="4" w:space="0" w:color="000000"/>
            </w:tcBorders>
            <w:shd w:val="clear" w:color="auto" w:fill="auto"/>
            <w:noWrap/>
            <w:vAlign w:val="center"/>
          </w:tcPr>
          <w:p w14:paraId="2A5A8BC4" w14:textId="0A4968CE"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$11.00</w:t>
            </w:r>
          </w:p>
        </w:tc>
        <w:tc>
          <w:tcPr>
            <w:tcW w:w="864" w:type="dxa"/>
            <w:tcBorders>
              <w:top w:val="nil"/>
              <w:left w:val="nil"/>
              <w:bottom w:val="single" w:sz="4" w:space="0" w:color="000000"/>
              <w:right w:val="single" w:sz="4" w:space="0" w:color="000000"/>
            </w:tcBorders>
            <w:shd w:val="clear" w:color="auto" w:fill="auto"/>
            <w:noWrap/>
            <w:vAlign w:val="center"/>
          </w:tcPr>
          <w:p w14:paraId="6EB0A828" w14:textId="50B58D35"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$11.34</w:t>
            </w:r>
          </w:p>
        </w:tc>
        <w:tc>
          <w:tcPr>
            <w:tcW w:w="810" w:type="dxa"/>
            <w:tcBorders>
              <w:top w:val="nil"/>
              <w:left w:val="nil"/>
              <w:bottom w:val="single" w:sz="4" w:space="0" w:color="000000"/>
              <w:right w:val="single" w:sz="12" w:space="0" w:color="000000"/>
            </w:tcBorders>
            <w:shd w:val="clear" w:color="auto" w:fill="auto"/>
            <w:noWrap/>
            <w:vAlign w:val="center"/>
          </w:tcPr>
          <w:p w14:paraId="0A2FEB17" w14:textId="210ECDC8"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$12.15</w:t>
            </w:r>
          </w:p>
        </w:tc>
      </w:tr>
      <w:tr w:rsidR="000075CE" w:rsidRPr="00EE5714" w14:paraId="0820D2C4" w14:textId="77777777" w:rsidTr="000075CE">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94DC093" w14:textId="7777777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06E17663" w14:textId="7B823EBD"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$8.48</w:t>
            </w:r>
          </w:p>
        </w:tc>
        <w:tc>
          <w:tcPr>
            <w:tcW w:w="927" w:type="dxa"/>
            <w:tcBorders>
              <w:top w:val="nil"/>
              <w:left w:val="nil"/>
              <w:bottom w:val="single" w:sz="8" w:space="0" w:color="000000"/>
              <w:right w:val="single" w:sz="4" w:space="0" w:color="000000"/>
            </w:tcBorders>
            <w:shd w:val="clear" w:color="auto" w:fill="auto"/>
            <w:noWrap/>
            <w:vAlign w:val="center"/>
          </w:tcPr>
          <w:p w14:paraId="1287632C" w14:textId="7ECFC32B"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$9.83</w:t>
            </w:r>
          </w:p>
        </w:tc>
        <w:tc>
          <w:tcPr>
            <w:tcW w:w="927" w:type="dxa"/>
            <w:tcBorders>
              <w:top w:val="nil"/>
              <w:left w:val="nil"/>
              <w:bottom w:val="single" w:sz="8" w:space="0" w:color="000000"/>
              <w:right w:val="single" w:sz="4" w:space="0" w:color="000000"/>
            </w:tcBorders>
            <w:shd w:val="clear" w:color="auto" w:fill="auto"/>
            <w:noWrap/>
            <w:vAlign w:val="center"/>
          </w:tcPr>
          <w:p w14:paraId="6EF45317" w14:textId="452DB792"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$7.56</w:t>
            </w:r>
          </w:p>
        </w:tc>
        <w:tc>
          <w:tcPr>
            <w:tcW w:w="927" w:type="dxa"/>
            <w:tcBorders>
              <w:top w:val="nil"/>
              <w:left w:val="nil"/>
              <w:bottom w:val="single" w:sz="8" w:space="0" w:color="000000"/>
              <w:right w:val="single" w:sz="4" w:space="0" w:color="000000"/>
            </w:tcBorders>
            <w:shd w:val="clear" w:color="auto" w:fill="auto"/>
            <w:noWrap/>
            <w:vAlign w:val="center"/>
          </w:tcPr>
          <w:p w14:paraId="2E249DD5" w14:textId="361A84EC"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$12.43</w:t>
            </w:r>
          </w:p>
        </w:tc>
        <w:tc>
          <w:tcPr>
            <w:tcW w:w="927" w:type="dxa"/>
            <w:tcBorders>
              <w:top w:val="single" w:sz="4" w:space="0" w:color="000000"/>
              <w:left w:val="nil"/>
              <w:bottom w:val="single" w:sz="8" w:space="0" w:color="000000"/>
              <w:right w:val="single" w:sz="4" w:space="0" w:color="auto"/>
            </w:tcBorders>
            <w:vAlign w:val="center"/>
          </w:tcPr>
          <w:p w14:paraId="4DC7AD40" w14:textId="2E24D76E"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$7.24</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004E44EC" w14:textId="08EB9022"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$9.16</w:t>
            </w:r>
          </w:p>
        </w:tc>
        <w:tc>
          <w:tcPr>
            <w:tcW w:w="927" w:type="dxa"/>
            <w:tcBorders>
              <w:top w:val="nil"/>
              <w:left w:val="nil"/>
              <w:bottom w:val="single" w:sz="4" w:space="0" w:color="000000"/>
              <w:right w:val="single" w:sz="4" w:space="0" w:color="000000"/>
            </w:tcBorders>
            <w:shd w:val="clear" w:color="auto" w:fill="auto"/>
            <w:noWrap/>
            <w:vAlign w:val="center"/>
          </w:tcPr>
          <w:p w14:paraId="55B6CEF3" w14:textId="2881C7F1"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$11.21</w:t>
            </w:r>
          </w:p>
        </w:tc>
        <w:tc>
          <w:tcPr>
            <w:tcW w:w="927" w:type="dxa"/>
            <w:tcBorders>
              <w:top w:val="nil"/>
              <w:left w:val="nil"/>
              <w:bottom w:val="single" w:sz="4" w:space="0" w:color="000000"/>
              <w:right w:val="single" w:sz="4" w:space="0" w:color="000000"/>
            </w:tcBorders>
            <w:shd w:val="clear" w:color="auto" w:fill="auto"/>
            <w:noWrap/>
            <w:vAlign w:val="center"/>
          </w:tcPr>
          <w:p w14:paraId="612E297A" w14:textId="54D3455B"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$11.46</w:t>
            </w:r>
          </w:p>
        </w:tc>
        <w:tc>
          <w:tcPr>
            <w:tcW w:w="864" w:type="dxa"/>
            <w:tcBorders>
              <w:top w:val="nil"/>
              <w:left w:val="nil"/>
              <w:bottom w:val="single" w:sz="4" w:space="0" w:color="000000"/>
              <w:right w:val="single" w:sz="4" w:space="0" w:color="000000"/>
            </w:tcBorders>
            <w:shd w:val="clear" w:color="auto" w:fill="auto"/>
            <w:noWrap/>
            <w:vAlign w:val="center"/>
          </w:tcPr>
          <w:p w14:paraId="42FA1672" w14:textId="732D8986"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$11.82</w:t>
            </w:r>
          </w:p>
        </w:tc>
        <w:tc>
          <w:tcPr>
            <w:tcW w:w="810" w:type="dxa"/>
            <w:tcBorders>
              <w:top w:val="nil"/>
              <w:left w:val="nil"/>
              <w:bottom w:val="single" w:sz="4" w:space="0" w:color="000000"/>
              <w:right w:val="single" w:sz="12" w:space="0" w:color="000000"/>
            </w:tcBorders>
            <w:shd w:val="clear" w:color="auto" w:fill="auto"/>
            <w:noWrap/>
            <w:vAlign w:val="center"/>
          </w:tcPr>
          <w:p w14:paraId="0F3BE730" w14:textId="200587D3"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$12.66</w:t>
            </w:r>
          </w:p>
        </w:tc>
      </w:tr>
      <w:tr w:rsidR="007B40E0" w:rsidRPr="00EE5714" w14:paraId="64ECAC83" w14:textId="77777777" w:rsidTr="000075CE">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6E4250C3" w14:textId="77777777" w:rsidR="007B40E0" w:rsidRPr="00EE5714" w:rsidRDefault="007B40E0"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01214573"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747202F3"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54E80AA1"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r>
      <w:tr w:rsidR="006B46C5" w:rsidRPr="00EE5714" w14:paraId="19F01EBE"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66A2F840" w14:textId="77777777"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151AA737" w14:textId="6867A86F"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$8.65</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3A8D950A" w14:textId="2DEC8D4F"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$10.03</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649B72FA" w14:textId="02F625D8"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$7.72</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3A96D290" w14:textId="51CA19AD"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$12.68</w:t>
            </w:r>
          </w:p>
        </w:tc>
        <w:tc>
          <w:tcPr>
            <w:tcW w:w="927" w:type="dxa"/>
            <w:tcBorders>
              <w:top w:val="single" w:sz="8" w:space="0" w:color="000000"/>
              <w:left w:val="nil"/>
              <w:bottom w:val="single" w:sz="4" w:space="0" w:color="000000"/>
              <w:right w:val="single" w:sz="4" w:space="0" w:color="auto"/>
            </w:tcBorders>
            <w:vAlign w:val="center"/>
          </w:tcPr>
          <w:p w14:paraId="4718ADD0" w14:textId="4C92E2CF"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$7.39</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18D0D3B1" w14:textId="274E996C"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$9.35</w:t>
            </w:r>
          </w:p>
        </w:tc>
        <w:tc>
          <w:tcPr>
            <w:tcW w:w="927" w:type="dxa"/>
            <w:tcBorders>
              <w:top w:val="nil"/>
              <w:left w:val="nil"/>
              <w:bottom w:val="single" w:sz="4" w:space="0" w:color="000000"/>
              <w:right w:val="single" w:sz="4" w:space="0" w:color="000000"/>
            </w:tcBorders>
            <w:shd w:val="clear" w:color="auto" w:fill="auto"/>
            <w:noWrap/>
            <w:vAlign w:val="center"/>
          </w:tcPr>
          <w:p w14:paraId="1E55D996" w14:textId="6B1C50FD"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$11.43</w:t>
            </w:r>
          </w:p>
        </w:tc>
        <w:tc>
          <w:tcPr>
            <w:tcW w:w="927" w:type="dxa"/>
            <w:tcBorders>
              <w:top w:val="nil"/>
              <w:left w:val="nil"/>
              <w:bottom w:val="single" w:sz="4" w:space="0" w:color="000000"/>
              <w:right w:val="single" w:sz="4" w:space="0" w:color="000000"/>
            </w:tcBorders>
            <w:shd w:val="clear" w:color="auto" w:fill="auto"/>
            <w:noWrap/>
            <w:vAlign w:val="center"/>
          </w:tcPr>
          <w:p w14:paraId="5E891061" w14:textId="385BFB03"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$11.70</w:t>
            </w:r>
          </w:p>
        </w:tc>
        <w:tc>
          <w:tcPr>
            <w:tcW w:w="864" w:type="dxa"/>
            <w:tcBorders>
              <w:top w:val="nil"/>
              <w:left w:val="nil"/>
              <w:bottom w:val="single" w:sz="4" w:space="0" w:color="000000"/>
              <w:right w:val="single" w:sz="4" w:space="0" w:color="000000"/>
            </w:tcBorders>
            <w:shd w:val="clear" w:color="auto" w:fill="auto"/>
            <w:noWrap/>
            <w:vAlign w:val="center"/>
          </w:tcPr>
          <w:p w14:paraId="4B463E9E" w14:textId="3BB97ABB"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$10.75</w:t>
            </w:r>
          </w:p>
        </w:tc>
        <w:tc>
          <w:tcPr>
            <w:tcW w:w="810" w:type="dxa"/>
            <w:tcBorders>
              <w:top w:val="nil"/>
              <w:left w:val="nil"/>
              <w:bottom w:val="single" w:sz="4" w:space="0" w:color="000000"/>
              <w:right w:val="single" w:sz="12" w:space="0" w:color="000000"/>
            </w:tcBorders>
            <w:shd w:val="clear" w:color="auto" w:fill="auto"/>
            <w:noWrap/>
            <w:vAlign w:val="center"/>
          </w:tcPr>
          <w:p w14:paraId="60DD0405" w14:textId="55A62D33"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$11.51</w:t>
            </w:r>
          </w:p>
        </w:tc>
      </w:tr>
      <w:tr w:rsidR="006B46C5" w:rsidRPr="00EE5714" w14:paraId="63222473"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2BD81A38" w14:textId="77777777"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1C729CDB" w14:textId="2A34B298"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$8.99</w:t>
            </w:r>
          </w:p>
        </w:tc>
        <w:tc>
          <w:tcPr>
            <w:tcW w:w="927" w:type="dxa"/>
            <w:tcBorders>
              <w:top w:val="nil"/>
              <w:left w:val="nil"/>
              <w:bottom w:val="single" w:sz="4" w:space="0" w:color="000000"/>
              <w:right w:val="single" w:sz="4" w:space="0" w:color="000000"/>
            </w:tcBorders>
            <w:shd w:val="clear" w:color="auto" w:fill="auto"/>
            <w:noWrap/>
            <w:vAlign w:val="center"/>
          </w:tcPr>
          <w:p w14:paraId="73F82E1C" w14:textId="150D2589"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$10.43</w:t>
            </w:r>
          </w:p>
        </w:tc>
        <w:tc>
          <w:tcPr>
            <w:tcW w:w="927" w:type="dxa"/>
            <w:tcBorders>
              <w:top w:val="nil"/>
              <w:left w:val="nil"/>
              <w:bottom w:val="single" w:sz="4" w:space="0" w:color="000000"/>
              <w:right w:val="single" w:sz="4" w:space="0" w:color="000000"/>
            </w:tcBorders>
            <w:shd w:val="clear" w:color="auto" w:fill="auto"/>
            <w:noWrap/>
            <w:vAlign w:val="center"/>
          </w:tcPr>
          <w:p w14:paraId="130DDCFD" w14:textId="3D960727"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$8.02</w:t>
            </w:r>
          </w:p>
        </w:tc>
        <w:tc>
          <w:tcPr>
            <w:tcW w:w="927" w:type="dxa"/>
            <w:tcBorders>
              <w:top w:val="nil"/>
              <w:left w:val="nil"/>
              <w:bottom w:val="single" w:sz="4" w:space="0" w:color="000000"/>
              <w:right w:val="single" w:sz="4" w:space="0" w:color="000000"/>
            </w:tcBorders>
            <w:shd w:val="clear" w:color="auto" w:fill="auto"/>
            <w:noWrap/>
            <w:vAlign w:val="center"/>
          </w:tcPr>
          <w:p w14:paraId="15E39048" w14:textId="0B9C8589"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$13.18</w:t>
            </w:r>
          </w:p>
        </w:tc>
        <w:tc>
          <w:tcPr>
            <w:tcW w:w="927" w:type="dxa"/>
            <w:tcBorders>
              <w:top w:val="single" w:sz="4" w:space="0" w:color="000000"/>
              <w:left w:val="nil"/>
              <w:bottom w:val="single" w:sz="4" w:space="0" w:color="000000"/>
              <w:right w:val="single" w:sz="4" w:space="0" w:color="auto"/>
            </w:tcBorders>
            <w:vAlign w:val="center"/>
          </w:tcPr>
          <w:p w14:paraId="5622E0BD" w14:textId="4C19FD65"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$7.68</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1314908C" w14:textId="4BEE0F7C"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$9.72</w:t>
            </w:r>
          </w:p>
        </w:tc>
        <w:tc>
          <w:tcPr>
            <w:tcW w:w="927" w:type="dxa"/>
            <w:tcBorders>
              <w:top w:val="nil"/>
              <w:left w:val="nil"/>
              <w:bottom w:val="single" w:sz="4" w:space="0" w:color="000000"/>
              <w:right w:val="single" w:sz="4" w:space="0" w:color="000000"/>
            </w:tcBorders>
            <w:shd w:val="clear" w:color="auto" w:fill="auto"/>
            <w:noWrap/>
            <w:vAlign w:val="center"/>
          </w:tcPr>
          <w:p w14:paraId="16FA1531" w14:textId="6320F27D"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$11.89</w:t>
            </w:r>
          </w:p>
        </w:tc>
        <w:tc>
          <w:tcPr>
            <w:tcW w:w="927" w:type="dxa"/>
            <w:tcBorders>
              <w:top w:val="nil"/>
              <w:left w:val="nil"/>
              <w:bottom w:val="single" w:sz="4" w:space="0" w:color="000000"/>
              <w:right w:val="single" w:sz="4" w:space="0" w:color="000000"/>
            </w:tcBorders>
            <w:shd w:val="clear" w:color="auto" w:fill="auto"/>
            <w:noWrap/>
            <w:vAlign w:val="center"/>
          </w:tcPr>
          <w:p w14:paraId="130BB379" w14:textId="02039402"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$12.16</w:t>
            </w:r>
          </w:p>
        </w:tc>
        <w:tc>
          <w:tcPr>
            <w:tcW w:w="864" w:type="dxa"/>
            <w:tcBorders>
              <w:top w:val="nil"/>
              <w:left w:val="nil"/>
              <w:bottom w:val="single" w:sz="4" w:space="0" w:color="000000"/>
              <w:right w:val="single" w:sz="4" w:space="0" w:color="000000"/>
            </w:tcBorders>
            <w:shd w:val="clear" w:color="auto" w:fill="auto"/>
            <w:noWrap/>
            <w:vAlign w:val="center"/>
          </w:tcPr>
          <w:p w14:paraId="42F0E50D" w14:textId="5E51C819"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$11.34</w:t>
            </w:r>
          </w:p>
        </w:tc>
        <w:tc>
          <w:tcPr>
            <w:tcW w:w="810" w:type="dxa"/>
            <w:tcBorders>
              <w:top w:val="nil"/>
              <w:left w:val="nil"/>
              <w:bottom w:val="single" w:sz="4" w:space="0" w:color="000000"/>
              <w:right w:val="single" w:sz="12" w:space="0" w:color="000000"/>
            </w:tcBorders>
            <w:shd w:val="clear" w:color="auto" w:fill="auto"/>
            <w:noWrap/>
            <w:vAlign w:val="center"/>
          </w:tcPr>
          <w:p w14:paraId="2E8FF120" w14:textId="027649D8" w:rsidR="006B46C5" w:rsidRPr="00EE5714" w:rsidRDefault="006B46C5" w:rsidP="006B46C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$12.15</w:t>
            </w:r>
          </w:p>
        </w:tc>
      </w:tr>
      <w:tr w:rsidR="006B46C5" w:rsidRPr="00EE5714" w14:paraId="414D1A71" w14:textId="77777777" w:rsidTr="003F3312">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2FDD4916" w14:textId="77777777" w:rsidR="006B46C5" w:rsidRPr="00EE5714" w:rsidRDefault="006B46C5" w:rsidP="006B46C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5749ADC1" w14:textId="4F0402A8" w:rsidR="006B46C5" w:rsidRPr="00EE5714" w:rsidRDefault="006B46C5" w:rsidP="006B46C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$9.42</w:t>
            </w:r>
          </w:p>
        </w:tc>
        <w:tc>
          <w:tcPr>
            <w:tcW w:w="927" w:type="dxa"/>
            <w:tcBorders>
              <w:top w:val="nil"/>
              <w:left w:val="nil"/>
              <w:bottom w:val="single" w:sz="12" w:space="0" w:color="000000"/>
              <w:right w:val="single" w:sz="4" w:space="0" w:color="000000"/>
            </w:tcBorders>
            <w:shd w:val="clear" w:color="auto" w:fill="auto"/>
            <w:noWrap/>
            <w:vAlign w:val="center"/>
          </w:tcPr>
          <w:p w14:paraId="409B9A02" w14:textId="1965697D" w:rsidR="006B46C5" w:rsidRPr="00EE5714" w:rsidRDefault="006B46C5" w:rsidP="006B46C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$10.93</w:t>
            </w:r>
          </w:p>
        </w:tc>
        <w:tc>
          <w:tcPr>
            <w:tcW w:w="927" w:type="dxa"/>
            <w:tcBorders>
              <w:top w:val="nil"/>
              <w:left w:val="nil"/>
              <w:bottom w:val="single" w:sz="12" w:space="0" w:color="000000"/>
              <w:right w:val="single" w:sz="4" w:space="0" w:color="000000"/>
            </w:tcBorders>
            <w:shd w:val="clear" w:color="auto" w:fill="auto"/>
            <w:noWrap/>
            <w:vAlign w:val="center"/>
          </w:tcPr>
          <w:p w14:paraId="2C7010D9" w14:textId="49A733E2" w:rsidR="006B46C5" w:rsidRPr="00EE5714" w:rsidRDefault="006B46C5" w:rsidP="006B46C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$8.41</w:t>
            </w:r>
          </w:p>
        </w:tc>
        <w:tc>
          <w:tcPr>
            <w:tcW w:w="927" w:type="dxa"/>
            <w:tcBorders>
              <w:top w:val="nil"/>
              <w:left w:val="nil"/>
              <w:bottom w:val="single" w:sz="12" w:space="0" w:color="000000"/>
              <w:right w:val="single" w:sz="4" w:space="0" w:color="000000"/>
            </w:tcBorders>
            <w:shd w:val="clear" w:color="auto" w:fill="auto"/>
            <w:noWrap/>
            <w:vAlign w:val="center"/>
          </w:tcPr>
          <w:p w14:paraId="624331AB" w14:textId="3AA667B8" w:rsidR="006B46C5" w:rsidRPr="00EE5714" w:rsidRDefault="006B46C5" w:rsidP="006B46C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$13.81</w:t>
            </w:r>
          </w:p>
        </w:tc>
        <w:tc>
          <w:tcPr>
            <w:tcW w:w="927" w:type="dxa"/>
            <w:tcBorders>
              <w:top w:val="single" w:sz="4" w:space="0" w:color="000000"/>
              <w:left w:val="nil"/>
              <w:bottom w:val="single" w:sz="12" w:space="0" w:color="000000"/>
              <w:right w:val="single" w:sz="4" w:space="0" w:color="auto"/>
            </w:tcBorders>
            <w:vAlign w:val="center"/>
          </w:tcPr>
          <w:p w14:paraId="46D548FC" w14:textId="34D2F150" w:rsidR="006B46C5" w:rsidRPr="00EE5714" w:rsidRDefault="006B46C5" w:rsidP="006B46C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$8.05</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7F5DB98B" w14:textId="2DF94983" w:rsidR="006B46C5" w:rsidRPr="00EE5714" w:rsidRDefault="006B46C5" w:rsidP="006B46C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$10.18</w:t>
            </w:r>
          </w:p>
        </w:tc>
        <w:tc>
          <w:tcPr>
            <w:tcW w:w="927" w:type="dxa"/>
            <w:tcBorders>
              <w:top w:val="nil"/>
              <w:left w:val="nil"/>
              <w:bottom w:val="single" w:sz="12" w:space="0" w:color="000000"/>
              <w:right w:val="single" w:sz="4" w:space="0" w:color="000000"/>
            </w:tcBorders>
            <w:shd w:val="clear" w:color="auto" w:fill="auto"/>
            <w:noWrap/>
            <w:vAlign w:val="center"/>
          </w:tcPr>
          <w:p w14:paraId="49A40D12" w14:textId="0EFB9706" w:rsidR="006B46C5" w:rsidRPr="00EE5714" w:rsidRDefault="006B46C5" w:rsidP="006B46C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$12.45</w:t>
            </w:r>
          </w:p>
        </w:tc>
        <w:tc>
          <w:tcPr>
            <w:tcW w:w="927" w:type="dxa"/>
            <w:tcBorders>
              <w:top w:val="nil"/>
              <w:left w:val="nil"/>
              <w:bottom w:val="single" w:sz="12" w:space="0" w:color="000000"/>
              <w:right w:val="single" w:sz="4" w:space="0" w:color="000000"/>
            </w:tcBorders>
            <w:shd w:val="clear" w:color="auto" w:fill="auto"/>
            <w:noWrap/>
            <w:vAlign w:val="center"/>
          </w:tcPr>
          <w:p w14:paraId="359643E1" w14:textId="64DD7375" w:rsidR="006B46C5" w:rsidRPr="00EE5714" w:rsidRDefault="006B46C5" w:rsidP="006B46C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$12.74</w:t>
            </w:r>
          </w:p>
        </w:tc>
        <w:tc>
          <w:tcPr>
            <w:tcW w:w="864" w:type="dxa"/>
            <w:tcBorders>
              <w:top w:val="nil"/>
              <w:left w:val="nil"/>
              <w:bottom w:val="single" w:sz="12" w:space="0" w:color="000000"/>
              <w:right w:val="single" w:sz="4" w:space="0" w:color="000000"/>
            </w:tcBorders>
            <w:shd w:val="clear" w:color="auto" w:fill="auto"/>
            <w:noWrap/>
            <w:vAlign w:val="center"/>
          </w:tcPr>
          <w:p w14:paraId="60B6EE7F" w14:textId="1EA33BC7" w:rsidR="006B46C5" w:rsidRPr="00EE5714" w:rsidRDefault="006B46C5" w:rsidP="006B46C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$11.82</w:t>
            </w:r>
          </w:p>
        </w:tc>
        <w:tc>
          <w:tcPr>
            <w:tcW w:w="810" w:type="dxa"/>
            <w:tcBorders>
              <w:top w:val="nil"/>
              <w:left w:val="nil"/>
              <w:bottom w:val="single" w:sz="12" w:space="0" w:color="000000"/>
              <w:right w:val="single" w:sz="12" w:space="0" w:color="000000"/>
            </w:tcBorders>
            <w:shd w:val="clear" w:color="auto" w:fill="auto"/>
            <w:noWrap/>
            <w:vAlign w:val="center"/>
          </w:tcPr>
          <w:p w14:paraId="64E85D38" w14:textId="773906D3" w:rsidR="006B46C5" w:rsidRPr="00EE5714" w:rsidRDefault="006B46C5" w:rsidP="006B46C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$12.66</w:t>
            </w:r>
          </w:p>
        </w:tc>
      </w:tr>
    </w:tbl>
    <w:p w14:paraId="4AEE50FC" w14:textId="3752C803" w:rsidR="00071E2B" w:rsidRPr="00071E2B" w:rsidRDefault="00071E2B" w:rsidP="00071E2B">
      <w:pPr>
        <w:pStyle w:val="NoSpacing"/>
        <w:rPr>
          <w:rFonts w:cs="Times New Roman"/>
          <w:szCs w:val="26"/>
        </w:rPr>
      </w:pPr>
    </w:p>
    <w:p w14:paraId="03473DF9" w14:textId="77777777" w:rsidR="00520567" w:rsidRPr="00EE5714" w:rsidRDefault="00520567" w:rsidP="007D7A46">
      <w:pPr>
        <w:pStyle w:val="NoSpacing"/>
        <w:rPr>
          <w:rFonts w:cs="Times New Roman"/>
          <w:szCs w:val="26"/>
        </w:rPr>
      </w:pPr>
    </w:p>
    <w:p w14:paraId="33A5A1FF" w14:textId="60B417CA" w:rsidR="00F303E0" w:rsidRPr="00EE5714" w:rsidRDefault="00F734A0" w:rsidP="0009098D">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521C79" w:rsidRPr="00EE5714">
        <w:rPr>
          <w:rFonts w:cs="Times New Roman"/>
          <w:szCs w:val="26"/>
        </w:rPr>
        <w:t>E</w:t>
      </w:r>
      <w:r w:rsidR="00F303E0" w:rsidRPr="00EE5714">
        <w:rPr>
          <w:rFonts w:cs="Times New Roman"/>
          <w:szCs w:val="26"/>
        </w:rPr>
        <w:t xml:space="preserve">.8: </w:t>
      </w:r>
      <w:r w:rsidR="00F303E0" w:rsidRPr="00EE5714">
        <w:rPr>
          <w:rFonts w:eastAsia="Times New Roman" w:cs="Times New Roman"/>
          <w:b/>
          <w:color w:val="000000"/>
          <w:szCs w:val="26"/>
        </w:rPr>
        <w:t>Actual Data and Forecasts – UGI PNG</w:t>
      </w:r>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7B40E0" w:rsidRPr="00EE5714" w14:paraId="62902A57" w14:textId="77777777" w:rsidTr="00180883">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45FC2682" w14:textId="77777777" w:rsidR="007B40E0" w:rsidRPr="00EE5714" w:rsidRDefault="007B40E0"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39A49BA1"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7AF34AF9"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7B40E0" w:rsidRPr="00EE5714" w14:paraId="039A8F50"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4FB53D6C" w14:textId="77777777" w:rsidR="007B40E0" w:rsidRPr="00EE5714" w:rsidRDefault="007B40E0"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77022EB3"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29C67A65"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3E5247CA"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7598D4B7"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03256380"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4C66D215"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1F964C65"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63FD8439"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0FC66E21"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4A7B9F49"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0075CE" w:rsidRPr="00EE5714" w14:paraId="0EF1DC92" w14:textId="77777777" w:rsidTr="003F3312">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5B7890BB" w14:textId="77777777" w:rsidR="000075CE" w:rsidRPr="00EE5714" w:rsidRDefault="000075CE" w:rsidP="000075CE">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3B553744" w14:textId="7ACFC304"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$19.48</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F3603AB" w14:textId="400658D0"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$19.63</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66379A66" w14:textId="1CA0630D"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$15.83</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7E2B2EBE" w14:textId="60342F7A"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$25.86</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59AD1A3F" w14:textId="371CC06B"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$14.57</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60D4BA07" w14:textId="4C5D6EFD"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$14.05</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5BF181E6" w14:textId="3ED64A71"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$20.34</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5B1128D9" w14:textId="1E1A867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$21.63</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3C58F3EF" w14:textId="303BE366"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$22.57</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3B92EF44" w14:textId="140FB7DE"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$25.52</w:t>
            </w:r>
          </w:p>
        </w:tc>
      </w:tr>
      <w:tr w:rsidR="000075CE" w:rsidRPr="00EE5714" w14:paraId="28405213"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6FA790D9" w14:textId="7777777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0A6CBD6F" w14:textId="7C2361B1"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$17.53</w:t>
            </w:r>
          </w:p>
        </w:tc>
        <w:tc>
          <w:tcPr>
            <w:tcW w:w="927" w:type="dxa"/>
            <w:tcBorders>
              <w:top w:val="nil"/>
              <w:left w:val="nil"/>
              <w:bottom w:val="single" w:sz="4" w:space="0" w:color="000000"/>
              <w:right w:val="single" w:sz="4" w:space="0" w:color="000000"/>
            </w:tcBorders>
            <w:shd w:val="clear" w:color="auto" w:fill="auto"/>
            <w:noWrap/>
            <w:vAlign w:val="center"/>
          </w:tcPr>
          <w:p w14:paraId="08AC14AF" w14:textId="4CEC105D"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$17.66</w:t>
            </w:r>
          </w:p>
        </w:tc>
        <w:tc>
          <w:tcPr>
            <w:tcW w:w="927" w:type="dxa"/>
            <w:tcBorders>
              <w:top w:val="nil"/>
              <w:left w:val="nil"/>
              <w:bottom w:val="single" w:sz="4" w:space="0" w:color="000000"/>
              <w:right w:val="single" w:sz="4" w:space="0" w:color="000000"/>
            </w:tcBorders>
            <w:shd w:val="clear" w:color="auto" w:fill="auto"/>
            <w:noWrap/>
            <w:vAlign w:val="center"/>
          </w:tcPr>
          <w:p w14:paraId="4CA22A62" w14:textId="0C87CDA9"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$14.25</w:t>
            </w:r>
          </w:p>
        </w:tc>
        <w:tc>
          <w:tcPr>
            <w:tcW w:w="927" w:type="dxa"/>
            <w:tcBorders>
              <w:top w:val="nil"/>
              <w:left w:val="nil"/>
              <w:bottom w:val="single" w:sz="4" w:space="0" w:color="000000"/>
              <w:right w:val="single" w:sz="4" w:space="0" w:color="000000"/>
            </w:tcBorders>
            <w:shd w:val="clear" w:color="auto" w:fill="auto"/>
            <w:noWrap/>
            <w:vAlign w:val="center"/>
          </w:tcPr>
          <w:p w14:paraId="0440BCE9" w14:textId="295F99BC"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$23.27</w:t>
            </w:r>
          </w:p>
        </w:tc>
        <w:tc>
          <w:tcPr>
            <w:tcW w:w="927" w:type="dxa"/>
            <w:tcBorders>
              <w:top w:val="single" w:sz="4" w:space="0" w:color="000000"/>
              <w:left w:val="nil"/>
              <w:bottom w:val="single" w:sz="4" w:space="0" w:color="000000"/>
              <w:right w:val="single" w:sz="4" w:space="0" w:color="auto"/>
            </w:tcBorders>
            <w:vAlign w:val="center"/>
          </w:tcPr>
          <w:p w14:paraId="429BD8D0" w14:textId="47265C48"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$13.12</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6FD976CE" w14:textId="086B3D6C"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$12.64</w:t>
            </w:r>
          </w:p>
        </w:tc>
        <w:tc>
          <w:tcPr>
            <w:tcW w:w="927" w:type="dxa"/>
            <w:tcBorders>
              <w:top w:val="nil"/>
              <w:left w:val="nil"/>
              <w:bottom w:val="single" w:sz="4" w:space="0" w:color="000000"/>
              <w:right w:val="single" w:sz="4" w:space="0" w:color="000000"/>
            </w:tcBorders>
            <w:shd w:val="clear" w:color="auto" w:fill="auto"/>
            <w:noWrap/>
            <w:vAlign w:val="center"/>
          </w:tcPr>
          <w:p w14:paraId="04AFB579" w14:textId="30F52513"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$18.31</w:t>
            </w:r>
          </w:p>
        </w:tc>
        <w:tc>
          <w:tcPr>
            <w:tcW w:w="927" w:type="dxa"/>
            <w:tcBorders>
              <w:top w:val="nil"/>
              <w:left w:val="nil"/>
              <w:bottom w:val="single" w:sz="4" w:space="0" w:color="000000"/>
              <w:right w:val="single" w:sz="4" w:space="0" w:color="000000"/>
            </w:tcBorders>
            <w:shd w:val="clear" w:color="auto" w:fill="auto"/>
            <w:noWrap/>
            <w:vAlign w:val="center"/>
          </w:tcPr>
          <w:p w14:paraId="63D1A784" w14:textId="49F79A02"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$19.47</w:t>
            </w:r>
          </w:p>
        </w:tc>
        <w:tc>
          <w:tcPr>
            <w:tcW w:w="864" w:type="dxa"/>
            <w:tcBorders>
              <w:top w:val="nil"/>
              <w:left w:val="nil"/>
              <w:bottom w:val="single" w:sz="4" w:space="0" w:color="000000"/>
              <w:right w:val="single" w:sz="4" w:space="0" w:color="000000"/>
            </w:tcBorders>
            <w:shd w:val="clear" w:color="auto" w:fill="auto"/>
            <w:noWrap/>
            <w:vAlign w:val="center"/>
          </w:tcPr>
          <w:p w14:paraId="7D145482" w14:textId="29B57831"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$20.31</w:t>
            </w:r>
          </w:p>
        </w:tc>
        <w:tc>
          <w:tcPr>
            <w:tcW w:w="810" w:type="dxa"/>
            <w:tcBorders>
              <w:top w:val="nil"/>
              <w:left w:val="nil"/>
              <w:bottom w:val="single" w:sz="4" w:space="0" w:color="000000"/>
              <w:right w:val="single" w:sz="12" w:space="0" w:color="000000"/>
            </w:tcBorders>
            <w:shd w:val="clear" w:color="auto" w:fill="auto"/>
            <w:noWrap/>
            <w:vAlign w:val="center"/>
          </w:tcPr>
          <w:p w14:paraId="0FFAEC1A" w14:textId="3133717E"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$22.97</w:t>
            </w:r>
          </w:p>
        </w:tc>
      </w:tr>
      <w:tr w:rsidR="000075CE" w:rsidRPr="00EE5714" w14:paraId="543B4404"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46997852" w14:textId="7777777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08A9BE54" w14:textId="4A612026"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$18.51</w:t>
            </w:r>
          </w:p>
        </w:tc>
        <w:tc>
          <w:tcPr>
            <w:tcW w:w="927" w:type="dxa"/>
            <w:tcBorders>
              <w:top w:val="nil"/>
              <w:left w:val="nil"/>
              <w:bottom w:val="single" w:sz="4" w:space="0" w:color="000000"/>
              <w:right w:val="single" w:sz="4" w:space="0" w:color="000000"/>
            </w:tcBorders>
            <w:shd w:val="clear" w:color="auto" w:fill="auto"/>
            <w:noWrap/>
            <w:vAlign w:val="center"/>
          </w:tcPr>
          <w:p w14:paraId="72F75C80" w14:textId="2EDE8E2A"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$18.64</w:t>
            </w:r>
          </w:p>
        </w:tc>
        <w:tc>
          <w:tcPr>
            <w:tcW w:w="927" w:type="dxa"/>
            <w:tcBorders>
              <w:top w:val="nil"/>
              <w:left w:val="nil"/>
              <w:bottom w:val="single" w:sz="4" w:space="0" w:color="000000"/>
              <w:right w:val="single" w:sz="4" w:space="0" w:color="000000"/>
            </w:tcBorders>
            <w:shd w:val="clear" w:color="auto" w:fill="auto"/>
            <w:noWrap/>
            <w:vAlign w:val="center"/>
          </w:tcPr>
          <w:p w14:paraId="16A49F5A" w14:textId="5261EA6E"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$15.04</w:t>
            </w:r>
          </w:p>
        </w:tc>
        <w:tc>
          <w:tcPr>
            <w:tcW w:w="927" w:type="dxa"/>
            <w:tcBorders>
              <w:top w:val="nil"/>
              <w:left w:val="nil"/>
              <w:bottom w:val="single" w:sz="4" w:space="0" w:color="000000"/>
              <w:right w:val="single" w:sz="4" w:space="0" w:color="000000"/>
            </w:tcBorders>
            <w:shd w:val="clear" w:color="auto" w:fill="auto"/>
            <w:noWrap/>
            <w:vAlign w:val="center"/>
          </w:tcPr>
          <w:p w14:paraId="4481F51F" w14:textId="6098082D"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$24.56</w:t>
            </w:r>
          </w:p>
        </w:tc>
        <w:tc>
          <w:tcPr>
            <w:tcW w:w="927" w:type="dxa"/>
            <w:tcBorders>
              <w:top w:val="single" w:sz="4" w:space="0" w:color="000000"/>
              <w:left w:val="nil"/>
              <w:bottom w:val="single" w:sz="4" w:space="0" w:color="000000"/>
              <w:right w:val="single" w:sz="4" w:space="0" w:color="auto"/>
            </w:tcBorders>
            <w:vAlign w:val="center"/>
          </w:tcPr>
          <w:p w14:paraId="48A56D4B" w14:textId="669B4806"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$13.84</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0D5EB795" w14:textId="0C7633E0"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$13.35</w:t>
            </w:r>
          </w:p>
        </w:tc>
        <w:tc>
          <w:tcPr>
            <w:tcW w:w="927" w:type="dxa"/>
            <w:tcBorders>
              <w:top w:val="nil"/>
              <w:left w:val="nil"/>
              <w:bottom w:val="single" w:sz="4" w:space="0" w:color="000000"/>
              <w:right w:val="single" w:sz="4" w:space="0" w:color="000000"/>
            </w:tcBorders>
            <w:shd w:val="clear" w:color="auto" w:fill="auto"/>
            <w:noWrap/>
            <w:vAlign w:val="center"/>
          </w:tcPr>
          <w:p w14:paraId="05B580BC" w14:textId="1643C074"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$19.32</w:t>
            </w:r>
          </w:p>
        </w:tc>
        <w:tc>
          <w:tcPr>
            <w:tcW w:w="927" w:type="dxa"/>
            <w:tcBorders>
              <w:top w:val="nil"/>
              <w:left w:val="nil"/>
              <w:bottom w:val="single" w:sz="4" w:space="0" w:color="000000"/>
              <w:right w:val="single" w:sz="4" w:space="0" w:color="000000"/>
            </w:tcBorders>
            <w:shd w:val="clear" w:color="auto" w:fill="auto"/>
            <w:noWrap/>
            <w:vAlign w:val="center"/>
          </w:tcPr>
          <w:p w14:paraId="1F186937" w14:textId="2AD46F13"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$20.55</w:t>
            </w:r>
          </w:p>
        </w:tc>
        <w:tc>
          <w:tcPr>
            <w:tcW w:w="864" w:type="dxa"/>
            <w:tcBorders>
              <w:top w:val="nil"/>
              <w:left w:val="nil"/>
              <w:bottom w:val="single" w:sz="4" w:space="0" w:color="000000"/>
              <w:right w:val="single" w:sz="4" w:space="0" w:color="000000"/>
            </w:tcBorders>
            <w:shd w:val="clear" w:color="auto" w:fill="auto"/>
            <w:noWrap/>
            <w:vAlign w:val="center"/>
          </w:tcPr>
          <w:p w14:paraId="0689304F" w14:textId="08DC802B"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$21.44</w:t>
            </w:r>
          </w:p>
        </w:tc>
        <w:tc>
          <w:tcPr>
            <w:tcW w:w="810" w:type="dxa"/>
            <w:tcBorders>
              <w:top w:val="nil"/>
              <w:left w:val="nil"/>
              <w:bottom w:val="single" w:sz="4" w:space="0" w:color="000000"/>
              <w:right w:val="single" w:sz="12" w:space="0" w:color="000000"/>
            </w:tcBorders>
            <w:shd w:val="clear" w:color="auto" w:fill="auto"/>
            <w:noWrap/>
            <w:vAlign w:val="center"/>
          </w:tcPr>
          <w:p w14:paraId="580F0B8F" w14:textId="09C16F22"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$24.24</w:t>
            </w:r>
          </w:p>
        </w:tc>
      </w:tr>
      <w:tr w:rsidR="000075CE" w:rsidRPr="00EE5714" w14:paraId="7DDD992C" w14:textId="77777777" w:rsidTr="000075CE">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0AD29D8" w14:textId="7777777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0E2AF586" w14:textId="660754D5"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$19.29</w:t>
            </w:r>
          </w:p>
        </w:tc>
        <w:tc>
          <w:tcPr>
            <w:tcW w:w="927" w:type="dxa"/>
            <w:tcBorders>
              <w:top w:val="nil"/>
              <w:left w:val="nil"/>
              <w:bottom w:val="single" w:sz="8" w:space="0" w:color="000000"/>
              <w:right w:val="single" w:sz="4" w:space="0" w:color="000000"/>
            </w:tcBorders>
            <w:shd w:val="clear" w:color="auto" w:fill="auto"/>
            <w:noWrap/>
            <w:vAlign w:val="center"/>
          </w:tcPr>
          <w:p w14:paraId="2119D60C" w14:textId="5113B2BD"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$19.43</w:t>
            </w:r>
          </w:p>
        </w:tc>
        <w:tc>
          <w:tcPr>
            <w:tcW w:w="927" w:type="dxa"/>
            <w:tcBorders>
              <w:top w:val="nil"/>
              <w:left w:val="nil"/>
              <w:bottom w:val="single" w:sz="8" w:space="0" w:color="000000"/>
              <w:right w:val="single" w:sz="4" w:space="0" w:color="000000"/>
            </w:tcBorders>
            <w:shd w:val="clear" w:color="auto" w:fill="auto"/>
            <w:noWrap/>
            <w:vAlign w:val="center"/>
          </w:tcPr>
          <w:p w14:paraId="77354A75" w14:textId="172476AC"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$15.67</w:t>
            </w:r>
          </w:p>
        </w:tc>
        <w:tc>
          <w:tcPr>
            <w:tcW w:w="927" w:type="dxa"/>
            <w:tcBorders>
              <w:top w:val="nil"/>
              <w:left w:val="nil"/>
              <w:bottom w:val="single" w:sz="8" w:space="0" w:color="000000"/>
              <w:right w:val="single" w:sz="4" w:space="0" w:color="000000"/>
            </w:tcBorders>
            <w:shd w:val="clear" w:color="auto" w:fill="auto"/>
            <w:noWrap/>
            <w:vAlign w:val="center"/>
          </w:tcPr>
          <w:p w14:paraId="5276669F" w14:textId="533B97DC"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$25.60</w:t>
            </w:r>
          </w:p>
        </w:tc>
        <w:tc>
          <w:tcPr>
            <w:tcW w:w="927" w:type="dxa"/>
            <w:tcBorders>
              <w:top w:val="single" w:sz="4" w:space="0" w:color="000000"/>
              <w:left w:val="nil"/>
              <w:bottom w:val="single" w:sz="8" w:space="0" w:color="000000"/>
              <w:right w:val="single" w:sz="4" w:space="0" w:color="auto"/>
            </w:tcBorders>
            <w:vAlign w:val="center"/>
          </w:tcPr>
          <w:p w14:paraId="234BCA97" w14:textId="4AE571D2"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$14.43</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2DA7BAC1" w14:textId="72723CE6"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$13.91</w:t>
            </w:r>
          </w:p>
        </w:tc>
        <w:tc>
          <w:tcPr>
            <w:tcW w:w="927" w:type="dxa"/>
            <w:tcBorders>
              <w:top w:val="nil"/>
              <w:left w:val="nil"/>
              <w:bottom w:val="single" w:sz="4" w:space="0" w:color="000000"/>
              <w:right w:val="single" w:sz="4" w:space="0" w:color="000000"/>
            </w:tcBorders>
            <w:shd w:val="clear" w:color="auto" w:fill="auto"/>
            <w:noWrap/>
            <w:vAlign w:val="center"/>
          </w:tcPr>
          <w:p w14:paraId="16B444EC" w14:textId="60951A49"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$20.14</w:t>
            </w:r>
          </w:p>
        </w:tc>
        <w:tc>
          <w:tcPr>
            <w:tcW w:w="927" w:type="dxa"/>
            <w:tcBorders>
              <w:top w:val="nil"/>
              <w:left w:val="nil"/>
              <w:bottom w:val="single" w:sz="4" w:space="0" w:color="000000"/>
              <w:right w:val="single" w:sz="4" w:space="0" w:color="000000"/>
            </w:tcBorders>
            <w:shd w:val="clear" w:color="auto" w:fill="auto"/>
            <w:noWrap/>
            <w:vAlign w:val="center"/>
          </w:tcPr>
          <w:p w14:paraId="1CC4DE2A" w14:textId="4C5FCBAD"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$21.41</w:t>
            </w:r>
          </w:p>
        </w:tc>
        <w:tc>
          <w:tcPr>
            <w:tcW w:w="864" w:type="dxa"/>
            <w:tcBorders>
              <w:top w:val="nil"/>
              <w:left w:val="nil"/>
              <w:bottom w:val="single" w:sz="4" w:space="0" w:color="000000"/>
              <w:right w:val="single" w:sz="4" w:space="0" w:color="000000"/>
            </w:tcBorders>
            <w:shd w:val="clear" w:color="auto" w:fill="auto"/>
            <w:noWrap/>
            <w:vAlign w:val="center"/>
          </w:tcPr>
          <w:p w14:paraId="478BAF39" w14:textId="5FF2B462"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$22.34</w:t>
            </w:r>
          </w:p>
        </w:tc>
        <w:tc>
          <w:tcPr>
            <w:tcW w:w="810" w:type="dxa"/>
            <w:tcBorders>
              <w:top w:val="nil"/>
              <w:left w:val="nil"/>
              <w:bottom w:val="single" w:sz="4" w:space="0" w:color="000000"/>
              <w:right w:val="single" w:sz="12" w:space="0" w:color="000000"/>
            </w:tcBorders>
            <w:shd w:val="clear" w:color="auto" w:fill="auto"/>
            <w:noWrap/>
            <w:vAlign w:val="center"/>
          </w:tcPr>
          <w:p w14:paraId="54CDFFDD" w14:textId="5BE4CE5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$25.26</w:t>
            </w:r>
          </w:p>
        </w:tc>
      </w:tr>
      <w:tr w:rsidR="007B40E0" w:rsidRPr="00EE5714" w14:paraId="56D305E1" w14:textId="77777777" w:rsidTr="000075CE">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394A2FA9" w14:textId="77777777" w:rsidR="007B40E0" w:rsidRPr="00EE5714" w:rsidRDefault="007B40E0"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6E1337D7"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72521DF3"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5353F461"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r>
      <w:tr w:rsidR="000075CE" w:rsidRPr="00EE5714" w14:paraId="3331FADD"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78955E01" w14:textId="7777777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15444154" w14:textId="59A6E2DA"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$19.68</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768AFBD2" w14:textId="756494D9"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$19.82</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4CEB8BFE" w14:textId="166C2631"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$15.99</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03666DE9" w14:textId="3801EA14"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$26.12</w:t>
            </w:r>
          </w:p>
        </w:tc>
        <w:tc>
          <w:tcPr>
            <w:tcW w:w="927" w:type="dxa"/>
            <w:tcBorders>
              <w:top w:val="single" w:sz="8" w:space="0" w:color="000000"/>
              <w:left w:val="nil"/>
              <w:bottom w:val="single" w:sz="4" w:space="0" w:color="000000"/>
              <w:right w:val="single" w:sz="4" w:space="0" w:color="auto"/>
            </w:tcBorders>
            <w:vAlign w:val="center"/>
          </w:tcPr>
          <w:p w14:paraId="0B9346EF" w14:textId="415FE298"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$14.72</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2C14F6A6" w14:textId="6ED71763"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$14.19</w:t>
            </w:r>
          </w:p>
        </w:tc>
        <w:tc>
          <w:tcPr>
            <w:tcW w:w="927" w:type="dxa"/>
            <w:tcBorders>
              <w:top w:val="nil"/>
              <w:left w:val="nil"/>
              <w:bottom w:val="single" w:sz="4" w:space="0" w:color="000000"/>
              <w:right w:val="single" w:sz="4" w:space="0" w:color="000000"/>
            </w:tcBorders>
            <w:shd w:val="clear" w:color="auto" w:fill="auto"/>
            <w:noWrap/>
            <w:vAlign w:val="center"/>
          </w:tcPr>
          <w:p w14:paraId="3B46FE25" w14:textId="63F28125"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$20.54</w:t>
            </w:r>
          </w:p>
        </w:tc>
        <w:tc>
          <w:tcPr>
            <w:tcW w:w="927" w:type="dxa"/>
            <w:tcBorders>
              <w:top w:val="nil"/>
              <w:left w:val="nil"/>
              <w:bottom w:val="single" w:sz="4" w:space="0" w:color="000000"/>
              <w:right w:val="single" w:sz="4" w:space="0" w:color="000000"/>
            </w:tcBorders>
            <w:shd w:val="clear" w:color="auto" w:fill="auto"/>
            <w:noWrap/>
            <w:vAlign w:val="center"/>
          </w:tcPr>
          <w:p w14:paraId="2D90A1FE" w14:textId="6E34ACA5"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$21.85</w:t>
            </w:r>
          </w:p>
        </w:tc>
        <w:tc>
          <w:tcPr>
            <w:tcW w:w="864" w:type="dxa"/>
            <w:tcBorders>
              <w:top w:val="nil"/>
              <w:left w:val="nil"/>
              <w:bottom w:val="single" w:sz="4" w:space="0" w:color="000000"/>
              <w:right w:val="single" w:sz="4" w:space="0" w:color="000000"/>
            </w:tcBorders>
            <w:shd w:val="clear" w:color="auto" w:fill="auto"/>
            <w:noWrap/>
            <w:vAlign w:val="center"/>
          </w:tcPr>
          <w:p w14:paraId="20A34ADE" w14:textId="4C0E056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$22.80</w:t>
            </w:r>
          </w:p>
        </w:tc>
        <w:tc>
          <w:tcPr>
            <w:tcW w:w="810" w:type="dxa"/>
            <w:tcBorders>
              <w:top w:val="nil"/>
              <w:left w:val="nil"/>
              <w:bottom w:val="single" w:sz="4" w:space="0" w:color="000000"/>
              <w:right w:val="single" w:sz="12" w:space="0" w:color="000000"/>
            </w:tcBorders>
            <w:shd w:val="clear" w:color="auto" w:fill="auto"/>
            <w:noWrap/>
            <w:vAlign w:val="center"/>
          </w:tcPr>
          <w:p w14:paraId="337BE5F7" w14:textId="73929FE3"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$25.78</w:t>
            </w:r>
          </w:p>
        </w:tc>
      </w:tr>
      <w:tr w:rsidR="000075CE" w:rsidRPr="00EE5714" w14:paraId="29D4DA50"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F71CABA" w14:textId="77777777"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6B7AFE43" w14:textId="7F170873"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$20.46</w:t>
            </w:r>
          </w:p>
        </w:tc>
        <w:tc>
          <w:tcPr>
            <w:tcW w:w="927" w:type="dxa"/>
            <w:tcBorders>
              <w:top w:val="nil"/>
              <w:left w:val="nil"/>
              <w:bottom w:val="single" w:sz="4" w:space="0" w:color="000000"/>
              <w:right w:val="single" w:sz="4" w:space="0" w:color="000000"/>
            </w:tcBorders>
            <w:shd w:val="clear" w:color="auto" w:fill="auto"/>
            <w:noWrap/>
            <w:vAlign w:val="center"/>
          </w:tcPr>
          <w:p w14:paraId="68792F1F" w14:textId="35D2F000"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$20.61</w:t>
            </w:r>
          </w:p>
        </w:tc>
        <w:tc>
          <w:tcPr>
            <w:tcW w:w="927" w:type="dxa"/>
            <w:tcBorders>
              <w:top w:val="nil"/>
              <w:left w:val="nil"/>
              <w:bottom w:val="single" w:sz="4" w:space="0" w:color="000000"/>
              <w:right w:val="single" w:sz="4" w:space="0" w:color="000000"/>
            </w:tcBorders>
            <w:shd w:val="clear" w:color="auto" w:fill="auto"/>
            <w:noWrap/>
            <w:vAlign w:val="center"/>
          </w:tcPr>
          <w:p w14:paraId="0C11AFED" w14:textId="63E7F9C5"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$16.62</w:t>
            </w:r>
          </w:p>
        </w:tc>
        <w:tc>
          <w:tcPr>
            <w:tcW w:w="927" w:type="dxa"/>
            <w:tcBorders>
              <w:top w:val="nil"/>
              <w:left w:val="nil"/>
              <w:bottom w:val="single" w:sz="4" w:space="0" w:color="000000"/>
              <w:right w:val="single" w:sz="4" w:space="0" w:color="000000"/>
            </w:tcBorders>
            <w:shd w:val="clear" w:color="auto" w:fill="auto"/>
            <w:noWrap/>
            <w:vAlign w:val="center"/>
          </w:tcPr>
          <w:p w14:paraId="1D96CDA6" w14:textId="3F44A36F"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$27.15</w:t>
            </w:r>
          </w:p>
        </w:tc>
        <w:tc>
          <w:tcPr>
            <w:tcW w:w="927" w:type="dxa"/>
            <w:tcBorders>
              <w:top w:val="single" w:sz="4" w:space="0" w:color="000000"/>
              <w:left w:val="nil"/>
              <w:bottom w:val="single" w:sz="4" w:space="0" w:color="000000"/>
              <w:right w:val="single" w:sz="4" w:space="0" w:color="auto"/>
            </w:tcBorders>
            <w:vAlign w:val="center"/>
          </w:tcPr>
          <w:p w14:paraId="3D5C15C6" w14:textId="4D4F0E34"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$15.30</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10BC16D0" w14:textId="0F0450A6"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$14.75</w:t>
            </w:r>
          </w:p>
        </w:tc>
        <w:tc>
          <w:tcPr>
            <w:tcW w:w="927" w:type="dxa"/>
            <w:tcBorders>
              <w:top w:val="nil"/>
              <w:left w:val="nil"/>
              <w:bottom w:val="single" w:sz="4" w:space="0" w:color="000000"/>
              <w:right w:val="single" w:sz="4" w:space="0" w:color="000000"/>
            </w:tcBorders>
            <w:shd w:val="clear" w:color="auto" w:fill="auto"/>
            <w:noWrap/>
            <w:vAlign w:val="center"/>
          </w:tcPr>
          <w:p w14:paraId="1AC3E0CA" w14:textId="11B41B22"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$21.36</w:t>
            </w:r>
          </w:p>
        </w:tc>
        <w:tc>
          <w:tcPr>
            <w:tcW w:w="927" w:type="dxa"/>
            <w:tcBorders>
              <w:top w:val="nil"/>
              <w:left w:val="nil"/>
              <w:bottom w:val="single" w:sz="4" w:space="0" w:color="000000"/>
              <w:right w:val="single" w:sz="4" w:space="0" w:color="000000"/>
            </w:tcBorders>
            <w:shd w:val="clear" w:color="auto" w:fill="auto"/>
            <w:noWrap/>
            <w:vAlign w:val="center"/>
          </w:tcPr>
          <w:p w14:paraId="679353D6" w14:textId="19E0D463"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$22.71</w:t>
            </w:r>
          </w:p>
        </w:tc>
        <w:tc>
          <w:tcPr>
            <w:tcW w:w="864" w:type="dxa"/>
            <w:tcBorders>
              <w:top w:val="nil"/>
              <w:left w:val="nil"/>
              <w:bottom w:val="single" w:sz="4" w:space="0" w:color="000000"/>
              <w:right w:val="single" w:sz="4" w:space="0" w:color="000000"/>
            </w:tcBorders>
            <w:shd w:val="clear" w:color="auto" w:fill="auto"/>
            <w:noWrap/>
            <w:vAlign w:val="center"/>
          </w:tcPr>
          <w:p w14:paraId="1A042A43" w14:textId="05341194"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$23.70</w:t>
            </w:r>
          </w:p>
        </w:tc>
        <w:tc>
          <w:tcPr>
            <w:tcW w:w="810" w:type="dxa"/>
            <w:tcBorders>
              <w:top w:val="nil"/>
              <w:left w:val="nil"/>
              <w:bottom w:val="single" w:sz="4" w:space="0" w:color="000000"/>
              <w:right w:val="single" w:sz="12" w:space="0" w:color="000000"/>
            </w:tcBorders>
            <w:shd w:val="clear" w:color="auto" w:fill="auto"/>
            <w:noWrap/>
            <w:vAlign w:val="center"/>
          </w:tcPr>
          <w:p w14:paraId="2CD606EF" w14:textId="5ADB0395" w:rsidR="000075CE" w:rsidRPr="00EE5714" w:rsidRDefault="000075CE" w:rsidP="000075CE">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$26.80</w:t>
            </w:r>
          </w:p>
        </w:tc>
      </w:tr>
      <w:tr w:rsidR="000075CE" w:rsidRPr="00EE5714" w14:paraId="07571FBA" w14:textId="77777777" w:rsidTr="003F3312">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65C80095" w14:textId="77777777" w:rsidR="000075CE" w:rsidRPr="00EE5714" w:rsidRDefault="000075CE" w:rsidP="000075CE">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44CB45F2" w14:textId="04122D7D" w:rsidR="000075CE" w:rsidRPr="00EE5714" w:rsidRDefault="000075CE" w:rsidP="000075CE">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$21.43</w:t>
            </w:r>
          </w:p>
        </w:tc>
        <w:tc>
          <w:tcPr>
            <w:tcW w:w="927" w:type="dxa"/>
            <w:tcBorders>
              <w:top w:val="nil"/>
              <w:left w:val="nil"/>
              <w:bottom w:val="single" w:sz="12" w:space="0" w:color="000000"/>
              <w:right w:val="single" w:sz="4" w:space="0" w:color="000000"/>
            </w:tcBorders>
            <w:shd w:val="clear" w:color="auto" w:fill="auto"/>
            <w:noWrap/>
            <w:vAlign w:val="center"/>
          </w:tcPr>
          <w:p w14:paraId="45472B62" w14:textId="51A2932B" w:rsidR="000075CE" w:rsidRPr="00EE5714" w:rsidRDefault="000075CE" w:rsidP="000075CE">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$21.59</w:t>
            </w:r>
          </w:p>
        </w:tc>
        <w:tc>
          <w:tcPr>
            <w:tcW w:w="927" w:type="dxa"/>
            <w:tcBorders>
              <w:top w:val="nil"/>
              <w:left w:val="nil"/>
              <w:bottom w:val="single" w:sz="12" w:space="0" w:color="000000"/>
              <w:right w:val="single" w:sz="4" w:space="0" w:color="000000"/>
            </w:tcBorders>
            <w:shd w:val="clear" w:color="auto" w:fill="auto"/>
            <w:noWrap/>
            <w:vAlign w:val="center"/>
          </w:tcPr>
          <w:p w14:paraId="5658199B" w14:textId="1CA850EF" w:rsidR="000075CE" w:rsidRPr="00EE5714" w:rsidRDefault="000075CE" w:rsidP="000075CE">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$17.42</w:t>
            </w:r>
          </w:p>
        </w:tc>
        <w:tc>
          <w:tcPr>
            <w:tcW w:w="927" w:type="dxa"/>
            <w:tcBorders>
              <w:top w:val="nil"/>
              <w:left w:val="nil"/>
              <w:bottom w:val="single" w:sz="12" w:space="0" w:color="000000"/>
              <w:right w:val="single" w:sz="4" w:space="0" w:color="000000"/>
            </w:tcBorders>
            <w:shd w:val="clear" w:color="auto" w:fill="auto"/>
            <w:noWrap/>
            <w:vAlign w:val="center"/>
          </w:tcPr>
          <w:p w14:paraId="0CDB2255" w14:textId="26A8F00E" w:rsidR="000075CE" w:rsidRPr="00EE5714" w:rsidRDefault="000075CE" w:rsidP="000075CE">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$28.44</w:t>
            </w:r>
          </w:p>
        </w:tc>
        <w:tc>
          <w:tcPr>
            <w:tcW w:w="927" w:type="dxa"/>
            <w:tcBorders>
              <w:top w:val="single" w:sz="4" w:space="0" w:color="000000"/>
              <w:left w:val="nil"/>
              <w:bottom w:val="single" w:sz="12" w:space="0" w:color="000000"/>
              <w:right w:val="single" w:sz="4" w:space="0" w:color="auto"/>
            </w:tcBorders>
            <w:vAlign w:val="center"/>
          </w:tcPr>
          <w:p w14:paraId="4DC0D43F" w14:textId="483FA21C" w:rsidR="000075CE" w:rsidRPr="00EE5714" w:rsidRDefault="000075CE" w:rsidP="000075CE">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$16.03</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799B45A8" w14:textId="35A89ABC" w:rsidR="000075CE" w:rsidRPr="00EE5714" w:rsidRDefault="000075CE" w:rsidP="000075CE">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$15.45</w:t>
            </w:r>
          </w:p>
        </w:tc>
        <w:tc>
          <w:tcPr>
            <w:tcW w:w="927" w:type="dxa"/>
            <w:tcBorders>
              <w:top w:val="nil"/>
              <w:left w:val="nil"/>
              <w:bottom w:val="single" w:sz="12" w:space="0" w:color="000000"/>
              <w:right w:val="single" w:sz="4" w:space="0" w:color="000000"/>
            </w:tcBorders>
            <w:shd w:val="clear" w:color="auto" w:fill="auto"/>
            <w:noWrap/>
            <w:vAlign w:val="center"/>
          </w:tcPr>
          <w:p w14:paraId="54CC36E4" w14:textId="72F659B9" w:rsidR="000075CE" w:rsidRPr="00EE5714" w:rsidRDefault="000075CE" w:rsidP="000075CE">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$22.37</w:t>
            </w:r>
          </w:p>
        </w:tc>
        <w:tc>
          <w:tcPr>
            <w:tcW w:w="927" w:type="dxa"/>
            <w:tcBorders>
              <w:top w:val="nil"/>
              <w:left w:val="nil"/>
              <w:bottom w:val="single" w:sz="12" w:space="0" w:color="000000"/>
              <w:right w:val="single" w:sz="4" w:space="0" w:color="000000"/>
            </w:tcBorders>
            <w:shd w:val="clear" w:color="auto" w:fill="auto"/>
            <w:noWrap/>
            <w:vAlign w:val="center"/>
          </w:tcPr>
          <w:p w14:paraId="3962A238" w14:textId="0A3D34D6" w:rsidR="000075CE" w:rsidRPr="00EE5714" w:rsidRDefault="000075CE" w:rsidP="000075CE">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$23.79</w:t>
            </w:r>
          </w:p>
        </w:tc>
        <w:tc>
          <w:tcPr>
            <w:tcW w:w="864" w:type="dxa"/>
            <w:tcBorders>
              <w:top w:val="nil"/>
              <w:left w:val="nil"/>
              <w:bottom w:val="single" w:sz="12" w:space="0" w:color="000000"/>
              <w:right w:val="single" w:sz="4" w:space="0" w:color="000000"/>
            </w:tcBorders>
            <w:shd w:val="clear" w:color="auto" w:fill="auto"/>
            <w:noWrap/>
            <w:vAlign w:val="center"/>
          </w:tcPr>
          <w:p w14:paraId="17F60C92" w14:textId="2353AEAD" w:rsidR="000075CE" w:rsidRPr="00EE5714" w:rsidRDefault="000075CE" w:rsidP="000075CE">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$24.83</w:t>
            </w:r>
          </w:p>
        </w:tc>
        <w:tc>
          <w:tcPr>
            <w:tcW w:w="810" w:type="dxa"/>
            <w:tcBorders>
              <w:top w:val="nil"/>
              <w:left w:val="nil"/>
              <w:bottom w:val="single" w:sz="12" w:space="0" w:color="000000"/>
              <w:right w:val="single" w:sz="12" w:space="0" w:color="000000"/>
            </w:tcBorders>
            <w:shd w:val="clear" w:color="auto" w:fill="auto"/>
            <w:noWrap/>
            <w:vAlign w:val="center"/>
          </w:tcPr>
          <w:p w14:paraId="554D08CA" w14:textId="0BDCAAE0" w:rsidR="000075CE" w:rsidRPr="00EE5714" w:rsidRDefault="000075CE" w:rsidP="000075CE">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$28.07</w:t>
            </w:r>
          </w:p>
        </w:tc>
      </w:tr>
    </w:tbl>
    <w:p w14:paraId="01AC95BD" w14:textId="77777777" w:rsidR="00071E2B" w:rsidRPr="00570EAE" w:rsidRDefault="00071E2B" w:rsidP="00071E2B">
      <w:pPr>
        <w:pStyle w:val="NoSpacing"/>
        <w:rPr>
          <w:rFonts w:cs="Times New Roman"/>
          <w:color w:val="000000" w:themeColor="text1"/>
          <w:szCs w:val="26"/>
        </w:rPr>
      </w:pPr>
    </w:p>
    <w:p w14:paraId="49E72015" w14:textId="77777777" w:rsidR="00570EAE" w:rsidRPr="00570EAE" w:rsidRDefault="00570EAE" w:rsidP="007D7A46">
      <w:pPr>
        <w:pStyle w:val="NoSpacing"/>
        <w:rPr>
          <w:rFonts w:cs="Times New Roman"/>
          <w:color w:val="000000" w:themeColor="text1"/>
          <w:szCs w:val="26"/>
        </w:rPr>
      </w:pPr>
    </w:p>
    <w:p w14:paraId="54F917A0" w14:textId="6D1C3E78" w:rsidR="00F303E0" w:rsidRPr="00EE5714" w:rsidRDefault="00F734A0" w:rsidP="007D7A46">
      <w:pPr>
        <w:pStyle w:val="NoSpacing"/>
        <w:keepNext/>
        <w:rPr>
          <w:rFonts w:cs="Times New Roman"/>
          <w:i/>
          <w:color w:val="000000" w:themeColor="text1"/>
          <w:szCs w:val="26"/>
        </w:rPr>
      </w:pPr>
      <w:r w:rsidRPr="00EE5714">
        <w:rPr>
          <w:rFonts w:cs="Times New Roman"/>
          <w:i/>
          <w:color w:val="000000" w:themeColor="text1"/>
          <w:szCs w:val="26"/>
        </w:rPr>
        <w:lastRenderedPageBreak/>
        <w:t>Appendix 9</w:t>
      </w:r>
      <w:r w:rsidR="00F303E0" w:rsidRPr="00EE5714">
        <w:rPr>
          <w:rFonts w:cs="Times New Roman"/>
          <w:i/>
          <w:color w:val="000000" w:themeColor="text1"/>
          <w:szCs w:val="26"/>
        </w:rPr>
        <w:t>.</w:t>
      </w:r>
      <w:r w:rsidR="00521C79" w:rsidRPr="00EE5714">
        <w:rPr>
          <w:rFonts w:cs="Times New Roman"/>
          <w:i/>
          <w:color w:val="000000" w:themeColor="text1"/>
          <w:szCs w:val="26"/>
        </w:rPr>
        <w:t>F</w:t>
      </w:r>
      <w:r w:rsidR="00F303E0" w:rsidRPr="00EE5714">
        <w:rPr>
          <w:rFonts w:cs="Times New Roman"/>
          <w:i/>
          <w:color w:val="000000" w:themeColor="text1"/>
          <w:szCs w:val="26"/>
        </w:rPr>
        <w:t xml:space="preserve">: Table 10-6 EDC Annual CAP Costs per Non-CAP Residential Customer 2012-2016, With CAP Enrollment Adjustments and 5-Year Forecasting </w:t>
      </w:r>
    </w:p>
    <w:p w14:paraId="730C3628" w14:textId="77777777" w:rsidR="00F303E0" w:rsidRPr="00EE5714" w:rsidRDefault="00F303E0" w:rsidP="0009098D">
      <w:pPr>
        <w:pStyle w:val="NoSpacing"/>
        <w:keepNext/>
        <w:rPr>
          <w:rFonts w:cs="Times New Roman"/>
          <w:szCs w:val="26"/>
        </w:rPr>
      </w:pPr>
    </w:p>
    <w:p w14:paraId="368695FE" w14:textId="54598F99" w:rsidR="00F303E0" w:rsidRPr="00EE5714" w:rsidRDefault="00F734A0" w:rsidP="0009098D">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521C79" w:rsidRPr="00EE5714">
        <w:rPr>
          <w:rFonts w:cs="Times New Roman"/>
          <w:szCs w:val="26"/>
        </w:rPr>
        <w:t>F</w:t>
      </w:r>
      <w:r w:rsidR="00F303E0" w:rsidRPr="00EE5714">
        <w:rPr>
          <w:rFonts w:cs="Times New Roman"/>
          <w:szCs w:val="26"/>
        </w:rPr>
        <w:t xml:space="preserve">.1: </w:t>
      </w:r>
      <w:r w:rsidR="00F303E0" w:rsidRPr="00EE5714">
        <w:rPr>
          <w:rFonts w:eastAsia="Times New Roman" w:cs="Times New Roman"/>
          <w:b/>
          <w:color w:val="000000"/>
          <w:szCs w:val="26"/>
        </w:rPr>
        <w:t>Actual Data and Forecasts – Duquesne</w:t>
      </w:r>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7B40E0" w:rsidRPr="00EE5714" w14:paraId="6E98F72E" w14:textId="77777777" w:rsidTr="00180883">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3468DD17" w14:textId="77777777" w:rsidR="007B40E0" w:rsidRPr="00EE5714" w:rsidRDefault="007B40E0"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4EFA5A04"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755C3CE4"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7B40E0" w:rsidRPr="00EE5714" w14:paraId="366C0AAE"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7D4F7F64" w14:textId="77777777" w:rsidR="007B40E0" w:rsidRPr="00EE5714" w:rsidRDefault="007B40E0"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6DD71DE1"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70A238F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1A717D02"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0ED57EA3"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2F67DC94"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3E85D76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2FA6839C"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2213B9B0"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69C74963"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1D573A80"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D87C7D" w:rsidRPr="00EE5714" w14:paraId="0A30AA44" w14:textId="77777777" w:rsidTr="003F3312">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69E2884E" w14:textId="77777777" w:rsidR="00D87C7D" w:rsidRPr="00EE5714" w:rsidRDefault="00D87C7D" w:rsidP="00D87C7D">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32940309" w14:textId="4E543DD0"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$34.07</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73453CEB" w14:textId="38A5C457"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$33.76</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23EFC9B" w14:textId="5FB10903"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$32.29</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56D9C41" w14:textId="76CC73CA"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$38.74</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59102A33" w14:textId="6C0AB6DA"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$43.57</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5C2FD665" w14:textId="3D570CE6"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$46.67</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3240C1CD" w14:textId="1065CC48"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$54.13</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79579888" w14:textId="2A183549"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$55.67</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3083890D" w14:textId="6E9BFF98"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$60.76</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412D8413" w14:textId="0C3379AC"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$65.34</w:t>
            </w:r>
          </w:p>
        </w:tc>
      </w:tr>
      <w:tr w:rsidR="00D87C7D" w:rsidRPr="00EE5714" w14:paraId="574CF683"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800B29F" w14:textId="77777777"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1DD12EEB" w14:textId="47FEC9D6"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$30.66</w:t>
            </w:r>
          </w:p>
        </w:tc>
        <w:tc>
          <w:tcPr>
            <w:tcW w:w="927" w:type="dxa"/>
            <w:tcBorders>
              <w:top w:val="nil"/>
              <w:left w:val="nil"/>
              <w:bottom w:val="single" w:sz="4" w:space="0" w:color="000000"/>
              <w:right w:val="single" w:sz="4" w:space="0" w:color="000000"/>
            </w:tcBorders>
            <w:shd w:val="clear" w:color="auto" w:fill="auto"/>
            <w:noWrap/>
            <w:vAlign w:val="center"/>
          </w:tcPr>
          <w:p w14:paraId="7D01A6D6" w14:textId="3B9F6EA2"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$30.38</w:t>
            </w:r>
          </w:p>
        </w:tc>
        <w:tc>
          <w:tcPr>
            <w:tcW w:w="927" w:type="dxa"/>
            <w:tcBorders>
              <w:top w:val="nil"/>
              <w:left w:val="nil"/>
              <w:bottom w:val="single" w:sz="4" w:space="0" w:color="000000"/>
              <w:right w:val="single" w:sz="4" w:space="0" w:color="000000"/>
            </w:tcBorders>
            <w:shd w:val="clear" w:color="auto" w:fill="auto"/>
            <w:noWrap/>
            <w:vAlign w:val="center"/>
          </w:tcPr>
          <w:p w14:paraId="436A6C28" w14:textId="0E8E2F95"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$29.06</w:t>
            </w:r>
          </w:p>
        </w:tc>
        <w:tc>
          <w:tcPr>
            <w:tcW w:w="927" w:type="dxa"/>
            <w:tcBorders>
              <w:top w:val="nil"/>
              <w:left w:val="nil"/>
              <w:bottom w:val="single" w:sz="4" w:space="0" w:color="000000"/>
              <w:right w:val="single" w:sz="4" w:space="0" w:color="000000"/>
            </w:tcBorders>
            <w:shd w:val="clear" w:color="auto" w:fill="auto"/>
            <w:noWrap/>
            <w:vAlign w:val="center"/>
          </w:tcPr>
          <w:p w14:paraId="64C423A7" w14:textId="22B8ECE9"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$34.86</w:t>
            </w:r>
          </w:p>
        </w:tc>
        <w:tc>
          <w:tcPr>
            <w:tcW w:w="927" w:type="dxa"/>
            <w:tcBorders>
              <w:top w:val="single" w:sz="4" w:space="0" w:color="000000"/>
              <w:left w:val="nil"/>
              <w:bottom w:val="single" w:sz="4" w:space="0" w:color="000000"/>
              <w:right w:val="single" w:sz="4" w:space="0" w:color="auto"/>
            </w:tcBorders>
            <w:vAlign w:val="center"/>
          </w:tcPr>
          <w:p w14:paraId="5398B7CD" w14:textId="6EEAF322"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$39.22</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24D01029" w14:textId="600B89F1"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$42.00</w:t>
            </w:r>
          </w:p>
        </w:tc>
        <w:tc>
          <w:tcPr>
            <w:tcW w:w="927" w:type="dxa"/>
            <w:tcBorders>
              <w:top w:val="nil"/>
              <w:left w:val="nil"/>
              <w:bottom w:val="single" w:sz="4" w:space="0" w:color="000000"/>
              <w:right w:val="single" w:sz="4" w:space="0" w:color="000000"/>
            </w:tcBorders>
            <w:shd w:val="clear" w:color="auto" w:fill="auto"/>
            <w:noWrap/>
            <w:vAlign w:val="center"/>
          </w:tcPr>
          <w:p w14:paraId="5D08C2D2" w14:textId="0C648813"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$48.72</w:t>
            </w:r>
          </w:p>
        </w:tc>
        <w:tc>
          <w:tcPr>
            <w:tcW w:w="927" w:type="dxa"/>
            <w:tcBorders>
              <w:top w:val="nil"/>
              <w:left w:val="nil"/>
              <w:bottom w:val="single" w:sz="4" w:space="0" w:color="000000"/>
              <w:right w:val="single" w:sz="4" w:space="0" w:color="000000"/>
            </w:tcBorders>
            <w:shd w:val="clear" w:color="auto" w:fill="auto"/>
            <w:noWrap/>
            <w:vAlign w:val="center"/>
          </w:tcPr>
          <w:p w14:paraId="3426C888" w14:textId="2972C3D4"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$50.10</w:t>
            </w:r>
          </w:p>
        </w:tc>
        <w:tc>
          <w:tcPr>
            <w:tcW w:w="864" w:type="dxa"/>
            <w:tcBorders>
              <w:top w:val="nil"/>
              <w:left w:val="nil"/>
              <w:bottom w:val="single" w:sz="4" w:space="0" w:color="000000"/>
              <w:right w:val="single" w:sz="4" w:space="0" w:color="000000"/>
            </w:tcBorders>
            <w:shd w:val="clear" w:color="auto" w:fill="auto"/>
            <w:noWrap/>
            <w:vAlign w:val="center"/>
          </w:tcPr>
          <w:p w14:paraId="4EE7E5DE" w14:textId="5690E1CA"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$54.68</w:t>
            </w:r>
          </w:p>
        </w:tc>
        <w:tc>
          <w:tcPr>
            <w:tcW w:w="810" w:type="dxa"/>
            <w:tcBorders>
              <w:top w:val="nil"/>
              <w:left w:val="nil"/>
              <w:bottom w:val="single" w:sz="4" w:space="0" w:color="000000"/>
              <w:right w:val="single" w:sz="12" w:space="0" w:color="000000"/>
            </w:tcBorders>
            <w:shd w:val="clear" w:color="auto" w:fill="auto"/>
            <w:noWrap/>
            <w:vAlign w:val="center"/>
          </w:tcPr>
          <w:p w14:paraId="316A5509" w14:textId="2DE9805D"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$58.81</w:t>
            </w:r>
          </w:p>
        </w:tc>
      </w:tr>
      <w:tr w:rsidR="00D87C7D" w:rsidRPr="00EE5714" w14:paraId="1D14A457"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3E99DAEE" w14:textId="77777777"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2F70A00C" w14:textId="751F8AA1"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$32.37</w:t>
            </w:r>
          </w:p>
        </w:tc>
        <w:tc>
          <w:tcPr>
            <w:tcW w:w="927" w:type="dxa"/>
            <w:tcBorders>
              <w:top w:val="nil"/>
              <w:left w:val="nil"/>
              <w:bottom w:val="single" w:sz="4" w:space="0" w:color="000000"/>
              <w:right w:val="single" w:sz="4" w:space="0" w:color="000000"/>
            </w:tcBorders>
            <w:shd w:val="clear" w:color="auto" w:fill="auto"/>
            <w:noWrap/>
            <w:vAlign w:val="center"/>
          </w:tcPr>
          <w:p w14:paraId="0EB8C00F" w14:textId="2CE44AAD"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$32.07</w:t>
            </w:r>
          </w:p>
        </w:tc>
        <w:tc>
          <w:tcPr>
            <w:tcW w:w="927" w:type="dxa"/>
            <w:tcBorders>
              <w:top w:val="nil"/>
              <w:left w:val="nil"/>
              <w:bottom w:val="single" w:sz="4" w:space="0" w:color="000000"/>
              <w:right w:val="single" w:sz="4" w:space="0" w:color="000000"/>
            </w:tcBorders>
            <w:shd w:val="clear" w:color="auto" w:fill="auto"/>
            <w:noWrap/>
            <w:vAlign w:val="center"/>
          </w:tcPr>
          <w:p w14:paraId="60ACAECD" w14:textId="36A9FA54"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$30.68</w:t>
            </w:r>
          </w:p>
        </w:tc>
        <w:tc>
          <w:tcPr>
            <w:tcW w:w="927" w:type="dxa"/>
            <w:tcBorders>
              <w:top w:val="nil"/>
              <w:left w:val="nil"/>
              <w:bottom w:val="single" w:sz="4" w:space="0" w:color="000000"/>
              <w:right w:val="single" w:sz="4" w:space="0" w:color="000000"/>
            </w:tcBorders>
            <w:shd w:val="clear" w:color="auto" w:fill="auto"/>
            <w:noWrap/>
            <w:vAlign w:val="center"/>
          </w:tcPr>
          <w:p w14:paraId="5BBAE6E2" w14:textId="29F3C3BD"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$36.80</w:t>
            </w:r>
          </w:p>
        </w:tc>
        <w:tc>
          <w:tcPr>
            <w:tcW w:w="927" w:type="dxa"/>
            <w:tcBorders>
              <w:top w:val="single" w:sz="4" w:space="0" w:color="000000"/>
              <w:left w:val="nil"/>
              <w:bottom w:val="single" w:sz="4" w:space="0" w:color="000000"/>
              <w:right w:val="single" w:sz="4" w:space="0" w:color="auto"/>
            </w:tcBorders>
            <w:vAlign w:val="center"/>
          </w:tcPr>
          <w:p w14:paraId="2C3841F9" w14:textId="7926409C"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$41.39</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0547A715" w14:textId="68F349C2"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$44.34</w:t>
            </w:r>
          </w:p>
        </w:tc>
        <w:tc>
          <w:tcPr>
            <w:tcW w:w="927" w:type="dxa"/>
            <w:tcBorders>
              <w:top w:val="nil"/>
              <w:left w:val="nil"/>
              <w:bottom w:val="single" w:sz="4" w:space="0" w:color="000000"/>
              <w:right w:val="single" w:sz="4" w:space="0" w:color="000000"/>
            </w:tcBorders>
            <w:shd w:val="clear" w:color="auto" w:fill="auto"/>
            <w:noWrap/>
            <w:vAlign w:val="center"/>
          </w:tcPr>
          <w:p w14:paraId="28E177E5" w14:textId="59AE7D49"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$51.42</w:t>
            </w:r>
          </w:p>
        </w:tc>
        <w:tc>
          <w:tcPr>
            <w:tcW w:w="927" w:type="dxa"/>
            <w:tcBorders>
              <w:top w:val="nil"/>
              <w:left w:val="nil"/>
              <w:bottom w:val="single" w:sz="4" w:space="0" w:color="000000"/>
              <w:right w:val="single" w:sz="4" w:space="0" w:color="000000"/>
            </w:tcBorders>
            <w:shd w:val="clear" w:color="auto" w:fill="auto"/>
            <w:noWrap/>
            <w:vAlign w:val="center"/>
          </w:tcPr>
          <w:p w14:paraId="6CC1468F" w14:textId="79B3A5B6"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$52.89</w:t>
            </w:r>
          </w:p>
        </w:tc>
        <w:tc>
          <w:tcPr>
            <w:tcW w:w="864" w:type="dxa"/>
            <w:tcBorders>
              <w:top w:val="nil"/>
              <w:left w:val="nil"/>
              <w:bottom w:val="single" w:sz="4" w:space="0" w:color="000000"/>
              <w:right w:val="single" w:sz="4" w:space="0" w:color="000000"/>
            </w:tcBorders>
            <w:shd w:val="clear" w:color="auto" w:fill="auto"/>
            <w:noWrap/>
            <w:vAlign w:val="center"/>
          </w:tcPr>
          <w:p w14:paraId="4DBCC8E5" w14:textId="3CF656CC"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$57.72</w:t>
            </w:r>
          </w:p>
        </w:tc>
        <w:tc>
          <w:tcPr>
            <w:tcW w:w="810" w:type="dxa"/>
            <w:tcBorders>
              <w:top w:val="nil"/>
              <w:left w:val="nil"/>
              <w:bottom w:val="single" w:sz="4" w:space="0" w:color="000000"/>
              <w:right w:val="single" w:sz="12" w:space="0" w:color="000000"/>
            </w:tcBorders>
            <w:shd w:val="clear" w:color="auto" w:fill="auto"/>
            <w:noWrap/>
            <w:vAlign w:val="center"/>
          </w:tcPr>
          <w:p w14:paraId="5E73D73A" w14:textId="4D3A098F"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$62.07</w:t>
            </w:r>
          </w:p>
        </w:tc>
      </w:tr>
      <w:tr w:rsidR="00D87C7D" w:rsidRPr="00EE5714" w14:paraId="4EB6B79A" w14:textId="77777777" w:rsidTr="00E653E0">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3BF15008" w14:textId="77777777"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3398261D" w14:textId="78F36E4C"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$33.73</w:t>
            </w:r>
          </w:p>
        </w:tc>
        <w:tc>
          <w:tcPr>
            <w:tcW w:w="927" w:type="dxa"/>
            <w:tcBorders>
              <w:top w:val="nil"/>
              <w:left w:val="nil"/>
              <w:bottom w:val="single" w:sz="8" w:space="0" w:color="000000"/>
              <w:right w:val="single" w:sz="4" w:space="0" w:color="000000"/>
            </w:tcBorders>
            <w:shd w:val="clear" w:color="auto" w:fill="auto"/>
            <w:noWrap/>
            <w:vAlign w:val="center"/>
          </w:tcPr>
          <w:p w14:paraId="6EFAECE4" w14:textId="4F3D1E7C"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$33.42</w:t>
            </w:r>
          </w:p>
        </w:tc>
        <w:tc>
          <w:tcPr>
            <w:tcW w:w="927" w:type="dxa"/>
            <w:tcBorders>
              <w:top w:val="nil"/>
              <w:left w:val="nil"/>
              <w:bottom w:val="single" w:sz="8" w:space="0" w:color="000000"/>
              <w:right w:val="single" w:sz="4" w:space="0" w:color="000000"/>
            </w:tcBorders>
            <w:shd w:val="clear" w:color="auto" w:fill="auto"/>
            <w:noWrap/>
            <w:vAlign w:val="center"/>
          </w:tcPr>
          <w:p w14:paraId="2B5ED62C" w14:textId="57F67B4D"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$31.97</w:t>
            </w:r>
          </w:p>
        </w:tc>
        <w:tc>
          <w:tcPr>
            <w:tcW w:w="927" w:type="dxa"/>
            <w:tcBorders>
              <w:top w:val="nil"/>
              <w:left w:val="nil"/>
              <w:bottom w:val="single" w:sz="8" w:space="0" w:color="000000"/>
              <w:right w:val="single" w:sz="4" w:space="0" w:color="000000"/>
            </w:tcBorders>
            <w:shd w:val="clear" w:color="auto" w:fill="auto"/>
            <w:noWrap/>
            <w:vAlign w:val="center"/>
          </w:tcPr>
          <w:p w14:paraId="704B2CD3" w14:textId="5FD04A14"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$38.35</w:t>
            </w:r>
          </w:p>
        </w:tc>
        <w:tc>
          <w:tcPr>
            <w:tcW w:w="927" w:type="dxa"/>
            <w:tcBorders>
              <w:top w:val="single" w:sz="4" w:space="0" w:color="000000"/>
              <w:left w:val="nil"/>
              <w:bottom w:val="single" w:sz="8" w:space="0" w:color="000000"/>
              <w:right w:val="single" w:sz="4" w:space="0" w:color="auto"/>
            </w:tcBorders>
            <w:vAlign w:val="center"/>
          </w:tcPr>
          <w:p w14:paraId="0F038880" w14:textId="033A3535"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$43.14</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15985511" w14:textId="328EE530"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$46.20</w:t>
            </w:r>
          </w:p>
        </w:tc>
        <w:tc>
          <w:tcPr>
            <w:tcW w:w="927" w:type="dxa"/>
            <w:tcBorders>
              <w:top w:val="nil"/>
              <w:left w:val="nil"/>
              <w:bottom w:val="single" w:sz="4" w:space="0" w:color="000000"/>
              <w:right w:val="single" w:sz="4" w:space="0" w:color="000000"/>
            </w:tcBorders>
            <w:shd w:val="clear" w:color="auto" w:fill="auto"/>
            <w:noWrap/>
            <w:vAlign w:val="center"/>
          </w:tcPr>
          <w:p w14:paraId="10043A5B" w14:textId="3DC105AE"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$53.59</w:t>
            </w:r>
          </w:p>
        </w:tc>
        <w:tc>
          <w:tcPr>
            <w:tcW w:w="927" w:type="dxa"/>
            <w:tcBorders>
              <w:top w:val="nil"/>
              <w:left w:val="nil"/>
              <w:bottom w:val="single" w:sz="4" w:space="0" w:color="000000"/>
              <w:right w:val="single" w:sz="4" w:space="0" w:color="000000"/>
            </w:tcBorders>
            <w:shd w:val="clear" w:color="auto" w:fill="auto"/>
            <w:noWrap/>
            <w:vAlign w:val="center"/>
          </w:tcPr>
          <w:p w14:paraId="0D3F6BFC" w14:textId="747FAE58"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$55.11</w:t>
            </w:r>
          </w:p>
        </w:tc>
        <w:tc>
          <w:tcPr>
            <w:tcW w:w="864" w:type="dxa"/>
            <w:tcBorders>
              <w:top w:val="nil"/>
              <w:left w:val="nil"/>
              <w:bottom w:val="single" w:sz="4" w:space="0" w:color="000000"/>
              <w:right w:val="single" w:sz="4" w:space="0" w:color="000000"/>
            </w:tcBorders>
            <w:shd w:val="clear" w:color="auto" w:fill="auto"/>
            <w:noWrap/>
            <w:vAlign w:val="center"/>
          </w:tcPr>
          <w:p w14:paraId="551E5B7E" w14:textId="6392018F"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$60.15</w:t>
            </w:r>
          </w:p>
        </w:tc>
        <w:tc>
          <w:tcPr>
            <w:tcW w:w="810" w:type="dxa"/>
            <w:tcBorders>
              <w:top w:val="nil"/>
              <w:left w:val="nil"/>
              <w:bottom w:val="single" w:sz="4" w:space="0" w:color="000000"/>
              <w:right w:val="single" w:sz="12" w:space="0" w:color="000000"/>
            </w:tcBorders>
            <w:shd w:val="clear" w:color="auto" w:fill="auto"/>
            <w:noWrap/>
            <w:vAlign w:val="center"/>
          </w:tcPr>
          <w:p w14:paraId="08A8CC6A" w14:textId="467434F1" w:rsidR="00D87C7D" w:rsidRPr="00EE5714" w:rsidRDefault="00D87C7D" w:rsidP="00D87C7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$64.69</w:t>
            </w:r>
          </w:p>
        </w:tc>
      </w:tr>
      <w:tr w:rsidR="007B40E0" w:rsidRPr="00EE5714" w14:paraId="1271654A" w14:textId="77777777" w:rsidTr="00E653E0">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52AE7885" w14:textId="77777777" w:rsidR="007B40E0" w:rsidRPr="00EE5714" w:rsidRDefault="007B40E0"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0A525D89"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14DB14BC"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33B71A1C"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r>
      <w:tr w:rsidR="00E653E0" w:rsidRPr="00EE5714" w14:paraId="34DCC374"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23477571" w14:textId="77777777"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07713450" w14:textId="608DFA1C"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$34.41</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1CF0A6C0" w14:textId="2142718C"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$34.09</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5739C461" w14:textId="6FFE0132"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$32.61</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5E2F92A8" w14:textId="2EE2A8B0"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$39.12</w:t>
            </w:r>
          </w:p>
        </w:tc>
        <w:tc>
          <w:tcPr>
            <w:tcW w:w="927" w:type="dxa"/>
            <w:tcBorders>
              <w:top w:val="single" w:sz="8" w:space="0" w:color="000000"/>
              <w:left w:val="nil"/>
              <w:bottom w:val="single" w:sz="4" w:space="0" w:color="000000"/>
              <w:right w:val="single" w:sz="4" w:space="0" w:color="auto"/>
            </w:tcBorders>
            <w:vAlign w:val="center"/>
          </w:tcPr>
          <w:p w14:paraId="621A1391" w14:textId="4945BC4F"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$44.01</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1D6D8808" w14:textId="10F89E6E"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$47.14</w:t>
            </w:r>
          </w:p>
        </w:tc>
        <w:tc>
          <w:tcPr>
            <w:tcW w:w="927" w:type="dxa"/>
            <w:tcBorders>
              <w:top w:val="nil"/>
              <w:left w:val="nil"/>
              <w:bottom w:val="single" w:sz="4" w:space="0" w:color="000000"/>
              <w:right w:val="single" w:sz="4" w:space="0" w:color="000000"/>
            </w:tcBorders>
            <w:shd w:val="clear" w:color="auto" w:fill="auto"/>
            <w:noWrap/>
            <w:vAlign w:val="center"/>
          </w:tcPr>
          <w:p w14:paraId="0E085308" w14:textId="40E7CB26"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$54.67</w:t>
            </w:r>
          </w:p>
        </w:tc>
        <w:tc>
          <w:tcPr>
            <w:tcW w:w="927" w:type="dxa"/>
            <w:tcBorders>
              <w:top w:val="nil"/>
              <w:left w:val="nil"/>
              <w:bottom w:val="single" w:sz="4" w:space="0" w:color="000000"/>
              <w:right w:val="single" w:sz="4" w:space="0" w:color="000000"/>
            </w:tcBorders>
            <w:shd w:val="clear" w:color="auto" w:fill="auto"/>
            <w:noWrap/>
            <w:vAlign w:val="center"/>
          </w:tcPr>
          <w:p w14:paraId="70660F41" w14:textId="3C789817"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$56.23</w:t>
            </w:r>
          </w:p>
        </w:tc>
        <w:tc>
          <w:tcPr>
            <w:tcW w:w="864" w:type="dxa"/>
            <w:tcBorders>
              <w:top w:val="nil"/>
              <w:left w:val="nil"/>
              <w:bottom w:val="single" w:sz="4" w:space="0" w:color="000000"/>
              <w:right w:val="single" w:sz="4" w:space="0" w:color="000000"/>
            </w:tcBorders>
            <w:shd w:val="clear" w:color="auto" w:fill="auto"/>
            <w:noWrap/>
            <w:vAlign w:val="center"/>
          </w:tcPr>
          <w:p w14:paraId="1664170B" w14:textId="44663866"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$61.37</w:t>
            </w:r>
          </w:p>
        </w:tc>
        <w:tc>
          <w:tcPr>
            <w:tcW w:w="810" w:type="dxa"/>
            <w:tcBorders>
              <w:top w:val="nil"/>
              <w:left w:val="nil"/>
              <w:bottom w:val="single" w:sz="4" w:space="0" w:color="000000"/>
              <w:right w:val="single" w:sz="12" w:space="0" w:color="000000"/>
            </w:tcBorders>
            <w:shd w:val="clear" w:color="auto" w:fill="auto"/>
            <w:noWrap/>
            <w:vAlign w:val="center"/>
          </w:tcPr>
          <w:p w14:paraId="18D4C02A" w14:textId="1574F036"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$65.99</w:t>
            </w:r>
          </w:p>
        </w:tc>
      </w:tr>
      <w:tr w:rsidR="00E653E0" w:rsidRPr="00EE5714" w14:paraId="516963DD"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4431BD3" w14:textId="77777777"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6D8F2998" w14:textId="657843C9"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$35.77</w:t>
            </w:r>
          </w:p>
        </w:tc>
        <w:tc>
          <w:tcPr>
            <w:tcW w:w="927" w:type="dxa"/>
            <w:tcBorders>
              <w:top w:val="nil"/>
              <w:left w:val="nil"/>
              <w:bottom w:val="single" w:sz="4" w:space="0" w:color="000000"/>
              <w:right w:val="single" w:sz="4" w:space="0" w:color="000000"/>
            </w:tcBorders>
            <w:shd w:val="clear" w:color="auto" w:fill="auto"/>
            <w:noWrap/>
            <w:vAlign w:val="center"/>
          </w:tcPr>
          <w:p w14:paraId="283B920C" w14:textId="4E6066DE"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$35.44</w:t>
            </w:r>
          </w:p>
        </w:tc>
        <w:tc>
          <w:tcPr>
            <w:tcW w:w="927" w:type="dxa"/>
            <w:tcBorders>
              <w:top w:val="nil"/>
              <w:left w:val="nil"/>
              <w:bottom w:val="single" w:sz="4" w:space="0" w:color="000000"/>
              <w:right w:val="single" w:sz="4" w:space="0" w:color="000000"/>
            </w:tcBorders>
            <w:shd w:val="clear" w:color="auto" w:fill="auto"/>
            <w:noWrap/>
            <w:vAlign w:val="center"/>
          </w:tcPr>
          <w:p w14:paraId="105EAA82" w14:textId="21FC4CF7"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$33.91</w:t>
            </w:r>
          </w:p>
        </w:tc>
        <w:tc>
          <w:tcPr>
            <w:tcW w:w="927" w:type="dxa"/>
            <w:tcBorders>
              <w:top w:val="nil"/>
              <w:left w:val="nil"/>
              <w:bottom w:val="single" w:sz="4" w:space="0" w:color="000000"/>
              <w:right w:val="single" w:sz="4" w:space="0" w:color="000000"/>
            </w:tcBorders>
            <w:shd w:val="clear" w:color="auto" w:fill="auto"/>
            <w:noWrap/>
            <w:vAlign w:val="center"/>
          </w:tcPr>
          <w:p w14:paraId="1ABFF008" w14:textId="05B85BF6"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$40.67</w:t>
            </w:r>
          </w:p>
        </w:tc>
        <w:tc>
          <w:tcPr>
            <w:tcW w:w="927" w:type="dxa"/>
            <w:tcBorders>
              <w:top w:val="single" w:sz="4" w:space="0" w:color="000000"/>
              <w:left w:val="nil"/>
              <w:bottom w:val="single" w:sz="4" w:space="0" w:color="000000"/>
              <w:right w:val="single" w:sz="4" w:space="0" w:color="auto"/>
            </w:tcBorders>
            <w:vAlign w:val="center"/>
          </w:tcPr>
          <w:p w14:paraId="50681C3A" w14:textId="57B61988"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$45.75</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450FB530" w14:textId="0AD6A383"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$49.00</w:t>
            </w:r>
          </w:p>
        </w:tc>
        <w:tc>
          <w:tcPr>
            <w:tcW w:w="927" w:type="dxa"/>
            <w:tcBorders>
              <w:top w:val="nil"/>
              <w:left w:val="nil"/>
              <w:bottom w:val="single" w:sz="4" w:space="0" w:color="000000"/>
              <w:right w:val="single" w:sz="4" w:space="0" w:color="000000"/>
            </w:tcBorders>
            <w:shd w:val="clear" w:color="auto" w:fill="auto"/>
            <w:noWrap/>
            <w:vAlign w:val="center"/>
          </w:tcPr>
          <w:p w14:paraId="06A6BD4B" w14:textId="4672D15F"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$56.84</w:t>
            </w:r>
          </w:p>
        </w:tc>
        <w:tc>
          <w:tcPr>
            <w:tcW w:w="927" w:type="dxa"/>
            <w:tcBorders>
              <w:top w:val="nil"/>
              <w:left w:val="nil"/>
              <w:bottom w:val="single" w:sz="4" w:space="0" w:color="000000"/>
              <w:right w:val="single" w:sz="4" w:space="0" w:color="000000"/>
            </w:tcBorders>
            <w:shd w:val="clear" w:color="auto" w:fill="auto"/>
            <w:noWrap/>
            <w:vAlign w:val="center"/>
          </w:tcPr>
          <w:p w14:paraId="45B8AB54" w14:textId="7E8B4FA3"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$58.45</w:t>
            </w:r>
          </w:p>
        </w:tc>
        <w:tc>
          <w:tcPr>
            <w:tcW w:w="864" w:type="dxa"/>
            <w:tcBorders>
              <w:top w:val="nil"/>
              <w:left w:val="nil"/>
              <w:bottom w:val="single" w:sz="4" w:space="0" w:color="000000"/>
              <w:right w:val="single" w:sz="4" w:space="0" w:color="000000"/>
            </w:tcBorders>
            <w:shd w:val="clear" w:color="auto" w:fill="auto"/>
            <w:noWrap/>
            <w:vAlign w:val="center"/>
          </w:tcPr>
          <w:p w14:paraId="5891A17C" w14:textId="2B413E80"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$63.80</w:t>
            </w:r>
          </w:p>
        </w:tc>
        <w:tc>
          <w:tcPr>
            <w:tcW w:w="810" w:type="dxa"/>
            <w:tcBorders>
              <w:top w:val="nil"/>
              <w:left w:val="nil"/>
              <w:bottom w:val="single" w:sz="4" w:space="0" w:color="000000"/>
              <w:right w:val="single" w:sz="12" w:space="0" w:color="000000"/>
            </w:tcBorders>
            <w:shd w:val="clear" w:color="auto" w:fill="auto"/>
            <w:noWrap/>
            <w:vAlign w:val="center"/>
          </w:tcPr>
          <w:p w14:paraId="65ED086E" w14:textId="166E7980" w:rsidR="00E653E0" w:rsidRPr="00EE5714" w:rsidRDefault="00E653E0" w:rsidP="00E653E0">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$68.61</w:t>
            </w:r>
          </w:p>
        </w:tc>
      </w:tr>
      <w:tr w:rsidR="00E653E0" w:rsidRPr="00EE5714" w14:paraId="3870DC1F" w14:textId="77777777" w:rsidTr="003F3312">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5328F172" w14:textId="77777777" w:rsidR="00E653E0" w:rsidRPr="00EE5714" w:rsidRDefault="00E653E0" w:rsidP="00E653E0">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64C38C49" w14:textId="5E7B22F7" w:rsidR="00E653E0" w:rsidRPr="00EE5714" w:rsidRDefault="00E653E0" w:rsidP="00E653E0">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$37.48</w:t>
            </w:r>
          </w:p>
        </w:tc>
        <w:tc>
          <w:tcPr>
            <w:tcW w:w="927" w:type="dxa"/>
            <w:tcBorders>
              <w:top w:val="nil"/>
              <w:left w:val="nil"/>
              <w:bottom w:val="single" w:sz="12" w:space="0" w:color="000000"/>
              <w:right w:val="single" w:sz="4" w:space="0" w:color="000000"/>
            </w:tcBorders>
            <w:shd w:val="clear" w:color="auto" w:fill="auto"/>
            <w:noWrap/>
            <w:vAlign w:val="center"/>
          </w:tcPr>
          <w:p w14:paraId="3CE9BF9C" w14:textId="5A7C0F30" w:rsidR="00E653E0" w:rsidRPr="00EE5714" w:rsidRDefault="00E653E0" w:rsidP="00E653E0">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$37.13</w:t>
            </w:r>
          </w:p>
        </w:tc>
        <w:tc>
          <w:tcPr>
            <w:tcW w:w="927" w:type="dxa"/>
            <w:tcBorders>
              <w:top w:val="nil"/>
              <w:left w:val="nil"/>
              <w:bottom w:val="single" w:sz="12" w:space="0" w:color="000000"/>
              <w:right w:val="single" w:sz="4" w:space="0" w:color="000000"/>
            </w:tcBorders>
            <w:shd w:val="clear" w:color="auto" w:fill="auto"/>
            <w:noWrap/>
            <w:vAlign w:val="center"/>
          </w:tcPr>
          <w:p w14:paraId="6E689D82" w14:textId="4225514E" w:rsidR="00E653E0" w:rsidRPr="00EE5714" w:rsidRDefault="00E653E0" w:rsidP="00E653E0">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$35.52</w:t>
            </w:r>
          </w:p>
        </w:tc>
        <w:tc>
          <w:tcPr>
            <w:tcW w:w="927" w:type="dxa"/>
            <w:tcBorders>
              <w:top w:val="nil"/>
              <w:left w:val="nil"/>
              <w:bottom w:val="single" w:sz="12" w:space="0" w:color="000000"/>
              <w:right w:val="single" w:sz="4" w:space="0" w:color="000000"/>
            </w:tcBorders>
            <w:shd w:val="clear" w:color="auto" w:fill="auto"/>
            <w:noWrap/>
            <w:vAlign w:val="center"/>
          </w:tcPr>
          <w:p w14:paraId="3E6F7C43" w14:textId="02654D18" w:rsidR="00E653E0" w:rsidRPr="00EE5714" w:rsidRDefault="00E653E0" w:rsidP="00E653E0">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$42.61</w:t>
            </w:r>
          </w:p>
        </w:tc>
        <w:tc>
          <w:tcPr>
            <w:tcW w:w="927" w:type="dxa"/>
            <w:tcBorders>
              <w:top w:val="single" w:sz="4" w:space="0" w:color="000000"/>
              <w:left w:val="nil"/>
              <w:bottom w:val="single" w:sz="12" w:space="0" w:color="000000"/>
              <w:right w:val="single" w:sz="4" w:space="0" w:color="auto"/>
            </w:tcBorders>
            <w:vAlign w:val="center"/>
          </w:tcPr>
          <w:p w14:paraId="55FEEFE1" w14:textId="77FB343C" w:rsidR="00E653E0" w:rsidRPr="00EE5714" w:rsidRDefault="00E653E0" w:rsidP="00E653E0">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$47.93</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304566E7" w14:textId="56E1EA03" w:rsidR="00E653E0" w:rsidRPr="00EE5714" w:rsidRDefault="00E653E0" w:rsidP="00E653E0">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$51.34</w:t>
            </w:r>
          </w:p>
        </w:tc>
        <w:tc>
          <w:tcPr>
            <w:tcW w:w="927" w:type="dxa"/>
            <w:tcBorders>
              <w:top w:val="nil"/>
              <w:left w:val="nil"/>
              <w:bottom w:val="single" w:sz="12" w:space="0" w:color="000000"/>
              <w:right w:val="single" w:sz="4" w:space="0" w:color="000000"/>
            </w:tcBorders>
            <w:shd w:val="clear" w:color="auto" w:fill="auto"/>
            <w:noWrap/>
            <w:vAlign w:val="center"/>
          </w:tcPr>
          <w:p w14:paraId="71896F6D" w14:textId="268697BE" w:rsidR="00E653E0" w:rsidRPr="00EE5714" w:rsidRDefault="00E653E0" w:rsidP="00E653E0">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$59.54</w:t>
            </w:r>
          </w:p>
        </w:tc>
        <w:tc>
          <w:tcPr>
            <w:tcW w:w="927" w:type="dxa"/>
            <w:tcBorders>
              <w:top w:val="nil"/>
              <w:left w:val="nil"/>
              <w:bottom w:val="single" w:sz="12" w:space="0" w:color="000000"/>
              <w:right w:val="single" w:sz="4" w:space="0" w:color="000000"/>
            </w:tcBorders>
            <w:shd w:val="clear" w:color="auto" w:fill="auto"/>
            <w:noWrap/>
            <w:vAlign w:val="center"/>
          </w:tcPr>
          <w:p w14:paraId="40849BB0" w14:textId="5F01D5DC" w:rsidR="00E653E0" w:rsidRPr="00EE5714" w:rsidRDefault="00E653E0" w:rsidP="00E653E0">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$61.24</w:t>
            </w:r>
          </w:p>
        </w:tc>
        <w:tc>
          <w:tcPr>
            <w:tcW w:w="864" w:type="dxa"/>
            <w:tcBorders>
              <w:top w:val="nil"/>
              <w:left w:val="nil"/>
              <w:bottom w:val="single" w:sz="12" w:space="0" w:color="000000"/>
              <w:right w:val="single" w:sz="4" w:space="0" w:color="000000"/>
            </w:tcBorders>
            <w:shd w:val="clear" w:color="auto" w:fill="auto"/>
            <w:noWrap/>
            <w:vAlign w:val="center"/>
          </w:tcPr>
          <w:p w14:paraId="3A5588C7" w14:textId="2861C390" w:rsidR="00E653E0" w:rsidRPr="00EE5714" w:rsidRDefault="00E653E0" w:rsidP="00E653E0">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$66.84</w:t>
            </w:r>
          </w:p>
        </w:tc>
        <w:tc>
          <w:tcPr>
            <w:tcW w:w="810" w:type="dxa"/>
            <w:tcBorders>
              <w:top w:val="nil"/>
              <w:left w:val="nil"/>
              <w:bottom w:val="single" w:sz="12" w:space="0" w:color="000000"/>
              <w:right w:val="single" w:sz="12" w:space="0" w:color="000000"/>
            </w:tcBorders>
            <w:shd w:val="clear" w:color="auto" w:fill="auto"/>
            <w:noWrap/>
            <w:vAlign w:val="center"/>
          </w:tcPr>
          <w:p w14:paraId="7E6D0BF6" w14:textId="6F181811" w:rsidR="00E653E0" w:rsidRPr="00EE5714" w:rsidRDefault="00E653E0" w:rsidP="00E653E0">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$71.87</w:t>
            </w:r>
          </w:p>
        </w:tc>
      </w:tr>
    </w:tbl>
    <w:p w14:paraId="6DDAB388" w14:textId="77777777" w:rsidR="00071E2B" w:rsidRPr="00071E2B" w:rsidRDefault="00071E2B" w:rsidP="00071E2B">
      <w:pPr>
        <w:pStyle w:val="NoSpacing"/>
        <w:rPr>
          <w:rFonts w:cs="Times New Roman"/>
          <w:szCs w:val="26"/>
        </w:rPr>
      </w:pPr>
    </w:p>
    <w:p w14:paraId="3DD1C51F" w14:textId="77777777" w:rsidR="00570EAE" w:rsidRPr="00EE5714" w:rsidRDefault="00570EAE" w:rsidP="007D7A46">
      <w:pPr>
        <w:pStyle w:val="NoSpacing"/>
        <w:rPr>
          <w:rFonts w:cs="Times New Roman"/>
          <w:szCs w:val="26"/>
        </w:rPr>
      </w:pPr>
    </w:p>
    <w:p w14:paraId="7A266B4E" w14:textId="52F1B73B" w:rsidR="00F303E0" w:rsidRPr="00EE5714" w:rsidRDefault="00F734A0" w:rsidP="0009098D">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521C79" w:rsidRPr="00EE5714">
        <w:rPr>
          <w:rFonts w:cs="Times New Roman"/>
          <w:szCs w:val="26"/>
        </w:rPr>
        <w:t>F</w:t>
      </w:r>
      <w:r w:rsidR="00F303E0" w:rsidRPr="00EE5714">
        <w:rPr>
          <w:rFonts w:cs="Times New Roman"/>
          <w:szCs w:val="26"/>
        </w:rPr>
        <w:t xml:space="preserve">.2: </w:t>
      </w:r>
      <w:r w:rsidR="00F303E0" w:rsidRPr="00EE5714">
        <w:rPr>
          <w:rFonts w:cs="Times New Roman"/>
          <w:b/>
          <w:szCs w:val="26"/>
        </w:rPr>
        <w:t>Actual Data and Forecasts – Met-Ed</w:t>
      </w:r>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7B40E0" w:rsidRPr="00EE5714" w14:paraId="514AA619" w14:textId="77777777" w:rsidTr="00180883">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5CB95F8F" w14:textId="77777777" w:rsidR="007B40E0" w:rsidRPr="00EE5714" w:rsidRDefault="007B40E0"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1B862321"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03FE63E3"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7B40E0" w:rsidRPr="00EE5714" w14:paraId="57AC649F"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37D2F47C" w14:textId="77777777" w:rsidR="007B40E0" w:rsidRPr="00EE5714" w:rsidRDefault="007B40E0"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32FA0600"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3CC4F662"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6B2CD2E8"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31A40F29"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7DE65B8D"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09533141"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579535F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124557F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094D9BB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015C9428"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8E73C9" w:rsidRPr="00EE5714" w14:paraId="7884B2B7" w14:textId="77777777" w:rsidTr="003F3312">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0B9D1A68" w14:textId="77777777" w:rsidR="008E73C9" w:rsidRPr="00EE5714" w:rsidRDefault="008E73C9" w:rsidP="008E73C9">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250AC347" w14:textId="56AEBEFD"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$61.95</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28F236D0" w14:textId="5C4736EA"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$49.42</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6F2D8FFE" w14:textId="6DE70726"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$37.06</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1F9F996" w14:textId="4AE486B2"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$31.69</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2DE8C224" w14:textId="57C047BF"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$29.76</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556C9FF7" w14:textId="37E9C7AA"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$30.47</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341AC1C" w14:textId="0503F9BF"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$34.03</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9747ECB" w14:textId="3FE60B41"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$36.04</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15311CAC" w14:textId="00BD515F"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$35.62</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1825ADAE" w14:textId="3D121A22"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$35.26</w:t>
            </w:r>
          </w:p>
        </w:tc>
      </w:tr>
      <w:tr w:rsidR="008E73C9" w:rsidRPr="00EE5714" w14:paraId="25CBB145"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5C913C3" w14:textId="77777777"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5E07EE4A" w14:textId="750650A9"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$55.76</w:t>
            </w:r>
          </w:p>
        </w:tc>
        <w:tc>
          <w:tcPr>
            <w:tcW w:w="927" w:type="dxa"/>
            <w:tcBorders>
              <w:top w:val="nil"/>
              <w:left w:val="nil"/>
              <w:bottom w:val="single" w:sz="4" w:space="0" w:color="000000"/>
              <w:right w:val="single" w:sz="4" w:space="0" w:color="000000"/>
            </w:tcBorders>
            <w:shd w:val="clear" w:color="auto" w:fill="auto"/>
            <w:noWrap/>
            <w:vAlign w:val="center"/>
          </w:tcPr>
          <w:p w14:paraId="714D6D8A" w14:textId="630D9A43"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$44.48</w:t>
            </w:r>
          </w:p>
        </w:tc>
        <w:tc>
          <w:tcPr>
            <w:tcW w:w="927" w:type="dxa"/>
            <w:tcBorders>
              <w:top w:val="nil"/>
              <w:left w:val="nil"/>
              <w:bottom w:val="single" w:sz="4" w:space="0" w:color="000000"/>
              <w:right w:val="single" w:sz="4" w:space="0" w:color="000000"/>
            </w:tcBorders>
            <w:shd w:val="clear" w:color="auto" w:fill="auto"/>
            <w:noWrap/>
            <w:vAlign w:val="center"/>
          </w:tcPr>
          <w:p w14:paraId="42702D1C" w14:textId="1070FF4E"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$33.35</w:t>
            </w:r>
          </w:p>
        </w:tc>
        <w:tc>
          <w:tcPr>
            <w:tcW w:w="927" w:type="dxa"/>
            <w:tcBorders>
              <w:top w:val="nil"/>
              <w:left w:val="nil"/>
              <w:bottom w:val="single" w:sz="4" w:space="0" w:color="000000"/>
              <w:right w:val="single" w:sz="4" w:space="0" w:color="000000"/>
            </w:tcBorders>
            <w:shd w:val="clear" w:color="auto" w:fill="auto"/>
            <w:noWrap/>
            <w:vAlign w:val="center"/>
          </w:tcPr>
          <w:p w14:paraId="647F6D40" w14:textId="2A756B8D"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$28.53</w:t>
            </w:r>
          </w:p>
        </w:tc>
        <w:tc>
          <w:tcPr>
            <w:tcW w:w="927" w:type="dxa"/>
            <w:tcBorders>
              <w:top w:val="single" w:sz="4" w:space="0" w:color="000000"/>
              <w:left w:val="nil"/>
              <w:bottom w:val="single" w:sz="4" w:space="0" w:color="000000"/>
              <w:right w:val="single" w:sz="4" w:space="0" w:color="auto"/>
            </w:tcBorders>
            <w:vAlign w:val="center"/>
          </w:tcPr>
          <w:p w14:paraId="078F278A" w14:textId="5AF39F57"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$26.79</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19EC9334" w14:textId="1CCC486F"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$27.43</w:t>
            </w:r>
          </w:p>
        </w:tc>
        <w:tc>
          <w:tcPr>
            <w:tcW w:w="927" w:type="dxa"/>
            <w:tcBorders>
              <w:top w:val="nil"/>
              <w:left w:val="nil"/>
              <w:bottom w:val="single" w:sz="4" w:space="0" w:color="000000"/>
              <w:right w:val="single" w:sz="4" w:space="0" w:color="000000"/>
            </w:tcBorders>
            <w:shd w:val="clear" w:color="auto" w:fill="auto"/>
            <w:noWrap/>
            <w:vAlign w:val="center"/>
          </w:tcPr>
          <w:p w14:paraId="23D802F7" w14:textId="5199F5B6"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$30.63</w:t>
            </w:r>
          </w:p>
        </w:tc>
        <w:tc>
          <w:tcPr>
            <w:tcW w:w="927" w:type="dxa"/>
            <w:tcBorders>
              <w:top w:val="nil"/>
              <w:left w:val="nil"/>
              <w:bottom w:val="single" w:sz="4" w:space="0" w:color="000000"/>
              <w:right w:val="single" w:sz="4" w:space="0" w:color="000000"/>
            </w:tcBorders>
            <w:shd w:val="clear" w:color="auto" w:fill="auto"/>
            <w:noWrap/>
            <w:vAlign w:val="center"/>
          </w:tcPr>
          <w:p w14:paraId="30F685BD" w14:textId="77460476"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$32.44</w:t>
            </w:r>
          </w:p>
        </w:tc>
        <w:tc>
          <w:tcPr>
            <w:tcW w:w="864" w:type="dxa"/>
            <w:tcBorders>
              <w:top w:val="nil"/>
              <w:left w:val="nil"/>
              <w:bottom w:val="single" w:sz="4" w:space="0" w:color="000000"/>
              <w:right w:val="single" w:sz="4" w:space="0" w:color="000000"/>
            </w:tcBorders>
            <w:shd w:val="clear" w:color="auto" w:fill="auto"/>
            <w:noWrap/>
            <w:vAlign w:val="center"/>
          </w:tcPr>
          <w:p w14:paraId="7C756C7D" w14:textId="5598013C"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$32.06</w:t>
            </w:r>
          </w:p>
        </w:tc>
        <w:tc>
          <w:tcPr>
            <w:tcW w:w="810" w:type="dxa"/>
            <w:tcBorders>
              <w:top w:val="nil"/>
              <w:left w:val="nil"/>
              <w:bottom w:val="single" w:sz="4" w:space="0" w:color="000000"/>
              <w:right w:val="single" w:sz="12" w:space="0" w:color="000000"/>
            </w:tcBorders>
            <w:shd w:val="clear" w:color="auto" w:fill="auto"/>
            <w:noWrap/>
            <w:vAlign w:val="center"/>
          </w:tcPr>
          <w:p w14:paraId="3FCFE687" w14:textId="5CB7FB84"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$31.73</w:t>
            </w:r>
          </w:p>
        </w:tc>
      </w:tr>
      <w:tr w:rsidR="008E73C9" w:rsidRPr="00EE5714" w14:paraId="40FCF6A9"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25C70F2" w14:textId="77777777"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7F65B553" w14:textId="32B6EB84"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$58.85</w:t>
            </w:r>
          </w:p>
        </w:tc>
        <w:tc>
          <w:tcPr>
            <w:tcW w:w="927" w:type="dxa"/>
            <w:tcBorders>
              <w:top w:val="nil"/>
              <w:left w:val="nil"/>
              <w:bottom w:val="single" w:sz="4" w:space="0" w:color="000000"/>
              <w:right w:val="single" w:sz="4" w:space="0" w:color="000000"/>
            </w:tcBorders>
            <w:shd w:val="clear" w:color="auto" w:fill="auto"/>
            <w:noWrap/>
            <w:vAlign w:val="center"/>
          </w:tcPr>
          <w:p w14:paraId="7BEA20F1" w14:textId="0042BAD6"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$46.95</w:t>
            </w:r>
          </w:p>
        </w:tc>
        <w:tc>
          <w:tcPr>
            <w:tcW w:w="927" w:type="dxa"/>
            <w:tcBorders>
              <w:top w:val="nil"/>
              <w:left w:val="nil"/>
              <w:bottom w:val="single" w:sz="4" w:space="0" w:color="000000"/>
              <w:right w:val="single" w:sz="4" w:space="0" w:color="000000"/>
            </w:tcBorders>
            <w:shd w:val="clear" w:color="auto" w:fill="auto"/>
            <w:noWrap/>
            <w:vAlign w:val="center"/>
          </w:tcPr>
          <w:p w14:paraId="5FFEBE0D" w14:textId="5C611B9F"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$35.20</w:t>
            </w:r>
          </w:p>
        </w:tc>
        <w:tc>
          <w:tcPr>
            <w:tcW w:w="927" w:type="dxa"/>
            <w:tcBorders>
              <w:top w:val="nil"/>
              <w:left w:val="nil"/>
              <w:bottom w:val="single" w:sz="4" w:space="0" w:color="000000"/>
              <w:right w:val="single" w:sz="4" w:space="0" w:color="000000"/>
            </w:tcBorders>
            <w:shd w:val="clear" w:color="auto" w:fill="auto"/>
            <w:noWrap/>
            <w:vAlign w:val="center"/>
          </w:tcPr>
          <w:p w14:paraId="4ACDE658" w14:textId="484EE63C"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$30.11</w:t>
            </w:r>
          </w:p>
        </w:tc>
        <w:tc>
          <w:tcPr>
            <w:tcW w:w="927" w:type="dxa"/>
            <w:tcBorders>
              <w:top w:val="single" w:sz="4" w:space="0" w:color="000000"/>
              <w:left w:val="nil"/>
              <w:bottom w:val="single" w:sz="4" w:space="0" w:color="000000"/>
              <w:right w:val="single" w:sz="4" w:space="0" w:color="auto"/>
            </w:tcBorders>
            <w:vAlign w:val="center"/>
          </w:tcPr>
          <w:p w14:paraId="580A8DD7" w14:textId="52D28C73"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$28.27</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27F06313" w14:textId="762EA56F"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$28.95</w:t>
            </w:r>
          </w:p>
        </w:tc>
        <w:tc>
          <w:tcPr>
            <w:tcW w:w="927" w:type="dxa"/>
            <w:tcBorders>
              <w:top w:val="nil"/>
              <w:left w:val="nil"/>
              <w:bottom w:val="single" w:sz="4" w:space="0" w:color="000000"/>
              <w:right w:val="single" w:sz="4" w:space="0" w:color="000000"/>
            </w:tcBorders>
            <w:shd w:val="clear" w:color="auto" w:fill="auto"/>
            <w:noWrap/>
            <w:vAlign w:val="center"/>
          </w:tcPr>
          <w:p w14:paraId="4C158DF1" w14:textId="32E87658"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$32.33</w:t>
            </w:r>
          </w:p>
        </w:tc>
        <w:tc>
          <w:tcPr>
            <w:tcW w:w="927" w:type="dxa"/>
            <w:tcBorders>
              <w:top w:val="nil"/>
              <w:left w:val="nil"/>
              <w:bottom w:val="single" w:sz="4" w:space="0" w:color="000000"/>
              <w:right w:val="single" w:sz="4" w:space="0" w:color="000000"/>
            </w:tcBorders>
            <w:shd w:val="clear" w:color="auto" w:fill="auto"/>
            <w:noWrap/>
            <w:vAlign w:val="center"/>
          </w:tcPr>
          <w:p w14:paraId="71F33FAC" w14:textId="6F274992"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$34.24</w:t>
            </w:r>
          </w:p>
        </w:tc>
        <w:tc>
          <w:tcPr>
            <w:tcW w:w="864" w:type="dxa"/>
            <w:tcBorders>
              <w:top w:val="nil"/>
              <w:left w:val="nil"/>
              <w:bottom w:val="single" w:sz="4" w:space="0" w:color="000000"/>
              <w:right w:val="single" w:sz="4" w:space="0" w:color="000000"/>
            </w:tcBorders>
            <w:shd w:val="clear" w:color="auto" w:fill="auto"/>
            <w:noWrap/>
            <w:vAlign w:val="center"/>
          </w:tcPr>
          <w:p w14:paraId="1BDEA39F" w14:textId="61B44C8B"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$33.84</w:t>
            </w:r>
          </w:p>
        </w:tc>
        <w:tc>
          <w:tcPr>
            <w:tcW w:w="810" w:type="dxa"/>
            <w:tcBorders>
              <w:top w:val="nil"/>
              <w:left w:val="nil"/>
              <w:bottom w:val="single" w:sz="4" w:space="0" w:color="000000"/>
              <w:right w:val="single" w:sz="12" w:space="0" w:color="000000"/>
            </w:tcBorders>
            <w:shd w:val="clear" w:color="auto" w:fill="auto"/>
            <w:noWrap/>
            <w:vAlign w:val="center"/>
          </w:tcPr>
          <w:p w14:paraId="4737C13C" w14:textId="7DDB2B24"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$33.50</w:t>
            </w:r>
          </w:p>
        </w:tc>
      </w:tr>
      <w:tr w:rsidR="008E73C9" w:rsidRPr="00EE5714" w14:paraId="7133BC8F" w14:textId="77777777" w:rsidTr="008E73C9">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438F7F65" w14:textId="77777777"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731722E6" w14:textId="5C0C6757"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$61.33</w:t>
            </w:r>
          </w:p>
        </w:tc>
        <w:tc>
          <w:tcPr>
            <w:tcW w:w="927" w:type="dxa"/>
            <w:tcBorders>
              <w:top w:val="nil"/>
              <w:left w:val="nil"/>
              <w:bottom w:val="single" w:sz="8" w:space="0" w:color="000000"/>
              <w:right w:val="single" w:sz="4" w:space="0" w:color="000000"/>
            </w:tcBorders>
            <w:shd w:val="clear" w:color="auto" w:fill="auto"/>
            <w:noWrap/>
            <w:vAlign w:val="center"/>
          </w:tcPr>
          <w:p w14:paraId="59A2D042" w14:textId="14C81D04"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$48.93</w:t>
            </w:r>
          </w:p>
        </w:tc>
        <w:tc>
          <w:tcPr>
            <w:tcW w:w="927" w:type="dxa"/>
            <w:tcBorders>
              <w:top w:val="nil"/>
              <w:left w:val="nil"/>
              <w:bottom w:val="single" w:sz="8" w:space="0" w:color="000000"/>
              <w:right w:val="single" w:sz="4" w:space="0" w:color="000000"/>
            </w:tcBorders>
            <w:shd w:val="clear" w:color="auto" w:fill="auto"/>
            <w:noWrap/>
            <w:vAlign w:val="center"/>
          </w:tcPr>
          <w:p w14:paraId="561C53CF" w14:textId="1BD4861E"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$36.68</w:t>
            </w:r>
          </w:p>
        </w:tc>
        <w:tc>
          <w:tcPr>
            <w:tcW w:w="927" w:type="dxa"/>
            <w:tcBorders>
              <w:top w:val="nil"/>
              <w:left w:val="nil"/>
              <w:bottom w:val="single" w:sz="8" w:space="0" w:color="000000"/>
              <w:right w:val="single" w:sz="4" w:space="0" w:color="000000"/>
            </w:tcBorders>
            <w:shd w:val="clear" w:color="auto" w:fill="auto"/>
            <w:noWrap/>
            <w:vAlign w:val="center"/>
          </w:tcPr>
          <w:p w14:paraId="17C81241" w14:textId="37CE1D58"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$31.38</w:t>
            </w:r>
          </w:p>
        </w:tc>
        <w:tc>
          <w:tcPr>
            <w:tcW w:w="927" w:type="dxa"/>
            <w:tcBorders>
              <w:top w:val="single" w:sz="4" w:space="0" w:color="000000"/>
              <w:left w:val="nil"/>
              <w:bottom w:val="single" w:sz="8" w:space="0" w:color="000000"/>
              <w:right w:val="single" w:sz="4" w:space="0" w:color="auto"/>
            </w:tcBorders>
            <w:vAlign w:val="center"/>
          </w:tcPr>
          <w:p w14:paraId="71710A39" w14:textId="6C244FAF"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$29.46</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18A218E8" w14:textId="2E170E2C"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$30.17</w:t>
            </w:r>
          </w:p>
        </w:tc>
        <w:tc>
          <w:tcPr>
            <w:tcW w:w="927" w:type="dxa"/>
            <w:tcBorders>
              <w:top w:val="nil"/>
              <w:left w:val="nil"/>
              <w:bottom w:val="single" w:sz="4" w:space="0" w:color="000000"/>
              <w:right w:val="single" w:sz="4" w:space="0" w:color="000000"/>
            </w:tcBorders>
            <w:shd w:val="clear" w:color="auto" w:fill="auto"/>
            <w:noWrap/>
            <w:vAlign w:val="center"/>
          </w:tcPr>
          <w:p w14:paraId="1DA23AD9" w14:textId="61D161BB"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$33.69</w:t>
            </w:r>
          </w:p>
        </w:tc>
        <w:tc>
          <w:tcPr>
            <w:tcW w:w="927" w:type="dxa"/>
            <w:tcBorders>
              <w:top w:val="nil"/>
              <w:left w:val="nil"/>
              <w:bottom w:val="single" w:sz="4" w:space="0" w:color="000000"/>
              <w:right w:val="single" w:sz="4" w:space="0" w:color="000000"/>
            </w:tcBorders>
            <w:shd w:val="clear" w:color="auto" w:fill="auto"/>
            <w:noWrap/>
            <w:vAlign w:val="center"/>
          </w:tcPr>
          <w:p w14:paraId="73B86401" w14:textId="4CBAB71C"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$35.68</w:t>
            </w:r>
          </w:p>
        </w:tc>
        <w:tc>
          <w:tcPr>
            <w:tcW w:w="864" w:type="dxa"/>
            <w:tcBorders>
              <w:top w:val="nil"/>
              <w:left w:val="nil"/>
              <w:bottom w:val="single" w:sz="4" w:space="0" w:color="000000"/>
              <w:right w:val="single" w:sz="4" w:space="0" w:color="000000"/>
            </w:tcBorders>
            <w:shd w:val="clear" w:color="auto" w:fill="auto"/>
            <w:noWrap/>
            <w:vAlign w:val="center"/>
          </w:tcPr>
          <w:p w14:paraId="03E17E04" w14:textId="16964877"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$35.26</w:t>
            </w:r>
          </w:p>
        </w:tc>
        <w:tc>
          <w:tcPr>
            <w:tcW w:w="810" w:type="dxa"/>
            <w:tcBorders>
              <w:top w:val="nil"/>
              <w:left w:val="nil"/>
              <w:bottom w:val="single" w:sz="4" w:space="0" w:color="000000"/>
              <w:right w:val="single" w:sz="12" w:space="0" w:color="000000"/>
            </w:tcBorders>
            <w:shd w:val="clear" w:color="auto" w:fill="auto"/>
            <w:noWrap/>
            <w:vAlign w:val="center"/>
          </w:tcPr>
          <w:p w14:paraId="7CAC1878" w14:textId="677E5FEE"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$34.91</w:t>
            </w:r>
          </w:p>
        </w:tc>
      </w:tr>
      <w:tr w:rsidR="007B40E0" w:rsidRPr="00EE5714" w14:paraId="3CF41D1F" w14:textId="77777777" w:rsidTr="008E73C9">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68D5BBA6" w14:textId="77777777" w:rsidR="007B40E0" w:rsidRPr="00EE5714" w:rsidRDefault="007B40E0"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6A8CB953"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33AEA62E"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4E2A044F"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r>
      <w:tr w:rsidR="008E73C9" w:rsidRPr="00EE5714" w14:paraId="16D92256"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7C0E009B" w14:textId="77777777"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403A2C0D" w14:textId="670200A4"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$62.57</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12B8BE60" w14:textId="650A3EC7"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$49.92</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546C1F92" w14:textId="76D6C96A"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$37.43</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530414CE" w14:textId="174376F8"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$32.01</w:t>
            </w:r>
          </w:p>
        </w:tc>
        <w:tc>
          <w:tcPr>
            <w:tcW w:w="927" w:type="dxa"/>
            <w:tcBorders>
              <w:top w:val="single" w:sz="8" w:space="0" w:color="000000"/>
              <w:left w:val="nil"/>
              <w:bottom w:val="single" w:sz="4" w:space="0" w:color="000000"/>
              <w:right w:val="single" w:sz="4" w:space="0" w:color="auto"/>
            </w:tcBorders>
            <w:vAlign w:val="center"/>
          </w:tcPr>
          <w:p w14:paraId="5E9F0AD6" w14:textId="00CA2EB4"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$30.06</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166F9214" w14:textId="671C4429"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$30.78</w:t>
            </w:r>
          </w:p>
        </w:tc>
        <w:tc>
          <w:tcPr>
            <w:tcW w:w="927" w:type="dxa"/>
            <w:tcBorders>
              <w:top w:val="nil"/>
              <w:left w:val="nil"/>
              <w:bottom w:val="single" w:sz="4" w:space="0" w:color="000000"/>
              <w:right w:val="single" w:sz="4" w:space="0" w:color="000000"/>
            </w:tcBorders>
            <w:shd w:val="clear" w:color="auto" w:fill="auto"/>
            <w:noWrap/>
            <w:vAlign w:val="center"/>
          </w:tcPr>
          <w:p w14:paraId="5143D70A" w14:textId="113DE4A8"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$34.37</w:t>
            </w:r>
          </w:p>
        </w:tc>
        <w:tc>
          <w:tcPr>
            <w:tcW w:w="927" w:type="dxa"/>
            <w:tcBorders>
              <w:top w:val="nil"/>
              <w:left w:val="nil"/>
              <w:bottom w:val="single" w:sz="4" w:space="0" w:color="000000"/>
              <w:right w:val="single" w:sz="4" w:space="0" w:color="000000"/>
            </w:tcBorders>
            <w:shd w:val="clear" w:color="auto" w:fill="auto"/>
            <w:noWrap/>
            <w:vAlign w:val="center"/>
          </w:tcPr>
          <w:p w14:paraId="329D894E" w14:textId="6FE05BF2"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$36.40</w:t>
            </w:r>
          </w:p>
        </w:tc>
        <w:tc>
          <w:tcPr>
            <w:tcW w:w="864" w:type="dxa"/>
            <w:tcBorders>
              <w:top w:val="nil"/>
              <w:left w:val="nil"/>
              <w:bottom w:val="single" w:sz="4" w:space="0" w:color="000000"/>
              <w:right w:val="single" w:sz="4" w:space="0" w:color="000000"/>
            </w:tcBorders>
            <w:shd w:val="clear" w:color="auto" w:fill="auto"/>
            <w:noWrap/>
            <w:vAlign w:val="center"/>
          </w:tcPr>
          <w:p w14:paraId="60A933AD" w14:textId="29041310"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$35.98</w:t>
            </w:r>
          </w:p>
        </w:tc>
        <w:tc>
          <w:tcPr>
            <w:tcW w:w="810" w:type="dxa"/>
            <w:tcBorders>
              <w:top w:val="nil"/>
              <w:left w:val="nil"/>
              <w:bottom w:val="single" w:sz="4" w:space="0" w:color="000000"/>
              <w:right w:val="single" w:sz="12" w:space="0" w:color="000000"/>
            </w:tcBorders>
            <w:shd w:val="clear" w:color="auto" w:fill="auto"/>
            <w:noWrap/>
            <w:vAlign w:val="center"/>
          </w:tcPr>
          <w:p w14:paraId="5630527B" w14:textId="15F04A18"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$35.61</w:t>
            </w:r>
          </w:p>
        </w:tc>
      </w:tr>
      <w:tr w:rsidR="008E73C9" w:rsidRPr="00EE5714" w14:paraId="5E70B258"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2306F511" w14:textId="77777777"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5CF44D03" w14:textId="11F60343"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$65.05</w:t>
            </w:r>
          </w:p>
        </w:tc>
        <w:tc>
          <w:tcPr>
            <w:tcW w:w="927" w:type="dxa"/>
            <w:tcBorders>
              <w:top w:val="nil"/>
              <w:left w:val="nil"/>
              <w:bottom w:val="single" w:sz="4" w:space="0" w:color="000000"/>
              <w:right w:val="single" w:sz="4" w:space="0" w:color="000000"/>
            </w:tcBorders>
            <w:shd w:val="clear" w:color="auto" w:fill="auto"/>
            <w:noWrap/>
            <w:vAlign w:val="center"/>
          </w:tcPr>
          <w:p w14:paraId="233B6301" w14:textId="4C600AA1"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$51.89</w:t>
            </w:r>
          </w:p>
        </w:tc>
        <w:tc>
          <w:tcPr>
            <w:tcW w:w="927" w:type="dxa"/>
            <w:tcBorders>
              <w:top w:val="nil"/>
              <w:left w:val="nil"/>
              <w:bottom w:val="single" w:sz="4" w:space="0" w:color="000000"/>
              <w:right w:val="single" w:sz="4" w:space="0" w:color="000000"/>
            </w:tcBorders>
            <w:shd w:val="clear" w:color="auto" w:fill="auto"/>
            <w:noWrap/>
            <w:vAlign w:val="center"/>
          </w:tcPr>
          <w:p w14:paraId="3851DAF5" w14:textId="4900D91A"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$38.91</w:t>
            </w:r>
          </w:p>
        </w:tc>
        <w:tc>
          <w:tcPr>
            <w:tcW w:w="927" w:type="dxa"/>
            <w:tcBorders>
              <w:top w:val="nil"/>
              <w:left w:val="nil"/>
              <w:bottom w:val="single" w:sz="4" w:space="0" w:color="000000"/>
              <w:right w:val="single" w:sz="4" w:space="0" w:color="000000"/>
            </w:tcBorders>
            <w:shd w:val="clear" w:color="auto" w:fill="auto"/>
            <w:noWrap/>
            <w:vAlign w:val="center"/>
          </w:tcPr>
          <w:p w14:paraId="3749A852" w14:textId="45CE0189"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$33.28</w:t>
            </w:r>
          </w:p>
        </w:tc>
        <w:tc>
          <w:tcPr>
            <w:tcW w:w="927" w:type="dxa"/>
            <w:tcBorders>
              <w:top w:val="single" w:sz="4" w:space="0" w:color="000000"/>
              <w:left w:val="nil"/>
              <w:bottom w:val="single" w:sz="4" w:space="0" w:color="000000"/>
              <w:right w:val="single" w:sz="4" w:space="0" w:color="auto"/>
            </w:tcBorders>
            <w:vAlign w:val="center"/>
          </w:tcPr>
          <w:p w14:paraId="1FCB17ED" w14:textId="0FD87054"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$31.25</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4D61932C" w14:textId="5336DBD0"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$32.00</w:t>
            </w:r>
          </w:p>
        </w:tc>
        <w:tc>
          <w:tcPr>
            <w:tcW w:w="927" w:type="dxa"/>
            <w:tcBorders>
              <w:top w:val="nil"/>
              <w:left w:val="nil"/>
              <w:bottom w:val="single" w:sz="4" w:space="0" w:color="000000"/>
              <w:right w:val="single" w:sz="4" w:space="0" w:color="000000"/>
            </w:tcBorders>
            <w:shd w:val="clear" w:color="auto" w:fill="auto"/>
            <w:noWrap/>
            <w:vAlign w:val="center"/>
          </w:tcPr>
          <w:p w14:paraId="3357E20A" w14:textId="322C5EFC"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$35.73</w:t>
            </w:r>
          </w:p>
        </w:tc>
        <w:tc>
          <w:tcPr>
            <w:tcW w:w="927" w:type="dxa"/>
            <w:tcBorders>
              <w:top w:val="nil"/>
              <w:left w:val="nil"/>
              <w:bottom w:val="single" w:sz="4" w:space="0" w:color="000000"/>
              <w:right w:val="single" w:sz="4" w:space="0" w:color="000000"/>
            </w:tcBorders>
            <w:shd w:val="clear" w:color="auto" w:fill="auto"/>
            <w:noWrap/>
            <w:vAlign w:val="center"/>
          </w:tcPr>
          <w:p w14:paraId="4D87786B" w14:textId="43FACD53"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$37.84</w:t>
            </w:r>
          </w:p>
        </w:tc>
        <w:tc>
          <w:tcPr>
            <w:tcW w:w="864" w:type="dxa"/>
            <w:tcBorders>
              <w:top w:val="nil"/>
              <w:left w:val="nil"/>
              <w:bottom w:val="single" w:sz="4" w:space="0" w:color="000000"/>
              <w:right w:val="single" w:sz="4" w:space="0" w:color="000000"/>
            </w:tcBorders>
            <w:shd w:val="clear" w:color="auto" w:fill="auto"/>
            <w:noWrap/>
            <w:vAlign w:val="center"/>
          </w:tcPr>
          <w:p w14:paraId="61237217" w14:textId="2F292B35"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$37.40</w:t>
            </w:r>
          </w:p>
        </w:tc>
        <w:tc>
          <w:tcPr>
            <w:tcW w:w="810" w:type="dxa"/>
            <w:tcBorders>
              <w:top w:val="nil"/>
              <w:left w:val="nil"/>
              <w:bottom w:val="single" w:sz="4" w:space="0" w:color="000000"/>
              <w:right w:val="single" w:sz="12" w:space="0" w:color="000000"/>
            </w:tcBorders>
            <w:shd w:val="clear" w:color="auto" w:fill="auto"/>
            <w:noWrap/>
            <w:vAlign w:val="center"/>
          </w:tcPr>
          <w:p w14:paraId="27DCD8AA" w14:textId="06E382A3" w:rsidR="008E73C9" w:rsidRPr="00EE5714" w:rsidRDefault="008E73C9" w:rsidP="008E73C9">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$37.02</w:t>
            </w:r>
          </w:p>
        </w:tc>
      </w:tr>
      <w:tr w:rsidR="008E73C9" w:rsidRPr="00EE5714" w14:paraId="2DA2736C" w14:textId="77777777" w:rsidTr="003F3312">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2476C9D7" w14:textId="77777777" w:rsidR="008E73C9" w:rsidRPr="00EE5714" w:rsidRDefault="008E73C9" w:rsidP="008E73C9">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7C29F7D9" w14:textId="01BB4139" w:rsidR="008E73C9" w:rsidRPr="00EE5714" w:rsidRDefault="008E73C9" w:rsidP="008E73C9">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$68.15</w:t>
            </w:r>
          </w:p>
        </w:tc>
        <w:tc>
          <w:tcPr>
            <w:tcW w:w="927" w:type="dxa"/>
            <w:tcBorders>
              <w:top w:val="nil"/>
              <w:left w:val="nil"/>
              <w:bottom w:val="single" w:sz="12" w:space="0" w:color="000000"/>
              <w:right w:val="single" w:sz="4" w:space="0" w:color="000000"/>
            </w:tcBorders>
            <w:shd w:val="clear" w:color="auto" w:fill="auto"/>
            <w:noWrap/>
            <w:vAlign w:val="center"/>
          </w:tcPr>
          <w:p w14:paraId="71162941" w14:textId="32B1EF5F" w:rsidR="008E73C9" w:rsidRPr="00EE5714" w:rsidRDefault="008E73C9" w:rsidP="008E73C9">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$54.36</w:t>
            </w:r>
          </w:p>
        </w:tc>
        <w:tc>
          <w:tcPr>
            <w:tcW w:w="927" w:type="dxa"/>
            <w:tcBorders>
              <w:top w:val="nil"/>
              <w:left w:val="nil"/>
              <w:bottom w:val="single" w:sz="12" w:space="0" w:color="000000"/>
              <w:right w:val="single" w:sz="4" w:space="0" w:color="000000"/>
            </w:tcBorders>
            <w:shd w:val="clear" w:color="auto" w:fill="auto"/>
            <w:noWrap/>
            <w:vAlign w:val="center"/>
          </w:tcPr>
          <w:p w14:paraId="7A399254" w14:textId="73099229" w:rsidR="008E73C9" w:rsidRPr="00EE5714" w:rsidRDefault="008E73C9" w:rsidP="008E73C9">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$40.76</w:t>
            </w:r>
          </w:p>
        </w:tc>
        <w:tc>
          <w:tcPr>
            <w:tcW w:w="927" w:type="dxa"/>
            <w:tcBorders>
              <w:top w:val="nil"/>
              <w:left w:val="nil"/>
              <w:bottom w:val="single" w:sz="12" w:space="0" w:color="000000"/>
              <w:right w:val="single" w:sz="4" w:space="0" w:color="000000"/>
            </w:tcBorders>
            <w:shd w:val="clear" w:color="auto" w:fill="auto"/>
            <w:noWrap/>
            <w:vAlign w:val="center"/>
          </w:tcPr>
          <w:p w14:paraId="0DAF9A21" w14:textId="1871F39C" w:rsidR="008E73C9" w:rsidRPr="00EE5714" w:rsidRDefault="008E73C9" w:rsidP="008E73C9">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$34.86</w:t>
            </w:r>
          </w:p>
        </w:tc>
        <w:tc>
          <w:tcPr>
            <w:tcW w:w="927" w:type="dxa"/>
            <w:tcBorders>
              <w:top w:val="single" w:sz="4" w:space="0" w:color="000000"/>
              <w:left w:val="nil"/>
              <w:bottom w:val="single" w:sz="12" w:space="0" w:color="000000"/>
              <w:right w:val="single" w:sz="4" w:space="0" w:color="auto"/>
            </w:tcBorders>
            <w:vAlign w:val="center"/>
          </w:tcPr>
          <w:p w14:paraId="24B88FF9" w14:textId="7299E03D" w:rsidR="008E73C9" w:rsidRPr="00EE5714" w:rsidRDefault="008E73C9" w:rsidP="008E73C9">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$32.74</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57780ED5" w14:textId="3CF80C55" w:rsidR="008E73C9" w:rsidRPr="00EE5714" w:rsidRDefault="008E73C9" w:rsidP="008E73C9">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$33.52</w:t>
            </w:r>
          </w:p>
        </w:tc>
        <w:tc>
          <w:tcPr>
            <w:tcW w:w="927" w:type="dxa"/>
            <w:tcBorders>
              <w:top w:val="nil"/>
              <w:left w:val="nil"/>
              <w:bottom w:val="single" w:sz="12" w:space="0" w:color="000000"/>
              <w:right w:val="single" w:sz="4" w:space="0" w:color="000000"/>
            </w:tcBorders>
            <w:shd w:val="clear" w:color="auto" w:fill="auto"/>
            <w:noWrap/>
            <w:vAlign w:val="center"/>
          </w:tcPr>
          <w:p w14:paraId="33DDF73E" w14:textId="5AAB2B31" w:rsidR="008E73C9" w:rsidRPr="00EE5714" w:rsidRDefault="008E73C9" w:rsidP="008E73C9">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$37.43</w:t>
            </w:r>
          </w:p>
        </w:tc>
        <w:tc>
          <w:tcPr>
            <w:tcW w:w="927" w:type="dxa"/>
            <w:tcBorders>
              <w:top w:val="nil"/>
              <w:left w:val="nil"/>
              <w:bottom w:val="single" w:sz="12" w:space="0" w:color="000000"/>
              <w:right w:val="single" w:sz="4" w:space="0" w:color="000000"/>
            </w:tcBorders>
            <w:shd w:val="clear" w:color="auto" w:fill="auto"/>
            <w:noWrap/>
            <w:vAlign w:val="center"/>
          </w:tcPr>
          <w:p w14:paraId="6562D4A5" w14:textId="1751D952" w:rsidR="008E73C9" w:rsidRPr="00EE5714" w:rsidRDefault="008E73C9" w:rsidP="008E73C9">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$39.64</w:t>
            </w:r>
          </w:p>
        </w:tc>
        <w:tc>
          <w:tcPr>
            <w:tcW w:w="864" w:type="dxa"/>
            <w:tcBorders>
              <w:top w:val="nil"/>
              <w:left w:val="nil"/>
              <w:bottom w:val="single" w:sz="12" w:space="0" w:color="000000"/>
              <w:right w:val="single" w:sz="4" w:space="0" w:color="000000"/>
            </w:tcBorders>
            <w:shd w:val="clear" w:color="auto" w:fill="auto"/>
            <w:noWrap/>
            <w:vAlign w:val="center"/>
          </w:tcPr>
          <w:p w14:paraId="1B84B6F4" w14:textId="4AFADA58" w:rsidR="008E73C9" w:rsidRPr="00EE5714" w:rsidRDefault="008E73C9" w:rsidP="008E73C9">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$39.18</w:t>
            </w:r>
          </w:p>
        </w:tc>
        <w:tc>
          <w:tcPr>
            <w:tcW w:w="810" w:type="dxa"/>
            <w:tcBorders>
              <w:top w:val="nil"/>
              <w:left w:val="nil"/>
              <w:bottom w:val="single" w:sz="12" w:space="0" w:color="000000"/>
              <w:right w:val="single" w:sz="12" w:space="0" w:color="000000"/>
            </w:tcBorders>
            <w:shd w:val="clear" w:color="auto" w:fill="auto"/>
            <w:noWrap/>
            <w:vAlign w:val="center"/>
          </w:tcPr>
          <w:p w14:paraId="4D6B6F87" w14:textId="0682A109" w:rsidR="008E73C9" w:rsidRPr="00EE5714" w:rsidRDefault="008E73C9" w:rsidP="008E73C9">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$38.79</w:t>
            </w:r>
          </w:p>
        </w:tc>
      </w:tr>
    </w:tbl>
    <w:p w14:paraId="512ED81B" w14:textId="77777777" w:rsidR="00071E2B" w:rsidRPr="00071E2B" w:rsidRDefault="00071E2B" w:rsidP="00071E2B">
      <w:pPr>
        <w:pStyle w:val="NoSpacing"/>
        <w:rPr>
          <w:rFonts w:cs="Times New Roman"/>
          <w:szCs w:val="26"/>
        </w:rPr>
      </w:pPr>
    </w:p>
    <w:p w14:paraId="4F838CFC" w14:textId="77777777" w:rsidR="00570EAE" w:rsidRPr="00EE5714" w:rsidRDefault="00570EAE" w:rsidP="0009098D">
      <w:pPr>
        <w:pStyle w:val="NoSpacing"/>
        <w:rPr>
          <w:rFonts w:cs="Times New Roman"/>
          <w:szCs w:val="26"/>
        </w:rPr>
      </w:pPr>
    </w:p>
    <w:p w14:paraId="0D2571F5" w14:textId="47224B1A" w:rsidR="00F303E0" w:rsidRPr="00EE5714" w:rsidRDefault="00F734A0" w:rsidP="0009098D">
      <w:pPr>
        <w:pStyle w:val="NoSpacing"/>
        <w:keepNext/>
        <w:rPr>
          <w:rFonts w:cs="Times New Roman"/>
          <w:szCs w:val="26"/>
        </w:rPr>
      </w:pPr>
      <w:r w:rsidRPr="00EE5714">
        <w:rPr>
          <w:rFonts w:cs="Times New Roman"/>
          <w:szCs w:val="26"/>
        </w:rPr>
        <w:lastRenderedPageBreak/>
        <w:t>Appendix 9</w:t>
      </w:r>
      <w:r w:rsidR="00F303E0" w:rsidRPr="00EE5714">
        <w:rPr>
          <w:rFonts w:cs="Times New Roman"/>
          <w:szCs w:val="26"/>
        </w:rPr>
        <w:t>.</w:t>
      </w:r>
      <w:r w:rsidR="00521C79" w:rsidRPr="00EE5714">
        <w:rPr>
          <w:rFonts w:cs="Times New Roman"/>
          <w:szCs w:val="26"/>
        </w:rPr>
        <w:t>F</w:t>
      </w:r>
      <w:r w:rsidR="00F303E0" w:rsidRPr="00EE5714">
        <w:rPr>
          <w:rFonts w:cs="Times New Roman"/>
          <w:szCs w:val="26"/>
        </w:rPr>
        <w:t xml:space="preserve">.3: </w:t>
      </w:r>
      <w:r w:rsidR="00F303E0" w:rsidRPr="00EE5714">
        <w:rPr>
          <w:rFonts w:eastAsia="Times New Roman" w:cs="Times New Roman"/>
          <w:b/>
          <w:color w:val="000000"/>
          <w:szCs w:val="26"/>
        </w:rPr>
        <w:t>Actual Data and Forecasts – PECO Electric</w:t>
      </w:r>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7B40E0" w:rsidRPr="00EE5714" w14:paraId="6C2058D2" w14:textId="77777777" w:rsidTr="00180883">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4C32C6DB" w14:textId="77777777" w:rsidR="007B40E0" w:rsidRPr="00EE5714" w:rsidRDefault="007B40E0"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4EB0123D"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53B89B08"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7B40E0" w:rsidRPr="00EE5714" w14:paraId="24C703E0"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2FFC651B" w14:textId="77777777" w:rsidR="007B40E0" w:rsidRPr="00EE5714" w:rsidRDefault="007B40E0"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00BF772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4C4BE64B"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16CEA923"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113B5326"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2BF18B75"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6C7FD940"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7FBE4C9B"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428DC6ED"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54154C3C"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501A8757"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0200BD" w:rsidRPr="00EE5714" w14:paraId="3EFE3C67" w14:textId="77777777" w:rsidTr="003F3312">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01EC781A" w14:textId="77777777" w:rsidR="000200BD" w:rsidRPr="00EE5714" w:rsidRDefault="000200BD" w:rsidP="000200BD">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67C83B1C" w14:textId="69CE3A62"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$74.03</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7908DD3" w14:textId="27EC64CA"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$71.31</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F9D8A4E" w14:textId="56E59020"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$73.55</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69CFA415" w14:textId="35799D8F"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$74.38</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5DD699FC" w14:textId="72130F25"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$70.29</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0CDE4905" w14:textId="4F6C1D02"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$52.85</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6A3EA95" w14:textId="70BE4E84"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$69.92</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196B1E96" w14:textId="09BB4125"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$53.42</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3D812CC5" w14:textId="09242B3E"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$52.96</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1F9F57F6" w14:textId="2DEE0323"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$55.12</w:t>
            </w:r>
          </w:p>
        </w:tc>
      </w:tr>
      <w:tr w:rsidR="000200BD" w:rsidRPr="00EE5714" w14:paraId="08536D6F"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3A60128F" w14:textId="77777777"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12B4DB4F" w14:textId="017780C4"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$66.63</w:t>
            </w:r>
          </w:p>
        </w:tc>
        <w:tc>
          <w:tcPr>
            <w:tcW w:w="927" w:type="dxa"/>
            <w:tcBorders>
              <w:top w:val="nil"/>
              <w:left w:val="nil"/>
              <w:bottom w:val="single" w:sz="4" w:space="0" w:color="000000"/>
              <w:right w:val="single" w:sz="4" w:space="0" w:color="000000"/>
            </w:tcBorders>
            <w:shd w:val="clear" w:color="auto" w:fill="auto"/>
            <w:noWrap/>
            <w:vAlign w:val="center"/>
          </w:tcPr>
          <w:p w14:paraId="3F4E13A1" w14:textId="19FE7CE9"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$64.17</w:t>
            </w:r>
          </w:p>
        </w:tc>
        <w:tc>
          <w:tcPr>
            <w:tcW w:w="927" w:type="dxa"/>
            <w:tcBorders>
              <w:top w:val="nil"/>
              <w:left w:val="nil"/>
              <w:bottom w:val="single" w:sz="4" w:space="0" w:color="000000"/>
              <w:right w:val="single" w:sz="4" w:space="0" w:color="000000"/>
            </w:tcBorders>
            <w:shd w:val="clear" w:color="auto" w:fill="auto"/>
            <w:noWrap/>
            <w:vAlign w:val="center"/>
          </w:tcPr>
          <w:p w14:paraId="3153EE97" w14:textId="5D386165"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$66.19</w:t>
            </w:r>
          </w:p>
        </w:tc>
        <w:tc>
          <w:tcPr>
            <w:tcW w:w="927" w:type="dxa"/>
            <w:tcBorders>
              <w:top w:val="nil"/>
              <w:left w:val="nil"/>
              <w:bottom w:val="single" w:sz="4" w:space="0" w:color="000000"/>
              <w:right w:val="single" w:sz="4" w:space="0" w:color="000000"/>
            </w:tcBorders>
            <w:shd w:val="clear" w:color="auto" w:fill="auto"/>
            <w:noWrap/>
            <w:vAlign w:val="center"/>
          </w:tcPr>
          <w:p w14:paraId="7BF4EE4B" w14:textId="4E18CB1C"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$66.94</w:t>
            </w:r>
          </w:p>
        </w:tc>
        <w:tc>
          <w:tcPr>
            <w:tcW w:w="927" w:type="dxa"/>
            <w:tcBorders>
              <w:top w:val="single" w:sz="4" w:space="0" w:color="000000"/>
              <w:left w:val="nil"/>
              <w:bottom w:val="single" w:sz="4" w:space="0" w:color="000000"/>
              <w:right w:val="single" w:sz="4" w:space="0" w:color="auto"/>
            </w:tcBorders>
            <w:vAlign w:val="center"/>
          </w:tcPr>
          <w:p w14:paraId="7E66B279" w14:textId="0BEFC8AE"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$63.26</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44D9B648" w14:textId="33859797"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$47.56</w:t>
            </w:r>
          </w:p>
        </w:tc>
        <w:tc>
          <w:tcPr>
            <w:tcW w:w="927" w:type="dxa"/>
            <w:tcBorders>
              <w:top w:val="nil"/>
              <w:left w:val="nil"/>
              <w:bottom w:val="single" w:sz="4" w:space="0" w:color="000000"/>
              <w:right w:val="single" w:sz="4" w:space="0" w:color="000000"/>
            </w:tcBorders>
            <w:shd w:val="clear" w:color="auto" w:fill="auto"/>
            <w:noWrap/>
            <w:vAlign w:val="center"/>
          </w:tcPr>
          <w:p w14:paraId="6F32B867" w14:textId="22205181"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$62.93</w:t>
            </w:r>
          </w:p>
        </w:tc>
        <w:tc>
          <w:tcPr>
            <w:tcW w:w="927" w:type="dxa"/>
            <w:tcBorders>
              <w:top w:val="nil"/>
              <w:left w:val="nil"/>
              <w:bottom w:val="single" w:sz="4" w:space="0" w:color="000000"/>
              <w:right w:val="single" w:sz="4" w:space="0" w:color="000000"/>
            </w:tcBorders>
            <w:shd w:val="clear" w:color="auto" w:fill="auto"/>
            <w:noWrap/>
            <w:vAlign w:val="center"/>
          </w:tcPr>
          <w:p w14:paraId="07D935DE" w14:textId="526BDEFA"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$48.08</w:t>
            </w:r>
          </w:p>
        </w:tc>
        <w:tc>
          <w:tcPr>
            <w:tcW w:w="864" w:type="dxa"/>
            <w:tcBorders>
              <w:top w:val="nil"/>
              <w:left w:val="nil"/>
              <w:bottom w:val="single" w:sz="4" w:space="0" w:color="000000"/>
              <w:right w:val="single" w:sz="4" w:space="0" w:color="000000"/>
            </w:tcBorders>
            <w:shd w:val="clear" w:color="auto" w:fill="auto"/>
            <w:noWrap/>
            <w:vAlign w:val="center"/>
          </w:tcPr>
          <w:p w14:paraId="32F42F3C" w14:textId="704BFE68"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$47.66</w:t>
            </w:r>
          </w:p>
        </w:tc>
        <w:tc>
          <w:tcPr>
            <w:tcW w:w="810" w:type="dxa"/>
            <w:tcBorders>
              <w:top w:val="nil"/>
              <w:left w:val="nil"/>
              <w:bottom w:val="single" w:sz="4" w:space="0" w:color="000000"/>
              <w:right w:val="single" w:sz="12" w:space="0" w:color="000000"/>
            </w:tcBorders>
            <w:shd w:val="clear" w:color="auto" w:fill="auto"/>
            <w:noWrap/>
            <w:vAlign w:val="center"/>
          </w:tcPr>
          <w:p w14:paraId="5CC4E35E" w14:textId="7B955C46"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$49.61</w:t>
            </w:r>
          </w:p>
        </w:tc>
      </w:tr>
      <w:tr w:rsidR="000200BD" w:rsidRPr="00EE5714" w14:paraId="75D6D0B4"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399FE77" w14:textId="77777777"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45C3C51E" w14:textId="57F4A2F4"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$70.33</w:t>
            </w:r>
          </w:p>
        </w:tc>
        <w:tc>
          <w:tcPr>
            <w:tcW w:w="927" w:type="dxa"/>
            <w:tcBorders>
              <w:top w:val="nil"/>
              <w:left w:val="nil"/>
              <w:bottom w:val="single" w:sz="4" w:space="0" w:color="000000"/>
              <w:right w:val="single" w:sz="4" w:space="0" w:color="000000"/>
            </w:tcBorders>
            <w:shd w:val="clear" w:color="auto" w:fill="auto"/>
            <w:noWrap/>
            <w:vAlign w:val="center"/>
          </w:tcPr>
          <w:p w14:paraId="026DD7FC" w14:textId="5B2E2C56"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$67.74</w:t>
            </w:r>
          </w:p>
        </w:tc>
        <w:tc>
          <w:tcPr>
            <w:tcW w:w="927" w:type="dxa"/>
            <w:tcBorders>
              <w:top w:val="nil"/>
              <w:left w:val="nil"/>
              <w:bottom w:val="single" w:sz="4" w:space="0" w:color="000000"/>
              <w:right w:val="single" w:sz="4" w:space="0" w:color="000000"/>
            </w:tcBorders>
            <w:shd w:val="clear" w:color="auto" w:fill="auto"/>
            <w:noWrap/>
            <w:vAlign w:val="center"/>
          </w:tcPr>
          <w:p w14:paraId="4B0387FB" w14:textId="49171693"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$69.87</w:t>
            </w:r>
          </w:p>
        </w:tc>
        <w:tc>
          <w:tcPr>
            <w:tcW w:w="927" w:type="dxa"/>
            <w:tcBorders>
              <w:top w:val="nil"/>
              <w:left w:val="nil"/>
              <w:bottom w:val="single" w:sz="4" w:space="0" w:color="000000"/>
              <w:right w:val="single" w:sz="4" w:space="0" w:color="000000"/>
            </w:tcBorders>
            <w:shd w:val="clear" w:color="auto" w:fill="auto"/>
            <w:noWrap/>
            <w:vAlign w:val="center"/>
          </w:tcPr>
          <w:p w14:paraId="6184932F" w14:textId="7C2FE312"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$70.66</w:t>
            </w:r>
          </w:p>
        </w:tc>
        <w:tc>
          <w:tcPr>
            <w:tcW w:w="927" w:type="dxa"/>
            <w:tcBorders>
              <w:top w:val="single" w:sz="4" w:space="0" w:color="000000"/>
              <w:left w:val="nil"/>
              <w:bottom w:val="single" w:sz="4" w:space="0" w:color="000000"/>
              <w:right w:val="single" w:sz="4" w:space="0" w:color="auto"/>
            </w:tcBorders>
            <w:vAlign w:val="center"/>
          </w:tcPr>
          <w:p w14:paraId="360F4B3D" w14:textId="7EAFA1CD"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$66.78</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03C642D9" w14:textId="75E4C919"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$50.21</w:t>
            </w:r>
          </w:p>
        </w:tc>
        <w:tc>
          <w:tcPr>
            <w:tcW w:w="927" w:type="dxa"/>
            <w:tcBorders>
              <w:top w:val="nil"/>
              <w:left w:val="nil"/>
              <w:bottom w:val="single" w:sz="4" w:space="0" w:color="000000"/>
              <w:right w:val="single" w:sz="4" w:space="0" w:color="000000"/>
            </w:tcBorders>
            <w:shd w:val="clear" w:color="auto" w:fill="auto"/>
            <w:noWrap/>
            <w:vAlign w:val="center"/>
          </w:tcPr>
          <w:p w14:paraId="67FF3095" w14:textId="5D9B3DFC"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$66.42</w:t>
            </w:r>
          </w:p>
        </w:tc>
        <w:tc>
          <w:tcPr>
            <w:tcW w:w="927" w:type="dxa"/>
            <w:tcBorders>
              <w:top w:val="nil"/>
              <w:left w:val="nil"/>
              <w:bottom w:val="single" w:sz="4" w:space="0" w:color="000000"/>
              <w:right w:val="single" w:sz="4" w:space="0" w:color="000000"/>
            </w:tcBorders>
            <w:shd w:val="clear" w:color="auto" w:fill="auto"/>
            <w:noWrap/>
            <w:vAlign w:val="center"/>
          </w:tcPr>
          <w:p w14:paraId="43F7B558" w14:textId="1D70B8DF"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$50.75</w:t>
            </w:r>
          </w:p>
        </w:tc>
        <w:tc>
          <w:tcPr>
            <w:tcW w:w="864" w:type="dxa"/>
            <w:tcBorders>
              <w:top w:val="nil"/>
              <w:left w:val="nil"/>
              <w:bottom w:val="single" w:sz="4" w:space="0" w:color="000000"/>
              <w:right w:val="single" w:sz="4" w:space="0" w:color="000000"/>
            </w:tcBorders>
            <w:shd w:val="clear" w:color="auto" w:fill="auto"/>
            <w:noWrap/>
            <w:vAlign w:val="center"/>
          </w:tcPr>
          <w:p w14:paraId="10F4DC6B" w14:textId="748C9E76"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$50.31</w:t>
            </w:r>
          </w:p>
        </w:tc>
        <w:tc>
          <w:tcPr>
            <w:tcW w:w="810" w:type="dxa"/>
            <w:tcBorders>
              <w:top w:val="nil"/>
              <w:left w:val="nil"/>
              <w:bottom w:val="single" w:sz="4" w:space="0" w:color="000000"/>
              <w:right w:val="single" w:sz="12" w:space="0" w:color="000000"/>
            </w:tcBorders>
            <w:shd w:val="clear" w:color="auto" w:fill="auto"/>
            <w:noWrap/>
            <w:vAlign w:val="center"/>
          </w:tcPr>
          <w:p w14:paraId="1CB8BA7B" w14:textId="37D2CA26"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$52.36</w:t>
            </w:r>
          </w:p>
        </w:tc>
      </w:tr>
      <w:tr w:rsidR="000200BD" w:rsidRPr="00EE5714" w14:paraId="470D920E" w14:textId="77777777" w:rsidTr="00743184">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4D11894B" w14:textId="77777777"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34CCDE7C" w14:textId="359FBC40"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$73.29</w:t>
            </w:r>
          </w:p>
        </w:tc>
        <w:tc>
          <w:tcPr>
            <w:tcW w:w="927" w:type="dxa"/>
            <w:tcBorders>
              <w:top w:val="nil"/>
              <w:left w:val="nil"/>
              <w:bottom w:val="single" w:sz="8" w:space="0" w:color="000000"/>
              <w:right w:val="single" w:sz="4" w:space="0" w:color="000000"/>
            </w:tcBorders>
            <w:shd w:val="clear" w:color="auto" w:fill="auto"/>
            <w:noWrap/>
            <w:vAlign w:val="center"/>
          </w:tcPr>
          <w:p w14:paraId="32800587" w14:textId="13BB06F4"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$70.59</w:t>
            </w:r>
          </w:p>
        </w:tc>
        <w:tc>
          <w:tcPr>
            <w:tcW w:w="927" w:type="dxa"/>
            <w:tcBorders>
              <w:top w:val="nil"/>
              <w:left w:val="nil"/>
              <w:bottom w:val="single" w:sz="8" w:space="0" w:color="000000"/>
              <w:right w:val="single" w:sz="4" w:space="0" w:color="000000"/>
            </w:tcBorders>
            <w:shd w:val="clear" w:color="auto" w:fill="auto"/>
            <w:noWrap/>
            <w:vAlign w:val="center"/>
          </w:tcPr>
          <w:p w14:paraId="7460D4A5" w14:textId="56FB9E94"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$72.81</w:t>
            </w:r>
          </w:p>
        </w:tc>
        <w:tc>
          <w:tcPr>
            <w:tcW w:w="927" w:type="dxa"/>
            <w:tcBorders>
              <w:top w:val="nil"/>
              <w:left w:val="nil"/>
              <w:bottom w:val="single" w:sz="8" w:space="0" w:color="000000"/>
              <w:right w:val="single" w:sz="4" w:space="0" w:color="000000"/>
            </w:tcBorders>
            <w:shd w:val="clear" w:color="auto" w:fill="auto"/>
            <w:noWrap/>
            <w:vAlign w:val="center"/>
          </w:tcPr>
          <w:p w14:paraId="41CABE85" w14:textId="1CF12FE7"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$73.64</w:t>
            </w:r>
          </w:p>
        </w:tc>
        <w:tc>
          <w:tcPr>
            <w:tcW w:w="927" w:type="dxa"/>
            <w:tcBorders>
              <w:top w:val="single" w:sz="4" w:space="0" w:color="000000"/>
              <w:left w:val="nil"/>
              <w:bottom w:val="single" w:sz="8" w:space="0" w:color="000000"/>
              <w:right w:val="single" w:sz="4" w:space="0" w:color="auto"/>
            </w:tcBorders>
            <w:vAlign w:val="center"/>
          </w:tcPr>
          <w:p w14:paraId="19FBC278" w14:textId="5E2388AD"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$69.59</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6A603A60" w14:textId="59B826F5"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$52.32</w:t>
            </w:r>
          </w:p>
        </w:tc>
        <w:tc>
          <w:tcPr>
            <w:tcW w:w="927" w:type="dxa"/>
            <w:tcBorders>
              <w:top w:val="nil"/>
              <w:left w:val="nil"/>
              <w:bottom w:val="single" w:sz="4" w:space="0" w:color="000000"/>
              <w:right w:val="single" w:sz="4" w:space="0" w:color="000000"/>
            </w:tcBorders>
            <w:shd w:val="clear" w:color="auto" w:fill="auto"/>
            <w:noWrap/>
            <w:vAlign w:val="center"/>
          </w:tcPr>
          <w:p w14:paraId="08AC6B57" w14:textId="5746F13B"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$69.22</w:t>
            </w:r>
          </w:p>
        </w:tc>
        <w:tc>
          <w:tcPr>
            <w:tcW w:w="927" w:type="dxa"/>
            <w:tcBorders>
              <w:top w:val="nil"/>
              <w:left w:val="nil"/>
              <w:bottom w:val="single" w:sz="4" w:space="0" w:color="000000"/>
              <w:right w:val="single" w:sz="4" w:space="0" w:color="000000"/>
            </w:tcBorders>
            <w:shd w:val="clear" w:color="auto" w:fill="auto"/>
            <w:noWrap/>
            <w:vAlign w:val="center"/>
          </w:tcPr>
          <w:p w14:paraId="599EA2C0" w14:textId="6026B1DE"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$52.89</w:t>
            </w:r>
          </w:p>
        </w:tc>
        <w:tc>
          <w:tcPr>
            <w:tcW w:w="864" w:type="dxa"/>
            <w:tcBorders>
              <w:top w:val="nil"/>
              <w:left w:val="nil"/>
              <w:bottom w:val="single" w:sz="4" w:space="0" w:color="000000"/>
              <w:right w:val="single" w:sz="4" w:space="0" w:color="000000"/>
            </w:tcBorders>
            <w:shd w:val="clear" w:color="auto" w:fill="auto"/>
            <w:noWrap/>
            <w:vAlign w:val="center"/>
          </w:tcPr>
          <w:p w14:paraId="35D677CB" w14:textId="731FF809"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$52.43</w:t>
            </w:r>
          </w:p>
        </w:tc>
        <w:tc>
          <w:tcPr>
            <w:tcW w:w="810" w:type="dxa"/>
            <w:tcBorders>
              <w:top w:val="nil"/>
              <w:left w:val="nil"/>
              <w:bottom w:val="single" w:sz="4" w:space="0" w:color="000000"/>
              <w:right w:val="single" w:sz="12" w:space="0" w:color="000000"/>
            </w:tcBorders>
            <w:shd w:val="clear" w:color="auto" w:fill="auto"/>
            <w:noWrap/>
            <w:vAlign w:val="center"/>
          </w:tcPr>
          <w:p w14:paraId="7FBE6AA1" w14:textId="12EE8C79" w:rsidR="000200BD" w:rsidRPr="00EE5714" w:rsidRDefault="000200BD" w:rsidP="000200BD">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$54.57</w:t>
            </w:r>
          </w:p>
        </w:tc>
      </w:tr>
      <w:tr w:rsidR="007B40E0" w:rsidRPr="00EE5714" w14:paraId="6BB66101" w14:textId="77777777" w:rsidTr="00743184">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6EA90EC1" w14:textId="77777777" w:rsidR="007B40E0" w:rsidRPr="00EE5714" w:rsidRDefault="007B40E0"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66A802FD"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56878DEF"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295CE47D"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r>
      <w:tr w:rsidR="00D35808" w:rsidRPr="00EE5714" w14:paraId="46520F73"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4EB45C26" w14:textId="77777777"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783FF026" w14:textId="52C828E9"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$74.77</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47ECD38C" w14:textId="2EC28869"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$72.02</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637C7182" w14:textId="7E33D119"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$74.28</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381B654A" w14:textId="31A053FF"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$75.13</w:t>
            </w:r>
          </w:p>
        </w:tc>
        <w:tc>
          <w:tcPr>
            <w:tcW w:w="927" w:type="dxa"/>
            <w:tcBorders>
              <w:top w:val="single" w:sz="8" w:space="0" w:color="000000"/>
              <w:left w:val="nil"/>
              <w:bottom w:val="single" w:sz="4" w:space="0" w:color="000000"/>
              <w:right w:val="single" w:sz="4" w:space="0" w:color="auto"/>
            </w:tcBorders>
            <w:vAlign w:val="center"/>
          </w:tcPr>
          <w:p w14:paraId="0E09924A" w14:textId="4DB368DA"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$70.99</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203DE286" w14:textId="295D4737"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$53.38</w:t>
            </w:r>
          </w:p>
        </w:tc>
        <w:tc>
          <w:tcPr>
            <w:tcW w:w="927" w:type="dxa"/>
            <w:tcBorders>
              <w:top w:val="nil"/>
              <w:left w:val="nil"/>
              <w:bottom w:val="single" w:sz="4" w:space="0" w:color="000000"/>
              <w:right w:val="single" w:sz="4" w:space="0" w:color="000000"/>
            </w:tcBorders>
            <w:shd w:val="clear" w:color="auto" w:fill="auto"/>
            <w:noWrap/>
            <w:vAlign w:val="center"/>
          </w:tcPr>
          <w:p w14:paraId="0127E6A8" w14:textId="20D8EAA6"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$70.62</w:t>
            </w:r>
          </w:p>
        </w:tc>
        <w:tc>
          <w:tcPr>
            <w:tcW w:w="927" w:type="dxa"/>
            <w:tcBorders>
              <w:top w:val="nil"/>
              <w:left w:val="nil"/>
              <w:bottom w:val="single" w:sz="4" w:space="0" w:color="000000"/>
              <w:right w:val="single" w:sz="4" w:space="0" w:color="000000"/>
            </w:tcBorders>
            <w:shd w:val="clear" w:color="auto" w:fill="auto"/>
            <w:noWrap/>
            <w:vAlign w:val="center"/>
          </w:tcPr>
          <w:p w14:paraId="72C86271" w14:textId="10A0CC3D"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$53.95</w:t>
            </w:r>
          </w:p>
        </w:tc>
        <w:tc>
          <w:tcPr>
            <w:tcW w:w="864" w:type="dxa"/>
            <w:tcBorders>
              <w:top w:val="nil"/>
              <w:left w:val="nil"/>
              <w:bottom w:val="single" w:sz="4" w:space="0" w:color="000000"/>
              <w:right w:val="single" w:sz="4" w:space="0" w:color="000000"/>
            </w:tcBorders>
            <w:shd w:val="clear" w:color="auto" w:fill="auto"/>
            <w:noWrap/>
            <w:vAlign w:val="center"/>
          </w:tcPr>
          <w:p w14:paraId="0C7577B9" w14:textId="275C3717"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$53.49</w:t>
            </w:r>
          </w:p>
        </w:tc>
        <w:tc>
          <w:tcPr>
            <w:tcW w:w="810" w:type="dxa"/>
            <w:tcBorders>
              <w:top w:val="nil"/>
              <w:left w:val="nil"/>
              <w:bottom w:val="single" w:sz="4" w:space="0" w:color="000000"/>
              <w:right w:val="single" w:sz="12" w:space="0" w:color="000000"/>
            </w:tcBorders>
            <w:shd w:val="clear" w:color="auto" w:fill="auto"/>
            <w:noWrap/>
            <w:vAlign w:val="center"/>
          </w:tcPr>
          <w:p w14:paraId="117EBE2A" w14:textId="5C1FAAD0"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$55.67</w:t>
            </w:r>
          </w:p>
        </w:tc>
      </w:tr>
      <w:tr w:rsidR="00D35808" w:rsidRPr="00EE5714" w14:paraId="75102B7A"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55277F79" w14:textId="77777777"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675236D9" w14:textId="4A5BDF8B"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$77.73</w:t>
            </w:r>
          </w:p>
        </w:tc>
        <w:tc>
          <w:tcPr>
            <w:tcW w:w="927" w:type="dxa"/>
            <w:tcBorders>
              <w:top w:val="nil"/>
              <w:left w:val="nil"/>
              <w:bottom w:val="single" w:sz="4" w:space="0" w:color="000000"/>
              <w:right w:val="single" w:sz="4" w:space="0" w:color="000000"/>
            </w:tcBorders>
            <w:shd w:val="clear" w:color="auto" w:fill="auto"/>
            <w:noWrap/>
            <w:vAlign w:val="center"/>
          </w:tcPr>
          <w:p w14:paraId="580F0044" w14:textId="0EDD6BAC"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$74.87</w:t>
            </w:r>
          </w:p>
        </w:tc>
        <w:tc>
          <w:tcPr>
            <w:tcW w:w="927" w:type="dxa"/>
            <w:tcBorders>
              <w:top w:val="nil"/>
              <w:left w:val="nil"/>
              <w:bottom w:val="single" w:sz="4" w:space="0" w:color="000000"/>
              <w:right w:val="single" w:sz="4" w:space="0" w:color="000000"/>
            </w:tcBorders>
            <w:shd w:val="clear" w:color="auto" w:fill="auto"/>
            <w:noWrap/>
            <w:vAlign w:val="center"/>
          </w:tcPr>
          <w:p w14:paraId="528A1DF3" w14:textId="29EAC528"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$77.23</w:t>
            </w:r>
          </w:p>
        </w:tc>
        <w:tc>
          <w:tcPr>
            <w:tcW w:w="927" w:type="dxa"/>
            <w:tcBorders>
              <w:top w:val="nil"/>
              <w:left w:val="nil"/>
              <w:bottom w:val="single" w:sz="4" w:space="0" w:color="000000"/>
              <w:right w:val="single" w:sz="4" w:space="0" w:color="000000"/>
            </w:tcBorders>
            <w:shd w:val="clear" w:color="auto" w:fill="auto"/>
            <w:noWrap/>
            <w:vAlign w:val="center"/>
          </w:tcPr>
          <w:p w14:paraId="17ABC6AD" w14:textId="73E33D87"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$78.10</w:t>
            </w:r>
          </w:p>
        </w:tc>
        <w:tc>
          <w:tcPr>
            <w:tcW w:w="927" w:type="dxa"/>
            <w:tcBorders>
              <w:top w:val="single" w:sz="4" w:space="0" w:color="000000"/>
              <w:left w:val="nil"/>
              <w:bottom w:val="single" w:sz="4" w:space="0" w:color="000000"/>
              <w:right w:val="single" w:sz="4" w:space="0" w:color="auto"/>
            </w:tcBorders>
            <w:vAlign w:val="center"/>
          </w:tcPr>
          <w:p w14:paraId="33F194B2" w14:textId="26F77250"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$73.81</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55E22CD5" w14:textId="5FEDD1BE"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$55.49</w:t>
            </w:r>
          </w:p>
        </w:tc>
        <w:tc>
          <w:tcPr>
            <w:tcW w:w="927" w:type="dxa"/>
            <w:tcBorders>
              <w:top w:val="nil"/>
              <w:left w:val="nil"/>
              <w:bottom w:val="single" w:sz="4" w:space="0" w:color="000000"/>
              <w:right w:val="single" w:sz="4" w:space="0" w:color="000000"/>
            </w:tcBorders>
            <w:shd w:val="clear" w:color="auto" w:fill="auto"/>
            <w:noWrap/>
            <w:vAlign w:val="center"/>
          </w:tcPr>
          <w:p w14:paraId="60DEBBBF" w14:textId="130D745A"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$73.42</w:t>
            </w:r>
          </w:p>
        </w:tc>
        <w:tc>
          <w:tcPr>
            <w:tcW w:w="927" w:type="dxa"/>
            <w:tcBorders>
              <w:top w:val="nil"/>
              <w:left w:val="nil"/>
              <w:bottom w:val="single" w:sz="4" w:space="0" w:color="000000"/>
              <w:right w:val="single" w:sz="4" w:space="0" w:color="000000"/>
            </w:tcBorders>
            <w:shd w:val="clear" w:color="auto" w:fill="auto"/>
            <w:noWrap/>
            <w:vAlign w:val="center"/>
          </w:tcPr>
          <w:p w14:paraId="5BD57C74" w14:textId="4AE1A001"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$56.09</w:t>
            </w:r>
          </w:p>
        </w:tc>
        <w:tc>
          <w:tcPr>
            <w:tcW w:w="864" w:type="dxa"/>
            <w:tcBorders>
              <w:top w:val="nil"/>
              <w:left w:val="nil"/>
              <w:bottom w:val="single" w:sz="4" w:space="0" w:color="000000"/>
              <w:right w:val="single" w:sz="4" w:space="0" w:color="000000"/>
            </w:tcBorders>
            <w:shd w:val="clear" w:color="auto" w:fill="auto"/>
            <w:noWrap/>
            <w:vAlign w:val="center"/>
          </w:tcPr>
          <w:p w14:paraId="281467D3" w14:textId="1B78D80A"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$55.61</w:t>
            </w:r>
          </w:p>
        </w:tc>
        <w:tc>
          <w:tcPr>
            <w:tcW w:w="810" w:type="dxa"/>
            <w:tcBorders>
              <w:top w:val="nil"/>
              <w:left w:val="nil"/>
              <w:bottom w:val="single" w:sz="4" w:space="0" w:color="000000"/>
              <w:right w:val="single" w:sz="12" w:space="0" w:color="000000"/>
            </w:tcBorders>
            <w:shd w:val="clear" w:color="auto" w:fill="auto"/>
            <w:noWrap/>
            <w:vAlign w:val="center"/>
          </w:tcPr>
          <w:p w14:paraId="31DFE2E5" w14:textId="7D7573B6" w:rsidR="00D35808" w:rsidRPr="00EE5714" w:rsidRDefault="00D35808" w:rsidP="00D35808">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$57.88</w:t>
            </w:r>
          </w:p>
        </w:tc>
      </w:tr>
      <w:tr w:rsidR="00D35808" w:rsidRPr="00EE5714" w14:paraId="130FEDFB" w14:textId="77777777" w:rsidTr="003F3312">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0860E1AF" w14:textId="77777777" w:rsidR="00D35808" w:rsidRPr="00EE5714" w:rsidRDefault="00D35808" w:rsidP="00D3580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07BE9B85" w14:textId="7397A732" w:rsidR="00D35808" w:rsidRPr="00EE5714" w:rsidRDefault="00D35808" w:rsidP="00D3580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$81.43</w:t>
            </w:r>
          </w:p>
        </w:tc>
        <w:tc>
          <w:tcPr>
            <w:tcW w:w="927" w:type="dxa"/>
            <w:tcBorders>
              <w:top w:val="nil"/>
              <w:left w:val="nil"/>
              <w:bottom w:val="single" w:sz="12" w:space="0" w:color="000000"/>
              <w:right w:val="single" w:sz="4" w:space="0" w:color="000000"/>
            </w:tcBorders>
            <w:shd w:val="clear" w:color="auto" w:fill="auto"/>
            <w:noWrap/>
            <w:vAlign w:val="center"/>
          </w:tcPr>
          <w:p w14:paraId="3660DF7C" w14:textId="4EA640FF" w:rsidR="00D35808" w:rsidRPr="00EE5714" w:rsidRDefault="00D35808" w:rsidP="00D3580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$78.44</w:t>
            </w:r>
          </w:p>
        </w:tc>
        <w:tc>
          <w:tcPr>
            <w:tcW w:w="927" w:type="dxa"/>
            <w:tcBorders>
              <w:top w:val="nil"/>
              <w:left w:val="nil"/>
              <w:bottom w:val="single" w:sz="12" w:space="0" w:color="000000"/>
              <w:right w:val="single" w:sz="4" w:space="0" w:color="000000"/>
            </w:tcBorders>
            <w:shd w:val="clear" w:color="auto" w:fill="auto"/>
            <w:noWrap/>
            <w:vAlign w:val="center"/>
          </w:tcPr>
          <w:p w14:paraId="3D6A6B4B" w14:textId="507AB6FB" w:rsidR="00D35808" w:rsidRPr="00EE5714" w:rsidRDefault="00D35808" w:rsidP="00D3580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$80.90</w:t>
            </w:r>
          </w:p>
        </w:tc>
        <w:tc>
          <w:tcPr>
            <w:tcW w:w="927" w:type="dxa"/>
            <w:tcBorders>
              <w:top w:val="nil"/>
              <w:left w:val="nil"/>
              <w:bottom w:val="single" w:sz="12" w:space="0" w:color="000000"/>
              <w:right w:val="single" w:sz="4" w:space="0" w:color="000000"/>
            </w:tcBorders>
            <w:shd w:val="clear" w:color="auto" w:fill="auto"/>
            <w:noWrap/>
            <w:vAlign w:val="center"/>
          </w:tcPr>
          <w:p w14:paraId="36A2EE85" w14:textId="0DE62BCB" w:rsidR="00D35808" w:rsidRPr="00EE5714" w:rsidRDefault="00D35808" w:rsidP="00D3580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$81.82</w:t>
            </w:r>
          </w:p>
        </w:tc>
        <w:tc>
          <w:tcPr>
            <w:tcW w:w="927" w:type="dxa"/>
            <w:tcBorders>
              <w:top w:val="single" w:sz="4" w:space="0" w:color="000000"/>
              <w:left w:val="nil"/>
              <w:bottom w:val="single" w:sz="12" w:space="0" w:color="000000"/>
              <w:right w:val="single" w:sz="4" w:space="0" w:color="auto"/>
            </w:tcBorders>
            <w:vAlign w:val="center"/>
          </w:tcPr>
          <w:p w14:paraId="23A528BA" w14:textId="4D9C7932" w:rsidR="00D35808" w:rsidRPr="00EE5714" w:rsidRDefault="00D35808" w:rsidP="00D3580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$77.32</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12183B32" w14:textId="6F79D1EB" w:rsidR="00D35808" w:rsidRPr="00EE5714" w:rsidRDefault="00D35808" w:rsidP="00D3580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$58.13</w:t>
            </w:r>
          </w:p>
        </w:tc>
        <w:tc>
          <w:tcPr>
            <w:tcW w:w="927" w:type="dxa"/>
            <w:tcBorders>
              <w:top w:val="nil"/>
              <w:left w:val="nil"/>
              <w:bottom w:val="single" w:sz="12" w:space="0" w:color="000000"/>
              <w:right w:val="single" w:sz="4" w:space="0" w:color="000000"/>
            </w:tcBorders>
            <w:shd w:val="clear" w:color="auto" w:fill="auto"/>
            <w:noWrap/>
            <w:vAlign w:val="center"/>
          </w:tcPr>
          <w:p w14:paraId="46A3958D" w14:textId="73E71B05" w:rsidR="00D35808" w:rsidRPr="00EE5714" w:rsidRDefault="00D35808" w:rsidP="00D3580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$76.91</w:t>
            </w:r>
          </w:p>
        </w:tc>
        <w:tc>
          <w:tcPr>
            <w:tcW w:w="927" w:type="dxa"/>
            <w:tcBorders>
              <w:top w:val="nil"/>
              <w:left w:val="nil"/>
              <w:bottom w:val="single" w:sz="12" w:space="0" w:color="000000"/>
              <w:right w:val="single" w:sz="4" w:space="0" w:color="000000"/>
            </w:tcBorders>
            <w:shd w:val="clear" w:color="auto" w:fill="auto"/>
            <w:noWrap/>
            <w:vAlign w:val="center"/>
          </w:tcPr>
          <w:p w14:paraId="0CAD1865" w14:textId="39A855E9" w:rsidR="00D35808" w:rsidRPr="00EE5714" w:rsidRDefault="00D35808" w:rsidP="00D3580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$58.76</w:t>
            </w:r>
          </w:p>
        </w:tc>
        <w:tc>
          <w:tcPr>
            <w:tcW w:w="864" w:type="dxa"/>
            <w:tcBorders>
              <w:top w:val="nil"/>
              <w:left w:val="nil"/>
              <w:bottom w:val="single" w:sz="12" w:space="0" w:color="000000"/>
              <w:right w:val="single" w:sz="4" w:space="0" w:color="000000"/>
            </w:tcBorders>
            <w:shd w:val="clear" w:color="auto" w:fill="auto"/>
            <w:noWrap/>
            <w:vAlign w:val="center"/>
          </w:tcPr>
          <w:p w14:paraId="678D89D2" w14:textId="0B18653B" w:rsidR="00D35808" w:rsidRPr="00EE5714" w:rsidRDefault="00D35808" w:rsidP="00D3580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$58.26</w:t>
            </w:r>
          </w:p>
        </w:tc>
        <w:tc>
          <w:tcPr>
            <w:tcW w:w="810" w:type="dxa"/>
            <w:tcBorders>
              <w:top w:val="nil"/>
              <w:left w:val="nil"/>
              <w:bottom w:val="single" w:sz="12" w:space="0" w:color="000000"/>
              <w:right w:val="single" w:sz="12" w:space="0" w:color="000000"/>
            </w:tcBorders>
            <w:shd w:val="clear" w:color="auto" w:fill="auto"/>
            <w:noWrap/>
            <w:vAlign w:val="center"/>
          </w:tcPr>
          <w:p w14:paraId="3BED20CB" w14:textId="36122405" w:rsidR="00D35808" w:rsidRPr="00EE5714" w:rsidRDefault="00D35808" w:rsidP="00D35808">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$60.63</w:t>
            </w:r>
          </w:p>
        </w:tc>
      </w:tr>
    </w:tbl>
    <w:p w14:paraId="69FA43FC" w14:textId="77777777" w:rsidR="00071E2B" w:rsidRPr="00071E2B" w:rsidRDefault="00071E2B" w:rsidP="00071E2B">
      <w:pPr>
        <w:pStyle w:val="NoSpacing"/>
        <w:rPr>
          <w:rFonts w:cs="Times New Roman"/>
          <w:szCs w:val="26"/>
        </w:rPr>
      </w:pPr>
    </w:p>
    <w:p w14:paraId="7479E7F0" w14:textId="77777777" w:rsidR="00570EAE" w:rsidRPr="00EE5714" w:rsidRDefault="00570EAE" w:rsidP="007D7A46">
      <w:pPr>
        <w:pStyle w:val="NoSpacing"/>
        <w:rPr>
          <w:rFonts w:cs="Times New Roman"/>
          <w:szCs w:val="26"/>
        </w:rPr>
      </w:pPr>
    </w:p>
    <w:p w14:paraId="410F0578" w14:textId="0CC1C8F9" w:rsidR="00F303E0" w:rsidRPr="00EE5714" w:rsidRDefault="00F734A0" w:rsidP="0009098D">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521C79" w:rsidRPr="00EE5714">
        <w:rPr>
          <w:rFonts w:cs="Times New Roman"/>
          <w:szCs w:val="26"/>
        </w:rPr>
        <w:t>F</w:t>
      </w:r>
      <w:r w:rsidR="00F303E0" w:rsidRPr="00EE5714">
        <w:rPr>
          <w:rFonts w:cs="Times New Roman"/>
          <w:szCs w:val="26"/>
        </w:rPr>
        <w:t xml:space="preserve">.4: </w:t>
      </w:r>
      <w:r w:rsidR="00F303E0" w:rsidRPr="00EE5714">
        <w:rPr>
          <w:rFonts w:eastAsia="Times New Roman" w:cs="Times New Roman"/>
          <w:b/>
          <w:color w:val="000000"/>
          <w:szCs w:val="26"/>
        </w:rPr>
        <w:t xml:space="preserve">Actual Data and Forecasts – </w:t>
      </w:r>
      <w:proofErr w:type="spellStart"/>
      <w:r w:rsidR="00F303E0" w:rsidRPr="00EE5714">
        <w:rPr>
          <w:rFonts w:eastAsia="Times New Roman" w:cs="Times New Roman"/>
          <w:b/>
          <w:color w:val="000000"/>
          <w:szCs w:val="26"/>
        </w:rPr>
        <w:t>Penelec</w:t>
      </w:r>
      <w:proofErr w:type="spellEnd"/>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7B40E0" w:rsidRPr="00EE5714" w14:paraId="7E5EF9DB" w14:textId="77777777" w:rsidTr="00180883">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65296EAD" w14:textId="77777777" w:rsidR="007B40E0" w:rsidRPr="00EE5714" w:rsidRDefault="007B40E0"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54DEFE3D"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09CC517E" w14:textId="77777777" w:rsidR="007B40E0" w:rsidRPr="00EE5714" w:rsidRDefault="007B40E0"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7B40E0" w:rsidRPr="00EE5714" w14:paraId="2C6EEE0D"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CA43169" w14:textId="77777777" w:rsidR="007B40E0" w:rsidRPr="00EE5714" w:rsidRDefault="007B40E0"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62083D85"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712CEFE1"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63FB7F66"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42536537"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145EBDC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11A464FA"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6AC275D4"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412F29E5"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496714E7"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1299AC2D"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C945B1" w:rsidRPr="00EE5714" w14:paraId="2513FC76" w14:textId="77777777" w:rsidTr="003F3312">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36AF28F0" w14:textId="77777777" w:rsidR="00C945B1" w:rsidRPr="00EE5714" w:rsidRDefault="00C945B1" w:rsidP="00C945B1">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78C24C36" w14:textId="20738CB7"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$64.70</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50F2A954" w14:textId="2F8F9CD5"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$53.40</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856E325" w14:textId="62281BA4"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$42.15</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854BDF0" w14:textId="5D490D40"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$37.72</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36075C35" w14:textId="293ECB84"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$37.99</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536923B0" w14:textId="4EA9FDF0"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$39.24</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38AE6E4" w14:textId="2CD6274B"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$46.04</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2C8650A" w14:textId="6EAB71D8"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$48.62</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5CD8EA8D" w14:textId="77C1CF4D"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$49.05</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08AB0CBA" w14:textId="24B1E218"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$49.55</w:t>
            </w:r>
          </w:p>
        </w:tc>
      </w:tr>
      <w:tr w:rsidR="00C945B1" w:rsidRPr="00EE5714" w14:paraId="16681914"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AC8F9E3" w14:textId="77777777"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5B2723B9" w14:textId="00E73F9F"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$58.23</w:t>
            </w:r>
          </w:p>
        </w:tc>
        <w:tc>
          <w:tcPr>
            <w:tcW w:w="927" w:type="dxa"/>
            <w:tcBorders>
              <w:top w:val="nil"/>
              <w:left w:val="nil"/>
              <w:bottom w:val="single" w:sz="4" w:space="0" w:color="000000"/>
              <w:right w:val="single" w:sz="4" w:space="0" w:color="000000"/>
            </w:tcBorders>
            <w:shd w:val="clear" w:color="auto" w:fill="auto"/>
            <w:noWrap/>
            <w:vAlign w:val="center"/>
          </w:tcPr>
          <w:p w14:paraId="07925B22" w14:textId="5267641E"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$48.06</w:t>
            </w:r>
          </w:p>
        </w:tc>
        <w:tc>
          <w:tcPr>
            <w:tcW w:w="927" w:type="dxa"/>
            <w:tcBorders>
              <w:top w:val="nil"/>
              <w:left w:val="nil"/>
              <w:bottom w:val="single" w:sz="4" w:space="0" w:color="000000"/>
              <w:right w:val="single" w:sz="4" w:space="0" w:color="000000"/>
            </w:tcBorders>
            <w:shd w:val="clear" w:color="auto" w:fill="auto"/>
            <w:noWrap/>
            <w:vAlign w:val="center"/>
          </w:tcPr>
          <w:p w14:paraId="14BEE28C" w14:textId="2A5BFFBE"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$37.93</w:t>
            </w:r>
          </w:p>
        </w:tc>
        <w:tc>
          <w:tcPr>
            <w:tcW w:w="927" w:type="dxa"/>
            <w:tcBorders>
              <w:top w:val="nil"/>
              <w:left w:val="nil"/>
              <w:bottom w:val="single" w:sz="4" w:space="0" w:color="000000"/>
              <w:right w:val="single" w:sz="4" w:space="0" w:color="000000"/>
            </w:tcBorders>
            <w:shd w:val="clear" w:color="auto" w:fill="auto"/>
            <w:noWrap/>
            <w:vAlign w:val="center"/>
          </w:tcPr>
          <w:p w14:paraId="7A05DB5D" w14:textId="09623664"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$33.95</w:t>
            </w:r>
          </w:p>
        </w:tc>
        <w:tc>
          <w:tcPr>
            <w:tcW w:w="927" w:type="dxa"/>
            <w:tcBorders>
              <w:top w:val="single" w:sz="4" w:space="0" w:color="000000"/>
              <w:left w:val="nil"/>
              <w:bottom w:val="single" w:sz="4" w:space="0" w:color="000000"/>
              <w:right w:val="single" w:sz="4" w:space="0" w:color="auto"/>
            </w:tcBorders>
            <w:vAlign w:val="center"/>
          </w:tcPr>
          <w:p w14:paraId="4DBD7C11" w14:textId="3D0E8867"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$34.19</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794D669F" w14:textId="3F24E654"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$35.32</w:t>
            </w:r>
          </w:p>
        </w:tc>
        <w:tc>
          <w:tcPr>
            <w:tcW w:w="927" w:type="dxa"/>
            <w:tcBorders>
              <w:top w:val="nil"/>
              <w:left w:val="nil"/>
              <w:bottom w:val="single" w:sz="4" w:space="0" w:color="000000"/>
              <w:right w:val="single" w:sz="4" w:space="0" w:color="000000"/>
            </w:tcBorders>
            <w:shd w:val="clear" w:color="auto" w:fill="auto"/>
            <w:noWrap/>
            <w:vAlign w:val="center"/>
          </w:tcPr>
          <w:p w14:paraId="2966E8C9" w14:textId="21304B46"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$41.44</w:t>
            </w:r>
          </w:p>
        </w:tc>
        <w:tc>
          <w:tcPr>
            <w:tcW w:w="927" w:type="dxa"/>
            <w:tcBorders>
              <w:top w:val="nil"/>
              <w:left w:val="nil"/>
              <w:bottom w:val="single" w:sz="4" w:space="0" w:color="000000"/>
              <w:right w:val="single" w:sz="4" w:space="0" w:color="000000"/>
            </w:tcBorders>
            <w:shd w:val="clear" w:color="auto" w:fill="auto"/>
            <w:noWrap/>
            <w:vAlign w:val="center"/>
          </w:tcPr>
          <w:p w14:paraId="6BFD26C8" w14:textId="0EF1C9DD"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$43.76</w:t>
            </w:r>
          </w:p>
        </w:tc>
        <w:tc>
          <w:tcPr>
            <w:tcW w:w="864" w:type="dxa"/>
            <w:tcBorders>
              <w:top w:val="nil"/>
              <w:left w:val="nil"/>
              <w:bottom w:val="single" w:sz="4" w:space="0" w:color="000000"/>
              <w:right w:val="single" w:sz="4" w:space="0" w:color="000000"/>
            </w:tcBorders>
            <w:shd w:val="clear" w:color="auto" w:fill="auto"/>
            <w:noWrap/>
            <w:vAlign w:val="center"/>
          </w:tcPr>
          <w:p w14:paraId="69C5B699" w14:textId="7A9279B5"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$44.15</w:t>
            </w:r>
          </w:p>
        </w:tc>
        <w:tc>
          <w:tcPr>
            <w:tcW w:w="810" w:type="dxa"/>
            <w:tcBorders>
              <w:top w:val="nil"/>
              <w:left w:val="nil"/>
              <w:bottom w:val="single" w:sz="4" w:space="0" w:color="000000"/>
              <w:right w:val="single" w:sz="12" w:space="0" w:color="000000"/>
            </w:tcBorders>
            <w:shd w:val="clear" w:color="auto" w:fill="auto"/>
            <w:noWrap/>
            <w:vAlign w:val="center"/>
          </w:tcPr>
          <w:p w14:paraId="60FAF3CE" w14:textId="164CFA64"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$44.60</w:t>
            </w:r>
          </w:p>
        </w:tc>
      </w:tr>
      <w:tr w:rsidR="00C945B1" w:rsidRPr="00EE5714" w14:paraId="22B480D3"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3296D5AE" w14:textId="77777777"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5F903DA4" w14:textId="4712E488"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$61.46</w:t>
            </w:r>
          </w:p>
        </w:tc>
        <w:tc>
          <w:tcPr>
            <w:tcW w:w="927" w:type="dxa"/>
            <w:tcBorders>
              <w:top w:val="nil"/>
              <w:left w:val="nil"/>
              <w:bottom w:val="single" w:sz="4" w:space="0" w:color="000000"/>
              <w:right w:val="single" w:sz="4" w:space="0" w:color="000000"/>
            </w:tcBorders>
            <w:shd w:val="clear" w:color="auto" w:fill="auto"/>
            <w:noWrap/>
            <w:vAlign w:val="center"/>
          </w:tcPr>
          <w:p w14:paraId="3B9996B8" w14:textId="41D72CC4"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$50.73</w:t>
            </w:r>
          </w:p>
        </w:tc>
        <w:tc>
          <w:tcPr>
            <w:tcW w:w="927" w:type="dxa"/>
            <w:tcBorders>
              <w:top w:val="nil"/>
              <w:left w:val="nil"/>
              <w:bottom w:val="single" w:sz="4" w:space="0" w:color="000000"/>
              <w:right w:val="single" w:sz="4" w:space="0" w:color="000000"/>
            </w:tcBorders>
            <w:shd w:val="clear" w:color="auto" w:fill="auto"/>
            <w:noWrap/>
            <w:vAlign w:val="center"/>
          </w:tcPr>
          <w:p w14:paraId="0E37D807" w14:textId="1D770D9F"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$40.04</w:t>
            </w:r>
          </w:p>
        </w:tc>
        <w:tc>
          <w:tcPr>
            <w:tcW w:w="927" w:type="dxa"/>
            <w:tcBorders>
              <w:top w:val="nil"/>
              <w:left w:val="nil"/>
              <w:bottom w:val="single" w:sz="4" w:space="0" w:color="000000"/>
              <w:right w:val="single" w:sz="4" w:space="0" w:color="000000"/>
            </w:tcBorders>
            <w:shd w:val="clear" w:color="auto" w:fill="auto"/>
            <w:noWrap/>
            <w:vAlign w:val="center"/>
          </w:tcPr>
          <w:p w14:paraId="0F674D74" w14:textId="1FB61BF8"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$35.84</w:t>
            </w:r>
          </w:p>
        </w:tc>
        <w:tc>
          <w:tcPr>
            <w:tcW w:w="927" w:type="dxa"/>
            <w:tcBorders>
              <w:top w:val="single" w:sz="4" w:space="0" w:color="000000"/>
              <w:left w:val="nil"/>
              <w:bottom w:val="single" w:sz="4" w:space="0" w:color="000000"/>
              <w:right w:val="single" w:sz="4" w:space="0" w:color="auto"/>
            </w:tcBorders>
            <w:vAlign w:val="center"/>
          </w:tcPr>
          <w:p w14:paraId="09130481" w14:textId="62E38D16"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$36.09</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39A08688" w14:textId="27CCC311"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$37.28</w:t>
            </w:r>
          </w:p>
        </w:tc>
        <w:tc>
          <w:tcPr>
            <w:tcW w:w="927" w:type="dxa"/>
            <w:tcBorders>
              <w:top w:val="nil"/>
              <w:left w:val="nil"/>
              <w:bottom w:val="single" w:sz="4" w:space="0" w:color="000000"/>
              <w:right w:val="single" w:sz="4" w:space="0" w:color="000000"/>
            </w:tcBorders>
            <w:shd w:val="clear" w:color="auto" w:fill="auto"/>
            <w:noWrap/>
            <w:vAlign w:val="center"/>
          </w:tcPr>
          <w:p w14:paraId="5E55D5B0" w14:textId="6CBAF311"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$43.74</w:t>
            </w:r>
          </w:p>
        </w:tc>
        <w:tc>
          <w:tcPr>
            <w:tcW w:w="927" w:type="dxa"/>
            <w:tcBorders>
              <w:top w:val="nil"/>
              <w:left w:val="nil"/>
              <w:bottom w:val="single" w:sz="4" w:space="0" w:color="000000"/>
              <w:right w:val="single" w:sz="4" w:space="0" w:color="000000"/>
            </w:tcBorders>
            <w:shd w:val="clear" w:color="auto" w:fill="auto"/>
            <w:noWrap/>
            <w:vAlign w:val="center"/>
          </w:tcPr>
          <w:p w14:paraId="1DF3A951" w14:textId="6D773C0D"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$46.19</w:t>
            </w:r>
          </w:p>
        </w:tc>
        <w:tc>
          <w:tcPr>
            <w:tcW w:w="864" w:type="dxa"/>
            <w:tcBorders>
              <w:top w:val="nil"/>
              <w:left w:val="nil"/>
              <w:bottom w:val="single" w:sz="4" w:space="0" w:color="000000"/>
              <w:right w:val="single" w:sz="4" w:space="0" w:color="000000"/>
            </w:tcBorders>
            <w:shd w:val="clear" w:color="auto" w:fill="auto"/>
            <w:noWrap/>
            <w:vAlign w:val="center"/>
          </w:tcPr>
          <w:p w14:paraId="27B33CE1" w14:textId="6520FFAB"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$46.60</w:t>
            </w:r>
          </w:p>
        </w:tc>
        <w:tc>
          <w:tcPr>
            <w:tcW w:w="810" w:type="dxa"/>
            <w:tcBorders>
              <w:top w:val="nil"/>
              <w:left w:val="nil"/>
              <w:bottom w:val="single" w:sz="4" w:space="0" w:color="000000"/>
              <w:right w:val="single" w:sz="12" w:space="0" w:color="000000"/>
            </w:tcBorders>
            <w:shd w:val="clear" w:color="auto" w:fill="auto"/>
            <w:noWrap/>
            <w:vAlign w:val="center"/>
          </w:tcPr>
          <w:p w14:paraId="22333CE9" w14:textId="34FBDC22"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$47.07</w:t>
            </w:r>
          </w:p>
        </w:tc>
      </w:tr>
      <w:tr w:rsidR="00C945B1" w:rsidRPr="00EE5714" w14:paraId="0A1CB4F2" w14:textId="77777777" w:rsidTr="00C945B1">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1BEF1C0" w14:textId="77777777"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154D1716" w14:textId="2CA11F2C"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$64.05</w:t>
            </w:r>
          </w:p>
        </w:tc>
        <w:tc>
          <w:tcPr>
            <w:tcW w:w="927" w:type="dxa"/>
            <w:tcBorders>
              <w:top w:val="nil"/>
              <w:left w:val="nil"/>
              <w:bottom w:val="single" w:sz="8" w:space="0" w:color="000000"/>
              <w:right w:val="single" w:sz="4" w:space="0" w:color="000000"/>
            </w:tcBorders>
            <w:shd w:val="clear" w:color="auto" w:fill="auto"/>
            <w:noWrap/>
            <w:vAlign w:val="center"/>
          </w:tcPr>
          <w:p w14:paraId="497B73A5" w14:textId="720DE3D7"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$52.86</w:t>
            </w:r>
          </w:p>
        </w:tc>
        <w:tc>
          <w:tcPr>
            <w:tcW w:w="927" w:type="dxa"/>
            <w:tcBorders>
              <w:top w:val="nil"/>
              <w:left w:val="nil"/>
              <w:bottom w:val="single" w:sz="8" w:space="0" w:color="000000"/>
              <w:right w:val="single" w:sz="4" w:space="0" w:color="000000"/>
            </w:tcBorders>
            <w:shd w:val="clear" w:color="auto" w:fill="auto"/>
            <w:noWrap/>
            <w:vAlign w:val="center"/>
          </w:tcPr>
          <w:p w14:paraId="20106AD1" w14:textId="5AA20376"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$41.72</w:t>
            </w:r>
          </w:p>
        </w:tc>
        <w:tc>
          <w:tcPr>
            <w:tcW w:w="927" w:type="dxa"/>
            <w:tcBorders>
              <w:top w:val="nil"/>
              <w:left w:val="nil"/>
              <w:bottom w:val="single" w:sz="8" w:space="0" w:color="000000"/>
              <w:right w:val="single" w:sz="4" w:space="0" w:color="000000"/>
            </w:tcBorders>
            <w:shd w:val="clear" w:color="auto" w:fill="auto"/>
            <w:noWrap/>
            <w:vAlign w:val="center"/>
          </w:tcPr>
          <w:p w14:paraId="30DEA0A7" w14:textId="04A05D77"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$37.34</w:t>
            </w:r>
          </w:p>
        </w:tc>
        <w:tc>
          <w:tcPr>
            <w:tcW w:w="927" w:type="dxa"/>
            <w:tcBorders>
              <w:top w:val="single" w:sz="4" w:space="0" w:color="000000"/>
              <w:left w:val="nil"/>
              <w:bottom w:val="single" w:sz="8" w:space="0" w:color="000000"/>
              <w:right w:val="single" w:sz="4" w:space="0" w:color="auto"/>
            </w:tcBorders>
            <w:vAlign w:val="center"/>
          </w:tcPr>
          <w:p w14:paraId="67C60081" w14:textId="68ECE84F"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$37.61</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320E4CE6" w14:textId="1DABA07C"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$38.85</w:t>
            </w:r>
          </w:p>
        </w:tc>
        <w:tc>
          <w:tcPr>
            <w:tcW w:w="927" w:type="dxa"/>
            <w:tcBorders>
              <w:top w:val="nil"/>
              <w:left w:val="nil"/>
              <w:bottom w:val="single" w:sz="4" w:space="0" w:color="000000"/>
              <w:right w:val="single" w:sz="4" w:space="0" w:color="000000"/>
            </w:tcBorders>
            <w:shd w:val="clear" w:color="auto" w:fill="auto"/>
            <w:noWrap/>
            <w:vAlign w:val="center"/>
          </w:tcPr>
          <w:p w14:paraId="69A8ECF1" w14:textId="45BFDCDE"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$45.58</w:t>
            </w:r>
          </w:p>
        </w:tc>
        <w:tc>
          <w:tcPr>
            <w:tcW w:w="927" w:type="dxa"/>
            <w:tcBorders>
              <w:top w:val="nil"/>
              <w:left w:val="nil"/>
              <w:bottom w:val="single" w:sz="4" w:space="0" w:color="000000"/>
              <w:right w:val="single" w:sz="4" w:space="0" w:color="000000"/>
            </w:tcBorders>
            <w:shd w:val="clear" w:color="auto" w:fill="auto"/>
            <w:noWrap/>
            <w:vAlign w:val="center"/>
          </w:tcPr>
          <w:p w14:paraId="1096CE24" w14:textId="5EA0E362"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$48.13</w:t>
            </w:r>
          </w:p>
        </w:tc>
        <w:tc>
          <w:tcPr>
            <w:tcW w:w="864" w:type="dxa"/>
            <w:tcBorders>
              <w:top w:val="nil"/>
              <w:left w:val="nil"/>
              <w:bottom w:val="single" w:sz="4" w:space="0" w:color="000000"/>
              <w:right w:val="single" w:sz="4" w:space="0" w:color="000000"/>
            </w:tcBorders>
            <w:shd w:val="clear" w:color="auto" w:fill="auto"/>
            <w:noWrap/>
            <w:vAlign w:val="center"/>
          </w:tcPr>
          <w:p w14:paraId="046F06D6" w14:textId="0048C815"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$48.56</w:t>
            </w:r>
          </w:p>
        </w:tc>
        <w:tc>
          <w:tcPr>
            <w:tcW w:w="810" w:type="dxa"/>
            <w:tcBorders>
              <w:top w:val="nil"/>
              <w:left w:val="nil"/>
              <w:bottom w:val="single" w:sz="4" w:space="0" w:color="000000"/>
              <w:right w:val="single" w:sz="12" w:space="0" w:color="000000"/>
            </w:tcBorders>
            <w:shd w:val="clear" w:color="auto" w:fill="auto"/>
            <w:noWrap/>
            <w:vAlign w:val="center"/>
          </w:tcPr>
          <w:p w14:paraId="3265E55B" w14:textId="7679BE9E"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$49.05</w:t>
            </w:r>
          </w:p>
        </w:tc>
      </w:tr>
      <w:tr w:rsidR="007B40E0" w:rsidRPr="00EE5714" w14:paraId="777E6C23" w14:textId="77777777" w:rsidTr="00C945B1">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0A565613" w14:textId="77777777" w:rsidR="007B40E0" w:rsidRPr="00EE5714" w:rsidRDefault="007B40E0"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2D30C62F"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432FC427"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1A84E629"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r>
      <w:tr w:rsidR="00C945B1" w:rsidRPr="00EE5714" w14:paraId="3BC79734"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4807723A" w14:textId="77777777"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60B5EA1E" w14:textId="2DF0D596"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$65.34</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3DE372F1" w14:textId="7D18EE11"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$53.93</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59BD4C8F" w14:textId="72C63E7B"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$42.57</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4E2EEEF4" w14:textId="585AFCAA"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$38.10</w:t>
            </w:r>
          </w:p>
        </w:tc>
        <w:tc>
          <w:tcPr>
            <w:tcW w:w="927" w:type="dxa"/>
            <w:tcBorders>
              <w:top w:val="single" w:sz="8" w:space="0" w:color="000000"/>
              <w:left w:val="nil"/>
              <w:bottom w:val="single" w:sz="4" w:space="0" w:color="000000"/>
              <w:right w:val="single" w:sz="4" w:space="0" w:color="auto"/>
            </w:tcBorders>
            <w:vAlign w:val="center"/>
          </w:tcPr>
          <w:p w14:paraId="7991DAC8" w14:textId="3BB7B5E5"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$38.37</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6B832A2F" w14:textId="137FADEF"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$39.64</w:t>
            </w:r>
          </w:p>
        </w:tc>
        <w:tc>
          <w:tcPr>
            <w:tcW w:w="927" w:type="dxa"/>
            <w:tcBorders>
              <w:top w:val="nil"/>
              <w:left w:val="nil"/>
              <w:bottom w:val="single" w:sz="4" w:space="0" w:color="000000"/>
              <w:right w:val="single" w:sz="4" w:space="0" w:color="000000"/>
            </w:tcBorders>
            <w:shd w:val="clear" w:color="auto" w:fill="auto"/>
            <w:noWrap/>
            <w:vAlign w:val="center"/>
          </w:tcPr>
          <w:p w14:paraId="21F62CE9" w14:textId="2BFABE19"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$46.50</w:t>
            </w:r>
          </w:p>
        </w:tc>
        <w:tc>
          <w:tcPr>
            <w:tcW w:w="927" w:type="dxa"/>
            <w:tcBorders>
              <w:top w:val="nil"/>
              <w:left w:val="nil"/>
              <w:bottom w:val="single" w:sz="4" w:space="0" w:color="000000"/>
              <w:right w:val="single" w:sz="4" w:space="0" w:color="000000"/>
            </w:tcBorders>
            <w:shd w:val="clear" w:color="auto" w:fill="auto"/>
            <w:noWrap/>
            <w:vAlign w:val="center"/>
          </w:tcPr>
          <w:p w14:paraId="7C25A668" w14:textId="4CBEEE7F"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$49.11</w:t>
            </w:r>
          </w:p>
        </w:tc>
        <w:tc>
          <w:tcPr>
            <w:tcW w:w="864" w:type="dxa"/>
            <w:tcBorders>
              <w:top w:val="nil"/>
              <w:left w:val="nil"/>
              <w:bottom w:val="single" w:sz="4" w:space="0" w:color="000000"/>
              <w:right w:val="single" w:sz="4" w:space="0" w:color="000000"/>
            </w:tcBorders>
            <w:shd w:val="clear" w:color="auto" w:fill="auto"/>
            <w:noWrap/>
            <w:vAlign w:val="center"/>
          </w:tcPr>
          <w:p w14:paraId="4B6DD3B9" w14:textId="79CEEEDF"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$49.54</w:t>
            </w:r>
          </w:p>
        </w:tc>
        <w:tc>
          <w:tcPr>
            <w:tcW w:w="810" w:type="dxa"/>
            <w:tcBorders>
              <w:top w:val="nil"/>
              <w:left w:val="nil"/>
              <w:bottom w:val="single" w:sz="4" w:space="0" w:color="000000"/>
              <w:right w:val="single" w:sz="12" w:space="0" w:color="000000"/>
            </w:tcBorders>
            <w:shd w:val="clear" w:color="auto" w:fill="auto"/>
            <w:noWrap/>
            <w:vAlign w:val="center"/>
          </w:tcPr>
          <w:p w14:paraId="4F60486F" w14:textId="56CCB1B7"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$50.05</w:t>
            </w:r>
          </w:p>
        </w:tc>
      </w:tr>
      <w:tr w:rsidR="00C945B1" w:rsidRPr="00EE5714" w14:paraId="4B9A62B1"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7300674D" w14:textId="77777777"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7187E4C3" w14:textId="0B429724"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$67.93</w:t>
            </w:r>
          </w:p>
        </w:tc>
        <w:tc>
          <w:tcPr>
            <w:tcW w:w="927" w:type="dxa"/>
            <w:tcBorders>
              <w:top w:val="nil"/>
              <w:left w:val="nil"/>
              <w:bottom w:val="single" w:sz="4" w:space="0" w:color="000000"/>
              <w:right w:val="single" w:sz="4" w:space="0" w:color="000000"/>
            </w:tcBorders>
            <w:shd w:val="clear" w:color="auto" w:fill="auto"/>
            <w:noWrap/>
            <w:vAlign w:val="center"/>
          </w:tcPr>
          <w:p w14:paraId="05600D59" w14:textId="4ADFF68F"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$56.07</w:t>
            </w:r>
          </w:p>
        </w:tc>
        <w:tc>
          <w:tcPr>
            <w:tcW w:w="927" w:type="dxa"/>
            <w:tcBorders>
              <w:top w:val="nil"/>
              <w:left w:val="nil"/>
              <w:bottom w:val="single" w:sz="4" w:space="0" w:color="000000"/>
              <w:right w:val="single" w:sz="4" w:space="0" w:color="000000"/>
            </w:tcBorders>
            <w:shd w:val="clear" w:color="auto" w:fill="auto"/>
            <w:noWrap/>
            <w:vAlign w:val="center"/>
          </w:tcPr>
          <w:p w14:paraId="50ECB03A" w14:textId="393A6C95"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$44.25</w:t>
            </w:r>
          </w:p>
        </w:tc>
        <w:tc>
          <w:tcPr>
            <w:tcW w:w="927" w:type="dxa"/>
            <w:tcBorders>
              <w:top w:val="nil"/>
              <w:left w:val="nil"/>
              <w:bottom w:val="single" w:sz="4" w:space="0" w:color="000000"/>
              <w:right w:val="single" w:sz="4" w:space="0" w:color="000000"/>
            </w:tcBorders>
            <w:shd w:val="clear" w:color="auto" w:fill="auto"/>
            <w:noWrap/>
            <w:vAlign w:val="center"/>
          </w:tcPr>
          <w:p w14:paraId="233170F2" w14:textId="52CF5173"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$39.61</w:t>
            </w:r>
          </w:p>
        </w:tc>
        <w:tc>
          <w:tcPr>
            <w:tcW w:w="927" w:type="dxa"/>
            <w:tcBorders>
              <w:top w:val="single" w:sz="4" w:space="0" w:color="000000"/>
              <w:left w:val="nil"/>
              <w:bottom w:val="single" w:sz="4" w:space="0" w:color="000000"/>
              <w:right w:val="single" w:sz="4" w:space="0" w:color="auto"/>
            </w:tcBorders>
            <w:vAlign w:val="center"/>
          </w:tcPr>
          <w:p w14:paraId="3AC6BF84" w14:textId="6DE0A349"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$39.89</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75AE0F5B" w14:textId="56C647EF"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$41.21</w:t>
            </w:r>
          </w:p>
        </w:tc>
        <w:tc>
          <w:tcPr>
            <w:tcW w:w="927" w:type="dxa"/>
            <w:tcBorders>
              <w:top w:val="nil"/>
              <w:left w:val="nil"/>
              <w:bottom w:val="single" w:sz="4" w:space="0" w:color="000000"/>
              <w:right w:val="single" w:sz="4" w:space="0" w:color="000000"/>
            </w:tcBorders>
            <w:shd w:val="clear" w:color="auto" w:fill="auto"/>
            <w:noWrap/>
            <w:vAlign w:val="center"/>
          </w:tcPr>
          <w:p w14:paraId="318FFF2F" w14:textId="46E46993"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$48.34</w:t>
            </w:r>
          </w:p>
        </w:tc>
        <w:tc>
          <w:tcPr>
            <w:tcW w:w="927" w:type="dxa"/>
            <w:tcBorders>
              <w:top w:val="nil"/>
              <w:left w:val="nil"/>
              <w:bottom w:val="single" w:sz="4" w:space="0" w:color="000000"/>
              <w:right w:val="single" w:sz="4" w:space="0" w:color="000000"/>
            </w:tcBorders>
            <w:shd w:val="clear" w:color="auto" w:fill="auto"/>
            <w:noWrap/>
            <w:vAlign w:val="center"/>
          </w:tcPr>
          <w:p w14:paraId="7C3D81EA" w14:textId="456AF10D"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$51.05</w:t>
            </w:r>
          </w:p>
        </w:tc>
        <w:tc>
          <w:tcPr>
            <w:tcW w:w="864" w:type="dxa"/>
            <w:tcBorders>
              <w:top w:val="nil"/>
              <w:left w:val="nil"/>
              <w:bottom w:val="single" w:sz="4" w:space="0" w:color="000000"/>
              <w:right w:val="single" w:sz="4" w:space="0" w:color="000000"/>
            </w:tcBorders>
            <w:shd w:val="clear" w:color="auto" w:fill="auto"/>
            <w:noWrap/>
            <w:vAlign w:val="center"/>
          </w:tcPr>
          <w:p w14:paraId="5EADF806" w14:textId="63DA3010"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$51.50</w:t>
            </w:r>
          </w:p>
        </w:tc>
        <w:tc>
          <w:tcPr>
            <w:tcW w:w="810" w:type="dxa"/>
            <w:tcBorders>
              <w:top w:val="nil"/>
              <w:left w:val="nil"/>
              <w:bottom w:val="single" w:sz="4" w:space="0" w:color="000000"/>
              <w:right w:val="single" w:sz="12" w:space="0" w:color="000000"/>
            </w:tcBorders>
            <w:shd w:val="clear" w:color="auto" w:fill="auto"/>
            <w:noWrap/>
            <w:vAlign w:val="center"/>
          </w:tcPr>
          <w:p w14:paraId="5310EE7F" w14:textId="01A66A5E" w:rsidR="00C945B1" w:rsidRPr="00EE5714" w:rsidRDefault="00C945B1" w:rsidP="00C945B1">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$52.03</w:t>
            </w:r>
          </w:p>
        </w:tc>
      </w:tr>
      <w:tr w:rsidR="00C945B1" w:rsidRPr="00EE5714" w14:paraId="73E14D9B" w14:textId="77777777" w:rsidTr="003F3312">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7CC8F0FF" w14:textId="77777777" w:rsidR="00C945B1" w:rsidRPr="00EE5714" w:rsidRDefault="00C945B1" w:rsidP="00C945B1">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43D25887" w14:textId="382F589D" w:rsidR="00C945B1" w:rsidRPr="00EE5714" w:rsidRDefault="00C945B1" w:rsidP="00C945B1">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$71.17</w:t>
            </w:r>
          </w:p>
        </w:tc>
        <w:tc>
          <w:tcPr>
            <w:tcW w:w="927" w:type="dxa"/>
            <w:tcBorders>
              <w:top w:val="nil"/>
              <w:left w:val="nil"/>
              <w:bottom w:val="single" w:sz="12" w:space="0" w:color="000000"/>
              <w:right w:val="single" w:sz="4" w:space="0" w:color="000000"/>
            </w:tcBorders>
            <w:shd w:val="clear" w:color="auto" w:fill="auto"/>
            <w:noWrap/>
            <w:vAlign w:val="center"/>
          </w:tcPr>
          <w:p w14:paraId="779B107A" w14:textId="168CFDC4" w:rsidR="00C945B1" w:rsidRPr="00EE5714" w:rsidRDefault="00C945B1" w:rsidP="00C945B1">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$58.74</w:t>
            </w:r>
          </w:p>
        </w:tc>
        <w:tc>
          <w:tcPr>
            <w:tcW w:w="927" w:type="dxa"/>
            <w:tcBorders>
              <w:top w:val="nil"/>
              <w:left w:val="nil"/>
              <w:bottom w:val="single" w:sz="12" w:space="0" w:color="000000"/>
              <w:right w:val="single" w:sz="4" w:space="0" w:color="000000"/>
            </w:tcBorders>
            <w:shd w:val="clear" w:color="auto" w:fill="auto"/>
            <w:noWrap/>
            <w:vAlign w:val="center"/>
          </w:tcPr>
          <w:p w14:paraId="12D40592" w14:textId="47FE63B8" w:rsidR="00C945B1" w:rsidRPr="00EE5714" w:rsidRDefault="00C945B1" w:rsidP="00C945B1">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$46.36</w:t>
            </w:r>
          </w:p>
        </w:tc>
        <w:tc>
          <w:tcPr>
            <w:tcW w:w="927" w:type="dxa"/>
            <w:tcBorders>
              <w:top w:val="nil"/>
              <w:left w:val="nil"/>
              <w:bottom w:val="single" w:sz="12" w:space="0" w:color="000000"/>
              <w:right w:val="single" w:sz="4" w:space="0" w:color="000000"/>
            </w:tcBorders>
            <w:shd w:val="clear" w:color="auto" w:fill="auto"/>
            <w:noWrap/>
            <w:vAlign w:val="center"/>
          </w:tcPr>
          <w:p w14:paraId="6AE65F38" w14:textId="292A3F59" w:rsidR="00C945B1" w:rsidRPr="00EE5714" w:rsidRDefault="00C945B1" w:rsidP="00C945B1">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$41.49</w:t>
            </w:r>
          </w:p>
        </w:tc>
        <w:tc>
          <w:tcPr>
            <w:tcW w:w="927" w:type="dxa"/>
            <w:tcBorders>
              <w:top w:val="single" w:sz="4" w:space="0" w:color="000000"/>
              <w:left w:val="nil"/>
              <w:bottom w:val="single" w:sz="12" w:space="0" w:color="000000"/>
              <w:right w:val="single" w:sz="4" w:space="0" w:color="auto"/>
            </w:tcBorders>
            <w:vAlign w:val="center"/>
          </w:tcPr>
          <w:p w14:paraId="22DFD57E" w14:textId="558E6865" w:rsidR="00C945B1" w:rsidRPr="00EE5714" w:rsidRDefault="00C945B1" w:rsidP="00C945B1">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$41.79</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000DF6DA" w14:textId="32F7C31F" w:rsidR="00C945B1" w:rsidRPr="00EE5714" w:rsidRDefault="00C945B1" w:rsidP="00C945B1">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$43.17</w:t>
            </w:r>
          </w:p>
        </w:tc>
        <w:tc>
          <w:tcPr>
            <w:tcW w:w="927" w:type="dxa"/>
            <w:tcBorders>
              <w:top w:val="nil"/>
              <w:left w:val="nil"/>
              <w:bottom w:val="single" w:sz="12" w:space="0" w:color="000000"/>
              <w:right w:val="single" w:sz="4" w:space="0" w:color="000000"/>
            </w:tcBorders>
            <w:shd w:val="clear" w:color="auto" w:fill="auto"/>
            <w:noWrap/>
            <w:vAlign w:val="center"/>
          </w:tcPr>
          <w:p w14:paraId="32C3C5E3" w14:textId="294E0592" w:rsidR="00C945B1" w:rsidRPr="00EE5714" w:rsidRDefault="00C945B1" w:rsidP="00C945B1">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$50.64</w:t>
            </w:r>
          </w:p>
        </w:tc>
        <w:tc>
          <w:tcPr>
            <w:tcW w:w="927" w:type="dxa"/>
            <w:tcBorders>
              <w:top w:val="nil"/>
              <w:left w:val="nil"/>
              <w:bottom w:val="single" w:sz="12" w:space="0" w:color="000000"/>
              <w:right w:val="single" w:sz="4" w:space="0" w:color="000000"/>
            </w:tcBorders>
            <w:shd w:val="clear" w:color="auto" w:fill="auto"/>
            <w:noWrap/>
            <w:vAlign w:val="center"/>
          </w:tcPr>
          <w:p w14:paraId="1B8B7441" w14:textId="5E9DA7F7" w:rsidR="00C945B1" w:rsidRPr="00EE5714" w:rsidRDefault="00C945B1" w:rsidP="00C945B1">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$53.48</w:t>
            </w:r>
          </w:p>
        </w:tc>
        <w:tc>
          <w:tcPr>
            <w:tcW w:w="864" w:type="dxa"/>
            <w:tcBorders>
              <w:top w:val="nil"/>
              <w:left w:val="nil"/>
              <w:bottom w:val="single" w:sz="12" w:space="0" w:color="000000"/>
              <w:right w:val="single" w:sz="4" w:space="0" w:color="000000"/>
            </w:tcBorders>
            <w:shd w:val="clear" w:color="auto" w:fill="auto"/>
            <w:noWrap/>
            <w:vAlign w:val="center"/>
          </w:tcPr>
          <w:p w14:paraId="4FF79A1C" w14:textId="2B464D85" w:rsidR="00C945B1" w:rsidRPr="00EE5714" w:rsidRDefault="00C945B1" w:rsidP="00C945B1">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$53.96</w:t>
            </w:r>
          </w:p>
        </w:tc>
        <w:tc>
          <w:tcPr>
            <w:tcW w:w="810" w:type="dxa"/>
            <w:tcBorders>
              <w:top w:val="nil"/>
              <w:left w:val="nil"/>
              <w:bottom w:val="single" w:sz="12" w:space="0" w:color="000000"/>
              <w:right w:val="single" w:sz="12" w:space="0" w:color="000000"/>
            </w:tcBorders>
            <w:shd w:val="clear" w:color="auto" w:fill="auto"/>
            <w:noWrap/>
            <w:vAlign w:val="center"/>
          </w:tcPr>
          <w:p w14:paraId="68DFFC5C" w14:textId="27E4EB23" w:rsidR="00C945B1" w:rsidRPr="00EE5714" w:rsidRDefault="00C945B1" w:rsidP="00C945B1">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$54.51</w:t>
            </w:r>
          </w:p>
        </w:tc>
      </w:tr>
    </w:tbl>
    <w:p w14:paraId="389F626F" w14:textId="77777777" w:rsidR="00071E2B" w:rsidRPr="00071E2B" w:rsidRDefault="00071E2B" w:rsidP="00071E2B">
      <w:pPr>
        <w:pStyle w:val="NoSpacing"/>
        <w:rPr>
          <w:rFonts w:cs="Times New Roman"/>
          <w:szCs w:val="26"/>
        </w:rPr>
      </w:pPr>
    </w:p>
    <w:p w14:paraId="465A8147" w14:textId="77777777" w:rsidR="00570EAE" w:rsidRPr="00EE5714" w:rsidRDefault="00570EAE" w:rsidP="007D7A46">
      <w:pPr>
        <w:pStyle w:val="NoSpacing"/>
        <w:rPr>
          <w:rFonts w:cs="Times New Roman"/>
          <w:szCs w:val="26"/>
        </w:rPr>
      </w:pPr>
    </w:p>
    <w:p w14:paraId="55901051" w14:textId="337F59CF" w:rsidR="00F303E0" w:rsidRPr="00EE5714" w:rsidRDefault="00F734A0" w:rsidP="007D7A46">
      <w:pPr>
        <w:pStyle w:val="NoSpacing"/>
        <w:keepNext/>
        <w:rPr>
          <w:rFonts w:cs="Times New Roman"/>
          <w:szCs w:val="26"/>
        </w:rPr>
      </w:pPr>
      <w:r w:rsidRPr="00EE5714">
        <w:rPr>
          <w:rFonts w:cs="Times New Roman"/>
          <w:szCs w:val="26"/>
        </w:rPr>
        <w:lastRenderedPageBreak/>
        <w:t>Appendix 9</w:t>
      </w:r>
      <w:r w:rsidR="00F303E0" w:rsidRPr="00EE5714">
        <w:rPr>
          <w:rFonts w:cs="Times New Roman"/>
          <w:szCs w:val="26"/>
        </w:rPr>
        <w:t>.</w:t>
      </w:r>
      <w:r w:rsidR="00521C79" w:rsidRPr="00EE5714">
        <w:rPr>
          <w:rFonts w:cs="Times New Roman"/>
          <w:szCs w:val="26"/>
        </w:rPr>
        <w:t>F</w:t>
      </w:r>
      <w:r w:rsidR="00F303E0" w:rsidRPr="00EE5714">
        <w:rPr>
          <w:rFonts w:cs="Times New Roman"/>
          <w:szCs w:val="26"/>
        </w:rPr>
        <w:t xml:space="preserve">.5: </w:t>
      </w:r>
      <w:r w:rsidR="00F303E0" w:rsidRPr="00EE5714">
        <w:rPr>
          <w:rFonts w:eastAsia="Times New Roman" w:cs="Times New Roman"/>
          <w:b/>
          <w:color w:val="000000"/>
          <w:szCs w:val="26"/>
        </w:rPr>
        <w:t>Actual Data and Forecasts – Penn Power</w:t>
      </w:r>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47015D" w:rsidRPr="00EE5714" w14:paraId="33281358" w14:textId="77777777" w:rsidTr="00180883">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256B1AA3" w14:textId="77777777" w:rsidR="0047015D" w:rsidRPr="00EE5714" w:rsidRDefault="0047015D"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567641E6" w14:textId="77777777" w:rsidR="0047015D" w:rsidRPr="00EE5714" w:rsidRDefault="0047015D"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11CAFBBC" w14:textId="77777777" w:rsidR="0047015D" w:rsidRPr="00EE5714" w:rsidRDefault="0047015D"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7B40E0" w:rsidRPr="00EE5714" w14:paraId="56C64C36"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237AEBB7" w14:textId="77777777" w:rsidR="007B40E0" w:rsidRPr="00EE5714" w:rsidRDefault="007B40E0"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3DB18FAA"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5FE151D6"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620D59DA"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353CFB9A"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7F8D2300"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6484B1F5"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51ABE0B0"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49D7B43A"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7329EB4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2A353887"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92275C" w:rsidRPr="00EE5714" w14:paraId="2084859A" w14:textId="77777777" w:rsidTr="003F3312">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1066A42A" w14:textId="77777777" w:rsidR="0092275C" w:rsidRPr="00EE5714" w:rsidRDefault="0092275C" w:rsidP="0092275C">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4CB48BFD" w14:textId="0FC10C6C"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$67.73</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56B539C" w14:textId="15AF28A8"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$45.69</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41735453" w14:textId="464813DD"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$31.42</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0076C707" w14:textId="5FF61780"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$28.79</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67BE06F8" w14:textId="6B0DE503"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$30.77</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001E577A" w14:textId="05BFD2DA"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$31.77</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270E9A2B" w14:textId="5D3AD784"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$35.88</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763D3BF6" w14:textId="5FCD3062"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$39.76</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26323A84" w14:textId="1288ACFD"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$39.96</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6FFB8E07" w14:textId="48F512AE"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$40.23</w:t>
            </w:r>
          </w:p>
        </w:tc>
      </w:tr>
      <w:tr w:rsidR="0092275C" w:rsidRPr="00EE5714" w14:paraId="1398389D"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7061D85" w14:textId="77777777"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60A7301C" w14:textId="1585CB58"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$60.96</w:t>
            </w:r>
          </w:p>
        </w:tc>
        <w:tc>
          <w:tcPr>
            <w:tcW w:w="927" w:type="dxa"/>
            <w:tcBorders>
              <w:top w:val="nil"/>
              <w:left w:val="nil"/>
              <w:bottom w:val="single" w:sz="4" w:space="0" w:color="000000"/>
              <w:right w:val="single" w:sz="4" w:space="0" w:color="000000"/>
            </w:tcBorders>
            <w:shd w:val="clear" w:color="auto" w:fill="auto"/>
            <w:noWrap/>
            <w:vAlign w:val="center"/>
          </w:tcPr>
          <w:p w14:paraId="08ED963D" w14:textId="7113B3B1"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$41.12</w:t>
            </w:r>
          </w:p>
        </w:tc>
        <w:tc>
          <w:tcPr>
            <w:tcW w:w="927" w:type="dxa"/>
            <w:tcBorders>
              <w:top w:val="nil"/>
              <w:left w:val="nil"/>
              <w:bottom w:val="single" w:sz="4" w:space="0" w:color="000000"/>
              <w:right w:val="single" w:sz="4" w:space="0" w:color="000000"/>
            </w:tcBorders>
            <w:shd w:val="clear" w:color="auto" w:fill="auto"/>
            <w:noWrap/>
            <w:vAlign w:val="center"/>
          </w:tcPr>
          <w:p w14:paraId="1DA96380" w14:textId="32DF6F00"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$28.28</w:t>
            </w:r>
          </w:p>
        </w:tc>
        <w:tc>
          <w:tcPr>
            <w:tcW w:w="927" w:type="dxa"/>
            <w:tcBorders>
              <w:top w:val="nil"/>
              <w:left w:val="nil"/>
              <w:bottom w:val="single" w:sz="4" w:space="0" w:color="000000"/>
              <w:right w:val="single" w:sz="4" w:space="0" w:color="000000"/>
            </w:tcBorders>
            <w:shd w:val="clear" w:color="auto" w:fill="auto"/>
            <w:noWrap/>
            <w:vAlign w:val="center"/>
          </w:tcPr>
          <w:p w14:paraId="065AE7F7" w14:textId="0B0DCCB5"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$25.91</w:t>
            </w:r>
          </w:p>
        </w:tc>
        <w:tc>
          <w:tcPr>
            <w:tcW w:w="927" w:type="dxa"/>
            <w:tcBorders>
              <w:top w:val="single" w:sz="4" w:space="0" w:color="000000"/>
              <w:left w:val="nil"/>
              <w:bottom w:val="single" w:sz="4" w:space="0" w:color="000000"/>
              <w:right w:val="single" w:sz="4" w:space="0" w:color="auto"/>
            </w:tcBorders>
            <w:vAlign w:val="center"/>
          </w:tcPr>
          <w:p w14:paraId="6881A6A0" w14:textId="752AC6C4"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$27.69</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50E2354B" w14:textId="057DE8B2"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$28.59</w:t>
            </w:r>
          </w:p>
        </w:tc>
        <w:tc>
          <w:tcPr>
            <w:tcW w:w="927" w:type="dxa"/>
            <w:tcBorders>
              <w:top w:val="nil"/>
              <w:left w:val="nil"/>
              <w:bottom w:val="single" w:sz="4" w:space="0" w:color="000000"/>
              <w:right w:val="single" w:sz="4" w:space="0" w:color="000000"/>
            </w:tcBorders>
            <w:shd w:val="clear" w:color="auto" w:fill="auto"/>
            <w:noWrap/>
            <w:vAlign w:val="center"/>
          </w:tcPr>
          <w:p w14:paraId="1123710A" w14:textId="62753225"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$32.29</w:t>
            </w:r>
          </w:p>
        </w:tc>
        <w:tc>
          <w:tcPr>
            <w:tcW w:w="927" w:type="dxa"/>
            <w:tcBorders>
              <w:top w:val="nil"/>
              <w:left w:val="nil"/>
              <w:bottom w:val="single" w:sz="4" w:space="0" w:color="000000"/>
              <w:right w:val="single" w:sz="4" w:space="0" w:color="000000"/>
            </w:tcBorders>
            <w:shd w:val="clear" w:color="auto" w:fill="auto"/>
            <w:noWrap/>
            <w:vAlign w:val="center"/>
          </w:tcPr>
          <w:p w14:paraId="17B44A9A" w14:textId="50F42953"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$35.78</w:t>
            </w:r>
          </w:p>
        </w:tc>
        <w:tc>
          <w:tcPr>
            <w:tcW w:w="864" w:type="dxa"/>
            <w:tcBorders>
              <w:top w:val="nil"/>
              <w:left w:val="nil"/>
              <w:bottom w:val="single" w:sz="4" w:space="0" w:color="000000"/>
              <w:right w:val="single" w:sz="4" w:space="0" w:color="000000"/>
            </w:tcBorders>
            <w:shd w:val="clear" w:color="auto" w:fill="auto"/>
            <w:noWrap/>
            <w:vAlign w:val="center"/>
          </w:tcPr>
          <w:p w14:paraId="7A9EB1BC" w14:textId="1C4022D0"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$35.96</w:t>
            </w:r>
          </w:p>
        </w:tc>
        <w:tc>
          <w:tcPr>
            <w:tcW w:w="810" w:type="dxa"/>
            <w:tcBorders>
              <w:top w:val="nil"/>
              <w:left w:val="nil"/>
              <w:bottom w:val="single" w:sz="4" w:space="0" w:color="000000"/>
              <w:right w:val="single" w:sz="12" w:space="0" w:color="000000"/>
            </w:tcBorders>
            <w:shd w:val="clear" w:color="auto" w:fill="auto"/>
            <w:noWrap/>
            <w:vAlign w:val="center"/>
          </w:tcPr>
          <w:p w14:paraId="3515778D" w14:textId="629E4587"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$36.21</w:t>
            </w:r>
          </w:p>
        </w:tc>
      </w:tr>
      <w:tr w:rsidR="0092275C" w:rsidRPr="00EE5714" w14:paraId="4F39BF45"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51C09116" w14:textId="77777777"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638ADFB8" w14:textId="0C22B15D"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$64.34</w:t>
            </w:r>
          </w:p>
        </w:tc>
        <w:tc>
          <w:tcPr>
            <w:tcW w:w="927" w:type="dxa"/>
            <w:tcBorders>
              <w:top w:val="nil"/>
              <w:left w:val="nil"/>
              <w:bottom w:val="single" w:sz="4" w:space="0" w:color="000000"/>
              <w:right w:val="single" w:sz="4" w:space="0" w:color="000000"/>
            </w:tcBorders>
            <w:shd w:val="clear" w:color="auto" w:fill="auto"/>
            <w:noWrap/>
            <w:vAlign w:val="center"/>
          </w:tcPr>
          <w:p w14:paraId="61B570CE" w14:textId="1A02B5F9"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$43.40</w:t>
            </w:r>
          </w:p>
        </w:tc>
        <w:tc>
          <w:tcPr>
            <w:tcW w:w="927" w:type="dxa"/>
            <w:tcBorders>
              <w:top w:val="nil"/>
              <w:left w:val="nil"/>
              <w:bottom w:val="single" w:sz="4" w:space="0" w:color="000000"/>
              <w:right w:val="single" w:sz="4" w:space="0" w:color="000000"/>
            </w:tcBorders>
            <w:shd w:val="clear" w:color="auto" w:fill="auto"/>
            <w:noWrap/>
            <w:vAlign w:val="center"/>
          </w:tcPr>
          <w:p w14:paraId="08B57C4F" w14:textId="610D254B"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$29.85</w:t>
            </w:r>
          </w:p>
        </w:tc>
        <w:tc>
          <w:tcPr>
            <w:tcW w:w="927" w:type="dxa"/>
            <w:tcBorders>
              <w:top w:val="nil"/>
              <w:left w:val="nil"/>
              <w:bottom w:val="single" w:sz="4" w:space="0" w:color="000000"/>
              <w:right w:val="single" w:sz="4" w:space="0" w:color="000000"/>
            </w:tcBorders>
            <w:shd w:val="clear" w:color="auto" w:fill="auto"/>
            <w:noWrap/>
            <w:vAlign w:val="center"/>
          </w:tcPr>
          <w:p w14:paraId="356EA4A3" w14:textId="0CE8571C"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$27.35</w:t>
            </w:r>
          </w:p>
        </w:tc>
        <w:tc>
          <w:tcPr>
            <w:tcW w:w="927" w:type="dxa"/>
            <w:tcBorders>
              <w:top w:val="single" w:sz="4" w:space="0" w:color="000000"/>
              <w:left w:val="nil"/>
              <w:bottom w:val="single" w:sz="4" w:space="0" w:color="000000"/>
              <w:right w:val="single" w:sz="4" w:space="0" w:color="auto"/>
            </w:tcBorders>
            <w:vAlign w:val="center"/>
          </w:tcPr>
          <w:p w14:paraId="70AED50F" w14:textId="07BFDD08"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$29.23</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7E30841A" w14:textId="2D363994"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$30.18</w:t>
            </w:r>
          </w:p>
        </w:tc>
        <w:tc>
          <w:tcPr>
            <w:tcW w:w="927" w:type="dxa"/>
            <w:tcBorders>
              <w:top w:val="nil"/>
              <w:left w:val="nil"/>
              <w:bottom w:val="single" w:sz="4" w:space="0" w:color="000000"/>
              <w:right w:val="single" w:sz="4" w:space="0" w:color="000000"/>
            </w:tcBorders>
            <w:shd w:val="clear" w:color="auto" w:fill="auto"/>
            <w:noWrap/>
            <w:vAlign w:val="center"/>
          </w:tcPr>
          <w:p w14:paraId="2648C9C4" w14:textId="235A0A04"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$34.09</w:t>
            </w:r>
          </w:p>
        </w:tc>
        <w:tc>
          <w:tcPr>
            <w:tcW w:w="927" w:type="dxa"/>
            <w:tcBorders>
              <w:top w:val="nil"/>
              <w:left w:val="nil"/>
              <w:bottom w:val="single" w:sz="4" w:space="0" w:color="000000"/>
              <w:right w:val="single" w:sz="4" w:space="0" w:color="000000"/>
            </w:tcBorders>
            <w:shd w:val="clear" w:color="auto" w:fill="auto"/>
            <w:noWrap/>
            <w:vAlign w:val="center"/>
          </w:tcPr>
          <w:p w14:paraId="51712278" w14:textId="19DF6C72"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$37.77</w:t>
            </w:r>
          </w:p>
        </w:tc>
        <w:tc>
          <w:tcPr>
            <w:tcW w:w="864" w:type="dxa"/>
            <w:tcBorders>
              <w:top w:val="nil"/>
              <w:left w:val="nil"/>
              <w:bottom w:val="single" w:sz="4" w:space="0" w:color="000000"/>
              <w:right w:val="single" w:sz="4" w:space="0" w:color="000000"/>
            </w:tcBorders>
            <w:shd w:val="clear" w:color="auto" w:fill="auto"/>
            <w:noWrap/>
            <w:vAlign w:val="center"/>
          </w:tcPr>
          <w:p w14:paraId="7C442D42" w14:textId="39599F2C"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$37.96</w:t>
            </w:r>
          </w:p>
        </w:tc>
        <w:tc>
          <w:tcPr>
            <w:tcW w:w="810" w:type="dxa"/>
            <w:tcBorders>
              <w:top w:val="nil"/>
              <w:left w:val="nil"/>
              <w:bottom w:val="single" w:sz="4" w:space="0" w:color="000000"/>
              <w:right w:val="single" w:sz="12" w:space="0" w:color="000000"/>
            </w:tcBorders>
            <w:shd w:val="clear" w:color="auto" w:fill="auto"/>
            <w:noWrap/>
            <w:vAlign w:val="center"/>
          </w:tcPr>
          <w:p w14:paraId="5E892ABF" w14:textId="246D6F3A"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$38.22</w:t>
            </w:r>
          </w:p>
        </w:tc>
      </w:tr>
      <w:tr w:rsidR="0092275C" w:rsidRPr="00EE5714" w14:paraId="523AB6B7" w14:textId="77777777" w:rsidTr="003D4AD5">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756BAAC1" w14:textId="77777777"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3E82B582" w14:textId="1BB82FB1"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$67.05</w:t>
            </w:r>
          </w:p>
        </w:tc>
        <w:tc>
          <w:tcPr>
            <w:tcW w:w="927" w:type="dxa"/>
            <w:tcBorders>
              <w:top w:val="nil"/>
              <w:left w:val="nil"/>
              <w:bottom w:val="single" w:sz="8" w:space="0" w:color="000000"/>
              <w:right w:val="single" w:sz="4" w:space="0" w:color="000000"/>
            </w:tcBorders>
            <w:shd w:val="clear" w:color="auto" w:fill="auto"/>
            <w:noWrap/>
            <w:vAlign w:val="center"/>
          </w:tcPr>
          <w:p w14:paraId="377A1EC2" w14:textId="1E914D88"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$45.23</w:t>
            </w:r>
          </w:p>
        </w:tc>
        <w:tc>
          <w:tcPr>
            <w:tcW w:w="927" w:type="dxa"/>
            <w:tcBorders>
              <w:top w:val="nil"/>
              <w:left w:val="nil"/>
              <w:bottom w:val="single" w:sz="8" w:space="0" w:color="000000"/>
              <w:right w:val="single" w:sz="4" w:space="0" w:color="000000"/>
            </w:tcBorders>
            <w:shd w:val="clear" w:color="auto" w:fill="auto"/>
            <w:noWrap/>
            <w:vAlign w:val="center"/>
          </w:tcPr>
          <w:p w14:paraId="62FACCD8" w14:textId="18A36292"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$31.11</w:t>
            </w:r>
          </w:p>
        </w:tc>
        <w:tc>
          <w:tcPr>
            <w:tcW w:w="927" w:type="dxa"/>
            <w:tcBorders>
              <w:top w:val="nil"/>
              <w:left w:val="nil"/>
              <w:bottom w:val="single" w:sz="8" w:space="0" w:color="000000"/>
              <w:right w:val="single" w:sz="4" w:space="0" w:color="000000"/>
            </w:tcBorders>
            <w:shd w:val="clear" w:color="auto" w:fill="auto"/>
            <w:noWrap/>
            <w:vAlign w:val="center"/>
          </w:tcPr>
          <w:p w14:paraId="4A91688A" w14:textId="2D531AC0"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$28.50</w:t>
            </w:r>
          </w:p>
        </w:tc>
        <w:tc>
          <w:tcPr>
            <w:tcW w:w="927" w:type="dxa"/>
            <w:tcBorders>
              <w:top w:val="single" w:sz="4" w:space="0" w:color="000000"/>
              <w:left w:val="nil"/>
              <w:bottom w:val="single" w:sz="8" w:space="0" w:color="000000"/>
              <w:right w:val="single" w:sz="4" w:space="0" w:color="auto"/>
            </w:tcBorders>
            <w:vAlign w:val="center"/>
          </w:tcPr>
          <w:p w14:paraId="47644974" w14:textId="78DB52BD"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$30.46</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6D62C061" w14:textId="36C92C6A"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$31.45</w:t>
            </w:r>
          </w:p>
        </w:tc>
        <w:tc>
          <w:tcPr>
            <w:tcW w:w="927" w:type="dxa"/>
            <w:tcBorders>
              <w:top w:val="nil"/>
              <w:left w:val="nil"/>
              <w:bottom w:val="single" w:sz="4" w:space="0" w:color="000000"/>
              <w:right w:val="single" w:sz="4" w:space="0" w:color="000000"/>
            </w:tcBorders>
            <w:shd w:val="clear" w:color="auto" w:fill="auto"/>
            <w:noWrap/>
            <w:vAlign w:val="center"/>
          </w:tcPr>
          <w:p w14:paraId="007B2FE5" w14:textId="5686F18B"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$35.52</w:t>
            </w:r>
          </w:p>
        </w:tc>
        <w:tc>
          <w:tcPr>
            <w:tcW w:w="927" w:type="dxa"/>
            <w:tcBorders>
              <w:top w:val="nil"/>
              <w:left w:val="nil"/>
              <w:bottom w:val="single" w:sz="4" w:space="0" w:color="000000"/>
              <w:right w:val="single" w:sz="4" w:space="0" w:color="000000"/>
            </w:tcBorders>
            <w:shd w:val="clear" w:color="auto" w:fill="auto"/>
            <w:noWrap/>
            <w:vAlign w:val="center"/>
          </w:tcPr>
          <w:p w14:paraId="10E911FA" w14:textId="593773CE"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$39.36</w:t>
            </w:r>
          </w:p>
        </w:tc>
        <w:tc>
          <w:tcPr>
            <w:tcW w:w="864" w:type="dxa"/>
            <w:tcBorders>
              <w:top w:val="nil"/>
              <w:left w:val="nil"/>
              <w:bottom w:val="single" w:sz="4" w:space="0" w:color="000000"/>
              <w:right w:val="single" w:sz="4" w:space="0" w:color="000000"/>
            </w:tcBorders>
            <w:shd w:val="clear" w:color="auto" w:fill="auto"/>
            <w:noWrap/>
            <w:vAlign w:val="center"/>
          </w:tcPr>
          <w:p w14:paraId="5863569F" w14:textId="40F11FB6"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$39.56</w:t>
            </w:r>
          </w:p>
        </w:tc>
        <w:tc>
          <w:tcPr>
            <w:tcW w:w="810" w:type="dxa"/>
            <w:tcBorders>
              <w:top w:val="nil"/>
              <w:left w:val="nil"/>
              <w:bottom w:val="single" w:sz="4" w:space="0" w:color="000000"/>
              <w:right w:val="single" w:sz="12" w:space="0" w:color="000000"/>
            </w:tcBorders>
            <w:shd w:val="clear" w:color="auto" w:fill="auto"/>
            <w:noWrap/>
            <w:vAlign w:val="center"/>
          </w:tcPr>
          <w:p w14:paraId="75FEFCF2" w14:textId="0C9C44D2" w:rsidR="0092275C" w:rsidRPr="00EE5714" w:rsidRDefault="0092275C" w:rsidP="0092275C">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$39.83</w:t>
            </w:r>
          </w:p>
        </w:tc>
      </w:tr>
      <w:tr w:rsidR="007B40E0" w:rsidRPr="00EE5714" w14:paraId="619E0F7E" w14:textId="77777777" w:rsidTr="003D4AD5">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31806C6A" w14:textId="77777777" w:rsidR="007B40E0" w:rsidRPr="00EE5714" w:rsidRDefault="007B40E0"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26CBE17F"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76968772"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07D7171B"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r>
      <w:tr w:rsidR="003D4AD5" w:rsidRPr="00EE5714" w14:paraId="57632D99"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7C546D1" w14:textId="77777777"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363A84F0" w14:textId="13743FAC"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$68.41</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7E0AA9D3" w14:textId="4BB5AF54"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$46.15</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7A21FE28" w14:textId="5CFA20F0"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$31.73</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05204423" w14:textId="484E0320"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$29.08</w:t>
            </w:r>
          </w:p>
        </w:tc>
        <w:tc>
          <w:tcPr>
            <w:tcW w:w="927" w:type="dxa"/>
            <w:tcBorders>
              <w:top w:val="single" w:sz="8" w:space="0" w:color="000000"/>
              <w:left w:val="nil"/>
              <w:bottom w:val="single" w:sz="4" w:space="0" w:color="000000"/>
              <w:right w:val="single" w:sz="4" w:space="0" w:color="auto"/>
            </w:tcBorders>
            <w:vAlign w:val="center"/>
          </w:tcPr>
          <w:p w14:paraId="41E2B314" w14:textId="27B11E99"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$31.08</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30FCE13B" w14:textId="048AA9F1"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$35.88</w:t>
            </w:r>
          </w:p>
        </w:tc>
        <w:tc>
          <w:tcPr>
            <w:tcW w:w="927" w:type="dxa"/>
            <w:tcBorders>
              <w:top w:val="nil"/>
              <w:left w:val="nil"/>
              <w:bottom w:val="single" w:sz="4" w:space="0" w:color="000000"/>
              <w:right w:val="single" w:sz="4" w:space="0" w:color="000000"/>
            </w:tcBorders>
            <w:shd w:val="clear" w:color="auto" w:fill="auto"/>
            <w:noWrap/>
            <w:vAlign w:val="center"/>
          </w:tcPr>
          <w:p w14:paraId="70595B8A" w14:textId="7165F6F4"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$39.76</w:t>
            </w:r>
          </w:p>
        </w:tc>
        <w:tc>
          <w:tcPr>
            <w:tcW w:w="927" w:type="dxa"/>
            <w:tcBorders>
              <w:top w:val="nil"/>
              <w:left w:val="nil"/>
              <w:bottom w:val="single" w:sz="4" w:space="0" w:color="000000"/>
              <w:right w:val="single" w:sz="4" w:space="0" w:color="000000"/>
            </w:tcBorders>
            <w:shd w:val="clear" w:color="auto" w:fill="auto"/>
            <w:noWrap/>
            <w:vAlign w:val="center"/>
          </w:tcPr>
          <w:p w14:paraId="2F19A56F" w14:textId="307CEEC1"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$39.96</w:t>
            </w:r>
          </w:p>
        </w:tc>
        <w:tc>
          <w:tcPr>
            <w:tcW w:w="864" w:type="dxa"/>
            <w:tcBorders>
              <w:top w:val="nil"/>
              <w:left w:val="nil"/>
              <w:bottom w:val="single" w:sz="4" w:space="0" w:color="000000"/>
              <w:right w:val="single" w:sz="4" w:space="0" w:color="000000"/>
            </w:tcBorders>
            <w:shd w:val="clear" w:color="auto" w:fill="auto"/>
            <w:noWrap/>
            <w:vAlign w:val="center"/>
          </w:tcPr>
          <w:p w14:paraId="05EC672C" w14:textId="082A4234"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$40.23</w:t>
            </w:r>
          </w:p>
        </w:tc>
        <w:tc>
          <w:tcPr>
            <w:tcW w:w="810" w:type="dxa"/>
            <w:tcBorders>
              <w:top w:val="nil"/>
              <w:left w:val="nil"/>
              <w:bottom w:val="single" w:sz="4" w:space="0" w:color="000000"/>
              <w:right w:val="single" w:sz="12" w:space="0" w:color="000000"/>
            </w:tcBorders>
            <w:shd w:val="clear" w:color="auto" w:fill="auto"/>
            <w:noWrap/>
            <w:vAlign w:val="center"/>
          </w:tcPr>
          <w:p w14:paraId="593EC046" w14:textId="53D29AB8"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$35.88</w:t>
            </w:r>
          </w:p>
        </w:tc>
      </w:tr>
      <w:tr w:rsidR="003D4AD5" w:rsidRPr="00EE5714" w14:paraId="3E1E5E51"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12D91D34" w14:textId="77777777"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2E420678" w14:textId="15869DCA"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$71.12</w:t>
            </w:r>
          </w:p>
        </w:tc>
        <w:tc>
          <w:tcPr>
            <w:tcW w:w="927" w:type="dxa"/>
            <w:tcBorders>
              <w:top w:val="nil"/>
              <w:left w:val="nil"/>
              <w:bottom w:val="single" w:sz="4" w:space="0" w:color="000000"/>
              <w:right w:val="single" w:sz="4" w:space="0" w:color="000000"/>
            </w:tcBorders>
            <w:shd w:val="clear" w:color="auto" w:fill="auto"/>
            <w:noWrap/>
            <w:vAlign w:val="center"/>
          </w:tcPr>
          <w:p w14:paraId="35FEF460" w14:textId="476A98A0"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$47.97</w:t>
            </w:r>
          </w:p>
        </w:tc>
        <w:tc>
          <w:tcPr>
            <w:tcW w:w="927" w:type="dxa"/>
            <w:tcBorders>
              <w:top w:val="nil"/>
              <w:left w:val="nil"/>
              <w:bottom w:val="single" w:sz="4" w:space="0" w:color="000000"/>
              <w:right w:val="single" w:sz="4" w:space="0" w:color="000000"/>
            </w:tcBorders>
            <w:shd w:val="clear" w:color="auto" w:fill="auto"/>
            <w:noWrap/>
            <w:vAlign w:val="center"/>
          </w:tcPr>
          <w:p w14:paraId="10F1C4FE" w14:textId="1E06FACC"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$32.99</w:t>
            </w:r>
          </w:p>
        </w:tc>
        <w:tc>
          <w:tcPr>
            <w:tcW w:w="927" w:type="dxa"/>
            <w:tcBorders>
              <w:top w:val="nil"/>
              <w:left w:val="nil"/>
              <w:bottom w:val="single" w:sz="4" w:space="0" w:color="000000"/>
              <w:right w:val="single" w:sz="4" w:space="0" w:color="000000"/>
            </w:tcBorders>
            <w:shd w:val="clear" w:color="auto" w:fill="auto"/>
            <w:noWrap/>
            <w:vAlign w:val="center"/>
          </w:tcPr>
          <w:p w14:paraId="261F0E01" w14:textId="2A477793"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$30.23</w:t>
            </w:r>
          </w:p>
        </w:tc>
        <w:tc>
          <w:tcPr>
            <w:tcW w:w="927" w:type="dxa"/>
            <w:tcBorders>
              <w:top w:val="single" w:sz="4" w:space="0" w:color="000000"/>
              <w:left w:val="nil"/>
              <w:bottom w:val="single" w:sz="4" w:space="0" w:color="000000"/>
              <w:right w:val="single" w:sz="4" w:space="0" w:color="auto"/>
            </w:tcBorders>
            <w:vAlign w:val="center"/>
          </w:tcPr>
          <w:p w14:paraId="10690C04" w14:textId="5F002C25"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$32.31</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28FEAC27" w14:textId="43DD8069"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$32.29</w:t>
            </w:r>
          </w:p>
        </w:tc>
        <w:tc>
          <w:tcPr>
            <w:tcW w:w="927" w:type="dxa"/>
            <w:tcBorders>
              <w:top w:val="nil"/>
              <w:left w:val="nil"/>
              <w:bottom w:val="single" w:sz="4" w:space="0" w:color="000000"/>
              <w:right w:val="single" w:sz="4" w:space="0" w:color="000000"/>
            </w:tcBorders>
            <w:shd w:val="clear" w:color="auto" w:fill="auto"/>
            <w:noWrap/>
            <w:vAlign w:val="center"/>
          </w:tcPr>
          <w:p w14:paraId="4D1F1E92" w14:textId="2CD3DB43"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$35.78</w:t>
            </w:r>
          </w:p>
        </w:tc>
        <w:tc>
          <w:tcPr>
            <w:tcW w:w="927" w:type="dxa"/>
            <w:tcBorders>
              <w:top w:val="nil"/>
              <w:left w:val="nil"/>
              <w:bottom w:val="single" w:sz="4" w:space="0" w:color="000000"/>
              <w:right w:val="single" w:sz="4" w:space="0" w:color="000000"/>
            </w:tcBorders>
            <w:shd w:val="clear" w:color="auto" w:fill="auto"/>
            <w:noWrap/>
            <w:vAlign w:val="center"/>
          </w:tcPr>
          <w:p w14:paraId="3DE4AF0A" w14:textId="56B00F7D"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$35.96</w:t>
            </w:r>
          </w:p>
        </w:tc>
        <w:tc>
          <w:tcPr>
            <w:tcW w:w="864" w:type="dxa"/>
            <w:tcBorders>
              <w:top w:val="nil"/>
              <w:left w:val="nil"/>
              <w:bottom w:val="single" w:sz="4" w:space="0" w:color="000000"/>
              <w:right w:val="single" w:sz="4" w:space="0" w:color="000000"/>
            </w:tcBorders>
            <w:shd w:val="clear" w:color="auto" w:fill="auto"/>
            <w:noWrap/>
            <w:vAlign w:val="center"/>
          </w:tcPr>
          <w:p w14:paraId="091BF0F9" w14:textId="62248F1C"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$36.21</w:t>
            </w:r>
          </w:p>
        </w:tc>
        <w:tc>
          <w:tcPr>
            <w:tcW w:w="810" w:type="dxa"/>
            <w:tcBorders>
              <w:top w:val="nil"/>
              <w:left w:val="nil"/>
              <w:bottom w:val="single" w:sz="4" w:space="0" w:color="000000"/>
              <w:right w:val="single" w:sz="12" w:space="0" w:color="000000"/>
            </w:tcBorders>
            <w:shd w:val="clear" w:color="auto" w:fill="auto"/>
            <w:noWrap/>
            <w:vAlign w:val="center"/>
          </w:tcPr>
          <w:p w14:paraId="0FF827DF" w14:textId="3816C7B1"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$32.29</w:t>
            </w:r>
          </w:p>
        </w:tc>
      </w:tr>
      <w:tr w:rsidR="003D4AD5" w:rsidRPr="00EE5714" w14:paraId="17DA15B0" w14:textId="77777777" w:rsidTr="003F3312">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2E152E21" w14:textId="77777777"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7D97869F" w14:textId="3C482071"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$74.50</w:t>
            </w:r>
          </w:p>
        </w:tc>
        <w:tc>
          <w:tcPr>
            <w:tcW w:w="927" w:type="dxa"/>
            <w:tcBorders>
              <w:top w:val="nil"/>
              <w:left w:val="nil"/>
              <w:bottom w:val="single" w:sz="12" w:space="0" w:color="000000"/>
              <w:right w:val="single" w:sz="4" w:space="0" w:color="000000"/>
            </w:tcBorders>
            <w:shd w:val="clear" w:color="auto" w:fill="auto"/>
            <w:noWrap/>
            <w:vAlign w:val="center"/>
          </w:tcPr>
          <w:p w14:paraId="39146B69" w14:textId="55D1FA69"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$50.26</w:t>
            </w:r>
          </w:p>
        </w:tc>
        <w:tc>
          <w:tcPr>
            <w:tcW w:w="927" w:type="dxa"/>
            <w:tcBorders>
              <w:top w:val="nil"/>
              <w:left w:val="nil"/>
              <w:bottom w:val="single" w:sz="12" w:space="0" w:color="000000"/>
              <w:right w:val="single" w:sz="4" w:space="0" w:color="000000"/>
            </w:tcBorders>
            <w:shd w:val="clear" w:color="auto" w:fill="auto"/>
            <w:noWrap/>
            <w:vAlign w:val="center"/>
          </w:tcPr>
          <w:p w14:paraId="5F69797A" w14:textId="23A2D7DF"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$34.56</w:t>
            </w:r>
          </w:p>
        </w:tc>
        <w:tc>
          <w:tcPr>
            <w:tcW w:w="927" w:type="dxa"/>
            <w:tcBorders>
              <w:top w:val="nil"/>
              <w:left w:val="nil"/>
              <w:bottom w:val="single" w:sz="12" w:space="0" w:color="000000"/>
              <w:right w:val="single" w:sz="4" w:space="0" w:color="000000"/>
            </w:tcBorders>
            <w:shd w:val="clear" w:color="auto" w:fill="auto"/>
            <w:noWrap/>
            <w:vAlign w:val="center"/>
          </w:tcPr>
          <w:p w14:paraId="6C663175" w14:textId="72A7A286"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$31.67</w:t>
            </w:r>
          </w:p>
        </w:tc>
        <w:tc>
          <w:tcPr>
            <w:tcW w:w="927" w:type="dxa"/>
            <w:tcBorders>
              <w:top w:val="single" w:sz="4" w:space="0" w:color="000000"/>
              <w:left w:val="nil"/>
              <w:bottom w:val="single" w:sz="12" w:space="0" w:color="000000"/>
              <w:right w:val="single" w:sz="4" w:space="0" w:color="auto"/>
            </w:tcBorders>
            <w:vAlign w:val="center"/>
          </w:tcPr>
          <w:p w14:paraId="2784442D" w14:textId="041B7498"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$33.85</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183830C4" w14:textId="027E1D56"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$34.09</w:t>
            </w:r>
          </w:p>
        </w:tc>
        <w:tc>
          <w:tcPr>
            <w:tcW w:w="927" w:type="dxa"/>
            <w:tcBorders>
              <w:top w:val="nil"/>
              <w:left w:val="nil"/>
              <w:bottom w:val="single" w:sz="12" w:space="0" w:color="000000"/>
              <w:right w:val="single" w:sz="4" w:space="0" w:color="000000"/>
            </w:tcBorders>
            <w:shd w:val="clear" w:color="auto" w:fill="auto"/>
            <w:noWrap/>
            <w:vAlign w:val="center"/>
          </w:tcPr>
          <w:p w14:paraId="3EB38E71" w14:textId="20AD40F2"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$37.77</w:t>
            </w:r>
          </w:p>
        </w:tc>
        <w:tc>
          <w:tcPr>
            <w:tcW w:w="927" w:type="dxa"/>
            <w:tcBorders>
              <w:top w:val="nil"/>
              <w:left w:val="nil"/>
              <w:bottom w:val="single" w:sz="12" w:space="0" w:color="000000"/>
              <w:right w:val="single" w:sz="4" w:space="0" w:color="000000"/>
            </w:tcBorders>
            <w:shd w:val="clear" w:color="auto" w:fill="auto"/>
            <w:noWrap/>
            <w:vAlign w:val="center"/>
          </w:tcPr>
          <w:p w14:paraId="096C6A95" w14:textId="15D30F95"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$37.96</w:t>
            </w:r>
          </w:p>
        </w:tc>
        <w:tc>
          <w:tcPr>
            <w:tcW w:w="864" w:type="dxa"/>
            <w:tcBorders>
              <w:top w:val="nil"/>
              <w:left w:val="nil"/>
              <w:bottom w:val="single" w:sz="12" w:space="0" w:color="000000"/>
              <w:right w:val="single" w:sz="4" w:space="0" w:color="000000"/>
            </w:tcBorders>
            <w:shd w:val="clear" w:color="auto" w:fill="auto"/>
            <w:noWrap/>
            <w:vAlign w:val="center"/>
          </w:tcPr>
          <w:p w14:paraId="1F418E54" w14:textId="51608A95"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$38.22</w:t>
            </w:r>
          </w:p>
        </w:tc>
        <w:tc>
          <w:tcPr>
            <w:tcW w:w="810" w:type="dxa"/>
            <w:tcBorders>
              <w:top w:val="nil"/>
              <w:left w:val="nil"/>
              <w:bottom w:val="single" w:sz="12" w:space="0" w:color="000000"/>
              <w:right w:val="single" w:sz="12" w:space="0" w:color="000000"/>
            </w:tcBorders>
            <w:shd w:val="clear" w:color="auto" w:fill="auto"/>
            <w:noWrap/>
            <w:vAlign w:val="center"/>
          </w:tcPr>
          <w:p w14:paraId="30FDE8D6" w14:textId="4F9DB70B"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$34.09</w:t>
            </w:r>
          </w:p>
        </w:tc>
      </w:tr>
    </w:tbl>
    <w:p w14:paraId="46B3E072" w14:textId="77777777" w:rsidR="00071E2B" w:rsidRPr="00071E2B" w:rsidRDefault="00071E2B" w:rsidP="00071E2B">
      <w:pPr>
        <w:pStyle w:val="NoSpacing"/>
        <w:rPr>
          <w:rFonts w:cs="Times New Roman"/>
          <w:szCs w:val="26"/>
        </w:rPr>
      </w:pPr>
    </w:p>
    <w:p w14:paraId="47DA26EF" w14:textId="77777777" w:rsidR="00570EAE" w:rsidRPr="00EE5714" w:rsidRDefault="00570EAE" w:rsidP="007D7A46">
      <w:pPr>
        <w:pStyle w:val="NoSpacing"/>
        <w:rPr>
          <w:rFonts w:cs="Times New Roman"/>
          <w:szCs w:val="26"/>
        </w:rPr>
      </w:pPr>
    </w:p>
    <w:p w14:paraId="7DB64D60" w14:textId="58D874A6" w:rsidR="00F303E0" w:rsidRPr="00EE5714" w:rsidRDefault="00F734A0" w:rsidP="007D7A46">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521C79" w:rsidRPr="00EE5714">
        <w:rPr>
          <w:rFonts w:cs="Times New Roman"/>
          <w:szCs w:val="26"/>
        </w:rPr>
        <w:t>F</w:t>
      </w:r>
      <w:r w:rsidR="00F303E0" w:rsidRPr="00EE5714">
        <w:rPr>
          <w:rFonts w:cs="Times New Roman"/>
          <w:szCs w:val="26"/>
        </w:rPr>
        <w:t xml:space="preserve">.6: </w:t>
      </w:r>
      <w:r w:rsidR="00F303E0" w:rsidRPr="00EE5714">
        <w:rPr>
          <w:rFonts w:eastAsia="Times New Roman" w:cs="Times New Roman"/>
          <w:b/>
          <w:color w:val="000000"/>
          <w:szCs w:val="26"/>
        </w:rPr>
        <w:t>Actual Data and Forecasts – PPL</w:t>
      </w:r>
    </w:p>
    <w:tbl>
      <w:tblPr>
        <w:tblW w:w="10620" w:type="dxa"/>
        <w:tblInd w:w="-640" w:type="dxa"/>
        <w:tblLayout w:type="fixed"/>
        <w:tblLook w:val="04A0" w:firstRow="1" w:lastRow="0" w:firstColumn="1" w:lastColumn="0" w:noHBand="0" w:noVBand="1"/>
      </w:tblPr>
      <w:tblGrid>
        <w:gridCol w:w="1260"/>
        <w:gridCol w:w="990"/>
        <w:gridCol w:w="810"/>
        <w:gridCol w:w="810"/>
        <w:gridCol w:w="900"/>
        <w:gridCol w:w="900"/>
        <w:gridCol w:w="990"/>
        <w:gridCol w:w="990"/>
        <w:gridCol w:w="990"/>
        <w:gridCol w:w="990"/>
        <w:gridCol w:w="990"/>
      </w:tblGrid>
      <w:tr w:rsidR="005248A3" w:rsidRPr="00EE5714" w14:paraId="3D22DA47" w14:textId="77777777" w:rsidTr="00180883">
        <w:trPr>
          <w:trHeight w:val="315"/>
        </w:trPr>
        <w:tc>
          <w:tcPr>
            <w:tcW w:w="126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247EC067" w14:textId="77777777" w:rsidR="005248A3" w:rsidRPr="00EE5714" w:rsidRDefault="005248A3" w:rsidP="003F3312">
            <w:pPr>
              <w:keepNext/>
              <w:spacing w:after="0" w:line="240" w:lineRule="auto"/>
              <w:rPr>
                <w:rFonts w:ascii="Calibri" w:eastAsia="Times New Roman" w:hAnsi="Calibri" w:cs="Calibri"/>
                <w:b/>
                <w:bCs/>
                <w:color w:val="000000"/>
                <w:szCs w:val="24"/>
              </w:rPr>
            </w:pPr>
          </w:p>
        </w:tc>
        <w:tc>
          <w:tcPr>
            <w:tcW w:w="5400"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219AA49C" w14:textId="77777777" w:rsidR="005248A3" w:rsidRPr="00EE5714" w:rsidRDefault="005248A3"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960"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44A9B21D" w14:textId="77777777" w:rsidR="005248A3" w:rsidRPr="00EE5714" w:rsidRDefault="005248A3"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EC5EFB" w:rsidRPr="00EE5714" w14:paraId="112B55EE" w14:textId="77777777" w:rsidTr="005248A3">
        <w:trPr>
          <w:trHeight w:val="300"/>
        </w:trPr>
        <w:tc>
          <w:tcPr>
            <w:tcW w:w="1260" w:type="dxa"/>
            <w:tcBorders>
              <w:top w:val="nil"/>
              <w:left w:val="single" w:sz="8" w:space="0" w:color="000000"/>
              <w:bottom w:val="single" w:sz="4" w:space="0" w:color="000000"/>
              <w:right w:val="single" w:sz="12" w:space="0" w:color="000000"/>
            </w:tcBorders>
            <w:shd w:val="clear" w:color="auto" w:fill="auto"/>
            <w:noWrap/>
            <w:vAlign w:val="bottom"/>
            <w:hideMark/>
          </w:tcPr>
          <w:p w14:paraId="7D1CA42A" w14:textId="77777777" w:rsidR="007B40E0" w:rsidRPr="00EE5714" w:rsidRDefault="007B40E0"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90" w:type="dxa"/>
            <w:tcBorders>
              <w:top w:val="nil"/>
              <w:left w:val="single" w:sz="12" w:space="0" w:color="000000"/>
              <w:bottom w:val="single" w:sz="4" w:space="0" w:color="000000"/>
              <w:right w:val="single" w:sz="4" w:space="0" w:color="000000"/>
            </w:tcBorders>
            <w:shd w:val="clear" w:color="auto" w:fill="auto"/>
            <w:noWrap/>
            <w:vAlign w:val="center"/>
            <w:hideMark/>
          </w:tcPr>
          <w:p w14:paraId="4ED2DF4F" w14:textId="77777777" w:rsidR="007B40E0" w:rsidRPr="00EE5714" w:rsidRDefault="007B40E0" w:rsidP="005248A3">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810" w:type="dxa"/>
            <w:tcBorders>
              <w:top w:val="nil"/>
              <w:left w:val="nil"/>
              <w:bottom w:val="single" w:sz="4" w:space="0" w:color="000000"/>
              <w:right w:val="single" w:sz="4" w:space="0" w:color="000000"/>
            </w:tcBorders>
            <w:shd w:val="clear" w:color="auto" w:fill="auto"/>
            <w:noWrap/>
            <w:vAlign w:val="center"/>
            <w:hideMark/>
          </w:tcPr>
          <w:p w14:paraId="0ACDC3E0" w14:textId="77777777" w:rsidR="007B40E0" w:rsidRPr="00EE5714" w:rsidRDefault="007B40E0" w:rsidP="005248A3">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810" w:type="dxa"/>
            <w:tcBorders>
              <w:top w:val="nil"/>
              <w:left w:val="nil"/>
              <w:bottom w:val="single" w:sz="4" w:space="0" w:color="000000"/>
              <w:right w:val="single" w:sz="4" w:space="0" w:color="000000"/>
            </w:tcBorders>
            <w:shd w:val="clear" w:color="auto" w:fill="auto"/>
            <w:noWrap/>
            <w:vAlign w:val="center"/>
            <w:hideMark/>
          </w:tcPr>
          <w:p w14:paraId="12E02A9D" w14:textId="77777777" w:rsidR="007B40E0" w:rsidRPr="00EE5714" w:rsidRDefault="007B40E0" w:rsidP="005248A3">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00" w:type="dxa"/>
            <w:tcBorders>
              <w:top w:val="nil"/>
              <w:left w:val="nil"/>
              <w:bottom w:val="single" w:sz="4" w:space="0" w:color="000000"/>
              <w:right w:val="single" w:sz="4" w:space="0" w:color="000000"/>
            </w:tcBorders>
            <w:shd w:val="clear" w:color="auto" w:fill="auto"/>
            <w:noWrap/>
            <w:vAlign w:val="center"/>
            <w:hideMark/>
          </w:tcPr>
          <w:p w14:paraId="3CCF9264" w14:textId="77777777" w:rsidR="007B40E0" w:rsidRPr="00EE5714" w:rsidRDefault="007B40E0" w:rsidP="005248A3">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00" w:type="dxa"/>
            <w:tcBorders>
              <w:top w:val="nil"/>
              <w:left w:val="nil"/>
              <w:bottom w:val="single" w:sz="4" w:space="0" w:color="000000"/>
              <w:right w:val="single" w:sz="4" w:space="0" w:color="auto"/>
            </w:tcBorders>
            <w:vAlign w:val="center"/>
          </w:tcPr>
          <w:p w14:paraId="022FD981" w14:textId="77777777" w:rsidR="007B40E0" w:rsidRPr="00EE5714" w:rsidRDefault="007B40E0" w:rsidP="005248A3">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90" w:type="dxa"/>
            <w:tcBorders>
              <w:top w:val="nil"/>
              <w:left w:val="single" w:sz="4" w:space="0" w:color="auto"/>
              <w:bottom w:val="single" w:sz="4" w:space="0" w:color="000000"/>
              <w:right w:val="single" w:sz="12" w:space="0" w:color="000000"/>
            </w:tcBorders>
            <w:shd w:val="clear" w:color="auto" w:fill="auto"/>
            <w:noWrap/>
            <w:vAlign w:val="center"/>
            <w:hideMark/>
          </w:tcPr>
          <w:p w14:paraId="00B7CECF" w14:textId="77777777" w:rsidR="007B40E0" w:rsidRPr="00EE5714" w:rsidRDefault="007B40E0" w:rsidP="005248A3">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90" w:type="dxa"/>
            <w:tcBorders>
              <w:top w:val="nil"/>
              <w:left w:val="nil"/>
              <w:bottom w:val="single" w:sz="4" w:space="0" w:color="000000"/>
              <w:right w:val="single" w:sz="4" w:space="0" w:color="000000"/>
            </w:tcBorders>
            <w:shd w:val="clear" w:color="auto" w:fill="auto"/>
            <w:noWrap/>
            <w:vAlign w:val="center"/>
            <w:hideMark/>
          </w:tcPr>
          <w:p w14:paraId="26857D5F" w14:textId="77777777" w:rsidR="007B40E0" w:rsidRPr="00EE5714" w:rsidRDefault="007B40E0" w:rsidP="005248A3">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90" w:type="dxa"/>
            <w:tcBorders>
              <w:top w:val="nil"/>
              <w:left w:val="nil"/>
              <w:bottom w:val="single" w:sz="4" w:space="0" w:color="000000"/>
              <w:right w:val="single" w:sz="4" w:space="0" w:color="000000"/>
            </w:tcBorders>
            <w:shd w:val="clear" w:color="auto" w:fill="auto"/>
            <w:noWrap/>
            <w:vAlign w:val="center"/>
            <w:hideMark/>
          </w:tcPr>
          <w:p w14:paraId="6A276963" w14:textId="77777777" w:rsidR="007B40E0" w:rsidRPr="00EE5714" w:rsidRDefault="007B40E0" w:rsidP="005248A3">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990" w:type="dxa"/>
            <w:tcBorders>
              <w:top w:val="nil"/>
              <w:left w:val="nil"/>
              <w:bottom w:val="single" w:sz="4" w:space="0" w:color="000000"/>
              <w:right w:val="single" w:sz="4" w:space="0" w:color="000000"/>
            </w:tcBorders>
            <w:shd w:val="clear" w:color="auto" w:fill="auto"/>
            <w:noWrap/>
            <w:vAlign w:val="center"/>
            <w:hideMark/>
          </w:tcPr>
          <w:p w14:paraId="0502FDC2" w14:textId="77777777" w:rsidR="007B40E0" w:rsidRPr="00EE5714" w:rsidRDefault="007B40E0" w:rsidP="005248A3">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990" w:type="dxa"/>
            <w:tcBorders>
              <w:top w:val="nil"/>
              <w:left w:val="nil"/>
              <w:bottom w:val="single" w:sz="4" w:space="0" w:color="000000"/>
              <w:right w:val="single" w:sz="12" w:space="0" w:color="000000"/>
            </w:tcBorders>
            <w:shd w:val="clear" w:color="auto" w:fill="auto"/>
            <w:noWrap/>
            <w:vAlign w:val="center"/>
            <w:hideMark/>
          </w:tcPr>
          <w:p w14:paraId="5ECD9DCB" w14:textId="77777777" w:rsidR="007B40E0" w:rsidRPr="00EE5714" w:rsidRDefault="007B40E0" w:rsidP="005248A3">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C93439" w:rsidRPr="00EE5714" w14:paraId="5E64C6DC" w14:textId="77777777" w:rsidTr="00EC5EFB">
        <w:trPr>
          <w:trHeight w:val="600"/>
        </w:trPr>
        <w:tc>
          <w:tcPr>
            <w:tcW w:w="126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468C557D" w14:textId="77777777" w:rsidR="003D4AD5" w:rsidRPr="00EE5714" w:rsidRDefault="003D4AD5" w:rsidP="003D4AD5">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90"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10B887EF" w14:textId="3D6486F3"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$41.56</w:t>
            </w:r>
          </w:p>
        </w:tc>
        <w:tc>
          <w:tcPr>
            <w:tcW w:w="810" w:type="dxa"/>
            <w:tcBorders>
              <w:top w:val="nil"/>
              <w:left w:val="nil"/>
              <w:bottom w:val="single" w:sz="4" w:space="0" w:color="000000"/>
              <w:right w:val="single" w:sz="4" w:space="0" w:color="000000"/>
            </w:tcBorders>
            <w:shd w:val="clear" w:color="auto" w:fill="F2F2F2" w:themeFill="background1" w:themeFillShade="F2"/>
            <w:noWrap/>
            <w:vAlign w:val="center"/>
          </w:tcPr>
          <w:p w14:paraId="1243A867" w14:textId="2DE21D7D"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$46.66</w:t>
            </w:r>
          </w:p>
        </w:tc>
        <w:tc>
          <w:tcPr>
            <w:tcW w:w="810" w:type="dxa"/>
            <w:tcBorders>
              <w:top w:val="nil"/>
              <w:left w:val="nil"/>
              <w:bottom w:val="single" w:sz="4" w:space="0" w:color="000000"/>
              <w:right w:val="single" w:sz="4" w:space="0" w:color="000000"/>
            </w:tcBorders>
            <w:shd w:val="clear" w:color="auto" w:fill="F2F2F2" w:themeFill="background1" w:themeFillShade="F2"/>
            <w:noWrap/>
            <w:vAlign w:val="center"/>
          </w:tcPr>
          <w:p w14:paraId="48A04352" w14:textId="3E93CF71"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$60.85</w:t>
            </w:r>
          </w:p>
        </w:tc>
        <w:tc>
          <w:tcPr>
            <w:tcW w:w="900" w:type="dxa"/>
            <w:tcBorders>
              <w:top w:val="nil"/>
              <w:left w:val="nil"/>
              <w:bottom w:val="single" w:sz="4" w:space="0" w:color="000000"/>
              <w:right w:val="single" w:sz="4" w:space="0" w:color="000000"/>
            </w:tcBorders>
            <w:shd w:val="clear" w:color="auto" w:fill="F2F2F2" w:themeFill="background1" w:themeFillShade="F2"/>
            <w:noWrap/>
            <w:vAlign w:val="center"/>
          </w:tcPr>
          <w:p w14:paraId="47437AB4" w14:textId="1038920B"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$70.81</w:t>
            </w:r>
          </w:p>
        </w:tc>
        <w:tc>
          <w:tcPr>
            <w:tcW w:w="900"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02C72409" w14:textId="7EBFEAA0"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$73.43</w:t>
            </w:r>
          </w:p>
        </w:tc>
        <w:tc>
          <w:tcPr>
            <w:tcW w:w="990"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2CBE1C2D" w14:textId="7438F119"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$69.14</w:t>
            </w:r>
          </w:p>
        </w:tc>
        <w:tc>
          <w:tcPr>
            <w:tcW w:w="990" w:type="dxa"/>
            <w:tcBorders>
              <w:top w:val="nil"/>
              <w:left w:val="nil"/>
              <w:bottom w:val="single" w:sz="4" w:space="0" w:color="000000"/>
              <w:right w:val="single" w:sz="4" w:space="0" w:color="000000"/>
            </w:tcBorders>
            <w:shd w:val="clear" w:color="auto" w:fill="F2F2F2" w:themeFill="background1" w:themeFillShade="F2"/>
            <w:noWrap/>
            <w:vAlign w:val="center"/>
          </w:tcPr>
          <w:p w14:paraId="144BB8F4" w14:textId="521841D1"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$100.41</w:t>
            </w:r>
          </w:p>
        </w:tc>
        <w:tc>
          <w:tcPr>
            <w:tcW w:w="990" w:type="dxa"/>
            <w:tcBorders>
              <w:top w:val="nil"/>
              <w:left w:val="nil"/>
              <w:bottom w:val="single" w:sz="4" w:space="0" w:color="000000"/>
              <w:right w:val="single" w:sz="4" w:space="0" w:color="000000"/>
            </w:tcBorders>
            <w:shd w:val="clear" w:color="auto" w:fill="F2F2F2" w:themeFill="background1" w:themeFillShade="F2"/>
            <w:noWrap/>
            <w:vAlign w:val="center"/>
          </w:tcPr>
          <w:p w14:paraId="38032183" w14:textId="65DC0AA6"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$109.99</w:t>
            </w:r>
          </w:p>
        </w:tc>
        <w:tc>
          <w:tcPr>
            <w:tcW w:w="990" w:type="dxa"/>
            <w:tcBorders>
              <w:top w:val="nil"/>
              <w:left w:val="nil"/>
              <w:bottom w:val="single" w:sz="4" w:space="0" w:color="000000"/>
              <w:right w:val="single" w:sz="4" w:space="0" w:color="000000"/>
            </w:tcBorders>
            <w:shd w:val="clear" w:color="auto" w:fill="F2F2F2" w:themeFill="background1" w:themeFillShade="F2"/>
            <w:noWrap/>
            <w:vAlign w:val="center"/>
          </w:tcPr>
          <w:p w14:paraId="6B297342" w14:textId="7585BDBB"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$133.63</w:t>
            </w:r>
          </w:p>
        </w:tc>
        <w:tc>
          <w:tcPr>
            <w:tcW w:w="990" w:type="dxa"/>
            <w:tcBorders>
              <w:top w:val="nil"/>
              <w:left w:val="nil"/>
              <w:bottom w:val="single" w:sz="4" w:space="0" w:color="000000"/>
              <w:right w:val="single" w:sz="12" w:space="0" w:color="000000"/>
            </w:tcBorders>
            <w:shd w:val="clear" w:color="auto" w:fill="F2F2F2" w:themeFill="background1" w:themeFillShade="F2"/>
            <w:noWrap/>
            <w:vAlign w:val="center"/>
          </w:tcPr>
          <w:p w14:paraId="30378E8F" w14:textId="12BB823F"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$155.37</w:t>
            </w:r>
          </w:p>
        </w:tc>
      </w:tr>
      <w:tr w:rsidR="005248A3" w:rsidRPr="00EE5714" w14:paraId="620F1C95" w14:textId="77777777" w:rsidTr="00EC5EFB">
        <w:trPr>
          <w:trHeight w:val="300"/>
        </w:trPr>
        <w:tc>
          <w:tcPr>
            <w:tcW w:w="1260" w:type="dxa"/>
            <w:tcBorders>
              <w:top w:val="nil"/>
              <w:left w:val="single" w:sz="8" w:space="0" w:color="000000"/>
              <w:bottom w:val="single" w:sz="4" w:space="0" w:color="000000"/>
              <w:right w:val="single" w:sz="12" w:space="0" w:color="000000"/>
            </w:tcBorders>
            <w:shd w:val="clear" w:color="auto" w:fill="auto"/>
            <w:noWrap/>
            <w:vAlign w:val="bottom"/>
            <w:hideMark/>
          </w:tcPr>
          <w:p w14:paraId="5B2DC7A1" w14:textId="77777777"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90" w:type="dxa"/>
            <w:tcBorders>
              <w:top w:val="nil"/>
              <w:left w:val="single" w:sz="12" w:space="0" w:color="000000"/>
              <w:bottom w:val="single" w:sz="4" w:space="0" w:color="000000"/>
              <w:right w:val="single" w:sz="4" w:space="0" w:color="000000"/>
            </w:tcBorders>
            <w:shd w:val="clear" w:color="auto" w:fill="auto"/>
            <w:noWrap/>
          </w:tcPr>
          <w:p w14:paraId="06503FF0" w14:textId="3F03B50A"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$37.41</w:t>
            </w:r>
          </w:p>
        </w:tc>
        <w:tc>
          <w:tcPr>
            <w:tcW w:w="810" w:type="dxa"/>
            <w:tcBorders>
              <w:top w:val="nil"/>
              <w:left w:val="nil"/>
              <w:bottom w:val="single" w:sz="4" w:space="0" w:color="000000"/>
              <w:right w:val="single" w:sz="4" w:space="0" w:color="000000"/>
            </w:tcBorders>
            <w:shd w:val="clear" w:color="auto" w:fill="auto"/>
            <w:noWrap/>
          </w:tcPr>
          <w:p w14:paraId="4FB18280" w14:textId="510451EA"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$41.99</w:t>
            </w:r>
          </w:p>
        </w:tc>
        <w:tc>
          <w:tcPr>
            <w:tcW w:w="810" w:type="dxa"/>
            <w:tcBorders>
              <w:top w:val="nil"/>
              <w:left w:val="nil"/>
              <w:bottom w:val="single" w:sz="4" w:space="0" w:color="000000"/>
              <w:right w:val="single" w:sz="4" w:space="0" w:color="000000"/>
            </w:tcBorders>
            <w:shd w:val="clear" w:color="auto" w:fill="auto"/>
            <w:noWrap/>
          </w:tcPr>
          <w:p w14:paraId="67E837B2" w14:textId="549E84B3"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$54.76</w:t>
            </w:r>
          </w:p>
        </w:tc>
        <w:tc>
          <w:tcPr>
            <w:tcW w:w="900" w:type="dxa"/>
            <w:tcBorders>
              <w:top w:val="nil"/>
              <w:left w:val="nil"/>
              <w:bottom w:val="single" w:sz="4" w:space="0" w:color="000000"/>
              <w:right w:val="single" w:sz="4" w:space="0" w:color="000000"/>
            </w:tcBorders>
            <w:shd w:val="clear" w:color="auto" w:fill="auto"/>
            <w:noWrap/>
          </w:tcPr>
          <w:p w14:paraId="52ADA7A4" w14:textId="52117EE9"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$63.73</w:t>
            </w:r>
          </w:p>
        </w:tc>
        <w:tc>
          <w:tcPr>
            <w:tcW w:w="900" w:type="dxa"/>
            <w:tcBorders>
              <w:top w:val="single" w:sz="4" w:space="0" w:color="000000"/>
              <w:left w:val="nil"/>
              <w:bottom w:val="single" w:sz="4" w:space="0" w:color="000000"/>
              <w:right w:val="single" w:sz="4" w:space="0" w:color="auto"/>
            </w:tcBorders>
          </w:tcPr>
          <w:p w14:paraId="6B0521B5" w14:textId="717584A2"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$66.09</w:t>
            </w:r>
          </w:p>
        </w:tc>
        <w:tc>
          <w:tcPr>
            <w:tcW w:w="990" w:type="dxa"/>
            <w:tcBorders>
              <w:top w:val="nil"/>
              <w:left w:val="single" w:sz="4" w:space="0" w:color="auto"/>
              <w:bottom w:val="single" w:sz="4" w:space="0" w:color="000000"/>
              <w:right w:val="single" w:sz="12" w:space="0" w:color="000000"/>
            </w:tcBorders>
            <w:shd w:val="clear" w:color="auto" w:fill="auto"/>
            <w:noWrap/>
          </w:tcPr>
          <w:p w14:paraId="3EEB0282" w14:textId="032700EE"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$62.23</w:t>
            </w:r>
          </w:p>
        </w:tc>
        <w:tc>
          <w:tcPr>
            <w:tcW w:w="990" w:type="dxa"/>
            <w:tcBorders>
              <w:top w:val="nil"/>
              <w:left w:val="nil"/>
              <w:bottom w:val="single" w:sz="4" w:space="0" w:color="000000"/>
              <w:right w:val="single" w:sz="4" w:space="0" w:color="000000"/>
            </w:tcBorders>
            <w:shd w:val="clear" w:color="auto" w:fill="auto"/>
            <w:noWrap/>
          </w:tcPr>
          <w:p w14:paraId="58CC027A" w14:textId="5C2CD8EA"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$90.37</w:t>
            </w:r>
          </w:p>
        </w:tc>
        <w:tc>
          <w:tcPr>
            <w:tcW w:w="990" w:type="dxa"/>
            <w:tcBorders>
              <w:top w:val="nil"/>
              <w:left w:val="nil"/>
              <w:bottom w:val="single" w:sz="4" w:space="0" w:color="000000"/>
              <w:right w:val="single" w:sz="4" w:space="0" w:color="000000"/>
            </w:tcBorders>
            <w:shd w:val="clear" w:color="auto" w:fill="auto"/>
            <w:noWrap/>
          </w:tcPr>
          <w:p w14:paraId="2587E694" w14:textId="3DD0700B"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$98.99</w:t>
            </w:r>
          </w:p>
        </w:tc>
        <w:tc>
          <w:tcPr>
            <w:tcW w:w="990" w:type="dxa"/>
            <w:tcBorders>
              <w:top w:val="nil"/>
              <w:left w:val="nil"/>
              <w:bottom w:val="single" w:sz="4" w:space="0" w:color="000000"/>
              <w:right w:val="single" w:sz="4" w:space="0" w:color="000000"/>
            </w:tcBorders>
            <w:shd w:val="clear" w:color="auto" w:fill="auto"/>
            <w:noWrap/>
          </w:tcPr>
          <w:p w14:paraId="69A57096" w14:textId="11C854BC"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$120.27</w:t>
            </w:r>
          </w:p>
        </w:tc>
        <w:tc>
          <w:tcPr>
            <w:tcW w:w="990" w:type="dxa"/>
            <w:tcBorders>
              <w:top w:val="nil"/>
              <w:left w:val="nil"/>
              <w:bottom w:val="single" w:sz="4" w:space="0" w:color="000000"/>
              <w:right w:val="single" w:sz="12" w:space="0" w:color="000000"/>
            </w:tcBorders>
            <w:shd w:val="clear" w:color="auto" w:fill="auto"/>
            <w:noWrap/>
          </w:tcPr>
          <w:p w14:paraId="0ADD2CDF" w14:textId="15D27BC9"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$139.83</w:t>
            </w:r>
          </w:p>
        </w:tc>
      </w:tr>
      <w:tr w:rsidR="005248A3" w:rsidRPr="00EE5714" w14:paraId="76AA457C" w14:textId="77777777" w:rsidTr="00EC5EFB">
        <w:trPr>
          <w:trHeight w:val="300"/>
        </w:trPr>
        <w:tc>
          <w:tcPr>
            <w:tcW w:w="1260" w:type="dxa"/>
            <w:tcBorders>
              <w:top w:val="nil"/>
              <w:left w:val="single" w:sz="8" w:space="0" w:color="000000"/>
              <w:bottom w:val="single" w:sz="4" w:space="0" w:color="000000"/>
              <w:right w:val="single" w:sz="12" w:space="0" w:color="000000"/>
            </w:tcBorders>
            <w:shd w:val="clear" w:color="auto" w:fill="auto"/>
            <w:noWrap/>
            <w:vAlign w:val="bottom"/>
            <w:hideMark/>
          </w:tcPr>
          <w:p w14:paraId="78C87B75" w14:textId="77777777"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90" w:type="dxa"/>
            <w:tcBorders>
              <w:top w:val="nil"/>
              <w:left w:val="single" w:sz="12" w:space="0" w:color="000000"/>
              <w:bottom w:val="single" w:sz="4" w:space="0" w:color="000000"/>
              <w:right w:val="single" w:sz="4" w:space="0" w:color="000000"/>
            </w:tcBorders>
            <w:shd w:val="clear" w:color="auto" w:fill="auto"/>
            <w:noWrap/>
          </w:tcPr>
          <w:p w14:paraId="3E3536F5" w14:textId="53F63898"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$39.48</w:t>
            </w:r>
          </w:p>
        </w:tc>
        <w:tc>
          <w:tcPr>
            <w:tcW w:w="810" w:type="dxa"/>
            <w:tcBorders>
              <w:top w:val="nil"/>
              <w:left w:val="nil"/>
              <w:bottom w:val="single" w:sz="4" w:space="0" w:color="000000"/>
              <w:right w:val="single" w:sz="4" w:space="0" w:color="000000"/>
            </w:tcBorders>
            <w:shd w:val="clear" w:color="auto" w:fill="auto"/>
            <w:noWrap/>
          </w:tcPr>
          <w:p w14:paraId="1A8A2DCC" w14:textId="3CB024B3"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$44.33</w:t>
            </w:r>
          </w:p>
        </w:tc>
        <w:tc>
          <w:tcPr>
            <w:tcW w:w="810" w:type="dxa"/>
            <w:tcBorders>
              <w:top w:val="nil"/>
              <w:left w:val="nil"/>
              <w:bottom w:val="single" w:sz="4" w:space="0" w:color="000000"/>
              <w:right w:val="single" w:sz="4" w:space="0" w:color="000000"/>
            </w:tcBorders>
            <w:shd w:val="clear" w:color="auto" w:fill="auto"/>
            <w:noWrap/>
          </w:tcPr>
          <w:p w14:paraId="420BA7F4" w14:textId="67E3431F"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$57.80</w:t>
            </w:r>
          </w:p>
        </w:tc>
        <w:tc>
          <w:tcPr>
            <w:tcW w:w="900" w:type="dxa"/>
            <w:tcBorders>
              <w:top w:val="nil"/>
              <w:left w:val="nil"/>
              <w:bottom w:val="single" w:sz="4" w:space="0" w:color="000000"/>
              <w:right w:val="single" w:sz="4" w:space="0" w:color="000000"/>
            </w:tcBorders>
            <w:shd w:val="clear" w:color="auto" w:fill="auto"/>
            <w:noWrap/>
          </w:tcPr>
          <w:p w14:paraId="543701FF" w14:textId="63C16BDC"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$67.27</w:t>
            </w:r>
          </w:p>
        </w:tc>
        <w:tc>
          <w:tcPr>
            <w:tcW w:w="900" w:type="dxa"/>
            <w:tcBorders>
              <w:top w:val="single" w:sz="4" w:space="0" w:color="000000"/>
              <w:left w:val="nil"/>
              <w:bottom w:val="single" w:sz="4" w:space="0" w:color="000000"/>
              <w:right w:val="single" w:sz="4" w:space="0" w:color="auto"/>
            </w:tcBorders>
          </w:tcPr>
          <w:p w14:paraId="5D5482FB" w14:textId="3FD5AACA"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$69.76</w:t>
            </w:r>
          </w:p>
        </w:tc>
        <w:tc>
          <w:tcPr>
            <w:tcW w:w="990" w:type="dxa"/>
            <w:tcBorders>
              <w:top w:val="nil"/>
              <w:left w:val="single" w:sz="4" w:space="0" w:color="auto"/>
              <w:bottom w:val="single" w:sz="4" w:space="0" w:color="000000"/>
              <w:right w:val="single" w:sz="12" w:space="0" w:color="000000"/>
            </w:tcBorders>
            <w:shd w:val="clear" w:color="auto" w:fill="auto"/>
            <w:noWrap/>
          </w:tcPr>
          <w:p w14:paraId="0E31ADE1" w14:textId="6DF33493"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$65.69</w:t>
            </w:r>
          </w:p>
        </w:tc>
        <w:tc>
          <w:tcPr>
            <w:tcW w:w="990" w:type="dxa"/>
            <w:tcBorders>
              <w:top w:val="nil"/>
              <w:left w:val="nil"/>
              <w:bottom w:val="single" w:sz="4" w:space="0" w:color="000000"/>
              <w:right w:val="single" w:sz="4" w:space="0" w:color="000000"/>
            </w:tcBorders>
            <w:shd w:val="clear" w:color="auto" w:fill="auto"/>
            <w:noWrap/>
          </w:tcPr>
          <w:p w14:paraId="22E84A49" w14:textId="23E85469"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$95.39</w:t>
            </w:r>
          </w:p>
        </w:tc>
        <w:tc>
          <w:tcPr>
            <w:tcW w:w="990" w:type="dxa"/>
            <w:tcBorders>
              <w:top w:val="nil"/>
              <w:left w:val="nil"/>
              <w:bottom w:val="single" w:sz="4" w:space="0" w:color="000000"/>
              <w:right w:val="single" w:sz="4" w:space="0" w:color="000000"/>
            </w:tcBorders>
            <w:shd w:val="clear" w:color="auto" w:fill="auto"/>
            <w:noWrap/>
          </w:tcPr>
          <w:p w14:paraId="4476992D" w14:textId="12C25105"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$104.49</w:t>
            </w:r>
          </w:p>
        </w:tc>
        <w:tc>
          <w:tcPr>
            <w:tcW w:w="990" w:type="dxa"/>
            <w:tcBorders>
              <w:top w:val="nil"/>
              <w:left w:val="nil"/>
              <w:bottom w:val="single" w:sz="4" w:space="0" w:color="000000"/>
              <w:right w:val="single" w:sz="4" w:space="0" w:color="000000"/>
            </w:tcBorders>
            <w:shd w:val="clear" w:color="auto" w:fill="auto"/>
            <w:noWrap/>
          </w:tcPr>
          <w:p w14:paraId="14DF3834" w14:textId="0EA7A0B2"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$126.95</w:t>
            </w:r>
          </w:p>
        </w:tc>
        <w:tc>
          <w:tcPr>
            <w:tcW w:w="990" w:type="dxa"/>
            <w:tcBorders>
              <w:top w:val="nil"/>
              <w:left w:val="nil"/>
              <w:bottom w:val="single" w:sz="4" w:space="0" w:color="000000"/>
              <w:right w:val="single" w:sz="12" w:space="0" w:color="000000"/>
            </w:tcBorders>
            <w:shd w:val="clear" w:color="auto" w:fill="auto"/>
            <w:noWrap/>
          </w:tcPr>
          <w:p w14:paraId="527BE919" w14:textId="7459AB5E"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$147.60</w:t>
            </w:r>
          </w:p>
        </w:tc>
      </w:tr>
      <w:tr w:rsidR="005248A3" w:rsidRPr="00EE5714" w14:paraId="621567C9" w14:textId="77777777" w:rsidTr="00EC5EFB">
        <w:trPr>
          <w:trHeight w:val="300"/>
        </w:trPr>
        <w:tc>
          <w:tcPr>
            <w:tcW w:w="1260" w:type="dxa"/>
            <w:tcBorders>
              <w:top w:val="nil"/>
              <w:left w:val="single" w:sz="8" w:space="0" w:color="000000"/>
              <w:bottom w:val="single" w:sz="4" w:space="0" w:color="000000"/>
              <w:right w:val="single" w:sz="12" w:space="0" w:color="000000"/>
            </w:tcBorders>
            <w:shd w:val="clear" w:color="auto" w:fill="auto"/>
            <w:noWrap/>
            <w:vAlign w:val="bottom"/>
            <w:hideMark/>
          </w:tcPr>
          <w:p w14:paraId="7D38AB57" w14:textId="77777777"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90" w:type="dxa"/>
            <w:tcBorders>
              <w:top w:val="nil"/>
              <w:left w:val="single" w:sz="12" w:space="0" w:color="000000"/>
              <w:bottom w:val="single" w:sz="8" w:space="0" w:color="000000"/>
              <w:right w:val="single" w:sz="4" w:space="0" w:color="000000"/>
            </w:tcBorders>
            <w:shd w:val="clear" w:color="auto" w:fill="auto"/>
            <w:noWrap/>
          </w:tcPr>
          <w:p w14:paraId="02122E35" w14:textId="15A0A23C"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$41.15</w:t>
            </w:r>
          </w:p>
        </w:tc>
        <w:tc>
          <w:tcPr>
            <w:tcW w:w="810" w:type="dxa"/>
            <w:tcBorders>
              <w:top w:val="nil"/>
              <w:left w:val="nil"/>
              <w:bottom w:val="single" w:sz="8" w:space="0" w:color="000000"/>
              <w:right w:val="single" w:sz="4" w:space="0" w:color="000000"/>
            </w:tcBorders>
            <w:shd w:val="clear" w:color="auto" w:fill="auto"/>
            <w:noWrap/>
          </w:tcPr>
          <w:p w14:paraId="0E8355A3" w14:textId="19965504"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$46.19</w:t>
            </w:r>
          </w:p>
        </w:tc>
        <w:tc>
          <w:tcPr>
            <w:tcW w:w="810" w:type="dxa"/>
            <w:tcBorders>
              <w:top w:val="nil"/>
              <w:left w:val="nil"/>
              <w:bottom w:val="single" w:sz="8" w:space="0" w:color="000000"/>
              <w:right w:val="single" w:sz="4" w:space="0" w:color="000000"/>
            </w:tcBorders>
            <w:shd w:val="clear" w:color="auto" w:fill="auto"/>
            <w:noWrap/>
          </w:tcPr>
          <w:p w14:paraId="5F791266" w14:textId="66E31775"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$60.24</w:t>
            </w:r>
          </w:p>
        </w:tc>
        <w:tc>
          <w:tcPr>
            <w:tcW w:w="900" w:type="dxa"/>
            <w:tcBorders>
              <w:top w:val="nil"/>
              <w:left w:val="nil"/>
              <w:bottom w:val="single" w:sz="8" w:space="0" w:color="000000"/>
              <w:right w:val="single" w:sz="4" w:space="0" w:color="000000"/>
            </w:tcBorders>
            <w:shd w:val="clear" w:color="auto" w:fill="auto"/>
            <w:noWrap/>
          </w:tcPr>
          <w:p w14:paraId="42C3CF23" w14:textId="16446D9A"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$70.10</w:t>
            </w:r>
          </w:p>
        </w:tc>
        <w:tc>
          <w:tcPr>
            <w:tcW w:w="900" w:type="dxa"/>
            <w:tcBorders>
              <w:top w:val="single" w:sz="4" w:space="0" w:color="000000"/>
              <w:left w:val="nil"/>
              <w:bottom w:val="single" w:sz="8" w:space="0" w:color="000000"/>
              <w:right w:val="single" w:sz="4" w:space="0" w:color="auto"/>
            </w:tcBorders>
          </w:tcPr>
          <w:p w14:paraId="6CEE43C2" w14:textId="1B7C8E07"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$72.70</w:t>
            </w:r>
          </w:p>
        </w:tc>
        <w:tc>
          <w:tcPr>
            <w:tcW w:w="990" w:type="dxa"/>
            <w:tcBorders>
              <w:top w:val="nil"/>
              <w:left w:val="single" w:sz="4" w:space="0" w:color="auto"/>
              <w:bottom w:val="single" w:sz="8" w:space="0" w:color="000000"/>
              <w:right w:val="single" w:sz="12" w:space="0" w:color="000000"/>
            </w:tcBorders>
            <w:shd w:val="clear" w:color="auto" w:fill="auto"/>
            <w:noWrap/>
          </w:tcPr>
          <w:p w14:paraId="0BAA65B6" w14:textId="56591963"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$68.45</w:t>
            </w:r>
          </w:p>
        </w:tc>
        <w:tc>
          <w:tcPr>
            <w:tcW w:w="990" w:type="dxa"/>
            <w:tcBorders>
              <w:top w:val="nil"/>
              <w:left w:val="nil"/>
              <w:bottom w:val="single" w:sz="4" w:space="0" w:color="000000"/>
              <w:right w:val="single" w:sz="4" w:space="0" w:color="000000"/>
            </w:tcBorders>
            <w:shd w:val="clear" w:color="auto" w:fill="auto"/>
            <w:noWrap/>
          </w:tcPr>
          <w:p w14:paraId="230CB0E4" w14:textId="192F6E39"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$99.41</w:t>
            </w:r>
          </w:p>
        </w:tc>
        <w:tc>
          <w:tcPr>
            <w:tcW w:w="990" w:type="dxa"/>
            <w:tcBorders>
              <w:top w:val="nil"/>
              <w:left w:val="nil"/>
              <w:bottom w:val="single" w:sz="4" w:space="0" w:color="000000"/>
              <w:right w:val="single" w:sz="4" w:space="0" w:color="000000"/>
            </w:tcBorders>
            <w:shd w:val="clear" w:color="auto" w:fill="auto"/>
            <w:noWrap/>
          </w:tcPr>
          <w:p w14:paraId="38EAD007" w14:textId="79AE6FFD"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$108.89</w:t>
            </w:r>
          </w:p>
        </w:tc>
        <w:tc>
          <w:tcPr>
            <w:tcW w:w="990" w:type="dxa"/>
            <w:tcBorders>
              <w:top w:val="nil"/>
              <w:left w:val="nil"/>
              <w:bottom w:val="single" w:sz="4" w:space="0" w:color="000000"/>
              <w:right w:val="single" w:sz="4" w:space="0" w:color="000000"/>
            </w:tcBorders>
            <w:shd w:val="clear" w:color="auto" w:fill="auto"/>
            <w:noWrap/>
          </w:tcPr>
          <w:p w14:paraId="233B7509" w14:textId="2B46151D"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$132.29</w:t>
            </w:r>
          </w:p>
        </w:tc>
        <w:tc>
          <w:tcPr>
            <w:tcW w:w="990" w:type="dxa"/>
            <w:tcBorders>
              <w:top w:val="nil"/>
              <w:left w:val="nil"/>
              <w:bottom w:val="single" w:sz="4" w:space="0" w:color="000000"/>
              <w:right w:val="single" w:sz="12" w:space="0" w:color="000000"/>
            </w:tcBorders>
            <w:shd w:val="clear" w:color="auto" w:fill="auto"/>
            <w:noWrap/>
          </w:tcPr>
          <w:p w14:paraId="3B05A19A" w14:textId="5CCA2406"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$153.82</w:t>
            </w:r>
          </w:p>
        </w:tc>
      </w:tr>
      <w:tr w:rsidR="005248A3" w:rsidRPr="00EE5714" w14:paraId="333EF8D5" w14:textId="77777777" w:rsidTr="00EC5EFB">
        <w:trPr>
          <w:trHeight w:val="300"/>
        </w:trPr>
        <w:tc>
          <w:tcPr>
            <w:tcW w:w="126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6A3B77DD" w14:textId="77777777" w:rsidR="007B40E0" w:rsidRPr="00EE5714" w:rsidRDefault="007B40E0"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90" w:type="dxa"/>
            <w:tcBorders>
              <w:top w:val="single" w:sz="8" w:space="0" w:color="000000"/>
              <w:left w:val="single" w:sz="12" w:space="0" w:color="000000"/>
              <w:bottom w:val="single" w:sz="8" w:space="0" w:color="000000"/>
            </w:tcBorders>
            <w:shd w:val="clear" w:color="auto" w:fill="F2F2F2" w:themeFill="background1" w:themeFillShade="F2"/>
          </w:tcPr>
          <w:p w14:paraId="06723E11"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4410"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67C3D16A"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3960"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5E45B509"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r>
      <w:tr w:rsidR="005248A3" w:rsidRPr="00EE5714" w14:paraId="65856DD8" w14:textId="77777777" w:rsidTr="00EC5EFB">
        <w:trPr>
          <w:trHeight w:val="300"/>
        </w:trPr>
        <w:tc>
          <w:tcPr>
            <w:tcW w:w="1260" w:type="dxa"/>
            <w:tcBorders>
              <w:top w:val="nil"/>
              <w:left w:val="single" w:sz="8" w:space="0" w:color="000000"/>
              <w:bottom w:val="single" w:sz="4" w:space="0" w:color="000000"/>
              <w:right w:val="single" w:sz="12" w:space="0" w:color="000000"/>
            </w:tcBorders>
            <w:shd w:val="clear" w:color="auto" w:fill="auto"/>
            <w:noWrap/>
            <w:vAlign w:val="bottom"/>
            <w:hideMark/>
          </w:tcPr>
          <w:p w14:paraId="11DCBFB3" w14:textId="77777777"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90" w:type="dxa"/>
            <w:tcBorders>
              <w:top w:val="single" w:sz="8" w:space="0" w:color="000000"/>
              <w:left w:val="single" w:sz="12" w:space="0" w:color="000000"/>
              <w:bottom w:val="single" w:sz="4" w:space="0" w:color="000000"/>
              <w:right w:val="single" w:sz="4" w:space="0" w:color="000000"/>
            </w:tcBorders>
            <w:shd w:val="clear" w:color="auto" w:fill="auto"/>
            <w:noWrap/>
          </w:tcPr>
          <w:p w14:paraId="5CB2F1F8" w14:textId="7D2F5BD8"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$41.98</w:t>
            </w:r>
          </w:p>
        </w:tc>
        <w:tc>
          <w:tcPr>
            <w:tcW w:w="810" w:type="dxa"/>
            <w:tcBorders>
              <w:top w:val="single" w:sz="8" w:space="0" w:color="000000"/>
              <w:left w:val="nil"/>
              <w:bottom w:val="single" w:sz="4" w:space="0" w:color="000000"/>
              <w:right w:val="single" w:sz="4" w:space="0" w:color="000000"/>
            </w:tcBorders>
            <w:shd w:val="clear" w:color="auto" w:fill="auto"/>
            <w:noWrap/>
          </w:tcPr>
          <w:p w14:paraId="57F99CEC" w14:textId="5B6657A4"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$47.13</w:t>
            </w:r>
          </w:p>
        </w:tc>
        <w:tc>
          <w:tcPr>
            <w:tcW w:w="810" w:type="dxa"/>
            <w:tcBorders>
              <w:top w:val="single" w:sz="8" w:space="0" w:color="000000"/>
              <w:left w:val="nil"/>
              <w:bottom w:val="single" w:sz="4" w:space="0" w:color="000000"/>
              <w:right w:val="single" w:sz="4" w:space="0" w:color="000000"/>
            </w:tcBorders>
            <w:shd w:val="clear" w:color="auto" w:fill="auto"/>
            <w:noWrap/>
          </w:tcPr>
          <w:p w14:paraId="1E05DDCE" w14:textId="440239CE"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$61.45</w:t>
            </w:r>
          </w:p>
        </w:tc>
        <w:tc>
          <w:tcPr>
            <w:tcW w:w="900" w:type="dxa"/>
            <w:tcBorders>
              <w:top w:val="single" w:sz="8" w:space="0" w:color="000000"/>
              <w:left w:val="nil"/>
              <w:bottom w:val="single" w:sz="4" w:space="0" w:color="000000"/>
              <w:right w:val="single" w:sz="4" w:space="0" w:color="000000"/>
            </w:tcBorders>
            <w:shd w:val="clear" w:color="auto" w:fill="auto"/>
            <w:noWrap/>
          </w:tcPr>
          <w:p w14:paraId="621AFA08" w14:textId="0909BBF4"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$71.52</w:t>
            </w:r>
          </w:p>
        </w:tc>
        <w:tc>
          <w:tcPr>
            <w:tcW w:w="900" w:type="dxa"/>
            <w:tcBorders>
              <w:top w:val="single" w:sz="8" w:space="0" w:color="000000"/>
              <w:left w:val="nil"/>
              <w:bottom w:val="single" w:sz="4" w:space="0" w:color="000000"/>
              <w:right w:val="single" w:sz="4" w:space="0" w:color="auto"/>
            </w:tcBorders>
          </w:tcPr>
          <w:p w14:paraId="3FF6E8B6" w14:textId="1669129A"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$74.17</w:t>
            </w:r>
          </w:p>
        </w:tc>
        <w:tc>
          <w:tcPr>
            <w:tcW w:w="990" w:type="dxa"/>
            <w:tcBorders>
              <w:top w:val="single" w:sz="8" w:space="0" w:color="000000"/>
              <w:left w:val="single" w:sz="4" w:space="0" w:color="auto"/>
              <w:bottom w:val="single" w:sz="4" w:space="0" w:color="000000"/>
              <w:right w:val="single" w:sz="12" w:space="0" w:color="000000"/>
            </w:tcBorders>
            <w:shd w:val="clear" w:color="auto" w:fill="auto"/>
            <w:noWrap/>
          </w:tcPr>
          <w:p w14:paraId="7E4A65DB" w14:textId="1636F104"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$69.84</w:t>
            </w:r>
          </w:p>
        </w:tc>
        <w:tc>
          <w:tcPr>
            <w:tcW w:w="990" w:type="dxa"/>
            <w:tcBorders>
              <w:top w:val="nil"/>
              <w:left w:val="nil"/>
              <w:bottom w:val="single" w:sz="4" w:space="0" w:color="000000"/>
              <w:right w:val="single" w:sz="4" w:space="0" w:color="000000"/>
            </w:tcBorders>
            <w:shd w:val="clear" w:color="auto" w:fill="auto"/>
            <w:noWrap/>
          </w:tcPr>
          <w:p w14:paraId="0732774D" w14:textId="79367A36"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$101.41</w:t>
            </w:r>
          </w:p>
        </w:tc>
        <w:tc>
          <w:tcPr>
            <w:tcW w:w="990" w:type="dxa"/>
            <w:tcBorders>
              <w:top w:val="nil"/>
              <w:left w:val="nil"/>
              <w:bottom w:val="single" w:sz="4" w:space="0" w:color="000000"/>
              <w:right w:val="single" w:sz="4" w:space="0" w:color="000000"/>
            </w:tcBorders>
            <w:shd w:val="clear" w:color="auto" w:fill="auto"/>
            <w:noWrap/>
          </w:tcPr>
          <w:p w14:paraId="36177873" w14:textId="7C1D5A35"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$111.09</w:t>
            </w:r>
          </w:p>
        </w:tc>
        <w:tc>
          <w:tcPr>
            <w:tcW w:w="990" w:type="dxa"/>
            <w:tcBorders>
              <w:top w:val="nil"/>
              <w:left w:val="nil"/>
              <w:bottom w:val="single" w:sz="4" w:space="0" w:color="000000"/>
              <w:right w:val="single" w:sz="4" w:space="0" w:color="000000"/>
            </w:tcBorders>
            <w:shd w:val="clear" w:color="auto" w:fill="auto"/>
            <w:noWrap/>
          </w:tcPr>
          <w:p w14:paraId="3D74A573" w14:textId="53E91B36"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$134.97</w:t>
            </w:r>
          </w:p>
        </w:tc>
        <w:tc>
          <w:tcPr>
            <w:tcW w:w="990" w:type="dxa"/>
            <w:tcBorders>
              <w:top w:val="nil"/>
              <w:left w:val="nil"/>
              <w:bottom w:val="single" w:sz="4" w:space="0" w:color="000000"/>
              <w:right w:val="single" w:sz="12" w:space="0" w:color="000000"/>
            </w:tcBorders>
            <w:shd w:val="clear" w:color="auto" w:fill="auto"/>
            <w:noWrap/>
          </w:tcPr>
          <w:p w14:paraId="3EFC062B" w14:textId="2D5B3B57"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$156.92</w:t>
            </w:r>
          </w:p>
        </w:tc>
      </w:tr>
      <w:tr w:rsidR="005248A3" w:rsidRPr="00EE5714" w14:paraId="56E5EBA3" w14:textId="77777777" w:rsidTr="00EC5EFB">
        <w:trPr>
          <w:trHeight w:val="300"/>
        </w:trPr>
        <w:tc>
          <w:tcPr>
            <w:tcW w:w="1260" w:type="dxa"/>
            <w:tcBorders>
              <w:top w:val="nil"/>
              <w:left w:val="single" w:sz="8" w:space="0" w:color="000000"/>
              <w:bottom w:val="single" w:sz="4" w:space="0" w:color="000000"/>
              <w:right w:val="single" w:sz="12" w:space="0" w:color="000000"/>
            </w:tcBorders>
            <w:shd w:val="clear" w:color="auto" w:fill="auto"/>
            <w:noWrap/>
            <w:vAlign w:val="bottom"/>
            <w:hideMark/>
          </w:tcPr>
          <w:p w14:paraId="4AD3E996" w14:textId="77777777"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90" w:type="dxa"/>
            <w:tcBorders>
              <w:top w:val="nil"/>
              <w:left w:val="single" w:sz="12" w:space="0" w:color="000000"/>
              <w:bottom w:val="single" w:sz="4" w:space="0" w:color="000000"/>
              <w:right w:val="single" w:sz="4" w:space="0" w:color="000000"/>
            </w:tcBorders>
            <w:shd w:val="clear" w:color="auto" w:fill="auto"/>
            <w:noWrap/>
          </w:tcPr>
          <w:p w14:paraId="3EB4EB78" w14:textId="61F630CE"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$43.64</w:t>
            </w:r>
          </w:p>
        </w:tc>
        <w:tc>
          <w:tcPr>
            <w:tcW w:w="810" w:type="dxa"/>
            <w:tcBorders>
              <w:top w:val="nil"/>
              <w:left w:val="nil"/>
              <w:bottom w:val="single" w:sz="4" w:space="0" w:color="000000"/>
              <w:right w:val="single" w:sz="4" w:space="0" w:color="000000"/>
            </w:tcBorders>
            <w:shd w:val="clear" w:color="auto" w:fill="auto"/>
            <w:noWrap/>
          </w:tcPr>
          <w:p w14:paraId="3DBA3B7A" w14:textId="77C8B054"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$48.99</w:t>
            </w:r>
          </w:p>
        </w:tc>
        <w:tc>
          <w:tcPr>
            <w:tcW w:w="810" w:type="dxa"/>
            <w:tcBorders>
              <w:top w:val="nil"/>
              <w:left w:val="nil"/>
              <w:bottom w:val="single" w:sz="4" w:space="0" w:color="000000"/>
              <w:right w:val="single" w:sz="4" w:space="0" w:color="000000"/>
            </w:tcBorders>
            <w:shd w:val="clear" w:color="auto" w:fill="auto"/>
            <w:noWrap/>
          </w:tcPr>
          <w:p w14:paraId="2C888BD7" w14:textId="461A73F0"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$63.89</w:t>
            </w:r>
          </w:p>
        </w:tc>
        <w:tc>
          <w:tcPr>
            <w:tcW w:w="900" w:type="dxa"/>
            <w:tcBorders>
              <w:top w:val="nil"/>
              <w:left w:val="nil"/>
              <w:bottom w:val="single" w:sz="4" w:space="0" w:color="000000"/>
              <w:right w:val="single" w:sz="4" w:space="0" w:color="000000"/>
            </w:tcBorders>
            <w:shd w:val="clear" w:color="auto" w:fill="auto"/>
            <w:noWrap/>
          </w:tcPr>
          <w:p w14:paraId="0D698CC0" w14:textId="1A752AF7"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$74.35</w:t>
            </w:r>
          </w:p>
        </w:tc>
        <w:tc>
          <w:tcPr>
            <w:tcW w:w="900" w:type="dxa"/>
            <w:tcBorders>
              <w:top w:val="single" w:sz="4" w:space="0" w:color="000000"/>
              <w:left w:val="nil"/>
              <w:bottom w:val="single" w:sz="4" w:space="0" w:color="000000"/>
              <w:right w:val="single" w:sz="4" w:space="0" w:color="auto"/>
            </w:tcBorders>
          </w:tcPr>
          <w:p w14:paraId="25496CD5" w14:textId="7D02CD3F"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$77.11</w:t>
            </w:r>
          </w:p>
        </w:tc>
        <w:tc>
          <w:tcPr>
            <w:tcW w:w="990" w:type="dxa"/>
            <w:tcBorders>
              <w:top w:val="nil"/>
              <w:left w:val="single" w:sz="4" w:space="0" w:color="auto"/>
              <w:bottom w:val="single" w:sz="4" w:space="0" w:color="000000"/>
              <w:right w:val="single" w:sz="12" w:space="0" w:color="000000"/>
            </w:tcBorders>
            <w:shd w:val="clear" w:color="auto" w:fill="auto"/>
            <w:noWrap/>
          </w:tcPr>
          <w:p w14:paraId="0CE0DB02" w14:textId="3C0F1216"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$72.60</w:t>
            </w:r>
          </w:p>
        </w:tc>
        <w:tc>
          <w:tcPr>
            <w:tcW w:w="990" w:type="dxa"/>
            <w:tcBorders>
              <w:top w:val="nil"/>
              <w:left w:val="nil"/>
              <w:bottom w:val="single" w:sz="4" w:space="0" w:color="000000"/>
              <w:right w:val="single" w:sz="4" w:space="0" w:color="000000"/>
            </w:tcBorders>
            <w:shd w:val="clear" w:color="auto" w:fill="auto"/>
            <w:noWrap/>
          </w:tcPr>
          <w:p w14:paraId="293E94F9" w14:textId="4725940F"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$105.43</w:t>
            </w:r>
          </w:p>
        </w:tc>
        <w:tc>
          <w:tcPr>
            <w:tcW w:w="990" w:type="dxa"/>
            <w:tcBorders>
              <w:top w:val="nil"/>
              <w:left w:val="nil"/>
              <w:bottom w:val="single" w:sz="4" w:space="0" w:color="000000"/>
              <w:right w:val="single" w:sz="4" w:space="0" w:color="000000"/>
            </w:tcBorders>
            <w:shd w:val="clear" w:color="auto" w:fill="auto"/>
            <w:noWrap/>
          </w:tcPr>
          <w:p w14:paraId="60E5E59A" w14:textId="36B2B32A"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$115.49</w:t>
            </w:r>
          </w:p>
        </w:tc>
        <w:tc>
          <w:tcPr>
            <w:tcW w:w="990" w:type="dxa"/>
            <w:tcBorders>
              <w:top w:val="nil"/>
              <w:left w:val="nil"/>
              <w:bottom w:val="single" w:sz="4" w:space="0" w:color="000000"/>
              <w:right w:val="single" w:sz="4" w:space="0" w:color="000000"/>
            </w:tcBorders>
            <w:shd w:val="clear" w:color="auto" w:fill="auto"/>
            <w:noWrap/>
          </w:tcPr>
          <w:p w14:paraId="6EA63A48" w14:textId="347FFDB2"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$140.31</w:t>
            </w:r>
          </w:p>
        </w:tc>
        <w:tc>
          <w:tcPr>
            <w:tcW w:w="990" w:type="dxa"/>
            <w:tcBorders>
              <w:top w:val="nil"/>
              <w:left w:val="nil"/>
              <w:bottom w:val="single" w:sz="4" w:space="0" w:color="000000"/>
              <w:right w:val="single" w:sz="12" w:space="0" w:color="000000"/>
            </w:tcBorders>
            <w:shd w:val="clear" w:color="auto" w:fill="auto"/>
            <w:noWrap/>
          </w:tcPr>
          <w:p w14:paraId="7A16C73A" w14:textId="4FFFA107" w:rsidR="003D4AD5" w:rsidRPr="00EE5714" w:rsidRDefault="003D4AD5" w:rsidP="003D4AD5">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$163.14</w:t>
            </w:r>
          </w:p>
        </w:tc>
      </w:tr>
      <w:tr w:rsidR="005248A3" w:rsidRPr="00EE5714" w14:paraId="55763CF1" w14:textId="77777777" w:rsidTr="00EC5EFB">
        <w:trPr>
          <w:trHeight w:val="315"/>
        </w:trPr>
        <w:tc>
          <w:tcPr>
            <w:tcW w:w="1260" w:type="dxa"/>
            <w:tcBorders>
              <w:top w:val="nil"/>
              <w:left w:val="single" w:sz="8" w:space="0" w:color="000000"/>
              <w:bottom w:val="single" w:sz="8" w:space="0" w:color="000000"/>
              <w:right w:val="single" w:sz="12" w:space="0" w:color="000000"/>
            </w:tcBorders>
            <w:shd w:val="clear" w:color="auto" w:fill="auto"/>
            <w:noWrap/>
            <w:vAlign w:val="bottom"/>
            <w:hideMark/>
          </w:tcPr>
          <w:p w14:paraId="4D8DB7E3" w14:textId="77777777"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90" w:type="dxa"/>
            <w:tcBorders>
              <w:top w:val="nil"/>
              <w:left w:val="single" w:sz="12" w:space="0" w:color="000000"/>
              <w:bottom w:val="single" w:sz="12" w:space="0" w:color="000000"/>
              <w:right w:val="single" w:sz="4" w:space="0" w:color="000000"/>
            </w:tcBorders>
            <w:shd w:val="clear" w:color="auto" w:fill="auto"/>
            <w:noWrap/>
          </w:tcPr>
          <w:p w14:paraId="50D459FA" w14:textId="6FE2E49F"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$45.72</w:t>
            </w:r>
          </w:p>
        </w:tc>
        <w:tc>
          <w:tcPr>
            <w:tcW w:w="810" w:type="dxa"/>
            <w:tcBorders>
              <w:top w:val="nil"/>
              <w:left w:val="nil"/>
              <w:bottom w:val="single" w:sz="12" w:space="0" w:color="000000"/>
              <w:right w:val="single" w:sz="4" w:space="0" w:color="000000"/>
            </w:tcBorders>
            <w:shd w:val="clear" w:color="auto" w:fill="auto"/>
            <w:noWrap/>
          </w:tcPr>
          <w:p w14:paraId="7D8CB5D7" w14:textId="63A02008"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$51.33</w:t>
            </w:r>
          </w:p>
        </w:tc>
        <w:tc>
          <w:tcPr>
            <w:tcW w:w="810" w:type="dxa"/>
            <w:tcBorders>
              <w:top w:val="nil"/>
              <w:left w:val="nil"/>
              <w:bottom w:val="single" w:sz="12" w:space="0" w:color="000000"/>
              <w:right w:val="single" w:sz="4" w:space="0" w:color="000000"/>
            </w:tcBorders>
            <w:shd w:val="clear" w:color="auto" w:fill="auto"/>
            <w:noWrap/>
          </w:tcPr>
          <w:p w14:paraId="1A28FA22" w14:textId="579853B6"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$66.93</w:t>
            </w:r>
          </w:p>
        </w:tc>
        <w:tc>
          <w:tcPr>
            <w:tcW w:w="900" w:type="dxa"/>
            <w:tcBorders>
              <w:top w:val="nil"/>
              <w:left w:val="nil"/>
              <w:bottom w:val="single" w:sz="12" w:space="0" w:color="000000"/>
              <w:right w:val="single" w:sz="4" w:space="0" w:color="000000"/>
            </w:tcBorders>
            <w:shd w:val="clear" w:color="auto" w:fill="auto"/>
            <w:noWrap/>
          </w:tcPr>
          <w:p w14:paraId="3110BC19" w14:textId="15DD3B13"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$77.89</w:t>
            </w:r>
          </w:p>
        </w:tc>
        <w:tc>
          <w:tcPr>
            <w:tcW w:w="900" w:type="dxa"/>
            <w:tcBorders>
              <w:top w:val="single" w:sz="4" w:space="0" w:color="000000"/>
              <w:left w:val="nil"/>
              <w:bottom w:val="single" w:sz="12" w:space="0" w:color="000000"/>
              <w:right w:val="single" w:sz="4" w:space="0" w:color="auto"/>
            </w:tcBorders>
          </w:tcPr>
          <w:p w14:paraId="6A0CEB70" w14:textId="467A5F7E"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$80.78</w:t>
            </w:r>
          </w:p>
        </w:tc>
        <w:tc>
          <w:tcPr>
            <w:tcW w:w="990" w:type="dxa"/>
            <w:tcBorders>
              <w:top w:val="nil"/>
              <w:left w:val="single" w:sz="4" w:space="0" w:color="auto"/>
              <w:bottom w:val="single" w:sz="12" w:space="0" w:color="000000"/>
              <w:right w:val="single" w:sz="12" w:space="0" w:color="000000"/>
            </w:tcBorders>
            <w:shd w:val="clear" w:color="auto" w:fill="auto"/>
            <w:noWrap/>
          </w:tcPr>
          <w:p w14:paraId="0CB11829" w14:textId="0BD26E1D"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$76.06</w:t>
            </w:r>
          </w:p>
        </w:tc>
        <w:tc>
          <w:tcPr>
            <w:tcW w:w="990" w:type="dxa"/>
            <w:tcBorders>
              <w:top w:val="nil"/>
              <w:left w:val="nil"/>
              <w:bottom w:val="single" w:sz="12" w:space="0" w:color="000000"/>
              <w:right w:val="single" w:sz="4" w:space="0" w:color="000000"/>
            </w:tcBorders>
            <w:shd w:val="clear" w:color="auto" w:fill="auto"/>
            <w:noWrap/>
          </w:tcPr>
          <w:p w14:paraId="00F882AA" w14:textId="28196596"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$110.45</w:t>
            </w:r>
          </w:p>
        </w:tc>
        <w:tc>
          <w:tcPr>
            <w:tcW w:w="990" w:type="dxa"/>
            <w:tcBorders>
              <w:top w:val="nil"/>
              <w:left w:val="nil"/>
              <w:bottom w:val="single" w:sz="12" w:space="0" w:color="000000"/>
              <w:right w:val="single" w:sz="4" w:space="0" w:color="000000"/>
            </w:tcBorders>
            <w:shd w:val="clear" w:color="auto" w:fill="auto"/>
            <w:noWrap/>
          </w:tcPr>
          <w:p w14:paraId="58B955D9" w14:textId="4A27F3BA"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$120.99</w:t>
            </w:r>
          </w:p>
        </w:tc>
        <w:tc>
          <w:tcPr>
            <w:tcW w:w="990" w:type="dxa"/>
            <w:tcBorders>
              <w:top w:val="nil"/>
              <w:left w:val="nil"/>
              <w:bottom w:val="single" w:sz="12" w:space="0" w:color="000000"/>
              <w:right w:val="single" w:sz="4" w:space="0" w:color="000000"/>
            </w:tcBorders>
            <w:shd w:val="clear" w:color="auto" w:fill="auto"/>
            <w:noWrap/>
          </w:tcPr>
          <w:p w14:paraId="591F5879" w14:textId="07B29E60"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$146.99</w:t>
            </w:r>
          </w:p>
        </w:tc>
        <w:tc>
          <w:tcPr>
            <w:tcW w:w="990" w:type="dxa"/>
            <w:tcBorders>
              <w:top w:val="nil"/>
              <w:left w:val="nil"/>
              <w:bottom w:val="single" w:sz="12" w:space="0" w:color="000000"/>
              <w:right w:val="single" w:sz="12" w:space="0" w:color="000000"/>
            </w:tcBorders>
            <w:shd w:val="clear" w:color="auto" w:fill="auto"/>
            <w:noWrap/>
          </w:tcPr>
          <w:p w14:paraId="2291FBD1" w14:textId="439DEB70" w:rsidR="003D4AD5" w:rsidRPr="00EE5714" w:rsidRDefault="003D4AD5" w:rsidP="003D4AD5">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$170.91</w:t>
            </w:r>
          </w:p>
        </w:tc>
      </w:tr>
    </w:tbl>
    <w:p w14:paraId="77BACB37" w14:textId="77777777" w:rsidR="00F303E0" w:rsidRDefault="00F303E0" w:rsidP="007D7A46">
      <w:pPr>
        <w:pStyle w:val="NoSpacing"/>
        <w:rPr>
          <w:rFonts w:cs="Times New Roman"/>
          <w:szCs w:val="26"/>
        </w:rPr>
      </w:pPr>
    </w:p>
    <w:p w14:paraId="0411AF28" w14:textId="77777777" w:rsidR="00F536F0" w:rsidRPr="00EE5714" w:rsidRDefault="00F536F0" w:rsidP="007D7A46">
      <w:pPr>
        <w:pStyle w:val="NoSpacing"/>
        <w:rPr>
          <w:rFonts w:cs="Times New Roman"/>
          <w:szCs w:val="26"/>
        </w:rPr>
      </w:pPr>
    </w:p>
    <w:p w14:paraId="5412EDBF" w14:textId="2E899123" w:rsidR="00F303E0" w:rsidRPr="00EE5714" w:rsidRDefault="00F734A0" w:rsidP="007D7A46">
      <w:pPr>
        <w:pStyle w:val="NoSpacing"/>
        <w:keepNext/>
        <w:rPr>
          <w:rFonts w:cs="Times New Roman"/>
          <w:szCs w:val="26"/>
        </w:rPr>
      </w:pPr>
      <w:r w:rsidRPr="00EE5714">
        <w:rPr>
          <w:rFonts w:cs="Times New Roman"/>
          <w:szCs w:val="26"/>
        </w:rPr>
        <w:lastRenderedPageBreak/>
        <w:t>Appendix 9</w:t>
      </w:r>
      <w:r w:rsidR="00F303E0" w:rsidRPr="00EE5714">
        <w:rPr>
          <w:rFonts w:cs="Times New Roman"/>
          <w:szCs w:val="26"/>
        </w:rPr>
        <w:t>.</w:t>
      </w:r>
      <w:r w:rsidR="00521C79" w:rsidRPr="00EE5714">
        <w:rPr>
          <w:rFonts w:cs="Times New Roman"/>
          <w:szCs w:val="26"/>
        </w:rPr>
        <w:t>F</w:t>
      </w:r>
      <w:r w:rsidR="00F303E0" w:rsidRPr="00EE5714">
        <w:rPr>
          <w:rFonts w:cs="Times New Roman"/>
          <w:szCs w:val="26"/>
        </w:rPr>
        <w:t xml:space="preserve">.7: </w:t>
      </w:r>
      <w:r w:rsidR="00F303E0" w:rsidRPr="00EE5714">
        <w:rPr>
          <w:rFonts w:eastAsia="Times New Roman" w:cs="Times New Roman"/>
          <w:b/>
          <w:color w:val="000000"/>
          <w:szCs w:val="26"/>
        </w:rPr>
        <w:t>Actual Data and Forecasts – West Penn</w:t>
      </w:r>
    </w:p>
    <w:tbl>
      <w:tblPr>
        <w:tblW w:w="10620" w:type="dxa"/>
        <w:tblInd w:w="-640" w:type="dxa"/>
        <w:tblLayout w:type="fixed"/>
        <w:tblLook w:val="04A0" w:firstRow="1" w:lastRow="0" w:firstColumn="1" w:lastColumn="0" w:noHBand="0" w:noVBand="1"/>
      </w:tblPr>
      <w:tblGrid>
        <w:gridCol w:w="1530"/>
        <w:gridCol w:w="927"/>
        <w:gridCol w:w="927"/>
        <w:gridCol w:w="927"/>
        <w:gridCol w:w="927"/>
        <w:gridCol w:w="927"/>
        <w:gridCol w:w="927"/>
        <w:gridCol w:w="927"/>
        <w:gridCol w:w="927"/>
        <w:gridCol w:w="864"/>
        <w:gridCol w:w="810"/>
      </w:tblGrid>
      <w:tr w:rsidR="0047015D" w:rsidRPr="00EE5714" w14:paraId="4CD7A76F" w14:textId="77777777" w:rsidTr="00180883">
        <w:trPr>
          <w:trHeight w:val="315"/>
        </w:trPr>
        <w:tc>
          <w:tcPr>
            <w:tcW w:w="1530" w:type="dxa"/>
            <w:tcBorders>
              <w:top w:val="single" w:sz="8" w:space="0" w:color="000000"/>
              <w:left w:val="single" w:sz="8" w:space="0" w:color="000000"/>
              <w:bottom w:val="single" w:sz="4" w:space="0" w:color="000000"/>
              <w:right w:val="single" w:sz="12" w:space="0" w:color="000000"/>
            </w:tcBorders>
            <w:shd w:val="clear" w:color="auto" w:fill="auto"/>
            <w:noWrap/>
            <w:vAlign w:val="bottom"/>
            <w:hideMark/>
          </w:tcPr>
          <w:p w14:paraId="340CD659" w14:textId="77777777" w:rsidR="0047015D" w:rsidRPr="00EE5714" w:rsidRDefault="0047015D" w:rsidP="003F3312">
            <w:pPr>
              <w:keepNext/>
              <w:spacing w:after="0" w:line="240" w:lineRule="auto"/>
              <w:rPr>
                <w:rFonts w:ascii="Calibri" w:eastAsia="Times New Roman" w:hAnsi="Calibri" w:cs="Calibri"/>
                <w:b/>
                <w:bCs/>
                <w:color w:val="000000"/>
                <w:szCs w:val="24"/>
              </w:rPr>
            </w:pPr>
          </w:p>
        </w:tc>
        <w:tc>
          <w:tcPr>
            <w:tcW w:w="5562" w:type="dxa"/>
            <w:gridSpan w:val="6"/>
            <w:tcBorders>
              <w:top w:val="single" w:sz="12" w:space="0" w:color="000000"/>
              <w:left w:val="single" w:sz="12" w:space="0" w:color="000000"/>
              <w:bottom w:val="single" w:sz="4" w:space="0" w:color="000000"/>
              <w:right w:val="single" w:sz="12" w:space="0" w:color="000000"/>
            </w:tcBorders>
            <w:shd w:val="clear" w:color="auto" w:fill="BFBFBF" w:themeFill="background1" w:themeFillShade="BF"/>
          </w:tcPr>
          <w:p w14:paraId="574D70BA" w14:textId="77777777" w:rsidR="0047015D" w:rsidRPr="00EE5714" w:rsidRDefault="0047015D"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Actual Data</w:t>
            </w:r>
          </w:p>
        </w:tc>
        <w:tc>
          <w:tcPr>
            <w:tcW w:w="3528" w:type="dxa"/>
            <w:gridSpan w:val="4"/>
            <w:tcBorders>
              <w:top w:val="single" w:sz="12" w:space="0" w:color="000000"/>
              <w:left w:val="single" w:sz="12" w:space="0" w:color="000000"/>
              <w:bottom w:val="single" w:sz="4" w:space="0" w:color="000000"/>
              <w:right w:val="single" w:sz="12" w:space="0" w:color="000000"/>
            </w:tcBorders>
            <w:shd w:val="clear" w:color="auto" w:fill="BFBFBF" w:themeFill="background1" w:themeFillShade="BF"/>
            <w:noWrap/>
            <w:vAlign w:val="center"/>
            <w:hideMark/>
          </w:tcPr>
          <w:p w14:paraId="50EA7001" w14:textId="77777777" w:rsidR="0047015D" w:rsidRPr="00EE5714" w:rsidRDefault="0047015D" w:rsidP="003F3312">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Forecasts</w:t>
            </w:r>
          </w:p>
        </w:tc>
      </w:tr>
      <w:tr w:rsidR="007B40E0" w:rsidRPr="00EE5714" w14:paraId="53EBC250"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83F3BB3" w14:textId="77777777" w:rsidR="007B40E0" w:rsidRPr="00EE5714" w:rsidRDefault="007B40E0" w:rsidP="003F3312">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927" w:type="dxa"/>
            <w:tcBorders>
              <w:top w:val="nil"/>
              <w:left w:val="single" w:sz="12" w:space="0" w:color="000000"/>
              <w:bottom w:val="single" w:sz="4" w:space="0" w:color="000000"/>
              <w:right w:val="single" w:sz="4" w:space="0" w:color="000000"/>
            </w:tcBorders>
            <w:shd w:val="clear" w:color="auto" w:fill="auto"/>
            <w:noWrap/>
            <w:vAlign w:val="center"/>
            <w:hideMark/>
          </w:tcPr>
          <w:p w14:paraId="7CE1E47E"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2012</w:t>
            </w:r>
          </w:p>
        </w:tc>
        <w:tc>
          <w:tcPr>
            <w:tcW w:w="927" w:type="dxa"/>
            <w:tcBorders>
              <w:top w:val="nil"/>
              <w:left w:val="nil"/>
              <w:bottom w:val="single" w:sz="4" w:space="0" w:color="000000"/>
              <w:right w:val="single" w:sz="4" w:space="0" w:color="000000"/>
            </w:tcBorders>
            <w:shd w:val="clear" w:color="auto" w:fill="auto"/>
            <w:noWrap/>
            <w:vAlign w:val="center"/>
            <w:hideMark/>
          </w:tcPr>
          <w:p w14:paraId="0107A4E5"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2013</w:t>
            </w:r>
          </w:p>
        </w:tc>
        <w:tc>
          <w:tcPr>
            <w:tcW w:w="927" w:type="dxa"/>
            <w:tcBorders>
              <w:top w:val="nil"/>
              <w:left w:val="nil"/>
              <w:bottom w:val="single" w:sz="4" w:space="0" w:color="000000"/>
              <w:right w:val="single" w:sz="4" w:space="0" w:color="000000"/>
            </w:tcBorders>
            <w:shd w:val="clear" w:color="auto" w:fill="auto"/>
            <w:noWrap/>
            <w:vAlign w:val="center"/>
            <w:hideMark/>
          </w:tcPr>
          <w:p w14:paraId="1D4DA70E"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2014</w:t>
            </w:r>
          </w:p>
        </w:tc>
        <w:tc>
          <w:tcPr>
            <w:tcW w:w="927" w:type="dxa"/>
            <w:tcBorders>
              <w:top w:val="nil"/>
              <w:left w:val="nil"/>
              <w:bottom w:val="single" w:sz="4" w:space="0" w:color="000000"/>
              <w:right w:val="single" w:sz="4" w:space="0" w:color="000000"/>
            </w:tcBorders>
            <w:shd w:val="clear" w:color="auto" w:fill="auto"/>
            <w:noWrap/>
            <w:vAlign w:val="center"/>
            <w:hideMark/>
          </w:tcPr>
          <w:p w14:paraId="470E90F7"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2015</w:t>
            </w:r>
          </w:p>
        </w:tc>
        <w:tc>
          <w:tcPr>
            <w:tcW w:w="927" w:type="dxa"/>
            <w:tcBorders>
              <w:top w:val="nil"/>
              <w:left w:val="nil"/>
              <w:bottom w:val="single" w:sz="4" w:space="0" w:color="000000"/>
              <w:right w:val="single" w:sz="4" w:space="0" w:color="auto"/>
            </w:tcBorders>
          </w:tcPr>
          <w:p w14:paraId="14DC20A6"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2016</w:t>
            </w:r>
          </w:p>
        </w:tc>
        <w:tc>
          <w:tcPr>
            <w:tcW w:w="927" w:type="dxa"/>
            <w:tcBorders>
              <w:top w:val="nil"/>
              <w:left w:val="single" w:sz="4" w:space="0" w:color="auto"/>
              <w:bottom w:val="single" w:sz="4" w:space="0" w:color="000000"/>
              <w:right w:val="single" w:sz="12" w:space="0" w:color="000000"/>
            </w:tcBorders>
            <w:shd w:val="clear" w:color="auto" w:fill="auto"/>
            <w:noWrap/>
            <w:vAlign w:val="center"/>
            <w:hideMark/>
          </w:tcPr>
          <w:p w14:paraId="5BDD320E"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p>
        </w:tc>
        <w:tc>
          <w:tcPr>
            <w:tcW w:w="927" w:type="dxa"/>
            <w:tcBorders>
              <w:top w:val="nil"/>
              <w:left w:val="nil"/>
              <w:bottom w:val="single" w:sz="4" w:space="0" w:color="000000"/>
              <w:right w:val="single" w:sz="4" w:space="0" w:color="000000"/>
            </w:tcBorders>
            <w:shd w:val="clear" w:color="auto" w:fill="auto"/>
            <w:noWrap/>
            <w:vAlign w:val="center"/>
            <w:hideMark/>
          </w:tcPr>
          <w:p w14:paraId="4FD6344D"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927" w:type="dxa"/>
            <w:tcBorders>
              <w:top w:val="nil"/>
              <w:left w:val="nil"/>
              <w:bottom w:val="single" w:sz="4" w:space="0" w:color="000000"/>
              <w:right w:val="single" w:sz="4" w:space="0" w:color="000000"/>
            </w:tcBorders>
            <w:shd w:val="clear" w:color="auto" w:fill="auto"/>
            <w:noWrap/>
            <w:vAlign w:val="center"/>
            <w:hideMark/>
          </w:tcPr>
          <w:p w14:paraId="67A1596B"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864" w:type="dxa"/>
            <w:tcBorders>
              <w:top w:val="nil"/>
              <w:left w:val="nil"/>
              <w:bottom w:val="single" w:sz="4" w:space="0" w:color="000000"/>
              <w:right w:val="single" w:sz="4" w:space="0" w:color="000000"/>
            </w:tcBorders>
            <w:shd w:val="clear" w:color="auto" w:fill="auto"/>
            <w:noWrap/>
            <w:vAlign w:val="center"/>
            <w:hideMark/>
          </w:tcPr>
          <w:p w14:paraId="33F049D8"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810" w:type="dxa"/>
            <w:tcBorders>
              <w:top w:val="nil"/>
              <w:left w:val="nil"/>
              <w:bottom w:val="single" w:sz="4" w:space="0" w:color="000000"/>
              <w:right w:val="single" w:sz="12" w:space="0" w:color="000000"/>
            </w:tcBorders>
            <w:shd w:val="clear" w:color="auto" w:fill="auto"/>
            <w:noWrap/>
            <w:vAlign w:val="center"/>
            <w:hideMark/>
          </w:tcPr>
          <w:p w14:paraId="244DB37F" w14:textId="77777777" w:rsidR="007B40E0" w:rsidRPr="00EE5714" w:rsidRDefault="007B40E0" w:rsidP="003F3312">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FB58BF" w:rsidRPr="00EE5714" w14:paraId="466AA65B" w14:textId="77777777" w:rsidTr="003F3312">
        <w:trPr>
          <w:trHeight w:val="6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vAlign w:val="bottom"/>
            <w:hideMark/>
          </w:tcPr>
          <w:p w14:paraId="168A533A" w14:textId="77777777" w:rsidR="00FB58BF" w:rsidRPr="00EE5714" w:rsidRDefault="00FB58BF" w:rsidP="00FB58BF">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Avg Annual CAP Cost per Non-CAP Residential Customer</w:t>
            </w:r>
          </w:p>
        </w:tc>
        <w:tc>
          <w:tcPr>
            <w:tcW w:w="927" w:type="dxa"/>
            <w:tcBorders>
              <w:top w:val="nil"/>
              <w:left w:val="single" w:sz="12" w:space="0" w:color="000000"/>
              <w:bottom w:val="single" w:sz="4" w:space="0" w:color="000000"/>
              <w:right w:val="single" w:sz="4" w:space="0" w:color="000000"/>
            </w:tcBorders>
            <w:shd w:val="clear" w:color="auto" w:fill="F2F2F2" w:themeFill="background1" w:themeFillShade="F2"/>
            <w:noWrap/>
            <w:vAlign w:val="center"/>
          </w:tcPr>
          <w:p w14:paraId="53A79B94" w14:textId="62849655"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$14.25</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60086FDB" w14:textId="6BA8ADCD"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$17.98</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3EB7FE66" w14:textId="15039F54"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$22.34</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33A760BA" w14:textId="023F54C4"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$27.60</w:t>
            </w:r>
          </w:p>
        </w:tc>
        <w:tc>
          <w:tcPr>
            <w:tcW w:w="927" w:type="dxa"/>
            <w:tcBorders>
              <w:top w:val="single" w:sz="4" w:space="0" w:color="000000"/>
              <w:left w:val="nil"/>
              <w:bottom w:val="single" w:sz="4" w:space="0" w:color="000000"/>
              <w:right w:val="single" w:sz="4" w:space="0" w:color="auto"/>
            </w:tcBorders>
            <w:shd w:val="clear" w:color="auto" w:fill="F2F2F2" w:themeFill="background1" w:themeFillShade="F2"/>
            <w:vAlign w:val="center"/>
          </w:tcPr>
          <w:p w14:paraId="373698F6" w14:textId="6AEC2AF5"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$41.02</w:t>
            </w:r>
          </w:p>
        </w:tc>
        <w:tc>
          <w:tcPr>
            <w:tcW w:w="927" w:type="dxa"/>
            <w:tcBorders>
              <w:top w:val="nil"/>
              <w:left w:val="single" w:sz="4" w:space="0" w:color="auto"/>
              <w:bottom w:val="single" w:sz="4" w:space="0" w:color="000000"/>
              <w:right w:val="single" w:sz="12" w:space="0" w:color="000000"/>
            </w:tcBorders>
            <w:shd w:val="clear" w:color="auto" w:fill="F2F2F2" w:themeFill="background1" w:themeFillShade="F2"/>
            <w:noWrap/>
            <w:vAlign w:val="center"/>
          </w:tcPr>
          <w:p w14:paraId="4496E398" w14:textId="10C9689D"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$45.52</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6BA609F8" w14:textId="0E304709"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$53.10</w:t>
            </w:r>
          </w:p>
        </w:tc>
        <w:tc>
          <w:tcPr>
            <w:tcW w:w="927" w:type="dxa"/>
            <w:tcBorders>
              <w:top w:val="nil"/>
              <w:left w:val="nil"/>
              <w:bottom w:val="single" w:sz="4" w:space="0" w:color="000000"/>
              <w:right w:val="single" w:sz="4" w:space="0" w:color="000000"/>
            </w:tcBorders>
            <w:shd w:val="clear" w:color="auto" w:fill="F2F2F2" w:themeFill="background1" w:themeFillShade="F2"/>
            <w:noWrap/>
            <w:vAlign w:val="center"/>
          </w:tcPr>
          <w:p w14:paraId="5BD9616F" w14:textId="459DF4B9"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$64.15</w:t>
            </w:r>
          </w:p>
        </w:tc>
        <w:tc>
          <w:tcPr>
            <w:tcW w:w="864" w:type="dxa"/>
            <w:tcBorders>
              <w:top w:val="nil"/>
              <w:left w:val="nil"/>
              <w:bottom w:val="single" w:sz="4" w:space="0" w:color="000000"/>
              <w:right w:val="single" w:sz="4" w:space="0" w:color="000000"/>
            </w:tcBorders>
            <w:shd w:val="clear" w:color="auto" w:fill="F2F2F2" w:themeFill="background1" w:themeFillShade="F2"/>
            <w:noWrap/>
            <w:vAlign w:val="center"/>
          </w:tcPr>
          <w:p w14:paraId="3D7BC05B" w14:textId="51DA8C9D"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$64.78</w:t>
            </w:r>
          </w:p>
        </w:tc>
        <w:tc>
          <w:tcPr>
            <w:tcW w:w="810" w:type="dxa"/>
            <w:tcBorders>
              <w:top w:val="nil"/>
              <w:left w:val="nil"/>
              <w:bottom w:val="single" w:sz="4" w:space="0" w:color="000000"/>
              <w:right w:val="single" w:sz="12" w:space="0" w:color="000000"/>
            </w:tcBorders>
            <w:shd w:val="clear" w:color="auto" w:fill="F2F2F2" w:themeFill="background1" w:themeFillShade="F2"/>
            <w:noWrap/>
            <w:vAlign w:val="center"/>
          </w:tcPr>
          <w:p w14:paraId="4F8F4584" w14:textId="737BC24C"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$65.65</w:t>
            </w:r>
          </w:p>
        </w:tc>
      </w:tr>
      <w:tr w:rsidR="00FB58BF" w:rsidRPr="00EE5714" w14:paraId="7DF7B243"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047CBCE4" w14:textId="77777777"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40672369" w14:textId="00198AE3"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$12.83</w:t>
            </w:r>
          </w:p>
        </w:tc>
        <w:tc>
          <w:tcPr>
            <w:tcW w:w="927" w:type="dxa"/>
            <w:tcBorders>
              <w:top w:val="nil"/>
              <w:left w:val="nil"/>
              <w:bottom w:val="single" w:sz="4" w:space="0" w:color="000000"/>
              <w:right w:val="single" w:sz="4" w:space="0" w:color="000000"/>
            </w:tcBorders>
            <w:shd w:val="clear" w:color="auto" w:fill="auto"/>
            <w:noWrap/>
            <w:vAlign w:val="center"/>
          </w:tcPr>
          <w:p w14:paraId="4FC64FE8" w14:textId="4E6B396C"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$16.18</w:t>
            </w:r>
          </w:p>
        </w:tc>
        <w:tc>
          <w:tcPr>
            <w:tcW w:w="927" w:type="dxa"/>
            <w:tcBorders>
              <w:top w:val="nil"/>
              <w:left w:val="nil"/>
              <w:bottom w:val="single" w:sz="4" w:space="0" w:color="000000"/>
              <w:right w:val="single" w:sz="4" w:space="0" w:color="000000"/>
            </w:tcBorders>
            <w:shd w:val="clear" w:color="auto" w:fill="auto"/>
            <w:noWrap/>
            <w:vAlign w:val="center"/>
          </w:tcPr>
          <w:p w14:paraId="05F44C2E" w14:textId="058FF814"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$20.10</w:t>
            </w:r>
          </w:p>
        </w:tc>
        <w:tc>
          <w:tcPr>
            <w:tcW w:w="927" w:type="dxa"/>
            <w:tcBorders>
              <w:top w:val="nil"/>
              <w:left w:val="nil"/>
              <w:bottom w:val="single" w:sz="4" w:space="0" w:color="000000"/>
              <w:right w:val="single" w:sz="4" w:space="0" w:color="000000"/>
            </w:tcBorders>
            <w:shd w:val="clear" w:color="auto" w:fill="auto"/>
            <w:noWrap/>
            <w:vAlign w:val="center"/>
          </w:tcPr>
          <w:p w14:paraId="081B2C79" w14:textId="75ACB534"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$24.84</w:t>
            </w:r>
          </w:p>
        </w:tc>
        <w:tc>
          <w:tcPr>
            <w:tcW w:w="927" w:type="dxa"/>
            <w:tcBorders>
              <w:top w:val="single" w:sz="4" w:space="0" w:color="000000"/>
              <w:left w:val="nil"/>
              <w:bottom w:val="single" w:sz="4" w:space="0" w:color="000000"/>
              <w:right w:val="single" w:sz="4" w:space="0" w:color="auto"/>
            </w:tcBorders>
            <w:vAlign w:val="center"/>
          </w:tcPr>
          <w:p w14:paraId="1585D46F" w14:textId="7518B336"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$36.92</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4A335BD3" w14:textId="4E7CFC86"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$40.96</w:t>
            </w:r>
          </w:p>
        </w:tc>
        <w:tc>
          <w:tcPr>
            <w:tcW w:w="927" w:type="dxa"/>
            <w:tcBorders>
              <w:top w:val="nil"/>
              <w:left w:val="nil"/>
              <w:bottom w:val="single" w:sz="4" w:space="0" w:color="000000"/>
              <w:right w:val="single" w:sz="4" w:space="0" w:color="000000"/>
            </w:tcBorders>
            <w:shd w:val="clear" w:color="auto" w:fill="auto"/>
            <w:noWrap/>
            <w:vAlign w:val="center"/>
          </w:tcPr>
          <w:p w14:paraId="2F567BA7" w14:textId="5916D235"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$47.79</w:t>
            </w:r>
          </w:p>
        </w:tc>
        <w:tc>
          <w:tcPr>
            <w:tcW w:w="927" w:type="dxa"/>
            <w:tcBorders>
              <w:top w:val="nil"/>
              <w:left w:val="nil"/>
              <w:bottom w:val="single" w:sz="4" w:space="0" w:color="000000"/>
              <w:right w:val="single" w:sz="4" w:space="0" w:color="000000"/>
            </w:tcBorders>
            <w:shd w:val="clear" w:color="auto" w:fill="auto"/>
            <w:noWrap/>
            <w:vAlign w:val="center"/>
          </w:tcPr>
          <w:p w14:paraId="23D292E1" w14:textId="020587C6"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$57.74</w:t>
            </w:r>
          </w:p>
        </w:tc>
        <w:tc>
          <w:tcPr>
            <w:tcW w:w="864" w:type="dxa"/>
            <w:tcBorders>
              <w:top w:val="nil"/>
              <w:left w:val="nil"/>
              <w:bottom w:val="single" w:sz="4" w:space="0" w:color="000000"/>
              <w:right w:val="single" w:sz="4" w:space="0" w:color="000000"/>
            </w:tcBorders>
            <w:shd w:val="clear" w:color="auto" w:fill="auto"/>
            <w:noWrap/>
            <w:vAlign w:val="center"/>
          </w:tcPr>
          <w:p w14:paraId="60599A14" w14:textId="27802AC0"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$58.30</w:t>
            </w:r>
          </w:p>
        </w:tc>
        <w:tc>
          <w:tcPr>
            <w:tcW w:w="810" w:type="dxa"/>
            <w:tcBorders>
              <w:top w:val="nil"/>
              <w:left w:val="nil"/>
              <w:bottom w:val="single" w:sz="4" w:space="0" w:color="000000"/>
              <w:right w:val="single" w:sz="12" w:space="0" w:color="000000"/>
            </w:tcBorders>
            <w:shd w:val="clear" w:color="auto" w:fill="auto"/>
            <w:noWrap/>
            <w:vAlign w:val="center"/>
          </w:tcPr>
          <w:p w14:paraId="6878D106" w14:textId="1D8DE5E7"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$59.09</w:t>
            </w:r>
          </w:p>
        </w:tc>
      </w:tr>
      <w:tr w:rsidR="00FB58BF" w:rsidRPr="00EE5714" w14:paraId="15E6A814"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227EA170" w14:textId="77777777"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6F040B25" w14:textId="48FF9BBF"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$13.54</w:t>
            </w:r>
          </w:p>
        </w:tc>
        <w:tc>
          <w:tcPr>
            <w:tcW w:w="927" w:type="dxa"/>
            <w:tcBorders>
              <w:top w:val="nil"/>
              <w:left w:val="nil"/>
              <w:bottom w:val="single" w:sz="4" w:space="0" w:color="000000"/>
              <w:right w:val="single" w:sz="4" w:space="0" w:color="000000"/>
            </w:tcBorders>
            <w:shd w:val="clear" w:color="auto" w:fill="auto"/>
            <w:noWrap/>
            <w:vAlign w:val="center"/>
          </w:tcPr>
          <w:p w14:paraId="092C72E5" w14:textId="4EFC6B0F"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$17.08</w:t>
            </w:r>
          </w:p>
        </w:tc>
        <w:tc>
          <w:tcPr>
            <w:tcW w:w="927" w:type="dxa"/>
            <w:tcBorders>
              <w:top w:val="nil"/>
              <w:left w:val="nil"/>
              <w:bottom w:val="single" w:sz="4" w:space="0" w:color="000000"/>
              <w:right w:val="single" w:sz="4" w:space="0" w:color="000000"/>
            </w:tcBorders>
            <w:shd w:val="clear" w:color="auto" w:fill="auto"/>
            <w:noWrap/>
            <w:vAlign w:val="center"/>
          </w:tcPr>
          <w:p w14:paraId="094076C3" w14:textId="5F933669"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$21.22</w:t>
            </w:r>
          </w:p>
        </w:tc>
        <w:tc>
          <w:tcPr>
            <w:tcW w:w="927" w:type="dxa"/>
            <w:tcBorders>
              <w:top w:val="nil"/>
              <w:left w:val="nil"/>
              <w:bottom w:val="single" w:sz="4" w:space="0" w:color="000000"/>
              <w:right w:val="single" w:sz="4" w:space="0" w:color="000000"/>
            </w:tcBorders>
            <w:shd w:val="clear" w:color="auto" w:fill="auto"/>
            <w:noWrap/>
            <w:vAlign w:val="center"/>
          </w:tcPr>
          <w:p w14:paraId="0918D9D4" w14:textId="36F7F2C7"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$26.22</w:t>
            </w:r>
          </w:p>
        </w:tc>
        <w:tc>
          <w:tcPr>
            <w:tcW w:w="927" w:type="dxa"/>
            <w:tcBorders>
              <w:top w:val="single" w:sz="4" w:space="0" w:color="000000"/>
              <w:left w:val="nil"/>
              <w:bottom w:val="single" w:sz="4" w:space="0" w:color="000000"/>
              <w:right w:val="single" w:sz="4" w:space="0" w:color="auto"/>
            </w:tcBorders>
            <w:vAlign w:val="center"/>
          </w:tcPr>
          <w:p w14:paraId="19695C54" w14:textId="1448FE54"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$38.97</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7A07D2D6" w14:textId="41AAA83C"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$43.24</w:t>
            </w:r>
          </w:p>
        </w:tc>
        <w:tc>
          <w:tcPr>
            <w:tcW w:w="927" w:type="dxa"/>
            <w:tcBorders>
              <w:top w:val="nil"/>
              <w:left w:val="nil"/>
              <w:bottom w:val="single" w:sz="4" w:space="0" w:color="000000"/>
              <w:right w:val="single" w:sz="4" w:space="0" w:color="000000"/>
            </w:tcBorders>
            <w:shd w:val="clear" w:color="auto" w:fill="auto"/>
            <w:noWrap/>
            <w:vAlign w:val="center"/>
          </w:tcPr>
          <w:p w14:paraId="19305128" w14:textId="56194857"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$50.45</w:t>
            </w:r>
          </w:p>
        </w:tc>
        <w:tc>
          <w:tcPr>
            <w:tcW w:w="927" w:type="dxa"/>
            <w:tcBorders>
              <w:top w:val="nil"/>
              <w:left w:val="nil"/>
              <w:bottom w:val="single" w:sz="4" w:space="0" w:color="000000"/>
              <w:right w:val="single" w:sz="4" w:space="0" w:color="000000"/>
            </w:tcBorders>
            <w:shd w:val="clear" w:color="auto" w:fill="auto"/>
            <w:noWrap/>
            <w:vAlign w:val="center"/>
          </w:tcPr>
          <w:p w14:paraId="6DA63748" w14:textId="498ECB30"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$60.94</w:t>
            </w:r>
          </w:p>
        </w:tc>
        <w:tc>
          <w:tcPr>
            <w:tcW w:w="864" w:type="dxa"/>
            <w:tcBorders>
              <w:top w:val="nil"/>
              <w:left w:val="nil"/>
              <w:bottom w:val="single" w:sz="4" w:space="0" w:color="000000"/>
              <w:right w:val="single" w:sz="4" w:space="0" w:color="000000"/>
            </w:tcBorders>
            <w:shd w:val="clear" w:color="auto" w:fill="auto"/>
            <w:noWrap/>
            <w:vAlign w:val="center"/>
          </w:tcPr>
          <w:p w14:paraId="1CA3B780" w14:textId="0AF2AF01"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$61.54</w:t>
            </w:r>
          </w:p>
        </w:tc>
        <w:tc>
          <w:tcPr>
            <w:tcW w:w="810" w:type="dxa"/>
            <w:tcBorders>
              <w:top w:val="nil"/>
              <w:left w:val="nil"/>
              <w:bottom w:val="single" w:sz="4" w:space="0" w:color="000000"/>
              <w:right w:val="single" w:sz="12" w:space="0" w:color="000000"/>
            </w:tcBorders>
            <w:shd w:val="clear" w:color="auto" w:fill="auto"/>
            <w:noWrap/>
            <w:vAlign w:val="center"/>
          </w:tcPr>
          <w:p w14:paraId="4FC3642B" w14:textId="2EE5A216"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$62.37</w:t>
            </w:r>
          </w:p>
        </w:tc>
      </w:tr>
      <w:tr w:rsidR="00FB58BF" w:rsidRPr="00EE5714" w14:paraId="039F32BF" w14:textId="77777777" w:rsidTr="00013399">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4CCAD4AB" w14:textId="77777777"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nil"/>
              <w:left w:val="single" w:sz="12" w:space="0" w:color="000000"/>
              <w:bottom w:val="single" w:sz="8" w:space="0" w:color="000000"/>
              <w:right w:val="single" w:sz="4" w:space="0" w:color="000000"/>
            </w:tcBorders>
            <w:shd w:val="clear" w:color="auto" w:fill="auto"/>
            <w:noWrap/>
            <w:vAlign w:val="center"/>
          </w:tcPr>
          <w:p w14:paraId="1C4D6FF3" w14:textId="06A9397A"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$14.11</w:t>
            </w:r>
          </w:p>
        </w:tc>
        <w:tc>
          <w:tcPr>
            <w:tcW w:w="927" w:type="dxa"/>
            <w:tcBorders>
              <w:top w:val="nil"/>
              <w:left w:val="nil"/>
              <w:bottom w:val="single" w:sz="8" w:space="0" w:color="000000"/>
              <w:right w:val="single" w:sz="4" w:space="0" w:color="000000"/>
            </w:tcBorders>
            <w:shd w:val="clear" w:color="auto" w:fill="auto"/>
            <w:noWrap/>
            <w:vAlign w:val="center"/>
          </w:tcPr>
          <w:p w14:paraId="61CC9039" w14:textId="3E2E8477"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$17.80</w:t>
            </w:r>
          </w:p>
        </w:tc>
        <w:tc>
          <w:tcPr>
            <w:tcW w:w="927" w:type="dxa"/>
            <w:tcBorders>
              <w:top w:val="nil"/>
              <w:left w:val="nil"/>
              <w:bottom w:val="single" w:sz="8" w:space="0" w:color="000000"/>
              <w:right w:val="single" w:sz="4" w:space="0" w:color="000000"/>
            </w:tcBorders>
            <w:shd w:val="clear" w:color="auto" w:fill="auto"/>
            <w:noWrap/>
            <w:vAlign w:val="center"/>
          </w:tcPr>
          <w:p w14:paraId="7FC5B777" w14:textId="2845A56E"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$22.11</w:t>
            </w:r>
          </w:p>
        </w:tc>
        <w:tc>
          <w:tcPr>
            <w:tcW w:w="927" w:type="dxa"/>
            <w:tcBorders>
              <w:top w:val="nil"/>
              <w:left w:val="nil"/>
              <w:bottom w:val="single" w:sz="8" w:space="0" w:color="000000"/>
              <w:right w:val="single" w:sz="4" w:space="0" w:color="000000"/>
            </w:tcBorders>
            <w:shd w:val="clear" w:color="auto" w:fill="auto"/>
            <w:noWrap/>
            <w:vAlign w:val="center"/>
          </w:tcPr>
          <w:p w14:paraId="5F1C4B7C" w14:textId="70EBBAEE"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$27.32</w:t>
            </w:r>
          </w:p>
        </w:tc>
        <w:tc>
          <w:tcPr>
            <w:tcW w:w="927" w:type="dxa"/>
            <w:tcBorders>
              <w:top w:val="single" w:sz="4" w:space="0" w:color="000000"/>
              <w:left w:val="nil"/>
              <w:bottom w:val="single" w:sz="8" w:space="0" w:color="000000"/>
              <w:right w:val="single" w:sz="4" w:space="0" w:color="auto"/>
            </w:tcBorders>
            <w:vAlign w:val="center"/>
          </w:tcPr>
          <w:p w14:paraId="5B88CC9B" w14:textId="2BCD7F10"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$40.61</w:t>
            </w:r>
          </w:p>
        </w:tc>
        <w:tc>
          <w:tcPr>
            <w:tcW w:w="927" w:type="dxa"/>
            <w:tcBorders>
              <w:top w:val="nil"/>
              <w:left w:val="single" w:sz="4" w:space="0" w:color="auto"/>
              <w:bottom w:val="single" w:sz="8" w:space="0" w:color="000000"/>
              <w:right w:val="single" w:sz="12" w:space="0" w:color="000000"/>
            </w:tcBorders>
            <w:shd w:val="clear" w:color="auto" w:fill="auto"/>
            <w:noWrap/>
            <w:vAlign w:val="center"/>
          </w:tcPr>
          <w:p w14:paraId="2A1E3A1D" w14:textId="11F0A553"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$45.06</w:t>
            </w:r>
          </w:p>
        </w:tc>
        <w:tc>
          <w:tcPr>
            <w:tcW w:w="927" w:type="dxa"/>
            <w:tcBorders>
              <w:top w:val="nil"/>
              <w:left w:val="nil"/>
              <w:bottom w:val="single" w:sz="4" w:space="0" w:color="000000"/>
              <w:right w:val="single" w:sz="4" w:space="0" w:color="000000"/>
            </w:tcBorders>
            <w:shd w:val="clear" w:color="auto" w:fill="auto"/>
            <w:noWrap/>
            <w:vAlign w:val="center"/>
          </w:tcPr>
          <w:p w14:paraId="64A84246" w14:textId="0AA2CBC4"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$52.57</w:t>
            </w:r>
          </w:p>
        </w:tc>
        <w:tc>
          <w:tcPr>
            <w:tcW w:w="927" w:type="dxa"/>
            <w:tcBorders>
              <w:top w:val="nil"/>
              <w:left w:val="nil"/>
              <w:bottom w:val="single" w:sz="4" w:space="0" w:color="000000"/>
              <w:right w:val="single" w:sz="4" w:space="0" w:color="000000"/>
            </w:tcBorders>
            <w:shd w:val="clear" w:color="auto" w:fill="auto"/>
            <w:noWrap/>
            <w:vAlign w:val="center"/>
          </w:tcPr>
          <w:p w14:paraId="26036C2B" w14:textId="3880BE3A"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$63.51</w:t>
            </w:r>
          </w:p>
        </w:tc>
        <w:tc>
          <w:tcPr>
            <w:tcW w:w="864" w:type="dxa"/>
            <w:tcBorders>
              <w:top w:val="nil"/>
              <w:left w:val="nil"/>
              <w:bottom w:val="single" w:sz="4" w:space="0" w:color="000000"/>
              <w:right w:val="single" w:sz="4" w:space="0" w:color="000000"/>
            </w:tcBorders>
            <w:shd w:val="clear" w:color="auto" w:fill="auto"/>
            <w:noWrap/>
            <w:vAlign w:val="center"/>
          </w:tcPr>
          <w:p w14:paraId="6C59874F" w14:textId="4DE5E2D2"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$64.13</w:t>
            </w:r>
          </w:p>
        </w:tc>
        <w:tc>
          <w:tcPr>
            <w:tcW w:w="810" w:type="dxa"/>
            <w:tcBorders>
              <w:top w:val="nil"/>
              <w:left w:val="nil"/>
              <w:bottom w:val="single" w:sz="4" w:space="0" w:color="000000"/>
              <w:right w:val="single" w:sz="12" w:space="0" w:color="000000"/>
            </w:tcBorders>
            <w:shd w:val="clear" w:color="auto" w:fill="auto"/>
            <w:noWrap/>
            <w:vAlign w:val="center"/>
          </w:tcPr>
          <w:p w14:paraId="41A8CBCC" w14:textId="0BD894E0"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$64.99</w:t>
            </w:r>
          </w:p>
        </w:tc>
      </w:tr>
      <w:tr w:rsidR="007B40E0" w:rsidRPr="00EE5714" w14:paraId="68F65A3D" w14:textId="77777777" w:rsidTr="00013399">
        <w:trPr>
          <w:trHeight w:val="300"/>
        </w:trPr>
        <w:tc>
          <w:tcPr>
            <w:tcW w:w="1530" w:type="dxa"/>
            <w:tcBorders>
              <w:top w:val="nil"/>
              <w:left w:val="single" w:sz="8" w:space="0" w:color="000000"/>
              <w:bottom w:val="single" w:sz="4" w:space="0" w:color="000000"/>
              <w:right w:val="single" w:sz="12" w:space="0" w:color="000000"/>
            </w:tcBorders>
            <w:shd w:val="clear" w:color="auto" w:fill="F2F2F2" w:themeFill="background1" w:themeFillShade="F2"/>
            <w:noWrap/>
            <w:vAlign w:val="bottom"/>
            <w:hideMark/>
          </w:tcPr>
          <w:p w14:paraId="0D6A7081" w14:textId="77777777" w:rsidR="007B40E0" w:rsidRPr="00EE5714" w:rsidRDefault="007B40E0" w:rsidP="003F3312">
            <w:pPr>
              <w:keepNext/>
              <w:spacing w:after="0" w:line="240" w:lineRule="auto"/>
              <w:jc w:val="center"/>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No Change</w:t>
            </w:r>
          </w:p>
        </w:tc>
        <w:tc>
          <w:tcPr>
            <w:tcW w:w="927" w:type="dxa"/>
            <w:tcBorders>
              <w:top w:val="single" w:sz="8" w:space="0" w:color="000000"/>
              <w:left w:val="single" w:sz="12" w:space="0" w:color="000000"/>
              <w:bottom w:val="single" w:sz="8" w:space="0" w:color="000000"/>
            </w:tcBorders>
            <w:shd w:val="clear" w:color="auto" w:fill="F2F2F2" w:themeFill="background1" w:themeFillShade="F2"/>
          </w:tcPr>
          <w:p w14:paraId="476AB14C"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4635" w:type="dxa"/>
            <w:gridSpan w:val="5"/>
            <w:tcBorders>
              <w:top w:val="single" w:sz="8" w:space="0" w:color="000000"/>
              <w:bottom w:val="single" w:sz="8" w:space="0" w:color="000000"/>
              <w:right w:val="single" w:sz="12" w:space="0" w:color="000000"/>
            </w:tcBorders>
            <w:shd w:val="clear" w:color="auto" w:fill="F2F2F2" w:themeFill="background1" w:themeFillShade="F2"/>
            <w:noWrap/>
            <w:vAlign w:val="center"/>
          </w:tcPr>
          <w:p w14:paraId="63207F6F"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c>
          <w:tcPr>
            <w:tcW w:w="3528" w:type="dxa"/>
            <w:gridSpan w:val="4"/>
            <w:tcBorders>
              <w:top w:val="nil"/>
              <w:left w:val="single" w:sz="12" w:space="0" w:color="000000"/>
              <w:bottom w:val="single" w:sz="4" w:space="0" w:color="000000"/>
              <w:right w:val="single" w:sz="12" w:space="0" w:color="000000"/>
            </w:tcBorders>
            <w:shd w:val="clear" w:color="auto" w:fill="F2F2F2" w:themeFill="background1" w:themeFillShade="F2"/>
            <w:vAlign w:val="center"/>
          </w:tcPr>
          <w:p w14:paraId="70C5A275" w14:textId="77777777" w:rsidR="007B40E0" w:rsidRPr="00EE5714" w:rsidRDefault="007B40E0" w:rsidP="003F3312">
            <w:pPr>
              <w:keepNext/>
              <w:spacing w:after="0" w:line="240" w:lineRule="auto"/>
              <w:jc w:val="center"/>
              <w:rPr>
                <w:rFonts w:ascii="Calibri" w:eastAsia="Times New Roman" w:hAnsi="Calibri" w:cs="Calibri"/>
                <w:color w:val="000000"/>
                <w:sz w:val="21"/>
                <w:szCs w:val="21"/>
              </w:rPr>
            </w:pPr>
          </w:p>
        </w:tc>
      </w:tr>
      <w:tr w:rsidR="00FB58BF" w:rsidRPr="00EE5714" w14:paraId="4B097680"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4DF0BA30" w14:textId="77777777"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w:t>
            </w:r>
          </w:p>
        </w:tc>
        <w:tc>
          <w:tcPr>
            <w:tcW w:w="927" w:type="dxa"/>
            <w:tcBorders>
              <w:top w:val="single" w:sz="8" w:space="0" w:color="000000"/>
              <w:left w:val="single" w:sz="12" w:space="0" w:color="000000"/>
              <w:bottom w:val="single" w:sz="4" w:space="0" w:color="000000"/>
              <w:right w:val="single" w:sz="4" w:space="0" w:color="000000"/>
            </w:tcBorders>
            <w:shd w:val="clear" w:color="auto" w:fill="auto"/>
            <w:noWrap/>
            <w:vAlign w:val="center"/>
          </w:tcPr>
          <w:p w14:paraId="2723B016" w14:textId="44E7A5B2"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$14.39</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1F26FE02" w14:textId="12C6225F"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$18.16</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35EB472D" w14:textId="56B2D9FC"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$22.56</w:t>
            </w:r>
          </w:p>
        </w:tc>
        <w:tc>
          <w:tcPr>
            <w:tcW w:w="927" w:type="dxa"/>
            <w:tcBorders>
              <w:top w:val="single" w:sz="8" w:space="0" w:color="000000"/>
              <w:left w:val="nil"/>
              <w:bottom w:val="single" w:sz="4" w:space="0" w:color="000000"/>
              <w:right w:val="single" w:sz="4" w:space="0" w:color="000000"/>
            </w:tcBorders>
            <w:shd w:val="clear" w:color="auto" w:fill="auto"/>
            <w:noWrap/>
            <w:vAlign w:val="center"/>
          </w:tcPr>
          <w:p w14:paraId="1E1668E2" w14:textId="065C4FE3"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$27.87</w:t>
            </w:r>
          </w:p>
        </w:tc>
        <w:tc>
          <w:tcPr>
            <w:tcW w:w="927" w:type="dxa"/>
            <w:tcBorders>
              <w:top w:val="single" w:sz="8" w:space="0" w:color="000000"/>
              <w:left w:val="nil"/>
              <w:bottom w:val="single" w:sz="4" w:space="0" w:color="000000"/>
              <w:right w:val="single" w:sz="4" w:space="0" w:color="auto"/>
            </w:tcBorders>
            <w:vAlign w:val="center"/>
          </w:tcPr>
          <w:p w14:paraId="5CC27047" w14:textId="7FD89474"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$41.43</w:t>
            </w:r>
          </w:p>
        </w:tc>
        <w:tc>
          <w:tcPr>
            <w:tcW w:w="927" w:type="dxa"/>
            <w:tcBorders>
              <w:top w:val="single" w:sz="8" w:space="0" w:color="000000"/>
              <w:left w:val="single" w:sz="4" w:space="0" w:color="auto"/>
              <w:bottom w:val="single" w:sz="4" w:space="0" w:color="000000"/>
              <w:right w:val="single" w:sz="12" w:space="0" w:color="000000"/>
            </w:tcBorders>
            <w:shd w:val="clear" w:color="auto" w:fill="auto"/>
            <w:noWrap/>
            <w:vAlign w:val="center"/>
          </w:tcPr>
          <w:p w14:paraId="2A5A4D41" w14:textId="71801648"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$45.97</w:t>
            </w:r>
          </w:p>
        </w:tc>
        <w:tc>
          <w:tcPr>
            <w:tcW w:w="927" w:type="dxa"/>
            <w:tcBorders>
              <w:top w:val="nil"/>
              <w:left w:val="nil"/>
              <w:bottom w:val="single" w:sz="4" w:space="0" w:color="000000"/>
              <w:right w:val="single" w:sz="4" w:space="0" w:color="000000"/>
            </w:tcBorders>
            <w:shd w:val="clear" w:color="auto" w:fill="auto"/>
            <w:noWrap/>
            <w:vAlign w:val="center"/>
          </w:tcPr>
          <w:p w14:paraId="65527AF2" w14:textId="4581CF4A"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$53.63</w:t>
            </w:r>
          </w:p>
        </w:tc>
        <w:tc>
          <w:tcPr>
            <w:tcW w:w="927" w:type="dxa"/>
            <w:tcBorders>
              <w:top w:val="nil"/>
              <w:left w:val="nil"/>
              <w:bottom w:val="single" w:sz="4" w:space="0" w:color="000000"/>
              <w:right w:val="single" w:sz="4" w:space="0" w:color="000000"/>
            </w:tcBorders>
            <w:shd w:val="clear" w:color="auto" w:fill="auto"/>
            <w:noWrap/>
            <w:vAlign w:val="center"/>
          </w:tcPr>
          <w:p w14:paraId="284388EE" w14:textId="599B28FE"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$64.79</w:t>
            </w:r>
          </w:p>
        </w:tc>
        <w:tc>
          <w:tcPr>
            <w:tcW w:w="864" w:type="dxa"/>
            <w:tcBorders>
              <w:top w:val="nil"/>
              <w:left w:val="nil"/>
              <w:bottom w:val="single" w:sz="4" w:space="0" w:color="000000"/>
              <w:right w:val="single" w:sz="4" w:space="0" w:color="000000"/>
            </w:tcBorders>
            <w:shd w:val="clear" w:color="auto" w:fill="auto"/>
            <w:noWrap/>
            <w:vAlign w:val="center"/>
          </w:tcPr>
          <w:p w14:paraId="41E8E555" w14:textId="4A0E3B10"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$65.43</w:t>
            </w:r>
          </w:p>
        </w:tc>
        <w:tc>
          <w:tcPr>
            <w:tcW w:w="810" w:type="dxa"/>
            <w:tcBorders>
              <w:top w:val="nil"/>
              <w:left w:val="nil"/>
              <w:bottom w:val="single" w:sz="4" w:space="0" w:color="000000"/>
              <w:right w:val="single" w:sz="12" w:space="0" w:color="000000"/>
            </w:tcBorders>
            <w:shd w:val="clear" w:color="auto" w:fill="auto"/>
            <w:noWrap/>
            <w:vAlign w:val="center"/>
          </w:tcPr>
          <w:p w14:paraId="1EB2C3AD" w14:textId="5CF0836B"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$66.31</w:t>
            </w:r>
          </w:p>
        </w:tc>
      </w:tr>
      <w:tr w:rsidR="00FB58BF" w:rsidRPr="00EE5714" w14:paraId="5C189466" w14:textId="77777777" w:rsidTr="003F3312">
        <w:trPr>
          <w:trHeight w:val="300"/>
        </w:trPr>
        <w:tc>
          <w:tcPr>
            <w:tcW w:w="1530" w:type="dxa"/>
            <w:tcBorders>
              <w:top w:val="nil"/>
              <w:left w:val="single" w:sz="8" w:space="0" w:color="000000"/>
              <w:bottom w:val="single" w:sz="4" w:space="0" w:color="000000"/>
              <w:right w:val="single" w:sz="12" w:space="0" w:color="000000"/>
            </w:tcBorders>
            <w:shd w:val="clear" w:color="auto" w:fill="auto"/>
            <w:noWrap/>
            <w:vAlign w:val="bottom"/>
            <w:hideMark/>
          </w:tcPr>
          <w:p w14:paraId="4513DE3F" w14:textId="77777777"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w:t>
            </w:r>
          </w:p>
        </w:tc>
        <w:tc>
          <w:tcPr>
            <w:tcW w:w="927" w:type="dxa"/>
            <w:tcBorders>
              <w:top w:val="nil"/>
              <w:left w:val="single" w:sz="12" w:space="0" w:color="000000"/>
              <w:bottom w:val="single" w:sz="4" w:space="0" w:color="000000"/>
              <w:right w:val="single" w:sz="4" w:space="0" w:color="000000"/>
            </w:tcBorders>
            <w:shd w:val="clear" w:color="auto" w:fill="auto"/>
            <w:noWrap/>
            <w:vAlign w:val="center"/>
          </w:tcPr>
          <w:p w14:paraId="2641F73F" w14:textId="281FC53D"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$14.96</w:t>
            </w:r>
          </w:p>
        </w:tc>
        <w:tc>
          <w:tcPr>
            <w:tcW w:w="927" w:type="dxa"/>
            <w:tcBorders>
              <w:top w:val="nil"/>
              <w:left w:val="nil"/>
              <w:bottom w:val="single" w:sz="4" w:space="0" w:color="000000"/>
              <w:right w:val="single" w:sz="4" w:space="0" w:color="000000"/>
            </w:tcBorders>
            <w:shd w:val="clear" w:color="auto" w:fill="auto"/>
            <w:noWrap/>
            <w:vAlign w:val="center"/>
          </w:tcPr>
          <w:p w14:paraId="4BB6F5FE" w14:textId="25B66975"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$18.88</w:t>
            </w:r>
          </w:p>
        </w:tc>
        <w:tc>
          <w:tcPr>
            <w:tcW w:w="927" w:type="dxa"/>
            <w:tcBorders>
              <w:top w:val="nil"/>
              <w:left w:val="nil"/>
              <w:bottom w:val="single" w:sz="4" w:space="0" w:color="000000"/>
              <w:right w:val="single" w:sz="4" w:space="0" w:color="000000"/>
            </w:tcBorders>
            <w:shd w:val="clear" w:color="auto" w:fill="auto"/>
            <w:noWrap/>
            <w:vAlign w:val="center"/>
          </w:tcPr>
          <w:p w14:paraId="4507DD67" w14:textId="16366F1A"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$23.46</w:t>
            </w:r>
          </w:p>
        </w:tc>
        <w:tc>
          <w:tcPr>
            <w:tcW w:w="927" w:type="dxa"/>
            <w:tcBorders>
              <w:top w:val="nil"/>
              <w:left w:val="nil"/>
              <w:bottom w:val="single" w:sz="4" w:space="0" w:color="000000"/>
              <w:right w:val="single" w:sz="4" w:space="0" w:color="000000"/>
            </w:tcBorders>
            <w:shd w:val="clear" w:color="auto" w:fill="auto"/>
            <w:noWrap/>
            <w:vAlign w:val="center"/>
          </w:tcPr>
          <w:p w14:paraId="59C580DF" w14:textId="58A2AC77"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$28.98</w:t>
            </w:r>
          </w:p>
        </w:tc>
        <w:tc>
          <w:tcPr>
            <w:tcW w:w="927" w:type="dxa"/>
            <w:tcBorders>
              <w:top w:val="single" w:sz="4" w:space="0" w:color="000000"/>
              <w:left w:val="nil"/>
              <w:bottom w:val="single" w:sz="4" w:space="0" w:color="000000"/>
              <w:right w:val="single" w:sz="4" w:space="0" w:color="auto"/>
            </w:tcBorders>
            <w:vAlign w:val="center"/>
          </w:tcPr>
          <w:p w14:paraId="08EDDDA8" w14:textId="0A0EEA41"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$43.07</w:t>
            </w:r>
          </w:p>
        </w:tc>
        <w:tc>
          <w:tcPr>
            <w:tcW w:w="927" w:type="dxa"/>
            <w:tcBorders>
              <w:top w:val="nil"/>
              <w:left w:val="single" w:sz="4" w:space="0" w:color="auto"/>
              <w:bottom w:val="single" w:sz="4" w:space="0" w:color="000000"/>
              <w:right w:val="single" w:sz="12" w:space="0" w:color="000000"/>
            </w:tcBorders>
            <w:shd w:val="clear" w:color="auto" w:fill="auto"/>
            <w:noWrap/>
            <w:vAlign w:val="center"/>
          </w:tcPr>
          <w:p w14:paraId="285D2610" w14:textId="0E209612"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$47.79</w:t>
            </w:r>
          </w:p>
        </w:tc>
        <w:tc>
          <w:tcPr>
            <w:tcW w:w="927" w:type="dxa"/>
            <w:tcBorders>
              <w:top w:val="nil"/>
              <w:left w:val="nil"/>
              <w:bottom w:val="single" w:sz="4" w:space="0" w:color="000000"/>
              <w:right w:val="single" w:sz="4" w:space="0" w:color="000000"/>
            </w:tcBorders>
            <w:shd w:val="clear" w:color="auto" w:fill="auto"/>
            <w:noWrap/>
            <w:vAlign w:val="center"/>
          </w:tcPr>
          <w:p w14:paraId="1889F7DA" w14:textId="079D0BD1"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$55.76</w:t>
            </w:r>
          </w:p>
        </w:tc>
        <w:tc>
          <w:tcPr>
            <w:tcW w:w="927" w:type="dxa"/>
            <w:tcBorders>
              <w:top w:val="nil"/>
              <w:left w:val="nil"/>
              <w:bottom w:val="single" w:sz="4" w:space="0" w:color="000000"/>
              <w:right w:val="single" w:sz="4" w:space="0" w:color="000000"/>
            </w:tcBorders>
            <w:shd w:val="clear" w:color="auto" w:fill="auto"/>
            <w:noWrap/>
            <w:vAlign w:val="center"/>
          </w:tcPr>
          <w:p w14:paraId="7FF616F8" w14:textId="20F1AFDD"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$67.36</w:t>
            </w:r>
          </w:p>
        </w:tc>
        <w:tc>
          <w:tcPr>
            <w:tcW w:w="864" w:type="dxa"/>
            <w:tcBorders>
              <w:top w:val="nil"/>
              <w:left w:val="nil"/>
              <w:bottom w:val="single" w:sz="4" w:space="0" w:color="000000"/>
              <w:right w:val="single" w:sz="4" w:space="0" w:color="000000"/>
            </w:tcBorders>
            <w:shd w:val="clear" w:color="auto" w:fill="auto"/>
            <w:noWrap/>
            <w:vAlign w:val="center"/>
          </w:tcPr>
          <w:p w14:paraId="1EDC31D0" w14:textId="2614EFA4"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$68.02</w:t>
            </w:r>
          </w:p>
        </w:tc>
        <w:tc>
          <w:tcPr>
            <w:tcW w:w="810" w:type="dxa"/>
            <w:tcBorders>
              <w:top w:val="nil"/>
              <w:left w:val="nil"/>
              <w:bottom w:val="single" w:sz="4" w:space="0" w:color="000000"/>
              <w:right w:val="single" w:sz="12" w:space="0" w:color="000000"/>
            </w:tcBorders>
            <w:shd w:val="clear" w:color="auto" w:fill="auto"/>
            <w:noWrap/>
            <w:vAlign w:val="center"/>
          </w:tcPr>
          <w:p w14:paraId="006FCD03" w14:textId="2FAF7299" w:rsidR="00FB58BF" w:rsidRPr="00EE5714" w:rsidRDefault="00FB58BF" w:rsidP="00FB58BF">
            <w:pPr>
              <w:keepNext/>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$68.93</w:t>
            </w:r>
          </w:p>
        </w:tc>
      </w:tr>
      <w:tr w:rsidR="00FB58BF" w:rsidRPr="00EE5714" w14:paraId="429C1AC7" w14:textId="77777777" w:rsidTr="003F3312">
        <w:trPr>
          <w:trHeight w:val="315"/>
        </w:trPr>
        <w:tc>
          <w:tcPr>
            <w:tcW w:w="1530" w:type="dxa"/>
            <w:tcBorders>
              <w:top w:val="nil"/>
              <w:left w:val="single" w:sz="8" w:space="0" w:color="000000"/>
              <w:bottom w:val="single" w:sz="8" w:space="0" w:color="000000"/>
              <w:right w:val="single" w:sz="12" w:space="0" w:color="000000"/>
            </w:tcBorders>
            <w:shd w:val="clear" w:color="auto" w:fill="auto"/>
            <w:noWrap/>
            <w:vAlign w:val="bottom"/>
            <w:hideMark/>
          </w:tcPr>
          <w:p w14:paraId="3602029F" w14:textId="77777777" w:rsidR="00FB58BF" w:rsidRPr="00EE5714" w:rsidRDefault="00FB58BF" w:rsidP="00FB58BF">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w:t>
            </w:r>
          </w:p>
        </w:tc>
        <w:tc>
          <w:tcPr>
            <w:tcW w:w="927" w:type="dxa"/>
            <w:tcBorders>
              <w:top w:val="nil"/>
              <w:left w:val="single" w:sz="12" w:space="0" w:color="000000"/>
              <w:bottom w:val="single" w:sz="12" w:space="0" w:color="000000"/>
              <w:right w:val="single" w:sz="4" w:space="0" w:color="000000"/>
            </w:tcBorders>
            <w:shd w:val="clear" w:color="auto" w:fill="auto"/>
            <w:noWrap/>
            <w:vAlign w:val="center"/>
          </w:tcPr>
          <w:p w14:paraId="062B4C7B" w14:textId="46F079F5" w:rsidR="00FB58BF" w:rsidRPr="00EE5714" w:rsidRDefault="00FB58BF" w:rsidP="00FB58BF">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$15.68</w:t>
            </w:r>
          </w:p>
        </w:tc>
        <w:tc>
          <w:tcPr>
            <w:tcW w:w="927" w:type="dxa"/>
            <w:tcBorders>
              <w:top w:val="nil"/>
              <w:left w:val="nil"/>
              <w:bottom w:val="single" w:sz="12" w:space="0" w:color="000000"/>
              <w:right w:val="single" w:sz="4" w:space="0" w:color="000000"/>
            </w:tcBorders>
            <w:shd w:val="clear" w:color="auto" w:fill="auto"/>
            <w:noWrap/>
            <w:vAlign w:val="center"/>
          </w:tcPr>
          <w:p w14:paraId="4621BF6F" w14:textId="599E8D8E" w:rsidR="00FB58BF" w:rsidRPr="00EE5714" w:rsidRDefault="00FB58BF" w:rsidP="00FB58BF">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$19.78</w:t>
            </w:r>
          </w:p>
        </w:tc>
        <w:tc>
          <w:tcPr>
            <w:tcW w:w="927" w:type="dxa"/>
            <w:tcBorders>
              <w:top w:val="nil"/>
              <w:left w:val="nil"/>
              <w:bottom w:val="single" w:sz="12" w:space="0" w:color="000000"/>
              <w:right w:val="single" w:sz="4" w:space="0" w:color="000000"/>
            </w:tcBorders>
            <w:shd w:val="clear" w:color="auto" w:fill="auto"/>
            <w:noWrap/>
            <w:vAlign w:val="center"/>
          </w:tcPr>
          <w:p w14:paraId="17B9DA5F" w14:textId="27B9855B" w:rsidR="00FB58BF" w:rsidRPr="00EE5714" w:rsidRDefault="00FB58BF" w:rsidP="00FB58BF">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$24.57</w:t>
            </w:r>
          </w:p>
        </w:tc>
        <w:tc>
          <w:tcPr>
            <w:tcW w:w="927" w:type="dxa"/>
            <w:tcBorders>
              <w:top w:val="nil"/>
              <w:left w:val="nil"/>
              <w:bottom w:val="single" w:sz="12" w:space="0" w:color="000000"/>
              <w:right w:val="single" w:sz="4" w:space="0" w:color="000000"/>
            </w:tcBorders>
            <w:shd w:val="clear" w:color="auto" w:fill="auto"/>
            <w:noWrap/>
            <w:vAlign w:val="center"/>
          </w:tcPr>
          <w:p w14:paraId="4FFB2835" w14:textId="41E066F5" w:rsidR="00FB58BF" w:rsidRPr="00EE5714" w:rsidRDefault="00FB58BF" w:rsidP="00FB58BF">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$30.36</w:t>
            </w:r>
          </w:p>
        </w:tc>
        <w:tc>
          <w:tcPr>
            <w:tcW w:w="927" w:type="dxa"/>
            <w:tcBorders>
              <w:top w:val="single" w:sz="4" w:space="0" w:color="000000"/>
              <w:left w:val="nil"/>
              <w:bottom w:val="single" w:sz="12" w:space="0" w:color="000000"/>
              <w:right w:val="single" w:sz="4" w:space="0" w:color="auto"/>
            </w:tcBorders>
            <w:vAlign w:val="center"/>
          </w:tcPr>
          <w:p w14:paraId="71424DD8" w14:textId="5326F781" w:rsidR="00FB58BF" w:rsidRPr="00EE5714" w:rsidRDefault="00FB58BF" w:rsidP="00FB58BF">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$45.12</w:t>
            </w:r>
          </w:p>
        </w:tc>
        <w:tc>
          <w:tcPr>
            <w:tcW w:w="927" w:type="dxa"/>
            <w:tcBorders>
              <w:top w:val="nil"/>
              <w:left w:val="single" w:sz="4" w:space="0" w:color="auto"/>
              <w:bottom w:val="single" w:sz="12" w:space="0" w:color="000000"/>
              <w:right w:val="single" w:sz="12" w:space="0" w:color="000000"/>
            </w:tcBorders>
            <w:shd w:val="clear" w:color="auto" w:fill="auto"/>
            <w:noWrap/>
            <w:vAlign w:val="center"/>
          </w:tcPr>
          <w:p w14:paraId="17B15A72" w14:textId="4C61B97E" w:rsidR="00FB58BF" w:rsidRPr="00EE5714" w:rsidRDefault="00FB58BF" w:rsidP="00FB58BF">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$50.07</w:t>
            </w:r>
          </w:p>
        </w:tc>
        <w:tc>
          <w:tcPr>
            <w:tcW w:w="927" w:type="dxa"/>
            <w:tcBorders>
              <w:top w:val="nil"/>
              <w:left w:val="nil"/>
              <w:bottom w:val="single" w:sz="12" w:space="0" w:color="000000"/>
              <w:right w:val="single" w:sz="4" w:space="0" w:color="000000"/>
            </w:tcBorders>
            <w:shd w:val="clear" w:color="auto" w:fill="auto"/>
            <w:noWrap/>
            <w:vAlign w:val="center"/>
          </w:tcPr>
          <w:p w14:paraId="09E78E60" w14:textId="4C62CFFA" w:rsidR="00FB58BF" w:rsidRPr="00EE5714" w:rsidRDefault="00FB58BF" w:rsidP="00FB58BF">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$58.41</w:t>
            </w:r>
          </w:p>
        </w:tc>
        <w:tc>
          <w:tcPr>
            <w:tcW w:w="927" w:type="dxa"/>
            <w:tcBorders>
              <w:top w:val="nil"/>
              <w:left w:val="nil"/>
              <w:bottom w:val="single" w:sz="12" w:space="0" w:color="000000"/>
              <w:right w:val="single" w:sz="4" w:space="0" w:color="000000"/>
            </w:tcBorders>
            <w:shd w:val="clear" w:color="auto" w:fill="auto"/>
            <w:noWrap/>
            <w:vAlign w:val="center"/>
          </w:tcPr>
          <w:p w14:paraId="134DACE1" w14:textId="500B4F35" w:rsidR="00FB58BF" w:rsidRPr="00EE5714" w:rsidRDefault="00FB58BF" w:rsidP="00FB58BF">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$70.57</w:t>
            </w:r>
          </w:p>
        </w:tc>
        <w:tc>
          <w:tcPr>
            <w:tcW w:w="864" w:type="dxa"/>
            <w:tcBorders>
              <w:top w:val="nil"/>
              <w:left w:val="nil"/>
              <w:bottom w:val="single" w:sz="12" w:space="0" w:color="000000"/>
              <w:right w:val="single" w:sz="4" w:space="0" w:color="000000"/>
            </w:tcBorders>
            <w:shd w:val="clear" w:color="auto" w:fill="auto"/>
            <w:noWrap/>
            <w:vAlign w:val="center"/>
          </w:tcPr>
          <w:p w14:paraId="25EDE977" w14:textId="2A4D77E5" w:rsidR="00FB58BF" w:rsidRPr="00EE5714" w:rsidRDefault="00FB58BF" w:rsidP="00FB58BF">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$71.26</w:t>
            </w:r>
          </w:p>
        </w:tc>
        <w:tc>
          <w:tcPr>
            <w:tcW w:w="810" w:type="dxa"/>
            <w:tcBorders>
              <w:top w:val="nil"/>
              <w:left w:val="nil"/>
              <w:bottom w:val="single" w:sz="12" w:space="0" w:color="000000"/>
              <w:right w:val="single" w:sz="12" w:space="0" w:color="000000"/>
            </w:tcBorders>
            <w:shd w:val="clear" w:color="auto" w:fill="auto"/>
            <w:noWrap/>
            <w:vAlign w:val="center"/>
          </w:tcPr>
          <w:p w14:paraId="332236C6" w14:textId="27C2464F" w:rsidR="00FB58BF" w:rsidRPr="00EE5714" w:rsidRDefault="00FB58BF" w:rsidP="00FB58BF">
            <w:pPr>
              <w:spacing w:after="0" w:line="240" w:lineRule="auto"/>
              <w:jc w:val="center"/>
              <w:rPr>
                <w:rFonts w:ascii="Calibri" w:eastAsia="Times New Roman" w:hAnsi="Calibri" w:cs="Calibri"/>
                <w:color w:val="000000"/>
                <w:sz w:val="21"/>
                <w:szCs w:val="21"/>
              </w:rPr>
            </w:pPr>
            <w:r w:rsidRPr="00EE5714">
              <w:rPr>
                <w:rFonts w:ascii="Calibri" w:hAnsi="Calibri" w:cs="Calibri"/>
                <w:sz w:val="21"/>
                <w:szCs w:val="21"/>
              </w:rPr>
              <w:t>$72.22</w:t>
            </w:r>
          </w:p>
        </w:tc>
      </w:tr>
    </w:tbl>
    <w:p w14:paraId="61109B0F" w14:textId="77777777" w:rsidR="00F303E0" w:rsidRDefault="00F303E0" w:rsidP="007D7A46">
      <w:pPr>
        <w:pStyle w:val="NoSpacing"/>
        <w:rPr>
          <w:rFonts w:cs="Times New Roman"/>
          <w:szCs w:val="26"/>
        </w:rPr>
      </w:pPr>
    </w:p>
    <w:p w14:paraId="4741BDFD" w14:textId="77777777" w:rsidR="00F536F0" w:rsidRPr="00EE5714" w:rsidRDefault="00F536F0" w:rsidP="007D7A46">
      <w:pPr>
        <w:pStyle w:val="NoSpacing"/>
        <w:rPr>
          <w:rFonts w:cs="Times New Roman"/>
          <w:szCs w:val="26"/>
        </w:rPr>
      </w:pPr>
    </w:p>
    <w:p w14:paraId="55196690" w14:textId="77777777" w:rsidR="00F303E0" w:rsidRPr="00EE5714" w:rsidRDefault="00F734A0" w:rsidP="007D7A46">
      <w:pPr>
        <w:pStyle w:val="NoSpacing"/>
        <w:keepNext/>
        <w:rPr>
          <w:rFonts w:cs="Times New Roman"/>
          <w:i/>
          <w:color w:val="000000" w:themeColor="text1"/>
          <w:szCs w:val="26"/>
        </w:rPr>
      </w:pPr>
      <w:bookmarkStart w:id="87" w:name="_Hlk526407088"/>
      <w:r w:rsidRPr="00EE5714">
        <w:rPr>
          <w:rFonts w:cs="Times New Roman"/>
          <w:i/>
          <w:color w:val="000000" w:themeColor="text1"/>
          <w:szCs w:val="26"/>
        </w:rPr>
        <w:t>Appendix 9</w:t>
      </w:r>
      <w:r w:rsidR="00F303E0" w:rsidRPr="00EE5714">
        <w:rPr>
          <w:rFonts w:cs="Times New Roman"/>
          <w:i/>
          <w:color w:val="000000" w:themeColor="text1"/>
          <w:szCs w:val="26"/>
        </w:rPr>
        <w:t xml:space="preserve">.G: Table 10-7 NGDCs Industry Cost per Non-CAP Residential Customer </w:t>
      </w:r>
    </w:p>
    <w:p w14:paraId="4A809387" w14:textId="26B49878" w:rsidR="00F303E0" w:rsidRPr="00EE5714" w:rsidRDefault="00F303E0" w:rsidP="007D7A46">
      <w:pPr>
        <w:pStyle w:val="NoSpacing"/>
        <w:keepNext/>
        <w:rPr>
          <w:rFonts w:cs="Times New Roman"/>
          <w:i/>
          <w:color w:val="000000" w:themeColor="text1"/>
          <w:szCs w:val="26"/>
        </w:rPr>
      </w:pPr>
      <w:r w:rsidRPr="00EE5714">
        <w:rPr>
          <w:rFonts w:cs="Times New Roman"/>
          <w:i/>
          <w:color w:val="000000" w:themeColor="text1"/>
          <w:szCs w:val="26"/>
        </w:rPr>
        <w:t xml:space="preserve">5-Year Forecasting </w:t>
      </w:r>
      <w:r w:rsidR="009E7755" w:rsidRPr="00EE5714">
        <w:rPr>
          <w:rFonts w:cs="Times New Roman"/>
          <w:i/>
          <w:color w:val="000000" w:themeColor="text1"/>
          <w:szCs w:val="26"/>
        </w:rPr>
        <w:t>w</w:t>
      </w:r>
      <w:r w:rsidRPr="00EE5714">
        <w:rPr>
          <w:rFonts w:cs="Times New Roman"/>
          <w:i/>
          <w:color w:val="000000" w:themeColor="text1"/>
          <w:szCs w:val="26"/>
        </w:rPr>
        <w:t xml:space="preserve">ith </w:t>
      </w:r>
      <w:r w:rsidR="00AF7316">
        <w:rPr>
          <w:rFonts w:cs="Times New Roman"/>
          <w:i/>
          <w:color w:val="000000" w:themeColor="text1"/>
          <w:szCs w:val="26"/>
        </w:rPr>
        <w:t>Cost</w:t>
      </w:r>
      <w:r w:rsidRPr="00EE5714">
        <w:rPr>
          <w:rFonts w:cs="Times New Roman"/>
          <w:i/>
          <w:color w:val="000000" w:themeColor="text1"/>
          <w:szCs w:val="26"/>
        </w:rPr>
        <w:t xml:space="preserve"> Adjustments 2017-2021</w:t>
      </w:r>
    </w:p>
    <w:bookmarkEnd w:id="87"/>
    <w:p w14:paraId="41A88D7E" w14:textId="77777777" w:rsidR="00F303E0" w:rsidRPr="00EE5714" w:rsidRDefault="00F303E0" w:rsidP="007D7A46">
      <w:pPr>
        <w:pStyle w:val="NoSpacing"/>
        <w:keepNext/>
        <w:rPr>
          <w:rFonts w:cs="Times New Roman"/>
          <w:szCs w:val="26"/>
        </w:rPr>
      </w:pPr>
    </w:p>
    <w:p w14:paraId="7A48E061" w14:textId="7EBCA937" w:rsidR="00F303E0" w:rsidRPr="00EE5714" w:rsidRDefault="00F734A0" w:rsidP="007D7A46">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1F5305" w:rsidRPr="00EE5714">
        <w:rPr>
          <w:rFonts w:cs="Times New Roman"/>
          <w:szCs w:val="26"/>
        </w:rPr>
        <w:t>G</w:t>
      </w:r>
      <w:r w:rsidR="00F303E0" w:rsidRPr="00EE5714">
        <w:rPr>
          <w:rFonts w:cs="Times New Roman"/>
          <w:szCs w:val="26"/>
        </w:rPr>
        <w:t xml:space="preserve">.1: </w:t>
      </w:r>
      <w:r w:rsidR="00F303E0" w:rsidRPr="00EE5714">
        <w:rPr>
          <w:rFonts w:eastAsia="Times New Roman" w:cs="Times New Roman"/>
          <w:b/>
          <w:color w:val="000000"/>
          <w:szCs w:val="26"/>
        </w:rPr>
        <w:t>NGDC Industry Forecasts</w:t>
      </w:r>
      <w:r w:rsidR="004475C6">
        <w:rPr>
          <w:rFonts w:eastAsia="Times New Roman" w:cs="Times New Roman"/>
          <w:b/>
          <w:color w:val="000000"/>
          <w:szCs w:val="26"/>
        </w:rPr>
        <w:t>: Costs</w:t>
      </w:r>
      <w:r w:rsidR="00F303E0" w:rsidRPr="00EE5714">
        <w:rPr>
          <w:rFonts w:eastAsia="Times New Roman" w:cs="Times New Roman"/>
          <w:b/>
          <w:color w:val="000000"/>
          <w:szCs w:val="26"/>
        </w:rPr>
        <w:t xml:space="preserve"> per Non-CAP Residential Customer with </w:t>
      </w:r>
      <w:r w:rsidR="00AF7316">
        <w:rPr>
          <w:rFonts w:eastAsia="Times New Roman" w:cs="Times New Roman"/>
          <w:b/>
          <w:color w:val="000000"/>
          <w:szCs w:val="26"/>
        </w:rPr>
        <w:t>Cost</w:t>
      </w:r>
      <w:r w:rsidR="00F303E0" w:rsidRPr="00EE5714">
        <w:rPr>
          <w:rFonts w:eastAsia="Times New Roman" w:cs="Times New Roman"/>
          <w:b/>
          <w:color w:val="000000"/>
          <w:szCs w:val="26"/>
        </w:rPr>
        <w:t xml:space="preserve"> Adjustments</w:t>
      </w:r>
    </w:p>
    <w:tbl>
      <w:tblPr>
        <w:tblW w:w="10620" w:type="dxa"/>
        <w:tblInd w:w="-640" w:type="dxa"/>
        <w:tblLayout w:type="fixed"/>
        <w:tblLook w:val="04A0" w:firstRow="1" w:lastRow="0" w:firstColumn="1" w:lastColumn="0" w:noHBand="0" w:noVBand="1"/>
      </w:tblPr>
      <w:tblGrid>
        <w:gridCol w:w="2734"/>
        <w:gridCol w:w="1632"/>
        <w:gridCol w:w="1631"/>
        <w:gridCol w:w="1631"/>
        <w:gridCol w:w="1631"/>
        <w:gridCol w:w="1361"/>
      </w:tblGrid>
      <w:tr w:rsidR="00F303E0" w:rsidRPr="00EE5714" w14:paraId="7993D6A9" w14:textId="77777777" w:rsidTr="00F045D8">
        <w:trPr>
          <w:trHeight w:val="385"/>
        </w:trPr>
        <w:tc>
          <w:tcPr>
            <w:tcW w:w="10620" w:type="dxa"/>
            <w:gridSpan w:val="6"/>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FBFBF" w:themeFill="background1" w:themeFillShade="BF"/>
            <w:noWrap/>
            <w:vAlign w:val="bottom"/>
            <w:hideMark/>
          </w:tcPr>
          <w:p w14:paraId="58D4DFA0" w14:textId="77777777" w:rsidR="00F303E0" w:rsidRPr="00EE5714" w:rsidRDefault="00F303E0" w:rsidP="007D7A46">
            <w:pPr>
              <w:keepNext/>
              <w:keepLines/>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NGDC Industry Forecasts per Non-CAP Residential Customer with CAP Enrollment Adjustments</w:t>
            </w:r>
          </w:p>
        </w:tc>
      </w:tr>
      <w:tr w:rsidR="00F303E0" w:rsidRPr="00EE5714" w14:paraId="680D7B31" w14:textId="77777777" w:rsidTr="00F045D8">
        <w:trPr>
          <w:trHeight w:val="300"/>
        </w:trPr>
        <w:tc>
          <w:tcPr>
            <w:tcW w:w="2734" w:type="dxa"/>
            <w:tcBorders>
              <w:top w:val="nil"/>
              <w:left w:val="single" w:sz="8" w:space="0" w:color="000000" w:themeColor="text1"/>
              <w:bottom w:val="single" w:sz="4" w:space="0" w:color="000000" w:themeColor="text1"/>
              <w:right w:val="single" w:sz="12" w:space="0" w:color="000000" w:themeColor="text1"/>
            </w:tcBorders>
            <w:shd w:val="clear" w:color="auto" w:fill="F2F2F2" w:themeFill="background1" w:themeFillShade="F2"/>
            <w:noWrap/>
            <w:vAlign w:val="bottom"/>
            <w:hideMark/>
          </w:tcPr>
          <w:p w14:paraId="379F13EC" w14:textId="77777777" w:rsidR="00F303E0" w:rsidRPr="00EE5714" w:rsidRDefault="00F303E0" w:rsidP="007D7A46">
            <w:pPr>
              <w:keepNext/>
              <w:keepLines/>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1632" w:type="dxa"/>
            <w:tcBorders>
              <w:top w:val="nil"/>
              <w:left w:val="single" w:sz="12" w:space="0" w:color="000000" w:themeColor="text1"/>
              <w:bottom w:val="single" w:sz="4" w:space="0" w:color="000000" w:themeColor="text1"/>
              <w:right w:val="single" w:sz="4" w:space="0" w:color="000000" w:themeColor="text1"/>
            </w:tcBorders>
            <w:shd w:val="clear" w:color="auto" w:fill="F2F2F2" w:themeFill="background1" w:themeFillShade="F2"/>
            <w:noWrap/>
            <w:hideMark/>
          </w:tcPr>
          <w:p w14:paraId="6CCC0864" w14:textId="7781F3F3" w:rsidR="00F303E0" w:rsidRPr="00EE5714" w:rsidRDefault="00F303E0" w:rsidP="007D7A46">
            <w:pPr>
              <w:keepNext/>
              <w:keepLines/>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r w:rsidR="00744258">
              <w:rPr>
                <w:rFonts w:ascii="Calibri" w:eastAsia="Times New Roman" w:hAnsi="Calibri" w:cs="Calibri"/>
                <w:b/>
                <w:bCs/>
                <w:iCs/>
                <w:color w:val="000000"/>
              </w:rPr>
              <w:t>*</w:t>
            </w:r>
          </w:p>
        </w:tc>
        <w:tc>
          <w:tcPr>
            <w:tcW w:w="1631" w:type="dxa"/>
            <w:tcBorders>
              <w:top w:val="nil"/>
              <w:left w:val="nil"/>
              <w:bottom w:val="single" w:sz="4" w:space="0" w:color="000000" w:themeColor="text1"/>
              <w:right w:val="single" w:sz="4" w:space="0" w:color="000000" w:themeColor="text1"/>
            </w:tcBorders>
            <w:shd w:val="clear" w:color="auto" w:fill="F2F2F2" w:themeFill="background1" w:themeFillShade="F2"/>
            <w:noWrap/>
            <w:hideMark/>
          </w:tcPr>
          <w:p w14:paraId="6A6AE55A" w14:textId="77777777" w:rsidR="00F303E0" w:rsidRPr="00EE5714" w:rsidRDefault="00F303E0" w:rsidP="007D7A46">
            <w:pPr>
              <w:keepNext/>
              <w:keepLines/>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1631" w:type="dxa"/>
            <w:tcBorders>
              <w:top w:val="nil"/>
              <w:left w:val="nil"/>
              <w:bottom w:val="single" w:sz="4" w:space="0" w:color="000000" w:themeColor="text1"/>
              <w:right w:val="single" w:sz="4" w:space="0" w:color="000000" w:themeColor="text1"/>
            </w:tcBorders>
            <w:shd w:val="clear" w:color="auto" w:fill="F2F2F2" w:themeFill="background1" w:themeFillShade="F2"/>
            <w:noWrap/>
            <w:hideMark/>
          </w:tcPr>
          <w:p w14:paraId="21EDA5CF" w14:textId="77777777" w:rsidR="00F303E0" w:rsidRPr="00EE5714" w:rsidRDefault="00F303E0" w:rsidP="007D7A46">
            <w:pPr>
              <w:keepNext/>
              <w:keepLines/>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1631" w:type="dxa"/>
            <w:tcBorders>
              <w:top w:val="nil"/>
              <w:left w:val="nil"/>
              <w:bottom w:val="single" w:sz="4" w:space="0" w:color="000000" w:themeColor="text1"/>
              <w:right w:val="single" w:sz="4" w:space="0" w:color="000000" w:themeColor="text1"/>
            </w:tcBorders>
            <w:shd w:val="clear" w:color="auto" w:fill="F2F2F2" w:themeFill="background1" w:themeFillShade="F2"/>
            <w:noWrap/>
            <w:hideMark/>
          </w:tcPr>
          <w:p w14:paraId="34FEB032" w14:textId="77777777" w:rsidR="00F303E0" w:rsidRPr="00EE5714" w:rsidRDefault="00F303E0" w:rsidP="007D7A46">
            <w:pPr>
              <w:keepNext/>
              <w:keepLines/>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1361" w:type="dxa"/>
            <w:tcBorders>
              <w:top w:val="nil"/>
              <w:left w:val="nil"/>
              <w:bottom w:val="single" w:sz="4" w:space="0" w:color="000000" w:themeColor="text1"/>
              <w:right w:val="single" w:sz="8" w:space="0" w:color="000000" w:themeColor="text1"/>
            </w:tcBorders>
            <w:shd w:val="clear" w:color="auto" w:fill="F2F2F2" w:themeFill="background1" w:themeFillShade="F2"/>
            <w:noWrap/>
            <w:hideMark/>
          </w:tcPr>
          <w:p w14:paraId="29BA3845" w14:textId="77777777" w:rsidR="00F303E0" w:rsidRPr="00EE5714" w:rsidRDefault="00F303E0" w:rsidP="007D7A46">
            <w:pPr>
              <w:keepNext/>
              <w:keepLines/>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F303E0" w:rsidRPr="00EE5714" w14:paraId="04176383" w14:textId="77777777" w:rsidTr="00F045D8">
        <w:trPr>
          <w:trHeight w:val="300"/>
        </w:trPr>
        <w:tc>
          <w:tcPr>
            <w:tcW w:w="2734"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683BF59E" w14:textId="77777777"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-10%</w:t>
            </w:r>
          </w:p>
        </w:tc>
        <w:tc>
          <w:tcPr>
            <w:tcW w:w="1632"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5F4AA10A" w14:textId="41A8F845"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$24.79</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4D10D306" w14:textId="1146897B"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$24.16</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197C7795" w14:textId="7251D1EA"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$28.07</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57043FE8" w14:textId="28B12BE4"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$28.52</w:t>
            </w:r>
          </w:p>
        </w:tc>
        <w:tc>
          <w:tcPr>
            <w:tcW w:w="1361" w:type="dxa"/>
            <w:tcBorders>
              <w:top w:val="nil"/>
              <w:left w:val="nil"/>
              <w:bottom w:val="single" w:sz="4" w:space="0" w:color="000000" w:themeColor="text1"/>
              <w:right w:val="single" w:sz="8" w:space="0" w:color="000000" w:themeColor="text1"/>
            </w:tcBorders>
            <w:shd w:val="clear" w:color="auto" w:fill="auto"/>
            <w:noWrap/>
            <w:vAlign w:val="center"/>
          </w:tcPr>
          <w:p w14:paraId="59148AA3" w14:textId="40FEB0E3"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$28.19</w:t>
            </w:r>
          </w:p>
        </w:tc>
      </w:tr>
      <w:tr w:rsidR="00F303E0" w:rsidRPr="00EE5714" w14:paraId="6A086B01" w14:textId="77777777" w:rsidTr="00F045D8">
        <w:trPr>
          <w:trHeight w:val="300"/>
        </w:trPr>
        <w:tc>
          <w:tcPr>
            <w:tcW w:w="2734"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10515955" w14:textId="77777777"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w:t>
            </w:r>
          </w:p>
        </w:tc>
        <w:tc>
          <w:tcPr>
            <w:tcW w:w="1632"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1BDCC2F6" w14:textId="648DE864"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$26.17</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7F3009DE" w14:textId="493470A5"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$25.50</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70F773D2" w14:textId="3422A4E5"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$29.63</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602327F6" w14:textId="23142A66"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$29.80</w:t>
            </w:r>
          </w:p>
        </w:tc>
        <w:tc>
          <w:tcPr>
            <w:tcW w:w="1361" w:type="dxa"/>
            <w:tcBorders>
              <w:top w:val="nil"/>
              <w:left w:val="nil"/>
              <w:bottom w:val="single" w:sz="4" w:space="0" w:color="000000" w:themeColor="text1"/>
              <w:right w:val="single" w:sz="8" w:space="0" w:color="000000" w:themeColor="text1"/>
            </w:tcBorders>
            <w:shd w:val="clear" w:color="auto" w:fill="auto"/>
            <w:noWrap/>
            <w:vAlign w:val="center"/>
          </w:tcPr>
          <w:p w14:paraId="3FC0FF21" w14:textId="30C08D00"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$29.76</w:t>
            </w:r>
          </w:p>
        </w:tc>
      </w:tr>
      <w:tr w:rsidR="00F303E0" w:rsidRPr="00EE5714" w14:paraId="10B53DDF" w14:textId="77777777" w:rsidTr="00F045D8">
        <w:trPr>
          <w:trHeight w:val="300"/>
        </w:trPr>
        <w:tc>
          <w:tcPr>
            <w:tcW w:w="2734"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5FFDF348" w14:textId="77777777"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-1%</w:t>
            </w:r>
          </w:p>
        </w:tc>
        <w:tc>
          <w:tcPr>
            <w:tcW w:w="1632"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2C6AFCE8" w14:textId="2FB4449C"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$27.27</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1F750B67" w14:textId="4DEDAE5B"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$26.58</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68432DF4" w14:textId="483B6C83"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$30.88</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7446EB0A" w14:textId="7F36573B"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$31.05</w:t>
            </w:r>
          </w:p>
        </w:tc>
        <w:tc>
          <w:tcPr>
            <w:tcW w:w="1361" w:type="dxa"/>
            <w:tcBorders>
              <w:top w:val="nil"/>
              <w:left w:val="nil"/>
              <w:bottom w:val="single" w:sz="4" w:space="0" w:color="000000" w:themeColor="text1"/>
              <w:right w:val="single" w:sz="8" w:space="0" w:color="000000" w:themeColor="text1"/>
            </w:tcBorders>
            <w:shd w:val="clear" w:color="auto" w:fill="auto"/>
            <w:noWrap/>
            <w:vAlign w:val="center"/>
          </w:tcPr>
          <w:p w14:paraId="5FB3D312" w14:textId="2C87A088"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$31.01</w:t>
            </w:r>
          </w:p>
        </w:tc>
      </w:tr>
      <w:tr w:rsidR="00F303E0" w:rsidRPr="00EE5714" w14:paraId="580159FD" w14:textId="77777777" w:rsidTr="00F045D8">
        <w:trPr>
          <w:trHeight w:val="300"/>
        </w:trPr>
        <w:tc>
          <w:tcPr>
            <w:tcW w:w="2734"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14134FCF" w14:textId="77777777"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1%</w:t>
            </w:r>
          </w:p>
        </w:tc>
        <w:tc>
          <w:tcPr>
            <w:tcW w:w="1632"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43E969BA" w14:textId="6530E3F4"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$27.82</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6C89E0E1" w14:textId="72390686"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$27.11</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00850F8E" w14:textId="1EC032B8"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$31.50</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0BB258C9" w14:textId="291993AF"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$31.51</w:t>
            </w:r>
          </w:p>
        </w:tc>
        <w:tc>
          <w:tcPr>
            <w:tcW w:w="1361" w:type="dxa"/>
            <w:tcBorders>
              <w:top w:val="nil"/>
              <w:left w:val="nil"/>
              <w:bottom w:val="single" w:sz="4" w:space="0" w:color="000000" w:themeColor="text1"/>
              <w:right w:val="single" w:sz="8" w:space="0" w:color="000000" w:themeColor="text1"/>
            </w:tcBorders>
            <w:shd w:val="clear" w:color="auto" w:fill="auto"/>
            <w:noWrap/>
            <w:vAlign w:val="center"/>
          </w:tcPr>
          <w:p w14:paraId="5404D237" w14:textId="28601DE9"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$31.46</w:t>
            </w:r>
          </w:p>
        </w:tc>
      </w:tr>
      <w:tr w:rsidR="00F303E0" w:rsidRPr="00EE5714" w14:paraId="63E14B3E" w14:textId="77777777" w:rsidTr="00F045D8">
        <w:trPr>
          <w:trHeight w:val="300"/>
        </w:trPr>
        <w:tc>
          <w:tcPr>
            <w:tcW w:w="2734"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46E62483" w14:textId="77777777"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w:t>
            </w:r>
          </w:p>
        </w:tc>
        <w:tc>
          <w:tcPr>
            <w:tcW w:w="1632"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06139B1F" w14:textId="3221F7CF"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$28.92</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3932AC75" w14:textId="10A9CD1D"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$28.19</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680EE72F" w14:textId="2CB81E55"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$32.75</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1EC7D862" w14:textId="7F1C6D21"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$32.78</w:t>
            </w:r>
          </w:p>
        </w:tc>
        <w:tc>
          <w:tcPr>
            <w:tcW w:w="1361" w:type="dxa"/>
            <w:tcBorders>
              <w:top w:val="nil"/>
              <w:left w:val="nil"/>
              <w:bottom w:val="single" w:sz="4" w:space="0" w:color="000000" w:themeColor="text1"/>
              <w:right w:val="single" w:sz="8" w:space="0" w:color="000000" w:themeColor="text1"/>
            </w:tcBorders>
            <w:shd w:val="clear" w:color="auto" w:fill="auto"/>
            <w:noWrap/>
            <w:vAlign w:val="center"/>
          </w:tcPr>
          <w:p w14:paraId="73C4E710" w14:textId="333056F5" w:rsidR="00F303E0" w:rsidRPr="00EE5714" w:rsidRDefault="362F9E90" w:rsidP="362F9E90">
            <w:pPr>
              <w:keepNext/>
              <w:keepLines/>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$32.73</w:t>
            </w:r>
          </w:p>
        </w:tc>
      </w:tr>
      <w:tr w:rsidR="00F303E0" w:rsidRPr="00EE5714" w14:paraId="1F2ADC2B" w14:textId="77777777" w:rsidTr="00F045D8">
        <w:trPr>
          <w:trHeight w:val="315"/>
        </w:trPr>
        <w:tc>
          <w:tcPr>
            <w:tcW w:w="2734" w:type="dxa"/>
            <w:tcBorders>
              <w:top w:val="nil"/>
              <w:left w:val="single" w:sz="8" w:space="0" w:color="000000" w:themeColor="text1"/>
              <w:bottom w:val="single" w:sz="8" w:space="0" w:color="000000" w:themeColor="text1"/>
              <w:right w:val="single" w:sz="12" w:space="0" w:color="000000" w:themeColor="text1"/>
            </w:tcBorders>
            <w:shd w:val="clear" w:color="auto" w:fill="auto"/>
            <w:noWrap/>
            <w:vAlign w:val="bottom"/>
            <w:hideMark/>
          </w:tcPr>
          <w:p w14:paraId="5510823B" w14:textId="77777777" w:rsidR="00F303E0"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10%</w:t>
            </w:r>
          </w:p>
        </w:tc>
        <w:tc>
          <w:tcPr>
            <w:tcW w:w="1632" w:type="dxa"/>
            <w:tcBorders>
              <w:top w:val="nil"/>
              <w:left w:val="single" w:sz="12" w:space="0" w:color="000000" w:themeColor="text1"/>
              <w:bottom w:val="single" w:sz="8" w:space="0" w:color="000000" w:themeColor="text1"/>
              <w:right w:val="single" w:sz="4" w:space="0" w:color="000000" w:themeColor="text1"/>
            </w:tcBorders>
            <w:shd w:val="clear" w:color="auto" w:fill="auto"/>
            <w:noWrap/>
            <w:vAlign w:val="center"/>
          </w:tcPr>
          <w:p w14:paraId="7561032C" w14:textId="37A6B9FB" w:rsidR="00F303E0"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$29.89</w:t>
            </w:r>
          </w:p>
        </w:tc>
        <w:tc>
          <w:tcPr>
            <w:tcW w:w="1631" w:type="dxa"/>
            <w:tcBorders>
              <w:top w:val="nil"/>
              <w:left w:val="nil"/>
              <w:bottom w:val="single" w:sz="8" w:space="0" w:color="000000" w:themeColor="text1"/>
              <w:right w:val="single" w:sz="4" w:space="0" w:color="000000" w:themeColor="text1"/>
            </w:tcBorders>
            <w:shd w:val="clear" w:color="auto" w:fill="auto"/>
            <w:noWrap/>
            <w:vAlign w:val="center"/>
          </w:tcPr>
          <w:p w14:paraId="25C3A4D9" w14:textId="7808620C" w:rsidR="00F303E0"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$29.27</w:t>
            </w:r>
          </w:p>
        </w:tc>
        <w:tc>
          <w:tcPr>
            <w:tcW w:w="1631" w:type="dxa"/>
            <w:tcBorders>
              <w:top w:val="nil"/>
              <w:left w:val="nil"/>
              <w:bottom w:val="single" w:sz="8" w:space="0" w:color="000000" w:themeColor="text1"/>
              <w:right w:val="single" w:sz="4" w:space="0" w:color="000000" w:themeColor="text1"/>
            </w:tcBorders>
            <w:shd w:val="clear" w:color="auto" w:fill="auto"/>
            <w:noWrap/>
            <w:vAlign w:val="center"/>
          </w:tcPr>
          <w:p w14:paraId="5D97E808" w14:textId="424F5B04" w:rsidR="00F303E0"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$33.88</w:t>
            </w:r>
          </w:p>
        </w:tc>
        <w:tc>
          <w:tcPr>
            <w:tcW w:w="1631" w:type="dxa"/>
            <w:tcBorders>
              <w:top w:val="nil"/>
              <w:left w:val="nil"/>
              <w:bottom w:val="single" w:sz="8" w:space="0" w:color="000000" w:themeColor="text1"/>
              <w:right w:val="single" w:sz="4" w:space="0" w:color="000000" w:themeColor="text1"/>
            </w:tcBorders>
            <w:shd w:val="clear" w:color="auto" w:fill="auto"/>
            <w:noWrap/>
            <w:vAlign w:val="center"/>
          </w:tcPr>
          <w:p w14:paraId="27AD5486" w14:textId="14C12B32" w:rsidR="00F303E0"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$33.92</w:t>
            </w:r>
          </w:p>
        </w:tc>
        <w:tc>
          <w:tcPr>
            <w:tcW w:w="1361" w:type="dxa"/>
            <w:tcBorders>
              <w:top w:val="nil"/>
              <w:left w:val="nil"/>
              <w:bottom w:val="single" w:sz="8" w:space="0" w:color="000000" w:themeColor="text1"/>
              <w:right w:val="single" w:sz="8" w:space="0" w:color="000000" w:themeColor="text1"/>
            </w:tcBorders>
            <w:shd w:val="clear" w:color="auto" w:fill="auto"/>
            <w:noWrap/>
            <w:vAlign w:val="center"/>
          </w:tcPr>
          <w:p w14:paraId="3F905572" w14:textId="6C782929" w:rsidR="00F303E0"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$33.85</w:t>
            </w:r>
          </w:p>
        </w:tc>
      </w:tr>
    </w:tbl>
    <w:p w14:paraId="4A4D2AB9" w14:textId="7885030F" w:rsidR="00F303E0" w:rsidRPr="00940D77" w:rsidRDefault="00744258" w:rsidP="00500E02">
      <w:pPr>
        <w:pStyle w:val="NoSpacing"/>
        <w:rPr>
          <w:rFonts w:cs="Times New Roman"/>
        </w:rPr>
      </w:pPr>
      <w:r w:rsidRPr="00B57A34">
        <w:rPr>
          <w:rFonts w:cs="Times New Roman"/>
        </w:rPr>
        <w:t>*</w:t>
      </w:r>
      <w:r w:rsidR="00234DF4" w:rsidRPr="003C195C">
        <w:rPr>
          <w:rFonts w:cs="Times New Roman"/>
        </w:rPr>
        <w:t xml:space="preserve">2017 </w:t>
      </w:r>
      <w:r w:rsidR="006F1574" w:rsidRPr="00771BBA">
        <w:rPr>
          <w:rFonts w:cs="Times New Roman"/>
        </w:rPr>
        <w:t xml:space="preserve">actual </w:t>
      </w:r>
      <w:r w:rsidR="00234DF4" w:rsidRPr="00940D77">
        <w:rPr>
          <w:rFonts w:cs="Times New Roman"/>
        </w:rPr>
        <w:t>data</w:t>
      </w:r>
      <w:r w:rsidRPr="00940D77">
        <w:rPr>
          <w:rFonts w:cs="Times New Roman"/>
        </w:rPr>
        <w:t xml:space="preserve"> </w:t>
      </w:r>
      <w:r w:rsidR="005A444E" w:rsidRPr="00940D77">
        <w:rPr>
          <w:rFonts w:cs="Times New Roman"/>
        </w:rPr>
        <w:t>from USR</w:t>
      </w:r>
      <w:r w:rsidR="00234DF4" w:rsidRPr="00940D77">
        <w:rPr>
          <w:rFonts w:cs="Times New Roman"/>
        </w:rPr>
        <w:t xml:space="preserve"> </w:t>
      </w:r>
    </w:p>
    <w:p w14:paraId="0D6CD187" w14:textId="77777777" w:rsidR="00F303E0" w:rsidRDefault="00F303E0" w:rsidP="007D7A46">
      <w:pPr>
        <w:pStyle w:val="NoSpacing"/>
        <w:rPr>
          <w:rFonts w:cs="Times New Roman"/>
          <w:szCs w:val="26"/>
        </w:rPr>
      </w:pPr>
    </w:p>
    <w:p w14:paraId="4D38EBDB" w14:textId="77777777" w:rsidR="002931D8" w:rsidRPr="00EE5714" w:rsidRDefault="002931D8" w:rsidP="007D7A46">
      <w:pPr>
        <w:pStyle w:val="NoSpacing"/>
        <w:rPr>
          <w:rFonts w:cs="Times New Roman"/>
          <w:szCs w:val="26"/>
        </w:rPr>
      </w:pPr>
    </w:p>
    <w:p w14:paraId="22AEE51D" w14:textId="5B367F7D" w:rsidR="00F303E0" w:rsidRPr="00EE5714" w:rsidRDefault="00F734A0" w:rsidP="007D7A46">
      <w:pPr>
        <w:pStyle w:val="NoSpacing"/>
        <w:keepNext/>
        <w:rPr>
          <w:rFonts w:cs="Times New Roman"/>
          <w:i/>
          <w:color w:val="000000" w:themeColor="text1"/>
          <w:szCs w:val="26"/>
        </w:rPr>
      </w:pPr>
      <w:r w:rsidRPr="00EE5714">
        <w:rPr>
          <w:rFonts w:cs="Times New Roman"/>
          <w:i/>
          <w:color w:val="000000" w:themeColor="text1"/>
          <w:szCs w:val="26"/>
        </w:rPr>
        <w:t>Appendix 9</w:t>
      </w:r>
      <w:r w:rsidR="00F303E0" w:rsidRPr="00EE5714">
        <w:rPr>
          <w:rFonts w:cs="Times New Roman"/>
          <w:i/>
          <w:color w:val="000000" w:themeColor="text1"/>
          <w:szCs w:val="26"/>
        </w:rPr>
        <w:t>.</w:t>
      </w:r>
      <w:r w:rsidR="001F5305" w:rsidRPr="00EE5714">
        <w:rPr>
          <w:rFonts w:cs="Times New Roman"/>
          <w:i/>
          <w:color w:val="000000" w:themeColor="text1"/>
          <w:szCs w:val="26"/>
        </w:rPr>
        <w:t>H</w:t>
      </w:r>
      <w:r w:rsidR="00F303E0" w:rsidRPr="00EE5714">
        <w:rPr>
          <w:rFonts w:cs="Times New Roman"/>
          <w:i/>
          <w:color w:val="000000" w:themeColor="text1"/>
          <w:szCs w:val="26"/>
        </w:rPr>
        <w:t xml:space="preserve">: Table 10-8 EDCs Industry Cost per Non-CAP Residential Customer </w:t>
      </w:r>
    </w:p>
    <w:p w14:paraId="2A983E70" w14:textId="66DEEC78" w:rsidR="00F303E0" w:rsidRPr="00EE5714" w:rsidRDefault="00F303E0" w:rsidP="007D7A46">
      <w:pPr>
        <w:pStyle w:val="NoSpacing"/>
        <w:keepNext/>
        <w:rPr>
          <w:rFonts w:cs="Times New Roman"/>
          <w:i/>
          <w:color w:val="000000" w:themeColor="text1"/>
          <w:szCs w:val="26"/>
        </w:rPr>
      </w:pPr>
      <w:r w:rsidRPr="00EE5714">
        <w:rPr>
          <w:rFonts w:cs="Times New Roman"/>
          <w:i/>
          <w:color w:val="000000" w:themeColor="text1"/>
          <w:szCs w:val="26"/>
        </w:rPr>
        <w:t xml:space="preserve">5-Year Forecasting </w:t>
      </w:r>
      <w:r w:rsidR="009E7755" w:rsidRPr="00EE5714">
        <w:rPr>
          <w:rFonts w:cs="Times New Roman"/>
          <w:i/>
          <w:color w:val="000000" w:themeColor="text1"/>
          <w:szCs w:val="26"/>
        </w:rPr>
        <w:t>w</w:t>
      </w:r>
      <w:r w:rsidRPr="00EE5714">
        <w:rPr>
          <w:rFonts w:cs="Times New Roman"/>
          <w:i/>
          <w:color w:val="000000" w:themeColor="text1"/>
          <w:szCs w:val="26"/>
        </w:rPr>
        <w:t>ith C</w:t>
      </w:r>
      <w:r w:rsidR="00AF7316">
        <w:rPr>
          <w:rFonts w:cs="Times New Roman"/>
          <w:i/>
          <w:color w:val="000000" w:themeColor="text1"/>
          <w:szCs w:val="26"/>
        </w:rPr>
        <w:t>ost</w:t>
      </w:r>
      <w:r w:rsidRPr="00EE5714">
        <w:rPr>
          <w:rFonts w:cs="Times New Roman"/>
          <w:i/>
          <w:color w:val="000000" w:themeColor="text1"/>
          <w:szCs w:val="26"/>
        </w:rPr>
        <w:t xml:space="preserve"> Adjustments 2017-2021</w:t>
      </w:r>
    </w:p>
    <w:p w14:paraId="2DA00B4E" w14:textId="77777777" w:rsidR="00F303E0" w:rsidRPr="00EE5714" w:rsidRDefault="00F303E0" w:rsidP="007D7A46">
      <w:pPr>
        <w:pStyle w:val="NoSpacing"/>
        <w:keepNext/>
        <w:rPr>
          <w:rFonts w:cs="Times New Roman"/>
          <w:i/>
          <w:color w:val="000000" w:themeColor="text1"/>
          <w:szCs w:val="26"/>
        </w:rPr>
      </w:pPr>
    </w:p>
    <w:p w14:paraId="6FDE8726" w14:textId="38F73518" w:rsidR="00F303E0" w:rsidRPr="00EE5714" w:rsidRDefault="00F734A0" w:rsidP="007D7A46">
      <w:pPr>
        <w:pStyle w:val="NoSpacing"/>
        <w:keepNext/>
        <w:rPr>
          <w:rFonts w:cs="Times New Roman"/>
          <w:color w:val="000000" w:themeColor="text1"/>
          <w:szCs w:val="26"/>
        </w:rPr>
      </w:pPr>
      <w:r w:rsidRPr="00EE5714">
        <w:rPr>
          <w:rFonts w:cs="Times New Roman"/>
          <w:color w:val="000000" w:themeColor="text1"/>
          <w:szCs w:val="26"/>
        </w:rPr>
        <w:t>Appendix 9</w:t>
      </w:r>
      <w:r w:rsidR="00F303E0" w:rsidRPr="00EE5714">
        <w:rPr>
          <w:rFonts w:cs="Times New Roman"/>
          <w:color w:val="000000" w:themeColor="text1"/>
          <w:szCs w:val="26"/>
        </w:rPr>
        <w:t>.</w:t>
      </w:r>
      <w:r w:rsidR="001F5305" w:rsidRPr="00EE5714">
        <w:rPr>
          <w:rFonts w:cs="Times New Roman"/>
          <w:color w:val="000000" w:themeColor="text1"/>
          <w:szCs w:val="26"/>
        </w:rPr>
        <w:t>H</w:t>
      </w:r>
      <w:r w:rsidR="00F303E0" w:rsidRPr="00EE5714">
        <w:rPr>
          <w:rFonts w:cs="Times New Roman"/>
          <w:color w:val="000000" w:themeColor="text1"/>
          <w:szCs w:val="26"/>
        </w:rPr>
        <w:t xml:space="preserve">.1: </w:t>
      </w:r>
      <w:r w:rsidR="00F303E0" w:rsidRPr="00EE5714">
        <w:rPr>
          <w:rFonts w:eastAsia="Times New Roman" w:cs="Times New Roman"/>
          <w:b/>
          <w:color w:val="000000"/>
          <w:szCs w:val="26"/>
        </w:rPr>
        <w:t>EDC Industry Forecasts</w:t>
      </w:r>
      <w:r w:rsidR="00784D94">
        <w:rPr>
          <w:rFonts w:eastAsia="Times New Roman" w:cs="Times New Roman"/>
          <w:b/>
          <w:color w:val="000000"/>
          <w:szCs w:val="26"/>
        </w:rPr>
        <w:t>: Costs</w:t>
      </w:r>
      <w:r w:rsidR="00F303E0" w:rsidRPr="00EE5714">
        <w:rPr>
          <w:rFonts w:eastAsia="Times New Roman" w:cs="Times New Roman"/>
          <w:b/>
          <w:color w:val="000000"/>
          <w:szCs w:val="26"/>
        </w:rPr>
        <w:t xml:space="preserve"> per Non-CAP Residential Customer with </w:t>
      </w:r>
      <w:r w:rsidR="00AF7316">
        <w:rPr>
          <w:rFonts w:eastAsia="Times New Roman" w:cs="Times New Roman"/>
          <w:b/>
          <w:color w:val="000000"/>
          <w:szCs w:val="26"/>
        </w:rPr>
        <w:t>Cost</w:t>
      </w:r>
      <w:r w:rsidR="00F303E0" w:rsidRPr="00EE5714">
        <w:rPr>
          <w:rFonts w:eastAsia="Times New Roman" w:cs="Times New Roman"/>
          <w:b/>
          <w:color w:val="000000"/>
          <w:szCs w:val="26"/>
        </w:rPr>
        <w:t xml:space="preserve"> Adjustment</w:t>
      </w:r>
      <w:r w:rsidR="00AF7316">
        <w:rPr>
          <w:rFonts w:eastAsia="Times New Roman" w:cs="Times New Roman"/>
          <w:b/>
          <w:color w:val="000000"/>
          <w:szCs w:val="26"/>
        </w:rPr>
        <w:t>s</w:t>
      </w:r>
    </w:p>
    <w:tbl>
      <w:tblPr>
        <w:tblW w:w="10620" w:type="dxa"/>
        <w:tblInd w:w="-640" w:type="dxa"/>
        <w:tblLayout w:type="fixed"/>
        <w:tblLook w:val="04A0" w:firstRow="1" w:lastRow="0" w:firstColumn="1" w:lastColumn="0" w:noHBand="0" w:noVBand="1"/>
      </w:tblPr>
      <w:tblGrid>
        <w:gridCol w:w="2734"/>
        <w:gridCol w:w="1632"/>
        <w:gridCol w:w="1631"/>
        <w:gridCol w:w="1631"/>
        <w:gridCol w:w="1631"/>
        <w:gridCol w:w="1361"/>
      </w:tblGrid>
      <w:tr w:rsidR="00F303E0" w:rsidRPr="00EE5714" w14:paraId="0EFA4F3C" w14:textId="77777777" w:rsidTr="00F045D8">
        <w:trPr>
          <w:trHeight w:val="421"/>
        </w:trPr>
        <w:tc>
          <w:tcPr>
            <w:tcW w:w="10620" w:type="dxa"/>
            <w:gridSpan w:val="6"/>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FBFBF" w:themeFill="background1" w:themeFillShade="BF"/>
            <w:noWrap/>
            <w:vAlign w:val="bottom"/>
            <w:hideMark/>
          </w:tcPr>
          <w:p w14:paraId="46F3B883"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EDC Industry Forecasts per Non-CAP Residential Customer with CAP Enrollment Adjustment</w:t>
            </w:r>
          </w:p>
        </w:tc>
      </w:tr>
      <w:tr w:rsidR="00F303E0" w:rsidRPr="00EE5714" w14:paraId="3DCA23BC" w14:textId="77777777" w:rsidTr="00F045D8">
        <w:trPr>
          <w:trHeight w:val="300"/>
        </w:trPr>
        <w:tc>
          <w:tcPr>
            <w:tcW w:w="2734" w:type="dxa"/>
            <w:tcBorders>
              <w:top w:val="nil"/>
              <w:left w:val="single" w:sz="8" w:space="0" w:color="000000" w:themeColor="text1"/>
              <w:bottom w:val="single" w:sz="4" w:space="0" w:color="000000" w:themeColor="text1"/>
              <w:right w:val="single" w:sz="12" w:space="0" w:color="000000" w:themeColor="text1"/>
            </w:tcBorders>
            <w:shd w:val="clear" w:color="auto" w:fill="F2F2F2" w:themeFill="background1" w:themeFillShade="F2"/>
            <w:noWrap/>
            <w:vAlign w:val="bottom"/>
            <w:hideMark/>
          </w:tcPr>
          <w:p w14:paraId="33BE7BE0" w14:textId="77777777" w:rsidR="00F303E0" w:rsidRPr="00EE5714" w:rsidRDefault="00F303E0" w:rsidP="007D7A46">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Year</w:t>
            </w:r>
          </w:p>
        </w:tc>
        <w:tc>
          <w:tcPr>
            <w:tcW w:w="1632" w:type="dxa"/>
            <w:tcBorders>
              <w:top w:val="nil"/>
              <w:left w:val="single" w:sz="12" w:space="0" w:color="000000" w:themeColor="text1"/>
              <w:bottom w:val="single" w:sz="4" w:space="0" w:color="000000" w:themeColor="text1"/>
              <w:right w:val="single" w:sz="4" w:space="0" w:color="000000" w:themeColor="text1"/>
            </w:tcBorders>
            <w:shd w:val="clear" w:color="auto" w:fill="F2F2F2" w:themeFill="background1" w:themeFillShade="F2"/>
            <w:noWrap/>
            <w:hideMark/>
          </w:tcPr>
          <w:p w14:paraId="2DA31A5E" w14:textId="45E6EB00" w:rsidR="00F303E0" w:rsidRPr="00EE5714" w:rsidRDefault="00F303E0" w:rsidP="007D7A46">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2017</w:t>
            </w:r>
            <w:r w:rsidR="005A444E">
              <w:rPr>
                <w:rFonts w:ascii="Calibri" w:eastAsia="Times New Roman" w:hAnsi="Calibri" w:cs="Calibri"/>
                <w:b/>
                <w:bCs/>
                <w:iCs/>
                <w:color w:val="000000"/>
              </w:rPr>
              <w:t>*</w:t>
            </w:r>
          </w:p>
        </w:tc>
        <w:tc>
          <w:tcPr>
            <w:tcW w:w="1631" w:type="dxa"/>
            <w:tcBorders>
              <w:top w:val="nil"/>
              <w:left w:val="nil"/>
              <w:bottom w:val="single" w:sz="4" w:space="0" w:color="000000" w:themeColor="text1"/>
              <w:right w:val="single" w:sz="4" w:space="0" w:color="000000" w:themeColor="text1"/>
            </w:tcBorders>
            <w:shd w:val="clear" w:color="auto" w:fill="F2F2F2" w:themeFill="background1" w:themeFillShade="F2"/>
            <w:noWrap/>
            <w:hideMark/>
          </w:tcPr>
          <w:p w14:paraId="65374164" w14:textId="77777777" w:rsidR="00F303E0" w:rsidRPr="00EE5714" w:rsidRDefault="00F303E0" w:rsidP="007D7A46">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2018</w:t>
            </w:r>
          </w:p>
        </w:tc>
        <w:tc>
          <w:tcPr>
            <w:tcW w:w="1631" w:type="dxa"/>
            <w:tcBorders>
              <w:top w:val="nil"/>
              <w:left w:val="nil"/>
              <w:bottom w:val="single" w:sz="4" w:space="0" w:color="000000" w:themeColor="text1"/>
              <w:right w:val="single" w:sz="4" w:space="0" w:color="000000" w:themeColor="text1"/>
            </w:tcBorders>
            <w:shd w:val="clear" w:color="auto" w:fill="F2F2F2" w:themeFill="background1" w:themeFillShade="F2"/>
            <w:noWrap/>
            <w:hideMark/>
          </w:tcPr>
          <w:p w14:paraId="13D490D7" w14:textId="77777777" w:rsidR="00F303E0" w:rsidRPr="00EE5714" w:rsidRDefault="00F303E0" w:rsidP="007D7A46">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2019</w:t>
            </w:r>
          </w:p>
        </w:tc>
        <w:tc>
          <w:tcPr>
            <w:tcW w:w="1631" w:type="dxa"/>
            <w:tcBorders>
              <w:top w:val="nil"/>
              <w:left w:val="nil"/>
              <w:bottom w:val="single" w:sz="4" w:space="0" w:color="000000" w:themeColor="text1"/>
              <w:right w:val="single" w:sz="4" w:space="0" w:color="000000" w:themeColor="text1"/>
            </w:tcBorders>
            <w:shd w:val="clear" w:color="auto" w:fill="F2F2F2" w:themeFill="background1" w:themeFillShade="F2"/>
            <w:noWrap/>
            <w:hideMark/>
          </w:tcPr>
          <w:p w14:paraId="5CC55714" w14:textId="77777777" w:rsidR="00F303E0" w:rsidRPr="00EE5714" w:rsidRDefault="00F303E0" w:rsidP="007D7A46">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2020</w:t>
            </w:r>
          </w:p>
        </w:tc>
        <w:tc>
          <w:tcPr>
            <w:tcW w:w="1361" w:type="dxa"/>
            <w:tcBorders>
              <w:top w:val="nil"/>
              <w:left w:val="nil"/>
              <w:bottom w:val="single" w:sz="4" w:space="0" w:color="000000" w:themeColor="text1"/>
              <w:right w:val="single" w:sz="8" w:space="0" w:color="000000" w:themeColor="text1"/>
            </w:tcBorders>
            <w:shd w:val="clear" w:color="auto" w:fill="F2F2F2" w:themeFill="background1" w:themeFillShade="F2"/>
            <w:noWrap/>
            <w:hideMark/>
          </w:tcPr>
          <w:p w14:paraId="19AA8557" w14:textId="77777777" w:rsidR="00F303E0" w:rsidRPr="00EE5714" w:rsidRDefault="00F303E0" w:rsidP="007D7A46">
            <w:pPr>
              <w:keepNext/>
              <w:spacing w:after="0" w:line="240" w:lineRule="auto"/>
              <w:jc w:val="center"/>
              <w:rPr>
                <w:rFonts w:ascii="Calibri" w:eastAsia="Times New Roman" w:hAnsi="Calibri" w:cs="Calibri"/>
                <w:b/>
                <w:bCs/>
                <w:iCs/>
                <w:color w:val="000000"/>
              </w:rPr>
            </w:pPr>
            <w:r w:rsidRPr="00EE5714">
              <w:rPr>
                <w:rFonts w:ascii="Calibri" w:eastAsia="Times New Roman" w:hAnsi="Calibri" w:cs="Calibri"/>
                <w:b/>
                <w:bCs/>
                <w:iCs/>
                <w:color w:val="000000"/>
              </w:rPr>
              <w:t>2021</w:t>
            </w:r>
          </w:p>
        </w:tc>
      </w:tr>
      <w:tr w:rsidR="00F303E0" w:rsidRPr="00EE5714" w14:paraId="6D5A571B" w14:textId="77777777" w:rsidTr="00F045D8">
        <w:trPr>
          <w:trHeight w:val="300"/>
        </w:trPr>
        <w:tc>
          <w:tcPr>
            <w:tcW w:w="2734"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0EC9C7EE" w14:textId="77777777"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-10%</w:t>
            </w:r>
          </w:p>
        </w:tc>
        <w:tc>
          <w:tcPr>
            <w:tcW w:w="1632"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6E07A6C3" w14:textId="70B1B252"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$40.59</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3695749C" w14:textId="64C37CE1"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$50.59</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1EA7628F" w14:textId="02563F87"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$52.44</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167CD248" w14:textId="55C2FB67"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$56.15</w:t>
            </w:r>
          </w:p>
        </w:tc>
        <w:tc>
          <w:tcPr>
            <w:tcW w:w="1361" w:type="dxa"/>
            <w:tcBorders>
              <w:top w:val="nil"/>
              <w:left w:val="nil"/>
              <w:bottom w:val="single" w:sz="4" w:space="0" w:color="000000" w:themeColor="text1"/>
              <w:right w:val="single" w:sz="8" w:space="0" w:color="000000" w:themeColor="text1"/>
            </w:tcBorders>
            <w:shd w:val="clear" w:color="auto" w:fill="auto"/>
            <w:noWrap/>
            <w:vAlign w:val="center"/>
          </w:tcPr>
          <w:p w14:paraId="4D9BCED3" w14:textId="3F8227AD"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$59.98</w:t>
            </w:r>
          </w:p>
        </w:tc>
      </w:tr>
      <w:tr w:rsidR="00F303E0" w:rsidRPr="00EE5714" w14:paraId="1E0270CF" w14:textId="77777777" w:rsidTr="00F045D8">
        <w:trPr>
          <w:trHeight w:val="300"/>
        </w:trPr>
        <w:tc>
          <w:tcPr>
            <w:tcW w:w="2734"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3DCC9A93" w14:textId="77777777"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w:t>
            </w:r>
          </w:p>
        </w:tc>
        <w:tc>
          <w:tcPr>
            <w:tcW w:w="1632"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6D52C54D" w14:textId="1E3F9CDA"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$42.84</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1B681B41" w14:textId="0FD3C880"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$53.40</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03EA3EE5" w14:textId="379C29F3"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$55.32</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4C7B8619" w14:textId="2A95BCD7"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$59.27</w:t>
            </w:r>
          </w:p>
        </w:tc>
        <w:tc>
          <w:tcPr>
            <w:tcW w:w="1361" w:type="dxa"/>
            <w:tcBorders>
              <w:top w:val="nil"/>
              <w:left w:val="nil"/>
              <w:bottom w:val="single" w:sz="4" w:space="0" w:color="000000" w:themeColor="text1"/>
              <w:right w:val="single" w:sz="8" w:space="0" w:color="000000" w:themeColor="text1"/>
            </w:tcBorders>
            <w:shd w:val="clear" w:color="auto" w:fill="auto"/>
            <w:noWrap/>
            <w:vAlign w:val="center"/>
          </w:tcPr>
          <w:p w14:paraId="39D43BAF" w14:textId="454D7254"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$63.31</w:t>
            </w:r>
          </w:p>
        </w:tc>
      </w:tr>
      <w:tr w:rsidR="00F303E0" w:rsidRPr="00EE5714" w14:paraId="5E02B90B" w14:textId="77777777" w:rsidTr="00F045D8">
        <w:trPr>
          <w:trHeight w:val="300"/>
        </w:trPr>
        <w:tc>
          <w:tcPr>
            <w:tcW w:w="2734"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5EAE6C92" w14:textId="77777777"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-1%</w:t>
            </w:r>
          </w:p>
        </w:tc>
        <w:tc>
          <w:tcPr>
            <w:tcW w:w="1632"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6487FFCB" w14:textId="6D154A47"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$44.64</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506CF805" w14:textId="7F5A7B4A"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$55.65</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7F73B985" w14:textId="7662922F"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$57.65</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15A11E20" w14:textId="7CF37712"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$61.77</w:t>
            </w:r>
          </w:p>
        </w:tc>
        <w:tc>
          <w:tcPr>
            <w:tcW w:w="1361" w:type="dxa"/>
            <w:tcBorders>
              <w:top w:val="nil"/>
              <w:left w:val="nil"/>
              <w:bottom w:val="single" w:sz="4" w:space="0" w:color="000000" w:themeColor="text1"/>
              <w:right w:val="single" w:sz="8" w:space="0" w:color="000000" w:themeColor="text1"/>
            </w:tcBorders>
            <w:shd w:val="clear" w:color="auto" w:fill="auto"/>
            <w:noWrap/>
            <w:vAlign w:val="center"/>
          </w:tcPr>
          <w:p w14:paraId="610D805F" w14:textId="738AD467"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$65.98</w:t>
            </w:r>
          </w:p>
        </w:tc>
      </w:tr>
      <w:tr w:rsidR="00F303E0" w:rsidRPr="00EE5714" w14:paraId="38325864" w14:textId="77777777" w:rsidTr="00F045D8">
        <w:trPr>
          <w:trHeight w:val="300"/>
        </w:trPr>
        <w:tc>
          <w:tcPr>
            <w:tcW w:w="2734"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2981B07E" w14:textId="77777777"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1%</w:t>
            </w:r>
          </w:p>
        </w:tc>
        <w:tc>
          <w:tcPr>
            <w:tcW w:w="1632"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6F5C8EEA" w14:textId="43C30859"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$45.55</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4CE3893D" w14:textId="781586C3"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$56.78</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5014C818" w14:textId="4CF51AEC"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$58.82</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484D1FE1" w14:textId="016AB815"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$63.02</w:t>
            </w:r>
          </w:p>
        </w:tc>
        <w:tc>
          <w:tcPr>
            <w:tcW w:w="1361" w:type="dxa"/>
            <w:tcBorders>
              <w:top w:val="nil"/>
              <w:left w:val="nil"/>
              <w:bottom w:val="single" w:sz="4" w:space="0" w:color="000000" w:themeColor="text1"/>
              <w:right w:val="single" w:sz="8" w:space="0" w:color="000000" w:themeColor="text1"/>
            </w:tcBorders>
            <w:shd w:val="clear" w:color="auto" w:fill="auto"/>
            <w:noWrap/>
            <w:vAlign w:val="center"/>
          </w:tcPr>
          <w:p w14:paraId="51CCC870" w14:textId="3A418F3E"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$67.31</w:t>
            </w:r>
          </w:p>
        </w:tc>
      </w:tr>
      <w:tr w:rsidR="00F303E0" w:rsidRPr="00EE5714" w14:paraId="292598FE" w14:textId="77777777" w:rsidTr="00F045D8">
        <w:trPr>
          <w:trHeight w:val="300"/>
        </w:trPr>
        <w:tc>
          <w:tcPr>
            <w:tcW w:w="2734" w:type="dxa"/>
            <w:tcBorders>
              <w:top w:val="nil"/>
              <w:left w:val="single" w:sz="8" w:space="0" w:color="000000" w:themeColor="text1"/>
              <w:bottom w:val="single" w:sz="4" w:space="0" w:color="000000" w:themeColor="text1"/>
              <w:right w:val="single" w:sz="12" w:space="0" w:color="000000" w:themeColor="text1"/>
            </w:tcBorders>
            <w:shd w:val="clear" w:color="auto" w:fill="auto"/>
            <w:noWrap/>
            <w:vAlign w:val="bottom"/>
            <w:hideMark/>
          </w:tcPr>
          <w:p w14:paraId="7E75B6C9" w14:textId="77777777"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w:t>
            </w:r>
          </w:p>
        </w:tc>
        <w:tc>
          <w:tcPr>
            <w:tcW w:w="1632" w:type="dxa"/>
            <w:tcBorders>
              <w:top w:val="nil"/>
              <w:left w:val="single" w:sz="12" w:space="0" w:color="000000" w:themeColor="text1"/>
              <w:bottom w:val="single" w:sz="4" w:space="0" w:color="000000" w:themeColor="text1"/>
              <w:right w:val="single" w:sz="4" w:space="0" w:color="000000" w:themeColor="text1"/>
            </w:tcBorders>
            <w:shd w:val="clear" w:color="auto" w:fill="auto"/>
            <w:noWrap/>
            <w:vAlign w:val="center"/>
          </w:tcPr>
          <w:p w14:paraId="04F241A6" w14:textId="5D0D98E5"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$47.35</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5CCD1DE6" w14:textId="16D755BE"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$59.03</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4400DAEB" w14:textId="59D06737"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$61.15</w:t>
            </w:r>
          </w:p>
        </w:tc>
        <w:tc>
          <w:tcPr>
            <w:tcW w:w="1631" w:type="dxa"/>
            <w:tcBorders>
              <w:top w:val="nil"/>
              <w:left w:val="nil"/>
              <w:bottom w:val="single" w:sz="4" w:space="0" w:color="000000" w:themeColor="text1"/>
              <w:right w:val="single" w:sz="4" w:space="0" w:color="000000" w:themeColor="text1"/>
            </w:tcBorders>
            <w:shd w:val="clear" w:color="auto" w:fill="auto"/>
            <w:noWrap/>
            <w:vAlign w:val="center"/>
          </w:tcPr>
          <w:p w14:paraId="6FDB4575" w14:textId="08EB83B7"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$65.51</w:t>
            </w:r>
          </w:p>
        </w:tc>
        <w:tc>
          <w:tcPr>
            <w:tcW w:w="1361" w:type="dxa"/>
            <w:tcBorders>
              <w:top w:val="nil"/>
              <w:left w:val="nil"/>
              <w:bottom w:val="single" w:sz="4" w:space="0" w:color="000000" w:themeColor="text1"/>
              <w:right w:val="single" w:sz="8" w:space="0" w:color="000000" w:themeColor="text1"/>
            </w:tcBorders>
            <w:shd w:val="clear" w:color="auto" w:fill="auto"/>
            <w:noWrap/>
            <w:vAlign w:val="center"/>
          </w:tcPr>
          <w:p w14:paraId="4A047C69" w14:textId="2919815A" w:rsidR="00F303E0" w:rsidRPr="00EE5714" w:rsidRDefault="362F9E90" w:rsidP="362F9E90">
            <w:pPr>
              <w:keepNext/>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$69.98</w:t>
            </w:r>
          </w:p>
        </w:tc>
      </w:tr>
      <w:tr w:rsidR="00F303E0" w:rsidRPr="00EE5714" w14:paraId="401B28BD" w14:textId="77777777" w:rsidTr="00F045D8">
        <w:trPr>
          <w:trHeight w:val="315"/>
        </w:trPr>
        <w:tc>
          <w:tcPr>
            <w:tcW w:w="2734" w:type="dxa"/>
            <w:tcBorders>
              <w:top w:val="nil"/>
              <w:left w:val="single" w:sz="8" w:space="0" w:color="000000" w:themeColor="text1"/>
              <w:bottom w:val="single" w:sz="8" w:space="0" w:color="000000" w:themeColor="text1"/>
              <w:right w:val="single" w:sz="12" w:space="0" w:color="000000" w:themeColor="text1"/>
            </w:tcBorders>
            <w:shd w:val="clear" w:color="auto" w:fill="auto"/>
            <w:noWrap/>
            <w:vAlign w:val="bottom"/>
            <w:hideMark/>
          </w:tcPr>
          <w:p w14:paraId="226B21BD" w14:textId="77777777" w:rsidR="00F303E0"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10%</w:t>
            </w:r>
          </w:p>
        </w:tc>
        <w:tc>
          <w:tcPr>
            <w:tcW w:w="1632" w:type="dxa"/>
            <w:tcBorders>
              <w:top w:val="nil"/>
              <w:left w:val="single" w:sz="12" w:space="0" w:color="000000" w:themeColor="text1"/>
              <w:bottom w:val="single" w:sz="8" w:space="0" w:color="000000" w:themeColor="text1"/>
              <w:right w:val="single" w:sz="4" w:space="0" w:color="000000" w:themeColor="text1"/>
            </w:tcBorders>
            <w:shd w:val="clear" w:color="auto" w:fill="auto"/>
            <w:noWrap/>
            <w:vAlign w:val="center"/>
          </w:tcPr>
          <w:p w14:paraId="02FA24DC" w14:textId="5B6B7E48" w:rsidR="00F303E0"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$49.60</w:t>
            </w:r>
          </w:p>
        </w:tc>
        <w:tc>
          <w:tcPr>
            <w:tcW w:w="1631" w:type="dxa"/>
            <w:tcBorders>
              <w:top w:val="nil"/>
              <w:left w:val="nil"/>
              <w:bottom w:val="single" w:sz="8" w:space="0" w:color="000000" w:themeColor="text1"/>
              <w:right w:val="single" w:sz="4" w:space="0" w:color="000000" w:themeColor="text1"/>
            </w:tcBorders>
            <w:shd w:val="clear" w:color="auto" w:fill="auto"/>
            <w:noWrap/>
            <w:vAlign w:val="center"/>
          </w:tcPr>
          <w:p w14:paraId="5164AD30" w14:textId="5E379CE1" w:rsidR="00F303E0"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$61.84</w:t>
            </w:r>
          </w:p>
        </w:tc>
        <w:tc>
          <w:tcPr>
            <w:tcW w:w="1631" w:type="dxa"/>
            <w:tcBorders>
              <w:top w:val="nil"/>
              <w:left w:val="nil"/>
              <w:bottom w:val="single" w:sz="8" w:space="0" w:color="000000" w:themeColor="text1"/>
              <w:right w:val="single" w:sz="4" w:space="0" w:color="000000" w:themeColor="text1"/>
            </w:tcBorders>
            <w:shd w:val="clear" w:color="auto" w:fill="auto"/>
            <w:noWrap/>
            <w:vAlign w:val="center"/>
          </w:tcPr>
          <w:p w14:paraId="1E54FD28" w14:textId="27B4345B" w:rsidR="00F303E0"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$64.06</w:t>
            </w:r>
          </w:p>
        </w:tc>
        <w:tc>
          <w:tcPr>
            <w:tcW w:w="1631" w:type="dxa"/>
            <w:tcBorders>
              <w:top w:val="nil"/>
              <w:left w:val="nil"/>
              <w:bottom w:val="single" w:sz="8" w:space="0" w:color="000000" w:themeColor="text1"/>
              <w:right w:val="single" w:sz="4" w:space="0" w:color="000000" w:themeColor="text1"/>
            </w:tcBorders>
            <w:shd w:val="clear" w:color="auto" w:fill="auto"/>
            <w:noWrap/>
            <w:vAlign w:val="center"/>
          </w:tcPr>
          <w:p w14:paraId="3D80B588" w14:textId="4F435F2C" w:rsidR="00F303E0"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$68.63</w:t>
            </w:r>
          </w:p>
        </w:tc>
        <w:tc>
          <w:tcPr>
            <w:tcW w:w="1361" w:type="dxa"/>
            <w:tcBorders>
              <w:top w:val="nil"/>
              <w:left w:val="nil"/>
              <w:bottom w:val="single" w:sz="8" w:space="0" w:color="000000" w:themeColor="text1"/>
              <w:right w:val="single" w:sz="8" w:space="0" w:color="000000" w:themeColor="text1"/>
            </w:tcBorders>
            <w:shd w:val="clear" w:color="auto" w:fill="auto"/>
            <w:noWrap/>
            <w:vAlign w:val="center"/>
          </w:tcPr>
          <w:p w14:paraId="0DC0FF9F" w14:textId="379B0F1E" w:rsidR="00F303E0" w:rsidRPr="00EE5714" w:rsidRDefault="362F9E90" w:rsidP="362F9E90">
            <w:pPr>
              <w:spacing w:after="0" w:line="240" w:lineRule="auto"/>
              <w:jc w:val="center"/>
              <w:rPr>
                <w:rFonts w:ascii="Calibri" w:eastAsia="Times New Roman" w:hAnsi="Calibri" w:cs="Calibri"/>
                <w:color w:val="000000" w:themeColor="text1"/>
                <w:sz w:val="21"/>
                <w:szCs w:val="21"/>
              </w:rPr>
            </w:pPr>
            <w:r w:rsidRPr="00EE5714">
              <w:rPr>
                <w:rFonts w:ascii="Calibri" w:eastAsia="Times New Roman" w:hAnsi="Calibri" w:cs="Calibri"/>
                <w:color w:val="000000" w:themeColor="text1"/>
                <w:sz w:val="21"/>
                <w:szCs w:val="21"/>
              </w:rPr>
              <w:t>$73.31</w:t>
            </w:r>
          </w:p>
        </w:tc>
      </w:tr>
    </w:tbl>
    <w:p w14:paraId="6CF6BA6B" w14:textId="32DA4F1D" w:rsidR="00E013E6" w:rsidRPr="00FB4689" w:rsidRDefault="006F1574" w:rsidP="00500E02">
      <w:pPr>
        <w:pStyle w:val="NoSpacing"/>
        <w:rPr>
          <w:rFonts w:cs="Times New Roman"/>
          <w:color w:val="000000" w:themeColor="text1"/>
        </w:rPr>
      </w:pPr>
      <w:r w:rsidRPr="00B57A34">
        <w:rPr>
          <w:rFonts w:cs="Times New Roman"/>
          <w:color w:val="000000" w:themeColor="text1"/>
        </w:rPr>
        <w:lastRenderedPageBreak/>
        <w:t>*</w:t>
      </w:r>
      <w:r w:rsidR="005A444E" w:rsidRPr="003C195C">
        <w:rPr>
          <w:rFonts w:cs="Times New Roman"/>
          <w:color w:val="000000" w:themeColor="text1"/>
        </w:rPr>
        <w:t xml:space="preserve">2017 </w:t>
      </w:r>
      <w:r w:rsidRPr="00771BBA">
        <w:rPr>
          <w:rFonts w:cs="Times New Roman"/>
          <w:color w:val="000000" w:themeColor="text1"/>
        </w:rPr>
        <w:t>actual dat</w:t>
      </w:r>
      <w:r w:rsidRPr="0094268F">
        <w:rPr>
          <w:rFonts w:cs="Times New Roman"/>
          <w:color w:val="000000" w:themeColor="text1"/>
        </w:rPr>
        <w:t>a from USR</w:t>
      </w:r>
    </w:p>
    <w:p w14:paraId="505A79F4" w14:textId="77777777" w:rsidR="00E013E6" w:rsidRPr="00784D94" w:rsidRDefault="00E013E6" w:rsidP="007D7A46">
      <w:pPr>
        <w:pStyle w:val="NoSpacing"/>
        <w:rPr>
          <w:rFonts w:cs="Times New Roman"/>
          <w:color w:val="000000" w:themeColor="text1"/>
          <w:szCs w:val="26"/>
        </w:rPr>
      </w:pPr>
    </w:p>
    <w:p w14:paraId="5A6ED3B6" w14:textId="77777777" w:rsidR="00784D94" w:rsidRPr="00784D94" w:rsidRDefault="00784D94" w:rsidP="007D7A46">
      <w:pPr>
        <w:pStyle w:val="NoSpacing"/>
        <w:rPr>
          <w:rFonts w:cs="Times New Roman"/>
          <w:color w:val="000000" w:themeColor="text1"/>
          <w:szCs w:val="26"/>
        </w:rPr>
      </w:pPr>
    </w:p>
    <w:p w14:paraId="3A0572D0" w14:textId="73C29CC2" w:rsidR="00F303E0" w:rsidRPr="00EE5714" w:rsidRDefault="00F734A0" w:rsidP="007D7A46">
      <w:pPr>
        <w:pStyle w:val="NoSpacing"/>
        <w:keepNext/>
        <w:rPr>
          <w:rFonts w:cs="Times New Roman"/>
          <w:i/>
          <w:color w:val="000000" w:themeColor="text1"/>
          <w:szCs w:val="26"/>
        </w:rPr>
      </w:pPr>
      <w:r w:rsidRPr="00EE5714">
        <w:rPr>
          <w:rFonts w:cs="Times New Roman"/>
          <w:i/>
          <w:color w:val="000000" w:themeColor="text1"/>
          <w:szCs w:val="26"/>
        </w:rPr>
        <w:t>Appendix 9</w:t>
      </w:r>
      <w:r w:rsidR="00F303E0" w:rsidRPr="00EE5714">
        <w:rPr>
          <w:rFonts w:cs="Times New Roman"/>
          <w:i/>
          <w:color w:val="000000" w:themeColor="text1"/>
          <w:szCs w:val="26"/>
        </w:rPr>
        <w:t>.</w:t>
      </w:r>
      <w:r w:rsidR="004655B9" w:rsidRPr="00EE5714">
        <w:rPr>
          <w:rFonts w:cs="Times New Roman"/>
          <w:i/>
          <w:color w:val="000000" w:themeColor="text1"/>
          <w:szCs w:val="26"/>
        </w:rPr>
        <w:t>I</w:t>
      </w:r>
      <w:r w:rsidR="00F303E0" w:rsidRPr="00EE5714">
        <w:rPr>
          <w:rFonts w:cs="Times New Roman"/>
          <w:i/>
          <w:color w:val="000000" w:themeColor="text1"/>
          <w:szCs w:val="26"/>
        </w:rPr>
        <w:t xml:space="preserve">: Table 10-10 NGDC CAP Heating Model – Additional Discount Needed for 6% NGDC Energy Burden </w:t>
      </w:r>
    </w:p>
    <w:p w14:paraId="7E1261FC" w14:textId="77777777" w:rsidR="00F303E0" w:rsidRPr="00EE5714" w:rsidRDefault="00F303E0" w:rsidP="007D7A46">
      <w:pPr>
        <w:pStyle w:val="NoSpacing"/>
        <w:keepNext/>
        <w:rPr>
          <w:rFonts w:cs="Times New Roman"/>
          <w:i/>
          <w:color w:val="000000" w:themeColor="text1"/>
          <w:szCs w:val="26"/>
        </w:rPr>
      </w:pPr>
    </w:p>
    <w:p w14:paraId="22460B3E" w14:textId="77777777" w:rsidR="00F303E0" w:rsidRPr="00EE5714" w:rsidRDefault="00F303E0" w:rsidP="007D7A46">
      <w:pPr>
        <w:pStyle w:val="NoSpacing"/>
        <w:keepNext/>
        <w:rPr>
          <w:rFonts w:cs="Times New Roman"/>
          <w:color w:val="000000" w:themeColor="text1"/>
          <w:szCs w:val="26"/>
        </w:rPr>
      </w:pPr>
      <w:r w:rsidRPr="00EE5714">
        <w:rPr>
          <w:rFonts w:cs="Times New Roman"/>
          <w:color w:val="000000" w:themeColor="text1"/>
          <w:szCs w:val="26"/>
        </w:rPr>
        <w:t>The example of a 10% energy burden applicable to all heat sources and FPIG levels would equate to a 6% energy burden for NGDC gas heating and 4% for EDC electric non-heating.</w:t>
      </w:r>
    </w:p>
    <w:p w14:paraId="742A0563" w14:textId="77777777" w:rsidR="00F303E0" w:rsidRPr="00EE5714" w:rsidRDefault="00F303E0" w:rsidP="007D7A46">
      <w:pPr>
        <w:pStyle w:val="NoSpacing"/>
        <w:keepNext/>
        <w:rPr>
          <w:rFonts w:cs="Times New Roman"/>
          <w:i/>
          <w:color w:val="000000" w:themeColor="text1"/>
          <w:szCs w:val="26"/>
        </w:rPr>
      </w:pPr>
    </w:p>
    <w:p w14:paraId="0B1DAC31" w14:textId="487178E3" w:rsidR="00F303E0" w:rsidRPr="00EE5714" w:rsidRDefault="00F734A0" w:rsidP="007D7A46">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4655B9" w:rsidRPr="00EE5714">
        <w:rPr>
          <w:rFonts w:cs="Times New Roman"/>
          <w:szCs w:val="26"/>
        </w:rPr>
        <w:t>I</w:t>
      </w:r>
      <w:r w:rsidR="00F303E0" w:rsidRPr="00EE5714">
        <w:rPr>
          <w:rFonts w:cs="Times New Roman"/>
          <w:szCs w:val="26"/>
        </w:rPr>
        <w:t xml:space="preserve">.1: </w:t>
      </w:r>
      <w:r w:rsidR="00F303E0" w:rsidRPr="00EE5714">
        <w:rPr>
          <w:rFonts w:eastAsia="Times New Roman" w:cs="Times New Roman"/>
          <w:b/>
          <w:bCs/>
          <w:color w:val="000000"/>
          <w:szCs w:val="26"/>
        </w:rPr>
        <w:t>NGDC Model for 6% Energy Burden – Components</w:t>
      </w:r>
    </w:p>
    <w:tbl>
      <w:tblPr>
        <w:tblW w:w="10620" w:type="dxa"/>
        <w:tblInd w:w="-6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530"/>
        <w:gridCol w:w="1560"/>
        <w:gridCol w:w="1560"/>
        <w:gridCol w:w="1560"/>
        <w:gridCol w:w="1560"/>
        <w:gridCol w:w="1560"/>
        <w:gridCol w:w="1290"/>
      </w:tblGrid>
      <w:tr w:rsidR="00F303E0" w:rsidRPr="00EE5714" w14:paraId="6110030D" w14:textId="77777777" w:rsidTr="00BF1FF5">
        <w:trPr>
          <w:trHeight w:val="300"/>
        </w:trPr>
        <w:tc>
          <w:tcPr>
            <w:tcW w:w="10620" w:type="dxa"/>
            <w:gridSpan w:val="7"/>
            <w:shd w:val="clear" w:color="auto" w:fill="BFBFBF" w:themeFill="background1" w:themeFillShade="BF"/>
            <w:noWrap/>
            <w:vAlign w:val="center"/>
          </w:tcPr>
          <w:p w14:paraId="0C6385C8"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NGDC Model for 6% Energy Burden </w:t>
            </w:r>
          </w:p>
        </w:tc>
      </w:tr>
      <w:tr w:rsidR="00F303E0" w:rsidRPr="00EE5714" w14:paraId="3E1D1B9B" w14:textId="77777777" w:rsidTr="00BF1FF5">
        <w:trPr>
          <w:trHeight w:val="300"/>
        </w:trPr>
        <w:tc>
          <w:tcPr>
            <w:tcW w:w="1530" w:type="dxa"/>
            <w:vMerge w:val="restart"/>
            <w:shd w:val="clear" w:color="auto" w:fill="auto"/>
            <w:noWrap/>
            <w:vAlign w:val="center"/>
            <w:hideMark/>
          </w:tcPr>
          <w:p w14:paraId="3E51E8CF" w14:textId="77777777" w:rsidR="00F303E0" w:rsidRPr="00EE5714" w:rsidRDefault="00F303E0" w:rsidP="007D7A46">
            <w:pPr>
              <w:keepNext/>
              <w:spacing w:after="0" w:line="240" w:lineRule="auto"/>
              <w:rPr>
                <w:rFonts w:ascii="Calibri" w:eastAsia="Times New Roman" w:hAnsi="Calibri" w:cs="Calibri"/>
                <w:b/>
                <w:bCs/>
                <w:color w:val="000000"/>
              </w:rPr>
            </w:pPr>
            <w:r w:rsidRPr="00EE5714">
              <w:rPr>
                <w:rFonts w:ascii="Calibri" w:eastAsia="Times New Roman" w:hAnsi="Calibri" w:cs="Calibri"/>
                <w:b/>
                <w:bCs/>
                <w:color w:val="000000"/>
              </w:rPr>
              <w:t xml:space="preserve"> Gas Heating </w:t>
            </w:r>
          </w:p>
        </w:tc>
        <w:tc>
          <w:tcPr>
            <w:tcW w:w="4680" w:type="dxa"/>
            <w:gridSpan w:val="3"/>
            <w:shd w:val="clear" w:color="auto" w:fill="auto"/>
            <w:noWrap/>
            <w:vAlign w:val="bottom"/>
            <w:hideMark/>
          </w:tcPr>
          <w:p w14:paraId="675D13EE"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Average CAP Bill Change Needed </w:t>
            </w:r>
          </w:p>
        </w:tc>
        <w:tc>
          <w:tcPr>
            <w:tcW w:w="4410" w:type="dxa"/>
            <w:gridSpan w:val="3"/>
            <w:shd w:val="clear" w:color="auto" w:fill="auto"/>
            <w:noWrap/>
            <w:vAlign w:val="bottom"/>
            <w:hideMark/>
          </w:tcPr>
          <w:p w14:paraId="78D27D48"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Average CAP Gas Heat </w:t>
            </w:r>
          </w:p>
        </w:tc>
      </w:tr>
      <w:tr w:rsidR="00F303E0" w:rsidRPr="00EE5714" w14:paraId="20C8F0FC" w14:textId="77777777" w:rsidTr="00BF1FF5">
        <w:trPr>
          <w:trHeight w:val="300"/>
        </w:trPr>
        <w:tc>
          <w:tcPr>
            <w:tcW w:w="1530" w:type="dxa"/>
            <w:vMerge/>
            <w:shd w:val="clear" w:color="auto" w:fill="auto"/>
            <w:noWrap/>
            <w:vAlign w:val="bottom"/>
            <w:hideMark/>
          </w:tcPr>
          <w:p w14:paraId="7DB8EB3D" w14:textId="77777777" w:rsidR="00F303E0" w:rsidRPr="00EE5714" w:rsidRDefault="00F303E0" w:rsidP="007D7A46">
            <w:pPr>
              <w:keepNext/>
              <w:spacing w:after="0" w:line="240" w:lineRule="auto"/>
              <w:rPr>
                <w:rFonts w:ascii="Calibri" w:eastAsia="Times New Roman" w:hAnsi="Calibri" w:cs="Calibri"/>
                <w:b/>
                <w:bCs/>
                <w:color w:val="000000"/>
              </w:rPr>
            </w:pPr>
          </w:p>
        </w:tc>
        <w:tc>
          <w:tcPr>
            <w:tcW w:w="4680" w:type="dxa"/>
            <w:gridSpan w:val="3"/>
            <w:shd w:val="clear" w:color="auto" w:fill="auto"/>
            <w:noWrap/>
            <w:vAlign w:val="bottom"/>
            <w:hideMark/>
          </w:tcPr>
          <w:p w14:paraId="3A256C83"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Accounts Billed 2012-2016</w:t>
            </w:r>
          </w:p>
        </w:tc>
        <w:tc>
          <w:tcPr>
            <w:tcW w:w="4410" w:type="dxa"/>
            <w:gridSpan w:val="3"/>
            <w:shd w:val="clear" w:color="auto" w:fill="auto"/>
            <w:noWrap/>
            <w:vAlign w:val="bottom"/>
            <w:hideMark/>
          </w:tcPr>
          <w:p w14:paraId="48C0A00D"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Accounts Billed 2012-2016</w:t>
            </w:r>
          </w:p>
        </w:tc>
      </w:tr>
      <w:tr w:rsidR="00F303E0" w:rsidRPr="00EE5714" w14:paraId="6612A176" w14:textId="77777777" w:rsidTr="00BF1FF5">
        <w:trPr>
          <w:trHeight w:hRule="exact" w:val="245"/>
        </w:trPr>
        <w:tc>
          <w:tcPr>
            <w:tcW w:w="1530" w:type="dxa"/>
            <w:shd w:val="clear" w:color="auto" w:fill="F2F2F2" w:themeFill="background1" w:themeFillShade="F2"/>
            <w:noWrap/>
            <w:vAlign w:val="bottom"/>
            <w:hideMark/>
          </w:tcPr>
          <w:p w14:paraId="57D1BA5A" w14:textId="77777777" w:rsidR="00F303E0" w:rsidRPr="00EE5714" w:rsidRDefault="00F303E0" w:rsidP="007D7A46">
            <w:pPr>
              <w:keepNext/>
              <w:spacing w:after="0" w:line="240" w:lineRule="auto"/>
              <w:rPr>
                <w:rFonts w:ascii="Calibri" w:eastAsia="Times New Roman" w:hAnsi="Calibri" w:cs="Calibri"/>
                <w:b/>
                <w:bCs/>
                <w:i/>
                <w:color w:val="000000"/>
              </w:rPr>
            </w:pPr>
            <w:r w:rsidRPr="00EE5714">
              <w:rPr>
                <w:rFonts w:ascii="Calibri" w:eastAsia="Times New Roman" w:hAnsi="Calibri" w:cs="Calibri"/>
                <w:b/>
                <w:bCs/>
                <w:i/>
                <w:color w:val="000000"/>
              </w:rPr>
              <w:t xml:space="preserve">FPIG Level </w:t>
            </w:r>
          </w:p>
        </w:tc>
        <w:tc>
          <w:tcPr>
            <w:tcW w:w="1560" w:type="dxa"/>
            <w:shd w:val="clear" w:color="auto" w:fill="F2F2F2" w:themeFill="background1" w:themeFillShade="F2"/>
            <w:noWrap/>
            <w:vAlign w:val="bottom"/>
            <w:hideMark/>
          </w:tcPr>
          <w:p w14:paraId="23E7017D"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50%</w:t>
            </w:r>
          </w:p>
        </w:tc>
        <w:tc>
          <w:tcPr>
            <w:tcW w:w="1560" w:type="dxa"/>
            <w:shd w:val="clear" w:color="auto" w:fill="F2F2F2" w:themeFill="background1" w:themeFillShade="F2"/>
            <w:noWrap/>
            <w:vAlign w:val="bottom"/>
            <w:hideMark/>
          </w:tcPr>
          <w:p w14:paraId="7030D660"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100%</w:t>
            </w:r>
          </w:p>
        </w:tc>
        <w:tc>
          <w:tcPr>
            <w:tcW w:w="1560" w:type="dxa"/>
            <w:shd w:val="clear" w:color="auto" w:fill="F2F2F2" w:themeFill="background1" w:themeFillShade="F2"/>
            <w:noWrap/>
            <w:vAlign w:val="bottom"/>
            <w:hideMark/>
          </w:tcPr>
          <w:p w14:paraId="1C9D0309"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150%</w:t>
            </w:r>
          </w:p>
        </w:tc>
        <w:tc>
          <w:tcPr>
            <w:tcW w:w="1560" w:type="dxa"/>
            <w:shd w:val="clear" w:color="auto" w:fill="F2F2F2" w:themeFill="background1" w:themeFillShade="F2"/>
            <w:noWrap/>
            <w:vAlign w:val="bottom"/>
            <w:hideMark/>
          </w:tcPr>
          <w:p w14:paraId="4E8A21F2"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50%</w:t>
            </w:r>
          </w:p>
        </w:tc>
        <w:tc>
          <w:tcPr>
            <w:tcW w:w="1560" w:type="dxa"/>
            <w:shd w:val="clear" w:color="auto" w:fill="F2F2F2" w:themeFill="background1" w:themeFillShade="F2"/>
            <w:noWrap/>
            <w:vAlign w:val="bottom"/>
            <w:hideMark/>
          </w:tcPr>
          <w:p w14:paraId="24452B2A"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100%</w:t>
            </w:r>
          </w:p>
        </w:tc>
        <w:tc>
          <w:tcPr>
            <w:tcW w:w="1290" w:type="dxa"/>
            <w:shd w:val="clear" w:color="auto" w:fill="F2F2F2" w:themeFill="background1" w:themeFillShade="F2"/>
            <w:noWrap/>
            <w:vAlign w:val="bottom"/>
            <w:hideMark/>
          </w:tcPr>
          <w:p w14:paraId="0C95B377"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150%</w:t>
            </w:r>
          </w:p>
        </w:tc>
      </w:tr>
      <w:tr w:rsidR="00F303E0" w:rsidRPr="00EE5714" w14:paraId="48B23828" w14:textId="77777777" w:rsidTr="00BF1FF5">
        <w:trPr>
          <w:trHeight w:hRule="exact" w:val="245"/>
        </w:trPr>
        <w:tc>
          <w:tcPr>
            <w:tcW w:w="1530" w:type="dxa"/>
            <w:shd w:val="clear" w:color="auto" w:fill="auto"/>
            <w:noWrap/>
            <w:vAlign w:val="bottom"/>
            <w:hideMark/>
          </w:tcPr>
          <w:p w14:paraId="73C925C6" w14:textId="77777777" w:rsidR="00F303E0" w:rsidRPr="00EE5714" w:rsidRDefault="00F303E0" w:rsidP="007D7A46">
            <w:pPr>
              <w:keepNext/>
              <w:spacing w:after="0" w:line="240" w:lineRule="auto"/>
              <w:rPr>
                <w:rFonts w:ascii="Calibri" w:eastAsia="Times New Roman" w:hAnsi="Calibri" w:cs="Calibri"/>
                <w:b/>
                <w:bCs/>
                <w:color w:val="000000"/>
              </w:rPr>
            </w:pPr>
            <w:r w:rsidRPr="00EE5714">
              <w:rPr>
                <w:rFonts w:ascii="Calibri" w:eastAsia="Times New Roman" w:hAnsi="Calibri" w:cs="Calibri"/>
                <w:b/>
                <w:bCs/>
                <w:color w:val="000000"/>
              </w:rPr>
              <w:t> </w:t>
            </w:r>
          </w:p>
        </w:tc>
        <w:tc>
          <w:tcPr>
            <w:tcW w:w="1560" w:type="dxa"/>
            <w:shd w:val="clear" w:color="auto" w:fill="auto"/>
            <w:noWrap/>
            <w:vAlign w:val="bottom"/>
            <w:hideMark/>
          </w:tcPr>
          <w:p w14:paraId="06BB0B14"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1560" w:type="dxa"/>
            <w:shd w:val="clear" w:color="auto" w:fill="auto"/>
            <w:noWrap/>
            <w:vAlign w:val="bottom"/>
            <w:hideMark/>
          </w:tcPr>
          <w:p w14:paraId="50A4B257" w14:textId="77777777" w:rsidR="00F303E0" w:rsidRPr="00EE5714" w:rsidRDefault="00F303E0" w:rsidP="007D7A46">
            <w:pPr>
              <w:keepNext/>
              <w:spacing w:after="0" w:line="240" w:lineRule="auto"/>
              <w:jc w:val="center"/>
              <w:rPr>
                <w:rFonts w:ascii="Times New Roman" w:eastAsia="Times New Roman" w:hAnsi="Times New Roman" w:cs="Times New Roman"/>
                <w:sz w:val="20"/>
                <w:szCs w:val="20"/>
              </w:rPr>
            </w:pPr>
          </w:p>
        </w:tc>
        <w:tc>
          <w:tcPr>
            <w:tcW w:w="1560" w:type="dxa"/>
            <w:shd w:val="clear" w:color="auto" w:fill="auto"/>
            <w:noWrap/>
            <w:vAlign w:val="bottom"/>
            <w:hideMark/>
          </w:tcPr>
          <w:p w14:paraId="595A96A9" w14:textId="77777777" w:rsidR="00F303E0" w:rsidRPr="00EE5714" w:rsidRDefault="00F303E0" w:rsidP="007D7A46">
            <w:pPr>
              <w:keepNext/>
              <w:spacing w:after="0" w:line="240" w:lineRule="auto"/>
              <w:jc w:val="center"/>
              <w:rPr>
                <w:rFonts w:ascii="Times New Roman" w:eastAsia="Times New Roman" w:hAnsi="Times New Roman" w:cs="Times New Roman"/>
                <w:sz w:val="20"/>
                <w:szCs w:val="20"/>
              </w:rPr>
            </w:pPr>
          </w:p>
        </w:tc>
        <w:tc>
          <w:tcPr>
            <w:tcW w:w="1560" w:type="dxa"/>
            <w:shd w:val="clear" w:color="auto" w:fill="auto"/>
            <w:noWrap/>
            <w:vAlign w:val="bottom"/>
            <w:hideMark/>
          </w:tcPr>
          <w:p w14:paraId="0352B02F" w14:textId="77777777" w:rsidR="00F303E0" w:rsidRPr="00EE5714" w:rsidRDefault="00F303E0" w:rsidP="007D7A46">
            <w:pPr>
              <w:keepNext/>
              <w:spacing w:after="0" w:line="240" w:lineRule="auto"/>
              <w:jc w:val="center"/>
              <w:rPr>
                <w:rFonts w:ascii="Times New Roman" w:eastAsia="Times New Roman" w:hAnsi="Times New Roman" w:cs="Times New Roman"/>
                <w:sz w:val="20"/>
                <w:szCs w:val="20"/>
              </w:rPr>
            </w:pPr>
          </w:p>
        </w:tc>
        <w:tc>
          <w:tcPr>
            <w:tcW w:w="1560" w:type="dxa"/>
            <w:shd w:val="clear" w:color="auto" w:fill="auto"/>
            <w:noWrap/>
            <w:vAlign w:val="bottom"/>
            <w:hideMark/>
          </w:tcPr>
          <w:p w14:paraId="163DA5F0" w14:textId="77777777" w:rsidR="00F303E0" w:rsidRPr="00EE5714" w:rsidRDefault="00F303E0" w:rsidP="007D7A46">
            <w:pPr>
              <w:keepNext/>
              <w:spacing w:after="0" w:line="240" w:lineRule="auto"/>
              <w:jc w:val="center"/>
              <w:rPr>
                <w:rFonts w:ascii="Times New Roman" w:eastAsia="Times New Roman" w:hAnsi="Times New Roman" w:cs="Times New Roman"/>
                <w:sz w:val="20"/>
                <w:szCs w:val="20"/>
              </w:rPr>
            </w:pPr>
          </w:p>
        </w:tc>
        <w:tc>
          <w:tcPr>
            <w:tcW w:w="1290" w:type="dxa"/>
            <w:shd w:val="clear" w:color="auto" w:fill="auto"/>
            <w:noWrap/>
            <w:vAlign w:val="bottom"/>
            <w:hideMark/>
          </w:tcPr>
          <w:p w14:paraId="561397C5" w14:textId="77777777" w:rsidR="00F303E0" w:rsidRPr="00EE5714" w:rsidRDefault="00F303E0" w:rsidP="007D7A46">
            <w:pPr>
              <w:keepNext/>
              <w:spacing w:after="0" w:line="240" w:lineRule="auto"/>
              <w:jc w:val="center"/>
              <w:rPr>
                <w:rFonts w:ascii="Calibri" w:eastAsia="Times New Roman" w:hAnsi="Calibri" w:cs="Calibri"/>
                <w:color w:val="000000"/>
              </w:rPr>
            </w:pPr>
          </w:p>
        </w:tc>
      </w:tr>
      <w:tr w:rsidR="00F303E0" w:rsidRPr="00EE5714" w14:paraId="5B1494CD" w14:textId="77777777" w:rsidTr="00BF1FF5">
        <w:trPr>
          <w:trHeight w:hRule="exact" w:val="245"/>
        </w:trPr>
        <w:tc>
          <w:tcPr>
            <w:tcW w:w="1530" w:type="dxa"/>
            <w:shd w:val="clear" w:color="auto" w:fill="F2F2F2" w:themeFill="background1" w:themeFillShade="F2"/>
            <w:noWrap/>
            <w:vAlign w:val="bottom"/>
            <w:hideMark/>
          </w:tcPr>
          <w:p w14:paraId="78213D54" w14:textId="77777777" w:rsidR="00F303E0" w:rsidRPr="00EE5714" w:rsidRDefault="00F303E0" w:rsidP="007D7A46">
            <w:pPr>
              <w:keepNext/>
              <w:spacing w:after="0" w:line="240" w:lineRule="auto"/>
              <w:rPr>
                <w:rFonts w:ascii="Calibri" w:eastAsia="Times New Roman" w:hAnsi="Calibri" w:cs="Calibri"/>
                <w:b/>
                <w:color w:val="000000"/>
              </w:rPr>
            </w:pPr>
            <w:r w:rsidRPr="00EE5714">
              <w:rPr>
                <w:rFonts w:ascii="Calibri" w:eastAsia="Times New Roman" w:hAnsi="Calibri" w:cs="Calibri"/>
                <w:b/>
                <w:color w:val="000000"/>
              </w:rPr>
              <w:t>Columbia</w:t>
            </w:r>
          </w:p>
        </w:tc>
        <w:tc>
          <w:tcPr>
            <w:tcW w:w="1560" w:type="dxa"/>
            <w:shd w:val="clear" w:color="auto" w:fill="auto"/>
            <w:noWrap/>
            <w:vAlign w:val="center"/>
            <w:hideMark/>
          </w:tcPr>
          <w:p w14:paraId="2E3AC7D0"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-$250.47</w:t>
            </w:r>
          </w:p>
        </w:tc>
        <w:tc>
          <w:tcPr>
            <w:tcW w:w="1560" w:type="dxa"/>
            <w:shd w:val="clear" w:color="auto" w:fill="auto"/>
            <w:noWrap/>
            <w:vAlign w:val="center"/>
            <w:hideMark/>
          </w:tcPr>
          <w:p w14:paraId="201039A0"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60" w:type="dxa"/>
            <w:shd w:val="clear" w:color="auto" w:fill="auto"/>
            <w:noWrap/>
            <w:vAlign w:val="center"/>
            <w:hideMark/>
          </w:tcPr>
          <w:p w14:paraId="297F7868"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60" w:type="dxa"/>
            <w:shd w:val="clear" w:color="auto" w:fill="auto"/>
            <w:noWrap/>
            <w:vAlign w:val="center"/>
            <w:hideMark/>
          </w:tcPr>
          <w:p w14:paraId="1A3AF9FC"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4,558</w:t>
            </w:r>
          </w:p>
        </w:tc>
        <w:tc>
          <w:tcPr>
            <w:tcW w:w="1560" w:type="dxa"/>
            <w:shd w:val="clear" w:color="auto" w:fill="auto"/>
            <w:noWrap/>
            <w:vAlign w:val="center"/>
            <w:hideMark/>
          </w:tcPr>
          <w:p w14:paraId="639507F8"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9,485</w:t>
            </w:r>
          </w:p>
        </w:tc>
        <w:tc>
          <w:tcPr>
            <w:tcW w:w="1290" w:type="dxa"/>
            <w:shd w:val="clear" w:color="auto" w:fill="auto"/>
            <w:noWrap/>
            <w:vAlign w:val="center"/>
            <w:hideMark/>
          </w:tcPr>
          <w:p w14:paraId="675FA39C"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6,253</w:t>
            </w:r>
          </w:p>
        </w:tc>
      </w:tr>
      <w:tr w:rsidR="00F303E0" w:rsidRPr="00EE5714" w14:paraId="1C227AAA" w14:textId="77777777" w:rsidTr="00BF1FF5">
        <w:trPr>
          <w:trHeight w:hRule="exact" w:val="245"/>
        </w:trPr>
        <w:tc>
          <w:tcPr>
            <w:tcW w:w="1530" w:type="dxa"/>
            <w:shd w:val="clear" w:color="auto" w:fill="F2F2F2" w:themeFill="background1" w:themeFillShade="F2"/>
            <w:noWrap/>
            <w:vAlign w:val="bottom"/>
            <w:hideMark/>
          </w:tcPr>
          <w:p w14:paraId="3F9D6359" w14:textId="77777777" w:rsidR="00F303E0" w:rsidRPr="00EE5714" w:rsidRDefault="00F303E0" w:rsidP="007D7A46">
            <w:pPr>
              <w:keepNext/>
              <w:spacing w:after="0" w:line="240" w:lineRule="auto"/>
              <w:rPr>
                <w:rFonts w:ascii="Calibri" w:eastAsia="Times New Roman" w:hAnsi="Calibri" w:cs="Calibri"/>
                <w:b/>
                <w:color w:val="000000"/>
              </w:rPr>
            </w:pPr>
            <w:r w:rsidRPr="00EE5714">
              <w:rPr>
                <w:rFonts w:ascii="Calibri" w:eastAsia="Times New Roman" w:hAnsi="Calibri" w:cs="Calibri"/>
                <w:b/>
                <w:color w:val="000000"/>
              </w:rPr>
              <w:t>PECO Gas</w:t>
            </w:r>
          </w:p>
        </w:tc>
        <w:tc>
          <w:tcPr>
            <w:tcW w:w="1560" w:type="dxa"/>
            <w:shd w:val="clear" w:color="auto" w:fill="auto"/>
            <w:noWrap/>
            <w:vAlign w:val="center"/>
            <w:hideMark/>
          </w:tcPr>
          <w:p w14:paraId="13F9363C"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-$799.54</w:t>
            </w:r>
          </w:p>
        </w:tc>
        <w:tc>
          <w:tcPr>
            <w:tcW w:w="1560" w:type="dxa"/>
            <w:shd w:val="clear" w:color="auto" w:fill="auto"/>
            <w:noWrap/>
            <w:vAlign w:val="center"/>
            <w:hideMark/>
          </w:tcPr>
          <w:p w14:paraId="5AA25AA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-$620.26</w:t>
            </w:r>
          </w:p>
        </w:tc>
        <w:tc>
          <w:tcPr>
            <w:tcW w:w="1560" w:type="dxa"/>
            <w:shd w:val="clear" w:color="auto" w:fill="auto"/>
            <w:noWrap/>
            <w:vAlign w:val="center"/>
            <w:hideMark/>
          </w:tcPr>
          <w:p w14:paraId="217CEE72"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-$557.40</w:t>
            </w:r>
          </w:p>
        </w:tc>
        <w:tc>
          <w:tcPr>
            <w:tcW w:w="1560" w:type="dxa"/>
            <w:shd w:val="clear" w:color="auto" w:fill="auto"/>
            <w:noWrap/>
            <w:vAlign w:val="center"/>
            <w:hideMark/>
          </w:tcPr>
          <w:p w14:paraId="50D45837"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1,187</w:t>
            </w:r>
          </w:p>
        </w:tc>
        <w:tc>
          <w:tcPr>
            <w:tcW w:w="1560" w:type="dxa"/>
            <w:shd w:val="clear" w:color="auto" w:fill="auto"/>
            <w:noWrap/>
            <w:vAlign w:val="center"/>
            <w:hideMark/>
          </w:tcPr>
          <w:p w14:paraId="7D4916C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2,346</w:t>
            </w:r>
          </w:p>
        </w:tc>
        <w:tc>
          <w:tcPr>
            <w:tcW w:w="1290" w:type="dxa"/>
            <w:shd w:val="clear" w:color="auto" w:fill="auto"/>
            <w:noWrap/>
            <w:vAlign w:val="center"/>
            <w:hideMark/>
          </w:tcPr>
          <w:p w14:paraId="77FC10E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1,922</w:t>
            </w:r>
          </w:p>
        </w:tc>
      </w:tr>
      <w:tr w:rsidR="00F303E0" w:rsidRPr="00EE5714" w14:paraId="4E2F8C26" w14:textId="77777777" w:rsidTr="00BF1FF5">
        <w:trPr>
          <w:trHeight w:hRule="exact" w:val="245"/>
        </w:trPr>
        <w:tc>
          <w:tcPr>
            <w:tcW w:w="1530" w:type="dxa"/>
            <w:shd w:val="clear" w:color="auto" w:fill="F2F2F2" w:themeFill="background1" w:themeFillShade="F2"/>
            <w:noWrap/>
            <w:vAlign w:val="bottom"/>
            <w:hideMark/>
          </w:tcPr>
          <w:p w14:paraId="71C89D80" w14:textId="77777777" w:rsidR="00F303E0" w:rsidRPr="00EE5714" w:rsidRDefault="00F303E0" w:rsidP="007D7A46">
            <w:pPr>
              <w:keepNext/>
              <w:spacing w:after="0" w:line="240" w:lineRule="auto"/>
              <w:rPr>
                <w:rFonts w:ascii="Calibri" w:eastAsia="Times New Roman" w:hAnsi="Calibri" w:cs="Calibri"/>
                <w:b/>
                <w:color w:val="000000"/>
              </w:rPr>
            </w:pPr>
            <w:r w:rsidRPr="00EE5714">
              <w:rPr>
                <w:rFonts w:ascii="Calibri" w:eastAsia="Times New Roman" w:hAnsi="Calibri" w:cs="Calibri"/>
                <w:b/>
                <w:color w:val="000000"/>
              </w:rPr>
              <w:t>Peoples</w:t>
            </w:r>
          </w:p>
        </w:tc>
        <w:tc>
          <w:tcPr>
            <w:tcW w:w="1560" w:type="dxa"/>
            <w:shd w:val="clear" w:color="auto" w:fill="auto"/>
            <w:noWrap/>
            <w:vAlign w:val="center"/>
            <w:hideMark/>
          </w:tcPr>
          <w:p w14:paraId="384F3E3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-$127.08</w:t>
            </w:r>
          </w:p>
        </w:tc>
        <w:tc>
          <w:tcPr>
            <w:tcW w:w="1560" w:type="dxa"/>
            <w:shd w:val="clear" w:color="auto" w:fill="auto"/>
            <w:noWrap/>
            <w:vAlign w:val="center"/>
            <w:hideMark/>
          </w:tcPr>
          <w:p w14:paraId="5312DAF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-$116.75</w:t>
            </w:r>
          </w:p>
        </w:tc>
        <w:tc>
          <w:tcPr>
            <w:tcW w:w="1560" w:type="dxa"/>
            <w:shd w:val="clear" w:color="auto" w:fill="auto"/>
            <w:noWrap/>
            <w:vAlign w:val="center"/>
            <w:hideMark/>
          </w:tcPr>
          <w:p w14:paraId="1566E96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60" w:type="dxa"/>
            <w:shd w:val="clear" w:color="auto" w:fill="auto"/>
            <w:noWrap/>
            <w:vAlign w:val="center"/>
            <w:hideMark/>
          </w:tcPr>
          <w:p w14:paraId="2816078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3,799</w:t>
            </w:r>
          </w:p>
        </w:tc>
        <w:tc>
          <w:tcPr>
            <w:tcW w:w="1560" w:type="dxa"/>
            <w:shd w:val="clear" w:color="auto" w:fill="auto"/>
            <w:noWrap/>
            <w:vAlign w:val="center"/>
            <w:hideMark/>
          </w:tcPr>
          <w:p w14:paraId="702C0628"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8,470</w:t>
            </w:r>
          </w:p>
        </w:tc>
        <w:tc>
          <w:tcPr>
            <w:tcW w:w="1290" w:type="dxa"/>
            <w:shd w:val="clear" w:color="auto" w:fill="auto"/>
            <w:noWrap/>
            <w:vAlign w:val="center"/>
            <w:hideMark/>
          </w:tcPr>
          <w:p w14:paraId="63F5223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5,992</w:t>
            </w:r>
          </w:p>
        </w:tc>
      </w:tr>
      <w:tr w:rsidR="00F303E0" w:rsidRPr="00EE5714" w14:paraId="60A1DFB6" w14:textId="77777777" w:rsidTr="00BF1FF5">
        <w:trPr>
          <w:trHeight w:hRule="exact" w:val="245"/>
        </w:trPr>
        <w:tc>
          <w:tcPr>
            <w:tcW w:w="1530" w:type="dxa"/>
            <w:shd w:val="clear" w:color="auto" w:fill="F2F2F2" w:themeFill="background1" w:themeFillShade="F2"/>
            <w:noWrap/>
            <w:vAlign w:val="bottom"/>
            <w:hideMark/>
          </w:tcPr>
          <w:p w14:paraId="11206FAA" w14:textId="77777777" w:rsidR="00F303E0" w:rsidRPr="00EE5714" w:rsidRDefault="00F303E0" w:rsidP="007D7A46">
            <w:pPr>
              <w:keepNext/>
              <w:spacing w:after="0" w:line="240" w:lineRule="auto"/>
              <w:rPr>
                <w:rFonts w:ascii="Calibri" w:eastAsia="Times New Roman" w:hAnsi="Calibri" w:cs="Calibri"/>
                <w:b/>
                <w:color w:val="000000"/>
              </w:rPr>
            </w:pPr>
            <w:r w:rsidRPr="00EE5714">
              <w:rPr>
                <w:rFonts w:ascii="Calibri" w:eastAsia="Times New Roman" w:hAnsi="Calibri" w:cs="Calibri"/>
                <w:b/>
                <w:color w:val="000000"/>
              </w:rPr>
              <w:t>Peoples EQT</w:t>
            </w:r>
          </w:p>
        </w:tc>
        <w:tc>
          <w:tcPr>
            <w:tcW w:w="1560" w:type="dxa"/>
            <w:shd w:val="clear" w:color="auto" w:fill="auto"/>
            <w:noWrap/>
            <w:vAlign w:val="center"/>
            <w:hideMark/>
          </w:tcPr>
          <w:p w14:paraId="246888C7"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-$154.12</w:t>
            </w:r>
          </w:p>
        </w:tc>
        <w:tc>
          <w:tcPr>
            <w:tcW w:w="1560" w:type="dxa"/>
            <w:shd w:val="clear" w:color="auto" w:fill="auto"/>
            <w:noWrap/>
            <w:vAlign w:val="center"/>
            <w:hideMark/>
          </w:tcPr>
          <w:p w14:paraId="595400B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-$221.60</w:t>
            </w:r>
          </w:p>
        </w:tc>
        <w:tc>
          <w:tcPr>
            <w:tcW w:w="1560" w:type="dxa"/>
            <w:shd w:val="clear" w:color="auto" w:fill="auto"/>
            <w:noWrap/>
            <w:vAlign w:val="center"/>
            <w:hideMark/>
          </w:tcPr>
          <w:p w14:paraId="06ACAF8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-$194.74</w:t>
            </w:r>
          </w:p>
        </w:tc>
        <w:tc>
          <w:tcPr>
            <w:tcW w:w="1560" w:type="dxa"/>
            <w:shd w:val="clear" w:color="auto" w:fill="auto"/>
            <w:noWrap/>
            <w:vAlign w:val="center"/>
            <w:hideMark/>
          </w:tcPr>
          <w:p w14:paraId="29D653E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4,182</w:t>
            </w:r>
          </w:p>
        </w:tc>
        <w:tc>
          <w:tcPr>
            <w:tcW w:w="1560" w:type="dxa"/>
            <w:shd w:val="clear" w:color="auto" w:fill="auto"/>
            <w:noWrap/>
            <w:vAlign w:val="center"/>
            <w:hideMark/>
          </w:tcPr>
          <w:p w14:paraId="1E5D0BC0"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7,090</w:t>
            </w:r>
          </w:p>
        </w:tc>
        <w:tc>
          <w:tcPr>
            <w:tcW w:w="1290" w:type="dxa"/>
            <w:shd w:val="clear" w:color="auto" w:fill="auto"/>
            <w:noWrap/>
            <w:vAlign w:val="center"/>
            <w:hideMark/>
          </w:tcPr>
          <w:p w14:paraId="729887E2"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1,738</w:t>
            </w:r>
          </w:p>
        </w:tc>
      </w:tr>
      <w:tr w:rsidR="00F303E0" w:rsidRPr="00EE5714" w14:paraId="69BC5F0A" w14:textId="77777777" w:rsidTr="00BF1FF5">
        <w:trPr>
          <w:trHeight w:hRule="exact" w:val="245"/>
        </w:trPr>
        <w:tc>
          <w:tcPr>
            <w:tcW w:w="1530" w:type="dxa"/>
            <w:shd w:val="clear" w:color="auto" w:fill="F2F2F2" w:themeFill="background1" w:themeFillShade="F2"/>
            <w:noWrap/>
            <w:vAlign w:val="bottom"/>
            <w:hideMark/>
          </w:tcPr>
          <w:p w14:paraId="3D1037A3" w14:textId="77777777" w:rsidR="00F303E0" w:rsidRPr="00EE5714" w:rsidRDefault="00F303E0" w:rsidP="007D7A46">
            <w:pPr>
              <w:keepNext/>
              <w:spacing w:after="0" w:line="240" w:lineRule="auto"/>
              <w:rPr>
                <w:rFonts w:ascii="Calibri" w:eastAsia="Times New Roman" w:hAnsi="Calibri" w:cs="Calibri"/>
                <w:b/>
                <w:color w:val="000000"/>
              </w:rPr>
            </w:pPr>
            <w:r w:rsidRPr="00EE5714">
              <w:rPr>
                <w:rFonts w:ascii="Calibri" w:eastAsia="Times New Roman" w:hAnsi="Calibri" w:cs="Calibri"/>
                <w:b/>
                <w:color w:val="000000"/>
              </w:rPr>
              <w:t>PGW</w:t>
            </w:r>
          </w:p>
        </w:tc>
        <w:tc>
          <w:tcPr>
            <w:tcW w:w="1560" w:type="dxa"/>
            <w:shd w:val="clear" w:color="auto" w:fill="auto"/>
            <w:noWrap/>
            <w:vAlign w:val="center"/>
            <w:hideMark/>
          </w:tcPr>
          <w:p w14:paraId="32333EFC"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-$56.98</w:t>
            </w:r>
          </w:p>
        </w:tc>
        <w:tc>
          <w:tcPr>
            <w:tcW w:w="1560" w:type="dxa"/>
            <w:shd w:val="clear" w:color="auto" w:fill="auto"/>
            <w:noWrap/>
            <w:vAlign w:val="center"/>
            <w:hideMark/>
          </w:tcPr>
          <w:p w14:paraId="73040A0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-$330.82</w:t>
            </w:r>
          </w:p>
        </w:tc>
        <w:tc>
          <w:tcPr>
            <w:tcW w:w="1560" w:type="dxa"/>
            <w:shd w:val="clear" w:color="auto" w:fill="auto"/>
            <w:noWrap/>
            <w:vAlign w:val="center"/>
            <w:hideMark/>
          </w:tcPr>
          <w:p w14:paraId="7D02CA58"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-$696.37</w:t>
            </w:r>
          </w:p>
        </w:tc>
        <w:tc>
          <w:tcPr>
            <w:tcW w:w="1560" w:type="dxa"/>
            <w:shd w:val="clear" w:color="auto" w:fill="auto"/>
            <w:noWrap/>
            <w:vAlign w:val="center"/>
            <w:hideMark/>
          </w:tcPr>
          <w:p w14:paraId="6F199D8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18,795</w:t>
            </w:r>
          </w:p>
        </w:tc>
        <w:tc>
          <w:tcPr>
            <w:tcW w:w="1560" w:type="dxa"/>
            <w:shd w:val="clear" w:color="auto" w:fill="auto"/>
            <w:noWrap/>
            <w:vAlign w:val="center"/>
            <w:hideMark/>
          </w:tcPr>
          <w:p w14:paraId="44BE6013"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36,365</w:t>
            </w:r>
          </w:p>
        </w:tc>
        <w:tc>
          <w:tcPr>
            <w:tcW w:w="1290" w:type="dxa"/>
            <w:shd w:val="clear" w:color="auto" w:fill="auto"/>
            <w:noWrap/>
            <w:vAlign w:val="center"/>
            <w:hideMark/>
          </w:tcPr>
          <w:p w14:paraId="56788CB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10,808</w:t>
            </w:r>
          </w:p>
        </w:tc>
      </w:tr>
      <w:tr w:rsidR="00F303E0" w:rsidRPr="00EE5714" w14:paraId="7418E57D" w14:textId="77777777" w:rsidTr="00BF1FF5">
        <w:trPr>
          <w:trHeight w:hRule="exact" w:val="245"/>
        </w:trPr>
        <w:tc>
          <w:tcPr>
            <w:tcW w:w="1530" w:type="dxa"/>
            <w:shd w:val="clear" w:color="auto" w:fill="F2F2F2" w:themeFill="background1" w:themeFillShade="F2"/>
            <w:noWrap/>
            <w:vAlign w:val="bottom"/>
            <w:hideMark/>
          </w:tcPr>
          <w:p w14:paraId="7A96F2CC" w14:textId="77777777" w:rsidR="00F303E0" w:rsidRPr="00EE5714" w:rsidRDefault="00F303E0" w:rsidP="007D7A46">
            <w:pPr>
              <w:keepNext/>
              <w:spacing w:after="0" w:line="240" w:lineRule="auto"/>
              <w:rPr>
                <w:rFonts w:ascii="Calibri" w:eastAsia="Times New Roman" w:hAnsi="Calibri" w:cs="Calibri"/>
                <w:b/>
                <w:color w:val="000000"/>
              </w:rPr>
            </w:pPr>
            <w:r w:rsidRPr="00EE5714">
              <w:rPr>
                <w:rFonts w:ascii="Calibri" w:eastAsia="Times New Roman" w:hAnsi="Calibri" w:cs="Calibri"/>
                <w:b/>
                <w:color w:val="000000"/>
              </w:rPr>
              <w:t>UGI Gas</w:t>
            </w:r>
          </w:p>
        </w:tc>
        <w:tc>
          <w:tcPr>
            <w:tcW w:w="1560" w:type="dxa"/>
            <w:shd w:val="clear" w:color="auto" w:fill="auto"/>
            <w:noWrap/>
            <w:vAlign w:val="center"/>
            <w:hideMark/>
          </w:tcPr>
          <w:p w14:paraId="0BED7918"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-$215.49</w:t>
            </w:r>
          </w:p>
        </w:tc>
        <w:tc>
          <w:tcPr>
            <w:tcW w:w="1560" w:type="dxa"/>
            <w:shd w:val="clear" w:color="auto" w:fill="auto"/>
            <w:noWrap/>
            <w:vAlign w:val="center"/>
            <w:hideMark/>
          </w:tcPr>
          <w:p w14:paraId="304B404C"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-$142.69</w:t>
            </w:r>
          </w:p>
        </w:tc>
        <w:tc>
          <w:tcPr>
            <w:tcW w:w="1560" w:type="dxa"/>
            <w:shd w:val="clear" w:color="auto" w:fill="auto"/>
            <w:noWrap/>
            <w:vAlign w:val="center"/>
            <w:hideMark/>
          </w:tcPr>
          <w:p w14:paraId="51EE6E63"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-$159.33</w:t>
            </w:r>
          </w:p>
        </w:tc>
        <w:tc>
          <w:tcPr>
            <w:tcW w:w="1560" w:type="dxa"/>
            <w:shd w:val="clear" w:color="auto" w:fill="auto"/>
            <w:noWrap/>
            <w:vAlign w:val="center"/>
            <w:hideMark/>
          </w:tcPr>
          <w:p w14:paraId="430DB072"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2,300</w:t>
            </w:r>
          </w:p>
        </w:tc>
        <w:tc>
          <w:tcPr>
            <w:tcW w:w="1560" w:type="dxa"/>
            <w:shd w:val="clear" w:color="auto" w:fill="auto"/>
            <w:noWrap/>
            <w:vAlign w:val="center"/>
            <w:hideMark/>
          </w:tcPr>
          <w:p w14:paraId="7F36CF2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3,317</w:t>
            </w:r>
          </w:p>
        </w:tc>
        <w:tc>
          <w:tcPr>
            <w:tcW w:w="1290" w:type="dxa"/>
            <w:shd w:val="clear" w:color="auto" w:fill="auto"/>
            <w:noWrap/>
            <w:vAlign w:val="center"/>
            <w:hideMark/>
          </w:tcPr>
          <w:p w14:paraId="74B58E1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983</w:t>
            </w:r>
          </w:p>
        </w:tc>
      </w:tr>
      <w:tr w:rsidR="00F303E0" w:rsidRPr="00EE5714" w14:paraId="606F64F5" w14:textId="77777777" w:rsidTr="00BF1FF5">
        <w:trPr>
          <w:trHeight w:hRule="exact" w:val="245"/>
        </w:trPr>
        <w:tc>
          <w:tcPr>
            <w:tcW w:w="1530" w:type="dxa"/>
            <w:shd w:val="clear" w:color="auto" w:fill="F2F2F2" w:themeFill="background1" w:themeFillShade="F2"/>
            <w:noWrap/>
            <w:vAlign w:val="bottom"/>
            <w:hideMark/>
          </w:tcPr>
          <w:p w14:paraId="7A28E438" w14:textId="77777777" w:rsidR="00F303E0" w:rsidRPr="00EE5714" w:rsidRDefault="00F303E0" w:rsidP="007D7A46">
            <w:pPr>
              <w:keepNext/>
              <w:spacing w:after="0" w:line="240" w:lineRule="auto"/>
              <w:rPr>
                <w:rFonts w:ascii="Calibri" w:eastAsia="Times New Roman" w:hAnsi="Calibri" w:cs="Calibri"/>
                <w:b/>
                <w:color w:val="000000"/>
              </w:rPr>
            </w:pPr>
            <w:r w:rsidRPr="00EE5714">
              <w:rPr>
                <w:rFonts w:ascii="Calibri" w:eastAsia="Times New Roman" w:hAnsi="Calibri" w:cs="Calibri"/>
                <w:b/>
                <w:color w:val="000000"/>
              </w:rPr>
              <w:t>UGI PNG</w:t>
            </w:r>
          </w:p>
        </w:tc>
        <w:tc>
          <w:tcPr>
            <w:tcW w:w="1560" w:type="dxa"/>
            <w:shd w:val="clear" w:color="auto" w:fill="auto"/>
            <w:noWrap/>
            <w:vAlign w:val="center"/>
            <w:hideMark/>
          </w:tcPr>
          <w:p w14:paraId="0DC82345"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-$264.12</w:t>
            </w:r>
          </w:p>
        </w:tc>
        <w:tc>
          <w:tcPr>
            <w:tcW w:w="1560" w:type="dxa"/>
            <w:shd w:val="clear" w:color="auto" w:fill="auto"/>
            <w:noWrap/>
            <w:vAlign w:val="center"/>
            <w:hideMark/>
          </w:tcPr>
          <w:p w14:paraId="51FDC955"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-$209.47</w:t>
            </w:r>
          </w:p>
        </w:tc>
        <w:tc>
          <w:tcPr>
            <w:tcW w:w="1560" w:type="dxa"/>
            <w:shd w:val="clear" w:color="auto" w:fill="auto"/>
            <w:noWrap/>
            <w:vAlign w:val="center"/>
            <w:hideMark/>
          </w:tcPr>
          <w:p w14:paraId="1021B5B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-$176.26</w:t>
            </w:r>
          </w:p>
        </w:tc>
        <w:tc>
          <w:tcPr>
            <w:tcW w:w="1560" w:type="dxa"/>
            <w:shd w:val="clear" w:color="auto" w:fill="auto"/>
            <w:noWrap/>
            <w:vAlign w:val="center"/>
            <w:hideMark/>
          </w:tcPr>
          <w:p w14:paraId="784526A3"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1,289</w:t>
            </w:r>
          </w:p>
        </w:tc>
        <w:tc>
          <w:tcPr>
            <w:tcW w:w="1560" w:type="dxa"/>
            <w:shd w:val="clear" w:color="auto" w:fill="auto"/>
            <w:noWrap/>
            <w:vAlign w:val="center"/>
            <w:hideMark/>
          </w:tcPr>
          <w:p w14:paraId="0FE83068"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2,752</w:t>
            </w:r>
          </w:p>
        </w:tc>
        <w:tc>
          <w:tcPr>
            <w:tcW w:w="1290" w:type="dxa"/>
            <w:shd w:val="clear" w:color="auto" w:fill="auto"/>
            <w:noWrap/>
            <w:vAlign w:val="center"/>
            <w:hideMark/>
          </w:tcPr>
          <w:p w14:paraId="5995BC8D"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1,083</w:t>
            </w:r>
          </w:p>
        </w:tc>
      </w:tr>
    </w:tbl>
    <w:p w14:paraId="2C80EEE3" w14:textId="320B1DE1" w:rsidR="00F303E0" w:rsidRPr="00EE5714" w:rsidRDefault="00F303E0" w:rsidP="00500E02">
      <w:pPr>
        <w:pStyle w:val="NoSpacing"/>
        <w:rPr>
          <w:rFonts w:cs="Times New Roman"/>
          <w:sz w:val="24"/>
          <w:szCs w:val="24"/>
        </w:rPr>
      </w:pPr>
      <w:r w:rsidRPr="00EE5714">
        <w:rPr>
          <w:rFonts w:eastAsia="Times New Roman" w:cs="Times New Roman"/>
          <w:color w:val="000000"/>
          <w:sz w:val="24"/>
          <w:szCs w:val="24"/>
        </w:rPr>
        <w:t>Note: NFG not included in Model because data w</w:t>
      </w:r>
      <w:r w:rsidR="00E31F30" w:rsidRPr="00EE5714">
        <w:rPr>
          <w:rFonts w:eastAsia="Times New Roman" w:cs="Times New Roman"/>
          <w:color w:val="000000"/>
          <w:sz w:val="24"/>
          <w:szCs w:val="24"/>
        </w:rPr>
        <w:t>ere</w:t>
      </w:r>
      <w:r w:rsidRPr="00EE5714">
        <w:rPr>
          <w:rFonts w:eastAsia="Times New Roman" w:cs="Times New Roman"/>
          <w:color w:val="000000"/>
          <w:sz w:val="24"/>
          <w:szCs w:val="24"/>
        </w:rPr>
        <w:t xml:space="preserve"> not available at specific FPIG levels.</w:t>
      </w:r>
    </w:p>
    <w:p w14:paraId="695932CF" w14:textId="77777777" w:rsidR="00F303E0" w:rsidRPr="00EE5714" w:rsidRDefault="00F303E0" w:rsidP="007D7A46">
      <w:pPr>
        <w:pStyle w:val="NoSpacing"/>
        <w:rPr>
          <w:rFonts w:cs="Times New Roman"/>
          <w:szCs w:val="26"/>
        </w:rPr>
      </w:pPr>
    </w:p>
    <w:p w14:paraId="1DFF1FD2" w14:textId="77777777" w:rsidR="00BF1FF5" w:rsidRPr="00EE5714" w:rsidRDefault="00BF1FF5" w:rsidP="007D7A46">
      <w:pPr>
        <w:pStyle w:val="NoSpacing"/>
        <w:rPr>
          <w:rFonts w:cs="Times New Roman"/>
          <w:szCs w:val="26"/>
        </w:rPr>
      </w:pPr>
    </w:p>
    <w:p w14:paraId="5F746EFD" w14:textId="217440F9" w:rsidR="00F303E0" w:rsidRPr="00EE5714" w:rsidRDefault="00F734A0" w:rsidP="007D7A46">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4655B9" w:rsidRPr="00EE5714">
        <w:rPr>
          <w:rFonts w:cs="Times New Roman"/>
          <w:szCs w:val="26"/>
        </w:rPr>
        <w:t>I</w:t>
      </w:r>
      <w:r w:rsidR="00F303E0" w:rsidRPr="00EE5714">
        <w:rPr>
          <w:rFonts w:cs="Times New Roman"/>
          <w:szCs w:val="26"/>
        </w:rPr>
        <w:t xml:space="preserve">.2: </w:t>
      </w:r>
      <w:r w:rsidR="00F303E0" w:rsidRPr="00EE5714">
        <w:rPr>
          <w:rFonts w:eastAsia="Times New Roman" w:cs="Times New Roman"/>
          <w:b/>
          <w:bCs/>
          <w:color w:val="000000"/>
          <w:szCs w:val="26"/>
        </w:rPr>
        <w:t>NGDC Model for 6% Energy Burden – Costs</w:t>
      </w:r>
    </w:p>
    <w:tbl>
      <w:tblPr>
        <w:tblW w:w="10620" w:type="dxa"/>
        <w:tblInd w:w="-6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28"/>
        <w:gridCol w:w="1639"/>
        <w:gridCol w:w="1513"/>
        <w:gridCol w:w="1530"/>
        <w:gridCol w:w="2312"/>
        <w:gridCol w:w="2098"/>
      </w:tblGrid>
      <w:tr w:rsidR="00F303E0" w:rsidRPr="00EE5714" w14:paraId="01157671" w14:textId="77777777" w:rsidTr="00F045D8">
        <w:trPr>
          <w:trHeight w:val="403"/>
        </w:trPr>
        <w:tc>
          <w:tcPr>
            <w:tcW w:w="10620" w:type="dxa"/>
            <w:gridSpan w:val="6"/>
            <w:shd w:val="clear" w:color="auto" w:fill="BFBFBF" w:themeFill="background1" w:themeFillShade="BF"/>
            <w:vAlign w:val="center"/>
          </w:tcPr>
          <w:p w14:paraId="10D2C67D"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NGDC Model for 6% Energy Burden </w:t>
            </w:r>
          </w:p>
        </w:tc>
      </w:tr>
      <w:tr w:rsidR="00F303E0" w:rsidRPr="00EE5714" w14:paraId="7536963E" w14:textId="77777777" w:rsidTr="00F045D8">
        <w:trPr>
          <w:trHeight w:val="806"/>
        </w:trPr>
        <w:tc>
          <w:tcPr>
            <w:tcW w:w="1528" w:type="dxa"/>
          </w:tcPr>
          <w:p w14:paraId="2F6D760A"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4682" w:type="dxa"/>
            <w:gridSpan w:val="3"/>
            <w:shd w:val="clear" w:color="auto" w:fill="auto"/>
            <w:noWrap/>
            <w:vAlign w:val="center"/>
            <w:hideMark/>
          </w:tcPr>
          <w:p w14:paraId="15561ED3"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AVG Cost to Reach 6% EB </w:t>
            </w:r>
          </w:p>
          <w:p w14:paraId="23E944AE"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4410" w:type="dxa"/>
            <w:gridSpan w:val="2"/>
            <w:shd w:val="clear" w:color="auto" w:fill="auto"/>
            <w:noWrap/>
            <w:vAlign w:val="center"/>
            <w:hideMark/>
          </w:tcPr>
          <w:p w14:paraId="46FC95FF"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Incremental Cost to Change CAP Customers</w:t>
            </w:r>
          </w:p>
          <w:p w14:paraId="63134478"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Currently Over 6% with Gas Heating, down to a targeted 6% Energy Burden</w:t>
            </w:r>
          </w:p>
        </w:tc>
      </w:tr>
      <w:tr w:rsidR="00F303E0" w:rsidRPr="00EE5714" w14:paraId="36373903" w14:textId="77777777" w:rsidTr="00F045D8">
        <w:trPr>
          <w:trHeight w:hRule="exact" w:val="245"/>
        </w:trPr>
        <w:tc>
          <w:tcPr>
            <w:tcW w:w="1528" w:type="dxa"/>
            <w:shd w:val="clear" w:color="auto" w:fill="F2F2F2" w:themeFill="background1" w:themeFillShade="F2"/>
          </w:tcPr>
          <w:p w14:paraId="4A2EC2E2" w14:textId="77777777" w:rsidR="00F303E0" w:rsidRPr="00EE5714" w:rsidRDefault="00F303E0" w:rsidP="007D7A46">
            <w:pPr>
              <w:keepNext/>
              <w:spacing w:after="0" w:line="240" w:lineRule="auto"/>
              <w:rPr>
                <w:rFonts w:ascii="Calibri" w:eastAsia="Times New Roman" w:hAnsi="Calibri" w:cs="Calibri"/>
                <w:i/>
                <w:color w:val="000000"/>
              </w:rPr>
            </w:pPr>
            <w:r w:rsidRPr="00EE5714">
              <w:rPr>
                <w:rFonts w:ascii="Calibri" w:eastAsia="Times New Roman" w:hAnsi="Calibri" w:cs="Calibri"/>
                <w:b/>
                <w:bCs/>
                <w:i/>
                <w:color w:val="000000"/>
              </w:rPr>
              <w:t>FPIG Level</w:t>
            </w:r>
          </w:p>
        </w:tc>
        <w:tc>
          <w:tcPr>
            <w:tcW w:w="1639" w:type="dxa"/>
            <w:shd w:val="clear" w:color="auto" w:fill="F2F2F2" w:themeFill="background1" w:themeFillShade="F2"/>
            <w:noWrap/>
            <w:vAlign w:val="bottom"/>
            <w:hideMark/>
          </w:tcPr>
          <w:p w14:paraId="7EF72367"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50%</w:t>
            </w:r>
          </w:p>
        </w:tc>
        <w:tc>
          <w:tcPr>
            <w:tcW w:w="1513" w:type="dxa"/>
            <w:shd w:val="clear" w:color="auto" w:fill="F2F2F2" w:themeFill="background1" w:themeFillShade="F2"/>
            <w:noWrap/>
            <w:vAlign w:val="bottom"/>
            <w:hideMark/>
          </w:tcPr>
          <w:p w14:paraId="6A16154F"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100%</w:t>
            </w:r>
          </w:p>
        </w:tc>
        <w:tc>
          <w:tcPr>
            <w:tcW w:w="1530" w:type="dxa"/>
            <w:shd w:val="clear" w:color="auto" w:fill="F2F2F2" w:themeFill="background1" w:themeFillShade="F2"/>
            <w:noWrap/>
            <w:vAlign w:val="bottom"/>
            <w:hideMark/>
          </w:tcPr>
          <w:p w14:paraId="6C3C714E"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150%</w:t>
            </w:r>
          </w:p>
        </w:tc>
        <w:tc>
          <w:tcPr>
            <w:tcW w:w="2312" w:type="dxa"/>
            <w:shd w:val="clear" w:color="auto" w:fill="F2F2F2" w:themeFill="background1" w:themeFillShade="F2"/>
            <w:noWrap/>
            <w:vAlign w:val="bottom"/>
            <w:hideMark/>
          </w:tcPr>
          <w:p w14:paraId="65D3B5F8"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Company</w:t>
            </w:r>
          </w:p>
        </w:tc>
        <w:tc>
          <w:tcPr>
            <w:tcW w:w="2098" w:type="dxa"/>
            <w:shd w:val="clear" w:color="auto" w:fill="F2F2F2" w:themeFill="background1" w:themeFillShade="F2"/>
            <w:vAlign w:val="bottom"/>
          </w:tcPr>
          <w:p w14:paraId="05F8D605"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Amount</w:t>
            </w:r>
          </w:p>
        </w:tc>
      </w:tr>
      <w:tr w:rsidR="00F303E0" w:rsidRPr="00EE5714" w14:paraId="0D08C46C" w14:textId="77777777" w:rsidTr="00F045D8">
        <w:trPr>
          <w:trHeight w:hRule="exact" w:val="245"/>
        </w:trPr>
        <w:tc>
          <w:tcPr>
            <w:tcW w:w="1528" w:type="dxa"/>
          </w:tcPr>
          <w:p w14:paraId="7F92EE98"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1639" w:type="dxa"/>
            <w:shd w:val="clear" w:color="auto" w:fill="auto"/>
            <w:noWrap/>
            <w:vAlign w:val="bottom"/>
            <w:hideMark/>
          </w:tcPr>
          <w:p w14:paraId="42D83A80" w14:textId="77777777" w:rsidR="00F303E0" w:rsidRPr="00EE5714" w:rsidRDefault="00F303E0" w:rsidP="007D7A46">
            <w:pPr>
              <w:keepNext/>
              <w:spacing w:after="0" w:line="240" w:lineRule="auto"/>
              <w:jc w:val="center"/>
              <w:rPr>
                <w:rFonts w:ascii="Calibri" w:eastAsia="Times New Roman" w:hAnsi="Calibri" w:cs="Calibri"/>
                <w:b/>
                <w:bCs/>
                <w:color w:val="000000"/>
                <w:sz w:val="21"/>
                <w:szCs w:val="21"/>
              </w:rPr>
            </w:pPr>
          </w:p>
        </w:tc>
        <w:tc>
          <w:tcPr>
            <w:tcW w:w="1513" w:type="dxa"/>
            <w:shd w:val="clear" w:color="auto" w:fill="auto"/>
            <w:noWrap/>
            <w:vAlign w:val="bottom"/>
            <w:hideMark/>
          </w:tcPr>
          <w:p w14:paraId="7C490EF2" w14:textId="77777777" w:rsidR="00F303E0" w:rsidRPr="00EE5714" w:rsidRDefault="00F303E0" w:rsidP="007D7A46">
            <w:pPr>
              <w:keepNext/>
              <w:spacing w:after="0" w:line="240" w:lineRule="auto"/>
              <w:jc w:val="center"/>
              <w:rPr>
                <w:rFonts w:ascii="Times New Roman" w:eastAsia="Times New Roman" w:hAnsi="Times New Roman" w:cs="Times New Roman"/>
                <w:sz w:val="21"/>
                <w:szCs w:val="21"/>
              </w:rPr>
            </w:pPr>
          </w:p>
        </w:tc>
        <w:tc>
          <w:tcPr>
            <w:tcW w:w="1530" w:type="dxa"/>
            <w:shd w:val="clear" w:color="auto" w:fill="auto"/>
            <w:noWrap/>
            <w:vAlign w:val="bottom"/>
            <w:hideMark/>
          </w:tcPr>
          <w:p w14:paraId="19CF60F0" w14:textId="77777777" w:rsidR="00F303E0" w:rsidRPr="00EE5714" w:rsidRDefault="00F303E0" w:rsidP="007D7A46">
            <w:pPr>
              <w:keepNext/>
              <w:spacing w:after="0" w:line="240" w:lineRule="auto"/>
              <w:jc w:val="center"/>
              <w:rPr>
                <w:rFonts w:ascii="Times New Roman" w:eastAsia="Times New Roman" w:hAnsi="Times New Roman" w:cs="Times New Roman"/>
                <w:sz w:val="21"/>
                <w:szCs w:val="21"/>
              </w:rPr>
            </w:pPr>
          </w:p>
        </w:tc>
        <w:tc>
          <w:tcPr>
            <w:tcW w:w="2312" w:type="dxa"/>
            <w:shd w:val="clear" w:color="auto" w:fill="auto"/>
            <w:noWrap/>
            <w:vAlign w:val="bottom"/>
            <w:hideMark/>
          </w:tcPr>
          <w:p w14:paraId="43C696F4"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2098" w:type="dxa"/>
            <w:shd w:val="clear" w:color="auto" w:fill="auto"/>
            <w:noWrap/>
            <w:vAlign w:val="bottom"/>
            <w:hideMark/>
          </w:tcPr>
          <w:p w14:paraId="3499D839"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r>
      <w:tr w:rsidR="00F303E0" w:rsidRPr="00EE5714" w14:paraId="7001F7A6" w14:textId="77777777" w:rsidTr="00F045D8">
        <w:trPr>
          <w:trHeight w:hRule="exact" w:val="245"/>
        </w:trPr>
        <w:tc>
          <w:tcPr>
            <w:tcW w:w="1528" w:type="dxa"/>
            <w:shd w:val="clear" w:color="auto" w:fill="F2F2F2" w:themeFill="background1" w:themeFillShade="F2"/>
            <w:vAlign w:val="bottom"/>
          </w:tcPr>
          <w:p w14:paraId="2464222D"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Columbia</w:t>
            </w:r>
          </w:p>
        </w:tc>
        <w:tc>
          <w:tcPr>
            <w:tcW w:w="1639" w:type="dxa"/>
            <w:shd w:val="clear" w:color="auto" w:fill="auto"/>
            <w:noWrap/>
            <w:vAlign w:val="center"/>
            <w:hideMark/>
          </w:tcPr>
          <w:p w14:paraId="307FE201"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-$1,141,671</w:t>
            </w:r>
          </w:p>
        </w:tc>
        <w:tc>
          <w:tcPr>
            <w:tcW w:w="1513" w:type="dxa"/>
            <w:shd w:val="clear" w:color="auto" w:fill="auto"/>
            <w:noWrap/>
            <w:vAlign w:val="center"/>
            <w:hideMark/>
          </w:tcPr>
          <w:p w14:paraId="350E090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1530" w:type="dxa"/>
            <w:shd w:val="clear" w:color="auto" w:fill="auto"/>
            <w:noWrap/>
            <w:vAlign w:val="center"/>
            <w:hideMark/>
          </w:tcPr>
          <w:p w14:paraId="767DCC2D"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2312" w:type="dxa"/>
            <w:shd w:val="clear" w:color="auto" w:fill="F2F2F2" w:themeFill="background1" w:themeFillShade="F2"/>
            <w:noWrap/>
            <w:vAlign w:val="bottom"/>
            <w:hideMark/>
          </w:tcPr>
          <w:p w14:paraId="530ECABD"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Columbia</w:t>
            </w:r>
          </w:p>
        </w:tc>
        <w:tc>
          <w:tcPr>
            <w:tcW w:w="2098" w:type="dxa"/>
            <w:shd w:val="clear" w:color="auto" w:fill="auto"/>
            <w:noWrap/>
            <w:vAlign w:val="center"/>
            <w:hideMark/>
          </w:tcPr>
          <w:p w14:paraId="7984A02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-$1,141,671</w:t>
            </w:r>
          </w:p>
        </w:tc>
      </w:tr>
      <w:tr w:rsidR="00F303E0" w:rsidRPr="00EE5714" w14:paraId="7157FE6D" w14:textId="77777777" w:rsidTr="00F045D8">
        <w:trPr>
          <w:trHeight w:hRule="exact" w:val="245"/>
        </w:trPr>
        <w:tc>
          <w:tcPr>
            <w:tcW w:w="1528" w:type="dxa"/>
            <w:shd w:val="clear" w:color="auto" w:fill="F2F2F2" w:themeFill="background1" w:themeFillShade="F2"/>
            <w:vAlign w:val="bottom"/>
          </w:tcPr>
          <w:p w14:paraId="16868DB9"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PECO Gas</w:t>
            </w:r>
          </w:p>
        </w:tc>
        <w:tc>
          <w:tcPr>
            <w:tcW w:w="1639" w:type="dxa"/>
            <w:shd w:val="clear" w:color="auto" w:fill="auto"/>
            <w:noWrap/>
            <w:vAlign w:val="center"/>
            <w:hideMark/>
          </w:tcPr>
          <w:p w14:paraId="42F7B3C5"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-$949,472</w:t>
            </w:r>
          </w:p>
        </w:tc>
        <w:tc>
          <w:tcPr>
            <w:tcW w:w="1513" w:type="dxa"/>
            <w:shd w:val="clear" w:color="auto" w:fill="auto"/>
            <w:noWrap/>
            <w:vAlign w:val="center"/>
            <w:hideMark/>
          </w:tcPr>
          <w:p w14:paraId="33B863E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-$1,455,171</w:t>
            </w:r>
          </w:p>
        </w:tc>
        <w:tc>
          <w:tcPr>
            <w:tcW w:w="1530" w:type="dxa"/>
            <w:shd w:val="clear" w:color="auto" w:fill="auto"/>
            <w:noWrap/>
            <w:vAlign w:val="center"/>
            <w:hideMark/>
          </w:tcPr>
          <w:p w14:paraId="43DE99B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-$1,071,488</w:t>
            </w:r>
          </w:p>
        </w:tc>
        <w:tc>
          <w:tcPr>
            <w:tcW w:w="2312" w:type="dxa"/>
            <w:shd w:val="clear" w:color="auto" w:fill="F2F2F2" w:themeFill="background1" w:themeFillShade="F2"/>
            <w:noWrap/>
            <w:vAlign w:val="bottom"/>
            <w:hideMark/>
          </w:tcPr>
          <w:p w14:paraId="4DBC1623"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Gas</w:t>
            </w:r>
          </w:p>
        </w:tc>
        <w:tc>
          <w:tcPr>
            <w:tcW w:w="2098" w:type="dxa"/>
            <w:shd w:val="clear" w:color="auto" w:fill="auto"/>
            <w:noWrap/>
            <w:vAlign w:val="center"/>
            <w:hideMark/>
          </w:tcPr>
          <w:p w14:paraId="43AA24F1"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-$3,476,132</w:t>
            </w:r>
          </w:p>
        </w:tc>
      </w:tr>
      <w:tr w:rsidR="00F303E0" w:rsidRPr="00EE5714" w14:paraId="167B5FD2" w14:textId="77777777" w:rsidTr="00F045D8">
        <w:trPr>
          <w:trHeight w:hRule="exact" w:val="245"/>
        </w:trPr>
        <w:tc>
          <w:tcPr>
            <w:tcW w:w="1528" w:type="dxa"/>
            <w:shd w:val="clear" w:color="auto" w:fill="F2F2F2" w:themeFill="background1" w:themeFillShade="F2"/>
            <w:vAlign w:val="bottom"/>
          </w:tcPr>
          <w:p w14:paraId="57C8835F"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Peoples</w:t>
            </w:r>
          </w:p>
        </w:tc>
        <w:tc>
          <w:tcPr>
            <w:tcW w:w="1639" w:type="dxa"/>
            <w:shd w:val="clear" w:color="auto" w:fill="auto"/>
            <w:noWrap/>
            <w:vAlign w:val="center"/>
            <w:hideMark/>
          </w:tcPr>
          <w:p w14:paraId="4264C361"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-$482,898</w:t>
            </w:r>
          </w:p>
        </w:tc>
        <w:tc>
          <w:tcPr>
            <w:tcW w:w="1513" w:type="dxa"/>
            <w:shd w:val="clear" w:color="auto" w:fill="auto"/>
            <w:noWrap/>
            <w:vAlign w:val="center"/>
            <w:hideMark/>
          </w:tcPr>
          <w:p w14:paraId="2EA8415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-$988,893</w:t>
            </w:r>
          </w:p>
        </w:tc>
        <w:tc>
          <w:tcPr>
            <w:tcW w:w="1530" w:type="dxa"/>
            <w:shd w:val="clear" w:color="auto" w:fill="auto"/>
            <w:noWrap/>
            <w:vAlign w:val="center"/>
            <w:hideMark/>
          </w:tcPr>
          <w:p w14:paraId="07DFB66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2312" w:type="dxa"/>
            <w:shd w:val="clear" w:color="auto" w:fill="F2F2F2" w:themeFill="background1" w:themeFillShade="F2"/>
            <w:noWrap/>
            <w:vAlign w:val="bottom"/>
            <w:hideMark/>
          </w:tcPr>
          <w:p w14:paraId="2C6509F9"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Peoples</w:t>
            </w:r>
          </w:p>
        </w:tc>
        <w:tc>
          <w:tcPr>
            <w:tcW w:w="2098" w:type="dxa"/>
            <w:shd w:val="clear" w:color="auto" w:fill="auto"/>
            <w:noWrap/>
            <w:vAlign w:val="center"/>
            <w:hideMark/>
          </w:tcPr>
          <w:p w14:paraId="3B3C61A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-$1,471,791</w:t>
            </w:r>
          </w:p>
        </w:tc>
      </w:tr>
      <w:tr w:rsidR="00F303E0" w:rsidRPr="00EE5714" w14:paraId="4055842B" w14:textId="77777777" w:rsidTr="00F045D8">
        <w:trPr>
          <w:trHeight w:hRule="exact" w:val="245"/>
        </w:trPr>
        <w:tc>
          <w:tcPr>
            <w:tcW w:w="1528" w:type="dxa"/>
            <w:shd w:val="clear" w:color="auto" w:fill="F2F2F2" w:themeFill="background1" w:themeFillShade="F2"/>
            <w:vAlign w:val="bottom"/>
          </w:tcPr>
          <w:p w14:paraId="1617C373"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Peoples EQT</w:t>
            </w:r>
          </w:p>
        </w:tc>
        <w:tc>
          <w:tcPr>
            <w:tcW w:w="1639" w:type="dxa"/>
            <w:shd w:val="clear" w:color="auto" w:fill="auto"/>
            <w:noWrap/>
            <w:vAlign w:val="center"/>
            <w:hideMark/>
          </w:tcPr>
          <w:p w14:paraId="28B1C32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-$644,602</w:t>
            </w:r>
          </w:p>
        </w:tc>
        <w:tc>
          <w:tcPr>
            <w:tcW w:w="1513" w:type="dxa"/>
            <w:shd w:val="clear" w:color="auto" w:fill="auto"/>
            <w:noWrap/>
            <w:vAlign w:val="center"/>
            <w:hideMark/>
          </w:tcPr>
          <w:p w14:paraId="4699A29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-$1,571,350</w:t>
            </w:r>
          </w:p>
        </w:tc>
        <w:tc>
          <w:tcPr>
            <w:tcW w:w="1530" w:type="dxa"/>
            <w:shd w:val="clear" w:color="auto" w:fill="auto"/>
            <w:noWrap/>
            <w:vAlign w:val="center"/>
            <w:hideMark/>
          </w:tcPr>
          <w:p w14:paraId="0EFF3D65"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-$338,627</w:t>
            </w:r>
          </w:p>
        </w:tc>
        <w:tc>
          <w:tcPr>
            <w:tcW w:w="2312" w:type="dxa"/>
            <w:shd w:val="clear" w:color="auto" w:fill="F2F2F2" w:themeFill="background1" w:themeFillShade="F2"/>
            <w:noWrap/>
            <w:vAlign w:val="bottom"/>
            <w:hideMark/>
          </w:tcPr>
          <w:p w14:paraId="70E30A8E"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EQT</w:t>
            </w:r>
          </w:p>
        </w:tc>
        <w:tc>
          <w:tcPr>
            <w:tcW w:w="2098" w:type="dxa"/>
            <w:shd w:val="clear" w:color="auto" w:fill="auto"/>
            <w:noWrap/>
            <w:vAlign w:val="center"/>
            <w:hideMark/>
          </w:tcPr>
          <w:p w14:paraId="5118D2A2"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-$2,554,578</w:t>
            </w:r>
          </w:p>
        </w:tc>
      </w:tr>
      <w:tr w:rsidR="00F303E0" w:rsidRPr="00EE5714" w14:paraId="4D76A0AC" w14:textId="77777777" w:rsidTr="00F045D8">
        <w:trPr>
          <w:trHeight w:hRule="exact" w:val="245"/>
        </w:trPr>
        <w:tc>
          <w:tcPr>
            <w:tcW w:w="1528" w:type="dxa"/>
            <w:shd w:val="clear" w:color="auto" w:fill="F2F2F2" w:themeFill="background1" w:themeFillShade="F2"/>
            <w:vAlign w:val="bottom"/>
          </w:tcPr>
          <w:p w14:paraId="2BBC2E01"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PGW</w:t>
            </w:r>
          </w:p>
        </w:tc>
        <w:tc>
          <w:tcPr>
            <w:tcW w:w="1639" w:type="dxa"/>
            <w:shd w:val="clear" w:color="auto" w:fill="auto"/>
            <w:noWrap/>
            <w:vAlign w:val="center"/>
            <w:hideMark/>
          </w:tcPr>
          <w:p w14:paraId="6D3DA1A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-$1,070,907</w:t>
            </w:r>
          </w:p>
        </w:tc>
        <w:tc>
          <w:tcPr>
            <w:tcW w:w="1513" w:type="dxa"/>
            <w:shd w:val="clear" w:color="auto" w:fill="auto"/>
            <w:noWrap/>
            <w:vAlign w:val="center"/>
            <w:hideMark/>
          </w:tcPr>
          <w:p w14:paraId="70701DF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-$12,030,427</w:t>
            </w:r>
          </w:p>
        </w:tc>
        <w:tc>
          <w:tcPr>
            <w:tcW w:w="1530" w:type="dxa"/>
            <w:shd w:val="clear" w:color="auto" w:fill="auto"/>
            <w:noWrap/>
            <w:vAlign w:val="center"/>
            <w:hideMark/>
          </w:tcPr>
          <w:p w14:paraId="183BA9A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-$7,526,891</w:t>
            </w:r>
          </w:p>
        </w:tc>
        <w:tc>
          <w:tcPr>
            <w:tcW w:w="2312" w:type="dxa"/>
            <w:shd w:val="clear" w:color="auto" w:fill="F2F2F2" w:themeFill="background1" w:themeFillShade="F2"/>
            <w:noWrap/>
            <w:vAlign w:val="bottom"/>
            <w:hideMark/>
          </w:tcPr>
          <w:p w14:paraId="43E89322"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PGW</w:t>
            </w:r>
          </w:p>
        </w:tc>
        <w:tc>
          <w:tcPr>
            <w:tcW w:w="2098" w:type="dxa"/>
            <w:shd w:val="clear" w:color="auto" w:fill="auto"/>
            <w:noWrap/>
            <w:vAlign w:val="center"/>
            <w:hideMark/>
          </w:tcPr>
          <w:p w14:paraId="4C6157E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-$20,628,225</w:t>
            </w:r>
          </w:p>
        </w:tc>
      </w:tr>
      <w:tr w:rsidR="00F303E0" w:rsidRPr="00EE5714" w14:paraId="73FB9228" w14:textId="77777777" w:rsidTr="00F045D8">
        <w:trPr>
          <w:trHeight w:hRule="exact" w:val="245"/>
        </w:trPr>
        <w:tc>
          <w:tcPr>
            <w:tcW w:w="1528" w:type="dxa"/>
            <w:shd w:val="clear" w:color="auto" w:fill="F2F2F2" w:themeFill="background1" w:themeFillShade="F2"/>
            <w:vAlign w:val="bottom"/>
          </w:tcPr>
          <w:p w14:paraId="5AFEB934"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UGI Gas</w:t>
            </w:r>
          </w:p>
        </w:tc>
        <w:tc>
          <w:tcPr>
            <w:tcW w:w="1639" w:type="dxa"/>
            <w:shd w:val="clear" w:color="auto" w:fill="auto"/>
            <w:noWrap/>
            <w:vAlign w:val="center"/>
            <w:hideMark/>
          </w:tcPr>
          <w:p w14:paraId="7913EE1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-$495,780</w:t>
            </w:r>
          </w:p>
        </w:tc>
        <w:tc>
          <w:tcPr>
            <w:tcW w:w="1513" w:type="dxa"/>
            <w:shd w:val="clear" w:color="auto" w:fill="auto"/>
            <w:noWrap/>
            <w:vAlign w:val="center"/>
            <w:hideMark/>
          </w:tcPr>
          <w:p w14:paraId="0CA2896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-$473,414</w:t>
            </w:r>
          </w:p>
        </w:tc>
        <w:tc>
          <w:tcPr>
            <w:tcW w:w="1530" w:type="dxa"/>
            <w:shd w:val="clear" w:color="auto" w:fill="auto"/>
            <w:noWrap/>
            <w:vAlign w:val="center"/>
            <w:hideMark/>
          </w:tcPr>
          <w:p w14:paraId="527F121C"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-$156,751</w:t>
            </w:r>
          </w:p>
        </w:tc>
        <w:tc>
          <w:tcPr>
            <w:tcW w:w="2312" w:type="dxa"/>
            <w:shd w:val="clear" w:color="auto" w:fill="F2F2F2" w:themeFill="background1" w:themeFillShade="F2"/>
            <w:noWrap/>
            <w:vAlign w:val="bottom"/>
            <w:hideMark/>
          </w:tcPr>
          <w:p w14:paraId="6FE68B25"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UGI Gas</w:t>
            </w:r>
          </w:p>
        </w:tc>
        <w:tc>
          <w:tcPr>
            <w:tcW w:w="2098" w:type="dxa"/>
            <w:shd w:val="clear" w:color="auto" w:fill="auto"/>
            <w:noWrap/>
            <w:vAlign w:val="center"/>
            <w:hideMark/>
          </w:tcPr>
          <w:p w14:paraId="7A74F583"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-$1,125,945</w:t>
            </w:r>
          </w:p>
        </w:tc>
      </w:tr>
      <w:tr w:rsidR="00F303E0" w:rsidRPr="00EE5714" w14:paraId="077AA53C" w14:textId="77777777" w:rsidTr="00F045D8">
        <w:trPr>
          <w:trHeight w:hRule="exact" w:val="245"/>
        </w:trPr>
        <w:tc>
          <w:tcPr>
            <w:tcW w:w="1528" w:type="dxa"/>
            <w:shd w:val="clear" w:color="auto" w:fill="F2F2F2" w:themeFill="background1" w:themeFillShade="F2"/>
            <w:vAlign w:val="bottom"/>
          </w:tcPr>
          <w:p w14:paraId="1522F435"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UGI PNG</w:t>
            </w:r>
          </w:p>
        </w:tc>
        <w:tc>
          <w:tcPr>
            <w:tcW w:w="1639" w:type="dxa"/>
            <w:shd w:val="clear" w:color="auto" w:fill="auto"/>
            <w:noWrap/>
            <w:vAlign w:val="center"/>
            <w:hideMark/>
          </w:tcPr>
          <w:p w14:paraId="78FF497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-$340,481</w:t>
            </w:r>
          </w:p>
        </w:tc>
        <w:tc>
          <w:tcPr>
            <w:tcW w:w="1513" w:type="dxa"/>
            <w:shd w:val="clear" w:color="auto" w:fill="auto"/>
            <w:noWrap/>
            <w:vAlign w:val="center"/>
            <w:hideMark/>
          </w:tcPr>
          <w:p w14:paraId="74B2BE4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-$576,603</w:t>
            </w:r>
          </w:p>
        </w:tc>
        <w:tc>
          <w:tcPr>
            <w:tcW w:w="1530" w:type="dxa"/>
            <w:shd w:val="clear" w:color="auto" w:fill="auto"/>
            <w:noWrap/>
            <w:vAlign w:val="center"/>
            <w:hideMark/>
          </w:tcPr>
          <w:p w14:paraId="083BD99C"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-$191,032</w:t>
            </w:r>
          </w:p>
        </w:tc>
        <w:tc>
          <w:tcPr>
            <w:tcW w:w="2312" w:type="dxa"/>
            <w:shd w:val="clear" w:color="auto" w:fill="F2F2F2" w:themeFill="background1" w:themeFillShade="F2"/>
            <w:noWrap/>
            <w:vAlign w:val="bottom"/>
            <w:hideMark/>
          </w:tcPr>
          <w:p w14:paraId="7B17E15A"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UGI PNG</w:t>
            </w:r>
          </w:p>
        </w:tc>
        <w:tc>
          <w:tcPr>
            <w:tcW w:w="2098" w:type="dxa"/>
            <w:shd w:val="clear" w:color="auto" w:fill="auto"/>
            <w:noWrap/>
            <w:vAlign w:val="center"/>
            <w:hideMark/>
          </w:tcPr>
          <w:p w14:paraId="5E2D35ED"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-$1,108,115</w:t>
            </w:r>
          </w:p>
        </w:tc>
      </w:tr>
      <w:tr w:rsidR="00F303E0" w:rsidRPr="00EE5714" w14:paraId="3D6E9AA8" w14:textId="77777777" w:rsidTr="00F045D8">
        <w:trPr>
          <w:trHeight w:hRule="exact" w:val="245"/>
        </w:trPr>
        <w:tc>
          <w:tcPr>
            <w:tcW w:w="1528" w:type="dxa"/>
            <w:shd w:val="clear" w:color="auto" w:fill="FFFFFF" w:themeFill="background1"/>
          </w:tcPr>
          <w:p w14:paraId="0721A400" w14:textId="77777777" w:rsidR="00F303E0" w:rsidRPr="00EE5714" w:rsidRDefault="00F303E0" w:rsidP="007D7A46">
            <w:pPr>
              <w:keepNext/>
              <w:spacing w:after="0" w:line="240" w:lineRule="auto"/>
              <w:rPr>
                <w:rFonts w:ascii="Calibri" w:eastAsia="Times New Roman" w:hAnsi="Calibri" w:cs="Calibri"/>
                <w:color w:val="000000"/>
                <w:sz w:val="18"/>
                <w:szCs w:val="18"/>
              </w:rPr>
            </w:pPr>
          </w:p>
        </w:tc>
        <w:tc>
          <w:tcPr>
            <w:tcW w:w="3152" w:type="dxa"/>
            <w:gridSpan w:val="2"/>
            <w:shd w:val="clear" w:color="auto" w:fill="FFFFFF" w:themeFill="background1"/>
            <w:noWrap/>
            <w:vAlign w:val="bottom"/>
            <w:hideMark/>
          </w:tcPr>
          <w:p w14:paraId="309D4621" w14:textId="77777777" w:rsidR="00F303E0" w:rsidRPr="00EE5714" w:rsidRDefault="00F303E0" w:rsidP="007D7A46">
            <w:pPr>
              <w:keepNext/>
              <w:spacing w:after="0" w:line="240" w:lineRule="auto"/>
              <w:rPr>
                <w:rFonts w:ascii="Calibri" w:eastAsia="Times New Roman" w:hAnsi="Calibri" w:cs="Calibri"/>
                <w:color w:val="000000"/>
                <w:sz w:val="18"/>
                <w:szCs w:val="18"/>
              </w:rPr>
            </w:pPr>
          </w:p>
        </w:tc>
        <w:tc>
          <w:tcPr>
            <w:tcW w:w="1530" w:type="dxa"/>
            <w:shd w:val="clear" w:color="auto" w:fill="auto"/>
            <w:noWrap/>
            <w:vAlign w:val="bottom"/>
            <w:hideMark/>
          </w:tcPr>
          <w:p w14:paraId="1C982753" w14:textId="77777777" w:rsidR="00F303E0" w:rsidRPr="00EE5714" w:rsidRDefault="00F303E0" w:rsidP="007D7A46">
            <w:pPr>
              <w:keepNext/>
              <w:spacing w:after="0" w:line="240" w:lineRule="auto"/>
              <w:rPr>
                <w:rFonts w:ascii="Calibri" w:eastAsia="Times New Roman" w:hAnsi="Calibri" w:cs="Calibri"/>
                <w:color w:val="000000"/>
                <w:sz w:val="18"/>
                <w:szCs w:val="18"/>
              </w:rPr>
            </w:pPr>
          </w:p>
        </w:tc>
        <w:tc>
          <w:tcPr>
            <w:tcW w:w="2312" w:type="dxa"/>
            <w:shd w:val="clear" w:color="auto" w:fill="D9D9D9" w:themeFill="background1" w:themeFillShade="D9"/>
            <w:noWrap/>
            <w:vAlign w:val="bottom"/>
            <w:hideMark/>
          </w:tcPr>
          <w:p w14:paraId="14294BA2" w14:textId="77777777" w:rsidR="00F303E0" w:rsidRPr="00EE5714" w:rsidRDefault="00F303E0" w:rsidP="007D7A46">
            <w:pPr>
              <w:keepNext/>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NGDC TOTAL</w:t>
            </w:r>
          </w:p>
        </w:tc>
        <w:tc>
          <w:tcPr>
            <w:tcW w:w="2098" w:type="dxa"/>
            <w:shd w:val="clear" w:color="auto" w:fill="D9D9D9" w:themeFill="background1" w:themeFillShade="D9"/>
            <w:noWrap/>
            <w:vAlign w:val="center"/>
            <w:hideMark/>
          </w:tcPr>
          <w:p w14:paraId="0F474D56" w14:textId="77777777" w:rsidR="00F303E0" w:rsidRPr="00EE5714" w:rsidRDefault="00F303E0" w:rsidP="007D7A46">
            <w:pPr>
              <w:keepNext/>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-$31,506,457</w:t>
            </w:r>
          </w:p>
        </w:tc>
      </w:tr>
    </w:tbl>
    <w:p w14:paraId="573004A2" w14:textId="0034B5DE" w:rsidR="00F303E0" w:rsidRPr="00EE5714" w:rsidRDefault="00F303E0" w:rsidP="00500E02">
      <w:pPr>
        <w:pStyle w:val="NoSpacing"/>
        <w:rPr>
          <w:rFonts w:cs="Times New Roman"/>
          <w:sz w:val="24"/>
          <w:szCs w:val="24"/>
        </w:rPr>
      </w:pPr>
      <w:r w:rsidRPr="00EE5714">
        <w:rPr>
          <w:rFonts w:eastAsia="Times New Roman" w:cs="Times New Roman"/>
          <w:color w:val="000000"/>
          <w:sz w:val="24"/>
          <w:szCs w:val="24"/>
        </w:rPr>
        <w:t>Note: NFG not included in Model because data w</w:t>
      </w:r>
      <w:r w:rsidR="00E31F30" w:rsidRPr="00EE5714">
        <w:rPr>
          <w:rFonts w:eastAsia="Times New Roman" w:cs="Times New Roman"/>
          <w:color w:val="000000"/>
          <w:sz w:val="24"/>
          <w:szCs w:val="24"/>
        </w:rPr>
        <w:t>ere</w:t>
      </w:r>
      <w:r w:rsidRPr="00EE5714">
        <w:rPr>
          <w:rFonts w:eastAsia="Times New Roman" w:cs="Times New Roman"/>
          <w:color w:val="000000"/>
          <w:sz w:val="24"/>
          <w:szCs w:val="24"/>
        </w:rPr>
        <w:t xml:space="preserve"> not available at specific FPIG levels.</w:t>
      </w:r>
    </w:p>
    <w:p w14:paraId="682EA061" w14:textId="77777777" w:rsidR="00F303E0" w:rsidRPr="00EE5714" w:rsidRDefault="00F303E0" w:rsidP="007D7A46">
      <w:pPr>
        <w:pStyle w:val="NoSpacing"/>
        <w:rPr>
          <w:rFonts w:cs="Times New Roman"/>
          <w:szCs w:val="26"/>
        </w:rPr>
      </w:pPr>
    </w:p>
    <w:p w14:paraId="5FCB87CC" w14:textId="77777777" w:rsidR="00F303E0" w:rsidRPr="00EE5714" w:rsidRDefault="00F303E0" w:rsidP="007D7A46">
      <w:pPr>
        <w:pStyle w:val="NoSpacing"/>
        <w:rPr>
          <w:rFonts w:cs="Times New Roman"/>
          <w:szCs w:val="26"/>
        </w:rPr>
      </w:pPr>
    </w:p>
    <w:p w14:paraId="1E257FCB" w14:textId="4184ABCA" w:rsidR="00F303E0" w:rsidRPr="00EE5714" w:rsidRDefault="00F734A0" w:rsidP="007D7A46">
      <w:pPr>
        <w:pStyle w:val="NoSpacing"/>
        <w:keepNext/>
        <w:rPr>
          <w:rFonts w:cs="Times New Roman"/>
          <w:i/>
          <w:color w:val="000000" w:themeColor="text1"/>
          <w:szCs w:val="26"/>
        </w:rPr>
      </w:pPr>
      <w:r w:rsidRPr="00EE5714">
        <w:rPr>
          <w:rFonts w:cs="Times New Roman"/>
          <w:i/>
          <w:color w:val="000000" w:themeColor="text1"/>
          <w:szCs w:val="26"/>
        </w:rPr>
        <w:lastRenderedPageBreak/>
        <w:t>Appendix 9</w:t>
      </w:r>
      <w:r w:rsidR="00F303E0" w:rsidRPr="00EE5714">
        <w:rPr>
          <w:rFonts w:cs="Times New Roman"/>
          <w:i/>
          <w:color w:val="000000" w:themeColor="text1"/>
          <w:szCs w:val="26"/>
        </w:rPr>
        <w:t>.</w:t>
      </w:r>
      <w:r w:rsidR="004655B9" w:rsidRPr="00EE5714">
        <w:rPr>
          <w:rFonts w:cs="Times New Roman"/>
          <w:i/>
          <w:color w:val="000000" w:themeColor="text1"/>
          <w:szCs w:val="26"/>
        </w:rPr>
        <w:t>J</w:t>
      </w:r>
      <w:r w:rsidR="00F303E0" w:rsidRPr="00EE5714">
        <w:rPr>
          <w:rFonts w:cs="Times New Roman"/>
          <w:i/>
          <w:color w:val="000000" w:themeColor="text1"/>
          <w:szCs w:val="26"/>
        </w:rPr>
        <w:t>: Table 10-11 EDC CAP Electric Heating Model – Additional Discount Needed for 10% Energy Burden</w:t>
      </w:r>
    </w:p>
    <w:p w14:paraId="1FA44AB1" w14:textId="77777777" w:rsidR="00F303E0" w:rsidRPr="00EE5714" w:rsidRDefault="00F303E0" w:rsidP="007D7A46">
      <w:pPr>
        <w:pStyle w:val="NoSpacing"/>
        <w:keepNext/>
        <w:rPr>
          <w:rFonts w:cs="Times New Roman"/>
          <w:i/>
          <w:color w:val="000000" w:themeColor="text1"/>
          <w:szCs w:val="26"/>
        </w:rPr>
      </w:pPr>
    </w:p>
    <w:p w14:paraId="7CD227C3" w14:textId="56787CC3" w:rsidR="00F303E0" w:rsidRPr="00EE5714" w:rsidRDefault="00F734A0" w:rsidP="007D7A46">
      <w:pPr>
        <w:pStyle w:val="NoSpacing"/>
        <w:keepNext/>
        <w:rPr>
          <w:rFonts w:cs="Times New Roman"/>
          <w:i/>
          <w:color w:val="000000" w:themeColor="text1"/>
          <w:szCs w:val="26"/>
        </w:rPr>
      </w:pPr>
      <w:r w:rsidRPr="00EE5714">
        <w:rPr>
          <w:rFonts w:cs="Times New Roman"/>
          <w:color w:val="000000" w:themeColor="text1"/>
          <w:szCs w:val="26"/>
        </w:rPr>
        <w:t>Appendix 9</w:t>
      </w:r>
      <w:r w:rsidR="00F303E0" w:rsidRPr="00EE5714">
        <w:rPr>
          <w:rFonts w:cs="Times New Roman"/>
          <w:color w:val="000000" w:themeColor="text1"/>
          <w:szCs w:val="26"/>
        </w:rPr>
        <w:t>.</w:t>
      </w:r>
      <w:r w:rsidR="004655B9" w:rsidRPr="00EE5714">
        <w:rPr>
          <w:rFonts w:cs="Times New Roman"/>
          <w:color w:val="000000" w:themeColor="text1"/>
          <w:szCs w:val="26"/>
        </w:rPr>
        <w:t>J</w:t>
      </w:r>
      <w:r w:rsidR="00F303E0" w:rsidRPr="00EE5714">
        <w:rPr>
          <w:rFonts w:cs="Times New Roman"/>
          <w:color w:val="000000" w:themeColor="text1"/>
          <w:szCs w:val="26"/>
        </w:rPr>
        <w:t>.1</w:t>
      </w:r>
      <w:r w:rsidR="00F303E0" w:rsidRPr="00EE5714">
        <w:rPr>
          <w:rFonts w:cs="Times New Roman"/>
          <w:i/>
          <w:color w:val="000000" w:themeColor="text1"/>
          <w:szCs w:val="26"/>
        </w:rPr>
        <w:t xml:space="preserve">: </w:t>
      </w:r>
      <w:r w:rsidR="00F303E0" w:rsidRPr="00EE5714">
        <w:rPr>
          <w:rFonts w:eastAsia="Times New Roman" w:cs="Times New Roman"/>
          <w:b/>
          <w:bCs/>
          <w:color w:val="000000"/>
          <w:szCs w:val="26"/>
        </w:rPr>
        <w:t>EDC Model for 10% Energy Burden – Components</w:t>
      </w:r>
    </w:p>
    <w:tbl>
      <w:tblPr>
        <w:tblW w:w="10620" w:type="dxa"/>
        <w:tblInd w:w="-640" w:type="dxa"/>
        <w:tblBorders>
          <w:top w:val="single" w:sz="8" w:space="0" w:color="auto"/>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530"/>
        <w:gridCol w:w="1580"/>
        <w:gridCol w:w="1580"/>
        <w:gridCol w:w="1580"/>
        <w:gridCol w:w="1580"/>
        <w:gridCol w:w="1580"/>
        <w:gridCol w:w="1190"/>
      </w:tblGrid>
      <w:tr w:rsidR="00F303E0" w:rsidRPr="00EE5714" w14:paraId="7DC975C6" w14:textId="77777777" w:rsidTr="00BF1FF5">
        <w:trPr>
          <w:trHeight w:val="430"/>
        </w:trPr>
        <w:tc>
          <w:tcPr>
            <w:tcW w:w="10620" w:type="dxa"/>
            <w:gridSpan w:val="7"/>
            <w:shd w:val="clear" w:color="auto" w:fill="BFBFBF" w:themeFill="background1" w:themeFillShade="BF"/>
            <w:noWrap/>
            <w:vAlign w:val="center"/>
          </w:tcPr>
          <w:p w14:paraId="254C5E46"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EDC Model for 10% Energy Burden </w:t>
            </w:r>
          </w:p>
        </w:tc>
      </w:tr>
      <w:tr w:rsidR="00F303E0" w:rsidRPr="00EE5714" w14:paraId="6C1309E9" w14:textId="77777777" w:rsidTr="00BF1FF5">
        <w:trPr>
          <w:trHeight w:val="300"/>
        </w:trPr>
        <w:tc>
          <w:tcPr>
            <w:tcW w:w="1530" w:type="dxa"/>
            <w:vMerge w:val="restart"/>
            <w:shd w:val="clear" w:color="auto" w:fill="auto"/>
            <w:noWrap/>
            <w:vAlign w:val="center"/>
            <w:hideMark/>
          </w:tcPr>
          <w:p w14:paraId="34B81EAC" w14:textId="77777777" w:rsidR="00F303E0" w:rsidRPr="00EE5714" w:rsidRDefault="00F303E0" w:rsidP="007D7A46">
            <w:pPr>
              <w:keepNext/>
              <w:spacing w:after="0" w:line="240" w:lineRule="auto"/>
              <w:rPr>
                <w:rFonts w:ascii="Calibri" w:eastAsia="Times New Roman" w:hAnsi="Calibri" w:cs="Calibri"/>
                <w:b/>
                <w:bCs/>
                <w:color w:val="000000"/>
              </w:rPr>
            </w:pPr>
            <w:r w:rsidRPr="00EE5714">
              <w:rPr>
                <w:rFonts w:ascii="Calibri" w:eastAsia="Times New Roman" w:hAnsi="Calibri" w:cs="Calibri"/>
                <w:b/>
                <w:bCs/>
                <w:color w:val="000000"/>
              </w:rPr>
              <w:t xml:space="preserve"> Electric Heating </w:t>
            </w:r>
          </w:p>
        </w:tc>
        <w:tc>
          <w:tcPr>
            <w:tcW w:w="4740" w:type="dxa"/>
            <w:gridSpan w:val="3"/>
            <w:shd w:val="clear" w:color="auto" w:fill="auto"/>
            <w:noWrap/>
            <w:vAlign w:val="bottom"/>
            <w:hideMark/>
          </w:tcPr>
          <w:p w14:paraId="167D7C23"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Avg CAP Bill Change Needed </w:t>
            </w:r>
          </w:p>
        </w:tc>
        <w:tc>
          <w:tcPr>
            <w:tcW w:w="4350" w:type="dxa"/>
            <w:gridSpan w:val="3"/>
            <w:shd w:val="clear" w:color="auto" w:fill="auto"/>
            <w:noWrap/>
            <w:vAlign w:val="bottom"/>
            <w:hideMark/>
          </w:tcPr>
          <w:p w14:paraId="67100169"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AVG CAP Electric Heat </w:t>
            </w:r>
          </w:p>
        </w:tc>
      </w:tr>
      <w:tr w:rsidR="00F303E0" w:rsidRPr="00EE5714" w14:paraId="65518158" w14:textId="77777777" w:rsidTr="00BF1FF5">
        <w:trPr>
          <w:trHeight w:val="300"/>
        </w:trPr>
        <w:tc>
          <w:tcPr>
            <w:tcW w:w="1530" w:type="dxa"/>
            <w:vMerge/>
            <w:shd w:val="clear" w:color="auto" w:fill="auto"/>
            <w:noWrap/>
            <w:vAlign w:val="bottom"/>
            <w:hideMark/>
          </w:tcPr>
          <w:p w14:paraId="317017A5" w14:textId="77777777" w:rsidR="00F303E0" w:rsidRPr="00EE5714" w:rsidRDefault="00F303E0" w:rsidP="007D7A46">
            <w:pPr>
              <w:keepNext/>
              <w:spacing w:after="0" w:line="240" w:lineRule="auto"/>
              <w:rPr>
                <w:rFonts w:ascii="Calibri" w:eastAsia="Times New Roman" w:hAnsi="Calibri" w:cs="Calibri"/>
                <w:b/>
                <w:bCs/>
                <w:color w:val="000000"/>
              </w:rPr>
            </w:pPr>
          </w:p>
        </w:tc>
        <w:tc>
          <w:tcPr>
            <w:tcW w:w="4740" w:type="dxa"/>
            <w:gridSpan w:val="3"/>
            <w:shd w:val="clear" w:color="auto" w:fill="auto"/>
            <w:noWrap/>
            <w:vAlign w:val="bottom"/>
            <w:hideMark/>
          </w:tcPr>
          <w:p w14:paraId="3447F347"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Accounts Billed 2012-2016</w:t>
            </w:r>
          </w:p>
        </w:tc>
        <w:tc>
          <w:tcPr>
            <w:tcW w:w="4350" w:type="dxa"/>
            <w:gridSpan w:val="3"/>
            <w:shd w:val="clear" w:color="auto" w:fill="auto"/>
            <w:noWrap/>
            <w:vAlign w:val="bottom"/>
            <w:hideMark/>
          </w:tcPr>
          <w:p w14:paraId="474CB892"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Accounts Billed 2012-2016</w:t>
            </w:r>
          </w:p>
        </w:tc>
      </w:tr>
      <w:tr w:rsidR="00F303E0" w:rsidRPr="00EE5714" w14:paraId="65BD9F68" w14:textId="77777777" w:rsidTr="00BF1FF5">
        <w:trPr>
          <w:trHeight w:hRule="exact" w:val="245"/>
        </w:trPr>
        <w:tc>
          <w:tcPr>
            <w:tcW w:w="1530" w:type="dxa"/>
            <w:shd w:val="clear" w:color="auto" w:fill="auto"/>
            <w:noWrap/>
            <w:vAlign w:val="bottom"/>
            <w:hideMark/>
          </w:tcPr>
          <w:p w14:paraId="02DBF1AD" w14:textId="77777777" w:rsidR="00F303E0" w:rsidRPr="00EE5714" w:rsidRDefault="00F303E0" w:rsidP="007D7A46">
            <w:pPr>
              <w:keepNext/>
              <w:spacing w:after="0" w:line="240" w:lineRule="auto"/>
              <w:rPr>
                <w:rFonts w:ascii="Calibri" w:eastAsia="Times New Roman" w:hAnsi="Calibri" w:cs="Calibri"/>
                <w:b/>
                <w:bCs/>
                <w:i/>
                <w:color w:val="000000"/>
              </w:rPr>
            </w:pPr>
            <w:r w:rsidRPr="00EE5714">
              <w:rPr>
                <w:rFonts w:ascii="Calibri" w:eastAsia="Times New Roman" w:hAnsi="Calibri" w:cs="Calibri"/>
                <w:b/>
                <w:bCs/>
                <w:i/>
                <w:color w:val="000000"/>
              </w:rPr>
              <w:t xml:space="preserve">FPIG Level </w:t>
            </w:r>
          </w:p>
        </w:tc>
        <w:tc>
          <w:tcPr>
            <w:tcW w:w="1580" w:type="dxa"/>
            <w:shd w:val="clear" w:color="auto" w:fill="auto"/>
            <w:noWrap/>
            <w:vAlign w:val="bottom"/>
            <w:hideMark/>
          </w:tcPr>
          <w:p w14:paraId="4AD3321E"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50%</w:t>
            </w:r>
          </w:p>
        </w:tc>
        <w:tc>
          <w:tcPr>
            <w:tcW w:w="1580" w:type="dxa"/>
            <w:shd w:val="clear" w:color="auto" w:fill="auto"/>
            <w:noWrap/>
            <w:vAlign w:val="bottom"/>
            <w:hideMark/>
          </w:tcPr>
          <w:p w14:paraId="2336928D"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100%</w:t>
            </w:r>
          </w:p>
        </w:tc>
        <w:tc>
          <w:tcPr>
            <w:tcW w:w="1580" w:type="dxa"/>
            <w:shd w:val="clear" w:color="auto" w:fill="auto"/>
            <w:noWrap/>
            <w:vAlign w:val="bottom"/>
            <w:hideMark/>
          </w:tcPr>
          <w:p w14:paraId="7FA0FA0B"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150%</w:t>
            </w:r>
          </w:p>
        </w:tc>
        <w:tc>
          <w:tcPr>
            <w:tcW w:w="1580" w:type="dxa"/>
            <w:shd w:val="clear" w:color="auto" w:fill="auto"/>
            <w:noWrap/>
            <w:vAlign w:val="bottom"/>
            <w:hideMark/>
          </w:tcPr>
          <w:p w14:paraId="5DA57B7E"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50%</w:t>
            </w:r>
          </w:p>
        </w:tc>
        <w:tc>
          <w:tcPr>
            <w:tcW w:w="1580" w:type="dxa"/>
            <w:shd w:val="clear" w:color="auto" w:fill="auto"/>
            <w:noWrap/>
            <w:vAlign w:val="bottom"/>
            <w:hideMark/>
          </w:tcPr>
          <w:p w14:paraId="307F8896"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100%</w:t>
            </w:r>
          </w:p>
        </w:tc>
        <w:tc>
          <w:tcPr>
            <w:tcW w:w="1190" w:type="dxa"/>
            <w:shd w:val="clear" w:color="auto" w:fill="auto"/>
            <w:noWrap/>
            <w:vAlign w:val="bottom"/>
            <w:hideMark/>
          </w:tcPr>
          <w:p w14:paraId="27A7A6FA"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150%</w:t>
            </w:r>
          </w:p>
        </w:tc>
      </w:tr>
      <w:tr w:rsidR="00F303E0" w:rsidRPr="00EE5714" w14:paraId="7B8C1EAF" w14:textId="77777777" w:rsidTr="00BF1FF5">
        <w:trPr>
          <w:trHeight w:hRule="exact" w:val="245"/>
        </w:trPr>
        <w:tc>
          <w:tcPr>
            <w:tcW w:w="1530" w:type="dxa"/>
            <w:shd w:val="clear" w:color="auto" w:fill="auto"/>
            <w:noWrap/>
            <w:vAlign w:val="bottom"/>
            <w:hideMark/>
          </w:tcPr>
          <w:p w14:paraId="369949C6" w14:textId="77777777" w:rsidR="00F303E0" w:rsidRPr="00EE5714" w:rsidRDefault="00F303E0" w:rsidP="007D7A46">
            <w:pPr>
              <w:keepNext/>
              <w:spacing w:after="0" w:line="240" w:lineRule="auto"/>
              <w:rPr>
                <w:rFonts w:ascii="Calibri" w:eastAsia="Times New Roman" w:hAnsi="Calibri" w:cs="Calibri"/>
                <w:b/>
                <w:bCs/>
                <w:color w:val="000000"/>
              </w:rPr>
            </w:pPr>
            <w:r w:rsidRPr="00EE5714">
              <w:rPr>
                <w:rFonts w:ascii="Calibri" w:eastAsia="Times New Roman" w:hAnsi="Calibri" w:cs="Calibri"/>
                <w:b/>
                <w:bCs/>
                <w:color w:val="000000"/>
              </w:rPr>
              <w:t> </w:t>
            </w:r>
          </w:p>
        </w:tc>
        <w:tc>
          <w:tcPr>
            <w:tcW w:w="1580" w:type="dxa"/>
            <w:shd w:val="clear" w:color="auto" w:fill="auto"/>
            <w:noWrap/>
            <w:vAlign w:val="bottom"/>
            <w:hideMark/>
          </w:tcPr>
          <w:p w14:paraId="31B00779" w14:textId="77777777" w:rsidR="00F303E0" w:rsidRPr="00EE5714" w:rsidRDefault="00F303E0" w:rsidP="007D7A46">
            <w:pPr>
              <w:keepNext/>
              <w:spacing w:after="0" w:line="240" w:lineRule="auto"/>
              <w:rPr>
                <w:rFonts w:ascii="Calibri" w:eastAsia="Times New Roman" w:hAnsi="Calibri" w:cs="Calibri"/>
                <w:b/>
                <w:bCs/>
                <w:color w:val="000000"/>
              </w:rPr>
            </w:pPr>
          </w:p>
        </w:tc>
        <w:tc>
          <w:tcPr>
            <w:tcW w:w="1580" w:type="dxa"/>
            <w:shd w:val="clear" w:color="auto" w:fill="auto"/>
            <w:noWrap/>
            <w:vAlign w:val="bottom"/>
            <w:hideMark/>
          </w:tcPr>
          <w:p w14:paraId="491B7EEE" w14:textId="77777777" w:rsidR="00F303E0" w:rsidRPr="00EE5714" w:rsidRDefault="00F303E0" w:rsidP="007D7A46">
            <w:pPr>
              <w:keepNext/>
              <w:spacing w:after="0" w:line="240" w:lineRule="auto"/>
              <w:rPr>
                <w:rFonts w:ascii="Times New Roman" w:eastAsia="Times New Roman" w:hAnsi="Times New Roman" w:cs="Times New Roman"/>
                <w:sz w:val="20"/>
                <w:szCs w:val="20"/>
              </w:rPr>
            </w:pPr>
          </w:p>
        </w:tc>
        <w:tc>
          <w:tcPr>
            <w:tcW w:w="1580" w:type="dxa"/>
            <w:shd w:val="clear" w:color="auto" w:fill="auto"/>
            <w:noWrap/>
            <w:vAlign w:val="bottom"/>
            <w:hideMark/>
          </w:tcPr>
          <w:p w14:paraId="3EE13F5C" w14:textId="77777777" w:rsidR="00F303E0" w:rsidRPr="00EE5714" w:rsidRDefault="00F303E0" w:rsidP="007D7A46">
            <w:pPr>
              <w:keepNext/>
              <w:spacing w:after="0" w:line="240" w:lineRule="auto"/>
              <w:rPr>
                <w:rFonts w:ascii="Times New Roman" w:eastAsia="Times New Roman" w:hAnsi="Times New Roman" w:cs="Times New Roman"/>
                <w:sz w:val="20"/>
                <w:szCs w:val="20"/>
              </w:rPr>
            </w:pPr>
          </w:p>
        </w:tc>
        <w:tc>
          <w:tcPr>
            <w:tcW w:w="1580" w:type="dxa"/>
            <w:shd w:val="clear" w:color="auto" w:fill="auto"/>
            <w:noWrap/>
            <w:vAlign w:val="bottom"/>
            <w:hideMark/>
          </w:tcPr>
          <w:p w14:paraId="62489086" w14:textId="77777777" w:rsidR="00F303E0" w:rsidRPr="00EE5714" w:rsidRDefault="00F303E0" w:rsidP="007D7A46">
            <w:pPr>
              <w:keepNext/>
              <w:spacing w:after="0" w:line="240" w:lineRule="auto"/>
              <w:rPr>
                <w:rFonts w:ascii="Times New Roman" w:eastAsia="Times New Roman" w:hAnsi="Times New Roman" w:cs="Times New Roman"/>
                <w:sz w:val="20"/>
                <w:szCs w:val="20"/>
              </w:rPr>
            </w:pPr>
          </w:p>
        </w:tc>
        <w:tc>
          <w:tcPr>
            <w:tcW w:w="1580" w:type="dxa"/>
            <w:shd w:val="clear" w:color="auto" w:fill="auto"/>
            <w:noWrap/>
            <w:vAlign w:val="bottom"/>
            <w:hideMark/>
          </w:tcPr>
          <w:p w14:paraId="14DD584C" w14:textId="77777777" w:rsidR="00F303E0" w:rsidRPr="00EE5714" w:rsidRDefault="00F303E0" w:rsidP="007D7A46">
            <w:pPr>
              <w:keepNext/>
              <w:spacing w:after="0" w:line="240" w:lineRule="auto"/>
              <w:jc w:val="center"/>
              <w:rPr>
                <w:rFonts w:ascii="Times New Roman" w:eastAsia="Times New Roman" w:hAnsi="Times New Roman" w:cs="Times New Roman"/>
                <w:sz w:val="20"/>
                <w:szCs w:val="20"/>
              </w:rPr>
            </w:pPr>
          </w:p>
        </w:tc>
        <w:tc>
          <w:tcPr>
            <w:tcW w:w="1190" w:type="dxa"/>
            <w:shd w:val="clear" w:color="auto" w:fill="auto"/>
            <w:noWrap/>
            <w:vAlign w:val="bottom"/>
            <w:hideMark/>
          </w:tcPr>
          <w:p w14:paraId="0A911981" w14:textId="77777777" w:rsidR="00F303E0" w:rsidRPr="00EE5714" w:rsidRDefault="00F303E0" w:rsidP="007D7A46">
            <w:pPr>
              <w:keepNext/>
              <w:spacing w:after="0" w:line="240" w:lineRule="auto"/>
              <w:jc w:val="center"/>
              <w:rPr>
                <w:rFonts w:ascii="Calibri" w:eastAsia="Times New Roman" w:hAnsi="Calibri" w:cs="Calibri"/>
                <w:color w:val="000000"/>
              </w:rPr>
            </w:pPr>
            <w:r w:rsidRPr="00EE5714">
              <w:rPr>
                <w:rFonts w:ascii="Calibri" w:eastAsia="Times New Roman" w:hAnsi="Calibri" w:cs="Calibri"/>
                <w:color w:val="000000"/>
              </w:rPr>
              <w:t> </w:t>
            </w:r>
          </w:p>
        </w:tc>
      </w:tr>
      <w:tr w:rsidR="00F303E0" w:rsidRPr="00EE5714" w14:paraId="4CB1C880" w14:textId="77777777" w:rsidTr="00BF1FF5">
        <w:trPr>
          <w:trHeight w:hRule="exact" w:val="245"/>
        </w:trPr>
        <w:tc>
          <w:tcPr>
            <w:tcW w:w="1530" w:type="dxa"/>
            <w:shd w:val="clear" w:color="auto" w:fill="auto"/>
            <w:noWrap/>
            <w:vAlign w:val="bottom"/>
            <w:hideMark/>
          </w:tcPr>
          <w:p w14:paraId="498221F3"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Duquesne</w:t>
            </w:r>
          </w:p>
        </w:tc>
        <w:tc>
          <w:tcPr>
            <w:tcW w:w="1580" w:type="dxa"/>
            <w:shd w:val="clear" w:color="auto" w:fill="auto"/>
            <w:noWrap/>
            <w:vAlign w:val="center"/>
            <w:hideMark/>
          </w:tcPr>
          <w:p w14:paraId="205D4337"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-$765.72</w:t>
            </w:r>
          </w:p>
        </w:tc>
        <w:tc>
          <w:tcPr>
            <w:tcW w:w="1580" w:type="dxa"/>
            <w:shd w:val="clear" w:color="auto" w:fill="auto"/>
            <w:noWrap/>
            <w:vAlign w:val="center"/>
            <w:hideMark/>
          </w:tcPr>
          <w:p w14:paraId="34E869F3"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-$151.78</w:t>
            </w:r>
          </w:p>
        </w:tc>
        <w:tc>
          <w:tcPr>
            <w:tcW w:w="1580" w:type="dxa"/>
            <w:shd w:val="clear" w:color="auto" w:fill="auto"/>
            <w:noWrap/>
            <w:vAlign w:val="center"/>
            <w:hideMark/>
          </w:tcPr>
          <w:p w14:paraId="5335685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80" w:type="dxa"/>
            <w:shd w:val="clear" w:color="auto" w:fill="auto"/>
            <w:noWrap/>
            <w:vAlign w:val="center"/>
            <w:hideMark/>
          </w:tcPr>
          <w:p w14:paraId="42F1B6DD"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664</w:t>
            </w:r>
          </w:p>
        </w:tc>
        <w:tc>
          <w:tcPr>
            <w:tcW w:w="1580" w:type="dxa"/>
            <w:shd w:val="clear" w:color="auto" w:fill="auto"/>
            <w:noWrap/>
            <w:vAlign w:val="center"/>
            <w:hideMark/>
          </w:tcPr>
          <w:p w14:paraId="4E011885"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2,071</w:t>
            </w:r>
          </w:p>
        </w:tc>
        <w:tc>
          <w:tcPr>
            <w:tcW w:w="1190" w:type="dxa"/>
            <w:shd w:val="clear" w:color="auto" w:fill="auto"/>
            <w:noWrap/>
            <w:vAlign w:val="center"/>
            <w:hideMark/>
          </w:tcPr>
          <w:p w14:paraId="1B16972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1,086</w:t>
            </w:r>
          </w:p>
        </w:tc>
      </w:tr>
      <w:tr w:rsidR="00F303E0" w:rsidRPr="00EE5714" w14:paraId="4C80DE28" w14:textId="77777777" w:rsidTr="00BF1FF5">
        <w:trPr>
          <w:trHeight w:hRule="exact" w:val="245"/>
        </w:trPr>
        <w:tc>
          <w:tcPr>
            <w:tcW w:w="1530" w:type="dxa"/>
            <w:shd w:val="clear" w:color="auto" w:fill="auto"/>
            <w:noWrap/>
            <w:vAlign w:val="bottom"/>
            <w:hideMark/>
          </w:tcPr>
          <w:p w14:paraId="5B65B0B6"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1580" w:type="dxa"/>
            <w:shd w:val="clear" w:color="auto" w:fill="auto"/>
            <w:noWrap/>
            <w:vAlign w:val="center"/>
            <w:hideMark/>
          </w:tcPr>
          <w:p w14:paraId="67392AA1"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-$65.30</w:t>
            </w:r>
          </w:p>
        </w:tc>
        <w:tc>
          <w:tcPr>
            <w:tcW w:w="1580" w:type="dxa"/>
            <w:shd w:val="clear" w:color="auto" w:fill="auto"/>
            <w:noWrap/>
            <w:vAlign w:val="center"/>
            <w:hideMark/>
          </w:tcPr>
          <w:p w14:paraId="17254DA3"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80" w:type="dxa"/>
            <w:shd w:val="clear" w:color="auto" w:fill="auto"/>
            <w:noWrap/>
            <w:vAlign w:val="center"/>
            <w:hideMark/>
          </w:tcPr>
          <w:p w14:paraId="0D203651"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80" w:type="dxa"/>
            <w:shd w:val="clear" w:color="auto" w:fill="auto"/>
            <w:noWrap/>
            <w:vAlign w:val="center"/>
            <w:hideMark/>
          </w:tcPr>
          <w:p w14:paraId="27D07B92"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1,440</w:t>
            </w:r>
          </w:p>
        </w:tc>
        <w:tc>
          <w:tcPr>
            <w:tcW w:w="1580" w:type="dxa"/>
            <w:shd w:val="clear" w:color="auto" w:fill="auto"/>
            <w:noWrap/>
            <w:vAlign w:val="center"/>
            <w:hideMark/>
          </w:tcPr>
          <w:p w14:paraId="04216815"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3,023</w:t>
            </w:r>
          </w:p>
        </w:tc>
        <w:tc>
          <w:tcPr>
            <w:tcW w:w="1190" w:type="dxa"/>
            <w:shd w:val="clear" w:color="auto" w:fill="auto"/>
            <w:noWrap/>
            <w:vAlign w:val="center"/>
            <w:hideMark/>
          </w:tcPr>
          <w:p w14:paraId="10A2B18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1,660</w:t>
            </w:r>
          </w:p>
        </w:tc>
      </w:tr>
      <w:tr w:rsidR="00F303E0" w:rsidRPr="00EE5714" w14:paraId="4DA2D2EB" w14:textId="77777777" w:rsidTr="00BF1FF5">
        <w:trPr>
          <w:trHeight w:hRule="exact" w:val="245"/>
        </w:trPr>
        <w:tc>
          <w:tcPr>
            <w:tcW w:w="1530" w:type="dxa"/>
            <w:shd w:val="clear" w:color="auto" w:fill="auto"/>
            <w:noWrap/>
            <w:vAlign w:val="bottom"/>
            <w:hideMark/>
          </w:tcPr>
          <w:p w14:paraId="06D79022"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1580" w:type="dxa"/>
            <w:shd w:val="clear" w:color="auto" w:fill="auto"/>
            <w:noWrap/>
            <w:vAlign w:val="center"/>
            <w:hideMark/>
          </w:tcPr>
          <w:p w14:paraId="16C1158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-$591.82</w:t>
            </w:r>
          </w:p>
        </w:tc>
        <w:tc>
          <w:tcPr>
            <w:tcW w:w="1580" w:type="dxa"/>
            <w:shd w:val="clear" w:color="auto" w:fill="auto"/>
            <w:noWrap/>
            <w:vAlign w:val="center"/>
            <w:hideMark/>
          </w:tcPr>
          <w:p w14:paraId="0863F08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-$339.58</w:t>
            </w:r>
          </w:p>
        </w:tc>
        <w:tc>
          <w:tcPr>
            <w:tcW w:w="1580" w:type="dxa"/>
            <w:shd w:val="clear" w:color="auto" w:fill="auto"/>
            <w:noWrap/>
            <w:vAlign w:val="center"/>
            <w:hideMark/>
          </w:tcPr>
          <w:p w14:paraId="7D102B82"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-$89.68</w:t>
            </w:r>
          </w:p>
        </w:tc>
        <w:tc>
          <w:tcPr>
            <w:tcW w:w="1580" w:type="dxa"/>
            <w:shd w:val="clear" w:color="auto" w:fill="auto"/>
            <w:noWrap/>
            <w:vAlign w:val="center"/>
            <w:hideMark/>
          </w:tcPr>
          <w:p w14:paraId="706215B5"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4,570</w:t>
            </w:r>
          </w:p>
        </w:tc>
        <w:tc>
          <w:tcPr>
            <w:tcW w:w="1580" w:type="dxa"/>
            <w:shd w:val="clear" w:color="auto" w:fill="auto"/>
            <w:noWrap/>
            <w:vAlign w:val="center"/>
            <w:hideMark/>
          </w:tcPr>
          <w:p w14:paraId="7DE7A7C7"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8,916</w:t>
            </w:r>
          </w:p>
        </w:tc>
        <w:tc>
          <w:tcPr>
            <w:tcW w:w="1190" w:type="dxa"/>
            <w:shd w:val="clear" w:color="auto" w:fill="auto"/>
            <w:noWrap/>
            <w:vAlign w:val="center"/>
            <w:hideMark/>
          </w:tcPr>
          <w:p w14:paraId="3B1C743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7,591</w:t>
            </w:r>
          </w:p>
        </w:tc>
      </w:tr>
      <w:tr w:rsidR="00F303E0" w:rsidRPr="00EE5714" w14:paraId="4FEBC14F" w14:textId="77777777" w:rsidTr="00BF1FF5">
        <w:trPr>
          <w:trHeight w:hRule="exact" w:val="245"/>
        </w:trPr>
        <w:tc>
          <w:tcPr>
            <w:tcW w:w="1530" w:type="dxa"/>
            <w:shd w:val="clear" w:color="auto" w:fill="auto"/>
            <w:noWrap/>
            <w:vAlign w:val="bottom"/>
            <w:hideMark/>
          </w:tcPr>
          <w:p w14:paraId="7A826E04" w14:textId="77777777" w:rsidR="00F303E0" w:rsidRPr="00EE5714" w:rsidRDefault="00F303E0" w:rsidP="007D7A46">
            <w:pPr>
              <w:keepNext/>
              <w:spacing w:after="0" w:line="240" w:lineRule="auto"/>
              <w:rPr>
                <w:rFonts w:ascii="Calibri" w:eastAsia="Times New Roman" w:hAnsi="Calibri" w:cs="Calibri"/>
                <w:b/>
                <w:color w:val="000000"/>
                <w:sz w:val="21"/>
                <w:szCs w:val="21"/>
              </w:rPr>
            </w:pPr>
            <w:proofErr w:type="spellStart"/>
            <w:r w:rsidRPr="00EE5714">
              <w:rPr>
                <w:rFonts w:ascii="Calibri" w:eastAsia="Times New Roman" w:hAnsi="Calibri" w:cs="Calibri"/>
                <w:b/>
                <w:color w:val="000000"/>
                <w:sz w:val="21"/>
                <w:szCs w:val="21"/>
              </w:rPr>
              <w:t>Penelec</w:t>
            </w:r>
            <w:proofErr w:type="spellEnd"/>
          </w:p>
        </w:tc>
        <w:tc>
          <w:tcPr>
            <w:tcW w:w="1580" w:type="dxa"/>
            <w:shd w:val="clear" w:color="auto" w:fill="auto"/>
            <w:noWrap/>
            <w:vAlign w:val="center"/>
            <w:hideMark/>
          </w:tcPr>
          <w:p w14:paraId="78C377D3"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-$160.46</w:t>
            </w:r>
          </w:p>
        </w:tc>
        <w:tc>
          <w:tcPr>
            <w:tcW w:w="1580" w:type="dxa"/>
            <w:shd w:val="clear" w:color="auto" w:fill="auto"/>
            <w:noWrap/>
            <w:vAlign w:val="center"/>
            <w:hideMark/>
          </w:tcPr>
          <w:p w14:paraId="7DD8DAE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80" w:type="dxa"/>
            <w:shd w:val="clear" w:color="auto" w:fill="auto"/>
            <w:noWrap/>
            <w:vAlign w:val="center"/>
            <w:hideMark/>
          </w:tcPr>
          <w:p w14:paraId="0352B680"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80" w:type="dxa"/>
            <w:shd w:val="clear" w:color="auto" w:fill="auto"/>
            <w:noWrap/>
            <w:vAlign w:val="center"/>
            <w:hideMark/>
          </w:tcPr>
          <w:p w14:paraId="172FF33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904</w:t>
            </w:r>
          </w:p>
        </w:tc>
        <w:tc>
          <w:tcPr>
            <w:tcW w:w="1580" w:type="dxa"/>
            <w:shd w:val="clear" w:color="auto" w:fill="auto"/>
            <w:noWrap/>
            <w:vAlign w:val="center"/>
            <w:hideMark/>
          </w:tcPr>
          <w:p w14:paraId="2593417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2,444</w:t>
            </w:r>
          </w:p>
        </w:tc>
        <w:tc>
          <w:tcPr>
            <w:tcW w:w="1190" w:type="dxa"/>
            <w:shd w:val="clear" w:color="auto" w:fill="auto"/>
            <w:noWrap/>
            <w:vAlign w:val="center"/>
            <w:hideMark/>
          </w:tcPr>
          <w:p w14:paraId="1D43DFC1"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1,098</w:t>
            </w:r>
          </w:p>
        </w:tc>
      </w:tr>
      <w:tr w:rsidR="00F303E0" w:rsidRPr="00EE5714" w14:paraId="63F4253C" w14:textId="77777777" w:rsidTr="00BF1FF5">
        <w:trPr>
          <w:trHeight w:hRule="exact" w:val="245"/>
        </w:trPr>
        <w:tc>
          <w:tcPr>
            <w:tcW w:w="1530" w:type="dxa"/>
            <w:shd w:val="clear" w:color="auto" w:fill="auto"/>
            <w:noWrap/>
            <w:vAlign w:val="bottom"/>
            <w:hideMark/>
          </w:tcPr>
          <w:p w14:paraId="2263D781"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Penn Power</w:t>
            </w:r>
          </w:p>
        </w:tc>
        <w:tc>
          <w:tcPr>
            <w:tcW w:w="1580" w:type="dxa"/>
            <w:shd w:val="clear" w:color="auto" w:fill="auto"/>
            <w:noWrap/>
            <w:vAlign w:val="center"/>
            <w:hideMark/>
          </w:tcPr>
          <w:p w14:paraId="6B4F479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-$668.18</w:t>
            </w:r>
          </w:p>
        </w:tc>
        <w:tc>
          <w:tcPr>
            <w:tcW w:w="1580" w:type="dxa"/>
            <w:shd w:val="clear" w:color="auto" w:fill="auto"/>
            <w:noWrap/>
            <w:vAlign w:val="center"/>
            <w:hideMark/>
          </w:tcPr>
          <w:p w14:paraId="5B7AD3A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-$29.38</w:t>
            </w:r>
          </w:p>
        </w:tc>
        <w:tc>
          <w:tcPr>
            <w:tcW w:w="1580" w:type="dxa"/>
            <w:shd w:val="clear" w:color="auto" w:fill="auto"/>
            <w:noWrap/>
            <w:vAlign w:val="center"/>
            <w:hideMark/>
          </w:tcPr>
          <w:p w14:paraId="1217BA6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80" w:type="dxa"/>
            <w:shd w:val="clear" w:color="auto" w:fill="auto"/>
            <w:noWrap/>
            <w:vAlign w:val="center"/>
            <w:hideMark/>
          </w:tcPr>
          <w:p w14:paraId="3357462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259</w:t>
            </w:r>
          </w:p>
        </w:tc>
        <w:tc>
          <w:tcPr>
            <w:tcW w:w="1580" w:type="dxa"/>
            <w:shd w:val="clear" w:color="auto" w:fill="auto"/>
            <w:noWrap/>
            <w:vAlign w:val="center"/>
            <w:hideMark/>
          </w:tcPr>
          <w:p w14:paraId="362C2C1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596</w:t>
            </w:r>
          </w:p>
        </w:tc>
        <w:tc>
          <w:tcPr>
            <w:tcW w:w="1190" w:type="dxa"/>
            <w:shd w:val="clear" w:color="auto" w:fill="auto"/>
            <w:noWrap/>
            <w:vAlign w:val="center"/>
            <w:hideMark/>
          </w:tcPr>
          <w:p w14:paraId="57A4AFA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368</w:t>
            </w:r>
          </w:p>
        </w:tc>
      </w:tr>
      <w:tr w:rsidR="00F303E0" w:rsidRPr="00EE5714" w14:paraId="331C256A" w14:textId="77777777" w:rsidTr="00BF1FF5">
        <w:trPr>
          <w:trHeight w:hRule="exact" w:val="245"/>
        </w:trPr>
        <w:tc>
          <w:tcPr>
            <w:tcW w:w="1530" w:type="dxa"/>
            <w:shd w:val="clear" w:color="auto" w:fill="auto"/>
            <w:noWrap/>
            <w:vAlign w:val="bottom"/>
            <w:hideMark/>
          </w:tcPr>
          <w:p w14:paraId="28456124"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PPL</w:t>
            </w:r>
          </w:p>
        </w:tc>
        <w:tc>
          <w:tcPr>
            <w:tcW w:w="1580" w:type="dxa"/>
            <w:shd w:val="clear" w:color="auto" w:fill="auto"/>
            <w:noWrap/>
            <w:vAlign w:val="center"/>
            <w:hideMark/>
          </w:tcPr>
          <w:p w14:paraId="08AC5C9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-$296.38</w:t>
            </w:r>
          </w:p>
        </w:tc>
        <w:tc>
          <w:tcPr>
            <w:tcW w:w="1580" w:type="dxa"/>
            <w:shd w:val="clear" w:color="auto" w:fill="auto"/>
            <w:noWrap/>
            <w:vAlign w:val="center"/>
            <w:hideMark/>
          </w:tcPr>
          <w:p w14:paraId="57692E1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80" w:type="dxa"/>
            <w:shd w:val="clear" w:color="auto" w:fill="auto"/>
            <w:noWrap/>
            <w:vAlign w:val="center"/>
            <w:hideMark/>
          </w:tcPr>
          <w:p w14:paraId="791A711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80" w:type="dxa"/>
            <w:shd w:val="clear" w:color="auto" w:fill="auto"/>
            <w:noWrap/>
            <w:vAlign w:val="center"/>
            <w:hideMark/>
          </w:tcPr>
          <w:p w14:paraId="06714A70"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3,141</w:t>
            </w:r>
          </w:p>
        </w:tc>
        <w:tc>
          <w:tcPr>
            <w:tcW w:w="1580" w:type="dxa"/>
            <w:shd w:val="clear" w:color="auto" w:fill="auto"/>
            <w:noWrap/>
            <w:vAlign w:val="center"/>
            <w:hideMark/>
          </w:tcPr>
          <w:p w14:paraId="43415E77"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9,000</w:t>
            </w:r>
          </w:p>
        </w:tc>
        <w:tc>
          <w:tcPr>
            <w:tcW w:w="1190" w:type="dxa"/>
            <w:shd w:val="clear" w:color="auto" w:fill="auto"/>
            <w:noWrap/>
            <w:vAlign w:val="center"/>
            <w:hideMark/>
          </w:tcPr>
          <w:p w14:paraId="3DD1C26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6,557</w:t>
            </w:r>
          </w:p>
        </w:tc>
      </w:tr>
      <w:tr w:rsidR="00F303E0" w:rsidRPr="00EE5714" w14:paraId="0DDE7C4B" w14:textId="77777777" w:rsidTr="00BF1FF5">
        <w:trPr>
          <w:trHeight w:hRule="exact" w:val="245"/>
        </w:trPr>
        <w:tc>
          <w:tcPr>
            <w:tcW w:w="1530" w:type="dxa"/>
            <w:shd w:val="clear" w:color="auto" w:fill="auto"/>
            <w:noWrap/>
            <w:vAlign w:val="bottom"/>
            <w:hideMark/>
          </w:tcPr>
          <w:p w14:paraId="59D4233B" w14:textId="77777777" w:rsidR="00F303E0" w:rsidRPr="00EE5714" w:rsidRDefault="00F303E0" w:rsidP="007D7A46">
            <w:pPr>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West Penn</w:t>
            </w:r>
          </w:p>
        </w:tc>
        <w:tc>
          <w:tcPr>
            <w:tcW w:w="1580" w:type="dxa"/>
            <w:shd w:val="clear" w:color="auto" w:fill="auto"/>
            <w:noWrap/>
            <w:vAlign w:val="center"/>
            <w:hideMark/>
          </w:tcPr>
          <w:p w14:paraId="3A587277" w14:textId="77777777" w:rsidR="00F303E0" w:rsidRPr="00EE5714" w:rsidRDefault="00F303E0" w:rsidP="007D7A4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-$562.48</w:t>
            </w:r>
          </w:p>
        </w:tc>
        <w:tc>
          <w:tcPr>
            <w:tcW w:w="1580" w:type="dxa"/>
            <w:shd w:val="clear" w:color="auto" w:fill="auto"/>
            <w:noWrap/>
            <w:vAlign w:val="center"/>
            <w:hideMark/>
          </w:tcPr>
          <w:p w14:paraId="6E2C0583" w14:textId="77777777" w:rsidR="00F303E0" w:rsidRPr="00EE5714" w:rsidRDefault="00F303E0" w:rsidP="007D7A4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-$27.18</w:t>
            </w:r>
          </w:p>
        </w:tc>
        <w:tc>
          <w:tcPr>
            <w:tcW w:w="1580" w:type="dxa"/>
            <w:shd w:val="clear" w:color="auto" w:fill="auto"/>
            <w:noWrap/>
            <w:vAlign w:val="center"/>
            <w:hideMark/>
          </w:tcPr>
          <w:p w14:paraId="29DC5AF7" w14:textId="77777777" w:rsidR="00F303E0" w:rsidRPr="00EE5714" w:rsidRDefault="00F303E0" w:rsidP="007D7A4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80" w:type="dxa"/>
            <w:shd w:val="clear" w:color="auto" w:fill="auto"/>
            <w:noWrap/>
            <w:vAlign w:val="center"/>
            <w:hideMark/>
          </w:tcPr>
          <w:p w14:paraId="059A909F" w14:textId="77777777" w:rsidR="00F303E0" w:rsidRPr="00EE5714" w:rsidRDefault="00F303E0" w:rsidP="007D7A4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1,097</w:t>
            </w:r>
          </w:p>
        </w:tc>
        <w:tc>
          <w:tcPr>
            <w:tcW w:w="1580" w:type="dxa"/>
            <w:shd w:val="clear" w:color="auto" w:fill="auto"/>
            <w:noWrap/>
            <w:vAlign w:val="center"/>
            <w:hideMark/>
          </w:tcPr>
          <w:p w14:paraId="15AAE3E7" w14:textId="77777777" w:rsidR="00F303E0" w:rsidRPr="00EE5714" w:rsidRDefault="00F303E0" w:rsidP="007D7A4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2,220</w:t>
            </w:r>
          </w:p>
        </w:tc>
        <w:tc>
          <w:tcPr>
            <w:tcW w:w="1190" w:type="dxa"/>
            <w:shd w:val="clear" w:color="auto" w:fill="auto"/>
            <w:noWrap/>
            <w:vAlign w:val="center"/>
            <w:hideMark/>
          </w:tcPr>
          <w:p w14:paraId="57F5DAFA" w14:textId="77777777" w:rsidR="00F303E0" w:rsidRPr="00EE5714" w:rsidRDefault="00F303E0" w:rsidP="007D7A4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1,306</w:t>
            </w:r>
          </w:p>
        </w:tc>
      </w:tr>
    </w:tbl>
    <w:p w14:paraId="2B530A10" w14:textId="77777777" w:rsidR="00F303E0" w:rsidRPr="00EE5714" w:rsidRDefault="00F303E0" w:rsidP="00500E02">
      <w:pPr>
        <w:pStyle w:val="NoSpacing"/>
        <w:rPr>
          <w:rFonts w:cs="Times New Roman"/>
          <w:i/>
          <w:color w:val="000000" w:themeColor="text1"/>
          <w:szCs w:val="26"/>
        </w:rPr>
      </w:pPr>
    </w:p>
    <w:p w14:paraId="2BB5BFDC" w14:textId="77777777" w:rsidR="00F303E0" w:rsidRPr="007710C2" w:rsidRDefault="00F303E0" w:rsidP="007710C2">
      <w:pPr>
        <w:pStyle w:val="NoSpacing"/>
        <w:rPr>
          <w:rFonts w:cs="Times New Roman"/>
          <w:i/>
          <w:color w:val="000000" w:themeColor="text1"/>
          <w:szCs w:val="26"/>
        </w:rPr>
      </w:pPr>
    </w:p>
    <w:p w14:paraId="768E2FAA" w14:textId="13B1115A" w:rsidR="00F303E0" w:rsidRPr="00EE5714" w:rsidRDefault="00F734A0" w:rsidP="007D7A46">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4655B9" w:rsidRPr="00EE5714">
        <w:rPr>
          <w:rFonts w:cs="Times New Roman"/>
          <w:szCs w:val="26"/>
        </w:rPr>
        <w:t>J</w:t>
      </w:r>
      <w:r w:rsidR="00F303E0" w:rsidRPr="00EE5714">
        <w:rPr>
          <w:rFonts w:cs="Times New Roman"/>
          <w:szCs w:val="26"/>
        </w:rPr>
        <w:t xml:space="preserve">.2: </w:t>
      </w:r>
      <w:r w:rsidR="00F303E0" w:rsidRPr="00EE5714">
        <w:rPr>
          <w:rFonts w:eastAsia="Times New Roman" w:cs="Times New Roman"/>
          <w:b/>
          <w:bCs/>
          <w:color w:val="000000"/>
          <w:szCs w:val="26"/>
        </w:rPr>
        <w:t>EDC Model for 10% Energy Burden – Costs</w:t>
      </w:r>
    </w:p>
    <w:tbl>
      <w:tblPr>
        <w:tblW w:w="10620" w:type="dxa"/>
        <w:tblInd w:w="-6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530"/>
        <w:gridCol w:w="1620"/>
        <w:gridCol w:w="1350"/>
        <w:gridCol w:w="1800"/>
        <w:gridCol w:w="2790"/>
        <w:gridCol w:w="1530"/>
      </w:tblGrid>
      <w:tr w:rsidR="00F303E0" w:rsidRPr="00EE5714" w14:paraId="4A38D090" w14:textId="77777777" w:rsidTr="00BF1FF5">
        <w:trPr>
          <w:trHeight w:val="430"/>
        </w:trPr>
        <w:tc>
          <w:tcPr>
            <w:tcW w:w="10620" w:type="dxa"/>
            <w:gridSpan w:val="6"/>
            <w:shd w:val="clear" w:color="auto" w:fill="BFBFBF" w:themeFill="background1" w:themeFillShade="BF"/>
            <w:vAlign w:val="center"/>
          </w:tcPr>
          <w:p w14:paraId="47C7774E"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EDC Model for 10% Energy Burden</w:t>
            </w:r>
          </w:p>
        </w:tc>
      </w:tr>
      <w:tr w:rsidR="00F303E0" w:rsidRPr="00EE5714" w14:paraId="34BFF187" w14:textId="77777777" w:rsidTr="00BF1FF5">
        <w:trPr>
          <w:trHeight w:val="806"/>
        </w:trPr>
        <w:tc>
          <w:tcPr>
            <w:tcW w:w="1530" w:type="dxa"/>
          </w:tcPr>
          <w:p w14:paraId="00A60D5E"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4770" w:type="dxa"/>
            <w:gridSpan w:val="3"/>
            <w:shd w:val="clear" w:color="auto" w:fill="auto"/>
            <w:noWrap/>
            <w:vAlign w:val="center"/>
            <w:hideMark/>
          </w:tcPr>
          <w:p w14:paraId="7D5B7595"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AVG Cost to Reach 10% EB</w:t>
            </w:r>
          </w:p>
        </w:tc>
        <w:tc>
          <w:tcPr>
            <w:tcW w:w="4320" w:type="dxa"/>
            <w:gridSpan w:val="2"/>
            <w:shd w:val="clear" w:color="auto" w:fill="auto"/>
            <w:noWrap/>
            <w:vAlign w:val="center"/>
            <w:hideMark/>
          </w:tcPr>
          <w:p w14:paraId="38BADC4D"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Incremental Cost to Change CAP Customers</w:t>
            </w:r>
          </w:p>
          <w:p w14:paraId="73A24F0F"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Currently Over 10% with Electric Heating, down to a targeted 10% Energy Burden</w:t>
            </w:r>
          </w:p>
        </w:tc>
      </w:tr>
      <w:tr w:rsidR="00F303E0" w:rsidRPr="00EE5714" w14:paraId="16257C43" w14:textId="77777777" w:rsidTr="00BF1FF5">
        <w:trPr>
          <w:trHeight w:hRule="exact" w:val="245"/>
        </w:trPr>
        <w:tc>
          <w:tcPr>
            <w:tcW w:w="1530" w:type="dxa"/>
            <w:shd w:val="clear" w:color="auto" w:fill="D9D9D9" w:themeFill="background1" w:themeFillShade="D9"/>
          </w:tcPr>
          <w:p w14:paraId="42A1A448" w14:textId="77777777" w:rsidR="00F303E0" w:rsidRPr="00EE5714" w:rsidRDefault="00F303E0" w:rsidP="007D7A46">
            <w:pPr>
              <w:keepNext/>
              <w:spacing w:after="0" w:line="240" w:lineRule="auto"/>
              <w:rPr>
                <w:rFonts w:ascii="Calibri" w:eastAsia="Times New Roman" w:hAnsi="Calibri" w:cs="Calibri"/>
                <w:i/>
                <w:color w:val="000000"/>
              </w:rPr>
            </w:pPr>
            <w:r w:rsidRPr="00EE5714">
              <w:rPr>
                <w:rFonts w:ascii="Calibri" w:eastAsia="Times New Roman" w:hAnsi="Calibri" w:cs="Calibri"/>
                <w:b/>
                <w:bCs/>
                <w:i/>
                <w:color w:val="000000"/>
              </w:rPr>
              <w:t>FPIG Level</w:t>
            </w:r>
          </w:p>
        </w:tc>
        <w:tc>
          <w:tcPr>
            <w:tcW w:w="1620" w:type="dxa"/>
            <w:shd w:val="clear" w:color="auto" w:fill="D9D9D9" w:themeFill="background1" w:themeFillShade="D9"/>
            <w:noWrap/>
            <w:vAlign w:val="bottom"/>
            <w:hideMark/>
          </w:tcPr>
          <w:p w14:paraId="4E2828A2"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50%</w:t>
            </w:r>
          </w:p>
        </w:tc>
        <w:tc>
          <w:tcPr>
            <w:tcW w:w="1350" w:type="dxa"/>
            <w:shd w:val="clear" w:color="auto" w:fill="D9D9D9" w:themeFill="background1" w:themeFillShade="D9"/>
            <w:noWrap/>
            <w:vAlign w:val="bottom"/>
            <w:hideMark/>
          </w:tcPr>
          <w:p w14:paraId="75ABBDD1"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100%</w:t>
            </w:r>
          </w:p>
        </w:tc>
        <w:tc>
          <w:tcPr>
            <w:tcW w:w="1800" w:type="dxa"/>
            <w:shd w:val="clear" w:color="auto" w:fill="D9D9D9" w:themeFill="background1" w:themeFillShade="D9"/>
            <w:noWrap/>
            <w:vAlign w:val="bottom"/>
            <w:hideMark/>
          </w:tcPr>
          <w:p w14:paraId="589DFB80"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150%</w:t>
            </w:r>
          </w:p>
        </w:tc>
        <w:tc>
          <w:tcPr>
            <w:tcW w:w="2790" w:type="dxa"/>
            <w:shd w:val="clear" w:color="auto" w:fill="D9D9D9" w:themeFill="background1" w:themeFillShade="D9"/>
            <w:noWrap/>
            <w:vAlign w:val="bottom"/>
            <w:hideMark/>
          </w:tcPr>
          <w:p w14:paraId="3FC65204"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Company</w:t>
            </w:r>
          </w:p>
        </w:tc>
        <w:tc>
          <w:tcPr>
            <w:tcW w:w="1530" w:type="dxa"/>
            <w:shd w:val="clear" w:color="auto" w:fill="D9D9D9" w:themeFill="background1" w:themeFillShade="D9"/>
            <w:vAlign w:val="bottom"/>
          </w:tcPr>
          <w:p w14:paraId="3645283D"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Amount</w:t>
            </w:r>
          </w:p>
        </w:tc>
      </w:tr>
      <w:tr w:rsidR="00F303E0" w:rsidRPr="00EE5714" w14:paraId="21685B68" w14:textId="77777777" w:rsidTr="00BF1FF5">
        <w:trPr>
          <w:trHeight w:hRule="exact" w:val="245"/>
        </w:trPr>
        <w:tc>
          <w:tcPr>
            <w:tcW w:w="1530" w:type="dxa"/>
          </w:tcPr>
          <w:p w14:paraId="371CD07C" w14:textId="77777777" w:rsidR="00F303E0" w:rsidRPr="00EE5714" w:rsidRDefault="00F303E0" w:rsidP="007D7A46">
            <w:pPr>
              <w:keepNext/>
              <w:spacing w:after="0" w:line="240" w:lineRule="auto"/>
              <w:jc w:val="center"/>
              <w:rPr>
                <w:rFonts w:ascii="Calibri" w:eastAsia="Times New Roman" w:hAnsi="Calibri" w:cs="Calibri"/>
                <w:color w:val="000000"/>
              </w:rPr>
            </w:pPr>
          </w:p>
        </w:tc>
        <w:tc>
          <w:tcPr>
            <w:tcW w:w="1620" w:type="dxa"/>
            <w:shd w:val="clear" w:color="auto" w:fill="auto"/>
            <w:noWrap/>
            <w:vAlign w:val="center"/>
            <w:hideMark/>
          </w:tcPr>
          <w:p w14:paraId="6776FD16" w14:textId="77777777" w:rsidR="00F303E0" w:rsidRPr="00EE5714" w:rsidRDefault="00F303E0" w:rsidP="007D7A46">
            <w:pPr>
              <w:keepNext/>
              <w:spacing w:after="0" w:line="240" w:lineRule="auto"/>
              <w:jc w:val="center"/>
              <w:rPr>
                <w:rFonts w:ascii="Calibri" w:eastAsia="Times New Roman" w:hAnsi="Calibri" w:cs="Calibri"/>
                <w:color w:val="000000"/>
              </w:rPr>
            </w:pPr>
            <w:r w:rsidRPr="00EE5714">
              <w:rPr>
                <w:rFonts w:ascii="Calibri" w:eastAsia="Times New Roman" w:hAnsi="Calibri" w:cs="Calibri"/>
                <w:color w:val="000000"/>
              </w:rPr>
              <w:t> </w:t>
            </w:r>
          </w:p>
        </w:tc>
        <w:tc>
          <w:tcPr>
            <w:tcW w:w="1350" w:type="dxa"/>
            <w:shd w:val="clear" w:color="auto" w:fill="auto"/>
            <w:noWrap/>
            <w:vAlign w:val="center"/>
            <w:hideMark/>
          </w:tcPr>
          <w:p w14:paraId="5AD81F3D" w14:textId="77777777" w:rsidR="00F303E0" w:rsidRPr="00EE5714" w:rsidRDefault="00F303E0" w:rsidP="007D7A46">
            <w:pPr>
              <w:keepNext/>
              <w:spacing w:after="0" w:line="240" w:lineRule="auto"/>
              <w:jc w:val="center"/>
              <w:rPr>
                <w:rFonts w:ascii="Calibri" w:eastAsia="Times New Roman" w:hAnsi="Calibri" w:cs="Calibri"/>
                <w:color w:val="000000"/>
              </w:rPr>
            </w:pPr>
          </w:p>
        </w:tc>
        <w:tc>
          <w:tcPr>
            <w:tcW w:w="1800" w:type="dxa"/>
            <w:shd w:val="clear" w:color="auto" w:fill="auto"/>
            <w:noWrap/>
            <w:vAlign w:val="center"/>
            <w:hideMark/>
          </w:tcPr>
          <w:p w14:paraId="303356BB" w14:textId="77777777" w:rsidR="00F303E0" w:rsidRPr="00EE5714" w:rsidRDefault="00F303E0" w:rsidP="007D7A46">
            <w:pPr>
              <w:keepNext/>
              <w:spacing w:after="0" w:line="240" w:lineRule="auto"/>
              <w:jc w:val="center"/>
              <w:rPr>
                <w:rFonts w:ascii="Times New Roman" w:eastAsia="Times New Roman" w:hAnsi="Times New Roman" w:cs="Times New Roman"/>
                <w:sz w:val="20"/>
                <w:szCs w:val="20"/>
              </w:rPr>
            </w:pPr>
          </w:p>
        </w:tc>
        <w:tc>
          <w:tcPr>
            <w:tcW w:w="2790" w:type="dxa"/>
            <w:shd w:val="clear" w:color="auto" w:fill="auto"/>
            <w:noWrap/>
            <w:vAlign w:val="bottom"/>
            <w:hideMark/>
          </w:tcPr>
          <w:p w14:paraId="3C93092B"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1530" w:type="dxa"/>
            <w:shd w:val="clear" w:color="auto" w:fill="auto"/>
            <w:noWrap/>
            <w:vAlign w:val="bottom"/>
            <w:hideMark/>
          </w:tcPr>
          <w:p w14:paraId="6FD38A2A"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r>
      <w:tr w:rsidR="00F303E0" w:rsidRPr="00EE5714" w14:paraId="3EB047ED" w14:textId="77777777" w:rsidTr="00BF1FF5">
        <w:trPr>
          <w:trHeight w:hRule="exact" w:val="245"/>
        </w:trPr>
        <w:tc>
          <w:tcPr>
            <w:tcW w:w="1530" w:type="dxa"/>
            <w:shd w:val="clear" w:color="auto" w:fill="F2F2F2" w:themeFill="background1" w:themeFillShade="F2"/>
            <w:vAlign w:val="bottom"/>
          </w:tcPr>
          <w:p w14:paraId="3B8758DB"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Duquesne</w:t>
            </w:r>
          </w:p>
        </w:tc>
        <w:tc>
          <w:tcPr>
            <w:tcW w:w="1620" w:type="dxa"/>
            <w:shd w:val="clear" w:color="auto" w:fill="auto"/>
            <w:noWrap/>
            <w:vAlign w:val="center"/>
            <w:hideMark/>
          </w:tcPr>
          <w:p w14:paraId="5268AC9D"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-$508,936</w:t>
            </w:r>
          </w:p>
        </w:tc>
        <w:tc>
          <w:tcPr>
            <w:tcW w:w="1350" w:type="dxa"/>
            <w:shd w:val="clear" w:color="auto" w:fill="auto"/>
            <w:noWrap/>
            <w:vAlign w:val="center"/>
            <w:hideMark/>
          </w:tcPr>
          <w:p w14:paraId="14B2E1D3"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-$314,354</w:t>
            </w:r>
          </w:p>
        </w:tc>
        <w:tc>
          <w:tcPr>
            <w:tcW w:w="1800" w:type="dxa"/>
            <w:shd w:val="clear" w:color="auto" w:fill="auto"/>
            <w:noWrap/>
            <w:vAlign w:val="center"/>
            <w:hideMark/>
          </w:tcPr>
          <w:p w14:paraId="2D8E0683"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2790" w:type="dxa"/>
            <w:shd w:val="clear" w:color="auto" w:fill="F2F2F2" w:themeFill="background1" w:themeFillShade="F2"/>
            <w:noWrap/>
            <w:vAlign w:val="bottom"/>
            <w:hideMark/>
          </w:tcPr>
          <w:p w14:paraId="3C9CA588"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Duquesne</w:t>
            </w:r>
          </w:p>
        </w:tc>
        <w:tc>
          <w:tcPr>
            <w:tcW w:w="1530" w:type="dxa"/>
            <w:shd w:val="clear" w:color="auto" w:fill="auto"/>
            <w:noWrap/>
            <w:vAlign w:val="center"/>
            <w:hideMark/>
          </w:tcPr>
          <w:p w14:paraId="6087395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-$823,290</w:t>
            </w:r>
          </w:p>
        </w:tc>
      </w:tr>
      <w:tr w:rsidR="00F303E0" w:rsidRPr="00EE5714" w14:paraId="42E01FF0" w14:textId="77777777" w:rsidTr="00BF1FF5">
        <w:trPr>
          <w:trHeight w:hRule="exact" w:val="245"/>
        </w:trPr>
        <w:tc>
          <w:tcPr>
            <w:tcW w:w="1530" w:type="dxa"/>
            <w:shd w:val="clear" w:color="auto" w:fill="F2F2F2" w:themeFill="background1" w:themeFillShade="F2"/>
            <w:vAlign w:val="bottom"/>
          </w:tcPr>
          <w:p w14:paraId="0BC43035"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Met-Ed</w:t>
            </w:r>
          </w:p>
        </w:tc>
        <w:tc>
          <w:tcPr>
            <w:tcW w:w="1620" w:type="dxa"/>
            <w:shd w:val="clear" w:color="auto" w:fill="auto"/>
            <w:noWrap/>
            <w:vAlign w:val="center"/>
            <w:hideMark/>
          </w:tcPr>
          <w:p w14:paraId="007A2452"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-$94,059</w:t>
            </w:r>
          </w:p>
        </w:tc>
        <w:tc>
          <w:tcPr>
            <w:tcW w:w="1350" w:type="dxa"/>
            <w:shd w:val="clear" w:color="auto" w:fill="auto"/>
            <w:noWrap/>
            <w:vAlign w:val="center"/>
            <w:hideMark/>
          </w:tcPr>
          <w:p w14:paraId="68D000B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1800" w:type="dxa"/>
            <w:shd w:val="clear" w:color="auto" w:fill="auto"/>
            <w:noWrap/>
            <w:vAlign w:val="center"/>
            <w:hideMark/>
          </w:tcPr>
          <w:p w14:paraId="0EB7EBF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2790" w:type="dxa"/>
            <w:shd w:val="clear" w:color="auto" w:fill="F2F2F2" w:themeFill="background1" w:themeFillShade="F2"/>
            <w:noWrap/>
            <w:vAlign w:val="bottom"/>
            <w:hideMark/>
          </w:tcPr>
          <w:p w14:paraId="40E3F0E4"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1530" w:type="dxa"/>
            <w:shd w:val="clear" w:color="auto" w:fill="auto"/>
            <w:noWrap/>
            <w:vAlign w:val="center"/>
            <w:hideMark/>
          </w:tcPr>
          <w:p w14:paraId="039D415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-$94,059</w:t>
            </w:r>
          </w:p>
        </w:tc>
      </w:tr>
      <w:tr w:rsidR="00F303E0" w:rsidRPr="00EE5714" w14:paraId="721FDFCC" w14:textId="77777777" w:rsidTr="00BF1FF5">
        <w:trPr>
          <w:trHeight w:hRule="exact" w:val="245"/>
        </w:trPr>
        <w:tc>
          <w:tcPr>
            <w:tcW w:w="1530" w:type="dxa"/>
            <w:shd w:val="clear" w:color="auto" w:fill="F2F2F2" w:themeFill="background1" w:themeFillShade="F2"/>
            <w:vAlign w:val="bottom"/>
          </w:tcPr>
          <w:p w14:paraId="2B360DA9"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PECO Electric</w:t>
            </w:r>
          </w:p>
        </w:tc>
        <w:tc>
          <w:tcPr>
            <w:tcW w:w="1620" w:type="dxa"/>
            <w:shd w:val="clear" w:color="auto" w:fill="auto"/>
            <w:noWrap/>
            <w:vAlign w:val="center"/>
            <w:hideMark/>
          </w:tcPr>
          <w:p w14:paraId="53B6CD35"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-$2,704,923</w:t>
            </w:r>
          </w:p>
        </w:tc>
        <w:tc>
          <w:tcPr>
            <w:tcW w:w="1350" w:type="dxa"/>
            <w:shd w:val="clear" w:color="auto" w:fill="auto"/>
            <w:noWrap/>
            <w:vAlign w:val="center"/>
            <w:hideMark/>
          </w:tcPr>
          <w:p w14:paraId="26EB48A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-$3,027,842</w:t>
            </w:r>
          </w:p>
        </w:tc>
        <w:tc>
          <w:tcPr>
            <w:tcW w:w="1800" w:type="dxa"/>
            <w:shd w:val="clear" w:color="auto" w:fill="auto"/>
            <w:noWrap/>
            <w:vAlign w:val="center"/>
            <w:hideMark/>
          </w:tcPr>
          <w:p w14:paraId="2B4F7681"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-$680,776</w:t>
            </w:r>
          </w:p>
        </w:tc>
        <w:tc>
          <w:tcPr>
            <w:tcW w:w="2790" w:type="dxa"/>
            <w:shd w:val="clear" w:color="auto" w:fill="F2F2F2" w:themeFill="background1" w:themeFillShade="F2"/>
            <w:noWrap/>
            <w:vAlign w:val="bottom"/>
            <w:hideMark/>
          </w:tcPr>
          <w:p w14:paraId="2281F70D"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1530" w:type="dxa"/>
            <w:shd w:val="clear" w:color="auto" w:fill="auto"/>
            <w:noWrap/>
            <w:vAlign w:val="center"/>
            <w:hideMark/>
          </w:tcPr>
          <w:p w14:paraId="6EEF6C6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-$6,413,541</w:t>
            </w:r>
          </w:p>
        </w:tc>
      </w:tr>
      <w:tr w:rsidR="00F303E0" w:rsidRPr="00EE5714" w14:paraId="2808E061" w14:textId="77777777" w:rsidTr="00BF1FF5">
        <w:trPr>
          <w:trHeight w:hRule="exact" w:val="245"/>
        </w:trPr>
        <w:tc>
          <w:tcPr>
            <w:tcW w:w="1530" w:type="dxa"/>
            <w:shd w:val="clear" w:color="auto" w:fill="F2F2F2" w:themeFill="background1" w:themeFillShade="F2"/>
            <w:vAlign w:val="bottom"/>
          </w:tcPr>
          <w:p w14:paraId="4BD99084" w14:textId="77777777" w:rsidR="00F303E0" w:rsidRPr="00EE5714" w:rsidRDefault="00F303E0" w:rsidP="007D7A46">
            <w:pPr>
              <w:keepNext/>
              <w:spacing w:after="0" w:line="240" w:lineRule="auto"/>
              <w:rPr>
                <w:rFonts w:ascii="Calibri" w:eastAsia="Times New Roman" w:hAnsi="Calibri" w:cs="Calibri"/>
                <w:color w:val="000000"/>
                <w:sz w:val="21"/>
                <w:szCs w:val="21"/>
              </w:rPr>
            </w:pPr>
            <w:proofErr w:type="spellStart"/>
            <w:r w:rsidRPr="00EE5714">
              <w:rPr>
                <w:rFonts w:ascii="Calibri" w:eastAsia="Times New Roman" w:hAnsi="Calibri" w:cs="Calibri"/>
                <w:b/>
                <w:color w:val="000000"/>
                <w:sz w:val="21"/>
                <w:szCs w:val="21"/>
              </w:rPr>
              <w:t>Penelec</w:t>
            </w:r>
            <w:proofErr w:type="spellEnd"/>
          </w:p>
        </w:tc>
        <w:tc>
          <w:tcPr>
            <w:tcW w:w="1620" w:type="dxa"/>
            <w:shd w:val="clear" w:color="auto" w:fill="auto"/>
            <w:noWrap/>
            <w:vAlign w:val="center"/>
            <w:hideMark/>
          </w:tcPr>
          <w:p w14:paraId="7489F815"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-$145,120</w:t>
            </w:r>
          </w:p>
        </w:tc>
        <w:tc>
          <w:tcPr>
            <w:tcW w:w="1350" w:type="dxa"/>
            <w:shd w:val="clear" w:color="auto" w:fill="auto"/>
            <w:noWrap/>
            <w:vAlign w:val="center"/>
            <w:hideMark/>
          </w:tcPr>
          <w:p w14:paraId="6BFF3F8D"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1800" w:type="dxa"/>
            <w:shd w:val="clear" w:color="auto" w:fill="auto"/>
            <w:noWrap/>
            <w:vAlign w:val="center"/>
            <w:hideMark/>
          </w:tcPr>
          <w:p w14:paraId="3A36033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2790" w:type="dxa"/>
            <w:shd w:val="clear" w:color="auto" w:fill="F2F2F2" w:themeFill="background1" w:themeFillShade="F2"/>
            <w:noWrap/>
            <w:vAlign w:val="bottom"/>
            <w:hideMark/>
          </w:tcPr>
          <w:p w14:paraId="45269D6A" w14:textId="77777777" w:rsidR="00F303E0" w:rsidRPr="00EE5714" w:rsidRDefault="00F303E0" w:rsidP="007D7A46">
            <w:pPr>
              <w:keepNext/>
              <w:spacing w:after="0" w:line="240" w:lineRule="auto"/>
              <w:rPr>
                <w:rFonts w:ascii="Calibri" w:eastAsia="Times New Roman" w:hAnsi="Calibri" w:cs="Calibri"/>
                <w:b/>
                <w:color w:val="000000"/>
                <w:sz w:val="21"/>
                <w:szCs w:val="21"/>
              </w:rPr>
            </w:pPr>
            <w:proofErr w:type="spellStart"/>
            <w:r w:rsidRPr="00EE5714">
              <w:rPr>
                <w:rFonts w:ascii="Calibri" w:eastAsia="Times New Roman" w:hAnsi="Calibri" w:cs="Calibri"/>
                <w:b/>
                <w:color w:val="000000"/>
                <w:sz w:val="21"/>
                <w:szCs w:val="21"/>
              </w:rPr>
              <w:t>Penelec</w:t>
            </w:r>
            <w:proofErr w:type="spellEnd"/>
          </w:p>
        </w:tc>
        <w:tc>
          <w:tcPr>
            <w:tcW w:w="1530" w:type="dxa"/>
            <w:shd w:val="clear" w:color="auto" w:fill="auto"/>
            <w:noWrap/>
            <w:vAlign w:val="center"/>
            <w:hideMark/>
          </w:tcPr>
          <w:p w14:paraId="7571C113"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-$145,120</w:t>
            </w:r>
          </w:p>
        </w:tc>
      </w:tr>
      <w:tr w:rsidR="00F303E0" w:rsidRPr="00EE5714" w14:paraId="16FE62DC" w14:textId="77777777" w:rsidTr="00BF1FF5">
        <w:trPr>
          <w:trHeight w:hRule="exact" w:val="245"/>
        </w:trPr>
        <w:tc>
          <w:tcPr>
            <w:tcW w:w="1530" w:type="dxa"/>
            <w:shd w:val="clear" w:color="auto" w:fill="F2F2F2" w:themeFill="background1" w:themeFillShade="F2"/>
            <w:vAlign w:val="bottom"/>
          </w:tcPr>
          <w:p w14:paraId="7794A10F"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Penn Power</w:t>
            </w:r>
          </w:p>
        </w:tc>
        <w:tc>
          <w:tcPr>
            <w:tcW w:w="1620" w:type="dxa"/>
            <w:shd w:val="clear" w:color="auto" w:fill="auto"/>
            <w:noWrap/>
            <w:vAlign w:val="center"/>
            <w:hideMark/>
          </w:tcPr>
          <w:p w14:paraId="1BF3A2A7"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-$173,337</w:t>
            </w:r>
          </w:p>
        </w:tc>
        <w:tc>
          <w:tcPr>
            <w:tcW w:w="1350" w:type="dxa"/>
            <w:shd w:val="clear" w:color="auto" w:fill="auto"/>
            <w:noWrap/>
            <w:vAlign w:val="center"/>
            <w:hideMark/>
          </w:tcPr>
          <w:p w14:paraId="6CB3B137"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-$17,530</w:t>
            </w:r>
          </w:p>
        </w:tc>
        <w:tc>
          <w:tcPr>
            <w:tcW w:w="1800" w:type="dxa"/>
            <w:shd w:val="clear" w:color="auto" w:fill="auto"/>
            <w:noWrap/>
            <w:vAlign w:val="center"/>
            <w:hideMark/>
          </w:tcPr>
          <w:p w14:paraId="44A26EE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2790" w:type="dxa"/>
            <w:shd w:val="clear" w:color="auto" w:fill="F2F2F2" w:themeFill="background1" w:themeFillShade="F2"/>
            <w:noWrap/>
            <w:vAlign w:val="bottom"/>
            <w:hideMark/>
          </w:tcPr>
          <w:p w14:paraId="2686ACA7"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Penn Power</w:t>
            </w:r>
          </w:p>
        </w:tc>
        <w:tc>
          <w:tcPr>
            <w:tcW w:w="1530" w:type="dxa"/>
            <w:shd w:val="clear" w:color="auto" w:fill="auto"/>
            <w:noWrap/>
            <w:vAlign w:val="center"/>
            <w:hideMark/>
          </w:tcPr>
          <w:p w14:paraId="179A56B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-$190,867</w:t>
            </w:r>
          </w:p>
        </w:tc>
      </w:tr>
      <w:tr w:rsidR="00F303E0" w:rsidRPr="00EE5714" w14:paraId="176D83C1" w14:textId="77777777" w:rsidTr="00BF1FF5">
        <w:trPr>
          <w:trHeight w:hRule="exact" w:val="245"/>
        </w:trPr>
        <w:tc>
          <w:tcPr>
            <w:tcW w:w="1530" w:type="dxa"/>
            <w:shd w:val="clear" w:color="auto" w:fill="F2F2F2" w:themeFill="background1" w:themeFillShade="F2"/>
            <w:vAlign w:val="bottom"/>
          </w:tcPr>
          <w:p w14:paraId="38234F5D"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PPL</w:t>
            </w:r>
          </w:p>
        </w:tc>
        <w:tc>
          <w:tcPr>
            <w:tcW w:w="1620" w:type="dxa"/>
            <w:shd w:val="clear" w:color="auto" w:fill="auto"/>
            <w:noWrap/>
            <w:vAlign w:val="center"/>
            <w:hideMark/>
          </w:tcPr>
          <w:p w14:paraId="3DA87A87"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-$931,182</w:t>
            </w:r>
          </w:p>
        </w:tc>
        <w:tc>
          <w:tcPr>
            <w:tcW w:w="1350" w:type="dxa"/>
            <w:shd w:val="clear" w:color="auto" w:fill="auto"/>
            <w:noWrap/>
            <w:vAlign w:val="center"/>
            <w:hideMark/>
          </w:tcPr>
          <w:p w14:paraId="03715B6C"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1800" w:type="dxa"/>
            <w:shd w:val="clear" w:color="auto" w:fill="auto"/>
            <w:noWrap/>
            <w:vAlign w:val="center"/>
            <w:hideMark/>
          </w:tcPr>
          <w:p w14:paraId="2ECCF190"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2790" w:type="dxa"/>
            <w:shd w:val="clear" w:color="auto" w:fill="F2F2F2" w:themeFill="background1" w:themeFillShade="F2"/>
            <w:noWrap/>
            <w:vAlign w:val="bottom"/>
            <w:hideMark/>
          </w:tcPr>
          <w:p w14:paraId="075BE50D"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PPL</w:t>
            </w:r>
          </w:p>
        </w:tc>
        <w:tc>
          <w:tcPr>
            <w:tcW w:w="1530" w:type="dxa"/>
            <w:shd w:val="clear" w:color="auto" w:fill="auto"/>
            <w:noWrap/>
            <w:vAlign w:val="center"/>
            <w:hideMark/>
          </w:tcPr>
          <w:p w14:paraId="6B6EDEFD"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-$931,182</w:t>
            </w:r>
          </w:p>
        </w:tc>
      </w:tr>
      <w:tr w:rsidR="00F303E0" w:rsidRPr="00EE5714" w14:paraId="5DF4FEC8" w14:textId="77777777" w:rsidTr="00BF1FF5">
        <w:trPr>
          <w:trHeight w:hRule="exact" w:val="245"/>
        </w:trPr>
        <w:tc>
          <w:tcPr>
            <w:tcW w:w="1530" w:type="dxa"/>
            <w:shd w:val="clear" w:color="auto" w:fill="F2F2F2" w:themeFill="background1" w:themeFillShade="F2"/>
            <w:vAlign w:val="bottom"/>
          </w:tcPr>
          <w:p w14:paraId="5F642FB2"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West Penn</w:t>
            </w:r>
          </w:p>
        </w:tc>
        <w:tc>
          <w:tcPr>
            <w:tcW w:w="1620" w:type="dxa"/>
            <w:shd w:val="clear" w:color="auto" w:fill="auto"/>
            <w:noWrap/>
            <w:vAlign w:val="center"/>
            <w:hideMark/>
          </w:tcPr>
          <w:p w14:paraId="21869C6D"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-$617,331</w:t>
            </w:r>
          </w:p>
        </w:tc>
        <w:tc>
          <w:tcPr>
            <w:tcW w:w="1350" w:type="dxa"/>
            <w:shd w:val="clear" w:color="auto" w:fill="auto"/>
            <w:noWrap/>
            <w:vAlign w:val="center"/>
            <w:hideMark/>
          </w:tcPr>
          <w:p w14:paraId="442BD67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-$60,351</w:t>
            </w:r>
          </w:p>
        </w:tc>
        <w:tc>
          <w:tcPr>
            <w:tcW w:w="1800" w:type="dxa"/>
            <w:shd w:val="clear" w:color="auto" w:fill="auto"/>
            <w:noWrap/>
            <w:vAlign w:val="center"/>
            <w:hideMark/>
          </w:tcPr>
          <w:p w14:paraId="60D071E5"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2790" w:type="dxa"/>
            <w:shd w:val="clear" w:color="auto" w:fill="F2F2F2" w:themeFill="background1" w:themeFillShade="F2"/>
            <w:noWrap/>
            <w:vAlign w:val="bottom"/>
            <w:hideMark/>
          </w:tcPr>
          <w:p w14:paraId="37AE3B07"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West Penn</w:t>
            </w:r>
          </w:p>
        </w:tc>
        <w:tc>
          <w:tcPr>
            <w:tcW w:w="1530" w:type="dxa"/>
            <w:shd w:val="clear" w:color="auto" w:fill="auto"/>
            <w:noWrap/>
            <w:vAlign w:val="center"/>
            <w:hideMark/>
          </w:tcPr>
          <w:p w14:paraId="321B5768"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-$677,682</w:t>
            </w:r>
          </w:p>
        </w:tc>
      </w:tr>
      <w:tr w:rsidR="00F303E0" w:rsidRPr="00EE5714" w14:paraId="26BD0402" w14:textId="77777777" w:rsidTr="00BF1FF5">
        <w:trPr>
          <w:trHeight w:hRule="exact" w:val="245"/>
        </w:trPr>
        <w:tc>
          <w:tcPr>
            <w:tcW w:w="1530" w:type="dxa"/>
          </w:tcPr>
          <w:p w14:paraId="1ADF1BDF" w14:textId="77777777" w:rsidR="00F303E0" w:rsidRPr="00EE5714" w:rsidRDefault="00F303E0" w:rsidP="007D7A46">
            <w:pPr>
              <w:spacing w:after="0" w:line="240" w:lineRule="auto"/>
              <w:rPr>
                <w:rFonts w:ascii="Calibri" w:eastAsia="Times New Roman" w:hAnsi="Calibri" w:cs="Calibri"/>
                <w:color w:val="000000"/>
                <w:sz w:val="21"/>
                <w:szCs w:val="21"/>
              </w:rPr>
            </w:pPr>
          </w:p>
        </w:tc>
        <w:tc>
          <w:tcPr>
            <w:tcW w:w="1620" w:type="dxa"/>
            <w:shd w:val="clear" w:color="auto" w:fill="auto"/>
            <w:noWrap/>
            <w:vAlign w:val="center"/>
            <w:hideMark/>
          </w:tcPr>
          <w:p w14:paraId="7C3CEBFC" w14:textId="77777777" w:rsidR="00F303E0" w:rsidRPr="00EE5714" w:rsidRDefault="00F303E0" w:rsidP="007D7A46">
            <w:pPr>
              <w:spacing w:after="0" w:line="240" w:lineRule="auto"/>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350" w:type="dxa"/>
            <w:shd w:val="clear" w:color="auto" w:fill="auto"/>
            <w:noWrap/>
            <w:vAlign w:val="center"/>
            <w:hideMark/>
          </w:tcPr>
          <w:p w14:paraId="483628AB" w14:textId="77777777" w:rsidR="00F303E0" w:rsidRPr="00EE5714" w:rsidRDefault="00F303E0" w:rsidP="007D7A46">
            <w:pPr>
              <w:spacing w:after="0" w:line="240" w:lineRule="auto"/>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1800" w:type="dxa"/>
            <w:shd w:val="clear" w:color="auto" w:fill="auto"/>
            <w:noWrap/>
            <w:vAlign w:val="center"/>
            <w:hideMark/>
          </w:tcPr>
          <w:p w14:paraId="60C3075A" w14:textId="77777777" w:rsidR="00F303E0" w:rsidRPr="00EE5714" w:rsidRDefault="00F303E0" w:rsidP="007D7A46">
            <w:pPr>
              <w:spacing w:after="0" w:line="240" w:lineRule="auto"/>
              <w:rPr>
                <w:rFonts w:ascii="Calibri" w:eastAsia="Times New Roman" w:hAnsi="Calibri" w:cs="Calibri"/>
                <w:color w:val="000000"/>
                <w:sz w:val="21"/>
                <w:szCs w:val="21"/>
              </w:rPr>
            </w:pPr>
            <w:r w:rsidRPr="00EE5714">
              <w:rPr>
                <w:rFonts w:ascii="Calibri" w:eastAsia="Times New Roman" w:hAnsi="Calibri" w:cs="Calibri"/>
                <w:color w:val="000000"/>
                <w:sz w:val="21"/>
                <w:szCs w:val="21"/>
              </w:rPr>
              <w:t> </w:t>
            </w:r>
          </w:p>
        </w:tc>
        <w:tc>
          <w:tcPr>
            <w:tcW w:w="2790" w:type="dxa"/>
            <w:shd w:val="clear" w:color="auto" w:fill="D9D9D9" w:themeFill="background1" w:themeFillShade="D9"/>
            <w:noWrap/>
            <w:vAlign w:val="bottom"/>
            <w:hideMark/>
          </w:tcPr>
          <w:p w14:paraId="34FE02BB" w14:textId="77777777" w:rsidR="00F303E0" w:rsidRPr="00EE5714" w:rsidRDefault="00F303E0" w:rsidP="007D7A46">
            <w:pPr>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EDC TOTAL</w:t>
            </w:r>
          </w:p>
        </w:tc>
        <w:tc>
          <w:tcPr>
            <w:tcW w:w="1530" w:type="dxa"/>
            <w:shd w:val="clear" w:color="auto" w:fill="D9D9D9" w:themeFill="background1" w:themeFillShade="D9"/>
            <w:noWrap/>
            <w:vAlign w:val="center"/>
            <w:hideMark/>
          </w:tcPr>
          <w:p w14:paraId="0FBB7D27" w14:textId="77777777" w:rsidR="00F303E0" w:rsidRPr="00EE5714" w:rsidRDefault="00F303E0" w:rsidP="007D7A46">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-$9,275,741</w:t>
            </w:r>
          </w:p>
        </w:tc>
      </w:tr>
    </w:tbl>
    <w:p w14:paraId="3C4F751A" w14:textId="77777777" w:rsidR="00F303E0" w:rsidRPr="00EE5714" w:rsidRDefault="00F303E0" w:rsidP="007D7A46">
      <w:pPr>
        <w:spacing w:after="0" w:line="240" w:lineRule="auto"/>
        <w:rPr>
          <w:rFonts w:ascii="Times New Roman" w:hAnsi="Times New Roman" w:cs="Times New Roman"/>
          <w:sz w:val="26"/>
          <w:szCs w:val="26"/>
        </w:rPr>
      </w:pPr>
    </w:p>
    <w:p w14:paraId="4F4C3F03" w14:textId="77777777" w:rsidR="00F303E0" w:rsidRPr="00EE5714" w:rsidRDefault="00F303E0" w:rsidP="00500E02">
      <w:pPr>
        <w:pStyle w:val="NoSpacing"/>
        <w:rPr>
          <w:rFonts w:eastAsiaTheme="minorHAnsi" w:cs="Times New Roman"/>
          <w:szCs w:val="26"/>
        </w:rPr>
      </w:pPr>
    </w:p>
    <w:p w14:paraId="3B1A2464" w14:textId="375B1ADC" w:rsidR="00F303E0" w:rsidRPr="00EE5714" w:rsidRDefault="00F734A0" w:rsidP="007D7A46">
      <w:pPr>
        <w:keepNext/>
        <w:spacing w:after="0" w:line="240" w:lineRule="auto"/>
        <w:rPr>
          <w:rFonts w:ascii="Times New Roman" w:eastAsiaTheme="minorEastAsia" w:hAnsi="Times New Roman" w:cs="Times New Roman"/>
          <w:i/>
          <w:color w:val="000000" w:themeColor="text1"/>
          <w:sz w:val="26"/>
          <w:szCs w:val="26"/>
        </w:rPr>
      </w:pPr>
      <w:r w:rsidRPr="00EE5714">
        <w:rPr>
          <w:rFonts w:ascii="Times New Roman" w:eastAsiaTheme="minorEastAsia" w:hAnsi="Times New Roman" w:cs="Times New Roman"/>
          <w:i/>
          <w:color w:val="000000" w:themeColor="text1"/>
          <w:sz w:val="26"/>
          <w:szCs w:val="26"/>
        </w:rPr>
        <w:t>Appendix 9</w:t>
      </w:r>
      <w:r w:rsidR="00F303E0" w:rsidRPr="00EE5714">
        <w:rPr>
          <w:rFonts w:ascii="Times New Roman" w:eastAsiaTheme="minorEastAsia" w:hAnsi="Times New Roman" w:cs="Times New Roman"/>
          <w:i/>
          <w:color w:val="000000" w:themeColor="text1"/>
          <w:sz w:val="26"/>
          <w:szCs w:val="26"/>
        </w:rPr>
        <w:t>.</w:t>
      </w:r>
      <w:r w:rsidR="004655B9" w:rsidRPr="00EE5714">
        <w:rPr>
          <w:rFonts w:ascii="Times New Roman" w:eastAsiaTheme="minorEastAsia" w:hAnsi="Times New Roman" w:cs="Times New Roman"/>
          <w:i/>
          <w:color w:val="000000" w:themeColor="text1"/>
          <w:sz w:val="26"/>
          <w:szCs w:val="26"/>
        </w:rPr>
        <w:t>K</w:t>
      </w:r>
      <w:r w:rsidR="00F303E0" w:rsidRPr="00EE5714">
        <w:rPr>
          <w:rFonts w:ascii="Times New Roman" w:eastAsiaTheme="minorEastAsia" w:hAnsi="Times New Roman" w:cs="Times New Roman"/>
          <w:i/>
          <w:color w:val="000000" w:themeColor="text1"/>
          <w:sz w:val="26"/>
          <w:szCs w:val="26"/>
        </w:rPr>
        <w:t>: Table 10-12 EDC CAP Electric Non-Heating Model – Additional Discount Needed for 4% Energy Burden</w:t>
      </w:r>
    </w:p>
    <w:p w14:paraId="74F2E30C" w14:textId="77777777" w:rsidR="00F303E0" w:rsidRPr="00EE5714" w:rsidRDefault="00F303E0" w:rsidP="00500E02">
      <w:pPr>
        <w:pStyle w:val="NoSpacing"/>
        <w:keepNext/>
        <w:rPr>
          <w:rFonts w:cs="Times New Roman"/>
          <w:i/>
          <w:color w:val="000000" w:themeColor="text1"/>
          <w:szCs w:val="26"/>
        </w:rPr>
      </w:pPr>
    </w:p>
    <w:p w14:paraId="24FD3195" w14:textId="67D612C4" w:rsidR="00F303E0" w:rsidRPr="00EE5714" w:rsidRDefault="00F734A0" w:rsidP="007D7A46">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4655B9" w:rsidRPr="00EE5714">
        <w:rPr>
          <w:rFonts w:cs="Times New Roman"/>
          <w:szCs w:val="26"/>
        </w:rPr>
        <w:t>K</w:t>
      </w:r>
      <w:r w:rsidR="00F303E0" w:rsidRPr="00EE5714">
        <w:rPr>
          <w:rFonts w:cs="Times New Roman"/>
          <w:szCs w:val="26"/>
        </w:rPr>
        <w:t xml:space="preserve">.1: </w:t>
      </w:r>
      <w:r w:rsidR="00F303E0" w:rsidRPr="00EE5714">
        <w:rPr>
          <w:rFonts w:eastAsia="Times New Roman" w:cs="Times New Roman"/>
          <w:b/>
          <w:bCs/>
          <w:color w:val="000000"/>
          <w:szCs w:val="26"/>
        </w:rPr>
        <w:t>EDC Model for 4% Energy Burden – Components</w:t>
      </w:r>
    </w:p>
    <w:tbl>
      <w:tblPr>
        <w:tblW w:w="10620" w:type="dxa"/>
        <w:tblInd w:w="-640" w:type="dxa"/>
        <w:tblBorders>
          <w:top w:val="single" w:sz="8" w:space="0" w:color="000000" w:themeColor="text1"/>
          <w:left w:val="single" w:sz="8" w:space="0" w:color="auto"/>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530"/>
        <w:gridCol w:w="1589"/>
        <w:gridCol w:w="1590"/>
        <w:gridCol w:w="1590"/>
        <w:gridCol w:w="1590"/>
        <w:gridCol w:w="1590"/>
        <w:gridCol w:w="1141"/>
      </w:tblGrid>
      <w:tr w:rsidR="00F303E0" w:rsidRPr="00EE5714" w14:paraId="31FF830D" w14:textId="77777777" w:rsidTr="00BF1FF5">
        <w:trPr>
          <w:trHeight w:val="376"/>
        </w:trPr>
        <w:tc>
          <w:tcPr>
            <w:tcW w:w="10620" w:type="dxa"/>
            <w:gridSpan w:val="7"/>
            <w:shd w:val="clear" w:color="auto" w:fill="BFBFBF" w:themeFill="background1" w:themeFillShade="BF"/>
            <w:noWrap/>
            <w:vAlign w:val="center"/>
          </w:tcPr>
          <w:p w14:paraId="2063DC1A"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 EDC Model for 4% Energy Burden</w:t>
            </w:r>
          </w:p>
        </w:tc>
      </w:tr>
      <w:tr w:rsidR="00F303E0" w:rsidRPr="00EE5714" w14:paraId="4E35BF25" w14:textId="77777777" w:rsidTr="00BF1FF5">
        <w:trPr>
          <w:trHeight w:val="340"/>
        </w:trPr>
        <w:tc>
          <w:tcPr>
            <w:tcW w:w="1530" w:type="dxa"/>
            <w:vMerge w:val="restart"/>
            <w:shd w:val="clear" w:color="auto" w:fill="auto"/>
            <w:noWrap/>
            <w:vAlign w:val="center"/>
            <w:hideMark/>
          </w:tcPr>
          <w:p w14:paraId="325346A4" w14:textId="77777777" w:rsidR="00F303E0" w:rsidRPr="00EE5714" w:rsidRDefault="00F303E0" w:rsidP="007D7A46">
            <w:pPr>
              <w:keepNext/>
              <w:spacing w:after="0" w:line="240" w:lineRule="auto"/>
              <w:rPr>
                <w:rFonts w:ascii="Calibri" w:eastAsia="Times New Roman" w:hAnsi="Calibri" w:cs="Calibri"/>
                <w:b/>
                <w:bCs/>
                <w:color w:val="000000"/>
              </w:rPr>
            </w:pPr>
            <w:r w:rsidRPr="00EE5714">
              <w:rPr>
                <w:rFonts w:ascii="Calibri" w:eastAsia="Times New Roman" w:hAnsi="Calibri" w:cs="Calibri"/>
                <w:b/>
                <w:bCs/>
                <w:color w:val="000000"/>
              </w:rPr>
              <w:t xml:space="preserve">Electric Non-Heating </w:t>
            </w:r>
          </w:p>
        </w:tc>
        <w:tc>
          <w:tcPr>
            <w:tcW w:w="4769" w:type="dxa"/>
            <w:gridSpan w:val="3"/>
            <w:shd w:val="clear" w:color="auto" w:fill="auto"/>
            <w:noWrap/>
            <w:vAlign w:val="bottom"/>
            <w:hideMark/>
          </w:tcPr>
          <w:p w14:paraId="3FC9CEE8"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Avg CAP Bill Change Needed </w:t>
            </w:r>
          </w:p>
        </w:tc>
        <w:tc>
          <w:tcPr>
            <w:tcW w:w="4321" w:type="dxa"/>
            <w:gridSpan w:val="3"/>
            <w:shd w:val="clear" w:color="auto" w:fill="auto"/>
            <w:noWrap/>
            <w:vAlign w:val="bottom"/>
            <w:hideMark/>
          </w:tcPr>
          <w:p w14:paraId="3C135F24"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AVG CAP Electric Non-Heat</w:t>
            </w:r>
          </w:p>
        </w:tc>
      </w:tr>
      <w:tr w:rsidR="00F303E0" w:rsidRPr="00EE5714" w14:paraId="60DE0BE6" w14:textId="77777777" w:rsidTr="00BF1FF5">
        <w:trPr>
          <w:trHeight w:val="250"/>
        </w:trPr>
        <w:tc>
          <w:tcPr>
            <w:tcW w:w="1530" w:type="dxa"/>
            <w:vMerge/>
            <w:shd w:val="clear" w:color="auto" w:fill="auto"/>
            <w:noWrap/>
            <w:vAlign w:val="bottom"/>
            <w:hideMark/>
          </w:tcPr>
          <w:p w14:paraId="7EF2CAD3" w14:textId="77777777" w:rsidR="00F303E0" w:rsidRPr="00EE5714" w:rsidRDefault="00F303E0" w:rsidP="007D7A46">
            <w:pPr>
              <w:keepNext/>
              <w:spacing w:after="0" w:line="240" w:lineRule="auto"/>
              <w:rPr>
                <w:rFonts w:ascii="Calibri" w:eastAsia="Times New Roman" w:hAnsi="Calibri" w:cs="Calibri"/>
                <w:b/>
                <w:bCs/>
                <w:color w:val="000000"/>
              </w:rPr>
            </w:pPr>
          </w:p>
        </w:tc>
        <w:tc>
          <w:tcPr>
            <w:tcW w:w="4769" w:type="dxa"/>
            <w:gridSpan w:val="3"/>
            <w:shd w:val="clear" w:color="auto" w:fill="auto"/>
            <w:noWrap/>
            <w:vAlign w:val="bottom"/>
            <w:hideMark/>
          </w:tcPr>
          <w:p w14:paraId="435BFF6E"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Accounts Billed 2012-2016</w:t>
            </w:r>
          </w:p>
        </w:tc>
        <w:tc>
          <w:tcPr>
            <w:tcW w:w="4321" w:type="dxa"/>
            <w:gridSpan w:val="3"/>
            <w:shd w:val="clear" w:color="auto" w:fill="auto"/>
            <w:noWrap/>
            <w:vAlign w:val="bottom"/>
            <w:hideMark/>
          </w:tcPr>
          <w:p w14:paraId="3B6305B0"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Accounts Billed 2012-2016</w:t>
            </w:r>
          </w:p>
        </w:tc>
      </w:tr>
      <w:tr w:rsidR="00F303E0" w:rsidRPr="00EE5714" w14:paraId="7867EA9E" w14:textId="77777777" w:rsidTr="00BF1FF5">
        <w:trPr>
          <w:trHeight w:hRule="exact" w:val="245"/>
        </w:trPr>
        <w:tc>
          <w:tcPr>
            <w:tcW w:w="1530" w:type="dxa"/>
            <w:shd w:val="clear" w:color="auto" w:fill="F2F2F2" w:themeFill="background1" w:themeFillShade="F2"/>
            <w:noWrap/>
            <w:vAlign w:val="bottom"/>
            <w:hideMark/>
          </w:tcPr>
          <w:p w14:paraId="417B6406" w14:textId="77777777" w:rsidR="00F303E0" w:rsidRPr="00EE5714" w:rsidRDefault="00F303E0" w:rsidP="007D7A46">
            <w:pPr>
              <w:keepNext/>
              <w:spacing w:after="0" w:line="240" w:lineRule="auto"/>
              <w:rPr>
                <w:rFonts w:ascii="Calibri" w:eastAsia="Times New Roman" w:hAnsi="Calibri" w:cs="Calibri"/>
                <w:b/>
                <w:bCs/>
                <w:i/>
                <w:color w:val="000000"/>
              </w:rPr>
            </w:pPr>
            <w:r w:rsidRPr="00EE5714">
              <w:rPr>
                <w:rFonts w:ascii="Calibri" w:eastAsia="Times New Roman" w:hAnsi="Calibri" w:cs="Calibri"/>
                <w:b/>
                <w:bCs/>
                <w:i/>
                <w:color w:val="000000"/>
              </w:rPr>
              <w:t>FPIG Level</w:t>
            </w:r>
          </w:p>
        </w:tc>
        <w:tc>
          <w:tcPr>
            <w:tcW w:w="1589" w:type="dxa"/>
            <w:shd w:val="clear" w:color="auto" w:fill="F2F2F2" w:themeFill="background1" w:themeFillShade="F2"/>
            <w:noWrap/>
            <w:vAlign w:val="bottom"/>
            <w:hideMark/>
          </w:tcPr>
          <w:p w14:paraId="35B9227B"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50%</w:t>
            </w:r>
          </w:p>
        </w:tc>
        <w:tc>
          <w:tcPr>
            <w:tcW w:w="1590" w:type="dxa"/>
            <w:shd w:val="clear" w:color="auto" w:fill="F2F2F2" w:themeFill="background1" w:themeFillShade="F2"/>
            <w:noWrap/>
            <w:vAlign w:val="bottom"/>
            <w:hideMark/>
          </w:tcPr>
          <w:p w14:paraId="1A6C9C88"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100%</w:t>
            </w:r>
          </w:p>
        </w:tc>
        <w:tc>
          <w:tcPr>
            <w:tcW w:w="1590" w:type="dxa"/>
            <w:shd w:val="clear" w:color="auto" w:fill="F2F2F2" w:themeFill="background1" w:themeFillShade="F2"/>
            <w:noWrap/>
            <w:vAlign w:val="bottom"/>
            <w:hideMark/>
          </w:tcPr>
          <w:p w14:paraId="53BDCAB2"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150%</w:t>
            </w:r>
          </w:p>
        </w:tc>
        <w:tc>
          <w:tcPr>
            <w:tcW w:w="1590" w:type="dxa"/>
            <w:shd w:val="clear" w:color="auto" w:fill="F2F2F2" w:themeFill="background1" w:themeFillShade="F2"/>
            <w:noWrap/>
            <w:vAlign w:val="bottom"/>
            <w:hideMark/>
          </w:tcPr>
          <w:p w14:paraId="3315FED5"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50%</w:t>
            </w:r>
          </w:p>
        </w:tc>
        <w:tc>
          <w:tcPr>
            <w:tcW w:w="1590" w:type="dxa"/>
            <w:shd w:val="clear" w:color="auto" w:fill="F2F2F2" w:themeFill="background1" w:themeFillShade="F2"/>
            <w:noWrap/>
            <w:vAlign w:val="bottom"/>
            <w:hideMark/>
          </w:tcPr>
          <w:p w14:paraId="6DDE07FE"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100%</w:t>
            </w:r>
          </w:p>
        </w:tc>
        <w:tc>
          <w:tcPr>
            <w:tcW w:w="1141" w:type="dxa"/>
            <w:shd w:val="clear" w:color="auto" w:fill="F2F2F2" w:themeFill="background1" w:themeFillShade="F2"/>
            <w:noWrap/>
            <w:vAlign w:val="bottom"/>
            <w:hideMark/>
          </w:tcPr>
          <w:p w14:paraId="79E59A93"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150%</w:t>
            </w:r>
          </w:p>
        </w:tc>
      </w:tr>
      <w:tr w:rsidR="00F303E0" w:rsidRPr="00EE5714" w14:paraId="2B7D6C6B" w14:textId="77777777" w:rsidTr="00BF1FF5">
        <w:trPr>
          <w:trHeight w:hRule="exact" w:val="245"/>
        </w:trPr>
        <w:tc>
          <w:tcPr>
            <w:tcW w:w="1530" w:type="dxa"/>
            <w:shd w:val="clear" w:color="auto" w:fill="auto"/>
            <w:noWrap/>
            <w:vAlign w:val="bottom"/>
            <w:hideMark/>
          </w:tcPr>
          <w:p w14:paraId="45A09AEC" w14:textId="77777777" w:rsidR="00F303E0" w:rsidRPr="00EE5714" w:rsidRDefault="00F303E0" w:rsidP="007D7A46">
            <w:pPr>
              <w:keepNext/>
              <w:spacing w:after="0" w:line="240" w:lineRule="auto"/>
              <w:rPr>
                <w:rFonts w:ascii="Calibri" w:eastAsia="Times New Roman" w:hAnsi="Calibri" w:cs="Calibri"/>
                <w:b/>
                <w:bCs/>
                <w:color w:val="000000"/>
              </w:rPr>
            </w:pPr>
            <w:r w:rsidRPr="00EE5714">
              <w:rPr>
                <w:rFonts w:ascii="Calibri" w:eastAsia="Times New Roman" w:hAnsi="Calibri" w:cs="Calibri"/>
                <w:b/>
                <w:bCs/>
                <w:color w:val="000000"/>
              </w:rPr>
              <w:t> </w:t>
            </w:r>
          </w:p>
        </w:tc>
        <w:tc>
          <w:tcPr>
            <w:tcW w:w="1589" w:type="dxa"/>
            <w:shd w:val="clear" w:color="auto" w:fill="auto"/>
            <w:noWrap/>
            <w:vAlign w:val="center"/>
            <w:hideMark/>
          </w:tcPr>
          <w:p w14:paraId="3D641C63"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1590" w:type="dxa"/>
            <w:shd w:val="clear" w:color="auto" w:fill="auto"/>
            <w:noWrap/>
            <w:vAlign w:val="center"/>
            <w:hideMark/>
          </w:tcPr>
          <w:p w14:paraId="44A1D4D6" w14:textId="77777777" w:rsidR="00F303E0" w:rsidRPr="00EE5714" w:rsidRDefault="00F303E0" w:rsidP="007D7A46">
            <w:pPr>
              <w:keepNext/>
              <w:spacing w:after="0" w:line="240" w:lineRule="auto"/>
              <w:jc w:val="center"/>
              <w:rPr>
                <w:rFonts w:ascii="Times New Roman" w:eastAsia="Times New Roman" w:hAnsi="Times New Roman" w:cs="Times New Roman"/>
                <w:sz w:val="20"/>
                <w:szCs w:val="20"/>
              </w:rPr>
            </w:pPr>
          </w:p>
        </w:tc>
        <w:tc>
          <w:tcPr>
            <w:tcW w:w="1590" w:type="dxa"/>
            <w:shd w:val="clear" w:color="auto" w:fill="auto"/>
            <w:noWrap/>
            <w:vAlign w:val="center"/>
            <w:hideMark/>
          </w:tcPr>
          <w:p w14:paraId="0F6EEB8A" w14:textId="77777777" w:rsidR="00F303E0" w:rsidRPr="00EE5714" w:rsidRDefault="00F303E0" w:rsidP="007D7A46">
            <w:pPr>
              <w:keepNext/>
              <w:spacing w:after="0" w:line="240" w:lineRule="auto"/>
              <w:jc w:val="center"/>
              <w:rPr>
                <w:rFonts w:ascii="Times New Roman" w:eastAsia="Times New Roman" w:hAnsi="Times New Roman" w:cs="Times New Roman"/>
                <w:sz w:val="20"/>
                <w:szCs w:val="20"/>
              </w:rPr>
            </w:pPr>
          </w:p>
        </w:tc>
        <w:tc>
          <w:tcPr>
            <w:tcW w:w="1590" w:type="dxa"/>
            <w:shd w:val="clear" w:color="auto" w:fill="auto"/>
            <w:noWrap/>
            <w:vAlign w:val="center"/>
            <w:hideMark/>
          </w:tcPr>
          <w:p w14:paraId="2D4EBFC9" w14:textId="77777777" w:rsidR="00F303E0" w:rsidRPr="00EE5714" w:rsidRDefault="00F303E0" w:rsidP="007D7A46">
            <w:pPr>
              <w:keepNext/>
              <w:spacing w:after="0" w:line="240" w:lineRule="auto"/>
              <w:jc w:val="center"/>
              <w:rPr>
                <w:rFonts w:ascii="Times New Roman" w:eastAsia="Times New Roman" w:hAnsi="Times New Roman" w:cs="Times New Roman"/>
                <w:sz w:val="20"/>
                <w:szCs w:val="20"/>
              </w:rPr>
            </w:pPr>
          </w:p>
        </w:tc>
        <w:tc>
          <w:tcPr>
            <w:tcW w:w="1590" w:type="dxa"/>
            <w:shd w:val="clear" w:color="auto" w:fill="auto"/>
            <w:noWrap/>
            <w:vAlign w:val="center"/>
            <w:hideMark/>
          </w:tcPr>
          <w:p w14:paraId="412053C4" w14:textId="77777777" w:rsidR="00F303E0" w:rsidRPr="00EE5714" w:rsidRDefault="00F303E0" w:rsidP="007D7A46">
            <w:pPr>
              <w:keepNext/>
              <w:spacing w:after="0" w:line="240" w:lineRule="auto"/>
              <w:jc w:val="center"/>
              <w:rPr>
                <w:rFonts w:ascii="Times New Roman" w:eastAsia="Times New Roman" w:hAnsi="Times New Roman" w:cs="Times New Roman"/>
                <w:sz w:val="20"/>
                <w:szCs w:val="20"/>
              </w:rPr>
            </w:pPr>
          </w:p>
        </w:tc>
        <w:tc>
          <w:tcPr>
            <w:tcW w:w="1141" w:type="dxa"/>
            <w:shd w:val="clear" w:color="auto" w:fill="auto"/>
            <w:noWrap/>
            <w:vAlign w:val="center"/>
            <w:hideMark/>
          </w:tcPr>
          <w:p w14:paraId="103A6690" w14:textId="77777777" w:rsidR="00F303E0" w:rsidRPr="00EE5714" w:rsidRDefault="00F303E0" w:rsidP="007D7A46">
            <w:pPr>
              <w:keepNext/>
              <w:spacing w:after="0" w:line="240" w:lineRule="auto"/>
              <w:jc w:val="center"/>
              <w:rPr>
                <w:rFonts w:ascii="Calibri" w:eastAsia="Times New Roman" w:hAnsi="Calibri" w:cs="Calibri"/>
                <w:color w:val="000000"/>
              </w:rPr>
            </w:pPr>
          </w:p>
        </w:tc>
      </w:tr>
      <w:tr w:rsidR="00F303E0" w:rsidRPr="00EE5714" w14:paraId="0F113F90" w14:textId="77777777" w:rsidTr="00BF1FF5">
        <w:trPr>
          <w:trHeight w:hRule="exact" w:val="245"/>
        </w:trPr>
        <w:tc>
          <w:tcPr>
            <w:tcW w:w="1530" w:type="dxa"/>
            <w:shd w:val="clear" w:color="auto" w:fill="F2F2F2" w:themeFill="background1" w:themeFillShade="F2"/>
            <w:noWrap/>
            <w:vAlign w:val="bottom"/>
            <w:hideMark/>
          </w:tcPr>
          <w:p w14:paraId="05B51101"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Duquesne</w:t>
            </w:r>
          </w:p>
        </w:tc>
        <w:tc>
          <w:tcPr>
            <w:tcW w:w="1589" w:type="dxa"/>
            <w:shd w:val="clear" w:color="auto" w:fill="auto"/>
            <w:noWrap/>
            <w:vAlign w:val="center"/>
            <w:hideMark/>
          </w:tcPr>
          <w:p w14:paraId="0E59F57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-$705.14</w:t>
            </w:r>
          </w:p>
        </w:tc>
        <w:tc>
          <w:tcPr>
            <w:tcW w:w="1590" w:type="dxa"/>
            <w:shd w:val="clear" w:color="auto" w:fill="auto"/>
            <w:noWrap/>
            <w:vAlign w:val="center"/>
            <w:hideMark/>
          </w:tcPr>
          <w:p w14:paraId="2C2A55C8"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-$404.33</w:t>
            </w:r>
          </w:p>
        </w:tc>
        <w:tc>
          <w:tcPr>
            <w:tcW w:w="1590" w:type="dxa"/>
            <w:shd w:val="clear" w:color="auto" w:fill="auto"/>
            <w:noWrap/>
            <w:vAlign w:val="center"/>
            <w:hideMark/>
          </w:tcPr>
          <w:p w14:paraId="6F29B00C"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-$213.85</w:t>
            </w:r>
          </w:p>
        </w:tc>
        <w:tc>
          <w:tcPr>
            <w:tcW w:w="1590" w:type="dxa"/>
            <w:shd w:val="clear" w:color="auto" w:fill="auto"/>
            <w:noWrap/>
            <w:vAlign w:val="center"/>
            <w:hideMark/>
          </w:tcPr>
          <w:p w14:paraId="2D53A6C2"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6,967</w:t>
            </w:r>
          </w:p>
        </w:tc>
        <w:tc>
          <w:tcPr>
            <w:tcW w:w="1590" w:type="dxa"/>
            <w:shd w:val="clear" w:color="auto" w:fill="auto"/>
            <w:noWrap/>
            <w:vAlign w:val="center"/>
            <w:hideMark/>
          </w:tcPr>
          <w:p w14:paraId="7D31379D"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16,182</w:t>
            </w:r>
          </w:p>
        </w:tc>
        <w:tc>
          <w:tcPr>
            <w:tcW w:w="1141" w:type="dxa"/>
            <w:shd w:val="clear" w:color="auto" w:fill="auto"/>
            <w:noWrap/>
            <w:vAlign w:val="center"/>
            <w:hideMark/>
          </w:tcPr>
          <w:p w14:paraId="642F8BC0"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8,755</w:t>
            </w:r>
          </w:p>
        </w:tc>
      </w:tr>
      <w:tr w:rsidR="00F303E0" w:rsidRPr="00EE5714" w14:paraId="165DFA67" w14:textId="77777777" w:rsidTr="00BF1FF5">
        <w:trPr>
          <w:trHeight w:hRule="exact" w:val="245"/>
        </w:trPr>
        <w:tc>
          <w:tcPr>
            <w:tcW w:w="1530" w:type="dxa"/>
            <w:shd w:val="clear" w:color="auto" w:fill="F2F2F2" w:themeFill="background1" w:themeFillShade="F2"/>
            <w:noWrap/>
            <w:vAlign w:val="bottom"/>
            <w:hideMark/>
          </w:tcPr>
          <w:p w14:paraId="23C01FA0"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1589" w:type="dxa"/>
            <w:shd w:val="clear" w:color="auto" w:fill="auto"/>
            <w:noWrap/>
            <w:vAlign w:val="center"/>
            <w:hideMark/>
          </w:tcPr>
          <w:p w14:paraId="1C8A0C5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-$231.26</w:t>
            </w:r>
          </w:p>
        </w:tc>
        <w:tc>
          <w:tcPr>
            <w:tcW w:w="1590" w:type="dxa"/>
            <w:shd w:val="clear" w:color="auto" w:fill="auto"/>
            <w:noWrap/>
            <w:vAlign w:val="center"/>
            <w:hideMark/>
          </w:tcPr>
          <w:p w14:paraId="7707A5C3"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-$55.56</w:t>
            </w:r>
          </w:p>
        </w:tc>
        <w:tc>
          <w:tcPr>
            <w:tcW w:w="1590" w:type="dxa"/>
            <w:shd w:val="clear" w:color="auto" w:fill="auto"/>
            <w:noWrap/>
            <w:vAlign w:val="center"/>
            <w:hideMark/>
          </w:tcPr>
          <w:p w14:paraId="7B6F335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90" w:type="dxa"/>
            <w:shd w:val="clear" w:color="auto" w:fill="auto"/>
            <w:noWrap/>
            <w:vAlign w:val="center"/>
            <w:hideMark/>
          </w:tcPr>
          <w:p w14:paraId="741129B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4,120</w:t>
            </w:r>
          </w:p>
        </w:tc>
        <w:tc>
          <w:tcPr>
            <w:tcW w:w="1590" w:type="dxa"/>
            <w:shd w:val="clear" w:color="auto" w:fill="auto"/>
            <w:noWrap/>
            <w:vAlign w:val="center"/>
            <w:hideMark/>
          </w:tcPr>
          <w:p w14:paraId="5179D8E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7,452</w:t>
            </w:r>
          </w:p>
        </w:tc>
        <w:tc>
          <w:tcPr>
            <w:tcW w:w="1141" w:type="dxa"/>
            <w:shd w:val="clear" w:color="auto" w:fill="auto"/>
            <w:noWrap/>
            <w:vAlign w:val="center"/>
            <w:hideMark/>
          </w:tcPr>
          <w:p w14:paraId="4A82C8C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5,457</w:t>
            </w:r>
          </w:p>
        </w:tc>
      </w:tr>
      <w:tr w:rsidR="00F303E0" w:rsidRPr="00EE5714" w14:paraId="48C73F30" w14:textId="77777777" w:rsidTr="00BF1FF5">
        <w:trPr>
          <w:trHeight w:hRule="exact" w:val="245"/>
        </w:trPr>
        <w:tc>
          <w:tcPr>
            <w:tcW w:w="1530" w:type="dxa"/>
            <w:shd w:val="clear" w:color="auto" w:fill="F2F2F2" w:themeFill="background1" w:themeFillShade="F2"/>
            <w:noWrap/>
            <w:vAlign w:val="bottom"/>
            <w:hideMark/>
          </w:tcPr>
          <w:p w14:paraId="2E5BEF0D"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1589" w:type="dxa"/>
            <w:shd w:val="clear" w:color="auto" w:fill="auto"/>
            <w:noWrap/>
            <w:vAlign w:val="center"/>
            <w:hideMark/>
          </w:tcPr>
          <w:p w14:paraId="17EE90F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-$446.11</w:t>
            </w:r>
          </w:p>
        </w:tc>
        <w:tc>
          <w:tcPr>
            <w:tcW w:w="1590" w:type="dxa"/>
            <w:shd w:val="clear" w:color="auto" w:fill="auto"/>
            <w:noWrap/>
            <w:vAlign w:val="center"/>
            <w:hideMark/>
          </w:tcPr>
          <w:p w14:paraId="363BA23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-$312.56</w:t>
            </w:r>
          </w:p>
        </w:tc>
        <w:tc>
          <w:tcPr>
            <w:tcW w:w="1590" w:type="dxa"/>
            <w:shd w:val="clear" w:color="auto" w:fill="auto"/>
            <w:noWrap/>
            <w:vAlign w:val="center"/>
            <w:hideMark/>
          </w:tcPr>
          <w:p w14:paraId="28CA7C42"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-$193.87</w:t>
            </w:r>
          </w:p>
        </w:tc>
        <w:tc>
          <w:tcPr>
            <w:tcW w:w="1590" w:type="dxa"/>
            <w:shd w:val="clear" w:color="auto" w:fill="auto"/>
            <w:noWrap/>
            <w:vAlign w:val="center"/>
            <w:hideMark/>
          </w:tcPr>
          <w:p w14:paraId="7B0DC1D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24,293</w:t>
            </w:r>
          </w:p>
        </w:tc>
        <w:tc>
          <w:tcPr>
            <w:tcW w:w="1590" w:type="dxa"/>
            <w:shd w:val="clear" w:color="auto" w:fill="auto"/>
            <w:noWrap/>
            <w:vAlign w:val="center"/>
            <w:hideMark/>
          </w:tcPr>
          <w:p w14:paraId="59D3764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48,334</w:t>
            </w:r>
          </w:p>
        </w:tc>
        <w:tc>
          <w:tcPr>
            <w:tcW w:w="1141" w:type="dxa"/>
            <w:shd w:val="clear" w:color="auto" w:fill="auto"/>
            <w:noWrap/>
            <w:vAlign w:val="center"/>
            <w:hideMark/>
          </w:tcPr>
          <w:p w14:paraId="206E7690"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29,442</w:t>
            </w:r>
          </w:p>
        </w:tc>
      </w:tr>
      <w:tr w:rsidR="00F303E0" w:rsidRPr="00EE5714" w14:paraId="19922D19" w14:textId="77777777" w:rsidTr="00BF1FF5">
        <w:trPr>
          <w:trHeight w:hRule="exact" w:val="245"/>
        </w:trPr>
        <w:tc>
          <w:tcPr>
            <w:tcW w:w="1530" w:type="dxa"/>
            <w:shd w:val="clear" w:color="auto" w:fill="F2F2F2" w:themeFill="background1" w:themeFillShade="F2"/>
            <w:noWrap/>
            <w:vAlign w:val="bottom"/>
            <w:hideMark/>
          </w:tcPr>
          <w:p w14:paraId="1ECFFC37" w14:textId="77777777" w:rsidR="00F303E0" w:rsidRPr="00EE5714" w:rsidRDefault="00F303E0" w:rsidP="007D7A46">
            <w:pPr>
              <w:keepNext/>
              <w:spacing w:after="0" w:line="240" w:lineRule="auto"/>
              <w:rPr>
                <w:rFonts w:ascii="Calibri" w:eastAsia="Times New Roman" w:hAnsi="Calibri" w:cs="Calibri"/>
                <w:b/>
                <w:color w:val="000000"/>
                <w:sz w:val="21"/>
                <w:szCs w:val="21"/>
              </w:rPr>
            </w:pPr>
            <w:proofErr w:type="spellStart"/>
            <w:r w:rsidRPr="00EE5714">
              <w:rPr>
                <w:rFonts w:ascii="Calibri" w:eastAsia="Times New Roman" w:hAnsi="Calibri" w:cs="Calibri"/>
                <w:b/>
                <w:color w:val="000000"/>
                <w:sz w:val="21"/>
                <w:szCs w:val="21"/>
              </w:rPr>
              <w:t>Penelec</w:t>
            </w:r>
            <w:proofErr w:type="spellEnd"/>
          </w:p>
        </w:tc>
        <w:tc>
          <w:tcPr>
            <w:tcW w:w="1589" w:type="dxa"/>
            <w:shd w:val="clear" w:color="auto" w:fill="auto"/>
            <w:noWrap/>
            <w:vAlign w:val="center"/>
            <w:hideMark/>
          </w:tcPr>
          <w:p w14:paraId="2C0B936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-$246.94</w:t>
            </w:r>
          </w:p>
        </w:tc>
        <w:tc>
          <w:tcPr>
            <w:tcW w:w="1590" w:type="dxa"/>
            <w:shd w:val="clear" w:color="auto" w:fill="auto"/>
            <w:noWrap/>
            <w:vAlign w:val="center"/>
            <w:hideMark/>
          </w:tcPr>
          <w:p w14:paraId="5322FD48"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90" w:type="dxa"/>
            <w:shd w:val="clear" w:color="auto" w:fill="auto"/>
            <w:noWrap/>
            <w:vAlign w:val="center"/>
            <w:hideMark/>
          </w:tcPr>
          <w:p w14:paraId="005BA0B5"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$0.00</w:t>
            </w:r>
          </w:p>
        </w:tc>
        <w:tc>
          <w:tcPr>
            <w:tcW w:w="1590" w:type="dxa"/>
            <w:shd w:val="clear" w:color="auto" w:fill="auto"/>
            <w:noWrap/>
            <w:vAlign w:val="center"/>
            <w:hideMark/>
          </w:tcPr>
          <w:p w14:paraId="5630E24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5,594</w:t>
            </w:r>
          </w:p>
        </w:tc>
        <w:tc>
          <w:tcPr>
            <w:tcW w:w="1590" w:type="dxa"/>
            <w:shd w:val="clear" w:color="auto" w:fill="auto"/>
            <w:noWrap/>
            <w:vAlign w:val="center"/>
            <w:hideMark/>
          </w:tcPr>
          <w:p w14:paraId="2C664D5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12,179</w:t>
            </w:r>
          </w:p>
        </w:tc>
        <w:tc>
          <w:tcPr>
            <w:tcW w:w="1141" w:type="dxa"/>
            <w:shd w:val="clear" w:color="auto" w:fill="auto"/>
            <w:noWrap/>
            <w:vAlign w:val="center"/>
            <w:hideMark/>
          </w:tcPr>
          <w:p w14:paraId="6BB1A84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8,070</w:t>
            </w:r>
          </w:p>
        </w:tc>
      </w:tr>
      <w:tr w:rsidR="00F303E0" w:rsidRPr="00EE5714" w14:paraId="2E6FCE9E" w14:textId="77777777" w:rsidTr="00BF1FF5">
        <w:trPr>
          <w:trHeight w:hRule="exact" w:val="245"/>
        </w:trPr>
        <w:tc>
          <w:tcPr>
            <w:tcW w:w="1530" w:type="dxa"/>
            <w:shd w:val="clear" w:color="auto" w:fill="F2F2F2" w:themeFill="background1" w:themeFillShade="F2"/>
            <w:noWrap/>
            <w:vAlign w:val="bottom"/>
            <w:hideMark/>
          </w:tcPr>
          <w:p w14:paraId="17D8E8A2"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Penn Power</w:t>
            </w:r>
          </w:p>
        </w:tc>
        <w:tc>
          <w:tcPr>
            <w:tcW w:w="1589" w:type="dxa"/>
            <w:shd w:val="clear" w:color="auto" w:fill="auto"/>
            <w:noWrap/>
            <w:vAlign w:val="center"/>
            <w:hideMark/>
          </w:tcPr>
          <w:p w14:paraId="77614C71"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-$461.70</w:t>
            </w:r>
          </w:p>
        </w:tc>
        <w:tc>
          <w:tcPr>
            <w:tcW w:w="1590" w:type="dxa"/>
            <w:shd w:val="clear" w:color="auto" w:fill="auto"/>
            <w:noWrap/>
            <w:vAlign w:val="center"/>
            <w:hideMark/>
          </w:tcPr>
          <w:p w14:paraId="6ABE70B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-$68.76</w:t>
            </w:r>
          </w:p>
        </w:tc>
        <w:tc>
          <w:tcPr>
            <w:tcW w:w="1590" w:type="dxa"/>
            <w:shd w:val="clear" w:color="auto" w:fill="auto"/>
            <w:noWrap/>
            <w:vAlign w:val="center"/>
            <w:hideMark/>
          </w:tcPr>
          <w:p w14:paraId="26F77C25"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-$51.70</w:t>
            </w:r>
          </w:p>
        </w:tc>
        <w:tc>
          <w:tcPr>
            <w:tcW w:w="1590" w:type="dxa"/>
            <w:shd w:val="clear" w:color="auto" w:fill="auto"/>
            <w:noWrap/>
            <w:vAlign w:val="center"/>
            <w:hideMark/>
          </w:tcPr>
          <w:p w14:paraId="7F62527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1,173</w:t>
            </w:r>
          </w:p>
        </w:tc>
        <w:tc>
          <w:tcPr>
            <w:tcW w:w="1590" w:type="dxa"/>
            <w:shd w:val="clear" w:color="auto" w:fill="auto"/>
            <w:noWrap/>
            <w:vAlign w:val="center"/>
            <w:hideMark/>
          </w:tcPr>
          <w:p w14:paraId="7A033DF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2,725</w:t>
            </w:r>
          </w:p>
        </w:tc>
        <w:tc>
          <w:tcPr>
            <w:tcW w:w="1141" w:type="dxa"/>
            <w:shd w:val="clear" w:color="auto" w:fill="auto"/>
            <w:noWrap/>
            <w:vAlign w:val="center"/>
            <w:hideMark/>
          </w:tcPr>
          <w:p w14:paraId="696DA56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2,090</w:t>
            </w:r>
          </w:p>
        </w:tc>
      </w:tr>
      <w:tr w:rsidR="00F303E0" w:rsidRPr="00EE5714" w14:paraId="28996FA2" w14:textId="77777777" w:rsidTr="00BF1FF5">
        <w:trPr>
          <w:trHeight w:hRule="exact" w:val="245"/>
        </w:trPr>
        <w:tc>
          <w:tcPr>
            <w:tcW w:w="1530" w:type="dxa"/>
            <w:shd w:val="clear" w:color="auto" w:fill="F2F2F2" w:themeFill="background1" w:themeFillShade="F2"/>
            <w:noWrap/>
            <w:vAlign w:val="bottom"/>
            <w:hideMark/>
          </w:tcPr>
          <w:p w14:paraId="12564796"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PPL</w:t>
            </w:r>
          </w:p>
        </w:tc>
        <w:tc>
          <w:tcPr>
            <w:tcW w:w="1589" w:type="dxa"/>
            <w:shd w:val="clear" w:color="auto" w:fill="auto"/>
            <w:noWrap/>
            <w:vAlign w:val="center"/>
            <w:hideMark/>
          </w:tcPr>
          <w:p w14:paraId="1305043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-$703.36</w:t>
            </w:r>
          </w:p>
        </w:tc>
        <w:tc>
          <w:tcPr>
            <w:tcW w:w="1590" w:type="dxa"/>
            <w:shd w:val="clear" w:color="auto" w:fill="auto"/>
            <w:noWrap/>
            <w:vAlign w:val="center"/>
            <w:hideMark/>
          </w:tcPr>
          <w:p w14:paraId="427F405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-$414.81</w:t>
            </w:r>
          </w:p>
        </w:tc>
        <w:tc>
          <w:tcPr>
            <w:tcW w:w="1590" w:type="dxa"/>
            <w:shd w:val="clear" w:color="auto" w:fill="auto"/>
            <w:noWrap/>
            <w:vAlign w:val="center"/>
            <w:hideMark/>
          </w:tcPr>
          <w:p w14:paraId="26D52B32"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-$49.54</w:t>
            </w:r>
          </w:p>
        </w:tc>
        <w:tc>
          <w:tcPr>
            <w:tcW w:w="1590" w:type="dxa"/>
            <w:shd w:val="clear" w:color="auto" w:fill="auto"/>
            <w:noWrap/>
            <w:vAlign w:val="center"/>
            <w:hideMark/>
          </w:tcPr>
          <w:p w14:paraId="5AE6D6DC"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3,804</w:t>
            </w:r>
          </w:p>
        </w:tc>
        <w:tc>
          <w:tcPr>
            <w:tcW w:w="1590" w:type="dxa"/>
            <w:shd w:val="clear" w:color="auto" w:fill="auto"/>
            <w:noWrap/>
            <w:vAlign w:val="center"/>
            <w:hideMark/>
          </w:tcPr>
          <w:p w14:paraId="64CD8A8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10,710</w:t>
            </w:r>
          </w:p>
        </w:tc>
        <w:tc>
          <w:tcPr>
            <w:tcW w:w="1141" w:type="dxa"/>
            <w:shd w:val="clear" w:color="auto" w:fill="auto"/>
            <w:noWrap/>
            <w:vAlign w:val="center"/>
            <w:hideMark/>
          </w:tcPr>
          <w:p w14:paraId="3C47C691"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8,133</w:t>
            </w:r>
          </w:p>
        </w:tc>
      </w:tr>
      <w:tr w:rsidR="00F303E0" w:rsidRPr="00EE5714" w14:paraId="39B3D82B" w14:textId="77777777" w:rsidTr="00BF1FF5">
        <w:trPr>
          <w:trHeight w:hRule="exact" w:val="245"/>
        </w:trPr>
        <w:tc>
          <w:tcPr>
            <w:tcW w:w="1530" w:type="dxa"/>
            <w:shd w:val="clear" w:color="auto" w:fill="F2F2F2" w:themeFill="background1" w:themeFillShade="F2"/>
            <w:noWrap/>
            <w:vAlign w:val="bottom"/>
            <w:hideMark/>
          </w:tcPr>
          <w:p w14:paraId="215C7438" w14:textId="77777777" w:rsidR="00F303E0" w:rsidRPr="00EE5714" w:rsidRDefault="00F303E0" w:rsidP="007D7A46">
            <w:pPr>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West Penn</w:t>
            </w:r>
          </w:p>
        </w:tc>
        <w:tc>
          <w:tcPr>
            <w:tcW w:w="1589" w:type="dxa"/>
            <w:shd w:val="clear" w:color="auto" w:fill="auto"/>
            <w:noWrap/>
            <w:vAlign w:val="center"/>
            <w:hideMark/>
          </w:tcPr>
          <w:p w14:paraId="72E33E11" w14:textId="77777777" w:rsidR="00F303E0" w:rsidRPr="00EE5714" w:rsidRDefault="00F303E0" w:rsidP="007D7A4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-$475.44</w:t>
            </w:r>
          </w:p>
        </w:tc>
        <w:tc>
          <w:tcPr>
            <w:tcW w:w="1590" w:type="dxa"/>
            <w:shd w:val="clear" w:color="auto" w:fill="auto"/>
            <w:noWrap/>
            <w:vAlign w:val="center"/>
            <w:hideMark/>
          </w:tcPr>
          <w:p w14:paraId="12D0F516" w14:textId="77777777" w:rsidR="00F303E0" w:rsidRPr="00EE5714" w:rsidRDefault="00F303E0" w:rsidP="007D7A4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-$335.35</w:t>
            </w:r>
          </w:p>
        </w:tc>
        <w:tc>
          <w:tcPr>
            <w:tcW w:w="1590" w:type="dxa"/>
            <w:shd w:val="clear" w:color="auto" w:fill="auto"/>
            <w:noWrap/>
            <w:vAlign w:val="center"/>
            <w:hideMark/>
          </w:tcPr>
          <w:p w14:paraId="7556F779" w14:textId="77777777" w:rsidR="00F303E0" w:rsidRPr="00EE5714" w:rsidRDefault="00F303E0" w:rsidP="007D7A4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-$251.49</w:t>
            </w:r>
          </w:p>
        </w:tc>
        <w:tc>
          <w:tcPr>
            <w:tcW w:w="1590" w:type="dxa"/>
            <w:shd w:val="clear" w:color="auto" w:fill="auto"/>
            <w:noWrap/>
            <w:vAlign w:val="center"/>
            <w:hideMark/>
          </w:tcPr>
          <w:p w14:paraId="2460DCC9" w14:textId="77777777" w:rsidR="00F303E0" w:rsidRPr="00EE5714" w:rsidRDefault="00F303E0" w:rsidP="007D7A4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4,163</w:t>
            </w:r>
          </w:p>
        </w:tc>
        <w:tc>
          <w:tcPr>
            <w:tcW w:w="1590" w:type="dxa"/>
            <w:shd w:val="clear" w:color="auto" w:fill="auto"/>
            <w:noWrap/>
            <w:vAlign w:val="center"/>
            <w:hideMark/>
          </w:tcPr>
          <w:p w14:paraId="3302E05D" w14:textId="77777777" w:rsidR="00F303E0" w:rsidRPr="00EE5714" w:rsidRDefault="00F303E0" w:rsidP="007D7A4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7,247</w:t>
            </w:r>
          </w:p>
        </w:tc>
        <w:tc>
          <w:tcPr>
            <w:tcW w:w="1141" w:type="dxa"/>
            <w:shd w:val="clear" w:color="auto" w:fill="auto"/>
            <w:noWrap/>
            <w:vAlign w:val="center"/>
            <w:hideMark/>
          </w:tcPr>
          <w:p w14:paraId="1066255B" w14:textId="77777777" w:rsidR="00F303E0" w:rsidRPr="00EE5714" w:rsidRDefault="00F303E0" w:rsidP="007D7A46">
            <w:pPr>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4,605</w:t>
            </w:r>
          </w:p>
        </w:tc>
      </w:tr>
    </w:tbl>
    <w:p w14:paraId="4378C7BB" w14:textId="77777777" w:rsidR="00F303E0" w:rsidRPr="00EE5714" w:rsidRDefault="00F303E0" w:rsidP="00500E02">
      <w:pPr>
        <w:pStyle w:val="NoSpacing"/>
        <w:rPr>
          <w:rFonts w:cs="Times New Roman"/>
          <w:szCs w:val="26"/>
        </w:rPr>
      </w:pPr>
    </w:p>
    <w:p w14:paraId="0B93302C" w14:textId="77777777" w:rsidR="00F303E0" w:rsidRPr="00EE5714" w:rsidRDefault="00F303E0" w:rsidP="007D7A46">
      <w:pPr>
        <w:pStyle w:val="NoSpacing"/>
        <w:rPr>
          <w:rFonts w:cs="Times New Roman"/>
          <w:szCs w:val="26"/>
        </w:rPr>
      </w:pPr>
    </w:p>
    <w:p w14:paraId="28ABB64B" w14:textId="427D9D86" w:rsidR="00F303E0" w:rsidRPr="00EE5714" w:rsidRDefault="00F734A0" w:rsidP="007D7A46">
      <w:pPr>
        <w:pStyle w:val="NoSpacing"/>
        <w:keepNext/>
        <w:rPr>
          <w:rFonts w:cs="Times New Roman"/>
          <w:szCs w:val="26"/>
        </w:rPr>
      </w:pPr>
      <w:r w:rsidRPr="00EE5714">
        <w:rPr>
          <w:rFonts w:cs="Times New Roman"/>
          <w:szCs w:val="26"/>
        </w:rPr>
        <w:t>Appendix 9</w:t>
      </w:r>
      <w:r w:rsidR="00F303E0" w:rsidRPr="00EE5714">
        <w:rPr>
          <w:rFonts w:cs="Times New Roman"/>
          <w:szCs w:val="26"/>
        </w:rPr>
        <w:t>.</w:t>
      </w:r>
      <w:r w:rsidR="004655B9" w:rsidRPr="00EE5714">
        <w:rPr>
          <w:rFonts w:cs="Times New Roman"/>
          <w:szCs w:val="26"/>
        </w:rPr>
        <w:t>K</w:t>
      </w:r>
      <w:r w:rsidR="00F303E0" w:rsidRPr="00EE5714">
        <w:rPr>
          <w:rFonts w:cs="Times New Roman"/>
          <w:szCs w:val="26"/>
        </w:rPr>
        <w:t xml:space="preserve">.2: </w:t>
      </w:r>
      <w:r w:rsidR="00F303E0" w:rsidRPr="00EE5714">
        <w:rPr>
          <w:rFonts w:eastAsia="Times New Roman" w:cs="Times New Roman"/>
          <w:b/>
          <w:bCs/>
          <w:color w:val="000000"/>
          <w:szCs w:val="26"/>
        </w:rPr>
        <w:t>EDC Model for 4% Energy Burden – Costs</w:t>
      </w:r>
    </w:p>
    <w:tbl>
      <w:tblPr>
        <w:tblW w:w="10620" w:type="dxa"/>
        <w:tblInd w:w="-6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30"/>
        <w:gridCol w:w="1620"/>
        <w:gridCol w:w="1350"/>
        <w:gridCol w:w="1800"/>
        <w:gridCol w:w="2344"/>
        <w:gridCol w:w="1976"/>
      </w:tblGrid>
      <w:tr w:rsidR="00F303E0" w:rsidRPr="00EE5714" w14:paraId="00205012" w14:textId="77777777" w:rsidTr="00BF1FF5">
        <w:trPr>
          <w:trHeight w:val="376"/>
        </w:trPr>
        <w:tc>
          <w:tcPr>
            <w:tcW w:w="10620" w:type="dxa"/>
            <w:gridSpan w:val="6"/>
            <w:shd w:val="clear" w:color="auto" w:fill="BFBFBF" w:themeFill="background1" w:themeFillShade="BF"/>
          </w:tcPr>
          <w:p w14:paraId="5E7D1876"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 xml:space="preserve"> EDC Model for 4% Energy Burden</w:t>
            </w:r>
          </w:p>
        </w:tc>
      </w:tr>
      <w:tr w:rsidR="00F303E0" w:rsidRPr="00EE5714" w14:paraId="466F7097" w14:textId="77777777" w:rsidTr="00BF1FF5">
        <w:trPr>
          <w:trHeight w:val="806"/>
        </w:trPr>
        <w:tc>
          <w:tcPr>
            <w:tcW w:w="1530" w:type="dxa"/>
          </w:tcPr>
          <w:p w14:paraId="72AC76E9"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4770" w:type="dxa"/>
            <w:gridSpan w:val="3"/>
            <w:shd w:val="clear" w:color="auto" w:fill="auto"/>
            <w:noWrap/>
            <w:vAlign w:val="center"/>
            <w:hideMark/>
          </w:tcPr>
          <w:p w14:paraId="5D5AC793"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AVG Cost to Reach 4% EB</w:t>
            </w:r>
          </w:p>
          <w:p w14:paraId="7EA72F16"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4320" w:type="dxa"/>
            <w:gridSpan w:val="2"/>
            <w:shd w:val="clear" w:color="auto" w:fill="auto"/>
            <w:noWrap/>
            <w:vAlign w:val="center"/>
            <w:hideMark/>
          </w:tcPr>
          <w:p w14:paraId="6EC65347"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Incremental Cost to Change CAP Customers</w:t>
            </w:r>
          </w:p>
          <w:p w14:paraId="4975C766"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Currently Over 4% with Electric Non-Heating, down to a targeted 4% Energy Burden</w:t>
            </w:r>
          </w:p>
        </w:tc>
      </w:tr>
      <w:tr w:rsidR="00F303E0" w:rsidRPr="00EE5714" w14:paraId="31B22D80" w14:textId="77777777" w:rsidTr="00BF1FF5">
        <w:trPr>
          <w:trHeight w:hRule="exact" w:val="245"/>
        </w:trPr>
        <w:tc>
          <w:tcPr>
            <w:tcW w:w="1530" w:type="dxa"/>
            <w:shd w:val="clear" w:color="auto" w:fill="F2F2F2" w:themeFill="background1" w:themeFillShade="F2"/>
          </w:tcPr>
          <w:p w14:paraId="3C3F3735" w14:textId="77777777" w:rsidR="00F303E0" w:rsidRPr="00EE5714" w:rsidRDefault="00F303E0" w:rsidP="007D7A46">
            <w:pPr>
              <w:keepNext/>
              <w:spacing w:after="0" w:line="240" w:lineRule="auto"/>
              <w:rPr>
                <w:rFonts w:ascii="Calibri" w:eastAsia="Times New Roman" w:hAnsi="Calibri" w:cs="Calibri"/>
                <w:b/>
                <w:i/>
                <w:color w:val="000000"/>
              </w:rPr>
            </w:pPr>
            <w:r w:rsidRPr="00EE5714">
              <w:rPr>
                <w:rFonts w:ascii="Calibri" w:eastAsia="Times New Roman" w:hAnsi="Calibri" w:cs="Calibri"/>
                <w:b/>
                <w:i/>
                <w:color w:val="000000"/>
              </w:rPr>
              <w:t>FPIG Level</w:t>
            </w:r>
          </w:p>
        </w:tc>
        <w:tc>
          <w:tcPr>
            <w:tcW w:w="1620" w:type="dxa"/>
            <w:shd w:val="clear" w:color="auto" w:fill="F2F2F2" w:themeFill="background1" w:themeFillShade="F2"/>
            <w:noWrap/>
            <w:vAlign w:val="bottom"/>
            <w:hideMark/>
          </w:tcPr>
          <w:p w14:paraId="6035CABD"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50%</w:t>
            </w:r>
          </w:p>
        </w:tc>
        <w:tc>
          <w:tcPr>
            <w:tcW w:w="1350" w:type="dxa"/>
            <w:shd w:val="clear" w:color="auto" w:fill="F2F2F2" w:themeFill="background1" w:themeFillShade="F2"/>
            <w:noWrap/>
            <w:vAlign w:val="bottom"/>
            <w:hideMark/>
          </w:tcPr>
          <w:p w14:paraId="0AAF9060"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100%</w:t>
            </w:r>
          </w:p>
        </w:tc>
        <w:tc>
          <w:tcPr>
            <w:tcW w:w="1800" w:type="dxa"/>
            <w:shd w:val="clear" w:color="auto" w:fill="F2F2F2" w:themeFill="background1" w:themeFillShade="F2"/>
            <w:noWrap/>
            <w:vAlign w:val="bottom"/>
            <w:hideMark/>
          </w:tcPr>
          <w:p w14:paraId="0C4272F1" w14:textId="77777777" w:rsidR="00F303E0" w:rsidRPr="00EE5714" w:rsidRDefault="00F303E0" w:rsidP="007D7A46">
            <w:pPr>
              <w:keepNext/>
              <w:spacing w:after="0" w:line="240" w:lineRule="auto"/>
              <w:jc w:val="center"/>
              <w:rPr>
                <w:rFonts w:ascii="Calibri" w:eastAsia="Times New Roman" w:hAnsi="Calibri" w:cs="Calibri"/>
                <w:b/>
                <w:color w:val="000000"/>
              </w:rPr>
            </w:pPr>
            <w:r w:rsidRPr="00EE5714">
              <w:rPr>
                <w:rFonts w:ascii="Calibri" w:eastAsia="Times New Roman" w:hAnsi="Calibri" w:cs="Calibri"/>
                <w:b/>
                <w:color w:val="000000"/>
              </w:rPr>
              <w:t>150%</w:t>
            </w:r>
          </w:p>
        </w:tc>
        <w:tc>
          <w:tcPr>
            <w:tcW w:w="2344" w:type="dxa"/>
            <w:shd w:val="clear" w:color="auto" w:fill="F2F2F2" w:themeFill="background1" w:themeFillShade="F2"/>
            <w:noWrap/>
            <w:vAlign w:val="bottom"/>
            <w:hideMark/>
          </w:tcPr>
          <w:p w14:paraId="6C4046A3"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Company</w:t>
            </w:r>
          </w:p>
        </w:tc>
        <w:tc>
          <w:tcPr>
            <w:tcW w:w="1976" w:type="dxa"/>
            <w:shd w:val="clear" w:color="auto" w:fill="F2F2F2" w:themeFill="background1" w:themeFillShade="F2"/>
            <w:vAlign w:val="bottom"/>
          </w:tcPr>
          <w:p w14:paraId="78E2D92B" w14:textId="77777777" w:rsidR="00F303E0" w:rsidRPr="00EE5714" w:rsidRDefault="00F303E0" w:rsidP="007D7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Amount</w:t>
            </w:r>
          </w:p>
        </w:tc>
      </w:tr>
      <w:tr w:rsidR="00F303E0" w:rsidRPr="00EE5714" w14:paraId="62DA5DCA" w14:textId="77777777" w:rsidTr="00BF1FF5">
        <w:trPr>
          <w:trHeight w:hRule="exact" w:val="245"/>
        </w:trPr>
        <w:tc>
          <w:tcPr>
            <w:tcW w:w="1530" w:type="dxa"/>
          </w:tcPr>
          <w:p w14:paraId="1B884A1D"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1620" w:type="dxa"/>
            <w:shd w:val="clear" w:color="auto" w:fill="auto"/>
            <w:noWrap/>
            <w:vAlign w:val="bottom"/>
            <w:hideMark/>
          </w:tcPr>
          <w:p w14:paraId="5690005E"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1350" w:type="dxa"/>
            <w:shd w:val="clear" w:color="auto" w:fill="auto"/>
            <w:noWrap/>
            <w:vAlign w:val="bottom"/>
            <w:hideMark/>
          </w:tcPr>
          <w:p w14:paraId="6D6AFB13" w14:textId="77777777" w:rsidR="00F303E0" w:rsidRPr="00EE5714" w:rsidRDefault="00F303E0" w:rsidP="007D7A46">
            <w:pPr>
              <w:keepNext/>
              <w:spacing w:after="0" w:line="240" w:lineRule="auto"/>
              <w:jc w:val="center"/>
              <w:rPr>
                <w:rFonts w:ascii="Times New Roman" w:eastAsia="Times New Roman" w:hAnsi="Times New Roman" w:cs="Times New Roman"/>
                <w:b/>
                <w:sz w:val="20"/>
                <w:szCs w:val="20"/>
              </w:rPr>
            </w:pPr>
          </w:p>
        </w:tc>
        <w:tc>
          <w:tcPr>
            <w:tcW w:w="1800" w:type="dxa"/>
            <w:shd w:val="clear" w:color="auto" w:fill="auto"/>
            <w:noWrap/>
            <w:vAlign w:val="bottom"/>
            <w:hideMark/>
          </w:tcPr>
          <w:p w14:paraId="3C2EFB71" w14:textId="77777777" w:rsidR="00F303E0" w:rsidRPr="00EE5714" w:rsidRDefault="00F303E0" w:rsidP="007D7A46">
            <w:pPr>
              <w:keepNext/>
              <w:spacing w:after="0" w:line="240" w:lineRule="auto"/>
              <w:jc w:val="center"/>
              <w:rPr>
                <w:rFonts w:ascii="Times New Roman" w:eastAsia="Times New Roman" w:hAnsi="Times New Roman" w:cs="Times New Roman"/>
                <w:b/>
                <w:sz w:val="20"/>
                <w:szCs w:val="20"/>
              </w:rPr>
            </w:pPr>
          </w:p>
        </w:tc>
        <w:tc>
          <w:tcPr>
            <w:tcW w:w="2344" w:type="dxa"/>
            <w:shd w:val="clear" w:color="auto" w:fill="auto"/>
            <w:noWrap/>
            <w:vAlign w:val="bottom"/>
            <w:hideMark/>
          </w:tcPr>
          <w:p w14:paraId="7170FB7C"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c>
          <w:tcPr>
            <w:tcW w:w="1976" w:type="dxa"/>
            <w:shd w:val="clear" w:color="auto" w:fill="auto"/>
            <w:noWrap/>
            <w:vAlign w:val="bottom"/>
            <w:hideMark/>
          </w:tcPr>
          <w:p w14:paraId="166CB14C" w14:textId="77777777" w:rsidR="00F303E0" w:rsidRPr="00EE5714" w:rsidRDefault="00F303E0" w:rsidP="007D7A46">
            <w:pPr>
              <w:keepNext/>
              <w:spacing w:after="0" w:line="240" w:lineRule="auto"/>
              <w:jc w:val="center"/>
              <w:rPr>
                <w:rFonts w:ascii="Calibri" w:eastAsia="Times New Roman" w:hAnsi="Calibri" w:cs="Calibri"/>
                <w:b/>
                <w:bCs/>
                <w:color w:val="000000"/>
              </w:rPr>
            </w:pPr>
          </w:p>
        </w:tc>
      </w:tr>
      <w:tr w:rsidR="00F303E0" w:rsidRPr="00EE5714" w14:paraId="5139470A" w14:textId="77777777" w:rsidTr="00BF1FF5">
        <w:trPr>
          <w:trHeight w:hRule="exact" w:val="245"/>
        </w:trPr>
        <w:tc>
          <w:tcPr>
            <w:tcW w:w="1530" w:type="dxa"/>
            <w:shd w:val="clear" w:color="auto" w:fill="F2F2F2" w:themeFill="background1" w:themeFillShade="F2"/>
            <w:vAlign w:val="bottom"/>
          </w:tcPr>
          <w:p w14:paraId="6E4CFC86"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Duquesne</w:t>
            </w:r>
          </w:p>
        </w:tc>
        <w:tc>
          <w:tcPr>
            <w:tcW w:w="1620" w:type="dxa"/>
            <w:shd w:val="clear" w:color="auto" w:fill="auto"/>
            <w:noWrap/>
            <w:vAlign w:val="center"/>
            <w:hideMark/>
          </w:tcPr>
          <w:p w14:paraId="1A80A15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-$4,912,741</w:t>
            </w:r>
          </w:p>
        </w:tc>
        <w:tc>
          <w:tcPr>
            <w:tcW w:w="1350" w:type="dxa"/>
            <w:shd w:val="clear" w:color="auto" w:fill="auto"/>
            <w:noWrap/>
            <w:vAlign w:val="center"/>
            <w:hideMark/>
          </w:tcPr>
          <w:p w14:paraId="53BA0F12"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-$6,543,038</w:t>
            </w:r>
          </w:p>
        </w:tc>
        <w:tc>
          <w:tcPr>
            <w:tcW w:w="1800" w:type="dxa"/>
            <w:shd w:val="clear" w:color="auto" w:fill="auto"/>
            <w:noWrap/>
            <w:vAlign w:val="center"/>
            <w:hideMark/>
          </w:tcPr>
          <w:p w14:paraId="23E1138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-$1,872,303</w:t>
            </w:r>
          </w:p>
        </w:tc>
        <w:tc>
          <w:tcPr>
            <w:tcW w:w="2344" w:type="dxa"/>
            <w:shd w:val="clear" w:color="auto" w:fill="F2F2F2" w:themeFill="background1" w:themeFillShade="F2"/>
            <w:noWrap/>
            <w:vAlign w:val="bottom"/>
            <w:hideMark/>
          </w:tcPr>
          <w:p w14:paraId="0CB73B20"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Duquesne</w:t>
            </w:r>
          </w:p>
        </w:tc>
        <w:tc>
          <w:tcPr>
            <w:tcW w:w="1976" w:type="dxa"/>
            <w:shd w:val="clear" w:color="auto" w:fill="auto"/>
            <w:noWrap/>
            <w:vAlign w:val="center"/>
            <w:hideMark/>
          </w:tcPr>
          <w:p w14:paraId="6C63F19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-$13,328,083</w:t>
            </w:r>
          </w:p>
        </w:tc>
      </w:tr>
      <w:tr w:rsidR="00F303E0" w:rsidRPr="00EE5714" w14:paraId="4AF6636E" w14:textId="77777777" w:rsidTr="00BF1FF5">
        <w:trPr>
          <w:trHeight w:hRule="exact" w:val="245"/>
        </w:trPr>
        <w:tc>
          <w:tcPr>
            <w:tcW w:w="1530" w:type="dxa"/>
            <w:shd w:val="clear" w:color="auto" w:fill="F2F2F2" w:themeFill="background1" w:themeFillShade="F2"/>
            <w:vAlign w:val="bottom"/>
          </w:tcPr>
          <w:p w14:paraId="1D67223A"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Met-Ed</w:t>
            </w:r>
          </w:p>
        </w:tc>
        <w:tc>
          <w:tcPr>
            <w:tcW w:w="1620" w:type="dxa"/>
            <w:shd w:val="clear" w:color="auto" w:fill="auto"/>
            <w:noWrap/>
            <w:vAlign w:val="center"/>
            <w:hideMark/>
          </w:tcPr>
          <w:p w14:paraId="1898CB83"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-$952,977</w:t>
            </w:r>
          </w:p>
        </w:tc>
        <w:tc>
          <w:tcPr>
            <w:tcW w:w="1350" w:type="dxa"/>
            <w:shd w:val="clear" w:color="auto" w:fill="auto"/>
            <w:noWrap/>
            <w:vAlign w:val="center"/>
            <w:hideMark/>
          </w:tcPr>
          <w:p w14:paraId="38C41C2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-$414,068</w:t>
            </w:r>
          </w:p>
        </w:tc>
        <w:tc>
          <w:tcPr>
            <w:tcW w:w="1800" w:type="dxa"/>
            <w:shd w:val="clear" w:color="auto" w:fill="auto"/>
            <w:noWrap/>
            <w:vAlign w:val="center"/>
            <w:hideMark/>
          </w:tcPr>
          <w:p w14:paraId="567913E1"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2344" w:type="dxa"/>
            <w:shd w:val="clear" w:color="auto" w:fill="F2F2F2" w:themeFill="background1" w:themeFillShade="F2"/>
            <w:noWrap/>
            <w:vAlign w:val="bottom"/>
            <w:hideMark/>
          </w:tcPr>
          <w:p w14:paraId="7DFC8769"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Met-Ed</w:t>
            </w:r>
          </w:p>
        </w:tc>
        <w:tc>
          <w:tcPr>
            <w:tcW w:w="1976" w:type="dxa"/>
            <w:shd w:val="clear" w:color="auto" w:fill="auto"/>
            <w:noWrap/>
            <w:vAlign w:val="center"/>
            <w:hideMark/>
          </w:tcPr>
          <w:p w14:paraId="5BE3BDD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-$1,367,045</w:t>
            </w:r>
          </w:p>
        </w:tc>
      </w:tr>
      <w:tr w:rsidR="00F303E0" w:rsidRPr="00EE5714" w14:paraId="559FA4F6" w14:textId="77777777" w:rsidTr="00BF1FF5">
        <w:trPr>
          <w:trHeight w:hRule="exact" w:val="245"/>
        </w:trPr>
        <w:tc>
          <w:tcPr>
            <w:tcW w:w="1530" w:type="dxa"/>
            <w:shd w:val="clear" w:color="auto" w:fill="F2F2F2" w:themeFill="background1" w:themeFillShade="F2"/>
            <w:vAlign w:val="bottom"/>
          </w:tcPr>
          <w:p w14:paraId="69513EA3"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PECO Electric</w:t>
            </w:r>
          </w:p>
        </w:tc>
        <w:tc>
          <w:tcPr>
            <w:tcW w:w="1620" w:type="dxa"/>
            <w:shd w:val="clear" w:color="auto" w:fill="auto"/>
            <w:noWrap/>
            <w:vAlign w:val="center"/>
            <w:hideMark/>
          </w:tcPr>
          <w:p w14:paraId="6CDCDE96"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-$10,837,681</w:t>
            </w:r>
          </w:p>
        </w:tc>
        <w:tc>
          <w:tcPr>
            <w:tcW w:w="1350" w:type="dxa"/>
            <w:shd w:val="clear" w:color="auto" w:fill="auto"/>
            <w:noWrap/>
            <w:vAlign w:val="center"/>
            <w:hideMark/>
          </w:tcPr>
          <w:p w14:paraId="7054057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-$15,107,489</w:t>
            </w:r>
          </w:p>
        </w:tc>
        <w:tc>
          <w:tcPr>
            <w:tcW w:w="1800" w:type="dxa"/>
            <w:shd w:val="clear" w:color="auto" w:fill="auto"/>
            <w:noWrap/>
            <w:vAlign w:val="center"/>
            <w:hideMark/>
          </w:tcPr>
          <w:p w14:paraId="6263AD48"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-$5,708,105</w:t>
            </w:r>
          </w:p>
        </w:tc>
        <w:tc>
          <w:tcPr>
            <w:tcW w:w="2344" w:type="dxa"/>
            <w:shd w:val="clear" w:color="auto" w:fill="F2F2F2" w:themeFill="background1" w:themeFillShade="F2"/>
            <w:noWrap/>
            <w:vAlign w:val="bottom"/>
            <w:hideMark/>
          </w:tcPr>
          <w:p w14:paraId="24FB7C66"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PECO Electric</w:t>
            </w:r>
          </w:p>
        </w:tc>
        <w:tc>
          <w:tcPr>
            <w:tcW w:w="1976" w:type="dxa"/>
            <w:shd w:val="clear" w:color="auto" w:fill="auto"/>
            <w:noWrap/>
            <w:vAlign w:val="center"/>
            <w:hideMark/>
          </w:tcPr>
          <w:p w14:paraId="5EE01557"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-$31,653,275</w:t>
            </w:r>
          </w:p>
        </w:tc>
      </w:tr>
      <w:tr w:rsidR="00F303E0" w:rsidRPr="00EE5714" w14:paraId="55786175" w14:textId="77777777" w:rsidTr="00BF1FF5">
        <w:trPr>
          <w:trHeight w:hRule="exact" w:val="245"/>
        </w:trPr>
        <w:tc>
          <w:tcPr>
            <w:tcW w:w="1530" w:type="dxa"/>
            <w:shd w:val="clear" w:color="auto" w:fill="F2F2F2" w:themeFill="background1" w:themeFillShade="F2"/>
            <w:vAlign w:val="bottom"/>
          </w:tcPr>
          <w:p w14:paraId="688862F5" w14:textId="77777777" w:rsidR="00F303E0" w:rsidRPr="00EE5714" w:rsidRDefault="00F303E0" w:rsidP="007D7A46">
            <w:pPr>
              <w:keepNext/>
              <w:spacing w:after="0" w:line="240" w:lineRule="auto"/>
              <w:rPr>
                <w:rFonts w:ascii="Calibri" w:eastAsia="Times New Roman" w:hAnsi="Calibri" w:cs="Calibri"/>
                <w:color w:val="000000"/>
                <w:sz w:val="21"/>
                <w:szCs w:val="21"/>
              </w:rPr>
            </w:pPr>
            <w:proofErr w:type="spellStart"/>
            <w:r w:rsidRPr="00EE5714">
              <w:rPr>
                <w:rFonts w:ascii="Calibri" w:eastAsia="Times New Roman" w:hAnsi="Calibri" w:cs="Calibri"/>
                <w:b/>
                <w:color w:val="000000"/>
                <w:sz w:val="21"/>
                <w:szCs w:val="21"/>
              </w:rPr>
              <w:t>Penelec</w:t>
            </w:r>
            <w:proofErr w:type="spellEnd"/>
          </w:p>
        </w:tc>
        <w:tc>
          <w:tcPr>
            <w:tcW w:w="1620" w:type="dxa"/>
            <w:shd w:val="clear" w:color="auto" w:fill="auto"/>
            <w:noWrap/>
            <w:vAlign w:val="center"/>
            <w:hideMark/>
          </w:tcPr>
          <w:p w14:paraId="534938E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-$1,381,508</w:t>
            </w:r>
          </w:p>
        </w:tc>
        <w:tc>
          <w:tcPr>
            <w:tcW w:w="1350" w:type="dxa"/>
            <w:shd w:val="clear" w:color="auto" w:fill="auto"/>
            <w:noWrap/>
            <w:vAlign w:val="center"/>
            <w:hideMark/>
          </w:tcPr>
          <w:p w14:paraId="3B19D9D4"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1800" w:type="dxa"/>
            <w:shd w:val="clear" w:color="auto" w:fill="auto"/>
            <w:noWrap/>
            <w:vAlign w:val="center"/>
            <w:hideMark/>
          </w:tcPr>
          <w:p w14:paraId="69C66BE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$0</w:t>
            </w:r>
          </w:p>
        </w:tc>
        <w:tc>
          <w:tcPr>
            <w:tcW w:w="2344" w:type="dxa"/>
            <w:shd w:val="clear" w:color="auto" w:fill="F2F2F2" w:themeFill="background1" w:themeFillShade="F2"/>
            <w:noWrap/>
            <w:vAlign w:val="bottom"/>
            <w:hideMark/>
          </w:tcPr>
          <w:p w14:paraId="7C26B7F0" w14:textId="77777777" w:rsidR="00F303E0" w:rsidRPr="00EE5714" w:rsidRDefault="00F303E0" w:rsidP="007D7A46">
            <w:pPr>
              <w:keepNext/>
              <w:spacing w:after="0" w:line="240" w:lineRule="auto"/>
              <w:rPr>
                <w:rFonts w:ascii="Calibri" w:eastAsia="Times New Roman" w:hAnsi="Calibri" w:cs="Calibri"/>
                <w:b/>
                <w:color w:val="000000"/>
                <w:sz w:val="21"/>
                <w:szCs w:val="21"/>
              </w:rPr>
            </w:pPr>
            <w:proofErr w:type="spellStart"/>
            <w:r w:rsidRPr="00EE5714">
              <w:rPr>
                <w:rFonts w:ascii="Calibri" w:eastAsia="Times New Roman" w:hAnsi="Calibri" w:cs="Calibri"/>
                <w:b/>
                <w:color w:val="000000"/>
                <w:sz w:val="21"/>
                <w:szCs w:val="21"/>
              </w:rPr>
              <w:t>Penelec</w:t>
            </w:r>
            <w:proofErr w:type="spellEnd"/>
          </w:p>
        </w:tc>
        <w:tc>
          <w:tcPr>
            <w:tcW w:w="1976" w:type="dxa"/>
            <w:shd w:val="clear" w:color="auto" w:fill="auto"/>
            <w:noWrap/>
            <w:vAlign w:val="center"/>
            <w:hideMark/>
          </w:tcPr>
          <w:p w14:paraId="746B5A6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-$1,381,508</w:t>
            </w:r>
          </w:p>
        </w:tc>
      </w:tr>
      <w:tr w:rsidR="00F303E0" w:rsidRPr="00EE5714" w14:paraId="00EB4317" w14:textId="77777777" w:rsidTr="00BF1FF5">
        <w:trPr>
          <w:trHeight w:hRule="exact" w:val="245"/>
        </w:trPr>
        <w:tc>
          <w:tcPr>
            <w:tcW w:w="1530" w:type="dxa"/>
            <w:shd w:val="clear" w:color="auto" w:fill="F2F2F2" w:themeFill="background1" w:themeFillShade="F2"/>
            <w:vAlign w:val="bottom"/>
          </w:tcPr>
          <w:p w14:paraId="063FB454"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Penn Power</w:t>
            </w:r>
          </w:p>
        </w:tc>
        <w:tc>
          <w:tcPr>
            <w:tcW w:w="1620" w:type="dxa"/>
            <w:shd w:val="clear" w:color="auto" w:fill="auto"/>
            <w:noWrap/>
            <w:vAlign w:val="center"/>
            <w:hideMark/>
          </w:tcPr>
          <w:p w14:paraId="54F5A06E"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-$542,033</w:t>
            </w:r>
          </w:p>
        </w:tc>
        <w:tc>
          <w:tcPr>
            <w:tcW w:w="1350" w:type="dxa"/>
            <w:shd w:val="clear" w:color="auto" w:fill="auto"/>
            <w:noWrap/>
            <w:vAlign w:val="center"/>
            <w:hideMark/>
          </w:tcPr>
          <w:p w14:paraId="6E18725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-$187,418</w:t>
            </w:r>
          </w:p>
        </w:tc>
        <w:tc>
          <w:tcPr>
            <w:tcW w:w="1800" w:type="dxa"/>
            <w:shd w:val="clear" w:color="auto" w:fill="auto"/>
            <w:noWrap/>
            <w:vAlign w:val="center"/>
            <w:hideMark/>
          </w:tcPr>
          <w:p w14:paraId="3AE7D118"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-$108,075</w:t>
            </w:r>
          </w:p>
        </w:tc>
        <w:tc>
          <w:tcPr>
            <w:tcW w:w="2344" w:type="dxa"/>
            <w:shd w:val="clear" w:color="auto" w:fill="F2F2F2" w:themeFill="background1" w:themeFillShade="F2"/>
            <w:noWrap/>
            <w:vAlign w:val="bottom"/>
            <w:hideMark/>
          </w:tcPr>
          <w:p w14:paraId="6A4D5CDC"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Penn Power</w:t>
            </w:r>
          </w:p>
        </w:tc>
        <w:tc>
          <w:tcPr>
            <w:tcW w:w="1976" w:type="dxa"/>
            <w:shd w:val="clear" w:color="auto" w:fill="auto"/>
            <w:noWrap/>
            <w:vAlign w:val="center"/>
            <w:hideMark/>
          </w:tcPr>
          <w:p w14:paraId="34F04747"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-$837,526</w:t>
            </w:r>
          </w:p>
        </w:tc>
      </w:tr>
      <w:tr w:rsidR="00F303E0" w:rsidRPr="00EE5714" w14:paraId="0F3FDBD8" w14:textId="77777777" w:rsidTr="00BF1FF5">
        <w:trPr>
          <w:trHeight w:hRule="exact" w:val="245"/>
        </w:trPr>
        <w:tc>
          <w:tcPr>
            <w:tcW w:w="1530" w:type="dxa"/>
            <w:shd w:val="clear" w:color="auto" w:fill="F2F2F2" w:themeFill="background1" w:themeFillShade="F2"/>
            <w:vAlign w:val="bottom"/>
          </w:tcPr>
          <w:p w14:paraId="5C798A18"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PPL</w:t>
            </w:r>
          </w:p>
        </w:tc>
        <w:tc>
          <w:tcPr>
            <w:tcW w:w="1620" w:type="dxa"/>
            <w:shd w:val="clear" w:color="auto" w:fill="auto"/>
            <w:noWrap/>
            <w:vAlign w:val="center"/>
            <w:hideMark/>
          </w:tcPr>
          <w:p w14:paraId="3DB3922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-$2,676,214</w:t>
            </w:r>
          </w:p>
        </w:tc>
        <w:tc>
          <w:tcPr>
            <w:tcW w:w="1350" w:type="dxa"/>
            <w:shd w:val="clear" w:color="auto" w:fill="auto"/>
            <w:noWrap/>
            <w:vAlign w:val="center"/>
            <w:hideMark/>
          </w:tcPr>
          <w:p w14:paraId="2CFB133A"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-$4,442,829</w:t>
            </w:r>
          </w:p>
        </w:tc>
        <w:tc>
          <w:tcPr>
            <w:tcW w:w="1800" w:type="dxa"/>
            <w:shd w:val="clear" w:color="auto" w:fill="auto"/>
            <w:noWrap/>
            <w:vAlign w:val="center"/>
            <w:hideMark/>
          </w:tcPr>
          <w:p w14:paraId="371D53DD"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-$402,887</w:t>
            </w:r>
          </w:p>
        </w:tc>
        <w:tc>
          <w:tcPr>
            <w:tcW w:w="2344" w:type="dxa"/>
            <w:shd w:val="clear" w:color="auto" w:fill="F2F2F2" w:themeFill="background1" w:themeFillShade="F2"/>
            <w:noWrap/>
            <w:vAlign w:val="bottom"/>
            <w:hideMark/>
          </w:tcPr>
          <w:p w14:paraId="7B271D2C"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PPL</w:t>
            </w:r>
          </w:p>
        </w:tc>
        <w:tc>
          <w:tcPr>
            <w:tcW w:w="1976" w:type="dxa"/>
            <w:shd w:val="clear" w:color="auto" w:fill="auto"/>
            <w:noWrap/>
            <w:vAlign w:val="center"/>
            <w:hideMark/>
          </w:tcPr>
          <w:p w14:paraId="269723A9"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-$7,521,930</w:t>
            </w:r>
          </w:p>
        </w:tc>
      </w:tr>
      <w:tr w:rsidR="00F303E0" w:rsidRPr="00EE5714" w14:paraId="34C0C2F1" w14:textId="77777777" w:rsidTr="00BF1FF5">
        <w:trPr>
          <w:trHeight w:hRule="exact" w:val="245"/>
        </w:trPr>
        <w:tc>
          <w:tcPr>
            <w:tcW w:w="1530" w:type="dxa"/>
            <w:shd w:val="clear" w:color="auto" w:fill="F2F2F2" w:themeFill="background1" w:themeFillShade="F2"/>
            <w:vAlign w:val="bottom"/>
          </w:tcPr>
          <w:p w14:paraId="1FE1B1F5" w14:textId="77777777" w:rsidR="00F303E0" w:rsidRPr="00EE5714" w:rsidRDefault="00F303E0" w:rsidP="007D7A46">
            <w:pPr>
              <w:keepNext/>
              <w:spacing w:after="0" w:line="240" w:lineRule="auto"/>
              <w:rPr>
                <w:rFonts w:ascii="Calibri" w:eastAsia="Times New Roman" w:hAnsi="Calibri" w:cs="Calibri"/>
                <w:color w:val="000000"/>
                <w:sz w:val="21"/>
                <w:szCs w:val="21"/>
              </w:rPr>
            </w:pPr>
            <w:r w:rsidRPr="00EE5714">
              <w:rPr>
                <w:rFonts w:ascii="Calibri" w:eastAsia="Times New Roman" w:hAnsi="Calibri" w:cs="Calibri"/>
                <w:b/>
                <w:color w:val="000000"/>
                <w:sz w:val="21"/>
                <w:szCs w:val="21"/>
              </w:rPr>
              <w:t>West Penn</w:t>
            </w:r>
          </w:p>
        </w:tc>
        <w:tc>
          <w:tcPr>
            <w:tcW w:w="1620" w:type="dxa"/>
            <w:shd w:val="clear" w:color="auto" w:fill="auto"/>
            <w:noWrap/>
            <w:vAlign w:val="center"/>
            <w:hideMark/>
          </w:tcPr>
          <w:p w14:paraId="3074B83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-$1,979,613</w:t>
            </w:r>
          </w:p>
        </w:tc>
        <w:tc>
          <w:tcPr>
            <w:tcW w:w="1350" w:type="dxa"/>
            <w:shd w:val="clear" w:color="auto" w:fill="auto"/>
            <w:noWrap/>
            <w:vAlign w:val="center"/>
            <w:hideMark/>
          </w:tcPr>
          <w:p w14:paraId="08CC7A11"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-$2,430,374</w:t>
            </w:r>
          </w:p>
        </w:tc>
        <w:tc>
          <w:tcPr>
            <w:tcW w:w="1800" w:type="dxa"/>
            <w:shd w:val="clear" w:color="auto" w:fill="auto"/>
            <w:noWrap/>
            <w:vAlign w:val="center"/>
            <w:hideMark/>
          </w:tcPr>
          <w:p w14:paraId="27738E5B"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-$1,158,215</w:t>
            </w:r>
          </w:p>
        </w:tc>
        <w:tc>
          <w:tcPr>
            <w:tcW w:w="2344" w:type="dxa"/>
            <w:shd w:val="clear" w:color="auto" w:fill="F2F2F2" w:themeFill="background1" w:themeFillShade="F2"/>
            <w:noWrap/>
            <w:vAlign w:val="bottom"/>
            <w:hideMark/>
          </w:tcPr>
          <w:p w14:paraId="17290B08" w14:textId="77777777" w:rsidR="00F303E0" w:rsidRPr="00EE5714" w:rsidRDefault="00F303E0" w:rsidP="007D7A46">
            <w:pPr>
              <w:keepNext/>
              <w:spacing w:after="0" w:line="240" w:lineRule="auto"/>
              <w:rPr>
                <w:rFonts w:ascii="Calibri" w:eastAsia="Times New Roman" w:hAnsi="Calibri" w:cs="Calibri"/>
                <w:b/>
                <w:color w:val="000000"/>
                <w:sz w:val="21"/>
                <w:szCs w:val="21"/>
              </w:rPr>
            </w:pPr>
            <w:r w:rsidRPr="00EE5714">
              <w:rPr>
                <w:rFonts w:ascii="Calibri" w:eastAsia="Times New Roman" w:hAnsi="Calibri" w:cs="Calibri"/>
                <w:b/>
                <w:color w:val="000000"/>
                <w:sz w:val="21"/>
                <w:szCs w:val="21"/>
              </w:rPr>
              <w:t>West Penn</w:t>
            </w:r>
          </w:p>
        </w:tc>
        <w:tc>
          <w:tcPr>
            <w:tcW w:w="1976" w:type="dxa"/>
            <w:shd w:val="clear" w:color="auto" w:fill="auto"/>
            <w:noWrap/>
            <w:vAlign w:val="center"/>
            <w:hideMark/>
          </w:tcPr>
          <w:p w14:paraId="1C9900CF" w14:textId="77777777" w:rsidR="00F303E0" w:rsidRPr="00EE5714" w:rsidRDefault="00F303E0" w:rsidP="007D7A46">
            <w:pPr>
              <w:keepNext/>
              <w:spacing w:after="0" w:line="240" w:lineRule="auto"/>
              <w:jc w:val="center"/>
              <w:rPr>
                <w:rFonts w:ascii="Calibri" w:eastAsia="Times New Roman" w:hAnsi="Calibri" w:cs="Calibri"/>
                <w:color w:val="000000"/>
                <w:sz w:val="21"/>
                <w:szCs w:val="21"/>
              </w:rPr>
            </w:pPr>
            <w:r w:rsidRPr="00EE5714">
              <w:rPr>
                <w:rFonts w:ascii="Calibri" w:eastAsia="Times New Roman" w:hAnsi="Calibri" w:cs="Calibri"/>
                <w:color w:val="000000"/>
                <w:sz w:val="21"/>
                <w:szCs w:val="21"/>
              </w:rPr>
              <w:t>-$5,568,203</w:t>
            </w:r>
          </w:p>
        </w:tc>
      </w:tr>
      <w:tr w:rsidR="00F303E0" w:rsidRPr="00EE5714" w14:paraId="5DA32102" w14:textId="77777777" w:rsidTr="00BF1FF5">
        <w:trPr>
          <w:trHeight w:hRule="exact" w:val="245"/>
        </w:trPr>
        <w:tc>
          <w:tcPr>
            <w:tcW w:w="1530" w:type="dxa"/>
          </w:tcPr>
          <w:p w14:paraId="620364CD" w14:textId="77777777" w:rsidR="00F303E0" w:rsidRPr="00EE5714" w:rsidRDefault="00F303E0" w:rsidP="007D7A46">
            <w:pPr>
              <w:spacing w:after="0" w:line="240" w:lineRule="auto"/>
              <w:jc w:val="right"/>
              <w:rPr>
                <w:rFonts w:ascii="Calibri" w:eastAsia="Times New Roman" w:hAnsi="Calibri" w:cs="Calibri"/>
                <w:color w:val="000000"/>
                <w:sz w:val="21"/>
                <w:szCs w:val="21"/>
              </w:rPr>
            </w:pPr>
          </w:p>
        </w:tc>
        <w:tc>
          <w:tcPr>
            <w:tcW w:w="1620" w:type="dxa"/>
            <w:shd w:val="clear" w:color="auto" w:fill="auto"/>
            <w:noWrap/>
            <w:vAlign w:val="center"/>
            <w:hideMark/>
          </w:tcPr>
          <w:p w14:paraId="373EF0BA" w14:textId="77777777" w:rsidR="00F303E0" w:rsidRPr="00EE5714" w:rsidRDefault="00F303E0" w:rsidP="007D7A46">
            <w:pPr>
              <w:spacing w:after="0" w:line="240" w:lineRule="auto"/>
              <w:jc w:val="center"/>
              <w:rPr>
                <w:rFonts w:ascii="Calibri" w:eastAsia="Times New Roman" w:hAnsi="Calibri" w:cs="Calibri"/>
                <w:color w:val="000000"/>
                <w:sz w:val="21"/>
                <w:szCs w:val="21"/>
              </w:rPr>
            </w:pPr>
          </w:p>
        </w:tc>
        <w:tc>
          <w:tcPr>
            <w:tcW w:w="1350" w:type="dxa"/>
            <w:shd w:val="clear" w:color="auto" w:fill="auto"/>
            <w:noWrap/>
            <w:vAlign w:val="center"/>
            <w:hideMark/>
          </w:tcPr>
          <w:p w14:paraId="04A5EAC3" w14:textId="77777777" w:rsidR="00F303E0" w:rsidRPr="00EE5714" w:rsidRDefault="00F303E0" w:rsidP="007D7A46">
            <w:pPr>
              <w:spacing w:after="0" w:line="240" w:lineRule="auto"/>
              <w:jc w:val="center"/>
              <w:rPr>
                <w:rFonts w:ascii="Times New Roman" w:eastAsia="Times New Roman" w:hAnsi="Times New Roman" w:cs="Times New Roman"/>
                <w:sz w:val="21"/>
                <w:szCs w:val="21"/>
              </w:rPr>
            </w:pPr>
          </w:p>
        </w:tc>
        <w:tc>
          <w:tcPr>
            <w:tcW w:w="1800" w:type="dxa"/>
            <w:shd w:val="clear" w:color="auto" w:fill="auto"/>
            <w:noWrap/>
            <w:vAlign w:val="center"/>
            <w:hideMark/>
          </w:tcPr>
          <w:p w14:paraId="6C2BF07C" w14:textId="77777777" w:rsidR="00F303E0" w:rsidRPr="00EE5714" w:rsidRDefault="00F303E0" w:rsidP="007D7A46">
            <w:pPr>
              <w:spacing w:after="0" w:line="240" w:lineRule="auto"/>
              <w:jc w:val="center"/>
              <w:rPr>
                <w:rFonts w:ascii="Times New Roman" w:eastAsia="Times New Roman" w:hAnsi="Times New Roman" w:cs="Times New Roman"/>
                <w:sz w:val="21"/>
                <w:szCs w:val="21"/>
              </w:rPr>
            </w:pPr>
          </w:p>
        </w:tc>
        <w:tc>
          <w:tcPr>
            <w:tcW w:w="2344" w:type="dxa"/>
            <w:shd w:val="clear" w:color="auto" w:fill="D9D9D9" w:themeFill="background1" w:themeFillShade="D9"/>
            <w:noWrap/>
            <w:vAlign w:val="bottom"/>
            <w:hideMark/>
          </w:tcPr>
          <w:p w14:paraId="6CB5C758" w14:textId="77777777" w:rsidR="00F303E0" w:rsidRPr="00EE5714" w:rsidRDefault="00F303E0" w:rsidP="007D7A46">
            <w:pPr>
              <w:spacing w:after="0" w:line="240" w:lineRule="auto"/>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EDC TOTAL</w:t>
            </w:r>
          </w:p>
        </w:tc>
        <w:tc>
          <w:tcPr>
            <w:tcW w:w="1976" w:type="dxa"/>
            <w:shd w:val="clear" w:color="auto" w:fill="D9D9D9" w:themeFill="background1" w:themeFillShade="D9"/>
            <w:noWrap/>
            <w:vAlign w:val="center"/>
            <w:hideMark/>
          </w:tcPr>
          <w:p w14:paraId="14AD7661" w14:textId="77777777" w:rsidR="00F303E0" w:rsidRPr="00EE5714" w:rsidRDefault="00F303E0" w:rsidP="007D7A46">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-$61,657,570</w:t>
            </w:r>
          </w:p>
        </w:tc>
      </w:tr>
    </w:tbl>
    <w:p w14:paraId="5636254A" w14:textId="77777777" w:rsidR="00F303E0" w:rsidRDefault="00F303E0" w:rsidP="00500E02">
      <w:pPr>
        <w:pStyle w:val="NoSpacing"/>
        <w:rPr>
          <w:rFonts w:cs="Times New Roman"/>
          <w:szCs w:val="26"/>
        </w:rPr>
      </w:pPr>
    </w:p>
    <w:p w14:paraId="49D95ACA" w14:textId="77777777" w:rsidR="00792D41" w:rsidRPr="00EE5714" w:rsidRDefault="00792D41" w:rsidP="00500E02">
      <w:pPr>
        <w:pStyle w:val="NoSpacing"/>
        <w:rPr>
          <w:rFonts w:cs="Times New Roman"/>
          <w:szCs w:val="26"/>
        </w:rPr>
      </w:pPr>
    </w:p>
    <w:p w14:paraId="7641605F" w14:textId="6EEBAFDD" w:rsidR="00481198" w:rsidRPr="00EE5714" w:rsidRDefault="00481198" w:rsidP="0009098D">
      <w:pPr>
        <w:pStyle w:val="NoSpacing"/>
        <w:keepNext/>
        <w:rPr>
          <w:rFonts w:cs="Times New Roman"/>
          <w:i/>
          <w:color w:val="000000" w:themeColor="text1"/>
          <w:szCs w:val="26"/>
        </w:rPr>
      </w:pPr>
      <w:r w:rsidRPr="00EE5714">
        <w:rPr>
          <w:rFonts w:cs="Times New Roman"/>
          <w:i/>
          <w:color w:val="000000" w:themeColor="text1"/>
          <w:szCs w:val="26"/>
        </w:rPr>
        <w:t>Appendix 9.</w:t>
      </w:r>
      <w:r w:rsidR="004655B9" w:rsidRPr="00EE5714">
        <w:rPr>
          <w:rFonts w:cs="Times New Roman"/>
          <w:i/>
          <w:color w:val="000000" w:themeColor="text1"/>
          <w:szCs w:val="26"/>
        </w:rPr>
        <w:t>L</w:t>
      </w:r>
      <w:r w:rsidRPr="00EE5714">
        <w:rPr>
          <w:rFonts w:cs="Times New Roman"/>
          <w:i/>
          <w:color w:val="000000" w:themeColor="text1"/>
          <w:szCs w:val="26"/>
        </w:rPr>
        <w:t xml:space="preserve">: Table 1-2 </w:t>
      </w:r>
      <w:r w:rsidR="00837E69" w:rsidRPr="00EE5714">
        <w:rPr>
          <w:rFonts w:cs="Times New Roman"/>
          <w:i/>
          <w:color w:val="000000" w:themeColor="text1"/>
          <w:szCs w:val="26"/>
        </w:rPr>
        <w:t>NGDC and EDC</w:t>
      </w:r>
      <w:r w:rsidRPr="00EE5714">
        <w:rPr>
          <w:rFonts w:cs="Times New Roman"/>
          <w:i/>
          <w:color w:val="000000" w:themeColor="text1"/>
          <w:szCs w:val="26"/>
        </w:rPr>
        <w:t xml:space="preserve"> Energy Usage</w:t>
      </w:r>
      <w:r w:rsidR="00837E69" w:rsidRPr="00EE5714">
        <w:rPr>
          <w:rFonts w:cs="Times New Roman"/>
          <w:i/>
          <w:color w:val="000000" w:themeColor="text1"/>
          <w:szCs w:val="26"/>
        </w:rPr>
        <w:t>/Demand</w:t>
      </w:r>
      <w:r w:rsidRPr="00EE5714">
        <w:rPr>
          <w:rFonts w:cs="Times New Roman"/>
          <w:i/>
          <w:color w:val="000000" w:themeColor="text1"/>
          <w:szCs w:val="26"/>
        </w:rPr>
        <w:t xml:space="preserve"> Forecasts</w:t>
      </w:r>
    </w:p>
    <w:p w14:paraId="451B0A35" w14:textId="77777777" w:rsidR="00481198" w:rsidRPr="00EE5714" w:rsidRDefault="00481198" w:rsidP="0009098D">
      <w:pPr>
        <w:pStyle w:val="NoSpacing"/>
        <w:keepNext/>
        <w:rPr>
          <w:rFonts w:cs="Times New Roman"/>
          <w:i/>
          <w:color w:val="000000" w:themeColor="text1"/>
          <w:szCs w:val="26"/>
        </w:rPr>
      </w:pPr>
    </w:p>
    <w:p w14:paraId="39636A19" w14:textId="7A23EAB5" w:rsidR="00837E69" w:rsidRPr="00EE5714" w:rsidRDefault="00837E69" w:rsidP="00837E69">
      <w:pPr>
        <w:pStyle w:val="NoSpacing"/>
        <w:keepNext/>
        <w:rPr>
          <w:rFonts w:cs="Times New Roman"/>
          <w:b/>
          <w:szCs w:val="26"/>
        </w:rPr>
      </w:pPr>
      <w:r w:rsidRPr="00EE5714">
        <w:rPr>
          <w:rFonts w:cs="Times New Roman"/>
          <w:szCs w:val="26"/>
        </w:rPr>
        <w:t>Appendix 9.</w:t>
      </w:r>
      <w:r w:rsidR="004655B9" w:rsidRPr="00EE5714">
        <w:rPr>
          <w:rFonts w:cs="Times New Roman"/>
          <w:szCs w:val="26"/>
        </w:rPr>
        <w:t>L</w:t>
      </w:r>
      <w:r w:rsidRPr="00EE5714">
        <w:rPr>
          <w:rFonts w:cs="Times New Roman"/>
          <w:szCs w:val="26"/>
        </w:rPr>
        <w:t>.</w:t>
      </w:r>
      <w:r w:rsidR="00610BDE" w:rsidRPr="00EE5714">
        <w:rPr>
          <w:rFonts w:cs="Times New Roman"/>
          <w:szCs w:val="26"/>
        </w:rPr>
        <w:t>1</w:t>
      </w:r>
      <w:r w:rsidRPr="00EE5714">
        <w:rPr>
          <w:rFonts w:cs="Times New Roman"/>
          <w:szCs w:val="26"/>
        </w:rPr>
        <w:t>:</w:t>
      </w:r>
      <w:r w:rsidRPr="00EE5714">
        <w:rPr>
          <w:rFonts w:cs="Times New Roman"/>
          <w:b/>
          <w:szCs w:val="26"/>
        </w:rPr>
        <w:t xml:space="preserve"> Residential Natural Gas Usage Forecasts</w:t>
      </w:r>
    </w:p>
    <w:tbl>
      <w:tblPr>
        <w:tblW w:w="8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232"/>
        <w:gridCol w:w="887"/>
        <w:gridCol w:w="887"/>
        <w:gridCol w:w="887"/>
        <w:gridCol w:w="887"/>
        <w:gridCol w:w="887"/>
        <w:gridCol w:w="1580"/>
      </w:tblGrid>
      <w:tr w:rsidR="00837E69" w:rsidRPr="00EE5714" w14:paraId="61436088" w14:textId="77777777" w:rsidTr="00A27ADB">
        <w:trPr>
          <w:trHeight w:val="300"/>
        </w:trPr>
        <w:tc>
          <w:tcPr>
            <w:tcW w:w="1615" w:type="dxa"/>
            <w:shd w:val="clear" w:color="auto" w:fill="auto"/>
            <w:noWrap/>
            <w:vAlign w:val="bottom"/>
            <w:hideMark/>
          </w:tcPr>
          <w:p w14:paraId="35EA0891" w14:textId="77777777" w:rsidR="00837E69" w:rsidRPr="00EE5714" w:rsidRDefault="00837E69" w:rsidP="00A27ADB">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5667" w:type="dxa"/>
            <w:gridSpan w:val="6"/>
            <w:shd w:val="clear" w:color="auto" w:fill="auto"/>
            <w:noWrap/>
            <w:vAlign w:val="bottom"/>
            <w:hideMark/>
          </w:tcPr>
          <w:p w14:paraId="6E576117" w14:textId="77777777" w:rsidR="00837E69" w:rsidRPr="00EE5714" w:rsidRDefault="00837E69" w:rsidP="00A27ADB">
            <w:pPr>
              <w:keepNext/>
              <w:spacing w:after="0" w:line="240" w:lineRule="auto"/>
              <w:rPr>
                <w:rFonts w:ascii="Calibri" w:eastAsia="Times New Roman" w:hAnsi="Calibri" w:cs="Calibri"/>
                <w:b/>
                <w:bCs/>
                <w:color w:val="000000"/>
              </w:rPr>
            </w:pPr>
            <w:r w:rsidRPr="00EE5714">
              <w:rPr>
                <w:rFonts w:ascii="Calibri" w:eastAsia="Times New Roman" w:hAnsi="Calibri" w:cs="Calibri"/>
                <w:b/>
                <w:bCs/>
                <w:color w:val="000000"/>
              </w:rPr>
              <w:t xml:space="preserve">Retail Residential Gas Usage (Firm Sales) Forecast in </w:t>
            </w:r>
            <w:proofErr w:type="spellStart"/>
            <w:r w:rsidRPr="00EE5714">
              <w:rPr>
                <w:rFonts w:ascii="Calibri" w:eastAsia="Times New Roman" w:hAnsi="Calibri" w:cs="Calibri"/>
                <w:b/>
                <w:bCs/>
                <w:color w:val="000000"/>
              </w:rPr>
              <w:t>Mmcf</w:t>
            </w:r>
            <w:proofErr w:type="spellEnd"/>
          </w:p>
        </w:tc>
        <w:tc>
          <w:tcPr>
            <w:tcW w:w="1580" w:type="dxa"/>
            <w:shd w:val="clear" w:color="auto" w:fill="auto"/>
            <w:noWrap/>
            <w:vAlign w:val="bottom"/>
            <w:hideMark/>
          </w:tcPr>
          <w:p w14:paraId="293494F6" w14:textId="77777777" w:rsidR="00837E69" w:rsidRPr="00EE5714" w:rsidRDefault="00837E69" w:rsidP="00A27ADB">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2016-2021</w:t>
            </w:r>
          </w:p>
        </w:tc>
      </w:tr>
      <w:tr w:rsidR="00837E69" w:rsidRPr="00EE5714" w14:paraId="5DF8ACAA" w14:textId="77777777" w:rsidTr="00A27ADB">
        <w:trPr>
          <w:trHeight w:val="300"/>
        </w:trPr>
        <w:tc>
          <w:tcPr>
            <w:tcW w:w="1615" w:type="dxa"/>
            <w:shd w:val="clear" w:color="auto" w:fill="auto"/>
            <w:noWrap/>
            <w:vAlign w:val="center"/>
            <w:hideMark/>
          </w:tcPr>
          <w:p w14:paraId="70DB1FF7" w14:textId="77777777" w:rsidR="00837E69" w:rsidRPr="00EE5714" w:rsidRDefault="00837E69" w:rsidP="00A27ADB">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Utility:</w:t>
            </w:r>
          </w:p>
        </w:tc>
        <w:tc>
          <w:tcPr>
            <w:tcW w:w="1232" w:type="dxa"/>
            <w:shd w:val="clear" w:color="auto" w:fill="auto"/>
            <w:noWrap/>
            <w:vAlign w:val="center"/>
            <w:hideMark/>
          </w:tcPr>
          <w:p w14:paraId="2166296A" w14:textId="77777777" w:rsidR="00837E69" w:rsidRPr="00EE5714" w:rsidRDefault="00837E69" w:rsidP="00A27ADB">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2016*</w:t>
            </w:r>
          </w:p>
        </w:tc>
        <w:tc>
          <w:tcPr>
            <w:tcW w:w="887" w:type="dxa"/>
            <w:shd w:val="clear" w:color="auto" w:fill="auto"/>
            <w:noWrap/>
            <w:vAlign w:val="center"/>
            <w:hideMark/>
          </w:tcPr>
          <w:p w14:paraId="674F8386" w14:textId="77777777" w:rsidR="00837E69" w:rsidRPr="00EE5714" w:rsidRDefault="00837E69" w:rsidP="00A27ADB">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2017*</w:t>
            </w:r>
          </w:p>
        </w:tc>
        <w:tc>
          <w:tcPr>
            <w:tcW w:w="887" w:type="dxa"/>
            <w:shd w:val="clear" w:color="auto" w:fill="auto"/>
            <w:noWrap/>
            <w:vAlign w:val="center"/>
            <w:hideMark/>
          </w:tcPr>
          <w:p w14:paraId="70759879" w14:textId="77777777" w:rsidR="00837E69" w:rsidRPr="00EE5714" w:rsidRDefault="00837E69" w:rsidP="00A27ADB">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2018</w:t>
            </w:r>
          </w:p>
        </w:tc>
        <w:tc>
          <w:tcPr>
            <w:tcW w:w="887" w:type="dxa"/>
            <w:shd w:val="clear" w:color="auto" w:fill="auto"/>
            <w:noWrap/>
            <w:vAlign w:val="center"/>
            <w:hideMark/>
          </w:tcPr>
          <w:p w14:paraId="6A675044" w14:textId="77777777" w:rsidR="00837E69" w:rsidRPr="00EE5714" w:rsidRDefault="00837E69" w:rsidP="00A27ADB">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2019</w:t>
            </w:r>
          </w:p>
        </w:tc>
        <w:tc>
          <w:tcPr>
            <w:tcW w:w="887" w:type="dxa"/>
            <w:shd w:val="clear" w:color="auto" w:fill="auto"/>
            <w:noWrap/>
            <w:vAlign w:val="center"/>
            <w:hideMark/>
          </w:tcPr>
          <w:p w14:paraId="187F39B7" w14:textId="77777777" w:rsidR="00837E69" w:rsidRPr="00EE5714" w:rsidRDefault="00837E69" w:rsidP="00A27ADB">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2020</w:t>
            </w:r>
          </w:p>
        </w:tc>
        <w:tc>
          <w:tcPr>
            <w:tcW w:w="887" w:type="dxa"/>
            <w:shd w:val="clear" w:color="auto" w:fill="auto"/>
            <w:noWrap/>
            <w:vAlign w:val="center"/>
            <w:hideMark/>
          </w:tcPr>
          <w:p w14:paraId="63D5E25E" w14:textId="77777777" w:rsidR="00837E69" w:rsidRPr="00EE5714" w:rsidRDefault="00837E69" w:rsidP="00A27ADB">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2021</w:t>
            </w:r>
          </w:p>
        </w:tc>
        <w:tc>
          <w:tcPr>
            <w:tcW w:w="1580" w:type="dxa"/>
            <w:shd w:val="clear" w:color="auto" w:fill="auto"/>
            <w:noWrap/>
            <w:vAlign w:val="center"/>
            <w:hideMark/>
          </w:tcPr>
          <w:p w14:paraId="1F5A1587" w14:textId="77777777" w:rsidR="00837E69" w:rsidRPr="00EE5714" w:rsidRDefault="00837E69" w:rsidP="00A27ADB">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Percent Change</w:t>
            </w:r>
          </w:p>
        </w:tc>
      </w:tr>
      <w:tr w:rsidR="00837E69" w:rsidRPr="00EE5714" w14:paraId="0E28158E" w14:textId="77777777" w:rsidTr="00A27ADB">
        <w:trPr>
          <w:trHeight w:val="300"/>
        </w:trPr>
        <w:tc>
          <w:tcPr>
            <w:tcW w:w="1615" w:type="dxa"/>
            <w:shd w:val="clear" w:color="auto" w:fill="auto"/>
            <w:noWrap/>
            <w:vAlign w:val="bottom"/>
            <w:hideMark/>
          </w:tcPr>
          <w:p w14:paraId="2804E0AF" w14:textId="77777777" w:rsidR="00837E69" w:rsidRPr="00EE5714" w:rsidRDefault="00837E69" w:rsidP="00A27ADB">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Columbia</w:t>
            </w:r>
          </w:p>
        </w:tc>
        <w:tc>
          <w:tcPr>
            <w:tcW w:w="1232" w:type="dxa"/>
            <w:shd w:val="clear" w:color="auto" w:fill="auto"/>
            <w:noWrap/>
            <w:vAlign w:val="bottom"/>
            <w:hideMark/>
          </w:tcPr>
          <w:p w14:paraId="5E2C54C4"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24,389</w:t>
            </w:r>
          </w:p>
        </w:tc>
        <w:tc>
          <w:tcPr>
            <w:tcW w:w="887" w:type="dxa"/>
            <w:shd w:val="clear" w:color="auto" w:fill="auto"/>
            <w:noWrap/>
            <w:vAlign w:val="bottom"/>
            <w:hideMark/>
          </w:tcPr>
          <w:p w14:paraId="65BCD012"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24,984</w:t>
            </w:r>
          </w:p>
        </w:tc>
        <w:tc>
          <w:tcPr>
            <w:tcW w:w="887" w:type="dxa"/>
            <w:shd w:val="clear" w:color="auto" w:fill="auto"/>
            <w:noWrap/>
            <w:vAlign w:val="bottom"/>
            <w:hideMark/>
          </w:tcPr>
          <w:p w14:paraId="17873FD2"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23,520</w:t>
            </w:r>
          </w:p>
        </w:tc>
        <w:tc>
          <w:tcPr>
            <w:tcW w:w="887" w:type="dxa"/>
            <w:shd w:val="clear" w:color="auto" w:fill="auto"/>
            <w:noWrap/>
            <w:vAlign w:val="bottom"/>
            <w:hideMark/>
          </w:tcPr>
          <w:p w14:paraId="3AA829BD"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23,617</w:t>
            </w:r>
          </w:p>
        </w:tc>
        <w:tc>
          <w:tcPr>
            <w:tcW w:w="887" w:type="dxa"/>
            <w:shd w:val="clear" w:color="auto" w:fill="auto"/>
            <w:noWrap/>
            <w:vAlign w:val="bottom"/>
            <w:hideMark/>
          </w:tcPr>
          <w:p w14:paraId="60561851"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23,737</w:t>
            </w:r>
          </w:p>
        </w:tc>
        <w:tc>
          <w:tcPr>
            <w:tcW w:w="887" w:type="dxa"/>
            <w:shd w:val="clear" w:color="auto" w:fill="auto"/>
            <w:noWrap/>
            <w:vAlign w:val="bottom"/>
            <w:hideMark/>
          </w:tcPr>
          <w:p w14:paraId="61EFC167"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23,891</w:t>
            </w:r>
          </w:p>
        </w:tc>
        <w:tc>
          <w:tcPr>
            <w:tcW w:w="1580" w:type="dxa"/>
            <w:shd w:val="clear" w:color="auto" w:fill="auto"/>
            <w:noWrap/>
            <w:vAlign w:val="bottom"/>
            <w:hideMark/>
          </w:tcPr>
          <w:p w14:paraId="45DB6E6D"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-2.1%</w:t>
            </w:r>
          </w:p>
        </w:tc>
      </w:tr>
      <w:tr w:rsidR="00837E69" w:rsidRPr="00EE5714" w14:paraId="5BBDC793" w14:textId="77777777" w:rsidTr="00A27ADB">
        <w:trPr>
          <w:trHeight w:val="300"/>
        </w:trPr>
        <w:tc>
          <w:tcPr>
            <w:tcW w:w="1615" w:type="dxa"/>
            <w:shd w:val="clear" w:color="auto" w:fill="auto"/>
            <w:noWrap/>
            <w:vAlign w:val="bottom"/>
            <w:hideMark/>
          </w:tcPr>
          <w:p w14:paraId="32CFA6C7" w14:textId="77777777" w:rsidR="00837E69" w:rsidRPr="00EE5714" w:rsidRDefault="00837E69" w:rsidP="00A27ADB">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NFG</w:t>
            </w:r>
          </w:p>
        </w:tc>
        <w:tc>
          <w:tcPr>
            <w:tcW w:w="1232" w:type="dxa"/>
            <w:shd w:val="clear" w:color="auto" w:fill="auto"/>
            <w:noWrap/>
            <w:vAlign w:val="bottom"/>
            <w:hideMark/>
          </w:tcPr>
          <w:p w14:paraId="633DF0FD"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15,556</w:t>
            </w:r>
          </w:p>
        </w:tc>
        <w:tc>
          <w:tcPr>
            <w:tcW w:w="887" w:type="dxa"/>
            <w:shd w:val="clear" w:color="auto" w:fill="auto"/>
            <w:noWrap/>
            <w:vAlign w:val="bottom"/>
            <w:hideMark/>
          </w:tcPr>
          <w:p w14:paraId="5A530BCD"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15,602</w:t>
            </w:r>
          </w:p>
        </w:tc>
        <w:tc>
          <w:tcPr>
            <w:tcW w:w="887" w:type="dxa"/>
            <w:shd w:val="clear" w:color="auto" w:fill="auto"/>
            <w:noWrap/>
            <w:vAlign w:val="bottom"/>
            <w:hideMark/>
          </w:tcPr>
          <w:p w14:paraId="3EF894E9"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17,425</w:t>
            </w:r>
          </w:p>
        </w:tc>
        <w:tc>
          <w:tcPr>
            <w:tcW w:w="887" w:type="dxa"/>
            <w:shd w:val="clear" w:color="auto" w:fill="auto"/>
            <w:noWrap/>
            <w:vAlign w:val="bottom"/>
            <w:hideMark/>
          </w:tcPr>
          <w:p w14:paraId="61757586"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17,529</w:t>
            </w:r>
          </w:p>
        </w:tc>
        <w:tc>
          <w:tcPr>
            <w:tcW w:w="887" w:type="dxa"/>
            <w:shd w:val="clear" w:color="auto" w:fill="auto"/>
            <w:noWrap/>
            <w:vAlign w:val="bottom"/>
            <w:hideMark/>
          </w:tcPr>
          <w:p w14:paraId="722A8F6F"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17,652</w:t>
            </w:r>
          </w:p>
        </w:tc>
        <w:tc>
          <w:tcPr>
            <w:tcW w:w="887" w:type="dxa"/>
            <w:shd w:val="clear" w:color="auto" w:fill="auto"/>
            <w:noWrap/>
            <w:vAlign w:val="bottom"/>
            <w:hideMark/>
          </w:tcPr>
          <w:p w14:paraId="65CD9BE5"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17,671</w:t>
            </w:r>
          </w:p>
        </w:tc>
        <w:tc>
          <w:tcPr>
            <w:tcW w:w="1580" w:type="dxa"/>
            <w:shd w:val="clear" w:color="auto" w:fill="auto"/>
            <w:noWrap/>
            <w:vAlign w:val="bottom"/>
            <w:hideMark/>
          </w:tcPr>
          <w:p w14:paraId="1BE282BA"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13.6%</w:t>
            </w:r>
          </w:p>
        </w:tc>
      </w:tr>
      <w:tr w:rsidR="00837E69" w:rsidRPr="00EE5714" w14:paraId="366144FB" w14:textId="77777777" w:rsidTr="00A27ADB">
        <w:trPr>
          <w:trHeight w:val="300"/>
        </w:trPr>
        <w:tc>
          <w:tcPr>
            <w:tcW w:w="1615" w:type="dxa"/>
            <w:shd w:val="clear" w:color="auto" w:fill="auto"/>
            <w:noWrap/>
            <w:vAlign w:val="bottom"/>
            <w:hideMark/>
          </w:tcPr>
          <w:p w14:paraId="1A9E407A" w14:textId="77777777" w:rsidR="00837E69" w:rsidRPr="00EE5714" w:rsidRDefault="00837E69" w:rsidP="00A27ADB">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Peoples</w:t>
            </w:r>
          </w:p>
        </w:tc>
        <w:tc>
          <w:tcPr>
            <w:tcW w:w="1232" w:type="dxa"/>
            <w:shd w:val="clear" w:color="auto" w:fill="auto"/>
            <w:noWrap/>
            <w:vAlign w:val="bottom"/>
            <w:hideMark/>
          </w:tcPr>
          <w:p w14:paraId="441C3547"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40,745</w:t>
            </w:r>
          </w:p>
        </w:tc>
        <w:tc>
          <w:tcPr>
            <w:tcW w:w="887" w:type="dxa"/>
            <w:shd w:val="clear" w:color="auto" w:fill="auto"/>
            <w:noWrap/>
            <w:vAlign w:val="bottom"/>
            <w:hideMark/>
          </w:tcPr>
          <w:p w14:paraId="0934BE09"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40,873</w:t>
            </w:r>
          </w:p>
        </w:tc>
        <w:tc>
          <w:tcPr>
            <w:tcW w:w="887" w:type="dxa"/>
            <w:shd w:val="clear" w:color="auto" w:fill="auto"/>
            <w:noWrap/>
            <w:vAlign w:val="bottom"/>
            <w:hideMark/>
          </w:tcPr>
          <w:p w14:paraId="476B1F8F"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41,781</w:t>
            </w:r>
          </w:p>
        </w:tc>
        <w:tc>
          <w:tcPr>
            <w:tcW w:w="887" w:type="dxa"/>
            <w:shd w:val="clear" w:color="auto" w:fill="auto"/>
            <w:noWrap/>
            <w:vAlign w:val="bottom"/>
            <w:hideMark/>
          </w:tcPr>
          <w:p w14:paraId="73A684F1"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41,885</w:t>
            </w:r>
          </w:p>
        </w:tc>
        <w:tc>
          <w:tcPr>
            <w:tcW w:w="887" w:type="dxa"/>
            <w:shd w:val="clear" w:color="auto" w:fill="auto"/>
            <w:noWrap/>
            <w:vAlign w:val="bottom"/>
            <w:hideMark/>
          </w:tcPr>
          <w:p w14:paraId="56470324"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41,011</w:t>
            </w:r>
          </w:p>
        </w:tc>
        <w:tc>
          <w:tcPr>
            <w:tcW w:w="887" w:type="dxa"/>
            <w:shd w:val="clear" w:color="auto" w:fill="auto"/>
            <w:noWrap/>
            <w:vAlign w:val="bottom"/>
            <w:hideMark/>
          </w:tcPr>
          <w:p w14:paraId="7D506400"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41,061</w:t>
            </w:r>
          </w:p>
        </w:tc>
        <w:tc>
          <w:tcPr>
            <w:tcW w:w="1580" w:type="dxa"/>
            <w:shd w:val="clear" w:color="auto" w:fill="auto"/>
            <w:noWrap/>
            <w:vAlign w:val="bottom"/>
            <w:hideMark/>
          </w:tcPr>
          <w:p w14:paraId="101951BC"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0.8%</w:t>
            </w:r>
          </w:p>
        </w:tc>
      </w:tr>
      <w:tr w:rsidR="00837E69" w:rsidRPr="00EE5714" w14:paraId="223FD662" w14:textId="77777777" w:rsidTr="00A27ADB">
        <w:trPr>
          <w:trHeight w:val="300"/>
        </w:trPr>
        <w:tc>
          <w:tcPr>
            <w:tcW w:w="1615" w:type="dxa"/>
            <w:shd w:val="clear" w:color="auto" w:fill="auto"/>
            <w:noWrap/>
            <w:vAlign w:val="bottom"/>
            <w:hideMark/>
          </w:tcPr>
          <w:p w14:paraId="4CA0270D" w14:textId="77777777" w:rsidR="00837E69" w:rsidRPr="00EE5714" w:rsidRDefault="00837E69" w:rsidP="00A27ADB">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EQT</w:t>
            </w:r>
          </w:p>
        </w:tc>
        <w:tc>
          <w:tcPr>
            <w:tcW w:w="7247" w:type="dxa"/>
            <w:gridSpan w:val="7"/>
            <w:shd w:val="clear" w:color="auto" w:fill="auto"/>
            <w:noWrap/>
            <w:vAlign w:val="bottom"/>
            <w:hideMark/>
          </w:tcPr>
          <w:p w14:paraId="3706FDB5" w14:textId="77777777" w:rsidR="00837E69" w:rsidRPr="00EE5714" w:rsidRDefault="00837E69" w:rsidP="00A27ADB">
            <w:pPr>
              <w:keepNext/>
              <w:spacing w:after="0" w:line="240" w:lineRule="auto"/>
              <w:jc w:val="center"/>
              <w:rPr>
                <w:rFonts w:ascii="Calibri" w:eastAsia="Times New Roman" w:hAnsi="Calibri" w:cs="Calibri"/>
                <w:color w:val="000000"/>
              </w:rPr>
            </w:pPr>
            <w:r w:rsidRPr="00EE5714">
              <w:rPr>
                <w:rFonts w:ascii="Calibri" w:eastAsia="Times New Roman" w:hAnsi="Calibri" w:cs="Calibri"/>
                <w:color w:val="000000"/>
              </w:rPr>
              <w:t>(</w:t>
            </w:r>
            <w:r w:rsidR="00662B1B" w:rsidRPr="00EE5714">
              <w:rPr>
                <w:rFonts w:ascii="Calibri" w:eastAsia="Times New Roman" w:hAnsi="Calibri" w:cs="Calibri"/>
                <w:color w:val="000000"/>
              </w:rPr>
              <w:t>C</w:t>
            </w:r>
            <w:r w:rsidRPr="00EE5714">
              <w:rPr>
                <w:rFonts w:ascii="Calibri" w:eastAsia="Times New Roman" w:hAnsi="Calibri" w:cs="Calibri"/>
                <w:color w:val="000000"/>
              </w:rPr>
              <w:t>ombined with Peoples)</w:t>
            </w:r>
          </w:p>
        </w:tc>
      </w:tr>
      <w:tr w:rsidR="00837E69" w:rsidRPr="00EE5714" w14:paraId="7901C17E" w14:textId="77777777" w:rsidTr="00A27ADB">
        <w:trPr>
          <w:trHeight w:val="300"/>
        </w:trPr>
        <w:tc>
          <w:tcPr>
            <w:tcW w:w="1615" w:type="dxa"/>
            <w:shd w:val="clear" w:color="auto" w:fill="auto"/>
            <w:noWrap/>
            <w:vAlign w:val="bottom"/>
            <w:hideMark/>
          </w:tcPr>
          <w:p w14:paraId="061027F9" w14:textId="77777777" w:rsidR="00837E69" w:rsidRPr="00EE5714" w:rsidRDefault="00837E69" w:rsidP="00A27ADB">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PGW</w:t>
            </w:r>
          </w:p>
        </w:tc>
        <w:tc>
          <w:tcPr>
            <w:tcW w:w="1232" w:type="dxa"/>
            <w:shd w:val="clear" w:color="auto" w:fill="auto"/>
            <w:noWrap/>
            <w:vAlign w:val="bottom"/>
            <w:hideMark/>
          </w:tcPr>
          <w:p w14:paraId="34DA420A"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30,604</w:t>
            </w:r>
          </w:p>
        </w:tc>
        <w:tc>
          <w:tcPr>
            <w:tcW w:w="887" w:type="dxa"/>
            <w:shd w:val="clear" w:color="auto" w:fill="auto"/>
            <w:noWrap/>
            <w:vAlign w:val="bottom"/>
            <w:hideMark/>
          </w:tcPr>
          <w:p w14:paraId="34245785"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32,668</w:t>
            </w:r>
          </w:p>
        </w:tc>
        <w:tc>
          <w:tcPr>
            <w:tcW w:w="887" w:type="dxa"/>
            <w:shd w:val="clear" w:color="auto" w:fill="auto"/>
            <w:noWrap/>
            <w:vAlign w:val="bottom"/>
            <w:hideMark/>
          </w:tcPr>
          <w:p w14:paraId="713E53A5"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35,189</w:t>
            </w:r>
          </w:p>
        </w:tc>
        <w:tc>
          <w:tcPr>
            <w:tcW w:w="887" w:type="dxa"/>
            <w:shd w:val="clear" w:color="auto" w:fill="auto"/>
            <w:noWrap/>
            <w:vAlign w:val="bottom"/>
            <w:hideMark/>
          </w:tcPr>
          <w:p w14:paraId="7F1BC1F8"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35,131</w:t>
            </w:r>
          </w:p>
        </w:tc>
        <w:tc>
          <w:tcPr>
            <w:tcW w:w="887" w:type="dxa"/>
            <w:shd w:val="clear" w:color="auto" w:fill="auto"/>
            <w:noWrap/>
            <w:vAlign w:val="bottom"/>
            <w:hideMark/>
          </w:tcPr>
          <w:p w14:paraId="66ED4FFC"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35,382</w:t>
            </w:r>
          </w:p>
        </w:tc>
        <w:tc>
          <w:tcPr>
            <w:tcW w:w="887" w:type="dxa"/>
            <w:shd w:val="clear" w:color="auto" w:fill="auto"/>
            <w:noWrap/>
            <w:vAlign w:val="bottom"/>
            <w:hideMark/>
          </w:tcPr>
          <w:p w14:paraId="3922715B"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35,595</w:t>
            </w:r>
          </w:p>
        </w:tc>
        <w:tc>
          <w:tcPr>
            <w:tcW w:w="1580" w:type="dxa"/>
            <w:shd w:val="clear" w:color="auto" w:fill="auto"/>
            <w:noWrap/>
            <w:vAlign w:val="bottom"/>
            <w:hideMark/>
          </w:tcPr>
          <w:p w14:paraId="79637EBB"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16.3%</w:t>
            </w:r>
          </w:p>
        </w:tc>
      </w:tr>
      <w:tr w:rsidR="00837E69" w:rsidRPr="00EE5714" w14:paraId="7F75F0FA" w14:textId="77777777" w:rsidTr="00A27ADB">
        <w:trPr>
          <w:trHeight w:val="300"/>
        </w:trPr>
        <w:tc>
          <w:tcPr>
            <w:tcW w:w="1615" w:type="dxa"/>
            <w:shd w:val="clear" w:color="auto" w:fill="auto"/>
            <w:noWrap/>
            <w:vAlign w:val="bottom"/>
            <w:hideMark/>
          </w:tcPr>
          <w:p w14:paraId="5368FED3" w14:textId="77777777" w:rsidR="00837E69" w:rsidRPr="00EE5714" w:rsidRDefault="00837E69" w:rsidP="00A27ADB">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UGI Gas</w:t>
            </w:r>
          </w:p>
        </w:tc>
        <w:tc>
          <w:tcPr>
            <w:tcW w:w="1232" w:type="dxa"/>
            <w:shd w:val="clear" w:color="auto" w:fill="auto"/>
            <w:noWrap/>
            <w:vAlign w:val="bottom"/>
            <w:hideMark/>
          </w:tcPr>
          <w:p w14:paraId="7E04CED3"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20,096</w:t>
            </w:r>
          </w:p>
        </w:tc>
        <w:tc>
          <w:tcPr>
            <w:tcW w:w="887" w:type="dxa"/>
            <w:shd w:val="clear" w:color="auto" w:fill="auto"/>
            <w:noWrap/>
            <w:vAlign w:val="bottom"/>
            <w:hideMark/>
          </w:tcPr>
          <w:p w14:paraId="197F5D41"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20,609</w:t>
            </w:r>
          </w:p>
        </w:tc>
        <w:tc>
          <w:tcPr>
            <w:tcW w:w="887" w:type="dxa"/>
            <w:shd w:val="clear" w:color="auto" w:fill="auto"/>
            <w:noWrap/>
            <w:vAlign w:val="bottom"/>
            <w:hideMark/>
          </w:tcPr>
          <w:p w14:paraId="46294FF8"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22,551</w:t>
            </w:r>
          </w:p>
        </w:tc>
        <w:tc>
          <w:tcPr>
            <w:tcW w:w="887" w:type="dxa"/>
            <w:shd w:val="clear" w:color="auto" w:fill="auto"/>
            <w:noWrap/>
            <w:vAlign w:val="bottom"/>
            <w:hideMark/>
          </w:tcPr>
          <w:p w14:paraId="39EDB044"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23,174</w:t>
            </w:r>
          </w:p>
        </w:tc>
        <w:tc>
          <w:tcPr>
            <w:tcW w:w="887" w:type="dxa"/>
            <w:shd w:val="clear" w:color="auto" w:fill="auto"/>
            <w:noWrap/>
            <w:vAlign w:val="bottom"/>
            <w:hideMark/>
          </w:tcPr>
          <w:p w14:paraId="6E8FEC01"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23,815</w:t>
            </w:r>
          </w:p>
        </w:tc>
        <w:tc>
          <w:tcPr>
            <w:tcW w:w="887" w:type="dxa"/>
            <w:shd w:val="clear" w:color="auto" w:fill="auto"/>
            <w:noWrap/>
            <w:vAlign w:val="bottom"/>
            <w:hideMark/>
          </w:tcPr>
          <w:p w14:paraId="225DD142"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24,461</w:t>
            </w:r>
          </w:p>
        </w:tc>
        <w:tc>
          <w:tcPr>
            <w:tcW w:w="1580" w:type="dxa"/>
            <w:shd w:val="clear" w:color="auto" w:fill="auto"/>
            <w:noWrap/>
            <w:vAlign w:val="bottom"/>
            <w:hideMark/>
          </w:tcPr>
          <w:p w14:paraId="0431A43A"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21.7%</w:t>
            </w:r>
          </w:p>
        </w:tc>
      </w:tr>
      <w:tr w:rsidR="00837E69" w:rsidRPr="00EE5714" w14:paraId="5386DC3D" w14:textId="77777777" w:rsidTr="00A27ADB">
        <w:trPr>
          <w:trHeight w:val="300"/>
        </w:trPr>
        <w:tc>
          <w:tcPr>
            <w:tcW w:w="1615" w:type="dxa"/>
            <w:shd w:val="clear" w:color="auto" w:fill="auto"/>
            <w:noWrap/>
            <w:vAlign w:val="bottom"/>
            <w:hideMark/>
          </w:tcPr>
          <w:p w14:paraId="6AAA9197" w14:textId="77777777" w:rsidR="00837E69" w:rsidRPr="00EE5714" w:rsidRDefault="00837E69" w:rsidP="00A27ADB">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UGI PNG</w:t>
            </w:r>
          </w:p>
        </w:tc>
        <w:tc>
          <w:tcPr>
            <w:tcW w:w="1232" w:type="dxa"/>
            <w:shd w:val="clear" w:color="auto" w:fill="auto"/>
            <w:noWrap/>
            <w:vAlign w:val="bottom"/>
            <w:hideMark/>
          </w:tcPr>
          <w:p w14:paraId="2CA047EA"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15,160</w:t>
            </w:r>
          </w:p>
        </w:tc>
        <w:tc>
          <w:tcPr>
            <w:tcW w:w="887" w:type="dxa"/>
            <w:shd w:val="clear" w:color="auto" w:fill="auto"/>
            <w:noWrap/>
            <w:vAlign w:val="bottom"/>
            <w:hideMark/>
          </w:tcPr>
          <w:p w14:paraId="1BF3B1BA"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14,880</w:t>
            </w:r>
          </w:p>
        </w:tc>
        <w:tc>
          <w:tcPr>
            <w:tcW w:w="887" w:type="dxa"/>
            <w:shd w:val="clear" w:color="auto" w:fill="auto"/>
            <w:noWrap/>
            <w:vAlign w:val="bottom"/>
            <w:hideMark/>
          </w:tcPr>
          <w:p w14:paraId="6EF5FE9D"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16,844</w:t>
            </w:r>
          </w:p>
        </w:tc>
        <w:tc>
          <w:tcPr>
            <w:tcW w:w="887" w:type="dxa"/>
            <w:shd w:val="clear" w:color="auto" w:fill="auto"/>
            <w:noWrap/>
            <w:vAlign w:val="bottom"/>
            <w:hideMark/>
          </w:tcPr>
          <w:p w14:paraId="6E35C944"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17,003</w:t>
            </w:r>
          </w:p>
        </w:tc>
        <w:tc>
          <w:tcPr>
            <w:tcW w:w="887" w:type="dxa"/>
            <w:shd w:val="clear" w:color="auto" w:fill="auto"/>
            <w:noWrap/>
            <w:vAlign w:val="bottom"/>
            <w:hideMark/>
          </w:tcPr>
          <w:p w14:paraId="207715D7"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17,138</w:t>
            </w:r>
          </w:p>
        </w:tc>
        <w:tc>
          <w:tcPr>
            <w:tcW w:w="887" w:type="dxa"/>
            <w:shd w:val="clear" w:color="auto" w:fill="auto"/>
            <w:noWrap/>
            <w:vAlign w:val="bottom"/>
            <w:hideMark/>
          </w:tcPr>
          <w:p w14:paraId="138D8E62"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17,319</w:t>
            </w:r>
          </w:p>
        </w:tc>
        <w:tc>
          <w:tcPr>
            <w:tcW w:w="1580" w:type="dxa"/>
            <w:shd w:val="clear" w:color="auto" w:fill="auto"/>
            <w:noWrap/>
            <w:vAlign w:val="bottom"/>
            <w:hideMark/>
          </w:tcPr>
          <w:p w14:paraId="389BFEB3"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14.2%</w:t>
            </w:r>
          </w:p>
        </w:tc>
      </w:tr>
      <w:tr w:rsidR="00837E69" w:rsidRPr="00EE5714" w14:paraId="11708690" w14:textId="77777777" w:rsidTr="00A27ADB">
        <w:trPr>
          <w:trHeight w:val="300"/>
        </w:trPr>
        <w:tc>
          <w:tcPr>
            <w:tcW w:w="1615" w:type="dxa"/>
            <w:shd w:val="clear" w:color="auto" w:fill="auto"/>
            <w:noWrap/>
            <w:vAlign w:val="bottom"/>
            <w:hideMark/>
          </w:tcPr>
          <w:p w14:paraId="77BBE760" w14:textId="77777777" w:rsidR="00837E69" w:rsidRPr="00EE5714" w:rsidRDefault="00837E69" w:rsidP="00A27ADB">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PECO Gas</w:t>
            </w:r>
          </w:p>
        </w:tc>
        <w:tc>
          <w:tcPr>
            <w:tcW w:w="1232" w:type="dxa"/>
            <w:shd w:val="clear" w:color="auto" w:fill="auto"/>
            <w:noWrap/>
            <w:vAlign w:val="bottom"/>
            <w:hideMark/>
          </w:tcPr>
          <w:p w14:paraId="7EA83832"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35,159</w:t>
            </w:r>
          </w:p>
        </w:tc>
        <w:tc>
          <w:tcPr>
            <w:tcW w:w="887" w:type="dxa"/>
            <w:shd w:val="clear" w:color="auto" w:fill="auto"/>
            <w:noWrap/>
            <w:vAlign w:val="bottom"/>
            <w:hideMark/>
          </w:tcPr>
          <w:p w14:paraId="1680CCC7"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37,918</w:t>
            </w:r>
          </w:p>
        </w:tc>
        <w:tc>
          <w:tcPr>
            <w:tcW w:w="887" w:type="dxa"/>
            <w:shd w:val="clear" w:color="auto" w:fill="auto"/>
            <w:noWrap/>
            <w:vAlign w:val="bottom"/>
            <w:hideMark/>
          </w:tcPr>
          <w:p w14:paraId="663CB672"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41,662</w:t>
            </w:r>
          </w:p>
        </w:tc>
        <w:tc>
          <w:tcPr>
            <w:tcW w:w="887" w:type="dxa"/>
            <w:shd w:val="clear" w:color="auto" w:fill="auto"/>
            <w:noWrap/>
            <w:vAlign w:val="bottom"/>
            <w:hideMark/>
          </w:tcPr>
          <w:p w14:paraId="4230308B"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41,886</w:t>
            </w:r>
          </w:p>
        </w:tc>
        <w:tc>
          <w:tcPr>
            <w:tcW w:w="887" w:type="dxa"/>
            <w:shd w:val="clear" w:color="auto" w:fill="auto"/>
            <w:noWrap/>
            <w:vAlign w:val="bottom"/>
            <w:hideMark/>
          </w:tcPr>
          <w:p w14:paraId="4DC32B5F"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42,265</w:t>
            </w:r>
          </w:p>
        </w:tc>
        <w:tc>
          <w:tcPr>
            <w:tcW w:w="887" w:type="dxa"/>
            <w:shd w:val="clear" w:color="auto" w:fill="auto"/>
            <w:noWrap/>
            <w:vAlign w:val="bottom"/>
            <w:hideMark/>
          </w:tcPr>
          <w:p w14:paraId="5363C469" w14:textId="77777777" w:rsidR="00837E69" w:rsidRPr="00EE5714" w:rsidRDefault="00837E69" w:rsidP="00A27ADB">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42,637</w:t>
            </w:r>
          </w:p>
        </w:tc>
        <w:tc>
          <w:tcPr>
            <w:tcW w:w="1580" w:type="dxa"/>
            <w:shd w:val="clear" w:color="auto" w:fill="auto"/>
            <w:noWrap/>
            <w:vAlign w:val="bottom"/>
            <w:hideMark/>
          </w:tcPr>
          <w:p w14:paraId="3572D560" w14:textId="77777777" w:rsidR="00837E69" w:rsidRPr="00EE5714" w:rsidRDefault="00837E69" w:rsidP="00A27ADB">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21.3%</w:t>
            </w:r>
          </w:p>
        </w:tc>
      </w:tr>
    </w:tbl>
    <w:p w14:paraId="0A74D0EF" w14:textId="0C18B306" w:rsidR="00837E69" w:rsidRPr="00A107FC" w:rsidRDefault="00B10C8F" w:rsidP="00837E69">
      <w:pPr>
        <w:pStyle w:val="NoSpacing"/>
        <w:rPr>
          <w:rFonts w:cs="Times New Roman"/>
          <w:color w:val="000000" w:themeColor="text1"/>
          <w:sz w:val="22"/>
          <w:szCs w:val="26"/>
        </w:rPr>
      </w:pPr>
      <w:r w:rsidRPr="00A107FC">
        <w:rPr>
          <w:rFonts w:ascii="Calibri" w:eastAsia="Times New Roman" w:hAnsi="Calibri" w:cs="Calibri"/>
          <w:color w:val="000000"/>
          <w:sz w:val="22"/>
        </w:rPr>
        <w:t>Source: 2018 Annual Resource Planning Reports (ARPR)</w:t>
      </w:r>
    </w:p>
    <w:p w14:paraId="6F5EC99B" w14:textId="77777777" w:rsidR="00B10C8F" w:rsidRPr="00EE5714" w:rsidRDefault="00B10C8F" w:rsidP="00B10C8F">
      <w:pPr>
        <w:spacing w:after="0" w:line="240" w:lineRule="auto"/>
        <w:rPr>
          <w:rFonts w:ascii="Calibri" w:eastAsia="Times New Roman" w:hAnsi="Calibri" w:cs="Calibri"/>
          <w:color w:val="000000"/>
        </w:rPr>
      </w:pPr>
      <w:r w:rsidRPr="00EE5714">
        <w:rPr>
          <w:rFonts w:ascii="Calibri" w:eastAsia="Times New Roman" w:hAnsi="Calibri" w:cs="Calibri"/>
          <w:color w:val="000000"/>
        </w:rPr>
        <w:t xml:space="preserve">*Actual Data </w:t>
      </w:r>
    </w:p>
    <w:p w14:paraId="21F8C560" w14:textId="77777777" w:rsidR="00071E2B" w:rsidRPr="00071E2B" w:rsidRDefault="00071E2B" w:rsidP="00071E2B">
      <w:pPr>
        <w:pStyle w:val="NoSpacing"/>
        <w:rPr>
          <w:rFonts w:cs="Times New Roman"/>
          <w:color w:val="000000" w:themeColor="text1"/>
          <w:szCs w:val="26"/>
        </w:rPr>
      </w:pPr>
    </w:p>
    <w:p w14:paraId="32F5BF50" w14:textId="77777777" w:rsidR="009307FA" w:rsidRPr="00EE5714" w:rsidRDefault="009307FA" w:rsidP="00837E69">
      <w:pPr>
        <w:pStyle w:val="NoSpacing"/>
        <w:rPr>
          <w:rFonts w:cs="Times New Roman"/>
          <w:color w:val="000000" w:themeColor="text1"/>
          <w:szCs w:val="26"/>
        </w:rPr>
      </w:pPr>
    </w:p>
    <w:p w14:paraId="3E8022E9" w14:textId="6CDDAB20" w:rsidR="00481198" w:rsidRPr="00EE5714" w:rsidRDefault="0005332D" w:rsidP="0009098D">
      <w:pPr>
        <w:pStyle w:val="NoSpacing"/>
        <w:keepNext/>
        <w:rPr>
          <w:rFonts w:cs="Times New Roman"/>
          <w:b/>
          <w:szCs w:val="26"/>
        </w:rPr>
      </w:pPr>
      <w:r w:rsidRPr="00EE5714">
        <w:rPr>
          <w:rFonts w:cs="Times New Roman"/>
          <w:szCs w:val="26"/>
        </w:rPr>
        <w:lastRenderedPageBreak/>
        <w:t>Appendix 9.</w:t>
      </w:r>
      <w:r w:rsidR="004655B9" w:rsidRPr="00EE5714">
        <w:rPr>
          <w:rFonts w:cs="Times New Roman"/>
          <w:szCs w:val="26"/>
        </w:rPr>
        <w:t>L</w:t>
      </w:r>
      <w:r w:rsidR="009C7818" w:rsidRPr="00EE5714">
        <w:rPr>
          <w:rFonts w:cs="Times New Roman"/>
          <w:szCs w:val="26"/>
        </w:rPr>
        <w:t>.</w:t>
      </w:r>
      <w:r w:rsidR="00610BDE" w:rsidRPr="00EE5714">
        <w:rPr>
          <w:rFonts w:cs="Times New Roman"/>
          <w:szCs w:val="26"/>
        </w:rPr>
        <w:t>2</w:t>
      </w:r>
      <w:r w:rsidR="009C7818" w:rsidRPr="00EE5714">
        <w:rPr>
          <w:rFonts w:cs="Times New Roman"/>
          <w:szCs w:val="26"/>
        </w:rPr>
        <w:t>:</w:t>
      </w:r>
      <w:r w:rsidR="009C7818" w:rsidRPr="00EE5714">
        <w:rPr>
          <w:rFonts w:cs="Times New Roman"/>
          <w:b/>
          <w:szCs w:val="26"/>
        </w:rPr>
        <w:t xml:space="preserve"> </w:t>
      </w:r>
      <w:r w:rsidR="00837E69" w:rsidRPr="00EE5714">
        <w:rPr>
          <w:rFonts w:cs="Times New Roman"/>
          <w:b/>
          <w:szCs w:val="26"/>
        </w:rPr>
        <w:t>Residential Electric Demand Forecasts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413"/>
        <w:gridCol w:w="829"/>
        <w:gridCol w:w="829"/>
        <w:gridCol w:w="829"/>
        <w:gridCol w:w="829"/>
        <w:gridCol w:w="829"/>
        <w:gridCol w:w="829"/>
        <w:gridCol w:w="1327"/>
      </w:tblGrid>
      <w:tr w:rsidR="00837E69" w:rsidRPr="00EE5714" w14:paraId="48124332" w14:textId="77777777" w:rsidTr="00CE4A38">
        <w:trPr>
          <w:trHeight w:val="300"/>
        </w:trPr>
        <w:tc>
          <w:tcPr>
            <w:tcW w:w="1636" w:type="dxa"/>
            <w:shd w:val="clear" w:color="auto" w:fill="auto"/>
            <w:noWrap/>
            <w:vAlign w:val="bottom"/>
            <w:hideMark/>
          </w:tcPr>
          <w:p w14:paraId="54C8266D" w14:textId="77777777" w:rsidR="00837E69" w:rsidRPr="00EE5714" w:rsidRDefault="00837E69" w:rsidP="00C669F8">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 </w:t>
            </w:r>
          </w:p>
        </w:tc>
        <w:tc>
          <w:tcPr>
            <w:tcW w:w="1413" w:type="dxa"/>
          </w:tcPr>
          <w:p w14:paraId="1D76FF03" w14:textId="77777777" w:rsidR="00837E69" w:rsidRPr="00EE5714" w:rsidRDefault="00837E69" w:rsidP="00700A46">
            <w:pPr>
              <w:keepNext/>
              <w:spacing w:after="0" w:line="240" w:lineRule="auto"/>
              <w:jc w:val="center"/>
              <w:rPr>
                <w:rFonts w:ascii="Calibri" w:eastAsia="Times New Roman" w:hAnsi="Calibri" w:cs="Calibri"/>
                <w:b/>
                <w:bCs/>
                <w:color w:val="000000"/>
              </w:rPr>
            </w:pPr>
          </w:p>
        </w:tc>
        <w:tc>
          <w:tcPr>
            <w:tcW w:w="4974" w:type="dxa"/>
            <w:gridSpan w:val="6"/>
            <w:shd w:val="clear" w:color="auto" w:fill="auto"/>
            <w:noWrap/>
            <w:vAlign w:val="bottom"/>
            <w:hideMark/>
          </w:tcPr>
          <w:p w14:paraId="7921E0A4" w14:textId="77777777" w:rsidR="00837E69" w:rsidRPr="00EE5714" w:rsidRDefault="00837E69" w:rsidP="00700A46">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Projected Residential Electric Demand in GWh</w:t>
            </w:r>
          </w:p>
        </w:tc>
        <w:tc>
          <w:tcPr>
            <w:tcW w:w="1327" w:type="dxa"/>
            <w:shd w:val="clear" w:color="auto" w:fill="auto"/>
            <w:noWrap/>
            <w:vAlign w:val="bottom"/>
            <w:hideMark/>
          </w:tcPr>
          <w:p w14:paraId="23B3E984" w14:textId="77777777" w:rsidR="00837E69" w:rsidRPr="00EE5714" w:rsidRDefault="00837E69" w:rsidP="006C1E8D">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2016-2021</w:t>
            </w:r>
          </w:p>
        </w:tc>
      </w:tr>
      <w:tr w:rsidR="00837E69" w:rsidRPr="00EE5714" w14:paraId="5C4C01BA" w14:textId="77777777" w:rsidTr="00CE4A38">
        <w:trPr>
          <w:trHeight w:val="300"/>
        </w:trPr>
        <w:tc>
          <w:tcPr>
            <w:tcW w:w="1636" w:type="dxa"/>
            <w:shd w:val="clear" w:color="auto" w:fill="auto"/>
            <w:noWrap/>
            <w:vAlign w:val="center"/>
            <w:hideMark/>
          </w:tcPr>
          <w:p w14:paraId="7FA8B19F" w14:textId="77777777" w:rsidR="00837E69" w:rsidRPr="00EE5714" w:rsidRDefault="00837E69" w:rsidP="00313A0A">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Utility:</w:t>
            </w:r>
          </w:p>
        </w:tc>
        <w:tc>
          <w:tcPr>
            <w:tcW w:w="1413" w:type="dxa"/>
          </w:tcPr>
          <w:p w14:paraId="05B32683" w14:textId="77777777" w:rsidR="00837E69" w:rsidRPr="00EE5714" w:rsidRDefault="00837E69" w:rsidP="00313A0A">
            <w:pPr>
              <w:keepNext/>
              <w:spacing w:after="0" w:line="240" w:lineRule="auto"/>
              <w:jc w:val="center"/>
              <w:rPr>
                <w:rFonts w:ascii="Calibri" w:eastAsia="Times New Roman" w:hAnsi="Calibri" w:cs="Calibri"/>
                <w:b/>
                <w:bCs/>
                <w:color w:val="000000"/>
              </w:rPr>
            </w:pPr>
          </w:p>
        </w:tc>
        <w:tc>
          <w:tcPr>
            <w:tcW w:w="829" w:type="dxa"/>
            <w:shd w:val="clear" w:color="auto" w:fill="auto"/>
            <w:noWrap/>
            <w:vAlign w:val="center"/>
            <w:hideMark/>
          </w:tcPr>
          <w:p w14:paraId="44D92BE8" w14:textId="77777777" w:rsidR="00837E69" w:rsidRPr="00EE5714" w:rsidRDefault="00837E69" w:rsidP="00313A0A">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2016*</w:t>
            </w:r>
          </w:p>
        </w:tc>
        <w:tc>
          <w:tcPr>
            <w:tcW w:w="829" w:type="dxa"/>
            <w:shd w:val="clear" w:color="auto" w:fill="auto"/>
            <w:noWrap/>
            <w:vAlign w:val="center"/>
            <w:hideMark/>
          </w:tcPr>
          <w:p w14:paraId="5A764596" w14:textId="77777777" w:rsidR="00837E69" w:rsidRPr="00EE5714" w:rsidRDefault="00837E69" w:rsidP="00313A0A">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2017*</w:t>
            </w:r>
          </w:p>
        </w:tc>
        <w:tc>
          <w:tcPr>
            <w:tcW w:w="829" w:type="dxa"/>
            <w:shd w:val="clear" w:color="auto" w:fill="auto"/>
            <w:noWrap/>
            <w:vAlign w:val="center"/>
            <w:hideMark/>
          </w:tcPr>
          <w:p w14:paraId="06587153" w14:textId="77777777" w:rsidR="00837E69" w:rsidRPr="00EE5714" w:rsidRDefault="00837E69" w:rsidP="00313A0A">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2018</w:t>
            </w:r>
          </w:p>
        </w:tc>
        <w:tc>
          <w:tcPr>
            <w:tcW w:w="829" w:type="dxa"/>
            <w:shd w:val="clear" w:color="auto" w:fill="auto"/>
            <w:noWrap/>
            <w:vAlign w:val="center"/>
            <w:hideMark/>
          </w:tcPr>
          <w:p w14:paraId="0A002ADD" w14:textId="77777777" w:rsidR="00837E69" w:rsidRPr="00EE5714" w:rsidRDefault="00837E69" w:rsidP="00313A0A">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2019</w:t>
            </w:r>
          </w:p>
        </w:tc>
        <w:tc>
          <w:tcPr>
            <w:tcW w:w="829" w:type="dxa"/>
            <w:shd w:val="clear" w:color="auto" w:fill="auto"/>
            <w:noWrap/>
            <w:vAlign w:val="center"/>
            <w:hideMark/>
          </w:tcPr>
          <w:p w14:paraId="43790C1E" w14:textId="77777777" w:rsidR="00837E69" w:rsidRPr="00EE5714" w:rsidRDefault="00837E69" w:rsidP="00313A0A">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2020</w:t>
            </w:r>
          </w:p>
        </w:tc>
        <w:tc>
          <w:tcPr>
            <w:tcW w:w="829" w:type="dxa"/>
            <w:shd w:val="clear" w:color="auto" w:fill="auto"/>
            <w:noWrap/>
            <w:vAlign w:val="center"/>
            <w:hideMark/>
          </w:tcPr>
          <w:p w14:paraId="15D2BEB5" w14:textId="77777777" w:rsidR="00837E69" w:rsidRPr="00EE5714" w:rsidRDefault="00837E69" w:rsidP="00313A0A">
            <w:pPr>
              <w:keepNext/>
              <w:spacing w:after="0" w:line="240" w:lineRule="auto"/>
              <w:jc w:val="center"/>
              <w:rPr>
                <w:rFonts w:ascii="Calibri" w:eastAsia="Times New Roman" w:hAnsi="Calibri" w:cs="Calibri"/>
                <w:b/>
                <w:bCs/>
                <w:i/>
                <w:iCs/>
                <w:color w:val="000000"/>
              </w:rPr>
            </w:pPr>
            <w:r w:rsidRPr="00EE5714">
              <w:rPr>
                <w:rFonts w:ascii="Calibri" w:eastAsia="Times New Roman" w:hAnsi="Calibri" w:cs="Calibri"/>
                <w:b/>
                <w:bCs/>
                <w:i/>
                <w:iCs/>
                <w:color w:val="000000"/>
              </w:rPr>
              <w:t>2021</w:t>
            </w:r>
          </w:p>
        </w:tc>
        <w:tc>
          <w:tcPr>
            <w:tcW w:w="1327" w:type="dxa"/>
            <w:shd w:val="clear" w:color="auto" w:fill="auto"/>
            <w:noWrap/>
            <w:vAlign w:val="center"/>
            <w:hideMark/>
          </w:tcPr>
          <w:p w14:paraId="50EAD722" w14:textId="77777777" w:rsidR="00837E69" w:rsidRPr="00EE5714" w:rsidRDefault="00837E69" w:rsidP="00313A0A">
            <w:pPr>
              <w:keepNext/>
              <w:spacing w:after="0" w:line="240" w:lineRule="auto"/>
              <w:jc w:val="center"/>
              <w:rPr>
                <w:rFonts w:ascii="Calibri" w:eastAsia="Times New Roman" w:hAnsi="Calibri" w:cs="Calibri"/>
                <w:b/>
                <w:bCs/>
                <w:color w:val="000000"/>
              </w:rPr>
            </w:pPr>
            <w:r w:rsidRPr="00EE5714">
              <w:rPr>
                <w:rFonts w:ascii="Calibri" w:eastAsia="Times New Roman" w:hAnsi="Calibri" w:cs="Calibri"/>
                <w:b/>
                <w:bCs/>
                <w:color w:val="000000"/>
              </w:rPr>
              <w:t>Percent Change</w:t>
            </w:r>
          </w:p>
        </w:tc>
      </w:tr>
      <w:tr w:rsidR="00837E69" w:rsidRPr="00EE5714" w14:paraId="5D65BC3C" w14:textId="77777777" w:rsidTr="00CE4A38">
        <w:trPr>
          <w:trHeight w:val="300"/>
        </w:trPr>
        <w:tc>
          <w:tcPr>
            <w:tcW w:w="1636" w:type="dxa"/>
            <w:shd w:val="clear" w:color="auto" w:fill="auto"/>
            <w:noWrap/>
            <w:vAlign w:val="bottom"/>
            <w:hideMark/>
          </w:tcPr>
          <w:p w14:paraId="6AEB1642" w14:textId="77777777" w:rsidR="00837E69" w:rsidRPr="00EE5714" w:rsidRDefault="00837E69" w:rsidP="00500E02">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Duquesne</w:t>
            </w:r>
          </w:p>
        </w:tc>
        <w:tc>
          <w:tcPr>
            <w:tcW w:w="1413" w:type="dxa"/>
          </w:tcPr>
          <w:p w14:paraId="57C1CC13" w14:textId="77777777" w:rsidR="00837E69" w:rsidRPr="00EE5714" w:rsidRDefault="00837E69" w:rsidP="0009098D">
            <w:pPr>
              <w:keepNext/>
              <w:spacing w:after="0" w:line="240" w:lineRule="auto"/>
              <w:jc w:val="right"/>
              <w:rPr>
                <w:rFonts w:ascii="Calibri" w:eastAsia="Times New Roman" w:hAnsi="Calibri" w:cs="Calibri"/>
                <w:color w:val="000000"/>
              </w:rPr>
            </w:pPr>
          </w:p>
        </w:tc>
        <w:tc>
          <w:tcPr>
            <w:tcW w:w="829" w:type="dxa"/>
            <w:shd w:val="clear" w:color="auto" w:fill="auto"/>
            <w:noWrap/>
            <w:vAlign w:val="bottom"/>
            <w:hideMark/>
          </w:tcPr>
          <w:p w14:paraId="40BED689" w14:textId="77777777" w:rsidR="00837E69" w:rsidRPr="00EE5714" w:rsidRDefault="00837E69" w:rsidP="0009098D">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4,197</w:t>
            </w:r>
          </w:p>
        </w:tc>
        <w:tc>
          <w:tcPr>
            <w:tcW w:w="829" w:type="dxa"/>
            <w:shd w:val="clear" w:color="auto" w:fill="auto"/>
            <w:noWrap/>
            <w:vAlign w:val="bottom"/>
            <w:hideMark/>
          </w:tcPr>
          <w:p w14:paraId="7439133E" w14:textId="77777777" w:rsidR="00837E69" w:rsidRPr="00EE5714" w:rsidRDefault="00837E69" w:rsidP="00C669F8">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3,876</w:t>
            </w:r>
          </w:p>
        </w:tc>
        <w:tc>
          <w:tcPr>
            <w:tcW w:w="829" w:type="dxa"/>
            <w:shd w:val="clear" w:color="auto" w:fill="auto"/>
            <w:noWrap/>
            <w:vAlign w:val="bottom"/>
            <w:hideMark/>
          </w:tcPr>
          <w:p w14:paraId="4CA42AAF" w14:textId="77777777" w:rsidR="00837E69" w:rsidRPr="00EE5714" w:rsidRDefault="00837E69" w:rsidP="00700A46">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3,949</w:t>
            </w:r>
          </w:p>
        </w:tc>
        <w:tc>
          <w:tcPr>
            <w:tcW w:w="829" w:type="dxa"/>
            <w:shd w:val="clear" w:color="auto" w:fill="auto"/>
            <w:noWrap/>
            <w:vAlign w:val="bottom"/>
            <w:hideMark/>
          </w:tcPr>
          <w:p w14:paraId="51064A79" w14:textId="77777777" w:rsidR="00837E69" w:rsidRPr="00EE5714" w:rsidRDefault="00837E69" w:rsidP="006C1E8D">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3,915</w:t>
            </w:r>
          </w:p>
        </w:tc>
        <w:tc>
          <w:tcPr>
            <w:tcW w:w="829" w:type="dxa"/>
            <w:shd w:val="clear" w:color="auto" w:fill="auto"/>
            <w:noWrap/>
            <w:vAlign w:val="bottom"/>
            <w:hideMark/>
          </w:tcPr>
          <w:p w14:paraId="7963E80F"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3,856</w:t>
            </w:r>
          </w:p>
        </w:tc>
        <w:tc>
          <w:tcPr>
            <w:tcW w:w="829" w:type="dxa"/>
            <w:shd w:val="clear" w:color="auto" w:fill="auto"/>
            <w:noWrap/>
            <w:vAlign w:val="bottom"/>
            <w:hideMark/>
          </w:tcPr>
          <w:p w14:paraId="08CA7B11"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3,797</w:t>
            </w:r>
          </w:p>
        </w:tc>
        <w:tc>
          <w:tcPr>
            <w:tcW w:w="1327" w:type="dxa"/>
            <w:shd w:val="clear" w:color="auto" w:fill="auto"/>
            <w:noWrap/>
            <w:vAlign w:val="bottom"/>
            <w:hideMark/>
          </w:tcPr>
          <w:p w14:paraId="5ADFF924" w14:textId="77777777" w:rsidR="00837E69" w:rsidRPr="00EE5714" w:rsidRDefault="00837E69" w:rsidP="00677A13">
            <w:pPr>
              <w:keepNext/>
              <w:spacing w:after="0" w:line="240" w:lineRule="auto"/>
              <w:jc w:val="center"/>
              <w:rPr>
                <w:rFonts w:ascii="Calibri" w:eastAsia="Times New Roman" w:hAnsi="Calibri" w:cs="Calibri"/>
                <w:color w:val="000000"/>
              </w:rPr>
            </w:pPr>
            <w:r w:rsidRPr="00EE5714">
              <w:rPr>
                <w:rFonts w:ascii="Calibri" w:eastAsia="Times New Roman" w:hAnsi="Calibri" w:cs="Calibri"/>
                <w:color w:val="000000"/>
              </w:rPr>
              <w:t>-9.5%</w:t>
            </w:r>
          </w:p>
        </w:tc>
      </w:tr>
      <w:tr w:rsidR="00837E69" w:rsidRPr="00EE5714" w14:paraId="04EDBEE9" w14:textId="77777777" w:rsidTr="00CE4A38">
        <w:trPr>
          <w:trHeight w:val="300"/>
        </w:trPr>
        <w:tc>
          <w:tcPr>
            <w:tcW w:w="1636" w:type="dxa"/>
            <w:shd w:val="clear" w:color="auto" w:fill="auto"/>
            <w:noWrap/>
            <w:vAlign w:val="bottom"/>
            <w:hideMark/>
          </w:tcPr>
          <w:p w14:paraId="22F321B1" w14:textId="77777777" w:rsidR="00837E69" w:rsidRPr="00EE5714" w:rsidRDefault="00837E69" w:rsidP="00500E02">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Met-Ed</w:t>
            </w:r>
          </w:p>
        </w:tc>
        <w:tc>
          <w:tcPr>
            <w:tcW w:w="1413" w:type="dxa"/>
          </w:tcPr>
          <w:p w14:paraId="6460393F" w14:textId="77777777" w:rsidR="00837E69" w:rsidRPr="00EE5714" w:rsidRDefault="00837E69" w:rsidP="0009098D">
            <w:pPr>
              <w:keepNext/>
              <w:spacing w:after="0" w:line="240" w:lineRule="auto"/>
              <w:jc w:val="right"/>
              <w:rPr>
                <w:rFonts w:ascii="Calibri" w:eastAsia="Times New Roman" w:hAnsi="Calibri" w:cs="Calibri"/>
                <w:color w:val="000000"/>
              </w:rPr>
            </w:pPr>
          </w:p>
        </w:tc>
        <w:tc>
          <w:tcPr>
            <w:tcW w:w="829" w:type="dxa"/>
            <w:shd w:val="clear" w:color="auto" w:fill="auto"/>
            <w:noWrap/>
            <w:vAlign w:val="bottom"/>
            <w:hideMark/>
          </w:tcPr>
          <w:p w14:paraId="5A811DB2" w14:textId="77777777" w:rsidR="00837E69" w:rsidRPr="00EE5714" w:rsidRDefault="00837E69" w:rsidP="0009098D">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5,528</w:t>
            </w:r>
          </w:p>
        </w:tc>
        <w:tc>
          <w:tcPr>
            <w:tcW w:w="829" w:type="dxa"/>
            <w:shd w:val="clear" w:color="auto" w:fill="auto"/>
            <w:noWrap/>
            <w:vAlign w:val="bottom"/>
            <w:hideMark/>
          </w:tcPr>
          <w:p w14:paraId="265D2084" w14:textId="77777777" w:rsidR="00837E69" w:rsidRPr="00EE5714" w:rsidRDefault="00837E69" w:rsidP="00C669F8">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5,351</w:t>
            </w:r>
          </w:p>
        </w:tc>
        <w:tc>
          <w:tcPr>
            <w:tcW w:w="829" w:type="dxa"/>
            <w:shd w:val="clear" w:color="auto" w:fill="auto"/>
            <w:noWrap/>
            <w:vAlign w:val="bottom"/>
            <w:hideMark/>
          </w:tcPr>
          <w:p w14:paraId="5DB51C2D" w14:textId="77777777" w:rsidR="00837E69" w:rsidRPr="00EE5714" w:rsidRDefault="00837E69" w:rsidP="00700A46">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5,347</w:t>
            </w:r>
          </w:p>
        </w:tc>
        <w:tc>
          <w:tcPr>
            <w:tcW w:w="829" w:type="dxa"/>
            <w:shd w:val="clear" w:color="auto" w:fill="auto"/>
            <w:noWrap/>
            <w:vAlign w:val="bottom"/>
            <w:hideMark/>
          </w:tcPr>
          <w:p w14:paraId="0806DB58" w14:textId="77777777" w:rsidR="00837E69" w:rsidRPr="00EE5714" w:rsidRDefault="00837E69" w:rsidP="006C1E8D">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5,265</w:t>
            </w:r>
          </w:p>
        </w:tc>
        <w:tc>
          <w:tcPr>
            <w:tcW w:w="829" w:type="dxa"/>
            <w:shd w:val="clear" w:color="auto" w:fill="auto"/>
            <w:noWrap/>
            <w:vAlign w:val="bottom"/>
            <w:hideMark/>
          </w:tcPr>
          <w:p w14:paraId="0A196F27"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5,201</w:t>
            </w:r>
          </w:p>
        </w:tc>
        <w:tc>
          <w:tcPr>
            <w:tcW w:w="829" w:type="dxa"/>
            <w:shd w:val="clear" w:color="auto" w:fill="auto"/>
            <w:noWrap/>
            <w:vAlign w:val="bottom"/>
            <w:hideMark/>
          </w:tcPr>
          <w:p w14:paraId="0CC9D6C8"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5,166</w:t>
            </w:r>
          </w:p>
        </w:tc>
        <w:tc>
          <w:tcPr>
            <w:tcW w:w="1327" w:type="dxa"/>
            <w:shd w:val="clear" w:color="auto" w:fill="auto"/>
            <w:noWrap/>
            <w:vAlign w:val="bottom"/>
            <w:hideMark/>
          </w:tcPr>
          <w:p w14:paraId="36415F32" w14:textId="77777777" w:rsidR="00837E69" w:rsidRPr="00EE5714" w:rsidRDefault="00837E69" w:rsidP="00677A13">
            <w:pPr>
              <w:keepNext/>
              <w:spacing w:after="0" w:line="240" w:lineRule="auto"/>
              <w:jc w:val="center"/>
              <w:rPr>
                <w:rFonts w:ascii="Calibri" w:eastAsia="Times New Roman" w:hAnsi="Calibri" w:cs="Calibri"/>
                <w:color w:val="000000"/>
              </w:rPr>
            </w:pPr>
            <w:r w:rsidRPr="00EE5714">
              <w:rPr>
                <w:rFonts w:ascii="Calibri" w:eastAsia="Times New Roman" w:hAnsi="Calibri" w:cs="Calibri"/>
                <w:color w:val="000000"/>
              </w:rPr>
              <w:t>-6.6%</w:t>
            </w:r>
          </w:p>
        </w:tc>
      </w:tr>
      <w:tr w:rsidR="00837E69" w:rsidRPr="00EE5714" w14:paraId="7C74AFF1" w14:textId="77777777" w:rsidTr="00CE4A38">
        <w:trPr>
          <w:trHeight w:val="300"/>
        </w:trPr>
        <w:tc>
          <w:tcPr>
            <w:tcW w:w="1636" w:type="dxa"/>
            <w:shd w:val="clear" w:color="auto" w:fill="auto"/>
            <w:noWrap/>
            <w:vAlign w:val="bottom"/>
            <w:hideMark/>
          </w:tcPr>
          <w:p w14:paraId="2FC19789" w14:textId="77777777" w:rsidR="00837E69" w:rsidRPr="00EE5714" w:rsidRDefault="00837E69" w:rsidP="00500E02">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Penelec</w:t>
            </w:r>
          </w:p>
        </w:tc>
        <w:tc>
          <w:tcPr>
            <w:tcW w:w="1413" w:type="dxa"/>
          </w:tcPr>
          <w:p w14:paraId="30DF20A9" w14:textId="77777777" w:rsidR="00837E69" w:rsidRPr="00EE5714" w:rsidRDefault="00837E69" w:rsidP="0009098D">
            <w:pPr>
              <w:keepNext/>
              <w:spacing w:after="0" w:line="240" w:lineRule="auto"/>
              <w:jc w:val="right"/>
              <w:rPr>
                <w:rFonts w:ascii="Calibri" w:eastAsia="Times New Roman" w:hAnsi="Calibri" w:cs="Calibri"/>
                <w:color w:val="000000"/>
              </w:rPr>
            </w:pPr>
          </w:p>
        </w:tc>
        <w:tc>
          <w:tcPr>
            <w:tcW w:w="829" w:type="dxa"/>
            <w:shd w:val="clear" w:color="auto" w:fill="auto"/>
            <w:noWrap/>
            <w:vAlign w:val="bottom"/>
            <w:hideMark/>
          </w:tcPr>
          <w:p w14:paraId="7AF4CE94" w14:textId="77777777" w:rsidR="00837E69" w:rsidRPr="00EE5714" w:rsidRDefault="00837E69" w:rsidP="0009098D">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4,328</w:t>
            </w:r>
          </w:p>
        </w:tc>
        <w:tc>
          <w:tcPr>
            <w:tcW w:w="829" w:type="dxa"/>
            <w:shd w:val="clear" w:color="auto" w:fill="auto"/>
            <w:noWrap/>
            <w:vAlign w:val="bottom"/>
            <w:hideMark/>
          </w:tcPr>
          <w:p w14:paraId="1CA60625" w14:textId="77777777" w:rsidR="00837E69" w:rsidRPr="00EE5714" w:rsidRDefault="00837E69" w:rsidP="00C669F8">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4,153</w:t>
            </w:r>
          </w:p>
        </w:tc>
        <w:tc>
          <w:tcPr>
            <w:tcW w:w="829" w:type="dxa"/>
            <w:shd w:val="clear" w:color="auto" w:fill="auto"/>
            <w:noWrap/>
            <w:vAlign w:val="bottom"/>
            <w:hideMark/>
          </w:tcPr>
          <w:p w14:paraId="28466F04" w14:textId="77777777" w:rsidR="00837E69" w:rsidRPr="00EE5714" w:rsidRDefault="00837E69" w:rsidP="00700A46">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4,238</w:t>
            </w:r>
          </w:p>
        </w:tc>
        <w:tc>
          <w:tcPr>
            <w:tcW w:w="829" w:type="dxa"/>
            <w:shd w:val="clear" w:color="auto" w:fill="auto"/>
            <w:noWrap/>
            <w:vAlign w:val="bottom"/>
            <w:hideMark/>
          </w:tcPr>
          <w:p w14:paraId="311DC16C" w14:textId="77777777" w:rsidR="00837E69" w:rsidRPr="00EE5714" w:rsidRDefault="00837E69" w:rsidP="006C1E8D">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4,157</w:t>
            </w:r>
          </w:p>
        </w:tc>
        <w:tc>
          <w:tcPr>
            <w:tcW w:w="829" w:type="dxa"/>
            <w:shd w:val="clear" w:color="auto" w:fill="auto"/>
            <w:noWrap/>
            <w:vAlign w:val="bottom"/>
            <w:hideMark/>
          </w:tcPr>
          <w:p w14:paraId="5D922553"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4,090</w:t>
            </w:r>
          </w:p>
        </w:tc>
        <w:tc>
          <w:tcPr>
            <w:tcW w:w="829" w:type="dxa"/>
            <w:shd w:val="clear" w:color="auto" w:fill="auto"/>
            <w:noWrap/>
            <w:vAlign w:val="bottom"/>
            <w:hideMark/>
          </w:tcPr>
          <w:p w14:paraId="4AAEB9DE"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4,056</w:t>
            </w:r>
          </w:p>
        </w:tc>
        <w:tc>
          <w:tcPr>
            <w:tcW w:w="1327" w:type="dxa"/>
            <w:shd w:val="clear" w:color="auto" w:fill="auto"/>
            <w:noWrap/>
            <w:vAlign w:val="bottom"/>
            <w:hideMark/>
          </w:tcPr>
          <w:p w14:paraId="2C1D55E3" w14:textId="77777777" w:rsidR="00837E69" w:rsidRPr="00EE5714" w:rsidRDefault="00837E69" w:rsidP="00677A13">
            <w:pPr>
              <w:keepNext/>
              <w:spacing w:after="0" w:line="240" w:lineRule="auto"/>
              <w:jc w:val="center"/>
              <w:rPr>
                <w:rFonts w:ascii="Calibri" w:eastAsia="Times New Roman" w:hAnsi="Calibri" w:cs="Calibri"/>
                <w:color w:val="000000"/>
              </w:rPr>
            </w:pPr>
            <w:r w:rsidRPr="00EE5714">
              <w:rPr>
                <w:rFonts w:ascii="Calibri" w:eastAsia="Times New Roman" w:hAnsi="Calibri" w:cs="Calibri"/>
                <w:color w:val="000000"/>
              </w:rPr>
              <w:t>-6.3%</w:t>
            </w:r>
          </w:p>
        </w:tc>
      </w:tr>
      <w:tr w:rsidR="00837E69" w:rsidRPr="00EE5714" w14:paraId="46AB6B5E" w14:textId="77777777" w:rsidTr="00CE4A38">
        <w:trPr>
          <w:trHeight w:val="300"/>
        </w:trPr>
        <w:tc>
          <w:tcPr>
            <w:tcW w:w="1636" w:type="dxa"/>
            <w:shd w:val="clear" w:color="auto" w:fill="auto"/>
            <w:noWrap/>
            <w:vAlign w:val="bottom"/>
            <w:hideMark/>
          </w:tcPr>
          <w:p w14:paraId="238E9F86" w14:textId="77777777" w:rsidR="00837E69" w:rsidRPr="00EE5714" w:rsidRDefault="00837E69" w:rsidP="00500E02">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Penn Power</w:t>
            </w:r>
          </w:p>
        </w:tc>
        <w:tc>
          <w:tcPr>
            <w:tcW w:w="1413" w:type="dxa"/>
          </w:tcPr>
          <w:p w14:paraId="318A8B9B" w14:textId="77777777" w:rsidR="00837E69" w:rsidRPr="00EE5714" w:rsidRDefault="00837E69" w:rsidP="0009098D">
            <w:pPr>
              <w:keepNext/>
              <w:spacing w:after="0" w:line="240" w:lineRule="auto"/>
              <w:jc w:val="right"/>
              <w:rPr>
                <w:rFonts w:ascii="Calibri" w:eastAsia="Times New Roman" w:hAnsi="Calibri" w:cs="Calibri"/>
                <w:color w:val="000000"/>
              </w:rPr>
            </w:pPr>
          </w:p>
        </w:tc>
        <w:tc>
          <w:tcPr>
            <w:tcW w:w="829" w:type="dxa"/>
            <w:shd w:val="clear" w:color="auto" w:fill="auto"/>
            <w:noWrap/>
            <w:vAlign w:val="bottom"/>
            <w:hideMark/>
          </w:tcPr>
          <w:p w14:paraId="2B1A8E6E" w14:textId="77777777" w:rsidR="00837E69" w:rsidRPr="00EE5714" w:rsidRDefault="00837E69" w:rsidP="0009098D">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1,686</w:t>
            </w:r>
          </w:p>
        </w:tc>
        <w:tc>
          <w:tcPr>
            <w:tcW w:w="829" w:type="dxa"/>
            <w:shd w:val="clear" w:color="auto" w:fill="auto"/>
            <w:noWrap/>
            <w:vAlign w:val="bottom"/>
            <w:hideMark/>
          </w:tcPr>
          <w:p w14:paraId="34D6D2A0" w14:textId="77777777" w:rsidR="00837E69" w:rsidRPr="00EE5714" w:rsidRDefault="00837E69" w:rsidP="00C669F8">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1,591</w:t>
            </w:r>
          </w:p>
        </w:tc>
        <w:tc>
          <w:tcPr>
            <w:tcW w:w="829" w:type="dxa"/>
            <w:shd w:val="clear" w:color="auto" w:fill="auto"/>
            <w:noWrap/>
            <w:vAlign w:val="bottom"/>
            <w:hideMark/>
          </w:tcPr>
          <w:p w14:paraId="305B1499" w14:textId="77777777" w:rsidR="00837E69" w:rsidRPr="00EE5714" w:rsidRDefault="00837E69" w:rsidP="00700A46">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1,640</w:t>
            </w:r>
          </w:p>
        </w:tc>
        <w:tc>
          <w:tcPr>
            <w:tcW w:w="829" w:type="dxa"/>
            <w:shd w:val="clear" w:color="auto" w:fill="auto"/>
            <w:noWrap/>
            <w:vAlign w:val="bottom"/>
            <w:hideMark/>
          </w:tcPr>
          <w:p w14:paraId="31320E92" w14:textId="77777777" w:rsidR="00837E69" w:rsidRPr="00EE5714" w:rsidRDefault="00837E69" w:rsidP="006C1E8D">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1,617</w:t>
            </w:r>
          </w:p>
        </w:tc>
        <w:tc>
          <w:tcPr>
            <w:tcW w:w="829" w:type="dxa"/>
            <w:shd w:val="clear" w:color="auto" w:fill="auto"/>
            <w:noWrap/>
            <w:vAlign w:val="bottom"/>
            <w:hideMark/>
          </w:tcPr>
          <w:p w14:paraId="6865BA79"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1,604</w:t>
            </w:r>
          </w:p>
        </w:tc>
        <w:tc>
          <w:tcPr>
            <w:tcW w:w="829" w:type="dxa"/>
            <w:shd w:val="clear" w:color="auto" w:fill="auto"/>
            <w:noWrap/>
            <w:vAlign w:val="bottom"/>
            <w:hideMark/>
          </w:tcPr>
          <w:p w14:paraId="21AFA015"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1,595</w:t>
            </w:r>
          </w:p>
        </w:tc>
        <w:tc>
          <w:tcPr>
            <w:tcW w:w="1327" w:type="dxa"/>
            <w:shd w:val="clear" w:color="auto" w:fill="auto"/>
            <w:noWrap/>
            <w:vAlign w:val="bottom"/>
            <w:hideMark/>
          </w:tcPr>
          <w:p w14:paraId="699CFD39" w14:textId="77777777" w:rsidR="00837E69" w:rsidRPr="00EE5714" w:rsidRDefault="00837E69" w:rsidP="00677A13">
            <w:pPr>
              <w:keepNext/>
              <w:spacing w:after="0" w:line="240" w:lineRule="auto"/>
              <w:jc w:val="center"/>
              <w:rPr>
                <w:rFonts w:ascii="Calibri" w:eastAsia="Times New Roman" w:hAnsi="Calibri" w:cs="Calibri"/>
                <w:color w:val="000000"/>
              </w:rPr>
            </w:pPr>
            <w:r w:rsidRPr="00EE5714">
              <w:rPr>
                <w:rFonts w:ascii="Calibri" w:eastAsia="Times New Roman" w:hAnsi="Calibri" w:cs="Calibri"/>
                <w:color w:val="000000"/>
              </w:rPr>
              <w:t>-5.4%</w:t>
            </w:r>
          </w:p>
        </w:tc>
      </w:tr>
      <w:tr w:rsidR="00837E69" w:rsidRPr="00EE5714" w14:paraId="6103317C" w14:textId="77777777" w:rsidTr="00CE4A38">
        <w:trPr>
          <w:trHeight w:val="300"/>
        </w:trPr>
        <w:tc>
          <w:tcPr>
            <w:tcW w:w="1636" w:type="dxa"/>
            <w:shd w:val="clear" w:color="auto" w:fill="auto"/>
            <w:noWrap/>
            <w:vAlign w:val="bottom"/>
            <w:hideMark/>
          </w:tcPr>
          <w:p w14:paraId="3942D20F" w14:textId="77777777" w:rsidR="00837E69" w:rsidRPr="00EE5714" w:rsidRDefault="00837E69" w:rsidP="00500E02">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PECO</w:t>
            </w:r>
          </w:p>
        </w:tc>
        <w:tc>
          <w:tcPr>
            <w:tcW w:w="1413" w:type="dxa"/>
          </w:tcPr>
          <w:p w14:paraId="53816C47" w14:textId="77777777" w:rsidR="00837E69" w:rsidRPr="00EE5714" w:rsidRDefault="00837E69" w:rsidP="0009098D">
            <w:pPr>
              <w:keepNext/>
              <w:spacing w:after="0" w:line="240" w:lineRule="auto"/>
              <w:jc w:val="right"/>
              <w:rPr>
                <w:rFonts w:ascii="Calibri" w:eastAsia="Times New Roman" w:hAnsi="Calibri" w:cs="Calibri"/>
                <w:color w:val="000000"/>
              </w:rPr>
            </w:pPr>
          </w:p>
        </w:tc>
        <w:tc>
          <w:tcPr>
            <w:tcW w:w="829" w:type="dxa"/>
            <w:shd w:val="clear" w:color="auto" w:fill="auto"/>
            <w:noWrap/>
            <w:vAlign w:val="bottom"/>
            <w:hideMark/>
          </w:tcPr>
          <w:p w14:paraId="2723D00A" w14:textId="77777777" w:rsidR="00837E69" w:rsidRPr="00EE5714" w:rsidRDefault="00837E69" w:rsidP="0009098D">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13,664</w:t>
            </w:r>
          </w:p>
        </w:tc>
        <w:tc>
          <w:tcPr>
            <w:tcW w:w="829" w:type="dxa"/>
            <w:shd w:val="clear" w:color="auto" w:fill="auto"/>
            <w:noWrap/>
            <w:vAlign w:val="bottom"/>
            <w:hideMark/>
          </w:tcPr>
          <w:p w14:paraId="23F0C6DB" w14:textId="77777777" w:rsidR="00837E69" w:rsidRPr="00EE5714" w:rsidRDefault="00837E69" w:rsidP="00C669F8">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13,024</w:t>
            </w:r>
          </w:p>
        </w:tc>
        <w:tc>
          <w:tcPr>
            <w:tcW w:w="829" w:type="dxa"/>
            <w:shd w:val="clear" w:color="auto" w:fill="auto"/>
            <w:noWrap/>
            <w:vAlign w:val="bottom"/>
            <w:hideMark/>
          </w:tcPr>
          <w:p w14:paraId="67099460" w14:textId="77777777" w:rsidR="00837E69" w:rsidRPr="00EE5714" w:rsidRDefault="00837E69" w:rsidP="00700A46">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13,266</w:t>
            </w:r>
          </w:p>
        </w:tc>
        <w:tc>
          <w:tcPr>
            <w:tcW w:w="829" w:type="dxa"/>
            <w:shd w:val="clear" w:color="auto" w:fill="auto"/>
            <w:noWrap/>
            <w:vAlign w:val="bottom"/>
            <w:hideMark/>
          </w:tcPr>
          <w:p w14:paraId="758E1863" w14:textId="77777777" w:rsidR="00837E69" w:rsidRPr="00EE5714" w:rsidRDefault="00837E69" w:rsidP="006C1E8D">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13,240</w:t>
            </w:r>
          </w:p>
        </w:tc>
        <w:tc>
          <w:tcPr>
            <w:tcW w:w="829" w:type="dxa"/>
            <w:shd w:val="clear" w:color="auto" w:fill="auto"/>
            <w:noWrap/>
            <w:vAlign w:val="bottom"/>
            <w:hideMark/>
          </w:tcPr>
          <w:p w14:paraId="674A9549"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13,182</w:t>
            </w:r>
          </w:p>
        </w:tc>
        <w:tc>
          <w:tcPr>
            <w:tcW w:w="829" w:type="dxa"/>
            <w:shd w:val="clear" w:color="auto" w:fill="auto"/>
            <w:noWrap/>
            <w:vAlign w:val="bottom"/>
            <w:hideMark/>
          </w:tcPr>
          <w:p w14:paraId="334DED28"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13,104</w:t>
            </w:r>
          </w:p>
        </w:tc>
        <w:tc>
          <w:tcPr>
            <w:tcW w:w="1327" w:type="dxa"/>
            <w:shd w:val="clear" w:color="auto" w:fill="auto"/>
            <w:noWrap/>
            <w:vAlign w:val="bottom"/>
            <w:hideMark/>
          </w:tcPr>
          <w:p w14:paraId="4F8FF6FD" w14:textId="77777777" w:rsidR="00837E69" w:rsidRPr="00EE5714" w:rsidRDefault="00837E69" w:rsidP="00677A13">
            <w:pPr>
              <w:keepNext/>
              <w:spacing w:after="0" w:line="240" w:lineRule="auto"/>
              <w:jc w:val="center"/>
              <w:rPr>
                <w:rFonts w:ascii="Calibri" w:eastAsia="Times New Roman" w:hAnsi="Calibri" w:cs="Calibri"/>
                <w:color w:val="000000"/>
              </w:rPr>
            </w:pPr>
            <w:r w:rsidRPr="00EE5714">
              <w:rPr>
                <w:rFonts w:ascii="Calibri" w:eastAsia="Times New Roman" w:hAnsi="Calibri" w:cs="Calibri"/>
                <w:color w:val="000000"/>
              </w:rPr>
              <w:t>-4.1%</w:t>
            </w:r>
          </w:p>
        </w:tc>
      </w:tr>
      <w:tr w:rsidR="00837E69" w:rsidRPr="00EE5714" w14:paraId="121745C0" w14:textId="77777777" w:rsidTr="00CE4A38">
        <w:trPr>
          <w:trHeight w:val="300"/>
        </w:trPr>
        <w:tc>
          <w:tcPr>
            <w:tcW w:w="1636" w:type="dxa"/>
            <w:shd w:val="clear" w:color="auto" w:fill="auto"/>
            <w:noWrap/>
            <w:vAlign w:val="bottom"/>
            <w:hideMark/>
          </w:tcPr>
          <w:p w14:paraId="528E3943" w14:textId="77777777" w:rsidR="00837E69" w:rsidRPr="00EE5714" w:rsidRDefault="00837E69" w:rsidP="00500E02">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PPL</w:t>
            </w:r>
          </w:p>
        </w:tc>
        <w:tc>
          <w:tcPr>
            <w:tcW w:w="1413" w:type="dxa"/>
          </w:tcPr>
          <w:p w14:paraId="3537A9AA" w14:textId="77777777" w:rsidR="00837E69" w:rsidRPr="00EE5714" w:rsidRDefault="00837E69" w:rsidP="0009098D">
            <w:pPr>
              <w:keepNext/>
              <w:spacing w:after="0" w:line="240" w:lineRule="auto"/>
              <w:jc w:val="right"/>
              <w:rPr>
                <w:rFonts w:ascii="Calibri" w:eastAsia="Times New Roman" w:hAnsi="Calibri" w:cs="Calibri"/>
                <w:color w:val="000000"/>
              </w:rPr>
            </w:pPr>
          </w:p>
        </w:tc>
        <w:tc>
          <w:tcPr>
            <w:tcW w:w="829" w:type="dxa"/>
            <w:shd w:val="clear" w:color="auto" w:fill="auto"/>
            <w:noWrap/>
            <w:vAlign w:val="bottom"/>
            <w:hideMark/>
          </w:tcPr>
          <w:p w14:paraId="3374AEEF" w14:textId="77777777" w:rsidR="00837E69" w:rsidRPr="00EE5714" w:rsidRDefault="00837E69" w:rsidP="0009098D">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13,810</w:t>
            </w:r>
          </w:p>
        </w:tc>
        <w:tc>
          <w:tcPr>
            <w:tcW w:w="829" w:type="dxa"/>
            <w:shd w:val="clear" w:color="auto" w:fill="auto"/>
            <w:noWrap/>
            <w:vAlign w:val="bottom"/>
            <w:hideMark/>
          </w:tcPr>
          <w:p w14:paraId="1E67C7F0" w14:textId="77777777" w:rsidR="00837E69" w:rsidRPr="00EE5714" w:rsidRDefault="00837E69" w:rsidP="00C669F8">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13,650</w:t>
            </w:r>
          </w:p>
        </w:tc>
        <w:tc>
          <w:tcPr>
            <w:tcW w:w="829" w:type="dxa"/>
            <w:shd w:val="clear" w:color="auto" w:fill="auto"/>
            <w:noWrap/>
            <w:vAlign w:val="bottom"/>
            <w:hideMark/>
          </w:tcPr>
          <w:p w14:paraId="0E6E161C" w14:textId="77777777" w:rsidR="00837E69" w:rsidRPr="00EE5714" w:rsidRDefault="00837E69" w:rsidP="00700A46">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13,588</w:t>
            </w:r>
          </w:p>
        </w:tc>
        <w:tc>
          <w:tcPr>
            <w:tcW w:w="829" w:type="dxa"/>
            <w:shd w:val="clear" w:color="auto" w:fill="auto"/>
            <w:noWrap/>
            <w:vAlign w:val="bottom"/>
            <w:hideMark/>
          </w:tcPr>
          <w:p w14:paraId="3052F46F" w14:textId="77777777" w:rsidR="00837E69" w:rsidRPr="00EE5714" w:rsidRDefault="00837E69" w:rsidP="006C1E8D">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13,499</w:t>
            </w:r>
          </w:p>
        </w:tc>
        <w:tc>
          <w:tcPr>
            <w:tcW w:w="829" w:type="dxa"/>
            <w:shd w:val="clear" w:color="auto" w:fill="auto"/>
            <w:noWrap/>
            <w:vAlign w:val="bottom"/>
            <w:hideMark/>
          </w:tcPr>
          <w:p w14:paraId="79780C01"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13,448</w:t>
            </w:r>
          </w:p>
        </w:tc>
        <w:tc>
          <w:tcPr>
            <w:tcW w:w="829" w:type="dxa"/>
            <w:shd w:val="clear" w:color="auto" w:fill="auto"/>
            <w:noWrap/>
            <w:vAlign w:val="bottom"/>
            <w:hideMark/>
          </w:tcPr>
          <w:p w14:paraId="0D717FB9"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13,253</w:t>
            </w:r>
          </w:p>
        </w:tc>
        <w:tc>
          <w:tcPr>
            <w:tcW w:w="1327" w:type="dxa"/>
            <w:shd w:val="clear" w:color="auto" w:fill="auto"/>
            <w:noWrap/>
            <w:vAlign w:val="bottom"/>
            <w:hideMark/>
          </w:tcPr>
          <w:p w14:paraId="563D8B56" w14:textId="77777777" w:rsidR="00837E69" w:rsidRPr="00EE5714" w:rsidRDefault="00837E69" w:rsidP="00677A13">
            <w:pPr>
              <w:keepNext/>
              <w:spacing w:after="0" w:line="240" w:lineRule="auto"/>
              <w:jc w:val="center"/>
              <w:rPr>
                <w:rFonts w:ascii="Calibri" w:eastAsia="Times New Roman" w:hAnsi="Calibri" w:cs="Calibri"/>
                <w:color w:val="000000"/>
              </w:rPr>
            </w:pPr>
            <w:r w:rsidRPr="00EE5714">
              <w:rPr>
                <w:rFonts w:ascii="Calibri" w:eastAsia="Times New Roman" w:hAnsi="Calibri" w:cs="Calibri"/>
                <w:color w:val="000000"/>
              </w:rPr>
              <w:t>-4.0%</w:t>
            </w:r>
          </w:p>
        </w:tc>
      </w:tr>
      <w:tr w:rsidR="00837E69" w:rsidRPr="00EE5714" w14:paraId="3481BEAE" w14:textId="77777777" w:rsidTr="00CE4A38">
        <w:trPr>
          <w:trHeight w:val="300"/>
        </w:trPr>
        <w:tc>
          <w:tcPr>
            <w:tcW w:w="1636" w:type="dxa"/>
            <w:shd w:val="clear" w:color="auto" w:fill="auto"/>
            <w:noWrap/>
            <w:vAlign w:val="bottom"/>
            <w:hideMark/>
          </w:tcPr>
          <w:p w14:paraId="21DB929F" w14:textId="77777777" w:rsidR="00837E69" w:rsidRPr="00EE5714" w:rsidRDefault="00837E69" w:rsidP="00500E02">
            <w:pPr>
              <w:keepNext/>
              <w:spacing w:after="0" w:line="240" w:lineRule="auto"/>
              <w:rPr>
                <w:rFonts w:ascii="Calibri" w:eastAsia="Times New Roman" w:hAnsi="Calibri" w:cs="Calibri"/>
                <w:color w:val="000000"/>
              </w:rPr>
            </w:pPr>
            <w:r w:rsidRPr="00EE5714">
              <w:rPr>
                <w:rFonts w:ascii="Calibri" w:eastAsia="Times New Roman" w:hAnsi="Calibri" w:cs="Calibri"/>
                <w:color w:val="000000"/>
              </w:rPr>
              <w:t>West Penn</w:t>
            </w:r>
          </w:p>
        </w:tc>
        <w:tc>
          <w:tcPr>
            <w:tcW w:w="1413" w:type="dxa"/>
          </w:tcPr>
          <w:p w14:paraId="7F949641" w14:textId="77777777" w:rsidR="00837E69" w:rsidRPr="00EE5714" w:rsidRDefault="00837E69" w:rsidP="0009098D">
            <w:pPr>
              <w:keepNext/>
              <w:spacing w:after="0" w:line="240" w:lineRule="auto"/>
              <w:jc w:val="right"/>
              <w:rPr>
                <w:rFonts w:ascii="Calibri" w:eastAsia="Times New Roman" w:hAnsi="Calibri" w:cs="Calibri"/>
                <w:color w:val="000000"/>
              </w:rPr>
            </w:pPr>
          </w:p>
        </w:tc>
        <w:tc>
          <w:tcPr>
            <w:tcW w:w="829" w:type="dxa"/>
            <w:shd w:val="clear" w:color="auto" w:fill="auto"/>
            <w:noWrap/>
            <w:vAlign w:val="bottom"/>
            <w:hideMark/>
          </w:tcPr>
          <w:p w14:paraId="02553A2C" w14:textId="77777777" w:rsidR="00837E69" w:rsidRPr="00EE5714" w:rsidRDefault="00837E69" w:rsidP="0009098D">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7,186</w:t>
            </w:r>
          </w:p>
        </w:tc>
        <w:tc>
          <w:tcPr>
            <w:tcW w:w="829" w:type="dxa"/>
            <w:shd w:val="clear" w:color="auto" w:fill="auto"/>
            <w:noWrap/>
            <w:vAlign w:val="bottom"/>
            <w:hideMark/>
          </w:tcPr>
          <w:p w14:paraId="1AA55585" w14:textId="77777777" w:rsidR="00837E69" w:rsidRPr="00EE5714" w:rsidRDefault="00837E69" w:rsidP="00C669F8">
            <w:pPr>
              <w:keepNext/>
              <w:spacing w:after="0" w:line="240" w:lineRule="auto"/>
              <w:jc w:val="right"/>
              <w:rPr>
                <w:rFonts w:ascii="Calibri" w:eastAsia="Times New Roman" w:hAnsi="Calibri" w:cs="Calibri"/>
                <w:color w:val="000000"/>
              </w:rPr>
            </w:pPr>
            <w:r w:rsidRPr="00EE5714">
              <w:rPr>
                <w:rFonts w:ascii="Calibri" w:eastAsia="Times New Roman" w:hAnsi="Calibri" w:cs="Calibri"/>
                <w:color w:val="000000"/>
              </w:rPr>
              <w:t>6,817</w:t>
            </w:r>
          </w:p>
        </w:tc>
        <w:tc>
          <w:tcPr>
            <w:tcW w:w="829" w:type="dxa"/>
            <w:shd w:val="clear" w:color="auto" w:fill="auto"/>
            <w:noWrap/>
            <w:vAlign w:val="bottom"/>
            <w:hideMark/>
          </w:tcPr>
          <w:p w14:paraId="53CE9740" w14:textId="77777777" w:rsidR="00837E69" w:rsidRPr="00EE5714" w:rsidRDefault="00837E69" w:rsidP="00700A46">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6,931</w:t>
            </w:r>
          </w:p>
        </w:tc>
        <w:tc>
          <w:tcPr>
            <w:tcW w:w="829" w:type="dxa"/>
            <w:shd w:val="clear" w:color="auto" w:fill="auto"/>
            <w:noWrap/>
            <w:vAlign w:val="bottom"/>
            <w:hideMark/>
          </w:tcPr>
          <w:p w14:paraId="378D4B1E" w14:textId="77777777" w:rsidR="00837E69" w:rsidRPr="00EE5714" w:rsidRDefault="00837E69" w:rsidP="006C1E8D">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6,906</w:t>
            </w:r>
          </w:p>
        </w:tc>
        <w:tc>
          <w:tcPr>
            <w:tcW w:w="829" w:type="dxa"/>
            <w:shd w:val="clear" w:color="auto" w:fill="auto"/>
            <w:noWrap/>
            <w:vAlign w:val="bottom"/>
            <w:hideMark/>
          </w:tcPr>
          <w:p w14:paraId="428781B5"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6,819</w:t>
            </w:r>
          </w:p>
        </w:tc>
        <w:tc>
          <w:tcPr>
            <w:tcW w:w="829" w:type="dxa"/>
            <w:shd w:val="clear" w:color="auto" w:fill="auto"/>
            <w:noWrap/>
            <w:vAlign w:val="bottom"/>
            <w:hideMark/>
          </w:tcPr>
          <w:p w14:paraId="6387E55A" w14:textId="77777777" w:rsidR="00837E69" w:rsidRPr="00EE5714" w:rsidRDefault="00837E69" w:rsidP="00677A13">
            <w:pPr>
              <w:keepNext/>
              <w:spacing w:after="0" w:line="240" w:lineRule="auto"/>
              <w:jc w:val="right"/>
              <w:rPr>
                <w:rFonts w:ascii="Calibri" w:eastAsia="Times New Roman" w:hAnsi="Calibri" w:cs="Calibri"/>
                <w:i/>
                <w:iCs/>
                <w:color w:val="000000"/>
              </w:rPr>
            </w:pPr>
            <w:r w:rsidRPr="00EE5714">
              <w:rPr>
                <w:rFonts w:ascii="Calibri" w:eastAsia="Times New Roman" w:hAnsi="Calibri" w:cs="Calibri"/>
                <w:i/>
                <w:iCs/>
                <w:color w:val="000000"/>
              </w:rPr>
              <w:t>6,756</w:t>
            </w:r>
          </w:p>
        </w:tc>
        <w:tc>
          <w:tcPr>
            <w:tcW w:w="1327" w:type="dxa"/>
            <w:shd w:val="clear" w:color="auto" w:fill="auto"/>
            <w:noWrap/>
            <w:vAlign w:val="bottom"/>
            <w:hideMark/>
          </w:tcPr>
          <w:p w14:paraId="6F769D69" w14:textId="77777777" w:rsidR="00837E69" w:rsidRPr="00EE5714" w:rsidRDefault="00837E69" w:rsidP="00677A13">
            <w:pPr>
              <w:keepNext/>
              <w:spacing w:after="0" w:line="240" w:lineRule="auto"/>
              <w:jc w:val="center"/>
              <w:rPr>
                <w:rFonts w:ascii="Calibri" w:eastAsia="Times New Roman" w:hAnsi="Calibri" w:cs="Calibri"/>
                <w:color w:val="000000"/>
              </w:rPr>
            </w:pPr>
            <w:r w:rsidRPr="00EE5714">
              <w:rPr>
                <w:rFonts w:ascii="Calibri" w:eastAsia="Times New Roman" w:hAnsi="Calibri" w:cs="Calibri"/>
                <w:color w:val="000000"/>
              </w:rPr>
              <w:t>-6.0%</w:t>
            </w:r>
          </w:p>
        </w:tc>
      </w:tr>
    </w:tbl>
    <w:p w14:paraId="0CD15964" w14:textId="5505F6E6" w:rsidR="00071E2B" w:rsidRPr="00071E2B" w:rsidRDefault="00CE4A38" w:rsidP="00071E2B">
      <w:pPr>
        <w:spacing w:after="0" w:line="240" w:lineRule="auto"/>
        <w:rPr>
          <w:rFonts w:ascii="Times New Roman" w:hAnsi="Times New Roman" w:cs="Times New Roman"/>
          <w:sz w:val="26"/>
          <w:szCs w:val="26"/>
        </w:rPr>
      </w:pPr>
      <w:r w:rsidRPr="00EE5714">
        <w:rPr>
          <w:rFonts w:ascii="Calibri" w:eastAsia="Times New Roman" w:hAnsi="Calibri" w:cs="Calibri"/>
          <w:color w:val="000000"/>
        </w:rPr>
        <w:t xml:space="preserve">Source: 2018 Electric Power Outlook for Pennsylvania - </w:t>
      </w:r>
      <w:hyperlink r:id="rId85" w:history="1">
        <w:r w:rsidRPr="00EE5714">
          <w:rPr>
            <w:rStyle w:val="Hyperlink"/>
            <w:rFonts w:ascii="Calibri" w:eastAsia="Times New Roman" w:hAnsi="Calibri" w:cs="Calibri"/>
          </w:rPr>
          <w:t>http://www.puc.pa.gov/General/publications_reports/pdf/EPO_2018.pdf</w:t>
        </w:r>
      </w:hyperlink>
    </w:p>
    <w:p w14:paraId="5CAAD850" w14:textId="35907786" w:rsidR="005828E2" w:rsidRDefault="00CE4A38" w:rsidP="00C26160">
      <w:pPr>
        <w:spacing w:after="0" w:line="240" w:lineRule="auto"/>
        <w:rPr>
          <w:rFonts w:ascii="Times New Roman" w:hAnsi="Times New Roman" w:cs="Times New Roman"/>
          <w:sz w:val="26"/>
          <w:szCs w:val="26"/>
        </w:rPr>
      </w:pPr>
      <w:r w:rsidRPr="00EE5714">
        <w:rPr>
          <w:rFonts w:ascii="Calibri" w:eastAsia="Times New Roman" w:hAnsi="Calibri" w:cs="Calibri"/>
          <w:color w:val="000000"/>
        </w:rPr>
        <w:t>*Actual Data</w:t>
      </w:r>
    </w:p>
    <w:p w14:paraId="30C26C80" w14:textId="77777777" w:rsidR="005828E2" w:rsidRPr="00C26160" w:rsidRDefault="005828E2" w:rsidP="00C26160">
      <w:pPr>
        <w:spacing w:after="0" w:line="240" w:lineRule="auto"/>
        <w:rPr>
          <w:rFonts w:ascii="Times New Roman" w:hAnsi="Times New Roman" w:cs="Times New Roman"/>
          <w:sz w:val="26"/>
          <w:szCs w:val="26"/>
        </w:rPr>
      </w:pPr>
    </w:p>
    <w:p w14:paraId="0B3FD872" w14:textId="77777777" w:rsidR="00DC0935" w:rsidRPr="00DC0935" w:rsidRDefault="00DC0935" w:rsidP="00500E02">
      <w:pPr>
        <w:spacing w:after="0" w:line="240" w:lineRule="auto"/>
        <w:rPr>
          <w:rFonts w:ascii="Times New Roman" w:hAnsi="Times New Roman" w:cs="Times New Roman"/>
          <w:sz w:val="26"/>
          <w:szCs w:val="26"/>
        </w:rPr>
      </w:pPr>
    </w:p>
    <w:p w14:paraId="565F003B" w14:textId="49A84901" w:rsidR="000862F2" w:rsidRPr="00EE5714" w:rsidRDefault="000862F2" w:rsidP="000862F2">
      <w:pPr>
        <w:pStyle w:val="NoSpacing"/>
        <w:keepNext/>
        <w:rPr>
          <w:rFonts w:cs="Times New Roman"/>
          <w:b/>
          <w:szCs w:val="26"/>
        </w:rPr>
      </w:pPr>
      <w:r w:rsidRPr="00EE5714">
        <w:rPr>
          <w:rFonts w:cs="Times New Roman"/>
          <w:szCs w:val="26"/>
        </w:rPr>
        <w:t>Appendix 9.</w:t>
      </w:r>
      <w:r w:rsidR="004655B9" w:rsidRPr="00EE5714">
        <w:rPr>
          <w:rFonts w:cs="Times New Roman"/>
          <w:szCs w:val="26"/>
        </w:rPr>
        <w:t>L</w:t>
      </w:r>
      <w:r w:rsidRPr="00EE5714">
        <w:rPr>
          <w:rFonts w:cs="Times New Roman"/>
          <w:szCs w:val="26"/>
        </w:rPr>
        <w:t>.3:</w:t>
      </w:r>
      <w:r w:rsidRPr="00EE5714">
        <w:rPr>
          <w:rFonts w:cs="Times New Roman"/>
          <w:b/>
          <w:szCs w:val="26"/>
        </w:rPr>
        <w:t xml:space="preserve"> Residential National Energy Prices: U.S. EIA</w:t>
      </w:r>
    </w:p>
    <w:tbl>
      <w:tblPr>
        <w:tblW w:w="10703" w:type="dxa"/>
        <w:jc w:val="center"/>
        <w:tblLook w:val="04A0" w:firstRow="1" w:lastRow="0" w:firstColumn="1" w:lastColumn="0" w:noHBand="0" w:noVBand="1"/>
      </w:tblPr>
      <w:tblGrid>
        <w:gridCol w:w="2629"/>
        <w:gridCol w:w="695"/>
        <w:gridCol w:w="695"/>
        <w:gridCol w:w="695"/>
        <w:gridCol w:w="695"/>
        <w:gridCol w:w="695"/>
        <w:gridCol w:w="695"/>
        <w:gridCol w:w="695"/>
        <w:gridCol w:w="695"/>
        <w:gridCol w:w="695"/>
        <w:gridCol w:w="695"/>
        <w:gridCol w:w="1124"/>
      </w:tblGrid>
      <w:tr w:rsidR="000862F2" w:rsidRPr="00EE5714" w14:paraId="21E62D4A" w14:textId="77777777" w:rsidTr="001279C9">
        <w:trPr>
          <w:trHeight w:val="300"/>
          <w:jc w:val="center"/>
        </w:trPr>
        <w:tc>
          <w:tcPr>
            <w:tcW w:w="10703" w:type="dxa"/>
            <w:gridSpan w:val="12"/>
            <w:tcBorders>
              <w:top w:val="single" w:sz="4" w:space="0" w:color="auto"/>
              <w:left w:val="single" w:sz="4" w:space="0" w:color="auto"/>
              <w:bottom w:val="single" w:sz="4" w:space="0" w:color="auto"/>
              <w:right w:val="single" w:sz="4" w:space="0" w:color="000000" w:themeColor="text1"/>
            </w:tcBorders>
            <w:shd w:val="clear" w:color="auto" w:fill="FFFFFF" w:themeFill="background1"/>
            <w:noWrap/>
            <w:vAlign w:val="bottom"/>
            <w:hideMark/>
          </w:tcPr>
          <w:p w14:paraId="1598CC66" w14:textId="77777777" w:rsidR="000862F2" w:rsidRPr="00EE5714" w:rsidRDefault="000862F2" w:rsidP="00AB5EDD">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U.S. Energy Information Administration Historic and Forecast Prices</w:t>
            </w:r>
          </w:p>
        </w:tc>
      </w:tr>
      <w:tr w:rsidR="009B7466" w:rsidRPr="00EE5714" w14:paraId="500ED6DF" w14:textId="77777777" w:rsidTr="004655B9">
        <w:trPr>
          <w:trHeight w:val="615"/>
          <w:jc w:val="center"/>
        </w:trPr>
        <w:tc>
          <w:tcPr>
            <w:tcW w:w="262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6642742" w14:textId="77777777" w:rsidR="000862F2" w:rsidRPr="00EE5714" w:rsidRDefault="000862F2" w:rsidP="00AB5EDD">
            <w:pPr>
              <w:spacing w:after="0" w:line="240" w:lineRule="auto"/>
              <w:rPr>
                <w:rFonts w:ascii="Calibri" w:eastAsia="Times New Roman" w:hAnsi="Calibri" w:cs="Calibri"/>
                <w:color w:val="000000"/>
                <w:sz w:val="21"/>
                <w:szCs w:val="21"/>
              </w:rPr>
            </w:pPr>
            <w:r w:rsidRPr="00EE5714">
              <w:rPr>
                <w:rFonts w:ascii="Calibri" w:eastAsia="Times New Roman" w:hAnsi="Calibri" w:cs="Calibri"/>
                <w:color w:val="000000"/>
                <w:sz w:val="21"/>
                <w:szCs w:val="21"/>
              </w:rPr>
              <w:t>Residential</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1B42CB5F" w14:textId="77777777" w:rsidR="000862F2" w:rsidRPr="00EE5714" w:rsidRDefault="000862F2" w:rsidP="00AB5EDD">
            <w:pPr>
              <w:spacing w:after="0" w:line="240" w:lineRule="auto"/>
              <w:jc w:val="righ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2012</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6C80BE6C" w14:textId="77777777" w:rsidR="000862F2" w:rsidRPr="00EE5714" w:rsidRDefault="000862F2" w:rsidP="00AB5EDD">
            <w:pPr>
              <w:spacing w:after="0" w:line="240" w:lineRule="auto"/>
              <w:jc w:val="righ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2013</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221616F1" w14:textId="77777777" w:rsidR="000862F2" w:rsidRPr="00EE5714" w:rsidRDefault="000862F2" w:rsidP="00AB5EDD">
            <w:pPr>
              <w:spacing w:after="0" w:line="240" w:lineRule="auto"/>
              <w:jc w:val="righ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2014</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447AEFFF" w14:textId="77777777" w:rsidR="000862F2" w:rsidRPr="00EE5714" w:rsidRDefault="000862F2" w:rsidP="00AB5EDD">
            <w:pPr>
              <w:spacing w:after="0" w:line="240" w:lineRule="auto"/>
              <w:jc w:val="righ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2015</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3B55D850" w14:textId="77777777" w:rsidR="000862F2" w:rsidRPr="00EE5714" w:rsidRDefault="000862F2" w:rsidP="00AB5EDD">
            <w:pPr>
              <w:spacing w:after="0" w:line="240" w:lineRule="auto"/>
              <w:jc w:val="righ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2016</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67584442" w14:textId="77777777" w:rsidR="000862F2" w:rsidRPr="00EE5714" w:rsidRDefault="000862F2" w:rsidP="00AB5EDD">
            <w:pPr>
              <w:spacing w:after="0" w:line="240" w:lineRule="auto"/>
              <w:jc w:val="righ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2017</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403F97F4" w14:textId="77777777" w:rsidR="000862F2" w:rsidRPr="00EE5714" w:rsidRDefault="000862F2" w:rsidP="00AB5EDD">
            <w:pPr>
              <w:spacing w:after="0" w:line="240" w:lineRule="auto"/>
              <w:jc w:val="right"/>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2018</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62B54EC5" w14:textId="77777777" w:rsidR="000862F2" w:rsidRPr="00EE5714" w:rsidRDefault="000862F2" w:rsidP="00AB5EDD">
            <w:pPr>
              <w:spacing w:after="0" w:line="240" w:lineRule="auto"/>
              <w:jc w:val="right"/>
              <w:rPr>
                <w:rFonts w:ascii="Calibri" w:eastAsia="Times New Roman" w:hAnsi="Calibri" w:cs="Calibri"/>
                <w:b/>
                <w:bCs/>
                <w:i/>
                <w:iCs/>
                <w:color w:val="000000"/>
                <w:sz w:val="21"/>
                <w:szCs w:val="21"/>
              </w:rPr>
            </w:pPr>
            <w:r w:rsidRPr="00EE5714">
              <w:rPr>
                <w:rFonts w:ascii="Calibri" w:eastAsia="Times New Roman" w:hAnsi="Calibri" w:cs="Calibri"/>
                <w:b/>
                <w:bCs/>
                <w:i/>
                <w:iCs/>
                <w:color w:val="000000"/>
                <w:sz w:val="21"/>
                <w:szCs w:val="21"/>
              </w:rPr>
              <w:t>2019</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609BC151" w14:textId="77777777" w:rsidR="000862F2" w:rsidRPr="00EE5714" w:rsidRDefault="000862F2" w:rsidP="00AB5EDD">
            <w:pPr>
              <w:spacing w:after="0" w:line="240" w:lineRule="auto"/>
              <w:jc w:val="right"/>
              <w:rPr>
                <w:rFonts w:ascii="Calibri" w:eastAsia="Times New Roman" w:hAnsi="Calibri" w:cs="Calibri"/>
                <w:b/>
                <w:bCs/>
                <w:i/>
                <w:iCs/>
                <w:color w:val="000000"/>
                <w:sz w:val="21"/>
                <w:szCs w:val="21"/>
              </w:rPr>
            </w:pPr>
            <w:r w:rsidRPr="00EE5714">
              <w:rPr>
                <w:rFonts w:ascii="Calibri" w:eastAsia="Times New Roman" w:hAnsi="Calibri" w:cs="Calibri"/>
                <w:b/>
                <w:bCs/>
                <w:i/>
                <w:iCs/>
                <w:color w:val="000000"/>
                <w:sz w:val="21"/>
                <w:szCs w:val="21"/>
              </w:rPr>
              <w:t>2020</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525433E4" w14:textId="77777777" w:rsidR="000862F2" w:rsidRPr="00EE5714" w:rsidRDefault="000862F2" w:rsidP="00AB5EDD">
            <w:pPr>
              <w:spacing w:after="0" w:line="240" w:lineRule="auto"/>
              <w:jc w:val="right"/>
              <w:rPr>
                <w:rFonts w:ascii="Calibri" w:eastAsia="Times New Roman" w:hAnsi="Calibri" w:cs="Calibri"/>
                <w:b/>
                <w:bCs/>
                <w:i/>
                <w:iCs/>
                <w:color w:val="000000"/>
                <w:sz w:val="21"/>
                <w:szCs w:val="21"/>
              </w:rPr>
            </w:pPr>
            <w:r w:rsidRPr="00EE5714">
              <w:rPr>
                <w:rFonts w:ascii="Calibri" w:eastAsia="Times New Roman" w:hAnsi="Calibri" w:cs="Calibri"/>
                <w:b/>
                <w:bCs/>
                <w:i/>
                <w:iCs/>
                <w:color w:val="000000"/>
                <w:sz w:val="21"/>
                <w:szCs w:val="21"/>
              </w:rPr>
              <w:t>2021</w:t>
            </w:r>
          </w:p>
        </w:tc>
        <w:tc>
          <w:tcPr>
            <w:tcW w:w="1124" w:type="dxa"/>
            <w:tcBorders>
              <w:top w:val="nil"/>
              <w:left w:val="nil"/>
              <w:bottom w:val="single" w:sz="4" w:space="0" w:color="auto"/>
              <w:right w:val="single" w:sz="4" w:space="0" w:color="auto"/>
            </w:tcBorders>
            <w:shd w:val="clear" w:color="auto" w:fill="FFFFFF" w:themeFill="background1"/>
            <w:vAlign w:val="bottom"/>
            <w:hideMark/>
          </w:tcPr>
          <w:p w14:paraId="03578826" w14:textId="77777777" w:rsidR="000862F2" w:rsidRPr="00EE5714" w:rsidRDefault="000862F2" w:rsidP="00AB5EDD">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Percent Change</w:t>
            </w:r>
          </w:p>
        </w:tc>
      </w:tr>
      <w:tr w:rsidR="000862F2" w:rsidRPr="00EE5714" w14:paraId="5BE254AF" w14:textId="77777777" w:rsidTr="001279C9">
        <w:trPr>
          <w:trHeight w:val="300"/>
          <w:jc w:val="center"/>
        </w:trPr>
        <w:tc>
          <w:tcPr>
            <w:tcW w:w="262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4560446" w14:textId="77777777" w:rsidR="000862F2" w:rsidRPr="00EE5714" w:rsidRDefault="000862F2" w:rsidP="00AB5EDD">
            <w:pPr>
              <w:spacing w:after="0" w:line="240" w:lineRule="auto"/>
              <w:rPr>
                <w:rFonts w:ascii="Calibri" w:eastAsia="Times New Roman" w:hAnsi="Calibri" w:cs="Calibri"/>
                <w:color w:val="000000"/>
                <w:sz w:val="21"/>
                <w:szCs w:val="21"/>
              </w:rPr>
            </w:pPr>
            <w:r w:rsidRPr="00EE5714">
              <w:rPr>
                <w:rFonts w:ascii="Calibri" w:eastAsia="Times New Roman" w:hAnsi="Calibri" w:cs="Calibri"/>
                <w:color w:val="000000"/>
                <w:sz w:val="21"/>
                <w:szCs w:val="21"/>
              </w:rPr>
              <w:t>Units: 2017 $/MMBtu</w:t>
            </w:r>
          </w:p>
        </w:tc>
        <w:tc>
          <w:tcPr>
            <w:tcW w:w="4865" w:type="dxa"/>
            <w:gridSpan w:val="7"/>
            <w:tcBorders>
              <w:top w:val="single" w:sz="4" w:space="0" w:color="auto"/>
              <w:left w:val="nil"/>
              <w:bottom w:val="single" w:sz="4" w:space="0" w:color="auto"/>
              <w:right w:val="single" w:sz="4" w:space="0" w:color="000000" w:themeColor="text1"/>
            </w:tcBorders>
            <w:shd w:val="clear" w:color="auto" w:fill="FFFFFF" w:themeFill="background1"/>
            <w:noWrap/>
            <w:vAlign w:val="bottom"/>
            <w:hideMark/>
          </w:tcPr>
          <w:p w14:paraId="52EED469" w14:textId="77777777" w:rsidR="000862F2" w:rsidRPr="00EE5714" w:rsidRDefault="000862F2" w:rsidP="00AB5EDD">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Historic</w:t>
            </w:r>
          </w:p>
        </w:tc>
        <w:tc>
          <w:tcPr>
            <w:tcW w:w="2085" w:type="dxa"/>
            <w:gridSpan w:val="3"/>
            <w:tcBorders>
              <w:top w:val="single" w:sz="4" w:space="0" w:color="auto"/>
              <w:left w:val="nil"/>
              <w:bottom w:val="single" w:sz="4" w:space="0" w:color="auto"/>
              <w:right w:val="single" w:sz="4" w:space="0" w:color="000000" w:themeColor="text1"/>
            </w:tcBorders>
            <w:shd w:val="clear" w:color="auto" w:fill="FFFFFF" w:themeFill="background1"/>
            <w:noWrap/>
            <w:vAlign w:val="bottom"/>
            <w:hideMark/>
          </w:tcPr>
          <w:p w14:paraId="2F5797F6" w14:textId="77777777" w:rsidR="000862F2" w:rsidRPr="00EE5714" w:rsidRDefault="000862F2" w:rsidP="00AB5EDD">
            <w:pPr>
              <w:spacing w:after="0" w:line="240" w:lineRule="auto"/>
              <w:jc w:val="center"/>
              <w:rPr>
                <w:rFonts w:ascii="Calibri" w:eastAsia="Times New Roman" w:hAnsi="Calibri" w:cs="Calibri"/>
                <w:b/>
                <w:bCs/>
                <w:i/>
                <w:iCs/>
                <w:color w:val="000000"/>
                <w:sz w:val="21"/>
                <w:szCs w:val="21"/>
              </w:rPr>
            </w:pPr>
            <w:r w:rsidRPr="00EE5714">
              <w:rPr>
                <w:rFonts w:ascii="Calibri" w:eastAsia="Times New Roman" w:hAnsi="Calibri" w:cs="Calibri"/>
                <w:b/>
                <w:bCs/>
                <w:i/>
                <w:iCs/>
                <w:color w:val="000000"/>
                <w:sz w:val="21"/>
                <w:szCs w:val="21"/>
              </w:rPr>
              <w:t>Forecast</w:t>
            </w:r>
          </w:p>
        </w:tc>
        <w:tc>
          <w:tcPr>
            <w:tcW w:w="1124" w:type="dxa"/>
            <w:tcBorders>
              <w:top w:val="nil"/>
              <w:left w:val="nil"/>
              <w:bottom w:val="single" w:sz="4" w:space="0" w:color="auto"/>
              <w:right w:val="single" w:sz="4" w:space="0" w:color="auto"/>
            </w:tcBorders>
            <w:shd w:val="clear" w:color="auto" w:fill="FFFFFF" w:themeFill="background1"/>
            <w:noWrap/>
            <w:vAlign w:val="bottom"/>
            <w:hideMark/>
          </w:tcPr>
          <w:p w14:paraId="4E6D8DB6" w14:textId="77777777" w:rsidR="000862F2" w:rsidRPr="00EE5714" w:rsidRDefault="000862F2" w:rsidP="00AB5EDD">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2017-2021</w:t>
            </w:r>
          </w:p>
        </w:tc>
      </w:tr>
      <w:tr w:rsidR="009B7466" w:rsidRPr="00EE5714" w14:paraId="1ED7F4CF" w14:textId="77777777" w:rsidTr="004655B9">
        <w:trPr>
          <w:trHeight w:val="300"/>
          <w:jc w:val="center"/>
        </w:trPr>
        <w:tc>
          <w:tcPr>
            <w:tcW w:w="262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4D7A80D" w14:textId="77777777" w:rsidR="000862F2" w:rsidRPr="00EE5714" w:rsidRDefault="000862F2" w:rsidP="00AB5EDD">
            <w:pPr>
              <w:spacing w:after="0" w:line="240" w:lineRule="auto"/>
              <w:rPr>
                <w:rFonts w:ascii="Calibri" w:eastAsia="Times New Roman" w:hAnsi="Calibri" w:cs="Calibri"/>
                <w:color w:val="000000"/>
                <w:sz w:val="21"/>
                <w:szCs w:val="21"/>
              </w:rPr>
            </w:pPr>
            <w:r w:rsidRPr="00EE5714">
              <w:rPr>
                <w:rFonts w:ascii="Calibri" w:eastAsia="Times New Roman" w:hAnsi="Calibri" w:cs="Calibri"/>
                <w:color w:val="000000"/>
                <w:sz w:val="21"/>
                <w:szCs w:val="21"/>
              </w:rPr>
              <w:t>Energy Prices: Natural Gas</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3056B278"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10.60</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090984D5"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10.01</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4D398DAF"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10.73</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33FD5628"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10.25</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18DEFF5F"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9.93</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3DF793E3"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10.77</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5DF14407"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10.39</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0BCBB536" w14:textId="77777777" w:rsidR="000862F2" w:rsidRPr="00EE5714" w:rsidRDefault="000862F2" w:rsidP="00AB5EDD">
            <w:pPr>
              <w:spacing w:after="0" w:line="240" w:lineRule="auto"/>
              <w:jc w:val="right"/>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10.79</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20F384FA" w14:textId="77777777" w:rsidR="000862F2" w:rsidRPr="00EE5714" w:rsidRDefault="000862F2" w:rsidP="00AB5EDD">
            <w:pPr>
              <w:spacing w:after="0" w:line="240" w:lineRule="auto"/>
              <w:jc w:val="right"/>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11.06</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394132AD" w14:textId="77777777" w:rsidR="000862F2" w:rsidRPr="00EE5714" w:rsidRDefault="000862F2" w:rsidP="00AB5EDD">
            <w:pPr>
              <w:spacing w:after="0" w:line="240" w:lineRule="auto"/>
              <w:jc w:val="right"/>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11.17</w:t>
            </w:r>
          </w:p>
        </w:tc>
        <w:tc>
          <w:tcPr>
            <w:tcW w:w="1124" w:type="dxa"/>
            <w:tcBorders>
              <w:top w:val="nil"/>
              <w:left w:val="nil"/>
              <w:bottom w:val="single" w:sz="4" w:space="0" w:color="auto"/>
              <w:right w:val="single" w:sz="4" w:space="0" w:color="auto"/>
            </w:tcBorders>
            <w:shd w:val="clear" w:color="auto" w:fill="FFFFFF" w:themeFill="background1"/>
            <w:noWrap/>
            <w:vAlign w:val="bottom"/>
            <w:hideMark/>
          </w:tcPr>
          <w:p w14:paraId="1541F81C" w14:textId="77777777" w:rsidR="000862F2" w:rsidRPr="00EE5714" w:rsidRDefault="000862F2" w:rsidP="00AB5EDD">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3.7%</w:t>
            </w:r>
          </w:p>
        </w:tc>
      </w:tr>
      <w:tr w:rsidR="009B7466" w:rsidRPr="008F1734" w14:paraId="066DC17A" w14:textId="77777777" w:rsidTr="004655B9">
        <w:trPr>
          <w:trHeight w:val="300"/>
          <w:jc w:val="center"/>
        </w:trPr>
        <w:tc>
          <w:tcPr>
            <w:tcW w:w="262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DD76A3C" w14:textId="77777777" w:rsidR="000862F2" w:rsidRPr="00EE5714" w:rsidRDefault="000862F2" w:rsidP="00AB5EDD">
            <w:pPr>
              <w:spacing w:after="0" w:line="240" w:lineRule="auto"/>
              <w:rPr>
                <w:rFonts w:ascii="Calibri" w:eastAsia="Times New Roman" w:hAnsi="Calibri" w:cs="Calibri"/>
                <w:color w:val="000000"/>
                <w:sz w:val="21"/>
                <w:szCs w:val="21"/>
              </w:rPr>
            </w:pPr>
            <w:r w:rsidRPr="00EE5714">
              <w:rPr>
                <w:rFonts w:ascii="Calibri" w:eastAsia="Times New Roman" w:hAnsi="Calibri" w:cs="Calibri"/>
                <w:color w:val="000000"/>
                <w:sz w:val="21"/>
                <w:szCs w:val="21"/>
              </w:rPr>
              <w:t>Energy Prices: Electricity</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2C13731D"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35.35</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0133E7EC"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35.64</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3F54E7AE"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37.08</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3748D8BA"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37.60</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00AF26B3"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37.46</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5A6C4D4F"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37.12</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07DEB6F5" w14:textId="77777777" w:rsidR="000862F2" w:rsidRPr="00EE5714" w:rsidRDefault="000862F2" w:rsidP="00AB5EDD">
            <w:pPr>
              <w:spacing w:after="0" w:line="240" w:lineRule="auto"/>
              <w:jc w:val="right"/>
              <w:rPr>
                <w:rFonts w:ascii="Calibri" w:eastAsia="Times New Roman" w:hAnsi="Calibri" w:cs="Calibri"/>
                <w:color w:val="000000"/>
                <w:sz w:val="21"/>
                <w:szCs w:val="21"/>
              </w:rPr>
            </w:pPr>
            <w:r w:rsidRPr="00EE5714">
              <w:rPr>
                <w:rFonts w:ascii="Calibri" w:eastAsia="Times New Roman" w:hAnsi="Calibri" w:cs="Calibri"/>
                <w:color w:val="000000"/>
                <w:sz w:val="21"/>
                <w:szCs w:val="21"/>
              </w:rPr>
              <w:t>37.08</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061D7920" w14:textId="77777777" w:rsidR="000862F2" w:rsidRPr="00EE5714" w:rsidRDefault="000862F2" w:rsidP="00AB5EDD">
            <w:pPr>
              <w:spacing w:after="0" w:line="240" w:lineRule="auto"/>
              <w:jc w:val="right"/>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38.07</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33BC62DE" w14:textId="77777777" w:rsidR="000862F2" w:rsidRPr="00EE5714" w:rsidRDefault="000862F2" w:rsidP="00AB5EDD">
            <w:pPr>
              <w:spacing w:after="0" w:line="240" w:lineRule="auto"/>
              <w:jc w:val="right"/>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39.18</w:t>
            </w:r>
          </w:p>
        </w:tc>
        <w:tc>
          <w:tcPr>
            <w:tcW w:w="695" w:type="dxa"/>
            <w:tcBorders>
              <w:top w:val="nil"/>
              <w:left w:val="nil"/>
              <w:bottom w:val="single" w:sz="4" w:space="0" w:color="auto"/>
              <w:right w:val="single" w:sz="4" w:space="0" w:color="auto"/>
            </w:tcBorders>
            <w:shd w:val="clear" w:color="auto" w:fill="FFFFFF" w:themeFill="background1"/>
            <w:noWrap/>
            <w:vAlign w:val="bottom"/>
            <w:hideMark/>
          </w:tcPr>
          <w:p w14:paraId="5D29B8DC" w14:textId="77777777" w:rsidR="000862F2" w:rsidRPr="00EE5714" w:rsidRDefault="000862F2" w:rsidP="00AB5EDD">
            <w:pPr>
              <w:spacing w:after="0" w:line="240" w:lineRule="auto"/>
              <w:jc w:val="right"/>
              <w:rPr>
                <w:rFonts w:ascii="Calibri" w:eastAsia="Times New Roman" w:hAnsi="Calibri" w:cs="Calibri"/>
                <w:i/>
                <w:iCs/>
                <w:color w:val="000000"/>
                <w:sz w:val="21"/>
                <w:szCs w:val="21"/>
              </w:rPr>
            </w:pPr>
            <w:r w:rsidRPr="00EE5714">
              <w:rPr>
                <w:rFonts w:ascii="Calibri" w:eastAsia="Times New Roman" w:hAnsi="Calibri" w:cs="Calibri"/>
                <w:i/>
                <w:iCs/>
                <w:color w:val="000000"/>
                <w:sz w:val="21"/>
                <w:szCs w:val="21"/>
              </w:rPr>
              <w:t>39.42</w:t>
            </w:r>
          </w:p>
        </w:tc>
        <w:tc>
          <w:tcPr>
            <w:tcW w:w="1124" w:type="dxa"/>
            <w:tcBorders>
              <w:top w:val="nil"/>
              <w:left w:val="nil"/>
              <w:bottom w:val="single" w:sz="4" w:space="0" w:color="auto"/>
              <w:right w:val="single" w:sz="4" w:space="0" w:color="auto"/>
            </w:tcBorders>
            <w:shd w:val="clear" w:color="auto" w:fill="FFFFFF" w:themeFill="background1"/>
            <w:noWrap/>
            <w:vAlign w:val="bottom"/>
            <w:hideMark/>
          </w:tcPr>
          <w:p w14:paraId="24A5C470" w14:textId="77777777" w:rsidR="000862F2" w:rsidRPr="008F1734" w:rsidRDefault="000862F2" w:rsidP="00AB5EDD">
            <w:pPr>
              <w:spacing w:after="0" w:line="240" w:lineRule="auto"/>
              <w:jc w:val="center"/>
              <w:rPr>
                <w:rFonts w:ascii="Calibri" w:eastAsia="Times New Roman" w:hAnsi="Calibri" w:cs="Calibri"/>
                <w:b/>
                <w:bCs/>
                <w:color w:val="000000"/>
                <w:sz w:val="21"/>
                <w:szCs w:val="21"/>
              </w:rPr>
            </w:pPr>
            <w:r w:rsidRPr="00EE5714">
              <w:rPr>
                <w:rFonts w:ascii="Calibri" w:eastAsia="Times New Roman" w:hAnsi="Calibri" w:cs="Calibri"/>
                <w:b/>
                <w:bCs/>
                <w:color w:val="000000"/>
                <w:sz w:val="21"/>
                <w:szCs w:val="21"/>
              </w:rPr>
              <w:t>6.2%</w:t>
            </w:r>
          </w:p>
        </w:tc>
      </w:tr>
    </w:tbl>
    <w:p w14:paraId="3BA40F0E" w14:textId="77777777" w:rsidR="00FF1717" w:rsidRPr="007C32D4" w:rsidRDefault="00FF1717" w:rsidP="007D7A46">
      <w:pPr>
        <w:spacing w:after="0" w:line="240" w:lineRule="auto"/>
        <w:rPr>
          <w:rFonts w:ascii="Times New Roman" w:hAnsi="Times New Roman" w:cs="Times New Roman"/>
          <w:color w:val="2F5496" w:themeColor="accent1" w:themeShade="BF"/>
          <w:sz w:val="26"/>
          <w:szCs w:val="26"/>
        </w:rPr>
      </w:pPr>
    </w:p>
    <w:p w14:paraId="4C3B7A19" w14:textId="77777777" w:rsidR="00085840" w:rsidRPr="007C32D4" w:rsidRDefault="00085840" w:rsidP="007D7A46">
      <w:pPr>
        <w:spacing w:after="0" w:line="240" w:lineRule="auto"/>
        <w:rPr>
          <w:rFonts w:ascii="Times New Roman" w:hAnsi="Times New Roman" w:cs="Times New Roman"/>
          <w:color w:val="2F5496" w:themeColor="accent1" w:themeShade="BF"/>
          <w:sz w:val="26"/>
          <w:szCs w:val="26"/>
        </w:rPr>
      </w:pPr>
    </w:p>
    <w:p w14:paraId="526F01F5" w14:textId="0E61B7D4" w:rsidR="00201553" w:rsidRPr="00564DD1" w:rsidRDefault="00201553" w:rsidP="00201553">
      <w:pPr>
        <w:pStyle w:val="NoSpacing"/>
        <w:keepNext/>
        <w:rPr>
          <w:rFonts w:cs="Times New Roman"/>
          <w:i/>
          <w:color w:val="000000" w:themeColor="text1"/>
        </w:rPr>
      </w:pPr>
      <w:r w:rsidRPr="00215D3F">
        <w:rPr>
          <w:rFonts w:cs="Times New Roman"/>
          <w:i/>
          <w:color w:val="000000" w:themeColor="text1"/>
        </w:rPr>
        <w:t>Appendix 9.</w:t>
      </w:r>
      <w:r w:rsidRPr="00771BBA">
        <w:rPr>
          <w:rFonts w:cs="Times New Roman"/>
          <w:i/>
          <w:color w:val="000000" w:themeColor="text1"/>
        </w:rPr>
        <w:t>M</w:t>
      </w:r>
      <w:r w:rsidRPr="2691098B">
        <w:rPr>
          <w:rFonts w:cs="Times New Roman"/>
          <w:i/>
          <w:color w:val="000000" w:themeColor="text1"/>
        </w:rPr>
        <w:t xml:space="preserve">: </w:t>
      </w:r>
      <w:r w:rsidR="007C32D4" w:rsidRPr="00FB4689">
        <w:rPr>
          <w:rFonts w:cs="Times New Roman"/>
          <w:b/>
          <w:i/>
        </w:rPr>
        <w:t xml:space="preserve">Variance between USECP CAP Cost </w:t>
      </w:r>
      <w:r w:rsidR="007C32D4" w:rsidRPr="007D201F">
        <w:rPr>
          <w:rFonts w:cs="Times New Roman"/>
          <w:b/>
          <w:i/>
        </w:rPr>
        <w:t>Projections and Actual CAP Costs</w:t>
      </w:r>
    </w:p>
    <w:p w14:paraId="07AAE89A" w14:textId="77777777" w:rsidR="00201553" w:rsidRPr="00EE5714" w:rsidRDefault="00201553" w:rsidP="00201553">
      <w:pPr>
        <w:pStyle w:val="NoSpacing"/>
        <w:keepNext/>
        <w:rPr>
          <w:rFonts w:cs="Times New Roman"/>
          <w:i/>
          <w:color w:val="000000" w:themeColor="text1"/>
          <w:szCs w:val="26"/>
        </w:rPr>
      </w:pPr>
    </w:p>
    <w:p w14:paraId="42AA1232" w14:textId="439D2CB3" w:rsidR="00201553" w:rsidRPr="00771BBA" w:rsidRDefault="00201553" w:rsidP="00201553">
      <w:pPr>
        <w:pStyle w:val="NoSpacing"/>
        <w:keepNext/>
        <w:rPr>
          <w:rFonts w:cs="Times New Roman"/>
          <w:b/>
        </w:rPr>
      </w:pPr>
      <w:r w:rsidRPr="00215D3F">
        <w:rPr>
          <w:rFonts w:cs="Times New Roman"/>
        </w:rPr>
        <w:t>Appendix 9.</w:t>
      </w:r>
      <w:r w:rsidR="0010081C" w:rsidRPr="00771BBA">
        <w:rPr>
          <w:rFonts w:cs="Times New Roman"/>
        </w:rPr>
        <w:t>M</w:t>
      </w:r>
      <w:r w:rsidRPr="2691098B">
        <w:rPr>
          <w:rFonts w:cs="Times New Roman"/>
        </w:rPr>
        <w:t>.1:</w:t>
      </w:r>
      <w:r w:rsidRPr="00FB4689">
        <w:rPr>
          <w:rFonts w:cs="Times New Roman"/>
          <w:b/>
        </w:rPr>
        <w:t xml:space="preserve"> </w:t>
      </w:r>
      <w:r w:rsidR="0010081C" w:rsidRPr="007D201F">
        <w:rPr>
          <w:rFonts w:cs="Times New Roman"/>
          <w:b/>
        </w:rPr>
        <w:t>Variance between USECP CAP Cos</w:t>
      </w:r>
      <w:r w:rsidR="00700E24" w:rsidRPr="00564DD1">
        <w:rPr>
          <w:rFonts w:cs="Times New Roman"/>
          <w:b/>
        </w:rPr>
        <w:t>t Projections and Actual CAP Costs</w:t>
      </w:r>
      <w:r w:rsidR="00700E24" w:rsidRPr="00C56376">
        <w:rPr>
          <w:rFonts w:cs="Times New Roman"/>
          <w:b/>
        </w:rPr>
        <w:t xml:space="preserve"> </w:t>
      </w:r>
      <w:r w:rsidR="00700E24" w:rsidRPr="004B2E13">
        <w:rPr>
          <w:rFonts w:cs="Times New Roman"/>
          <w:b/>
        </w:rPr>
        <w:t xml:space="preserve">– Energy Industry </w:t>
      </w:r>
      <w:r w:rsidR="00B57A34">
        <w:rPr>
          <w:rFonts w:cs="Times New Roman"/>
          <w:b/>
          <w:szCs w:val="26"/>
        </w:rPr>
        <w:t>2015-2017</w:t>
      </w:r>
      <w:r w:rsidR="00700E24">
        <w:rPr>
          <w:rFonts w:cs="Times New Roman"/>
          <w:b/>
          <w:szCs w:val="26"/>
        </w:rPr>
        <w:t xml:space="preserve"> </w:t>
      </w:r>
      <w:r w:rsidR="00BE4DE0" w:rsidRPr="00215D3F">
        <w:rPr>
          <w:rFonts w:cs="Times New Roman"/>
          <w:b/>
        </w:rPr>
        <w:t>(EDC + NGDC)</w:t>
      </w:r>
    </w:p>
    <w:tbl>
      <w:tblPr>
        <w:tblW w:w="9354" w:type="dxa"/>
        <w:jc w:val="center"/>
        <w:tblLook w:val="04A0" w:firstRow="1" w:lastRow="0" w:firstColumn="1" w:lastColumn="0" w:noHBand="0" w:noVBand="1"/>
      </w:tblPr>
      <w:tblGrid>
        <w:gridCol w:w="2370"/>
        <w:gridCol w:w="1453"/>
        <w:gridCol w:w="1453"/>
        <w:gridCol w:w="1453"/>
        <w:gridCol w:w="1619"/>
        <w:gridCol w:w="1006"/>
      </w:tblGrid>
      <w:tr w:rsidR="009976D5" w14:paraId="180153E4" w14:textId="77777777" w:rsidTr="001279C9">
        <w:trPr>
          <w:trHeight w:val="312"/>
          <w:jc w:val="center"/>
        </w:trPr>
        <w:tc>
          <w:tcPr>
            <w:tcW w:w="2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B2B81" w14:textId="77777777" w:rsidR="009976D5" w:rsidRDefault="00D610D3">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6540E321" w14:textId="77777777" w:rsidR="009976D5" w:rsidRDefault="00D610D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2015</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05565F14" w14:textId="77777777" w:rsidR="009976D5" w:rsidRDefault="00D610D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2016</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5D8A3FEE" w14:textId="77777777" w:rsidR="009976D5" w:rsidRDefault="00D610D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2017</w:t>
            </w:r>
          </w:p>
        </w:tc>
        <w:tc>
          <w:tcPr>
            <w:tcW w:w="1619" w:type="dxa"/>
            <w:tcBorders>
              <w:top w:val="single" w:sz="4" w:space="0" w:color="auto"/>
              <w:left w:val="nil"/>
              <w:bottom w:val="single" w:sz="4" w:space="0" w:color="auto"/>
              <w:right w:val="single" w:sz="4" w:space="0" w:color="auto"/>
            </w:tcBorders>
            <w:shd w:val="clear" w:color="auto" w:fill="auto"/>
            <w:noWrap/>
            <w:vAlign w:val="bottom"/>
            <w:hideMark/>
          </w:tcPr>
          <w:p w14:paraId="1BC37A1C" w14:textId="77777777" w:rsidR="009976D5" w:rsidRDefault="00D610D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Total</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3530462F" w14:textId="52078CC7" w:rsidR="009976D5" w:rsidRDefault="00ED28DD" w:rsidP="00B0413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Overall </w:t>
            </w:r>
            <w:r w:rsidR="00D610D3">
              <w:rPr>
                <w:rFonts w:ascii="Calibri" w:eastAsia="Times New Roman" w:hAnsi="Calibri" w:cs="Calibri"/>
                <w:b/>
                <w:bCs/>
                <w:color w:val="000000"/>
              </w:rPr>
              <w:t>% Spend</w:t>
            </w:r>
          </w:p>
        </w:tc>
      </w:tr>
      <w:tr w:rsidR="009976D5" w14:paraId="796DF89A" w14:textId="77777777" w:rsidTr="001279C9">
        <w:trPr>
          <w:trHeight w:val="312"/>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5FC0B01" w14:textId="77777777" w:rsidR="009976D5" w:rsidRDefault="00D610D3">
            <w:pPr>
              <w:spacing w:after="0" w:line="240" w:lineRule="auto"/>
              <w:rPr>
                <w:rFonts w:ascii="Calibri" w:eastAsia="Times New Roman" w:hAnsi="Calibri" w:cs="Calibri"/>
                <w:color w:val="000000"/>
              </w:rPr>
            </w:pPr>
            <w:r>
              <w:rPr>
                <w:rFonts w:ascii="Calibri" w:eastAsia="Times New Roman" w:hAnsi="Calibri" w:cs="Calibri"/>
                <w:color w:val="000000"/>
              </w:rPr>
              <w:t>CAP Costs from USECPs</w:t>
            </w:r>
          </w:p>
        </w:tc>
        <w:tc>
          <w:tcPr>
            <w:tcW w:w="1453" w:type="dxa"/>
            <w:tcBorders>
              <w:top w:val="nil"/>
              <w:left w:val="nil"/>
              <w:bottom w:val="single" w:sz="4" w:space="0" w:color="auto"/>
              <w:right w:val="single" w:sz="4" w:space="0" w:color="auto"/>
            </w:tcBorders>
            <w:shd w:val="clear" w:color="auto" w:fill="auto"/>
            <w:noWrap/>
            <w:vAlign w:val="bottom"/>
            <w:hideMark/>
          </w:tcPr>
          <w:p w14:paraId="313EC92E" w14:textId="77777777" w:rsidR="009976D5" w:rsidRDefault="00D610D3">
            <w:pPr>
              <w:spacing w:after="0" w:line="240" w:lineRule="auto"/>
              <w:jc w:val="right"/>
              <w:rPr>
                <w:rFonts w:ascii="Calibri" w:eastAsia="Times New Roman" w:hAnsi="Calibri" w:cs="Calibri"/>
                <w:color w:val="000000"/>
                <w:sz w:val="21"/>
                <w:szCs w:val="21"/>
              </w:rPr>
            </w:pPr>
            <w:r>
              <w:rPr>
                <w:rFonts w:ascii="Calibri" w:eastAsia="Times New Roman" w:hAnsi="Calibri" w:cs="Calibri"/>
                <w:color w:val="000000"/>
                <w:sz w:val="21"/>
                <w:szCs w:val="21"/>
              </w:rPr>
              <w:t>$362,091,155</w:t>
            </w:r>
          </w:p>
        </w:tc>
        <w:tc>
          <w:tcPr>
            <w:tcW w:w="1453" w:type="dxa"/>
            <w:tcBorders>
              <w:top w:val="nil"/>
              <w:left w:val="nil"/>
              <w:bottom w:val="single" w:sz="4" w:space="0" w:color="auto"/>
              <w:right w:val="single" w:sz="4" w:space="0" w:color="auto"/>
            </w:tcBorders>
            <w:shd w:val="clear" w:color="auto" w:fill="auto"/>
            <w:noWrap/>
            <w:vAlign w:val="bottom"/>
            <w:hideMark/>
          </w:tcPr>
          <w:p w14:paraId="50B8BCCE" w14:textId="77777777" w:rsidR="009976D5" w:rsidRDefault="00D610D3">
            <w:pPr>
              <w:spacing w:after="0" w:line="240" w:lineRule="auto"/>
              <w:jc w:val="right"/>
              <w:rPr>
                <w:rFonts w:ascii="Calibri" w:eastAsia="Times New Roman" w:hAnsi="Calibri" w:cs="Calibri"/>
                <w:color w:val="000000"/>
                <w:sz w:val="21"/>
                <w:szCs w:val="21"/>
              </w:rPr>
            </w:pPr>
            <w:r>
              <w:rPr>
                <w:rFonts w:ascii="Calibri" w:eastAsia="Times New Roman" w:hAnsi="Calibri" w:cs="Calibri"/>
                <w:color w:val="000000"/>
                <w:sz w:val="21"/>
                <w:szCs w:val="21"/>
              </w:rPr>
              <w:t>$351,521,805</w:t>
            </w:r>
          </w:p>
        </w:tc>
        <w:tc>
          <w:tcPr>
            <w:tcW w:w="1453" w:type="dxa"/>
            <w:tcBorders>
              <w:top w:val="nil"/>
              <w:left w:val="nil"/>
              <w:bottom w:val="single" w:sz="4" w:space="0" w:color="auto"/>
              <w:right w:val="single" w:sz="4" w:space="0" w:color="auto"/>
            </w:tcBorders>
            <w:shd w:val="clear" w:color="auto" w:fill="auto"/>
            <w:noWrap/>
            <w:vAlign w:val="bottom"/>
            <w:hideMark/>
          </w:tcPr>
          <w:p w14:paraId="5A301588" w14:textId="77777777" w:rsidR="009976D5" w:rsidRDefault="00D610D3">
            <w:pPr>
              <w:spacing w:after="0" w:line="240" w:lineRule="auto"/>
              <w:jc w:val="right"/>
              <w:rPr>
                <w:rFonts w:ascii="Calibri" w:eastAsia="Times New Roman" w:hAnsi="Calibri" w:cs="Calibri"/>
                <w:color w:val="000000"/>
                <w:sz w:val="21"/>
                <w:szCs w:val="21"/>
              </w:rPr>
            </w:pPr>
            <w:r>
              <w:rPr>
                <w:rFonts w:ascii="Calibri" w:eastAsia="Times New Roman" w:hAnsi="Calibri" w:cs="Calibri"/>
                <w:color w:val="000000"/>
                <w:sz w:val="21"/>
                <w:szCs w:val="21"/>
              </w:rPr>
              <w:t>$367,747,093</w:t>
            </w:r>
          </w:p>
        </w:tc>
        <w:tc>
          <w:tcPr>
            <w:tcW w:w="1619" w:type="dxa"/>
            <w:tcBorders>
              <w:top w:val="nil"/>
              <w:left w:val="nil"/>
              <w:bottom w:val="single" w:sz="4" w:space="0" w:color="auto"/>
              <w:right w:val="single" w:sz="4" w:space="0" w:color="auto"/>
            </w:tcBorders>
            <w:shd w:val="clear" w:color="auto" w:fill="auto"/>
            <w:noWrap/>
            <w:vAlign w:val="bottom"/>
            <w:hideMark/>
          </w:tcPr>
          <w:p w14:paraId="01B6F56D" w14:textId="77777777" w:rsidR="009976D5" w:rsidRDefault="00D610D3">
            <w:pPr>
              <w:spacing w:after="0" w:line="240" w:lineRule="auto"/>
              <w:jc w:val="right"/>
              <w:rPr>
                <w:rFonts w:ascii="Calibri" w:eastAsia="Times New Roman" w:hAnsi="Calibri" w:cs="Calibri"/>
                <w:color w:val="000000"/>
                <w:sz w:val="21"/>
                <w:szCs w:val="21"/>
              </w:rPr>
            </w:pPr>
            <w:r>
              <w:rPr>
                <w:rFonts w:ascii="Calibri" w:eastAsia="Times New Roman" w:hAnsi="Calibri" w:cs="Calibri"/>
                <w:color w:val="000000"/>
                <w:sz w:val="21"/>
                <w:szCs w:val="21"/>
              </w:rPr>
              <w:t>$1,081,360,053</w:t>
            </w:r>
          </w:p>
        </w:tc>
        <w:tc>
          <w:tcPr>
            <w:tcW w:w="1006" w:type="dxa"/>
            <w:tcBorders>
              <w:top w:val="nil"/>
              <w:left w:val="nil"/>
              <w:bottom w:val="nil"/>
              <w:right w:val="single" w:sz="4" w:space="0" w:color="auto"/>
            </w:tcBorders>
            <w:shd w:val="clear" w:color="auto" w:fill="FFFFFF" w:themeFill="background1"/>
            <w:noWrap/>
            <w:vAlign w:val="bottom"/>
            <w:hideMark/>
          </w:tcPr>
          <w:p w14:paraId="62F2031A" w14:textId="77777777" w:rsidR="009976D5" w:rsidRDefault="00D610D3">
            <w:pPr>
              <w:spacing w:after="0" w:line="240" w:lineRule="auto"/>
              <w:rPr>
                <w:rFonts w:ascii="Calibri" w:eastAsia="Times New Roman" w:hAnsi="Calibri" w:cs="Calibri"/>
                <w:color w:val="000000"/>
              </w:rPr>
            </w:pPr>
            <w:r>
              <w:rPr>
                <w:rFonts w:ascii="Calibri" w:eastAsia="Times New Roman" w:hAnsi="Calibri" w:cs="Calibri"/>
                <w:color w:val="000000"/>
              </w:rPr>
              <w:t> </w:t>
            </w:r>
          </w:p>
        </w:tc>
      </w:tr>
      <w:tr w:rsidR="009976D5" w14:paraId="36E75980" w14:textId="77777777" w:rsidTr="001279C9">
        <w:trPr>
          <w:trHeight w:val="312"/>
          <w:jc w:val="center"/>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0AE71BF7" w14:textId="77777777" w:rsidR="009976D5" w:rsidRDefault="00D610D3">
            <w:pPr>
              <w:spacing w:after="0" w:line="240" w:lineRule="auto"/>
              <w:rPr>
                <w:rFonts w:ascii="Calibri" w:eastAsia="Times New Roman" w:hAnsi="Calibri" w:cs="Calibri"/>
                <w:color w:val="000000"/>
              </w:rPr>
            </w:pPr>
            <w:r>
              <w:rPr>
                <w:rFonts w:ascii="Calibri" w:eastAsia="Times New Roman" w:hAnsi="Calibri" w:cs="Calibri"/>
                <w:color w:val="000000"/>
              </w:rPr>
              <w:t>Actual USR CAP Costs</w:t>
            </w:r>
          </w:p>
        </w:tc>
        <w:tc>
          <w:tcPr>
            <w:tcW w:w="1453" w:type="dxa"/>
            <w:tcBorders>
              <w:top w:val="nil"/>
              <w:left w:val="nil"/>
              <w:bottom w:val="single" w:sz="4" w:space="0" w:color="auto"/>
              <w:right w:val="single" w:sz="4" w:space="0" w:color="auto"/>
            </w:tcBorders>
            <w:shd w:val="clear" w:color="auto" w:fill="auto"/>
            <w:noWrap/>
            <w:vAlign w:val="bottom"/>
            <w:hideMark/>
          </w:tcPr>
          <w:p w14:paraId="5F289B7C" w14:textId="77777777" w:rsidR="009976D5" w:rsidRDefault="00D610D3">
            <w:pPr>
              <w:spacing w:after="0" w:line="240" w:lineRule="auto"/>
              <w:jc w:val="right"/>
              <w:rPr>
                <w:rFonts w:ascii="Calibri" w:eastAsia="Times New Roman" w:hAnsi="Calibri" w:cs="Calibri"/>
                <w:color w:val="000000"/>
                <w:sz w:val="21"/>
                <w:szCs w:val="21"/>
              </w:rPr>
            </w:pPr>
            <w:r>
              <w:rPr>
                <w:rFonts w:ascii="Calibri" w:eastAsia="Times New Roman" w:hAnsi="Calibri" w:cs="Calibri"/>
                <w:color w:val="000000"/>
                <w:sz w:val="21"/>
                <w:szCs w:val="21"/>
              </w:rPr>
              <w:t>$348,439,656</w:t>
            </w:r>
          </w:p>
        </w:tc>
        <w:tc>
          <w:tcPr>
            <w:tcW w:w="1453" w:type="dxa"/>
            <w:tcBorders>
              <w:top w:val="nil"/>
              <w:left w:val="nil"/>
              <w:bottom w:val="single" w:sz="4" w:space="0" w:color="auto"/>
              <w:right w:val="single" w:sz="4" w:space="0" w:color="auto"/>
            </w:tcBorders>
            <w:shd w:val="clear" w:color="auto" w:fill="auto"/>
            <w:noWrap/>
            <w:vAlign w:val="bottom"/>
            <w:hideMark/>
          </w:tcPr>
          <w:p w14:paraId="33E1CC33" w14:textId="77777777" w:rsidR="009976D5" w:rsidRDefault="00D610D3">
            <w:pPr>
              <w:spacing w:after="0" w:line="240" w:lineRule="auto"/>
              <w:jc w:val="right"/>
              <w:rPr>
                <w:rFonts w:ascii="Calibri" w:eastAsia="Times New Roman" w:hAnsi="Calibri" w:cs="Calibri"/>
                <w:color w:val="000000"/>
                <w:sz w:val="21"/>
                <w:szCs w:val="21"/>
              </w:rPr>
            </w:pPr>
            <w:r>
              <w:rPr>
                <w:rFonts w:ascii="Calibri" w:eastAsia="Times New Roman" w:hAnsi="Calibri" w:cs="Calibri"/>
                <w:color w:val="000000"/>
                <w:sz w:val="21"/>
                <w:szCs w:val="21"/>
              </w:rPr>
              <w:t>$327,338,456</w:t>
            </w:r>
          </w:p>
        </w:tc>
        <w:tc>
          <w:tcPr>
            <w:tcW w:w="1453" w:type="dxa"/>
            <w:tcBorders>
              <w:top w:val="nil"/>
              <w:left w:val="nil"/>
              <w:bottom w:val="single" w:sz="4" w:space="0" w:color="auto"/>
              <w:right w:val="single" w:sz="4" w:space="0" w:color="auto"/>
            </w:tcBorders>
            <w:shd w:val="clear" w:color="auto" w:fill="auto"/>
            <w:noWrap/>
            <w:vAlign w:val="bottom"/>
            <w:hideMark/>
          </w:tcPr>
          <w:p w14:paraId="7863866F" w14:textId="77777777" w:rsidR="009976D5" w:rsidRDefault="00D610D3">
            <w:pPr>
              <w:spacing w:after="0" w:line="240" w:lineRule="auto"/>
              <w:jc w:val="right"/>
              <w:rPr>
                <w:rFonts w:ascii="Calibri" w:eastAsia="Times New Roman" w:hAnsi="Calibri" w:cs="Calibri"/>
                <w:color w:val="000000"/>
                <w:sz w:val="21"/>
                <w:szCs w:val="21"/>
              </w:rPr>
            </w:pPr>
            <w:r>
              <w:rPr>
                <w:rFonts w:ascii="Calibri" w:eastAsia="Times New Roman" w:hAnsi="Calibri" w:cs="Calibri"/>
                <w:color w:val="000000"/>
                <w:sz w:val="21"/>
                <w:szCs w:val="21"/>
              </w:rPr>
              <w:t>$325,596,206</w:t>
            </w:r>
          </w:p>
        </w:tc>
        <w:tc>
          <w:tcPr>
            <w:tcW w:w="1619" w:type="dxa"/>
            <w:tcBorders>
              <w:top w:val="nil"/>
              <w:left w:val="nil"/>
              <w:bottom w:val="single" w:sz="4" w:space="0" w:color="auto"/>
              <w:right w:val="single" w:sz="4" w:space="0" w:color="auto"/>
            </w:tcBorders>
            <w:shd w:val="clear" w:color="auto" w:fill="auto"/>
            <w:noWrap/>
            <w:vAlign w:val="bottom"/>
            <w:hideMark/>
          </w:tcPr>
          <w:p w14:paraId="1D293C39" w14:textId="77777777" w:rsidR="009976D5" w:rsidRDefault="00D610D3">
            <w:pPr>
              <w:spacing w:after="0" w:line="240" w:lineRule="auto"/>
              <w:jc w:val="right"/>
              <w:rPr>
                <w:rFonts w:ascii="Calibri" w:eastAsia="Times New Roman" w:hAnsi="Calibri" w:cs="Calibri"/>
                <w:color w:val="000000"/>
                <w:sz w:val="21"/>
                <w:szCs w:val="21"/>
              </w:rPr>
            </w:pPr>
            <w:r>
              <w:rPr>
                <w:rFonts w:ascii="Calibri" w:eastAsia="Times New Roman" w:hAnsi="Calibri" w:cs="Calibri"/>
                <w:color w:val="000000"/>
                <w:sz w:val="21"/>
                <w:szCs w:val="21"/>
              </w:rPr>
              <w:t>$1,001,374,318</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51F81FC3" w14:textId="77777777" w:rsidR="009976D5" w:rsidRDefault="00D610D3">
            <w:pPr>
              <w:spacing w:after="0" w:line="240" w:lineRule="auto"/>
              <w:jc w:val="right"/>
              <w:rPr>
                <w:rFonts w:ascii="Calibri" w:eastAsia="Times New Roman" w:hAnsi="Calibri" w:cs="Calibri"/>
                <w:color w:val="000000"/>
              </w:rPr>
            </w:pPr>
            <w:r>
              <w:rPr>
                <w:rFonts w:ascii="Calibri" w:eastAsia="Times New Roman" w:hAnsi="Calibri" w:cs="Calibri"/>
                <w:color w:val="000000"/>
              </w:rPr>
              <w:t>92.6%</w:t>
            </w:r>
          </w:p>
        </w:tc>
      </w:tr>
    </w:tbl>
    <w:p w14:paraId="07593E80" w14:textId="485B2137" w:rsidR="007934A5" w:rsidRDefault="007934A5" w:rsidP="00FE510D">
      <w:pPr>
        <w:spacing w:after="0" w:line="240" w:lineRule="auto"/>
        <w:jc w:val="center"/>
        <w:rPr>
          <w:rFonts w:ascii="Times New Roman" w:hAnsi="Times New Roman" w:cs="Times New Roman"/>
          <w:color w:val="2F5496" w:themeColor="accent1" w:themeShade="BF"/>
          <w:sz w:val="26"/>
          <w:szCs w:val="26"/>
        </w:rPr>
      </w:pPr>
    </w:p>
    <w:p w14:paraId="6B1607A1" w14:textId="77777777" w:rsidR="007934A5" w:rsidRDefault="007934A5">
      <w:pPr>
        <w:rPr>
          <w:rFonts w:ascii="Times New Roman" w:hAnsi="Times New Roman" w:cs="Times New Roman"/>
          <w:color w:val="2F5496" w:themeColor="accent1" w:themeShade="BF"/>
          <w:sz w:val="26"/>
          <w:szCs w:val="26"/>
        </w:rPr>
      </w:pPr>
      <w:r>
        <w:rPr>
          <w:rFonts w:ascii="Times New Roman" w:hAnsi="Times New Roman" w:cs="Times New Roman"/>
          <w:color w:val="2F5496" w:themeColor="accent1" w:themeShade="BF"/>
          <w:sz w:val="26"/>
          <w:szCs w:val="26"/>
        </w:rPr>
        <w:br w:type="page"/>
      </w:r>
    </w:p>
    <w:p w14:paraId="73C42F65" w14:textId="5ED7F136" w:rsidR="00071E2B" w:rsidRPr="007E6521" w:rsidRDefault="009B5684" w:rsidP="009B5684">
      <w:pPr>
        <w:spacing w:after="0" w:line="240" w:lineRule="auto"/>
        <w:ind w:left="-1440" w:right="-1440"/>
        <w:jc w:val="center"/>
        <w:rPr>
          <w:rFonts w:ascii="Times New Roman" w:hAnsi="Times New Roman" w:cs="Times New Roman"/>
          <w:color w:val="2F5496" w:themeColor="accent1" w:themeShade="BF"/>
          <w:sz w:val="26"/>
          <w:szCs w:val="26"/>
        </w:rPr>
      </w:pPr>
      <w:r>
        <w:rPr>
          <w:rFonts w:ascii="Times New Roman" w:hAnsi="Times New Roman" w:cs="Times New Roman"/>
          <w:noProof/>
          <w:color w:val="2F5496" w:themeColor="accent1" w:themeShade="BF"/>
          <w:sz w:val="26"/>
          <w:szCs w:val="26"/>
        </w:rPr>
        <w:lastRenderedPageBreak/>
        <w:drawing>
          <wp:inline distT="0" distB="0" distL="0" distR="0" wp14:anchorId="1D4D7B16" wp14:editId="153BEF73">
            <wp:extent cx="7839075" cy="10039350"/>
            <wp:effectExtent l="0" t="0" r="9525" b="0"/>
            <wp:docPr id="9" name="Picture 9"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ergy Affordability_back cover-lo-rez.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839075" cy="10039350"/>
                    </a:xfrm>
                    <a:prstGeom prst="rect">
                      <a:avLst/>
                    </a:prstGeom>
                  </pic:spPr>
                </pic:pic>
              </a:graphicData>
            </a:graphic>
          </wp:inline>
        </w:drawing>
      </w:r>
      <w:bookmarkStart w:id="88" w:name="_GoBack"/>
      <w:bookmarkEnd w:id="88"/>
    </w:p>
    <w:sectPr w:rsidR="00071E2B" w:rsidRPr="007E6521" w:rsidSect="009B5684">
      <w:headerReference w:type="first" r:id="rId87"/>
      <w:pgSz w:w="12240" w:h="15840"/>
      <w:pgMar w:top="0" w:right="1440" w:bottom="1440" w:left="1440" w:header="720" w:footer="288" w:gutter="0"/>
      <w:pgNumType w:fmt="low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10CE8" w14:textId="77777777" w:rsidR="002F705F" w:rsidRDefault="002F705F" w:rsidP="0047034E">
      <w:pPr>
        <w:spacing w:after="0" w:line="240" w:lineRule="auto"/>
      </w:pPr>
      <w:r>
        <w:separator/>
      </w:r>
    </w:p>
  </w:endnote>
  <w:endnote w:type="continuationSeparator" w:id="0">
    <w:p w14:paraId="03573759" w14:textId="77777777" w:rsidR="002F705F" w:rsidRDefault="002F705F" w:rsidP="0047034E">
      <w:pPr>
        <w:spacing w:after="0" w:line="240" w:lineRule="auto"/>
      </w:pPr>
      <w:r>
        <w:continuationSeparator/>
      </w:r>
    </w:p>
  </w:endnote>
  <w:endnote w:type="continuationNotice" w:id="1">
    <w:p w14:paraId="5F39F1C8" w14:textId="77777777" w:rsidR="002F705F" w:rsidRDefault="002F70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DF402" w14:textId="77777777" w:rsidR="009B1A73" w:rsidRPr="00285A89" w:rsidRDefault="009B1A73" w:rsidP="00851815">
    <w:pPr>
      <w:pStyle w:val="Footer"/>
      <w:jc w:val="center"/>
      <w:rPr>
        <w:rFonts w:ascii="Times New Roman" w:hAnsi="Times New Roman" w:cs="Times New Roman"/>
      </w:rPr>
    </w:pPr>
    <w:r w:rsidRPr="00285A89">
      <w:rPr>
        <w:rFonts w:ascii="Times New Roman" w:hAnsi="Times New Roman" w:cs="Times New Roman"/>
      </w:rPr>
      <w:fldChar w:fldCharType="begin"/>
    </w:r>
    <w:r w:rsidRPr="00285A89">
      <w:rPr>
        <w:rFonts w:ascii="Times New Roman" w:hAnsi="Times New Roman" w:cs="Times New Roman"/>
      </w:rPr>
      <w:instrText xml:space="preserve"> PAGE   \* MERGEFORMAT </w:instrText>
    </w:r>
    <w:r w:rsidRPr="00285A89">
      <w:rPr>
        <w:rFonts w:ascii="Times New Roman" w:hAnsi="Times New Roman" w:cs="Times New Roman"/>
      </w:rPr>
      <w:fldChar w:fldCharType="separate"/>
    </w:r>
    <w:r w:rsidRPr="00285A89">
      <w:rPr>
        <w:rFonts w:ascii="Times New Roman" w:hAnsi="Times New Roman" w:cs="Times New Roman"/>
      </w:rPr>
      <w:t>xix</w:t>
    </w:r>
    <w:r w:rsidRPr="00285A89">
      <w:rPr>
        <w:rFonts w:ascii="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1452A" w14:textId="77777777" w:rsidR="009B1A73" w:rsidRDefault="009B1A7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051BC" w14:textId="77777777" w:rsidR="002F705F" w:rsidRDefault="002F705F" w:rsidP="0047034E">
      <w:pPr>
        <w:spacing w:after="0" w:line="240" w:lineRule="auto"/>
      </w:pPr>
      <w:r>
        <w:separator/>
      </w:r>
    </w:p>
  </w:footnote>
  <w:footnote w:type="continuationSeparator" w:id="0">
    <w:p w14:paraId="0BD0C18D" w14:textId="77777777" w:rsidR="002F705F" w:rsidRDefault="002F705F" w:rsidP="0047034E">
      <w:pPr>
        <w:spacing w:after="0" w:line="240" w:lineRule="auto"/>
      </w:pPr>
      <w:r>
        <w:continuationSeparator/>
      </w:r>
    </w:p>
  </w:footnote>
  <w:footnote w:type="continuationNotice" w:id="1">
    <w:p w14:paraId="6059B12E" w14:textId="77777777" w:rsidR="002F705F" w:rsidRDefault="002F705F">
      <w:pPr>
        <w:spacing w:after="0" w:line="240" w:lineRule="auto"/>
      </w:pPr>
    </w:p>
  </w:footnote>
  <w:footnote w:id="2">
    <w:p w14:paraId="70F51BE8" w14:textId="77777777" w:rsidR="009B1A73" w:rsidRPr="00EE5714" w:rsidRDefault="009B1A73" w:rsidP="00062137">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This report is </w:t>
      </w:r>
      <w:r w:rsidRPr="00EE5714">
        <w:rPr>
          <w:rFonts w:ascii="Times New Roman" w:eastAsia="Calibri" w:hAnsi="Times New Roman" w:cs="Times New Roman"/>
          <w:sz w:val="24"/>
          <w:szCs w:val="24"/>
        </w:rPr>
        <w:t xml:space="preserve">solely the work product of staff and does not reflect the opinions of the Commission or actions that it may take in the future.  </w:t>
      </w:r>
      <w:r w:rsidRPr="00EE5714">
        <w:rPr>
          <w:rFonts w:ascii="Times New Roman" w:hAnsi="Times New Roman" w:cs="Times New Roman"/>
          <w:sz w:val="24"/>
          <w:szCs w:val="24"/>
        </w:rPr>
        <w:t>The legal, policy, and procedural issues raised in this matter remain under Commission review and may be factored into a subsequent order at this or other dockets.  The report will be published, and comment and reply comments periods will be established.</w:t>
      </w:r>
    </w:p>
  </w:footnote>
  <w:footnote w:id="3">
    <w:p w14:paraId="583E63E8" w14:textId="77777777" w:rsidR="009B1A73" w:rsidRPr="00EE5714" w:rsidRDefault="009B1A73" w:rsidP="007D5F8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For the purposes of this staff report, a household’s energy burden is the percentage of household income dedicated to paying jurisdictional energy costs.</w:t>
      </w:r>
    </w:p>
  </w:footnote>
  <w:footnote w:id="4">
    <w:p w14:paraId="606CE8D0" w14:textId="3DB1235E" w:rsidR="009B1A73" w:rsidRPr="00EE5714" w:rsidRDefault="009B1A73" w:rsidP="00275A84">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 Commission’s </w:t>
      </w:r>
      <w:r w:rsidRPr="00EE5714">
        <w:rPr>
          <w:rFonts w:ascii="Times New Roman" w:eastAsia="Calibri" w:hAnsi="Times New Roman" w:cs="Times New Roman"/>
          <w:sz w:val="24"/>
          <w:szCs w:val="24"/>
        </w:rPr>
        <w:t>Consumer Services Information System</w:t>
      </w:r>
      <w:r w:rsidRPr="00EE5714">
        <w:rPr>
          <w:rFonts w:ascii="Times New Roman" w:hAnsi="Times New Roman" w:cs="Times New Roman"/>
          <w:sz w:val="24"/>
          <w:szCs w:val="24"/>
        </w:rPr>
        <w:t xml:space="preserve"> (CSIS) Project at Pennsylvania State University assisted with the collation and processing of raw data and information and the review of the published studies.</w:t>
      </w:r>
    </w:p>
  </w:footnote>
  <w:footnote w:id="5">
    <w:p w14:paraId="6C8B950B" w14:textId="2D2D3784"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There is no similar guideline relative to low-income customers not enrolled in a CAP.</w:t>
      </w:r>
    </w:p>
  </w:footnote>
  <w:footnote w:id="6">
    <w:p w14:paraId="2FD4ADD3" w14:textId="6D8D9FBF"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Staff obtained data from the U.S. Census to determine average incomes for Pennsylvania non-CAP residential customers.</w:t>
      </w:r>
    </w:p>
  </w:footnote>
  <w:footnote w:id="7">
    <w:p w14:paraId="41E1B810"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 </w:t>
      </w:r>
      <w:r w:rsidRPr="00EE5714">
        <w:rPr>
          <w:rFonts w:ascii="Times New Roman" w:hAnsi="Times New Roman" w:cs="Times New Roman"/>
          <w:sz w:val="24"/>
          <w:szCs w:val="24"/>
          <w:u w:val="single"/>
        </w:rPr>
        <w:t>combined</w:t>
      </w:r>
      <w:r w:rsidRPr="00EE5714">
        <w:rPr>
          <w:rFonts w:ascii="Times New Roman" w:hAnsi="Times New Roman" w:cs="Times New Roman"/>
          <w:sz w:val="24"/>
          <w:szCs w:val="24"/>
        </w:rPr>
        <w:t xml:space="preserve"> NGDC heating and EDC non-heating energy burden for CAP customers ranged between 12% and 14%.</w:t>
      </w:r>
    </w:p>
  </w:footnote>
  <w:footnote w:id="8">
    <w:p w14:paraId="257C09CF" w14:textId="646586C8"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However, these assumptions cannot be confirmed from available data.</w:t>
      </w:r>
    </w:p>
  </w:footnote>
  <w:footnote w:id="9">
    <w:p w14:paraId="117251D2" w14:textId="06D31835"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Pennsylvania State Data Center, Penn State Harrisburg.  (October 2012).  Pennsylvania’s Urban and Rural Population.  Retrieved from </w:t>
      </w:r>
      <w:hyperlink r:id="rId1" w:history="1">
        <w:r w:rsidRPr="00EE5714">
          <w:rPr>
            <w:rStyle w:val="Hyperlink"/>
            <w:rFonts w:ascii="Times New Roman" w:hAnsi="Times New Roman" w:cs="Times New Roman"/>
            <w:sz w:val="24"/>
            <w:szCs w:val="24"/>
          </w:rPr>
          <w:t>http://pasdc.hbg.psu.edu/sdc/pasdc_files/researchbriefs/Urban_Rural_SF1_RB.pdf</w:t>
        </w:r>
      </w:hyperlink>
      <w:r w:rsidRPr="00EE5714">
        <w:rPr>
          <w:rFonts w:ascii="Times New Roman" w:hAnsi="Times New Roman" w:cs="Times New Roman"/>
          <w:sz w:val="24"/>
          <w:szCs w:val="24"/>
        </w:rPr>
        <w:t xml:space="preserve">. </w:t>
      </w:r>
    </w:p>
  </w:footnote>
  <w:footnote w:id="10">
    <w:p w14:paraId="0B5F1B67" w14:textId="77777777" w:rsidR="009B1A73" w:rsidRPr="00EE5714" w:rsidRDefault="009B1A73" w:rsidP="003E6D5B">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Table B11001</w:t>
      </w:r>
      <w:proofErr w:type="gramStart"/>
      <w:r w:rsidRPr="00EE5714">
        <w:rPr>
          <w:rFonts w:ascii="Times New Roman" w:hAnsi="Times New Roman" w:cs="Times New Roman"/>
          <w:sz w:val="24"/>
          <w:szCs w:val="24"/>
        </w:rPr>
        <w:t xml:space="preserve">. </w:t>
      </w:r>
      <w:proofErr w:type="gramEnd"/>
      <w:r w:rsidRPr="00EE5714">
        <w:rPr>
          <w:rFonts w:ascii="Times New Roman" w:hAnsi="Times New Roman" w:cs="Times New Roman"/>
          <w:sz w:val="24"/>
          <w:szCs w:val="24"/>
        </w:rPr>
        <w:t>Household Type (Including Living Alone) (Universe - Households) - 5 Year Estimates.  Table B11002</w:t>
      </w:r>
      <w:proofErr w:type="gramStart"/>
      <w:r w:rsidRPr="00EE5714">
        <w:rPr>
          <w:rFonts w:ascii="Times New Roman" w:hAnsi="Times New Roman" w:cs="Times New Roman"/>
          <w:sz w:val="24"/>
          <w:szCs w:val="24"/>
        </w:rPr>
        <w:t xml:space="preserve">. </w:t>
      </w:r>
      <w:proofErr w:type="gramEnd"/>
      <w:r w:rsidRPr="00EE5714">
        <w:rPr>
          <w:rFonts w:ascii="Times New Roman" w:hAnsi="Times New Roman" w:cs="Times New Roman"/>
          <w:sz w:val="24"/>
          <w:szCs w:val="24"/>
        </w:rPr>
        <w:t>Household Type by Relatives and Nonrelatives for Population in Households (Universe - Population) - 5 Year Estimates.</w:t>
      </w:r>
    </w:p>
  </w:footnote>
  <w:footnote w:id="11">
    <w:p w14:paraId="65026A6E" w14:textId="6D83BED1"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2012-2016 ACS 5-Year Estimates.</w:t>
      </w:r>
    </w:p>
  </w:footnote>
  <w:footnote w:id="12">
    <w:p w14:paraId="5AAAECDF" w14:textId="77777777" w:rsidR="009B1A73" w:rsidRPr="00EE5714" w:rsidRDefault="009B1A73" w:rsidP="00FE0405">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Approximately 15% of Pennsylvania residents were age 65 and over and 23% were under the age of 18.  2012-2016 ACS 5-Year Estimates.</w:t>
      </w:r>
    </w:p>
  </w:footnote>
  <w:footnote w:id="13">
    <w:p w14:paraId="6A4E1887"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i/>
          <w:sz w:val="24"/>
          <w:szCs w:val="24"/>
        </w:rPr>
        <w:t>See</w:t>
      </w:r>
      <w:r w:rsidRPr="00EE5714">
        <w:rPr>
          <w:rFonts w:ascii="Times New Roman" w:hAnsi="Times New Roman" w:cs="Times New Roman"/>
          <w:sz w:val="24"/>
          <w:szCs w:val="24"/>
        </w:rPr>
        <w:t xml:space="preserve"> Appendix 1 for demographic profiles for each NGDC and EDC service territory.</w:t>
      </w:r>
    </w:p>
  </w:footnote>
  <w:footnote w:id="14">
    <w:p w14:paraId="510FD400"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 requirement of a missed payment arrangement has been somewhat eased over the years by Commission orders regarding individual utility universal service programs.</w:t>
      </w:r>
    </w:p>
  </w:footnote>
  <w:footnote w:id="15">
    <w:p w14:paraId="6744DF7C" w14:textId="77777777" w:rsidR="009B1A73" w:rsidRPr="00EE5714" w:rsidRDefault="009B1A73" w:rsidP="00436DDB">
      <w:pPr>
        <w:spacing w:after="0" w:line="240" w:lineRule="auto"/>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52 Pa. Code § 69.265(2)(</w:t>
      </w:r>
      <w:proofErr w:type="gramStart"/>
      <w:r w:rsidRPr="00EE5714">
        <w:rPr>
          <w:rFonts w:ascii="Times New Roman" w:hAnsi="Times New Roman" w:cs="Times New Roman"/>
          <w:sz w:val="24"/>
          <w:szCs w:val="24"/>
        </w:rPr>
        <w:t>i)(</w:t>
      </w:r>
      <w:proofErr w:type="gramEnd"/>
      <w:r w:rsidRPr="00EE5714">
        <w:rPr>
          <w:rFonts w:ascii="Times New Roman" w:hAnsi="Times New Roman" w:cs="Times New Roman"/>
          <w:sz w:val="24"/>
          <w:szCs w:val="24"/>
        </w:rPr>
        <w:t>A-C).</w:t>
      </w:r>
    </w:p>
  </w:footnote>
  <w:footnote w:id="16">
    <w:p w14:paraId="583E8FEE" w14:textId="77777777" w:rsidR="009B1A73" w:rsidRPr="00EE5714" w:rsidRDefault="009B1A73" w:rsidP="00436DDB">
      <w:pPr>
        <w:spacing w:after="0" w:line="240" w:lineRule="auto"/>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eastAsia="Times New Roman" w:hAnsi="Times New Roman" w:cs="Times New Roman"/>
          <w:sz w:val="24"/>
          <w:szCs w:val="24"/>
        </w:rPr>
        <w:t xml:space="preserve">Section 2202 defines “universal service and energy conservation” as the “[p]olicies, practices and services that help residential low-income retail gas customers and other residential retail gas customers experiencing temporary emergencies, as defined by the [C]ommission, to maintain natural gas supply and distribution services.  The term includes retail gas [CAPs], termination of service protections and consumer protection policies and services that help residential low-income customers and other residential customers experiencing temporary emergencies to reduce or manage energy consumption in a cost-effective manner, such as [LIURPs] and consumer education.”  </w:t>
      </w:r>
      <w:r w:rsidRPr="00EE5714">
        <w:rPr>
          <w:rFonts w:ascii="Times New Roman" w:hAnsi="Times New Roman" w:cs="Times New Roman"/>
          <w:sz w:val="24"/>
          <w:szCs w:val="24"/>
        </w:rPr>
        <w:t xml:space="preserve">Section 2803 defines universal service and energy conservation as the “[p]olicies, protections and services that help low-income customers to maintain electric service.  The term includes [CAPs], termination of service protection and policies and services that help low-income customers to reduce or manage energy consumption in a cost-effective manner, such as [LIURPs], application of renewable resources and consumer education.” </w:t>
      </w:r>
    </w:p>
  </w:footnote>
  <w:footnote w:id="17">
    <w:p w14:paraId="73248F46" w14:textId="77777777" w:rsidR="009B1A73" w:rsidRPr="00EE5714" w:rsidRDefault="009B1A73" w:rsidP="009A466E">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color w:val="000000"/>
          <w:sz w:val="24"/>
          <w:szCs w:val="24"/>
        </w:rPr>
        <w:t xml:space="preserve">The proceeding at Docket No. M-00051923 was closed December 18, 2006, and staff was directed to revise the CAP Policy Statement (OP 1) and to initiate a rulemaking regarding funding and design of CAPs (OP 2).  Two proceedings were opened: </w:t>
      </w:r>
      <w:r w:rsidRPr="00EE5714">
        <w:rPr>
          <w:rFonts w:ascii="Times New Roman" w:hAnsi="Times New Roman" w:cs="Times New Roman"/>
          <w:i/>
          <w:color w:val="000000"/>
          <w:sz w:val="24"/>
          <w:szCs w:val="24"/>
        </w:rPr>
        <w:t>Proposed Revision to CAP Policy Statement</w:t>
      </w:r>
      <w:r w:rsidRPr="00EE5714">
        <w:rPr>
          <w:rFonts w:ascii="Times New Roman" w:hAnsi="Times New Roman" w:cs="Times New Roman"/>
          <w:color w:val="000000"/>
          <w:sz w:val="24"/>
          <w:szCs w:val="24"/>
        </w:rPr>
        <w:t>, Docket No, M</w:t>
      </w:r>
      <w:r w:rsidRPr="00EE5714">
        <w:rPr>
          <w:rFonts w:ascii="Times New Roman" w:hAnsi="Times New Roman" w:cs="Times New Roman"/>
          <w:color w:val="000000"/>
          <w:sz w:val="24"/>
          <w:szCs w:val="24"/>
        </w:rPr>
        <w:noBreakHyphen/>
        <w:t xml:space="preserve">00072036 (order entered September 5, 2007), and </w:t>
      </w:r>
      <w:r w:rsidRPr="00EE5714">
        <w:rPr>
          <w:rFonts w:ascii="Times New Roman" w:hAnsi="Times New Roman" w:cs="Times New Roman"/>
          <w:i/>
          <w:color w:val="000000"/>
          <w:sz w:val="24"/>
          <w:szCs w:val="24"/>
        </w:rPr>
        <w:t>Proposed Rulemaking relating to Universal Service and Energy Conservation Reporting Requirements</w:t>
      </w:r>
      <w:r w:rsidRPr="00EE5714">
        <w:rPr>
          <w:rFonts w:ascii="Times New Roman" w:hAnsi="Times New Roman" w:cs="Times New Roman"/>
          <w:color w:val="000000"/>
          <w:sz w:val="24"/>
          <w:szCs w:val="24"/>
        </w:rPr>
        <w:t>, Docket No, L</w:t>
      </w:r>
      <w:r w:rsidRPr="00EE5714">
        <w:rPr>
          <w:rFonts w:ascii="Times New Roman" w:hAnsi="Times New Roman" w:cs="Times New Roman"/>
          <w:color w:val="000000"/>
          <w:sz w:val="24"/>
          <w:szCs w:val="24"/>
        </w:rPr>
        <w:noBreakHyphen/>
        <w:t>00070186 (order entered September 4, 2007).  These dockets were closed by Commission order entered May 10, 2012, due, in part, to “changes to the LIHEAP policy and the initiation of a stakeholder process studying the treatment of universal service customers in an enhanced competitive retail electricity market</w:t>
      </w:r>
      <w:proofErr w:type="gramStart"/>
      <w:r w:rsidRPr="00EE5714">
        <w:rPr>
          <w:rFonts w:ascii="Times New Roman" w:hAnsi="Times New Roman" w:cs="Times New Roman"/>
          <w:color w:val="000000"/>
          <w:sz w:val="24"/>
          <w:szCs w:val="24"/>
        </w:rPr>
        <w:t>. . . .</w:t>
      </w:r>
      <w:proofErr w:type="gramEnd"/>
      <w:r w:rsidRPr="00EE5714">
        <w:rPr>
          <w:rFonts w:ascii="Times New Roman" w:hAnsi="Times New Roman" w:cs="Times New Roman"/>
          <w:color w:val="000000"/>
          <w:sz w:val="24"/>
          <w:szCs w:val="24"/>
        </w:rPr>
        <w:t xml:space="preserve">  [</w:t>
      </w:r>
      <w:r w:rsidRPr="00EE5714">
        <w:rPr>
          <w:rFonts w:ascii="Times New Roman" w:hAnsi="Times New Roman" w:cs="Times New Roman"/>
          <w:i/>
          <w:iCs/>
          <w:color w:val="000000"/>
          <w:sz w:val="24"/>
          <w:szCs w:val="24"/>
        </w:rPr>
        <w:t>See</w:t>
      </w:r>
      <w:r w:rsidRPr="00EE5714">
        <w:rPr>
          <w:rFonts w:ascii="Times New Roman" w:hAnsi="Times New Roman" w:cs="Times New Roman"/>
          <w:color w:val="000000"/>
          <w:sz w:val="24"/>
          <w:szCs w:val="24"/>
        </w:rPr>
        <w:t xml:space="preserve"> </w:t>
      </w:r>
      <w:r w:rsidRPr="00EE5714">
        <w:rPr>
          <w:rFonts w:ascii="Times New Roman" w:hAnsi="Times New Roman" w:cs="Times New Roman"/>
          <w:i/>
          <w:iCs/>
          <w:color w:val="000000"/>
          <w:sz w:val="24"/>
          <w:szCs w:val="24"/>
        </w:rPr>
        <w:t>Investigation of Pennsylvania’s Retail Electricity Market</w:t>
      </w:r>
      <w:r w:rsidRPr="00EE5714">
        <w:rPr>
          <w:rFonts w:ascii="Times New Roman" w:hAnsi="Times New Roman" w:cs="Times New Roman"/>
          <w:color w:val="000000"/>
          <w:sz w:val="24"/>
          <w:szCs w:val="24"/>
        </w:rPr>
        <w:t>, Docket No. I</w:t>
      </w:r>
      <w:r w:rsidRPr="00EE5714">
        <w:rPr>
          <w:rFonts w:ascii="Times New Roman" w:hAnsi="Times New Roman" w:cs="Times New Roman"/>
          <w:color w:val="000000"/>
          <w:sz w:val="24"/>
          <w:szCs w:val="24"/>
        </w:rPr>
        <w:noBreakHyphen/>
        <w:t>2011-2237952.] . . .  A new rulemaking and amended policy statement will be initiated in the future after these issues have been resolved and the stakeholder process completed.”  May 10, 2012 Order at</w:t>
      </w:r>
      <w:r w:rsidRPr="00EE5714">
        <w:rPr>
          <w:rFonts w:ascii="Times New Roman" w:hAnsi="Times New Roman" w:cs="Times New Roman"/>
          <w:color w:val="000000"/>
          <w:sz w:val="24"/>
          <w:szCs w:val="24"/>
        </w:rPr>
        <w:noBreakHyphen/>
        <w:t>12</w:t>
      </w:r>
      <w:r w:rsidRPr="00EE5714">
        <w:rPr>
          <w:rFonts w:ascii="Times New Roman" w:hAnsi="Times New Roman" w:cs="Times New Roman"/>
          <w:color w:val="000000"/>
          <w:sz w:val="24"/>
          <w:szCs w:val="24"/>
        </w:rPr>
        <w:noBreakHyphen/>
        <w:t xml:space="preserve">14,  </w:t>
      </w:r>
    </w:p>
  </w:footnote>
  <w:footnote w:id="18">
    <w:p w14:paraId="5C996D42"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Fisher, Sheehan, &amp; Colton, cited and discussed in greater detail below, use “affordability gap” to refer to the difference between </w:t>
      </w:r>
      <w:r w:rsidRPr="00EE5714">
        <w:rPr>
          <w:rFonts w:ascii="Times New Roman" w:hAnsi="Times New Roman" w:cs="Times New Roman"/>
          <w:i/>
          <w:sz w:val="24"/>
          <w:szCs w:val="24"/>
        </w:rPr>
        <w:t>actual home energy bills</w:t>
      </w:r>
      <w:r w:rsidRPr="00EE5714">
        <w:rPr>
          <w:rFonts w:ascii="Times New Roman" w:hAnsi="Times New Roman" w:cs="Times New Roman"/>
          <w:sz w:val="24"/>
          <w:szCs w:val="24"/>
        </w:rPr>
        <w:t xml:space="preserve"> and </w:t>
      </w:r>
      <w:r w:rsidRPr="00EE5714">
        <w:rPr>
          <w:rFonts w:ascii="Times New Roman" w:hAnsi="Times New Roman" w:cs="Times New Roman"/>
          <w:i/>
          <w:sz w:val="24"/>
          <w:szCs w:val="24"/>
        </w:rPr>
        <w:t>affordable home energy bills</w:t>
      </w:r>
      <w:r w:rsidRPr="00EE5714">
        <w:rPr>
          <w:rFonts w:ascii="Times New Roman" w:hAnsi="Times New Roman" w:cs="Times New Roman"/>
          <w:sz w:val="24"/>
          <w:szCs w:val="24"/>
        </w:rPr>
        <w:t>.</w:t>
      </w:r>
    </w:p>
  </w:footnote>
  <w:footnote w:id="19">
    <w:p w14:paraId="05016E7F" w14:textId="77777777" w:rsidR="009B1A73" w:rsidRPr="00EE5714" w:rsidRDefault="009B1A73" w:rsidP="007D0E4D">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color w:val="000000"/>
          <w:sz w:val="24"/>
          <w:szCs w:val="24"/>
        </w:rPr>
        <w:t xml:space="preserve">Fisher, Sheehan, &amp; Colton.  </w:t>
      </w:r>
      <w:r w:rsidRPr="00EE5714">
        <w:rPr>
          <w:rFonts w:ascii="Times New Roman" w:hAnsi="Times New Roman" w:cs="Times New Roman"/>
          <w:i/>
          <w:iCs/>
          <w:color w:val="000000"/>
          <w:sz w:val="24"/>
          <w:szCs w:val="24"/>
        </w:rPr>
        <w:t xml:space="preserve">The Home Energy Affordability Gap 2015: Pennsylvania </w:t>
      </w:r>
      <w:r w:rsidRPr="00EE5714">
        <w:rPr>
          <w:rFonts w:ascii="Times New Roman" w:hAnsi="Times New Roman" w:cs="Times New Roman"/>
          <w:color w:val="000000"/>
          <w:sz w:val="24"/>
          <w:szCs w:val="24"/>
        </w:rPr>
        <w:t>(Public Finance and General Economics, 2</w:t>
      </w:r>
      <w:r w:rsidRPr="00EE5714">
        <w:rPr>
          <w:rFonts w:ascii="Times New Roman" w:hAnsi="Times New Roman" w:cs="Times New Roman"/>
          <w:color w:val="000000"/>
          <w:sz w:val="24"/>
          <w:szCs w:val="24"/>
          <w:vertAlign w:val="superscript"/>
        </w:rPr>
        <w:t>nd</w:t>
      </w:r>
      <w:r w:rsidRPr="00EE5714">
        <w:rPr>
          <w:rFonts w:ascii="Times New Roman" w:hAnsi="Times New Roman" w:cs="Times New Roman"/>
          <w:color w:val="000000"/>
          <w:sz w:val="24"/>
          <w:szCs w:val="24"/>
        </w:rPr>
        <w:t xml:space="preserve"> Ser. 2016), at 1.  These studies are based on jurisdictional and deliverable energy sources.</w:t>
      </w:r>
    </w:p>
  </w:footnote>
  <w:footnote w:id="20">
    <w:p w14:paraId="22F8B8BC" w14:textId="77777777" w:rsidR="009B1A73" w:rsidRPr="00EE5714" w:rsidRDefault="009B1A73" w:rsidP="007D0E4D">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2012-2016 Reports on Universal Service Programs &amp; Collections Performance.  </w:t>
      </w:r>
      <w:hyperlink r:id="rId2" w:history="1">
        <w:r w:rsidRPr="00EE5714">
          <w:rPr>
            <w:rStyle w:val="Hyperlink"/>
            <w:rFonts w:ascii="Times New Roman" w:hAnsi="Times New Roman" w:cs="Times New Roman"/>
            <w:sz w:val="24"/>
            <w:szCs w:val="24"/>
          </w:rPr>
          <w:t>http://www.puc.state.pa.us/filing_resources/universal_service_reports.aspx</w:t>
        </w:r>
      </w:hyperlink>
      <w:r w:rsidRPr="00EE5714">
        <w:rPr>
          <w:rFonts w:ascii="Times New Roman" w:hAnsi="Times New Roman" w:cs="Times New Roman"/>
          <w:sz w:val="24"/>
          <w:szCs w:val="24"/>
        </w:rPr>
        <w:t xml:space="preserve"> </w:t>
      </w:r>
      <w:r w:rsidRPr="00EE5714" w:rsidDel="002E22BA">
        <w:rPr>
          <w:rFonts w:ascii="Times New Roman" w:hAnsi="Times New Roman" w:cs="Times New Roman"/>
          <w:sz w:val="24"/>
          <w:szCs w:val="24"/>
        </w:rPr>
        <w:t xml:space="preserve"> </w:t>
      </w:r>
      <w:r w:rsidRPr="00EE5714">
        <w:rPr>
          <w:rFonts w:ascii="Times New Roman" w:hAnsi="Times New Roman" w:cs="Times New Roman"/>
          <w:sz w:val="24"/>
          <w:szCs w:val="24"/>
        </w:rPr>
        <w:t xml:space="preserve"> </w:t>
      </w:r>
      <w:r w:rsidRPr="00EE5714">
        <w:rPr>
          <w:rStyle w:val="Hyperlink"/>
          <w:rFonts w:ascii="Times New Roman" w:hAnsi="Times New Roman" w:cs="Times New Roman"/>
          <w:sz w:val="24"/>
          <w:szCs w:val="24"/>
        </w:rPr>
        <w:t>http://www.puc.state.pa.us/filing_resources/universal_service_reports.aspx</w:t>
      </w:r>
      <w:r w:rsidRPr="00EE5714">
        <w:rPr>
          <w:rFonts w:ascii="Times New Roman" w:hAnsi="Times New Roman" w:cs="Times New Roman"/>
          <w:sz w:val="24"/>
          <w:szCs w:val="24"/>
        </w:rPr>
        <w:t xml:space="preserve">   </w:t>
      </w:r>
    </w:p>
  </w:footnote>
  <w:footnote w:id="21">
    <w:p w14:paraId="3AD3B96C" w14:textId="77777777" w:rsidR="009B1A73" w:rsidRPr="00EE5714" w:rsidRDefault="009B1A73" w:rsidP="007D0E4D">
      <w:pPr>
        <w:pStyle w:val="Header"/>
        <w:rPr>
          <w:rFonts w:ascii="Times New Roman" w:hAnsi="Times New Roman" w:cs="Times New Roman"/>
          <w:sz w:val="24"/>
          <w:szCs w:val="24"/>
        </w:rPr>
      </w:pPr>
      <w:r w:rsidRPr="00EE5714">
        <w:rPr>
          <w:rStyle w:val="HeaderChar"/>
          <w:rFonts w:ascii="Times New Roman" w:hAnsi="Times New Roman" w:cs="Times New Roman"/>
          <w:sz w:val="24"/>
          <w:szCs w:val="24"/>
          <w:vertAlign w:val="superscript"/>
        </w:rPr>
        <w:footnoteRef/>
      </w:r>
      <w:r w:rsidRPr="00EE5714">
        <w:rPr>
          <w:rFonts w:ascii="Times New Roman" w:hAnsi="Times New Roman" w:cs="Times New Roman"/>
          <w:sz w:val="24"/>
          <w:szCs w:val="24"/>
        </w:rPr>
        <w:t xml:space="preserve">  The May 5, 2017 Order noted that, based on a review of the Commission’s Reports on Universal Service Programs &amp; Collections Performance for the years 2001 through 2015, total gross CAP costs for EDCs have increased by approximately 177% between 2001 and 2015 (inflation adjusted), from $68.25 million to $189 million (expressed in 2001 dollars).  Total gross CAP costs for NGDCs distribution companies have increased by approximately 270% between 2002 and 2015 (inflation adjusted), from $22.6 million to $83.6 million (expressed in 2002 dollars).  Additionally, during the 2001/2002 to 2015 timeframe, the numbers of estimated low-income EDC and NGDC customers have increased by 80% and 104%, respectively.  </w:t>
      </w:r>
    </w:p>
  </w:footnote>
  <w:footnote w:id="22">
    <w:p w14:paraId="677D35C1" w14:textId="1AEBA8F6"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Also, not included in this study are customers of such energy providers as small jurisdictional NGDCs and EDCs, rural electric cooperatives, municipal authorities, and municipalities providing energy services to customers outside the municipal boundaries. </w:t>
      </w:r>
    </w:p>
  </w:footnote>
  <w:footnote w:id="23">
    <w:p w14:paraId="49841EEE" w14:textId="77777777" w:rsidR="009B1A73" w:rsidRPr="00EE5714" w:rsidRDefault="009B1A73" w:rsidP="007D0E4D">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This document is the collective work product of BCS and the Law Bureau.</w:t>
      </w:r>
    </w:p>
  </w:footnote>
  <w:footnote w:id="24">
    <w:p w14:paraId="6CA366ED" w14:textId="54AC84A9" w:rsidR="009B1A73" w:rsidRPr="00EE5714" w:rsidRDefault="009B1A73" w:rsidP="00A976E5">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By Order entered September 20, 2018, the Commission approved a Joint Petition for Approval of Settlement in </w:t>
      </w:r>
      <w:r w:rsidRPr="00EE5714">
        <w:rPr>
          <w:rFonts w:ascii="Times New Roman" w:hAnsi="Times New Roman" w:cs="Times New Roman"/>
          <w:i/>
          <w:sz w:val="24"/>
          <w:szCs w:val="24"/>
        </w:rPr>
        <w:t>Joint Application of UGI Utilities, Inc., UGI Penn Natural Gas, Inc., and UGI Central Penn Gas, Inc. for Approval of Merger</w:t>
      </w:r>
      <w:r w:rsidRPr="00EE5714">
        <w:rPr>
          <w:rFonts w:ascii="Times New Roman" w:hAnsi="Times New Roman" w:cs="Times New Roman"/>
          <w:sz w:val="24"/>
          <w:szCs w:val="24"/>
        </w:rPr>
        <w:t>, Docket Nos. A-2018-3000381, A</w:t>
      </w:r>
      <w:r w:rsidRPr="00EE5714">
        <w:rPr>
          <w:rFonts w:ascii="Times New Roman" w:hAnsi="Times New Roman" w:cs="Times New Roman"/>
          <w:sz w:val="24"/>
          <w:szCs w:val="24"/>
        </w:rPr>
        <w:noBreakHyphen/>
        <w:t>2018</w:t>
      </w:r>
      <w:r w:rsidRPr="00EE5714">
        <w:rPr>
          <w:rFonts w:ascii="Times New Roman" w:hAnsi="Times New Roman" w:cs="Times New Roman"/>
          <w:sz w:val="24"/>
          <w:szCs w:val="24"/>
        </w:rPr>
        <w:noBreakHyphen/>
        <w:t>3000382, &amp; A-2018-3000383.  By Secretarial Letter at those dockets, the Commission approved tariff supplements, effective October 1, 2018, that reflect post-merger name changes due to the adoption by UGI Utilities, Inc. of UGI Penn Natural Gas, Inc.’s and UGI Central Penn Gas, Inc.’s existing tariffs and their application within new service and rate districts of UGI Utilities, Inc. corresponding to their existing service territories as UGI North and UGI Central, respectively, and the adoption by UGI Utilities, Inc. of its existing tariff to be applied to a new UGI South service and rate district.  For the purposes of this study, which references data for a time period prior to the merger, the UGI companies were treated as separate NGDCs.</w:t>
      </w:r>
    </w:p>
  </w:footnote>
  <w:footnote w:id="25">
    <w:p w14:paraId="53B08377" w14:textId="77777777" w:rsidR="009B1A73" w:rsidRPr="00EE5714" w:rsidRDefault="009B1A73" w:rsidP="00760FC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Pursuant to 52 Pa. Code §§ 54.71-54.78 (electric) and §§ 62.1-62.8 (natural gas).</w:t>
      </w:r>
    </w:p>
  </w:footnote>
  <w:footnote w:id="26">
    <w:p w14:paraId="35B03F54" w14:textId="77777777" w:rsidR="009B1A73" w:rsidRPr="00EE5714" w:rsidRDefault="009B1A73" w:rsidP="001712D4">
      <w:pPr>
        <w:spacing w:after="0" w:line="240" w:lineRule="auto"/>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i/>
          <w:iCs/>
          <w:sz w:val="24"/>
          <w:szCs w:val="24"/>
        </w:rPr>
        <w:t>See also</w:t>
      </w:r>
      <w:r w:rsidRPr="00EE5714">
        <w:rPr>
          <w:rFonts w:ascii="Times New Roman" w:hAnsi="Times New Roman" w:cs="Times New Roman"/>
          <w:sz w:val="24"/>
          <w:szCs w:val="24"/>
        </w:rPr>
        <w:t xml:space="preserve"> VIII.  Residential and Confirmed Low-Income Customer Debt for a discussion of CLI customers. </w:t>
      </w:r>
    </w:p>
  </w:footnote>
  <w:footnote w:id="27">
    <w:p w14:paraId="457A3DDA" w14:textId="77777777" w:rsidR="009B1A73" w:rsidRPr="00EE5714" w:rsidRDefault="009B1A73" w:rsidP="00516929">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CLI customers are often identified when they assign a LIHEAP grant to the utility.  Receipt of LIHEAP confirms the customer has income at or below 150% of the FPIG, but it does not disclose the household’s gross income, so energy burdens at the three FPIG levels cannot be calculated for comparison.</w:t>
      </w:r>
    </w:p>
  </w:footnote>
  <w:footnote w:id="28">
    <w:p w14:paraId="7DA3A0D8"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A CAP Plus payment is intended to help offset program expenses for all residential customers who pay for CAPs.  Utilities that use CAP Plus typically calculate the monthly charge on an annual basis contingent on the amount of LIHEAP Cash grants they were assigned by their CAP customers in the prior year.  At the time of this study, PPL, Columbia Gas, and Peoples added CAP Plus amounts to CAP bills.</w:t>
      </w:r>
    </w:p>
  </w:footnote>
  <w:footnote w:id="29">
    <w:p w14:paraId="095E77B5"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Some NGDCs and EDCs charge a monthly PPA co-payment amount to their CAP customers.  During the time of this study, Columbia Gas, Peoples, Peoples-Equitable, and PGW each added a $5 co-payment to the monthly CAP bill for customers that had PPAs.  Until 2018, PPL charged its $5 monthly PPA co-payment even if a customer had received full PPA forgiveness.   </w:t>
      </w:r>
    </w:p>
  </w:footnote>
  <w:footnote w:id="30">
    <w:p w14:paraId="08230A56" w14:textId="71C02FFB" w:rsidR="009B1A73" w:rsidRPr="00EE5714" w:rsidRDefault="009B1A73" w:rsidP="00452828">
      <w:pPr>
        <w:pStyle w:val="NoSpacing"/>
        <w:keepNext/>
        <w:rPr>
          <w:rFonts w:cs="Times New Roman"/>
          <w:sz w:val="24"/>
          <w:szCs w:val="24"/>
        </w:rPr>
      </w:pPr>
      <w:r w:rsidRPr="00EE5714">
        <w:rPr>
          <w:rStyle w:val="FootnoteReference"/>
          <w:rFonts w:cs="Times New Roman"/>
          <w:sz w:val="24"/>
          <w:szCs w:val="24"/>
        </w:rPr>
        <w:footnoteRef/>
      </w:r>
      <w:r w:rsidRPr="00EE5714">
        <w:rPr>
          <w:rFonts w:cs="Times New Roman"/>
          <w:sz w:val="24"/>
          <w:szCs w:val="24"/>
        </w:rPr>
        <w:t xml:space="preserve">  </w:t>
      </w:r>
      <w:r w:rsidRPr="00EE5714">
        <w:rPr>
          <w:rFonts w:cs="Times New Roman"/>
          <w:i/>
          <w:iCs/>
          <w:sz w:val="24"/>
          <w:szCs w:val="24"/>
        </w:rPr>
        <w:t>See</w:t>
      </w:r>
      <w:r w:rsidRPr="00EE5714">
        <w:rPr>
          <w:rFonts w:cs="Times New Roman"/>
          <w:sz w:val="24"/>
          <w:szCs w:val="24"/>
        </w:rPr>
        <w:t xml:space="preserve"> Appendix 2.B: </w:t>
      </w:r>
      <w:r w:rsidRPr="00EE5714">
        <w:rPr>
          <w:rFonts w:cs="Times New Roman"/>
          <w:i/>
          <w:iCs/>
          <w:sz w:val="24"/>
          <w:szCs w:val="24"/>
        </w:rPr>
        <w:t>CAP Industry Average NGDC and EDC Energy Burdens.</w:t>
      </w:r>
    </w:p>
  </w:footnote>
  <w:footnote w:id="31">
    <w:p w14:paraId="435045D5" w14:textId="77777777" w:rsidR="009B1A73" w:rsidRPr="00EE5714" w:rsidRDefault="009B1A73" w:rsidP="00516929">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PECO switched from a rate discount CAP to a fixed credit percent of income CAP in October 2016, so the energy burdens in this study reflect the previously-structured CAP.</w:t>
      </w:r>
    </w:p>
  </w:footnote>
  <w:footnote w:id="32">
    <w:p w14:paraId="7993C5E1" w14:textId="77777777" w:rsidR="009B1A73" w:rsidRPr="00EE5714" w:rsidRDefault="009B1A73" w:rsidP="00516929">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Columbia Gas is the only NGDC whose CAP customers with incomes in the 51 to 100% and 101 to 150% FPIG groups were billed on average below the CAP Policy Statement guidelines.</w:t>
      </w:r>
    </w:p>
  </w:footnote>
  <w:footnote w:id="33">
    <w:p w14:paraId="351B5036" w14:textId="77777777" w:rsidR="009B1A73" w:rsidRPr="00EE5714" w:rsidRDefault="009B1A73" w:rsidP="00516929">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 other FirstEnergy companies (</w:t>
      </w:r>
      <w:r w:rsidRPr="00EE5714">
        <w:rPr>
          <w:rFonts w:ascii="Times New Roman" w:hAnsi="Times New Roman" w:cs="Times New Roman"/>
          <w:i/>
          <w:iCs/>
          <w:sz w:val="24"/>
          <w:szCs w:val="24"/>
        </w:rPr>
        <w:t>i.e.</w:t>
      </w:r>
      <w:r w:rsidRPr="00EE5714">
        <w:rPr>
          <w:rFonts w:ascii="Times New Roman" w:hAnsi="Times New Roman" w:cs="Times New Roman"/>
          <w:sz w:val="24"/>
          <w:szCs w:val="24"/>
        </w:rPr>
        <w:t>, Penelec, Penn Power, and West Penn) have energy burden levels above the 7 to 13% CAP Policy Statement guidelines.  It is not clear why Met</w:t>
      </w:r>
      <w:r w:rsidRPr="00EE5714">
        <w:rPr>
          <w:rFonts w:ascii="Times New Roman" w:hAnsi="Times New Roman" w:cs="Times New Roman"/>
          <w:sz w:val="24"/>
          <w:szCs w:val="24"/>
        </w:rPr>
        <w:noBreakHyphen/>
        <w:t>Ed’s</w:t>
      </w:r>
      <w:r w:rsidRPr="00EE5714">
        <w:rPr>
          <w:rFonts w:ascii="Times New Roman" w:hAnsi="Times New Roman" w:cs="Times New Roman"/>
          <w:sz w:val="24"/>
          <w:szCs w:val="24"/>
        </w:rPr>
        <w:noBreakHyphen/>
        <w:t xml:space="preserve"> energy burden levels are lower.  In general, all FirstEnergy Companies calculate a CAP heating bill based on 9% of household income for this FPIG level.   </w:t>
      </w:r>
    </w:p>
  </w:footnote>
  <w:footnote w:id="34">
    <w:p w14:paraId="73E0EAAD" w14:textId="77777777" w:rsidR="009B1A73" w:rsidRPr="00EE5714" w:rsidRDefault="009B1A73" w:rsidP="00CA514F">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Duquesne introduced a new billing system in November 2014 which did not retain prior usage data.  Because its CAP bills were based on a percentage of budget billing, bills were considerably lower for most CAP customers through the beginning of 2015 but increased greatly thereafter, resulting in increased in-program arrears.  Duquesne froze collections during this period so that CAP customers were not terminated for non-payment.  </w:t>
      </w:r>
      <w:r w:rsidRPr="00EE5714">
        <w:rPr>
          <w:rFonts w:ascii="Times New Roman" w:hAnsi="Times New Roman" w:cs="Times New Roman"/>
          <w:i/>
          <w:iCs/>
          <w:sz w:val="24"/>
          <w:szCs w:val="24"/>
        </w:rPr>
        <w:t>See Duquesne 2017-2019 USECP</w:t>
      </w:r>
      <w:r w:rsidRPr="00EE5714">
        <w:rPr>
          <w:rFonts w:ascii="Times New Roman" w:hAnsi="Times New Roman" w:cs="Times New Roman"/>
          <w:sz w:val="24"/>
          <w:szCs w:val="24"/>
        </w:rPr>
        <w:t>, Docket No. M</w:t>
      </w:r>
      <w:r w:rsidRPr="00EE5714">
        <w:rPr>
          <w:rFonts w:ascii="Times New Roman" w:hAnsi="Times New Roman" w:cs="Times New Roman"/>
          <w:sz w:val="24"/>
          <w:szCs w:val="24"/>
        </w:rPr>
        <w:noBreakHyphen/>
        <w:t>2016</w:t>
      </w:r>
      <w:r w:rsidRPr="00EE5714">
        <w:rPr>
          <w:rFonts w:ascii="Times New Roman" w:hAnsi="Times New Roman" w:cs="Times New Roman"/>
          <w:sz w:val="24"/>
          <w:szCs w:val="24"/>
        </w:rPr>
        <w:noBreakHyphen/>
        <w:t>2534323, at 32-34 (order entered on March 23, 2017).  CAP bills exceeded the maximum energy burdens in the CAP Policy Statement, and the Commission directed Duquesne to work with stakeholders to address CAP issues.  March 23, 2017 Order at 28-31.  By order entered on April 19, 2018, the Commission approved Duquesne’s proposal to reduce the percent-of-bills discount (</w:t>
      </w:r>
      <w:r w:rsidRPr="00EE5714">
        <w:rPr>
          <w:rFonts w:ascii="Times New Roman" w:hAnsi="Times New Roman" w:cs="Times New Roman"/>
          <w:i/>
          <w:iCs/>
          <w:sz w:val="24"/>
          <w:szCs w:val="24"/>
        </w:rPr>
        <w:t>i.e.</w:t>
      </w:r>
      <w:r w:rsidRPr="00EE5714">
        <w:rPr>
          <w:rFonts w:ascii="Times New Roman" w:hAnsi="Times New Roman" w:cs="Times New Roman"/>
          <w:sz w:val="24"/>
          <w:szCs w:val="24"/>
        </w:rPr>
        <w:t>, rate discount) for most CAP customers in 2018 and switch to a percent-of-income (</w:t>
      </w:r>
      <w:r w:rsidRPr="00EE5714">
        <w:rPr>
          <w:rFonts w:ascii="Times New Roman" w:hAnsi="Times New Roman" w:cs="Times New Roman"/>
          <w:i/>
          <w:iCs/>
          <w:sz w:val="24"/>
          <w:szCs w:val="24"/>
        </w:rPr>
        <w:t>i.e.</w:t>
      </w:r>
      <w:r w:rsidRPr="00EE5714">
        <w:rPr>
          <w:rFonts w:ascii="Times New Roman" w:hAnsi="Times New Roman" w:cs="Times New Roman"/>
          <w:sz w:val="24"/>
          <w:szCs w:val="24"/>
        </w:rPr>
        <w:t xml:space="preserve">, PIPP) CAP by 2020.  </w:t>
      </w:r>
    </w:p>
  </w:footnote>
  <w:footnote w:id="35">
    <w:p w14:paraId="1697DE7E"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i/>
          <w:iCs/>
          <w:sz w:val="24"/>
          <w:szCs w:val="24"/>
        </w:rPr>
        <w:t>See</w:t>
      </w:r>
      <w:r w:rsidRPr="00EE5714">
        <w:rPr>
          <w:rFonts w:ascii="Times New Roman" w:hAnsi="Times New Roman" w:cs="Times New Roman"/>
          <w:sz w:val="24"/>
          <w:szCs w:val="24"/>
        </w:rPr>
        <w:t xml:space="preserve"> 42 U.S.C. §§ 8621 – 8630.  Low-Income Home Energy Assistance.   </w:t>
      </w:r>
    </w:p>
  </w:footnote>
  <w:footnote w:id="36">
    <w:p w14:paraId="5B3F5420"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“Home energy” means a source of heating or cooling in residential dwellings.  42 U.S.C. § 8622(6).</w:t>
      </w:r>
    </w:p>
  </w:footnote>
  <w:footnote w:id="37">
    <w:p w14:paraId="278B2CFD" w14:textId="77777777" w:rsidR="009B1A73" w:rsidRPr="00EE5714" w:rsidRDefault="009B1A73" w:rsidP="00BB0DF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Formerly the Department of Public Welfare.</w:t>
      </w:r>
    </w:p>
  </w:footnote>
  <w:footnote w:id="38">
    <w:p w14:paraId="2149A5D4" w14:textId="77777777" w:rsidR="009B1A73" w:rsidRPr="00EE5714" w:rsidRDefault="009B1A73" w:rsidP="00BB0DF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DHS changes aspects of the LIHEAP State Plan yearly, but the changes only affect some of the sections originally codified in Chapter 601 of Title 55 of the Pennsylvania Code.  Citations to Title 55 of the Pennsylvania Code will only be to sections that have not changed over the time frame of the study.  Citations to changed sections will be to the specific LIHEAP state plan for a given year.</w:t>
      </w:r>
    </w:p>
  </w:footnote>
  <w:footnote w:id="39">
    <w:p w14:paraId="216B672C" w14:textId="77777777" w:rsidR="009B1A73" w:rsidRPr="00EE5714" w:rsidRDefault="009B1A73" w:rsidP="00BB0DF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Households are ineligible for LIHEAP Crisis benefits if the grant does not resolve the home-heating emergency.  “Emergency” is defined at 42 U.S.C. § 8622(1).</w:t>
      </w:r>
    </w:p>
  </w:footnote>
  <w:footnote w:id="40">
    <w:p w14:paraId="3061BC75" w14:textId="77777777" w:rsidR="009B1A73" w:rsidRPr="00EE5714" w:rsidRDefault="009B1A73" w:rsidP="00BB0DF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If DHS determined a household was off or in termination status with both its primary and secondary heating sources (</w:t>
      </w:r>
      <w:r w:rsidRPr="00EE5714">
        <w:rPr>
          <w:rFonts w:ascii="Times New Roman" w:hAnsi="Times New Roman" w:cs="Times New Roman"/>
          <w:i/>
          <w:iCs/>
          <w:sz w:val="24"/>
          <w:szCs w:val="24"/>
        </w:rPr>
        <w:t>i.e.</w:t>
      </w:r>
      <w:r w:rsidRPr="00EE5714">
        <w:rPr>
          <w:rFonts w:ascii="Times New Roman" w:hAnsi="Times New Roman" w:cs="Times New Roman"/>
          <w:sz w:val="24"/>
          <w:szCs w:val="24"/>
        </w:rPr>
        <w:t xml:space="preserve">, gas and electric), a supplemental Crisis grant was issued to both utilities, up to $500 each (if the grant(s) resolved the termination or restored service).  Thus, some customers received up to $1,000 in supplemental Crisis grants through the LIHEAP Summer Turn-On program.  </w:t>
      </w:r>
    </w:p>
  </w:footnote>
  <w:footnote w:id="41">
    <w:p w14:paraId="30879432" w14:textId="77777777" w:rsidR="009B1A73" w:rsidRPr="00EE5714" w:rsidRDefault="009B1A73" w:rsidP="00BB0DF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NFG is the only utility that applied LIHEAP Cash grants differently during this study period.  NFG would apply a LIHEAP cash grant toward any past or current CAP charges.  However, any remaining amount would be factored into a new budget billing calculation.  The Commission ordered NFG to, among other things, comply with the LIHEAP State Plan and apply any remaining LIHEAP grant monies as a credit to the CAP customer’s account.  NFG 2017-2020 USECP at 10-18, 61-62, 65; </w:t>
      </w:r>
      <w:r w:rsidRPr="00EE5714">
        <w:rPr>
          <w:rFonts w:ascii="Times New Roman" w:eastAsia="Times New Roman" w:hAnsi="Times New Roman" w:cs="Times New Roman"/>
          <w:sz w:val="24"/>
          <w:szCs w:val="24"/>
        </w:rPr>
        <w:t>Docket No. M-2016-2573847</w:t>
      </w:r>
      <w:r w:rsidRPr="00EE5714">
        <w:rPr>
          <w:rFonts w:ascii="Times New Roman" w:hAnsi="Times New Roman" w:cs="Times New Roman"/>
          <w:sz w:val="24"/>
          <w:szCs w:val="24"/>
        </w:rPr>
        <w:t xml:space="preserve"> (order entered on March 1, 2018). </w:t>
      </w:r>
    </w:p>
  </w:footnote>
  <w:footnote w:id="42">
    <w:p w14:paraId="5C4D04C6" w14:textId="77777777" w:rsidR="009B1A73" w:rsidRPr="00EE5714" w:rsidRDefault="009B1A73" w:rsidP="00BB0DF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Other states use LIHEAP as the main source of funding for their energy assistance programs.  </w:t>
      </w:r>
    </w:p>
  </w:footnote>
  <w:footnote w:id="43">
    <w:p w14:paraId="11BD0C21" w14:textId="77777777" w:rsidR="009B1A73" w:rsidRPr="00EE5714" w:rsidRDefault="009B1A73" w:rsidP="00503829">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NFG’s PPA forgiveness component was limited to 36 months.  NFG forgave 1/24</w:t>
      </w:r>
      <w:r w:rsidRPr="00EE5714">
        <w:rPr>
          <w:rFonts w:ascii="Times New Roman" w:hAnsi="Times New Roman" w:cs="Times New Roman"/>
          <w:sz w:val="24"/>
          <w:szCs w:val="24"/>
          <w:vertAlign w:val="superscript"/>
        </w:rPr>
        <w:t>th</w:t>
      </w:r>
      <w:r w:rsidRPr="00EE5714">
        <w:rPr>
          <w:rFonts w:ascii="Times New Roman" w:hAnsi="Times New Roman" w:cs="Times New Roman"/>
          <w:sz w:val="24"/>
          <w:szCs w:val="24"/>
        </w:rPr>
        <w:t xml:space="preserve"> of PPAs for each month CAP customers pay their CAP monthly bill in-full and forgave any missed months once the in-program CAP balance was satisfied.  After 36 months, any remaining PPA balance was added to the customer’s account.  NFG 2017-2020 USECP at 13, Docket No. M</w:t>
      </w:r>
      <w:r w:rsidRPr="00EE5714">
        <w:rPr>
          <w:rFonts w:ascii="Times New Roman" w:hAnsi="Times New Roman" w:cs="Times New Roman"/>
          <w:sz w:val="24"/>
          <w:szCs w:val="24"/>
        </w:rPr>
        <w:noBreakHyphen/>
        <w:t>2016</w:t>
      </w:r>
      <w:r w:rsidRPr="00EE5714">
        <w:rPr>
          <w:rFonts w:ascii="Times New Roman" w:hAnsi="Times New Roman" w:cs="Times New Roman"/>
          <w:sz w:val="24"/>
          <w:szCs w:val="24"/>
        </w:rPr>
        <w:noBreakHyphen/>
        <w:t xml:space="preserve">2573847 (filed on April 2, 2018).  No other utility CAPs imposed a time restriction on a CAP customer’s opportunity to earn PPA forgiveness.  </w:t>
      </w:r>
    </w:p>
  </w:footnote>
  <w:footnote w:id="44">
    <w:p w14:paraId="1C870C8E" w14:textId="77777777" w:rsidR="009B1A73" w:rsidRPr="00EE5714" w:rsidRDefault="009B1A73" w:rsidP="001A01B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Some utilities imposed a monthly PPA co-payment.  The co-payment goes to reduce the CAP customer’s PPA in conjunction with the proportional forgiveness earned by full CAP payments.  Thus, a utility with a monthly PPA co-payment is not actually providing full forgiveness of the CAP customer’s PPA.</w:t>
      </w:r>
    </w:p>
  </w:footnote>
  <w:footnote w:id="45">
    <w:p w14:paraId="03F970C4" w14:textId="77777777" w:rsidR="009B1A73" w:rsidRPr="00EE5714" w:rsidRDefault="009B1A73" w:rsidP="001A01B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 CAP Policy Statement recommends PPA forgiveness over 24 to 36 months, contingent upon regular monthly payments by the CAP participant.  Section 69.265(6)(ix).</w:t>
      </w:r>
    </w:p>
  </w:footnote>
  <w:footnote w:id="46">
    <w:p w14:paraId="1367C621" w14:textId="77777777" w:rsidR="009B1A73" w:rsidRPr="00EE5714" w:rsidRDefault="009B1A73" w:rsidP="001A01B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i/>
          <w:iCs/>
          <w:sz w:val="24"/>
          <w:szCs w:val="24"/>
        </w:rPr>
        <w:t>Pathways to Success in Low-Income Energy Assistance Payment Programs: The Differential Effects of Customer Characteristics and Program Design on Payment Rates</w:t>
      </w:r>
      <w:r w:rsidRPr="00EE5714">
        <w:rPr>
          <w:rFonts w:ascii="Times New Roman" w:hAnsi="Times New Roman" w:cs="Times New Roman"/>
          <w:sz w:val="24"/>
          <w:szCs w:val="24"/>
        </w:rPr>
        <w:t xml:space="preserve"> at 8-9.  Megan Campbell, Opinion Dynamics (2013).  </w:t>
      </w:r>
      <w:hyperlink r:id="rId3" w:history="1">
        <w:r w:rsidRPr="00EE5714">
          <w:rPr>
            <w:rStyle w:val="Hyperlink"/>
            <w:rFonts w:ascii="Times New Roman" w:hAnsi="Times New Roman" w:cs="Times New Roman"/>
            <w:sz w:val="24"/>
            <w:szCs w:val="24"/>
          </w:rPr>
          <w:t>http://www.opiniondynamics.com/wp-content/uploads/2013/08/Pathways-to-Success-in-Low-Income-Energy-Assistance-Payment-Programs1.pdf</w:t>
        </w:r>
      </w:hyperlink>
    </w:p>
  </w:footnote>
  <w:footnote w:id="47">
    <w:p w14:paraId="00AC544C" w14:textId="77777777" w:rsidR="009B1A73" w:rsidRPr="00EE5714" w:rsidRDefault="009B1A73" w:rsidP="001A01B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These PPA balances reflected the amount of PPAs carried by CAP customers during each year.  It does not reflect the average PPA balance of CAP customers when they enrolled in the program with a PPA.</w:t>
      </w:r>
    </w:p>
  </w:footnote>
  <w:footnote w:id="48">
    <w:p w14:paraId="237FE477"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i/>
          <w:sz w:val="24"/>
          <w:szCs w:val="24"/>
        </w:rPr>
        <w:t>See</w:t>
      </w:r>
      <w:r w:rsidRPr="00EE5714">
        <w:rPr>
          <w:rFonts w:ascii="Times New Roman" w:hAnsi="Times New Roman" w:cs="Times New Roman"/>
          <w:sz w:val="24"/>
          <w:szCs w:val="24"/>
        </w:rPr>
        <w:t xml:space="preserve"> the Commission’s </w:t>
      </w:r>
      <w:r w:rsidRPr="00EE5714">
        <w:rPr>
          <w:rFonts w:ascii="Times New Roman" w:hAnsi="Times New Roman" w:cs="Times New Roman"/>
          <w:i/>
          <w:sz w:val="24"/>
          <w:szCs w:val="24"/>
        </w:rPr>
        <w:t>Rate Comparison Reports</w:t>
      </w:r>
      <w:r w:rsidRPr="00EE5714">
        <w:rPr>
          <w:rFonts w:ascii="Times New Roman" w:hAnsi="Times New Roman" w:cs="Times New Roman"/>
          <w:sz w:val="24"/>
          <w:szCs w:val="24"/>
        </w:rPr>
        <w:t xml:space="preserve">, published annually by the Commission’s Bureau of Technical Services: </w:t>
      </w:r>
      <w:hyperlink r:id="rId4" w:history="1">
        <w:r w:rsidRPr="00EE5714">
          <w:rPr>
            <w:rStyle w:val="Hyperlink"/>
            <w:rFonts w:ascii="Times New Roman" w:hAnsi="Times New Roman" w:cs="Times New Roman"/>
            <w:sz w:val="24"/>
            <w:szCs w:val="24"/>
          </w:rPr>
          <w:t>http://www.puc.state.pa.us/filing_resources/rate_comparison_report.aspx</w:t>
        </w:r>
      </w:hyperlink>
      <w:r w:rsidRPr="00EE5714">
        <w:rPr>
          <w:rFonts w:ascii="Times New Roman" w:hAnsi="Times New Roman" w:cs="Times New Roman"/>
          <w:sz w:val="24"/>
          <w:szCs w:val="24"/>
        </w:rPr>
        <w:t xml:space="preserve"> </w:t>
      </w:r>
    </w:p>
  </w:footnote>
  <w:footnote w:id="49">
    <w:p w14:paraId="7C6C6253" w14:textId="77777777" w:rsidR="009B1A73" w:rsidRPr="00EE5714" w:rsidRDefault="009B1A73" w:rsidP="001A01B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Columbia 2015-2018 USECP at 21, Docket No. M-2014-2424462 (filed on August 12, 2015).  </w:t>
      </w:r>
    </w:p>
  </w:footnote>
  <w:footnote w:id="50">
    <w:p w14:paraId="6504F3B9" w14:textId="77777777" w:rsidR="009B1A73" w:rsidRPr="00EE5714" w:rsidRDefault="009B1A73" w:rsidP="00F32A6A">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 Commission generally uses “arrangements” to refer to Commission-facilitated payment arrangements pursuant to Chapter 14 and “agreements” to refer to accords reached between the customer and the utility without Commission input.  In this report, staff shall refer to both as “agreements.”  </w:t>
      </w:r>
    </w:p>
  </w:footnote>
  <w:footnote w:id="51">
    <w:p w14:paraId="0A06FDDE" w14:textId="77777777" w:rsidR="009B1A73" w:rsidRPr="00EE5714" w:rsidRDefault="009B1A73" w:rsidP="001A01B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PECO Gas and Electric allowed CAP customers to obtain payment agreements on in-program arrears as one way to address unaffordability, especially for customers with incomes below 50% of the FPIG.  The availability of payment agreements, however, allowed CAP customers to accrue large amounts of in-program arrears.  PECO reported that the combined gas and electric in-program arrears balance was approximately $45 million by July 2015.  PECO 2016 - 2018 USECP at 36, Docket No. M-2015-2507139 (filed on February 17, 2017).  The Commission approved PECO’s 2016 - 2018 USECP by order entered on August 11, 2018, which permitted PECO to alter its CAP structure to improve affordability for its lowest income customers.  PECO also eliminated payment agreements for in-program arrears after October 2016.  PECO 2016 </w:t>
      </w:r>
      <w:r w:rsidRPr="00EE5714">
        <w:rPr>
          <w:rFonts w:ascii="Times New Roman" w:hAnsi="Times New Roman" w:cs="Times New Roman"/>
          <w:sz w:val="24"/>
          <w:szCs w:val="24"/>
        </w:rPr>
        <w:noBreakHyphen/>
        <w:t xml:space="preserve"> 2018 USECP at 9-10.  </w:t>
      </w:r>
    </w:p>
  </w:footnote>
  <w:footnote w:id="52">
    <w:p w14:paraId="4945D237" w14:textId="77777777" w:rsidR="009B1A73" w:rsidRPr="00EE5714" w:rsidRDefault="009B1A73" w:rsidP="001A01B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PPL’s high average PPA balances were likely a result of its CAP eligibility requirements during this time period.  From 2011 through September 11, 2014, income-eligible customers must have defaulted on one or more payment agreements to qualify for PPL’s CAP.  PPL 2011-2013 USECP at 9, Docket No. M-2010-2179796 (filed on February 18, 2011).  PPL subsequently amended this requirement by allowing any income-eligible customer who had a payment arrangement within the past 12 months to qualify for CAP.  During the time frame of the study, PPL also required that customers have a PPA to enroll in CAP.  PPL 2017-2019 USECP at 16</w:t>
      </w:r>
      <w:r w:rsidRPr="00EE5714">
        <w:rPr>
          <w:rFonts w:ascii="Times New Roman" w:hAnsi="Times New Roman" w:cs="Times New Roman"/>
          <w:sz w:val="24"/>
          <w:szCs w:val="24"/>
        </w:rPr>
        <w:noBreakHyphen/>
        <w:t>17 (filed on September 11, 2014), Docket No. M-2013-2367021, (order entered on November 6, 2017) at 16</w:t>
      </w:r>
      <w:r w:rsidRPr="00EE5714">
        <w:rPr>
          <w:rFonts w:ascii="Times New Roman" w:hAnsi="Times New Roman" w:cs="Times New Roman"/>
          <w:sz w:val="24"/>
          <w:szCs w:val="24"/>
        </w:rPr>
        <w:noBreakHyphen/>
        <w:t xml:space="preserve">17.  </w:t>
      </w:r>
    </w:p>
  </w:footnote>
  <w:footnote w:id="53">
    <w:p w14:paraId="169E5409" w14:textId="77777777" w:rsidR="009B1A73" w:rsidRPr="00EE5714" w:rsidRDefault="009B1A73" w:rsidP="001A01B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In December 2015, West Penn converted all in-program arrears carried by CAP customers to PPA status.  This may explain the high amount of PPAs reported by West Penn in 2015 and 2016.</w:t>
      </w:r>
    </w:p>
  </w:footnote>
  <w:footnote w:id="54">
    <w:p w14:paraId="67FB66F2" w14:textId="77777777" w:rsidR="009B1A73" w:rsidRPr="00EE5714" w:rsidRDefault="009B1A73" w:rsidP="0022280B">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Duquesne introduced a new billing system in November 2014 which did not retain prior usage data.  Because its CAP bills were based on a percentage of budget billing, bills were considerably lower for most CAP customers through the beginning of 2015 but increased greatly thereafter, resulting in increased in-program arrears.  Duquesne froze collections during this period so that CAP customers were not terminated for non-payment.  See Duquesne 2017-2019 USECP, Docket No. M 2016 2534323, at 32-34 (order entered on March 23, 2017).  CAP bills exceeded the maximum energy burdens in the CAP Policy Statement, and the Commission directed Duquesne to work with stakeholders to address CAP issues.  March 23, 2017 Order at 28-31.  By order entered on April 19, 2018, the Commission approved Duquesne’s proposal to reduce the percent-of-bills discount (i.e., rate discount) for most CAP customers in 2018 and switch to a percent-of-income (i.e., PIPP) CAP by 2020.</w:t>
      </w:r>
    </w:p>
  </w:footnote>
  <w:footnote w:id="55">
    <w:p w14:paraId="144C32DA" w14:textId="77777777" w:rsidR="009B1A73" w:rsidRPr="00EE5714" w:rsidRDefault="009B1A73" w:rsidP="00D41B6F">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PECO Gas and Electric allowed CAP customers to obtain payment agreements on in-program arrears as one way to address unaffordability, especially for customers with incomes below 50% of the FPIG.  The availability of payment agreements, however, allowed CAP customers to accrue large amounts of in-program arrears.  PECO reported that the combined gas and electric in-program arrears balance was approximately $45 million by July 2015.  PECO 2016 - 2018 USECP at 36, Docket No. M-2015-2507139 (filed on February 17, 2017).  The Commission approved PECO’s 2016 - 2018 USECP by order entered on August 11, 2018, which permitted PECO to alter its CAP structure to improve affordability for its lowest income customers.  PECO also eliminated payment agreements for in-program arrears after October 2016.  PECO 2016   2018 USECP at 9-10.</w:t>
      </w:r>
    </w:p>
  </w:footnote>
  <w:footnote w:id="56">
    <w:p w14:paraId="1CED8F65" w14:textId="77777777" w:rsidR="009B1A73" w:rsidRPr="00EE5714" w:rsidRDefault="009B1A73" w:rsidP="00220E27">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CAP customers who voluntarily leave the program are not counted in the default exit rate.</w:t>
      </w:r>
    </w:p>
  </w:footnote>
  <w:footnote w:id="57">
    <w:p w14:paraId="60A2DD3F" w14:textId="77777777" w:rsidR="009B1A73" w:rsidRPr="00EE5714" w:rsidRDefault="009B1A73" w:rsidP="00220E27">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As explained in </w:t>
      </w:r>
      <w:r w:rsidRPr="00EE5714">
        <w:rPr>
          <w:rFonts w:ascii="Times New Roman" w:hAnsi="Times New Roman" w:cs="Times New Roman"/>
          <w:i/>
          <w:sz w:val="24"/>
          <w:szCs w:val="24"/>
        </w:rPr>
        <w:t>D</w:t>
      </w:r>
      <w:r w:rsidRPr="00EE5714">
        <w:rPr>
          <w:rFonts w:ascii="Times New Roman" w:hAnsi="Times New Roman" w:cs="Times New Roman"/>
          <w:i/>
          <w:iCs/>
          <w:sz w:val="24"/>
          <w:szCs w:val="24"/>
        </w:rPr>
        <w:t>ata Limitations</w:t>
      </w:r>
      <w:r w:rsidRPr="00EE5714">
        <w:rPr>
          <w:rFonts w:ascii="Times New Roman" w:hAnsi="Times New Roman" w:cs="Times New Roman"/>
          <w:sz w:val="24"/>
          <w:szCs w:val="24"/>
        </w:rPr>
        <w:t xml:space="preserve"> above, some utilities (</w:t>
      </w:r>
      <w:r w:rsidRPr="00EE5714">
        <w:rPr>
          <w:rFonts w:ascii="Times New Roman" w:hAnsi="Times New Roman" w:cs="Times New Roman"/>
          <w:i/>
          <w:iCs/>
          <w:sz w:val="24"/>
          <w:szCs w:val="24"/>
        </w:rPr>
        <w:t>e.g.,</w:t>
      </w:r>
      <w:r w:rsidRPr="00EE5714">
        <w:rPr>
          <w:rFonts w:ascii="Times New Roman" w:hAnsi="Times New Roman" w:cs="Times New Roman"/>
          <w:sz w:val="24"/>
          <w:szCs w:val="24"/>
        </w:rPr>
        <w:t xml:space="preserve"> Columbia) do not count each instance of a customer defaulting from their CAP responsibilities.  In these situations, the number of times a customer has service terminated could exceed their default exit count.  </w:t>
      </w:r>
    </w:p>
  </w:footnote>
  <w:footnote w:id="58">
    <w:p w14:paraId="630EA5A2" w14:textId="77777777" w:rsidR="009B1A73" w:rsidRPr="00EE5714" w:rsidRDefault="009B1A73" w:rsidP="00220E27">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See Footnote 46.</w:t>
      </w:r>
    </w:p>
  </w:footnote>
  <w:footnote w:id="59">
    <w:p w14:paraId="43F51955" w14:textId="77777777" w:rsidR="009B1A73" w:rsidRPr="00EE5714" w:rsidRDefault="009B1A73" w:rsidP="00220E27">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See Footnote 29.</w:t>
      </w:r>
    </w:p>
  </w:footnote>
  <w:footnote w:id="60">
    <w:p w14:paraId="2CD9B7C8" w14:textId="77777777" w:rsidR="009B1A73" w:rsidRPr="00EE5714" w:rsidRDefault="009B1A73" w:rsidP="00220E27">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i/>
          <w:sz w:val="24"/>
          <w:szCs w:val="24"/>
        </w:rPr>
        <w:t>See</w:t>
      </w:r>
      <w:r w:rsidRPr="00EE5714">
        <w:rPr>
          <w:rFonts w:ascii="Times New Roman" w:hAnsi="Times New Roman" w:cs="Times New Roman"/>
          <w:sz w:val="24"/>
          <w:szCs w:val="24"/>
        </w:rPr>
        <w:t xml:space="preserve"> Table 3-2.</w:t>
      </w:r>
    </w:p>
  </w:footnote>
  <w:footnote w:id="61">
    <w:p w14:paraId="376C4EB2" w14:textId="77777777" w:rsidR="009B1A73" w:rsidRPr="00EE5714" w:rsidRDefault="009B1A73" w:rsidP="00642A68">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NGDCs and EDCs have discretion in offering payment agreements to customers, but each utility limits the number of payment agreements offered.  A utility must offer a payment agreement for restoration or service if the customer has income at or below 300 of the FPIG and has not defaulted on two or more payment agreements.  52 Pa. Code Section 56.191(c)(2).  The Commission may establish a payment agreement between the utility and the customer when there is a dispute between the parties.  Section 1405(a).  However, absent a change in income, a customer cannot receive a second or subsequent payment agreement from the Commission until the most recent one is satisfied.  Section 1405(d).  The Commission cannot establish a payment agreement on CAP (in-program) arrears.  Section 1405(c).</w:t>
      </w:r>
    </w:p>
  </w:footnote>
  <w:footnote w:id="62">
    <w:p w14:paraId="5113D0BD" w14:textId="77777777" w:rsidR="009B1A73" w:rsidRPr="00EE5714" w:rsidRDefault="009B1A73" w:rsidP="00642A68">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hyperlink r:id="rId5" w:history="1">
        <w:r w:rsidRPr="00EE5714">
          <w:rPr>
            <w:rStyle w:val="Hyperlink"/>
            <w:rFonts w:ascii="Times New Roman" w:hAnsi="Times New Roman" w:cs="Times New Roman"/>
            <w:sz w:val="24"/>
            <w:szCs w:val="24"/>
          </w:rPr>
          <w:t>http://www.puc.pa.gov/General/publications_reports/pdf/EDC_NGDC_UniServ_Rpt2016.pdf</w:t>
        </w:r>
      </w:hyperlink>
      <w:r w:rsidRPr="00EE5714">
        <w:rPr>
          <w:rFonts w:ascii="Times New Roman" w:hAnsi="Times New Roman" w:cs="Times New Roman"/>
          <w:sz w:val="24"/>
          <w:szCs w:val="24"/>
        </w:rPr>
        <w:t xml:space="preserve"> </w:t>
      </w:r>
    </w:p>
  </w:footnote>
  <w:footnote w:id="63">
    <w:p w14:paraId="003BC6D8" w14:textId="77777777" w:rsidR="009B1A73" w:rsidRPr="00EE5714" w:rsidRDefault="009B1A73" w:rsidP="00C31877">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Applied Public Policy Research Institute for Study and Evaluation Inc. (APPRISE).  </w:t>
      </w:r>
      <w:hyperlink r:id="rId6" w:history="1">
        <w:r w:rsidRPr="00EE5714">
          <w:rPr>
            <w:rStyle w:val="Hyperlink"/>
            <w:rFonts w:ascii="Times New Roman" w:hAnsi="Times New Roman" w:cs="Times New Roman"/>
            <w:sz w:val="24"/>
            <w:szCs w:val="24"/>
          </w:rPr>
          <w:t>www.appriseinc.org</w:t>
        </w:r>
      </w:hyperlink>
      <w:r w:rsidRPr="00EE5714">
        <w:rPr>
          <w:rFonts w:ascii="Times New Roman" w:hAnsi="Times New Roman" w:cs="Times New Roman"/>
          <w:sz w:val="24"/>
          <w:szCs w:val="24"/>
        </w:rPr>
        <w:t xml:space="preserve"> </w:t>
      </w:r>
    </w:p>
  </w:footnote>
  <w:footnote w:id="64">
    <w:p w14:paraId="1047FA54"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A summary of responses is included in Appendix 7.</w:t>
      </w:r>
    </w:p>
  </w:footnote>
  <w:footnote w:id="65">
    <w:p w14:paraId="345B224A" w14:textId="77777777" w:rsidR="009B1A73" w:rsidRPr="00EE5714" w:rsidRDefault="009B1A73" w:rsidP="006770D4">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i/>
          <w:iCs/>
          <w:sz w:val="24"/>
          <w:szCs w:val="24"/>
        </w:rPr>
        <w:t>See</w:t>
      </w:r>
      <w:r w:rsidRPr="00EE5714">
        <w:rPr>
          <w:rFonts w:ascii="Times New Roman" w:hAnsi="Times New Roman" w:cs="Times New Roman"/>
          <w:sz w:val="24"/>
          <w:szCs w:val="24"/>
        </w:rPr>
        <w:t xml:space="preserve"> </w:t>
      </w:r>
      <w:hyperlink r:id="rId7" w:history="1">
        <w:r w:rsidRPr="00EE5714">
          <w:rPr>
            <w:rStyle w:val="Hyperlink"/>
            <w:rFonts w:ascii="Times New Roman" w:hAnsi="Times New Roman" w:cs="Times New Roman"/>
            <w:sz w:val="24"/>
            <w:szCs w:val="24"/>
          </w:rPr>
          <w:t>https://development.ohio.gov/is/is_pipp.htm</w:t>
        </w:r>
      </w:hyperlink>
      <w:r w:rsidRPr="00EE5714">
        <w:rPr>
          <w:rFonts w:ascii="Times New Roman" w:hAnsi="Times New Roman" w:cs="Times New Roman"/>
          <w:sz w:val="24"/>
          <w:szCs w:val="24"/>
        </w:rPr>
        <w:t xml:space="preserve"> for further information on Ohio’s PIPP Plus.</w:t>
      </w:r>
    </w:p>
  </w:footnote>
  <w:footnote w:id="66">
    <w:p w14:paraId="273F3474" w14:textId="77777777" w:rsidR="009B1A73" w:rsidRPr="00EE5714" w:rsidRDefault="009B1A73" w:rsidP="00362A6E">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i/>
          <w:iCs/>
          <w:sz w:val="24"/>
          <w:szCs w:val="24"/>
        </w:rPr>
        <w:t>See</w:t>
      </w:r>
      <w:r w:rsidRPr="00EE5714">
        <w:rPr>
          <w:rFonts w:ascii="Times New Roman" w:hAnsi="Times New Roman" w:cs="Times New Roman"/>
          <w:sz w:val="24"/>
          <w:szCs w:val="24"/>
        </w:rPr>
        <w:t xml:space="preserve"> New York Public Service Commission’s </w:t>
      </w:r>
      <w:r w:rsidRPr="00EE5714">
        <w:rPr>
          <w:rFonts w:ascii="Times New Roman" w:hAnsi="Times New Roman" w:cs="Times New Roman"/>
          <w:i/>
          <w:iCs/>
          <w:sz w:val="24"/>
          <w:szCs w:val="24"/>
        </w:rPr>
        <w:t>Order Adopting Low Income Program Modifications and Directing Utility Filings</w:t>
      </w:r>
      <w:r w:rsidRPr="00EE5714">
        <w:rPr>
          <w:rFonts w:ascii="Times New Roman" w:hAnsi="Times New Roman" w:cs="Times New Roman"/>
          <w:sz w:val="24"/>
          <w:szCs w:val="24"/>
        </w:rPr>
        <w:t xml:space="preserve"> at 3, Case 14-M-0565 (effective May 20, 2016).  NOTE: New York also limited the budget for each utility’s payment assistance program to 2% of revenues for sales to end-use customers.  These costs are recovered from all ratepayer classes.  May 20 Order at 3-4.  </w:t>
      </w:r>
    </w:p>
  </w:footnote>
  <w:footnote w:id="67">
    <w:p w14:paraId="3ECBFB57" w14:textId="77777777" w:rsidR="009B1A73" w:rsidRPr="00EE5714" w:rsidRDefault="009B1A73" w:rsidP="00F57A65">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 New York Public Service Commission favored a 6% energy burden level because it appears to be a widely accepted limit for utility payments: </w:t>
      </w:r>
    </w:p>
    <w:p w14:paraId="32761119" w14:textId="7FB2589B" w:rsidR="009B1A73" w:rsidRPr="00EE5714" w:rsidRDefault="009B1A73" w:rsidP="00F26FFE">
      <w:pPr>
        <w:pStyle w:val="FootnoteText"/>
        <w:ind w:left="360" w:right="720"/>
        <w:rPr>
          <w:rFonts w:ascii="Times New Roman" w:hAnsi="Times New Roman" w:cs="Times New Roman"/>
          <w:sz w:val="24"/>
          <w:szCs w:val="24"/>
        </w:rPr>
      </w:pPr>
      <w:r w:rsidRPr="00EE5714">
        <w:rPr>
          <w:rFonts w:ascii="Times New Roman" w:hAnsi="Times New Roman" w:cs="Times New Roman"/>
          <w:sz w:val="24"/>
          <w:szCs w:val="24"/>
        </w:rPr>
        <w:t xml:space="preserve">There is no universal measure of energy affordability; however, a widely accepted principle is that total shelter costs should not exceed 30% of income.  For example, this percentage is often used by lenders to determine affordability of mortgage payments.  It is further reasonable to expect that utility costs should not exceed 20% of shelter costs, leading to the conclusion that an affordable energy burden should be at or below 6% of household income (20% x 30% = 6%).  A 6% energy burden is the target energy burden used for affordability programs in several states (e.g., New Jersey and Ohio), and thus appears to be reasonable.  It also corresponds to what U.S. Energy Information Administration data reflects is the upper end of </w:t>
      </w:r>
      <w:proofErr w:type="gramStart"/>
      <w:r w:rsidRPr="00EE5714">
        <w:rPr>
          <w:rFonts w:ascii="Times New Roman" w:hAnsi="Times New Roman" w:cs="Times New Roman"/>
          <w:sz w:val="24"/>
          <w:szCs w:val="24"/>
        </w:rPr>
        <w:t>middle and upper income</w:t>
      </w:r>
      <w:proofErr w:type="gramEnd"/>
      <w:r w:rsidRPr="00EE5714">
        <w:rPr>
          <w:rFonts w:ascii="Times New Roman" w:hAnsi="Times New Roman" w:cs="Times New Roman"/>
          <w:sz w:val="24"/>
          <w:szCs w:val="24"/>
        </w:rPr>
        <w:t xml:space="preserve"> customer household energy burdens (generally in the range of 1 to 5%).  The Commission therefore adopts a policy that an energy burden at or below 6% of household income shall be the target level for all </w:t>
      </w:r>
      <w:proofErr w:type="gramStart"/>
      <w:r w:rsidRPr="00EE5714">
        <w:rPr>
          <w:rFonts w:ascii="Times New Roman" w:hAnsi="Times New Roman" w:cs="Times New Roman"/>
          <w:sz w:val="24"/>
          <w:szCs w:val="24"/>
        </w:rPr>
        <w:t>low[</w:t>
      </w:r>
      <w:proofErr w:type="gramEnd"/>
      <w:r w:rsidRPr="00EE5714">
        <w:rPr>
          <w:rFonts w:ascii="Times New Roman" w:hAnsi="Times New Roman" w:cs="Times New Roman"/>
          <w:sz w:val="24"/>
          <w:szCs w:val="24"/>
        </w:rPr>
        <w:t>-]income customers.</w:t>
      </w:r>
    </w:p>
    <w:p w14:paraId="767AB369" w14:textId="77777777" w:rsidR="009B1A73" w:rsidRPr="00EE5714" w:rsidRDefault="009B1A73">
      <w:pPr>
        <w:pStyle w:val="FootnoteText"/>
        <w:rPr>
          <w:rFonts w:ascii="Times New Roman" w:hAnsi="Times New Roman" w:cs="Times New Roman"/>
          <w:sz w:val="24"/>
          <w:szCs w:val="24"/>
        </w:rPr>
      </w:pPr>
      <w:r w:rsidRPr="00EE5714">
        <w:rPr>
          <w:rFonts w:ascii="Times New Roman" w:hAnsi="Times New Roman" w:cs="Times New Roman"/>
          <w:sz w:val="24"/>
          <w:szCs w:val="24"/>
        </w:rPr>
        <w:t>May 20 Order at 7-48.</w:t>
      </w:r>
    </w:p>
  </w:footnote>
  <w:footnote w:id="68">
    <w:p w14:paraId="5C41C059" w14:textId="77777777" w:rsidR="009B1A73" w:rsidRPr="00EE5714" w:rsidRDefault="009B1A73" w:rsidP="006F19A8">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New Jersey requires USF customers to pay 3% for natural gas service, 3% for electric non-heating, and 6% for electric heating.  The discount provided to customers is based on the difference between their annual utility bill (after LIHEAP is applied) and required percentage of household income.  </w:t>
      </w:r>
      <w:hyperlink r:id="rId8" w:anchor="q1" w:history="1">
        <w:r w:rsidRPr="00EE5714">
          <w:rPr>
            <w:rStyle w:val="Hyperlink"/>
            <w:rFonts w:ascii="Times New Roman" w:hAnsi="Times New Roman" w:cs="Times New Roman"/>
            <w:sz w:val="24"/>
            <w:szCs w:val="24"/>
          </w:rPr>
          <w:t>https://www.state.nj.us/dca/divisions/dhcr/faq/usf.html#q1</w:t>
        </w:r>
      </w:hyperlink>
      <w:r w:rsidRPr="00EE5714">
        <w:rPr>
          <w:rFonts w:ascii="Times New Roman" w:hAnsi="Times New Roman" w:cs="Times New Roman"/>
          <w:sz w:val="24"/>
          <w:szCs w:val="24"/>
        </w:rPr>
        <w:t xml:space="preserve"> </w:t>
      </w:r>
    </w:p>
  </w:footnote>
  <w:footnote w:id="69">
    <w:p w14:paraId="617D0440"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Although not a neighboring state, Illinois also administers a PIP that charges customers a maximum of 6% of their income for gas and electric service.  The maximum PIP credit is $150 per month or $1,800 annually.  Illinois Senate Bill 1918 at 108-109.  </w:t>
      </w:r>
      <w:hyperlink r:id="rId9" w:history="1">
        <w:r w:rsidRPr="00EE5714">
          <w:rPr>
            <w:rStyle w:val="Hyperlink"/>
            <w:rFonts w:ascii="Times New Roman" w:hAnsi="Times New Roman" w:cs="Times New Roman"/>
            <w:sz w:val="24"/>
            <w:szCs w:val="24"/>
          </w:rPr>
          <w:t>http://www.ilga.gov/legislation/96/SB/PDF/09600SB1918lv.pdf</w:t>
        </w:r>
      </w:hyperlink>
      <w:r w:rsidRPr="00EE5714">
        <w:rPr>
          <w:rFonts w:ascii="Times New Roman" w:hAnsi="Times New Roman" w:cs="Times New Roman"/>
          <w:sz w:val="24"/>
          <w:szCs w:val="24"/>
        </w:rPr>
        <w:t xml:space="preserve"> </w:t>
      </w:r>
    </w:p>
  </w:footnote>
  <w:footnote w:id="70">
    <w:p w14:paraId="1418F700"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i/>
          <w:iCs/>
          <w:sz w:val="24"/>
          <w:szCs w:val="24"/>
        </w:rPr>
        <w:t>See</w:t>
      </w:r>
      <w:r w:rsidRPr="00EE5714">
        <w:rPr>
          <w:rFonts w:ascii="Times New Roman" w:hAnsi="Times New Roman" w:cs="Times New Roman"/>
          <w:sz w:val="24"/>
          <w:szCs w:val="24"/>
        </w:rPr>
        <w:t xml:space="preserve"> </w:t>
      </w:r>
      <w:hyperlink r:id="rId10" w:history="1">
        <w:r w:rsidRPr="00EE5714">
          <w:rPr>
            <w:rStyle w:val="Hyperlink"/>
            <w:rFonts w:ascii="Times New Roman" w:hAnsi="Times New Roman" w:cs="Times New Roman"/>
            <w:sz w:val="24"/>
            <w:szCs w:val="24"/>
          </w:rPr>
          <w:t>http://dhr.maryland.gov/office-of-home-energy-programs/how-are-grants-determined/</w:t>
        </w:r>
      </w:hyperlink>
      <w:r w:rsidRPr="00EE5714">
        <w:rPr>
          <w:rFonts w:ascii="Times New Roman" w:hAnsi="Times New Roman" w:cs="Times New Roman"/>
          <w:sz w:val="24"/>
          <w:szCs w:val="24"/>
        </w:rPr>
        <w:t xml:space="preserve"> for more information about the Maryland grants.</w:t>
      </w:r>
    </w:p>
  </w:footnote>
  <w:footnote w:id="71">
    <w:p w14:paraId="1CC8761F" w14:textId="77777777" w:rsidR="009B1A73" w:rsidRPr="00EE5714" w:rsidRDefault="009B1A73" w:rsidP="00E40CCD">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bookmarkStart w:id="44" w:name="_Hlk518652276"/>
      <w:r w:rsidRPr="00EE5714">
        <w:rPr>
          <w:rFonts w:ascii="Times New Roman" w:hAnsi="Times New Roman" w:cs="Times New Roman"/>
          <w:sz w:val="24"/>
          <w:szCs w:val="24"/>
        </w:rPr>
        <w:t xml:space="preserve"> Fisher, Sheehan &amp; Colton.  “Home Energy Affordability Gap,” </w:t>
      </w:r>
      <w:r w:rsidRPr="00EE5714">
        <w:rPr>
          <w:rFonts w:ascii="Times New Roman" w:hAnsi="Times New Roman" w:cs="Times New Roman"/>
          <w:i/>
          <w:sz w:val="24"/>
          <w:szCs w:val="24"/>
        </w:rPr>
        <w:t>Public Finance and General Economics</w:t>
      </w:r>
      <w:proofErr w:type="gramStart"/>
      <w:r w:rsidRPr="00EE5714">
        <w:rPr>
          <w:rFonts w:ascii="Times New Roman" w:hAnsi="Times New Roman" w:cs="Times New Roman"/>
          <w:sz w:val="24"/>
          <w:szCs w:val="24"/>
        </w:rPr>
        <w:t xml:space="preserve">. </w:t>
      </w:r>
      <w:proofErr w:type="gramEnd"/>
      <w:r w:rsidRPr="00EE5714">
        <w:rPr>
          <w:rFonts w:ascii="Times New Roman" w:hAnsi="Times New Roman" w:cs="Times New Roman"/>
          <w:sz w:val="24"/>
          <w:szCs w:val="24"/>
        </w:rPr>
        <w:t xml:space="preserve">Retrieved from </w:t>
      </w:r>
      <w:hyperlink r:id="rId11" w:history="1">
        <w:r w:rsidRPr="00EE5714">
          <w:rPr>
            <w:rStyle w:val="Hyperlink"/>
            <w:rFonts w:ascii="Times New Roman" w:hAnsi="Times New Roman" w:cs="Times New Roman"/>
            <w:sz w:val="24"/>
            <w:szCs w:val="24"/>
          </w:rPr>
          <w:t>http://www.homeenergyaffordabilitygap.com/index.html</w:t>
        </w:r>
      </w:hyperlink>
      <w:r w:rsidRPr="00EE5714">
        <w:rPr>
          <w:rFonts w:ascii="Times New Roman" w:hAnsi="Times New Roman" w:cs="Times New Roman"/>
          <w:sz w:val="24"/>
          <w:szCs w:val="24"/>
        </w:rPr>
        <w:t xml:space="preserve">. </w:t>
      </w:r>
      <w:bookmarkEnd w:id="44"/>
    </w:p>
  </w:footnote>
  <w:footnote w:id="72">
    <w:p w14:paraId="516842CD" w14:textId="77777777" w:rsidR="009B1A73" w:rsidRPr="00EE5714" w:rsidRDefault="009B1A73" w:rsidP="00E40CCD">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Fisher, Sheehan &amp; Colton explain the affordability gap as </w:t>
      </w:r>
      <w:r w:rsidRPr="00EE5714">
        <w:rPr>
          <w:rFonts w:ascii="Times New Roman" w:hAnsi="Times New Roman" w:cs="Times New Roman"/>
          <w:i/>
          <w:sz w:val="24"/>
          <w:szCs w:val="24"/>
        </w:rPr>
        <w:t>actual home energy bills</w:t>
      </w:r>
      <w:r w:rsidRPr="00EE5714">
        <w:rPr>
          <w:rFonts w:ascii="Times New Roman" w:hAnsi="Times New Roman" w:cs="Times New Roman"/>
          <w:sz w:val="24"/>
          <w:szCs w:val="24"/>
        </w:rPr>
        <w:t xml:space="preserve"> minus </w:t>
      </w:r>
      <w:r w:rsidRPr="00EE5714">
        <w:rPr>
          <w:rFonts w:ascii="Times New Roman" w:hAnsi="Times New Roman" w:cs="Times New Roman"/>
          <w:i/>
          <w:sz w:val="24"/>
          <w:szCs w:val="24"/>
        </w:rPr>
        <w:t>affordable home energy bills</w:t>
      </w:r>
      <w:r w:rsidRPr="00EE5714">
        <w:rPr>
          <w:rFonts w:ascii="Times New Roman" w:hAnsi="Times New Roman" w:cs="Times New Roman"/>
          <w:sz w:val="24"/>
          <w:szCs w:val="24"/>
        </w:rPr>
        <w:t xml:space="preserve"> (defined as 6% gross household income) equals the </w:t>
      </w:r>
      <w:r w:rsidRPr="00EE5714">
        <w:rPr>
          <w:rFonts w:ascii="Times New Roman" w:hAnsi="Times New Roman" w:cs="Times New Roman"/>
          <w:i/>
          <w:sz w:val="24"/>
          <w:szCs w:val="24"/>
        </w:rPr>
        <w:t>home energy affordability gap</w:t>
      </w:r>
      <w:r w:rsidRPr="00EE5714">
        <w:rPr>
          <w:rFonts w:ascii="Times New Roman" w:hAnsi="Times New Roman" w:cs="Times New Roman"/>
          <w:sz w:val="24"/>
          <w:szCs w:val="24"/>
        </w:rPr>
        <w:t xml:space="preserve"> (calculated through segmenting each state’s counties into FPIG sections). </w:t>
      </w:r>
    </w:p>
  </w:footnote>
  <w:footnote w:id="73">
    <w:p w14:paraId="27D78D83" w14:textId="77777777" w:rsidR="009B1A73" w:rsidRPr="00EE5714" w:rsidRDefault="009B1A73" w:rsidP="00E40CCD">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Includes households using various heating sources (</w:t>
      </w:r>
      <w:r w:rsidRPr="00EE5714">
        <w:rPr>
          <w:rFonts w:ascii="Times New Roman" w:hAnsi="Times New Roman" w:cs="Times New Roman"/>
          <w:i/>
          <w:sz w:val="24"/>
          <w:szCs w:val="24"/>
        </w:rPr>
        <w:t>e.g.</w:t>
      </w:r>
      <w:r w:rsidRPr="00EE5714">
        <w:rPr>
          <w:rFonts w:ascii="Times New Roman" w:hAnsi="Times New Roman" w:cs="Times New Roman"/>
          <w:sz w:val="24"/>
          <w:szCs w:val="24"/>
        </w:rPr>
        <w:t xml:space="preserve">, natural gas, electric, oil, propane, coal, wood, etc.).  This is not restricted to jurisdictional gas and electric customers </w:t>
      </w:r>
    </w:p>
  </w:footnote>
  <w:footnote w:id="74">
    <w:p w14:paraId="135CA8AB" w14:textId="77777777" w:rsidR="009B1A73" w:rsidRPr="00EE5714" w:rsidRDefault="009B1A73" w:rsidP="0093755D">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Ross, L., Drehobl, A., and Stickles B.  (July 2018).  The High Cost of Energy in Rural America: Household Energy Burdens and Opportunities for Energy Efficiency.  Retrieved from </w:t>
      </w:r>
      <w:hyperlink r:id="rId12" w:history="1">
        <w:r w:rsidRPr="00EE5714">
          <w:rPr>
            <w:rStyle w:val="Hyperlink"/>
            <w:rFonts w:ascii="Times New Roman" w:hAnsi="Times New Roman" w:cs="Times New Roman"/>
            <w:sz w:val="24"/>
            <w:szCs w:val="24"/>
          </w:rPr>
          <w:t>https://aceee.org/research-report/u1806</w:t>
        </w:r>
      </w:hyperlink>
    </w:p>
  </w:footnote>
  <w:footnote w:id="75">
    <w:p w14:paraId="64BF65EF" w14:textId="77777777" w:rsidR="009B1A73" w:rsidRPr="00EE5714" w:rsidRDefault="009B1A73" w:rsidP="00FA220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Drehobl, A and Ross, L.  (April 2016).  Lifting the High Energy Burden in America’s Largest Cities: How Energy Efficiency Can Improve Low Income and Underserved Communities.  Retrieved from </w:t>
      </w:r>
      <w:hyperlink r:id="rId13" w:history="1">
        <w:r w:rsidRPr="00EE5714">
          <w:rPr>
            <w:rStyle w:val="Hyperlink"/>
            <w:rFonts w:ascii="Times New Roman" w:hAnsi="Times New Roman" w:cs="Times New Roman"/>
            <w:sz w:val="24"/>
            <w:szCs w:val="24"/>
          </w:rPr>
          <w:t>http://energyefficiencyforall.org/sites/default/files/Lifting%20the%20High%20Energy%20Burden_0.pdf</w:t>
        </w:r>
      </w:hyperlink>
      <w:r w:rsidRPr="00EE5714">
        <w:rPr>
          <w:rFonts w:ascii="Times New Roman" w:hAnsi="Times New Roman" w:cs="Times New Roman"/>
          <w:sz w:val="24"/>
          <w:szCs w:val="24"/>
        </w:rPr>
        <w:t>.</w:t>
      </w:r>
    </w:p>
  </w:footnote>
  <w:footnote w:id="76">
    <w:p w14:paraId="1DB67C69" w14:textId="77777777" w:rsidR="009B1A73" w:rsidRPr="00EE5714" w:rsidRDefault="009B1A73" w:rsidP="00284485">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 Cadmus Group (November 2014).  Process Evaluation Report, PPL Electric, EE&amp;C Plan, Program Year Five.  Retrieved from </w:t>
      </w:r>
      <w:hyperlink r:id="rId14" w:history="1">
        <w:r w:rsidRPr="00EE5714">
          <w:rPr>
            <w:rStyle w:val="Hyperlink"/>
            <w:rFonts w:ascii="Times New Roman" w:hAnsi="Times New Roman" w:cs="Times New Roman"/>
            <w:sz w:val="24"/>
            <w:szCs w:val="24"/>
          </w:rPr>
          <w:t>https://www.pplelectric.com/-/media/PPLElectric/Save-Energy-and-Money/Docs/Act129_Phase2/pplpy5processevaluation212015.pdf?la=en</w:t>
        </w:r>
      </w:hyperlink>
      <w:r w:rsidRPr="00EE5714">
        <w:rPr>
          <w:rStyle w:val="Hyperlink"/>
          <w:rFonts w:ascii="Times New Roman" w:hAnsi="Times New Roman" w:cs="Times New Roman"/>
          <w:sz w:val="24"/>
          <w:szCs w:val="24"/>
        </w:rPr>
        <w:t>E</w:t>
      </w:r>
    </w:p>
  </w:footnote>
  <w:footnote w:id="77">
    <w:p w14:paraId="08BCBEAF" w14:textId="77777777" w:rsidR="009B1A73" w:rsidRPr="00EE5714" w:rsidRDefault="009B1A73" w:rsidP="00F96E0C">
      <w:pPr>
        <w:tabs>
          <w:tab w:val="left" w:pos="3489"/>
        </w:tabs>
        <w:spacing w:after="0" w:line="240" w:lineRule="auto"/>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Opinion Dynamics Corporation (March 2013)</w:t>
      </w:r>
      <w:proofErr w:type="gramStart"/>
      <w:r w:rsidRPr="00EE5714">
        <w:rPr>
          <w:rFonts w:ascii="Times New Roman" w:hAnsi="Times New Roman" w:cs="Times New Roman"/>
          <w:sz w:val="24"/>
          <w:szCs w:val="24"/>
        </w:rPr>
        <w:t xml:space="preserve">. </w:t>
      </w:r>
      <w:proofErr w:type="gramEnd"/>
      <w:r w:rsidRPr="00EE5714">
        <w:rPr>
          <w:rFonts w:ascii="Times New Roman" w:hAnsi="Times New Roman" w:cs="Times New Roman"/>
          <w:sz w:val="24"/>
          <w:szCs w:val="24"/>
        </w:rPr>
        <w:t xml:space="preserve">Low Income Assistance Program Evaluation.  Retrieved from  </w:t>
      </w:r>
      <w:hyperlink r:id="rId15" w:history="1">
        <w:r w:rsidRPr="00EE5714">
          <w:rPr>
            <w:rStyle w:val="Hyperlink"/>
            <w:rFonts w:ascii="Times New Roman" w:hAnsi="Times New Roman" w:cs="Times New Roman"/>
            <w:sz w:val="24"/>
            <w:szCs w:val="24"/>
          </w:rPr>
          <w:t>http://www.opiniondynamics.com/wp-content/uploads/2013/06/Low-Income-Payment-Assistance-Program-Evaluation.pdf</w:t>
        </w:r>
      </w:hyperlink>
      <w:r w:rsidRPr="00EE5714">
        <w:rPr>
          <w:rFonts w:ascii="Times New Roman" w:hAnsi="Times New Roman" w:cs="Times New Roman"/>
          <w:sz w:val="24"/>
          <w:szCs w:val="24"/>
        </w:rPr>
        <w:t>..</w:t>
      </w:r>
    </w:p>
  </w:footnote>
  <w:footnote w:id="78">
    <w:p w14:paraId="4BEBEE7B" w14:textId="77777777" w:rsidR="009B1A73" w:rsidRPr="00EE5714" w:rsidRDefault="009B1A73" w:rsidP="009A1D24">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APPRISE (July 2012).  UGI Utilities Universal Service Program Final Evaluation Report.  Retrieved from</w:t>
      </w:r>
      <w:r w:rsidRPr="00EE5714">
        <w:rPr>
          <w:rStyle w:val="Hyperlink"/>
          <w:rFonts w:ascii="Times New Roman" w:hAnsi="Times New Roman" w:cs="Times New Roman"/>
          <w:sz w:val="24"/>
          <w:szCs w:val="24"/>
        </w:rPr>
        <w:t xml:space="preserve"> </w:t>
      </w:r>
      <w:hyperlink r:id="rId16" w:history="1">
        <w:r w:rsidRPr="00EE5714">
          <w:rPr>
            <w:rStyle w:val="Hyperlink"/>
            <w:rFonts w:ascii="Times New Roman" w:hAnsi="Times New Roman" w:cs="Times New Roman"/>
            <w:sz w:val="24"/>
            <w:szCs w:val="24"/>
          </w:rPr>
          <w:t>https://www.puc.state.pa.us/general/pdf/USP_Evaluation-UGI.pdf</w:t>
        </w:r>
      </w:hyperlink>
      <w:r w:rsidRPr="00EE5714">
        <w:rPr>
          <w:rFonts w:ascii="Times New Roman" w:hAnsi="Times New Roman" w:cs="Times New Roman"/>
          <w:sz w:val="24"/>
          <w:szCs w:val="24"/>
        </w:rPr>
        <w:t>.</w:t>
      </w:r>
    </w:p>
  </w:footnote>
  <w:footnote w:id="79">
    <w:p w14:paraId="3528B349"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Fisher, Sheehan, &amp; Colton</w:t>
      </w:r>
      <w:proofErr w:type="gramStart"/>
      <w:r w:rsidRPr="00EE5714">
        <w:rPr>
          <w:rFonts w:ascii="Times New Roman" w:hAnsi="Times New Roman" w:cs="Times New Roman"/>
          <w:sz w:val="24"/>
          <w:szCs w:val="24"/>
        </w:rPr>
        <w:t xml:space="preserve">. </w:t>
      </w:r>
      <w:proofErr w:type="gramEnd"/>
      <w:r w:rsidRPr="00EE5714">
        <w:rPr>
          <w:rFonts w:ascii="Times New Roman" w:hAnsi="Times New Roman" w:cs="Times New Roman"/>
          <w:sz w:val="24"/>
          <w:szCs w:val="24"/>
        </w:rPr>
        <w:t xml:space="preserve">(August 2012).  Home Energy Affordability in New York: The Affordability Gap (2011).  Retrieved from </w:t>
      </w:r>
      <w:hyperlink r:id="rId17" w:history="1">
        <w:r w:rsidRPr="00EE5714">
          <w:rPr>
            <w:rStyle w:val="Hyperlink"/>
            <w:rFonts w:ascii="Times New Roman" w:hAnsi="Times New Roman" w:cs="Times New Roman"/>
            <w:sz w:val="24"/>
            <w:szCs w:val="24"/>
          </w:rPr>
          <w:t>https://www.nyserda.ny.gov/-/media/Files/EDPPP/LIFE/Resources/2011-affordability-gap.pdf</w:t>
        </w:r>
      </w:hyperlink>
      <w:r w:rsidRPr="00EE5714">
        <w:rPr>
          <w:rFonts w:ascii="Times New Roman" w:hAnsi="Times New Roman" w:cs="Times New Roman"/>
          <w:sz w:val="24"/>
          <w:szCs w:val="24"/>
        </w:rPr>
        <w:t>.</w:t>
      </w:r>
    </w:p>
  </w:footnote>
  <w:footnote w:id="80">
    <w:p w14:paraId="4E33067C" w14:textId="77777777" w:rsidR="009B1A73" w:rsidRPr="00EE5714" w:rsidRDefault="009B1A73" w:rsidP="00645B28">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APPRISE (July 2010).  Allegheny Power Universal Service Programs Final Evaluation Report at ES4.  Retrieved from</w:t>
      </w:r>
      <w:r w:rsidRPr="00EE5714">
        <w:rPr>
          <w:rStyle w:val="Hyperlink"/>
          <w:rFonts w:ascii="Times New Roman" w:hAnsi="Times New Roman" w:cs="Times New Roman"/>
          <w:sz w:val="24"/>
          <w:szCs w:val="24"/>
        </w:rPr>
        <w:t xml:space="preserve"> </w:t>
      </w:r>
      <w:hyperlink r:id="rId18" w:history="1">
        <w:r w:rsidRPr="00EE5714">
          <w:rPr>
            <w:rStyle w:val="Hyperlink"/>
            <w:rFonts w:ascii="Times New Roman" w:hAnsi="Times New Roman" w:cs="Times New Roman"/>
            <w:sz w:val="24"/>
            <w:szCs w:val="24"/>
          </w:rPr>
          <w:t>http://www.appriseinc.org/wp-content/uploads/2016/05/Final-Allegheny-Universal-Service-Program-Evaluation-Report.pdf</w:t>
        </w:r>
      </w:hyperlink>
      <w:r w:rsidRPr="00EE5714">
        <w:rPr>
          <w:rStyle w:val="Hyperlink"/>
          <w:rFonts w:ascii="Times New Roman" w:hAnsi="Times New Roman" w:cs="Times New Roman"/>
          <w:sz w:val="24"/>
          <w:szCs w:val="24"/>
        </w:rPr>
        <w:t xml:space="preserve"> </w:t>
      </w:r>
      <w:r w:rsidRPr="00EE5714">
        <w:rPr>
          <w:rFonts w:ascii="Times New Roman" w:hAnsi="Times New Roman" w:cs="Times New Roman"/>
          <w:sz w:val="24"/>
          <w:szCs w:val="24"/>
        </w:rPr>
        <w:t xml:space="preserve">  </w:t>
      </w:r>
    </w:p>
  </w:footnote>
  <w:footnote w:id="81">
    <w:p w14:paraId="168CA5E1" w14:textId="77777777" w:rsidR="009B1A73" w:rsidRPr="00EE5714" w:rsidRDefault="009B1A73" w:rsidP="00F96E0C">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APPRISE (December 2009).  Illinois PIPP Program Impact Evaluation.  Retrieved from </w:t>
      </w:r>
      <w:hyperlink r:id="rId19" w:history="1">
        <w:r w:rsidRPr="00EE5714">
          <w:rPr>
            <w:rStyle w:val="Hyperlink"/>
            <w:rFonts w:ascii="Times New Roman" w:hAnsi="Times New Roman" w:cs="Times New Roman"/>
            <w:sz w:val="24"/>
            <w:szCs w:val="24"/>
          </w:rPr>
          <w:t>http://appriseinc.org/reports/Illinois%20PIPP%20Impact%20Report%20-%20FINAL.pdf</w:t>
        </w:r>
      </w:hyperlink>
      <w:r w:rsidRPr="00EE5714">
        <w:rPr>
          <w:rFonts w:ascii="Times New Roman" w:hAnsi="Times New Roman" w:cs="Times New Roman"/>
          <w:sz w:val="24"/>
          <w:szCs w:val="24"/>
        </w:rPr>
        <w:t xml:space="preserve">.  </w:t>
      </w:r>
    </w:p>
  </w:footnote>
  <w:footnote w:id="82">
    <w:p w14:paraId="2CC4729E"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APPRISE (July 2005).  LIHEAP Energy Burden Evaluation Study.  Retrieved from </w:t>
      </w:r>
      <w:hyperlink r:id="rId20" w:history="1">
        <w:r w:rsidRPr="00EE5714">
          <w:rPr>
            <w:rStyle w:val="Hyperlink"/>
            <w:rFonts w:ascii="Times New Roman" w:hAnsi="Times New Roman" w:cs="Times New Roman"/>
            <w:sz w:val="24"/>
            <w:szCs w:val="24"/>
          </w:rPr>
          <w:t>http://www.appriseinc.org/reports/LIHEAP%20BURDEN.pdf</w:t>
        </w:r>
      </w:hyperlink>
      <w:r w:rsidRPr="00EE5714">
        <w:rPr>
          <w:rFonts w:ascii="Times New Roman" w:hAnsi="Times New Roman" w:cs="Times New Roman"/>
          <w:sz w:val="24"/>
          <w:szCs w:val="24"/>
        </w:rPr>
        <w:t>.</w:t>
      </w:r>
    </w:p>
  </w:footnote>
  <w:footnote w:id="83">
    <w:p w14:paraId="076DF4FD" w14:textId="77777777" w:rsidR="009B1A73" w:rsidRPr="00EE5714" w:rsidRDefault="009B1A73" w:rsidP="000C58EE">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Fisher, Sheehan, &amp; Colton</w:t>
      </w:r>
      <w:proofErr w:type="gramStart"/>
      <w:r w:rsidRPr="00EE5714">
        <w:rPr>
          <w:rFonts w:ascii="Times New Roman" w:hAnsi="Times New Roman" w:cs="Times New Roman"/>
          <w:sz w:val="24"/>
          <w:szCs w:val="24"/>
        </w:rPr>
        <w:t xml:space="preserve">. </w:t>
      </w:r>
      <w:proofErr w:type="gramEnd"/>
      <w:r w:rsidRPr="00EE5714">
        <w:rPr>
          <w:rFonts w:ascii="Times New Roman" w:hAnsi="Times New Roman" w:cs="Times New Roman"/>
          <w:sz w:val="24"/>
          <w:szCs w:val="24"/>
        </w:rPr>
        <w:t xml:space="preserve">(May 1999).  “Measuring LIHEAP’s Results: Responding to Home Energy Unaffordability,” </w:t>
      </w:r>
      <w:r w:rsidRPr="00EE5714">
        <w:rPr>
          <w:rFonts w:ascii="Times New Roman" w:hAnsi="Times New Roman" w:cs="Times New Roman"/>
          <w:i/>
          <w:iCs/>
          <w:sz w:val="24"/>
          <w:szCs w:val="24"/>
        </w:rPr>
        <w:t>Public Finance and General Economics</w:t>
      </w:r>
      <w:r w:rsidRPr="00EE5714">
        <w:rPr>
          <w:rFonts w:ascii="Times New Roman" w:hAnsi="Times New Roman" w:cs="Times New Roman"/>
          <w:sz w:val="24"/>
          <w:szCs w:val="24"/>
        </w:rPr>
        <w:t xml:space="preserve">.  Retrieved from </w:t>
      </w:r>
      <w:hyperlink r:id="rId21" w:history="1">
        <w:r w:rsidRPr="00EE5714">
          <w:rPr>
            <w:rStyle w:val="Hyperlink"/>
            <w:rFonts w:ascii="Times New Roman" w:hAnsi="Times New Roman" w:cs="Times New Roman"/>
            <w:sz w:val="24"/>
            <w:szCs w:val="24"/>
          </w:rPr>
          <w:t>http://www.fsconline.com/downloads/Papers/1999%2005%20measure-liheap.pdf</w:t>
        </w:r>
      </w:hyperlink>
      <w:r w:rsidRPr="00EE5714">
        <w:rPr>
          <w:rFonts w:ascii="Times New Roman" w:hAnsi="Times New Roman" w:cs="Times New Roman"/>
          <w:sz w:val="24"/>
          <w:szCs w:val="24"/>
        </w:rPr>
        <w:t>.  Measuring LIHEAP’s Results at i.</w:t>
      </w:r>
    </w:p>
  </w:footnote>
  <w:footnote w:id="84">
    <w:p w14:paraId="205C3C5E" w14:textId="77777777" w:rsidR="009B1A73" w:rsidRPr="00EE5714" w:rsidRDefault="009B1A73" w:rsidP="000C58EE">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Fisher, Sheehan, &amp; Colton</w:t>
      </w:r>
      <w:proofErr w:type="gramStart"/>
      <w:r w:rsidRPr="00EE5714">
        <w:rPr>
          <w:rFonts w:ascii="Times New Roman" w:hAnsi="Times New Roman" w:cs="Times New Roman"/>
          <w:sz w:val="24"/>
          <w:szCs w:val="24"/>
        </w:rPr>
        <w:t xml:space="preserve">. </w:t>
      </w:r>
      <w:proofErr w:type="gramEnd"/>
      <w:r w:rsidRPr="00EE5714">
        <w:rPr>
          <w:rFonts w:ascii="Times New Roman" w:hAnsi="Times New Roman" w:cs="Times New Roman"/>
          <w:sz w:val="24"/>
          <w:szCs w:val="24"/>
        </w:rPr>
        <w:t xml:space="preserve">(June 1994).  “Determining the Cost-Effectiveness of Utility Late Payment Charges,” </w:t>
      </w:r>
      <w:r w:rsidRPr="00EE5714">
        <w:rPr>
          <w:rFonts w:ascii="Times New Roman" w:hAnsi="Times New Roman" w:cs="Times New Roman"/>
          <w:i/>
          <w:iCs/>
          <w:sz w:val="24"/>
          <w:szCs w:val="24"/>
        </w:rPr>
        <w:t>Public Finance and General Economics</w:t>
      </w:r>
      <w:r w:rsidRPr="00EE5714">
        <w:rPr>
          <w:rFonts w:ascii="Times New Roman" w:hAnsi="Times New Roman" w:cs="Times New Roman"/>
          <w:sz w:val="24"/>
          <w:szCs w:val="24"/>
        </w:rPr>
        <w:t xml:space="preserve">.  Retrieved from </w:t>
      </w:r>
      <w:hyperlink r:id="rId22" w:history="1">
        <w:r w:rsidRPr="00EE5714">
          <w:rPr>
            <w:rStyle w:val="Hyperlink"/>
            <w:rFonts w:ascii="Times New Roman" w:hAnsi="Times New Roman" w:cs="Times New Roman"/>
            <w:sz w:val="24"/>
            <w:szCs w:val="24"/>
          </w:rPr>
          <w:t>http://www.fsconline.com/downloads/Papers/1994%2007%20LATE-FEE.pdf</w:t>
        </w:r>
      </w:hyperlink>
      <w:r w:rsidRPr="00EE5714">
        <w:rPr>
          <w:rFonts w:ascii="Times New Roman" w:hAnsi="Times New Roman" w:cs="Times New Roman"/>
          <w:sz w:val="24"/>
          <w:szCs w:val="24"/>
        </w:rPr>
        <w:t>.  Determining the Cost-Effectiveness of Utility Late Payment Charges at 15.</w:t>
      </w:r>
    </w:p>
  </w:footnote>
  <w:footnote w:id="85">
    <w:p w14:paraId="0D84AD4E"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Pennsylvania State Data Center, Penn State Harrisburg.  (October 2012).  Pennsylvania’s Urban and Rural Population.  Retrieved from </w:t>
      </w:r>
      <w:hyperlink r:id="rId23" w:history="1">
        <w:r w:rsidRPr="00EE5714">
          <w:rPr>
            <w:rStyle w:val="Hyperlink"/>
            <w:rFonts w:ascii="Times New Roman" w:hAnsi="Times New Roman" w:cs="Times New Roman"/>
            <w:sz w:val="24"/>
            <w:szCs w:val="24"/>
          </w:rPr>
          <w:t>http://pasdc.hbg.psu.edu/sdc/pasdc_files/researchbriefs/Urban_Rural_SF1_RB.pdf</w:t>
        </w:r>
      </w:hyperlink>
      <w:r w:rsidRPr="00EE5714">
        <w:rPr>
          <w:rFonts w:ascii="Times New Roman" w:hAnsi="Times New Roman" w:cs="Times New Roman"/>
          <w:sz w:val="24"/>
          <w:szCs w:val="24"/>
        </w:rPr>
        <w:t>.</w:t>
      </w:r>
    </w:p>
  </w:footnote>
  <w:footnote w:id="86">
    <w:p w14:paraId="35F943EE"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52 Pa. Code § 62.5 (2)(ii)(C)(III) for NGDCs and 52 Pa. Code § 54.75(2)(ii)(C)(III) for EDCs.</w:t>
      </w:r>
    </w:p>
  </w:footnote>
  <w:footnote w:id="87">
    <w:p w14:paraId="36AFDCF3"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hyperlink r:id="rId24" w:history="1">
        <w:r w:rsidRPr="00EE5714">
          <w:rPr>
            <w:rStyle w:val="Hyperlink"/>
            <w:rFonts w:ascii="Times New Roman" w:hAnsi="Times New Roman" w:cs="Times New Roman"/>
            <w:sz w:val="24"/>
            <w:szCs w:val="24"/>
          </w:rPr>
          <w:t>http://www.puc.pa.gov/filing_resources/universal_service_reports.aspx</w:t>
        </w:r>
      </w:hyperlink>
    </w:p>
  </w:footnote>
  <w:footnote w:id="88">
    <w:p w14:paraId="2BB254EF" w14:textId="5676CDAB"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Pr>
          <w:rFonts w:ascii="Times New Roman" w:hAnsi="Times New Roman" w:cs="Times New Roman"/>
          <w:sz w:val="24"/>
          <w:szCs w:val="24"/>
        </w:rPr>
        <w:t xml:space="preserve"> Staff used projected CAP costs for 2018 to 2021 from the utilities’ USECPs, rather than using regression to forecast CAP costs from the 2012-2016 data.  Staff determined that the USECP CAP budgets were approximately 7% higher than actual CAP costs for 2015 through 2017.  </w:t>
      </w:r>
      <w:r w:rsidRPr="00FF24BA">
        <w:rPr>
          <w:rFonts w:ascii="Times New Roman" w:hAnsi="Times New Roman" w:cs="Times New Roman"/>
          <w:i/>
          <w:sz w:val="24"/>
          <w:szCs w:val="24"/>
        </w:rPr>
        <w:t>See</w:t>
      </w:r>
      <w:r>
        <w:rPr>
          <w:rFonts w:ascii="Times New Roman" w:hAnsi="Times New Roman" w:cs="Times New Roman"/>
          <w:sz w:val="24"/>
          <w:szCs w:val="24"/>
        </w:rPr>
        <w:t xml:space="preserve"> </w:t>
      </w:r>
      <w:r w:rsidRPr="00E21D1C">
        <w:rPr>
          <w:rFonts w:ascii="Times New Roman" w:hAnsi="Times New Roman" w:cs="Times New Roman"/>
          <w:sz w:val="24"/>
          <w:szCs w:val="24"/>
        </w:rPr>
        <w:t xml:space="preserve">Appendix </w:t>
      </w:r>
      <w:r w:rsidRPr="007C00CA">
        <w:rPr>
          <w:rFonts w:ascii="Times New Roman" w:hAnsi="Times New Roman" w:cs="Times New Roman"/>
          <w:sz w:val="24"/>
          <w:szCs w:val="24"/>
        </w:rPr>
        <w:t>9.M.1:</w:t>
      </w:r>
      <w:r w:rsidRPr="00E21D1C">
        <w:rPr>
          <w:rFonts w:ascii="Times New Roman" w:hAnsi="Times New Roman" w:cs="Times New Roman"/>
          <w:sz w:val="24"/>
          <w:szCs w:val="24"/>
        </w:rPr>
        <w:t xml:space="preserve"> Variance between USECP CAP Cost Projections and Actual CAP Costs – Energy Industry as a Whole</w:t>
      </w:r>
      <w:r>
        <w:rPr>
          <w:rFonts w:ascii="Times New Roman" w:hAnsi="Times New Roman" w:cs="Times New Roman"/>
          <w:sz w:val="24"/>
          <w:szCs w:val="24"/>
        </w:rPr>
        <w:t>.</w:t>
      </w:r>
      <w:r w:rsidRPr="00E21D1C">
        <w:rPr>
          <w:rFonts w:ascii="Times New Roman" w:hAnsi="Times New Roman" w:cs="Times New Roman"/>
          <w:sz w:val="24"/>
          <w:szCs w:val="24"/>
        </w:rPr>
        <w:t xml:space="preserve">  Staff did not factor</w:t>
      </w:r>
      <w:r w:rsidRPr="003F0FF0">
        <w:rPr>
          <w:rFonts w:ascii="Times New Roman" w:hAnsi="Times New Roman" w:cs="Times New Roman"/>
          <w:sz w:val="24"/>
          <w:szCs w:val="24"/>
        </w:rPr>
        <w:t xml:space="preserve"> this variance into the model</w:t>
      </w:r>
      <w:r>
        <w:rPr>
          <w:rFonts w:ascii="Times New Roman" w:hAnsi="Times New Roman" w:cs="Times New Roman"/>
          <w:sz w:val="24"/>
          <w:szCs w:val="24"/>
        </w:rPr>
        <w:t>.</w:t>
      </w:r>
    </w:p>
  </w:footnote>
  <w:footnote w:id="89">
    <w:p w14:paraId="13BC27CD" w14:textId="77777777" w:rsidR="009B1A73" w:rsidRPr="00EE5714" w:rsidRDefault="009B1A73" w:rsidP="00A321C2">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PGW, as a city NGDC, </w:t>
      </w:r>
      <w:proofErr w:type="gramStart"/>
      <w:r w:rsidRPr="00EE5714">
        <w:rPr>
          <w:rFonts w:ascii="Times New Roman" w:hAnsi="Times New Roman" w:cs="Times New Roman"/>
          <w:sz w:val="24"/>
          <w:szCs w:val="24"/>
        </w:rPr>
        <w:t>is able to</w:t>
      </w:r>
      <w:proofErr w:type="gramEnd"/>
      <w:r w:rsidRPr="00EE5714">
        <w:rPr>
          <w:rFonts w:ascii="Times New Roman" w:hAnsi="Times New Roman" w:cs="Times New Roman"/>
          <w:sz w:val="24"/>
          <w:szCs w:val="24"/>
        </w:rPr>
        <w:t xml:space="preserve"> recover its CAP and other universal service program costs from the following classes, at different allocation percentages each year: residential, commercial, industrial, municipal service, and the Philadelphia Housing Authority (PHA).</w:t>
      </w:r>
    </w:p>
  </w:footnote>
  <w:footnote w:id="90">
    <w:p w14:paraId="797655F2" w14:textId="25791FB6"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E5714">
        <w:rPr>
          <w:rFonts w:ascii="Times New Roman" w:hAnsi="Times New Roman" w:cs="Times New Roman"/>
          <w:sz w:val="24"/>
          <w:szCs w:val="24"/>
        </w:rPr>
        <w:t>See Appendices 9.D and 9.E.</w:t>
      </w:r>
    </w:p>
  </w:footnote>
  <w:footnote w:id="91">
    <w:p w14:paraId="344FAEED" w14:textId="77777777" w:rsidR="009B1A73" w:rsidRPr="00EE5714" w:rsidRDefault="009B1A73" w:rsidP="001F5390">
      <w:pPr>
        <w:pStyle w:val="FootnoteText"/>
        <w:rPr>
          <w:rFonts w:ascii="Times New Roman" w:eastAsia="Times New Roman" w:hAnsi="Times New Roman" w:cs="Times New Roman"/>
          <w:color w:val="0070C0"/>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eastAsia="Times New Roman" w:hAnsi="Times New Roman" w:cs="Times New Roman"/>
          <w:b/>
          <w:bCs/>
          <w:sz w:val="24"/>
          <w:szCs w:val="24"/>
        </w:rPr>
        <w:t xml:space="preserve">Source: </w:t>
      </w:r>
      <w:r w:rsidRPr="00EE5714">
        <w:rPr>
          <w:rFonts w:ascii="Times New Roman" w:eastAsia="Times New Roman" w:hAnsi="Times New Roman" w:cs="Times New Roman"/>
          <w:bCs/>
          <w:sz w:val="24"/>
          <w:szCs w:val="24"/>
        </w:rPr>
        <w:t>U.S. Energy Information Administration (EIA)</w:t>
      </w:r>
      <w:r w:rsidRPr="00EE5714">
        <w:rPr>
          <w:rFonts w:ascii="Times New Roman" w:eastAsia="Times New Roman" w:hAnsi="Times New Roman" w:cs="Times New Roman"/>
          <w:b/>
          <w:bCs/>
          <w:sz w:val="24"/>
          <w:szCs w:val="24"/>
        </w:rPr>
        <w:t xml:space="preserve"> </w:t>
      </w:r>
    </w:p>
    <w:p w14:paraId="6FF69090" w14:textId="77777777" w:rsidR="009B1A73" w:rsidRPr="00EE5714" w:rsidRDefault="00AF5D0A" w:rsidP="001F5390">
      <w:pPr>
        <w:pStyle w:val="FootnoteText"/>
        <w:rPr>
          <w:rFonts w:ascii="Times New Roman" w:hAnsi="Times New Roman" w:cs="Times New Roman"/>
          <w:sz w:val="24"/>
          <w:szCs w:val="24"/>
        </w:rPr>
      </w:pPr>
      <w:hyperlink r:id="rId25" w:anchor="/?id=3-AEO2018&amp;region=1-0&amp;cases=ref2018&amp;start=2016&amp;end=2030&amp;f=A&amp;linechart=&amp;map=ref2018-d121317a.4-3-AEO2018.1-0&amp;ctype=linechart&amp;sourcekey=0" w:history="1">
        <w:r w:rsidR="009B1A73" w:rsidRPr="00EE5714">
          <w:rPr>
            <w:rStyle w:val="Hyperlink"/>
            <w:rFonts w:ascii="Times New Roman" w:eastAsia="Times New Roman" w:hAnsi="Times New Roman" w:cs="Times New Roman"/>
            <w:sz w:val="24"/>
            <w:szCs w:val="24"/>
          </w:rPr>
          <w:t>https://www.eia.gov/outlooks/aeo/data/browser/#/?id=3-AEO2018&amp;region=1-0&amp;cases=ref2018&amp;start=2016&amp;end=2030&amp;f=A&amp;linechart=&amp;map=ref2018-d121317a.4-3-AEO2018.1-0&amp;ctype=linechart&amp;sourcekey=0</w:t>
        </w:r>
      </w:hyperlink>
      <w:r w:rsidR="009B1A73" w:rsidRPr="00EE5714">
        <w:rPr>
          <w:rFonts w:ascii="Times New Roman" w:eastAsia="Times New Roman" w:hAnsi="Times New Roman" w:cs="Times New Roman"/>
          <w:color w:val="0070C0"/>
          <w:sz w:val="24"/>
          <w:szCs w:val="24"/>
        </w:rPr>
        <w:t xml:space="preserve"> </w:t>
      </w:r>
    </w:p>
  </w:footnote>
  <w:footnote w:id="92">
    <w:p w14:paraId="441C3800" w14:textId="65828AE2"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i/>
          <w:sz w:val="24"/>
          <w:szCs w:val="24"/>
        </w:rPr>
        <w:t xml:space="preserve">See </w:t>
      </w:r>
      <w:r w:rsidRPr="00EE5714">
        <w:rPr>
          <w:rFonts w:ascii="Times New Roman" w:hAnsi="Times New Roman" w:cs="Times New Roman"/>
          <w:sz w:val="24"/>
          <w:szCs w:val="24"/>
        </w:rPr>
        <w:t>Appendix 9.L.</w:t>
      </w:r>
    </w:p>
  </w:footnote>
  <w:footnote w:id="93">
    <w:p w14:paraId="6114D5AD" w14:textId="77777777" w:rsidR="009B1A73" w:rsidRPr="00EE5714" w:rsidRDefault="009B1A73" w:rsidP="009B5695">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 results of this model are not projections of future CAP costs at a maximum energy burden of 10%.  To use this model to forecast future CAP costs at various energy burden maximums would require additional data from the utilities.</w:t>
      </w:r>
    </w:p>
  </w:footnote>
  <w:footnote w:id="94">
    <w:p w14:paraId="7756474E"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proofErr w:type="gramStart"/>
      <w:r w:rsidRPr="00EE5714">
        <w:rPr>
          <w:rFonts w:ascii="Times New Roman" w:hAnsi="Times New Roman" w:cs="Times New Roman"/>
          <w:sz w:val="24"/>
          <w:szCs w:val="24"/>
        </w:rPr>
        <w:t>In regard to</w:t>
      </w:r>
      <w:proofErr w:type="gramEnd"/>
      <w:r w:rsidRPr="00EE5714">
        <w:rPr>
          <w:rFonts w:ascii="Times New Roman" w:hAnsi="Times New Roman" w:cs="Times New Roman"/>
          <w:sz w:val="24"/>
          <w:szCs w:val="24"/>
        </w:rPr>
        <w:t xml:space="preserve"> energy burdens for all low-income customers, the utilities that were queried for this study were unable to identify or provide income information on low-income households that did not participate in their CAPs or other universal service programs.</w:t>
      </w:r>
    </w:p>
  </w:footnote>
  <w:footnote w:id="95">
    <w:p w14:paraId="43FA6609"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 average energy burden was 7 to 8% for NGDC CAP heating customers and 5 to 6% for EDC non-heating CAP customers.</w:t>
      </w:r>
    </w:p>
  </w:footnote>
  <w:footnote w:id="96">
    <w:p w14:paraId="782933EB"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Specifically, 10% for electric heating, 6% for gas heating, and 4% for electric non-heating.</w:t>
      </w:r>
    </w:p>
  </w:footnote>
  <w:footnote w:id="97">
    <w:p w14:paraId="5FB9B79A" w14:textId="77777777" w:rsidR="009B1A73" w:rsidRPr="00EE5714" w:rsidRDefault="009B1A73" w:rsidP="0079243A">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As defined by ACS, a household is composed of one or more people who occupy a housing unit.  See </w:t>
      </w:r>
      <w:hyperlink r:id="rId26" w:history="1">
        <w:r w:rsidRPr="00EE5714">
          <w:rPr>
            <w:rStyle w:val="Hyperlink"/>
            <w:rFonts w:ascii="Times New Roman" w:hAnsi="Times New Roman" w:cs="Times New Roman"/>
            <w:sz w:val="24"/>
            <w:szCs w:val="24"/>
          </w:rPr>
          <w:t>https://www.census.gov/programs-surveys/acs/technical-documentation/code-lists.html</w:t>
        </w:r>
      </w:hyperlink>
      <w:r w:rsidRPr="00EE5714">
        <w:rPr>
          <w:rFonts w:ascii="Times New Roman" w:hAnsi="Times New Roman" w:cs="Times New Roman"/>
          <w:sz w:val="24"/>
          <w:szCs w:val="24"/>
        </w:rPr>
        <w:t xml:space="preserve">.  Population is defined as the whole number of inhabitants of a </w:t>
      </w:r>
      <w:proofErr w:type="gramStart"/>
      <w:r w:rsidRPr="00EE5714">
        <w:rPr>
          <w:rFonts w:ascii="Times New Roman" w:hAnsi="Times New Roman" w:cs="Times New Roman"/>
          <w:sz w:val="24"/>
          <w:szCs w:val="24"/>
        </w:rPr>
        <w:t>particular town</w:t>
      </w:r>
      <w:proofErr w:type="gramEnd"/>
      <w:r w:rsidRPr="00EE5714">
        <w:rPr>
          <w:rFonts w:ascii="Times New Roman" w:hAnsi="Times New Roman" w:cs="Times New Roman"/>
          <w:sz w:val="24"/>
          <w:szCs w:val="24"/>
        </w:rPr>
        <w:t>, area, or country.</w:t>
      </w:r>
    </w:p>
  </w:footnote>
  <w:footnote w:id="98">
    <w:p w14:paraId="72C58B40" w14:textId="77777777" w:rsidR="009B1A73" w:rsidRPr="00EE5714" w:rsidRDefault="009B1A73" w:rsidP="0079243A">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hAnsi="Times New Roman" w:cs="Times New Roman"/>
          <w:i/>
          <w:sz w:val="24"/>
          <w:szCs w:val="24"/>
        </w:rPr>
        <w:t>Per capita</w:t>
      </w:r>
      <w:r w:rsidRPr="00EE5714">
        <w:rPr>
          <w:rFonts w:ascii="Times New Roman" w:hAnsi="Times New Roman" w:cs="Times New Roman"/>
          <w:sz w:val="24"/>
          <w:szCs w:val="24"/>
        </w:rPr>
        <w:t xml:space="preserve"> income” is defined as the average income earned by each person in a given area.  Example, two income earners in the same household would be counted separately when measuring </w:t>
      </w:r>
      <w:r w:rsidRPr="00EE5714">
        <w:rPr>
          <w:rFonts w:ascii="Times New Roman" w:hAnsi="Times New Roman" w:cs="Times New Roman"/>
          <w:i/>
          <w:sz w:val="24"/>
          <w:szCs w:val="24"/>
        </w:rPr>
        <w:t>per capita</w:t>
      </w:r>
      <w:r w:rsidRPr="00EE5714">
        <w:rPr>
          <w:rFonts w:ascii="Times New Roman" w:hAnsi="Times New Roman" w:cs="Times New Roman"/>
          <w:sz w:val="24"/>
          <w:szCs w:val="24"/>
        </w:rPr>
        <w:t xml:space="preserve"> income.  </w:t>
      </w:r>
    </w:p>
  </w:footnote>
  <w:footnote w:id="99">
    <w:p w14:paraId="1F7BFD34" w14:textId="77777777" w:rsidR="009B1A73" w:rsidRPr="00EE5714" w:rsidRDefault="009B1A73" w:rsidP="00F303E0">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The actual survey questions and responses have been summarized in this Appendix.</w:t>
      </w:r>
    </w:p>
  </w:footnote>
  <w:footnote w:id="100">
    <w:p w14:paraId="72AD7D8B" w14:textId="77777777" w:rsidR="009B1A73" w:rsidRPr="00EE5714"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eastAsia="Calibri" w:hAnsi="Times New Roman" w:cs="Times New Roman"/>
          <w:sz w:val="24"/>
          <w:szCs w:val="24"/>
        </w:rPr>
        <w:t xml:space="preserve">Staff notes that additional information about Indiana’s program is available at: </w:t>
      </w:r>
      <w:hyperlink r:id="rId27" w:history="1">
        <w:r w:rsidRPr="00EE5714">
          <w:rPr>
            <w:rStyle w:val="Hyperlink"/>
            <w:rFonts w:ascii="Times New Roman" w:eastAsia="Calibri" w:hAnsi="Times New Roman" w:cs="Times New Roman"/>
            <w:sz w:val="24"/>
            <w:szCs w:val="24"/>
          </w:rPr>
          <w:t>https://www.in.gov/ihcda/2329.htm</w:t>
        </w:r>
      </w:hyperlink>
      <w:r w:rsidRPr="00EE5714">
        <w:rPr>
          <w:rFonts w:ascii="Times New Roman" w:eastAsia="Calibri" w:hAnsi="Times New Roman" w:cs="Times New Roman"/>
          <w:sz w:val="24"/>
          <w:szCs w:val="24"/>
        </w:rPr>
        <w:t>.</w:t>
      </w:r>
    </w:p>
  </w:footnote>
  <w:footnote w:id="101">
    <w:p w14:paraId="19905C0A" w14:textId="4DD68FB7" w:rsidR="009B1A73" w:rsidRPr="001934D0" w:rsidRDefault="009B1A73">
      <w:pPr>
        <w:pStyle w:val="FootnoteText"/>
        <w:rPr>
          <w:rFonts w:ascii="Times New Roman" w:hAnsi="Times New Roman" w:cs="Times New Roman"/>
          <w:sz w:val="24"/>
          <w:szCs w:val="24"/>
        </w:rPr>
      </w:pPr>
      <w:r w:rsidRPr="00EE5714">
        <w:rPr>
          <w:rStyle w:val="FootnoteReference"/>
          <w:rFonts w:ascii="Times New Roman" w:hAnsi="Times New Roman" w:cs="Times New Roman"/>
          <w:sz w:val="24"/>
          <w:szCs w:val="24"/>
        </w:rPr>
        <w:footnoteRef/>
      </w:r>
      <w:r w:rsidRPr="00EE5714">
        <w:rPr>
          <w:rFonts w:ascii="Times New Roman" w:hAnsi="Times New Roman" w:cs="Times New Roman"/>
          <w:sz w:val="24"/>
          <w:szCs w:val="24"/>
        </w:rPr>
        <w:t xml:space="preserve"> </w:t>
      </w:r>
      <w:r w:rsidRPr="00EE5714">
        <w:rPr>
          <w:rFonts w:ascii="Times New Roman" w:eastAsia="Times New Roman" w:hAnsi="Times New Roman" w:cs="Times New Roman"/>
          <w:color w:val="000000" w:themeColor="text1"/>
          <w:sz w:val="24"/>
          <w:szCs w:val="24"/>
        </w:rPr>
        <w:t>Forecasts for PGW are based on 70% residential allocation of CAP costs.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47214" w14:textId="77777777" w:rsidR="009B1A73" w:rsidRDefault="009B1A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D3454"/>
    <w:multiLevelType w:val="singleLevel"/>
    <w:tmpl w:val="74186126"/>
    <w:lvl w:ilvl="0">
      <w:start w:val="1"/>
      <w:numFmt w:val="decimal"/>
      <w:lvlText w:val="%1."/>
      <w:lvlJc w:val="left"/>
      <w:pPr>
        <w:tabs>
          <w:tab w:val="num" w:pos="2160"/>
        </w:tabs>
        <w:ind w:left="2160" w:hanging="720"/>
      </w:pPr>
      <w:rPr>
        <w:rFonts w:hint="default"/>
      </w:rPr>
    </w:lvl>
  </w:abstractNum>
  <w:abstractNum w:abstractNumId="1" w15:restartNumberingAfterBreak="0">
    <w:nsid w:val="1D30611D"/>
    <w:multiLevelType w:val="hybridMultilevel"/>
    <w:tmpl w:val="B6B49A5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9776FA"/>
    <w:multiLevelType w:val="hybridMultilevel"/>
    <w:tmpl w:val="AC1E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7662F"/>
    <w:multiLevelType w:val="hybridMultilevel"/>
    <w:tmpl w:val="C428D5BE"/>
    <w:lvl w:ilvl="0" w:tplc="B9FEC082">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6111BC8"/>
    <w:multiLevelType w:val="hybridMultilevel"/>
    <w:tmpl w:val="6144EB32"/>
    <w:lvl w:ilvl="0" w:tplc="B9FEC082">
      <w:start w:val="1"/>
      <w:numFmt w:val="bullet"/>
      <w:lvlText w:val="̶"/>
      <w:lvlJc w:val="left"/>
      <w:pPr>
        <w:ind w:left="1800" w:hanging="360"/>
      </w:pPr>
      <w:rPr>
        <w:rFonts w:ascii="Times New Roman" w:hAnsi="Times New Roman" w:cs="Times New Roman" w:hint="default"/>
      </w:rPr>
    </w:lvl>
    <w:lvl w:ilvl="1" w:tplc="B9FEC082">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2A5F6D"/>
    <w:multiLevelType w:val="hybridMultilevel"/>
    <w:tmpl w:val="51D81B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0F85017"/>
    <w:multiLevelType w:val="hybridMultilevel"/>
    <w:tmpl w:val="7A825E3A"/>
    <w:lvl w:ilvl="0" w:tplc="4FD41088">
      <w:start w:val="1"/>
      <w:numFmt w:val="lowerLetter"/>
      <w:lvlText w:val="%1."/>
      <w:lvlJc w:val="left"/>
      <w:pPr>
        <w:ind w:left="371" w:hanging="205"/>
      </w:pPr>
      <w:rPr>
        <w:rFonts w:hint="default"/>
        <w:color w:val="333D47"/>
        <w:spacing w:val="-1"/>
        <w:w w:val="102"/>
        <w:sz w:val="24"/>
        <w:szCs w:val="24"/>
      </w:rPr>
    </w:lvl>
    <w:lvl w:ilvl="1" w:tplc="06EE399E">
      <w:numFmt w:val="bullet"/>
      <w:lvlText w:val="•"/>
      <w:lvlJc w:val="left"/>
      <w:pPr>
        <w:ind w:left="1480" w:hanging="205"/>
      </w:pPr>
      <w:rPr>
        <w:rFonts w:hint="default"/>
      </w:rPr>
    </w:lvl>
    <w:lvl w:ilvl="2" w:tplc="DBD294B4">
      <w:numFmt w:val="bullet"/>
      <w:lvlText w:val="•"/>
      <w:lvlJc w:val="left"/>
      <w:pPr>
        <w:ind w:left="2580" w:hanging="205"/>
      </w:pPr>
      <w:rPr>
        <w:rFonts w:hint="default"/>
      </w:rPr>
    </w:lvl>
    <w:lvl w:ilvl="3" w:tplc="5CBE7CB0">
      <w:numFmt w:val="bullet"/>
      <w:lvlText w:val="•"/>
      <w:lvlJc w:val="left"/>
      <w:pPr>
        <w:ind w:left="3680" w:hanging="205"/>
      </w:pPr>
      <w:rPr>
        <w:rFonts w:hint="default"/>
      </w:rPr>
    </w:lvl>
    <w:lvl w:ilvl="4" w:tplc="F34A01BA">
      <w:numFmt w:val="bullet"/>
      <w:lvlText w:val="•"/>
      <w:lvlJc w:val="left"/>
      <w:pPr>
        <w:ind w:left="4780" w:hanging="205"/>
      </w:pPr>
      <w:rPr>
        <w:rFonts w:hint="default"/>
      </w:rPr>
    </w:lvl>
    <w:lvl w:ilvl="5" w:tplc="AF7EE950">
      <w:numFmt w:val="bullet"/>
      <w:lvlText w:val="•"/>
      <w:lvlJc w:val="left"/>
      <w:pPr>
        <w:ind w:left="5880" w:hanging="205"/>
      </w:pPr>
      <w:rPr>
        <w:rFonts w:hint="default"/>
      </w:rPr>
    </w:lvl>
    <w:lvl w:ilvl="6" w:tplc="64EABE88">
      <w:numFmt w:val="bullet"/>
      <w:lvlText w:val="•"/>
      <w:lvlJc w:val="left"/>
      <w:pPr>
        <w:ind w:left="6980" w:hanging="205"/>
      </w:pPr>
      <w:rPr>
        <w:rFonts w:hint="default"/>
      </w:rPr>
    </w:lvl>
    <w:lvl w:ilvl="7" w:tplc="09AC693C">
      <w:numFmt w:val="bullet"/>
      <w:lvlText w:val="•"/>
      <w:lvlJc w:val="left"/>
      <w:pPr>
        <w:ind w:left="8080" w:hanging="205"/>
      </w:pPr>
      <w:rPr>
        <w:rFonts w:hint="default"/>
      </w:rPr>
    </w:lvl>
    <w:lvl w:ilvl="8" w:tplc="A1107DA8">
      <w:numFmt w:val="bullet"/>
      <w:lvlText w:val="•"/>
      <w:lvlJc w:val="left"/>
      <w:pPr>
        <w:ind w:left="9180" w:hanging="205"/>
      </w:pPr>
      <w:rPr>
        <w:rFonts w:hint="default"/>
      </w:rPr>
    </w:lvl>
  </w:abstractNum>
  <w:abstractNum w:abstractNumId="7" w15:restartNumberingAfterBreak="0">
    <w:nsid w:val="3249550F"/>
    <w:multiLevelType w:val="hybridMultilevel"/>
    <w:tmpl w:val="A5705DA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36050E78"/>
    <w:multiLevelType w:val="hybridMultilevel"/>
    <w:tmpl w:val="8482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691288"/>
    <w:multiLevelType w:val="hybridMultilevel"/>
    <w:tmpl w:val="54849FBE"/>
    <w:lvl w:ilvl="0" w:tplc="B9FEC082">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3FA1BE8"/>
    <w:multiLevelType w:val="hybridMultilevel"/>
    <w:tmpl w:val="B9F2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0F23B8"/>
    <w:multiLevelType w:val="hybridMultilevel"/>
    <w:tmpl w:val="E116CC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8A6B32"/>
    <w:multiLevelType w:val="hybridMultilevel"/>
    <w:tmpl w:val="66D0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7C48A6"/>
    <w:multiLevelType w:val="hybridMultilevel"/>
    <w:tmpl w:val="854416AC"/>
    <w:lvl w:ilvl="0" w:tplc="B9FEC082">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774B68"/>
    <w:multiLevelType w:val="hybridMultilevel"/>
    <w:tmpl w:val="16DC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E90F3B"/>
    <w:multiLevelType w:val="hybridMultilevel"/>
    <w:tmpl w:val="EB28244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7405337F"/>
    <w:multiLevelType w:val="hybridMultilevel"/>
    <w:tmpl w:val="120CB2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6DC360C"/>
    <w:multiLevelType w:val="hybridMultilevel"/>
    <w:tmpl w:val="52502B88"/>
    <w:lvl w:ilvl="0" w:tplc="B9FEC082">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7B03EC"/>
    <w:multiLevelType w:val="hybridMultilevel"/>
    <w:tmpl w:val="C8E0D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DB4D5F"/>
    <w:multiLevelType w:val="hybridMultilevel"/>
    <w:tmpl w:val="4A8C2F5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18"/>
  </w:num>
  <w:num w:numId="4">
    <w:abstractNumId w:val="19"/>
  </w:num>
  <w:num w:numId="5">
    <w:abstractNumId w:val="1"/>
  </w:num>
  <w:num w:numId="6">
    <w:abstractNumId w:val="16"/>
  </w:num>
  <w:num w:numId="7">
    <w:abstractNumId w:val="8"/>
  </w:num>
  <w:num w:numId="8">
    <w:abstractNumId w:val="14"/>
  </w:num>
  <w:num w:numId="9">
    <w:abstractNumId w:val="15"/>
  </w:num>
  <w:num w:numId="10">
    <w:abstractNumId w:val="12"/>
  </w:num>
  <w:num w:numId="11">
    <w:abstractNumId w:val="2"/>
  </w:num>
  <w:num w:numId="12">
    <w:abstractNumId w:val="0"/>
  </w:num>
  <w:num w:numId="13">
    <w:abstractNumId w:val="10"/>
  </w:num>
  <w:num w:numId="14">
    <w:abstractNumId w:val="13"/>
  </w:num>
  <w:num w:numId="15">
    <w:abstractNumId w:val="17"/>
  </w:num>
  <w:num w:numId="16">
    <w:abstractNumId w:val="9"/>
  </w:num>
  <w:num w:numId="17">
    <w:abstractNumId w:val="3"/>
  </w:num>
  <w:num w:numId="18">
    <w:abstractNumId w:val="11"/>
  </w:num>
  <w:num w:numId="19">
    <w:abstractNumId w:val="4"/>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4096" w:nlCheck="1" w:checkStyle="0"/>
  <w:proofState w:spelling="clean" w:grammar="clean"/>
  <w:documentProtection w:edit="readOnly" w:enforcement="1" w:cryptProviderType="rsaAES" w:cryptAlgorithmClass="hash" w:cryptAlgorithmType="typeAny" w:cryptAlgorithmSid="14" w:cryptSpinCount="100000" w:hash="uYD9dwzsYqopPV/cl+WZDxD+3WFrQRGk7tuNZS5qhmUbMdE1gyfVai9rPFYIiRpMg1zwFR+j16cSvSXSePhNOA==" w:salt="aTyy2qDfA75JMgTBjl0hEA=="/>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B9A"/>
    <w:rsid w:val="0000027B"/>
    <w:rsid w:val="000002A3"/>
    <w:rsid w:val="000003BF"/>
    <w:rsid w:val="0000060A"/>
    <w:rsid w:val="0000072D"/>
    <w:rsid w:val="000007D6"/>
    <w:rsid w:val="000008F4"/>
    <w:rsid w:val="00000935"/>
    <w:rsid w:val="000009C8"/>
    <w:rsid w:val="00000B73"/>
    <w:rsid w:val="00000EE7"/>
    <w:rsid w:val="00000F95"/>
    <w:rsid w:val="000010C5"/>
    <w:rsid w:val="0000120D"/>
    <w:rsid w:val="00001907"/>
    <w:rsid w:val="00001A68"/>
    <w:rsid w:val="00001C72"/>
    <w:rsid w:val="00001E1C"/>
    <w:rsid w:val="00001EF5"/>
    <w:rsid w:val="00001F0C"/>
    <w:rsid w:val="00001F1D"/>
    <w:rsid w:val="00001F98"/>
    <w:rsid w:val="0000200F"/>
    <w:rsid w:val="00002337"/>
    <w:rsid w:val="0000253E"/>
    <w:rsid w:val="00002917"/>
    <w:rsid w:val="00002B72"/>
    <w:rsid w:val="00002D3D"/>
    <w:rsid w:val="00002DA7"/>
    <w:rsid w:val="00002F91"/>
    <w:rsid w:val="000033E1"/>
    <w:rsid w:val="00003402"/>
    <w:rsid w:val="0000341A"/>
    <w:rsid w:val="0000341D"/>
    <w:rsid w:val="000035AA"/>
    <w:rsid w:val="0000391A"/>
    <w:rsid w:val="0000399D"/>
    <w:rsid w:val="000039BF"/>
    <w:rsid w:val="000039D3"/>
    <w:rsid w:val="000039F5"/>
    <w:rsid w:val="00003A5D"/>
    <w:rsid w:val="00003B7E"/>
    <w:rsid w:val="00003DC9"/>
    <w:rsid w:val="00003DE1"/>
    <w:rsid w:val="0000414C"/>
    <w:rsid w:val="00004264"/>
    <w:rsid w:val="000043B7"/>
    <w:rsid w:val="000044EB"/>
    <w:rsid w:val="00004561"/>
    <w:rsid w:val="0000466C"/>
    <w:rsid w:val="00004BE7"/>
    <w:rsid w:val="00004C09"/>
    <w:rsid w:val="00004E92"/>
    <w:rsid w:val="00005023"/>
    <w:rsid w:val="00005282"/>
    <w:rsid w:val="000052DE"/>
    <w:rsid w:val="00005519"/>
    <w:rsid w:val="000057A9"/>
    <w:rsid w:val="000058FE"/>
    <w:rsid w:val="00005978"/>
    <w:rsid w:val="00005AFE"/>
    <w:rsid w:val="00005BDE"/>
    <w:rsid w:val="00005C32"/>
    <w:rsid w:val="00005F40"/>
    <w:rsid w:val="000061E6"/>
    <w:rsid w:val="000062C8"/>
    <w:rsid w:val="00006353"/>
    <w:rsid w:val="00006620"/>
    <w:rsid w:val="000066C6"/>
    <w:rsid w:val="00006835"/>
    <w:rsid w:val="00006B5F"/>
    <w:rsid w:val="00007038"/>
    <w:rsid w:val="0000703B"/>
    <w:rsid w:val="000071DD"/>
    <w:rsid w:val="000071ED"/>
    <w:rsid w:val="0000741B"/>
    <w:rsid w:val="000075CE"/>
    <w:rsid w:val="000075FB"/>
    <w:rsid w:val="00007610"/>
    <w:rsid w:val="0000766D"/>
    <w:rsid w:val="00007897"/>
    <w:rsid w:val="00007A9A"/>
    <w:rsid w:val="00007AF6"/>
    <w:rsid w:val="00007CB4"/>
    <w:rsid w:val="00007F36"/>
    <w:rsid w:val="000101C8"/>
    <w:rsid w:val="0001041D"/>
    <w:rsid w:val="00010424"/>
    <w:rsid w:val="00010592"/>
    <w:rsid w:val="000105C7"/>
    <w:rsid w:val="000107D9"/>
    <w:rsid w:val="00010954"/>
    <w:rsid w:val="000109E3"/>
    <w:rsid w:val="00010A49"/>
    <w:rsid w:val="00010BE3"/>
    <w:rsid w:val="00010E49"/>
    <w:rsid w:val="00010FC7"/>
    <w:rsid w:val="00011091"/>
    <w:rsid w:val="00011093"/>
    <w:rsid w:val="00011117"/>
    <w:rsid w:val="0001130B"/>
    <w:rsid w:val="000113A0"/>
    <w:rsid w:val="00011548"/>
    <w:rsid w:val="0001162F"/>
    <w:rsid w:val="0001196F"/>
    <w:rsid w:val="00011A48"/>
    <w:rsid w:val="00011B5A"/>
    <w:rsid w:val="00011C10"/>
    <w:rsid w:val="00011D42"/>
    <w:rsid w:val="00011D9A"/>
    <w:rsid w:val="00011E55"/>
    <w:rsid w:val="00011EBC"/>
    <w:rsid w:val="00011F17"/>
    <w:rsid w:val="0001222F"/>
    <w:rsid w:val="000122B2"/>
    <w:rsid w:val="000122EA"/>
    <w:rsid w:val="000124A8"/>
    <w:rsid w:val="0001256D"/>
    <w:rsid w:val="00012623"/>
    <w:rsid w:val="000126A0"/>
    <w:rsid w:val="00012990"/>
    <w:rsid w:val="00012C82"/>
    <w:rsid w:val="00012D8D"/>
    <w:rsid w:val="00012E17"/>
    <w:rsid w:val="00012F81"/>
    <w:rsid w:val="00013147"/>
    <w:rsid w:val="000131CA"/>
    <w:rsid w:val="00013351"/>
    <w:rsid w:val="0001338D"/>
    <w:rsid w:val="00013399"/>
    <w:rsid w:val="000134E2"/>
    <w:rsid w:val="0001388F"/>
    <w:rsid w:val="00013A5F"/>
    <w:rsid w:val="00013C18"/>
    <w:rsid w:val="00013E9E"/>
    <w:rsid w:val="00013F75"/>
    <w:rsid w:val="000142E1"/>
    <w:rsid w:val="000143BB"/>
    <w:rsid w:val="0001448B"/>
    <w:rsid w:val="000146CB"/>
    <w:rsid w:val="000146FE"/>
    <w:rsid w:val="0001475F"/>
    <w:rsid w:val="000147C7"/>
    <w:rsid w:val="000147DB"/>
    <w:rsid w:val="000148AC"/>
    <w:rsid w:val="00014922"/>
    <w:rsid w:val="00014A47"/>
    <w:rsid w:val="00014BC6"/>
    <w:rsid w:val="00014F16"/>
    <w:rsid w:val="00015098"/>
    <w:rsid w:val="00015376"/>
    <w:rsid w:val="000153F3"/>
    <w:rsid w:val="0001544C"/>
    <w:rsid w:val="00015483"/>
    <w:rsid w:val="000154A1"/>
    <w:rsid w:val="00015680"/>
    <w:rsid w:val="00015730"/>
    <w:rsid w:val="000158EC"/>
    <w:rsid w:val="00015A4C"/>
    <w:rsid w:val="00015B5E"/>
    <w:rsid w:val="00015B89"/>
    <w:rsid w:val="00015CDA"/>
    <w:rsid w:val="00015D24"/>
    <w:rsid w:val="00015EE3"/>
    <w:rsid w:val="00015F65"/>
    <w:rsid w:val="00015FF6"/>
    <w:rsid w:val="00016091"/>
    <w:rsid w:val="000163A8"/>
    <w:rsid w:val="00016602"/>
    <w:rsid w:val="00016669"/>
    <w:rsid w:val="000168F7"/>
    <w:rsid w:val="00016AA5"/>
    <w:rsid w:val="00016AC5"/>
    <w:rsid w:val="00016C23"/>
    <w:rsid w:val="00016C3A"/>
    <w:rsid w:val="00016E29"/>
    <w:rsid w:val="0001704B"/>
    <w:rsid w:val="000170FA"/>
    <w:rsid w:val="0001714D"/>
    <w:rsid w:val="000171B2"/>
    <w:rsid w:val="00017262"/>
    <w:rsid w:val="000172C1"/>
    <w:rsid w:val="000173BA"/>
    <w:rsid w:val="0001756B"/>
    <w:rsid w:val="00017729"/>
    <w:rsid w:val="00017B45"/>
    <w:rsid w:val="00017F31"/>
    <w:rsid w:val="00017F7F"/>
    <w:rsid w:val="00017FBC"/>
    <w:rsid w:val="000200BD"/>
    <w:rsid w:val="000200F9"/>
    <w:rsid w:val="0002016F"/>
    <w:rsid w:val="00020433"/>
    <w:rsid w:val="00020838"/>
    <w:rsid w:val="00020BE9"/>
    <w:rsid w:val="00020D45"/>
    <w:rsid w:val="00020D86"/>
    <w:rsid w:val="00020FAC"/>
    <w:rsid w:val="000210AE"/>
    <w:rsid w:val="0002117C"/>
    <w:rsid w:val="00021245"/>
    <w:rsid w:val="00021341"/>
    <w:rsid w:val="00021664"/>
    <w:rsid w:val="00021793"/>
    <w:rsid w:val="00021866"/>
    <w:rsid w:val="00021B44"/>
    <w:rsid w:val="00021BB8"/>
    <w:rsid w:val="00021C57"/>
    <w:rsid w:val="00021D37"/>
    <w:rsid w:val="00021D47"/>
    <w:rsid w:val="0002210F"/>
    <w:rsid w:val="00022173"/>
    <w:rsid w:val="0002239D"/>
    <w:rsid w:val="00022585"/>
    <w:rsid w:val="0002266A"/>
    <w:rsid w:val="00022761"/>
    <w:rsid w:val="0002277E"/>
    <w:rsid w:val="000228DB"/>
    <w:rsid w:val="00022DF9"/>
    <w:rsid w:val="00022E6F"/>
    <w:rsid w:val="00022ECF"/>
    <w:rsid w:val="00023256"/>
    <w:rsid w:val="000235BF"/>
    <w:rsid w:val="0002365F"/>
    <w:rsid w:val="000236DE"/>
    <w:rsid w:val="000236F1"/>
    <w:rsid w:val="00023842"/>
    <w:rsid w:val="0002386B"/>
    <w:rsid w:val="00023917"/>
    <w:rsid w:val="000239F7"/>
    <w:rsid w:val="00023B38"/>
    <w:rsid w:val="00023EF1"/>
    <w:rsid w:val="000240DD"/>
    <w:rsid w:val="00024164"/>
    <w:rsid w:val="00024176"/>
    <w:rsid w:val="00024373"/>
    <w:rsid w:val="00024441"/>
    <w:rsid w:val="00024A0E"/>
    <w:rsid w:val="00024A9B"/>
    <w:rsid w:val="00024BA7"/>
    <w:rsid w:val="00024D64"/>
    <w:rsid w:val="00024E74"/>
    <w:rsid w:val="0002536F"/>
    <w:rsid w:val="000258C7"/>
    <w:rsid w:val="00025906"/>
    <w:rsid w:val="00025940"/>
    <w:rsid w:val="00025B52"/>
    <w:rsid w:val="00025C1B"/>
    <w:rsid w:val="00025FA2"/>
    <w:rsid w:val="00026133"/>
    <w:rsid w:val="000262ED"/>
    <w:rsid w:val="0002636E"/>
    <w:rsid w:val="00026420"/>
    <w:rsid w:val="0002643B"/>
    <w:rsid w:val="00026452"/>
    <w:rsid w:val="00026487"/>
    <w:rsid w:val="000264B1"/>
    <w:rsid w:val="0002650D"/>
    <w:rsid w:val="0002663B"/>
    <w:rsid w:val="00026659"/>
    <w:rsid w:val="000266DA"/>
    <w:rsid w:val="00026930"/>
    <w:rsid w:val="00026932"/>
    <w:rsid w:val="00026A07"/>
    <w:rsid w:val="00026A90"/>
    <w:rsid w:val="00026C54"/>
    <w:rsid w:val="00026D5A"/>
    <w:rsid w:val="000271C4"/>
    <w:rsid w:val="000273F0"/>
    <w:rsid w:val="00027500"/>
    <w:rsid w:val="0002750B"/>
    <w:rsid w:val="0002752D"/>
    <w:rsid w:val="00027536"/>
    <w:rsid w:val="00027544"/>
    <w:rsid w:val="00027AEB"/>
    <w:rsid w:val="00027C70"/>
    <w:rsid w:val="00027FD0"/>
    <w:rsid w:val="00030136"/>
    <w:rsid w:val="000301CD"/>
    <w:rsid w:val="00030238"/>
    <w:rsid w:val="00030454"/>
    <w:rsid w:val="00030796"/>
    <w:rsid w:val="000307C2"/>
    <w:rsid w:val="0003088B"/>
    <w:rsid w:val="00030A37"/>
    <w:rsid w:val="00030B9F"/>
    <w:rsid w:val="00030CDE"/>
    <w:rsid w:val="00031030"/>
    <w:rsid w:val="00031133"/>
    <w:rsid w:val="00031181"/>
    <w:rsid w:val="000312AA"/>
    <w:rsid w:val="000312DA"/>
    <w:rsid w:val="0003130D"/>
    <w:rsid w:val="00031369"/>
    <w:rsid w:val="000313F3"/>
    <w:rsid w:val="00031627"/>
    <w:rsid w:val="00031630"/>
    <w:rsid w:val="00031747"/>
    <w:rsid w:val="00031771"/>
    <w:rsid w:val="0003177A"/>
    <w:rsid w:val="00031A95"/>
    <w:rsid w:val="00031BFE"/>
    <w:rsid w:val="00031C0C"/>
    <w:rsid w:val="00032131"/>
    <w:rsid w:val="000323B9"/>
    <w:rsid w:val="00032610"/>
    <w:rsid w:val="00032663"/>
    <w:rsid w:val="00032801"/>
    <w:rsid w:val="0003288A"/>
    <w:rsid w:val="00032AA9"/>
    <w:rsid w:val="00032BC3"/>
    <w:rsid w:val="00032C44"/>
    <w:rsid w:val="00032C4E"/>
    <w:rsid w:val="00032E12"/>
    <w:rsid w:val="00032E4B"/>
    <w:rsid w:val="00032E81"/>
    <w:rsid w:val="00032F6C"/>
    <w:rsid w:val="000330D3"/>
    <w:rsid w:val="00033193"/>
    <w:rsid w:val="00033319"/>
    <w:rsid w:val="0003335E"/>
    <w:rsid w:val="00033430"/>
    <w:rsid w:val="0003345A"/>
    <w:rsid w:val="00033611"/>
    <w:rsid w:val="00033BEB"/>
    <w:rsid w:val="00033CB0"/>
    <w:rsid w:val="00033DFA"/>
    <w:rsid w:val="00033E2F"/>
    <w:rsid w:val="00033ECD"/>
    <w:rsid w:val="00033FB4"/>
    <w:rsid w:val="00033FFC"/>
    <w:rsid w:val="0003418B"/>
    <w:rsid w:val="00034314"/>
    <w:rsid w:val="00034570"/>
    <w:rsid w:val="00034703"/>
    <w:rsid w:val="0003470B"/>
    <w:rsid w:val="00034C14"/>
    <w:rsid w:val="00034EE8"/>
    <w:rsid w:val="00034F3E"/>
    <w:rsid w:val="000352AB"/>
    <w:rsid w:val="000355D7"/>
    <w:rsid w:val="00035982"/>
    <w:rsid w:val="000359CC"/>
    <w:rsid w:val="00035ADD"/>
    <w:rsid w:val="00035C04"/>
    <w:rsid w:val="00035C17"/>
    <w:rsid w:val="00035C6A"/>
    <w:rsid w:val="00035E52"/>
    <w:rsid w:val="00035FD7"/>
    <w:rsid w:val="0003605F"/>
    <w:rsid w:val="00036200"/>
    <w:rsid w:val="000362D8"/>
    <w:rsid w:val="00036359"/>
    <w:rsid w:val="0003649F"/>
    <w:rsid w:val="000364E9"/>
    <w:rsid w:val="0003672F"/>
    <w:rsid w:val="000367EC"/>
    <w:rsid w:val="000369AE"/>
    <w:rsid w:val="00036A07"/>
    <w:rsid w:val="00036A7E"/>
    <w:rsid w:val="00036BE8"/>
    <w:rsid w:val="00036C84"/>
    <w:rsid w:val="00036CD1"/>
    <w:rsid w:val="00036E53"/>
    <w:rsid w:val="00036EE0"/>
    <w:rsid w:val="0003709B"/>
    <w:rsid w:val="000370FB"/>
    <w:rsid w:val="00037152"/>
    <w:rsid w:val="00037448"/>
    <w:rsid w:val="00037797"/>
    <w:rsid w:val="00037922"/>
    <w:rsid w:val="00037B34"/>
    <w:rsid w:val="00037CCD"/>
    <w:rsid w:val="00037D2C"/>
    <w:rsid w:val="00037D8D"/>
    <w:rsid w:val="00037EC5"/>
    <w:rsid w:val="00040005"/>
    <w:rsid w:val="000400C9"/>
    <w:rsid w:val="00040156"/>
    <w:rsid w:val="00040222"/>
    <w:rsid w:val="00040390"/>
    <w:rsid w:val="00040568"/>
    <w:rsid w:val="0004074E"/>
    <w:rsid w:val="00040791"/>
    <w:rsid w:val="00040851"/>
    <w:rsid w:val="00040858"/>
    <w:rsid w:val="00040889"/>
    <w:rsid w:val="00040BD0"/>
    <w:rsid w:val="00040BE4"/>
    <w:rsid w:val="00040D11"/>
    <w:rsid w:val="00040D41"/>
    <w:rsid w:val="00040D9D"/>
    <w:rsid w:val="00040DD3"/>
    <w:rsid w:val="00040F9B"/>
    <w:rsid w:val="00040FC8"/>
    <w:rsid w:val="0004135E"/>
    <w:rsid w:val="00041B9A"/>
    <w:rsid w:val="00041BF6"/>
    <w:rsid w:val="00041C37"/>
    <w:rsid w:val="00041C6E"/>
    <w:rsid w:val="00041F2D"/>
    <w:rsid w:val="00041F47"/>
    <w:rsid w:val="00042065"/>
    <w:rsid w:val="00042122"/>
    <w:rsid w:val="00042443"/>
    <w:rsid w:val="00042446"/>
    <w:rsid w:val="00042586"/>
    <w:rsid w:val="000425A7"/>
    <w:rsid w:val="000425E8"/>
    <w:rsid w:val="00042896"/>
    <w:rsid w:val="000428F9"/>
    <w:rsid w:val="0004295D"/>
    <w:rsid w:val="00042A41"/>
    <w:rsid w:val="00042ACE"/>
    <w:rsid w:val="00042B28"/>
    <w:rsid w:val="00042B3B"/>
    <w:rsid w:val="00042BEA"/>
    <w:rsid w:val="00042BF2"/>
    <w:rsid w:val="00042CA7"/>
    <w:rsid w:val="00042DA7"/>
    <w:rsid w:val="00042E80"/>
    <w:rsid w:val="0004321A"/>
    <w:rsid w:val="00043346"/>
    <w:rsid w:val="000434A3"/>
    <w:rsid w:val="0004351F"/>
    <w:rsid w:val="0004357E"/>
    <w:rsid w:val="00043703"/>
    <w:rsid w:val="000437FB"/>
    <w:rsid w:val="000438D0"/>
    <w:rsid w:val="00043C37"/>
    <w:rsid w:val="00043CD8"/>
    <w:rsid w:val="00043D3C"/>
    <w:rsid w:val="00043D8B"/>
    <w:rsid w:val="00043DC8"/>
    <w:rsid w:val="00043EF1"/>
    <w:rsid w:val="00043F24"/>
    <w:rsid w:val="00043F40"/>
    <w:rsid w:val="00043F6F"/>
    <w:rsid w:val="00043F72"/>
    <w:rsid w:val="00044493"/>
    <w:rsid w:val="0004461E"/>
    <w:rsid w:val="00044723"/>
    <w:rsid w:val="000448FB"/>
    <w:rsid w:val="00044D55"/>
    <w:rsid w:val="00044E04"/>
    <w:rsid w:val="00044F09"/>
    <w:rsid w:val="00044FD4"/>
    <w:rsid w:val="000451EF"/>
    <w:rsid w:val="00045209"/>
    <w:rsid w:val="00045BF6"/>
    <w:rsid w:val="00045D2A"/>
    <w:rsid w:val="00045DFE"/>
    <w:rsid w:val="000460D3"/>
    <w:rsid w:val="000462AF"/>
    <w:rsid w:val="000462E0"/>
    <w:rsid w:val="00046319"/>
    <w:rsid w:val="0004642E"/>
    <w:rsid w:val="000467C1"/>
    <w:rsid w:val="00046AB2"/>
    <w:rsid w:val="00046B9A"/>
    <w:rsid w:val="00046D39"/>
    <w:rsid w:val="00046DBA"/>
    <w:rsid w:val="00046E55"/>
    <w:rsid w:val="00046E8E"/>
    <w:rsid w:val="000472BC"/>
    <w:rsid w:val="00047472"/>
    <w:rsid w:val="000474B7"/>
    <w:rsid w:val="00047968"/>
    <w:rsid w:val="000500EA"/>
    <w:rsid w:val="00050140"/>
    <w:rsid w:val="000504EE"/>
    <w:rsid w:val="0005056C"/>
    <w:rsid w:val="0005060A"/>
    <w:rsid w:val="000507C7"/>
    <w:rsid w:val="00050823"/>
    <w:rsid w:val="00050C0D"/>
    <w:rsid w:val="00050E0E"/>
    <w:rsid w:val="00051150"/>
    <w:rsid w:val="00051255"/>
    <w:rsid w:val="00051292"/>
    <w:rsid w:val="0005144B"/>
    <w:rsid w:val="0005144C"/>
    <w:rsid w:val="00051690"/>
    <w:rsid w:val="0005174A"/>
    <w:rsid w:val="00051798"/>
    <w:rsid w:val="00051C48"/>
    <w:rsid w:val="00051C77"/>
    <w:rsid w:val="00051DF4"/>
    <w:rsid w:val="00051EF4"/>
    <w:rsid w:val="000521DA"/>
    <w:rsid w:val="000524DF"/>
    <w:rsid w:val="00052610"/>
    <w:rsid w:val="00052730"/>
    <w:rsid w:val="00052941"/>
    <w:rsid w:val="00052A75"/>
    <w:rsid w:val="00052B0D"/>
    <w:rsid w:val="00052CE4"/>
    <w:rsid w:val="00052E42"/>
    <w:rsid w:val="00052FB4"/>
    <w:rsid w:val="00053204"/>
    <w:rsid w:val="0005332D"/>
    <w:rsid w:val="000539B1"/>
    <w:rsid w:val="00053B62"/>
    <w:rsid w:val="0005471F"/>
    <w:rsid w:val="00054725"/>
    <w:rsid w:val="00054761"/>
    <w:rsid w:val="00054784"/>
    <w:rsid w:val="000547A5"/>
    <w:rsid w:val="00054B87"/>
    <w:rsid w:val="00054C4E"/>
    <w:rsid w:val="00054EC4"/>
    <w:rsid w:val="00054F8A"/>
    <w:rsid w:val="00055028"/>
    <w:rsid w:val="0005527A"/>
    <w:rsid w:val="000554E7"/>
    <w:rsid w:val="000556CB"/>
    <w:rsid w:val="00055762"/>
    <w:rsid w:val="000557CF"/>
    <w:rsid w:val="00055823"/>
    <w:rsid w:val="0005592E"/>
    <w:rsid w:val="00055970"/>
    <w:rsid w:val="00055976"/>
    <w:rsid w:val="00055A91"/>
    <w:rsid w:val="00055B97"/>
    <w:rsid w:val="00055BF4"/>
    <w:rsid w:val="00055F04"/>
    <w:rsid w:val="00055FEC"/>
    <w:rsid w:val="00056012"/>
    <w:rsid w:val="00056020"/>
    <w:rsid w:val="0005628D"/>
    <w:rsid w:val="00056333"/>
    <w:rsid w:val="00056384"/>
    <w:rsid w:val="0005658D"/>
    <w:rsid w:val="000566E1"/>
    <w:rsid w:val="00056AED"/>
    <w:rsid w:val="00056C3E"/>
    <w:rsid w:val="0005708F"/>
    <w:rsid w:val="000570FB"/>
    <w:rsid w:val="00057295"/>
    <w:rsid w:val="000573A6"/>
    <w:rsid w:val="000573EB"/>
    <w:rsid w:val="0005742B"/>
    <w:rsid w:val="0005771D"/>
    <w:rsid w:val="0005784D"/>
    <w:rsid w:val="00057A71"/>
    <w:rsid w:val="00057ACD"/>
    <w:rsid w:val="00057C29"/>
    <w:rsid w:val="00057CC5"/>
    <w:rsid w:val="00057E12"/>
    <w:rsid w:val="00057F21"/>
    <w:rsid w:val="00057FDA"/>
    <w:rsid w:val="000600CF"/>
    <w:rsid w:val="00060110"/>
    <w:rsid w:val="000601B0"/>
    <w:rsid w:val="000604CA"/>
    <w:rsid w:val="00060539"/>
    <w:rsid w:val="00060640"/>
    <w:rsid w:val="00060663"/>
    <w:rsid w:val="000606EC"/>
    <w:rsid w:val="00060836"/>
    <w:rsid w:val="0006087E"/>
    <w:rsid w:val="00060BD0"/>
    <w:rsid w:val="00060BF4"/>
    <w:rsid w:val="00060C59"/>
    <w:rsid w:val="00060E13"/>
    <w:rsid w:val="00060E8C"/>
    <w:rsid w:val="00060EDC"/>
    <w:rsid w:val="00061321"/>
    <w:rsid w:val="000614E3"/>
    <w:rsid w:val="0006166D"/>
    <w:rsid w:val="00061699"/>
    <w:rsid w:val="000616DD"/>
    <w:rsid w:val="00061946"/>
    <w:rsid w:val="00061AC2"/>
    <w:rsid w:val="00061B23"/>
    <w:rsid w:val="00061B35"/>
    <w:rsid w:val="00061D02"/>
    <w:rsid w:val="00061DCA"/>
    <w:rsid w:val="00061E2C"/>
    <w:rsid w:val="00061E97"/>
    <w:rsid w:val="00061FC0"/>
    <w:rsid w:val="00062055"/>
    <w:rsid w:val="00062137"/>
    <w:rsid w:val="000621B0"/>
    <w:rsid w:val="00062227"/>
    <w:rsid w:val="000622E4"/>
    <w:rsid w:val="000624A2"/>
    <w:rsid w:val="00062576"/>
    <w:rsid w:val="00062A78"/>
    <w:rsid w:val="00062B6E"/>
    <w:rsid w:val="00062BE7"/>
    <w:rsid w:val="00062D60"/>
    <w:rsid w:val="00062E25"/>
    <w:rsid w:val="00063309"/>
    <w:rsid w:val="000635F9"/>
    <w:rsid w:val="0006370B"/>
    <w:rsid w:val="000639A3"/>
    <w:rsid w:val="000639FA"/>
    <w:rsid w:val="00063B7B"/>
    <w:rsid w:val="00063F8F"/>
    <w:rsid w:val="00064226"/>
    <w:rsid w:val="00064502"/>
    <w:rsid w:val="000645DA"/>
    <w:rsid w:val="0006463B"/>
    <w:rsid w:val="000650BB"/>
    <w:rsid w:val="000650D2"/>
    <w:rsid w:val="00065157"/>
    <w:rsid w:val="000651CD"/>
    <w:rsid w:val="00065344"/>
    <w:rsid w:val="000653A4"/>
    <w:rsid w:val="0006558E"/>
    <w:rsid w:val="0006599B"/>
    <w:rsid w:val="00065E96"/>
    <w:rsid w:val="000661F5"/>
    <w:rsid w:val="00066290"/>
    <w:rsid w:val="0006673D"/>
    <w:rsid w:val="00066748"/>
    <w:rsid w:val="0006689F"/>
    <w:rsid w:val="00066CA0"/>
    <w:rsid w:val="00066F6B"/>
    <w:rsid w:val="00067110"/>
    <w:rsid w:val="00067511"/>
    <w:rsid w:val="00067602"/>
    <w:rsid w:val="0006792B"/>
    <w:rsid w:val="00067D01"/>
    <w:rsid w:val="00067DFC"/>
    <w:rsid w:val="00067F62"/>
    <w:rsid w:val="00067F84"/>
    <w:rsid w:val="000700C1"/>
    <w:rsid w:val="0007026F"/>
    <w:rsid w:val="00070439"/>
    <w:rsid w:val="000704AA"/>
    <w:rsid w:val="000705C6"/>
    <w:rsid w:val="000705F9"/>
    <w:rsid w:val="000709AC"/>
    <w:rsid w:val="00070B3A"/>
    <w:rsid w:val="00070B81"/>
    <w:rsid w:val="00070BEB"/>
    <w:rsid w:val="00070EEF"/>
    <w:rsid w:val="00071105"/>
    <w:rsid w:val="0007119B"/>
    <w:rsid w:val="000711D3"/>
    <w:rsid w:val="0007126E"/>
    <w:rsid w:val="000712D3"/>
    <w:rsid w:val="00071341"/>
    <w:rsid w:val="00071493"/>
    <w:rsid w:val="00071519"/>
    <w:rsid w:val="00071B8C"/>
    <w:rsid w:val="00071CB2"/>
    <w:rsid w:val="00071E04"/>
    <w:rsid w:val="00071E2B"/>
    <w:rsid w:val="00071EB5"/>
    <w:rsid w:val="0007207B"/>
    <w:rsid w:val="0007230C"/>
    <w:rsid w:val="00072382"/>
    <w:rsid w:val="000724FE"/>
    <w:rsid w:val="0007255F"/>
    <w:rsid w:val="00072566"/>
    <w:rsid w:val="000728A1"/>
    <w:rsid w:val="000728AC"/>
    <w:rsid w:val="00072A72"/>
    <w:rsid w:val="00072ACF"/>
    <w:rsid w:val="00072D7F"/>
    <w:rsid w:val="00072E5C"/>
    <w:rsid w:val="000730DB"/>
    <w:rsid w:val="000731A2"/>
    <w:rsid w:val="000737F3"/>
    <w:rsid w:val="0007409F"/>
    <w:rsid w:val="0007436C"/>
    <w:rsid w:val="000745EA"/>
    <w:rsid w:val="000745F6"/>
    <w:rsid w:val="00074692"/>
    <w:rsid w:val="00074829"/>
    <w:rsid w:val="00074836"/>
    <w:rsid w:val="0007486B"/>
    <w:rsid w:val="00074BF1"/>
    <w:rsid w:val="00074E82"/>
    <w:rsid w:val="00074F93"/>
    <w:rsid w:val="00074FF8"/>
    <w:rsid w:val="0007501C"/>
    <w:rsid w:val="0007540B"/>
    <w:rsid w:val="0007579A"/>
    <w:rsid w:val="000757AF"/>
    <w:rsid w:val="0007582F"/>
    <w:rsid w:val="00075A83"/>
    <w:rsid w:val="00075AA7"/>
    <w:rsid w:val="00075B1C"/>
    <w:rsid w:val="00075F93"/>
    <w:rsid w:val="00075FE5"/>
    <w:rsid w:val="00076239"/>
    <w:rsid w:val="0007629D"/>
    <w:rsid w:val="000762DD"/>
    <w:rsid w:val="00076436"/>
    <w:rsid w:val="00076475"/>
    <w:rsid w:val="000764D8"/>
    <w:rsid w:val="000764DE"/>
    <w:rsid w:val="00076534"/>
    <w:rsid w:val="00076597"/>
    <w:rsid w:val="00076B03"/>
    <w:rsid w:val="00076B23"/>
    <w:rsid w:val="00076C94"/>
    <w:rsid w:val="00076F38"/>
    <w:rsid w:val="00076FD6"/>
    <w:rsid w:val="000770F4"/>
    <w:rsid w:val="00077148"/>
    <w:rsid w:val="00077332"/>
    <w:rsid w:val="000776D4"/>
    <w:rsid w:val="00077717"/>
    <w:rsid w:val="00077735"/>
    <w:rsid w:val="000777CF"/>
    <w:rsid w:val="00077979"/>
    <w:rsid w:val="000779BE"/>
    <w:rsid w:val="00077C59"/>
    <w:rsid w:val="00077C72"/>
    <w:rsid w:val="00077CF5"/>
    <w:rsid w:val="000801AE"/>
    <w:rsid w:val="00080324"/>
    <w:rsid w:val="00080577"/>
    <w:rsid w:val="0008087C"/>
    <w:rsid w:val="00080BB2"/>
    <w:rsid w:val="00080D55"/>
    <w:rsid w:val="00080DDA"/>
    <w:rsid w:val="00080E35"/>
    <w:rsid w:val="00080E65"/>
    <w:rsid w:val="00080F13"/>
    <w:rsid w:val="00081219"/>
    <w:rsid w:val="000812FC"/>
    <w:rsid w:val="00081318"/>
    <w:rsid w:val="000813D1"/>
    <w:rsid w:val="000813E0"/>
    <w:rsid w:val="0008147E"/>
    <w:rsid w:val="00081517"/>
    <w:rsid w:val="00081598"/>
    <w:rsid w:val="000815A4"/>
    <w:rsid w:val="000815E6"/>
    <w:rsid w:val="00081705"/>
    <w:rsid w:val="00081909"/>
    <w:rsid w:val="00081D21"/>
    <w:rsid w:val="00081E87"/>
    <w:rsid w:val="00081F7E"/>
    <w:rsid w:val="00081F8B"/>
    <w:rsid w:val="0008203E"/>
    <w:rsid w:val="000824A3"/>
    <w:rsid w:val="0008265B"/>
    <w:rsid w:val="000827DB"/>
    <w:rsid w:val="00082AF8"/>
    <w:rsid w:val="00082BDE"/>
    <w:rsid w:val="00082EAA"/>
    <w:rsid w:val="00082EAD"/>
    <w:rsid w:val="000831C2"/>
    <w:rsid w:val="0008324F"/>
    <w:rsid w:val="000835FB"/>
    <w:rsid w:val="0008368A"/>
    <w:rsid w:val="00083776"/>
    <w:rsid w:val="0008392F"/>
    <w:rsid w:val="00083961"/>
    <w:rsid w:val="000839D6"/>
    <w:rsid w:val="000839F2"/>
    <w:rsid w:val="00083B20"/>
    <w:rsid w:val="00083B38"/>
    <w:rsid w:val="00083E32"/>
    <w:rsid w:val="00083FDA"/>
    <w:rsid w:val="00084185"/>
    <w:rsid w:val="00084205"/>
    <w:rsid w:val="00084350"/>
    <w:rsid w:val="000845A6"/>
    <w:rsid w:val="000845ED"/>
    <w:rsid w:val="0008495B"/>
    <w:rsid w:val="00084A1B"/>
    <w:rsid w:val="00084B69"/>
    <w:rsid w:val="00084B98"/>
    <w:rsid w:val="00084D13"/>
    <w:rsid w:val="00084FB9"/>
    <w:rsid w:val="0008503C"/>
    <w:rsid w:val="0008517A"/>
    <w:rsid w:val="000851DA"/>
    <w:rsid w:val="00085493"/>
    <w:rsid w:val="0008567F"/>
    <w:rsid w:val="000857DD"/>
    <w:rsid w:val="000857FD"/>
    <w:rsid w:val="00085840"/>
    <w:rsid w:val="00085AD0"/>
    <w:rsid w:val="00085C44"/>
    <w:rsid w:val="00085D45"/>
    <w:rsid w:val="00085ED2"/>
    <w:rsid w:val="00085F35"/>
    <w:rsid w:val="0008606F"/>
    <w:rsid w:val="00086136"/>
    <w:rsid w:val="00086286"/>
    <w:rsid w:val="000862F2"/>
    <w:rsid w:val="00086381"/>
    <w:rsid w:val="00086513"/>
    <w:rsid w:val="00086592"/>
    <w:rsid w:val="00086611"/>
    <w:rsid w:val="00086878"/>
    <w:rsid w:val="00086895"/>
    <w:rsid w:val="00086974"/>
    <w:rsid w:val="00086A3E"/>
    <w:rsid w:val="00086A8F"/>
    <w:rsid w:val="00086A9E"/>
    <w:rsid w:val="00086B70"/>
    <w:rsid w:val="00086C08"/>
    <w:rsid w:val="00086C2F"/>
    <w:rsid w:val="00086C30"/>
    <w:rsid w:val="00086D42"/>
    <w:rsid w:val="00086E5D"/>
    <w:rsid w:val="00086F53"/>
    <w:rsid w:val="0008713A"/>
    <w:rsid w:val="000871D7"/>
    <w:rsid w:val="000873B9"/>
    <w:rsid w:val="00087562"/>
    <w:rsid w:val="00087582"/>
    <w:rsid w:val="0008761E"/>
    <w:rsid w:val="000876ED"/>
    <w:rsid w:val="0008770C"/>
    <w:rsid w:val="0008780A"/>
    <w:rsid w:val="000879FE"/>
    <w:rsid w:val="00087B94"/>
    <w:rsid w:val="00087C80"/>
    <w:rsid w:val="00087D60"/>
    <w:rsid w:val="00087F51"/>
    <w:rsid w:val="00087F6C"/>
    <w:rsid w:val="0009001C"/>
    <w:rsid w:val="0009016E"/>
    <w:rsid w:val="00090591"/>
    <w:rsid w:val="00090605"/>
    <w:rsid w:val="00090839"/>
    <w:rsid w:val="0009098D"/>
    <w:rsid w:val="0009098E"/>
    <w:rsid w:val="00090C64"/>
    <w:rsid w:val="00090E68"/>
    <w:rsid w:val="00090E83"/>
    <w:rsid w:val="00091038"/>
    <w:rsid w:val="00091600"/>
    <w:rsid w:val="0009169E"/>
    <w:rsid w:val="000917C7"/>
    <w:rsid w:val="00091816"/>
    <w:rsid w:val="00091A74"/>
    <w:rsid w:val="00091B1C"/>
    <w:rsid w:val="00091D7A"/>
    <w:rsid w:val="0009229B"/>
    <w:rsid w:val="00092502"/>
    <w:rsid w:val="00092A98"/>
    <w:rsid w:val="00092B03"/>
    <w:rsid w:val="00092BC2"/>
    <w:rsid w:val="00092CC9"/>
    <w:rsid w:val="0009310E"/>
    <w:rsid w:val="0009316A"/>
    <w:rsid w:val="000932D1"/>
    <w:rsid w:val="000932F0"/>
    <w:rsid w:val="00093406"/>
    <w:rsid w:val="00093492"/>
    <w:rsid w:val="0009364E"/>
    <w:rsid w:val="00093A15"/>
    <w:rsid w:val="00093B43"/>
    <w:rsid w:val="00093C36"/>
    <w:rsid w:val="00093CEC"/>
    <w:rsid w:val="00093FA0"/>
    <w:rsid w:val="00094009"/>
    <w:rsid w:val="0009422F"/>
    <w:rsid w:val="0009431D"/>
    <w:rsid w:val="00094442"/>
    <w:rsid w:val="00094541"/>
    <w:rsid w:val="0009454A"/>
    <w:rsid w:val="00094626"/>
    <w:rsid w:val="00094686"/>
    <w:rsid w:val="000946BB"/>
    <w:rsid w:val="000947B9"/>
    <w:rsid w:val="0009483E"/>
    <w:rsid w:val="000949A1"/>
    <w:rsid w:val="00094B95"/>
    <w:rsid w:val="00094C05"/>
    <w:rsid w:val="00094DF1"/>
    <w:rsid w:val="00094F3B"/>
    <w:rsid w:val="00094F8C"/>
    <w:rsid w:val="0009507A"/>
    <w:rsid w:val="000950F5"/>
    <w:rsid w:val="000952C2"/>
    <w:rsid w:val="00095307"/>
    <w:rsid w:val="0009533B"/>
    <w:rsid w:val="0009537C"/>
    <w:rsid w:val="000953A1"/>
    <w:rsid w:val="000953B0"/>
    <w:rsid w:val="00095494"/>
    <w:rsid w:val="0009575E"/>
    <w:rsid w:val="00095E9D"/>
    <w:rsid w:val="00095F3C"/>
    <w:rsid w:val="00096227"/>
    <w:rsid w:val="00096288"/>
    <w:rsid w:val="00096429"/>
    <w:rsid w:val="0009644F"/>
    <w:rsid w:val="000966A9"/>
    <w:rsid w:val="000967B6"/>
    <w:rsid w:val="00096E42"/>
    <w:rsid w:val="00097033"/>
    <w:rsid w:val="00097057"/>
    <w:rsid w:val="000971D8"/>
    <w:rsid w:val="000971DC"/>
    <w:rsid w:val="000973E4"/>
    <w:rsid w:val="0009759F"/>
    <w:rsid w:val="000975B5"/>
    <w:rsid w:val="00097606"/>
    <w:rsid w:val="00097842"/>
    <w:rsid w:val="00097997"/>
    <w:rsid w:val="00097A08"/>
    <w:rsid w:val="00097AE3"/>
    <w:rsid w:val="00097D64"/>
    <w:rsid w:val="00097EED"/>
    <w:rsid w:val="00097F59"/>
    <w:rsid w:val="000A00E4"/>
    <w:rsid w:val="000A016E"/>
    <w:rsid w:val="000A02CA"/>
    <w:rsid w:val="000A0312"/>
    <w:rsid w:val="000A0315"/>
    <w:rsid w:val="000A0496"/>
    <w:rsid w:val="000A0553"/>
    <w:rsid w:val="000A056F"/>
    <w:rsid w:val="000A07EE"/>
    <w:rsid w:val="000A08A2"/>
    <w:rsid w:val="000A0921"/>
    <w:rsid w:val="000A0B56"/>
    <w:rsid w:val="000A0C8D"/>
    <w:rsid w:val="000A0E4C"/>
    <w:rsid w:val="000A0E5E"/>
    <w:rsid w:val="000A0E9B"/>
    <w:rsid w:val="000A0F8B"/>
    <w:rsid w:val="000A0FD3"/>
    <w:rsid w:val="000A115F"/>
    <w:rsid w:val="000A1313"/>
    <w:rsid w:val="000A190B"/>
    <w:rsid w:val="000A1958"/>
    <w:rsid w:val="000A1970"/>
    <w:rsid w:val="000A19E5"/>
    <w:rsid w:val="000A1B1B"/>
    <w:rsid w:val="000A1B1F"/>
    <w:rsid w:val="000A1D9D"/>
    <w:rsid w:val="000A1E0F"/>
    <w:rsid w:val="000A1E95"/>
    <w:rsid w:val="000A1FE2"/>
    <w:rsid w:val="000A22FD"/>
    <w:rsid w:val="000A2497"/>
    <w:rsid w:val="000A2797"/>
    <w:rsid w:val="000A288A"/>
    <w:rsid w:val="000A2A24"/>
    <w:rsid w:val="000A2B5D"/>
    <w:rsid w:val="000A2D2F"/>
    <w:rsid w:val="000A2E67"/>
    <w:rsid w:val="000A2E96"/>
    <w:rsid w:val="000A3057"/>
    <w:rsid w:val="000A3265"/>
    <w:rsid w:val="000A3381"/>
    <w:rsid w:val="000A33CC"/>
    <w:rsid w:val="000A352E"/>
    <w:rsid w:val="000A3644"/>
    <w:rsid w:val="000A3950"/>
    <w:rsid w:val="000A3A90"/>
    <w:rsid w:val="000A3B5A"/>
    <w:rsid w:val="000A3D6F"/>
    <w:rsid w:val="000A3FD7"/>
    <w:rsid w:val="000A40E1"/>
    <w:rsid w:val="000A4197"/>
    <w:rsid w:val="000A419C"/>
    <w:rsid w:val="000A41EE"/>
    <w:rsid w:val="000A41F0"/>
    <w:rsid w:val="000A4630"/>
    <w:rsid w:val="000A4671"/>
    <w:rsid w:val="000A474D"/>
    <w:rsid w:val="000A47D9"/>
    <w:rsid w:val="000A487C"/>
    <w:rsid w:val="000A49E4"/>
    <w:rsid w:val="000A4D00"/>
    <w:rsid w:val="000A4DE2"/>
    <w:rsid w:val="000A4E48"/>
    <w:rsid w:val="000A4F54"/>
    <w:rsid w:val="000A514C"/>
    <w:rsid w:val="000A52D7"/>
    <w:rsid w:val="000A5324"/>
    <w:rsid w:val="000A5678"/>
    <w:rsid w:val="000A5990"/>
    <w:rsid w:val="000A59A7"/>
    <w:rsid w:val="000A5B93"/>
    <w:rsid w:val="000A5C0B"/>
    <w:rsid w:val="000A5C70"/>
    <w:rsid w:val="000A5E52"/>
    <w:rsid w:val="000A5EB9"/>
    <w:rsid w:val="000A5EFD"/>
    <w:rsid w:val="000A60B8"/>
    <w:rsid w:val="000A6135"/>
    <w:rsid w:val="000A63FB"/>
    <w:rsid w:val="000A64B4"/>
    <w:rsid w:val="000A6508"/>
    <w:rsid w:val="000A650E"/>
    <w:rsid w:val="000A65AD"/>
    <w:rsid w:val="000A65B3"/>
    <w:rsid w:val="000A6703"/>
    <w:rsid w:val="000A680A"/>
    <w:rsid w:val="000A6A89"/>
    <w:rsid w:val="000A6AA2"/>
    <w:rsid w:val="000A6B27"/>
    <w:rsid w:val="000A6D26"/>
    <w:rsid w:val="000A6F50"/>
    <w:rsid w:val="000A729F"/>
    <w:rsid w:val="000A737D"/>
    <w:rsid w:val="000A7942"/>
    <w:rsid w:val="000A79B4"/>
    <w:rsid w:val="000A7C17"/>
    <w:rsid w:val="000A7CA0"/>
    <w:rsid w:val="000B001A"/>
    <w:rsid w:val="000B00D0"/>
    <w:rsid w:val="000B00FB"/>
    <w:rsid w:val="000B011B"/>
    <w:rsid w:val="000B0121"/>
    <w:rsid w:val="000B0155"/>
    <w:rsid w:val="000B0214"/>
    <w:rsid w:val="000B021C"/>
    <w:rsid w:val="000B0256"/>
    <w:rsid w:val="000B03FE"/>
    <w:rsid w:val="000B0528"/>
    <w:rsid w:val="000B08A0"/>
    <w:rsid w:val="000B0907"/>
    <w:rsid w:val="000B0AC3"/>
    <w:rsid w:val="000B1195"/>
    <w:rsid w:val="000B11C2"/>
    <w:rsid w:val="000B13D3"/>
    <w:rsid w:val="000B171C"/>
    <w:rsid w:val="000B1991"/>
    <w:rsid w:val="000B1DEA"/>
    <w:rsid w:val="000B2001"/>
    <w:rsid w:val="000B20BE"/>
    <w:rsid w:val="000B2260"/>
    <w:rsid w:val="000B2437"/>
    <w:rsid w:val="000B2686"/>
    <w:rsid w:val="000B27B1"/>
    <w:rsid w:val="000B27BF"/>
    <w:rsid w:val="000B2A95"/>
    <w:rsid w:val="000B2B31"/>
    <w:rsid w:val="000B2B3D"/>
    <w:rsid w:val="000B2BA4"/>
    <w:rsid w:val="000B30AC"/>
    <w:rsid w:val="000B333F"/>
    <w:rsid w:val="000B3555"/>
    <w:rsid w:val="000B36B8"/>
    <w:rsid w:val="000B36EA"/>
    <w:rsid w:val="000B3724"/>
    <w:rsid w:val="000B3742"/>
    <w:rsid w:val="000B3780"/>
    <w:rsid w:val="000B3898"/>
    <w:rsid w:val="000B3A62"/>
    <w:rsid w:val="000B3A70"/>
    <w:rsid w:val="000B3AB6"/>
    <w:rsid w:val="000B3C8F"/>
    <w:rsid w:val="000B3D56"/>
    <w:rsid w:val="000B3F85"/>
    <w:rsid w:val="000B3FBE"/>
    <w:rsid w:val="000B410C"/>
    <w:rsid w:val="000B4257"/>
    <w:rsid w:val="000B4573"/>
    <w:rsid w:val="000B4580"/>
    <w:rsid w:val="000B465D"/>
    <w:rsid w:val="000B4682"/>
    <w:rsid w:val="000B488C"/>
    <w:rsid w:val="000B48AC"/>
    <w:rsid w:val="000B49FF"/>
    <w:rsid w:val="000B4BD2"/>
    <w:rsid w:val="000B4EFA"/>
    <w:rsid w:val="000B4F54"/>
    <w:rsid w:val="000B5055"/>
    <w:rsid w:val="000B5295"/>
    <w:rsid w:val="000B544B"/>
    <w:rsid w:val="000B57A0"/>
    <w:rsid w:val="000B5A18"/>
    <w:rsid w:val="000B5FF7"/>
    <w:rsid w:val="000B61EB"/>
    <w:rsid w:val="000B63DB"/>
    <w:rsid w:val="000B65D7"/>
    <w:rsid w:val="000B65E8"/>
    <w:rsid w:val="000B663B"/>
    <w:rsid w:val="000B6941"/>
    <w:rsid w:val="000B6C3A"/>
    <w:rsid w:val="000B6CF9"/>
    <w:rsid w:val="000B6F22"/>
    <w:rsid w:val="000B6F2E"/>
    <w:rsid w:val="000B6F75"/>
    <w:rsid w:val="000B6F82"/>
    <w:rsid w:val="000B7142"/>
    <w:rsid w:val="000B71CE"/>
    <w:rsid w:val="000B726D"/>
    <w:rsid w:val="000B727E"/>
    <w:rsid w:val="000B755B"/>
    <w:rsid w:val="000B79F9"/>
    <w:rsid w:val="000B7AA7"/>
    <w:rsid w:val="000B7AE1"/>
    <w:rsid w:val="000B7B2A"/>
    <w:rsid w:val="000B7C3B"/>
    <w:rsid w:val="000B7D59"/>
    <w:rsid w:val="000B7EE7"/>
    <w:rsid w:val="000B7FF8"/>
    <w:rsid w:val="000C0059"/>
    <w:rsid w:val="000C00AA"/>
    <w:rsid w:val="000C0244"/>
    <w:rsid w:val="000C0275"/>
    <w:rsid w:val="000C03A6"/>
    <w:rsid w:val="000C046B"/>
    <w:rsid w:val="000C0536"/>
    <w:rsid w:val="000C0657"/>
    <w:rsid w:val="000C0747"/>
    <w:rsid w:val="000C07CC"/>
    <w:rsid w:val="000C08EB"/>
    <w:rsid w:val="000C0945"/>
    <w:rsid w:val="000C09EC"/>
    <w:rsid w:val="000C0D02"/>
    <w:rsid w:val="000C0EC0"/>
    <w:rsid w:val="000C1023"/>
    <w:rsid w:val="000C136D"/>
    <w:rsid w:val="000C1475"/>
    <w:rsid w:val="000C15EE"/>
    <w:rsid w:val="000C1832"/>
    <w:rsid w:val="000C1A4D"/>
    <w:rsid w:val="000C2042"/>
    <w:rsid w:val="000C20E5"/>
    <w:rsid w:val="000C2275"/>
    <w:rsid w:val="000C22A9"/>
    <w:rsid w:val="000C249C"/>
    <w:rsid w:val="000C250F"/>
    <w:rsid w:val="000C26ED"/>
    <w:rsid w:val="000C2F11"/>
    <w:rsid w:val="000C30E6"/>
    <w:rsid w:val="000C30F1"/>
    <w:rsid w:val="000C31FF"/>
    <w:rsid w:val="000C3367"/>
    <w:rsid w:val="000C33C6"/>
    <w:rsid w:val="000C341A"/>
    <w:rsid w:val="000C349C"/>
    <w:rsid w:val="000C35A1"/>
    <w:rsid w:val="000C3D37"/>
    <w:rsid w:val="000C3DC7"/>
    <w:rsid w:val="000C3F99"/>
    <w:rsid w:val="000C3FB2"/>
    <w:rsid w:val="000C3FEC"/>
    <w:rsid w:val="000C4026"/>
    <w:rsid w:val="000C4028"/>
    <w:rsid w:val="000C4272"/>
    <w:rsid w:val="000C43D3"/>
    <w:rsid w:val="000C4420"/>
    <w:rsid w:val="000C456C"/>
    <w:rsid w:val="000C4729"/>
    <w:rsid w:val="000C480A"/>
    <w:rsid w:val="000C481C"/>
    <w:rsid w:val="000C48CD"/>
    <w:rsid w:val="000C4A3B"/>
    <w:rsid w:val="000C4A7B"/>
    <w:rsid w:val="000C4B13"/>
    <w:rsid w:val="000C4E07"/>
    <w:rsid w:val="000C4EDA"/>
    <w:rsid w:val="000C504C"/>
    <w:rsid w:val="000C50E0"/>
    <w:rsid w:val="000C514E"/>
    <w:rsid w:val="000C5377"/>
    <w:rsid w:val="000C55EB"/>
    <w:rsid w:val="000C55FB"/>
    <w:rsid w:val="000C5625"/>
    <w:rsid w:val="000C58A1"/>
    <w:rsid w:val="000C58D4"/>
    <w:rsid w:val="000C58EE"/>
    <w:rsid w:val="000C5928"/>
    <w:rsid w:val="000C5BB3"/>
    <w:rsid w:val="000C5BF2"/>
    <w:rsid w:val="000C5DD8"/>
    <w:rsid w:val="000C5F22"/>
    <w:rsid w:val="000C6080"/>
    <w:rsid w:val="000C623A"/>
    <w:rsid w:val="000C65AD"/>
    <w:rsid w:val="000C68F3"/>
    <w:rsid w:val="000C6B3E"/>
    <w:rsid w:val="000C6B50"/>
    <w:rsid w:val="000C6CB5"/>
    <w:rsid w:val="000C6DCE"/>
    <w:rsid w:val="000C6DDC"/>
    <w:rsid w:val="000C6ED5"/>
    <w:rsid w:val="000C7045"/>
    <w:rsid w:val="000C7160"/>
    <w:rsid w:val="000C7262"/>
    <w:rsid w:val="000C759A"/>
    <w:rsid w:val="000C7A98"/>
    <w:rsid w:val="000C7AC4"/>
    <w:rsid w:val="000C7AE5"/>
    <w:rsid w:val="000C7CC8"/>
    <w:rsid w:val="000C7D8D"/>
    <w:rsid w:val="000C7DE4"/>
    <w:rsid w:val="000C7EA2"/>
    <w:rsid w:val="000C7F36"/>
    <w:rsid w:val="000C7FBD"/>
    <w:rsid w:val="000C7FFE"/>
    <w:rsid w:val="000D011E"/>
    <w:rsid w:val="000D01C5"/>
    <w:rsid w:val="000D0685"/>
    <w:rsid w:val="000D070C"/>
    <w:rsid w:val="000D0713"/>
    <w:rsid w:val="000D0A30"/>
    <w:rsid w:val="000D0B6E"/>
    <w:rsid w:val="000D0D97"/>
    <w:rsid w:val="000D0F17"/>
    <w:rsid w:val="000D10F3"/>
    <w:rsid w:val="000D1320"/>
    <w:rsid w:val="000D13D5"/>
    <w:rsid w:val="000D15C3"/>
    <w:rsid w:val="000D164C"/>
    <w:rsid w:val="000D1811"/>
    <w:rsid w:val="000D19CF"/>
    <w:rsid w:val="000D1B14"/>
    <w:rsid w:val="000D1C31"/>
    <w:rsid w:val="000D1D23"/>
    <w:rsid w:val="000D1D3E"/>
    <w:rsid w:val="000D1DB1"/>
    <w:rsid w:val="000D1E40"/>
    <w:rsid w:val="000D1EEF"/>
    <w:rsid w:val="000D207F"/>
    <w:rsid w:val="000D22B7"/>
    <w:rsid w:val="000D22EE"/>
    <w:rsid w:val="000D231F"/>
    <w:rsid w:val="000D2405"/>
    <w:rsid w:val="000D24C0"/>
    <w:rsid w:val="000D258F"/>
    <w:rsid w:val="000D2644"/>
    <w:rsid w:val="000D269A"/>
    <w:rsid w:val="000D2CC6"/>
    <w:rsid w:val="000D2E28"/>
    <w:rsid w:val="000D2EA1"/>
    <w:rsid w:val="000D30C6"/>
    <w:rsid w:val="000D30EB"/>
    <w:rsid w:val="000D352D"/>
    <w:rsid w:val="000D3789"/>
    <w:rsid w:val="000D3816"/>
    <w:rsid w:val="000D3859"/>
    <w:rsid w:val="000D3E8D"/>
    <w:rsid w:val="000D3EB5"/>
    <w:rsid w:val="000D3F24"/>
    <w:rsid w:val="000D3FA9"/>
    <w:rsid w:val="000D3FE4"/>
    <w:rsid w:val="000D4019"/>
    <w:rsid w:val="000D4290"/>
    <w:rsid w:val="000D46C6"/>
    <w:rsid w:val="000D4936"/>
    <w:rsid w:val="000D4B92"/>
    <w:rsid w:val="000D4CF3"/>
    <w:rsid w:val="000D4D21"/>
    <w:rsid w:val="000D4DAE"/>
    <w:rsid w:val="000D4EAB"/>
    <w:rsid w:val="000D4F4F"/>
    <w:rsid w:val="000D4FD3"/>
    <w:rsid w:val="000D4FE1"/>
    <w:rsid w:val="000D50AA"/>
    <w:rsid w:val="000D5282"/>
    <w:rsid w:val="000D5307"/>
    <w:rsid w:val="000D5396"/>
    <w:rsid w:val="000D53E3"/>
    <w:rsid w:val="000D57DF"/>
    <w:rsid w:val="000D57E1"/>
    <w:rsid w:val="000D5A58"/>
    <w:rsid w:val="000D5A5A"/>
    <w:rsid w:val="000D5C3E"/>
    <w:rsid w:val="000D5CE9"/>
    <w:rsid w:val="000D5FA1"/>
    <w:rsid w:val="000D60EC"/>
    <w:rsid w:val="000D6187"/>
    <w:rsid w:val="000D6224"/>
    <w:rsid w:val="000D629D"/>
    <w:rsid w:val="000D6388"/>
    <w:rsid w:val="000D6614"/>
    <w:rsid w:val="000D662C"/>
    <w:rsid w:val="000D681E"/>
    <w:rsid w:val="000D6916"/>
    <w:rsid w:val="000D695A"/>
    <w:rsid w:val="000D6AE8"/>
    <w:rsid w:val="000D6AFE"/>
    <w:rsid w:val="000D6C9D"/>
    <w:rsid w:val="000D6EDE"/>
    <w:rsid w:val="000D70B9"/>
    <w:rsid w:val="000D71DB"/>
    <w:rsid w:val="000D73BF"/>
    <w:rsid w:val="000D7954"/>
    <w:rsid w:val="000D7A52"/>
    <w:rsid w:val="000D7BFF"/>
    <w:rsid w:val="000D7C69"/>
    <w:rsid w:val="000D7CEE"/>
    <w:rsid w:val="000D7D54"/>
    <w:rsid w:val="000D7F23"/>
    <w:rsid w:val="000D7FE1"/>
    <w:rsid w:val="000E02AE"/>
    <w:rsid w:val="000E034C"/>
    <w:rsid w:val="000E0354"/>
    <w:rsid w:val="000E0638"/>
    <w:rsid w:val="000E08C9"/>
    <w:rsid w:val="000E0C56"/>
    <w:rsid w:val="000E0CAB"/>
    <w:rsid w:val="000E1160"/>
    <w:rsid w:val="000E123C"/>
    <w:rsid w:val="000E13F3"/>
    <w:rsid w:val="000E14AC"/>
    <w:rsid w:val="000E166B"/>
    <w:rsid w:val="000E17BC"/>
    <w:rsid w:val="000E1E9F"/>
    <w:rsid w:val="000E205B"/>
    <w:rsid w:val="000E2113"/>
    <w:rsid w:val="000E229B"/>
    <w:rsid w:val="000E23E4"/>
    <w:rsid w:val="000E2425"/>
    <w:rsid w:val="000E2644"/>
    <w:rsid w:val="000E280A"/>
    <w:rsid w:val="000E2CAC"/>
    <w:rsid w:val="000E2F5B"/>
    <w:rsid w:val="000E2FFD"/>
    <w:rsid w:val="000E343D"/>
    <w:rsid w:val="000E34C3"/>
    <w:rsid w:val="000E3638"/>
    <w:rsid w:val="000E3734"/>
    <w:rsid w:val="000E3B61"/>
    <w:rsid w:val="000E3BC1"/>
    <w:rsid w:val="000E3C60"/>
    <w:rsid w:val="000E3CB1"/>
    <w:rsid w:val="000E3D3D"/>
    <w:rsid w:val="000E3EF3"/>
    <w:rsid w:val="000E40A5"/>
    <w:rsid w:val="000E41B5"/>
    <w:rsid w:val="000E4262"/>
    <w:rsid w:val="000E43BB"/>
    <w:rsid w:val="000E48FD"/>
    <w:rsid w:val="000E4A20"/>
    <w:rsid w:val="000E4E91"/>
    <w:rsid w:val="000E501E"/>
    <w:rsid w:val="000E50BE"/>
    <w:rsid w:val="000E51E5"/>
    <w:rsid w:val="000E53D3"/>
    <w:rsid w:val="000E53F9"/>
    <w:rsid w:val="000E5471"/>
    <w:rsid w:val="000E576A"/>
    <w:rsid w:val="000E5838"/>
    <w:rsid w:val="000E5A06"/>
    <w:rsid w:val="000E5A44"/>
    <w:rsid w:val="000E5F41"/>
    <w:rsid w:val="000E5FC6"/>
    <w:rsid w:val="000E5FE2"/>
    <w:rsid w:val="000E629C"/>
    <w:rsid w:val="000E62BC"/>
    <w:rsid w:val="000E634F"/>
    <w:rsid w:val="000E6741"/>
    <w:rsid w:val="000E6A1D"/>
    <w:rsid w:val="000E6CB8"/>
    <w:rsid w:val="000E71A9"/>
    <w:rsid w:val="000E7328"/>
    <w:rsid w:val="000E7419"/>
    <w:rsid w:val="000E744B"/>
    <w:rsid w:val="000E75C7"/>
    <w:rsid w:val="000E77F7"/>
    <w:rsid w:val="000E7B85"/>
    <w:rsid w:val="000E7E96"/>
    <w:rsid w:val="000E7F67"/>
    <w:rsid w:val="000F030E"/>
    <w:rsid w:val="000F0380"/>
    <w:rsid w:val="000F05CA"/>
    <w:rsid w:val="000F06A8"/>
    <w:rsid w:val="000F0A14"/>
    <w:rsid w:val="000F0C2A"/>
    <w:rsid w:val="000F0C5E"/>
    <w:rsid w:val="000F0CF0"/>
    <w:rsid w:val="000F0D54"/>
    <w:rsid w:val="000F0F77"/>
    <w:rsid w:val="000F1288"/>
    <w:rsid w:val="000F12EF"/>
    <w:rsid w:val="000F14FD"/>
    <w:rsid w:val="000F154D"/>
    <w:rsid w:val="000F15AF"/>
    <w:rsid w:val="000F160D"/>
    <w:rsid w:val="000F16A8"/>
    <w:rsid w:val="000F16ED"/>
    <w:rsid w:val="000F17D7"/>
    <w:rsid w:val="000F1D27"/>
    <w:rsid w:val="000F1D9F"/>
    <w:rsid w:val="000F1EEA"/>
    <w:rsid w:val="000F209E"/>
    <w:rsid w:val="000F2317"/>
    <w:rsid w:val="000F24A1"/>
    <w:rsid w:val="000F2A34"/>
    <w:rsid w:val="000F2AED"/>
    <w:rsid w:val="000F2C78"/>
    <w:rsid w:val="000F2D61"/>
    <w:rsid w:val="000F2DBB"/>
    <w:rsid w:val="000F2E01"/>
    <w:rsid w:val="000F2E06"/>
    <w:rsid w:val="000F2F6C"/>
    <w:rsid w:val="000F30E3"/>
    <w:rsid w:val="000F311E"/>
    <w:rsid w:val="000F3176"/>
    <w:rsid w:val="000F31BC"/>
    <w:rsid w:val="000F33C4"/>
    <w:rsid w:val="000F374A"/>
    <w:rsid w:val="000F38E3"/>
    <w:rsid w:val="000F395D"/>
    <w:rsid w:val="000F3A49"/>
    <w:rsid w:val="000F3A90"/>
    <w:rsid w:val="000F3ACF"/>
    <w:rsid w:val="000F3CBF"/>
    <w:rsid w:val="000F3CF4"/>
    <w:rsid w:val="000F3E79"/>
    <w:rsid w:val="000F40F1"/>
    <w:rsid w:val="000F425C"/>
    <w:rsid w:val="000F4935"/>
    <w:rsid w:val="000F4AD1"/>
    <w:rsid w:val="000F4EF9"/>
    <w:rsid w:val="000F5044"/>
    <w:rsid w:val="000F50B5"/>
    <w:rsid w:val="000F5186"/>
    <w:rsid w:val="000F51CE"/>
    <w:rsid w:val="000F539F"/>
    <w:rsid w:val="000F5431"/>
    <w:rsid w:val="000F5467"/>
    <w:rsid w:val="000F556D"/>
    <w:rsid w:val="000F571F"/>
    <w:rsid w:val="000F5774"/>
    <w:rsid w:val="000F5803"/>
    <w:rsid w:val="000F5806"/>
    <w:rsid w:val="000F5858"/>
    <w:rsid w:val="000F58DF"/>
    <w:rsid w:val="000F5916"/>
    <w:rsid w:val="000F5A8B"/>
    <w:rsid w:val="000F5AD6"/>
    <w:rsid w:val="000F5C64"/>
    <w:rsid w:val="000F5DEE"/>
    <w:rsid w:val="000F5E61"/>
    <w:rsid w:val="000F5E8D"/>
    <w:rsid w:val="000F5F32"/>
    <w:rsid w:val="000F609E"/>
    <w:rsid w:val="000F60A0"/>
    <w:rsid w:val="000F63C4"/>
    <w:rsid w:val="000F6461"/>
    <w:rsid w:val="000F659B"/>
    <w:rsid w:val="000F6813"/>
    <w:rsid w:val="000F6985"/>
    <w:rsid w:val="000F69C8"/>
    <w:rsid w:val="000F6BC8"/>
    <w:rsid w:val="000F6CDD"/>
    <w:rsid w:val="000F6EA6"/>
    <w:rsid w:val="000F71A3"/>
    <w:rsid w:val="000F744C"/>
    <w:rsid w:val="000F74F9"/>
    <w:rsid w:val="000F7605"/>
    <w:rsid w:val="000F761A"/>
    <w:rsid w:val="000F7799"/>
    <w:rsid w:val="000F78F0"/>
    <w:rsid w:val="000F79CA"/>
    <w:rsid w:val="000F7A32"/>
    <w:rsid w:val="000F7A3E"/>
    <w:rsid w:val="000F7C53"/>
    <w:rsid w:val="000F7D1B"/>
    <w:rsid w:val="000F7EB5"/>
    <w:rsid w:val="000F7F78"/>
    <w:rsid w:val="00100065"/>
    <w:rsid w:val="00100284"/>
    <w:rsid w:val="001003DF"/>
    <w:rsid w:val="001004AE"/>
    <w:rsid w:val="001004BC"/>
    <w:rsid w:val="001004E4"/>
    <w:rsid w:val="001005C2"/>
    <w:rsid w:val="001005D8"/>
    <w:rsid w:val="00100691"/>
    <w:rsid w:val="00100733"/>
    <w:rsid w:val="0010081C"/>
    <w:rsid w:val="0010089E"/>
    <w:rsid w:val="00100972"/>
    <w:rsid w:val="00100AF8"/>
    <w:rsid w:val="00100BC7"/>
    <w:rsid w:val="00100C66"/>
    <w:rsid w:val="00101092"/>
    <w:rsid w:val="00101177"/>
    <w:rsid w:val="001013C9"/>
    <w:rsid w:val="0010140C"/>
    <w:rsid w:val="00101666"/>
    <w:rsid w:val="001017DB"/>
    <w:rsid w:val="0010193B"/>
    <w:rsid w:val="00101A12"/>
    <w:rsid w:val="00101BD5"/>
    <w:rsid w:val="00101C06"/>
    <w:rsid w:val="00101C4C"/>
    <w:rsid w:val="00101CE2"/>
    <w:rsid w:val="00101E25"/>
    <w:rsid w:val="00101E45"/>
    <w:rsid w:val="00101EE6"/>
    <w:rsid w:val="001021F5"/>
    <w:rsid w:val="0010220E"/>
    <w:rsid w:val="001022E3"/>
    <w:rsid w:val="001024FD"/>
    <w:rsid w:val="00102515"/>
    <w:rsid w:val="0010262E"/>
    <w:rsid w:val="0010281B"/>
    <w:rsid w:val="00102990"/>
    <w:rsid w:val="00102B74"/>
    <w:rsid w:val="00102BD9"/>
    <w:rsid w:val="00102C1F"/>
    <w:rsid w:val="0010320E"/>
    <w:rsid w:val="001032C4"/>
    <w:rsid w:val="001032C7"/>
    <w:rsid w:val="001032F8"/>
    <w:rsid w:val="001034F0"/>
    <w:rsid w:val="00103671"/>
    <w:rsid w:val="001036B9"/>
    <w:rsid w:val="0010376D"/>
    <w:rsid w:val="00103899"/>
    <w:rsid w:val="00103A5F"/>
    <w:rsid w:val="00103AB8"/>
    <w:rsid w:val="00103BE3"/>
    <w:rsid w:val="00103D8D"/>
    <w:rsid w:val="00103E34"/>
    <w:rsid w:val="0010423E"/>
    <w:rsid w:val="00104265"/>
    <w:rsid w:val="00104575"/>
    <w:rsid w:val="001048EB"/>
    <w:rsid w:val="001049A9"/>
    <w:rsid w:val="0010505B"/>
    <w:rsid w:val="00105226"/>
    <w:rsid w:val="0010530C"/>
    <w:rsid w:val="0010530E"/>
    <w:rsid w:val="00105343"/>
    <w:rsid w:val="0010537E"/>
    <w:rsid w:val="001053E7"/>
    <w:rsid w:val="00105944"/>
    <w:rsid w:val="00105A7D"/>
    <w:rsid w:val="00105A9E"/>
    <w:rsid w:val="00105D4D"/>
    <w:rsid w:val="00106046"/>
    <w:rsid w:val="00106188"/>
    <w:rsid w:val="001062AE"/>
    <w:rsid w:val="00106458"/>
    <w:rsid w:val="001064B4"/>
    <w:rsid w:val="00106C1F"/>
    <w:rsid w:val="00106C46"/>
    <w:rsid w:val="00106D1B"/>
    <w:rsid w:val="00106D7E"/>
    <w:rsid w:val="001070A9"/>
    <w:rsid w:val="001071EE"/>
    <w:rsid w:val="0010730D"/>
    <w:rsid w:val="001073C9"/>
    <w:rsid w:val="001074A3"/>
    <w:rsid w:val="00107516"/>
    <w:rsid w:val="00107634"/>
    <w:rsid w:val="00107659"/>
    <w:rsid w:val="001076AC"/>
    <w:rsid w:val="00107810"/>
    <w:rsid w:val="00107973"/>
    <w:rsid w:val="00107A19"/>
    <w:rsid w:val="00107B85"/>
    <w:rsid w:val="00107C88"/>
    <w:rsid w:val="00107DF6"/>
    <w:rsid w:val="00107F9C"/>
    <w:rsid w:val="001102F7"/>
    <w:rsid w:val="00110392"/>
    <w:rsid w:val="00110468"/>
    <w:rsid w:val="00110645"/>
    <w:rsid w:val="00110A43"/>
    <w:rsid w:val="00110B54"/>
    <w:rsid w:val="00110F5F"/>
    <w:rsid w:val="0011129D"/>
    <w:rsid w:val="0011162A"/>
    <w:rsid w:val="00111655"/>
    <w:rsid w:val="00111676"/>
    <w:rsid w:val="001117AB"/>
    <w:rsid w:val="001117E8"/>
    <w:rsid w:val="001119BC"/>
    <w:rsid w:val="00111AA0"/>
    <w:rsid w:val="00111D88"/>
    <w:rsid w:val="00111EDF"/>
    <w:rsid w:val="00111F40"/>
    <w:rsid w:val="00111F53"/>
    <w:rsid w:val="00111F8D"/>
    <w:rsid w:val="001122CE"/>
    <w:rsid w:val="001123B8"/>
    <w:rsid w:val="00112727"/>
    <w:rsid w:val="00112891"/>
    <w:rsid w:val="001128C7"/>
    <w:rsid w:val="00112B08"/>
    <w:rsid w:val="00112BAF"/>
    <w:rsid w:val="00112BF4"/>
    <w:rsid w:val="00112C41"/>
    <w:rsid w:val="00112C50"/>
    <w:rsid w:val="00112D28"/>
    <w:rsid w:val="00112E48"/>
    <w:rsid w:val="00112E7F"/>
    <w:rsid w:val="00112EB9"/>
    <w:rsid w:val="00112ED1"/>
    <w:rsid w:val="00112ED8"/>
    <w:rsid w:val="00112F23"/>
    <w:rsid w:val="00112F7F"/>
    <w:rsid w:val="00113042"/>
    <w:rsid w:val="00113417"/>
    <w:rsid w:val="00113594"/>
    <w:rsid w:val="00113758"/>
    <w:rsid w:val="0011385A"/>
    <w:rsid w:val="00113945"/>
    <w:rsid w:val="0011396D"/>
    <w:rsid w:val="001140A3"/>
    <w:rsid w:val="00114212"/>
    <w:rsid w:val="0011423E"/>
    <w:rsid w:val="00114278"/>
    <w:rsid w:val="001144BF"/>
    <w:rsid w:val="00114501"/>
    <w:rsid w:val="00114543"/>
    <w:rsid w:val="0011475D"/>
    <w:rsid w:val="00114851"/>
    <w:rsid w:val="001149EF"/>
    <w:rsid w:val="00114B5D"/>
    <w:rsid w:val="00114B8C"/>
    <w:rsid w:val="00114E72"/>
    <w:rsid w:val="00114FD4"/>
    <w:rsid w:val="00115140"/>
    <w:rsid w:val="0011528F"/>
    <w:rsid w:val="00115444"/>
    <w:rsid w:val="001156BA"/>
    <w:rsid w:val="00115751"/>
    <w:rsid w:val="001158A1"/>
    <w:rsid w:val="00115A01"/>
    <w:rsid w:val="00115E68"/>
    <w:rsid w:val="001160E0"/>
    <w:rsid w:val="001160F1"/>
    <w:rsid w:val="0011610C"/>
    <w:rsid w:val="0011611E"/>
    <w:rsid w:val="001168B9"/>
    <w:rsid w:val="00116A56"/>
    <w:rsid w:val="00116C21"/>
    <w:rsid w:val="00116C38"/>
    <w:rsid w:val="00116E89"/>
    <w:rsid w:val="00116F95"/>
    <w:rsid w:val="00117011"/>
    <w:rsid w:val="0011710A"/>
    <w:rsid w:val="00117195"/>
    <w:rsid w:val="0011725F"/>
    <w:rsid w:val="001174DA"/>
    <w:rsid w:val="001176B0"/>
    <w:rsid w:val="001178E5"/>
    <w:rsid w:val="001178EC"/>
    <w:rsid w:val="001178EF"/>
    <w:rsid w:val="001178FB"/>
    <w:rsid w:val="00117A4A"/>
    <w:rsid w:val="00117A77"/>
    <w:rsid w:val="00117AED"/>
    <w:rsid w:val="00117B19"/>
    <w:rsid w:val="00117F21"/>
    <w:rsid w:val="00120038"/>
    <w:rsid w:val="001205F4"/>
    <w:rsid w:val="001209B3"/>
    <w:rsid w:val="001209DB"/>
    <w:rsid w:val="00120C04"/>
    <w:rsid w:val="00120C23"/>
    <w:rsid w:val="00120CA3"/>
    <w:rsid w:val="00120D7D"/>
    <w:rsid w:val="00120E0A"/>
    <w:rsid w:val="00120E49"/>
    <w:rsid w:val="00120F5B"/>
    <w:rsid w:val="001214D1"/>
    <w:rsid w:val="00121574"/>
    <w:rsid w:val="0012171F"/>
    <w:rsid w:val="00121869"/>
    <w:rsid w:val="00121939"/>
    <w:rsid w:val="001219CD"/>
    <w:rsid w:val="00121A2D"/>
    <w:rsid w:val="00121B08"/>
    <w:rsid w:val="00121F74"/>
    <w:rsid w:val="00121F92"/>
    <w:rsid w:val="0012201B"/>
    <w:rsid w:val="00122294"/>
    <w:rsid w:val="00122328"/>
    <w:rsid w:val="00122377"/>
    <w:rsid w:val="001223B9"/>
    <w:rsid w:val="001225B1"/>
    <w:rsid w:val="0012262F"/>
    <w:rsid w:val="00122834"/>
    <w:rsid w:val="00122A7F"/>
    <w:rsid w:val="00122B17"/>
    <w:rsid w:val="00122BF8"/>
    <w:rsid w:val="00122CEB"/>
    <w:rsid w:val="001232D3"/>
    <w:rsid w:val="001233FF"/>
    <w:rsid w:val="001235F4"/>
    <w:rsid w:val="00123688"/>
    <w:rsid w:val="00123815"/>
    <w:rsid w:val="001238E2"/>
    <w:rsid w:val="0012398D"/>
    <w:rsid w:val="001239E7"/>
    <w:rsid w:val="00123D65"/>
    <w:rsid w:val="00124091"/>
    <w:rsid w:val="00124412"/>
    <w:rsid w:val="0012453E"/>
    <w:rsid w:val="0012465B"/>
    <w:rsid w:val="001246BC"/>
    <w:rsid w:val="001248CA"/>
    <w:rsid w:val="00124901"/>
    <w:rsid w:val="0012492B"/>
    <w:rsid w:val="00124999"/>
    <w:rsid w:val="0012499C"/>
    <w:rsid w:val="00124A24"/>
    <w:rsid w:val="00124AFD"/>
    <w:rsid w:val="00124D81"/>
    <w:rsid w:val="00124DCD"/>
    <w:rsid w:val="00124E2C"/>
    <w:rsid w:val="00124EB8"/>
    <w:rsid w:val="0012529E"/>
    <w:rsid w:val="001255A0"/>
    <w:rsid w:val="001258F0"/>
    <w:rsid w:val="0012598F"/>
    <w:rsid w:val="00125C2C"/>
    <w:rsid w:val="00125FAE"/>
    <w:rsid w:val="0012611C"/>
    <w:rsid w:val="001261EF"/>
    <w:rsid w:val="0012627A"/>
    <w:rsid w:val="001262C0"/>
    <w:rsid w:val="001263CE"/>
    <w:rsid w:val="001263DC"/>
    <w:rsid w:val="001265BE"/>
    <w:rsid w:val="001269FF"/>
    <w:rsid w:val="00126DE9"/>
    <w:rsid w:val="00126F19"/>
    <w:rsid w:val="00126F25"/>
    <w:rsid w:val="00126FE7"/>
    <w:rsid w:val="001270C4"/>
    <w:rsid w:val="001270D3"/>
    <w:rsid w:val="00127215"/>
    <w:rsid w:val="00127524"/>
    <w:rsid w:val="001275F4"/>
    <w:rsid w:val="0012771D"/>
    <w:rsid w:val="00127792"/>
    <w:rsid w:val="001277E4"/>
    <w:rsid w:val="001279C9"/>
    <w:rsid w:val="00127A6F"/>
    <w:rsid w:val="00127E3D"/>
    <w:rsid w:val="0013000B"/>
    <w:rsid w:val="00130091"/>
    <w:rsid w:val="001301D6"/>
    <w:rsid w:val="00130485"/>
    <w:rsid w:val="0013059F"/>
    <w:rsid w:val="00130638"/>
    <w:rsid w:val="0013076A"/>
    <w:rsid w:val="00130B64"/>
    <w:rsid w:val="00130B66"/>
    <w:rsid w:val="00130C00"/>
    <w:rsid w:val="00130EFF"/>
    <w:rsid w:val="00131023"/>
    <w:rsid w:val="001313A5"/>
    <w:rsid w:val="001313C2"/>
    <w:rsid w:val="00131568"/>
    <w:rsid w:val="001316EE"/>
    <w:rsid w:val="00131913"/>
    <w:rsid w:val="00131B15"/>
    <w:rsid w:val="00131B27"/>
    <w:rsid w:val="00131B80"/>
    <w:rsid w:val="00131E06"/>
    <w:rsid w:val="00131E74"/>
    <w:rsid w:val="00131EE7"/>
    <w:rsid w:val="001321E8"/>
    <w:rsid w:val="00132970"/>
    <w:rsid w:val="001329D4"/>
    <w:rsid w:val="00132BA6"/>
    <w:rsid w:val="00132BC0"/>
    <w:rsid w:val="00132C7C"/>
    <w:rsid w:val="00132E42"/>
    <w:rsid w:val="00132E5E"/>
    <w:rsid w:val="00132E7C"/>
    <w:rsid w:val="00132F7B"/>
    <w:rsid w:val="0013350D"/>
    <w:rsid w:val="001338C7"/>
    <w:rsid w:val="00133A43"/>
    <w:rsid w:val="00133D2B"/>
    <w:rsid w:val="00133D8D"/>
    <w:rsid w:val="00134032"/>
    <w:rsid w:val="001340CC"/>
    <w:rsid w:val="0013429E"/>
    <w:rsid w:val="0013446F"/>
    <w:rsid w:val="0013454E"/>
    <w:rsid w:val="00134608"/>
    <w:rsid w:val="0013471A"/>
    <w:rsid w:val="0013482D"/>
    <w:rsid w:val="00134B14"/>
    <w:rsid w:val="00134D7D"/>
    <w:rsid w:val="00135164"/>
    <w:rsid w:val="00135371"/>
    <w:rsid w:val="00135396"/>
    <w:rsid w:val="0013541E"/>
    <w:rsid w:val="00135443"/>
    <w:rsid w:val="0013547A"/>
    <w:rsid w:val="00135491"/>
    <w:rsid w:val="00135A64"/>
    <w:rsid w:val="00135C31"/>
    <w:rsid w:val="0013606D"/>
    <w:rsid w:val="00136102"/>
    <w:rsid w:val="00136175"/>
    <w:rsid w:val="00136220"/>
    <w:rsid w:val="00136279"/>
    <w:rsid w:val="00136402"/>
    <w:rsid w:val="001369EE"/>
    <w:rsid w:val="00136DD0"/>
    <w:rsid w:val="00136E6B"/>
    <w:rsid w:val="00136EF9"/>
    <w:rsid w:val="00136F3B"/>
    <w:rsid w:val="00137142"/>
    <w:rsid w:val="00137210"/>
    <w:rsid w:val="0013725E"/>
    <w:rsid w:val="0013726B"/>
    <w:rsid w:val="00137274"/>
    <w:rsid w:val="0013745D"/>
    <w:rsid w:val="00137648"/>
    <w:rsid w:val="00137760"/>
    <w:rsid w:val="0013776A"/>
    <w:rsid w:val="00137A78"/>
    <w:rsid w:val="00137B58"/>
    <w:rsid w:val="00137BF4"/>
    <w:rsid w:val="00137C27"/>
    <w:rsid w:val="00137C7C"/>
    <w:rsid w:val="00137CBD"/>
    <w:rsid w:val="00137CD9"/>
    <w:rsid w:val="00137FE0"/>
    <w:rsid w:val="0014005B"/>
    <w:rsid w:val="00140362"/>
    <w:rsid w:val="001406FA"/>
    <w:rsid w:val="00140A2A"/>
    <w:rsid w:val="001411DC"/>
    <w:rsid w:val="00141393"/>
    <w:rsid w:val="00141418"/>
    <w:rsid w:val="00141488"/>
    <w:rsid w:val="001414F7"/>
    <w:rsid w:val="001415DE"/>
    <w:rsid w:val="001417B5"/>
    <w:rsid w:val="001417E1"/>
    <w:rsid w:val="00141832"/>
    <w:rsid w:val="00141904"/>
    <w:rsid w:val="001419F9"/>
    <w:rsid w:val="00141BB9"/>
    <w:rsid w:val="00141DDA"/>
    <w:rsid w:val="00141DEF"/>
    <w:rsid w:val="00141F2E"/>
    <w:rsid w:val="00141F79"/>
    <w:rsid w:val="0014224C"/>
    <w:rsid w:val="00142331"/>
    <w:rsid w:val="001424D2"/>
    <w:rsid w:val="001426D3"/>
    <w:rsid w:val="0014278F"/>
    <w:rsid w:val="00142833"/>
    <w:rsid w:val="00142857"/>
    <w:rsid w:val="001429A1"/>
    <w:rsid w:val="00142BC6"/>
    <w:rsid w:val="00142D6A"/>
    <w:rsid w:val="0014311C"/>
    <w:rsid w:val="001431CF"/>
    <w:rsid w:val="00143330"/>
    <w:rsid w:val="001433B7"/>
    <w:rsid w:val="00143508"/>
    <w:rsid w:val="0014350D"/>
    <w:rsid w:val="001435A8"/>
    <w:rsid w:val="00143627"/>
    <w:rsid w:val="0014362E"/>
    <w:rsid w:val="001439C7"/>
    <w:rsid w:val="00143B41"/>
    <w:rsid w:val="00143BCC"/>
    <w:rsid w:val="00143BE1"/>
    <w:rsid w:val="00143CD3"/>
    <w:rsid w:val="00143E4C"/>
    <w:rsid w:val="00143E82"/>
    <w:rsid w:val="00143EF2"/>
    <w:rsid w:val="00144393"/>
    <w:rsid w:val="001443BC"/>
    <w:rsid w:val="00144793"/>
    <w:rsid w:val="00144864"/>
    <w:rsid w:val="00144891"/>
    <w:rsid w:val="00144905"/>
    <w:rsid w:val="0014494E"/>
    <w:rsid w:val="00144BAD"/>
    <w:rsid w:val="00144BC9"/>
    <w:rsid w:val="00144C56"/>
    <w:rsid w:val="00144DBC"/>
    <w:rsid w:val="00144F9B"/>
    <w:rsid w:val="00144FE5"/>
    <w:rsid w:val="00145016"/>
    <w:rsid w:val="00145091"/>
    <w:rsid w:val="00145135"/>
    <w:rsid w:val="00145318"/>
    <w:rsid w:val="0014531A"/>
    <w:rsid w:val="0014537F"/>
    <w:rsid w:val="00145385"/>
    <w:rsid w:val="00145591"/>
    <w:rsid w:val="00145956"/>
    <w:rsid w:val="001459FF"/>
    <w:rsid w:val="00145A3F"/>
    <w:rsid w:val="00145B03"/>
    <w:rsid w:val="00145B1A"/>
    <w:rsid w:val="00145B7E"/>
    <w:rsid w:val="00145C13"/>
    <w:rsid w:val="00145C3B"/>
    <w:rsid w:val="00145C8C"/>
    <w:rsid w:val="00145D82"/>
    <w:rsid w:val="00145E88"/>
    <w:rsid w:val="00145F3F"/>
    <w:rsid w:val="00145F9B"/>
    <w:rsid w:val="00145FD2"/>
    <w:rsid w:val="00146154"/>
    <w:rsid w:val="0014624B"/>
    <w:rsid w:val="0014657F"/>
    <w:rsid w:val="001465BA"/>
    <w:rsid w:val="0014664B"/>
    <w:rsid w:val="0014674B"/>
    <w:rsid w:val="00146A49"/>
    <w:rsid w:val="00146A6D"/>
    <w:rsid w:val="00146BB9"/>
    <w:rsid w:val="00146FB9"/>
    <w:rsid w:val="00147086"/>
    <w:rsid w:val="00147337"/>
    <w:rsid w:val="00147945"/>
    <w:rsid w:val="00147975"/>
    <w:rsid w:val="00147BB9"/>
    <w:rsid w:val="00147C18"/>
    <w:rsid w:val="00147D6C"/>
    <w:rsid w:val="00147ECB"/>
    <w:rsid w:val="00147F30"/>
    <w:rsid w:val="00147FAB"/>
    <w:rsid w:val="00147FC5"/>
    <w:rsid w:val="0015017D"/>
    <w:rsid w:val="001503F3"/>
    <w:rsid w:val="0015043E"/>
    <w:rsid w:val="00150519"/>
    <w:rsid w:val="0015077B"/>
    <w:rsid w:val="00150881"/>
    <w:rsid w:val="001509E3"/>
    <w:rsid w:val="00150A6D"/>
    <w:rsid w:val="00150A92"/>
    <w:rsid w:val="00150A9B"/>
    <w:rsid w:val="00150DC9"/>
    <w:rsid w:val="00150ECA"/>
    <w:rsid w:val="00150EE5"/>
    <w:rsid w:val="0015125E"/>
    <w:rsid w:val="00151374"/>
    <w:rsid w:val="001514EE"/>
    <w:rsid w:val="00151BEC"/>
    <w:rsid w:val="00151D61"/>
    <w:rsid w:val="00151E21"/>
    <w:rsid w:val="00151E5B"/>
    <w:rsid w:val="00152128"/>
    <w:rsid w:val="001521CA"/>
    <w:rsid w:val="001522CD"/>
    <w:rsid w:val="00152349"/>
    <w:rsid w:val="001524CB"/>
    <w:rsid w:val="001524D0"/>
    <w:rsid w:val="001527B5"/>
    <w:rsid w:val="001527F9"/>
    <w:rsid w:val="0015280E"/>
    <w:rsid w:val="001528A3"/>
    <w:rsid w:val="001528D2"/>
    <w:rsid w:val="00152BF2"/>
    <w:rsid w:val="00152C41"/>
    <w:rsid w:val="00152D18"/>
    <w:rsid w:val="00152E1E"/>
    <w:rsid w:val="0015314C"/>
    <w:rsid w:val="0015318A"/>
    <w:rsid w:val="001532A9"/>
    <w:rsid w:val="001532CA"/>
    <w:rsid w:val="00153333"/>
    <w:rsid w:val="0015337E"/>
    <w:rsid w:val="001535AA"/>
    <w:rsid w:val="00153920"/>
    <w:rsid w:val="00153B7D"/>
    <w:rsid w:val="00153C8B"/>
    <w:rsid w:val="00153D59"/>
    <w:rsid w:val="00153D67"/>
    <w:rsid w:val="00153E6F"/>
    <w:rsid w:val="00153EE9"/>
    <w:rsid w:val="001541F7"/>
    <w:rsid w:val="00154203"/>
    <w:rsid w:val="001542DC"/>
    <w:rsid w:val="001543F3"/>
    <w:rsid w:val="00154642"/>
    <w:rsid w:val="00154855"/>
    <w:rsid w:val="0015487C"/>
    <w:rsid w:val="00154949"/>
    <w:rsid w:val="00154A3A"/>
    <w:rsid w:val="0015502E"/>
    <w:rsid w:val="0015504F"/>
    <w:rsid w:val="00155214"/>
    <w:rsid w:val="0015525C"/>
    <w:rsid w:val="001552A1"/>
    <w:rsid w:val="00155309"/>
    <w:rsid w:val="00155347"/>
    <w:rsid w:val="00155357"/>
    <w:rsid w:val="001555CC"/>
    <w:rsid w:val="0015569E"/>
    <w:rsid w:val="001557F5"/>
    <w:rsid w:val="00155813"/>
    <w:rsid w:val="00155877"/>
    <w:rsid w:val="001558F1"/>
    <w:rsid w:val="0015597E"/>
    <w:rsid w:val="00155B7B"/>
    <w:rsid w:val="00155D98"/>
    <w:rsid w:val="001560FA"/>
    <w:rsid w:val="001563FB"/>
    <w:rsid w:val="001565FA"/>
    <w:rsid w:val="0015672A"/>
    <w:rsid w:val="001567BB"/>
    <w:rsid w:val="00156ACE"/>
    <w:rsid w:val="00156FBE"/>
    <w:rsid w:val="0015726F"/>
    <w:rsid w:val="00157341"/>
    <w:rsid w:val="001575A2"/>
    <w:rsid w:val="00157616"/>
    <w:rsid w:val="00157668"/>
    <w:rsid w:val="001579C7"/>
    <w:rsid w:val="00157A59"/>
    <w:rsid w:val="00157AFF"/>
    <w:rsid w:val="00157C96"/>
    <w:rsid w:val="00157CB3"/>
    <w:rsid w:val="00157F46"/>
    <w:rsid w:val="001600DA"/>
    <w:rsid w:val="00160151"/>
    <w:rsid w:val="00160176"/>
    <w:rsid w:val="00160234"/>
    <w:rsid w:val="00160295"/>
    <w:rsid w:val="0016066F"/>
    <w:rsid w:val="00160736"/>
    <w:rsid w:val="00160782"/>
    <w:rsid w:val="00160870"/>
    <w:rsid w:val="00160E2F"/>
    <w:rsid w:val="00161086"/>
    <w:rsid w:val="0016126B"/>
    <w:rsid w:val="00161381"/>
    <w:rsid w:val="0016153B"/>
    <w:rsid w:val="001617D6"/>
    <w:rsid w:val="00161825"/>
    <w:rsid w:val="00161897"/>
    <w:rsid w:val="001618CC"/>
    <w:rsid w:val="00161B88"/>
    <w:rsid w:val="00161C5C"/>
    <w:rsid w:val="00161E00"/>
    <w:rsid w:val="00161E68"/>
    <w:rsid w:val="001620D1"/>
    <w:rsid w:val="001622D3"/>
    <w:rsid w:val="001625D9"/>
    <w:rsid w:val="001625E4"/>
    <w:rsid w:val="00162791"/>
    <w:rsid w:val="00162A19"/>
    <w:rsid w:val="00162BB9"/>
    <w:rsid w:val="00162D00"/>
    <w:rsid w:val="00162ECB"/>
    <w:rsid w:val="001630B6"/>
    <w:rsid w:val="001631A9"/>
    <w:rsid w:val="001632AF"/>
    <w:rsid w:val="001632E7"/>
    <w:rsid w:val="001635F7"/>
    <w:rsid w:val="00163850"/>
    <w:rsid w:val="00163A7A"/>
    <w:rsid w:val="00163B70"/>
    <w:rsid w:val="00163B90"/>
    <w:rsid w:val="001642DC"/>
    <w:rsid w:val="00164343"/>
    <w:rsid w:val="001643C0"/>
    <w:rsid w:val="00164417"/>
    <w:rsid w:val="00164428"/>
    <w:rsid w:val="00164541"/>
    <w:rsid w:val="00164752"/>
    <w:rsid w:val="00164A97"/>
    <w:rsid w:val="00164B4D"/>
    <w:rsid w:val="00164B76"/>
    <w:rsid w:val="00164BC5"/>
    <w:rsid w:val="00164DD2"/>
    <w:rsid w:val="00165141"/>
    <w:rsid w:val="0016519A"/>
    <w:rsid w:val="001654AF"/>
    <w:rsid w:val="0016556D"/>
    <w:rsid w:val="00165686"/>
    <w:rsid w:val="001656FA"/>
    <w:rsid w:val="00165716"/>
    <w:rsid w:val="00165882"/>
    <w:rsid w:val="00165B9D"/>
    <w:rsid w:val="00165BC7"/>
    <w:rsid w:val="001661A1"/>
    <w:rsid w:val="00166599"/>
    <w:rsid w:val="00166668"/>
    <w:rsid w:val="001668B6"/>
    <w:rsid w:val="001668D2"/>
    <w:rsid w:val="001669E2"/>
    <w:rsid w:val="00166B9A"/>
    <w:rsid w:val="00166D26"/>
    <w:rsid w:val="00166E6D"/>
    <w:rsid w:val="001676BD"/>
    <w:rsid w:val="00167714"/>
    <w:rsid w:val="00167A93"/>
    <w:rsid w:val="00167AC9"/>
    <w:rsid w:val="00167BDE"/>
    <w:rsid w:val="00167C0C"/>
    <w:rsid w:val="00167C75"/>
    <w:rsid w:val="00167C76"/>
    <w:rsid w:val="00167D58"/>
    <w:rsid w:val="00167F31"/>
    <w:rsid w:val="00167F3A"/>
    <w:rsid w:val="00170139"/>
    <w:rsid w:val="001701A7"/>
    <w:rsid w:val="001703A3"/>
    <w:rsid w:val="00170403"/>
    <w:rsid w:val="0017057B"/>
    <w:rsid w:val="00170719"/>
    <w:rsid w:val="0017071F"/>
    <w:rsid w:val="001707F4"/>
    <w:rsid w:val="00170C66"/>
    <w:rsid w:val="00170ED1"/>
    <w:rsid w:val="00170EDF"/>
    <w:rsid w:val="00170F5F"/>
    <w:rsid w:val="00170F74"/>
    <w:rsid w:val="00171082"/>
    <w:rsid w:val="0017111D"/>
    <w:rsid w:val="001712D4"/>
    <w:rsid w:val="001712DF"/>
    <w:rsid w:val="001718E0"/>
    <w:rsid w:val="00171A6E"/>
    <w:rsid w:val="00171B79"/>
    <w:rsid w:val="00171C11"/>
    <w:rsid w:val="00171C5E"/>
    <w:rsid w:val="00171DAB"/>
    <w:rsid w:val="00171F2E"/>
    <w:rsid w:val="00171FEF"/>
    <w:rsid w:val="001722D9"/>
    <w:rsid w:val="001724F5"/>
    <w:rsid w:val="0017250C"/>
    <w:rsid w:val="00172584"/>
    <w:rsid w:val="001729BF"/>
    <w:rsid w:val="001729D8"/>
    <w:rsid w:val="00172A04"/>
    <w:rsid w:val="00172A25"/>
    <w:rsid w:val="00172B8D"/>
    <w:rsid w:val="00172EC6"/>
    <w:rsid w:val="001730A2"/>
    <w:rsid w:val="001731EE"/>
    <w:rsid w:val="00173297"/>
    <w:rsid w:val="00173679"/>
    <w:rsid w:val="001736F6"/>
    <w:rsid w:val="00173717"/>
    <w:rsid w:val="0017389B"/>
    <w:rsid w:val="001738A3"/>
    <w:rsid w:val="00173B01"/>
    <w:rsid w:val="00173C92"/>
    <w:rsid w:val="00173CF5"/>
    <w:rsid w:val="00173E07"/>
    <w:rsid w:val="00173E2F"/>
    <w:rsid w:val="00173E4B"/>
    <w:rsid w:val="00173F13"/>
    <w:rsid w:val="00174052"/>
    <w:rsid w:val="0017405C"/>
    <w:rsid w:val="00174068"/>
    <w:rsid w:val="00174189"/>
    <w:rsid w:val="0017456D"/>
    <w:rsid w:val="001745FB"/>
    <w:rsid w:val="0017481D"/>
    <w:rsid w:val="00174992"/>
    <w:rsid w:val="00174A3D"/>
    <w:rsid w:val="00175143"/>
    <w:rsid w:val="0017570B"/>
    <w:rsid w:val="00175737"/>
    <w:rsid w:val="00175A57"/>
    <w:rsid w:val="00175D91"/>
    <w:rsid w:val="00175DD8"/>
    <w:rsid w:val="00175F56"/>
    <w:rsid w:val="001764C0"/>
    <w:rsid w:val="00176561"/>
    <w:rsid w:val="001765C8"/>
    <w:rsid w:val="00176822"/>
    <w:rsid w:val="00176BCB"/>
    <w:rsid w:val="00176BF1"/>
    <w:rsid w:val="0017715C"/>
    <w:rsid w:val="001771E6"/>
    <w:rsid w:val="0017738D"/>
    <w:rsid w:val="001773E9"/>
    <w:rsid w:val="001777CF"/>
    <w:rsid w:val="0017799D"/>
    <w:rsid w:val="001779E3"/>
    <w:rsid w:val="00177CC1"/>
    <w:rsid w:val="00177D75"/>
    <w:rsid w:val="0018008A"/>
    <w:rsid w:val="0018040D"/>
    <w:rsid w:val="0018044D"/>
    <w:rsid w:val="00180671"/>
    <w:rsid w:val="00180771"/>
    <w:rsid w:val="00180883"/>
    <w:rsid w:val="001808C5"/>
    <w:rsid w:val="00180C74"/>
    <w:rsid w:val="00180DEF"/>
    <w:rsid w:val="00180F91"/>
    <w:rsid w:val="00180FC6"/>
    <w:rsid w:val="00180FEE"/>
    <w:rsid w:val="00181088"/>
    <w:rsid w:val="00181260"/>
    <w:rsid w:val="00181310"/>
    <w:rsid w:val="00181364"/>
    <w:rsid w:val="00181731"/>
    <w:rsid w:val="001817EB"/>
    <w:rsid w:val="001819B2"/>
    <w:rsid w:val="00181A84"/>
    <w:rsid w:val="00181B0A"/>
    <w:rsid w:val="0018207E"/>
    <w:rsid w:val="0018210E"/>
    <w:rsid w:val="001821C9"/>
    <w:rsid w:val="001821FF"/>
    <w:rsid w:val="001823C1"/>
    <w:rsid w:val="001823EE"/>
    <w:rsid w:val="001823F6"/>
    <w:rsid w:val="001825E2"/>
    <w:rsid w:val="00182756"/>
    <w:rsid w:val="001828B9"/>
    <w:rsid w:val="001829D1"/>
    <w:rsid w:val="00182BCB"/>
    <w:rsid w:val="00182ECE"/>
    <w:rsid w:val="00182FBD"/>
    <w:rsid w:val="00183092"/>
    <w:rsid w:val="001833A4"/>
    <w:rsid w:val="001834F1"/>
    <w:rsid w:val="001835AB"/>
    <w:rsid w:val="00183630"/>
    <w:rsid w:val="00183901"/>
    <w:rsid w:val="00183BD6"/>
    <w:rsid w:val="00183E05"/>
    <w:rsid w:val="00183EE3"/>
    <w:rsid w:val="00183F13"/>
    <w:rsid w:val="00184398"/>
    <w:rsid w:val="001845CE"/>
    <w:rsid w:val="00184739"/>
    <w:rsid w:val="00184A27"/>
    <w:rsid w:val="00184BB6"/>
    <w:rsid w:val="00184DAE"/>
    <w:rsid w:val="00184E0A"/>
    <w:rsid w:val="00184E9E"/>
    <w:rsid w:val="00184EA2"/>
    <w:rsid w:val="00184F4D"/>
    <w:rsid w:val="00185234"/>
    <w:rsid w:val="001857DA"/>
    <w:rsid w:val="00185857"/>
    <w:rsid w:val="001859DC"/>
    <w:rsid w:val="00185A51"/>
    <w:rsid w:val="00185A5D"/>
    <w:rsid w:val="00185C3E"/>
    <w:rsid w:val="00185E28"/>
    <w:rsid w:val="00185E76"/>
    <w:rsid w:val="00185F58"/>
    <w:rsid w:val="00186180"/>
    <w:rsid w:val="001861A1"/>
    <w:rsid w:val="00186269"/>
    <w:rsid w:val="0018637B"/>
    <w:rsid w:val="0018658B"/>
    <w:rsid w:val="00186835"/>
    <w:rsid w:val="001869E0"/>
    <w:rsid w:val="00186AA0"/>
    <w:rsid w:val="00186AEF"/>
    <w:rsid w:val="00186C09"/>
    <w:rsid w:val="00186DE9"/>
    <w:rsid w:val="00187034"/>
    <w:rsid w:val="001870E3"/>
    <w:rsid w:val="0018725D"/>
    <w:rsid w:val="00187440"/>
    <w:rsid w:val="00187477"/>
    <w:rsid w:val="001874D9"/>
    <w:rsid w:val="00187658"/>
    <w:rsid w:val="00187741"/>
    <w:rsid w:val="0018779B"/>
    <w:rsid w:val="0018782C"/>
    <w:rsid w:val="001879D8"/>
    <w:rsid w:val="00187D27"/>
    <w:rsid w:val="00187D9D"/>
    <w:rsid w:val="001900A3"/>
    <w:rsid w:val="001900DC"/>
    <w:rsid w:val="0019012F"/>
    <w:rsid w:val="0019042E"/>
    <w:rsid w:val="0019051F"/>
    <w:rsid w:val="00190535"/>
    <w:rsid w:val="0019058A"/>
    <w:rsid w:val="001908B8"/>
    <w:rsid w:val="001908DD"/>
    <w:rsid w:val="001909A6"/>
    <w:rsid w:val="001909A8"/>
    <w:rsid w:val="001909B5"/>
    <w:rsid w:val="00190B51"/>
    <w:rsid w:val="00190E8B"/>
    <w:rsid w:val="0019109A"/>
    <w:rsid w:val="001910E3"/>
    <w:rsid w:val="001912C7"/>
    <w:rsid w:val="00191544"/>
    <w:rsid w:val="001917AA"/>
    <w:rsid w:val="00191941"/>
    <w:rsid w:val="00191A3E"/>
    <w:rsid w:val="00191A6B"/>
    <w:rsid w:val="00191BBD"/>
    <w:rsid w:val="00191C02"/>
    <w:rsid w:val="00191D02"/>
    <w:rsid w:val="00191D3E"/>
    <w:rsid w:val="00191E60"/>
    <w:rsid w:val="00191E94"/>
    <w:rsid w:val="00191F65"/>
    <w:rsid w:val="00191FBF"/>
    <w:rsid w:val="0019203A"/>
    <w:rsid w:val="0019228A"/>
    <w:rsid w:val="00192294"/>
    <w:rsid w:val="001922CD"/>
    <w:rsid w:val="001922D9"/>
    <w:rsid w:val="001923A1"/>
    <w:rsid w:val="00192416"/>
    <w:rsid w:val="0019269D"/>
    <w:rsid w:val="001926C6"/>
    <w:rsid w:val="00192808"/>
    <w:rsid w:val="0019286E"/>
    <w:rsid w:val="00192906"/>
    <w:rsid w:val="00192ADB"/>
    <w:rsid w:val="00192FC9"/>
    <w:rsid w:val="00192FEA"/>
    <w:rsid w:val="001930ED"/>
    <w:rsid w:val="001933C8"/>
    <w:rsid w:val="001934D0"/>
    <w:rsid w:val="001934FD"/>
    <w:rsid w:val="001935F1"/>
    <w:rsid w:val="001936DC"/>
    <w:rsid w:val="00193B80"/>
    <w:rsid w:val="00193CDC"/>
    <w:rsid w:val="00193E26"/>
    <w:rsid w:val="0019403B"/>
    <w:rsid w:val="0019428E"/>
    <w:rsid w:val="00194290"/>
    <w:rsid w:val="001942AB"/>
    <w:rsid w:val="0019433C"/>
    <w:rsid w:val="00194590"/>
    <w:rsid w:val="001945E2"/>
    <w:rsid w:val="0019473E"/>
    <w:rsid w:val="001948C7"/>
    <w:rsid w:val="00194B34"/>
    <w:rsid w:val="00194BA2"/>
    <w:rsid w:val="00194D31"/>
    <w:rsid w:val="00194D52"/>
    <w:rsid w:val="0019500A"/>
    <w:rsid w:val="00195066"/>
    <w:rsid w:val="001951DF"/>
    <w:rsid w:val="001952A3"/>
    <w:rsid w:val="001952D1"/>
    <w:rsid w:val="0019531C"/>
    <w:rsid w:val="0019556C"/>
    <w:rsid w:val="00195670"/>
    <w:rsid w:val="00195971"/>
    <w:rsid w:val="00195976"/>
    <w:rsid w:val="001959DB"/>
    <w:rsid w:val="00195DDE"/>
    <w:rsid w:val="00195E9C"/>
    <w:rsid w:val="001961E5"/>
    <w:rsid w:val="001964C7"/>
    <w:rsid w:val="00196515"/>
    <w:rsid w:val="001967FD"/>
    <w:rsid w:val="00196A23"/>
    <w:rsid w:val="00196C83"/>
    <w:rsid w:val="00196CAE"/>
    <w:rsid w:val="00196DA0"/>
    <w:rsid w:val="00196DF9"/>
    <w:rsid w:val="00196FD6"/>
    <w:rsid w:val="00197000"/>
    <w:rsid w:val="0019711E"/>
    <w:rsid w:val="0019728F"/>
    <w:rsid w:val="001972E6"/>
    <w:rsid w:val="0019761B"/>
    <w:rsid w:val="00197733"/>
    <w:rsid w:val="001977C8"/>
    <w:rsid w:val="00197979"/>
    <w:rsid w:val="00197B28"/>
    <w:rsid w:val="00197C50"/>
    <w:rsid w:val="00197CDD"/>
    <w:rsid w:val="00197D85"/>
    <w:rsid w:val="00197E09"/>
    <w:rsid w:val="00197E7C"/>
    <w:rsid w:val="001A011B"/>
    <w:rsid w:val="001A011D"/>
    <w:rsid w:val="001A01B2"/>
    <w:rsid w:val="001A026A"/>
    <w:rsid w:val="001A032F"/>
    <w:rsid w:val="001A03E4"/>
    <w:rsid w:val="001A04CA"/>
    <w:rsid w:val="001A06DF"/>
    <w:rsid w:val="001A0795"/>
    <w:rsid w:val="001A096F"/>
    <w:rsid w:val="001A09D3"/>
    <w:rsid w:val="001A0A3A"/>
    <w:rsid w:val="001A0B26"/>
    <w:rsid w:val="001A0B94"/>
    <w:rsid w:val="001A0C1D"/>
    <w:rsid w:val="001A11A0"/>
    <w:rsid w:val="001A13EE"/>
    <w:rsid w:val="001A1456"/>
    <w:rsid w:val="001A15E1"/>
    <w:rsid w:val="001A17AF"/>
    <w:rsid w:val="001A1960"/>
    <w:rsid w:val="001A1A66"/>
    <w:rsid w:val="001A1B14"/>
    <w:rsid w:val="001A1B42"/>
    <w:rsid w:val="001A1E22"/>
    <w:rsid w:val="001A1E35"/>
    <w:rsid w:val="001A1EC2"/>
    <w:rsid w:val="001A1FAF"/>
    <w:rsid w:val="001A2055"/>
    <w:rsid w:val="001A208C"/>
    <w:rsid w:val="001A22FF"/>
    <w:rsid w:val="001A2769"/>
    <w:rsid w:val="001A27B8"/>
    <w:rsid w:val="001A2981"/>
    <w:rsid w:val="001A29D5"/>
    <w:rsid w:val="001A2B07"/>
    <w:rsid w:val="001A2D20"/>
    <w:rsid w:val="001A2EDE"/>
    <w:rsid w:val="001A310B"/>
    <w:rsid w:val="001A3328"/>
    <w:rsid w:val="001A3330"/>
    <w:rsid w:val="001A3352"/>
    <w:rsid w:val="001A358B"/>
    <w:rsid w:val="001A3967"/>
    <w:rsid w:val="001A3D84"/>
    <w:rsid w:val="001A3F30"/>
    <w:rsid w:val="001A3FDE"/>
    <w:rsid w:val="001A432C"/>
    <w:rsid w:val="001A4567"/>
    <w:rsid w:val="001A46A7"/>
    <w:rsid w:val="001A47D9"/>
    <w:rsid w:val="001A48D5"/>
    <w:rsid w:val="001A4930"/>
    <w:rsid w:val="001A4A3A"/>
    <w:rsid w:val="001A4BCD"/>
    <w:rsid w:val="001A4BD8"/>
    <w:rsid w:val="001A4CC8"/>
    <w:rsid w:val="001A4D49"/>
    <w:rsid w:val="001A4E01"/>
    <w:rsid w:val="001A4F46"/>
    <w:rsid w:val="001A5442"/>
    <w:rsid w:val="001A560E"/>
    <w:rsid w:val="001A57B7"/>
    <w:rsid w:val="001A57F6"/>
    <w:rsid w:val="001A588B"/>
    <w:rsid w:val="001A5978"/>
    <w:rsid w:val="001A5A45"/>
    <w:rsid w:val="001A5A4F"/>
    <w:rsid w:val="001A5A77"/>
    <w:rsid w:val="001A5DEF"/>
    <w:rsid w:val="001A5DF2"/>
    <w:rsid w:val="001A5E3A"/>
    <w:rsid w:val="001A6031"/>
    <w:rsid w:val="001A635A"/>
    <w:rsid w:val="001A63D5"/>
    <w:rsid w:val="001A672B"/>
    <w:rsid w:val="001A672D"/>
    <w:rsid w:val="001A69FB"/>
    <w:rsid w:val="001A6ABC"/>
    <w:rsid w:val="001A716A"/>
    <w:rsid w:val="001A753D"/>
    <w:rsid w:val="001A774E"/>
    <w:rsid w:val="001A77F2"/>
    <w:rsid w:val="001A791C"/>
    <w:rsid w:val="001A7DBE"/>
    <w:rsid w:val="001A7E13"/>
    <w:rsid w:val="001A7EA6"/>
    <w:rsid w:val="001A7EC6"/>
    <w:rsid w:val="001B0039"/>
    <w:rsid w:val="001B0191"/>
    <w:rsid w:val="001B030E"/>
    <w:rsid w:val="001B0470"/>
    <w:rsid w:val="001B047C"/>
    <w:rsid w:val="001B04C2"/>
    <w:rsid w:val="001B0514"/>
    <w:rsid w:val="001B0728"/>
    <w:rsid w:val="001B072D"/>
    <w:rsid w:val="001B0845"/>
    <w:rsid w:val="001B0A07"/>
    <w:rsid w:val="001B0CA0"/>
    <w:rsid w:val="001B0D41"/>
    <w:rsid w:val="001B0D5B"/>
    <w:rsid w:val="001B0D8E"/>
    <w:rsid w:val="001B11EF"/>
    <w:rsid w:val="001B1459"/>
    <w:rsid w:val="001B14ED"/>
    <w:rsid w:val="001B158A"/>
    <w:rsid w:val="001B173B"/>
    <w:rsid w:val="001B17E1"/>
    <w:rsid w:val="001B1823"/>
    <w:rsid w:val="001B18A8"/>
    <w:rsid w:val="001B191E"/>
    <w:rsid w:val="001B1B7B"/>
    <w:rsid w:val="001B1CDC"/>
    <w:rsid w:val="001B21AB"/>
    <w:rsid w:val="001B21EB"/>
    <w:rsid w:val="001B22DC"/>
    <w:rsid w:val="001B248E"/>
    <w:rsid w:val="001B2556"/>
    <w:rsid w:val="001B2746"/>
    <w:rsid w:val="001B286F"/>
    <w:rsid w:val="001B288B"/>
    <w:rsid w:val="001B28D3"/>
    <w:rsid w:val="001B29C8"/>
    <w:rsid w:val="001B2E3E"/>
    <w:rsid w:val="001B3536"/>
    <w:rsid w:val="001B36F0"/>
    <w:rsid w:val="001B3849"/>
    <w:rsid w:val="001B39FF"/>
    <w:rsid w:val="001B3A39"/>
    <w:rsid w:val="001B3A65"/>
    <w:rsid w:val="001B3C06"/>
    <w:rsid w:val="001B3C08"/>
    <w:rsid w:val="001B3D35"/>
    <w:rsid w:val="001B3D36"/>
    <w:rsid w:val="001B400E"/>
    <w:rsid w:val="001B4230"/>
    <w:rsid w:val="001B4459"/>
    <w:rsid w:val="001B470B"/>
    <w:rsid w:val="001B4726"/>
    <w:rsid w:val="001B48AD"/>
    <w:rsid w:val="001B48FE"/>
    <w:rsid w:val="001B4AF8"/>
    <w:rsid w:val="001B4C5A"/>
    <w:rsid w:val="001B4D04"/>
    <w:rsid w:val="001B4D69"/>
    <w:rsid w:val="001B4EAD"/>
    <w:rsid w:val="001B504A"/>
    <w:rsid w:val="001B5305"/>
    <w:rsid w:val="001B5469"/>
    <w:rsid w:val="001B561F"/>
    <w:rsid w:val="001B580F"/>
    <w:rsid w:val="001B5820"/>
    <w:rsid w:val="001B58F3"/>
    <w:rsid w:val="001B597C"/>
    <w:rsid w:val="001B5B94"/>
    <w:rsid w:val="001B5E40"/>
    <w:rsid w:val="001B5ED4"/>
    <w:rsid w:val="001B60D8"/>
    <w:rsid w:val="001B6284"/>
    <w:rsid w:val="001B63E7"/>
    <w:rsid w:val="001B64B4"/>
    <w:rsid w:val="001B658A"/>
    <w:rsid w:val="001B66DF"/>
    <w:rsid w:val="001B67F9"/>
    <w:rsid w:val="001B6B7D"/>
    <w:rsid w:val="001B6C51"/>
    <w:rsid w:val="001B6CB6"/>
    <w:rsid w:val="001B6D65"/>
    <w:rsid w:val="001B6E21"/>
    <w:rsid w:val="001B6E6B"/>
    <w:rsid w:val="001B6F7A"/>
    <w:rsid w:val="001B72E5"/>
    <w:rsid w:val="001B740E"/>
    <w:rsid w:val="001B7499"/>
    <w:rsid w:val="001B7560"/>
    <w:rsid w:val="001B77F3"/>
    <w:rsid w:val="001B79F1"/>
    <w:rsid w:val="001B7B8D"/>
    <w:rsid w:val="001B7C70"/>
    <w:rsid w:val="001C023E"/>
    <w:rsid w:val="001C026E"/>
    <w:rsid w:val="001C0512"/>
    <w:rsid w:val="001C07CB"/>
    <w:rsid w:val="001C08FC"/>
    <w:rsid w:val="001C09E3"/>
    <w:rsid w:val="001C0B8D"/>
    <w:rsid w:val="001C104A"/>
    <w:rsid w:val="001C10BC"/>
    <w:rsid w:val="001C1128"/>
    <w:rsid w:val="001C1239"/>
    <w:rsid w:val="001C127F"/>
    <w:rsid w:val="001C155C"/>
    <w:rsid w:val="001C170F"/>
    <w:rsid w:val="001C1B6F"/>
    <w:rsid w:val="001C1D71"/>
    <w:rsid w:val="001C1EE0"/>
    <w:rsid w:val="001C1F61"/>
    <w:rsid w:val="001C2436"/>
    <w:rsid w:val="001C243B"/>
    <w:rsid w:val="001C2482"/>
    <w:rsid w:val="001C25DB"/>
    <w:rsid w:val="001C27D8"/>
    <w:rsid w:val="001C2BEF"/>
    <w:rsid w:val="001C2F16"/>
    <w:rsid w:val="001C310D"/>
    <w:rsid w:val="001C3156"/>
    <w:rsid w:val="001C3202"/>
    <w:rsid w:val="001C3394"/>
    <w:rsid w:val="001C369B"/>
    <w:rsid w:val="001C3813"/>
    <w:rsid w:val="001C381B"/>
    <w:rsid w:val="001C3C6F"/>
    <w:rsid w:val="001C3EFF"/>
    <w:rsid w:val="001C3FD0"/>
    <w:rsid w:val="001C4117"/>
    <w:rsid w:val="001C44F0"/>
    <w:rsid w:val="001C4787"/>
    <w:rsid w:val="001C484F"/>
    <w:rsid w:val="001C48F2"/>
    <w:rsid w:val="001C4B0D"/>
    <w:rsid w:val="001C4E68"/>
    <w:rsid w:val="001C5117"/>
    <w:rsid w:val="001C51F7"/>
    <w:rsid w:val="001C525A"/>
    <w:rsid w:val="001C532F"/>
    <w:rsid w:val="001C542E"/>
    <w:rsid w:val="001C54A4"/>
    <w:rsid w:val="001C56A1"/>
    <w:rsid w:val="001C5734"/>
    <w:rsid w:val="001C5975"/>
    <w:rsid w:val="001C59C4"/>
    <w:rsid w:val="001C5D17"/>
    <w:rsid w:val="001C5E05"/>
    <w:rsid w:val="001C5E3A"/>
    <w:rsid w:val="001C615A"/>
    <w:rsid w:val="001C625C"/>
    <w:rsid w:val="001C634F"/>
    <w:rsid w:val="001C647F"/>
    <w:rsid w:val="001C6484"/>
    <w:rsid w:val="001C64FD"/>
    <w:rsid w:val="001C65C2"/>
    <w:rsid w:val="001C6641"/>
    <w:rsid w:val="001C6646"/>
    <w:rsid w:val="001C66CB"/>
    <w:rsid w:val="001C68D1"/>
    <w:rsid w:val="001C6B3A"/>
    <w:rsid w:val="001C6C25"/>
    <w:rsid w:val="001C6E5A"/>
    <w:rsid w:val="001C740E"/>
    <w:rsid w:val="001C75A2"/>
    <w:rsid w:val="001C75F7"/>
    <w:rsid w:val="001C766D"/>
    <w:rsid w:val="001C788B"/>
    <w:rsid w:val="001C7A69"/>
    <w:rsid w:val="001C7E08"/>
    <w:rsid w:val="001C7E49"/>
    <w:rsid w:val="001C7EFA"/>
    <w:rsid w:val="001D0197"/>
    <w:rsid w:val="001D02D5"/>
    <w:rsid w:val="001D0318"/>
    <w:rsid w:val="001D0325"/>
    <w:rsid w:val="001D04D3"/>
    <w:rsid w:val="001D0533"/>
    <w:rsid w:val="001D056F"/>
    <w:rsid w:val="001D05C7"/>
    <w:rsid w:val="001D0605"/>
    <w:rsid w:val="001D09B7"/>
    <w:rsid w:val="001D0A5E"/>
    <w:rsid w:val="001D0B07"/>
    <w:rsid w:val="001D0C36"/>
    <w:rsid w:val="001D0C8C"/>
    <w:rsid w:val="001D0E1B"/>
    <w:rsid w:val="001D0F2D"/>
    <w:rsid w:val="001D0F97"/>
    <w:rsid w:val="001D103B"/>
    <w:rsid w:val="001D1118"/>
    <w:rsid w:val="001D11F2"/>
    <w:rsid w:val="001D121D"/>
    <w:rsid w:val="001D1335"/>
    <w:rsid w:val="001D1578"/>
    <w:rsid w:val="001D19CF"/>
    <w:rsid w:val="001D1AB3"/>
    <w:rsid w:val="001D1AF3"/>
    <w:rsid w:val="001D1D8D"/>
    <w:rsid w:val="001D1ED7"/>
    <w:rsid w:val="001D2022"/>
    <w:rsid w:val="001D2107"/>
    <w:rsid w:val="001D217D"/>
    <w:rsid w:val="001D221A"/>
    <w:rsid w:val="001D22D2"/>
    <w:rsid w:val="001D2321"/>
    <w:rsid w:val="001D2442"/>
    <w:rsid w:val="001D25D0"/>
    <w:rsid w:val="001D2625"/>
    <w:rsid w:val="001D2979"/>
    <w:rsid w:val="001D297D"/>
    <w:rsid w:val="001D29B8"/>
    <w:rsid w:val="001D2B22"/>
    <w:rsid w:val="001D2D09"/>
    <w:rsid w:val="001D2D29"/>
    <w:rsid w:val="001D3109"/>
    <w:rsid w:val="001D31EE"/>
    <w:rsid w:val="001D324E"/>
    <w:rsid w:val="001D327B"/>
    <w:rsid w:val="001D34F1"/>
    <w:rsid w:val="001D3570"/>
    <w:rsid w:val="001D36C0"/>
    <w:rsid w:val="001D3758"/>
    <w:rsid w:val="001D3901"/>
    <w:rsid w:val="001D39A9"/>
    <w:rsid w:val="001D39AD"/>
    <w:rsid w:val="001D3AFD"/>
    <w:rsid w:val="001D3CDF"/>
    <w:rsid w:val="001D4352"/>
    <w:rsid w:val="001D43AD"/>
    <w:rsid w:val="001D4612"/>
    <w:rsid w:val="001D496B"/>
    <w:rsid w:val="001D49EA"/>
    <w:rsid w:val="001D4A7D"/>
    <w:rsid w:val="001D4A87"/>
    <w:rsid w:val="001D4AAF"/>
    <w:rsid w:val="001D4AF6"/>
    <w:rsid w:val="001D4DEF"/>
    <w:rsid w:val="001D5004"/>
    <w:rsid w:val="001D510C"/>
    <w:rsid w:val="001D5178"/>
    <w:rsid w:val="001D5189"/>
    <w:rsid w:val="001D553A"/>
    <w:rsid w:val="001D55BA"/>
    <w:rsid w:val="001D55E0"/>
    <w:rsid w:val="001D5641"/>
    <w:rsid w:val="001D568F"/>
    <w:rsid w:val="001D59C6"/>
    <w:rsid w:val="001D60F7"/>
    <w:rsid w:val="001D6340"/>
    <w:rsid w:val="001D6407"/>
    <w:rsid w:val="001D6416"/>
    <w:rsid w:val="001D641A"/>
    <w:rsid w:val="001D6757"/>
    <w:rsid w:val="001D6895"/>
    <w:rsid w:val="001D6EA5"/>
    <w:rsid w:val="001D7129"/>
    <w:rsid w:val="001D714C"/>
    <w:rsid w:val="001D747C"/>
    <w:rsid w:val="001D76D5"/>
    <w:rsid w:val="001D7881"/>
    <w:rsid w:val="001D7A50"/>
    <w:rsid w:val="001D7AF2"/>
    <w:rsid w:val="001D7B21"/>
    <w:rsid w:val="001D7B5C"/>
    <w:rsid w:val="001E001F"/>
    <w:rsid w:val="001E0381"/>
    <w:rsid w:val="001E040A"/>
    <w:rsid w:val="001E040E"/>
    <w:rsid w:val="001E05FE"/>
    <w:rsid w:val="001E0623"/>
    <w:rsid w:val="001E0727"/>
    <w:rsid w:val="001E078B"/>
    <w:rsid w:val="001E07F0"/>
    <w:rsid w:val="001E082A"/>
    <w:rsid w:val="001E0930"/>
    <w:rsid w:val="001E09CC"/>
    <w:rsid w:val="001E0A1D"/>
    <w:rsid w:val="001E0A2E"/>
    <w:rsid w:val="001E0AAF"/>
    <w:rsid w:val="001E0B88"/>
    <w:rsid w:val="001E0B95"/>
    <w:rsid w:val="001E0C80"/>
    <w:rsid w:val="001E0CFC"/>
    <w:rsid w:val="001E0EEF"/>
    <w:rsid w:val="001E0FE1"/>
    <w:rsid w:val="001E101A"/>
    <w:rsid w:val="001E1100"/>
    <w:rsid w:val="001E111C"/>
    <w:rsid w:val="001E124C"/>
    <w:rsid w:val="001E1488"/>
    <w:rsid w:val="001E163B"/>
    <w:rsid w:val="001E17DC"/>
    <w:rsid w:val="001E17E9"/>
    <w:rsid w:val="001E181A"/>
    <w:rsid w:val="001E19CB"/>
    <w:rsid w:val="001E1A20"/>
    <w:rsid w:val="001E1AF1"/>
    <w:rsid w:val="001E1B9C"/>
    <w:rsid w:val="001E1D7D"/>
    <w:rsid w:val="001E1D9C"/>
    <w:rsid w:val="001E1DED"/>
    <w:rsid w:val="001E1FAB"/>
    <w:rsid w:val="001E21EB"/>
    <w:rsid w:val="001E226A"/>
    <w:rsid w:val="001E22A7"/>
    <w:rsid w:val="001E244A"/>
    <w:rsid w:val="001E2526"/>
    <w:rsid w:val="001E259E"/>
    <w:rsid w:val="001E2715"/>
    <w:rsid w:val="001E2768"/>
    <w:rsid w:val="001E2D2B"/>
    <w:rsid w:val="001E2D6A"/>
    <w:rsid w:val="001E2F2D"/>
    <w:rsid w:val="001E2FAC"/>
    <w:rsid w:val="001E310C"/>
    <w:rsid w:val="001E32F3"/>
    <w:rsid w:val="001E3311"/>
    <w:rsid w:val="001E34E3"/>
    <w:rsid w:val="001E37FD"/>
    <w:rsid w:val="001E3843"/>
    <w:rsid w:val="001E394A"/>
    <w:rsid w:val="001E3AAD"/>
    <w:rsid w:val="001E3AC2"/>
    <w:rsid w:val="001E3AC8"/>
    <w:rsid w:val="001E3BDD"/>
    <w:rsid w:val="001E3C2B"/>
    <w:rsid w:val="001E3F21"/>
    <w:rsid w:val="001E40BA"/>
    <w:rsid w:val="001E40ED"/>
    <w:rsid w:val="001E429F"/>
    <w:rsid w:val="001E43C1"/>
    <w:rsid w:val="001E44BE"/>
    <w:rsid w:val="001E4534"/>
    <w:rsid w:val="001E459C"/>
    <w:rsid w:val="001E45BF"/>
    <w:rsid w:val="001E47EF"/>
    <w:rsid w:val="001E49EE"/>
    <w:rsid w:val="001E4C02"/>
    <w:rsid w:val="001E4C73"/>
    <w:rsid w:val="001E4D0E"/>
    <w:rsid w:val="001E4D21"/>
    <w:rsid w:val="001E514E"/>
    <w:rsid w:val="001E5199"/>
    <w:rsid w:val="001E520D"/>
    <w:rsid w:val="001E5267"/>
    <w:rsid w:val="001E570D"/>
    <w:rsid w:val="001E5988"/>
    <w:rsid w:val="001E59A8"/>
    <w:rsid w:val="001E5A0C"/>
    <w:rsid w:val="001E5A6C"/>
    <w:rsid w:val="001E5ADD"/>
    <w:rsid w:val="001E5D59"/>
    <w:rsid w:val="001E5E7D"/>
    <w:rsid w:val="001E5EE5"/>
    <w:rsid w:val="001E5F10"/>
    <w:rsid w:val="001E61E5"/>
    <w:rsid w:val="001E6472"/>
    <w:rsid w:val="001E64AE"/>
    <w:rsid w:val="001E6A76"/>
    <w:rsid w:val="001E6BB7"/>
    <w:rsid w:val="001E6C37"/>
    <w:rsid w:val="001E6CFA"/>
    <w:rsid w:val="001E6ECA"/>
    <w:rsid w:val="001E7076"/>
    <w:rsid w:val="001E7336"/>
    <w:rsid w:val="001E7694"/>
    <w:rsid w:val="001E76A6"/>
    <w:rsid w:val="001E77B2"/>
    <w:rsid w:val="001E7BE3"/>
    <w:rsid w:val="001E7BF8"/>
    <w:rsid w:val="001E7EC7"/>
    <w:rsid w:val="001E7F36"/>
    <w:rsid w:val="001F0359"/>
    <w:rsid w:val="001F0534"/>
    <w:rsid w:val="001F053A"/>
    <w:rsid w:val="001F06CF"/>
    <w:rsid w:val="001F10D5"/>
    <w:rsid w:val="001F1293"/>
    <w:rsid w:val="001F13AB"/>
    <w:rsid w:val="001F16EA"/>
    <w:rsid w:val="001F16FB"/>
    <w:rsid w:val="001F191E"/>
    <w:rsid w:val="001F195B"/>
    <w:rsid w:val="001F19D9"/>
    <w:rsid w:val="001F1A27"/>
    <w:rsid w:val="001F1A71"/>
    <w:rsid w:val="001F1C12"/>
    <w:rsid w:val="001F1C43"/>
    <w:rsid w:val="001F1E75"/>
    <w:rsid w:val="001F21FA"/>
    <w:rsid w:val="001F2432"/>
    <w:rsid w:val="001F2594"/>
    <w:rsid w:val="001F2640"/>
    <w:rsid w:val="001F276F"/>
    <w:rsid w:val="001F2907"/>
    <w:rsid w:val="001F2911"/>
    <w:rsid w:val="001F2B65"/>
    <w:rsid w:val="001F2D73"/>
    <w:rsid w:val="001F2E41"/>
    <w:rsid w:val="001F3024"/>
    <w:rsid w:val="001F3517"/>
    <w:rsid w:val="001F35B5"/>
    <w:rsid w:val="001F362C"/>
    <w:rsid w:val="001F3684"/>
    <w:rsid w:val="001F36D5"/>
    <w:rsid w:val="001F3700"/>
    <w:rsid w:val="001F381E"/>
    <w:rsid w:val="001F38C6"/>
    <w:rsid w:val="001F3970"/>
    <w:rsid w:val="001F3B55"/>
    <w:rsid w:val="001F3CB6"/>
    <w:rsid w:val="001F3D65"/>
    <w:rsid w:val="001F3E63"/>
    <w:rsid w:val="001F40EF"/>
    <w:rsid w:val="001F41F9"/>
    <w:rsid w:val="001F4388"/>
    <w:rsid w:val="001F463A"/>
    <w:rsid w:val="001F4692"/>
    <w:rsid w:val="001F46D7"/>
    <w:rsid w:val="001F46EA"/>
    <w:rsid w:val="001F486E"/>
    <w:rsid w:val="001F4CAE"/>
    <w:rsid w:val="001F4CEE"/>
    <w:rsid w:val="001F4E34"/>
    <w:rsid w:val="001F4FEF"/>
    <w:rsid w:val="001F5082"/>
    <w:rsid w:val="001F5089"/>
    <w:rsid w:val="001F50C8"/>
    <w:rsid w:val="001F52E0"/>
    <w:rsid w:val="001F5305"/>
    <w:rsid w:val="001F537C"/>
    <w:rsid w:val="001F5390"/>
    <w:rsid w:val="001F554C"/>
    <w:rsid w:val="001F5685"/>
    <w:rsid w:val="001F5B43"/>
    <w:rsid w:val="001F5C32"/>
    <w:rsid w:val="001F5D6D"/>
    <w:rsid w:val="001F5D85"/>
    <w:rsid w:val="001F5E8E"/>
    <w:rsid w:val="001F636D"/>
    <w:rsid w:val="001F65F2"/>
    <w:rsid w:val="001F6627"/>
    <w:rsid w:val="001F6630"/>
    <w:rsid w:val="001F66C7"/>
    <w:rsid w:val="001F66E4"/>
    <w:rsid w:val="001F6734"/>
    <w:rsid w:val="001F6775"/>
    <w:rsid w:val="001F6AF0"/>
    <w:rsid w:val="001F6C55"/>
    <w:rsid w:val="001F6DA0"/>
    <w:rsid w:val="001F7517"/>
    <w:rsid w:val="001F7C7C"/>
    <w:rsid w:val="001F7C95"/>
    <w:rsid w:val="001F7D06"/>
    <w:rsid w:val="001F7D59"/>
    <w:rsid w:val="002001D5"/>
    <w:rsid w:val="002001FA"/>
    <w:rsid w:val="00200414"/>
    <w:rsid w:val="002005FB"/>
    <w:rsid w:val="002006CD"/>
    <w:rsid w:val="002006DA"/>
    <w:rsid w:val="002007B1"/>
    <w:rsid w:val="00200A4C"/>
    <w:rsid w:val="00200A63"/>
    <w:rsid w:val="00200B93"/>
    <w:rsid w:val="00200E24"/>
    <w:rsid w:val="00200F44"/>
    <w:rsid w:val="00200F62"/>
    <w:rsid w:val="00200F7F"/>
    <w:rsid w:val="002010D4"/>
    <w:rsid w:val="00201117"/>
    <w:rsid w:val="002011DA"/>
    <w:rsid w:val="002011F3"/>
    <w:rsid w:val="0020120E"/>
    <w:rsid w:val="002013CD"/>
    <w:rsid w:val="00201553"/>
    <w:rsid w:val="00201629"/>
    <w:rsid w:val="0020169B"/>
    <w:rsid w:val="002017C3"/>
    <w:rsid w:val="00201845"/>
    <w:rsid w:val="00201A5D"/>
    <w:rsid w:val="00201C1B"/>
    <w:rsid w:val="00201E2C"/>
    <w:rsid w:val="00201E36"/>
    <w:rsid w:val="00201E51"/>
    <w:rsid w:val="00201ED4"/>
    <w:rsid w:val="0020215B"/>
    <w:rsid w:val="00202212"/>
    <w:rsid w:val="002022F9"/>
    <w:rsid w:val="00202826"/>
    <w:rsid w:val="0020288A"/>
    <w:rsid w:val="002028AE"/>
    <w:rsid w:val="00202A5C"/>
    <w:rsid w:val="00202BC7"/>
    <w:rsid w:val="00202C0F"/>
    <w:rsid w:val="00202C4E"/>
    <w:rsid w:val="00202C54"/>
    <w:rsid w:val="00202CBB"/>
    <w:rsid w:val="00202F73"/>
    <w:rsid w:val="00202F92"/>
    <w:rsid w:val="00202F9B"/>
    <w:rsid w:val="00203029"/>
    <w:rsid w:val="0020336F"/>
    <w:rsid w:val="00203388"/>
    <w:rsid w:val="002035DB"/>
    <w:rsid w:val="0020369A"/>
    <w:rsid w:val="002037D3"/>
    <w:rsid w:val="00203A71"/>
    <w:rsid w:val="00203F82"/>
    <w:rsid w:val="00204088"/>
    <w:rsid w:val="002040B8"/>
    <w:rsid w:val="002041ED"/>
    <w:rsid w:val="00204265"/>
    <w:rsid w:val="002042B4"/>
    <w:rsid w:val="002042CE"/>
    <w:rsid w:val="00204313"/>
    <w:rsid w:val="002043A4"/>
    <w:rsid w:val="00204422"/>
    <w:rsid w:val="00204433"/>
    <w:rsid w:val="00204448"/>
    <w:rsid w:val="00204CA7"/>
    <w:rsid w:val="00204EED"/>
    <w:rsid w:val="00204F8D"/>
    <w:rsid w:val="00204FA5"/>
    <w:rsid w:val="00205093"/>
    <w:rsid w:val="002050B8"/>
    <w:rsid w:val="002053B0"/>
    <w:rsid w:val="002055B2"/>
    <w:rsid w:val="00205624"/>
    <w:rsid w:val="002056C9"/>
    <w:rsid w:val="0020575E"/>
    <w:rsid w:val="00205773"/>
    <w:rsid w:val="00205D6B"/>
    <w:rsid w:val="00205DA4"/>
    <w:rsid w:val="00206083"/>
    <w:rsid w:val="0020642A"/>
    <w:rsid w:val="00206A1D"/>
    <w:rsid w:val="00206A58"/>
    <w:rsid w:val="00206DB0"/>
    <w:rsid w:val="00206DC4"/>
    <w:rsid w:val="00206E19"/>
    <w:rsid w:val="00206E92"/>
    <w:rsid w:val="00207003"/>
    <w:rsid w:val="002073B0"/>
    <w:rsid w:val="002074AF"/>
    <w:rsid w:val="002074C3"/>
    <w:rsid w:val="002075C5"/>
    <w:rsid w:val="00207669"/>
    <w:rsid w:val="00207789"/>
    <w:rsid w:val="002078DB"/>
    <w:rsid w:val="00207A63"/>
    <w:rsid w:val="00207AD4"/>
    <w:rsid w:val="00207E30"/>
    <w:rsid w:val="00207E76"/>
    <w:rsid w:val="00210177"/>
    <w:rsid w:val="00210309"/>
    <w:rsid w:val="002103E3"/>
    <w:rsid w:val="0021047C"/>
    <w:rsid w:val="00210595"/>
    <w:rsid w:val="0021084B"/>
    <w:rsid w:val="00210B91"/>
    <w:rsid w:val="00210D53"/>
    <w:rsid w:val="0021115E"/>
    <w:rsid w:val="002114B0"/>
    <w:rsid w:val="00211503"/>
    <w:rsid w:val="002116A2"/>
    <w:rsid w:val="00211B07"/>
    <w:rsid w:val="00211BEA"/>
    <w:rsid w:val="00211DB9"/>
    <w:rsid w:val="00211EF2"/>
    <w:rsid w:val="00212197"/>
    <w:rsid w:val="002121BB"/>
    <w:rsid w:val="002123E5"/>
    <w:rsid w:val="002123F7"/>
    <w:rsid w:val="002124AE"/>
    <w:rsid w:val="00212877"/>
    <w:rsid w:val="002128DD"/>
    <w:rsid w:val="00212AC0"/>
    <w:rsid w:val="00212AEC"/>
    <w:rsid w:val="00212E85"/>
    <w:rsid w:val="00213227"/>
    <w:rsid w:val="00213367"/>
    <w:rsid w:val="00213406"/>
    <w:rsid w:val="00213936"/>
    <w:rsid w:val="0021393C"/>
    <w:rsid w:val="002139F5"/>
    <w:rsid w:val="002139F9"/>
    <w:rsid w:val="00213A15"/>
    <w:rsid w:val="00213D3A"/>
    <w:rsid w:val="002142A1"/>
    <w:rsid w:val="00214324"/>
    <w:rsid w:val="00214326"/>
    <w:rsid w:val="00214346"/>
    <w:rsid w:val="002143B2"/>
    <w:rsid w:val="002143DE"/>
    <w:rsid w:val="002143FA"/>
    <w:rsid w:val="002145F8"/>
    <w:rsid w:val="002146F4"/>
    <w:rsid w:val="00214722"/>
    <w:rsid w:val="002149E9"/>
    <w:rsid w:val="00214B9A"/>
    <w:rsid w:val="00214BAE"/>
    <w:rsid w:val="00214BB3"/>
    <w:rsid w:val="00214CA7"/>
    <w:rsid w:val="00214CAA"/>
    <w:rsid w:val="00215117"/>
    <w:rsid w:val="00215119"/>
    <w:rsid w:val="0021513A"/>
    <w:rsid w:val="0021533E"/>
    <w:rsid w:val="00215429"/>
    <w:rsid w:val="00215763"/>
    <w:rsid w:val="00215838"/>
    <w:rsid w:val="00215BBD"/>
    <w:rsid w:val="00215D3F"/>
    <w:rsid w:val="00215DA3"/>
    <w:rsid w:val="00215DDF"/>
    <w:rsid w:val="00215EE5"/>
    <w:rsid w:val="00215F1C"/>
    <w:rsid w:val="002160EB"/>
    <w:rsid w:val="00216175"/>
    <w:rsid w:val="002162A7"/>
    <w:rsid w:val="002162EB"/>
    <w:rsid w:val="00216363"/>
    <w:rsid w:val="00216760"/>
    <w:rsid w:val="00216B67"/>
    <w:rsid w:val="00216CB2"/>
    <w:rsid w:val="002170AD"/>
    <w:rsid w:val="002171A1"/>
    <w:rsid w:val="0021720C"/>
    <w:rsid w:val="00217518"/>
    <w:rsid w:val="002175CB"/>
    <w:rsid w:val="00217604"/>
    <w:rsid w:val="002176C6"/>
    <w:rsid w:val="002178F9"/>
    <w:rsid w:val="00217990"/>
    <w:rsid w:val="002179C0"/>
    <w:rsid w:val="00217B3B"/>
    <w:rsid w:val="00217C0D"/>
    <w:rsid w:val="00220005"/>
    <w:rsid w:val="002202B9"/>
    <w:rsid w:val="002204E3"/>
    <w:rsid w:val="002207AE"/>
    <w:rsid w:val="00220849"/>
    <w:rsid w:val="00220853"/>
    <w:rsid w:val="00220954"/>
    <w:rsid w:val="00220AD1"/>
    <w:rsid w:val="00220B19"/>
    <w:rsid w:val="00220BDA"/>
    <w:rsid w:val="00220C12"/>
    <w:rsid w:val="00220E27"/>
    <w:rsid w:val="00220E35"/>
    <w:rsid w:val="002211D7"/>
    <w:rsid w:val="00221304"/>
    <w:rsid w:val="00221336"/>
    <w:rsid w:val="002214A7"/>
    <w:rsid w:val="002218EC"/>
    <w:rsid w:val="0022194C"/>
    <w:rsid w:val="00221969"/>
    <w:rsid w:val="00221CFE"/>
    <w:rsid w:val="00221DAB"/>
    <w:rsid w:val="00221F58"/>
    <w:rsid w:val="00221FBC"/>
    <w:rsid w:val="0022203A"/>
    <w:rsid w:val="00222094"/>
    <w:rsid w:val="00222260"/>
    <w:rsid w:val="0022245F"/>
    <w:rsid w:val="0022280B"/>
    <w:rsid w:val="0022283D"/>
    <w:rsid w:val="00222884"/>
    <w:rsid w:val="00222ADD"/>
    <w:rsid w:val="00222CBF"/>
    <w:rsid w:val="00222DB3"/>
    <w:rsid w:val="00222DF9"/>
    <w:rsid w:val="00222FE3"/>
    <w:rsid w:val="002230C4"/>
    <w:rsid w:val="00223402"/>
    <w:rsid w:val="00223465"/>
    <w:rsid w:val="002235A6"/>
    <w:rsid w:val="00223674"/>
    <w:rsid w:val="0022391F"/>
    <w:rsid w:val="00223B36"/>
    <w:rsid w:val="00223C29"/>
    <w:rsid w:val="00223CB8"/>
    <w:rsid w:val="00223EB7"/>
    <w:rsid w:val="002240ED"/>
    <w:rsid w:val="00224215"/>
    <w:rsid w:val="00224277"/>
    <w:rsid w:val="002243F7"/>
    <w:rsid w:val="00224640"/>
    <w:rsid w:val="0022485F"/>
    <w:rsid w:val="00224963"/>
    <w:rsid w:val="00224C7A"/>
    <w:rsid w:val="00224CA6"/>
    <w:rsid w:val="00224E82"/>
    <w:rsid w:val="00224EA6"/>
    <w:rsid w:val="002250E0"/>
    <w:rsid w:val="00225328"/>
    <w:rsid w:val="002253E0"/>
    <w:rsid w:val="002255C8"/>
    <w:rsid w:val="0022597E"/>
    <w:rsid w:val="002259C7"/>
    <w:rsid w:val="002259CF"/>
    <w:rsid w:val="002259E4"/>
    <w:rsid w:val="00225ACA"/>
    <w:rsid w:val="00225ADD"/>
    <w:rsid w:val="00225B2E"/>
    <w:rsid w:val="00225BC0"/>
    <w:rsid w:val="00226469"/>
    <w:rsid w:val="002264AF"/>
    <w:rsid w:val="002266DF"/>
    <w:rsid w:val="0022674C"/>
    <w:rsid w:val="002267E9"/>
    <w:rsid w:val="00226810"/>
    <w:rsid w:val="0022682B"/>
    <w:rsid w:val="0022684A"/>
    <w:rsid w:val="002268CD"/>
    <w:rsid w:val="00226939"/>
    <w:rsid w:val="00226A02"/>
    <w:rsid w:val="00226B31"/>
    <w:rsid w:val="00226CA7"/>
    <w:rsid w:val="00226D49"/>
    <w:rsid w:val="00226D68"/>
    <w:rsid w:val="00226E47"/>
    <w:rsid w:val="00226F78"/>
    <w:rsid w:val="00227095"/>
    <w:rsid w:val="002270CD"/>
    <w:rsid w:val="002270F2"/>
    <w:rsid w:val="00227397"/>
    <w:rsid w:val="002273CA"/>
    <w:rsid w:val="00227738"/>
    <w:rsid w:val="00227876"/>
    <w:rsid w:val="0022792E"/>
    <w:rsid w:val="00227A3D"/>
    <w:rsid w:val="00227AB1"/>
    <w:rsid w:val="00227CA8"/>
    <w:rsid w:val="0023004D"/>
    <w:rsid w:val="002301F3"/>
    <w:rsid w:val="00230714"/>
    <w:rsid w:val="00230879"/>
    <w:rsid w:val="00230952"/>
    <w:rsid w:val="00230AAF"/>
    <w:rsid w:val="00230DD5"/>
    <w:rsid w:val="00230DF3"/>
    <w:rsid w:val="00231050"/>
    <w:rsid w:val="00231120"/>
    <w:rsid w:val="002311E9"/>
    <w:rsid w:val="00231BD2"/>
    <w:rsid w:val="00231C34"/>
    <w:rsid w:val="00231D5D"/>
    <w:rsid w:val="00231EE9"/>
    <w:rsid w:val="002320C9"/>
    <w:rsid w:val="00232524"/>
    <w:rsid w:val="00232603"/>
    <w:rsid w:val="0023263C"/>
    <w:rsid w:val="00232796"/>
    <w:rsid w:val="00232859"/>
    <w:rsid w:val="002329AF"/>
    <w:rsid w:val="00232B4C"/>
    <w:rsid w:val="00232CBA"/>
    <w:rsid w:val="00232D95"/>
    <w:rsid w:val="00232DDB"/>
    <w:rsid w:val="00232EF7"/>
    <w:rsid w:val="0023303B"/>
    <w:rsid w:val="002331E0"/>
    <w:rsid w:val="00233437"/>
    <w:rsid w:val="00233589"/>
    <w:rsid w:val="002336EE"/>
    <w:rsid w:val="002339CC"/>
    <w:rsid w:val="002339FC"/>
    <w:rsid w:val="00233A33"/>
    <w:rsid w:val="00233A8A"/>
    <w:rsid w:val="00233E9A"/>
    <w:rsid w:val="00234155"/>
    <w:rsid w:val="0023429E"/>
    <w:rsid w:val="00234409"/>
    <w:rsid w:val="002346A2"/>
    <w:rsid w:val="002348E3"/>
    <w:rsid w:val="00234935"/>
    <w:rsid w:val="00234A76"/>
    <w:rsid w:val="00234DBB"/>
    <w:rsid w:val="00234DF4"/>
    <w:rsid w:val="00234F66"/>
    <w:rsid w:val="0023510E"/>
    <w:rsid w:val="00235172"/>
    <w:rsid w:val="002352F9"/>
    <w:rsid w:val="002357CF"/>
    <w:rsid w:val="00235905"/>
    <w:rsid w:val="0023595A"/>
    <w:rsid w:val="00235A4A"/>
    <w:rsid w:val="00235D34"/>
    <w:rsid w:val="00235D82"/>
    <w:rsid w:val="00235FEE"/>
    <w:rsid w:val="002360BB"/>
    <w:rsid w:val="002360BF"/>
    <w:rsid w:val="002363B1"/>
    <w:rsid w:val="002363EF"/>
    <w:rsid w:val="0023643B"/>
    <w:rsid w:val="0023658E"/>
    <w:rsid w:val="002365C4"/>
    <w:rsid w:val="00236754"/>
    <w:rsid w:val="00236A3B"/>
    <w:rsid w:val="00236ABA"/>
    <w:rsid w:val="00236CA0"/>
    <w:rsid w:val="00236F7F"/>
    <w:rsid w:val="002371DD"/>
    <w:rsid w:val="002373CD"/>
    <w:rsid w:val="0023749E"/>
    <w:rsid w:val="0023797B"/>
    <w:rsid w:val="00237AF6"/>
    <w:rsid w:val="00237B88"/>
    <w:rsid w:val="002402F8"/>
    <w:rsid w:val="0024030E"/>
    <w:rsid w:val="00240391"/>
    <w:rsid w:val="002408A7"/>
    <w:rsid w:val="00240AE3"/>
    <w:rsid w:val="00240B31"/>
    <w:rsid w:val="00240D69"/>
    <w:rsid w:val="00240F1A"/>
    <w:rsid w:val="00240F54"/>
    <w:rsid w:val="00241084"/>
    <w:rsid w:val="00241135"/>
    <w:rsid w:val="0024119E"/>
    <w:rsid w:val="00241619"/>
    <w:rsid w:val="002416E3"/>
    <w:rsid w:val="00241700"/>
    <w:rsid w:val="00241832"/>
    <w:rsid w:val="0024187D"/>
    <w:rsid w:val="00241898"/>
    <w:rsid w:val="00241978"/>
    <w:rsid w:val="002419CB"/>
    <w:rsid w:val="00241B56"/>
    <w:rsid w:val="00241C5B"/>
    <w:rsid w:val="00241D61"/>
    <w:rsid w:val="00241DF5"/>
    <w:rsid w:val="00241E2B"/>
    <w:rsid w:val="00241EF4"/>
    <w:rsid w:val="002423EC"/>
    <w:rsid w:val="002425AD"/>
    <w:rsid w:val="00242735"/>
    <w:rsid w:val="002427A7"/>
    <w:rsid w:val="002427F1"/>
    <w:rsid w:val="0024298B"/>
    <w:rsid w:val="00242D1C"/>
    <w:rsid w:val="00242E02"/>
    <w:rsid w:val="00242F62"/>
    <w:rsid w:val="00242F85"/>
    <w:rsid w:val="00243118"/>
    <w:rsid w:val="00243274"/>
    <w:rsid w:val="00243287"/>
    <w:rsid w:val="00243418"/>
    <w:rsid w:val="002434D7"/>
    <w:rsid w:val="002436D0"/>
    <w:rsid w:val="00243993"/>
    <w:rsid w:val="00243F3A"/>
    <w:rsid w:val="00244246"/>
    <w:rsid w:val="0024441F"/>
    <w:rsid w:val="0024446E"/>
    <w:rsid w:val="00244579"/>
    <w:rsid w:val="00244588"/>
    <w:rsid w:val="0024479F"/>
    <w:rsid w:val="00244848"/>
    <w:rsid w:val="002448F4"/>
    <w:rsid w:val="00244A4E"/>
    <w:rsid w:val="00244A90"/>
    <w:rsid w:val="00244ACA"/>
    <w:rsid w:val="00244B8C"/>
    <w:rsid w:val="0024510F"/>
    <w:rsid w:val="002451D5"/>
    <w:rsid w:val="00245276"/>
    <w:rsid w:val="00245363"/>
    <w:rsid w:val="00245541"/>
    <w:rsid w:val="00245572"/>
    <w:rsid w:val="0024573F"/>
    <w:rsid w:val="00245748"/>
    <w:rsid w:val="00245752"/>
    <w:rsid w:val="00245777"/>
    <w:rsid w:val="0024592C"/>
    <w:rsid w:val="00245978"/>
    <w:rsid w:val="002459E9"/>
    <w:rsid w:val="00245D6C"/>
    <w:rsid w:val="00246032"/>
    <w:rsid w:val="00246075"/>
    <w:rsid w:val="00246169"/>
    <w:rsid w:val="0024629A"/>
    <w:rsid w:val="00246520"/>
    <w:rsid w:val="002467E5"/>
    <w:rsid w:val="0024686F"/>
    <w:rsid w:val="00246874"/>
    <w:rsid w:val="00246B6A"/>
    <w:rsid w:val="00246CA3"/>
    <w:rsid w:val="00246DBB"/>
    <w:rsid w:val="00246DE0"/>
    <w:rsid w:val="00246EF9"/>
    <w:rsid w:val="00247072"/>
    <w:rsid w:val="002472F4"/>
    <w:rsid w:val="00247388"/>
    <w:rsid w:val="00247492"/>
    <w:rsid w:val="002474E5"/>
    <w:rsid w:val="0024754D"/>
    <w:rsid w:val="00247A46"/>
    <w:rsid w:val="00247AD0"/>
    <w:rsid w:val="00247B74"/>
    <w:rsid w:val="00247BC8"/>
    <w:rsid w:val="00247CD2"/>
    <w:rsid w:val="00247E54"/>
    <w:rsid w:val="002500FF"/>
    <w:rsid w:val="002501D5"/>
    <w:rsid w:val="002501E4"/>
    <w:rsid w:val="00250232"/>
    <w:rsid w:val="00250289"/>
    <w:rsid w:val="002502D3"/>
    <w:rsid w:val="0025058C"/>
    <w:rsid w:val="002505E6"/>
    <w:rsid w:val="002506C0"/>
    <w:rsid w:val="00250768"/>
    <w:rsid w:val="00250800"/>
    <w:rsid w:val="0025090B"/>
    <w:rsid w:val="0025094F"/>
    <w:rsid w:val="00250B33"/>
    <w:rsid w:val="00250B58"/>
    <w:rsid w:val="00250D74"/>
    <w:rsid w:val="00251063"/>
    <w:rsid w:val="00251108"/>
    <w:rsid w:val="00251728"/>
    <w:rsid w:val="002519AA"/>
    <w:rsid w:val="00251E26"/>
    <w:rsid w:val="002520BF"/>
    <w:rsid w:val="00252488"/>
    <w:rsid w:val="002525CF"/>
    <w:rsid w:val="00252804"/>
    <w:rsid w:val="0025286A"/>
    <w:rsid w:val="002528D1"/>
    <w:rsid w:val="0025296D"/>
    <w:rsid w:val="002529D2"/>
    <w:rsid w:val="00252B64"/>
    <w:rsid w:val="00252D27"/>
    <w:rsid w:val="00252F2B"/>
    <w:rsid w:val="00252F55"/>
    <w:rsid w:val="00252F73"/>
    <w:rsid w:val="00252FEA"/>
    <w:rsid w:val="0025301A"/>
    <w:rsid w:val="00253214"/>
    <w:rsid w:val="00253361"/>
    <w:rsid w:val="002534F8"/>
    <w:rsid w:val="002535FC"/>
    <w:rsid w:val="00253811"/>
    <w:rsid w:val="002538EB"/>
    <w:rsid w:val="0025392D"/>
    <w:rsid w:val="00253B54"/>
    <w:rsid w:val="00253BAB"/>
    <w:rsid w:val="00253C86"/>
    <w:rsid w:val="00253C96"/>
    <w:rsid w:val="00253E32"/>
    <w:rsid w:val="002540EE"/>
    <w:rsid w:val="002540F5"/>
    <w:rsid w:val="00254362"/>
    <w:rsid w:val="00254396"/>
    <w:rsid w:val="002543D3"/>
    <w:rsid w:val="002544BD"/>
    <w:rsid w:val="00254524"/>
    <w:rsid w:val="002548B6"/>
    <w:rsid w:val="00254A08"/>
    <w:rsid w:val="00254E7D"/>
    <w:rsid w:val="00254FA2"/>
    <w:rsid w:val="002550AE"/>
    <w:rsid w:val="00255C5B"/>
    <w:rsid w:val="00255C8F"/>
    <w:rsid w:val="00255D0F"/>
    <w:rsid w:val="00255D31"/>
    <w:rsid w:val="00255F7C"/>
    <w:rsid w:val="00256221"/>
    <w:rsid w:val="002563A1"/>
    <w:rsid w:val="002567FA"/>
    <w:rsid w:val="0025690E"/>
    <w:rsid w:val="00256950"/>
    <w:rsid w:val="002569F9"/>
    <w:rsid w:val="00256D33"/>
    <w:rsid w:val="00256D51"/>
    <w:rsid w:val="002573E9"/>
    <w:rsid w:val="00257413"/>
    <w:rsid w:val="002575F5"/>
    <w:rsid w:val="002576F1"/>
    <w:rsid w:val="0025774E"/>
    <w:rsid w:val="00257854"/>
    <w:rsid w:val="00257E7A"/>
    <w:rsid w:val="00257F33"/>
    <w:rsid w:val="00260021"/>
    <w:rsid w:val="00260078"/>
    <w:rsid w:val="0026011E"/>
    <w:rsid w:val="002601E6"/>
    <w:rsid w:val="00260419"/>
    <w:rsid w:val="00260598"/>
    <w:rsid w:val="00260623"/>
    <w:rsid w:val="0026096A"/>
    <w:rsid w:val="00260AD1"/>
    <w:rsid w:val="00260B35"/>
    <w:rsid w:val="00260BEC"/>
    <w:rsid w:val="00260F13"/>
    <w:rsid w:val="00261088"/>
    <w:rsid w:val="002613EE"/>
    <w:rsid w:val="00261526"/>
    <w:rsid w:val="002617C0"/>
    <w:rsid w:val="0026188F"/>
    <w:rsid w:val="00261BB6"/>
    <w:rsid w:val="00261DBE"/>
    <w:rsid w:val="00261EDC"/>
    <w:rsid w:val="00262081"/>
    <w:rsid w:val="002620B4"/>
    <w:rsid w:val="00262121"/>
    <w:rsid w:val="002623A2"/>
    <w:rsid w:val="0026271C"/>
    <w:rsid w:val="00262741"/>
    <w:rsid w:val="002629D8"/>
    <w:rsid w:val="00262A61"/>
    <w:rsid w:val="00262C41"/>
    <w:rsid w:val="00262C56"/>
    <w:rsid w:val="00262DE7"/>
    <w:rsid w:val="00262E6A"/>
    <w:rsid w:val="00262E75"/>
    <w:rsid w:val="00263039"/>
    <w:rsid w:val="0026303D"/>
    <w:rsid w:val="002639EC"/>
    <w:rsid w:val="00263C5C"/>
    <w:rsid w:val="00263D9E"/>
    <w:rsid w:val="00263EDB"/>
    <w:rsid w:val="002640D4"/>
    <w:rsid w:val="002640DE"/>
    <w:rsid w:val="00264124"/>
    <w:rsid w:val="0026436F"/>
    <w:rsid w:val="002643A1"/>
    <w:rsid w:val="002647F5"/>
    <w:rsid w:val="00264864"/>
    <w:rsid w:val="002648B2"/>
    <w:rsid w:val="0026492C"/>
    <w:rsid w:val="0026495F"/>
    <w:rsid w:val="00264974"/>
    <w:rsid w:val="00264B4C"/>
    <w:rsid w:val="00264B72"/>
    <w:rsid w:val="00264E59"/>
    <w:rsid w:val="002652E7"/>
    <w:rsid w:val="002654E0"/>
    <w:rsid w:val="00265893"/>
    <w:rsid w:val="0026599C"/>
    <w:rsid w:val="00265A32"/>
    <w:rsid w:val="00265C0A"/>
    <w:rsid w:val="00265ED0"/>
    <w:rsid w:val="00265EF7"/>
    <w:rsid w:val="00265EFB"/>
    <w:rsid w:val="002661C0"/>
    <w:rsid w:val="00266450"/>
    <w:rsid w:val="002664F3"/>
    <w:rsid w:val="002665F0"/>
    <w:rsid w:val="002667CB"/>
    <w:rsid w:val="00266A40"/>
    <w:rsid w:val="00266C50"/>
    <w:rsid w:val="00266E23"/>
    <w:rsid w:val="002670AE"/>
    <w:rsid w:val="00267252"/>
    <w:rsid w:val="00267287"/>
    <w:rsid w:val="0026728B"/>
    <w:rsid w:val="0026734D"/>
    <w:rsid w:val="002673FB"/>
    <w:rsid w:val="00267996"/>
    <w:rsid w:val="002679C6"/>
    <w:rsid w:val="002679D3"/>
    <w:rsid w:val="00267A83"/>
    <w:rsid w:val="00267B32"/>
    <w:rsid w:val="00267D1F"/>
    <w:rsid w:val="00267F7D"/>
    <w:rsid w:val="002701FF"/>
    <w:rsid w:val="00270447"/>
    <w:rsid w:val="002704BF"/>
    <w:rsid w:val="00270547"/>
    <w:rsid w:val="0027054A"/>
    <w:rsid w:val="002705BC"/>
    <w:rsid w:val="00270D4C"/>
    <w:rsid w:val="00270F53"/>
    <w:rsid w:val="0027101E"/>
    <w:rsid w:val="0027117A"/>
    <w:rsid w:val="002715BA"/>
    <w:rsid w:val="00271796"/>
    <w:rsid w:val="002717E6"/>
    <w:rsid w:val="002718EB"/>
    <w:rsid w:val="00271971"/>
    <w:rsid w:val="0027199C"/>
    <w:rsid w:val="00271B83"/>
    <w:rsid w:val="00271C03"/>
    <w:rsid w:val="00271D1D"/>
    <w:rsid w:val="00271DCD"/>
    <w:rsid w:val="00271ED1"/>
    <w:rsid w:val="00272234"/>
    <w:rsid w:val="00272383"/>
    <w:rsid w:val="002724F2"/>
    <w:rsid w:val="0027258A"/>
    <w:rsid w:val="002725B6"/>
    <w:rsid w:val="00272659"/>
    <w:rsid w:val="00272868"/>
    <w:rsid w:val="0027292A"/>
    <w:rsid w:val="00272A64"/>
    <w:rsid w:val="00272C78"/>
    <w:rsid w:val="00272D6B"/>
    <w:rsid w:val="00272D7A"/>
    <w:rsid w:val="00272EF7"/>
    <w:rsid w:val="00273161"/>
    <w:rsid w:val="002731E0"/>
    <w:rsid w:val="00273772"/>
    <w:rsid w:val="00273933"/>
    <w:rsid w:val="0027396F"/>
    <w:rsid w:val="00273EF6"/>
    <w:rsid w:val="002740FB"/>
    <w:rsid w:val="002741F9"/>
    <w:rsid w:val="0027421D"/>
    <w:rsid w:val="0027441B"/>
    <w:rsid w:val="0027452C"/>
    <w:rsid w:val="002745A4"/>
    <w:rsid w:val="00274671"/>
    <w:rsid w:val="002747A4"/>
    <w:rsid w:val="00274C09"/>
    <w:rsid w:val="00274DE5"/>
    <w:rsid w:val="00275022"/>
    <w:rsid w:val="0027511C"/>
    <w:rsid w:val="00275126"/>
    <w:rsid w:val="002752D6"/>
    <w:rsid w:val="0027531D"/>
    <w:rsid w:val="00275396"/>
    <w:rsid w:val="00275553"/>
    <w:rsid w:val="00275878"/>
    <w:rsid w:val="0027599B"/>
    <w:rsid w:val="002759D6"/>
    <w:rsid w:val="00275A84"/>
    <w:rsid w:val="00275A87"/>
    <w:rsid w:val="00275C87"/>
    <w:rsid w:val="00275C88"/>
    <w:rsid w:val="00275D1B"/>
    <w:rsid w:val="00276007"/>
    <w:rsid w:val="00276117"/>
    <w:rsid w:val="00276199"/>
    <w:rsid w:val="002762A1"/>
    <w:rsid w:val="002766FA"/>
    <w:rsid w:val="00276791"/>
    <w:rsid w:val="002767A6"/>
    <w:rsid w:val="002768FC"/>
    <w:rsid w:val="002769CF"/>
    <w:rsid w:val="00276A1C"/>
    <w:rsid w:val="00276C1E"/>
    <w:rsid w:val="00276C39"/>
    <w:rsid w:val="00276D1F"/>
    <w:rsid w:val="00276D28"/>
    <w:rsid w:val="00276E4C"/>
    <w:rsid w:val="00276F3F"/>
    <w:rsid w:val="002770D6"/>
    <w:rsid w:val="0027724E"/>
    <w:rsid w:val="00277600"/>
    <w:rsid w:val="0027793A"/>
    <w:rsid w:val="00277A72"/>
    <w:rsid w:val="00277D0D"/>
    <w:rsid w:val="00277DD1"/>
    <w:rsid w:val="00277FF4"/>
    <w:rsid w:val="0028011D"/>
    <w:rsid w:val="0028012B"/>
    <w:rsid w:val="0028018F"/>
    <w:rsid w:val="002803DE"/>
    <w:rsid w:val="00280662"/>
    <w:rsid w:val="00280688"/>
    <w:rsid w:val="00280778"/>
    <w:rsid w:val="002807B0"/>
    <w:rsid w:val="00280A2A"/>
    <w:rsid w:val="00280CDD"/>
    <w:rsid w:val="00280DDB"/>
    <w:rsid w:val="00280EBC"/>
    <w:rsid w:val="002810E2"/>
    <w:rsid w:val="002811B1"/>
    <w:rsid w:val="0028124A"/>
    <w:rsid w:val="00281448"/>
    <w:rsid w:val="0028179A"/>
    <w:rsid w:val="002818F4"/>
    <w:rsid w:val="00281C18"/>
    <w:rsid w:val="00281CA0"/>
    <w:rsid w:val="00281E0E"/>
    <w:rsid w:val="00281E32"/>
    <w:rsid w:val="00281E80"/>
    <w:rsid w:val="00281ED0"/>
    <w:rsid w:val="00281ED8"/>
    <w:rsid w:val="00281FE8"/>
    <w:rsid w:val="0028243C"/>
    <w:rsid w:val="00282601"/>
    <w:rsid w:val="002826D3"/>
    <w:rsid w:val="00282892"/>
    <w:rsid w:val="002828C1"/>
    <w:rsid w:val="00282AE9"/>
    <w:rsid w:val="00282C13"/>
    <w:rsid w:val="002832C3"/>
    <w:rsid w:val="002832D1"/>
    <w:rsid w:val="002833A5"/>
    <w:rsid w:val="00283569"/>
    <w:rsid w:val="00283610"/>
    <w:rsid w:val="002836F3"/>
    <w:rsid w:val="0028376F"/>
    <w:rsid w:val="00283C4F"/>
    <w:rsid w:val="00283C8E"/>
    <w:rsid w:val="00283D7C"/>
    <w:rsid w:val="00283ECD"/>
    <w:rsid w:val="002840B7"/>
    <w:rsid w:val="00284300"/>
    <w:rsid w:val="00284485"/>
    <w:rsid w:val="0028459D"/>
    <w:rsid w:val="00284657"/>
    <w:rsid w:val="0028473A"/>
    <w:rsid w:val="002847FE"/>
    <w:rsid w:val="00284831"/>
    <w:rsid w:val="00284B7F"/>
    <w:rsid w:val="00284B8F"/>
    <w:rsid w:val="00284BB3"/>
    <w:rsid w:val="00284CCC"/>
    <w:rsid w:val="00284FC3"/>
    <w:rsid w:val="0028503B"/>
    <w:rsid w:val="00285509"/>
    <w:rsid w:val="0028572E"/>
    <w:rsid w:val="002858F7"/>
    <w:rsid w:val="00285981"/>
    <w:rsid w:val="00285A1A"/>
    <w:rsid w:val="00285A22"/>
    <w:rsid w:val="00285A89"/>
    <w:rsid w:val="00285B31"/>
    <w:rsid w:val="00285B85"/>
    <w:rsid w:val="00285CEF"/>
    <w:rsid w:val="00285D5B"/>
    <w:rsid w:val="00285D8F"/>
    <w:rsid w:val="00285DB7"/>
    <w:rsid w:val="002863BF"/>
    <w:rsid w:val="0028648E"/>
    <w:rsid w:val="002864C4"/>
    <w:rsid w:val="002865F2"/>
    <w:rsid w:val="00286905"/>
    <w:rsid w:val="002869C8"/>
    <w:rsid w:val="00286DC6"/>
    <w:rsid w:val="00286DF6"/>
    <w:rsid w:val="00286E74"/>
    <w:rsid w:val="00286ED6"/>
    <w:rsid w:val="0028706D"/>
    <w:rsid w:val="00287080"/>
    <w:rsid w:val="00287306"/>
    <w:rsid w:val="00287383"/>
    <w:rsid w:val="0028759A"/>
    <w:rsid w:val="00287840"/>
    <w:rsid w:val="00287950"/>
    <w:rsid w:val="00287951"/>
    <w:rsid w:val="00287DDD"/>
    <w:rsid w:val="00287DF3"/>
    <w:rsid w:val="00287F60"/>
    <w:rsid w:val="00290059"/>
    <w:rsid w:val="002901C8"/>
    <w:rsid w:val="002905AD"/>
    <w:rsid w:val="002905B7"/>
    <w:rsid w:val="0029071C"/>
    <w:rsid w:val="002907F6"/>
    <w:rsid w:val="00290820"/>
    <w:rsid w:val="00290CA6"/>
    <w:rsid w:val="00290D88"/>
    <w:rsid w:val="0029110D"/>
    <w:rsid w:val="002911D5"/>
    <w:rsid w:val="00291366"/>
    <w:rsid w:val="0029143D"/>
    <w:rsid w:val="00291455"/>
    <w:rsid w:val="00291530"/>
    <w:rsid w:val="0029158A"/>
    <w:rsid w:val="0029160C"/>
    <w:rsid w:val="002916BD"/>
    <w:rsid w:val="00291852"/>
    <w:rsid w:val="002918EB"/>
    <w:rsid w:val="00291DAE"/>
    <w:rsid w:val="00291DE5"/>
    <w:rsid w:val="00291E36"/>
    <w:rsid w:val="00291F2D"/>
    <w:rsid w:val="002922D0"/>
    <w:rsid w:val="002923A4"/>
    <w:rsid w:val="00292534"/>
    <w:rsid w:val="0029261C"/>
    <w:rsid w:val="002929F9"/>
    <w:rsid w:val="00292A25"/>
    <w:rsid w:val="00292A70"/>
    <w:rsid w:val="00292A7A"/>
    <w:rsid w:val="00292A7E"/>
    <w:rsid w:val="00292AF8"/>
    <w:rsid w:val="00292B66"/>
    <w:rsid w:val="00292C94"/>
    <w:rsid w:val="00292F28"/>
    <w:rsid w:val="002931D8"/>
    <w:rsid w:val="002932F6"/>
    <w:rsid w:val="0029341A"/>
    <w:rsid w:val="0029346E"/>
    <w:rsid w:val="0029350F"/>
    <w:rsid w:val="002935E7"/>
    <w:rsid w:val="0029385F"/>
    <w:rsid w:val="00293C58"/>
    <w:rsid w:val="00293C77"/>
    <w:rsid w:val="00293CFC"/>
    <w:rsid w:val="00293DBB"/>
    <w:rsid w:val="0029410F"/>
    <w:rsid w:val="002941AC"/>
    <w:rsid w:val="00294481"/>
    <w:rsid w:val="00294567"/>
    <w:rsid w:val="0029489A"/>
    <w:rsid w:val="002948FD"/>
    <w:rsid w:val="00294A22"/>
    <w:rsid w:val="00294B84"/>
    <w:rsid w:val="00294EBE"/>
    <w:rsid w:val="00295129"/>
    <w:rsid w:val="00295270"/>
    <w:rsid w:val="00295339"/>
    <w:rsid w:val="002953CB"/>
    <w:rsid w:val="002954A6"/>
    <w:rsid w:val="0029552D"/>
    <w:rsid w:val="002956E7"/>
    <w:rsid w:val="00295945"/>
    <w:rsid w:val="0029594E"/>
    <w:rsid w:val="00295ADF"/>
    <w:rsid w:val="00295CAE"/>
    <w:rsid w:val="00295DF8"/>
    <w:rsid w:val="00296074"/>
    <w:rsid w:val="002960E2"/>
    <w:rsid w:val="0029623D"/>
    <w:rsid w:val="00296469"/>
    <w:rsid w:val="00296653"/>
    <w:rsid w:val="00296740"/>
    <w:rsid w:val="0029680E"/>
    <w:rsid w:val="0029694B"/>
    <w:rsid w:val="002969EE"/>
    <w:rsid w:val="00296B5B"/>
    <w:rsid w:val="00296C58"/>
    <w:rsid w:val="00296CEA"/>
    <w:rsid w:val="0029714E"/>
    <w:rsid w:val="0029731D"/>
    <w:rsid w:val="00297343"/>
    <w:rsid w:val="00297381"/>
    <w:rsid w:val="00297398"/>
    <w:rsid w:val="0029753E"/>
    <w:rsid w:val="00297783"/>
    <w:rsid w:val="00297909"/>
    <w:rsid w:val="0029799A"/>
    <w:rsid w:val="00297A25"/>
    <w:rsid w:val="00297ED6"/>
    <w:rsid w:val="002A02B0"/>
    <w:rsid w:val="002A039C"/>
    <w:rsid w:val="002A0568"/>
    <w:rsid w:val="002A071F"/>
    <w:rsid w:val="002A0745"/>
    <w:rsid w:val="002A0D9E"/>
    <w:rsid w:val="002A0FFE"/>
    <w:rsid w:val="002A124F"/>
    <w:rsid w:val="002A1285"/>
    <w:rsid w:val="002A148B"/>
    <w:rsid w:val="002A14A5"/>
    <w:rsid w:val="002A14FD"/>
    <w:rsid w:val="002A1518"/>
    <w:rsid w:val="002A153E"/>
    <w:rsid w:val="002A15DD"/>
    <w:rsid w:val="002A1670"/>
    <w:rsid w:val="002A17E5"/>
    <w:rsid w:val="002A1B4D"/>
    <w:rsid w:val="002A1BB1"/>
    <w:rsid w:val="002A1BCF"/>
    <w:rsid w:val="002A1CC2"/>
    <w:rsid w:val="002A1D9F"/>
    <w:rsid w:val="002A1E0E"/>
    <w:rsid w:val="002A1E33"/>
    <w:rsid w:val="002A1EB6"/>
    <w:rsid w:val="002A20FD"/>
    <w:rsid w:val="002A2597"/>
    <w:rsid w:val="002A2654"/>
    <w:rsid w:val="002A288E"/>
    <w:rsid w:val="002A28E8"/>
    <w:rsid w:val="002A29F9"/>
    <w:rsid w:val="002A2AC4"/>
    <w:rsid w:val="002A2C29"/>
    <w:rsid w:val="002A2D04"/>
    <w:rsid w:val="002A2D28"/>
    <w:rsid w:val="002A3191"/>
    <w:rsid w:val="002A32C1"/>
    <w:rsid w:val="002A32E3"/>
    <w:rsid w:val="002A3532"/>
    <w:rsid w:val="002A368B"/>
    <w:rsid w:val="002A3742"/>
    <w:rsid w:val="002A38B0"/>
    <w:rsid w:val="002A3A40"/>
    <w:rsid w:val="002A3BC7"/>
    <w:rsid w:val="002A3C67"/>
    <w:rsid w:val="002A3E52"/>
    <w:rsid w:val="002A3F49"/>
    <w:rsid w:val="002A3F6B"/>
    <w:rsid w:val="002A4617"/>
    <w:rsid w:val="002A47D1"/>
    <w:rsid w:val="002A4879"/>
    <w:rsid w:val="002A4A5E"/>
    <w:rsid w:val="002A4A94"/>
    <w:rsid w:val="002A4CFA"/>
    <w:rsid w:val="002A4DB6"/>
    <w:rsid w:val="002A4E2A"/>
    <w:rsid w:val="002A4FF2"/>
    <w:rsid w:val="002A50F6"/>
    <w:rsid w:val="002A538A"/>
    <w:rsid w:val="002A5467"/>
    <w:rsid w:val="002A55E6"/>
    <w:rsid w:val="002A5D89"/>
    <w:rsid w:val="002A5E7A"/>
    <w:rsid w:val="002A5F57"/>
    <w:rsid w:val="002A61C6"/>
    <w:rsid w:val="002A64AE"/>
    <w:rsid w:val="002A653D"/>
    <w:rsid w:val="002A668D"/>
    <w:rsid w:val="002A6734"/>
    <w:rsid w:val="002A6866"/>
    <w:rsid w:val="002A6934"/>
    <w:rsid w:val="002A6985"/>
    <w:rsid w:val="002A6A12"/>
    <w:rsid w:val="002A6DF8"/>
    <w:rsid w:val="002A6F18"/>
    <w:rsid w:val="002A711D"/>
    <w:rsid w:val="002A7354"/>
    <w:rsid w:val="002A73A0"/>
    <w:rsid w:val="002A751B"/>
    <w:rsid w:val="002A76F4"/>
    <w:rsid w:val="002A79E4"/>
    <w:rsid w:val="002A7A6C"/>
    <w:rsid w:val="002A7A89"/>
    <w:rsid w:val="002A7A96"/>
    <w:rsid w:val="002A7AC7"/>
    <w:rsid w:val="002A7D19"/>
    <w:rsid w:val="002A7DE0"/>
    <w:rsid w:val="002A7E58"/>
    <w:rsid w:val="002A7ECE"/>
    <w:rsid w:val="002B008A"/>
    <w:rsid w:val="002B019B"/>
    <w:rsid w:val="002B03E1"/>
    <w:rsid w:val="002B04DF"/>
    <w:rsid w:val="002B0527"/>
    <w:rsid w:val="002B0631"/>
    <w:rsid w:val="002B0870"/>
    <w:rsid w:val="002B08A2"/>
    <w:rsid w:val="002B0B69"/>
    <w:rsid w:val="002B0B92"/>
    <w:rsid w:val="002B0DBF"/>
    <w:rsid w:val="002B0E80"/>
    <w:rsid w:val="002B0F2A"/>
    <w:rsid w:val="002B1079"/>
    <w:rsid w:val="002B113C"/>
    <w:rsid w:val="002B1283"/>
    <w:rsid w:val="002B12EC"/>
    <w:rsid w:val="002B13AA"/>
    <w:rsid w:val="002B1573"/>
    <w:rsid w:val="002B16E1"/>
    <w:rsid w:val="002B1849"/>
    <w:rsid w:val="002B19C3"/>
    <w:rsid w:val="002B1AD0"/>
    <w:rsid w:val="002B1BAA"/>
    <w:rsid w:val="002B1CC5"/>
    <w:rsid w:val="002B20F3"/>
    <w:rsid w:val="002B2308"/>
    <w:rsid w:val="002B23AC"/>
    <w:rsid w:val="002B2583"/>
    <w:rsid w:val="002B2D8C"/>
    <w:rsid w:val="002B2E5B"/>
    <w:rsid w:val="002B2FA5"/>
    <w:rsid w:val="002B3122"/>
    <w:rsid w:val="002B33D4"/>
    <w:rsid w:val="002B33E9"/>
    <w:rsid w:val="002B3760"/>
    <w:rsid w:val="002B3886"/>
    <w:rsid w:val="002B3967"/>
    <w:rsid w:val="002B3977"/>
    <w:rsid w:val="002B3BDB"/>
    <w:rsid w:val="002B3C85"/>
    <w:rsid w:val="002B3E81"/>
    <w:rsid w:val="002B3E8A"/>
    <w:rsid w:val="002B44C9"/>
    <w:rsid w:val="002B46A6"/>
    <w:rsid w:val="002B46EA"/>
    <w:rsid w:val="002B48FA"/>
    <w:rsid w:val="002B4994"/>
    <w:rsid w:val="002B49F8"/>
    <w:rsid w:val="002B4B9A"/>
    <w:rsid w:val="002B4BFD"/>
    <w:rsid w:val="002B4C04"/>
    <w:rsid w:val="002B4E72"/>
    <w:rsid w:val="002B4ED6"/>
    <w:rsid w:val="002B4F80"/>
    <w:rsid w:val="002B4FE8"/>
    <w:rsid w:val="002B5049"/>
    <w:rsid w:val="002B505F"/>
    <w:rsid w:val="002B51D6"/>
    <w:rsid w:val="002B5268"/>
    <w:rsid w:val="002B54F8"/>
    <w:rsid w:val="002B55F3"/>
    <w:rsid w:val="002B5B9D"/>
    <w:rsid w:val="002B5C4A"/>
    <w:rsid w:val="002B5C57"/>
    <w:rsid w:val="002B658B"/>
    <w:rsid w:val="002B6782"/>
    <w:rsid w:val="002B68DB"/>
    <w:rsid w:val="002B6A64"/>
    <w:rsid w:val="002B6BE6"/>
    <w:rsid w:val="002B6C94"/>
    <w:rsid w:val="002B6CBF"/>
    <w:rsid w:val="002B6DC3"/>
    <w:rsid w:val="002B6E78"/>
    <w:rsid w:val="002B705B"/>
    <w:rsid w:val="002B70F9"/>
    <w:rsid w:val="002B71A9"/>
    <w:rsid w:val="002B7456"/>
    <w:rsid w:val="002B788E"/>
    <w:rsid w:val="002B7A32"/>
    <w:rsid w:val="002B7B11"/>
    <w:rsid w:val="002B7CD3"/>
    <w:rsid w:val="002B7DC7"/>
    <w:rsid w:val="002B7E70"/>
    <w:rsid w:val="002C002E"/>
    <w:rsid w:val="002C013F"/>
    <w:rsid w:val="002C0164"/>
    <w:rsid w:val="002C0269"/>
    <w:rsid w:val="002C0315"/>
    <w:rsid w:val="002C06E5"/>
    <w:rsid w:val="002C07C9"/>
    <w:rsid w:val="002C0840"/>
    <w:rsid w:val="002C085C"/>
    <w:rsid w:val="002C0CDE"/>
    <w:rsid w:val="002C1024"/>
    <w:rsid w:val="002C1051"/>
    <w:rsid w:val="002C1053"/>
    <w:rsid w:val="002C11E2"/>
    <w:rsid w:val="002C162D"/>
    <w:rsid w:val="002C19D8"/>
    <w:rsid w:val="002C1AA2"/>
    <w:rsid w:val="002C1AD6"/>
    <w:rsid w:val="002C1BC5"/>
    <w:rsid w:val="002C1D38"/>
    <w:rsid w:val="002C1DDB"/>
    <w:rsid w:val="002C1E48"/>
    <w:rsid w:val="002C201E"/>
    <w:rsid w:val="002C212B"/>
    <w:rsid w:val="002C2268"/>
    <w:rsid w:val="002C22D9"/>
    <w:rsid w:val="002C230D"/>
    <w:rsid w:val="002C24B7"/>
    <w:rsid w:val="002C2A1F"/>
    <w:rsid w:val="002C2AA9"/>
    <w:rsid w:val="002C2ADF"/>
    <w:rsid w:val="002C2C36"/>
    <w:rsid w:val="002C2D4E"/>
    <w:rsid w:val="002C3160"/>
    <w:rsid w:val="002C32D4"/>
    <w:rsid w:val="002C33CF"/>
    <w:rsid w:val="002C395E"/>
    <w:rsid w:val="002C3994"/>
    <w:rsid w:val="002C39CD"/>
    <w:rsid w:val="002C3BC2"/>
    <w:rsid w:val="002C3C1B"/>
    <w:rsid w:val="002C3CDB"/>
    <w:rsid w:val="002C41DF"/>
    <w:rsid w:val="002C4613"/>
    <w:rsid w:val="002C464D"/>
    <w:rsid w:val="002C4775"/>
    <w:rsid w:val="002C4818"/>
    <w:rsid w:val="002C4B3C"/>
    <w:rsid w:val="002C4FF4"/>
    <w:rsid w:val="002C50E5"/>
    <w:rsid w:val="002C54F7"/>
    <w:rsid w:val="002C553D"/>
    <w:rsid w:val="002C5565"/>
    <w:rsid w:val="002C5738"/>
    <w:rsid w:val="002C576D"/>
    <w:rsid w:val="002C59E6"/>
    <w:rsid w:val="002C5A77"/>
    <w:rsid w:val="002C5AB1"/>
    <w:rsid w:val="002C5C27"/>
    <w:rsid w:val="002C5D5D"/>
    <w:rsid w:val="002C5F78"/>
    <w:rsid w:val="002C6309"/>
    <w:rsid w:val="002C654A"/>
    <w:rsid w:val="002C65C0"/>
    <w:rsid w:val="002C65C1"/>
    <w:rsid w:val="002C66EA"/>
    <w:rsid w:val="002C6736"/>
    <w:rsid w:val="002C681E"/>
    <w:rsid w:val="002C68B0"/>
    <w:rsid w:val="002C699B"/>
    <w:rsid w:val="002C6A9C"/>
    <w:rsid w:val="002C6B34"/>
    <w:rsid w:val="002C6BB9"/>
    <w:rsid w:val="002C6EA3"/>
    <w:rsid w:val="002C6EB9"/>
    <w:rsid w:val="002C70DF"/>
    <w:rsid w:val="002C739E"/>
    <w:rsid w:val="002C742B"/>
    <w:rsid w:val="002C74B6"/>
    <w:rsid w:val="002C7568"/>
    <w:rsid w:val="002C75BB"/>
    <w:rsid w:val="002C75E8"/>
    <w:rsid w:val="002C760C"/>
    <w:rsid w:val="002C7D38"/>
    <w:rsid w:val="002D0067"/>
    <w:rsid w:val="002D01B8"/>
    <w:rsid w:val="002D01DC"/>
    <w:rsid w:val="002D02CD"/>
    <w:rsid w:val="002D0374"/>
    <w:rsid w:val="002D055C"/>
    <w:rsid w:val="002D05C5"/>
    <w:rsid w:val="002D0642"/>
    <w:rsid w:val="002D0719"/>
    <w:rsid w:val="002D0CCF"/>
    <w:rsid w:val="002D10A7"/>
    <w:rsid w:val="002D159D"/>
    <w:rsid w:val="002D18CA"/>
    <w:rsid w:val="002D1AA6"/>
    <w:rsid w:val="002D1C1B"/>
    <w:rsid w:val="002D1E74"/>
    <w:rsid w:val="002D2024"/>
    <w:rsid w:val="002D2061"/>
    <w:rsid w:val="002D214B"/>
    <w:rsid w:val="002D21B7"/>
    <w:rsid w:val="002D2329"/>
    <w:rsid w:val="002D24F7"/>
    <w:rsid w:val="002D2559"/>
    <w:rsid w:val="002D2638"/>
    <w:rsid w:val="002D2938"/>
    <w:rsid w:val="002D2A4F"/>
    <w:rsid w:val="002D2AEC"/>
    <w:rsid w:val="002D2BA0"/>
    <w:rsid w:val="002D2C3C"/>
    <w:rsid w:val="002D2E4B"/>
    <w:rsid w:val="002D2F86"/>
    <w:rsid w:val="002D316E"/>
    <w:rsid w:val="002D3275"/>
    <w:rsid w:val="002D3276"/>
    <w:rsid w:val="002D32EF"/>
    <w:rsid w:val="002D341E"/>
    <w:rsid w:val="002D3766"/>
    <w:rsid w:val="002D3845"/>
    <w:rsid w:val="002D3A39"/>
    <w:rsid w:val="002D3DDD"/>
    <w:rsid w:val="002D3DF1"/>
    <w:rsid w:val="002D3E22"/>
    <w:rsid w:val="002D3E73"/>
    <w:rsid w:val="002D3F16"/>
    <w:rsid w:val="002D40F0"/>
    <w:rsid w:val="002D4297"/>
    <w:rsid w:val="002D44BA"/>
    <w:rsid w:val="002D45D0"/>
    <w:rsid w:val="002D45D4"/>
    <w:rsid w:val="002D4625"/>
    <w:rsid w:val="002D46AB"/>
    <w:rsid w:val="002D4960"/>
    <w:rsid w:val="002D4A4F"/>
    <w:rsid w:val="002D4C84"/>
    <w:rsid w:val="002D4CEB"/>
    <w:rsid w:val="002D4D5F"/>
    <w:rsid w:val="002D4F1B"/>
    <w:rsid w:val="002D4F81"/>
    <w:rsid w:val="002D5048"/>
    <w:rsid w:val="002D5241"/>
    <w:rsid w:val="002D5299"/>
    <w:rsid w:val="002D530A"/>
    <w:rsid w:val="002D5438"/>
    <w:rsid w:val="002D5439"/>
    <w:rsid w:val="002D544A"/>
    <w:rsid w:val="002D5622"/>
    <w:rsid w:val="002D5715"/>
    <w:rsid w:val="002D588F"/>
    <w:rsid w:val="002D58BA"/>
    <w:rsid w:val="002D5A0A"/>
    <w:rsid w:val="002D5B84"/>
    <w:rsid w:val="002D5CEC"/>
    <w:rsid w:val="002D5F62"/>
    <w:rsid w:val="002D6011"/>
    <w:rsid w:val="002D614E"/>
    <w:rsid w:val="002D615D"/>
    <w:rsid w:val="002D65D7"/>
    <w:rsid w:val="002D66D9"/>
    <w:rsid w:val="002D675E"/>
    <w:rsid w:val="002D689A"/>
    <w:rsid w:val="002D6A97"/>
    <w:rsid w:val="002D6ABF"/>
    <w:rsid w:val="002D6BD2"/>
    <w:rsid w:val="002D6C72"/>
    <w:rsid w:val="002D7011"/>
    <w:rsid w:val="002D711F"/>
    <w:rsid w:val="002D74EF"/>
    <w:rsid w:val="002D74F5"/>
    <w:rsid w:val="002D75B7"/>
    <w:rsid w:val="002D75D5"/>
    <w:rsid w:val="002D7720"/>
    <w:rsid w:val="002D7961"/>
    <w:rsid w:val="002D79B4"/>
    <w:rsid w:val="002D79F0"/>
    <w:rsid w:val="002D7E13"/>
    <w:rsid w:val="002D7F19"/>
    <w:rsid w:val="002D7FBE"/>
    <w:rsid w:val="002E0050"/>
    <w:rsid w:val="002E013F"/>
    <w:rsid w:val="002E02F5"/>
    <w:rsid w:val="002E039B"/>
    <w:rsid w:val="002E0664"/>
    <w:rsid w:val="002E069F"/>
    <w:rsid w:val="002E0726"/>
    <w:rsid w:val="002E0739"/>
    <w:rsid w:val="002E0793"/>
    <w:rsid w:val="002E0B05"/>
    <w:rsid w:val="002E0D0E"/>
    <w:rsid w:val="002E0D63"/>
    <w:rsid w:val="002E0F0B"/>
    <w:rsid w:val="002E0F40"/>
    <w:rsid w:val="002E122F"/>
    <w:rsid w:val="002E126D"/>
    <w:rsid w:val="002E128D"/>
    <w:rsid w:val="002E166B"/>
    <w:rsid w:val="002E18FF"/>
    <w:rsid w:val="002E1A17"/>
    <w:rsid w:val="002E1CFD"/>
    <w:rsid w:val="002E2022"/>
    <w:rsid w:val="002E2108"/>
    <w:rsid w:val="002E21B3"/>
    <w:rsid w:val="002E22BA"/>
    <w:rsid w:val="002E22CB"/>
    <w:rsid w:val="002E231C"/>
    <w:rsid w:val="002E2342"/>
    <w:rsid w:val="002E23A8"/>
    <w:rsid w:val="002E2413"/>
    <w:rsid w:val="002E25C4"/>
    <w:rsid w:val="002E281A"/>
    <w:rsid w:val="002E28F7"/>
    <w:rsid w:val="002E2A5F"/>
    <w:rsid w:val="002E2CD0"/>
    <w:rsid w:val="002E31A1"/>
    <w:rsid w:val="002E3222"/>
    <w:rsid w:val="002E32D6"/>
    <w:rsid w:val="002E35FB"/>
    <w:rsid w:val="002E369D"/>
    <w:rsid w:val="002E36D7"/>
    <w:rsid w:val="002E3A16"/>
    <w:rsid w:val="002E3ACB"/>
    <w:rsid w:val="002E3D05"/>
    <w:rsid w:val="002E3DA7"/>
    <w:rsid w:val="002E3F53"/>
    <w:rsid w:val="002E438C"/>
    <w:rsid w:val="002E4968"/>
    <w:rsid w:val="002E4B49"/>
    <w:rsid w:val="002E4C9E"/>
    <w:rsid w:val="002E4E67"/>
    <w:rsid w:val="002E4ECD"/>
    <w:rsid w:val="002E4F52"/>
    <w:rsid w:val="002E5064"/>
    <w:rsid w:val="002E50AC"/>
    <w:rsid w:val="002E5172"/>
    <w:rsid w:val="002E522D"/>
    <w:rsid w:val="002E5288"/>
    <w:rsid w:val="002E5420"/>
    <w:rsid w:val="002E5538"/>
    <w:rsid w:val="002E55F1"/>
    <w:rsid w:val="002E58E8"/>
    <w:rsid w:val="002E5F01"/>
    <w:rsid w:val="002E5F39"/>
    <w:rsid w:val="002E649F"/>
    <w:rsid w:val="002E6514"/>
    <w:rsid w:val="002E6517"/>
    <w:rsid w:val="002E6623"/>
    <w:rsid w:val="002E6775"/>
    <w:rsid w:val="002E6794"/>
    <w:rsid w:val="002E68F6"/>
    <w:rsid w:val="002E69E1"/>
    <w:rsid w:val="002E6D33"/>
    <w:rsid w:val="002E6E7C"/>
    <w:rsid w:val="002E6EBE"/>
    <w:rsid w:val="002E70A4"/>
    <w:rsid w:val="002E7540"/>
    <w:rsid w:val="002E757E"/>
    <w:rsid w:val="002E76A4"/>
    <w:rsid w:val="002E7706"/>
    <w:rsid w:val="002E780A"/>
    <w:rsid w:val="002E78F6"/>
    <w:rsid w:val="002E7B7F"/>
    <w:rsid w:val="002E7B84"/>
    <w:rsid w:val="002F034B"/>
    <w:rsid w:val="002F03A4"/>
    <w:rsid w:val="002F0492"/>
    <w:rsid w:val="002F057B"/>
    <w:rsid w:val="002F0767"/>
    <w:rsid w:val="002F07E1"/>
    <w:rsid w:val="002F0852"/>
    <w:rsid w:val="002F09E8"/>
    <w:rsid w:val="002F0A78"/>
    <w:rsid w:val="002F0C5A"/>
    <w:rsid w:val="002F0D91"/>
    <w:rsid w:val="002F0E5B"/>
    <w:rsid w:val="002F0E67"/>
    <w:rsid w:val="002F121A"/>
    <w:rsid w:val="002F130F"/>
    <w:rsid w:val="002F14E6"/>
    <w:rsid w:val="002F16D7"/>
    <w:rsid w:val="002F1818"/>
    <w:rsid w:val="002F198E"/>
    <w:rsid w:val="002F1A31"/>
    <w:rsid w:val="002F1E83"/>
    <w:rsid w:val="002F21EF"/>
    <w:rsid w:val="002F230A"/>
    <w:rsid w:val="002F25D4"/>
    <w:rsid w:val="002F2797"/>
    <w:rsid w:val="002F29D3"/>
    <w:rsid w:val="002F2A76"/>
    <w:rsid w:val="002F2ABD"/>
    <w:rsid w:val="002F2C8E"/>
    <w:rsid w:val="002F2DC7"/>
    <w:rsid w:val="002F2FB7"/>
    <w:rsid w:val="002F307A"/>
    <w:rsid w:val="002F30C5"/>
    <w:rsid w:val="002F30F3"/>
    <w:rsid w:val="002F326A"/>
    <w:rsid w:val="002F32AB"/>
    <w:rsid w:val="002F33E4"/>
    <w:rsid w:val="002F349B"/>
    <w:rsid w:val="002F34BE"/>
    <w:rsid w:val="002F360F"/>
    <w:rsid w:val="002F3896"/>
    <w:rsid w:val="002F3C99"/>
    <w:rsid w:val="002F3D89"/>
    <w:rsid w:val="002F3E5C"/>
    <w:rsid w:val="002F4191"/>
    <w:rsid w:val="002F4218"/>
    <w:rsid w:val="002F4649"/>
    <w:rsid w:val="002F4991"/>
    <w:rsid w:val="002F49AF"/>
    <w:rsid w:val="002F4A86"/>
    <w:rsid w:val="002F4E6C"/>
    <w:rsid w:val="002F5027"/>
    <w:rsid w:val="002F508A"/>
    <w:rsid w:val="002F50C3"/>
    <w:rsid w:val="002F5236"/>
    <w:rsid w:val="002F535F"/>
    <w:rsid w:val="002F53C6"/>
    <w:rsid w:val="002F596B"/>
    <w:rsid w:val="002F5A50"/>
    <w:rsid w:val="002F5C72"/>
    <w:rsid w:val="002F5D37"/>
    <w:rsid w:val="002F5D3A"/>
    <w:rsid w:val="002F5D74"/>
    <w:rsid w:val="002F5DE6"/>
    <w:rsid w:val="002F5FA0"/>
    <w:rsid w:val="002F5FAB"/>
    <w:rsid w:val="002F5FF2"/>
    <w:rsid w:val="002F60AA"/>
    <w:rsid w:val="002F617C"/>
    <w:rsid w:val="002F6211"/>
    <w:rsid w:val="002F634A"/>
    <w:rsid w:val="002F639F"/>
    <w:rsid w:val="002F6408"/>
    <w:rsid w:val="002F65C3"/>
    <w:rsid w:val="002F6614"/>
    <w:rsid w:val="002F6619"/>
    <w:rsid w:val="002F669E"/>
    <w:rsid w:val="002F66D8"/>
    <w:rsid w:val="002F66F6"/>
    <w:rsid w:val="002F6821"/>
    <w:rsid w:val="002F687D"/>
    <w:rsid w:val="002F6896"/>
    <w:rsid w:val="002F697C"/>
    <w:rsid w:val="002F6CE5"/>
    <w:rsid w:val="002F6D3F"/>
    <w:rsid w:val="002F6DFF"/>
    <w:rsid w:val="002F705F"/>
    <w:rsid w:val="002F71F6"/>
    <w:rsid w:val="002F7334"/>
    <w:rsid w:val="002F745D"/>
    <w:rsid w:val="002F753E"/>
    <w:rsid w:val="002F7599"/>
    <w:rsid w:val="002F7777"/>
    <w:rsid w:val="002F77A4"/>
    <w:rsid w:val="002F7B27"/>
    <w:rsid w:val="002F7BA8"/>
    <w:rsid w:val="002F7C27"/>
    <w:rsid w:val="002F7D3F"/>
    <w:rsid w:val="002F7E61"/>
    <w:rsid w:val="0030031F"/>
    <w:rsid w:val="003004E0"/>
    <w:rsid w:val="00300572"/>
    <w:rsid w:val="003006F1"/>
    <w:rsid w:val="003008F3"/>
    <w:rsid w:val="00300AAA"/>
    <w:rsid w:val="00300C61"/>
    <w:rsid w:val="00300EB3"/>
    <w:rsid w:val="00301219"/>
    <w:rsid w:val="0030128D"/>
    <w:rsid w:val="003012F2"/>
    <w:rsid w:val="00301505"/>
    <w:rsid w:val="0030163C"/>
    <w:rsid w:val="00301665"/>
    <w:rsid w:val="00301B2C"/>
    <w:rsid w:val="00301BAA"/>
    <w:rsid w:val="00301C47"/>
    <w:rsid w:val="00301CE7"/>
    <w:rsid w:val="00301D37"/>
    <w:rsid w:val="0030228C"/>
    <w:rsid w:val="0030246E"/>
    <w:rsid w:val="003024A4"/>
    <w:rsid w:val="003024B9"/>
    <w:rsid w:val="0030256D"/>
    <w:rsid w:val="00302770"/>
    <w:rsid w:val="00302871"/>
    <w:rsid w:val="0030294E"/>
    <w:rsid w:val="00302B6E"/>
    <w:rsid w:val="00302C72"/>
    <w:rsid w:val="00302DD9"/>
    <w:rsid w:val="003032BA"/>
    <w:rsid w:val="003034F8"/>
    <w:rsid w:val="00303565"/>
    <w:rsid w:val="00303847"/>
    <w:rsid w:val="003038C8"/>
    <w:rsid w:val="00303ABF"/>
    <w:rsid w:val="00303C6C"/>
    <w:rsid w:val="00303CCF"/>
    <w:rsid w:val="00303EC2"/>
    <w:rsid w:val="00303EC6"/>
    <w:rsid w:val="00304242"/>
    <w:rsid w:val="003042AD"/>
    <w:rsid w:val="00304522"/>
    <w:rsid w:val="00304900"/>
    <w:rsid w:val="0030494C"/>
    <w:rsid w:val="00304B9A"/>
    <w:rsid w:val="00304BC8"/>
    <w:rsid w:val="00304D35"/>
    <w:rsid w:val="00304E82"/>
    <w:rsid w:val="00304EA2"/>
    <w:rsid w:val="00304EA9"/>
    <w:rsid w:val="00304F34"/>
    <w:rsid w:val="00304FF0"/>
    <w:rsid w:val="003051CF"/>
    <w:rsid w:val="0030530F"/>
    <w:rsid w:val="0030570E"/>
    <w:rsid w:val="003057C7"/>
    <w:rsid w:val="003057D2"/>
    <w:rsid w:val="003058B5"/>
    <w:rsid w:val="00305AAC"/>
    <w:rsid w:val="00305AC7"/>
    <w:rsid w:val="00305BE5"/>
    <w:rsid w:val="00305C7D"/>
    <w:rsid w:val="00305CF1"/>
    <w:rsid w:val="00305D6F"/>
    <w:rsid w:val="00305E86"/>
    <w:rsid w:val="00305EFB"/>
    <w:rsid w:val="00305F6D"/>
    <w:rsid w:val="0030604C"/>
    <w:rsid w:val="00306072"/>
    <w:rsid w:val="003061FD"/>
    <w:rsid w:val="00306709"/>
    <w:rsid w:val="003068DB"/>
    <w:rsid w:val="0030698D"/>
    <w:rsid w:val="00307084"/>
    <w:rsid w:val="003071C6"/>
    <w:rsid w:val="00307207"/>
    <w:rsid w:val="0030727E"/>
    <w:rsid w:val="0030778F"/>
    <w:rsid w:val="003077E7"/>
    <w:rsid w:val="0030787B"/>
    <w:rsid w:val="00307A17"/>
    <w:rsid w:val="00307A1F"/>
    <w:rsid w:val="00307B73"/>
    <w:rsid w:val="00307D63"/>
    <w:rsid w:val="003101A6"/>
    <w:rsid w:val="00310213"/>
    <w:rsid w:val="00310585"/>
    <w:rsid w:val="0031064A"/>
    <w:rsid w:val="003106EF"/>
    <w:rsid w:val="0031092D"/>
    <w:rsid w:val="00310A9F"/>
    <w:rsid w:val="00310AC4"/>
    <w:rsid w:val="003112C6"/>
    <w:rsid w:val="0031150A"/>
    <w:rsid w:val="003115E0"/>
    <w:rsid w:val="00311638"/>
    <w:rsid w:val="0031163D"/>
    <w:rsid w:val="003118E6"/>
    <w:rsid w:val="00311A19"/>
    <w:rsid w:val="00311A37"/>
    <w:rsid w:val="00311BC0"/>
    <w:rsid w:val="00311FFB"/>
    <w:rsid w:val="00312189"/>
    <w:rsid w:val="003121DA"/>
    <w:rsid w:val="00312303"/>
    <w:rsid w:val="00312329"/>
    <w:rsid w:val="003123AA"/>
    <w:rsid w:val="003123C4"/>
    <w:rsid w:val="00312833"/>
    <w:rsid w:val="00312845"/>
    <w:rsid w:val="003128CB"/>
    <w:rsid w:val="003128DD"/>
    <w:rsid w:val="00312A7B"/>
    <w:rsid w:val="00312B0A"/>
    <w:rsid w:val="00312CDC"/>
    <w:rsid w:val="00312D89"/>
    <w:rsid w:val="00312D8B"/>
    <w:rsid w:val="00312FBB"/>
    <w:rsid w:val="00312FCD"/>
    <w:rsid w:val="0031301A"/>
    <w:rsid w:val="003132C7"/>
    <w:rsid w:val="00313333"/>
    <w:rsid w:val="003133E5"/>
    <w:rsid w:val="00313448"/>
    <w:rsid w:val="0031365C"/>
    <w:rsid w:val="003138E0"/>
    <w:rsid w:val="00313A0A"/>
    <w:rsid w:val="00313B9B"/>
    <w:rsid w:val="00313C5E"/>
    <w:rsid w:val="00313D54"/>
    <w:rsid w:val="00313D56"/>
    <w:rsid w:val="00313E7B"/>
    <w:rsid w:val="00313FC8"/>
    <w:rsid w:val="00314138"/>
    <w:rsid w:val="00314300"/>
    <w:rsid w:val="0031433A"/>
    <w:rsid w:val="0031439F"/>
    <w:rsid w:val="003146CC"/>
    <w:rsid w:val="00314708"/>
    <w:rsid w:val="003147EB"/>
    <w:rsid w:val="003148CE"/>
    <w:rsid w:val="003149C4"/>
    <w:rsid w:val="00314AC8"/>
    <w:rsid w:val="00314AD0"/>
    <w:rsid w:val="00314B5D"/>
    <w:rsid w:val="00314C2F"/>
    <w:rsid w:val="0031504F"/>
    <w:rsid w:val="00315131"/>
    <w:rsid w:val="0031516C"/>
    <w:rsid w:val="0031521D"/>
    <w:rsid w:val="003153DA"/>
    <w:rsid w:val="003155B9"/>
    <w:rsid w:val="003158A5"/>
    <w:rsid w:val="00315A01"/>
    <w:rsid w:val="00315C33"/>
    <w:rsid w:val="00315D12"/>
    <w:rsid w:val="00315E1A"/>
    <w:rsid w:val="00315E67"/>
    <w:rsid w:val="00315F12"/>
    <w:rsid w:val="00315FD5"/>
    <w:rsid w:val="00316176"/>
    <w:rsid w:val="00316327"/>
    <w:rsid w:val="0031636B"/>
    <w:rsid w:val="003167D6"/>
    <w:rsid w:val="003169D6"/>
    <w:rsid w:val="00316A76"/>
    <w:rsid w:val="00316AD1"/>
    <w:rsid w:val="00316C0B"/>
    <w:rsid w:val="00316D91"/>
    <w:rsid w:val="00316E36"/>
    <w:rsid w:val="003170C0"/>
    <w:rsid w:val="003172F8"/>
    <w:rsid w:val="00317372"/>
    <w:rsid w:val="00317595"/>
    <w:rsid w:val="003175DC"/>
    <w:rsid w:val="00317B86"/>
    <w:rsid w:val="00317E5F"/>
    <w:rsid w:val="00317EA2"/>
    <w:rsid w:val="003202C1"/>
    <w:rsid w:val="00320308"/>
    <w:rsid w:val="0032030C"/>
    <w:rsid w:val="003208A2"/>
    <w:rsid w:val="003209A5"/>
    <w:rsid w:val="00320A17"/>
    <w:rsid w:val="00320DB9"/>
    <w:rsid w:val="00320E5D"/>
    <w:rsid w:val="00320F67"/>
    <w:rsid w:val="00321240"/>
    <w:rsid w:val="003212B2"/>
    <w:rsid w:val="00321480"/>
    <w:rsid w:val="003214F4"/>
    <w:rsid w:val="003216DE"/>
    <w:rsid w:val="003216F0"/>
    <w:rsid w:val="00321937"/>
    <w:rsid w:val="00321972"/>
    <w:rsid w:val="00321A64"/>
    <w:rsid w:val="003220E8"/>
    <w:rsid w:val="00322398"/>
    <w:rsid w:val="0032248B"/>
    <w:rsid w:val="0032251E"/>
    <w:rsid w:val="0032268E"/>
    <w:rsid w:val="0032276B"/>
    <w:rsid w:val="0032286F"/>
    <w:rsid w:val="00322959"/>
    <w:rsid w:val="00322A49"/>
    <w:rsid w:val="00322C59"/>
    <w:rsid w:val="00322E82"/>
    <w:rsid w:val="0032322C"/>
    <w:rsid w:val="003232B3"/>
    <w:rsid w:val="00323698"/>
    <w:rsid w:val="00323721"/>
    <w:rsid w:val="00323722"/>
    <w:rsid w:val="00323BAD"/>
    <w:rsid w:val="00323C84"/>
    <w:rsid w:val="00323D22"/>
    <w:rsid w:val="00323DD5"/>
    <w:rsid w:val="00323DD6"/>
    <w:rsid w:val="00323E58"/>
    <w:rsid w:val="00323E90"/>
    <w:rsid w:val="003244F2"/>
    <w:rsid w:val="003244F8"/>
    <w:rsid w:val="0032460D"/>
    <w:rsid w:val="00324683"/>
    <w:rsid w:val="003246ED"/>
    <w:rsid w:val="0032470D"/>
    <w:rsid w:val="0032495D"/>
    <w:rsid w:val="00324973"/>
    <w:rsid w:val="00324E6B"/>
    <w:rsid w:val="00324F6B"/>
    <w:rsid w:val="00324FC3"/>
    <w:rsid w:val="00324FFB"/>
    <w:rsid w:val="0032512D"/>
    <w:rsid w:val="003252B5"/>
    <w:rsid w:val="0032545F"/>
    <w:rsid w:val="0032562C"/>
    <w:rsid w:val="00325793"/>
    <w:rsid w:val="003259D0"/>
    <w:rsid w:val="00325B28"/>
    <w:rsid w:val="00325BE6"/>
    <w:rsid w:val="00325E3C"/>
    <w:rsid w:val="00326052"/>
    <w:rsid w:val="003260FC"/>
    <w:rsid w:val="003261E7"/>
    <w:rsid w:val="00326386"/>
    <w:rsid w:val="00326480"/>
    <w:rsid w:val="00326571"/>
    <w:rsid w:val="0032663A"/>
    <w:rsid w:val="003266C8"/>
    <w:rsid w:val="00326748"/>
    <w:rsid w:val="0032686C"/>
    <w:rsid w:val="003269DC"/>
    <w:rsid w:val="00326BBB"/>
    <w:rsid w:val="00326C05"/>
    <w:rsid w:val="00326E51"/>
    <w:rsid w:val="00326EF7"/>
    <w:rsid w:val="00326FD7"/>
    <w:rsid w:val="00327173"/>
    <w:rsid w:val="003271AC"/>
    <w:rsid w:val="00327402"/>
    <w:rsid w:val="0032759C"/>
    <w:rsid w:val="003276AD"/>
    <w:rsid w:val="003276D8"/>
    <w:rsid w:val="0032773F"/>
    <w:rsid w:val="00327A0B"/>
    <w:rsid w:val="00327C51"/>
    <w:rsid w:val="00327D76"/>
    <w:rsid w:val="00330533"/>
    <w:rsid w:val="00330CE9"/>
    <w:rsid w:val="00330CF8"/>
    <w:rsid w:val="00330D0B"/>
    <w:rsid w:val="00330FE6"/>
    <w:rsid w:val="00331462"/>
    <w:rsid w:val="003314C3"/>
    <w:rsid w:val="00331697"/>
    <w:rsid w:val="00331701"/>
    <w:rsid w:val="00331925"/>
    <w:rsid w:val="00331CEC"/>
    <w:rsid w:val="00331D74"/>
    <w:rsid w:val="00331E20"/>
    <w:rsid w:val="00331E3A"/>
    <w:rsid w:val="00331E8D"/>
    <w:rsid w:val="00331EE1"/>
    <w:rsid w:val="00331FFF"/>
    <w:rsid w:val="003320B5"/>
    <w:rsid w:val="0033214C"/>
    <w:rsid w:val="003323FF"/>
    <w:rsid w:val="003325C4"/>
    <w:rsid w:val="00332605"/>
    <w:rsid w:val="0033281A"/>
    <w:rsid w:val="00332956"/>
    <w:rsid w:val="00332E66"/>
    <w:rsid w:val="00332EB0"/>
    <w:rsid w:val="00332F84"/>
    <w:rsid w:val="00332FF7"/>
    <w:rsid w:val="0033305B"/>
    <w:rsid w:val="003330A5"/>
    <w:rsid w:val="00333220"/>
    <w:rsid w:val="0033348A"/>
    <w:rsid w:val="003338C9"/>
    <w:rsid w:val="003338F7"/>
    <w:rsid w:val="00333A24"/>
    <w:rsid w:val="00333B9A"/>
    <w:rsid w:val="00333D4C"/>
    <w:rsid w:val="00333E9F"/>
    <w:rsid w:val="00334065"/>
    <w:rsid w:val="00334341"/>
    <w:rsid w:val="0033442A"/>
    <w:rsid w:val="0033454C"/>
    <w:rsid w:val="00334567"/>
    <w:rsid w:val="003345ED"/>
    <w:rsid w:val="00334758"/>
    <w:rsid w:val="00334941"/>
    <w:rsid w:val="00334D05"/>
    <w:rsid w:val="003352DC"/>
    <w:rsid w:val="003352E2"/>
    <w:rsid w:val="00335334"/>
    <w:rsid w:val="00335565"/>
    <w:rsid w:val="0033559A"/>
    <w:rsid w:val="003356A4"/>
    <w:rsid w:val="00335964"/>
    <w:rsid w:val="00335DFC"/>
    <w:rsid w:val="00336003"/>
    <w:rsid w:val="00336804"/>
    <w:rsid w:val="00336996"/>
    <w:rsid w:val="00336C59"/>
    <w:rsid w:val="00336CED"/>
    <w:rsid w:val="00336D50"/>
    <w:rsid w:val="00336D58"/>
    <w:rsid w:val="00336FD8"/>
    <w:rsid w:val="00337054"/>
    <w:rsid w:val="0033714D"/>
    <w:rsid w:val="003373D9"/>
    <w:rsid w:val="003376BC"/>
    <w:rsid w:val="00337A86"/>
    <w:rsid w:val="00337B36"/>
    <w:rsid w:val="00337DE6"/>
    <w:rsid w:val="00337F22"/>
    <w:rsid w:val="0034015E"/>
    <w:rsid w:val="003401C3"/>
    <w:rsid w:val="0034029F"/>
    <w:rsid w:val="003403FC"/>
    <w:rsid w:val="00340424"/>
    <w:rsid w:val="00340475"/>
    <w:rsid w:val="0034047D"/>
    <w:rsid w:val="003404F3"/>
    <w:rsid w:val="00340522"/>
    <w:rsid w:val="0034056A"/>
    <w:rsid w:val="00340620"/>
    <w:rsid w:val="003406AC"/>
    <w:rsid w:val="003408B0"/>
    <w:rsid w:val="00340A8A"/>
    <w:rsid w:val="00340B88"/>
    <w:rsid w:val="00340BD3"/>
    <w:rsid w:val="00340C6E"/>
    <w:rsid w:val="00340D04"/>
    <w:rsid w:val="00340E27"/>
    <w:rsid w:val="00340F88"/>
    <w:rsid w:val="00341023"/>
    <w:rsid w:val="003410B1"/>
    <w:rsid w:val="00341270"/>
    <w:rsid w:val="003412A7"/>
    <w:rsid w:val="00341438"/>
    <w:rsid w:val="003416E9"/>
    <w:rsid w:val="00341738"/>
    <w:rsid w:val="00341AC7"/>
    <w:rsid w:val="00341AEC"/>
    <w:rsid w:val="00341D00"/>
    <w:rsid w:val="00341DF3"/>
    <w:rsid w:val="00341F81"/>
    <w:rsid w:val="00342101"/>
    <w:rsid w:val="00342170"/>
    <w:rsid w:val="00342214"/>
    <w:rsid w:val="00342665"/>
    <w:rsid w:val="003426BC"/>
    <w:rsid w:val="003429FD"/>
    <w:rsid w:val="00342BDB"/>
    <w:rsid w:val="00342CD9"/>
    <w:rsid w:val="00342D92"/>
    <w:rsid w:val="00342E64"/>
    <w:rsid w:val="003431BB"/>
    <w:rsid w:val="003433DF"/>
    <w:rsid w:val="0034343D"/>
    <w:rsid w:val="00343590"/>
    <w:rsid w:val="003435C8"/>
    <w:rsid w:val="0034363C"/>
    <w:rsid w:val="00343724"/>
    <w:rsid w:val="00343755"/>
    <w:rsid w:val="00343818"/>
    <w:rsid w:val="0034399D"/>
    <w:rsid w:val="00343B13"/>
    <w:rsid w:val="00343D1E"/>
    <w:rsid w:val="00344065"/>
    <w:rsid w:val="003440BC"/>
    <w:rsid w:val="003440D5"/>
    <w:rsid w:val="00344189"/>
    <w:rsid w:val="00344262"/>
    <w:rsid w:val="003442A1"/>
    <w:rsid w:val="00344391"/>
    <w:rsid w:val="003443E7"/>
    <w:rsid w:val="00344776"/>
    <w:rsid w:val="003447B9"/>
    <w:rsid w:val="0034487C"/>
    <w:rsid w:val="00344C4C"/>
    <w:rsid w:val="00344DB4"/>
    <w:rsid w:val="00344E67"/>
    <w:rsid w:val="00344F2B"/>
    <w:rsid w:val="003450F9"/>
    <w:rsid w:val="003451E5"/>
    <w:rsid w:val="0034549C"/>
    <w:rsid w:val="00345720"/>
    <w:rsid w:val="00345852"/>
    <w:rsid w:val="00345A61"/>
    <w:rsid w:val="00345A7F"/>
    <w:rsid w:val="00345DA6"/>
    <w:rsid w:val="00345F3F"/>
    <w:rsid w:val="00345FB4"/>
    <w:rsid w:val="00346062"/>
    <w:rsid w:val="0034614E"/>
    <w:rsid w:val="003463C1"/>
    <w:rsid w:val="003463FB"/>
    <w:rsid w:val="003464E9"/>
    <w:rsid w:val="003465BF"/>
    <w:rsid w:val="00346614"/>
    <w:rsid w:val="003466A1"/>
    <w:rsid w:val="00346887"/>
    <w:rsid w:val="00346B68"/>
    <w:rsid w:val="003472A5"/>
    <w:rsid w:val="003473CE"/>
    <w:rsid w:val="00347528"/>
    <w:rsid w:val="00347570"/>
    <w:rsid w:val="003475F4"/>
    <w:rsid w:val="003478C1"/>
    <w:rsid w:val="00347A70"/>
    <w:rsid w:val="00347C08"/>
    <w:rsid w:val="00347C18"/>
    <w:rsid w:val="00347C23"/>
    <w:rsid w:val="00347C3D"/>
    <w:rsid w:val="00347CF6"/>
    <w:rsid w:val="00347E0D"/>
    <w:rsid w:val="00347E38"/>
    <w:rsid w:val="00347E57"/>
    <w:rsid w:val="00347FEF"/>
    <w:rsid w:val="00350064"/>
    <w:rsid w:val="003500D4"/>
    <w:rsid w:val="003502A6"/>
    <w:rsid w:val="0035030A"/>
    <w:rsid w:val="003503A2"/>
    <w:rsid w:val="0035047C"/>
    <w:rsid w:val="0035081E"/>
    <w:rsid w:val="003508C8"/>
    <w:rsid w:val="00350AC4"/>
    <w:rsid w:val="00350CBC"/>
    <w:rsid w:val="00350D99"/>
    <w:rsid w:val="00350DF2"/>
    <w:rsid w:val="00350DFD"/>
    <w:rsid w:val="00350FD0"/>
    <w:rsid w:val="003511C3"/>
    <w:rsid w:val="003511EC"/>
    <w:rsid w:val="003512FB"/>
    <w:rsid w:val="0035155D"/>
    <w:rsid w:val="00351569"/>
    <w:rsid w:val="00351602"/>
    <w:rsid w:val="003516DA"/>
    <w:rsid w:val="003516F0"/>
    <w:rsid w:val="003518E5"/>
    <w:rsid w:val="0035193B"/>
    <w:rsid w:val="003519EA"/>
    <w:rsid w:val="00351A4C"/>
    <w:rsid w:val="00351A80"/>
    <w:rsid w:val="00351A92"/>
    <w:rsid w:val="00351C22"/>
    <w:rsid w:val="00351C72"/>
    <w:rsid w:val="00351E59"/>
    <w:rsid w:val="0035206C"/>
    <w:rsid w:val="00352237"/>
    <w:rsid w:val="00352252"/>
    <w:rsid w:val="00352356"/>
    <w:rsid w:val="00352631"/>
    <w:rsid w:val="00352825"/>
    <w:rsid w:val="00352A0A"/>
    <w:rsid w:val="00352A3D"/>
    <w:rsid w:val="00352AAC"/>
    <w:rsid w:val="003530E3"/>
    <w:rsid w:val="0035321E"/>
    <w:rsid w:val="00353253"/>
    <w:rsid w:val="00353402"/>
    <w:rsid w:val="003534F1"/>
    <w:rsid w:val="00353781"/>
    <w:rsid w:val="0035388D"/>
    <w:rsid w:val="003538B4"/>
    <w:rsid w:val="00353A95"/>
    <w:rsid w:val="00353CD1"/>
    <w:rsid w:val="00353D84"/>
    <w:rsid w:val="00353ED5"/>
    <w:rsid w:val="003540EF"/>
    <w:rsid w:val="00354158"/>
    <w:rsid w:val="003541F4"/>
    <w:rsid w:val="003543CB"/>
    <w:rsid w:val="003544CE"/>
    <w:rsid w:val="00354627"/>
    <w:rsid w:val="003547CB"/>
    <w:rsid w:val="0035480C"/>
    <w:rsid w:val="003548B1"/>
    <w:rsid w:val="003548F1"/>
    <w:rsid w:val="003549CC"/>
    <w:rsid w:val="00354A11"/>
    <w:rsid w:val="00354C00"/>
    <w:rsid w:val="00354E36"/>
    <w:rsid w:val="00354EA4"/>
    <w:rsid w:val="00354EAF"/>
    <w:rsid w:val="0035500A"/>
    <w:rsid w:val="00355375"/>
    <w:rsid w:val="0035561C"/>
    <w:rsid w:val="003556AC"/>
    <w:rsid w:val="003557D6"/>
    <w:rsid w:val="0035598D"/>
    <w:rsid w:val="00355991"/>
    <w:rsid w:val="00355C3D"/>
    <w:rsid w:val="00355CE3"/>
    <w:rsid w:val="00355F71"/>
    <w:rsid w:val="00355FBC"/>
    <w:rsid w:val="00356073"/>
    <w:rsid w:val="0035612C"/>
    <w:rsid w:val="0035614A"/>
    <w:rsid w:val="0035645E"/>
    <w:rsid w:val="0035649E"/>
    <w:rsid w:val="00356692"/>
    <w:rsid w:val="00356799"/>
    <w:rsid w:val="003569C3"/>
    <w:rsid w:val="00356C1E"/>
    <w:rsid w:val="00356EC6"/>
    <w:rsid w:val="00356F68"/>
    <w:rsid w:val="00357253"/>
    <w:rsid w:val="00357550"/>
    <w:rsid w:val="0035776D"/>
    <w:rsid w:val="00357991"/>
    <w:rsid w:val="003579B2"/>
    <w:rsid w:val="003579C5"/>
    <w:rsid w:val="00357CB7"/>
    <w:rsid w:val="00357D61"/>
    <w:rsid w:val="00357D6F"/>
    <w:rsid w:val="00357FC3"/>
    <w:rsid w:val="00357FF8"/>
    <w:rsid w:val="003600C1"/>
    <w:rsid w:val="003600F1"/>
    <w:rsid w:val="00360275"/>
    <w:rsid w:val="00360394"/>
    <w:rsid w:val="003605DD"/>
    <w:rsid w:val="00360778"/>
    <w:rsid w:val="00360A79"/>
    <w:rsid w:val="00360A7F"/>
    <w:rsid w:val="00360BCA"/>
    <w:rsid w:val="00360E2A"/>
    <w:rsid w:val="00360F84"/>
    <w:rsid w:val="00360FC9"/>
    <w:rsid w:val="00361244"/>
    <w:rsid w:val="003612F3"/>
    <w:rsid w:val="003614AE"/>
    <w:rsid w:val="003618E4"/>
    <w:rsid w:val="00361994"/>
    <w:rsid w:val="00361BE5"/>
    <w:rsid w:val="00361CBF"/>
    <w:rsid w:val="00361CED"/>
    <w:rsid w:val="00362005"/>
    <w:rsid w:val="0036205F"/>
    <w:rsid w:val="0036226E"/>
    <w:rsid w:val="003623EA"/>
    <w:rsid w:val="00362419"/>
    <w:rsid w:val="003624F1"/>
    <w:rsid w:val="00362A6C"/>
    <w:rsid w:val="00362A6E"/>
    <w:rsid w:val="00362C1F"/>
    <w:rsid w:val="00362CE0"/>
    <w:rsid w:val="00362D68"/>
    <w:rsid w:val="0036314F"/>
    <w:rsid w:val="00363165"/>
    <w:rsid w:val="003633C9"/>
    <w:rsid w:val="00363449"/>
    <w:rsid w:val="00363463"/>
    <w:rsid w:val="0036363E"/>
    <w:rsid w:val="0036391B"/>
    <w:rsid w:val="00363A59"/>
    <w:rsid w:val="00363AD4"/>
    <w:rsid w:val="00363ADE"/>
    <w:rsid w:val="00363B03"/>
    <w:rsid w:val="00363B66"/>
    <w:rsid w:val="00363C4D"/>
    <w:rsid w:val="00363DB5"/>
    <w:rsid w:val="0036403C"/>
    <w:rsid w:val="00364351"/>
    <w:rsid w:val="003643D4"/>
    <w:rsid w:val="0036440C"/>
    <w:rsid w:val="00364586"/>
    <w:rsid w:val="00364597"/>
    <w:rsid w:val="0036462E"/>
    <w:rsid w:val="003647DD"/>
    <w:rsid w:val="0036487A"/>
    <w:rsid w:val="00364889"/>
    <w:rsid w:val="00364ACA"/>
    <w:rsid w:val="00364B2B"/>
    <w:rsid w:val="00364C54"/>
    <w:rsid w:val="00364D6E"/>
    <w:rsid w:val="00364E5A"/>
    <w:rsid w:val="00364F61"/>
    <w:rsid w:val="00364FF0"/>
    <w:rsid w:val="0036512B"/>
    <w:rsid w:val="00365166"/>
    <w:rsid w:val="00365492"/>
    <w:rsid w:val="00365576"/>
    <w:rsid w:val="003655B2"/>
    <w:rsid w:val="0036566A"/>
    <w:rsid w:val="0036591D"/>
    <w:rsid w:val="00365AA0"/>
    <w:rsid w:val="00365AF9"/>
    <w:rsid w:val="00365BB0"/>
    <w:rsid w:val="00365BC4"/>
    <w:rsid w:val="00365D6D"/>
    <w:rsid w:val="00365D81"/>
    <w:rsid w:val="00365E15"/>
    <w:rsid w:val="00365F8B"/>
    <w:rsid w:val="00366141"/>
    <w:rsid w:val="00366192"/>
    <w:rsid w:val="003661CB"/>
    <w:rsid w:val="003661F5"/>
    <w:rsid w:val="003662A8"/>
    <w:rsid w:val="003663DB"/>
    <w:rsid w:val="0036667B"/>
    <w:rsid w:val="00366765"/>
    <w:rsid w:val="0036686A"/>
    <w:rsid w:val="00366B6D"/>
    <w:rsid w:val="00366D32"/>
    <w:rsid w:val="00366E4A"/>
    <w:rsid w:val="00366EE7"/>
    <w:rsid w:val="00366FF2"/>
    <w:rsid w:val="003672F6"/>
    <w:rsid w:val="0036731E"/>
    <w:rsid w:val="0036734A"/>
    <w:rsid w:val="00367366"/>
    <w:rsid w:val="00367432"/>
    <w:rsid w:val="00367616"/>
    <w:rsid w:val="0036783F"/>
    <w:rsid w:val="00367972"/>
    <w:rsid w:val="00367ABC"/>
    <w:rsid w:val="00367BA6"/>
    <w:rsid w:val="00367C30"/>
    <w:rsid w:val="00367CB4"/>
    <w:rsid w:val="00367E3F"/>
    <w:rsid w:val="00367F7D"/>
    <w:rsid w:val="00370120"/>
    <w:rsid w:val="003703A9"/>
    <w:rsid w:val="00370526"/>
    <w:rsid w:val="00370557"/>
    <w:rsid w:val="0037067F"/>
    <w:rsid w:val="00370681"/>
    <w:rsid w:val="003706F7"/>
    <w:rsid w:val="00370700"/>
    <w:rsid w:val="003709C2"/>
    <w:rsid w:val="00370A4B"/>
    <w:rsid w:val="00370AB4"/>
    <w:rsid w:val="00370AF4"/>
    <w:rsid w:val="00370B40"/>
    <w:rsid w:val="00370B47"/>
    <w:rsid w:val="00370E4F"/>
    <w:rsid w:val="00370FE0"/>
    <w:rsid w:val="00370FE9"/>
    <w:rsid w:val="003716D5"/>
    <w:rsid w:val="0037177C"/>
    <w:rsid w:val="00371F49"/>
    <w:rsid w:val="003721D7"/>
    <w:rsid w:val="00372368"/>
    <w:rsid w:val="00372972"/>
    <w:rsid w:val="00372B7B"/>
    <w:rsid w:val="00372C1F"/>
    <w:rsid w:val="00372C40"/>
    <w:rsid w:val="00372CFC"/>
    <w:rsid w:val="00372E36"/>
    <w:rsid w:val="00373050"/>
    <w:rsid w:val="0037343D"/>
    <w:rsid w:val="0037349D"/>
    <w:rsid w:val="00373644"/>
    <w:rsid w:val="00373A87"/>
    <w:rsid w:val="00373BB3"/>
    <w:rsid w:val="00373C56"/>
    <w:rsid w:val="00373DAD"/>
    <w:rsid w:val="00373DBB"/>
    <w:rsid w:val="00374011"/>
    <w:rsid w:val="00374102"/>
    <w:rsid w:val="00374381"/>
    <w:rsid w:val="003743B3"/>
    <w:rsid w:val="00374420"/>
    <w:rsid w:val="003744C6"/>
    <w:rsid w:val="0037468F"/>
    <w:rsid w:val="003747B6"/>
    <w:rsid w:val="00374949"/>
    <w:rsid w:val="003749AD"/>
    <w:rsid w:val="00374B63"/>
    <w:rsid w:val="00374D2D"/>
    <w:rsid w:val="00374D2E"/>
    <w:rsid w:val="00374DDE"/>
    <w:rsid w:val="00375052"/>
    <w:rsid w:val="0037509B"/>
    <w:rsid w:val="00375216"/>
    <w:rsid w:val="00375564"/>
    <w:rsid w:val="003755C8"/>
    <w:rsid w:val="003757AA"/>
    <w:rsid w:val="003759EB"/>
    <w:rsid w:val="00375AA9"/>
    <w:rsid w:val="00375BA9"/>
    <w:rsid w:val="00375DBC"/>
    <w:rsid w:val="00375DE9"/>
    <w:rsid w:val="00375DEE"/>
    <w:rsid w:val="00375F1E"/>
    <w:rsid w:val="003761E1"/>
    <w:rsid w:val="003762F7"/>
    <w:rsid w:val="0037665E"/>
    <w:rsid w:val="0037694D"/>
    <w:rsid w:val="00376D2B"/>
    <w:rsid w:val="00376D81"/>
    <w:rsid w:val="00376DFA"/>
    <w:rsid w:val="00377066"/>
    <w:rsid w:val="00377744"/>
    <w:rsid w:val="00377925"/>
    <w:rsid w:val="003779D2"/>
    <w:rsid w:val="00377A94"/>
    <w:rsid w:val="00377AA3"/>
    <w:rsid w:val="00377DA5"/>
    <w:rsid w:val="00377E10"/>
    <w:rsid w:val="00377E3B"/>
    <w:rsid w:val="00377F76"/>
    <w:rsid w:val="00380190"/>
    <w:rsid w:val="003803FE"/>
    <w:rsid w:val="00380746"/>
    <w:rsid w:val="00380A53"/>
    <w:rsid w:val="00380C59"/>
    <w:rsid w:val="00380D0E"/>
    <w:rsid w:val="00380D30"/>
    <w:rsid w:val="00380DFF"/>
    <w:rsid w:val="00381535"/>
    <w:rsid w:val="003815D6"/>
    <w:rsid w:val="003815FD"/>
    <w:rsid w:val="00381666"/>
    <w:rsid w:val="003816E7"/>
    <w:rsid w:val="003817AC"/>
    <w:rsid w:val="00381820"/>
    <w:rsid w:val="0038186E"/>
    <w:rsid w:val="00381985"/>
    <w:rsid w:val="00381C04"/>
    <w:rsid w:val="00381E0A"/>
    <w:rsid w:val="00381E11"/>
    <w:rsid w:val="00381F9D"/>
    <w:rsid w:val="00382140"/>
    <w:rsid w:val="003822AB"/>
    <w:rsid w:val="00382304"/>
    <w:rsid w:val="003824B8"/>
    <w:rsid w:val="003824FF"/>
    <w:rsid w:val="003826D6"/>
    <w:rsid w:val="003827D5"/>
    <w:rsid w:val="00382939"/>
    <w:rsid w:val="003829D3"/>
    <w:rsid w:val="00382CA1"/>
    <w:rsid w:val="003830CC"/>
    <w:rsid w:val="00383129"/>
    <w:rsid w:val="003832B0"/>
    <w:rsid w:val="003832D2"/>
    <w:rsid w:val="003833BE"/>
    <w:rsid w:val="00383410"/>
    <w:rsid w:val="003834D6"/>
    <w:rsid w:val="00383578"/>
    <w:rsid w:val="00383588"/>
    <w:rsid w:val="003836FF"/>
    <w:rsid w:val="00383984"/>
    <w:rsid w:val="00383A7D"/>
    <w:rsid w:val="00384329"/>
    <w:rsid w:val="003843BB"/>
    <w:rsid w:val="0038474B"/>
    <w:rsid w:val="0038475D"/>
    <w:rsid w:val="00384D7D"/>
    <w:rsid w:val="00384E0A"/>
    <w:rsid w:val="00384EA7"/>
    <w:rsid w:val="00385161"/>
    <w:rsid w:val="00385277"/>
    <w:rsid w:val="00385342"/>
    <w:rsid w:val="00385410"/>
    <w:rsid w:val="00385416"/>
    <w:rsid w:val="003854D6"/>
    <w:rsid w:val="0038551A"/>
    <w:rsid w:val="003855E8"/>
    <w:rsid w:val="00385707"/>
    <w:rsid w:val="00385784"/>
    <w:rsid w:val="00385867"/>
    <w:rsid w:val="00385929"/>
    <w:rsid w:val="00385B22"/>
    <w:rsid w:val="00385D7F"/>
    <w:rsid w:val="00385DFE"/>
    <w:rsid w:val="00385FA4"/>
    <w:rsid w:val="003861B2"/>
    <w:rsid w:val="0038643A"/>
    <w:rsid w:val="003864BA"/>
    <w:rsid w:val="0038655C"/>
    <w:rsid w:val="003866FA"/>
    <w:rsid w:val="003869DF"/>
    <w:rsid w:val="00386A60"/>
    <w:rsid w:val="00386B64"/>
    <w:rsid w:val="00386C00"/>
    <w:rsid w:val="00386C5F"/>
    <w:rsid w:val="00386CC1"/>
    <w:rsid w:val="00386ED9"/>
    <w:rsid w:val="00386F8A"/>
    <w:rsid w:val="00387096"/>
    <w:rsid w:val="00387100"/>
    <w:rsid w:val="003874A6"/>
    <w:rsid w:val="003877DF"/>
    <w:rsid w:val="0038797A"/>
    <w:rsid w:val="00387C7E"/>
    <w:rsid w:val="00387FB2"/>
    <w:rsid w:val="00390107"/>
    <w:rsid w:val="00390690"/>
    <w:rsid w:val="00390B04"/>
    <w:rsid w:val="00390B9E"/>
    <w:rsid w:val="00390E39"/>
    <w:rsid w:val="00390FB3"/>
    <w:rsid w:val="00390FC2"/>
    <w:rsid w:val="00391033"/>
    <w:rsid w:val="0039121A"/>
    <w:rsid w:val="00391276"/>
    <w:rsid w:val="003913E0"/>
    <w:rsid w:val="003913EF"/>
    <w:rsid w:val="00391454"/>
    <w:rsid w:val="00391524"/>
    <w:rsid w:val="003916BD"/>
    <w:rsid w:val="00391730"/>
    <w:rsid w:val="003917A4"/>
    <w:rsid w:val="00391951"/>
    <w:rsid w:val="00391A41"/>
    <w:rsid w:val="00391A97"/>
    <w:rsid w:val="00391C81"/>
    <w:rsid w:val="00391D85"/>
    <w:rsid w:val="003920B8"/>
    <w:rsid w:val="00392192"/>
    <w:rsid w:val="00392395"/>
    <w:rsid w:val="00392788"/>
    <w:rsid w:val="003927AF"/>
    <w:rsid w:val="003928E3"/>
    <w:rsid w:val="003928F8"/>
    <w:rsid w:val="00392B3F"/>
    <w:rsid w:val="00392BDC"/>
    <w:rsid w:val="00392C6E"/>
    <w:rsid w:val="00392D3A"/>
    <w:rsid w:val="00392E3A"/>
    <w:rsid w:val="00392FE0"/>
    <w:rsid w:val="00393200"/>
    <w:rsid w:val="00393288"/>
    <w:rsid w:val="00393374"/>
    <w:rsid w:val="003934E4"/>
    <w:rsid w:val="00393621"/>
    <w:rsid w:val="0039365E"/>
    <w:rsid w:val="00393738"/>
    <w:rsid w:val="00393779"/>
    <w:rsid w:val="003937DC"/>
    <w:rsid w:val="00393987"/>
    <w:rsid w:val="00393999"/>
    <w:rsid w:val="00393A4C"/>
    <w:rsid w:val="00393CB9"/>
    <w:rsid w:val="00393EB1"/>
    <w:rsid w:val="00393F8E"/>
    <w:rsid w:val="00393FA7"/>
    <w:rsid w:val="00394290"/>
    <w:rsid w:val="0039447D"/>
    <w:rsid w:val="0039456D"/>
    <w:rsid w:val="003945D0"/>
    <w:rsid w:val="0039475E"/>
    <w:rsid w:val="003947E1"/>
    <w:rsid w:val="003948CE"/>
    <w:rsid w:val="00394AF9"/>
    <w:rsid w:val="00394BC0"/>
    <w:rsid w:val="00394CDC"/>
    <w:rsid w:val="00394EA5"/>
    <w:rsid w:val="00394FDB"/>
    <w:rsid w:val="003950A6"/>
    <w:rsid w:val="0039562A"/>
    <w:rsid w:val="0039565D"/>
    <w:rsid w:val="003957FB"/>
    <w:rsid w:val="00395868"/>
    <w:rsid w:val="00395ADE"/>
    <w:rsid w:val="00395AE3"/>
    <w:rsid w:val="00395B02"/>
    <w:rsid w:val="00395D84"/>
    <w:rsid w:val="00395F6D"/>
    <w:rsid w:val="00395FBC"/>
    <w:rsid w:val="0039608E"/>
    <w:rsid w:val="0039633B"/>
    <w:rsid w:val="003964DA"/>
    <w:rsid w:val="003965E8"/>
    <w:rsid w:val="00396718"/>
    <w:rsid w:val="00396725"/>
    <w:rsid w:val="00396824"/>
    <w:rsid w:val="0039694F"/>
    <w:rsid w:val="00396B20"/>
    <w:rsid w:val="00396D1D"/>
    <w:rsid w:val="00396D38"/>
    <w:rsid w:val="00396E17"/>
    <w:rsid w:val="00396E91"/>
    <w:rsid w:val="00396F0F"/>
    <w:rsid w:val="0039700C"/>
    <w:rsid w:val="00397124"/>
    <w:rsid w:val="003975D7"/>
    <w:rsid w:val="0039766B"/>
    <w:rsid w:val="00397944"/>
    <w:rsid w:val="003979E6"/>
    <w:rsid w:val="00397A1E"/>
    <w:rsid w:val="00397ACC"/>
    <w:rsid w:val="00397C33"/>
    <w:rsid w:val="00397C4C"/>
    <w:rsid w:val="00397EA2"/>
    <w:rsid w:val="003A0060"/>
    <w:rsid w:val="003A0212"/>
    <w:rsid w:val="003A02D1"/>
    <w:rsid w:val="003A07F9"/>
    <w:rsid w:val="003A0952"/>
    <w:rsid w:val="003A0C2F"/>
    <w:rsid w:val="003A0D05"/>
    <w:rsid w:val="003A1082"/>
    <w:rsid w:val="003A10AF"/>
    <w:rsid w:val="003A10BB"/>
    <w:rsid w:val="003A10F8"/>
    <w:rsid w:val="003A12B0"/>
    <w:rsid w:val="003A13C8"/>
    <w:rsid w:val="003A159F"/>
    <w:rsid w:val="003A15C9"/>
    <w:rsid w:val="003A15D4"/>
    <w:rsid w:val="003A16E0"/>
    <w:rsid w:val="003A17FF"/>
    <w:rsid w:val="003A192F"/>
    <w:rsid w:val="003A198F"/>
    <w:rsid w:val="003A1DA8"/>
    <w:rsid w:val="003A1DFA"/>
    <w:rsid w:val="003A2067"/>
    <w:rsid w:val="003A20D6"/>
    <w:rsid w:val="003A219B"/>
    <w:rsid w:val="003A2302"/>
    <w:rsid w:val="003A236B"/>
    <w:rsid w:val="003A2396"/>
    <w:rsid w:val="003A23E6"/>
    <w:rsid w:val="003A25DA"/>
    <w:rsid w:val="003A260A"/>
    <w:rsid w:val="003A2724"/>
    <w:rsid w:val="003A27C7"/>
    <w:rsid w:val="003A29C1"/>
    <w:rsid w:val="003A2DC5"/>
    <w:rsid w:val="003A2EFE"/>
    <w:rsid w:val="003A2F72"/>
    <w:rsid w:val="003A3050"/>
    <w:rsid w:val="003A305B"/>
    <w:rsid w:val="003A3068"/>
    <w:rsid w:val="003A30A7"/>
    <w:rsid w:val="003A3203"/>
    <w:rsid w:val="003A3502"/>
    <w:rsid w:val="003A3891"/>
    <w:rsid w:val="003A38DF"/>
    <w:rsid w:val="003A3C6D"/>
    <w:rsid w:val="003A3EB4"/>
    <w:rsid w:val="003A452C"/>
    <w:rsid w:val="003A4538"/>
    <w:rsid w:val="003A4667"/>
    <w:rsid w:val="003A468A"/>
    <w:rsid w:val="003A471D"/>
    <w:rsid w:val="003A4B48"/>
    <w:rsid w:val="003A51BE"/>
    <w:rsid w:val="003A5373"/>
    <w:rsid w:val="003A5914"/>
    <w:rsid w:val="003A59A4"/>
    <w:rsid w:val="003A59E9"/>
    <w:rsid w:val="003A5A9C"/>
    <w:rsid w:val="003A5AA4"/>
    <w:rsid w:val="003A5B16"/>
    <w:rsid w:val="003A5B95"/>
    <w:rsid w:val="003A5C39"/>
    <w:rsid w:val="003A5E9D"/>
    <w:rsid w:val="003A5F28"/>
    <w:rsid w:val="003A5F2D"/>
    <w:rsid w:val="003A5F57"/>
    <w:rsid w:val="003A5F78"/>
    <w:rsid w:val="003A5F7F"/>
    <w:rsid w:val="003A647B"/>
    <w:rsid w:val="003A64D0"/>
    <w:rsid w:val="003A6534"/>
    <w:rsid w:val="003A6585"/>
    <w:rsid w:val="003A6693"/>
    <w:rsid w:val="003A68FB"/>
    <w:rsid w:val="003A6A4B"/>
    <w:rsid w:val="003A6D46"/>
    <w:rsid w:val="003A71DD"/>
    <w:rsid w:val="003A7218"/>
    <w:rsid w:val="003A722D"/>
    <w:rsid w:val="003A762A"/>
    <w:rsid w:val="003A7A0C"/>
    <w:rsid w:val="003A7B71"/>
    <w:rsid w:val="003A7B86"/>
    <w:rsid w:val="003A7C14"/>
    <w:rsid w:val="003A7E87"/>
    <w:rsid w:val="003B02EC"/>
    <w:rsid w:val="003B035D"/>
    <w:rsid w:val="003B04B8"/>
    <w:rsid w:val="003B0521"/>
    <w:rsid w:val="003B0631"/>
    <w:rsid w:val="003B06E9"/>
    <w:rsid w:val="003B0892"/>
    <w:rsid w:val="003B09CD"/>
    <w:rsid w:val="003B0A55"/>
    <w:rsid w:val="003B0A6E"/>
    <w:rsid w:val="003B0B8D"/>
    <w:rsid w:val="003B0C7A"/>
    <w:rsid w:val="003B0EA4"/>
    <w:rsid w:val="003B0EC6"/>
    <w:rsid w:val="003B0F9C"/>
    <w:rsid w:val="003B100C"/>
    <w:rsid w:val="003B118D"/>
    <w:rsid w:val="003B1347"/>
    <w:rsid w:val="003B145E"/>
    <w:rsid w:val="003B1593"/>
    <w:rsid w:val="003B1D3E"/>
    <w:rsid w:val="003B1E9F"/>
    <w:rsid w:val="003B1EEF"/>
    <w:rsid w:val="003B211D"/>
    <w:rsid w:val="003B224E"/>
    <w:rsid w:val="003B243A"/>
    <w:rsid w:val="003B252C"/>
    <w:rsid w:val="003B2615"/>
    <w:rsid w:val="003B2905"/>
    <w:rsid w:val="003B2B85"/>
    <w:rsid w:val="003B2C9E"/>
    <w:rsid w:val="003B2D78"/>
    <w:rsid w:val="003B2E31"/>
    <w:rsid w:val="003B3061"/>
    <w:rsid w:val="003B3223"/>
    <w:rsid w:val="003B3671"/>
    <w:rsid w:val="003B36A2"/>
    <w:rsid w:val="003B375B"/>
    <w:rsid w:val="003B3797"/>
    <w:rsid w:val="003B3A6E"/>
    <w:rsid w:val="003B3B9D"/>
    <w:rsid w:val="003B3E83"/>
    <w:rsid w:val="003B3EAD"/>
    <w:rsid w:val="003B3EAF"/>
    <w:rsid w:val="003B3F1E"/>
    <w:rsid w:val="003B3F97"/>
    <w:rsid w:val="003B42C8"/>
    <w:rsid w:val="003B4543"/>
    <w:rsid w:val="003B4598"/>
    <w:rsid w:val="003B4773"/>
    <w:rsid w:val="003B47C6"/>
    <w:rsid w:val="003B4B85"/>
    <w:rsid w:val="003B4D85"/>
    <w:rsid w:val="003B4E9D"/>
    <w:rsid w:val="003B5008"/>
    <w:rsid w:val="003B5182"/>
    <w:rsid w:val="003B52B1"/>
    <w:rsid w:val="003B540A"/>
    <w:rsid w:val="003B5645"/>
    <w:rsid w:val="003B56DC"/>
    <w:rsid w:val="003B5B64"/>
    <w:rsid w:val="003B5C50"/>
    <w:rsid w:val="003B5CB2"/>
    <w:rsid w:val="003B5D16"/>
    <w:rsid w:val="003B5F85"/>
    <w:rsid w:val="003B6006"/>
    <w:rsid w:val="003B600E"/>
    <w:rsid w:val="003B6071"/>
    <w:rsid w:val="003B6186"/>
    <w:rsid w:val="003B62E7"/>
    <w:rsid w:val="003B6413"/>
    <w:rsid w:val="003B6489"/>
    <w:rsid w:val="003B6553"/>
    <w:rsid w:val="003B66C5"/>
    <w:rsid w:val="003B6814"/>
    <w:rsid w:val="003B6A82"/>
    <w:rsid w:val="003B6AC3"/>
    <w:rsid w:val="003B6B7D"/>
    <w:rsid w:val="003B6C15"/>
    <w:rsid w:val="003B6CA3"/>
    <w:rsid w:val="003B6CCB"/>
    <w:rsid w:val="003B6D31"/>
    <w:rsid w:val="003B6FBD"/>
    <w:rsid w:val="003B77FC"/>
    <w:rsid w:val="003B7981"/>
    <w:rsid w:val="003B7A3A"/>
    <w:rsid w:val="003B7A82"/>
    <w:rsid w:val="003B7A91"/>
    <w:rsid w:val="003B7B84"/>
    <w:rsid w:val="003B7D45"/>
    <w:rsid w:val="003B7D77"/>
    <w:rsid w:val="003B7F8B"/>
    <w:rsid w:val="003C007B"/>
    <w:rsid w:val="003C0341"/>
    <w:rsid w:val="003C053D"/>
    <w:rsid w:val="003C06B6"/>
    <w:rsid w:val="003C0705"/>
    <w:rsid w:val="003C0755"/>
    <w:rsid w:val="003C0C21"/>
    <w:rsid w:val="003C0DE6"/>
    <w:rsid w:val="003C0DFD"/>
    <w:rsid w:val="003C0E8C"/>
    <w:rsid w:val="003C0F5E"/>
    <w:rsid w:val="003C11D8"/>
    <w:rsid w:val="003C128A"/>
    <w:rsid w:val="003C15FB"/>
    <w:rsid w:val="003C169E"/>
    <w:rsid w:val="003C195C"/>
    <w:rsid w:val="003C1A8F"/>
    <w:rsid w:val="003C1ACD"/>
    <w:rsid w:val="003C1B96"/>
    <w:rsid w:val="003C1BC1"/>
    <w:rsid w:val="003C1C28"/>
    <w:rsid w:val="003C1CD3"/>
    <w:rsid w:val="003C1EAA"/>
    <w:rsid w:val="003C1F8F"/>
    <w:rsid w:val="003C1FC8"/>
    <w:rsid w:val="003C1FD8"/>
    <w:rsid w:val="003C2097"/>
    <w:rsid w:val="003C20F1"/>
    <w:rsid w:val="003C2306"/>
    <w:rsid w:val="003C2360"/>
    <w:rsid w:val="003C23E9"/>
    <w:rsid w:val="003C23F4"/>
    <w:rsid w:val="003C2451"/>
    <w:rsid w:val="003C24DB"/>
    <w:rsid w:val="003C24F7"/>
    <w:rsid w:val="003C257C"/>
    <w:rsid w:val="003C25E4"/>
    <w:rsid w:val="003C274F"/>
    <w:rsid w:val="003C2933"/>
    <w:rsid w:val="003C299B"/>
    <w:rsid w:val="003C2CA8"/>
    <w:rsid w:val="003C2CB6"/>
    <w:rsid w:val="003C2CBC"/>
    <w:rsid w:val="003C2EBC"/>
    <w:rsid w:val="003C30D1"/>
    <w:rsid w:val="003C356A"/>
    <w:rsid w:val="003C375A"/>
    <w:rsid w:val="003C3B45"/>
    <w:rsid w:val="003C3C8F"/>
    <w:rsid w:val="003C3D89"/>
    <w:rsid w:val="003C407B"/>
    <w:rsid w:val="003C4129"/>
    <w:rsid w:val="003C413C"/>
    <w:rsid w:val="003C41DB"/>
    <w:rsid w:val="003C42E3"/>
    <w:rsid w:val="003C451D"/>
    <w:rsid w:val="003C4762"/>
    <w:rsid w:val="003C4778"/>
    <w:rsid w:val="003C478F"/>
    <w:rsid w:val="003C47E6"/>
    <w:rsid w:val="003C4DE1"/>
    <w:rsid w:val="003C4E9E"/>
    <w:rsid w:val="003C4EA1"/>
    <w:rsid w:val="003C4EAC"/>
    <w:rsid w:val="003C4FC0"/>
    <w:rsid w:val="003C512F"/>
    <w:rsid w:val="003C515F"/>
    <w:rsid w:val="003C516A"/>
    <w:rsid w:val="003C51B2"/>
    <w:rsid w:val="003C52DA"/>
    <w:rsid w:val="003C538A"/>
    <w:rsid w:val="003C53D2"/>
    <w:rsid w:val="003C5447"/>
    <w:rsid w:val="003C56C7"/>
    <w:rsid w:val="003C59E3"/>
    <w:rsid w:val="003C5C6C"/>
    <w:rsid w:val="003C5D68"/>
    <w:rsid w:val="003C5F5B"/>
    <w:rsid w:val="003C5FC3"/>
    <w:rsid w:val="003C617F"/>
    <w:rsid w:val="003C61E3"/>
    <w:rsid w:val="003C6237"/>
    <w:rsid w:val="003C638A"/>
    <w:rsid w:val="003C6467"/>
    <w:rsid w:val="003C6545"/>
    <w:rsid w:val="003C65CE"/>
    <w:rsid w:val="003C6951"/>
    <w:rsid w:val="003C6A56"/>
    <w:rsid w:val="003C6B00"/>
    <w:rsid w:val="003C6B3E"/>
    <w:rsid w:val="003C6C27"/>
    <w:rsid w:val="003C6CF4"/>
    <w:rsid w:val="003C6D39"/>
    <w:rsid w:val="003C6E67"/>
    <w:rsid w:val="003C6FE9"/>
    <w:rsid w:val="003C716B"/>
    <w:rsid w:val="003C71BB"/>
    <w:rsid w:val="003C733C"/>
    <w:rsid w:val="003C753C"/>
    <w:rsid w:val="003C764B"/>
    <w:rsid w:val="003C76A9"/>
    <w:rsid w:val="003C7819"/>
    <w:rsid w:val="003C7A15"/>
    <w:rsid w:val="003C7B8D"/>
    <w:rsid w:val="003C7E47"/>
    <w:rsid w:val="003C7F43"/>
    <w:rsid w:val="003D0330"/>
    <w:rsid w:val="003D03EF"/>
    <w:rsid w:val="003D0554"/>
    <w:rsid w:val="003D060E"/>
    <w:rsid w:val="003D06CC"/>
    <w:rsid w:val="003D070A"/>
    <w:rsid w:val="003D0897"/>
    <w:rsid w:val="003D0AEC"/>
    <w:rsid w:val="003D0BFB"/>
    <w:rsid w:val="003D0E7A"/>
    <w:rsid w:val="003D0E86"/>
    <w:rsid w:val="003D0ECF"/>
    <w:rsid w:val="003D0EFD"/>
    <w:rsid w:val="003D0FE9"/>
    <w:rsid w:val="003D1092"/>
    <w:rsid w:val="003D1124"/>
    <w:rsid w:val="003D14E6"/>
    <w:rsid w:val="003D1516"/>
    <w:rsid w:val="003D158A"/>
    <w:rsid w:val="003D1619"/>
    <w:rsid w:val="003D18D7"/>
    <w:rsid w:val="003D1A88"/>
    <w:rsid w:val="003D1B49"/>
    <w:rsid w:val="003D1C3A"/>
    <w:rsid w:val="003D1DAF"/>
    <w:rsid w:val="003D1DD3"/>
    <w:rsid w:val="003D1EFB"/>
    <w:rsid w:val="003D1FA4"/>
    <w:rsid w:val="003D218F"/>
    <w:rsid w:val="003D2199"/>
    <w:rsid w:val="003D22D9"/>
    <w:rsid w:val="003D238C"/>
    <w:rsid w:val="003D2464"/>
    <w:rsid w:val="003D26B4"/>
    <w:rsid w:val="003D2889"/>
    <w:rsid w:val="003D28C7"/>
    <w:rsid w:val="003D28E2"/>
    <w:rsid w:val="003D28EA"/>
    <w:rsid w:val="003D2AD0"/>
    <w:rsid w:val="003D2BAD"/>
    <w:rsid w:val="003D2D35"/>
    <w:rsid w:val="003D2E75"/>
    <w:rsid w:val="003D2FA3"/>
    <w:rsid w:val="003D33FA"/>
    <w:rsid w:val="003D35BE"/>
    <w:rsid w:val="003D3634"/>
    <w:rsid w:val="003D36D9"/>
    <w:rsid w:val="003D38B2"/>
    <w:rsid w:val="003D3A3E"/>
    <w:rsid w:val="003D3B3D"/>
    <w:rsid w:val="003D3C75"/>
    <w:rsid w:val="003D3EBA"/>
    <w:rsid w:val="003D3EDD"/>
    <w:rsid w:val="003D3F4B"/>
    <w:rsid w:val="003D417A"/>
    <w:rsid w:val="003D41F7"/>
    <w:rsid w:val="003D41FA"/>
    <w:rsid w:val="003D4259"/>
    <w:rsid w:val="003D4535"/>
    <w:rsid w:val="003D458D"/>
    <w:rsid w:val="003D45FF"/>
    <w:rsid w:val="003D469B"/>
    <w:rsid w:val="003D46B4"/>
    <w:rsid w:val="003D47BE"/>
    <w:rsid w:val="003D49EE"/>
    <w:rsid w:val="003D4A35"/>
    <w:rsid w:val="003D4A64"/>
    <w:rsid w:val="003D4AD5"/>
    <w:rsid w:val="003D4B1F"/>
    <w:rsid w:val="003D4BC1"/>
    <w:rsid w:val="003D4E53"/>
    <w:rsid w:val="003D4E63"/>
    <w:rsid w:val="003D5021"/>
    <w:rsid w:val="003D508D"/>
    <w:rsid w:val="003D50D8"/>
    <w:rsid w:val="003D514A"/>
    <w:rsid w:val="003D5171"/>
    <w:rsid w:val="003D5498"/>
    <w:rsid w:val="003D5516"/>
    <w:rsid w:val="003D5B36"/>
    <w:rsid w:val="003D5BAD"/>
    <w:rsid w:val="003D5E58"/>
    <w:rsid w:val="003D5FFE"/>
    <w:rsid w:val="003D601E"/>
    <w:rsid w:val="003D6066"/>
    <w:rsid w:val="003D60C6"/>
    <w:rsid w:val="003D616E"/>
    <w:rsid w:val="003D6371"/>
    <w:rsid w:val="003D63A8"/>
    <w:rsid w:val="003D64A7"/>
    <w:rsid w:val="003D6640"/>
    <w:rsid w:val="003D6643"/>
    <w:rsid w:val="003D68B7"/>
    <w:rsid w:val="003D6A12"/>
    <w:rsid w:val="003D6A1D"/>
    <w:rsid w:val="003D6DB3"/>
    <w:rsid w:val="003D6E96"/>
    <w:rsid w:val="003D6EB5"/>
    <w:rsid w:val="003D7006"/>
    <w:rsid w:val="003D72D9"/>
    <w:rsid w:val="003D73DA"/>
    <w:rsid w:val="003D7576"/>
    <w:rsid w:val="003D7609"/>
    <w:rsid w:val="003D760F"/>
    <w:rsid w:val="003D7773"/>
    <w:rsid w:val="003D788F"/>
    <w:rsid w:val="003D7AF5"/>
    <w:rsid w:val="003D7C02"/>
    <w:rsid w:val="003D7C74"/>
    <w:rsid w:val="003D7CB9"/>
    <w:rsid w:val="003D7D21"/>
    <w:rsid w:val="003D7D60"/>
    <w:rsid w:val="003D7ECC"/>
    <w:rsid w:val="003D7EE7"/>
    <w:rsid w:val="003D7F7C"/>
    <w:rsid w:val="003E0021"/>
    <w:rsid w:val="003E018D"/>
    <w:rsid w:val="003E018E"/>
    <w:rsid w:val="003E0219"/>
    <w:rsid w:val="003E02E3"/>
    <w:rsid w:val="003E03B1"/>
    <w:rsid w:val="003E048B"/>
    <w:rsid w:val="003E0541"/>
    <w:rsid w:val="003E0745"/>
    <w:rsid w:val="003E07BF"/>
    <w:rsid w:val="003E0A57"/>
    <w:rsid w:val="003E0E2C"/>
    <w:rsid w:val="003E12EB"/>
    <w:rsid w:val="003E1365"/>
    <w:rsid w:val="003E14F4"/>
    <w:rsid w:val="003E1758"/>
    <w:rsid w:val="003E1815"/>
    <w:rsid w:val="003E18FF"/>
    <w:rsid w:val="003E1913"/>
    <w:rsid w:val="003E1E30"/>
    <w:rsid w:val="003E1ED2"/>
    <w:rsid w:val="003E24CB"/>
    <w:rsid w:val="003E2645"/>
    <w:rsid w:val="003E270A"/>
    <w:rsid w:val="003E2752"/>
    <w:rsid w:val="003E27C4"/>
    <w:rsid w:val="003E28C7"/>
    <w:rsid w:val="003E2C23"/>
    <w:rsid w:val="003E2EAF"/>
    <w:rsid w:val="003E2F3A"/>
    <w:rsid w:val="003E321B"/>
    <w:rsid w:val="003E341B"/>
    <w:rsid w:val="003E351A"/>
    <w:rsid w:val="003E3664"/>
    <w:rsid w:val="003E36E2"/>
    <w:rsid w:val="003E3B39"/>
    <w:rsid w:val="003E3B6B"/>
    <w:rsid w:val="003E3BAC"/>
    <w:rsid w:val="003E3BD0"/>
    <w:rsid w:val="003E3D99"/>
    <w:rsid w:val="003E3FEF"/>
    <w:rsid w:val="003E424F"/>
    <w:rsid w:val="003E42B8"/>
    <w:rsid w:val="003E44F0"/>
    <w:rsid w:val="003E45C5"/>
    <w:rsid w:val="003E499A"/>
    <w:rsid w:val="003E4D3D"/>
    <w:rsid w:val="003E50D5"/>
    <w:rsid w:val="003E55D6"/>
    <w:rsid w:val="003E572F"/>
    <w:rsid w:val="003E5CBF"/>
    <w:rsid w:val="003E5E00"/>
    <w:rsid w:val="003E5F44"/>
    <w:rsid w:val="003E6054"/>
    <w:rsid w:val="003E63FC"/>
    <w:rsid w:val="003E679A"/>
    <w:rsid w:val="003E6887"/>
    <w:rsid w:val="003E6B92"/>
    <w:rsid w:val="003E6CB4"/>
    <w:rsid w:val="003E6D5B"/>
    <w:rsid w:val="003E6DDB"/>
    <w:rsid w:val="003E6DDE"/>
    <w:rsid w:val="003E6F8B"/>
    <w:rsid w:val="003E7009"/>
    <w:rsid w:val="003E70A7"/>
    <w:rsid w:val="003E7192"/>
    <w:rsid w:val="003E71FE"/>
    <w:rsid w:val="003E73D9"/>
    <w:rsid w:val="003E745A"/>
    <w:rsid w:val="003E749A"/>
    <w:rsid w:val="003E750F"/>
    <w:rsid w:val="003E7626"/>
    <w:rsid w:val="003E772C"/>
    <w:rsid w:val="003E778C"/>
    <w:rsid w:val="003E795F"/>
    <w:rsid w:val="003E79D7"/>
    <w:rsid w:val="003E7C09"/>
    <w:rsid w:val="003E7E92"/>
    <w:rsid w:val="003E7FCB"/>
    <w:rsid w:val="003F0172"/>
    <w:rsid w:val="003F03DF"/>
    <w:rsid w:val="003F06EE"/>
    <w:rsid w:val="003F0919"/>
    <w:rsid w:val="003F0952"/>
    <w:rsid w:val="003F0BAC"/>
    <w:rsid w:val="003F0CB4"/>
    <w:rsid w:val="003F0D4C"/>
    <w:rsid w:val="003F0E02"/>
    <w:rsid w:val="003F0E13"/>
    <w:rsid w:val="003F0F02"/>
    <w:rsid w:val="003F0FF0"/>
    <w:rsid w:val="003F11E5"/>
    <w:rsid w:val="003F1495"/>
    <w:rsid w:val="003F15FD"/>
    <w:rsid w:val="003F16D4"/>
    <w:rsid w:val="003F190E"/>
    <w:rsid w:val="003F1C7C"/>
    <w:rsid w:val="003F1F94"/>
    <w:rsid w:val="003F2048"/>
    <w:rsid w:val="003F2589"/>
    <w:rsid w:val="003F2755"/>
    <w:rsid w:val="003F28FD"/>
    <w:rsid w:val="003F2A00"/>
    <w:rsid w:val="003F2A28"/>
    <w:rsid w:val="003F2B4E"/>
    <w:rsid w:val="003F2CC1"/>
    <w:rsid w:val="003F2E27"/>
    <w:rsid w:val="003F2F4F"/>
    <w:rsid w:val="003F2F9E"/>
    <w:rsid w:val="003F321C"/>
    <w:rsid w:val="003F3312"/>
    <w:rsid w:val="003F3478"/>
    <w:rsid w:val="003F34BE"/>
    <w:rsid w:val="003F34F4"/>
    <w:rsid w:val="003F3606"/>
    <w:rsid w:val="003F36D9"/>
    <w:rsid w:val="003F3770"/>
    <w:rsid w:val="003F37A5"/>
    <w:rsid w:val="003F37E5"/>
    <w:rsid w:val="003F3A75"/>
    <w:rsid w:val="003F3BCF"/>
    <w:rsid w:val="003F3CD4"/>
    <w:rsid w:val="003F3D70"/>
    <w:rsid w:val="003F3EC4"/>
    <w:rsid w:val="003F3FBF"/>
    <w:rsid w:val="003F402C"/>
    <w:rsid w:val="003F4070"/>
    <w:rsid w:val="003F4313"/>
    <w:rsid w:val="003F43C0"/>
    <w:rsid w:val="003F43C6"/>
    <w:rsid w:val="003F4483"/>
    <w:rsid w:val="003F4559"/>
    <w:rsid w:val="003F4A23"/>
    <w:rsid w:val="003F4AEE"/>
    <w:rsid w:val="003F4B18"/>
    <w:rsid w:val="003F4C83"/>
    <w:rsid w:val="003F4D7F"/>
    <w:rsid w:val="003F4F2A"/>
    <w:rsid w:val="003F503B"/>
    <w:rsid w:val="003F516F"/>
    <w:rsid w:val="003F5344"/>
    <w:rsid w:val="003F57BD"/>
    <w:rsid w:val="003F5AC6"/>
    <w:rsid w:val="003F5BA9"/>
    <w:rsid w:val="003F5DD6"/>
    <w:rsid w:val="003F5E19"/>
    <w:rsid w:val="003F5F0D"/>
    <w:rsid w:val="003F5F5D"/>
    <w:rsid w:val="003F61A5"/>
    <w:rsid w:val="003F659E"/>
    <w:rsid w:val="003F65DB"/>
    <w:rsid w:val="003F661F"/>
    <w:rsid w:val="003F664B"/>
    <w:rsid w:val="003F6871"/>
    <w:rsid w:val="003F689D"/>
    <w:rsid w:val="003F69A5"/>
    <w:rsid w:val="003F6BA9"/>
    <w:rsid w:val="003F6CBC"/>
    <w:rsid w:val="003F7000"/>
    <w:rsid w:val="003F7330"/>
    <w:rsid w:val="003F76A3"/>
    <w:rsid w:val="003F77C6"/>
    <w:rsid w:val="003F794B"/>
    <w:rsid w:val="003F7A78"/>
    <w:rsid w:val="003F7C05"/>
    <w:rsid w:val="003F7D0C"/>
    <w:rsid w:val="003F7F4E"/>
    <w:rsid w:val="00400263"/>
    <w:rsid w:val="00400436"/>
    <w:rsid w:val="0040044F"/>
    <w:rsid w:val="00400562"/>
    <w:rsid w:val="0040057D"/>
    <w:rsid w:val="00400766"/>
    <w:rsid w:val="00400C27"/>
    <w:rsid w:val="00400C85"/>
    <w:rsid w:val="00400D2E"/>
    <w:rsid w:val="00400F99"/>
    <w:rsid w:val="00401094"/>
    <w:rsid w:val="0040165F"/>
    <w:rsid w:val="004019A3"/>
    <w:rsid w:val="00401D96"/>
    <w:rsid w:val="00401E66"/>
    <w:rsid w:val="00401EF4"/>
    <w:rsid w:val="00401F2D"/>
    <w:rsid w:val="00401FB7"/>
    <w:rsid w:val="00402190"/>
    <w:rsid w:val="00402210"/>
    <w:rsid w:val="004022E6"/>
    <w:rsid w:val="00402473"/>
    <w:rsid w:val="004025A3"/>
    <w:rsid w:val="0040260C"/>
    <w:rsid w:val="00402619"/>
    <w:rsid w:val="0040264B"/>
    <w:rsid w:val="00402A38"/>
    <w:rsid w:val="00402AA3"/>
    <w:rsid w:val="00402D77"/>
    <w:rsid w:val="00402E04"/>
    <w:rsid w:val="004030F3"/>
    <w:rsid w:val="00403246"/>
    <w:rsid w:val="00403283"/>
    <w:rsid w:val="004032A9"/>
    <w:rsid w:val="004033D1"/>
    <w:rsid w:val="004034DC"/>
    <w:rsid w:val="004035CC"/>
    <w:rsid w:val="00403814"/>
    <w:rsid w:val="004038BD"/>
    <w:rsid w:val="00403A21"/>
    <w:rsid w:val="00404182"/>
    <w:rsid w:val="004041A3"/>
    <w:rsid w:val="00404389"/>
    <w:rsid w:val="0040443D"/>
    <w:rsid w:val="0040451B"/>
    <w:rsid w:val="00404609"/>
    <w:rsid w:val="00404650"/>
    <w:rsid w:val="0040468D"/>
    <w:rsid w:val="00404815"/>
    <w:rsid w:val="00404841"/>
    <w:rsid w:val="0040489E"/>
    <w:rsid w:val="004048B8"/>
    <w:rsid w:val="00404946"/>
    <w:rsid w:val="00404994"/>
    <w:rsid w:val="004049B1"/>
    <w:rsid w:val="004049C9"/>
    <w:rsid w:val="00404A57"/>
    <w:rsid w:val="00404A79"/>
    <w:rsid w:val="00404BAE"/>
    <w:rsid w:val="00404C2B"/>
    <w:rsid w:val="00404FE7"/>
    <w:rsid w:val="00405466"/>
    <w:rsid w:val="00405540"/>
    <w:rsid w:val="00405666"/>
    <w:rsid w:val="0040566D"/>
    <w:rsid w:val="00405923"/>
    <w:rsid w:val="0040592D"/>
    <w:rsid w:val="004059B8"/>
    <w:rsid w:val="00405A9F"/>
    <w:rsid w:val="00405CFA"/>
    <w:rsid w:val="00405DAD"/>
    <w:rsid w:val="00405E11"/>
    <w:rsid w:val="00405F8D"/>
    <w:rsid w:val="00405FAD"/>
    <w:rsid w:val="00406150"/>
    <w:rsid w:val="004066ED"/>
    <w:rsid w:val="004069BF"/>
    <w:rsid w:val="00406A5A"/>
    <w:rsid w:val="00406A6D"/>
    <w:rsid w:val="00406B8B"/>
    <w:rsid w:val="00406BC6"/>
    <w:rsid w:val="00406D0A"/>
    <w:rsid w:val="00406DAF"/>
    <w:rsid w:val="0040761B"/>
    <w:rsid w:val="004076AF"/>
    <w:rsid w:val="004077A7"/>
    <w:rsid w:val="004078C8"/>
    <w:rsid w:val="00407DBB"/>
    <w:rsid w:val="00407DBC"/>
    <w:rsid w:val="00410107"/>
    <w:rsid w:val="00410231"/>
    <w:rsid w:val="0041025B"/>
    <w:rsid w:val="0041036B"/>
    <w:rsid w:val="00410598"/>
    <w:rsid w:val="0041073E"/>
    <w:rsid w:val="004109A8"/>
    <w:rsid w:val="00410AAB"/>
    <w:rsid w:val="00410D47"/>
    <w:rsid w:val="00410DC9"/>
    <w:rsid w:val="00410ED3"/>
    <w:rsid w:val="004114F4"/>
    <w:rsid w:val="00411759"/>
    <w:rsid w:val="004119B7"/>
    <w:rsid w:val="004119C8"/>
    <w:rsid w:val="00411D1B"/>
    <w:rsid w:val="0041206F"/>
    <w:rsid w:val="004120AD"/>
    <w:rsid w:val="0041220B"/>
    <w:rsid w:val="00412360"/>
    <w:rsid w:val="0041242B"/>
    <w:rsid w:val="004128E7"/>
    <w:rsid w:val="00412982"/>
    <w:rsid w:val="00412A25"/>
    <w:rsid w:val="00412CFE"/>
    <w:rsid w:val="00412E4A"/>
    <w:rsid w:val="00413015"/>
    <w:rsid w:val="00413147"/>
    <w:rsid w:val="0041320B"/>
    <w:rsid w:val="004134E9"/>
    <w:rsid w:val="004136E8"/>
    <w:rsid w:val="0041379C"/>
    <w:rsid w:val="0041383B"/>
    <w:rsid w:val="00413A6E"/>
    <w:rsid w:val="00413BCC"/>
    <w:rsid w:val="00413D79"/>
    <w:rsid w:val="004140A5"/>
    <w:rsid w:val="004140F4"/>
    <w:rsid w:val="004141CC"/>
    <w:rsid w:val="004141D0"/>
    <w:rsid w:val="0041438D"/>
    <w:rsid w:val="004145CA"/>
    <w:rsid w:val="00414632"/>
    <w:rsid w:val="0041466E"/>
    <w:rsid w:val="004146AF"/>
    <w:rsid w:val="004146B8"/>
    <w:rsid w:val="004147DF"/>
    <w:rsid w:val="0041496A"/>
    <w:rsid w:val="00414CFC"/>
    <w:rsid w:val="00414D10"/>
    <w:rsid w:val="00414D3E"/>
    <w:rsid w:val="00414DA1"/>
    <w:rsid w:val="00414DC4"/>
    <w:rsid w:val="00414F1C"/>
    <w:rsid w:val="00415083"/>
    <w:rsid w:val="00415107"/>
    <w:rsid w:val="00415178"/>
    <w:rsid w:val="00415193"/>
    <w:rsid w:val="00415280"/>
    <w:rsid w:val="004152EA"/>
    <w:rsid w:val="004154DA"/>
    <w:rsid w:val="0041551A"/>
    <w:rsid w:val="004155EF"/>
    <w:rsid w:val="004156C9"/>
    <w:rsid w:val="004156EF"/>
    <w:rsid w:val="004157CB"/>
    <w:rsid w:val="00415832"/>
    <w:rsid w:val="00415CEC"/>
    <w:rsid w:val="00415D0B"/>
    <w:rsid w:val="00415D26"/>
    <w:rsid w:val="00416267"/>
    <w:rsid w:val="00416290"/>
    <w:rsid w:val="004162BB"/>
    <w:rsid w:val="004163F9"/>
    <w:rsid w:val="00416419"/>
    <w:rsid w:val="004164FB"/>
    <w:rsid w:val="0041655F"/>
    <w:rsid w:val="00416634"/>
    <w:rsid w:val="00416653"/>
    <w:rsid w:val="00416736"/>
    <w:rsid w:val="004168EA"/>
    <w:rsid w:val="00416ADC"/>
    <w:rsid w:val="0041713B"/>
    <w:rsid w:val="004173EC"/>
    <w:rsid w:val="0041771C"/>
    <w:rsid w:val="00417740"/>
    <w:rsid w:val="00417B67"/>
    <w:rsid w:val="00417BF3"/>
    <w:rsid w:val="00417D0E"/>
    <w:rsid w:val="00417DF5"/>
    <w:rsid w:val="00420147"/>
    <w:rsid w:val="004201A2"/>
    <w:rsid w:val="00420259"/>
    <w:rsid w:val="0042028A"/>
    <w:rsid w:val="004202CE"/>
    <w:rsid w:val="00420372"/>
    <w:rsid w:val="0042044C"/>
    <w:rsid w:val="00420554"/>
    <w:rsid w:val="004205F7"/>
    <w:rsid w:val="00420657"/>
    <w:rsid w:val="00420A09"/>
    <w:rsid w:val="00420A2F"/>
    <w:rsid w:val="00420CAA"/>
    <w:rsid w:val="00420E4D"/>
    <w:rsid w:val="00420EE0"/>
    <w:rsid w:val="0042101F"/>
    <w:rsid w:val="004210CC"/>
    <w:rsid w:val="004210E9"/>
    <w:rsid w:val="004210F5"/>
    <w:rsid w:val="00421106"/>
    <w:rsid w:val="00421447"/>
    <w:rsid w:val="004215F0"/>
    <w:rsid w:val="00421730"/>
    <w:rsid w:val="004217CE"/>
    <w:rsid w:val="0042185C"/>
    <w:rsid w:val="00421868"/>
    <w:rsid w:val="00421B0E"/>
    <w:rsid w:val="00421E4A"/>
    <w:rsid w:val="00421E52"/>
    <w:rsid w:val="00421F0C"/>
    <w:rsid w:val="0042202A"/>
    <w:rsid w:val="00422141"/>
    <w:rsid w:val="004221BA"/>
    <w:rsid w:val="00422245"/>
    <w:rsid w:val="00422275"/>
    <w:rsid w:val="00422320"/>
    <w:rsid w:val="0042245A"/>
    <w:rsid w:val="004226F9"/>
    <w:rsid w:val="004228AE"/>
    <w:rsid w:val="00422CCA"/>
    <w:rsid w:val="00422D0A"/>
    <w:rsid w:val="0042306C"/>
    <w:rsid w:val="00423115"/>
    <w:rsid w:val="004231DD"/>
    <w:rsid w:val="004234BA"/>
    <w:rsid w:val="00423570"/>
    <w:rsid w:val="004235F4"/>
    <w:rsid w:val="004238D1"/>
    <w:rsid w:val="00423905"/>
    <w:rsid w:val="00423971"/>
    <w:rsid w:val="00423CE3"/>
    <w:rsid w:val="00423E0F"/>
    <w:rsid w:val="00423E64"/>
    <w:rsid w:val="004240BC"/>
    <w:rsid w:val="0042415E"/>
    <w:rsid w:val="004241C1"/>
    <w:rsid w:val="00424278"/>
    <w:rsid w:val="004244CC"/>
    <w:rsid w:val="004246E5"/>
    <w:rsid w:val="00424723"/>
    <w:rsid w:val="004248EF"/>
    <w:rsid w:val="00424997"/>
    <w:rsid w:val="00424A56"/>
    <w:rsid w:val="00424B93"/>
    <w:rsid w:val="00424E96"/>
    <w:rsid w:val="00424EDD"/>
    <w:rsid w:val="00425002"/>
    <w:rsid w:val="00425366"/>
    <w:rsid w:val="004254A9"/>
    <w:rsid w:val="0042553A"/>
    <w:rsid w:val="004255A5"/>
    <w:rsid w:val="00425673"/>
    <w:rsid w:val="004256C4"/>
    <w:rsid w:val="00425807"/>
    <w:rsid w:val="004258EA"/>
    <w:rsid w:val="00425DF3"/>
    <w:rsid w:val="00425F0C"/>
    <w:rsid w:val="00425F73"/>
    <w:rsid w:val="0042605C"/>
    <w:rsid w:val="00426138"/>
    <w:rsid w:val="0042634B"/>
    <w:rsid w:val="00426444"/>
    <w:rsid w:val="00426569"/>
    <w:rsid w:val="004265A0"/>
    <w:rsid w:val="00426632"/>
    <w:rsid w:val="0042673A"/>
    <w:rsid w:val="0042679F"/>
    <w:rsid w:val="00426B46"/>
    <w:rsid w:val="00426ED4"/>
    <w:rsid w:val="0042709A"/>
    <w:rsid w:val="00427259"/>
    <w:rsid w:val="0042734B"/>
    <w:rsid w:val="00427476"/>
    <w:rsid w:val="00427478"/>
    <w:rsid w:val="0042757D"/>
    <w:rsid w:val="004276B3"/>
    <w:rsid w:val="004277E5"/>
    <w:rsid w:val="0042781D"/>
    <w:rsid w:val="00427A28"/>
    <w:rsid w:val="00427A7F"/>
    <w:rsid w:val="00427B2F"/>
    <w:rsid w:val="00427BC2"/>
    <w:rsid w:val="00427DD6"/>
    <w:rsid w:val="00427EB9"/>
    <w:rsid w:val="00430068"/>
    <w:rsid w:val="0043080D"/>
    <w:rsid w:val="00430818"/>
    <w:rsid w:val="0043083A"/>
    <w:rsid w:val="00430879"/>
    <w:rsid w:val="00430904"/>
    <w:rsid w:val="00430AF2"/>
    <w:rsid w:val="00430B12"/>
    <w:rsid w:val="00430BD4"/>
    <w:rsid w:val="00430CF9"/>
    <w:rsid w:val="00430F3D"/>
    <w:rsid w:val="00430F66"/>
    <w:rsid w:val="0043106E"/>
    <w:rsid w:val="00431150"/>
    <w:rsid w:val="00431408"/>
    <w:rsid w:val="00431449"/>
    <w:rsid w:val="0043175D"/>
    <w:rsid w:val="0043180E"/>
    <w:rsid w:val="00431873"/>
    <w:rsid w:val="0043193D"/>
    <w:rsid w:val="004319FE"/>
    <w:rsid w:val="00431A0E"/>
    <w:rsid w:val="00431CFD"/>
    <w:rsid w:val="00431DAE"/>
    <w:rsid w:val="00431EF2"/>
    <w:rsid w:val="00431EF8"/>
    <w:rsid w:val="00431F53"/>
    <w:rsid w:val="00431F98"/>
    <w:rsid w:val="00431FC9"/>
    <w:rsid w:val="00432273"/>
    <w:rsid w:val="0043230E"/>
    <w:rsid w:val="00432392"/>
    <w:rsid w:val="004325C5"/>
    <w:rsid w:val="004326A9"/>
    <w:rsid w:val="00432708"/>
    <w:rsid w:val="00432761"/>
    <w:rsid w:val="00432906"/>
    <w:rsid w:val="00432B18"/>
    <w:rsid w:val="00432B94"/>
    <w:rsid w:val="00432CD9"/>
    <w:rsid w:val="00432E94"/>
    <w:rsid w:val="0043321D"/>
    <w:rsid w:val="00433432"/>
    <w:rsid w:val="00433719"/>
    <w:rsid w:val="00433847"/>
    <w:rsid w:val="0043398D"/>
    <w:rsid w:val="00433AFB"/>
    <w:rsid w:val="00433CD1"/>
    <w:rsid w:val="00433D68"/>
    <w:rsid w:val="00434104"/>
    <w:rsid w:val="00434112"/>
    <w:rsid w:val="00434227"/>
    <w:rsid w:val="004342E1"/>
    <w:rsid w:val="00434426"/>
    <w:rsid w:val="00434430"/>
    <w:rsid w:val="00434530"/>
    <w:rsid w:val="0043467E"/>
    <w:rsid w:val="004348AA"/>
    <w:rsid w:val="00434943"/>
    <w:rsid w:val="00434C69"/>
    <w:rsid w:val="004350C3"/>
    <w:rsid w:val="0043540A"/>
    <w:rsid w:val="00435618"/>
    <w:rsid w:val="004356BD"/>
    <w:rsid w:val="00435740"/>
    <w:rsid w:val="004357CD"/>
    <w:rsid w:val="00435C20"/>
    <w:rsid w:val="00435C35"/>
    <w:rsid w:val="00435D90"/>
    <w:rsid w:val="00435DF6"/>
    <w:rsid w:val="00435F98"/>
    <w:rsid w:val="00436037"/>
    <w:rsid w:val="0043624D"/>
    <w:rsid w:val="00436315"/>
    <w:rsid w:val="00436585"/>
    <w:rsid w:val="00436618"/>
    <w:rsid w:val="004368C6"/>
    <w:rsid w:val="004368DC"/>
    <w:rsid w:val="004368EE"/>
    <w:rsid w:val="00436B01"/>
    <w:rsid w:val="00436C2A"/>
    <w:rsid w:val="00436DDB"/>
    <w:rsid w:val="00437035"/>
    <w:rsid w:val="00437083"/>
    <w:rsid w:val="00437336"/>
    <w:rsid w:val="004376AE"/>
    <w:rsid w:val="00437AD1"/>
    <w:rsid w:val="00437AD9"/>
    <w:rsid w:val="00437B5F"/>
    <w:rsid w:val="00437C3F"/>
    <w:rsid w:val="00437CCB"/>
    <w:rsid w:val="00437DBF"/>
    <w:rsid w:val="00437F9A"/>
    <w:rsid w:val="00440040"/>
    <w:rsid w:val="00440260"/>
    <w:rsid w:val="004402C3"/>
    <w:rsid w:val="00440385"/>
    <w:rsid w:val="004407F3"/>
    <w:rsid w:val="0044083A"/>
    <w:rsid w:val="00440A59"/>
    <w:rsid w:val="00440A5C"/>
    <w:rsid w:val="00440A76"/>
    <w:rsid w:val="00440ABF"/>
    <w:rsid w:val="00440C3D"/>
    <w:rsid w:val="00440C64"/>
    <w:rsid w:val="00440CA0"/>
    <w:rsid w:val="00440E0E"/>
    <w:rsid w:val="00440EE3"/>
    <w:rsid w:val="00440FCD"/>
    <w:rsid w:val="0044117F"/>
    <w:rsid w:val="004411A6"/>
    <w:rsid w:val="004412A2"/>
    <w:rsid w:val="004413CC"/>
    <w:rsid w:val="004414AA"/>
    <w:rsid w:val="0044150A"/>
    <w:rsid w:val="00441643"/>
    <w:rsid w:val="00441672"/>
    <w:rsid w:val="004417B5"/>
    <w:rsid w:val="0044180F"/>
    <w:rsid w:val="004418F3"/>
    <w:rsid w:val="00441AAF"/>
    <w:rsid w:val="00441BBD"/>
    <w:rsid w:val="00441D71"/>
    <w:rsid w:val="00441DDD"/>
    <w:rsid w:val="00441E87"/>
    <w:rsid w:val="00441F17"/>
    <w:rsid w:val="00441F45"/>
    <w:rsid w:val="00442173"/>
    <w:rsid w:val="00442594"/>
    <w:rsid w:val="004425A8"/>
    <w:rsid w:val="00442829"/>
    <w:rsid w:val="00442CCA"/>
    <w:rsid w:val="00442FC3"/>
    <w:rsid w:val="0044314F"/>
    <w:rsid w:val="00443261"/>
    <w:rsid w:val="00443434"/>
    <w:rsid w:val="004437C7"/>
    <w:rsid w:val="00443A50"/>
    <w:rsid w:val="00443ADF"/>
    <w:rsid w:val="00443D7A"/>
    <w:rsid w:val="00443DE6"/>
    <w:rsid w:val="00444687"/>
    <w:rsid w:val="004446BD"/>
    <w:rsid w:val="0044471E"/>
    <w:rsid w:val="0044481B"/>
    <w:rsid w:val="00444993"/>
    <w:rsid w:val="00444A3E"/>
    <w:rsid w:val="00444AB1"/>
    <w:rsid w:val="00444C2B"/>
    <w:rsid w:val="00444D12"/>
    <w:rsid w:val="00444D14"/>
    <w:rsid w:val="00444DFC"/>
    <w:rsid w:val="00444EEE"/>
    <w:rsid w:val="00444F5E"/>
    <w:rsid w:val="00445025"/>
    <w:rsid w:val="004452CD"/>
    <w:rsid w:val="0044534E"/>
    <w:rsid w:val="004453F7"/>
    <w:rsid w:val="00445494"/>
    <w:rsid w:val="0044556A"/>
    <w:rsid w:val="004456A5"/>
    <w:rsid w:val="004458AA"/>
    <w:rsid w:val="004458CF"/>
    <w:rsid w:val="00445D78"/>
    <w:rsid w:val="00445EF9"/>
    <w:rsid w:val="00445F59"/>
    <w:rsid w:val="00446178"/>
    <w:rsid w:val="004462A8"/>
    <w:rsid w:val="00446309"/>
    <w:rsid w:val="004463A7"/>
    <w:rsid w:val="004464E8"/>
    <w:rsid w:val="004468EE"/>
    <w:rsid w:val="00446B0D"/>
    <w:rsid w:val="0044701A"/>
    <w:rsid w:val="004470CF"/>
    <w:rsid w:val="004471D3"/>
    <w:rsid w:val="00447281"/>
    <w:rsid w:val="00447283"/>
    <w:rsid w:val="004473C9"/>
    <w:rsid w:val="00447423"/>
    <w:rsid w:val="004475C6"/>
    <w:rsid w:val="0044761C"/>
    <w:rsid w:val="00447953"/>
    <w:rsid w:val="00447C74"/>
    <w:rsid w:val="00447CAC"/>
    <w:rsid w:val="00447D51"/>
    <w:rsid w:val="00447ED5"/>
    <w:rsid w:val="00447F48"/>
    <w:rsid w:val="00450073"/>
    <w:rsid w:val="00450561"/>
    <w:rsid w:val="00450611"/>
    <w:rsid w:val="0045090C"/>
    <w:rsid w:val="0045098F"/>
    <w:rsid w:val="00450ADF"/>
    <w:rsid w:val="00450AF5"/>
    <w:rsid w:val="00450B2C"/>
    <w:rsid w:val="00450BB6"/>
    <w:rsid w:val="00450C76"/>
    <w:rsid w:val="00450CA4"/>
    <w:rsid w:val="004511D7"/>
    <w:rsid w:val="00451270"/>
    <w:rsid w:val="004512E6"/>
    <w:rsid w:val="004512F1"/>
    <w:rsid w:val="004517F8"/>
    <w:rsid w:val="00451BA7"/>
    <w:rsid w:val="00451CCB"/>
    <w:rsid w:val="00451D94"/>
    <w:rsid w:val="00451F06"/>
    <w:rsid w:val="00452249"/>
    <w:rsid w:val="0045240B"/>
    <w:rsid w:val="00452436"/>
    <w:rsid w:val="004524F1"/>
    <w:rsid w:val="004525D8"/>
    <w:rsid w:val="0045262D"/>
    <w:rsid w:val="00452828"/>
    <w:rsid w:val="00452A0E"/>
    <w:rsid w:val="00452A14"/>
    <w:rsid w:val="00452A1F"/>
    <w:rsid w:val="00452AFE"/>
    <w:rsid w:val="00452C09"/>
    <w:rsid w:val="00452EBD"/>
    <w:rsid w:val="00452F3E"/>
    <w:rsid w:val="00452FE0"/>
    <w:rsid w:val="004531BA"/>
    <w:rsid w:val="0045320D"/>
    <w:rsid w:val="0045343F"/>
    <w:rsid w:val="004534D1"/>
    <w:rsid w:val="0045369F"/>
    <w:rsid w:val="0045374A"/>
    <w:rsid w:val="0045382A"/>
    <w:rsid w:val="0045382F"/>
    <w:rsid w:val="004538BE"/>
    <w:rsid w:val="0045393D"/>
    <w:rsid w:val="004539AD"/>
    <w:rsid w:val="00453ABB"/>
    <w:rsid w:val="00453CA8"/>
    <w:rsid w:val="00453D55"/>
    <w:rsid w:val="00453E6D"/>
    <w:rsid w:val="00453E8F"/>
    <w:rsid w:val="0045414C"/>
    <w:rsid w:val="0045417A"/>
    <w:rsid w:val="0045421A"/>
    <w:rsid w:val="00454555"/>
    <w:rsid w:val="004546DC"/>
    <w:rsid w:val="00454859"/>
    <w:rsid w:val="00454ABE"/>
    <w:rsid w:val="00454BA2"/>
    <w:rsid w:val="00454BF6"/>
    <w:rsid w:val="00454C70"/>
    <w:rsid w:val="00454F48"/>
    <w:rsid w:val="00454F4B"/>
    <w:rsid w:val="00455178"/>
    <w:rsid w:val="0045521F"/>
    <w:rsid w:val="00455ADC"/>
    <w:rsid w:val="00455B8F"/>
    <w:rsid w:val="00455D75"/>
    <w:rsid w:val="00455E93"/>
    <w:rsid w:val="00455EA9"/>
    <w:rsid w:val="004562CE"/>
    <w:rsid w:val="00456312"/>
    <w:rsid w:val="004563FE"/>
    <w:rsid w:val="00456550"/>
    <w:rsid w:val="00456555"/>
    <w:rsid w:val="0045670E"/>
    <w:rsid w:val="0045675D"/>
    <w:rsid w:val="00456763"/>
    <w:rsid w:val="00456784"/>
    <w:rsid w:val="004567B4"/>
    <w:rsid w:val="004567F7"/>
    <w:rsid w:val="0045680A"/>
    <w:rsid w:val="00456A0A"/>
    <w:rsid w:val="00456A75"/>
    <w:rsid w:val="00456BFC"/>
    <w:rsid w:val="00456C57"/>
    <w:rsid w:val="00456CCD"/>
    <w:rsid w:val="00456D07"/>
    <w:rsid w:val="00456E15"/>
    <w:rsid w:val="00456E43"/>
    <w:rsid w:val="00456EC8"/>
    <w:rsid w:val="00456FAE"/>
    <w:rsid w:val="0045739D"/>
    <w:rsid w:val="004573C1"/>
    <w:rsid w:val="004576E9"/>
    <w:rsid w:val="00457836"/>
    <w:rsid w:val="0045788F"/>
    <w:rsid w:val="004579BB"/>
    <w:rsid w:val="004579EE"/>
    <w:rsid w:val="00457A01"/>
    <w:rsid w:val="00457BDF"/>
    <w:rsid w:val="00457D55"/>
    <w:rsid w:val="00457D5D"/>
    <w:rsid w:val="00460118"/>
    <w:rsid w:val="004601FA"/>
    <w:rsid w:val="004604BA"/>
    <w:rsid w:val="00460507"/>
    <w:rsid w:val="0046061A"/>
    <w:rsid w:val="004606C1"/>
    <w:rsid w:val="0046082B"/>
    <w:rsid w:val="00460864"/>
    <w:rsid w:val="004609F3"/>
    <w:rsid w:val="00460D9B"/>
    <w:rsid w:val="00460E70"/>
    <w:rsid w:val="0046108E"/>
    <w:rsid w:val="00461185"/>
    <w:rsid w:val="004611AC"/>
    <w:rsid w:val="004611DC"/>
    <w:rsid w:val="00461778"/>
    <w:rsid w:val="00461779"/>
    <w:rsid w:val="0046182A"/>
    <w:rsid w:val="00461A1A"/>
    <w:rsid w:val="00461A35"/>
    <w:rsid w:val="00461C08"/>
    <w:rsid w:val="00461C66"/>
    <w:rsid w:val="00461CC4"/>
    <w:rsid w:val="00461D18"/>
    <w:rsid w:val="00461D76"/>
    <w:rsid w:val="00461DD6"/>
    <w:rsid w:val="00461DEB"/>
    <w:rsid w:val="00461E8F"/>
    <w:rsid w:val="00461F21"/>
    <w:rsid w:val="00462202"/>
    <w:rsid w:val="0046223D"/>
    <w:rsid w:val="0046225D"/>
    <w:rsid w:val="0046239C"/>
    <w:rsid w:val="0046258A"/>
    <w:rsid w:val="00462624"/>
    <w:rsid w:val="00462753"/>
    <w:rsid w:val="004628FA"/>
    <w:rsid w:val="00462953"/>
    <w:rsid w:val="00462AB0"/>
    <w:rsid w:val="00462C28"/>
    <w:rsid w:val="00462D82"/>
    <w:rsid w:val="00462E85"/>
    <w:rsid w:val="004632B1"/>
    <w:rsid w:val="004633C0"/>
    <w:rsid w:val="00463492"/>
    <w:rsid w:val="00463714"/>
    <w:rsid w:val="0046391F"/>
    <w:rsid w:val="00463943"/>
    <w:rsid w:val="004639A5"/>
    <w:rsid w:val="00463AF6"/>
    <w:rsid w:val="00463B0B"/>
    <w:rsid w:val="00463BA6"/>
    <w:rsid w:val="00463CD9"/>
    <w:rsid w:val="00464124"/>
    <w:rsid w:val="0046414D"/>
    <w:rsid w:val="004643E1"/>
    <w:rsid w:val="004645C5"/>
    <w:rsid w:val="004648AA"/>
    <w:rsid w:val="004649D1"/>
    <w:rsid w:val="004649D6"/>
    <w:rsid w:val="004649E7"/>
    <w:rsid w:val="00464AA3"/>
    <w:rsid w:val="00464F55"/>
    <w:rsid w:val="00465027"/>
    <w:rsid w:val="0046512E"/>
    <w:rsid w:val="0046516E"/>
    <w:rsid w:val="004652B8"/>
    <w:rsid w:val="004652CE"/>
    <w:rsid w:val="0046532C"/>
    <w:rsid w:val="00465380"/>
    <w:rsid w:val="00465385"/>
    <w:rsid w:val="004655B9"/>
    <w:rsid w:val="0046576D"/>
    <w:rsid w:val="00465A53"/>
    <w:rsid w:val="00465DBD"/>
    <w:rsid w:val="00465F4A"/>
    <w:rsid w:val="00465FC9"/>
    <w:rsid w:val="00466476"/>
    <w:rsid w:val="00466734"/>
    <w:rsid w:val="00466955"/>
    <w:rsid w:val="00466981"/>
    <w:rsid w:val="00466A93"/>
    <w:rsid w:val="00466BC0"/>
    <w:rsid w:val="00466C11"/>
    <w:rsid w:val="00466C85"/>
    <w:rsid w:val="00466FD1"/>
    <w:rsid w:val="00467123"/>
    <w:rsid w:val="00467243"/>
    <w:rsid w:val="0046725C"/>
    <w:rsid w:val="0046772B"/>
    <w:rsid w:val="0046783B"/>
    <w:rsid w:val="00467920"/>
    <w:rsid w:val="00467A84"/>
    <w:rsid w:val="00467B6F"/>
    <w:rsid w:val="00467E23"/>
    <w:rsid w:val="004700D8"/>
    <w:rsid w:val="0047015D"/>
    <w:rsid w:val="004701A6"/>
    <w:rsid w:val="0047034E"/>
    <w:rsid w:val="0047065A"/>
    <w:rsid w:val="0047071E"/>
    <w:rsid w:val="00470764"/>
    <w:rsid w:val="00470A39"/>
    <w:rsid w:val="00470C0C"/>
    <w:rsid w:val="00471249"/>
    <w:rsid w:val="0047140A"/>
    <w:rsid w:val="00471424"/>
    <w:rsid w:val="0047148A"/>
    <w:rsid w:val="00471528"/>
    <w:rsid w:val="00471540"/>
    <w:rsid w:val="00471A5A"/>
    <w:rsid w:val="00471B27"/>
    <w:rsid w:val="00471B52"/>
    <w:rsid w:val="00471C9F"/>
    <w:rsid w:val="00471F12"/>
    <w:rsid w:val="00471F83"/>
    <w:rsid w:val="00471FB3"/>
    <w:rsid w:val="00472000"/>
    <w:rsid w:val="00472007"/>
    <w:rsid w:val="00472045"/>
    <w:rsid w:val="004722B0"/>
    <w:rsid w:val="0047231B"/>
    <w:rsid w:val="004723A3"/>
    <w:rsid w:val="004725D6"/>
    <w:rsid w:val="0047305A"/>
    <w:rsid w:val="004733BB"/>
    <w:rsid w:val="0047350F"/>
    <w:rsid w:val="00473601"/>
    <w:rsid w:val="00473A97"/>
    <w:rsid w:val="00473E51"/>
    <w:rsid w:val="00473E57"/>
    <w:rsid w:val="00473E7E"/>
    <w:rsid w:val="00473FC9"/>
    <w:rsid w:val="00473FEA"/>
    <w:rsid w:val="004740BD"/>
    <w:rsid w:val="004740CC"/>
    <w:rsid w:val="0047414F"/>
    <w:rsid w:val="00474459"/>
    <w:rsid w:val="00474549"/>
    <w:rsid w:val="00474646"/>
    <w:rsid w:val="004746F3"/>
    <w:rsid w:val="004747B6"/>
    <w:rsid w:val="004747FE"/>
    <w:rsid w:val="00474816"/>
    <w:rsid w:val="0047483D"/>
    <w:rsid w:val="0047490E"/>
    <w:rsid w:val="00474947"/>
    <w:rsid w:val="00474992"/>
    <w:rsid w:val="00474CD4"/>
    <w:rsid w:val="00474D16"/>
    <w:rsid w:val="00474D26"/>
    <w:rsid w:val="00474EF5"/>
    <w:rsid w:val="00475068"/>
    <w:rsid w:val="0047507F"/>
    <w:rsid w:val="00475198"/>
    <w:rsid w:val="004751B8"/>
    <w:rsid w:val="004751FD"/>
    <w:rsid w:val="00475325"/>
    <w:rsid w:val="004754C1"/>
    <w:rsid w:val="0047551F"/>
    <w:rsid w:val="00475705"/>
    <w:rsid w:val="00475843"/>
    <w:rsid w:val="00475945"/>
    <w:rsid w:val="00475D14"/>
    <w:rsid w:val="00475E11"/>
    <w:rsid w:val="00475E1A"/>
    <w:rsid w:val="00475FD7"/>
    <w:rsid w:val="00475FF4"/>
    <w:rsid w:val="0047623B"/>
    <w:rsid w:val="0047665E"/>
    <w:rsid w:val="00476B20"/>
    <w:rsid w:val="00476B48"/>
    <w:rsid w:val="00476B5E"/>
    <w:rsid w:val="00476C06"/>
    <w:rsid w:val="00476C9D"/>
    <w:rsid w:val="00476DBA"/>
    <w:rsid w:val="00476F52"/>
    <w:rsid w:val="004770D8"/>
    <w:rsid w:val="0047740A"/>
    <w:rsid w:val="00477442"/>
    <w:rsid w:val="00477492"/>
    <w:rsid w:val="004776FB"/>
    <w:rsid w:val="00477AE2"/>
    <w:rsid w:val="00477F34"/>
    <w:rsid w:val="00477FC4"/>
    <w:rsid w:val="004802CF"/>
    <w:rsid w:val="0048030D"/>
    <w:rsid w:val="00480364"/>
    <w:rsid w:val="004803F6"/>
    <w:rsid w:val="0048077F"/>
    <w:rsid w:val="0048095F"/>
    <w:rsid w:val="00480AA8"/>
    <w:rsid w:val="00480C24"/>
    <w:rsid w:val="00480F9D"/>
    <w:rsid w:val="00480FEE"/>
    <w:rsid w:val="004810D1"/>
    <w:rsid w:val="00481198"/>
    <w:rsid w:val="00481433"/>
    <w:rsid w:val="0048184A"/>
    <w:rsid w:val="00481A51"/>
    <w:rsid w:val="00481B24"/>
    <w:rsid w:val="004822EA"/>
    <w:rsid w:val="00482615"/>
    <w:rsid w:val="00482654"/>
    <w:rsid w:val="00482813"/>
    <w:rsid w:val="004828B2"/>
    <w:rsid w:val="00482A40"/>
    <w:rsid w:val="00482D8C"/>
    <w:rsid w:val="00482FD3"/>
    <w:rsid w:val="00482FF2"/>
    <w:rsid w:val="00483073"/>
    <w:rsid w:val="00483397"/>
    <w:rsid w:val="00483555"/>
    <w:rsid w:val="00483CE0"/>
    <w:rsid w:val="00483D44"/>
    <w:rsid w:val="0048432D"/>
    <w:rsid w:val="004843A4"/>
    <w:rsid w:val="004843CD"/>
    <w:rsid w:val="00484426"/>
    <w:rsid w:val="00484497"/>
    <w:rsid w:val="004844D8"/>
    <w:rsid w:val="004844FA"/>
    <w:rsid w:val="00484680"/>
    <w:rsid w:val="004846F3"/>
    <w:rsid w:val="00484869"/>
    <w:rsid w:val="00484A97"/>
    <w:rsid w:val="00484B2C"/>
    <w:rsid w:val="00484B3C"/>
    <w:rsid w:val="00484BE0"/>
    <w:rsid w:val="00484FB6"/>
    <w:rsid w:val="0048500E"/>
    <w:rsid w:val="00485167"/>
    <w:rsid w:val="004852DF"/>
    <w:rsid w:val="00485327"/>
    <w:rsid w:val="004853A5"/>
    <w:rsid w:val="00485418"/>
    <w:rsid w:val="00485437"/>
    <w:rsid w:val="004859AF"/>
    <w:rsid w:val="00485B2B"/>
    <w:rsid w:val="00485D09"/>
    <w:rsid w:val="00485DDD"/>
    <w:rsid w:val="00485E5C"/>
    <w:rsid w:val="00485E66"/>
    <w:rsid w:val="00485F4D"/>
    <w:rsid w:val="004862BA"/>
    <w:rsid w:val="0048646D"/>
    <w:rsid w:val="004865F1"/>
    <w:rsid w:val="00486638"/>
    <w:rsid w:val="004866B2"/>
    <w:rsid w:val="00486720"/>
    <w:rsid w:val="00486756"/>
    <w:rsid w:val="00486911"/>
    <w:rsid w:val="00486A18"/>
    <w:rsid w:val="00486B15"/>
    <w:rsid w:val="00486B8D"/>
    <w:rsid w:val="00486BF2"/>
    <w:rsid w:val="00486C4B"/>
    <w:rsid w:val="00486CE4"/>
    <w:rsid w:val="00487017"/>
    <w:rsid w:val="004870E5"/>
    <w:rsid w:val="0048719C"/>
    <w:rsid w:val="00487315"/>
    <w:rsid w:val="00487372"/>
    <w:rsid w:val="004875BC"/>
    <w:rsid w:val="004879A0"/>
    <w:rsid w:val="004879C0"/>
    <w:rsid w:val="00487A41"/>
    <w:rsid w:val="00487A6C"/>
    <w:rsid w:val="00490042"/>
    <w:rsid w:val="0049067A"/>
    <w:rsid w:val="00490717"/>
    <w:rsid w:val="004908A3"/>
    <w:rsid w:val="004908BB"/>
    <w:rsid w:val="00490933"/>
    <w:rsid w:val="004909CC"/>
    <w:rsid w:val="00490A98"/>
    <w:rsid w:val="00490AAC"/>
    <w:rsid w:val="00490CBC"/>
    <w:rsid w:val="00490CE8"/>
    <w:rsid w:val="00490DE4"/>
    <w:rsid w:val="00490F13"/>
    <w:rsid w:val="00491039"/>
    <w:rsid w:val="0049111C"/>
    <w:rsid w:val="004912F0"/>
    <w:rsid w:val="004912FC"/>
    <w:rsid w:val="00491317"/>
    <w:rsid w:val="004913D9"/>
    <w:rsid w:val="00491558"/>
    <w:rsid w:val="00491680"/>
    <w:rsid w:val="00491782"/>
    <w:rsid w:val="00491835"/>
    <w:rsid w:val="00491A22"/>
    <w:rsid w:val="00491C2A"/>
    <w:rsid w:val="00491C84"/>
    <w:rsid w:val="00491CF6"/>
    <w:rsid w:val="00491DBA"/>
    <w:rsid w:val="004921B3"/>
    <w:rsid w:val="00492371"/>
    <w:rsid w:val="004923A7"/>
    <w:rsid w:val="004924E7"/>
    <w:rsid w:val="00492BA7"/>
    <w:rsid w:val="00492C20"/>
    <w:rsid w:val="00492C23"/>
    <w:rsid w:val="00492D07"/>
    <w:rsid w:val="00492E6A"/>
    <w:rsid w:val="00492ECD"/>
    <w:rsid w:val="00492F3C"/>
    <w:rsid w:val="0049305C"/>
    <w:rsid w:val="00493125"/>
    <w:rsid w:val="004932A3"/>
    <w:rsid w:val="0049339A"/>
    <w:rsid w:val="004934F3"/>
    <w:rsid w:val="0049376E"/>
    <w:rsid w:val="00493CC4"/>
    <w:rsid w:val="00493E86"/>
    <w:rsid w:val="00493F72"/>
    <w:rsid w:val="004943FA"/>
    <w:rsid w:val="00494526"/>
    <w:rsid w:val="004947BF"/>
    <w:rsid w:val="004947F4"/>
    <w:rsid w:val="00494985"/>
    <w:rsid w:val="004949D4"/>
    <w:rsid w:val="00494D59"/>
    <w:rsid w:val="00494F7A"/>
    <w:rsid w:val="00494F9D"/>
    <w:rsid w:val="00495671"/>
    <w:rsid w:val="0049578C"/>
    <w:rsid w:val="00495804"/>
    <w:rsid w:val="004959AB"/>
    <w:rsid w:val="00495A37"/>
    <w:rsid w:val="00495ABF"/>
    <w:rsid w:val="00495BCB"/>
    <w:rsid w:val="00495C0E"/>
    <w:rsid w:val="00495CE1"/>
    <w:rsid w:val="00495E71"/>
    <w:rsid w:val="00495F51"/>
    <w:rsid w:val="00496164"/>
    <w:rsid w:val="004961F8"/>
    <w:rsid w:val="004963BF"/>
    <w:rsid w:val="00496617"/>
    <w:rsid w:val="00496625"/>
    <w:rsid w:val="00496745"/>
    <w:rsid w:val="00496783"/>
    <w:rsid w:val="00496898"/>
    <w:rsid w:val="00496C16"/>
    <w:rsid w:val="00496CAD"/>
    <w:rsid w:val="00496D71"/>
    <w:rsid w:val="00496E3C"/>
    <w:rsid w:val="00497233"/>
    <w:rsid w:val="0049734D"/>
    <w:rsid w:val="00497534"/>
    <w:rsid w:val="004975AC"/>
    <w:rsid w:val="00497817"/>
    <w:rsid w:val="00497912"/>
    <w:rsid w:val="00497929"/>
    <w:rsid w:val="00497A6F"/>
    <w:rsid w:val="00497B18"/>
    <w:rsid w:val="00497B1F"/>
    <w:rsid w:val="00497B6B"/>
    <w:rsid w:val="00497CC7"/>
    <w:rsid w:val="00497CD2"/>
    <w:rsid w:val="00497CE6"/>
    <w:rsid w:val="00497CF7"/>
    <w:rsid w:val="00497EDA"/>
    <w:rsid w:val="00497F67"/>
    <w:rsid w:val="004A01A7"/>
    <w:rsid w:val="004A01D7"/>
    <w:rsid w:val="004A031E"/>
    <w:rsid w:val="004A04A6"/>
    <w:rsid w:val="004A04B1"/>
    <w:rsid w:val="004A065E"/>
    <w:rsid w:val="004A0667"/>
    <w:rsid w:val="004A07DF"/>
    <w:rsid w:val="004A0B1D"/>
    <w:rsid w:val="004A0C23"/>
    <w:rsid w:val="004A0C9D"/>
    <w:rsid w:val="004A0F1D"/>
    <w:rsid w:val="004A0F51"/>
    <w:rsid w:val="004A0FED"/>
    <w:rsid w:val="004A1220"/>
    <w:rsid w:val="004A1644"/>
    <w:rsid w:val="004A170C"/>
    <w:rsid w:val="004A1A20"/>
    <w:rsid w:val="004A1AD6"/>
    <w:rsid w:val="004A1CD8"/>
    <w:rsid w:val="004A1D1F"/>
    <w:rsid w:val="004A1DBE"/>
    <w:rsid w:val="004A1FB6"/>
    <w:rsid w:val="004A2143"/>
    <w:rsid w:val="004A2428"/>
    <w:rsid w:val="004A242E"/>
    <w:rsid w:val="004A27C8"/>
    <w:rsid w:val="004A2A09"/>
    <w:rsid w:val="004A2AD2"/>
    <w:rsid w:val="004A2B20"/>
    <w:rsid w:val="004A2E74"/>
    <w:rsid w:val="004A3174"/>
    <w:rsid w:val="004A3359"/>
    <w:rsid w:val="004A3386"/>
    <w:rsid w:val="004A34CD"/>
    <w:rsid w:val="004A3589"/>
    <w:rsid w:val="004A3ABF"/>
    <w:rsid w:val="004A3E83"/>
    <w:rsid w:val="004A3EB5"/>
    <w:rsid w:val="004A421D"/>
    <w:rsid w:val="004A43E7"/>
    <w:rsid w:val="004A468C"/>
    <w:rsid w:val="004A4754"/>
    <w:rsid w:val="004A476E"/>
    <w:rsid w:val="004A47B8"/>
    <w:rsid w:val="004A492E"/>
    <w:rsid w:val="004A4C24"/>
    <w:rsid w:val="004A4E70"/>
    <w:rsid w:val="004A4EE4"/>
    <w:rsid w:val="004A4EE8"/>
    <w:rsid w:val="004A4FAE"/>
    <w:rsid w:val="004A5059"/>
    <w:rsid w:val="004A52DF"/>
    <w:rsid w:val="004A53AB"/>
    <w:rsid w:val="004A5426"/>
    <w:rsid w:val="004A55B2"/>
    <w:rsid w:val="004A55E0"/>
    <w:rsid w:val="004A57E9"/>
    <w:rsid w:val="004A5922"/>
    <w:rsid w:val="004A5933"/>
    <w:rsid w:val="004A5934"/>
    <w:rsid w:val="004A59BA"/>
    <w:rsid w:val="004A5AEB"/>
    <w:rsid w:val="004A5CD4"/>
    <w:rsid w:val="004A5CF4"/>
    <w:rsid w:val="004A5D3E"/>
    <w:rsid w:val="004A5D98"/>
    <w:rsid w:val="004A5E17"/>
    <w:rsid w:val="004A6156"/>
    <w:rsid w:val="004A6256"/>
    <w:rsid w:val="004A62F9"/>
    <w:rsid w:val="004A64D1"/>
    <w:rsid w:val="004A6713"/>
    <w:rsid w:val="004A6837"/>
    <w:rsid w:val="004A6D1E"/>
    <w:rsid w:val="004A6EA4"/>
    <w:rsid w:val="004A6FA0"/>
    <w:rsid w:val="004A704F"/>
    <w:rsid w:val="004A7335"/>
    <w:rsid w:val="004A76AA"/>
    <w:rsid w:val="004A778F"/>
    <w:rsid w:val="004A77B7"/>
    <w:rsid w:val="004A77D3"/>
    <w:rsid w:val="004A7D85"/>
    <w:rsid w:val="004B0347"/>
    <w:rsid w:val="004B04A6"/>
    <w:rsid w:val="004B0540"/>
    <w:rsid w:val="004B058B"/>
    <w:rsid w:val="004B05F8"/>
    <w:rsid w:val="004B06FA"/>
    <w:rsid w:val="004B0A75"/>
    <w:rsid w:val="004B0AD0"/>
    <w:rsid w:val="004B0FDB"/>
    <w:rsid w:val="004B1177"/>
    <w:rsid w:val="004B13EB"/>
    <w:rsid w:val="004B1723"/>
    <w:rsid w:val="004B18D5"/>
    <w:rsid w:val="004B1958"/>
    <w:rsid w:val="004B1B0A"/>
    <w:rsid w:val="004B1BB5"/>
    <w:rsid w:val="004B1D22"/>
    <w:rsid w:val="004B1EDB"/>
    <w:rsid w:val="004B1FA4"/>
    <w:rsid w:val="004B1FD1"/>
    <w:rsid w:val="004B210F"/>
    <w:rsid w:val="004B23E6"/>
    <w:rsid w:val="004B24A6"/>
    <w:rsid w:val="004B258A"/>
    <w:rsid w:val="004B26AE"/>
    <w:rsid w:val="004B2710"/>
    <w:rsid w:val="004B2875"/>
    <w:rsid w:val="004B2B71"/>
    <w:rsid w:val="004B2BE9"/>
    <w:rsid w:val="004B2DE7"/>
    <w:rsid w:val="004B2E13"/>
    <w:rsid w:val="004B2E32"/>
    <w:rsid w:val="004B2E90"/>
    <w:rsid w:val="004B2F66"/>
    <w:rsid w:val="004B30B4"/>
    <w:rsid w:val="004B31DA"/>
    <w:rsid w:val="004B3331"/>
    <w:rsid w:val="004B34D0"/>
    <w:rsid w:val="004B3745"/>
    <w:rsid w:val="004B38A3"/>
    <w:rsid w:val="004B3987"/>
    <w:rsid w:val="004B3C63"/>
    <w:rsid w:val="004B3E36"/>
    <w:rsid w:val="004B3EBC"/>
    <w:rsid w:val="004B3F31"/>
    <w:rsid w:val="004B4137"/>
    <w:rsid w:val="004B436A"/>
    <w:rsid w:val="004B444D"/>
    <w:rsid w:val="004B44FA"/>
    <w:rsid w:val="004B45E3"/>
    <w:rsid w:val="004B4944"/>
    <w:rsid w:val="004B4A66"/>
    <w:rsid w:val="004B4A98"/>
    <w:rsid w:val="004B4B05"/>
    <w:rsid w:val="004B4CDD"/>
    <w:rsid w:val="004B51DB"/>
    <w:rsid w:val="004B51E7"/>
    <w:rsid w:val="004B53DC"/>
    <w:rsid w:val="004B540C"/>
    <w:rsid w:val="004B5BB3"/>
    <w:rsid w:val="004B5C5B"/>
    <w:rsid w:val="004B5CBB"/>
    <w:rsid w:val="004B5D9A"/>
    <w:rsid w:val="004B612D"/>
    <w:rsid w:val="004B6304"/>
    <w:rsid w:val="004B63EB"/>
    <w:rsid w:val="004B6527"/>
    <w:rsid w:val="004B65F9"/>
    <w:rsid w:val="004B6A5C"/>
    <w:rsid w:val="004B6D12"/>
    <w:rsid w:val="004B6E62"/>
    <w:rsid w:val="004B6E98"/>
    <w:rsid w:val="004B6F7A"/>
    <w:rsid w:val="004B6FF0"/>
    <w:rsid w:val="004B713E"/>
    <w:rsid w:val="004B719F"/>
    <w:rsid w:val="004B71E4"/>
    <w:rsid w:val="004B7358"/>
    <w:rsid w:val="004B7395"/>
    <w:rsid w:val="004B7446"/>
    <w:rsid w:val="004B750B"/>
    <w:rsid w:val="004B75B9"/>
    <w:rsid w:val="004B788F"/>
    <w:rsid w:val="004B798A"/>
    <w:rsid w:val="004B7A82"/>
    <w:rsid w:val="004B7B64"/>
    <w:rsid w:val="004B7BB3"/>
    <w:rsid w:val="004B7DFC"/>
    <w:rsid w:val="004C0121"/>
    <w:rsid w:val="004C054A"/>
    <w:rsid w:val="004C0560"/>
    <w:rsid w:val="004C05D3"/>
    <w:rsid w:val="004C0657"/>
    <w:rsid w:val="004C0AD1"/>
    <w:rsid w:val="004C0CE5"/>
    <w:rsid w:val="004C0DB5"/>
    <w:rsid w:val="004C14DB"/>
    <w:rsid w:val="004C151B"/>
    <w:rsid w:val="004C176C"/>
    <w:rsid w:val="004C1A25"/>
    <w:rsid w:val="004C1B5B"/>
    <w:rsid w:val="004C1EDC"/>
    <w:rsid w:val="004C1F27"/>
    <w:rsid w:val="004C203D"/>
    <w:rsid w:val="004C2133"/>
    <w:rsid w:val="004C2173"/>
    <w:rsid w:val="004C21A1"/>
    <w:rsid w:val="004C22CF"/>
    <w:rsid w:val="004C236E"/>
    <w:rsid w:val="004C27AF"/>
    <w:rsid w:val="004C27D2"/>
    <w:rsid w:val="004C2905"/>
    <w:rsid w:val="004C2BA0"/>
    <w:rsid w:val="004C2C8C"/>
    <w:rsid w:val="004C2D1E"/>
    <w:rsid w:val="004C2DD0"/>
    <w:rsid w:val="004C2E24"/>
    <w:rsid w:val="004C2F1C"/>
    <w:rsid w:val="004C2FA4"/>
    <w:rsid w:val="004C3042"/>
    <w:rsid w:val="004C3211"/>
    <w:rsid w:val="004C33C1"/>
    <w:rsid w:val="004C340C"/>
    <w:rsid w:val="004C35F8"/>
    <w:rsid w:val="004C36B4"/>
    <w:rsid w:val="004C3A3A"/>
    <w:rsid w:val="004C3AC2"/>
    <w:rsid w:val="004C3B69"/>
    <w:rsid w:val="004C3C2F"/>
    <w:rsid w:val="004C3C9A"/>
    <w:rsid w:val="004C3F75"/>
    <w:rsid w:val="004C3F8E"/>
    <w:rsid w:val="004C402E"/>
    <w:rsid w:val="004C40CD"/>
    <w:rsid w:val="004C4148"/>
    <w:rsid w:val="004C427F"/>
    <w:rsid w:val="004C4393"/>
    <w:rsid w:val="004C43D9"/>
    <w:rsid w:val="004C443A"/>
    <w:rsid w:val="004C4611"/>
    <w:rsid w:val="004C461D"/>
    <w:rsid w:val="004C4A60"/>
    <w:rsid w:val="004C4BB5"/>
    <w:rsid w:val="004C4CD5"/>
    <w:rsid w:val="004C4FCA"/>
    <w:rsid w:val="004C51E0"/>
    <w:rsid w:val="004C531B"/>
    <w:rsid w:val="004C5607"/>
    <w:rsid w:val="004C58B0"/>
    <w:rsid w:val="004C58ED"/>
    <w:rsid w:val="004C5975"/>
    <w:rsid w:val="004C5B18"/>
    <w:rsid w:val="004C5B1C"/>
    <w:rsid w:val="004C5D3C"/>
    <w:rsid w:val="004C5E52"/>
    <w:rsid w:val="004C5E97"/>
    <w:rsid w:val="004C5EFC"/>
    <w:rsid w:val="004C5FCF"/>
    <w:rsid w:val="004C6009"/>
    <w:rsid w:val="004C609C"/>
    <w:rsid w:val="004C61BB"/>
    <w:rsid w:val="004C629D"/>
    <w:rsid w:val="004C645E"/>
    <w:rsid w:val="004C658B"/>
    <w:rsid w:val="004C6869"/>
    <w:rsid w:val="004C6910"/>
    <w:rsid w:val="004C697D"/>
    <w:rsid w:val="004C6BA1"/>
    <w:rsid w:val="004C6CD1"/>
    <w:rsid w:val="004C6DCD"/>
    <w:rsid w:val="004C708E"/>
    <w:rsid w:val="004C7103"/>
    <w:rsid w:val="004C715F"/>
    <w:rsid w:val="004C7397"/>
    <w:rsid w:val="004C7764"/>
    <w:rsid w:val="004C786D"/>
    <w:rsid w:val="004C7D6E"/>
    <w:rsid w:val="004C7F9A"/>
    <w:rsid w:val="004D0019"/>
    <w:rsid w:val="004D01EB"/>
    <w:rsid w:val="004D0514"/>
    <w:rsid w:val="004D0668"/>
    <w:rsid w:val="004D0738"/>
    <w:rsid w:val="004D0A19"/>
    <w:rsid w:val="004D0B5C"/>
    <w:rsid w:val="004D0CEC"/>
    <w:rsid w:val="004D0D83"/>
    <w:rsid w:val="004D101A"/>
    <w:rsid w:val="004D110A"/>
    <w:rsid w:val="004D1178"/>
    <w:rsid w:val="004D1379"/>
    <w:rsid w:val="004D14F1"/>
    <w:rsid w:val="004D16F0"/>
    <w:rsid w:val="004D1794"/>
    <w:rsid w:val="004D19F8"/>
    <w:rsid w:val="004D1A98"/>
    <w:rsid w:val="004D1C8E"/>
    <w:rsid w:val="004D1D08"/>
    <w:rsid w:val="004D1D94"/>
    <w:rsid w:val="004D1DC0"/>
    <w:rsid w:val="004D1E70"/>
    <w:rsid w:val="004D1F68"/>
    <w:rsid w:val="004D1FAC"/>
    <w:rsid w:val="004D211B"/>
    <w:rsid w:val="004D22A4"/>
    <w:rsid w:val="004D236E"/>
    <w:rsid w:val="004D23AB"/>
    <w:rsid w:val="004D2430"/>
    <w:rsid w:val="004D24C9"/>
    <w:rsid w:val="004D265B"/>
    <w:rsid w:val="004D2D7C"/>
    <w:rsid w:val="004D2DC1"/>
    <w:rsid w:val="004D2F74"/>
    <w:rsid w:val="004D32DF"/>
    <w:rsid w:val="004D37B2"/>
    <w:rsid w:val="004D39DB"/>
    <w:rsid w:val="004D3ABF"/>
    <w:rsid w:val="004D3C26"/>
    <w:rsid w:val="004D3CAA"/>
    <w:rsid w:val="004D3CB1"/>
    <w:rsid w:val="004D3DF9"/>
    <w:rsid w:val="004D3F17"/>
    <w:rsid w:val="004D3FCE"/>
    <w:rsid w:val="004D41F2"/>
    <w:rsid w:val="004D41FF"/>
    <w:rsid w:val="004D446C"/>
    <w:rsid w:val="004D46F3"/>
    <w:rsid w:val="004D47BD"/>
    <w:rsid w:val="004D493C"/>
    <w:rsid w:val="004D4AB5"/>
    <w:rsid w:val="004D4CF4"/>
    <w:rsid w:val="004D4E60"/>
    <w:rsid w:val="004D4E87"/>
    <w:rsid w:val="004D5043"/>
    <w:rsid w:val="004D5225"/>
    <w:rsid w:val="004D52C2"/>
    <w:rsid w:val="004D54A4"/>
    <w:rsid w:val="004D5945"/>
    <w:rsid w:val="004D596D"/>
    <w:rsid w:val="004D5A42"/>
    <w:rsid w:val="004D5C73"/>
    <w:rsid w:val="004D5E77"/>
    <w:rsid w:val="004D6006"/>
    <w:rsid w:val="004D60FB"/>
    <w:rsid w:val="004D6113"/>
    <w:rsid w:val="004D61F8"/>
    <w:rsid w:val="004D62C7"/>
    <w:rsid w:val="004D6382"/>
    <w:rsid w:val="004D645B"/>
    <w:rsid w:val="004D65F5"/>
    <w:rsid w:val="004D661B"/>
    <w:rsid w:val="004D66DF"/>
    <w:rsid w:val="004D6B98"/>
    <w:rsid w:val="004D6C8A"/>
    <w:rsid w:val="004D6D2E"/>
    <w:rsid w:val="004D706B"/>
    <w:rsid w:val="004D712B"/>
    <w:rsid w:val="004D749C"/>
    <w:rsid w:val="004D7826"/>
    <w:rsid w:val="004D7887"/>
    <w:rsid w:val="004D7951"/>
    <w:rsid w:val="004D79DE"/>
    <w:rsid w:val="004D7A3A"/>
    <w:rsid w:val="004D7B85"/>
    <w:rsid w:val="004D7CA2"/>
    <w:rsid w:val="004E005A"/>
    <w:rsid w:val="004E0085"/>
    <w:rsid w:val="004E01EE"/>
    <w:rsid w:val="004E03E4"/>
    <w:rsid w:val="004E049B"/>
    <w:rsid w:val="004E05D1"/>
    <w:rsid w:val="004E05F6"/>
    <w:rsid w:val="004E06AF"/>
    <w:rsid w:val="004E07AE"/>
    <w:rsid w:val="004E0835"/>
    <w:rsid w:val="004E08A5"/>
    <w:rsid w:val="004E0A0E"/>
    <w:rsid w:val="004E0B0B"/>
    <w:rsid w:val="004E0BA5"/>
    <w:rsid w:val="004E0C4E"/>
    <w:rsid w:val="004E0D40"/>
    <w:rsid w:val="004E0E60"/>
    <w:rsid w:val="004E0F9F"/>
    <w:rsid w:val="004E100A"/>
    <w:rsid w:val="004E149D"/>
    <w:rsid w:val="004E14A0"/>
    <w:rsid w:val="004E165D"/>
    <w:rsid w:val="004E19BE"/>
    <w:rsid w:val="004E1A6F"/>
    <w:rsid w:val="004E1ADD"/>
    <w:rsid w:val="004E1D78"/>
    <w:rsid w:val="004E1F91"/>
    <w:rsid w:val="004E220F"/>
    <w:rsid w:val="004E22B6"/>
    <w:rsid w:val="004E254E"/>
    <w:rsid w:val="004E2618"/>
    <w:rsid w:val="004E2971"/>
    <w:rsid w:val="004E2D2D"/>
    <w:rsid w:val="004E2F1B"/>
    <w:rsid w:val="004E2FB0"/>
    <w:rsid w:val="004E30F3"/>
    <w:rsid w:val="004E3676"/>
    <w:rsid w:val="004E37DE"/>
    <w:rsid w:val="004E3C9B"/>
    <w:rsid w:val="004E3F0E"/>
    <w:rsid w:val="004E3F45"/>
    <w:rsid w:val="004E3F6D"/>
    <w:rsid w:val="004E40A0"/>
    <w:rsid w:val="004E40C3"/>
    <w:rsid w:val="004E41B9"/>
    <w:rsid w:val="004E43CC"/>
    <w:rsid w:val="004E445F"/>
    <w:rsid w:val="004E4521"/>
    <w:rsid w:val="004E45ED"/>
    <w:rsid w:val="004E470B"/>
    <w:rsid w:val="004E4785"/>
    <w:rsid w:val="004E482D"/>
    <w:rsid w:val="004E48DB"/>
    <w:rsid w:val="004E4944"/>
    <w:rsid w:val="004E4ACE"/>
    <w:rsid w:val="004E4B53"/>
    <w:rsid w:val="004E4B6C"/>
    <w:rsid w:val="004E4DF8"/>
    <w:rsid w:val="004E506A"/>
    <w:rsid w:val="004E52F2"/>
    <w:rsid w:val="004E532B"/>
    <w:rsid w:val="004E533D"/>
    <w:rsid w:val="004E549B"/>
    <w:rsid w:val="004E5655"/>
    <w:rsid w:val="004E56E0"/>
    <w:rsid w:val="004E57BF"/>
    <w:rsid w:val="004E58B2"/>
    <w:rsid w:val="004E590E"/>
    <w:rsid w:val="004E5A9D"/>
    <w:rsid w:val="004E5B1A"/>
    <w:rsid w:val="004E5BD7"/>
    <w:rsid w:val="004E5D6E"/>
    <w:rsid w:val="004E5E0C"/>
    <w:rsid w:val="004E5E85"/>
    <w:rsid w:val="004E6208"/>
    <w:rsid w:val="004E637C"/>
    <w:rsid w:val="004E6671"/>
    <w:rsid w:val="004E6722"/>
    <w:rsid w:val="004E690B"/>
    <w:rsid w:val="004E6BF3"/>
    <w:rsid w:val="004E6FDB"/>
    <w:rsid w:val="004E72A1"/>
    <w:rsid w:val="004E7379"/>
    <w:rsid w:val="004E758D"/>
    <w:rsid w:val="004E7597"/>
    <w:rsid w:val="004E7606"/>
    <w:rsid w:val="004E78F6"/>
    <w:rsid w:val="004E7B18"/>
    <w:rsid w:val="004E7B9F"/>
    <w:rsid w:val="004F01F4"/>
    <w:rsid w:val="004F0397"/>
    <w:rsid w:val="004F05A4"/>
    <w:rsid w:val="004F05AE"/>
    <w:rsid w:val="004F06E7"/>
    <w:rsid w:val="004F082E"/>
    <w:rsid w:val="004F0946"/>
    <w:rsid w:val="004F0976"/>
    <w:rsid w:val="004F0BCD"/>
    <w:rsid w:val="004F0EDF"/>
    <w:rsid w:val="004F1317"/>
    <w:rsid w:val="004F137F"/>
    <w:rsid w:val="004F14C4"/>
    <w:rsid w:val="004F15EA"/>
    <w:rsid w:val="004F1723"/>
    <w:rsid w:val="004F1743"/>
    <w:rsid w:val="004F1746"/>
    <w:rsid w:val="004F192D"/>
    <w:rsid w:val="004F195A"/>
    <w:rsid w:val="004F1C10"/>
    <w:rsid w:val="004F1C2A"/>
    <w:rsid w:val="004F1D0E"/>
    <w:rsid w:val="004F1D12"/>
    <w:rsid w:val="004F1DE6"/>
    <w:rsid w:val="004F223D"/>
    <w:rsid w:val="004F230A"/>
    <w:rsid w:val="004F2462"/>
    <w:rsid w:val="004F24FA"/>
    <w:rsid w:val="004F2541"/>
    <w:rsid w:val="004F2725"/>
    <w:rsid w:val="004F2771"/>
    <w:rsid w:val="004F2CF2"/>
    <w:rsid w:val="004F2F36"/>
    <w:rsid w:val="004F31D7"/>
    <w:rsid w:val="004F33E8"/>
    <w:rsid w:val="004F354E"/>
    <w:rsid w:val="004F3691"/>
    <w:rsid w:val="004F38A2"/>
    <w:rsid w:val="004F390E"/>
    <w:rsid w:val="004F3984"/>
    <w:rsid w:val="004F3DB9"/>
    <w:rsid w:val="004F3E44"/>
    <w:rsid w:val="004F4026"/>
    <w:rsid w:val="004F40F4"/>
    <w:rsid w:val="004F433C"/>
    <w:rsid w:val="004F45A0"/>
    <w:rsid w:val="004F45FD"/>
    <w:rsid w:val="004F46AA"/>
    <w:rsid w:val="004F46EF"/>
    <w:rsid w:val="004F4810"/>
    <w:rsid w:val="004F4B03"/>
    <w:rsid w:val="004F5051"/>
    <w:rsid w:val="004F513F"/>
    <w:rsid w:val="004F52EC"/>
    <w:rsid w:val="004F58A8"/>
    <w:rsid w:val="004F5A20"/>
    <w:rsid w:val="004F5CD0"/>
    <w:rsid w:val="004F5CEC"/>
    <w:rsid w:val="004F5D21"/>
    <w:rsid w:val="004F5D4F"/>
    <w:rsid w:val="004F5F41"/>
    <w:rsid w:val="004F61CA"/>
    <w:rsid w:val="004F6229"/>
    <w:rsid w:val="004F6381"/>
    <w:rsid w:val="004F63B1"/>
    <w:rsid w:val="004F6447"/>
    <w:rsid w:val="004F6519"/>
    <w:rsid w:val="004F6591"/>
    <w:rsid w:val="004F6668"/>
    <w:rsid w:val="004F66B7"/>
    <w:rsid w:val="004F6756"/>
    <w:rsid w:val="004F6759"/>
    <w:rsid w:val="004F67D6"/>
    <w:rsid w:val="004F67ED"/>
    <w:rsid w:val="004F67FA"/>
    <w:rsid w:val="004F6A12"/>
    <w:rsid w:val="004F6A8A"/>
    <w:rsid w:val="004F6AAE"/>
    <w:rsid w:val="004F6AEC"/>
    <w:rsid w:val="004F6C71"/>
    <w:rsid w:val="004F6CED"/>
    <w:rsid w:val="004F6F08"/>
    <w:rsid w:val="004F7105"/>
    <w:rsid w:val="004F7696"/>
    <w:rsid w:val="004F776B"/>
    <w:rsid w:val="004F78EC"/>
    <w:rsid w:val="004F7ABB"/>
    <w:rsid w:val="004F7D53"/>
    <w:rsid w:val="004F7E2D"/>
    <w:rsid w:val="004F7F91"/>
    <w:rsid w:val="004F7FB1"/>
    <w:rsid w:val="005000BB"/>
    <w:rsid w:val="0050013B"/>
    <w:rsid w:val="00500357"/>
    <w:rsid w:val="0050036C"/>
    <w:rsid w:val="005004D2"/>
    <w:rsid w:val="0050053D"/>
    <w:rsid w:val="00500568"/>
    <w:rsid w:val="0050063D"/>
    <w:rsid w:val="005006FB"/>
    <w:rsid w:val="0050072B"/>
    <w:rsid w:val="00500A97"/>
    <w:rsid w:val="00500E02"/>
    <w:rsid w:val="00500E0E"/>
    <w:rsid w:val="00500EBE"/>
    <w:rsid w:val="00500F9F"/>
    <w:rsid w:val="0050128B"/>
    <w:rsid w:val="005012D8"/>
    <w:rsid w:val="0050167F"/>
    <w:rsid w:val="005016E4"/>
    <w:rsid w:val="00501AC9"/>
    <w:rsid w:val="00501AD2"/>
    <w:rsid w:val="00501E18"/>
    <w:rsid w:val="00501EE6"/>
    <w:rsid w:val="00502013"/>
    <w:rsid w:val="00502299"/>
    <w:rsid w:val="005022F3"/>
    <w:rsid w:val="00502705"/>
    <w:rsid w:val="00502842"/>
    <w:rsid w:val="005028BC"/>
    <w:rsid w:val="00502A70"/>
    <w:rsid w:val="00502A74"/>
    <w:rsid w:val="00502B29"/>
    <w:rsid w:val="00502BAB"/>
    <w:rsid w:val="00502D04"/>
    <w:rsid w:val="00502E6B"/>
    <w:rsid w:val="00502EF5"/>
    <w:rsid w:val="00502F53"/>
    <w:rsid w:val="005037F9"/>
    <w:rsid w:val="00503829"/>
    <w:rsid w:val="00503892"/>
    <w:rsid w:val="005039AB"/>
    <w:rsid w:val="00503A13"/>
    <w:rsid w:val="00503A54"/>
    <w:rsid w:val="00503C06"/>
    <w:rsid w:val="00503D9B"/>
    <w:rsid w:val="00503EEA"/>
    <w:rsid w:val="00504020"/>
    <w:rsid w:val="0050446D"/>
    <w:rsid w:val="005045D7"/>
    <w:rsid w:val="00504643"/>
    <w:rsid w:val="00504B40"/>
    <w:rsid w:val="00504CC7"/>
    <w:rsid w:val="00504CD2"/>
    <w:rsid w:val="00504DA6"/>
    <w:rsid w:val="00504E1B"/>
    <w:rsid w:val="00505156"/>
    <w:rsid w:val="005055A1"/>
    <w:rsid w:val="00505664"/>
    <w:rsid w:val="005058CC"/>
    <w:rsid w:val="005058D9"/>
    <w:rsid w:val="005059A8"/>
    <w:rsid w:val="00505C56"/>
    <w:rsid w:val="00505CBD"/>
    <w:rsid w:val="00505DCB"/>
    <w:rsid w:val="005063E2"/>
    <w:rsid w:val="005064AE"/>
    <w:rsid w:val="0050681A"/>
    <w:rsid w:val="0050694F"/>
    <w:rsid w:val="0050695A"/>
    <w:rsid w:val="00506B43"/>
    <w:rsid w:val="00506BA4"/>
    <w:rsid w:val="00506C16"/>
    <w:rsid w:val="00506DF5"/>
    <w:rsid w:val="0050724E"/>
    <w:rsid w:val="0050760E"/>
    <w:rsid w:val="00507791"/>
    <w:rsid w:val="00507A5A"/>
    <w:rsid w:val="00507AE2"/>
    <w:rsid w:val="00507CF5"/>
    <w:rsid w:val="00507E72"/>
    <w:rsid w:val="00507F10"/>
    <w:rsid w:val="00507FA5"/>
    <w:rsid w:val="00510036"/>
    <w:rsid w:val="0051011B"/>
    <w:rsid w:val="00510694"/>
    <w:rsid w:val="0051072D"/>
    <w:rsid w:val="00510827"/>
    <w:rsid w:val="00510A0B"/>
    <w:rsid w:val="00510B16"/>
    <w:rsid w:val="00510CE2"/>
    <w:rsid w:val="005110E6"/>
    <w:rsid w:val="00511137"/>
    <w:rsid w:val="0051139D"/>
    <w:rsid w:val="0051140A"/>
    <w:rsid w:val="00511762"/>
    <w:rsid w:val="00511855"/>
    <w:rsid w:val="005118BB"/>
    <w:rsid w:val="005119AF"/>
    <w:rsid w:val="00511B33"/>
    <w:rsid w:val="00511C40"/>
    <w:rsid w:val="00511D54"/>
    <w:rsid w:val="00511DE9"/>
    <w:rsid w:val="00511EAE"/>
    <w:rsid w:val="00511ECD"/>
    <w:rsid w:val="00511FB3"/>
    <w:rsid w:val="00512012"/>
    <w:rsid w:val="005122BA"/>
    <w:rsid w:val="0051249D"/>
    <w:rsid w:val="0051296B"/>
    <w:rsid w:val="00512AC1"/>
    <w:rsid w:val="00512BE1"/>
    <w:rsid w:val="00512F0E"/>
    <w:rsid w:val="00512FBF"/>
    <w:rsid w:val="0051317E"/>
    <w:rsid w:val="005133BA"/>
    <w:rsid w:val="005134EE"/>
    <w:rsid w:val="00513614"/>
    <w:rsid w:val="00513644"/>
    <w:rsid w:val="005136B0"/>
    <w:rsid w:val="0051377E"/>
    <w:rsid w:val="00513A8F"/>
    <w:rsid w:val="00513C03"/>
    <w:rsid w:val="00513C22"/>
    <w:rsid w:val="00513CB6"/>
    <w:rsid w:val="00513CE5"/>
    <w:rsid w:val="00513DA1"/>
    <w:rsid w:val="00513F23"/>
    <w:rsid w:val="0051403F"/>
    <w:rsid w:val="00514510"/>
    <w:rsid w:val="00514674"/>
    <w:rsid w:val="005147B8"/>
    <w:rsid w:val="00514C78"/>
    <w:rsid w:val="00514DE7"/>
    <w:rsid w:val="00514E2B"/>
    <w:rsid w:val="00514EB8"/>
    <w:rsid w:val="00514F88"/>
    <w:rsid w:val="0051500C"/>
    <w:rsid w:val="00515101"/>
    <w:rsid w:val="0051525C"/>
    <w:rsid w:val="005156AF"/>
    <w:rsid w:val="00515856"/>
    <w:rsid w:val="00515C4D"/>
    <w:rsid w:val="00516053"/>
    <w:rsid w:val="00516201"/>
    <w:rsid w:val="00516412"/>
    <w:rsid w:val="00516686"/>
    <w:rsid w:val="005168F4"/>
    <w:rsid w:val="00516912"/>
    <w:rsid w:val="0051691B"/>
    <w:rsid w:val="00516929"/>
    <w:rsid w:val="00516A1A"/>
    <w:rsid w:val="00516BEE"/>
    <w:rsid w:val="00517059"/>
    <w:rsid w:val="00517094"/>
    <w:rsid w:val="00517288"/>
    <w:rsid w:val="0051730D"/>
    <w:rsid w:val="005173B5"/>
    <w:rsid w:val="00517655"/>
    <w:rsid w:val="005176F4"/>
    <w:rsid w:val="0051771F"/>
    <w:rsid w:val="00517731"/>
    <w:rsid w:val="00517855"/>
    <w:rsid w:val="00517A6C"/>
    <w:rsid w:val="00517CF8"/>
    <w:rsid w:val="00517DC1"/>
    <w:rsid w:val="00517E04"/>
    <w:rsid w:val="00517F0F"/>
    <w:rsid w:val="00520044"/>
    <w:rsid w:val="0052017C"/>
    <w:rsid w:val="005201D1"/>
    <w:rsid w:val="0052022A"/>
    <w:rsid w:val="00520567"/>
    <w:rsid w:val="005205B8"/>
    <w:rsid w:val="005205E0"/>
    <w:rsid w:val="0052076B"/>
    <w:rsid w:val="005208A6"/>
    <w:rsid w:val="005208FF"/>
    <w:rsid w:val="00520ABD"/>
    <w:rsid w:val="00520B4D"/>
    <w:rsid w:val="00521020"/>
    <w:rsid w:val="005211B5"/>
    <w:rsid w:val="00521385"/>
    <w:rsid w:val="0052156D"/>
    <w:rsid w:val="00521598"/>
    <w:rsid w:val="00521800"/>
    <w:rsid w:val="0052182D"/>
    <w:rsid w:val="005218D9"/>
    <w:rsid w:val="005219AB"/>
    <w:rsid w:val="00521A65"/>
    <w:rsid w:val="00521BAD"/>
    <w:rsid w:val="00521C13"/>
    <w:rsid w:val="00521C1A"/>
    <w:rsid w:val="00521C79"/>
    <w:rsid w:val="00521D42"/>
    <w:rsid w:val="00521D6A"/>
    <w:rsid w:val="00521EA2"/>
    <w:rsid w:val="00521EF3"/>
    <w:rsid w:val="0052202D"/>
    <w:rsid w:val="00522063"/>
    <w:rsid w:val="005222E1"/>
    <w:rsid w:val="00522743"/>
    <w:rsid w:val="005227CC"/>
    <w:rsid w:val="005227CD"/>
    <w:rsid w:val="00522880"/>
    <w:rsid w:val="005228C1"/>
    <w:rsid w:val="0052296A"/>
    <w:rsid w:val="00522CE1"/>
    <w:rsid w:val="00522D87"/>
    <w:rsid w:val="00522DAC"/>
    <w:rsid w:val="00522DD3"/>
    <w:rsid w:val="00522E28"/>
    <w:rsid w:val="00522E8C"/>
    <w:rsid w:val="00522EF5"/>
    <w:rsid w:val="005231FB"/>
    <w:rsid w:val="005233C5"/>
    <w:rsid w:val="005235C1"/>
    <w:rsid w:val="00523782"/>
    <w:rsid w:val="005237D7"/>
    <w:rsid w:val="0052392E"/>
    <w:rsid w:val="00523ACB"/>
    <w:rsid w:val="00523CAA"/>
    <w:rsid w:val="00523DC6"/>
    <w:rsid w:val="00523E0C"/>
    <w:rsid w:val="00524114"/>
    <w:rsid w:val="00524258"/>
    <w:rsid w:val="00524497"/>
    <w:rsid w:val="00524575"/>
    <w:rsid w:val="005245AC"/>
    <w:rsid w:val="005245C0"/>
    <w:rsid w:val="005248A3"/>
    <w:rsid w:val="00524977"/>
    <w:rsid w:val="005249DB"/>
    <w:rsid w:val="00524B48"/>
    <w:rsid w:val="00524BDC"/>
    <w:rsid w:val="00524E43"/>
    <w:rsid w:val="005250C4"/>
    <w:rsid w:val="00525321"/>
    <w:rsid w:val="005255C4"/>
    <w:rsid w:val="00525860"/>
    <w:rsid w:val="00525B04"/>
    <w:rsid w:val="00525D4D"/>
    <w:rsid w:val="00525EEF"/>
    <w:rsid w:val="00526267"/>
    <w:rsid w:val="005264A3"/>
    <w:rsid w:val="005267F3"/>
    <w:rsid w:val="0052682D"/>
    <w:rsid w:val="0052687E"/>
    <w:rsid w:val="00526895"/>
    <w:rsid w:val="00526B5C"/>
    <w:rsid w:val="00526D2E"/>
    <w:rsid w:val="00526D2F"/>
    <w:rsid w:val="00527135"/>
    <w:rsid w:val="00527174"/>
    <w:rsid w:val="005271C1"/>
    <w:rsid w:val="0052725D"/>
    <w:rsid w:val="005272D2"/>
    <w:rsid w:val="005274D6"/>
    <w:rsid w:val="00527571"/>
    <w:rsid w:val="00527648"/>
    <w:rsid w:val="00527885"/>
    <w:rsid w:val="005279A7"/>
    <w:rsid w:val="00527B0F"/>
    <w:rsid w:val="00527BF1"/>
    <w:rsid w:val="00527C60"/>
    <w:rsid w:val="00530225"/>
    <w:rsid w:val="00530242"/>
    <w:rsid w:val="00530318"/>
    <w:rsid w:val="0053034D"/>
    <w:rsid w:val="00530493"/>
    <w:rsid w:val="00530760"/>
    <w:rsid w:val="00530DA8"/>
    <w:rsid w:val="00530E61"/>
    <w:rsid w:val="00530EF7"/>
    <w:rsid w:val="005312A8"/>
    <w:rsid w:val="00531359"/>
    <w:rsid w:val="005314C0"/>
    <w:rsid w:val="00531906"/>
    <w:rsid w:val="00531A74"/>
    <w:rsid w:val="00531BAB"/>
    <w:rsid w:val="00531CCA"/>
    <w:rsid w:val="00531D40"/>
    <w:rsid w:val="0053200C"/>
    <w:rsid w:val="005321E3"/>
    <w:rsid w:val="0053222F"/>
    <w:rsid w:val="005325E3"/>
    <w:rsid w:val="00532A62"/>
    <w:rsid w:val="00532B5B"/>
    <w:rsid w:val="00532EBC"/>
    <w:rsid w:val="00532FC7"/>
    <w:rsid w:val="00533105"/>
    <w:rsid w:val="00533191"/>
    <w:rsid w:val="0053331D"/>
    <w:rsid w:val="0053359B"/>
    <w:rsid w:val="005335F6"/>
    <w:rsid w:val="00533784"/>
    <w:rsid w:val="00533946"/>
    <w:rsid w:val="00533978"/>
    <w:rsid w:val="005339C9"/>
    <w:rsid w:val="00533AB2"/>
    <w:rsid w:val="00533D38"/>
    <w:rsid w:val="00533D39"/>
    <w:rsid w:val="00533EF4"/>
    <w:rsid w:val="00534311"/>
    <w:rsid w:val="005343DF"/>
    <w:rsid w:val="0053445B"/>
    <w:rsid w:val="00534610"/>
    <w:rsid w:val="00534636"/>
    <w:rsid w:val="005349FF"/>
    <w:rsid w:val="00534AB3"/>
    <w:rsid w:val="00534C3F"/>
    <w:rsid w:val="00534C6A"/>
    <w:rsid w:val="00535038"/>
    <w:rsid w:val="005352FD"/>
    <w:rsid w:val="005354C4"/>
    <w:rsid w:val="00535530"/>
    <w:rsid w:val="005357AA"/>
    <w:rsid w:val="005357E3"/>
    <w:rsid w:val="00535866"/>
    <w:rsid w:val="0053586E"/>
    <w:rsid w:val="00535A0E"/>
    <w:rsid w:val="00535B86"/>
    <w:rsid w:val="00535E98"/>
    <w:rsid w:val="00535E9E"/>
    <w:rsid w:val="00535ED5"/>
    <w:rsid w:val="00536061"/>
    <w:rsid w:val="00536136"/>
    <w:rsid w:val="005362B4"/>
    <w:rsid w:val="005364B3"/>
    <w:rsid w:val="005364EA"/>
    <w:rsid w:val="005366CE"/>
    <w:rsid w:val="00536932"/>
    <w:rsid w:val="00536A9E"/>
    <w:rsid w:val="00536AB8"/>
    <w:rsid w:val="00536CC0"/>
    <w:rsid w:val="0053726B"/>
    <w:rsid w:val="0053727D"/>
    <w:rsid w:val="0053728A"/>
    <w:rsid w:val="00537473"/>
    <w:rsid w:val="00537966"/>
    <w:rsid w:val="00537A5C"/>
    <w:rsid w:val="00537B42"/>
    <w:rsid w:val="00537C3C"/>
    <w:rsid w:val="00537C67"/>
    <w:rsid w:val="00537C7D"/>
    <w:rsid w:val="005401D2"/>
    <w:rsid w:val="005402EB"/>
    <w:rsid w:val="00540450"/>
    <w:rsid w:val="0054054F"/>
    <w:rsid w:val="005406E9"/>
    <w:rsid w:val="00540702"/>
    <w:rsid w:val="00540723"/>
    <w:rsid w:val="00540B4E"/>
    <w:rsid w:val="00540B53"/>
    <w:rsid w:val="00540BCF"/>
    <w:rsid w:val="00540CCD"/>
    <w:rsid w:val="00540CD5"/>
    <w:rsid w:val="00540EDD"/>
    <w:rsid w:val="0054165E"/>
    <w:rsid w:val="00541867"/>
    <w:rsid w:val="00541C77"/>
    <w:rsid w:val="00541F75"/>
    <w:rsid w:val="00542221"/>
    <w:rsid w:val="0054238D"/>
    <w:rsid w:val="005425EB"/>
    <w:rsid w:val="0054262B"/>
    <w:rsid w:val="0054285F"/>
    <w:rsid w:val="00542918"/>
    <w:rsid w:val="00542987"/>
    <w:rsid w:val="00542B03"/>
    <w:rsid w:val="00542B26"/>
    <w:rsid w:val="00542B55"/>
    <w:rsid w:val="00542DC3"/>
    <w:rsid w:val="00542DC4"/>
    <w:rsid w:val="00542E4A"/>
    <w:rsid w:val="00542E64"/>
    <w:rsid w:val="00542FFB"/>
    <w:rsid w:val="00543114"/>
    <w:rsid w:val="005437C4"/>
    <w:rsid w:val="00543807"/>
    <w:rsid w:val="00543971"/>
    <w:rsid w:val="00543B0A"/>
    <w:rsid w:val="00543C4B"/>
    <w:rsid w:val="00543C6B"/>
    <w:rsid w:val="005440C9"/>
    <w:rsid w:val="00544399"/>
    <w:rsid w:val="00544419"/>
    <w:rsid w:val="005444FA"/>
    <w:rsid w:val="005445B4"/>
    <w:rsid w:val="005447E7"/>
    <w:rsid w:val="00544923"/>
    <w:rsid w:val="00544972"/>
    <w:rsid w:val="00544C8F"/>
    <w:rsid w:val="00544CA1"/>
    <w:rsid w:val="00544D25"/>
    <w:rsid w:val="00544D45"/>
    <w:rsid w:val="00544DFF"/>
    <w:rsid w:val="00544F02"/>
    <w:rsid w:val="00544F73"/>
    <w:rsid w:val="00544FA7"/>
    <w:rsid w:val="0054500E"/>
    <w:rsid w:val="00545013"/>
    <w:rsid w:val="0054506E"/>
    <w:rsid w:val="0054520A"/>
    <w:rsid w:val="005452CD"/>
    <w:rsid w:val="005453C4"/>
    <w:rsid w:val="005458CD"/>
    <w:rsid w:val="00545984"/>
    <w:rsid w:val="005459EE"/>
    <w:rsid w:val="00545A50"/>
    <w:rsid w:val="00545A54"/>
    <w:rsid w:val="00545B6A"/>
    <w:rsid w:val="00545FF6"/>
    <w:rsid w:val="00546003"/>
    <w:rsid w:val="00546279"/>
    <w:rsid w:val="00546450"/>
    <w:rsid w:val="00546531"/>
    <w:rsid w:val="0054681E"/>
    <w:rsid w:val="00546847"/>
    <w:rsid w:val="00546BE4"/>
    <w:rsid w:val="00546E96"/>
    <w:rsid w:val="00546F02"/>
    <w:rsid w:val="00546FA9"/>
    <w:rsid w:val="00547029"/>
    <w:rsid w:val="0054705E"/>
    <w:rsid w:val="00547216"/>
    <w:rsid w:val="00547343"/>
    <w:rsid w:val="00547587"/>
    <w:rsid w:val="005475AD"/>
    <w:rsid w:val="005476BC"/>
    <w:rsid w:val="005476BE"/>
    <w:rsid w:val="005476F1"/>
    <w:rsid w:val="00550170"/>
    <w:rsid w:val="00550684"/>
    <w:rsid w:val="005506AC"/>
    <w:rsid w:val="0055079B"/>
    <w:rsid w:val="00550884"/>
    <w:rsid w:val="005508FE"/>
    <w:rsid w:val="00550917"/>
    <w:rsid w:val="00550ADA"/>
    <w:rsid w:val="00550B38"/>
    <w:rsid w:val="00550C54"/>
    <w:rsid w:val="00550CB8"/>
    <w:rsid w:val="00550F45"/>
    <w:rsid w:val="00550FEB"/>
    <w:rsid w:val="005511E2"/>
    <w:rsid w:val="0055149C"/>
    <w:rsid w:val="00551703"/>
    <w:rsid w:val="0055177A"/>
    <w:rsid w:val="00551A0A"/>
    <w:rsid w:val="00551A53"/>
    <w:rsid w:val="00551DE2"/>
    <w:rsid w:val="00551E7E"/>
    <w:rsid w:val="00551F29"/>
    <w:rsid w:val="005520B0"/>
    <w:rsid w:val="00552180"/>
    <w:rsid w:val="0055234A"/>
    <w:rsid w:val="005524CA"/>
    <w:rsid w:val="005526F9"/>
    <w:rsid w:val="0055271D"/>
    <w:rsid w:val="0055291D"/>
    <w:rsid w:val="00552BDA"/>
    <w:rsid w:val="00552C20"/>
    <w:rsid w:val="00552CF6"/>
    <w:rsid w:val="00552D13"/>
    <w:rsid w:val="00552DDD"/>
    <w:rsid w:val="00552F7E"/>
    <w:rsid w:val="00553057"/>
    <w:rsid w:val="005530C2"/>
    <w:rsid w:val="00553162"/>
    <w:rsid w:val="0055340B"/>
    <w:rsid w:val="005536FC"/>
    <w:rsid w:val="005537F1"/>
    <w:rsid w:val="0055389D"/>
    <w:rsid w:val="00553BAA"/>
    <w:rsid w:val="00553BB0"/>
    <w:rsid w:val="00553C5A"/>
    <w:rsid w:val="00554210"/>
    <w:rsid w:val="00554304"/>
    <w:rsid w:val="00554403"/>
    <w:rsid w:val="00554424"/>
    <w:rsid w:val="00554437"/>
    <w:rsid w:val="00554737"/>
    <w:rsid w:val="0055481E"/>
    <w:rsid w:val="00554868"/>
    <w:rsid w:val="00554AF1"/>
    <w:rsid w:val="00554B57"/>
    <w:rsid w:val="00554FF5"/>
    <w:rsid w:val="00555009"/>
    <w:rsid w:val="00555041"/>
    <w:rsid w:val="00555048"/>
    <w:rsid w:val="00555142"/>
    <w:rsid w:val="0055523F"/>
    <w:rsid w:val="00555282"/>
    <w:rsid w:val="00555628"/>
    <w:rsid w:val="005557AF"/>
    <w:rsid w:val="005557F8"/>
    <w:rsid w:val="00555879"/>
    <w:rsid w:val="005558FF"/>
    <w:rsid w:val="00555906"/>
    <w:rsid w:val="00555BD1"/>
    <w:rsid w:val="00555C49"/>
    <w:rsid w:val="00555D2B"/>
    <w:rsid w:val="00555DB5"/>
    <w:rsid w:val="00555EF7"/>
    <w:rsid w:val="00555F32"/>
    <w:rsid w:val="00556188"/>
    <w:rsid w:val="005563C6"/>
    <w:rsid w:val="0055698C"/>
    <w:rsid w:val="005569CD"/>
    <w:rsid w:val="00556A07"/>
    <w:rsid w:val="00556A1B"/>
    <w:rsid w:val="00556A7A"/>
    <w:rsid w:val="00556C42"/>
    <w:rsid w:val="00556D50"/>
    <w:rsid w:val="00556DF3"/>
    <w:rsid w:val="00556F50"/>
    <w:rsid w:val="0055723A"/>
    <w:rsid w:val="00557528"/>
    <w:rsid w:val="0055753A"/>
    <w:rsid w:val="0055788C"/>
    <w:rsid w:val="005578D0"/>
    <w:rsid w:val="00557E51"/>
    <w:rsid w:val="00557FC8"/>
    <w:rsid w:val="005600C4"/>
    <w:rsid w:val="00560187"/>
    <w:rsid w:val="005603A7"/>
    <w:rsid w:val="005604AB"/>
    <w:rsid w:val="00560561"/>
    <w:rsid w:val="00560A7B"/>
    <w:rsid w:val="00560BF1"/>
    <w:rsid w:val="00560C60"/>
    <w:rsid w:val="00560CAC"/>
    <w:rsid w:val="00560DB9"/>
    <w:rsid w:val="00560DD6"/>
    <w:rsid w:val="0056100D"/>
    <w:rsid w:val="0056110A"/>
    <w:rsid w:val="0056159D"/>
    <w:rsid w:val="00561822"/>
    <w:rsid w:val="00561876"/>
    <w:rsid w:val="0056197F"/>
    <w:rsid w:val="00561A42"/>
    <w:rsid w:val="00561E0C"/>
    <w:rsid w:val="0056204D"/>
    <w:rsid w:val="005621DB"/>
    <w:rsid w:val="005621E3"/>
    <w:rsid w:val="00562280"/>
    <w:rsid w:val="00562732"/>
    <w:rsid w:val="0056281D"/>
    <w:rsid w:val="00562866"/>
    <w:rsid w:val="00562CAE"/>
    <w:rsid w:val="00562EC2"/>
    <w:rsid w:val="00563014"/>
    <w:rsid w:val="0056306B"/>
    <w:rsid w:val="0056311B"/>
    <w:rsid w:val="0056312C"/>
    <w:rsid w:val="005631FA"/>
    <w:rsid w:val="0056326B"/>
    <w:rsid w:val="00563531"/>
    <w:rsid w:val="0056375A"/>
    <w:rsid w:val="0056393C"/>
    <w:rsid w:val="0056397F"/>
    <w:rsid w:val="00563A82"/>
    <w:rsid w:val="00563B3C"/>
    <w:rsid w:val="00563D9A"/>
    <w:rsid w:val="00563E45"/>
    <w:rsid w:val="00563FE1"/>
    <w:rsid w:val="005640FE"/>
    <w:rsid w:val="005643B7"/>
    <w:rsid w:val="005643D9"/>
    <w:rsid w:val="0056441D"/>
    <w:rsid w:val="0056446E"/>
    <w:rsid w:val="005644C9"/>
    <w:rsid w:val="0056456E"/>
    <w:rsid w:val="005646E4"/>
    <w:rsid w:val="0056476C"/>
    <w:rsid w:val="0056498D"/>
    <w:rsid w:val="00564A4A"/>
    <w:rsid w:val="00564CA0"/>
    <w:rsid w:val="00564DD1"/>
    <w:rsid w:val="00564EBA"/>
    <w:rsid w:val="00564EEC"/>
    <w:rsid w:val="00565135"/>
    <w:rsid w:val="00565329"/>
    <w:rsid w:val="005653B0"/>
    <w:rsid w:val="00565402"/>
    <w:rsid w:val="00565831"/>
    <w:rsid w:val="00565847"/>
    <w:rsid w:val="00565B7E"/>
    <w:rsid w:val="00565FAA"/>
    <w:rsid w:val="00566094"/>
    <w:rsid w:val="0056633D"/>
    <w:rsid w:val="00566416"/>
    <w:rsid w:val="005666E1"/>
    <w:rsid w:val="0056673A"/>
    <w:rsid w:val="00566A40"/>
    <w:rsid w:val="00566A7C"/>
    <w:rsid w:val="00566A92"/>
    <w:rsid w:val="00566C01"/>
    <w:rsid w:val="00566C87"/>
    <w:rsid w:val="00566EBE"/>
    <w:rsid w:val="00566EE4"/>
    <w:rsid w:val="00566FB4"/>
    <w:rsid w:val="00566FE1"/>
    <w:rsid w:val="005670A8"/>
    <w:rsid w:val="005670D1"/>
    <w:rsid w:val="00567293"/>
    <w:rsid w:val="0056729E"/>
    <w:rsid w:val="00567381"/>
    <w:rsid w:val="005674D3"/>
    <w:rsid w:val="005675B9"/>
    <w:rsid w:val="00567A70"/>
    <w:rsid w:val="00567A9E"/>
    <w:rsid w:val="00567B61"/>
    <w:rsid w:val="00567DA2"/>
    <w:rsid w:val="00567E35"/>
    <w:rsid w:val="00570121"/>
    <w:rsid w:val="005701AD"/>
    <w:rsid w:val="005701EB"/>
    <w:rsid w:val="0057022F"/>
    <w:rsid w:val="00570469"/>
    <w:rsid w:val="00570471"/>
    <w:rsid w:val="00570547"/>
    <w:rsid w:val="0057067B"/>
    <w:rsid w:val="005707CD"/>
    <w:rsid w:val="0057086D"/>
    <w:rsid w:val="00570883"/>
    <w:rsid w:val="0057090A"/>
    <w:rsid w:val="005709FC"/>
    <w:rsid w:val="00570C41"/>
    <w:rsid w:val="00570EAE"/>
    <w:rsid w:val="00570F00"/>
    <w:rsid w:val="00570FAD"/>
    <w:rsid w:val="0057124C"/>
    <w:rsid w:val="0057132F"/>
    <w:rsid w:val="005713EB"/>
    <w:rsid w:val="00571691"/>
    <w:rsid w:val="0057176B"/>
    <w:rsid w:val="005718C5"/>
    <w:rsid w:val="005718D7"/>
    <w:rsid w:val="00571A27"/>
    <w:rsid w:val="00571B0D"/>
    <w:rsid w:val="005722ED"/>
    <w:rsid w:val="0057236C"/>
    <w:rsid w:val="00572378"/>
    <w:rsid w:val="00572645"/>
    <w:rsid w:val="00572646"/>
    <w:rsid w:val="005726A9"/>
    <w:rsid w:val="00572B2E"/>
    <w:rsid w:val="00572B73"/>
    <w:rsid w:val="00572CE5"/>
    <w:rsid w:val="00572EAB"/>
    <w:rsid w:val="00573130"/>
    <w:rsid w:val="0057319E"/>
    <w:rsid w:val="005731FB"/>
    <w:rsid w:val="005733CE"/>
    <w:rsid w:val="00573402"/>
    <w:rsid w:val="0057347D"/>
    <w:rsid w:val="00573617"/>
    <w:rsid w:val="0057363E"/>
    <w:rsid w:val="00573717"/>
    <w:rsid w:val="005737AE"/>
    <w:rsid w:val="00573965"/>
    <w:rsid w:val="005739A2"/>
    <w:rsid w:val="00573AC4"/>
    <w:rsid w:val="00573C6B"/>
    <w:rsid w:val="00573CD1"/>
    <w:rsid w:val="00573D14"/>
    <w:rsid w:val="00573F87"/>
    <w:rsid w:val="00573FDB"/>
    <w:rsid w:val="00574075"/>
    <w:rsid w:val="0057416A"/>
    <w:rsid w:val="00574327"/>
    <w:rsid w:val="0057440C"/>
    <w:rsid w:val="00574594"/>
    <w:rsid w:val="0057469F"/>
    <w:rsid w:val="005747FD"/>
    <w:rsid w:val="005748C1"/>
    <w:rsid w:val="005749E1"/>
    <w:rsid w:val="005749E8"/>
    <w:rsid w:val="00574D1B"/>
    <w:rsid w:val="00574DCB"/>
    <w:rsid w:val="00574F1B"/>
    <w:rsid w:val="00574F5E"/>
    <w:rsid w:val="005750D9"/>
    <w:rsid w:val="00575110"/>
    <w:rsid w:val="00575186"/>
    <w:rsid w:val="005751B6"/>
    <w:rsid w:val="00575383"/>
    <w:rsid w:val="005753B6"/>
    <w:rsid w:val="005754D6"/>
    <w:rsid w:val="0057550D"/>
    <w:rsid w:val="00575B01"/>
    <w:rsid w:val="00575C4B"/>
    <w:rsid w:val="00575CC1"/>
    <w:rsid w:val="00575F71"/>
    <w:rsid w:val="00576055"/>
    <w:rsid w:val="005761E2"/>
    <w:rsid w:val="0057648C"/>
    <w:rsid w:val="00576549"/>
    <w:rsid w:val="005765D0"/>
    <w:rsid w:val="00576659"/>
    <w:rsid w:val="00576A1C"/>
    <w:rsid w:val="00576DB1"/>
    <w:rsid w:val="00576F06"/>
    <w:rsid w:val="00576F56"/>
    <w:rsid w:val="0057709B"/>
    <w:rsid w:val="00577102"/>
    <w:rsid w:val="005773CD"/>
    <w:rsid w:val="00577567"/>
    <w:rsid w:val="005776D7"/>
    <w:rsid w:val="00577771"/>
    <w:rsid w:val="00577AB3"/>
    <w:rsid w:val="00577D9B"/>
    <w:rsid w:val="00577EBB"/>
    <w:rsid w:val="00580261"/>
    <w:rsid w:val="00580370"/>
    <w:rsid w:val="005803AC"/>
    <w:rsid w:val="005803C0"/>
    <w:rsid w:val="00580486"/>
    <w:rsid w:val="005804F2"/>
    <w:rsid w:val="005809AF"/>
    <w:rsid w:val="005809E0"/>
    <w:rsid w:val="00580ACD"/>
    <w:rsid w:val="00580C05"/>
    <w:rsid w:val="00580DA1"/>
    <w:rsid w:val="00580EFD"/>
    <w:rsid w:val="00581026"/>
    <w:rsid w:val="0058106A"/>
    <w:rsid w:val="005812C2"/>
    <w:rsid w:val="005814B5"/>
    <w:rsid w:val="00581860"/>
    <w:rsid w:val="00581CD6"/>
    <w:rsid w:val="00581EEC"/>
    <w:rsid w:val="00581F7F"/>
    <w:rsid w:val="00581F9B"/>
    <w:rsid w:val="0058211B"/>
    <w:rsid w:val="0058217F"/>
    <w:rsid w:val="005821E1"/>
    <w:rsid w:val="0058235A"/>
    <w:rsid w:val="0058266C"/>
    <w:rsid w:val="00582736"/>
    <w:rsid w:val="005828E2"/>
    <w:rsid w:val="00582A23"/>
    <w:rsid w:val="00582AC7"/>
    <w:rsid w:val="00582AF8"/>
    <w:rsid w:val="00582E09"/>
    <w:rsid w:val="00582E63"/>
    <w:rsid w:val="005830F7"/>
    <w:rsid w:val="00583175"/>
    <w:rsid w:val="0058321A"/>
    <w:rsid w:val="005833E0"/>
    <w:rsid w:val="00583469"/>
    <w:rsid w:val="005834B3"/>
    <w:rsid w:val="00583920"/>
    <w:rsid w:val="00583A24"/>
    <w:rsid w:val="00583A9B"/>
    <w:rsid w:val="00583B80"/>
    <w:rsid w:val="00583C1D"/>
    <w:rsid w:val="00583CF0"/>
    <w:rsid w:val="00583D3B"/>
    <w:rsid w:val="00583D50"/>
    <w:rsid w:val="00583E42"/>
    <w:rsid w:val="00583E6F"/>
    <w:rsid w:val="00583F12"/>
    <w:rsid w:val="00584470"/>
    <w:rsid w:val="00584565"/>
    <w:rsid w:val="00584735"/>
    <w:rsid w:val="00584773"/>
    <w:rsid w:val="0058480B"/>
    <w:rsid w:val="00584839"/>
    <w:rsid w:val="005849D3"/>
    <w:rsid w:val="00584CF8"/>
    <w:rsid w:val="00584E22"/>
    <w:rsid w:val="00584F9F"/>
    <w:rsid w:val="005850E1"/>
    <w:rsid w:val="00585494"/>
    <w:rsid w:val="0058567F"/>
    <w:rsid w:val="005858C9"/>
    <w:rsid w:val="005858E0"/>
    <w:rsid w:val="00585A0C"/>
    <w:rsid w:val="00585A1F"/>
    <w:rsid w:val="00585B28"/>
    <w:rsid w:val="00585BDF"/>
    <w:rsid w:val="00585C8B"/>
    <w:rsid w:val="00586068"/>
    <w:rsid w:val="00586144"/>
    <w:rsid w:val="00586179"/>
    <w:rsid w:val="0058634E"/>
    <w:rsid w:val="00586351"/>
    <w:rsid w:val="00586466"/>
    <w:rsid w:val="005867CA"/>
    <w:rsid w:val="00586977"/>
    <w:rsid w:val="00586DB6"/>
    <w:rsid w:val="005870AC"/>
    <w:rsid w:val="005872A5"/>
    <w:rsid w:val="0058731D"/>
    <w:rsid w:val="0058733F"/>
    <w:rsid w:val="005873CC"/>
    <w:rsid w:val="00587697"/>
    <w:rsid w:val="00587720"/>
    <w:rsid w:val="00587B34"/>
    <w:rsid w:val="00590305"/>
    <w:rsid w:val="00590485"/>
    <w:rsid w:val="005905AF"/>
    <w:rsid w:val="005905CA"/>
    <w:rsid w:val="005906C4"/>
    <w:rsid w:val="0059088F"/>
    <w:rsid w:val="005909B4"/>
    <w:rsid w:val="00590BC0"/>
    <w:rsid w:val="00590C77"/>
    <w:rsid w:val="00590CB6"/>
    <w:rsid w:val="00590CC1"/>
    <w:rsid w:val="00590CFB"/>
    <w:rsid w:val="00590E50"/>
    <w:rsid w:val="0059110B"/>
    <w:rsid w:val="00591113"/>
    <w:rsid w:val="0059117A"/>
    <w:rsid w:val="0059142C"/>
    <w:rsid w:val="00591484"/>
    <w:rsid w:val="005916D6"/>
    <w:rsid w:val="0059178A"/>
    <w:rsid w:val="00591A06"/>
    <w:rsid w:val="00591A52"/>
    <w:rsid w:val="00591ACD"/>
    <w:rsid w:val="00591B98"/>
    <w:rsid w:val="005921CB"/>
    <w:rsid w:val="0059238B"/>
    <w:rsid w:val="0059245E"/>
    <w:rsid w:val="00592654"/>
    <w:rsid w:val="00592FEF"/>
    <w:rsid w:val="0059321D"/>
    <w:rsid w:val="00593281"/>
    <w:rsid w:val="005932C0"/>
    <w:rsid w:val="005932CC"/>
    <w:rsid w:val="005935F4"/>
    <w:rsid w:val="00593A90"/>
    <w:rsid w:val="00593A94"/>
    <w:rsid w:val="00593AE7"/>
    <w:rsid w:val="00593B1E"/>
    <w:rsid w:val="00593E0E"/>
    <w:rsid w:val="005940BE"/>
    <w:rsid w:val="005942B7"/>
    <w:rsid w:val="005942BE"/>
    <w:rsid w:val="005946A0"/>
    <w:rsid w:val="005947A1"/>
    <w:rsid w:val="005947C1"/>
    <w:rsid w:val="00594813"/>
    <w:rsid w:val="0059494C"/>
    <w:rsid w:val="00594A79"/>
    <w:rsid w:val="00594AA1"/>
    <w:rsid w:val="00594B1E"/>
    <w:rsid w:val="00594B6B"/>
    <w:rsid w:val="00594CEE"/>
    <w:rsid w:val="00594D03"/>
    <w:rsid w:val="00594FD9"/>
    <w:rsid w:val="00594FFF"/>
    <w:rsid w:val="0059547A"/>
    <w:rsid w:val="005956C6"/>
    <w:rsid w:val="005956D1"/>
    <w:rsid w:val="005957E6"/>
    <w:rsid w:val="0059583C"/>
    <w:rsid w:val="0059598B"/>
    <w:rsid w:val="00595A7C"/>
    <w:rsid w:val="00595AD2"/>
    <w:rsid w:val="00595AE9"/>
    <w:rsid w:val="00595C42"/>
    <w:rsid w:val="00595C68"/>
    <w:rsid w:val="00595E46"/>
    <w:rsid w:val="00595E86"/>
    <w:rsid w:val="00595FD7"/>
    <w:rsid w:val="0059603D"/>
    <w:rsid w:val="0059603E"/>
    <w:rsid w:val="005961FB"/>
    <w:rsid w:val="00596367"/>
    <w:rsid w:val="0059650A"/>
    <w:rsid w:val="005965F7"/>
    <w:rsid w:val="0059672D"/>
    <w:rsid w:val="00596825"/>
    <w:rsid w:val="0059684F"/>
    <w:rsid w:val="00596D8B"/>
    <w:rsid w:val="00596D95"/>
    <w:rsid w:val="00596EE7"/>
    <w:rsid w:val="00597777"/>
    <w:rsid w:val="0059786C"/>
    <w:rsid w:val="005979B2"/>
    <w:rsid w:val="00597E48"/>
    <w:rsid w:val="00597EA3"/>
    <w:rsid w:val="005A00E2"/>
    <w:rsid w:val="005A024E"/>
    <w:rsid w:val="005A02A3"/>
    <w:rsid w:val="005A053A"/>
    <w:rsid w:val="005A0738"/>
    <w:rsid w:val="005A07FF"/>
    <w:rsid w:val="005A0887"/>
    <w:rsid w:val="005A0C47"/>
    <w:rsid w:val="005A0C5A"/>
    <w:rsid w:val="005A0ECA"/>
    <w:rsid w:val="005A108C"/>
    <w:rsid w:val="005A1177"/>
    <w:rsid w:val="005A15E9"/>
    <w:rsid w:val="005A186E"/>
    <w:rsid w:val="005A18AB"/>
    <w:rsid w:val="005A1ADA"/>
    <w:rsid w:val="005A1D94"/>
    <w:rsid w:val="005A1E99"/>
    <w:rsid w:val="005A2191"/>
    <w:rsid w:val="005A2236"/>
    <w:rsid w:val="005A2288"/>
    <w:rsid w:val="005A23A4"/>
    <w:rsid w:val="005A24B3"/>
    <w:rsid w:val="005A26BB"/>
    <w:rsid w:val="005A2740"/>
    <w:rsid w:val="005A2763"/>
    <w:rsid w:val="005A27A1"/>
    <w:rsid w:val="005A27F0"/>
    <w:rsid w:val="005A28E9"/>
    <w:rsid w:val="005A2A8C"/>
    <w:rsid w:val="005A2B00"/>
    <w:rsid w:val="005A2B41"/>
    <w:rsid w:val="005A2C6D"/>
    <w:rsid w:val="005A2CDB"/>
    <w:rsid w:val="005A2D7E"/>
    <w:rsid w:val="005A305E"/>
    <w:rsid w:val="005A3120"/>
    <w:rsid w:val="005A31A3"/>
    <w:rsid w:val="005A333E"/>
    <w:rsid w:val="005A33F8"/>
    <w:rsid w:val="005A38DD"/>
    <w:rsid w:val="005A39AD"/>
    <w:rsid w:val="005A3A7C"/>
    <w:rsid w:val="005A3B5C"/>
    <w:rsid w:val="005A3E04"/>
    <w:rsid w:val="005A3E0B"/>
    <w:rsid w:val="005A3E2E"/>
    <w:rsid w:val="005A444E"/>
    <w:rsid w:val="005A44E2"/>
    <w:rsid w:val="005A46AA"/>
    <w:rsid w:val="005A49A6"/>
    <w:rsid w:val="005A4B94"/>
    <w:rsid w:val="005A4CE7"/>
    <w:rsid w:val="005A4E87"/>
    <w:rsid w:val="005A4F3E"/>
    <w:rsid w:val="005A4F5D"/>
    <w:rsid w:val="005A5106"/>
    <w:rsid w:val="005A53B8"/>
    <w:rsid w:val="005A55A3"/>
    <w:rsid w:val="005A569E"/>
    <w:rsid w:val="005A5763"/>
    <w:rsid w:val="005A5839"/>
    <w:rsid w:val="005A5BDF"/>
    <w:rsid w:val="005A5C9A"/>
    <w:rsid w:val="005A5CC0"/>
    <w:rsid w:val="005A5D34"/>
    <w:rsid w:val="005A5DBF"/>
    <w:rsid w:val="005A5F9F"/>
    <w:rsid w:val="005A602D"/>
    <w:rsid w:val="005A613C"/>
    <w:rsid w:val="005A61F5"/>
    <w:rsid w:val="005A6234"/>
    <w:rsid w:val="005A629F"/>
    <w:rsid w:val="005A632D"/>
    <w:rsid w:val="005A643B"/>
    <w:rsid w:val="005A65D1"/>
    <w:rsid w:val="005A663B"/>
    <w:rsid w:val="005A688D"/>
    <w:rsid w:val="005A6B7E"/>
    <w:rsid w:val="005A6D55"/>
    <w:rsid w:val="005A7225"/>
    <w:rsid w:val="005A7457"/>
    <w:rsid w:val="005A7467"/>
    <w:rsid w:val="005A7473"/>
    <w:rsid w:val="005A74E0"/>
    <w:rsid w:val="005A7501"/>
    <w:rsid w:val="005A7943"/>
    <w:rsid w:val="005A7B01"/>
    <w:rsid w:val="005A7C8B"/>
    <w:rsid w:val="005A7DA4"/>
    <w:rsid w:val="005B000A"/>
    <w:rsid w:val="005B023F"/>
    <w:rsid w:val="005B02E9"/>
    <w:rsid w:val="005B0398"/>
    <w:rsid w:val="005B04BE"/>
    <w:rsid w:val="005B0547"/>
    <w:rsid w:val="005B0A19"/>
    <w:rsid w:val="005B0E01"/>
    <w:rsid w:val="005B0F11"/>
    <w:rsid w:val="005B0F75"/>
    <w:rsid w:val="005B1155"/>
    <w:rsid w:val="005B1452"/>
    <w:rsid w:val="005B154E"/>
    <w:rsid w:val="005B155E"/>
    <w:rsid w:val="005B181D"/>
    <w:rsid w:val="005B1822"/>
    <w:rsid w:val="005B1838"/>
    <w:rsid w:val="005B1C31"/>
    <w:rsid w:val="005B1D45"/>
    <w:rsid w:val="005B1EA3"/>
    <w:rsid w:val="005B204D"/>
    <w:rsid w:val="005B2133"/>
    <w:rsid w:val="005B2156"/>
    <w:rsid w:val="005B2168"/>
    <w:rsid w:val="005B2181"/>
    <w:rsid w:val="005B2310"/>
    <w:rsid w:val="005B2341"/>
    <w:rsid w:val="005B237F"/>
    <w:rsid w:val="005B2556"/>
    <w:rsid w:val="005B25AD"/>
    <w:rsid w:val="005B2816"/>
    <w:rsid w:val="005B28D2"/>
    <w:rsid w:val="005B2C20"/>
    <w:rsid w:val="005B2D93"/>
    <w:rsid w:val="005B2E24"/>
    <w:rsid w:val="005B2E9C"/>
    <w:rsid w:val="005B3325"/>
    <w:rsid w:val="005B3502"/>
    <w:rsid w:val="005B37F8"/>
    <w:rsid w:val="005B3980"/>
    <w:rsid w:val="005B3BB1"/>
    <w:rsid w:val="005B3C07"/>
    <w:rsid w:val="005B3C2D"/>
    <w:rsid w:val="005B3CD0"/>
    <w:rsid w:val="005B3E25"/>
    <w:rsid w:val="005B3EB2"/>
    <w:rsid w:val="005B4048"/>
    <w:rsid w:val="005B4405"/>
    <w:rsid w:val="005B45E1"/>
    <w:rsid w:val="005B493F"/>
    <w:rsid w:val="005B49FD"/>
    <w:rsid w:val="005B4AAE"/>
    <w:rsid w:val="005B4AB5"/>
    <w:rsid w:val="005B4B1A"/>
    <w:rsid w:val="005B4B51"/>
    <w:rsid w:val="005B4B6B"/>
    <w:rsid w:val="005B4B79"/>
    <w:rsid w:val="005B4BEC"/>
    <w:rsid w:val="005B4D8D"/>
    <w:rsid w:val="005B5062"/>
    <w:rsid w:val="005B5313"/>
    <w:rsid w:val="005B5552"/>
    <w:rsid w:val="005B5574"/>
    <w:rsid w:val="005B5A55"/>
    <w:rsid w:val="005B5A90"/>
    <w:rsid w:val="005B5B5B"/>
    <w:rsid w:val="005B5B9A"/>
    <w:rsid w:val="005B5C1E"/>
    <w:rsid w:val="005B5C2D"/>
    <w:rsid w:val="005B5D7A"/>
    <w:rsid w:val="005B5D99"/>
    <w:rsid w:val="005B5DF0"/>
    <w:rsid w:val="005B5EA4"/>
    <w:rsid w:val="005B5EB6"/>
    <w:rsid w:val="005B61AA"/>
    <w:rsid w:val="005B61D3"/>
    <w:rsid w:val="005B61F7"/>
    <w:rsid w:val="005B6206"/>
    <w:rsid w:val="005B657F"/>
    <w:rsid w:val="005B65B4"/>
    <w:rsid w:val="005B65B5"/>
    <w:rsid w:val="005B66B8"/>
    <w:rsid w:val="005B6979"/>
    <w:rsid w:val="005B6AF5"/>
    <w:rsid w:val="005B6D60"/>
    <w:rsid w:val="005B6EDC"/>
    <w:rsid w:val="005B6FD7"/>
    <w:rsid w:val="005B7102"/>
    <w:rsid w:val="005B7156"/>
    <w:rsid w:val="005B7240"/>
    <w:rsid w:val="005B7329"/>
    <w:rsid w:val="005B743A"/>
    <w:rsid w:val="005B747E"/>
    <w:rsid w:val="005B7573"/>
    <w:rsid w:val="005B7639"/>
    <w:rsid w:val="005B7832"/>
    <w:rsid w:val="005B78E4"/>
    <w:rsid w:val="005B79A7"/>
    <w:rsid w:val="005B7AD7"/>
    <w:rsid w:val="005B7AF0"/>
    <w:rsid w:val="005B7B2F"/>
    <w:rsid w:val="005B7D71"/>
    <w:rsid w:val="005B7E00"/>
    <w:rsid w:val="005C0018"/>
    <w:rsid w:val="005C0163"/>
    <w:rsid w:val="005C0689"/>
    <w:rsid w:val="005C0775"/>
    <w:rsid w:val="005C07D2"/>
    <w:rsid w:val="005C0B44"/>
    <w:rsid w:val="005C0D9A"/>
    <w:rsid w:val="005C0FA8"/>
    <w:rsid w:val="005C13EA"/>
    <w:rsid w:val="005C1490"/>
    <w:rsid w:val="005C1671"/>
    <w:rsid w:val="005C16B6"/>
    <w:rsid w:val="005C17E5"/>
    <w:rsid w:val="005C17EC"/>
    <w:rsid w:val="005C18E9"/>
    <w:rsid w:val="005C1BC8"/>
    <w:rsid w:val="005C1D5E"/>
    <w:rsid w:val="005C1DD9"/>
    <w:rsid w:val="005C2083"/>
    <w:rsid w:val="005C20BB"/>
    <w:rsid w:val="005C21BC"/>
    <w:rsid w:val="005C23EC"/>
    <w:rsid w:val="005C2425"/>
    <w:rsid w:val="005C2764"/>
    <w:rsid w:val="005C27DC"/>
    <w:rsid w:val="005C2981"/>
    <w:rsid w:val="005C2B6D"/>
    <w:rsid w:val="005C2B7D"/>
    <w:rsid w:val="005C2B9F"/>
    <w:rsid w:val="005C2BC7"/>
    <w:rsid w:val="005C2BFD"/>
    <w:rsid w:val="005C3014"/>
    <w:rsid w:val="005C3069"/>
    <w:rsid w:val="005C36D3"/>
    <w:rsid w:val="005C3924"/>
    <w:rsid w:val="005C3AF7"/>
    <w:rsid w:val="005C3C89"/>
    <w:rsid w:val="005C3D68"/>
    <w:rsid w:val="005C3E19"/>
    <w:rsid w:val="005C3F11"/>
    <w:rsid w:val="005C4045"/>
    <w:rsid w:val="005C4304"/>
    <w:rsid w:val="005C43B9"/>
    <w:rsid w:val="005C467E"/>
    <w:rsid w:val="005C46E8"/>
    <w:rsid w:val="005C4A6A"/>
    <w:rsid w:val="005C4A76"/>
    <w:rsid w:val="005C4A7D"/>
    <w:rsid w:val="005C4BD9"/>
    <w:rsid w:val="005C4D2F"/>
    <w:rsid w:val="005C4E71"/>
    <w:rsid w:val="005C4E7B"/>
    <w:rsid w:val="005C4FE4"/>
    <w:rsid w:val="005C5026"/>
    <w:rsid w:val="005C505A"/>
    <w:rsid w:val="005C53B9"/>
    <w:rsid w:val="005C5489"/>
    <w:rsid w:val="005C5867"/>
    <w:rsid w:val="005C598E"/>
    <w:rsid w:val="005C5A34"/>
    <w:rsid w:val="005C5AAB"/>
    <w:rsid w:val="005C6136"/>
    <w:rsid w:val="005C61D3"/>
    <w:rsid w:val="005C6324"/>
    <w:rsid w:val="005C63D7"/>
    <w:rsid w:val="005C6473"/>
    <w:rsid w:val="005C6527"/>
    <w:rsid w:val="005C653B"/>
    <w:rsid w:val="005C6588"/>
    <w:rsid w:val="005C661E"/>
    <w:rsid w:val="005C6621"/>
    <w:rsid w:val="005C6683"/>
    <w:rsid w:val="005C668A"/>
    <w:rsid w:val="005C6806"/>
    <w:rsid w:val="005C6849"/>
    <w:rsid w:val="005C6AB6"/>
    <w:rsid w:val="005C6B2F"/>
    <w:rsid w:val="005C6C26"/>
    <w:rsid w:val="005C6CA6"/>
    <w:rsid w:val="005C6CB5"/>
    <w:rsid w:val="005C6E98"/>
    <w:rsid w:val="005C6EF2"/>
    <w:rsid w:val="005C70F4"/>
    <w:rsid w:val="005C7918"/>
    <w:rsid w:val="005C7AC9"/>
    <w:rsid w:val="005C7ACE"/>
    <w:rsid w:val="005C7C88"/>
    <w:rsid w:val="005C7F19"/>
    <w:rsid w:val="005D016B"/>
    <w:rsid w:val="005D04ED"/>
    <w:rsid w:val="005D051B"/>
    <w:rsid w:val="005D0531"/>
    <w:rsid w:val="005D05AF"/>
    <w:rsid w:val="005D0788"/>
    <w:rsid w:val="005D07F5"/>
    <w:rsid w:val="005D080E"/>
    <w:rsid w:val="005D08F0"/>
    <w:rsid w:val="005D0B3D"/>
    <w:rsid w:val="005D0BB9"/>
    <w:rsid w:val="005D0CD8"/>
    <w:rsid w:val="005D0CDA"/>
    <w:rsid w:val="005D0DA1"/>
    <w:rsid w:val="005D0F44"/>
    <w:rsid w:val="005D10BD"/>
    <w:rsid w:val="005D135F"/>
    <w:rsid w:val="005D1431"/>
    <w:rsid w:val="005D1639"/>
    <w:rsid w:val="005D16CB"/>
    <w:rsid w:val="005D16D1"/>
    <w:rsid w:val="005D18F6"/>
    <w:rsid w:val="005D19C4"/>
    <w:rsid w:val="005D1A3E"/>
    <w:rsid w:val="005D1AB7"/>
    <w:rsid w:val="005D1CEF"/>
    <w:rsid w:val="005D2089"/>
    <w:rsid w:val="005D2154"/>
    <w:rsid w:val="005D22B4"/>
    <w:rsid w:val="005D22BA"/>
    <w:rsid w:val="005D251E"/>
    <w:rsid w:val="005D25F9"/>
    <w:rsid w:val="005D2604"/>
    <w:rsid w:val="005D2796"/>
    <w:rsid w:val="005D27F0"/>
    <w:rsid w:val="005D286E"/>
    <w:rsid w:val="005D29DE"/>
    <w:rsid w:val="005D2A2F"/>
    <w:rsid w:val="005D2AAD"/>
    <w:rsid w:val="005D2E9F"/>
    <w:rsid w:val="005D30DC"/>
    <w:rsid w:val="005D3290"/>
    <w:rsid w:val="005D33C6"/>
    <w:rsid w:val="005D35EC"/>
    <w:rsid w:val="005D3757"/>
    <w:rsid w:val="005D3AC2"/>
    <w:rsid w:val="005D3CFD"/>
    <w:rsid w:val="005D3ECF"/>
    <w:rsid w:val="005D3FCA"/>
    <w:rsid w:val="005D4086"/>
    <w:rsid w:val="005D415B"/>
    <w:rsid w:val="005D42C7"/>
    <w:rsid w:val="005D4442"/>
    <w:rsid w:val="005D44C0"/>
    <w:rsid w:val="005D44F5"/>
    <w:rsid w:val="005D4578"/>
    <w:rsid w:val="005D4674"/>
    <w:rsid w:val="005D4693"/>
    <w:rsid w:val="005D4913"/>
    <w:rsid w:val="005D49D6"/>
    <w:rsid w:val="005D4A01"/>
    <w:rsid w:val="005D4E72"/>
    <w:rsid w:val="005D4EB6"/>
    <w:rsid w:val="005D4ECC"/>
    <w:rsid w:val="005D506A"/>
    <w:rsid w:val="005D5238"/>
    <w:rsid w:val="005D5308"/>
    <w:rsid w:val="005D53A5"/>
    <w:rsid w:val="005D558F"/>
    <w:rsid w:val="005D563A"/>
    <w:rsid w:val="005D56C1"/>
    <w:rsid w:val="005D5773"/>
    <w:rsid w:val="005D5877"/>
    <w:rsid w:val="005D59E9"/>
    <w:rsid w:val="005D5AEA"/>
    <w:rsid w:val="005D5C71"/>
    <w:rsid w:val="005D5D4C"/>
    <w:rsid w:val="005D5E4A"/>
    <w:rsid w:val="005D5EE2"/>
    <w:rsid w:val="005D5FC5"/>
    <w:rsid w:val="005D63D4"/>
    <w:rsid w:val="005D642B"/>
    <w:rsid w:val="005D6524"/>
    <w:rsid w:val="005D6526"/>
    <w:rsid w:val="005D65F4"/>
    <w:rsid w:val="005D677A"/>
    <w:rsid w:val="005D67A7"/>
    <w:rsid w:val="005D6C45"/>
    <w:rsid w:val="005D7195"/>
    <w:rsid w:val="005D72CA"/>
    <w:rsid w:val="005D73CF"/>
    <w:rsid w:val="005D7966"/>
    <w:rsid w:val="005D797E"/>
    <w:rsid w:val="005D7B53"/>
    <w:rsid w:val="005D7D0C"/>
    <w:rsid w:val="005D7F3F"/>
    <w:rsid w:val="005E00C1"/>
    <w:rsid w:val="005E032B"/>
    <w:rsid w:val="005E0464"/>
    <w:rsid w:val="005E0581"/>
    <w:rsid w:val="005E05F0"/>
    <w:rsid w:val="005E07BE"/>
    <w:rsid w:val="005E081B"/>
    <w:rsid w:val="005E08D1"/>
    <w:rsid w:val="005E0A38"/>
    <w:rsid w:val="005E0BE5"/>
    <w:rsid w:val="005E0D39"/>
    <w:rsid w:val="005E0DEB"/>
    <w:rsid w:val="005E0E6E"/>
    <w:rsid w:val="005E11F0"/>
    <w:rsid w:val="005E121C"/>
    <w:rsid w:val="005E1470"/>
    <w:rsid w:val="005E1628"/>
    <w:rsid w:val="005E162B"/>
    <w:rsid w:val="005E162F"/>
    <w:rsid w:val="005E17A1"/>
    <w:rsid w:val="005E17B3"/>
    <w:rsid w:val="005E1A91"/>
    <w:rsid w:val="005E1B7E"/>
    <w:rsid w:val="005E1CFE"/>
    <w:rsid w:val="005E1D14"/>
    <w:rsid w:val="005E1E06"/>
    <w:rsid w:val="005E1F78"/>
    <w:rsid w:val="005E2474"/>
    <w:rsid w:val="005E25F3"/>
    <w:rsid w:val="005E278A"/>
    <w:rsid w:val="005E283B"/>
    <w:rsid w:val="005E29EC"/>
    <w:rsid w:val="005E2A3C"/>
    <w:rsid w:val="005E2B32"/>
    <w:rsid w:val="005E2BDF"/>
    <w:rsid w:val="005E2CD9"/>
    <w:rsid w:val="005E2E98"/>
    <w:rsid w:val="005E2F29"/>
    <w:rsid w:val="005E3058"/>
    <w:rsid w:val="005E31C3"/>
    <w:rsid w:val="005E3268"/>
    <w:rsid w:val="005E3272"/>
    <w:rsid w:val="005E32D8"/>
    <w:rsid w:val="005E36A9"/>
    <w:rsid w:val="005E3832"/>
    <w:rsid w:val="005E3887"/>
    <w:rsid w:val="005E391F"/>
    <w:rsid w:val="005E3A8B"/>
    <w:rsid w:val="005E3CB9"/>
    <w:rsid w:val="005E3DFB"/>
    <w:rsid w:val="005E3EF4"/>
    <w:rsid w:val="005E3F8E"/>
    <w:rsid w:val="005E416A"/>
    <w:rsid w:val="005E41CD"/>
    <w:rsid w:val="005E4226"/>
    <w:rsid w:val="005E43DA"/>
    <w:rsid w:val="005E44FD"/>
    <w:rsid w:val="005E45A2"/>
    <w:rsid w:val="005E4770"/>
    <w:rsid w:val="005E4837"/>
    <w:rsid w:val="005E49C8"/>
    <w:rsid w:val="005E4A74"/>
    <w:rsid w:val="005E4CF7"/>
    <w:rsid w:val="005E4D5B"/>
    <w:rsid w:val="005E4E14"/>
    <w:rsid w:val="005E4E27"/>
    <w:rsid w:val="005E4E7A"/>
    <w:rsid w:val="005E4FF0"/>
    <w:rsid w:val="005E51F3"/>
    <w:rsid w:val="005E5457"/>
    <w:rsid w:val="005E55EF"/>
    <w:rsid w:val="005E5661"/>
    <w:rsid w:val="005E58EA"/>
    <w:rsid w:val="005E5A00"/>
    <w:rsid w:val="005E5A3D"/>
    <w:rsid w:val="005E5BA3"/>
    <w:rsid w:val="005E5CA3"/>
    <w:rsid w:val="005E5CA5"/>
    <w:rsid w:val="005E6249"/>
    <w:rsid w:val="005E67BB"/>
    <w:rsid w:val="005E6859"/>
    <w:rsid w:val="005E685B"/>
    <w:rsid w:val="005E6967"/>
    <w:rsid w:val="005E6B87"/>
    <w:rsid w:val="005E6C86"/>
    <w:rsid w:val="005E6D13"/>
    <w:rsid w:val="005E6D4A"/>
    <w:rsid w:val="005E6DF9"/>
    <w:rsid w:val="005E7295"/>
    <w:rsid w:val="005E7456"/>
    <w:rsid w:val="005E7493"/>
    <w:rsid w:val="005E757D"/>
    <w:rsid w:val="005E789F"/>
    <w:rsid w:val="005E78D6"/>
    <w:rsid w:val="005E7D29"/>
    <w:rsid w:val="005F02DA"/>
    <w:rsid w:val="005F03EC"/>
    <w:rsid w:val="005F079C"/>
    <w:rsid w:val="005F0B57"/>
    <w:rsid w:val="005F0C58"/>
    <w:rsid w:val="005F0C67"/>
    <w:rsid w:val="005F0DA2"/>
    <w:rsid w:val="005F1185"/>
    <w:rsid w:val="005F1290"/>
    <w:rsid w:val="005F15AA"/>
    <w:rsid w:val="005F1906"/>
    <w:rsid w:val="005F1BC3"/>
    <w:rsid w:val="005F1BE1"/>
    <w:rsid w:val="005F1C0C"/>
    <w:rsid w:val="005F1E10"/>
    <w:rsid w:val="005F1F89"/>
    <w:rsid w:val="005F24C1"/>
    <w:rsid w:val="005F2578"/>
    <w:rsid w:val="005F25F6"/>
    <w:rsid w:val="005F265F"/>
    <w:rsid w:val="005F288B"/>
    <w:rsid w:val="005F2CFD"/>
    <w:rsid w:val="005F2D0A"/>
    <w:rsid w:val="005F2F18"/>
    <w:rsid w:val="005F315B"/>
    <w:rsid w:val="005F330C"/>
    <w:rsid w:val="005F369D"/>
    <w:rsid w:val="005F3862"/>
    <w:rsid w:val="005F397A"/>
    <w:rsid w:val="005F3A26"/>
    <w:rsid w:val="005F3A9C"/>
    <w:rsid w:val="005F3B2C"/>
    <w:rsid w:val="005F3C09"/>
    <w:rsid w:val="005F3FAD"/>
    <w:rsid w:val="005F4123"/>
    <w:rsid w:val="005F433B"/>
    <w:rsid w:val="005F4441"/>
    <w:rsid w:val="005F4592"/>
    <w:rsid w:val="005F479A"/>
    <w:rsid w:val="005F4DA7"/>
    <w:rsid w:val="005F4F4E"/>
    <w:rsid w:val="005F508C"/>
    <w:rsid w:val="005F5103"/>
    <w:rsid w:val="005F5132"/>
    <w:rsid w:val="005F524F"/>
    <w:rsid w:val="005F525B"/>
    <w:rsid w:val="005F52DC"/>
    <w:rsid w:val="005F5433"/>
    <w:rsid w:val="005F566A"/>
    <w:rsid w:val="005F570C"/>
    <w:rsid w:val="005F57A9"/>
    <w:rsid w:val="005F5844"/>
    <w:rsid w:val="005F58CE"/>
    <w:rsid w:val="005F58D3"/>
    <w:rsid w:val="005F593F"/>
    <w:rsid w:val="005F5AEC"/>
    <w:rsid w:val="005F5AF2"/>
    <w:rsid w:val="005F5B41"/>
    <w:rsid w:val="005F5DC4"/>
    <w:rsid w:val="005F5EFC"/>
    <w:rsid w:val="005F5F08"/>
    <w:rsid w:val="005F5F3B"/>
    <w:rsid w:val="005F60C7"/>
    <w:rsid w:val="005F60FD"/>
    <w:rsid w:val="005F6371"/>
    <w:rsid w:val="005F65BE"/>
    <w:rsid w:val="005F6675"/>
    <w:rsid w:val="005F66C2"/>
    <w:rsid w:val="005F6724"/>
    <w:rsid w:val="005F673F"/>
    <w:rsid w:val="005F6753"/>
    <w:rsid w:val="005F676F"/>
    <w:rsid w:val="005F67F4"/>
    <w:rsid w:val="005F6959"/>
    <w:rsid w:val="005F6B24"/>
    <w:rsid w:val="005F6D66"/>
    <w:rsid w:val="005F6D79"/>
    <w:rsid w:val="005F750D"/>
    <w:rsid w:val="005F7622"/>
    <w:rsid w:val="005F7674"/>
    <w:rsid w:val="005F7727"/>
    <w:rsid w:val="005F7B42"/>
    <w:rsid w:val="005F7D25"/>
    <w:rsid w:val="005F7FBD"/>
    <w:rsid w:val="0060009C"/>
    <w:rsid w:val="006000A9"/>
    <w:rsid w:val="006001CB"/>
    <w:rsid w:val="00600389"/>
    <w:rsid w:val="0060039A"/>
    <w:rsid w:val="006003C8"/>
    <w:rsid w:val="00600600"/>
    <w:rsid w:val="00600786"/>
    <w:rsid w:val="00600A33"/>
    <w:rsid w:val="00600AD3"/>
    <w:rsid w:val="00600B63"/>
    <w:rsid w:val="00600DC9"/>
    <w:rsid w:val="00600E16"/>
    <w:rsid w:val="00600EE4"/>
    <w:rsid w:val="006010D8"/>
    <w:rsid w:val="006010FA"/>
    <w:rsid w:val="006016D9"/>
    <w:rsid w:val="006017B4"/>
    <w:rsid w:val="00601972"/>
    <w:rsid w:val="006019D7"/>
    <w:rsid w:val="006019E9"/>
    <w:rsid w:val="00601B36"/>
    <w:rsid w:val="00601E70"/>
    <w:rsid w:val="00601EA2"/>
    <w:rsid w:val="00601EB1"/>
    <w:rsid w:val="0060201E"/>
    <w:rsid w:val="00602370"/>
    <w:rsid w:val="0060281C"/>
    <w:rsid w:val="006028BA"/>
    <w:rsid w:val="00602E02"/>
    <w:rsid w:val="00602E08"/>
    <w:rsid w:val="00602E88"/>
    <w:rsid w:val="00602EA9"/>
    <w:rsid w:val="00602F1E"/>
    <w:rsid w:val="00603168"/>
    <w:rsid w:val="006031B7"/>
    <w:rsid w:val="006031BC"/>
    <w:rsid w:val="0060334D"/>
    <w:rsid w:val="00603448"/>
    <w:rsid w:val="006034B0"/>
    <w:rsid w:val="00603542"/>
    <w:rsid w:val="00603580"/>
    <w:rsid w:val="00603636"/>
    <w:rsid w:val="006042C0"/>
    <w:rsid w:val="00604403"/>
    <w:rsid w:val="00604521"/>
    <w:rsid w:val="006045F9"/>
    <w:rsid w:val="006046CB"/>
    <w:rsid w:val="00604894"/>
    <w:rsid w:val="00604B54"/>
    <w:rsid w:val="00604D0A"/>
    <w:rsid w:val="00604E30"/>
    <w:rsid w:val="0060503E"/>
    <w:rsid w:val="006050D4"/>
    <w:rsid w:val="0060523E"/>
    <w:rsid w:val="006054FA"/>
    <w:rsid w:val="006055C5"/>
    <w:rsid w:val="00605902"/>
    <w:rsid w:val="00605A1B"/>
    <w:rsid w:val="00605A2D"/>
    <w:rsid w:val="00605C07"/>
    <w:rsid w:val="00605D91"/>
    <w:rsid w:val="00605DB7"/>
    <w:rsid w:val="00606196"/>
    <w:rsid w:val="006062A0"/>
    <w:rsid w:val="006065F9"/>
    <w:rsid w:val="00606743"/>
    <w:rsid w:val="00606751"/>
    <w:rsid w:val="006067BA"/>
    <w:rsid w:val="00606BB1"/>
    <w:rsid w:val="00606CA0"/>
    <w:rsid w:val="00606F49"/>
    <w:rsid w:val="00606F84"/>
    <w:rsid w:val="00607065"/>
    <w:rsid w:val="00607118"/>
    <w:rsid w:val="00607281"/>
    <w:rsid w:val="006072B1"/>
    <w:rsid w:val="0060759B"/>
    <w:rsid w:val="00607760"/>
    <w:rsid w:val="00607B13"/>
    <w:rsid w:val="00607CD6"/>
    <w:rsid w:val="00607E35"/>
    <w:rsid w:val="006100C9"/>
    <w:rsid w:val="006103EC"/>
    <w:rsid w:val="006106C3"/>
    <w:rsid w:val="00610749"/>
    <w:rsid w:val="00610AD2"/>
    <w:rsid w:val="00610B7E"/>
    <w:rsid w:val="00610BDE"/>
    <w:rsid w:val="00610C8E"/>
    <w:rsid w:val="00610D05"/>
    <w:rsid w:val="00610DB7"/>
    <w:rsid w:val="00610F65"/>
    <w:rsid w:val="006113A1"/>
    <w:rsid w:val="006114EC"/>
    <w:rsid w:val="00611517"/>
    <w:rsid w:val="006115BC"/>
    <w:rsid w:val="0061186C"/>
    <w:rsid w:val="006118F3"/>
    <w:rsid w:val="00611A55"/>
    <w:rsid w:val="00611B59"/>
    <w:rsid w:val="00611CB2"/>
    <w:rsid w:val="00611D51"/>
    <w:rsid w:val="00611D59"/>
    <w:rsid w:val="00611DEF"/>
    <w:rsid w:val="00611FFC"/>
    <w:rsid w:val="0061208B"/>
    <w:rsid w:val="006122D2"/>
    <w:rsid w:val="006123AA"/>
    <w:rsid w:val="0061255A"/>
    <w:rsid w:val="00612746"/>
    <w:rsid w:val="006127C0"/>
    <w:rsid w:val="00612A4D"/>
    <w:rsid w:val="00612AA7"/>
    <w:rsid w:val="00612E3D"/>
    <w:rsid w:val="00612E85"/>
    <w:rsid w:val="00612F38"/>
    <w:rsid w:val="00613189"/>
    <w:rsid w:val="0061383F"/>
    <w:rsid w:val="00613A2A"/>
    <w:rsid w:val="00613A2E"/>
    <w:rsid w:val="00613B07"/>
    <w:rsid w:val="00613B39"/>
    <w:rsid w:val="00614198"/>
    <w:rsid w:val="00614294"/>
    <w:rsid w:val="00614346"/>
    <w:rsid w:val="006145CD"/>
    <w:rsid w:val="00614950"/>
    <w:rsid w:val="00614E60"/>
    <w:rsid w:val="00614F38"/>
    <w:rsid w:val="00615105"/>
    <w:rsid w:val="00615186"/>
    <w:rsid w:val="0061541A"/>
    <w:rsid w:val="006154BC"/>
    <w:rsid w:val="006158E7"/>
    <w:rsid w:val="00615B8E"/>
    <w:rsid w:val="00615CF8"/>
    <w:rsid w:val="00615F18"/>
    <w:rsid w:val="0061612A"/>
    <w:rsid w:val="006162CE"/>
    <w:rsid w:val="006165E9"/>
    <w:rsid w:val="006166C1"/>
    <w:rsid w:val="006168E2"/>
    <w:rsid w:val="00616906"/>
    <w:rsid w:val="006169A8"/>
    <w:rsid w:val="00616A15"/>
    <w:rsid w:val="00616A9D"/>
    <w:rsid w:val="00616B74"/>
    <w:rsid w:val="00616C07"/>
    <w:rsid w:val="00616CD4"/>
    <w:rsid w:val="00616FF4"/>
    <w:rsid w:val="0061709D"/>
    <w:rsid w:val="006170FB"/>
    <w:rsid w:val="006173A2"/>
    <w:rsid w:val="0061753E"/>
    <w:rsid w:val="00617558"/>
    <w:rsid w:val="0061770A"/>
    <w:rsid w:val="006177C0"/>
    <w:rsid w:val="006178A2"/>
    <w:rsid w:val="006178A5"/>
    <w:rsid w:val="00617C69"/>
    <w:rsid w:val="00617DDE"/>
    <w:rsid w:val="00620444"/>
    <w:rsid w:val="006206CE"/>
    <w:rsid w:val="00620729"/>
    <w:rsid w:val="00620B68"/>
    <w:rsid w:val="00620BB2"/>
    <w:rsid w:val="00620E98"/>
    <w:rsid w:val="00620F68"/>
    <w:rsid w:val="00621069"/>
    <w:rsid w:val="00621170"/>
    <w:rsid w:val="0062128A"/>
    <w:rsid w:val="0062158B"/>
    <w:rsid w:val="00621B72"/>
    <w:rsid w:val="00621DB5"/>
    <w:rsid w:val="00621EC3"/>
    <w:rsid w:val="00621F68"/>
    <w:rsid w:val="00622242"/>
    <w:rsid w:val="0062225D"/>
    <w:rsid w:val="006224BA"/>
    <w:rsid w:val="006225D7"/>
    <w:rsid w:val="00622924"/>
    <w:rsid w:val="0062292A"/>
    <w:rsid w:val="00622B55"/>
    <w:rsid w:val="00622C50"/>
    <w:rsid w:val="00622DE5"/>
    <w:rsid w:val="00622E4A"/>
    <w:rsid w:val="00622E6C"/>
    <w:rsid w:val="00622FD0"/>
    <w:rsid w:val="0062319C"/>
    <w:rsid w:val="00623257"/>
    <w:rsid w:val="006235C1"/>
    <w:rsid w:val="00623702"/>
    <w:rsid w:val="00623718"/>
    <w:rsid w:val="00623734"/>
    <w:rsid w:val="00623755"/>
    <w:rsid w:val="006237B7"/>
    <w:rsid w:val="00623A15"/>
    <w:rsid w:val="00623B76"/>
    <w:rsid w:val="00623CA8"/>
    <w:rsid w:val="00623CB2"/>
    <w:rsid w:val="00623D52"/>
    <w:rsid w:val="00623E8C"/>
    <w:rsid w:val="00623F3D"/>
    <w:rsid w:val="006240AD"/>
    <w:rsid w:val="00624282"/>
    <w:rsid w:val="006242B4"/>
    <w:rsid w:val="006243BB"/>
    <w:rsid w:val="0062462E"/>
    <w:rsid w:val="006248E9"/>
    <w:rsid w:val="00624A7D"/>
    <w:rsid w:val="00624C81"/>
    <w:rsid w:val="00624EAB"/>
    <w:rsid w:val="006250B9"/>
    <w:rsid w:val="006250D0"/>
    <w:rsid w:val="00625246"/>
    <w:rsid w:val="006253F8"/>
    <w:rsid w:val="0062548A"/>
    <w:rsid w:val="006256D4"/>
    <w:rsid w:val="006257A7"/>
    <w:rsid w:val="006259D9"/>
    <w:rsid w:val="00625CE9"/>
    <w:rsid w:val="00625E4F"/>
    <w:rsid w:val="00625F9C"/>
    <w:rsid w:val="006260FC"/>
    <w:rsid w:val="0062613C"/>
    <w:rsid w:val="0062613D"/>
    <w:rsid w:val="00626153"/>
    <w:rsid w:val="00626161"/>
    <w:rsid w:val="0062628D"/>
    <w:rsid w:val="006263B2"/>
    <w:rsid w:val="006264C5"/>
    <w:rsid w:val="00626583"/>
    <w:rsid w:val="00626640"/>
    <w:rsid w:val="00626810"/>
    <w:rsid w:val="00626948"/>
    <w:rsid w:val="006269C5"/>
    <w:rsid w:val="00626A2D"/>
    <w:rsid w:val="006271CF"/>
    <w:rsid w:val="00627331"/>
    <w:rsid w:val="00627360"/>
    <w:rsid w:val="0062738A"/>
    <w:rsid w:val="00627397"/>
    <w:rsid w:val="0062765E"/>
    <w:rsid w:val="0062774D"/>
    <w:rsid w:val="00627943"/>
    <w:rsid w:val="00627996"/>
    <w:rsid w:val="00627B2F"/>
    <w:rsid w:val="00627F3E"/>
    <w:rsid w:val="0063001F"/>
    <w:rsid w:val="006300F9"/>
    <w:rsid w:val="0063029E"/>
    <w:rsid w:val="006302AA"/>
    <w:rsid w:val="006302E7"/>
    <w:rsid w:val="00630308"/>
    <w:rsid w:val="0063058E"/>
    <w:rsid w:val="00630810"/>
    <w:rsid w:val="006308BB"/>
    <w:rsid w:val="00630A18"/>
    <w:rsid w:val="00630AA6"/>
    <w:rsid w:val="00630C91"/>
    <w:rsid w:val="00630D8B"/>
    <w:rsid w:val="00630D9A"/>
    <w:rsid w:val="00631143"/>
    <w:rsid w:val="006313C4"/>
    <w:rsid w:val="006314E2"/>
    <w:rsid w:val="006315E5"/>
    <w:rsid w:val="006316DE"/>
    <w:rsid w:val="006319BE"/>
    <w:rsid w:val="00631FFF"/>
    <w:rsid w:val="006321EE"/>
    <w:rsid w:val="0063246F"/>
    <w:rsid w:val="006324B5"/>
    <w:rsid w:val="0063251A"/>
    <w:rsid w:val="006325AA"/>
    <w:rsid w:val="006325F6"/>
    <w:rsid w:val="006327C6"/>
    <w:rsid w:val="00632822"/>
    <w:rsid w:val="00632B0A"/>
    <w:rsid w:val="00632BB5"/>
    <w:rsid w:val="00633249"/>
    <w:rsid w:val="00633252"/>
    <w:rsid w:val="0063329A"/>
    <w:rsid w:val="006333CB"/>
    <w:rsid w:val="006334D3"/>
    <w:rsid w:val="006334F2"/>
    <w:rsid w:val="006335A9"/>
    <w:rsid w:val="006336BA"/>
    <w:rsid w:val="00633734"/>
    <w:rsid w:val="006337C7"/>
    <w:rsid w:val="00634411"/>
    <w:rsid w:val="0063449B"/>
    <w:rsid w:val="006344AF"/>
    <w:rsid w:val="00634548"/>
    <w:rsid w:val="00634587"/>
    <w:rsid w:val="0063470A"/>
    <w:rsid w:val="006347BC"/>
    <w:rsid w:val="0063484E"/>
    <w:rsid w:val="006348D8"/>
    <w:rsid w:val="00634A44"/>
    <w:rsid w:val="00634D63"/>
    <w:rsid w:val="00634F96"/>
    <w:rsid w:val="00634FC3"/>
    <w:rsid w:val="00635064"/>
    <w:rsid w:val="0063514A"/>
    <w:rsid w:val="006351EC"/>
    <w:rsid w:val="00635423"/>
    <w:rsid w:val="006355DE"/>
    <w:rsid w:val="0063561D"/>
    <w:rsid w:val="006356E4"/>
    <w:rsid w:val="006356E8"/>
    <w:rsid w:val="00635BCE"/>
    <w:rsid w:val="00635BDE"/>
    <w:rsid w:val="00635C99"/>
    <w:rsid w:val="00635CBE"/>
    <w:rsid w:val="00635D6E"/>
    <w:rsid w:val="00635E51"/>
    <w:rsid w:val="00635EB7"/>
    <w:rsid w:val="00635F4F"/>
    <w:rsid w:val="00635F74"/>
    <w:rsid w:val="00636008"/>
    <w:rsid w:val="006361DC"/>
    <w:rsid w:val="006362AD"/>
    <w:rsid w:val="006364D9"/>
    <w:rsid w:val="006364DA"/>
    <w:rsid w:val="006364EF"/>
    <w:rsid w:val="00636623"/>
    <w:rsid w:val="006367C6"/>
    <w:rsid w:val="00636880"/>
    <w:rsid w:val="00636905"/>
    <w:rsid w:val="006369D5"/>
    <w:rsid w:val="00636C0D"/>
    <w:rsid w:val="00636E0B"/>
    <w:rsid w:val="00636EBF"/>
    <w:rsid w:val="00636F0B"/>
    <w:rsid w:val="00636FE1"/>
    <w:rsid w:val="0063705A"/>
    <w:rsid w:val="00637131"/>
    <w:rsid w:val="006372C8"/>
    <w:rsid w:val="0063744A"/>
    <w:rsid w:val="0063759F"/>
    <w:rsid w:val="006377E9"/>
    <w:rsid w:val="006377F0"/>
    <w:rsid w:val="006377FE"/>
    <w:rsid w:val="006378BF"/>
    <w:rsid w:val="006378E9"/>
    <w:rsid w:val="00637A45"/>
    <w:rsid w:val="00637AE8"/>
    <w:rsid w:val="00637D36"/>
    <w:rsid w:val="00637E47"/>
    <w:rsid w:val="00637E5B"/>
    <w:rsid w:val="00637F4B"/>
    <w:rsid w:val="00640174"/>
    <w:rsid w:val="006401C1"/>
    <w:rsid w:val="006403DE"/>
    <w:rsid w:val="0064040F"/>
    <w:rsid w:val="00640445"/>
    <w:rsid w:val="00640799"/>
    <w:rsid w:val="006407B4"/>
    <w:rsid w:val="00640803"/>
    <w:rsid w:val="00640996"/>
    <w:rsid w:val="00641048"/>
    <w:rsid w:val="00641275"/>
    <w:rsid w:val="0064139A"/>
    <w:rsid w:val="006413FB"/>
    <w:rsid w:val="0064146F"/>
    <w:rsid w:val="00641544"/>
    <w:rsid w:val="0064161A"/>
    <w:rsid w:val="0064161F"/>
    <w:rsid w:val="006416D2"/>
    <w:rsid w:val="006417BD"/>
    <w:rsid w:val="006417E1"/>
    <w:rsid w:val="0064194E"/>
    <w:rsid w:val="00641982"/>
    <w:rsid w:val="00641A0D"/>
    <w:rsid w:val="00641C1B"/>
    <w:rsid w:val="00641D85"/>
    <w:rsid w:val="00641DB1"/>
    <w:rsid w:val="00641E12"/>
    <w:rsid w:val="00641E77"/>
    <w:rsid w:val="00641FD6"/>
    <w:rsid w:val="006420BA"/>
    <w:rsid w:val="0064230B"/>
    <w:rsid w:val="006423F3"/>
    <w:rsid w:val="00642439"/>
    <w:rsid w:val="006424FD"/>
    <w:rsid w:val="0064263E"/>
    <w:rsid w:val="0064279F"/>
    <w:rsid w:val="0064282B"/>
    <w:rsid w:val="00642A01"/>
    <w:rsid w:val="00642A68"/>
    <w:rsid w:val="00642AB0"/>
    <w:rsid w:val="00642C90"/>
    <w:rsid w:val="00642CB8"/>
    <w:rsid w:val="00642DD9"/>
    <w:rsid w:val="00642EB1"/>
    <w:rsid w:val="00643029"/>
    <w:rsid w:val="00643155"/>
    <w:rsid w:val="00643342"/>
    <w:rsid w:val="006434F4"/>
    <w:rsid w:val="00643559"/>
    <w:rsid w:val="006435E9"/>
    <w:rsid w:val="0064365C"/>
    <w:rsid w:val="0064369C"/>
    <w:rsid w:val="006436C6"/>
    <w:rsid w:val="0064372E"/>
    <w:rsid w:val="00643795"/>
    <w:rsid w:val="0064393E"/>
    <w:rsid w:val="00643A28"/>
    <w:rsid w:val="00643B1F"/>
    <w:rsid w:val="00643CEC"/>
    <w:rsid w:val="00643E7B"/>
    <w:rsid w:val="00643F9D"/>
    <w:rsid w:val="00644091"/>
    <w:rsid w:val="006442FA"/>
    <w:rsid w:val="006444A9"/>
    <w:rsid w:val="00644872"/>
    <w:rsid w:val="00644B5D"/>
    <w:rsid w:val="006455EE"/>
    <w:rsid w:val="00645807"/>
    <w:rsid w:val="0064598B"/>
    <w:rsid w:val="00645ACB"/>
    <w:rsid w:val="00645B28"/>
    <w:rsid w:val="00645CA1"/>
    <w:rsid w:val="00645F0B"/>
    <w:rsid w:val="0064605B"/>
    <w:rsid w:val="00646393"/>
    <w:rsid w:val="0064644A"/>
    <w:rsid w:val="00646526"/>
    <w:rsid w:val="00646695"/>
    <w:rsid w:val="00646737"/>
    <w:rsid w:val="0064687D"/>
    <w:rsid w:val="006468B0"/>
    <w:rsid w:val="00646980"/>
    <w:rsid w:val="00646D1A"/>
    <w:rsid w:val="00646E1F"/>
    <w:rsid w:val="00646F82"/>
    <w:rsid w:val="00647159"/>
    <w:rsid w:val="00647198"/>
    <w:rsid w:val="006474B3"/>
    <w:rsid w:val="006475C3"/>
    <w:rsid w:val="006476D8"/>
    <w:rsid w:val="006476F2"/>
    <w:rsid w:val="0064781D"/>
    <w:rsid w:val="00647A8B"/>
    <w:rsid w:val="00647B52"/>
    <w:rsid w:val="00647BE7"/>
    <w:rsid w:val="00647C0C"/>
    <w:rsid w:val="00647CBA"/>
    <w:rsid w:val="00647F1A"/>
    <w:rsid w:val="006501D0"/>
    <w:rsid w:val="006502CB"/>
    <w:rsid w:val="006507FE"/>
    <w:rsid w:val="00650933"/>
    <w:rsid w:val="00650A56"/>
    <w:rsid w:val="00650ECB"/>
    <w:rsid w:val="006511A4"/>
    <w:rsid w:val="006515C8"/>
    <w:rsid w:val="00651686"/>
    <w:rsid w:val="006516FD"/>
    <w:rsid w:val="00651844"/>
    <w:rsid w:val="006518A5"/>
    <w:rsid w:val="006518AE"/>
    <w:rsid w:val="0065197C"/>
    <w:rsid w:val="0065207F"/>
    <w:rsid w:val="00652292"/>
    <w:rsid w:val="0065236D"/>
    <w:rsid w:val="00652518"/>
    <w:rsid w:val="0065254A"/>
    <w:rsid w:val="0065274E"/>
    <w:rsid w:val="0065284E"/>
    <w:rsid w:val="006529AC"/>
    <w:rsid w:val="00652F3A"/>
    <w:rsid w:val="00652FE7"/>
    <w:rsid w:val="00652FF7"/>
    <w:rsid w:val="00653228"/>
    <w:rsid w:val="006532D4"/>
    <w:rsid w:val="0065330D"/>
    <w:rsid w:val="00653363"/>
    <w:rsid w:val="006535D1"/>
    <w:rsid w:val="00653684"/>
    <w:rsid w:val="006538F8"/>
    <w:rsid w:val="00653B9C"/>
    <w:rsid w:val="00653C20"/>
    <w:rsid w:val="00653F42"/>
    <w:rsid w:val="0065427E"/>
    <w:rsid w:val="00654393"/>
    <w:rsid w:val="0065441B"/>
    <w:rsid w:val="00654873"/>
    <w:rsid w:val="006548D9"/>
    <w:rsid w:val="00654970"/>
    <w:rsid w:val="00654995"/>
    <w:rsid w:val="00654998"/>
    <w:rsid w:val="006549B3"/>
    <w:rsid w:val="00654BDA"/>
    <w:rsid w:val="00654E77"/>
    <w:rsid w:val="006552B8"/>
    <w:rsid w:val="0065545F"/>
    <w:rsid w:val="006557E3"/>
    <w:rsid w:val="0065586D"/>
    <w:rsid w:val="00655949"/>
    <w:rsid w:val="00655A2A"/>
    <w:rsid w:val="00655CB2"/>
    <w:rsid w:val="00655CB6"/>
    <w:rsid w:val="00655FE9"/>
    <w:rsid w:val="006562BA"/>
    <w:rsid w:val="006562FB"/>
    <w:rsid w:val="0065635D"/>
    <w:rsid w:val="0065644A"/>
    <w:rsid w:val="0065659F"/>
    <w:rsid w:val="00656617"/>
    <w:rsid w:val="006568ED"/>
    <w:rsid w:val="00656903"/>
    <w:rsid w:val="00656D25"/>
    <w:rsid w:val="0065709A"/>
    <w:rsid w:val="006573CB"/>
    <w:rsid w:val="0065786E"/>
    <w:rsid w:val="00657955"/>
    <w:rsid w:val="00657A8C"/>
    <w:rsid w:val="00657AF3"/>
    <w:rsid w:val="00657B61"/>
    <w:rsid w:val="00657BCC"/>
    <w:rsid w:val="00657D70"/>
    <w:rsid w:val="00660233"/>
    <w:rsid w:val="00660286"/>
    <w:rsid w:val="006603C6"/>
    <w:rsid w:val="006604F5"/>
    <w:rsid w:val="006607D0"/>
    <w:rsid w:val="006609A2"/>
    <w:rsid w:val="00660C50"/>
    <w:rsid w:val="00660C71"/>
    <w:rsid w:val="00660C7F"/>
    <w:rsid w:val="00660CA9"/>
    <w:rsid w:val="00660D2D"/>
    <w:rsid w:val="00660DF3"/>
    <w:rsid w:val="0066113B"/>
    <w:rsid w:val="00661388"/>
    <w:rsid w:val="006613CF"/>
    <w:rsid w:val="00661529"/>
    <w:rsid w:val="00661574"/>
    <w:rsid w:val="0066158C"/>
    <w:rsid w:val="0066169E"/>
    <w:rsid w:val="006616D8"/>
    <w:rsid w:val="006617FB"/>
    <w:rsid w:val="0066195B"/>
    <w:rsid w:val="00661A53"/>
    <w:rsid w:val="00661ACE"/>
    <w:rsid w:val="00661F9B"/>
    <w:rsid w:val="00662257"/>
    <w:rsid w:val="006624D3"/>
    <w:rsid w:val="00662619"/>
    <w:rsid w:val="0066284C"/>
    <w:rsid w:val="00662908"/>
    <w:rsid w:val="006629BB"/>
    <w:rsid w:val="00662B1B"/>
    <w:rsid w:val="00662CF1"/>
    <w:rsid w:val="00662DD6"/>
    <w:rsid w:val="00662E1B"/>
    <w:rsid w:val="00662EA9"/>
    <w:rsid w:val="00662FF3"/>
    <w:rsid w:val="00663095"/>
    <w:rsid w:val="0066348A"/>
    <w:rsid w:val="00663544"/>
    <w:rsid w:val="00663735"/>
    <w:rsid w:val="006638D8"/>
    <w:rsid w:val="00663907"/>
    <w:rsid w:val="00663B04"/>
    <w:rsid w:val="00663CA5"/>
    <w:rsid w:val="00663D33"/>
    <w:rsid w:val="00663E99"/>
    <w:rsid w:val="00663F04"/>
    <w:rsid w:val="00664080"/>
    <w:rsid w:val="006641D4"/>
    <w:rsid w:val="00664851"/>
    <w:rsid w:val="006648E1"/>
    <w:rsid w:val="0066495E"/>
    <w:rsid w:val="00664B77"/>
    <w:rsid w:val="00664D4C"/>
    <w:rsid w:val="00664F0C"/>
    <w:rsid w:val="0066547C"/>
    <w:rsid w:val="006654F1"/>
    <w:rsid w:val="006655F5"/>
    <w:rsid w:val="0066564E"/>
    <w:rsid w:val="00665AC2"/>
    <w:rsid w:val="00665E1A"/>
    <w:rsid w:val="00665FEC"/>
    <w:rsid w:val="006665D3"/>
    <w:rsid w:val="006665DA"/>
    <w:rsid w:val="006667C2"/>
    <w:rsid w:val="00666E65"/>
    <w:rsid w:val="00667486"/>
    <w:rsid w:val="006674E0"/>
    <w:rsid w:val="00667588"/>
    <w:rsid w:val="0066760D"/>
    <w:rsid w:val="00667647"/>
    <w:rsid w:val="00667969"/>
    <w:rsid w:val="00667999"/>
    <w:rsid w:val="0067009A"/>
    <w:rsid w:val="006700E0"/>
    <w:rsid w:val="00670108"/>
    <w:rsid w:val="0067010E"/>
    <w:rsid w:val="00670143"/>
    <w:rsid w:val="00670199"/>
    <w:rsid w:val="006701DE"/>
    <w:rsid w:val="006702A8"/>
    <w:rsid w:val="006705E8"/>
    <w:rsid w:val="00670718"/>
    <w:rsid w:val="00670844"/>
    <w:rsid w:val="00670A26"/>
    <w:rsid w:val="00670F65"/>
    <w:rsid w:val="00671072"/>
    <w:rsid w:val="006710DA"/>
    <w:rsid w:val="0067124A"/>
    <w:rsid w:val="006714D4"/>
    <w:rsid w:val="00671A23"/>
    <w:rsid w:val="00671AB5"/>
    <w:rsid w:val="00671D34"/>
    <w:rsid w:val="006720D6"/>
    <w:rsid w:val="006722F5"/>
    <w:rsid w:val="00672379"/>
    <w:rsid w:val="006723F2"/>
    <w:rsid w:val="00672B63"/>
    <w:rsid w:val="00672C81"/>
    <w:rsid w:val="00673034"/>
    <w:rsid w:val="00673148"/>
    <w:rsid w:val="00673182"/>
    <w:rsid w:val="006732C7"/>
    <w:rsid w:val="0067333C"/>
    <w:rsid w:val="0067336B"/>
    <w:rsid w:val="00673581"/>
    <w:rsid w:val="00673633"/>
    <w:rsid w:val="0067365B"/>
    <w:rsid w:val="00673682"/>
    <w:rsid w:val="00673757"/>
    <w:rsid w:val="00673787"/>
    <w:rsid w:val="006737DB"/>
    <w:rsid w:val="00673A34"/>
    <w:rsid w:val="00673B07"/>
    <w:rsid w:val="00673B92"/>
    <w:rsid w:val="00673CF4"/>
    <w:rsid w:val="00673E3A"/>
    <w:rsid w:val="00673F1E"/>
    <w:rsid w:val="006743DC"/>
    <w:rsid w:val="006748EA"/>
    <w:rsid w:val="00674C7A"/>
    <w:rsid w:val="00674DD9"/>
    <w:rsid w:val="00674E9A"/>
    <w:rsid w:val="00674F96"/>
    <w:rsid w:val="006751C0"/>
    <w:rsid w:val="00675339"/>
    <w:rsid w:val="006754A1"/>
    <w:rsid w:val="00675717"/>
    <w:rsid w:val="0067587B"/>
    <w:rsid w:val="00675A06"/>
    <w:rsid w:val="00675A52"/>
    <w:rsid w:val="00675C49"/>
    <w:rsid w:val="00675CC6"/>
    <w:rsid w:val="00675DEC"/>
    <w:rsid w:val="00675E66"/>
    <w:rsid w:val="00676028"/>
    <w:rsid w:val="00676180"/>
    <w:rsid w:val="00676248"/>
    <w:rsid w:val="0067627B"/>
    <w:rsid w:val="00676508"/>
    <w:rsid w:val="00676CF7"/>
    <w:rsid w:val="00676D08"/>
    <w:rsid w:val="00676E57"/>
    <w:rsid w:val="00676FC3"/>
    <w:rsid w:val="006770D4"/>
    <w:rsid w:val="006771A0"/>
    <w:rsid w:val="006771F4"/>
    <w:rsid w:val="00677296"/>
    <w:rsid w:val="00677338"/>
    <w:rsid w:val="00677642"/>
    <w:rsid w:val="00677652"/>
    <w:rsid w:val="0067794D"/>
    <w:rsid w:val="00677A13"/>
    <w:rsid w:val="00677AEB"/>
    <w:rsid w:val="00677B1A"/>
    <w:rsid w:val="00677BA9"/>
    <w:rsid w:val="00677CC8"/>
    <w:rsid w:val="00677D41"/>
    <w:rsid w:val="00677EB3"/>
    <w:rsid w:val="00680461"/>
    <w:rsid w:val="00680499"/>
    <w:rsid w:val="00680559"/>
    <w:rsid w:val="00680712"/>
    <w:rsid w:val="0068072E"/>
    <w:rsid w:val="00680784"/>
    <w:rsid w:val="0068080E"/>
    <w:rsid w:val="00680838"/>
    <w:rsid w:val="0068090D"/>
    <w:rsid w:val="00680B76"/>
    <w:rsid w:val="00680BCB"/>
    <w:rsid w:val="00680BEA"/>
    <w:rsid w:val="00680C51"/>
    <w:rsid w:val="00680D55"/>
    <w:rsid w:val="00680FD0"/>
    <w:rsid w:val="006810B1"/>
    <w:rsid w:val="006810C9"/>
    <w:rsid w:val="006818AA"/>
    <w:rsid w:val="0068195B"/>
    <w:rsid w:val="0068195D"/>
    <w:rsid w:val="00681E36"/>
    <w:rsid w:val="00681E69"/>
    <w:rsid w:val="00681F33"/>
    <w:rsid w:val="006820EF"/>
    <w:rsid w:val="006822E1"/>
    <w:rsid w:val="0068238F"/>
    <w:rsid w:val="006824DF"/>
    <w:rsid w:val="006824F4"/>
    <w:rsid w:val="0068266A"/>
    <w:rsid w:val="006829A0"/>
    <w:rsid w:val="00682A0F"/>
    <w:rsid w:val="00682AC9"/>
    <w:rsid w:val="00682BC7"/>
    <w:rsid w:val="00682D03"/>
    <w:rsid w:val="00682D1F"/>
    <w:rsid w:val="00682EC2"/>
    <w:rsid w:val="00682F8C"/>
    <w:rsid w:val="0068314E"/>
    <w:rsid w:val="00683190"/>
    <w:rsid w:val="00683365"/>
    <w:rsid w:val="00683370"/>
    <w:rsid w:val="006834A9"/>
    <w:rsid w:val="0068357B"/>
    <w:rsid w:val="00683B7E"/>
    <w:rsid w:val="00683CF8"/>
    <w:rsid w:val="00683D63"/>
    <w:rsid w:val="00683EA3"/>
    <w:rsid w:val="0068433B"/>
    <w:rsid w:val="00684453"/>
    <w:rsid w:val="006847AF"/>
    <w:rsid w:val="006847D5"/>
    <w:rsid w:val="00684840"/>
    <w:rsid w:val="00684920"/>
    <w:rsid w:val="00684B70"/>
    <w:rsid w:val="00684CF0"/>
    <w:rsid w:val="00684D27"/>
    <w:rsid w:val="00684D2F"/>
    <w:rsid w:val="00684E04"/>
    <w:rsid w:val="00684ECF"/>
    <w:rsid w:val="00684FE7"/>
    <w:rsid w:val="006851D6"/>
    <w:rsid w:val="0068542F"/>
    <w:rsid w:val="00685489"/>
    <w:rsid w:val="00685753"/>
    <w:rsid w:val="00685C81"/>
    <w:rsid w:val="00685CF7"/>
    <w:rsid w:val="00685E96"/>
    <w:rsid w:val="00686016"/>
    <w:rsid w:val="006862A4"/>
    <w:rsid w:val="00686562"/>
    <w:rsid w:val="006866F1"/>
    <w:rsid w:val="00686743"/>
    <w:rsid w:val="006867DD"/>
    <w:rsid w:val="006868EC"/>
    <w:rsid w:val="00686985"/>
    <w:rsid w:val="006869E4"/>
    <w:rsid w:val="00686ACA"/>
    <w:rsid w:val="00686AD9"/>
    <w:rsid w:val="00686B04"/>
    <w:rsid w:val="00686B39"/>
    <w:rsid w:val="00686B53"/>
    <w:rsid w:val="00686BED"/>
    <w:rsid w:val="00686D6D"/>
    <w:rsid w:val="006870F1"/>
    <w:rsid w:val="00687135"/>
    <w:rsid w:val="0068724E"/>
    <w:rsid w:val="0068758B"/>
    <w:rsid w:val="00687592"/>
    <w:rsid w:val="0068770F"/>
    <w:rsid w:val="0068776D"/>
    <w:rsid w:val="00687798"/>
    <w:rsid w:val="006879C3"/>
    <w:rsid w:val="006879ED"/>
    <w:rsid w:val="00687ABD"/>
    <w:rsid w:val="00687C79"/>
    <w:rsid w:val="00687EDF"/>
    <w:rsid w:val="00687FF5"/>
    <w:rsid w:val="0069000F"/>
    <w:rsid w:val="006900CF"/>
    <w:rsid w:val="00690198"/>
    <w:rsid w:val="006901BC"/>
    <w:rsid w:val="006903B2"/>
    <w:rsid w:val="006905ED"/>
    <w:rsid w:val="0069078C"/>
    <w:rsid w:val="00690A4B"/>
    <w:rsid w:val="00690BA6"/>
    <w:rsid w:val="00690E23"/>
    <w:rsid w:val="006910D9"/>
    <w:rsid w:val="0069119C"/>
    <w:rsid w:val="0069137B"/>
    <w:rsid w:val="00691493"/>
    <w:rsid w:val="006916C8"/>
    <w:rsid w:val="006917BB"/>
    <w:rsid w:val="00691873"/>
    <w:rsid w:val="006919A1"/>
    <w:rsid w:val="00691D30"/>
    <w:rsid w:val="00691D55"/>
    <w:rsid w:val="00691D75"/>
    <w:rsid w:val="00691F97"/>
    <w:rsid w:val="0069224F"/>
    <w:rsid w:val="006922CB"/>
    <w:rsid w:val="00692510"/>
    <w:rsid w:val="00692910"/>
    <w:rsid w:val="00692934"/>
    <w:rsid w:val="00692961"/>
    <w:rsid w:val="00692C3F"/>
    <w:rsid w:val="00692D4E"/>
    <w:rsid w:val="00692E50"/>
    <w:rsid w:val="00692F28"/>
    <w:rsid w:val="00693031"/>
    <w:rsid w:val="00693042"/>
    <w:rsid w:val="00693149"/>
    <w:rsid w:val="0069317E"/>
    <w:rsid w:val="006931FD"/>
    <w:rsid w:val="006933C8"/>
    <w:rsid w:val="00693472"/>
    <w:rsid w:val="00693538"/>
    <w:rsid w:val="006935F9"/>
    <w:rsid w:val="0069378C"/>
    <w:rsid w:val="006937EB"/>
    <w:rsid w:val="00693A04"/>
    <w:rsid w:val="00693A3A"/>
    <w:rsid w:val="00693DB7"/>
    <w:rsid w:val="00693F2A"/>
    <w:rsid w:val="00693FD2"/>
    <w:rsid w:val="0069402D"/>
    <w:rsid w:val="0069433A"/>
    <w:rsid w:val="0069442B"/>
    <w:rsid w:val="0069444F"/>
    <w:rsid w:val="0069445B"/>
    <w:rsid w:val="00694A40"/>
    <w:rsid w:val="00694A4D"/>
    <w:rsid w:val="00694A89"/>
    <w:rsid w:val="00694B14"/>
    <w:rsid w:val="00694D64"/>
    <w:rsid w:val="0069511A"/>
    <w:rsid w:val="0069541E"/>
    <w:rsid w:val="0069551C"/>
    <w:rsid w:val="00695544"/>
    <w:rsid w:val="00695839"/>
    <w:rsid w:val="00695889"/>
    <w:rsid w:val="00695A37"/>
    <w:rsid w:val="00695B02"/>
    <w:rsid w:val="00695B55"/>
    <w:rsid w:val="00695B74"/>
    <w:rsid w:val="00695CE6"/>
    <w:rsid w:val="00695E2D"/>
    <w:rsid w:val="00695EC5"/>
    <w:rsid w:val="00696440"/>
    <w:rsid w:val="00696660"/>
    <w:rsid w:val="00696687"/>
    <w:rsid w:val="006966BD"/>
    <w:rsid w:val="00696764"/>
    <w:rsid w:val="00696937"/>
    <w:rsid w:val="00696E61"/>
    <w:rsid w:val="00697106"/>
    <w:rsid w:val="00697566"/>
    <w:rsid w:val="006975BC"/>
    <w:rsid w:val="006976B1"/>
    <w:rsid w:val="00697752"/>
    <w:rsid w:val="006977D5"/>
    <w:rsid w:val="00697845"/>
    <w:rsid w:val="00697873"/>
    <w:rsid w:val="00697E82"/>
    <w:rsid w:val="00697F51"/>
    <w:rsid w:val="006A0374"/>
    <w:rsid w:val="006A03CC"/>
    <w:rsid w:val="006A0668"/>
    <w:rsid w:val="006A09FB"/>
    <w:rsid w:val="006A0A7C"/>
    <w:rsid w:val="006A0AD6"/>
    <w:rsid w:val="006A0B0C"/>
    <w:rsid w:val="006A0C0A"/>
    <w:rsid w:val="006A0C3E"/>
    <w:rsid w:val="006A0D9C"/>
    <w:rsid w:val="006A106C"/>
    <w:rsid w:val="006A10C4"/>
    <w:rsid w:val="006A120F"/>
    <w:rsid w:val="006A12EF"/>
    <w:rsid w:val="006A14A3"/>
    <w:rsid w:val="006A1684"/>
    <w:rsid w:val="006A1707"/>
    <w:rsid w:val="006A1798"/>
    <w:rsid w:val="006A184D"/>
    <w:rsid w:val="006A190A"/>
    <w:rsid w:val="006A1AA5"/>
    <w:rsid w:val="006A1B0A"/>
    <w:rsid w:val="006A1B14"/>
    <w:rsid w:val="006A1BE0"/>
    <w:rsid w:val="006A1C7D"/>
    <w:rsid w:val="006A1FDC"/>
    <w:rsid w:val="006A2301"/>
    <w:rsid w:val="006A2720"/>
    <w:rsid w:val="006A2725"/>
    <w:rsid w:val="006A2730"/>
    <w:rsid w:val="006A2832"/>
    <w:rsid w:val="006A2919"/>
    <w:rsid w:val="006A2A38"/>
    <w:rsid w:val="006A2A43"/>
    <w:rsid w:val="006A2B15"/>
    <w:rsid w:val="006A2DDA"/>
    <w:rsid w:val="006A2F5D"/>
    <w:rsid w:val="006A30A2"/>
    <w:rsid w:val="006A314D"/>
    <w:rsid w:val="006A3251"/>
    <w:rsid w:val="006A3650"/>
    <w:rsid w:val="006A3723"/>
    <w:rsid w:val="006A3801"/>
    <w:rsid w:val="006A39DE"/>
    <w:rsid w:val="006A3BDD"/>
    <w:rsid w:val="006A3EDE"/>
    <w:rsid w:val="006A3F40"/>
    <w:rsid w:val="006A3FA5"/>
    <w:rsid w:val="006A4170"/>
    <w:rsid w:val="006A4344"/>
    <w:rsid w:val="006A4525"/>
    <w:rsid w:val="006A471D"/>
    <w:rsid w:val="006A4825"/>
    <w:rsid w:val="006A49E0"/>
    <w:rsid w:val="006A4C36"/>
    <w:rsid w:val="006A4C45"/>
    <w:rsid w:val="006A4D80"/>
    <w:rsid w:val="006A4DE3"/>
    <w:rsid w:val="006A4E15"/>
    <w:rsid w:val="006A5176"/>
    <w:rsid w:val="006A518E"/>
    <w:rsid w:val="006A5238"/>
    <w:rsid w:val="006A54C0"/>
    <w:rsid w:val="006A5767"/>
    <w:rsid w:val="006A579E"/>
    <w:rsid w:val="006A590F"/>
    <w:rsid w:val="006A59F3"/>
    <w:rsid w:val="006A5CFF"/>
    <w:rsid w:val="006A6295"/>
    <w:rsid w:val="006A6568"/>
    <w:rsid w:val="006A659F"/>
    <w:rsid w:val="006A66A8"/>
    <w:rsid w:val="006A6737"/>
    <w:rsid w:val="006A6AA9"/>
    <w:rsid w:val="006A6D24"/>
    <w:rsid w:val="006A7085"/>
    <w:rsid w:val="006A70B3"/>
    <w:rsid w:val="006A732B"/>
    <w:rsid w:val="006A7385"/>
    <w:rsid w:val="006A7530"/>
    <w:rsid w:val="006A7697"/>
    <w:rsid w:val="006A772E"/>
    <w:rsid w:val="006A77CC"/>
    <w:rsid w:val="006A790C"/>
    <w:rsid w:val="006A792B"/>
    <w:rsid w:val="006A7AC0"/>
    <w:rsid w:val="006A7B24"/>
    <w:rsid w:val="006A7B4A"/>
    <w:rsid w:val="006A7B98"/>
    <w:rsid w:val="006A7C09"/>
    <w:rsid w:val="006A7C69"/>
    <w:rsid w:val="006B009C"/>
    <w:rsid w:val="006B023D"/>
    <w:rsid w:val="006B03E4"/>
    <w:rsid w:val="006B081F"/>
    <w:rsid w:val="006B08CA"/>
    <w:rsid w:val="006B08F1"/>
    <w:rsid w:val="006B09F1"/>
    <w:rsid w:val="006B0AF6"/>
    <w:rsid w:val="006B0CD5"/>
    <w:rsid w:val="006B0E04"/>
    <w:rsid w:val="006B0F7B"/>
    <w:rsid w:val="006B1112"/>
    <w:rsid w:val="006B137F"/>
    <w:rsid w:val="006B14A4"/>
    <w:rsid w:val="006B1566"/>
    <w:rsid w:val="006B1610"/>
    <w:rsid w:val="006B16B6"/>
    <w:rsid w:val="006B18D8"/>
    <w:rsid w:val="006B194E"/>
    <w:rsid w:val="006B1961"/>
    <w:rsid w:val="006B19B3"/>
    <w:rsid w:val="006B1A4B"/>
    <w:rsid w:val="006B1ACD"/>
    <w:rsid w:val="006B1BFE"/>
    <w:rsid w:val="006B1C8D"/>
    <w:rsid w:val="006B20B9"/>
    <w:rsid w:val="006B2244"/>
    <w:rsid w:val="006B23A1"/>
    <w:rsid w:val="006B2563"/>
    <w:rsid w:val="006B2579"/>
    <w:rsid w:val="006B25BA"/>
    <w:rsid w:val="006B26EE"/>
    <w:rsid w:val="006B2719"/>
    <w:rsid w:val="006B2761"/>
    <w:rsid w:val="006B2941"/>
    <w:rsid w:val="006B2B17"/>
    <w:rsid w:val="006B2B5B"/>
    <w:rsid w:val="006B2F36"/>
    <w:rsid w:val="006B2F76"/>
    <w:rsid w:val="006B328A"/>
    <w:rsid w:val="006B33D7"/>
    <w:rsid w:val="006B355D"/>
    <w:rsid w:val="006B3A18"/>
    <w:rsid w:val="006B3BC4"/>
    <w:rsid w:val="006B3E26"/>
    <w:rsid w:val="006B3EEB"/>
    <w:rsid w:val="006B4036"/>
    <w:rsid w:val="006B4288"/>
    <w:rsid w:val="006B42DD"/>
    <w:rsid w:val="006B43F4"/>
    <w:rsid w:val="006B44B7"/>
    <w:rsid w:val="006B45C7"/>
    <w:rsid w:val="006B468B"/>
    <w:rsid w:val="006B46A7"/>
    <w:rsid w:val="006B46C5"/>
    <w:rsid w:val="006B4780"/>
    <w:rsid w:val="006B485D"/>
    <w:rsid w:val="006B4972"/>
    <w:rsid w:val="006B49CB"/>
    <w:rsid w:val="006B4BC8"/>
    <w:rsid w:val="006B4C78"/>
    <w:rsid w:val="006B4D83"/>
    <w:rsid w:val="006B5036"/>
    <w:rsid w:val="006B50E2"/>
    <w:rsid w:val="006B50F7"/>
    <w:rsid w:val="006B532B"/>
    <w:rsid w:val="006B5415"/>
    <w:rsid w:val="006B5572"/>
    <w:rsid w:val="006B56C1"/>
    <w:rsid w:val="006B5754"/>
    <w:rsid w:val="006B5B65"/>
    <w:rsid w:val="006B5C36"/>
    <w:rsid w:val="006B5CD4"/>
    <w:rsid w:val="006B5DFC"/>
    <w:rsid w:val="006B5E06"/>
    <w:rsid w:val="006B5FD6"/>
    <w:rsid w:val="006B60A0"/>
    <w:rsid w:val="006B626F"/>
    <w:rsid w:val="006B668C"/>
    <w:rsid w:val="006B6839"/>
    <w:rsid w:val="006B6B41"/>
    <w:rsid w:val="006B6B79"/>
    <w:rsid w:val="006B6C4E"/>
    <w:rsid w:val="006B6C6C"/>
    <w:rsid w:val="006B6CD5"/>
    <w:rsid w:val="006B6E05"/>
    <w:rsid w:val="006B72EE"/>
    <w:rsid w:val="006B770E"/>
    <w:rsid w:val="006B796B"/>
    <w:rsid w:val="006B7982"/>
    <w:rsid w:val="006B79EC"/>
    <w:rsid w:val="006B7B99"/>
    <w:rsid w:val="006B7CD5"/>
    <w:rsid w:val="006B7D5F"/>
    <w:rsid w:val="006C002A"/>
    <w:rsid w:val="006C008C"/>
    <w:rsid w:val="006C012A"/>
    <w:rsid w:val="006C030F"/>
    <w:rsid w:val="006C0320"/>
    <w:rsid w:val="006C036E"/>
    <w:rsid w:val="006C03B3"/>
    <w:rsid w:val="006C04F0"/>
    <w:rsid w:val="006C076D"/>
    <w:rsid w:val="006C07FA"/>
    <w:rsid w:val="006C08B8"/>
    <w:rsid w:val="006C09CE"/>
    <w:rsid w:val="006C0A51"/>
    <w:rsid w:val="006C0B1A"/>
    <w:rsid w:val="006C0B1C"/>
    <w:rsid w:val="006C0BA8"/>
    <w:rsid w:val="006C0E62"/>
    <w:rsid w:val="006C11A4"/>
    <w:rsid w:val="006C1301"/>
    <w:rsid w:val="006C1395"/>
    <w:rsid w:val="006C1557"/>
    <w:rsid w:val="006C1621"/>
    <w:rsid w:val="006C1676"/>
    <w:rsid w:val="006C16EA"/>
    <w:rsid w:val="006C1721"/>
    <w:rsid w:val="006C17CE"/>
    <w:rsid w:val="006C1914"/>
    <w:rsid w:val="006C1B3C"/>
    <w:rsid w:val="006C1C0F"/>
    <w:rsid w:val="006C1C7F"/>
    <w:rsid w:val="006C1E8D"/>
    <w:rsid w:val="006C1FC9"/>
    <w:rsid w:val="006C20F6"/>
    <w:rsid w:val="006C219C"/>
    <w:rsid w:val="006C2336"/>
    <w:rsid w:val="006C2395"/>
    <w:rsid w:val="006C23CF"/>
    <w:rsid w:val="006C24D0"/>
    <w:rsid w:val="006C27EC"/>
    <w:rsid w:val="006C2A12"/>
    <w:rsid w:val="006C2CF2"/>
    <w:rsid w:val="006C2D98"/>
    <w:rsid w:val="006C2F46"/>
    <w:rsid w:val="006C2FFE"/>
    <w:rsid w:val="006C3128"/>
    <w:rsid w:val="006C31C3"/>
    <w:rsid w:val="006C31CD"/>
    <w:rsid w:val="006C334F"/>
    <w:rsid w:val="006C335B"/>
    <w:rsid w:val="006C36E8"/>
    <w:rsid w:val="006C3899"/>
    <w:rsid w:val="006C38CC"/>
    <w:rsid w:val="006C3960"/>
    <w:rsid w:val="006C3BAF"/>
    <w:rsid w:val="006C3FEF"/>
    <w:rsid w:val="006C4460"/>
    <w:rsid w:val="006C4510"/>
    <w:rsid w:val="006C4580"/>
    <w:rsid w:val="006C4591"/>
    <w:rsid w:val="006C478A"/>
    <w:rsid w:val="006C4819"/>
    <w:rsid w:val="006C4840"/>
    <w:rsid w:val="006C4846"/>
    <w:rsid w:val="006C48FF"/>
    <w:rsid w:val="006C4B68"/>
    <w:rsid w:val="006C4D85"/>
    <w:rsid w:val="006C4FE5"/>
    <w:rsid w:val="006C504D"/>
    <w:rsid w:val="006C50D8"/>
    <w:rsid w:val="006C51DB"/>
    <w:rsid w:val="006C54EE"/>
    <w:rsid w:val="006C56C9"/>
    <w:rsid w:val="006C5907"/>
    <w:rsid w:val="006C593B"/>
    <w:rsid w:val="006C5B07"/>
    <w:rsid w:val="006C5BF4"/>
    <w:rsid w:val="006C5FA2"/>
    <w:rsid w:val="006C613C"/>
    <w:rsid w:val="006C638D"/>
    <w:rsid w:val="006C68C3"/>
    <w:rsid w:val="006C6937"/>
    <w:rsid w:val="006C6A9C"/>
    <w:rsid w:val="006C6CA8"/>
    <w:rsid w:val="006C6D36"/>
    <w:rsid w:val="006C6D54"/>
    <w:rsid w:val="006C6EA6"/>
    <w:rsid w:val="006C6FA2"/>
    <w:rsid w:val="006C6FA4"/>
    <w:rsid w:val="006C6FAC"/>
    <w:rsid w:val="006C70D8"/>
    <w:rsid w:val="006C7243"/>
    <w:rsid w:val="006C744B"/>
    <w:rsid w:val="006C749E"/>
    <w:rsid w:val="006C75D6"/>
    <w:rsid w:val="006C767E"/>
    <w:rsid w:val="006C7A72"/>
    <w:rsid w:val="006C7A9A"/>
    <w:rsid w:val="006C7B54"/>
    <w:rsid w:val="006C7B88"/>
    <w:rsid w:val="006C7BF7"/>
    <w:rsid w:val="006C7CD0"/>
    <w:rsid w:val="006C7D00"/>
    <w:rsid w:val="006C7E05"/>
    <w:rsid w:val="006D0127"/>
    <w:rsid w:val="006D0180"/>
    <w:rsid w:val="006D0233"/>
    <w:rsid w:val="006D036B"/>
    <w:rsid w:val="006D0484"/>
    <w:rsid w:val="006D06A7"/>
    <w:rsid w:val="006D099A"/>
    <w:rsid w:val="006D0A8A"/>
    <w:rsid w:val="006D0BE3"/>
    <w:rsid w:val="006D0CA6"/>
    <w:rsid w:val="006D0D6F"/>
    <w:rsid w:val="006D0F60"/>
    <w:rsid w:val="006D137B"/>
    <w:rsid w:val="006D14D1"/>
    <w:rsid w:val="006D1534"/>
    <w:rsid w:val="006D15C4"/>
    <w:rsid w:val="006D16FA"/>
    <w:rsid w:val="006D1903"/>
    <w:rsid w:val="006D19C6"/>
    <w:rsid w:val="006D1A6B"/>
    <w:rsid w:val="006D1BAC"/>
    <w:rsid w:val="006D1D19"/>
    <w:rsid w:val="006D1E2C"/>
    <w:rsid w:val="006D1EA8"/>
    <w:rsid w:val="006D1EF8"/>
    <w:rsid w:val="006D1F3D"/>
    <w:rsid w:val="006D1FC2"/>
    <w:rsid w:val="006D20AD"/>
    <w:rsid w:val="006D22A1"/>
    <w:rsid w:val="006D22E2"/>
    <w:rsid w:val="006D25A0"/>
    <w:rsid w:val="006D267D"/>
    <w:rsid w:val="006D2898"/>
    <w:rsid w:val="006D2AC0"/>
    <w:rsid w:val="006D2B12"/>
    <w:rsid w:val="006D2E01"/>
    <w:rsid w:val="006D2E9A"/>
    <w:rsid w:val="006D2F74"/>
    <w:rsid w:val="006D311E"/>
    <w:rsid w:val="006D339F"/>
    <w:rsid w:val="006D3501"/>
    <w:rsid w:val="006D353E"/>
    <w:rsid w:val="006D3862"/>
    <w:rsid w:val="006D3A65"/>
    <w:rsid w:val="006D3A8C"/>
    <w:rsid w:val="006D3E38"/>
    <w:rsid w:val="006D3F00"/>
    <w:rsid w:val="006D3F99"/>
    <w:rsid w:val="006D442C"/>
    <w:rsid w:val="006D46B6"/>
    <w:rsid w:val="006D470B"/>
    <w:rsid w:val="006D477B"/>
    <w:rsid w:val="006D48DE"/>
    <w:rsid w:val="006D4A74"/>
    <w:rsid w:val="006D4C94"/>
    <w:rsid w:val="006D50E9"/>
    <w:rsid w:val="006D51F4"/>
    <w:rsid w:val="006D548F"/>
    <w:rsid w:val="006D58C5"/>
    <w:rsid w:val="006D5A46"/>
    <w:rsid w:val="006D5F4A"/>
    <w:rsid w:val="006D5F78"/>
    <w:rsid w:val="006D608C"/>
    <w:rsid w:val="006D61A2"/>
    <w:rsid w:val="006D674B"/>
    <w:rsid w:val="006D69D2"/>
    <w:rsid w:val="006D6E81"/>
    <w:rsid w:val="006D6FE7"/>
    <w:rsid w:val="006D72C2"/>
    <w:rsid w:val="006D7B04"/>
    <w:rsid w:val="006D7E1F"/>
    <w:rsid w:val="006D7E86"/>
    <w:rsid w:val="006D7F13"/>
    <w:rsid w:val="006D7FE0"/>
    <w:rsid w:val="006E0313"/>
    <w:rsid w:val="006E0655"/>
    <w:rsid w:val="006E07FB"/>
    <w:rsid w:val="006E097E"/>
    <w:rsid w:val="006E0AAF"/>
    <w:rsid w:val="006E0BF6"/>
    <w:rsid w:val="006E0EC8"/>
    <w:rsid w:val="006E111C"/>
    <w:rsid w:val="006E1427"/>
    <w:rsid w:val="006E153B"/>
    <w:rsid w:val="006E15BE"/>
    <w:rsid w:val="006E160C"/>
    <w:rsid w:val="006E16A0"/>
    <w:rsid w:val="006E1780"/>
    <w:rsid w:val="006E1AE2"/>
    <w:rsid w:val="006E1CB0"/>
    <w:rsid w:val="006E1D1C"/>
    <w:rsid w:val="006E1DA8"/>
    <w:rsid w:val="006E1DB1"/>
    <w:rsid w:val="006E1F2B"/>
    <w:rsid w:val="006E2022"/>
    <w:rsid w:val="006E2256"/>
    <w:rsid w:val="006E29E1"/>
    <w:rsid w:val="006E2B51"/>
    <w:rsid w:val="006E2D95"/>
    <w:rsid w:val="006E2E64"/>
    <w:rsid w:val="006E2F5D"/>
    <w:rsid w:val="006E30A3"/>
    <w:rsid w:val="006E3231"/>
    <w:rsid w:val="006E3244"/>
    <w:rsid w:val="006E334A"/>
    <w:rsid w:val="006E34D9"/>
    <w:rsid w:val="006E34EC"/>
    <w:rsid w:val="006E351F"/>
    <w:rsid w:val="006E36A2"/>
    <w:rsid w:val="006E36B2"/>
    <w:rsid w:val="006E36BB"/>
    <w:rsid w:val="006E39D8"/>
    <w:rsid w:val="006E3D66"/>
    <w:rsid w:val="006E3F12"/>
    <w:rsid w:val="006E42AA"/>
    <w:rsid w:val="006E44FC"/>
    <w:rsid w:val="006E4558"/>
    <w:rsid w:val="006E47B6"/>
    <w:rsid w:val="006E4BC4"/>
    <w:rsid w:val="006E4E61"/>
    <w:rsid w:val="006E4EB9"/>
    <w:rsid w:val="006E4F5D"/>
    <w:rsid w:val="006E4F60"/>
    <w:rsid w:val="006E510A"/>
    <w:rsid w:val="006E5180"/>
    <w:rsid w:val="006E5264"/>
    <w:rsid w:val="006E5556"/>
    <w:rsid w:val="006E5625"/>
    <w:rsid w:val="006E568F"/>
    <w:rsid w:val="006E56F7"/>
    <w:rsid w:val="006E5824"/>
    <w:rsid w:val="006E5A1E"/>
    <w:rsid w:val="006E5BF7"/>
    <w:rsid w:val="006E5D50"/>
    <w:rsid w:val="006E5D8C"/>
    <w:rsid w:val="006E5E34"/>
    <w:rsid w:val="006E5FE3"/>
    <w:rsid w:val="006E601B"/>
    <w:rsid w:val="006E6102"/>
    <w:rsid w:val="006E62D1"/>
    <w:rsid w:val="006E63A5"/>
    <w:rsid w:val="006E63E1"/>
    <w:rsid w:val="006E652F"/>
    <w:rsid w:val="006E65C4"/>
    <w:rsid w:val="006E6A71"/>
    <w:rsid w:val="006E6C16"/>
    <w:rsid w:val="006E6D28"/>
    <w:rsid w:val="006E6DDF"/>
    <w:rsid w:val="006E6DFB"/>
    <w:rsid w:val="006E6EC4"/>
    <w:rsid w:val="006E7061"/>
    <w:rsid w:val="006E72D7"/>
    <w:rsid w:val="006E7CC2"/>
    <w:rsid w:val="006E7F73"/>
    <w:rsid w:val="006E7F87"/>
    <w:rsid w:val="006E7F95"/>
    <w:rsid w:val="006F0268"/>
    <w:rsid w:val="006F02DB"/>
    <w:rsid w:val="006F0462"/>
    <w:rsid w:val="006F07E9"/>
    <w:rsid w:val="006F0898"/>
    <w:rsid w:val="006F08B9"/>
    <w:rsid w:val="006F0B45"/>
    <w:rsid w:val="006F0B85"/>
    <w:rsid w:val="006F0CD6"/>
    <w:rsid w:val="006F0E74"/>
    <w:rsid w:val="006F0F9B"/>
    <w:rsid w:val="006F127B"/>
    <w:rsid w:val="006F1574"/>
    <w:rsid w:val="006F16F1"/>
    <w:rsid w:val="006F17BA"/>
    <w:rsid w:val="006F17D9"/>
    <w:rsid w:val="006F1951"/>
    <w:rsid w:val="006F1955"/>
    <w:rsid w:val="006F19A8"/>
    <w:rsid w:val="006F1B73"/>
    <w:rsid w:val="006F1C5B"/>
    <w:rsid w:val="006F1D5B"/>
    <w:rsid w:val="006F1F01"/>
    <w:rsid w:val="006F1FC8"/>
    <w:rsid w:val="006F211B"/>
    <w:rsid w:val="006F216C"/>
    <w:rsid w:val="006F2353"/>
    <w:rsid w:val="006F2587"/>
    <w:rsid w:val="006F2748"/>
    <w:rsid w:val="006F2862"/>
    <w:rsid w:val="006F2979"/>
    <w:rsid w:val="006F2B99"/>
    <w:rsid w:val="006F2CEF"/>
    <w:rsid w:val="006F2D8E"/>
    <w:rsid w:val="006F2EB4"/>
    <w:rsid w:val="006F3044"/>
    <w:rsid w:val="006F30A0"/>
    <w:rsid w:val="006F30A1"/>
    <w:rsid w:val="006F30AF"/>
    <w:rsid w:val="006F30E9"/>
    <w:rsid w:val="006F3322"/>
    <w:rsid w:val="006F3684"/>
    <w:rsid w:val="006F3822"/>
    <w:rsid w:val="006F387C"/>
    <w:rsid w:val="006F3A6A"/>
    <w:rsid w:val="006F3BA4"/>
    <w:rsid w:val="006F3BB5"/>
    <w:rsid w:val="006F3C44"/>
    <w:rsid w:val="006F3CEA"/>
    <w:rsid w:val="006F3DCF"/>
    <w:rsid w:val="006F3FAF"/>
    <w:rsid w:val="006F4011"/>
    <w:rsid w:val="006F4165"/>
    <w:rsid w:val="006F45D0"/>
    <w:rsid w:val="006F472C"/>
    <w:rsid w:val="006F474D"/>
    <w:rsid w:val="006F4B4B"/>
    <w:rsid w:val="006F4E76"/>
    <w:rsid w:val="006F53BC"/>
    <w:rsid w:val="006F53DC"/>
    <w:rsid w:val="006F5530"/>
    <w:rsid w:val="006F5837"/>
    <w:rsid w:val="006F5946"/>
    <w:rsid w:val="006F5F0C"/>
    <w:rsid w:val="006F6293"/>
    <w:rsid w:val="006F66C9"/>
    <w:rsid w:val="006F66EE"/>
    <w:rsid w:val="006F66FC"/>
    <w:rsid w:val="006F675B"/>
    <w:rsid w:val="006F6879"/>
    <w:rsid w:val="006F69D4"/>
    <w:rsid w:val="006F6B8C"/>
    <w:rsid w:val="006F6E3E"/>
    <w:rsid w:val="006F7035"/>
    <w:rsid w:val="006F739C"/>
    <w:rsid w:val="006F74AB"/>
    <w:rsid w:val="006F75E3"/>
    <w:rsid w:val="006F76E0"/>
    <w:rsid w:val="006F76F6"/>
    <w:rsid w:val="006F78B0"/>
    <w:rsid w:val="006F7AD8"/>
    <w:rsid w:val="006F7EE4"/>
    <w:rsid w:val="007000A8"/>
    <w:rsid w:val="007005F7"/>
    <w:rsid w:val="00700A46"/>
    <w:rsid w:val="00700B9F"/>
    <w:rsid w:val="00700D08"/>
    <w:rsid w:val="00700E22"/>
    <w:rsid w:val="00700E24"/>
    <w:rsid w:val="00701053"/>
    <w:rsid w:val="007011DE"/>
    <w:rsid w:val="007012F4"/>
    <w:rsid w:val="00701472"/>
    <w:rsid w:val="00701518"/>
    <w:rsid w:val="007015DB"/>
    <w:rsid w:val="00701AB3"/>
    <w:rsid w:val="00701BA9"/>
    <w:rsid w:val="00701C15"/>
    <w:rsid w:val="0070203A"/>
    <w:rsid w:val="0070210A"/>
    <w:rsid w:val="00702270"/>
    <w:rsid w:val="007023D6"/>
    <w:rsid w:val="007024CF"/>
    <w:rsid w:val="0070268A"/>
    <w:rsid w:val="00702772"/>
    <w:rsid w:val="00702DBD"/>
    <w:rsid w:val="00702DCA"/>
    <w:rsid w:val="00702E63"/>
    <w:rsid w:val="00702F1D"/>
    <w:rsid w:val="00703469"/>
    <w:rsid w:val="00703482"/>
    <w:rsid w:val="0070367D"/>
    <w:rsid w:val="0070369E"/>
    <w:rsid w:val="007039B1"/>
    <w:rsid w:val="00703DF3"/>
    <w:rsid w:val="00703E77"/>
    <w:rsid w:val="00703E94"/>
    <w:rsid w:val="00703F51"/>
    <w:rsid w:val="0070410F"/>
    <w:rsid w:val="00704279"/>
    <w:rsid w:val="00704308"/>
    <w:rsid w:val="00704381"/>
    <w:rsid w:val="007045B9"/>
    <w:rsid w:val="00704612"/>
    <w:rsid w:val="00704744"/>
    <w:rsid w:val="00704811"/>
    <w:rsid w:val="00704A19"/>
    <w:rsid w:val="00704AB5"/>
    <w:rsid w:val="00704BBC"/>
    <w:rsid w:val="00704BE6"/>
    <w:rsid w:val="00704C28"/>
    <w:rsid w:val="00704CBE"/>
    <w:rsid w:val="00704D14"/>
    <w:rsid w:val="00704D63"/>
    <w:rsid w:val="00704E1F"/>
    <w:rsid w:val="00704EE9"/>
    <w:rsid w:val="00704EFF"/>
    <w:rsid w:val="0070505F"/>
    <w:rsid w:val="0070512A"/>
    <w:rsid w:val="007052B9"/>
    <w:rsid w:val="0070533A"/>
    <w:rsid w:val="00705494"/>
    <w:rsid w:val="007056F5"/>
    <w:rsid w:val="007059AB"/>
    <w:rsid w:val="00705B22"/>
    <w:rsid w:val="00705B6B"/>
    <w:rsid w:val="00705B75"/>
    <w:rsid w:val="00705C12"/>
    <w:rsid w:val="00705D23"/>
    <w:rsid w:val="00705F33"/>
    <w:rsid w:val="007060D9"/>
    <w:rsid w:val="007062B0"/>
    <w:rsid w:val="00706391"/>
    <w:rsid w:val="007063B6"/>
    <w:rsid w:val="00706483"/>
    <w:rsid w:val="0070689D"/>
    <w:rsid w:val="007068FB"/>
    <w:rsid w:val="00706948"/>
    <w:rsid w:val="00706A94"/>
    <w:rsid w:val="00706CD9"/>
    <w:rsid w:val="00706FA6"/>
    <w:rsid w:val="00706FAA"/>
    <w:rsid w:val="00707004"/>
    <w:rsid w:val="007071AC"/>
    <w:rsid w:val="00707350"/>
    <w:rsid w:val="0070760C"/>
    <w:rsid w:val="00707688"/>
    <w:rsid w:val="007078B5"/>
    <w:rsid w:val="007079EB"/>
    <w:rsid w:val="00707A89"/>
    <w:rsid w:val="00707AF5"/>
    <w:rsid w:val="00707B07"/>
    <w:rsid w:val="00707B2F"/>
    <w:rsid w:val="00707C48"/>
    <w:rsid w:val="00707D0B"/>
    <w:rsid w:val="007100D6"/>
    <w:rsid w:val="00710189"/>
    <w:rsid w:val="0071027D"/>
    <w:rsid w:val="00710332"/>
    <w:rsid w:val="00710340"/>
    <w:rsid w:val="007104C4"/>
    <w:rsid w:val="007104D2"/>
    <w:rsid w:val="007105EA"/>
    <w:rsid w:val="00710AB6"/>
    <w:rsid w:val="00710C0B"/>
    <w:rsid w:val="00710E33"/>
    <w:rsid w:val="00710F8B"/>
    <w:rsid w:val="00711334"/>
    <w:rsid w:val="00711476"/>
    <w:rsid w:val="00711547"/>
    <w:rsid w:val="00711572"/>
    <w:rsid w:val="00711692"/>
    <w:rsid w:val="00711A15"/>
    <w:rsid w:val="00711B0A"/>
    <w:rsid w:val="00711B55"/>
    <w:rsid w:val="00711F6E"/>
    <w:rsid w:val="00711F84"/>
    <w:rsid w:val="0071276D"/>
    <w:rsid w:val="0071278C"/>
    <w:rsid w:val="00712805"/>
    <w:rsid w:val="00712902"/>
    <w:rsid w:val="0071293D"/>
    <w:rsid w:val="0071295C"/>
    <w:rsid w:val="007129DC"/>
    <w:rsid w:val="007129F6"/>
    <w:rsid w:val="00712CAA"/>
    <w:rsid w:val="00712DD5"/>
    <w:rsid w:val="00713040"/>
    <w:rsid w:val="00713096"/>
    <w:rsid w:val="007133A0"/>
    <w:rsid w:val="007133ED"/>
    <w:rsid w:val="0071346F"/>
    <w:rsid w:val="00713739"/>
    <w:rsid w:val="00713A4E"/>
    <w:rsid w:val="00713BB1"/>
    <w:rsid w:val="00713F86"/>
    <w:rsid w:val="00714450"/>
    <w:rsid w:val="0071446D"/>
    <w:rsid w:val="00714723"/>
    <w:rsid w:val="00714B2F"/>
    <w:rsid w:val="00714CEA"/>
    <w:rsid w:val="00714ECC"/>
    <w:rsid w:val="0071546E"/>
    <w:rsid w:val="007155FE"/>
    <w:rsid w:val="00715695"/>
    <w:rsid w:val="00715797"/>
    <w:rsid w:val="007157EF"/>
    <w:rsid w:val="00715AB6"/>
    <w:rsid w:val="00715B76"/>
    <w:rsid w:val="00715C76"/>
    <w:rsid w:val="00715E7D"/>
    <w:rsid w:val="00715F16"/>
    <w:rsid w:val="0071602A"/>
    <w:rsid w:val="007160F0"/>
    <w:rsid w:val="0071611A"/>
    <w:rsid w:val="0071612A"/>
    <w:rsid w:val="0071621F"/>
    <w:rsid w:val="00716467"/>
    <w:rsid w:val="0071652B"/>
    <w:rsid w:val="0071667E"/>
    <w:rsid w:val="00716786"/>
    <w:rsid w:val="0071688C"/>
    <w:rsid w:val="00716ACC"/>
    <w:rsid w:val="00716BFD"/>
    <w:rsid w:val="00716C53"/>
    <w:rsid w:val="00716DEB"/>
    <w:rsid w:val="00716F62"/>
    <w:rsid w:val="0071707C"/>
    <w:rsid w:val="00717100"/>
    <w:rsid w:val="00717181"/>
    <w:rsid w:val="00717614"/>
    <w:rsid w:val="00717615"/>
    <w:rsid w:val="0071767F"/>
    <w:rsid w:val="007177BD"/>
    <w:rsid w:val="00717805"/>
    <w:rsid w:val="007179EA"/>
    <w:rsid w:val="00717BE0"/>
    <w:rsid w:val="00717C00"/>
    <w:rsid w:val="00717D24"/>
    <w:rsid w:val="00717DCD"/>
    <w:rsid w:val="00717F7D"/>
    <w:rsid w:val="0072027D"/>
    <w:rsid w:val="00720307"/>
    <w:rsid w:val="0072089A"/>
    <w:rsid w:val="0072089F"/>
    <w:rsid w:val="0072097C"/>
    <w:rsid w:val="00720E0C"/>
    <w:rsid w:val="00720ED8"/>
    <w:rsid w:val="0072110D"/>
    <w:rsid w:val="00721135"/>
    <w:rsid w:val="0072120B"/>
    <w:rsid w:val="0072140E"/>
    <w:rsid w:val="00721752"/>
    <w:rsid w:val="007217A6"/>
    <w:rsid w:val="00721CBA"/>
    <w:rsid w:val="00721E6A"/>
    <w:rsid w:val="0072210B"/>
    <w:rsid w:val="00722354"/>
    <w:rsid w:val="0072238F"/>
    <w:rsid w:val="007223F6"/>
    <w:rsid w:val="0072246B"/>
    <w:rsid w:val="007226A6"/>
    <w:rsid w:val="007226E1"/>
    <w:rsid w:val="00722737"/>
    <w:rsid w:val="00722777"/>
    <w:rsid w:val="00722875"/>
    <w:rsid w:val="00722989"/>
    <w:rsid w:val="00722EE6"/>
    <w:rsid w:val="00723073"/>
    <w:rsid w:val="0072311F"/>
    <w:rsid w:val="00723178"/>
    <w:rsid w:val="007238B8"/>
    <w:rsid w:val="00723BD5"/>
    <w:rsid w:val="00723CD4"/>
    <w:rsid w:val="00723DEA"/>
    <w:rsid w:val="00723E85"/>
    <w:rsid w:val="00723F3E"/>
    <w:rsid w:val="007240C5"/>
    <w:rsid w:val="007240CE"/>
    <w:rsid w:val="00724118"/>
    <w:rsid w:val="007241B3"/>
    <w:rsid w:val="00724250"/>
    <w:rsid w:val="00724537"/>
    <w:rsid w:val="00724654"/>
    <w:rsid w:val="0072468F"/>
    <w:rsid w:val="007246B5"/>
    <w:rsid w:val="00724821"/>
    <w:rsid w:val="0072499E"/>
    <w:rsid w:val="00724BF3"/>
    <w:rsid w:val="00724D63"/>
    <w:rsid w:val="00724DD0"/>
    <w:rsid w:val="007250F4"/>
    <w:rsid w:val="00725253"/>
    <w:rsid w:val="00725375"/>
    <w:rsid w:val="007253EC"/>
    <w:rsid w:val="00725583"/>
    <w:rsid w:val="00725680"/>
    <w:rsid w:val="007256A9"/>
    <w:rsid w:val="00725771"/>
    <w:rsid w:val="0072578A"/>
    <w:rsid w:val="00725790"/>
    <w:rsid w:val="007257DA"/>
    <w:rsid w:val="00725847"/>
    <w:rsid w:val="0072585A"/>
    <w:rsid w:val="00725DEC"/>
    <w:rsid w:val="00725FAC"/>
    <w:rsid w:val="00726022"/>
    <w:rsid w:val="0072616E"/>
    <w:rsid w:val="00726632"/>
    <w:rsid w:val="007266A1"/>
    <w:rsid w:val="0072674D"/>
    <w:rsid w:val="00726787"/>
    <w:rsid w:val="00726793"/>
    <w:rsid w:val="00726A23"/>
    <w:rsid w:val="00726CE9"/>
    <w:rsid w:val="00726F02"/>
    <w:rsid w:val="00726F34"/>
    <w:rsid w:val="0072710D"/>
    <w:rsid w:val="0072711D"/>
    <w:rsid w:val="007273DB"/>
    <w:rsid w:val="007274D0"/>
    <w:rsid w:val="00727652"/>
    <w:rsid w:val="007277CE"/>
    <w:rsid w:val="007279EA"/>
    <w:rsid w:val="00727A36"/>
    <w:rsid w:val="00727C9E"/>
    <w:rsid w:val="00727D09"/>
    <w:rsid w:val="00727EF5"/>
    <w:rsid w:val="007301FE"/>
    <w:rsid w:val="007302E4"/>
    <w:rsid w:val="007303ED"/>
    <w:rsid w:val="00730732"/>
    <w:rsid w:val="007307BD"/>
    <w:rsid w:val="00730981"/>
    <w:rsid w:val="00730AC7"/>
    <w:rsid w:val="00730CAD"/>
    <w:rsid w:val="00730CB2"/>
    <w:rsid w:val="00730F5E"/>
    <w:rsid w:val="00730FA1"/>
    <w:rsid w:val="00730FEB"/>
    <w:rsid w:val="00731006"/>
    <w:rsid w:val="0073102D"/>
    <w:rsid w:val="0073105E"/>
    <w:rsid w:val="00731135"/>
    <w:rsid w:val="00731145"/>
    <w:rsid w:val="00731184"/>
    <w:rsid w:val="0073138A"/>
    <w:rsid w:val="00731397"/>
    <w:rsid w:val="007313A6"/>
    <w:rsid w:val="007315BF"/>
    <w:rsid w:val="007316F0"/>
    <w:rsid w:val="007317F5"/>
    <w:rsid w:val="00731865"/>
    <w:rsid w:val="00731993"/>
    <w:rsid w:val="007319BE"/>
    <w:rsid w:val="00731BFA"/>
    <w:rsid w:val="00731C06"/>
    <w:rsid w:val="007320D3"/>
    <w:rsid w:val="0073247E"/>
    <w:rsid w:val="0073274E"/>
    <w:rsid w:val="007328F9"/>
    <w:rsid w:val="00732BB9"/>
    <w:rsid w:val="00732F3B"/>
    <w:rsid w:val="0073303A"/>
    <w:rsid w:val="007331B7"/>
    <w:rsid w:val="007332AC"/>
    <w:rsid w:val="00733716"/>
    <w:rsid w:val="0073377F"/>
    <w:rsid w:val="00733A5E"/>
    <w:rsid w:val="00733C07"/>
    <w:rsid w:val="00733D51"/>
    <w:rsid w:val="00733DE0"/>
    <w:rsid w:val="00733E51"/>
    <w:rsid w:val="0073436D"/>
    <w:rsid w:val="007343E4"/>
    <w:rsid w:val="0073441D"/>
    <w:rsid w:val="007344C8"/>
    <w:rsid w:val="0073451B"/>
    <w:rsid w:val="0073468D"/>
    <w:rsid w:val="0073478C"/>
    <w:rsid w:val="00734B02"/>
    <w:rsid w:val="00734B67"/>
    <w:rsid w:val="00734D47"/>
    <w:rsid w:val="00734D4B"/>
    <w:rsid w:val="00734EE1"/>
    <w:rsid w:val="0073502F"/>
    <w:rsid w:val="00735270"/>
    <w:rsid w:val="007354A1"/>
    <w:rsid w:val="00735515"/>
    <w:rsid w:val="00735673"/>
    <w:rsid w:val="00735692"/>
    <w:rsid w:val="007358FD"/>
    <w:rsid w:val="007359DB"/>
    <w:rsid w:val="00735AB6"/>
    <w:rsid w:val="00735E18"/>
    <w:rsid w:val="00735EC1"/>
    <w:rsid w:val="00735F61"/>
    <w:rsid w:val="00735F73"/>
    <w:rsid w:val="00736148"/>
    <w:rsid w:val="00736284"/>
    <w:rsid w:val="007363B3"/>
    <w:rsid w:val="007363E6"/>
    <w:rsid w:val="007364A8"/>
    <w:rsid w:val="007366CC"/>
    <w:rsid w:val="00736757"/>
    <w:rsid w:val="00736789"/>
    <w:rsid w:val="00736C87"/>
    <w:rsid w:val="00736D08"/>
    <w:rsid w:val="00736D5F"/>
    <w:rsid w:val="00736E17"/>
    <w:rsid w:val="00736E41"/>
    <w:rsid w:val="00736E6D"/>
    <w:rsid w:val="00736F64"/>
    <w:rsid w:val="0073714D"/>
    <w:rsid w:val="00737451"/>
    <w:rsid w:val="00737A6D"/>
    <w:rsid w:val="00737C54"/>
    <w:rsid w:val="00737C6A"/>
    <w:rsid w:val="00737CB5"/>
    <w:rsid w:val="00737D77"/>
    <w:rsid w:val="00737D9D"/>
    <w:rsid w:val="00737E2D"/>
    <w:rsid w:val="00737E45"/>
    <w:rsid w:val="00737EB9"/>
    <w:rsid w:val="00737EFA"/>
    <w:rsid w:val="00740049"/>
    <w:rsid w:val="00740351"/>
    <w:rsid w:val="007404C3"/>
    <w:rsid w:val="007405C1"/>
    <w:rsid w:val="00740907"/>
    <w:rsid w:val="00740C8F"/>
    <w:rsid w:val="00740DC7"/>
    <w:rsid w:val="00740E1B"/>
    <w:rsid w:val="00740F24"/>
    <w:rsid w:val="00740F59"/>
    <w:rsid w:val="0074100A"/>
    <w:rsid w:val="00741064"/>
    <w:rsid w:val="007410C0"/>
    <w:rsid w:val="007416EF"/>
    <w:rsid w:val="0074196B"/>
    <w:rsid w:val="00741AD5"/>
    <w:rsid w:val="00741BB9"/>
    <w:rsid w:val="00741C6A"/>
    <w:rsid w:val="00741FCA"/>
    <w:rsid w:val="007422C6"/>
    <w:rsid w:val="0074237B"/>
    <w:rsid w:val="007423A9"/>
    <w:rsid w:val="0074247A"/>
    <w:rsid w:val="00742874"/>
    <w:rsid w:val="007428FA"/>
    <w:rsid w:val="00742986"/>
    <w:rsid w:val="007429C2"/>
    <w:rsid w:val="00742A96"/>
    <w:rsid w:val="00742B59"/>
    <w:rsid w:val="00742D31"/>
    <w:rsid w:val="00742F20"/>
    <w:rsid w:val="007430C5"/>
    <w:rsid w:val="00743184"/>
    <w:rsid w:val="007431AD"/>
    <w:rsid w:val="00743206"/>
    <w:rsid w:val="007433D3"/>
    <w:rsid w:val="0074364F"/>
    <w:rsid w:val="0074367F"/>
    <w:rsid w:val="0074377D"/>
    <w:rsid w:val="00743805"/>
    <w:rsid w:val="00743880"/>
    <w:rsid w:val="0074397F"/>
    <w:rsid w:val="0074398D"/>
    <w:rsid w:val="0074399B"/>
    <w:rsid w:val="007439CC"/>
    <w:rsid w:val="00743CCF"/>
    <w:rsid w:val="00744051"/>
    <w:rsid w:val="007440A1"/>
    <w:rsid w:val="00744258"/>
    <w:rsid w:val="007445EC"/>
    <w:rsid w:val="00744675"/>
    <w:rsid w:val="007446B9"/>
    <w:rsid w:val="007447E9"/>
    <w:rsid w:val="00744862"/>
    <w:rsid w:val="0074495D"/>
    <w:rsid w:val="00744A6F"/>
    <w:rsid w:val="00744D78"/>
    <w:rsid w:val="00744DB2"/>
    <w:rsid w:val="00744E01"/>
    <w:rsid w:val="00744E8B"/>
    <w:rsid w:val="007451DE"/>
    <w:rsid w:val="00745335"/>
    <w:rsid w:val="00745395"/>
    <w:rsid w:val="007453A3"/>
    <w:rsid w:val="0074552D"/>
    <w:rsid w:val="0074556D"/>
    <w:rsid w:val="007455E1"/>
    <w:rsid w:val="007456A5"/>
    <w:rsid w:val="00745710"/>
    <w:rsid w:val="007458BD"/>
    <w:rsid w:val="00745AE1"/>
    <w:rsid w:val="00745AEC"/>
    <w:rsid w:val="00745B92"/>
    <w:rsid w:val="00745C82"/>
    <w:rsid w:val="00745E7E"/>
    <w:rsid w:val="00745F61"/>
    <w:rsid w:val="00745FAF"/>
    <w:rsid w:val="00746091"/>
    <w:rsid w:val="00746126"/>
    <w:rsid w:val="00746310"/>
    <w:rsid w:val="007463DF"/>
    <w:rsid w:val="00746480"/>
    <w:rsid w:val="0074650A"/>
    <w:rsid w:val="007465D0"/>
    <w:rsid w:val="00746BF5"/>
    <w:rsid w:val="00746D89"/>
    <w:rsid w:val="00747259"/>
    <w:rsid w:val="0074753D"/>
    <w:rsid w:val="0074757D"/>
    <w:rsid w:val="0074780B"/>
    <w:rsid w:val="0074783C"/>
    <w:rsid w:val="007478AB"/>
    <w:rsid w:val="00747A26"/>
    <w:rsid w:val="00747CCE"/>
    <w:rsid w:val="00747E46"/>
    <w:rsid w:val="00747E5C"/>
    <w:rsid w:val="00747F9B"/>
    <w:rsid w:val="007502D5"/>
    <w:rsid w:val="0075041B"/>
    <w:rsid w:val="007505C8"/>
    <w:rsid w:val="0075062C"/>
    <w:rsid w:val="00750DA4"/>
    <w:rsid w:val="00750E6B"/>
    <w:rsid w:val="00750EE1"/>
    <w:rsid w:val="00750FD2"/>
    <w:rsid w:val="00751043"/>
    <w:rsid w:val="00751088"/>
    <w:rsid w:val="00751403"/>
    <w:rsid w:val="0075144F"/>
    <w:rsid w:val="007514A6"/>
    <w:rsid w:val="0075160D"/>
    <w:rsid w:val="0075172A"/>
    <w:rsid w:val="00751787"/>
    <w:rsid w:val="007517EB"/>
    <w:rsid w:val="00751A10"/>
    <w:rsid w:val="00751AB4"/>
    <w:rsid w:val="00751CEA"/>
    <w:rsid w:val="00751D0A"/>
    <w:rsid w:val="00751EA9"/>
    <w:rsid w:val="00752302"/>
    <w:rsid w:val="0075237F"/>
    <w:rsid w:val="00752390"/>
    <w:rsid w:val="007523DE"/>
    <w:rsid w:val="0075243F"/>
    <w:rsid w:val="00752452"/>
    <w:rsid w:val="0075247A"/>
    <w:rsid w:val="00752513"/>
    <w:rsid w:val="0075269E"/>
    <w:rsid w:val="00752760"/>
    <w:rsid w:val="0075278F"/>
    <w:rsid w:val="00752AE6"/>
    <w:rsid w:val="00752C16"/>
    <w:rsid w:val="00752D59"/>
    <w:rsid w:val="00752DD3"/>
    <w:rsid w:val="00752F9D"/>
    <w:rsid w:val="0075305F"/>
    <w:rsid w:val="0075316E"/>
    <w:rsid w:val="00753269"/>
    <w:rsid w:val="007532F0"/>
    <w:rsid w:val="00753681"/>
    <w:rsid w:val="007536CE"/>
    <w:rsid w:val="007537B1"/>
    <w:rsid w:val="007537DE"/>
    <w:rsid w:val="007537ED"/>
    <w:rsid w:val="00753909"/>
    <w:rsid w:val="00753976"/>
    <w:rsid w:val="00753AF9"/>
    <w:rsid w:val="00753C15"/>
    <w:rsid w:val="00753CA3"/>
    <w:rsid w:val="007541E1"/>
    <w:rsid w:val="007541F3"/>
    <w:rsid w:val="00754988"/>
    <w:rsid w:val="00754A35"/>
    <w:rsid w:val="00754BD5"/>
    <w:rsid w:val="00754BF8"/>
    <w:rsid w:val="00754E54"/>
    <w:rsid w:val="007550CD"/>
    <w:rsid w:val="007551CB"/>
    <w:rsid w:val="007553D3"/>
    <w:rsid w:val="007554DF"/>
    <w:rsid w:val="0075585C"/>
    <w:rsid w:val="00755B54"/>
    <w:rsid w:val="00755E33"/>
    <w:rsid w:val="00755F58"/>
    <w:rsid w:val="0075615A"/>
    <w:rsid w:val="007562FE"/>
    <w:rsid w:val="0075637D"/>
    <w:rsid w:val="00756532"/>
    <w:rsid w:val="00756598"/>
    <w:rsid w:val="007566DF"/>
    <w:rsid w:val="00756704"/>
    <w:rsid w:val="00756793"/>
    <w:rsid w:val="00756D9F"/>
    <w:rsid w:val="00756DA7"/>
    <w:rsid w:val="00756DCD"/>
    <w:rsid w:val="00756E05"/>
    <w:rsid w:val="007574B3"/>
    <w:rsid w:val="007578EE"/>
    <w:rsid w:val="00757A06"/>
    <w:rsid w:val="00757B2F"/>
    <w:rsid w:val="00757B85"/>
    <w:rsid w:val="00757FA3"/>
    <w:rsid w:val="007600A6"/>
    <w:rsid w:val="0076013A"/>
    <w:rsid w:val="00760213"/>
    <w:rsid w:val="0076026A"/>
    <w:rsid w:val="0076049F"/>
    <w:rsid w:val="007609C3"/>
    <w:rsid w:val="00760FC2"/>
    <w:rsid w:val="00761171"/>
    <w:rsid w:val="007611F8"/>
    <w:rsid w:val="0076131D"/>
    <w:rsid w:val="00761334"/>
    <w:rsid w:val="007615F3"/>
    <w:rsid w:val="00761616"/>
    <w:rsid w:val="00761751"/>
    <w:rsid w:val="00761888"/>
    <w:rsid w:val="007619EE"/>
    <w:rsid w:val="00761AB9"/>
    <w:rsid w:val="00761B8A"/>
    <w:rsid w:val="007620C3"/>
    <w:rsid w:val="007621C3"/>
    <w:rsid w:val="007623CE"/>
    <w:rsid w:val="00762438"/>
    <w:rsid w:val="00762660"/>
    <w:rsid w:val="0076273F"/>
    <w:rsid w:val="0076296F"/>
    <w:rsid w:val="00762A4C"/>
    <w:rsid w:val="00762B48"/>
    <w:rsid w:val="00762D4B"/>
    <w:rsid w:val="00762D5E"/>
    <w:rsid w:val="007632FA"/>
    <w:rsid w:val="00763558"/>
    <w:rsid w:val="0076367D"/>
    <w:rsid w:val="00763683"/>
    <w:rsid w:val="00763850"/>
    <w:rsid w:val="00763A46"/>
    <w:rsid w:val="00763A53"/>
    <w:rsid w:val="00763C1C"/>
    <w:rsid w:val="00763DEC"/>
    <w:rsid w:val="00763F0B"/>
    <w:rsid w:val="00763F22"/>
    <w:rsid w:val="007643DC"/>
    <w:rsid w:val="007643DF"/>
    <w:rsid w:val="0076444A"/>
    <w:rsid w:val="0076449A"/>
    <w:rsid w:val="0076457C"/>
    <w:rsid w:val="007645D8"/>
    <w:rsid w:val="00764C89"/>
    <w:rsid w:val="00764CCB"/>
    <w:rsid w:val="00764D64"/>
    <w:rsid w:val="00764E1A"/>
    <w:rsid w:val="00764FEE"/>
    <w:rsid w:val="0076506A"/>
    <w:rsid w:val="0076510E"/>
    <w:rsid w:val="0076511E"/>
    <w:rsid w:val="007657D2"/>
    <w:rsid w:val="0076584F"/>
    <w:rsid w:val="00765A12"/>
    <w:rsid w:val="00765A60"/>
    <w:rsid w:val="00765A73"/>
    <w:rsid w:val="00765D1A"/>
    <w:rsid w:val="00765E6B"/>
    <w:rsid w:val="00765E7F"/>
    <w:rsid w:val="00765F11"/>
    <w:rsid w:val="00765FE2"/>
    <w:rsid w:val="00765FE6"/>
    <w:rsid w:val="00766084"/>
    <w:rsid w:val="00766289"/>
    <w:rsid w:val="0076632E"/>
    <w:rsid w:val="007664E6"/>
    <w:rsid w:val="00766713"/>
    <w:rsid w:val="007667BA"/>
    <w:rsid w:val="007668D6"/>
    <w:rsid w:val="00766A6E"/>
    <w:rsid w:val="00766B62"/>
    <w:rsid w:val="00766BA5"/>
    <w:rsid w:val="00766D02"/>
    <w:rsid w:val="00766EE4"/>
    <w:rsid w:val="00766F31"/>
    <w:rsid w:val="00766F55"/>
    <w:rsid w:val="00766FD3"/>
    <w:rsid w:val="0076704A"/>
    <w:rsid w:val="00767144"/>
    <w:rsid w:val="007672A0"/>
    <w:rsid w:val="007672AE"/>
    <w:rsid w:val="007672DA"/>
    <w:rsid w:val="00767633"/>
    <w:rsid w:val="007676C9"/>
    <w:rsid w:val="00767790"/>
    <w:rsid w:val="00767962"/>
    <w:rsid w:val="007679CD"/>
    <w:rsid w:val="00767B0F"/>
    <w:rsid w:val="00767BF7"/>
    <w:rsid w:val="00767CED"/>
    <w:rsid w:val="00767DFF"/>
    <w:rsid w:val="0077001C"/>
    <w:rsid w:val="007700A8"/>
    <w:rsid w:val="00770510"/>
    <w:rsid w:val="00770690"/>
    <w:rsid w:val="007708FD"/>
    <w:rsid w:val="00770964"/>
    <w:rsid w:val="00770B24"/>
    <w:rsid w:val="00770F12"/>
    <w:rsid w:val="00770F6E"/>
    <w:rsid w:val="007710C2"/>
    <w:rsid w:val="007718EC"/>
    <w:rsid w:val="00771903"/>
    <w:rsid w:val="00771BBA"/>
    <w:rsid w:val="00771C8E"/>
    <w:rsid w:val="00771D4A"/>
    <w:rsid w:val="00771F1F"/>
    <w:rsid w:val="00772628"/>
    <w:rsid w:val="00772670"/>
    <w:rsid w:val="0077291F"/>
    <w:rsid w:val="00772E0E"/>
    <w:rsid w:val="00772FAD"/>
    <w:rsid w:val="00773110"/>
    <w:rsid w:val="00773136"/>
    <w:rsid w:val="007731BD"/>
    <w:rsid w:val="007731CE"/>
    <w:rsid w:val="00773234"/>
    <w:rsid w:val="007733BF"/>
    <w:rsid w:val="007733E1"/>
    <w:rsid w:val="007734FA"/>
    <w:rsid w:val="00773605"/>
    <w:rsid w:val="00773611"/>
    <w:rsid w:val="00773864"/>
    <w:rsid w:val="00773A49"/>
    <w:rsid w:val="00773CD8"/>
    <w:rsid w:val="00773CF6"/>
    <w:rsid w:val="00773D69"/>
    <w:rsid w:val="00773FCB"/>
    <w:rsid w:val="00774019"/>
    <w:rsid w:val="00774021"/>
    <w:rsid w:val="0077405B"/>
    <w:rsid w:val="007740C0"/>
    <w:rsid w:val="0077425E"/>
    <w:rsid w:val="0077443C"/>
    <w:rsid w:val="007744B0"/>
    <w:rsid w:val="007745B0"/>
    <w:rsid w:val="007746E3"/>
    <w:rsid w:val="007748F9"/>
    <w:rsid w:val="00774A44"/>
    <w:rsid w:val="00774F86"/>
    <w:rsid w:val="0077518B"/>
    <w:rsid w:val="007751BC"/>
    <w:rsid w:val="007751DA"/>
    <w:rsid w:val="007755C5"/>
    <w:rsid w:val="00775693"/>
    <w:rsid w:val="007757A3"/>
    <w:rsid w:val="0077590D"/>
    <w:rsid w:val="00775977"/>
    <w:rsid w:val="00775AE2"/>
    <w:rsid w:val="00775C57"/>
    <w:rsid w:val="00775DD1"/>
    <w:rsid w:val="00775F46"/>
    <w:rsid w:val="00775F96"/>
    <w:rsid w:val="00775FC7"/>
    <w:rsid w:val="00776104"/>
    <w:rsid w:val="00776278"/>
    <w:rsid w:val="0077628A"/>
    <w:rsid w:val="0077662F"/>
    <w:rsid w:val="007767BB"/>
    <w:rsid w:val="007768ED"/>
    <w:rsid w:val="0077690E"/>
    <w:rsid w:val="00776D04"/>
    <w:rsid w:val="00776DAD"/>
    <w:rsid w:val="00776EC7"/>
    <w:rsid w:val="00777436"/>
    <w:rsid w:val="0077749D"/>
    <w:rsid w:val="007777AC"/>
    <w:rsid w:val="007777EA"/>
    <w:rsid w:val="007777F8"/>
    <w:rsid w:val="0077786D"/>
    <w:rsid w:val="00777B1A"/>
    <w:rsid w:val="00777E66"/>
    <w:rsid w:val="00777E79"/>
    <w:rsid w:val="00777FC4"/>
    <w:rsid w:val="00780020"/>
    <w:rsid w:val="0078034C"/>
    <w:rsid w:val="0078045A"/>
    <w:rsid w:val="00780466"/>
    <w:rsid w:val="007804A5"/>
    <w:rsid w:val="00780634"/>
    <w:rsid w:val="007807F1"/>
    <w:rsid w:val="00780870"/>
    <w:rsid w:val="0078092E"/>
    <w:rsid w:val="00780BF3"/>
    <w:rsid w:val="00780D3D"/>
    <w:rsid w:val="00780D76"/>
    <w:rsid w:val="00780DB8"/>
    <w:rsid w:val="00780F0B"/>
    <w:rsid w:val="00781008"/>
    <w:rsid w:val="00781177"/>
    <w:rsid w:val="0078126A"/>
    <w:rsid w:val="0078166A"/>
    <w:rsid w:val="007817A0"/>
    <w:rsid w:val="0078182A"/>
    <w:rsid w:val="0078207A"/>
    <w:rsid w:val="007820D8"/>
    <w:rsid w:val="00782199"/>
    <w:rsid w:val="00782252"/>
    <w:rsid w:val="0078265E"/>
    <w:rsid w:val="007826D0"/>
    <w:rsid w:val="0078282D"/>
    <w:rsid w:val="0078288B"/>
    <w:rsid w:val="00782979"/>
    <w:rsid w:val="00782AEF"/>
    <w:rsid w:val="00782CEE"/>
    <w:rsid w:val="00782E96"/>
    <w:rsid w:val="00782FED"/>
    <w:rsid w:val="007830E4"/>
    <w:rsid w:val="00783114"/>
    <w:rsid w:val="00783363"/>
    <w:rsid w:val="0078352A"/>
    <w:rsid w:val="00783552"/>
    <w:rsid w:val="00783877"/>
    <w:rsid w:val="007838C0"/>
    <w:rsid w:val="00783936"/>
    <w:rsid w:val="0078395F"/>
    <w:rsid w:val="00783B36"/>
    <w:rsid w:val="00783B6C"/>
    <w:rsid w:val="00783D4D"/>
    <w:rsid w:val="00783E87"/>
    <w:rsid w:val="00783ECC"/>
    <w:rsid w:val="00783F87"/>
    <w:rsid w:val="00784090"/>
    <w:rsid w:val="007840EC"/>
    <w:rsid w:val="00784374"/>
    <w:rsid w:val="00784385"/>
    <w:rsid w:val="0078449B"/>
    <w:rsid w:val="00784556"/>
    <w:rsid w:val="0078459F"/>
    <w:rsid w:val="0078470C"/>
    <w:rsid w:val="00784AFA"/>
    <w:rsid w:val="00784D94"/>
    <w:rsid w:val="00784F53"/>
    <w:rsid w:val="00785340"/>
    <w:rsid w:val="007853ED"/>
    <w:rsid w:val="0078542D"/>
    <w:rsid w:val="00785747"/>
    <w:rsid w:val="0078587B"/>
    <w:rsid w:val="00785897"/>
    <w:rsid w:val="00785C07"/>
    <w:rsid w:val="00785C45"/>
    <w:rsid w:val="00785CE3"/>
    <w:rsid w:val="00785DD5"/>
    <w:rsid w:val="00785DD7"/>
    <w:rsid w:val="00785FB3"/>
    <w:rsid w:val="0078622E"/>
    <w:rsid w:val="007862BC"/>
    <w:rsid w:val="00786319"/>
    <w:rsid w:val="0078634B"/>
    <w:rsid w:val="00786AE6"/>
    <w:rsid w:val="00786B3D"/>
    <w:rsid w:val="00786D61"/>
    <w:rsid w:val="00786EDE"/>
    <w:rsid w:val="00787476"/>
    <w:rsid w:val="00787503"/>
    <w:rsid w:val="007875FE"/>
    <w:rsid w:val="0078771F"/>
    <w:rsid w:val="00787814"/>
    <w:rsid w:val="007878CE"/>
    <w:rsid w:val="00787A68"/>
    <w:rsid w:val="00787B1B"/>
    <w:rsid w:val="00790011"/>
    <w:rsid w:val="00790061"/>
    <w:rsid w:val="0079012F"/>
    <w:rsid w:val="00790138"/>
    <w:rsid w:val="00790453"/>
    <w:rsid w:val="007904B0"/>
    <w:rsid w:val="007905E3"/>
    <w:rsid w:val="0079073A"/>
    <w:rsid w:val="00790BD4"/>
    <w:rsid w:val="00790C74"/>
    <w:rsid w:val="00790DA6"/>
    <w:rsid w:val="00790DB1"/>
    <w:rsid w:val="00790EC1"/>
    <w:rsid w:val="00790F8E"/>
    <w:rsid w:val="00790F9B"/>
    <w:rsid w:val="00791008"/>
    <w:rsid w:val="007910AF"/>
    <w:rsid w:val="00791271"/>
    <w:rsid w:val="00791310"/>
    <w:rsid w:val="0079146D"/>
    <w:rsid w:val="007919A2"/>
    <w:rsid w:val="00791BA2"/>
    <w:rsid w:val="00791C48"/>
    <w:rsid w:val="00791E39"/>
    <w:rsid w:val="007920AF"/>
    <w:rsid w:val="007923B0"/>
    <w:rsid w:val="0079243A"/>
    <w:rsid w:val="00792625"/>
    <w:rsid w:val="0079294A"/>
    <w:rsid w:val="00792A37"/>
    <w:rsid w:val="00792C25"/>
    <w:rsid w:val="00792C57"/>
    <w:rsid w:val="00792C86"/>
    <w:rsid w:val="00792CDA"/>
    <w:rsid w:val="00792D2B"/>
    <w:rsid w:val="00792D41"/>
    <w:rsid w:val="0079321C"/>
    <w:rsid w:val="007934A5"/>
    <w:rsid w:val="00793512"/>
    <w:rsid w:val="00793547"/>
    <w:rsid w:val="0079373B"/>
    <w:rsid w:val="00793970"/>
    <w:rsid w:val="00793D84"/>
    <w:rsid w:val="00793E6F"/>
    <w:rsid w:val="00793EC7"/>
    <w:rsid w:val="00793FA1"/>
    <w:rsid w:val="007940BD"/>
    <w:rsid w:val="0079412A"/>
    <w:rsid w:val="0079441E"/>
    <w:rsid w:val="00794443"/>
    <w:rsid w:val="007946AE"/>
    <w:rsid w:val="00794912"/>
    <w:rsid w:val="007949F5"/>
    <w:rsid w:val="00794AAF"/>
    <w:rsid w:val="00794B63"/>
    <w:rsid w:val="00794E59"/>
    <w:rsid w:val="00794F8F"/>
    <w:rsid w:val="00795259"/>
    <w:rsid w:val="0079538E"/>
    <w:rsid w:val="007953F2"/>
    <w:rsid w:val="007958D5"/>
    <w:rsid w:val="00795C04"/>
    <w:rsid w:val="00795CA6"/>
    <w:rsid w:val="00795EEB"/>
    <w:rsid w:val="00795F16"/>
    <w:rsid w:val="00796054"/>
    <w:rsid w:val="0079613F"/>
    <w:rsid w:val="00796381"/>
    <w:rsid w:val="00796541"/>
    <w:rsid w:val="007966AE"/>
    <w:rsid w:val="007966D7"/>
    <w:rsid w:val="00796738"/>
    <w:rsid w:val="007967AC"/>
    <w:rsid w:val="00796826"/>
    <w:rsid w:val="0079687E"/>
    <w:rsid w:val="00796899"/>
    <w:rsid w:val="0079689A"/>
    <w:rsid w:val="0079690B"/>
    <w:rsid w:val="00796989"/>
    <w:rsid w:val="00796A68"/>
    <w:rsid w:val="00796B70"/>
    <w:rsid w:val="00796D31"/>
    <w:rsid w:val="00796FA5"/>
    <w:rsid w:val="00797025"/>
    <w:rsid w:val="007970BE"/>
    <w:rsid w:val="007974A6"/>
    <w:rsid w:val="00797508"/>
    <w:rsid w:val="007975C4"/>
    <w:rsid w:val="00797981"/>
    <w:rsid w:val="007979E7"/>
    <w:rsid w:val="007979FD"/>
    <w:rsid w:val="00797AAA"/>
    <w:rsid w:val="00797ADA"/>
    <w:rsid w:val="00797E16"/>
    <w:rsid w:val="007A037D"/>
    <w:rsid w:val="007A056B"/>
    <w:rsid w:val="007A07A2"/>
    <w:rsid w:val="007A08C4"/>
    <w:rsid w:val="007A0A06"/>
    <w:rsid w:val="007A0BAB"/>
    <w:rsid w:val="007A0DDC"/>
    <w:rsid w:val="007A0E1F"/>
    <w:rsid w:val="007A0E7E"/>
    <w:rsid w:val="007A0E80"/>
    <w:rsid w:val="007A1313"/>
    <w:rsid w:val="007A1732"/>
    <w:rsid w:val="007A189D"/>
    <w:rsid w:val="007A1983"/>
    <w:rsid w:val="007A19AE"/>
    <w:rsid w:val="007A1CF7"/>
    <w:rsid w:val="007A1D3E"/>
    <w:rsid w:val="007A1DFD"/>
    <w:rsid w:val="007A20F0"/>
    <w:rsid w:val="007A227B"/>
    <w:rsid w:val="007A2320"/>
    <w:rsid w:val="007A2A7B"/>
    <w:rsid w:val="007A2B5A"/>
    <w:rsid w:val="007A2C92"/>
    <w:rsid w:val="007A2D44"/>
    <w:rsid w:val="007A2DEF"/>
    <w:rsid w:val="007A2EE9"/>
    <w:rsid w:val="007A2FC4"/>
    <w:rsid w:val="007A30E7"/>
    <w:rsid w:val="007A31E8"/>
    <w:rsid w:val="007A323E"/>
    <w:rsid w:val="007A328F"/>
    <w:rsid w:val="007A33C9"/>
    <w:rsid w:val="007A3554"/>
    <w:rsid w:val="007A35B3"/>
    <w:rsid w:val="007A37DF"/>
    <w:rsid w:val="007A380E"/>
    <w:rsid w:val="007A3963"/>
    <w:rsid w:val="007A39A3"/>
    <w:rsid w:val="007A39E6"/>
    <w:rsid w:val="007A39E9"/>
    <w:rsid w:val="007A3AFE"/>
    <w:rsid w:val="007A3BB1"/>
    <w:rsid w:val="007A3D90"/>
    <w:rsid w:val="007A3DE6"/>
    <w:rsid w:val="007A3E2B"/>
    <w:rsid w:val="007A3F0D"/>
    <w:rsid w:val="007A4095"/>
    <w:rsid w:val="007A43A7"/>
    <w:rsid w:val="007A454C"/>
    <w:rsid w:val="007A4654"/>
    <w:rsid w:val="007A4684"/>
    <w:rsid w:val="007A46CD"/>
    <w:rsid w:val="007A480C"/>
    <w:rsid w:val="007A492C"/>
    <w:rsid w:val="007A4953"/>
    <w:rsid w:val="007A4C5B"/>
    <w:rsid w:val="007A4DEE"/>
    <w:rsid w:val="007A4ED2"/>
    <w:rsid w:val="007A540C"/>
    <w:rsid w:val="007A54C3"/>
    <w:rsid w:val="007A551C"/>
    <w:rsid w:val="007A575C"/>
    <w:rsid w:val="007A588A"/>
    <w:rsid w:val="007A5DA2"/>
    <w:rsid w:val="007A6187"/>
    <w:rsid w:val="007A61C7"/>
    <w:rsid w:val="007A6321"/>
    <w:rsid w:val="007A6402"/>
    <w:rsid w:val="007A66B5"/>
    <w:rsid w:val="007A6966"/>
    <w:rsid w:val="007A6A91"/>
    <w:rsid w:val="007A6ED0"/>
    <w:rsid w:val="007A6EE2"/>
    <w:rsid w:val="007A6F1E"/>
    <w:rsid w:val="007A7088"/>
    <w:rsid w:val="007A7149"/>
    <w:rsid w:val="007A7195"/>
    <w:rsid w:val="007A7292"/>
    <w:rsid w:val="007A7406"/>
    <w:rsid w:val="007A74E4"/>
    <w:rsid w:val="007A7590"/>
    <w:rsid w:val="007A76D5"/>
    <w:rsid w:val="007A77B4"/>
    <w:rsid w:val="007A7A4C"/>
    <w:rsid w:val="007A7AE7"/>
    <w:rsid w:val="007A7CE5"/>
    <w:rsid w:val="007A7E31"/>
    <w:rsid w:val="007A7E8F"/>
    <w:rsid w:val="007A7E9C"/>
    <w:rsid w:val="007A7F1E"/>
    <w:rsid w:val="007B000A"/>
    <w:rsid w:val="007B0394"/>
    <w:rsid w:val="007B051B"/>
    <w:rsid w:val="007B06E5"/>
    <w:rsid w:val="007B0713"/>
    <w:rsid w:val="007B0801"/>
    <w:rsid w:val="007B0853"/>
    <w:rsid w:val="007B09EC"/>
    <w:rsid w:val="007B0AA7"/>
    <w:rsid w:val="007B0DBE"/>
    <w:rsid w:val="007B0DDD"/>
    <w:rsid w:val="007B0E83"/>
    <w:rsid w:val="007B0F1C"/>
    <w:rsid w:val="007B1051"/>
    <w:rsid w:val="007B12E6"/>
    <w:rsid w:val="007B14CF"/>
    <w:rsid w:val="007B1638"/>
    <w:rsid w:val="007B17E3"/>
    <w:rsid w:val="007B18B3"/>
    <w:rsid w:val="007B1ACA"/>
    <w:rsid w:val="007B1C8F"/>
    <w:rsid w:val="007B1E12"/>
    <w:rsid w:val="007B1EBA"/>
    <w:rsid w:val="007B1F2F"/>
    <w:rsid w:val="007B1F6F"/>
    <w:rsid w:val="007B1FDD"/>
    <w:rsid w:val="007B226C"/>
    <w:rsid w:val="007B2293"/>
    <w:rsid w:val="007B2478"/>
    <w:rsid w:val="007B24C3"/>
    <w:rsid w:val="007B24ED"/>
    <w:rsid w:val="007B25DB"/>
    <w:rsid w:val="007B26C3"/>
    <w:rsid w:val="007B2AFE"/>
    <w:rsid w:val="007B2C1F"/>
    <w:rsid w:val="007B2CD2"/>
    <w:rsid w:val="007B2D82"/>
    <w:rsid w:val="007B3165"/>
    <w:rsid w:val="007B32E9"/>
    <w:rsid w:val="007B365F"/>
    <w:rsid w:val="007B37DE"/>
    <w:rsid w:val="007B3988"/>
    <w:rsid w:val="007B3B24"/>
    <w:rsid w:val="007B3C84"/>
    <w:rsid w:val="007B3D64"/>
    <w:rsid w:val="007B40E0"/>
    <w:rsid w:val="007B4155"/>
    <w:rsid w:val="007B42A6"/>
    <w:rsid w:val="007B439C"/>
    <w:rsid w:val="007B46FF"/>
    <w:rsid w:val="007B4898"/>
    <w:rsid w:val="007B49A8"/>
    <w:rsid w:val="007B49D3"/>
    <w:rsid w:val="007B4AF5"/>
    <w:rsid w:val="007B4B46"/>
    <w:rsid w:val="007B4B89"/>
    <w:rsid w:val="007B4C4A"/>
    <w:rsid w:val="007B4E1E"/>
    <w:rsid w:val="007B4EF3"/>
    <w:rsid w:val="007B4F04"/>
    <w:rsid w:val="007B54A2"/>
    <w:rsid w:val="007B56C3"/>
    <w:rsid w:val="007B56E0"/>
    <w:rsid w:val="007B5889"/>
    <w:rsid w:val="007B58CD"/>
    <w:rsid w:val="007B5968"/>
    <w:rsid w:val="007B5B1B"/>
    <w:rsid w:val="007B5B51"/>
    <w:rsid w:val="007B5B8F"/>
    <w:rsid w:val="007B5BA5"/>
    <w:rsid w:val="007B5C55"/>
    <w:rsid w:val="007B5D49"/>
    <w:rsid w:val="007B6264"/>
    <w:rsid w:val="007B62D9"/>
    <w:rsid w:val="007B634E"/>
    <w:rsid w:val="007B6560"/>
    <w:rsid w:val="007B65AD"/>
    <w:rsid w:val="007B66A6"/>
    <w:rsid w:val="007B68A0"/>
    <w:rsid w:val="007B69AD"/>
    <w:rsid w:val="007B6AD3"/>
    <w:rsid w:val="007B6D5A"/>
    <w:rsid w:val="007B6D71"/>
    <w:rsid w:val="007B6DC2"/>
    <w:rsid w:val="007B7024"/>
    <w:rsid w:val="007B714D"/>
    <w:rsid w:val="007B7250"/>
    <w:rsid w:val="007B73F5"/>
    <w:rsid w:val="007B755C"/>
    <w:rsid w:val="007B794C"/>
    <w:rsid w:val="007B7BDC"/>
    <w:rsid w:val="007B7D4E"/>
    <w:rsid w:val="007B7D61"/>
    <w:rsid w:val="007B7FEB"/>
    <w:rsid w:val="007C00CA"/>
    <w:rsid w:val="007C02E6"/>
    <w:rsid w:val="007C0713"/>
    <w:rsid w:val="007C076E"/>
    <w:rsid w:val="007C099E"/>
    <w:rsid w:val="007C0A5B"/>
    <w:rsid w:val="007C0B48"/>
    <w:rsid w:val="007C0BC7"/>
    <w:rsid w:val="007C0E02"/>
    <w:rsid w:val="007C153A"/>
    <w:rsid w:val="007C16B6"/>
    <w:rsid w:val="007C1990"/>
    <w:rsid w:val="007C1ACE"/>
    <w:rsid w:val="007C1D22"/>
    <w:rsid w:val="007C1F16"/>
    <w:rsid w:val="007C20A9"/>
    <w:rsid w:val="007C21DF"/>
    <w:rsid w:val="007C2369"/>
    <w:rsid w:val="007C23BD"/>
    <w:rsid w:val="007C240F"/>
    <w:rsid w:val="007C2705"/>
    <w:rsid w:val="007C295F"/>
    <w:rsid w:val="007C2A53"/>
    <w:rsid w:val="007C2BFB"/>
    <w:rsid w:val="007C2C31"/>
    <w:rsid w:val="007C2C32"/>
    <w:rsid w:val="007C2DC8"/>
    <w:rsid w:val="007C302D"/>
    <w:rsid w:val="007C3104"/>
    <w:rsid w:val="007C3115"/>
    <w:rsid w:val="007C3139"/>
    <w:rsid w:val="007C32D4"/>
    <w:rsid w:val="007C3426"/>
    <w:rsid w:val="007C3590"/>
    <w:rsid w:val="007C35EE"/>
    <w:rsid w:val="007C36BD"/>
    <w:rsid w:val="007C37B1"/>
    <w:rsid w:val="007C39EA"/>
    <w:rsid w:val="007C3D30"/>
    <w:rsid w:val="007C40A0"/>
    <w:rsid w:val="007C4390"/>
    <w:rsid w:val="007C43FB"/>
    <w:rsid w:val="007C44EF"/>
    <w:rsid w:val="007C4565"/>
    <w:rsid w:val="007C461E"/>
    <w:rsid w:val="007C48D0"/>
    <w:rsid w:val="007C48FD"/>
    <w:rsid w:val="007C4908"/>
    <w:rsid w:val="007C4948"/>
    <w:rsid w:val="007C4A1E"/>
    <w:rsid w:val="007C4EE1"/>
    <w:rsid w:val="007C4F90"/>
    <w:rsid w:val="007C505A"/>
    <w:rsid w:val="007C50C6"/>
    <w:rsid w:val="007C5158"/>
    <w:rsid w:val="007C519C"/>
    <w:rsid w:val="007C5445"/>
    <w:rsid w:val="007C5503"/>
    <w:rsid w:val="007C577C"/>
    <w:rsid w:val="007C5A94"/>
    <w:rsid w:val="007C5B2C"/>
    <w:rsid w:val="007C5CA1"/>
    <w:rsid w:val="007C5F12"/>
    <w:rsid w:val="007C60BB"/>
    <w:rsid w:val="007C62BA"/>
    <w:rsid w:val="007C6440"/>
    <w:rsid w:val="007C6472"/>
    <w:rsid w:val="007C66DA"/>
    <w:rsid w:val="007C68E3"/>
    <w:rsid w:val="007C6B96"/>
    <w:rsid w:val="007C6C11"/>
    <w:rsid w:val="007C6D03"/>
    <w:rsid w:val="007C7168"/>
    <w:rsid w:val="007C720D"/>
    <w:rsid w:val="007C7408"/>
    <w:rsid w:val="007C748B"/>
    <w:rsid w:val="007C74ED"/>
    <w:rsid w:val="007C7554"/>
    <w:rsid w:val="007C7740"/>
    <w:rsid w:val="007C77A5"/>
    <w:rsid w:val="007C77B1"/>
    <w:rsid w:val="007C7820"/>
    <w:rsid w:val="007C79D4"/>
    <w:rsid w:val="007C7A98"/>
    <w:rsid w:val="007C7AAC"/>
    <w:rsid w:val="007C7AC4"/>
    <w:rsid w:val="007D02ED"/>
    <w:rsid w:val="007D04F8"/>
    <w:rsid w:val="007D0684"/>
    <w:rsid w:val="007D087C"/>
    <w:rsid w:val="007D08F7"/>
    <w:rsid w:val="007D098D"/>
    <w:rsid w:val="007D0C03"/>
    <w:rsid w:val="007D0E33"/>
    <w:rsid w:val="007D0E4D"/>
    <w:rsid w:val="007D0FD2"/>
    <w:rsid w:val="007D106C"/>
    <w:rsid w:val="007D10E8"/>
    <w:rsid w:val="007D1169"/>
    <w:rsid w:val="007D117D"/>
    <w:rsid w:val="007D1194"/>
    <w:rsid w:val="007D1402"/>
    <w:rsid w:val="007D148C"/>
    <w:rsid w:val="007D158C"/>
    <w:rsid w:val="007D15CE"/>
    <w:rsid w:val="007D1624"/>
    <w:rsid w:val="007D167B"/>
    <w:rsid w:val="007D1770"/>
    <w:rsid w:val="007D18C6"/>
    <w:rsid w:val="007D19A2"/>
    <w:rsid w:val="007D1A62"/>
    <w:rsid w:val="007D1B90"/>
    <w:rsid w:val="007D1CF3"/>
    <w:rsid w:val="007D201F"/>
    <w:rsid w:val="007D2155"/>
    <w:rsid w:val="007D243A"/>
    <w:rsid w:val="007D24EB"/>
    <w:rsid w:val="007D24FB"/>
    <w:rsid w:val="007D2556"/>
    <w:rsid w:val="007D26D3"/>
    <w:rsid w:val="007D27B0"/>
    <w:rsid w:val="007D2BB1"/>
    <w:rsid w:val="007D2C5C"/>
    <w:rsid w:val="007D2F90"/>
    <w:rsid w:val="007D2FFF"/>
    <w:rsid w:val="007D3040"/>
    <w:rsid w:val="007D3543"/>
    <w:rsid w:val="007D35CD"/>
    <w:rsid w:val="007D3722"/>
    <w:rsid w:val="007D3767"/>
    <w:rsid w:val="007D3822"/>
    <w:rsid w:val="007D38F6"/>
    <w:rsid w:val="007D3CED"/>
    <w:rsid w:val="007D3D9F"/>
    <w:rsid w:val="007D3F8A"/>
    <w:rsid w:val="007D418F"/>
    <w:rsid w:val="007D454A"/>
    <w:rsid w:val="007D4635"/>
    <w:rsid w:val="007D46C2"/>
    <w:rsid w:val="007D4AF5"/>
    <w:rsid w:val="007D4CB2"/>
    <w:rsid w:val="007D4CBF"/>
    <w:rsid w:val="007D4DA5"/>
    <w:rsid w:val="007D4DDB"/>
    <w:rsid w:val="007D4E9B"/>
    <w:rsid w:val="007D4EA7"/>
    <w:rsid w:val="007D5276"/>
    <w:rsid w:val="007D52C7"/>
    <w:rsid w:val="007D551D"/>
    <w:rsid w:val="007D5529"/>
    <w:rsid w:val="007D58D0"/>
    <w:rsid w:val="007D5D2C"/>
    <w:rsid w:val="007D5DAC"/>
    <w:rsid w:val="007D5F83"/>
    <w:rsid w:val="007D6038"/>
    <w:rsid w:val="007D63EF"/>
    <w:rsid w:val="007D651B"/>
    <w:rsid w:val="007D684C"/>
    <w:rsid w:val="007D68A9"/>
    <w:rsid w:val="007D6952"/>
    <w:rsid w:val="007D6C91"/>
    <w:rsid w:val="007D6FC6"/>
    <w:rsid w:val="007D707D"/>
    <w:rsid w:val="007D71BD"/>
    <w:rsid w:val="007D7221"/>
    <w:rsid w:val="007D7418"/>
    <w:rsid w:val="007D755D"/>
    <w:rsid w:val="007D7874"/>
    <w:rsid w:val="007D7895"/>
    <w:rsid w:val="007D7A46"/>
    <w:rsid w:val="007D7B33"/>
    <w:rsid w:val="007D7BC8"/>
    <w:rsid w:val="007D7DFC"/>
    <w:rsid w:val="007D7E2C"/>
    <w:rsid w:val="007E0030"/>
    <w:rsid w:val="007E00FC"/>
    <w:rsid w:val="007E02C3"/>
    <w:rsid w:val="007E0314"/>
    <w:rsid w:val="007E0354"/>
    <w:rsid w:val="007E0477"/>
    <w:rsid w:val="007E053C"/>
    <w:rsid w:val="007E05F2"/>
    <w:rsid w:val="007E0797"/>
    <w:rsid w:val="007E07B1"/>
    <w:rsid w:val="007E0954"/>
    <w:rsid w:val="007E0955"/>
    <w:rsid w:val="007E099A"/>
    <w:rsid w:val="007E0BC8"/>
    <w:rsid w:val="007E0C2C"/>
    <w:rsid w:val="007E0D77"/>
    <w:rsid w:val="007E0F16"/>
    <w:rsid w:val="007E115D"/>
    <w:rsid w:val="007E144E"/>
    <w:rsid w:val="007E1521"/>
    <w:rsid w:val="007E188C"/>
    <w:rsid w:val="007E1969"/>
    <w:rsid w:val="007E1A59"/>
    <w:rsid w:val="007E1CA3"/>
    <w:rsid w:val="007E1CCC"/>
    <w:rsid w:val="007E1D1B"/>
    <w:rsid w:val="007E1FAB"/>
    <w:rsid w:val="007E1FE3"/>
    <w:rsid w:val="007E213C"/>
    <w:rsid w:val="007E215D"/>
    <w:rsid w:val="007E2313"/>
    <w:rsid w:val="007E24B0"/>
    <w:rsid w:val="007E25DE"/>
    <w:rsid w:val="007E28A0"/>
    <w:rsid w:val="007E2932"/>
    <w:rsid w:val="007E2991"/>
    <w:rsid w:val="007E299D"/>
    <w:rsid w:val="007E2A91"/>
    <w:rsid w:val="007E2B98"/>
    <w:rsid w:val="007E2C8C"/>
    <w:rsid w:val="007E2CED"/>
    <w:rsid w:val="007E2D57"/>
    <w:rsid w:val="007E326A"/>
    <w:rsid w:val="007E378E"/>
    <w:rsid w:val="007E38F5"/>
    <w:rsid w:val="007E44D7"/>
    <w:rsid w:val="007E46E1"/>
    <w:rsid w:val="007E4782"/>
    <w:rsid w:val="007E4A26"/>
    <w:rsid w:val="007E4BDD"/>
    <w:rsid w:val="007E513C"/>
    <w:rsid w:val="007E5380"/>
    <w:rsid w:val="007E53D2"/>
    <w:rsid w:val="007E5548"/>
    <w:rsid w:val="007E5592"/>
    <w:rsid w:val="007E576D"/>
    <w:rsid w:val="007E5802"/>
    <w:rsid w:val="007E585F"/>
    <w:rsid w:val="007E5A34"/>
    <w:rsid w:val="007E5B25"/>
    <w:rsid w:val="007E5E6B"/>
    <w:rsid w:val="007E5ECB"/>
    <w:rsid w:val="007E5FA1"/>
    <w:rsid w:val="007E6159"/>
    <w:rsid w:val="007E6386"/>
    <w:rsid w:val="007E6428"/>
    <w:rsid w:val="007E6515"/>
    <w:rsid w:val="007E6521"/>
    <w:rsid w:val="007E6710"/>
    <w:rsid w:val="007E6822"/>
    <w:rsid w:val="007E6853"/>
    <w:rsid w:val="007E69B9"/>
    <w:rsid w:val="007E6B51"/>
    <w:rsid w:val="007E6B74"/>
    <w:rsid w:val="007E6BAA"/>
    <w:rsid w:val="007E6BD2"/>
    <w:rsid w:val="007E6C2F"/>
    <w:rsid w:val="007E6D04"/>
    <w:rsid w:val="007E6D92"/>
    <w:rsid w:val="007E713F"/>
    <w:rsid w:val="007E714C"/>
    <w:rsid w:val="007E7180"/>
    <w:rsid w:val="007E7184"/>
    <w:rsid w:val="007E71E4"/>
    <w:rsid w:val="007E7A05"/>
    <w:rsid w:val="007E7C7E"/>
    <w:rsid w:val="007E7D23"/>
    <w:rsid w:val="007E7D3A"/>
    <w:rsid w:val="007E7D97"/>
    <w:rsid w:val="007F0378"/>
    <w:rsid w:val="007F0915"/>
    <w:rsid w:val="007F0986"/>
    <w:rsid w:val="007F0D06"/>
    <w:rsid w:val="007F102D"/>
    <w:rsid w:val="007F1088"/>
    <w:rsid w:val="007F1175"/>
    <w:rsid w:val="007F150E"/>
    <w:rsid w:val="007F172F"/>
    <w:rsid w:val="007F177F"/>
    <w:rsid w:val="007F1791"/>
    <w:rsid w:val="007F1898"/>
    <w:rsid w:val="007F1939"/>
    <w:rsid w:val="007F19D8"/>
    <w:rsid w:val="007F1B22"/>
    <w:rsid w:val="007F1B5C"/>
    <w:rsid w:val="007F1C29"/>
    <w:rsid w:val="007F1DAA"/>
    <w:rsid w:val="007F1F6C"/>
    <w:rsid w:val="007F1FAA"/>
    <w:rsid w:val="007F1FC9"/>
    <w:rsid w:val="007F1FF4"/>
    <w:rsid w:val="007F22BF"/>
    <w:rsid w:val="007F22C3"/>
    <w:rsid w:val="007F23DE"/>
    <w:rsid w:val="007F2436"/>
    <w:rsid w:val="007F256F"/>
    <w:rsid w:val="007F25EE"/>
    <w:rsid w:val="007F2641"/>
    <w:rsid w:val="007F2DB9"/>
    <w:rsid w:val="007F2F01"/>
    <w:rsid w:val="007F307C"/>
    <w:rsid w:val="007F322C"/>
    <w:rsid w:val="007F34E8"/>
    <w:rsid w:val="007F370C"/>
    <w:rsid w:val="007F37B7"/>
    <w:rsid w:val="007F394F"/>
    <w:rsid w:val="007F3BF5"/>
    <w:rsid w:val="007F3D19"/>
    <w:rsid w:val="007F3E95"/>
    <w:rsid w:val="007F3F5E"/>
    <w:rsid w:val="007F400C"/>
    <w:rsid w:val="007F4489"/>
    <w:rsid w:val="007F449B"/>
    <w:rsid w:val="007F46CE"/>
    <w:rsid w:val="007F47B9"/>
    <w:rsid w:val="007F4885"/>
    <w:rsid w:val="007F48AF"/>
    <w:rsid w:val="007F495E"/>
    <w:rsid w:val="007F49FB"/>
    <w:rsid w:val="007F4ADD"/>
    <w:rsid w:val="007F5109"/>
    <w:rsid w:val="007F5191"/>
    <w:rsid w:val="007F51A9"/>
    <w:rsid w:val="007F5365"/>
    <w:rsid w:val="007F554E"/>
    <w:rsid w:val="007F5717"/>
    <w:rsid w:val="007F571B"/>
    <w:rsid w:val="007F576B"/>
    <w:rsid w:val="007F5985"/>
    <w:rsid w:val="007F5A4C"/>
    <w:rsid w:val="007F5BE9"/>
    <w:rsid w:val="007F5C61"/>
    <w:rsid w:val="007F5E10"/>
    <w:rsid w:val="007F6033"/>
    <w:rsid w:val="007F60CD"/>
    <w:rsid w:val="007F6257"/>
    <w:rsid w:val="007F6482"/>
    <w:rsid w:val="007F64B2"/>
    <w:rsid w:val="007F64C7"/>
    <w:rsid w:val="007F6546"/>
    <w:rsid w:val="007F6967"/>
    <w:rsid w:val="007F69C7"/>
    <w:rsid w:val="007F6BA7"/>
    <w:rsid w:val="007F6C43"/>
    <w:rsid w:val="007F6CD0"/>
    <w:rsid w:val="007F6E6E"/>
    <w:rsid w:val="007F6E73"/>
    <w:rsid w:val="007F6F18"/>
    <w:rsid w:val="007F7091"/>
    <w:rsid w:val="007F717B"/>
    <w:rsid w:val="007F7337"/>
    <w:rsid w:val="007F761F"/>
    <w:rsid w:val="007F7841"/>
    <w:rsid w:val="007F7A30"/>
    <w:rsid w:val="007F7A76"/>
    <w:rsid w:val="007F7B83"/>
    <w:rsid w:val="007F7C6D"/>
    <w:rsid w:val="007F7D38"/>
    <w:rsid w:val="007F7F10"/>
    <w:rsid w:val="0080060C"/>
    <w:rsid w:val="00800AE5"/>
    <w:rsid w:val="00800DC4"/>
    <w:rsid w:val="00800DE0"/>
    <w:rsid w:val="00800FF8"/>
    <w:rsid w:val="00801206"/>
    <w:rsid w:val="00801239"/>
    <w:rsid w:val="00801311"/>
    <w:rsid w:val="008014A8"/>
    <w:rsid w:val="0080155D"/>
    <w:rsid w:val="00801592"/>
    <w:rsid w:val="00801639"/>
    <w:rsid w:val="00801643"/>
    <w:rsid w:val="0080172F"/>
    <w:rsid w:val="00801803"/>
    <w:rsid w:val="00801831"/>
    <w:rsid w:val="0080184F"/>
    <w:rsid w:val="00801861"/>
    <w:rsid w:val="008018C1"/>
    <w:rsid w:val="00801C14"/>
    <w:rsid w:val="00802282"/>
    <w:rsid w:val="00802400"/>
    <w:rsid w:val="008025FB"/>
    <w:rsid w:val="008029DF"/>
    <w:rsid w:val="00802A26"/>
    <w:rsid w:val="00802B72"/>
    <w:rsid w:val="00802E53"/>
    <w:rsid w:val="00803238"/>
    <w:rsid w:val="00803302"/>
    <w:rsid w:val="008033DE"/>
    <w:rsid w:val="00803498"/>
    <w:rsid w:val="00803780"/>
    <w:rsid w:val="00803798"/>
    <w:rsid w:val="008037AA"/>
    <w:rsid w:val="00803997"/>
    <w:rsid w:val="00803A05"/>
    <w:rsid w:val="00803ACA"/>
    <w:rsid w:val="00803BCE"/>
    <w:rsid w:val="00803F13"/>
    <w:rsid w:val="0080419A"/>
    <w:rsid w:val="00804354"/>
    <w:rsid w:val="00804457"/>
    <w:rsid w:val="00804718"/>
    <w:rsid w:val="008047AC"/>
    <w:rsid w:val="008047CB"/>
    <w:rsid w:val="00804A09"/>
    <w:rsid w:val="00804C29"/>
    <w:rsid w:val="00804C7B"/>
    <w:rsid w:val="008050F8"/>
    <w:rsid w:val="00805326"/>
    <w:rsid w:val="0080539E"/>
    <w:rsid w:val="00805413"/>
    <w:rsid w:val="00805449"/>
    <w:rsid w:val="00805530"/>
    <w:rsid w:val="008055EB"/>
    <w:rsid w:val="008055FE"/>
    <w:rsid w:val="00805662"/>
    <w:rsid w:val="00805727"/>
    <w:rsid w:val="00805AF4"/>
    <w:rsid w:val="00805DA3"/>
    <w:rsid w:val="00805DF4"/>
    <w:rsid w:val="00805F75"/>
    <w:rsid w:val="00806029"/>
    <w:rsid w:val="00806224"/>
    <w:rsid w:val="00806304"/>
    <w:rsid w:val="0080631E"/>
    <w:rsid w:val="008065D5"/>
    <w:rsid w:val="0080676E"/>
    <w:rsid w:val="00806944"/>
    <w:rsid w:val="008069AF"/>
    <w:rsid w:val="00806A6A"/>
    <w:rsid w:val="00806ABB"/>
    <w:rsid w:val="00806B4B"/>
    <w:rsid w:val="00806D2F"/>
    <w:rsid w:val="00806D65"/>
    <w:rsid w:val="00807098"/>
    <w:rsid w:val="00807292"/>
    <w:rsid w:val="008073F8"/>
    <w:rsid w:val="008074FB"/>
    <w:rsid w:val="0080777C"/>
    <w:rsid w:val="008077D6"/>
    <w:rsid w:val="00807810"/>
    <w:rsid w:val="00807891"/>
    <w:rsid w:val="008078B4"/>
    <w:rsid w:val="00807991"/>
    <w:rsid w:val="00807AE4"/>
    <w:rsid w:val="00807B8B"/>
    <w:rsid w:val="00807BCF"/>
    <w:rsid w:val="00807D39"/>
    <w:rsid w:val="00807E3F"/>
    <w:rsid w:val="008100F3"/>
    <w:rsid w:val="00810136"/>
    <w:rsid w:val="008101D5"/>
    <w:rsid w:val="0081025A"/>
    <w:rsid w:val="008104A4"/>
    <w:rsid w:val="008105E9"/>
    <w:rsid w:val="00810622"/>
    <w:rsid w:val="00810716"/>
    <w:rsid w:val="00810A5D"/>
    <w:rsid w:val="00810B19"/>
    <w:rsid w:val="00810BE8"/>
    <w:rsid w:val="00810E15"/>
    <w:rsid w:val="008111CA"/>
    <w:rsid w:val="008111FF"/>
    <w:rsid w:val="00811266"/>
    <w:rsid w:val="008112BC"/>
    <w:rsid w:val="00811401"/>
    <w:rsid w:val="008115AB"/>
    <w:rsid w:val="008119FC"/>
    <w:rsid w:val="00811AE9"/>
    <w:rsid w:val="00811B18"/>
    <w:rsid w:val="00811C56"/>
    <w:rsid w:val="00811E88"/>
    <w:rsid w:val="00811ECD"/>
    <w:rsid w:val="00811F55"/>
    <w:rsid w:val="00812203"/>
    <w:rsid w:val="00812521"/>
    <w:rsid w:val="0081285A"/>
    <w:rsid w:val="008128BD"/>
    <w:rsid w:val="0081298A"/>
    <w:rsid w:val="00812D86"/>
    <w:rsid w:val="00812E35"/>
    <w:rsid w:val="00812F38"/>
    <w:rsid w:val="00813083"/>
    <w:rsid w:val="00813295"/>
    <w:rsid w:val="0081329B"/>
    <w:rsid w:val="008133E7"/>
    <w:rsid w:val="0081340A"/>
    <w:rsid w:val="008134EB"/>
    <w:rsid w:val="008137A3"/>
    <w:rsid w:val="008139BB"/>
    <w:rsid w:val="008139ED"/>
    <w:rsid w:val="00813B02"/>
    <w:rsid w:val="00813B19"/>
    <w:rsid w:val="00813CD9"/>
    <w:rsid w:val="00814355"/>
    <w:rsid w:val="00814425"/>
    <w:rsid w:val="00814534"/>
    <w:rsid w:val="008146EB"/>
    <w:rsid w:val="00814736"/>
    <w:rsid w:val="0081476A"/>
    <w:rsid w:val="00814B89"/>
    <w:rsid w:val="00814C8B"/>
    <w:rsid w:val="00814CE9"/>
    <w:rsid w:val="00815077"/>
    <w:rsid w:val="00815101"/>
    <w:rsid w:val="0081517C"/>
    <w:rsid w:val="0081540D"/>
    <w:rsid w:val="00815542"/>
    <w:rsid w:val="00815581"/>
    <w:rsid w:val="008156B5"/>
    <w:rsid w:val="0081570E"/>
    <w:rsid w:val="008157D0"/>
    <w:rsid w:val="008158FD"/>
    <w:rsid w:val="0081594B"/>
    <w:rsid w:val="008159BF"/>
    <w:rsid w:val="00815AAC"/>
    <w:rsid w:val="00815D9E"/>
    <w:rsid w:val="00815DD9"/>
    <w:rsid w:val="00815E2B"/>
    <w:rsid w:val="00815F0C"/>
    <w:rsid w:val="00815F5C"/>
    <w:rsid w:val="008160E8"/>
    <w:rsid w:val="008162AC"/>
    <w:rsid w:val="00816339"/>
    <w:rsid w:val="0081655F"/>
    <w:rsid w:val="00816849"/>
    <w:rsid w:val="00816932"/>
    <w:rsid w:val="00816946"/>
    <w:rsid w:val="0081696C"/>
    <w:rsid w:val="00816A04"/>
    <w:rsid w:val="00816B9C"/>
    <w:rsid w:val="00816DF7"/>
    <w:rsid w:val="0081706A"/>
    <w:rsid w:val="00817125"/>
    <w:rsid w:val="008172D6"/>
    <w:rsid w:val="00817433"/>
    <w:rsid w:val="00817446"/>
    <w:rsid w:val="00817499"/>
    <w:rsid w:val="008174BF"/>
    <w:rsid w:val="008175D6"/>
    <w:rsid w:val="008177BE"/>
    <w:rsid w:val="00817B71"/>
    <w:rsid w:val="00817C7D"/>
    <w:rsid w:val="00817D66"/>
    <w:rsid w:val="00820098"/>
    <w:rsid w:val="0082030F"/>
    <w:rsid w:val="008208A3"/>
    <w:rsid w:val="00820B8C"/>
    <w:rsid w:val="00820C25"/>
    <w:rsid w:val="00820C4B"/>
    <w:rsid w:val="00820D59"/>
    <w:rsid w:val="00821245"/>
    <w:rsid w:val="0082126B"/>
    <w:rsid w:val="00821520"/>
    <w:rsid w:val="0082155E"/>
    <w:rsid w:val="0082155F"/>
    <w:rsid w:val="00821623"/>
    <w:rsid w:val="00821768"/>
    <w:rsid w:val="00821BB4"/>
    <w:rsid w:val="00821C0E"/>
    <w:rsid w:val="00821D5F"/>
    <w:rsid w:val="00821D8F"/>
    <w:rsid w:val="00821E45"/>
    <w:rsid w:val="00821EED"/>
    <w:rsid w:val="00821F31"/>
    <w:rsid w:val="00821FA5"/>
    <w:rsid w:val="00822221"/>
    <w:rsid w:val="008222F1"/>
    <w:rsid w:val="0082255E"/>
    <w:rsid w:val="008225A0"/>
    <w:rsid w:val="0082281D"/>
    <w:rsid w:val="00822BA6"/>
    <w:rsid w:val="00822E80"/>
    <w:rsid w:val="00822FFD"/>
    <w:rsid w:val="0082309C"/>
    <w:rsid w:val="00823284"/>
    <w:rsid w:val="008232A1"/>
    <w:rsid w:val="0082330D"/>
    <w:rsid w:val="00823374"/>
    <w:rsid w:val="00823830"/>
    <w:rsid w:val="0082388A"/>
    <w:rsid w:val="00823A86"/>
    <w:rsid w:val="00823FAC"/>
    <w:rsid w:val="00824080"/>
    <w:rsid w:val="008240BC"/>
    <w:rsid w:val="008241FC"/>
    <w:rsid w:val="00824208"/>
    <w:rsid w:val="008242FD"/>
    <w:rsid w:val="0082430D"/>
    <w:rsid w:val="0082437B"/>
    <w:rsid w:val="00824590"/>
    <w:rsid w:val="00824751"/>
    <w:rsid w:val="00824CBB"/>
    <w:rsid w:val="00824D11"/>
    <w:rsid w:val="00824DBE"/>
    <w:rsid w:val="00824E03"/>
    <w:rsid w:val="00824F55"/>
    <w:rsid w:val="00824FEF"/>
    <w:rsid w:val="0082508C"/>
    <w:rsid w:val="008250F0"/>
    <w:rsid w:val="008251D9"/>
    <w:rsid w:val="00825224"/>
    <w:rsid w:val="0082542E"/>
    <w:rsid w:val="0082547C"/>
    <w:rsid w:val="0082551D"/>
    <w:rsid w:val="0082558E"/>
    <w:rsid w:val="00825620"/>
    <w:rsid w:val="0082578F"/>
    <w:rsid w:val="008259CC"/>
    <w:rsid w:val="00825A37"/>
    <w:rsid w:val="00825A71"/>
    <w:rsid w:val="00825ABD"/>
    <w:rsid w:val="00825DE2"/>
    <w:rsid w:val="00825F36"/>
    <w:rsid w:val="00825F8D"/>
    <w:rsid w:val="00825FDF"/>
    <w:rsid w:val="00826155"/>
    <w:rsid w:val="00826481"/>
    <w:rsid w:val="00826623"/>
    <w:rsid w:val="00826701"/>
    <w:rsid w:val="0082675E"/>
    <w:rsid w:val="00826843"/>
    <w:rsid w:val="0082685A"/>
    <w:rsid w:val="0082690B"/>
    <w:rsid w:val="0082695E"/>
    <w:rsid w:val="0082697F"/>
    <w:rsid w:val="00826C85"/>
    <w:rsid w:val="00826CBE"/>
    <w:rsid w:val="00826D0F"/>
    <w:rsid w:val="008271A4"/>
    <w:rsid w:val="0082720D"/>
    <w:rsid w:val="008273DE"/>
    <w:rsid w:val="00827506"/>
    <w:rsid w:val="008276D7"/>
    <w:rsid w:val="008278B9"/>
    <w:rsid w:val="008279FE"/>
    <w:rsid w:val="00827B2F"/>
    <w:rsid w:val="00827B42"/>
    <w:rsid w:val="00827BE8"/>
    <w:rsid w:val="00827D17"/>
    <w:rsid w:val="00827DB5"/>
    <w:rsid w:val="00827DC0"/>
    <w:rsid w:val="00830018"/>
    <w:rsid w:val="00830330"/>
    <w:rsid w:val="0083034F"/>
    <w:rsid w:val="00830649"/>
    <w:rsid w:val="00830A50"/>
    <w:rsid w:val="00830D76"/>
    <w:rsid w:val="00830EA6"/>
    <w:rsid w:val="008311EF"/>
    <w:rsid w:val="008311F6"/>
    <w:rsid w:val="008311FA"/>
    <w:rsid w:val="00831409"/>
    <w:rsid w:val="00831528"/>
    <w:rsid w:val="00831577"/>
    <w:rsid w:val="00831969"/>
    <w:rsid w:val="008319F9"/>
    <w:rsid w:val="00831AA6"/>
    <w:rsid w:val="00831DD3"/>
    <w:rsid w:val="00831E0A"/>
    <w:rsid w:val="00831E0B"/>
    <w:rsid w:val="00831E9B"/>
    <w:rsid w:val="00831F45"/>
    <w:rsid w:val="00831FB7"/>
    <w:rsid w:val="00832014"/>
    <w:rsid w:val="0083202B"/>
    <w:rsid w:val="008320BF"/>
    <w:rsid w:val="008325E1"/>
    <w:rsid w:val="00832740"/>
    <w:rsid w:val="00832778"/>
    <w:rsid w:val="008327F4"/>
    <w:rsid w:val="00832926"/>
    <w:rsid w:val="00832AEF"/>
    <w:rsid w:val="00832B81"/>
    <w:rsid w:val="00832DCE"/>
    <w:rsid w:val="00832E85"/>
    <w:rsid w:val="00832ED4"/>
    <w:rsid w:val="00832FDC"/>
    <w:rsid w:val="00833353"/>
    <w:rsid w:val="008335E6"/>
    <w:rsid w:val="008335ED"/>
    <w:rsid w:val="00833683"/>
    <w:rsid w:val="0083371E"/>
    <w:rsid w:val="00833772"/>
    <w:rsid w:val="00833777"/>
    <w:rsid w:val="008338A8"/>
    <w:rsid w:val="008338DD"/>
    <w:rsid w:val="00833A72"/>
    <w:rsid w:val="00833BF4"/>
    <w:rsid w:val="00834197"/>
    <w:rsid w:val="0083422E"/>
    <w:rsid w:val="008343C2"/>
    <w:rsid w:val="0083445E"/>
    <w:rsid w:val="00834462"/>
    <w:rsid w:val="0083451F"/>
    <w:rsid w:val="0083457D"/>
    <w:rsid w:val="008346C7"/>
    <w:rsid w:val="00834768"/>
    <w:rsid w:val="00834A90"/>
    <w:rsid w:val="00834D2D"/>
    <w:rsid w:val="00834E75"/>
    <w:rsid w:val="00834EE3"/>
    <w:rsid w:val="00834F12"/>
    <w:rsid w:val="00834FCF"/>
    <w:rsid w:val="00835250"/>
    <w:rsid w:val="008352FF"/>
    <w:rsid w:val="00835384"/>
    <w:rsid w:val="0083546C"/>
    <w:rsid w:val="00835770"/>
    <w:rsid w:val="008359A4"/>
    <w:rsid w:val="00835BBB"/>
    <w:rsid w:val="00835D3B"/>
    <w:rsid w:val="00835F46"/>
    <w:rsid w:val="008361BF"/>
    <w:rsid w:val="008363E5"/>
    <w:rsid w:val="0083640F"/>
    <w:rsid w:val="00836497"/>
    <w:rsid w:val="0083671D"/>
    <w:rsid w:val="00836750"/>
    <w:rsid w:val="008368ED"/>
    <w:rsid w:val="00836AF7"/>
    <w:rsid w:val="00836D9D"/>
    <w:rsid w:val="00836ECF"/>
    <w:rsid w:val="00836FF0"/>
    <w:rsid w:val="008376AA"/>
    <w:rsid w:val="008376D6"/>
    <w:rsid w:val="0083795B"/>
    <w:rsid w:val="00837B74"/>
    <w:rsid w:val="00837E69"/>
    <w:rsid w:val="00837F34"/>
    <w:rsid w:val="0084008A"/>
    <w:rsid w:val="008400DF"/>
    <w:rsid w:val="008401F2"/>
    <w:rsid w:val="008406C4"/>
    <w:rsid w:val="00840809"/>
    <w:rsid w:val="0084086C"/>
    <w:rsid w:val="00840960"/>
    <w:rsid w:val="00840B8C"/>
    <w:rsid w:val="00840D98"/>
    <w:rsid w:val="00840E05"/>
    <w:rsid w:val="00840E0E"/>
    <w:rsid w:val="00840E76"/>
    <w:rsid w:val="008413A4"/>
    <w:rsid w:val="008416D4"/>
    <w:rsid w:val="008417D8"/>
    <w:rsid w:val="008417E2"/>
    <w:rsid w:val="00841AA5"/>
    <w:rsid w:val="00841E7C"/>
    <w:rsid w:val="00841FD5"/>
    <w:rsid w:val="00842280"/>
    <w:rsid w:val="008423DC"/>
    <w:rsid w:val="00842586"/>
    <w:rsid w:val="00842745"/>
    <w:rsid w:val="00842969"/>
    <w:rsid w:val="00842A43"/>
    <w:rsid w:val="00842A48"/>
    <w:rsid w:val="00842C42"/>
    <w:rsid w:val="00842D19"/>
    <w:rsid w:val="00842E06"/>
    <w:rsid w:val="00842E25"/>
    <w:rsid w:val="00842EFB"/>
    <w:rsid w:val="00842F22"/>
    <w:rsid w:val="00843195"/>
    <w:rsid w:val="008431C9"/>
    <w:rsid w:val="00843236"/>
    <w:rsid w:val="00843241"/>
    <w:rsid w:val="00843357"/>
    <w:rsid w:val="00843549"/>
    <w:rsid w:val="00843573"/>
    <w:rsid w:val="0084359F"/>
    <w:rsid w:val="00843836"/>
    <w:rsid w:val="00843A02"/>
    <w:rsid w:val="00843A0B"/>
    <w:rsid w:val="00843BD3"/>
    <w:rsid w:val="00843C79"/>
    <w:rsid w:val="00843E16"/>
    <w:rsid w:val="008440F7"/>
    <w:rsid w:val="0084429D"/>
    <w:rsid w:val="008442BB"/>
    <w:rsid w:val="0084431C"/>
    <w:rsid w:val="008443D1"/>
    <w:rsid w:val="008445E0"/>
    <w:rsid w:val="00844663"/>
    <w:rsid w:val="008448AA"/>
    <w:rsid w:val="00844B94"/>
    <w:rsid w:val="00844DA1"/>
    <w:rsid w:val="00844EDA"/>
    <w:rsid w:val="00844F21"/>
    <w:rsid w:val="0084511F"/>
    <w:rsid w:val="008451C5"/>
    <w:rsid w:val="0084524B"/>
    <w:rsid w:val="0084527E"/>
    <w:rsid w:val="008452EF"/>
    <w:rsid w:val="00845460"/>
    <w:rsid w:val="00845462"/>
    <w:rsid w:val="008454DA"/>
    <w:rsid w:val="008455EE"/>
    <w:rsid w:val="0084578B"/>
    <w:rsid w:val="008457E8"/>
    <w:rsid w:val="00845CD1"/>
    <w:rsid w:val="00845D3A"/>
    <w:rsid w:val="00845E2F"/>
    <w:rsid w:val="00845F6D"/>
    <w:rsid w:val="008461FB"/>
    <w:rsid w:val="008462C9"/>
    <w:rsid w:val="008464EB"/>
    <w:rsid w:val="0084661C"/>
    <w:rsid w:val="00846700"/>
    <w:rsid w:val="008467A8"/>
    <w:rsid w:val="008468C7"/>
    <w:rsid w:val="008468E9"/>
    <w:rsid w:val="00846B7F"/>
    <w:rsid w:val="00846E04"/>
    <w:rsid w:val="00846E43"/>
    <w:rsid w:val="00846F81"/>
    <w:rsid w:val="00847186"/>
    <w:rsid w:val="0084766D"/>
    <w:rsid w:val="00847800"/>
    <w:rsid w:val="00847801"/>
    <w:rsid w:val="00847864"/>
    <w:rsid w:val="00847BDD"/>
    <w:rsid w:val="00847CC0"/>
    <w:rsid w:val="00847CE6"/>
    <w:rsid w:val="00850428"/>
    <w:rsid w:val="0085054A"/>
    <w:rsid w:val="00850561"/>
    <w:rsid w:val="008505A1"/>
    <w:rsid w:val="00850624"/>
    <w:rsid w:val="00850BF3"/>
    <w:rsid w:val="00850E79"/>
    <w:rsid w:val="008511CB"/>
    <w:rsid w:val="00851351"/>
    <w:rsid w:val="00851518"/>
    <w:rsid w:val="0085156C"/>
    <w:rsid w:val="008516E1"/>
    <w:rsid w:val="00851748"/>
    <w:rsid w:val="00851815"/>
    <w:rsid w:val="0085193E"/>
    <w:rsid w:val="00851B47"/>
    <w:rsid w:val="00851B55"/>
    <w:rsid w:val="00851E62"/>
    <w:rsid w:val="0085208F"/>
    <w:rsid w:val="00852164"/>
    <w:rsid w:val="0085257C"/>
    <w:rsid w:val="008525B9"/>
    <w:rsid w:val="0085265F"/>
    <w:rsid w:val="008529E0"/>
    <w:rsid w:val="00852A77"/>
    <w:rsid w:val="00852E5D"/>
    <w:rsid w:val="00853104"/>
    <w:rsid w:val="008531DC"/>
    <w:rsid w:val="00853743"/>
    <w:rsid w:val="00853835"/>
    <w:rsid w:val="00853842"/>
    <w:rsid w:val="0085385F"/>
    <w:rsid w:val="00853BBB"/>
    <w:rsid w:val="00853D4B"/>
    <w:rsid w:val="00853D70"/>
    <w:rsid w:val="00853D75"/>
    <w:rsid w:val="00854067"/>
    <w:rsid w:val="0085407A"/>
    <w:rsid w:val="0085411A"/>
    <w:rsid w:val="0085416C"/>
    <w:rsid w:val="00854209"/>
    <w:rsid w:val="00854224"/>
    <w:rsid w:val="0085466B"/>
    <w:rsid w:val="0085466D"/>
    <w:rsid w:val="00854B39"/>
    <w:rsid w:val="00854D6D"/>
    <w:rsid w:val="00854D84"/>
    <w:rsid w:val="00855128"/>
    <w:rsid w:val="008553B7"/>
    <w:rsid w:val="008554B5"/>
    <w:rsid w:val="00855690"/>
    <w:rsid w:val="008556D3"/>
    <w:rsid w:val="00855727"/>
    <w:rsid w:val="008558E6"/>
    <w:rsid w:val="00855C66"/>
    <w:rsid w:val="00855C86"/>
    <w:rsid w:val="00855CF2"/>
    <w:rsid w:val="00855D4D"/>
    <w:rsid w:val="00855E8F"/>
    <w:rsid w:val="00855ED8"/>
    <w:rsid w:val="00855F8C"/>
    <w:rsid w:val="00855FF9"/>
    <w:rsid w:val="00856021"/>
    <w:rsid w:val="00856066"/>
    <w:rsid w:val="008562B3"/>
    <w:rsid w:val="008562F3"/>
    <w:rsid w:val="00856349"/>
    <w:rsid w:val="008567CB"/>
    <w:rsid w:val="00856A80"/>
    <w:rsid w:val="00856B7A"/>
    <w:rsid w:val="00856BEB"/>
    <w:rsid w:val="00856D42"/>
    <w:rsid w:val="00856EB5"/>
    <w:rsid w:val="00856F57"/>
    <w:rsid w:val="00856FB6"/>
    <w:rsid w:val="008570ED"/>
    <w:rsid w:val="008571DF"/>
    <w:rsid w:val="0085725E"/>
    <w:rsid w:val="008572B6"/>
    <w:rsid w:val="00857314"/>
    <w:rsid w:val="008575E9"/>
    <w:rsid w:val="0085784F"/>
    <w:rsid w:val="0085787C"/>
    <w:rsid w:val="008578AA"/>
    <w:rsid w:val="0085793B"/>
    <w:rsid w:val="00857A93"/>
    <w:rsid w:val="00857B01"/>
    <w:rsid w:val="00857CB1"/>
    <w:rsid w:val="00857E03"/>
    <w:rsid w:val="0086024D"/>
    <w:rsid w:val="008602A9"/>
    <w:rsid w:val="0086048F"/>
    <w:rsid w:val="008604A2"/>
    <w:rsid w:val="008605A4"/>
    <w:rsid w:val="00860608"/>
    <w:rsid w:val="008606F7"/>
    <w:rsid w:val="008607D4"/>
    <w:rsid w:val="0086082A"/>
    <w:rsid w:val="008608A8"/>
    <w:rsid w:val="00860957"/>
    <w:rsid w:val="00860974"/>
    <w:rsid w:val="008609A9"/>
    <w:rsid w:val="00860BA5"/>
    <w:rsid w:val="00860CD9"/>
    <w:rsid w:val="00860DF6"/>
    <w:rsid w:val="00860E6B"/>
    <w:rsid w:val="0086127C"/>
    <w:rsid w:val="008612AC"/>
    <w:rsid w:val="00861387"/>
    <w:rsid w:val="008613D5"/>
    <w:rsid w:val="008616D0"/>
    <w:rsid w:val="008619CC"/>
    <w:rsid w:val="00861A46"/>
    <w:rsid w:val="00861AEC"/>
    <w:rsid w:val="00861C41"/>
    <w:rsid w:val="00861C85"/>
    <w:rsid w:val="00861D08"/>
    <w:rsid w:val="00861D72"/>
    <w:rsid w:val="00861EB9"/>
    <w:rsid w:val="00861F78"/>
    <w:rsid w:val="00862194"/>
    <w:rsid w:val="008621FF"/>
    <w:rsid w:val="00862262"/>
    <w:rsid w:val="008622FE"/>
    <w:rsid w:val="00862344"/>
    <w:rsid w:val="00862404"/>
    <w:rsid w:val="008624C4"/>
    <w:rsid w:val="008624CE"/>
    <w:rsid w:val="00862666"/>
    <w:rsid w:val="008626F3"/>
    <w:rsid w:val="0086286C"/>
    <w:rsid w:val="008628FB"/>
    <w:rsid w:val="00862BC2"/>
    <w:rsid w:val="00862C2C"/>
    <w:rsid w:val="00862CF4"/>
    <w:rsid w:val="00863116"/>
    <w:rsid w:val="008631B9"/>
    <w:rsid w:val="00863292"/>
    <w:rsid w:val="00863342"/>
    <w:rsid w:val="00863750"/>
    <w:rsid w:val="00863787"/>
    <w:rsid w:val="00863C34"/>
    <w:rsid w:val="00863CCE"/>
    <w:rsid w:val="00863DD3"/>
    <w:rsid w:val="00863EFE"/>
    <w:rsid w:val="00863FBE"/>
    <w:rsid w:val="00863FED"/>
    <w:rsid w:val="008640B6"/>
    <w:rsid w:val="0086419B"/>
    <w:rsid w:val="0086427C"/>
    <w:rsid w:val="008644F6"/>
    <w:rsid w:val="0086482C"/>
    <w:rsid w:val="008648A1"/>
    <w:rsid w:val="00864915"/>
    <w:rsid w:val="00864926"/>
    <w:rsid w:val="00864944"/>
    <w:rsid w:val="008649B9"/>
    <w:rsid w:val="00864B1B"/>
    <w:rsid w:val="00864CAB"/>
    <w:rsid w:val="00864D02"/>
    <w:rsid w:val="00864F03"/>
    <w:rsid w:val="00864F91"/>
    <w:rsid w:val="00864FD6"/>
    <w:rsid w:val="008650FF"/>
    <w:rsid w:val="0086541F"/>
    <w:rsid w:val="0086545B"/>
    <w:rsid w:val="0086560E"/>
    <w:rsid w:val="008656C0"/>
    <w:rsid w:val="0086598F"/>
    <w:rsid w:val="00865A4F"/>
    <w:rsid w:val="00865EB5"/>
    <w:rsid w:val="00865F9A"/>
    <w:rsid w:val="00866264"/>
    <w:rsid w:val="00866440"/>
    <w:rsid w:val="0086652D"/>
    <w:rsid w:val="0086676C"/>
    <w:rsid w:val="00866B93"/>
    <w:rsid w:val="00866BEB"/>
    <w:rsid w:val="00866DA7"/>
    <w:rsid w:val="00866DEF"/>
    <w:rsid w:val="008670BB"/>
    <w:rsid w:val="008670C2"/>
    <w:rsid w:val="00867120"/>
    <w:rsid w:val="00867265"/>
    <w:rsid w:val="00867477"/>
    <w:rsid w:val="008676B4"/>
    <w:rsid w:val="00867723"/>
    <w:rsid w:val="008677F9"/>
    <w:rsid w:val="00867863"/>
    <w:rsid w:val="008678E3"/>
    <w:rsid w:val="00867B07"/>
    <w:rsid w:val="00867B53"/>
    <w:rsid w:val="00867CE6"/>
    <w:rsid w:val="00867DD9"/>
    <w:rsid w:val="00867F61"/>
    <w:rsid w:val="00867F9A"/>
    <w:rsid w:val="008700B7"/>
    <w:rsid w:val="008702DA"/>
    <w:rsid w:val="00870528"/>
    <w:rsid w:val="008705F2"/>
    <w:rsid w:val="00870692"/>
    <w:rsid w:val="00870DFB"/>
    <w:rsid w:val="00870FDA"/>
    <w:rsid w:val="00871284"/>
    <w:rsid w:val="0087139D"/>
    <w:rsid w:val="00871541"/>
    <w:rsid w:val="0087172A"/>
    <w:rsid w:val="0087174B"/>
    <w:rsid w:val="00871886"/>
    <w:rsid w:val="0087188F"/>
    <w:rsid w:val="0087189C"/>
    <w:rsid w:val="0087190C"/>
    <w:rsid w:val="00871C75"/>
    <w:rsid w:val="00871C93"/>
    <w:rsid w:val="00871EA2"/>
    <w:rsid w:val="00871EFB"/>
    <w:rsid w:val="00871F00"/>
    <w:rsid w:val="00872012"/>
    <w:rsid w:val="0087201B"/>
    <w:rsid w:val="008720DF"/>
    <w:rsid w:val="00872301"/>
    <w:rsid w:val="00872412"/>
    <w:rsid w:val="0087259C"/>
    <w:rsid w:val="008729AB"/>
    <w:rsid w:val="00872D4C"/>
    <w:rsid w:val="00872D61"/>
    <w:rsid w:val="00872DA7"/>
    <w:rsid w:val="00872FC8"/>
    <w:rsid w:val="008730C0"/>
    <w:rsid w:val="00873300"/>
    <w:rsid w:val="008733DD"/>
    <w:rsid w:val="0087354A"/>
    <w:rsid w:val="00873625"/>
    <w:rsid w:val="00873974"/>
    <w:rsid w:val="00873D71"/>
    <w:rsid w:val="008740EF"/>
    <w:rsid w:val="00874640"/>
    <w:rsid w:val="0087481E"/>
    <w:rsid w:val="00874863"/>
    <w:rsid w:val="00874BDE"/>
    <w:rsid w:val="00874D45"/>
    <w:rsid w:val="00875043"/>
    <w:rsid w:val="00875052"/>
    <w:rsid w:val="0087509D"/>
    <w:rsid w:val="008750AE"/>
    <w:rsid w:val="008750F6"/>
    <w:rsid w:val="00875153"/>
    <w:rsid w:val="008755E3"/>
    <w:rsid w:val="0087571F"/>
    <w:rsid w:val="008758AA"/>
    <w:rsid w:val="008758B1"/>
    <w:rsid w:val="008758C7"/>
    <w:rsid w:val="008759FB"/>
    <w:rsid w:val="008761AE"/>
    <w:rsid w:val="00876292"/>
    <w:rsid w:val="00876316"/>
    <w:rsid w:val="00876400"/>
    <w:rsid w:val="00876534"/>
    <w:rsid w:val="00876556"/>
    <w:rsid w:val="008766DE"/>
    <w:rsid w:val="0087671B"/>
    <w:rsid w:val="00876875"/>
    <w:rsid w:val="008769FA"/>
    <w:rsid w:val="00876BEC"/>
    <w:rsid w:val="00876C63"/>
    <w:rsid w:val="00876F99"/>
    <w:rsid w:val="0087722F"/>
    <w:rsid w:val="008774A1"/>
    <w:rsid w:val="008779E9"/>
    <w:rsid w:val="00877B7B"/>
    <w:rsid w:val="00877B9E"/>
    <w:rsid w:val="00880084"/>
    <w:rsid w:val="0088014E"/>
    <w:rsid w:val="008801B1"/>
    <w:rsid w:val="008802FF"/>
    <w:rsid w:val="00880337"/>
    <w:rsid w:val="008804EC"/>
    <w:rsid w:val="008804F6"/>
    <w:rsid w:val="008805EC"/>
    <w:rsid w:val="008805F2"/>
    <w:rsid w:val="008806CB"/>
    <w:rsid w:val="00880713"/>
    <w:rsid w:val="008808D3"/>
    <w:rsid w:val="00880927"/>
    <w:rsid w:val="008809F2"/>
    <w:rsid w:val="00880AA7"/>
    <w:rsid w:val="00880AC5"/>
    <w:rsid w:val="00880B23"/>
    <w:rsid w:val="00880B50"/>
    <w:rsid w:val="00880CC6"/>
    <w:rsid w:val="00880D0C"/>
    <w:rsid w:val="00880D22"/>
    <w:rsid w:val="00880DE9"/>
    <w:rsid w:val="00880F9B"/>
    <w:rsid w:val="008811A3"/>
    <w:rsid w:val="008811C7"/>
    <w:rsid w:val="008815FE"/>
    <w:rsid w:val="008816EA"/>
    <w:rsid w:val="00881757"/>
    <w:rsid w:val="0088178D"/>
    <w:rsid w:val="0088195D"/>
    <w:rsid w:val="008819D6"/>
    <w:rsid w:val="00881C0A"/>
    <w:rsid w:val="00881FB0"/>
    <w:rsid w:val="00881FFF"/>
    <w:rsid w:val="0088235D"/>
    <w:rsid w:val="00882560"/>
    <w:rsid w:val="008826D8"/>
    <w:rsid w:val="00882704"/>
    <w:rsid w:val="008829F6"/>
    <w:rsid w:val="00882BAA"/>
    <w:rsid w:val="00882CAE"/>
    <w:rsid w:val="00882D65"/>
    <w:rsid w:val="00882DC3"/>
    <w:rsid w:val="00883309"/>
    <w:rsid w:val="0088332F"/>
    <w:rsid w:val="008833E0"/>
    <w:rsid w:val="00883467"/>
    <w:rsid w:val="008834FD"/>
    <w:rsid w:val="00883607"/>
    <w:rsid w:val="0088367B"/>
    <w:rsid w:val="008837DE"/>
    <w:rsid w:val="0088396B"/>
    <w:rsid w:val="00883972"/>
    <w:rsid w:val="00883D05"/>
    <w:rsid w:val="00883E4F"/>
    <w:rsid w:val="00883E5F"/>
    <w:rsid w:val="00884364"/>
    <w:rsid w:val="00884582"/>
    <w:rsid w:val="0088499F"/>
    <w:rsid w:val="00884BDD"/>
    <w:rsid w:val="00884C16"/>
    <w:rsid w:val="00884C61"/>
    <w:rsid w:val="00884D74"/>
    <w:rsid w:val="00884EED"/>
    <w:rsid w:val="00884F7A"/>
    <w:rsid w:val="008850D2"/>
    <w:rsid w:val="0088533A"/>
    <w:rsid w:val="0088536F"/>
    <w:rsid w:val="00885579"/>
    <w:rsid w:val="008859AA"/>
    <w:rsid w:val="00885A7C"/>
    <w:rsid w:val="00885DF4"/>
    <w:rsid w:val="00885F7F"/>
    <w:rsid w:val="008860DA"/>
    <w:rsid w:val="0088633F"/>
    <w:rsid w:val="0088637C"/>
    <w:rsid w:val="00886470"/>
    <w:rsid w:val="00886623"/>
    <w:rsid w:val="008869D4"/>
    <w:rsid w:val="00886A07"/>
    <w:rsid w:val="00886A4D"/>
    <w:rsid w:val="00886A56"/>
    <w:rsid w:val="00886B34"/>
    <w:rsid w:val="00886D7B"/>
    <w:rsid w:val="00886F1E"/>
    <w:rsid w:val="00886FC5"/>
    <w:rsid w:val="0088711A"/>
    <w:rsid w:val="0088716E"/>
    <w:rsid w:val="0088724A"/>
    <w:rsid w:val="00887489"/>
    <w:rsid w:val="0088756B"/>
    <w:rsid w:val="00887931"/>
    <w:rsid w:val="00887E20"/>
    <w:rsid w:val="008900FF"/>
    <w:rsid w:val="0089028F"/>
    <w:rsid w:val="0089032B"/>
    <w:rsid w:val="00890383"/>
    <w:rsid w:val="00890465"/>
    <w:rsid w:val="00890478"/>
    <w:rsid w:val="00890658"/>
    <w:rsid w:val="0089065B"/>
    <w:rsid w:val="00890676"/>
    <w:rsid w:val="008907DD"/>
    <w:rsid w:val="00890816"/>
    <w:rsid w:val="00890BB0"/>
    <w:rsid w:val="00890ED4"/>
    <w:rsid w:val="0089130E"/>
    <w:rsid w:val="008916B3"/>
    <w:rsid w:val="0089177F"/>
    <w:rsid w:val="0089196E"/>
    <w:rsid w:val="00891A40"/>
    <w:rsid w:val="00891E17"/>
    <w:rsid w:val="00891E6B"/>
    <w:rsid w:val="00891EDC"/>
    <w:rsid w:val="008920A1"/>
    <w:rsid w:val="0089222D"/>
    <w:rsid w:val="008922D2"/>
    <w:rsid w:val="0089235B"/>
    <w:rsid w:val="00892478"/>
    <w:rsid w:val="008927F4"/>
    <w:rsid w:val="008929BB"/>
    <w:rsid w:val="00892ADC"/>
    <w:rsid w:val="00892B88"/>
    <w:rsid w:val="00892BA4"/>
    <w:rsid w:val="00892FF8"/>
    <w:rsid w:val="008931F1"/>
    <w:rsid w:val="0089341B"/>
    <w:rsid w:val="0089356C"/>
    <w:rsid w:val="00893851"/>
    <w:rsid w:val="00893A15"/>
    <w:rsid w:val="00893B0B"/>
    <w:rsid w:val="00893BE1"/>
    <w:rsid w:val="00893FAB"/>
    <w:rsid w:val="00893FE9"/>
    <w:rsid w:val="00894009"/>
    <w:rsid w:val="00894017"/>
    <w:rsid w:val="0089408A"/>
    <w:rsid w:val="00894188"/>
    <w:rsid w:val="008941C0"/>
    <w:rsid w:val="00894254"/>
    <w:rsid w:val="0089429B"/>
    <w:rsid w:val="008942DF"/>
    <w:rsid w:val="00894308"/>
    <w:rsid w:val="008945C7"/>
    <w:rsid w:val="008945D0"/>
    <w:rsid w:val="008945DA"/>
    <w:rsid w:val="00894ADF"/>
    <w:rsid w:val="00894BE1"/>
    <w:rsid w:val="00894DD1"/>
    <w:rsid w:val="00894EF8"/>
    <w:rsid w:val="008953BF"/>
    <w:rsid w:val="008955B3"/>
    <w:rsid w:val="0089577C"/>
    <w:rsid w:val="00895841"/>
    <w:rsid w:val="0089588B"/>
    <w:rsid w:val="00895901"/>
    <w:rsid w:val="00895A6C"/>
    <w:rsid w:val="00895C6E"/>
    <w:rsid w:val="00895CD9"/>
    <w:rsid w:val="00895F74"/>
    <w:rsid w:val="008960D5"/>
    <w:rsid w:val="00896365"/>
    <w:rsid w:val="008966CE"/>
    <w:rsid w:val="008967F7"/>
    <w:rsid w:val="008969F3"/>
    <w:rsid w:val="00896A71"/>
    <w:rsid w:val="00896AAF"/>
    <w:rsid w:val="00896CAF"/>
    <w:rsid w:val="00896FE3"/>
    <w:rsid w:val="00897206"/>
    <w:rsid w:val="008972AF"/>
    <w:rsid w:val="00897446"/>
    <w:rsid w:val="008975F8"/>
    <w:rsid w:val="0089773B"/>
    <w:rsid w:val="0089789E"/>
    <w:rsid w:val="00897A09"/>
    <w:rsid w:val="00897BDB"/>
    <w:rsid w:val="00897BF7"/>
    <w:rsid w:val="00897D0C"/>
    <w:rsid w:val="00897E11"/>
    <w:rsid w:val="00897F84"/>
    <w:rsid w:val="00897F96"/>
    <w:rsid w:val="008A00C5"/>
    <w:rsid w:val="008A00D6"/>
    <w:rsid w:val="008A00FA"/>
    <w:rsid w:val="008A018B"/>
    <w:rsid w:val="008A02B6"/>
    <w:rsid w:val="008A02B8"/>
    <w:rsid w:val="008A0501"/>
    <w:rsid w:val="008A06C6"/>
    <w:rsid w:val="008A0799"/>
    <w:rsid w:val="008A07AD"/>
    <w:rsid w:val="008A096E"/>
    <w:rsid w:val="008A0ABD"/>
    <w:rsid w:val="008A0BD3"/>
    <w:rsid w:val="008A0CCB"/>
    <w:rsid w:val="008A0CE5"/>
    <w:rsid w:val="008A0E59"/>
    <w:rsid w:val="008A0E83"/>
    <w:rsid w:val="008A1024"/>
    <w:rsid w:val="008A1071"/>
    <w:rsid w:val="008A12CA"/>
    <w:rsid w:val="008A14EA"/>
    <w:rsid w:val="008A15A0"/>
    <w:rsid w:val="008A1628"/>
    <w:rsid w:val="008A170D"/>
    <w:rsid w:val="008A1747"/>
    <w:rsid w:val="008A1890"/>
    <w:rsid w:val="008A18ED"/>
    <w:rsid w:val="008A1919"/>
    <w:rsid w:val="008A1C19"/>
    <w:rsid w:val="008A1F01"/>
    <w:rsid w:val="008A1FCD"/>
    <w:rsid w:val="008A2029"/>
    <w:rsid w:val="008A22B2"/>
    <w:rsid w:val="008A23AF"/>
    <w:rsid w:val="008A25B8"/>
    <w:rsid w:val="008A26BF"/>
    <w:rsid w:val="008A27B2"/>
    <w:rsid w:val="008A27FC"/>
    <w:rsid w:val="008A2820"/>
    <w:rsid w:val="008A2B1C"/>
    <w:rsid w:val="008A2DC2"/>
    <w:rsid w:val="008A2E20"/>
    <w:rsid w:val="008A2E7F"/>
    <w:rsid w:val="008A3165"/>
    <w:rsid w:val="008A37C0"/>
    <w:rsid w:val="008A386D"/>
    <w:rsid w:val="008A3875"/>
    <w:rsid w:val="008A38FA"/>
    <w:rsid w:val="008A3918"/>
    <w:rsid w:val="008A3B20"/>
    <w:rsid w:val="008A3D47"/>
    <w:rsid w:val="008A3DCA"/>
    <w:rsid w:val="008A3DEC"/>
    <w:rsid w:val="008A3F9E"/>
    <w:rsid w:val="008A41A8"/>
    <w:rsid w:val="008A4291"/>
    <w:rsid w:val="008A4A1C"/>
    <w:rsid w:val="008A4F44"/>
    <w:rsid w:val="008A50CB"/>
    <w:rsid w:val="008A5224"/>
    <w:rsid w:val="008A5244"/>
    <w:rsid w:val="008A5416"/>
    <w:rsid w:val="008A5423"/>
    <w:rsid w:val="008A546D"/>
    <w:rsid w:val="008A55D3"/>
    <w:rsid w:val="008A5675"/>
    <w:rsid w:val="008A591F"/>
    <w:rsid w:val="008A5A30"/>
    <w:rsid w:val="008A5A76"/>
    <w:rsid w:val="008A5C89"/>
    <w:rsid w:val="008A5F71"/>
    <w:rsid w:val="008A6039"/>
    <w:rsid w:val="008A6239"/>
    <w:rsid w:val="008A6895"/>
    <w:rsid w:val="008A6D06"/>
    <w:rsid w:val="008A6D5E"/>
    <w:rsid w:val="008A703E"/>
    <w:rsid w:val="008A72EF"/>
    <w:rsid w:val="008A730B"/>
    <w:rsid w:val="008A75BC"/>
    <w:rsid w:val="008A767B"/>
    <w:rsid w:val="008A77C9"/>
    <w:rsid w:val="008A7875"/>
    <w:rsid w:val="008A7909"/>
    <w:rsid w:val="008A7B81"/>
    <w:rsid w:val="008A7BB3"/>
    <w:rsid w:val="008A7D7B"/>
    <w:rsid w:val="008A7EC0"/>
    <w:rsid w:val="008A7F48"/>
    <w:rsid w:val="008B0546"/>
    <w:rsid w:val="008B06F6"/>
    <w:rsid w:val="008B07B4"/>
    <w:rsid w:val="008B08BD"/>
    <w:rsid w:val="008B090E"/>
    <w:rsid w:val="008B0990"/>
    <w:rsid w:val="008B0ACD"/>
    <w:rsid w:val="008B0CC2"/>
    <w:rsid w:val="008B0E0B"/>
    <w:rsid w:val="008B0E84"/>
    <w:rsid w:val="008B1151"/>
    <w:rsid w:val="008B117B"/>
    <w:rsid w:val="008B1213"/>
    <w:rsid w:val="008B123D"/>
    <w:rsid w:val="008B138C"/>
    <w:rsid w:val="008B1398"/>
    <w:rsid w:val="008B149E"/>
    <w:rsid w:val="008B14A9"/>
    <w:rsid w:val="008B14B7"/>
    <w:rsid w:val="008B14DD"/>
    <w:rsid w:val="008B14EF"/>
    <w:rsid w:val="008B1522"/>
    <w:rsid w:val="008B1637"/>
    <w:rsid w:val="008B1B40"/>
    <w:rsid w:val="008B1C4A"/>
    <w:rsid w:val="008B1C74"/>
    <w:rsid w:val="008B1CC1"/>
    <w:rsid w:val="008B1D28"/>
    <w:rsid w:val="008B1DA0"/>
    <w:rsid w:val="008B1E00"/>
    <w:rsid w:val="008B1F76"/>
    <w:rsid w:val="008B2044"/>
    <w:rsid w:val="008B207B"/>
    <w:rsid w:val="008B22C8"/>
    <w:rsid w:val="008B2341"/>
    <w:rsid w:val="008B2797"/>
    <w:rsid w:val="008B2A6A"/>
    <w:rsid w:val="008B2B15"/>
    <w:rsid w:val="008B2C00"/>
    <w:rsid w:val="008B2C4E"/>
    <w:rsid w:val="008B2DC5"/>
    <w:rsid w:val="008B2E15"/>
    <w:rsid w:val="008B2F35"/>
    <w:rsid w:val="008B2F55"/>
    <w:rsid w:val="008B3191"/>
    <w:rsid w:val="008B3A9F"/>
    <w:rsid w:val="008B3D19"/>
    <w:rsid w:val="008B3F2C"/>
    <w:rsid w:val="008B4140"/>
    <w:rsid w:val="008B4397"/>
    <w:rsid w:val="008B4544"/>
    <w:rsid w:val="008B45BD"/>
    <w:rsid w:val="008B460F"/>
    <w:rsid w:val="008B477D"/>
    <w:rsid w:val="008B478F"/>
    <w:rsid w:val="008B49DC"/>
    <w:rsid w:val="008B4A0D"/>
    <w:rsid w:val="008B4CA5"/>
    <w:rsid w:val="008B4DB8"/>
    <w:rsid w:val="008B4DBE"/>
    <w:rsid w:val="008B500F"/>
    <w:rsid w:val="008B511D"/>
    <w:rsid w:val="008B51A1"/>
    <w:rsid w:val="008B5421"/>
    <w:rsid w:val="008B5754"/>
    <w:rsid w:val="008B59F7"/>
    <w:rsid w:val="008B5A0F"/>
    <w:rsid w:val="008B5A87"/>
    <w:rsid w:val="008B5B6D"/>
    <w:rsid w:val="008B5C95"/>
    <w:rsid w:val="008B5D4E"/>
    <w:rsid w:val="008B5FC9"/>
    <w:rsid w:val="008B5FE6"/>
    <w:rsid w:val="008B605E"/>
    <w:rsid w:val="008B6091"/>
    <w:rsid w:val="008B6269"/>
    <w:rsid w:val="008B6424"/>
    <w:rsid w:val="008B65EA"/>
    <w:rsid w:val="008B6AC9"/>
    <w:rsid w:val="008B6B0F"/>
    <w:rsid w:val="008B6CFF"/>
    <w:rsid w:val="008B6DF6"/>
    <w:rsid w:val="008B6F38"/>
    <w:rsid w:val="008B7168"/>
    <w:rsid w:val="008B71B4"/>
    <w:rsid w:val="008B7206"/>
    <w:rsid w:val="008B729F"/>
    <w:rsid w:val="008B72FD"/>
    <w:rsid w:val="008B730D"/>
    <w:rsid w:val="008B7428"/>
    <w:rsid w:val="008B7499"/>
    <w:rsid w:val="008B74CD"/>
    <w:rsid w:val="008B75A4"/>
    <w:rsid w:val="008B7B1B"/>
    <w:rsid w:val="008B7D6D"/>
    <w:rsid w:val="008B7E35"/>
    <w:rsid w:val="008B7F44"/>
    <w:rsid w:val="008B7F62"/>
    <w:rsid w:val="008C015D"/>
    <w:rsid w:val="008C07D9"/>
    <w:rsid w:val="008C0918"/>
    <w:rsid w:val="008C0931"/>
    <w:rsid w:val="008C0A13"/>
    <w:rsid w:val="008C0B27"/>
    <w:rsid w:val="008C0B31"/>
    <w:rsid w:val="008C0BBC"/>
    <w:rsid w:val="008C0C9A"/>
    <w:rsid w:val="008C0E29"/>
    <w:rsid w:val="008C1245"/>
    <w:rsid w:val="008C1367"/>
    <w:rsid w:val="008C13AA"/>
    <w:rsid w:val="008C149D"/>
    <w:rsid w:val="008C1510"/>
    <w:rsid w:val="008C17E2"/>
    <w:rsid w:val="008C1D7A"/>
    <w:rsid w:val="008C1FB6"/>
    <w:rsid w:val="008C2214"/>
    <w:rsid w:val="008C2374"/>
    <w:rsid w:val="008C23C0"/>
    <w:rsid w:val="008C241A"/>
    <w:rsid w:val="008C2525"/>
    <w:rsid w:val="008C27F0"/>
    <w:rsid w:val="008C2826"/>
    <w:rsid w:val="008C2970"/>
    <w:rsid w:val="008C2AAB"/>
    <w:rsid w:val="008C2B57"/>
    <w:rsid w:val="008C2F5B"/>
    <w:rsid w:val="008C3240"/>
    <w:rsid w:val="008C3297"/>
    <w:rsid w:val="008C32B7"/>
    <w:rsid w:val="008C3358"/>
    <w:rsid w:val="008C33CC"/>
    <w:rsid w:val="008C33F4"/>
    <w:rsid w:val="008C34E8"/>
    <w:rsid w:val="008C3854"/>
    <w:rsid w:val="008C38DB"/>
    <w:rsid w:val="008C393B"/>
    <w:rsid w:val="008C3B5B"/>
    <w:rsid w:val="008C3B8F"/>
    <w:rsid w:val="008C3BA5"/>
    <w:rsid w:val="008C3BBE"/>
    <w:rsid w:val="008C3D06"/>
    <w:rsid w:val="008C3DF3"/>
    <w:rsid w:val="008C3FA4"/>
    <w:rsid w:val="008C413B"/>
    <w:rsid w:val="008C4194"/>
    <w:rsid w:val="008C441C"/>
    <w:rsid w:val="008C4471"/>
    <w:rsid w:val="008C4575"/>
    <w:rsid w:val="008C461C"/>
    <w:rsid w:val="008C462B"/>
    <w:rsid w:val="008C4673"/>
    <w:rsid w:val="008C4717"/>
    <w:rsid w:val="008C47C3"/>
    <w:rsid w:val="008C498D"/>
    <w:rsid w:val="008C4D39"/>
    <w:rsid w:val="008C50A6"/>
    <w:rsid w:val="008C50D3"/>
    <w:rsid w:val="008C52DD"/>
    <w:rsid w:val="008C564E"/>
    <w:rsid w:val="008C5DBE"/>
    <w:rsid w:val="008C5E25"/>
    <w:rsid w:val="008C5E93"/>
    <w:rsid w:val="008C5FD6"/>
    <w:rsid w:val="008C6249"/>
    <w:rsid w:val="008C62B4"/>
    <w:rsid w:val="008C6350"/>
    <w:rsid w:val="008C64A7"/>
    <w:rsid w:val="008C65BA"/>
    <w:rsid w:val="008C6669"/>
    <w:rsid w:val="008C66DC"/>
    <w:rsid w:val="008C6968"/>
    <w:rsid w:val="008C6A30"/>
    <w:rsid w:val="008C6ACF"/>
    <w:rsid w:val="008C6C37"/>
    <w:rsid w:val="008C6C8E"/>
    <w:rsid w:val="008C6D97"/>
    <w:rsid w:val="008C7046"/>
    <w:rsid w:val="008C7050"/>
    <w:rsid w:val="008C7054"/>
    <w:rsid w:val="008C72DD"/>
    <w:rsid w:val="008C7631"/>
    <w:rsid w:val="008C76B7"/>
    <w:rsid w:val="008C7780"/>
    <w:rsid w:val="008C7AE2"/>
    <w:rsid w:val="008C7B00"/>
    <w:rsid w:val="008C7E3C"/>
    <w:rsid w:val="008C7E79"/>
    <w:rsid w:val="008D001E"/>
    <w:rsid w:val="008D021C"/>
    <w:rsid w:val="008D0478"/>
    <w:rsid w:val="008D0741"/>
    <w:rsid w:val="008D07B0"/>
    <w:rsid w:val="008D08C1"/>
    <w:rsid w:val="008D0A78"/>
    <w:rsid w:val="008D0B51"/>
    <w:rsid w:val="008D1069"/>
    <w:rsid w:val="008D1416"/>
    <w:rsid w:val="008D1631"/>
    <w:rsid w:val="008D18D4"/>
    <w:rsid w:val="008D19FE"/>
    <w:rsid w:val="008D1C23"/>
    <w:rsid w:val="008D1D16"/>
    <w:rsid w:val="008D1D86"/>
    <w:rsid w:val="008D1E23"/>
    <w:rsid w:val="008D1EE6"/>
    <w:rsid w:val="008D1EEF"/>
    <w:rsid w:val="008D2318"/>
    <w:rsid w:val="008D23E0"/>
    <w:rsid w:val="008D24CD"/>
    <w:rsid w:val="008D24E2"/>
    <w:rsid w:val="008D251E"/>
    <w:rsid w:val="008D25BA"/>
    <w:rsid w:val="008D267B"/>
    <w:rsid w:val="008D2CDC"/>
    <w:rsid w:val="008D3113"/>
    <w:rsid w:val="008D3159"/>
    <w:rsid w:val="008D31B1"/>
    <w:rsid w:val="008D3358"/>
    <w:rsid w:val="008D34A0"/>
    <w:rsid w:val="008D3597"/>
    <w:rsid w:val="008D38FF"/>
    <w:rsid w:val="008D3B20"/>
    <w:rsid w:val="008D3BF3"/>
    <w:rsid w:val="008D3C76"/>
    <w:rsid w:val="008D3CFF"/>
    <w:rsid w:val="008D3E9D"/>
    <w:rsid w:val="008D3F66"/>
    <w:rsid w:val="008D3FC0"/>
    <w:rsid w:val="008D4190"/>
    <w:rsid w:val="008D422F"/>
    <w:rsid w:val="008D461E"/>
    <w:rsid w:val="008D4B72"/>
    <w:rsid w:val="008D4CA8"/>
    <w:rsid w:val="008D4D61"/>
    <w:rsid w:val="008D4F18"/>
    <w:rsid w:val="008D5096"/>
    <w:rsid w:val="008D5326"/>
    <w:rsid w:val="008D55D7"/>
    <w:rsid w:val="008D56C7"/>
    <w:rsid w:val="008D56D9"/>
    <w:rsid w:val="008D586A"/>
    <w:rsid w:val="008D596D"/>
    <w:rsid w:val="008D5A52"/>
    <w:rsid w:val="008D5AC1"/>
    <w:rsid w:val="008D5B79"/>
    <w:rsid w:val="008D5BEB"/>
    <w:rsid w:val="008D5E05"/>
    <w:rsid w:val="008D5E6F"/>
    <w:rsid w:val="008D5F62"/>
    <w:rsid w:val="008D6293"/>
    <w:rsid w:val="008D63B0"/>
    <w:rsid w:val="008D64FC"/>
    <w:rsid w:val="008D6576"/>
    <w:rsid w:val="008D6705"/>
    <w:rsid w:val="008D68DA"/>
    <w:rsid w:val="008D6953"/>
    <w:rsid w:val="008D695B"/>
    <w:rsid w:val="008D6991"/>
    <w:rsid w:val="008D69E3"/>
    <w:rsid w:val="008D6CA9"/>
    <w:rsid w:val="008D6D78"/>
    <w:rsid w:val="008D6DA2"/>
    <w:rsid w:val="008D70F9"/>
    <w:rsid w:val="008D7183"/>
    <w:rsid w:val="008D73AB"/>
    <w:rsid w:val="008D741D"/>
    <w:rsid w:val="008D74C1"/>
    <w:rsid w:val="008D7561"/>
    <w:rsid w:val="008D7A15"/>
    <w:rsid w:val="008D7A1B"/>
    <w:rsid w:val="008D7D3D"/>
    <w:rsid w:val="008E009B"/>
    <w:rsid w:val="008E00F0"/>
    <w:rsid w:val="008E0124"/>
    <w:rsid w:val="008E0153"/>
    <w:rsid w:val="008E0210"/>
    <w:rsid w:val="008E03CB"/>
    <w:rsid w:val="008E063B"/>
    <w:rsid w:val="008E09B7"/>
    <w:rsid w:val="008E0A32"/>
    <w:rsid w:val="008E0A87"/>
    <w:rsid w:val="008E0B12"/>
    <w:rsid w:val="008E0BCE"/>
    <w:rsid w:val="008E0CD6"/>
    <w:rsid w:val="008E1082"/>
    <w:rsid w:val="008E1102"/>
    <w:rsid w:val="008E1212"/>
    <w:rsid w:val="008E1613"/>
    <w:rsid w:val="008E18F3"/>
    <w:rsid w:val="008E1A0E"/>
    <w:rsid w:val="008E1AC8"/>
    <w:rsid w:val="008E1AEB"/>
    <w:rsid w:val="008E1AF9"/>
    <w:rsid w:val="008E1BD6"/>
    <w:rsid w:val="008E1D65"/>
    <w:rsid w:val="008E1F7E"/>
    <w:rsid w:val="008E200C"/>
    <w:rsid w:val="008E22B6"/>
    <w:rsid w:val="008E2561"/>
    <w:rsid w:val="008E2A51"/>
    <w:rsid w:val="008E2ACE"/>
    <w:rsid w:val="008E2AE0"/>
    <w:rsid w:val="008E2B44"/>
    <w:rsid w:val="008E2BF1"/>
    <w:rsid w:val="008E2CB2"/>
    <w:rsid w:val="008E2CCC"/>
    <w:rsid w:val="008E2F6D"/>
    <w:rsid w:val="008E3389"/>
    <w:rsid w:val="008E341C"/>
    <w:rsid w:val="008E3529"/>
    <w:rsid w:val="008E3591"/>
    <w:rsid w:val="008E3607"/>
    <w:rsid w:val="008E3808"/>
    <w:rsid w:val="008E392E"/>
    <w:rsid w:val="008E3963"/>
    <w:rsid w:val="008E397E"/>
    <w:rsid w:val="008E3AA7"/>
    <w:rsid w:val="008E3B87"/>
    <w:rsid w:val="008E3C1F"/>
    <w:rsid w:val="008E3C80"/>
    <w:rsid w:val="008E3F4D"/>
    <w:rsid w:val="008E4043"/>
    <w:rsid w:val="008E4187"/>
    <w:rsid w:val="008E43B3"/>
    <w:rsid w:val="008E4556"/>
    <w:rsid w:val="008E4701"/>
    <w:rsid w:val="008E480A"/>
    <w:rsid w:val="008E4E5A"/>
    <w:rsid w:val="008E4FC7"/>
    <w:rsid w:val="008E508A"/>
    <w:rsid w:val="008E514F"/>
    <w:rsid w:val="008E52CA"/>
    <w:rsid w:val="008E53A3"/>
    <w:rsid w:val="008E53A4"/>
    <w:rsid w:val="008E53AF"/>
    <w:rsid w:val="008E5915"/>
    <w:rsid w:val="008E5E18"/>
    <w:rsid w:val="008E5E3F"/>
    <w:rsid w:val="008E5FC4"/>
    <w:rsid w:val="008E6115"/>
    <w:rsid w:val="008E625E"/>
    <w:rsid w:val="008E6853"/>
    <w:rsid w:val="008E6936"/>
    <w:rsid w:val="008E6B00"/>
    <w:rsid w:val="008E6B12"/>
    <w:rsid w:val="008E705C"/>
    <w:rsid w:val="008E72F1"/>
    <w:rsid w:val="008E73C9"/>
    <w:rsid w:val="008E770D"/>
    <w:rsid w:val="008E7711"/>
    <w:rsid w:val="008E776D"/>
    <w:rsid w:val="008E77A9"/>
    <w:rsid w:val="008E7890"/>
    <w:rsid w:val="008E78A8"/>
    <w:rsid w:val="008E7953"/>
    <w:rsid w:val="008E79D5"/>
    <w:rsid w:val="008E7AC3"/>
    <w:rsid w:val="008E7B2B"/>
    <w:rsid w:val="008E7C94"/>
    <w:rsid w:val="008E7F6F"/>
    <w:rsid w:val="008F00C0"/>
    <w:rsid w:val="008F016D"/>
    <w:rsid w:val="008F0180"/>
    <w:rsid w:val="008F03DC"/>
    <w:rsid w:val="008F08E4"/>
    <w:rsid w:val="008F09C7"/>
    <w:rsid w:val="008F0B4C"/>
    <w:rsid w:val="008F0CC4"/>
    <w:rsid w:val="008F0D0C"/>
    <w:rsid w:val="008F12FA"/>
    <w:rsid w:val="008F1433"/>
    <w:rsid w:val="008F1595"/>
    <w:rsid w:val="008F16C9"/>
    <w:rsid w:val="008F1820"/>
    <w:rsid w:val="008F18DE"/>
    <w:rsid w:val="008F1C4E"/>
    <w:rsid w:val="008F1D1E"/>
    <w:rsid w:val="008F223F"/>
    <w:rsid w:val="008F22A0"/>
    <w:rsid w:val="008F2553"/>
    <w:rsid w:val="008F2715"/>
    <w:rsid w:val="008F2851"/>
    <w:rsid w:val="008F28B8"/>
    <w:rsid w:val="008F28F9"/>
    <w:rsid w:val="008F2929"/>
    <w:rsid w:val="008F2B1F"/>
    <w:rsid w:val="008F2CCB"/>
    <w:rsid w:val="008F2D52"/>
    <w:rsid w:val="008F2EBF"/>
    <w:rsid w:val="008F303B"/>
    <w:rsid w:val="008F31D3"/>
    <w:rsid w:val="008F341E"/>
    <w:rsid w:val="008F35B3"/>
    <w:rsid w:val="008F38A6"/>
    <w:rsid w:val="008F3947"/>
    <w:rsid w:val="008F3B27"/>
    <w:rsid w:val="008F3BC3"/>
    <w:rsid w:val="008F3C10"/>
    <w:rsid w:val="008F4007"/>
    <w:rsid w:val="008F4078"/>
    <w:rsid w:val="008F4149"/>
    <w:rsid w:val="008F4273"/>
    <w:rsid w:val="008F4731"/>
    <w:rsid w:val="008F4855"/>
    <w:rsid w:val="008F48B4"/>
    <w:rsid w:val="008F4BD3"/>
    <w:rsid w:val="008F4E95"/>
    <w:rsid w:val="008F4EC3"/>
    <w:rsid w:val="008F4F53"/>
    <w:rsid w:val="008F50DA"/>
    <w:rsid w:val="008F513E"/>
    <w:rsid w:val="008F538C"/>
    <w:rsid w:val="008F5427"/>
    <w:rsid w:val="008F56C0"/>
    <w:rsid w:val="008F59ED"/>
    <w:rsid w:val="008F5AC9"/>
    <w:rsid w:val="008F5CE7"/>
    <w:rsid w:val="008F5D1F"/>
    <w:rsid w:val="008F5DCD"/>
    <w:rsid w:val="008F5E79"/>
    <w:rsid w:val="008F612D"/>
    <w:rsid w:val="008F63E8"/>
    <w:rsid w:val="008F6596"/>
    <w:rsid w:val="008F65F8"/>
    <w:rsid w:val="008F684B"/>
    <w:rsid w:val="008F6C79"/>
    <w:rsid w:val="008F6D25"/>
    <w:rsid w:val="008F70C2"/>
    <w:rsid w:val="008F7158"/>
    <w:rsid w:val="008F723C"/>
    <w:rsid w:val="008F75A1"/>
    <w:rsid w:val="008F768A"/>
    <w:rsid w:val="008F76DD"/>
    <w:rsid w:val="008F7898"/>
    <w:rsid w:val="008F78D8"/>
    <w:rsid w:val="008F79DB"/>
    <w:rsid w:val="008F7A9D"/>
    <w:rsid w:val="008F7BAB"/>
    <w:rsid w:val="008F7BDA"/>
    <w:rsid w:val="008F7C19"/>
    <w:rsid w:val="008F7C63"/>
    <w:rsid w:val="008F7CB7"/>
    <w:rsid w:val="0090009C"/>
    <w:rsid w:val="009000CB"/>
    <w:rsid w:val="009000D8"/>
    <w:rsid w:val="009001A8"/>
    <w:rsid w:val="00900244"/>
    <w:rsid w:val="0090024F"/>
    <w:rsid w:val="009003D1"/>
    <w:rsid w:val="0090041A"/>
    <w:rsid w:val="009004D6"/>
    <w:rsid w:val="009004E5"/>
    <w:rsid w:val="00900596"/>
    <w:rsid w:val="00900684"/>
    <w:rsid w:val="009006F4"/>
    <w:rsid w:val="0090098F"/>
    <w:rsid w:val="00900B2C"/>
    <w:rsid w:val="00900BDB"/>
    <w:rsid w:val="00900CBB"/>
    <w:rsid w:val="00900D74"/>
    <w:rsid w:val="00900DFF"/>
    <w:rsid w:val="00900E29"/>
    <w:rsid w:val="00901137"/>
    <w:rsid w:val="009011C4"/>
    <w:rsid w:val="0090121F"/>
    <w:rsid w:val="00901787"/>
    <w:rsid w:val="009017A2"/>
    <w:rsid w:val="009018B1"/>
    <w:rsid w:val="009019B3"/>
    <w:rsid w:val="00901F57"/>
    <w:rsid w:val="009021A5"/>
    <w:rsid w:val="0090269B"/>
    <w:rsid w:val="0090286E"/>
    <w:rsid w:val="00902B5D"/>
    <w:rsid w:val="00902C8C"/>
    <w:rsid w:val="00902D78"/>
    <w:rsid w:val="00902E68"/>
    <w:rsid w:val="00902F16"/>
    <w:rsid w:val="00902F2C"/>
    <w:rsid w:val="00902FB2"/>
    <w:rsid w:val="00903004"/>
    <w:rsid w:val="00903060"/>
    <w:rsid w:val="00903371"/>
    <w:rsid w:val="009035B6"/>
    <w:rsid w:val="00903854"/>
    <w:rsid w:val="0090396A"/>
    <w:rsid w:val="00903B63"/>
    <w:rsid w:val="00903D96"/>
    <w:rsid w:val="00904132"/>
    <w:rsid w:val="0090423B"/>
    <w:rsid w:val="009043A5"/>
    <w:rsid w:val="00904443"/>
    <w:rsid w:val="009045A3"/>
    <w:rsid w:val="00904928"/>
    <w:rsid w:val="00904A67"/>
    <w:rsid w:val="00904AC8"/>
    <w:rsid w:val="00904B5B"/>
    <w:rsid w:val="00904C08"/>
    <w:rsid w:val="00904E7A"/>
    <w:rsid w:val="00904FEB"/>
    <w:rsid w:val="0090505F"/>
    <w:rsid w:val="009054BD"/>
    <w:rsid w:val="00905648"/>
    <w:rsid w:val="00905A9E"/>
    <w:rsid w:val="00905C78"/>
    <w:rsid w:val="00905E5D"/>
    <w:rsid w:val="00905FB1"/>
    <w:rsid w:val="00906086"/>
    <w:rsid w:val="009060B5"/>
    <w:rsid w:val="009060BF"/>
    <w:rsid w:val="0090617C"/>
    <w:rsid w:val="0090630A"/>
    <w:rsid w:val="009063A7"/>
    <w:rsid w:val="0090642B"/>
    <w:rsid w:val="009064B9"/>
    <w:rsid w:val="009064E9"/>
    <w:rsid w:val="00906707"/>
    <w:rsid w:val="00906A59"/>
    <w:rsid w:val="00906B03"/>
    <w:rsid w:val="00906C22"/>
    <w:rsid w:val="00906D45"/>
    <w:rsid w:val="0090708B"/>
    <w:rsid w:val="009073D1"/>
    <w:rsid w:val="0090746B"/>
    <w:rsid w:val="009074AA"/>
    <w:rsid w:val="009074B8"/>
    <w:rsid w:val="00907737"/>
    <w:rsid w:val="00907A72"/>
    <w:rsid w:val="00907BA2"/>
    <w:rsid w:val="00907CB7"/>
    <w:rsid w:val="00910003"/>
    <w:rsid w:val="009101C8"/>
    <w:rsid w:val="0091020C"/>
    <w:rsid w:val="009102F6"/>
    <w:rsid w:val="00910446"/>
    <w:rsid w:val="009104EB"/>
    <w:rsid w:val="009105BA"/>
    <w:rsid w:val="00910623"/>
    <w:rsid w:val="00910A8F"/>
    <w:rsid w:val="00910F80"/>
    <w:rsid w:val="00911078"/>
    <w:rsid w:val="009110EA"/>
    <w:rsid w:val="0091125E"/>
    <w:rsid w:val="009112BB"/>
    <w:rsid w:val="00911354"/>
    <w:rsid w:val="0091166A"/>
    <w:rsid w:val="009116F3"/>
    <w:rsid w:val="00911759"/>
    <w:rsid w:val="00911B8C"/>
    <w:rsid w:val="00912005"/>
    <w:rsid w:val="009120C2"/>
    <w:rsid w:val="00912184"/>
    <w:rsid w:val="00912206"/>
    <w:rsid w:val="00912311"/>
    <w:rsid w:val="00912387"/>
    <w:rsid w:val="009123FF"/>
    <w:rsid w:val="0091249F"/>
    <w:rsid w:val="0091258E"/>
    <w:rsid w:val="00912658"/>
    <w:rsid w:val="00912690"/>
    <w:rsid w:val="009127FC"/>
    <w:rsid w:val="0091287A"/>
    <w:rsid w:val="00912995"/>
    <w:rsid w:val="00912A9F"/>
    <w:rsid w:val="00912AA0"/>
    <w:rsid w:val="00912ADA"/>
    <w:rsid w:val="00912BAC"/>
    <w:rsid w:val="0091302D"/>
    <w:rsid w:val="009130E0"/>
    <w:rsid w:val="009130E9"/>
    <w:rsid w:val="00913154"/>
    <w:rsid w:val="00913446"/>
    <w:rsid w:val="00913502"/>
    <w:rsid w:val="00913617"/>
    <w:rsid w:val="009136E3"/>
    <w:rsid w:val="00913A3B"/>
    <w:rsid w:val="00913C4D"/>
    <w:rsid w:val="00913C76"/>
    <w:rsid w:val="00913CC4"/>
    <w:rsid w:val="00913E37"/>
    <w:rsid w:val="00913EC3"/>
    <w:rsid w:val="00913FEC"/>
    <w:rsid w:val="009140A1"/>
    <w:rsid w:val="00914486"/>
    <w:rsid w:val="0091456F"/>
    <w:rsid w:val="009147B7"/>
    <w:rsid w:val="009147C2"/>
    <w:rsid w:val="009148FE"/>
    <w:rsid w:val="00914A13"/>
    <w:rsid w:val="00914AAC"/>
    <w:rsid w:val="00914AD3"/>
    <w:rsid w:val="00914AD5"/>
    <w:rsid w:val="00914B0B"/>
    <w:rsid w:val="00914B71"/>
    <w:rsid w:val="00914BAB"/>
    <w:rsid w:val="00914CD1"/>
    <w:rsid w:val="00914D57"/>
    <w:rsid w:val="009151C0"/>
    <w:rsid w:val="00915560"/>
    <w:rsid w:val="0091567B"/>
    <w:rsid w:val="00915812"/>
    <w:rsid w:val="0091585A"/>
    <w:rsid w:val="00915B76"/>
    <w:rsid w:val="009161B1"/>
    <w:rsid w:val="009161E7"/>
    <w:rsid w:val="00916419"/>
    <w:rsid w:val="009164F6"/>
    <w:rsid w:val="00916592"/>
    <w:rsid w:val="009165F7"/>
    <w:rsid w:val="00916687"/>
    <w:rsid w:val="009169BB"/>
    <w:rsid w:val="00916ACA"/>
    <w:rsid w:val="00916B4B"/>
    <w:rsid w:val="00916BED"/>
    <w:rsid w:val="00916DFA"/>
    <w:rsid w:val="00916EF3"/>
    <w:rsid w:val="009170CB"/>
    <w:rsid w:val="009171B7"/>
    <w:rsid w:val="009171C1"/>
    <w:rsid w:val="00917303"/>
    <w:rsid w:val="0091736C"/>
    <w:rsid w:val="00917386"/>
    <w:rsid w:val="0091748D"/>
    <w:rsid w:val="009174F9"/>
    <w:rsid w:val="009175BC"/>
    <w:rsid w:val="00917749"/>
    <w:rsid w:val="00917A13"/>
    <w:rsid w:val="00917B7E"/>
    <w:rsid w:val="00917C5F"/>
    <w:rsid w:val="009200D7"/>
    <w:rsid w:val="00920352"/>
    <w:rsid w:val="009206E2"/>
    <w:rsid w:val="00920C4D"/>
    <w:rsid w:val="00920D18"/>
    <w:rsid w:val="00920D80"/>
    <w:rsid w:val="00920FE9"/>
    <w:rsid w:val="00920FF8"/>
    <w:rsid w:val="00921046"/>
    <w:rsid w:val="00921077"/>
    <w:rsid w:val="00921245"/>
    <w:rsid w:val="00921413"/>
    <w:rsid w:val="0092183E"/>
    <w:rsid w:val="00921960"/>
    <w:rsid w:val="00921B91"/>
    <w:rsid w:val="00921C3B"/>
    <w:rsid w:val="00921C3C"/>
    <w:rsid w:val="00921C8D"/>
    <w:rsid w:val="00921CA6"/>
    <w:rsid w:val="00922157"/>
    <w:rsid w:val="0092226E"/>
    <w:rsid w:val="009223DA"/>
    <w:rsid w:val="0092254A"/>
    <w:rsid w:val="009225C9"/>
    <w:rsid w:val="009225D5"/>
    <w:rsid w:val="0092275C"/>
    <w:rsid w:val="00922A01"/>
    <w:rsid w:val="00922A19"/>
    <w:rsid w:val="00922AFF"/>
    <w:rsid w:val="00922C23"/>
    <w:rsid w:val="00922C75"/>
    <w:rsid w:val="00922CB1"/>
    <w:rsid w:val="00922CCE"/>
    <w:rsid w:val="00922CDE"/>
    <w:rsid w:val="00922FBD"/>
    <w:rsid w:val="00923138"/>
    <w:rsid w:val="009231C5"/>
    <w:rsid w:val="009232BA"/>
    <w:rsid w:val="00923559"/>
    <w:rsid w:val="0092355E"/>
    <w:rsid w:val="0092377F"/>
    <w:rsid w:val="00923940"/>
    <w:rsid w:val="00923954"/>
    <w:rsid w:val="00923A1D"/>
    <w:rsid w:val="00923A4C"/>
    <w:rsid w:val="00923A53"/>
    <w:rsid w:val="00923AE0"/>
    <w:rsid w:val="00923AE1"/>
    <w:rsid w:val="00923DAA"/>
    <w:rsid w:val="00923EA8"/>
    <w:rsid w:val="009242F5"/>
    <w:rsid w:val="00924386"/>
    <w:rsid w:val="009243FA"/>
    <w:rsid w:val="009245EC"/>
    <w:rsid w:val="009246EC"/>
    <w:rsid w:val="00924815"/>
    <w:rsid w:val="00924FB9"/>
    <w:rsid w:val="00925213"/>
    <w:rsid w:val="0092541D"/>
    <w:rsid w:val="009254C4"/>
    <w:rsid w:val="009255E4"/>
    <w:rsid w:val="0092576B"/>
    <w:rsid w:val="00925781"/>
    <w:rsid w:val="00925874"/>
    <w:rsid w:val="00925A1F"/>
    <w:rsid w:val="00925BA0"/>
    <w:rsid w:val="00925BC3"/>
    <w:rsid w:val="00925C22"/>
    <w:rsid w:val="00925F2C"/>
    <w:rsid w:val="00926427"/>
    <w:rsid w:val="0092655D"/>
    <w:rsid w:val="009265A6"/>
    <w:rsid w:val="009265FA"/>
    <w:rsid w:val="00926687"/>
    <w:rsid w:val="009266FB"/>
    <w:rsid w:val="0092674F"/>
    <w:rsid w:val="009267D9"/>
    <w:rsid w:val="00926997"/>
    <w:rsid w:val="00926A64"/>
    <w:rsid w:val="00926BB3"/>
    <w:rsid w:val="00926E39"/>
    <w:rsid w:val="00926F35"/>
    <w:rsid w:val="00927050"/>
    <w:rsid w:val="009271A3"/>
    <w:rsid w:val="0092765E"/>
    <w:rsid w:val="00927744"/>
    <w:rsid w:val="0092778D"/>
    <w:rsid w:val="00927879"/>
    <w:rsid w:val="009278E0"/>
    <w:rsid w:val="00927A4A"/>
    <w:rsid w:val="00927B4E"/>
    <w:rsid w:val="00927BB4"/>
    <w:rsid w:val="00927C78"/>
    <w:rsid w:val="00927C90"/>
    <w:rsid w:val="00927D0B"/>
    <w:rsid w:val="0093000D"/>
    <w:rsid w:val="00930065"/>
    <w:rsid w:val="009304D2"/>
    <w:rsid w:val="009304F9"/>
    <w:rsid w:val="00930564"/>
    <w:rsid w:val="009306A8"/>
    <w:rsid w:val="009307FA"/>
    <w:rsid w:val="0093088F"/>
    <w:rsid w:val="00930A23"/>
    <w:rsid w:val="00930B21"/>
    <w:rsid w:val="00930B64"/>
    <w:rsid w:val="00930BBB"/>
    <w:rsid w:val="00930D3E"/>
    <w:rsid w:val="00930DEF"/>
    <w:rsid w:val="00931049"/>
    <w:rsid w:val="0093111C"/>
    <w:rsid w:val="0093112C"/>
    <w:rsid w:val="009318D9"/>
    <w:rsid w:val="009318FB"/>
    <w:rsid w:val="00931996"/>
    <w:rsid w:val="009319D8"/>
    <w:rsid w:val="00931A8B"/>
    <w:rsid w:val="00931C76"/>
    <w:rsid w:val="00931CA6"/>
    <w:rsid w:val="00931F16"/>
    <w:rsid w:val="0093211D"/>
    <w:rsid w:val="00932346"/>
    <w:rsid w:val="00932412"/>
    <w:rsid w:val="00932510"/>
    <w:rsid w:val="00932684"/>
    <w:rsid w:val="00932689"/>
    <w:rsid w:val="0093289C"/>
    <w:rsid w:val="00932960"/>
    <w:rsid w:val="00932BAD"/>
    <w:rsid w:val="00932CFE"/>
    <w:rsid w:val="00932E2C"/>
    <w:rsid w:val="00932EBA"/>
    <w:rsid w:val="00932F0A"/>
    <w:rsid w:val="0093312C"/>
    <w:rsid w:val="00933354"/>
    <w:rsid w:val="009333E0"/>
    <w:rsid w:val="0093347F"/>
    <w:rsid w:val="009334B7"/>
    <w:rsid w:val="00933561"/>
    <w:rsid w:val="009335CD"/>
    <w:rsid w:val="009337F7"/>
    <w:rsid w:val="00933A72"/>
    <w:rsid w:val="00933D91"/>
    <w:rsid w:val="00933D9B"/>
    <w:rsid w:val="009341E7"/>
    <w:rsid w:val="009342F9"/>
    <w:rsid w:val="009343F0"/>
    <w:rsid w:val="009344EF"/>
    <w:rsid w:val="0093467E"/>
    <w:rsid w:val="009347E0"/>
    <w:rsid w:val="009349B4"/>
    <w:rsid w:val="00934CA8"/>
    <w:rsid w:val="00934DA1"/>
    <w:rsid w:val="00934E62"/>
    <w:rsid w:val="00934F3A"/>
    <w:rsid w:val="00934FF2"/>
    <w:rsid w:val="00935266"/>
    <w:rsid w:val="0093546E"/>
    <w:rsid w:val="00935597"/>
    <w:rsid w:val="009356C9"/>
    <w:rsid w:val="00935766"/>
    <w:rsid w:val="00935876"/>
    <w:rsid w:val="00935977"/>
    <w:rsid w:val="00935BA6"/>
    <w:rsid w:val="00935C93"/>
    <w:rsid w:val="00935FE5"/>
    <w:rsid w:val="009360B5"/>
    <w:rsid w:val="0093649B"/>
    <w:rsid w:val="00936515"/>
    <w:rsid w:val="009365C7"/>
    <w:rsid w:val="00936689"/>
    <w:rsid w:val="00936815"/>
    <w:rsid w:val="0093693F"/>
    <w:rsid w:val="009369E3"/>
    <w:rsid w:val="00936ADE"/>
    <w:rsid w:val="00936B3A"/>
    <w:rsid w:val="00936CBD"/>
    <w:rsid w:val="00936D05"/>
    <w:rsid w:val="00936D8E"/>
    <w:rsid w:val="00936E15"/>
    <w:rsid w:val="00937437"/>
    <w:rsid w:val="009374CA"/>
    <w:rsid w:val="00937502"/>
    <w:rsid w:val="0093755D"/>
    <w:rsid w:val="0093757B"/>
    <w:rsid w:val="009378D1"/>
    <w:rsid w:val="009378D3"/>
    <w:rsid w:val="009378FC"/>
    <w:rsid w:val="00937BA6"/>
    <w:rsid w:val="00937CF9"/>
    <w:rsid w:val="00937D20"/>
    <w:rsid w:val="00940224"/>
    <w:rsid w:val="009404DA"/>
    <w:rsid w:val="009404F2"/>
    <w:rsid w:val="009408EC"/>
    <w:rsid w:val="00940B78"/>
    <w:rsid w:val="00940BD9"/>
    <w:rsid w:val="00940C43"/>
    <w:rsid w:val="00940CD0"/>
    <w:rsid w:val="00940D77"/>
    <w:rsid w:val="00940DBA"/>
    <w:rsid w:val="0094109A"/>
    <w:rsid w:val="009410A0"/>
    <w:rsid w:val="00941308"/>
    <w:rsid w:val="00941320"/>
    <w:rsid w:val="00941343"/>
    <w:rsid w:val="0094158C"/>
    <w:rsid w:val="00941A07"/>
    <w:rsid w:val="00941AA1"/>
    <w:rsid w:val="00941AB3"/>
    <w:rsid w:val="00941C61"/>
    <w:rsid w:val="00941CF5"/>
    <w:rsid w:val="00941D82"/>
    <w:rsid w:val="00941DF8"/>
    <w:rsid w:val="00941EFF"/>
    <w:rsid w:val="00941F62"/>
    <w:rsid w:val="00941FCD"/>
    <w:rsid w:val="009423F0"/>
    <w:rsid w:val="0094268F"/>
    <w:rsid w:val="009427F0"/>
    <w:rsid w:val="0094283F"/>
    <w:rsid w:val="0094297D"/>
    <w:rsid w:val="00942995"/>
    <w:rsid w:val="00942BB7"/>
    <w:rsid w:val="00942EBA"/>
    <w:rsid w:val="00943114"/>
    <w:rsid w:val="00943249"/>
    <w:rsid w:val="009435EA"/>
    <w:rsid w:val="00943747"/>
    <w:rsid w:val="00943754"/>
    <w:rsid w:val="00943988"/>
    <w:rsid w:val="00943DA5"/>
    <w:rsid w:val="00943E7D"/>
    <w:rsid w:val="00943FA1"/>
    <w:rsid w:val="00944032"/>
    <w:rsid w:val="0094435A"/>
    <w:rsid w:val="009444AD"/>
    <w:rsid w:val="0094474F"/>
    <w:rsid w:val="00944911"/>
    <w:rsid w:val="00944936"/>
    <w:rsid w:val="00944FAD"/>
    <w:rsid w:val="00945049"/>
    <w:rsid w:val="00945068"/>
    <w:rsid w:val="009450FA"/>
    <w:rsid w:val="009453B9"/>
    <w:rsid w:val="009454FA"/>
    <w:rsid w:val="00945B13"/>
    <w:rsid w:val="00945CD2"/>
    <w:rsid w:val="00945E83"/>
    <w:rsid w:val="00945EF1"/>
    <w:rsid w:val="00945FB1"/>
    <w:rsid w:val="00945FCA"/>
    <w:rsid w:val="00946035"/>
    <w:rsid w:val="0094613B"/>
    <w:rsid w:val="00946242"/>
    <w:rsid w:val="0094642E"/>
    <w:rsid w:val="0094657C"/>
    <w:rsid w:val="009465AE"/>
    <w:rsid w:val="00946623"/>
    <w:rsid w:val="00946793"/>
    <w:rsid w:val="009467EC"/>
    <w:rsid w:val="0094698D"/>
    <w:rsid w:val="00946AA0"/>
    <w:rsid w:val="00946B0A"/>
    <w:rsid w:val="00946B49"/>
    <w:rsid w:val="00946BE5"/>
    <w:rsid w:val="00946DA2"/>
    <w:rsid w:val="00946F51"/>
    <w:rsid w:val="00946F7A"/>
    <w:rsid w:val="009472D3"/>
    <w:rsid w:val="0094772E"/>
    <w:rsid w:val="00947963"/>
    <w:rsid w:val="00947B32"/>
    <w:rsid w:val="00947CF6"/>
    <w:rsid w:val="00947D16"/>
    <w:rsid w:val="009501EB"/>
    <w:rsid w:val="00950549"/>
    <w:rsid w:val="009505E3"/>
    <w:rsid w:val="009505FE"/>
    <w:rsid w:val="00950821"/>
    <w:rsid w:val="0095094C"/>
    <w:rsid w:val="00950976"/>
    <w:rsid w:val="00950A7C"/>
    <w:rsid w:val="00950BF0"/>
    <w:rsid w:val="00950D80"/>
    <w:rsid w:val="00950D9D"/>
    <w:rsid w:val="00950DC6"/>
    <w:rsid w:val="00950E19"/>
    <w:rsid w:val="00951194"/>
    <w:rsid w:val="009512D9"/>
    <w:rsid w:val="00951313"/>
    <w:rsid w:val="0095132A"/>
    <w:rsid w:val="00951632"/>
    <w:rsid w:val="009516DE"/>
    <w:rsid w:val="0095176A"/>
    <w:rsid w:val="0095193E"/>
    <w:rsid w:val="0095194A"/>
    <w:rsid w:val="00951AD8"/>
    <w:rsid w:val="00951EA6"/>
    <w:rsid w:val="00951ECB"/>
    <w:rsid w:val="0095203C"/>
    <w:rsid w:val="009520F5"/>
    <w:rsid w:val="009520FE"/>
    <w:rsid w:val="0095219B"/>
    <w:rsid w:val="009521C0"/>
    <w:rsid w:val="00952457"/>
    <w:rsid w:val="00952720"/>
    <w:rsid w:val="0095287E"/>
    <w:rsid w:val="00952A97"/>
    <w:rsid w:val="00952BCF"/>
    <w:rsid w:val="00952C50"/>
    <w:rsid w:val="00952CF1"/>
    <w:rsid w:val="00952DAF"/>
    <w:rsid w:val="00952ED7"/>
    <w:rsid w:val="00952F29"/>
    <w:rsid w:val="0095350A"/>
    <w:rsid w:val="00953697"/>
    <w:rsid w:val="009537C5"/>
    <w:rsid w:val="00953824"/>
    <w:rsid w:val="00953A66"/>
    <w:rsid w:val="00953AE6"/>
    <w:rsid w:val="00953CCA"/>
    <w:rsid w:val="0095456F"/>
    <w:rsid w:val="009546D5"/>
    <w:rsid w:val="00954740"/>
    <w:rsid w:val="0095482B"/>
    <w:rsid w:val="00954B54"/>
    <w:rsid w:val="00954D9F"/>
    <w:rsid w:val="00954E02"/>
    <w:rsid w:val="00954E0A"/>
    <w:rsid w:val="0095519F"/>
    <w:rsid w:val="0095533C"/>
    <w:rsid w:val="00955365"/>
    <w:rsid w:val="00955603"/>
    <w:rsid w:val="009558F9"/>
    <w:rsid w:val="00955945"/>
    <w:rsid w:val="00955E27"/>
    <w:rsid w:val="009560EB"/>
    <w:rsid w:val="00956456"/>
    <w:rsid w:val="009566B8"/>
    <w:rsid w:val="009567C0"/>
    <w:rsid w:val="00956807"/>
    <w:rsid w:val="0095688C"/>
    <w:rsid w:val="0095696C"/>
    <w:rsid w:val="009569DD"/>
    <w:rsid w:val="00956B10"/>
    <w:rsid w:val="00956B1D"/>
    <w:rsid w:val="00956C13"/>
    <w:rsid w:val="00956D2D"/>
    <w:rsid w:val="00956F0C"/>
    <w:rsid w:val="0095710A"/>
    <w:rsid w:val="00957222"/>
    <w:rsid w:val="00957278"/>
    <w:rsid w:val="00957330"/>
    <w:rsid w:val="0095743F"/>
    <w:rsid w:val="009575E4"/>
    <w:rsid w:val="00957653"/>
    <w:rsid w:val="009576EB"/>
    <w:rsid w:val="00957707"/>
    <w:rsid w:val="00957802"/>
    <w:rsid w:val="009578EE"/>
    <w:rsid w:val="00957A80"/>
    <w:rsid w:val="00957ACC"/>
    <w:rsid w:val="00957D1C"/>
    <w:rsid w:val="00957D3A"/>
    <w:rsid w:val="00957D3F"/>
    <w:rsid w:val="00960185"/>
    <w:rsid w:val="0096023A"/>
    <w:rsid w:val="009604A8"/>
    <w:rsid w:val="00960626"/>
    <w:rsid w:val="00960722"/>
    <w:rsid w:val="00960814"/>
    <w:rsid w:val="0096087E"/>
    <w:rsid w:val="00960951"/>
    <w:rsid w:val="00960BC6"/>
    <w:rsid w:val="00960C37"/>
    <w:rsid w:val="00960E79"/>
    <w:rsid w:val="0096102B"/>
    <w:rsid w:val="009614A1"/>
    <w:rsid w:val="00961511"/>
    <w:rsid w:val="009615FD"/>
    <w:rsid w:val="00961A0C"/>
    <w:rsid w:val="00961BC5"/>
    <w:rsid w:val="00961C52"/>
    <w:rsid w:val="00961FBE"/>
    <w:rsid w:val="00961FD1"/>
    <w:rsid w:val="009620A4"/>
    <w:rsid w:val="009620B8"/>
    <w:rsid w:val="0096220C"/>
    <w:rsid w:val="00962220"/>
    <w:rsid w:val="00962365"/>
    <w:rsid w:val="0096264D"/>
    <w:rsid w:val="009626F4"/>
    <w:rsid w:val="0096273E"/>
    <w:rsid w:val="00962781"/>
    <w:rsid w:val="00962836"/>
    <w:rsid w:val="009628D8"/>
    <w:rsid w:val="00962B1E"/>
    <w:rsid w:val="00962B33"/>
    <w:rsid w:val="00962BA2"/>
    <w:rsid w:val="00962BBA"/>
    <w:rsid w:val="00962DBB"/>
    <w:rsid w:val="00962E6C"/>
    <w:rsid w:val="00963136"/>
    <w:rsid w:val="0096319D"/>
    <w:rsid w:val="00963267"/>
    <w:rsid w:val="00963363"/>
    <w:rsid w:val="00963383"/>
    <w:rsid w:val="00963767"/>
    <w:rsid w:val="009638D6"/>
    <w:rsid w:val="00963A04"/>
    <w:rsid w:val="00963C3F"/>
    <w:rsid w:val="00963EF9"/>
    <w:rsid w:val="00963FF4"/>
    <w:rsid w:val="0096414A"/>
    <w:rsid w:val="00964256"/>
    <w:rsid w:val="009642C9"/>
    <w:rsid w:val="0096435C"/>
    <w:rsid w:val="009643B2"/>
    <w:rsid w:val="00964448"/>
    <w:rsid w:val="00964663"/>
    <w:rsid w:val="009647DC"/>
    <w:rsid w:val="009648C8"/>
    <w:rsid w:val="009648CA"/>
    <w:rsid w:val="00964A1E"/>
    <w:rsid w:val="00964E10"/>
    <w:rsid w:val="00965098"/>
    <w:rsid w:val="009654DC"/>
    <w:rsid w:val="00965509"/>
    <w:rsid w:val="009655B3"/>
    <w:rsid w:val="009655D2"/>
    <w:rsid w:val="00965609"/>
    <w:rsid w:val="0096571D"/>
    <w:rsid w:val="009659D3"/>
    <w:rsid w:val="00965B88"/>
    <w:rsid w:val="00965E17"/>
    <w:rsid w:val="00965E94"/>
    <w:rsid w:val="00965ECE"/>
    <w:rsid w:val="00965F31"/>
    <w:rsid w:val="00966161"/>
    <w:rsid w:val="009662EC"/>
    <w:rsid w:val="00966392"/>
    <w:rsid w:val="009666DA"/>
    <w:rsid w:val="009669FD"/>
    <w:rsid w:val="00966A96"/>
    <w:rsid w:val="00966B3C"/>
    <w:rsid w:val="00966BD4"/>
    <w:rsid w:val="00966D80"/>
    <w:rsid w:val="00966D94"/>
    <w:rsid w:val="00966ED9"/>
    <w:rsid w:val="00966F3F"/>
    <w:rsid w:val="00967263"/>
    <w:rsid w:val="009673C2"/>
    <w:rsid w:val="00967471"/>
    <w:rsid w:val="009674BE"/>
    <w:rsid w:val="009675D4"/>
    <w:rsid w:val="0096774F"/>
    <w:rsid w:val="009678FF"/>
    <w:rsid w:val="009679C8"/>
    <w:rsid w:val="009679DB"/>
    <w:rsid w:val="00967A06"/>
    <w:rsid w:val="00967B26"/>
    <w:rsid w:val="00967BA1"/>
    <w:rsid w:val="00967C1A"/>
    <w:rsid w:val="00967C35"/>
    <w:rsid w:val="00967CD5"/>
    <w:rsid w:val="00967D3B"/>
    <w:rsid w:val="00967E1C"/>
    <w:rsid w:val="00967FBC"/>
    <w:rsid w:val="00967FFB"/>
    <w:rsid w:val="009700DB"/>
    <w:rsid w:val="009700E0"/>
    <w:rsid w:val="0097018A"/>
    <w:rsid w:val="00970236"/>
    <w:rsid w:val="00970254"/>
    <w:rsid w:val="00970269"/>
    <w:rsid w:val="0097061D"/>
    <w:rsid w:val="00970630"/>
    <w:rsid w:val="0097065D"/>
    <w:rsid w:val="009709FE"/>
    <w:rsid w:val="00970BF4"/>
    <w:rsid w:val="00971313"/>
    <w:rsid w:val="00971349"/>
    <w:rsid w:val="0097149E"/>
    <w:rsid w:val="00971879"/>
    <w:rsid w:val="009719D9"/>
    <w:rsid w:val="00971CDB"/>
    <w:rsid w:val="00971DD8"/>
    <w:rsid w:val="009720AF"/>
    <w:rsid w:val="00972246"/>
    <w:rsid w:val="0097237B"/>
    <w:rsid w:val="009723BB"/>
    <w:rsid w:val="00972655"/>
    <w:rsid w:val="009728B9"/>
    <w:rsid w:val="00972D3D"/>
    <w:rsid w:val="00972FB1"/>
    <w:rsid w:val="00973111"/>
    <w:rsid w:val="00973287"/>
    <w:rsid w:val="009733AC"/>
    <w:rsid w:val="00973520"/>
    <w:rsid w:val="0097358D"/>
    <w:rsid w:val="009735A4"/>
    <w:rsid w:val="00973A31"/>
    <w:rsid w:val="00973A48"/>
    <w:rsid w:val="00973B6E"/>
    <w:rsid w:val="00973CAC"/>
    <w:rsid w:val="00973D32"/>
    <w:rsid w:val="00973D82"/>
    <w:rsid w:val="00973F1D"/>
    <w:rsid w:val="00974399"/>
    <w:rsid w:val="00974423"/>
    <w:rsid w:val="009746FA"/>
    <w:rsid w:val="00974830"/>
    <w:rsid w:val="00974956"/>
    <w:rsid w:val="00974A93"/>
    <w:rsid w:val="00974B29"/>
    <w:rsid w:val="00974C1D"/>
    <w:rsid w:val="00974CD6"/>
    <w:rsid w:val="00974CFA"/>
    <w:rsid w:val="00974D1B"/>
    <w:rsid w:val="00974DAF"/>
    <w:rsid w:val="00974DD5"/>
    <w:rsid w:val="00974EAD"/>
    <w:rsid w:val="00975292"/>
    <w:rsid w:val="00975513"/>
    <w:rsid w:val="0097561B"/>
    <w:rsid w:val="009756F2"/>
    <w:rsid w:val="009756F4"/>
    <w:rsid w:val="0097587F"/>
    <w:rsid w:val="00975D1A"/>
    <w:rsid w:val="00975EC8"/>
    <w:rsid w:val="00976029"/>
    <w:rsid w:val="00976058"/>
    <w:rsid w:val="0097618D"/>
    <w:rsid w:val="009764C0"/>
    <w:rsid w:val="009765B8"/>
    <w:rsid w:val="009765F5"/>
    <w:rsid w:val="0097677E"/>
    <w:rsid w:val="009769F4"/>
    <w:rsid w:val="00976A5E"/>
    <w:rsid w:val="00976AF0"/>
    <w:rsid w:val="00976AFE"/>
    <w:rsid w:val="00976EEE"/>
    <w:rsid w:val="00976F5A"/>
    <w:rsid w:val="00977816"/>
    <w:rsid w:val="009778FB"/>
    <w:rsid w:val="009779AF"/>
    <w:rsid w:val="00977AB0"/>
    <w:rsid w:val="00977BB3"/>
    <w:rsid w:val="00977CDC"/>
    <w:rsid w:val="009800A2"/>
    <w:rsid w:val="00980186"/>
    <w:rsid w:val="009802F2"/>
    <w:rsid w:val="009803AB"/>
    <w:rsid w:val="009805A0"/>
    <w:rsid w:val="009808A6"/>
    <w:rsid w:val="009808E3"/>
    <w:rsid w:val="00980A8A"/>
    <w:rsid w:val="00980AC3"/>
    <w:rsid w:val="00980B59"/>
    <w:rsid w:val="00980BBF"/>
    <w:rsid w:val="00980CFD"/>
    <w:rsid w:val="00980EE4"/>
    <w:rsid w:val="00981147"/>
    <w:rsid w:val="0098125B"/>
    <w:rsid w:val="0098133B"/>
    <w:rsid w:val="00981379"/>
    <w:rsid w:val="00981392"/>
    <w:rsid w:val="009814CA"/>
    <w:rsid w:val="00981617"/>
    <w:rsid w:val="00981841"/>
    <w:rsid w:val="009818B0"/>
    <w:rsid w:val="00981950"/>
    <w:rsid w:val="00981AB2"/>
    <w:rsid w:val="00981DA5"/>
    <w:rsid w:val="00981E74"/>
    <w:rsid w:val="00982146"/>
    <w:rsid w:val="00982161"/>
    <w:rsid w:val="009821E2"/>
    <w:rsid w:val="009822F8"/>
    <w:rsid w:val="0098232E"/>
    <w:rsid w:val="0098248D"/>
    <w:rsid w:val="00982566"/>
    <w:rsid w:val="009826D2"/>
    <w:rsid w:val="009826FC"/>
    <w:rsid w:val="00982837"/>
    <w:rsid w:val="00982EB9"/>
    <w:rsid w:val="00982F45"/>
    <w:rsid w:val="00982FFD"/>
    <w:rsid w:val="009830C8"/>
    <w:rsid w:val="009831C6"/>
    <w:rsid w:val="0098322E"/>
    <w:rsid w:val="009832B1"/>
    <w:rsid w:val="00983384"/>
    <w:rsid w:val="00983393"/>
    <w:rsid w:val="009833C5"/>
    <w:rsid w:val="00983540"/>
    <w:rsid w:val="009835F3"/>
    <w:rsid w:val="009837AC"/>
    <w:rsid w:val="00983969"/>
    <w:rsid w:val="00983B0A"/>
    <w:rsid w:val="00983B95"/>
    <w:rsid w:val="00983E30"/>
    <w:rsid w:val="00983E65"/>
    <w:rsid w:val="00983EC5"/>
    <w:rsid w:val="0098409B"/>
    <w:rsid w:val="009841AB"/>
    <w:rsid w:val="009842E2"/>
    <w:rsid w:val="00984381"/>
    <w:rsid w:val="009847B8"/>
    <w:rsid w:val="0098488D"/>
    <w:rsid w:val="009848EB"/>
    <w:rsid w:val="00984904"/>
    <w:rsid w:val="00984922"/>
    <w:rsid w:val="0098493C"/>
    <w:rsid w:val="00984947"/>
    <w:rsid w:val="00984964"/>
    <w:rsid w:val="00984CDB"/>
    <w:rsid w:val="00984E1D"/>
    <w:rsid w:val="00984EBB"/>
    <w:rsid w:val="00984EE2"/>
    <w:rsid w:val="00984F61"/>
    <w:rsid w:val="00984F8B"/>
    <w:rsid w:val="009850A3"/>
    <w:rsid w:val="00985458"/>
    <w:rsid w:val="0098555D"/>
    <w:rsid w:val="00985687"/>
    <w:rsid w:val="0098570A"/>
    <w:rsid w:val="009858B5"/>
    <w:rsid w:val="00985974"/>
    <w:rsid w:val="00985DFE"/>
    <w:rsid w:val="0098601F"/>
    <w:rsid w:val="00986028"/>
    <w:rsid w:val="009861F3"/>
    <w:rsid w:val="00986488"/>
    <w:rsid w:val="0098649E"/>
    <w:rsid w:val="0098686B"/>
    <w:rsid w:val="00986904"/>
    <w:rsid w:val="00986B90"/>
    <w:rsid w:val="00986C05"/>
    <w:rsid w:val="00986E7D"/>
    <w:rsid w:val="00986E96"/>
    <w:rsid w:val="00986F3A"/>
    <w:rsid w:val="00987042"/>
    <w:rsid w:val="00987104"/>
    <w:rsid w:val="009872D4"/>
    <w:rsid w:val="009873FF"/>
    <w:rsid w:val="00987449"/>
    <w:rsid w:val="0098747A"/>
    <w:rsid w:val="00987547"/>
    <w:rsid w:val="009875DF"/>
    <w:rsid w:val="00987848"/>
    <w:rsid w:val="00987B97"/>
    <w:rsid w:val="00987BA5"/>
    <w:rsid w:val="00987BD7"/>
    <w:rsid w:val="00987BFF"/>
    <w:rsid w:val="00987F16"/>
    <w:rsid w:val="00987F19"/>
    <w:rsid w:val="009901C1"/>
    <w:rsid w:val="009901FF"/>
    <w:rsid w:val="00990386"/>
    <w:rsid w:val="009904C2"/>
    <w:rsid w:val="009908D9"/>
    <w:rsid w:val="00990A32"/>
    <w:rsid w:val="00990C02"/>
    <w:rsid w:val="00990C69"/>
    <w:rsid w:val="00990CA4"/>
    <w:rsid w:val="00990E4E"/>
    <w:rsid w:val="00990FF9"/>
    <w:rsid w:val="0099132E"/>
    <w:rsid w:val="00991340"/>
    <w:rsid w:val="00991486"/>
    <w:rsid w:val="009914B0"/>
    <w:rsid w:val="00991727"/>
    <w:rsid w:val="009918DF"/>
    <w:rsid w:val="0099197B"/>
    <w:rsid w:val="00991BBB"/>
    <w:rsid w:val="00991EDA"/>
    <w:rsid w:val="009924FE"/>
    <w:rsid w:val="0099252C"/>
    <w:rsid w:val="00992583"/>
    <w:rsid w:val="00992942"/>
    <w:rsid w:val="0099295A"/>
    <w:rsid w:val="00992B36"/>
    <w:rsid w:val="00992B5F"/>
    <w:rsid w:val="00992DA4"/>
    <w:rsid w:val="009932F6"/>
    <w:rsid w:val="009933FC"/>
    <w:rsid w:val="0099360F"/>
    <w:rsid w:val="00993741"/>
    <w:rsid w:val="00993880"/>
    <w:rsid w:val="009939FF"/>
    <w:rsid w:val="00993A64"/>
    <w:rsid w:val="00993A7B"/>
    <w:rsid w:val="00993C47"/>
    <w:rsid w:val="00993CC6"/>
    <w:rsid w:val="00993DF1"/>
    <w:rsid w:val="00993EFC"/>
    <w:rsid w:val="009941F0"/>
    <w:rsid w:val="009946C6"/>
    <w:rsid w:val="009948F3"/>
    <w:rsid w:val="00994922"/>
    <w:rsid w:val="00994978"/>
    <w:rsid w:val="009949B2"/>
    <w:rsid w:val="00994A24"/>
    <w:rsid w:val="00994BA9"/>
    <w:rsid w:val="00994E24"/>
    <w:rsid w:val="00994EDD"/>
    <w:rsid w:val="009953A3"/>
    <w:rsid w:val="009954F7"/>
    <w:rsid w:val="00995588"/>
    <w:rsid w:val="009959A3"/>
    <w:rsid w:val="00995BF0"/>
    <w:rsid w:val="00995C4E"/>
    <w:rsid w:val="00996170"/>
    <w:rsid w:val="009961FD"/>
    <w:rsid w:val="00996335"/>
    <w:rsid w:val="009963F4"/>
    <w:rsid w:val="009964AE"/>
    <w:rsid w:val="009965D1"/>
    <w:rsid w:val="009967BA"/>
    <w:rsid w:val="0099681C"/>
    <w:rsid w:val="009968E4"/>
    <w:rsid w:val="00996BE4"/>
    <w:rsid w:val="00996C0C"/>
    <w:rsid w:val="00996C82"/>
    <w:rsid w:val="00996F22"/>
    <w:rsid w:val="00997298"/>
    <w:rsid w:val="009972F1"/>
    <w:rsid w:val="009976D5"/>
    <w:rsid w:val="00997770"/>
    <w:rsid w:val="00997B78"/>
    <w:rsid w:val="00997CB4"/>
    <w:rsid w:val="00997D05"/>
    <w:rsid w:val="00997E9B"/>
    <w:rsid w:val="00997FC6"/>
    <w:rsid w:val="009A023A"/>
    <w:rsid w:val="009A0465"/>
    <w:rsid w:val="009A04B3"/>
    <w:rsid w:val="009A054A"/>
    <w:rsid w:val="009A06EF"/>
    <w:rsid w:val="009A0E16"/>
    <w:rsid w:val="009A1822"/>
    <w:rsid w:val="009A18F3"/>
    <w:rsid w:val="009A1949"/>
    <w:rsid w:val="009A1C00"/>
    <w:rsid w:val="009A1D24"/>
    <w:rsid w:val="009A2010"/>
    <w:rsid w:val="009A22B3"/>
    <w:rsid w:val="009A22D2"/>
    <w:rsid w:val="009A2314"/>
    <w:rsid w:val="009A2431"/>
    <w:rsid w:val="009A24B3"/>
    <w:rsid w:val="009A2539"/>
    <w:rsid w:val="009A253B"/>
    <w:rsid w:val="009A273D"/>
    <w:rsid w:val="009A2801"/>
    <w:rsid w:val="009A29C8"/>
    <w:rsid w:val="009A29F3"/>
    <w:rsid w:val="009A2BB4"/>
    <w:rsid w:val="009A2BFD"/>
    <w:rsid w:val="009A2E95"/>
    <w:rsid w:val="009A2ED3"/>
    <w:rsid w:val="009A2FC2"/>
    <w:rsid w:val="009A3082"/>
    <w:rsid w:val="009A311F"/>
    <w:rsid w:val="009A33F2"/>
    <w:rsid w:val="009A344C"/>
    <w:rsid w:val="009A3524"/>
    <w:rsid w:val="009A3589"/>
    <w:rsid w:val="009A3687"/>
    <w:rsid w:val="009A3B72"/>
    <w:rsid w:val="009A3CD9"/>
    <w:rsid w:val="009A3EA1"/>
    <w:rsid w:val="009A4145"/>
    <w:rsid w:val="009A41A3"/>
    <w:rsid w:val="009A422D"/>
    <w:rsid w:val="009A424D"/>
    <w:rsid w:val="009A45DC"/>
    <w:rsid w:val="009A466E"/>
    <w:rsid w:val="009A4670"/>
    <w:rsid w:val="009A46C1"/>
    <w:rsid w:val="009A476B"/>
    <w:rsid w:val="009A47BB"/>
    <w:rsid w:val="009A491F"/>
    <w:rsid w:val="009A4C74"/>
    <w:rsid w:val="009A4CA9"/>
    <w:rsid w:val="009A4D0D"/>
    <w:rsid w:val="009A4EAF"/>
    <w:rsid w:val="009A5015"/>
    <w:rsid w:val="009A5339"/>
    <w:rsid w:val="009A546A"/>
    <w:rsid w:val="009A55D5"/>
    <w:rsid w:val="009A583E"/>
    <w:rsid w:val="009A5898"/>
    <w:rsid w:val="009A590C"/>
    <w:rsid w:val="009A5A3E"/>
    <w:rsid w:val="009A5A96"/>
    <w:rsid w:val="009A5BC9"/>
    <w:rsid w:val="009A5BD3"/>
    <w:rsid w:val="009A601D"/>
    <w:rsid w:val="009A604A"/>
    <w:rsid w:val="009A60B4"/>
    <w:rsid w:val="009A62A0"/>
    <w:rsid w:val="009A65CB"/>
    <w:rsid w:val="009A6619"/>
    <w:rsid w:val="009A6648"/>
    <w:rsid w:val="009A6762"/>
    <w:rsid w:val="009A68A2"/>
    <w:rsid w:val="009A6CAD"/>
    <w:rsid w:val="009A6DA2"/>
    <w:rsid w:val="009A6F8B"/>
    <w:rsid w:val="009A715F"/>
    <w:rsid w:val="009A71EB"/>
    <w:rsid w:val="009A7341"/>
    <w:rsid w:val="009A75B2"/>
    <w:rsid w:val="009A77A7"/>
    <w:rsid w:val="009A77D0"/>
    <w:rsid w:val="009A79DD"/>
    <w:rsid w:val="009A7C04"/>
    <w:rsid w:val="009B01CE"/>
    <w:rsid w:val="009B0263"/>
    <w:rsid w:val="009B0312"/>
    <w:rsid w:val="009B03CE"/>
    <w:rsid w:val="009B05AB"/>
    <w:rsid w:val="009B0764"/>
    <w:rsid w:val="009B09CB"/>
    <w:rsid w:val="009B0A12"/>
    <w:rsid w:val="009B0B69"/>
    <w:rsid w:val="009B0BAC"/>
    <w:rsid w:val="009B0CB6"/>
    <w:rsid w:val="009B0E9D"/>
    <w:rsid w:val="009B1134"/>
    <w:rsid w:val="009B11BC"/>
    <w:rsid w:val="009B125B"/>
    <w:rsid w:val="009B169B"/>
    <w:rsid w:val="009B1701"/>
    <w:rsid w:val="009B17C7"/>
    <w:rsid w:val="009B1901"/>
    <w:rsid w:val="009B1A73"/>
    <w:rsid w:val="009B1B6E"/>
    <w:rsid w:val="009B1C4A"/>
    <w:rsid w:val="009B1D15"/>
    <w:rsid w:val="009B1EAE"/>
    <w:rsid w:val="009B1F29"/>
    <w:rsid w:val="009B2039"/>
    <w:rsid w:val="009B205F"/>
    <w:rsid w:val="009B2063"/>
    <w:rsid w:val="009B20E9"/>
    <w:rsid w:val="009B2146"/>
    <w:rsid w:val="009B2677"/>
    <w:rsid w:val="009B2726"/>
    <w:rsid w:val="009B28DE"/>
    <w:rsid w:val="009B2938"/>
    <w:rsid w:val="009B2A95"/>
    <w:rsid w:val="009B2AE4"/>
    <w:rsid w:val="009B2B1E"/>
    <w:rsid w:val="009B2D08"/>
    <w:rsid w:val="009B2D77"/>
    <w:rsid w:val="009B2E6F"/>
    <w:rsid w:val="009B2F32"/>
    <w:rsid w:val="009B3021"/>
    <w:rsid w:val="009B3165"/>
    <w:rsid w:val="009B3236"/>
    <w:rsid w:val="009B3446"/>
    <w:rsid w:val="009B34C6"/>
    <w:rsid w:val="009B3517"/>
    <w:rsid w:val="009B3682"/>
    <w:rsid w:val="009B3721"/>
    <w:rsid w:val="009B3749"/>
    <w:rsid w:val="009B3844"/>
    <w:rsid w:val="009B386C"/>
    <w:rsid w:val="009B388E"/>
    <w:rsid w:val="009B39B0"/>
    <w:rsid w:val="009B39DA"/>
    <w:rsid w:val="009B3A36"/>
    <w:rsid w:val="009B3B85"/>
    <w:rsid w:val="009B3CEC"/>
    <w:rsid w:val="009B3D27"/>
    <w:rsid w:val="009B3DF9"/>
    <w:rsid w:val="009B3E6C"/>
    <w:rsid w:val="009B3F72"/>
    <w:rsid w:val="009B3F9C"/>
    <w:rsid w:val="009B4588"/>
    <w:rsid w:val="009B49BD"/>
    <w:rsid w:val="009B4ABB"/>
    <w:rsid w:val="009B4CAE"/>
    <w:rsid w:val="009B4CF3"/>
    <w:rsid w:val="009B4D57"/>
    <w:rsid w:val="009B4E6B"/>
    <w:rsid w:val="009B507E"/>
    <w:rsid w:val="009B50B5"/>
    <w:rsid w:val="009B526D"/>
    <w:rsid w:val="009B544B"/>
    <w:rsid w:val="009B54B1"/>
    <w:rsid w:val="009B5684"/>
    <w:rsid w:val="009B5695"/>
    <w:rsid w:val="009B57F6"/>
    <w:rsid w:val="009B58D9"/>
    <w:rsid w:val="009B590D"/>
    <w:rsid w:val="009B5942"/>
    <w:rsid w:val="009B5CC2"/>
    <w:rsid w:val="009B5CD0"/>
    <w:rsid w:val="009B60A8"/>
    <w:rsid w:val="009B61CC"/>
    <w:rsid w:val="009B66D2"/>
    <w:rsid w:val="009B67BE"/>
    <w:rsid w:val="009B6905"/>
    <w:rsid w:val="009B69FC"/>
    <w:rsid w:val="009B6EBE"/>
    <w:rsid w:val="009B6F0B"/>
    <w:rsid w:val="009B6F4A"/>
    <w:rsid w:val="009B6FA3"/>
    <w:rsid w:val="009B7392"/>
    <w:rsid w:val="009B73F6"/>
    <w:rsid w:val="009B7466"/>
    <w:rsid w:val="009B750C"/>
    <w:rsid w:val="009B765A"/>
    <w:rsid w:val="009B7761"/>
    <w:rsid w:val="009B783C"/>
    <w:rsid w:val="009B799B"/>
    <w:rsid w:val="009B79CB"/>
    <w:rsid w:val="009B7AA6"/>
    <w:rsid w:val="009B7B88"/>
    <w:rsid w:val="009B7BD7"/>
    <w:rsid w:val="009B7BE6"/>
    <w:rsid w:val="009B7E0C"/>
    <w:rsid w:val="009B7EE6"/>
    <w:rsid w:val="009B7EF6"/>
    <w:rsid w:val="009B7FE3"/>
    <w:rsid w:val="009C01F1"/>
    <w:rsid w:val="009C034E"/>
    <w:rsid w:val="009C056F"/>
    <w:rsid w:val="009C0655"/>
    <w:rsid w:val="009C0719"/>
    <w:rsid w:val="009C0BAD"/>
    <w:rsid w:val="009C0D1E"/>
    <w:rsid w:val="009C0D5C"/>
    <w:rsid w:val="009C0D85"/>
    <w:rsid w:val="009C0DF9"/>
    <w:rsid w:val="009C0E81"/>
    <w:rsid w:val="009C0F98"/>
    <w:rsid w:val="009C0FEA"/>
    <w:rsid w:val="009C0FFF"/>
    <w:rsid w:val="009C1079"/>
    <w:rsid w:val="009C1336"/>
    <w:rsid w:val="009C138C"/>
    <w:rsid w:val="009C1455"/>
    <w:rsid w:val="009C150E"/>
    <w:rsid w:val="009C1752"/>
    <w:rsid w:val="009C1DA4"/>
    <w:rsid w:val="009C1DBB"/>
    <w:rsid w:val="009C1DEE"/>
    <w:rsid w:val="009C1E22"/>
    <w:rsid w:val="009C1E59"/>
    <w:rsid w:val="009C1E86"/>
    <w:rsid w:val="009C1EE1"/>
    <w:rsid w:val="009C1EF0"/>
    <w:rsid w:val="009C1F41"/>
    <w:rsid w:val="009C2194"/>
    <w:rsid w:val="009C23A1"/>
    <w:rsid w:val="009C23C8"/>
    <w:rsid w:val="009C249C"/>
    <w:rsid w:val="009C26D2"/>
    <w:rsid w:val="009C26FA"/>
    <w:rsid w:val="009C2759"/>
    <w:rsid w:val="009C2898"/>
    <w:rsid w:val="009C2921"/>
    <w:rsid w:val="009C29BE"/>
    <w:rsid w:val="009C2A5F"/>
    <w:rsid w:val="009C2AF3"/>
    <w:rsid w:val="009C2F0A"/>
    <w:rsid w:val="009C2FE1"/>
    <w:rsid w:val="009C3158"/>
    <w:rsid w:val="009C3188"/>
    <w:rsid w:val="009C3242"/>
    <w:rsid w:val="009C3365"/>
    <w:rsid w:val="009C35E2"/>
    <w:rsid w:val="009C3B09"/>
    <w:rsid w:val="009C3B20"/>
    <w:rsid w:val="009C3E3C"/>
    <w:rsid w:val="009C3F37"/>
    <w:rsid w:val="009C4220"/>
    <w:rsid w:val="009C4337"/>
    <w:rsid w:val="009C435B"/>
    <w:rsid w:val="009C4368"/>
    <w:rsid w:val="009C4544"/>
    <w:rsid w:val="009C455D"/>
    <w:rsid w:val="009C4649"/>
    <w:rsid w:val="009C47FC"/>
    <w:rsid w:val="009C4B40"/>
    <w:rsid w:val="009C4BB0"/>
    <w:rsid w:val="009C4DEE"/>
    <w:rsid w:val="009C4DFD"/>
    <w:rsid w:val="009C4EC8"/>
    <w:rsid w:val="009C503D"/>
    <w:rsid w:val="009C5375"/>
    <w:rsid w:val="009C53FE"/>
    <w:rsid w:val="009C5616"/>
    <w:rsid w:val="009C56AD"/>
    <w:rsid w:val="009C58E1"/>
    <w:rsid w:val="009C59B5"/>
    <w:rsid w:val="009C5E32"/>
    <w:rsid w:val="009C60B6"/>
    <w:rsid w:val="009C615A"/>
    <w:rsid w:val="009C6280"/>
    <w:rsid w:val="009C64DF"/>
    <w:rsid w:val="009C6525"/>
    <w:rsid w:val="009C66AA"/>
    <w:rsid w:val="009C66EB"/>
    <w:rsid w:val="009C67E0"/>
    <w:rsid w:val="009C6A5A"/>
    <w:rsid w:val="009C6E7B"/>
    <w:rsid w:val="009C702C"/>
    <w:rsid w:val="009C7355"/>
    <w:rsid w:val="009C755C"/>
    <w:rsid w:val="009C762A"/>
    <w:rsid w:val="009C778B"/>
    <w:rsid w:val="009C7818"/>
    <w:rsid w:val="009C7957"/>
    <w:rsid w:val="009C79BF"/>
    <w:rsid w:val="009C7F1E"/>
    <w:rsid w:val="009D0004"/>
    <w:rsid w:val="009D01F6"/>
    <w:rsid w:val="009D03E2"/>
    <w:rsid w:val="009D050A"/>
    <w:rsid w:val="009D0577"/>
    <w:rsid w:val="009D0645"/>
    <w:rsid w:val="009D0709"/>
    <w:rsid w:val="009D07F5"/>
    <w:rsid w:val="009D09E5"/>
    <w:rsid w:val="009D0C44"/>
    <w:rsid w:val="009D0CE4"/>
    <w:rsid w:val="009D0DBB"/>
    <w:rsid w:val="009D0E3C"/>
    <w:rsid w:val="009D0E95"/>
    <w:rsid w:val="009D1054"/>
    <w:rsid w:val="009D14AF"/>
    <w:rsid w:val="009D19FA"/>
    <w:rsid w:val="009D1BCB"/>
    <w:rsid w:val="009D1D27"/>
    <w:rsid w:val="009D1E68"/>
    <w:rsid w:val="009D20FF"/>
    <w:rsid w:val="009D21D8"/>
    <w:rsid w:val="009D2281"/>
    <w:rsid w:val="009D22C3"/>
    <w:rsid w:val="009D2452"/>
    <w:rsid w:val="009D2510"/>
    <w:rsid w:val="009D295B"/>
    <w:rsid w:val="009D29C1"/>
    <w:rsid w:val="009D2C6F"/>
    <w:rsid w:val="009D2CF9"/>
    <w:rsid w:val="009D2D61"/>
    <w:rsid w:val="009D2D6A"/>
    <w:rsid w:val="009D2E5F"/>
    <w:rsid w:val="009D2FE5"/>
    <w:rsid w:val="009D3094"/>
    <w:rsid w:val="009D314C"/>
    <w:rsid w:val="009D32A7"/>
    <w:rsid w:val="009D32DA"/>
    <w:rsid w:val="009D3312"/>
    <w:rsid w:val="009D3397"/>
    <w:rsid w:val="009D351A"/>
    <w:rsid w:val="009D35E7"/>
    <w:rsid w:val="009D36E4"/>
    <w:rsid w:val="009D3917"/>
    <w:rsid w:val="009D3CA2"/>
    <w:rsid w:val="009D3F68"/>
    <w:rsid w:val="009D4080"/>
    <w:rsid w:val="009D40BD"/>
    <w:rsid w:val="009D43B6"/>
    <w:rsid w:val="009D457F"/>
    <w:rsid w:val="009D475E"/>
    <w:rsid w:val="009D47A0"/>
    <w:rsid w:val="009D48A7"/>
    <w:rsid w:val="009D4A7D"/>
    <w:rsid w:val="009D4C44"/>
    <w:rsid w:val="009D4EF3"/>
    <w:rsid w:val="009D5011"/>
    <w:rsid w:val="009D52BC"/>
    <w:rsid w:val="009D5610"/>
    <w:rsid w:val="009D5661"/>
    <w:rsid w:val="009D56ED"/>
    <w:rsid w:val="009D58CB"/>
    <w:rsid w:val="009D59D1"/>
    <w:rsid w:val="009D59F5"/>
    <w:rsid w:val="009D5CD4"/>
    <w:rsid w:val="009D5E7D"/>
    <w:rsid w:val="009D5EB4"/>
    <w:rsid w:val="009D5F02"/>
    <w:rsid w:val="009D5F29"/>
    <w:rsid w:val="009D6188"/>
    <w:rsid w:val="009D6198"/>
    <w:rsid w:val="009D6206"/>
    <w:rsid w:val="009D667D"/>
    <w:rsid w:val="009D676E"/>
    <w:rsid w:val="009D690E"/>
    <w:rsid w:val="009D6B42"/>
    <w:rsid w:val="009D6B83"/>
    <w:rsid w:val="009D6C64"/>
    <w:rsid w:val="009D73B2"/>
    <w:rsid w:val="009D74D8"/>
    <w:rsid w:val="009D7817"/>
    <w:rsid w:val="009D7A80"/>
    <w:rsid w:val="009D7B2C"/>
    <w:rsid w:val="009D7B79"/>
    <w:rsid w:val="009D7C0B"/>
    <w:rsid w:val="009D7CF2"/>
    <w:rsid w:val="009D7E75"/>
    <w:rsid w:val="009E0390"/>
    <w:rsid w:val="009E03B3"/>
    <w:rsid w:val="009E099E"/>
    <w:rsid w:val="009E0A2F"/>
    <w:rsid w:val="009E0B39"/>
    <w:rsid w:val="009E0D20"/>
    <w:rsid w:val="009E0D83"/>
    <w:rsid w:val="009E0E60"/>
    <w:rsid w:val="009E0E85"/>
    <w:rsid w:val="009E0F66"/>
    <w:rsid w:val="009E1031"/>
    <w:rsid w:val="009E122D"/>
    <w:rsid w:val="009E1272"/>
    <w:rsid w:val="009E134D"/>
    <w:rsid w:val="009E1352"/>
    <w:rsid w:val="009E138B"/>
    <w:rsid w:val="009E157B"/>
    <w:rsid w:val="009E15DF"/>
    <w:rsid w:val="009E165F"/>
    <w:rsid w:val="009E1A53"/>
    <w:rsid w:val="009E1B81"/>
    <w:rsid w:val="009E1C56"/>
    <w:rsid w:val="009E1DA8"/>
    <w:rsid w:val="009E1E62"/>
    <w:rsid w:val="009E21A1"/>
    <w:rsid w:val="009E21B1"/>
    <w:rsid w:val="009E23A1"/>
    <w:rsid w:val="009E27AF"/>
    <w:rsid w:val="009E285A"/>
    <w:rsid w:val="009E2919"/>
    <w:rsid w:val="009E2B7C"/>
    <w:rsid w:val="009E2CCC"/>
    <w:rsid w:val="009E2D38"/>
    <w:rsid w:val="009E2D47"/>
    <w:rsid w:val="009E2DFE"/>
    <w:rsid w:val="009E30C7"/>
    <w:rsid w:val="009E30DA"/>
    <w:rsid w:val="009E3457"/>
    <w:rsid w:val="009E3513"/>
    <w:rsid w:val="009E35C0"/>
    <w:rsid w:val="009E37FC"/>
    <w:rsid w:val="009E40BE"/>
    <w:rsid w:val="009E40C4"/>
    <w:rsid w:val="009E4262"/>
    <w:rsid w:val="009E428E"/>
    <w:rsid w:val="009E42E5"/>
    <w:rsid w:val="009E43E6"/>
    <w:rsid w:val="009E4405"/>
    <w:rsid w:val="009E4728"/>
    <w:rsid w:val="009E49AC"/>
    <w:rsid w:val="009E49F2"/>
    <w:rsid w:val="009E4CBD"/>
    <w:rsid w:val="009E4DE1"/>
    <w:rsid w:val="009E4E9A"/>
    <w:rsid w:val="009E4E9B"/>
    <w:rsid w:val="009E51C6"/>
    <w:rsid w:val="009E53CF"/>
    <w:rsid w:val="009E574A"/>
    <w:rsid w:val="009E57F0"/>
    <w:rsid w:val="009E58C1"/>
    <w:rsid w:val="009E5A35"/>
    <w:rsid w:val="009E5A42"/>
    <w:rsid w:val="009E5B5C"/>
    <w:rsid w:val="009E5D5B"/>
    <w:rsid w:val="009E5F21"/>
    <w:rsid w:val="009E6023"/>
    <w:rsid w:val="009E6035"/>
    <w:rsid w:val="009E64ED"/>
    <w:rsid w:val="009E650C"/>
    <w:rsid w:val="009E6575"/>
    <w:rsid w:val="009E6588"/>
    <w:rsid w:val="009E6668"/>
    <w:rsid w:val="009E6726"/>
    <w:rsid w:val="009E6773"/>
    <w:rsid w:val="009E6AB5"/>
    <w:rsid w:val="009E6B12"/>
    <w:rsid w:val="009E7141"/>
    <w:rsid w:val="009E7340"/>
    <w:rsid w:val="009E73B7"/>
    <w:rsid w:val="009E745B"/>
    <w:rsid w:val="009E74AF"/>
    <w:rsid w:val="009E7650"/>
    <w:rsid w:val="009E7755"/>
    <w:rsid w:val="009E7772"/>
    <w:rsid w:val="009E78BC"/>
    <w:rsid w:val="009E7A36"/>
    <w:rsid w:val="009E7B42"/>
    <w:rsid w:val="009E7BC0"/>
    <w:rsid w:val="009E7E50"/>
    <w:rsid w:val="009E7F1E"/>
    <w:rsid w:val="009F0005"/>
    <w:rsid w:val="009F001A"/>
    <w:rsid w:val="009F016E"/>
    <w:rsid w:val="009F0179"/>
    <w:rsid w:val="009F01E7"/>
    <w:rsid w:val="009F02B1"/>
    <w:rsid w:val="009F04A7"/>
    <w:rsid w:val="009F052D"/>
    <w:rsid w:val="009F063B"/>
    <w:rsid w:val="009F0680"/>
    <w:rsid w:val="009F0899"/>
    <w:rsid w:val="009F0A36"/>
    <w:rsid w:val="009F0B72"/>
    <w:rsid w:val="009F0C67"/>
    <w:rsid w:val="009F0C8A"/>
    <w:rsid w:val="009F1460"/>
    <w:rsid w:val="009F14EB"/>
    <w:rsid w:val="009F1546"/>
    <w:rsid w:val="009F16A4"/>
    <w:rsid w:val="009F182D"/>
    <w:rsid w:val="009F198D"/>
    <w:rsid w:val="009F1A7A"/>
    <w:rsid w:val="009F1AC9"/>
    <w:rsid w:val="009F1BE0"/>
    <w:rsid w:val="009F1C41"/>
    <w:rsid w:val="009F1D0B"/>
    <w:rsid w:val="009F1D5A"/>
    <w:rsid w:val="009F1E52"/>
    <w:rsid w:val="009F2276"/>
    <w:rsid w:val="009F22F7"/>
    <w:rsid w:val="009F253A"/>
    <w:rsid w:val="009F255C"/>
    <w:rsid w:val="009F269C"/>
    <w:rsid w:val="009F2F82"/>
    <w:rsid w:val="009F3088"/>
    <w:rsid w:val="009F30C1"/>
    <w:rsid w:val="009F3516"/>
    <w:rsid w:val="009F3AF0"/>
    <w:rsid w:val="009F3B41"/>
    <w:rsid w:val="009F3BA3"/>
    <w:rsid w:val="009F3BAE"/>
    <w:rsid w:val="009F3C99"/>
    <w:rsid w:val="009F3E7E"/>
    <w:rsid w:val="009F3F24"/>
    <w:rsid w:val="009F3F54"/>
    <w:rsid w:val="009F4056"/>
    <w:rsid w:val="009F40B8"/>
    <w:rsid w:val="009F45F7"/>
    <w:rsid w:val="009F45F8"/>
    <w:rsid w:val="009F470A"/>
    <w:rsid w:val="009F4746"/>
    <w:rsid w:val="009F490E"/>
    <w:rsid w:val="009F496E"/>
    <w:rsid w:val="009F4B92"/>
    <w:rsid w:val="009F4DFC"/>
    <w:rsid w:val="009F4EBB"/>
    <w:rsid w:val="009F5064"/>
    <w:rsid w:val="009F5160"/>
    <w:rsid w:val="009F5245"/>
    <w:rsid w:val="009F52CC"/>
    <w:rsid w:val="009F5636"/>
    <w:rsid w:val="009F577D"/>
    <w:rsid w:val="009F5837"/>
    <w:rsid w:val="009F593F"/>
    <w:rsid w:val="009F5961"/>
    <w:rsid w:val="009F5AF7"/>
    <w:rsid w:val="009F5C9A"/>
    <w:rsid w:val="009F5FB2"/>
    <w:rsid w:val="009F5FE9"/>
    <w:rsid w:val="009F62E2"/>
    <w:rsid w:val="009F651A"/>
    <w:rsid w:val="009F68A6"/>
    <w:rsid w:val="009F6B3F"/>
    <w:rsid w:val="009F6BFC"/>
    <w:rsid w:val="009F6D4A"/>
    <w:rsid w:val="009F70BC"/>
    <w:rsid w:val="009F71FD"/>
    <w:rsid w:val="009F7480"/>
    <w:rsid w:val="009F7488"/>
    <w:rsid w:val="009F76D8"/>
    <w:rsid w:val="009F7965"/>
    <w:rsid w:val="009F79FE"/>
    <w:rsid w:val="009F7A1F"/>
    <w:rsid w:val="009F7B5D"/>
    <w:rsid w:val="00A0004C"/>
    <w:rsid w:val="00A002B3"/>
    <w:rsid w:val="00A00406"/>
    <w:rsid w:val="00A00583"/>
    <w:rsid w:val="00A005D6"/>
    <w:rsid w:val="00A005E7"/>
    <w:rsid w:val="00A007AF"/>
    <w:rsid w:val="00A00B24"/>
    <w:rsid w:val="00A00D7B"/>
    <w:rsid w:val="00A00E91"/>
    <w:rsid w:val="00A01043"/>
    <w:rsid w:val="00A010B2"/>
    <w:rsid w:val="00A01362"/>
    <w:rsid w:val="00A01457"/>
    <w:rsid w:val="00A016F5"/>
    <w:rsid w:val="00A018CF"/>
    <w:rsid w:val="00A019E0"/>
    <w:rsid w:val="00A01B37"/>
    <w:rsid w:val="00A01CC3"/>
    <w:rsid w:val="00A01D96"/>
    <w:rsid w:val="00A01FE6"/>
    <w:rsid w:val="00A02594"/>
    <w:rsid w:val="00A0267D"/>
    <w:rsid w:val="00A0267F"/>
    <w:rsid w:val="00A02778"/>
    <w:rsid w:val="00A0285A"/>
    <w:rsid w:val="00A02A8A"/>
    <w:rsid w:val="00A02AAB"/>
    <w:rsid w:val="00A02E2F"/>
    <w:rsid w:val="00A03009"/>
    <w:rsid w:val="00A0307E"/>
    <w:rsid w:val="00A031B0"/>
    <w:rsid w:val="00A0343F"/>
    <w:rsid w:val="00A0350C"/>
    <w:rsid w:val="00A038AE"/>
    <w:rsid w:val="00A038E3"/>
    <w:rsid w:val="00A03A7F"/>
    <w:rsid w:val="00A03A91"/>
    <w:rsid w:val="00A03C4D"/>
    <w:rsid w:val="00A03D27"/>
    <w:rsid w:val="00A03EFF"/>
    <w:rsid w:val="00A040CF"/>
    <w:rsid w:val="00A04533"/>
    <w:rsid w:val="00A04878"/>
    <w:rsid w:val="00A04D32"/>
    <w:rsid w:val="00A04F00"/>
    <w:rsid w:val="00A04F66"/>
    <w:rsid w:val="00A05109"/>
    <w:rsid w:val="00A05167"/>
    <w:rsid w:val="00A05225"/>
    <w:rsid w:val="00A052EF"/>
    <w:rsid w:val="00A05506"/>
    <w:rsid w:val="00A0551E"/>
    <w:rsid w:val="00A055A6"/>
    <w:rsid w:val="00A05661"/>
    <w:rsid w:val="00A057F1"/>
    <w:rsid w:val="00A058FD"/>
    <w:rsid w:val="00A059F9"/>
    <w:rsid w:val="00A05B90"/>
    <w:rsid w:val="00A05C84"/>
    <w:rsid w:val="00A05D04"/>
    <w:rsid w:val="00A05D7A"/>
    <w:rsid w:val="00A05EF5"/>
    <w:rsid w:val="00A06061"/>
    <w:rsid w:val="00A0676C"/>
    <w:rsid w:val="00A06CE7"/>
    <w:rsid w:val="00A06DDA"/>
    <w:rsid w:val="00A06EB2"/>
    <w:rsid w:val="00A06F41"/>
    <w:rsid w:val="00A07177"/>
    <w:rsid w:val="00A07211"/>
    <w:rsid w:val="00A07616"/>
    <w:rsid w:val="00A077EA"/>
    <w:rsid w:val="00A07A1F"/>
    <w:rsid w:val="00A07AD1"/>
    <w:rsid w:val="00A07AD4"/>
    <w:rsid w:val="00A07B5F"/>
    <w:rsid w:val="00A07C17"/>
    <w:rsid w:val="00A07C1A"/>
    <w:rsid w:val="00A07E16"/>
    <w:rsid w:val="00A07F5D"/>
    <w:rsid w:val="00A1001B"/>
    <w:rsid w:val="00A100BF"/>
    <w:rsid w:val="00A10382"/>
    <w:rsid w:val="00A10695"/>
    <w:rsid w:val="00A10748"/>
    <w:rsid w:val="00A107C7"/>
    <w:rsid w:val="00A107E1"/>
    <w:rsid w:val="00A107FC"/>
    <w:rsid w:val="00A1089E"/>
    <w:rsid w:val="00A10E21"/>
    <w:rsid w:val="00A10FA5"/>
    <w:rsid w:val="00A111BB"/>
    <w:rsid w:val="00A11261"/>
    <w:rsid w:val="00A11654"/>
    <w:rsid w:val="00A116F9"/>
    <w:rsid w:val="00A11757"/>
    <w:rsid w:val="00A117AC"/>
    <w:rsid w:val="00A118D0"/>
    <w:rsid w:val="00A1190D"/>
    <w:rsid w:val="00A11D6A"/>
    <w:rsid w:val="00A1235F"/>
    <w:rsid w:val="00A12398"/>
    <w:rsid w:val="00A1254D"/>
    <w:rsid w:val="00A126E1"/>
    <w:rsid w:val="00A12718"/>
    <w:rsid w:val="00A127DD"/>
    <w:rsid w:val="00A127EF"/>
    <w:rsid w:val="00A12881"/>
    <w:rsid w:val="00A129BD"/>
    <w:rsid w:val="00A12A08"/>
    <w:rsid w:val="00A12C1A"/>
    <w:rsid w:val="00A13086"/>
    <w:rsid w:val="00A130D0"/>
    <w:rsid w:val="00A13255"/>
    <w:rsid w:val="00A1336E"/>
    <w:rsid w:val="00A13389"/>
    <w:rsid w:val="00A13481"/>
    <w:rsid w:val="00A13AB4"/>
    <w:rsid w:val="00A13BD2"/>
    <w:rsid w:val="00A13C44"/>
    <w:rsid w:val="00A140ED"/>
    <w:rsid w:val="00A141F9"/>
    <w:rsid w:val="00A1422C"/>
    <w:rsid w:val="00A142CB"/>
    <w:rsid w:val="00A14310"/>
    <w:rsid w:val="00A14583"/>
    <w:rsid w:val="00A14620"/>
    <w:rsid w:val="00A14787"/>
    <w:rsid w:val="00A1487F"/>
    <w:rsid w:val="00A14A58"/>
    <w:rsid w:val="00A14DCA"/>
    <w:rsid w:val="00A152CB"/>
    <w:rsid w:val="00A1540E"/>
    <w:rsid w:val="00A15472"/>
    <w:rsid w:val="00A15592"/>
    <w:rsid w:val="00A15598"/>
    <w:rsid w:val="00A156EC"/>
    <w:rsid w:val="00A15822"/>
    <w:rsid w:val="00A15A3D"/>
    <w:rsid w:val="00A15AD1"/>
    <w:rsid w:val="00A15AEA"/>
    <w:rsid w:val="00A15BA2"/>
    <w:rsid w:val="00A15C26"/>
    <w:rsid w:val="00A161AD"/>
    <w:rsid w:val="00A16353"/>
    <w:rsid w:val="00A16490"/>
    <w:rsid w:val="00A16492"/>
    <w:rsid w:val="00A16863"/>
    <w:rsid w:val="00A16A03"/>
    <w:rsid w:val="00A16D09"/>
    <w:rsid w:val="00A16F83"/>
    <w:rsid w:val="00A1704E"/>
    <w:rsid w:val="00A17195"/>
    <w:rsid w:val="00A171EC"/>
    <w:rsid w:val="00A174EA"/>
    <w:rsid w:val="00A17615"/>
    <w:rsid w:val="00A176EB"/>
    <w:rsid w:val="00A177F8"/>
    <w:rsid w:val="00A200A1"/>
    <w:rsid w:val="00A200F2"/>
    <w:rsid w:val="00A20245"/>
    <w:rsid w:val="00A20328"/>
    <w:rsid w:val="00A2060F"/>
    <w:rsid w:val="00A2065F"/>
    <w:rsid w:val="00A2075F"/>
    <w:rsid w:val="00A207C5"/>
    <w:rsid w:val="00A2082F"/>
    <w:rsid w:val="00A20A40"/>
    <w:rsid w:val="00A20A50"/>
    <w:rsid w:val="00A20A83"/>
    <w:rsid w:val="00A20BFF"/>
    <w:rsid w:val="00A20DB6"/>
    <w:rsid w:val="00A20E3F"/>
    <w:rsid w:val="00A20EEB"/>
    <w:rsid w:val="00A20F71"/>
    <w:rsid w:val="00A20F73"/>
    <w:rsid w:val="00A20F91"/>
    <w:rsid w:val="00A2124D"/>
    <w:rsid w:val="00A21522"/>
    <w:rsid w:val="00A2156C"/>
    <w:rsid w:val="00A2161E"/>
    <w:rsid w:val="00A2174F"/>
    <w:rsid w:val="00A21766"/>
    <w:rsid w:val="00A2177D"/>
    <w:rsid w:val="00A217DE"/>
    <w:rsid w:val="00A21B0D"/>
    <w:rsid w:val="00A21B68"/>
    <w:rsid w:val="00A21D58"/>
    <w:rsid w:val="00A21F30"/>
    <w:rsid w:val="00A224DD"/>
    <w:rsid w:val="00A22510"/>
    <w:rsid w:val="00A22680"/>
    <w:rsid w:val="00A22AB5"/>
    <w:rsid w:val="00A22B29"/>
    <w:rsid w:val="00A2305C"/>
    <w:rsid w:val="00A23413"/>
    <w:rsid w:val="00A23448"/>
    <w:rsid w:val="00A239CF"/>
    <w:rsid w:val="00A23BC6"/>
    <w:rsid w:val="00A23D36"/>
    <w:rsid w:val="00A23D70"/>
    <w:rsid w:val="00A23E9F"/>
    <w:rsid w:val="00A23F67"/>
    <w:rsid w:val="00A23FFF"/>
    <w:rsid w:val="00A2448D"/>
    <w:rsid w:val="00A2459E"/>
    <w:rsid w:val="00A245E3"/>
    <w:rsid w:val="00A24648"/>
    <w:rsid w:val="00A24C3D"/>
    <w:rsid w:val="00A24DA7"/>
    <w:rsid w:val="00A24FD5"/>
    <w:rsid w:val="00A25332"/>
    <w:rsid w:val="00A25472"/>
    <w:rsid w:val="00A25580"/>
    <w:rsid w:val="00A258C1"/>
    <w:rsid w:val="00A25A48"/>
    <w:rsid w:val="00A25A5B"/>
    <w:rsid w:val="00A25A7F"/>
    <w:rsid w:val="00A25E6F"/>
    <w:rsid w:val="00A25F0A"/>
    <w:rsid w:val="00A261B1"/>
    <w:rsid w:val="00A26327"/>
    <w:rsid w:val="00A26391"/>
    <w:rsid w:val="00A263FC"/>
    <w:rsid w:val="00A264A6"/>
    <w:rsid w:val="00A264D5"/>
    <w:rsid w:val="00A265D6"/>
    <w:rsid w:val="00A268BB"/>
    <w:rsid w:val="00A268EF"/>
    <w:rsid w:val="00A26988"/>
    <w:rsid w:val="00A26C2C"/>
    <w:rsid w:val="00A26C44"/>
    <w:rsid w:val="00A26C9C"/>
    <w:rsid w:val="00A26D9E"/>
    <w:rsid w:val="00A26F78"/>
    <w:rsid w:val="00A26F87"/>
    <w:rsid w:val="00A2703F"/>
    <w:rsid w:val="00A27043"/>
    <w:rsid w:val="00A27093"/>
    <w:rsid w:val="00A272D5"/>
    <w:rsid w:val="00A2731B"/>
    <w:rsid w:val="00A27460"/>
    <w:rsid w:val="00A2786C"/>
    <w:rsid w:val="00A27ADB"/>
    <w:rsid w:val="00A27BA0"/>
    <w:rsid w:val="00A27C49"/>
    <w:rsid w:val="00A27C4D"/>
    <w:rsid w:val="00A27E81"/>
    <w:rsid w:val="00A27EBE"/>
    <w:rsid w:val="00A30089"/>
    <w:rsid w:val="00A30306"/>
    <w:rsid w:val="00A3032C"/>
    <w:rsid w:val="00A303E8"/>
    <w:rsid w:val="00A303F0"/>
    <w:rsid w:val="00A3040A"/>
    <w:rsid w:val="00A3045A"/>
    <w:rsid w:val="00A30535"/>
    <w:rsid w:val="00A30563"/>
    <w:rsid w:val="00A305B5"/>
    <w:rsid w:val="00A30758"/>
    <w:rsid w:val="00A307A3"/>
    <w:rsid w:val="00A30D39"/>
    <w:rsid w:val="00A30DE5"/>
    <w:rsid w:val="00A30FF1"/>
    <w:rsid w:val="00A3103F"/>
    <w:rsid w:val="00A311F4"/>
    <w:rsid w:val="00A31210"/>
    <w:rsid w:val="00A312DF"/>
    <w:rsid w:val="00A312E9"/>
    <w:rsid w:val="00A314D5"/>
    <w:rsid w:val="00A316F5"/>
    <w:rsid w:val="00A318B9"/>
    <w:rsid w:val="00A31A38"/>
    <w:rsid w:val="00A31BD3"/>
    <w:rsid w:val="00A31F75"/>
    <w:rsid w:val="00A321C2"/>
    <w:rsid w:val="00A32515"/>
    <w:rsid w:val="00A32734"/>
    <w:rsid w:val="00A328A9"/>
    <w:rsid w:val="00A3294D"/>
    <w:rsid w:val="00A32E6C"/>
    <w:rsid w:val="00A33203"/>
    <w:rsid w:val="00A3320C"/>
    <w:rsid w:val="00A332D7"/>
    <w:rsid w:val="00A3355B"/>
    <w:rsid w:val="00A3358A"/>
    <w:rsid w:val="00A3369A"/>
    <w:rsid w:val="00A3369F"/>
    <w:rsid w:val="00A3374C"/>
    <w:rsid w:val="00A338FF"/>
    <w:rsid w:val="00A33CF5"/>
    <w:rsid w:val="00A33DC9"/>
    <w:rsid w:val="00A33E2B"/>
    <w:rsid w:val="00A33E96"/>
    <w:rsid w:val="00A33F4A"/>
    <w:rsid w:val="00A34030"/>
    <w:rsid w:val="00A3424F"/>
    <w:rsid w:val="00A3444B"/>
    <w:rsid w:val="00A345E0"/>
    <w:rsid w:val="00A346F1"/>
    <w:rsid w:val="00A346F5"/>
    <w:rsid w:val="00A3478E"/>
    <w:rsid w:val="00A34891"/>
    <w:rsid w:val="00A34899"/>
    <w:rsid w:val="00A34A4F"/>
    <w:rsid w:val="00A34B31"/>
    <w:rsid w:val="00A34C54"/>
    <w:rsid w:val="00A34C9E"/>
    <w:rsid w:val="00A34E0A"/>
    <w:rsid w:val="00A34E4C"/>
    <w:rsid w:val="00A34EF5"/>
    <w:rsid w:val="00A354C5"/>
    <w:rsid w:val="00A355EC"/>
    <w:rsid w:val="00A35727"/>
    <w:rsid w:val="00A357FD"/>
    <w:rsid w:val="00A3587A"/>
    <w:rsid w:val="00A35A7B"/>
    <w:rsid w:val="00A35DCE"/>
    <w:rsid w:val="00A35E9D"/>
    <w:rsid w:val="00A35F8B"/>
    <w:rsid w:val="00A3608A"/>
    <w:rsid w:val="00A360AD"/>
    <w:rsid w:val="00A360E7"/>
    <w:rsid w:val="00A36160"/>
    <w:rsid w:val="00A36345"/>
    <w:rsid w:val="00A36626"/>
    <w:rsid w:val="00A368F1"/>
    <w:rsid w:val="00A36D3D"/>
    <w:rsid w:val="00A36D80"/>
    <w:rsid w:val="00A36DB9"/>
    <w:rsid w:val="00A36ED9"/>
    <w:rsid w:val="00A370A4"/>
    <w:rsid w:val="00A372C7"/>
    <w:rsid w:val="00A3756E"/>
    <w:rsid w:val="00A37641"/>
    <w:rsid w:val="00A377F0"/>
    <w:rsid w:val="00A37AAD"/>
    <w:rsid w:val="00A37BA4"/>
    <w:rsid w:val="00A37C6D"/>
    <w:rsid w:val="00A37E5F"/>
    <w:rsid w:val="00A37E7A"/>
    <w:rsid w:val="00A37F38"/>
    <w:rsid w:val="00A40076"/>
    <w:rsid w:val="00A40473"/>
    <w:rsid w:val="00A404CC"/>
    <w:rsid w:val="00A406D1"/>
    <w:rsid w:val="00A408F4"/>
    <w:rsid w:val="00A409F7"/>
    <w:rsid w:val="00A40ABF"/>
    <w:rsid w:val="00A40C15"/>
    <w:rsid w:val="00A40D2A"/>
    <w:rsid w:val="00A40E2C"/>
    <w:rsid w:val="00A41216"/>
    <w:rsid w:val="00A4129E"/>
    <w:rsid w:val="00A4130A"/>
    <w:rsid w:val="00A41883"/>
    <w:rsid w:val="00A4194A"/>
    <w:rsid w:val="00A41A5D"/>
    <w:rsid w:val="00A41CDF"/>
    <w:rsid w:val="00A41D5C"/>
    <w:rsid w:val="00A41DCF"/>
    <w:rsid w:val="00A41FAB"/>
    <w:rsid w:val="00A42015"/>
    <w:rsid w:val="00A4205E"/>
    <w:rsid w:val="00A42273"/>
    <w:rsid w:val="00A422B5"/>
    <w:rsid w:val="00A424D2"/>
    <w:rsid w:val="00A42538"/>
    <w:rsid w:val="00A4264F"/>
    <w:rsid w:val="00A4267D"/>
    <w:rsid w:val="00A42741"/>
    <w:rsid w:val="00A42892"/>
    <w:rsid w:val="00A428F0"/>
    <w:rsid w:val="00A42C58"/>
    <w:rsid w:val="00A42CAC"/>
    <w:rsid w:val="00A42DC7"/>
    <w:rsid w:val="00A42DE4"/>
    <w:rsid w:val="00A42F4F"/>
    <w:rsid w:val="00A43191"/>
    <w:rsid w:val="00A43241"/>
    <w:rsid w:val="00A43262"/>
    <w:rsid w:val="00A432CA"/>
    <w:rsid w:val="00A4333A"/>
    <w:rsid w:val="00A43579"/>
    <w:rsid w:val="00A4374E"/>
    <w:rsid w:val="00A43BD3"/>
    <w:rsid w:val="00A43BFC"/>
    <w:rsid w:val="00A43E84"/>
    <w:rsid w:val="00A43E8E"/>
    <w:rsid w:val="00A43E95"/>
    <w:rsid w:val="00A43FCC"/>
    <w:rsid w:val="00A441B5"/>
    <w:rsid w:val="00A44A5D"/>
    <w:rsid w:val="00A44A9E"/>
    <w:rsid w:val="00A44AF8"/>
    <w:rsid w:val="00A44C7B"/>
    <w:rsid w:val="00A44E32"/>
    <w:rsid w:val="00A44E9D"/>
    <w:rsid w:val="00A45107"/>
    <w:rsid w:val="00A451B3"/>
    <w:rsid w:val="00A452B3"/>
    <w:rsid w:val="00A4541E"/>
    <w:rsid w:val="00A45585"/>
    <w:rsid w:val="00A456EE"/>
    <w:rsid w:val="00A45918"/>
    <w:rsid w:val="00A45B48"/>
    <w:rsid w:val="00A45B4E"/>
    <w:rsid w:val="00A45B97"/>
    <w:rsid w:val="00A45C92"/>
    <w:rsid w:val="00A45D73"/>
    <w:rsid w:val="00A45DC8"/>
    <w:rsid w:val="00A45E97"/>
    <w:rsid w:val="00A45F13"/>
    <w:rsid w:val="00A4616D"/>
    <w:rsid w:val="00A4618E"/>
    <w:rsid w:val="00A46210"/>
    <w:rsid w:val="00A462EF"/>
    <w:rsid w:val="00A463C9"/>
    <w:rsid w:val="00A466EE"/>
    <w:rsid w:val="00A4673B"/>
    <w:rsid w:val="00A468AA"/>
    <w:rsid w:val="00A468FA"/>
    <w:rsid w:val="00A4691B"/>
    <w:rsid w:val="00A46991"/>
    <w:rsid w:val="00A46BB6"/>
    <w:rsid w:val="00A46C79"/>
    <w:rsid w:val="00A47103"/>
    <w:rsid w:val="00A47105"/>
    <w:rsid w:val="00A4720A"/>
    <w:rsid w:val="00A475EE"/>
    <w:rsid w:val="00A479CA"/>
    <w:rsid w:val="00A47B8C"/>
    <w:rsid w:val="00A47BEB"/>
    <w:rsid w:val="00A47CC3"/>
    <w:rsid w:val="00A47DC1"/>
    <w:rsid w:val="00A47E58"/>
    <w:rsid w:val="00A47E72"/>
    <w:rsid w:val="00A47EAE"/>
    <w:rsid w:val="00A50370"/>
    <w:rsid w:val="00A50636"/>
    <w:rsid w:val="00A507AA"/>
    <w:rsid w:val="00A50829"/>
    <w:rsid w:val="00A50A3B"/>
    <w:rsid w:val="00A50A66"/>
    <w:rsid w:val="00A50D25"/>
    <w:rsid w:val="00A50DB3"/>
    <w:rsid w:val="00A50EBD"/>
    <w:rsid w:val="00A50FC8"/>
    <w:rsid w:val="00A51128"/>
    <w:rsid w:val="00A512DD"/>
    <w:rsid w:val="00A51567"/>
    <w:rsid w:val="00A5159A"/>
    <w:rsid w:val="00A51662"/>
    <w:rsid w:val="00A51780"/>
    <w:rsid w:val="00A51A28"/>
    <w:rsid w:val="00A51CA8"/>
    <w:rsid w:val="00A51EC4"/>
    <w:rsid w:val="00A52013"/>
    <w:rsid w:val="00A522FA"/>
    <w:rsid w:val="00A52353"/>
    <w:rsid w:val="00A52369"/>
    <w:rsid w:val="00A524C4"/>
    <w:rsid w:val="00A52A65"/>
    <w:rsid w:val="00A52AED"/>
    <w:rsid w:val="00A52D5C"/>
    <w:rsid w:val="00A52E7A"/>
    <w:rsid w:val="00A532A2"/>
    <w:rsid w:val="00A533D9"/>
    <w:rsid w:val="00A533F3"/>
    <w:rsid w:val="00A53557"/>
    <w:rsid w:val="00A53707"/>
    <w:rsid w:val="00A537E1"/>
    <w:rsid w:val="00A538D6"/>
    <w:rsid w:val="00A538EC"/>
    <w:rsid w:val="00A53A2C"/>
    <w:rsid w:val="00A53AFC"/>
    <w:rsid w:val="00A53F82"/>
    <w:rsid w:val="00A54051"/>
    <w:rsid w:val="00A541C6"/>
    <w:rsid w:val="00A541EF"/>
    <w:rsid w:val="00A5426C"/>
    <w:rsid w:val="00A54555"/>
    <w:rsid w:val="00A545BB"/>
    <w:rsid w:val="00A54622"/>
    <w:rsid w:val="00A548AE"/>
    <w:rsid w:val="00A549E5"/>
    <w:rsid w:val="00A54A87"/>
    <w:rsid w:val="00A54CD1"/>
    <w:rsid w:val="00A54D8F"/>
    <w:rsid w:val="00A54D9B"/>
    <w:rsid w:val="00A54DBD"/>
    <w:rsid w:val="00A54F25"/>
    <w:rsid w:val="00A54F9C"/>
    <w:rsid w:val="00A552F9"/>
    <w:rsid w:val="00A55309"/>
    <w:rsid w:val="00A5544A"/>
    <w:rsid w:val="00A5560E"/>
    <w:rsid w:val="00A556D2"/>
    <w:rsid w:val="00A55830"/>
    <w:rsid w:val="00A558CD"/>
    <w:rsid w:val="00A55913"/>
    <w:rsid w:val="00A55BE5"/>
    <w:rsid w:val="00A55C39"/>
    <w:rsid w:val="00A55C6C"/>
    <w:rsid w:val="00A55D13"/>
    <w:rsid w:val="00A55D9C"/>
    <w:rsid w:val="00A55F3B"/>
    <w:rsid w:val="00A55FC0"/>
    <w:rsid w:val="00A55FF0"/>
    <w:rsid w:val="00A56333"/>
    <w:rsid w:val="00A56448"/>
    <w:rsid w:val="00A568A3"/>
    <w:rsid w:val="00A56B11"/>
    <w:rsid w:val="00A56C6D"/>
    <w:rsid w:val="00A56CDB"/>
    <w:rsid w:val="00A56D52"/>
    <w:rsid w:val="00A56EFA"/>
    <w:rsid w:val="00A56F57"/>
    <w:rsid w:val="00A56F95"/>
    <w:rsid w:val="00A572BE"/>
    <w:rsid w:val="00A57657"/>
    <w:rsid w:val="00A57768"/>
    <w:rsid w:val="00A57CFF"/>
    <w:rsid w:val="00A57E38"/>
    <w:rsid w:val="00A57F8B"/>
    <w:rsid w:val="00A6008A"/>
    <w:rsid w:val="00A604E9"/>
    <w:rsid w:val="00A6068A"/>
    <w:rsid w:val="00A60707"/>
    <w:rsid w:val="00A6086F"/>
    <w:rsid w:val="00A609B2"/>
    <w:rsid w:val="00A60BE9"/>
    <w:rsid w:val="00A60D38"/>
    <w:rsid w:val="00A60F64"/>
    <w:rsid w:val="00A60FE8"/>
    <w:rsid w:val="00A61174"/>
    <w:rsid w:val="00A611A4"/>
    <w:rsid w:val="00A6120C"/>
    <w:rsid w:val="00A61313"/>
    <w:rsid w:val="00A6145D"/>
    <w:rsid w:val="00A618BC"/>
    <w:rsid w:val="00A61C30"/>
    <w:rsid w:val="00A61D99"/>
    <w:rsid w:val="00A62030"/>
    <w:rsid w:val="00A62101"/>
    <w:rsid w:val="00A6213E"/>
    <w:rsid w:val="00A621D5"/>
    <w:rsid w:val="00A6236B"/>
    <w:rsid w:val="00A627B4"/>
    <w:rsid w:val="00A62855"/>
    <w:rsid w:val="00A6298F"/>
    <w:rsid w:val="00A62A53"/>
    <w:rsid w:val="00A62A7E"/>
    <w:rsid w:val="00A62B3A"/>
    <w:rsid w:val="00A62BB6"/>
    <w:rsid w:val="00A62DEC"/>
    <w:rsid w:val="00A631D8"/>
    <w:rsid w:val="00A6326A"/>
    <w:rsid w:val="00A63291"/>
    <w:rsid w:val="00A635FA"/>
    <w:rsid w:val="00A637B9"/>
    <w:rsid w:val="00A63996"/>
    <w:rsid w:val="00A639DB"/>
    <w:rsid w:val="00A63C78"/>
    <w:rsid w:val="00A63DE5"/>
    <w:rsid w:val="00A64327"/>
    <w:rsid w:val="00A644E2"/>
    <w:rsid w:val="00A647D5"/>
    <w:rsid w:val="00A6492B"/>
    <w:rsid w:val="00A64C16"/>
    <w:rsid w:val="00A64D86"/>
    <w:rsid w:val="00A64F2F"/>
    <w:rsid w:val="00A65072"/>
    <w:rsid w:val="00A65105"/>
    <w:rsid w:val="00A65299"/>
    <w:rsid w:val="00A653B5"/>
    <w:rsid w:val="00A65431"/>
    <w:rsid w:val="00A6553D"/>
    <w:rsid w:val="00A655BA"/>
    <w:rsid w:val="00A65DA7"/>
    <w:rsid w:val="00A65E69"/>
    <w:rsid w:val="00A65FE4"/>
    <w:rsid w:val="00A6625E"/>
    <w:rsid w:val="00A66281"/>
    <w:rsid w:val="00A662A3"/>
    <w:rsid w:val="00A663A6"/>
    <w:rsid w:val="00A663CE"/>
    <w:rsid w:val="00A66485"/>
    <w:rsid w:val="00A664A1"/>
    <w:rsid w:val="00A66600"/>
    <w:rsid w:val="00A667B2"/>
    <w:rsid w:val="00A66849"/>
    <w:rsid w:val="00A6692B"/>
    <w:rsid w:val="00A6692F"/>
    <w:rsid w:val="00A66A10"/>
    <w:rsid w:val="00A66D61"/>
    <w:rsid w:val="00A66E61"/>
    <w:rsid w:val="00A66E95"/>
    <w:rsid w:val="00A66EF2"/>
    <w:rsid w:val="00A66F3C"/>
    <w:rsid w:val="00A671A0"/>
    <w:rsid w:val="00A67370"/>
    <w:rsid w:val="00A675C5"/>
    <w:rsid w:val="00A67633"/>
    <w:rsid w:val="00A67929"/>
    <w:rsid w:val="00A67935"/>
    <w:rsid w:val="00A67976"/>
    <w:rsid w:val="00A679D3"/>
    <w:rsid w:val="00A67C44"/>
    <w:rsid w:val="00A67CDB"/>
    <w:rsid w:val="00A67E76"/>
    <w:rsid w:val="00A700D7"/>
    <w:rsid w:val="00A705E8"/>
    <w:rsid w:val="00A705F3"/>
    <w:rsid w:val="00A70636"/>
    <w:rsid w:val="00A707A1"/>
    <w:rsid w:val="00A7086B"/>
    <w:rsid w:val="00A708BB"/>
    <w:rsid w:val="00A708ED"/>
    <w:rsid w:val="00A7090C"/>
    <w:rsid w:val="00A70A11"/>
    <w:rsid w:val="00A70AB2"/>
    <w:rsid w:val="00A70BDC"/>
    <w:rsid w:val="00A70D34"/>
    <w:rsid w:val="00A70E27"/>
    <w:rsid w:val="00A70EBF"/>
    <w:rsid w:val="00A70EE8"/>
    <w:rsid w:val="00A70F33"/>
    <w:rsid w:val="00A70F8F"/>
    <w:rsid w:val="00A70FC1"/>
    <w:rsid w:val="00A70FE4"/>
    <w:rsid w:val="00A7127E"/>
    <w:rsid w:val="00A712D8"/>
    <w:rsid w:val="00A71597"/>
    <w:rsid w:val="00A7176D"/>
    <w:rsid w:val="00A717B2"/>
    <w:rsid w:val="00A717F5"/>
    <w:rsid w:val="00A7194F"/>
    <w:rsid w:val="00A71A9C"/>
    <w:rsid w:val="00A71B25"/>
    <w:rsid w:val="00A71B50"/>
    <w:rsid w:val="00A71C6E"/>
    <w:rsid w:val="00A71D8A"/>
    <w:rsid w:val="00A71E04"/>
    <w:rsid w:val="00A71F0D"/>
    <w:rsid w:val="00A720AB"/>
    <w:rsid w:val="00A7231D"/>
    <w:rsid w:val="00A72497"/>
    <w:rsid w:val="00A72693"/>
    <w:rsid w:val="00A72889"/>
    <w:rsid w:val="00A72B27"/>
    <w:rsid w:val="00A72E33"/>
    <w:rsid w:val="00A72F7D"/>
    <w:rsid w:val="00A730F3"/>
    <w:rsid w:val="00A73123"/>
    <w:rsid w:val="00A7316C"/>
    <w:rsid w:val="00A731B4"/>
    <w:rsid w:val="00A731C0"/>
    <w:rsid w:val="00A73265"/>
    <w:rsid w:val="00A73324"/>
    <w:rsid w:val="00A7334F"/>
    <w:rsid w:val="00A7340B"/>
    <w:rsid w:val="00A73481"/>
    <w:rsid w:val="00A7363D"/>
    <w:rsid w:val="00A736C4"/>
    <w:rsid w:val="00A73842"/>
    <w:rsid w:val="00A73AA0"/>
    <w:rsid w:val="00A73B5B"/>
    <w:rsid w:val="00A73BC3"/>
    <w:rsid w:val="00A73F10"/>
    <w:rsid w:val="00A742A4"/>
    <w:rsid w:val="00A7448B"/>
    <w:rsid w:val="00A7488F"/>
    <w:rsid w:val="00A75267"/>
    <w:rsid w:val="00A7530A"/>
    <w:rsid w:val="00A75507"/>
    <w:rsid w:val="00A758F9"/>
    <w:rsid w:val="00A7595F"/>
    <w:rsid w:val="00A75B49"/>
    <w:rsid w:val="00A7619E"/>
    <w:rsid w:val="00A76352"/>
    <w:rsid w:val="00A763AB"/>
    <w:rsid w:val="00A7648C"/>
    <w:rsid w:val="00A76543"/>
    <w:rsid w:val="00A7661E"/>
    <w:rsid w:val="00A766BE"/>
    <w:rsid w:val="00A7672E"/>
    <w:rsid w:val="00A767C8"/>
    <w:rsid w:val="00A769F9"/>
    <w:rsid w:val="00A76A59"/>
    <w:rsid w:val="00A76DE8"/>
    <w:rsid w:val="00A77138"/>
    <w:rsid w:val="00A771AC"/>
    <w:rsid w:val="00A771C5"/>
    <w:rsid w:val="00A77298"/>
    <w:rsid w:val="00A7775D"/>
    <w:rsid w:val="00A77984"/>
    <w:rsid w:val="00A77A2F"/>
    <w:rsid w:val="00A77C28"/>
    <w:rsid w:val="00A77C68"/>
    <w:rsid w:val="00A77D65"/>
    <w:rsid w:val="00A77E15"/>
    <w:rsid w:val="00A77F0D"/>
    <w:rsid w:val="00A77F87"/>
    <w:rsid w:val="00A800CE"/>
    <w:rsid w:val="00A80117"/>
    <w:rsid w:val="00A803E5"/>
    <w:rsid w:val="00A807B6"/>
    <w:rsid w:val="00A809DD"/>
    <w:rsid w:val="00A80B0D"/>
    <w:rsid w:val="00A80BA1"/>
    <w:rsid w:val="00A80C55"/>
    <w:rsid w:val="00A80C6D"/>
    <w:rsid w:val="00A80E98"/>
    <w:rsid w:val="00A80F62"/>
    <w:rsid w:val="00A81137"/>
    <w:rsid w:val="00A816CD"/>
    <w:rsid w:val="00A819C6"/>
    <w:rsid w:val="00A819FF"/>
    <w:rsid w:val="00A81A7E"/>
    <w:rsid w:val="00A81B27"/>
    <w:rsid w:val="00A81B5C"/>
    <w:rsid w:val="00A81B79"/>
    <w:rsid w:val="00A81C26"/>
    <w:rsid w:val="00A81E58"/>
    <w:rsid w:val="00A82153"/>
    <w:rsid w:val="00A825AA"/>
    <w:rsid w:val="00A826BA"/>
    <w:rsid w:val="00A82AFB"/>
    <w:rsid w:val="00A82B97"/>
    <w:rsid w:val="00A82BE5"/>
    <w:rsid w:val="00A83056"/>
    <w:rsid w:val="00A8330E"/>
    <w:rsid w:val="00A83327"/>
    <w:rsid w:val="00A833EC"/>
    <w:rsid w:val="00A834B4"/>
    <w:rsid w:val="00A83541"/>
    <w:rsid w:val="00A835C1"/>
    <w:rsid w:val="00A835DB"/>
    <w:rsid w:val="00A8386D"/>
    <w:rsid w:val="00A838D8"/>
    <w:rsid w:val="00A83C42"/>
    <w:rsid w:val="00A83EFA"/>
    <w:rsid w:val="00A83F3A"/>
    <w:rsid w:val="00A83F64"/>
    <w:rsid w:val="00A83F75"/>
    <w:rsid w:val="00A841D9"/>
    <w:rsid w:val="00A844CF"/>
    <w:rsid w:val="00A84699"/>
    <w:rsid w:val="00A84772"/>
    <w:rsid w:val="00A847E4"/>
    <w:rsid w:val="00A84992"/>
    <w:rsid w:val="00A84E38"/>
    <w:rsid w:val="00A84E6B"/>
    <w:rsid w:val="00A8500A"/>
    <w:rsid w:val="00A851B3"/>
    <w:rsid w:val="00A851B5"/>
    <w:rsid w:val="00A851EE"/>
    <w:rsid w:val="00A852EF"/>
    <w:rsid w:val="00A85547"/>
    <w:rsid w:val="00A85584"/>
    <w:rsid w:val="00A85700"/>
    <w:rsid w:val="00A85CD3"/>
    <w:rsid w:val="00A85FE9"/>
    <w:rsid w:val="00A86087"/>
    <w:rsid w:val="00A86363"/>
    <w:rsid w:val="00A8694A"/>
    <w:rsid w:val="00A86BDF"/>
    <w:rsid w:val="00A86CD2"/>
    <w:rsid w:val="00A86E7D"/>
    <w:rsid w:val="00A87142"/>
    <w:rsid w:val="00A8716C"/>
    <w:rsid w:val="00A871F9"/>
    <w:rsid w:val="00A872D1"/>
    <w:rsid w:val="00A87412"/>
    <w:rsid w:val="00A8745F"/>
    <w:rsid w:val="00A87481"/>
    <w:rsid w:val="00A8748B"/>
    <w:rsid w:val="00A8754D"/>
    <w:rsid w:val="00A87693"/>
    <w:rsid w:val="00A879D4"/>
    <w:rsid w:val="00A87A68"/>
    <w:rsid w:val="00A87BD8"/>
    <w:rsid w:val="00A87BE6"/>
    <w:rsid w:val="00A87F06"/>
    <w:rsid w:val="00A87F79"/>
    <w:rsid w:val="00A9006E"/>
    <w:rsid w:val="00A900FF"/>
    <w:rsid w:val="00A90334"/>
    <w:rsid w:val="00A90347"/>
    <w:rsid w:val="00A9039A"/>
    <w:rsid w:val="00A904F5"/>
    <w:rsid w:val="00A90541"/>
    <w:rsid w:val="00A90759"/>
    <w:rsid w:val="00A9079F"/>
    <w:rsid w:val="00A9087A"/>
    <w:rsid w:val="00A909A6"/>
    <w:rsid w:val="00A90A38"/>
    <w:rsid w:val="00A90EE9"/>
    <w:rsid w:val="00A911C1"/>
    <w:rsid w:val="00A913F0"/>
    <w:rsid w:val="00A91535"/>
    <w:rsid w:val="00A9181F"/>
    <w:rsid w:val="00A91868"/>
    <w:rsid w:val="00A919BC"/>
    <w:rsid w:val="00A91A8F"/>
    <w:rsid w:val="00A91ADE"/>
    <w:rsid w:val="00A91B16"/>
    <w:rsid w:val="00A91C30"/>
    <w:rsid w:val="00A91C58"/>
    <w:rsid w:val="00A91FF9"/>
    <w:rsid w:val="00A9200A"/>
    <w:rsid w:val="00A9211E"/>
    <w:rsid w:val="00A923D3"/>
    <w:rsid w:val="00A923EB"/>
    <w:rsid w:val="00A9251E"/>
    <w:rsid w:val="00A9265A"/>
    <w:rsid w:val="00A926FF"/>
    <w:rsid w:val="00A92733"/>
    <w:rsid w:val="00A92881"/>
    <w:rsid w:val="00A92A9C"/>
    <w:rsid w:val="00A92AE7"/>
    <w:rsid w:val="00A92B5F"/>
    <w:rsid w:val="00A92C63"/>
    <w:rsid w:val="00A92CB4"/>
    <w:rsid w:val="00A92E06"/>
    <w:rsid w:val="00A93226"/>
    <w:rsid w:val="00A934C5"/>
    <w:rsid w:val="00A935D7"/>
    <w:rsid w:val="00A93779"/>
    <w:rsid w:val="00A938F1"/>
    <w:rsid w:val="00A939FA"/>
    <w:rsid w:val="00A93A19"/>
    <w:rsid w:val="00A93D8C"/>
    <w:rsid w:val="00A93D93"/>
    <w:rsid w:val="00A93E7A"/>
    <w:rsid w:val="00A93EE9"/>
    <w:rsid w:val="00A93FF5"/>
    <w:rsid w:val="00A93FF9"/>
    <w:rsid w:val="00A94036"/>
    <w:rsid w:val="00A94102"/>
    <w:rsid w:val="00A94143"/>
    <w:rsid w:val="00A942E4"/>
    <w:rsid w:val="00A943A3"/>
    <w:rsid w:val="00A943FC"/>
    <w:rsid w:val="00A9443D"/>
    <w:rsid w:val="00A944C4"/>
    <w:rsid w:val="00A945AF"/>
    <w:rsid w:val="00A946DA"/>
    <w:rsid w:val="00A94C5F"/>
    <w:rsid w:val="00A94DA6"/>
    <w:rsid w:val="00A94E51"/>
    <w:rsid w:val="00A94E5E"/>
    <w:rsid w:val="00A94EB1"/>
    <w:rsid w:val="00A950A0"/>
    <w:rsid w:val="00A9513C"/>
    <w:rsid w:val="00A952E4"/>
    <w:rsid w:val="00A953B7"/>
    <w:rsid w:val="00A953C7"/>
    <w:rsid w:val="00A955D5"/>
    <w:rsid w:val="00A9569D"/>
    <w:rsid w:val="00A95787"/>
    <w:rsid w:val="00A95B22"/>
    <w:rsid w:val="00A95C31"/>
    <w:rsid w:val="00A95F47"/>
    <w:rsid w:val="00A95FAF"/>
    <w:rsid w:val="00A96097"/>
    <w:rsid w:val="00A9612A"/>
    <w:rsid w:val="00A962AE"/>
    <w:rsid w:val="00A964B5"/>
    <w:rsid w:val="00A9659C"/>
    <w:rsid w:val="00A96B39"/>
    <w:rsid w:val="00A96B84"/>
    <w:rsid w:val="00A96BBA"/>
    <w:rsid w:val="00A96F35"/>
    <w:rsid w:val="00A96F47"/>
    <w:rsid w:val="00A96F7C"/>
    <w:rsid w:val="00A96F9B"/>
    <w:rsid w:val="00A96FFC"/>
    <w:rsid w:val="00A97098"/>
    <w:rsid w:val="00A97185"/>
    <w:rsid w:val="00A9719B"/>
    <w:rsid w:val="00A97206"/>
    <w:rsid w:val="00A9758A"/>
    <w:rsid w:val="00A9769D"/>
    <w:rsid w:val="00A976A7"/>
    <w:rsid w:val="00A976E5"/>
    <w:rsid w:val="00A976FA"/>
    <w:rsid w:val="00A97748"/>
    <w:rsid w:val="00A97A0D"/>
    <w:rsid w:val="00A97A56"/>
    <w:rsid w:val="00A97CE5"/>
    <w:rsid w:val="00A97DC3"/>
    <w:rsid w:val="00AA0398"/>
    <w:rsid w:val="00AA03E3"/>
    <w:rsid w:val="00AA046A"/>
    <w:rsid w:val="00AA047F"/>
    <w:rsid w:val="00AA0543"/>
    <w:rsid w:val="00AA05A5"/>
    <w:rsid w:val="00AA064D"/>
    <w:rsid w:val="00AA073B"/>
    <w:rsid w:val="00AA07DA"/>
    <w:rsid w:val="00AA0809"/>
    <w:rsid w:val="00AA0830"/>
    <w:rsid w:val="00AA0841"/>
    <w:rsid w:val="00AA0AC0"/>
    <w:rsid w:val="00AA0B81"/>
    <w:rsid w:val="00AA0BE9"/>
    <w:rsid w:val="00AA0CE8"/>
    <w:rsid w:val="00AA0E9A"/>
    <w:rsid w:val="00AA0F48"/>
    <w:rsid w:val="00AA1060"/>
    <w:rsid w:val="00AA1580"/>
    <w:rsid w:val="00AA16E3"/>
    <w:rsid w:val="00AA1756"/>
    <w:rsid w:val="00AA179C"/>
    <w:rsid w:val="00AA190C"/>
    <w:rsid w:val="00AA1A55"/>
    <w:rsid w:val="00AA1AE8"/>
    <w:rsid w:val="00AA1D6B"/>
    <w:rsid w:val="00AA1DEF"/>
    <w:rsid w:val="00AA2030"/>
    <w:rsid w:val="00AA2351"/>
    <w:rsid w:val="00AA235D"/>
    <w:rsid w:val="00AA24A4"/>
    <w:rsid w:val="00AA25BA"/>
    <w:rsid w:val="00AA2665"/>
    <w:rsid w:val="00AA2697"/>
    <w:rsid w:val="00AA27E9"/>
    <w:rsid w:val="00AA2AFB"/>
    <w:rsid w:val="00AA2CC2"/>
    <w:rsid w:val="00AA2D57"/>
    <w:rsid w:val="00AA2DE7"/>
    <w:rsid w:val="00AA2EA8"/>
    <w:rsid w:val="00AA2F4B"/>
    <w:rsid w:val="00AA302C"/>
    <w:rsid w:val="00AA3118"/>
    <w:rsid w:val="00AA3319"/>
    <w:rsid w:val="00AA346C"/>
    <w:rsid w:val="00AA361F"/>
    <w:rsid w:val="00AA3B0C"/>
    <w:rsid w:val="00AA3B6F"/>
    <w:rsid w:val="00AA3BC1"/>
    <w:rsid w:val="00AA3C8E"/>
    <w:rsid w:val="00AA3DA2"/>
    <w:rsid w:val="00AA3E3A"/>
    <w:rsid w:val="00AA3EF6"/>
    <w:rsid w:val="00AA3EFE"/>
    <w:rsid w:val="00AA3F52"/>
    <w:rsid w:val="00AA4188"/>
    <w:rsid w:val="00AA4550"/>
    <w:rsid w:val="00AA4555"/>
    <w:rsid w:val="00AA4624"/>
    <w:rsid w:val="00AA464E"/>
    <w:rsid w:val="00AA4749"/>
    <w:rsid w:val="00AA49D7"/>
    <w:rsid w:val="00AA49E4"/>
    <w:rsid w:val="00AA4C57"/>
    <w:rsid w:val="00AA4EB6"/>
    <w:rsid w:val="00AA4F91"/>
    <w:rsid w:val="00AA502B"/>
    <w:rsid w:val="00AA50CC"/>
    <w:rsid w:val="00AA50FF"/>
    <w:rsid w:val="00AA510D"/>
    <w:rsid w:val="00AA52A2"/>
    <w:rsid w:val="00AA554A"/>
    <w:rsid w:val="00AA56A9"/>
    <w:rsid w:val="00AA5776"/>
    <w:rsid w:val="00AA5B11"/>
    <w:rsid w:val="00AA5B3D"/>
    <w:rsid w:val="00AA5CC0"/>
    <w:rsid w:val="00AA5EB8"/>
    <w:rsid w:val="00AA5F67"/>
    <w:rsid w:val="00AA6123"/>
    <w:rsid w:val="00AA63E3"/>
    <w:rsid w:val="00AA6460"/>
    <w:rsid w:val="00AA677B"/>
    <w:rsid w:val="00AA6833"/>
    <w:rsid w:val="00AA685D"/>
    <w:rsid w:val="00AA6904"/>
    <w:rsid w:val="00AA6A07"/>
    <w:rsid w:val="00AA6CD6"/>
    <w:rsid w:val="00AA708C"/>
    <w:rsid w:val="00AA70EA"/>
    <w:rsid w:val="00AA733D"/>
    <w:rsid w:val="00AA749B"/>
    <w:rsid w:val="00AA74D5"/>
    <w:rsid w:val="00AA76F3"/>
    <w:rsid w:val="00AA77AF"/>
    <w:rsid w:val="00AA784E"/>
    <w:rsid w:val="00AA7958"/>
    <w:rsid w:val="00AA79FB"/>
    <w:rsid w:val="00AA7A0E"/>
    <w:rsid w:val="00AA7CF6"/>
    <w:rsid w:val="00AA7D33"/>
    <w:rsid w:val="00AA7DB7"/>
    <w:rsid w:val="00AA7EB2"/>
    <w:rsid w:val="00AA7F1C"/>
    <w:rsid w:val="00AA7F7F"/>
    <w:rsid w:val="00AB0174"/>
    <w:rsid w:val="00AB0364"/>
    <w:rsid w:val="00AB03E0"/>
    <w:rsid w:val="00AB0599"/>
    <w:rsid w:val="00AB0706"/>
    <w:rsid w:val="00AB0748"/>
    <w:rsid w:val="00AB08E4"/>
    <w:rsid w:val="00AB0B1B"/>
    <w:rsid w:val="00AB0B55"/>
    <w:rsid w:val="00AB0DB7"/>
    <w:rsid w:val="00AB1064"/>
    <w:rsid w:val="00AB10EB"/>
    <w:rsid w:val="00AB114B"/>
    <w:rsid w:val="00AB1202"/>
    <w:rsid w:val="00AB129F"/>
    <w:rsid w:val="00AB13A3"/>
    <w:rsid w:val="00AB1689"/>
    <w:rsid w:val="00AB16CE"/>
    <w:rsid w:val="00AB1895"/>
    <w:rsid w:val="00AB1931"/>
    <w:rsid w:val="00AB1A10"/>
    <w:rsid w:val="00AB1D18"/>
    <w:rsid w:val="00AB1D78"/>
    <w:rsid w:val="00AB1D80"/>
    <w:rsid w:val="00AB1DB4"/>
    <w:rsid w:val="00AB1F25"/>
    <w:rsid w:val="00AB20ED"/>
    <w:rsid w:val="00AB24B3"/>
    <w:rsid w:val="00AB2AA5"/>
    <w:rsid w:val="00AB2B1D"/>
    <w:rsid w:val="00AB2B3D"/>
    <w:rsid w:val="00AB2B50"/>
    <w:rsid w:val="00AB2C2C"/>
    <w:rsid w:val="00AB2C6B"/>
    <w:rsid w:val="00AB2D2D"/>
    <w:rsid w:val="00AB2E2F"/>
    <w:rsid w:val="00AB2FF1"/>
    <w:rsid w:val="00AB35A6"/>
    <w:rsid w:val="00AB375E"/>
    <w:rsid w:val="00AB37B2"/>
    <w:rsid w:val="00AB3AAC"/>
    <w:rsid w:val="00AB3B8A"/>
    <w:rsid w:val="00AB3B8F"/>
    <w:rsid w:val="00AB3BE7"/>
    <w:rsid w:val="00AB3D27"/>
    <w:rsid w:val="00AB3D5C"/>
    <w:rsid w:val="00AB3DEA"/>
    <w:rsid w:val="00AB4163"/>
    <w:rsid w:val="00AB4339"/>
    <w:rsid w:val="00AB44ED"/>
    <w:rsid w:val="00AB4789"/>
    <w:rsid w:val="00AB4841"/>
    <w:rsid w:val="00AB498D"/>
    <w:rsid w:val="00AB4AE2"/>
    <w:rsid w:val="00AB4E04"/>
    <w:rsid w:val="00AB515B"/>
    <w:rsid w:val="00AB549A"/>
    <w:rsid w:val="00AB55ED"/>
    <w:rsid w:val="00AB563C"/>
    <w:rsid w:val="00AB5780"/>
    <w:rsid w:val="00AB57EA"/>
    <w:rsid w:val="00AB5A26"/>
    <w:rsid w:val="00AB5A5E"/>
    <w:rsid w:val="00AB5C1A"/>
    <w:rsid w:val="00AB5CAB"/>
    <w:rsid w:val="00AB5D0B"/>
    <w:rsid w:val="00AB5E00"/>
    <w:rsid w:val="00AB5E27"/>
    <w:rsid w:val="00AB5EDD"/>
    <w:rsid w:val="00AB5F26"/>
    <w:rsid w:val="00AB6020"/>
    <w:rsid w:val="00AB6086"/>
    <w:rsid w:val="00AB6150"/>
    <w:rsid w:val="00AB6514"/>
    <w:rsid w:val="00AB65D2"/>
    <w:rsid w:val="00AB6798"/>
    <w:rsid w:val="00AB67C6"/>
    <w:rsid w:val="00AB6A66"/>
    <w:rsid w:val="00AB6AC1"/>
    <w:rsid w:val="00AB6AD5"/>
    <w:rsid w:val="00AB6B3A"/>
    <w:rsid w:val="00AB6D83"/>
    <w:rsid w:val="00AB7065"/>
    <w:rsid w:val="00AB72AD"/>
    <w:rsid w:val="00AB73BE"/>
    <w:rsid w:val="00AB74C9"/>
    <w:rsid w:val="00AB750C"/>
    <w:rsid w:val="00AB751F"/>
    <w:rsid w:val="00AB75E8"/>
    <w:rsid w:val="00AB75FE"/>
    <w:rsid w:val="00AB780E"/>
    <w:rsid w:val="00AB78AA"/>
    <w:rsid w:val="00AB79A9"/>
    <w:rsid w:val="00AB79B7"/>
    <w:rsid w:val="00AB7BE6"/>
    <w:rsid w:val="00AB7EA7"/>
    <w:rsid w:val="00AB7EEE"/>
    <w:rsid w:val="00AB7F29"/>
    <w:rsid w:val="00AB7FD7"/>
    <w:rsid w:val="00AB7FE2"/>
    <w:rsid w:val="00AC0489"/>
    <w:rsid w:val="00AC0643"/>
    <w:rsid w:val="00AC0691"/>
    <w:rsid w:val="00AC0AD5"/>
    <w:rsid w:val="00AC0CA2"/>
    <w:rsid w:val="00AC0CEF"/>
    <w:rsid w:val="00AC0D67"/>
    <w:rsid w:val="00AC0D99"/>
    <w:rsid w:val="00AC0F15"/>
    <w:rsid w:val="00AC1073"/>
    <w:rsid w:val="00AC128A"/>
    <w:rsid w:val="00AC1373"/>
    <w:rsid w:val="00AC13C7"/>
    <w:rsid w:val="00AC1403"/>
    <w:rsid w:val="00AC152D"/>
    <w:rsid w:val="00AC1607"/>
    <w:rsid w:val="00AC1687"/>
    <w:rsid w:val="00AC181E"/>
    <w:rsid w:val="00AC18D4"/>
    <w:rsid w:val="00AC1AEF"/>
    <w:rsid w:val="00AC1AF7"/>
    <w:rsid w:val="00AC1C7D"/>
    <w:rsid w:val="00AC1DFB"/>
    <w:rsid w:val="00AC1EE7"/>
    <w:rsid w:val="00AC200C"/>
    <w:rsid w:val="00AC2270"/>
    <w:rsid w:val="00AC2304"/>
    <w:rsid w:val="00AC2333"/>
    <w:rsid w:val="00AC2471"/>
    <w:rsid w:val="00AC248C"/>
    <w:rsid w:val="00AC24E8"/>
    <w:rsid w:val="00AC2604"/>
    <w:rsid w:val="00AC2659"/>
    <w:rsid w:val="00AC2690"/>
    <w:rsid w:val="00AC26FD"/>
    <w:rsid w:val="00AC2871"/>
    <w:rsid w:val="00AC29B9"/>
    <w:rsid w:val="00AC2AD9"/>
    <w:rsid w:val="00AC2B6D"/>
    <w:rsid w:val="00AC2F94"/>
    <w:rsid w:val="00AC302A"/>
    <w:rsid w:val="00AC31B0"/>
    <w:rsid w:val="00AC31FC"/>
    <w:rsid w:val="00AC369F"/>
    <w:rsid w:val="00AC36EB"/>
    <w:rsid w:val="00AC3761"/>
    <w:rsid w:val="00AC3C5E"/>
    <w:rsid w:val="00AC3C7A"/>
    <w:rsid w:val="00AC3E14"/>
    <w:rsid w:val="00AC3F6C"/>
    <w:rsid w:val="00AC40E5"/>
    <w:rsid w:val="00AC4192"/>
    <w:rsid w:val="00AC4373"/>
    <w:rsid w:val="00AC4569"/>
    <w:rsid w:val="00AC46D3"/>
    <w:rsid w:val="00AC47F8"/>
    <w:rsid w:val="00AC4854"/>
    <w:rsid w:val="00AC4977"/>
    <w:rsid w:val="00AC4A40"/>
    <w:rsid w:val="00AC4CFC"/>
    <w:rsid w:val="00AC4F09"/>
    <w:rsid w:val="00AC4F6F"/>
    <w:rsid w:val="00AC500D"/>
    <w:rsid w:val="00AC5063"/>
    <w:rsid w:val="00AC51F3"/>
    <w:rsid w:val="00AC5412"/>
    <w:rsid w:val="00AC548C"/>
    <w:rsid w:val="00AC54B6"/>
    <w:rsid w:val="00AC5653"/>
    <w:rsid w:val="00AC59A6"/>
    <w:rsid w:val="00AC5A57"/>
    <w:rsid w:val="00AC5B63"/>
    <w:rsid w:val="00AC5C16"/>
    <w:rsid w:val="00AC5C2F"/>
    <w:rsid w:val="00AC5D56"/>
    <w:rsid w:val="00AC604F"/>
    <w:rsid w:val="00AC616F"/>
    <w:rsid w:val="00AC61A2"/>
    <w:rsid w:val="00AC61A5"/>
    <w:rsid w:val="00AC629C"/>
    <w:rsid w:val="00AC637B"/>
    <w:rsid w:val="00AC64E5"/>
    <w:rsid w:val="00AC659E"/>
    <w:rsid w:val="00AC66E1"/>
    <w:rsid w:val="00AC6772"/>
    <w:rsid w:val="00AC6811"/>
    <w:rsid w:val="00AC688D"/>
    <w:rsid w:val="00AC68ED"/>
    <w:rsid w:val="00AC6983"/>
    <w:rsid w:val="00AC6BDF"/>
    <w:rsid w:val="00AC6BF1"/>
    <w:rsid w:val="00AC6C39"/>
    <w:rsid w:val="00AC6C85"/>
    <w:rsid w:val="00AC6D7B"/>
    <w:rsid w:val="00AC6E87"/>
    <w:rsid w:val="00AC6F2D"/>
    <w:rsid w:val="00AC6F80"/>
    <w:rsid w:val="00AC6FB9"/>
    <w:rsid w:val="00AC7209"/>
    <w:rsid w:val="00AC73A0"/>
    <w:rsid w:val="00AC73F9"/>
    <w:rsid w:val="00AC746A"/>
    <w:rsid w:val="00AC75BA"/>
    <w:rsid w:val="00AC75D7"/>
    <w:rsid w:val="00AC7B67"/>
    <w:rsid w:val="00AC7C0F"/>
    <w:rsid w:val="00AC7C67"/>
    <w:rsid w:val="00AC7E0F"/>
    <w:rsid w:val="00AC7E80"/>
    <w:rsid w:val="00AD056A"/>
    <w:rsid w:val="00AD0A8C"/>
    <w:rsid w:val="00AD0A93"/>
    <w:rsid w:val="00AD0B58"/>
    <w:rsid w:val="00AD0BA7"/>
    <w:rsid w:val="00AD0BB0"/>
    <w:rsid w:val="00AD0BBE"/>
    <w:rsid w:val="00AD0D3E"/>
    <w:rsid w:val="00AD0E30"/>
    <w:rsid w:val="00AD0FFE"/>
    <w:rsid w:val="00AD1056"/>
    <w:rsid w:val="00AD1440"/>
    <w:rsid w:val="00AD1606"/>
    <w:rsid w:val="00AD16EE"/>
    <w:rsid w:val="00AD1818"/>
    <w:rsid w:val="00AD1949"/>
    <w:rsid w:val="00AD1A86"/>
    <w:rsid w:val="00AD1C09"/>
    <w:rsid w:val="00AD1CD4"/>
    <w:rsid w:val="00AD1E16"/>
    <w:rsid w:val="00AD1E3D"/>
    <w:rsid w:val="00AD1EE8"/>
    <w:rsid w:val="00AD1F57"/>
    <w:rsid w:val="00AD217C"/>
    <w:rsid w:val="00AD23A7"/>
    <w:rsid w:val="00AD2451"/>
    <w:rsid w:val="00AD25BA"/>
    <w:rsid w:val="00AD2772"/>
    <w:rsid w:val="00AD2812"/>
    <w:rsid w:val="00AD2AA9"/>
    <w:rsid w:val="00AD2DB1"/>
    <w:rsid w:val="00AD2F91"/>
    <w:rsid w:val="00AD2FE5"/>
    <w:rsid w:val="00AD313A"/>
    <w:rsid w:val="00AD3437"/>
    <w:rsid w:val="00AD3872"/>
    <w:rsid w:val="00AD39AB"/>
    <w:rsid w:val="00AD39B7"/>
    <w:rsid w:val="00AD3BDE"/>
    <w:rsid w:val="00AD3D32"/>
    <w:rsid w:val="00AD3FB6"/>
    <w:rsid w:val="00AD414C"/>
    <w:rsid w:val="00AD41F7"/>
    <w:rsid w:val="00AD443F"/>
    <w:rsid w:val="00AD4455"/>
    <w:rsid w:val="00AD445A"/>
    <w:rsid w:val="00AD463B"/>
    <w:rsid w:val="00AD47D4"/>
    <w:rsid w:val="00AD489E"/>
    <w:rsid w:val="00AD495D"/>
    <w:rsid w:val="00AD505B"/>
    <w:rsid w:val="00AD51D3"/>
    <w:rsid w:val="00AD5541"/>
    <w:rsid w:val="00AD5722"/>
    <w:rsid w:val="00AD5AA4"/>
    <w:rsid w:val="00AD5AB7"/>
    <w:rsid w:val="00AD5B91"/>
    <w:rsid w:val="00AD5C62"/>
    <w:rsid w:val="00AD5D9C"/>
    <w:rsid w:val="00AD5E1E"/>
    <w:rsid w:val="00AD60F4"/>
    <w:rsid w:val="00AD61D8"/>
    <w:rsid w:val="00AD62A5"/>
    <w:rsid w:val="00AD62F0"/>
    <w:rsid w:val="00AD63D8"/>
    <w:rsid w:val="00AD64E7"/>
    <w:rsid w:val="00AD6938"/>
    <w:rsid w:val="00AD6B7A"/>
    <w:rsid w:val="00AD70A7"/>
    <w:rsid w:val="00AD7250"/>
    <w:rsid w:val="00AD7491"/>
    <w:rsid w:val="00AD762A"/>
    <w:rsid w:val="00AD76CD"/>
    <w:rsid w:val="00AD77CF"/>
    <w:rsid w:val="00AD780F"/>
    <w:rsid w:val="00AD7D2F"/>
    <w:rsid w:val="00AD7F52"/>
    <w:rsid w:val="00AE040F"/>
    <w:rsid w:val="00AE058F"/>
    <w:rsid w:val="00AE05DC"/>
    <w:rsid w:val="00AE0894"/>
    <w:rsid w:val="00AE0987"/>
    <w:rsid w:val="00AE0A88"/>
    <w:rsid w:val="00AE0A99"/>
    <w:rsid w:val="00AE0BD3"/>
    <w:rsid w:val="00AE0CA8"/>
    <w:rsid w:val="00AE1232"/>
    <w:rsid w:val="00AE1438"/>
    <w:rsid w:val="00AE146C"/>
    <w:rsid w:val="00AE14BD"/>
    <w:rsid w:val="00AE1888"/>
    <w:rsid w:val="00AE1B76"/>
    <w:rsid w:val="00AE206D"/>
    <w:rsid w:val="00AE20BF"/>
    <w:rsid w:val="00AE2119"/>
    <w:rsid w:val="00AE217E"/>
    <w:rsid w:val="00AE238B"/>
    <w:rsid w:val="00AE24D1"/>
    <w:rsid w:val="00AE277A"/>
    <w:rsid w:val="00AE293C"/>
    <w:rsid w:val="00AE2A2B"/>
    <w:rsid w:val="00AE2A42"/>
    <w:rsid w:val="00AE2A4C"/>
    <w:rsid w:val="00AE2AF9"/>
    <w:rsid w:val="00AE2CAD"/>
    <w:rsid w:val="00AE2CF5"/>
    <w:rsid w:val="00AE2FCA"/>
    <w:rsid w:val="00AE33EC"/>
    <w:rsid w:val="00AE3517"/>
    <w:rsid w:val="00AE358C"/>
    <w:rsid w:val="00AE3604"/>
    <w:rsid w:val="00AE381F"/>
    <w:rsid w:val="00AE3A2C"/>
    <w:rsid w:val="00AE3C23"/>
    <w:rsid w:val="00AE3D51"/>
    <w:rsid w:val="00AE3DD5"/>
    <w:rsid w:val="00AE3E81"/>
    <w:rsid w:val="00AE403C"/>
    <w:rsid w:val="00AE410C"/>
    <w:rsid w:val="00AE449D"/>
    <w:rsid w:val="00AE45C0"/>
    <w:rsid w:val="00AE497B"/>
    <w:rsid w:val="00AE4B11"/>
    <w:rsid w:val="00AE4C3A"/>
    <w:rsid w:val="00AE4DF3"/>
    <w:rsid w:val="00AE4F91"/>
    <w:rsid w:val="00AE5650"/>
    <w:rsid w:val="00AE5855"/>
    <w:rsid w:val="00AE5950"/>
    <w:rsid w:val="00AE5985"/>
    <w:rsid w:val="00AE5B92"/>
    <w:rsid w:val="00AE5BE8"/>
    <w:rsid w:val="00AE5F22"/>
    <w:rsid w:val="00AE5FEC"/>
    <w:rsid w:val="00AE610F"/>
    <w:rsid w:val="00AE6230"/>
    <w:rsid w:val="00AE6268"/>
    <w:rsid w:val="00AE6270"/>
    <w:rsid w:val="00AE6308"/>
    <w:rsid w:val="00AE6328"/>
    <w:rsid w:val="00AE641B"/>
    <w:rsid w:val="00AE651B"/>
    <w:rsid w:val="00AE6841"/>
    <w:rsid w:val="00AE689A"/>
    <w:rsid w:val="00AE6A04"/>
    <w:rsid w:val="00AE6A84"/>
    <w:rsid w:val="00AE6BCB"/>
    <w:rsid w:val="00AE6C7C"/>
    <w:rsid w:val="00AE71A5"/>
    <w:rsid w:val="00AE7336"/>
    <w:rsid w:val="00AE74E9"/>
    <w:rsid w:val="00AE761F"/>
    <w:rsid w:val="00AE76B4"/>
    <w:rsid w:val="00AE76F1"/>
    <w:rsid w:val="00AE7741"/>
    <w:rsid w:val="00AE7776"/>
    <w:rsid w:val="00AE79EA"/>
    <w:rsid w:val="00AE7A31"/>
    <w:rsid w:val="00AE7A88"/>
    <w:rsid w:val="00AE7B6A"/>
    <w:rsid w:val="00AE7E88"/>
    <w:rsid w:val="00AE7F21"/>
    <w:rsid w:val="00AF008F"/>
    <w:rsid w:val="00AF0154"/>
    <w:rsid w:val="00AF0268"/>
    <w:rsid w:val="00AF0360"/>
    <w:rsid w:val="00AF05B3"/>
    <w:rsid w:val="00AF07AD"/>
    <w:rsid w:val="00AF0818"/>
    <w:rsid w:val="00AF0B50"/>
    <w:rsid w:val="00AF0DFD"/>
    <w:rsid w:val="00AF0F2C"/>
    <w:rsid w:val="00AF0F99"/>
    <w:rsid w:val="00AF0FCA"/>
    <w:rsid w:val="00AF1112"/>
    <w:rsid w:val="00AF12E2"/>
    <w:rsid w:val="00AF1827"/>
    <w:rsid w:val="00AF1831"/>
    <w:rsid w:val="00AF188A"/>
    <w:rsid w:val="00AF1AE6"/>
    <w:rsid w:val="00AF1DC0"/>
    <w:rsid w:val="00AF1E88"/>
    <w:rsid w:val="00AF1EDC"/>
    <w:rsid w:val="00AF2066"/>
    <w:rsid w:val="00AF206D"/>
    <w:rsid w:val="00AF20CF"/>
    <w:rsid w:val="00AF21A6"/>
    <w:rsid w:val="00AF244A"/>
    <w:rsid w:val="00AF24BD"/>
    <w:rsid w:val="00AF2697"/>
    <w:rsid w:val="00AF270F"/>
    <w:rsid w:val="00AF27EA"/>
    <w:rsid w:val="00AF2922"/>
    <w:rsid w:val="00AF29B2"/>
    <w:rsid w:val="00AF2AA2"/>
    <w:rsid w:val="00AF2CEA"/>
    <w:rsid w:val="00AF2DE7"/>
    <w:rsid w:val="00AF2DFA"/>
    <w:rsid w:val="00AF2F29"/>
    <w:rsid w:val="00AF30B7"/>
    <w:rsid w:val="00AF3674"/>
    <w:rsid w:val="00AF368B"/>
    <w:rsid w:val="00AF3722"/>
    <w:rsid w:val="00AF38B8"/>
    <w:rsid w:val="00AF39E6"/>
    <w:rsid w:val="00AF3AA6"/>
    <w:rsid w:val="00AF3AF7"/>
    <w:rsid w:val="00AF3C4C"/>
    <w:rsid w:val="00AF3DAB"/>
    <w:rsid w:val="00AF3DD5"/>
    <w:rsid w:val="00AF3F31"/>
    <w:rsid w:val="00AF4411"/>
    <w:rsid w:val="00AF46B2"/>
    <w:rsid w:val="00AF4820"/>
    <w:rsid w:val="00AF494E"/>
    <w:rsid w:val="00AF4B0A"/>
    <w:rsid w:val="00AF4C70"/>
    <w:rsid w:val="00AF4FF2"/>
    <w:rsid w:val="00AF5065"/>
    <w:rsid w:val="00AF5203"/>
    <w:rsid w:val="00AF5416"/>
    <w:rsid w:val="00AF5438"/>
    <w:rsid w:val="00AF56ED"/>
    <w:rsid w:val="00AF57F0"/>
    <w:rsid w:val="00AF58B9"/>
    <w:rsid w:val="00AF5904"/>
    <w:rsid w:val="00AF5906"/>
    <w:rsid w:val="00AF5AFF"/>
    <w:rsid w:val="00AF5BBF"/>
    <w:rsid w:val="00AF5D0A"/>
    <w:rsid w:val="00AF5D25"/>
    <w:rsid w:val="00AF6197"/>
    <w:rsid w:val="00AF61DD"/>
    <w:rsid w:val="00AF69D6"/>
    <w:rsid w:val="00AF6B4E"/>
    <w:rsid w:val="00AF6B66"/>
    <w:rsid w:val="00AF6B7C"/>
    <w:rsid w:val="00AF6BFA"/>
    <w:rsid w:val="00AF6C30"/>
    <w:rsid w:val="00AF6C6F"/>
    <w:rsid w:val="00AF6DA0"/>
    <w:rsid w:val="00AF700A"/>
    <w:rsid w:val="00AF7076"/>
    <w:rsid w:val="00AF7316"/>
    <w:rsid w:val="00AF73F3"/>
    <w:rsid w:val="00AF742B"/>
    <w:rsid w:val="00AF74F5"/>
    <w:rsid w:val="00AF77A6"/>
    <w:rsid w:val="00AF792B"/>
    <w:rsid w:val="00AF79B8"/>
    <w:rsid w:val="00AF7A32"/>
    <w:rsid w:val="00AF7BB3"/>
    <w:rsid w:val="00AF7E05"/>
    <w:rsid w:val="00B001EF"/>
    <w:rsid w:val="00B00372"/>
    <w:rsid w:val="00B0088E"/>
    <w:rsid w:val="00B0093B"/>
    <w:rsid w:val="00B00946"/>
    <w:rsid w:val="00B00ABF"/>
    <w:rsid w:val="00B00B0C"/>
    <w:rsid w:val="00B00C59"/>
    <w:rsid w:val="00B00DD9"/>
    <w:rsid w:val="00B00F1A"/>
    <w:rsid w:val="00B010AE"/>
    <w:rsid w:val="00B014E1"/>
    <w:rsid w:val="00B01638"/>
    <w:rsid w:val="00B0169B"/>
    <w:rsid w:val="00B016B1"/>
    <w:rsid w:val="00B01732"/>
    <w:rsid w:val="00B018E4"/>
    <w:rsid w:val="00B01B46"/>
    <w:rsid w:val="00B01D12"/>
    <w:rsid w:val="00B01E24"/>
    <w:rsid w:val="00B02079"/>
    <w:rsid w:val="00B0207C"/>
    <w:rsid w:val="00B023B0"/>
    <w:rsid w:val="00B02400"/>
    <w:rsid w:val="00B02642"/>
    <w:rsid w:val="00B026A2"/>
    <w:rsid w:val="00B02896"/>
    <w:rsid w:val="00B028A2"/>
    <w:rsid w:val="00B02C1C"/>
    <w:rsid w:val="00B03511"/>
    <w:rsid w:val="00B03933"/>
    <w:rsid w:val="00B039C3"/>
    <w:rsid w:val="00B03A45"/>
    <w:rsid w:val="00B03A9B"/>
    <w:rsid w:val="00B03AEF"/>
    <w:rsid w:val="00B03BC0"/>
    <w:rsid w:val="00B04131"/>
    <w:rsid w:val="00B041D3"/>
    <w:rsid w:val="00B0431F"/>
    <w:rsid w:val="00B0437B"/>
    <w:rsid w:val="00B047BB"/>
    <w:rsid w:val="00B049AA"/>
    <w:rsid w:val="00B04A2A"/>
    <w:rsid w:val="00B04AE6"/>
    <w:rsid w:val="00B04B19"/>
    <w:rsid w:val="00B04BC8"/>
    <w:rsid w:val="00B04DB2"/>
    <w:rsid w:val="00B04E15"/>
    <w:rsid w:val="00B04E85"/>
    <w:rsid w:val="00B04FE0"/>
    <w:rsid w:val="00B050D8"/>
    <w:rsid w:val="00B0518D"/>
    <w:rsid w:val="00B051CC"/>
    <w:rsid w:val="00B05269"/>
    <w:rsid w:val="00B052DF"/>
    <w:rsid w:val="00B05388"/>
    <w:rsid w:val="00B05490"/>
    <w:rsid w:val="00B055D2"/>
    <w:rsid w:val="00B0565D"/>
    <w:rsid w:val="00B0566D"/>
    <w:rsid w:val="00B056B0"/>
    <w:rsid w:val="00B05702"/>
    <w:rsid w:val="00B05889"/>
    <w:rsid w:val="00B058FA"/>
    <w:rsid w:val="00B0597B"/>
    <w:rsid w:val="00B059ED"/>
    <w:rsid w:val="00B05C59"/>
    <w:rsid w:val="00B05CC5"/>
    <w:rsid w:val="00B06146"/>
    <w:rsid w:val="00B061EF"/>
    <w:rsid w:val="00B064EA"/>
    <w:rsid w:val="00B0657D"/>
    <w:rsid w:val="00B06666"/>
    <w:rsid w:val="00B0669D"/>
    <w:rsid w:val="00B06CC9"/>
    <w:rsid w:val="00B06E22"/>
    <w:rsid w:val="00B070DD"/>
    <w:rsid w:val="00B07354"/>
    <w:rsid w:val="00B07370"/>
    <w:rsid w:val="00B07620"/>
    <w:rsid w:val="00B07664"/>
    <w:rsid w:val="00B079D0"/>
    <w:rsid w:val="00B07A72"/>
    <w:rsid w:val="00B07B52"/>
    <w:rsid w:val="00B07B73"/>
    <w:rsid w:val="00B07BDF"/>
    <w:rsid w:val="00B07EC9"/>
    <w:rsid w:val="00B07EF4"/>
    <w:rsid w:val="00B07F16"/>
    <w:rsid w:val="00B101A1"/>
    <w:rsid w:val="00B1020E"/>
    <w:rsid w:val="00B10506"/>
    <w:rsid w:val="00B10525"/>
    <w:rsid w:val="00B1070B"/>
    <w:rsid w:val="00B108FB"/>
    <w:rsid w:val="00B10991"/>
    <w:rsid w:val="00B10C8F"/>
    <w:rsid w:val="00B10C9B"/>
    <w:rsid w:val="00B10DF2"/>
    <w:rsid w:val="00B10E8D"/>
    <w:rsid w:val="00B11023"/>
    <w:rsid w:val="00B11176"/>
    <w:rsid w:val="00B112C2"/>
    <w:rsid w:val="00B112DE"/>
    <w:rsid w:val="00B1130B"/>
    <w:rsid w:val="00B11376"/>
    <w:rsid w:val="00B114CA"/>
    <w:rsid w:val="00B115F9"/>
    <w:rsid w:val="00B11635"/>
    <w:rsid w:val="00B11705"/>
    <w:rsid w:val="00B1174B"/>
    <w:rsid w:val="00B117AC"/>
    <w:rsid w:val="00B117BA"/>
    <w:rsid w:val="00B11849"/>
    <w:rsid w:val="00B11A00"/>
    <w:rsid w:val="00B11AB6"/>
    <w:rsid w:val="00B11C95"/>
    <w:rsid w:val="00B11EB8"/>
    <w:rsid w:val="00B11F5E"/>
    <w:rsid w:val="00B12133"/>
    <w:rsid w:val="00B124EE"/>
    <w:rsid w:val="00B12A85"/>
    <w:rsid w:val="00B12A8A"/>
    <w:rsid w:val="00B12B6F"/>
    <w:rsid w:val="00B12E11"/>
    <w:rsid w:val="00B12E92"/>
    <w:rsid w:val="00B12FB1"/>
    <w:rsid w:val="00B12FE8"/>
    <w:rsid w:val="00B131DA"/>
    <w:rsid w:val="00B1364E"/>
    <w:rsid w:val="00B136E8"/>
    <w:rsid w:val="00B137B2"/>
    <w:rsid w:val="00B13B49"/>
    <w:rsid w:val="00B13C02"/>
    <w:rsid w:val="00B13C35"/>
    <w:rsid w:val="00B13CD2"/>
    <w:rsid w:val="00B13EC0"/>
    <w:rsid w:val="00B13EDD"/>
    <w:rsid w:val="00B14029"/>
    <w:rsid w:val="00B141C3"/>
    <w:rsid w:val="00B1425D"/>
    <w:rsid w:val="00B14282"/>
    <w:rsid w:val="00B143E5"/>
    <w:rsid w:val="00B14481"/>
    <w:rsid w:val="00B14584"/>
    <w:rsid w:val="00B14768"/>
    <w:rsid w:val="00B14795"/>
    <w:rsid w:val="00B14841"/>
    <w:rsid w:val="00B14863"/>
    <w:rsid w:val="00B1490B"/>
    <w:rsid w:val="00B14A83"/>
    <w:rsid w:val="00B15113"/>
    <w:rsid w:val="00B15334"/>
    <w:rsid w:val="00B153DF"/>
    <w:rsid w:val="00B153F4"/>
    <w:rsid w:val="00B154F1"/>
    <w:rsid w:val="00B15513"/>
    <w:rsid w:val="00B156CB"/>
    <w:rsid w:val="00B158FA"/>
    <w:rsid w:val="00B15A61"/>
    <w:rsid w:val="00B15A73"/>
    <w:rsid w:val="00B16020"/>
    <w:rsid w:val="00B1607C"/>
    <w:rsid w:val="00B16123"/>
    <w:rsid w:val="00B16158"/>
    <w:rsid w:val="00B16191"/>
    <w:rsid w:val="00B161B3"/>
    <w:rsid w:val="00B1625A"/>
    <w:rsid w:val="00B16443"/>
    <w:rsid w:val="00B164B9"/>
    <w:rsid w:val="00B16658"/>
    <w:rsid w:val="00B167BD"/>
    <w:rsid w:val="00B167C8"/>
    <w:rsid w:val="00B16835"/>
    <w:rsid w:val="00B16C63"/>
    <w:rsid w:val="00B16ECA"/>
    <w:rsid w:val="00B16F9C"/>
    <w:rsid w:val="00B172CF"/>
    <w:rsid w:val="00B1759F"/>
    <w:rsid w:val="00B1769E"/>
    <w:rsid w:val="00B1770E"/>
    <w:rsid w:val="00B17741"/>
    <w:rsid w:val="00B17858"/>
    <w:rsid w:val="00B17CDC"/>
    <w:rsid w:val="00B17CE8"/>
    <w:rsid w:val="00B17F45"/>
    <w:rsid w:val="00B17FCB"/>
    <w:rsid w:val="00B200F1"/>
    <w:rsid w:val="00B2015D"/>
    <w:rsid w:val="00B203CF"/>
    <w:rsid w:val="00B204B0"/>
    <w:rsid w:val="00B2050D"/>
    <w:rsid w:val="00B20999"/>
    <w:rsid w:val="00B20CEB"/>
    <w:rsid w:val="00B20DC8"/>
    <w:rsid w:val="00B20F03"/>
    <w:rsid w:val="00B20FD8"/>
    <w:rsid w:val="00B2100D"/>
    <w:rsid w:val="00B2101C"/>
    <w:rsid w:val="00B21038"/>
    <w:rsid w:val="00B2106F"/>
    <w:rsid w:val="00B210A8"/>
    <w:rsid w:val="00B21100"/>
    <w:rsid w:val="00B21163"/>
    <w:rsid w:val="00B21230"/>
    <w:rsid w:val="00B21255"/>
    <w:rsid w:val="00B21301"/>
    <w:rsid w:val="00B214A7"/>
    <w:rsid w:val="00B217D6"/>
    <w:rsid w:val="00B21973"/>
    <w:rsid w:val="00B219CA"/>
    <w:rsid w:val="00B21D95"/>
    <w:rsid w:val="00B21F3E"/>
    <w:rsid w:val="00B220F1"/>
    <w:rsid w:val="00B222E0"/>
    <w:rsid w:val="00B22312"/>
    <w:rsid w:val="00B223CA"/>
    <w:rsid w:val="00B224CC"/>
    <w:rsid w:val="00B225A0"/>
    <w:rsid w:val="00B2274E"/>
    <w:rsid w:val="00B22849"/>
    <w:rsid w:val="00B22B18"/>
    <w:rsid w:val="00B22BD1"/>
    <w:rsid w:val="00B22C67"/>
    <w:rsid w:val="00B22FAA"/>
    <w:rsid w:val="00B231A9"/>
    <w:rsid w:val="00B2330B"/>
    <w:rsid w:val="00B234D2"/>
    <w:rsid w:val="00B2367A"/>
    <w:rsid w:val="00B238F3"/>
    <w:rsid w:val="00B23919"/>
    <w:rsid w:val="00B239D7"/>
    <w:rsid w:val="00B23B28"/>
    <w:rsid w:val="00B23D07"/>
    <w:rsid w:val="00B23E67"/>
    <w:rsid w:val="00B2401E"/>
    <w:rsid w:val="00B242E0"/>
    <w:rsid w:val="00B243FC"/>
    <w:rsid w:val="00B24859"/>
    <w:rsid w:val="00B248C2"/>
    <w:rsid w:val="00B24AD1"/>
    <w:rsid w:val="00B24E36"/>
    <w:rsid w:val="00B2507A"/>
    <w:rsid w:val="00B25090"/>
    <w:rsid w:val="00B251A7"/>
    <w:rsid w:val="00B251F5"/>
    <w:rsid w:val="00B252D0"/>
    <w:rsid w:val="00B253A6"/>
    <w:rsid w:val="00B253AD"/>
    <w:rsid w:val="00B253E1"/>
    <w:rsid w:val="00B256A7"/>
    <w:rsid w:val="00B2572A"/>
    <w:rsid w:val="00B259DB"/>
    <w:rsid w:val="00B25A5E"/>
    <w:rsid w:val="00B25E13"/>
    <w:rsid w:val="00B25E36"/>
    <w:rsid w:val="00B25E90"/>
    <w:rsid w:val="00B25F16"/>
    <w:rsid w:val="00B260A3"/>
    <w:rsid w:val="00B2613C"/>
    <w:rsid w:val="00B261D0"/>
    <w:rsid w:val="00B26271"/>
    <w:rsid w:val="00B263CB"/>
    <w:rsid w:val="00B2665C"/>
    <w:rsid w:val="00B26A7B"/>
    <w:rsid w:val="00B26B21"/>
    <w:rsid w:val="00B26C36"/>
    <w:rsid w:val="00B26E2F"/>
    <w:rsid w:val="00B27108"/>
    <w:rsid w:val="00B273D4"/>
    <w:rsid w:val="00B274AF"/>
    <w:rsid w:val="00B274E2"/>
    <w:rsid w:val="00B27627"/>
    <w:rsid w:val="00B2765F"/>
    <w:rsid w:val="00B27690"/>
    <w:rsid w:val="00B276AA"/>
    <w:rsid w:val="00B276D8"/>
    <w:rsid w:val="00B276E6"/>
    <w:rsid w:val="00B27AA4"/>
    <w:rsid w:val="00B27B92"/>
    <w:rsid w:val="00B27BB9"/>
    <w:rsid w:val="00B27C83"/>
    <w:rsid w:val="00B27C85"/>
    <w:rsid w:val="00B27F2A"/>
    <w:rsid w:val="00B27F30"/>
    <w:rsid w:val="00B27F39"/>
    <w:rsid w:val="00B301F2"/>
    <w:rsid w:val="00B30269"/>
    <w:rsid w:val="00B3048F"/>
    <w:rsid w:val="00B30553"/>
    <w:rsid w:val="00B30725"/>
    <w:rsid w:val="00B3081E"/>
    <w:rsid w:val="00B3083B"/>
    <w:rsid w:val="00B3088D"/>
    <w:rsid w:val="00B30DA3"/>
    <w:rsid w:val="00B30E44"/>
    <w:rsid w:val="00B30E92"/>
    <w:rsid w:val="00B30F13"/>
    <w:rsid w:val="00B31118"/>
    <w:rsid w:val="00B3118C"/>
    <w:rsid w:val="00B313EB"/>
    <w:rsid w:val="00B31521"/>
    <w:rsid w:val="00B31526"/>
    <w:rsid w:val="00B3168C"/>
    <w:rsid w:val="00B31898"/>
    <w:rsid w:val="00B319D8"/>
    <w:rsid w:val="00B31A2D"/>
    <w:rsid w:val="00B31C53"/>
    <w:rsid w:val="00B31D31"/>
    <w:rsid w:val="00B31D5F"/>
    <w:rsid w:val="00B31D80"/>
    <w:rsid w:val="00B31E0E"/>
    <w:rsid w:val="00B31F68"/>
    <w:rsid w:val="00B32329"/>
    <w:rsid w:val="00B326E6"/>
    <w:rsid w:val="00B3273B"/>
    <w:rsid w:val="00B3274B"/>
    <w:rsid w:val="00B32797"/>
    <w:rsid w:val="00B3279A"/>
    <w:rsid w:val="00B3280F"/>
    <w:rsid w:val="00B32869"/>
    <w:rsid w:val="00B32915"/>
    <w:rsid w:val="00B32964"/>
    <w:rsid w:val="00B329BD"/>
    <w:rsid w:val="00B32A32"/>
    <w:rsid w:val="00B32AB8"/>
    <w:rsid w:val="00B32E5D"/>
    <w:rsid w:val="00B32ECA"/>
    <w:rsid w:val="00B32F81"/>
    <w:rsid w:val="00B334E8"/>
    <w:rsid w:val="00B33576"/>
    <w:rsid w:val="00B33D2C"/>
    <w:rsid w:val="00B33EC6"/>
    <w:rsid w:val="00B341B0"/>
    <w:rsid w:val="00B34222"/>
    <w:rsid w:val="00B34386"/>
    <w:rsid w:val="00B34399"/>
    <w:rsid w:val="00B344A1"/>
    <w:rsid w:val="00B34561"/>
    <w:rsid w:val="00B345F4"/>
    <w:rsid w:val="00B3461F"/>
    <w:rsid w:val="00B3474A"/>
    <w:rsid w:val="00B347B4"/>
    <w:rsid w:val="00B3486F"/>
    <w:rsid w:val="00B349BF"/>
    <w:rsid w:val="00B34B87"/>
    <w:rsid w:val="00B34C05"/>
    <w:rsid w:val="00B34C25"/>
    <w:rsid w:val="00B34D05"/>
    <w:rsid w:val="00B34FA6"/>
    <w:rsid w:val="00B3529F"/>
    <w:rsid w:val="00B35485"/>
    <w:rsid w:val="00B354D6"/>
    <w:rsid w:val="00B356AF"/>
    <w:rsid w:val="00B35A89"/>
    <w:rsid w:val="00B36044"/>
    <w:rsid w:val="00B3609A"/>
    <w:rsid w:val="00B36116"/>
    <w:rsid w:val="00B3612A"/>
    <w:rsid w:val="00B36184"/>
    <w:rsid w:val="00B36199"/>
    <w:rsid w:val="00B36227"/>
    <w:rsid w:val="00B362E0"/>
    <w:rsid w:val="00B3651F"/>
    <w:rsid w:val="00B3655B"/>
    <w:rsid w:val="00B366B4"/>
    <w:rsid w:val="00B367DA"/>
    <w:rsid w:val="00B367DE"/>
    <w:rsid w:val="00B36B5E"/>
    <w:rsid w:val="00B36BC4"/>
    <w:rsid w:val="00B36C86"/>
    <w:rsid w:val="00B36D01"/>
    <w:rsid w:val="00B36E27"/>
    <w:rsid w:val="00B3704A"/>
    <w:rsid w:val="00B37844"/>
    <w:rsid w:val="00B379C8"/>
    <w:rsid w:val="00B37AD0"/>
    <w:rsid w:val="00B37DAE"/>
    <w:rsid w:val="00B37E05"/>
    <w:rsid w:val="00B400F3"/>
    <w:rsid w:val="00B40221"/>
    <w:rsid w:val="00B402B2"/>
    <w:rsid w:val="00B404FB"/>
    <w:rsid w:val="00B40563"/>
    <w:rsid w:val="00B40810"/>
    <w:rsid w:val="00B408E3"/>
    <w:rsid w:val="00B40A84"/>
    <w:rsid w:val="00B40B24"/>
    <w:rsid w:val="00B40DC0"/>
    <w:rsid w:val="00B40EC6"/>
    <w:rsid w:val="00B4105D"/>
    <w:rsid w:val="00B4130F"/>
    <w:rsid w:val="00B4161B"/>
    <w:rsid w:val="00B41674"/>
    <w:rsid w:val="00B416BE"/>
    <w:rsid w:val="00B41722"/>
    <w:rsid w:val="00B418E1"/>
    <w:rsid w:val="00B41BDD"/>
    <w:rsid w:val="00B4213E"/>
    <w:rsid w:val="00B421F3"/>
    <w:rsid w:val="00B42752"/>
    <w:rsid w:val="00B42795"/>
    <w:rsid w:val="00B428C7"/>
    <w:rsid w:val="00B429E8"/>
    <w:rsid w:val="00B42D4A"/>
    <w:rsid w:val="00B42E16"/>
    <w:rsid w:val="00B42FCD"/>
    <w:rsid w:val="00B42FEE"/>
    <w:rsid w:val="00B431D0"/>
    <w:rsid w:val="00B433A8"/>
    <w:rsid w:val="00B433BE"/>
    <w:rsid w:val="00B435F6"/>
    <w:rsid w:val="00B43658"/>
    <w:rsid w:val="00B43712"/>
    <w:rsid w:val="00B43AE5"/>
    <w:rsid w:val="00B43DB9"/>
    <w:rsid w:val="00B4428F"/>
    <w:rsid w:val="00B44432"/>
    <w:rsid w:val="00B44457"/>
    <w:rsid w:val="00B44518"/>
    <w:rsid w:val="00B4480A"/>
    <w:rsid w:val="00B449AB"/>
    <w:rsid w:val="00B44F11"/>
    <w:rsid w:val="00B44F74"/>
    <w:rsid w:val="00B4523C"/>
    <w:rsid w:val="00B452AF"/>
    <w:rsid w:val="00B4552B"/>
    <w:rsid w:val="00B45690"/>
    <w:rsid w:val="00B45AE2"/>
    <w:rsid w:val="00B45CBD"/>
    <w:rsid w:val="00B45D15"/>
    <w:rsid w:val="00B45DFE"/>
    <w:rsid w:val="00B45E58"/>
    <w:rsid w:val="00B45EB2"/>
    <w:rsid w:val="00B45F8B"/>
    <w:rsid w:val="00B45FE1"/>
    <w:rsid w:val="00B4605C"/>
    <w:rsid w:val="00B4630A"/>
    <w:rsid w:val="00B46317"/>
    <w:rsid w:val="00B465D7"/>
    <w:rsid w:val="00B46B58"/>
    <w:rsid w:val="00B46B87"/>
    <w:rsid w:val="00B46C47"/>
    <w:rsid w:val="00B46E33"/>
    <w:rsid w:val="00B46F10"/>
    <w:rsid w:val="00B46FA0"/>
    <w:rsid w:val="00B47175"/>
    <w:rsid w:val="00B4720B"/>
    <w:rsid w:val="00B47308"/>
    <w:rsid w:val="00B473F7"/>
    <w:rsid w:val="00B474DD"/>
    <w:rsid w:val="00B47627"/>
    <w:rsid w:val="00B47936"/>
    <w:rsid w:val="00B47B83"/>
    <w:rsid w:val="00B47C2B"/>
    <w:rsid w:val="00B47C31"/>
    <w:rsid w:val="00B47C77"/>
    <w:rsid w:val="00B47D4D"/>
    <w:rsid w:val="00B47E00"/>
    <w:rsid w:val="00B47F57"/>
    <w:rsid w:val="00B47F89"/>
    <w:rsid w:val="00B50008"/>
    <w:rsid w:val="00B5012A"/>
    <w:rsid w:val="00B501B0"/>
    <w:rsid w:val="00B5031E"/>
    <w:rsid w:val="00B50388"/>
    <w:rsid w:val="00B507DA"/>
    <w:rsid w:val="00B50822"/>
    <w:rsid w:val="00B50842"/>
    <w:rsid w:val="00B50855"/>
    <w:rsid w:val="00B50A31"/>
    <w:rsid w:val="00B50B2C"/>
    <w:rsid w:val="00B50B61"/>
    <w:rsid w:val="00B50BB4"/>
    <w:rsid w:val="00B50BCF"/>
    <w:rsid w:val="00B51038"/>
    <w:rsid w:val="00B510D2"/>
    <w:rsid w:val="00B513A6"/>
    <w:rsid w:val="00B514A8"/>
    <w:rsid w:val="00B515D4"/>
    <w:rsid w:val="00B5171A"/>
    <w:rsid w:val="00B5197C"/>
    <w:rsid w:val="00B51A27"/>
    <w:rsid w:val="00B51CE2"/>
    <w:rsid w:val="00B51E44"/>
    <w:rsid w:val="00B52010"/>
    <w:rsid w:val="00B5225D"/>
    <w:rsid w:val="00B52575"/>
    <w:rsid w:val="00B52717"/>
    <w:rsid w:val="00B527BB"/>
    <w:rsid w:val="00B5282F"/>
    <w:rsid w:val="00B52AB0"/>
    <w:rsid w:val="00B52C7B"/>
    <w:rsid w:val="00B52CA4"/>
    <w:rsid w:val="00B52EF8"/>
    <w:rsid w:val="00B52F3D"/>
    <w:rsid w:val="00B52F7F"/>
    <w:rsid w:val="00B53165"/>
    <w:rsid w:val="00B532A7"/>
    <w:rsid w:val="00B532E6"/>
    <w:rsid w:val="00B53451"/>
    <w:rsid w:val="00B534D8"/>
    <w:rsid w:val="00B535C6"/>
    <w:rsid w:val="00B536C7"/>
    <w:rsid w:val="00B5376E"/>
    <w:rsid w:val="00B53B23"/>
    <w:rsid w:val="00B53D10"/>
    <w:rsid w:val="00B53D9C"/>
    <w:rsid w:val="00B53F0E"/>
    <w:rsid w:val="00B54204"/>
    <w:rsid w:val="00B5428B"/>
    <w:rsid w:val="00B542B9"/>
    <w:rsid w:val="00B54446"/>
    <w:rsid w:val="00B5457F"/>
    <w:rsid w:val="00B545E1"/>
    <w:rsid w:val="00B54885"/>
    <w:rsid w:val="00B54903"/>
    <w:rsid w:val="00B54A4E"/>
    <w:rsid w:val="00B54D35"/>
    <w:rsid w:val="00B54DB4"/>
    <w:rsid w:val="00B54EB2"/>
    <w:rsid w:val="00B54FEC"/>
    <w:rsid w:val="00B5502A"/>
    <w:rsid w:val="00B550D1"/>
    <w:rsid w:val="00B5516A"/>
    <w:rsid w:val="00B551B3"/>
    <w:rsid w:val="00B55399"/>
    <w:rsid w:val="00B5544B"/>
    <w:rsid w:val="00B5551B"/>
    <w:rsid w:val="00B55812"/>
    <w:rsid w:val="00B5586A"/>
    <w:rsid w:val="00B55E2C"/>
    <w:rsid w:val="00B55F43"/>
    <w:rsid w:val="00B5613A"/>
    <w:rsid w:val="00B564B7"/>
    <w:rsid w:val="00B568B6"/>
    <w:rsid w:val="00B56963"/>
    <w:rsid w:val="00B56A3A"/>
    <w:rsid w:val="00B56A81"/>
    <w:rsid w:val="00B56A82"/>
    <w:rsid w:val="00B56BC9"/>
    <w:rsid w:val="00B56C4A"/>
    <w:rsid w:val="00B56FAC"/>
    <w:rsid w:val="00B570FC"/>
    <w:rsid w:val="00B571B7"/>
    <w:rsid w:val="00B571E1"/>
    <w:rsid w:val="00B572AD"/>
    <w:rsid w:val="00B5747C"/>
    <w:rsid w:val="00B5765F"/>
    <w:rsid w:val="00B57712"/>
    <w:rsid w:val="00B57844"/>
    <w:rsid w:val="00B57A34"/>
    <w:rsid w:val="00B57B4B"/>
    <w:rsid w:val="00B57B9F"/>
    <w:rsid w:val="00B57BB0"/>
    <w:rsid w:val="00B57C34"/>
    <w:rsid w:val="00B57EE4"/>
    <w:rsid w:val="00B60474"/>
    <w:rsid w:val="00B606E8"/>
    <w:rsid w:val="00B607C6"/>
    <w:rsid w:val="00B60942"/>
    <w:rsid w:val="00B6099E"/>
    <w:rsid w:val="00B60BD0"/>
    <w:rsid w:val="00B60E01"/>
    <w:rsid w:val="00B6100A"/>
    <w:rsid w:val="00B6113C"/>
    <w:rsid w:val="00B61198"/>
    <w:rsid w:val="00B61529"/>
    <w:rsid w:val="00B6237A"/>
    <w:rsid w:val="00B623AC"/>
    <w:rsid w:val="00B624E0"/>
    <w:rsid w:val="00B62741"/>
    <w:rsid w:val="00B62AB9"/>
    <w:rsid w:val="00B62C06"/>
    <w:rsid w:val="00B62D5A"/>
    <w:rsid w:val="00B62D81"/>
    <w:rsid w:val="00B62E02"/>
    <w:rsid w:val="00B63088"/>
    <w:rsid w:val="00B63089"/>
    <w:rsid w:val="00B63221"/>
    <w:rsid w:val="00B632A7"/>
    <w:rsid w:val="00B6335E"/>
    <w:rsid w:val="00B6338C"/>
    <w:rsid w:val="00B63483"/>
    <w:rsid w:val="00B634F3"/>
    <w:rsid w:val="00B637CF"/>
    <w:rsid w:val="00B63BFE"/>
    <w:rsid w:val="00B63DDE"/>
    <w:rsid w:val="00B63E62"/>
    <w:rsid w:val="00B63F1B"/>
    <w:rsid w:val="00B63F8A"/>
    <w:rsid w:val="00B640F7"/>
    <w:rsid w:val="00B64213"/>
    <w:rsid w:val="00B64498"/>
    <w:rsid w:val="00B64535"/>
    <w:rsid w:val="00B64567"/>
    <w:rsid w:val="00B645DD"/>
    <w:rsid w:val="00B6471B"/>
    <w:rsid w:val="00B64AEF"/>
    <w:rsid w:val="00B64B5E"/>
    <w:rsid w:val="00B64CAE"/>
    <w:rsid w:val="00B64EFC"/>
    <w:rsid w:val="00B64F84"/>
    <w:rsid w:val="00B650A3"/>
    <w:rsid w:val="00B65216"/>
    <w:rsid w:val="00B6541E"/>
    <w:rsid w:val="00B6555D"/>
    <w:rsid w:val="00B655D5"/>
    <w:rsid w:val="00B65639"/>
    <w:rsid w:val="00B656C5"/>
    <w:rsid w:val="00B65833"/>
    <w:rsid w:val="00B65AA4"/>
    <w:rsid w:val="00B65CBF"/>
    <w:rsid w:val="00B660BD"/>
    <w:rsid w:val="00B6623C"/>
    <w:rsid w:val="00B66407"/>
    <w:rsid w:val="00B66455"/>
    <w:rsid w:val="00B665C9"/>
    <w:rsid w:val="00B67079"/>
    <w:rsid w:val="00B670F4"/>
    <w:rsid w:val="00B6728A"/>
    <w:rsid w:val="00B67462"/>
    <w:rsid w:val="00B674DF"/>
    <w:rsid w:val="00B674E7"/>
    <w:rsid w:val="00B676D5"/>
    <w:rsid w:val="00B678E6"/>
    <w:rsid w:val="00B67C5D"/>
    <w:rsid w:val="00B67DAA"/>
    <w:rsid w:val="00B67E16"/>
    <w:rsid w:val="00B701FA"/>
    <w:rsid w:val="00B702AE"/>
    <w:rsid w:val="00B702AF"/>
    <w:rsid w:val="00B702F4"/>
    <w:rsid w:val="00B70319"/>
    <w:rsid w:val="00B703FB"/>
    <w:rsid w:val="00B70578"/>
    <w:rsid w:val="00B70590"/>
    <w:rsid w:val="00B706E8"/>
    <w:rsid w:val="00B70748"/>
    <w:rsid w:val="00B707D9"/>
    <w:rsid w:val="00B70869"/>
    <w:rsid w:val="00B70995"/>
    <w:rsid w:val="00B70BDE"/>
    <w:rsid w:val="00B70F9F"/>
    <w:rsid w:val="00B7116A"/>
    <w:rsid w:val="00B71334"/>
    <w:rsid w:val="00B71462"/>
    <w:rsid w:val="00B71546"/>
    <w:rsid w:val="00B71785"/>
    <w:rsid w:val="00B7178F"/>
    <w:rsid w:val="00B7181C"/>
    <w:rsid w:val="00B71945"/>
    <w:rsid w:val="00B71998"/>
    <w:rsid w:val="00B71CA6"/>
    <w:rsid w:val="00B71EB0"/>
    <w:rsid w:val="00B720D0"/>
    <w:rsid w:val="00B7225A"/>
    <w:rsid w:val="00B7230B"/>
    <w:rsid w:val="00B72414"/>
    <w:rsid w:val="00B72515"/>
    <w:rsid w:val="00B72587"/>
    <w:rsid w:val="00B72742"/>
    <w:rsid w:val="00B72B69"/>
    <w:rsid w:val="00B72C75"/>
    <w:rsid w:val="00B72D79"/>
    <w:rsid w:val="00B72E1D"/>
    <w:rsid w:val="00B72E84"/>
    <w:rsid w:val="00B72F3F"/>
    <w:rsid w:val="00B7323D"/>
    <w:rsid w:val="00B7338F"/>
    <w:rsid w:val="00B73399"/>
    <w:rsid w:val="00B73402"/>
    <w:rsid w:val="00B73605"/>
    <w:rsid w:val="00B736CE"/>
    <w:rsid w:val="00B73A75"/>
    <w:rsid w:val="00B73BC4"/>
    <w:rsid w:val="00B73C7B"/>
    <w:rsid w:val="00B73CA6"/>
    <w:rsid w:val="00B73CFF"/>
    <w:rsid w:val="00B73D5F"/>
    <w:rsid w:val="00B73DEC"/>
    <w:rsid w:val="00B73ECF"/>
    <w:rsid w:val="00B73F78"/>
    <w:rsid w:val="00B740B9"/>
    <w:rsid w:val="00B740F5"/>
    <w:rsid w:val="00B742FC"/>
    <w:rsid w:val="00B744FA"/>
    <w:rsid w:val="00B74835"/>
    <w:rsid w:val="00B74B64"/>
    <w:rsid w:val="00B74BEF"/>
    <w:rsid w:val="00B74C76"/>
    <w:rsid w:val="00B74CDA"/>
    <w:rsid w:val="00B74F72"/>
    <w:rsid w:val="00B74FFB"/>
    <w:rsid w:val="00B750A7"/>
    <w:rsid w:val="00B753A3"/>
    <w:rsid w:val="00B75781"/>
    <w:rsid w:val="00B75B44"/>
    <w:rsid w:val="00B75E4C"/>
    <w:rsid w:val="00B75E9B"/>
    <w:rsid w:val="00B76111"/>
    <w:rsid w:val="00B76142"/>
    <w:rsid w:val="00B76206"/>
    <w:rsid w:val="00B762DE"/>
    <w:rsid w:val="00B7647D"/>
    <w:rsid w:val="00B765A5"/>
    <w:rsid w:val="00B76649"/>
    <w:rsid w:val="00B76820"/>
    <w:rsid w:val="00B768AE"/>
    <w:rsid w:val="00B76ACB"/>
    <w:rsid w:val="00B76B29"/>
    <w:rsid w:val="00B77100"/>
    <w:rsid w:val="00B77161"/>
    <w:rsid w:val="00B7739B"/>
    <w:rsid w:val="00B77488"/>
    <w:rsid w:val="00B7762F"/>
    <w:rsid w:val="00B779FA"/>
    <w:rsid w:val="00B77D1F"/>
    <w:rsid w:val="00B77D55"/>
    <w:rsid w:val="00B77DE1"/>
    <w:rsid w:val="00B77F4C"/>
    <w:rsid w:val="00B77FD3"/>
    <w:rsid w:val="00B80042"/>
    <w:rsid w:val="00B80360"/>
    <w:rsid w:val="00B803C5"/>
    <w:rsid w:val="00B80430"/>
    <w:rsid w:val="00B80453"/>
    <w:rsid w:val="00B80882"/>
    <w:rsid w:val="00B80898"/>
    <w:rsid w:val="00B8089A"/>
    <w:rsid w:val="00B80998"/>
    <w:rsid w:val="00B80A2B"/>
    <w:rsid w:val="00B80A3F"/>
    <w:rsid w:val="00B80BB1"/>
    <w:rsid w:val="00B80E6B"/>
    <w:rsid w:val="00B80F56"/>
    <w:rsid w:val="00B80FAB"/>
    <w:rsid w:val="00B813D3"/>
    <w:rsid w:val="00B8144A"/>
    <w:rsid w:val="00B814EB"/>
    <w:rsid w:val="00B817C0"/>
    <w:rsid w:val="00B819B0"/>
    <w:rsid w:val="00B81AD6"/>
    <w:rsid w:val="00B81C23"/>
    <w:rsid w:val="00B81E14"/>
    <w:rsid w:val="00B82103"/>
    <w:rsid w:val="00B82199"/>
    <w:rsid w:val="00B821AB"/>
    <w:rsid w:val="00B821E2"/>
    <w:rsid w:val="00B8253F"/>
    <w:rsid w:val="00B825ED"/>
    <w:rsid w:val="00B82860"/>
    <w:rsid w:val="00B828A2"/>
    <w:rsid w:val="00B83279"/>
    <w:rsid w:val="00B83449"/>
    <w:rsid w:val="00B834C4"/>
    <w:rsid w:val="00B83692"/>
    <w:rsid w:val="00B83986"/>
    <w:rsid w:val="00B83AC7"/>
    <w:rsid w:val="00B83C4C"/>
    <w:rsid w:val="00B83D37"/>
    <w:rsid w:val="00B83DDE"/>
    <w:rsid w:val="00B8428E"/>
    <w:rsid w:val="00B84865"/>
    <w:rsid w:val="00B84A38"/>
    <w:rsid w:val="00B84D85"/>
    <w:rsid w:val="00B84F14"/>
    <w:rsid w:val="00B8501E"/>
    <w:rsid w:val="00B85074"/>
    <w:rsid w:val="00B85099"/>
    <w:rsid w:val="00B850EF"/>
    <w:rsid w:val="00B85150"/>
    <w:rsid w:val="00B8517E"/>
    <w:rsid w:val="00B851A3"/>
    <w:rsid w:val="00B85349"/>
    <w:rsid w:val="00B855B7"/>
    <w:rsid w:val="00B85741"/>
    <w:rsid w:val="00B85A98"/>
    <w:rsid w:val="00B85ACD"/>
    <w:rsid w:val="00B85ADF"/>
    <w:rsid w:val="00B85D12"/>
    <w:rsid w:val="00B85EB2"/>
    <w:rsid w:val="00B86157"/>
    <w:rsid w:val="00B861BF"/>
    <w:rsid w:val="00B863FF"/>
    <w:rsid w:val="00B865E0"/>
    <w:rsid w:val="00B866DB"/>
    <w:rsid w:val="00B86758"/>
    <w:rsid w:val="00B8683F"/>
    <w:rsid w:val="00B86894"/>
    <w:rsid w:val="00B86E00"/>
    <w:rsid w:val="00B86F16"/>
    <w:rsid w:val="00B872F5"/>
    <w:rsid w:val="00B87589"/>
    <w:rsid w:val="00B877CD"/>
    <w:rsid w:val="00B87A20"/>
    <w:rsid w:val="00B87EB1"/>
    <w:rsid w:val="00B90004"/>
    <w:rsid w:val="00B903C7"/>
    <w:rsid w:val="00B904AA"/>
    <w:rsid w:val="00B90740"/>
    <w:rsid w:val="00B9086B"/>
    <w:rsid w:val="00B908E4"/>
    <w:rsid w:val="00B909D4"/>
    <w:rsid w:val="00B90BB5"/>
    <w:rsid w:val="00B90CA9"/>
    <w:rsid w:val="00B90E78"/>
    <w:rsid w:val="00B90EA6"/>
    <w:rsid w:val="00B911BE"/>
    <w:rsid w:val="00B9177B"/>
    <w:rsid w:val="00B919B1"/>
    <w:rsid w:val="00B91BFB"/>
    <w:rsid w:val="00B91F94"/>
    <w:rsid w:val="00B92036"/>
    <w:rsid w:val="00B9218F"/>
    <w:rsid w:val="00B92230"/>
    <w:rsid w:val="00B922C8"/>
    <w:rsid w:val="00B923CE"/>
    <w:rsid w:val="00B9246B"/>
    <w:rsid w:val="00B92522"/>
    <w:rsid w:val="00B9252A"/>
    <w:rsid w:val="00B929DC"/>
    <w:rsid w:val="00B92A06"/>
    <w:rsid w:val="00B92F02"/>
    <w:rsid w:val="00B9304F"/>
    <w:rsid w:val="00B931B8"/>
    <w:rsid w:val="00B9348F"/>
    <w:rsid w:val="00B9352D"/>
    <w:rsid w:val="00B9364C"/>
    <w:rsid w:val="00B9375F"/>
    <w:rsid w:val="00B937C9"/>
    <w:rsid w:val="00B93BCA"/>
    <w:rsid w:val="00B93FE6"/>
    <w:rsid w:val="00B9416A"/>
    <w:rsid w:val="00B943BF"/>
    <w:rsid w:val="00B94859"/>
    <w:rsid w:val="00B94A13"/>
    <w:rsid w:val="00B94A41"/>
    <w:rsid w:val="00B94B93"/>
    <w:rsid w:val="00B94EB6"/>
    <w:rsid w:val="00B94FF3"/>
    <w:rsid w:val="00B95088"/>
    <w:rsid w:val="00B95248"/>
    <w:rsid w:val="00B95432"/>
    <w:rsid w:val="00B955C5"/>
    <w:rsid w:val="00B958A1"/>
    <w:rsid w:val="00B958D2"/>
    <w:rsid w:val="00B95AE9"/>
    <w:rsid w:val="00B95B7C"/>
    <w:rsid w:val="00B95C5D"/>
    <w:rsid w:val="00B9606B"/>
    <w:rsid w:val="00B96175"/>
    <w:rsid w:val="00B96394"/>
    <w:rsid w:val="00B9678B"/>
    <w:rsid w:val="00B96E34"/>
    <w:rsid w:val="00B971C2"/>
    <w:rsid w:val="00B971F7"/>
    <w:rsid w:val="00B976F8"/>
    <w:rsid w:val="00B97734"/>
    <w:rsid w:val="00B97793"/>
    <w:rsid w:val="00B97873"/>
    <w:rsid w:val="00B97B8B"/>
    <w:rsid w:val="00B97DA1"/>
    <w:rsid w:val="00B97FDC"/>
    <w:rsid w:val="00BA0488"/>
    <w:rsid w:val="00BA0679"/>
    <w:rsid w:val="00BA06DE"/>
    <w:rsid w:val="00BA07D3"/>
    <w:rsid w:val="00BA0866"/>
    <w:rsid w:val="00BA0EB5"/>
    <w:rsid w:val="00BA0F11"/>
    <w:rsid w:val="00BA111C"/>
    <w:rsid w:val="00BA1225"/>
    <w:rsid w:val="00BA12DA"/>
    <w:rsid w:val="00BA1455"/>
    <w:rsid w:val="00BA1501"/>
    <w:rsid w:val="00BA167C"/>
    <w:rsid w:val="00BA177A"/>
    <w:rsid w:val="00BA1933"/>
    <w:rsid w:val="00BA1C61"/>
    <w:rsid w:val="00BA1CC5"/>
    <w:rsid w:val="00BA1D0B"/>
    <w:rsid w:val="00BA1D22"/>
    <w:rsid w:val="00BA1F99"/>
    <w:rsid w:val="00BA2029"/>
    <w:rsid w:val="00BA20B9"/>
    <w:rsid w:val="00BA244D"/>
    <w:rsid w:val="00BA24B1"/>
    <w:rsid w:val="00BA264C"/>
    <w:rsid w:val="00BA287C"/>
    <w:rsid w:val="00BA2A22"/>
    <w:rsid w:val="00BA2D93"/>
    <w:rsid w:val="00BA2E5B"/>
    <w:rsid w:val="00BA2FFD"/>
    <w:rsid w:val="00BA301F"/>
    <w:rsid w:val="00BA30C6"/>
    <w:rsid w:val="00BA320F"/>
    <w:rsid w:val="00BA3376"/>
    <w:rsid w:val="00BA36B3"/>
    <w:rsid w:val="00BA3997"/>
    <w:rsid w:val="00BA3A18"/>
    <w:rsid w:val="00BA3A45"/>
    <w:rsid w:val="00BA3AF1"/>
    <w:rsid w:val="00BA3F2C"/>
    <w:rsid w:val="00BA400A"/>
    <w:rsid w:val="00BA4332"/>
    <w:rsid w:val="00BA4452"/>
    <w:rsid w:val="00BA4590"/>
    <w:rsid w:val="00BA45FC"/>
    <w:rsid w:val="00BA46AF"/>
    <w:rsid w:val="00BA4905"/>
    <w:rsid w:val="00BA4BD3"/>
    <w:rsid w:val="00BA5101"/>
    <w:rsid w:val="00BA51B6"/>
    <w:rsid w:val="00BA52BE"/>
    <w:rsid w:val="00BA52F5"/>
    <w:rsid w:val="00BA5427"/>
    <w:rsid w:val="00BA5451"/>
    <w:rsid w:val="00BA54DC"/>
    <w:rsid w:val="00BA56A4"/>
    <w:rsid w:val="00BA56BF"/>
    <w:rsid w:val="00BA56C7"/>
    <w:rsid w:val="00BA5756"/>
    <w:rsid w:val="00BA579C"/>
    <w:rsid w:val="00BA5C4F"/>
    <w:rsid w:val="00BA5D16"/>
    <w:rsid w:val="00BA5F97"/>
    <w:rsid w:val="00BA5FB9"/>
    <w:rsid w:val="00BA6024"/>
    <w:rsid w:val="00BA6298"/>
    <w:rsid w:val="00BA63B9"/>
    <w:rsid w:val="00BA66BE"/>
    <w:rsid w:val="00BA6733"/>
    <w:rsid w:val="00BA684C"/>
    <w:rsid w:val="00BA692E"/>
    <w:rsid w:val="00BA6945"/>
    <w:rsid w:val="00BA697E"/>
    <w:rsid w:val="00BA6A78"/>
    <w:rsid w:val="00BA6B08"/>
    <w:rsid w:val="00BA6BDC"/>
    <w:rsid w:val="00BA6C61"/>
    <w:rsid w:val="00BA6DFC"/>
    <w:rsid w:val="00BA7189"/>
    <w:rsid w:val="00BA75EC"/>
    <w:rsid w:val="00BA7630"/>
    <w:rsid w:val="00BA7701"/>
    <w:rsid w:val="00BA7A90"/>
    <w:rsid w:val="00BA7C8F"/>
    <w:rsid w:val="00BA7D8D"/>
    <w:rsid w:val="00BA7DA6"/>
    <w:rsid w:val="00BA7EF2"/>
    <w:rsid w:val="00BA7F10"/>
    <w:rsid w:val="00BB01CA"/>
    <w:rsid w:val="00BB01F4"/>
    <w:rsid w:val="00BB02FF"/>
    <w:rsid w:val="00BB037F"/>
    <w:rsid w:val="00BB03C9"/>
    <w:rsid w:val="00BB03CC"/>
    <w:rsid w:val="00BB048D"/>
    <w:rsid w:val="00BB05BF"/>
    <w:rsid w:val="00BB05FC"/>
    <w:rsid w:val="00BB06F6"/>
    <w:rsid w:val="00BB07FB"/>
    <w:rsid w:val="00BB0915"/>
    <w:rsid w:val="00BB0DF2"/>
    <w:rsid w:val="00BB0EE3"/>
    <w:rsid w:val="00BB0F7D"/>
    <w:rsid w:val="00BB12A6"/>
    <w:rsid w:val="00BB1301"/>
    <w:rsid w:val="00BB13E4"/>
    <w:rsid w:val="00BB1670"/>
    <w:rsid w:val="00BB187F"/>
    <w:rsid w:val="00BB18AA"/>
    <w:rsid w:val="00BB195F"/>
    <w:rsid w:val="00BB19BD"/>
    <w:rsid w:val="00BB1C95"/>
    <w:rsid w:val="00BB1F53"/>
    <w:rsid w:val="00BB20EC"/>
    <w:rsid w:val="00BB21DD"/>
    <w:rsid w:val="00BB2315"/>
    <w:rsid w:val="00BB2321"/>
    <w:rsid w:val="00BB2412"/>
    <w:rsid w:val="00BB2836"/>
    <w:rsid w:val="00BB2954"/>
    <w:rsid w:val="00BB2AB9"/>
    <w:rsid w:val="00BB2E1C"/>
    <w:rsid w:val="00BB3115"/>
    <w:rsid w:val="00BB3166"/>
    <w:rsid w:val="00BB31F8"/>
    <w:rsid w:val="00BB3641"/>
    <w:rsid w:val="00BB38B5"/>
    <w:rsid w:val="00BB38FC"/>
    <w:rsid w:val="00BB39D5"/>
    <w:rsid w:val="00BB39E4"/>
    <w:rsid w:val="00BB3A8E"/>
    <w:rsid w:val="00BB3ABC"/>
    <w:rsid w:val="00BB3D9B"/>
    <w:rsid w:val="00BB3E56"/>
    <w:rsid w:val="00BB3F00"/>
    <w:rsid w:val="00BB3FF5"/>
    <w:rsid w:val="00BB414A"/>
    <w:rsid w:val="00BB416D"/>
    <w:rsid w:val="00BB47D0"/>
    <w:rsid w:val="00BB4819"/>
    <w:rsid w:val="00BB48FE"/>
    <w:rsid w:val="00BB49A2"/>
    <w:rsid w:val="00BB4A9C"/>
    <w:rsid w:val="00BB4B2E"/>
    <w:rsid w:val="00BB4D13"/>
    <w:rsid w:val="00BB4D60"/>
    <w:rsid w:val="00BB5130"/>
    <w:rsid w:val="00BB54B3"/>
    <w:rsid w:val="00BB54EA"/>
    <w:rsid w:val="00BB57A2"/>
    <w:rsid w:val="00BB586E"/>
    <w:rsid w:val="00BB589E"/>
    <w:rsid w:val="00BB599E"/>
    <w:rsid w:val="00BB59AE"/>
    <w:rsid w:val="00BB5B27"/>
    <w:rsid w:val="00BB5D0F"/>
    <w:rsid w:val="00BB5D86"/>
    <w:rsid w:val="00BB5F51"/>
    <w:rsid w:val="00BB6073"/>
    <w:rsid w:val="00BB60FF"/>
    <w:rsid w:val="00BB6900"/>
    <w:rsid w:val="00BB69E7"/>
    <w:rsid w:val="00BB6A0B"/>
    <w:rsid w:val="00BB6A14"/>
    <w:rsid w:val="00BB6A84"/>
    <w:rsid w:val="00BB6A9B"/>
    <w:rsid w:val="00BB700F"/>
    <w:rsid w:val="00BB739B"/>
    <w:rsid w:val="00BB7491"/>
    <w:rsid w:val="00BB76A5"/>
    <w:rsid w:val="00BB7806"/>
    <w:rsid w:val="00BB78C5"/>
    <w:rsid w:val="00BB79C0"/>
    <w:rsid w:val="00BB79C9"/>
    <w:rsid w:val="00BB7A61"/>
    <w:rsid w:val="00BB7B3D"/>
    <w:rsid w:val="00BB7CDA"/>
    <w:rsid w:val="00BB7CDD"/>
    <w:rsid w:val="00BB7D62"/>
    <w:rsid w:val="00BB7E0D"/>
    <w:rsid w:val="00BB7FAD"/>
    <w:rsid w:val="00BC01B3"/>
    <w:rsid w:val="00BC026D"/>
    <w:rsid w:val="00BC044B"/>
    <w:rsid w:val="00BC046E"/>
    <w:rsid w:val="00BC05CF"/>
    <w:rsid w:val="00BC061A"/>
    <w:rsid w:val="00BC06DA"/>
    <w:rsid w:val="00BC0B05"/>
    <w:rsid w:val="00BC0BA5"/>
    <w:rsid w:val="00BC0BD8"/>
    <w:rsid w:val="00BC0E8D"/>
    <w:rsid w:val="00BC0F52"/>
    <w:rsid w:val="00BC1688"/>
    <w:rsid w:val="00BC1854"/>
    <w:rsid w:val="00BC1912"/>
    <w:rsid w:val="00BC1B93"/>
    <w:rsid w:val="00BC1BD3"/>
    <w:rsid w:val="00BC1E96"/>
    <w:rsid w:val="00BC1F69"/>
    <w:rsid w:val="00BC2019"/>
    <w:rsid w:val="00BC2175"/>
    <w:rsid w:val="00BC21B8"/>
    <w:rsid w:val="00BC25BE"/>
    <w:rsid w:val="00BC25F7"/>
    <w:rsid w:val="00BC26ED"/>
    <w:rsid w:val="00BC28CD"/>
    <w:rsid w:val="00BC29C0"/>
    <w:rsid w:val="00BC2BF8"/>
    <w:rsid w:val="00BC2C07"/>
    <w:rsid w:val="00BC2CA8"/>
    <w:rsid w:val="00BC2EAD"/>
    <w:rsid w:val="00BC2F00"/>
    <w:rsid w:val="00BC307F"/>
    <w:rsid w:val="00BC31BE"/>
    <w:rsid w:val="00BC32FE"/>
    <w:rsid w:val="00BC33C6"/>
    <w:rsid w:val="00BC3492"/>
    <w:rsid w:val="00BC350B"/>
    <w:rsid w:val="00BC3622"/>
    <w:rsid w:val="00BC36B4"/>
    <w:rsid w:val="00BC3709"/>
    <w:rsid w:val="00BC37AB"/>
    <w:rsid w:val="00BC38C1"/>
    <w:rsid w:val="00BC392B"/>
    <w:rsid w:val="00BC3937"/>
    <w:rsid w:val="00BC3C60"/>
    <w:rsid w:val="00BC3DC5"/>
    <w:rsid w:val="00BC3E81"/>
    <w:rsid w:val="00BC3ED0"/>
    <w:rsid w:val="00BC4214"/>
    <w:rsid w:val="00BC4518"/>
    <w:rsid w:val="00BC45E0"/>
    <w:rsid w:val="00BC4651"/>
    <w:rsid w:val="00BC471A"/>
    <w:rsid w:val="00BC47F2"/>
    <w:rsid w:val="00BC49D1"/>
    <w:rsid w:val="00BC4C5F"/>
    <w:rsid w:val="00BC4D45"/>
    <w:rsid w:val="00BC4E16"/>
    <w:rsid w:val="00BC4F90"/>
    <w:rsid w:val="00BC5093"/>
    <w:rsid w:val="00BC5144"/>
    <w:rsid w:val="00BC5202"/>
    <w:rsid w:val="00BC541E"/>
    <w:rsid w:val="00BC5479"/>
    <w:rsid w:val="00BC5627"/>
    <w:rsid w:val="00BC5648"/>
    <w:rsid w:val="00BC56F1"/>
    <w:rsid w:val="00BC5805"/>
    <w:rsid w:val="00BC5AB9"/>
    <w:rsid w:val="00BC5AD6"/>
    <w:rsid w:val="00BC5B3C"/>
    <w:rsid w:val="00BC5BC5"/>
    <w:rsid w:val="00BC5CC8"/>
    <w:rsid w:val="00BC5E32"/>
    <w:rsid w:val="00BC5E46"/>
    <w:rsid w:val="00BC6146"/>
    <w:rsid w:val="00BC614A"/>
    <w:rsid w:val="00BC619F"/>
    <w:rsid w:val="00BC629C"/>
    <w:rsid w:val="00BC62C6"/>
    <w:rsid w:val="00BC640C"/>
    <w:rsid w:val="00BC6559"/>
    <w:rsid w:val="00BC6593"/>
    <w:rsid w:val="00BC659B"/>
    <w:rsid w:val="00BC65BC"/>
    <w:rsid w:val="00BC66A2"/>
    <w:rsid w:val="00BC674C"/>
    <w:rsid w:val="00BC6834"/>
    <w:rsid w:val="00BC684F"/>
    <w:rsid w:val="00BC6871"/>
    <w:rsid w:val="00BC6AE0"/>
    <w:rsid w:val="00BC7019"/>
    <w:rsid w:val="00BC7208"/>
    <w:rsid w:val="00BC748B"/>
    <w:rsid w:val="00BC75B1"/>
    <w:rsid w:val="00BC7876"/>
    <w:rsid w:val="00BC7A22"/>
    <w:rsid w:val="00BC7D19"/>
    <w:rsid w:val="00BC7D75"/>
    <w:rsid w:val="00BC7DCA"/>
    <w:rsid w:val="00BC7EB3"/>
    <w:rsid w:val="00BD02AC"/>
    <w:rsid w:val="00BD02CA"/>
    <w:rsid w:val="00BD031C"/>
    <w:rsid w:val="00BD047A"/>
    <w:rsid w:val="00BD0574"/>
    <w:rsid w:val="00BD0744"/>
    <w:rsid w:val="00BD0CBC"/>
    <w:rsid w:val="00BD0CE2"/>
    <w:rsid w:val="00BD0DDA"/>
    <w:rsid w:val="00BD0E73"/>
    <w:rsid w:val="00BD11D0"/>
    <w:rsid w:val="00BD13B0"/>
    <w:rsid w:val="00BD1561"/>
    <w:rsid w:val="00BD1900"/>
    <w:rsid w:val="00BD1BC8"/>
    <w:rsid w:val="00BD1D57"/>
    <w:rsid w:val="00BD1DED"/>
    <w:rsid w:val="00BD1DF3"/>
    <w:rsid w:val="00BD1E22"/>
    <w:rsid w:val="00BD201E"/>
    <w:rsid w:val="00BD21FF"/>
    <w:rsid w:val="00BD2492"/>
    <w:rsid w:val="00BD2A19"/>
    <w:rsid w:val="00BD2A90"/>
    <w:rsid w:val="00BD2AFC"/>
    <w:rsid w:val="00BD2C2C"/>
    <w:rsid w:val="00BD2D0B"/>
    <w:rsid w:val="00BD2F75"/>
    <w:rsid w:val="00BD30D5"/>
    <w:rsid w:val="00BD315D"/>
    <w:rsid w:val="00BD3515"/>
    <w:rsid w:val="00BD3635"/>
    <w:rsid w:val="00BD3772"/>
    <w:rsid w:val="00BD3826"/>
    <w:rsid w:val="00BD39C7"/>
    <w:rsid w:val="00BD3B1B"/>
    <w:rsid w:val="00BD3C87"/>
    <w:rsid w:val="00BD4021"/>
    <w:rsid w:val="00BD403B"/>
    <w:rsid w:val="00BD4129"/>
    <w:rsid w:val="00BD4358"/>
    <w:rsid w:val="00BD435F"/>
    <w:rsid w:val="00BD438F"/>
    <w:rsid w:val="00BD43B1"/>
    <w:rsid w:val="00BD44D9"/>
    <w:rsid w:val="00BD46D2"/>
    <w:rsid w:val="00BD4AE1"/>
    <w:rsid w:val="00BD4C7F"/>
    <w:rsid w:val="00BD4D2E"/>
    <w:rsid w:val="00BD501F"/>
    <w:rsid w:val="00BD50AC"/>
    <w:rsid w:val="00BD51D7"/>
    <w:rsid w:val="00BD5307"/>
    <w:rsid w:val="00BD5327"/>
    <w:rsid w:val="00BD54DF"/>
    <w:rsid w:val="00BD5A58"/>
    <w:rsid w:val="00BD5B83"/>
    <w:rsid w:val="00BD5C6B"/>
    <w:rsid w:val="00BD5CA7"/>
    <w:rsid w:val="00BD5FAC"/>
    <w:rsid w:val="00BD61DC"/>
    <w:rsid w:val="00BD6211"/>
    <w:rsid w:val="00BD6251"/>
    <w:rsid w:val="00BD6260"/>
    <w:rsid w:val="00BD6321"/>
    <w:rsid w:val="00BD6342"/>
    <w:rsid w:val="00BD6560"/>
    <w:rsid w:val="00BD65A4"/>
    <w:rsid w:val="00BD65E9"/>
    <w:rsid w:val="00BD6637"/>
    <w:rsid w:val="00BD6645"/>
    <w:rsid w:val="00BD6683"/>
    <w:rsid w:val="00BD66DD"/>
    <w:rsid w:val="00BD6AE1"/>
    <w:rsid w:val="00BD6B9A"/>
    <w:rsid w:val="00BD6C44"/>
    <w:rsid w:val="00BD6E81"/>
    <w:rsid w:val="00BD6EAF"/>
    <w:rsid w:val="00BD6F50"/>
    <w:rsid w:val="00BD716F"/>
    <w:rsid w:val="00BD717D"/>
    <w:rsid w:val="00BD747C"/>
    <w:rsid w:val="00BD76A9"/>
    <w:rsid w:val="00BD787E"/>
    <w:rsid w:val="00BD79EF"/>
    <w:rsid w:val="00BD7B8E"/>
    <w:rsid w:val="00BD7BFF"/>
    <w:rsid w:val="00BD7C0F"/>
    <w:rsid w:val="00BD7E44"/>
    <w:rsid w:val="00BE0135"/>
    <w:rsid w:val="00BE01AF"/>
    <w:rsid w:val="00BE0301"/>
    <w:rsid w:val="00BE0609"/>
    <w:rsid w:val="00BE06F9"/>
    <w:rsid w:val="00BE0829"/>
    <w:rsid w:val="00BE088A"/>
    <w:rsid w:val="00BE099F"/>
    <w:rsid w:val="00BE0BFB"/>
    <w:rsid w:val="00BE0E26"/>
    <w:rsid w:val="00BE103E"/>
    <w:rsid w:val="00BE10A7"/>
    <w:rsid w:val="00BE10EC"/>
    <w:rsid w:val="00BE1630"/>
    <w:rsid w:val="00BE1949"/>
    <w:rsid w:val="00BE198C"/>
    <w:rsid w:val="00BE1AD4"/>
    <w:rsid w:val="00BE1B38"/>
    <w:rsid w:val="00BE1BFA"/>
    <w:rsid w:val="00BE1C15"/>
    <w:rsid w:val="00BE1C4E"/>
    <w:rsid w:val="00BE1D86"/>
    <w:rsid w:val="00BE204C"/>
    <w:rsid w:val="00BE2188"/>
    <w:rsid w:val="00BE2603"/>
    <w:rsid w:val="00BE287C"/>
    <w:rsid w:val="00BE29AD"/>
    <w:rsid w:val="00BE2ACB"/>
    <w:rsid w:val="00BE2D84"/>
    <w:rsid w:val="00BE2DBD"/>
    <w:rsid w:val="00BE2F33"/>
    <w:rsid w:val="00BE2FAF"/>
    <w:rsid w:val="00BE31A8"/>
    <w:rsid w:val="00BE3415"/>
    <w:rsid w:val="00BE34C1"/>
    <w:rsid w:val="00BE3609"/>
    <w:rsid w:val="00BE38B8"/>
    <w:rsid w:val="00BE3962"/>
    <w:rsid w:val="00BE39EB"/>
    <w:rsid w:val="00BE39ED"/>
    <w:rsid w:val="00BE3B1F"/>
    <w:rsid w:val="00BE3B3E"/>
    <w:rsid w:val="00BE4105"/>
    <w:rsid w:val="00BE4222"/>
    <w:rsid w:val="00BE4398"/>
    <w:rsid w:val="00BE4599"/>
    <w:rsid w:val="00BE4808"/>
    <w:rsid w:val="00BE4C73"/>
    <w:rsid w:val="00BE4D60"/>
    <w:rsid w:val="00BE4DE0"/>
    <w:rsid w:val="00BE4FDF"/>
    <w:rsid w:val="00BE5002"/>
    <w:rsid w:val="00BE56DD"/>
    <w:rsid w:val="00BE5731"/>
    <w:rsid w:val="00BE583F"/>
    <w:rsid w:val="00BE59C9"/>
    <w:rsid w:val="00BE5C3D"/>
    <w:rsid w:val="00BE6170"/>
    <w:rsid w:val="00BE660D"/>
    <w:rsid w:val="00BE66D1"/>
    <w:rsid w:val="00BE6881"/>
    <w:rsid w:val="00BE6933"/>
    <w:rsid w:val="00BE6A72"/>
    <w:rsid w:val="00BE6AAF"/>
    <w:rsid w:val="00BE6BAD"/>
    <w:rsid w:val="00BE6F8F"/>
    <w:rsid w:val="00BE70C9"/>
    <w:rsid w:val="00BE72D5"/>
    <w:rsid w:val="00BE7629"/>
    <w:rsid w:val="00BE7789"/>
    <w:rsid w:val="00BE7A44"/>
    <w:rsid w:val="00BE7C01"/>
    <w:rsid w:val="00BE7CCF"/>
    <w:rsid w:val="00BE7F1E"/>
    <w:rsid w:val="00BE7FDC"/>
    <w:rsid w:val="00BF0123"/>
    <w:rsid w:val="00BF0132"/>
    <w:rsid w:val="00BF02C6"/>
    <w:rsid w:val="00BF03DD"/>
    <w:rsid w:val="00BF0657"/>
    <w:rsid w:val="00BF07B9"/>
    <w:rsid w:val="00BF0967"/>
    <w:rsid w:val="00BF09DE"/>
    <w:rsid w:val="00BF0A38"/>
    <w:rsid w:val="00BF0A72"/>
    <w:rsid w:val="00BF0B49"/>
    <w:rsid w:val="00BF0C30"/>
    <w:rsid w:val="00BF0C6B"/>
    <w:rsid w:val="00BF0DB4"/>
    <w:rsid w:val="00BF110D"/>
    <w:rsid w:val="00BF118A"/>
    <w:rsid w:val="00BF168C"/>
    <w:rsid w:val="00BF179A"/>
    <w:rsid w:val="00BF18AE"/>
    <w:rsid w:val="00BF1BAF"/>
    <w:rsid w:val="00BF1CE9"/>
    <w:rsid w:val="00BF1FF5"/>
    <w:rsid w:val="00BF2002"/>
    <w:rsid w:val="00BF201F"/>
    <w:rsid w:val="00BF214F"/>
    <w:rsid w:val="00BF25F1"/>
    <w:rsid w:val="00BF2783"/>
    <w:rsid w:val="00BF2919"/>
    <w:rsid w:val="00BF2A2E"/>
    <w:rsid w:val="00BF2A99"/>
    <w:rsid w:val="00BF2B00"/>
    <w:rsid w:val="00BF2B98"/>
    <w:rsid w:val="00BF2BCE"/>
    <w:rsid w:val="00BF2C54"/>
    <w:rsid w:val="00BF300C"/>
    <w:rsid w:val="00BF3100"/>
    <w:rsid w:val="00BF32CD"/>
    <w:rsid w:val="00BF3342"/>
    <w:rsid w:val="00BF3417"/>
    <w:rsid w:val="00BF343C"/>
    <w:rsid w:val="00BF3783"/>
    <w:rsid w:val="00BF3795"/>
    <w:rsid w:val="00BF37A8"/>
    <w:rsid w:val="00BF386B"/>
    <w:rsid w:val="00BF3ABB"/>
    <w:rsid w:val="00BF3B52"/>
    <w:rsid w:val="00BF3D1C"/>
    <w:rsid w:val="00BF3E39"/>
    <w:rsid w:val="00BF3FE7"/>
    <w:rsid w:val="00BF4394"/>
    <w:rsid w:val="00BF4558"/>
    <w:rsid w:val="00BF45D3"/>
    <w:rsid w:val="00BF485B"/>
    <w:rsid w:val="00BF48E3"/>
    <w:rsid w:val="00BF4A22"/>
    <w:rsid w:val="00BF4A7A"/>
    <w:rsid w:val="00BF4ACE"/>
    <w:rsid w:val="00BF4C1C"/>
    <w:rsid w:val="00BF4D5F"/>
    <w:rsid w:val="00BF4FBB"/>
    <w:rsid w:val="00BF514D"/>
    <w:rsid w:val="00BF51A9"/>
    <w:rsid w:val="00BF5307"/>
    <w:rsid w:val="00BF53D9"/>
    <w:rsid w:val="00BF587D"/>
    <w:rsid w:val="00BF5B01"/>
    <w:rsid w:val="00BF5E81"/>
    <w:rsid w:val="00BF5F88"/>
    <w:rsid w:val="00BF5FFA"/>
    <w:rsid w:val="00BF60E8"/>
    <w:rsid w:val="00BF657C"/>
    <w:rsid w:val="00BF688B"/>
    <w:rsid w:val="00BF6BD4"/>
    <w:rsid w:val="00BF6E65"/>
    <w:rsid w:val="00BF6F7F"/>
    <w:rsid w:val="00BF7180"/>
    <w:rsid w:val="00BF71D7"/>
    <w:rsid w:val="00BF73EC"/>
    <w:rsid w:val="00BF74DE"/>
    <w:rsid w:val="00BF7501"/>
    <w:rsid w:val="00BF77E6"/>
    <w:rsid w:val="00BF78FC"/>
    <w:rsid w:val="00BF792A"/>
    <w:rsid w:val="00BF79C0"/>
    <w:rsid w:val="00BF79CD"/>
    <w:rsid w:val="00BF7B3D"/>
    <w:rsid w:val="00BF7BD5"/>
    <w:rsid w:val="00BF7D93"/>
    <w:rsid w:val="00BF7DB7"/>
    <w:rsid w:val="00BF7EC8"/>
    <w:rsid w:val="00C0021F"/>
    <w:rsid w:val="00C002CC"/>
    <w:rsid w:val="00C00317"/>
    <w:rsid w:val="00C00377"/>
    <w:rsid w:val="00C0038D"/>
    <w:rsid w:val="00C0039B"/>
    <w:rsid w:val="00C003B1"/>
    <w:rsid w:val="00C0072D"/>
    <w:rsid w:val="00C0076D"/>
    <w:rsid w:val="00C01005"/>
    <w:rsid w:val="00C01050"/>
    <w:rsid w:val="00C01079"/>
    <w:rsid w:val="00C01260"/>
    <w:rsid w:val="00C01373"/>
    <w:rsid w:val="00C018B8"/>
    <w:rsid w:val="00C01953"/>
    <w:rsid w:val="00C019F2"/>
    <w:rsid w:val="00C01B47"/>
    <w:rsid w:val="00C01DBC"/>
    <w:rsid w:val="00C01E57"/>
    <w:rsid w:val="00C0208A"/>
    <w:rsid w:val="00C020CB"/>
    <w:rsid w:val="00C021B0"/>
    <w:rsid w:val="00C02283"/>
    <w:rsid w:val="00C02363"/>
    <w:rsid w:val="00C0287E"/>
    <w:rsid w:val="00C0298B"/>
    <w:rsid w:val="00C02AA2"/>
    <w:rsid w:val="00C02AF1"/>
    <w:rsid w:val="00C02AF3"/>
    <w:rsid w:val="00C02B1C"/>
    <w:rsid w:val="00C02C46"/>
    <w:rsid w:val="00C02C67"/>
    <w:rsid w:val="00C02FF4"/>
    <w:rsid w:val="00C0305B"/>
    <w:rsid w:val="00C030D7"/>
    <w:rsid w:val="00C03100"/>
    <w:rsid w:val="00C0314E"/>
    <w:rsid w:val="00C032B9"/>
    <w:rsid w:val="00C0348E"/>
    <w:rsid w:val="00C035A5"/>
    <w:rsid w:val="00C037BE"/>
    <w:rsid w:val="00C0382B"/>
    <w:rsid w:val="00C0383F"/>
    <w:rsid w:val="00C03A6F"/>
    <w:rsid w:val="00C03AFB"/>
    <w:rsid w:val="00C03DE3"/>
    <w:rsid w:val="00C03EAD"/>
    <w:rsid w:val="00C0407A"/>
    <w:rsid w:val="00C04096"/>
    <w:rsid w:val="00C044FE"/>
    <w:rsid w:val="00C0451D"/>
    <w:rsid w:val="00C04668"/>
    <w:rsid w:val="00C049C1"/>
    <w:rsid w:val="00C04B20"/>
    <w:rsid w:val="00C04B39"/>
    <w:rsid w:val="00C04B75"/>
    <w:rsid w:val="00C04C9C"/>
    <w:rsid w:val="00C04D69"/>
    <w:rsid w:val="00C04D72"/>
    <w:rsid w:val="00C04DC8"/>
    <w:rsid w:val="00C04F3E"/>
    <w:rsid w:val="00C0530D"/>
    <w:rsid w:val="00C0560F"/>
    <w:rsid w:val="00C05794"/>
    <w:rsid w:val="00C0590A"/>
    <w:rsid w:val="00C05BA3"/>
    <w:rsid w:val="00C05CDE"/>
    <w:rsid w:val="00C05D83"/>
    <w:rsid w:val="00C05E05"/>
    <w:rsid w:val="00C0601F"/>
    <w:rsid w:val="00C06203"/>
    <w:rsid w:val="00C06256"/>
    <w:rsid w:val="00C0625C"/>
    <w:rsid w:val="00C0628A"/>
    <w:rsid w:val="00C06322"/>
    <w:rsid w:val="00C06443"/>
    <w:rsid w:val="00C06458"/>
    <w:rsid w:val="00C064AB"/>
    <w:rsid w:val="00C06575"/>
    <w:rsid w:val="00C0676D"/>
    <w:rsid w:val="00C06835"/>
    <w:rsid w:val="00C06886"/>
    <w:rsid w:val="00C068B4"/>
    <w:rsid w:val="00C06B11"/>
    <w:rsid w:val="00C06BBB"/>
    <w:rsid w:val="00C06CF4"/>
    <w:rsid w:val="00C06D7C"/>
    <w:rsid w:val="00C06ECD"/>
    <w:rsid w:val="00C06F23"/>
    <w:rsid w:val="00C071A4"/>
    <w:rsid w:val="00C071D2"/>
    <w:rsid w:val="00C07260"/>
    <w:rsid w:val="00C07270"/>
    <w:rsid w:val="00C07477"/>
    <w:rsid w:val="00C074A7"/>
    <w:rsid w:val="00C07572"/>
    <w:rsid w:val="00C075FA"/>
    <w:rsid w:val="00C07819"/>
    <w:rsid w:val="00C07AC0"/>
    <w:rsid w:val="00C07CAA"/>
    <w:rsid w:val="00C07D34"/>
    <w:rsid w:val="00C07EE1"/>
    <w:rsid w:val="00C07F23"/>
    <w:rsid w:val="00C10343"/>
    <w:rsid w:val="00C105EB"/>
    <w:rsid w:val="00C10A58"/>
    <w:rsid w:val="00C10D36"/>
    <w:rsid w:val="00C1111C"/>
    <w:rsid w:val="00C1116D"/>
    <w:rsid w:val="00C1126D"/>
    <w:rsid w:val="00C11286"/>
    <w:rsid w:val="00C11296"/>
    <w:rsid w:val="00C1129B"/>
    <w:rsid w:val="00C115B5"/>
    <w:rsid w:val="00C115EA"/>
    <w:rsid w:val="00C11608"/>
    <w:rsid w:val="00C11664"/>
    <w:rsid w:val="00C1168D"/>
    <w:rsid w:val="00C1175D"/>
    <w:rsid w:val="00C117B7"/>
    <w:rsid w:val="00C1184F"/>
    <w:rsid w:val="00C11977"/>
    <w:rsid w:val="00C11A0B"/>
    <w:rsid w:val="00C11C63"/>
    <w:rsid w:val="00C12058"/>
    <w:rsid w:val="00C12430"/>
    <w:rsid w:val="00C1243B"/>
    <w:rsid w:val="00C1243D"/>
    <w:rsid w:val="00C1249C"/>
    <w:rsid w:val="00C124E0"/>
    <w:rsid w:val="00C1264B"/>
    <w:rsid w:val="00C12984"/>
    <w:rsid w:val="00C129A6"/>
    <w:rsid w:val="00C12A66"/>
    <w:rsid w:val="00C12FA7"/>
    <w:rsid w:val="00C13209"/>
    <w:rsid w:val="00C13409"/>
    <w:rsid w:val="00C1349F"/>
    <w:rsid w:val="00C1354E"/>
    <w:rsid w:val="00C1360A"/>
    <w:rsid w:val="00C138E4"/>
    <w:rsid w:val="00C139CB"/>
    <w:rsid w:val="00C13AAE"/>
    <w:rsid w:val="00C13B0D"/>
    <w:rsid w:val="00C13B1C"/>
    <w:rsid w:val="00C13B86"/>
    <w:rsid w:val="00C13BEA"/>
    <w:rsid w:val="00C13C8E"/>
    <w:rsid w:val="00C13FA5"/>
    <w:rsid w:val="00C13FA9"/>
    <w:rsid w:val="00C14092"/>
    <w:rsid w:val="00C143B4"/>
    <w:rsid w:val="00C14827"/>
    <w:rsid w:val="00C149BF"/>
    <w:rsid w:val="00C14B13"/>
    <w:rsid w:val="00C14BB8"/>
    <w:rsid w:val="00C14D39"/>
    <w:rsid w:val="00C14D60"/>
    <w:rsid w:val="00C152F0"/>
    <w:rsid w:val="00C1551F"/>
    <w:rsid w:val="00C15584"/>
    <w:rsid w:val="00C1566F"/>
    <w:rsid w:val="00C1583C"/>
    <w:rsid w:val="00C15872"/>
    <w:rsid w:val="00C15A3C"/>
    <w:rsid w:val="00C15A57"/>
    <w:rsid w:val="00C15A69"/>
    <w:rsid w:val="00C15AA1"/>
    <w:rsid w:val="00C15C58"/>
    <w:rsid w:val="00C15E3B"/>
    <w:rsid w:val="00C15F62"/>
    <w:rsid w:val="00C16047"/>
    <w:rsid w:val="00C160F6"/>
    <w:rsid w:val="00C1614D"/>
    <w:rsid w:val="00C1632D"/>
    <w:rsid w:val="00C16390"/>
    <w:rsid w:val="00C163EB"/>
    <w:rsid w:val="00C163F2"/>
    <w:rsid w:val="00C16403"/>
    <w:rsid w:val="00C1653A"/>
    <w:rsid w:val="00C16778"/>
    <w:rsid w:val="00C16C17"/>
    <w:rsid w:val="00C1708F"/>
    <w:rsid w:val="00C172E5"/>
    <w:rsid w:val="00C175E3"/>
    <w:rsid w:val="00C176A6"/>
    <w:rsid w:val="00C1783D"/>
    <w:rsid w:val="00C17956"/>
    <w:rsid w:val="00C17A48"/>
    <w:rsid w:val="00C17AD4"/>
    <w:rsid w:val="00C17F64"/>
    <w:rsid w:val="00C200F8"/>
    <w:rsid w:val="00C201DA"/>
    <w:rsid w:val="00C201F6"/>
    <w:rsid w:val="00C202C3"/>
    <w:rsid w:val="00C20664"/>
    <w:rsid w:val="00C207DE"/>
    <w:rsid w:val="00C20B29"/>
    <w:rsid w:val="00C20BAE"/>
    <w:rsid w:val="00C20C45"/>
    <w:rsid w:val="00C20DC1"/>
    <w:rsid w:val="00C210DC"/>
    <w:rsid w:val="00C2115B"/>
    <w:rsid w:val="00C2118B"/>
    <w:rsid w:val="00C2121E"/>
    <w:rsid w:val="00C212E6"/>
    <w:rsid w:val="00C21336"/>
    <w:rsid w:val="00C213C8"/>
    <w:rsid w:val="00C21538"/>
    <w:rsid w:val="00C2173A"/>
    <w:rsid w:val="00C2180A"/>
    <w:rsid w:val="00C218C9"/>
    <w:rsid w:val="00C21A84"/>
    <w:rsid w:val="00C21B2D"/>
    <w:rsid w:val="00C21B91"/>
    <w:rsid w:val="00C21D34"/>
    <w:rsid w:val="00C21EB6"/>
    <w:rsid w:val="00C22121"/>
    <w:rsid w:val="00C22146"/>
    <w:rsid w:val="00C2226E"/>
    <w:rsid w:val="00C22324"/>
    <w:rsid w:val="00C225DC"/>
    <w:rsid w:val="00C22600"/>
    <w:rsid w:val="00C226B2"/>
    <w:rsid w:val="00C22A6E"/>
    <w:rsid w:val="00C22B14"/>
    <w:rsid w:val="00C22BC6"/>
    <w:rsid w:val="00C22C19"/>
    <w:rsid w:val="00C22D70"/>
    <w:rsid w:val="00C22F10"/>
    <w:rsid w:val="00C2323F"/>
    <w:rsid w:val="00C2328B"/>
    <w:rsid w:val="00C232F6"/>
    <w:rsid w:val="00C23359"/>
    <w:rsid w:val="00C23541"/>
    <w:rsid w:val="00C2370A"/>
    <w:rsid w:val="00C239A2"/>
    <w:rsid w:val="00C23B9E"/>
    <w:rsid w:val="00C23FF8"/>
    <w:rsid w:val="00C2402B"/>
    <w:rsid w:val="00C24084"/>
    <w:rsid w:val="00C241D2"/>
    <w:rsid w:val="00C24239"/>
    <w:rsid w:val="00C2444C"/>
    <w:rsid w:val="00C244C3"/>
    <w:rsid w:val="00C24561"/>
    <w:rsid w:val="00C24675"/>
    <w:rsid w:val="00C246A6"/>
    <w:rsid w:val="00C24716"/>
    <w:rsid w:val="00C247BB"/>
    <w:rsid w:val="00C247E5"/>
    <w:rsid w:val="00C24AFD"/>
    <w:rsid w:val="00C24CE7"/>
    <w:rsid w:val="00C24EA0"/>
    <w:rsid w:val="00C24EAA"/>
    <w:rsid w:val="00C251D6"/>
    <w:rsid w:val="00C252CA"/>
    <w:rsid w:val="00C2532F"/>
    <w:rsid w:val="00C2536F"/>
    <w:rsid w:val="00C2539D"/>
    <w:rsid w:val="00C25427"/>
    <w:rsid w:val="00C254D6"/>
    <w:rsid w:val="00C255DA"/>
    <w:rsid w:val="00C256EE"/>
    <w:rsid w:val="00C25935"/>
    <w:rsid w:val="00C2593A"/>
    <w:rsid w:val="00C25BEB"/>
    <w:rsid w:val="00C25C80"/>
    <w:rsid w:val="00C25CBD"/>
    <w:rsid w:val="00C26081"/>
    <w:rsid w:val="00C260C3"/>
    <w:rsid w:val="00C26160"/>
    <w:rsid w:val="00C265AD"/>
    <w:rsid w:val="00C266E8"/>
    <w:rsid w:val="00C26924"/>
    <w:rsid w:val="00C26A1B"/>
    <w:rsid w:val="00C26A54"/>
    <w:rsid w:val="00C26A8E"/>
    <w:rsid w:val="00C26B19"/>
    <w:rsid w:val="00C26B9A"/>
    <w:rsid w:val="00C26D05"/>
    <w:rsid w:val="00C26D93"/>
    <w:rsid w:val="00C26E5B"/>
    <w:rsid w:val="00C26F1A"/>
    <w:rsid w:val="00C272C4"/>
    <w:rsid w:val="00C27455"/>
    <w:rsid w:val="00C2749F"/>
    <w:rsid w:val="00C274A0"/>
    <w:rsid w:val="00C275AC"/>
    <w:rsid w:val="00C27905"/>
    <w:rsid w:val="00C27A1E"/>
    <w:rsid w:val="00C27B7D"/>
    <w:rsid w:val="00C27B96"/>
    <w:rsid w:val="00C27C9D"/>
    <w:rsid w:val="00C27E22"/>
    <w:rsid w:val="00C27E54"/>
    <w:rsid w:val="00C27ECE"/>
    <w:rsid w:val="00C27F50"/>
    <w:rsid w:val="00C27FB1"/>
    <w:rsid w:val="00C30239"/>
    <w:rsid w:val="00C302CD"/>
    <w:rsid w:val="00C30424"/>
    <w:rsid w:val="00C30456"/>
    <w:rsid w:val="00C30474"/>
    <w:rsid w:val="00C30537"/>
    <w:rsid w:val="00C3055C"/>
    <w:rsid w:val="00C309C4"/>
    <w:rsid w:val="00C30B5C"/>
    <w:rsid w:val="00C30F7A"/>
    <w:rsid w:val="00C311AE"/>
    <w:rsid w:val="00C315B1"/>
    <w:rsid w:val="00C315F5"/>
    <w:rsid w:val="00C3161E"/>
    <w:rsid w:val="00C31877"/>
    <w:rsid w:val="00C319AA"/>
    <w:rsid w:val="00C31AB8"/>
    <w:rsid w:val="00C31B76"/>
    <w:rsid w:val="00C31BA7"/>
    <w:rsid w:val="00C31D29"/>
    <w:rsid w:val="00C31DF5"/>
    <w:rsid w:val="00C31F4E"/>
    <w:rsid w:val="00C324C4"/>
    <w:rsid w:val="00C324C9"/>
    <w:rsid w:val="00C32826"/>
    <w:rsid w:val="00C3290B"/>
    <w:rsid w:val="00C3298E"/>
    <w:rsid w:val="00C329BD"/>
    <w:rsid w:val="00C32ECF"/>
    <w:rsid w:val="00C3300E"/>
    <w:rsid w:val="00C3306D"/>
    <w:rsid w:val="00C3307F"/>
    <w:rsid w:val="00C33086"/>
    <w:rsid w:val="00C3311D"/>
    <w:rsid w:val="00C3332D"/>
    <w:rsid w:val="00C334D0"/>
    <w:rsid w:val="00C3355A"/>
    <w:rsid w:val="00C33724"/>
    <w:rsid w:val="00C3375D"/>
    <w:rsid w:val="00C337C0"/>
    <w:rsid w:val="00C33879"/>
    <w:rsid w:val="00C3396E"/>
    <w:rsid w:val="00C33A9A"/>
    <w:rsid w:val="00C33BCB"/>
    <w:rsid w:val="00C33DD8"/>
    <w:rsid w:val="00C33E29"/>
    <w:rsid w:val="00C33E7E"/>
    <w:rsid w:val="00C340BC"/>
    <w:rsid w:val="00C34183"/>
    <w:rsid w:val="00C34396"/>
    <w:rsid w:val="00C34494"/>
    <w:rsid w:val="00C34533"/>
    <w:rsid w:val="00C34570"/>
    <w:rsid w:val="00C347FC"/>
    <w:rsid w:val="00C34976"/>
    <w:rsid w:val="00C34983"/>
    <w:rsid w:val="00C349B2"/>
    <w:rsid w:val="00C349E0"/>
    <w:rsid w:val="00C34C15"/>
    <w:rsid w:val="00C34D30"/>
    <w:rsid w:val="00C34F73"/>
    <w:rsid w:val="00C350DC"/>
    <w:rsid w:val="00C350E0"/>
    <w:rsid w:val="00C35173"/>
    <w:rsid w:val="00C351A3"/>
    <w:rsid w:val="00C352FF"/>
    <w:rsid w:val="00C35377"/>
    <w:rsid w:val="00C35551"/>
    <w:rsid w:val="00C359A4"/>
    <w:rsid w:val="00C359E8"/>
    <w:rsid w:val="00C359EA"/>
    <w:rsid w:val="00C35A3C"/>
    <w:rsid w:val="00C35B39"/>
    <w:rsid w:val="00C35C90"/>
    <w:rsid w:val="00C35C97"/>
    <w:rsid w:val="00C35DD1"/>
    <w:rsid w:val="00C35FBF"/>
    <w:rsid w:val="00C361C9"/>
    <w:rsid w:val="00C36287"/>
    <w:rsid w:val="00C36398"/>
    <w:rsid w:val="00C3648F"/>
    <w:rsid w:val="00C3698B"/>
    <w:rsid w:val="00C36BAF"/>
    <w:rsid w:val="00C36C29"/>
    <w:rsid w:val="00C37169"/>
    <w:rsid w:val="00C3727C"/>
    <w:rsid w:val="00C37654"/>
    <w:rsid w:val="00C3776F"/>
    <w:rsid w:val="00C3787C"/>
    <w:rsid w:val="00C37A5C"/>
    <w:rsid w:val="00C37A9E"/>
    <w:rsid w:val="00C37DB0"/>
    <w:rsid w:val="00C37E04"/>
    <w:rsid w:val="00C37ED9"/>
    <w:rsid w:val="00C4006D"/>
    <w:rsid w:val="00C400AA"/>
    <w:rsid w:val="00C400C6"/>
    <w:rsid w:val="00C400E9"/>
    <w:rsid w:val="00C4017A"/>
    <w:rsid w:val="00C401D3"/>
    <w:rsid w:val="00C40224"/>
    <w:rsid w:val="00C40522"/>
    <w:rsid w:val="00C407D5"/>
    <w:rsid w:val="00C409AD"/>
    <w:rsid w:val="00C40D35"/>
    <w:rsid w:val="00C40EBC"/>
    <w:rsid w:val="00C40F45"/>
    <w:rsid w:val="00C410FE"/>
    <w:rsid w:val="00C41103"/>
    <w:rsid w:val="00C41150"/>
    <w:rsid w:val="00C413E1"/>
    <w:rsid w:val="00C41915"/>
    <w:rsid w:val="00C419E5"/>
    <w:rsid w:val="00C419FE"/>
    <w:rsid w:val="00C41A61"/>
    <w:rsid w:val="00C41B00"/>
    <w:rsid w:val="00C41BA8"/>
    <w:rsid w:val="00C41D86"/>
    <w:rsid w:val="00C41E62"/>
    <w:rsid w:val="00C423F2"/>
    <w:rsid w:val="00C4252F"/>
    <w:rsid w:val="00C428BF"/>
    <w:rsid w:val="00C42C80"/>
    <w:rsid w:val="00C42FAC"/>
    <w:rsid w:val="00C43402"/>
    <w:rsid w:val="00C43421"/>
    <w:rsid w:val="00C4345D"/>
    <w:rsid w:val="00C43476"/>
    <w:rsid w:val="00C43505"/>
    <w:rsid w:val="00C43516"/>
    <w:rsid w:val="00C43573"/>
    <w:rsid w:val="00C43732"/>
    <w:rsid w:val="00C43D4F"/>
    <w:rsid w:val="00C43E10"/>
    <w:rsid w:val="00C440B6"/>
    <w:rsid w:val="00C44232"/>
    <w:rsid w:val="00C447CA"/>
    <w:rsid w:val="00C44E6F"/>
    <w:rsid w:val="00C44FA1"/>
    <w:rsid w:val="00C450D2"/>
    <w:rsid w:val="00C450D7"/>
    <w:rsid w:val="00C45285"/>
    <w:rsid w:val="00C452DE"/>
    <w:rsid w:val="00C4569D"/>
    <w:rsid w:val="00C456B4"/>
    <w:rsid w:val="00C45705"/>
    <w:rsid w:val="00C45818"/>
    <w:rsid w:val="00C458C6"/>
    <w:rsid w:val="00C45A22"/>
    <w:rsid w:val="00C45C8C"/>
    <w:rsid w:val="00C45CC3"/>
    <w:rsid w:val="00C45D7A"/>
    <w:rsid w:val="00C45ECB"/>
    <w:rsid w:val="00C46104"/>
    <w:rsid w:val="00C461B2"/>
    <w:rsid w:val="00C46305"/>
    <w:rsid w:val="00C4646B"/>
    <w:rsid w:val="00C46478"/>
    <w:rsid w:val="00C464E1"/>
    <w:rsid w:val="00C46510"/>
    <w:rsid w:val="00C46622"/>
    <w:rsid w:val="00C46714"/>
    <w:rsid w:val="00C46726"/>
    <w:rsid w:val="00C46A7E"/>
    <w:rsid w:val="00C46B38"/>
    <w:rsid w:val="00C46B96"/>
    <w:rsid w:val="00C46DF7"/>
    <w:rsid w:val="00C4710F"/>
    <w:rsid w:val="00C47155"/>
    <w:rsid w:val="00C47282"/>
    <w:rsid w:val="00C47532"/>
    <w:rsid w:val="00C476F9"/>
    <w:rsid w:val="00C47A13"/>
    <w:rsid w:val="00C47B9D"/>
    <w:rsid w:val="00C47BB1"/>
    <w:rsid w:val="00C47C06"/>
    <w:rsid w:val="00C47CE8"/>
    <w:rsid w:val="00C47E4B"/>
    <w:rsid w:val="00C50027"/>
    <w:rsid w:val="00C500C2"/>
    <w:rsid w:val="00C501E9"/>
    <w:rsid w:val="00C501EE"/>
    <w:rsid w:val="00C50245"/>
    <w:rsid w:val="00C50315"/>
    <w:rsid w:val="00C5032A"/>
    <w:rsid w:val="00C50DF1"/>
    <w:rsid w:val="00C50E12"/>
    <w:rsid w:val="00C50E29"/>
    <w:rsid w:val="00C50ED1"/>
    <w:rsid w:val="00C51076"/>
    <w:rsid w:val="00C51085"/>
    <w:rsid w:val="00C5111A"/>
    <w:rsid w:val="00C517EF"/>
    <w:rsid w:val="00C51944"/>
    <w:rsid w:val="00C51A60"/>
    <w:rsid w:val="00C51AB6"/>
    <w:rsid w:val="00C51B99"/>
    <w:rsid w:val="00C51C82"/>
    <w:rsid w:val="00C51D1C"/>
    <w:rsid w:val="00C51DE1"/>
    <w:rsid w:val="00C51DE3"/>
    <w:rsid w:val="00C51EC5"/>
    <w:rsid w:val="00C52130"/>
    <w:rsid w:val="00C5213A"/>
    <w:rsid w:val="00C5269B"/>
    <w:rsid w:val="00C526C2"/>
    <w:rsid w:val="00C52956"/>
    <w:rsid w:val="00C52AB2"/>
    <w:rsid w:val="00C52C16"/>
    <w:rsid w:val="00C53042"/>
    <w:rsid w:val="00C531AA"/>
    <w:rsid w:val="00C531EF"/>
    <w:rsid w:val="00C531FB"/>
    <w:rsid w:val="00C532B8"/>
    <w:rsid w:val="00C5331E"/>
    <w:rsid w:val="00C5348B"/>
    <w:rsid w:val="00C53620"/>
    <w:rsid w:val="00C537F8"/>
    <w:rsid w:val="00C538CB"/>
    <w:rsid w:val="00C539E3"/>
    <w:rsid w:val="00C53A70"/>
    <w:rsid w:val="00C53AE9"/>
    <w:rsid w:val="00C53B98"/>
    <w:rsid w:val="00C53C18"/>
    <w:rsid w:val="00C53D46"/>
    <w:rsid w:val="00C53D53"/>
    <w:rsid w:val="00C53DF6"/>
    <w:rsid w:val="00C53E0D"/>
    <w:rsid w:val="00C53EF5"/>
    <w:rsid w:val="00C5401F"/>
    <w:rsid w:val="00C54075"/>
    <w:rsid w:val="00C540DC"/>
    <w:rsid w:val="00C544EB"/>
    <w:rsid w:val="00C547D8"/>
    <w:rsid w:val="00C547F5"/>
    <w:rsid w:val="00C548F2"/>
    <w:rsid w:val="00C54C82"/>
    <w:rsid w:val="00C54D7D"/>
    <w:rsid w:val="00C54E1E"/>
    <w:rsid w:val="00C54F1B"/>
    <w:rsid w:val="00C55123"/>
    <w:rsid w:val="00C5512B"/>
    <w:rsid w:val="00C55314"/>
    <w:rsid w:val="00C55368"/>
    <w:rsid w:val="00C556DF"/>
    <w:rsid w:val="00C558CF"/>
    <w:rsid w:val="00C5594C"/>
    <w:rsid w:val="00C55A21"/>
    <w:rsid w:val="00C55C1B"/>
    <w:rsid w:val="00C55C8C"/>
    <w:rsid w:val="00C55CCE"/>
    <w:rsid w:val="00C55D49"/>
    <w:rsid w:val="00C55F20"/>
    <w:rsid w:val="00C5619E"/>
    <w:rsid w:val="00C56273"/>
    <w:rsid w:val="00C56291"/>
    <w:rsid w:val="00C56376"/>
    <w:rsid w:val="00C564E8"/>
    <w:rsid w:val="00C56670"/>
    <w:rsid w:val="00C566CC"/>
    <w:rsid w:val="00C56754"/>
    <w:rsid w:val="00C56A76"/>
    <w:rsid w:val="00C56AE0"/>
    <w:rsid w:val="00C56CDF"/>
    <w:rsid w:val="00C56F77"/>
    <w:rsid w:val="00C5703C"/>
    <w:rsid w:val="00C57186"/>
    <w:rsid w:val="00C575CA"/>
    <w:rsid w:val="00C575FE"/>
    <w:rsid w:val="00C57629"/>
    <w:rsid w:val="00C579E7"/>
    <w:rsid w:val="00C57E08"/>
    <w:rsid w:val="00C60001"/>
    <w:rsid w:val="00C604C3"/>
    <w:rsid w:val="00C6057C"/>
    <w:rsid w:val="00C60643"/>
    <w:rsid w:val="00C608B9"/>
    <w:rsid w:val="00C60B50"/>
    <w:rsid w:val="00C60BF1"/>
    <w:rsid w:val="00C60C58"/>
    <w:rsid w:val="00C60C89"/>
    <w:rsid w:val="00C60CA9"/>
    <w:rsid w:val="00C60DBC"/>
    <w:rsid w:val="00C6107F"/>
    <w:rsid w:val="00C6129C"/>
    <w:rsid w:val="00C612DD"/>
    <w:rsid w:val="00C61461"/>
    <w:rsid w:val="00C6146E"/>
    <w:rsid w:val="00C6157F"/>
    <w:rsid w:val="00C61587"/>
    <w:rsid w:val="00C61618"/>
    <w:rsid w:val="00C61B06"/>
    <w:rsid w:val="00C61CB8"/>
    <w:rsid w:val="00C61EB7"/>
    <w:rsid w:val="00C61F91"/>
    <w:rsid w:val="00C6213E"/>
    <w:rsid w:val="00C62289"/>
    <w:rsid w:val="00C62294"/>
    <w:rsid w:val="00C62409"/>
    <w:rsid w:val="00C62703"/>
    <w:rsid w:val="00C62A44"/>
    <w:rsid w:val="00C62BDA"/>
    <w:rsid w:val="00C62E23"/>
    <w:rsid w:val="00C62E82"/>
    <w:rsid w:val="00C62ED9"/>
    <w:rsid w:val="00C6319E"/>
    <w:rsid w:val="00C6326E"/>
    <w:rsid w:val="00C63499"/>
    <w:rsid w:val="00C63516"/>
    <w:rsid w:val="00C63553"/>
    <w:rsid w:val="00C635BF"/>
    <w:rsid w:val="00C6367C"/>
    <w:rsid w:val="00C639DB"/>
    <w:rsid w:val="00C63A06"/>
    <w:rsid w:val="00C63C6A"/>
    <w:rsid w:val="00C63D08"/>
    <w:rsid w:val="00C63D5A"/>
    <w:rsid w:val="00C63DE8"/>
    <w:rsid w:val="00C63E33"/>
    <w:rsid w:val="00C63E96"/>
    <w:rsid w:val="00C641D1"/>
    <w:rsid w:val="00C643FA"/>
    <w:rsid w:val="00C6440E"/>
    <w:rsid w:val="00C644DD"/>
    <w:rsid w:val="00C6455A"/>
    <w:rsid w:val="00C64590"/>
    <w:rsid w:val="00C645A3"/>
    <w:rsid w:val="00C645F5"/>
    <w:rsid w:val="00C64A5F"/>
    <w:rsid w:val="00C64C3D"/>
    <w:rsid w:val="00C64C40"/>
    <w:rsid w:val="00C64C55"/>
    <w:rsid w:val="00C64EA4"/>
    <w:rsid w:val="00C64FCA"/>
    <w:rsid w:val="00C65189"/>
    <w:rsid w:val="00C651EC"/>
    <w:rsid w:val="00C65228"/>
    <w:rsid w:val="00C65232"/>
    <w:rsid w:val="00C65465"/>
    <w:rsid w:val="00C65559"/>
    <w:rsid w:val="00C656B7"/>
    <w:rsid w:val="00C65949"/>
    <w:rsid w:val="00C659D6"/>
    <w:rsid w:val="00C659F3"/>
    <w:rsid w:val="00C65DD3"/>
    <w:rsid w:val="00C65E54"/>
    <w:rsid w:val="00C66079"/>
    <w:rsid w:val="00C660AD"/>
    <w:rsid w:val="00C6656C"/>
    <w:rsid w:val="00C66588"/>
    <w:rsid w:val="00C665CC"/>
    <w:rsid w:val="00C66605"/>
    <w:rsid w:val="00C66732"/>
    <w:rsid w:val="00C6696E"/>
    <w:rsid w:val="00C669F8"/>
    <w:rsid w:val="00C66B87"/>
    <w:rsid w:val="00C66C85"/>
    <w:rsid w:val="00C66F2B"/>
    <w:rsid w:val="00C6709A"/>
    <w:rsid w:val="00C670E3"/>
    <w:rsid w:val="00C673BD"/>
    <w:rsid w:val="00C6741A"/>
    <w:rsid w:val="00C67522"/>
    <w:rsid w:val="00C67A42"/>
    <w:rsid w:val="00C67B55"/>
    <w:rsid w:val="00C67C68"/>
    <w:rsid w:val="00C67E7B"/>
    <w:rsid w:val="00C67F2E"/>
    <w:rsid w:val="00C7004C"/>
    <w:rsid w:val="00C703AE"/>
    <w:rsid w:val="00C70764"/>
    <w:rsid w:val="00C707F0"/>
    <w:rsid w:val="00C708D4"/>
    <w:rsid w:val="00C7097A"/>
    <w:rsid w:val="00C70A84"/>
    <w:rsid w:val="00C70BAF"/>
    <w:rsid w:val="00C70C19"/>
    <w:rsid w:val="00C70CBC"/>
    <w:rsid w:val="00C71111"/>
    <w:rsid w:val="00C71140"/>
    <w:rsid w:val="00C712FF"/>
    <w:rsid w:val="00C71340"/>
    <w:rsid w:val="00C713E4"/>
    <w:rsid w:val="00C71573"/>
    <w:rsid w:val="00C715D9"/>
    <w:rsid w:val="00C71704"/>
    <w:rsid w:val="00C71893"/>
    <w:rsid w:val="00C718C8"/>
    <w:rsid w:val="00C719FA"/>
    <w:rsid w:val="00C71A75"/>
    <w:rsid w:val="00C71C11"/>
    <w:rsid w:val="00C71CF4"/>
    <w:rsid w:val="00C71E0B"/>
    <w:rsid w:val="00C71E11"/>
    <w:rsid w:val="00C71E40"/>
    <w:rsid w:val="00C71E54"/>
    <w:rsid w:val="00C72119"/>
    <w:rsid w:val="00C72168"/>
    <w:rsid w:val="00C721E8"/>
    <w:rsid w:val="00C72203"/>
    <w:rsid w:val="00C7239C"/>
    <w:rsid w:val="00C72424"/>
    <w:rsid w:val="00C72727"/>
    <w:rsid w:val="00C728C7"/>
    <w:rsid w:val="00C72A8B"/>
    <w:rsid w:val="00C72AE2"/>
    <w:rsid w:val="00C72C88"/>
    <w:rsid w:val="00C72E10"/>
    <w:rsid w:val="00C72E20"/>
    <w:rsid w:val="00C72E32"/>
    <w:rsid w:val="00C72EE3"/>
    <w:rsid w:val="00C72FF0"/>
    <w:rsid w:val="00C7306A"/>
    <w:rsid w:val="00C730CB"/>
    <w:rsid w:val="00C7311D"/>
    <w:rsid w:val="00C73560"/>
    <w:rsid w:val="00C735DC"/>
    <w:rsid w:val="00C7385F"/>
    <w:rsid w:val="00C738B7"/>
    <w:rsid w:val="00C73969"/>
    <w:rsid w:val="00C73982"/>
    <w:rsid w:val="00C739DD"/>
    <w:rsid w:val="00C73B59"/>
    <w:rsid w:val="00C73B71"/>
    <w:rsid w:val="00C73C6D"/>
    <w:rsid w:val="00C73C7C"/>
    <w:rsid w:val="00C74053"/>
    <w:rsid w:val="00C740C2"/>
    <w:rsid w:val="00C7420C"/>
    <w:rsid w:val="00C74274"/>
    <w:rsid w:val="00C7427B"/>
    <w:rsid w:val="00C74315"/>
    <w:rsid w:val="00C7432C"/>
    <w:rsid w:val="00C74451"/>
    <w:rsid w:val="00C744D4"/>
    <w:rsid w:val="00C7464C"/>
    <w:rsid w:val="00C74708"/>
    <w:rsid w:val="00C74934"/>
    <w:rsid w:val="00C74951"/>
    <w:rsid w:val="00C74968"/>
    <w:rsid w:val="00C74B6C"/>
    <w:rsid w:val="00C74B95"/>
    <w:rsid w:val="00C74F26"/>
    <w:rsid w:val="00C74F87"/>
    <w:rsid w:val="00C75209"/>
    <w:rsid w:val="00C75282"/>
    <w:rsid w:val="00C752C0"/>
    <w:rsid w:val="00C75349"/>
    <w:rsid w:val="00C75590"/>
    <w:rsid w:val="00C755E7"/>
    <w:rsid w:val="00C756B6"/>
    <w:rsid w:val="00C7592A"/>
    <w:rsid w:val="00C75A50"/>
    <w:rsid w:val="00C75A87"/>
    <w:rsid w:val="00C75CEA"/>
    <w:rsid w:val="00C75D85"/>
    <w:rsid w:val="00C75EA0"/>
    <w:rsid w:val="00C75F55"/>
    <w:rsid w:val="00C7606E"/>
    <w:rsid w:val="00C761BC"/>
    <w:rsid w:val="00C761C8"/>
    <w:rsid w:val="00C7630E"/>
    <w:rsid w:val="00C76827"/>
    <w:rsid w:val="00C76868"/>
    <w:rsid w:val="00C768E5"/>
    <w:rsid w:val="00C76B08"/>
    <w:rsid w:val="00C76D50"/>
    <w:rsid w:val="00C76E20"/>
    <w:rsid w:val="00C770FE"/>
    <w:rsid w:val="00C77106"/>
    <w:rsid w:val="00C7718D"/>
    <w:rsid w:val="00C7730E"/>
    <w:rsid w:val="00C773F0"/>
    <w:rsid w:val="00C77585"/>
    <w:rsid w:val="00C7768C"/>
    <w:rsid w:val="00C776C2"/>
    <w:rsid w:val="00C77C1B"/>
    <w:rsid w:val="00C77D2A"/>
    <w:rsid w:val="00C77F4F"/>
    <w:rsid w:val="00C77FF7"/>
    <w:rsid w:val="00C80396"/>
    <w:rsid w:val="00C80498"/>
    <w:rsid w:val="00C804A5"/>
    <w:rsid w:val="00C80B3E"/>
    <w:rsid w:val="00C80C23"/>
    <w:rsid w:val="00C80EEE"/>
    <w:rsid w:val="00C81175"/>
    <w:rsid w:val="00C811D2"/>
    <w:rsid w:val="00C813B2"/>
    <w:rsid w:val="00C8175E"/>
    <w:rsid w:val="00C818A1"/>
    <w:rsid w:val="00C81AD2"/>
    <w:rsid w:val="00C81C82"/>
    <w:rsid w:val="00C81CAF"/>
    <w:rsid w:val="00C81F20"/>
    <w:rsid w:val="00C81FF9"/>
    <w:rsid w:val="00C82115"/>
    <w:rsid w:val="00C82171"/>
    <w:rsid w:val="00C82177"/>
    <w:rsid w:val="00C8233B"/>
    <w:rsid w:val="00C8242C"/>
    <w:rsid w:val="00C82450"/>
    <w:rsid w:val="00C8283D"/>
    <w:rsid w:val="00C82A3B"/>
    <w:rsid w:val="00C82AB9"/>
    <w:rsid w:val="00C82E5E"/>
    <w:rsid w:val="00C82F09"/>
    <w:rsid w:val="00C82F74"/>
    <w:rsid w:val="00C831C5"/>
    <w:rsid w:val="00C834DE"/>
    <w:rsid w:val="00C8375F"/>
    <w:rsid w:val="00C8394C"/>
    <w:rsid w:val="00C83C83"/>
    <w:rsid w:val="00C83D5F"/>
    <w:rsid w:val="00C83DF2"/>
    <w:rsid w:val="00C84291"/>
    <w:rsid w:val="00C84358"/>
    <w:rsid w:val="00C843C5"/>
    <w:rsid w:val="00C84678"/>
    <w:rsid w:val="00C84852"/>
    <w:rsid w:val="00C8491F"/>
    <w:rsid w:val="00C84A76"/>
    <w:rsid w:val="00C84C4D"/>
    <w:rsid w:val="00C84C65"/>
    <w:rsid w:val="00C84DB5"/>
    <w:rsid w:val="00C850F2"/>
    <w:rsid w:val="00C8515F"/>
    <w:rsid w:val="00C8526F"/>
    <w:rsid w:val="00C8529F"/>
    <w:rsid w:val="00C8530D"/>
    <w:rsid w:val="00C853BF"/>
    <w:rsid w:val="00C855A5"/>
    <w:rsid w:val="00C855C1"/>
    <w:rsid w:val="00C855D7"/>
    <w:rsid w:val="00C85600"/>
    <w:rsid w:val="00C856FF"/>
    <w:rsid w:val="00C8584D"/>
    <w:rsid w:val="00C8586A"/>
    <w:rsid w:val="00C85A3D"/>
    <w:rsid w:val="00C85BA2"/>
    <w:rsid w:val="00C85C45"/>
    <w:rsid w:val="00C85D18"/>
    <w:rsid w:val="00C85DCE"/>
    <w:rsid w:val="00C85EE3"/>
    <w:rsid w:val="00C860F4"/>
    <w:rsid w:val="00C865E5"/>
    <w:rsid w:val="00C86663"/>
    <w:rsid w:val="00C8673E"/>
    <w:rsid w:val="00C86779"/>
    <w:rsid w:val="00C86827"/>
    <w:rsid w:val="00C86A64"/>
    <w:rsid w:val="00C86AC1"/>
    <w:rsid w:val="00C86C61"/>
    <w:rsid w:val="00C86CAA"/>
    <w:rsid w:val="00C87066"/>
    <w:rsid w:val="00C871C9"/>
    <w:rsid w:val="00C87329"/>
    <w:rsid w:val="00C8739B"/>
    <w:rsid w:val="00C874AA"/>
    <w:rsid w:val="00C87517"/>
    <w:rsid w:val="00C8758B"/>
    <w:rsid w:val="00C8769D"/>
    <w:rsid w:val="00C87715"/>
    <w:rsid w:val="00C87743"/>
    <w:rsid w:val="00C87B03"/>
    <w:rsid w:val="00C87BA8"/>
    <w:rsid w:val="00C87EC3"/>
    <w:rsid w:val="00C902BB"/>
    <w:rsid w:val="00C903A1"/>
    <w:rsid w:val="00C903C2"/>
    <w:rsid w:val="00C9074D"/>
    <w:rsid w:val="00C9078F"/>
    <w:rsid w:val="00C907D1"/>
    <w:rsid w:val="00C907E9"/>
    <w:rsid w:val="00C90DBD"/>
    <w:rsid w:val="00C9105A"/>
    <w:rsid w:val="00C9110F"/>
    <w:rsid w:val="00C91345"/>
    <w:rsid w:val="00C913FB"/>
    <w:rsid w:val="00C91656"/>
    <w:rsid w:val="00C9177A"/>
    <w:rsid w:val="00C9182D"/>
    <w:rsid w:val="00C9189A"/>
    <w:rsid w:val="00C91B0E"/>
    <w:rsid w:val="00C91C09"/>
    <w:rsid w:val="00C91D44"/>
    <w:rsid w:val="00C91F0C"/>
    <w:rsid w:val="00C92204"/>
    <w:rsid w:val="00C9235F"/>
    <w:rsid w:val="00C92417"/>
    <w:rsid w:val="00C924AA"/>
    <w:rsid w:val="00C9279A"/>
    <w:rsid w:val="00C92B6C"/>
    <w:rsid w:val="00C92CE1"/>
    <w:rsid w:val="00C93001"/>
    <w:rsid w:val="00C93118"/>
    <w:rsid w:val="00C93342"/>
    <w:rsid w:val="00C9337C"/>
    <w:rsid w:val="00C93439"/>
    <w:rsid w:val="00C9384F"/>
    <w:rsid w:val="00C93885"/>
    <w:rsid w:val="00C9391F"/>
    <w:rsid w:val="00C93B62"/>
    <w:rsid w:val="00C93BA6"/>
    <w:rsid w:val="00C93BE0"/>
    <w:rsid w:val="00C93CA1"/>
    <w:rsid w:val="00C93EDE"/>
    <w:rsid w:val="00C94005"/>
    <w:rsid w:val="00C9400A"/>
    <w:rsid w:val="00C9405F"/>
    <w:rsid w:val="00C9406E"/>
    <w:rsid w:val="00C941A6"/>
    <w:rsid w:val="00C942AA"/>
    <w:rsid w:val="00C9437B"/>
    <w:rsid w:val="00C945B1"/>
    <w:rsid w:val="00C945CF"/>
    <w:rsid w:val="00C94851"/>
    <w:rsid w:val="00C949BD"/>
    <w:rsid w:val="00C94B03"/>
    <w:rsid w:val="00C94B6C"/>
    <w:rsid w:val="00C94DBE"/>
    <w:rsid w:val="00C95738"/>
    <w:rsid w:val="00C95B8C"/>
    <w:rsid w:val="00C95B9E"/>
    <w:rsid w:val="00C95BDB"/>
    <w:rsid w:val="00C95C93"/>
    <w:rsid w:val="00C95D2C"/>
    <w:rsid w:val="00C95D86"/>
    <w:rsid w:val="00C95E39"/>
    <w:rsid w:val="00C96012"/>
    <w:rsid w:val="00C96275"/>
    <w:rsid w:val="00C9627A"/>
    <w:rsid w:val="00C963FF"/>
    <w:rsid w:val="00C964BC"/>
    <w:rsid w:val="00C965B8"/>
    <w:rsid w:val="00C966AB"/>
    <w:rsid w:val="00C96C30"/>
    <w:rsid w:val="00C96C51"/>
    <w:rsid w:val="00C96D77"/>
    <w:rsid w:val="00C96DCE"/>
    <w:rsid w:val="00C971C2"/>
    <w:rsid w:val="00C97289"/>
    <w:rsid w:val="00C974F3"/>
    <w:rsid w:val="00C977A7"/>
    <w:rsid w:val="00C977C3"/>
    <w:rsid w:val="00C97A67"/>
    <w:rsid w:val="00C97C52"/>
    <w:rsid w:val="00C97C6A"/>
    <w:rsid w:val="00C97CE1"/>
    <w:rsid w:val="00C97E95"/>
    <w:rsid w:val="00CA011B"/>
    <w:rsid w:val="00CA02DE"/>
    <w:rsid w:val="00CA0462"/>
    <w:rsid w:val="00CA05E9"/>
    <w:rsid w:val="00CA06C2"/>
    <w:rsid w:val="00CA0728"/>
    <w:rsid w:val="00CA08D0"/>
    <w:rsid w:val="00CA0A01"/>
    <w:rsid w:val="00CA0B8B"/>
    <w:rsid w:val="00CA0DC1"/>
    <w:rsid w:val="00CA0E56"/>
    <w:rsid w:val="00CA0FE6"/>
    <w:rsid w:val="00CA1118"/>
    <w:rsid w:val="00CA11BE"/>
    <w:rsid w:val="00CA124F"/>
    <w:rsid w:val="00CA12AD"/>
    <w:rsid w:val="00CA13FA"/>
    <w:rsid w:val="00CA1540"/>
    <w:rsid w:val="00CA1591"/>
    <w:rsid w:val="00CA171D"/>
    <w:rsid w:val="00CA17A2"/>
    <w:rsid w:val="00CA17BF"/>
    <w:rsid w:val="00CA1920"/>
    <w:rsid w:val="00CA1990"/>
    <w:rsid w:val="00CA19DB"/>
    <w:rsid w:val="00CA1A25"/>
    <w:rsid w:val="00CA1B11"/>
    <w:rsid w:val="00CA1BDE"/>
    <w:rsid w:val="00CA1C81"/>
    <w:rsid w:val="00CA1CE7"/>
    <w:rsid w:val="00CA1F72"/>
    <w:rsid w:val="00CA20AF"/>
    <w:rsid w:val="00CA20BB"/>
    <w:rsid w:val="00CA2266"/>
    <w:rsid w:val="00CA2270"/>
    <w:rsid w:val="00CA229E"/>
    <w:rsid w:val="00CA2756"/>
    <w:rsid w:val="00CA27E1"/>
    <w:rsid w:val="00CA2A21"/>
    <w:rsid w:val="00CA2D54"/>
    <w:rsid w:val="00CA2F9D"/>
    <w:rsid w:val="00CA2FC3"/>
    <w:rsid w:val="00CA2FF8"/>
    <w:rsid w:val="00CA3183"/>
    <w:rsid w:val="00CA32C1"/>
    <w:rsid w:val="00CA3887"/>
    <w:rsid w:val="00CA39AE"/>
    <w:rsid w:val="00CA3CC2"/>
    <w:rsid w:val="00CA3D8E"/>
    <w:rsid w:val="00CA3EE7"/>
    <w:rsid w:val="00CA405D"/>
    <w:rsid w:val="00CA4066"/>
    <w:rsid w:val="00CA4068"/>
    <w:rsid w:val="00CA4097"/>
    <w:rsid w:val="00CA416E"/>
    <w:rsid w:val="00CA432C"/>
    <w:rsid w:val="00CA4381"/>
    <w:rsid w:val="00CA48A4"/>
    <w:rsid w:val="00CA494A"/>
    <w:rsid w:val="00CA49AC"/>
    <w:rsid w:val="00CA49E2"/>
    <w:rsid w:val="00CA4C29"/>
    <w:rsid w:val="00CA506D"/>
    <w:rsid w:val="00CA50AD"/>
    <w:rsid w:val="00CA514F"/>
    <w:rsid w:val="00CA51EC"/>
    <w:rsid w:val="00CA52F4"/>
    <w:rsid w:val="00CA537B"/>
    <w:rsid w:val="00CA5447"/>
    <w:rsid w:val="00CA5572"/>
    <w:rsid w:val="00CA55ED"/>
    <w:rsid w:val="00CA5606"/>
    <w:rsid w:val="00CA5861"/>
    <w:rsid w:val="00CA5B5C"/>
    <w:rsid w:val="00CA5C0F"/>
    <w:rsid w:val="00CA5FFA"/>
    <w:rsid w:val="00CA600A"/>
    <w:rsid w:val="00CA615A"/>
    <w:rsid w:val="00CA6454"/>
    <w:rsid w:val="00CA64DC"/>
    <w:rsid w:val="00CA651C"/>
    <w:rsid w:val="00CA6707"/>
    <w:rsid w:val="00CA6732"/>
    <w:rsid w:val="00CA6850"/>
    <w:rsid w:val="00CA6930"/>
    <w:rsid w:val="00CA6964"/>
    <w:rsid w:val="00CA69B3"/>
    <w:rsid w:val="00CA6B5F"/>
    <w:rsid w:val="00CA6FC9"/>
    <w:rsid w:val="00CA7069"/>
    <w:rsid w:val="00CA724E"/>
    <w:rsid w:val="00CA742C"/>
    <w:rsid w:val="00CA7724"/>
    <w:rsid w:val="00CA7877"/>
    <w:rsid w:val="00CA78CF"/>
    <w:rsid w:val="00CA7905"/>
    <w:rsid w:val="00CA7C23"/>
    <w:rsid w:val="00CA7D1D"/>
    <w:rsid w:val="00CA7D8B"/>
    <w:rsid w:val="00CB00C4"/>
    <w:rsid w:val="00CB01C0"/>
    <w:rsid w:val="00CB01F0"/>
    <w:rsid w:val="00CB0450"/>
    <w:rsid w:val="00CB072D"/>
    <w:rsid w:val="00CB08D6"/>
    <w:rsid w:val="00CB0A33"/>
    <w:rsid w:val="00CB0ABE"/>
    <w:rsid w:val="00CB0B30"/>
    <w:rsid w:val="00CB0CCF"/>
    <w:rsid w:val="00CB0DF3"/>
    <w:rsid w:val="00CB0F28"/>
    <w:rsid w:val="00CB0FE3"/>
    <w:rsid w:val="00CB1142"/>
    <w:rsid w:val="00CB12B1"/>
    <w:rsid w:val="00CB1699"/>
    <w:rsid w:val="00CB187D"/>
    <w:rsid w:val="00CB1954"/>
    <w:rsid w:val="00CB1A33"/>
    <w:rsid w:val="00CB1CEA"/>
    <w:rsid w:val="00CB1CF9"/>
    <w:rsid w:val="00CB1D8B"/>
    <w:rsid w:val="00CB1DCA"/>
    <w:rsid w:val="00CB1DEA"/>
    <w:rsid w:val="00CB1F2A"/>
    <w:rsid w:val="00CB2001"/>
    <w:rsid w:val="00CB2018"/>
    <w:rsid w:val="00CB21C3"/>
    <w:rsid w:val="00CB25EE"/>
    <w:rsid w:val="00CB278C"/>
    <w:rsid w:val="00CB28FC"/>
    <w:rsid w:val="00CB29F3"/>
    <w:rsid w:val="00CB2AF3"/>
    <w:rsid w:val="00CB2E12"/>
    <w:rsid w:val="00CB2E99"/>
    <w:rsid w:val="00CB302D"/>
    <w:rsid w:val="00CB3599"/>
    <w:rsid w:val="00CB363B"/>
    <w:rsid w:val="00CB381A"/>
    <w:rsid w:val="00CB3A9C"/>
    <w:rsid w:val="00CB3CD3"/>
    <w:rsid w:val="00CB3CF7"/>
    <w:rsid w:val="00CB3D02"/>
    <w:rsid w:val="00CB3F3F"/>
    <w:rsid w:val="00CB3F6A"/>
    <w:rsid w:val="00CB40E2"/>
    <w:rsid w:val="00CB422C"/>
    <w:rsid w:val="00CB4342"/>
    <w:rsid w:val="00CB440B"/>
    <w:rsid w:val="00CB4662"/>
    <w:rsid w:val="00CB470D"/>
    <w:rsid w:val="00CB4B24"/>
    <w:rsid w:val="00CB4B2D"/>
    <w:rsid w:val="00CB4B96"/>
    <w:rsid w:val="00CB4E02"/>
    <w:rsid w:val="00CB4E38"/>
    <w:rsid w:val="00CB50B3"/>
    <w:rsid w:val="00CB55E9"/>
    <w:rsid w:val="00CB5656"/>
    <w:rsid w:val="00CB57E1"/>
    <w:rsid w:val="00CB5847"/>
    <w:rsid w:val="00CB5936"/>
    <w:rsid w:val="00CB594F"/>
    <w:rsid w:val="00CB595C"/>
    <w:rsid w:val="00CB5CF4"/>
    <w:rsid w:val="00CB5F1D"/>
    <w:rsid w:val="00CB60F5"/>
    <w:rsid w:val="00CB67A2"/>
    <w:rsid w:val="00CB6B31"/>
    <w:rsid w:val="00CB6B98"/>
    <w:rsid w:val="00CB6C28"/>
    <w:rsid w:val="00CB6DB7"/>
    <w:rsid w:val="00CB6F2A"/>
    <w:rsid w:val="00CB706D"/>
    <w:rsid w:val="00CB73A7"/>
    <w:rsid w:val="00CB742D"/>
    <w:rsid w:val="00CB7539"/>
    <w:rsid w:val="00CB7564"/>
    <w:rsid w:val="00CB75D5"/>
    <w:rsid w:val="00CB775D"/>
    <w:rsid w:val="00CB7A63"/>
    <w:rsid w:val="00CB7DFB"/>
    <w:rsid w:val="00CB7E95"/>
    <w:rsid w:val="00CC023B"/>
    <w:rsid w:val="00CC0271"/>
    <w:rsid w:val="00CC02D1"/>
    <w:rsid w:val="00CC0353"/>
    <w:rsid w:val="00CC03B8"/>
    <w:rsid w:val="00CC06A7"/>
    <w:rsid w:val="00CC0772"/>
    <w:rsid w:val="00CC07B8"/>
    <w:rsid w:val="00CC08D5"/>
    <w:rsid w:val="00CC097F"/>
    <w:rsid w:val="00CC0AA6"/>
    <w:rsid w:val="00CC0BFD"/>
    <w:rsid w:val="00CC0EB0"/>
    <w:rsid w:val="00CC0EEB"/>
    <w:rsid w:val="00CC10ED"/>
    <w:rsid w:val="00CC135B"/>
    <w:rsid w:val="00CC13A0"/>
    <w:rsid w:val="00CC14DA"/>
    <w:rsid w:val="00CC16E5"/>
    <w:rsid w:val="00CC172F"/>
    <w:rsid w:val="00CC17B7"/>
    <w:rsid w:val="00CC17F2"/>
    <w:rsid w:val="00CC1826"/>
    <w:rsid w:val="00CC1985"/>
    <w:rsid w:val="00CC1F42"/>
    <w:rsid w:val="00CC1F92"/>
    <w:rsid w:val="00CC2200"/>
    <w:rsid w:val="00CC22C4"/>
    <w:rsid w:val="00CC26D5"/>
    <w:rsid w:val="00CC2717"/>
    <w:rsid w:val="00CC2818"/>
    <w:rsid w:val="00CC2C75"/>
    <w:rsid w:val="00CC2DB5"/>
    <w:rsid w:val="00CC320E"/>
    <w:rsid w:val="00CC3244"/>
    <w:rsid w:val="00CC346C"/>
    <w:rsid w:val="00CC37FC"/>
    <w:rsid w:val="00CC3978"/>
    <w:rsid w:val="00CC3999"/>
    <w:rsid w:val="00CC39B2"/>
    <w:rsid w:val="00CC3B12"/>
    <w:rsid w:val="00CC3C72"/>
    <w:rsid w:val="00CC3D81"/>
    <w:rsid w:val="00CC3F9C"/>
    <w:rsid w:val="00CC4156"/>
    <w:rsid w:val="00CC4165"/>
    <w:rsid w:val="00CC41FA"/>
    <w:rsid w:val="00CC425B"/>
    <w:rsid w:val="00CC43DC"/>
    <w:rsid w:val="00CC450B"/>
    <w:rsid w:val="00CC4603"/>
    <w:rsid w:val="00CC4665"/>
    <w:rsid w:val="00CC4688"/>
    <w:rsid w:val="00CC4784"/>
    <w:rsid w:val="00CC4B86"/>
    <w:rsid w:val="00CC4D3F"/>
    <w:rsid w:val="00CC4DC6"/>
    <w:rsid w:val="00CC4E7F"/>
    <w:rsid w:val="00CC5014"/>
    <w:rsid w:val="00CC5015"/>
    <w:rsid w:val="00CC5027"/>
    <w:rsid w:val="00CC50D6"/>
    <w:rsid w:val="00CC512B"/>
    <w:rsid w:val="00CC514B"/>
    <w:rsid w:val="00CC519A"/>
    <w:rsid w:val="00CC51F4"/>
    <w:rsid w:val="00CC5203"/>
    <w:rsid w:val="00CC5240"/>
    <w:rsid w:val="00CC5370"/>
    <w:rsid w:val="00CC53C1"/>
    <w:rsid w:val="00CC53F6"/>
    <w:rsid w:val="00CC5856"/>
    <w:rsid w:val="00CC5A13"/>
    <w:rsid w:val="00CC5B45"/>
    <w:rsid w:val="00CC5D59"/>
    <w:rsid w:val="00CC5D93"/>
    <w:rsid w:val="00CC6006"/>
    <w:rsid w:val="00CC610C"/>
    <w:rsid w:val="00CC618B"/>
    <w:rsid w:val="00CC6293"/>
    <w:rsid w:val="00CC65FB"/>
    <w:rsid w:val="00CC66FA"/>
    <w:rsid w:val="00CC6973"/>
    <w:rsid w:val="00CC6B23"/>
    <w:rsid w:val="00CC6C23"/>
    <w:rsid w:val="00CC7046"/>
    <w:rsid w:val="00CC72CB"/>
    <w:rsid w:val="00CC73B1"/>
    <w:rsid w:val="00CC73B6"/>
    <w:rsid w:val="00CC74B9"/>
    <w:rsid w:val="00CC7609"/>
    <w:rsid w:val="00CC76E5"/>
    <w:rsid w:val="00CC77CE"/>
    <w:rsid w:val="00CC79E4"/>
    <w:rsid w:val="00CC7AFB"/>
    <w:rsid w:val="00CC7D24"/>
    <w:rsid w:val="00CD00B3"/>
    <w:rsid w:val="00CD041B"/>
    <w:rsid w:val="00CD04DB"/>
    <w:rsid w:val="00CD0545"/>
    <w:rsid w:val="00CD0629"/>
    <w:rsid w:val="00CD0A95"/>
    <w:rsid w:val="00CD0ADD"/>
    <w:rsid w:val="00CD0AFA"/>
    <w:rsid w:val="00CD0B18"/>
    <w:rsid w:val="00CD0B59"/>
    <w:rsid w:val="00CD0C1B"/>
    <w:rsid w:val="00CD0C2D"/>
    <w:rsid w:val="00CD0C66"/>
    <w:rsid w:val="00CD0CE4"/>
    <w:rsid w:val="00CD0D4E"/>
    <w:rsid w:val="00CD0D56"/>
    <w:rsid w:val="00CD0DB2"/>
    <w:rsid w:val="00CD0FB0"/>
    <w:rsid w:val="00CD1043"/>
    <w:rsid w:val="00CD114A"/>
    <w:rsid w:val="00CD1298"/>
    <w:rsid w:val="00CD12C2"/>
    <w:rsid w:val="00CD1516"/>
    <w:rsid w:val="00CD169F"/>
    <w:rsid w:val="00CD188C"/>
    <w:rsid w:val="00CD188F"/>
    <w:rsid w:val="00CD1E06"/>
    <w:rsid w:val="00CD1FA3"/>
    <w:rsid w:val="00CD204F"/>
    <w:rsid w:val="00CD2079"/>
    <w:rsid w:val="00CD2139"/>
    <w:rsid w:val="00CD2431"/>
    <w:rsid w:val="00CD27BB"/>
    <w:rsid w:val="00CD2820"/>
    <w:rsid w:val="00CD2858"/>
    <w:rsid w:val="00CD2896"/>
    <w:rsid w:val="00CD28B5"/>
    <w:rsid w:val="00CD2A78"/>
    <w:rsid w:val="00CD2AD3"/>
    <w:rsid w:val="00CD2BCB"/>
    <w:rsid w:val="00CD2BCD"/>
    <w:rsid w:val="00CD2C91"/>
    <w:rsid w:val="00CD2D1E"/>
    <w:rsid w:val="00CD2FFF"/>
    <w:rsid w:val="00CD33A7"/>
    <w:rsid w:val="00CD33B8"/>
    <w:rsid w:val="00CD3841"/>
    <w:rsid w:val="00CD3845"/>
    <w:rsid w:val="00CD3892"/>
    <w:rsid w:val="00CD38D3"/>
    <w:rsid w:val="00CD38F9"/>
    <w:rsid w:val="00CD4024"/>
    <w:rsid w:val="00CD429E"/>
    <w:rsid w:val="00CD42B1"/>
    <w:rsid w:val="00CD4307"/>
    <w:rsid w:val="00CD4470"/>
    <w:rsid w:val="00CD454B"/>
    <w:rsid w:val="00CD45A0"/>
    <w:rsid w:val="00CD4704"/>
    <w:rsid w:val="00CD4934"/>
    <w:rsid w:val="00CD4A85"/>
    <w:rsid w:val="00CD4AE6"/>
    <w:rsid w:val="00CD4B91"/>
    <w:rsid w:val="00CD4D30"/>
    <w:rsid w:val="00CD4D6C"/>
    <w:rsid w:val="00CD4E52"/>
    <w:rsid w:val="00CD4E90"/>
    <w:rsid w:val="00CD5159"/>
    <w:rsid w:val="00CD51FE"/>
    <w:rsid w:val="00CD52D2"/>
    <w:rsid w:val="00CD52D8"/>
    <w:rsid w:val="00CD52DA"/>
    <w:rsid w:val="00CD5406"/>
    <w:rsid w:val="00CD5445"/>
    <w:rsid w:val="00CD54E5"/>
    <w:rsid w:val="00CD55C2"/>
    <w:rsid w:val="00CD57E5"/>
    <w:rsid w:val="00CD5826"/>
    <w:rsid w:val="00CD598D"/>
    <w:rsid w:val="00CD59EE"/>
    <w:rsid w:val="00CD5AD5"/>
    <w:rsid w:val="00CD62F8"/>
    <w:rsid w:val="00CD633A"/>
    <w:rsid w:val="00CD647C"/>
    <w:rsid w:val="00CD66BA"/>
    <w:rsid w:val="00CD66DD"/>
    <w:rsid w:val="00CD674D"/>
    <w:rsid w:val="00CD6794"/>
    <w:rsid w:val="00CD6C04"/>
    <w:rsid w:val="00CD716E"/>
    <w:rsid w:val="00CD71DE"/>
    <w:rsid w:val="00CD73A1"/>
    <w:rsid w:val="00CD7415"/>
    <w:rsid w:val="00CD753E"/>
    <w:rsid w:val="00CD77DE"/>
    <w:rsid w:val="00CD79A3"/>
    <w:rsid w:val="00CD7BA1"/>
    <w:rsid w:val="00CD7F69"/>
    <w:rsid w:val="00CE03E4"/>
    <w:rsid w:val="00CE03FA"/>
    <w:rsid w:val="00CE0490"/>
    <w:rsid w:val="00CE0937"/>
    <w:rsid w:val="00CE0D0E"/>
    <w:rsid w:val="00CE1161"/>
    <w:rsid w:val="00CE1193"/>
    <w:rsid w:val="00CE11C4"/>
    <w:rsid w:val="00CE12BD"/>
    <w:rsid w:val="00CE134B"/>
    <w:rsid w:val="00CE1552"/>
    <w:rsid w:val="00CE161D"/>
    <w:rsid w:val="00CE1763"/>
    <w:rsid w:val="00CE17A8"/>
    <w:rsid w:val="00CE1838"/>
    <w:rsid w:val="00CE1A6E"/>
    <w:rsid w:val="00CE1A93"/>
    <w:rsid w:val="00CE1D45"/>
    <w:rsid w:val="00CE1DE0"/>
    <w:rsid w:val="00CE1F23"/>
    <w:rsid w:val="00CE2858"/>
    <w:rsid w:val="00CE2929"/>
    <w:rsid w:val="00CE2D44"/>
    <w:rsid w:val="00CE32B6"/>
    <w:rsid w:val="00CE3396"/>
    <w:rsid w:val="00CE3691"/>
    <w:rsid w:val="00CE36F0"/>
    <w:rsid w:val="00CE3738"/>
    <w:rsid w:val="00CE387C"/>
    <w:rsid w:val="00CE38B3"/>
    <w:rsid w:val="00CE3B9F"/>
    <w:rsid w:val="00CE3BA7"/>
    <w:rsid w:val="00CE3E69"/>
    <w:rsid w:val="00CE402D"/>
    <w:rsid w:val="00CE406C"/>
    <w:rsid w:val="00CE4366"/>
    <w:rsid w:val="00CE443A"/>
    <w:rsid w:val="00CE4560"/>
    <w:rsid w:val="00CE45A7"/>
    <w:rsid w:val="00CE4A38"/>
    <w:rsid w:val="00CE4B78"/>
    <w:rsid w:val="00CE4BB8"/>
    <w:rsid w:val="00CE4DA7"/>
    <w:rsid w:val="00CE50A8"/>
    <w:rsid w:val="00CE5213"/>
    <w:rsid w:val="00CE54D0"/>
    <w:rsid w:val="00CE5578"/>
    <w:rsid w:val="00CE59DD"/>
    <w:rsid w:val="00CE5CDA"/>
    <w:rsid w:val="00CE5CDB"/>
    <w:rsid w:val="00CE5CFC"/>
    <w:rsid w:val="00CE5E04"/>
    <w:rsid w:val="00CE5E67"/>
    <w:rsid w:val="00CE5F8D"/>
    <w:rsid w:val="00CE6194"/>
    <w:rsid w:val="00CE61A5"/>
    <w:rsid w:val="00CE64FC"/>
    <w:rsid w:val="00CE654F"/>
    <w:rsid w:val="00CE65AA"/>
    <w:rsid w:val="00CE67A6"/>
    <w:rsid w:val="00CE681E"/>
    <w:rsid w:val="00CE6A74"/>
    <w:rsid w:val="00CE6AB0"/>
    <w:rsid w:val="00CE6B30"/>
    <w:rsid w:val="00CE6DB3"/>
    <w:rsid w:val="00CE6F9D"/>
    <w:rsid w:val="00CE6FD5"/>
    <w:rsid w:val="00CE6FF3"/>
    <w:rsid w:val="00CE719A"/>
    <w:rsid w:val="00CE720E"/>
    <w:rsid w:val="00CE72C0"/>
    <w:rsid w:val="00CE73F5"/>
    <w:rsid w:val="00CE73FD"/>
    <w:rsid w:val="00CE740D"/>
    <w:rsid w:val="00CE7527"/>
    <w:rsid w:val="00CE76DC"/>
    <w:rsid w:val="00CE79AC"/>
    <w:rsid w:val="00CE7AB2"/>
    <w:rsid w:val="00CE7BAA"/>
    <w:rsid w:val="00CE7E80"/>
    <w:rsid w:val="00CF0318"/>
    <w:rsid w:val="00CF05EE"/>
    <w:rsid w:val="00CF06DE"/>
    <w:rsid w:val="00CF0982"/>
    <w:rsid w:val="00CF0A16"/>
    <w:rsid w:val="00CF0A71"/>
    <w:rsid w:val="00CF0A7B"/>
    <w:rsid w:val="00CF0BCA"/>
    <w:rsid w:val="00CF0CDB"/>
    <w:rsid w:val="00CF0EB3"/>
    <w:rsid w:val="00CF103B"/>
    <w:rsid w:val="00CF1040"/>
    <w:rsid w:val="00CF1054"/>
    <w:rsid w:val="00CF1069"/>
    <w:rsid w:val="00CF116D"/>
    <w:rsid w:val="00CF1335"/>
    <w:rsid w:val="00CF1365"/>
    <w:rsid w:val="00CF13FE"/>
    <w:rsid w:val="00CF152D"/>
    <w:rsid w:val="00CF1608"/>
    <w:rsid w:val="00CF1796"/>
    <w:rsid w:val="00CF1854"/>
    <w:rsid w:val="00CF1A31"/>
    <w:rsid w:val="00CF1AF0"/>
    <w:rsid w:val="00CF1B98"/>
    <w:rsid w:val="00CF1C57"/>
    <w:rsid w:val="00CF1D93"/>
    <w:rsid w:val="00CF1E5F"/>
    <w:rsid w:val="00CF1F3E"/>
    <w:rsid w:val="00CF1F85"/>
    <w:rsid w:val="00CF1FB6"/>
    <w:rsid w:val="00CF21B4"/>
    <w:rsid w:val="00CF23C9"/>
    <w:rsid w:val="00CF24AA"/>
    <w:rsid w:val="00CF252C"/>
    <w:rsid w:val="00CF2610"/>
    <w:rsid w:val="00CF26F0"/>
    <w:rsid w:val="00CF2B4B"/>
    <w:rsid w:val="00CF2D0E"/>
    <w:rsid w:val="00CF2DE3"/>
    <w:rsid w:val="00CF2E23"/>
    <w:rsid w:val="00CF3187"/>
    <w:rsid w:val="00CF3292"/>
    <w:rsid w:val="00CF3449"/>
    <w:rsid w:val="00CF368F"/>
    <w:rsid w:val="00CF36EE"/>
    <w:rsid w:val="00CF3795"/>
    <w:rsid w:val="00CF3805"/>
    <w:rsid w:val="00CF38A0"/>
    <w:rsid w:val="00CF38AA"/>
    <w:rsid w:val="00CF3CA1"/>
    <w:rsid w:val="00CF3DDD"/>
    <w:rsid w:val="00CF3E1F"/>
    <w:rsid w:val="00CF3FE7"/>
    <w:rsid w:val="00CF40BA"/>
    <w:rsid w:val="00CF4256"/>
    <w:rsid w:val="00CF45EA"/>
    <w:rsid w:val="00CF46FC"/>
    <w:rsid w:val="00CF4776"/>
    <w:rsid w:val="00CF4B5D"/>
    <w:rsid w:val="00CF5146"/>
    <w:rsid w:val="00CF51D4"/>
    <w:rsid w:val="00CF5599"/>
    <w:rsid w:val="00CF5C2E"/>
    <w:rsid w:val="00CF5C80"/>
    <w:rsid w:val="00CF5FD2"/>
    <w:rsid w:val="00CF6125"/>
    <w:rsid w:val="00CF6161"/>
    <w:rsid w:val="00CF6510"/>
    <w:rsid w:val="00CF6524"/>
    <w:rsid w:val="00CF67C9"/>
    <w:rsid w:val="00CF68AA"/>
    <w:rsid w:val="00CF68D2"/>
    <w:rsid w:val="00CF6C30"/>
    <w:rsid w:val="00CF6C8C"/>
    <w:rsid w:val="00CF6D5D"/>
    <w:rsid w:val="00CF70EE"/>
    <w:rsid w:val="00CF7177"/>
    <w:rsid w:val="00CF7297"/>
    <w:rsid w:val="00CF7340"/>
    <w:rsid w:val="00CF735A"/>
    <w:rsid w:val="00CF73B2"/>
    <w:rsid w:val="00CF7671"/>
    <w:rsid w:val="00CF78C9"/>
    <w:rsid w:val="00CF7A1D"/>
    <w:rsid w:val="00CF7D1E"/>
    <w:rsid w:val="00CF7FCA"/>
    <w:rsid w:val="00D0000B"/>
    <w:rsid w:val="00D00161"/>
    <w:rsid w:val="00D0025E"/>
    <w:rsid w:val="00D00314"/>
    <w:rsid w:val="00D00456"/>
    <w:rsid w:val="00D005CF"/>
    <w:rsid w:val="00D00604"/>
    <w:rsid w:val="00D0060A"/>
    <w:rsid w:val="00D00A64"/>
    <w:rsid w:val="00D00CDA"/>
    <w:rsid w:val="00D00DB3"/>
    <w:rsid w:val="00D00E1D"/>
    <w:rsid w:val="00D00EAD"/>
    <w:rsid w:val="00D00F0C"/>
    <w:rsid w:val="00D016A4"/>
    <w:rsid w:val="00D01764"/>
    <w:rsid w:val="00D0194A"/>
    <w:rsid w:val="00D019FD"/>
    <w:rsid w:val="00D01CD1"/>
    <w:rsid w:val="00D01E9B"/>
    <w:rsid w:val="00D01F30"/>
    <w:rsid w:val="00D0206A"/>
    <w:rsid w:val="00D0224E"/>
    <w:rsid w:val="00D024BE"/>
    <w:rsid w:val="00D0262E"/>
    <w:rsid w:val="00D027D9"/>
    <w:rsid w:val="00D02A0C"/>
    <w:rsid w:val="00D02C5B"/>
    <w:rsid w:val="00D02C97"/>
    <w:rsid w:val="00D02D18"/>
    <w:rsid w:val="00D02ED7"/>
    <w:rsid w:val="00D0300C"/>
    <w:rsid w:val="00D03166"/>
    <w:rsid w:val="00D03279"/>
    <w:rsid w:val="00D03308"/>
    <w:rsid w:val="00D03317"/>
    <w:rsid w:val="00D03390"/>
    <w:rsid w:val="00D03750"/>
    <w:rsid w:val="00D03A30"/>
    <w:rsid w:val="00D03D0C"/>
    <w:rsid w:val="00D03D7E"/>
    <w:rsid w:val="00D041FB"/>
    <w:rsid w:val="00D04482"/>
    <w:rsid w:val="00D04710"/>
    <w:rsid w:val="00D047B2"/>
    <w:rsid w:val="00D04A5D"/>
    <w:rsid w:val="00D04ABB"/>
    <w:rsid w:val="00D04C28"/>
    <w:rsid w:val="00D0504D"/>
    <w:rsid w:val="00D05249"/>
    <w:rsid w:val="00D05441"/>
    <w:rsid w:val="00D0544D"/>
    <w:rsid w:val="00D0552E"/>
    <w:rsid w:val="00D055D2"/>
    <w:rsid w:val="00D0576F"/>
    <w:rsid w:val="00D05984"/>
    <w:rsid w:val="00D05B39"/>
    <w:rsid w:val="00D05C30"/>
    <w:rsid w:val="00D05C84"/>
    <w:rsid w:val="00D05EAC"/>
    <w:rsid w:val="00D06078"/>
    <w:rsid w:val="00D060E5"/>
    <w:rsid w:val="00D06208"/>
    <w:rsid w:val="00D0628D"/>
    <w:rsid w:val="00D06364"/>
    <w:rsid w:val="00D0640B"/>
    <w:rsid w:val="00D064CB"/>
    <w:rsid w:val="00D06534"/>
    <w:rsid w:val="00D0654D"/>
    <w:rsid w:val="00D06591"/>
    <w:rsid w:val="00D065D1"/>
    <w:rsid w:val="00D06785"/>
    <w:rsid w:val="00D06884"/>
    <w:rsid w:val="00D068A2"/>
    <w:rsid w:val="00D0696B"/>
    <w:rsid w:val="00D06B40"/>
    <w:rsid w:val="00D06C26"/>
    <w:rsid w:val="00D06CA5"/>
    <w:rsid w:val="00D06CDE"/>
    <w:rsid w:val="00D06CEB"/>
    <w:rsid w:val="00D06D5F"/>
    <w:rsid w:val="00D06E30"/>
    <w:rsid w:val="00D06F7D"/>
    <w:rsid w:val="00D06F89"/>
    <w:rsid w:val="00D07049"/>
    <w:rsid w:val="00D072C4"/>
    <w:rsid w:val="00D07351"/>
    <w:rsid w:val="00D07691"/>
    <w:rsid w:val="00D076CE"/>
    <w:rsid w:val="00D07716"/>
    <w:rsid w:val="00D0780F"/>
    <w:rsid w:val="00D078D6"/>
    <w:rsid w:val="00D079C0"/>
    <w:rsid w:val="00D07E04"/>
    <w:rsid w:val="00D07E6E"/>
    <w:rsid w:val="00D07EA7"/>
    <w:rsid w:val="00D07FF7"/>
    <w:rsid w:val="00D10083"/>
    <w:rsid w:val="00D1021F"/>
    <w:rsid w:val="00D10269"/>
    <w:rsid w:val="00D1029D"/>
    <w:rsid w:val="00D103FA"/>
    <w:rsid w:val="00D10492"/>
    <w:rsid w:val="00D104A1"/>
    <w:rsid w:val="00D105D6"/>
    <w:rsid w:val="00D10658"/>
    <w:rsid w:val="00D106B2"/>
    <w:rsid w:val="00D106D9"/>
    <w:rsid w:val="00D1073C"/>
    <w:rsid w:val="00D107A1"/>
    <w:rsid w:val="00D108A7"/>
    <w:rsid w:val="00D10BC9"/>
    <w:rsid w:val="00D10C7F"/>
    <w:rsid w:val="00D10FDE"/>
    <w:rsid w:val="00D110B4"/>
    <w:rsid w:val="00D110EA"/>
    <w:rsid w:val="00D11132"/>
    <w:rsid w:val="00D11541"/>
    <w:rsid w:val="00D1185E"/>
    <w:rsid w:val="00D11977"/>
    <w:rsid w:val="00D119E6"/>
    <w:rsid w:val="00D11C16"/>
    <w:rsid w:val="00D11D19"/>
    <w:rsid w:val="00D120BB"/>
    <w:rsid w:val="00D12126"/>
    <w:rsid w:val="00D1216F"/>
    <w:rsid w:val="00D1217C"/>
    <w:rsid w:val="00D124C5"/>
    <w:rsid w:val="00D12510"/>
    <w:rsid w:val="00D12571"/>
    <w:rsid w:val="00D1278D"/>
    <w:rsid w:val="00D127A3"/>
    <w:rsid w:val="00D128A0"/>
    <w:rsid w:val="00D12CAB"/>
    <w:rsid w:val="00D12EAB"/>
    <w:rsid w:val="00D12ED1"/>
    <w:rsid w:val="00D12EE8"/>
    <w:rsid w:val="00D12F3D"/>
    <w:rsid w:val="00D12F55"/>
    <w:rsid w:val="00D1311D"/>
    <w:rsid w:val="00D1333E"/>
    <w:rsid w:val="00D133AA"/>
    <w:rsid w:val="00D13560"/>
    <w:rsid w:val="00D1356F"/>
    <w:rsid w:val="00D13883"/>
    <w:rsid w:val="00D138AC"/>
    <w:rsid w:val="00D138F7"/>
    <w:rsid w:val="00D13A2A"/>
    <w:rsid w:val="00D13AE0"/>
    <w:rsid w:val="00D13DE8"/>
    <w:rsid w:val="00D13FB6"/>
    <w:rsid w:val="00D1415A"/>
    <w:rsid w:val="00D14310"/>
    <w:rsid w:val="00D1431D"/>
    <w:rsid w:val="00D14761"/>
    <w:rsid w:val="00D148F9"/>
    <w:rsid w:val="00D14F8F"/>
    <w:rsid w:val="00D15036"/>
    <w:rsid w:val="00D150C2"/>
    <w:rsid w:val="00D151EF"/>
    <w:rsid w:val="00D153EC"/>
    <w:rsid w:val="00D15420"/>
    <w:rsid w:val="00D1571F"/>
    <w:rsid w:val="00D157F6"/>
    <w:rsid w:val="00D157F8"/>
    <w:rsid w:val="00D1580C"/>
    <w:rsid w:val="00D158C5"/>
    <w:rsid w:val="00D15C50"/>
    <w:rsid w:val="00D15CD3"/>
    <w:rsid w:val="00D15F07"/>
    <w:rsid w:val="00D15FB9"/>
    <w:rsid w:val="00D15FEA"/>
    <w:rsid w:val="00D15FFF"/>
    <w:rsid w:val="00D1621D"/>
    <w:rsid w:val="00D164A5"/>
    <w:rsid w:val="00D16855"/>
    <w:rsid w:val="00D16886"/>
    <w:rsid w:val="00D1695B"/>
    <w:rsid w:val="00D16969"/>
    <w:rsid w:val="00D169F5"/>
    <w:rsid w:val="00D16C0B"/>
    <w:rsid w:val="00D16C13"/>
    <w:rsid w:val="00D16C40"/>
    <w:rsid w:val="00D16DDD"/>
    <w:rsid w:val="00D16E94"/>
    <w:rsid w:val="00D16EAC"/>
    <w:rsid w:val="00D16F56"/>
    <w:rsid w:val="00D16F94"/>
    <w:rsid w:val="00D16FD1"/>
    <w:rsid w:val="00D17078"/>
    <w:rsid w:val="00D17465"/>
    <w:rsid w:val="00D17470"/>
    <w:rsid w:val="00D1760A"/>
    <w:rsid w:val="00D17B6E"/>
    <w:rsid w:val="00D17BC1"/>
    <w:rsid w:val="00D17DAA"/>
    <w:rsid w:val="00D17E85"/>
    <w:rsid w:val="00D17F2D"/>
    <w:rsid w:val="00D20010"/>
    <w:rsid w:val="00D202DF"/>
    <w:rsid w:val="00D202F3"/>
    <w:rsid w:val="00D2043C"/>
    <w:rsid w:val="00D2047B"/>
    <w:rsid w:val="00D205D3"/>
    <w:rsid w:val="00D206F4"/>
    <w:rsid w:val="00D20857"/>
    <w:rsid w:val="00D2087E"/>
    <w:rsid w:val="00D209AE"/>
    <w:rsid w:val="00D209E2"/>
    <w:rsid w:val="00D20A2E"/>
    <w:rsid w:val="00D20A99"/>
    <w:rsid w:val="00D20B87"/>
    <w:rsid w:val="00D20E66"/>
    <w:rsid w:val="00D20ED5"/>
    <w:rsid w:val="00D20FAA"/>
    <w:rsid w:val="00D21004"/>
    <w:rsid w:val="00D210D2"/>
    <w:rsid w:val="00D210F8"/>
    <w:rsid w:val="00D21401"/>
    <w:rsid w:val="00D21892"/>
    <w:rsid w:val="00D219D3"/>
    <w:rsid w:val="00D219E7"/>
    <w:rsid w:val="00D21AC5"/>
    <w:rsid w:val="00D21AFC"/>
    <w:rsid w:val="00D21C01"/>
    <w:rsid w:val="00D21C4D"/>
    <w:rsid w:val="00D21C66"/>
    <w:rsid w:val="00D21D0C"/>
    <w:rsid w:val="00D21ECA"/>
    <w:rsid w:val="00D21F6C"/>
    <w:rsid w:val="00D21F97"/>
    <w:rsid w:val="00D2208A"/>
    <w:rsid w:val="00D222EC"/>
    <w:rsid w:val="00D22341"/>
    <w:rsid w:val="00D22409"/>
    <w:rsid w:val="00D224D5"/>
    <w:rsid w:val="00D2256B"/>
    <w:rsid w:val="00D22C8D"/>
    <w:rsid w:val="00D22C9B"/>
    <w:rsid w:val="00D22D48"/>
    <w:rsid w:val="00D22FF4"/>
    <w:rsid w:val="00D2303B"/>
    <w:rsid w:val="00D2303F"/>
    <w:rsid w:val="00D23140"/>
    <w:rsid w:val="00D2317E"/>
    <w:rsid w:val="00D23346"/>
    <w:rsid w:val="00D23478"/>
    <w:rsid w:val="00D2351D"/>
    <w:rsid w:val="00D235AB"/>
    <w:rsid w:val="00D235BC"/>
    <w:rsid w:val="00D236C8"/>
    <w:rsid w:val="00D237B2"/>
    <w:rsid w:val="00D237D4"/>
    <w:rsid w:val="00D2386B"/>
    <w:rsid w:val="00D23C84"/>
    <w:rsid w:val="00D23D7C"/>
    <w:rsid w:val="00D23E0E"/>
    <w:rsid w:val="00D241D8"/>
    <w:rsid w:val="00D24208"/>
    <w:rsid w:val="00D242D2"/>
    <w:rsid w:val="00D24746"/>
    <w:rsid w:val="00D24887"/>
    <w:rsid w:val="00D248BC"/>
    <w:rsid w:val="00D2496D"/>
    <w:rsid w:val="00D249B3"/>
    <w:rsid w:val="00D24C56"/>
    <w:rsid w:val="00D24F94"/>
    <w:rsid w:val="00D2512E"/>
    <w:rsid w:val="00D251FA"/>
    <w:rsid w:val="00D2521F"/>
    <w:rsid w:val="00D25244"/>
    <w:rsid w:val="00D2527D"/>
    <w:rsid w:val="00D25344"/>
    <w:rsid w:val="00D2536C"/>
    <w:rsid w:val="00D25425"/>
    <w:rsid w:val="00D25467"/>
    <w:rsid w:val="00D25496"/>
    <w:rsid w:val="00D254EE"/>
    <w:rsid w:val="00D25741"/>
    <w:rsid w:val="00D25AA3"/>
    <w:rsid w:val="00D25ADA"/>
    <w:rsid w:val="00D25AE9"/>
    <w:rsid w:val="00D25B73"/>
    <w:rsid w:val="00D25C65"/>
    <w:rsid w:val="00D25D1C"/>
    <w:rsid w:val="00D25DF1"/>
    <w:rsid w:val="00D25F2E"/>
    <w:rsid w:val="00D25F84"/>
    <w:rsid w:val="00D260B2"/>
    <w:rsid w:val="00D26284"/>
    <w:rsid w:val="00D262FB"/>
    <w:rsid w:val="00D26396"/>
    <w:rsid w:val="00D2642F"/>
    <w:rsid w:val="00D26560"/>
    <w:rsid w:val="00D26635"/>
    <w:rsid w:val="00D2695C"/>
    <w:rsid w:val="00D26AE9"/>
    <w:rsid w:val="00D26F41"/>
    <w:rsid w:val="00D26FBC"/>
    <w:rsid w:val="00D27015"/>
    <w:rsid w:val="00D2710B"/>
    <w:rsid w:val="00D2722D"/>
    <w:rsid w:val="00D2725E"/>
    <w:rsid w:val="00D272FA"/>
    <w:rsid w:val="00D2751C"/>
    <w:rsid w:val="00D276EF"/>
    <w:rsid w:val="00D27A03"/>
    <w:rsid w:val="00D27BDB"/>
    <w:rsid w:val="00D27F07"/>
    <w:rsid w:val="00D27F42"/>
    <w:rsid w:val="00D30066"/>
    <w:rsid w:val="00D301D6"/>
    <w:rsid w:val="00D304AB"/>
    <w:rsid w:val="00D30580"/>
    <w:rsid w:val="00D305AE"/>
    <w:rsid w:val="00D305B3"/>
    <w:rsid w:val="00D308AF"/>
    <w:rsid w:val="00D3096C"/>
    <w:rsid w:val="00D30C0B"/>
    <w:rsid w:val="00D30D91"/>
    <w:rsid w:val="00D3105F"/>
    <w:rsid w:val="00D3107B"/>
    <w:rsid w:val="00D314F3"/>
    <w:rsid w:val="00D31565"/>
    <w:rsid w:val="00D3169E"/>
    <w:rsid w:val="00D317DD"/>
    <w:rsid w:val="00D3182A"/>
    <w:rsid w:val="00D31894"/>
    <w:rsid w:val="00D31CD1"/>
    <w:rsid w:val="00D31D1B"/>
    <w:rsid w:val="00D31D36"/>
    <w:rsid w:val="00D31E32"/>
    <w:rsid w:val="00D31E51"/>
    <w:rsid w:val="00D3209D"/>
    <w:rsid w:val="00D320F7"/>
    <w:rsid w:val="00D32188"/>
    <w:rsid w:val="00D32357"/>
    <w:rsid w:val="00D3245F"/>
    <w:rsid w:val="00D32591"/>
    <w:rsid w:val="00D328EB"/>
    <w:rsid w:val="00D329A6"/>
    <w:rsid w:val="00D32A72"/>
    <w:rsid w:val="00D32BE4"/>
    <w:rsid w:val="00D32CD3"/>
    <w:rsid w:val="00D32E22"/>
    <w:rsid w:val="00D32E94"/>
    <w:rsid w:val="00D3313E"/>
    <w:rsid w:val="00D331CF"/>
    <w:rsid w:val="00D33407"/>
    <w:rsid w:val="00D334C5"/>
    <w:rsid w:val="00D3368C"/>
    <w:rsid w:val="00D33BB2"/>
    <w:rsid w:val="00D33D24"/>
    <w:rsid w:val="00D33D5E"/>
    <w:rsid w:val="00D33D7F"/>
    <w:rsid w:val="00D33DD7"/>
    <w:rsid w:val="00D33E2B"/>
    <w:rsid w:val="00D34119"/>
    <w:rsid w:val="00D341E6"/>
    <w:rsid w:val="00D34218"/>
    <w:rsid w:val="00D342FD"/>
    <w:rsid w:val="00D3448D"/>
    <w:rsid w:val="00D34499"/>
    <w:rsid w:val="00D34682"/>
    <w:rsid w:val="00D347B4"/>
    <w:rsid w:val="00D348C5"/>
    <w:rsid w:val="00D3490D"/>
    <w:rsid w:val="00D34C25"/>
    <w:rsid w:val="00D34D75"/>
    <w:rsid w:val="00D350CF"/>
    <w:rsid w:val="00D35172"/>
    <w:rsid w:val="00D351A6"/>
    <w:rsid w:val="00D351F3"/>
    <w:rsid w:val="00D35242"/>
    <w:rsid w:val="00D35265"/>
    <w:rsid w:val="00D35297"/>
    <w:rsid w:val="00D35299"/>
    <w:rsid w:val="00D352A9"/>
    <w:rsid w:val="00D35557"/>
    <w:rsid w:val="00D35650"/>
    <w:rsid w:val="00D35785"/>
    <w:rsid w:val="00D357BA"/>
    <w:rsid w:val="00D35808"/>
    <w:rsid w:val="00D3590C"/>
    <w:rsid w:val="00D35965"/>
    <w:rsid w:val="00D35A16"/>
    <w:rsid w:val="00D35B2E"/>
    <w:rsid w:val="00D35CE3"/>
    <w:rsid w:val="00D35FD5"/>
    <w:rsid w:val="00D3613D"/>
    <w:rsid w:val="00D362D2"/>
    <w:rsid w:val="00D366DB"/>
    <w:rsid w:val="00D36757"/>
    <w:rsid w:val="00D368C2"/>
    <w:rsid w:val="00D36D30"/>
    <w:rsid w:val="00D3724F"/>
    <w:rsid w:val="00D377B1"/>
    <w:rsid w:val="00D377BD"/>
    <w:rsid w:val="00D37877"/>
    <w:rsid w:val="00D3788A"/>
    <w:rsid w:val="00D3796B"/>
    <w:rsid w:val="00D37A31"/>
    <w:rsid w:val="00D37A79"/>
    <w:rsid w:val="00D37B03"/>
    <w:rsid w:val="00D37C08"/>
    <w:rsid w:val="00D37C73"/>
    <w:rsid w:val="00D37E6D"/>
    <w:rsid w:val="00D37E8C"/>
    <w:rsid w:val="00D40104"/>
    <w:rsid w:val="00D40125"/>
    <w:rsid w:val="00D40191"/>
    <w:rsid w:val="00D401FB"/>
    <w:rsid w:val="00D40317"/>
    <w:rsid w:val="00D40531"/>
    <w:rsid w:val="00D4066C"/>
    <w:rsid w:val="00D40911"/>
    <w:rsid w:val="00D409B8"/>
    <w:rsid w:val="00D40B1A"/>
    <w:rsid w:val="00D40BB8"/>
    <w:rsid w:val="00D40C5D"/>
    <w:rsid w:val="00D40D1C"/>
    <w:rsid w:val="00D40EBB"/>
    <w:rsid w:val="00D41171"/>
    <w:rsid w:val="00D413D5"/>
    <w:rsid w:val="00D41428"/>
    <w:rsid w:val="00D41533"/>
    <w:rsid w:val="00D415A1"/>
    <w:rsid w:val="00D416DF"/>
    <w:rsid w:val="00D41720"/>
    <w:rsid w:val="00D41847"/>
    <w:rsid w:val="00D4187B"/>
    <w:rsid w:val="00D418A8"/>
    <w:rsid w:val="00D41921"/>
    <w:rsid w:val="00D41A54"/>
    <w:rsid w:val="00D41B6F"/>
    <w:rsid w:val="00D41C7D"/>
    <w:rsid w:val="00D41CB0"/>
    <w:rsid w:val="00D41D98"/>
    <w:rsid w:val="00D41E1D"/>
    <w:rsid w:val="00D41EF2"/>
    <w:rsid w:val="00D41F7C"/>
    <w:rsid w:val="00D429B4"/>
    <w:rsid w:val="00D42A65"/>
    <w:rsid w:val="00D42B03"/>
    <w:rsid w:val="00D42B0E"/>
    <w:rsid w:val="00D42BB2"/>
    <w:rsid w:val="00D42BDC"/>
    <w:rsid w:val="00D42C54"/>
    <w:rsid w:val="00D43022"/>
    <w:rsid w:val="00D4305C"/>
    <w:rsid w:val="00D43445"/>
    <w:rsid w:val="00D434CD"/>
    <w:rsid w:val="00D4362F"/>
    <w:rsid w:val="00D437C8"/>
    <w:rsid w:val="00D439FC"/>
    <w:rsid w:val="00D43D0B"/>
    <w:rsid w:val="00D43DF3"/>
    <w:rsid w:val="00D43E26"/>
    <w:rsid w:val="00D4408E"/>
    <w:rsid w:val="00D44174"/>
    <w:rsid w:val="00D44201"/>
    <w:rsid w:val="00D44448"/>
    <w:rsid w:val="00D4465A"/>
    <w:rsid w:val="00D4479B"/>
    <w:rsid w:val="00D447EC"/>
    <w:rsid w:val="00D44AE0"/>
    <w:rsid w:val="00D44D9F"/>
    <w:rsid w:val="00D44F2C"/>
    <w:rsid w:val="00D44FB0"/>
    <w:rsid w:val="00D45033"/>
    <w:rsid w:val="00D450E1"/>
    <w:rsid w:val="00D45143"/>
    <w:rsid w:val="00D45576"/>
    <w:rsid w:val="00D4576A"/>
    <w:rsid w:val="00D458EF"/>
    <w:rsid w:val="00D45BA0"/>
    <w:rsid w:val="00D45C21"/>
    <w:rsid w:val="00D45E5E"/>
    <w:rsid w:val="00D45ED3"/>
    <w:rsid w:val="00D461F7"/>
    <w:rsid w:val="00D4622C"/>
    <w:rsid w:val="00D4659E"/>
    <w:rsid w:val="00D466BF"/>
    <w:rsid w:val="00D46979"/>
    <w:rsid w:val="00D46AC8"/>
    <w:rsid w:val="00D46B25"/>
    <w:rsid w:val="00D46BC0"/>
    <w:rsid w:val="00D46C84"/>
    <w:rsid w:val="00D46D38"/>
    <w:rsid w:val="00D46EFF"/>
    <w:rsid w:val="00D46FE3"/>
    <w:rsid w:val="00D47237"/>
    <w:rsid w:val="00D473A0"/>
    <w:rsid w:val="00D476FE"/>
    <w:rsid w:val="00D47711"/>
    <w:rsid w:val="00D47736"/>
    <w:rsid w:val="00D4790A"/>
    <w:rsid w:val="00D47953"/>
    <w:rsid w:val="00D479A9"/>
    <w:rsid w:val="00D47A62"/>
    <w:rsid w:val="00D47F68"/>
    <w:rsid w:val="00D50035"/>
    <w:rsid w:val="00D50196"/>
    <w:rsid w:val="00D502F6"/>
    <w:rsid w:val="00D504A0"/>
    <w:rsid w:val="00D50589"/>
    <w:rsid w:val="00D5067B"/>
    <w:rsid w:val="00D506EB"/>
    <w:rsid w:val="00D50732"/>
    <w:rsid w:val="00D50913"/>
    <w:rsid w:val="00D50952"/>
    <w:rsid w:val="00D5098B"/>
    <w:rsid w:val="00D509A7"/>
    <w:rsid w:val="00D50B2F"/>
    <w:rsid w:val="00D50BE1"/>
    <w:rsid w:val="00D50F18"/>
    <w:rsid w:val="00D510C5"/>
    <w:rsid w:val="00D51249"/>
    <w:rsid w:val="00D51263"/>
    <w:rsid w:val="00D51325"/>
    <w:rsid w:val="00D513AF"/>
    <w:rsid w:val="00D513E0"/>
    <w:rsid w:val="00D514E9"/>
    <w:rsid w:val="00D5151C"/>
    <w:rsid w:val="00D517D0"/>
    <w:rsid w:val="00D517F8"/>
    <w:rsid w:val="00D51AE1"/>
    <w:rsid w:val="00D51B1C"/>
    <w:rsid w:val="00D51D30"/>
    <w:rsid w:val="00D51F1E"/>
    <w:rsid w:val="00D51FC0"/>
    <w:rsid w:val="00D51FDE"/>
    <w:rsid w:val="00D52047"/>
    <w:rsid w:val="00D5207D"/>
    <w:rsid w:val="00D5248A"/>
    <w:rsid w:val="00D524B8"/>
    <w:rsid w:val="00D52750"/>
    <w:rsid w:val="00D5277A"/>
    <w:rsid w:val="00D5280B"/>
    <w:rsid w:val="00D52AF9"/>
    <w:rsid w:val="00D52C9D"/>
    <w:rsid w:val="00D52E08"/>
    <w:rsid w:val="00D52E28"/>
    <w:rsid w:val="00D52F2C"/>
    <w:rsid w:val="00D530BC"/>
    <w:rsid w:val="00D53122"/>
    <w:rsid w:val="00D53178"/>
    <w:rsid w:val="00D532E7"/>
    <w:rsid w:val="00D53393"/>
    <w:rsid w:val="00D533E5"/>
    <w:rsid w:val="00D53470"/>
    <w:rsid w:val="00D53A83"/>
    <w:rsid w:val="00D53D0C"/>
    <w:rsid w:val="00D5416B"/>
    <w:rsid w:val="00D543A9"/>
    <w:rsid w:val="00D543AB"/>
    <w:rsid w:val="00D5466A"/>
    <w:rsid w:val="00D54810"/>
    <w:rsid w:val="00D54D94"/>
    <w:rsid w:val="00D55186"/>
    <w:rsid w:val="00D552E6"/>
    <w:rsid w:val="00D552F0"/>
    <w:rsid w:val="00D55300"/>
    <w:rsid w:val="00D55346"/>
    <w:rsid w:val="00D5546C"/>
    <w:rsid w:val="00D55607"/>
    <w:rsid w:val="00D55712"/>
    <w:rsid w:val="00D55781"/>
    <w:rsid w:val="00D55B36"/>
    <w:rsid w:val="00D55C54"/>
    <w:rsid w:val="00D55C7A"/>
    <w:rsid w:val="00D55DEC"/>
    <w:rsid w:val="00D55FCE"/>
    <w:rsid w:val="00D55FE1"/>
    <w:rsid w:val="00D5644A"/>
    <w:rsid w:val="00D56580"/>
    <w:rsid w:val="00D566D7"/>
    <w:rsid w:val="00D5696B"/>
    <w:rsid w:val="00D569DB"/>
    <w:rsid w:val="00D56B28"/>
    <w:rsid w:val="00D56B2B"/>
    <w:rsid w:val="00D56E51"/>
    <w:rsid w:val="00D56F00"/>
    <w:rsid w:val="00D56F1F"/>
    <w:rsid w:val="00D571CA"/>
    <w:rsid w:val="00D57269"/>
    <w:rsid w:val="00D573B1"/>
    <w:rsid w:val="00D573FA"/>
    <w:rsid w:val="00D57474"/>
    <w:rsid w:val="00D57526"/>
    <w:rsid w:val="00D577CA"/>
    <w:rsid w:val="00D5786F"/>
    <w:rsid w:val="00D57993"/>
    <w:rsid w:val="00D57A9D"/>
    <w:rsid w:val="00D57AA0"/>
    <w:rsid w:val="00D57AF3"/>
    <w:rsid w:val="00D57C9E"/>
    <w:rsid w:val="00D57DA5"/>
    <w:rsid w:val="00D57DAD"/>
    <w:rsid w:val="00D57DEF"/>
    <w:rsid w:val="00D6005F"/>
    <w:rsid w:val="00D600CB"/>
    <w:rsid w:val="00D60143"/>
    <w:rsid w:val="00D602D6"/>
    <w:rsid w:val="00D602DE"/>
    <w:rsid w:val="00D605BD"/>
    <w:rsid w:val="00D605CA"/>
    <w:rsid w:val="00D607C3"/>
    <w:rsid w:val="00D60886"/>
    <w:rsid w:val="00D6088F"/>
    <w:rsid w:val="00D60990"/>
    <w:rsid w:val="00D60A33"/>
    <w:rsid w:val="00D60B5C"/>
    <w:rsid w:val="00D60D87"/>
    <w:rsid w:val="00D60F57"/>
    <w:rsid w:val="00D610D3"/>
    <w:rsid w:val="00D61109"/>
    <w:rsid w:val="00D61672"/>
    <w:rsid w:val="00D61813"/>
    <w:rsid w:val="00D61899"/>
    <w:rsid w:val="00D6198A"/>
    <w:rsid w:val="00D61AF0"/>
    <w:rsid w:val="00D61BAB"/>
    <w:rsid w:val="00D61D1B"/>
    <w:rsid w:val="00D61FA4"/>
    <w:rsid w:val="00D621AB"/>
    <w:rsid w:val="00D621E1"/>
    <w:rsid w:val="00D6233E"/>
    <w:rsid w:val="00D624EA"/>
    <w:rsid w:val="00D6255A"/>
    <w:rsid w:val="00D625F8"/>
    <w:rsid w:val="00D6296C"/>
    <w:rsid w:val="00D62C72"/>
    <w:rsid w:val="00D62D39"/>
    <w:rsid w:val="00D62DD9"/>
    <w:rsid w:val="00D62EAA"/>
    <w:rsid w:val="00D631B6"/>
    <w:rsid w:val="00D632BA"/>
    <w:rsid w:val="00D63373"/>
    <w:rsid w:val="00D633A0"/>
    <w:rsid w:val="00D63585"/>
    <w:rsid w:val="00D63765"/>
    <w:rsid w:val="00D63981"/>
    <w:rsid w:val="00D63AB8"/>
    <w:rsid w:val="00D63BB0"/>
    <w:rsid w:val="00D63BD2"/>
    <w:rsid w:val="00D63CB7"/>
    <w:rsid w:val="00D63D6F"/>
    <w:rsid w:val="00D63E7F"/>
    <w:rsid w:val="00D64096"/>
    <w:rsid w:val="00D640B2"/>
    <w:rsid w:val="00D6415E"/>
    <w:rsid w:val="00D64249"/>
    <w:rsid w:val="00D6426E"/>
    <w:rsid w:val="00D643BF"/>
    <w:rsid w:val="00D64553"/>
    <w:rsid w:val="00D64772"/>
    <w:rsid w:val="00D64B40"/>
    <w:rsid w:val="00D64D2A"/>
    <w:rsid w:val="00D64F08"/>
    <w:rsid w:val="00D6536F"/>
    <w:rsid w:val="00D658EF"/>
    <w:rsid w:val="00D65F35"/>
    <w:rsid w:val="00D65F84"/>
    <w:rsid w:val="00D6615E"/>
    <w:rsid w:val="00D663F4"/>
    <w:rsid w:val="00D66468"/>
    <w:rsid w:val="00D666D6"/>
    <w:rsid w:val="00D666F8"/>
    <w:rsid w:val="00D66910"/>
    <w:rsid w:val="00D6695C"/>
    <w:rsid w:val="00D66992"/>
    <w:rsid w:val="00D66A2A"/>
    <w:rsid w:val="00D66CA1"/>
    <w:rsid w:val="00D66D4C"/>
    <w:rsid w:val="00D66E3E"/>
    <w:rsid w:val="00D66EAC"/>
    <w:rsid w:val="00D66FD0"/>
    <w:rsid w:val="00D670FA"/>
    <w:rsid w:val="00D674D6"/>
    <w:rsid w:val="00D6755B"/>
    <w:rsid w:val="00D67961"/>
    <w:rsid w:val="00D67D84"/>
    <w:rsid w:val="00D67D8F"/>
    <w:rsid w:val="00D67E48"/>
    <w:rsid w:val="00D67F0D"/>
    <w:rsid w:val="00D7010E"/>
    <w:rsid w:val="00D701F3"/>
    <w:rsid w:val="00D7031E"/>
    <w:rsid w:val="00D70559"/>
    <w:rsid w:val="00D706A7"/>
    <w:rsid w:val="00D7090F"/>
    <w:rsid w:val="00D70C12"/>
    <w:rsid w:val="00D70D2D"/>
    <w:rsid w:val="00D70D3A"/>
    <w:rsid w:val="00D712A2"/>
    <w:rsid w:val="00D712B4"/>
    <w:rsid w:val="00D714E9"/>
    <w:rsid w:val="00D7190F"/>
    <w:rsid w:val="00D71EDA"/>
    <w:rsid w:val="00D71F68"/>
    <w:rsid w:val="00D71FB6"/>
    <w:rsid w:val="00D71FCB"/>
    <w:rsid w:val="00D720E6"/>
    <w:rsid w:val="00D722A2"/>
    <w:rsid w:val="00D7237C"/>
    <w:rsid w:val="00D72468"/>
    <w:rsid w:val="00D7253A"/>
    <w:rsid w:val="00D7255C"/>
    <w:rsid w:val="00D72839"/>
    <w:rsid w:val="00D729E4"/>
    <w:rsid w:val="00D72B02"/>
    <w:rsid w:val="00D72D6C"/>
    <w:rsid w:val="00D73083"/>
    <w:rsid w:val="00D7309C"/>
    <w:rsid w:val="00D7309E"/>
    <w:rsid w:val="00D730AA"/>
    <w:rsid w:val="00D730B8"/>
    <w:rsid w:val="00D730D3"/>
    <w:rsid w:val="00D7344F"/>
    <w:rsid w:val="00D734E5"/>
    <w:rsid w:val="00D7350F"/>
    <w:rsid w:val="00D73611"/>
    <w:rsid w:val="00D7371E"/>
    <w:rsid w:val="00D738A2"/>
    <w:rsid w:val="00D73A11"/>
    <w:rsid w:val="00D73D5D"/>
    <w:rsid w:val="00D73F20"/>
    <w:rsid w:val="00D747B7"/>
    <w:rsid w:val="00D74ED5"/>
    <w:rsid w:val="00D75010"/>
    <w:rsid w:val="00D753C4"/>
    <w:rsid w:val="00D75455"/>
    <w:rsid w:val="00D75529"/>
    <w:rsid w:val="00D75696"/>
    <w:rsid w:val="00D756B1"/>
    <w:rsid w:val="00D756C5"/>
    <w:rsid w:val="00D75938"/>
    <w:rsid w:val="00D759C3"/>
    <w:rsid w:val="00D75DAF"/>
    <w:rsid w:val="00D75EC6"/>
    <w:rsid w:val="00D75ECB"/>
    <w:rsid w:val="00D75F06"/>
    <w:rsid w:val="00D763D0"/>
    <w:rsid w:val="00D76604"/>
    <w:rsid w:val="00D76BDD"/>
    <w:rsid w:val="00D76CB7"/>
    <w:rsid w:val="00D7709C"/>
    <w:rsid w:val="00D77400"/>
    <w:rsid w:val="00D77419"/>
    <w:rsid w:val="00D775E4"/>
    <w:rsid w:val="00D779D9"/>
    <w:rsid w:val="00D77B99"/>
    <w:rsid w:val="00D77BC2"/>
    <w:rsid w:val="00D77EF5"/>
    <w:rsid w:val="00D77F1A"/>
    <w:rsid w:val="00D77FDF"/>
    <w:rsid w:val="00D8005A"/>
    <w:rsid w:val="00D800D4"/>
    <w:rsid w:val="00D803E3"/>
    <w:rsid w:val="00D80512"/>
    <w:rsid w:val="00D805CE"/>
    <w:rsid w:val="00D805FD"/>
    <w:rsid w:val="00D8061C"/>
    <w:rsid w:val="00D8084D"/>
    <w:rsid w:val="00D80A1F"/>
    <w:rsid w:val="00D80DFE"/>
    <w:rsid w:val="00D80E97"/>
    <w:rsid w:val="00D80F09"/>
    <w:rsid w:val="00D80F4B"/>
    <w:rsid w:val="00D810DF"/>
    <w:rsid w:val="00D810ED"/>
    <w:rsid w:val="00D81237"/>
    <w:rsid w:val="00D812DB"/>
    <w:rsid w:val="00D81655"/>
    <w:rsid w:val="00D8169A"/>
    <w:rsid w:val="00D8171D"/>
    <w:rsid w:val="00D81919"/>
    <w:rsid w:val="00D81922"/>
    <w:rsid w:val="00D81929"/>
    <w:rsid w:val="00D81A39"/>
    <w:rsid w:val="00D81A63"/>
    <w:rsid w:val="00D82039"/>
    <w:rsid w:val="00D821B4"/>
    <w:rsid w:val="00D82392"/>
    <w:rsid w:val="00D82407"/>
    <w:rsid w:val="00D8242D"/>
    <w:rsid w:val="00D826E8"/>
    <w:rsid w:val="00D827A0"/>
    <w:rsid w:val="00D827C5"/>
    <w:rsid w:val="00D829CC"/>
    <w:rsid w:val="00D82FF9"/>
    <w:rsid w:val="00D83223"/>
    <w:rsid w:val="00D832A2"/>
    <w:rsid w:val="00D8348E"/>
    <w:rsid w:val="00D834A8"/>
    <w:rsid w:val="00D834D6"/>
    <w:rsid w:val="00D835F5"/>
    <w:rsid w:val="00D836C4"/>
    <w:rsid w:val="00D83AC8"/>
    <w:rsid w:val="00D8401E"/>
    <w:rsid w:val="00D84074"/>
    <w:rsid w:val="00D8407F"/>
    <w:rsid w:val="00D840FE"/>
    <w:rsid w:val="00D8443C"/>
    <w:rsid w:val="00D84502"/>
    <w:rsid w:val="00D8454F"/>
    <w:rsid w:val="00D84575"/>
    <w:rsid w:val="00D849DB"/>
    <w:rsid w:val="00D84B3D"/>
    <w:rsid w:val="00D84B3F"/>
    <w:rsid w:val="00D84BA6"/>
    <w:rsid w:val="00D84D5E"/>
    <w:rsid w:val="00D84E8C"/>
    <w:rsid w:val="00D851A1"/>
    <w:rsid w:val="00D85213"/>
    <w:rsid w:val="00D853EF"/>
    <w:rsid w:val="00D85503"/>
    <w:rsid w:val="00D85638"/>
    <w:rsid w:val="00D85866"/>
    <w:rsid w:val="00D85892"/>
    <w:rsid w:val="00D85AF6"/>
    <w:rsid w:val="00D85B20"/>
    <w:rsid w:val="00D85B40"/>
    <w:rsid w:val="00D85D16"/>
    <w:rsid w:val="00D8603B"/>
    <w:rsid w:val="00D86155"/>
    <w:rsid w:val="00D86164"/>
    <w:rsid w:val="00D862F7"/>
    <w:rsid w:val="00D8631C"/>
    <w:rsid w:val="00D8638C"/>
    <w:rsid w:val="00D86506"/>
    <w:rsid w:val="00D86533"/>
    <w:rsid w:val="00D865C1"/>
    <w:rsid w:val="00D866BE"/>
    <w:rsid w:val="00D86961"/>
    <w:rsid w:val="00D86A74"/>
    <w:rsid w:val="00D86A84"/>
    <w:rsid w:val="00D86B77"/>
    <w:rsid w:val="00D86CB7"/>
    <w:rsid w:val="00D86D98"/>
    <w:rsid w:val="00D86EF0"/>
    <w:rsid w:val="00D87324"/>
    <w:rsid w:val="00D877D6"/>
    <w:rsid w:val="00D87926"/>
    <w:rsid w:val="00D87A02"/>
    <w:rsid w:val="00D87BEC"/>
    <w:rsid w:val="00D87C7D"/>
    <w:rsid w:val="00D87F9C"/>
    <w:rsid w:val="00D901FF"/>
    <w:rsid w:val="00D902F1"/>
    <w:rsid w:val="00D903D1"/>
    <w:rsid w:val="00D9050F"/>
    <w:rsid w:val="00D9059B"/>
    <w:rsid w:val="00D905C6"/>
    <w:rsid w:val="00D90782"/>
    <w:rsid w:val="00D90795"/>
    <w:rsid w:val="00D908A7"/>
    <w:rsid w:val="00D909F6"/>
    <w:rsid w:val="00D90ADE"/>
    <w:rsid w:val="00D90CF2"/>
    <w:rsid w:val="00D90D51"/>
    <w:rsid w:val="00D90FEC"/>
    <w:rsid w:val="00D91107"/>
    <w:rsid w:val="00D91684"/>
    <w:rsid w:val="00D91771"/>
    <w:rsid w:val="00D917F1"/>
    <w:rsid w:val="00D9186B"/>
    <w:rsid w:val="00D918C0"/>
    <w:rsid w:val="00D91C57"/>
    <w:rsid w:val="00D91CDC"/>
    <w:rsid w:val="00D91E01"/>
    <w:rsid w:val="00D91EE6"/>
    <w:rsid w:val="00D9249A"/>
    <w:rsid w:val="00D925C4"/>
    <w:rsid w:val="00D9261D"/>
    <w:rsid w:val="00D92681"/>
    <w:rsid w:val="00D926B9"/>
    <w:rsid w:val="00D92896"/>
    <w:rsid w:val="00D92B23"/>
    <w:rsid w:val="00D92C7E"/>
    <w:rsid w:val="00D93017"/>
    <w:rsid w:val="00D931AF"/>
    <w:rsid w:val="00D933C6"/>
    <w:rsid w:val="00D93549"/>
    <w:rsid w:val="00D935A6"/>
    <w:rsid w:val="00D9389B"/>
    <w:rsid w:val="00D939A4"/>
    <w:rsid w:val="00D93B62"/>
    <w:rsid w:val="00D93BA2"/>
    <w:rsid w:val="00D93D2F"/>
    <w:rsid w:val="00D93DFA"/>
    <w:rsid w:val="00D94050"/>
    <w:rsid w:val="00D941E7"/>
    <w:rsid w:val="00D9423B"/>
    <w:rsid w:val="00D94426"/>
    <w:rsid w:val="00D94677"/>
    <w:rsid w:val="00D94759"/>
    <w:rsid w:val="00D94A11"/>
    <w:rsid w:val="00D94C21"/>
    <w:rsid w:val="00D94D1A"/>
    <w:rsid w:val="00D94D7F"/>
    <w:rsid w:val="00D94ED1"/>
    <w:rsid w:val="00D94F10"/>
    <w:rsid w:val="00D95437"/>
    <w:rsid w:val="00D9565E"/>
    <w:rsid w:val="00D956FE"/>
    <w:rsid w:val="00D95809"/>
    <w:rsid w:val="00D95853"/>
    <w:rsid w:val="00D9585B"/>
    <w:rsid w:val="00D958F4"/>
    <w:rsid w:val="00D958F5"/>
    <w:rsid w:val="00D95998"/>
    <w:rsid w:val="00D959C2"/>
    <w:rsid w:val="00D95A15"/>
    <w:rsid w:val="00D95A80"/>
    <w:rsid w:val="00D95CA8"/>
    <w:rsid w:val="00D95D78"/>
    <w:rsid w:val="00D95F10"/>
    <w:rsid w:val="00D96376"/>
    <w:rsid w:val="00D9645A"/>
    <w:rsid w:val="00D964C3"/>
    <w:rsid w:val="00D9650F"/>
    <w:rsid w:val="00D9657C"/>
    <w:rsid w:val="00D96683"/>
    <w:rsid w:val="00D96767"/>
    <w:rsid w:val="00D96792"/>
    <w:rsid w:val="00D967B4"/>
    <w:rsid w:val="00D967F9"/>
    <w:rsid w:val="00D968BF"/>
    <w:rsid w:val="00D9690C"/>
    <w:rsid w:val="00D96ADF"/>
    <w:rsid w:val="00D96B6E"/>
    <w:rsid w:val="00D96C1F"/>
    <w:rsid w:val="00D96E39"/>
    <w:rsid w:val="00D96E69"/>
    <w:rsid w:val="00D97115"/>
    <w:rsid w:val="00D9721F"/>
    <w:rsid w:val="00D97374"/>
    <w:rsid w:val="00D973A5"/>
    <w:rsid w:val="00D974A0"/>
    <w:rsid w:val="00D974DD"/>
    <w:rsid w:val="00D97525"/>
    <w:rsid w:val="00D9752B"/>
    <w:rsid w:val="00D97616"/>
    <w:rsid w:val="00D9787F"/>
    <w:rsid w:val="00D978A6"/>
    <w:rsid w:val="00D978DF"/>
    <w:rsid w:val="00D9797A"/>
    <w:rsid w:val="00D979B4"/>
    <w:rsid w:val="00D97A38"/>
    <w:rsid w:val="00D97AAC"/>
    <w:rsid w:val="00D97CA3"/>
    <w:rsid w:val="00D97EC0"/>
    <w:rsid w:val="00D97F0D"/>
    <w:rsid w:val="00DA0048"/>
    <w:rsid w:val="00DA00EC"/>
    <w:rsid w:val="00DA02EE"/>
    <w:rsid w:val="00DA037A"/>
    <w:rsid w:val="00DA067D"/>
    <w:rsid w:val="00DA07D1"/>
    <w:rsid w:val="00DA0AD5"/>
    <w:rsid w:val="00DA0CF5"/>
    <w:rsid w:val="00DA1035"/>
    <w:rsid w:val="00DA1154"/>
    <w:rsid w:val="00DA11D1"/>
    <w:rsid w:val="00DA123E"/>
    <w:rsid w:val="00DA124A"/>
    <w:rsid w:val="00DA125E"/>
    <w:rsid w:val="00DA13F7"/>
    <w:rsid w:val="00DA1582"/>
    <w:rsid w:val="00DA171D"/>
    <w:rsid w:val="00DA172D"/>
    <w:rsid w:val="00DA1B98"/>
    <w:rsid w:val="00DA1BEB"/>
    <w:rsid w:val="00DA1F1F"/>
    <w:rsid w:val="00DA223A"/>
    <w:rsid w:val="00DA22F6"/>
    <w:rsid w:val="00DA23C7"/>
    <w:rsid w:val="00DA2419"/>
    <w:rsid w:val="00DA2826"/>
    <w:rsid w:val="00DA2CAD"/>
    <w:rsid w:val="00DA2D55"/>
    <w:rsid w:val="00DA3027"/>
    <w:rsid w:val="00DA3133"/>
    <w:rsid w:val="00DA31B2"/>
    <w:rsid w:val="00DA33EE"/>
    <w:rsid w:val="00DA3B0C"/>
    <w:rsid w:val="00DA3CBA"/>
    <w:rsid w:val="00DA3D55"/>
    <w:rsid w:val="00DA3D58"/>
    <w:rsid w:val="00DA3DBC"/>
    <w:rsid w:val="00DA3E06"/>
    <w:rsid w:val="00DA3E0B"/>
    <w:rsid w:val="00DA3EA5"/>
    <w:rsid w:val="00DA40E5"/>
    <w:rsid w:val="00DA416C"/>
    <w:rsid w:val="00DA4317"/>
    <w:rsid w:val="00DA44D8"/>
    <w:rsid w:val="00DA454D"/>
    <w:rsid w:val="00DA45FF"/>
    <w:rsid w:val="00DA481C"/>
    <w:rsid w:val="00DA495E"/>
    <w:rsid w:val="00DA4B7C"/>
    <w:rsid w:val="00DA4C29"/>
    <w:rsid w:val="00DA4D36"/>
    <w:rsid w:val="00DA504E"/>
    <w:rsid w:val="00DA5136"/>
    <w:rsid w:val="00DA523A"/>
    <w:rsid w:val="00DA5242"/>
    <w:rsid w:val="00DA5517"/>
    <w:rsid w:val="00DA567D"/>
    <w:rsid w:val="00DA569E"/>
    <w:rsid w:val="00DA5792"/>
    <w:rsid w:val="00DA58A5"/>
    <w:rsid w:val="00DA59DE"/>
    <w:rsid w:val="00DA5A12"/>
    <w:rsid w:val="00DA5A6D"/>
    <w:rsid w:val="00DA5C80"/>
    <w:rsid w:val="00DA5D8F"/>
    <w:rsid w:val="00DA5DBF"/>
    <w:rsid w:val="00DA648B"/>
    <w:rsid w:val="00DA663E"/>
    <w:rsid w:val="00DA69F8"/>
    <w:rsid w:val="00DA6D31"/>
    <w:rsid w:val="00DA6DB4"/>
    <w:rsid w:val="00DA713E"/>
    <w:rsid w:val="00DA7145"/>
    <w:rsid w:val="00DA725B"/>
    <w:rsid w:val="00DA7315"/>
    <w:rsid w:val="00DA750B"/>
    <w:rsid w:val="00DA77EB"/>
    <w:rsid w:val="00DA77F6"/>
    <w:rsid w:val="00DA78C1"/>
    <w:rsid w:val="00DA79FE"/>
    <w:rsid w:val="00DA7D5E"/>
    <w:rsid w:val="00DA7ECF"/>
    <w:rsid w:val="00DA7FF8"/>
    <w:rsid w:val="00DB0167"/>
    <w:rsid w:val="00DB0331"/>
    <w:rsid w:val="00DB0407"/>
    <w:rsid w:val="00DB04AB"/>
    <w:rsid w:val="00DB05B0"/>
    <w:rsid w:val="00DB05D5"/>
    <w:rsid w:val="00DB0629"/>
    <w:rsid w:val="00DB0687"/>
    <w:rsid w:val="00DB06D0"/>
    <w:rsid w:val="00DB06DD"/>
    <w:rsid w:val="00DB0700"/>
    <w:rsid w:val="00DB0A3A"/>
    <w:rsid w:val="00DB0AD5"/>
    <w:rsid w:val="00DB0FAF"/>
    <w:rsid w:val="00DB0FBB"/>
    <w:rsid w:val="00DB11FB"/>
    <w:rsid w:val="00DB12C3"/>
    <w:rsid w:val="00DB1343"/>
    <w:rsid w:val="00DB13A2"/>
    <w:rsid w:val="00DB13D1"/>
    <w:rsid w:val="00DB14F1"/>
    <w:rsid w:val="00DB1824"/>
    <w:rsid w:val="00DB185A"/>
    <w:rsid w:val="00DB1C3C"/>
    <w:rsid w:val="00DB1E33"/>
    <w:rsid w:val="00DB1ED2"/>
    <w:rsid w:val="00DB216D"/>
    <w:rsid w:val="00DB217B"/>
    <w:rsid w:val="00DB21E9"/>
    <w:rsid w:val="00DB2217"/>
    <w:rsid w:val="00DB2276"/>
    <w:rsid w:val="00DB22D5"/>
    <w:rsid w:val="00DB232F"/>
    <w:rsid w:val="00DB2389"/>
    <w:rsid w:val="00DB246E"/>
    <w:rsid w:val="00DB250F"/>
    <w:rsid w:val="00DB2521"/>
    <w:rsid w:val="00DB2567"/>
    <w:rsid w:val="00DB2AB0"/>
    <w:rsid w:val="00DB2CF5"/>
    <w:rsid w:val="00DB2F84"/>
    <w:rsid w:val="00DB2FB5"/>
    <w:rsid w:val="00DB3104"/>
    <w:rsid w:val="00DB33DA"/>
    <w:rsid w:val="00DB3499"/>
    <w:rsid w:val="00DB34FE"/>
    <w:rsid w:val="00DB36BF"/>
    <w:rsid w:val="00DB370C"/>
    <w:rsid w:val="00DB37F5"/>
    <w:rsid w:val="00DB3801"/>
    <w:rsid w:val="00DB38BF"/>
    <w:rsid w:val="00DB38DB"/>
    <w:rsid w:val="00DB3C41"/>
    <w:rsid w:val="00DB3C7A"/>
    <w:rsid w:val="00DB3F57"/>
    <w:rsid w:val="00DB42AD"/>
    <w:rsid w:val="00DB4668"/>
    <w:rsid w:val="00DB4860"/>
    <w:rsid w:val="00DB48A9"/>
    <w:rsid w:val="00DB4B69"/>
    <w:rsid w:val="00DB4BE3"/>
    <w:rsid w:val="00DB4C77"/>
    <w:rsid w:val="00DB4E5F"/>
    <w:rsid w:val="00DB4F56"/>
    <w:rsid w:val="00DB50DA"/>
    <w:rsid w:val="00DB58AC"/>
    <w:rsid w:val="00DB58C3"/>
    <w:rsid w:val="00DB5A0A"/>
    <w:rsid w:val="00DB5A57"/>
    <w:rsid w:val="00DB5E10"/>
    <w:rsid w:val="00DB5E77"/>
    <w:rsid w:val="00DB5EA3"/>
    <w:rsid w:val="00DB5F47"/>
    <w:rsid w:val="00DB6037"/>
    <w:rsid w:val="00DB62A8"/>
    <w:rsid w:val="00DB632A"/>
    <w:rsid w:val="00DB64B1"/>
    <w:rsid w:val="00DB65F6"/>
    <w:rsid w:val="00DB664E"/>
    <w:rsid w:val="00DB67E8"/>
    <w:rsid w:val="00DB6822"/>
    <w:rsid w:val="00DB68CC"/>
    <w:rsid w:val="00DB6BFD"/>
    <w:rsid w:val="00DB6C7F"/>
    <w:rsid w:val="00DB6D73"/>
    <w:rsid w:val="00DB71F3"/>
    <w:rsid w:val="00DB7227"/>
    <w:rsid w:val="00DB7387"/>
    <w:rsid w:val="00DB75BF"/>
    <w:rsid w:val="00DB762F"/>
    <w:rsid w:val="00DB76EF"/>
    <w:rsid w:val="00DB7764"/>
    <w:rsid w:val="00DB7C50"/>
    <w:rsid w:val="00DB7C5A"/>
    <w:rsid w:val="00DB7C73"/>
    <w:rsid w:val="00DB7E14"/>
    <w:rsid w:val="00DB7ECA"/>
    <w:rsid w:val="00DB7FD6"/>
    <w:rsid w:val="00DC01A0"/>
    <w:rsid w:val="00DC03B9"/>
    <w:rsid w:val="00DC062E"/>
    <w:rsid w:val="00DC0723"/>
    <w:rsid w:val="00DC0935"/>
    <w:rsid w:val="00DC0A05"/>
    <w:rsid w:val="00DC0B41"/>
    <w:rsid w:val="00DC0C3B"/>
    <w:rsid w:val="00DC0C63"/>
    <w:rsid w:val="00DC0D71"/>
    <w:rsid w:val="00DC0E15"/>
    <w:rsid w:val="00DC1009"/>
    <w:rsid w:val="00DC13D6"/>
    <w:rsid w:val="00DC1671"/>
    <w:rsid w:val="00DC1782"/>
    <w:rsid w:val="00DC1B26"/>
    <w:rsid w:val="00DC1D6C"/>
    <w:rsid w:val="00DC1EB0"/>
    <w:rsid w:val="00DC1F59"/>
    <w:rsid w:val="00DC2034"/>
    <w:rsid w:val="00DC2171"/>
    <w:rsid w:val="00DC21C8"/>
    <w:rsid w:val="00DC253F"/>
    <w:rsid w:val="00DC25FA"/>
    <w:rsid w:val="00DC264B"/>
    <w:rsid w:val="00DC2799"/>
    <w:rsid w:val="00DC287C"/>
    <w:rsid w:val="00DC28C3"/>
    <w:rsid w:val="00DC2B38"/>
    <w:rsid w:val="00DC2C35"/>
    <w:rsid w:val="00DC2EE9"/>
    <w:rsid w:val="00DC34E4"/>
    <w:rsid w:val="00DC362A"/>
    <w:rsid w:val="00DC36A2"/>
    <w:rsid w:val="00DC3748"/>
    <w:rsid w:val="00DC37BF"/>
    <w:rsid w:val="00DC38EE"/>
    <w:rsid w:val="00DC3A1D"/>
    <w:rsid w:val="00DC3B4E"/>
    <w:rsid w:val="00DC3C48"/>
    <w:rsid w:val="00DC3E09"/>
    <w:rsid w:val="00DC3E50"/>
    <w:rsid w:val="00DC3F1E"/>
    <w:rsid w:val="00DC413A"/>
    <w:rsid w:val="00DC4166"/>
    <w:rsid w:val="00DC495C"/>
    <w:rsid w:val="00DC49CD"/>
    <w:rsid w:val="00DC4D20"/>
    <w:rsid w:val="00DC4D7A"/>
    <w:rsid w:val="00DC4D8A"/>
    <w:rsid w:val="00DC4F4F"/>
    <w:rsid w:val="00DC4FA7"/>
    <w:rsid w:val="00DC5320"/>
    <w:rsid w:val="00DC53AA"/>
    <w:rsid w:val="00DC544B"/>
    <w:rsid w:val="00DC54CA"/>
    <w:rsid w:val="00DC5541"/>
    <w:rsid w:val="00DC577A"/>
    <w:rsid w:val="00DC5819"/>
    <w:rsid w:val="00DC58B0"/>
    <w:rsid w:val="00DC59F5"/>
    <w:rsid w:val="00DC5A47"/>
    <w:rsid w:val="00DC5B0F"/>
    <w:rsid w:val="00DC5CB5"/>
    <w:rsid w:val="00DC5CF4"/>
    <w:rsid w:val="00DC5D94"/>
    <w:rsid w:val="00DC5F69"/>
    <w:rsid w:val="00DC6053"/>
    <w:rsid w:val="00DC619C"/>
    <w:rsid w:val="00DC61DD"/>
    <w:rsid w:val="00DC6392"/>
    <w:rsid w:val="00DC6496"/>
    <w:rsid w:val="00DC6562"/>
    <w:rsid w:val="00DC6563"/>
    <w:rsid w:val="00DC6599"/>
    <w:rsid w:val="00DC661F"/>
    <w:rsid w:val="00DC6696"/>
    <w:rsid w:val="00DC67E2"/>
    <w:rsid w:val="00DC67FF"/>
    <w:rsid w:val="00DC698A"/>
    <w:rsid w:val="00DC6CAF"/>
    <w:rsid w:val="00DC6D7E"/>
    <w:rsid w:val="00DC6E9B"/>
    <w:rsid w:val="00DC6F92"/>
    <w:rsid w:val="00DC70F4"/>
    <w:rsid w:val="00DC719B"/>
    <w:rsid w:val="00DC7213"/>
    <w:rsid w:val="00DC734C"/>
    <w:rsid w:val="00DC7465"/>
    <w:rsid w:val="00DC7469"/>
    <w:rsid w:val="00DC766E"/>
    <w:rsid w:val="00DC76C1"/>
    <w:rsid w:val="00DC77FD"/>
    <w:rsid w:val="00DC78B5"/>
    <w:rsid w:val="00DC7908"/>
    <w:rsid w:val="00DC790A"/>
    <w:rsid w:val="00DC799C"/>
    <w:rsid w:val="00DC7E5A"/>
    <w:rsid w:val="00DC7F0A"/>
    <w:rsid w:val="00DD00B6"/>
    <w:rsid w:val="00DD01A5"/>
    <w:rsid w:val="00DD035A"/>
    <w:rsid w:val="00DD03C6"/>
    <w:rsid w:val="00DD0694"/>
    <w:rsid w:val="00DD0791"/>
    <w:rsid w:val="00DD09CB"/>
    <w:rsid w:val="00DD0B9A"/>
    <w:rsid w:val="00DD11C5"/>
    <w:rsid w:val="00DD128A"/>
    <w:rsid w:val="00DD12D7"/>
    <w:rsid w:val="00DD14AB"/>
    <w:rsid w:val="00DD14C9"/>
    <w:rsid w:val="00DD163A"/>
    <w:rsid w:val="00DD19DE"/>
    <w:rsid w:val="00DD1A6B"/>
    <w:rsid w:val="00DD1C8C"/>
    <w:rsid w:val="00DD1DBA"/>
    <w:rsid w:val="00DD1EC0"/>
    <w:rsid w:val="00DD1F32"/>
    <w:rsid w:val="00DD2202"/>
    <w:rsid w:val="00DD256F"/>
    <w:rsid w:val="00DD29F4"/>
    <w:rsid w:val="00DD2AC6"/>
    <w:rsid w:val="00DD2BB7"/>
    <w:rsid w:val="00DD2BD6"/>
    <w:rsid w:val="00DD2E80"/>
    <w:rsid w:val="00DD2F80"/>
    <w:rsid w:val="00DD3067"/>
    <w:rsid w:val="00DD32EB"/>
    <w:rsid w:val="00DD3338"/>
    <w:rsid w:val="00DD33C6"/>
    <w:rsid w:val="00DD348E"/>
    <w:rsid w:val="00DD3604"/>
    <w:rsid w:val="00DD379A"/>
    <w:rsid w:val="00DD38BC"/>
    <w:rsid w:val="00DD395F"/>
    <w:rsid w:val="00DD3B1E"/>
    <w:rsid w:val="00DD3BBD"/>
    <w:rsid w:val="00DD3C88"/>
    <w:rsid w:val="00DD4205"/>
    <w:rsid w:val="00DD434C"/>
    <w:rsid w:val="00DD4412"/>
    <w:rsid w:val="00DD4435"/>
    <w:rsid w:val="00DD4719"/>
    <w:rsid w:val="00DD4995"/>
    <w:rsid w:val="00DD4A08"/>
    <w:rsid w:val="00DD4A2B"/>
    <w:rsid w:val="00DD4B55"/>
    <w:rsid w:val="00DD4D9E"/>
    <w:rsid w:val="00DD4EC0"/>
    <w:rsid w:val="00DD5012"/>
    <w:rsid w:val="00DD526B"/>
    <w:rsid w:val="00DD530E"/>
    <w:rsid w:val="00DD560D"/>
    <w:rsid w:val="00DD5623"/>
    <w:rsid w:val="00DD5748"/>
    <w:rsid w:val="00DD574F"/>
    <w:rsid w:val="00DD5994"/>
    <w:rsid w:val="00DD5AD6"/>
    <w:rsid w:val="00DD5B40"/>
    <w:rsid w:val="00DD5BB9"/>
    <w:rsid w:val="00DD5CEC"/>
    <w:rsid w:val="00DD5D5B"/>
    <w:rsid w:val="00DD5DF3"/>
    <w:rsid w:val="00DD60E8"/>
    <w:rsid w:val="00DD6127"/>
    <w:rsid w:val="00DD6547"/>
    <w:rsid w:val="00DD660F"/>
    <w:rsid w:val="00DD670C"/>
    <w:rsid w:val="00DD6779"/>
    <w:rsid w:val="00DD67D4"/>
    <w:rsid w:val="00DD686C"/>
    <w:rsid w:val="00DD6A62"/>
    <w:rsid w:val="00DD6A96"/>
    <w:rsid w:val="00DD6C8C"/>
    <w:rsid w:val="00DD6E27"/>
    <w:rsid w:val="00DD714C"/>
    <w:rsid w:val="00DD7250"/>
    <w:rsid w:val="00DD7441"/>
    <w:rsid w:val="00DD74CC"/>
    <w:rsid w:val="00DD793A"/>
    <w:rsid w:val="00DD79F7"/>
    <w:rsid w:val="00DD7A3D"/>
    <w:rsid w:val="00DE003E"/>
    <w:rsid w:val="00DE028D"/>
    <w:rsid w:val="00DE06A9"/>
    <w:rsid w:val="00DE07AE"/>
    <w:rsid w:val="00DE0B5F"/>
    <w:rsid w:val="00DE117C"/>
    <w:rsid w:val="00DE11C3"/>
    <w:rsid w:val="00DE1331"/>
    <w:rsid w:val="00DE138B"/>
    <w:rsid w:val="00DE1430"/>
    <w:rsid w:val="00DE15E9"/>
    <w:rsid w:val="00DE1AAA"/>
    <w:rsid w:val="00DE1B2A"/>
    <w:rsid w:val="00DE1E2D"/>
    <w:rsid w:val="00DE2005"/>
    <w:rsid w:val="00DE2016"/>
    <w:rsid w:val="00DE205F"/>
    <w:rsid w:val="00DE2109"/>
    <w:rsid w:val="00DE21FE"/>
    <w:rsid w:val="00DE22D8"/>
    <w:rsid w:val="00DE239F"/>
    <w:rsid w:val="00DE2439"/>
    <w:rsid w:val="00DE264F"/>
    <w:rsid w:val="00DE271B"/>
    <w:rsid w:val="00DE2871"/>
    <w:rsid w:val="00DE2AC1"/>
    <w:rsid w:val="00DE2AED"/>
    <w:rsid w:val="00DE2BE4"/>
    <w:rsid w:val="00DE2D39"/>
    <w:rsid w:val="00DE2DF7"/>
    <w:rsid w:val="00DE2E7E"/>
    <w:rsid w:val="00DE2E8A"/>
    <w:rsid w:val="00DE2EF7"/>
    <w:rsid w:val="00DE3018"/>
    <w:rsid w:val="00DE3047"/>
    <w:rsid w:val="00DE31F3"/>
    <w:rsid w:val="00DE3410"/>
    <w:rsid w:val="00DE3453"/>
    <w:rsid w:val="00DE34C1"/>
    <w:rsid w:val="00DE37D2"/>
    <w:rsid w:val="00DE3913"/>
    <w:rsid w:val="00DE3A41"/>
    <w:rsid w:val="00DE3CEF"/>
    <w:rsid w:val="00DE3EE0"/>
    <w:rsid w:val="00DE3FBC"/>
    <w:rsid w:val="00DE3FCE"/>
    <w:rsid w:val="00DE42BC"/>
    <w:rsid w:val="00DE43E8"/>
    <w:rsid w:val="00DE44BE"/>
    <w:rsid w:val="00DE4536"/>
    <w:rsid w:val="00DE4557"/>
    <w:rsid w:val="00DE47AA"/>
    <w:rsid w:val="00DE4936"/>
    <w:rsid w:val="00DE496A"/>
    <w:rsid w:val="00DE4983"/>
    <w:rsid w:val="00DE4A0C"/>
    <w:rsid w:val="00DE4ABF"/>
    <w:rsid w:val="00DE4B97"/>
    <w:rsid w:val="00DE517E"/>
    <w:rsid w:val="00DE520C"/>
    <w:rsid w:val="00DE5251"/>
    <w:rsid w:val="00DE53E4"/>
    <w:rsid w:val="00DE5413"/>
    <w:rsid w:val="00DE5420"/>
    <w:rsid w:val="00DE542A"/>
    <w:rsid w:val="00DE5977"/>
    <w:rsid w:val="00DE5AEA"/>
    <w:rsid w:val="00DE5B8D"/>
    <w:rsid w:val="00DE5E2A"/>
    <w:rsid w:val="00DE6124"/>
    <w:rsid w:val="00DE6229"/>
    <w:rsid w:val="00DE6295"/>
    <w:rsid w:val="00DE64A3"/>
    <w:rsid w:val="00DE64EC"/>
    <w:rsid w:val="00DE6783"/>
    <w:rsid w:val="00DE67BB"/>
    <w:rsid w:val="00DE67E4"/>
    <w:rsid w:val="00DE69B0"/>
    <w:rsid w:val="00DE6C80"/>
    <w:rsid w:val="00DE6DBB"/>
    <w:rsid w:val="00DE6EDA"/>
    <w:rsid w:val="00DE70B4"/>
    <w:rsid w:val="00DE7292"/>
    <w:rsid w:val="00DE7381"/>
    <w:rsid w:val="00DE76C0"/>
    <w:rsid w:val="00DE76F1"/>
    <w:rsid w:val="00DE775D"/>
    <w:rsid w:val="00DE7810"/>
    <w:rsid w:val="00DE7823"/>
    <w:rsid w:val="00DE78C9"/>
    <w:rsid w:val="00DE7A57"/>
    <w:rsid w:val="00DE7C73"/>
    <w:rsid w:val="00DE7DD6"/>
    <w:rsid w:val="00DE7EC3"/>
    <w:rsid w:val="00DF02A7"/>
    <w:rsid w:val="00DF0349"/>
    <w:rsid w:val="00DF045D"/>
    <w:rsid w:val="00DF05A7"/>
    <w:rsid w:val="00DF08FF"/>
    <w:rsid w:val="00DF095C"/>
    <w:rsid w:val="00DF0AE2"/>
    <w:rsid w:val="00DF0B29"/>
    <w:rsid w:val="00DF0F78"/>
    <w:rsid w:val="00DF0FE8"/>
    <w:rsid w:val="00DF1041"/>
    <w:rsid w:val="00DF1051"/>
    <w:rsid w:val="00DF122B"/>
    <w:rsid w:val="00DF1281"/>
    <w:rsid w:val="00DF13DF"/>
    <w:rsid w:val="00DF17E6"/>
    <w:rsid w:val="00DF18B7"/>
    <w:rsid w:val="00DF1AF4"/>
    <w:rsid w:val="00DF1CDB"/>
    <w:rsid w:val="00DF1D65"/>
    <w:rsid w:val="00DF1E82"/>
    <w:rsid w:val="00DF1FB0"/>
    <w:rsid w:val="00DF1FC0"/>
    <w:rsid w:val="00DF2053"/>
    <w:rsid w:val="00DF21A8"/>
    <w:rsid w:val="00DF23F2"/>
    <w:rsid w:val="00DF282C"/>
    <w:rsid w:val="00DF288B"/>
    <w:rsid w:val="00DF2891"/>
    <w:rsid w:val="00DF28E5"/>
    <w:rsid w:val="00DF2996"/>
    <w:rsid w:val="00DF2B0B"/>
    <w:rsid w:val="00DF2DBE"/>
    <w:rsid w:val="00DF2EA7"/>
    <w:rsid w:val="00DF2F39"/>
    <w:rsid w:val="00DF314C"/>
    <w:rsid w:val="00DF3321"/>
    <w:rsid w:val="00DF3382"/>
    <w:rsid w:val="00DF34EE"/>
    <w:rsid w:val="00DF3514"/>
    <w:rsid w:val="00DF358A"/>
    <w:rsid w:val="00DF37E3"/>
    <w:rsid w:val="00DF3A13"/>
    <w:rsid w:val="00DF3B4E"/>
    <w:rsid w:val="00DF3D8F"/>
    <w:rsid w:val="00DF418D"/>
    <w:rsid w:val="00DF41C8"/>
    <w:rsid w:val="00DF42BC"/>
    <w:rsid w:val="00DF4B50"/>
    <w:rsid w:val="00DF4C71"/>
    <w:rsid w:val="00DF4E68"/>
    <w:rsid w:val="00DF509E"/>
    <w:rsid w:val="00DF511E"/>
    <w:rsid w:val="00DF5129"/>
    <w:rsid w:val="00DF5145"/>
    <w:rsid w:val="00DF5263"/>
    <w:rsid w:val="00DF546D"/>
    <w:rsid w:val="00DF5789"/>
    <w:rsid w:val="00DF5A36"/>
    <w:rsid w:val="00DF5C3E"/>
    <w:rsid w:val="00DF5DD2"/>
    <w:rsid w:val="00DF624C"/>
    <w:rsid w:val="00DF62CF"/>
    <w:rsid w:val="00DF6343"/>
    <w:rsid w:val="00DF64D7"/>
    <w:rsid w:val="00DF654A"/>
    <w:rsid w:val="00DF6601"/>
    <w:rsid w:val="00DF66A7"/>
    <w:rsid w:val="00DF6DEC"/>
    <w:rsid w:val="00DF6F03"/>
    <w:rsid w:val="00DF6FBB"/>
    <w:rsid w:val="00DF6FE8"/>
    <w:rsid w:val="00DF70AF"/>
    <w:rsid w:val="00DF7151"/>
    <w:rsid w:val="00DF7214"/>
    <w:rsid w:val="00DF721E"/>
    <w:rsid w:val="00DF7343"/>
    <w:rsid w:val="00DF7427"/>
    <w:rsid w:val="00DF7474"/>
    <w:rsid w:val="00DF7482"/>
    <w:rsid w:val="00DF757E"/>
    <w:rsid w:val="00DF7587"/>
    <w:rsid w:val="00DF765A"/>
    <w:rsid w:val="00DF7801"/>
    <w:rsid w:val="00DF7830"/>
    <w:rsid w:val="00DF79B0"/>
    <w:rsid w:val="00DF79EF"/>
    <w:rsid w:val="00DF7A69"/>
    <w:rsid w:val="00DF7AC3"/>
    <w:rsid w:val="00DF7CE2"/>
    <w:rsid w:val="00DF7FF1"/>
    <w:rsid w:val="00E00059"/>
    <w:rsid w:val="00E000A7"/>
    <w:rsid w:val="00E00116"/>
    <w:rsid w:val="00E0023F"/>
    <w:rsid w:val="00E0025C"/>
    <w:rsid w:val="00E0048E"/>
    <w:rsid w:val="00E00493"/>
    <w:rsid w:val="00E004B1"/>
    <w:rsid w:val="00E005BC"/>
    <w:rsid w:val="00E005CC"/>
    <w:rsid w:val="00E00670"/>
    <w:rsid w:val="00E00938"/>
    <w:rsid w:val="00E00A8A"/>
    <w:rsid w:val="00E00B31"/>
    <w:rsid w:val="00E00D44"/>
    <w:rsid w:val="00E00E6C"/>
    <w:rsid w:val="00E00EA1"/>
    <w:rsid w:val="00E01010"/>
    <w:rsid w:val="00E01122"/>
    <w:rsid w:val="00E01157"/>
    <w:rsid w:val="00E011B8"/>
    <w:rsid w:val="00E01300"/>
    <w:rsid w:val="00E013E2"/>
    <w:rsid w:val="00E013E6"/>
    <w:rsid w:val="00E018C4"/>
    <w:rsid w:val="00E01C17"/>
    <w:rsid w:val="00E01CE7"/>
    <w:rsid w:val="00E01E41"/>
    <w:rsid w:val="00E01EF0"/>
    <w:rsid w:val="00E01FA4"/>
    <w:rsid w:val="00E02112"/>
    <w:rsid w:val="00E021B5"/>
    <w:rsid w:val="00E0242E"/>
    <w:rsid w:val="00E0262B"/>
    <w:rsid w:val="00E026C3"/>
    <w:rsid w:val="00E02BF5"/>
    <w:rsid w:val="00E02E3B"/>
    <w:rsid w:val="00E02E81"/>
    <w:rsid w:val="00E02EA1"/>
    <w:rsid w:val="00E03033"/>
    <w:rsid w:val="00E03160"/>
    <w:rsid w:val="00E0320C"/>
    <w:rsid w:val="00E0342A"/>
    <w:rsid w:val="00E0343A"/>
    <w:rsid w:val="00E0377A"/>
    <w:rsid w:val="00E03790"/>
    <w:rsid w:val="00E0399B"/>
    <w:rsid w:val="00E03C45"/>
    <w:rsid w:val="00E03E12"/>
    <w:rsid w:val="00E03E25"/>
    <w:rsid w:val="00E03F11"/>
    <w:rsid w:val="00E0420D"/>
    <w:rsid w:val="00E042BA"/>
    <w:rsid w:val="00E043FD"/>
    <w:rsid w:val="00E04496"/>
    <w:rsid w:val="00E046E7"/>
    <w:rsid w:val="00E0492E"/>
    <w:rsid w:val="00E04B03"/>
    <w:rsid w:val="00E04CC3"/>
    <w:rsid w:val="00E04CF0"/>
    <w:rsid w:val="00E04FA8"/>
    <w:rsid w:val="00E051C0"/>
    <w:rsid w:val="00E05531"/>
    <w:rsid w:val="00E055CF"/>
    <w:rsid w:val="00E05850"/>
    <w:rsid w:val="00E059E9"/>
    <w:rsid w:val="00E05A41"/>
    <w:rsid w:val="00E05EDC"/>
    <w:rsid w:val="00E0600B"/>
    <w:rsid w:val="00E06031"/>
    <w:rsid w:val="00E060F1"/>
    <w:rsid w:val="00E062E5"/>
    <w:rsid w:val="00E06351"/>
    <w:rsid w:val="00E06691"/>
    <w:rsid w:val="00E066A0"/>
    <w:rsid w:val="00E06A53"/>
    <w:rsid w:val="00E06CF7"/>
    <w:rsid w:val="00E06DFA"/>
    <w:rsid w:val="00E06E0B"/>
    <w:rsid w:val="00E06FA6"/>
    <w:rsid w:val="00E07040"/>
    <w:rsid w:val="00E07169"/>
    <w:rsid w:val="00E07195"/>
    <w:rsid w:val="00E07216"/>
    <w:rsid w:val="00E072F9"/>
    <w:rsid w:val="00E073B0"/>
    <w:rsid w:val="00E079EE"/>
    <w:rsid w:val="00E07ADB"/>
    <w:rsid w:val="00E07B82"/>
    <w:rsid w:val="00E07CC9"/>
    <w:rsid w:val="00E07E33"/>
    <w:rsid w:val="00E07FE0"/>
    <w:rsid w:val="00E100DE"/>
    <w:rsid w:val="00E102E8"/>
    <w:rsid w:val="00E10542"/>
    <w:rsid w:val="00E105B6"/>
    <w:rsid w:val="00E105E5"/>
    <w:rsid w:val="00E10B2B"/>
    <w:rsid w:val="00E10B36"/>
    <w:rsid w:val="00E110EA"/>
    <w:rsid w:val="00E1132F"/>
    <w:rsid w:val="00E11395"/>
    <w:rsid w:val="00E113B0"/>
    <w:rsid w:val="00E11416"/>
    <w:rsid w:val="00E114D0"/>
    <w:rsid w:val="00E115FF"/>
    <w:rsid w:val="00E11BF2"/>
    <w:rsid w:val="00E11C5E"/>
    <w:rsid w:val="00E11EDF"/>
    <w:rsid w:val="00E11F1A"/>
    <w:rsid w:val="00E11FF1"/>
    <w:rsid w:val="00E12043"/>
    <w:rsid w:val="00E1218B"/>
    <w:rsid w:val="00E1222F"/>
    <w:rsid w:val="00E1248B"/>
    <w:rsid w:val="00E1249B"/>
    <w:rsid w:val="00E1274E"/>
    <w:rsid w:val="00E1279C"/>
    <w:rsid w:val="00E127A9"/>
    <w:rsid w:val="00E12815"/>
    <w:rsid w:val="00E1283D"/>
    <w:rsid w:val="00E12854"/>
    <w:rsid w:val="00E12A06"/>
    <w:rsid w:val="00E12B1A"/>
    <w:rsid w:val="00E12E2E"/>
    <w:rsid w:val="00E12F91"/>
    <w:rsid w:val="00E13335"/>
    <w:rsid w:val="00E134C6"/>
    <w:rsid w:val="00E13617"/>
    <w:rsid w:val="00E136C1"/>
    <w:rsid w:val="00E13750"/>
    <w:rsid w:val="00E137AD"/>
    <w:rsid w:val="00E137D5"/>
    <w:rsid w:val="00E13948"/>
    <w:rsid w:val="00E13B3F"/>
    <w:rsid w:val="00E13C65"/>
    <w:rsid w:val="00E13C95"/>
    <w:rsid w:val="00E13FB5"/>
    <w:rsid w:val="00E14049"/>
    <w:rsid w:val="00E14499"/>
    <w:rsid w:val="00E148D6"/>
    <w:rsid w:val="00E1496A"/>
    <w:rsid w:val="00E14B18"/>
    <w:rsid w:val="00E14B75"/>
    <w:rsid w:val="00E14BA2"/>
    <w:rsid w:val="00E14BC0"/>
    <w:rsid w:val="00E14EBA"/>
    <w:rsid w:val="00E14F94"/>
    <w:rsid w:val="00E15179"/>
    <w:rsid w:val="00E15253"/>
    <w:rsid w:val="00E15470"/>
    <w:rsid w:val="00E156E9"/>
    <w:rsid w:val="00E158D3"/>
    <w:rsid w:val="00E159C9"/>
    <w:rsid w:val="00E15A9C"/>
    <w:rsid w:val="00E15C6D"/>
    <w:rsid w:val="00E15D06"/>
    <w:rsid w:val="00E15DE8"/>
    <w:rsid w:val="00E160D4"/>
    <w:rsid w:val="00E160D8"/>
    <w:rsid w:val="00E16332"/>
    <w:rsid w:val="00E16619"/>
    <w:rsid w:val="00E168DF"/>
    <w:rsid w:val="00E16BB3"/>
    <w:rsid w:val="00E16CAE"/>
    <w:rsid w:val="00E16FD2"/>
    <w:rsid w:val="00E172AC"/>
    <w:rsid w:val="00E172D7"/>
    <w:rsid w:val="00E17358"/>
    <w:rsid w:val="00E174E8"/>
    <w:rsid w:val="00E1758D"/>
    <w:rsid w:val="00E17678"/>
    <w:rsid w:val="00E1767F"/>
    <w:rsid w:val="00E176B8"/>
    <w:rsid w:val="00E176F1"/>
    <w:rsid w:val="00E179FB"/>
    <w:rsid w:val="00E17BC5"/>
    <w:rsid w:val="00E17DA6"/>
    <w:rsid w:val="00E17F67"/>
    <w:rsid w:val="00E17FBE"/>
    <w:rsid w:val="00E200C2"/>
    <w:rsid w:val="00E20315"/>
    <w:rsid w:val="00E20361"/>
    <w:rsid w:val="00E206A8"/>
    <w:rsid w:val="00E2071D"/>
    <w:rsid w:val="00E207F5"/>
    <w:rsid w:val="00E208CE"/>
    <w:rsid w:val="00E209DF"/>
    <w:rsid w:val="00E20D42"/>
    <w:rsid w:val="00E20DEA"/>
    <w:rsid w:val="00E20E3F"/>
    <w:rsid w:val="00E2104D"/>
    <w:rsid w:val="00E210F2"/>
    <w:rsid w:val="00E21310"/>
    <w:rsid w:val="00E2162B"/>
    <w:rsid w:val="00E21903"/>
    <w:rsid w:val="00E21B47"/>
    <w:rsid w:val="00E21D1C"/>
    <w:rsid w:val="00E21F56"/>
    <w:rsid w:val="00E21F82"/>
    <w:rsid w:val="00E2218B"/>
    <w:rsid w:val="00E2230B"/>
    <w:rsid w:val="00E223DC"/>
    <w:rsid w:val="00E22407"/>
    <w:rsid w:val="00E22603"/>
    <w:rsid w:val="00E22710"/>
    <w:rsid w:val="00E227BB"/>
    <w:rsid w:val="00E22823"/>
    <w:rsid w:val="00E228D4"/>
    <w:rsid w:val="00E23137"/>
    <w:rsid w:val="00E23151"/>
    <w:rsid w:val="00E231CB"/>
    <w:rsid w:val="00E237A4"/>
    <w:rsid w:val="00E237F3"/>
    <w:rsid w:val="00E23A0F"/>
    <w:rsid w:val="00E23B03"/>
    <w:rsid w:val="00E23D55"/>
    <w:rsid w:val="00E23E31"/>
    <w:rsid w:val="00E23E36"/>
    <w:rsid w:val="00E23ECD"/>
    <w:rsid w:val="00E24479"/>
    <w:rsid w:val="00E24D7C"/>
    <w:rsid w:val="00E24D86"/>
    <w:rsid w:val="00E24E45"/>
    <w:rsid w:val="00E24E67"/>
    <w:rsid w:val="00E250AC"/>
    <w:rsid w:val="00E25219"/>
    <w:rsid w:val="00E2521E"/>
    <w:rsid w:val="00E2526A"/>
    <w:rsid w:val="00E253F5"/>
    <w:rsid w:val="00E254CE"/>
    <w:rsid w:val="00E255CB"/>
    <w:rsid w:val="00E2587A"/>
    <w:rsid w:val="00E25A00"/>
    <w:rsid w:val="00E25CD9"/>
    <w:rsid w:val="00E260C0"/>
    <w:rsid w:val="00E26103"/>
    <w:rsid w:val="00E262D3"/>
    <w:rsid w:val="00E2653F"/>
    <w:rsid w:val="00E26865"/>
    <w:rsid w:val="00E26A53"/>
    <w:rsid w:val="00E26BAD"/>
    <w:rsid w:val="00E26BF3"/>
    <w:rsid w:val="00E26DB8"/>
    <w:rsid w:val="00E26E49"/>
    <w:rsid w:val="00E2711D"/>
    <w:rsid w:val="00E27479"/>
    <w:rsid w:val="00E276CA"/>
    <w:rsid w:val="00E277C2"/>
    <w:rsid w:val="00E27A78"/>
    <w:rsid w:val="00E27ADF"/>
    <w:rsid w:val="00E27B3D"/>
    <w:rsid w:val="00E27C0C"/>
    <w:rsid w:val="00E27C52"/>
    <w:rsid w:val="00E27EEF"/>
    <w:rsid w:val="00E30410"/>
    <w:rsid w:val="00E30470"/>
    <w:rsid w:val="00E304F7"/>
    <w:rsid w:val="00E307D3"/>
    <w:rsid w:val="00E3090D"/>
    <w:rsid w:val="00E309B1"/>
    <w:rsid w:val="00E30B86"/>
    <w:rsid w:val="00E30C8F"/>
    <w:rsid w:val="00E30ED0"/>
    <w:rsid w:val="00E30F4B"/>
    <w:rsid w:val="00E30F80"/>
    <w:rsid w:val="00E3111E"/>
    <w:rsid w:val="00E314B9"/>
    <w:rsid w:val="00E316E3"/>
    <w:rsid w:val="00E31789"/>
    <w:rsid w:val="00E319B3"/>
    <w:rsid w:val="00E319E4"/>
    <w:rsid w:val="00E31B18"/>
    <w:rsid w:val="00E31B93"/>
    <w:rsid w:val="00E31BE7"/>
    <w:rsid w:val="00E31BF0"/>
    <w:rsid w:val="00E31C6E"/>
    <w:rsid w:val="00E31F30"/>
    <w:rsid w:val="00E31F92"/>
    <w:rsid w:val="00E3207C"/>
    <w:rsid w:val="00E32213"/>
    <w:rsid w:val="00E324D0"/>
    <w:rsid w:val="00E324E2"/>
    <w:rsid w:val="00E3273B"/>
    <w:rsid w:val="00E328BB"/>
    <w:rsid w:val="00E328D7"/>
    <w:rsid w:val="00E32D26"/>
    <w:rsid w:val="00E32F9E"/>
    <w:rsid w:val="00E33085"/>
    <w:rsid w:val="00E331C7"/>
    <w:rsid w:val="00E3323F"/>
    <w:rsid w:val="00E332A8"/>
    <w:rsid w:val="00E33316"/>
    <w:rsid w:val="00E33387"/>
    <w:rsid w:val="00E3339B"/>
    <w:rsid w:val="00E333FC"/>
    <w:rsid w:val="00E334F4"/>
    <w:rsid w:val="00E3358E"/>
    <w:rsid w:val="00E33702"/>
    <w:rsid w:val="00E33B77"/>
    <w:rsid w:val="00E33CD9"/>
    <w:rsid w:val="00E33DCF"/>
    <w:rsid w:val="00E3422F"/>
    <w:rsid w:val="00E3434E"/>
    <w:rsid w:val="00E3440C"/>
    <w:rsid w:val="00E34453"/>
    <w:rsid w:val="00E3446A"/>
    <w:rsid w:val="00E345E4"/>
    <w:rsid w:val="00E34B6A"/>
    <w:rsid w:val="00E34CEF"/>
    <w:rsid w:val="00E34D61"/>
    <w:rsid w:val="00E34E3F"/>
    <w:rsid w:val="00E350BB"/>
    <w:rsid w:val="00E35399"/>
    <w:rsid w:val="00E355DC"/>
    <w:rsid w:val="00E3583B"/>
    <w:rsid w:val="00E358FD"/>
    <w:rsid w:val="00E35DD3"/>
    <w:rsid w:val="00E36429"/>
    <w:rsid w:val="00E3689C"/>
    <w:rsid w:val="00E36937"/>
    <w:rsid w:val="00E36940"/>
    <w:rsid w:val="00E36FFF"/>
    <w:rsid w:val="00E37146"/>
    <w:rsid w:val="00E3716E"/>
    <w:rsid w:val="00E371F8"/>
    <w:rsid w:val="00E37505"/>
    <w:rsid w:val="00E375AB"/>
    <w:rsid w:val="00E376E9"/>
    <w:rsid w:val="00E37709"/>
    <w:rsid w:val="00E37877"/>
    <w:rsid w:val="00E37960"/>
    <w:rsid w:val="00E379BA"/>
    <w:rsid w:val="00E37B6E"/>
    <w:rsid w:val="00E37CEC"/>
    <w:rsid w:val="00E37E0D"/>
    <w:rsid w:val="00E40034"/>
    <w:rsid w:val="00E40129"/>
    <w:rsid w:val="00E4038E"/>
    <w:rsid w:val="00E4063B"/>
    <w:rsid w:val="00E40769"/>
    <w:rsid w:val="00E40835"/>
    <w:rsid w:val="00E4083E"/>
    <w:rsid w:val="00E409C4"/>
    <w:rsid w:val="00E409D7"/>
    <w:rsid w:val="00E40A79"/>
    <w:rsid w:val="00E40C63"/>
    <w:rsid w:val="00E40CCD"/>
    <w:rsid w:val="00E40EBD"/>
    <w:rsid w:val="00E40F03"/>
    <w:rsid w:val="00E40FE1"/>
    <w:rsid w:val="00E411B0"/>
    <w:rsid w:val="00E4136D"/>
    <w:rsid w:val="00E41511"/>
    <w:rsid w:val="00E41571"/>
    <w:rsid w:val="00E417B5"/>
    <w:rsid w:val="00E41A5B"/>
    <w:rsid w:val="00E41B79"/>
    <w:rsid w:val="00E41BBF"/>
    <w:rsid w:val="00E424E9"/>
    <w:rsid w:val="00E426B2"/>
    <w:rsid w:val="00E42717"/>
    <w:rsid w:val="00E42729"/>
    <w:rsid w:val="00E428D3"/>
    <w:rsid w:val="00E42936"/>
    <w:rsid w:val="00E42D65"/>
    <w:rsid w:val="00E42D69"/>
    <w:rsid w:val="00E43172"/>
    <w:rsid w:val="00E43212"/>
    <w:rsid w:val="00E43323"/>
    <w:rsid w:val="00E43474"/>
    <w:rsid w:val="00E43678"/>
    <w:rsid w:val="00E436B5"/>
    <w:rsid w:val="00E43B58"/>
    <w:rsid w:val="00E43B76"/>
    <w:rsid w:val="00E43BBC"/>
    <w:rsid w:val="00E43C98"/>
    <w:rsid w:val="00E441E3"/>
    <w:rsid w:val="00E44225"/>
    <w:rsid w:val="00E4460D"/>
    <w:rsid w:val="00E44680"/>
    <w:rsid w:val="00E446D0"/>
    <w:rsid w:val="00E44727"/>
    <w:rsid w:val="00E44751"/>
    <w:rsid w:val="00E449BF"/>
    <w:rsid w:val="00E44A7D"/>
    <w:rsid w:val="00E44BB1"/>
    <w:rsid w:val="00E44C13"/>
    <w:rsid w:val="00E44EF9"/>
    <w:rsid w:val="00E44F8E"/>
    <w:rsid w:val="00E4508C"/>
    <w:rsid w:val="00E45279"/>
    <w:rsid w:val="00E45346"/>
    <w:rsid w:val="00E45450"/>
    <w:rsid w:val="00E45467"/>
    <w:rsid w:val="00E45A93"/>
    <w:rsid w:val="00E45AA2"/>
    <w:rsid w:val="00E45AFA"/>
    <w:rsid w:val="00E45BDC"/>
    <w:rsid w:val="00E45E02"/>
    <w:rsid w:val="00E45EF2"/>
    <w:rsid w:val="00E45F8E"/>
    <w:rsid w:val="00E46198"/>
    <w:rsid w:val="00E461E9"/>
    <w:rsid w:val="00E462F1"/>
    <w:rsid w:val="00E465D7"/>
    <w:rsid w:val="00E4683B"/>
    <w:rsid w:val="00E468F1"/>
    <w:rsid w:val="00E46ADF"/>
    <w:rsid w:val="00E46B65"/>
    <w:rsid w:val="00E46BB3"/>
    <w:rsid w:val="00E46C88"/>
    <w:rsid w:val="00E46E74"/>
    <w:rsid w:val="00E470E0"/>
    <w:rsid w:val="00E47148"/>
    <w:rsid w:val="00E471BE"/>
    <w:rsid w:val="00E4724A"/>
    <w:rsid w:val="00E472AA"/>
    <w:rsid w:val="00E4790A"/>
    <w:rsid w:val="00E47D91"/>
    <w:rsid w:val="00E47DC7"/>
    <w:rsid w:val="00E47E8A"/>
    <w:rsid w:val="00E47EF6"/>
    <w:rsid w:val="00E47EFA"/>
    <w:rsid w:val="00E5016D"/>
    <w:rsid w:val="00E50186"/>
    <w:rsid w:val="00E502D1"/>
    <w:rsid w:val="00E5045C"/>
    <w:rsid w:val="00E50541"/>
    <w:rsid w:val="00E50655"/>
    <w:rsid w:val="00E50879"/>
    <w:rsid w:val="00E50954"/>
    <w:rsid w:val="00E50A15"/>
    <w:rsid w:val="00E50BDC"/>
    <w:rsid w:val="00E50C71"/>
    <w:rsid w:val="00E50D29"/>
    <w:rsid w:val="00E50DA9"/>
    <w:rsid w:val="00E50E3B"/>
    <w:rsid w:val="00E50E57"/>
    <w:rsid w:val="00E50E7D"/>
    <w:rsid w:val="00E51395"/>
    <w:rsid w:val="00E515C0"/>
    <w:rsid w:val="00E518B8"/>
    <w:rsid w:val="00E51999"/>
    <w:rsid w:val="00E51ACA"/>
    <w:rsid w:val="00E51B15"/>
    <w:rsid w:val="00E51B7A"/>
    <w:rsid w:val="00E51B9C"/>
    <w:rsid w:val="00E51CDA"/>
    <w:rsid w:val="00E51DDC"/>
    <w:rsid w:val="00E52181"/>
    <w:rsid w:val="00E52264"/>
    <w:rsid w:val="00E5236E"/>
    <w:rsid w:val="00E523D1"/>
    <w:rsid w:val="00E524E1"/>
    <w:rsid w:val="00E52568"/>
    <w:rsid w:val="00E525BF"/>
    <w:rsid w:val="00E52672"/>
    <w:rsid w:val="00E527C7"/>
    <w:rsid w:val="00E52C40"/>
    <w:rsid w:val="00E53251"/>
    <w:rsid w:val="00E532A6"/>
    <w:rsid w:val="00E532AC"/>
    <w:rsid w:val="00E53565"/>
    <w:rsid w:val="00E53602"/>
    <w:rsid w:val="00E5364B"/>
    <w:rsid w:val="00E536F1"/>
    <w:rsid w:val="00E53C98"/>
    <w:rsid w:val="00E53EC0"/>
    <w:rsid w:val="00E53F38"/>
    <w:rsid w:val="00E5423A"/>
    <w:rsid w:val="00E54277"/>
    <w:rsid w:val="00E54336"/>
    <w:rsid w:val="00E543C4"/>
    <w:rsid w:val="00E546A8"/>
    <w:rsid w:val="00E546D9"/>
    <w:rsid w:val="00E547AD"/>
    <w:rsid w:val="00E5484C"/>
    <w:rsid w:val="00E54ABF"/>
    <w:rsid w:val="00E54CCC"/>
    <w:rsid w:val="00E54E15"/>
    <w:rsid w:val="00E54E71"/>
    <w:rsid w:val="00E54EC3"/>
    <w:rsid w:val="00E550A9"/>
    <w:rsid w:val="00E551F6"/>
    <w:rsid w:val="00E55250"/>
    <w:rsid w:val="00E55559"/>
    <w:rsid w:val="00E55591"/>
    <w:rsid w:val="00E5564E"/>
    <w:rsid w:val="00E5569B"/>
    <w:rsid w:val="00E5578E"/>
    <w:rsid w:val="00E557EA"/>
    <w:rsid w:val="00E5593E"/>
    <w:rsid w:val="00E55957"/>
    <w:rsid w:val="00E55A48"/>
    <w:rsid w:val="00E55A95"/>
    <w:rsid w:val="00E55AC3"/>
    <w:rsid w:val="00E55C5F"/>
    <w:rsid w:val="00E55D34"/>
    <w:rsid w:val="00E55E6C"/>
    <w:rsid w:val="00E56112"/>
    <w:rsid w:val="00E5617E"/>
    <w:rsid w:val="00E562BE"/>
    <w:rsid w:val="00E564A5"/>
    <w:rsid w:val="00E565A8"/>
    <w:rsid w:val="00E56737"/>
    <w:rsid w:val="00E567BA"/>
    <w:rsid w:val="00E56832"/>
    <w:rsid w:val="00E56B04"/>
    <w:rsid w:val="00E56E12"/>
    <w:rsid w:val="00E56E39"/>
    <w:rsid w:val="00E56F3A"/>
    <w:rsid w:val="00E56F70"/>
    <w:rsid w:val="00E57244"/>
    <w:rsid w:val="00E572EC"/>
    <w:rsid w:val="00E572F1"/>
    <w:rsid w:val="00E5732F"/>
    <w:rsid w:val="00E57796"/>
    <w:rsid w:val="00E578FB"/>
    <w:rsid w:val="00E57B37"/>
    <w:rsid w:val="00E57C26"/>
    <w:rsid w:val="00E57CCC"/>
    <w:rsid w:val="00E57DC0"/>
    <w:rsid w:val="00E57F56"/>
    <w:rsid w:val="00E6003C"/>
    <w:rsid w:val="00E602B4"/>
    <w:rsid w:val="00E6030A"/>
    <w:rsid w:val="00E6044C"/>
    <w:rsid w:val="00E605EB"/>
    <w:rsid w:val="00E60711"/>
    <w:rsid w:val="00E60C76"/>
    <w:rsid w:val="00E60CE0"/>
    <w:rsid w:val="00E60F14"/>
    <w:rsid w:val="00E60F6A"/>
    <w:rsid w:val="00E60F80"/>
    <w:rsid w:val="00E60FBC"/>
    <w:rsid w:val="00E6104B"/>
    <w:rsid w:val="00E611EA"/>
    <w:rsid w:val="00E6126E"/>
    <w:rsid w:val="00E614E9"/>
    <w:rsid w:val="00E61676"/>
    <w:rsid w:val="00E6170F"/>
    <w:rsid w:val="00E61816"/>
    <w:rsid w:val="00E61A65"/>
    <w:rsid w:val="00E61A8B"/>
    <w:rsid w:val="00E61CF6"/>
    <w:rsid w:val="00E61D89"/>
    <w:rsid w:val="00E61E07"/>
    <w:rsid w:val="00E61E3E"/>
    <w:rsid w:val="00E6213E"/>
    <w:rsid w:val="00E6227C"/>
    <w:rsid w:val="00E6261E"/>
    <w:rsid w:val="00E6276C"/>
    <w:rsid w:val="00E6293E"/>
    <w:rsid w:val="00E62995"/>
    <w:rsid w:val="00E6309D"/>
    <w:rsid w:val="00E63152"/>
    <w:rsid w:val="00E631A1"/>
    <w:rsid w:val="00E6331D"/>
    <w:rsid w:val="00E6331E"/>
    <w:rsid w:val="00E633C7"/>
    <w:rsid w:val="00E63451"/>
    <w:rsid w:val="00E634A5"/>
    <w:rsid w:val="00E634F5"/>
    <w:rsid w:val="00E63729"/>
    <w:rsid w:val="00E63776"/>
    <w:rsid w:val="00E63783"/>
    <w:rsid w:val="00E63808"/>
    <w:rsid w:val="00E63A70"/>
    <w:rsid w:val="00E63DEF"/>
    <w:rsid w:val="00E63E25"/>
    <w:rsid w:val="00E63EFB"/>
    <w:rsid w:val="00E63F26"/>
    <w:rsid w:val="00E63FA2"/>
    <w:rsid w:val="00E642EE"/>
    <w:rsid w:val="00E6430A"/>
    <w:rsid w:val="00E64350"/>
    <w:rsid w:val="00E6464C"/>
    <w:rsid w:val="00E649DF"/>
    <w:rsid w:val="00E64B34"/>
    <w:rsid w:val="00E64BD4"/>
    <w:rsid w:val="00E64C32"/>
    <w:rsid w:val="00E64CF4"/>
    <w:rsid w:val="00E6516C"/>
    <w:rsid w:val="00E65177"/>
    <w:rsid w:val="00E651B9"/>
    <w:rsid w:val="00E652A1"/>
    <w:rsid w:val="00E653E0"/>
    <w:rsid w:val="00E65418"/>
    <w:rsid w:val="00E65497"/>
    <w:rsid w:val="00E655DA"/>
    <w:rsid w:val="00E6560C"/>
    <w:rsid w:val="00E65660"/>
    <w:rsid w:val="00E65704"/>
    <w:rsid w:val="00E6574F"/>
    <w:rsid w:val="00E65803"/>
    <w:rsid w:val="00E65840"/>
    <w:rsid w:val="00E6593B"/>
    <w:rsid w:val="00E65943"/>
    <w:rsid w:val="00E65A15"/>
    <w:rsid w:val="00E65A9C"/>
    <w:rsid w:val="00E65B25"/>
    <w:rsid w:val="00E65BA7"/>
    <w:rsid w:val="00E65BC4"/>
    <w:rsid w:val="00E65EC4"/>
    <w:rsid w:val="00E65EF3"/>
    <w:rsid w:val="00E660E4"/>
    <w:rsid w:val="00E66193"/>
    <w:rsid w:val="00E661A5"/>
    <w:rsid w:val="00E661C0"/>
    <w:rsid w:val="00E661FB"/>
    <w:rsid w:val="00E6630C"/>
    <w:rsid w:val="00E66510"/>
    <w:rsid w:val="00E66702"/>
    <w:rsid w:val="00E66739"/>
    <w:rsid w:val="00E6687C"/>
    <w:rsid w:val="00E66920"/>
    <w:rsid w:val="00E66B9C"/>
    <w:rsid w:val="00E66BDA"/>
    <w:rsid w:val="00E66ED2"/>
    <w:rsid w:val="00E66F6B"/>
    <w:rsid w:val="00E66F76"/>
    <w:rsid w:val="00E66F8F"/>
    <w:rsid w:val="00E66FDE"/>
    <w:rsid w:val="00E6715D"/>
    <w:rsid w:val="00E6734B"/>
    <w:rsid w:val="00E6762E"/>
    <w:rsid w:val="00E67ABF"/>
    <w:rsid w:val="00E67CD7"/>
    <w:rsid w:val="00E67D2A"/>
    <w:rsid w:val="00E67D91"/>
    <w:rsid w:val="00E67DD3"/>
    <w:rsid w:val="00E67E9C"/>
    <w:rsid w:val="00E67EF0"/>
    <w:rsid w:val="00E7000B"/>
    <w:rsid w:val="00E704AD"/>
    <w:rsid w:val="00E704FE"/>
    <w:rsid w:val="00E7072A"/>
    <w:rsid w:val="00E707CF"/>
    <w:rsid w:val="00E7086B"/>
    <w:rsid w:val="00E7090D"/>
    <w:rsid w:val="00E70B7B"/>
    <w:rsid w:val="00E70D1F"/>
    <w:rsid w:val="00E70D22"/>
    <w:rsid w:val="00E70E64"/>
    <w:rsid w:val="00E70E9B"/>
    <w:rsid w:val="00E70EB6"/>
    <w:rsid w:val="00E7134B"/>
    <w:rsid w:val="00E713C6"/>
    <w:rsid w:val="00E716E4"/>
    <w:rsid w:val="00E71743"/>
    <w:rsid w:val="00E71898"/>
    <w:rsid w:val="00E71E7E"/>
    <w:rsid w:val="00E71EC6"/>
    <w:rsid w:val="00E71EC7"/>
    <w:rsid w:val="00E71FEF"/>
    <w:rsid w:val="00E72015"/>
    <w:rsid w:val="00E7204F"/>
    <w:rsid w:val="00E72159"/>
    <w:rsid w:val="00E721B8"/>
    <w:rsid w:val="00E7221F"/>
    <w:rsid w:val="00E724A5"/>
    <w:rsid w:val="00E724EC"/>
    <w:rsid w:val="00E7255F"/>
    <w:rsid w:val="00E7257D"/>
    <w:rsid w:val="00E7298A"/>
    <w:rsid w:val="00E72A45"/>
    <w:rsid w:val="00E72AC8"/>
    <w:rsid w:val="00E72BB3"/>
    <w:rsid w:val="00E72C79"/>
    <w:rsid w:val="00E72CED"/>
    <w:rsid w:val="00E72D9F"/>
    <w:rsid w:val="00E72DFB"/>
    <w:rsid w:val="00E72ED8"/>
    <w:rsid w:val="00E72F02"/>
    <w:rsid w:val="00E72FD1"/>
    <w:rsid w:val="00E73051"/>
    <w:rsid w:val="00E73249"/>
    <w:rsid w:val="00E7325C"/>
    <w:rsid w:val="00E733DC"/>
    <w:rsid w:val="00E73671"/>
    <w:rsid w:val="00E73891"/>
    <w:rsid w:val="00E73984"/>
    <w:rsid w:val="00E73B93"/>
    <w:rsid w:val="00E73C73"/>
    <w:rsid w:val="00E73D68"/>
    <w:rsid w:val="00E73DAC"/>
    <w:rsid w:val="00E73DF1"/>
    <w:rsid w:val="00E73ECC"/>
    <w:rsid w:val="00E73EFB"/>
    <w:rsid w:val="00E74292"/>
    <w:rsid w:val="00E74352"/>
    <w:rsid w:val="00E745A0"/>
    <w:rsid w:val="00E7481D"/>
    <w:rsid w:val="00E74891"/>
    <w:rsid w:val="00E74E76"/>
    <w:rsid w:val="00E74EED"/>
    <w:rsid w:val="00E74F35"/>
    <w:rsid w:val="00E74F46"/>
    <w:rsid w:val="00E750CB"/>
    <w:rsid w:val="00E750E4"/>
    <w:rsid w:val="00E75270"/>
    <w:rsid w:val="00E75271"/>
    <w:rsid w:val="00E755AC"/>
    <w:rsid w:val="00E75833"/>
    <w:rsid w:val="00E759BE"/>
    <w:rsid w:val="00E75C4D"/>
    <w:rsid w:val="00E75E40"/>
    <w:rsid w:val="00E761AE"/>
    <w:rsid w:val="00E761DA"/>
    <w:rsid w:val="00E76399"/>
    <w:rsid w:val="00E7652E"/>
    <w:rsid w:val="00E766FB"/>
    <w:rsid w:val="00E76954"/>
    <w:rsid w:val="00E76A93"/>
    <w:rsid w:val="00E76AF0"/>
    <w:rsid w:val="00E76B2C"/>
    <w:rsid w:val="00E77169"/>
    <w:rsid w:val="00E771F4"/>
    <w:rsid w:val="00E77256"/>
    <w:rsid w:val="00E7738E"/>
    <w:rsid w:val="00E7743A"/>
    <w:rsid w:val="00E7760F"/>
    <w:rsid w:val="00E77A51"/>
    <w:rsid w:val="00E77CC6"/>
    <w:rsid w:val="00E77CD9"/>
    <w:rsid w:val="00E77D2E"/>
    <w:rsid w:val="00E8014E"/>
    <w:rsid w:val="00E80166"/>
    <w:rsid w:val="00E8029E"/>
    <w:rsid w:val="00E803AD"/>
    <w:rsid w:val="00E805CC"/>
    <w:rsid w:val="00E80694"/>
    <w:rsid w:val="00E80711"/>
    <w:rsid w:val="00E80828"/>
    <w:rsid w:val="00E8085B"/>
    <w:rsid w:val="00E80949"/>
    <w:rsid w:val="00E80C86"/>
    <w:rsid w:val="00E80E78"/>
    <w:rsid w:val="00E80F37"/>
    <w:rsid w:val="00E80F71"/>
    <w:rsid w:val="00E80F8A"/>
    <w:rsid w:val="00E810DF"/>
    <w:rsid w:val="00E815D0"/>
    <w:rsid w:val="00E815D3"/>
    <w:rsid w:val="00E816BA"/>
    <w:rsid w:val="00E81754"/>
    <w:rsid w:val="00E81816"/>
    <w:rsid w:val="00E81825"/>
    <w:rsid w:val="00E818BA"/>
    <w:rsid w:val="00E818BD"/>
    <w:rsid w:val="00E819B4"/>
    <w:rsid w:val="00E81B98"/>
    <w:rsid w:val="00E81C1C"/>
    <w:rsid w:val="00E82185"/>
    <w:rsid w:val="00E82299"/>
    <w:rsid w:val="00E822CC"/>
    <w:rsid w:val="00E82351"/>
    <w:rsid w:val="00E824B9"/>
    <w:rsid w:val="00E82617"/>
    <w:rsid w:val="00E82A90"/>
    <w:rsid w:val="00E82ABD"/>
    <w:rsid w:val="00E82CA5"/>
    <w:rsid w:val="00E82E9F"/>
    <w:rsid w:val="00E82FA1"/>
    <w:rsid w:val="00E83110"/>
    <w:rsid w:val="00E83165"/>
    <w:rsid w:val="00E83300"/>
    <w:rsid w:val="00E83318"/>
    <w:rsid w:val="00E83541"/>
    <w:rsid w:val="00E83574"/>
    <w:rsid w:val="00E835C9"/>
    <w:rsid w:val="00E8373F"/>
    <w:rsid w:val="00E8375E"/>
    <w:rsid w:val="00E83A5D"/>
    <w:rsid w:val="00E83A9F"/>
    <w:rsid w:val="00E83C37"/>
    <w:rsid w:val="00E83C7F"/>
    <w:rsid w:val="00E83CD0"/>
    <w:rsid w:val="00E83DDC"/>
    <w:rsid w:val="00E83E91"/>
    <w:rsid w:val="00E840EA"/>
    <w:rsid w:val="00E8417A"/>
    <w:rsid w:val="00E8422C"/>
    <w:rsid w:val="00E8429E"/>
    <w:rsid w:val="00E842FC"/>
    <w:rsid w:val="00E84528"/>
    <w:rsid w:val="00E845F2"/>
    <w:rsid w:val="00E8472A"/>
    <w:rsid w:val="00E847DD"/>
    <w:rsid w:val="00E849AD"/>
    <w:rsid w:val="00E84A66"/>
    <w:rsid w:val="00E84A6F"/>
    <w:rsid w:val="00E84B51"/>
    <w:rsid w:val="00E84C00"/>
    <w:rsid w:val="00E84CF0"/>
    <w:rsid w:val="00E84CF6"/>
    <w:rsid w:val="00E84E2D"/>
    <w:rsid w:val="00E85037"/>
    <w:rsid w:val="00E850BE"/>
    <w:rsid w:val="00E8513C"/>
    <w:rsid w:val="00E8520F"/>
    <w:rsid w:val="00E855C6"/>
    <w:rsid w:val="00E85AF0"/>
    <w:rsid w:val="00E85C0A"/>
    <w:rsid w:val="00E85D04"/>
    <w:rsid w:val="00E8608B"/>
    <w:rsid w:val="00E861A8"/>
    <w:rsid w:val="00E861BC"/>
    <w:rsid w:val="00E86229"/>
    <w:rsid w:val="00E86415"/>
    <w:rsid w:val="00E8668C"/>
    <w:rsid w:val="00E8690B"/>
    <w:rsid w:val="00E86AD0"/>
    <w:rsid w:val="00E86C39"/>
    <w:rsid w:val="00E86C89"/>
    <w:rsid w:val="00E86D2D"/>
    <w:rsid w:val="00E86F82"/>
    <w:rsid w:val="00E87077"/>
    <w:rsid w:val="00E870AE"/>
    <w:rsid w:val="00E870EF"/>
    <w:rsid w:val="00E8726A"/>
    <w:rsid w:val="00E872C2"/>
    <w:rsid w:val="00E87330"/>
    <w:rsid w:val="00E87629"/>
    <w:rsid w:val="00E87D03"/>
    <w:rsid w:val="00E87E36"/>
    <w:rsid w:val="00E87EC0"/>
    <w:rsid w:val="00E9000C"/>
    <w:rsid w:val="00E90439"/>
    <w:rsid w:val="00E9048E"/>
    <w:rsid w:val="00E90527"/>
    <w:rsid w:val="00E90550"/>
    <w:rsid w:val="00E90563"/>
    <w:rsid w:val="00E909A1"/>
    <w:rsid w:val="00E909EF"/>
    <w:rsid w:val="00E916DB"/>
    <w:rsid w:val="00E91787"/>
    <w:rsid w:val="00E918A2"/>
    <w:rsid w:val="00E918C2"/>
    <w:rsid w:val="00E91C32"/>
    <w:rsid w:val="00E91D0F"/>
    <w:rsid w:val="00E91FDF"/>
    <w:rsid w:val="00E9204E"/>
    <w:rsid w:val="00E9205E"/>
    <w:rsid w:val="00E920F9"/>
    <w:rsid w:val="00E92419"/>
    <w:rsid w:val="00E92570"/>
    <w:rsid w:val="00E9262E"/>
    <w:rsid w:val="00E926B7"/>
    <w:rsid w:val="00E9273C"/>
    <w:rsid w:val="00E928D1"/>
    <w:rsid w:val="00E92906"/>
    <w:rsid w:val="00E92A20"/>
    <w:rsid w:val="00E92A28"/>
    <w:rsid w:val="00E92A67"/>
    <w:rsid w:val="00E92AB8"/>
    <w:rsid w:val="00E92AC6"/>
    <w:rsid w:val="00E92AF6"/>
    <w:rsid w:val="00E92B04"/>
    <w:rsid w:val="00E92EBB"/>
    <w:rsid w:val="00E92F1C"/>
    <w:rsid w:val="00E92FA1"/>
    <w:rsid w:val="00E9305D"/>
    <w:rsid w:val="00E930AE"/>
    <w:rsid w:val="00E931B1"/>
    <w:rsid w:val="00E93312"/>
    <w:rsid w:val="00E93498"/>
    <w:rsid w:val="00E935A3"/>
    <w:rsid w:val="00E93671"/>
    <w:rsid w:val="00E936CF"/>
    <w:rsid w:val="00E93762"/>
    <w:rsid w:val="00E9383E"/>
    <w:rsid w:val="00E93A15"/>
    <w:rsid w:val="00E93A2F"/>
    <w:rsid w:val="00E93B29"/>
    <w:rsid w:val="00E93F60"/>
    <w:rsid w:val="00E93FA2"/>
    <w:rsid w:val="00E93FC9"/>
    <w:rsid w:val="00E94050"/>
    <w:rsid w:val="00E94175"/>
    <w:rsid w:val="00E941E2"/>
    <w:rsid w:val="00E9432C"/>
    <w:rsid w:val="00E94400"/>
    <w:rsid w:val="00E944A5"/>
    <w:rsid w:val="00E946B5"/>
    <w:rsid w:val="00E947CE"/>
    <w:rsid w:val="00E948DA"/>
    <w:rsid w:val="00E948DF"/>
    <w:rsid w:val="00E94A7B"/>
    <w:rsid w:val="00E94D09"/>
    <w:rsid w:val="00E94DFB"/>
    <w:rsid w:val="00E950C6"/>
    <w:rsid w:val="00E9532A"/>
    <w:rsid w:val="00E955CB"/>
    <w:rsid w:val="00E95AA8"/>
    <w:rsid w:val="00E95B43"/>
    <w:rsid w:val="00E95C97"/>
    <w:rsid w:val="00E95EEE"/>
    <w:rsid w:val="00E95F7E"/>
    <w:rsid w:val="00E9601A"/>
    <w:rsid w:val="00E960E2"/>
    <w:rsid w:val="00E9622D"/>
    <w:rsid w:val="00E96420"/>
    <w:rsid w:val="00E965BC"/>
    <w:rsid w:val="00E96684"/>
    <w:rsid w:val="00E966CB"/>
    <w:rsid w:val="00E96716"/>
    <w:rsid w:val="00E967AC"/>
    <w:rsid w:val="00E96830"/>
    <w:rsid w:val="00E9689A"/>
    <w:rsid w:val="00E968B1"/>
    <w:rsid w:val="00E96903"/>
    <w:rsid w:val="00E96992"/>
    <w:rsid w:val="00E96A70"/>
    <w:rsid w:val="00E96BC7"/>
    <w:rsid w:val="00E96C4B"/>
    <w:rsid w:val="00E96DB2"/>
    <w:rsid w:val="00E96E52"/>
    <w:rsid w:val="00E97040"/>
    <w:rsid w:val="00E97614"/>
    <w:rsid w:val="00E97761"/>
    <w:rsid w:val="00E97807"/>
    <w:rsid w:val="00E978D4"/>
    <w:rsid w:val="00E979B3"/>
    <w:rsid w:val="00E979CF"/>
    <w:rsid w:val="00E97A4A"/>
    <w:rsid w:val="00E97B3E"/>
    <w:rsid w:val="00E97BEE"/>
    <w:rsid w:val="00E97DDB"/>
    <w:rsid w:val="00E97ECC"/>
    <w:rsid w:val="00EA0130"/>
    <w:rsid w:val="00EA0310"/>
    <w:rsid w:val="00EA060B"/>
    <w:rsid w:val="00EA0A9E"/>
    <w:rsid w:val="00EA0AEF"/>
    <w:rsid w:val="00EA0CEA"/>
    <w:rsid w:val="00EA0F5A"/>
    <w:rsid w:val="00EA0F93"/>
    <w:rsid w:val="00EA12D0"/>
    <w:rsid w:val="00EA1406"/>
    <w:rsid w:val="00EA1630"/>
    <w:rsid w:val="00EA1C4C"/>
    <w:rsid w:val="00EA1CCB"/>
    <w:rsid w:val="00EA1F22"/>
    <w:rsid w:val="00EA21E2"/>
    <w:rsid w:val="00EA22EA"/>
    <w:rsid w:val="00EA2404"/>
    <w:rsid w:val="00EA29B0"/>
    <w:rsid w:val="00EA29D0"/>
    <w:rsid w:val="00EA2A44"/>
    <w:rsid w:val="00EA2D9B"/>
    <w:rsid w:val="00EA2E0D"/>
    <w:rsid w:val="00EA2E7C"/>
    <w:rsid w:val="00EA2FEF"/>
    <w:rsid w:val="00EA30FE"/>
    <w:rsid w:val="00EA3216"/>
    <w:rsid w:val="00EA3284"/>
    <w:rsid w:val="00EA328C"/>
    <w:rsid w:val="00EA32AE"/>
    <w:rsid w:val="00EA333C"/>
    <w:rsid w:val="00EA34BA"/>
    <w:rsid w:val="00EA351A"/>
    <w:rsid w:val="00EA3544"/>
    <w:rsid w:val="00EA35EC"/>
    <w:rsid w:val="00EA36CB"/>
    <w:rsid w:val="00EA390C"/>
    <w:rsid w:val="00EA3A93"/>
    <w:rsid w:val="00EA3B4B"/>
    <w:rsid w:val="00EA3CD1"/>
    <w:rsid w:val="00EA3F9E"/>
    <w:rsid w:val="00EA4061"/>
    <w:rsid w:val="00EA419E"/>
    <w:rsid w:val="00EA4221"/>
    <w:rsid w:val="00EA423F"/>
    <w:rsid w:val="00EA42BA"/>
    <w:rsid w:val="00EA44A9"/>
    <w:rsid w:val="00EA44B5"/>
    <w:rsid w:val="00EA4551"/>
    <w:rsid w:val="00EA4562"/>
    <w:rsid w:val="00EA4603"/>
    <w:rsid w:val="00EA4943"/>
    <w:rsid w:val="00EA4A64"/>
    <w:rsid w:val="00EA4AA5"/>
    <w:rsid w:val="00EA4AE2"/>
    <w:rsid w:val="00EA4B01"/>
    <w:rsid w:val="00EA4CCB"/>
    <w:rsid w:val="00EA4EC5"/>
    <w:rsid w:val="00EA5072"/>
    <w:rsid w:val="00EA507C"/>
    <w:rsid w:val="00EA51EF"/>
    <w:rsid w:val="00EA5258"/>
    <w:rsid w:val="00EA52E9"/>
    <w:rsid w:val="00EA55C0"/>
    <w:rsid w:val="00EA567B"/>
    <w:rsid w:val="00EA56AE"/>
    <w:rsid w:val="00EA56D7"/>
    <w:rsid w:val="00EA5704"/>
    <w:rsid w:val="00EA57EE"/>
    <w:rsid w:val="00EA5897"/>
    <w:rsid w:val="00EA5927"/>
    <w:rsid w:val="00EA5C84"/>
    <w:rsid w:val="00EA5CDE"/>
    <w:rsid w:val="00EA5D84"/>
    <w:rsid w:val="00EA5E08"/>
    <w:rsid w:val="00EA60B7"/>
    <w:rsid w:val="00EA6123"/>
    <w:rsid w:val="00EA6188"/>
    <w:rsid w:val="00EA63C2"/>
    <w:rsid w:val="00EA63D2"/>
    <w:rsid w:val="00EA64F7"/>
    <w:rsid w:val="00EA6507"/>
    <w:rsid w:val="00EA6782"/>
    <w:rsid w:val="00EA694E"/>
    <w:rsid w:val="00EA69A9"/>
    <w:rsid w:val="00EA6CC8"/>
    <w:rsid w:val="00EA6D76"/>
    <w:rsid w:val="00EA6ED7"/>
    <w:rsid w:val="00EA6EEA"/>
    <w:rsid w:val="00EA70A6"/>
    <w:rsid w:val="00EA7353"/>
    <w:rsid w:val="00EA74EE"/>
    <w:rsid w:val="00EA75C5"/>
    <w:rsid w:val="00EA7697"/>
    <w:rsid w:val="00EA7745"/>
    <w:rsid w:val="00EA7B52"/>
    <w:rsid w:val="00EA7C40"/>
    <w:rsid w:val="00EA7CFA"/>
    <w:rsid w:val="00EA7F50"/>
    <w:rsid w:val="00EB003A"/>
    <w:rsid w:val="00EB0090"/>
    <w:rsid w:val="00EB0490"/>
    <w:rsid w:val="00EB079F"/>
    <w:rsid w:val="00EB0825"/>
    <w:rsid w:val="00EB0E2D"/>
    <w:rsid w:val="00EB14E6"/>
    <w:rsid w:val="00EB151F"/>
    <w:rsid w:val="00EB15EA"/>
    <w:rsid w:val="00EB162C"/>
    <w:rsid w:val="00EB1983"/>
    <w:rsid w:val="00EB1A96"/>
    <w:rsid w:val="00EB1B10"/>
    <w:rsid w:val="00EB1B96"/>
    <w:rsid w:val="00EB1C56"/>
    <w:rsid w:val="00EB1D53"/>
    <w:rsid w:val="00EB1E71"/>
    <w:rsid w:val="00EB1F8D"/>
    <w:rsid w:val="00EB21AE"/>
    <w:rsid w:val="00EB2673"/>
    <w:rsid w:val="00EB2941"/>
    <w:rsid w:val="00EB29F2"/>
    <w:rsid w:val="00EB2C4F"/>
    <w:rsid w:val="00EB3125"/>
    <w:rsid w:val="00EB3211"/>
    <w:rsid w:val="00EB32AA"/>
    <w:rsid w:val="00EB370B"/>
    <w:rsid w:val="00EB3C84"/>
    <w:rsid w:val="00EB3CC4"/>
    <w:rsid w:val="00EB3D75"/>
    <w:rsid w:val="00EB3F7D"/>
    <w:rsid w:val="00EB401E"/>
    <w:rsid w:val="00EB4070"/>
    <w:rsid w:val="00EB414D"/>
    <w:rsid w:val="00EB430B"/>
    <w:rsid w:val="00EB43D1"/>
    <w:rsid w:val="00EB44BC"/>
    <w:rsid w:val="00EB45A3"/>
    <w:rsid w:val="00EB45B6"/>
    <w:rsid w:val="00EB483D"/>
    <w:rsid w:val="00EB48B2"/>
    <w:rsid w:val="00EB48D2"/>
    <w:rsid w:val="00EB48EC"/>
    <w:rsid w:val="00EB494D"/>
    <w:rsid w:val="00EB4A16"/>
    <w:rsid w:val="00EB4B75"/>
    <w:rsid w:val="00EB4BC8"/>
    <w:rsid w:val="00EB4BDB"/>
    <w:rsid w:val="00EB5333"/>
    <w:rsid w:val="00EB54A7"/>
    <w:rsid w:val="00EB5502"/>
    <w:rsid w:val="00EB58AB"/>
    <w:rsid w:val="00EB5994"/>
    <w:rsid w:val="00EB59BC"/>
    <w:rsid w:val="00EB59DB"/>
    <w:rsid w:val="00EB5A07"/>
    <w:rsid w:val="00EB5C7C"/>
    <w:rsid w:val="00EB5CE3"/>
    <w:rsid w:val="00EB5DE1"/>
    <w:rsid w:val="00EB5E5F"/>
    <w:rsid w:val="00EB5FBE"/>
    <w:rsid w:val="00EB6099"/>
    <w:rsid w:val="00EB6277"/>
    <w:rsid w:val="00EB62E6"/>
    <w:rsid w:val="00EB634A"/>
    <w:rsid w:val="00EB6714"/>
    <w:rsid w:val="00EB6721"/>
    <w:rsid w:val="00EB6798"/>
    <w:rsid w:val="00EB6876"/>
    <w:rsid w:val="00EB6AF2"/>
    <w:rsid w:val="00EB6F0B"/>
    <w:rsid w:val="00EB6FFA"/>
    <w:rsid w:val="00EB723D"/>
    <w:rsid w:val="00EB7340"/>
    <w:rsid w:val="00EB7390"/>
    <w:rsid w:val="00EB749C"/>
    <w:rsid w:val="00EB76C2"/>
    <w:rsid w:val="00EB76ED"/>
    <w:rsid w:val="00EB772B"/>
    <w:rsid w:val="00EB7734"/>
    <w:rsid w:val="00EB7836"/>
    <w:rsid w:val="00EB78D2"/>
    <w:rsid w:val="00EB7BCC"/>
    <w:rsid w:val="00EB7CF5"/>
    <w:rsid w:val="00EB7DE6"/>
    <w:rsid w:val="00EB7DF6"/>
    <w:rsid w:val="00EB7E8E"/>
    <w:rsid w:val="00EC0025"/>
    <w:rsid w:val="00EC00F8"/>
    <w:rsid w:val="00EC010B"/>
    <w:rsid w:val="00EC0321"/>
    <w:rsid w:val="00EC04AA"/>
    <w:rsid w:val="00EC052C"/>
    <w:rsid w:val="00EC0590"/>
    <w:rsid w:val="00EC0A9F"/>
    <w:rsid w:val="00EC0B37"/>
    <w:rsid w:val="00EC0BF5"/>
    <w:rsid w:val="00EC0C0C"/>
    <w:rsid w:val="00EC0D4F"/>
    <w:rsid w:val="00EC116A"/>
    <w:rsid w:val="00EC11BC"/>
    <w:rsid w:val="00EC140E"/>
    <w:rsid w:val="00EC14E1"/>
    <w:rsid w:val="00EC1599"/>
    <w:rsid w:val="00EC15CB"/>
    <w:rsid w:val="00EC15DC"/>
    <w:rsid w:val="00EC15FA"/>
    <w:rsid w:val="00EC1B82"/>
    <w:rsid w:val="00EC1CB9"/>
    <w:rsid w:val="00EC1D93"/>
    <w:rsid w:val="00EC1DF6"/>
    <w:rsid w:val="00EC2018"/>
    <w:rsid w:val="00EC239D"/>
    <w:rsid w:val="00EC2524"/>
    <w:rsid w:val="00EC2582"/>
    <w:rsid w:val="00EC25B5"/>
    <w:rsid w:val="00EC28AE"/>
    <w:rsid w:val="00EC2A72"/>
    <w:rsid w:val="00EC2B68"/>
    <w:rsid w:val="00EC2CB1"/>
    <w:rsid w:val="00EC2D87"/>
    <w:rsid w:val="00EC2F30"/>
    <w:rsid w:val="00EC2F98"/>
    <w:rsid w:val="00EC30CC"/>
    <w:rsid w:val="00EC3167"/>
    <w:rsid w:val="00EC317E"/>
    <w:rsid w:val="00EC353C"/>
    <w:rsid w:val="00EC3550"/>
    <w:rsid w:val="00EC35A9"/>
    <w:rsid w:val="00EC36E2"/>
    <w:rsid w:val="00EC3769"/>
    <w:rsid w:val="00EC3BDE"/>
    <w:rsid w:val="00EC3C3E"/>
    <w:rsid w:val="00EC3CEA"/>
    <w:rsid w:val="00EC3D34"/>
    <w:rsid w:val="00EC3FA6"/>
    <w:rsid w:val="00EC40B0"/>
    <w:rsid w:val="00EC419E"/>
    <w:rsid w:val="00EC4230"/>
    <w:rsid w:val="00EC431A"/>
    <w:rsid w:val="00EC4320"/>
    <w:rsid w:val="00EC4406"/>
    <w:rsid w:val="00EC453F"/>
    <w:rsid w:val="00EC454F"/>
    <w:rsid w:val="00EC474E"/>
    <w:rsid w:val="00EC4956"/>
    <w:rsid w:val="00EC4985"/>
    <w:rsid w:val="00EC4998"/>
    <w:rsid w:val="00EC49C9"/>
    <w:rsid w:val="00EC4A68"/>
    <w:rsid w:val="00EC4B66"/>
    <w:rsid w:val="00EC4F59"/>
    <w:rsid w:val="00EC50BE"/>
    <w:rsid w:val="00EC51B4"/>
    <w:rsid w:val="00EC5572"/>
    <w:rsid w:val="00EC5664"/>
    <w:rsid w:val="00EC572C"/>
    <w:rsid w:val="00EC574E"/>
    <w:rsid w:val="00EC5D91"/>
    <w:rsid w:val="00EC5EEF"/>
    <w:rsid w:val="00EC5EFB"/>
    <w:rsid w:val="00EC5F68"/>
    <w:rsid w:val="00EC6152"/>
    <w:rsid w:val="00EC6171"/>
    <w:rsid w:val="00EC62ED"/>
    <w:rsid w:val="00EC651F"/>
    <w:rsid w:val="00EC65B9"/>
    <w:rsid w:val="00EC65DD"/>
    <w:rsid w:val="00EC6819"/>
    <w:rsid w:val="00EC6CB6"/>
    <w:rsid w:val="00EC6F22"/>
    <w:rsid w:val="00EC6FF2"/>
    <w:rsid w:val="00EC7042"/>
    <w:rsid w:val="00EC7054"/>
    <w:rsid w:val="00EC71F3"/>
    <w:rsid w:val="00EC7208"/>
    <w:rsid w:val="00EC72BB"/>
    <w:rsid w:val="00EC7408"/>
    <w:rsid w:val="00EC74E0"/>
    <w:rsid w:val="00EC7697"/>
    <w:rsid w:val="00EC7771"/>
    <w:rsid w:val="00EC77A5"/>
    <w:rsid w:val="00EC78C5"/>
    <w:rsid w:val="00EC7ACE"/>
    <w:rsid w:val="00EC7B3D"/>
    <w:rsid w:val="00EC7D03"/>
    <w:rsid w:val="00EC7E5F"/>
    <w:rsid w:val="00EC7F6B"/>
    <w:rsid w:val="00EC7FE0"/>
    <w:rsid w:val="00ED00DE"/>
    <w:rsid w:val="00ED024B"/>
    <w:rsid w:val="00ED0423"/>
    <w:rsid w:val="00ED04F4"/>
    <w:rsid w:val="00ED0571"/>
    <w:rsid w:val="00ED07D8"/>
    <w:rsid w:val="00ED09B1"/>
    <w:rsid w:val="00ED0FED"/>
    <w:rsid w:val="00ED1055"/>
    <w:rsid w:val="00ED10D3"/>
    <w:rsid w:val="00ED1269"/>
    <w:rsid w:val="00ED12B8"/>
    <w:rsid w:val="00ED1430"/>
    <w:rsid w:val="00ED1486"/>
    <w:rsid w:val="00ED14A3"/>
    <w:rsid w:val="00ED1A23"/>
    <w:rsid w:val="00ED1B87"/>
    <w:rsid w:val="00ED1CE8"/>
    <w:rsid w:val="00ED1EA4"/>
    <w:rsid w:val="00ED24EB"/>
    <w:rsid w:val="00ED25BD"/>
    <w:rsid w:val="00ED28C1"/>
    <w:rsid w:val="00ED28DD"/>
    <w:rsid w:val="00ED2A4A"/>
    <w:rsid w:val="00ED2A6D"/>
    <w:rsid w:val="00ED2E4F"/>
    <w:rsid w:val="00ED2F20"/>
    <w:rsid w:val="00ED2FA1"/>
    <w:rsid w:val="00ED31B9"/>
    <w:rsid w:val="00ED33A9"/>
    <w:rsid w:val="00ED3522"/>
    <w:rsid w:val="00ED37EB"/>
    <w:rsid w:val="00ED3869"/>
    <w:rsid w:val="00ED3945"/>
    <w:rsid w:val="00ED3D0A"/>
    <w:rsid w:val="00ED3DF7"/>
    <w:rsid w:val="00ED3EC2"/>
    <w:rsid w:val="00ED3F3A"/>
    <w:rsid w:val="00ED4056"/>
    <w:rsid w:val="00ED4449"/>
    <w:rsid w:val="00ED45EF"/>
    <w:rsid w:val="00ED4844"/>
    <w:rsid w:val="00ED4961"/>
    <w:rsid w:val="00ED49DF"/>
    <w:rsid w:val="00ED4B5F"/>
    <w:rsid w:val="00ED4C97"/>
    <w:rsid w:val="00ED4F7A"/>
    <w:rsid w:val="00ED5019"/>
    <w:rsid w:val="00ED57A9"/>
    <w:rsid w:val="00ED593E"/>
    <w:rsid w:val="00ED5AF7"/>
    <w:rsid w:val="00ED5C2A"/>
    <w:rsid w:val="00ED5D0E"/>
    <w:rsid w:val="00ED5DD4"/>
    <w:rsid w:val="00ED5F11"/>
    <w:rsid w:val="00ED6292"/>
    <w:rsid w:val="00ED629E"/>
    <w:rsid w:val="00ED62A2"/>
    <w:rsid w:val="00ED63DF"/>
    <w:rsid w:val="00ED6495"/>
    <w:rsid w:val="00ED6754"/>
    <w:rsid w:val="00ED682A"/>
    <w:rsid w:val="00ED6868"/>
    <w:rsid w:val="00ED68DE"/>
    <w:rsid w:val="00ED68EE"/>
    <w:rsid w:val="00ED695D"/>
    <w:rsid w:val="00ED6C3E"/>
    <w:rsid w:val="00ED6C72"/>
    <w:rsid w:val="00ED6E52"/>
    <w:rsid w:val="00ED709F"/>
    <w:rsid w:val="00ED7247"/>
    <w:rsid w:val="00ED72D3"/>
    <w:rsid w:val="00ED7301"/>
    <w:rsid w:val="00ED77A7"/>
    <w:rsid w:val="00ED79A7"/>
    <w:rsid w:val="00ED79B4"/>
    <w:rsid w:val="00ED7B23"/>
    <w:rsid w:val="00ED7B32"/>
    <w:rsid w:val="00ED7B88"/>
    <w:rsid w:val="00ED7C6C"/>
    <w:rsid w:val="00ED7CC2"/>
    <w:rsid w:val="00ED7F20"/>
    <w:rsid w:val="00EE02D4"/>
    <w:rsid w:val="00EE0A42"/>
    <w:rsid w:val="00EE0AA5"/>
    <w:rsid w:val="00EE0D76"/>
    <w:rsid w:val="00EE0DF0"/>
    <w:rsid w:val="00EE0FCF"/>
    <w:rsid w:val="00EE10F7"/>
    <w:rsid w:val="00EE11D0"/>
    <w:rsid w:val="00EE151A"/>
    <w:rsid w:val="00EE1638"/>
    <w:rsid w:val="00EE1643"/>
    <w:rsid w:val="00EE17F9"/>
    <w:rsid w:val="00EE1960"/>
    <w:rsid w:val="00EE19E2"/>
    <w:rsid w:val="00EE1B27"/>
    <w:rsid w:val="00EE1BC5"/>
    <w:rsid w:val="00EE1D18"/>
    <w:rsid w:val="00EE1DC0"/>
    <w:rsid w:val="00EE21C4"/>
    <w:rsid w:val="00EE21F0"/>
    <w:rsid w:val="00EE2332"/>
    <w:rsid w:val="00EE23F3"/>
    <w:rsid w:val="00EE2465"/>
    <w:rsid w:val="00EE248D"/>
    <w:rsid w:val="00EE24E4"/>
    <w:rsid w:val="00EE251E"/>
    <w:rsid w:val="00EE2668"/>
    <w:rsid w:val="00EE286B"/>
    <w:rsid w:val="00EE28A6"/>
    <w:rsid w:val="00EE28BC"/>
    <w:rsid w:val="00EE2A10"/>
    <w:rsid w:val="00EE2C1C"/>
    <w:rsid w:val="00EE2C95"/>
    <w:rsid w:val="00EE3064"/>
    <w:rsid w:val="00EE307E"/>
    <w:rsid w:val="00EE3503"/>
    <w:rsid w:val="00EE355E"/>
    <w:rsid w:val="00EE357E"/>
    <w:rsid w:val="00EE3619"/>
    <w:rsid w:val="00EE37E0"/>
    <w:rsid w:val="00EE3C73"/>
    <w:rsid w:val="00EE3CAC"/>
    <w:rsid w:val="00EE3CDD"/>
    <w:rsid w:val="00EE3E57"/>
    <w:rsid w:val="00EE3FDB"/>
    <w:rsid w:val="00EE43A1"/>
    <w:rsid w:val="00EE4678"/>
    <w:rsid w:val="00EE4937"/>
    <w:rsid w:val="00EE49B1"/>
    <w:rsid w:val="00EE4A6A"/>
    <w:rsid w:val="00EE4B6A"/>
    <w:rsid w:val="00EE4BD8"/>
    <w:rsid w:val="00EE4CC3"/>
    <w:rsid w:val="00EE4CCD"/>
    <w:rsid w:val="00EE4CF5"/>
    <w:rsid w:val="00EE4D15"/>
    <w:rsid w:val="00EE4E86"/>
    <w:rsid w:val="00EE4F8F"/>
    <w:rsid w:val="00EE5063"/>
    <w:rsid w:val="00EE50B9"/>
    <w:rsid w:val="00EE52AB"/>
    <w:rsid w:val="00EE534A"/>
    <w:rsid w:val="00EE5487"/>
    <w:rsid w:val="00EE555C"/>
    <w:rsid w:val="00EE5714"/>
    <w:rsid w:val="00EE571A"/>
    <w:rsid w:val="00EE5757"/>
    <w:rsid w:val="00EE5995"/>
    <w:rsid w:val="00EE5B8B"/>
    <w:rsid w:val="00EE5BF9"/>
    <w:rsid w:val="00EE5DC6"/>
    <w:rsid w:val="00EE5DCB"/>
    <w:rsid w:val="00EE5E11"/>
    <w:rsid w:val="00EE5E63"/>
    <w:rsid w:val="00EE6017"/>
    <w:rsid w:val="00EE658B"/>
    <w:rsid w:val="00EE66AE"/>
    <w:rsid w:val="00EE676D"/>
    <w:rsid w:val="00EE6941"/>
    <w:rsid w:val="00EE698C"/>
    <w:rsid w:val="00EE6A4E"/>
    <w:rsid w:val="00EE6AD9"/>
    <w:rsid w:val="00EE6D76"/>
    <w:rsid w:val="00EE6EA1"/>
    <w:rsid w:val="00EE6EFE"/>
    <w:rsid w:val="00EE6FE5"/>
    <w:rsid w:val="00EE6FF8"/>
    <w:rsid w:val="00EE705E"/>
    <w:rsid w:val="00EE724A"/>
    <w:rsid w:val="00EE735A"/>
    <w:rsid w:val="00EE75B2"/>
    <w:rsid w:val="00EE764C"/>
    <w:rsid w:val="00EE77A3"/>
    <w:rsid w:val="00EE7AE6"/>
    <w:rsid w:val="00EE7D80"/>
    <w:rsid w:val="00EE7E06"/>
    <w:rsid w:val="00EE7F63"/>
    <w:rsid w:val="00EE7F7F"/>
    <w:rsid w:val="00EF0194"/>
    <w:rsid w:val="00EF0267"/>
    <w:rsid w:val="00EF029D"/>
    <w:rsid w:val="00EF03C6"/>
    <w:rsid w:val="00EF0471"/>
    <w:rsid w:val="00EF04C3"/>
    <w:rsid w:val="00EF07C8"/>
    <w:rsid w:val="00EF07E8"/>
    <w:rsid w:val="00EF0807"/>
    <w:rsid w:val="00EF0D9F"/>
    <w:rsid w:val="00EF0EE5"/>
    <w:rsid w:val="00EF1117"/>
    <w:rsid w:val="00EF1180"/>
    <w:rsid w:val="00EF13CB"/>
    <w:rsid w:val="00EF16B3"/>
    <w:rsid w:val="00EF1B18"/>
    <w:rsid w:val="00EF1D05"/>
    <w:rsid w:val="00EF1D37"/>
    <w:rsid w:val="00EF1E38"/>
    <w:rsid w:val="00EF1E66"/>
    <w:rsid w:val="00EF1FB7"/>
    <w:rsid w:val="00EF1FD7"/>
    <w:rsid w:val="00EF229A"/>
    <w:rsid w:val="00EF2441"/>
    <w:rsid w:val="00EF2651"/>
    <w:rsid w:val="00EF27AF"/>
    <w:rsid w:val="00EF29AE"/>
    <w:rsid w:val="00EF2B07"/>
    <w:rsid w:val="00EF2B8A"/>
    <w:rsid w:val="00EF2DA4"/>
    <w:rsid w:val="00EF32BA"/>
    <w:rsid w:val="00EF352A"/>
    <w:rsid w:val="00EF3628"/>
    <w:rsid w:val="00EF3934"/>
    <w:rsid w:val="00EF3A51"/>
    <w:rsid w:val="00EF3AB9"/>
    <w:rsid w:val="00EF3E95"/>
    <w:rsid w:val="00EF3FDD"/>
    <w:rsid w:val="00EF43D0"/>
    <w:rsid w:val="00EF45F0"/>
    <w:rsid w:val="00EF4681"/>
    <w:rsid w:val="00EF469F"/>
    <w:rsid w:val="00EF480E"/>
    <w:rsid w:val="00EF4A55"/>
    <w:rsid w:val="00EF4C99"/>
    <w:rsid w:val="00EF4D24"/>
    <w:rsid w:val="00EF53C4"/>
    <w:rsid w:val="00EF543C"/>
    <w:rsid w:val="00EF564B"/>
    <w:rsid w:val="00EF57AD"/>
    <w:rsid w:val="00EF5B18"/>
    <w:rsid w:val="00EF5D46"/>
    <w:rsid w:val="00EF5D7B"/>
    <w:rsid w:val="00EF6059"/>
    <w:rsid w:val="00EF6106"/>
    <w:rsid w:val="00EF6197"/>
    <w:rsid w:val="00EF6262"/>
    <w:rsid w:val="00EF657C"/>
    <w:rsid w:val="00EF65E8"/>
    <w:rsid w:val="00EF66F6"/>
    <w:rsid w:val="00EF672A"/>
    <w:rsid w:val="00EF6775"/>
    <w:rsid w:val="00EF67AE"/>
    <w:rsid w:val="00EF6A05"/>
    <w:rsid w:val="00EF6C49"/>
    <w:rsid w:val="00EF6D29"/>
    <w:rsid w:val="00EF6EFA"/>
    <w:rsid w:val="00EF711B"/>
    <w:rsid w:val="00EF7248"/>
    <w:rsid w:val="00EF732B"/>
    <w:rsid w:val="00EF741E"/>
    <w:rsid w:val="00EF7654"/>
    <w:rsid w:val="00EF77BC"/>
    <w:rsid w:val="00EF781F"/>
    <w:rsid w:val="00EF790F"/>
    <w:rsid w:val="00EF7C74"/>
    <w:rsid w:val="00EF7D7F"/>
    <w:rsid w:val="00F001FC"/>
    <w:rsid w:val="00F00355"/>
    <w:rsid w:val="00F00518"/>
    <w:rsid w:val="00F00577"/>
    <w:rsid w:val="00F00670"/>
    <w:rsid w:val="00F0094D"/>
    <w:rsid w:val="00F009FD"/>
    <w:rsid w:val="00F00B08"/>
    <w:rsid w:val="00F00C0F"/>
    <w:rsid w:val="00F00CB5"/>
    <w:rsid w:val="00F00CC1"/>
    <w:rsid w:val="00F00D16"/>
    <w:rsid w:val="00F010EB"/>
    <w:rsid w:val="00F014D7"/>
    <w:rsid w:val="00F016C9"/>
    <w:rsid w:val="00F018A3"/>
    <w:rsid w:val="00F018CB"/>
    <w:rsid w:val="00F019B9"/>
    <w:rsid w:val="00F019E0"/>
    <w:rsid w:val="00F01D4A"/>
    <w:rsid w:val="00F01D9C"/>
    <w:rsid w:val="00F01F64"/>
    <w:rsid w:val="00F02114"/>
    <w:rsid w:val="00F022DC"/>
    <w:rsid w:val="00F0264B"/>
    <w:rsid w:val="00F026B8"/>
    <w:rsid w:val="00F02735"/>
    <w:rsid w:val="00F028AF"/>
    <w:rsid w:val="00F028F2"/>
    <w:rsid w:val="00F02A65"/>
    <w:rsid w:val="00F02B97"/>
    <w:rsid w:val="00F02C3D"/>
    <w:rsid w:val="00F02CC0"/>
    <w:rsid w:val="00F02DFA"/>
    <w:rsid w:val="00F02FBD"/>
    <w:rsid w:val="00F031F4"/>
    <w:rsid w:val="00F03322"/>
    <w:rsid w:val="00F03334"/>
    <w:rsid w:val="00F0336B"/>
    <w:rsid w:val="00F0336D"/>
    <w:rsid w:val="00F033B9"/>
    <w:rsid w:val="00F03409"/>
    <w:rsid w:val="00F034C6"/>
    <w:rsid w:val="00F036BF"/>
    <w:rsid w:val="00F03E06"/>
    <w:rsid w:val="00F03EAE"/>
    <w:rsid w:val="00F04039"/>
    <w:rsid w:val="00F040EB"/>
    <w:rsid w:val="00F041FC"/>
    <w:rsid w:val="00F04368"/>
    <w:rsid w:val="00F044EC"/>
    <w:rsid w:val="00F045D8"/>
    <w:rsid w:val="00F04B08"/>
    <w:rsid w:val="00F04CC6"/>
    <w:rsid w:val="00F04D74"/>
    <w:rsid w:val="00F050C3"/>
    <w:rsid w:val="00F05180"/>
    <w:rsid w:val="00F051CE"/>
    <w:rsid w:val="00F05209"/>
    <w:rsid w:val="00F052F1"/>
    <w:rsid w:val="00F05517"/>
    <w:rsid w:val="00F056C7"/>
    <w:rsid w:val="00F05721"/>
    <w:rsid w:val="00F0586D"/>
    <w:rsid w:val="00F0589A"/>
    <w:rsid w:val="00F05984"/>
    <w:rsid w:val="00F05A20"/>
    <w:rsid w:val="00F05AC4"/>
    <w:rsid w:val="00F05C02"/>
    <w:rsid w:val="00F05EBB"/>
    <w:rsid w:val="00F05EEF"/>
    <w:rsid w:val="00F06245"/>
    <w:rsid w:val="00F062B4"/>
    <w:rsid w:val="00F062B8"/>
    <w:rsid w:val="00F06413"/>
    <w:rsid w:val="00F0645C"/>
    <w:rsid w:val="00F066C6"/>
    <w:rsid w:val="00F0682D"/>
    <w:rsid w:val="00F068A7"/>
    <w:rsid w:val="00F068D8"/>
    <w:rsid w:val="00F0694B"/>
    <w:rsid w:val="00F06A47"/>
    <w:rsid w:val="00F06AB5"/>
    <w:rsid w:val="00F06C2E"/>
    <w:rsid w:val="00F06D2C"/>
    <w:rsid w:val="00F06D75"/>
    <w:rsid w:val="00F06D7E"/>
    <w:rsid w:val="00F06E59"/>
    <w:rsid w:val="00F06F27"/>
    <w:rsid w:val="00F06F9A"/>
    <w:rsid w:val="00F0720A"/>
    <w:rsid w:val="00F072B7"/>
    <w:rsid w:val="00F073D6"/>
    <w:rsid w:val="00F07425"/>
    <w:rsid w:val="00F074E9"/>
    <w:rsid w:val="00F07575"/>
    <w:rsid w:val="00F07BEA"/>
    <w:rsid w:val="00F07C42"/>
    <w:rsid w:val="00F07CAA"/>
    <w:rsid w:val="00F07E09"/>
    <w:rsid w:val="00F07F82"/>
    <w:rsid w:val="00F07FA1"/>
    <w:rsid w:val="00F1004D"/>
    <w:rsid w:val="00F100D4"/>
    <w:rsid w:val="00F101DA"/>
    <w:rsid w:val="00F1020E"/>
    <w:rsid w:val="00F102B3"/>
    <w:rsid w:val="00F102DD"/>
    <w:rsid w:val="00F102F4"/>
    <w:rsid w:val="00F102F7"/>
    <w:rsid w:val="00F105C1"/>
    <w:rsid w:val="00F10753"/>
    <w:rsid w:val="00F1076F"/>
    <w:rsid w:val="00F10A01"/>
    <w:rsid w:val="00F10A2E"/>
    <w:rsid w:val="00F10B63"/>
    <w:rsid w:val="00F10BCD"/>
    <w:rsid w:val="00F11365"/>
    <w:rsid w:val="00F113AD"/>
    <w:rsid w:val="00F11519"/>
    <w:rsid w:val="00F11648"/>
    <w:rsid w:val="00F1166E"/>
    <w:rsid w:val="00F1167C"/>
    <w:rsid w:val="00F116F3"/>
    <w:rsid w:val="00F118D7"/>
    <w:rsid w:val="00F11946"/>
    <w:rsid w:val="00F11A61"/>
    <w:rsid w:val="00F11A82"/>
    <w:rsid w:val="00F11A89"/>
    <w:rsid w:val="00F11BE0"/>
    <w:rsid w:val="00F11D8A"/>
    <w:rsid w:val="00F11FE6"/>
    <w:rsid w:val="00F12106"/>
    <w:rsid w:val="00F121DB"/>
    <w:rsid w:val="00F1228C"/>
    <w:rsid w:val="00F1253E"/>
    <w:rsid w:val="00F1266F"/>
    <w:rsid w:val="00F1272D"/>
    <w:rsid w:val="00F1275E"/>
    <w:rsid w:val="00F127DE"/>
    <w:rsid w:val="00F12835"/>
    <w:rsid w:val="00F12882"/>
    <w:rsid w:val="00F12920"/>
    <w:rsid w:val="00F12E2D"/>
    <w:rsid w:val="00F12F96"/>
    <w:rsid w:val="00F12FA6"/>
    <w:rsid w:val="00F12FDB"/>
    <w:rsid w:val="00F12FEA"/>
    <w:rsid w:val="00F133A6"/>
    <w:rsid w:val="00F13962"/>
    <w:rsid w:val="00F1396E"/>
    <w:rsid w:val="00F13A30"/>
    <w:rsid w:val="00F13C33"/>
    <w:rsid w:val="00F13CB4"/>
    <w:rsid w:val="00F13DD1"/>
    <w:rsid w:val="00F143C9"/>
    <w:rsid w:val="00F14605"/>
    <w:rsid w:val="00F1498E"/>
    <w:rsid w:val="00F14B9F"/>
    <w:rsid w:val="00F14C96"/>
    <w:rsid w:val="00F14DF2"/>
    <w:rsid w:val="00F14EF6"/>
    <w:rsid w:val="00F1514A"/>
    <w:rsid w:val="00F1518F"/>
    <w:rsid w:val="00F151A6"/>
    <w:rsid w:val="00F1580C"/>
    <w:rsid w:val="00F15873"/>
    <w:rsid w:val="00F15A3F"/>
    <w:rsid w:val="00F15A8C"/>
    <w:rsid w:val="00F15D72"/>
    <w:rsid w:val="00F15D79"/>
    <w:rsid w:val="00F16056"/>
    <w:rsid w:val="00F162E3"/>
    <w:rsid w:val="00F162EE"/>
    <w:rsid w:val="00F1635D"/>
    <w:rsid w:val="00F1659B"/>
    <w:rsid w:val="00F166E1"/>
    <w:rsid w:val="00F1678C"/>
    <w:rsid w:val="00F167A0"/>
    <w:rsid w:val="00F16852"/>
    <w:rsid w:val="00F16A21"/>
    <w:rsid w:val="00F16A26"/>
    <w:rsid w:val="00F16BD0"/>
    <w:rsid w:val="00F16CD3"/>
    <w:rsid w:val="00F16F5E"/>
    <w:rsid w:val="00F17086"/>
    <w:rsid w:val="00F17162"/>
    <w:rsid w:val="00F17629"/>
    <w:rsid w:val="00F177F5"/>
    <w:rsid w:val="00F179D9"/>
    <w:rsid w:val="00F17A61"/>
    <w:rsid w:val="00F17A7D"/>
    <w:rsid w:val="00F20203"/>
    <w:rsid w:val="00F202FC"/>
    <w:rsid w:val="00F20541"/>
    <w:rsid w:val="00F20550"/>
    <w:rsid w:val="00F2055C"/>
    <w:rsid w:val="00F2061F"/>
    <w:rsid w:val="00F2074F"/>
    <w:rsid w:val="00F20B56"/>
    <w:rsid w:val="00F211DF"/>
    <w:rsid w:val="00F212E1"/>
    <w:rsid w:val="00F21561"/>
    <w:rsid w:val="00F216F2"/>
    <w:rsid w:val="00F2172E"/>
    <w:rsid w:val="00F2172F"/>
    <w:rsid w:val="00F21854"/>
    <w:rsid w:val="00F219E3"/>
    <w:rsid w:val="00F219ED"/>
    <w:rsid w:val="00F21B12"/>
    <w:rsid w:val="00F22050"/>
    <w:rsid w:val="00F22084"/>
    <w:rsid w:val="00F22245"/>
    <w:rsid w:val="00F222F9"/>
    <w:rsid w:val="00F22353"/>
    <w:rsid w:val="00F2235F"/>
    <w:rsid w:val="00F224AD"/>
    <w:rsid w:val="00F2255D"/>
    <w:rsid w:val="00F22834"/>
    <w:rsid w:val="00F22853"/>
    <w:rsid w:val="00F22BE0"/>
    <w:rsid w:val="00F22BF3"/>
    <w:rsid w:val="00F22E23"/>
    <w:rsid w:val="00F22FA7"/>
    <w:rsid w:val="00F22FE8"/>
    <w:rsid w:val="00F2304C"/>
    <w:rsid w:val="00F230E3"/>
    <w:rsid w:val="00F2317B"/>
    <w:rsid w:val="00F231BF"/>
    <w:rsid w:val="00F23472"/>
    <w:rsid w:val="00F234B3"/>
    <w:rsid w:val="00F2357C"/>
    <w:rsid w:val="00F23655"/>
    <w:rsid w:val="00F23758"/>
    <w:rsid w:val="00F2375E"/>
    <w:rsid w:val="00F237C0"/>
    <w:rsid w:val="00F2394B"/>
    <w:rsid w:val="00F239D3"/>
    <w:rsid w:val="00F23C05"/>
    <w:rsid w:val="00F23D9C"/>
    <w:rsid w:val="00F23E0C"/>
    <w:rsid w:val="00F23EE5"/>
    <w:rsid w:val="00F23FAA"/>
    <w:rsid w:val="00F240DF"/>
    <w:rsid w:val="00F24795"/>
    <w:rsid w:val="00F2487A"/>
    <w:rsid w:val="00F24904"/>
    <w:rsid w:val="00F24AB0"/>
    <w:rsid w:val="00F24C9D"/>
    <w:rsid w:val="00F24D14"/>
    <w:rsid w:val="00F24E97"/>
    <w:rsid w:val="00F2504C"/>
    <w:rsid w:val="00F25272"/>
    <w:rsid w:val="00F254BF"/>
    <w:rsid w:val="00F25696"/>
    <w:rsid w:val="00F256CE"/>
    <w:rsid w:val="00F25944"/>
    <w:rsid w:val="00F25A41"/>
    <w:rsid w:val="00F25E29"/>
    <w:rsid w:val="00F25F24"/>
    <w:rsid w:val="00F2600F"/>
    <w:rsid w:val="00F2604D"/>
    <w:rsid w:val="00F26065"/>
    <w:rsid w:val="00F2634B"/>
    <w:rsid w:val="00F26368"/>
    <w:rsid w:val="00F26481"/>
    <w:rsid w:val="00F2649F"/>
    <w:rsid w:val="00F264C0"/>
    <w:rsid w:val="00F26529"/>
    <w:rsid w:val="00F26575"/>
    <w:rsid w:val="00F26983"/>
    <w:rsid w:val="00F26D0A"/>
    <w:rsid w:val="00F26D97"/>
    <w:rsid w:val="00F26FFE"/>
    <w:rsid w:val="00F2727D"/>
    <w:rsid w:val="00F272D6"/>
    <w:rsid w:val="00F2737E"/>
    <w:rsid w:val="00F273F6"/>
    <w:rsid w:val="00F27587"/>
    <w:rsid w:val="00F276CC"/>
    <w:rsid w:val="00F27781"/>
    <w:rsid w:val="00F277FD"/>
    <w:rsid w:val="00F27AB1"/>
    <w:rsid w:val="00F27EAF"/>
    <w:rsid w:val="00F27F06"/>
    <w:rsid w:val="00F27FB0"/>
    <w:rsid w:val="00F27FE1"/>
    <w:rsid w:val="00F3008A"/>
    <w:rsid w:val="00F30090"/>
    <w:rsid w:val="00F302BA"/>
    <w:rsid w:val="00F302E6"/>
    <w:rsid w:val="00F303E0"/>
    <w:rsid w:val="00F306D2"/>
    <w:rsid w:val="00F30787"/>
    <w:rsid w:val="00F3084C"/>
    <w:rsid w:val="00F30A6B"/>
    <w:rsid w:val="00F30AD0"/>
    <w:rsid w:val="00F30D20"/>
    <w:rsid w:val="00F30DD6"/>
    <w:rsid w:val="00F30FAE"/>
    <w:rsid w:val="00F31306"/>
    <w:rsid w:val="00F3130B"/>
    <w:rsid w:val="00F31454"/>
    <w:rsid w:val="00F314A8"/>
    <w:rsid w:val="00F3163A"/>
    <w:rsid w:val="00F317DA"/>
    <w:rsid w:val="00F317FC"/>
    <w:rsid w:val="00F31AB8"/>
    <w:rsid w:val="00F31B56"/>
    <w:rsid w:val="00F31EB9"/>
    <w:rsid w:val="00F31FFB"/>
    <w:rsid w:val="00F3221F"/>
    <w:rsid w:val="00F3252E"/>
    <w:rsid w:val="00F325C7"/>
    <w:rsid w:val="00F3274B"/>
    <w:rsid w:val="00F327DD"/>
    <w:rsid w:val="00F328C1"/>
    <w:rsid w:val="00F32A6A"/>
    <w:rsid w:val="00F32A84"/>
    <w:rsid w:val="00F32AC2"/>
    <w:rsid w:val="00F32D1B"/>
    <w:rsid w:val="00F32D49"/>
    <w:rsid w:val="00F32EBD"/>
    <w:rsid w:val="00F32FD6"/>
    <w:rsid w:val="00F3307B"/>
    <w:rsid w:val="00F33728"/>
    <w:rsid w:val="00F33846"/>
    <w:rsid w:val="00F339D7"/>
    <w:rsid w:val="00F3412A"/>
    <w:rsid w:val="00F343CD"/>
    <w:rsid w:val="00F343DD"/>
    <w:rsid w:val="00F3472F"/>
    <w:rsid w:val="00F349E8"/>
    <w:rsid w:val="00F34B70"/>
    <w:rsid w:val="00F34BE3"/>
    <w:rsid w:val="00F34CF2"/>
    <w:rsid w:val="00F35040"/>
    <w:rsid w:val="00F350D2"/>
    <w:rsid w:val="00F354C3"/>
    <w:rsid w:val="00F356B0"/>
    <w:rsid w:val="00F3580B"/>
    <w:rsid w:val="00F35920"/>
    <w:rsid w:val="00F3594B"/>
    <w:rsid w:val="00F359F2"/>
    <w:rsid w:val="00F35B2E"/>
    <w:rsid w:val="00F35C2D"/>
    <w:rsid w:val="00F35DF1"/>
    <w:rsid w:val="00F35DF7"/>
    <w:rsid w:val="00F35F80"/>
    <w:rsid w:val="00F35F8E"/>
    <w:rsid w:val="00F35FCA"/>
    <w:rsid w:val="00F36169"/>
    <w:rsid w:val="00F363D3"/>
    <w:rsid w:val="00F36407"/>
    <w:rsid w:val="00F364AB"/>
    <w:rsid w:val="00F364BA"/>
    <w:rsid w:val="00F366EE"/>
    <w:rsid w:val="00F369D6"/>
    <w:rsid w:val="00F36A11"/>
    <w:rsid w:val="00F36A3E"/>
    <w:rsid w:val="00F36D24"/>
    <w:rsid w:val="00F36D5A"/>
    <w:rsid w:val="00F36F2B"/>
    <w:rsid w:val="00F36F8D"/>
    <w:rsid w:val="00F36FAE"/>
    <w:rsid w:val="00F37282"/>
    <w:rsid w:val="00F373E9"/>
    <w:rsid w:val="00F374C8"/>
    <w:rsid w:val="00F374F1"/>
    <w:rsid w:val="00F375BE"/>
    <w:rsid w:val="00F3769E"/>
    <w:rsid w:val="00F376C7"/>
    <w:rsid w:val="00F377E6"/>
    <w:rsid w:val="00F379A4"/>
    <w:rsid w:val="00F37B81"/>
    <w:rsid w:val="00F37BF1"/>
    <w:rsid w:val="00F37CFB"/>
    <w:rsid w:val="00F37E72"/>
    <w:rsid w:val="00F40071"/>
    <w:rsid w:val="00F40414"/>
    <w:rsid w:val="00F404EE"/>
    <w:rsid w:val="00F40572"/>
    <w:rsid w:val="00F40612"/>
    <w:rsid w:val="00F40842"/>
    <w:rsid w:val="00F40AD5"/>
    <w:rsid w:val="00F40CAC"/>
    <w:rsid w:val="00F40E0A"/>
    <w:rsid w:val="00F40EC0"/>
    <w:rsid w:val="00F40FD3"/>
    <w:rsid w:val="00F41075"/>
    <w:rsid w:val="00F41102"/>
    <w:rsid w:val="00F4146C"/>
    <w:rsid w:val="00F41571"/>
    <w:rsid w:val="00F416E1"/>
    <w:rsid w:val="00F4176C"/>
    <w:rsid w:val="00F41A19"/>
    <w:rsid w:val="00F41E7D"/>
    <w:rsid w:val="00F42022"/>
    <w:rsid w:val="00F42086"/>
    <w:rsid w:val="00F4217F"/>
    <w:rsid w:val="00F423C2"/>
    <w:rsid w:val="00F42472"/>
    <w:rsid w:val="00F424A5"/>
    <w:rsid w:val="00F424D3"/>
    <w:rsid w:val="00F42587"/>
    <w:rsid w:val="00F42645"/>
    <w:rsid w:val="00F427C1"/>
    <w:rsid w:val="00F428CD"/>
    <w:rsid w:val="00F42A0C"/>
    <w:rsid w:val="00F42A51"/>
    <w:rsid w:val="00F42B2A"/>
    <w:rsid w:val="00F42D08"/>
    <w:rsid w:val="00F4320A"/>
    <w:rsid w:val="00F4341B"/>
    <w:rsid w:val="00F43478"/>
    <w:rsid w:val="00F436C2"/>
    <w:rsid w:val="00F439CA"/>
    <w:rsid w:val="00F43D61"/>
    <w:rsid w:val="00F43E1B"/>
    <w:rsid w:val="00F44078"/>
    <w:rsid w:val="00F440E3"/>
    <w:rsid w:val="00F44114"/>
    <w:rsid w:val="00F44239"/>
    <w:rsid w:val="00F4456A"/>
    <w:rsid w:val="00F4473D"/>
    <w:rsid w:val="00F448C9"/>
    <w:rsid w:val="00F4498C"/>
    <w:rsid w:val="00F449B6"/>
    <w:rsid w:val="00F44DA0"/>
    <w:rsid w:val="00F44DE2"/>
    <w:rsid w:val="00F44EAA"/>
    <w:rsid w:val="00F450BA"/>
    <w:rsid w:val="00F4535B"/>
    <w:rsid w:val="00F4540C"/>
    <w:rsid w:val="00F456A3"/>
    <w:rsid w:val="00F456E8"/>
    <w:rsid w:val="00F45B79"/>
    <w:rsid w:val="00F45F4F"/>
    <w:rsid w:val="00F46192"/>
    <w:rsid w:val="00F461A6"/>
    <w:rsid w:val="00F463DF"/>
    <w:rsid w:val="00F467D8"/>
    <w:rsid w:val="00F46916"/>
    <w:rsid w:val="00F4699C"/>
    <w:rsid w:val="00F46A9F"/>
    <w:rsid w:val="00F46ABF"/>
    <w:rsid w:val="00F46ACF"/>
    <w:rsid w:val="00F46BC3"/>
    <w:rsid w:val="00F46E14"/>
    <w:rsid w:val="00F46F4B"/>
    <w:rsid w:val="00F47164"/>
    <w:rsid w:val="00F47199"/>
    <w:rsid w:val="00F47323"/>
    <w:rsid w:val="00F473A9"/>
    <w:rsid w:val="00F47406"/>
    <w:rsid w:val="00F474E1"/>
    <w:rsid w:val="00F47565"/>
    <w:rsid w:val="00F476DF"/>
    <w:rsid w:val="00F47743"/>
    <w:rsid w:val="00F478D0"/>
    <w:rsid w:val="00F47B09"/>
    <w:rsid w:val="00F47CD0"/>
    <w:rsid w:val="00F47E61"/>
    <w:rsid w:val="00F47E8E"/>
    <w:rsid w:val="00F50133"/>
    <w:rsid w:val="00F501D4"/>
    <w:rsid w:val="00F50228"/>
    <w:rsid w:val="00F503DE"/>
    <w:rsid w:val="00F504EB"/>
    <w:rsid w:val="00F50653"/>
    <w:rsid w:val="00F50681"/>
    <w:rsid w:val="00F5077F"/>
    <w:rsid w:val="00F507E2"/>
    <w:rsid w:val="00F509D5"/>
    <w:rsid w:val="00F50F6F"/>
    <w:rsid w:val="00F510F1"/>
    <w:rsid w:val="00F51131"/>
    <w:rsid w:val="00F51225"/>
    <w:rsid w:val="00F5125D"/>
    <w:rsid w:val="00F51289"/>
    <w:rsid w:val="00F519A3"/>
    <w:rsid w:val="00F51A0D"/>
    <w:rsid w:val="00F51BD7"/>
    <w:rsid w:val="00F51D24"/>
    <w:rsid w:val="00F51DBA"/>
    <w:rsid w:val="00F51EBF"/>
    <w:rsid w:val="00F51F53"/>
    <w:rsid w:val="00F52079"/>
    <w:rsid w:val="00F52102"/>
    <w:rsid w:val="00F5215D"/>
    <w:rsid w:val="00F52321"/>
    <w:rsid w:val="00F5244E"/>
    <w:rsid w:val="00F524FC"/>
    <w:rsid w:val="00F528AF"/>
    <w:rsid w:val="00F52967"/>
    <w:rsid w:val="00F529E3"/>
    <w:rsid w:val="00F52AC0"/>
    <w:rsid w:val="00F52BA1"/>
    <w:rsid w:val="00F52ED9"/>
    <w:rsid w:val="00F52F39"/>
    <w:rsid w:val="00F52F65"/>
    <w:rsid w:val="00F5303F"/>
    <w:rsid w:val="00F53097"/>
    <w:rsid w:val="00F53357"/>
    <w:rsid w:val="00F5336D"/>
    <w:rsid w:val="00F53620"/>
    <w:rsid w:val="00F536F0"/>
    <w:rsid w:val="00F53809"/>
    <w:rsid w:val="00F53913"/>
    <w:rsid w:val="00F53A74"/>
    <w:rsid w:val="00F53B16"/>
    <w:rsid w:val="00F53B54"/>
    <w:rsid w:val="00F53BB2"/>
    <w:rsid w:val="00F53C30"/>
    <w:rsid w:val="00F53CC7"/>
    <w:rsid w:val="00F53DA1"/>
    <w:rsid w:val="00F53DEC"/>
    <w:rsid w:val="00F53DF6"/>
    <w:rsid w:val="00F53EE8"/>
    <w:rsid w:val="00F53F44"/>
    <w:rsid w:val="00F53F79"/>
    <w:rsid w:val="00F542B7"/>
    <w:rsid w:val="00F5450C"/>
    <w:rsid w:val="00F547FC"/>
    <w:rsid w:val="00F54A3A"/>
    <w:rsid w:val="00F54A61"/>
    <w:rsid w:val="00F54B68"/>
    <w:rsid w:val="00F54DCC"/>
    <w:rsid w:val="00F54DE7"/>
    <w:rsid w:val="00F54E1A"/>
    <w:rsid w:val="00F54EBE"/>
    <w:rsid w:val="00F55364"/>
    <w:rsid w:val="00F554D3"/>
    <w:rsid w:val="00F5551C"/>
    <w:rsid w:val="00F5571A"/>
    <w:rsid w:val="00F55B58"/>
    <w:rsid w:val="00F55D90"/>
    <w:rsid w:val="00F55E66"/>
    <w:rsid w:val="00F56249"/>
    <w:rsid w:val="00F5633D"/>
    <w:rsid w:val="00F56390"/>
    <w:rsid w:val="00F567D6"/>
    <w:rsid w:val="00F56851"/>
    <w:rsid w:val="00F56BC9"/>
    <w:rsid w:val="00F56D23"/>
    <w:rsid w:val="00F5700C"/>
    <w:rsid w:val="00F570B2"/>
    <w:rsid w:val="00F572F9"/>
    <w:rsid w:val="00F5734F"/>
    <w:rsid w:val="00F57371"/>
    <w:rsid w:val="00F57589"/>
    <w:rsid w:val="00F578A8"/>
    <w:rsid w:val="00F57998"/>
    <w:rsid w:val="00F57A65"/>
    <w:rsid w:val="00F57AA8"/>
    <w:rsid w:val="00F57D1F"/>
    <w:rsid w:val="00F60274"/>
    <w:rsid w:val="00F604CC"/>
    <w:rsid w:val="00F60554"/>
    <w:rsid w:val="00F6069D"/>
    <w:rsid w:val="00F6075E"/>
    <w:rsid w:val="00F6076D"/>
    <w:rsid w:val="00F60BE9"/>
    <w:rsid w:val="00F60BFA"/>
    <w:rsid w:val="00F60C90"/>
    <w:rsid w:val="00F60E53"/>
    <w:rsid w:val="00F60F11"/>
    <w:rsid w:val="00F60F16"/>
    <w:rsid w:val="00F60F21"/>
    <w:rsid w:val="00F61443"/>
    <w:rsid w:val="00F615A8"/>
    <w:rsid w:val="00F6164C"/>
    <w:rsid w:val="00F618F5"/>
    <w:rsid w:val="00F6196B"/>
    <w:rsid w:val="00F61A20"/>
    <w:rsid w:val="00F61A3A"/>
    <w:rsid w:val="00F61CA4"/>
    <w:rsid w:val="00F61D8C"/>
    <w:rsid w:val="00F61D91"/>
    <w:rsid w:val="00F61EB5"/>
    <w:rsid w:val="00F61F13"/>
    <w:rsid w:val="00F6202E"/>
    <w:rsid w:val="00F622F4"/>
    <w:rsid w:val="00F62563"/>
    <w:rsid w:val="00F625A5"/>
    <w:rsid w:val="00F62691"/>
    <w:rsid w:val="00F627E9"/>
    <w:rsid w:val="00F6287D"/>
    <w:rsid w:val="00F62AD5"/>
    <w:rsid w:val="00F62AF1"/>
    <w:rsid w:val="00F62C55"/>
    <w:rsid w:val="00F62CC7"/>
    <w:rsid w:val="00F62D35"/>
    <w:rsid w:val="00F62D74"/>
    <w:rsid w:val="00F63031"/>
    <w:rsid w:val="00F6304A"/>
    <w:rsid w:val="00F6307A"/>
    <w:rsid w:val="00F63127"/>
    <w:rsid w:val="00F6326A"/>
    <w:rsid w:val="00F63330"/>
    <w:rsid w:val="00F6337F"/>
    <w:rsid w:val="00F638DA"/>
    <w:rsid w:val="00F639E4"/>
    <w:rsid w:val="00F63A4C"/>
    <w:rsid w:val="00F63C5D"/>
    <w:rsid w:val="00F63D7A"/>
    <w:rsid w:val="00F63DA6"/>
    <w:rsid w:val="00F63F5D"/>
    <w:rsid w:val="00F645A7"/>
    <w:rsid w:val="00F646BC"/>
    <w:rsid w:val="00F649F5"/>
    <w:rsid w:val="00F64B4B"/>
    <w:rsid w:val="00F64B55"/>
    <w:rsid w:val="00F64BCE"/>
    <w:rsid w:val="00F64EB1"/>
    <w:rsid w:val="00F64FBB"/>
    <w:rsid w:val="00F6503C"/>
    <w:rsid w:val="00F6506A"/>
    <w:rsid w:val="00F650BF"/>
    <w:rsid w:val="00F65367"/>
    <w:rsid w:val="00F654BB"/>
    <w:rsid w:val="00F65621"/>
    <w:rsid w:val="00F65708"/>
    <w:rsid w:val="00F6578C"/>
    <w:rsid w:val="00F657F0"/>
    <w:rsid w:val="00F65820"/>
    <w:rsid w:val="00F65826"/>
    <w:rsid w:val="00F65F59"/>
    <w:rsid w:val="00F660A0"/>
    <w:rsid w:val="00F660AB"/>
    <w:rsid w:val="00F661B6"/>
    <w:rsid w:val="00F665EB"/>
    <w:rsid w:val="00F666B4"/>
    <w:rsid w:val="00F668B1"/>
    <w:rsid w:val="00F668C6"/>
    <w:rsid w:val="00F66A37"/>
    <w:rsid w:val="00F66AF0"/>
    <w:rsid w:val="00F66B6F"/>
    <w:rsid w:val="00F66D48"/>
    <w:rsid w:val="00F66D63"/>
    <w:rsid w:val="00F66F79"/>
    <w:rsid w:val="00F671AD"/>
    <w:rsid w:val="00F672B0"/>
    <w:rsid w:val="00F67507"/>
    <w:rsid w:val="00F676F9"/>
    <w:rsid w:val="00F67720"/>
    <w:rsid w:val="00F67771"/>
    <w:rsid w:val="00F677F6"/>
    <w:rsid w:val="00F67B0F"/>
    <w:rsid w:val="00F67B1D"/>
    <w:rsid w:val="00F67BE8"/>
    <w:rsid w:val="00F67BFF"/>
    <w:rsid w:val="00F67D37"/>
    <w:rsid w:val="00F67DF4"/>
    <w:rsid w:val="00F7011E"/>
    <w:rsid w:val="00F70303"/>
    <w:rsid w:val="00F70431"/>
    <w:rsid w:val="00F7043B"/>
    <w:rsid w:val="00F70957"/>
    <w:rsid w:val="00F70A4E"/>
    <w:rsid w:val="00F70DB7"/>
    <w:rsid w:val="00F70F92"/>
    <w:rsid w:val="00F710A8"/>
    <w:rsid w:val="00F71133"/>
    <w:rsid w:val="00F713E4"/>
    <w:rsid w:val="00F71520"/>
    <w:rsid w:val="00F71586"/>
    <w:rsid w:val="00F7188D"/>
    <w:rsid w:val="00F718A6"/>
    <w:rsid w:val="00F71C1D"/>
    <w:rsid w:val="00F71F36"/>
    <w:rsid w:val="00F724DA"/>
    <w:rsid w:val="00F7277E"/>
    <w:rsid w:val="00F72843"/>
    <w:rsid w:val="00F7285D"/>
    <w:rsid w:val="00F72A52"/>
    <w:rsid w:val="00F72E47"/>
    <w:rsid w:val="00F73039"/>
    <w:rsid w:val="00F73158"/>
    <w:rsid w:val="00F7320D"/>
    <w:rsid w:val="00F734A0"/>
    <w:rsid w:val="00F73664"/>
    <w:rsid w:val="00F736DD"/>
    <w:rsid w:val="00F73867"/>
    <w:rsid w:val="00F73C70"/>
    <w:rsid w:val="00F73DBA"/>
    <w:rsid w:val="00F73E8D"/>
    <w:rsid w:val="00F74207"/>
    <w:rsid w:val="00F7471D"/>
    <w:rsid w:val="00F747C4"/>
    <w:rsid w:val="00F7496E"/>
    <w:rsid w:val="00F74D38"/>
    <w:rsid w:val="00F74E14"/>
    <w:rsid w:val="00F7506F"/>
    <w:rsid w:val="00F7510E"/>
    <w:rsid w:val="00F75259"/>
    <w:rsid w:val="00F754C8"/>
    <w:rsid w:val="00F755E7"/>
    <w:rsid w:val="00F75649"/>
    <w:rsid w:val="00F75661"/>
    <w:rsid w:val="00F757E3"/>
    <w:rsid w:val="00F75AE4"/>
    <w:rsid w:val="00F75DBE"/>
    <w:rsid w:val="00F75E69"/>
    <w:rsid w:val="00F76021"/>
    <w:rsid w:val="00F7617A"/>
    <w:rsid w:val="00F76207"/>
    <w:rsid w:val="00F76244"/>
    <w:rsid w:val="00F7639E"/>
    <w:rsid w:val="00F7687D"/>
    <w:rsid w:val="00F76901"/>
    <w:rsid w:val="00F76B4D"/>
    <w:rsid w:val="00F77025"/>
    <w:rsid w:val="00F77071"/>
    <w:rsid w:val="00F7725D"/>
    <w:rsid w:val="00F772F3"/>
    <w:rsid w:val="00F77580"/>
    <w:rsid w:val="00F7784E"/>
    <w:rsid w:val="00F77928"/>
    <w:rsid w:val="00F779F9"/>
    <w:rsid w:val="00F77BAA"/>
    <w:rsid w:val="00F77D1C"/>
    <w:rsid w:val="00F77FAF"/>
    <w:rsid w:val="00F80182"/>
    <w:rsid w:val="00F8043C"/>
    <w:rsid w:val="00F8051F"/>
    <w:rsid w:val="00F805C8"/>
    <w:rsid w:val="00F80614"/>
    <w:rsid w:val="00F80620"/>
    <w:rsid w:val="00F80795"/>
    <w:rsid w:val="00F80AE1"/>
    <w:rsid w:val="00F80EA1"/>
    <w:rsid w:val="00F81104"/>
    <w:rsid w:val="00F8120A"/>
    <w:rsid w:val="00F813C7"/>
    <w:rsid w:val="00F81662"/>
    <w:rsid w:val="00F8194F"/>
    <w:rsid w:val="00F81FB7"/>
    <w:rsid w:val="00F820A2"/>
    <w:rsid w:val="00F82208"/>
    <w:rsid w:val="00F8224D"/>
    <w:rsid w:val="00F8241A"/>
    <w:rsid w:val="00F8281B"/>
    <w:rsid w:val="00F828C8"/>
    <w:rsid w:val="00F828CF"/>
    <w:rsid w:val="00F82B08"/>
    <w:rsid w:val="00F82BB0"/>
    <w:rsid w:val="00F830EC"/>
    <w:rsid w:val="00F83122"/>
    <w:rsid w:val="00F8317A"/>
    <w:rsid w:val="00F8326B"/>
    <w:rsid w:val="00F832D3"/>
    <w:rsid w:val="00F83332"/>
    <w:rsid w:val="00F83605"/>
    <w:rsid w:val="00F83625"/>
    <w:rsid w:val="00F837AE"/>
    <w:rsid w:val="00F837E8"/>
    <w:rsid w:val="00F839D0"/>
    <w:rsid w:val="00F83B0D"/>
    <w:rsid w:val="00F83BD9"/>
    <w:rsid w:val="00F83DB6"/>
    <w:rsid w:val="00F83FA9"/>
    <w:rsid w:val="00F83FE6"/>
    <w:rsid w:val="00F8410F"/>
    <w:rsid w:val="00F8427A"/>
    <w:rsid w:val="00F845E0"/>
    <w:rsid w:val="00F84628"/>
    <w:rsid w:val="00F84766"/>
    <w:rsid w:val="00F847E6"/>
    <w:rsid w:val="00F849C9"/>
    <w:rsid w:val="00F84A57"/>
    <w:rsid w:val="00F84AE7"/>
    <w:rsid w:val="00F84B80"/>
    <w:rsid w:val="00F84C5E"/>
    <w:rsid w:val="00F84CB4"/>
    <w:rsid w:val="00F84EEB"/>
    <w:rsid w:val="00F84F56"/>
    <w:rsid w:val="00F84F5A"/>
    <w:rsid w:val="00F84F7C"/>
    <w:rsid w:val="00F85141"/>
    <w:rsid w:val="00F854C6"/>
    <w:rsid w:val="00F85751"/>
    <w:rsid w:val="00F857A1"/>
    <w:rsid w:val="00F857AD"/>
    <w:rsid w:val="00F857B8"/>
    <w:rsid w:val="00F85943"/>
    <w:rsid w:val="00F85989"/>
    <w:rsid w:val="00F85A57"/>
    <w:rsid w:val="00F85A69"/>
    <w:rsid w:val="00F85A76"/>
    <w:rsid w:val="00F85B32"/>
    <w:rsid w:val="00F85C12"/>
    <w:rsid w:val="00F85FAA"/>
    <w:rsid w:val="00F86070"/>
    <w:rsid w:val="00F86291"/>
    <w:rsid w:val="00F862EF"/>
    <w:rsid w:val="00F864DB"/>
    <w:rsid w:val="00F866CA"/>
    <w:rsid w:val="00F86724"/>
    <w:rsid w:val="00F868FA"/>
    <w:rsid w:val="00F86E01"/>
    <w:rsid w:val="00F86EE8"/>
    <w:rsid w:val="00F86FD1"/>
    <w:rsid w:val="00F8702E"/>
    <w:rsid w:val="00F872F2"/>
    <w:rsid w:val="00F874C6"/>
    <w:rsid w:val="00F87798"/>
    <w:rsid w:val="00F8786E"/>
    <w:rsid w:val="00F87881"/>
    <w:rsid w:val="00F87D24"/>
    <w:rsid w:val="00F87D8B"/>
    <w:rsid w:val="00F87E3B"/>
    <w:rsid w:val="00F87E9D"/>
    <w:rsid w:val="00F87EDE"/>
    <w:rsid w:val="00F87FE6"/>
    <w:rsid w:val="00F9026E"/>
    <w:rsid w:val="00F9032F"/>
    <w:rsid w:val="00F90350"/>
    <w:rsid w:val="00F903B0"/>
    <w:rsid w:val="00F9076B"/>
    <w:rsid w:val="00F90B44"/>
    <w:rsid w:val="00F90D62"/>
    <w:rsid w:val="00F90DB9"/>
    <w:rsid w:val="00F90E31"/>
    <w:rsid w:val="00F90E93"/>
    <w:rsid w:val="00F90FEA"/>
    <w:rsid w:val="00F911B4"/>
    <w:rsid w:val="00F912A8"/>
    <w:rsid w:val="00F915A9"/>
    <w:rsid w:val="00F91606"/>
    <w:rsid w:val="00F916CF"/>
    <w:rsid w:val="00F9170F"/>
    <w:rsid w:val="00F917D6"/>
    <w:rsid w:val="00F91885"/>
    <w:rsid w:val="00F91D4F"/>
    <w:rsid w:val="00F9224D"/>
    <w:rsid w:val="00F924A9"/>
    <w:rsid w:val="00F92531"/>
    <w:rsid w:val="00F92641"/>
    <w:rsid w:val="00F92951"/>
    <w:rsid w:val="00F92ACA"/>
    <w:rsid w:val="00F92E62"/>
    <w:rsid w:val="00F92ED9"/>
    <w:rsid w:val="00F9308D"/>
    <w:rsid w:val="00F932BC"/>
    <w:rsid w:val="00F934CC"/>
    <w:rsid w:val="00F93537"/>
    <w:rsid w:val="00F93586"/>
    <w:rsid w:val="00F935AA"/>
    <w:rsid w:val="00F93777"/>
    <w:rsid w:val="00F93A29"/>
    <w:rsid w:val="00F93AA1"/>
    <w:rsid w:val="00F93B0C"/>
    <w:rsid w:val="00F93EE3"/>
    <w:rsid w:val="00F940C0"/>
    <w:rsid w:val="00F94151"/>
    <w:rsid w:val="00F942CE"/>
    <w:rsid w:val="00F942F8"/>
    <w:rsid w:val="00F944EB"/>
    <w:rsid w:val="00F945A1"/>
    <w:rsid w:val="00F94647"/>
    <w:rsid w:val="00F947D9"/>
    <w:rsid w:val="00F94888"/>
    <w:rsid w:val="00F948BE"/>
    <w:rsid w:val="00F94960"/>
    <w:rsid w:val="00F949A0"/>
    <w:rsid w:val="00F949BE"/>
    <w:rsid w:val="00F949DE"/>
    <w:rsid w:val="00F94A8F"/>
    <w:rsid w:val="00F94C0E"/>
    <w:rsid w:val="00F94C32"/>
    <w:rsid w:val="00F94C9C"/>
    <w:rsid w:val="00F94DC0"/>
    <w:rsid w:val="00F94E3A"/>
    <w:rsid w:val="00F94E62"/>
    <w:rsid w:val="00F94EEC"/>
    <w:rsid w:val="00F94F61"/>
    <w:rsid w:val="00F94F84"/>
    <w:rsid w:val="00F94F87"/>
    <w:rsid w:val="00F95041"/>
    <w:rsid w:val="00F95100"/>
    <w:rsid w:val="00F95123"/>
    <w:rsid w:val="00F95134"/>
    <w:rsid w:val="00F95149"/>
    <w:rsid w:val="00F953E9"/>
    <w:rsid w:val="00F95445"/>
    <w:rsid w:val="00F95496"/>
    <w:rsid w:val="00F95563"/>
    <w:rsid w:val="00F95626"/>
    <w:rsid w:val="00F957D3"/>
    <w:rsid w:val="00F95DC3"/>
    <w:rsid w:val="00F95DD3"/>
    <w:rsid w:val="00F95DFC"/>
    <w:rsid w:val="00F95E7C"/>
    <w:rsid w:val="00F95FFB"/>
    <w:rsid w:val="00F96055"/>
    <w:rsid w:val="00F960FD"/>
    <w:rsid w:val="00F96107"/>
    <w:rsid w:val="00F9612C"/>
    <w:rsid w:val="00F962ED"/>
    <w:rsid w:val="00F96481"/>
    <w:rsid w:val="00F96589"/>
    <w:rsid w:val="00F96863"/>
    <w:rsid w:val="00F968B7"/>
    <w:rsid w:val="00F96A5A"/>
    <w:rsid w:val="00F96A79"/>
    <w:rsid w:val="00F96C46"/>
    <w:rsid w:val="00F96E0C"/>
    <w:rsid w:val="00F970DD"/>
    <w:rsid w:val="00F971BC"/>
    <w:rsid w:val="00F972A8"/>
    <w:rsid w:val="00F97372"/>
    <w:rsid w:val="00F973B6"/>
    <w:rsid w:val="00F974A8"/>
    <w:rsid w:val="00F97510"/>
    <w:rsid w:val="00F9788B"/>
    <w:rsid w:val="00F9796A"/>
    <w:rsid w:val="00F97ABF"/>
    <w:rsid w:val="00F97C6F"/>
    <w:rsid w:val="00F97E85"/>
    <w:rsid w:val="00F97E8D"/>
    <w:rsid w:val="00F97ECF"/>
    <w:rsid w:val="00FA0222"/>
    <w:rsid w:val="00FA040A"/>
    <w:rsid w:val="00FA0475"/>
    <w:rsid w:val="00FA0723"/>
    <w:rsid w:val="00FA0756"/>
    <w:rsid w:val="00FA093A"/>
    <w:rsid w:val="00FA0973"/>
    <w:rsid w:val="00FA0B99"/>
    <w:rsid w:val="00FA11D6"/>
    <w:rsid w:val="00FA129C"/>
    <w:rsid w:val="00FA163B"/>
    <w:rsid w:val="00FA16F2"/>
    <w:rsid w:val="00FA18EC"/>
    <w:rsid w:val="00FA1A92"/>
    <w:rsid w:val="00FA1AC1"/>
    <w:rsid w:val="00FA1BE2"/>
    <w:rsid w:val="00FA1BE7"/>
    <w:rsid w:val="00FA1CE0"/>
    <w:rsid w:val="00FA1D16"/>
    <w:rsid w:val="00FA1DE1"/>
    <w:rsid w:val="00FA1E7B"/>
    <w:rsid w:val="00FA20B0"/>
    <w:rsid w:val="00FA2203"/>
    <w:rsid w:val="00FA2316"/>
    <w:rsid w:val="00FA2355"/>
    <w:rsid w:val="00FA27A1"/>
    <w:rsid w:val="00FA27EE"/>
    <w:rsid w:val="00FA289A"/>
    <w:rsid w:val="00FA2A57"/>
    <w:rsid w:val="00FA2BC7"/>
    <w:rsid w:val="00FA2C4A"/>
    <w:rsid w:val="00FA2C58"/>
    <w:rsid w:val="00FA2E23"/>
    <w:rsid w:val="00FA30A5"/>
    <w:rsid w:val="00FA30F5"/>
    <w:rsid w:val="00FA3140"/>
    <w:rsid w:val="00FA314B"/>
    <w:rsid w:val="00FA32D7"/>
    <w:rsid w:val="00FA333F"/>
    <w:rsid w:val="00FA3449"/>
    <w:rsid w:val="00FA353A"/>
    <w:rsid w:val="00FA36C3"/>
    <w:rsid w:val="00FA37F0"/>
    <w:rsid w:val="00FA3825"/>
    <w:rsid w:val="00FA3880"/>
    <w:rsid w:val="00FA3B6E"/>
    <w:rsid w:val="00FA3C33"/>
    <w:rsid w:val="00FA3F15"/>
    <w:rsid w:val="00FA41A2"/>
    <w:rsid w:val="00FA44AE"/>
    <w:rsid w:val="00FA4604"/>
    <w:rsid w:val="00FA4613"/>
    <w:rsid w:val="00FA4785"/>
    <w:rsid w:val="00FA47B1"/>
    <w:rsid w:val="00FA4804"/>
    <w:rsid w:val="00FA4B59"/>
    <w:rsid w:val="00FA4C5A"/>
    <w:rsid w:val="00FA4F03"/>
    <w:rsid w:val="00FA4F63"/>
    <w:rsid w:val="00FA592B"/>
    <w:rsid w:val="00FA5A16"/>
    <w:rsid w:val="00FA5A45"/>
    <w:rsid w:val="00FA5A5C"/>
    <w:rsid w:val="00FA5BEC"/>
    <w:rsid w:val="00FA5F53"/>
    <w:rsid w:val="00FA6016"/>
    <w:rsid w:val="00FA601E"/>
    <w:rsid w:val="00FA6055"/>
    <w:rsid w:val="00FA60A3"/>
    <w:rsid w:val="00FA614A"/>
    <w:rsid w:val="00FA61CA"/>
    <w:rsid w:val="00FA6206"/>
    <w:rsid w:val="00FA626C"/>
    <w:rsid w:val="00FA62F5"/>
    <w:rsid w:val="00FA64C8"/>
    <w:rsid w:val="00FA6531"/>
    <w:rsid w:val="00FA6764"/>
    <w:rsid w:val="00FA6814"/>
    <w:rsid w:val="00FA69A2"/>
    <w:rsid w:val="00FA69AF"/>
    <w:rsid w:val="00FA6A15"/>
    <w:rsid w:val="00FA6A21"/>
    <w:rsid w:val="00FA6AAC"/>
    <w:rsid w:val="00FA6FF3"/>
    <w:rsid w:val="00FA736F"/>
    <w:rsid w:val="00FA738A"/>
    <w:rsid w:val="00FA73C8"/>
    <w:rsid w:val="00FA73C9"/>
    <w:rsid w:val="00FA775C"/>
    <w:rsid w:val="00FA7E1B"/>
    <w:rsid w:val="00FA7E85"/>
    <w:rsid w:val="00FB01AE"/>
    <w:rsid w:val="00FB02D2"/>
    <w:rsid w:val="00FB02E9"/>
    <w:rsid w:val="00FB067B"/>
    <w:rsid w:val="00FB0835"/>
    <w:rsid w:val="00FB0AA4"/>
    <w:rsid w:val="00FB0AAC"/>
    <w:rsid w:val="00FB0D10"/>
    <w:rsid w:val="00FB10D8"/>
    <w:rsid w:val="00FB1382"/>
    <w:rsid w:val="00FB161F"/>
    <w:rsid w:val="00FB17F1"/>
    <w:rsid w:val="00FB18CE"/>
    <w:rsid w:val="00FB1B28"/>
    <w:rsid w:val="00FB1C00"/>
    <w:rsid w:val="00FB1CB7"/>
    <w:rsid w:val="00FB1D35"/>
    <w:rsid w:val="00FB2074"/>
    <w:rsid w:val="00FB2130"/>
    <w:rsid w:val="00FB22F4"/>
    <w:rsid w:val="00FB230A"/>
    <w:rsid w:val="00FB2452"/>
    <w:rsid w:val="00FB255C"/>
    <w:rsid w:val="00FB261A"/>
    <w:rsid w:val="00FB28EA"/>
    <w:rsid w:val="00FB2C45"/>
    <w:rsid w:val="00FB2D50"/>
    <w:rsid w:val="00FB2E1D"/>
    <w:rsid w:val="00FB32D0"/>
    <w:rsid w:val="00FB32DA"/>
    <w:rsid w:val="00FB3309"/>
    <w:rsid w:val="00FB34D5"/>
    <w:rsid w:val="00FB369F"/>
    <w:rsid w:val="00FB37D2"/>
    <w:rsid w:val="00FB3877"/>
    <w:rsid w:val="00FB390D"/>
    <w:rsid w:val="00FB3A60"/>
    <w:rsid w:val="00FB3AD9"/>
    <w:rsid w:val="00FB3CDD"/>
    <w:rsid w:val="00FB3CE1"/>
    <w:rsid w:val="00FB3D22"/>
    <w:rsid w:val="00FB3D64"/>
    <w:rsid w:val="00FB3E1F"/>
    <w:rsid w:val="00FB42DE"/>
    <w:rsid w:val="00FB45DC"/>
    <w:rsid w:val="00FB4689"/>
    <w:rsid w:val="00FB4700"/>
    <w:rsid w:val="00FB4806"/>
    <w:rsid w:val="00FB48FC"/>
    <w:rsid w:val="00FB491C"/>
    <w:rsid w:val="00FB497F"/>
    <w:rsid w:val="00FB49F7"/>
    <w:rsid w:val="00FB4A13"/>
    <w:rsid w:val="00FB4BE4"/>
    <w:rsid w:val="00FB4E13"/>
    <w:rsid w:val="00FB505F"/>
    <w:rsid w:val="00FB5102"/>
    <w:rsid w:val="00FB5161"/>
    <w:rsid w:val="00FB52E1"/>
    <w:rsid w:val="00FB537A"/>
    <w:rsid w:val="00FB5400"/>
    <w:rsid w:val="00FB5474"/>
    <w:rsid w:val="00FB571F"/>
    <w:rsid w:val="00FB5748"/>
    <w:rsid w:val="00FB578A"/>
    <w:rsid w:val="00FB57F8"/>
    <w:rsid w:val="00FB58BF"/>
    <w:rsid w:val="00FB599B"/>
    <w:rsid w:val="00FB59F4"/>
    <w:rsid w:val="00FB5CDC"/>
    <w:rsid w:val="00FB5D26"/>
    <w:rsid w:val="00FB5D66"/>
    <w:rsid w:val="00FB5E23"/>
    <w:rsid w:val="00FB6006"/>
    <w:rsid w:val="00FB6180"/>
    <w:rsid w:val="00FB633C"/>
    <w:rsid w:val="00FB687B"/>
    <w:rsid w:val="00FB693C"/>
    <w:rsid w:val="00FB6943"/>
    <w:rsid w:val="00FB6A10"/>
    <w:rsid w:val="00FB6AB2"/>
    <w:rsid w:val="00FB6B60"/>
    <w:rsid w:val="00FB6C16"/>
    <w:rsid w:val="00FB6C67"/>
    <w:rsid w:val="00FB6D5C"/>
    <w:rsid w:val="00FB6D84"/>
    <w:rsid w:val="00FB701B"/>
    <w:rsid w:val="00FB70F6"/>
    <w:rsid w:val="00FB728F"/>
    <w:rsid w:val="00FB7344"/>
    <w:rsid w:val="00FB7DBC"/>
    <w:rsid w:val="00FB7E8F"/>
    <w:rsid w:val="00FB7E96"/>
    <w:rsid w:val="00FB7EA9"/>
    <w:rsid w:val="00FC0426"/>
    <w:rsid w:val="00FC0544"/>
    <w:rsid w:val="00FC05E4"/>
    <w:rsid w:val="00FC07E3"/>
    <w:rsid w:val="00FC0846"/>
    <w:rsid w:val="00FC0923"/>
    <w:rsid w:val="00FC0980"/>
    <w:rsid w:val="00FC0B80"/>
    <w:rsid w:val="00FC0CB2"/>
    <w:rsid w:val="00FC0DAE"/>
    <w:rsid w:val="00FC10F3"/>
    <w:rsid w:val="00FC1242"/>
    <w:rsid w:val="00FC12A7"/>
    <w:rsid w:val="00FC135F"/>
    <w:rsid w:val="00FC1650"/>
    <w:rsid w:val="00FC17C4"/>
    <w:rsid w:val="00FC17E9"/>
    <w:rsid w:val="00FC1DD9"/>
    <w:rsid w:val="00FC1FF4"/>
    <w:rsid w:val="00FC210B"/>
    <w:rsid w:val="00FC216F"/>
    <w:rsid w:val="00FC2251"/>
    <w:rsid w:val="00FC22C5"/>
    <w:rsid w:val="00FC2369"/>
    <w:rsid w:val="00FC23A9"/>
    <w:rsid w:val="00FC23FB"/>
    <w:rsid w:val="00FC2668"/>
    <w:rsid w:val="00FC2699"/>
    <w:rsid w:val="00FC2B22"/>
    <w:rsid w:val="00FC2E0A"/>
    <w:rsid w:val="00FC2E6F"/>
    <w:rsid w:val="00FC2E89"/>
    <w:rsid w:val="00FC2F59"/>
    <w:rsid w:val="00FC2F69"/>
    <w:rsid w:val="00FC314D"/>
    <w:rsid w:val="00FC315C"/>
    <w:rsid w:val="00FC3301"/>
    <w:rsid w:val="00FC350D"/>
    <w:rsid w:val="00FC3529"/>
    <w:rsid w:val="00FC39E7"/>
    <w:rsid w:val="00FC3AB9"/>
    <w:rsid w:val="00FC3E58"/>
    <w:rsid w:val="00FC3F57"/>
    <w:rsid w:val="00FC3FB5"/>
    <w:rsid w:val="00FC3FD1"/>
    <w:rsid w:val="00FC3FD4"/>
    <w:rsid w:val="00FC4033"/>
    <w:rsid w:val="00FC430F"/>
    <w:rsid w:val="00FC44DF"/>
    <w:rsid w:val="00FC45EA"/>
    <w:rsid w:val="00FC45EC"/>
    <w:rsid w:val="00FC46D2"/>
    <w:rsid w:val="00FC4780"/>
    <w:rsid w:val="00FC48D1"/>
    <w:rsid w:val="00FC4A08"/>
    <w:rsid w:val="00FC4A8B"/>
    <w:rsid w:val="00FC4A95"/>
    <w:rsid w:val="00FC4CC2"/>
    <w:rsid w:val="00FC4E0A"/>
    <w:rsid w:val="00FC4E36"/>
    <w:rsid w:val="00FC4E94"/>
    <w:rsid w:val="00FC4EEE"/>
    <w:rsid w:val="00FC4F08"/>
    <w:rsid w:val="00FC4FA9"/>
    <w:rsid w:val="00FC4FB2"/>
    <w:rsid w:val="00FC50BA"/>
    <w:rsid w:val="00FC51D2"/>
    <w:rsid w:val="00FC5251"/>
    <w:rsid w:val="00FC53BC"/>
    <w:rsid w:val="00FC54FC"/>
    <w:rsid w:val="00FC553C"/>
    <w:rsid w:val="00FC5548"/>
    <w:rsid w:val="00FC56E2"/>
    <w:rsid w:val="00FC5CCB"/>
    <w:rsid w:val="00FC5D10"/>
    <w:rsid w:val="00FC5D2A"/>
    <w:rsid w:val="00FC5FAA"/>
    <w:rsid w:val="00FC600D"/>
    <w:rsid w:val="00FC617E"/>
    <w:rsid w:val="00FC6376"/>
    <w:rsid w:val="00FC65B5"/>
    <w:rsid w:val="00FC66BC"/>
    <w:rsid w:val="00FC66CE"/>
    <w:rsid w:val="00FC6735"/>
    <w:rsid w:val="00FC67FC"/>
    <w:rsid w:val="00FC6A6F"/>
    <w:rsid w:val="00FC6A7D"/>
    <w:rsid w:val="00FC6CE3"/>
    <w:rsid w:val="00FC6E2B"/>
    <w:rsid w:val="00FC714C"/>
    <w:rsid w:val="00FC71C2"/>
    <w:rsid w:val="00FC7426"/>
    <w:rsid w:val="00FC7427"/>
    <w:rsid w:val="00FC7479"/>
    <w:rsid w:val="00FC779D"/>
    <w:rsid w:val="00FC77B4"/>
    <w:rsid w:val="00FC782A"/>
    <w:rsid w:val="00FC78C6"/>
    <w:rsid w:val="00FC7989"/>
    <w:rsid w:val="00FC7C69"/>
    <w:rsid w:val="00FD03D6"/>
    <w:rsid w:val="00FD040C"/>
    <w:rsid w:val="00FD04C5"/>
    <w:rsid w:val="00FD06E3"/>
    <w:rsid w:val="00FD0879"/>
    <w:rsid w:val="00FD092A"/>
    <w:rsid w:val="00FD0ABF"/>
    <w:rsid w:val="00FD0AF2"/>
    <w:rsid w:val="00FD0BA7"/>
    <w:rsid w:val="00FD0C99"/>
    <w:rsid w:val="00FD0D7F"/>
    <w:rsid w:val="00FD0D89"/>
    <w:rsid w:val="00FD0F08"/>
    <w:rsid w:val="00FD114B"/>
    <w:rsid w:val="00FD117C"/>
    <w:rsid w:val="00FD11CB"/>
    <w:rsid w:val="00FD12ED"/>
    <w:rsid w:val="00FD13A9"/>
    <w:rsid w:val="00FD14DE"/>
    <w:rsid w:val="00FD15DF"/>
    <w:rsid w:val="00FD163C"/>
    <w:rsid w:val="00FD1719"/>
    <w:rsid w:val="00FD1BB3"/>
    <w:rsid w:val="00FD1CF8"/>
    <w:rsid w:val="00FD1D3F"/>
    <w:rsid w:val="00FD1DD2"/>
    <w:rsid w:val="00FD1DDC"/>
    <w:rsid w:val="00FD1F75"/>
    <w:rsid w:val="00FD2061"/>
    <w:rsid w:val="00FD231C"/>
    <w:rsid w:val="00FD25AA"/>
    <w:rsid w:val="00FD25F5"/>
    <w:rsid w:val="00FD282A"/>
    <w:rsid w:val="00FD28AF"/>
    <w:rsid w:val="00FD2932"/>
    <w:rsid w:val="00FD2A75"/>
    <w:rsid w:val="00FD2B48"/>
    <w:rsid w:val="00FD2E12"/>
    <w:rsid w:val="00FD2EF7"/>
    <w:rsid w:val="00FD343E"/>
    <w:rsid w:val="00FD3442"/>
    <w:rsid w:val="00FD34B5"/>
    <w:rsid w:val="00FD3631"/>
    <w:rsid w:val="00FD3705"/>
    <w:rsid w:val="00FD3ADE"/>
    <w:rsid w:val="00FD3B60"/>
    <w:rsid w:val="00FD3D50"/>
    <w:rsid w:val="00FD3DBE"/>
    <w:rsid w:val="00FD3E16"/>
    <w:rsid w:val="00FD3EED"/>
    <w:rsid w:val="00FD3F6C"/>
    <w:rsid w:val="00FD41DF"/>
    <w:rsid w:val="00FD4286"/>
    <w:rsid w:val="00FD42DE"/>
    <w:rsid w:val="00FD4687"/>
    <w:rsid w:val="00FD49B6"/>
    <w:rsid w:val="00FD4A05"/>
    <w:rsid w:val="00FD4BB6"/>
    <w:rsid w:val="00FD4C6F"/>
    <w:rsid w:val="00FD4D33"/>
    <w:rsid w:val="00FD4DCB"/>
    <w:rsid w:val="00FD4E38"/>
    <w:rsid w:val="00FD4FCB"/>
    <w:rsid w:val="00FD5051"/>
    <w:rsid w:val="00FD5054"/>
    <w:rsid w:val="00FD51A4"/>
    <w:rsid w:val="00FD51C6"/>
    <w:rsid w:val="00FD5682"/>
    <w:rsid w:val="00FD56E8"/>
    <w:rsid w:val="00FD5748"/>
    <w:rsid w:val="00FD5912"/>
    <w:rsid w:val="00FD5AB0"/>
    <w:rsid w:val="00FD5CD6"/>
    <w:rsid w:val="00FD5CD7"/>
    <w:rsid w:val="00FD5DA2"/>
    <w:rsid w:val="00FD603F"/>
    <w:rsid w:val="00FD610C"/>
    <w:rsid w:val="00FD6323"/>
    <w:rsid w:val="00FD637A"/>
    <w:rsid w:val="00FD69D4"/>
    <w:rsid w:val="00FD6A7B"/>
    <w:rsid w:val="00FD6F88"/>
    <w:rsid w:val="00FD7210"/>
    <w:rsid w:val="00FD72B6"/>
    <w:rsid w:val="00FD7620"/>
    <w:rsid w:val="00FD769B"/>
    <w:rsid w:val="00FD77C8"/>
    <w:rsid w:val="00FD7A42"/>
    <w:rsid w:val="00FD7A76"/>
    <w:rsid w:val="00FD7B85"/>
    <w:rsid w:val="00FD7C1A"/>
    <w:rsid w:val="00FD7D5B"/>
    <w:rsid w:val="00FD7D86"/>
    <w:rsid w:val="00FD7E88"/>
    <w:rsid w:val="00FE007C"/>
    <w:rsid w:val="00FE0405"/>
    <w:rsid w:val="00FE0407"/>
    <w:rsid w:val="00FE075A"/>
    <w:rsid w:val="00FE0837"/>
    <w:rsid w:val="00FE0976"/>
    <w:rsid w:val="00FE0AED"/>
    <w:rsid w:val="00FE0D69"/>
    <w:rsid w:val="00FE0E4C"/>
    <w:rsid w:val="00FE124A"/>
    <w:rsid w:val="00FE12C2"/>
    <w:rsid w:val="00FE14C5"/>
    <w:rsid w:val="00FE1580"/>
    <w:rsid w:val="00FE16D6"/>
    <w:rsid w:val="00FE1809"/>
    <w:rsid w:val="00FE1830"/>
    <w:rsid w:val="00FE18B0"/>
    <w:rsid w:val="00FE19E3"/>
    <w:rsid w:val="00FE1A13"/>
    <w:rsid w:val="00FE1A1D"/>
    <w:rsid w:val="00FE1B62"/>
    <w:rsid w:val="00FE1FEC"/>
    <w:rsid w:val="00FE2058"/>
    <w:rsid w:val="00FE205D"/>
    <w:rsid w:val="00FE2095"/>
    <w:rsid w:val="00FE21ED"/>
    <w:rsid w:val="00FE22A8"/>
    <w:rsid w:val="00FE23DF"/>
    <w:rsid w:val="00FE24C2"/>
    <w:rsid w:val="00FE255D"/>
    <w:rsid w:val="00FE258F"/>
    <w:rsid w:val="00FE25E7"/>
    <w:rsid w:val="00FE26CE"/>
    <w:rsid w:val="00FE26F6"/>
    <w:rsid w:val="00FE29AE"/>
    <w:rsid w:val="00FE2A63"/>
    <w:rsid w:val="00FE2C57"/>
    <w:rsid w:val="00FE2CDA"/>
    <w:rsid w:val="00FE2D11"/>
    <w:rsid w:val="00FE2D14"/>
    <w:rsid w:val="00FE2F0E"/>
    <w:rsid w:val="00FE2F77"/>
    <w:rsid w:val="00FE321B"/>
    <w:rsid w:val="00FE32D6"/>
    <w:rsid w:val="00FE349F"/>
    <w:rsid w:val="00FE36BD"/>
    <w:rsid w:val="00FE38D6"/>
    <w:rsid w:val="00FE39EC"/>
    <w:rsid w:val="00FE3A49"/>
    <w:rsid w:val="00FE3ECD"/>
    <w:rsid w:val="00FE40E1"/>
    <w:rsid w:val="00FE411E"/>
    <w:rsid w:val="00FE411F"/>
    <w:rsid w:val="00FE4307"/>
    <w:rsid w:val="00FE46A8"/>
    <w:rsid w:val="00FE475E"/>
    <w:rsid w:val="00FE4908"/>
    <w:rsid w:val="00FE4937"/>
    <w:rsid w:val="00FE4A92"/>
    <w:rsid w:val="00FE4AF2"/>
    <w:rsid w:val="00FE4D9C"/>
    <w:rsid w:val="00FE4E79"/>
    <w:rsid w:val="00FE4F58"/>
    <w:rsid w:val="00FE50B0"/>
    <w:rsid w:val="00FE510D"/>
    <w:rsid w:val="00FE51F5"/>
    <w:rsid w:val="00FE5205"/>
    <w:rsid w:val="00FE52B4"/>
    <w:rsid w:val="00FE537C"/>
    <w:rsid w:val="00FE56A9"/>
    <w:rsid w:val="00FE579F"/>
    <w:rsid w:val="00FE5A26"/>
    <w:rsid w:val="00FE5A81"/>
    <w:rsid w:val="00FE5AA2"/>
    <w:rsid w:val="00FE5B5B"/>
    <w:rsid w:val="00FE5DD0"/>
    <w:rsid w:val="00FE63CA"/>
    <w:rsid w:val="00FE63F2"/>
    <w:rsid w:val="00FE6512"/>
    <w:rsid w:val="00FE66FB"/>
    <w:rsid w:val="00FE6C07"/>
    <w:rsid w:val="00FE6D68"/>
    <w:rsid w:val="00FE6FAF"/>
    <w:rsid w:val="00FE713F"/>
    <w:rsid w:val="00FE7435"/>
    <w:rsid w:val="00FE75D6"/>
    <w:rsid w:val="00FE779C"/>
    <w:rsid w:val="00FE79BC"/>
    <w:rsid w:val="00FE7B64"/>
    <w:rsid w:val="00FF009A"/>
    <w:rsid w:val="00FF015F"/>
    <w:rsid w:val="00FF02E0"/>
    <w:rsid w:val="00FF07A7"/>
    <w:rsid w:val="00FF07E0"/>
    <w:rsid w:val="00FF0880"/>
    <w:rsid w:val="00FF0B93"/>
    <w:rsid w:val="00FF0CE7"/>
    <w:rsid w:val="00FF0DAD"/>
    <w:rsid w:val="00FF0EEE"/>
    <w:rsid w:val="00FF1221"/>
    <w:rsid w:val="00FF1314"/>
    <w:rsid w:val="00FF1463"/>
    <w:rsid w:val="00FF1573"/>
    <w:rsid w:val="00FF15C6"/>
    <w:rsid w:val="00FF1655"/>
    <w:rsid w:val="00FF168D"/>
    <w:rsid w:val="00FF1717"/>
    <w:rsid w:val="00FF1896"/>
    <w:rsid w:val="00FF1906"/>
    <w:rsid w:val="00FF19C5"/>
    <w:rsid w:val="00FF1EDA"/>
    <w:rsid w:val="00FF1F73"/>
    <w:rsid w:val="00FF1FD9"/>
    <w:rsid w:val="00FF204C"/>
    <w:rsid w:val="00FF22D6"/>
    <w:rsid w:val="00FF24BA"/>
    <w:rsid w:val="00FF2828"/>
    <w:rsid w:val="00FF29BD"/>
    <w:rsid w:val="00FF2D3F"/>
    <w:rsid w:val="00FF2D84"/>
    <w:rsid w:val="00FF2E09"/>
    <w:rsid w:val="00FF2EC2"/>
    <w:rsid w:val="00FF2F25"/>
    <w:rsid w:val="00FF333A"/>
    <w:rsid w:val="00FF337B"/>
    <w:rsid w:val="00FF3516"/>
    <w:rsid w:val="00FF35A2"/>
    <w:rsid w:val="00FF35FE"/>
    <w:rsid w:val="00FF37EB"/>
    <w:rsid w:val="00FF38BE"/>
    <w:rsid w:val="00FF3F05"/>
    <w:rsid w:val="00FF3F4F"/>
    <w:rsid w:val="00FF3F86"/>
    <w:rsid w:val="00FF4678"/>
    <w:rsid w:val="00FF4850"/>
    <w:rsid w:val="00FF4990"/>
    <w:rsid w:val="00FF4A90"/>
    <w:rsid w:val="00FF4C71"/>
    <w:rsid w:val="00FF4DCA"/>
    <w:rsid w:val="00FF52D7"/>
    <w:rsid w:val="00FF558B"/>
    <w:rsid w:val="00FF559B"/>
    <w:rsid w:val="00FF56CE"/>
    <w:rsid w:val="00FF5707"/>
    <w:rsid w:val="00FF5841"/>
    <w:rsid w:val="00FF5853"/>
    <w:rsid w:val="00FF58F7"/>
    <w:rsid w:val="00FF5A7F"/>
    <w:rsid w:val="00FF5CF5"/>
    <w:rsid w:val="00FF5D1A"/>
    <w:rsid w:val="00FF5DDB"/>
    <w:rsid w:val="00FF5E04"/>
    <w:rsid w:val="00FF5E0E"/>
    <w:rsid w:val="00FF5E8C"/>
    <w:rsid w:val="00FF5F4F"/>
    <w:rsid w:val="00FF5FD7"/>
    <w:rsid w:val="00FF60AD"/>
    <w:rsid w:val="00FF622E"/>
    <w:rsid w:val="00FF625E"/>
    <w:rsid w:val="00FF6344"/>
    <w:rsid w:val="00FF63B3"/>
    <w:rsid w:val="00FF640C"/>
    <w:rsid w:val="00FF6415"/>
    <w:rsid w:val="00FF66E2"/>
    <w:rsid w:val="00FF674F"/>
    <w:rsid w:val="00FF678A"/>
    <w:rsid w:val="00FF6794"/>
    <w:rsid w:val="00FF6B0D"/>
    <w:rsid w:val="00FF6B35"/>
    <w:rsid w:val="00FF6BAC"/>
    <w:rsid w:val="00FF6C0C"/>
    <w:rsid w:val="00FF6D0C"/>
    <w:rsid w:val="00FF6D6E"/>
    <w:rsid w:val="00FF6E60"/>
    <w:rsid w:val="00FF6EB9"/>
    <w:rsid w:val="00FF6ECA"/>
    <w:rsid w:val="00FF777C"/>
    <w:rsid w:val="00FF7798"/>
    <w:rsid w:val="00FF7861"/>
    <w:rsid w:val="00FF786D"/>
    <w:rsid w:val="00FF7B8A"/>
    <w:rsid w:val="00FF7BCE"/>
    <w:rsid w:val="00FF7D03"/>
    <w:rsid w:val="00FF7D30"/>
    <w:rsid w:val="00FF7D50"/>
    <w:rsid w:val="00FF7F89"/>
    <w:rsid w:val="02B0032F"/>
    <w:rsid w:val="05641002"/>
    <w:rsid w:val="0645768C"/>
    <w:rsid w:val="078E11BA"/>
    <w:rsid w:val="08950AA6"/>
    <w:rsid w:val="08C36718"/>
    <w:rsid w:val="0AFB5B87"/>
    <w:rsid w:val="0CA3F2A4"/>
    <w:rsid w:val="0DDC3620"/>
    <w:rsid w:val="0E14BDC1"/>
    <w:rsid w:val="0EAB7D57"/>
    <w:rsid w:val="117357C5"/>
    <w:rsid w:val="16644335"/>
    <w:rsid w:val="17303E62"/>
    <w:rsid w:val="1869675E"/>
    <w:rsid w:val="194E72EA"/>
    <w:rsid w:val="1EC1AB94"/>
    <w:rsid w:val="22F3FFB5"/>
    <w:rsid w:val="25C37C36"/>
    <w:rsid w:val="2691098B"/>
    <w:rsid w:val="26986AE4"/>
    <w:rsid w:val="26BF0F72"/>
    <w:rsid w:val="2760E02E"/>
    <w:rsid w:val="29291699"/>
    <w:rsid w:val="2E91AA7A"/>
    <w:rsid w:val="337B546A"/>
    <w:rsid w:val="35FDF0F7"/>
    <w:rsid w:val="362F9E90"/>
    <w:rsid w:val="369E9F09"/>
    <w:rsid w:val="3BA566A2"/>
    <w:rsid w:val="3BD56F10"/>
    <w:rsid w:val="3C0E7D8A"/>
    <w:rsid w:val="3C6A65C4"/>
    <w:rsid w:val="4052FD80"/>
    <w:rsid w:val="411A2086"/>
    <w:rsid w:val="41449EB2"/>
    <w:rsid w:val="41BEAB36"/>
    <w:rsid w:val="43CDA814"/>
    <w:rsid w:val="471E4E9D"/>
    <w:rsid w:val="47D38521"/>
    <w:rsid w:val="48CCD90F"/>
    <w:rsid w:val="4F925B13"/>
    <w:rsid w:val="514BA86B"/>
    <w:rsid w:val="51C6EB28"/>
    <w:rsid w:val="5250F17E"/>
    <w:rsid w:val="54D20F66"/>
    <w:rsid w:val="55C38AF3"/>
    <w:rsid w:val="562E8EF8"/>
    <w:rsid w:val="573F2649"/>
    <w:rsid w:val="5BF0547A"/>
    <w:rsid w:val="5F6EA728"/>
    <w:rsid w:val="67585BAD"/>
    <w:rsid w:val="67C65267"/>
    <w:rsid w:val="67C8406B"/>
    <w:rsid w:val="6824E29A"/>
    <w:rsid w:val="6A10C2E8"/>
    <w:rsid w:val="6B7F51E3"/>
    <w:rsid w:val="6CC61E73"/>
    <w:rsid w:val="6CCF5D6B"/>
    <w:rsid w:val="72BC8D28"/>
    <w:rsid w:val="73576C1D"/>
    <w:rsid w:val="749E6C79"/>
    <w:rsid w:val="7606385D"/>
    <w:rsid w:val="768E10C0"/>
    <w:rsid w:val="76DADEA6"/>
    <w:rsid w:val="797D339F"/>
    <w:rsid w:val="7AA35DB2"/>
    <w:rsid w:val="7B2611D9"/>
    <w:rsid w:val="7E5CC5E4"/>
    <w:rsid w:val="7EC81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7328CB"/>
  <w15:chartTrackingRefBased/>
  <w15:docId w15:val="{9DA637F3-741A-4833-AC8B-95400A63B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5CC6"/>
  </w:style>
  <w:style w:type="paragraph" w:styleId="Heading1">
    <w:name w:val="heading 1"/>
    <w:basedOn w:val="Normal"/>
    <w:next w:val="Normal"/>
    <w:link w:val="Heading1Char"/>
    <w:uiPriority w:val="9"/>
    <w:qFormat/>
    <w:rsid w:val="00857B01"/>
    <w:pPr>
      <w:keepNext/>
      <w:keepLines/>
      <w:spacing w:before="240" w:after="0"/>
      <w:outlineLvl w:val="0"/>
    </w:pPr>
    <w:rPr>
      <w:rFonts w:ascii="Times New Roman" w:eastAsiaTheme="majorEastAsia" w:hAnsi="Times New Roman" w:cstheme="majorBidi"/>
      <w:b/>
      <w:color w:val="2F5496" w:themeColor="accent1" w:themeShade="BF"/>
      <w:sz w:val="26"/>
      <w:szCs w:val="32"/>
    </w:rPr>
  </w:style>
  <w:style w:type="paragraph" w:styleId="Heading2">
    <w:name w:val="heading 2"/>
    <w:basedOn w:val="Normal"/>
    <w:next w:val="Normal"/>
    <w:link w:val="Heading2Char"/>
    <w:uiPriority w:val="9"/>
    <w:unhideWhenUsed/>
    <w:qFormat/>
    <w:rsid w:val="00F303E0"/>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7D61"/>
    <w:pPr>
      <w:spacing w:after="0" w:line="240" w:lineRule="auto"/>
    </w:pPr>
    <w:rPr>
      <w:rFonts w:ascii="Times New Roman" w:eastAsiaTheme="minorEastAsia" w:hAnsi="Times New Roman"/>
      <w:sz w:val="26"/>
    </w:rPr>
  </w:style>
  <w:style w:type="character" w:customStyle="1" w:styleId="NoSpacingChar">
    <w:name w:val="No Spacing Char"/>
    <w:basedOn w:val="DefaultParagraphFont"/>
    <w:link w:val="NoSpacing"/>
    <w:uiPriority w:val="1"/>
    <w:rsid w:val="00357D61"/>
    <w:rPr>
      <w:rFonts w:ascii="Times New Roman" w:eastAsiaTheme="minorEastAsia" w:hAnsi="Times New Roman"/>
      <w:sz w:val="26"/>
    </w:rPr>
  </w:style>
  <w:style w:type="paragraph" w:styleId="Header">
    <w:name w:val="header"/>
    <w:basedOn w:val="Normal"/>
    <w:link w:val="HeaderChar"/>
    <w:uiPriority w:val="99"/>
    <w:unhideWhenUsed/>
    <w:rsid w:val="00470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34E"/>
  </w:style>
  <w:style w:type="paragraph" w:styleId="Footer">
    <w:name w:val="footer"/>
    <w:basedOn w:val="Normal"/>
    <w:link w:val="FooterChar"/>
    <w:uiPriority w:val="99"/>
    <w:unhideWhenUsed/>
    <w:qFormat/>
    <w:rsid w:val="00470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34E"/>
  </w:style>
  <w:style w:type="character" w:styleId="Hyperlink">
    <w:name w:val="Hyperlink"/>
    <w:basedOn w:val="DefaultParagraphFont"/>
    <w:uiPriority w:val="99"/>
    <w:unhideWhenUsed/>
    <w:rsid w:val="0088637C"/>
    <w:rPr>
      <w:color w:val="0563C1" w:themeColor="hyperlink"/>
      <w:u w:val="single"/>
    </w:rPr>
  </w:style>
  <w:style w:type="character" w:styleId="UnresolvedMention">
    <w:name w:val="Unresolved Mention"/>
    <w:basedOn w:val="DefaultParagraphFont"/>
    <w:uiPriority w:val="99"/>
    <w:semiHidden/>
    <w:unhideWhenUsed/>
    <w:rsid w:val="0088637C"/>
    <w:rPr>
      <w:color w:val="605E5C"/>
      <w:shd w:val="clear" w:color="auto" w:fill="E1DFDD"/>
    </w:rPr>
  </w:style>
  <w:style w:type="paragraph" w:styleId="NormalWeb">
    <w:name w:val="Normal (Web)"/>
    <w:basedOn w:val="Normal"/>
    <w:uiPriority w:val="99"/>
    <w:unhideWhenUsed/>
    <w:rsid w:val="0088637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007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7B1"/>
    <w:rPr>
      <w:rFonts w:ascii="Segoe UI" w:hAnsi="Segoe UI" w:cs="Segoe UI"/>
      <w:sz w:val="18"/>
      <w:szCs w:val="18"/>
    </w:rPr>
  </w:style>
  <w:style w:type="paragraph" w:styleId="ListParagraph">
    <w:name w:val="List Paragraph"/>
    <w:basedOn w:val="Normal"/>
    <w:uiPriority w:val="34"/>
    <w:qFormat/>
    <w:rsid w:val="00EF67AE"/>
    <w:pPr>
      <w:ind w:left="720"/>
      <w:contextualSpacing/>
    </w:pPr>
  </w:style>
  <w:style w:type="table" w:styleId="TableGrid">
    <w:name w:val="Table Grid"/>
    <w:basedOn w:val="TableNormal"/>
    <w:uiPriority w:val="59"/>
    <w:rsid w:val="00CB2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84B70"/>
    <w:rPr>
      <w:sz w:val="16"/>
      <w:szCs w:val="16"/>
    </w:rPr>
  </w:style>
  <w:style w:type="paragraph" w:styleId="CommentText">
    <w:name w:val="annotation text"/>
    <w:basedOn w:val="Normal"/>
    <w:link w:val="CommentTextChar"/>
    <w:uiPriority w:val="99"/>
    <w:unhideWhenUsed/>
    <w:rsid w:val="00684B70"/>
    <w:pPr>
      <w:spacing w:line="240" w:lineRule="auto"/>
    </w:pPr>
    <w:rPr>
      <w:sz w:val="20"/>
      <w:szCs w:val="20"/>
    </w:rPr>
  </w:style>
  <w:style w:type="character" w:customStyle="1" w:styleId="CommentTextChar">
    <w:name w:val="Comment Text Char"/>
    <w:basedOn w:val="DefaultParagraphFont"/>
    <w:link w:val="CommentText"/>
    <w:uiPriority w:val="99"/>
    <w:rsid w:val="00684B70"/>
    <w:rPr>
      <w:sz w:val="20"/>
      <w:szCs w:val="20"/>
    </w:rPr>
  </w:style>
  <w:style w:type="character" w:styleId="FootnoteReference">
    <w:name w:val="footnote reference"/>
    <w:aliases w:val="o,fr,footnote text"/>
    <w:basedOn w:val="DefaultParagraphFont"/>
    <w:uiPriority w:val="99"/>
    <w:unhideWhenUsed/>
    <w:rsid w:val="00684B70"/>
    <w:rPr>
      <w:vertAlign w:val="superscript"/>
    </w:rPr>
  </w:style>
  <w:style w:type="paragraph" w:styleId="Revision">
    <w:name w:val="Revision"/>
    <w:hidden/>
    <w:uiPriority w:val="99"/>
    <w:semiHidden/>
    <w:rsid w:val="001B1CDC"/>
    <w:pPr>
      <w:spacing w:after="0" w:line="240" w:lineRule="auto"/>
    </w:pPr>
  </w:style>
  <w:style w:type="table" w:customStyle="1" w:styleId="TableGrid1">
    <w:name w:val="Table Grid1"/>
    <w:basedOn w:val="TableNormal"/>
    <w:next w:val="TableGrid"/>
    <w:uiPriority w:val="39"/>
    <w:rsid w:val="007D2BB1"/>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semiHidden/>
    <w:unhideWhenUsed/>
    <w:rsid w:val="007D2BB1"/>
    <w:pPr>
      <w:spacing w:after="0" w:line="240" w:lineRule="auto"/>
    </w:pPr>
    <w:rPr>
      <w:rFonts w:ascii="Calibri" w:hAnsi="Calibri"/>
      <w:sz w:val="20"/>
      <w:szCs w:val="20"/>
    </w:rPr>
  </w:style>
  <w:style w:type="character" w:customStyle="1" w:styleId="FootnoteTextChar">
    <w:name w:val="Footnote Text Char"/>
    <w:aliases w:val="Footnote Text Char1 Char,Footnote Text Char Char1 Char,Footnote Text Char1 Char Char Char,Footnote Text Char Char1 Char Char Char,Footnote Text Char2 Char Char1 Char Char Char,Footnote Text Char1 Char Char Char Char Char1 Char"/>
    <w:basedOn w:val="DefaultParagraphFont"/>
    <w:link w:val="FootnoteText1"/>
    <w:uiPriority w:val="99"/>
    <w:rsid w:val="007D2BB1"/>
    <w:rPr>
      <w:rFonts w:ascii="Calibri" w:hAnsi="Calibri"/>
      <w:sz w:val="20"/>
      <w:szCs w:val="20"/>
    </w:rPr>
  </w:style>
  <w:style w:type="paragraph" w:styleId="FootnoteText">
    <w:name w:val="footnote text"/>
    <w:aliases w:val="Footnote Text Char Char1,Footnote Text Char1 Char Char,Footnote Text Char Char1 Char Char,Footnote Text Char2 Char Char1 Char Char,Footnote Text Char1 Char Char Char Char Char1"/>
    <w:basedOn w:val="Normal"/>
    <w:link w:val="FootnoteTextChar1"/>
    <w:uiPriority w:val="99"/>
    <w:unhideWhenUsed/>
    <w:rsid w:val="007D2BB1"/>
    <w:pPr>
      <w:spacing w:after="0" w:line="240" w:lineRule="auto"/>
    </w:pPr>
    <w:rPr>
      <w:sz w:val="20"/>
      <w:szCs w:val="20"/>
    </w:rPr>
  </w:style>
  <w:style w:type="character" w:customStyle="1" w:styleId="FootnoteTextChar1">
    <w:name w:val="Footnote Text Char1"/>
    <w:aliases w:val="Footnote Text Char Char1 Char1,Footnote Text Char1 Char Char Char1,Footnote Text Char Char1 Char Char Char1,Footnote Text Char2 Char Char1 Char Char Char1,Footnote Text Char1 Char Char Char Char Char1 Char1"/>
    <w:basedOn w:val="DefaultParagraphFont"/>
    <w:link w:val="FootnoteText"/>
    <w:uiPriority w:val="99"/>
    <w:rsid w:val="007D2BB1"/>
    <w:rPr>
      <w:sz w:val="20"/>
      <w:szCs w:val="20"/>
    </w:rPr>
  </w:style>
  <w:style w:type="paragraph" w:styleId="CommentSubject">
    <w:name w:val="annotation subject"/>
    <w:basedOn w:val="CommentText"/>
    <w:next w:val="CommentText"/>
    <w:link w:val="CommentSubjectChar"/>
    <w:uiPriority w:val="99"/>
    <w:semiHidden/>
    <w:unhideWhenUsed/>
    <w:rsid w:val="00516929"/>
    <w:rPr>
      <w:b/>
      <w:bCs/>
    </w:rPr>
  </w:style>
  <w:style w:type="character" w:customStyle="1" w:styleId="CommentSubjectChar">
    <w:name w:val="Comment Subject Char"/>
    <w:basedOn w:val="CommentTextChar"/>
    <w:link w:val="CommentSubject"/>
    <w:uiPriority w:val="99"/>
    <w:semiHidden/>
    <w:rsid w:val="00516929"/>
    <w:rPr>
      <w:b/>
      <w:bCs/>
      <w:sz w:val="20"/>
      <w:szCs w:val="20"/>
    </w:rPr>
  </w:style>
  <w:style w:type="character" w:styleId="Emphasis">
    <w:name w:val="Emphasis"/>
    <w:basedOn w:val="DefaultParagraphFont"/>
    <w:uiPriority w:val="20"/>
    <w:qFormat/>
    <w:rsid w:val="00516929"/>
    <w:rPr>
      <w:b/>
      <w:bCs/>
      <w:i w:val="0"/>
      <w:iCs w:val="0"/>
    </w:rPr>
  </w:style>
  <w:style w:type="character" w:customStyle="1" w:styleId="st1">
    <w:name w:val="st1"/>
    <w:basedOn w:val="DefaultParagraphFont"/>
    <w:rsid w:val="00516929"/>
  </w:style>
  <w:style w:type="character" w:customStyle="1" w:styleId="ilfuvd">
    <w:name w:val="ilfuvd"/>
    <w:basedOn w:val="DefaultParagraphFont"/>
    <w:rsid w:val="00516929"/>
  </w:style>
  <w:style w:type="character" w:styleId="FollowedHyperlink">
    <w:name w:val="FollowedHyperlink"/>
    <w:basedOn w:val="DefaultParagraphFont"/>
    <w:uiPriority w:val="99"/>
    <w:semiHidden/>
    <w:unhideWhenUsed/>
    <w:rsid w:val="00F93586"/>
    <w:rPr>
      <w:color w:val="954F72" w:themeColor="followedHyperlink"/>
      <w:u w:val="single"/>
    </w:rPr>
  </w:style>
  <w:style w:type="paragraph" w:styleId="EndnoteText">
    <w:name w:val="endnote text"/>
    <w:basedOn w:val="Normal"/>
    <w:link w:val="EndnoteTextChar"/>
    <w:uiPriority w:val="99"/>
    <w:semiHidden/>
    <w:rsid w:val="009A6DA2"/>
    <w:pPr>
      <w:spacing w:after="0" w:line="240" w:lineRule="auto"/>
    </w:pPr>
    <w:rPr>
      <w:rFonts w:ascii="Courier" w:eastAsia="Times New Roman" w:hAnsi="Courier" w:cs="Times New Roman"/>
      <w:sz w:val="24"/>
      <w:szCs w:val="20"/>
    </w:rPr>
  </w:style>
  <w:style w:type="character" w:customStyle="1" w:styleId="EndnoteTextChar">
    <w:name w:val="Endnote Text Char"/>
    <w:basedOn w:val="DefaultParagraphFont"/>
    <w:link w:val="EndnoteText"/>
    <w:uiPriority w:val="99"/>
    <w:semiHidden/>
    <w:rsid w:val="009A6DA2"/>
    <w:rPr>
      <w:rFonts w:ascii="Courier" w:eastAsia="Times New Roman" w:hAnsi="Courier" w:cs="Times New Roman"/>
      <w:sz w:val="24"/>
      <w:szCs w:val="20"/>
    </w:rPr>
  </w:style>
  <w:style w:type="paragraph" w:styleId="TOC8">
    <w:name w:val="toc 8"/>
    <w:basedOn w:val="Normal"/>
    <w:next w:val="Normal"/>
    <w:semiHidden/>
    <w:rsid w:val="009A6DA2"/>
    <w:pPr>
      <w:tabs>
        <w:tab w:val="right" w:pos="9360"/>
      </w:tabs>
      <w:suppressAutoHyphens/>
      <w:spacing w:after="0" w:line="240" w:lineRule="auto"/>
      <w:ind w:left="720" w:hanging="720"/>
    </w:pPr>
    <w:rPr>
      <w:rFonts w:ascii="Courier" w:eastAsia="Times New Roman" w:hAnsi="Courier" w:cs="Times New Roman"/>
      <w:sz w:val="24"/>
      <w:szCs w:val="20"/>
    </w:rPr>
  </w:style>
  <w:style w:type="paragraph" w:styleId="Index1">
    <w:name w:val="index 1"/>
    <w:basedOn w:val="Normal"/>
    <w:next w:val="Normal"/>
    <w:semiHidden/>
    <w:rsid w:val="009A6DA2"/>
    <w:pPr>
      <w:tabs>
        <w:tab w:val="right" w:leader="dot" w:pos="9360"/>
      </w:tabs>
      <w:suppressAutoHyphens/>
      <w:spacing w:after="0" w:line="240" w:lineRule="auto"/>
      <w:ind w:left="1440" w:right="720" w:hanging="1440"/>
    </w:pPr>
    <w:rPr>
      <w:rFonts w:ascii="Courier" w:eastAsia="Times New Roman" w:hAnsi="Courier" w:cs="Times New Roman"/>
      <w:sz w:val="24"/>
      <w:szCs w:val="20"/>
    </w:rPr>
  </w:style>
  <w:style w:type="paragraph" w:styleId="Index2">
    <w:name w:val="index 2"/>
    <w:basedOn w:val="Normal"/>
    <w:next w:val="Normal"/>
    <w:semiHidden/>
    <w:rsid w:val="009A6DA2"/>
    <w:pPr>
      <w:tabs>
        <w:tab w:val="right" w:leader="dot" w:pos="9360"/>
      </w:tabs>
      <w:suppressAutoHyphens/>
      <w:spacing w:after="0" w:line="240" w:lineRule="auto"/>
      <w:ind w:left="1440" w:right="720" w:hanging="720"/>
    </w:pPr>
    <w:rPr>
      <w:rFonts w:ascii="Courier" w:eastAsia="Times New Roman" w:hAnsi="Courier" w:cs="Times New Roman"/>
      <w:sz w:val="24"/>
      <w:szCs w:val="20"/>
    </w:rPr>
  </w:style>
  <w:style w:type="character" w:customStyle="1" w:styleId="Heading1Char">
    <w:name w:val="Heading 1 Char"/>
    <w:basedOn w:val="DefaultParagraphFont"/>
    <w:link w:val="Heading1"/>
    <w:uiPriority w:val="9"/>
    <w:rsid w:val="00C72727"/>
    <w:rPr>
      <w:rFonts w:ascii="Times New Roman" w:eastAsiaTheme="majorEastAsia" w:hAnsi="Times New Roman" w:cstheme="majorBidi"/>
      <w:b/>
      <w:color w:val="2F5496" w:themeColor="accent1" w:themeShade="BF"/>
      <w:sz w:val="26"/>
      <w:szCs w:val="32"/>
    </w:rPr>
  </w:style>
  <w:style w:type="paragraph" w:styleId="TOCHeading">
    <w:name w:val="TOC Heading"/>
    <w:basedOn w:val="Heading1"/>
    <w:next w:val="Normal"/>
    <w:uiPriority w:val="39"/>
    <w:unhideWhenUsed/>
    <w:qFormat/>
    <w:rsid w:val="00C72727"/>
    <w:pPr>
      <w:outlineLvl w:val="9"/>
    </w:pPr>
  </w:style>
  <w:style w:type="paragraph" w:styleId="TOC1">
    <w:name w:val="toc 1"/>
    <w:basedOn w:val="Normal"/>
    <w:next w:val="Normal"/>
    <w:autoRedefine/>
    <w:uiPriority w:val="39"/>
    <w:unhideWhenUsed/>
    <w:rsid w:val="00A20F71"/>
    <w:pPr>
      <w:tabs>
        <w:tab w:val="right" w:leader="dot" w:pos="9350"/>
      </w:tabs>
      <w:spacing w:after="100" w:line="360" w:lineRule="auto"/>
    </w:pPr>
  </w:style>
  <w:style w:type="paragraph" w:styleId="TOC2">
    <w:name w:val="toc 2"/>
    <w:basedOn w:val="Normal"/>
    <w:next w:val="Normal"/>
    <w:autoRedefine/>
    <w:uiPriority w:val="39"/>
    <w:unhideWhenUsed/>
    <w:rsid w:val="0034056A"/>
    <w:pPr>
      <w:tabs>
        <w:tab w:val="right" w:leader="dot" w:pos="9350"/>
      </w:tabs>
      <w:spacing w:after="100" w:line="360" w:lineRule="auto"/>
      <w:ind w:left="220"/>
    </w:pPr>
    <w:rPr>
      <w:rFonts w:eastAsiaTheme="minorEastAsia" w:cs="Times New Roman"/>
    </w:rPr>
  </w:style>
  <w:style w:type="paragraph" w:styleId="TOC3">
    <w:name w:val="toc 3"/>
    <w:basedOn w:val="Normal"/>
    <w:next w:val="Normal"/>
    <w:autoRedefine/>
    <w:uiPriority w:val="39"/>
    <w:unhideWhenUsed/>
    <w:rsid w:val="00570FAD"/>
    <w:pPr>
      <w:spacing w:after="100"/>
      <w:ind w:left="440"/>
    </w:pPr>
    <w:rPr>
      <w:rFonts w:eastAsiaTheme="minorEastAsia" w:cs="Times New Roman"/>
    </w:rPr>
  </w:style>
  <w:style w:type="character" w:styleId="EndnoteReference">
    <w:name w:val="endnote reference"/>
    <w:basedOn w:val="DefaultParagraphFont"/>
    <w:uiPriority w:val="99"/>
    <w:semiHidden/>
    <w:unhideWhenUsed/>
    <w:rsid w:val="00F303E0"/>
    <w:rPr>
      <w:vertAlign w:val="superscript"/>
    </w:rPr>
  </w:style>
  <w:style w:type="paragraph" w:styleId="BodyText">
    <w:name w:val="Body Text"/>
    <w:basedOn w:val="Normal"/>
    <w:link w:val="BodyTextChar"/>
    <w:uiPriority w:val="99"/>
    <w:semiHidden/>
    <w:unhideWhenUsed/>
    <w:rsid w:val="00F303E0"/>
    <w:pPr>
      <w:spacing w:after="120" w:line="240" w:lineRule="auto"/>
    </w:pPr>
    <w:rPr>
      <w:rFonts w:ascii="Arial" w:hAnsi="Arial"/>
      <w:sz w:val="24"/>
    </w:rPr>
  </w:style>
  <w:style w:type="character" w:customStyle="1" w:styleId="BodyTextChar">
    <w:name w:val="Body Text Char"/>
    <w:basedOn w:val="DefaultParagraphFont"/>
    <w:link w:val="BodyText"/>
    <w:uiPriority w:val="99"/>
    <w:semiHidden/>
    <w:rsid w:val="00F303E0"/>
    <w:rPr>
      <w:rFonts w:ascii="Arial" w:hAnsi="Arial"/>
      <w:sz w:val="24"/>
    </w:rPr>
  </w:style>
  <w:style w:type="paragraph" w:customStyle="1" w:styleId="TableParagraph">
    <w:name w:val="Table Paragraph"/>
    <w:basedOn w:val="Normal"/>
    <w:uiPriority w:val="1"/>
    <w:qFormat/>
    <w:rsid w:val="00F303E0"/>
    <w:pPr>
      <w:widowControl w:val="0"/>
      <w:autoSpaceDE w:val="0"/>
      <w:autoSpaceDN w:val="0"/>
      <w:spacing w:before="33" w:after="0" w:line="240" w:lineRule="auto"/>
      <w:ind w:left="50"/>
    </w:pPr>
    <w:rPr>
      <w:rFonts w:ascii="Arial" w:eastAsia="Arial" w:hAnsi="Arial" w:cs="Arial"/>
    </w:rPr>
  </w:style>
  <w:style w:type="character" w:customStyle="1" w:styleId="Heading2Char">
    <w:name w:val="Heading 2 Char"/>
    <w:basedOn w:val="DefaultParagraphFont"/>
    <w:link w:val="Heading2"/>
    <w:uiPriority w:val="9"/>
    <w:rsid w:val="00F303E0"/>
    <w:rPr>
      <w:rFonts w:ascii="Times New Roman" w:eastAsiaTheme="majorEastAsia" w:hAnsi="Times New Roman" w:cstheme="majorBidi"/>
      <w:color w:val="2F5496" w:themeColor="accent1" w:themeShade="BF"/>
      <w:sz w:val="26"/>
      <w:szCs w:val="26"/>
    </w:rPr>
  </w:style>
  <w:style w:type="table" w:customStyle="1" w:styleId="TableGrid2">
    <w:name w:val="Table Grid2"/>
    <w:basedOn w:val="TableNormal"/>
    <w:next w:val="TableGrid"/>
    <w:uiPriority w:val="39"/>
    <w:rsid w:val="006B2719"/>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0735">
      <w:bodyDiv w:val="1"/>
      <w:marLeft w:val="0"/>
      <w:marRight w:val="0"/>
      <w:marTop w:val="0"/>
      <w:marBottom w:val="0"/>
      <w:divBdr>
        <w:top w:val="none" w:sz="0" w:space="0" w:color="auto"/>
        <w:left w:val="none" w:sz="0" w:space="0" w:color="auto"/>
        <w:bottom w:val="none" w:sz="0" w:space="0" w:color="auto"/>
        <w:right w:val="none" w:sz="0" w:space="0" w:color="auto"/>
      </w:divBdr>
    </w:div>
    <w:div w:id="9332174">
      <w:bodyDiv w:val="1"/>
      <w:marLeft w:val="0"/>
      <w:marRight w:val="0"/>
      <w:marTop w:val="0"/>
      <w:marBottom w:val="0"/>
      <w:divBdr>
        <w:top w:val="none" w:sz="0" w:space="0" w:color="auto"/>
        <w:left w:val="none" w:sz="0" w:space="0" w:color="auto"/>
        <w:bottom w:val="none" w:sz="0" w:space="0" w:color="auto"/>
        <w:right w:val="none" w:sz="0" w:space="0" w:color="auto"/>
      </w:divBdr>
    </w:div>
    <w:div w:id="23143290">
      <w:bodyDiv w:val="1"/>
      <w:marLeft w:val="0"/>
      <w:marRight w:val="0"/>
      <w:marTop w:val="0"/>
      <w:marBottom w:val="0"/>
      <w:divBdr>
        <w:top w:val="none" w:sz="0" w:space="0" w:color="auto"/>
        <w:left w:val="none" w:sz="0" w:space="0" w:color="auto"/>
        <w:bottom w:val="none" w:sz="0" w:space="0" w:color="auto"/>
        <w:right w:val="none" w:sz="0" w:space="0" w:color="auto"/>
      </w:divBdr>
    </w:div>
    <w:div w:id="28725953">
      <w:bodyDiv w:val="1"/>
      <w:marLeft w:val="0"/>
      <w:marRight w:val="0"/>
      <w:marTop w:val="0"/>
      <w:marBottom w:val="0"/>
      <w:divBdr>
        <w:top w:val="none" w:sz="0" w:space="0" w:color="auto"/>
        <w:left w:val="none" w:sz="0" w:space="0" w:color="auto"/>
        <w:bottom w:val="none" w:sz="0" w:space="0" w:color="auto"/>
        <w:right w:val="none" w:sz="0" w:space="0" w:color="auto"/>
      </w:divBdr>
    </w:div>
    <w:div w:id="29885953">
      <w:bodyDiv w:val="1"/>
      <w:marLeft w:val="0"/>
      <w:marRight w:val="0"/>
      <w:marTop w:val="0"/>
      <w:marBottom w:val="0"/>
      <w:divBdr>
        <w:top w:val="none" w:sz="0" w:space="0" w:color="auto"/>
        <w:left w:val="none" w:sz="0" w:space="0" w:color="auto"/>
        <w:bottom w:val="none" w:sz="0" w:space="0" w:color="auto"/>
        <w:right w:val="none" w:sz="0" w:space="0" w:color="auto"/>
      </w:divBdr>
    </w:div>
    <w:div w:id="37242203">
      <w:bodyDiv w:val="1"/>
      <w:marLeft w:val="0"/>
      <w:marRight w:val="0"/>
      <w:marTop w:val="0"/>
      <w:marBottom w:val="0"/>
      <w:divBdr>
        <w:top w:val="none" w:sz="0" w:space="0" w:color="auto"/>
        <w:left w:val="none" w:sz="0" w:space="0" w:color="auto"/>
        <w:bottom w:val="none" w:sz="0" w:space="0" w:color="auto"/>
        <w:right w:val="none" w:sz="0" w:space="0" w:color="auto"/>
      </w:divBdr>
    </w:div>
    <w:div w:id="38745200">
      <w:bodyDiv w:val="1"/>
      <w:marLeft w:val="0"/>
      <w:marRight w:val="0"/>
      <w:marTop w:val="0"/>
      <w:marBottom w:val="0"/>
      <w:divBdr>
        <w:top w:val="none" w:sz="0" w:space="0" w:color="auto"/>
        <w:left w:val="none" w:sz="0" w:space="0" w:color="auto"/>
        <w:bottom w:val="none" w:sz="0" w:space="0" w:color="auto"/>
        <w:right w:val="none" w:sz="0" w:space="0" w:color="auto"/>
      </w:divBdr>
    </w:div>
    <w:div w:id="41446844">
      <w:bodyDiv w:val="1"/>
      <w:marLeft w:val="0"/>
      <w:marRight w:val="0"/>
      <w:marTop w:val="0"/>
      <w:marBottom w:val="0"/>
      <w:divBdr>
        <w:top w:val="none" w:sz="0" w:space="0" w:color="auto"/>
        <w:left w:val="none" w:sz="0" w:space="0" w:color="auto"/>
        <w:bottom w:val="none" w:sz="0" w:space="0" w:color="auto"/>
        <w:right w:val="none" w:sz="0" w:space="0" w:color="auto"/>
      </w:divBdr>
    </w:div>
    <w:div w:id="43601708">
      <w:bodyDiv w:val="1"/>
      <w:marLeft w:val="0"/>
      <w:marRight w:val="0"/>
      <w:marTop w:val="0"/>
      <w:marBottom w:val="0"/>
      <w:divBdr>
        <w:top w:val="none" w:sz="0" w:space="0" w:color="auto"/>
        <w:left w:val="none" w:sz="0" w:space="0" w:color="auto"/>
        <w:bottom w:val="none" w:sz="0" w:space="0" w:color="auto"/>
        <w:right w:val="none" w:sz="0" w:space="0" w:color="auto"/>
      </w:divBdr>
    </w:div>
    <w:div w:id="85733560">
      <w:bodyDiv w:val="1"/>
      <w:marLeft w:val="0"/>
      <w:marRight w:val="0"/>
      <w:marTop w:val="0"/>
      <w:marBottom w:val="0"/>
      <w:divBdr>
        <w:top w:val="none" w:sz="0" w:space="0" w:color="auto"/>
        <w:left w:val="none" w:sz="0" w:space="0" w:color="auto"/>
        <w:bottom w:val="none" w:sz="0" w:space="0" w:color="auto"/>
        <w:right w:val="none" w:sz="0" w:space="0" w:color="auto"/>
      </w:divBdr>
    </w:div>
    <w:div w:id="93061334">
      <w:bodyDiv w:val="1"/>
      <w:marLeft w:val="0"/>
      <w:marRight w:val="0"/>
      <w:marTop w:val="0"/>
      <w:marBottom w:val="0"/>
      <w:divBdr>
        <w:top w:val="none" w:sz="0" w:space="0" w:color="auto"/>
        <w:left w:val="none" w:sz="0" w:space="0" w:color="auto"/>
        <w:bottom w:val="none" w:sz="0" w:space="0" w:color="auto"/>
        <w:right w:val="none" w:sz="0" w:space="0" w:color="auto"/>
      </w:divBdr>
    </w:div>
    <w:div w:id="95836429">
      <w:bodyDiv w:val="1"/>
      <w:marLeft w:val="0"/>
      <w:marRight w:val="0"/>
      <w:marTop w:val="0"/>
      <w:marBottom w:val="0"/>
      <w:divBdr>
        <w:top w:val="none" w:sz="0" w:space="0" w:color="auto"/>
        <w:left w:val="none" w:sz="0" w:space="0" w:color="auto"/>
        <w:bottom w:val="none" w:sz="0" w:space="0" w:color="auto"/>
        <w:right w:val="none" w:sz="0" w:space="0" w:color="auto"/>
      </w:divBdr>
    </w:div>
    <w:div w:id="97264026">
      <w:bodyDiv w:val="1"/>
      <w:marLeft w:val="0"/>
      <w:marRight w:val="0"/>
      <w:marTop w:val="0"/>
      <w:marBottom w:val="0"/>
      <w:divBdr>
        <w:top w:val="none" w:sz="0" w:space="0" w:color="auto"/>
        <w:left w:val="none" w:sz="0" w:space="0" w:color="auto"/>
        <w:bottom w:val="none" w:sz="0" w:space="0" w:color="auto"/>
        <w:right w:val="none" w:sz="0" w:space="0" w:color="auto"/>
      </w:divBdr>
    </w:div>
    <w:div w:id="107361462">
      <w:bodyDiv w:val="1"/>
      <w:marLeft w:val="0"/>
      <w:marRight w:val="0"/>
      <w:marTop w:val="0"/>
      <w:marBottom w:val="0"/>
      <w:divBdr>
        <w:top w:val="none" w:sz="0" w:space="0" w:color="auto"/>
        <w:left w:val="none" w:sz="0" w:space="0" w:color="auto"/>
        <w:bottom w:val="none" w:sz="0" w:space="0" w:color="auto"/>
        <w:right w:val="none" w:sz="0" w:space="0" w:color="auto"/>
      </w:divBdr>
    </w:div>
    <w:div w:id="130364591">
      <w:bodyDiv w:val="1"/>
      <w:marLeft w:val="0"/>
      <w:marRight w:val="0"/>
      <w:marTop w:val="0"/>
      <w:marBottom w:val="0"/>
      <w:divBdr>
        <w:top w:val="none" w:sz="0" w:space="0" w:color="auto"/>
        <w:left w:val="none" w:sz="0" w:space="0" w:color="auto"/>
        <w:bottom w:val="none" w:sz="0" w:space="0" w:color="auto"/>
        <w:right w:val="none" w:sz="0" w:space="0" w:color="auto"/>
      </w:divBdr>
    </w:div>
    <w:div w:id="137572791">
      <w:bodyDiv w:val="1"/>
      <w:marLeft w:val="0"/>
      <w:marRight w:val="0"/>
      <w:marTop w:val="0"/>
      <w:marBottom w:val="0"/>
      <w:divBdr>
        <w:top w:val="none" w:sz="0" w:space="0" w:color="auto"/>
        <w:left w:val="none" w:sz="0" w:space="0" w:color="auto"/>
        <w:bottom w:val="none" w:sz="0" w:space="0" w:color="auto"/>
        <w:right w:val="none" w:sz="0" w:space="0" w:color="auto"/>
      </w:divBdr>
    </w:div>
    <w:div w:id="144710162">
      <w:bodyDiv w:val="1"/>
      <w:marLeft w:val="0"/>
      <w:marRight w:val="0"/>
      <w:marTop w:val="0"/>
      <w:marBottom w:val="0"/>
      <w:divBdr>
        <w:top w:val="none" w:sz="0" w:space="0" w:color="auto"/>
        <w:left w:val="none" w:sz="0" w:space="0" w:color="auto"/>
        <w:bottom w:val="none" w:sz="0" w:space="0" w:color="auto"/>
        <w:right w:val="none" w:sz="0" w:space="0" w:color="auto"/>
      </w:divBdr>
    </w:div>
    <w:div w:id="147401159">
      <w:bodyDiv w:val="1"/>
      <w:marLeft w:val="0"/>
      <w:marRight w:val="0"/>
      <w:marTop w:val="0"/>
      <w:marBottom w:val="0"/>
      <w:divBdr>
        <w:top w:val="none" w:sz="0" w:space="0" w:color="auto"/>
        <w:left w:val="none" w:sz="0" w:space="0" w:color="auto"/>
        <w:bottom w:val="none" w:sz="0" w:space="0" w:color="auto"/>
        <w:right w:val="none" w:sz="0" w:space="0" w:color="auto"/>
      </w:divBdr>
    </w:div>
    <w:div w:id="176845254">
      <w:bodyDiv w:val="1"/>
      <w:marLeft w:val="0"/>
      <w:marRight w:val="0"/>
      <w:marTop w:val="0"/>
      <w:marBottom w:val="0"/>
      <w:divBdr>
        <w:top w:val="none" w:sz="0" w:space="0" w:color="auto"/>
        <w:left w:val="none" w:sz="0" w:space="0" w:color="auto"/>
        <w:bottom w:val="none" w:sz="0" w:space="0" w:color="auto"/>
        <w:right w:val="none" w:sz="0" w:space="0" w:color="auto"/>
      </w:divBdr>
    </w:div>
    <w:div w:id="190530591">
      <w:bodyDiv w:val="1"/>
      <w:marLeft w:val="0"/>
      <w:marRight w:val="0"/>
      <w:marTop w:val="0"/>
      <w:marBottom w:val="0"/>
      <w:divBdr>
        <w:top w:val="none" w:sz="0" w:space="0" w:color="auto"/>
        <w:left w:val="none" w:sz="0" w:space="0" w:color="auto"/>
        <w:bottom w:val="none" w:sz="0" w:space="0" w:color="auto"/>
        <w:right w:val="none" w:sz="0" w:space="0" w:color="auto"/>
      </w:divBdr>
    </w:div>
    <w:div w:id="196435035">
      <w:bodyDiv w:val="1"/>
      <w:marLeft w:val="0"/>
      <w:marRight w:val="0"/>
      <w:marTop w:val="0"/>
      <w:marBottom w:val="0"/>
      <w:divBdr>
        <w:top w:val="none" w:sz="0" w:space="0" w:color="auto"/>
        <w:left w:val="none" w:sz="0" w:space="0" w:color="auto"/>
        <w:bottom w:val="none" w:sz="0" w:space="0" w:color="auto"/>
        <w:right w:val="none" w:sz="0" w:space="0" w:color="auto"/>
      </w:divBdr>
    </w:div>
    <w:div w:id="213274668">
      <w:bodyDiv w:val="1"/>
      <w:marLeft w:val="0"/>
      <w:marRight w:val="0"/>
      <w:marTop w:val="0"/>
      <w:marBottom w:val="0"/>
      <w:divBdr>
        <w:top w:val="none" w:sz="0" w:space="0" w:color="auto"/>
        <w:left w:val="none" w:sz="0" w:space="0" w:color="auto"/>
        <w:bottom w:val="none" w:sz="0" w:space="0" w:color="auto"/>
        <w:right w:val="none" w:sz="0" w:space="0" w:color="auto"/>
      </w:divBdr>
    </w:div>
    <w:div w:id="216554257">
      <w:bodyDiv w:val="1"/>
      <w:marLeft w:val="0"/>
      <w:marRight w:val="0"/>
      <w:marTop w:val="0"/>
      <w:marBottom w:val="0"/>
      <w:divBdr>
        <w:top w:val="none" w:sz="0" w:space="0" w:color="auto"/>
        <w:left w:val="none" w:sz="0" w:space="0" w:color="auto"/>
        <w:bottom w:val="none" w:sz="0" w:space="0" w:color="auto"/>
        <w:right w:val="none" w:sz="0" w:space="0" w:color="auto"/>
      </w:divBdr>
    </w:div>
    <w:div w:id="216747874">
      <w:bodyDiv w:val="1"/>
      <w:marLeft w:val="0"/>
      <w:marRight w:val="0"/>
      <w:marTop w:val="0"/>
      <w:marBottom w:val="0"/>
      <w:divBdr>
        <w:top w:val="none" w:sz="0" w:space="0" w:color="auto"/>
        <w:left w:val="none" w:sz="0" w:space="0" w:color="auto"/>
        <w:bottom w:val="none" w:sz="0" w:space="0" w:color="auto"/>
        <w:right w:val="none" w:sz="0" w:space="0" w:color="auto"/>
      </w:divBdr>
    </w:div>
    <w:div w:id="223104060">
      <w:bodyDiv w:val="1"/>
      <w:marLeft w:val="0"/>
      <w:marRight w:val="0"/>
      <w:marTop w:val="0"/>
      <w:marBottom w:val="0"/>
      <w:divBdr>
        <w:top w:val="none" w:sz="0" w:space="0" w:color="auto"/>
        <w:left w:val="none" w:sz="0" w:space="0" w:color="auto"/>
        <w:bottom w:val="none" w:sz="0" w:space="0" w:color="auto"/>
        <w:right w:val="none" w:sz="0" w:space="0" w:color="auto"/>
      </w:divBdr>
    </w:div>
    <w:div w:id="238178217">
      <w:bodyDiv w:val="1"/>
      <w:marLeft w:val="0"/>
      <w:marRight w:val="0"/>
      <w:marTop w:val="0"/>
      <w:marBottom w:val="0"/>
      <w:divBdr>
        <w:top w:val="none" w:sz="0" w:space="0" w:color="auto"/>
        <w:left w:val="none" w:sz="0" w:space="0" w:color="auto"/>
        <w:bottom w:val="none" w:sz="0" w:space="0" w:color="auto"/>
        <w:right w:val="none" w:sz="0" w:space="0" w:color="auto"/>
      </w:divBdr>
    </w:div>
    <w:div w:id="253245556">
      <w:bodyDiv w:val="1"/>
      <w:marLeft w:val="0"/>
      <w:marRight w:val="0"/>
      <w:marTop w:val="0"/>
      <w:marBottom w:val="0"/>
      <w:divBdr>
        <w:top w:val="none" w:sz="0" w:space="0" w:color="auto"/>
        <w:left w:val="none" w:sz="0" w:space="0" w:color="auto"/>
        <w:bottom w:val="none" w:sz="0" w:space="0" w:color="auto"/>
        <w:right w:val="none" w:sz="0" w:space="0" w:color="auto"/>
      </w:divBdr>
    </w:div>
    <w:div w:id="264074342">
      <w:bodyDiv w:val="1"/>
      <w:marLeft w:val="0"/>
      <w:marRight w:val="0"/>
      <w:marTop w:val="0"/>
      <w:marBottom w:val="0"/>
      <w:divBdr>
        <w:top w:val="none" w:sz="0" w:space="0" w:color="auto"/>
        <w:left w:val="none" w:sz="0" w:space="0" w:color="auto"/>
        <w:bottom w:val="none" w:sz="0" w:space="0" w:color="auto"/>
        <w:right w:val="none" w:sz="0" w:space="0" w:color="auto"/>
      </w:divBdr>
    </w:div>
    <w:div w:id="269820849">
      <w:bodyDiv w:val="1"/>
      <w:marLeft w:val="0"/>
      <w:marRight w:val="0"/>
      <w:marTop w:val="0"/>
      <w:marBottom w:val="0"/>
      <w:divBdr>
        <w:top w:val="none" w:sz="0" w:space="0" w:color="auto"/>
        <w:left w:val="none" w:sz="0" w:space="0" w:color="auto"/>
        <w:bottom w:val="none" w:sz="0" w:space="0" w:color="auto"/>
        <w:right w:val="none" w:sz="0" w:space="0" w:color="auto"/>
      </w:divBdr>
    </w:div>
    <w:div w:id="281033078">
      <w:bodyDiv w:val="1"/>
      <w:marLeft w:val="0"/>
      <w:marRight w:val="0"/>
      <w:marTop w:val="0"/>
      <w:marBottom w:val="0"/>
      <w:divBdr>
        <w:top w:val="none" w:sz="0" w:space="0" w:color="auto"/>
        <w:left w:val="none" w:sz="0" w:space="0" w:color="auto"/>
        <w:bottom w:val="none" w:sz="0" w:space="0" w:color="auto"/>
        <w:right w:val="none" w:sz="0" w:space="0" w:color="auto"/>
      </w:divBdr>
    </w:div>
    <w:div w:id="291785354">
      <w:bodyDiv w:val="1"/>
      <w:marLeft w:val="0"/>
      <w:marRight w:val="0"/>
      <w:marTop w:val="0"/>
      <w:marBottom w:val="0"/>
      <w:divBdr>
        <w:top w:val="none" w:sz="0" w:space="0" w:color="auto"/>
        <w:left w:val="none" w:sz="0" w:space="0" w:color="auto"/>
        <w:bottom w:val="none" w:sz="0" w:space="0" w:color="auto"/>
        <w:right w:val="none" w:sz="0" w:space="0" w:color="auto"/>
      </w:divBdr>
    </w:div>
    <w:div w:id="307320806">
      <w:bodyDiv w:val="1"/>
      <w:marLeft w:val="0"/>
      <w:marRight w:val="0"/>
      <w:marTop w:val="0"/>
      <w:marBottom w:val="0"/>
      <w:divBdr>
        <w:top w:val="none" w:sz="0" w:space="0" w:color="auto"/>
        <w:left w:val="none" w:sz="0" w:space="0" w:color="auto"/>
        <w:bottom w:val="none" w:sz="0" w:space="0" w:color="auto"/>
        <w:right w:val="none" w:sz="0" w:space="0" w:color="auto"/>
      </w:divBdr>
    </w:div>
    <w:div w:id="323320056">
      <w:bodyDiv w:val="1"/>
      <w:marLeft w:val="0"/>
      <w:marRight w:val="0"/>
      <w:marTop w:val="0"/>
      <w:marBottom w:val="0"/>
      <w:divBdr>
        <w:top w:val="none" w:sz="0" w:space="0" w:color="auto"/>
        <w:left w:val="none" w:sz="0" w:space="0" w:color="auto"/>
        <w:bottom w:val="none" w:sz="0" w:space="0" w:color="auto"/>
        <w:right w:val="none" w:sz="0" w:space="0" w:color="auto"/>
      </w:divBdr>
    </w:div>
    <w:div w:id="336347940">
      <w:bodyDiv w:val="1"/>
      <w:marLeft w:val="0"/>
      <w:marRight w:val="0"/>
      <w:marTop w:val="0"/>
      <w:marBottom w:val="0"/>
      <w:divBdr>
        <w:top w:val="none" w:sz="0" w:space="0" w:color="auto"/>
        <w:left w:val="none" w:sz="0" w:space="0" w:color="auto"/>
        <w:bottom w:val="none" w:sz="0" w:space="0" w:color="auto"/>
        <w:right w:val="none" w:sz="0" w:space="0" w:color="auto"/>
      </w:divBdr>
    </w:div>
    <w:div w:id="336731712">
      <w:bodyDiv w:val="1"/>
      <w:marLeft w:val="0"/>
      <w:marRight w:val="0"/>
      <w:marTop w:val="0"/>
      <w:marBottom w:val="0"/>
      <w:divBdr>
        <w:top w:val="none" w:sz="0" w:space="0" w:color="auto"/>
        <w:left w:val="none" w:sz="0" w:space="0" w:color="auto"/>
        <w:bottom w:val="none" w:sz="0" w:space="0" w:color="auto"/>
        <w:right w:val="none" w:sz="0" w:space="0" w:color="auto"/>
      </w:divBdr>
    </w:div>
    <w:div w:id="352271787">
      <w:bodyDiv w:val="1"/>
      <w:marLeft w:val="0"/>
      <w:marRight w:val="0"/>
      <w:marTop w:val="0"/>
      <w:marBottom w:val="0"/>
      <w:divBdr>
        <w:top w:val="none" w:sz="0" w:space="0" w:color="auto"/>
        <w:left w:val="none" w:sz="0" w:space="0" w:color="auto"/>
        <w:bottom w:val="none" w:sz="0" w:space="0" w:color="auto"/>
        <w:right w:val="none" w:sz="0" w:space="0" w:color="auto"/>
      </w:divBdr>
    </w:div>
    <w:div w:id="361630302">
      <w:bodyDiv w:val="1"/>
      <w:marLeft w:val="0"/>
      <w:marRight w:val="0"/>
      <w:marTop w:val="0"/>
      <w:marBottom w:val="0"/>
      <w:divBdr>
        <w:top w:val="none" w:sz="0" w:space="0" w:color="auto"/>
        <w:left w:val="none" w:sz="0" w:space="0" w:color="auto"/>
        <w:bottom w:val="none" w:sz="0" w:space="0" w:color="auto"/>
        <w:right w:val="none" w:sz="0" w:space="0" w:color="auto"/>
      </w:divBdr>
    </w:div>
    <w:div w:id="382414287">
      <w:bodyDiv w:val="1"/>
      <w:marLeft w:val="0"/>
      <w:marRight w:val="0"/>
      <w:marTop w:val="0"/>
      <w:marBottom w:val="0"/>
      <w:divBdr>
        <w:top w:val="none" w:sz="0" w:space="0" w:color="auto"/>
        <w:left w:val="none" w:sz="0" w:space="0" w:color="auto"/>
        <w:bottom w:val="none" w:sz="0" w:space="0" w:color="auto"/>
        <w:right w:val="none" w:sz="0" w:space="0" w:color="auto"/>
      </w:divBdr>
    </w:div>
    <w:div w:id="387150881">
      <w:bodyDiv w:val="1"/>
      <w:marLeft w:val="0"/>
      <w:marRight w:val="0"/>
      <w:marTop w:val="0"/>
      <w:marBottom w:val="0"/>
      <w:divBdr>
        <w:top w:val="none" w:sz="0" w:space="0" w:color="auto"/>
        <w:left w:val="none" w:sz="0" w:space="0" w:color="auto"/>
        <w:bottom w:val="none" w:sz="0" w:space="0" w:color="auto"/>
        <w:right w:val="none" w:sz="0" w:space="0" w:color="auto"/>
      </w:divBdr>
    </w:div>
    <w:div w:id="400179830">
      <w:bodyDiv w:val="1"/>
      <w:marLeft w:val="0"/>
      <w:marRight w:val="0"/>
      <w:marTop w:val="0"/>
      <w:marBottom w:val="0"/>
      <w:divBdr>
        <w:top w:val="none" w:sz="0" w:space="0" w:color="auto"/>
        <w:left w:val="none" w:sz="0" w:space="0" w:color="auto"/>
        <w:bottom w:val="none" w:sz="0" w:space="0" w:color="auto"/>
        <w:right w:val="none" w:sz="0" w:space="0" w:color="auto"/>
      </w:divBdr>
    </w:div>
    <w:div w:id="402796133">
      <w:bodyDiv w:val="1"/>
      <w:marLeft w:val="0"/>
      <w:marRight w:val="0"/>
      <w:marTop w:val="0"/>
      <w:marBottom w:val="0"/>
      <w:divBdr>
        <w:top w:val="none" w:sz="0" w:space="0" w:color="auto"/>
        <w:left w:val="none" w:sz="0" w:space="0" w:color="auto"/>
        <w:bottom w:val="none" w:sz="0" w:space="0" w:color="auto"/>
        <w:right w:val="none" w:sz="0" w:space="0" w:color="auto"/>
      </w:divBdr>
    </w:div>
    <w:div w:id="411053269">
      <w:bodyDiv w:val="1"/>
      <w:marLeft w:val="0"/>
      <w:marRight w:val="0"/>
      <w:marTop w:val="0"/>
      <w:marBottom w:val="0"/>
      <w:divBdr>
        <w:top w:val="none" w:sz="0" w:space="0" w:color="auto"/>
        <w:left w:val="none" w:sz="0" w:space="0" w:color="auto"/>
        <w:bottom w:val="none" w:sz="0" w:space="0" w:color="auto"/>
        <w:right w:val="none" w:sz="0" w:space="0" w:color="auto"/>
      </w:divBdr>
    </w:div>
    <w:div w:id="416369206">
      <w:bodyDiv w:val="1"/>
      <w:marLeft w:val="0"/>
      <w:marRight w:val="0"/>
      <w:marTop w:val="0"/>
      <w:marBottom w:val="0"/>
      <w:divBdr>
        <w:top w:val="none" w:sz="0" w:space="0" w:color="auto"/>
        <w:left w:val="none" w:sz="0" w:space="0" w:color="auto"/>
        <w:bottom w:val="none" w:sz="0" w:space="0" w:color="auto"/>
        <w:right w:val="none" w:sz="0" w:space="0" w:color="auto"/>
      </w:divBdr>
    </w:div>
    <w:div w:id="416440532">
      <w:bodyDiv w:val="1"/>
      <w:marLeft w:val="0"/>
      <w:marRight w:val="0"/>
      <w:marTop w:val="0"/>
      <w:marBottom w:val="0"/>
      <w:divBdr>
        <w:top w:val="none" w:sz="0" w:space="0" w:color="auto"/>
        <w:left w:val="none" w:sz="0" w:space="0" w:color="auto"/>
        <w:bottom w:val="none" w:sz="0" w:space="0" w:color="auto"/>
        <w:right w:val="none" w:sz="0" w:space="0" w:color="auto"/>
      </w:divBdr>
    </w:div>
    <w:div w:id="423963910">
      <w:bodyDiv w:val="1"/>
      <w:marLeft w:val="0"/>
      <w:marRight w:val="0"/>
      <w:marTop w:val="0"/>
      <w:marBottom w:val="0"/>
      <w:divBdr>
        <w:top w:val="none" w:sz="0" w:space="0" w:color="auto"/>
        <w:left w:val="none" w:sz="0" w:space="0" w:color="auto"/>
        <w:bottom w:val="none" w:sz="0" w:space="0" w:color="auto"/>
        <w:right w:val="none" w:sz="0" w:space="0" w:color="auto"/>
      </w:divBdr>
    </w:div>
    <w:div w:id="427580458">
      <w:bodyDiv w:val="1"/>
      <w:marLeft w:val="0"/>
      <w:marRight w:val="0"/>
      <w:marTop w:val="0"/>
      <w:marBottom w:val="0"/>
      <w:divBdr>
        <w:top w:val="none" w:sz="0" w:space="0" w:color="auto"/>
        <w:left w:val="none" w:sz="0" w:space="0" w:color="auto"/>
        <w:bottom w:val="none" w:sz="0" w:space="0" w:color="auto"/>
        <w:right w:val="none" w:sz="0" w:space="0" w:color="auto"/>
      </w:divBdr>
    </w:div>
    <w:div w:id="437725368">
      <w:bodyDiv w:val="1"/>
      <w:marLeft w:val="0"/>
      <w:marRight w:val="0"/>
      <w:marTop w:val="0"/>
      <w:marBottom w:val="0"/>
      <w:divBdr>
        <w:top w:val="none" w:sz="0" w:space="0" w:color="auto"/>
        <w:left w:val="none" w:sz="0" w:space="0" w:color="auto"/>
        <w:bottom w:val="none" w:sz="0" w:space="0" w:color="auto"/>
        <w:right w:val="none" w:sz="0" w:space="0" w:color="auto"/>
      </w:divBdr>
    </w:div>
    <w:div w:id="459302101">
      <w:bodyDiv w:val="1"/>
      <w:marLeft w:val="0"/>
      <w:marRight w:val="0"/>
      <w:marTop w:val="0"/>
      <w:marBottom w:val="0"/>
      <w:divBdr>
        <w:top w:val="none" w:sz="0" w:space="0" w:color="auto"/>
        <w:left w:val="none" w:sz="0" w:space="0" w:color="auto"/>
        <w:bottom w:val="none" w:sz="0" w:space="0" w:color="auto"/>
        <w:right w:val="none" w:sz="0" w:space="0" w:color="auto"/>
      </w:divBdr>
    </w:div>
    <w:div w:id="467359299">
      <w:bodyDiv w:val="1"/>
      <w:marLeft w:val="0"/>
      <w:marRight w:val="0"/>
      <w:marTop w:val="0"/>
      <w:marBottom w:val="0"/>
      <w:divBdr>
        <w:top w:val="none" w:sz="0" w:space="0" w:color="auto"/>
        <w:left w:val="none" w:sz="0" w:space="0" w:color="auto"/>
        <w:bottom w:val="none" w:sz="0" w:space="0" w:color="auto"/>
        <w:right w:val="none" w:sz="0" w:space="0" w:color="auto"/>
      </w:divBdr>
    </w:div>
    <w:div w:id="493839860">
      <w:bodyDiv w:val="1"/>
      <w:marLeft w:val="0"/>
      <w:marRight w:val="0"/>
      <w:marTop w:val="0"/>
      <w:marBottom w:val="0"/>
      <w:divBdr>
        <w:top w:val="none" w:sz="0" w:space="0" w:color="auto"/>
        <w:left w:val="none" w:sz="0" w:space="0" w:color="auto"/>
        <w:bottom w:val="none" w:sz="0" w:space="0" w:color="auto"/>
        <w:right w:val="none" w:sz="0" w:space="0" w:color="auto"/>
      </w:divBdr>
    </w:div>
    <w:div w:id="498619806">
      <w:bodyDiv w:val="1"/>
      <w:marLeft w:val="0"/>
      <w:marRight w:val="0"/>
      <w:marTop w:val="0"/>
      <w:marBottom w:val="0"/>
      <w:divBdr>
        <w:top w:val="none" w:sz="0" w:space="0" w:color="auto"/>
        <w:left w:val="none" w:sz="0" w:space="0" w:color="auto"/>
        <w:bottom w:val="none" w:sz="0" w:space="0" w:color="auto"/>
        <w:right w:val="none" w:sz="0" w:space="0" w:color="auto"/>
      </w:divBdr>
    </w:div>
    <w:div w:id="499007052">
      <w:bodyDiv w:val="1"/>
      <w:marLeft w:val="0"/>
      <w:marRight w:val="0"/>
      <w:marTop w:val="0"/>
      <w:marBottom w:val="0"/>
      <w:divBdr>
        <w:top w:val="none" w:sz="0" w:space="0" w:color="auto"/>
        <w:left w:val="none" w:sz="0" w:space="0" w:color="auto"/>
        <w:bottom w:val="none" w:sz="0" w:space="0" w:color="auto"/>
        <w:right w:val="none" w:sz="0" w:space="0" w:color="auto"/>
      </w:divBdr>
    </w:div>
    <w:div w:id="528907666">
      <w:bodyDiv w:val="1"/>
      <w:marLeft w:val="0"/>
      <w:marRight w:val="0"/>
      <w:marTop w:val="0"/>
      <w:marBottom w:val="0"/>
      <w:divBdr>
        <w:top w:val="none" w:sz="0" w:space="0" w:color="auto"/>
        <w:left w:val="none" w:sz="0" w:space="0" w:color="auto"/>
        <w:bottom w:val="none" w:sz="0" w:space="0" w:color="auto"/>
        <w:right w:val="none" w:sz="0" w:space="0" w:color="auto"/>
      </w:divBdr>
    </w:div>
    <w:div w:id="532305278">
      <w:bodyDiv w:val="1"/>
      <w:marLeft w:val="0"/>
      <w:marRight w:val="0"/>
      <w:marTop w:val="0"/>
      <w:marBottom w:val="0"/>
      <w:divBdr>
        <w:top w:val="none" w:sz="0" w:space="0" w:color="auto"/>
        <w:left w:val="none" w:sz="0" w:space="0" w:color="auto"/>
        <w:bottom w:val="none" w:sz="0" w:space="0" w:color="auto"/>
        <w:right w:val="none" w:sz="0" w:space="0" w:color="auto"/>
      </w:divBdr>
    </w:div>
    <w:div w:id="554706105">
      <w:bodyDiv w:val="1"/>
      <w:marLeft w:val="0"/>
      <w:marRight w:val="0"/>
      <w:marTop w:val="0"/>
      <w:marBottom w:val="0"/>
      <w:divBdr>
        <w:top w:val="none" w:sz="0" w:space="0" w:color="auto"/>
        <w:left w:val="none" w:sz="0" w:space="0" w:color="auto"/>
        <w:bottom w:val="none" w:sz="0" w:space="0" w:color="auto"/>
        <w:right w:val="none" w:sz="0" w:space="0" w:color="auto"/>
      </w:divBdr>
    </w:div>
    <w:div w:id="559826462">
      <w:bodyDiv w:val="1"/>
      <w:marLeft w:val="0"/>
      <w:marRight w:val="0"/>
      <w:marTop w:val="0"/>
      <w:marBottom w:val="0"/>
      <w:divBdr>
        <w:top w:val="none" w:sz="0" w:space="0" w:color="auto"/>
        <w:left w:val="none" w:sz="0" w:space="0" w:color="auto"/>
        <w:bottom w:val="none" w:sz="0" w:space="0" w:color="auto"/>
        <w:right w:val="none" w:sz="0" w:space="0" w:color="auto"/>
      </w:divBdr>
    </w:div>
    <w:div w:id="580918634">
      <w:bodyDiv w:val="1"/>
      <w:marLeft w:val="0"/>
      <w:marRight w:val="0"/>
      <w:marTop w:val="0"/>
      <w:marBottom w:val="0"/>
      <w:divBdr>
        <w:top w:val="none" w:sz="0" w:space="0" w:color="auto"/>
        <w:left w:val="none" w:sz="0" w:space="0" w:color="auto"/>
        <w:bottom w:val="none" w:sz="0" w:space="0" w:color="auto"/>
        <w:right w:val="none" w:sz="0" w:space="0" w:color="auto"/>
      </w:divBdr>
    </w:div>
    <w:div w:id="594746065">
      <w:bodyDiv w:val="1"/>
      <w:marLeft w:val="0"/>
      <w:marRight w:val="0"/>
      <w:marTop w:val="0"/>
      <w:marBottom w:val="0"/>
      <w:divBdr>
        <w:top w:val="none" w:sz="0" w:space="0" w:color="auto"/>
        <w:left w:val="none" w:sz="0" w:space="0" w:color="auto"/>
        <w:bottom w:val="none" w:sz="0" w:space="0" w:color="auto"/>
        <w:right w:val="none" w:sz="0" w:space="0" w:color="auto"/>
      </w:divBdr>
    </w:div>
    <w:div w:id="595286660">
      <w:bodyDiv w:val="1"/>
      <w:marLeft w:val="0"/>
      <w:marRight w:val="0"/>
      <w:marTop w:val="0"/>
      <w:marBottom w:val="0"/>
      <w:divBdr>
        <w:top w:val="none" w:sz="0" w:space="0" w:color="auto"/>
        <w:left w:val="none" w:sz="0" w:space="0" w:color="auto"/>
        <w:bottom w:val="none" w:sz="0" w:space="0" w:color="auto"/>
        <w:right w:val="none" w:sz="0" w:space="0" w:color="auto"/>
      </w:divBdr>
    </w:div>
    <w:div w:id="611744470">
      <w:bodyDiv w:val="1"/>
      <w:marLeft w:val="0"/>
      <w:marRight w:val="0"/>
      <w:marTop w:val="0"/>
      <w:marBottom w:val="0"/>
      <w:divBdr>
        <w:top w:val="none" w:sz="0" w:space="0" w:color="auto"/>
        <w:left w:val="none" w:sz="0" w:space="0" w:color="auto"/>
        <w:bottom w:val="none" w:sz="0" w:space="0" w:color="auto"/>
        <w:right w:val="none" w:sz="0" w:space="0" w:color="auto"/>
      </w:divBdr>
    </w:div>
    <w:div w:id="613437187">
      <w:bodyDiv w:val="1"/>
      <w:marLeft w:val="0"/>
      <w:marRight w:val="0"/>
      <w:marTop w:val="0"/>
      <w:marBottom w:val="0"/>
      <w:divBdr>
        <w:top w:val="none" w:sz="0" w:space="0" w:color="auto"/>
        <w:left w:val="none" w:sz="0" w:space="0" w:color="auto"/>
        <w:bottom w:val="none" w:sz="0" w:space="0" w:color="auto"/>
        <w:right w:val="none" w:sz="0" w:space="0" w:color="auto"/>
      </w:divBdr>
    </w:div>
    <w:div w:id="615913716">
      <w:bodyDiv w:val="1"/>
      <w:marLeft w:val="0"/>
      <w:marRight w:val="0"/>
      <w:marTop w:val="0"/>
      <w:marBottom w:val="0"/>
      <w:divBdr>
        <w:top w:val="none" w:sz="0" w:space="0" w:color="auto"/>
        <w:left w:val="none" w:sz="0" w:space="0" w:color="auto"/>
        <w:bottom w:val="none" w:sz="0" w:space="0" w:color="auto"/>
        <w:right w:val="none" w:sz="0" w:space="0" w:color="auto"/>
      </w:divBdr>
    </w:div>
    <w:div w:id="637153271">
      <w:bodyDiv w:val="1"/>
      <w:marLeft w:val="0"/>
      <w:marRight w:val="0"/>
      <w:marTop w:val="0"/>
      <w:marBottom w:val="0"/>
      <w:divBdr>
        <w:top w:val="none" w:sz="0" w:space="0" w:color="auto"/>
        <w:left w:val="none" w:sz="0" w:space="0" w:color="auto"/>
        <w:bottom w:val="none" w:sz="0" w:space="0" w:color="auto"/>
        <w:right w:val="none" w:sz="0" w:space="0" w:color="auto"/>
      </w:divBdr>
    </w:div>
    <w:div w:id="653071345">
      <w:bodyDiv w:val="1"/>
      <w:marLeft w:val="0"/>
      <w:marRight w:val="0"/>
      <w:marTop w:val="0"/>
      <w:marBottom w:val="0"/>
      <w:divBdr>
        <w:top w:val="none" w:sz="0" w:space="0" w:color="auto"/>
        <w:left w:val="none" w:sz="0" w:space="0" w:color="auto"/>
        <w:bottom w:val="none" w:sz="0" w:space="0" w:color="auto"/>
        <w:right w:val="none" w:sz="0" w:space="0" w:color="auto"/>
      </w:divBdr>
    </w:div>
    <w:div w:id="661200190">
      <w:bodyDiv w:val="1"/>
      <w:marLeft w:val="0"/>
      <w:marRight w:val="0"/>
      <w:marTop w:val="0"/>
      <w:marBottom w:val="0"/>
      <w:divBdr>
        <w:top w:val="none" w:sz="0" w:space="0" w:color="auto"/>
        <w:left w:val="none" w:sz="0" w:space="0" w:color="auto"/>
        <w:bottom w:val="none" w:sz="0" w:space="0" w:color="auto"/>
        <w:right w:val="none" w:sz="0" w:space="0" w:color="auto"/>
      </w:divBdr>
    </w:div>
    <w:div w:id="663515469">
      <w:bodyDiv w:val="1"/>
      <w:marLeft w:val="0"/>
      <w:marRight w:val="0"/>
      <w:marTop w:val="0"/>
      <w:marBottom w:val="0"/>
      <w:divBdr>
        <w:top w:val="none" w:sz="0" w:space="0" w:color="auto"/>
        <w:left w:val="none" w:sz="0" w:space="0" w:color="auto"/>
        <w:bottom w:val="none" w:sz="0" w:space="0" w:color="auto"/>
        <w:right w:val="none" w:sz="0" w:space="0" w:color="auto"/>
      </w:divBdr>
    </w:div>
    <w:div w:id="671682090">
      <w:bodyDiv w:val="1"/>
      <w:marLeft w:val="0"/>
      <w:marRight w:val="0"/>
      <w:marTop w:val="0"/>
      <w:marBottom w:val="0"/>
      <w:divBdr>
        <w:top w:val="none" w:sz="0" w:space="0" w:color="auto"/>
        <w:left w:val="none" w:sz="0" w:space="0" w:color="auto"/>
        <w:bottom w:val="none" w:sz="0" w:space="0" w:color="auto"/>
        <w:right w:val="none" w:sz="0" w:space="0" w:color="auto"/>
      </w:divBdr>
    </w:div>
    <w:div w:id="672152253">
      <w:bodyDiv w:val="1"/>
      <w:marLeft w:val="0"/>
      <w:marRight w:val="0"/>
      <w:marTop w:val="0"/>
      <w:marBottom w:val="0"/>
      <w:divBdr>
        <w:top w:val="none" w:sz="0" w:space="0" w:color="auto"/>
        <w:left w:val="none" w:sz="0" w:space="0" w:color="auto"/>
        <w:bottom w:val="none" w:sz="0" w:space="0" w:color="auto"/>
        <w:right w:val="none" w:sz="0" w:space="0" w:color="auto"/>
      </w:divBdr>
    </w:div>
    <w:div w:id="674192455">
      <w:bodyDiv w:val="1"/>
      <w:marLeft w:val="0"/>
      <w:marRight w:val="0"/>
      <w:marTop w:val="0"/>
      <w:marBottom w:val="0"/>
      <w:divBdr>
        <w:top w:val="none" w:sz="0" w:space="0" w:color="auto"/>
        <w:left w:val="none" w:sz="0" w:space="0" w:color="auto"/>
        <w:bottom w:val="none" w:sz="0" w:space="0" w:color="auto"/>
        <w:right w:val="none" w:sz="0" w:space="0" w:color="auto"/>
      </w:divBdr>
    </w:div>
    <w:div w:id="677196049">
      <w:bodyDiv w:val="1"/>
      <w:marLeft w:val="0"/>
      <w:marRight w:val="0"/>
      <w:marTop w:val="0"/>
      <w:marBottom w:val="0"/>
      <w:divBdr>
        <w:top w:val="none" w:sz="0" w:space="0" w:color="auto"/>
        <w:left w:val="none" w:sz="0" w:space="0" w:color="auto"/>
        <w:bottom w:val="none" w:sz="0" w:space="0" w:color="auto"/>
        <w:right w:val="none" w:sz="0" w:space="0" w:color="auto"/>
      </w:divBdr>
    </w:div>
    <w:div w:id="680356328">
      <w:bodyDiv w:val="1"/>
      <w:marLeft w:val="0"/>
      <w:marRight w:val="0"/>
      <w:marTop w:val="0"/>
      <w:marBottom w:val="0"/>
      <w:divBdr>
        <w:top w:val="none" w:sz="0" w:space="0" w:color="auto"/>
        <w:left w:val="none" w:sz="0" w:space="0" w:color="auto"/>
        <w:bottom w:val="none" w:sz="0" w:space="0" w:color="auto"/>
        <w:right w:val="none" w:sz="0" w:space="0" w:color="auto"/>
      </w:divBdr>
    </w:div>
    <w:div w:id="687677594">
      <w:bodyDiv w:val="1"/>
      <w:marLeft w:val="0"/>
      <w:marRight w:val="0"/>
      <w:marTop w:val="0"/>
      <w:marBottom w:val="0"/>
      <w:divBdr>
        <w:top w:val="none" w:sz="0" w:space="0" w:color="auto"/>
        <w:left w:val="none" w:sz="0" w:space="0" w:color="auto"/>
        <w:bottom w:val="none" w:sz="0" w:space="0" w:color="auto"/>
        <w:right w:val="none" w:sz="0" w:space="0" w:color="auto"/>
      </w:divBdr>
    </w:div>
    <w:div w:id="711803446">
      <w:bodyDiv w:val="1"/>
      <w:marLeft w:val="0"/>
      <w:marRight w:val="0"/>
      <w:marTop w:val="0"/>
      <w:marBottom w:val="0"/>
      <w:divBdr>
        <w:top w:val="none" w:sz="0" w:space="0" w:color="auto"/>
        <w:left w:val="none" w:sz="0" w:space="0" w:color="auto"/>
        <w:bottom w:val="none" w:sz="0" w:space="0" w:color="auto"/>
        <w:right w:val="none" w:sz="0" w:space="0" w:color="auto"/>
      </w:divBdr>
    </w:div>
    <w:div w:id="713232271">
      <w:bodyDiv w:val="1"/>
      <w:marLeft w:val="0"/>
      <w:marRight w:val="0"/>
      <w:marTop w:val="0"/>
      <w:marBottom w:val="0"/>
      <w:divBdr>
        <w:top w:val="none" w:sz="0" w:space="0" w:color="auto"/>
        <w:left w:val="none" w:sz="0" w:space="0" w:color="auto"/>
        <w:bottom w:val="none" w:sz="0" w:space="0" w:color="auto"/>
        <w:right w:val="none" w:sz="0" w:space="0" w:color="auto"/>
      </w:divBdr>
    </w:div>
    <w:div w:id="720716141">
      <w:bodyDiv w:val="1"/>
      <w:marLeft w:val="0"/>
      <w:marRight w:val="0"/>
      <w:marTop w:val="0"/>
      <w:marBottom w:val="0"/>
      <w:divBdr>
        <w:top w:val="none" w:sz="0" w:space="0" w:color="auto"/>
        <w:left w:val="none" w:sz="0" w:space="0" w:color="auto"/>
        <w:bottom w:val="none" w:sz="0" w:space="0" w:color="auto"/>
        <w:right w:val="none" w:sz="0" w:space="0" w:color="auto"/>
      </w:divBdr>
    </w:div>
    <w:div w:id="725182609">
      <w:bodyDiv w:val="1"/>
      <w:marLeft w:val="0"/>
      <w:marRight w:val="0"/>
      <w:marTop w:val="0"/>
      <w:marBottom w:val="0"/>
      <w:divBdr>
        <w:top w:val="none" w:sz="0" w:space="0" w:color="auto"/>
        <w:left w:val="none" w:sz="0" w:space="0" w:color="auto"/>
        <w:bottom w:val="none" w:sz="0" w:space="0" w:color="auto"/>
        <w:right w:val="none" w:sz="0" w:space="0" w:color="auto"/>
      </w:divBdr>
    </w:div>
    <w:div w:id="725954227">
      <w:bodyDiv w:val="1"/>
      <w:marLeft w:val="0"/>
      <w:marRight w:val="0"/>
      <w:marTop w:val="0"/>
      <w:marBottom w:val="0"/>
      <w:divBdr>
        <w:top w:val="none" w:sz="0" w:space="0" w:color="auto"/>
        <w:left w:val="none" w:sz="0" w:space="0" w:color="auto"/>
        <w:bottom w:val="none" w:sz="0" w:space="0" w:color="auto"/>
        <w:right w:val="none" w:sz="0" w:space="0" w:color="auto"/>
      </w:divBdr>
    </w:div>
    <w:div w:id="729428097">
      <w:bodyDiv w:val="1"/>
      <w:marLeft w:val="0"/>
      <w:marRight w:val="0"/>
      <w:marTop w:val="0"/>
      <w:marBottom w:val="0"/>
      <w:divBdr>
        <w:top w:val="none" w:sz="0" w:space="0" w:color="auto"/>
        <w:left w:val="none" w:sz="0" w:space="0" w:color="auto"/>
        <w:bottom w:val="none" w:sz="0" w:space="0" w:color="auto"/>
        <w:right w:val="none" w:sz="0" w:space="0" w:color="auto"/>
      </w:divBdr>
    </w:div>
    <w:div w:id="730155786">
      <w:bodyDiv w:val="1"/>
      <w:marLeft w:val="0"/>
      <w:marRight w:val="0"/>
      <w:marTop w:val="0"/>
      <w:marBottom w:val="0"/>
      <w:divBdr>
        <w:top w:val="none" w:sz="0" w:space="0" w:color="auto"/>
        <w:left w:val="none" w:sz="0" w:space="0" w:color="auto"/>
        <w:bottom w:val="none" w:sz="0" w:space="0" w:color="auto"/>
        <w:right w:val="none" w:sz="0" w:space="0" w:color="auto"/>
      </w:divBdr>
    </w:div>
    <w:div w:id="754211715">
      <w:bodyDiv w:val="1"/>
      <w:marLeft w:val="0"/>
      <w:marRight w:val="0"/>
      <w:marTop w:val="0"/>
      <w:marBottom w:val="0"/>
      <w:divBdr>
        <w:top w:val="none" w:sz="0" w:space="0" w:color="auto"/>
        <w:left w:val="none" w:sz="0" w:space="0" w:color="auto"/>
        <w:bottom w:val="none" w:sz="0" w:space="0" w:color="auto"/>
        <w:right w:val="none" w:sz="0" w:space="0" w:color="auto"/>
      </w:divBdr>
    </w:div>
    <w:div w:id="759645788">
      <w:bodyDiv w:val="1"/>
      <w:marLeft w:val="0"/>
      <w:marRight w:val="0"/>
      <w:marTop w:val="0"/>
      <w:marBottom w:val="0"/>
      <w:divBdr>
        <w:top w:val="none" w:sz="0" w:space="0" w:color="auto"/>
        <w:left w:val="none" w:sz="0" w:space="0" w:color="auto"/>
        <w:bottom w:val="none" w:sz="0" w:space="0" w:color="auto"/>
        <w:right w:val="none" w:sz="0" w:space="0" w:color="auto"/>
      </w:divBdr>
    </w:div>
    <w:div w:id="761486818">
      <w:bodyDiv w:val="1"/>
      <w:marLeft w:val="0"/>
      <w:marRight w:val="0"/>
      <w:marTop w:val="0"/>
      <w:marBottom w:val="0"/>
      <w:divBdr>
        <w:top w:val="none" w:sz="0" w:space="0" w:color="auto"/>
        <w:left w:val="none" w:sz="0" w:space="0" w:color="auto"/>
        <w:bottom w:val="none" w:sz="0" w:space="0" w:color="auto"/>
        <w:right w:val="none" w:sz="0" w:space="0" w:color="auto"/>
      </w:divBdr>
    </w:div>
    <w:div w:id="767888649">
      <w:bodyDiv w:val="1"/>
      <w:marLeft w:val="0"/>
      <w:marRight w:val="0"/>
      <w:marTop w:val="0"/>
      <w:marBottom w:val="0"/>
      <w:divBdr>
        <w:top w:val="none" w:sz="0" w:space="0" w:color="auto"/>
        <w:left w:val="none" w:sz="0" w:space="0" w:color="auto"/>
        <w:bottom w:val="none" w:sz="0" w:space="0" w:color="auto"/>
        <w:right w:val="none" w:sz="0" w:space="0" w:color="auto"/>
      </w:divBdr>
    </w:div>
    <w:div w:id="781732158">
      <w:bodyDiv w:val="1"/>
      <w:marLeft w:val="0"/>
      <w:marRight w:val="0"/>
      <w:marTop w:val="0"/>
      <w:marBottom w:val="0"/>
      <w:divBdr>
        <w:top w:val="none" w:sz="0" w:space="0" w:color="auto"/>
        <w:left w:val="none" w:sz="0" w:space="0" w:color="auto"/>
        <w:bottom w:val="none" w:sz="0" w:space="0" w:color="auto"/>
        <w:right w:val="none" w:sz="0" w:space="0" w:color="auto"/>
      </w:divBdr>
    </w:div>
    <w:div w:id="786049476">
      <w:bodyDiv w:val="1"/>
      <w:marLeft w:val="0"/>
      <w:marRight w:val="0"/>
      <w:marTop w:val="0"/>
      <w:marBottom w:val="0"/>
      <w:divBdr>
        <w:top w:val="none" w:sz="0" w:space="0" w:color="auto"/>
        <w:left w:val="none" w:sz="0" w:space="0" w:color="auto"/>
        <w:bottom w:val="none" w:sz="0" w:space="0" w:color="auto"/>
        <w:right w:val="none" w:sz="0" w:space="0" w:color="auto"/>
      </w:divBdr>
    </w:div>
    <w:div w:id="786314535">
      <w:bodyDiv w:val="1"/>
      <w:marLeft w:val="0"/>
      <w:marRight w:val="0"/>
      <w:marTop w:val="0"/>
      <w:marBottom w:val="0"/>
      <w:divBdr>
        <w:top w:val="none" w:sz="0" w:space="0" w:color="auto"/>
        <w:left w:val="none" w:sz="0" w:space="0" w:color="auto"/>
        <w:bottom w:val="none" w:sz="0" w:space="0" w:color="auto"/>
        <w:right w:val="none" w:sz="0" w:space="0" w:color="auto"/>
      </w:divBdr>
    </w:div>
    <w:div w:id="811487439">
      <w:bodyDiv w:val="1"/>
      <w:marLeft w:val="0"/>
      <w:marRight w:val="0"/>
      <w:marTop w:val="0"/>
      <w:marBottom w:val="0"/>
      <w:divBdr>
        <w:top w:val="none" w:sz="0" w:space="0" w:color="auto"/>
        <w:left w:val="none" w:sz="0" w:space="0" w:color="auto"/>
        <w:bottom w:val="none" w:sz="0" w:space="0" w:color="auto"/>
        <w:right w:val="none" w:sz="0" w:space="0" w:color="auto"/>
      </w:divBdr>
    </w:div>
    <w:div w:id="825171473">
      <w:bodyDiv w:val="1"/>
      <w:marLeft w:val="0"/>
      <w:marRight w:val="0"/>
      <w:marTop w:val="0"/>
      <w:marBottom w:val="0"/>
      <w:divBdr>
        <w:top w:val="none" w:sz="0" w:space="0" w:color="auto"/>
        <w:left w:val="none" w:sz="0" w:space="0" w:color="auto"/>
        <w:bottom w:val="none" w:sz="0" w:space="0" w:color="auto"/>
        <w:right w:val="none" w:sz="0" w:space="0" w:color="auto"/>
      </w:divBdr>
    </w:div>
    <w:div w:id="829954003">
      <w:bodyDiv w:val="1"/>
      <w:marLeft w:val="0"/>
      <w:marRight w:val="0"/>
      <w:marTop w:val="0"/>
      <w:marBottom w:val="0"/>
      <w:divBdr>
        <w:top w:val="none" w:sz="0" w:space="0" w:color="auto"/>
        <w:left w:val="none" w:sz="0" w:space="0" w:color="auto"/>
        <w:bottom w:val="none" w:sz="0" w:space="0" w:color="auto"/>
        <w:right w:val="none" w:sz="0" w:space="0" w:color="auto"/>
      </w:divBdr>
    </w:div>
    <w:div w:id="832331621">
      <w:bodyDiv w:val="1"/>
      <w:marLeft w:val="0"/>
      <w:marRight w:val="0"/>
      <w:marTop w:val="0"/>
      <w:marBottom w:val="0"/>
      <w:divBdr>
        <w:top w:val="none" w:sz="0" w:space="0" w:color="auto"/>
        <w:left w:val="none" w:sz="0" w:space="0" w:color="auto"/>
        <w:bottom w:val="none" w:sz="0" w:space="0" w:color="auto"/>
        <w:right w:val="none" w:sz="0" w:space="0" w:color="auto"/>
      </w:divBdr>
    </w:div>
    <w:div w:id="835993776">
      <w:bodyDiv w:val="1"/>
      <w:marLeft w:val="0"/>
      <w:marRight w:val="0"/>
      <w:marTop w:val="0"/>
      <w:marBottom w:val="0"/>
      <w:divBdr>
        <w:top w:val="none" w:sz="0" w:space="0" w:color="auto"/>
        <w:left w:val="none" w:sz="0" w:space="0" w:color="auto"/>
        <w:bottom w:val="none" w:sz="0" w:space="0" w:color="auto"/>
        <w:right w:val="none" w:sz="0" w:space="0" w:color="auto"/>
      </w:divBdr>
    </w:div>
    <w:div w:id="860779045">
      <w:bodyDiv w:val="1"/>
      <w:marLeft w:val="0"/>
      <w:marRight w:val="0"/>
      <w:marTop w:val="0"/>
      <w:marBottom w:val="0"/>
      <w:divBdr>
        <w:top w:val="none" w:sz="0" w:space="0" w:color="auto"/>
        <w:left w:val="none" w:sz="0" w:space="0" w:color="auto"/>
        <w:bottom w:val="none" w:sz="0" w:space="0" w:color="auto"/>
        <w:right w:val="none" w:sz="0" w:space="0" w:color="auto"/>
      </w:divBdr>
    </w:div>
    <w:div w:id="867180808">
      <w:bodyDiv w:val="1"/>
      <w:marLeft w:val="0"/>
      <w:marRight w:val="0"/>
      <w:marTop w:val="0"/>
      <w:marBottom w:val="0"/>
      <w:divBdr>
        <w:top w:val="none" w:sz="0" w:space="0" w:color="auto"/>
        <w:left w:val="none" w:sz="0" w:space="0" w:color="auto"/>
        <w:bottom w:val="none" w:sz="0" w:space="0" w:color="auto"/>
        <w:right w:val="none" w:sz="0" w:space="0" w:color="auto"/>
      </w:divBdr>
    </w:div>
    <w:div w:id="872495506">
      <w:bodyDiv w:val="1"/>
      <w:marLeft w:val="0"/>
      <w:marRight w:val="0"/>
      <w:marTop w:val="0"/>
      <w:marBottom w:val="0"/>
      <w:divBdr>
        <w:top w:val="none" w:sz="0" w:space="0" w:color="auto"/>
        <w:left w:val="none" w:sz="0" w:space="0" w:color="auto"/>
        <w:bottom w:val="none" w:sz="0" w:space="0" w:color="auto"/>
        <w:right w:val="none" w:sz="0" w:space="0" w:color="auto"/>
      </w:divBdr>
    </w:div>
    <w:div w:id="882180873">
      <w:bodyDiv w:val="1"/>
      <w:marLeft w:val="0"/>
      <w:marRight w:val="0"/>
      <w:marTop w:val="0"/>
      <w:marBottom w:val="0"/>
      <w:divBdr>
        <w:top w:val="none" w:sz="0" w:space="0" w:color="auto"/>
        <w:left w:val="none" w:sz="0" w:space="0" w:color="auto"/>
        <w:bottom w:val="none" w:sz="0" w:space="0" w:color="auto"/>
        <w:right w:val="none" w:sz="0" w:space="0" w:color="auto"/>
      </w:divBdr>
    </w:div>
    <w:div w:id="889266539">
      <w:bodyDiv w:val="1"/>
      <w:marLeft w:val="0"/>
      <w:marRight w:val="0"/>
      <w:marTop w:val="0"/>
      <w:marBottom w:val="0"/>
      <w:divBdr>
        <w:top w:val="none" w:sz="0" w:space="0" w:color="auto"/>
        <w:left w:val="none" w:sz="0" w:space="0" w:color="auto"/>
        <w:bottom w:val="none" w:sz="0" w:space="0" w:color="auto"/>
        <w:right w:val="none" w:sz="0" w:space="0" w:color="auto"/>
      </w:divBdr>
    </w:div>
    <w:div w:id="893392394">
      <w:bodyDiv w:val="1"/>
      <w:marLeft w:val="0"/>
      <w:marRight w:val="0"/>
      <w:marTop w:val="0"/>
      <w:marBottom w:val="0"/>
      <w:divBdr>
        <w:top w:val="none" w:sz="0" w:space="0" w:color="auto"/>
        <w:left w:val="none" w:sz="0" w:space="0" w:color="auto"/>
        <w:bottom w:val="none" w:sz="0" w:space="0" w:color="auto"/>
        <w:right w:val="none" w:sz="0" w:space="0" w:color="auto"/>
      </w:divBdr>
    </w:div>
    <w:div w:id="898394900">
      <w:bodyDiv w:val="1"/>
      <w:marLeft w:val="0"/>
      <w:marRight w:val="0"/>
      <w:marTop w:val="0"/>
      <w:marBottom w:val="0"/>
      <w:divBdr>
        <w:top w:val="none" w:sz="0" w:space="0" w:color="auto"/>
        <w:left w:val="none" w:sz="0" w:space="0" w:color="auto"/>
        <w:bottom w:val="none" w:sz="0" w:space="0" w:color="auto"/>
        <w:right w:val="none" w:sz="0" w:space="0" w:color="auto"/>
      </w:divBdr>
    </w:div>
    <w:div w:id="898788795">
      <w:bodyDiv w:val="1"/>
      <w:marLeft w:val="0"/>
      <w:marRight w:val="0"/>
      <w:marTop w:val="0"/>
      <w:marBottom w:val="0"/>
      <w:divBdr>
        <w:top w:val="none" w:sz="0" w:space="0" w:color="auto"/>
        <w:left w:val="none" w:sz="0" w:space="0" w:color="auto"/>
        <w:bottom w:val="none" w:sz="0" w:space="0" w:color="auto"/>
        <w:right w:val="none" w:sz="0" w:space="0" w:color="auto"/>
      </w:divBdr>
    </w:div>
    <w:div w:id="908538000">
      <w:bodyDiv w:val="1"/>
      <w:marLeft w:val="0"/>
      <w:marRight w:val="0"/>
      <w:marTop w:val="0"/>
      <w:marBottom w:val="0"/>
      <w:divBdr>
        <w:top w:val="none" w:sz="0" w:space="0" w:color="auto"/>
        <w:left w:val="none" w:sz="0" w:space="0" w:color="auto"/>
        <w:bottom w:val="none" w:sz="0" w:space="0" w:color="auto"/>
        <w:right w:val="none" w:sz="0" w:space="0" w:color="auto"/>
      </w:divBdr>
    </w:div>
    <w:div w:id="911811229">
      <w:bodyDiv w:val="1"/>
      <w:marLeft w:val="0"/>
      <w:marRight w:val="0"/>
      <w:marTop w:val="0"/>
      <w:marBottom w:val="0"/>
      <w:divBdr>
        <w:top w:val="none" w:sz="0" w:space="0" w:color="auto"/>
        <w:left w:val="none" w:sz="0" w:space="0" w:color="auto"/>
        <w:bottom w:val="none" w:sz="0" w:space="0" w:color="auto"/>
        <w:right w:val="none" w:sz="0" w:space="0" w:color="auto"/>
      </w:divBdr>
    </w:div>
    <w:div w:id="918094837">
      <w:bodyDiv w:val="1"/>
      <w:marLeft w:val="0"/>
      <w:marRight w:val="0"/>
      <w:marTop w:val="0"/>
      <w:marBottom w:val="0"/>
      <w:divBdr>
        <w:top w:val="none" w:sz="0" w:space="0" w:color="auto"/>
        <w:left w:val="none" w:sz="0" w:space="0" w:color="auto"/>
        <w:bottom w:val="none" w:sz="0" w:space="0" w:color="auto"/>
        <w:right w:val="none" w:sz="0" w:space="0" w:color="auto"/>
      </w:divBdr>
    </w:div>
    <w:div w:id="934216814">
      <w:bodyDiv w:val="1"/>
      <w:marLeft w:val="0"/>
      <w:marRight w:val="0"/>
      <w:marTop w:val="0"/>
      <w:marBottom w:val="0"/>
      <w:divBdr>
        <w:top w:val="none" w:sz="0" w:space="0" w:color="auto"/>
        <w:left w:val="none" w:sz="0" w:space="0" w:color="auto"/>
        <w:bottom w:val="none" w:sz="0" w:space="0" w:color="auto"/>
        <w:right w:val="none" w:sz="0" w:space="0" w:color="auto"/>
      </w:divBdr>
    </w:div>
    <w:div w:id="936062972">
      <w:bodyDiv w:val="1"/>
      <w:marLeft w:val="0"/>
      <w:marRight w:val="0"/>
      <w:marTop w:val="0"/>
      <w:marBottom w:val="0"/>
      <w:divBdr>
        <w:top w:val="none" w:sz="0" w:space="0" w:color="auto"/>
        <w:left w:val="none" w:sz="0" w:space="0" w:color="auto"/>
        <w:bottom w:val="none" w:sz="0" w:space="0" w:color="auto"/>
        <w:right w:val="none" w:sz="0" w:space="0" w:color="auto"/>
      </w:divBdr>
    </w:div>
    <w:div w:id="938293527">
      <w:bodyDiv w:val="1"/>
      <w:marLeft w:val="0"/>
      <w:marRight w:val="0"/>
      <w:marTop w:val="0"/>
      <w:marBottom w:val="0"/>
      <w:divBdr>
        <w:top w:val="none" w:sz="0" w:space="0" w:color="auto"/>
        <w:left w:val="none" w:sz="0" w:space="0" w:color="auto"/>
        <w:bottom w:val="none" w:sz="0" w:space="0" w:color="auto"/>
        <w:right w:val="none" w:sz="0" w:space="0" w:color="auto"/>
      </w:divBdr>
    </w:div>
    <w:div w:id="940340048">
      <w:bodyDiv w:val="1"/>
      <w:marLeft w:val="0"/>
      <w:marRight w:val="0"/>
      <w:marTop w:val="0"/>
      <w:marBottom w:val="0"/>
      <w:divBdr>
        <w:top w:val="none" w:sz="0" w:space="0" w:color="auto"/>
        <w:left w:val="none" w:sz="0" w:space="0" w:color="auto"/>
        <w:bottom w:val="none" w:sz="0" w:space="0" w:color="auto"/>
        <w:right w:val="none" w:sz="0" w:space="0" w:color="auto"/>
      </w:divBdr>
    </w:div>
    <w:div w:id="953906833">
      <w:bodyDiv w:val="1"/>
      <w:marLeft w:val="0"/>
      <w:marRight w:val="0"/>
      <w:marTop w:val="0"/>
      <w:marBottom w:val="0"/>
      <w:divBdr>
        <w:top w:val="none" w:sz="0" w:space="0" w:color="auto"/>
        <w:left w:val="none" w:sz="0" w:space="0" w:color="auto"/>
        <w:bottom w:val="none" w:sz="0" w:space="0" w:color="auto"/>
        <w:right w:val="none" w:sz="0" w:space="0" w:color="auto"/>
      </w:divBdr>
    </w:div>
    <w:div w:id="975642479">
      <w:bodyDiv w:val="1"/>
      <w:marLeft w:val="0"/>
      <w:marRight w:val="0"/>
      <w:marTop w:val="0"/>
      <w:marBottom w:val="0"/>
      <w:divBdr>
        <w:top w:val="none" w:sz="0" w:space="0" w:color="auto"/>
        <w:left w:val="none" w:sz="0" w:space="0" w:color="auto"/>
        <w:bottom w:val="none" w:sz="0" w:space="0" w:color="auto"/>
        <w:right w:val="none" w:sz="0" w:space="0" w:color="auto"/>
      </w:divBdr>
    </w:div>
    <w:div w:id="983436993">
      <w:bodyDiv w:val="1"/>
      <w:marLeft w:val="0"/>
      <w:marRight w:val="0"/>
      <w:marTop w:val="0"/>
      <w:marBottom w:val="0"/>
      <w:divBdr>
        <w:top w:val="none" w:sz="0" w:space="0" w:color="auto"/>
        <w:left w:val="none" w:sz="0" w:space="0" w:color="auto"/>
        <w:bottom w:val="none" w:sz="0" w:space="0" w:color="auto"/>
        <w:right w:val="none" w:sz="0" w:space="0" w:color="auto"/>
      </w:divBdr>
    </w:div>
    <w:div w:id="992174832">
      <w:bodyDiv w:val="1"/>
      <w:marLeft w:val="0"/>
      <w:marRight w:val="0"/>
      <w:marTop w:val="0"/>
      <w:marBottom w:val="0"/>
      <w:divBdr>
        <w:top w:val="none" w:sz="0" w:space="0" w:color="auto"/>
        <w:left w:val="none" w:sz="0" w:space="0" w:color="auto"/>
        <w:bottom w:val="none" w:sz="0" w:space="0" w:color="auto"/>
        <w:right w:val="none" w:sz="0" w:space="0" w:color="auto"/>
      </w:divBdr>
    </w:div>
    <w:div w:id="997687175">
      <w:bodyDiv w:val="1"/>
      <w:marLeft w:val="0"/>
      <w:marRight w:val="0"/>
      <w:marTop w:val="0"/>
      <w:marBottom w:val="0"/>
      <w:divBdr>
        <w:top w:val="none" w:sz="0" w:space="0" w:color="auto"/>
        <w:left w:val="none" w:sz="0" w:space="0" w:color="auto"/>
        <w:bottom w:val="none" w:sz="0" w:space="0" w:color="auto"/>
        <w:right w:val="none" w:sz="0" w:space="0" w:color="auto"/>
      </w:divBdr>
    </w:div>
    <w:div w:id="999964955">
      <w:bodyDiv w:val="1"/>
      <w:marLeft w:val="0"/>
      <w:marRight w:val="0"/>
      <w:marTop w:val="0"/>
      <w:marBottom w:val="0"/>
      <w:divBdr>
        <w:top w:val="none" w:sz="0" w:space="0" w:color="auto"/>
        <w:left w:val="none" w:sz="0" w:space="0" w:color="auto"/>
        <w:bottom w:val="none" w:sz="0" w:space="0" w:color="auto"/>
        <w:right w:val="none" w:sz="0" w:space="0" w:color="auto"/>
      </w:divBdr>
    </w:div>
    <w:div w:id="1005283100">
      <w:bodyDiv w:val="1"/>
      <w:marLeft w:val="0"/>
      <w:marRight w:val="0"/>
      <w:marTop w:val="0"/>
      <w:marBottom w:val="0"/>
      <w:divBdr>
        <w:top w:val="none" w:sz="0" w:space="0" w:color="auto"/>
        <w:left w:val="none" w:sz="0" w:space="0" w:color="auto"/>
        <w:bottom w:val="none" w:sz="0" w:space="0" w:color="auto"/>
        <w:right w:val="none" w:sz="0" w:space="0" w:color="auto"/>
      </w:divBdr>
    </w:div>
    <w:div w:id="1008799145">
      <w:bodyDiv w:val="1"/>
      <w:marLeft w:val="0"/>
      <w:marRight w:val="0"/>
      <w:marTop w:val="0"/>
      <w:marBottom w:val="0"/>
      <w:divBdr>
        <w:top w:val="none" w:sz="0" w:space="0" w:color="auto"/>
        <w:left w:val="none" w:sz="0" w:space="0" w:color="auto"/>
        <w:bottom w:val="none" w:sz="0" w:space="0" w:color="auto"/>
        <w:right w:val="none" w:sz="0" w:space="0" w:color="auto"/>
      </w:divBdr>
    </w:div>
    <w:div w:id="1009912776">
      <w:bodyDiv w:val="1"/>
      <w:marLeft w:val="0"/>
      <w:marRight w:val="0"/>
      <w:marTop w:val="0"/>
      <w:marBottom w:val="0"/>
      <w:divBdr>
        <w:top w:val="none" w:sz="0" w:space="0" w:color="auto"/>
        <w:left w:val="none" w:sz="0" w:space="0" w:color="auto"/>
        <w:bottom w:val="none" w:sz="0" w:space="0" w:color="auto"/>
        <w:right w:val="none" w:sz="0" w:space="0" w:color="auto"/>
      </w:divBdr>
    </w:div>
    <w:div w:id="1032876046">
      <w:bodyDiv w:val="1"/>
      <w:marLeft w:val="0"/>
      <w:marRight w:val="0"/>
      <w:marTop w:val="0"/>
      <w:marBottom w:val="0"/>
      <w:divBdr>
        <w:top w:val="none" w:sz="0" w:space="0" w:color="auto"/>
        <w:left w:val="none" w:sz="0" w:space="0" w:color="auto"/>
        <w:bottom w:val="none" w:sz="0" w:space="0" w:color="auto"/>
        <w:right w:val="none" w:sz="0" w:space="0" w:color="auto"/>
      </w:divBdr>
    </w:div>
    <w:div w:id="1036656607">
      <w:bodyDiv w:val="1"/>
      <w:marLeft w:val="0"/>
      <w:marRight w:val="0"/>
      <w:marTop w:val="0"/>
      <w:marBottom w:val="0"/>
      <w:divBdr>
        <w:top w:val="none" w:sz="0" w:space="0" w:color="auto"/>
        <w:left w:val="none" w:sz="0" w:space="0" w:color="auto"/>
        <w:bottom w:val="none" w:sz="0" w:space="0" w:color="auto"/>
        <w:right w:val="none" w:sz="0" w:space="0" w:color="auto"/>
      </w:divBdr>
    </w:div>
    <w:div w:id="1044989989">
      <w:bodyDiv w:val="1"/>
      <w:marLeft w:val="0"/>
      <w:marRight w:val="0"/>
      <w:marTop w:val="0"/>
      <w:marBottom w:val="0"/>
      <w:divBdr>
        <w:top w:val="none" w:sz="0" w:space="0" w:color="auto"/>
        <w:left w:val="none" w:sz="0" w:space="0" w:color="auto"/>
        <w:bottom w:val="none" w:sz="0" w:space="0" w:color="auto"/>
        <w:right w:val="none" w:sz="0" w:space="0" w:color="auto"/>
      </w:divBdr>
    </w:div>
    <w:div w:id="1063717669">
      <w:bodyDiv w:val="1"/>
      <w:marLeft w:val="0"/>
      <w:marRight w:val="0"/>
      <w:marTop w:val="0"/>
      <w:marBottom w:val="0"/>
      <w:divBdr>
        <w:top w:val="none" w:sz="0" w:space="0" w:color="auto"/>
        <w:left w:val="none" w:sz="0" w:space="0" w:color="auto"/>
        <w:bottom w:val="none" w:sz="0" w:space="0" w:color="auto"/>
        <w:right w:val="none" w:sz="0" w:space="0" w:color="auto"/>
      </w:divBdr>
    </w:div>
    <w:div w:id="1066368830">
      <w:bodyDiv w:val="1"/>
      <w:marLeft w:val="0"/>
      <w:marRight w:val="0"/>
      <w:marTop w:val="0"/>
      <w:marBottom w:val="0"/>
      <w:divBdr>
        <w:top w:val="none" w:sz="0" w:space="0" w:color="auto"/>
        <w:left w:val="none" w:sz="0" w:space="0" w:color="auto"/>
        <w:bottom w:val="none" w:sz="0" w:space="0" w:color="auto"/>
        <w:right w:val="none" w:sz="0" w:space="0" w:color="auto"/>
      </w:divBdr>
    </w:div>
    <w:div w:id="1067193037">
      <w:bodyDiv w:val="1"/>
      <w:marLeft w:val="0"/>
      <w:marRight w:val="0"/>
      <w:marTop w:val="0"/>
      <w:marBottom w:val="0"/>
      <w:divBdr>
        <w:top w:val="none" w:sz="0" w:space="0" w:color="auto"/>
        <w:left w:val="none" w:sz="0" w:space="0" w:color="auto"/>
        <w:bottom w:val="none" w:sz="0" w:space="0" w:color="auto"/>
        <w:right w:val="none" w:sz="0" w:space="0" w:color="auto"/>
      </w:divBdr>
    </w:div>
    <w:div w:id="1072579284">
      <w:bodyDiv w:val="1"/>
      <w:marLeft w:val="0"/>
      <w:marRight w:val="0"/>
      <w:marTop w:val="0"/>
      <w:marBottom w:val="0"/>
      <w:divBdr>
        <w:top w:val="none" w:sz="0" w:space="0" w:color="auto"/>
        <w:left w:val="none" w:sz="0" w:space="0" w:color="auto"/>
        <w:bottom w:val="none" w:sz="0" w:space="0" w:color="auto"/>
        <w:right w:val="none" w:sz="0" w:space="0" w:color="auto"/>
      </w:divBdr>
    </w:div>
    <w:div w:id="1083333449">
      <w:bodyDiv w:val="1"/>
      <w:marLeft w:val="0"/>
      <w:marRight w:val="0"/>
      <w:marTop w:val="0"/>
      <w:marBottom w:val="0"/>
      <w:divBdr>
        <w:top w:val="none" w:sz="0" w:space="0" w:color="auto"/>
        <w:left w:val="none" w:sz="0" w:space="0" w:color="auto"/>
        <w:bottom w:val="none" w:sz="0" w:space="0" w:color="auto"/>
        <w:right w:val="none" w:sz="0" w:space="0" w:color="auto"/>
      </w:divBdr>
    </w:div>
    <w:div w:id="1094286235">
      <w:bodyDiv w:val="1"/>
      <w:marLeft w:val="0"/>
      <w:marRight w:val="0"/>
      <w:marTop w:val="0"/>
      <w:marBottom w:val="0"/>
      <w:divBdr>
        <w:top w:val="none" w:sz="0" w:space="0" w:color="auto"/>
        <w:left w:val="none" w:sz="0" w:space="0" w:color="auto"/>
        <w:bottom w:val="none" w:sz="0" w:space="0" w:color="auto"/>
        <w:right w:val="none" w:sz="0" w:space="0" w:color="auto"/>
      </w:divBdr>
    </w:div>
    <w:div w:id="1094861516">
      <w:bodyDiv w:val="1"/>
      <w:marLeft w:val="0"/>
      <w:marRight w:val="0"/>
      <w:marTop w:val="0"/>
      <w:marBottom w:val="0"/>
      <w:divBdr>
        <w:top w:val="none" w:sz="0" w:space="0" w:color="auto"/>
        <w:left w:val="none" w:sz="0" w:space="0" w:color="auto"/>
        <w:bottom w:val="none" w:sz="0" w:space="0" w:color="auto"/>
        <w:right w:val="none" w:sz="0" w:space="0" w:color="auto"/>
      </w:divBdr>
    </w:div>
    <w:div w:id="1099177518">
      <w:bodyDiv w:val="1"/>
      <w:marLeft w:val="0"/>
      <w:marRight w:val="0"/>
      <w:marTop w:val="0"/>
      <w:marBottom w:val="0"/>
      <w:divBdr>
        <w:top w:val="none" w:sz="0" w:space="0" w:color="auto"/>
        <w:left w:val="none" w:sz="0" w:space="0" w:color="auto"/>
        <w:bottom w:val="none" w:sz="0" w:space="0" w:color="auto"/>
        <w:right w:val="none" w:sz="0" w:space="0" w:color="auto"/>
      </w:divBdr>
    </w:div>
    <w:div w:id="1102187717">
      <w:bodyDiv w:val="1"/>
      <w:marLeft w:val="0"/>
      <w:marRight w:val="0"/>
      <w:marTop w:val="0"/>
      <w:marBottom w:val="0"/>
      <w:divBdr>
        <w:top w:val="none" w:sz="0" w:space="0" w:color="auto"/>
        <w:left w:val="none" w:sz="0" w:space="0" w:color="auto"/>
        <w:bottom w:val="none" w:sz="0" w:space="0" w:color="auto"/>
        <w:right w:val="none" w:sz="0" w:space="0" w:color="auto"/>
      </w:divBdr>
    </w:div>
    <w:div w:id="1102266849">
      <w:bodyDiv w:val="1"/>
      <w:marLeft w:val="0"/>
      <w:marRight w:val="0"/>
      <w:marTop w:val="0"/>
      <w:marBottom w:val="0"/>
      <w:divBdr>
        <w:top w:val="none" w:sz="0" w:space="0" w:color="auto"/>
        <w:left w:val="none" w:sz="0" w:space="0" w:color="auto"/>
        <w:bottom w:val="none" w:sz="0" w:space="0" w:color="auto"/>
        <w:right w:val="none" w:sz="0" w:space="0" w:color="auto"/>
      </w:divBdr>
    </w:div>
    <w:div w:id="1105737248">
      <w:bodyDiv w:val="1"/>
      <w:marLeft w:val="0"/>
      <w:marRight w:val="0"/>
      <w:marTop w:val="0"/>
      <w:marBottom w:val="0"/>
      <w:divBdr>
        <w:top w:val="none" w:sz="0" w:space="0" w:color="auto"/>
        <w:left w:val="none" w:sz="0" w:space="0" w:color="auto"/>
        <w:bottom w:val="none" w:sz="0" w:space="0" w:color="auto"/>
        <w:right w:val="none" w:sz="0" w:space="0" w:color="auto"/>
      </w:divBdr>
    </w:div>
    <w:div w:id="1112095313">
      <w:bodyDiv w:val="1"/>
      <w:marLeft w:val="0"/>
      <w:marRight w:val="0"/>
      <w:marTop w:val="0"/>
      <w:marBottom w:val="0"/>
      <w:divBdr>
        <w:top w:val="none" w:sz="0" w:space="0" w:color="auto"/>
        <w:left w:val="none" w:sz="0" w:space="0" w:color="auto"/>
        <w:bottom w:val="none" w:sz="0" w:space="0" w:color="auto"/>
        <w:right w:val="none" w:sz="0" w:space="0" w:color="auto"/>
      </w:divBdr>
    </w:div>
    <w:div w:id="1113400542">
      <w:bodyDiv w:val="1"/>
      <w:marLeft w:val="0"/>
      <w:marRight w:val="0"/>
      <w:marTop w:val="0"/>
      <w:marBottom w:val="0"/>
      <w:divBdr>
        <w:top w:val="none" w:sz="0" w:space="0" w:color="auto"/>
        <w:left w:val="none" w:sz="0" w:space="0" w:color="auto"/>
        <w:bottom w:val="none" w:sz="0" w:space="0" w:color="auto"/>
        <w:right w:val="none" w:sz="0" w:space="0" w:color="auto"/>
      </w:divBdr>
    </w:div>
    <w:div w:id="1117485271">
      <w:bodyDiv w:val="1"/>
      <w:marLeft w:val="0"/>
      <w:marRight w:val="0"/>
      <w:marTop w:val="0"/>
      <w:marBottom w:val="0"/>
      <w:divBdr>
        <w:top w:val="none" w:sz="0" w:space="0" w:color="auto"/>
        <w:left w:val="none" w:sz="0" w:space="0" w:color="auto"/>
        <w:bottom w:val="none" w:sz="0" w:space="0" w:color="auto"/>
        <w:right w:val="none" w:sz="0" w:space="0" w:color="auto"/>
      </w:divBdr>
    </w:div>
    <w:div w:id="1120031165">
      <w:bodyDiv w:val="1"/>
      <w:marLeft w:val="0"/>
      <w:marRight w:val="0"/>
      <w:marTop w:val="0"/>
      <w:marBottom w:val="0"/>
      <w:divBdr>
        <w:top w:val="none" w:sz="0" w:space="0" w:color="auto"/>
        <w:left w:val="none" w:sz="0" w:space="0" w:color="auto"/>
        <w:bottom w:val="none" w:sz="0" w:space="0" w:color="auto"/>
        <w:right w:val="none" w:sz="0" w:space="0" w:color="auto"/>
      </w:divBdr>
    </w:div>
    <w:div w:id="1132358752">
      <w:bodyDiv w:val="1"/>
      <w:marLeft w:val="0"/>
      <w:marRight w:val="0"/>
      <w:marTop w:val="0"/>
      <w:marBottom w:val="0"/>
      <w:divBdr>
        <w:top w:val="none" w:sz="0" w:space="0" w:color="auto"/>
        <w:left w:val="none" w:sz="0" w:space="0" w:color="auto"/>
        <w:bottom w:val="none" w:sz="0" w:space="0" w:color="auto"/>
        <w:right w:val="none" w:sz="0" w:space="0" w:color="auto"/>
      </w:divBdr>
    </w:div>
    <w:div w:id="1136143547">
      <w:bodyDiv w:val="1"/>
      <w:marLeft w:val="0"/>
      <w:marRight w:val="0"/>
      <w:marTop w:val="0"/>
      <w:marBottom w:val="0"/>
      <w:divBdr>
        <w:top w:val="none" w:sz="0" w:space="0" w:color="auto"/>
        <w:left w:val="none" w:sz="0" w:space="0" w:color="auto"/>
        <w:bottom w:val="none" w:sz="0" w:space="0" w:color="auto"/>
        <w:right w:val="none" w:sz="0" w:space="0" w:color="auto"/>
      </w:divBdr>
    </w:div>
    <w:div w:id="1157384938">
      <w:bodyDiv w:val="1"/>
      <w:marLeft w:val="0"/>
      <w:marRight w:val="0"/>
      <w:marTop w:val="0"/>
      <w:marBottom w:val="0"/>
      <w:divBdr>
        <w:top w:val="none" w:sz="0" w:space="0" w:color="auto"/>
        <w:left w:val="none" w:sz="0" w:space="0" w:color="auto"/>
        <w:bottom w:val="none" w:sz="0" w:space="0" w:color="auto"/>
        <w:right w:val="none" w:sz="0" w:space="0" w:color="auto"/>
      </w:divBdr>
    </w:div>
    <w:div w:id="1158154886">
      <w:bodyDiv w:val="1"/>
      <w:marLeft w:val="0"/>
      <w:marRight w:val="0"/>
      <w:marTop w:val="0"/>
      <w:marBottom w:val="0"/>
      <w:divBdr>
        <w:top w:val="none" w:sz="0" w:space="0" w:color="auto"/>
        <w:left w:val="none" w:sz="0" w:space="0" w:color="auto"/>
        <w:bottom w:val="none" w:sz="0" w:space="0" w:color="auto"/>
        <w:right w:val="none" w:sz="0" w:space="0" w:color="auto"/>
      </w:divBdr>
    </w:div>
    <w:div w:id="1162507933">
      <w:bodyDiv w:val="1"/>
      <w:marLeft w:val="0"/>
      <w:marRight w:val="0"/>
      <w:marTop w:val="0"/>
      <w:marBottom w:val="0"/>
      <w:divBdr>
        <w:top w:val="none" w:sz="0" w:space="0" w:color="auto"/>
        <w:left w:val="none" w:sz="0" w:space="0" w:color="auto"/>
        <w:bottom w:val="none" w:sz="0" w:space="0" w:color="auto"/>
        <w:right w:val="none" w:sz="0" w:space="0" w:color="auto"/>
      </w:divBdr>
    </w:div>
    <w:div w:id="1175806216">
      <w:bodyDiv w:val="1"/>
      <w:marLeft w:val="0"/>
      <w:marRight w:val="0"/>
      <w:marTop w:val="0"/>
      <w:marBottom w:val="0"/>
      <w:divBdr>
        <w:top w:val="none" w:sz="0" w:space="0" w:color="auto"/>
        <w:left w:val="none" w:sz="0" w:space="0" w:color="auto"/>
        <w:bottom w:val="none" w:sz="0" w:space="0" w:color="auto"/>
        <w:right w:val="none" w:sz="0" w:space="0" w:color="auto"/>
      </w:divBdr>
    </w:div>
    <w:div w:id="1189609756">
      <w:bodyDiv w:val="1"/>
      <w:marLeft w:val="0"/>
      <w:marRight w:val="0"/>
      <w:marTop w:val="0"/>
      <w:marBottom w:val="0"/>
      <w:divBdr>
        <w:top w:val="none" w:sz="0" w:space="0" w:color="auto"/>
        <w:left w:val="none" w:sz="0" w:space="0" w:color="auto"/>
        <w:bottom w:val="none" w:sz="0" w:space="0" w:color="auto"/>
        <w:right w:val="none" w:sz="0" w:space="0" w:color="auto"/>
      </w:divBdr>
    </w:div>
    <w:div w:id="1227379177">
      <w:bodyDiv w:val="1"/>
      <w:marLeft w:val="0"/>
      <w:marRight w:val="0"/>
      <w:marTop w:val="0"/>
      <w:marBottom w:val="0"/>
      <w:divBdr>
        <w:top w:val="none" w:sz="0" w:space="0" w:color="auto"/>
        <w:left w:val="none" w:sz="0" w:space="0" w:color="auto"/>
        <w:bottom w:val="none" w:sz="0" w:space="0" w:color="auto"/>
        <w:right w:val="none" w:sz="0" w:space="0" w:color="auto"/>
      </w:divBdr>
    </w:div>
    <w:div w:id="1241912559">
      <w:bodyDiv w:val="1"/>
      <w:marLeft w:val="0"/>
      <w:marRight w:val="0"/>
      <w:marTop w:val="0"/>
      <w:marBottom w:val="0"/>
      <w:divBdr>
        <w:top w:val="none" w:sz="0" w:space="0" w:color="auto"/>
        <w:left w:val="none" w:sz="0" w:space="0" w:color="auto"/>
        <w:bottom w:val="none" w:sz="0" w:space="0" w:color="auto"/>
        <w:right w:val="none" w:sz="0" w:space="0" w:color="auto"/>
      </w:divBdr>
    </w:div>
    <w:div w:id="1246571341">
      <w:bodyDiv w:val="1"/>
      <w:marLeft w:val="0"/>
      <w:marRight w:val="0"/>
      <w:marTop w:val="0"/>
      <w:marBottom w:val="0"/>
      <w:divBdr>
        <w:top w:val="none" w:sz="0" w:space="0" w:color="auto"/>
        <w:left w:val="none" w:sz="0" w:space="0" w:color="auto"/>
        <w:bottom w:val="none" w:sz="0" w:space="0" w:color="auto"/>
        <w:right w:val="none" w:sz="0" w:space="0" w:color="auto"/>
      </w:divBdr>
    </w:div>
    <w:div w:id="1248034079">
      <w:bodyDiv w:val="1"/>
      <w:marLeft w:val="0"/>
      <w:marRight w:val="0"/>
      <w:marTop w:val="0"/>
      <w:marBottom w:val="0"/>
      <w:divBdr>
        <w:top w:val="none" w:sz="0" w:space="0" w:color="auto"/>
        <w:left w:val="none" w:sz="0" w:space="0" w:color="auto"/>
        <w:bottom w:val="none" w:sz="0" w:space="0" w:color="auto"/>
        <w:right w:val="none" w:sz="0" w:space="0" w:color="auto"/>
      </w:divBdr>
    </w:div>
    <w:div w:id="1258254244">
      <w:bodyDiv w:val="1"/>
      <w:marLeft w:val="0"/>
      <w:marRight w:val="0"/>
      <w:marTop w:val="0"/>
      <w:marBottom w:val="0"/>
      <w:divBdr>
        <w:top w:val="none" w:sz="0" w:space="0" w:color="auto"/>
        <w:left w:val="none" w:sz="0" w:space="0" w:color="auto"/>
        <w:bottom w:val="none" w:sz="0" w:space="0" w:color="auto"/>
        <w:right w:val="none" w:sz="0" w:space="0" w:color="auto"/>
      </w:divBdr>
    </w:div>
    <w:div w:id="1268082725">
      <w:bodyDiv w:val="1"/>
      <w:marLeft w:val="0"/>
      <w:marRight w:val="0"/>
      <w:marTop w:val="0"/>
      <w:marBottom w:val="0"/>
      <w:divBdr>
        <w:top w:val="none" w:sz="0" w:space="0" w:color="auto"/>
        <w:left w:val="none" w:sz="0" w:space="0" w:color="auto"/>
        <w:bottom w:val="none" w:sz="0" w:space="0" w:color="auto"/>
        <w:right w:val="none" w:sz="0" w:space="0" w:color="auto"/>
      </w:divBdr>
    </w:div>
    <w:div w:id="1269584180">
      <w:bodyDiv w:val="1"/>
      <w:marLeft w:val="0"/>
      <w:marRight w:val="0"/>
      <w:marTop w:val="0"/>
      <w:marBottom w:val="0"/>
      <w:divBdr>
        <w:top w:val="none" w:sz="0" w:space="0" w:color="auto"/>
        <w:left w:val="none" w:sz="0" w:space="0" w:color="auto"/>
        <w:bottom w:val="none" w:sz="0" w:space="0" w:color="auto"/>
        <w:right w:val="none" w:sz="0" w:space="0" w:color="auto"/>
      </w:divBdr>
    </w:div>
    <w:div w:id="1278490233">
      <w:bodyDiv w:val="1"/>
      <w:marLeft w:val="0"/>
      <w:marRight w:val="0"/>
      <w:marTop w:val="0"/>
      <w:marBottom w:val="0"/>
      <w:divBdr>
        <w:top w:val="none" w:sz="0" w:space="0" w:color="auto"/>
        <w:left w:val="none" w:sz="0" w:space="0" w:color="auto"/>
        <w:bottom w:val="none" w:sz="0" w:space="0" w:color="auto"/>
        <w:right w:val="none" w:sz="0" w:space="0" w:color="auto"/>
      </w:divBdr>
    </w:div>
    <w:div w:id="1280650902">
      <w:bodyDiv w:val="1"/>
      <w:marLeft w:val="0"/>
      <w:marRight w:val="0"/>
      <w:marTop w:val="0"/>
      <w:marBottom w:val="0"/>
      <w:divBdr>
        <w:top w:val="none" w:sz="0" w:space="0" w:color="auto"/>
        <w:left w:val="none" w:sz="0" w:space="0" w:color="auto"/>
        <w:bottom w:val="none" w:sz="0" w:space="0" w:color="auto"/>
        <w:right w:val="none" w:sz="0" w:space="0" w:color="auto"/>
      </w:divBdr>
    </w:div>
    <w:div w:id="1287783669">
      <w:bodyDiv w:val="1"/>
      <w:marLeft w:val="0"/>
      <w:marRight w:val="0"/>
      <w:marTop w:val="0"/>
      <w:marBottom w:val="0"/>
      <w:divBdr>
        <w:top w:val="none" w:sz="0" w:space="0" w:color="auto"/>
        <w:left w:val="none" w:sz="0" w:space="0" w:color="auto"/>
        <w:bottom w:val="none" w:sz="0" w:space="0" w:color="auto"/>
        <w:right w:val="none" w:sz="0" w:space="0" w:color="auto"/>
      </w:divBdr>
    </w:div>
    <w:div w:id="1325671185">
      <w:bodyDiv w:val="1"/>
      <w:marLeft w:val="0"/>
      <w:marRight w:val="0"/>
      <w:marTop w:val="0"/>
      <w:marBottom w:val="0"/>
      <w:divBdr>
        <w:top w:val="none" w:sz="0" w:space="0" w:color="auto"/>
        <w:left w:val="none" w:sz="0" w:space="0" w:color="auto"/>
        <w:bottom w:val="none" w:sz="0" w:space="0" w:color="auto"/>
        <w:right w:val="none" w:sz="0" w:space="0" w:color="auto"/>
      </w:divBdr>
    </w:div>
    <w:div w:id="1340306989">
      <w:bodyDiv w:val="1"/>
      <w:marLeft w:val="0"/>
      <w:marRight w:val="0"/>
      <w:marTop w:val="0"/>
      <w:marBottom w:val="0"/>
      <w:divBdr>
        <w:top w:val="none" w:sz="0" w:space="0" w:color="auto"/>
        <w:left w:val="none" w:sz="0" w:space="0" w:color="auto"/>
        <w:bottom w:val="none" w:sz="0" w:space="0" w:color="auto"/>
        <w:right w:val="none" w:sz="0" w:space="0" w:color="auto"/>
      </w:divBdr>
    </w:div>
    <w:div w:id="1341544130">
      <w:bodyDiv w:val="1"/>
      <w:marLeft w:val="0"/>
      <w:marRight w:val="0"/>
      <w:marTop w:val="0"/>
      <w:marBottom w:val="0"/>
      <w:divBdr>
        <w:top w:val="none" w:sz="0" w:space="0" w:color="auto"/>
        <w:left w:val="none" w:sz="0" w:space="0" w:color="auto"/>
        <w:bottom w:val="none" w:sz="0" w:space="0" w:color="auto"/>
        <w:right w:val="none" w:sz="0" w:space="0" w:color="auto"/>
      </w:divBdr>
    </w:div>
    <w:div w:id="1347945331">
      <w:bodyDiv w:val="1"/>
      <w:marLeft w:val="0"/>
      <w:marRight w:val="0"/>
      <w:marTop w:val="0"/>
      <w:marBottom w:val="0"/>
      <w:divBdr>
        <w:top w:val="none" w:sz="0" w:space="0" w:color="auto"/>
        <w:left w:val="none" w:sz="0" w:space="0" w:color="auto"/>
        <w:bottom w:val="none" w:sz="0" w:space="0" w:color="auto"/>
        <w:right w:val="none" w:sz="0" w:space="0" w:color="auto"/>
      </w:divBdr>
    </w:div>
    <w:div w:id="1351757317">
      <w:bodyDiv w:val="1"/>
      <w:marLeft w:val="0"/>
      <w:marRight w:val="0"/>
      <w:marTop w:val="0"/>
      <w:marBottom w:val="0"/>
      <w:divBdr>
        <w:top w:val="none" w:sz="0" w:space="0" w:color="auto"/>
        <w:left w:val="none" w:sz="0" w:space="0" w:color="auto"/>
        <w:bottom w:val="none" w:sz="0" w:space="0" w:color="auto"/>
        <w:right w:val="none" w:sz="0" w:space="0" w:color="auto"/>
      </w:divBdr>
    </w:div>
    <w:div w:id="1365059312">
      <w:bodyDiv w:val="1"/>
      <w:marLeft w:val="0"/>
      <w:marRight w:val="0"/>
      <w:marTop w:val="0"/>
      <w:marBottom w:val="0"/>
      <w:divBdr>
        <w:top w:val="none" w:sz="0" w:space="0" w:color="auto"/>
        <w:left w:val="none" w:sz="0" w:space="0" w:color="auto"/>
        <w:bottom w:val="none" w:sz="0" w:space="0" w:color="auto"/>
        <w:right w:val="none" w:sz="0" w:space="0" w:color="auto"/>
      </w:divBdr>
    </w:div>
    <w:div w:id="1388256761">
      <w:bodyDiv w:val="1"/>
      <w:marLeft w:val="0"/>
      <w:marRight w:val="0"/>
      <w:marTop w:val="0"/>
      <w:marBottom w:val="0"/>
      <w:divBdr>
        <w:top w:val="none" w:sz="0" w:space="0" w:color="auto"/>
        <w:left w:val="none" w:sz="0" w:space="0" w:color="auto"/>
        <w:bottom w:val="none" w:sz="0" w:space="0" w:color="auto"/>
        <w:right w:val="none" w:sz="0" w:space="0" w:color="auto"/>
      </w:divBdr>
    </w:div>
    <w:div w:id="1389181962">
      <w:bodyDiv w:val="1"/>
      <w:marLeft w:val="0"/>
      <w:marRight w:val="0"/>
      <w:marTop w:val="0"/>
      <w:marBottom w:val="0"/>
      <w:divBdr>
        <w:top w:val="none" w:sz="0" w:space="0" w:color="auto"/>
        <w:left w:val="none" w:sz="0" w:space="0" w:color="auto"/>
        <w:bottom w:val="none" w:sz="0" w:space="0" w:color="auto"/>
        <w:right w:val="none" w:sz="0" w:space="0" w:color="auto"/>
      </w:divBdr>
    </w:div>
    <w:div w:id="1398897361">
      <w:bodyDiv w:val="1"/>
      <w:marLeft w:val="0"/>
      <w:marRight w:val="0"/>
      <w:marTop w:val="0"/>
      <w:marBottom w:val="0"/>
      <w:divBdr>
        <w:top w:val="none" w:sz="0" w:space="0" w:color="auto"/>
        <w:left w:val="none" w:sz="0" w:space="0" w:color="auto"/>
        <w:bottom w:val="none" w:sz="0" w:space="0" w:color="auto"/>
        <w:right w:val="none" w:sz="0" w:space="0" w:color="auto"/>
      </w:divBdr>
    </w:div>
    <w:div w:id="1411271756">
      <w:bodyDiv w:val="1"/>
      <w:marLeft w:val="0"/>
      <w:marRight w:val="0"/>
      <w:marTop w:val="0"/>
      <w:marBottom w:val="0"/>
      <w:divBdr>
        <w:top w:val="none" w:sz="0" w:space="0" w:color="auto"/>
        <w:left w:val="none" w:sz="0" w:space="0" w:color="auto"/>
        <w:bottom w:val="none" w:sz="0" w:space="0" w:color="auto"/>
        <w:right w:val="none" w:sz="0" w:space="0" w:color="auto"/>
      </w:divBdr>
    </w:div>
    <w:div w:id="1412853243">
      <w:bodyDiv w:val="1"/>
      <w:marLeft w:val="0"/>
      <w:marRight w:val="0"/>
      <w:marTop w:val="0"/>
      <w:marBottom w:val="0"/>
      <w:divBdr>
        <w:top w:val="none" w:sz="0" w:space="0" w:color="auto"/>
        <w:left w:val="none" w:sz="0" w:space="0" w:color="auto"/>
        <w:bottom w:val="none" w:sz="0" w:space="0" w:color="auto"/>
        <w:right w:val="none" w:sz="0" w:space="0" w:color="auto"/>
      </w:divBdr>
    </w:div>
    <w:div w:id="1438596950">
      <w:bodyDiv w:val="1"/>
      <w:marLeft w:val="0"/>
      <w:marRight w:val="0"/>
      <w:marTop w:val="0"/>
      <w:marBottom w:val="0"/>
      <w:divBdr>
        <w:top w:val="none" w:sz="0" w:space="0" w:color="auto"/>
        <w:left w:val="none" w:sz="0" w:space="0" w:color="auto"/>
        <w:bottom w:val="none" w:sz="0" w:space="0" w:color="auto"/>
        <w:right w:val="none" w:sz="0" w:space="0" w:color="auto"/>
      </w:divBdr>
    </w:div>
    <w:div w:id="1438715041">
      <w:bodyDiv w:val="1"/>
      <w:marLeft w:val="0"/>
      <w:marRight w:val="0"/>
      <w:marTop w:val="0"/>
      <w:marBottom w:val="0"/>
      <w:divBdr>
        <w:top w:val="none" w:sz="0" w:space="0" w:color="auto"/>
        <w:left w:val="none" w:sz="0" w:space="0" w:color="auto"/>
        <w:bottom w:val="none" w:sz="0" w:space="0" w:color="auto"/>
        <w:right w:val="none" w:sz="0" w:space="0" w:color="auto"/>
      </w:divBdr>
    </w:div>
    <w:div w:id="1439255485">
      <w:bodyDiv w:val="1"/>
      <w:marLeft w:val="0"/>
      <w:marRight w:val="0"/>
      <w:marTop w:val="0"/>
      <w:marBottom w:val="0"/>
      <w:divBdr>
        <w:top w:val="none" w:sz="0" w:space="0" w:color="auto"/>
        <w:left w:val="none" w:sz="0" w:space="0" w:color="auto"/>
        <w:bottom w:val="none" w:sz="0" w:space="0" w:color="auto"/>
        <w:right w:val="none" w:sz="0" w:space="0" w:color="auto"/>
      </w:divBdr>
    </w:div>
    <w:div w:id="1454204673">
      <w:bodyDiv w:val="1"/>
      <w:marLeft w:val="0"/>
      <w:marRight w:val="0"/>
      <w:marTop w:val="0"/>
      <w:marBottom w:val="0"/>
      <w:divBdr>
        <w:top w:val="none" w:sz="0" w:space="0" w:color="auto"/>
        <w:left w:val="none" w:sz="0" w:space="0" w:color="auto"/>
        <w:bottom w:val="none" w:sz="0" w:space="0" w:color="auto"/>
        <w:right w:val="none" w:sz="0" w:space="0" w:color="auto"/>
      </w:divBdr>
    </w:div>
    <w:div w:id="1454637441">
      <w:bodyDiv w:val="1"/>
      <w:marLeft w:val="0"/>
      <w:marRight w:val="0"/>
      <w:marTop w:val="0"/>
      <w:marBottom w:val="0"/>
      <w:divBdr>
        <w:top w:val="none" w:sz="0" w:space="0" w:color="auto"/>
        <w:left w:val="none" w:sz="0" w:space="0" w:color="auto"/>
        <w:bottom w:val="none" w:sz="0" w:space="0" w:color="auto"/>
        <w:right w:val="none" w:sz="0" w:space="0" w:color="auto"/>
      </w:divBdr>
    </w:div>
    <w:div w:id="1456364963">
      <w:bodyDiv w:val="1"/>
      <w:marLeft w:val="0"/>
      <w:marRight w:val="0"/>
      <w:marTop w:val="0"/>
      <w:marBottom w:val="0"/>
      <w:divBdr>
        <w:top w:val="none" w:sz="0" w:space="0" w:color="auto"/>
        <w:left w:val="none" w:sz="0" w:space="0" w:color="auto"/>
        <w:bottom w:val="none" w:sz="0" w:space="0" w:color="auto"/>
        <w:right w:val="none" w:sz="0" w:space="0" w:color="auto"/>
      </w:divBdr>
    </w:div>
    <w:div w:id="1461339197">
      <w:bodyDiv w:val="1"/>
      <w:marLeft w:val="0"/>
      <w:marRight w:val="0"/>
      <w:marTop w:val="0"/>
      <w:marBottom w:val="0"/>
      <w:divBdr>
        <w:top w:val="none" w:sz="0" w:space="0" w:color="auto"/>
        <w:left w:val="none" w:sz="0" w:space="0" w:color="auto"/>
        <w:bottom w:val="none" w:sz="0" w:space="0" w:color="auto"/>
        <w:right w:val="none" w:sz="0" w:space="0" w:color="auto"/>
      </w:divBdr>
      <w:divsChild>
        <w:div w:id="359279578">
          <w:marLeft w:val="0"/>
          <w:marRight w:val="0"/>
          <w:marTop w:val="0"/>
          <w:marBottom w:val="0"/>
          <w:divBdr>
            <w:top w:val="none" w:sz="0" w:space="0" w:color="auto"/>
            <w:left w:val="none" w:sz="0" w:space="0" w:color="auto"/>
            <w:bottom w:val="none" w:sz="0" w:space="0" w:color="auto"/>
            <w:right w:val="none" w:sz="0" w:space="0" w:color="auto"/>
          </w:divBdr>
          <w:divsChild>
            <w:div w:id="162477611">
              <w:marLeft w:val="0"/>
              <w:marRight w:val="0"/>
              <w:marTop w:val="0"/>
              <w:marBottom w:val="0"/>
              <w:divBdr>
                <w:top w:val="none" w:sz="0" w:space="0" w:color="auto"/>
                <w:left w:val="none" w:sz="0" w:space="0" w:color="auto"/>
                <w:bottom w:val="none" w:sz="0" w:space="0" w:color="auto"/>
                <w:right w:val="none" w:sz="0" w:space="0" w:color="auto"/>
              </w:divBdr>
              <w:divsChild>
                <w:div w:id="799613297">
                  <w:marLeft w:val="3"/>
                  <w:marRight w:val="0"/>
                  <w:marTop w:val="0"/>
                  <w:marBottom w:val="0"/>
                  <w:divBdr>
                    <w:top w:val="none" w:sz="0" w:space="0" w:color="auto"/>
                    <w:left w:val="none" w:sz="0" w:space="0" w:color="auto"/>
                    <w:bottom w:val="none" w:sz="0" w:space="0" w:color="auto"/>
                    <w:right w:val="none" w:sz="0" w:space="0" w:color="auto"/>
                  </w:divBdr>
                  <w:divsChild>
                    <w:div w:id="1972831497">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88974">
      <w:bodyDiv w:val="1"/>
      <w:marLeft w:val="0"/>
      <w:marRight w:val="0"/>
      <w:marTop w:val="0"/>
      <w:marBottom w:val="0"/>
      <w:divBdr>
        <w:top w:val="none" w:sz="0" w:space="0" w:color="auto"/>
        <w:left w:val="none" w:sz="0" w:space="0" w:color="auto"/>
        <w:bottom w:val="none" w:sz="0" w:space="0" w:color="auto"/>
        <w:right w:val="none" w:sz="0" w:space="0" w:color="auto"/>
      </w:divBdr>
    </w:div>
    <w:div w:id="1489979444">
      <w:bodyDiv w:val="1"/>
      <w:marLeft w:val="0"/>
      <w:marRight w:val="0"/>
      <w:marTop w:val="0"/>
      <w:marBottom w:val="0"/>
      <w:divBdr>
        <w:top w:val="none" w:sz="0" w:space="0" w:color="auto"/>
        <w:left w:val="none" w:sz="0" w:space="0" w:color="auto"/>
        <w:bottom w:val="none" w:sz="0" w:space="0" w:color="auto"/>
        <w:right w:val="none" w:sz="0" w:space="0" w:color="auto"/>
      </w:divBdr>
    </w:div>
    <w:div w:id="1501966627">
      <w:bodyDiv w:val="1"/>
      <w:marLeft w:val="0"/>
      <w:marRight w:val="0"/>
      <w:marTop w:val="0"/>
      <w:marBottom w:val="0"/>
      <w:divBdr>
        <w:top w:val="none" w:sz="0" w:space="0" w:color="auto"/>
        <w:left w:val="none" w:sz="0" w:space="0" w:color="auto"/>
        <w:bottom w:val="none" w:sz="0" w:space="0" w:color="auto"/>
        <w:right w:val="none" w:sz="0" w:space="0" w:color="auto"/>
      </w:divBdr>
    </w:div>
    <w:div w:id="1502741294">
      <w:bodyDiv w:val="1"/>
      <w:marLeft w:val="0"/>
      <w:marRight w:val="0"/>
      <w:marTop w:val="0"/>
      <w:marBottom w:val="0"/>
      <w:divBdr>
        <w:top w:val="none" w:sz="0" w:space="0" w:color="auto"/>
        <w:left w:val="none" w:sz="0" w:space="0" w:color="auto"/>
        <w:bottom w:val="none" w:sz="0" w:space="0" w:color="auto"/>
        <w:right w:val="none" w:sz="0" w:space="0" w:color="auto"/>
      </w:divBdr>
    </w:div>
    <w:div w:id="1504009771">
      <w:bodyDiv w:val="1"/>
      <w:marLeft w:val="0"/>
      <w:marRight w:val="0"/>
      <w:marTop w:val="0"/>
      <w:marBottom w:val="0"/>
      <w:divBdr>
        <w:top w:val="none" w:sz="0" w:space="0" w:color="auto"/>
        <w:left w:val="none" w:sz="0" w:space="0" w:color="auto"/>
        <w:bottom w:val="none" w:sz="0" w:space="0" w:color="auto"/>
        <w:right w:val="none" w:sz="0" w:space="0" w:color="auto"/>
      </w:divBdr>
    </w:div>
    <w:div w:id="1507357108">
      <w:bodyDiv w:val="1"/>
      <w:marLeft w:val="0"/>
      <w:marRight w:val="0"/>
      <w:marTop w:val="0"/>
      <w:marBottom w:val="0"/>
      <w:divBdr>
        <w:top w:val="none" w:sz="0" w:space="0" w:color="auto"/>
        <w:left w:val="none" w:sz="0" w:space="0" w:color="auto"/>
        <w:bottom w:val="none" w:sz="0" w:space="0" w:color="auto"/>
        <w:right w:val="none" w:sz="0" w:space="0" w:color="auto"/>
      </w:divBdr>
    </w:div>
    <w:div w:id="1509560543">
      <w:bodyDiv w:val="1"/>
      <w:marLeft w:val="0"/>
      <w:marRight w:val="0"/>
      <w:marTop w:val="0"/>
      <w:marBottom w:val="0"/>
      <w:divBdr>
        <w:top w:val="none" w:sz="0" w:space="0" w:color="auto"/>
        <w:left w:val="none" w:sz="0" w:space="0" w:color="auto"/>
        <w:bottom w:val="none" w:sz="0" w:space="0" w:color="auto"/>
        <w:right w:val="none" w:sz="0" w:space="0" w:color="auto"/>
      </w:divBdr>
    </w:div>
    <w:div w:id="1517302508">
      <w:bodyDiv w:val="1"/>
      <w:marLeft w:val="0"/>
      <w:marRight w:val="0"/>
      <w:marTop w:val="0"/>
      <w:marBottom w:val="0"/>
      <w:divBdr>
        <w:top w:val="none" w:sz="0" w:space="0" w:color="auto"/>
        <w:left w:val="none" w:sz="0" w:space="0" w:color="auto"/>
        <w:bottom w:val="none" w:sz="0" w:space="0" w:color="auto"/>
        <w:right w:val="none" w:sz="0" w:space="0" w:color="auto"/>
      </w:divBdr>
    </w:div>
    <w:div w:id="1535194169">
      <w:bodyDiv w:val="1"/>
      <w:marLeft w:val="0"/>
      <w:marRight w:val="0"/>
      <w:marTop w:val="0"/>
      <w:marBottom w:val="0"/>
      <w:divBdr>
        <w:top w:val="none" w:sz="0" w:space="0" w:color="auto"/>
        <w:left w:val="none" w:sz="0" w:space="0" w:color="auto"/>
        <w:bottom w:val="none" w:sz="0" w:space="0" w:color="auto"/>
        <w:right w:val="none" w:sz="0" w:space="0" w:color="auto"/>
      </w:divBdr>
    </w:div>
    <w:div w:id="1535773440">
      <w:bodyDiv w:val="1"/>
      <w:marLeft w:val="0"/>
      <w:marRight w:val="0"/>
      <w:marTop w:val="0"/>
      <w:marBottom w:val="0"/>
      <w:divBdr>
        <w:top w:val="none" w:sz="0" w:space="0" w:color="auto"/>
        <w:left w:val="none" w:sz="0" w:space="0" w:color="auto"/>
        <w:bottom w:val="none" w:sz="0" w:space="0" w:color="auto"/>
        <w:right w:val="none" w:sz="0" w:space="0" w:color="auto"/>
      </w:divBdr>
    </w:div>
    <w:div w:id="1566532327">
      <w:bodyDiv w:val="1"/>
      <w:marLeft w:val="0"/>
      <w:marRight w:val="0"/>
      <w:marTop w:val="0"/>
      <w:marBottom w:val="0"/>
      <w:divBdr>
        <w:top w:val="none" w:sz="0" w:space="0" w:color="auto"/>
        <w:left w:val="none" w:sz="0" w:space="0" w:color="auto"/>
        <w:bottom w:val="none" w:sz="0" w:space="0" w:color="auto"/>
        <w:right w:val="none" w:sz="0" w:space="0" w:color="auto"/>
      </w:divBdr>
    </w:div>
    <w:div w:id="1570380418">
      <w:bodyDiv w:val="1"/>
      <w:marLeft w:val="0"/>
      <w:marRight w:val="0"/>
      <w:marTop w:val="0"/>
      <w:marBottom w:val="0"/>
      <w:divBdr>
        <w:top w:val="none" w:sz="0" w:space="0" w:color="auto"/>
        <w:left w:val="none" w:sz="0" w:space="0" w:color="auto"/>
        <w:bottom w:val="none" w:sz="0" w:space="0" w:color="auto"/>
        <w:right w:val="none" w:sz="0" w:space="0" w:color="auto"/>
      </w:divBdr>
    </w:div>
    <w:div w:id="1609776473">
      <w:bodyDiv w:val="1"/>
      <w:marLeft w:val="0"/>
      <w:marRight w:val="0"/>
      <w:marTop w:val="0"/>
      <w:marBottom w:val="0"/>
      <w:divBdr>
        <w:top w:val="none" w:sz="0" w:space="0" w:color="auto"/>
        <w:left w:val="none" w:sz="0" w:space="0" w:color="auto"/>
        <w:bottom w:val="none" w:sz="0" w:space="0" w:color="auto"/>
        <w:right w:val="none" w:sz="0" w:space="0" w:color="auto"/>
      </w:divBdr>
    </w:div>
    <w:div w:id="1618872500">
      <w:bodyDiv w:val="1"/>
      <w:marLeft w:val="0"/>
      <w:marRight w:val="0"/>
      <w:marTop w:val="0"/>
      <w:marBottom w:val="0"/>
      <w:divBdr>
        <w:top w:val="none" w:sz="0" w:space="0" w:color="auto"/>
        <w:left w:val="none" w:sz="0" w:space="0" w:color="auto"/>
        <w:bottom w:val="none" w:sz="0" w:space="0" w:color="auto"/>
        <w:right w:val="none" w:sz="0" w:space="0" w:color="auto"/>
      </w:divBdr>
    </w:div>
    <w:div w:id="1638299435">
      <w:bodyDiv w:val="1"/>
      <w:marLeft w:val="0"/>
      <w:marRight w:val="0"/>
      <w:marTop w:val="0"/>
      <w:marBottom w:val="0"/>
      <w:divBdr>
        <w:top w:val="none" w:sz="0" w:space="0" w:color="auto"/>
        <w:left w:val="none" w:sz="0" w:space="0" w:color="auto"/>
        <w:bottom w:val="none" w:sz="0" w:space="0" w:color="auto"/>
        <w:right w:val="none" w:sz="0" w:space="0" w:color="auto"/>
      </w:divBdr>
    </w:div>
    <w:div w:id="1639190361">
      <w:bodyDiv w:val="1"/>
      <w:marLeft w:val="0"/>
      <w:marRight w:val="0"/>
      <w:marTop w:val="0"/>
      <w:marBottom w:val="0"/>
      <w:divBdr>
        <w:top w:val="none" w:sz="0" w:space="0" w:color="auto"/>
        <w:left w:val="none" w:sz="0" w:space="0" w:color="auto"/>
        <w:bottom w:val="none" w:sz="0" w:space="0" w:color="auto"/>
        <w:right w:val="none" w:sz="0" w:space="0" w:color="auto"/>
      </w:divBdr>
    </w:div>
    <w:div w:id="1649091283">
      <w:bodyDiv w:val="1"/>
      <w:marLeft w:val="0"/>
      <w:marRight w:val="0"/>
      <w:marTop w:val="0"/>
      <w:marBottom w:val="0"/>
      <w:divBdr>
        <w:top w:val="none" w:sz="0" w:space="0" w:color="auto"/>
        <w:left w:val="none" w:sz="0" w:space="0" w:color="auto"/>
        <w:bottom w:val="none" w:sz="0" w:space="0" w:color="auto"/>
        <w:right w:val="none" w:sz="0" w:space="0" w:color="auto"/>
      </w:divBdr>
    </w:div>
    <w:div w:id="1653177623">
      <w:bodyDiv w:val="1"/>
      <w:marLeft w:val="0"/>
      <w:marRight w:val="0"/>
      <w:marTop w:val="0"/>
      <w:marBottom w:val="0"/>
      <w:divBdr>
        <w:top w:val="none" w:sz="0" w:space="0" w:color="auto"/>
        <w:left w:val="none" w:sz="0" w:space="0" w:color="auto"/>
        <w:bottom w:val="none" w:sz="0" w:space="0" w:color="auto"/>
        <w:right w:val="none" w:sz="0" w:space="0" w:color="auto"/>
      </w:divBdr>
    </w:div>
    <w:div w:id="1666123682">
      <w:bodyDiv w:val="1"/>
      <w:marLeft w:val="0"/>
      <w:marRight w:val="0"/>
      <w:marTop w:val="0"/>
      <w:marBottom w:val="0"/>
      <w:divBdr>
        <w:top w:val="none" w:sz="0" w:space="0" w:color="auto"/>
        <w:left w:val="none" w:sz="0" w:space="0" w:color="auto"/>
        <w:bottom w:val="none" w:sz="0" w:space="0" w:color="auto"/>
        <w:right w:val="none" w:sz="0" w:space="0" w:color="auto"/>
      </w:divBdr>
    </w:div>
    <w:div w:id="1671982659">
      <w:bodyDiv w:val="1"/>
      <w:marLeft w:val="0"/>
      <w:marRight w:val="0"/>
      <w:marTop w:val="0"/>
      <w:marBottom w:val="0"/>
      <w:divBdr>
        <w:top w:val="none" w:sz="0" w:space="0" w:color="auto"/>
        <w:left w:val="none" w:sz="0" w:space="0" w:color="auto"/>
        <w:bottom w:val="none" w:sz="0" w:space="0" w:color="auto"/>
        <w:right w:val="none" w:sz="0" w:space="0" w:color="auto"/>
      </w:divBdr>
    </w:div>
    <w:div w:id="1678649214">
      <w:bodyDiv w:val="1"/>
      <w:marLeft w:val="0"/>
      <w:marRight w:val="0"/>
      <w:marTop w:val="0"/>
      <w:marBottom w:val="0"/>
      <w:divBdr>
        <w:top w:val="none" w:sz="0" w:space="0" w:color="auto"/>
        <w:left w:val="none" w:sz="0" w:space="0" w:color="auto"/>
        <w:bottom w:val="none" w:sz="0" w:space="0" w:color="auto"/>
        <w:right w:val="none" w:sz="0" w:space="0" w:color="auto"/>
      </w:divBdr>
    </w:div>
    <w:div w:id="1685404152">
      <w:bodyDiv w:val="1"/>
      <w:marLeft w:val="0"/>
      <w:marRight w:val="0"/>
      <w:marTop w:val="0"/>
      <w:marBottom w:val="0"/>
      <w:divBdr>
        <w:top w:val="none" w:sz="0" w:space="0" w:color="auto"/>
        <w:left w:val="none" w:sz="0" w:space="0" w:color="auto"/>
        <w:bottom w:val="none" w:sz="0" w:space="0" w:color="auto"/>
        <w:right w:val="none" w:sz="0" w:space="0" w:color="auto"/>
      </w:divBdr>
    </w:div>
    <w:div w:id="1686244411">
      <w:bodyDiv w:val="1"/>
      <w:marLeft w:val="0"/>
      <w:marRight w:val="0"/>
      <w:marTop w:val="0"/>
      <w:marBottom w:val="0"/>
      <w:divBdr>
        <w:top w:val="none" w:sz="0" w:space="0" w:color="auto"/>
        <w:left w:val="none" w:sz="0" w:space="0" w:color="auto"/>
        <w:bottom w:val="none" w:sz="0" w:space="0" w:color="auto"/>
        <w:right w:val="none" w:sz="0" w:space="0" w:color="auto"/>
      </w:divBdr>
    </w:div>
    <w:div w:id="1687056666">
      <w:bodyDiv w:val="1"/>
      <w:marLeft w:val="0"/>
      <w:marRight w:val="0"/>
      <w:marTop w:val="0"/>
      <w:marBottom w:val="0"/>
      <w:divBdr>
        <w:top w:val="none" w:sz="0" w:space="0" w:color="auto"/>
        <w:left w:val="none" w:sz="0" w:space="0" w:color="auto"/>
        <w:bottom w:val="none" w:sz="0" w:space="0" w:color="auto"/>
        <w:right w:val="none" w:sz="0" w:space="0" w:color="auto"/>
      </w:divBdr>
    </w:div>
    <w:div w:id="1687709846">
      <w:bodyDiv w:val="1"/>
      <w:marLeft w:val="0"/>
      <w:marRight w:val="0"/>
      <w:marTop w:val="0"/>
      <w:marBottom w:val="0"/>
      <w:divBdr>
        <w:top w:val="none" w:sz="0" w:space="0" w:color="auto"/>
        <w:left w:val="none" w:sz="0" w:space="0" w:color="auto"/>
        <w:bottom w:val="none" w:sz="0" w:space="0" w:color="auto"/>
        <w:right w:val="none" w:sz="0" w:space="0" w:color="auto"/>
      </w:divBdr>
    </w:div>
    <w:div w:id="1696534513">
      <w:bodyDiv w:val="1"/>
      <w:marLeft w:val="0"/>
      <w:marRight w:val="0"/>
      <w:marTop w:val="0"/>
      <w:marBottom w:val="0"/>
      <w:divBdr>
        <w:top w:val="none" w:sz="0" w:space="0" w:color="auto"/>
        <w:left w:val="none" w:sz="0" w:space="0" w:color="auto"/>
        <w:bottom w:val="none" w:sz="0" w:space="0" w:color="auto"/>
        <w:right w:val="none" w:sz="0" w:space="0" w:color="auto"/>
      </w:divBdr>
    </w:div>
    <w:div w:id="1703744375">
      <w:bodyDiv w:val="1"/>
      <w:marLeft w:val="0"/>
      <w:marRight w:val="0"/>
      <w:marTop w:val="0"/>
      <w:marBottom w:val="0"/>
      <w:divBdr>
        <w:top w:val="none" w:sz="0" w:space="0" w:color="auto"/>
        <w:left w:val="none" w:sz="0" w:space="0" w:color="auto"/>
        <w:bottom w:val="none" w:sz="0" w:space="0" w:color="auto"/>
        <w:right w:val="none" w:sz="0" w:space="0" w:color="auto"/>
      </w:divBdr>
    </w:div>
    <w:div w:id="1707099679">
      <w:bodyDiv w:val="1"/>
      <w:marLeft w:val="0"/>
      <w:marRight w:val="0"/>
      <w:marTop w:val="0"/>
      <w:marBottom w:val="0"/>
      <w:divBdr>
        <w:top w:val="none" w:sz="0" w:space="0" w:color="auto"/>
        <w:left w:val="none" w:sz="0" w:space="0" w:color="auto"/>
        <w:bottom w:val="none" w:sz="0" w:space="0" w:color="auto"/>
        <w:right w:val="none" w:sz="0" w:space="0" w:color="auto"/>
      </w:divBdr>
    </w:div>
    <w:div w:id="1713118925">
      <w:bodyDiv w:val="1"/>
      <w:marLeft w:val="0"/>
      <w:marRight w:val="0"/>
      <w:marTop w:val="0"/>
      <w:marBottom w:val="0"/>
      <w:divBdr>
        <w:top w:val="none" w:sz="0" w:space="0" w:color="auto"/>
        <w:left w:val="none" w:sz="0" w:space="0" w:color="auto"/>
        <w:bottom w:val="none" w:sz="0" w:space="0" w:color="auto"/>
        <w:right w:val="none" w:sz="0" w:space="0" w:color="auto"/>
      </w:divBdr>
    </w:div>
    <w:div w:id="1727993825">
      <w:bodyDiv w:val="1"/>
      <w:marLeft w:val="0"/>
      <w:marRight w:val="0"/>
      <w:marTop w:val="0"/>
      <w:marBottom w:val="0"/>
      <w:divBdr>
        <w:top w:val="none" w:sz="0" w:space="0" w:color="auto"/>
        <w:left w:val="none" w:sz="0" w:space="0" w:color="auto"/>
        <w:bottom w:val="none" w:sz="0" w:space="0" w:color="auto"/>
        <w:right w:val="none" w:sz="0" w:space="0" w:color="auto"/>
      </w:divBdr>
    </w:div>
    <w:div w:id="1739209576">
      <w:bodyDiv w:val="1"/>
      <w:marLeft w:val="0"/>
      <w:marRight w:val="0"/>
      <w:marTop w:val="0"/>
      <w:marBottom w:val="0"/>
      <w:divBdr>
        <w:top w:val="none" w:sz="0" w:space="0" w:color="auto"/>
        <w:left w:val="none" w:sz="0" w:space="0" w:color="auto"/>
        <w:bottom w:val="none" w:sz="0" w:space="0" w:color="auto"/>
        <w:right w:val="none" w:sz="0" w:space="0" w:color="auto"/>
      </w:divBdr>
    </w:div>
    <w:div w:id="1740905487">
      <w:bodyDiv w:val="1"/>
      <w:marLeft w:val="0"/>
      <w:marRight w:val="0"/>
      <w:marTop w:val="0"/>
      <w:marBottom w:val="0"/>
      <w:divBdr>
        <w:top w:val="none" w:sz="0" w:space="0" w:color="auto"/>
        <w:left w:val="none" w:sz="0" w:space="0" w:color="auto"/>
        <w:bottom w:val="none" w:sz="0" w:space="0" w:color="auto"/>
        <w:right w:val="none" w:sz="0" w:space="0" w:color="auto"/>
      </w:divBdr>
    </w:div>
    <w:div w:id="1740982454">
      <w:bodyDiv w:val="1"/>
      <w:marLeft w:val="0"/>
      <w:marRight w:val="0"/>
      <w:marTop w:val="0"/>
      <w:marBottom w:val="0"/>
      <w:divBdr>
        <w:top w:val="none" w:sz="0" w:space="0" w:color="auto"/>
        <w:left w:val="none" w:sz="0" w:space="0" w:color="auto"/>
        <w:bottom w:val="none" w:sz="0" w:space="0" w:color="auto"/>
        <w:right w:val="none" w:sz="0" w:space="0" w:color="auto"/>
      </w:divBdr>
    </w:div>
    <w:div w:id="1744716626">
      <w:bodyDiv w:val="1"/>
      <w:marLeft w:val="0"/>
      <w:marRight w:val="0"/>
      <w:marTop w:val="0"/>
      <w:marBottom w:val="0"/>
      <w:divBdr>
        <w:top w:val="none" w:sz="0" w:space="0" w:color="auto"/>
        <w:left w:val="none" w:sz="0" w:space="0" w:color="auto"/>
        <w:bottom w:val="none" w:sz="0" w:space="0" w:color="auto"/>
        <w:right w:val="none" w:sz="0" w:space="0" w:color="auto"/>
      </w:divBdr>
    </w:div>
    <w:div w:id="1748961470">
      <w:bodyDiv w:val="1"/>
      <w:marLeft w:val="0"/>
      <w:marRight w:val="0"/>
      <w:marTop w:val="0"/>
      <w:marBottom w:val="0"/>
      <w:divBdr>
        <w:top w:val="none" w:sz="0" w:space="0" w:color="auto"/>
        <w:left w:val="none" w:sz="0" w:space="0" w:color="auto"/>
        <w:bottom w:val="none" w:sz="0" w:space="0" w:color="auto"/>
        <w:right w:val="none" w:sz="0" w:space="0" w:color="auto"/>
      </w:divBdr>
    </w:div>
    <w:div w:id="1757822969">
      <w:bodyDiv w:val="1"/>
      <w:marLeft w:val="0"/>
      <w:marRight w:val="0"/>
      <w:marTop w:val="0"/>
      <w:marBottom w:val="0"/>
      <w:divBdr>
        <w:top w:val="none" w:sz="0" w:space="0" w:color="auto"/>
        <w:left w:val="none" w:sz="0" w:space="0" w:color="auto"/>
        <w:bottom w:val="none" w:sz="0" w:space="0" w:color="auto"/>
        <w:right w:val="none" w:sz="0" w:space="0" w:color="auto"/>
      </w:divBdr>
    </w:div>
    <w:div w:id="1759448115">
      <w:bodyDiv w:val="1"/>
      <w:marLeft w:val="0"/>
      <w:marRight w:val="0"/>
      <w:marTop w:val="0"/>
      <w:marBottom w:val="0"/>
      <w:divBdr>
        <w:top w:val="none" w:sz="0" w:space="0" w:color="auto"/>
        <w:left w:val="none" w:sz="0" w:space="0" w:color="auto"/>
        <w:bottom w:val="none" w:sz="0" w:space="0" w:color="auto"/>
        <w:right w:val="none" w:sz="0" w:space="0" w:color="auto"/>
      </w:divBdr>
    </w:div>
    <w:div w:id="1783069493">
      <w:bodyDiv w:val="1"/>
      <w:marLeft w:val="0"/>
      <w:marRight w:val="0"/>
      <w:marTop w:val="0"/>
      <w:marBottom w:val="0"/>
      <w:divBdr>
        <w:top w:val="none" w:sz="0" w:space="0" w:color="auto"/>
        <w:left w:val="none" w:sz="0" w:space="0" w:color="auto"/>
        <w:bottom w:val="none" w:sz="0" w:space="0" w:color="auto"/>
        <w:right w:val="none" w:sz="0" w:space="0" w:color="auto"/>
      </w:divBdr>
    </w:div>
    <w:div w:id="1792817350">
      <w:bodyDiv w:val="1"/>
      <w:marLeft w:val="0"/>
      <w:marRight w:val="0"/>
      <w:marTop w:val="0"/>
      <w:marBottom w:val="0"/>
      <w:divBdr>
        <w:top w:val="none" w:sz="0" w:space="0" w:color="auto"/>
        <w:left w:val="none" w:sz="0" w:space="0" w:color="auto"/>
        <w:bottom w:val="none" w:sz="0" w:space="0" w:color="auto"/>
        <w:right w:val="none" w:sz="0" w:space="0" w:color="auto"/>
      </w:divBdr>
    </w:div>
    <w:div w:id="1794051696">
      <w:bodyDiv w:val="1"/>
      <w:marLeft w:val="0"/>
      <w:marRight w:val="0"/>
      <w:marTop w:val="0"/>
      <w:marBottom w:val="0"/>
      <w:divBdr>
        <w:top w:val="none" w:sz="0" w:space="0" w:color="auto"/>
        <w:left w:val="none" w:sz="0" w:space="0" w:color="auto"/>
        <w:bottom w:val="none" w:sz="0" w:space="0" w:color="auto"/>
        <w:right w:val="none" w:sz="0" w:space="0" w:color="auto"/>
      </w:divBdr>
    </w:div>
    <w:div w:id="1805393401">
      <w:bodyDiv w:val="1"/>
      <w:marLeft w:val="0"/>
      <w:marRight w:val="0"/>
      <w:marTop w:val="0"/>
      <w:marBottom w:val="0"/>
      <w:divBdr>
        <w:top w:val="none" w:sz="0" w:space="0" w:color="auto"/>
        <w:left w:val="none" w:sz="0" w:space="0" w:color="auto"/>
        <w:bottom w:val="none" w:sz="0" w:space="0" w:color="auto"/>
        <w:right w:val="none" w:sz="0" w:space="0" w:color="auto"/>
      </w:divBdr>
    </w:div>
    <w:div w:id="1823039623">
      <w:bodyDiv w:val="1"/>
      <w:marLeft w:val="0"/>
      <w:marRight w:val="0"/>
      <w:marTop w:val="0"/>
      <w:marBottom w:val="0"/>
      <w:divBdr>
        <w:top w:val="none" w:sz="0" w:space="0" w:color="auto"/>
        <w:left w:val="none" w:sz="0" w:space="0" w:color="auto"/>
        <w:bottom w:val="none" w:sz="0" w:space="0" w:color="auto"/>
        <w:right w:val="none" w:sz="0" w:space="0" w:color="auto"/>
      </w:divBdr>
    </w:div>
    <w:div w:id="1829400758">
      <w:bodyDiv w:val="1"/>
      <w:marLeft w:val="0"/>
      <w:marRight w:val="0"/>
      <w:marTop w:val="0"/>
      <w:marBottom w:val="0"/>
      <w:divBdr>
        <w:top w:val="none" w:sz="0" w:space="0" w:color="auto"/>
        <w:left w:val="none" w:sz="0" w:space="0" w:color="auto"/>
        <w:bottom w:val="none" w:sz="0" w:space="0" w:color="auto"/>
        <w:right w:val="none" w:sz="0" w:space="0" w:color="auto"/>
      </w:divBdr>
    </w:div>
    <w:div w:id="1832746320">
      <w:bodyDiv w:val="1"/>
      <w:marLeft w:val="0"/>
      <w:marRight w:val="0"/>
      <w:marTop w:val="0"/>
      <w:marBottom w:val="0"/>
      <w:divBdr>
        <w:top w:val="none" w:sz="0" w:space="0" w:color="auto"/>
        <w:left w:val="none" w:sz="0" w:space="0" w:color="auto"/>
        <w:bottom w:val="none" w:sz="0" w:space="0" w:color="auto"/>
        <w:right w:val="none" w:sz="0" w:space="0" w:color="auto"/>
      </w:divBdr>
    </w:div>
    <w:div w:id="1881089110">
      <w:bodyDiv w:val="1"/>
      <w:marLeft w:val="0"/>
      <w:marRight w:val="0"/>
      <w:marTop w:val="0"/>
      <w:marBottom w:val="0"/>
      <w:divBdr>
        <w:top w:val="none" w:sz="0" w:space="0" w:color="auto"/>
        <w:left w:val="none" w:sz="0" w:space="0" w:color="auto"/>
        <w:bottom w:val="none" w:sz="0" w:space="0" w:color="auto"/>
        <w:right w:val="none" w:sz="0" w:space="0" w:color="auto"/>
      </w:divBdr>
    </w:div>
    <w:div w:id="1885214091">
      <w:bodyDiv w:val="1"/>
      <w:marLeft w:val="0"/>
      <w:marRight w:val="0"/>
      <w:marTop w:val="0"/>
      <w:marBottom w:val="0"/>
      <w:divBdr>
        <w:top w:val="none" w:sz="0" w:space="0" w:color="auto"/>
        <w:left w:val="none" w:sz="0" w:space="0" w:color="auto"/>
        <w:bottom w:val="none" w:sz="0" w:space="0" w:color="auto"/>
        <w:right w:val="none" w:sz="0" w:space="0" w:color="auto"/>
      </w:divBdr>
    </w:div>
    <w:div w:id="1923250936">
      <w:bodyDiv w:val="1"/>
      <w:marLeft w:val="0"/>
      <w:marRight w:val="0"/>
      <w:marTop w:val="0"/>
      <w:marBottom w:val="0"/>
      <w:divBdr>
        <w:top w:val="none" w:sz="0" w:space="0" w:color="auto"/>
        <w:left w:val="none" w:sz="0" w:space="0" w:color="auto"/>
        <w:bottom w:val="none" w:sz="0" w:space="0" w:color="auto"/>
        <w:right w:val="none" w:sz="0" w:space="0" w:color="auto"/>
      </w:divBdr>
    </w:div>
    <w:div w:id="1937860093">
      <w:bodyDiv w:val="1"/>
      <w:marLeft w:val="0"/>
      <w:marRight w:val="0"/>
      <w:marTop w:val="0"/>
      <w:marBottom w:val="0"/>
      <w:divBdr>
        <w:top w:val="none" w:sz="0" w:space="0" w:color="auto"/>
        <w:left w:val="none" w:sz="0" w:space="0" w:color="auto"/>
        <w:bottom w:val="none" w:sz="0" w:space="0" w:color="auto"/>
        <w:right w:val="none" w:sz="0" w:space="0" w:color="auto"/>
      </w:divBdr>
    </w:div>
    <w:div w:id="1940871746">
      <w:bodyDiv w:val="1"/>
      <w:marLeft w:val="0"/>
      <w:marRight w:val="0"/>
      <w:marTop w:val="0"/>
      <w:marBottom w:val="0"/>
      <w:divBdr>
        <w:top w:val="none" w:sz="0" w:space="0" w:color="auto"/>
        <w:left w:val="none" w:sz="0" w:space="0" w:color="auto"/>
        <w:bottom w:val="none" w:sz="0" w:space="0" w:color="auto"/>
        <w:right w:val="none" w:sz="0" w:space="0" w:color="auto"/>
      </w:divBdr>
    </w:div>
    <w:div w:id="1954707975">
      <w:bodyDiv w:val="1"/>
      <w:marLeft w:val="0"/>
      <w:marRight w:val="0"/>
      <w:marTop w:val="0"/>
      <w:marBottom w:val="0"/>
      <w:divBdr>
        <w:top w:val="none" w:sz="0" w:space="0" w:color="auto"/>
        <w:left w:val="none" w:sz="0" w:space="0" w:color="auto"/>
        <w:bottom w:val="none" w:sz="0" w:space="0" w:color="auto"/>
        <w:right w:val="none" w:sz="0" w:space="0" w:color="auto"/>
      </w:divBdr>
    </w:div>
    <w:div w:id="1967391578">
      <w:bodyDiv w:val="1"/>
      <w:marLeft w:val="0"/>
      <w:marRight w:val="0"/>
      <w:marTop w:val="0"/>
      <w:marBottom w:val="0"/>
      <w:divBdr>
        <w:top w:val="none" w:sz="0" w:space="0" w:color="auto"/>
        <w:left w:val="none" w:sz="0" w:space="0" w:color="auto"/>
        <w:bottom w:val="none" w:sz="0" w:space="0" w:color="auto"/>
        <w:right w:val="none" w:sz="0" w:space="0" w:color="auto"/>
      </w:divBdr>
    </w:div>
    <w:div w:id="1980307628">
      <w:bodyDiv w:val="1"/>
      <w:marLeft w:val="0"/>
      <w:marRight w:val="0"/>
      <w:marTop w:val="0"/>
      <w:marBottom w:val="0"/>
      <w:divBdr>
        <w:top w:val="none" w:sz="0" w:space="0" w:color="auto"/>
        <w:left w:val="none" w:sz="0" w:space="0" w:color="auto"/>
        <w:bottom w:val="none" w:sz="0" w:space="0" w:color="auto"/>
        <w:right w:val="none" w:sz="0" w:space="0" w:color="auto"/>
      </w:divBdr>
    </w:div>
    <w:div w:id="1980917462">
      <w:bodyDiv w:val="1"/>
      <w:marLeft w:val="0"/>
      <w:marRight w:val="0"/>
      <w:marTop w:val="0"/>
      <w:marBottom w:val="0"/>
      <w:divBdr>
        <w:top w:val="none" w:sz="0" w:space="0" w:color="auto"/>
        <w:left w:val="none" w:sz="0" w:space="0" w:color="auto"/>
        <w:bottom w:val="none" w:sz="0" w:space="0" w:color="auto"/>
        <w:right w:val="none" w:sz="0" w:space="0" w:color="auto"/>
      </w:divBdr>
    </w:div>
    <w:div w:id="1985884888">
      <w:bodyDiv w:val="1"/>
      <w:marLeft w:val="0"/>
      <w:marRight w:val="0"/>
      <w:marTop w:val="0"/>
      <w:marBottom w:val="0"/>
      <w:divBdr>
        <w:top w:val="none" w:sz="0" w:space="0" w:color="auto"/>
        <w:left w:val="none" w:sz="0" w:space="0" w:color="auto"/>
        <w:bottom w:val="none" w:sz="0" w:space="0" w:color="auto"/>
        <w:right w:val="none" w:sz="0" w:space="0" w:color="auto"/>
      </w:divBdr>
    </w:div>
    <w:div w:id="1999071482">
      <w:bodyDiv w:val="1"/>
      <w:marLeft w:val="0"/>
      <w:marRight w:val="0"/>
      <w:marTop w:val="0"/>
      <w:marBottom w:val="0"/>
      <w:divBdr>
        <w:top w:val="none" w:sz="0" w:space="0" w:color="auto"/>
        <w:left w:val="none" w:sz="0" w:space="0" w:color="auto"/>
        <w:bottom w:val="none" w:sz="0" w:space="0" w:color="auto"/>
        <w:right w:val="none" w:sz="0" w:space="0" w:color="auto"/>
      </w:divBdr>
    </w:div>
    <w:div w:id="2006471325">
      <w:bodyDiv w:val="1"/>
      <w:marLeft w:val="0"/>
      <w:marRight w:val="0"/>
      <w:marTop w:val="0"/>
      <w:marBottom w:val="0"/>
      <w:divBdr>
        <w:top w:val="none" w:sz="0" w:space="0" w:color="auto"/>
        <w:left w:val="none" w:sz="0" w:space="0" w:color="auto"/>
        <w:bottom w:val="none" w:sz="0" w:space="0" w:color="auto"/>
        <w:right w:val="none" w:sz="0" w:space="0" w:color="auto"/>
      </w:divBdr>
    </w:div>
    <w:div w:id="2006664288">
      <w:bodyDiv w:val="1"/>
      <w:marLeft w:val="0"/>
      <w:marRight w:val="0"/>
      <w:marTop w:val="0"/>
      <w:marBottom w:val="0"/>
      <w:divBdr>
        <w:top w:val="none" w:sz="0" w:space="0" w:color="auto"/>
        <w:left w:val="none" w:sz="0" w:space="0" w:color="auto"/>
        <w:bottom w:val="none" w:sz="0" w:space="0" w:color="auto"/>
        <w:right w:val="none" w:sz="0" w:space="0" w:color="auto"/>
      </w:divBdr>
    </w:div>
    <w:div w:id="2010130030">
      <w:bodyDiv w:val="1"/>
      <w:marLeft w:val="0"/>
      <w:marRight w:val="0"/>
      <w:marTop w:val="0"/>
      <w:marBottom w:val="0"/>
      <w:divBdr>
        <w:top w:val="none" w:sz="0" w:space="0" w:color="auto"/>
        <w:left w:val="none" w:sz="0" w:space="0" w:color="auto"/>
        <w:bottom w:val="none" w:sz="0" w:space="0" w:color="auto"/>
        <w:right w:val="none" w:sz="0" w:space="0" w:color="auto"/>
      </w:divBdr>
    </w:div>
    <w:div w:id="2011447220">
      <w:bodyDiv w:val="1"/>
      <w:marLeft w:val="0"/>
      <w:marRight w:val="0"/>
      <w:marTop w:val="0"/>
      <w:marBottom w:val="0"/>
      <w:divBdr>
        <w:top w:val="none" w:sz="0" w:space="0" w:color="auto"/>
        <w:left w:val="none" w:sz="0" w:space="0" w:color="auto"/>
        <w:bottom w:val="none" w:sz="0" w:space="0" w:color="auto"/>
        <w:right w:val="none" w:sz="0" w:space="0" w:color="auto"/>
      </w:divBdr>
    </w:div>
    <w:div w:id="2043699870">
      <w:bodyDiv w:val="1"/>
      <w:marLeft w:val="0"/>
      <w:marRight w:val="0"/>
      <w:marTop w:val="0"/>
      <w:marBottom w:val="0"/>
      <w:divBdr>
        <w:top w:val="none" w:sz="0" w:space="0" w:color="auto"/>
        <w:left w:val="none" w:sz="0" w:space="0" w:color="auto"/>
        <w:bottom w:val="none" w:sz="0" w:space="0" w:color="auto"/>
        <w:right w:val="none" w:sz="0" w:space="0" w:color="auto"/>
      </w:divBdr>
    </w:div>
    <w:div w:id="2082175209">
      <w:bodyDiv w:val="1"/>
      <w:marLeft w:val="0"/>
      <w:marRight w:val="0"/>
      <w:marTop w:val="0"/>
      <w:marBottom w:val="0"/>
      <w:divBdr>
        <w:top w:val="none" w:sz="0" w:space="0" w:color="auto"/>
        <w:left w:val="none" w:sz="0" w:space="0" w:color="auto"/>
        <w:bottom w:val="none" w:sz="0" w:space="0" w:color="auto"/>
        <w:right w:val="none" w:sz="0" w:space="0" w:color="auto"/>
      </w:divBdr>
      <w:divsChild>
        <w:div w:id="2106804856">
          <w:marLeft w:val="0"/>
          <w:marRight w:val="0"/>
          <w:marTop w:val="0"/>
          <w:marBottom w:val="0"/>
          <w:divBdr>
            <w:top w:val="none" w:sz="0" w:space="0" w:color="auto"/>
            <w:left w:val="none" w:sz="0" w:space="0" w:color="auto"/>
            <w:bottom w:val="none" w:sz="0" w:space="0" w:color="auto"/>
            <w:right w:val="none" w:sz="0" w:space="0" w:color="auto"/>
          </w:divBdr>
          <w:divsChild>
            <w:div w:id="259459539">
              <w:marLeft w:val="0"/>
              <w:marRight w:val="0"/>
              <w:marTop w:val="0"/>
              <w:marBottom w:val="0"/>
              <w:divBdr>
                <w:top w:val="none" w:sz="0" w:space="0" w:color="auto"/>
                <w:left w:val="none" w:sz="0" w:space="0" w:color="auto"/>
                <w:bottom w:val="none" w:sz="0" w:space="0" w:color="auto"/>
                <w:right w:val="none" w:sz="0" w:space="0" w:color="auto"/>
              </w:divBdr>
              <w:divsChild>
                <w:div w:id="376979194">
                  <w:marLeft w:val="3"/>
                  <w:marRight w:val="0"/>
                  <w:marTop w:val="0"/>
                  <w:marBottom w:val="0"/>
                  <w:divBdr>
                    <w:top w:val="none" w:sz="0" w:space="0" w:color="auto"/>
                    <w:left w:val="none" w:sz="0" w:space="0" w:color="auto"/>
                    <w:bottom w:val="none" w:sz="0" w:space="0" w:color="auto"/>
                    <w:right w:val="none" w:sz="0" w:space="0" w:color="auto"/>
                  </w:divBdr>
                  <w:divsChild>
                    <w:div w:id="1894849979">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393769">
      <w:bodyDiv w:val="1"/>
      <w:marLeft w:val="0"/>
      <w:marRight w:val="0"/>
      <w:marTop w:val="0"/>
      <w:marBottom w:val="0"/>
      <w:divBdr>
        <w:top w:val="none" w:sz="0" w:space="0" w:color="auto"/>
        <w:left w:val="none" w:sz="0" w:space="0" w:color="auto"/>
        <w:bottom w:val="none" w:sz="0" w:space="0" w:color="auto"/>
        <w:right w:val="none" w:sz="0" w:space="0" w:color="auto"/>
      </w:divBdr>
    </w:div>
    <w:div w:id="2100176912">
      <w:bodyDiv w:val="1"/>
      <w:marLeft w:val="0"/>
      <w:marRight w:val="0"/>
      <w:marTop w:val="0"/>
      <w:marBottom w:val="0"/>
      <w:divBdr>
        <w:top w:val="none" w:sz="0" w:space="0" w:color="auto"/>
        <w:left w:val="none" w:sz="0" w:space="0" w:color="auto"/>
        <w:bottom w:val="none" w:sz="0" w:space="0" w:color="auto"/>
        <w:right w:val="none" w:sz="0" w:space="0" w:color="auto"/>
      </w:divBdr>
    </w:div>
    <w:div w:id="2127043394">
      <w:bodyDiv w:val="1"/>
      <w:marLeft w:val="0"/>
      <w:marRight w:val="0"/>
      <w:marTop w:val="0"/>
      <w:marBottom w:val="0"/>
      <w:divBdr>
        <w:top w:val="none" w:sz="0" w:space="0" w:color="auto"/>
        <w:left w:val="none" w:sz="0" w:space="0" w:color="auto"/>
        <w:bottom w:val="none" w:sz="0" w:space="0" w:color="auto"/>
        <w:right w:val="none" w:sz="0" w:space="0" w:color="auto"/>
      </w:divBdr>
    </w:div>
    <w:div w:id="2129621806">
      <w:bodyDiv w:val="1"/>
      <w:marLeft w:val="0"/>
      <w:marRight w:val="0"/>
      <w:marTop w:val="0"/>
      <w:marBottom w:val="0"/>
      <w:divBdr>
        <w:top w:val="none" w:sz="0" w:space="0" w:color="auto"/>
        <w:left w:val="none" w:sz="0" w:space="0" w:color="auto"/>
        <w:bottom w:val="none" w:sz="0" w:space="0" w:color="auto"/>
        <w:right w:val="none" w:sz="0" w:space="0" w:color="auto"/>
      </w:divBdr>
    </w:div>
    <w:div w:id="2136219733">
      <w:bodyDiv w:val="1"/>
      <w:marLeft w:val="0"/>
      <w:marRight w:val="0"/>
      <w:marTop w:val="0"/>
      <w:marBottom w:val="0"/>
      <w:divBdr>
        <w:top w:val="none" w:sz="0" w:space="0" w:color="auto"/>
        <w:left w:val="none" w:sz="0" w:space="0" w:color="auto"/>
        <w:bottom w:val="none" w:sz="0" w:space="0" w:color="auto"/>
        <w:right w:val="none" w:sz="0" w:space="0" w:color="auto"/>
      </w:divBdr>
    </w:div>
    <w:div w:id="2141337995">
      <w:bodyDiv w:val="1"/>
      <w:marLeft w:val="0"/>
      <w:marRight w:val="0"/>
      <w:marTop w:val="0"/>
      <w:marBottom w:val="0"/>
      <w:divBdr>
        <w:top w:val="none" w:sz="0" w:space="0" w:color="auto"/>
        <w:left w:val="none" w:sz="0" w:space="0" w:color="auto"/>
        <w:bottom w:val="none" w:sz="0" w:space="0" w:color="auto"/>
        <w:right w:val="none" w:sz="0" w:space="0" w:color="auto"/>
      </w:divBdr>
    </w:div>
    <w:div w:id="214541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7.png"/><Relationship Id="rId39" Type="http://schemas.openxmlformats.org/officeDocument/2006/relationships/chart" Target="charts/chart19.xml"/><Relationship Id="rId21" Type="http://schemas.openxmlformats.org/officeDocument/2006/relationships/chart" Target="charts/chart10.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5.xml"/><Relationship Id="rId63" Type="http://schemas.openxmlformats.org/officeDocument/2006/relationships/chart" Target="charts/chart43.xml"/><Relationship Id="rId68" Type="http://schemas.openxmlformats.org/officeDocument/2006/relationships/image" Target="media/image14.emf"/><Relationship Id="rId76" Type="http://schemas.openxmlformats.org/officeDocument/2006/relationships/chart" Target="charts/chart48.xml"/><Relationship Id="rId84" Type="http://schemas.openxmlformats.org/officeDocument/2006/relationships/hyperlink" Target="https://development.ohio.gov/is/is_PIPP_plus_review.htm"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image" Target="media/image10.png"/><Relationship Id="rId11" Type="http://schemas.openxmlformats.org/officeDocument/2006/relationships/hyperlink" Target="http://www.puc.pa.gov" TargetMode="External"/><Relationship Id="rId24" Type="http://schemas.openxmlformats.org/officeDocument/2006/relationships/image" Target="media/image5.png"/><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image" Target="media/image12.emf"/><Relationship Id="rId74" Type="http://schemas.openxmlformats.org/officeDocument/2006/relationships/chart" Target="charts/chart46.xml"/><Relationship Id="rId79" Type="http://schemas.openxmlformats.org/officeDocument/2006/relationships/chart" Target="charts/chart51.xm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chart" Target="charts/chart41.xml"/><Relationship Id="rId82" Type="http://schemas.openxmlformats.org/officeDocument/2006/relationships/hyperlink" Target="https://www.puco.ohio.gov/be-informed/consumer-topics/energy-assistance-programs-help-with-paying-your-utility-bills/" TargetMode="External"/><Relationship Id="rId19" Type="http://schemas.openxmlformats.org/officeDocument/2006/relationships/chart" Target="charts/chart8.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chart" Target="charts/chart44.xml"/><Relationship Id="rId69" Type="http://schemas.openxmlformats.org/officeDocument/2006/relationships/image" Target="media/image15.emf"/><Relationship Id="rId77" Type="http://schemas.openxmlformats.org/officeDocument/2006/relationships/chart" Target="charts/chart49.xm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image" Target="media/image18.emf"/><Relationship Id="rId80" Type="http://schemas.openxmlformats.org/officeDocument/2006/relationships/footer" Target="footer1.xml"/><Relationship Id="rId85" Type="http://schemas.openxmlformats.org/officeDocument/2006/relationships/hyperlink" Target="http://www.puc.pa.gov/General/publications_reports/pdf/EPO_2018.pdf" TargetMode="Externa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6.png"/><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9.xml"/><Relationship Id="rId67" Type="http://schemas.openxmlformats.org/officeDocument/2006/relationships/image" Target="media/image13.emf"/><Relationship Id="rId20" Type="http://schemas.openxmlformats.org/officeDocument/2006/relationships/chart" Target="charts/chart9.xml"/><Relationship Id="rId41" Type="http://schemas.openxmlformats.org/officeDocument/2006/relationships/chart" Target="charts/chart21.xml"/><Relationship Id="rId54" Type="http://schemas.openxmlformats.org/officeDocument/2006/relationships/chart" Target="charts/chart34.xml"/><Relationship Id="rId62" Type="http://schemas.openxmlformats.org/officeDocument/2006/relationships/chart" Target="charts/chart42.xml"/><Relationship Id="rId70" Type="http://schemas.openxmlformats.org/officeDocument/2006/relationships/image" Target="media/image16.emf"/><Relationship Id="rId75" Type="http://schemas.openxmlformats.org/officeDocument/2006/relationships/chart" Target="charts/chart47.xml"/><Relationship Id="rId83" Type="http://schemas.openxmlformats.org/officeDocument/2006/relationships/hyperlink" Target="https://www.puc.nh.gov/consumer/electricassistanceprogram.ht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7.xml"/><Relationship Id="rId10" Type="http://schemas.openxmlformats.org/officeDocument/2006/relationships/image" Target="media/image2.png"/><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image" Target="media/image19.emf"/><Relationship Id="rId78" Type="http://schemas.openxmlformats.org/officeDocument/2006/relationships/chart" Target="charts/chart50.xml"/><Relationship Id="rId81" Type="http://schemas.openxmlformats.org/officeDocument/2006/relationships/footer" Target="footer2.xml"/><Relationship Id="rId86" Type="http://schemas.openxmlformats.org/officeDocument/2006/relationships/image" Target="media/image20.jpeg"/></Relationships>
</file>

<file path=word/_rels/footnotes.xml.rels><?xml version="1.0" encoding="UTF-8" standalone="yes"?>
<Relationships xmlns="http://schemas.openxmlformats.org/package/2006/relationships"><Relationship Id="rId8" Type="http://schemas.openxmlformats.org/officeDocument/2006/relationships/hyperlink" Target="https://www.state.nj.us/dca/divisions/dhcr/faq/usf.html" TargetMode="External"/><Relationship Id="rId13" Type="http://schemas.openxmlformats.org/officeDocument/2006/relationships/hyperlink" Target="http://energyefficiencyforall.org/sites/default/files/Lifting%20the%20High%20Energy%20Burden_0.pdf" TargetMode="External"/><Relationship Id="rId18" Type="http://schemas.openxmlformats.org/officeDocument/2006/relationships/hyperlink" Target="http://www.appriseinc.org/wp-content/uploads/2016/05/Final-Allegheny-Universal-Service-Program-Evaluation-Report.pdf" TargetMode="External"/><Relationship Id="rId26" Type="http://schemas.openxmlformats.org/officeDocument/2006/relationships/hyperlink" Target="https://www.census.gov/programs-surveys/acs/technical-documentation/code-lists.html" TargetMode="External"/><Relationship Id="rId3" Type="http://schemas.openxmlformats.org/officeDocument/2006/relationships/hyperlink" Target="http://www.opiniondynamics.com/wp-content/uploads/2013/08/Pathways-to-Success-in-Low-Income-Energy-Assistance-Payment-Programs1.pdf" TargetMode="External"/><Relationship Id="rId21" Type="http://schemas.openxmlformats.org/officeDocument/2006/relationships/hyperlink" Target="http://www.fsconline.com/downloads/Papers/1999%2005%20measure-liheap.pdf" TargetMode="External"/><Relationship Id="rId7" Type="http://schemas.openxmlformats.org/officeDocument/2006/relationships/hyperlink" Target="https://development.ohio.gov/is/is_pipp.htm" TargetMode="External"/><Relationship Id="rId12" Type="http://schemas.openxmlformats.org/officeDocument/2006/relationships/hyperlink" Target="https://aceee.org/research-report/u1806" TargetMode="External"/><Relationship Id="rId17" Type="http://schemas.openxmlformats.org/officeDocument/2006/relationships/hyperlink" Target="https://www.nyserda.ny.gov/-/media/Files/EDPPP/LIFE/Resources/2011-affordability-gap.pdf" TargetMode="External"/><Relationship Id="rId25" Type="http://schemas.openxmlformats.org/officeDocument/2006/relationships/hyperlink" Target="https://www.eia.gov/outlooks/aeo/data/browser/" TargetMode="External"/><Relationship Id="rId2" Type="http://schemas.openxmlformats.org/officeDocument/2006/relationships/hyperlink" Target="http://www.puc.state.pa.us/filing_resources/universal_service_reports.aspx" TargetMode="External"/><Relationship Id="rId16" Type="http://schemas.openxmlformats.org/officeDocument/2006/relationships/hyperlink" Target="https://www.puc.state.pa.us/general/pdf/USP_Evaluation-UGI.pdf" TargetMode="External"/><Relationship Id="rId20" Type="http://schemas.openxmlformats.org/officeDocument/2006/relationships/hyperlink" Target="http://www.appriseinc.org/reports/LIHEAP%20BURDEN.pdf" TargetMode="External"/><Relationship Id="rId1" Type="http://schemas.openxmlformats.org/officeDocument/2006/relationships/hyperlink" Target="http://pasdc.hbg.psu.edu/sdc/pasdc_files/researchbriefs/Urban_Rural_SF1_RB.pdf" TargetMode="External"/><Relationship Id="rId6" Type="http://schemas.openxmlformats.org/officeDocument/2006/relationships/hyperlink" Target="http://www.appriseinc.org" TargetMode="External"/><Relationship Id="rId11" Type="http://schemas.openxmlformats.org/officeDocument/2006/relationships/hyperlink" Target="http://www.homeenergyaffordabilitygap.com/index.html" TargetMode="External"/><Relationship Id="rId24" Type="http://schemas.openxmlformats.org/officeDocument/2006/relationships/hyperlink" Target="http://www.puc.pa.gov/filing_resources/universal_service_reports.aspx" TargetMode="External"/><Relationship Id="rId5" Type="http://schemas.openxmlformats.org/officeDocument/2006/relationships/hyperlink" Target="http://www.puc.pa.gov/General/publications_reports/pdf/EDC_NGDC_UniServ_Rpt2016.pdf" TargetMode="External"/><Relationship Id="rId15" Type="http://schemas.openxmlformats.org/officeDocument/2006/relationships/hyperlink" Target="http://www.opiniondynamics.com/wp-content/uploads/2013/06/Low-Income-Payment-Assistance-Program-Evaluation.pdf" TargetMode="External"/><Relationship Id="rId23" Type="http://schemas.openxmlformats.org/officeDocument/2006/relationships/hyperlink" Target="http://pasdc.hbg.psu.edu/sdc/pasdc_files/researchbriefs/Urban_Rural_SF1_RB.pdf" TargetMode="External"/><Relationship Id="rId10" Type="http://schemas.openxmlformats.org/officeDocument/2006/relationships/hyperlink" Target="http://dhr.maryland.gov/office-of-home-energy-programs/how-are-grants-determined/" TargetMode="External"/><Relationship Id="rId19" Type="http://schemas.openxmlformats.org/officeDocument/2006/relationships/hyperlink" Target="http://appriseinc.org/reports/Illinois%20PIPP%20Impact%20Report%20-%20FINAL.pdf" TargetMode="External"/><Relationship Id="rId4" Type="http://schemas.openxmlformats.org/officeDocument/2006/relationships/hyperlink" Target="http://www.puc.state.pa.us/filing_resources/rate_comparison_report.aspx" TargetMode="External"/><Relationship Id="rId9" Type="http://schemas.openxmlformats.org/officeDocument/2006/relationships/hyperlink" Target="http://www.ilga.gov/legislation/96/SB/PDF/09600SB1918lv.pdf" TargetMode="External"/><Relationship Id="rId14" Type="http://schemas.openxmlformats.org/officeDocument/2006/relationships/hyperlink" Target="https://www.pplelectric.com/-/media/PPLElectric/Save-Energy-and-Money/Docs/Act129_Phase2/pplpy5processevaluation212015.pdf?la=en" TargetMode="External"/><Relationship Id="rId22" Type="http://schemas.openxmlformats.org/officeDocument/2006/relationships/hyperlink" Target="http://www.fsconline.com/downloads/Papers/1994%2007%20LATE-FEE.pdf" TargetMode="External"/><Relationship Id="rId27" Type="http://schemas.openxmlformats.org/officeDocument/2006/relationships/hyperlink" Target="https://www.in.gov/ihcda/2329.h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ndepew\Desktop\Energy%20Burden%20Study\Nan%20Updated%20EB_ELECTRIC_ppl%20(08-31-2018)%20Final.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Final%20PPA-IPA%209-6-1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Final%20PPA-IPA%209-6-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Final%20PPA-IPA%209-6-1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Final%20PPA-IPA%209-6-1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Percent%20of%20Bills%20Pd%20on%20Time%20-%20FINAL%20FIN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Percent%20of%20Bills%20Pd%20on%20Time%20-%20FINAL%20FINA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Percent%20of%20Bills%20Pd%20on%20Time%20-%20FINAL%20FINA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Percent%20of%20Bills%20Pd%20on%20Time%20-%20FINAL%20FINAL.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Percent%20of%20Bills%20Pd%20on%20Time%20-%20FINAL%20FINAL.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depew\Desktop\Energy%20Burden%20Study\Update%20-%20with%20Notes%20-%20Nan%20EB_GAS%20(08-21-201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Percent%20of%20Bills%20Pd%20on%20Time%20-%20FINAL%20FINAL.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Percent%20of%20Bills%20Pd%20on%20Time%20-%20FINAL%20FINAL.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Percent%20of%20Bills%20Pd%20on%20Time%20-%20FINAL%20FINAL.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ndepew\Desktop\Energy%20Burden%20Study\Nan%20-%20Use%20THISCopy%20of%20FPIG%20Comparison%20of%20NGDC%20and%20EDC.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ndepew\Desktop\Energy%20Burden%20Study\Nan%20-%20Percent%20of%20Bills%20Pd%20on%20Time%20-%20FINAL%20FINAL.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ndepew\Desktop\Energy%20Burden%20Study\Nan%20-%20Percent%20of%20Bills%20Pd%20on%20Time%20-%20FINAL%20FINAL.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9-21-18%20Default%20Exit%20Data-v2.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ndepew\AppData\Local\Microsoft\Windows\INetCache\Content.Outlook\5QEXKXO2\9-21-18%20Default%20Exit%20Data-v2.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ndepew\Desktop\Energy%20Burden%20Study\Nan%20-%20Copy%20of%209-21-18%20Default%20Exit%20Data-v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ndepew\Desktop\Energy%20Burden%20Study\Nan%20-%20Copy%20of%209-21-18%20Default%20Exit%20Data-v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depew\Desktop\Energy%20Burden%20Study\Update%20-%20with%20Notes%20-%20Nan%20EB_GAS%20(08-21-2018).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CAP%20Default%20Exits%20and%20Terminations%209-25-18.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CAP%20Default%20Exits%20and%20Terminations%209-25-18.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Copy%20of%20Copy%20of%209-26-18%20NGDC-EDC%20Debt%20Ratio%20Data%202012-2016.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Copy%20of%20Copy%20of%209-26-18%20NGDC-EDC%20Debt%20Ratio%20Data%202012-2016.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Copy%20of%20Copy%20of%209-26-18%20NGDC-EDC%20Debt%20Ratio%20Data%202012-2016.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Copy%20of%20Copy%20of%209-26-18%20NGDC-EDC%20Debt%20Ratio%20Data%202012-2016.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Copy%20of%20Copy%20of%209-26-18%20NGDC-EDC%20Debt%20Ratio%20Data%202012-2016.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Copy%20of%20Copy%20of%209-26-18%20NGDC-EDC%20Debt%20Ratio%20Data%202012-2016.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Copy%20of%20Copy%20of%209-26-18%20NGDC-EDC%20Debt%20Ratio%20Data%202012-2016.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Copy%20of%20Copy%20of%209-26-18%20NGDC-EDC%20Debt%20Ratio%20Data%202012-2016.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depew\Desktop\Energy%20Burden%20Study\Update%20-%20with%20Notes%20-%20Nan%20EB_GAS%20(08-21-2018).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ndepew\Desktop\Energy%20Burden%20Study\With%20Graphs%20-%20Total%20CAP%20Costs%20and%205%20Year%20Forecast%209-25-18.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Nan%20Update%20With%20Graphs%20-%20Total%20CAP%20Costs%20and%205%20Year%20Forecast%209-25-18.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Copy%20of%20Nans%20Update%20of%20Non-Residential%20CAP%20Costs%20Analysis_v7%2012-20-18%20(003).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jmagee\AppData\Local\Microsoft\Windows\INetCache\Content.Outlook\XRDM0K4Q\Nans%20Update%20of%20Non-Residential%20CAP%20Costs%20Analysis_v7%2012-20-18%20(003).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C:\Users\sdewey\AppData\Local\Microsoft\Windows\INetCache\Content.Outlook\X13K0KH8\Nan%20-%20EB%20Change%20Graphs.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C:\Users\sdewey\AppData\Local\Microsoft\Windows\INetCache\Content.Outlook\X13K0KH8\Nan%20-%20EB%20Change%20Graphs.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3.xlsx"/></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depew\Desktop\Energy%20Burden%20Study\Nan%20Updated%20EB_ELECTRIC_ppl%20(08-31-2018)%20Final.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1.xml"/><Relationship Id="rId1" Type="http://schemas.microsoft.com/office/2011/relationships/chartStyle" Target="style5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depew\Desktop\Energy%20Burden%20Study\Nan%20Updated%20EB_ELECTRIC_ppl%20(08-31-2018)%20Final.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depew\Desktop\Energy%20Burden%20Study\Nan%20Updated%20EB_ELECTRIC_ppl%20(08-31-2018)%20Final.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depew\Desktop\Energy%20Burden%20Study\Nan%20Updated%20EB_ELECTRIC_ppl%20(08-31-2018)%20Fin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depew\Desktop\Energy%20Burden%20Study\Nan%20Updated%20EB_ELECTRIC_ppl%20(08-31-2018)%20Final.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 of CAP NH Bills'!$D$3</c:f>
              <c:strCache>
                <c:ptCount val="1"/>
                <c:pt idx="0">
                  <c:v>2012</c:v>
                </c:pt>
              </c:strCache>
            </c:strRef>
          </c:tx>
          <c:spPr>
            <a:solidFill>
              <a:schemeClr val="accent1"/>
            </a:solidFill>
            <a:ln>
              <a:noFill/>
            </a:ln>
            <a:effectLst/>
          </c:spPr>
          <c:invertIfNegative val="0"/>
          <c:cat>
            <c:strRef>
              <c:f>'% of CAP NH Bills'!$C$4:$C$12</c:f>
              <c:strCache>
                <c:ptCount val="9"/>
                <c:pt idx="0">
                  <c:v>Industry Average</c:v>
                </c:pt>
                <c:pt idx="2">
                  <c:v>Duquesne</c:v>
                </c:pt>
                <c:pt idx="3">
                  <c:v>Met Ed</c:v>
                </c:pt>
                <c:pt idx="4">
                  <c:v>PECO Electric</c:v>
                </c:pt>
                <c:pt idx="5">
                  <c:v>Penelec</c:v>
                </c:pt>
                <c:pt idx="6">
                  <c:v>Penn Power</c:v>
                </c:pt>
                <c:pt idx="7">
                  <c:v>PPL</c:v>
                </c:pt>
                <c:pt idx="8">
                  <c:v>West Penn</c:v>
                </c:pt>
              </c:strCache>
            </c:strRef>
          </c:cat>
          <c:val>
            <c:numRef>
              <c:f>'% of CAP NH Bills'!$D$4:$D$12</c:f>
              <c:numCache>
                <c:formatCode>General</c:formatCode>
                <c:ptCount val="9"/>
                <c:pt idx="0" formatCode="0.00%">
                  <c:v>0.79782758498638406</c:v>
                </c:pt>
                <c:pt idx="2" formatCode="0.00%">
                  <c:v>0.90179423985903251</c:v>
                </c:pt>
                <c:pt idx="3" formatCode="0.00%">
                  <c:v>0.74734205426123879</c:v>
                </c:pt>
                <c:pt idx="4" formatCode="0.00%">
                  <c:v>0.80996917486223896</c:v>
                </c:pt>
                <c:pt idx="5" formatCode="0.00%">
                  <c:v>0.86059334530426956</c:v>
                </c:pt>
                <c:pt idx="6" formatCode="0.00%">
                  <c:v>0.84281842818428188</c:v>
                </c:pt>
                <c:pt idx="7" formatCode="0.00%">
                  <c:v>0.59999177818510696</c:v>
                </c:pt>
                <c:pt idx="8" formatCode="0.00%">
                  <c:v>0.80410151271078423</c:v>
                </c:pt>
              </c:numCache>
            </c:numRef>
          </c:val>
          <c:extLst>
            <c:ext xmlns:c16="http://schemas.microsoft.com/office/drawing/2014/chart" uri="{C3380CC4-5D6E-409C-BE32-E72D297353CC}">
              <c16:uniqueId val="{00000000-1FD5-4EB2-8D5F-A260E0B6F02A}"/>
            </c:ext>
          </c:extLst>
        </c:ser>
        <c:ser>
          <c:idx val="1"/>
          <c:order val="1"/>
          <c:tx>
            <c:strRef>
              <c:f>'% of CAP NH Bills'!$E$3</c:f>
              <c:strCache>
                <c:ptCount val="1"/>
                <c:pt idx="0">
                  <c:v>2013</c:v>
                </c:pt>
              </c:strCache>
            </c:strRef>
          </c:tx>
          <c:spPr>
            <a:solidFill>
              <a:schemeClr val="accent2"/>
            </a:solidFill>
            <a:ln>
              <a:noFill/>
            </a:ln>
            <a:effectLst/>
          </c:spPr>
          <c:invertIfNegative val="0"/>
          <c:cat>
            <c:strRef>
              <c:f>'% of CAP NH Bills'!$C$4:$C$12</c:f>
              <c:strCache>
                <c:ptCount val="9"/>
                <c:pt idx="0">
                  <c:v>Industry Average</c:v>
                </c:pt>
                <c:pt idx="2">
                  <c:v>Duquesne</c:v>
                </c:pt>
                <c:pt idx="3">
                  <c:v>Met Ed</c:v>
                </c:pt>
                <c:pt idx="4">
                  <c:v>PECO Electric</c:v>
                </c:pt>
                <c:pt idx="5">
                  <c:v>Penelec</c:v>
                </c:pt>
                <c:pt idx="6">
                  <c:v>Penn Power</c:v>
                </c:pt>
                <c:pt idx="7">
                  <c:v>PPL</c:v>
                </c:pt>
                <c:pt idx="8">
                  <c:v>West Penn</c:v>
                </c:pt>
              </c:strCache>
            </c:strRef>
          </c:cat>
          <c:val>
            <c:numRef>
              <c:f>'% of CAP NH Bills'!$E$4:$E$12</c:f>
              <c:numCache>
                <c:formatCode>General</c:formatCode>
                <c:ptCount val="9"/>
                <c:pt idx="0" formatCode="0.00%">
                  <c:v>0.80667484952018975</c:v>
                </c:pt>
                <c:pt idx="2" formatCode="0.00%">
                  <c:v>0.89685136550853173</c:v>
                </c:pt>
                <c:pt idx="3" formatCode="0.00%">
                  <c:v>0.73902648080479993</c:v>
                </c:pt>
                <c:pt idx="4" formatCode="0.00%">
                  <c:v>0.84399879666079813</c:v>
                </c:pt>
                <c:pt idx="5" formatCode="0.00%">
                  <c:v>0.84756031388262798</c:v>
                </c:pt>
                <c:pt idx="6" formatCode="0.00%">
                  <c:v>0.82095353047676523</c:v>
                </c:pt>
                <c:pt idx="7" formatCode="0.00%">
                  <c:v>0.60000094704592699</c:v>
                </c:pt>
                <c:pt idx="8" formatCode="0.00%">
                  <c:v>0.79501554697069632</c:v>
                </c:pt>
              </c:numCache>
            </c:numRef>
          </c:val>
          <c:extLst>
            <c:ext xmlns:c16="http://schemas.microsoft.com/office/drawing/2014/chart" uri="{C3380CC4-5D6E-409C-BE32-E72D297353CC}">
              <c16:uniqueId val="{00000001-1FD5-4EB2-8D5F-A260E0B6F02A}"/>
            </c:ext>
          </c:extLst>
        </c:ser>
        <c:ser>
          <c:idx val="2"/>
          <c:order val="2"/>
          <c:tx>
            <c:strRef>
              <c:f>'% of CAP NH Bills'!$F$3</c:f>
              <c:strCache>
                <c:ptCount val="1"/>
                <c:pt idx="0">
                  <c:v>2014</c:v>
                </c:pt>
              </c:strCache>
            </c:strRef>
          </c:tx>
          <c:spPr>
            <a:solidFill>
              <a:schemeClr val="accent3"/>
            </a:solidFill>
            <a:ln>
              <a:noFill/>
            </a:ln>
            <a:effectLst/>
          </c:spPr>
          <c:invertIfNegative val="0"/>
          <c:cat>
            <c:strRef>
              <c:f>'% of CAP NH Bills'!$C$4:$C$12</c:f>
              <c:strCache>
                <c:ptCount val="9"/>
                <c:pt idx="0">
                  <c:v>Industry Average</c:v>
                </c:pt>
                <c:pt idx="2">
                  <c:v>Duquesne</c:v>
                </c:pt>
                <c:pt idx="3">
                  <c:v>Met Ed</c:v>
                </c:pt>
                <c:pt idx="4">
                  <c:v>PECO Electric</c:v>
                </c:pt>
                <c:pt idx="5">
                  <c:v>Penelec</c:v>
                </c:pt>
                <c:pt idx="6">
                  <c:v>Penn Power</c:v>
                </c:pt>
                <c:pt idx="7">
                  <c:v>PPL</c:v>
                </c:pt>
                <c:pt idx="8">
                  <c:v>West Penn</c:v>
                </c:pt>
              </c:strCache>
            </c:strRef>
          </c:cat>
          <c:val>
            <c:numRef>
              <c:f>'% of CAP NH Bills'!$F$4:$F$12</c:f>
              <c:numCache>
                <c:formatCode>General</c:formatCode>
                <c:ptCount val="9"/>
                <c:pt idx="0" formatCode="0.00%">
                  <c:v>0.81154098328645508</c:v>
                </c:pt>
                <c:pt idx="2" formatCode="0.00%">
                  <c:v>0.89198304153412611</c:v>
                </c:pt>
                <c:pt idx="3" formatCode="0.00%">
                  <c:v>0.73048415152686508</c:v>
                </c:pt>
                <c:pt idx="4" formatCode="0.00%">
                  <c:v>0.86009179449780593</c:v>
                </c:pt>
                <c:pt idx="5" formatCode="0.00%">
                  <c:v>0.85750796237446669</c:v>
                </c:pt>
                <c:pt idx="6" formatCode="0.00%">
                  <c:v>0.83721407485753074</c:v>
                </c:pt>
                <c:pt idx="7" formatCode="0.00%">
                  <c:v>0.60000043433599803</c:v>
                </c:pt>
                <c:pt idx="8" formatCode="0.00%">
                  <c:v>0.77162657687783953</c:v>
                </c:pt>
              </c:numCache>
            </c:numRef>
          </c:val>
          <c:extLst>
            <c:ext xmlns:c16="http://schemas.microsoft.com/office/drawing/2014/chart" uri="{C3380CC4-5D6E-409C-BE32-E72D297353CC}">
              <c16:uniqueId val="{00000002-1FD5-4EB2-8D5F-A260E0B6F02A}"/>
            </c:ext>
          </c:extLst>
        </c:ser>
        <c:ser>
          <c:idx val="3"/>
          <c:order val="3"/>
          <c:tx>
            <c:strRef>
              <c:f>'% of CAP NH Bills'!$G$3</c:f>
              <c:strCache>
                <c:ptCount val="1"/>
                <c:pt idx="0">
                  <c:v>2015</c:v>
                </c:pt>
              </c:strCache>
            </c:strRef>
          </c:tx>
          <c:spPr>
            <a:solidFill>
              <a:schemeClr val="accent4"/>
            </a:solidFill>
            <a:ln>
              <a:noFill/>
            </a:ln>
            <a:effectLst/>
          </c:spPr>
          <c:invertIfNegative val="0"/>
          <c:cat>
            <c:strRef>
              <c:f>'% of CAP NH Bills'!$C$4:$C$12</c:f>
              <c:strCache>
                <c:ptCount val="9"/>
                <c:pt idx="0">
                  <c:v>Industry Average</c:v>
                </c:pt>
                <c:pt idx="2">
                  <c:v>Duquesne</c:v>
                </c:pt>
                <c:pt idx="3">
                  <c:v>Met Ed</c:v>
                </c:pt>
                <c:pt idx="4">
                  <c:v>PECO Electric</c:v>
                </c:pt>
                <c:pt idx="5">
                  <c:v>Penelec</c:v>
                </c:pt>
                <c:pt idx="6">
                  <c:v>Penn Power</c:v>
                </c:pt>
                <c:pt idx="7">
                  <c:v>PPL</c:v>
                </c:pt>
                <c:pt idx="8">
                  <c:v>West Penn</c:v>
                </c:pt>
              </c:strCache>
            </c:strRef>
          </c:cat>
          <c:val>
            <c:numRef>
              <c:f>'% of CAP NH Bills'!$G$4:$G$12</c:f>
              <c:numCache>
                <c:formatCode>General</c:formatCode>
                <c:ptCount val="9"/>
                <c:pt idx="0" formatCode="0.00%">
                  <c:v>0.7957954341895408</c:v>
                </c:pt>
                <c:pt idx="2" formatCode="0.00%">
                  <c:v>0.88757343756957086</c:v>
                </c:pt>
                <c:pt idx="3" formatCode="0.00%">
                  <c:v>0.72264950474071721</c:v>
                </c:pt>
                <c:pt idx="4" formatCode="0.00%">
                  <c:v>0.84213152436299177</c:v>
                </c:pt>
                <c:pt idx="5" formatCode="0.00%">
                  <c:v>0.85274920548132449</c:v>
                </c:pt>
                <c:pt idx="6" formatCode="0.00%">
                  <c:v>0.83286461856110494</c:v>
                </c:pt>
                <c:pt idx="7" formatCode="0.00%">
                  <c:v>0.60000072778747149</c:v>
                </c:pt>
                <c:pt idx="8" formatCode="0.00%">
                  <c:v>0.764000218114401</c:v>
                </c:pt>
              </c:numCache>
            </c:numRef>
          </c:val>
          <c:extLst>
            <c:ext xmlns:c16="http://schemas.microsoft.com/office/drawing/2014/chart" uri="{C3380CC4-5D6E-409C-BE32-E72D297353CC}">
              <c16:uniqueId val="{00000003-1FD5-4EB2-8D5F-A260E0B6F02A}"/>
            </c:ext>
          </c:extLst>
        </c:ser>
        <c:ser>
          <c:idx val="4"/>
          <c:order val="4"/>
          <c:tx>
            <c:strRef>
              <c:f>'% of CAP NH Bills'!$H$3</c:f>
              <c:strCache>
                <c:ptCount val="1"/>
                <c:pt idx="0">
                  <c:v>2016</c:v>
                </c:pt>
              </c:strCache>
            </c:strRef>
          </c:tx>
          <c:spPr>
            <a:solidFill>
              <a:schemeClr val="accent5"/>
            </a:solidFill>
            <a:ln>
              <a:noFill/>
            </a:ln>
            <a:effectLst/>
          </c:spPr>
          <c:invertIfNegative val="0"/>
          <c:cat>
            <c:strRef>
              <c:f>'% of CAP NH Bills'!$C$4:$C$12</c:f>
              <c:strCache>
                <c:ptCount val="9"/>
                <c:pt idx="0">
                  <c:v>Industry Average</c:v>
                </c:pt>
                <c:pt idx="2">
                  <c:v>Duquesne</c:v>
                </c:pt>
                <c:pt idx="3">
                  <c:v>Met Ed</c:v>
                </c:pt>
                <c:pt idx="4">
                  <c:v>PECO Electric</c:v>
                </c:pt>
                <c:pt idx="5">
                  <c:v>Penelec</c:v>
                </c:pt>
                <c:pt idx="6">
                  <c:v>Penn Power</c:v>
                </c:pt>
                <c:pt idx="7">
                  <c:v>PPL</c:v>
                </c:pt>
                <c:pt idx="8">
                  <c:v>West Penn</c:v>
                </c:pt>
              </c:strCache>
            </c:strRef>
          </c:cat>
          <c:val>
            <c:numRef>
              <c:f>'% of CAP NH Bills'!$H$4:$H$12</c:f>
              <c:numCache>
                <c:formatCode>General</c:formatCode>
                <c:ptCount val="9"/>
                <c:pt idx="0" formatCode="0.00%">
                  <c:v>0.75508225678072027</c:v>
                </c:pt>
                <c:pt idx="2" formatCode="0.00%">
                  <c:v>0.88769582089737975</c:v>
                </c:pt>
                <c:pt idx="3" formatCode="0.00%">
                  <c:v>0.71941347524896992</c:v>
                </c:pt>
                <c:pt idx="4" formatCode="0.00%">
                  <c:v>0.76963752619629366</c:v>
                </c:pt>
                <c:pt idx="5" formatCode="0.00%">
                  <c:v>0.84388835794113637</c:v>
                </c:pt>
                <c:pt idx="6" formatCode="0.00%">
                  <c:v>0.81021937544228917</c:v>
                </c:pt>
                <c:pt idx="7" formatCode="0.00%">
                  <c:v>0.60000061762612311</c:v>
                </c:pt>
                <c:pt idx="8" formatCode="0.00%">
                  <c:v>0.75760612835626329</c:v>
                </c:pt>
              </c:numCache>
            </c:numRef>
          </c:val>
          <c:extLst>
            <c:ext xmlns:c16="http://schemas.microsoft.com/office/drawing/2014/chart" uri="{C3380CC4-5D6E-409C-BE32-E72D297353CC}">
              <c16:uniqueId val="{00000004-1FD5-4EB2-8D5F-A260E0B6F02A}"/>
            </c:ext>
          </c:extLst>
        </c:ser>
        <c:dLbls>
          <c:showLegendKey val="0"/>
          <c:showVal val="0"/>
          <c:showCatName val="0"/>
          <c:showSerName val="0"/>
          <c:showPercent val="0"/>
          <c:showBubbleSize val="0"/>
        </c:dLbls>
        <c:gapWidth val="219"/>
        <c:overlap val="-27"/>
        <c:axId val="574168296"/>
        <c:axId val="574173216"/>
      </c:barChart>
      <c:catAx>
        <c:axId val="574168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73216"/>
        <c:crosses val="autoZero"/>
        <c:auto val="1"/>
        <c:lblAlgn val="ctr"/>
        <c:lblOffset val="100"/>
        <c:noMultiLvlLbl val="0"/>
      </c:catAx>
      <c:valAx>
        <c:axId val="574173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68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i="1"/>
              <a:t>Green shaded area reflects CAP Policy Statement
Max Energy Burden Level Range (6-7%)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 (HEAT STATUS-POVERTY LEVEL)'!$B$127</c:f>
              <c:strCache>
                <c:ptCount val="1"/>
                <c:pt idx="0">
                  <c:v>2012</c:v>
                </c:pt>
              </c:strCache>
            </c:strRef>
          </c:tx>
          <c:spPr>
            <a:solidFill>
              <a:schemeClr val="accent1"/>
            </a:solidFill>
            <a:ln>
              <a:noFill/>
            </a:ln>
            <a:effectLst/>
          </c:spPr>
          <c:invertIfNegative val="0"/>
          <c:cat>
            <c:strRef>
              <c:f>'CAP (HEAT STATUS-POVERTY LEVEL)'!$A$128:$A$134</c:f>
              <c:strCache>
                <c:ptCount val="7"/>
                <c:pt idx="0">
                  <c:v>Duquesne</c:v>
                </c:pt>
                <c:pt idx="1">
                  <c:v>Met Ed</c:v>
                </c:pt>
                <c:pt idx="2">
                  <c:v>PECO Electric</c:v>
                </c:pt>
                <c:pt idx="3">
                  <c:v>Penelec</c:v>
                </c:pt>
                <c:pt idx="4">
                  <c:v>Penn Power</c:v>
                </c:pt>
                <c:pt idx="5">
                  <c:v>PPL</c:v>
                </c:pt>
                <c:pt idx="6">
                  <c:v>West Penn</c:v>
                </c:pt>
              </c:strCache>
            </c:strRef>
          </c:cat>
          <c:val>
            <c:numRef>
              <c:f>'CAP (HEAT STATUS-POVERTY LEVEL)'!$B$128:$B$134</c:f>
              <c:numCache>
                <c:formatCode>0.00</c:formatCode>
                <c:ptCount val="7"/>
                <c:pt idx="0">
                  <c:v>4.95</c:v>
                </c:pt>
                <c:pt idx="1">
                  <c:v>2.41</c:v>
                </c:pt>
                <c:pt idx="2">
                  <c:v>5.04</c:v>
                </c:pt>
                <c:pt idx="3">
                  <c:v>2.1800000000000002</c:v>
                </c:pt>
                <c:pt idx="4">
                  <c:v>4.1399999999999997</c:v>
                </c:pt>
                <c:pt idx="5">
                  <c:v>4.2</c:v>
                </c:pt>
                <c:pt idx="6">
                  <c:v>5.33</c:v>
                </c:pt>
              </c:numCache>
            </c:numRef>
          </c:val>
          <c:extLst>
            <c:ext xmlns:c16="http://schemas.microsoft.com/office/drawing/2014/chart" uri="{C3380CC4-5D6E-409C-BE32-E72D297353CC}">
              <c16:uniqueId val="{00000000-8B58-4D0A-AD40-3905A8624ADF}"/>
            </c:ext>
          </c:extLst>
        </c:ser>
        <c:ser>
          <c:idx val="1"/>
          <c:order val="1"/>
          <c:tx>
            <c:strRef>
              <c:f>'CAP (HEAT STATUS-POVERTY LEVEL)'!$C$127</c:f>
              <c:strCache>
                <c:ptCount val="1"/>
                <c:pt idx="0">
                  <c:v>2013</c:v>
                </c:pt>
              </c:strCache>
            </c:strRef>
          </c:tx>
          <c:spPr>
            <a:solidFill>
              <a:schemeClr val="accent2"/>
            </a:solidFill>
            <a:ln>
              <a:noFill/>
            </a:ln>
            <a:effectLst/>
          </c:spPr>
          <c:invertIfNegative val="0"/>
          <c:cat>
            <c:strRef>
              <c:f>'CAP (HEAT STATUS-POVERTY LEVEL)'!$A$128:$A$134</c:f>
              <c:strCache>
                <c:ptCount val="7"/>
                <c:pt idx="0">
                  <c:v>Duquesne</c:v>
                </c:pt>
                <c:pt idx="1">
                  <c:v>Met Ed</c:v>
                </c:pt>
                <c:pt idx="2">
                  <c:v>PECO Electric</c:v>
                </c:pt>
                <c:pt idx="3">
                  <c:v>Penelec</c:v>
                </c:pt>
                <c:pt idx="4">
                  <c:v>Penn Power</c:v>
                </c:pt>
                <c:pt idx="5">
                  <c:v>PPL</c:v>
                </c:pt>
                <c:pt idx="6">
                  <c:v>West Penn</c:v>
                </c:pt>
              </c:strCache>
            </c:strRef>
          </c:cat>
          <c:val>
            <c:numRef>
              <c:f>'CAP (HEAT STATUS-POVERTY LEVEL)'!$C$128:$C$134</c:f>
              <c:numCache>
                <c:formatCode>0.00</c:formatCode>
                <c:ptCount val="7"/>
                <c:pt idx="0">
                  <c:v>4.54</c:v>
                </c:pt>
                <c:pt idx="1">
                  <c:v>1.88</c:v>
                </c:pt>
                <c:pt idx="2">
                  <c:v>5.01</c:v>
                </c:pt>
                <c:pt idx="3">
                  <c:v>1.82</c:v>
                </c:pt>
                <c:pt idx="4">
                  <c:v>5.46</c:v>
                </c:pt>
                <c:pt idx="5">
                  <c:v>4.0199999999999996</c:v>
                </c:pt>
                <c:pt idx="6">
                  <c:v>5.0999999999999996</c:v>
                </c:pt>
              </c:numCache>
            </c:numRef>
          </c:val>
          <c:extLst>
            <c:ext xmlns:c16="http://schemas.microsoft.com/office/drawing/2014/chart" uri="{C3380CC4-5D6E-409C-BE32-E72D297353CC}">
              <c16:uniqueId val="{00000001-8B58-4D0A-AD40-3905A8624ADF}"/>
            </c:ext>
          </c:extLst>
        </c:ser>
        <c:ser>
          <c:idx val="2"/>
          <c:order val="2"/>
          <c:tx>
            <c:strRef>
              <c:f>'CAP (HEAT STATUS-POVERTY LEVEL)'!$D$127</c:f>
              <c:strCache>
                <c:ptCount val="1"/>
                <c:pt idx="0">
                  <c:v>2014</c:v>
                </c:pt>
              </c:strCache>
            </c:strRef>
          </c:tx>
          <c:spPr>
            <a:solidFill>
              <a:schemeClr val="accent3"/>
            </a:solidFill>
            <a:ln>
              <a:noFill/>
            </a:ln>
            <a:effectLst/>
          </c:spPr>
          <c:invertIfNegative val="0"/>
          <c:cat>
            <c:strRef>
              <c:f>'CAP (HEAT STATUS-POVERTY LEVEL)'!$A$128:$A$134</c:f>
              <c:strCache>
                <c:ptCount val="7"/>
                <c:pt idx="0">
                  <c:v>Duquesne</c:v>
                </c:pt>
                <c:pt idx="1">
                  <c:v>Met Ed</c:v>
                </c:pt>
                <c:pt idx="2">
                  <c:v>PECO Electric</c:v>
                </c:pt>
                <c:pt idx="3">
                  <c:v>Penelec</c:v>
                </c:pt>
                <c:pt idx="4">
                  <c:v>Penn Power</c:v>
                </c:pt>
                <c:pt idx="5">
                  <c:v>PPL</c:v>
                </c:pt>
                <c:pt idx="6">
                  <c:v>West Penn</c:v>
                </c:pt>
              </c:strCache>
            </c:strRef>
          </c:cat>
          <c:val>
            <c:numRef>
              <c:f>'CAP (HEAT STATUS-POVERTY LEVEL)'!$D$128:$D$134</c:f>
              <c:numCache>
                <c:formatCode>0.00</c:formatCode>
                <c:ptCount val="7"/>
                <c:pt idx="0">
                  <c:v>3.18</c:v>
                </c:pt>
                <c:pt idx="1">
                  <c:v>3.68</c:v>
                </c:pt>
                <c:pt idx="2">
                  <c:v>5.04</c:v>
                </c:pt>
                <c:pt idx="3">
                  <c:v>2.89</c:v>
                </c:pt>
                <c:pt idx="4">
                  <c:v>2.84</c:v>
                </c:pt>
                <c:pt idx="5">
                  <c:v>4.16</c:v>
                </c:pt>
                <c:pt idx="6">
                  <c:v>5.33</c:v>
                </c:pt>
              </c:numCache>
            </c:numRef>
          </c:val>
          <c:extLst>
            <c:ext xmlns:c16="http://schemas.microsoft.com/office/drawing/2014/chart" uri="{C3380CC4-5D6E-409C-BE32-E72D297353CC}">
              <c16:uniqueId val="{00000002-8B58-4D0A-AD40-3905A8624ADF}"/>
            </c:ext>
          </c:extLst>
        </c:ser>
        <c:ser>
          <c:idx val="3"/>
          <c:order val="3"/>
          <c:tx>
            <c:strRef>
              <c:f>'CAP (HEAT STATUS-POVERTY LEVEL)'!$E$127</c:f>
              <c:strCache>
                <c:ptCount val="1"/>
                <c:pt idx="0">
                  <c:v>2015</c:v>
                </c:pt>
              </c:strCache>
            </c:strRef>
          </c:tx>
          <c:spPr>
            <a:solidFill>
              <a:schemeClr val="accent4"/>
            </a:solidFill>
            <a:ln>
              <a:noFill/>
            </a:ln>
            <a:effectLst/>
          </c:spPr>
          <c:invertIfNegative val="0"/>
          <c:cat>
            <c:strRef>
              <c:f>'CAP (HEAT STATUS-POVERTY LEVEL)'!$A$128:$A$134</c:f>
              <c:strCache>
                <c:ptCount val="7"/>
                <c:pt idx="0">
                  <c:v>Duquesne</c:v>
                </c:pt>
                <c:pt idx="1">
                  <c:v>Met Ed</c:v>
                </c:pt>
                <c:pt idx="2">
                  <c:v>PECO Electric</c:v>
                </c:pt>
                <c:pt idx="3">
                  <c:v>Penelec</c:v>
                </c:pt>
                <c:pt idx="4">
                  <c:v>Penn Power</c:v>
                </c:pt>
                <c:pt idx="5">
                  <c:v>PPL</c:v>
                </c:pt>
                <c:pt idx="6">
                  <c:v>West Penn</c:v>
                </c:pt>
              </c:strCache>
            </c:strRef>
          </c:cat>
          <c:val>
            <c:numRef>
              <c:f>'CAP (HEAT STATUS-POVERTY LEVEL)'!$E$128:$E$134</c:f>
              <c:numCache>
                <c:formatCode>0.00</c:formatCode>
                <c:ptCount val="7"/>
                <c:pt idx="0">
                  <c:v>5.68</c:v>
                </c:pt>
                <c:pt idx="1">
                  <c:v>3.84</c:v>
                </c:pt>
                <c:pt idx="2">
                  <c:v>4.76</c:v>
                </c:pt>
                <c:pt idx="3">
                  <c:v>2.91</c:v>
                </c:pt>
                <c:pt idx="4">
                  <c:v>2.99</c:v>
                </c:pt>
                <c:pt idx="5">
                  <c:v>4.21</c:v>
                </c:pt>
                <c:pt idx="6">
                  <c:v>5.26</c:v>
                </c:pt>
              </c:numCache>
            </c:numRef>
          </c:val>
          <c:extLst>
            <c:ext xmlns:c16="http://schemas.microsoft.com/office/drawing/2014/chart" uri="{C3380CC4-5D6E-409C-BE32-E72D297353CC}">
              <c16:uniqueId val="{00000003-8B58-4D0A-AD40-3905A8624ADF}"/>
            </c:ext>
          </c:extLst>
        </c:ser>
        <c:ser>
          <c:idx val="4"/>
          <c:order val="4"/>
          <c:tx>
            <c:strRef>
              <c:f>'CAP (HEAT STATUS-POVERTY LEVEL)'!$F$127</c:f>
              <c:strCache>
                <c:ptCount val="1"/>
                <c:pt idx="0">
                  <c:v>2016</c:v>
                </c:pt>
              </c:strCache>
            </c:strRef>
          </c:tx>
          <c:spPr>
            <a:solidFill>
              <a:schemeClr val="accent5"/>
            </a:solidFill>
            <a:ln>
              <a:noFill/>
            </a:ln>
            <a:effectLst/>
          </c:spPr>
          <c:invertIfNegative val="0"/>
          <c:cat>
            <c:strRef>
              <c:f>'CAP (HEAT STATUS-POVERTY LEVEL)'!$A$128:$A$134</c:f>
              <c:strCache>
                <c:ptCount val="7"/>
                <c:pt idx="0">
                  <c:v>Duquesne</c:v>
                </c:pt>
                <c:pt idx="1">
                  <c:v>Met Ed</c:v>
                </c:pt>
                <c:pt idx="2">
                  <c:v>PECO Electric</c:v>
                </c:pt>
                <c:pt idx="3">
                  <c:v>Penelec</c:v>
                </c:pt>
                <c:pt idx="4">
                  <c:v>Penn Power</c:v>
                </c:pt>
                <c:pt idx="5">
                  <c:v>PPL</c:v>
                </c:pt>
                <c:pt idx="6">
                  <c:v>West Penn</c:v>
                </c:pt>
              </c:strCache>
            </c:strRef>
          </c:cat>
          <c:val>
            <c:numRef>
              <c:f>'CAP (HEAT STATUS-POVERTY LEVEL)'!$F$128:$F$134</c:f>
              <c:numCache>
                <c:formatCode>0.00</c:formatCode>
                <c:ptCount val="7"/>
                <c:pt idx="0">
                  <c:v>6.67</c:v>
                </c:pt>
                <c:pt idx="1">
                  <c:v>5.98</c:v>
                </c:pt>
                <c:pt idx="2">
                  <c:v>4.72</c:v>
                </c:pt>
                <c:pt idx="3">
                  <c:v>2.76</c:v>
                </c:pt>
                <c:pt idx="4">
                  <c:v>2.75</c:v>
                </c:pt>
                <c:pt idx="5">
                  <c:v>4.43</c:v>
                </c:pt>
                <c:pt idx="6">
                  <c:v>3.54</c:v>
                </c:pt>
              </c:numCache>
            </c:numRef>
          </c:val>
          <c:extLst>
            <c:ext xmlns:c16="http://schemas.microsoft.com/office/drawing/2014/chart" uri="{C3380CC4-5D6E-409C-BE32-E72D297353CC}">
              <c16:uniqueId val="{00000004-8B58-4D0A-AD40-3905A8624ADF}"/>
            </c:ext>
          </c:extLst>
        </c:ser>
        <c:dLbls>
          <c:showLegendKey val="0"/>
          <c:showVal val="0"/>
          <c:showCatName val="0"/>
          <c:showSerName val="0"/>
          <c:showPercent val="0"/>
          <c:showBubbleSize val="0"/>
        </c:dLbls>
        <c:gapWidth val="219"/>
        <c:overlap val="-27"/>
        <c:axId val="943684408"/>
        <c:axId val="943680800"/>
      </c:barChart>
      <c:catAx>
        <c:axId val="943684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680800"/>
        <c:crosses val="autoZero"/>
        <c:auto val="1"/>
        <c:lblAlgn val="ctr"/>
        <c:lblOffset val="100"/>
        <c:noMultiLvlLbl val="0"/>
      </c:catAx>
      <c:valAx>
        <c:axId val="94368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 Burden Level</a:t>
                </a:r>
              </a:p>
            </c:rich>
          </c:tx>
          <c:layout>
            <c:manualLayout>
              <c:xMode val="edge"/>
              <c:yMode val="edge"/>
              <c:x val="1.7972478050934285E-2"/>
              <c:y val="0.349116314696352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684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Gas!$B$2</c:f>
              <c:strCache>
                <c:ptCount val="1"/>
                <c:pt idx="0">
                  <c:v>2012</c:v>
                </c:pt>
              </c:strCache>
            </c:strRef>
          </c:tx>
          <c:spPr>
            <a:solidFill>
              <a:schemeClr val="accent1"/>
            </a:solidFill>
            <a:ln>
              <a:noFill/>
            </a:ln>
            <a:effectLst/>
          </c:spPr>
          <c:invertIfNegative val="0"/>
          <c:cat>
            <c:strRef>
              <c:f>Gas!$A$3:$A$10</c:f>
              <c:strCache>
                <c:ptCount val="8"/>
                <c:pt idx="0">
                  <c:v>Columbia</c:v>
                </c:pt>
                <c:pt idx="1">
                  <c:v>NFG</c:v>
                </c:pt>
                <c:pt idx="2">
                  <c:v>PECO Gas</c:v>
                </c:pt>
                <c:pt idx="3">
                  <c:v>Peoples</c:v>
                </c:pt>
                <c:pt idx="4">
                  <c:v>EQT</c:v>
                </c:pt>
                <c:pt idx="5">
                  <c:v>PGW</c:v>
                </c:pt>
                <c:pt idx="6">
                  <c:v>UGI Gas</c:v>
                </c:pt>
                <c:pt idx="7">
                  <c:v>UGI PNG</c:v>
                </c:pt>
              </c:strCache>
            </c:strRef>
          </c:cat>
          <c:val>
            <c:numRef>
              <c:f>Gas!$B$3:$B$10</c:f>
              <c:numCache>
                <c:formatCode>_("$"* #,##0.00_);_("$"* \(#,##0.00\);_("$"* "-"??_);_(@_)</c:formatCode>
                <c:ptCount val="8"/>
                <c:pt idx="1">
                  <c:v>494.66783453555132</c:v>
                </c:pt>
                <c:pt idx="2">
                  <c:v>643.44010351856446</c:v>
                </c:pt>
                <c:pt idx="3">
                  <c:v>739.63038377210785</c:v>
                </c:pt>
                <c:pt idx="4">
                  <c:v>957.40284040913548</c:v>
                </c:pt>
                <c:pt idx="5">
                  <c:v>1311.9840389450815</c:v>
                </c:pt>
                <c:pt idx="6">
                  <c:v>442.04554568778377</c:v>
                </c:pt>
                <c:pt idx="7">
                  <c:v>510.35811433829593</c:v>
                </c:pt>
              </c:numCache>
            </c:numRef>
          </c:val>
          <c:extLst>
            <c:ext xmlns:c16="http://schemas.microsoft.com/office/drawing/2014/chart" uri="{C3380CC4-5D6E-409C-BE32-E72D297353CC}">
              <c16:uniqueId val="{00000000-1DDB-4B5F-A79F-80C48283D2A7}"/>
            </c:ext>
          </c:extLst>
        </c:ser>
        <c:ser>
          <c:idx val="1"/>
          <c:order val="1"/>
          <c:tx>
            <c:strRef>
              <c:f>Gas!$C$2</c:f>
              <c:strCache>
                <c:ptCount val="1"/>
                <c:pt idx="0">
                  <c:v>2013</c:v>
                </c:pt>
              </c:strCache>
            </c:strRef>
          </c:tx>
          <c:spPr>
            <a:solidFill>
              <a:schemeClr val="accent2"/>
            </a:solidFill>
            <a:ln>
              <a:noFill/>
            </a:ln>
            <a:effectLst/>
          </c:spPr>
          <c:invertIfNegative val="0"/>
          <c:cat>
            <c:strRef>
              <c:f>Gas!$A$3:$A$10</c:f>
              <c:strCache>
                <c:ptCount val="8"/>
                <c:pt idx="0">
                  <c:v>Columbia</c:v>
                </c:pt>
                <c:pt idx="1">
                  <c:v>NFG</c:v>
                </c:pt>
                <c:pt idx="2">
                  <c:v>PECO Gas</c:v>
                </c:pt>
                <c:pt idx="3">
                  <c:v>Peoples</c:v>
                </c:pt>
                <c:pt idx="4">
                  <c:v>EQT</c:v>
                </c:pt>
                <c:pt idx="5">
                  <c:v>PGW</c:v>
                </c:pt>
                <c:pt idx="6">
                  <c:v>UGI Gas</c:v>
                </c:pt>
                <c:pt idx="7">
                  <c:v>UGI PNG</c:v>
                </c:pt>
              </c:strCache>
            </c:strRef>
          </c:cat>
          <c:val>
            <c:numRef>
              <c:f>Gas!$C$3:$C$10</c:f>
              <c:numCache>
                <c:formatCode>_("$"* #,##0.00_);_("$"* \(#,##0.00\);_("$"* "-"??_);_(@_)</c:formatCode>
                <c:ptCount val="8"/>
                <c:pt idx="0">
                  <c:v>98.816585290167424</c:v>
                </c:pt>
                <c:pt idx="1">
                  <c:v>748.73450199752028</c:v>
                </c:pt>
                <c:pt idx="2">
                  <c:v>547.45146428749763</c:v>
                </c:pt>
                <c:pt idx="3">
                  <c:v>672.08955941466377</c:v>
                </c:pt>
                <c:pt idx="4">
                  <c:v>836.2904877913121</c:v>
                </c:pt>
                <c:pt idx="5">
                  <c:v>1313.2860253875438</c:v>
                </c:pt>
                <c:pt idx="6">
                  <c:v>387.82814257437269</c:v>
                </c:pt>
                <c:pt idx="7">
                  <c:v>417.53797797942434</c:v>
                </c:pt>
              </c:numCache>
            </c:numRef>
          </c:val>
          <c:extLst>
            <c:ext xmlns:c16="http://schemas.microsoft.com/office/drawing/2014/chart" uri="{C3380CC4-5D6E-409C-BE32-E72D297353CC}">
              <c16:uniqueId val="{00000001-1DDB-4B5F-A79F-80C48283D2A7}"/>
            </c:ext>
          </c:extLst>
        </c:ser>
        <c:ser>
          <c:idx val="2"/>
          <c:order val="2"/>
          <c:tx>
            <c:strRef>
              <c:f>Gas!$D$2</c:f>
              <c:strCache>
                <c:ptCount val="1"/>
                <c:pt idx="0">
                  <c:v>2014</c:v>
                </c:pt>
              </c:strCache>
            </c:strRef>
          </c:tx>
          <c:spPr>
            <a:solidFill>
              <a:schemeClr val="accent3"/>
            </a:solidFill>
            <a:ln>
              <a:noFill/>
            </a:ln>
            <a:effectLst/>
          </c:spPr>
          <c:invertIfNegative val="0"/>
          <c:cat>
            <c:strRef>
              <c:f>Gas!$A$3:$A$10</c:f>
              <c:strCache>
                <c:ptCount val="8"/>
                <c:pt idx="0">
                  <c:v>Columbia</c:v>
                </c:pt>
                <c:pt idx="1">
                  <c:v>NFG</c:v>
                </c:pt>
                <c:pt idx="2">
                  <c:v>PECO Gas</c:v>
                </c:pt>
                <c:pt idx="3">
                  <c:v>Peoples</c:v>
                </c:pt>
                <c:pt idx="4">
                  <c:v>EQT</c:v>
                </c:pt>
                <c:pt idx="5">
                  <c:v>PGW</c:v>
                </c:pt>
                <c:pt idx="6">
                  <c:v>UGI Gas</c:v>
                </c:pt>
                <c:pt idx="7">
                  <c:v>UGI PNG</c:v>
                </c:pt>
              </c:strCache>
            </c:strRef>
          </c:cat>
          <c:val>
            <c:numRef>
              <c:f>Gas!$D$3:$D$10</c:f>
              <c:numCache>
                <c:formatCode>_("$"* #,##0.00_);_("$"* \(#,##0.00\);_("$"* "-"??_);_(@_)</c:formatCode>
                <c:ptCount val="8"/>
                <c:pt idx="0">
                  <c:v>116.10009444569373</c:v>
                </c:pt>
                <c:pt idx="1">
                  <c:v>482.39078899746653</c:v>
                </c:pt>
                <c:pt idx="2">
                  <c:v>558.27409625245627</c:v>
                </c:pt>
                <c:pt idx="3">
                  <c:v>708.84012412552102</c:v>
                </c:pt>
                <c:pt idx="4">
                  <c:v>772.38079266370028</c:v>
                </c:pt>
                <c:pt idx="5">
                  <c:v>1341.5574839338083</c:v>
                </c:pt>
                <c:pt idx="6">
                  <c:v>422.15616387500887</c:v>
                </c:pt>
                <c:pt idx="7">
                  <c:v>455.35274800861782</c:v>
                </c:pt>
              </c:numCache>
            </c:numRef>
          </c:val>
          <c:extLst>
            <c:ext xmlns:c16="http://schemas.microsoft.com/office/drawing/2014/chart" uri="{C3380CC4-5D6E-409C-BE32-E72D297353CC}">
              <c16:uniqueId val="{00000002-1DDB-4B5F-A79F-80C48283D2A7}"/>
            </c:ext>
          </c:extLst>
        </c:ser>
        <c:ser>
          <c:idx val="3"/>
          <c:order val="3"/>
          <c:tx>
            <c:strRef>
              <c:f>Gas!$E$2</c:f>
              <c:strCache>
                <c:ptCount val="1"/>
                <c:pt idx="0">
                  <c:v>2015</c:v>
                </c:pt>
              </c:strCache>
            </c:strRef>
          </c:tx>
          <c:spPr>
            <a:solidFill>
              <a:schemeClr val="accent4"/>
            </a:solidFill>
            <a:ln>
              <a:noFill/>
            </a:ln>
            <a:effectLst/>
          </c:spPr>
          <c:invertIfNegative val="0"/>
          <c:cat>
            <c:strRef>
              <c:f>Gas!$A$3:$A$10</c:f>
              <c:strCache>
                <c:ptCount val="8"/>
                <c:pt idx="0">
                  <c:v>Columbia</c:v>
                </c:pt>
                <c:pt idx="1">
                  <c:v>NFG</c:v>
                </c:pt>
                <c:pt idx="2">
                  <c:v>PECO Gas</c:v>
                </c:pt>
                <c:pt idx="3">
                  <c:v>Peoples</c:v>
                </c:pt>
                <c:pt idx="4">
                  <c:v>EQT</c:v>
                </c:pt>
                <c:pt idx="5">
                  <c:v>PGW</c:v>
                </c:pt>
                <c:pt idx="6">
                  <c:v>UGI Gas</c:v>
                </c:pt>
                <c:pt idx="7">
                  <c:v>UGI PNG</c:v>
                </c:pt>
              </c:strCache>
            </c:strRef>
          </c:cat>
          <c:val>
            <c:numRef>
              <c:f>Gas!$E$3:$E$10</c:f>
              <c:numCache>
                <c:formatCode>_("$"* #,##0.00_);_("$"* \(#,##0.00\);_("$"* "-"??_);_(@_)</c:formatCode>
                <c:ptCount val="8"/>
                <c:pt idx="0">
                  <c:v>129.74691617852221</c:v>
                </c:pt>
                <c:pt idx="1">
                  <c:v>462.52864298462777</c:v>
                </c:pt>
                <c:pt idx="2">
                  <c:v>529.34510532098489</c:v>
                </c:pt>
                <c:pt idx="3">
                  <c:v>788.27353622288274</c:v>
                </c:pt>
                <c:pt idx="4">
                  <c:v>720.75581704758736</c:v>
                </c:pt>
                <c:pt idx="5">
                  <c:v>1330.3167212397016</c:v>
                </c:pt>
                <c:pt idx="6">
                  <c:v>391.40603641688421</c:v>
                </c:pt>
                <c:pt idx="7">
                  <c:v>424.22080268072619</c:v>
                </c:pt>
              </c:numCache>
            </c:numRef>
          </c:val>
          <c:extLst>
            <c:ext xmlns:c16="http://schemas.microsoft.com/office/drawing/2014/chart" uri="{C3380CC4-5D6E-409C-BE32-E72D297353CC}">
              <c16:uniqueId val="{00000003-1DDB-4B5F-A79F-80C48283D2A7}"/>
            </c:ext>
          </c:extLst>
        </c:ser>
        <c:ser>
          <c:idx val="4"/>
          <c:order val="4"/>
          <c:tx>
            <c:strRef>
              <c:f>Gas!$F$2</c:f>
              <c:strCache>
                <c:ptCount val="1"/>
                <c:pt idx="0">
                  <c:v>2016</c:v>
                </c:pt>
              </c:strCache>
            </c:strRef>
          </c:tx>
          <c:spPr>
            <a:solidFill>
              <a:schemeClr val="accent5"/>
            </a:solidFill>
            <a:ln>
              <a:noFill/>
            </a:ln>
            <a:effectLst/>
          </c:spPr>
          <c:invertIfNegative val="0"/>
          <c:cat>
            <c:strRef>
              <c:f>Gas!$A$3:$A$10</c:f>
              <c:strCache>
                <c:ptCount val="8"/>
                <c:pt idx="0">
                  <c:v>Columbia</c:v>
                </c:pt>
                <c:pt idx="1">
                  <c:v>NFG</c:v>
                </c:pt>
                <c:pt idx="2">
                  <c:v>PECO Gas</c:v>
                </c:pt>
                <c:pt idx="3">
                  <c:v>Peoples</c:v>
                </c:pt>
                <c:pt idx="4">
                  <c:v>EQT</c:v>
                </c:pt>
                <c:pt idx="5">
                  <c:v>PGW</c:v>
                </c:pt>
                <c:pt idx="6">
                  <c:v>UGI Gas</c:v>
                </c:pt>
                <c:pt idx="7">
                  <c:v>UGI PNG</c:v>
                </c:pt>
              </c:strCache>
            </c:strRef>
          </c:cat>
          <c:val>
            <c:numRef>
              <c:f>Gas!$F$3:$F$10</c:f>
              <c:numCache>
                <c:formatCode>_("$"* #,##0.00_);_("$"* \(#,##0.00\);_("$"* "-"??_);_(@_)</c:formatCode>
                <c:ptCount val="8"/>
                <c:pt idx="0">
                  <c:v>132.68349900917858</c:v>
                </c:pt>
                <c:pt idx="1">
                  <c:v>402.23380075506589</c:v>
                </c:pt>
                <c:pt idx="2">
                  <c:v>460.25260668407492</c:v>
                </c:pt>
                <c:pt idx="3">
                  <c:v>790.31093882461573</c:v>
                </c:pt>
                <c:pt idx="4">
                  <c:v>617.81841397277094</c:v>
                </c:pt>
                <c:pt idx="5">
                  <c:v>1259.9043025851367</c:v>
                </c:pt>
                <c:pt idx="6">
                  <c:v>341.30716923638613</c:v>
                </c:pt>
                <c:pt idx="7">
                  <c:v>382.21451982791206</c:v>
                </c:pt>
              </c:numCache>
            </c:numRef>
          </c:val>
          <c:extLst>
            <c:ext xmlns:c16="http://schemas.microsoft.com/office/drawing/2014/chart" uri="{C3380CC4-5D6E-409C-BE32-E72D297353CC}">
              <c16:uniqueId val="{00000004-1DDB-4B5F-A79F-80C48283D2A7}"/>
            </c:ext>
          </c:extLst>
        </c:ser>
        <c:dLbls>
          <c:showLegendKey val="0"/>
          <c:showVal val="0"/>
          <c:showCatName val="0"/>
          <c:showSerName val="0"/>
          <c:showPercent val="0"/>
          <c:showBubbleSize val="0"/>
        </c:dLbls>
        <c:gapWidth val="219"/>
        <c:overlap val="-27"/>
        <c:axId val="503652560"/>
        <c:axId val="503654528"/>
        <c:extLst>
          <c:ext xmlns:c15="http://schemas.microsoft.com/office/drawing/2012/chart" uri="{02D57815-91ED-43cb-92C2-25804820EDAC}">
            <c15:filteredBarSeries>
              <c15:ser>
                <c:idx val="5"/>
                <c:order val="5"/>
                <c:tx>
                  <c:strRef>
                    <c:extLst>
                      <c:ext uri="{02D57815-91ED-43cb-92C2-25804820EDAC}">
                        <c15:formulaRef>
                          <c15:sqref>Gas!$G$2</c15:sqref>
                        </c15:formulaRef>
                      </c:ext>
                    </c:extLst>
                    <c:strCache>
                      <c:ptCount val="1"/>
                      <c:pt idx="0">
                        <c:v>% Change</c:v>
                      </c:pt>
                    </c:strCache>
                  </c:strRef>
                </c:tx>
                <c:spPr>
                  <a:solidFill>
                    <a:schemeClr val="accent6"/>
                  </a:solidFill>
                  <a:ln>
                    <a:noFill/>
                  </a:ln>
                  <a:effectLst/>
                </c:spPr>
                <c:invertIfNegative val="0"/>
                <c:cat>
                  <c:strRef>
                    <c:extLst>
                      <c:ext uri="{02D57815-91ED-43cb-92C2-25804820EDAC}">
                        <c15:formulaRef>
                          <c15:sqref>Gas!$A$3:$A$10</c15:sqref>
                        </c15:formulaRef>
                      </c:ext>
                    </c:extLst>
                    <c:strCache>
                      <c:ptCount val="8"/>
                      <c:pt idx="0">
                        <c:v>Columbia</c:v>
                      </c:pt>
                      <c:pt idx="1">
                        <c:v>NFG</c:v>
                      </c:pt>
                      <c:pt idx="2">
                        <c:v>PECO Gas</c:v>
                      </c:pt>
                      <c:pt idx="3">
                        <c:v>Peoples</c:v>
                      </c:pt>
                      <c:pt idx="4">
                        <c:v>EQT</c:v>
                      </c:pt>
                      <c:pt idx="5">
                        <c:v>PGW</c:v>
                      </c:pt>
                      <c:pt idx="6">
                        <c:v>UGI Gas</c:v>
                      </c:pt>
                      <c:pt idx="7">
                        <c:v>UGI PNG</c:v>
                      </c:pt>
                    </c:strCache>
                  </c:strRef>
                </c:cat>
                <c:val>
                  <c:numRef>
                    <c:extLst>
                      <c:ext uri="{02D57815-91ED-43cb-92C2-25804820EDAC}">
                        <c15:formulaRef>
                          <c15:sqref>Gas!$G$3:$G$10</c15:sqref>
                        </c15:formulaRef>
                      </c:ext>
                    </c:extLst>
                    <c:numCache>
                      <c:formatCode>0%</c:formatCode>
                      <c:ptCount val="8"/>
                      <c:pt idx="0">
                        <c:v>2.2633160903923456E-2</c:v>
                      </c:pt>
                      <c:pt idx="1">
                        <c:v>-0.18686081310961464</c:v>
                      </c:pt>
                      <c:pt idx="2">
                        <c:v>-0.28470015442424818</c:v>
                      </c:pt>
                      <c:pt idx="3">
                        <c:v>6.8521461752338433E-2</c:v>
                      </c:pt>
                      <c:pt idx="4">
                        <c:v>-0.35469335592449974</c:v>
                      </c:pt>
                      <c:pt idx="5">
                        <c:v>-3.9695403918038621E-2</c:v>
                      </c:pt>
                      <c:pt idx="6">
                        <c:v>-0.12799717561621374</c:v>
                      </c:pt>
                      <c:pt idx="7">
                        <c:v>-9.9019856139465623E-2</c:v>
                      </c:pt>
                    </c:numCache>
                  </c:numRef>
                </c:val>
                <c:extLst>
                  <c:ext xmlns:c16="http://schemas.microsoft.com/office/drawing/2014/chart" uri="{C3380CC4-5D6E-409C-BE32-E72D297353CC}">
                    <c16:uniqueId val="{00000005-1DDB-4B5F-A79F-80C48283D2A7}"/>
                  </c:ext>
                </c:extLst>
              </c15:ser>
            </c15:filteredBarSeries>
          </c:ext>
        </c:extLst>
      </c:barChart>
      <c:catAx>
        <c:axId val="5036525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3654528"/>
        <c:crosses val="autoZero"/>
        <c:auto val="1"/>
        <c:lblAlgn val="ctr"/>
        <c:lblOffset val="100"/>
        <c:noMultiLvlLbl val="0"/>
      </c:catAx>
      <c:valAx>
        <c:axId val="503654528"/>
        <c:scaling>
          <c:orientation val="minMax"/>
        </c:scaling>
        <c:delete val="0"/>
        <c:axPos val="l"/>
        <c:majorGridlines>
          <c:spPr>
            <a:ln w="9525" cap="flat" cmpd="sng" algn="ctr">
              <a:solidFill>
                <a:schemeClr val="bg2"/>
              </a:solidFill>
              <a:round/>
            </a:ln>
            <a:effectLst/>
          </c:spPr>
        </c:majorGridlines>
        <c:numFmt formatCode="_(&quot;$&quot;* #,##0.00_);_(&quot;$&quot;* \(#,##0.00\);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365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Gas!$B$12</c:f>
              <c:strCache>
                <c:ptCount val="1"/>
                <c:pt idx="0">
                  <c:v>2012</c:v>
                </c:pt>
              </c:strCache>
            </c:strRef>
          </c:tx>
          <c:spPr>
            <a:solidFill>
              <a:schemeClr val="accent1"/>
            </a:solidFill>
            <a:ln>
              <a:noFill/>
            </a:ln>
            <a:effectLst/>
          </c:spPr>
          <c:invertIfNegative val="0"/>
          <c:cat>
            <c:strRef>
              <c:f>Gas!$A$13:$A$20</c:f>
              <c:strCache>
                <c:ptCount val="8"/>
                <c:pt idx="0">
                  <c:v>Columbia</c:v>
                </c:pt>
                <c:pt idx="1">
                  <c:v>NFG</c:v>
                </c:pt>
                <c:pt idx="2">
                  <c:v>PECO Gas</c:v>
                </c:pt>
                <c:pt idx="3">
                  <c:v>Peoples</c:v>
                </c:pt>
                <c:pt idx="4">
                  <c:v>EQT</c:v>
                </c:pt>
                <c:pt idx="5">
                  <c:v>PGW</c:v>
                </c:pt>
                <c:pt idx="6">
                  <c:v>UGI Gas</c:v>
                </c:pt>
                <c:pt idx="7">
                  <c:v>UGI PNG</c:v>
                </c:pt>
              </c:strCache>
            </c:strRef>
          </c:cat>
          <c:val>
            <c:numRef>
              <c:f>Gas!$B$13:$B$20</c:f>
              <c:numCache>
                <c:formatCode>_("$"* #,##0.00_);_("$"* \(#,##0.00\);_("$"* "-"??_);_(@_)</c:formatCode>
                <c:ptCount val="8"/>
                <c:pt idx="1">
                  <c:v>135.01333333333332</c:v>
                </c:pt>
                <c:pt idx="2">
                  <c:v>735.18702379870592</c:v>
                </c:pt>
                <c:pt idx="3">
                  <c:v>530.05399603657906</c:v>
                </c:pt>
                <c:pt idx="4">
                  <c:v>242.75617354375734</c:v>
                </c:pt>
                <c:pt idx="5">
                  <c:v>258.48599457859694</c:v>
                </c:pt>
                <c:pt idx="6">
                  <c:v>144.27599683979116</c:v>
                </c:pt>
                <c:pt idx="7">
                  <c:v>162.33882346843578</c:v>
                </c:pt>
              </c:numCache>
            </c:numRef>
          </c:val>
          <c:extLst>
            <c:ext xmlns:c16="http://schemas.microsoft.com/office/drawing/2014/chart" uri="{C3380CC4-5D6E-409C-BE32-E72D297353CC}">
              <c16:uniqueId val="{00000000-047D-4DFC-9229-E4F3C3106C75}"/>
            </c:ext>
          </c:extLst>
        </c:ser>
        <c:ser>
          <c:idx val="1"/>
          <c:order val="1"/>
          <c:tx>
            <c:strRef>
              <c:f>Gas!$C$12</c:f>
              <c:strCache>
                <c:ptCount val="1"/>
                <c:pt idx="0">
                  <c:v>2013</c:v>
                </c:pt>
              </c:strCache>
            </c:strRef>
          </c:tx>
          <c:spPr>
            <a:solidFill>
              <a:schemeClr val="accent2"/>
            </a:solidFill>
            <a:ln>
              <a:noFill/>
            </a:ln>
            <a:effectLst/>
          </c:spPr>
          <c:invertIfNegative val="0"/>
          <c:cat>
            <c:strRef>
              <c:f>Gas!$A$13:$A$20</c:f>
              <c:strCache>
                <c:ptCount val="8"/>
                <c:pt idx="0">
                  <c:v>Columbia</c:v>
                </c:pt>
                <c:pt idx="1">
                  <c:v>NFG</c:v>
                </c:pt>
                <c:pt idx="2">
                  <c:v>PECO Gas</c:v>
                </c:pt>
                <c:pt idx="3">
                  <c:v>Peoples</c:v>
                </c:pt>
                <c:pt idx="4">
                  <c:v>EQT</c:v>
                </c:pt>
                <c:pt idx="5">
                  <c:v>PGW</c:v>
                </c:pt>
                <c:pt idx="6">
                  <c:v>UGI Gas</c:v>
                </c:pt>
                <c:pt idx="7">
                  <c:v>UGI PNG</c:v>
                </c:pt>
              </c:strCache>
            </c:strRef>
          </c:cat>
          <c:val>
            <c:numRef>
              <c:f>Gas!$C$13:$C$20</c:f>
              <c:numCache>
                <c:formatCode>_("$"* #,##0.00_);_("$"* \(#,##0.00\);_("$"* "-"??_);_(@_)</c:formatCode>
                <c:ptCount val="8"/>
                <c:pt idx="0">
                  <c:v>36.337521913295333</c:v>
                </c:pt>
                <c:pt idx="1">
                  <c:v>115.54666666666667</c:v>
                </c:pt>
                <c:pt idx="2">
                  <c:v>752.26383793401135</c:v>
                </c:pt>
                <c:pt idx="3">
                  <c:v>431.47156123490686</c:v>
                </c:pt>
                <c:pt idx="4">
                  <c:v>223.62169079144849</c:v>
                </c:pt>
                <c:pt idx="5">
                  <c:v>268.01397894422462</c:v>
                </c:pt>
                <c:pt idx="6">
                  <c:v>121.03241530855155</c:v>
                </c:pt>
                <c:pt idx="7">
                  <c:v>142.1316357430965</c:v>
                </c:pt>
              </c:numCache>
            </c:numRef>
          </c:val>
          <c:extLst>
            <c:ext xmlns:c16="http://schemas.microsoft.com/office/drawing/2014/chart" uri="{C3380CC4-5D6E-409C-BE32-E72D297353CC}">
              <c16:uniqueId val="{00000001-047D-4DFC-9229-E4F3C3106C75}"/>
            </c:ext>
          </c:extLst>
        </c:ser>
        <c:ser>
          <c:idx val="2"/>
          <c:order val="2"/>
          <c:tx>
            <c:strRef>
              <c:f>Gas!$D$12</c:f>
              <c:strCache>
                <c:ptCount val="1"/>
                <c:pt idx="0">
                  <c:v>2014</c:v>
                </c:pt>
              </c:strCache>
            </c:strRef>
          </c:tx>
          <c:spPr>
            <a:solidFill>
              <a:schemeClr val="accent3"/>
            </a:solidFill>
            <a:ln>
              <a:noFill/>
            </a:ln>
            <a:effectLst/>
          </c:spPr>
          <c:invertIfNegative val="0"/>
          <c:cat>
            <c:strRef>
              <c:f>Gas!$A$13:$A$20</c:f>
              <c:strCache>
                <c:ptCount val="8"/>
                <c:pt idx="0">
                  <c:v>Columbia</c:v>
                </c:pt>
                <c:pt idx="1">
                  <c:v>NFG</c:v>
                </c:pt>
                <c:pt idx="2">
                  <c:v>PECO Gas</c:v>
                </c:pt>
                <c:pt idx="3">
                  <c:v>Peoples</c:v>
                </c:pt>
                <c:pt idx="4">
                  <c:v>EQT</c:v>
                </c:pt>
                <c:pt idx="5">
                  <c:v>PGW</c:v>
                </c:pt>
                <c:pt idx="6">
                  <c:v>UGI Gas</c:v>
                </c:pt>
                <c:pt idx="7">
                  <c:v>UGI PNG</c:v>
                </c:pt>
              </c:strCache>
            </c:strRef>
          </c:cat>
          <c:val>
            <c:numRef>
              <c:f>Gas!$D$13:$D$20</c:f>
              <c:numCache>
                <c:formatCode>_("$"* #,##0.00_);_("$"* \(#,##0.00\);_("$"* "-"??_);_(@_)</c:formatCode>
                <c:ptCount val="8"/>
                <c:pt idx="0">
                  <c:v>36.700229175458688</c:v>
                </c:pt>
                <c:pt idx="1">
                  <c:v>97.836666666666659</c:v>
                </c:pt>
                <c:pt idx="2">
                  <c:v>817.09150778314597</c:v>
                </c:pt>
                <c:pt idx="3">
                  <c:v>489.81229226481429</c:v>
                </c:pt>
                <c:pt idx="4">
                  <c:v>225.45379540901607</c:v>
                </c:pt>
                <c:pt idx="5">
                  <c:v>262.16851159231106</c:v>
                </c:pt>
                <c:pt idx="6">
                  <c:v>119.53086630488407</c:v>
                </c:pt>
                <c:pt idx="7">
                  <c:v>134.91070257017248</c:v>
                </c:pt>
              </c:numCache>
            </c:numRef>
          </c:val>
          <c:extLst>
            <c:ext xmlns:c16="http://schemas.microsoft.com/office/drawing/2014/chart" uri="{C3380CC4-5D6E-409C-BE32-E72D297353CC}">
              <c16:uniqueId val="{00000002-047D-4DFC-9229-E4F3C3106C75}"/>
            </c:ext>
          </c:extLst>
        </c:ser>
        <c:ser>
          <c:idx val="3"/>
          <c:order val="3"/>
          <c:tx>
            <c:strRef>
              <c:f>Gas!$E$12</c:f>
              <c:strCache>
                <c:ptCount val="1"/>
                <c:pt idx="0">
                  <c:v>2015</c:v>
                </c:pt>
              </c:strCache>
            </c:strRef>
          </c:tx>
          <c:spPr>
            <a:solidFill>
              <a:schemeClr val="accent4"/>
            </a:solidFill>
            <a:ln>
              <a:noFill/>
            </a:ln>
            <a:effectLst/>
          </c:spPr>
          <c:invertIfNegative val="0"/>
          <c:cat>
            <c:strRef>
              <c:f>Gas!$A$13:$A$20</c:f>
              <c:strCache>
                <c:ptCount val="8"/>
                <c:pt idx="0">
                  <c:v>Columbia</c:v>
                </c:pt>
                <c:pt idx="1">
                  <c:v>NFG</c:v>
                </c:pt>
                <c:pt idx="2">
                  <c:v>PECO Gas</c:v>
                </c:pt>
                <c:pt idx="3">
                  <c:v>Peoples</c:v>
                </c:pt>
                <c:pt idx="4">
                  <c:v>EQT</c:v>
                </c:pt>
                <c:pt idx="5">
                  <c:v>PGW</c:v>
                </c:pt>
                <c:pt idx="6">
                  <c:v>UGI Gas</c:v>
                </c:pt>
                <c:pt idx="7">
                  <c:v>UGI PNG</c:v>
                </c:pt>
              </c:strCache>
            </c:strRef>
          </c:cat>
          <c:val>
            <c:numRef>
              <c:f>Gas!$E$13:$E$20</c:f>
              <c:numCache>
                <c:formatCode>_("$"* #,##0.00_);_("$"* \(#,##0.00\);_("$"* "-"??_);_(@_)</c:formatCode>
                <c:ptCount val="8"/>
                <c:pt idx="0">
                  <c:v>34.515540327804494</c:v>
                </c:pt>
                <c:pt idx="1">
                  <c:v>71.203333333333333</c:v>
                </c:pt>
                <c:pt idx="2">
                  <c:v>733.07635430652726</c:v>
                </c:pt>
                <c:pt idx="3">
                  <c:v>389.33598723835649</c:v>
                </c:pt>
                <c:pt idx="4">
                  <c:v>227.99013260040726</c:v>
                </c:pt>
                <c:pt idx="5">
                  <c:v>232.91677988574367</c:v>
                </c:pt>
                <c:pt idx="6">
                  <c:v>123.73883364368454</c:v>
                </c:pt>
                <c:pt idx="7">
                  <c:v>152.29942492416583</c:v>
                </c:pt>
              </c:numCache>
            </c:numRef>
          </c:val>
          <c:extLst>
            <c:ext xmlns:c16="http://schemas.microsoft.com/office/drawing/2014/chart" uri="{C3380CC4-5D6E-409C-BE32-E72D297353CC}">
              <c16:uniqueId val="{00000003-047D-4DFC-9229-E4F3C3106C75}"/>
            </c:ext>
          </c:extLst>
        </c:ser>
        <c:ser>
          <c:idx val="4"/>
          <c:order val="4"/>
          <c:tx>
            <c:strRef>
              <c:f>Gas!$F$12</c:f>
              <c:strCache>
                <c:ptCount val="1"/>
                <c:pt idx="0">
                  <c:v>2016</c:v>
                </c:pt>
              </c:strCache>
            </c:strRef>
          </c:tx>
          <c:spPr>
            <a:solidFill>
              <a:schemeClr val="accent5"/>
            </a:solidFill>
            <a:ln>
              <a:noFill/>
            </a:ln>
            <a:effectLst/>
          </c:spPr>
          <c:invertIfNegative val="0"/>
          <c:cat>
            <c:strRef>
              <c:f>Gas!$A$13:$A$20</c:f>
              <c:strCache>
                <c:ptCount val="8"/>
                <c:pt idx="0">
                  <c:v>Columbia</c:v>
                </c:pt>
                <c:pt idx="1">
                  <c:v>NFG</c:v>
                </c:pt>
                <c:pt idx="2">
                  <c:v>PECO Gas</c:v>
                </c:pt>
                <c:pt idx="3">
                  <c:v>Peoples</c:v>
                </c:pt>
                <c:pt idx="4">
                  <c:v>EQT</c:v>
                </c:pt>
                <c:pt idx="5">
                  <c:v>PGW</c:v>
                </c:pt>
                <c:pt idx="6">
                  <c:v>UGI Gas</c:v>
                </c:pt>
                <c:pt idx="7">
                  <c:v>UGI PNG</c:v>
                </c:pt>
              </c:strCache>
            </c:strRef>
          </c:cat>
          <c:val>
            <c:numRef>
              <c:f>Gas!$F$13:$F$20</c:f>
              <c:numCache>
                <c:formatCode>_("$"* #,##0.00_);_("$"* \(#,##0.00\);_("$"* "-"??_);_(@_)</c:formatCode>
                <c:ptCount val="8"/>
                <c:pt idx="0">
                  <c:v>31.437710405363923</c:v>
                </c:pt>
                <c:pt idx="1">
                  <c:v>64.053333333333327</c:v>
                </c:pt>
                <c:pt idx="2">
                  <c:v>695.76327360812456</c:v>
                </c:pt>
                <c:pt idx="3">
                  <c:v>173.39038069199282</c:v>
                </c:pt>
                <c:pt idx="4">
                  <c:v>156.17417861563362</c:v>
                </c:pt>
                <c:pt idx="5">
                  <c:v>209.42961054484422</c:v>
                </c:pt>
                <c:pt idx="6">
                  <c:v>103.64979497884021</c:v>
                </c:pt>
                <c:pt idx="7">
                  <c:v>124.42459770114944</c:v>
                </c:pt>
              </c:numCache>
            </c:numRef>
          </c:val>
          <c:extLst>
            <c:ext xmlns:c16="http://schemas.microsoft.com/office/drawing/2014/chart" uri="{C3380CC4-5D6E-409C-BE32-E72D297353CC}">
              <c16:uniqueId val="{00000004-047D-4DFC-9229-E4F3C3106C75}"/>
            </c:ext>
          </c:extLst>
        </c:ser>
        <c:dLbls>
          <c:showLegendKey val="0"/>
          <c:showVal val="0"/>
          <c:showCatName val="0"/>
          <c:showSerName val="0"/>
          <c:showPercent val="0"/>
          <c:showBubbleSize val="0"/>
        </c:dLbls>
        <c:gapWidth val="219"/>
        <c:overlap val="-27"/>
        <c:axId val="503652560"/>
        <c:axId val="503654528"/>
        <c:extLst>
          <c:ext xmlns:c15="http://schemas.microsoft.com/office/drawing/2012/chart" uri="{02D57815-91ED-43cb-92C2-25804820EDAC}">
            <c15:filteredBarSeries>
              <c15:ser>
                <c:idx val="5"/>
                <c:order val="5"/>
                <c:tx>
                  <c:strRef>
                    <c:extLst>
                      <c:ext uri="{02D57815-91ED-43cb-92C2-25804820EDAC}">
                        <c15:formulaRef>
                          <c15:sqref>Gas!$G$12</c15:sqref>
                        </c15:formulaRef>
                      </c:ext>
                    </c:extLst>
                    <c:strCache>
                      <c:ptCount val="1"/>
                      <c:pt idx="0">
                        <c:v>% Change</c:v>
                      </c:pt>
                    </c:strCache>
                  </c:strRef>
                </c:tx>
                <c:spPr>
                  <a:solidFill>
                    <a:schemeClr val="accent6"/>
                  </a:solidFill>
                  <a:ln>
                    <a:noFill/>
                  </a:ln>
                  <a:effectLst/>
                </c:spPr>
                <c:invertIfNegative val="0"/>
                <c:cat>
                  <c:strRef>
                    <c:extLst>
                      <c:ext uri="{02D57815-91ED-43cb-92C2-25804820EDAC}">
                        <c15:formulaRef>
                          <c15:sqref>Gas!$A$13:$A$20</c15:sqref>
                        </c15:formulaRef>
                      </c:ext>
                    </c:extLst>
                    <c:strCache>
                      <c:ptCount val="8"/>
                      <c:pt idx="0">
                        <c:v>Columbia</c:v>
                      </c:pt>
                      <c:pt idx="1">
                        <c:v>NFG</c:v>
                      </c:pt>
                      <c:pt idx="2">
                        <c:v>PECO Gas</c:v>
                      </c:pt>
                      <c:pt idx="3">
                        <c:v>Peoples</c:v>
                      </c:pt>
                      <c:pt idx="4">
                        <c:v>EQT</c:v>
                      </c:pt>
                      <c:pt idx="5">
                        <c:v>PGW</c:v>
                      </c:pt>
                      <c:pt idx="6">
                        <c:v>UGI Gas</c:v>
                      </c:pt>
                      <c:pt idx="7">
                        <c:v>UGI PNG</c:v>
                      </c:pt>
                    </c:strCache>
                  </c:strRef>
                </c:cat>
                <c:val>
                  <c:numRef>
                    <c:extLst>
                      <c:ext uri="{02D57815-91ED-43cb-92C2-25804820EDAC}">
                        <c15:formulaRef>
                          <c15:sqref>Gas!$G$13:$G$20</c15:sqref>
                        </c15:formulaRef>
                      </c:ext>
                    </c:extLst>
                    <c:numCache>
                      <c:formatCode>0%</c:formatCode>
                      <c:ptCount val="8"/>
                      <c:pt idx="0">
                        <c:v>-8.9172294369709776E-2</c:v>
                      </c:pt>
                      <c:pt idx="1">
                        <c:v>-0.52557772071894138</c:v>
                      </c:pt>
                      <c:pt idx="2">
                        <c:v>-5.3624110483995124E-2</c:v>
                      </c:pt>
                      <c:pt idx="3">
                        <c:v>-0.67288166490866874</c:v>
                      </c:pt>
                      <c:pt idx="4">
                        <c:v>-0.35666238128653449</c:v>
                      </c:pt>
                      <c:pt idx="5">
                        <c:v>-0.18978352817036792</c:v>
                      </c:pt>
                      <c:pt idx="6">
                        <c:v>-0.16235031536415048</c:v>
                      </c:pt>
                      <c:pt idx="7">
                        <c:v>-0.18302647719711387</c:v>
                      </c:pt>
                    </c:numCache>
                  </c:numRef>
                </c:val>
                <c:extLst>
                  <c:ext xmlns:c16="http://schemas.microsoft.com/office/drawing/2014/chart" uri="{C3380CC4-5D6E-409C-BE32-E72D297353CC}">
                    <c16:uniqueId val="{00000005-047D-4DFC-9229-E4F3C3106C75}"/>
                  </c:ext>
                </c:extLst>
              </c15:ser>
            </c15:filteredBarSeries>
          </c:ext>
        </c:extLst>
      </c:barChart>
      <c:catAx>
        <c:axId val="50365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3654528"/>
        <c:crosses val="autoZero"/>
        <c:auto val="1"/>
        <c:lblAlgn val="ctr"/>
        <c:lblOffset val="100"/>
        <c:noMultiLvlLbl val="0"/>
      </c:catAx>
      <c:valAx>
        <c:axId val="503654528"/>
        <c:scaling>
          <c:orientation val="minMax"/>
          <c:max val="800"/>
        </c:scaling>
        <c:delete val="0"/>
        <c:axPos val="l"/>
        <c:majorGridlines>
          <c:spPr>
            <a:ln w="9525" cap="flat" cmpd="sng" algn="ctr">
              <a:solidFill>
                <a:schemeClr val="bg2"/>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365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Electric!$B$2</c:f>
              <c:strCache>
                <c:ptCount val="1"/>
                <c:pt idx="0">
                  <c:v>2012</c:v>
                </c:pt>
              </c:strCache>
            </c:strRef>
          </c:tx>
          <c:spPr>
            <a:solidFill>
              <a:schemeClr val="accent1"/>
            </a:solidFill>
            <a:ln>
              <a:noFill/>
            </a:ln>
            <a:effectLst/>
          </c:spPr>
          <c:invertIfNegative val="0"/>
          <c:cat>
            <c:strRef>
              <c:f>Electric!$A$3:$A$9</c:f>
              <c:strCache>
                <c:ptCount val="7"/>
                <c:pt idx="0">
                  <c:v>Duquesne</c:v>
                </c:pt>
                <c:pt idx="1">
                  <c:v>Met Ed</c:v>
                </c:pt>
                <c:pt idx="2">
                  <c:v>PECO Electric</c:v>
                </c:pt>
                <c:pt idx="3">
                  <c:v>Penelec</c:v>
                </c:pt>
                <c:pt idx="4">
                  <c:v>Penn Power</c:v>
                </c:pt>
                <c:pt idx="5">
                  <c:v>PPL</c:v>
                </c:pt>
                <c:pt idx="6">
                  <c:v>West Penn</c:v>
                </c:pt>
              </c:strCache>
            </c:strRef>
          </c:cat>
          <c:val>
            <c:numRef>
              <c:f>Electric!$B$3:$B$9</c:f>
              <c:numCache>
                <c:formatCode>_("$"* #,##0.00_);_("$"* \(#,##0.00\);_("$"* "-"??_);_(@_)</c:formatCode>
                <c:ptCount val="7"/>
                <c:pt idx="1">
                  <c:v>533.60403414933603</c:v>
                </c:pt>
                <c:pt idx="2">
                  <c:v>531.49022008665986</c:v>
                </c:pt>
                <c:pt idx="3">
                  <c:v>433.54004134042174</c:v>
                </c:pt>
                <c:pt idx="4">
                  <c:v>437.91675412120946</c:v>
                </c:pt>
                <c:pt idx="5">
                  <c:v>951.95076106853526</c:v>
                </c:pt>
              </c:numCache>
            </c:numRef>
          </c:val>
          <c:extLst>
            <c:ext xmlns:c16="http://schemas.microsoft.com/office/drawing/2014/chart" uri="{C3380CC4-5D6E-409C-BE32-E72D297353CC}">
              <c16:uniqueId val="{00000000-F128-40D7-91B1-F174327BB345}"/>
            </c:ext>
          </c:extLst>
        </c:ser>
        <c:ser>
          <c:idx val="1"/>
          <c:order val="1"/>
          <c:tx>
            <c:strRef>
              <c:f>Electric!$C$2</c:f>
              <c:strCache>
                <c:ptCount val="1"/>
                <c:pt idx="0">
                  <c:v>2013</c:v>
                </c:pt>
              </c:strCache>
            </c:strRef>
          </c:tx>
          <c:spPr>
            <a:solidFill>
              <a:schemeClr val="accent2"/>
            </a:solidFill>
            <a:ln>
              <a:noFill/>
            </a:ln>
            <a:effectLst/>
          </c:spPr>
          <c:invertIfNegative val="0"/>
          <c:cat>
            <c:strRef>
              <c:f>Electric!$A$3:$A$9</c:f>
              <c:strCache>
                <c:ptCount val="7"/>
                <c:pt idx="0">
                  <c:v>Duquesne</c:v>
                </c:pt>
                <c:pt idx="1">
                  <c:v>Met Ed</c:v>
                </c:pt>
                <c:pt idx="2">
                  <c:v>PECO Electric</c:v>
                </c:pt>
                <c:pt idx="3">
                  <c:v>Penelec</c:v>
                </c:pt>
                <c:pt idx="4">
                  <c:v>Penn Power</c:v>
                </c:pt>
                <c:pt idx="5">
                  <c:v>PPL</c:v>
                </c:pt>
                <c:pt idx="6">
                  <c:v>West Penn</c:v>
                </c:pt>
              </c:strCache>
            </c:strRef>
          </c:cat>
          <c:val>
            <c:numRef>
              <c:f>Electric!$C$3:$C$9</c:f>
              <c:numCache>
                <c:formatCode>_("$"* #,##0.00_);_("$"* \(#,##0.00\);_("$"* "-"??_);_(@_)</c:formatCode>
                <c:ptCount val="7"/>
                <c:pt idx="1">
                  <c:v>538.38429036507216</c:v>
                </c:pt>
                <c:pt idx="2">
                  <c:v>452.79842072820651</c:v>
                </c:pt>
                <c:pt idx="3">
                  <c:v>436.86353955652913</c:v>
                </c:pt>
                <c:pt idx="4">
                  <c:v>356.1405132233653</c:v>
                </c:pt>
                <c:pt idx="5">
                  <c:v>1004.5149910794652</c:v>
                </c:pt>
              </c:numCache>
            </c:numRef>
          </c:val>
          <c:extLst>
            <c:ext xmlns:c16="http://schemas.microsoft.com/office/drawing/2014/chart" uri="{C3380CC4-5D6E-409C-BE32-E72D297353CC}">
              <c16:uniqueId val="{00000001-F128-40D7-91B1-F174327BB345}"/>
            </c:ext>
          </c:extLst>
        </c:ser>
        <c:ser>
          <c:idx val="2"/>
          <c:order val="2"/>
          <c:tx>
            <c:strRef>
              <c:f>Electric!$D$2</c:f>
              <c:strCache>
                <c:ptCount val="1"/>
                <c:pt idx="0">
                  <c:v>2014</c:v>
                </c:pt>
              </c:strCache>
            </c:strRef>
          </c:tx>
          <c:spPr>
            <a:solidFill>
              <a:schemeClr val="accent3"/>
            </a:solidFill>
            <a:ln>
              <a:noFill/>
            </a:ln>
            <a:effectLst/>
          </c:spPr>
          <c:invertIfNegative val="0"/>
          <c:cat>
            <c:strRef>
              <c:f>Electric!$A$3:$A$9</c:f>
              <c:strCache>
                <c:ptCount val="7"/>
                <c:pt idx="0">
                  <c:v>Duquesne</c:v>
                </c:pt>
                <c:pt idx="1">
                  <c:v>Met Ed</c:v>
                </c:pt>
                <c:pt idx="2">
                  <c:v>PECO Electric</c:v>
                </c:pt>
                <c:pt idx="3">
                  <c:v>Penelec</c:v>
                </c:pt>
                <c:pt idx="4">
                  <c:v>Penn Power</c:v>
                </c:pt>
                <c:pt idx="5">
                  <c:v>PPL</c:v>
                </c:pt>
                <c:pt idx="6">
                  <c:v>West Penn</c:v>
                </c:pt>
              </c:strCache>
            </c:strRef>
          </c:cat>
          <c:val>
            <c:numRef>
              <c:f>Electric!$D$3:$D$9</c:f>
              <c:numCache>
                <c:formatCode>_("$"* #,##0.00_);_("$"* \(#,##0.00\);_("$"* "-"??_);_(@_)</c:formatCode>
                <c:ptCount val="7"/>
                <c:pt idx="1">
                  <c:v>493.74196301563234</c:v>
                </c:pt>
                <c:pt idx="2">
                  <c:v>461.65809482851068</c:v>
                </c:pt>
                <c:pt idx="3">
                  <c:v>389.19399210241937</c:v>
                </c:pt>
                <c:pt idx="4">
                  <c:v>293.2248017395832</c:v>
                </c:pt>
                <c:pt idx="5">
                  <c:v>1033.508229591358</c:v>
                </c:pt>
              </c:numCache>
            </c:numRef>
          </c:val>
          <c:extLst>
            <c:ext xmlns:c16="http://schemas.microsoft.com/office/drawing/2014/chart" uri="{C3380CC4-5D6E-409C-BE32-E72D297353CC}">
              <c16:uniqueId val="{00000002-F128-40D7-91B1-F174327BB345}"/>
            </c:ext>
          </c:extLst>
        </c:ser>
        <c:ser>
          <c:idx val="3"/>
          <c:order val="3"/>
          <c:tx>
            <c:strRef>
              <c:f>Electric!$E$2</c:f>
              <c:strCache>
                <c:ptCount val="1"/>
                <c:pt idx="0">
                  <c:v>2015</c:v>
                </c:pt>
              </c:strCache>
            </c:strRef>
          </c:tx>
          <c:spPr>
            <a:solidFill>
              <a:schemeClr val="accent4"/>
            </a:solidFill>
            <a:ln>
              <a:noFill/>
            </a:ln>
            <a:effectLst/>
          </c:spPr>
          <c:invertIfNegative val="0"/>
          <c:cat>
            <c:strRef>
              <c:f>Electric!$A$3:$A$9</c:f>
              <c:strCache>
                <c:ptCount val="7"/>
                <c:pt idx="0">
                  <c:v>Duquesne</c:v>
                </c:pt>
                <c:pt idx="1">
                  <c:v>Met Ed</c:v>
                </c:pt>
                <c:pt idx="2">
                  <c:v>PECO Electric</c:v>
                </c:pt>
                <c:pt idx="3">
                  <c:v>Penelec</c:v>
                </c:pt>
                <c:pt idx="4">
                  <c:v>Penn Power</c:v>
                </c:pt>
                <c:pt idx="5">
                  <c:v>PPL</c:v>
                </c:pt>
                <c:pt idx="6">
                  <c:v>West Penn</c:v>
                </c:pt>
              </c:strCache>
            </c:strRef>
          </c:cat>
          <c:val>
            <c:numRef>
              <c:f>Electric!$E$3:$E$9</c:f>
              <c:numCache>
                <c:formatCode>_("$"* #,##0.00_);_("$"* \(#,##0.00\);_("$"* "-"??_);_(@_)</c:formatCode>
                <c:ptCount val="7"/>
                <c:pt idx="0">
                  <c:v>328.53201976965181</c:v>
                </c:pt>
                <c:pt idx="1">
                  <c:v>401.08875526370417</c:v>
                </c:pt>
                <c:pt idx="2">
                  <c:v>438.007321830303</c:v>
                </c:pt>
                <c:pt idx="3">
                  <c:v>328.54413827344865</c:v>
                </c:pt>
                <c:pt idx="4">
                  <c:v>237.27246092781746</c:v>
                </c:pt>
                <c:pt idx="5">
                  <c:v>933.56827685115366</c:v>
                </c:pt>
                <c:pt idx="6">
                  <c:v>1076.0819626209623</c:v>
                </c:pt>
              </c:numCache>
            </c:numRef>
          </c:val>
          <c:extLst>
            <c:ext xmlns:c16="http://schemas.microsoft.com/office/drawing/2014/chart" uri="{C3380CC4-5D6E-409C-BE32-E72D297353CC}">
              <c16:uniqueId val="{00000003-F128-40D7-91B1-F174327BB345}"/>
            </c:ext>
          </c:extLst>
        </c:ser>
        <c:ser>
          <c:idx val="4"/>
          <c:order val="4"/>
          <c:tx>
            <c:strRef>
              <c:f>Electric!$F$2</c:f>
              <c:strCache>
                <c:ptCount val="1"/>
                <c:pt idx="0">
                  <c:v>2016</c:v>
                </c:pt>
              </c:strCache>
            </c:strRef>
          </c:tx>
          <c:spPr>
            <a:solidFill>
              <a:schemeClr val="accent5"/>
            </a:solidFill>
            <a:ln>
              <a:noFill/>
            </a:ln>
            <a:effectLst/>
          </c:spPr>
          <c:invertIfNegative val="0"/>
          <c:cat>
            <c:strRef>
              <c:f>Electric!$A$3:$A$9</c:f>
              <c:strCache>
                <c:ptCount val="7"/>
                <c:pt idx="0">
                  <c:v>Duquesne</c:v>
                </c:pt>
                <c:pt idx="1">
                  <c:v>Met Ed</c:v>
                </c:pt>
                <c:pt idx="2">
                  <c:v>PECO Electric</c:v>
                </c:pt>
                <c:pt idx="3">
                  <c:v>Penelec</c:v>
                </c:pt>
                <c:pt idx="4">
                  <c:v>Penn Power</c:v>
                </c:pt>
                <c:pt idx="5">
                  <c:v>PPL</c:v>
                </c:pt>
                <c:pt idx="6">
                  <c:v>West Penn</c:v>
                </c:pt>
              </c:strCache>
            </c:strRef>
          </c:cat>
          <c:val>
            <c:numRef>
              <c:f>Electric!$F$3:$F$9</c:f>
              <c:numCache>
                <c:formatCode>_("$"* #,##0.00_);_("$"* \(#,##0.00\);_("$"* "-"??_);_(@_)</c:formatCode>
                <c:ptCount val="7"/>
                <c:pt idx="0">
                  <c:v>416.78719469958133</c:v>
                </c:pt>
                <c:pt idx="1">
                  <c:v>350.2778556048828</c:v>
                </c:pt>
                <c:pt idx="2">
                  <c:v>379.88</c:v>
                </c:pt>
                <c:pt idx="3">
                  <c:v>291.43686065714786</c:v>
                </c:pt>
                <c:pt idx="4">
                  <c:v>244.89550584533148</c:v>
                </c:pt>
                <c:pt idx="5">
                  <c:v>737.80170573963119</c:v>
                </c:pt>
                <c:pt idx="6">
                  <c:v>680.6520351452383</c:v>
                </c:pt>
              </c:numCache>
            </c:numRef>
          </c:val>
          <c:extLst>
            <c:ext xmlns:c16="http://schemas.microsoft.com/office/drawing/2014/chart" uri="{C3380CC4-5D6E-409C-BE32-E72D297353CC}">
              <c16:uniqueId val="{00000004-F128-40D7-91B1-F174327BB345}"/>
            </c:ext>
          </c:extLst>
        </c:ser>
        <c:dLbls>
          <c:showLegendKey val="0"/>
          <c:showVal val="0"/>
          <c:showCatName val="0"/>
          <c:showSerName val="0"/>
          <c:showPercent val="0"/>
          <c:showBubbleSize val="0"/>
        </c:dLbls>
        <c:gapWidth val="219"/>
        <c:overlap val="-27"/>
        <c:axId val="503652560"/>
        <c:axId val="503654528"/>
        <c:extLst>
          <c:ext xmlns:c15="http://schemas.microsoft.com/office/drawing/2012/chart" uri="{02D57815-91ED-43cb-92C2-25804820EDAC}">
            <c15:filteredBarSeries>
              <c15:ser>
                <c:idx val="5"/>
                <c:order val="5"/>
                <c:tx>
                  <c:strRef>
                    <c:extLst>
                      <c:ext uri="{02D57815-91ED-43cb-92C2-25804820EDAC}">
                        <c15:formulaRef>
                          <c15:sqref>Electric!$G$2</c15:sqref>
                        </c15:formulaRef>
                      </c:ext>
                    </c:extLst>
                    <c:strCache>
                      <c:ptCount val="1"/>
                      <c:pt idx="0">
                        <c:v>% Change</c:v>
                      </c:pt>
                    </c:strCache>
                  </c:strRef>
                </c:tx>
                <c:spPr>
                  <a:solidFill>
                    <a:schemeClr val="accent6"/>
                  </a:solidFill>
                  <a:ln>
                    <a:noFill/>
                  </a:ln>
                  <a:effectLst/>
                </c:spPr>
                <c:invertIfNegative val="0"/>
                <c:cat>
                  <c:strRef>
                    <c:extLst>
                      <c:ext uri="{02D57815-91ED-43cb-92C2-25804820EDAC}">
                        <c15:formulaRef>
                          <c15:sqref>Electric!$A$3:$A$9</c15:sqref>
                        </c15:formulaRef>
                      </c:ext>
                    </c:extLst>
                    <c:strCache>
                      <c:ptCount val="7"/>
                      <c:pt idx="0">
                        <c:v>Duquesne</c:v>
                      </c:pt>
                      <c:pt idx="1">
                        <c:v>Met Ed</c:v>
                      </c:pt>
                      <c:pt idx="2">
                        <c:v>PECO Electric</c:v>
                      </c:pt>
                      <c:pt idx="3">
                        <c:v>Penelec</c:v>
                      </c:pt>
                      <c:pt idx="4">
                        <c:v>Penn Power</c:v>
                      </c:pt>
                      <c:pt idx="5">
                        <c:v>PPL</c:v>
                      </c:pt>
                      <c:pt idx="6">
                        <c:v>West Penn</c:v>
                      </c:pt>
                    </c:strCache>
                  </c:strRef>
                </c:cat>
                <c:val>
                  <c:numRef>
                    <c:extLst>
                      <c:ext uri="{02D57815-91ED-43cb-92C2-25804820EDAC}">
                        <c15:formulaRef>
                          <c15:sqref>Electric!$G$3:$G$9</c15:sqref>
                        </c15:formulaRef>
                      </c:ext>
                    </c:extLst>
                    <c:numCache>
                      <c:formatCode>0%</c:formatCode>
                      <c:ptCount val="7"/>
                      <c:pt idx="0">
                        <c:v>0.26863492633627944</c:v>
                      </c:pt>
                      <c:pt idx="1">
                        <c:v>-0.34356220495354617</c:v>
                      </c:pt>
                      <c:pt idx="2">
                        <c:v>-0.28525495739496337</c:v>
                      </c:pt>
                      <c:pt idx="3">
                        <c:v>-0.32777406267692921</c:v>
                      </c:pt>
                      <c:pt idx="4">
                        <c:v>-0.44077155408959828</c:v>
                      </c:pt>
                      <c:pt idx="5">
                        <c:v>-0.22495812187652267</c:v>
                      </c:pt>
                      <c:pt idx="6">
                        <c:v>-0.36747194099657043</c:v>
                      </c:pt>
                    </c:numCache>
                  </c:numRef>
                </c:val>
                <c:extLst>
                  <c:ext xmlns:c16="http://schemas.microsoft.com/office/drawing/2014/chart" uri="{C3380CC4-5D6E-409C-BE32-E72D297353CC}">
                    <c16:uniqueId val="{00000005-F128-40D7-91B1-F174327BB345}"/>
                  </c:ext>
                </c:extLst>
              </c15:ser>
            </c15:filteredBarSeries>
          </c:ext>
        </c:extLst>
      </c:barChart>
      <c:catAx>
        <c:axId val="50365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54528"/>
        <c:crosses val="autoZero"/>
        <c:auto val="1"/>
        <c:lblAlgn val="ctr"/>
        <c:lblOffset val="100"/>
        <c:noMultiLvlLbl val="0"/>
      </c:catAx>
      <c:valAx>
        <c:axId val="503654528"/>
        <c:scaling>
          <c:orientation val="minMax"/>
        </c:scaling>
        <c:delete val="0"/>
        <c:axPos val="l"/>
        <c:majorGridlines>
          <c:spPr>
            <a:ln w="9525" cap="flat" cmpd="sng" algn="ctr">
              <a:solidFill>
                <a:schemeClr val="bg2"/>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5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Electric!$B$11</c:f>
              <c:strCache>
                <c:ptCount val="1"/>
                <c:pt idx="0">
                  <c:v>2012</c:v>
                </c:pt>
              </c:strCache>
            </c:strRef>
          </c:tx>
          <c:spPr>
            <a:solidFill>
              <a:schemeClr val="accent1"/>
            </a:solidFill>
            <a:ln>
              <a:noFill/>
            </a:ln>
            <a:effectLst/>
          </c:spPr>
          <c:invertIfNegative val="0"/>
          <c:cat>
            <c:strRef>
              <c:f>Electric!$A$12:$A$18</c:f>
              <c:strCache>
                <c:ptCount val="7"/>
                <c:pt idx="0">
                  <c:v>Duquesne</c:v>
                </c:pt>
                <c:pt idx="1">
                  <c:v>Met Ed</c:v>
                </c:pt>
                <c:pt idx="2">
                  <c:v>PECO Electric</c:v>
                </c:pt>
                <c:pt idx="3">
                  <c:v>Penelec</c:v>
                </c:pt>
                <c:pt idx="4">
                  <c:v>Penn Power</c:v>
                </c:pt>
                <c:pt idx="5">
                  <c:v>PPL</c:v>
                </c:pt>
                <c:pt idx="6">
                  <c:v>West Penn</c:v>
                </c:pt>
              </c:strCache>
            </c:strRef>
          </c:cat>
          <c:val>
            <c:numRef>
              <c:f>Electric!$B$12:$B$18</c:f>
              <c:numCache>
                <c:formatCode>_("$"* #,##0.00_);_("$"* \(#,##0.00\);_("$"* "-"??_);_(@_)</c:formatCode>
                <c:ptCount val="7"/>
                <c:pt idx="1">
                  <c:v>168.38885459778703</c:v>
                </c:pt>
                <c:pt idx="2">
                  <c:v>482.34830155698512</c:v>
                </c:pt>
                <c:pt idx="3">
                  <c:v>142.46075555996353</c:v>
                </c:pt>
                <c:pt idx="4">
                  <c:v>113.74764089515757</c:v>
                </c:pt>
                <c:pt idx="5">
                  <c:v>160.96024986171261</c:v>
                </c:pt>
              </c:numCache>
            </c:numRef>
          </c:val>
          <c:extLst>
            <c:ext xmlns:c16="http://schemas.microsoft.com/office/drawing/2014/chart" uri="{C3380CC4-5D6E-409C-BE32-E72D297353CC}">
              <c16:uniqueId val="{00000000-B16B-41C9-8530-E6E5B964179D}"/>
            </c:ext>
          </c:extLst>
        </c:ser>
        <c:ser>
          <c:idx val="1"/>
          <c:order val="1"/>
          <c:tx>
            <c:strRef>
              <c:f>Electric!$C$11</c:f>
              <c:strCache>
                <c:ptCount val="1"/>
                <c:pt idx="0">
                  <c:v>2013</c:v>
                </c:pt>
              </c:strCache>
            </c:strRef>
          </c:tx>
          <c:spPr>
            <a:solidFill>
              <a:schemeClr val="accent2"/>
            </a:solidFill>
            <a:ln>
              <a:noFill/>
            </a:ln>
            <a:effectLst/>
          </c:spPr>
          <c:invertIfNegative val="0"/>
          <c:cat>
            <c:strRef>
              <c:f>Electric!$A$12:$A$18</c:f>
              <c:strCache>
                <c:ptCount val="7"/>
                <c:pt idx="0">
                  <c:v>Duquesne</c:v>
                </c:pt>
                <c:pt idx="1">
                  <c:v>Met Ed</c:v>
                </c:pt>
                <c:pt idx="2">
                  <c:v>PECO Electric</c:v>
                </c:pt>
                <c:pt idx="3">
                  <c:v>Penelec</c:v>
                </c:pt>
                <c:pt idx="4">
                  <c:v>Penn Power</c:v>
                </c:pt>
                <c:pt idx="5">
                  <c:v>PPL</c:v>
                </c:pt>
                <c:pt idx="6">
                  <c:v>West Penn</c:v>
                </c:pt>
              </c:strCache>
            </c:strRef>
          </c:cat>
          <c:val>
            <c:numRef>
              <c:f>Electric!$C$12:$C$18</c:f>
              <c:numCache>
                <c:formatCode>_("$"* #,##0.00_);_("$"* \(#,##0.00\);_("$"* "-"??_);_(@_)</c:formatCode>
                <c:ptCount val="7"/>
                <c:pt idx="1">
                  <c:v>124.72412697709123</c:v>
                </c:pt>
                <c:pt idx="2">
                  <c:v>489.86402805495703</c:v>
                </c:pt>
                <c:pt idx="3">
                  <c:v>90.492948887361905</c:v>
                </c:pt>
                <c:pt idx="4">
                  <c:v>82.212370203160276</c:v>
                </c:pt>
                <c:pt idx="5">
                  <c:v>150.76632046235028</c:v>
                </c:pt>
              </c:numCache>
            </c:numRef>
          </c:val>
          <c:extLst>
            <c:ext xmlns:c16="http://schemas.microsoft.com/office/drawing/2014/chart" uri="{C3380CC4-5D6E-409C-BE32-E72D297353CC}">
              <c16:uniqueId val="{00000001-B16B-41C9-8530-E6E5B964179D}"/>
            </c:ext>
          </c:extLst>
        </c:ser>
        <c:ser>
          <c:idx val="2"/>
          <c:order val="2"/>
          <c:tx>
            <c:strRef>
              <c:f>Electric!$D$11</c:f>
              <c:strCache>
                <c:ptCount val="1"/>
                <c:pt idx="0">
                  <c:v>2014</c:v>
                </c:pt>
              </c:strCache>
            </c:strRef>
          </c:tx>
          <c:spPr>
            <a:solidFill>
              <a:schemeClr val="accent3"/>
            </a:solidFill>
            <a:ln>
              <a:noFill/>
            </a:ln>
            <a:effectLst/>
          </c:spPr>
          <c:invertIfNegative val="0"/>
          <c:cat>
            <c:strRef>
              <c:f>Electric!$A$12:$A$18</c:f>
              <c:strCache>
                <c:ptCount val="7"/>
                <c:pt idx="0">
                  <c:v>Duquesne</c:v>
                </c:pt>
                <c:pt idx="1">
                  <c:v>Met Ed</c:v>
                </c:pt>
                <c:pt idx="2">
                  <c:v>PECO Electric</c:v>
                </c:pt>
                <c:pt idx="3">
                  <c:v>Penelec</c:v>
                </c:pt>
                <c:pt idx="4">
                  <c:v>Penn Power</c:v>
                </c:pt>
                <c:pt idx="5">
                  <c:v>PPL</c:v>
                </c:pt>
                <c:pt idx="6">
                  <c:v>West Penn</c:v>
                </c:pt>
              </c:strCache>
            </c:strRef>
          </c:cat>
          <c:val>
            <c:numRef>
              <c:f>Electric!$D$12:$D$18</c:f>
              <c:numCache>
                <c:formatCode>_("$"* #,##0.00_);_("$"* \(#,##0.00\);_("$"* "-"??_);_(@_)</c:formatCode>
                <c:ptCount val="7"/>
                <c:pt idx="1">
                  <c:v>88.944735213601703</c:v>
                </c:pt>
                <c:pt idx="2">
                  <c:v>531.00477721822199</c:v>
                </c:pt>
                <c:pt idx="3">
                  <c:v>64.304884527641491</c:v>
                </c:pt>
                <c:pt idx="4">
                  <c:v>54.765879515202052</c:v>
                </c:pt>
                <c:pt idx="5">
                  <c:v>170.08697684611246</c:v>
                </c:pt>
                <c:pt idx="6">
                  <c:v>322.42344545650849</c:v>
                </c:pt>
              </c:numCache>
            </c:numRef>
          </c:val>
          <c:extLst>
            <c:ext xmlns:c16="http://schemas.microsoft.com/office/drawing/2014/chart" uri="{C3380CC4-5D6E-409C-BE32-E72D297353CC}">
              <c16:uniqueId val="{00000002-B16B-41C9-8530-E6E5B964179D}"/>
            </c:ext>
          </c:extLst>
        </c:ser>
        <c:ser>
          <c:idx val="3"/>
          <c:order val="3"/>
          <c:tx>
            <c:strRef>
              <c:f>Electric!$E$11</c:f>
              <c:strCache>
                <c:ptCount val="1"/>
                <c:pt idx="0">
                  <c:v>2015</c:v>
                </c:pt>
              </c:strCache>
            </c:strRef>
          </c:tx>
          <c:spPr>
            <a:solidFill>
              <a:schemeClr val="accent4"/>
            </a:solidFill>
            <a:ln>
              <a:noFill/>
            </a:ln>
            <a:effectLst/>
          </c:spPr>
          <c:invertIfNegative val="0"/>
          <c:cat>
            <c:strRef>
              <c:f>Electric!$A$12:$A$18</c:f>
              <c:strCache>
                <c:ptCount val="7"/>
                <c:pt idx="0">
                  <c:v>Duquesne</c:v>
                </c:pt>
                <c:pt idx="1">
                  <c:v>Met Ed</c:v>
                </c:pt>
                <c:pt idx="2">
                  <c:v>PECO Electric</c:v>
                </c:pt>
                <c:pt idx="3">
                  <c:v>Penelec</c:v>
                </c:pt>
                <c:pt idx="4">
                  <c:v>Penn Power</c:v>
                </c:pt>
                <c:pt idx="5">
                  <c:v>PPL</c:v>
                </c:pt>
                <c:pt idx="6">
                  <c:v>West Penn</c:v>
                </c:pt>
              </c:strCache>
            </c:strRef>
          </c:cat>
          <c:val>
            <c:numRef>
              <c:f>Electric!$E$12:$E$18</c:f>
              <c:numCache>
                <c:formatCode>_("$"* #,##0.00_);_("$"* \(#,##0.00\);_("$"* "-"??_);_(@_)</c:formatCode>
                <c:ptCount val="7"/>
                <c:pt idx="0">
                  <c:v>531.96071772618507</c:v>
                </c:pt>
                <c:pt idx="1">
                  <c:v>73.823518136409248</c:v>
                </c:pt>
                <c:pt idx="2">
                  <c:v>479.44549484819765</c:v>
                </c:pt>
                <c:pt idx="3">
                  <c:v>58.085035320051432</c:v>
                </c:pt>
                <c:pt idx="4">
                  <c:v>55.771598808341608</c:v>
                </c:pt>
                <c:pt idx="5">
                  <c:v>162.48025062272015</c:v>
                </c:pt>
                <c:pt idx="6">
                  <c:v>325.04091580063209</c:v>
                </c:pt>
              </c:numCache>
            </c:numRef>
          </c:val>
          <c:extLst>
            <c:ext xmlns:c16="http://schemas.microsoft.com/office/drawing/2014/chart" uri="{C3380CC4-5D6E-409C-BE32-E72D297353CC}">
              <c16:uniqueId val="{00000003-B16B-41C9-8530-E6E5B964179D}"/>
            </c:ext>
          </c:extLst>
        </c:ser>
        <c:ser>
          <c:idx val="4"/>
          <c:order val="4"/>
          <c:tx>
            <c:strRef>
              <c:f>Electric!$F$11</c:f>
              <c:strCache>
                <c:ptCount val="1"/>
                <c:pt idx="0">
                  <c:v>2016</c:v>
                </c:pt>
              </c:strCache>
            </c:strRef>
          </c:tx>
          <c:spPr>
            <a:solidFill>
              <a:schemeClr val="accent5"/>
            </a:solidFill>
            <a:ln>
              <a:noFill/>
            </a:ln>
            <a:effectLst/>
          </c:spPr>
          <c:invertIfNegative val="0"/>
          <c:cat>
            <c:strRef>
              <c:f>Electric!$A$12:$A$18</c:f>
              <c:strCache>
                <c:ptCount val="7"/>
                <c:pt idx="0">
                  <c:v>Duquesne</c:v>
                </c:pt>
                <c:pt idx="1">
                  <c:v>Met Ed</c:v>
                </c:pt>
                <c:pt idx="2">
                  <c:v>PECO Electric</c:v>
                </c:pt>
                <c:pt idx="3">
                  <c:v>Penelec</c:v>
                </c:pt>
                <c:pt idx="4">
                  <c:v>Penn Power</c:v>
                </c:pt>
                <c:pt idx="5">
                  <c:v>PPL</c:v>
                </c:pt>
                <c:pt idx="6">
                  <c:v>West Penn</c:v>
                </c:pt>
              </c:strCache>
            </c:strRef>
          </c:cat>
          <c:val>
            <c:numRef>
              <c:f>Electric!$F$12:$F$18</c:f>
              <c:numCache>
                <c:formatCode>_("$"* #,##0.00_);_("$"* \(#,##0.00\);_("$"* "-"??_);_(@_)</c:formatCode>
                <c:ptCount val="7"/>
                <c:pt idx="0">
                  <c:v>620.39821048578574</c:v>
                </c:pt>
                <c:pt idx="1">
                  <c:v>93.522453112617768</c:v>
                </c:pt>
                <c:pt idx="2">
                  <c:v>454.8360105653021</c:v>
                </c:pt>
                <c:pt idx="3">
                  <c:v>81.709314067396079</c:v>
                </c:pt>
                <c:pt idx="4">
                  <c:v>87.906411331244755</c:v>
                </c:pt>
                <c:pt idx="5">
                  <c:v>173.92960090316106</c:v>
                </c:pt>
                <c:pt idx="6">
                  <c:v>118.76225285317048</c:v>
                </c:pt>
              </c:numCache>
            </c:numRef>
          </c:val>
          <c:extLst>
            <c:ext xmlns:c16="http://schemas.microsoft.com/office/drawing/2014/chart" uri="{C3380CC4-5D6E-409C-BE32-E72D297353CC}">
              <c16:uniqueId val="{00000004-B16B-41C9-8530-E6E5B964179D}"/>
            </c:ext>
          </c:extLst>
        </c:ser>
        <c:dLbls>
          <c:showLegendKey val="0"/>
          <c:showVal val="0"/>
          <c:showCatName val="0"/>
          <c:showSerName val="0"/>
          <c:showPercent val="0"/>
          <c:showBubbleSize val="0"/>
        </c:dLbls>
        <c:gapWidth val="219"/>
        <c:overlap val="-27"/>
        <c:axId val="503652560"/>
        <c:axId val="503654528"/>
        <c:extLst>
          <c:ext xmlns:c15="http://schemas.microsoft.com/office/drawing/2012/chart" uri="{02D57815-91ED-43cb-92C2-25804820EDAC}">
            <c15:filteredBarSeries>
              <c15:ser>
                <c:idx val="5"/>
                <c:order val="5"/>
                <c:tx>
                  <c:strRef>
                    <c:extLst>
                      <c:ext uri="{02D57815-91ED-43cb-92C2-25804820EDAC}">
                        <c15:formulaRef>
                          <c15:sqref>Electric!$G$11</c15:sqref>
                        </c15:formulaRef>
                      </c:ext>
                    </c:extLst>
                    <c:strCache>
                      <c:ptCount val="1"/>
                      <c:pt idx="0">
                        <c:v>% Change</c:v>
                      </c:pt>
                    </c:strCache>
                  </c:strRef>
                </c:tx>
                <c:spPr>
                  <a:solidFill>
                    <a:schemeClr val="accent6"/>
                  </a:solidFill>
                  <a:ln>
                    <a:noFill/>
                  </a:ln>
                  <a:effectLst/>
                </c:spPr>
                <c:invertIfNegative val="0"/>
                <c:cat>
                  <c:strRef>
                    <c:extLst>
                      <c:ext uri="{02D57815-91ED-43cb-92C2-25804820EDAC}">
                        <c15:formulaRef>
                          <c15:sqref>Electric!$A$12:$A$18</c15:sqref>
                        </c15:formulaRef>
                      </c:ext>
                    </c:extLst>
                    <c:strCache>
                      <c:ptCount val="7"/>
                      <c:pt idx="0">
                        <c:v>Duquesne</c:v>
                      </c:pt>
                      <c:pt idx="1">
                        <c:v>Met Ed</c:v>
                      </c:pt>
                      <c:pt idx="2">
                        <c:v>PECO Electric</c:v>
                      </c:pt>
                      <c:pt idx="3">
                        <c:v>Penelec</c:v>
                      </c:pt>
                      <c:pt idx="4">
                        <c:v>Penn Power</c:v>
                      </c:pt>
                      <c:pt idx="5">
                        <c:v>PPL</c:v>
                      </c:pt>
                      <c:pt idx="6">
                        <c:v>West Penn</c:v>
                      </c:pt>
                    </c:strCache>
                  </c:strRef>
                </c:cat>
                <c:val>
                  <c:numRef>
                    <c:extLst>
                      <c:ext uri="{02D57815-91ED-43cb-92C2-25804820EDAC}">
                        <c15:formulaRef>
                          <c15:sqref>Electric!$G$12:$G$18</c15:sqref>
                        </c15:formulaRef>
                      </c:ext>
                    </c:extLst>
                    <c:numCache>
                      <c:formatCode>0%</c:formatCode>
                      <c:ptCount val="7"/>
                      <c:pt idx="0">
                        <c:v>0.16624816422088126</c:v>
                      </c:pt>
                      <c:pt idx="1">
                        <c:v>-0.44460425640399337</c:v>
                      </c:pt>
                      <c:pt idx="2">
                        <c:v>-5.7038225081078031E-2</c:v>
                      </c:pt>
                      <c:pt idx="3">
                        <c:v>-0.42644334752946333</c:v>
                      </c:pt>
                      <c:pt idx="4">
                        <c:v>-0.22718035609838236</c:v>
                      </c:pt>
                      <c:pt idx="5">
                        <c:v>8.057486896666062E-2</c:v>
                      </c:pt>
                      <c:pt idx="6">
                        <c:v>-0.63165751583288554</c:v>
                      </c:pt>
                    </c:numCache>
                  </c:numRef>
                </c:val>
                <c:extLst>
                  <c:ext xmlns:c16="http://schemas.microsoft.com/office/drawing/2014/chart" uri="{C3380CC4-5D6E-409C-BE32-E72D297353CC}">
                    <c16:uniqueId val="{00000005-B16B-41C9-8530-E6E5B964179D}"/>
                  </c:ext>
                </c:extLst>
              </c15:ser>
            </c15:filteredBarSeries>
          </c:ext>
        </c:extLst>
      </c:barChart>
      <c:catAx>
        <c:axId val="50365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54528"/>
        <c:crosses val="autoZero"/>
        <c:auto val="1"/>
        <c:lblAlgn val="ctr"/>
        <c:lblOffset val="100"/>
        <c:noMultiLvlLbl val="0"/>
      </c:catAx>
      <c:valAx>
        <c:axId val="503654528"/>
        <c:scaling>
          <c:orientation val="minMax"/>
        </c:scaling>
        <c:delete val="0"/>
        <c:axPos val="l"/>
        <c:majorGridlines>
          <c:spPr>
            <a:ln w="9525" cap="flat" cmpd="sng" algn="ctr">
              <a:solidFill>
                <a:schemeClr val="bg2"/>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5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 Aggregate'!$A$2</c:f>
              <c:strCache>
                <c:ptCount val="1"/>
                <c:pt idx="0">
                  <c:v>2012</c:v>
                </c:pt>
              </c:strCache>
            </c:strRef>
          </c:tx>
          <c:spPr>
            <a:solidFill>
              <a:schemeClr val="accent1"/>
            </a:solidFill>
            <a:ln>
              <a:noFill/>
            </a:ln>
            <a:effectLst/>
          </c:spPr>
          <c:invertIfNegative val="0"/>
          <c:cat>
            <c:strRef>
              <c:f>'Gas Aggregate'!$B$1:$I$1</c:f>
              <c:strCache>
                <c:ptCount val="8"/>
                <c:pt idx="0">
                  <c:v>Columbia</c:v>
                </c:pt>
                <c:pt idx="1">
                  <c:v>NFG</c:v>
                </c:pt>
                <c:pt idx="2">
                  <c:v>PECO Gas</c:v>
                </c:pt>
                <c:pt idx="3">
                  <c:v>Peoples</c:v>
                </c:pt>
                <c:pt idx="4">
                  <c:v>EQT</c:v>
                </c:pt>
                <c:pt idx="5">
                  <c:v>PGW</c:v>
                </c:pt>
                <c:pt idx="6">
                  <c:v>UGI Gas</c:v>
                </c:pt>
                <c:pt idx="7">
                  <c:v>UGI PNG</c:v>
                </c:pt>
              </c:strCache>
            </c:strRef>
          </c:cat>
          <c:val>
            <c:numRef>
              <c:f>'Gas Aggregate'!$B$2:$I$2</c:f>
              <c:numCache>
                <c:formatCode>0.00%</c:formatCode>
                <c:ptCount val="8"/>
                <c:pt idx="0">
                  <c:v>0.5901239809435942</c:v>
                </c:pt>
                <c:pt idx="1">
                  <c:v>0.61648880367543324</c:v>
                </c:pt>
                <c:pt idx="2">
                  <c:v>0.63192546055756715</c:v>
                </c:pt>
                <c:pt idx="3">
                  <c:v>0.71176138350232643</c:v>
                </c:pt>
                <c:pt idx="4">
                  <c:v>0.69990938380990741</c:v>
                </c:pt>
                <c:pt idx="5">
                  <c:v>0.5752288036583505</c:v>
                </c:pt>
                <c:pt idx="6">
                  <c:v>0.89940352806802315</c:v>
                </c:pt>
                <c:pt idx="7">
                  <c:v>0.90784704242182834</c:v>
                </c:pt>
              </c:numCache>
            </c:numRef>
          </c:val>
          <c:extLst>
            <c:ext xmlns:c16="http://schemas.microsoft.com/office/drawing/2014/chart" uri="{C3380CC4-5D6E-409C-BE32-E72D297353CC}">
              <c16:uniqueId val="{00000000-03DC-4FCF-AFD0-831BBC9CD1B1}"/>
            </c:ext>
          </c:extLst>
        </c:ser>
        <c:ser>
          <c:idx val="1"/>
          <c:order val="1"/>
          <c:tx>
            <c:strRef>
              <c:f>'Gas Aggregate'!$A$3</c:f>
              <c:strCache>
                <c:ptCount val="1"/>
                <c:pt idx="0">
                  <c:v>2013</c:v>
                </c:pt>
              </c:strCache>
            </c:strRef>
          </c:tx>
          <c:spPr>
            <a:solidFill>
              <a:schemeClr val="accent2"/>
            </a:solidFill>
            <a:ln>
              <a:noFill/>
            </a:ln>
            <a:effectLst/>
          </c:spPr>
          <c:invertIfNegative val="0"/>
          <c:cat>
            <c:strRef>
              <c:f>'Gas Aggregate'!$B$1:$I$1</c:f>
              <c:strCache>
                <c:ptCount val="8"/>
                <c:pt idx="0">
                  <c:v>Columbia</c:v>
                </c:pt>
                <c:pt idx="1">
                  <c:v>NFG</c:v>
                </c:pt>
                <c:pt idx="2">
                  <c:v>PECO Gas</c:v>
                </c:pt>
                <c:pt idx="3">
                  <c:v>Peoples</c:v>
                </c:pt>
                <c:pt idx="4">
                  <c:v>EQT</c:v>
                </c:pt>
                <c:pt idx="5">
                  <c:v>PGW</c:v>
                </c:pt>
                <c:pt idx="6">
                  <c:v>UGI Gas</c:v>
                </c:pt>
                <c:pt idx="7">
                  <c:v>UGI PNG</c:v>
                </c:pt>
              </c:strCache>
            </c:strRef>
          </c:cat>
          <c:val>
            <c:numRef>
              <c:f>'Gas Aggregate'!$B$3:$I$3</c:f>
              <c:numCache>
                <c:formatCode>0.00%</c:formatCode>
                <c:ptCount val="8"/>
                <c:pt idx="0">
                  <c:v>0.58101310875074508</c:v>
                </c:pt>
                <c:pt idx="1">
                  <c:v>0.61540399730153694</c:v>
                </c:pt>
                <c:pt idx="2">
                  <c:v>0.62549108641146611</c:v>
                </c:pt>
                <c:pt idx="3">
                  <c:v>0.63648009459992116</c:v>
                </c:pt>
                <c:pt idx="4">
                  <c:v>0.75532427126930624</c:v>
                </c:pt>
                <c:pt idx="5">
                  <c:v>0.5522897093797966</c:v>
                </c:pt>
                <c:pt idx="6">
                  <c:v>0.90852387178852878</c:v>
                </c:pt>
                <c:pt idx="7">
                  <c:v>0.91267605633802817</c:v>
                </c:pt>
              </c:numCache>
            </c:numRef>
          </c:val>
          <c:extLst>
            <c:ext xmlns:c16="http://schemas.microsoft.com/office/drawing/2014/chart" uri="{C3380CC4-5D6E-409C-BE32-E72D297353CC}">
              <c16:uniqueId val="{00000001-03DC-4FCF-AFD0-831BBC9CD1B1}"/>
            </c:ext>
          </c:extLst>
        </c:ser>
        <c:ser>
          <c:idx val="2"/>
          <c:order val="2"/>
          <c:tx>
            <c:strRef>
              <c:f>'Gas Aggregate'!$A$4</c:f>
              <c:strCache>
                <c:ptCount val="1"/>
                <c:pt idx="0">
                  <c:v>2014</c:v>
                </c:pt>
              </c:strCache>
            </c:strRef>
          </c:tx>
          <c:spPr>
            <a:solidFill>
              <a:schemeClr val="accent3"/>
            </a:solidFill>
            <a:ln>
              <a:noFill/>
            </a:ln>
            <a:effectLst/>
          </c:spPr>
          <c:invertIfNegative val="0"/>
          <c:cat>
            <c:strRef>
              <c:f>'Gas Aggregate'!$B$1:$I$1</c:f>
              <c:strCache>
                <c:ptCount val="8"/>
                <c:pt idx="0">
                  <c:v>Columbia</c:v>
                </c:pt>
                <c:pt idx="1">
                  <c:v>NFG</c:v>
                </c:pt>
                <c:pt idx="2">
                  <c:v>PECO Gas</c:v>
                </c:pt>
                <c:pt idx="3">
                  <c:v>Peoples</c:v>
                </c:pt>
                <c:pt idx="4">
                  <c:v>EQT</c:v>
                </c:pt>
                <c:pt idx="5">
                  <c:v>PGW</c:v>
                </c:pt>
                <c:pt idx="6">
                  <c:v>UGI Gas</c:v>
                </c:pt>
                <c:pt idx="7">
                  <c:v>UGI PNG</c:v>
                </c:pt>
              </c:strCache>
            </c:strRef>
          </c:cat>
          <c:val>
            <c:numRef>
              <c:f>'Gas Aggregate'!$B$4:$I$4</c:f>
              <c:numCache>
                <c:formatCode>0.00%</c:formatCode>
                <c:ptCount val="8"/>
                <c:pt idx="0">
                  <c:v>0.57484737285823084</c:v>
                </c:pt>
                <c:pt idx="1">
                  <c:v>0.60824392343863831</c:v>
                </c:pt>
                <c:pt idx="2">
                  <c:v>0.59731938449325583</c:v>
                </c:pt>
                <c:pt idx="3">
                  <c:v>0.57828321967348628</c:v>
                </c:pt>
                <c:pt idx="4">
                  <c:v>0.73960619631824009</c:v>
                </c:pt>
                <c:pt idx="5">
                  <c:v>0.5782438693518398</c:v>
                </c:pt>
                <c:pt idx="6">
                  <c:v>0.93409824874629144</c:v>
                </c:pt>
                <c:pt idx="7">
                  <c:v>0.93752343075092504</c:v>
                </c:pt>
              </c:numCache>
            </c:numRef>
          </c:val>
          <c:extLst>
            <c:ext xmlns:c16="http://schemas.microsoft.com/office/drawing/2014/chart" uri="{C3380CC4-5D6E-409C-BE32-E72D297353CC}">
              <c16:uniqueId val="{00000002-03DC-4FCF-AFD0-831BBC9CD1B1}"/>
            </c:ext>
          </c:extLst>
        </c:ser>
        <c:ser>
          <c:idx val="3"/>
          <c:order val="3"/>
          <c:tx>
            <c:strRef>
              <c:f>'Gas Aggregate'!$A$5</c:f>
              <c:strCache>
                <c:ptCount val="1"/>
                <c:pt idx="0">
                  <c:v>2015</c:v>
                </c:pt>
              </c:strCache>
            </c:strRef>
          </c:tx>
          <c:spPr>
            <a:solidFill>
              <a:schemeClr val="accent4"/>
            </a:solidFill>
            <a:ln>
              <a:noFill/>
            </a:ln>
            <a:effectLst/>
          </c:spPr>
          <c:invertIfNegative val="0"/>
          <c:cat>
            <c:strRef>
              <c:f>'Gas Aggregate'!$B$1:$I$1</c:f>
              <c:strCache>
                <c:ptCount val="8"/>
                <c:pt idx="0">
                  <c:v>Columbia</c:v>
                </c:pt>
                <c:pt idx="1">
                  <c:v>NFG</c:v>
                </c:pt>
                <c:pt idx="2">
                  <c:v>PECO Gas</c:v>
                </c:pt>
                <c:pt idx="3">
                  <c:v>Peoples</c:v>
                </c:pt>
                <c:pt idx="4">
                  <c:v>EQT</c:v>
                </c:pt>
                <c:pt idx="5">
                  <c:v>PGW</c:v>
                </c:pt>
                <c:pt idx="6">
                  <c:v>UGI Gas</c:v>
                </c:pt>
                <c:pt idx="7">
                  <c:v>UGI PNG</c:v>
                </c:pt>
              </c:strCache>
            </c:strRef>
          </c:cat>
          <c:val>
            <c:numRef>
              <c:f>'Gas Aggregate'!$B$5:$I$5</c:f>
              <c:numCache>
                <c:formatCode>0.00%</c:formatCode>
                <c:ptCount val="8"/>
                <c:pt idx="0">
                  <c:v>0.59083312476283512</c:v>
                </c:pt>
                <c:pt idx="1">
                  <c:v>0.62608879492600422</c:v>
                </c:pt>
                <c:pt idx="2">
                  <c:v>0.58864101598711671</c:v>
                </c:pt>
                <c:pt idx="3">
                  <c:v>0.63821731348712629</c:v>
                </c:pt>
                <c:pt idx="4">
                  <c:v>0.72937085975832161</c:v>
                </c:pt>
                <c:pt idx="5">
                  <c:v>0.59725184163145784</c:v>
                </c:pt>
                <c:pt idx="6">
                  <c:v>0.89411894893565647</c:v>
                </c:pt>
                <c:pt idx="7">
                  <c:v>0.92838630993215943</c:v>
                </c:pt>
              </c:numCache>
            </c:numRef>
          </c:val>
          <c:extLst>
            <c:ext xmlns:c16="http://schemas.microsoft.com/office/drawing/2014/chart" uri="{C3380CC4-5D6E-409C-BE32-E72D297353CC}">
              <c16:uniqueId val="{00000003-03DC-4FCF-AFD0-831BBC9CD1B1}"/>
            </c:ext>
          </c:extLst>
        </c:ser>
        <c:ser>
          <c:idx val="4"/>
          <c:order val="4"/>
          <c:tx>
            <c:strRef>
              <c:f>'Gas Aggregate'!$A$6</c:f>
              <c:strCache>
                <c:ptCount val="1"/>
                <c:pt idx="0">
                  <c:v>2016</c:v>
                </c:pt>
              </c:strCache>
            </c:strRef>
          </c:tx>
          <c:spPr>
            <a:solidFill>
              <a:schemeClr val="accent5"/>
            </a:solidFill>
            <a:ln>
              <a:noFill/>
            </a:ln>
            <a:effectLst/>
          </c:spPr>
          <c:invertIfNegative val="0"/>
          <c:cat>
            <c:strRef>
              <c:f>'Gas Aggregate'!$B$1:$I$1</c:f>
              <c:strCache>
                <c:ptCount val="8"/>
                <c:pt idx="0">
                  <c:v>Columbia</c:v>
                </c:pt>
                <c:pt idx="1">
                  <c:v>NFG</c:v>
                </c:pt>
                <c:pt idx="2">
                  <c:v>PECO Gas</c:v>
                </c:pt>
                <c:pt idx="3">
                  <c:v>Peoples</c:v>
                </c:pt>
                <c:pt idx="4">
                  <c:v>EQT</c:v>
                </c:pt>
                <c:pt idx="5">
                  <c:v>PGW</c:v>
                </c:pt>
                <c:pt idx="6">
                  <c:v>UGI Gas</c:v>
                </c:pt>
                <c:pt idx="7">
                  <c:v>UGI PNG</c:v>
                </c:pt>
              </c:strCache>
            </c:strRef>
          </c:cat>
          <c:val>
            <c:numRef>
              <c:f>'Gas Aggregate'!$B$6:$I$6</c:f>
              <c:numCache>
                <c:formatCode>0.00%</c:formatCode>
                <c:ptCount val="8"/>
                <c:pt idx="0">
                  <c:v>0.6003960492464514</c:v>
                </c:pt>
                <c:pt idx="1">
                  <c:v>0.67312724658519052</c:v>
                </c:pt>
                <c:pt idx="2">
                  <c:v>0.61515005072813977</c:v>
                </c:pt>
                <c:pt idx="3">
                  <c:v>0.64096745913052444</c:v>
                </c:pt>
                <c:pt idx="4">
                  <c:v>0.73306412046646785</c:v>
                </c:pt>
                <c:pt idx="5">
                  <c:v>0.62081893269287092</c:v>
                </c:pt>
                <c:pt idx="6">
                  <c:v>0.93818177910088452</c:v>
                </c:pt>
                <c:pt idx="7">
                  <c:v>0.92934153201345615</c:v>
                </c:pt>
              </c:numCache>
            </c:numRef>
          </c:val>
          <c:extLst>
            <c:ext xmlns:c16="http://schemas.microsoft.com/office/drawing/2014/chart" uri="{C3380CC4-5D6E-409C-BE32-E72D297353CC}">
              <c16:uniqueId val="{00000004-03DC-4FCF-AFD0-831BBC9CD1B1}"/>
            </c:ext>
          </c:extLst>
        </c:ser>
        <c:dLbls>
          <c:showLegendKey val="0"/>
          <c:showVal val="0"/>
          <c:showCatName val="0"/>
          <c:showSerName val="0"/>
          <c:showPercent val="0"/>
          <c:showBubbleSize val="0"/>
        </c:dLbls>
        <c:gapWidth val="219"/>
        <c:overlap val="-27"/>
        <c:axId val="336096776"/>
        <c:axId val="336091856"/>
      </c:barChart>
      <c:catAx>
        <c:axId val="33609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36091856"/>
        <c:crosses val="autoZero"/>
        <c:auto val="1"/>
        <c:lblAlgn val="ctr"/>
        <c:lblOffset val="100"/>
        <c:noMultiLvlLbl val="0"/>
      </c:catAx>
      <c:valAx>
        <c:axId val="33609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3609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 by Poverty'!$A$4</c:f>
              <c:strCache>
                <c:ptCount val="1"/>
                <c:pt idx="0">
                  <c:v>2012</c:v>
                </c:pt>
              </c:strCache>
            </c:strRef>
          </c:tx>
          <c:spPr>
            <a:solidFill>
              <a:schemeClr val="accent1"/>
            </a:solidFill>
            <a:ln>
              <a:noFill/>
            </a:ln>
            <a:effectLst/>
          </c:spPr>
          <c:invertIfNegative val="0"/>
          <c:cat>
            <c:strRef>
              <c:f>'Gas by Poverty'!$B$3:$H$3</c:f>
              <c:strCache>
                <c:ptCount val="7"/>
                <c:pt idx="0">
                  <c:v>Columbia</c:v>
                </c:pt>
                <c:pt idx="1">
                  <c:v>PECO Gas</c:v>
                </c:pt>
                <c:pt idx="2">
                  <c:v>Peoples</c:v>
                </c:pt>
                <c:pt idx="3">
                  <c:v>EQT</c:v>
                </c:pt>
                <c:pt idx="4">
                  <c:v>PGW</c:v>
                </c:pt>
                <c:pt idx="5">
                  <c:v>UGI Gas</c:v>
                </c:pt>
                <c:pt idx="6">
                  <c:v>UGI PNG</c:v>
                </c:pt>
              </c:strCache>
            </c:strRef>
          </c:cat>
          <c:val>
            <c:numRef>
              <c:f>'Gas by Poverty'!$B$4:$H$4</c:f>
              <c:numCache>
                <c:formatCode>0.00%</c:formatCode>
                <c:ptCount val="7"/>
                <c:pt idx="0">
                  <c:v>0.52639790093252492</c:v>
                </c:pt>
                <c:pt idx="1">
                  <c:v>0.57108679452484612</c:v>
                </c:pt>
                <c:pt idx="2">
                  <c:v>0.47937636761487967</c:v>
                </c:pt>
                <c:pt idx="3">
                  <c:v>0.73347778981581802</c:v>
                </c:pt>
                <c:pt idx="4">
                  <c:v>0.60060717644794515</c:v>
                </c:pt>
                <c:pt idx="5">
                  <c:v>0.92701264651449722</c:v>
                </c:pt>
                <c:pt idx="6">
                  <c:v>0.91151960784313724</c:v>
                </c:pt>
              </c:numCache>
            </c:numRef>
          </c:val>
          <c:extLst>
            <c:ext xmlns:c16="http://schemas.microsoft.com/office/drawing/2014/chart" uri="{C3380CC4-5D6E-409C-BE32-E72D297353CC}">
              <c16:uniqueId val="{00000000-6B63-4279-88F5-888184E8DD7F}"/>
            </c:ext>
          </c:extLst>
        </c:ser>
        <c:ser>
          <c:idx val="1"/>
          <c:order val="1"/>
          <c:tx>
            <c:strRef>
              <c:f>'Gas by Poverty'!$A$5</c:f>
              <c:strCache>
                <c:ptCount val="1"/>
                <c:pt idx="0">
                  <c:v>2013</c:v>
                </c:pt>
              </c:strCache>
            </c:strRef>
          </c:tx>
          <c:spPr>
            <a:solidFill>
              <a:schemeClr val="accent2"/>
            </a:solidFill>
            <a:ln>
              <a:noFill/>
            </a:ln>
            <a:effectLst/>
          </c:spPr>
          <c:invertIfNegative val="0"/>
          <c:cat>
            <c:strRef>
              <c:f>'Gas by Poverty'!$B$3:$H$3</c:f>
              <c:strCache>
                <c:ptCount val="7"/>
                <c:pt idx="0">
                  <c:v>Columbia</c:v>
                </c:pt>
                <c:pt idx="1">
                  <c:v>PECO Gas</c:v>
                </c:pt>
                <c:pt idx="2">
                  <c:v>Peoples</c:v>
                </c:pt>
                <c:pt idx="3">
                  <c:v>EQT</c:v>
                </c:pt>
                <c:pt idx="4">
                  <c:v>PGW</c:v>
                </c:pt>
                <c:pt idx="5">
                  <c:v>UGI Gas</c:v>
                </c:pt>
                <c:pt idx="6">
                  <c:v>UGI PNG</c:v>
                </c:pt>
              </c:strCache>
            </c:strRef>
          </c:cat>
          <c:val>
            <c:numRef>
              <c:f>'Gas by Poverty'!$B$5:$H$5</c:f>
              <c:numCache>
                <c:formatCode>0.00%</c:formatCode>
                <c:ptCount val="7"/>
                <c:pt idx="0">
                  <c:v>0.51649912179079938</c:v>
                </c:pt>
                <c:pt idx="1">
                  <c:v>0.54633416617597907</c:v>
                </c:pt>
                <c:pt idx="2">
                  <c:v>0.38822011028980408</c:v>
                </c:pt>
                <c:pt idx="3">
                  <c:v>0.7666814243248371</c:v>
                </c:pt>
                <c:pt idx="4">
                  <c:v>0.57335074505048622</c:v>
                </c:pt>
                <c:pt idx="5">
                  <c:v>0.92488834754364591</c:v>
                </c:pt>
                <c:pt idx="6">
                  <c:v>0.91835633335903166</c:v>
                </c:pt>
              </c:numCache>
            </c:numRef>
          </c:val>
          <c:extLst>
            <c:ext xmlns:c16="http://schemas.microsoft.com/office/drawing/2014/chart" uri="{C3380CC4-5D6E-409C-BE32-E72D297353CC}">
              <c16:uniqueId val="{00000001-6B63-4279-88F5-888184E8DD7F}"/>
            </c:ext>
          </c:extLst>
        </c:ser>
        <c:ser>
          <c:idx val="2"/>
          <c:order val="2"/>
          <c:tx>
            <c:strRef>
              <c:f>'Gas by Poverty'!$A$6</c:f>
              <c:strCache>
                <c:ptCount val="1"/>
                <c:pt idx="0">
                  <c:v>2014</c:v>
                </c:pt>
              </c:strCache>
            </c:strRef>
          </c:tx>
          <c:spPr>
            <a:solidFill>
              <a:schemeClr val="accent3"/>
            </a:solidFill>
            <a:ln>
              <a:noFill/>
            </a:ln>
            <a:effectLst/>
          </c:spPr>
          <c:invertIfNegative val="0"/>
          <c:cat>
            <c:strRef>
              <c:f>'Gas by Poverty'!$B$3:$H$3</c:f>
              <c:strCache>
                <c:ptCount val="7"/>
                <c:pt idx="0">
                  <c:v>Columbia</c:v>
                </c:pt>
                <c:pt idx="1">
                  <c:v>PECO Gas</c:v>
                </c:pt>
                <c:pt idx="2">
                  <c:v>Peoples</c:v>
                </c:pt>
                <c:pt idx="3">
                  <c:v>EQT</c:v>
                </c:pt>
                <c:pt idx="4">
                  <c:v>PGW</c:v>
                </c:pt>
                <c:pt idx="5">
                  <c:v>UGI Gas</c:v>
                </c:pt>
                <c:pt idx="6">
                  <c:v>UGI PNG</c:v>
                </c:pt>
              </c:strCache>
            </c:strRef>
          </c:cat>
          <c:val>
            <c:numRef>
              <c:f>'Gas by Poverty'!$B$6:$H$6</c:f>
              <c:numCache>
                <c:formatCode>0.00%</c:formatCode>
                <c:ptCount val="7"/>
                <c:pt idx="0">
                  <c:v>0.51390828250165355</c:v>
                </c:pt>
                <c:pt idx="1">
                  <c:v>0.51394709271870087</c:v>
                </c:pt>
                <c:pt idx="2">
                  <c:v>0.33823078652144595</c:v>
                </c:pt>
                <c:pt idx="3">
                  <c:v>0.75805286176079101</c:v>
                </c:pt>
                <c:pt idx="4">
                  <c:v>0.59403482639997163</c:v>
                </c:pt>
                <c:pt idx="5">
                  <c:v>0.93444424098150525</c:v>
                </c:pt>
                <c:pt idx="6">
                  <c:v>0.93028741697187911</c:v>
                </c:pt>
              </c:numCache>
            </c:numRef>
          </c:val>
          <c:extLst>
            <c:ext xmlns:c16="http://schemas.microsoft.com/office/drawing/2014/chart" uri="{C3380CC4-5D6E-409C-BE32-E72D297353CC}">
              <c16:uniqueId val="{00000002-6B63-4279-88F5-888184E8DD7F}"/>
            </c:ext>
          </c:extLst>
        </c:ser>
        <c:ser>
          <c:idx val="3"/>
          <c:order val="3"/>
          <c:tx>
            <c:strRef>
              <c:f>'Gas by Poverty'!$A$7</c:f>
              <c:strCache>
                <c:ptCount val="1"/>
                <c:pt idx="0">
                  <c:v>2015</c:v>
                </c:pt>
              </c:strCache>
            </c:strRef>
          </c:tx>
          <c:spPr>
            <a:solidFill>
              <a:schemeClr val="accent4"/>
            </a:solidFill>
            <a:ln>
              <a:noFill/>
            </a:ln>
            <a:effectLst/>
          </c:spPr>
          <c:invertIfNegative val="0"/>
          <c:cat>
            <c:strRef>
              <c:f>'Gas by Poverty'!$B$3:$H$3</c:f>
              <c:strCache>
                <c:ptCount val="7"/>
                <c:pt idx="0">
                  <c:v>Columbia</c:v>
                </c:pt>
                <c:pt idx="1">
                  <c:v>PECO Gas</c:v>
                </c:pt>
                <c:pt idx="2">
                  <c:v>Peoples</c:v>
                </c:pt>
                <c:pt idx="3">
                  <c:v>EQT</c:v>
                </c:pt>
                <c:pt idx="4">
                  <c:v>PGW</c:v>
                </c:pt>
                <c:pt idx="5">
                  <c:v>UGI Gas</c:v>
                </c:pt>
                <c:pt idx="6">
                  <c:v>UGI PNG</c:v>
                </c:pt>
              </c:strCache>
            </c:strRef>
          </c:cat>
          <c:val>
            <c:numRef>
              <c:f>'Gas by Poverty'!$B$7:$H$7</c:f>
              <c:numCache>
                <c:formatCode>0.00%</c:formatCode>
                <c:ptCount val="7"/>
                <c:pt idx="0">
                  <c:v>0.52508964009740566</c:v>
                </c:pt>
                <c:pt idx="1">
                  <c:v>0.52399293630156984</c:v>
                </c:pt>
                <c:pt idx="2">
                  <c:v>0.4505881894671237</c:v>
                </c:pt>
                <c:pt idx="3">
                  <c:v>0.65852649006622521</c:v>
                </c:pt>
                <c:pt idx="4">
                  <c:v>0.58980829943687341</c:v>
                </c:pt>
                <c:pt idx="5">
                  <c:v>0.92354105167547929</c:v>
                </c:pt>
                <c:pt idx="6">
                  <c:v>0.92873076065134952</c:v>
                </c:pt>
              </c:numCache>
            </c:numRef>
          </c:val>
          <c:extLst>
            <c:ext xmlns:c16="http://schemas.microsoft.com/office/drawing/2014/chart" uri="{C3380CC4-5D6E-409C-BE32-E72D297353CC}">
              <c16:uniqueId val="{00000003-6B63-4279-88F5-888184E8DD7F}"/>
            </c:ext>
          </c:extLst>
        </c:ser>
        <c:ser>
          <c:idx val="4"/>
          <c:order val="4"/>
          <c:tx>
            <c:strRef>
              <c:f>'Gas by Poverty'!$A$8</c:f>
              <c:strCache>
                <c:ptCount val="1"/>
                <c:pt idx="0">
                  <c:v>2016</c:v>
                </c:pt>
              </c:strCache>
            </c:strRef>
          </c:tx>
          <c:spPr>
            <a:solidFill>
              <a:schemeClr val="accent5"/>
            </a:solidFill>
            <a:ln>
              <a:noFill/>
            </a:ln>
            <a:effectLst/>
          </c:spPr>
          <c:invertIfNegative val="0"/>
          <c:cat>
            <c:strRef>
              <c:f>'Gas by Poverty'!$B$3:$H$3</c:f>
              <c:strCache>
                <c:ptCount val="7"/>
                <c:pt idx="0">
                  <c:v>Columbia</c:v>
                </c:pt>
                <c:pt idx="1">
                  <c:v>PECO Gas</c:v>
                </c:pt>
                <c:pt idx="2">
                  <c:v>Peoples</c:v>
                </c:pt>
                <c:pt idx="3">
                  <c:v>EQT</c:v>
                </c:pt>
                <c:pt idx="4">
                  <c:v>PGW</c:v>
                </c:pt>
                <c:pt idx="5">
                  <c:v>UGI Gas</c:v>
                </c:pt>
                <c:pt idx="6">
                  <c:v>UGI PNG</c:v>
                </c:pt>
              </c:strCache>
            </c:strRef>
          </c:cat>
          <c:val>
            <c:numRef>
              <c:f>'Gas by Poverty'!$B$8:$H$8</c:f>
              <c:numCache>
                <c:formatCode>0.00%</c:formatCode>
                <c:ptCount val="7"/>
                <c:pt idx="0">
                  <c:v>0.54271374420890073</c:v>
                </c:pt>
                <c:pt idx="1">
                  <c:v>0.54866511715560029</c:v>
                </c:pt>
                <c:pt idx="2">
                  <c:v>0.41331849837227513</c:v>
                </c:pt>
                <c:pt idx="3">
                  <c:v>0.73169284851147975</c:v>
                </c:pt>
                <c:pt idx="4">
                  <c:v>0.59209012978648357</c:v>
                </c:pt>
                <c:pt idx="5">
                  <c:v>0.95219109929803036</c:v>
                </c:pt>
                <c:pt idx="6">
                  <c:v>0.95385720601237844</c:v>
                </c:pt>
              </c:numCache>
            </c:numRef>
          </c:val>
          <c:extLst>
            <c:ext xmlns:c16="http://schemas.microsoft.com/office/drawing/2014/chart" uri="{C3380CC4-5D6E-409C-BE32-E72D297353CC}">
              <c16:uniqueId val="{00000004-6B63-4279-88F5-888184E8DD7F}"/>
            </c:ext>
          </c:extLst>
        </c:ser>
        <c:dLbls>
          <c:showLegendKey val="0"/>
          <c:showVal val="0"/>
          <c:showCatName val="0"/>
          <c:showSerName val="0"/>
          <c:showPercent val="0"/>
          <c:showBubbleSize val="0"/>
        </c:dLbls>
        <c:gapWidth val="219"/>
        <c:overlap val="-27"/>
        <c:axId val="645605344"/>
        <c:axId val="645603704"/>
      </c:barChart>
      <c:catAx>
        <c:axId val="64560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45603704"/>
        <c:crosses val="autoZero"/>
        <c:auto val="1"/>
        <c:lblAlgn val="ctr"/>
        <c:lblOffset val="100"/>
        <c:noMultiLvlLbl val="0"/>
      </c:catAx>
      <c:valAx>
        <c:axId val="645603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4560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'Electric Aggregate'!$A$3</c:f>
              <c:strCache>
                <c:ptCount val="1"/>
                <c:pt idx="0">
                  <c:v>2012</c:v>
                </c:pt>
              </c:strCache>
            </c:strRef>
          </c:tx>
          <c:spPr>
            <a:solidFill>
              <a:schemeClr val="accent1"/>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Aggregate'!$B$3:$V$3</c:f>
              <c:numCache>
                <c:formatCode>0.00%</c:formatCode>
                <c:ptCount val="7"/>
                <c:pt idx="0">
                  <c:v>0.79522329773428102</c:v>
                </c:pt>
                <c:pt idx="1">
                  <c:v>0.50010927176969833</c:v>
                </c:pt>
                <c:pt idx="2">
                  <c:v>0.60666669594712386</c:v>
                </c:pt>
                <c:pt idx="3">
                  <c:v>0.52548614818326733</c:v>
                </c:pt>
                <c:pt idx="4">
                  <c:v>0.57769117636079947</c:v>
                </c:pt>
                <c:pt idx="5">
                  <c:v>0.57602576751204226</c:v>
                </c:pt>
                <c:pt idx="6">
                  <c:v>0</c:v>
                </c:pt>
              </c:numCache>
              <c:extLst/>
            </c:numRef>
          </c:val>
          <c:extLst>
            <c:ext xmlns:c16="http://schemas.microsoft.com/office/drawing/2014/chart" uri="{C3380CC4-5D6E-409C-BE32-E72D297353CC}">
              <c16:uniqueId val="{00000000-19D3-4C89-89C7-D419F3F970F5}"/>
            </c:ext>
          </c:extLst>
        </c:ser>
        <c:ser>
          <c:idx val="1"/>
          <c:order val="1"/>
          <c:tx>
            <c:strRef>
              <c:f>'Electric Aggregate'!$A$4</c:f>
              <c:strCache>
                <c:ptCount val="1"/>
                <c:pt idx="0">
                  <c:v>2013</c:v>
                </c:pt>
              </c:strCache>
            </c:strRef>
          </c:tx>
          <c:spPr>
            <a:solidFill>
              <a:schemeClr val="accent2"/>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Aggregate'!$B$4:$V$4</c:f>
              <c:numCache>
                <c:formatCode>0.00%</c:formatCode>
                <c:ptCount val="7"/>
                <c:pt idx="0">
                  <c:v>0.80287454195807539</c:v>
                </c:pt>
                <c:pt idx="1">
                  <c:v>0.4122068339824464</c:v>
                </c:pt>
                <c:pt idx="2">
                  <c:v>0.59650741441180077</c:v>
                </c:pt>
                <c:pt idx="3">
                  <c:v>0.49235328491526836</c:v>
                </c:pt>
                <c:pt idx="4">
                  <c:v>0.50443773888553611</c:v>
                </c:pt>
                <c:pt idx="5">
                  <c:v>0.59617724911569592</c:v>
                </c:pt>
                <c:pt idx="6">
                  <c:v>0</c:v>
                </c:pt>
              </c:numCache>
              <c:extLst/>
            </c:numRef>
          </c:val>
          <c:extLst>
            <c:ext xmlns:c16="http://schemas.microsoft.com/office/drawing/2014/chart" uri="{C3380CC4-5D6E-409C-BE32-E72D297353CC}">
              <c16:uniqueId val="{00000001-19D3-4C89-89C7-D419F3F970F5}"/>
            </c:ext>
          </c:extLst>
        </c:ser>
        <c:ser>
          <c:idx val="2"/>
          <c:order val="2"/>
          <c:tx>
            <c:strRef>
              <c:f>'Electric Aggregate'!$A$5</c:f>
              <c:strCache>
                <c:ptCount val="1"/>
                <c:pt idx="0">
                  <c:v>2014</c:v>
                </c:pt>
              </c:strCache>
            </c:strRef>
          </c:tx>
          <c:spPr>
            <a:solidFill>
              <a:schemeClr val="accent3"/>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Aggregate'!$B$5:$V$5</c:f>
              <c:numCache>
                <c:formatCode>0.00%</c:formatCode>
                <c:ptCount val="7"/>
                <c:pt idx="0">
                  <c:v>0.7717967202206012</c:v>
                </c:pt>
                <c:pt idx="1">
                  <c:v>0.598168728256668</c:v>
                </c:pt>
                <c:pt idx="2">
                  <c:v>0.58599867461874211</c:v>
                </c:pt>
                <c:pt idx="3">
                  <c:v>0.66327197915819758</c:v>
                </c:pt>
                <c:pt idx="4">
                  <c:v>0.6781852337127251</c:v>
                </c:pt>
                <c:pt idx="5">
                  <c:v>0.61181437348118128</c:v>
                </c:pt>
                <c:pt idx="6">
                  <c:v>0.42655458438074151</c:v>
                </c:pt>
              </c:numCache>
              <c:extLst/>
            </c:numRef>
          </c:val>
          <c:extLst>
            <c:ext xmlns:c16="http://schemas.microsoft.com/office/drawing/2014/chart" uri="{C3380CC4-5D6E-409C-BE32-E72D297353CC}">
              <c16:uniqueId val="{00000002-19D3-4C89-89C7-D419F3F970F5}"/>
            </c:ext>
          </c:extLst>
        </c:ser>
        <c:ser>
          <c:idx val="3"/>
          <c:order val="3"/>
          <c:tx>
            <c:strRef>
              <c:f>'Electric Aggregate'!$A$6</c:f>
              <c:strCache>
                <c:ptCount val="1"/>
                <c:pt idx="0">
                  <c:v>2015</c:v>
                </c:pt>
              </c:strCache>
            </c:strRef>
          </c:tx>
          <c:spPr>
            <a:solidFill>
              <a:schemeClr val="accent4"/>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Aggregate'!$B$6:$V$6</c:f>
              <c:numCache>
                <c:formatCode>0.00%</c:formatCode>
                <c:ptCount val="7"/>
                <c:pt idx="0">
                  <c:v>0.47196659191091178</c:v>
                </c:pt>
                <c:pt idx="1">
                  <c:v>0.63317442661157897</c:v>
                </c:pt>
                <c:pt idx="2">
                  <c:v>0.59200431751938376</c:v>
                </c:pt>
                <c:pt idx="3">
                  <c:v>0.68920176028128044</c:v>
                </c:pt>
                <c:pt idx="4">
                  <c:v>0.67939909579580648</c:v>
                </c:pt>
                <c:pt idx="5">
                  <c:v>0.64650270827912848</c:v>
                </c:pt>
                <c:pt idx="6">
                  <c:v>0.4357416798444117</c:v>
                </c:pt>
              </c:numCache>
              <c:extLst/>
            </c:numRef>
          </c:val>
          <c:extLst>
            <c:ext xmlns:c16="http://schemas.microsoft.com/office/drawing/2014/chart" uri="{C3380CC4-5D6E-409C-BE32-E72D297353CC}">
              <c16:uniqueId val="{00000003-19D3-4C89-89C7-D419F3F970F5}"/>
            </c:ext>
          </c:extLst>
        </c:ser>
        <c:ser>
          <c:idx val="4"/>
          <c:order val="4"/>
          <c:tx>
            <c:strRef>
              <c:f>'Electric Aggregate'!$A$7</c:f>
              <c:strCache>
                <c:ptCount val="1"/>
                <c:pt idx="0">
                  <c:v>2016</c:v>
                </c:pt>
              </c:strCache>
            </c:strRef>
          </c:tx>
          <c:spPr>
            <a:solidFill>
              <a:schemeClr val="accent5"/>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Aggregate'!$B$7:$V$7</c:f>
              <c:numCache>
                <c:formatCode>0.00%</c:formatCode>
                <c:ptCount val="7"/>
                <c:pt idx="0">
                  <c:v>0.40377942369077668</c:v>
                </c:pt>
                <c:pt idx="1">
                  <c:v>0.66314123075886688</c:v>
                </c:pt>
                <c:pt idx="2">
                  <c:v>0.62442363655715361</c:v>
                </c:pt>
                <c:pt idx="3">
                  <c:v>0.70448011546488265</c:v>
                </c:pt>
                <c:pt idx="4">
                  <c:v>0.69158607174611242</c:v>
                </c:pt>
                <c:pt idx="5">
                  <c:v>0.60324778696839765</c:v>
                </c:pt>
                <c:pt idx="6">
                  <c:v>0.54647430281537135</c:v>
                </c:pt>
              </c:numCache>
              <c:extLst/>
            </c:numRef>
          </c:val>
          <c:extLst>
            <c:ext xmlns:c16="http://schemas.microsoft.com/office/drawing/2014/chart" uri="{C3380CC4-5D6E-409C-BE32-E72D297353CC}">
              <c16:uniqueId val="{00000004-19D3-4C89-89C7-D419F3F970F5}"/>
            </c:ext>
          </c:extLst>
        </c:ser>
        <c:dLbls>
          <c:showLegendKey val="0"/>
          <c:showVal val="0"/>
          <c:showCatName val="0"/>
          <c:showSerName val="0"/>
          <c:showPercent val="0"/>
          <c:showBubbleSize val="0"/>
        </c:dLbls>
        <c:gapWidth val="219"/>
        <c:overlap val="-27"/>
        <c:axId val="506577632"/>
        <c:axId val="506570744"/>
      </c:barChart>
      <c:catAx>
        <c:axId val="5065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570744"/>
        <c:crosses val="autoZero"/>
        <c:auto val="1"/>
        <c:lblAlgn val="ctr"/>
        <c:lblOffset val="100"/>
        <c:noMultiLvlLbl val="0"/>
      </c:catAx>
      <c:valAx>
        <c:axId val="506570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57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'Electric Aggregate'!$A$3</c:f>
              <c:strCache>
                <c:ptCount val="1"/>
                <c:pt idx="0">
                  <c:v>2012</c:v>
                </c:pt>
              </c:strCache>
            </c:strRef>
          </c:tx>
          <c:spPr>
            <a:solidFill>
              <a:schemeClr val="accent1"/>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Aggregate'!$B$3:$V$3</c:f>
              <c:numCache>
                <c:formatCode>0.00%</c:formatCode>
                <c:ptCount val="7"/>
                <c:pt idx="0">
                  <c:v>0.82646331409727947</c:v>
                </c:pt>
                <c:pt idx="1">
                  <c:v>0.51819780428686846</c:v>
                </c:pt>
                <c:pt idx="2">
                  <c:v>0.63192546055756704</c:v>
                </c:pt>
                <c:pt idx="3">
                  <c:v>0.5753822670915566</c:v>
                </c:pt>
                <c:pt idx="4">
                  <c:v>0.607960482568633</c:v>
                </c:pt>
                <c:pt idx="5">
                  <c:v>0.62706510408440475</c:v>
                </c:pt>
                <c:pt idx="6">
                  <c:v>0</c:v>
                </c:pt>
              </c:numCache>
              <c:extLst/>
            </c:numRef>
          </c:val>
          <c:extLst>
            <c:ext xmlns:c16="http://schemas.microsoft.com/office/drawing/2014/chart" uri="{C3380CC4-5D6E-409C-BE32-E72D297353CC}">
              <c16:uniqueId val="{00000000-FD6E-4520-A808-A9136DB35A34}"/>
            </c:ext>
          </c:extLst>
        </c:ser>
        <c:ser>
          <c:idx val="1"/>
          <c:order val="1"/>
          <c:tx>
            <c:strRef>
              <c:f>'Electric Aggregate'!$A$4</c:f>
              <c:strCache>
                <c:ptCount val="1"/>
                <c:pt idx="0">
                  <c:v>2013</c:v>
                </c:pt>
              </c:strCache>
            </c:strRef>
          </c:tx>
          <c:spPr>
            <a:solidFill>
              <a:schemeClr val="accent2"/>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Aggregate'!$B$4:$V$4</c:f>
              <c:numCache>
                <c:formatCode>0.00%</c:formatCode>
                <c:ptCount val="7"/>
                <c:pt idx="0">
                  <c:v>0.83524637681159419</c:v>
                </c:pt>
                <c:pt idx="1">
                  <c:v>0.40031691155286658</c:v>
                </c:pt>
                <c:pt idx="2">
                  <c:v>0.62549108641146633</c:v>
                </c:pt>
                <c:pt idx="3">
                  <c:v>0.46769710992155306</c:v>
                </c:pt>
                <c:pt idx="4">
                  <c:v>0.47265291447575392</c:v>
                </c:pt>
                <c:pt idx="5">
                  <c:v>0.56401865390818207</c:v>
                </c:pt>
                <c:pt idx="6">
                  <c:v>0</c:v>
                </c:pt>
              </c:numCache>
              <c:extLst/>
            </c:numRef>
          </c:val>
          <c:extLst>
            <c:ext xmlns:c16="http://schemas.microsoft.com/office/drawing/2014/chart" uri="{C3380CC4-5D6E-409C-BE32-E72D297353CC}">
              <c16:uniqueId val="{00000001-FD6E-4520-A808-A9136DB35A34}"/>
            </c:ext>
          </c:extLst>
        </c:ser>
        <c:ser>
          <c:idx val="2"/>
          <c:order val="2"/>
          <c:tx>
            <c:strRef>
              <c:f>'Electric Aggregate'!$A$5</c:f>
              <c:strCache>
                <c:ptCount val="1"/>
                <c:pt idx="0">
                  <c:v>2014</c:v>
                </c:pt>
              </c:strCache>
            </c:strRef>
          </c:tx>
          <c:spPr>
            <a:solidFill>
              <a:schemeClr val="accent3"/>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Aggregate'!$B$5:$V$5</c:f>
              <c:numCache>
                <c:formatCode>0.00%</c:formatCode>
                <c:ptCount val="7"/>
                <c:pt idx="0">
                  <c:v>0.7865310122742335</c:v>
                </c:pt>
                <c:pt idx="1">
                  <c:v>0.52958998906398469</c:v>
                </c:pt>
                <c:pt idx="2">
                  <c:v>0.59731938449325583</c:v>
                </c:pt>
                <c:pt idx="3">
                  <c:v>0.60612751178367652</c:v>
                </c:pt>
                <c:pt idx="4">
                  <c:v>0.6126842513576416</c:v>
                </c:pt>
                <c:pt idx="5">
                  <c:v>0.56861557837628374</c:v>
                </c:pt>
                <c:pt idx="6">
                  <c:v>0.44980223849196332</c:v>
                </c:pt>
              </c:numCache>
              <c:extLst/>
            </c:numRef>
          </c:val>
          <c:extLst>
            <c:ext xmlns:c16="http://schemas.microsoft.com/office/drawing/2014/chart" uri="{C3380CC4-5D6E-409C-BE32-E72D297353CC}">
              <c16:uniqueId val="{00000002-FD6E-4520-A808-A9136DB35A34}"/>
            </c:ext>
          </c:extLst>
        </c:ser>
        <c:ser>
          <c:idx val="3"/>
          <c:order val="3"/>
          <c:tx>
            <c:strRef>
              <c:f>'Electric Aggregate'!$A$6</c:f>
              <c:strCache>
                <c:ptCount val="1"/>
                <c:pt idx="0">
                  <c:v>2015</c:v>
                </c:pt>
              </c:strCache>
            </c:strRef>
          </c:tx>
          <c:spPr>
            <a:solidFill>
              <a:schemeClr val="accent4"/>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Aggregate'!$B$6:$V$6</c:f>
              <c:numCache>
                <c:formatCode>0.00%</c:formatCode>
                <c:ptCount val="7"/>
                <c:pt idx="0">
                  <c:v>0.49825951016154246</c:v>
                </c:pt>
                <c:pt idx="1">
                  <c:v>0.56866751971887475</c:v>
                </c:pt>
                <c:pt idx="2">
                  <c:v>0.5886410159871166</c:v>
                </c:pt>
                <c:pt idx="3">
                  <c:v>0.63453753126531032</c:v>
                </c:pt>
                <c:pt idx="4">
                  <c:v>0.63652822151224708</c:v>
                </c:pt>
                <c:pt idx="5">
                  <c:v>0.63086791943639564</c:v>
                </c:pt>
                <c:pt idx="6">
                  <c:v>0.45434380776340111</c:v>
                </c:pt>
              </c:numCache>
              <c:extLst/>
            </c:numRef>
          </c:val>
          <c:extLst>
            <c:ext xmlns:c16="http://schemas.microsoft.com/office/drawing/2014/chart" uri="{C3380CC4-5D6E-409C-BE32-E72D297353CC}">
              <c16:uniqueId val="{00000003-FD6E-4520-A808-A9136DB35A34}"/>
            </c:ext>
          </c:extLst>
        </c:ser>
        <c:ser>
          <c:idx val="4"/>
          <c:order val="4"/>
          <c:tx>
            <c:strRef>
              <c:f>'Electric Aggregate'!$A$7</c:f>
              <c:strCache>
                <c:ptCount val="1"/>
                <c:pt idx="0">
                  <c:v>2016</c:v>
                </c:pt>
              </c:strCache>
            </c:strRef>
          </c:tx>
          <c:spPr>
            <a:solidFill>
              <a:schemeClr val="accent5"/>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Aggregate'!$B$7:$V$7</c:f>
              <c:numCache>
                <c:formatCode>0.00%</c:formatCode>
                <c:ptCount val="7"/>
                <c:pt idx="0">
                  <c:v>0.44801093340228271</c:v>
                </c:pt>
                <c:pt idx="1">
                  <c:v>0.5909127285822896</c:v>
                </c:pt>
                <c:pt idx="2">
                  <c:v>0.62492580040754642</c:v>
                </c:pt>
                <c:pt idx="3">
                  <c:v>0.64550224887556218</c:v>
                </c:pt>
                <c:pt idx="4">
                  <c:v>0.63132230614781526</c:v>
                </c:pt>
                <c:pt idx="5">
                  <c:v>0.57907499303369314</c:v>
                </c:pt>
                <c:pt idx="6">
                  <c:v>0.51043805117825647</c:v>
                </c:pt>
              </c:numCache>
              <c:extLst/>
            </c:numRef>
          </c:val>
          <c:extLst>
            <c:ext xmlns:c16="http://schemas.microsoft.com/office/drawing/2014/chart" uri="{C3380CC4-5D6E-409C-BE32-E72D297353CC}">
              <c16:uniqueId val="{00000004-FD6E-4520-A808-A9136DB35A34}"/>
            </c:ext>
          </c:extLst>
        </c:ser>
        <c:dLbls>
          <c:showLegendKey val="0"/>
          <c:showVal val="0"/>
          <c:showCatName val="0"/>
          <c:showSerName val="0"/>
          <c:showPercent val="0"/>
          <c:showBubbleSize val="0"/>
        </c:dLbls>
        <c:gapWidth val="219"/>
        <c:overlap val="-27"/>
        <c:axId val="506577632"/>
        <c:axId val="506570744"/>
      </c:barChart>
      <c:catAx>
        <c:axId val="5065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6570744"/>
        <c:crosses val="autoZero"/>
        <c:auto val="1"/>
        <c:lblAlgn val="ctr"/>
        <c:lblOffset val="100"/>
        <c:noMultiLvlLbl val="0"/>
      </c:catAx>
      <c:valAx>
        <c:axId val="506570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657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'Electric Aggregate'!$A$3</c:f>
              <c:strCache>
                <c:ptCount val="1"/>
                <c:pt idx="0">
                  <c:v>2012</c:v>
                </c:pt>
              </c:strCache>
            </c:strRef>
          </c:tx>
          <c:spPr>
            <a:solidFill>
              <a:schemeClr val="accent1"/>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Aggregate'!$B$3:$V$3</c:f>
              <c:numCache>
                <c:formatCode>0.00%</c:formatCode>
                <c:ptCount val="7"/>
                <c:pt idx="0">
                  <c:v>0.79182124722415126</c:v>
                </c:pt>
                <c:pt idx="1">
                  <c:v>0.49399398434386932</c:v>
                </c:pt>
                <c:pt idx="2">
                  <c:v>0.60074063520741372</c:v>
                </c:pt>
                <c:pt idx="3">
                  <c:v>0.51740352581898941</c:v>
                </c:pt>
                <c:pt idx="4">
                  <c:v>0.57204609674647677</c:v>
                </c:pt>
                <c:pt idx="5">
                  <c:v>0.62706510408440475</c:v>
                </c:pt>
                <c:pt idx="6">
                  <c:v>0</c:v>
                </c:pt>
              </c:numCache>
              <c:extLst/>
            </c:numRef>
          </c:val>
          <c:extLst>
            <c:ext xmlns:c16="http://schemas.microsoft.com/office/drawing/2014/chart" uri="{C3380CC4-5D6E-409C-BE32-E72D297353CC}">
              <c16:uniqueId val="{00000000-90FC-462B-B078-C0D5FFB45375}"/>
            </c:ext>
          </c:extLst>
        </c:ser>
        <c:ser>
          <c:idx val="1"/>
          <c:order val="1"/>
          <c:tx>
            <c:strRef>
              <c:f>'Electric Aggregate'!$A$4</c:f>
              <c:strCache>
                <c:ptCount val="1"/>
                <c:pt idx="0">
                  <c:v>2013</c:v>
                </c:pt>
              </c:strCache>
            </c:strRef>
          </c:tx>
          <c:spPr>
            <a:solidFill>
              <a:schemeClr val="accent2"/>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Aggregate'!$B$4:$V$4</c:f>
              <c:numCache>
                <c:formatCode>0.00%</c:formatCode>
                <c:ptCount val="7"/>
                <c:pt idx="0">
                  <c:v>0.79915137388354462</c:v>
                </c:pt>
                <c:pt idx="1">
                  <c:v>0.416405539955778</c:v>
                </c:pt>
                <c:pt idx="2">
                  <c:v>0.59115018857650181</c:v>
                </c:pt>
                <c:pt idx="3">
                  <c:v>0.4967878714754615</c:v>
                </c:pt>
                <c:pt idx="4">
                  <c:v>0.51136987375519483</c:v>
                </c:pt>
                <c:pt idx="5">
                  <c:v>0.56401865390818184</c:v>
                </c:pt>
                <c:pt idx="6">
                  <c:v>0</c:v>
                </c:pt>
              </c:numCache>
              <c:extLst/>
            </c:numRef>
          </c:val>
          <c:extLst>
            <c:ext xmlns:c16="http://schemas.microsoft.com/office/drawing/2014/chart" uri="{C3380CC4-5D6E-409C-BE32-E72D297353CC}">
              <c16:uniqueId val="{00000001-90FC-462B-B078-C0D5FFB45375}"/>
            </c:ext>
          </c:extLst>
        </c:ser>
        <c:ser>
          <c:idx val="2"/>
          <c:order val="2"/>
          <c:tx>
            <c:strRef>
              <c:f>'Electric Aggregate'!$A$5</c:f>
              <c:strCache>
                <c:ptCount val="1"/>
                <c:pt idx="0">
                  <c:v>2014</c:v>
                </c:pt>
              </c:strCache>
            </c:strRef>
          </c:tx>
          <c:spPr>
            <a:solidFill>
              <a:schemeClr val="accent3"/>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Aggregate'!$B$5:$V$5</c:f>
              <c:numCache>
                <c:formatCode>0.00%</c:formatCode>
                <c:ptCount val="7"/>
                <c:pt idx="0">
                  <c:v>0.77001243359330851</c:v>
                </c:pt>
                <c:pt idx="1">
                  <c:v>0.6234712033919606</c:v>
                </c:pt>
                <c:pt idx="2">
                  <c:v>0.5841571725698651</c:v>
                </c:pt>
                <c:pt idx="3">
                  <c:v>0.67276767127127624</c:v>
                </c:pt>
                <c:pt idx="4">
                  <c:v>0.69092108984632794</c:v>
                </c:pt>
                <c:pt idx="5">
                  <c:v>0.56861557837628351</c:v>
                </c:pt>
                <c:pt idx="6">
                  <c:v>0.41967412366563556</c:v>
                </c:pt>
              </c:numCache>
              <c:extLst/>
            </c:numRef>
          </c:val>
          <c:extLst>
            <c:ext xmlns:c16="http://schemas.microsoft.com/office/drawing/2014/chart" uri="{C3380CC4-5D6E-409C-BE32-E72D297353CC}">
              <c16:uniqueId val="{00000002-90FC-462B-B078-C0D5FFB45375}"/>
            </c:ext>
          </c:extLst>
        </c:ser>
        <c:ser>
          <c:idx val="3"/>
          <c:order val="3"/>
          <c:tx>
            <c:strRef>
              <c:f>'Electric Aggregate'!$A$6</c:f>
              <c:strCache>
                <c:ptCount val="1"/>
                <c:pt idx="0">
                  <c:v>2015</c:v>
                </c:pt>
              </c:strCache>
            </c:strRef>
          </c:tx>
          <c:spPr>
            <a:solidFill>
              <a:schemeClr val="accent4"/>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Aggregate'!$B$6:$V$6</c:f>
              <c:numCache>
                <c:formatCode>0.00%</c:formatCode>
                <c:ptCount val="7"/>
                <c:pt idx="0">
                  <c:v>0.46863613801260995</c:v>
                </c:pt>
                <c:pt idx="1">
                  <c:v>0.65793196461162951</c:v>
                </c:pt>
                <c:pt idx="2">
                  <c:v>0.5926348112342934</c:v>
                </c:pt>
                <c:pt idx="3">
                  <c:v>0.69864105509693386</c:v>
                </c:pt>
                <c:pt idx="4">
                  <c:v>0.68800222260215427</c:v>
                </c:pt>
                <c:pt idx="5">
                  <c:v>0.63086791943639586</c:v>
                </c:pt>
                <c:pt idx="6">
                  <c:v>0.42999547974210739</c:v>
                </c:pt>
              </c:numCache>
              <c:extLst/>
            </c:numRef>
          </c:val>
          <c:extLst>
            <c:ext xmlns:c16="http://schemas.microsoft.com/office/drawing/2014/chart" uri="{C3380CC4-5D6E-409C-BE32-E72D297353CC}">
              <c16:uniqueId val="{00000003-90FC-462B-B078-C0D5FFB45375}"/>
            </c:ext>
          </c:extLst>
        </c:ser>
        <c:ser>
          <c:idx val="4"/>
          <c:order val="4"/>
          <c:tx>
            <c:strRef>
              <c:f>'Electric Aggregate'!$A$7</c:f>
              <c:strCache>
                <c:ptCount val="1"/>
                <c:pt idx="0">
                  <c:v>2016</c:v>
                </c:pt>
              </c:strCache>
            </c:strRef>
          </c:tx>
          <c:spPr>
            <a:solidFill>
              <a:schemeClr val="accent5"/>
            </a:solidFill>
            <a:ln>
              <a:noFill/>
            </a:ln>
            <a:effectLst/>
          </c:spPr>
          <c:invertIfNegative val="0"/>
          <c:cat>
            <c:strRef>
              <c:f>'Electric Aggregate'!$B$1:$V$2</c:f>
              <c:strCache>
                <c:ptCount val="7"/>
                <c:pt idx="0">
                  <c:v>Duquesne </c:v>
                </c:pt>
                <c:pt idx="1">
                  <c:v>Met Ed </c:v>
                </c:pt>
                <c:pt idx="2">
                  <c:v>PECO Electric </c:v>
                </c:pt>
                <c:pt idx="3">
                  <c:v>Penelec </c:v>
                </c:pt>
                <c:pt idx="4">
                  <c:v>Penn Power </c:v>
                </c:pt>
                <c:pt idx="5">
                  <c:v>PPL </c:v>
                </c:pt>
                <c:pt idx="6">
                  <c:v>West Penn </c:v>
                </c:pt>
              </c:strCache>
              <c:extLst/>
            </c:strRef>
          </c:cat>
          <c:val>
            <c:numRef>
              <c:f>'Electric Aggregate'!$B$7:$V$7</c:f>
              <c:numCache>
                <c:formatCode>0.00%</c:formatCode>
                <c:ptCount val="7"/>
                <c:pt idx="0">
                  <c:v>0.3981836066646261</c:v>
                </c:pt>
                <c:pt idx="1">
                  <c:v>0.69131187964292407</c:v>
                </c:pt>
                <c:pt idx="2">
                  <c:v>0.62427333257971818</c:v>
                </c:pt>
                <c:pt idx="3">
                  <c:v>0.71539048235375691</c:v>
                </c:pt>
                <c:pt idx="4">
                  <c:v>0.70570187225656189</c:v>
                </c:pt>
                <c:pt idx="5">
                  <c:v>0.57907499303369336</c:v>
                </c:pt>
                <c:pt idx="6">
                  <c:v>0.55800399644760212</c:v>
                </c:pt>
              </c:numCache>
              <c:extLst/>
            </c:numRef>
          </c:val>
          <c:extLst>
            <c:ext xmlns:c16="http://schemas.microsoft.com/office/drawing/2014/chart" uri="{C3380CC4-5D6E-409C-BE32-E72D297353CC}">
              <c16:uniqueId val="{00000004-90FC-462B-B078-C0D5FFB45375}"/>
            </c:ext>
          </c:extLst>
        </c:ser>
        <c:dLbls>
          <c:showLegendKey val="0"/>
          <c:showVal val="0"/>
          <c:showCatName val="0"/>
          <c:showSerName val="0"/>
          <c:showPercent val="0"/>
          <c:showBubbleSize val="0"/>
        </c:dLbls>
        <c:gapWidth val="219"/>
        <c:overlap val="-27"/>
        <c:axId val="506577632"/>
        <c:axId val="506570744"/>
      </c:barChart>
      <c:catAx>
        <c:axId val="5065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6570744"/>
        <c:crosses val="autoZero"/>
        <c:auto val="1"/>
        <c:lblAlgn val="ctr"/>
        <c:lblOffset val="100"/>
        <c:noMultiLvlLbl val="0"/>
      </c:catAx>
      <c:valAx>
        <c:axId val="506570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657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1" baseline="0">
                <a:effectLst/>
              </a:rPr>
              <a:t>Green shaded area reflects CAP Policy Statement </a:t>
            </a:r>
            <a:endParaRPr lang="en-US" sz="1000">
              <a:effectLst/>
            </a:endParaRPr>
          </a:p>
          <a:p>
            <a:pPr>
              <a:defRPr/>
            </a:pPr>
            <a:r>
              <a:rPr lang="en-US" sz="1000" b="0" i="1" baseline="0">
                <a:effectLst/>
              </a:rPr>
              <a:t>Max Energy Burden Level Range (5-8%)</a:t>
            </a:r>
            <a:endParaRPr lang="en-US"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CAP!$B$62</c:f>
              <c:strCache>
                <c:ptCount val="1"/>
                <c:pt idx="0">
                  <c:v>2012</c:v>
                </c:pt>
              </c:strCache>
            </c:strRef>
          </c:tx>
          <c:spPr>
            <a:solidFill>
              <a:schemeClr val="accent1"/>
            </a:solidFill>
            <a:ln>
              <a:noFill/>
            </a:ln>
            <a:effectLst/>
          </c:spPr>
          <c:invertIfNegative val="0"/>
          <c:cat>
            <c:strRef>
              <c:f>CAP!$A$63:$A$71</c:f>
              <c:strCache>
                <c:ptCount val="7"/>
                <c:pt idx="0">
                  <c:v>Columbia</c:v>
                </c:pt>
                <c:pt idx="1">
                  <c:v>PECO Gas</c:v>
                </c:pt>
                <c:pt idx="2">
                  <c:v>Peoples</c:v>
                </c:pt>
                <c:pt idx="3">
                  <c:v>EQT</c:v>
                </c:pt>
                <c:pt idx="4">
                  <c:v>PGW</c:v>
                </c:pt>
                <c:pt idx="5">
                  <c:v>UGI Gas</c:v>
                </c:pt>
                <c:pt idx="6">
                  <c:v>UGI PNG</c:v>
                </c:pt>
              </c:strCache>
              <c:extLst/>
            </c:strRef>
          </c:cat>
          <c:val>
            <c:numRef>
              <c:f>CAP!$B$63:$B$71</c:f>
              <c:numCache>
                <c:formatCode>0.00</c:formatCode>
                <c:ptCount val="7"/>
                <c:pt idx="0">
                  <c:v>10.42</c:v>
                </c:pt>
                <c:pt idx="1">
                  <c:v>21.43</c:v>
                </c:pt>
                <c:pt idx="2">
                  <c:v>8.0299999999999994</c:v>
                </c:pt>
                <c:pt idx="3">
                  <c:v>9.4499999999999993</c:v>
                </c:pt>
                <c:pt idx="4">
                  <c:v>5.82</c:v>
                </c:pt>
                <c:pt idx="5">
                  <c:v>9.81</c:v>
                </c:pt>
                <c:pt idx="6">
                  <c:v>11.43</c:v>
                </c:pt>
              </c:numCache>
              <c:extLst/>
            </c:numRef>
          </c:val>
          <c:extLst>
            <c:ext xmlns:c16="http://schemas.microsoft.com/office/drawing/2014/chart" uri="{C3380CC4-5D6E-409C-BE32-E72D297353CC}">
              <c16:uniqueId val="{00000000-F623-4D06-A57A-C9B0B8E5E2F5}"/>
            </c:ext>
          </c:extLst>
        </c:ser>
        <c:ser>
          <c:idx val="1"/>
          <c:order val="1"/>
          <c:tx>
            <c:strRef>
              <c:f>CAP!$C$62</c:f>
              <c:strCache>
                <c:ptCount val="1"/>
                <c:pt idx="0">
                  <c:v>2013</c:v>
                </c:pt>
              </c:strCache>
            </c:strRef>
          </c:tx>
          <c:spPr>
            <a:solidFill>
              <a:schemeClr val="accent2"/>
            </a:solidFill>
            <a:ln>
              <a:noFill/>
            </a:ln>
            <a:effectLst/>
          </c:spPr>
          <c:invertIfNegative val="0"/>
          <c:cat>
            <c:strRef>
              <c:f>CAP!$A$63:$A$71</c:f>
              <c:strCache>
                <c:ptCount val="7"/>
                <c:pt idx="0">
                  <c:v>Columbia</c:v>
                </c:pt>
                <c:pt idx="1">
                  <c:v>PECO Gas</c:v>
                </c:pt>
                <c:pt idx="2">
                  <c:v>Peoples</c:v>
                </c:pt>
                <c:pt idx="3">
                  <c:v>EQT</c:v>
                </c:pt>
                <c:pt idx="4">
                  <c:v>PGW</c:v>
                </c:pt>
                <c:pt idx="5">
                  <c:v>UGI Gas</c:v>
                </c:pt>
                <c:pt idx="6">
                  <c:v>UGI PNG</c:v>
                </c:pt>
              </c:strCache>
              <c:extLst/>
            </c:strRef>
          </c:cat>
          <c:val>
            <c:numRef>
              <c:f>CAP!$C$63:$C$71</c:f>
              <c:numCache>
                <c:formatCode>0.00</c:formatCode>
                <c:ptCount val="7"/>
                <c:pt idx="0">
                  <c:v>10.73</c:v>
                </c:pt>
                <c:pt idx="1">
                  <c:v>20.76</c:v>
                </c:pt>
                <c:pt idx="2">
                  <c:v>7.21</c:v>
                </c:pt>
                <c:pt idx="3">
                  <c:v>9.31</c:v>
                </c:pt>
                <c:pt idx="4">
                  <c:v>6.07</c:v>
                </c:pt>
                <c:pt idx="5">
                  <c:v>9.33</c:v>
                </c:pt>
                <c:pt idx="6">
                  <c:v>9.9499999999999993</c:v>
                </c:pt>
              </c:numCache>
              <c:extLst/>
            </c:numRef>
          </c:val>
          <c:extLst>
            <c:ext xmlns:c16="http://schemas.microsoft.com/office/drawing/2014/chart" uri="{C3380CC4-5D6E-409C-BE32-E72D297353CC}">
              <c16:uniqueId val="{00000001-F623-4D06-A57A-C9B0B8E5E2F5}"/>
            </c:ext>
          </c:extLst>
        </c:ser>
        <c:ser>
          <c:idx val="2"/>
          <c:order val="2"/>
          <c:tx>
            <c:strRef>
              <c:f>CAP!$D$62</c:f>
              <c:strCache>
                <c:ptCount val="1"/>
                <c:pt idx="0">
                  <c:v>2014</c:v>
                </c:pt>
              </c:strCache>
            </c:strRef>
          </c:tx>
          <c:spPr>
            <a:solidFill>
              <a:schemeClr val="accent3"/>
            </a:solidFill>
            <a:ln>
              <a:noFill/>
            </a:ln>
            <a:effectLst/>
          </c:spPr>
          <c:invertIfNegative val="0"/>
          <c:cat>
            <c:strRef>
              <c:f>CAP!$A$63:$A$71</c:f>
              <c:strCache>
                <c:ptCount val="7"/>
                <c:pt idx="0">
                  <c:v>Columbia</c:v>
                </c:pt>
                <c:pt idx="1">
                  <c:v>PECO Gas</c:v>
                </c:pt>
                <c:pt idx="2">
                  <c:v>Peoples</c:v>
                </c:pt>
                <c:pt idx="3">
                  <c:v>EQT</c:v>
                </c:pt>
                <c:pt idx="4">
                  <c:v>PGW</c:v>
                </c:pt>
                <c:pt idx="5">
                  <c:v>UGI Gas</c:v>
                </c:pt>
                <c:pt idx="6">
                  <c:v>UGI PNG</c:v>
                </c:pt>
              </c:strCache>
              <c:extLst/>
            </c:strRef>
          </c:cat>
          <c:val>
            <c:numRef>
              <c:f>CAP!$D$63:$D$71</c:f>
              <c:numCache>
                <c:formatCode>0.00</c:formatCode>
                <c:ptCount val="7"/>
                <c:pt idx="0">
                  <c:v>10.55</c:v>
                </c:pt>
                <c:pt idx="1">
                  <c:v>21.81</c:v>
                </c:pt>
                <c:pt idx="2">
                  <c:v>7.27</c:v>
                </c:pt>
                <c:pt idx="3">
                  <c:v>8.01</c:v>
                </c:pt>
                <c:pt idx="4">
                  <c:v>6.6</c:v>
                </c:pt>
                <c:pt idx="5">
                  <c:v>9.51</c:v>
                </c:pt>
                <c:pt idx="6">
                  <c:v>9.99</c:v>
                </c:pt>
              </c:numCache>
              <c:extLst/>
            </c:numRef>
          </c:val>
          <c:extLst>
            <c:ext xmlns:c16="http://schemas.microsoft.com/office/drawing/2014/chart" uri="{C3380CC4-5D6E-409C-BE32-E72D297353CC}">
              <c16:uniqueId val="{00000002-F623-4D06-A57A-C9B0B8E5E2F5}"/>
            </c:ext>
          </c:extLst>
        </c:ser>
        <c:ser>
          <c:idx val="3"/>
          <c:order val="3"/>
          <c:tx>
            <c:strRef>
              <c:f>CAP!$E$62</c:f>
              <c:strCache>
                <c:ptCount val="1"/>
                <c:pt idx="0">
                  <c:v>2015</c:v>
                </c:pt>
              </c:strCache>
            </c:strRef>
          </c:tx>
          <c:spPr>
            <a:solidFill>
              <a:schemeClr val="accent4"/>
            </a:solidFill>
            <a:ln>
              <a:noFill/>
            </a:ln>
            <a:effectLst/>
          </c:spPr>
          <c:invertIfNegative val="0"/>
          <c:cat>
            <c:strRef>
              <c:f>CAP!$A$63:$A$71</c:f>
              <c:strCache>
                <c:ptCount val="7"/>
                <c:pt idx="0">
                  <c:v>Columbia</c:v>
                </c:pt>
                <c:pt idx="1">
                  <c:v>PECO Gas</c:v>
                </c:pt>
                <c:pt idx="2">
                  <c:v>Peoples</c:v>
                </c:pt>
                <c:pt idx="3">
                  <c:v>EQT</c:v>
                </c:pt>
                <c:pt idx="4">
                  <c:v>PGW</c:v>
                </c:pt>
                <c:pt idx="5">
                  <c:v>UGI Gas</c:v>
                </c:pt>
                <c:pt idx="6">
                  <c:v>UGI PNG</c:v>
                </c:pt>
              </c:strCache>
              <c:extLst/>
            </c:strRef>
          </c:cat>
          <c:val>
            <c:numRef>
              <c:f>CAP!$E$63:$E$71</c:f>
              <c:numCache>
                <c:formatCode>0.00</c:formatCode>
                <c:ptCount val="7"/>
                <c:pt idx="0">
                  <c:v>10.36</c:v>
                </c:pt>
                <c:pt idx="1">
                  <c:v>19.95</c:v>
                </c:pt>
                <c:pt idx="2">
                  <c:v>8.2799999999999994</c:v>
                </c:pt>
                <c:pt idx="3">
                  <c:v>5.29</c:v>
                </c:pt>
                <c:pt idx="4">
                  <c:v>7.2</c:v>
                </c:pt>
                <c:pt idx="5">
                  <c:v>9.17</c:v>
                </c:pt>
                <c:pt idx="6">
                  <c:v>9.89</c:v>
                </c:pt>
              </c:numCache>
              <c:extLst/>
            </c:numRef>
          </c:val>
          <c:extLst>
            <c:ext xmlns:c16="http://schemas.microsoft.com/office/drawing/2014/chart" uri="{C3380CC4-5D6E-409C-BE32-E72D297353CC}">
              <c16:uniqueId val="{00000003-F623-4D06-A57A-C9B0B8E5E2F5}"/>
            </c:ext>
          </c:extLst>
        </c:ser>
        <c:ser>
          <c:idx val="4"/>
          <c:order val="4"/>
          <c:tx>
            <c:strRef>
              <c:f>CAP!$F$62</c:f>
              <c:strCache>
                <c:ptCount val="1"/>
                <c:pt idx="0">
                  <c:v>2016</c:v>
                </c:pt>
              </c:strCache>
            </c:strRef>
          </c:tx>
          <c:spPr>
            <a:solidFill>
              <a:schemeClr val="accent5"/>
            </a:solidFill>
            <a:ln>
              <a:noFill/>
            </a:ln>
            <a:effectLst/>
          </c:spPr>
          <c:invertIfNegative val="0"/>
          <c:cat>
            <c:strRef>
              <c:f>CAP!$A$63:$A$71</c:f>
              <c:strCache>
                <c:ptCount val="7"/>
                <c:pt idx="0">
                  <c:v>Columbia</c:v>
                </c:pt>
                <c:pt idx="1">
                  <c:v>PECO Gas</c:v>
                </c:pt>
                <c:pt idx="2">
                  <c:v>Peoples</c:v>
                </c:pt>
                <c:pt idx="3">
                  <c:v>EQT</c:v>
                </c:pt>
                <c:pt idx="4">
                  <c:v>PGW</c:v>
                </c:pt>
                <c:pt idx="5">
                  <c:v>UGI Gas</c:v>
                </c:pt>
                <c:pt idx="6">
                  <c:v>UGI PNG</c:v>
                </c:pt>
              </c:strCache>
              <c:extLst/>
            </c:strRef>
          </c:cat>
          <c:val>
            <c:numRef>
              <c:f>CAP!$F$63:$F$71</c:f>
              <c:numCache>
                <c:formatCode>0.00</c:formatCode>
                <c:ptCount val="7"/>
                <c:pt idx="0">
                  <c:v>10.37</c:v>
                </c:pt>
                <c:pt idx="1">
                  <c:v>17.170000000000002</c:v>
                </c:pt>
                <c:pt idx="2">
                  <c:v>8.18</c:v>
                </c:pt>
                <c:pt idx="3">
                  <c:v>8.6300000000000008</c:v>
                </c:pt>
                <c:pt idx="4">
                  <c:v>7.82</c:v>
                </c:pt>
                <c:pt idx="5">
                  <c:v>7.39</c:v>
                </c:pt>
                <c:pt idx="6">
                  <c:v>7.5</c:v>
                </c:pt>
              </c:numCache>
              <c:extLst/>
            </c:numRef>
          </c:val>
          <c:extLst>
            <c:ext xmlns:c16="http://schemas.microsoft.com/office/drawing/2014/chart" uri="{C3380CC4-5D6E-409C-BE32-E72D297353CC}">
              <c16:uniqueId val="{00000004-F623-4D06-A57A-C9B0B8E5E2F5}"/>
            </c:ext>
          </c:extLst>
        </c:ser>
        <c:dLbls>
          <c:showLegendKey val="0"/>
          <c:showVal val="0"/>
          <c:showCatName val="0"/>
          <c:showSerName val="0"/>
          <c:showPercent val="0"/>
          <c:showBubbleSize val="0"/>
        </c:dLbls>
        <c:gapWidth val="219"/>
        <c:overlap val="-27"/>
        <c:axId val="620356120"/>
        <c:axId val="620358744"/>
      </c:barChart>
      <c:catAx>
        <c:axId val="62035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358744"/>
        <c:crosses val="autoZero"/>
        <c:auto val="0"/>
        <c:lblAlgn val="ctr"/>
        <c:lblOffset val="100"/>
        <c:noMultiLvlLbl val="0"/>
      </c:catAx>
      <c:valAx>
        <c:axId val="620358744"/>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a:t>
                </a:r>
                <a:r>
                  <a:rPr lang="en-US" baseline="0"/>
                  <a:t> Burden Level</a:t>
                </a:r>
                <a:endParaRPr lang="en-US"/>
              </a:p>
            </c:rich>
          </c:tx>
          <c:layout>
            <c:manualLayout>
              <c:xMode val="edge"/>
              <c:yMode val="edge"/>
              <c:x val="1.7917133258678612E-2"/>
              <c:y val="0.348952864811245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35612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 by Poverty'!$A$3</c:f>
              <c:strCache>
                <c:ptCount val="1"/>
                <c:pt idx="0">
                  <c:v>2012</c:v>
                </c:pt>
              </c:strCache>
            </c:strRef>
          </c:tx>
          <c:spPr>
            <a:solidFill>
              <a:schemeClr val="accent1"/>
            </a:solidFill>
            <a:ln>
              <a:noFill/>
            </a:ln>
            <a:effectLst/>
          </c:spPr>
          <c:invertIfNegative val="0"/>
          <c:cat>
            <c:strRef>
              <c:f>'Gas by Poverty'!$B$2:$J$2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Poverty'!$B$3:$J$3</c:f>
              <c:numCache>
                <c:formatCode>General</c:formatCode>
                <c:ptCount val="9"/>
                <c:pt idx="0" formatCode="0.00%">
                  <c:v>0.67849689767052113</c:v>
                </c:pt>
                <c:pt idx="2" formatCode="0.00%">
                  <c:v>0.52639790093252492</c:v>
                </c:pt>
                <c:pt idx="3" formatCode="0.00%">
                  <c:v>0.57108679452484612</c:v>
                </c:pt>
                <c:pt idx="4" formatCode="0.00%">
                  <c:v>0.47937636761487967</c:v>
                </c:pt>
                <c:pt idx="5" formatCode="0.00%">
                  <c:v>0.73347778981581802</c:v>
                </c:pt>
                <c:pt idx="6" formatCode="0.00%">
                  <c:v>0.60060717644794515</c:v>
                </c:pt>
                <c:pt idx="7" formatCode="0.00%">
                  <c:v>0.92701264651449722</c:v>
                </c:pt>
                <c:pt idx="8" formatCode="0.00%">
                  <c:v>0.91151960784313724</c:v>
                </c:pt>
              </c:numCache>
            </c:numRef>
          </c:val>
          <c:extLst>
            <c:ext xmlns:c16="http://schemas.microsoft.com/office/drawing/2014/chart" uri="{C3380CC4-5D6E-409C-BE32-E72D297353CC}">
              <c16:uniqueId val="{00000000-F57B-47BE-A32B-ECD54203252A}"/>
            </c:ext>
          </c:extLst>
        </c:ser>
        <c:ser>
          <c:idx val="1"/>
          <c:order val="1"/>
          <c:tx>
            <c:strRef>
              <c:f>'Gas by Poverty'!$A$4</c:f>
              <c:strCache>
                <c:ptCount val="1"/>
                <c:pt idx="0">
                  <c:v>2013</c:v>
                </c:pt>
              </c:strCache>
            </c:strRef>
          </c:tx>
          <c:spPr>
            <a:solidFill>
              <a:schemeClr val="accent2"/>
            </a:solidFill>
            <a:ln>
              <a:noFill/>
            </a:ln>
            <a:effectLst/>
          </c:spPr>
          <c:invertIfNegative val="0"/>
          <c:cat>
            <c:strRef>
              <c:f>'Gas by Poverty'!$B$2:$J$2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Poverty'!$B$4:$J$4</c:f>
              <c:numCache>
                <c:formatCode>General</c:formatCode>
                <c:ptCount val="9"/>
                <c:pt idx="0" formatCode="0.00%">
                  <c:v>0.66204717836208338</c:v>
                </c:pt>
                <c:pt idx="2" formatCode="0.00%">
                  <c:v>0.51649912179079938</c:v>
                </c:pt>
                <c:pt idx="3" formatCode="0.00%">
                  <c:v>0.54633416617597907</c:v>
                </c:pt>
                <c:pt idx="4" formatCode="0.00%">
                  <c:v>0.38822011028980408</c:v>
                </c:pt>
                <c:pt idx="5" formatCode="0.00%">
                  <c:v>0.7666814243248371</c:v>
                </c:pt>
                <c:pt idx="6" formatCode="0.00%">
                  <c:v>0.57335074505048622</c:v>
                </c:pt>
                <c:pt idx="7" formatCode="0.00%">
                  <c:v>0.92488834754364591</c:v>
                </c:pt>
                <c:pt idx="8" formatCode="0.00%">
                  <c:v>0.91835633335903166</c:v>
                </c:pt>
              </c:numCache>
            </c:numRef>
          </c:val>
          <c:extLst>
            <c:ext xmlns:c16="http://schemas.microsoft.com/office/drawing/2014/chart" uri="{C3380CC4-5D6E-409C-BE32-E72D297353CC}">
              <c16:uniqueId val="{00000001-F57B-47BE-A32B-ECD54203252A}"/>
            </c:ext>
          </c:extLst>
        </c:ser>
        <c:ser>
          <c:idx val="2"/>
          <c:order val="2"/>
          <c:tx>
            <c:strRef>
              <c:f>'Gas by Poverty'!$A$5</c:f>
              <c:strCache>
                <c:ptCount val="1"/>
                <c:pt idx="0">
                  <c:v>2014</c:v>
                </c:pt>
              </c:strCache>
            </c:strRef>
          </c:tx>
          <c:spPr>
            <a:solidFill>
              <a:schemeClr val="accent3"/>
            </a:solidFill>
            <a:ln>
              <a:noFill/>
            </a:ln>
            <a:effectLst/>
          </c:spPr>
          <c:invertIfNegative val="0"/>
          <c:cat>
            <c:strRef>
              <c:f>'Gas by Poverty'!$B$2:$J$2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Poverty'!$B$5:$J$5</c:f>
              <c:numCache>
                <c:formatCode>General</c:formatCode>
                <c:ptCount val="9"/>
                <c:pt idx="0" formatCode="0.00%">
                  <c:v>0.65470078683656396</c:v>
                </c:pt>
                <c:pt idx="2" formatCode="0.00%">
                  <c:v>0.51390828250165355</c:v>
                </c:pt>
                <c:pt idx="3" formatCode="0.00%">
                  <c:v>0.51394709271870087</c:v>
                </c:pt>
                <c:pt idx="4" formatCode="0.00%">
                  <c:v>0.33823078652144595</c:v>
                </c:pt>
                <c:pt idx="5" formatCode="0.00%">
                  <c:v>0.75805286176079101</c:v>
                </c:pt>
                <c:pt idx="6" formatCode="0.00%">
                  <c:v>0.59403482639997163</c:v>
                </c:pt>
                <c:pt idx="7" formatCode="0.00%">
                  <c:v>0.93444424098150525</c:v>
                </c:pt>
                <c:pt idx="8" formatCode="0.00%">
                  <c:v>0.93028741697187911</c:v>
                </c:pt>
              </c:numCache>
            </c:numRef>
          </c:val>
          <c:extLst>
            <c:ext xmlns:c16="http://schemas.microsoft.com/office/drawing/2014/chart" uri="{C3380CC4-5D6E-409C-BE32-E72D297353CC}">
              <c16:uniqueId val="{00000002-F57B-47BE-A32B-ECD54203252A}"/>
            </c:ext>
          </c:extLst>
        </c:ser>
        <c:ser>
          <c:idx val="3"/>
          <c:order val="3"/>
          <c:tx>
            <c:strRef>
              <c:f>'Gas by Poverty'!$A$6</c:f>
              <c:strCache>
                <c:ptCount val="1"/>
                <c:pt idx="0">
                  <c:v>2015</c:v>
                </c:pt>
              </c:strCache>
            </c:strRef>
          </c:tx>
          <c:spPr>
            <a:solidFill>
              <a:schemeClr val="accent4"/>
            </a:solidFill>
            <a:ln>
              <a:noFill/>
            </a:ln>
            <a:effectLst/>
          </c:spPr>
          <c:invertIfNegative val="0"/>
          <c:cat>
            <c:strRef>
              <c:f>'Gas by Poverty'!$B$2:$J$2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Poverty'!$B$6:$J$6</c:f>
              <c:numCache>
                <c:formatCode>General</c:formatCode>
                <c:ptCount val="9"/>
                <c:pt idx="0" formatCode="0.00%">
                  <c:v>0.65718248109943234</c:v>
                </c:pt>
                <c:pt idx="2" formatCode="0.00%">
                  <c:v>0.52508964009740566</c:v>
                </c:pt>
                <c:pt idx="3" formatCode="0.00%">
                  <c:v>0.52399293630156984</c:v>
                </c:pt>
                <c:pt idx="4" formatCode="0.00%">
                  <c:v>0.4505881894671237</c:v>
                </c:pt>
                <c:pt idx="5" formatCode="0.00%">
                  <c:v>0.65852649006622521</c:v>
                </c:pt>
                <c:pt idx="6" formatCode="0.00%">
                  <c:v>0.58980829943687341</c:v>
                </c:pt>
                <c:pt idx="7" formatCode="0.00%">
                  <c:v>0.92354105167547929</c:v>
                </c:pt>
                <c:pt idx="8" formatCode="0.00%">
                  <c:v>0.92873076065134952</c:v>
                </c:pt>
              </c:numCache>
            </c:numRef>
          </c:val>
          <c:extLst>
            <c:ext xmlns:c16="http://schemas.microsoft.com/office/drawing/2014/chart" uri="{C3380CC4-5D6E-409C-BE32-E72D297353CC}">
              <c16:uniqueId val="{00000003-F57B-47BE-A32B-ECD54203252A}"/>
            </c:ext>
          </c:extLst>
        </c:ser>
        <c:ser>
          <c:idx val="4"/>
          <c:order val="4"/>
          <c:tx>
            <c:strRef>
              <c:f>'Gas by Poverty'!$A$7</c:f>
              <c:strCache>
                <c:ptCount val="1"/>
                <c:pt idx="0">
                  <c:v>2016</c:v>
                </c:pt>
              </c:strCache>
            </c:strRef>
          </c:tx>
          <c:spPr>
            <a:solidFill>
              <a:schemeClr val="accent5"/>
            </a:solidFill>
            <a:ln>
              <a:noFill/>
            </a:ln>
            <a:effectLst/>
          </c:spPr>
          <c:invertIfNegative val="0"/>
          <c:cat>
            <c:strRef>
              <c:f>'Gas by Poverty'!$B$2:$J$2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Poverty'!$B$7:$J$7</c:f>
              <c:numCache>
                <c:formatCode>General</c:formatCode>
                <c:ptCount val="9"/>
                <c:pt idx="0" formatCode="0.00%">
                  <c:v>0.67636123476359267</c:v>
                </c:pt>
                <c:pt idx="2" formatCode="0.00%">
                  <c:v>0.54271374420890073</c:v>
                </c:pt>
                <c:pt idx="3" formatCode="0.00%">
                  <c:v>0.54866511715560029</c:v>
                </c:pt>
                <c:pt idx="4" formatCode="0.00%">
                  <c:v>0.41331849837227513</c:v>
                </c:pt>
                <c:pt idx="5" formatCode="0.00%">
                  <c:v>0.73169284851147975</c:v>
                </c:pt>
                <c:pt idx="6" formatCode="0.00%">
                  <c:v>0.59209012978648357</c:v>
                </c:pt>
                <c:pt idx="7" formatCode="0.00%">
                  <c:v>0.95219109929803036</c:v>
                </c:pt>
                <c:pt idx="8" formatCode="0.00%">
                  <c:v>0.95385720601237844</c:v>
                </c:pt>
              </c:numCache>
            </c:numRef>
          </c:val>
          <c:extLst>
            <c:ext xmlns:c16="http://schemas.microsoft.com/office/drawing/2014/chart" uri="{C3380CC4-5D6E-409C-BE32-E72D297353CC}">
              <c16:uniqueId val="{00000004-F57B-47BE-A32B-ECD54203252A}"/>
            </c:ext>
          </c:extLst>
        </c:ser>
        <c:dLbls>
          <c:showLegendKey val="0"/>
          <c:showVal val="0"/>
          <c:showCatName val="0"/>
          <c:showSerName val="0"/>
          <c:showPercent val="0"/>
          <c:showBubbleSize val="0"/>
        </c:dLbls>
        <c:gapWidth val="219"/>
        <c:overlap val="-27"/>
        <c:axId val="645605344"/>
        <c:axId val="645603704"/>
      </c:barChart>
      <c:catAx>
        <c:axId val="64560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45603704"/>
        <c:crosses val="autoZero"/>
        <c:auto val="1"/>
        <c:lblAlgn val="ctr"/>
        <c:lblOffset val="100"/>
        <c:noMultiLvlLbl val="0"/>
      </c:catAx>
      <c:valAx>
        <c:axId val="645603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4560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 by Poverty'!$M$3</c:f>
              <c:strCache>
                <c:ptCount val="1"/>
                <c:pt idx="0">
                  <c:v>2012</c:v>
                </c:pt>
              </c:strCache>
            </c:strRef>
          </c:tx>
          <c:spPr>
            <a:solidFill>
              <a:schemeClr val="accent1"/>
            </a:solidFill>
            <a:ln>
              <a:noFill/>
            </a:ln>
            <a:effectLst/>
          </c:spPr>
          <c:invertIfNegative val="0"/>
          <c:cat>
            <c:strRef>
              <c:f>'Gas by Poverty'!$N$2:$V$2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Poverty'!$N$3:$V$3</c:f>
              <c:numCache>
                <c:formatCode>General</c:formatCode>
                <c:ptCount val="9"/>
                <c:pt idx="0" formatCode="0.00%">
                  <c:v>0.71976491186427172</c:v>
                </c:pt>
                <c:pt idx="2" formatCode="0.00%">
                  <c:v>0.6031001569151011</c:v>
                </c:pt>
                <c:pt idx="3" formatCode="0.00%">
                  <c:v>0.64079856701733751</c:v>
                </c:pt>
                <c:pt idx="4" formatCode="0.00%">
                  <c:v>0.73006516383062015</c:v>
                </c:pt>
                <c:pt idx="5" formatCode="0.00%">
                  <c:v>0.67632258639116494</c:v>
                </c:pt>
                <c:pt idx="6" formatCode="0.00%">
                  <c:v>0.57573081338867793</c:v>
                </c:pt>
                <c:pt idx="7" formatCode="0.00%">
                  <c:v>0.89356296567729332</c:v>
                </c:pt>
                <c:pt idx="8" formatCode="0.00%">
                  <c:v>0.91877412982970696</c:v>
                </c:pt>
              </c:numCache>
            </c:numRef>
          </c:val>
          <c:extLst>
            <c:ext xmlns:c16="http://schemas.microsoft.com/office/drawing/2014/chart" uri="{C3380CC4-5D6E-409C-BE32-E72D297353CC}">
              <c16:uniqueId val="{00000000-3FE0-440B-AA3C-35025FA77286}"/>
            </c:ext>
          </c:extLst>
        </c:ser>
        <c:ser>
          <c:idx val="1"/>
          <c:order val="1"/>
          <c:tx>
            <c:strRef>
              <c:f>'Gas by Poverty'!$M$4</c:f>
              <c:strCache>
                <c:ptCount val="1"/>
                <c:pt idx="0">
                  <c:v>2013</c:v>
                </c:pt>
              </c:strCache>
            </c:strRef>
          </c:tx>
          <c:spPr>
            <a:solidFill>
              <a:schemeClr val="accent2"/>
            </a:solidFill>
            <a:ln>
              <a:noFill/>
            </a:ln>
            <a:effectLst/>
          </c:spPr>
          <c:invertIfNegative val="0"/>
          <c:cat>
            <c:strRef>
              <c:f>'Gas by Poverty'!$N$2:$V$2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Poverty'!$N$4:$V$4</c:f>
              <c:numCache>
                <c:formatCode>General</c:formatCode>
                <c:ptCount val="9"/>
                <c:pt idx="0" formatCode="0.00%">
                  <c:v>0.71488108461501909</c:v>
                </c:pt>
                <c:pt idx="2" formatCode="0.00%">
                  <c:v>0.59043675921415817</c:v>
                </c:pt>
                <c:pt idx="3" formatCode="0.00%">
                  <c:v>0.63326623942499749</c:v>
                </c:pt>
                <c:pt idx="4" formatCode="0.00%">
                  <c:v>0.66577731845696331</c:v>
                </c:pt>
                <c:pt idx="5" formatCode="0.00%">
                  <c:v>0.74601065579162007</c:v>
                </c:pt>
                <c:pt idx="6" formatCode="0.00%">
                  <c:v>0.55173559416353646</c:v>
                </c:pt>
                <c:pt idx="7" formatCode="0.00%">
                  <c:v>0.90049430474962389</c:v>
                </c:pt>
                <c:pt idx="8" formatCode="0.00%">
                  <c:v>0.91644672050423481</c:v>
                </c:pt>
              </c:numCache>
            </c:numRef>
          </c:val>
          <c:extLst>
            <c:ext xmlns:c16="http://schemas.microsoft.com/office/drawing/2014/chart" uri="{C3380CC4-5D6E-409C-BE32-E72D297353CC}">
              <c16:uniqueId val="{00000001-3FE0-440B-AA3C-35025FA77286}"/>
            </c:ext>
          </c:extLst>
        </c:ser>
        <c:ser>
          <c:idx val="2"/>
          <c:order val="2"/>
          <c:tx>
            <c:strRef>
              <c:f>'Gas by Poverty'!$M$5</c:f>
              <c:strCache>
                <c:ptCount val="1"/>
                <c:pt idx="0">
                  <c:v>2014</c:v>
                </c:pt>
              </c:strCache>
            </c:strRef>
          </c:tx>
          <c:spPr>
            <a:solidFill>
              <a:schemeClr val="accent3"/>
            </a:solidFill>
            <a:ln>
              <a:noFill/>
            </a:ln>
            <a:effectLst/>
          </c:spPr>
          <c:invertIfNegative val="0"/>
          <c:cat>
            <c:strRef>
              <c:f>'Gas by Poverty'!$N$2:$V$2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Poverty'!$N$5:$V$5</c:f>
              <c:numCache>
                <c:formatCode>General</c:formatCode>
                <c:ptCount val="9"/>
                <c:pt idx="0" formatCode="0.00%">
                  <c:v>0.71228695381208895</c:v>
                </c:pt>
                <c:pt idx="2" formatCode="0.00%">
                  <c:v>0.57973446479963131</c:v>
                </c:pt>
                <c:pt idx="3" formatCode="0.00%">
                  <c:v>0.60611621296152163</c:v>
                </c:pt>
                <c:pt idx="4" formatCode="0.00%">
                  <c:v>0.60627878316144512</c:v>
                </c:pt>
                <c:pt idx="5" formatCode="0.00%">
                  <c:v>0.73894734452503374</c:v>
                </c:pt>
                <c:pt idx="6" formatCode="0.00%">
                  <c:v>0.57939039724304942</c:v>
                </c:pt>
                <c:pt idx="7" formatCode="0.00%">
                  <c:v>0.93460191891386268</c:v>
                </c:pt>
                <c:pt idx="8" formatCode="0.00%">
                  <c:v>0.94093955508007932</c:v>
                </c:pt>
              </c:numCache>
            </c:numRef>
          </c:val>
          <c:extLst>
            <c:ext xmlns:c16="http://schemas.microsoft.com/office/drawing/2014/chart" uri="{C3380CC4-5D6E-409C-BE32-E72D297353CC}">
              <c16:uniqueId val="{00000002-3FE0-440B-AA3C-35025FA77286}"/>
            </c:ext>
          </c:extLst>
        </c:ser>
        <c:ser>
          <c:idx val="3"/>
          <c:order val="3"/>
          <c:tx>
            <c:strRef>
              <c:f>'Gas by Poverty'!$M$6</c:f>
              <c:strCache>
                <c:ptCount val="1"/>
                <c:pt idx="0">
                  <c:v>2015</c:v>
                </c:pt>
              </c:strCache>
            </c:strRef>
          </c:tx>
          <c:spPr>
            <a:solidFill>
              <a:schemeClr val="accent4"/>
            </a:solidFill>
            <a:ln>
              <a:noFill/>
            </a:ln>
            <a:effectLst/>
          </c:spPr>
          <c:invertIfNegative val="0"/>
          <c:cat>
            <c:strRef>
              <c:f>'Gas by Poverty'!$N$2:$V$2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Poverty'!$N$6:$V$6</c:f>
              <c:numCache>
                <c:formatCode>General</c:formatCode>
                <c:ptCount val="9"/>
                <c:pt idx="0" formatCode="0.00%">
                  <c:v>0.71713454267017751</c:v>
                </c:pt>
                <c:pt idx="2" formatCode="0.00%">
                  <c:v>0.59101900123473727</c:v>
                </c:pt>
                <c:pt idx="3" formatCode="0.00%">
                  <c:v>0.6029328821206994</c:v>
                </c:pt>
                <c:pt idx="4" formatCode="0.00%">
                  <c:v>0.66104722663578663</c:v>
                </c:pt>
                <c:pt idx="5" formatCode="0.00%">
                  <c:v>0.76604307395385562</c:v>
                </c:pt>
                <c:pt idx="6" formatCode="0.00%">
                  <c:v>0.60341874048986399</c:v>
                </c:pt>
                <c:pt idx="7" formatCode="0.00%">
                  <c:v>0.86526141764827447</c:v>
                </c:pt>
                <c:pt idx="8" formatCode="0.00%">
                  <c:v>0.93021945660802541</c:v>
                </c:pt>
              </c:numCache>
            </c:numRef>
          </c:val>
          <c:extLst>
            <c:ext xmlns:c16="http://schemas.microsoft.com/office/drawing/2014/chart" uri="{C3380CC4-5D6E-409C-BE32-E72D297353CC}">
              <c16:uniqueId val="{00000003-3FE0-440B-AA3C-35025FA77286}"/>
            </c:ext>
          </c:extLst>
        </c:ser>
        <c:ser>
          <c:idx val="4"/>
          <c:order val="4"/>
          <c:tx>
            <c:strRef>
              <c:f>'Gas by Poverty'!$M$7</c:f>
              <c:strCache>
                <c:ptCount val="1"/>
                <c:pt idx="0">
                  <c:v>2016</c:v>
                </c:pt>
              </c:strCache>
            </c:strRef>
          </c:tx>
          <c:spPr>
            <a:solidFill>
              <a:schemeClr val="accent5"/>
            </a:solidFill>
            <a:ln>
              <a:noFill/>
            </a:ln>
            <a:effectLst/>
          </c:spPr>
          <c:invertIfNegative val="0"/>
          <c:cat>
            <c:strRef>
              <c:f>'Gas by Poverty'!$N$2:$V$2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Poverty'!$N$7:$V$7</c:f>
              <c:numCache>
                <c:formatCode>General</c:formatCode>
                <c:ptCount val="9"/>
                <c:pt idx="0" formatCode="0.00%">
                  <c:v>0.73492403137854567</c:v>
                </c:pt>
                <c:pt idx="2" formatCode="0.00%">
                  <c:v>0.60404632066911623</c:v>
                </c:pt>
                <c:pt idx="3" formatCode="0.00%">
                  <c:v>0.64096234178209122</c:v>
                </c:pt>
                <c:pt idx="4" formatCode="0.00%">
                  <c:v>0.66548507462686568</c:v>
                </c:pt>
                <c:pt idx="5" formatCode="0.00%">
                  <c:v>0.7335773693909059</c:v>
                </c:pt>
                <c:pt idx="6" formatCode="0.00%">
                  <c:v>0.63605410460940304</c:v>
                </c:pt>
                <c:pt idx="7" formatCode="0.00%">
                  <c:v>0.93588415458066843</c:v>
                </c:pt>
                <c:pt idx="8" formatCode="0.00%">
                  <c:v>0.92845885399076888</c:v>
                </c:pt>
              </c:numCache>
            </c:numRef>
          </c:val>
          <c:extLst>
            <c:ext xmlns:c16="http://schemas.microsoft.com/office/drawing/2014/chart" uri="{C3380CC4-5D6E-409C-BE32-E72D297353CC}">
              <c16:uniqueId val="{00000004-3FE0-440B-AA3C-35025FA77286}"/>
            </c:ext>
          </c:extLst>
        </c:ser>
        <c:dLbls>
          <c:showLegendKey val="0"/>
          <c:showVal val="0"/>
          <c:showCatName val="0"/>
          <c:showSerName val="0"/>
          <c:showPercent val="0"/>
          <c:showBubbleSize val="0"/>
        </c:dLbls>
        <c:gapWidth val="219"/>
        <c:overlap val="-27"/>
        <c:axId val="638737304"/>
        <c:axId val="638735992"/>
      </c:barChart>
      <c:catAx>
        <c:axId val="63873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38735992"/>
        <c:crosses val="autoZero"/>
        <c:auto val="1"/>
        <c:lblAlgn val="ctr"/>
        <c:lblOffset val="100"/>
        <c:noMultiLvlLbl val="0"/>
      </c:catAx>
      <c:valAx>
        <c:axId val="638735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38737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 by Poverty'!$X$3</c:f>
              <c:strCache>
                <c:ptCount val="1"/>
                <c:pt idx="0">
                  <c:v>2012</c:v>
                </c:pt>
              </c:strCache>
            </c:strRef>
          </c:tx>
          <c:spPr>
            <a:solidFill>
              <a:schemeClr val="accent1"/>
            </a:solidFill>
            <a:ln>
              <a:noFill/>
            </a:ln>
            <a:effectLst/>
          </c:spPr>
          <c:invertIfNegative val="0"/>
          <c:cat>
            <c:strRef>
              <c:f>'Gas by Poverty'!$Y$2:$AG$2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Poverty'!$Y$3:$AG$3</c:f>
              <c:numCache>
                <c:formatCode>General</c:formatCode>
                <c:ptCount val="9"/>
                <c:pt idx="0" formatCode="0.00%">
                  <c:v>0.70760796986554308</c:v>
                </c:pt>
                <c:pt idx="2" formatCode="0.00%">
                  <c:v>0.61878090762547466</c:v>
                </c:pt>
                <c:pt idx="3" formatCode="0.00%">
                  <c:v>0.65664018864045604</c:v>
                </c:pt>
                <c:pt idx="4" formatCode="0.00%">
                  <c:v>0.8222830348712532</c:v>
                </c:pt>
                <c:pt idx="5" formatCode="0.00%">
                  <c:v>0.72305933700509195</c:v>
                </c:pt>
                <c:pt idx="6" formatCode="0.00%">
                  <c:v>0.53311708695197235</c:v>
                </c:pt>
                <c:pt idx="7" formatCode="0.00%">
                  <c:v>0.78151260504201681</c:v>
                </c:pt>
                <c:pt idx="8" formatCode="0.00%">
                  <c:v>0.81786262892253681</c:v>
                </c:pt>
              </c:numCache>
            </c:numRef>
          </c:val>
          <c:extLst>
            <c:ext xmlns:c16="http://schemas.microsoft.com/office/drawing/2014/chart" uri="{C3380CC4-5D6E-409C-BE32-E72D297353CC}">
              <c16:uniqueId val="{00000000-EA7A-43E5-B33E-43464D4A3C06}"/>
            </c:ext>
          </c:extLst>
        </c:ser>
        <c:ser>
          <c:idx val="1"/>
          <c:order val="1"/>
          <c:tx>
            <c:strRef>
              <c:f>'Gas by Poverty'!$X$4</c:f>
              <c:strCache>
                <c:ptCount val="1"/>
                <c:pt idx="0">
                  <c:v>2013</c:v>
                </c:pt>
              </c:strCache>
            </c:strRef>
          </c:tx>
          <c:spPr>
            <a:solidFill>
              <a:schemeClr val="accent2"/>
            </a:solidFill>
            <a:ln>
              <a:noFill/>
            </a:ln>
            <a:effectLst/>
          </c:spPr>
          <c:invertIfNegative val="0"/>
          <c:cat>
            <c:strRef>
              <c:f>'Gas by Poverty'!$Y$2:$AG$2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Poverty'!$Y$4:$AG$4</c:f>
              <c:numCache>
                <c:formatCode>General</c:formatCode>
                <c:ptCount val="9"/>
                <c:pt idx="0" formatCode="0.00%">
                  <c:v>0.72443852963091826</c:v>
                </c:pt>
                <c:pt idx="2" formatCode="0.00%">
                  <c:v>0.6160004649608416</c:v>
                </c:pt>
                <c:pt idx="3" formatCode="0.00%">
                  <c:v>0.66108677700786267</c:v>
                </c:pt>
                <c:pt idx="4" formatCode="0.00%">
                  <c:v>0.75555182466154858</c:v>
                </c:pt>
                <c:pt idx="5" formatCode="0.00%">
                  <c:v>0.7699835455096562</c:v>
                </c:pt>
                <c:pt idx="6" formatCode="0.00%">
                  <c:v>0.51803688486444077</c:v>
                </c:pt>
                <c:pt idx="7" formatCode="0.00%">
                  <c:v>0.86431043005437469</c:v>
                </c:pt>
                <c:pt idx="8" formatCode="0.00%">
                  <c:v>0.8860997803577032</c:v>
                </c:pt>
              </c:numCache>
            </c:numRef>
          </c:val>
          <c:extLst>
            <c:ext xmlns:c16="http://schemas.microsoft.com/office/drawing/2014/chart" uri="{C3380CC4-5D6E-409C-BE32-E72D297353CC}">
              <c16:uniqueId val="{00000001-EA7A-43E5-B33E-43464D4A3C06}"/>
            </c:ext>
          </c:extLst>
        </c:ser>
        <c:ser>
          <c:idx val="2"/>
          <c:order val="2"/>
          <c:tx>
            <c:strRef>
              <c:f>'Gas by Poverty'!$X$5</c:f>
              <c:strCache>
                <c:ptCount val="1"/>
                <c:pt idx="0">
                  <c:v>2014</c:v>
                </c:pt>
              </c:strCache>
            </c:strRef>
          </c:tx>
          <c:spPr>
            <a:solidFill>
              <a:schemeClr val="accent3"/>
            </a:solidFill>
            <a:ln>
              <a:noFill/>
            </a:ln>
            <a:effectLst/>
          </c:spPr>
          <c:invertIfNegative val="0"/>
          <c:cat>
            <c:strRef>
              <c:f>'Gas by Poverty'!$Y$2:$AG$2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Poverty'!$Y$5:$AG$5</c:f>
              <c:numCache>
                <c:formatCode>General</c:formatCode>
                <c:ptCount val="9"/>
                <c:pt idx="0" formatCode="0.00%">
                  <c:v>0.72131131963125361</c:v>
                </c:pt>
                <c:pt idx="2" formatCode="0.00%">
                  <c:v>0.61104978184303216</c:v>
                </c:pt>
                <c:pt idx="3" formatCode="0.00%">
                  <c:v>0.63791066180554845</c:v>
                </c:pt>
                <c:pt idx="4" formatCode="0.00%">
                  <c:v>0.69399066511085183</c:v>
                </c:pt>
                <c:pt idx="5" formatCode="0.00%">
                  <c:v>0.68580024777299275</c:v>
                </c:pt>
                <c:pt idx="6" formatCode="0.00%">
                  <c:v>0.55068269289510663</c:v>
                </c:pt>
                <c:pt idx="7" formatCode="0.00%">
                  <c:v>0.93162766329025493</c:v>
                </c:pt>
                <c:pt idx="8" formatCode="0.00%">
                  <c:v>0.93811752470098808</c:v>
                </c:pt>
              </c:numCache>
            </c:numRef>
          </c:val>
          <c:extLst>
            <c:ext xmlns:c16="http://schemas.microsoft.com/office/drawing/2014/chart" uri="{C3380CC4-5D6E-409C-BE32-E72D297353CC}">
              <c16:uniqueId val="{00000002-EA7A-43E5-B33E-43464D4A3C06}"/>
            </c:ext>
          </c:extLst>
        </c:ser>
        <c:ser>
          <c:idx val="3"/>
          <c:order val="3"/>
          <c:tx>
            <c:strRef>
              <c:f>'Gas by Poverty'!$X$6</c:f>
              <c:strCache>
                <c:ptCount val="1"/>
                <c:pt idx="0">
                  <c:v>2015</c:v>
                </c:pt>
              </c:strCache>
            </c:strRef>
          </c:tx>
          <c:spPr>
            <a:solidFill>
              <a:schemeClr val="accent4"/>
            </a:solidFill>
            <a:ln>
              <a:noFill/>
            </a:ln>
            <a:effectLst/>
          </c:spPr>
          <c:invertIfNegative val="0"/>
          <c:cat>
            <c:strRef>
              <c:f>'Gas by Poverty'!$Y$2:$AG$2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Poverty'!$Y$6:$AG$6</c:f>
              <c:numCache>
                <c:formatCode>General</c:formatCode>
                <c:ptCount val="9"/>
                <c:pt idx="0" formatCode="0.00%">
                  <c:v>0.73738266899052907</c:v>
                </c:pt>
                <c:pt idx="2" formatCode="0.00%">
                  <c:v>0.63399247539301506</c:v>
                </c:pt>
                <c:pt idx="3" formatCode="0.00%">
                  <c:v>0.6135354015465897</c:v>
                </c:pt>
                <c:pt idx="4" formatCode="0.00%">
                  <c:v>0.72776065871893314</c:v>
                </c:pt>
                <c:pt idx="5" formatCode="0.00%">
                  <c:v>0.75488844861745197</c:v>
                </c:pt>
                <c:pt idx="6" formatCode="0.00%">
                  <c:v>0.58833051739541964</c:v>
                </c:pt>
                <c:pt idx="7" formatCode="0.00%">
                  <c:v>0.91836330311586667</c:v>
                </c:pt>
                <c:pt idx="8" formatCode="0.00%">
                  <c:v>0.92480787814642673</c:v>
                </c:pt>
              </c:numCache>
            </c:numRef>
          </c:val>
          <c:extLst>
            <c:ext xmlns:c16="http://schemas.microsoft.com/office/drawing/2014/chart" uri="{C3380CC4-5D6E-409C-BE32-E72D297353CC}">
              <c16:uniqueId val="{00000003-EA7A-43E5-B33E-43464D4A3C06}"/>
            </c:ext>
          </c:extLst>
        </c:ser>
        <c:ser>
          <c:idx val="4"/>
          <c:order val="4"/>
          <c:tx>
            <c:strRef>
              <c:f>'Gas by Poverty'!$X$7</c:f>
              <c:strCache>
                <c:ptCount val="1"/>
                <c:pt idx="0">
                  <c:v>2016</c:v>
                </c:pt>
              </c:strCache>
            </c:strRef>
          </c:tx>
          <c:spPr>
            <a:solidFill>
              <a:schemeClr val="accent5"/>
            </a:solidFill>
            <a:ln>
              <a:noFill/>
            </a:ln>
            <a:effectLst/>
          </c:spPr>
          <c:invertIfNegative val="0"/>
          <c:cat>
            <c:strRef>
              <c:f>'Gas by Poverty'!$Y$2:$AG$2</c:f>
              <c:strCache>
                <c:ptCount val="9"/>
                <c:pt idx="0">
                  <c:v>Industry Average</c:v>
                </c:pt>
                <c:pt idx="2">
                  <c:v>Columbia</c:v>
                </c:pt>
                <c:pt idx="3">
                  <c:v>PECO Gas</c:v>
                </c:pt>
                <c:pt idx="4">
                  <c:v>Peoples</c:v>
                </c:pt>
                <c:pt idx="5">
                  <c:v>EQT</c:v>
                </c:pt>
                <c:pt idx="6">
                  <c:v>PGW</c:v>
                </c:pt>
                <c:pt idx="7">
                  <c:v>UGI Gas</c:v>
                </c:pt>
                <c:pt idx="8">
                  <c:v>UGI PNG</c:v>
                </c:pt>
              </c:strCache>
            </c:strRef>
          </c:cat>
          <c:val>
            <c:numRef>
              <c:f>'Gas by Poverty'!$Y$7:$AG$7</c:f>
              <c:numCache>
                <c:formatCode>General</c:formatCode>
                <c:ptCount val="9"/>
                <c:pt idx="0" formatCode="0.00%">
                  <c:v>0.74286787481501282</c:v>
                </c:pt>
                <c:pt idx="2" formatCode="0.00%">
                  <c:v>0.6372618026849588</c:v>
                </c:pt>
                <c:pt idx="3" formatCode="0.00%">
                  <c:v>0.62542913512432974</c:v>
                </c:pt>
                <c:pt idx="4" formatCode="0.00%">
                  <c:v>0.75038332597000956</c:v>
                </c:pt>
                <c:pt idx="5" formatCode="0.00%">
                  <c:v>0.73370335736478542</c:v>
                </c:pt>
                <c:pt idx="6" formatCode="0.00%">
                  <c:v>0.6236006383160152</c:v>
                </c:pt>
                <c:pt idx="7" formatCode="0.00%">
                  <c:v>0.92216406695341246</c:v>
                </c:pt>
                <c:pt idx="8" formatCode="0.00%">
                  <c:v>0.90753279729157854</c:v>
                </c:pt>
              </c:numCache>
            </c:numRef>
          </c:val>
          <c:extLst>
            <c:ext xmlns:c16="http://schemas.microsoft.com/office/drawing/2014/chart" uri="{C3380CC4-5D6E-409C-BE32-E72D297353CC}">
              <c16:uniqueId val="{00000004-EA7A-43E5-B33E-43464D4A3C06}"/>
            </c:ext>
          </c:extLst>
        </c:ser>
        <c:dLbls>
          <c:showLegendKey val="0"/>
          <c:showVal val="0"/>
          <c:showCatName val="0"/>
          <c:showSerName val="0"/>
          <c:showPercent val="0"/>
          <c:showBubbleSize val="0"/>
        </c:dLbls>
        <c:gapWidth val="219"/>
        <c:overlap val="-27"/>
        <c:axId val="637378368"/>
        <c:axId val="637394440"/>
      </c:barChart>
      <c:catAx>
        <c:axId val="63737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37394440"/>
        <c:crosses val="autoZero"/>
        <c:auto val="1"/>
        <c:lblAlgn val="ctr"/>
        <c:lblOffset val="100"/>
        <c:noMultiLvlLbl val="0"/>
      </c:catAx>
      <c:valAx>
        <c:axId val="637394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3737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'Electric 50'!$A$3</c:f>
              <c:strCache>
                <c:ptCount val="1"/>
                <c:pt idx="0">
                  <c:v>2012</c:v>
                </c:pt>
              </c:strCache>
            </c:strRef>
          </c:tx>
          <c:spPr>
            <a:solidFill>
              <a:schemeClr val="accent1"/>
            </a:solidFill>
            <a:ln>
              <a:noFill/>
            </a:ln>
            <a:effectLst/>
          </c:spPr>
          <c:invertIfNegative val="0"/>
          <c:cat>
            <c:strRef>
              <c:f>'Electric 50'!$B$1:$S$2</c:f>
              <c:strCache>
                <c:ptCount val="9"/>
                <c:pt idx="0">
                  <c:v>Industry Average</c:v>
                </c:pt>
                <c:pt idx="2">
                  <c:v>Duquesne </c:v>
                </c:pt>
                <c:pt idx="3">
                  <c:v>Met Ed</c:v>
                </c:pt>
                <c:pt idx="4">
                  <c:v>PECO Electric </c:v>
                </c:pt>
                <c:pt idx="5">
                  <c:v>Penelec </c:v>
                </c:pt>
                <c:pt idx="6">
                  <c:v>Penn Power </c:v>
                </c:pt>
                <c:pt idx="7">
                  <c:v>PPL </c:v>
                </c:pt>
                <c:pt idx="8">
                  <c:v>West Penn </c:v>
                </c:pt>
              </c:strCache>
              <c:extLst/>
            </c:strRef>
          </c:cat>
          <c:val>
            <c:numRef>
              <c:f>'Electric 50'!$B$3:$S$3</c:f>
              <c:numCache>
                <c:formatCode>General</c:formatCode>
                <c:ptCount val="9"/>
                <c:pt idx="0" formatCode="0.00%">
                  <c:v>0.5382601171563175</c:v>
                </c:pt>
                <c:pt idx="2" formatCode="0.00%">
                  <c:v>0.70131934509616911</c:v>
                </c:pt>
                <c:pt idx="3" formatCode="0.00%">
                  <c:v>0.4570137409067529</c:v>
                </c:pt>
                <c:pt idx="4" formatCode="0.00%">
                  <c:v>0.57108679452484623</c:v>
                </c:pt>
                <c:pt idx="5" formatCode="0.00%">
                  <c:v>0.48361337547828981</c:v>
                </c:pt>
                <c:pt idx="6" formatCode="0.00%">
                  <c:v>0.55507652511317096</c:v>
                </c:pt>
                <c:pt idx="7" formatCode="0.00%">
                  <c:v>0.575992815938839</c:v>
                </c:pt>
                <c:pt idx="8" formatCode="0.00%">
                  <c:v>0</c:v>
                </c:pt>
              </c:numCache>
              <c:extLst/>
            </c:numRef>
          </c:val>
          <c:extLst>
            <c:ext xmlns:c16="http://schemas.microsoft.com/office/drawing/2014/chart" uri="{C3380CC4-5D6E-409C-BE32-E72D297353CC}">
              <c16:uniqueId val="{00000000-FDC4-4CDD-9FD5-6DA9A4439954}"/>
            </c:ext>
          </c:extLst>
        </c:ser>
        <c:ser>
          <c:idx val="1"/>
          <c:order val="1"/>
          <c:tx>
            <c:strRef>
              <c:f>'Electric 50'!$A$4</c:f>
              <c:strCache>
                <c:ptCount val="1"/>
                <c:pt idx="0">
                  <c:v>2013</c:v>
                </c:pt>
              </c:strCache>
            </c:strRef>
          </c:tx>
          <c:spPr>
            <a:solidFill>
              <a:schemeClr val="accent2"/>
            </a:solidFill>
            <a:ln>
              <a:noFill/>
            </a:ln>
            <a:effectLst/>
          </c:spPr>
          <c:invertIfNegative val="0"/>
          <c:cat>
            <c:strRef>
              <c:f>'Electric 50'!$B$1:$S$2</c:f>
              <c:strCache>
                <c:ptCount val="9"/>
                <c:pt idx="0">
                  <c:v>Industry Average</c:v>
                </c:pt>
                <c:pt idx="2">
                  <c:v>Duquesne </c:v>
                </c:pt>
                <c:pt idx="3">
                  <c:v>Met Ed</c:v>
                </c:pt>
                <c:pt idx="4">
                  <c:v>PECO Electric </c:v>
                </c:pt>
                <c:pt idx="5">
                  <c:v>Penelec </c:v>
                </c:pt>
                <c:pt idx="6">
                  <c:v>Penn Power </c:v>
                </c:pt>
                <c:pt idx="7">
                  <c:v>PPL </c:v>
                </c:pt>
                <c:pt idx="8">
                  <c:v>West Penn </c:v>
                </c:pt>
              </c:strCache>
              <c:extLst/>
            </c:strRef>
          </c:cat>
          <c:val>
            <c:numRef>
              <c:f>'Electric 50'!$B$4:$S$4</c:f>
              <c:numCache>
                <c:formatCode>General</c:formatCode>
                <c:ptCount val="9"/>
                <c:pt idx="0" formatCode="0.00%">
                  <c:v>0.47900525427820295</c:v>
                </c:pt>
                <c:pt idx="2" formatCode="0.00%">
                  <c:v>0.69082568807339451</c:v>
                </c:pt>
                <c:pt idx="3" formatCode="0.00%">
                  <c:v>0.35749250559708573</c:v>
                </c:pt>
                <c:pt idx="4" formatCode="0.00%">
                  <c:v>0.54633416617597919</c:v>
                </c:pt>
                <c:pt idx="5" formatCode="0.00%">
                  <c:v>0.37873215732718318</c:v>
                </c:pt>
                <c:pt idx="6" formatCode="0.00%">
                  <c:v>0.43109327983951856</c:v>
                </c:pt>
                <c:pt idx="7" formatCode="0.00%">
                  <c:v>0.59613855027620588</c:v>
                </c:pt>
                <c:pt idx="8" formatCode="0.00%">
                  <c:v>0</c:v>
                </c:pt>
              </c:numCache>
              <c:extLst/>
            </c:numRef>
          </c:val>
          <c:extLst>
            <c:ext xmlns:c16="http://schemas.microsoft.com/office/drawing/2014/chart" uri="{C3380CC4-5D6E-409C-BE32-E72D297353CC}">
              <c16:uniqueId val="{00000001-FDC4-4CDD-9FD5-6DA9A4439954}"/>
            </c:ext>
          </c:extLst>
        </c:ser>
        <c:ser>
          <c:idx val="2"/>
          <c:order val="2"/>
          <c:tx>
            <c:strRef>
              <c:f>'Electric 50'!$A$5</c:f>
              <c:strCache>
                <c:ptCount val="1"/>
                <c:pt idx="0">
                  <c:v>2014</c:v>
                </c:pt>
              </c:strCache>
            </c:strRef>
          </c:tx>
          <c:spPr>
            <a:solidFill>
              <a:schemeClr val="accent3"/>
            </a:solidFill>
            <a:ln>
              <a:noFill/>
            </a:ln>
            <a:effectLst/>
          </c:spPr>
          <c:invertIfNegative val="0"/>
          <c:cat>
            <c:strRef>
              <c:f>'Electric 50'!$B$1:$S$2</c:f>
              <c:strCache>
                <c:ptCount val="9"/>
                <c:pt idx="0">
                  <c:v>Industry Average</c:v>
                </c:pt>
                <c:pt idx="2">
                  <c:v>Duquesne </c:v>
                </c:pt>
                <c:pt idx="3">
                  <c:v>Met Ed</c:v>
                </c:pt>
                <c:pt idx="4">
                  <c:v>PECO Electric </c:v>
                </c:pt>
                <c:pt idx="5">
                  <c:v>Penelec </c:v>
                </c:pt>
                <c:pt idx="6">
                  <c:v>Penn Power </c:v>
                </c:pt>
                <c:pt idx="7">
                  <c:v>PPL </c:v>
                </c:pt>
                <c:pt idx="8">
                  <c:v>West Penn </c:v>
                </c:pt>
              </c:strCache>
              <c:extLst/>
            </c:strRef>
          </c:cat>
          <c:val>
            <c:numRef>
              <c:f>'Electric 50'!$B$5:$S$5</c:f>
              <c:numCache>
                <c:formatCode>General</c:formatCode>
                <c:ptCount val="9"/>
                <c:pt idx="0" formatCode="0.00%">
                  <c:v>0.5305243275428474</c:v>
                </c:pt>
                <c:pt idx="2" formatCode="0.00%">
                  <c:v>0.62838605028386052</c:v>
                </c:pt>
                <c:pt idx="3" formatCode="0.00%">
                  <c:v>0.5504743995213266</c:v>
                </c:pt>
                <c:pt idx="4" formatCode="0.00%">
                  <c:v>0.51394709271870098</c:v>
                </c:pt>
                <c:pt idx="5" formatCode="0.00%">
                  <c:v>0.58487811998248429</c:v>
                </c:pt>
                <c:pt idx="6" formatCode="0.00%">
                  <c:v>0.57701365991521436</c:v>
                </c:pt>
                <c:pt idx="7" formatCode="0.00%">
                  <c:v>0.61190275063603961</c:v>
                </c:pt>
                <c:pt idx="8" formatCode="0.00%">
                  <c:v>0.47923689306462025</c:v>
                </c:pt>
              </c:numCache>
              <c:extLst/>
            </c:numRef>
          </c:val>
          <c:extLst>
            <c:ext xmlns:c16="http://schemas.microsoft.com/office/drawing/2014/chart" uri="{C3380CC4-5D6E-409C-BE32-E72D297353CC}">
              <c16:uniqueId val="{00000002-FDC4-4CDD-9FD5-6DA9A4439954}"/>
            </c:ext>
          </c:extLst>
        </c:ser>
        <c:ser>
          <c:idx val="3"/>
          <c:order val="3"/>
          <c:tx>
            <c:strRef>
              <c:f>'Electric 50'!$A$6</c:f>
              <c:strCache>
                <c:ptCount val="1"/>
                <c:pt idx="0">
                  <c:v>2015</c:v>
                </c:pt>
              </c:strCache>
            </c:strRef>
          </c:tx>
          <c:spPr>
            <a:solidFill>
              <a:schemeClr val="accent4"/>
            </a:solidFill>
            <a:ln>
              <a:noFill/>
            </a:ln>
            <a:effectLst/>
          </c:spPr>
          <c:invertIfNegative val="0"/>
          <c:cat>
            <c:strRef>
              <c:f>'Electric 50'!$B$1:$S$2</c:f>
              <c:strCache>
                <c:ptCount val="9"/>
                <c:pt idx="0">
                  <c:v>Industry Average</c:v>
                </c:pt>
                <c:pt idx="2">
                  <c:v>Duquesne </c:v>
                </c:pt>
                <c:pt idx="3">
                  <c:v>Met Ed</c:v>
                </c:pt>
                <c:pt idx="4">
                  <c:v>PECO Electric </c:v>
                </c:pt>
                <c:pt idx="5">
                  <c:v>Penelec </c:v>
                </c:pt>
                <c:pt idx="6">
                  <c:v>Penn Power </c:v>
                </c:pt>
                <c:pt idx="7">
                  <c:v>PPL </c:v>
                </c:pt>
                <c:pt idx="8">
                  <c:v>West Penn </c:v>
                </c:pt>
              </c:strCache>
              <c:extLst/>
            </c:strRef>
          </c:cat>
          <c:val>
            <c:numRef>
              <c:f>'Electric 50'!$B$6:$S$6</c:f>
              <c:numCache>
                <c:formatCode>General</c:formatCode>
                <c:ptCount val="9"/>
                <c:pt idx="0" formatCode="0.00%">
                  <c:v>0.50590498632019587</c:v>
                </c:pt>
                <c:pt idx="2" formatCode="0.00%">
                  <c:v>0.31246909917927418</c:v>
                </c:pt>
                <c:pt idx="3" formatCode="0.00%">
                  <c:v>0.55949678395762392</c:v>
                </c:pt>
                <c:pt idx="4" formatCode="0.00%">
                  <c:v>0.52399293630156984</c:v>
                </c:pt>
                <c:pt idx="5" formatCode="0.00%">
                  <c:v>0.5892333796082061</c:v>
                </c:pt>
                <c:pt idx="6" formatCode="0.00%">
                  <c:v>0.56947040498442369</c:v>
                </c:pt>
                <c:pt idx="7" formatCode="0.00%">
                  <c:v>0.6467123326849834</c:v>
                </c:pt>
                <c:pt idx="8" formatCode="0.00%">
                  <c:v>0.45076433615271205</c:v>
                </c:pt>
              </c:numCache>
              <c:extLst/>
            </c:numRef>
          </c:val>
          <c:extLst>
            <c:ext xmlns:c16="http://schemas.microsoft.com/office/drawing/2014/chart" uri="{C3380CC4-5D6E-409C-BE32-E72D297353CC}">
              <c16:uniqueId val="{00000003-FDC4-4CDD-9FD5-6DA9A4439954}"/>
            </c:ext>
          </c:extLst>
        </c:ser>
        <c:ser>
          <c:idx val="4"/>
          <c:order val="4"/>
          <c:tx>
            <c:strRef>
              <c:f>'Electric 50'!$A$7</c:f>
              <c:strCache>
                <c:ptCount val="1"/>
                <c:pt idx="0">
                  <c:v>2016</c:v>
                </c:pt>
              </c:strCache>
            </c:strRef>
          </c:tx>
          <c:spPr>
            <a:solidFill>
              <a:schemeClr val="accent5"/>
            </a:solidFill>
            <a:ln>
              <a:noFill/>
            </a:ln>
            <a:effectLst/>
          </c:spPr>
          <c:invertIfNegative val="0"/>
          <c:cat>
            <c:strRef>
              <c:f>'Electric 50'!$B$1:$S$2</c:f>
              <c:strCache>
                <c:ptCount val="9"/>
                <c:pt idx="0">
                  <c:v>Industry Average</c:v>
                </c:pt>
                <c:pt idx="2">
                  <c:v>Duquesne </c:v>
                </c:pt>
                <c:pt idx="3">
                  <c:v>Met Ed</c:v>
                </c:pt>
                <c:pt idx="4">
                  <c:v>PECO Electric </c:v>
                </c:pt>
                <c:pt idx="5">
                  <c:v>Penelec </c:v>
                </c:pt>
                <c:pt idx="6">
                  <c:v>Penn Power </c:v>
                </c:pt>
                <c:pt idx="7">
                  <c:v>PPL </c:v>
                </c:pt>
                <c:pt idx="8">
                  <c:v>West Penn </c:v>
                </c:pt>
              </c:strCache>
              <c:extLst/>
            </c:strRef>
          </c:cat>
          <c:val>
            <c:numRef>
              <c:f>'Electric 50'!$B$7:$S$7</c:f>
              <c:numCache>
                <c:formatCode>General</c:formatCode>
                <c:ptCount val="9"/>
                <c:pt idx="0" formatCode="0.00%">
                  <c:v>0.52545678981080901</c:v>
                </c:pt>
                <c:pt idx="2" formatCode="0.00%">
                  <c:v>0.26898792943361188</c:v>
                </c:pt>
                <c:pt idx="3" formatCode="0.00%">
                  <c:v>0.57412831900217332</c:v>
                </c:pt>
                <c:pt idx="4" formatCode="0.00%">
                  <c:v>0.56670976760440328</c:v>
                </c:pt>
                <c:pt idx="5" formatCode="0.00%">
                  <c:v>0.57455500437700613</c:v>
                </c:pt>
                <c:pt idx="6" formatCode="0.00%">
                  <c:v>0.56032535020334384</c:v>
                </c:pt>
                <c:pt idx="7" formatCode="0.00%">
                  <c:v>0.6032677582055388</c:v>
                </c:pt>
                <c:pt idx="8" formatCode="0.00%">
                  <c:v>0.4695810820293313</c:v>
                </c:pt>
              </c:numCache>
              <c:extLst/>
            </c:numRef>
          </c:val>
          <c:extLst>
            <c:ext xmlns:c16="http://schemas.microsoft.com/office/drawing/2014/chart" uri="{C3380CC4-5D6E-409C-BE32-E72D297353CC}">
              <c16:uniqueId val="{00000004-FDC4-4CDD-9FD5-6DA9A4439954}"/>
            </c:ext>
          </c:extLst>
        </c:ser>
        <c:dLbls>
          <c:showLegendKey val="0"/>
          <c:showVal val="0"/>
          <c:showCatName val="0"/>
          <c:showSerName val="0"/>
          <c:showPercent val="0"/>
          <c:showBubbleSize val="0"/>
        </c:dLbls>
        <c:gapWidth val="219"/>
        <c:overlap val="-27"/>
        <c:axId val="652579968"/>
        <c:axId val="652577344"/>
      </c:barChart>
      <c:catAx>
        <c:axId val="65257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577344"/>
        <c:crossesAt val="0"/>
        <c:auto val="1"/>
        <c:lblAlgn val="ctr"/>
        <c:lblOffset val="100"/>
        <c:noMultiLvlLbl val="0"/>
      </c:catAx>
      <c:valAx>
        <c:axId val="65257734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57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'Electric 100'!$A$3</c:f>
              <c:strCache>
                <c:ptCount val="1"/>
                <c:pt idx="0">
                  <c:v>2012</c:v>
                </c:pt>
              </c:strCache>
            </c:strRef>
          </c:tx>
          <c:spPr>
            <a:solidFill>
              <a:schemeClr val="accent1"/>
            </a:solidFill>
            <a:ln>
              <a:noFill/>
            </a:ln>
            <a:effectLst/>
          </c:spPr>
          <c:invertIfNegative val="0"/>
          <c:cat>
            <c:strRef>
              <c:f>'Electric 100'!$B$1:$S$2</c:f>
              <c:strCache>
                <c:ptCount val="9"/>
                <c:pt idx="0">
                  <c:v>Industry Average</c:v>
                </c:pt>
                <c:pt idx="2">
                  <c:v>Duquesne </c:v>
                </c:pt>
                <c:pt idx="3">
                  <c:v>Met Ed </c:v>
                </c:pt>
                <c:pt idx="4">
                  <c:v>PECO  Electric </c:v>
                </c:pt>
                <c:pt idx="5">
                  <c:v>Penelec </c:v>
                </c:pt>
                <c:pt idx="6">
                  <c:v>Penn Power </c:v>
                </c:pt>
                <c:pt idx="7">
                  <c:v>PPL </c:v>
                </c:pt>
                <c:pt idx="8">
                  <c:v>West Penn </c:v>
                </c:pt>
              </c:strCache>
              <c:extLst/>
            </c:strRef>
          </c:cat>
          <c:val>
            <c:numRef>
              <c:f>'Electric 100'!$B$3:$S$3</c:f>
              <c:numCache>
                <c:formatCode>General</c:formatCode>
                <c:ptCount val="9"/>
                <c:pt idx="0">
                  <c:v>0.63602464515513202</c:v>
                </c:pt>
                <c:pt idx="2" formatCode="0.00%">
                  <c:v>0.82406886706752602</c:v>
                </c:pt>
                <c:pt idx="3" formatCode="0.00%">
                  <c:v>0.54327432586254265</c:v>
                </c:pt>
                <c:pt idx="4" formatCode="0.00%">
                  <c:v>0.64079856701733739</c:v>
                </c:pt>
                <c:pt idx="5" formatCode="0.00%">
                  <c:v>0.60632463738403974</c:v>
                </c:pt>
                <c:pt idx="6" formatCode="0.00%">
                  <c:v>0.62561779242174631</c:v>
                </c:pt>
                <c:pt idx="7" formatCode="0.00%">
                  <c:v>0.57606368117760021</c:v>
                </c:pt>
                <c:pt idx="8" formatCode="0.00%">
                  <c:v>0</c:v>
                </c:pt>
              </c:numCache>
              <c:extLst/>
            </c:numRef>
          </c:val>
          <c:extLst>
            <c:ext xmlns:c16="http://schemas.microsoft.com/office/drawing/2014/chart" uri="{C3380CC4-5D6E-409C-BE32-E72D297353CC}">
              <c16:uniqueId val="{00000000-5DE8-4CCB-97BE-0CEB4ACE99CB}"/>
            </c:ext>
          </c:extLst>
        </c:ser>
        <c:ser>
          <c:idx val="1"/>
          <c:order val="1"/>
          <c:tx>
            <c:strRef>
              <c:f>'Electric 100'!$A$4</c:f>
              <c:strCache>
                <c:ptCount val="1"/>
                <c:pt idx="0">
                  <c:v>2013</c:v>
                </c:pt>
              </c:strCache>
            </c:strRef>
          </c:tx>
          <c:spPr>
            <a:solidFill>
              <a:schemeClr val="accent2"/>
            </a:solidFill>
            <a:ln>
              <a:noFill/>
            </a:ln>
            <a:effectLst/>
          </c:spPr>
          <c:invertIfNegative val="0"/>
          <c:cat>
            <c:strRef>
              <c:f>'Electric 100'!$B$1:$S$2</c:f>
              <c:strCache>
                <c:ptCount val="9"/>
                <c:pt idx="0">
                  <c:v>Industry Average</c:v>
                </c:pt>
                <c:pt idx="2">
                  <c:v>Duquesne </c:v>
                </c:pt>
                <c:pt idx="3">
                  <c:v>Met Ed </c:v>
                </c:pt>
                <c:pt idx="4">
                  <c:v>PECO  Electric </c:v>
                </c:pt>
                <c:pt idx="5">
                  <c:v>Penelec </c:v>
                </c:pt>
                <c:pt idx="6">
                  <c:v>Penn Power </c:v>
                </c:pt>
                <c:pt idx="7">
                  <c:v>PPL </c:v>
                </c:pt>
                <c:pt idx="8">
                  <c:v>West Penn </c:v>
                </c:pt>
              </c:strCache>
              <c:extLst/>
            </c:strRef>
          </c:cat>
          <c:val>
            <c:numRef>
              <c:f>'Electric 100'!$B$4:$S$4</c:f>
              <c:numCache>
                <c:formatCode>General</c:formatCode>
                <c:ptCount val="9"/>
                <c:pt idx="0">
                  <c:v>0.5836560468211478</c:v>
                </c:pt>
                <c:pt idx="2" formatCode="0.00%">
                  <c:v>0.8391559299636604</c:v>
                </c:pt>
                <c:pt idx="3" formatCode="0.00%">
                  <c:v>0.43133620346009727</c:v>
                </c:pt>
                <c:pt idx="4" formatCode="0.00%">
                  <c:v>0.6332662394249976</c:v>
                </c:pt>
                <c:pt idx="5" formatCode="0.00%">
                  <c:v>0.50686478302153104</c:v>
                </c:pt>
                <c:pt idx="6" formatCode="0.00%">
                  <c:v>0.49502982107355864</c:v>
                </c:pt>
                <c:pt idx="7" formatCode="0.00%">
                  <c:v>0.59628330398304197</c:v>
                </c:pt>
                <c:pt idx="8" formatCode="0.00%">
                  <c:v>0</c:v>
                </c:pt>
              </c:numCache>
              <c:extLst/>
            </c:numRef>
          </c:val>
          <c:extLst>
            <c:ext xmlns:c16="http://schemas.microsoft.com/office/drawing/2014/chart" uri="{C3380CC4-5D6E-409C-BE32-E72D297353CC}">
              <c16:uniqueId val="{00000001-5DE8-4CCB-97BE-0CEB4ACE99CB}"/>
            </c:ext>
          </c:extLst>
        </c:ser>
        <c:ser>
          <c:idx val="2"/>
          <c:order val="2"/>
          <c:tx>
            <c:strRef>
              <c:f>'Electric 100'!$A$5</c:f>
              <c:strCache>
                <c:ptCount val="1"/>
                <c:pt idx="0">
                  <c:v>2014</c:v>
                </c:pt>
              </c:strCache>
            </c:strRef>
          </c:tx>
          <c:spPr>
            <a:solidFill>
              <a:schemeClr val="accent3"/>
            </a:solidFill>
            <a:ln>
              <a:noFill/>
            </a:ln>
            <a:effectLst/>
          </c:spPr>
          <c:invertIfNegative val="0"/>
          <c:cat>
            <c:strRef>
              <c:f>'Electric 100'!$B$1:$S$2</c:f>
              <c:strCache>
                <c:ptCount val="9"/>
                <c:pt idx="0">
                  <c:v>Industry Average</c:v>
                </c:pt>
                <c:pt idx="2">
                  <c:v>Duquesne </c:v>
                </c:pt>
                <c:pt idx="3">
                  <c:v>Met Ed </c:v>
                </c:pt>
                <c:pt idx="4">
                  <c:v>PECO  Electric </c:v>
                </c:pt>
                <c:pt idx="5">
                  <c:v>Penelec </c:v>
                </c:pt>
                <c:pt idx="6">
                  <c:v>Penn Power </c:v>
                </c:pt>
                <c:pt idx="7">
                  <c:v>PPL </c:v>
                </c:pt>
                <c:pt idx="8">
                  <c:v>West Penn </c:v>
                </c:pt>
              </c:strCache>
              <c:extLst/>
            </c:strRef>
          </c:cat>
          <c:val>
            <c:numRef>
              <c:f>'Electric 100'!$B$5:$S$5</c:f>
              <c:numCache>
                <c:formatCode>General</c:formatCode>
                <c:ptCount val="9"/>
                <c:pt idx="0">
                  <c:v>0.60351570602757199</c:v>
                </c:pt>
                <c:pt idx="2" formatCode="0.00%">
                  <c:v>0.7889215970811394</c:v>
                </c:pt>
                <c:pt idx="3" formatCode="0.00%">
                  <c:v>0.53993632578805584</c:v>
                </c:pt>
                <c:pt idx="4" formatCode="0.00%">
                  <c:v>0.60611621296152174</c:v>
                </c:pt>
                <c:pt idx="5" formatCode="0.00%">
                  <c:v>0.62549970230500973</c:v>
                </c:pt>
                <c:pt idx="6" formatCode="0.00%">
                  <c:v>0.62249379415696005</c:v>
                </c:pt>
                <c:pt idx="7" formatCode="0.00%">
                  <c:v>0.61181743815080347</c:v>
                </c:pt>
                <c:pt idx="8" formatCode="0.00%">
                  <c:v>0.42982487174951356</c:v>
                </c:pt>
              </c:numCache>
              <c:extLst/>
            </c:numRef>
          </c:val>
          <c:extLst>
            <c:ext xmlns:c16="http://schemas.microsoft.com/office/drawing/2014/chart" uri="{C3380CC4-5D6E-409C-BE32-E72D297353CC}">
              <c16:uniqueId val="{00000002-5DE8-4CCB-97BE-0CEB4ACE99CB}"/>
            </c:ext>
          </c:extLst>
        </c:ser>
        <c:ser>
          <c:idx val="3"/>
          <c:order val="3"/>
          <c:tx>
            <c:strRef>
              <c:f>'Electric 100'!$A$6</c:f>
              <c:strCache>
                <c:ptCount val="1"/>
                <c:pt idx="0">
                  <c:v>2015</c:v>
                </c:pt>
              </c:strCache>
            </c:strRef>
          </c:tx>
          <c:spPr>
            <a:solidFill>
              <a:schemeClr val="accent4"/>
            </a:solidFill>
            <a:ln>
              <a:noFill/>
            </a:ln>
            <a:effectLst/>
          </c:spPr>
          <c:invertIfNegative val="0"/>
          <c:cat>
            <c:strRef>
              <c:f>'Electric 100'!$B$1:$S$2</c:f>
              <c:strCache>
                <c:ptCount val="9"/>
                <c:pt idx="0">
                  <c:v>Industry Average</c:v>
                </c:pt>
                <c:pt idx="2">
                  <c:v>Duquesne </c:v>
                </c:pt>
                <c:pt idx="3">
                  <c:v>Met Ed </c:v>
                </c:pt>
                <c:pt idx="4">
                  <c:v>PECO  Electric </c:v>
                </c:pt>
                <c:pt idx="5">
                  <c:v>Penelec </c:v>
                </c:pt>
                <c:pt idx="6">
                  <c:v>Penn Power </c:v>
                </c:pt>
                <c:pt idx="7">
                  <c:v>PPL </c:v>
                </c:pt>
                <c:pt idx="8">
                  <c:v>West Penn </c:v>
                </c:pt>
              </c:strCache>
              <c:extLst/>
            </c:strRef>
          </c:cat>
          <c:val>
            <c:numRef>
              <c:f>'Electric 100'!$B$6:$S$6</c:f>
              <c:numCache>
                <c:formatCode>General</c:formatCode>
                <c:ptCount val="9"/>
                <c:pt idx="0">
                  <c:v>0.59042970459504074</c:v>
                </c:pt>
                <c:pt idx="2" formatCode="0.00%">
                  <c:v>0.527650045983446</c:v>
                </c:pt>
                <c:pt idx="3" formatCode="0.00%">
                  <c:v>0.58503120066160441</c:v>
                </c:pt>
                <c:pt idx="4" formatCode="0.00%">
                  <c:v>0.6029328821206994</c:v>
                </c:pt>
                <c:pt idx="5" formatCode="0.00%">
                  <c:v>0.65919684474722118</c:v>
                </c:pt>
                <c:pt idx="6" formatCode="0.00%">
                  <c:v>0.65524709588501673</c:v>
                </c:pt>
                <c:pt idx="7" formatCode="0.00%">
                  <c:v>0.6466028996368417</c:v>
                </c:pt>
                <c:pt idx="8" formatCode="0.00%">
                  <c:v>0.45634696313045664</c:v>
                </c:pt>
              </c:numCache>
              <c:extLst/>
            </c:numRef>
          </c:val>
          <c:extLst>
            <c:ext xmlns:c16="http://schemas.microsoft.com/office/drawing/2014/chart" uri="{C3380CC4-5D6E-409C-BE32-E72D297353CC}">
              <c16:uniqueId val="{00000003-5DE8-4CCB-97BE-0CEB4ACE99CB}"/>
            </c:ext>
          </c:extLst>
        </c:ser>
        <c:ser>
          <c:idx val="4"/>
          <c:order val="4"/>
          <c:tx>
            <c:strRef>
              <c:f>'Electric 100'!$A$7</c:f>
              <c:strCache>
                <c:ptCount val="1"/>
                <c:pt idx="0">
                  <c:v>2016</c:v>
                </c:pt>
              </c:strCache>
            </c:strRef>
          </c:tx>
          <c:spPr>
            <a:solidFill>
              <a:schemeClr val="accent5"/>
            </a:solidFill>
            <a:ln>
              <a:noFill/>
            </a:ln>
            <a:effectLst/>
          </c:spPr>
          <c:invertIfNegative val="0"/>
          <c:cat>
            <c:strRef>
              <c:f>'Electric 100'!$B$1:$S$2</c:f>
              <c:strCache>
                <c:ptCount val="9"/>
                <c:pt idx="0">
                  <c:v>Industry Average</c:v>
                </c:pt>
                <c:pt idx="2">
                  <c:v>Duquesne </c:v>
                </c:pt>
                <c:pt idx="3">
                  <c:v>Met Ed </c:v>
                </c:pt>
                <c:pt idx="4">
                  <c:v>PECO  Electric </c:v>
                </c:pt>
                <c:pt idx="5">
                  <c:v>Penelec </c:v>
                </c:pt>
                <c:pt idx="6">
                  <c:v>Penn Power </c:v>
                </c:pt>
                <c:pt idx="7">
                  <c:v>PPL </c:v>
                </c:pt>
                <c:pt idx="8">
                  <c:v>West Penn </c:v>
                </c:pt>
              </c:strCache>
              <c:extLst/>
            </c:strRef>
          </c:cat>
          <c:val>
            <c:numRef>
              <c:f>'Electric 100'!$B$7:$S$7</c:f>
              <c:numCache>
                <c:formatCode>General</c:formatCode>
                <c:ptCount val="9"/>
                <c:pt idx="0">
                  <c:v>0.59519210575904447</c:v>
                </c:pt>
                <c:pt idx="2" formatCode="0.00%">
                  <c:v>0.46774077537222181</c:v>
                </c:pt>
                <c:pt idx="3" formatCode="0.00%">
                  <c:v>0.60384048444285088</c:v>
                </c:pt>
                <c:pt idx="4" formatCode="0.00%">
                  <c:v>0.6414462882744163</c:v>
                </c:pt>
                <c:pt idx="5" formatCode="0.00%">
                  <c:v>0.67143857805796336</c:v>
                </c:pt>
                <c:pt idx="6" formatCode="0.00%">
                  <c:v>0.64708141321044543</c:v>
                </c:pt>
                <c:pt idx="7" formatCode="0.00%">
                  <c:v>0.60328237800337781</c:v>
                </c:pt>
                <c:pt idx="8" formatCode="0.00%">
                  <c:v>0.53151482295203589</c:v>
                </c:pt>
              </c:numCache>
              <c:extLst/>
            </c:numRef>
          </c:val>
          <c:extLst>
            <c:ext xmlns:c16="http://schemas.microsoft.com/office/drawing/2014/chart" uri="{C3380CC4-5D6E-409C-BE32-E72D297353CC}">
              <c16:uniqueId val="{00000004-5DE8-4CCB-97BE-0CEB4ACE99CB}"/>
            </c:ext>
          </c:extLst>
        </c:ser>
        <c:dLbls>
          <c:showLegendKey val="0"/>
          <c:showVal val="0"/>
          <c:showCatName val="0"/>
          <c:showSerName val="0"/>
          <c:showPercent val="0"/>
          <c:showBubbleSize val="0"/>
        </c:dLbls>
        <c:gapWidth val="219"/>
        <c:overlap val="-27"/>
        <c:axId val="506577632"/>
        <c:axId val="506570744"/>
      </c:barChart>
      <c:catAx>
        <c:axId val="5065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6570744"/>
        <c:crosses val="autoZero"/>
        <c:auto val="1"/>
        <c:lblAlgn val="ctr"/>
        <c:lblOffset val="100"/>
        <c:noMultiLvlLbl val="0"/>
      </c:catAx>
      <c:valAx>
        <c:axId val="506570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657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'Electric 150'!$A$3</c:f>
              <c:strCache>
                <c:ptCount val="1"/>
                <c:pt idx="0">
                  <c:v>2012</c:v>
                </c:pt>
              </c:strCache>
            </c:strRef>
          </c:tx>
          <c:spPr>
            <a:solidFill>
              <a:schemeClr val="accent1"/>
            </a:solidFill>
            <a:ln>
              <a:noFill/>
            </a:ln>
            <a:effectLst/>
          </c:spPr>
          <c:invertIfNegative val="0"/>
          <c:cat>
            <c:strRef>
              <c:f>'Electric 150'!$B$1:$Q$2</c:f>
              <c:strCache>
                <c:ptCount val="9"/>
                <c:pt idx="0">
                  <c:v>Industry Average</c:v>
                </c:pt>
                <c:pt idx="2">
                  <c:v>Duquesne </c:v>
                </c:pt>
                <c:pt idx="3">
                  <c:v>Met-Ed </c:v>
                </c:pt>
                <c:pt idx="4">
                  <c:v>PECO - Electric </c:v>
                </c:pt>
                <c:pt idx="5">
                  <c:v>Penelec </c:v>
                </c:pt>
                <c:pt idx="6">
                  <c:v>Penn Power </c:v>
                </c:pt>
                <c:pt idx="7">
                  <c:v>PPL </c:v>
                </c:pt>
                <c:pt idx="8">
                  <c:v>West Penn </c:v>
                </c:pt>
              </c:strCache>
            </c:strRef>
          </c:cat>
          <c:val>
            <c:numRef>
              <c:f>'Electric 150'!$B$3:$Q$3</c:f>
              <c:numCache>
                <c:formatCode>General</c:formatCode>
                <c:ptCount val="9"/>
                <c:pt idx="0">
                  <c:v>0.5862392319384645</c:v>
                </c:pt>
                <c:pt idx="2" formatCode="0.00%">
                  <c:v>0.53253430991750828</c:v>
                </c:pt>
                <c:pt idx="3" formatCode="0.00%">
                  <c:v>0.53253430991750828</c:v>
                </c:pt>
                <c:pt idx="4" formatCode="0.00%">
                  <c:v>0.65664018864045615</c:v>
                </c:pt>
                <c:pt idx="5" formatCode="0.00%">
                  <c:v>0.6007600249560433</c:v>
                </c:pt>
                <c:pt idx="6" formatCode="0.00%">
                  <c:v>0.6189765776517977</c:v>
                </c:pt>
                <c:pt idx="7" formatCode="0.00%">
                  <c:v>0.57598998054747319</c:v>
                </c:pt>
                <c:pt idx="8">
                  <c:v>0</c:v>
                </c:pt>
              </c:numCache>
            </c:numRef>
          </c:val>
          <c:extLst>
            <c:ext xmlns:c16="http://schemas.microsoft.com/office/drawing/2014/chart" uri="{C3380CC4-5D6E-409C-BE32-E72D297353CC}">
              <c16:uniqueId val="{00000000-A4C7-4649-B7B4-C0B1FF5FCBD8}"/>
            </c:ext>
          </c:extLst>
        </c:ser>
        <c:ser>
          <c:idx val="1"/>
          <c:order val="1"/>
          <c:tx>
            <c:strRef>
              <c:f>'Electric 150'!$A$4</c:f>
              <c:strCache>
                <c:ptCount val="1"/>
                <c:pt idx="0">
                  <c:v>2013</c:v>
                </c:pt>
              </c:strCache>
            </c:strRef>
          </c:tx>
          <c:spPr>
            <a:solidFill>
              <a:schemeClr val="accent2"/>
            </a:solidFill>
            <a:ln>
              <a:noFill/>
            </a:ln>
            <a:effectLst/>
          </c:spPr>
          <c:invertIfNegative val="0"/>
          <c:cat>
            <c:strRef>
              <c:f>'Electric 150'!$B$1:$Q$2</c:f>
              <c:strCache>
                <c:ptCount val="9"/>
                <c:pt idx="0">
                  <c:v>Industry Average</c:v>
                </c:pt>
                <c:pt idx="2">
                  <c:v>Duquesne </c:v>
                </c:pt>
                <c:pt idx="3">
                  <c:v>Met-Ed </c:v>
                </c:pt>
                <c:pt idx="4">
                  <c:v>PECO - Electric </c:v>
                </c:pt>
                <c:pt idx="5">
                  <c:v>Penelec </c:v>
                </c:pt>
                <c:pt idx="6">
                  <c:v>Penn Power </c:v>
                </c:pt>
                <c:pt idx="7">
                  <c:v>PPL </c:v>
                </c:pt>
                <c:pt idx="8">
                  <c:v>West Penn </c:v>
                </c:pt>
              </c:strCache>
            </c:strRef>
          </c:cat>
          <c:val>
            <c:numRef>
              <c:f>'Electric 150'!$B$4:$Q$4</c:f>
              <c:numCache>
                <c:formatCode>General</c:formatCode>
                <c:ptCount val="9"/>
                <c:pt idx="0">
                  <c:v>0.49288048212418695</c:v>
                </c:pt>
                <c:pt idx="2" formatCode="0.00%">
                  <c:v>0.38482159029161384</c:v>
                </c:pt>
                <c:pt idx="3" formatCode="0.00%">
                  <c:v>0.38482159029161384</c:v>
                </c:pt>
                <c:pt idx="4" formatCode="0.00%">
                  <c:v>0.66108677700786267</c:v>
                </c:pt>
                <c:pt idx="5" formatCode="0.00%">
                  <c:v>0.4622081739033993</c:v>
                </c:pt>
                <c:pt idx="6" formatCode="0.00%">
                  <c:v>0.46829777711472476</c:v>
                </c:pt>
                <c:pt idx="7" formatCode="0.00%">
                  <c:v>0.59604698413590707</c:v>
                </c:pt>
                <c:pt idx="8">
                  <c:v>0</c:v>
                </c:pt>
              </c:numCache>
            </c:numRef>
          </c:val>
          <c:extLst>
            <c:ext xmlns:c16="http://schemas.microsoft.com/office/drawing/2014/chart" uri="{C3380CC4-5D6E-409C-BE32-E72D297353CC}">
              <c16:uniqueId val="{00000001-A4C7-4649-B7B4-C0B1FF5FCBD8}"/>
            </c:ext>
          </c:extLst>
        </c:ser>
        <c:ser>
          <c:idx val="2"/>
          <c:order val="2"/>
          <c:tx>
            <c:strRef>
              <c:f>'Electric 150'!$A$5</c:f>
              <c:strCache>
                <c:ptCount val="1"/>
                <c:pt idx="0">
                  <c:v>2014</c:v>
                </c:pt>
              </c:strCache>
            </c:strRef>
          </c:tx>
          <c:spPr>
            <a:solidFill>
              <a:schemeClr val="accent3"/>
            </a:solidFill>
            <a:ln>
              <a:noFill/>
            </a:ln>
            <a:effectLst/>
          </c:spPr>
          <c:invertIfNegative val="0"/>
          <c:cat>
            <c:strRef>
              <c:f>'Electric 150'!$B$1:$Q$2</c:f>
              <c:strCache>
                <c:ptCount val="9"/>
                <c:pt idx="0">
                  <c:v>Industry Average</c:v>
                </c:pt>
                <c:pt idx="2">
                  <c:v>Duquesne </c:v>
                </c:pt>
                <c:pt idx="3">
                  <c:v>Met-Ed </c:v>
                </c:pt>
                <c:pt idx="4">
                  <c:v>PECO - Electric </c:v>
                </c:pt>
                <c:pt idx="5">
                  <c:v>Penelec </c:v>
                </c:pt>
                <c:pt idx="6">
                  <c:v>Penn Power </c:v>
                </c:pt>
                <c:pt idx="7">
                  <c:v>PPL </c:v>
                </c:pt>
                <c:pt idx="8">
                  <c:v>West Penn </c:v>
                </c:pt>
              </c:strCache>
            </c:strRef>
          </c:cat>
          <c:val>
            <c:numRef>
              <c:f>'Electric 150'!$B$5:$Q$5</c:f>
              <c:numCache>
                <c:formatCode>General</c:formatCode>
                <c:ptCount val="9"/>
                <c:pt idx="0">
                  <c:v>0.55626055697210031</c:v>
                </c:pt>
                <c:pt idx="2" formatCode="0.00%">
                  <c:v>0.49474091759695427</c:v>
                </c:pt>
                <c:pt idx="3" formatCode="0.00%">
                  <c:v>0.49474091759695427</c:v>
                </c:pt>
                <c:pt idx="4" formatCode="0.00%">
                  <c:v>0.63791066180554823</c:v>
                </c:pt>
                <c:pt idx="5" formatCode="0.00%">
                  <c:v>0.57496229260935139</c:v>
                </c:pt>
                <c:pt idx="6" formatCode="0.00%">
                  <c:v>0.62093495934959353</c:v>
                </c:pt>
                <c:pt idx="7" formatCode="0.00%">
                  <c:v>0.61176736888506333</c:v>
                </c:pt>
                <c:pt idx="8" formatCode="0.00%">
                  <c:v>0.45876678096123669</c:v>
                </c:pt>
              </c:numCache>
            </c:numRef>
          </c:val>
          <c:extLst>
            <c:ext xmlns:c16="http://schemas.microsoft.com/office/drawing/2014/chart" uri="{C3380CC4-5D6E-409C-BE32-E72D297353CC}">
              <c16:uniqueId val="{00000002-A4C7-4649-B7B4-C0B1FF5FCBD8}"/>
            </c:ext>
          </c:extLst>
        </c:ser>
        <c:ser>
          <c:idx val="3"/>
          <c:order val="3"/>
          <c:tx>
            <c:strRef>
              <c:f>'Electric 150'!$A$6</c:f>
              <c:strCache>
                <c:ptCount val="1"/>
                <c:pt idx="0">
                  <c:v>2015</c:v>
                </c:pt>
              </c:strCache>
            </c:strRef>
          </c:tx>
          <c:spPr>
            <a:solidFill>
              <a:schemeClr val="accent4"/>
            </a:solidFill>
            <a:ln>
              <a:noFill/>
            </a:ln>
            <a:effectLst/>
          </c:spPr>
          <c:invertIfNegative val="0"/>
          <c:cat>
            <c:strRef>
              <c:f>'Electric 150'!$B$1:$Q$2</c:f>
              <c:strCache>
                <c:ptCount val="9"/>
                <c:pt idx="0">
                  <c:v>Industry Average</c:v>
                </c:pt>
                <c:pt idx="2">
                  <c:v>Duquesne </c:v>
                </c:pt>
                <c:pt idx="3">
                  <c:v>Met-Ed </c:v>
                </c:pt>
                <c:pt idx="4">
                  <c:v>PECO - Electric </c:v>
                </c:pt>
                <c:pt idx="5">
                  <c:v>Penelec </c:v>
                </c:pt>
                <c:pt idx="6">
                  <c:v>Penn Power </c:v>
                </c:pt>
                <c:pt idx="7">
                  <c:v>PPL </c:v>
                </c:pt>
                <c:pt idx="8">
                  <c:v>West Penn </c:v>
                </c:pt>
              </c:strCache>
            </c:strRef>
          </c:cat>
          <c:val>
            <c:numRef>
              <c:f>'Electric 150'!$B$6:$Q$6</c:f>
              <c:numCache>
                <c:formatCode>General</c:formatCode>
                <c:ptCount val="9"/>
                <c:pt idx="0">
                  <c:v>0.57943985415508314</c:v>
                </c:pt>
                <c:pt idx="2" formatCode="0.00%">
                  <c:v>0.5463883584644762</c:v>
                </c:pt>
                <c:pt idx="3" formatCode="0.00%">
                  <c:v>0.5463883584644762</c:v>
                </c:pt>
                <c:pt idx="4" formatCode="0.00%">
                  <c:v>0.61353540154658959</c:v>
                </c:pt>
                <c:pt idx="5" formatCode="0.00%">
                  <c:v>0.60885239335069097</c:v>
                </c:pt>
                <c:pt idx="6" formatCode="0.00%">
                  <c:v>0.64116777531411673</c:v>
                </c:pt>
                <c:pt idx="7" formatCode="0.00%">
                  <c:v>0.64627732440523933</c:v>
                </c:pt>
                <c:pt idx="8" formatCode="0.00%">
                  <c:v>0.45346936753999306</c:v>
                </c:pt>
              </c:numCache>
            </c:numRef>
          </c:val>
          <c:extLst>
            <c:ext xmlns:c16="http://schemas.microsoft.com/office/drawing/2014/chart" uri="{C3380CC4-5D6E-409C-BE32-E72D297353CC}">
              <c16:uniqueId val="{00000003-A4C7-4649-B7B4-C0B1FF5FCBD8}"/>
            </c:ext>
          </c:extLst>
        </c:ser>
        <c:ser>
          <c:idx val="4"/>
          <c:order val="4"/>
          <c:tx>
            <c:strRef>
              <c:f>'Electric 150'!$A$7</c:f>
              <c:strCache>
                <c:ptCount val="1"/>
                <c:pt idx="0">
                  <c:v>2016</c:v>
                </c:pt>
              </c:strCache>
            </c:strRef>
          </c:tx>
          <c:spPr>
            <a:solidFill>
              <a:schemeClr val="accent5"/>
            </a:solidFill>
            <a:ln>
              <a:noFill/>
            </a:ln>
            <a:effectLst/>
          </c:spPr>
          <c:invertIfNegative val="0"/>
          <c:cat>
            <c:strRef>
              <c:f>'Electric 150'!$B$1:$Q$2</c:f>
              <c:strCache>
                <c:ptCount val="9"/>
                <c:pt idx="0">
                  <c:v>Industry Average</c:v>
                </c:pt>
                <c:pt idx="2">
                  <c:v>Duquesne </c:v>
                </c:pt>
                <c:pt idx="3">
                  <c:v>Met-Ed </c:v>
                </c:pt>
                <c:pt idx="4">
                  <c:v>PECO - Electric </c:v>
                </c:pt>
                <c:pt idx="5">
                  <c:v>Penelec </c:v>
                </c:pt>
                <c:pt idx="6">
                  <c:v>Penn Power </c:v>
                </c:pt>
                <c:pt idx="7">
                  <c:v>PPL </c:v>
                </c:pt>
                <c:pt idx="8">
                  <c:v>West Penn </c:v>
                </c:pt>
              </c:strCache>
            </c:strRef>
          </c:cat>
          <c:val>
            <c:numRef>
              <c:f>'Electric 150'!$B$7:$Q$7</c:f>
              <c:numCache>
                <c:formatCode>General</c:formatCode>
                <c:ptCount val="9"/>
                <c:pt idx="0">
                  <c:v>0.59997381084351653</c:v>
                </c:pt>
                <c:pt idx="2" formatCode="0.00%">
                  <c:v>0.580640649041824</c:v>
                </c:pt>
                <c:pt idx="3" formatCode="0.00%">
                  <c:v>0.580640649041824</c:v>
                </c:pt>
                <c:pt idx="4" formatCode="0.00%">
                  <c:v>0.64153056722734081</c:v>
                </c:pt>
                <c:pt idx="5" formatCode="0.00%">
                  <c:v>0.63521890740023246</c:v>
                </c:pt>
                <c:pt idx="6" formatCode="0.00%">
                  <c:v>0.65602369980250164</c:v>
                </c:pt>
                <c:pt idx="7" formatCode="0.00%">
                  <c:v>0.60319577827012083</c:v>
                </c:pt>
                <c:pt idx="8" formatCode="0.00%">
                  <c:v>0.50256642512077299</c:v>
                </c:pt>
              </c:numCache>
            </c:numRef>
          </c:val>
          <c:extLst>
            <c:ext xmlns:c16="http://schemas.microsoft.com/office/drawing/2014/chart" uri="{C3380CC4-5D6E-409C-BE32-E72D297353CC}">
              <c16:uniqueId val="{00000004-A4C7-4649-B7B4-C0B1FF5FCBD8}"/>
            </c:ext>
          </c:extLst>
        </c:ser>
        <c:dLbls>
          <c:showLegendKey val="0"/>
          <c:showVal val="0"/>
          <c:showCatName val="0"/>
          <c:showSerName val="0"/>
          <c:showPercent val="0"/>
          <c:showBubbleSize val="0"/>
        </c:dLbls>
        <c:gapWidth val="219"/>
        <c:overlap val="-27"/>
        <c:axId val="506577632"/>
        <c:axId val="506570744"/>
      </c:barChart>
      <c:catAx>
        <c:axId val="5065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6570744"/>
        <c:crosses val="autoZero"/>
        <c:auto val="1"/>
        <c:lblAlgn val="ctr"/>
        <c:lblOffset val="100"/>
        <c:noMultiLvlLbl val="0"/>
      </c:catAx>
      <c:valAx>
        <c:axId val="506570744"/>
        <c:scaling>
          <c:orientation val="minMax"/>
          <c:max val="0.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65776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Gas!$A$3</c:f>
              <c:strCache>
                <c:ptCount val="1"/>
                <c:pt idx="0">
                  <c:v>50%</c:v>
                </c:pt>
              </c:strCache>
            </c:strRef>
          </c:tx>
          <c:spPr>
            <a:solidFill>
              <a:schemeClr val="accent1"/>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Gas!$B$3:$Q$3</c:f>
              <c:extLst/>
            </c:numRef>
          </c:val>
          <c:extLst>
            <c:ext xmlns:c16="http://schemas.microsoft.com/office/drawing/2014/chart" uri="{C3380CC4-5D6E-409C-BE32-E72D297353CC}">
              <c16:uniqueId val="{00000000-3239-4B30-A0E2-9948104C5E76}"/>
            </c:ext>
          </c:extLst>
        </c:ser>
        <c:ser>
          <c:idx val="1"/>
          <c:order val="1"/>
          <c:tx>
            <c:strRef>
              <c:f>Gas!$A$4</c:f>
              <c:strCache>
                <c:ptCount val="1"/>
                <c:pt idx="0">
                  <c:v>100%</c:v>
                </c:pt>
              </c:strCache>
            </c:strRef>
          </c:tx>
          <c:spPr>
            <a:solidFill>
              <a:schemeClr val="accent2"/>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Gas!$B$4:$Q$4</c:f>
              <c:extLst/>
            </c:numRef>
          </c:val>
          <c:extLst>
            <c:ext xmlns:c16="http://schemas.microsoft.com/office/drawing/2014/chart" uri="{C3380CC4-5D6E-409C-BE32-E72D297353CC}">
              <c16:uniqueId val="{00000001-3239-4B30-A0E2-9948104C5E76}"/>
            </c:ext>
          </c:extLst>
        </c:ser>
        <c:ser>
          <c:idx val="2"/>
          <c:order val="2"/>
          <c:tx>
            <c:strRef>
              <c:f>Gas!$A$5</c:f>
              <c:strCache>
                <c:ptCount val="1"/>
                <c:pt idx="0">
                  <c:v>150%</c:v>
                </c:pt>
              </c:strCache>
            </c:strRef>
          </c:tx>
          <c:spPr>
            <a:solidFill>
              <a:schemeClr val="accent3"/>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Gas!$B$5:$Q$5</c:f>
              <c:extLst/>
            </c:numRef>
          </c:val>
          <c:extLst>
            <c:ext xmlns:c16="http://schemas.microsoft.com/office/drawing/2014/chart" uri="{C3380CC4-5D6E-409C-BE32-E72D297353CC}">
              <c16:uniqueId val="{00000002-3239-4B30-A0E2-9948104C5E76}"/>
            </c:ext>
          </c:extLst>
        </c:ser>
        <c:ser>
          <c:idx val="3"/>
          <c:order val="3"/>
          <c:tx>
            <c:strRef>
              <c:f>Gas!$A$6</c:f>
              <c:strCache>
                <c:ptCount val="1"/>
                <c:pt idx="0">
                  <c:v>Combined</c:v>
                </c:pt>
              </c:strCache>
            </c:strRef>
          </c:tx>
          <c:spPr>
            <a:solidFill>
              <a:schemeClr val="accent4"/>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Gas!$B$6:$Q$6</c:f>
              <c:extLst/>
            </c:numRef>
          </c:val>
          <c:extLst>
            <c:ext xmlns:c16="http://schemas.microsoft.com/office/drawing/2014/chart" uri="{C3380CC4-5D6E-409C-BE32-E72D297353CC}">
              <c16:uniqueId val="{00000003-3239-4B30-A0E2-9948104C5E76}"/>
            </c:ext>
          </c:extLst>
        </c:ser>
        <c:ser>
          <c:idx val="4"/>
          <c:order val="4"/>
          <c:tx>
            <c:strRef>
              <c:f>Gas!$A$7</c:f>
              <c:strCache>
                <c:ptCount val="1"/>
                <c:pt idx="0">
                  <c:v>2012</c:v>
                </c:pt>
              </c:strCache>
            </c:strRef>
          </c:tx>
          <c:spPr>
            <a:solidFill>
              <a:schemeClr val="accent1"/>
            </a:solidFill>
            <a:ln>
              <a:noFill/>
            </a:ln>
            <a:effectLst/>
          </c:spPr>
          <c:invertIfNegative val="0"/>
          <c:cat>
            <c:strRef>
              <c:f>Gas!$B$1:$Q$2</c:f>
              <c:strCache>
                <c:ptCount val="8"/>
                <c:pt idx="0">
                  <c:v>Columbia</c:v>
                </c:pt>
                <c:pt idx="1">
                  <c:v>NFG</c:v>
                </c:pt>
                <c:pt idx="2">
                  <c:v>PECO Gas</c:v>
                </c:pt>
                <c:pt idx="3">
                  <c:v>Peoples</c:v>
                </c:pt>
                <c:pt idx="4">
                  <c:v>EQT</c:v>
                </c:pt>
                <c:pt idx="5">
                  <c:v>PGW</c:v>
                </c:pt>
                <c:pt idx="6">
                  <c:v>UGI Gas</c:v>
                </c:pt>
                <c:pt idx="7">
                  <c:v>UGI PNG</c:v>
                </c:pt>
              </c:strCache>
              <c:extLst/>
            </c:strRef>
          </c:cat>
          <c:val>
            <c:numRef>
              <c:f>Gas!$B$7:$Q$7</c:f>
              <c:numCache>
                <c:formatCode>0.00%</c:formatCode>
                <c:ptCount val="8"/>
                <c:pt idx="0">
                  <c:v>0.10247433410606993</c:v>
                </c:pt>
                <c:pt idx="1">
                  <c:v>0.20503211991434689</c:v>
                </c:pt>
                <c:pt idx="2">
                  <c:v>0.35564221914706251</c:v>
                </c:pt>
                <c:pt idx="3">
                  <c:v>0.36844559930708243</c:v>
                </c:pt>
                <c:pt idx="4">
                  <c:v>0.32380734644109127</c:v>
                </c:pt>
                <c:pt idx="5">
                  <c:v>1.0288637466860835</c:v>
                </c:pt>
                <c:pt idx="6">
                  <c:v>0.44726976365118176</c:v>
                </c:pt>
                <c:pt idx="7">
                  <c:v>0.37494067394399622</c:v>
                </c:pt>
              </c:numCache>
              <c:extLst/>
            </c:numRef>
          </c:val>
          <c:extLst>
            <c:ext xmlns:c16="http://schemas.microsoft.com/office/drawing/2014/chart" uri="{C3380CC4-5D6E-409C-BE32-E72D297353CC}">
              <c16:uniqueId val="{00000004-3239-4B30-A0E2-9948104C5E76}"/>
            </c:ext>
          </c:extLst>
        </c:ser>
        <c:ser>
          <c:idx val="5"/>
          <c:order val="5"/>
          <c:tx>
            <c:strRef>
              <c:f>Gas!$A$8</c:f>
              <c:strCache>
                <c:ptCount val="1"/>
                <c:pt idx="0">
                  <c:v>2013</c:v>
                </c:pt>
              </c:strCache>
            </c:strRef>
          </c:tx>
          <c:spPr>
            <a:solidFill>
              <a:schemeClr val="accent6"/>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Gas!$B$8:$Q$8</c:f>
              <c:extLst/>
            </c:numRef>
          </c:val>
          <c:extLst>
            <c:ext xmlns:c16="http://schemas.microsoft.com/office/drawing/2014/chart" uri="{C3380CC4-5D6E-409C-BE32-E72D297353CC}">
              <c16:uniqueId val="{00000005-3239-4B30-A0E2-9948104C5E76}"/>
            </c:ext>
          </c:extLst>
        </c:ser>
        <c:ser>
          <c:idx val="6"/>
          <c:order val="6"/>
          <c:tx>
            <c:strRef>
              <c:f>Gas!$A$9</c:f>
              <c:strCache>
                <c:ptCount val="1"/>
                <c:pt idx="0">
                  <c:v>2014</c:v>
                </c:pt>
              </c:strCache>
            </c:strRef>
          </c:tx>
          <c:spPr>
            <a:solidFill>
              <a:schemeClr val="accent1">
                <a:lumMod val="6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Gas!$B$9:$Q$9</c:f>
              <c:extLst/>
            </c:numRef>
          </c:val>
          <c:extLst>
            <c:ext xmlns:c16="http://schemas.microsoft.com/office/drawing/2014/chart" uri="{C3380CC4-5D6E-409C-BE32-E72D297353CC}">
              <c16:uniqueId val="{00000006-3239-4B30-A0E2-9948104C5E76}"/>
            </c:ext>
          </c:extLst>
        </c:ser>
        <c:ser>
          <c:idx val="7"/>
          <c:order val="7"/>
          <c:tx>
            <c:strRef>
              <c:f>Gas!$A$10</c:f>
              <c:strCache>
                <c:ptCount val="1"/>
                <c:pt idx="0">
                  <c:v>2015</c:v>
                </c:pt>
              </c:strCache>
            </c:strRef>
          </c:tx>
          <c:spPr>
            <a:solidFill>
              <a:schemeClr val="accent2">
                <a:lumMod val="6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Gas!$B$10:$Q$10</c:f>
              <c:extLst/>
            </c:numRef>
          </c:val>
          <c:extLst>
            <c:ext xmlns:c16="http://schemas.microsoft.com/office/drawing/2014/chart" uri="{C3380CC4-5D6E-409C-BE32-E72D297353CC}">
              <c16:uniqueId val="{00000007-3239-4B30-A0E2-9948104C5E76}"/>
            </c:ext>
          </c:extLst>
        </c:ser>
        <c:ser>
          <c:idx val="8"/>
          <c:order val="8"/>
          <c:tx>
            <c:strRef>
              <c:f>Gas!$A$11</c:f>
              <c:strCache>
                <c:ptCount val="1"/>
                <c:pt idx="0">
                  <c:v>2016</c:v>
                </c:pt>
              </c:strCache>
            </c:strRef>
          </c:tx>
          <c:spPr>
            <a:solidFill>
              <a:schemeClr val="accent3">
                <a:lumMod val="6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Gas!$B$11:$Q$11</c:f>
              <c:extLst/>
            </c:numRef>
          </c:val>
          <c:extLst>
            <c:ext xmlns:c16="http://schemas.microsoft.com/office/drawing/2014/chart" uri="{C3380CC4-5D6E-409C-BE32-E72D297353CC}">
              <c16:uniqueId val="{00000008-3239-4B30-A0E2-9948104C5E76}"/>
            </c:ext>
          </c:extLst>
        </c:ser>
        <c:ser>
          <c:idx val="9"/>
          <c:order val="9"/>
          <c:tx>
            <c:strRef>
              <c:f>Gas!$A$12</c:f>
              <c:strCache>
                <c:ptCount val="1"/>
                <c:pt idx="0">
                  <c:v>2013</c:v>
                </c:pt>
              </c:strCache>
            </c:strRef>
          </c:tx>
          <c:spPr>
            <a:solidFill>
              <a:schemeClr val="accent2"/>
            </a:solidFill>
            <a:ln>
              <a:noFill/>
            </a:ln>
            <a:effectLst/>
          </c:spPr>
          <c:invertIfNegative val="0"/>
          <c:cat>
            <c:strRef>
              <c:f>Gas!$B$1:$Q$2</c:f>
              <c:strCache>
                <c:ptCount val="8"/>
                <c:pt idx="0">
                  <c:v>Columbia</c:v>
                </c:pt>
                <c:pt idx="1">
                  <c:v>NFG</c:v>
                </c:pt>
                <c:pt idx="2">
                  <c:v>PECO Gas</c:v>
                </c:pt>
                <c:pt idx="3">
                  <c:v>Peoples</c:v>
                </c:pt>
                <c:pt idx="4">
                  <c:v>EQT</c:v>
                </c:pt>
                <c:pt idx="5">
                  <c:v>PGW</c:v>
                </c:pt>
                <c:pt idx="6">
                  <c:v>UGI Gas</c:v>
                </c:pt>
                <c:pt idx="7">
                  <c:v>UGI PNG</c:v>
                </c:pt>
              </c:strCache>
              <c:extLst/>
            </c:strRef>
          </c:cat>
          <c:val>
            <c:numRef>
              <c:f>Gas!$B$12:$Q$12</c:f>
              <c:numCache>
                <c:formatCode>0.00%</c:formatCode>
                <c:ptCount val="8"/>
                <c:pt idx="0">
                  <c:v>0.12427409988385599</c:v>
                </c:pt>
                <c:pt idx="1">
                  <c:v>0.20710772010842285</c:v>
                </c:pt>
                <c:pt idx="2">
                  <c:v>0.46335916442048519</c:v>
                </c:pt>
                <c:pt idx="3">
                  <c:v>0.15343973582828838</c:v>
                </c:pt>
                <c:pt idx="4">
                  <c:v>0.34929078014184395</c:v>
                </c:pt>
                <c:pt idx="5">
                  <c:v>1.2639483538459473</c:v>
                </c:pt>
                <c:pt idx="6">
                  <c:v>0.16093846470467174</c:v>
                </c:pt>
                <c:pt idx="7">
                  <c:v>0.13882978723404255</c:v>
                </c:pt>
              </c:numCache>
              <c:extLst/>
            </c:numRef>
          </c:val>
          <c:extLst>
            <c:ext xmlns:c16="http://schemas.microsoft.com/office/drawing/2014/chart" uri="{C3380CC4-5D6E-409C-BE32-E72D297353CC}">
              <c16:uniqueId val="{00000009-3239-4B30-A0E2-9948104C5E76}"/>
            </c:ext>
          </c:extLst>
        </c:ser>
        <c:ser>
          <c:idx val="10"/>
          <c:order val="10"/>
          <c:tx>
            <c:strRef>
              <c:f>Gas!$A$13</c:f>
              <c:strCache>
                <c:ptCount val="1"/>
                <c:pt idx="0">
                  <c:v>2015.333333</c:v>
                </c:pt>
              </c:strCache>
            </c:strRef>
          </c:tx>
          <c:spPr>
            <a:solidFill>
              <a:schemeClr val="accent5">
                <a:lumMod val="6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Gas!$B$13:$Q$13</c:f>
              <c:extLst/>
            </c:numRef>
          </c:val>
          <c:extLst>
            <c:ext xmlns:c16="http://schemas.microsoft.com/office/drawing/2014/chart" uri="{C3380CC4-5D6E-409C-BE32-E72D297353CC}">
              <c16:uniqueId val="{0000000A-3239-4B30-A0E2-9948104C5E76}"/>
            </c:ext>
          </c:extLst>
        </c:ser>
        <c:ser>
          <c:idx val="11"/>
          <c:order val="11"/>
          <c:tx>
            <c:strRef>
              <c:f>Gas!$A$14</c:f>
              <c:strCache>
                <c:ptCount val="1"/>
                <c:pt idx="0">
                  <c:v>2015.761905</c:v>
                </c:pt>
              </c:strCache>
            </c:strRef>
          </c:tx>
          <c:spPr>
            <a:solidFill>
              <a:schemeClr val="accent6">
                <a:lumMod val="6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Gas!$B$14:$Q$14</c:f>
              <c:extLst/>
            </c:numRef>
          </c:val>
          <c:extLst>
            <c:ext xmlns:c16="http://schemas.microsoft.com/office/drawing/2014/chart" uri="{C3380CC4-5D6E-409C-BE32-E72D297353CC}">
              <c16:uniqueId val="{0000000B-3239-4B30-A0E2-9948104C5E76}"/>
            </c:ext>
          </c:extLst>
        </c:ser>
        <c:ser>
          <c:idx val="12"/>
          <c:order val="12"/>
          <c:tx>
            <c:strRef>
              <c:f>Gas!$A$15</c:f>
              <c:strCache>
                <c:ptCount val="1"/>
                <c:pt idx="0">
                  <c:v>2016.190476</c:v>
                </c:pt>
              </c:strCache>
            </c:strRef>
          </c:tx>
          <c:spPr>
            <a:solidFill>
              <a:schemeClr val="accent1">
                <a:lumMod val="80000"/>
                <a:lumOff val="2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Gas!$B$15:$Q$15</c:f>
              <c:extLst/>
            </c:numRef>
          </c:val>
          <c:extLst>
            <c:ext xmlns:c16="http://schemas.microsoft.com/office/drawing/2014/chart" uri="{C3380CC4-5D6E-409C-BE32-E72D297353CC}">
              <c16:uniqueId val="{0000000C-3239-4B30-A0E2-9948104C5E76}"/>
            </c:ext>
          </c:extLst>
        </c:ser>
        <c:ser>
          <c:idx val="13"/>
          <c:order val="13"/>
          <c:tx>
            <c:strRef>
              <c:f>Gas!$A$16</c:f>
              <c:strCache>
                <c:ptCount val="1"/>
                <c:pt idx="0">
                  <c:v>2016.619048</c:v>
                </c:pt>
              </c:strCache>
            </c:strRef>
          </c:tx>
          <c:spPr>
            <a:solidFill>
              <a:schemeClr val="accent2">
                <a:lumMod val="80000"/>
                <a:lumOff val="2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Gas!$B$16:$Q$16</c:f>
              <c:extLst/>
            </c:numRef>
          </c:val>
          <c:extLst>
            <c:ext xmlns:c16="http://schemas.microsoft.com/office/drawing/2014/chart" uri="{C3380CC4-5D6E-409C-BE32-E72D297353CC}">
              <c16:uniqueId val="{0000000D-3239-4B30-A0E2-9948104C5E76}"/>
            </c:ext>
          </c:extLst>
        </c:ser>
        <c:ser>
          <c:idx val="14"/>
          <c:order val="14"/>
          <c:tx>
            <c:strRef>
              <c:f>Gas!$A$17</c:f>
              <c:strCache>
                <c:ptCount val="1"/>
                <c:pt idx="0">
                  <c:v>2014</c:v>
                </c:pt>
              </c:strCache>
            </c:strRef>
          </c:tx>
          <c:spPr>
            <a:solidFill>
              <a:schemeClr val="accent3"/>
            </a:solidFill>
            <a:ln>
              <a:noFill/>
            </a:ln>
            <a:effectLst/>
          </c:spPr>
          <c:invertIfNegative val="0"/>
          <c:cat>
            <c:strRef>
              <c:f>Gas!$B$1:$Q$2</c:f>
              <c:strCache>
                <c:ptCount val="8"/>
                <c:pt idx="0">
                  <c:v>Columbia</c:v>
                </c:pt>
                <c:pt idx="1">
                  <c:v>NFG</c:v>
                </c:pt>
                <c:pt idx="2">
                  <c:v>PECO Gas</c:v>
                </c:pt>
                <c:pt idx="3">
                  <c:v>Peoples</c:v>
                </c:pt>
                <c:pt idx="4">
                  <c:v>EQT</c:v>
                </c:pt>
                <c:pt idx="5">
                  <c:v>PGW</c:v>
                </c:pt>
                <c:pt idx="6">
                  <c:v>UGI Gas</c:v>
                </c:pt>
                <c:pt idx="7">
                  <c:v>UGI PNG</c:v>
                </c:pt>
              </c:strCache>
              <c:extLst/>
            </c:strRef>
          </c:cat>
          <c:val>
            <c:numRef>
              <c:f>Gas!$B$17:$Q$17</c:f>
              <c:numCache>
                <c:formatCode>0.00%</c:formatCode>
                <c:ptCount val="8"/>
                <c:pt idx="0">
                  <c:v>8.595573816416098E-2</c:v>
                </c:pt>
                <c:pt idx="1">
                  <c:v>0.20618556701030927</c:v>
                </c:pt>
                <c:pt idx="2">
                  <c:v>0.51112822799691893</c:v>
                </c:pt>
                <c:pt idx="3">
                  <c:v>0.1426475053132274</c:v>
                </c:pt>
                <c:pt idx="4">
                  <c:v>0.21456427178641069</c:v>
                </c:pt>
                <c:pt idx="5">
                  <c:v>1.6067822202648714</c:v>
                </c:pt>
                <c:pt idx="6">
                  <c:v>0.1065732598002683</c:v>
                </c:pt>
                <c:pt idx="7">
                  <c:v>7.6908505398749757E-2</c:v>
                </c:pt>
              </c:numCache>
              <c:extLst/>
            </c:numRef>
          </c:val>
          <c:extLst>
            <c:ext xmlns:c16="http://schemas.microsoft.com/office/drawing/2014/chart" uri="{C3380CC4-5D6E-409C-BE32-E72D297353CC}">
              <c16:uniqueId val="{0000000E-3239-4B30-A0E2-9948104C5E76}"/>
            </c:ext>
          </c:extLst>
        </c:ser>
        <c:ser>
          <c:idx val="15"/>
          <c:order val="15"/>
          <c:tx>
            <c:strRef>
              <c:f>Gas!$A$18</c:f>
              <c:strCache>
                <c:ptCount val="1"/>
                <c:pt idx="0">
                  <c:v>2017.47619</c:v>
                </c:pt>
              </c:strCache>
            </c:strRef>
          </c:tx>
          <c:spPr>
            <a:solidFill>
              <a:schemeClr val="accent4">
                <a:lumMod val="80000"/>
                <a:lumOff val="2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Gas!$B$18:$Q$18</c:f>
              <c:extLst/>
            </c:numRef>
          </c:val>
          <c:extLst>
            <c:ext xmlns:c16="http://schemas.microsoft.com/office/drawing/2014/chart" uri="{C3380CC4-5D6E-409C-BE32-E72D297353CC}">
              <c16:uniqueId val="{0000000F-3239-4B30-A0E2-9948104C5E76}"/>
            </c:ext>
          </c:extLst>
        </c:ser>
        <c:ser>
          <c:idx val="16"/>
          <c:order val="16"/>
          <c:tx>
            <c:strRef>
              <c:f>Gas!$A$19</c:f>
              <c:strCache>
                <c:ptCount val="1"/>
                <c:pt idx="0">
                  <c:v>2017.904762</c:v>
                </c:pt>
              </c:strCache>
            </c:strRef>
          </c:tx>
          <c:spPr>
            <a:solidFill>
              <a:schemeClr val="accent5">
                <a:lumMod val="80000"/>
                <a:lumOff val="2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Gas!$B$19:$Q$19</c:f>
              <c:extLst/>
            </c:numRef>
          </c:val>
          <c:extLst>
            <c:ext xmlns:c16="http://schemas.microsoft.com/office/drawing/2014/chart" uri="{C3380CC4-5D6E-409C-BE32-E72D297353CC}">
              <c16:uniqueId val="{00000010-3239-4B30-A0E2-9948104C5E76}"/>
            </c:ext>
          </c:extLst>
        </c:ser>
        <c:ser>
          <c:idx val="17"/>
          <c:order val="17"/>
          <c:tx>
            <c:strRef>
              <c:f>Gas!$A$20</c:f>
              <c:strCache>
                <c:ptCount val="1"/>
                <c:pt idx="0">
                  <c:v>2018.333333</c:v>
                </c:pt>
              </c:strCache>
            </c:strRef>
          </c:tx>
          <c:spPr>
            <a:solidFill>
              <a:schemeClr val="accent6">
                <a:lumMod val="80000"/>
                <a:lumOff val="2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Gas!$B$20:$Q$20</c:f>
              <c:extLst/>
            </c:numRef>
          </c:val>
          <c:extLst>
            <c:ext xmlns:c16="http://schemas.microsoft.com/office/drawing/2014/chart" uri="{C3380CC4-5D6E-409C-BE32-E72D297353CC}">
              <c16:uniqueId val="{00000011-3239-4B30-A0E2-9948104C5E76}"/>
            </c:ext>
          </c:extLst>
        </c:ser>
        <c:ser>
          <c:idx val="18"/>
          <c:order val="18"/>
          <c:tx>
            <c:strRef>
              <c:f>Gas!$A$21</c:f>
              <c:strCache>
                <c:ptCount val="1"/>
                <c:pt idx="0">
                  <c:v>2018.761905</c:v>
                </c:pt>
              </c:strCache>
            </c:strRef>
          </c:tx>
          <c:spPr>
            <a:solidFill>
              <a:schemeClr val="accent1">
                <a:lumMod val="8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Gas!$B$21:$Q$21</c:f>
              <c:extLst/>
            </c:numRef>
          </c:val>
          <c:extLst>
            <c:ext xmlns:c16="http://schemas.microsoft.com/office/drawing/2014/chart" uri="{C3380CC4-5D6E-409C-BE32-E72D297353CC}">
              <c16:uniqueId val="{00000012-3239-4B30-A0E2-9948104C5E76}"/>
            </c:ext>
          </c:extLst>
        </c:ser>
        <c:ser>
          <c:idx val="19"/>
          <c:order val="19"/>
          <c:tx>
            <c:strRef>
              <c:f>Gas!$A$22</c:f>
              <c:strCache>
                <c:ptCount val="1"/>
                <c:pt idx="0">
                  <c:v>2015</c:v>
                </c:pt>
              </c:strCache>
            </c:strRef>
          </c:tx>
          <c:spPr>
            <a:solidFill>
              <a:schemeClr val="accent4"/>
            </a:solidFill>
            <a:ln>
              <a:noFill/>
            </a:ln>
            <a:effectLst/>
          </c:spPr>
          <c:invertIfNegative val="0"/>
          <c:cat>
            <c:strRef>
              <c:f>Gas!$B$1:$Q$2</c:f>
              <c:strCache>
                <c:ptCount val="8"/>
                <c:pt idx="0">
                  <c:v>Columbia</c:v>
                </c:pt>
                <c:pt idx="1">
                  <c:v>NFG</c:v>
                </c:pt>
                <c:pt idx="2">
                  <c:v>PECO Gas</c:v>
                </c:pt>
                <c:pt idx="3">
                  <c:v>Peoples</c:v>
                </c:pt>
                <c:pt idx="4">
                  <c:v>EQT</c:v>
                </c:pt>
                <c:pt idx="5">
                  <c:v>PGW</c:v>
                </c:pt>
                <c:pt idx="6">
                  <c:v>UGI Gas</c:v>
                </c:pt>
                <c:pt idx="7">
                  <c:v>UGI PNG</c:v>
                </c:pt>
              </c:strCache>
              <c:extLst/>
            </c:strRef>
          </c:cat>
          <c:val>
            <c:numRef>
              <c:f>Gas!$B$22:$Q$22</c:f>
              <c:numCache>
                <c:formatCode>0.00%</c:formatCode>
                <c:ptCount val="8"/>
                <c:pt idx="0">
                  <c:v>0.16592930444697834</c:v>
                </c:pt>
                <c:pt idx="1">
                  <c:v>0.2006891510911559</c:v>
                </c:pt>
                <c:pt idx="2">
                  <c:v>0.54092612743320034</c:v>
                </c:pt>
                <c:pt idx="3">
                  <c:v>0.1990505090054816</c:v>
                </c:pt>
                <c:pt idx="4">
                  <c:v>0.23986604339635806</c:v>
                </c:pt>
                <c:pt idx="5">
                  <c:v>0.1648569586989935</c:v>
                </c:pt>
                <c:pt idx="6">
                  <c:v>0.19694006672034969</c:v>
                </c:pt>
                <c:pt idx="7">
                  <c:v>0.17165401220783089</c:v>
                </c:pt>
              </c:numCache>
              <c:extLst/>
            </c:numRef>
          </c:val>
          <c:extLst>
            <c:ext xmlns:c16="http://schemas.microsoft.com/office/drawing/2014/chart" uri="{C3380CC4-5D6E-409C-BE32-E72D297353CC}">
              <c16:uniqueId val="{00000013-3239-4B30-A0E2-9948104C5E76}"/>
            </c:ext>
          </c:extLst>
        </c:ser>
        <c:ser>
          <c:idx val="20"/>
          <c:order val="20"/>
          <c:tx>
            <c:strRef>
              <c:f>Gas!$A$23</c:f>
              <c:strCache>
                <c:ptCount val="1"/>
                <c:pt idx="0">
                  <c:v>2019.619048</c:v>
                </c:pt>
              </c:strCache>
            </c:strRef>
          </c:tx>
          <c:spPr>
            <a:solidFill>
              <a:schemeClr val="accent3">
                <a:lumMod val="8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Gas!$B$23:$Q$23</c:f>
              <c:extLst/>
            </c:numRef>
          </c:val>
          <c:extLst>
            <c:ext xmlns:c16="http://schemas.microsoft.com/office/drawing/2014/chart" uri="{C3380CC4-5D6E-409C-BE32-E72D297353CC}">
              <c16:uniqueId val="{00000014-3239-4B30-A0E2-9948104C5E76}"/>
            </c:ext>
          </c:extLst>
        </c:ser>
        <c:ser>
          <c:idx val="21"/>
          <c:order val="21"/>
          <c:tx>
            <c:strRef>
              <c:f>Gas!$A$24</c:f>
              <c:strCache>
                <c:ptCount val="1"/>
                <c:pt idx="0">
                  <c:v>2020.047619</c:v>
                </c:pt>
              </c:strCache>
            </c:strRef>
          </c:tx>
          <c:spPr>
            <a:solidFill>
              <a:schemeClr val="accent4">
                <a:lumMod val="8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Gas!$B$24:$Q$24</c:f>
              <c:extLst/>
            </c:numRef>
          </c:val>
          <c:extLst>
            <c:ext xmlns:c16="http://schemas.microsoft.com/office/drawing/2014/chart" uri="{C3380CC4-5D6E-409C-BE32-E72D297353CC}">
              <c16:uniqueId val="{00000015-3239-4B30-A0E2-9948104C5E76}"/>
            </c:ext>
          </c:extLst>
        </c:ser>
        <c:ser>
          <c:idx val="22"/>
          <c:order val="22"/>
          <c:tx>
            <c:strRef>
              <c:f>Gas!$A$25</c:f>
              <c:strCache>
                <c:ptCount val="1"/>
                <c:pt idx="0">
                  <c:v>2020.47619</c:v>
                </c:pt>
              </c:strCache>
            </c:strRef>
          </c:tx>
          <c:spPr>
            <a:solidFill>
              <a:schemeClr val="accent5">
                <a:lumMod val="8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Gas!$B$25:$Q$25</c:f>
              <c:extLst/>
            </c:numRef>
          </c:val>
          <c:extLst>
            <c:ext xmlns:c16="http://schemas.microsoft.com/office/drawing/2014/chart" uri="{C3380CC4-5D6E-409C-BE32-E72D297353CC}">
              <c16:uniqueId val="{00000016-3239-4B30-A0E2-9948104C5E76}"/>
            </c:ext>
          </c:extLst>
        </c:ser>
        <c:ser>
          <c:idx val="23"/>
          <c:order val="23"/>
          <c:tx>
            <c:strRef>
              <c:f>Gas!$A$26</c:f>
              <c:strCache>
                <c:ptCount val="1"/>
                <c:pt idx="0">
                  <c:v>2020.904762</c:v>
                </c:pt>
              </c:strCache>
            </c:strRef>
          </c:tx>
          <c:spPr>
            <a:solidFill>
              <a:schemeClr val="accent6">
                <a:lumMod val="8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Gas!$B$26:$Q$26</c:f>
              <c:extLst/>
            </c:numRef>
          </c:val>
          <c:extLst>
            <c:ext xmlns:c16="http://schemas.microsoft.com/office/drawing/2014/chart" uri="{C3380CC4-5D6E-409C-BE32-E72D297353CC}">
              <c16:uniqueId val="{00000017-3239-4B30-A0E2-9948104C5E76}"/>
            </c:ext>
          </c:extLst>
        </c:ser>
        <c:ser>
          <c:idx val="24"/>
          <c:order val="24"/>
          <c:tx>
            <c:strRef>
              <c:f>Gas!$A$27</c:f>
              <c:strCache>
                <c:ptCount val="1"/>
                <c:pt idx="0">
                  <c:v>2016</c:v>
                </c:pt>
              </c:strCache>
            </c:strRef>
          </c:tx>
          <c:spPr>
            <a:solidFill>
              <a:schemeClr val="accent5"/>
            </a:solidFill>
            <a:ln>
              <a:noFill/>
            </a:ln>
            <a:effectLst/>
          </c:spPr>
          <c:invertIfNegative val="0"/>
          <c:cat>
            <c:strRef>
              <c:f>Gas!$B$1:$Q$2</c:f>
              <c:strCache>
                <c:ptCount val="8"/>
                <c:pt idx="0">
                  <c:v>Columbia</c:v>
                </c:pt>
                <c:pt idx="1">
                  <c:v>NFG</c:v>
                </c:pt>
                <c:pt idx="2">
                  <c:v>PECO Gas</c:v>
                </c:pt>
                <c:pt idx="3">
                  <c:v>Peoples</c:v>
                </c:pt>
                <c:pt idx="4">
                  <c:v>EQT</c:v>
                </c:pt>
                <c:pt idx="5">
                  <c:v>PGW</c:v>
                </c:pt>
                <c:pt idx="6">
                  <c:v>UGI Gas</c:v>
                </c:pt>
                <c:pt idx="7">
                  <c:v>UGI PNG</c:v>
                </c:pt>
              </c:strCache>
              <c:extLst/>
            </c:strRef>
          </c:cat>
          <c:val>
            <c:numRef>
              <c:f>Gas!$B$27:$Q$27</c:f>
              <c:numCache>
                <c:formatCode>0.00%</c:formatCode>
                <c:ptCount val="8"/>
                <c:pt idx="0">
                  <c:v>0.16574457203961132</c:v>
                </c:pt>
                <c:pt idx="1">
                  <c:v>0.1085316308763784</c:v>
                </c:pt>
                <c:pt idx="2">
                  <c:v>0.50165168304411456</c:v>
                </c:pt>
                <c:pt idx="3">
                  <c:v>0.18039077093956682</c:v>
                </c:pt>
                <c:pt idx="4">
                  <c:v>0.31863757003833676</c:v>
                </c:pt>
                <c:pt idx="5">
                  <c:v>0.19002406807284855</c:v>
                </c:pt>
                <c:pt idx="6">
                  <c:v>0.12135559431846499</c:v>
                </c:pt>
                <c:pt idx="7">
                  <c:v>0.10170045781556573</c:v>
                </c:pt>
              </c:numCache>
              <c:extLst/>
            </c:numRef>
          </c:val>
          <c:extLst>
            <c:ext xmlns:c16="http://schemas.microsoft.com/office/drawing/2014/chart" uri="{C3380CC4-5D6E-409C-BE32-E72D297353CC}">
              <c16:uniqueId val="{00000018-3239-4B30-A0E2-9948104C5E76}"/>
            </c:ext>
          </c:extLst>
        </c:ser>
        <c:dLbls>
          <c:showLegendKey val="0"/>
          <c:showVal val="0"/>
          <c:showCatName val="0"/>
          <c:showSerName val="0"/>
          <c:showPercent val="0"/>
          <c:showBubbleSize val="0"/>
        </c:dLbls>
        <c:gapWidth val="219"/>
        <c:overlap val="-27"/>
        <c:axId val="622334864"/>
        <c:axId val="622337816"/>
      </c:barChart>
      <c:catAx>
        <c:axId val="62233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22337816"/>
        <c:crosses val="autoZero"/>
        <c:auto val="1"/>
        <c:lblAlgn val="ctr"/>
        <c:lblOffset val="100"/>
        <c:noMultiLvlLbl val="0"/>
      </c:catAx>
      <c:valAx>
        <c:axId val="622337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2233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Gas!$A$3</c:f>
              <c:strCache>
                <c:ptCount val="1"/>
                <c:pt idx="0">
                  <c:v>50%</c:v>
                </c:pt>
              </c:strCache>
            </c:strRef>
          </c:tx>
          <c:spPr>
            <a:solidFill>
              <a:schemeClr val="accent1"/>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Gas!$B$3:$Q$3</c:f>
              <c:extLst/>
            </c:numRef>
          </c:val>
          <c:extLst>
            <c:ext xmlns:c16="http://schemas.microsoft.com/office/drawing/2014/chart" uri="{C3380CC4-5D6E-409C-BE32-E72D297353CC}">
              <c16:uniqueId val="{00000000-80EB-497D-BB8D-D334A23C8C3D}"/>
            </c:ext>
          </c:extLst>
        </c:ser>
        <c:ser>
          <c:idx val="1"/>
          <c:order val="1"/>
          <c:tx>
            <c:strRef>
              <c:f>Gas!$A$4</c:f>
              <c:strCache>
                <c:ptCount val="1"/>
                <c:pt idx="0">
                  <c:v>100%</c:v>
                </c:pt>
              </c:strCache>
            </c:strRef>
          </c:tx>
          <c:spPr>
            <a:solidFill>
              <a:schemeClr val="accent2"/>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Gas!$B$4:$Q$4</c:f>
              <c:extLst/>
            </c:numRef>
          </c:val>
          <c:extLst>
            <c:ext xmlns:c16="http://schemas.microsoft.com/office/drawing/2014/chart" uri="{C3380CC4-5D6E-409C-BE32-E72D297353CC}">
              <c16:uniqueId val="{00000001-80EB-497D-BB8D-D334A23C8C3D}"/>
            </c:ext>
          </c:extLst>
        </c:ser>
        <c:ser>
          <c:idx val="2"/>
          <c:order val="2"/>
          <c:tx>
            <c:strRef>
              <c:f>Gas!$A$5</c:f>
              <c:strCache>
                <c:ptCount val="1"/>
                <c:pt idx="0">
                  <c:v>150%</c:v>
                </c:pt>
              </c:strCache>
            </c:strRef>
          </c:tx>
          <c:spPr>
            <a:solidFill>
              <a:schemeClr val="accent3"/>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Gas!$B$5:$Q$5</c:f>
              <c:extLst/>
            </c:numRef>
          </c:val>
          <c:extLst>
            <c:ext xmlns:c16="http://schemas.microsoft.com/office/drawing/2014/chart" uri="{C3380CC4-5D6E-409C-BE32-E72D297353CC}">
              <c16:uniqueId val="{00000002-80EB-497D-BB8D-D334A23C8C3D}"/>
            </c:ext>
          </c:extLst>
        </c:ser>
        <c:ser>
          <c:idx val="3"/>
          <c:order val="3"/>
          <c:tx>
            <c:strRef>
              <c:f>Gas!$A$6</c:f>
              <c:strCache>
                <c:ptCount val="1"/>
                <c:pt idx="0">
                  <c:v>Combined</c:v>
                </c:pt>
              </c:strCache>
            </c:strRef>
          </c:tx>
          <c:spPr>
            <a:solidFill>
              <a:schemeClr val="accent4"/>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Gas!$B$6:$Q$6</c:f>
              <c:extLst/>
            </c:numRef>
          </c:val>
          <c:extLst>
            <c:ext xmlns:c16="http://schemas.microsoft.com/office/drawing/2014/chart" uri="{C3380CC4-5D6E-409C-BE32-E72D297353CC}">
              <c16:uniqueId val="{00000003-80EB-497D-BB8D-D334A23C8C3D}"/>
            </c:ext>
          </c:extLst>
        </c:ser>
        <c:ser>
          <c:idx val="4"/>
          <c:order val="4"/>
          <c:tx>
            <c:strRef>
              <c:f>Gas!$A$7</c:f>
              <c:strCache>
                <c:ptCount val="1"/>
                <c:pt idx="0">
                  <c:v>2012</c:v>
                </c:pt>
              </c:strCache>
            </c:strRef>
          </c:tx>
          <c:spPr>
            <a:solidFill>
              <a:schemeClr val="accent1"/>
            </a:solidFill>
            <a:ln>
              <a:noFill/>
            </a:ln>
            <a:effectLst/>
          </c:spPr>
          <c:invertIfNegative val="0"/>
          <c:cat>
            <c:strRef>
              <c:f>Gas!$B$1:$Q$2</c:f>
              <c:strCache>
                <c:ptCount val="8"/>
                <c:pt idx="0">
                  <c:v>Columbia</c:v>
                </c:pt>
                <c:pt idx="1">
                  <c:v>NFG</c:v>
                </c:pt>
                <c:pt idx="2">
                  <c:v>PECO Gas</c:v>
                </c:pt>
                <c:pt idx="3">
                  <c:v>Peoples</c:v>
                </c:pt>
                <c:pt idx="4">
                  <c:v>EQT</c:v>
                </c:pt>
                <c:pt idx="5">
                  <c:v>PGW</c:v>
                </c:pt>
                <c:pt idx="6">
                  <c:v>UGI Gas</c:v>
                </c:pt>
                <c:pt idx="7">
                  <c:v>UGI PNG</c:v>
                </c:pt>
              </c:strCache>
              <c:extLst/>
            </c:strRef>
          </c:cat>
          <c:val>
            <c:numRef>
              <c:f>Gas!$B$7:$Q$7</c:f>
              <c:numCache>
                <c:formatCode>0.00%</c:formatCode>
                <c:ptCount val="8"/>
                <c:pt idx="0">
                  <c:v>0.11628897194493069</c:v>
                </c:pt>
                <c:pt idx="1">
                  <c:v>5.7191291934332616E-2</c:v>
                </c:pt>
                <c:pt idx="2">
                  <c:v>2.1625960737798704E-3</c:v>
                </c:pt>
                <c:pt idx="3">
                  <c:v>5.2901592377906592E-2</c:v>
                </c:pt>
                <c:pt idx="4">
                  <c:v>0</c:v>
                </c:pt>
                <c:pt idx="5">
                  <c:v>6.9340203875882161E-2</c:v>
                </c:pt>
                <c:pt idx="6">
                  <c:v>0.20945395273023634</c:v>
                </c:pt>
                <c:pt idx="7">
                  <c:v>0.22852396772662553</c:v>
                </c:pt>
              </c:numCache>
              <c:extLst/>
            </c:numRef>
          </c:val>
          <c:extLst>
            <c:ext xmlns:c16="http://schemas.microsoft.com/office/drawing/2014/chart" uri="{C3380CC4-5D6E-409C-BE32-E72D297353CC}">
              <c16:uniqueId val="{00000004-80EB-497D-BB8D-D334A23C8C3D}"/>
            </c:ext>
          </c:extLst>
        </c:ser>
        <c:ser>
          <c:idx val="5"/>
          <c:order val="5"/>
          <c:tx>
            <c:strRef>
              <c:f>Gas!$A$8</c:f>
              <c:strCache>
                <c:ptCount val="1"/>
                <c:pt idx="0">
                  <c:v>2013</c:v>
                </c:pt>
              </c:strCache>
            </c:strRef>
          </c:tx>
          <c:spPr>
            <a:solidFill>
              <a:schemeClr val="accent6"/>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Gas!$B$8:$Q$8</c:f>
              <c:extLst/>
            </c:numRef>
          </c:val>
          <c:extLst>
            <c:ext xmlns:c16="http://schemas.microsoft.com/office/drawing/2014/chart" uri="{C3380CC4-5D6E-409C-BE32-E72D297353CC}">
              <c16:uniqueId val="{00000005-80EB-497D-BB8D-D334A23C8C3D}"/>
            </c:ext>
          </c:extLst>
        </c:ser>
        <c:ser>
          <c:idx val="6"/>
          <c:order val="6"/>
          <c:tx>
            <c:strRef>
              <c:f>Gas!$A$9</c:f>
              <c:strCache>
                <c:ptCount val="1"/>
                <c:pt idx="0">
                  <c:v>2014</c:v>
                </c:pt>
              </c:strCache>
            </c:strRef>
          </c:tx>
          <c:spPr>
            <a:solidFill>
              <a:schemeClr val="accent1">
                <a:lumMod val="6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Gas!$B$9:$Q$9</c:f>
              <c:extLst/>
            </c:numRef>
          </c:val>
          <c:extLst>
            <c:ext xmlns:c16="http://schemas.microsoft.com/office/drawing/2014/chart" uri="{C3380CC4-5D6E-409C-BE32-E72D297353CC}">
              <c16:uniqueId val="{00000006-80EB-497D-BB8D-D334A23C8C3D}"/>
            </c:ext>
          </c:extLst>
        </c:ser>
        <c:ser>
          <c:idx val="7"/>
          <c:order val="7"/>
          <c:tx>
            <c:strRef>
              <c:f>Gas!$A$10</c:f>
              <c:strCache>
                <c:ptCount val="1"/>
                <c:pt idx="0">
                  <c:v>2015</c:v>
                </c:pt>
              </c:strCache>
            </c:strRef>
          </c:tx>
          <c:spPr>
            <a:solidFill>
              <a:schemeClr val="accent2">
                <a:lumMod val="6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Gas!$B$10:$Q$10</c:f>
              <c:extLst/>
            </c:numRef>
          </c:val>
          <c:extLst>
            <c:ext xmlns:c16="http://schemas.microsoft.com/office/drawing/2014/chart" uri="{C3380CC4-5D6E-409C-BE32-E72D297353CC}">
              <c16:uniqueId val="{00000007-80EB-497D-BB8D-D334A23C8C3D}"/>
            </c:ext>
          </c:extLst>
        </c:ser>
        <c:ser>
          <c:idx val="8"/>
          <c:order val="8"/>
          <c:tx>
            <c:strRef>
              <c:f>Gas!$A$11</c:f>
              <c:strCache>
                <c:ptCount val="1"/>
                <c:pt idx="0">
                  <c:v>2016</c:v>
                </c:pt>
              </c:strCache>
            </c:strRef>
          </c:tx>
          <c:spPr>
            <a:solidFill>
              <a:schemeClr val="accent3">
                <a:lumMod val="6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Gas!$B$11:$Q$11</c:f>
              <c:extLst/>
            </c:numRef>
          </c:val>
          <c:extLst>
            <c:ext xmlns:c16="http://schemas.microsoft.com/office/drawing/2014/chart" uri="{C3380CC4-5D6E-409C-BE32-E72D297353CC}">
              <c16:uniqueId val="{00000008-80EB-497D-BB8D-D334A23C8C3D}"/>
            </c:ext>
          </c:extLst>
        </c:ser>
        <c:ser>
          <c:idx val="9"/>
          <c:order val="9"/>
          <c:tx>
            <c:strRef>
              <c:f>Gas!$A$12</c:f>
              <c:strCache>
                <c:ptCount val="1"/>
                <c:pt idx="0">
                  <c:v>2013</c:v>
                </c:pt>
              </c:strCache>
            </c:strRef>
          </c:tx>
          <c:spPr>
            <a:solidFill>
              <a:schemeClr val="accent2"/>
            </a:solidFill>
            <a:ln>
              <a:noFill/>
            </a:ln>
            <a:effectLst/>
          </c:spPr>
          <c:invertIfNegative val="0"/>
          <c:cat>
            <c:strRef>
              <c:f>Gas!$B$1:$Q$2</c:f>
              <c:strCache>
                <c:ptCount val="8"/>
                <c:pt idx="0">
                  <c:v>Columbia</c:v>
                </c:pt>
                <c:pt idx="1">
                  <c:v>NFG</c:v>
                </c:pt>
                <c:pt idx="2">
                  <c:v>PECO Gas</c:v>
                </c:pt>
                <c:pt idx="3">
                  <c:v>Peoples</c:v>
                </c:pt>
                <c:pt idx="4">
                  <c:v>EQT</c:v>
                </c:pt>
                <c:pt idx="5">
                  <c:v>PGW</c:v>
                </c:pt>
                <c:pt idx="6">
                  <c:v>UGI Gas</c:v>
                </c:pt>
                <c:pt idx="7">
                  <c:v>UGI PNG</c:v>
                </c:pt>
              </c:strCache>
              <c:extLst/>
            </c:strRef>
          </c:cat>
          <c:val>
            <c:numRef>
              <c:f>Gas!$B$12:$Q$12</c:f>
              <c:numCache>
                <c:formatCode>0.00%</c:formatCode>
                <c:ptCount val="8"/>
                <c:pt idx="0">
                  <c:v>0.11336666161692673</c:v>
                </c:pt>
                <c:pt idx="1">
                  <c:v>4.0959742997690993E-2</c:v>
                </c:pt>
                <c:pt idx="2">
                  <c:v>3.7531767423950712E-3</c:v>
                </c:pt>
                <c:pt idx="3">
                  <c:v>6.7033571821684096E-2</c:v>
                </c:pt>
                <c:pt idx="4">
                  <c:v>0</c:v>
                </c:pt>
                <c:pt idx="5">
                  <c:v>6.018226475364731E-2</c:v>
                </c:pt>
                <c:pt idx="6">
                  <c:v>0.16093846470467174</c:v>
                </c:pt>
                <c:pt idx="7">
                  <c:v>0.16648936170212766</c:v>
                </c:pt>
              </c:numCache>
              <c:extLst/>
            </c:numRef>
          </c:val>
          <c:extLst>
            <c:ext xmlns:c16="http://schemas.microsoft.com/office/drawing/2014/chart" uri="{C3380CC4-5D6E-409C-BE32-E72D297353CC}">
              <c16:uniqueId val="{00000009-80EB-497D-BB8D-D334A23C8C3D}"/>
            </c:ext>
          </c:extLst>
        </c:ser>
        <c:ser>
          <c:idx val="10"/>
          <c:order val="10"/>
          <c:tx>
            <c:strRef>
              <c:f>Gas!$A$13</c:f>
              <c:strCache>
                <c:ptCount val="1"/>
                <c:pt idx="0">
                  <c:v>2015.333333</c:v>
                </c:pt>
              </c:strCache>
            </c:strRef>
          </c:tx>
          <c:spPr>
            <a:solidFill>
              <a:schemeClr val="accent5">
                <a:lumMod val="6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Gas!$B$13:$Q$13</c:f>
              <c:extLst/>
            </c:numRef>
          </c:val>
          <c:extLst>
            <c:ext xmlns:c16="http://schemas.microsoft.com/office/drawing/2014/chart" uri="{C3380CC4-5D6E-409C-BE32-E72D297353CC}">
              <c16:uniqueId val="{0000000A-80EB-497D-BB8D-D334A23C8C3D}"/>
            </c:ext>
          </c:extLst>
        </c:ser>
        <c:ser>
          <c:idx val="11"/>
          <c:order val="11"/>
          <c:tx>
            <c:strRef>
              <c:f>Gas!$A$14</c:f>
              <c:strCache>
                <c:ptCount val="1"/>
                <c:pt idx="0">
                  <c:v>2015.761905</c:v>
                </c:pt>
              </c:strCache>
            </c:strRef>
          </c:tx>
          <c:spPr>
            <a:solidFill>
              <a:schemeClr val="accent6">
                <a:lumMod val="6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Gas!$B$14:$Q$14</c:f>
              <c:extLst/>
            </c:numRef>
          </c:val>
          <c:extLst>
            <c:ext xmlns:c16="http://schemas.microsoft.com/office/drawing/2014/chart" uri="{C3380CC4-5D6E-409C-BE32-E72D297353CC}">
              <c16:uniqueId val="{0000000B-80EB-497D-BB8D-D334A23C8C3D}"/>
            </c:ext>
          </c:extLst>
        </c:ser>
        <c:ser>
          <c:idx val="12"/>
          <c:order val="12"/>
          <c:tx>
            <c:strRef>
              <c:f>Gas!$A$15</c:f>
              <c:strCache>
                <c:ptCount val="1"/>
                <c:pt idx="0">
                  <c:v>2016.190476</c:v>
                </c:pt>
              </c:strCache>
            </c:strRef>
          </c:tx>
          <c:spPr>
            <a:solidFill>
              <a:schemeClr val="accent1">
                <a:lumMod val="80000"/>
                <a:lumOff val="2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Gas!$B$15:$Q$15</c:f>
              <c:extLst/>
            </c:numRef>
          </c:val>
          <c:extLst>
            <c:ext xmlns:c16="http://schemas.microsoft.com/office/drawing/2014/chart" uri="{C3380CC4-5D6E-409C-BE32-E72D297353CC}">
              <c16:uniqueId val="{0000000C-80EB-497D-BB8D-D334A23C8C3D}"/>
            </c:ext>
          </c:extLst>
        </c:ser>
        <c:ser>
          <c:idx val="13"/>
          <c:order val="13"/>
          <c:tx>
            <c:strRef>
              <c:f>Gas!$A$16</c:f>
              <c:strCache>
                <c:ptCount val="1"/>
                <c:pt idx="0">
                  <c:v>2016.619048</c:v>
                </c:pt>
              </c:strCache>
            </c:strRef>
          </c:tx>
          <c:spPr>
            <a:solidFill>
              <a:schemeClr val="accent2">
                <a:lumMod val="80000"/>
                <a:lumOff val="2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Gas!$B$16:$Q$16</c:f>
              <c:extLst/>
            </c:numRef>
          </c:val>
          <c:extLst>
            <c:ext xmlns:c16="http://schemas.microsoft.com/office/drawing/2014/chart" uri="{C3380CC4-5D6E-409C-BE32-E72D297353CC}">
              <c16:uniqueId val="{0000000D-80EB-497D-BB8D-D334A23C8C3D}"/>
            </c:ext>
          </c:extLst>
        </c:ser>
        <c:ser>
          <c:idx val="14"/>
          <c:order val="14"/>
          <c:tx>
            <c:strRef>
              <c:f>Gas!$A$17</c:f>
              <c:strCache>
                <c:ptCount val="1"/>
                <c:pt idx="0">
                  <c:v>2014</c:v>
                </c:pt>
              </c:strCache>
            </c:strRef>
          </c:tx>
          <c:spPr>
            <a:solidFill>
              <a:schemeClr val="accent3"/>
            </a:solidFill>
            <a:ln>
              <a:noFill/>
            </a:ln>
            <a:effectLst/>
          </c:spPr>
          <c:invertIfNegative val="0"/>
          <c:cat>
            <c:strRef>
              <c:f>Gas!$B$1:$Q$2</c:f>
              <c:strCache>
                <c:ptCount val="8"/>
                <c:pt idx="0">
                  <c:v>Columbia</c:v>
                </c:pt>
                <c:pt idx="1">
                  <c:v>NFG</c:v>
                </c:pt>
                <c:pt idx="2">
                  <c:v>PECO Gas</c:v>
                </c:pt>
                <c:pt idx="3">
                  <c:v>Peoples</c:v>
                </c:pt>
                <c:pt idx="4">
                  <c:v>EQT</c:v>
                </c:pt>
                <c:pt idx="5">
                  <c:v>PGW</c:v>
                </c:pt>
                <c:pt idx="6">
                  <c:v>UGI Gas</c:v>
                </c:pt>
                <c:pt idx="7">
                  <c:v>UGI PNG</c:v>
                </c:pt>
              </c:strCache>
              <c:extLst/>
            </c:strRef>
          </c:cat>
          <c:val>
            <c:numRef>
              <c:f>Gas!$B$17:$Q$17</c:f>
              <c:numCache>
                <c:formatCode>0.00%</c:formatCode>
                <c:ptCount val="8"/>
                <c:pt idx="0">
                  <c:v>0.10505182556727986</c:v>
                </c:pt>
                <c:pt idx="1">
                  <c:v>7.3798101459630505E-2</c:v>
                </c:pt>
                <c:pt idx="2">
                  <c:v>7.300743040151967E-3</c:v>
                </c:pt>
                <c:pt idx="3">
                  <c:v>8.2279121546402184E-2</c:v>
                </c:pt>
                <c:pt idx="4">
                  <c:v>0</c:v>
                </c:pt>
                <c:pt idx="5">
                  <c:v>6.2899116046431156E-2</c:v>
                </c:pt>
                <c:pt idx="6">
                  <c:v>0.11655984498434938</c:v>
                </c:pt>
                <c:pt idx="7">
                  <c:v>0.18374692176548588</c:v>
                </c:pt>
              </c:numCache>
              <c:extLst/>
            </c:numRef>
          </c:val>
          <c:extLst>
            <c:ext xmlns:c16="http://schemas.microsoft.com/office/drawing/2014/chart" uri="{C3380CC4-5D6E-409C-BE32-E72D297353CC}">
              <c16:uniqueId val="{0000000E-80EB-497D-BB8D-D334A23C8C3D}"/>
            </c:ext>
          </c:extLst>
        </c:ser>
        <c:ser>
          <c:idx val="15"/>
          <c:order val="15"/>
          <c:tx>
            <c:strRef>
              <c:f>Gas!$A$18</c:f>
              <c:strCache>
                <c:ptCount val="1"/>
                <c:pt idx="0">
                  <c:v>2017.47619</c:v>
                </c:pt>
              </c:strCache>
            </c:strRef>
          </c:tx>
          <c:spPr>
            <a:solidFill>
              <a:schemeClr val="accent4">
                <a:lumMod val="80000"/>
                <a:lumOff val="2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Gas!$B$18:$Q$18</c:f>
              <c:extLst/>
            </c:numRef>
          </c:val>
          <c:extLst>
            <c:ext xmlns:c16="http://schemas.microsoft.com/office/drawing/2014/chart" uri="{C3380CC4-5D6E-409C-BE32-E72D297353CC}">
              <c16:uniqueId val="{0000000F-80EB-497D-BB8D-D334A23C8C3D}"/>
            </c:ext>
          </c:extLst>
        </c:ser>
        <c:ser>
          <c:idx val="16"/>
          <c:order val="16"/>
          <c:tx>
            <c:strRef>
              <c:f>Gas!$A$19</c:f>
              <c:strCache>
                <c:ptCount val="1"/>
                <c:pt idx="0">
                  <c:v>2017.904762</c:v>
                </c:pt>
              </c:strCache>
            </c:strRef>
          </c:tx>
          <c:spPr>
            <a:solidFill>
              <a:schemeClr val="accent5">
                <a:lumMod val="80000"/>
                <a:lumOff val="2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Gas!$B$19:$Q$19</c:f>
              <c:extLst/>
            </c:numRef>
          </c:val>
          <c:extLst>
            <c:ext xmlns:c16="http://schemas.microsoft.com/office/drawing/2014/chart" uri="{C3380CC4-5D6E-409C-BE32-E72D297353CC}">
              <c16:uniqueId val="{00000010-80EB-497D-BB8D-D334A23C8C3D}"/>
            </c:ext>
          </c:extLst>
        </c:ser>
        <c:ser>
          <c:idx val="17"/>
          <c:order val="17"/>
          <c:tx>
            <c:strRef>
              <c:f>Gas!$A$20</c:f>
              <c:strCache>
                <c:ptCount val="1"/>
                <c:pt idx="0">
                  <c:v>2018.333333</c:v>
                </c:pt>
              </c:strCache>
            </c:strRef>
          </c:tx>
          <c:spPr>
            <a:solidFill>
              <a:schemeClr val="accent6">
                <a:lumMod val="80000"/>
                <a:lumOff val="2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Gas!$B$20:$Q$20</c:f>
              <c:extLst/>
            </c:numRef>
          </c:val>
          <c:extLst>
            <c:ext xmlns:c16="http://schemas.microsoft.com/office/drawing/2014/chart" uri="{C3380CC4-5D6E-409C-BE32-E72D297353CC}">
              <c16:uniqueId val="{00000011-80EB-497D-BB8D-D334A23C8C3D}"/>
            </c:ext>
          </c:extLst>
        </c:ser>
        <c:ser>
          <c:idx val="18"/>
          <c:order val="18"/>
          <c:tx>
            <c:strRef>
              <c:f>Gas!$A$21</c:f>
              <c:strCache>
                <c:ptCount val="1"/>
                <c:pt idx="0">
                  <c:v>2018.761905</c:v>
                </c:pt>
              </c:strCache>
            </c:strRef>
          </c:tx>
          <c:spPr>
            <a:solidFill>
              <a:schemeClr val="accent1">
                <a:lumMod val="8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Gas!$B$21:$Q$21</c:f>
              <c:extLst/>
            </c:numRef>
          </c:val>
          <c:extLst>
            <c:ext xmlns:c16="http://schemas.microsoft.com/office/drawing/2014/chart" uri="{C3380CC4-5D6E-409C-BE32-E72D297353CC}">
              <c16:uniqueId val="{00000012-80EB-497D-BB8D-D334A23C8C3D}"/>
            </c:ext>
          </c:extLst>
        </c:ser>
        <c:ser>
          <c:idx val="19"/>
          <c:order val="19"/>
          <c:tx>
            <c:strRef>
              <c:f>Gas!$A$22</c:f>
              <c:strCache>
                <c:ptCount val="1"/>
                <c:pt idx="0">
                  <c:v>2015</c:v>
                </c:pt>
              </c:strCache>
            </c:strRef>
          </c:tx>
          <c:spPr>
            <a:solidFill>
              <a:schemeClr val="accent4"/>
            </a:solidFill>
            <a:ln>
              <a:noFill/>
            </a:ln>
            <a:effectLst/>
          </c:spPr>
          <c:invertIfNegative val="0"/>
          <c:cat>
            <c:strRef>
              <c:f>Gas!$B$1:$Q$2</c:f>
              <c:strCache>
                <c:ptCount val="8"/>
                <c:pt idx="0">
                  <c:v>Columbia</c:v>
                </c:pt>
                <c:pt idx="1">
                  <c:v>NFG</c:v>
                </c:pt>
                <c:pt idx="2">
                  <c:v>PECO Gas</c:v>
                </c:pt>
                <c:pt idx="3">
                  <c:v>Peoples</c:v>
                </c:pt>
                <c:pt idx="4">
                  <c:v>EQT</c:v>
                </c:pt>
                <c:pt idx="5">
                  <c:v>PGW</c:v>
                </c:pt>
                <c:pt idx="6">
                  <c:v>UGI Gas</c:v>
                </c:pt>
                <c:pt idx="7">
                  <c:v>UGI PNG</c:v>
                </c:pt>
              </c:strCache>
              <c:extLst/>
            </c:strRef>
          </c:cat>
          <c:val>
            <c:numRef>
              <c:f>Gas!$B$22:$Q$22</c:f>
              <c:numCache>
                <c:formatCode>0.00%</c:formatCode>
                <c:ptCount val="8"/>
                <c:pt idx="0">
                  <c:v>0.11338654503990878</c:v>
                </c:pt>
                <c:pt idx="1">
                  <c:v>5.7324840764331211E-2</c:v>
                </c:pt>
                <c:pt idx="2">
                  <c:v>6.7007732121986746E-3</c:v>
                </c:pt>
                <c:pt idx="3">
                  <c:v>8.7362960062646822E-2</c:v>
                </c:pt>
                <c:pt idx="4">
                  <c:v>3.7117142259122306E-2</c:v>
                </c:pt>
                <c:pt idx="5">
                  <c:v>4.9432297089592937E-2</c:v>
                </c:pt>
                <c:pt idx="6">
                  <c:v>0.14551938341194065</c:v>
                </c:pt>
                <c:pt idx="7">
                  <c:v>0.18862587464641953</c:v>
                </c:pt>
              </c:numCache>
              <c:extLst/>
            </c:numRef>
          </c:val>
          <c:extLst>
            <c:ext xmlns:c16="http://schemas.microsoft.com/office/drawing/2014/chart" uri="{C3380CC4-5D6E-409C-BE32-E72D297353CC}">
              <c16:uniqueId val="{00000013-80EB-497D-BB8D-D334A23C8C3D}"/>
            </c:ext>
          </c:extLst>
        </c:ser>
        <c:ser>
          <c:idx val="20"/>
          <c:order val="20"/>
          <c:tx>
            <c:strRef>
              <c:f>Gas!$A$23</c:f>
              <c:strCache>
                <c:ptCount val="1"/>
                <c:pt idx="0">
                  <c:v>2019.619048</c:v>
                </c:pt>
              </c:strCache>
            </c:strRef>
          </c:tx>
          <c:spPr>
            <a:solidFill>
              <a:schemeClr val="accent3">
                <a:lumMod val="8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Gas!$B$23:$Q$23</c:f>
              <c:extLst/>
            </c:numRef>
          </c:val>
          <c:extLst>
            <c:ext xmlns:c16="http://schemas.microsoft.com/office/drawing/2014/chart" uri="{C3380CC4-5D6E-409C-BE32-E72D297353CC}">
              <c16:uniqueId val="{00000014-80EB-497D-BB8D-D334A23C8C3D}"/>
            </c:ext>
          </c:extLst>
        </c:ser>
        <c:ser>
          <c:idx val="21"/>
          <c:order val="21"/>
          <c:tx>
            <c:strRef>
              <c:f>Gas!$A$24</c:f>
              <c:strCache>
                <c:ptCount val="1"/>
                <c:pt idx="0">
                  <c:v>2020.047619</c:v>
                </c:pt>
              </c:strCache>
            </c:strRef>
          </c:tx>
          <c:spPr>
            <a:solidFill>
              <a:schemeClr val="accent4">
                <a:lumMod val="8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Gas!$B$24:$Q$24</c:f>
              <c:extLst/>
            </c:numRef>
          </c:val>
          <c:extLst>
            <c:ext xmlns:c16="http://schemas.microsoft.com/office/drawing/2014/chart" uri="{C3380CC4-5D6E-409C-BE32-E72D297353CC}">
              <c16:uniqueId val="{00000015-80EB-497D-BB8D-D334A23C8C3D}"/>
            </c:ext>
          </c:extLst>
        </c:ser>
        <c:ser>
          <c:idx val="22"/>
          <c:order val="22"/>
          <c:tx>
            <c:strRef>
              <c:f>Gas!$A$25</c:f>
              <c:strCache>
                <c:ptCount val="1"/>
                <c:pt idx="0">
                  <c:v>2020.47619</c:v>
                </c:pt>
              </c:strCache>
            </c:strRef>
          </c:tx>
          <c:spPr>
            <a:solidFill>
              <a:schemeClr val="accent5">
                <a:lumMod val="8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Gas!$B$25:$Q$25</c:f>
              <c:extLst/>
            </c:numRef>
          </c:val>
          <c:extLst>
            <c:ext xmlns:c16="http://schemas.microsoft.com/office/drawing/2014/chart" uri="{C3380CC4-5D6E-409C-BE32-E72D297353CC}">
              <c16:uniqueId val="{00000016-80EB-497D-BB8D-D334A23C8C3D}"/>
            </c:ext>
          </c:extLst>
        </c:ser>
        <c:ser>
          <c:idx val="23"/>
          <c:order val="23"/>
          <c:tx>
            <c:strRef>
              <c:f>Gas!$A$26</c:f>
              <c:strCache>
                <c:ptCount val="1"/>
                <c:pt idx="0">
                  <c:v>2020.904762</c:v>
                </c:pt>
              </c:strCache>
            </c:strRef>
          </c:tx>
          <c:spPr>
            <a:solidFill>
              <a:schemeClr val="accent6">
                <a:lumMod val="80000"/>
              </a:schemeClr>
            </a:solidFill>
            <a:ln>
              <a:noFill/>
            </a:ln>
            <a:effectLst/>
          </c:spPr>
          <c:invertIfNegative val="0"/>
          <c:cat>
            <c:strRef>
              <c:f>Gas!$B$1:$Q$2</c:f>
              <c:strCache>
                <c:ptCount val="16"/>
                <c:pt idx="0">
                  <c:v>Columbia</c:v>
                </c:pt>
                <c:pt idx="1">
                  <c:v>Columbia</c:v>
                </c:pt>
                <c:pt idx="2">
                  <c:v>NFG</c:v>
                </c:pt>
                <c:pt idx="3">
                  <c:v>NFG</c:v>
                </c:pt>
                <c:pt idx="4">
                  <c:v>PECO Gas</c:v>
                </c:pt>
                <c:pt idx="5">
                  <c:v>PECO Gas</c:v>
                </c:pt>
                <c:pt idx="6">
                  <c:v>Peoples</c:v>
                </c:pt>
                <c:pt idx="7">
                  <c:v>Peoples</c:v>
                </c:pt>
                <c:pt idx="8">
                  <c:v>EQT</c:v>
                </c:pt>
                <c:pt idx="9">
                  <c:v>EQT</c:v>
                </c:pt>
                <c:pt idx="10">
                  <c:v>PGW</c:v>
                </c:pt>
                <c:pt idx="11">
                  <c:v>PGW</c:v>
                </c:pt>
                <c:pt idx="12">
                  <c:v>UGI Gas</c:v>
                </c:pt>
                <c:pt idx="13">
                  <c:v>UGI Gas</c:v>
                </c:pt>
                <c:pt idx="14">
                  <c:v>UGI PNG</c:v>
                </c:pt>
                <c:pt idx="15">
                  <c:v>UGI PNG</c:v>
                </c:pt>
              </c:strCache>
              <c:extLst/>
            </c:strRef>
          </c:cat>
          <c:val>
            <c:numRef>
              <c:f>Gas!$B$26:$Q$26</c:f>
              <c:extLst/>
            </c:numRef>
          </c:val>
          <c:extLst>
            <c:ext xmlns:c16="http://schemas.microsoft.com/office/drawing/2014/chart" uri="{C3380CC4-5D6E-409C-BE32-E72D297353CC}">
              <c16:uniqueId val="{00000017-80EB-497D-BB8D-D334A23C8C3D}"/>
            </c:ext>
          </c:extLst>
        </c:ser>
        <c:ser>
          <c:idx val="24"/>
          <c:order val="24"/>
          <c:tx>
            <c:strRef>
              <c:f>Gas!$A$27</c:f>
              <c:strCache>
                <c:ptCount val="1"/>
                <c:pt idx="0">
                  <c:v>2016</c:v>
                </c:pt>
              </c:strCache>
            </c:strRef>
          </c:tx>
          <c:spPr>
            <a:solidFill>
              <a:schemeClr val="accent5"/>
            </a:solidFill>
            <a:ln>
              <a:noFill/>
            </a:ln>
            <a:effectLst/>
          </c:spPr>
          <c:invertIfNegative val="0"/>
          <c:cat>
            <c:strRef>
              <c:f>Gas!$B$1:$Q$2</c:f>
              <c:strCache>
                <c:ptCount val="8"/>
                <c:pt idx="0">
                  <c:v>Columbia</c:v>
                </c:pt>
                <c:pt idx="1">
                  <c:v>NFG</c:v>
                </c:pt>
                <c:pt idx="2">
                  <c:v>PECO Gas</c:v>
                </c:pt>
                <c:pt idx="3">
                  <c:v>Peoples</c:v>
                </c:pt>
                <c:pt idx="4">
                  <c:v>EQT</c:v>
                </c:pt>
                <c:pt idx="5">
                  <c:v>PGW</c:v>
                </c:pt>
                <c:pt idx="6">
                  <c:v>UGI Gas</c:v>
                </c:pt>
                <c:pt idx="7">
                  <c:v>UGI PNG</c:v>
                </c:pt>
              </c:strCache>
              <c:extLst/>
            </c:strRef>
          </c:cat>
          <c:val>
            <c:numRef>
              <c:f>Gas!$B$27:$Q$27</c:f>
              <c:numCache>
                <c:formatCode>0.00%</c:formatCode>
                <c:ptCount val="8"/>
                <c:pt idx="0">
                  <c:v>0.10046957087730718</c:v>
                </c:pt>
                <c:pt idx="1">
                  <c:v>6.0359837492745209E-3</c:v>
                </c:pt>
                <c:pt idx="2">
                  <c:v>6.0380514321555501E-3</c:v>
                </c:pt>
                <c:pt idx="3">
                  <c:v>6.6087746756197302E-2</c:v>
                </c:pt>
                <c:pt idx="4">
                  <c:v>7.8959009141846059E-2</c:v>
                </c:pt>
                <c:pt idx="5">
                  <c:v>6.3164477798624136E-2</c:v>
                </c:pt>
                <c:pt idx="6">
                  <c:v>0.13618240717667579</c:v>
                </c:pt>
                <c:pt idx="7">
                  <c:v>0.15843688685415305</c:v>
                </c:pt>
              </c:numCache>
              <c:extLst/>
            </c:numRef>
          </c:val>
          <c:extLst>
            <c:ext xmlns:c16="http://schemas.microsoft.com/office/drawing/2014/chart" uri="{C3380CC4-5D6E-409C-BE32-E72D297353CC}">
              <c16:uniqueId val="{00000018-80EB-497D-BB8D-D334A23C8C3D}"/>
            </c:ext>
          </c:extLst>
        </c:ser>
        <c:dLbls>
          <c:showLegendKey val="0"/>
          <c:showVal val="0"/>
          <c:showCatName val="0"/>
          <c:showSerName val="0"/>
          <c:showPercent val="0"/>
          <c:showBubbleSize val="0"/>
        </c:dLbls>
        <c:gapWidth val="219"/>
        <c:overlap val="-27"/>
        <c:axId val="622334864"/>
        <c:axId val="622337816"/>
      </c:barChart>
      <c:catAx>
        <c:axId val="62233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22337816"/>
        <c:crosses val="autoZero"/>
        <c:auto val="1"/>
        <c:lblAlgn val="ctr"/>
        <c:lblOffset val="100"/>
        <c:noMultiLvlLbl val="0"/>
      </c:catAx>
      <c:valAx>
        <c:axId val="622337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2233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'Electric Heat'!$A$3</c:f>
              <c:strCache>
                <c:ptCount val="1"/>
                <c:pt idx="0">
                  <c:v>50%</c:v>
                </c:pt>
              </c:strCache>
            </c:strRef>
          </c:tx>
          <c:spPr>
            <a:solidFill>
              <a:schemeClr val="accent1"/>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Heat'!$B$3:$O$3</c:f>
              <c:extLst/>
            </c:numRef>
          </c:val>
          <c:extLst>
            <c:ext xmlns:c16="http://schemas.microsoft.com/office/drawing/2014/chart" uri="{C3380CC4-5D6E-409C-BE32-E72D297353CC}">
              <c16:uniqueId val="{00000000-71F3-4B45-ABEB-F0E10285A5B1}"/>
            </c:ext>
          </c:extLst>
        </c:ser>
        <c:ser>
          <c:idx val="1"/>
          <c:order val="1"/>
          <c:tx>
            <c:strRef>
              <c:f>'Electric Heat'!$A$4</c:f>
              <c:strCache>
                <c:ptCount val="1"/>
                <c:pt idx="0">
                  <c:v>100%</c:v>
                </c:pt>
              </c:strCache>
            </c:strRef>
          </c:tx>
          <c:spPr>
            <a:solidFill>
              <a:schemeClr val="accent2"/>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Heat'!$B$4:$O$4</c:f>
              <c:extLst/>
            </c:numRef>
          </c:val>
          <c:extLst>
            <c:ext xmlns:c16="http://schemas.microsoft.com/office/drawing/2014/chart" uri="{C3380CC4-5D6E-409C-BE32-E72D297353CC}">
              <c16:uniqueId val="{00000001-71F3-4B45-ABEB-F0E10285A5B1}"/>
            </c:ext>
          </c:extLst>
        </c:ser>
        <c:ser>
          <c:idx val="2"/>
          <c:order val="2"/>
          <c:tx>
            <c:strRef>
              <c:f>'Electric Heat'!$A$5</c:f>
              <c:strCache>
                <c:ptCount val="1"/>
                <c:pt idx="0">
                  <c:v>150%</c:v>
                </c:pt>
              </c:strCache>
            </c:strRef>
          </c:tx>
          <c:spPr>
            <a:solidFill>
              <a:schemeClr val="accent3"/>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Heat'!$B$5:$O$5</c:f>
              <c:extLst/>
            </c:numRef>
          </c:val>
          <c:extLst>
            <c:ext xmlns:c16="http://schemas.microsoft.com/office/drawing/2014/chart" uri="{C3380CC4-5D6E-409C-BE32-E72D297353CC}">
              <c16:uniqueId val="{00000002-71F3-4B45-ABEB-F0E10285A5B1}"/>
            </c:ext>
          </c:extLst>
        </c:ser>
        <c:ser>
          <c:idx val="3"/>
          <c:order val="3"/>
          <c:tx>
            <c:strRef>
              <c:f>'Electric Heat'!$A$6</c:f>
              <c:strCache>
                <c:ptCount val="1"/>
                <c:pt idx="0">
                  <c:v>Combined</c:v>
                </c:pt>
              </c:strCache>
            </c:strRef>
          </c:tx>
          <c:spPr>
            <a:solidFill>
              <a:schemeClr val="accent4"/>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Heat'!$B$6:$O$6</c:f>
              <c:extLst/>
            </c:numRef>
          </c:val>
          <c:extLst>
            <c:ext xmlns:c16="http://schemas.microsoft.com/office/drawing/2014/chart" uri="{C3380CC4-5D6E-409C-BE32-E72D297353CC}">
              <c16:uniqueId val="{00000003-71F3-4B45-ABEB-F0E10285A5B1}"/>
            </c:ext>
          </c:extLst>
        </c:ser>
        <c:ser>
          <c:idx val="4"/>
          <c:order val="4"/>
          <c:tx>
            <c:strRef>
              <c:f>'Electric Non-Heat'!$A$7</c:f>
              <c:strCache>
                <c:ptCount val="1"/>
                <c:pt idx="0">
                  <c:v>2012</c:v>
                </c:pt>
              </c:strCache>
            </c:strRef>
          </c:tx>
          <c:spPr>
            <a:solidFill>
              <a:schemeClr val="accent1"/>
            </a:solidFill>
            <a:ln>
              <a:noFill/>
            </a:ln>
            <a:effectLst/>
          </c:spPr>
          <c:invertIfNegative val="0"/>
          <c:cat>
            <c:strRef>
              <c:f>'Electric Non-Heat'!$B$1:$O$1</c:f>
              <c:strCache>
                <c:ptCount val="7"/>
                <c:pt idx="0">
                  <c:v>Duquesne</c:v>
                </c:pt>
                <c:pt idx="1">
                  <c:v>Met Ed</c:v>
                </c:pt>
                <c:pt idx="2">
                  <c:v>PECO Electric</c:v>
                </c:pt>
                <c:pt idx="3">
                  <c:v>Penelec</c:v>
                </c:pt>
                <c:pt idx="4">
                  <c:v>Penn Power</c:v>
                </c:pt>
                <c:pt idx="5">
                  <c:v>PPL</c:v>
                </c:pt>
                <c:pt idx="6">
                  <c:v>West Penn</c:v>
                </c:pt>
              </c:strCache>
              <c:extLst/>
            </c:strRef>
          </c:cat>
          <c:val>
            <c:numRef>
              <c:f>'Electric Non-Heat'!$B$7:$O$7</c:f>
              <c:numCache>
                <c:formatCode>0.00%</c:formatCode>
                <c:ptCount val="7"/>
                <c:pt idx="0">
                  <c:v>0.1522516281003187</c:v>
                </c:pt>
                <c:pt idx="1">
                  <c:v>6.6714005545411514E-2</c:v>
                </c:pt>
                <c:pt idx="2">
                  <c:v>0.22753459128566381</c:v>
                </c:pt>
                <c:pt idx="3">
                  <c:v>0.19793645090087778</c:v>
                </c:pt>
                <c:pt idx="4">
                  <c:v>0.19084435401831129</c:v>
                </c:pt>
                <c:pt idx="5">
                  <c:v>0.2615054262666125</c:v>
                </c:pt>
                <c:pt idx="6">
                  <c:v>0.21957659913498748</c:v>
                </c:pt>
              </c:numCache>
              <c:extLst/>
            </c:numRef>
          </c:val>
          <c:extLst>
            <c:ext xmlns:c16="http://schemas.microsoft.com/office/drawing/2014/chart" uri="{C3380CC4-5D6E-409C-BE32-E72D297353CC}">
              <c16:uniqueId val="{00000004-71F3-4B45-ABEB-F0E10285A5B1}"/>
            </c:ext>
          </c:extLst>
        </c:ser>
        <c:ser>
          <c:idx val="5"/>
          <c:order val="5"/>
          <c:tx>
            <c:strRef>
              <c:f>'Electric Heat'!$A$8</c:f>
              <c:strCache>
                <c:ptCount val="1"/>
                <c:pt idx="0">
                  <c:v>2013</c:v>
                </c:pt>
              </c:strCache>
            </c:strRef>
          </c:tx>
          <c:spPr>
            <a:solidFill>
              <a:schemeClr val="accent6"/>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Heat'!$B$8:$O$8</c:f>
              <c:extLst/>
            </c:numRef>
          </c:val>
          <c:extLst>
            <c:ext xmlns:c16="http://schemas.microsoft.com/office/drawing/2014/chart" uri="{C3380CC4-5D6E-409C-BE32-E72D297353CC}">
              <c16:uniqueId val="{00000005-71F3-4B45-ABEB-F0E10285A5B1}"/>
            </c:ext>
          </c:extLst>
        </c:ser>
        <c:ser>
          <c:idx val="6"/>
          <c:order val="6"/>
          <c:tx>
            <c:strRef>
              <c:f>'Electric Heat'!$A$9</c:f>
              <c:strCache>
                <c:ptCount val="1"/>
                <c:pt idx="0">
                  <c:v>2014</c:v>
                </c:pt>
              </c:strCache>
            </c:strRef>
          </c:tx>
          <c:spPr>
            <a:solidFill>
              <a:schemeClr val="accent1">
                <a:lumMod val="6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Heat'!$B$9:$O$9</c:f>
              <c:extLst/>
            </c:numRef>
          </c:val>
          <c:extLst>
            <c:ext xmlns:c16="http://schemas.microsoft.com/office/drawing/2014/chart" uri="{C3380CC4-5D6E-409C-BE32-E72D297353CC}">
              <c16:uniqueId val="{00000006-71F3-4B45-ABEB-F0E10285A5B1}"/>
            </c:ext>
          </c:extLst>
        </c:ser>
        <c:ser>
          <c:idx val="7"/>
          <c:order val="7"/>
          <c:tx>
            <c:strRef>
              <c:f>'Electric Heat'!$A$10</c:f>
              <c:strCache>
                <c:ptCount val="1"/>
                <c:pt idx="0">
                  <c:v>2015</c:v>
                </c:pt>
              </c:strCache>
            </c:strRef>
          </c:tx>
          <c:spPr>
            <a:solidFill>
              <a:schemeClr val="accent2">
                <a:lumMod val="6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Heat'!$B$10:$O$10</c:f>
              <c:extLst/>
            </c:numRef>
          </c:val>
          <c:extLst>
            <c:ext xmlns:c16="http://schemas.microsoft.com/office/drawing/2014/chart" uri="{C3380CC4-5D6E-409C-BE32-E72D297353CC}">
              <c16:uniqueId val="{00000007-71F3-4B45-ABEB-F0E10285A5B1}"/>
            </c:ext>
          </c:extLst>
        </c:ser>
        <c:ser>
          <c:idx val="8"/>
          <c:order val="8"/>
          <c:tx>
            <c:strRef>
              <c:f>'Electric Heat'!$A$11</c:f>
              <c:strCache>
                <c:ptCount val="1"/>
                <c:pt idx="0">
                  <c:v>2016</c:v>
                </c:pt>
              </c:strCache>
            </c:strRef>
          </c:tx>
          <c:spPr>
            <a:solidFill>
              <a:schemeClr val="accent3">
                <a:lumMod val="6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Heat'!$B$11:$O$11</c:f>
              <c:extLst/>
            </c:numRef>
          </c:val>
          <c:extLst>
            <c:ext xmlns:c16="http://schemas.microsoft.com/office/drawing/2014/chart" uri="{C3380CC4-5D6E-409C-BE32-E72D297353CC}">
              <c16:uniqueId val="{00000008-71F3-4B45-ABEB-F0E10285A5B1}"/>
            </c:ext>
          </c:extLst>
        </c:ser>
        <c:ser>
          <c:idx val="9"/>
          <c:order val="9"/>
          <c:tx>
            <c:strRef>
              <c:f>'Electric Non-Heat'!$A$12</c:f>
              <c:strCache>
                <c:ptCount val="1"/>
                <c:pt idx="0">
                  <c:v>2013</c:v>
                </c:pt>
              </c:strCache>
            </c:strRef>
          </c:tx>
          <c:spPr>
            <a:solidFill>
              <a:schemeClr val="accent2"/>
            </a:solidFill>
            <a:ln>
              <a:noFill/>
            </a:ln>
            <a:effectLst/>
          </c:spPr>
          <c:invertIfNegative val="0"/>
          <c:cat>
            <c:strRef>
              <c:f>'Electric Non-Heat'!$B$1:$O$1</c:f>
              <c:strCache>
                <c:ptCount val="7"/>
                <c:pt idx="0">
                  <c:v>Duquesne</c:v>
                </c:pt>
                <c:pt idx="1">
                  <c:v>Met Ed</c:v>
                </c:pt>
                <c:pt idx="2">
                  <c:v>PECO Electric</c:v>
                </c:pt>
                <c:pt idx="3">
                  <c:v>Penelec</c:v>
                </c:pt>
                <c:pt idx="4">
                  <c:v>Penn Power</c:v>
                </c:pt>
                <c:pt idx="5">
                  <c:v>PPL</c:v>
                </c:pt>
                <c:pt idx="6">
                  <c:v>West Penn</c:v>
                </c:pt>
              </c:strCache>
              <c:extLst/>
            </c:strRef>
          </c:cat>
          <c:val>
            <c:numRef>
              <c:f>'Electric Non-Heat'!$B$12:$O$12</c:f>
              <c:numCache>
                <c:formatCode>0.00%</c:formatCode>
                <c:ptCount val="7"/>
                <c:pt idx="0">
                  <c:v>9.7279991243432576E-2</c:v>
                </c:pt>
                <c:pt idx="1">
                  <c:v>0.72576212966938602</c:v>
                </c:pt>
                <c:pt idx="2">
                  <c:v>0.35805222832148081</c:v>
                </c:pt>
                <c:pt idx="3">
                  <c:v>0.66233258383028648</c:v>
                </c:pt>
                <c:pt idx="4">
                  <c:v>0.75874414761773612</c:v>
                </c:pt>
                <c:pt idx="5">
                  <c:v>0.18015739977839021</c:v>
                </c:pt>
                <c:pt idx="6">
                  <c:v>0.58966403257865907</c:v>
                </c:pt>
              </c:numCache>
              <c:extLst/>
            </c:numRef>
          </c:val>
          <c:extLst>
            <c:ext xmlns:c16="http://schemas.microsoft.com/office/drawing/2014/chart" uri="{C3380CC4-5D6E-409C-BE32-E72D297353CC}">
              <c16:uniqueId val="{00000009-71F3-4B45-ABEB-F0E10285A5B1}"/>
            </c:ext>
          </c:extLst>
        </c:ser>
        <c:ser>
          <c:idx val="10"/>
          <c:order val="10"/>
          <c:tx>
            <c:strRef>
              <c:f>'Electric Heat'!$A$13</c:f>
              <c:strCache>
                <c:ptCount val="1"/>
                <c:pt idx="0">
                  <c:v>2015.333333</c:v>
                </c:pt>
              </c:strCache>
            </c:strRef>
          </c:tx>
          <c:spPr>
            <a:solidFill>
              <a:schemeClr val="accent5">
                <a:lumMod val="6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Heat'!$B$13:$O$13</c:f>
              <c:extLst/>
            </c:numRef>
          </c:val>
          <c:extLst>
            <c:ext xmlns:c16="http://schemas.microsoft.com/office/drawing/2014/chart" uri="{C3380CC4-5D6E-409C-BE32-E72D297353CC}">
              <c16:uniqueId val="{0000000A-71F3-4B45-ABEB-F0E10285A5B1}"/>
            </c:ext>
          </c:extLst>
        </c:ser>
        <c:ser>
          <c:idx val="11"/>
          <c:order val="11"/>
          <c:tx>
            <c:strRef>
              <c:f>'Electric Heat'!$A$14</c:f>
              <c:strCache>
                <c:ptCount val="1"/>
                <c:pt idx="0">
                  <c:v>2015.761905</c:v>
                </c:pt>
              </c:strCache>
            </c:strRef>
          </c:tx>
          <c:spPr>
            <a:solidFill>
              <a:schemeClr val="accent6">
                <a:lumMod val="6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Heat'!$B$14:$O$14</c:f>
              <c:extLst/>
            </c:numRef>
          </c:val>
          <c:extLst>
            <c:ext xmlns:c16="http://schemas.microsoft.com/office/drawing/2014/chart" uri="{C3380CC4-5D6E-409C-BE32-E72D297353CC}">
              <c16:uniqueId val="{0000000B-71F3-4B45-ABEB-F0E10285A5B1}"/>
            </c:ext>
          </c:extLst>
        </c:ser>
        <c:ser>
          <c:idx val="12"/>
          <c:order val="12"/>
          <c:tx>
            <c:strRef>
              <c:f>'Electric Heat'!$A$15</c:f>
              <c:strCache>
                <c:ptCount val="1"/>
                <c:pt idx="0">
                  <c:v>2016.190476</c:v>
                </c:pt>
              </c:strCache>
            </c:strRef>
          </c:tx>
          <c:spPr>
            <a:solidFill>
              <a:schemeClr val="accent1">
                <a:lumMod val="80000"/>
                <a:lumOff val="2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Heat'!$B$15:$O$15</c:f>
              <c:extLst/>
            </c:numRef>
          </c:val>
          <c:extLst>
            <c:ext xmlns:c16="http://schemas.microsoft.com/office/drawing/2014/chart" uri="{C3380CC4-5D6E-409C-BE32-E72D297353CC}">
              <c16:uniqueId val="{0000000C-71F3-4B45-ABEB-F0E10285A5B1}"/>
            </c:ext>
          </c:extLst>
        </c:ser>
        <c:ser>
          <c:idx val="13"/>
          <c:order val="13"/>
          <c:tx>
            <c:strRef>
              <c:f>'Electric Heat'!$A$16</c:f>
              <c:strCache>
                <c:ptCount val="1"/>
                <c:pt idx="0">
                  <c:v>2016.619048</c:v>
                </c:pt>
              </c:strCache>
            </c:strRef>
          </c:tx>
          <c:spPr>
            <a:solidFill>
              <a:schemeClr val="accent2">
                <a:lumMod val="80000"/>
                <a:lumOff val="2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Heat'!$B$16:$O$16</c:f>
              <c:extLst/>
            </c:numRef>
          </c:val>
          <c:extLst>
            <c:ext xmlns:c16="http://schemas.microsoft.com/office/drawing/2014/chart" uri="{C3380CC4-5D6E-409C-BE32-E72D297353CC}">
              <c16:uniqueId val="{0000000D-71F3-4B45-ABEB-F0E10285A5B1}"/>
            </c:ext>
          </c:extLst>
        </c:ser>
        <c:ser>
          <c:idx val="14"/>
          <c:order val="14"/>
          <c:tx>
            <c:strRef>
              <c:f>'Electric Non-Heat'!$A$17</c:f>
              <c:strCache>
                <c:ptCount val="1"/>
                <c:pt idx="0">
                  <c:v>2014</c:v>
                </c:pt>
              </c:strCache>
            </c:strRef>
          </c:tx>
          <c:spPr>
            <a:solidFill>
              <a:schemeClr val="accent3"/>
            </a:solidFill>
            <a:ln>
              <a:noFill/>
            </a:ln>
            <a:effectLst/>
          </c:spPr>
          <c:invertIfNegative val="0"/>
          <c:cat>
            <c:strRef>
              <c:f>'Electric Non-Heat'!$B$1:$O$1</c:f>
              <c:strCache>
                <c:ptCount val="7"/>
                <c:pt idx="0">
                  <c:v>Duquesne</c:v>
                </c:pt>
                <c:pt idx="1">
                  <c:v>Met Ed</c:v>
                </c:pt>
                <c:pt idx="2">
                  <c:v>PECO Electric</c:v>
                </c:pt>
                <c:pt idx="3">
                  <c:v>Penelec</c:v>
                </c:pt>
                <c:pt idx="4">
                  <c:v>Penn Power</c:v>
                </c:pt>
                <c:pt idx="5">
                  <c:v>PPL</c:v>
                </c:pt>
                <c:pt idx="6">
                  <c:v>West Penn</c:v>
                </c:pt>
              </c:strCache>
              <c:extLst/>
            </c:strRef>
          </c:cat>
          <c:val>
            <c:numRef>
              <c:f>'Electric Non-Heat'!$B$17:$O$17</c:f>
              <c:numCache>
                <c:formatCode>0.00%</c:formatCode>
                <c:ptCount val="7"/>
                <c:pt idx="0">
                  <c:v>0.11357207513011994</c:v>
                </c:pt>
                <c:pt idx="1">
                  <c:v>0.48968499795453219</c:v>
                </c:pt>
                <c:pt idx="2">
                  <c:v>0.42445345619510677</c:v>
                </c:pt>
                <c:pt idx="3">
                  <c:v>0.45315699658703074</c:v>
                </c:pt>
                <c:pt idx="4">
                  <c:v>0.52454045859389808</c:v>
                </c:pt>
                <c:pt idx="5">
                  <c:v>0.13501680869361268</c:v>
                </c:pt>
                <c:pt idx="6">
                  <c:v>0.50902841429880841</c:v>
                </c:pt>
              </c:numCache>
              <c:extLst/>
            </c:numRef>
          </c:val>
          <c:extLst>
            <c:ext xmlns:c16="http://schemas.microsoft.com/office/drawing/2014/chart" uri="{C3380CC4-5D6E-409C-BE32-E72D297353CC}">
              <c16:uniqueId val="{0000000E-71F3-4B45-ABEB-F0E10285A5B1}"/>
            </c:ext>
          </c:extLst>
        </c:ser>
        <c:ser>
          <c:idx val="15"/>
          <c:order val="15"/>
          <c:tx>
            <c:strRef>
              <c:f>'Electric Heat'!$A$18</c:f>
              <c:strCache>
                <c:ptCount val="1"/>
                <c:pt idx="0">
                  <c:v>2017.47619</c:v>
                </c:pt>
              </c:strCache>
            </c:strRef>
          </c:tx>
          <c:spPr>
            <a:solidFill>
              <a:schemeClr val="accent4">
                <a:lumMod val="80000"/>
                <a:lumOff val="2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Heat'!$B$18:$O$18</c:f>
              <c:extLst/>
            </c:numRef>
          </c:val>
          <c:extLst>
            <c:ext xmlns:c16="http://schemas.microsoft.com/office/drawing/2014/chart" uri="{C3380CC4-5D6E-409C-BE32-E72D297353CC}">
              <c16:uniqueId val="{0000000F-71F3-4B45-ABEB-F0E10285A5B1}"/>
            </c:ext>
          </c:extLst>
        </c:ser>
        <c:ser>
          <c:idx val="16"/>
          <c:order val="16"/>
          <c:tx>
            <c:strRef>
              <c:f>'Electric Heat'!$A$19</c:f>
              <c:strCache>
                <c:ptCount val="1"/>
                <c:pt idx="0">
                  <c:v>2017.904762</c:v>
                </c:pt>
              </c:strCache>
            </c:strRef>
          </c:tx>
          <c:spPr>
            <a:solidFill>
              <a:schemeClr val="accent5">
                <a:lumMod val="80000"/>
                <a:lumOff val="2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Heat'!$B$19:$O$19</c:f>
              <c:extLst/>
            </c:numRef>
          </c:val>
          <c:extLst>
            <c:ext xmlns:c16="http://schemas.microsoft.com/office/drawing/2014/chart" uri="{C3380CC4-5D6E-409C-BE32-E72D297353CC}">
              <c16:uniqueId val="{00000010-71F3-4B45-ABEB-F0E10285A5B1}"/>
            </c:ext>
          </c:extLst>
        </c:ser>
        <c:ser>
          <c:idx val="17"/>
          <c:order val="17"/>
          <c:tx>
            <c:strRef>
              <c:f>'Electric Heat'!$A$20</c:f>
              <c:strCache>
                <c:ptCount val="1"/>
                <c:pt idx="0">
                  <c:v>2018.333333</c:v>
                </c:pt>
              </c:strCache>
            </c:strRef>
          </c:tx>
          <c:spPr>
            <a:solidFill>
              <a:schemeClr val="accent6">
                <a:lumMod val="80000"/>
                <a:lumOff val="2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Heat'!$B$20:$O$20</c:f>
              <c:extLst/>
            </c:numRef>
          </c:val>
          <c:extLst>
            <c:ext xmlns:c16="http://schemas.microsoft.com/office/drawing/2014/chart" uri="{C3380CC4-5D6E-409C-BE32-E72D297353CC}">
              <c16:uniqueId val="{00000011-71F3-4B45-ABEB-F0E10285A5B1}"/>
            </c:ext>
          </c:extLst>
        </c:ser>
        <c:ser>
          <c:idx val="18"/>
          <c:order val="18"/>
          <c:tx>
            <c:strRef>
              <c:f>'Electric Heat'!$A$21</c:f>
              <c:strCache>
                <c:ptCount val="1"/>
                <c:pt idx="0">
                  <c:v>2018.761905</c:v>
                </c:pt>
              </c:strCache>
            </c:strRef>
          </c:tx>
          <c:spPr>
            <a:solidFill>
              <a:schemeClr val="accent1">
                <a:lumMod val="8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Heat'!$B$21:$O$21</c:f>
              <c:extLst/>
            </c:numRef>
          </c:val>
          <c:extLst>
            <c:ext xmlns:c16="http://schemas.microsoft.com/office/drawing/2014/chart" uri="{C3380CC4-5D6E-409C-BE32-E72D297353CC}">
              <c16:uniqueId val="{00000012-71F3-4B45-ABEB-F0E10285A5B1}"/>
            </c:ext>
          </c:extLst>
        </c:ser>
        <c:ser>
          <c:idx val="19"/>
          <c:order val="19"/>
          <c:tx>
            <c:strRef>
              <c:f>'Electric Non-Heat'!$A$22</c:f>
              <c:strCache>
                <c:ptCount val="1"/>
                <c:pt idx="0">
                  <c:v>2015</c:v>
                </c:pt>
              </c:strCache>
            </c:strRef>
          </c:tx>
          <c:spPr>
            <a:solidFill>
              <a:schemeClr val="accent4"/>
            </a:solidFill>
            <a:ln>
              <a:noFill/>
            </a:ln>
            <a:effectLst/>
          </c:spPr>
          <c:invertIfNegative val="0"/>
          <c:cat>
            <c:strRef>
              <c:f>'Electric Non-Heat'!$B$1:$O$1</c:f>
              <c:strCache>
                <c:ptCount val="7"/>
                <c:pt idx="0">
                  <c:v>Duquesne</c:v>
                </c:pt>
                <c:pt idx="1">
                  <c:v>Met Ed</c:v>
                </c:pt>
                <c:pt idx="2">
                  <c:v>PECO Electric</c:v>
                </c:pt>
                <c:pt idx="3">
                  <c:v>Penelec</c:v>
                </c:pt>
                <c:pt idx="4">
                  <c:v>Penn Power</c:v>
                </c:pt>
                <c:pt idx="5">
                  <c:v>PPL</c:v>
                </c:pt>
                <c:pt idx="6">
                  <c:v>West Penn</c:v>
                </c:pt>
              </c:strCache>
              <c:extLst/>
            </c:strRef>
          </c:cat>
          <c:val>
            <c:numRef>
              <c:f>'Electric Non-Heat'!$B$22:$O$22</c:f>
              <c:numCache>
                <c:formatCode>0.00%</c:formatCode>
                <c:ptCount val="7"/>
                <c:pt idx="0">
                  <c:v>0.1327734396943992</c:v>
                </c:pt>
                <c:pt idx="1">
                  <c:v>0.54287358526760021</c:v>
                </c:pt>
                <c:pt idx="2">
                  <c:v>0.48621404010849367</c:v>
                </c:pt>
                <c:pt idx="3">
                  <c:v>0.47020352160987883</c:v>
                </c:pt>
                <c:pt idx="4">
                  <c:v>0.45254382214621636</c:v>
                </c:pt>
                <c:pt idx="5">
                  <c:v>0.18392611515032423</c:v>
                </c:pt>
                <c:pt idx="6">
                  <c:v>0.49087599150448613</c:v>
                </c:pt>
              </c:numCache>
              <c:extLst/>
            </c:numRef>
          </c:val>
          <c:extLst>
            <c:ext xmlns:c16="http://schemas.microsoft.com/office/drawing/2014/chart" uri="{C3380CC4-5D6E-409C-BE32-E72D297353CC}">
              <c16:uniqueId val="{00000013-71F3-4B45-ABEB-F0E10285A5B1}"/>
            </c:ext>
          </c:extLst>
        </c:ser>
        <c:ser>
          <c:idx val="20"/>
          <c:order val="20"/>
          <c:tx>
            <c:strRef>
              <c:f>'Electric Heat'!$A$23</c:f>
              <c:strCache>
                <c:ptCount val="1"/>
                <c:pt idx="0">
                  <c:v>2019.619048</c:v>
                </c:pt>
              </c:strCache>
            </c:strRef>
          </c:tx>
          <c:spPr>
            <a:solidFill>
              <a:schemeClr val="accent3">
                <a:lumMod val="8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Heat'!$B$23:$O$23</c:f>
              <c:extLst/>
            </c:numRef>
          </c:val>
          <c:extLst>
            <c:ext xmlns:c16="http://schemas.microsoft.com/office/drawing/2014/chart" uri="{C3380CC4-5D6E-409C-BE32-E72D297353CC}">
              <c16:uniqueId val="{00000014-71F3-4B45-ABEB-F0E10285A5B1}"/>
            </c:ext>
          </c:extLst>
        </c:ser>
        <c:ser>
          <c:idx val="21"/>
          <c:order val="21"/>
          <c:tx>
            <c:strRef>
              <c:f>'Electric Heat'!$A$24</c:f>
              <c:strCache>
                <c:ptCount val="1"/>
                <c:pt idx="0">
                  <c:v>2020.047619</c:v>
                </c:pt>
              </c:strCache>
            </c:strRef>
          </c:tx>
          <c:spPr>
            <a:solidFill>
              <a:schemeClr val="accent4">
                <a:lumMod val="8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Heat'!$B$24:$O$24</c:f>
              <c:extLst/>
            </c:numRef>
          </c:val>
          <c:extLst>
            <c:ext xmlns:c16="http://schemas.microsoft.com/office/drawing/2014/chart" uri="{C3380CC4-5D6E-409C-BE32-E72D297353CC}">
              <c16:uniqueId val="{00000015-71F3-4B45-ABEB-F0E10285A5B1}"/>
            </c:ext>
          </c:extLst>
        </c:ser>
        <c:ser>
          <c:idx val="22"/>
          <c:order val="22"/>
          <c:tx>
            <c:strRef>
              <c:f>'Electric Heat'!$A$25</c:f>
              <c:strCache>
                <c:ptCount val="1"/>
                <c:pt idx="0">
                  <c:v>2020.47619</c:v>
                </c:pt>
              </c:strCache>
            </c:strRef>
          </c:tx>
          <c:spPr>
            <a:solidFill>
              <a:schemeClr val="accent5">
                <a:lumMod val="8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Heat'!$B$25:$O$25</c:f>
              <c:extLst/>
            </c:numRef>
          </c:val>
          <c:extLst>
            <c:ext xmlns:c16="http://schemas.microsoft.com/office/drawing/2014/chart" uri="{C3380CC4-5D6E-409C-BE32-E72D297353CC}">
              <c16:uniqueId val="{00000016-71F3-4B45-ABEB-F0E10285A5B1}"/>
            </c:ext>
          </c:extLst>
        </c:ser>
        <c:ser>
          <c:idx val="23"/>
          <c:order val="23"/>
          <c:tx>
            <c:strRef>
              <c:f>'Electric Heat'!$A$26</c:f>
              <c:strCache>
                <c:ptCount val="1"/>
                <c:pt idx="0">
                  <c:v>2020.904762</c:v>
                </c:pt>
              </c:strCache>
            </c:strRef>
          </c:tx>
          <c:spPr>
            <a:solidFill>
              <a:schemeClr val="accent6">
                <a:lumMod val="8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Heat'!$B$26:$O$26</c:f>
              <c:extLst/>
            </c:numRef>
          </c:val>
          <c:extLst>
            <c:ext xmlns:c16="http://schemas.microsoft.com/office/drawing/2014/chart" uri="{C3380CC4-5D6E-409C-BE32-E72D297353CC}">
              <c16:uniqueId val="{00000017-71F3-4B45-ABEB-F0E10285A5B1}"/>
            </c:ext>
          </c:extLst>
        </c:ser>
        <c:ser>
          <c:idx val="24"/>
          <c:order val="24"/>
          <c:tx>
            <c:strRef>
              <c:f>'Electric Non-Heat'!$A$27</c:f>
              <c:strCache>
                <c:ptCount val="1"/>
                <c:pt idx="0">
                  <c:v>2016</c:v>
                </c:pt>
              </c:strCache>
            </c:strRef>
          </c:tx>
          <c:spPr>
            <a:solidFill>
              <a:schemeClr val="accent5"/>
            </a:solidFill>
            <a:ln>
              <a:noFill/>
            </a:ln>
            <a:effectLst/>
          </c:spPr>
          <c:invertIfNegative val="0"/>
          <c:cat>
            <c:strRef>
              <c:f>'Electric Non-Heat'!$B$1:$O$1</c:f>
              <c:strCache>
                <c:ptCount val="7"/>
                <c:pt idx="0">
                  <c:v>Duquesne</c:v>
                </c:pt>
                <c:pt idx="1">
                  <c:v>Met Ed</c:v>
                </c:pt>
                <c:pt idx="2">
                  <c:v>PECO Electric</c:v>
                </c:pt>
                <c:pt idx="3">
                  <c:v>Penelec</c:v>
                </c:pt>
                <c:pt idx="4">
                  <c:v>Penn Power</c:v>
                </c:pt>
                <c:pt idx="5">
                  <c:v>PPL</c:v>
                </c:pt>
                <c:pt idx="6">
                  <c:v>West Penn</c:v>
                </c:pt>
              </c:strCache>
              <c:extLst/>
            </c:strRef>
          </c:cat>
          <c:val>
            <c:numRef>
              <c:f>'Electric Non-Heat'!$B$27:$O$27</c:f>
              <c:numCache>
                <c:formatCode>0.00%</c:formatCode>
                <c:ptCount val="7"/>
                <c:pt idx="0">
                  <c:v>8.9232676463751645E-2</c:v>
                </c:pt>
                <c:pt idx="1">
                  <c:v>0.46386440677966101</c:v>
                </c:pt>
                <c:pt idx="2">
                  <c:v>0.41126562945316097</c:v>
                </c:pt>
                <c:pt idx="3">
                  <c:v>0.41172326335071158</c:v>
                </c:pt>
                <c:pt idx="4">
                  <c:v>0.42667536988685811</c:v>
                </c:pt>
                <c:pt idx="5">
                  <c:v>0.15054659996294237</c:v>
                </c:pt>
                <c:pt idx="6">
                  <c:v>0.51741168591997322</c:v>
                </c:pt>
              </c:numCache>
              <c:extLst/>
            </c:numRef>
          </c:val>
          <c:extLst>
            <c:ext xmlns:c16="http://schemas.microsoft.com/office/drawing/2014/chart" uri="{C3380CC4-5D6E-409C-BE32-E72D297353CC}">
              <c16:uniqueId val="{00000018-71F3-4B45-ABEB-F0E10285A5B1}"/>
            </c:ext>
          </c:extLst>
        </c:ser>
        <c:dLbls>
          <c:showLegendKey val="0"/>
          <c:showVal val="0"/>
          <c:showCatName val="0"/>
          <c:showSerName val="0"/>
          <c:showPercent val="0"/>
          <c:showBubbleSize val="0"/>
        </c:dLbls>
        <c:gapWidth val="219"/>
        <c:overlap val="-27"/>
        <c:axId val="622334864"/>
        <c:axId val="622337816"/>
      </c:barChart>
      <c:catAx>
        <c:axId val="62233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22337816"/>
        <c:crosses val="autoZero"/>
        <c:auto val="1"/>
        <c:lblAlgn val="ctr"/>
        <c:lblOffset val="100"/>
        <c:noMultiLvlLbl val="0"/>
      </c:catAx>
      <c:valAx>
        <c:axId val="622337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2233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'Electric Heat'!$A$3</c:f>
              <c:strCache>
                <c:ptCount val="1"/>
                <c:pt idx="0">
                  <c:v>50%</c:v>
                </c:pt>
              </c:strCache>
            </c:strRef>
          </c:tx>
          <c:spPr>
            <a:solidFill>
              <a:schemeClr val="accent1"/>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Heat'!$B$3:$O$3</c:f>
              <c:extLst/>
            </c:numRef>
          </c:val>
          <c:extLst>
            <c:ext xmlns:c16="http://schemas.microsoft.com/office/drawing/2014/chart" uri="{C3380CC4-5D6E-409C-BE32-E72D297353CC}">
              <c16:uniqueId val="{00000000-1E71-4FFC-AB1B-3F5716622846}"/>
            </c:ext>
          </c:extLst>
        </c:ser>
        <c:ser>
          <c:idx val="1"/>
          <c:order val="1"/>
          <c:tx>
            <c:strRef>
              <c:f>'Electric Heat'!$A$4</c:f>
              <c:strCache>
                <c:ptCount val="1"/>
                <c:pt idx="0">
                  <c:v>100%</c:v>
                </c:pt>
              </c:strCache>
            </c:strRef>
          </c:tx>
          <c:spPr>
            <a:solidFill>
              <a:schemeClr val="accent2"/>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Heat'!$B$4:$O$4</c:f>
              <c:extLst/>
            </c:numRef>
          </c:val>
          <c:extLst>
            <c:ext xmlns:c16="http://schemas.microsoft.com/office/drawing/2014/chart" uri="{C3380CC4-5D6E-409C-BE32-E72D297353CC}">
              <c16:uniqueId val="{00000001-1E71-4FFC-AB1B-3F5716622846}"/>
            </c:ext>
          </c:extLst>
        </c:ser>
        <c:ser>
          <c:idx val="2"/>
          <c:order val="2"/>
          <c:tx>
            <c:strRef>
              <c:f>'Electric Heat'!$A$5</c:f>
              <c:strCache>
                <c:ptCount val="1"/>
                <c:pt idx="0">
                  <c:v>150%</c:v>
                </c:pt>
              </c:strCache>
            </c:strRef>
          </c:tx>
          <c:spPr>
            <a:solidFill>
              <a:schemeClr val="accent3"/>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Heat'!$B$5:$O$5</c:f>
              <c:extLst/>
            </c:numRef>
          </c:val>
          <c:extLst>
            <c:ext xmlns:c16="http://schemas.microsoft.com/office/drawing/2014/chart" uri="{C3380CC4-5D6E-409C-BE32-E72D297353CC}">
              <c16:uniqueId val="{00000002-1E71-4FFC-AB1B-3F5716622846}"/>
            </c:ext>
          </c:extLst>
        </c:ser>
        <c:ser>
          <c:idx val="3"/>
          <c:order val="3"/>
          <c:tx>
            <c:strRef>
              <c:f>'Electric Heat'!$A$6</c:f>
              <c:strCache>
                <c:ptCount val="1"/>
                <c:pt idx="0">
                  <c:v>Combined</c:v>
                </c:pt>
              </c:strCache>
            </c:strRef>
          </c:tx>
          <c:spPr>
            <a:solidFill>
              <a:schemeClr val="accent4"/>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Heat'!$B$6:$O$6</c:f>
              <c:extLst/>
            </c:numRef>
          </c:val>
          <c:extLst>
            <c:ext xmlns:c16="http://schemas.microsoft.com/office/drawing/2014/chart" uri="{C3380CC4-5D6E-409C-BE32-E72D297353CC}">
              <c16:uniqueId val="{00000003-1E71-4FFC-AB1B-3F5716622846}"/>
            </c:ext>
          </c:extLst>
        </c:ser>
        <c:ser>
          <c:idx val="4"/>
          <c:order val="4"/>
          <c:tx>
            <c:strRef>
              <c:f>'Electric Non-Heat'!$A$7</c:f>
              <c:strCache>
                <c:ptCount val="1"/>
                <c:pt idx="0">
                  <c:v>2012</c:v>
                </c:pt>
              </c:strCache>
            </c:strRef>
          </c:tx>
          <c:spPr>
            <a:solidFill>
              <a:schemeClr val="accent1"/>
            </a:solidFill>
            <a:ln>
              <a:noFill/>
            </a:ln>
            <a:effectLst/>
          </c:spPr>
          <c:invertIfNegative val="0"/>
          <c:cat>
            <c:strRef>
              <c:f>'Electric Non-Heat'!$B$1:$O$1</c:f>
              <c:strCache>
                <c:ptCount val="7"/>
                <c:pt idx="0">
                  <c:v>Duquesne</c:v>
                </c:pt>
                <c:pt idx="1">
                  <c:v>Met Ed</c:v>
                </c:pt>
                <c:pt idx="2">
                  <c:v>PECO  Electric</c:v>
                </c:pt>
                <c:pt idx="3">
                  <c:v>Penelec</c:v>
                </c:pt>
                <c:pt idx="4">
                  <c:v>Penn Power</c:v>
                </c:pt>
                <c:pt idx="5">
                  <c:v>PPL</c:v>
                </c:pt>
                <c:pt idx="6">
                  <c:v>West Penn</c:v>
                </c:pt>
              </c:strCache>
              <c:extLst/>
            </c:strRef>
          </c:cat>
          <c:val>
            <c:numRef>
              <c:f>'Electric Non-Heat'!$B$7:$O$7</c:f>
              <c:numCache>
                <c:formatCode>General</c:formatCode>
                <c:ptCount val="7"/>
                <c:pt idx="0" formatCode="0.00%">
                  <c:v>0.1545</c:v>
                </c:pt>
                <c:pt idx="2" formatCode="0.00%">
                  <c:v>0.1196</c:v>
                </c:pt>
                <c:pt idx="5" formatCode="0.00%">
                  <c:v>2.81E-2</c:v>
                </c:pt>
              </c:numCache>
              <c:extLst/>
            </c:numRef>
          </c:val>
          <c:extLst>
            <c:ext xmlns:c16="http://schemas.microsoft.com/office/drawing/2014/chart" uri="{C3380CC4-5D6E-409C-BE32-E72D297353CC}">
              <c16:uniqueId val="{00000004-1E71-4FFC-AB1B-3F5716622846}"/>
            </c:ext>
          </c:extLst>
        </c:ser>
        <c:ser>
          <c:idx val="5"/>
          <c:order val="5"/>
          <c:tx>
            <c:strRef>
              <c:f>'Electric Heat'!$A$8</c:f>
              <c:strCache>
                <c:ptCount val="1"/>
                <c:pt idx="0">
                  <c:v>2013</c:v>
                </c:pt>
              </c:strCache>
            </c:strRef>
          </c:tx>
          <c:spPr>
            <a:solidFill>
              <a:schemeClr val="accent6"/>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Heat'!$B$8:$O$8</c:f>
              <c:extLst/>
            </c:numRef>
          </c:val>
          <c:extLst>
            <c:ext xmlns:c16="http://schemas.microsoft.com/office/drawing/2014/chart" uri="{C3380CC4-5D6E-409C-BE32-E72D297353CC}">
              <c16:uniqueId val="{00000005-1E71-4FFC-AB1B-3F5716622846}"/>
            </c:ext>
          </c:extLst>
        </c:ser>
        <c:ser>
          <c:idx val="6"/>
          <c:order val="6"/>
          <c:tx>
            <c:strRef>
              <c:f>'Electric Heat'!$A$9</c:f>
              <c:strCache>
                <c:ptCount val="1"/>
                <c:pt idx="0">
                  <c:v>2014</c:v>
                </c:pt>
              </c:strCache>
            </c:strRef>
          </c:tx>
          <c:spPr>
            <a:solidFill>
              <a:schemeClr val="accent1">
                <a:lumMod val="6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Heat'!$B$9:$O$9</c:f>
              <c:extLst/>
            </c:numRef>
          </c:val>
          <c:extLst>
            <c:ext xmlns:c16="http://schemas.microsoft.com/office/drawing/2014/chart" uri="{C3380CC4-5D6E-409C-BE32-E72D297353CC}">
              <c16:uniqueId val="{00000006-1E71-4FFC-AB1B-3F5716622846}"/>
            </c:ext>
          </c:extLst>
        </c:ser>
        <c:ser>
          <c:idx val="7"/>
          <c:order val="7"/>
          <c:tx>
            <c:strRef>
              <c:f>'Electric Heat'!$A$10</c:f>
              <c:strCache>
                <c:ptCount val="1"/>
                <c:pt idx="0">
                  <c:v>2015</c:v>
                </c:pt>
              </c:strCache>
            </c:strRef>
          </c:tx>
          <c:spPr>
            <a:solidFill>
              <a:schemeClr val="accent2">
                <a:lumMod val="6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Heat'!$B$10:$O$10</c:f>
              <c:extLst/>
            </c:numRef>
          </c:val>
          <c:extLst>
            <c:ext xmlns:c16="http://schemas.microsoft.com/office/drawing/2014/chart" uri="{C3380CC4-5D6E-409C-BE32-E72D297353CC}">
              <c16:uniqueId val="{00000007-1E71-4FFC-AB1B-3F5716622846}"/>
            </c:ext>
          </c:extLst>
        </c:ser>
        <c:ser>
          <c:idx val="8"/>
          <c:order val="8"/>
          <c:tx>
            <c:strRef>
              <c:f>'Electric Heat'!$A$11</c:f>
              <c:strCache>
                <c:ptCount val="1"/>
                <c:pt idx="0">
                  <c:v>2016</c:v>
                </c:pt>
              </c:strCache>
            </c:strRef>
          </c:tx>
          <c:spPr>
            <a:solidFill>
              <a:schemeClr val="accent3">
                <a:lumMod val="6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Heat'!$B$11:$O$11</c:f>
              <c:extLst/>
            </c:numRef>
          </c:val>
          <c:extLst>
            <c:ext xmlns:c16="http://schemas.microsoft.com/office/drawing/2014/chart" uri="{C3380CC4-5D6E-409C-BE32-E72D297353CC}">
              <c16:uniqueId val="{00000008-1E71-4FFC-AB1B-3F5716622846}"/>
            </c:ext>
          </c:extLst>
        </c:ser>
        <c:ser>
          <c:idx val="9"/>
          <c:order val="9"/>
          <c:tx>
            <c:strRef>
              <c:f>'Electric Non-Heat'!$A$12</c:f>
              <c:strCache>
                <c:ptCount val="1"/>
                <c:pt idx="0">
                  <c:v>2013</c:v>
                </c:pt>
              </c:strCache>
            </c:strRef>
          </c:tx>
          <c:spPr>
            <a:solidFill>
              <a:schemeClr val="accent2"/>
            </a:solidFill>
            <a:ln>
              <a:noFill/>
            </a:ln>
            <a:effectLst/>
          </c:spPr>
          <c:invertIfNegative val="0"/>
          <c:cat>
            <c:strRef>
              <c:f>'Electric Non-Heat'!$B$1:$O$1</c:f>
              <c:strCache>
                <c:ptCount val="7"/>
                <c:pt idx="0">
                  <c:v>Duquesne</c:v>
                </c:pt>
                <c:pt idx="1">
                  <c:v>Met Ed</c:v>
                </c:pt>
                <c:pt idx="2">
                  <c:v>PECO  Electric</c:v>
                </c:pt>
                <c:pt idx="3">
                  <c:v>Penelec</c:v>
                </c:pt>
                <c:pt idx="4">
                  <c:v>Penn Power</c:v>
                </c:pt>
                <c:pt idx="5">
                  <c:v>PPL</c:v>
                </c:pt>
                <c:pt idx="6">
                  <c:v>West Penn</c:v>
                </c:pt>
              </c:strCache>
              <c:extLst/>
            </c:strRef>
          </c:cat>
          <c:val>
            <c:numRef>
              <c:f>'Electric Non-Heat'!$B$12:$O$12</c:f>
              <c:numCache>
                <c:formatCode>General</c:formatCode>
                <c:ptCount val="7"/>
                <c:pt idx="0" formatCode="0.00%">
                  <c:v>0.1623</c:v>
                </c:pt>
                <c:pt idx="2" formatCode="0.00%">
                  <c:v>0.1615</c:v>
                </c:pt>
                <c:pt idx="5" formatCode="0.00%">
                  <c:v>4.1700000000000001E-2</c:v>
                </c:pt>
              </c:numCache>
              <c:extLst/>
            </c:numRef>
          </c:val>
          <c:extLst>
            <c:ext xmlns:c16="http://schemas.microsoft.com/office/drawing/2014/chart" uri="{C3380CC4-5D6E-409C-BE32-E72D297353CC}">
              <c16:uniqueId val="{00000009-1E71-4FFC-AB1B-3F5716622846}"/>
            </c:ext>
          </c:extLst>
        </c:ser>
        <c:ser>
          <c:idx val="10"/>
          <c:order val="10"/>
          <c:tx>
            <c:strRef>
              <c:f>'Electric Heat'!$A$13</c:f>
              <c:strCache>
                <c:ptCount val="1"/>
                <c:pt idx="0">
                  <c:v>2015.333333</c:v>
                </c:pt>
              </c:strCache>
            </c:strRef>
          </c:tx>
          <c:spPr>
            <a:solidFill>
              <a:schemeClr val="accent5">
                <a:lumMod val="6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Heat'!$B$13:$O$13</c:f>
              <c:extLst/>
            </c:numRef>
          </c:val>
          <c:extLst>
            <c:ext xmlns:c16="http://schemas.microsoft.com/office/drawing/2014/chart" uri="{C3380CC4-5D6E-409C-BE32-E72D297353CC}">
              <c16:uniqueId val="{0000000A-1E71-4FFC-AB1B-3F5716622846}"/>
            </c:ext>
          </c:extLst>
        </c:ser>
        <c:ser>
          <c:idx val="11"/>
          <c:order val="11"/>
          <c:tx>
            <c:strRef>
              <c:f>'Electric Heat'!$A$14</c:f>
              <c:strCache>
                <c:ptCount val="1"/>
                <c:pt idx="0">
                  <c:v>2015.761905</c:v>
                </c:pt>
              </c:strCache>
            </c:strRef>
          </c:tx>
          <c:spPr>
            <a:solidFill>
              <a:schemeClr val="accent6">
                <a:lumMod val="6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Heat'!$B$14:$O$14</c:f>
              <c:extLst/>
            </c:numRef>
          </c:val>
          <c:extLst>
            <c:ext xmlns:c16="http://schemas.microsoft.com/office/drawing/2014/chart" uri="{C3380CC4-5D6E-409C-BE32-E72D297353CC}">
              <c16:uniqueId val="{0000000B-1E71-4FFC-AB1B-3F5716622846}"/>
            </c:ext>
          </c:extLst>
        </c:ser>
        <c:ser>
          <c:idx val="12"/>
          <c:order val="12"/>
          <c:tx>
            <c:strRef>
              <c:f>'Electric Heat'!$A$15</c:f>
              <c:strCache>
                <c:ptCount val="1"/>
                <c:pt idx="0">
                  <c:v>2016.190476</c:v>
                </c:pt>
              </c:strCache>
            </c:strRef>
          </c:tx>
          <c:spPr>
            <a:solidFill>
              <a:schemeClr val="accent1">
                <a:lumMod val="80000"/>
                <a:lumOff val="2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Heat'!$B$15:$O$15</c:f>
              <c:extLst/>
            </c:numRef>
          </c:val>
          <c:extLst>
            <c:ext xmlns:c16="http://schemas.microsoft.com/office/drawing/2014/chart" uri="{C3380CC4-5D6E-409C-BE32-E72D297353CC}">
              <c16:uniqueId val="{0000000C-1E71-4FFC-AB1B-3F5716622846}"/>
            </c:ext>
          </c:extLst>
        </c:ser>
        <c:ser>
          <c:idx val="13"/>
          <c:order val="13"/>
          <c:tx>
            <c:strRef>
              <c:f>'Electric Heat'!$A$16</c:f>
              <c:strCache>
                <c:ptCount val="1"/>
                <c:pt idx="0">
                  <c:v>2016.619048</c:v>
                </c:pt>
              </c:strCache>
            </c:strRef>
          </c:tx>
          <c:spPr>
            <a:solidFill>
              <a:schemeClr val="accent2">
                <a:lumMod val="80000"/>
                <a:lumOff val="2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Heat'!$B$16:$O$16</c:f>
              <c:extLst/>
            </c:numRef>
          </c:val>
          <c:extLst>
            <c:ext xmlns:c16="http://schemas.microsoft.com/office/drawing/2014/chart" uri="{C3380CC4-5D6E-409C-BE32-E72D297353CC}">
              <c16:uniqueId val="{0000000D-1E71-4FFC-AB1B-3F5716622846}"/>
            </c:ext>
          </c:extLst>
        </c:ser>
        <c:ser>
          <c:idx val="14"/>
          <c:order val="14"/>
          <c:tx>
            <c:strRef>
              <c:f>'Electric Non-Heat'!$A$17</c:f>
              <c:strCache>
                <c:ptCount val="1"/>
                <c:pt idx="0">
                  <c:v>2014</c:v>
                </c:pt>
              </c:strCache>
            </c:strRef>
          </c:tx>
          <c:spPr>
            <a:solidFill>
              <a:schemeClr val="accent3"/>
            </a:solidFill>
            <a:ln>
              <a:noFill/>
            </a:ln>
            <a:effectLst/>
          </c:spPr>
          <c:invertIfNegative val="0"/>
          <c:cat>
            <c:strRef>
              <c:f>'Electric Non-Heat'!$B$1:$O$1</c:f>
              <c:strCache>
                <c:ptCount val="7"/>
                <c:pt idx="0">
                  <c:v>Duquesne</c:v>
                </c:pt>
                <c:pt idx="1">
                  <c:v>Met Ed</c:v>
                </c:pt>
                <c:pt idx="2">
                  <c:v>PECO  Electric</c:v>
                </c:pt>
                <c:pt idx="3">
                  <c:v>Penelec</c:v>
                </c:pt>
                <c:pt idx="4">
                  <c:v>Penn Power</c:v>
                </c:pt>
                <c:pt idx="5">
                  <c:v>PPL</c:v>
                </c:pt>
                <c:pt idx="6">
                  <c:v>West Penn</c:v>
                </c:pt>
              </c:strCache>
              <c:extLst/>
            </c:strRef>
          </c:cat>
          <c:val>
            <c:numRef>
              <c:f>'Electric Non-Heat'!$B$17:$O$17</c:f>
              <c:numCache>
                <c:formatCode>0.00%</c:formatCode>
                <c:ptCount val="7"/>
                <c:pt idx="0">
                  <c:v>0.1391</c:v>
                </c:pt>
                <c:pt idx="1">
                  <c:v>5.79E-2</c:v>
                </c:pt>
                <c:pt idx="2">
                  <c:v>0.17660000000000001</c:v>
                </c:pt>
                <c:pt idx="3">
                  <c:v>4.6199999999999998E-2</c:v>
                </c:pt>
                <c:pt idx="4">
                  <c:v>3.7100000000000001E-2</c:v>
                </c:pt>
                <c:pt idx="5">
                  <c:v>3.7199999999999997E-2</c:v>
                </c:pt>
                <c:pt idx="6">
                  <c:v>4.6600000000000003E-2</c:v>
                </c:pt>
              </c:numCache>
              <c:extLst/>
            </c:numRef>
          </c:val>
          <c:extLst>
            <c:ext xmlns:c16="http://schemas.microsoft.com/office/drawing/2014/chart" uri="{C3380CC4-5D6E-409C-BE32-E72D297353CC}">
              <c16:uniqueId val="{0000000E-1E71-4FFC-AB1B-3F5716622846}"/>
            </c:ext>
          </c:extLst>
        </c:ser>
        <c:ser>
          <c:idx val="15"/>
          <c:order val="15"/>
          <c:tx>
            <c:strRef>
              <c:f>'Electric Heat'!$A$18</c:f>
              <c:strCache>
                <c:ptCount val="1"/>
                <c:pt idx="0">
                  <c:v>2017.47619</c:v>
                </c:pt>
              </c:strCache>
            </c:strRef>
          </c:tx>
          <c:spPr>
            <a:solidFill>
              <a:schemeClr val="accent4">
                <a:lumMod val="80000"/>
                <a:lumOff val="2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Heat'!$B$18:$O$18</c:f>
              <c:extLst/>
            </c:numRef>
          </c:val>
          <c:extLst>
            <c:ext xmlns:c16="http://schemas.microsoft.com/office/drawing/2014/chart" uri="{C3380CC4-5D6E-409C-BE32-E72D297353CC}">
              <c16:uniqueId val="{0000000F-1E71-4FFC-AB1B-3F5716622846}"/>
            </c:ext>
          </c:extLst>
        </c:ser>
        <c:ser>
          <c:idx val="16"/>
          <c:order val="16"/>
          <c:tx>
            <c:strRef>
              <c:f>'Electric Heat'!$A$19</c:f>
              <c:strCache>
                <c:ptCount val="1"/>
                <c:pt idx="0">
                  <c:v>2017.904762</c:v>
                </c:pt>
              </c:strCache>
            </c:strRef>
          </c:tx>
          <c:spPr>
            <a:solidFill>
              <a:schemeClr val="accent5">
                <a:lumMod val="80000"/>
                <a:lumOff val="2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Heat'!$B$19:$O$19</c:f>
              <c:extLst/>
            </c:numRef>
          </c:val>
          <c:extLst>
            <c:ext xmlns:c16="http://schemas.microsoft.com/office/drawing/2014/chart" uri="{C3380CC4-5D6E-409C-BE32-E72D297353CC}">
              <c16:uniqueId val="{00000010-1E71-4FFC-AB1B-3F5716622846}"/>
            </c:ext>
          </c:extLst>
        </c:ser>
        <c:ser>
          <c:idx val="17"/>
          <c:order val="17"/>
          <c:tx>
            <c:strRef>
              <c:f>'Electric Heat'!$A$20</c:f>
              <c:strCache>
                <c:ptCount val="1"/>
                <c:pt idx="0">
                  <c:v>2018.333333</c:v>
                </c:pt>
              </c:strCache>
            </c:strRef>
          </c:tx>
          <c:spPr>
            <a:solidFill>
              <a:schemeClr val="accent6">
                <a:lumMod val="80000"/>
                <a:lumOff val="2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Heat'!$B$20:$O$20</c:f>
              <c:extLst/>
            </c:numRef>
          </c:val>
          <c:extLst>
            <c:ext xmlns:c16="http://schemas.microsoft.com/office/drawing/2014/chart" uri="{C3380CC4-5D6E-409C-BE32-E72D297353CC}">
              <c16:uniqueId val="{00000011-1E71-4FFC-AB1B-3F5716622846}"/>
            </c:ext>
          </c:extLst>
        </c:ser>
        <c:ser>
          <c:idx val="18"/>
          <c:order val="18"/>
          <c:tx>
            <c:strRef>
              <c:f>'Electric Heat'!$A$21</c:f>
              <c:strCache>
                <c:ptCount val="1"/>
                <c:pt idx="0">
                  <c:v>2018.761905</c:v>
                </c:pt>
              </c:strCache>
            </c:strRef>
          </c:tx>
          <c:spPr>
            <a:solidFill>
              <a:schemeClr val="accent1">
                <a:lumMod val="8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Heat'!$B$21:$O$21</c:f>
              <c:extLst/>
            </c:numRef>
          </c:val>
          <c:extLst>
            <c:ext xmlns:c16="http://schemas.microsoft.com/office/drawing/2014/chart" uri="{C3380CC4-5D6E-409C-BE32-E72D297353CC}">
              <c16:uniqueId val="{00000012-1E71-4FFC-AB1B-3F5716622846}"/>
            </c:ext>
          </c:extLst>
        </c:ser>
        <c:ser>
          <c:idx val="19"/>
          <c:order val="19"/>
          <c:tx>
            <c:strRef>
              <c:f>'Electric Non-Heat'!$A$22</c:f>
              <c:strCache>
                <c:ptCount val="1"/>
                <c:pt idx="0">
                  <c:v>2015</c:v>
                </c:pt>
              </c:strCache>
            </c:strRef>
          </c:tx>
          <c:spPr>
            <a:solidFill>
              <a:schemeClr val="accent4"/>
            </a:solidFill>
            <a:ln>
              <a:noFill/>
            </a:ln>
            <a:effectLst/>
          </c:spPr>
          <c:invertIfNegative val="0"/>
          <c:cat>
            <c:strRef>
              <c:f>'Electric Non-Heat'!$B$1:$O$1</c:f>
              <c:strCache>
                <c:ptCount val="7"/>
                <c:pt idx="0">
                  <c:v>Duquesne</c:v>
                </c:pt>
                <c:pt idx="1">
                  <c:v>Met Ed</c:v>
                </c:pt>
                <c:pt idx="2">
                  <c:v>PECO  Electric</c:v>
                </c:pt>
                <c:pt idx="3">
                  <c:v>Penelec</c:v>
                </c:pt>
                <c:pt idx="4">
                  <c:v>Penn Power</c:v>
                </c:pt>
                <c:pt idx="5">
                  <c:v>PPL</c:v>
                </c:pt>
                <c:pt idx="6">
                  <c:v>West Penn</c:v>
                </c:pt>
              </c:strCache>
              <c:extLst/>
            </c:strRef>
          </c:cat>
          <c:val>
            <c:numRef>
              <c:f>'Electric Non-Heat'!$B$22:$O$22</c:f>
              <c:numCache>
                <c:formatCode>0.00%</c:formatCode>
                <c:ptCount val="7"/>
                <c:pt idx="0">
                  <c:v>8.6E-3</c:v>
                </c:pt>
                <c:pt idx="1">
                  <c:v>5.5800000000000002E-2</c:v>
                </c:pt>
                <c:pt idx="2">
                  <c:v>9.2600000000000002E-2</c:v>
                </c:pt>
                <c:pt idx="3">
                  <c:v>4.9200000000000001E-2</c:v>
                </c:pt>
                <c:pt idx="4">
                  <c:v>3.8100000000000002E-2</c:v>
                </c:pt>
                <c:pt idx="5">
                  <c:v>2.63E-2</c:v>
                </c:pt>
                <c:pt idx="6">
                  <c:v>5.0799999999999998E-2</c:v>
                </c:pt>
              </c:numCache>
              <c:extLst/>
            </c:numRef>
          </c:val>
          <c:extLst>
            <c:ext xmlns:c16="http://schemas.microsoft.com/office/drawing/2014/chart" uri="{C3380CC4-5D6E-409C-BE32-E72D297353CC}">
              <c16:uniqueId val="{00000013-1E71-4FFC-AB1B-3F5716622846}"/>
            </c:ext>
          </c:extLst>
        </c:ser>
        <c:ser>
          <c:idx val="20"/>
          <c:order val="20"/>
          <c:tx>
            <c:strRef>
              <c:f>'Electric Heat'!$A$23</c:f>
              <c:strCache>
                <c:ptCount val="1"/>
                <c:pt idx="0">
                  <c:v>2019.619048</c:v>
                </c:pt>
              </c:strCache>
            </c:strRef>
          </c:tx>
          <c:spPr>
            <a:solidFill>
              <a:schemeClr val="accent3">
                <a:lumMod val="8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Heat'!$B$23:$O$23</c:f>
              <c:extLst/>
            </c:numRef>
          </c:val>
          <c:extLst>
            <c:ext xmlns:c16="http://schemas.microsoft.com/office/drawing/2014/chart" uri="{C3380CC4-5D6E-409C-BE32-E72D297353CC}">
              <c16:uniqueId val="{00000014-1E71-4FFC-AB1B-3F5716622846}"/>
            </c:ext>
          </c:extLst>
        </c:ser>
        <c:ser>
          <c:idx val="21"/>
          <c:order val="21"/>
          <c:tx>
            <c:strRef>
              <c:f>'Electric Heat'!$A$24</c:f>
              <c:strCache>
                <c:ptCount val="1"/>
                <c:pt idx="0">
                  <c:v>2020.047619</c:v>
                </c:pt>
              </c:strCache>
            </c:strRef>
          </c:tx>
          <c:spPr>
            <a:solidFill>
              <a:schemeClr val="accent4">
                <a:lumMod val="8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Heat'!$B$24:$O$24</c:f>
              <c:extLst/>
            </c:numRef>
          </c:val>
          <c:extLst>
            <c:ext xmlns:c16="http://schemas.microsoft.com/office/drawing/2014/chart" uri="{C3380CC4-5D6E-409C-BE32-E72D297353CC}">
              <c16:uniqueId val="{00000015-1E71-4FFC-AB1B-3F5716622846}"/>
            </c:ext>
          </c:extLst>
        </c:ser>
        <c:ser>
          <c:idx val="22"/>
          <c:order val="22"/>
          <c:tx>
            <c:strRef>
              <c:f>'Electric Heat'!$A$25</c:f>
              <c:strCache>
                <c:ptCount val="1"/>
                <c:pt idx="0">
                  <c:v>2020.47619</c:v>
                </c:pt>
              </c:strCache>
            </c:strRef>
          </c:tx>
          <c:spPr>
            <a:solidFill>
              <a:schemeClr val="accent5">
                <a:lumMod val="8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Heat'!$B$25:$O$25</c:f>
              <c:extLst/>
            </c:numRef>
          </c:val>
          <c:extLst>
            <c:ext xmlns:c16="http://schemas.microsoft.com/office/drawing/2014/chart" uri="{C3380CC4-5D6E-409C-BE32-E72D297353CC}">
              <c16:uniqueId val="{00000016-1E71-4FFC-AB1B-3F5716622846}"/>
            </c:ext>
          </c:extLst>
        </c:ser>
        <c:ser>
          <c:idx val="23"/>
          <c:order val="23"/>
          <c:tx>
            <c:strRef>
              <c:f>'Electric Heat'!$A$26</c:f>
              <c:strCache>
                <c:ptCount val="1"/>
                <c:pt idx="0">
                  <c:v>2020.904762</c:v>
                </c:pt>
              </c:strCache>
            </c:strRef>
          </c:tx>
          <c:spPr>
            <a:solidFill>
              <a:schemeClr val="accent6">
                <a:lumMod val="80000"/>
              </a:schemeClr>
            </a:solidFill>
            <a:ln>
              <a:noFill/>
            </a:ln>
            <a:effectLst/>
          </c:spPr>
          <c:invertIfNegative val="0"/>
          <c:cat>
            <c:strRef>
              <c:f>'Electric Heat'!$B$1:$O$1</c:f>
              <c:strCache>
                <c:ptCount val="14"/>
                <c:pt idx="0">
                  <c:v>Duquesne</c:v>
                </c:pt>
                <c:pt idx="1">
                  <c:v>Duquesne</c:v>
                </c:pt>
                <c:pt idx="2">
                  <c:v>Met Ed</c:v>
                </c:pt>
                <c:pt idx="3">
                  <c:v>Met Ed</c:v>
                </c:pt>
                <c:pt idx="4">
                  <c:v>PECO  Electric</c:v>
                </c:pt>
                <c:pt idx="5">
                  <c:v>PECO  Electric</c:v>
                </c:pt>
                <c:pt idx="6">
                  <c:v>Penelec</c:v>
                </c:pt>
                <c:pt idx="7">
                  <c:v>Penelec</c:v>
                </c:pt>
                <c:pt idx="8">
                  <c:v>Penn Power</c:v>
                </c:pt>
                <c:pt idx="9">
                  <c:v>Penn Power</c:v>
                </c:pt>
                <c:pt idx="10">
                  <c:v>PPL</c:v>
                </c:pt>
                <c:pt idx="11">
                  <c:v>PPL</c:v>
                </c:pt>
                <c:pt idx="12">
                  <c:v>West Penn</c:v>
                </c:pt>
                <c:pt idx="13">
                  <c:v>West Penn</c:v>
                </c:pt>
              </c:strCache>
              <c:extLst/>
            </c:strRef>
          </c:cat>
          <c:val>
            <c:numRef>
              <c:f>'Electric Heat'!$B$26:$O$26</c:f>
              <c:extLst/>
            </c:numRef>
          </c:val>
          <c:extLst>
            <c:ext xmlns:c16="http://schemas.microsoft.com/office/drawing/2014/chart" uri="{C3380CC4-5D6E-409C-BE32-E72D297353CC}">
              <c16:uniqueId val="{00000017-1E71-4FFC-AB1B-3F5716622846}"/>
            </c:ext>
          </c:extLst>
        </c:ser>
        <c:ser>
          <c:idx val="24"/>
          <c:order val="24"/>
          <c:tx>
            <c:strRef>
              <c:f>'Electric Non-Heat'!$A$27</c:f>
              <c:strCache>
                <c:ptCount val="1"/>
                <c:pt idx="0">
                  <c:v>2016</c:v>
                </c:pt>
              </c:strCache>
            </c:strRef>
          </c:tx>
          <c:spPr>
            <a:solidFill>
              <a:schemeClr val="accent5"/>
            </a:solidFill>
            <a:ln>
              <a:noFill/>
            </a:ln>
            <a:effectLst/>
          </c:spPr>
          <c:invertIfNegative val="0"/>
          <c:cat>
            <c:strRef>
              <c:f>'Electric Non-Heat'!$B$1:$O$1</c:f>
              <c:strCache>
                <c:ptCount val="7"/>
                <c:pt idx="0">
                  <c:v>Duquesne</c:v>
                </c:pt>
                <c:pt idx="1">
                  <c:v>Met Ed</c:v>
                </c:pt>
                <c:pt idx="2">
                  <c:v>PECO  Electric</c:v>
                </c:pt>
                <c:pt idx="3">
                  <c:v>Penelec</c:v>
                </c:pt>
                <c:pt idx="4">
                  <c:v>Penn Power</c:v>
                </c:pt>
                <c:pt idx="5">
                  <c:v>PPL</c:v>
                </c:pt>
                <c:pt idx="6">
                  <c:v>West Penn</c:v>
                </c:pt>
              </c:strCache>
              <c:extLst/>
            </c:strRef>
          </c:cat>
          <c:val>
            <c:numRef>
              <c:f>'Electric Non-Heat'!$B$27:$O$27</c:f>
              <c:numCache>
                <c:formatCode>0.00%</c:formatCode>
                <c:ptCount val="7"/>
                <c:pt idx="0">
                  <c:v>1.5E-3</c:v>
                </c:pt>
                <c:pt idx="1">
                  <c:v>5.4199999999999998E-2</c:v>
                </c:pt>
                <c:pt idx="2">
                  <c:v>6.8099999999999994E-2</c:v>
                </c:pt>
                <c:pt idx="3">
                  <c:v>4.3099999999999999E-2</c:v>
                </c:pt>
                <c:pt idx="4">
                  <c:v>3.61E-2</c:v>
                </c:pt>
                <c:pt idx="5">
                  <c:v>2.35E-2</c:v>
                </c:pt>
                <c:pt idx="6">
                  <c:v>4.36E-2</c:v>
                </c:pt>
              </c:numCache>
              <c:extLst/>
            </c:numRef>
          </c:val>
          <c:extLst>
            <c:ext xmlns:c16="http://schemas.microsoft.com/office/drawing/2014/chart" uri="{C3380CC4-5D6E-409C-BE32-E72D297353CC}">
              <c16:uniqueId val="{00000018-1E71-4FFC-AB1B-3F5716622846}"/>
            </c:ext>
          </c:extLst>
        </c:ser>
        <c:dLbls>
          <c:showLegendKey val="0"/>
          <c:showVal val="0"/>
          <c:showCatName val="0"/>
          <c:showSerName val="0"/>
          <c:showPercent val="0"/>
          <c:showBubbleSize val="0"/>
        </c:dLbls>
        <c:gapWidth val="219"/>
        <c:overlap val="-27"/>
        <c:axId val="622334864"/>
        <c:axId val="622337816"/>
      </c:barChart>
      <c:catAx>
        <c:axId val="62233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22337816"/>
        <c:crosses val="autoZero"/>
        <c:auto val="1"/>
        <c:lblAlgn val="ctr"/>
        <c:lblOffset val="100"/>
        <c:noMultiLvlLbl val="0"/>
      </c:catAx>
      <c:valAx>
        <c:axId val="622337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2233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i="1"/>
              <a:t>Green shaded area reflects CAP Policy Statement </a:t>
            </a:r>
          </a:p>
          <a:p>
            <a:pPr>
              <a:defRPr/>
            </a:pPr>
            <a:r>
              <a:rPr lang="en-US" sz="1000" i="1"/>
              <a:t>Max Energy Burden Level Range (7-10%)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CAP!$B$74</c:f>
              <c:strCache>
                <c:ptCount val="1"/>
                <c:pt idx="0">
                  <c:v>2012</c:v>
                </c:pt>
              </c:strCache>
            </c:strRef>
          </c:tx>
          <c:spPr>
            <a:solidFill>
              <a:schemeClr val="accent1"/>
            </a:solidFill>
            <a:ln>
              <a:noFill/>
            </a:ln>
            <a:effectLst/>
          </c:spPr>
          <c:invertIfNegative val="0"/>
          <c:cat>
            <c:strRef>
              <c:f>CAP!$A$75:$A$83</c:f>
              <c:strCache>
                <c:ptCount val="7"/>
                <c:pt idx="0">
                  <c:v>Columbia</c:v>
                </c:pt>
                <c:pt idx="1">
                  <c:v>PECO Gas</c:v>
                </c:pt>
                <c:pt idx="2">
                  <c:v>Peoples</c:v>
                </c:pt>
                <c:pt idx="3">
                  <c:v>EQT</c:v>
                </c:pt>
                <c:pt idx="4">
                  <c:v>PGW</c:v>
                </c:pt>
                <c:pt idx="5">
                  <c:v>UGI Gas</c:v>
                </c:pt>
                <c:pt idx="6">
                  <c:v>UGI PNG</c:v>
                </c:pt>
              </c:strCache>
              <c:extLst/>
            </c:strRef>
          </c:cat>
          <c:val>
            <c:numRef>
              <c:f>CAP!$B$75:$B$83</c:f>
              <c:numCache>
                <c:formatCode>0.00</c:formatCode>
                <c:ptCount val="7"/>
                <c:pt idx="0">
                  <c:v>5.54</c:v>
                </c:pt>
                <c:pt idx="1">
                  <c:v>11.65</c:v>
                </c:pt>
                <c:pt idx="2">
                  <c:v>7.29</c:v>
                </c:pt>
                <c:pt idx="3">
                  <c:v>9.6300000000000008</c:v>
                </c:pt>
                <c:pt idx="4">
                  <c:v>8.64</c:v>
                </c:pt>
                <c:pt idx="5">
                  <c:v>8.35</c:v>
                </c:pt>
                <c:pt idx="6">
                  <c:v>8.5500000000000007</c:v>
                </c:pt>
              </c:numCache>
              <c:extLst/>
            </c:numRef>
          </c:val>
          <c:extLst>
            <c:ext xmlns:c16="http://schemas.microsoft.com/office/drawing/2014/chart" uri="{C3380CC4-5D6E-409C-BE32-E72D297353CC}">
              <c16:uniqueId val="{00000000-5B08-4270-B4C8-1AF98C1DA088}"/>
            </c:ext>
          </c:extLst>
        </c:ser>
        <c:ser>
          <c:idx val="1"/>
          <c:order val="1"/>
          <c:tx>
            <c:strRef>
              <c:f>CAP!$C$74</c:f>
              <c:strCache>
                <c:ptCount val="1"/>
                <c:pt idx="0">
                  <c:v>2013</c:v>
                </c:pt>
              </c:strCache>
            </c:strRef>
          </c:tx>
          <c:spPr>
            <a:solidFill>
              <a:schemeClr val="accent2"/>
            </a:solidFill>
            <a:ln>
              <a:noFill/>
            </a:ln>
            <a:effectLst/>
          </c:spPr>
          <c:invertIfNegative val="0"/>
          <c:cat>
            <c:strRef>
              <c:f>CAP!$A$75:$A$83</c:f>
              <c:strCache>
                <c:ptCount val="7"/>
                <c:pt idx="0">
                  <c:v>Columbia</c:v>
                </c:pt>
                <c:pt idx="1">
                  <c:v>PECO Gas</c:v>
                </c:pt>
                <c:pt idx="2">
                  <c:v>Peoples</c:v>
                </c:pt>
                <c:pt idx="3">
                  <c:v>EQT</c:v>
                </c:pt>
                <c:pt idx="4">
                  <c:v>PGW</c:v>
                </c:pt>
                <c:pt idx="5">
                  <c:v>UGI Gas</c:v>
                </c:pt>
                <c:pt idx="6">
                  <c:v>UGI PNG</c:v>
                </c:pt>
              </c:strCache>
              <c:extLst/>
            </c:strRef>
          </c:cat>
          <c:val>
            <c:numRef>
              <c:f>CAP!$C$75:$C$83</c:f>
              <c:numCache>
                <c:formatCode>0.00</c:formatCode>
                <c:ptCount val="7"/>
                <c:pt idx="0">
                  <c:v>5.69</c:v>
                </c:pt>
                <c:pt idx="1">
                  <c:v>11.72</c:v>
                </c:pt>
                <c:pt idx="2">
                  <c:v>6.73</c:v>
                </c:pt>
                <c:pt idx="3">
                  <c:v>9.25</c:v>
                </c:pt>
                <c:pt idx="4">
                  <c:v>8.73</c:v>
                </c:pt>
                <c:pt idx="5">
                  <c:v>7.77</c:v>
                </c:pt>
                <c:pt idx="6">
                  <c:v>7.9</c:v>
                </c:pt>
              </c:numCache>
              <c:extLst/>
            </c:numRef>
          </c:val>
          <c:extLst>
            <c:ext xmlns:c16="http://schemas.microsoft.com/office/drawing/2014/chart" uri="{C3380CC4-5D6E-409C-BE32-E72D297353CC}">
              <c16:uniqueId val="{00000001-5B08-4270-B4C8-1AF98C1DA088}"/>
            </c:ext>
          </c:extLst>
        </c:ser>
        <c:ser>
          <c:idx val="2"/>
          <c:order val="2"/>
          <c:tx>
            <c:strRef>
              <c:f>CAP!$D$74</c:f>
              <c:strCache>
                <c:ptCount val="1"/>
                <c:pt idx="0">
                  <c:v>2014</c:v>
                </c:pt>
              </c:strCache>
            </c:strRef>
          </c:tx>
          <c:spPr>
            <a:solidFill>
              <a:schemeClr val="accent3"/>
            </a:solidFill>
            <a:ln>
              <a:noFill/>
            </a:ln>
            <a:effectLst/>
          </c:spPr>
          <c:invertIfNegative val="0"/>
          <c:cat>
            <c:strRef>
              <c:f>CAP!$A$75:$A$83</c:f>
              <c:strCache>
                <c:ptCount val="7"/>
                <c:pt idx="0">
                  <c:v>Columbia</c:v>
                </c:pt>
                <c:pt idx="1">
                  <c:v>PECO Gas</c:v>
                </c:pt>
                <c:pt idx="2">
                  <c:v>Peoples</c:v>
                </c:pt>
                <c:pt idx="3">
                  <c:v>EQT</c:v>
                </c:pt>
                <c:pt idx="4">
                  <c:v>PGW</c:v>
                </c:pt>
                <c:pt idx="5">
                  <c:v>UGI Gas</c:v>
                </c:pt>
                <c:pt idx="6">
                  <c:v>UGI PNG</c:v>
                </c:pt>
              </c:strCache>
              <c:extLst/>
            </c:strRef>
          </c:cat>
          <c:val>
            <c:numRef>
              <c:f>CAP!$D$75:$D$83</c:f>
              <c:numCache>
                <c:formatCode>0.00</c:formatCode>
                <c:ptCount val="7"/>
                <c:pt idx="0">
                  <c:v>5.7</c:v>
                </c:pt>
                <c:pt idx="1">
                  <c:v>11.77</c:v>
                </c:pt>
                <c:pt idx="2">
                  <c:v>6.75</c:v>
                </c:pt>
                <c:pt idx="3">
                  <c:v>7.33</c:v>
                </c:pt>
                <c:pt idx="4">
                  <c:v>9.02</c:v>
                </c:pt>
                <c:pt idx="5">
                  <c:v>6.7</c:v>
                </c:pt>
                <c:pt idx="6">
                  <c:v>7.98</c:v>
                </c:pt>
              </c:numCache>
              <c:extLst/>
            </c:numRef>
          </c:val>
          <c:extLst>
            <c:ext xmlns:c16="http://schemas.microsoft.com/office/drawing/2014/chart" uri="{C3380CC4-5D6E-409C-BE32-E72D297353CC}">
              <c16:uniqueId val="{00000002-5B08-4270-B4C8-1AF98C1DA088}"/>
            </c:ext>
          </c:extLst>
        </c:ser>
        <c:ser>
          <c:idx val="3"/>
          <c:order val="3"/>
          <c:tx>
            <c:strRef>
              <c:f>CAP!$E$74</c:f>
              <c:strCache>
                <c:ptCount val="1"/>
                <c:pt idx="0">
                  <c:v>2015</c:v>
                </c:pt>
              </c:strCache>
            </c:strRef>
          </c:tx>
          <c:spPr>
            <a:solidFill>
              <a:schemeClr val="accent4"/>
            </a:solidFill>
            <a:ln>
              <a:noFill/>
            </a:ln>
            <a:effectLst/>
          </c:spPr>
          <c:invertIfNegative val="0"/>
          <c:cat>
            <c:strRef>
              <c:f>CAP!$A$75:$A$83</c:f>
              <c:strCache>
                <c:ptCount val="7"/>
                <c:pt idx="0">
                  <c:v>Columbia</c:v>
                </c:pt>
                <c:pt idx="1">
                  <c:v>PECO Gas</c:v>
                </c:pt>
                <c:pt idx="2">
                  <c:v>Peoples</c:v>
                </c:pt>
                <c:pt idx="3">
                  <c:v>EQT</c:v>
                </c:pt>
                <c:pt idx="4">
                  <c:v>PGW</c:v>
                </c:pt>
                <c:pt idx="5">
                  <c:v>UGI Gas</c:v>
                </c:pt>
                <c:pt idx="6">
                  <c:v>UGI PNG</c:v>
                </c:pt>
              </c:strCache>
              <c:extLst/>
            </c:strRef>
          </c:cat>
          <c:val>
            <c:numRef>
              <c:f>CAP!$E$75:$E$83</c:f>
              <c:numCache>
                <c:formatCode>0.00</c:formatCode>
                <c:ptCount val="7"/>
                <c:pt idx="0">
                  <c:v>5.55</c:v>
                </c:pt>
                <c:pt idx="1">
                  <c:v>10.68</c:v>
                </c:pt>
                <c:pt idx="2">
                  <c:v>7.31</c:v>
                </c:pt>
                <c:pt idx="3">
                  <c:v>5.13</c:v>
                </c:pt>
                <c:pt idx="4">
                  <c:v>9.2100000000000009</c:v>
                </c:pt>
                <c:pt idx="5">
                  <c:v>6.54</c:v>
                </c:pt>
                <c:pt idx="6">
                  <c:v>7.32</c:v>
                </c:pt>
              </c:numCache>
              <c:extLst/>
            </c:numRef>
          </c:val>
          <c:extLst>
            <c:ext xmlns:c16="http://schemas.microsoft.com/office/drawing/2014/chart" uri="{C3380CC4-5D6E-409C-BE32-E72D297353CC}">
              <c16:uniqueId val="{00000003-5B08-4270-B4C8-1AF98C1DA088}"/>
            </c:ext>
          </c:extLst>
        </c:ser>
        <c:ser>
          <c:idx val="4"/>
          <c:order val="4"/>
          <c:tx>
            <c:strRef>
              <c:f>CAP!$F$74</c:f>
              <c:strCache>
                <c:ptCount val="1"/>
                <c:pt idx="0">
                  <c:v>2016</c:v>
                </c:pt>
              </c:strCache>
            </c:strRef>
          </c:tx>
          <c:spPr>
            <a:solidFill>
              <a:schemeClr val="accent5"/>
            </a:solidFill>
            <a:ln>
              <a:noFill/>
            </a:ln>
            <a:effectLst/>
          </c:spPr>
          <c:invertIfNegative val="0"/>
          <c:cat>
            <c:strRef>
              <c:f>CAP!$A$75:$A$83</c:f>
              <c:strCache>
                <c:ptCount val="7"/>
                <c:pt idx="0">
                  <c:v>Columbia</c:v>
                </c:pt>
                <c:pt idx="1">
                  <c:v>PECO Gas</c:v>
                </c:pt>
                <c:pt idx="2">
                  <c:v>Peoples</c:v>
                </c:pt>
                <c:pt idx="3">
                  <c:v>EQT</c:v>
                </c:pt>
                <c:pt idx="4">
                  <c:v>PGW</c:v>
                </c:pt>
                <c:pt idx="5">
                  <c:v>UGI Gas</c:v>
                </c:pt>
                <c:pt idx="6">
                  <c:v>UGI PNG</c:v>
                </c:pt>
              </c:strCache>
              <c:extLst/>
            </c:strRef>
          </c:cat>
          <c:val>
            <c:numRef>
              <c:f>CAP!$F$75:$F$83</c:f>
              <c:numCache>
                <c:formatCode>0.00</c:formatCode>
                <c:ptCount val="7"/>
                <c:pt idx="0">
                  <c:v>5.27</c:v>
                </c:pt>
                <c:pt idx="1">
                  <c:v>9.0500000000000007</c:v>
                </c:pt>
                <c:pt idx="2">
                  <c:v>6.62</c:v>
                </c:pt>
                <c:pt idx="3">
                  <c:v>7.58</c:v>
                </c:pt>
                <c:pt idx="4">
                  <c:v>9.2200000000000006</c:v>
                </c:pt>
                <c:pt idx="5">
                  <c:v>5.65</c:v>
                </c:pt>
                <c:pt idx="6">
                  <c:v>6.43</c:v>
                </c:pt>
              </c:numCache>
              <c:extLst/>
            </c:numRef>
          </c:val>
          <c:extLst>
            <c:ext xmlns:c16="http://schemas.microsoft.com/office/drawing/2014/chart" uri="{C3380CC4-5D6E-409C-BE32-E72D297353CC}">
              <c16:uniqueId val="{00000004-5B08-4270-B4C8-1AF98C1DA088}"/>
            </c:ext>
          </c:extLst>
        </c:ser>
        <c:dLbls>
          <c:showLegendKey val="0"/>
          <c:showVal val="0"/>
          <c:showCatName val="0"/>
          <c:showSerName val="0"/>
          <c:showPercent val="0"/>
          <c:showBubbleSize val="0"/>
        </c:dLbls>
        <c:gapWidth val="219"/>
        <c:overlap val="-27"/>
        <c:axId val="617390160"/>
        <c:axId val="617395408"/>
      </c:barChart>
      <c:catAx>
        <c:axId val="61739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395408"/>
        <c:crosses val="autoZero"/>
        <c:auto val="1"/>
        <c:lblAlgn val="ctr"/>
        <c:lblOffset val="100"/>
        <c:noMultiLvlLbl val="0"/>
      </c:catAx>
      <c:valAx>
        <c:axId val="617395408"/>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a:t>
                </a:r>
                <a:r>
                  <a:rPr lang="en-US" baseline="0"/>
                  <a:t> Burden Level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39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 H-NH %'!$J$4</c:f>
              <c:strCache>
                <c:ptCount val="1"/>
                <c:pt idx="0">
                  <c:v>2012</c:v>
                </c:pt>
              </c:strCache>
            </c:strRef>
          </c:tx>
          <c:spPr>
            <a:solidFill>
              <a:schemeClr val="accent1"/>
            </a:solidFill>
            <a:ln>
              <a:noFill/>
            </a:ln>
            <a:effectLst/>
          </c:spPr>
          <c:invertIfNegative val="0"/>
          <c:cat>
            <c:strRef>
              <c:f>'Elec H-NH %'!$K$2:$Q$2</c:f>
              <c:strCache>
                <c:ptCount val="7"/>
                <c:pt idx="0">
                  <c:v>Duquesne</c:v>
                </c:pt>
                <c:pt idx="1">
                  <c:v>Met Ed</c:v>
                </c:pt>
                <c:pt idx="2">
                  <c:v>PECO Elec</c:v>
                </c:pt>
                <c:pt idx="3">
                  <c:v>Penelec</c:v>
                </c:pt>
                <c:pt idx="4">
                  <c:v>Penn Power</c:v>
                </c:pt>
                <c:pt idx="5">
                  <c:v>PPL</c:v>
                </c:pt>
                <c:pt idx="6">
                  <c:v>West Penn</c:v>
                </c:pt>
              </c:strCache>
            </c:strRef>
          </c:cat>
          <c:val>
            <c:numRef>
              <c:f>'Elec H-NH %'!$K$4:$Q$4</c:f>
              <c:numCache>
                <c:formatCode>0.00%</c:formatCode>
                <c:ptCount val="7"/>
                <c:pt idx="0">
                  <c:v>1.4951986870291683E-2</c:v>
                </c:pt>
                <c:pt idx="1">
                  <c:v>1.653439074975593E-2</c:v>
                </c:pt>
                <c:pt idx="2">
                  <c:v>2.516276519746188E-2</c:v>
                </c:pt>
                <c:pt idx="3">
                  <c:v>3.1023894851578502E-2</c:v>
                </c:pt>
                <c:pt idx="4">
                  <c:v>8.4541257686128121E-2</c:v>
                </c:pt>
                <c:pt idx="5">
                  <c:v>6.0703308520929054E-2</c:v>
                </c:pt>
                <c:pt idx="6">
                  <c:v>4.1726322314565051E-2</c:v>
                </c:pt>
              </c:numCache>
            </c:numRef>
          </c:val>
          <c:extLst>
            <c:ext xmlns:c16="http://schemas.microsoft.com/office/drawing/2014/chart" uri="{C3380CC4-5D6E-409C-BE32-E72D297353CC}">
              <c16:uniqueId val="{00000000-5B03-446A-A3F5-69DA0FC5F9B4}"/>
            </c:ext>
          </c:extLst>
        </c:ser>
        <c:ser>
          <c:idx val="1"/>
          <c:order val="1"/>
          <c:tx>
            <c:strRef>
              <c:f>'Elec H-NH %'!$J$5</c:f>
              <c:strCache>
                <c:ptCount val="1"/>
                <c:pt idx="0">
                  <c:v>2013</c:v>
                </c:pt>
              </c:strCache>
            </c:strRef>
          </c:tx>
          <c:spPr>
            <a:solidFill>
              <a:schemeClr val="accent2"/>
            </a:solidFill>
            <a:ln>
              <a:noFill/>
            </a:ln>
            <a:effectLst/>
          </c:spPr>
          <c:invertIfNegative val="0"/>
          <c:cat>
            <c:strRef>
              <c:f>'Elec H-NH %'!$K$2:$Q$2</c:f>
              <c:strCache>
                <c:ptCount val="7"/>
                <c:pt idx="0">
                  <c:v>Duquesne</c:v>
                </c:pt>
                <c:pt idx="1">
                  <c:v>Met Ed</c:v>
                </c:pt>
                <c:pt idx="2">
                  <c:v>PECO Elec</c:v>
                </c:pt>
                <c:pt idx="3">
                  <c:v>Penelec</c:v>
                </c:pt>
                <c:pt idx="4">
                  <c:v>Penn Power</c:v>
                </c:pt>
                <c:pt idx="5">
                  <c:v>PPL</c:v>
                </c:pt>
                <c:pt idx="6">
                  <c:v>West Penn</c:v>
                </c:pt>
              </c:strCache>
            </c:strRef>
          </c:cat>
          <c:val>
            <c:numRef>
              <c:f>'Elec H-NH %'!$K$5:$Q$5</c:f>
              <c:numCache>
                <c:formatCode>0.00%</c:formatCode>
                <c:ptCount val="7"/>
                <c:pt idx="0">
                  <c:v>1.0034346261452314E-2</c:v>
                </c:pt>
                <c:pt idx="1">
                  <c:v>0.18919857459728454</c:v>
                </c:pt>
                <c:pt idx="2">
                  <c:v>5.1492818688458723E-2</c:v>
                </c:pt>
                <c:pt idx="3">
                  <c:v>0.11331986898679298</c:v>
                </c:pt>
                <c:pt idx="4">
                  <c:v>0.34042301022305005</c:v>
                </c:pt>
                <c:pt idx="5">
                  <c:v>3.6930483768233907E-2</c:v>
                </c:pt>
                <c:pt idx="6">
                  <c:v>9.1988298648117139E-2</c:v>
                </c:pt>
              </c:numCache>
            </c:numRef>
          </c:val>
          <c:extLst>
            <c:ext xmlns:c16="http://schemas.microsoft.com/office/drawing/2014/chart" uri="{C3380CC4-5D6E-409C-BE32-E72D297353CC}">
              <c16:uniqueId val="{00000001-5B03-446A-A3F5-69DA0FC5F9B4}"/>
            </c:ext>
          </c:extLst>
        </c:ser>
        <c:ser>
          <c:idx val="2"/>
          <c:order val="2"/>
          <c:tx>
            <c:strRef>
              <c:f>'Elec H-NH %'!$J$6</c:f>
              <c:strCache>
                <c:ptCount val="1"/>
                <c:pt idx="0">
                  <c:v>2014</c:v>
                </c:pt>
              </c:strCache>
            </c:strRef>
          </c:tx>
          <c:spPr>
            <a:solidFill>
              <a:schemeClr val="accent3"/>
            </a:solidFill>
            <a:ln>
              <a:noFill/>
            </a:ln>
            <a:effectLst/>
          </c:spPr>
          <c:invertIfNegative val="0"/>
          <c:cat>
            <c:strRef>
              <c:f>'Elec H-NH %'!$K$2:$Q$2</c:f>
              <c:strCache>
                <c:ptCount val="7"/>
                <c:pt idx="0">
                  <c:v>Duquesne</c:v>
                </c:pt>
                <c:pt idx="1">
                  <c:v>Met Ed</c:v>
                </c:pt>
                <c:pt idx="2">
                  <c:v>PECO Elec</c:v>
                </c:pt>
                <c:pt idx="3">
                  <c:v>Penelec</c:v>
                </c:pt>
                <c:pt idx="4">
                  <c:v>Penn Power</c:v>
                </c:pt>
                <c:pt idx="5">
                  <c:v>PPL</c:v>
                </c:pt>
                <c:pt idx="6">
                  <c:v>West Penn</c:v>
                </c:pt>
              </c:strCache>
            </c:strRef>
          </c:cat>
          <c:val>
            <c:numRef>
              <c:f>'Elec H-NH %'!$K$6:$Q$6</c:f>
              <c:numCache>
                <c:formatCode>0.00%</c:formatCode>
                <c:ptCount val="7"/>
                <c:pt idx="0">
                  <c:v>1.2270188606174083E-2</c:v>
                </c:pt>
                <c:pt idx="1">
                  <c:v>0.13167665271583889</c:v>
                </c:pt>
                <c:pt idx="2">
                  <c:v>6.0188879369793551E-2</c:v>
                </c:pt>
                <c:pt idx="3">
                  <c:v>7.3474667318768269E-2</c:v>
                </c:pt>
                <c:pt idx="4">
                  <c:v>0.2402960717680156</c:v>
                </c:pt>
                <c:pt idx="5">
                  <c:v>3.0838463520365813E-2</c:v>
                </c:pt>
                <c:pt idx="6">
                  <c:v>7.1217251994173683E-2</c:v>
                </c:pt>
              </c:numCache>
            </c:numRef>
          </c:val>
          <c:extLst>
            <c:ext xmlns:c16="http://schemas.microsoft.com/office/drawing/2014/chart" uri="{C3380CC4-5D6E-409C-BE32-E72D297353CC}">
              <c16:uniqueId val="{00000002-5B03-446A-A3F5-69DA0FC5F9B4}"/>
            </c:ext>
          </c:extLst>
        </c:ser>
        <c:ser>
          <c:idx val="3"/>
          <c:order val="3"/>
          <c:tx>
            <c:strRef>
              <c:f>'Elec H-NH %'!$J$7</c:f>
              <c:strCache>
                <c:ptCount val="1"/>
                <c:pt idx="0">
                  <c:v>2015</c:v>
                </c:pt>
              </c:strCache>
            </c:strRef>
          </c:tx>
          <c:spPr>
            <a:solidFill>
              <a:schemeClr val="accent4"/>
            </a:solidFill>
            <a:ln>
              <a:noFill/>
            </a:ln>
            <a:effectLst/>
          </c:spPr>
          <c:invertIfNegative val="0"/>
          <c:cat>
            <c:strRef>
              <c:f>'Elec H-NH %'!$K$2:$Q$2</c:f>
              <c:strCache>
                <c:ptCount val="7"/>
                <c:pt idx="0">
                  <c:v>Duquesne</c:v>
                </c:pt>
                <c:pt idx="1">
                  <c:v>Met Ed</c:v>
                </c:pt>
                <c:pt idx="2">
                  <c:v>PECO Elec</c:v>
                </c:pt>
                <c:pt idx="3">
                  <c:v>Penelec</c:v>
                </c:pt>
                <c:pt idx="4">
                  <c:v>Penn Power</c:v>
                </c:pt>
                <c:pt idx="5">
                  <c:v>PPL</c:v>
                </c:pt>
                <c:pt idx="6">
                  <c:v>West Penn</c:v>
                </c:pt>
              </c:strCache>
            </c:strRef>
          </c:cat>
          <c:val>
            <c:numRef>
              <c:f>'Elec H-NH %'!$K$7:$Q$7</c:f>
              <c:numCache>
                <c:formatCode>0.00%</c:formatCode>
                <c:ptCount val="7"/>
                <c:pt idx="0">
                  <c:v>1.4866963229303197E-2</c:v>
                </c:pt>
                <c:pt idx="1">
                  <c:v>0.14972222432257487</c:v>
                </c:pt>
                <c:pt idx="2">
                  <c:v>7.1160550934546318E-2</c:v>
                </c:pt>
                <c:pt idx="3">
                  <c:v>7.8624113031314488E-2</c:v>
                </c:pt>
                <c:pt idx="4">
                  <c:v>0.20642333840596944</c:v>
                </c:pt>
                <c:pt idx="5">
                  <c:v>4.3168055004597757E-2</c:v>
                </c:pt>
                <c:pt idx="6">
                  <c:v>7.7493844505618248E-2</c:v>
                </c:pt>
              </c:numCache>
            </c:numRef>
          </c:val>
          <c:extLst>
            <c:ext xmlns:c16="http://schemas.microsoft.com/office/drawing/2014/chart" uri="{C3380CC4-5D6E-409C-BE32-E72D297353CC}">
              <c16:uniqueId val="{00000003-5B03-446A-A3F5-69DA0FC5F9B4}"/>
            </c:ext>
          </c:extLst>
        </c:ser>
        <c:ser>
          <c:idx val="4"/>
          <c:order val="4"/>
          <c:tx>
            <c:strRef>
              <c:f>'Elec H-NH %'!$J$8</c:f>
              <c:strCache>
                <c:ptCount val="1"/>
                <c:pt idx="0">
                  <c:v>2016</c:v>
                </c:pt>
              </c:strCache>
            </c:strRef>
          </c:tx>
          <c:spPr>
            <a:solidFill>
              <a:schemeClr val="accent5"/>
            </a:solidFill>
            <a:ln>
              <a:noFill/>
            </a:ln>
            <a:effectLst/>
          </c:spPr>
          <c:invertIfNegative val="0"/>
          <c:cat>
            <c:strRef>
              <c:f>'Elec H-NH %'!$K$2:$Q$2</c:f>
              <c:strCache>
                <c:ptCount val="7"/>
                <c:pt idx="0">
                  <c:v>Duquesne</c:v>
                </c:pt>
                <c:pt idx="1">
                  <c:v>Met Ed</c:v>
                </c:pt>
                <c:pt idx="2">
                  <c:v>PECO Elec</c:v>
                </c:pt>
                <c:pt idx="3">
                  <c:v>Penelec</c:v>
                </c:pt>
                <c:pt idx="4">
                  <c:v>Penn Power</c:v>
                </c:pt>
                <c:pt idx="5">
                  <c:v>PPL</c:v>
                </c:pt>
                <c:pt idx="6">
                  <c:v>West Penn</c:v>
                </c:pt>
              </c:strCache>
            </c:strRef>
          </c:cat>
          <c:val>
            <c:numRef>
              <c:f>'Elec H-NH %'!$K$8:$Q$8</c:f>
              <c:numCache>
                <c:formatCode>0.00%</c:formatCode>
                <c:ptCount val="7"/>
                <c:pt idx="0">
                  <c:v>9.9904431110451036E-3</c:v>
                </c:pt>
                <c:pt idx="1">
                  <c:v>0.1279195800281849</c:v>
                </c:pt>
                <c:pt idx="2">
                  <c:v>6.5314056708760768E-2</c:v>
                </c:pt>
                <c:pt idx="3">
                  <c:v>7.4804480485478331E-2</c:v>
                </c:pt>
                <c:pt idx="4">
                  <c:v>0.19330120042492746</c:v>
                </c:pt>
                <c:pt idx="5">
                  <c:v>3.6311606533874712E-2</c:v>
                </c:pt>
                <c:pt idx="6">
                  <c:v>0.11919223594347134</c:v>
                </c:pt>
              </c:numCache>
            </c:numRef>
          </c:val>
          <c:extLst>
            <c:ext xmlns:c16="http://schemas.microsoft.com/office/drawing/2014/chart" uri="{C3380CC4-5D6E-409C-BE32-E72D297353CC}">
              <c16:uniqueId val="{00000004-5B03-446A-A3F5-69DA0FC5F9B4}"/>
            </c:ext>
          </c:extLst>
        </c:ser>
        <c:dLbls>
          <c:showLegendKey val="0"/>
          <c:showVal val="0"/>
          <c:showCatName val="0"/>
          <c:showSerName val="0"/>
          <c:showPercent val="0"/>
          <c:showBubbleSize val="0"/>
        </c:dLbls>
        <c:gapWidth val="219"/>
        <c:overlap val="-27"/>
        <c:axId val="819560512"/>
        <c:axId val="819563136"/>
      </c:barChart>
      <c:catAx>
        <c:axId val="81956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563136"/>
        <c:crosses val="autoZero"/>
        <c:auto val="1"/>
        <c:lblAlgn val="ctr"/>
        <c:lblOffset val="100"/>
        <c:noMultiLvlLbl val="0"/>
      </c:catAx>
      <c:valAx>
        <c:axId val="819563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56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 H-NH %'!$J$25</c:f>
              <c:strCache>
                <c:ptCount val="1"/>
                <c:pt idx="0">
                  <c:v>2012</c:v>
                </c:pt>
              </c:strCache>
            </c:strRef>
          </c:tx>
          <c:spPr>
            <a:solidFill>
              <a:schemeClr val="accent1"/>
            </a:solidFill>
            <a:ln>
              <a:noFill/>
            </a:ln>
            <a:effectLst/>
          </c:spPr>
          <c:invertIfNegative val="0"/>
          <c:cat>
            <c:strRef>
              <c:f>'Elec H-NH %'!$K$23:$Q$23</c:f>
              <c:strCache>
                <c:ptCount val="7"/>
                <c:pt idx="0">
                  <c:v>Duquesne</c:v>
                </c:pt>
                <c:pt idx="1">
                  <c:v>Met Ed</c:v>
                </c:pt>
                <c:pt idx="2">
                  <c:v>PECO Elec</c:v>
                </c:pt>
                <c:pt idx="3">
                  <c:v>Penelec</c:v>
                </c:pt>
                <c:pt idx="4">
                  <c:v>Penn Power</c:v>
                </c:pt>
                <c:pt idx="5">
                  <c:v>PPL</c:v>
                </c:pt>
                <c:pt idx="6">
                  <c:v>West Penn</c:v>
                </c:pt>
              </c:strCache>
            </c:strRef>
          </c:cat>
          <c:val>
            <c:numRef>
              <c:f>'Elec H-NH %'!$K$25:$Q$25</c:f>
              <c:numCache>
                <c:formatCode>0.00%</c:formatCode>
                <c:ptCount val="7"/>
                <c:pt idx="0">
                  <c:v>1.3689898849937647E-2</c:v>
                </c:pt>
                <c:pt idx="1">
                  <c:v>0</c:v>
                </c:pt>
                <c:pt idx="2">
                  <c:v>8.724430568674247E-4</c:v>
                </c:pt>
                <c:pt idx="3">
                  <c:v>0</c:v>
                </c:pt>
                <c:pt idx="4">
                  <c:v>0</c:v>
                </c:pt>
                <c:pt idx="5">
                  <c:v>2.292380012767686E-2</c:v>
                </c:pt>
                <c:pt idx="6">
                  <c:v>0</c:v>
                </c:pt>
              </c:numCache>
            </c:numRef>
          </c:val>
          <c:extLst>
            <c:ext xmlns:c16="http://schemas.microsoft.com/office/drawing/2014/chart" uri="{C3380CC4-5D6E-409C-BE32-E72D297353CC}">
              <c16:uniqueId val="{00000000-5878-4CCE-8AB6-14D759977414}"/>
            </c:ext>
          </c:extLst>
        </c:ser>
        <c:ser>
          <c:idx val="1"/>
          <c:order val="1"/>
          <c:tx>
            <c:strRef>
              <c:f>'Elec H-NH %'!$J$26</c:f>
              <c:strCache>
                <c:ptCount val="1"/>
                <c:pt idx="0">
                  <c:v>2013</c:v>
                </c:pt>
              </c:strCache>
            </c:strRef>
          </c:tx>
          <c:spPr>
            <a:solidFill>
              <a:schemeClr val="accent2"/>
            </a:solidFill>
            <a:ln>
              <a:noFill/>
            </a:ln>
            <a:effectLst/>
          </c:spPr>
          <c:invertIfNegative val="0"/>
          <c:cat>
            <c:strRef>
              <c:f>'Elec H-NH %'!$K$23:$Q$23</c:f>
              <c:strCache>
                <c:ptCount val="7"/>
                <c:pt idx="0">
                  <c:v>Duquesne</c:v>
                </c:pt>
                <c:pt idx="1">
                  <c:v>Met Ed</c:v>
                </c:pt>
                <c:pt idx="2">
                  <c:v>PECO Elec</c:v>
                </c:pt>
                <c:pt idx="3">
                  <c:v>Penelec</c:v>
                </c:pt>
                <c:pt idx="4">
                  <c:v>Penn Power</c:v>
                </c:pt>
                <c:pt idx="5">
                  <c:v>PPL</c:v>
                </c:pt>
                <c:pt idx="6">
                  <c:v>West Penn</c:v>
                </c:pt>
              </c:strCache>
            </c:strRef>
          </c:cat>
          <c:val>
            <c:numRef>
              <c:f>'Elec H-NH %'!$K$26:$Q$26</c:f>
              <c:numCache>
                <c:formatCode>0.00%</c:formatCode>
                <c:ptCount val="7"/>
                <c:pt idx="0">
                  <c:v>1.6528021015761823E-2</c:v>
                </c:pt>
                <c:pt idx="1">
                  <c:v>0</c:v>
                </c:pt>
                <c:pt idx="2">
                  <c:v>1.513549527106296E-3</c:v>
                </c:pt>
                <c:pt idx="3">
                  <c:v>0</c:v>
                </c:pt>
                <c:pt idx="4">
                  <c:v>0</c:v>
                </c:pt>
                <c:pt idx="5">
                  <c:v>3.8582833764241271E-2</c:v>
                </c:pt>
                <c:pt idx="6">
                  <c:v>0</c:v>
                </c:pt>
              </c:numCache>
            </c:numRef>
          </c:val>
          <c:extLst>
            <c:ext xmlns:c16="http://schemas.microsoft.com/office/drawing/2014/chart" uri="{C3380CC4-5D6E-409C-BE32-E72D297353CC}">
              <c16:uniqueId val="{00000001-5878-4CCE-8AB6-14D759977414}"/>
            </c:ext>
          </c:extLst>
        </c:ser>
        <c:ser>
          <c:idx val="2"/>
          <c:order val="2"/>
          <c:tx>
            <c:strRef>
              <c:f>'Elec H-NH %'!$J$27</c:f>
              <c:strCache>
                <c:ptCount val="1"/>
                <c:pt idx="0">
                  <c:v>2014</c:v>
                </c:pt>
              </c:strCache>
            </c:strRef>
          </c:tx>
          <c:spPr>
            <a:solidFill>
              <a:schemeClr val="accent3"/>
            </a:solidFill>
            <a:ln>
              <a:noFill/>
            </a:ln>
            <a:effectLst/>
          </c:spPr>
          <c:invertIfNegative val="0"/>
          <c:cat>
            <c:strRef>
              <c:f>'Elec H-NH %'!$K$23:$Q$23</c:f>
              <c:strCache>
                <c:ptCount val="7"/>
                <c:pt idx="0">
                  <c:v>Duquesne</c:v>
                </c:pt>
                <c:pt idx="1">
                  <c:v>Met Ed</c:v>
                </c:pt>
                <c:pt idx="2">
                  <c:v>PECO Elec</c:v>
                </c:pt>
                <c:pt idx="3">
                  <c:v>Penelec</c:v>
                </c:pt>
                <c:pt idx="4">
                  <c:v>Penn Power</c:v>
                </c:pt>
                <c:pt idx="5">
                  <c:v>PPL</c:v>
                </c:pt>
                <c:pt idx="6">
                  <c:v>West Penn</c:v>
                </c:pt>
              </c:strCache>
            </c:strRef>
          </c:cat>
          <c:val>
            <c:numRef>
              <c:f>'Elec H-NH %'!$K$27:$Q$27</c:f>
              <c:numCache>
                <c:formatCode>0.00%</c:formatCode>
                <c:ptCount val="7"/>
                <c:pt idx="0">
                  <c:v>1.3804028060647205E-2</c:v>
                </c:pt>
                <c:pt idx="1">
                  <c:v>4.2837940506107182E-2</c:v>
                </c:pt>
                <c:pt idx="2">
                  <c:v>2.9936941336334106E-3</c:v>
                </c:pt>
                <c:pt idx="3">
                  <c:v>1.7064846416382253E-2</c:v>
                </c:pt>
                <c:pt idx="4">
                  <c:v>1.629713852567747E-2</c:v>
                </c:pt>
                <c:pt idx="5">
                  <c:v>4.3858963333593931E-2</c:v>
                </c:pt>
                <c:pt idx="6">
                  <c:v>2.6443629697525211E-2</c:v>
                </c:pt>
              </c:numCache>
            </c:numRef>
          </c:val>
          <c:extLst>
            <c:ext xmlns:c16="http://schemas.microsoft.com/office/drawing/2014/chart" uri="{C3380CC4-5D6E-409C-BE32-E72D297353CC}">
              <c16:uniqueId val="{00000002-5878-4CCE-8AB6-14D759977414}"/>
            </c:ext>
          </c:extLst>
        </c:ser>
        <c:ser>
          <c:idx val="3"/>
          <c:order val="3"/>
          <c:tx>
            <c:strRef>
              <c:f>'Elec H-NH %'!$J$28</c:f>
              <c:strCache>
                <c:ptCount val="1"/>
                <c:pt idx="0">
                  <c:v>2015</c:v>
                </c:pt>
              </c:strCache>
            </c:strRef>
          </c:tx>
          <c:spPr>
            <a:solidFill>
              <a:schemeClr val="accent4"/>
            </a:solidFill>
            <a:ln>
              <a:noFill/>
            </a:ln>
            <a:effectLst/>
          </c:spPr>
          <c:invertIfNegative val="0"/>
          <c:cat>
            <c:strRef>
              <c:f>'Elec H-NH %'!$K$23:$Q$23</c:f>
              <c:strCache>
                <c:ptCount val="7"/>
                <c:pt idx="0">
                  <c:v>Duquesne</c:v>
                </c:pt>
                <c:pt idx="1">
                  <c:v>Met Ed</c:v>
                </c:pt>
                <c:pt idx="2">
                  <c:v>PECO Elec</c:v>
                </c:pt>
                <c:pt idx="3">
                  <c:v>Penelec</c:v>
                </c:pt>
                <c:pt idx="4">
                  <c:v>Penn Power</c:v>
                </c:pt>
                <c:pt idx="5">
                  <c:v>PPL</c:v>
                </c:pt>
                <c:pt idx="6">
                  <c:v>West Penn</c:v>
                </c:pt>
              </c:strCache>
            </c:strRef>
          </c:cat>
          <c:val>
            <c:numRef>
              <c:f>'Elec H-NH %'!$K$28:$Q$28</c:f>
              <c:numCache>
                <c:formatCode>0.00%</c:formatCode>
                <c:ptCount val="7"/>
                <c:pt idx="0">
                  <c:v>1.263973934048649E-3</c:v>
                </c:pt>
                <c:pt idx="1">
                  <c:v>4.3097384743270031E-2</c:v>
                </c:pt>
                <c:pt idx="2">
                  <c:v>2.776413301155415E-3</c:v>
                </c:pt>
                <c:pt idx="3">
                  <c:v>1.7836725360164646E-2</c:v>
                </c:pt>
                <c:pt idx="4">
                  <c:v>1.881145788798632E-2</c:v>
                </c:pt>
                <c:pt idx="5">
                  <c:v>3.0457850265278051E-2</c:v>
                </c:pt>
                <c:pt idx="6">
                  <c:v>2.6613497464349184E-2</c:v>
                </c:pt>
              </c:numCache>
            </c:numRef>
          </c:val>
          <c:extLst>
            <c:ext xmlns:c16="http://schemas.microsoft.com/office/drawing/2014/chart" uri="{C3380CC4-5D6E-409C-BE32-E72D297353CC}">
              <c16:uniqueId val="{00000003-5878-4CCE-8AB6-14D759977414}"/>
            </c:ext>
          </c:extLst>
        </c:ser>
        <c:ser>
          <c:idx val="4"/>
          <c:order val="4"/>
          <c:tx>
            <c:strRef>
              <c:f>'Elec H-NH %'!$J$29</c:f>
              <c:strCache>
                <c:ptCount val="1"/>
                <c:pt idx="0">
                  <c:v>2016</c:v>
                </c:pt>
              </c:strCache>
            </c:strRef>
          </c:tx>
          <c:spPr>
            <a:solidFill>
              <a:schemeClr val="accent5"/>
            </a:solidFill>
            <a:ln>
              <a:noFill/>
            </a:ln>
            <a:effectLst/>
          </c:spPr>
          <c:invertIfNegative val="0"/>
          <c:cat>
            <c:strRef>
              <c:f>'Elec H-NH %'!$K$23:$Q$23</c:f>
              <c:strCache>
                <c:ptCount val="7"/>
                <c:pt idx="0">
                  <c:v>Duquesne</c:v>
                </c:pt>
                <c:pt idx="1">
                  <c:v>Met Ed</c:v>
                </c:pt>
                <c:pt idx="2">
                  <c:v>PECO Elec</c:v>
                </c:pt>
                <c:pt idx="3">
                  <c:v>Penelec</c:v>
                </c:pt>
                <c:pt idx="4">
                  <c:v>Penn Power</c:v>
                </c:pt>
                <c:pt idx="5">
                  <c:v>PPL</c:v>
                </c:pt>
                <c:pt idx="6">
                  <c:v>West Penn</c:v>
                </c:pt>
              </c:strCache>
            </c:strRef>
          </c:cat>
          <c:val>
            <c:numRef>
              <c:f>'Elec H-NH %'!$K$29:$Q$29</c:f>
              <c:numCache>
                <c:formatCode>0.00%</c:formatCode>
                <c:ptCount val="7"/>
                <c:pt idx="0">
                  <c:v>2.5827113303546062E-5</c:v>
                </c:pt>
                <c:pt idx="1">
                  <c:v>4.3118644067796613E-2</c:v>
                </c:pt>
                <c:pt idx="2">
                  <c:v>2.4773277014929736E-3</c:v>
                </c:pt>
                <c:pt idx="3">
                  <c:v>1.6579775491991921E-2</c:v>
                </c:pt>
                <c:pt idx="4">
                  <c:v>1.8059181897302001E-2</c:v>
                </c:pt>
                <c:pt idx="5">
                  <c:v>2.2734852695942189E-2</c:v>
                </c:pt>
                <c:pt idx="6">
                  <c:v>2.4694458396115854E-2</c:v>
                </c:pt>
              </c:numCache>
            </c:numRef>
          </c:val>
          <c:extLst>
            <c:ext xmlns:c16="http://schemas.microsoft.com/office/drawing/2014/chart" uri="{C3380CC4-5D6E-409C-BE32-E72D297353CC}">
              <c16:uniqueId val="{00000004-5878-4CCE-8AB6-14D759977414}"/>
            </c:ext>
          </c:extLst>
        </c:ser>
        <c:dLbls>
          <c:showLegendKey val="0"/>
          <c:showVal val="0"/>
          <c:showCatName val="0"/>
          <c:showSerName val="0"/>
          <c:showPercent val="0"/>
          <c:showBubbleSize val="0"/>
        </c:dLbls>
        <c:gapWidth val="219"/>
        <c:overlap val="-27"/>
        <c:axId val="237604936"/>
        <c:axId val="689677496"/>
      </c:barChart>
      <c:catAx>
        <c:axId val="23760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677496"/>
        <c:crosses val="autoZero"/>
        <c:auto val="1"/>
        <c:lblAlgn val="ctr"/>
        <c:lblOffset val="100"/>
        <c:noMultiLvlLbl val="0"/>
      </c:catAx>
      <c:valAx>
        <c:axId val="689677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604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'NGDC Res'!$B$2</c:f>
              <c:strCache>
                <c:ptCount val="1"/>
                <c:pt idx="0">
                  <c:v>2012</c:v>
                </c:pt>
              </c:strCache>
            </c:strRef>
          </c:tx>
          <c:spPr>
            <a:solidFill>
              <a:schemeClr val="accent1"/>
            </a:solidFill>
            <a:ln>
              <a:noFill/>
            </a:ln>
            <a:effectLst/>
          </c:spPr>
          <c:invertIfNegative val="0"/>
          <c:cat>
            <c:strRef>
              <c:f>'NGDC Res'!$A$3:$A$10</c:f>
              <c:strCache>
                <c:ptCount val="8"/>
                <c:pt idx="0">
                  <c:v>Columbia</c:v>
                </c:pt>
                <c:pt idx="1">
                  <c:v>NFG</c:v>
                </c:pt>
                <c:pt idx="2">
                  <c:v>PECO Gas</c:v>
                </c:pt>
                <c:pt idx="3">
                  <c:v>Peoples</c:v>
                </c:pt>
                <c:pt idx="4">
                  <c:v>EQT</c:v>
                </c:pt>
                <c:pt idx="5">
                  <c:v>PGW</c:v>
                </c:pt>
                <c:pt idx="6">
                  <c:v>UGI Gas</c:v>
                </c:pt>
                <c:pt idx="7">
                  <c:v>UGI PNG</c:v>
                </c:pt>
              </c:strCache>
            </c:strRef>
          </c:cat>
          <c:val>
            <c:numRef>
              <c:f>'NGDC Res'!$B$3:$B$10</c:f>
              <c:numCache>
                <c:formatCode>0.00%</c:formatCode>
                <c:ptCount val="8"/>
                <c:pt idx="0">
                  <c:v>1.9798713824514792E-2</c:v>
                </c:pt>
                <c:pt idx="1">
                  <c:v>1.5314230898709973E-2</c:v>
                </c:pt>
                <c:pt idx="2">
                  <c:v>1.4745765126793577E-2</c:v>
                </c:pt>
                <c:pt idx="3">
                  <c:v>3.8417872451900141E-2</c:v>
                </c:pt>
                <c:pt idx="4">
                  <c:v>2.1726743534032641E-2</c:v>
                </c:pt>
                <c:pt idx="5">
                  <c:v>2.6669905741045493E-2</c:v>
                </c:pt>
                <c:pt idx="6">
                  <c:v>7.1809711437740564E-3</c:v>
                </c:pt>
                <c:pt idx="7">
                  <c:v>8.1142600105475367E-3</c:v>
                </c:pt>
              </c:numCache>
            </c:numRef>
          </c:val>
          <c:extLst>
            <c:ext xmlns:c16="http://schemas.microsoft.com/office/drawing/2014/chart" uri="{C3380CC4-5D6E-409C-BE32-E72D297353CC}">
              <c16:uniqueId val="{00000000-E496-4379-8D4E-8A98FEC57990}"/>
            </c:ext>
          </c:extLst>
        </c:ser>
        <c:ser>
          <c:idx val="1"/>
          <c:order val="1"/>
          <c:tx>
            <c:strRef>
              <c:f>'NGDC Res'!$C$2</c:f>
              <c:strCache>
                <c:ptCount val="1"/>
                <c:pt idx="0">
                  <c:v>2013</c:v>
                </c:pt>
              </c:strCache>
            </c:strRef>
          </c:tx>
          <c:spPr>
            <a:solidFill>
              <a:schemeClr val="accent2"/>
            </a:solidFill>
            <a:ln>
              <a:noFill/>
            </a:ln>
            <a:effectLst/>
          </c:spPr>
          <c:invertIfNegative val="0"/>
          <c:cat>
            <c:strRef>
              <c:f>'NGDC Res'!$A$3:$A$10</c:f>
              <c:strCache>
                <c:ptCount val="8"/>
                <c:pt idx="0">
                  <c:v>Columbia</c:v>
                </c:pt>
                <c:pt idx="1">
                  <c:v>NFG</c:v>
                </c:pt>
                <c:pt idx="2">
                  <c:v>PECO Gas</c:v>
                </c:pt>
                <c:pt idx="3">
                  <c:v>Peoples</c:v>
                </c:pt>
                <c:pt idx="4">
                  <c:v>EQT</c:v>
                </c:pt>
                <c:pt idx="5">
                  <c:v>PGW</c:v>
                </c:pt>
                <c:pt idx="6">
                  <c:v>UGI Gas</c:v>
                </c:pt>
                <c:pt idx="7">
                  <c:v>UGI PNG</c:v>
                </c:pt>
              </c:strCache>
            </c:strRef>
          </c:cat>
          <c:val>
            <c:numRef>
              <c:f>'NGDC Res'!$C$3:$C$10</c:f>
              <c:numCache>
                <c:formatCode>0.00%</c:formatCode>
                <c:ptCount val="8"/>
                <c:pt idx="0">
                  <c:v>2.6666121888427877E-2</c:v>
                </c:pt>
                <c:pt idx="1">
                  <c:v>1.19908569353127E-2</c:v>
                </c:pt>
                <c:pt idx="2">
                  <c:v>1.3211878165599289E-2</c:v>
                </c:pt>
                <c:pt idx="3">
                  <c:v>1.8846697836823419E-2</c:v>
                </c:pt>
                <c:pt idx="4">
                  <c:v>1.9359628820848879E-2</c:v>
                </c:pt>
                <c:pt idx="5">
                  <c:v>2.9889199012940237E-2</c:v>
                </c:pt>
                <c:pt idx="6">
                  <c:v>8.5848313598461731E-3</c:v>
                </c:pt>
                <c:pt idx="7">
                  <c:v>9.208982193611057E-3</c:v>
                </c:pt>
              </c:numCache>
            </c:numRef>
          </c:val>
          <c:extLst>
            <c:ext xmlns:c16="http://schemas.microsoft.com/office/drawing/2014/chart" uri="{C3380CC4-5D6E-409C-BE32-E72D297353CC}">
              <c16:uniqueId val="{00000001-E496-4379-8D4E-8A98FEC57990}"/>
            </c:ext>
          </c:extLst>
        </c:ser>
        <c:ser>
          <c:idx val="2"/>
          <c:order val="2"/>
          <c:tx>
            <c:strRef>
              <c:f>'NGDC Res'!$D$2</c:f>
              <c:strCache>
                <c:ptCount val="1"/>
                <c:pt idx="0">
                  <c:v>2014</c:v>
                </c:pt>
              </c:strCache>
            </c:strRef>
          </c:tx>
          <c:spPr>
            <a:solidFill>
              <a:schemeClr val="accent3"/>
            </a:solidFill>
            <a:ln>
              <a:noFill/>
            </a:ln>
            <a:effectLst/>
          </c:spPr>
          <c:invertIfNegative val="0"/>
          <c:cat>
            <c:strRef>
              <c:f>'NGDC Res'!$A$3:$A$10</c:f>
              <c:strCache>
                <c:ptCount val="8"/>
                <c:pt idx="0">
                  <c:v>Columbia</c:v>
                </c:pt>
                <c:pt idx="1">
                  <c:v>NFG</c:v>
                </c:pt>
                <c:pt idx="2">
                  <c:v>PECO Gas</c:v>
                </c:pt>
                <c:pt idx="3">
                  <c:v>Peoples</c:v>
                </c:pt>
                <c:pt idx="4">
                  <c:v>EQT</c:v>
                </c:pt>
                <c:pt idx="5">
                  <c:v>PGW</c:v>
                </c:pt>
                <c:pt idx="6">
                  <c:v>UGI Gas</c:v>
                </c:pt>
                <c:pt idx="7">
                  <c:v>UGI PNG</c:v>
                </c:pt>
              </c:strCache>
            </c:strRef>
          </c:cat>
          <c:val>
            <c:numRef>
              <c:f>'NGDC Res'!$D$3:$D$10</c:f>
              <c:numCache>
                <c:formatCode>0.00%</c:formatCode>
                <c:ptCount val="8"/>
                <c:pt idx="0">
                  <c:v>3.0269913344696257E-2</c:v>
                </c:pt>
                <c:pt idx="1">
                  <c:v>1.3775775955303307E-2</c:v>
                </c:pt>
                <c:pt idx="2">
                  <c:v>9.9618810206126372E-3</c:v>
                </c:pt>
                <c:pt idx="3">
                  <c:v>1.7303911593809358E-2</c:v>
                </c:pt>
                <c:pt idx="4">
                  <c:v>2.0792469083465284E-2</c:v>
                </c:pt>
                <c:pt idx="5">
                  <c:v>2.1250701465697366E-2</c:v>
                </c:pt>
                <c:pt idx="6">
                  <c:v>1.159335673176161E-2</c:v>
                </c:pt>
                <c:pt idx="7">
                  <c:v>1.0932484057458376E-2</c:v>
                </c:pt>
              </c:numCache>
            </c:numRef>
          </c:val>
          <c:extLst>
            <c:ext xmlns:c16="http://schemas.microsoft.com/office/drawing/2014/chart" uri="{C3380CC4-5D6E-409C-BE32-E72D297353CC}">
              <c16:uniqueId val="{00000002-E496-4379-8D4E-8A98FEC57990}"/>
            </c:ext>
          </c:extLst>
        </c:ser>
        <c:ser>
          <c:idx val="3"/>
          <c:order val="3"/>
          <c:tx>
            <c:strRef>
              <c:f>'NGDC Res'!$E$2</c:f>
              <c:strCache>
                <c:ptCount val="1"/>
                <c:pt idx="0">
                  <c:v>2015</c:v>
                </c:pt>
              </c:strCache>
            </c:strRef>
          </c:tx>
          <c:spPr>
            <a:solidFill>
              <a:schemeClr val="accent4"/>
            </a:solidFill>
            <a:ln>
              <a:noFill/>
            </a:ln>
            <a:effectLst/>
          </c:spPr>
          <c:invertIfNegative val="0"/>
          <c:cat>
            <c:strRef>
              <c:f>'NGDC Res'!$A$3:$A$10</c:f>
              <c:strCache>
                <c:ptCount val="8"/>
                <c:pt idx="0">
                  <c:v>Columbia</c:v>
                </c:pt>
                <c:pt idx="1">
                  <c:v>NFG</c:v>
                </c:pt>
                <c:pt idx="2">
                  <c:v>PECO Gas</c:v>
                </c:pt>
                <c:pt idx="3">
                  <c:v>Peoples</c:v>
                </c:pt>
                <c:pt idx="4">
                  <c:v>EQT</c:v>
                </c:pt>
                <c:pt idx="5">
                  <c:v>PGW</c:v>
                </c:pt>
                <c:pt idx="6">
                  <c:v>UGI Gas</c:v>
                </c:pt>
                <c:pt idx="7">
                  <c:v>UGI PNG</c:v>
                </c:pt>
              </c:strCache>
            </c:strRef>
          </c:cat>
          <c:val>
            <c:numRef>
              <c:f>'NGDC Res'!$E$3:$E$10</c:f>
              <c:numCache>
                <c:formatCode>0.00%</c:formatCode>
                <c:ptCount val="8"/>
                <c:pt idx="0">
                  <c:v>3.190616307957702E-2</c:v>
                </c:pt>
                <c:pt idx="1">
                  <c:v>1.7354198409453982E-2</c:v>
                </c:pt>
                <c:pt idx="2">
                  <c:v>8.8465274355475961E-3</c:v>
                </c:pt>
                <c:pt idx="3">
                  <c:v>1.9270563446890692E-2</c:v>
                </c:pt>
                <c:pt idx="4">
                  <c:v>2.4550782192416208E-2</c:v>
                </c:pt>
                <c:pt idx="5">
                  <c:v>2.7544621445700405E-2</c:v>
                </c:pt>
                <c:pt idx="6">
                  <c:v>1.0932018739909653E-2</c:v>
                </c:pt>
                <c:pt idx="7">
                  <c:v>1.1135091561937975E-2</c:v>
                </c:pt>
              </c:numCache>
            </c:numRef>
          </c:val>
          <c:extLst>
            <c:ext xmlns:c16="http://schemas.microsoft.com/office/drawing/2014/chart" uri="{C3380CC4-5D6E-409C-BE32-E72D297353CC}">
              <c16:uniqueId val="{00000003-E496-4379-8D4E-8A98FEC57990}"/>
            </c:ext>
          </c:extLst>
        </c:ser>
        <c:ser>
          <c:idx val="4"/>
          <c:order val="4"/>
          <c:tx>
            <c:strRef>
              <c:f>'NGDC Res'!$F$2</c:f>
              <c:strCache>
                <c:ptCount val="1"/>
                <c:pt idx="0">
                  <c:v>2016</c:v>
                </c:pt>
              </c:strCache>
            </c:strRef>
          </c:tx>
          <c:spPr>
            <a:solidFill>
              <a:schemeClr val="accent5"/>
            </a:solidFill>
            <a:ln>
              <a:noFill/>
            </a:ln>
            <a:effectLst/>
          </c:spPr>
          <c:invertIfNegative val="0"/>
          <c:cat>
            <c:strRef>
              <c:f>'NGDC Res'!$A$3:$A$10</c:f>
              <c:strCache>
                <c:ptCount val="8"/>
                <c:pt idx="0">
                  <c:v>Columbia</c:v>
                </c:pt>
                <c:pt idx="1">
                  <c:v>NFG</c:v>
                </c:pt>
                <c:pt idx="2">
                  <c:v>PECO Gas</c:v>
                </c:pt>
                <c:pt idx="3">
                  <c:v>Peoples</c:v>
                </c:pt>
                <c:pt idx="4">
                  <c:v>EQT</c:v>
                </c:pt>
                <c:pt idx="5">
                  <c:v>PGW</c:v>
                </c:pt>
                <c:pt idx="6">
                  <c:v>UGI Gas</c:v>
                </c:pt>
                <c:pt idx="7">
                  <c:v>UGI PNG</c:v>
                </c:pt>
              </c:strCache>
            </c:strRef>
          </c:cat>
          <c:val>
            <c:numRef>
              <c:f>'NGDC Res'!$F$3:$F$10</c:f>
              <c:numCache>
                <c:formatCode>0.00%</c:formatCode>
                <c:ptCount val="8"/>
                <c:pt idx="0">
                  <c:v>2.6490019518093034E-2</c:v>
                </c:pt>
                <c:pt idx="1">
                  <c:v>1.9561916241976503E-2</c:v>
                </c:pt>
                <c:pt idx="2">
                  <c:v>1.1451016162414207E-2</c:v>
                </c:pt>
                <c:pt idx="3">
                  <c:v>9.5995077908888737E-3</c:v>
                </c:pt>
                <c:pt idx="4">
                  <c:v>7.3299755386330859E-3</c:v>
                </c:pt>
                <c:pt idx="5">
                  <c:v>2.9260026738244654E-2</c:v>
                </c:pt>
                <c:pt idx="6">
                  <c:v>9.003593607578032E-3</c:v>
                </c:pt>
                <c:pt idx="7">
                  <c:v>8.1897882581225146E-3</c:v>
                </c:pt>
              </c:numCache>
            </c:numRef>
          </c:val>
          <c:extLst>
            <c:ext xmlns:c16="http://schemas.microsoft.com/office/drawing/2014/chart" uri="{C3380CC4-5D6E-409C-BE32-E72D297353CC}">
              <c16:uniqueId val="{00000004-E496-4379-8D4E-8A98FEC57990}"/>
            </c:ext>
          </c:extLst>
        </c:ser>
        <c:dLbls>
          <c:showLegendKey val="0"/>
          <c:showVal val="0"/>
          <c:showCatName val="0"/>
          <c:showSerName val="0"/>
          <c:showPercent val="0"/>
          <c:showBubbleSize val="0"/>
        </c:dLbls>
        <c:gapWidth val="219"/>
        <c:overlap val="-27"/>
        <c:axId val="477324072"/>
        <c:axId val="477330632"/>
        <c:extLst>
          <c:ext xmlns:c15="http://schemas.microsoft.com/office/drawing/2012/chart" uri="{02D57815-91ED-43cb-92C2-25804820EDAC}">
            <c15:filteredBarSeries>
              <c15:ser>
                <c:idx val="5"/>
                <c:order val="5"/>
                <c:tx>
                  <c:strRef>
                    <c:extLst>
                      <c:ext uri="{02D57815-91ED-43cb-92C2-25804820EDAC}">
                        <c15:formulaRef>
                          <c15:sqref>'NGDC Res'!$G$2</c15:sqref>
                        </c15:formulaRef>
                      </c:ext>
                    </c:extLst>
                    <c:strCache>
                      <c:ptCount val="1"/>
                    </c:strCache>
                  </c:strRef>
                </c:tx>
                <c:spPr>
                  <a:solidFill>
                    <a:schemeClr val="accent6"/>
                  </a:solidFill>
                  <a:ln>
                    <a:noFill/>
                  </a:ln>
                  <a:effectLst/>
                </c:spPr>
                <c:invertIfNegative val="0"/>
                <c:cat>
                  <c:strRef>
                    <c:extLst>
                      <c:ext uri="{02D57815-91ED-43cb-92C2-25804820EDAC}">
                        <c15:formulaRef>
                          <c15:sqref>'NGDC Res'!$A$3:$A$10</c15:sqref>
                        </c15:formulaRef>
                      </c:ext>
                    </c:extLst>
                    <c:strCache>
                      <c:ptCount val="8"/>
                      <c:pt idx="0">
                        <c:v>Columbia</c:v>
                      </c:pt>
                      <c:pt idx="1">
                        <c:v>NFG</c:v>
                      </c:pt>
                      <c:pt idx="2">
                        <c:v>PECO Gas</c:v>
                      </c:pt>
                      <c:pt idx="3">
                        <c:v>Peoples</c:v>
                      </c:pt>
                      <c:pt idx="4">
                        <c:v>EQT</c:v>
                      </c:pt>
                      <c:pt idx="5">
                        <c:v>PGW</c:v>
                      </c:pt>
                      <c:pt idx="6">
                        <c:v>UGI Gas</c:v>
                      </c:pt>
                      <c:pt idx="7">
                        <c:v>UGI PNG</c:v>
                      </c:pt>
                    </c:strCache>
                  </c:strRef>
                </c:cat>
                <c:val>
                  <c:numRef>
                    <c:extLst>
                      <c:ext uri="{02D57815-91ED-43cb-92C2-25804820EDAC}">
                        <c15:formulaRef>
                          <c15:sqref>'NGDC Res'!$G$3:$G$10</c15:sqref>
                        </c15:formulaRef>
                      </c:ext>
                    </c:extLst>
                    <c:numCache>
                      <c:formatCode>General</c:formatCode>
                      <c:ptCount val="8"/>
                    </c:numCache>
                  </c:numRef>
                </c:val>
                <c:extLst>
                  <c:ext xmlns:c16="http://schemas.microsoft.com/office/drawing/2014/chart" uri="{C3380CC4-5D6E-409C-BE32-E72D297353CC}">
                    <c16:uniqueId val="{00000005-E496-4379-8D4E-8A98FEC57990}"/>
                  </c:ext>
                </c:extLst>
              </c15:ser>
            </c15:filteredBarSeries>
          </c:ext>
        </c:extLst>
      </c:barChart>
      <c:catAx>
        <c:axId val="47732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330632"/>
        <c:crosses val="autoZero"/>
        <c:auto val="1"/>
        <c:lblAlgn val="ctr"/>
        <c:lblOffset val="100"/>
        <c:noMultiLvlLbl val="0"/>
      </c:catAx>
      <c:valAx>
        <c:axId val="477330632"/>
        <c:scaling>
          <c:orientation val="minMax"/>
          <c:max val="4.0000000000000008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324072"/>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'EDC Res'!$B$2</c:f>
              <c:strCache>
                <c:ptCount val="1"/>
                <c:pt idx="0">
                  <c:v>2012</c:v>
                </c:pt>
              </c:strCache>
            </c:strRef>
          </c:tx>
          <c:spPr>
            <a:solidFill>
              <a:schemeClr val="accent1"/>
            </a:solidFill>
            <a:ln>
              <a:noFill/>
            </a:ln>
            <a:effectLst/>
          </c:spPr>
          <c:invertIfNegative val="0"/>
          <c:cat>
            <c:strRef>
              <c:f>'EDC Res'!$A$3:$A$9</c:f>
              <c:strCache>
                <c:ptCount val="7"/>
                <c:pt idx="0">
                  <c:v>Duquesne</c:v>
                </c:pt>
                <c:pt idx="1">
                  <c:v>Met Ed</c:v>
                </c:pt>
                <c:pt idx="2">
                  <c:v>PECO Electric</c:v>
                </c:pt>
                <c:pt idx="3">
                  <c:v>Penelec</c:v>
                </c:pt>
                <c:pt idx="4">
                  <c:v>Penn Power</c:v>
                </c:pt>
                <c:pt idx="5">
                  <c:v>PPL</c:v>
                </c:pt>
                <c:pt idx="6">
                  <c:v>West Penn</c:v>
                </c:pt>
              </c:strCache>
            </c:strRef>
          </c:cat>
          <c:val>
            <c:numRef>
              <c:f>'EDC Res'!$B$3:$B$9</c:f>
              <c:numCache>
                <c:formatCode>0.00%</c:formatCode>
                <c:ptCount val="7"/>
                <c:pt idx="0">
                  <c:v>1.4837714225936324E-2</c:v>
                </c:pt>
                <c:pt idx="1">
                  <c:v>3.688620041727847E-2</c:v>
                </c:pt>
                <c:pt idx="2">
                  <c:v>6.1326107965917996E-3</c:v>
                </c:pt>
                <c:pt idx="3">
                  <c:v>3.6679492854659428E-2</c:v>
                </c:pt>
                <c:pt idx="4">
                  <c:v>3.2010186004979541E-2</c:v>
                </c:pt>
                <c:pt idx="5">
                  <c:v>1.1446397931832343E-2</c:v>
                </c:pt>
                <c:pt idx="6">
                  <c:v>8.4042531403281696E-3</c:v>
                </c:pt>
              </c:numCache>
            </c:numRef>
          </c:val>
          <c:extLst>
            <c:ext xmlns:c16="http://schemas.microsoft.com/office/drawing/2014/chart" uri="{C3380CC4-5D6E-409C-BE32-E72D297353CC}">
              <c16:uniqueId val="{00000000-A83D-4C57-83CB-8A73FA9508E4}"/>
            </c:ext>
          </c:extLst>
        </c:ser>
        <c:ser>
          <c:idx val="1"/>
          <c:order val="1"/>
          <c:tx>
            <c:strRef>
              <c:f>'EDC Res'!$C$2</c:f>
              <c:strCache>
                <c:ptCount val="1"/>
                <c:pt idx="0">
                  <c:v>2013</c:v>
                </c:pt>
              </c:strCache>
            </c:strRef>
          </c:tx>
          <c:spPr>
            <a:solidFill>
              <a:schemeClr val="accent2"/>
            </a:solidFill>
            <a:ln>
              <a:noFill/>
            </a:ln>
            <a:effectLst/>
          </c:spPr>
          <c:invertIfNegative val="0"/>
          <c:cat>
            <c:strRef>
              <c:f>'EDC Res'!$A$3:$A$9</c:f>
              <c:strCache>
                <c:ptCount val="7"/>
                <c:pt idx="0">
                  <c:v>Duquesne</c:v>
                </c:pt>
                <c:pt idx="1">
                  <c:v>Met Ed</c:v>
                </c:pt>
                <c:pt idx="2">
                  <c:v>PECO Electric</c:v>
                </c:pt>
                <c:pt idx="3">
                  <c:v>Penelec</c:v>
                </c:pt>
                <c:pt idx="4">
                  <c:v>Penn Power</c:v>
                </c:pt>
                <c:pt idx="5">
                  <c:v>PPL</c:v>
                </c:pt>
                <c:pt idx="6">
                  <c:v>West Penn</c:v>
                </c:pt>
              </c:strCache>
            </c:strRef>
          </c:cat>
          <c:val>
            <c:numRef>
              <c:f>'EDC Res'!$C$3:$C$9</c:f>
              <c:numCache>
                <c:formatCode>0.00%</c:formatCode>
                <c:ptCount val="7"/>
                <c:pt idx="0">
                  <c:v>1.6822353456840241E-2</c:v>
                </c:pt>
                <c:pt idx="1">
                  <c:v>3.4215828017171858E-2</c:v>
                </c:pt>
                <c:pt idx="2">
                  <c:v>6.601685148848584E-3</c:v>
                </c:pt>
                <c:pt idx="3">
                  <c:v>3.5964603093840024E-2</c:v>
                </c:pt>
                <c:pt idx="4">
                  <c:v>2.8990994812498526E-2</c:v>
                </c:pt>
                <c:pt idx="5">
                  <c:v>1.0072121216827185E-2</c:v>
                </c:pt>
                <c:pt idx="6">
                  <c:v>1.6464829295216633E-2</c:v>
                </c:pt>
              </c:numCache>
            </c:numRef>
          </c:val>
          <c:extLst>
            <c:ext xmlns:c16="http://schemas.microsoft.com/office/drawing/2014/chart" uri="{C3380CC4-5D6E-409C-BE32-E72D297353CC}">
              <c16:uniqueId val="{00000001-A83D-4C57-83CB-8A73FA9508E4}"/>
            </c:ext>
          </c:extLst>
        </c:ser>
        <c:ser>
          <c:idx val="2"/>
          <c:order val="2"/>
          <c:tx>
            <c:strRef>
              <c:f>'EDC Res'!$D$2</c:f>
              <c:strCache>
                <c:ptCount val="1"/>
                <c:pt idx="0">
                  <c:v>2014</c:v>
                </c:pt>
              </c:strCache>
            </c:strRef>
          </c:tx>
          <c:spPr>
            <a:solidFill>
              <a:schemeClr val="accent3"/>
            </a:solidFill>
            <a:ln>
              <a:noFill/>
            </a:ln>
            <a:effectLst/>
          </c:spPr>
          <c:invertIfNegative val="0"/>
          <c:cat>
            <c:strRef>
              <c:f>'EDC Res'!$A$3:$A$9</c:f>
              <c:strCache>
                <c:ptCount val="7"/>
                <c:pt idx="0">
                  <c:v>Duquesne</c:v>
                </c:pt>
                <c:pt idx="1">
                  <c:v>Met Ed</c:v>
                </c:pt>
                <c:pt idx="2">
                  <c:v>PECO Electric</c:v>
                </c:pt>
                <c:pt idx="3">
                  <c:v>Penelec</c:v>
                </c:pt>
                <c:pt idx="4">
                  <c:v>Penn Power</c:v>
                </c:pt>
                <c:pt idx="5">
                  <c:v>PPL</c:v>
                </c:pt>
                <c:pt idx="6">
                  <c:v>West Penn</c:v>
                </c:pt>
              </c:strCache>
            </c:strRef>
          </c:cat>
          <c:val>
            <c:numRef>
              <c:f>'EDC Res'!$D$3:$D$9</c:f>
              <c:numCache>
                <c:formatCode>0.00%</c:formatCode>
                <c:ptCount val="7"/>
                <c:pt idx="0">
                  <c:v>1.6992678870192311E-2</c:v>
                </c:pt>
                <c:pt idx="1">
                  <c:v>3.599156220946978E-2</c:v>
                </c:pt>
                <c:pt idx="2">
                  <c:v>5.6969603403519394E-3</c:v>
                </c:pt>
                <c:pt idx="3">
                  <c:v>3.7947314470104417E-2</c:v>
                </c:pt>
                <c:pt idx="4">
                  <c:v>2.861756040225431E-2</c:v>
                </c:pt>
                <c:pt idx="5">
                  <c:v>9.9387146487427223E-3</c:v>
                </c:pt>
                <c:pt idx="6">
                  <c:v>1.9543719603012436E-2</c:v>
                </c:pt>
              </c:numCache>
            </c:numRef>
          </c:val>
          <c:extLst>
            <c:ext xmlns:c16="http://schemas.microsoft.com/office/drawing/2014/chart" uri="{C3380CC4-5D6E-409C-BE32-E72D297353CC}">
              <c16:uniqueId val="{00000002-A83D-4C57-83CB-8A73FA9508E4}"/>
            </c:ext>
          </c:extLst>
        </c:ser>
        <c:ser>
          <c:idx val="3"/>
          <c:order val="3"/>
          <c:tx>
            <c:strRef>
              <c:f>'EDC Res'!$E$2</c:f>
              <c:strCache>
                <c:ptCount val="1"/>
                <c:pt idx="0">
                  <c:v>2015</c:v>
                </c:pt>
              </c:strCache>
            </c:strRef>
          </c:tx>
          <c:spPr>
            <a:solidFill>
              <a:schemeClr val="accent4"/>
            </a:solidFill>
            <a:ln>
              <a:noFill/>
            </a:ln>
            <a:effectLst/>
          </c:spPr>
          <c:invertIfNegative val="0"/>
          <c:cat>
            <c:strRef>
              <c:f>'EDC Res'!$A$3:$A$9</c:f>
              <c:strCache>
                <c:ptCount val="7"/>
                <c:pt idx="0">
                  <c:v>Duquesne</c:v>
                </c:pt>
                <c:pt idx="1">
                  <c:v>Met Ed</c:v>
                </c:pt>
                <c:pt idx="2">
                  <c:v>PECO Electric</c:v>
                </c:pt>
                <c:pt idx="3">
                  <c:v>Penelec</c:v>
                </c:pt>
                <c:pt idx="4">
                  <c:v>Penn Power</c:v>
                </c:pt>
                <c:pt idx="5">
                  <c:v>PPL</c:v>
                </c:pt>
                <c:pt idx="6">
                  <c:v>West Penn</c:v>
                </c:pt>
              </c:strCache>
            </c:strRef>
          </c:cat>
          <c:val>
            <c:numRef>
              <c:f>'EDC Res'!$E$3:$E$9</c:f>
              <c:numCache>
                <c:formatCode>0.00%</c:formatCode>
                <c:ptCount val="7"/>
                <c:pt idx="0">
                  <c:v>1.6371847719445248E-2</c:v>
                </c:pt>
                <c:pt idx="1">
                  <c:v>2.7699351208703565E-2</c:v>
                </c:pt>
                <c:pt idx="2">
                  <c:v>4.4926715109276961E-3</c:v>
                </c:pt>
                <c:pt idx="3">
                  <c:v>3.0020434054155904E-2</c:v>
                </c:pt>
                <c:pt idx="4">
                  <c:v>2.2221346718532924E-2</c:v>
                </c:pt>
                <c:pt idx="5">
                  <c:v>1.105665977862029E-2</c:v>
                </c:pt>
                <c:pt idx="6">
                  <c:v>1.6897445919665719E-2</c:v>
                </c:pt>
              </c:numCache>
            </c:numRef>
          </c:val>
          <c:extLst>
            <c:ext xmlns:c16="http://schemas.microsoft.com/office/drawing/2014/chart" uri="{C3380CC4-5D6E-409C-BE32-E72D297353CC}">
              <c16:uniqueId val="{00000003-A83D-4C57-83CB-8A73FA9508E4}"/>
            </c:ext>
          </c:extLst>
        </c:ser>
        <c:ser>
          <c:idx val="4"/>
          <c:order val="4"/>
          <c:tx>
            <c:strRef>
              <c:f>'EDC Res'!$F$2</c:f>
              <c:strCache>
                <c:ptCount val="1"/>
                <c:pt idx="0">
                  <c:v>2016</c:v>
                </c:pt>
              </c:strCache>
            </c:strRef>
          </c:tx>
          <c:spPr>
            <a:solidFill>
              <a:schemeClr val="accent5"/>
            </a:solidFill>
            <a:ln>
              <a:noFill/>
            </a:ln>
            <a:effectLst/>
          </c:spPr>
          <c:invertIfNegative val="0"/>
          <c:cat>
            <c:strRef>
              <c:f>'EDC Res'!$A$3:$A$9</c:f>
              <c:strCache>
                <c:ptCount val="7"/>
                <c:pt idx="0">
                  <c:v>Duquesne</c:v>
                </c:pt>
                <c:pt idx="1">
                  <c:v>Met Ed</c:v>
                </c:pt>
                <c:pt idx="2">
                  <c:v>PECO Electric</c:v>
                </c:pt>
                <c:pt idx="3">
                  <c:v>Penelec</c:v>
                </c:pt>
                <c:pt idx="4">
                  <c:v>Penn Power</c:v>
                </c:pt>
                <c:pt idx="5">
                  <c:v>PPL</c:v>
                </c:pt>
                <c:pt idx="6">
                  <c:v>West Penn</c:v>
                </c:pt>
              </c:strCache>
            </c:strRef>
          </c:cat>
          <c:val>
            <c:numRef>
              <c:f>'EDC Res'!$F$3:$F$9</c:f>
              <c:numCache>
                <c:formatCode>0.00%</c:formatCode>
                <c:ptCount val="7"/>
                <c:pt idx="0">
                  <c:v>2.3376942770504689E-2</c:v>
                </c:pt>
                <c:pt idx="1">
                  <c:v>2.4111739999581296E-2</c:v>
                </c:pt>
                <c:pt idx="2">
                  <c:v>4.7628178431362656E-3</c:v>
                </c:pt>
                <c:pt idx="3">
                  <c:v>2.653279271751777E-2</c:v>
                </c:pt>
                <c:pt idx="4">
                  <c:v>2.3909567564034173E-2</c:v>
                </c:pt>
                <c:pt idx="5">
                  <c:v>1.1075905409703428E-2</c:v>
                </c:pt>
                <c:pt idx="6">
                  <c:v>1.6316233581546796E-2</c:v>
                </c:pt>
              </c:numCache>
            </c:numRef>
          </c:val>
          <c:extLst>
            <c:ext xmlns:c16="http://schemas.microsoft.com/office/drawing/2014/chart" uri="{C3380CC4-5D6E-409C-BE32-E72D297353CC}">
              <c16:uniqueId val="{00000004-A83D-4C57-83CB-8A73FA9508E4}"/>
            </c:ext>
          </c:extLst>
        </c:ser>
        <c:dLbls>
          <c:showLegendKey val="0"/>
          <c:showVal val="0"/>
          <c:showCatName val="0"/>
          <c:showSerName val="0"/>
          <c:showPercent val="0"/>
          <c:showBubbleSize val="0"/>
        </c:dLbls>
        <c:gapWidth val="219"/>
        <c:overlap val="-27"/>
        <c:axId val="477324072"/>
        <c:axId val="477330632"/>
        <c:extLst>
          <c:ext xmlns:c15="http://schemas.microsoft.com/office/drawing/2012/chart" uri="{02D57815-91ED-43cb-92C2-25804820EDAC}">
            <c15:filteredBarSeries>
              <c15:ser>
                <c:idx val="5"/>
                <c:order val="5"/>
                <c:tx>
                  <c:strRef>
                    <c:extLst>
                      <c:ext uri="{02D57815-91ED-43cb-92C2-25804820EDAC}">
                        <c15:formulaRef>
                          <c15:sqref>'EDC Res'!$G$2</c15:sqref>
                        </c15:formulaRef>
                      </c:ext>
                    </c:extLst>
                    <c:strCache>
                      <c:ptCount val="1"/>
                    </c:strCache>
                  </c:strRef>
                </c:tx>
                <c:spPr>
                  <a:solidFill>
                    <a:schemeClr val="accent6"/>
                  </a:solidFill>
                  <a:ln>
                    <a:noFill/>
                  </a:ln>
                  <a:effectLst/>
                </c:spPr>
                <c:invertIfNegative val="0"/>
                <c:cat>
                  <c:strRef>
                    <c:extLst>
                      <c:ext uri="{02D57815-91ED-43cb-92C2-25804820EDAC}">
                        <c15:formulaRef>
                          <c15:sqref>'EDC Res'!$A$3:$A$9</c15:sqref>
                        </c15:formulaRef>
                      </c:ext>
                    </c:extLst>
                    <c:strCache>
                      <c:ptCount val="7"/>
                      <c:pt idx="0">
                        <c:v>Duquesne</c:v>
                      </c:pt>
                      <c:pt idx="1">
                        <c:v>Met Ed</c:v>
                      </c:pt>
                      <c:pt idx="2">
                        <c:v>PECO Electric</c:v>
                      </c:pt>
                      <c:pt idx="3">
                        <c:v>Penelec</c:v>
                      </c:pt>
                      <c:pt idx="4">
                        <c:v>Penn Power</c:v>
                      </c:pt>
                      <c:pt idx="5">
                        <c:v>PPL</c:v>
                      </c:pt>
                      <c:pt idx="6">
                        <c:v>West Penn</c:v>
                      </c:pt>
                    </c:strCache>
                  </c:strRef>
                </c:cat>
                <c:val>
                  <c:numRef>
                    <c:extLst>
                      <c:ext uri="{02D57815-91ED-43cb-92C2-25804820EDAC}">
                        <c15:formulaRef>
                          <c15:sqref>'EDC Res'!$G$3:$G$9</c15:sqref>
                        </c15:formulaRef>
                      </c:ext>
                    </c:extLst>
                    <c:numCache>
                      <c:formatCode>General</c:formatCode>
                      <c:ptCount val="7"/>
                    </c:numCache>
                  </c:numRef>
                </c:val>
                <c:extLst>
                  <c:ext xmlns:c16="http://schemas.microsoft.com/office/drawing/2014/chart" uri="{C3380CC4-5D6E-409C-BE32-E72D297353CC}">
                    <c16:uniqueId val="{00000005-A83D-4C57-83CB-8A73FA9508E4}"/>
                  </c:ext>
                </c:extLst>
              </c15:ser>
            </c15:filteredBarSeries>
          </c:ext>
        </c:extLst>
      </c:barChart>
      <c:catAx>
        <c:axId val="47732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330632"/>
        <c:crosses val="autoZero"/>
        <c:auto val="1"/>
        <c:lblAlgn val="ctr"/>
        <c:lblOffset val="100"/>
        <c:noMultiLvlLbl val="0"/>
      </c:catAx>
      <c:valAx>
        <c:axId val="477330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324072"/>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108596976453224E-2"/>
          <c:y val="0.10302777777777779"/>
          <c:w val="0.90995711389570932"/>
          <c:h val="0.76899059492563426"/>
        </c:manualLayout>
      </c:layout>
      <c:barChart>
        <c:barDir val="col"/>
        <c:grouping val="clustered"/>
        <c:varyColors val="0"/>
        <c:ser>
          <c:idx val="0"/>
          <c:order val="0"/>
          <c:tx>
            <c:strRef>
              <c:f>'NGDC Res'!$J$2</c:f>
              <c:strCache>
                <c:ptCount val="1"/>
                <c:pt idx="0">
                  <c:v>2012</c:v>
                </c:pt>
              </c:strCache>
            </c:strRef>
          </c:tx>
          <c:spPr>
            <a:solidFill>
              <a:schemeClr val="accent1"/>
            </a:solidFill>
            <a:ln>
              <a:noFill/>
            </a:ln>
            <a:effectLst/>
          </c:spPr>
          <c:invertIfNegative val="0"/>
          <c:cat>
            <c:strRef>
              <c:f>'NGDC Res'!$I$3:$I$10</c:f>
              <c:strCache>
                <c:ptCount val="8"/>
                <c:pt idx="0">
                  <c:v>Columbia</c:v>
                </c:pt>
                <c:pt idx="1">
                  <c:v>NFG</c:v>
                </c:pt>
                <c:pt idx="2">
                  <c:v>PECO Gas</c:v>
                </c:pt>
                <c:pt idx="3">
                  <c:v>Peoples</c:v>
                </c:pt>
                <c:pt idx="4">
                  <c:v>EQT</c:v>
                </c:pt>
                <c:pt idx="5">
                  <c:v>PGW</c:v>
                </c:pt>
                <c:pt idx="6">
                  <c:v>UGI Gas</c:v>
                </c:pt>
                <c:pt idx="7">
                  <c:v>UGI PNG</c:v>
                </c:pt>
              </c:strCache>
            </c:strRef>
          </c:cat>
          <c:val>
            <c:numRef>
              <c:f>'NGDC Res'!$J$3:$J$10</c:f>
              <c:numCache>
                <c:formatCode>0.00%</c:formatCode>
                <c:ptCount val="8"/>
                <c:pt idx="0">
                  <c:v>1.2083318672309704E-2</c:v>
                </c:pt>
                <c:pt idx="1">
                  <c:v>9.9980176941100434E-3</c:v>
                </c:pt>
                <c:pt idx="2">
                  <c:v>3.5025056591875985E-2</c:v>
                </c:pt>
                <c:pt idx="3">
                  <c:v>2.1714104177351246E-2</c:v>
                </c:pt>
                <c:pt idx="4">
                  <c:v>7.63143046647362E-3</c:v>
                </c:pt>
                <c:pt idx="5">
                  <c:v>5.7546687325684902E-2</c:v>
                </c:pt>
                <c:pt idx="6">
                  <c:v>2.1306010199238473E-2</c:v>
                </c:pt>
                <c:pt idx="7">
                  <c:v>1.8526229671567022E-2</c:v>
                </c:pt>
              </c:numCache>
            </c:numRef>
          </c:val>
          <c:extLst>
            <c:ext xmlns:c16="http://schemas.microsoft.com/office/drawing/2014/chart" uri="{C3380CC4-5D6E-409C-BE32-E72D297353CC}">
              <c16:uniqueId val="{00000000-54D3-4971-B8E9-19A7434B7554}"/>
            </c:ext>
          </c:extLst>
        </c:ser>
        <c:ser>
          <c:idx val="1"/>
          <c:order val="1"/>
          <c:tx>
            <c:strRef>
              <c:f>'NGDC Res'!$K$2</c:f>
              <c:strCache>
                <c:ptCount val="1"/>
                <c:pt idx="0">
                  <c:v>2013</c:v>
                </c:pt>
              </c:strCache>
            </c:strRef>
          </c:tx>
          <c:spPr>
            <a:solidFill>
              <a:schemeClr val="accent2"/>
            </a:solidFill>
            <a:ln>
              <a:noFill/>
            </a:ln>
            <a:effectLst/>
          </c:spPr>
          <c:invertIfNegative val="0"/>
          <c:cat>
            <c:strRef>
              <c:f>'NGDC Res'!$I$3:$I$10</c:f>
              <c:strCache>
                <c:ptCount val="8"/>
                <c:pt idx="0">
                  <c:v>Columbia</c:v>
                </c:pt>
                <c:pt idx="1">
                  <c:v>NFG</c:v>
                </c:pt>
                <c:pt idx="2">
                  <c:v>PECO Gas</c:v>
                </c:pt>
                <c:pt idx="3">
                  <c:v>Peoples</c:v>
                </c:pt>
                <c:pt idx="4">
                  <c:v>EQT</c:v>
                </c:pt>
                <c:pt idx="5">
                  <c:v>PGW</c:v>
                </c:pt>
                <c:pt idx="6">
                  <c:v>UGI Gas</c:v>
                </c:pt>
                <c:pt idx="7">
                  <c:v>UGI PNG</c:v>
                </c:pt>
              </c:strCache>
            </c:strRef>
          </c:cat>
          <c:val>
            <c:numRef>
              <c:f>'NGDC Res'!$K$3:$K$10</c:f>
              <c:numCache>
                <c:formatCode>0.00%</c:formatCode>
                <c:ptCount val="8"/>
                <c:pt idx="0">
                  <c:v>4.766504683775985E-3</c:v>
                </c:pt>
                <c:pt idx="1">
                  <c:v>1.0069823533636913E-2</c:v>
                </c:pt>
                <c:pt idx="2">
                  <c:v>3.0358741756410759E-2</c:v>
                </c:pt>
                <c:pt idx="3">
                  <c:v>2.0492029799313222E-2</c:v>
                </c:pt>
                <c:pt idx="4">
                  <c:v>7.44154416926058E-3</c:v>
                </c:pt>
                <c:pt idx="5">
                  <c:v>6.9029561224852862E-2</c:v>
                </c:pt>
                <c:pt idx="6">
                  <c:v>2.4128483668509344E-2</c:v>
                </c:pt>
                <c:pt idx="7">
                  <c:v>2.0708482473415817E-2</c:v>
                </c:pt>
              </c:numCache>
            </c:numRef>
          </c:val>
          <c:extLst>
            <c:ext xmlns:c16="http://schemas.microsoft.com/office/drawing/2014/chart" uri="{C3380CC4-5D6E-409C-BE32-E72D297353CC}">
              <c16:uniqueId val="{00000001-54D3-4971-B8E9-19A7434B7554}"/>
            </c:ext>
          </c:extLst>
        </c:ser>
        <c:ser>
          <c:idx val="2"/>
          <c:order val="2"/>
          <c:tx>
            <c:strRef>
              <c:f>'NGDC Res'!$L$2</c:f>
              <c:strCache>
                <c:ptCount val="1"/>
                <c:pt idx="0">
                  <c:v>2014</c:v>
                </c:pt>
              </c:strCache>
            </c:strRef>
          </c:tx>
          <c:spPr>
            <a:solidFill>
              <a:schemeClr val="accent3"/>
            </a:solidFill>
            <a:ln>
              <a:noFill/>
            </a:ln>
            <a:effectLst/>
          </c:spPr>
          <c:invertIfNegative val="0"/>
          <c:cat>
            <c:strRef>
              <c:f>'NGDC Res'!$I$3:$I$10</c:f>
              <c:strCache>
                <c:ptCount val="8"/>
                <c:pt idx="0">
                  <c:v>Columbia</c:v>
                </c:pt>
                <c:pt idx="1">
                  <c:v>NFG</c:v>
                </c:pt>
                <c:pt idx="2">
                  <c:v>PECO Gas</c:v>
                </c:pt>
                <c:pt idx="3">
                  <c:v>Peoples</c:v>
                </c:pt>
                <c:pt idx="4">
                  <c:v>EQT</c:v>
                </c:pt>
                <c:pt idx="5">
                  <c:v>PGW</c:v>
                </c:pt>
                <c:pt idx="6">
                  <c:v>UGI Gas</c:v>
                </c:pt>
                <c:pt idx="7">
                  <c:v>UGI PNG</c:v>
                </c:pt>
              </c:strCache>
            </c:strRef>
          </c:cat>
          <c:val>
            <c:numRef>
              <c:f>'NGDC Res'!$L$3:$L$10</c:f>
              <c:numCache>
                <c:formatCode>0.00%</c:formatCode>
                <c:ptCount val="8"/>
                <c:pt idx="0">
                  <c:v>8.9270590925952867E-3</c:v>
                </c:pt>
                <c:pt idx="1">
                  <c:v>1.0560444900462592E-2</c:v>
                </c:pt>
                <c:pt idx="2">
                  <c:v>1.8591136941364557E-2</c:v>
                </c:pt>
                <c:pt idx="3">
                  <c:v>1.4511304087763343E-2</c:v>
                </c:pt>
                <c:pt idx="4">
                  <c:v>8.877512029731251E-3</c:v>
                </c:pt>
                <c:pt idx="5">
                  <c:v>5.8701120431761802E-2</c:v>
                </c:pt>
                <c:pt idx="6">
                  <c:v>3.2025095310236971E-2</c:v>
                </c:pt>
                <c:pt idx="7">
                  <c:v>2.5853917472233316E-2</c:v>
                </c:pt>
              </c:numCache>
            </c:numRef>
          </c:val>
          <c:extLst>
            <c:ext xmlns:c16="http://schemas.microsoft.com/office/drawing/2014/chart" uri="{C3380CC4-5D6E-409C-BE32-E72D297353CC}">
              <c16:uniqueId val="{00000002-54D3-4971-B8E9-19A7434B7554}"/>
            </c:ext>
          </c:extLst>
        </c:ser>
        <c:ser>
          <c:idx val="3"/>
          <c:order val="3"/>
          <c:tx>
            <c:strRef>
              <c:f>'NGDC Res'!$M$2</c:f>
              <c:strCache>
                <c:ptCount val="1"/>
                <c:pt idx="0">
                  <c:v>2015</c:v>
                </c:pt>
              </c:strCache>
            </c:strRef>
          </c:tx>
          <c:spPr>
            <a:solidFill>
              <a:schemeClr val="accent4"/>
            </a:solidFill>
            <a:ln>
              <a:noFill/>
            </a:ln>
            <a:effectLst/>
          </c:spPr>
          <c:invertIfNegative val="0"/>
          <c:cat>
            <c:strRef>
              <c:f>'NGDC Res'!$I$3:$I$10</c:f>
              <c:strCache>
                <c:ptCount val="8"/>
                <c:pt idx="0">
                  <c:v>Columbia</c:v>
                </c:pt>
                <c:pt idx="1">
                  <c:v>NFG</c:v>
                </c:pt>
                <c:pt idx="2">
                  <c:v>PECO Gas</c:v>
                </c:pt>
                <c:pt idx="3">
                  <c:v>Peoples</c:v>
                </c:pt>
                <c:pt idx="4">
                  <c:v>EQT</c:v>
                </c:pt>
                <c:pt idx="5">
                  <c:v>PGW</c:v>
                </c:pt>
                <c:pt idx="6">
                  <c:v>UGI Gas</c:v>
                </c:pt>
                <c:pt idx="7">
                  <c:v>UGI PNG</c:v>
                </c:pt>
              </c:strCache>
            </c:strRef>
          </c:cat>
          <c:val>
            <c:numRef>
              <c:f>'NGDC Res'!$M$3:$M$10</c:f>
              <c:numCache>
                <c:formatCode>0.00%</c:formatCode>
                <c:ptCount val="8"/>
                <c:pt idx="0">
                  <c:v>1.0318912041187156E-2</c:v>
                </c:pt>
                <c:pt idx="1">
                  <c:v>1.3168086869351624E-2</c:v>
                </c:pt>
                <c:pt idx="2">
                  <c:v>1.8299274354661249E-2</c:v>
                </c:pt>
                <c:pt idx="3">
                  <c:v>1.4622932970071917E-2</c:v>
                </c:pt>
                <c:pt idx="4">
                  <c:v>1.14384995855183E-2</c:v>
                </c:pt>
                <c:pt idx="5">
                  <c:v>7.1794548465014582E-2</c:v>
                </c:pt>
                <c:pt idx="6">
                  <c:v>3.5012940072422387E-2</c:v>
                </c:pt>
                <c:pt idx="7">
                  <c:v>2.7156686805479353E-2</c:v>
                </c:pt>
              </c:numCache>
            </c:numRef>
          </c:val>
          <c:extLst>
            <c:ext xmlns:c16="http://schemas.microsoft.com/office/drawing/2014/chart" uri="{C3380CC4-5D6E-409C-BE32-E72D297353CC}">
              <c16:uniqueId val="{00000003-54D3-4971-B8E9-19A7434B7554}"/>
            </c:ext>
          </c:extLst>
        </c:ser>
        <c:ser>
          <c:idx val="4"/>
          <c:order val="4"/>
          <c:tx>
            <c:strRef>
              <c:f>'NGDC Res'!$N$2</c:f>
              <c:strCache>
                <c:ptCount val="1"/>
                <c:pt idx="0">
                  <c:v>2016</c:v>
                </c:pt>
              </c:strCache>
            </c:strRef>
          </c:tx>
          <c:spPr>
            <a:solidFill>
              <a:schemeClr val="accent5"/>
            </a:solidFill>
            <a:ln>
              <a:noFill/>
            </a:ln>
            <a:effectLst/>
          </c:spPr>
          <c:invertIfNegative val="0"/>
          <c:cat>
            <c:strRef>
              <c:f>'NGDC Res'!$I$3:$I$10</c:f>
              <c:strCache>
                <c:ptCount val="8"/>
                <c:pt idx="0">
                  <c:v>Columbia</c:v>
                </c:pt>
                <c:pt idx="1">
                  <c:v>NFG</c:v>
                </c:pt>
                <c:pt idx="2">
                  <c:v>PECO Gas</c:v>
                </c:pt>
                <c:pt idx="3">
                  <c:v>Peoples</c:v>
                </c:pt>
                <c:pt idx="4">
                  <c:v>EQT</c:v>
                </c:pt>
                <c:pt idx="5">
                  <c:v>PGW</c:v>
                </c:pt>
                <c:pt idx="6">
                  <c:v>UGI Gas</c:v>
                </c:pt>
                <c:pt idx="7">
                  <c:v>UGI PNG</c:v>
                </c:pt>
              </c:strCache>
            </c:strRef>
          </c:cat>
          <c:val>
            <c:numRef>
              <c:f>'NGDC Res'!$N$3:$N$10</c:f>
              <c:numCache>
                <c:formatCode>0.00%</c:formatCode>
                <c:ptCount val="8"/>
                <c:pt idx="0">
                  <c:v>9.4779707161585496E-3</c:v>
                </c:pt>
                <c:pt idx="1">
                  <c:v>2.1941089758334545E-2</c:v>
                </c:pt>
                <c:pt idx="2">
                  <c:v>1.9115807486481232E-2</c:v>
                </c:pt>
                <c:pt idx="3">
                  <c:v>1.1757736803486647E-2</c:v>
                </c:pt>
                <c:pt idx="4">
                  <c:v>1.7191003517990196E-2</c:v>
                </c:pt>
                <c:pt idx="5">
                  <c:v>7.4834650632633615E-2</c:v>
                </c:pt>
                <c:pt idx="6">
                  <c:v>2.4577111514559161E-2</c:v>
                </c:pt>
                <c:pt idx="7">
                  <c:v>2.0562513764336442E-2</c:v>
                </c:pt>
              </c:numCache>
            </c:numRef>
          </c:val>
          <c:extLst>
            <c:ext xmlns:c16="http://schemas.microsoft.com/office/drawing/2014/chart" uri="{C3380CC4-5D6E-409C-BE32-E72D297353CC}">
              <c16:uniqueId val="{00000004-54D3-4971-B8E9-19A7434B7554}"/>
            </c:ext>
          </c:extLst>
        </c:ser>
        <c:dLbls>
          <c:showLegendKey val="0"/>
          <c:showVal val="0"/>
          <c:showCatName val="0"/>
          <c:showSerName val="0"/>
          <c:showPercent val="0"/>
          <c:showBubbleSize val="0"/>
        </c:dLbls>
        <c:gapWidth val="219"/>
        <c:overlap val="-27"/>
        <c:axId val="468814904"/>
        <c:axId val="468813264"/>
        <c:extLst>
          <c:ext xmlns:c15="http://schemas.microsoft.com/office/drawing/2012/chart" uri="{02D57815-91ED-43cb-92C2-25804820EDAC}">
            <c15:filteredBarSeries>
              <c15:ser>
                <c:idx val="5"/>
                <c:order val="5"/>
                <c:tx>
                  <c:strRef>
                    <c:extLst>
                      <c:ext uri="{02D57815-91ED-43cb-92C2-25804820EDAC}">
                        <c15:formulaRef>
                          <c15:sqref>'NGDC Res'!$O$2</c15:sqref>
                        </c15:formulaRef>
                      </c:ext>
                    </c:extLst>
                    <c:strCache>
                      <c:ptCount val="1"/>
                    </c:strCache>
                  </c:strRef>
                </c:tx>
                <c:spPr>
                  <a:solidFill>
                    <a:schemeClr val="accent6"/>
                  </a:solidFill>
                  <a:ln>
                    <a:noFill/>
                  </a:ln>
                  <a:effectLst/>
                </c:spPr>
                <c:invertIfNegative val="0"/>
                <c:cat>
                  <c:strRef>
                    <c:extLst>
                      <c:ext uri="{02D57815-91ED-43cb-92C2-25804820EDAC}">
                        <c15:formulaRef>
                          <c15:sqref>'NGDC Res'!$I$3:$I$10</c15:sqref>
                        </c15:formulaRef>
                      </c:ext>
                    </c:extLst>
                    <c:strCache>
                      <c:ptCount val="8"/>
                      <c:pt idx="0">
                        <c:v>Columbia</c:v>
                      </c:pt>
                      <c:pt idx="1">
                        <c:v>NFG</c:v>
                      </c:pt>
                      <c:pt idx="2">
                        <c:v>PECO Gas</c:v>
                      </c:pt>
                      <c:pt idx="3">
                        <c:v>Peoples</c:v>
                      </c:pt>
                      <c:pt idx="4">
                        <c:v>EQT</c:v>
                      </c:pt>
                      <c:pt idx="5">
                        <c:v>PGW</c:v>
                      </c:pt>
                      <c:pt idx="6">
                        <c:v>UGI Gas</c:v>
                      </c:pt>
                      <c:pt idx="7">
                        <c:v>UGI PNG</c:v>
                      </c:pt>
                    </c:strCache>
                  </c:strRef>
                </c:cat>
                <c:val>
                  <c:numRef>
                    <c:extLst>
                      <c:ext uri="{02D57815-91ED-43cb-92C2-25804820EDAC}">
                        <c15:formulaRef>
                          <c15:sqref>'NGDC Res'!$O$3:$O$10</c15:sqref>
                        </c15:formulaRef>
                      </c:ext>
                    </c:extLst>
                    <c:numCache>
                      <c:formatCode>General</c:formatCode>
                      <c:ptCount val="8"/>
                    </c:numCache>
                  </c:numRef>
                </c:val>
                <c:extLst>
                  <c:ext xmlns:c16="http://schemas.microsoft.com/office/drawing/2014/chart" uri="{C3380CC4-5D6E-409C-BE32-E72D297353CC}">
                    <c16:uniqueId val="{00000005-54D3-4971-B8E9-19A7434B7554}"/>
                  </c:ext>
                </c:extLst>
              </c15:ser>
            </c15:filteredBarSeries>
          </c:ext>
        </c:extLst>
      </c:barChart>
      <c:catAx>
        <c:axId val="46881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813264"/>
        <c:crosses val="autoZero"/>
        <c:auto val="1"/>
        <c:lblAlgn val="ctr"/>
        <c:lblOffset val="100"/>
        <c:noMultiLvlLbl val="0"/>
      </c:catAx>
      <c:valAx>
        <c:axId val="468813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81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'EDC Res'!$J$2</c:f>
              <c:strCache>
                <c:ptCount val="1"/>
                <c:pt idx="0">
                  <c:v>2012</c:v>
                </c:pt>
              </c:strCache>
            </c:strRef>
          </c:tx>
          <c:spPr>
            <a:solidFill>
              <a:schemeClr val="accent1"/>
            </a:solidFill>
            <a:ln>
              <a:noFill/>
            </a:ln>
            <a:effectLst/>
          </c:spPr>
          <c:invertIfNegative val="0"/>
          <c:cat>
            <c:strRef>
              <c:f>'EDC Res'!$I$3:$I$9</c:f>
              <c:strCache>
                <c:ptCount val="7"/>
                <c:pt idx="0">
                  <c:v>Duquesne</c:v>
                </c:pt>
                <c:pt idx="1">
                  <c:v>Met Ed</c:v>
                </c:pt>
                <c:pt idx="2">
                  <c:v>PECO Electric</c:v>
                </c:pt>
                <c:pt idx="3">
                  <c:v>Penelec</c:v>
                </c:pt>
                <c:pt idx="4">
                  <c:v>Penn Power</c:v>
                </c:pt>
                <c:pt idx="5">
                  <c:v>PPL</c:v>
                </c:pt>
                <c:pt idx="6">
                  <c:v>West Penn</c:v>
                </c:pt>
              </c:strCache>
            </c:strRef>
          </c:cat>
          <c:val>
            <c:numRef>
              <c:f>'EDC Res'!$J$3:$J$9</c:f>
              <c:numCache>
                <c:formatCode>0.00%</c:formatCode>
                <c:ptCount val="7"/>
                <c:pt idx="0">
                  <c:v>8.1235886216969519E-3</c:v>
                </c:pt>
                <c:pt idx="1">
                  <c:v>8.6964401342426393E-3</c:v>
                </c:pt>
                <c:pt idx="2">
                  <c:v>1.9191691048639836E-2</c:v>
                </c:pt>
                <c:pt idx="3">
                  <c:v>9.3676342897782167E-3</c:v>
                </c:pt>
                <c:pt idx="4">
                  <c:v>7.1208951241304814E-3</c:v>
                </c:pt>
                <c:pt idx="5">
                  <c:v>3.9016421751093169E-2</c:v>
                </c:pt>
                <c:pt idx="6">
                  <c:v>1.1997375333438826E-2</c:v>
                </c:pt>
              </c:numCache>
            </c:numRef>
          </c:val>
          <c:extLst>
            <c:ext xmlns:c16="http://schemas.microsoft.com/office/drawing/2014/chart" uri="{C3380CC4-5D6E-409C-BE32-E72D297353CC}">
              <c16:uniqueId val="{00000000-021A-4B98-B306-D1CF4DBC32BC}"/>
            </c:ext>
          </c:extLst>
        </c:ser>
        <c:ser>
          <c:idx val="1"/>
          <c:order val="1"/>
          <c:tx>
            <c:strRef>
              <c:f>'EDC Res'!$K$2</c:f>
              <c:strCache>
                <c:ptCount val="1"/>
                <c:pt idx="0">
                  <c:v>2013</c:v>
                </c:pt>
              </c:strCache>
            </c:strRef>
          </c:tx>
          <c:spPr>
            <a:solidFill>
              <a:schemeClr val="accent2"/>
            </a:solidFill>
            <a:ln>
              <a:noFill/>
            </a:ln>
            <a:effectLst/>
          </c:spPr>
          <c:invertIfNegative val="0"/>
          <c:cat>
            <c:strRef>
              <c:f>'EDC Res'!$I$3:$I$9</c:f>
              <c:strCache>
                <c:ptCount val="7"/>
                <c:pt idx="0">
                  <c:v>Duquesne</c:v>
                </c:pt>
                <c:pt idx="1">
                  <c:v>Met Ed</c:v>
                </c:pt>
                <c:pt idx="2">
                  <c:v>PECO Electric</c:v>
                </c:pt>
                <c:pt idx="3">
                  <c:v>Penelec</c:v>
                </c:pt>
                <c:pt idx="4">
                  <c:v>Penn Power</c:v>
                </c:pt>
                <c:pt idx="5">
                  <c:v>PPL</c:v>
                </c:pt>
                <c:pt idx="6">
                  <c:v>West Penn</c:v>
                </c:pt>
              </c:strCache>
            </c:strRef>
          </c:cat>
          <c:val>
            <c:numRef>
              <c:f>'EDC Res'!$K$3:$K$9</c:f>
              <c:numCache>
                <c:formatCode>0.00%</c:formatCode>
                <c:ptCount val="7"/>
                <c:pt idx="0">
                  <c:v>1.0731949716382359E-2</c:v>
                </c:pt>
                <c:pt idx="1">
                  <c:v>7.7093185888986423E-3</c:v>
                </c:pt>
                <c:pt idx="2">
                  <c:v>1.9598319563130212E-2</c:v>
                </c:pt>
                <c:pt idx="3">
                  <c:v>8.5193994198360726E-3</c:v>
                </c:pt>
                <c:pt idx="4">
                  <c:v>6.9067264070631863E-3</c:v>
                </c:pt>
                <c:pt idx="5">
                  <c:v>3.7659482072051019E-2</c:v>
                </c:pt>
                <c:pt idx="6">
                  <c:v>8.4263671809543823E-3</c:v>
                </c:pt>
              </c:numCache>
            </c:numRef>
          </c:val>
          <c:extLst>
            <c:ext xmlns:c16="http://schemas.microsoft.com/office/drawing/2014/chart" uri="{C3380CC4-5D6E-409C-BE32-E72D297353CC}">
              <c16:uniqueId val="{00000001-021A-4B98-B306-D1CF4DBC32BC}"/>
            </c:ext>
          </c:extLst>
        </c:ser>
        <c:ser>
          <c:idx val="2"/>
          <c:order val="2"/>
          <c:tx>
            <c:strRef>
              <c:f>'EDC Res'!$L$2</c:f>
              <c:strCache>
                <c:ptCount val="1"/>
                <c:pt idx="0">
                  <c:v>2014</c:v>
                </c:pt>
              </c:strCache>
            </c:strRef>
          </c:tx>
          <c:spPr>
            <a:solidFill>
              <a:schemeClr val="accent3"/>
            </a:solidFill>
            <a:ln>
              <a:noFill/>
            </a:ln>
            <a:effectLst/>
          </c:spPr>
          <c:invertIfNegative val="0"/>
          <c:cat>
            <c:strRef>
              <c:f>'EDC Res'!$I$3:$I$9</c:f>
              <c:strCache>
                <c:ptCount val="7"/>
                <c:pt idx="0">
                  <c:v>Duquesne</c:v>
                </c:pt>
                <c:pt idx="1">
                  <c:v>Met Ed</c:v>
                </c:pt>
                <c:pt idx="2">
                  <c:v>PECO Electric</c:v>
                </c:pt>
                <c:pt idx="3">
                  <c:v>Penelec</c:v>
                </c:pt>
                <c:pt idx="4">
                  <c:v>Penn Power</c:v>
                </c:pt>
                <c:pt idx="5">
                  <c:v>PPL</c:v>
                </c:pt>
                <c:pt idx="6">
                  <c:v>West Penn</c:v>
                </c:pt>
              </c:strCache>
            </c:strRef>
          </c:cat>
          <c:val>
            <c:numRef>
              <c:f>'EDC Res'!$L$3:$L$9</c:f>
              <c:numCache>
                <c:formatCode>0.00%</c:formatCode>
                <c:ptCount val="7"/>
                <c:pt idx="0">
                  <c:v>1.2049241339428793E-2</c:v>
                </c:pt>
                <c:pt idx="1">
                  <c:v>8.9555418338661055E-3</c:v>
                </c:pt>
                <c:pt idx="2">
                  <c:v>1.432038645919251E-2</c:v>
                </c:pt>
                <c:pt idx="3">
                  <c:v>9.3566077863661123E-3</c:v>
                </c:pt>
                <c:pt idx="4">
                  <c:v>7.2810463408134272E-3</c:v>
                </c:pt>
                <c:pt idx="5">
                  <c:v>3.5325360846423869E-2</c:v>
                </c:pt>
                <c:pt idx="6">
                  <c:v>8.1298172682626596E-3</c:v>
                </c:pt>
              </c:numCache>
            </c:numRef>
          </c:val>
          <c:extLst>
            <c:ext xmlns:c16="http://schemas.microsoft.com/office/drawing/2014/chart" uri="{C3380CC4-5D6E-409C-BE32-E72D297353CC}">
              <c16:uniqueId val="{00000002-021A-4B98-B306-D1CF4DBC32BC}"/>
            </c:ext>
          </c:extLst>
        </c:ser>
        <c:ser>
          <c:idx val="3"/>
          <c:order val="3"/>
          <c:tx>
            <c:strRef>
              <c:f>'EDC Res'!$M$2</c:f>
              <c:strCache>
                <c:ptCount val="1"/>
                <c:pt idx="0">
                  <c:v>2015</c:v>
                </c:pt>
              </c:strCache>
            </c:strRef>
          </c:tx>
          <c:spPr>
            <a:solidFill>
              <a:schemeClr val="accent4"/>
            </a:solidFill>
            <a:ln>
              <a:noFill/>
            </a:ln>
            <a:effectLst/>
          </c:spPr>
          <c:invertIfNegative val="0"/>
          <c:cat>
            <c:strRef>
              <c:f>'EDC Res'!$I$3:$I$9</c:f>
              <c:strCache>
                <c:ptCount val="7"/>
                <c:pt idx="0">
                  <c:v>Duquesne</c:v>
                </c:pt>
                <c:pt idx="1">
                  <c:v>Met Ed</c:v>
                </c:pt>
                <c:pt idx="2">
                  <c:v>PECO Electric</c:v>
                </c:pt>
                <c:pt idx="3">
                  <c:v>Penelec</c:v>
                </c:pt>
                <c:pt idx="4">
                  <c:v>Penn Power</c:v>
                </c:pt>
                <c:pt idx="5">
                  <c:v>PPL</c:v>
                </c:pt>
                <c:pt idx="6">
                  <c:v>West Penn</c:v>
                </c:pt>
              </c:strCache>
            </c:strRef>
          </c:cat>
          <c:val>
            <c:numRef>
              <c:f>'EDC Res'!$M$3:$M$9</c:f>
              <c:numCache>
                <c:formatCode>0.00%</c:formatCode>
                <c:ptCount val="7"/>
                <c:pt idx="0">
                  <c:v>2.2513373651823643E-2</c:v>
                </c:pt>
                <c:pt idx="1">
                  <c:v>8.9440087661403871E-3</c:v>
                </c:pt>
                <c:pt idx="2">
                  <c:v>1.1210118482568435E-2</c:v>
                </c:pt>
                <c:pt idx="3">
                  <c:v>9.6625348753637316E-3</c:v>
                </c:pt>
                <c:pt idx="4">
                  <c:v>7.8333121554267793E-3</c:v>
                </c:pt>
                <c:pt idx="5">
                  <c:v>3.2645692579148601E-2</c:v>
                </c:pt>
                <c:pt idx="6">
                  <c:v>8.9390725919170824E-3</c:v>
                </c:pt>
              </c:numCache>
            </c:numRef>
          </c:val>
          <c:extLst>
            <c:ext xmlns:c16="http://schemas.microsoft.com/office/drawing/2014/chart" uri="{C3380CC4-5D6E-409C-BE32-E72D297353CC}">
              <c16:uniqueId val="{00000003-021A-4B98-B306-D1CF4DBC32BC}"/>
            </c:ext>
          </c:extLst>
        </c:ser>
        <c:ser>
          <c:idx val="4"/>
          <c:order val="4"/>
          <c:tx>
            <c:strRef>
              <c:f>'EDC Res'!$N$2</c:f>
              <c:strCache>
                <c:ptCount val="1"/>
                <c:pt idx="0">
                  <c:v>2016</c:v>
                </c:pt>
              </c:strCache>
            </c:strRef>
          </c:tx>
          <c:spPr>
            <a:solidFill>
              <a:schemeClr val="accent5"/>
            </a:solidFill>
            <a:ln>
              <a:noFill/>
            </a:ln>
            <a:effectLst/>
          </c:spPr>
          <c:invertIfNegative val="0"/>
          <c:cat>
            <c:strRef>
              <c:f>'EDC Res'!$I$3:$I$9</c:f>
              <c:strCache>
                <c:ptCount val="7"/>
                <c:pt idx="0">
                  <c:v>Duquesne</c:v>
                </c:pt>
                <c:pt idx="1">
                  <c:v>Met Ed</c:v>
                </c:pt>
                <c:pt idx="2">
                  <c:v>PECO Electric</c:v>
                </c:pt>
                <c:pt idx="3">
                  <c:v>Penelec</c:v>
                </c:pt>
                <c:pt idx="4">
                  <c:v>Penn Power</c:v>
                </c:pt>
                <c:pt idx="5">
                  <c:v>PPL</c:v>
                </c:pt>
                <c:pt idx="6">
                  <c:v>West Penn</c:v>
                </c:pt>
              </c:strCache>
            </c:strRef>
          </c:cat>
          <c:val>
            <c:numRef>
              <c:f>'EDC Res'!$N$3:$N$9</c:f>
              <c:numCache>
                <c:formatCode>0.00%</c:formatCode>
                <c:ptCount val="7"/>
                <c:pt idx="0">
                  <c:v>2.0742390233762231E-2</c:v>
                </c:pt>
                <c:pt idx="1">
                  <c:v>1.0823081169050947E-2</c:v>
                </c:pt>
                <c:pt idx="2">
                  <c:v>8.4374262784947269E-3</c:v>
                </c:pt>
                <c:pt idx="3">
                  <c:v>1.2233770962580028E-2</c:v>
                </c:pt>
                <c:pt idx="4">
                  <c:v>9.6655049359410383E-3</c:v>
                </c:pt>
                <c:pt idx="5">
                  <c:v>3.8565964264312226E-2</c:v>
                </c:pt>
                <c:pt idx="6">
                  <c:v>1.032396144033744E-2</c:v>
                </c:pt>
              </c:numCache>
            </c:numRef>
          </c:val>
          <c:extLst>
            <c:ext xmlns:c16="http://schemas.microsoft.com/office/drawing/2014/chart" uri="{C3380CC4-5D6E-409C-BE32-E72D297353CC}">
              <c16:uniqueId val="{00000004-021A-4B98-B306-D1CF4DBC32BC}"/>
            </c:ext>
          </c:extLst>
        </c:ser>
        <c:dLbls>
          <c:showLegendKey val="0"/>
          <c:showVal val="0"/>
          <c:showCatName val="0"/>
          <c:showSerName val="0"/>
          <c:showPercent val="0"/>
          <c:showBubbleSize val="0"/>
        </c:dLbls>
        <c:gapWidth val="219"/>
        <c:overlap val="-27"/>
        <c:axId val="468814904"/>
        <c:axId val="468813264"/>
        <c:extLst>
          <c:ext xmlns:c15="http://schemas.microsoft.com/office/drawing/2012/chart" uri="{02D57815-91ED-43cb-92C2-25804820EDAC}">
            <c15:filteredBarSeries>
              <c15:ser>
                <c:idx val="5"/>
                <c:order val="5"/>
                <c:tx>
                  <c:strRef>
                    <c:extLst>
                      <c:ext uri="{02D57815-91ED-43cb-92C2-25804820EDAC}">
                        <c15:formulaRef>
                          <c15:sqref>'EDC Res'!$O$2</c15:sqref>
                        </c15:formulaRef>
                      </c:ext>
                    </c:extLst>
                    <c:strCache>
                      <c:ptCount val="1"/>
                    </c:strCache>
                  </c:strRef>
                </c:tx>
                <c:spPr>
                  <a:solidFill>
                    <a:schemeClr val="accent6"/>
                  </a:solidFill>
                  <a:ln>
                    <a:noFill/>
                  </a:ln>
                  <a:effectLst/>
                </c:spPr>
                <c:invertIfNegative val="0"/>
                <c:cat>
                  <c:strRef>
                    <c:extLst>
                      <c:ext uri="{02D57815-91ED-43cb-92C2-25804820EDAC}">
                        <c15:formulaRef>
                          <c15:sqref>'EDC Res'!$I$3:$I$9</c15:sqref>
                        </c15:formulaRef>
                      </c:ext>
                    </c:extLst>
                    <c:strCache>
                      <c:ptCount val="7"/>
                      <c:pt idx="0">
                        <c:v>Duquesne</c:v>
                      </c:pt>
                      <c:pt idx="1">
                        <c:v>Met Ed</c:v>
                      </c:pt>
                      <c:pt idx="2">
                        <c:v>PECO Electric</c:v>
                      </c:pt>
                      <c:pt idx="3">
                        <c:v>Penelec</c:v>
                      </c:pt>
                      <c:pt idx="4">
                        <c:v>Penn Power</c:v>
                      </c:pt>
                      <c:pt idx="5">
                        <c:v>PPL</c:v>
                      </c:pt>
                      <c:pt idx="6">
                        <c:v>West Penn</c:v>
                      </c:pt>
                    </c:strCache>
                  </c:strRef>
                </c:cat>
                <c:val>
                  <c:numRef>
                    <c:extLst>
                      <c:ext uri="{02D57815-91ED-43cb-92C2-25804820EDAC}">
                        <c15:formulaRef>
                          <c15:sqref>'EDC Res'!$O$3:$O$9</c15:sqref>
                        </c15:formulaRef>
                      </c:ext>
                    </c:extLst>
                    <c:numCache>
                      <c:formatCode>General</c:formatCode>
                      <c:ptCount val="7"/>
                    </c:numCache>
                  </c:numRef>
                </c:val>
                <c:extLst>
                  <c:ext xmlns:c16="http://schemas.microsoft.com/office/drawing/2014/chart" uri="{C3380CC4-5D6E-409C-BE32-E72D297353CC}">
                    <c16:uniqueId val="{00000005-021A-4B98-B306-D1CF4DBC32BC}"/>
                  </c:ext>
                </c:extLst>
              </c15:ser>
            </c15:filteredBarSeries>
          </c:ext>
        </c:extLst>
      </c:barChart>
      <c:catAx>
        <c:axId val="46881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813264"/>
        <c:crosses val="autoZero"/>
        <c:auto val="1"/>
        <c:lblAlgn val="ctr"/>
        <c:lblOffset val="100"/>
        <c:noMultiLvlLbl val="0"/>
      </c:catAx>
      <c:valAx>
        <c:axId val="46881326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81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'NGDC CLI'!$B$2</c:f>
              <c:strCache>
                <c:ptCount val="1"/>
                <c:pt idx="0">
                  <c:v>2012</c:v>
                </c:pt>
              </c:strCache>
            </c:strRef>
          </c:tx>
          <c:spPr>
            <a:solidFill>
              <a:schemeClr val="accent1"/>
            </a:solidFill>
            <a:ln>
              <a:noFill/>
            </a:ln>
            <a:effectLst/>
          </c:spPr>
          <c:invertIfNegative val="0"/>
          <c:cat>
            <c:strRef>
              <c:f>'NGDC CLI'!$A$3:$A$10</c:f>
              <c:strCache>
                <c:ptCount val="8"/>
                <c:pt idx="0">
                  <c:v>Columbia</c:v>
                </c:pt>
                <c:pt idx="1">
                  <c:v>NFG</c:v>
                </c:pt>
                <c:pt idx="2">
                  <c:v>PECO Gas</c:v>
                </c:pt>
                <c:pt idx="3">
                  <c:v>Peoples</c:v>
                </c:pt>
                <c:pt idx="4">
                  <c:v>EQT</c:v>
                </c:pt>
                <c:pt idx="5">
                  <c:v>PGW</c:v>
                </c:pt>
                <c:pt idx="6">
                  <c:v>UGI Gas</c:v>
                </c:pt>
                <c:pt idx="7">
                  <c:v>UGI PNG</c:v>
                </c:pt>
              </c:strCache>
            </c:strRef>
          </c:cat>
          <c:val>
            <c:numRef>
              <c:f>'NGDC CLI'!$B$3:$B$10</c:f>
              <c:numCache>
                <c:formatCode>0.00%</c:formatCode>
                <c:ptCount val="8"/>
                <c:pt idx="0">
                  <c:v>6.7982046659893824E-2</c:v>
                </c:pt>
                <c:pt idx="1">
                  <c:v>8.3459043629408078E-2</c:v>
                </c:pt>
                <c:pt idx="2">
                  <c:v>5.7054070709591974E-2</c:v>
                </c:pt>
                <c:pt idx="3">
                  <c:v>7.9422789224374138E-2</c:v>
                </c:pt>
                <c:pt idx="4">
                  <c:v>9.6322550924716852E-2</c:v>
                </c:pt>
                <c:pt idx="5">
                  <c:v>4.1483393811357509E-2</c:v>
                </c:pt>
                <c:pt idx="6">
                  <c:v>4.0207737751830577E-2</c:v>
                </c:pt>
                <c:pt idx="7">
                  <c:v>3.8234756991067848E-2</c:v>
                </c:pt>
              </c:numCache>
            </c:numRef>
          </c:val>
          <c:extLst>
            <c:ext xmlns:c16="http://schemas.microsoft.com/office/drawing/2014/chart" uri="{C3380CC4-5D6E-409C-BE32-E72D297353CC}">
              <c16:uniqueId val="{00000000-345C-4E97-BD77-91A6051E9EE3}"/>
            </c:ext>
          </c:extLst>
        </c:ser>
        <c:ser>
          <c:idx val="1"/>
          <c:order val="1"/>
          <c:tx>
            <c:strRef>
              <c:f>'NGDC CLI'!$C$2</c:f>
              <c:strCache>
                <c:ptCount val="1"/>
                <c:pt idx="0">
                  <c:v>2013</c:v>
                </c:pt>
              </c:strCache>
            </c:strRef>
          </c:tx>
          <c:spPr>
            <a:solidFill>
              <a:schemeClr val="accent2"/>
            </a:solidFill>
            <a:ln>
              <a:noFill/>
            </a:ln>
            <a:effectLst/>
          </c:spPr>
          <c:invertIfNegative val="0"/>
          <c:cat>
            <c:strRef>
              <c:f>'NGDC CLI'!$A$3:$A$10</c:f>
              <c:strCache>
                <c:ptCount val="8"/>
                <c:pt idx="0">
                  <c:v>Columbia</c:v>
                </c:pt>
                <c:pt idx="1">
                  <c:v>NFG</c:v>
                </c:pt>
                <c:pt idx="2">
                  <c:v>PECO Gas</c:v>
                </c:pt>
                <c:pt idx="3">
                  <c:v>Peoples</c:v>
                </c:pt>
                <c:pt idx="4">
                  <c:v>EQT</c:v>
                </c:pt>
                <c:pt idx="5">
                  <c:v>PGW</c:v>
                </c:pt>
                <c:pt idx="6">
                  <c:v>UGI Gas</c:v>
                </c:pt>
                <c:pt idx="7">
                  <c:v>UGI PNG</c:v>
                </c:pt>
              </c:strCache>
            </c:strRef>
          </c:cat>
          <c:val>
            <c:numRef>
              <c:f>'NGDC CLI'!$C$3:$C$10</c:f>
              <c:numCache>
                <c:formatCode>0.00%</c:formatCode>
                <c:ptCount val="8"/>
                <c:pt idx="0">
                  <c:v>9.4647327736123305E-2</c:v>
                </c:pt>
                <c:pt idx="1">
                  <c:v>6.3282880283242401E-2</c:v>
                </c:pt>
                <c:pt idx="2">
                  <c:v>6.0264623269971687E-2</c:v>
                </c:pt>
                <c:pt idx="3">
                  <c:v>4.3804295109621513E-2</c:v>
                </c:pt>
                <c:pt idx="4">
                  <c:v>8.6677403498904113E-2</c:v>
                </c:pt>
                <c:pt idx="5">
                  <c:v>1.8811650896427872E-2</c:v>
                </c:pt>
                <c:pt idx="6">
                  <c:v>5.2843579383033648E-2</c:v>
                </c:pt>
                <c:pt idx="7">
                  <c:v>4.60406224859682E-2</c:v>
                </c:pt>
              </c:numCache>
            </c:numRef>
          </c:val>
          <c:extLst>
            <c:ext xmlns:c16="http://schemas.microsoft.com/office/drawing/2014/chart" uri="{C3380CC4-5D6E-409C-BE32-E72D297353CC}">
              <c16:uniqueId val="{00000001-345C-4E97-BD77-91A6051E9EE3}"/>
            </c:ext>
          </c:extLst>
        </c:ser>
        <c:ser>
          <c:idx val="2"/>
          <c:order val="2"/>
          <c:tx>
            <c:strRef>
              <c:f>'NGDC CLI'!$D$2</c:f>
              <c:strCache>
                <c:ptCount val="1"/>
                <c:pt idx="0">
                  <c:v>2014</c:v>
                </c:pt>
              </c:strCache>
            </c:strRef>
          </c:tx>
          <c:spPr>
            <a:solidFill>
              <a:schemeClr val="accent3"/>
            </a:solidFill>
            <a:ln>
              <a:noFill/>
            </a:ln>
            <a:effectLst/>
          </c:spPr>
          <c:invertIfNegative val="0"/>
          <c:cat>
            <c:strRef>
              <c:f>'NGDC CLI'!$A$3:$A$10</c:f>
              <c:strCache>
                <c:ptCount val="8"/>
                <c:pt idx="0">
                  <c:v>Columbia</c:v>
                </c:pt>
                <c:pt idx="1">
                  <c:v>NFG</c:v>
                </c:pt>
                <c:pt idx="2">
                  <c:v>PECO Gas</c:v>
                </c:pt>
                <c:pt idx="3">
                  <c:v>Peoples</c:v>
                </c:pt>
                <c:pt idx="4">
                  <c:v>EQT</c:v>
                </c:pt>
                <c:pt idx="5">
                  <c:v>PGW</c:v>
                </c:pt>
                <c:pt idx="6">
                  <c:v>UGI Gas</c:v>
                </c:pt>
                <c:pt idx="7">
                  <c:v>UGI PNG</c:v>
                </c:pt>
              </c:strCache>
            </c:strRef>
          </c:cat>
          <c:val>
            <c:numRef>
              <c:f>'NGDC CLI'!$D$3:$D$10</c:f>
              <c:numCache>
                <c:formatCode>0.00%</c:formatCode>
                <c:ptCount val="8"/>
                <c:pt idx="0">
                  <c:v>0.10186962212248085</c:v>
                </c:pt>
                <c:pt idx="1">
                  <c:v>6.7507714832388918E-2</c:v>
                </c:pt>
                <c:pt idx="2">
                  <c:v>5.0187865923243029E-2</c:v>
                </c:pt>
                <c:pt idx="3">
                  <c:v>3.841731858209093E-2</c:v>
                </c:pt>
                <c:pt idx="4">
                  <c:v>8.5805980335196555E-2</c:v>
                </c:pt>
                <c:pt idx="5">
                  <c:v>2.1374411125147007E-2</c:v>
                </c:pt>
                <c:pt idx="6">
                  <c:v>6.5415252481279162E-2</c:v>
                </c:pt>
                <c:pt idx="7">
                  <c:v>5.140238410635254E-2</c:v>
                </c:pt>
              </c:numCache>
            </c:numRef>
          </c:val>
          <c:extLst>
            <c:ext xmlns:c16="http://schemas.microsoft.com/office/drawing/2014/chart" uri="{C3380CC4-5D6E-409C-BE32-E72D297353CC}">
              <c16:uniqueId val="{00000002-345C-4E97-BD77-91A6051E9EE3}"/>
            </c:ext>
          </c:extLst>
        </c:ser>
        <c:ser>
          <c:idx val="3"/>
          <c:order val="3"/>
          <c:tx>
            <c:strRef>
              <c:f>'NGDC CLI'!$E$2</c:f>
              <c:strCache>
                <c:ptCount val="1"/>
                <c:pt idx="0">
                  <c:v>2015</c:v>
                </c:pt>
              </c:strCache>
            </c:strRef>
          </c:tx>
          <c:spPr>
            <a:solidFill>
              <a:schemeClr val="accent4"/>
            </a:solidFill>
            <a:ln>
              <a:noFill/>
            </a:ln>
            <a:effectLst/>
          </c:spPr>
          <c:invertIfNegative val="0"/>
          <c:cat>
            <c:strRef>
              <c:f>'NGDC CLI'!$A$3:$A$10</c:f>
              <c:strCache>
                <c:ptCount val="8"/>
                <c:pt idx="0">
                  <c:v>Columbia</c:v>
                </c:pt>
                <c:pt idx="1">
                  <c:v>NFG</c:v>
                </c:pt>
                <c:pt idx="2">
                  <c:v>PECO Gas</c:v>
                </c:pt>
                <c:pt idx="3">
                  <c:v>Peoples</c:v>
                </c:pt>
                <c:pt idx="4">
                  <c:v>EQT</c:v>
                </c:pt>
                <c:pt idx="5">
                  <c:v>PGW</c:v>
                </c:pt>
                <c:pt idx="6">
                  <c:v>UGI Gas</c:v>
                </c:pt>
                <c:pt idx="7">
                  <c:v>UGI PNG</c:v>
                </c:pt>
              </c:strCache>
            </c:strRef>
          </c:cat>
          <c:val>
            <c:numRef>
              <c:f>'NGDC CLI'!$E$3:$E$10</c:f>
              <c:numCache>
                <c:formatCode>0.00%</c:formatCode>
                <c:ptCount val="8"/>
                <c:pt idx="0">
                  <c:v>0.10919414038532095</c:v>
                </c:pt>
                <c:pt idx="1">
                  <c:v>8.7752986398930949E-2</c:v>
                </c:pt>
                <c:pt idx="2">
                  <c:v>5.2666867240799137E-2</c:v>
                </c:pt>
                <c:pt idx="3">
                  <c:v>3.1800873259187033E-2</c:v>
                </c:pt>
                <c:pt idx="4">
                  <c:v>7.1586190816947642E-2</c:v>
                </c:pt>
                <c:pt idx="5">
                  <c:v>6.3973341829189387E-2</c:v>
                </c:pt>
                <c:pt idx="6">
                  <c:v>5.6479446497654802E-2</c:v>
                </c:pt>
                <c:pt idx="7">
                  <c:v>4.9132501432296506E-2</c:v>
                </c:pt>
              </c:numCache>
            </c:numRef>
          </c:val>
          <c:extLst>
            <c:ext xmlns:c16="http://schemas.microsoft.com/office/drawing/2014/chart" uri="{C3380CC4-5D6E-409C-BE32-E72D297353CC}">
              <c16:uniqueId val="{00000003-345C-4E97-BD77-91A6051E9EE3}"/>
            </c:ext>
          </c:extLst>
        </c:ser>
        <c:ser>
          <c:idx val="4"/>
          <c:order val="4"/>
          <c:tx>
            <c:strRef>
              <c:f>'NGDC CLI'!$F$2</c:f>
              <c:strCache>
                <c:ptCount val="1"/>
                <c:pt idx="0">
                  <c:v>2016</c:v>
                </c:pt>
              </c:strCache>
            </c:strRef>
          </c:tx>
          <c:spPr>
            <a:solidFill>
              <a:schemeClr val="accent5"/>
            </a:solidFill>
            <a:ln>
              <a:noFill/>
            </a:ln>
            <a:effectLst/>
          </c:spPr>
          <c:invertIfNegative val="0"/>
          <c:cat>
            <c:strRef>
              <c:f>'NGDC CLI'!$A$3:$A$10</c:f>
              <c:strCache>
                <c:ptCount val="8"/>
                <c:pt idx="0">
                  <c:v>Columbia</c:v>
                </c:pt>
                <c:pt idx="1">
                  <c:v>NFG</c:v>
                </c:pt>
                <c:pt idx="2">
                  <c:v>PECO Gas</c:v>
                </c:pt>
                <c:pt idx="3">
                  <c:v>Peoples</c:v>
                </c:pt>
                <c:pt idx="4">
                  <c:v>EQT</c:v>
                </c:pt>
                <c:pt idx="5">
                  <c:v>PGW</c:v>
                </c:pt>
                <c:pt idx="6">
                  <c:v>UGI Gas</c:v>
                </c:pt>
                <c:pt idx="7">
                  <c:v>UGI PNG</c:v>
                </c:pt>
              </c:strCache>
            </c:strRef>
          </c:cat>
          <c:val>
            <c:numRef>
              <c:f>'NGDC CLI'!$F$3:$F$10</c:f>
              <c:numCache>
                <c:formatCode>0.00%</c:formatCode>
                <c:ptCount val="8"/>
                <c:pt idx="0">
                  <c:v>9.3288215009546441E-2</c:v>
                </c:pt>
                <c:pt idx="1">
                  <c:v>9.8342067142654671E-2</c:v>
                </c:pt>
                <c:pt idx="2">
                  <c:v>7.68968731405444E-2</c:v>
                </c:pt>
                <c:pt idx="3">
                  <c:v>1.9450866787543288E-2</c:v>
                </c:pt>
                <c:pt idx="4">
                  <c:v>2.1830715632596077E-2</c:v>
                </c:pt>
                <c:pt idx="5">
                  <c:v>6.0088446486921472E-2</c:v>
                </c:pt>
                <c:pt idx="6">
                  <c:v>6.4707271951812528E-2</c:v>
                </c:pt>
                <c:pt idx="7">
                  <c:v>4.5458141282623411E-2</c:v>
                </c:pt>
              </c:numCache>
            </c:numRef>
          </c:val>
          <c:extLst>
            <c:ext xmlns:c16="http://schemas.microsoft.com/office/drawing/2014/chart" uri="{C3380CC4-5D6E-409C-BE32-E72D297353CC}">
              <c16:uniqueId val="{00000004-345C-4E97-BD77-91A6051E9EE3}"/>
            </c:ext>
          </c:extLst>
        </c:ser>
        <c:dLbls>
          <c:showLegendKey val="0"/>
          <c:showVal val="0"/>
          <c:showCatName val="0"/>
          <c:showSerName val="0"/>
          <c:showPercent val="0"/>
          <c:showBubbleSize val="0"/>
        </c:dLbls>
        <c:gapWidth val="219"/>
        <c:overlap val="-27"/>
        <c:axId val="477324072"/>
        <c:axId val="477330632"/>
        <c:extLst>
          <c:ext xmlns:c15="http://schemas.microsoft.com/office/drawing/2012/chart" uri="{02D57815-91ED-43cb-92C2-25804820EDAC}">
            <c15:filteredBarSeries>
              <c15:ser>
                <c:idx val="5"/>
                <c:order val="5"/>
                <c:tx>
                  <c:strRef>
                    <c:extLst>
                      <c:ext uri="{02D57815-91ED-43cb-92C2-25804820EDAC}">
                        <c15:formulaRef>
                          <c15:sqref>'NGDC CLI'!$G$2</c15:sqref>
                        </c15:formulaRef>
                      </c:ext>
                    </c:extLst>
                    <c:strCache>
                      <c:ptCount val="1"/>
                    </c:strCache>
                  </c:strRef>
                </c:tx>
                <c:spPr>
                  <a:solidFill>
                    <a:schemeClr val="accent6"/>
                  </a:solidFill>
                  <a:ln>
                    <a:noFill/>
                  </a:ln>
                  <a:effectLst/>
                </c:spPr>
                <c:invertIfNegative val="0"/>
                <c:cat>
                  <c:strRef>
                    <c:extLst>
                      <c:ext uri="{02D57815-91ED-43cb-92C2-25804820EDAC}">
                        <c15:formulaRef>
                          <c15:sqref>'NGDC CLI'!$A$3:$A$10</c15:sqref>
                        </c15:formulaRef>
                      </c:ext>
                    </c:extLst>
                    <c:strCache>
                      <c:ptCount val="8"/>
                      <c:pt idx="0">
                        <c:v>Columbia</c:v>
                      </c:pt>
                      <c:pt idx="1">
                        <c:v>NFG</c:v>
                      </c:pt>
                      <c:pt idx="2">
                        <c:v>PECO Gas</c:v>
                      </c:pt>
                      <c:pt idx="3">
                        <c:v>Peoples</c:v>
                      </c:pt>
                      <c:pt idx="4">
                        <c:v>EQT</c:v>
                      </c:pt>
                      <c:pt idx="5">
                        <c:v>PGW</c:v>
                      </c:pt>
                      <c:pt idx="6">
                        <c:v>UGI Gas</c:v>
                      </c:pt>
                      <c:pt idx="7">
                        <c:v>UGI PNG</c:v>
                      </c:pt>
                    </c:strCache>
                  </c:strRef>
                </c:cat>
                <c:val>
                  <c:numRef>
                    <c:extLst>
                      <c:ext uri="{02D57815-91ED-43cb-92C2-25804820EDAC}">
                        <c15:formulaRef>
                          <c15:sqref>'NGDC CLI'!$G$3:$G$10</c15:sqref>
                        </c15:formulaRef>
                      </c:ext>
                    </c:extLst>
                    <c:numCache>
                      <c:formatCode>General</c:formatCode>
                      <c:ptCount val="8"/>
                    </c:numCache>
                  </c:numRef>
                </c:val>
                <c:extLst>
                  <c:ext xmlns:c16="http://schemas.microsoft.com/office/drawing/2014/chart" uri="{C3380CC4-5D6E-409C-BE32-E72D297353CC}">
                    <c16:uniqueId val="{00000005-345C-4E97-BD77-91A6051E9EE3}"/>
                  </c:ext>
                </c:extLst>
              </c15:ser>
            </c15:filteredBarSeries>
          </c:ext>
        </c:extLst>
      </c:barChart>
      <c:catAx>
        <c:axId val="47732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330632"/>
        <c:crosses val="autoZero"/>
        <c:auto val="1"/>
        <c:lblAlgn val="ctr"/>
        <c:lblOffset val="100"/>
        <c:noMultiLvlLbl val="0"/>
      </c:catAx>
      <c:valAx>
        <c:axId val="477330632"/>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32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'EDC CLI'!$B$2</c:f>
              <c:strCache>
                <c:ptCount val="1"/>
                <c:pt idx="0">
                  <c:v>2012</c:v>
                </c:pt>
              </c:strCache>
            </c:strRef>
          </c:tx>
          <c:spPr>
            <a:solidFill>
              <a:schemeClr val="accent1"/>
            </a:solidFill>
            <a:ln>
              <a:noFill/>
            </a:ln>
            <a:effectLst/>
          </c:spPr>
          <c:invertIfNegative val="0"/>
          <c:cat>
            <c:strRef>
              <c:f>'EDC CLI'!$A$3:$A$9</c:f>
              <c:strCache>
                <c:ptCount val="7"/>
                <c:pt idx="0">
                  <c:v>Duquesne</c:v>
                </c:pt>
                <c:pt idx="1">
                  <c:v>Met Ed</c:v>
                </c:pt>
                <c:pt idx="2">
                  <c:v>PECO Electric</c:v>
                </c:pt>
                <c:pt idx="3">
                  <c:v>Penelec</c:v>
                </c:pt>
                <c:pt idx="4">
                  <c:v>Penn Power</c:v>
                </c:pt>
                <c:pt idx="5">
                  <c:v>PPL</c:v>
                </c:pt>
                <c:pt idx="6">
                  <c:v>West Penn</c:v>
                </c:pt>
              </c:strCache>
            </c:strRef>
          </c:cat>
          <c:val>
            <c:numRef>
              <c:f>'EDC CLI'!$B$3:$B$9</c:f>
              <c:numCache>
                <c:formatCode>0.00%</c:formatCode>
                <c:ptCount val="7"/>
                <c:pt idx="0">
                  <c:v>2.8147997878102776E-2</c:v>
                </c:pt>
                <c:pt idx="1">
                  <c:v>0.15265361939736088</c:v>
                </c:pt>
                <c:pt idx="2">
                  <c:v>1.9839034000430061E-2</c:v>
                </c:pt>
                <c:pt idx="3">
                  <c:v>0.12827216754996923</c:v>
                </c:pt>
                <c:pt idx="4">
                  <c:v>0.13319745510125039</c:v>
                </c:pt>
                <c:pt idx="5">
                  <c:v>5.1851818132201348E-2</c:v>
                </c:pt>
                <c:pt idx="6">
                  <c:v>5.4165861943016272E-2</c:v>
                </c:pt>
              </c:numCache>
            </c:numRef>
          </c:val>
          <c:extLst>
            <c:ext xmlns:c16="http://schemas.microsoft.com/office/drawing/2014/chart" uri="{C3380CC4-5D6E-409C-BE32-E72D297353CC}">
              <c16:uniqueId val="{00000000-9736-4843-9ADF-05D9556E2513}"/>
            </c:ext>
          </c:extLst>
        </c:ser>
        <c:ser>
          <c:idx val="1"/>
          <c:order val="1"/>
          <c:tx>
            <c:strRef>
              <c:f>'EDC CLI'!$C$2</c:f>
              <c:strCache>
                <c:ptCount val="1"/>
                <c:pt idx="0">
                  <c:v>2013</c:v>
                </c:pt>
              </c:strCache>
            </c:strRef>
          </c:tx>
          <c:spPr>
            <a:solidFill>
              <a:schemeClr val="accent2"/>
            </a:solidFill>
            <a:ln>
              <a:noFill/>
            </a:ln>
            <a:effectLst/>
          </c:spPr>
          <c:invertIfNegative val="0"/>
          <c:cat>
            <c:strRef>
              <c:f>'EDC CLI'!$A$3:$A$9</c:f>
              <c:strCache>
                <c:ptCount val="7"/>
                <c:pt idx="0">
                  <c:v>Duquesne</c:v>
                </c:pt>
                <c:pt idx="1">
                  <c:v>Met Ed</c:v>
                </c:pt>
                <c:pt idx="2">
                  <c:v>PECO Electric</c:v>
                </c:pt>
                <c:pt idx="3">
                  <c:v>Penelec</c:v>
                </c:pt>
                <c:pt idx="4">
                  <c:v>Penn Power</c:v>
                </c:pt>
                <c:pt idx="5">
                  <c:v>PPL</c:v>
                </c:pt>
                <c:pt idx="6">
                  <c:v>West Penn</c:v>
                </c:pt>
              </c:strCache>
            </c:strRef>
          </c:cat>
          <c:val>
            <c:numRef>
              <c:f>'EDC CLI'!$C$3:$C$9</c:f>
              <c:numCache>
                <c:formatCode>0.00%</c:formatCode>
                <c:ptCount val="7"/>
                <c:pt idx="0">
                  <c:v>2.9905944388213951E-2</c:v>
                </c:pt>
                <c:pt idx="1">
                  <c:v>0.14814949935571911</c:v>
                </c:pt>
                <c:pt idx="2">
                  <c:v>2.5447718896632672E-2</c:v>
                </c:pt>
                <c:pt idx="3">
                  <c:v>0.13415692678891358</c:v>
                </c:pt>
                <c:pt idx="4">
                  <c:v>0.13257049746555391</c:v>
                </c:pt>
                <c:pt idx="5">
                  <c:v>4.2486401566723273E-2</c:v>
                </c:pt>
                <c:pt idx="6">
                  <c:v>9.8969445667389147E-2</c:v>
                </c:pt>
              </c:numCache>
            </c:numRef>
          </c:val>
          <c:extLst>
            <c:ext xmlns:c16="http://schemas.microsoft.com/office/drawing/2014/chart" uri="{C3380CC4-5D6E-409C-BE32-E72D297353CC}">
              <c16:uniqueId val="{00000001-9736-4843-9ADF-05D9556E2513}"/>
            </c:ext>
          </c:extLst>
        </c:ser>
        <c:ser>
          <c:idx val="2"/>
          <c:order val="2"/>
          <c:tx>
            <c:strRef>
              <c:f>'EDC CLI'!$D$2</c:f>
              <c:strCache>
                <c:ptCount val="1"/>
                <c:pt idx="0">
                  <c:v>2014</c:v>
                </c:pt>
              </c:strCache>
            </c:strRef>
          </c:tx>
          <c:spPr>
            <a:solidFill>
              <a:schemeClr val="accent3"/>
            </a:solidFill>
            <a:ln>
              <a:noFill/>
            </a:ln>
            <a:effectLst/>
          </c:spPr>
          <c:invertIfNegative val="0"/>
          <c:cat>
            <c:strRef>
              <c:f>'EDC CLI'!$A$3:$A$9</c:f>
              <c:strCache>
                <c:ptCount val="7"/>
                <c:pt idx="0">
                  <c:v>Duquesne</c:v>
                </c:pt>
                <c:pt idx="1">
                  <c:v>Met Ed</c:v>
                </c:pt>
                <c:pt idx="2">
                  <c:v>PECO Electric</c:v>
                </c:pt>
                <c:pt idx="3">
                  <c:v>Penelec</c:v>
                </c:pt>
                <c:pt idx="4">
                  <c:v>Penn Power</c:v>
                </c:pt>
                <c:pt idx="5">
                  <c:v>PPL</c:v>
                </c:pt>
                <c:pt idx="6">
                  <c:v>West Penn</c:v>
                </c:pt>
              </c:strCache>
            </c:strRef>
          </c:cat>
          <c:val>
            <c:numRef>
              <c:f>'EDC CLI'!$D$3:$D$9</c:f>
              <c:numCache>
                <c:formatCode>0.00%</c:formatCode>
                <c:ptCount val="7"/>
                <c:pt idx="0">
                  <c:v>4.2023519034789104E-2</c:v>
                </c:pt>
                <c:pt idx="1">
                  <c:v>0.15456610333113949</c:v>
                </c:pt>
                <c:pt idx="2">
                  <c:v>2.4938961250793684E-2</c:v>
                </c:pt>
                <c:pt idx="3">
                  <c:v>0.1421912549575084</c:v>
                </c:pt>
                <c:pt idx="4">
                  <c:v>0.1366141963359257</c:v>
                </c:pt>
                <c:pt idx="5">
                  <c:v>3.9455716573836237E-2</c:v>
                </c:pt>
                <c:pt idx="6">
                  <c:v>0.11012341345999091</c:v>
                </c:pt>
              </c:numCache>
            </c:numRef>
          </c:val>
          <c:extLst>
            <c:ext xmlns:c16="http://schemas.microsoft.com/office/drawing/2014/chart" uri="{C3380CC4-5D6E-409C-BE32-E72D297353CC}">
              <c16:uniqueId val="{00000002-9736-4843-9ADF-05D9556E2513}"/>
            </c:ext>
          </c:extLst>
        </c:ser>
        <c:ser>
          <c:idx val="3"/>
          <c:order val="3"/>
          <c:tx>
            <c:strRef>
              <c:f>'EDC CLI'!$E$2</c:f>
              <c:strCache>
                <c:ptCount val="1"/>
                <c:pt idx="0">
                  <c:v>2015</c:v>
                </c:pt>
              </c:strCache>
            </c:strRef>
          </c:tx>
          <c:spPr>
            <a:solidFill>
              <a:schemeClr val="accent4"/>
            </a:solidFill>
            <a:ln>
              <a:noFill/>
            </a:ln>
            <a:effectLst/>
          </c:spPr>
          <c:invertIfNegative val="0"/>
          <c:cat>
            <c:strRef>
              <c:f>'EDC CLI'!$A$3:$A$9</c:f>
              <c:strCache>
                <c:ptCount val="7"/>
                <c:pt idx="0">
                  <c:v>Duquesne</c:v>
                </c:pt>
                <c:pt idx="1">
                  <c:v>Met Ed</c:v>
                </c:pt>
                <c:pt idx="2">
                  <c:v>PECO Electric</c:v>
                </c:pt>
                <c:pt idx="3">
                  <c:v>Penelec</c:v>
                </c:pt>
                <c:pt idx="4">
                  <c:v>Penn Power</c:v>
                </c:pt>
                <c:pt idx="5">
                  <c:v>PPL</c:v>
                </c:pt>
                <c:pt idx="6">
                  <c:v>West Penn</c:v>
                </c:pt>
              </c:strCache>
            </c:strRef>
          </c:cat>
          <c:val>
            <c:numRef>
              <c:f>'EDC CLI'!$E$3:$E$9</c:f>
              <c:numCache>
                <c:formatCode>0.00%</c:formatCode>
                <c:ptCount val="7"/>
                <c:pt idx="0">
                  <c:v>2.1056395042922241E-2</c:v>
                </c:pt>
                <c:pt idx="1">
                  <c:v>0.11311149892436824</c:v>
                </c:pt>
                <c:pt idx="2">
                  <c:v>2.3334147087867799E-2</c:v>
                </c:pt>
                <c:pt idx="3">
                  <c:v>0.10239967969787758</c:v>
                </c:pt>
                <c:pt idx="4">
                  <c:v>0.10066004284553447</c:v>
                </c:pt>
                <c:pt idx="5">
                  <c:v>4.1527006974292048E-2</c:v>
                </c:pt>
                <c:pt idx="6">
                  <c:v>7.6535319190428802E-2</c:v>
                </c:pt>
              </c:numCache>
            </c:numRef>
          </c:val>
          <c:extLst>
            <c:ext xmlns:c16="http://schemas.microsoft.com/office/drawing/2014/chart" uri="{C3380CC4-5D6E-409C-BE32-E72D297353CC}">
              <c16:uniqueId val="{00000003-9736-4843-9ADF-05D9556E2513}"/>
            </c:ext>
          </c:extLst>
        </c:ser>
        <c:ser>
          <c:idx val="4"/>
          <c:order val="4"/>
          <c:tx>
            <c:strRef>
              <c:f>'EDC CLI'!$F$2</c:f>
              <c:strCache>
                <c:ptCount val="1"/>
                <c:pt idx="0">
                  <c:v>2016</c:v>
                </c:pt>
              </c:strCache>
            </c:strRef>
          </c:tx>
          <c:spPr>
            <a:solidFill>
              <a:schemeClr val="accent5"/>
            </a:solidFill>
            <a:ln>
              <a:noFill/>
            </a:ln>
            <a:effectLst/>
          </c:spPr>
          <c:invertIfNegative val="0"/>
          <c:cat>
            <c:strRef>
              <c:f>'EDC CLI'!$A$3:$A$9</c:f>
              <c:strCache>
                <c:ptCount val="7"/>
                <c:pt idx="0">
                  <c:v>Duquesne</c:v>
                </c:pt>
                <c:pt idx="1">
                  <c:v>Met Ed</c:v>
                </c:pt>
                <c:pt idx="2">
                  <c:v>PECO Electric</c:v>
                </c:pt>
                <c:pt idx="3">
                  <c:v>Penelec</c:v>
                </c:pt>
                <c:pt idx="4">
                  <c:v>Penn Power</c:v>
                </c:pt>
                <c:pt idx="5">
                  <c:v>PPL</c:v>
                </c:pt>
                <c:pt idx="6">
                  <c:v>West Penn</c:v>
                </c:pt>
              </c:strCache>
            </c:strRef>
          </c:cat>
          <c:val>
            <c:numRef>
              <c:f>'EDC CLI'!$F$3:$F$9</c:f>
              <c:numCache>
                <c:formatCode>0.00%</c:formatCode>
                <c:ptCount val="7"/>
                <c:pt idx="0">
                  <c:v>1.3821844849556418E-2</c:v>
                </c:pt>
                <c:pt idx="1">
                  <c:v>0.10257895165816358</c:v>
                </c:pt>
                <c:pt idx="2">
                  <c:v>2.5865260085690938E-2</c:v>
                </c:pt>
                <c:pt idx="3">
                  <c:v>9.282996395992564E-2</c:v>
                </c:pt>
                <c:pt idx="4">
                  <c:v>0.10825133406549692</c:v>
                </c:pt>
                <c:pt idx="5">
                  <c:v>3.1791898768904168E-2</c:v>
                </c:pt>
                <c:pt idx="6">
                  <c:v>7.3123799263555916E-2</c:v>
                </c:pt>
              </c:numCache>
            </c:numRef>
          </c:val>
          <c:extLst>
            <c:ext xmlns:c16="http://schemas.microsoft.com/office/drawing/2014/chart" uri="{C3380CC4-5D6E-409C-BE32-E72D297353CC}">
              <c16:uniqueId val="{00000004-9736-4843-9ADF-05D9556E2513}"/>
            </c:ext>
          </c:extLst>
        </c:ser>
        <c:dLbls>
          <c:showLegendKey val="0"/>
          <c:showVal val="0"/>
          <c:showCatName val="0"/>
          <c:showSerName val="0"/>
          <c:showPercent val="0"/>
          <c:showBubbleSize val="0"/>
        </c:dLbls>
        <c:gapWidth val="219"/>
        <c:overlap val="-27"/>
        <c:axId val="477324072"/>
        <c:axId val="477330632"/>
        <c:extLst>
          <c:ext xmlns:c15="http://schemas.microsoft.com/office/drawing/2012/chart" uri="{02D57815-91ED-43cb-92C2-25804820EDAC}">
            <c15:filteredBarSeries>
              <c15:ser>
                <c:idx val="5"/>
                <c:order val="5"/>
                <c:tx>
                  <c:strRef>
                    <c:extLst>
                      <c:ext uri="{02D57815-91ED-43cb-92C2-25804820EDAC}">
                        <c15:formulaRef>
                          <c15:sqref>'EDC CLI'!$G$2</c15:sqref>
                        </c15:formulaRef>
                      </c:ext>
                    </c:extLst>
                    <c:strCache>
                      <c:ptCount val="1"/>
                    </c:strCache>
                  </c:strRef>
                </c:tx>
                <c:spPr>
                  <a:solidFill>
                    <a:schemeClr val="accent6"/>
                  </a:solidFill>
                  <a:ln>
                    <a:noFill/>
                  </a:ln>
                  <a:effectLst/>
                </c:spPr>
                <c:invertIfNegative val="0"/>
                <c:cat>
                  <c:strRef>
                    <c:extLst>
                      <c:ext uri="{02D57815-91ED-43cb-92C2-25804820EDAC}">
                        <c15:formulaRef>
                          <c15:sqref>'EDC CLI'!$A$3:$A$9</c15:sqref>
                        </c15:formulaRef>
                      </c:ext>
                    </c:extLst>
                    <c:strCache>
                      <c:ptCount val="7"/>
                      <c:pt idx="0">
                        <c:v>Duquesne</c:v>
                      </c:pt>
                      <c:pt idx="1">
                        <c:v>Met Ed</c:v>
                      </c:pt>
                      <c:pt idx="2">
                        <c:v>PECO Electric</c:v>
                      </c:pt>
                      <c:pt idx="3">
                        <c:v>Penelec</c:v>
                      </c:pt>
                      <c:pt idx="4">
                        <c:v>Penn Power</c:v>
                      </c:pt>
                      <c:pt idx="5">
                        <c:v>PPL</c:v>
                      </c:pt>
                      <c:pt idx="6">
                        <c:v>West Penn</c:v>
                      </c:pt>
                    </c:strCache>
                  </c:strRef>
                </c:cat>
                <c:val>
                  <c:numRef>
                    <c:extLst>
                      <c:ext uri="{02D57815-91ED-43cb-92C2-25804820EDAC}">
                        <c15:formulaRef>
                          <c15:sqref>'EDC CLI'!$G$3:$G$9</c15:sqref>
                        </c15:formulaRef>
                      </c:ext>
                    </c:extLst>
                    <c:numCache>
                      <c:formatCode>General</c:formatCode>
                      <c:ptCount val="7"/>
                    </c:numCache>
                  </c:numRef>
                </c:val>
                <c:extLst>
                  <c:ext xmlns:c16="http://schemas.microsoft.com/office/drawing/2014/chart" uri="{C3380CC4-5D6E-409C-BE32-E72D297353CC}">
                    <c16:uniqueId val="{00000005-9736-4843-9ADF-05D9556E2513}"/>
                  </c:ext>
                </c:extLst>
              </c15:ser>
            </c15:filteredBarSeries>
          </c:ext>
        </c:extLst>
      </c:barChart>
      <c:catAx>
        <c:axId val="47732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330632"/>
        <c:crosses val="autoZero"/>
        <c:auto val="1"/>
        <c:lblAlgn val="ctr"/>
        <c:lblOffset val="100"/>
        <c:noMultiLvlLbl val="0"/>
      </c:catAx>
      <c:valAx>
        <c:axId val="477330632"/>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32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'NGDC CLI'!$J$2</c:f>
              <c:strCache>
                <c:ptCount val="1"/>
                <c:pt idx="0">
                  <c:v>2012</c:v>
                </c:pt>
              </c:strCache>
            </c:strRef>
          </c:tx>
          <c:spPr>
            <a:solidFill>
              <a:schemeClr val="accent1"/>
            </a:solidFill>
            <a:ln>
              <a:noFill/>
            </a:ln>
            <a:effectLst/>
          </c:spPr>
          <c:invertIfNegative val="0"/>
          <c:cat>
            <c:strRef>
              <c:f>'NGDC CLI'!$I$3:$I$10</c:f>
              <c:strCache>
                <c:ptCount val="8"/>
                <c:pt idx="0">
                  <c:v>Columbia</c:v>
                </c:pt>
                <c:pt idx="1">
                  <c:v>NFG</c:v>
                </c:pt>
                <c:pt idx="2">
                  <c:v>PECO Gas</c:v>
                </c:pt>
                <c:pt idx="3">
                  <c:v>Peoples</c:v>
                </c:pt>
                <c:pt idx="4">
                  <c:v>EQT</c:v>
                </c:pt>
                <c:pt idx="5">
                  <c:v>PGW</c:v>
                </c:pt>
                <c:pt idx="6">
                  <c:v>UGI Gas</c:v>
                </c:pt>
                <c:pt idx="7">
                  <c:v>UGI PNG</c:v>
                </c:pt>
              </c:strCache>
            </c:strRef>
          </c:cat>
          <c:val>
            <c:numRef>
              <c:f>'NGDC CLI'!$J$3:$J$10</c:f>
              <c:numCache>
                <c:formatCode>0.00%</c:formatCode>
                <c:ptCount val="8"/>
                <c:pt idx="0">
                  <c:v>2.4095397734462325E-2</c:v>
                </c:pt>
                <c:pt idx="1">
                  <c:v>4.7917151660810647E-2</c:v>
                </c:pt>
                <c:pt idx="2">
                  <c:v>0.16588877148647407</c:v>
                </c:pt>
                <c:pt idx="3">
                  <c:v>5.1532803820082539E-2</c:v>
                </c:pt>
                <c:pt idx="4">
                  <c:v>2.28397268122041E-2</c:v>
                </c:pt>
                <c:pt idx="5">
                  <c:v>3.0533680833388487E-2</c:v>
                </c:pt>
                <c:pt idx="6">
                  <c:v>7.7778922815478754E-2</c:v>
                </c:pt>
                <c:pt idx="7">
                  <c:v>6.1382722870272945E-2</c:v>
                </c:pt>
              </c:numCache>
            </c:numRef>
          </c:val>
          <c:extLst>
            <c:ext xmlns:c16="http://schemas.microsoft.com/office/drawing/2014/chart" uri="{C3380CC4-5D6E-409C-BE32-E72D297353CC}">
              <c16:uniqueId val="{00000000-7855-47A6-B07C-7B1E65F6D706}"/>
            </c:ext>
          </c:extLst>
        </c:ser>
        <c:ser>
          <c:idx val="1"/>
          <c:order val="1"/>
          <c:tx>
            <c:strRef>
              <c:f>'NGDC CLI'!$K$2</c:f>
              <c:strCache>
                <c:ptCount val="1"/>
                <c:pt idx="0">
                  <c:v>2013</c:v>
                </c:pt>
              </c:strCache>
            </c:strRef>
          </c:tx>
          <c:spPr>
            <a:solidFill>
              <a:schemeClr val="accent2"/>
            </a:solidFill>
            <a:ln>
              <a:noFill/>
            </a:ln>
            <a:effectLst/>
          </c:spPr>
          <c:invertIfNegative val="0"/>
          <c:cat>
            <c:strRef>
              <c:f>'NGDC CLI'!$I$3:$I$10</c:f>
              <c:strCache>
                <c:ptCount val="8"/>
                <c:pt idx="0">
                  <c:v>Columbia</c:v>
                </c:pt>
                <c:pt idx="1">
                  <c:v>NFG</c:v>
                </c:pt>
                <c:pt idx="2">
                  <c:v>PECO Gas</c:v>
                </c:pt>
                <c:pt idx="3">
                  <c:v>Peoples</c:v>
                </c:pt>
                <c:pt idx="4">
                  <c:v>EQT</c:v>
                </c:pt>
                <c:pt idx="5">
                  <c:v>PGW</c:v>
                </c:pt>
                <c:pt idx="6">
                  <c:v>UGI Gas</c:v>
                </c:pt>
                <c:pt idx="7">
                  <c:v>UGI PNG</c:v>
                </c:pt>
              </c:strCache>
            </c:strRef>
          </c:cat>
          <c:val>
            <c:numRef>
              <c:f>'NGDC CLI'!$K$3:$K$10</c:f>
              <c:numCache>
                <c:formatCode>0.00%</c:formatCode>
                <c:ptCount val="8"/>
                <c:pt idx="0">
                  <c:v>1.1267176008515152E-2</c:v>
                </c:pt>
                <c:pt idx="1">
                  <c:v>4.7151905593830402E-2</c:v>
                </c:pt>
                <c:pt idx="2">
                  <c:v>0.1747691727135558</c:v>
                </c:pt>
                <c:pt idx="3">
                  <c:v>4.3678179096829896E-2</c:v>
                </c:pt>
                <c:pt idx="4">
                  <c:v>2.3210707756152586E-2</c:v>
                </c:pt>
                <c:pt idx="5">
                  <c:v>5.0183213356438987E-2</c:v>
                </c:pt>
                <c:pt idx="6">
                  <c:v>9.8289016251072711E-2</c:v>
                </c:pt>
                <c:pt idx="7">
                  <c:v>7.538436923592963E-2</c:v>
                </c:pt>
              </c:numCache>
            </c:numRef>
          </c:val>
          <c:extLst>
            <c:ext xmlns:c16="http://schemas.microsoft.com/office/drawing/2014/chart" uri="{C3380CC4-5D6E-409C-BE32-E72D297353CC}">
              <c16:uniqueId val="{00000001-7855-47A6-B07C-7B1E65F6D706}"/>
            </c:ext>
          </c:extLst>
        </c:ser>
        <c:ser>
          <c:idx val="2"/>
          <c:order val="2"/>
          <c:tx>
            <c:strRef>
              <c:f>'NGDC CLI'!$L$2</c:f>
              <c:strCache>
                <c:ptCount val="1"/>
                <c:pt idx="0">
                  <c:v>2014</c:v>
                </c:pt>
              </c:strCache>
            </c:strRef>
          </c:tx>
          <c:spPr>
            <a:solidFill>
              <a:schemeClr val="accent3"/>
            </a:solidFill>
            <a:ln>
              <a:noFill/>
            </a:ln>
            <a:effectLst/>
          </c:spPr>
          <c:invertIfNegative val="0"/>
          <c:cat>
            <c:strRef>
              <c:f>'NGDC CLI'!$I$3:$I$10</c:f>
              <c:strCache>
                <c:ptCount val="8"/>
                <c:pt idx="0">
                  <c:v>Columbia</c:v>
                </c:pt>
                <c:pt idx="1">
                  <c:v>NFG</c:v>
                </c:pt>
                <c:pt idx="2">
                  <c:v>PECO Gas</c:v>
                </c:pt>
                <c:pt idx="3">
                  <c:v>Peoples</c:v>
                </c:pt>
                <c:pt idx="4">
                  <c:v>EQT</c:v>
                </c:pt>
                <c:pt idx="5">
                  <c:v>PGW</c:v>
                </c:pt>
                <c:pt idx="6">
                  <c:v>UGI Gas</c:v>
                </c:pt>
                <c:pt idx="7">
                  <c:v>UGI PNG</c:v>
                </c:pt>
              </c:strCache>
            </c:strRef>
          </c:cat>
          <c:val>
            <c:numRef>
              <c:f>'NGDC CLI'!$L$3:$L$10</c:f>
              <c:numCache>
                <c:formatCode>0.00%</c:formatCode>
                <c:ptCount val="8"/>
                <c:pt idx="0">
                  <c:v>1.7490419546879184E-2</c:v>
                </c:pt>
                <c:pt idx="1">
                  <c:v>4.544842132756275E-2</c:v>
                </c:pt>
                <c:pt idx="2">
                  <c:v>9.3789473455522937E-2</c:v>
                </c:pt>
                <c:pt idx="3">
                  <c:v>2.4376842876459096E-2</c:v>
                </c:pt>
                <c:pt idx="4">
                  <c:v>2.2811165625484572E-2</c:v>
                </c:pt>
                <c:pt idx="5">
                  <c:v>6.0612606390639784E-2</c:v>
                </c:pt>
                <c:pt idx="6">
                  <c:v>0.11951354013551123</c:v>
                </c:pt>
                <c:pt idx="7">
                  <c:v>8.8341335289351036E-2</c:v>
                </c:pt>
              </c:numCache>
            </c:numRef>
          </c:val>
          <c:extLst>
            <c:ext xmlns:c16="http://schemas.microsoft.com/office/drawing/2014/chart" uri="{C3380CC4-5D6E-409C-BE32-E72D297353CC}">
              <c16:uniqueId val="{00000002-7855-47A6-B07C-7B1E65F6D706}"/>
            </c:ext>
          </c:extLst>
        </c:ser>
        <c:ser>
          <c:idx val="3"/>
          <c:order val="3"/>
          <c:tx>
            <c:strRef>
              <c:f>'NGDC CLI'!$M$2</c:f>
              <c:strCache>
                <c:ptCount val="1"/>
                <c:pt idx="0">
                  <c:v>2015</c:v>
                </c:pt>
              </c:strCache>
            </c:strRef>
          </c:tx>
          <c:spPr>
            <a:solidFill>
              <a:schemeClr val="accent4"/>
            </a:solidFill>
            <a:ln>
              <a:noFill/>
            </a:ln>
            <a:effectLst/>
          </c:spPr>
          <c:invertIfNegative val="0"/>
          <c:cat>
            <c:strRef>
              <c:f>'NGDC CLI'!$I$3:$I$10</c:f>
              <c:strCache>
                <c:ptCount val="8"/>
                <c:pt idx="0">
                  <c:v>Columbia</c:v>
                </c:pt>
                <c:pt idx="1">
                  <c:v>NFG</c:v>
                </c:pt>
                <c:pt idx="2">
                  <c:v>PECO Gas</c:v>
                </c:pt>
                <c:pt idx="3">
                  <c:v>Peoples</c:v>
                </c:pt>
                <c:pt idx="4">
                  <c:v>EQT</c:v>
                </c:pt>
                <c:pt idx="5">
                  <c:v>PGW</c:v>
                </c:pt>
                <c:pt idx="6">
                  <c:v>UGI Gas</c:v>
                </c:pt>
                <c:pt idx="7">
                  <c:v>UGI PNG</c:v>
                </c:pt>
              </c:strCache>
            </c:strRef>
          </c:cat>
          <c:val>
            <c:numRef>
              <c:f>'NGDC CLI'!$M$3:$M$10</c:f>
              <c:numCache>
                <c:formatCode>0.00%</c:formatCode>
                <c:ptCount val="8"/>
                <c:pt idx="0">
                  <c:v>2.1545067726269219E-2</c:v>
                </c:pt>
                <c:pt idx="1">
                  <c:v>5.7566223184096994E-2</c:v>
                </c:pt>
                <c:pt idx="2">
                  <c:v>9.663672015800398E-2</c:v>
                </c:pt>
                <c:pt idx="3">
                  <c:v>2.8313236554275305E-2</c:v>
                </c:pt>
                <c:pt idx="4">
                  <c:v>2.2485887892590966E-2</c:v>
                </c:pt>
                <c:pt idx="5">
                  <c:v>4.7068928546065224E-2</c:v>
                </c:pt>
                <c:pt idx="6">
                  <c:v>0.12104325182339175</c:v>
                </c:pt>
                <c:pt idx="7">
                  <c:v>8.6772453395637245E-2</c:v>
                </c:pt>
              </c:numCache>
            </c:numRef>
          </c:val>
          <c:extLst>
            <c:ext xmlns:c16="http://schemas.microsoft.com/office/drawing/2014/chart" uri="{C3380CC4-5D6E-409C-BE32-E72D297353CC}">
              <c16:uniqueId val="{00000003-7855-47A6-B07C-7B1E65F6D706}"/>
            </c:ext>
          </c:extLst>
        </c:ser>
        <c:ser>
          <c:idx val="4"/>
          <c:order val="4"/>
          <c:tx>
            <c:strRef>
              <c:f>'NGDC CLI'!$N$2</c:f>
              <c:strCache>
                <c:ptCount val="1"/>
                <c:pt idx="0">
                  <c:v>2016</c:v>
                </c:pt>
              </c:strCache>
            </c:strRef>
          </c:tx>
          <c:spPr>
            <a:solidFill>
              <a:schemeClr val="accent5"/>
            </a:solidFill>
            <a:ln>
              <a:noFill/>
            </a:ln>
            <a:effectLst/>
          </c:spPr>
          <c:invertIfNegative val="0"/>
          <c:cat>
            <c:strRef>
              <c:f>'NGDC CLI'!$I$3:$I$10</c:f>
              <c:strCache>
                <c:ptCount val="8"/>
                <c:pt idx="0">
                  <c:v>Columbia</c:v>
                </c:pt>
                <c:pt idx="1">
                  <c:v>NFG</c:v>
                </c:pt>
                <c:pt idx="2">
                  <c:v>PECO Gas</c:v>
                </c:pt>
                <c:pt idx="3">
                  <c:v>Peoples</c:v>
                </c:pt>
                <c:pt idx="4">
                  <c:v>EQT</c:v>
                </c:pt>
                <c:pt idx="5">
                  <c:v>PGW</c:v>
                </c:pt>
                <c:pt idx="6">
                  <c:v>UGI Gas</c:v>
                </c:pt>
                <c:pt idx="7">
                  <c:v>UGI PNG</c:v>
                </c:pt>
              </c:strCache>
            </c:strRef>
          </c:cat>
          <c:val>
            <c:numRef>
              <c:f>'NGDC CLI'!$N$3:$N$10</c:f>
              <c:numCache>
                <c:formatCode>0.00%</c:formatCode>
                <c:ptCount val="8"/>
                <c:pt idx="0">
                  <c:v>2.0464738553364663E-2</c:v>
                </c:pt>
                <c:pt idx="1">
                  <c:v>8.3462969200667786E-2</c:v>
                </c:pt>
                <c:pt idx="2">
                  <c:v>9.8688882904413147E-2</c:v>
                </c:pt>
                <c:pt idx="3">
                  <c:v>1.7057418852499867E-2</c:v>
                </c:pt>
                <c:pt idx="4">
                  <c:v>3.5947539345575097E-2</c:v>
                </c:pt>
                <c:pt idx="5">
                  <c:v>1.7806665625870848E-2</c:v>
                </c:pt>
                <c:pt idx="6">
                  <c:v>0.11019127825908887</c:v>
                </c:pt>
                <c:pt idx="7">
                  <c:v>7.829905504458369E-2</c:v>
                </c:pt>
              </c:numCache>
            </c:numRef>
          </c:val>
          <c:extLst>
            <c:ext xmlns:c16="http://schemas.microsoft.com/office/drawing/2014/chart" uri="{C3380CC4-5D6E-409C-BE32-E72D297353CC}">
              <c16:uniqueId val="{00000004-7855-47A6-B07C-7B1E65F6D706}"/>
            </c:ext>
          </c:extLst>
        </c:ser>
        <c:dLbls>
          <c:showLegendKey val="0"/>
          <c:showVal val="0"/>
          <c:showCatName val="0"/>
          <c:showSerName val="0"/>
          <c:showPercent val="0"/>
          <c:showBubbleSize val="0"/>
        </c:dLbls>
        <c:gapWidth val="219"/>
        <c:overlap val="-27"/>
        <c:axId val="468814904"/>
        <c:axId val="468813264"/>
        <c:extLst>
          <c:ext xmlns:c15="http://schemas.microsoft.com/office/drawing/2012/chart" uri="{02D57815-91ED-43cb-92C2-25804820EDAC}">
            <c15:filteredBarSeries>
              <c15:ser>
                <c:idx val="5"/>
                <c:order val="5"/>
                <c:tx>
                  <c:strRef>
                    <c:extLst>
                      <c:ext uri="{02D57815-91ED-43cb-92C2-25804820EDAC}">
                        <c15:formulaRef>
                          <c15:sqref>'NGDC CLI'!$O$2</c15:sqref>
                        </c15:formulaRef>
                      </c:ext>
                    </c:extLst>
                    <c:strCache>
                      <c:ptCount val="1"/>
                    </c:strCache>
                  </c:strRef>
                </c:tx>
                <c:spPr>
                  <a:solidFill>
                    <a:schemeClr val="accent6"/>
                  </a:solidFill>
                  <a:ln>
                    <a:noFill/>
                  </a:ln>
                  <a:effectLst/>
                </c:spPr>
                <c:invertIfNegative val="0"/>
                <c:cat>
                  <c:strRef>
                    <c:extLst>
                      <c:ext uri="{02D57815-91ED-43cb-92C2-25804820EDAC}">
                        <c15:formulaRef>
                          <c15:sqref>'NGDC CLI'!$I$3:$I$10</c15:sqref>
                        </c15:formulaRef>
                      </c:ext>
                    </c:extLst>
                    <c:strCache>
                      <c:ptCount val="8"/>
                      <c:pt idx="0">
                        <c:v>Columbia</c:v>
                      </c:pt>
                      <c:pt idx="1">
                        <c:v>NFG</c:v>
                      </c:pt>
                      <c:pt idx="2">
                        <c:v>PECO Gas</c:v>
                      </c:pt>
                      <c:pt idx="3">
                        <c:v>Peoples</c:v>
                      </c:pt>
                      <c:pt idx="4">
                        <c:v>EQT</c:v>
                      </c:pt>
                      <c:pt idx="5">
                        <c:v>PGW</c:v>
                      </c:pt>
                      <c:pt idx="6">
                        <c:v>UGI Gas</c:v>
                      </c:pt>
                      <c:pt idx="7">
                        <c:v>UGI PNG</c:v>
                      </c:pt>
                    </c:strCache>
                  </c:strRef>
                </c:cat>
                <c:val>
                  <c:numRef>
                    <c:extLst>
                      <c:ext uri="{02D57815-91ED-43cb-92C2-25804820EDAC}">
                        <c15:formulaRef>
                          <c15:sqref>'NGDC CLI'!$O$3:$O$10</c15:sqref>
                        </c15:formulaRef>
                      </c:ext>
                    </c:extLst>
                    <c:numCache>
                      <c:formatCode>General</c:formatCode>
                      <c:ptCount val="8"/>
                    </c:numCache>
                  </c:numRef>
                </c:val>
                <c:extLst>
                  <c:ext xmlns:c16="http://schemas.microsoft.com/office/drawing/2014/chart" uri="{C3380CC4-5D6E-409C-BE32-E72D297353CC}">
                    <c16:uniqueId val="{00000005-7855-47A6-B07C-7B1E65F6D706}"/>
                  </c:ext>
                </c:extLst>
              </c15:ser>
            </c15:filteredBarSeries>
          </c:ext>
        </c:extLst>
      </c:barChart>
      <c:catAx>
        <c:axId val="46881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813264"/>
        <c:crosses val="autoZero"/>
        <c:auto val="1"/>
        <c:lblAlgn val="ctr"/>
        <c:lblOffset val="100"/>
        <c:noMultiLvlLbl val="0"/>
      </c:catAx>
      <c:valAx>
        <c:axId val="468813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81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'EDC CLI'!$J$2</c:f>
              <c:strCache>
                <c:ptCount val="1"/>
                <c:pt idx="0">
                  <c:v>2012</c:v>
                </c:pt>
              </c:strCache>
            </c:strRef>
          </c:tx>
          <c:spPr>
            <a:solidFill>
              <a:schemeClr val="accent1"/>
            </a:solidFill>
            <a:ln>
              <a:noFill/>
            </a:ln>
            <a:effectLst/>
          </c:spPr>
          <c:invertIfNegative val="0"/>
          <c:cat>
            <c:strRef>
              <c:f>'EDC CLI'!$I$3:$I$9</c:f>
              <c:strCache>
                <c:ptCount val="7"/>
                <c:pt idx="0">
                  <c:v>Duquesne</c:v>
                </c:pt>
                <c:pt idx="1">
                  <c:v>Met Ed</c:v>
                </c:pt>
                <c:pt idx="2">
                  <c:v>PECO Electric</c:v>
                </c:pt>
                <c:pt idx="3">
                  <c:v>Penelec</c:v>
                </c:pt>
                <c:pt idx="4">
                  <c:v>Penn Power</c:v>
                </c:pt>
                <c:pt idx="5">
                  <c:v>PPL</c:v>
                </c:pt>
                <c:pt idx="6">
                  <c:v>West Penn</c:v>
                </c:pt>
              </c:strCache>
            </c:strRef>
          </c:cat>
          <c:val>
            <c:numRef>
              <c:f>'EDC CLI'!$J$3:$J$9</c:f>
              <c:numCache>
                <c:formatCode>0.00%</c:formatCode>
                <c:ptCount val="7"/>
                <c:pt idx="0">
                  <c:v>6.0958468888303641E-2</c:v>
                </c:pt>
                <c:pt idx="1">
                  <c:v>1.8809800665367252E-2</c:v>
                </c:pt>
                <c:pt idx="2">
                  <c:v>6.3345453240626709E-2</c:v>
                </c:pt>
                <c:pt idx="3">
                  <c:v>1.9158661967725824E-2</c:v>
                </c:pt>
                <c:pt idx="4">
                  <c:v>1.5347330987234162E-2</c:v>
                </c:pt>
                <c:pt idx="5">
                  <c:v>0.16875141202496846</c:v>
                </c:pt>
                <c:pt idx="6">
                  <c:v>4.8115559785467388E-2</c:v>
                </c:pt>
              </c:numCache>
            </c:numRef>
          </c:val>
          <c:extLst>
            <c:ext xmlns:c16="http://schemas.microsoft.com/office/drawing/2014/chart" uri="{C3380CC4-5D6E-409C-BE32-E72D297353CC}">
              <c16:uniqueId val="{00000000-2F0C-4CD4-8E0E-610B059D27E6}"/>
            </c:ext>
          </c:extLst>
        </c:ser>
        <c:ser>
          <c:idx val="1"/>
          <c:order val="1"/>
          <c:tx>
            <c:strRef>
              <c:f>'EDC CLI'!$K$2</c:f>
              <c:strCache>
                <c:ptCount val="1"/>
                <c:pt idx="0">
                  <c:v>2013</c:v>
                </c:pt>
              </c:strCache>
            </c:strRef>
          </c:tx>
          <c:spPr>
            <a:solidFill>
              <a:schemeClr val="accent2"/>
            </a:solidFill>
            <a:ln>
              <a:noFill/>
            </a:ln>
            <a:effectLst/>
          </c:spPr>
          <c:invertIfNegative val="0"/>
          <c:cat>
            <c:strRef>
              <c:f>'EDC CLI'!$I$3:$I$9</c:f>
              <c:strCache>
                <c:ptCount val="7"/>
                <c:pt idx="0">
                  <c:v>Duquesne</c:v>
                </c:pt>
                <c:pt idx="1">
                  <c:v>Met Ed</c:v>
                </c:pt>
                <c:pt idx="2">
                  <c:v>PECO Electric</c:v>
                </c:pt>
                <c:pt idx="3">
                  <c:v>Penelec</c:v>
                </c:pt>
                <c:pt idx="4">
                  <c:v>Penn Power</c:v>
                </c:pt>
                <c:pt idx="5">
                  <c:v>PPL</c:v>
                </c:pt>
                <c:pt idx="6">
                  <c:v>West Penn</c:v>
                </c:pt>
              </c:strCache>
            </c:strRef>
          </c:cat>
          <c:val>
            <c:numRef>
              <c:f>'EDC CLI'!$K$3:$K$9</c:f>
              <c:numCache>
                <c:formatCode>0.00%</c:formatCode>
                <c:ptCount val="7"/>
                <c:pt idx="0">
                  <c:v>6.4849118421942603E-2</c:v>
                </c:pt>
                <c:pt idx="1">
                  <c:v>1.6989175578060699E-2</c:v>
                </c:pt>
                <c:pt idx="2">
                  <c:v>7.7929514999787342E-2</c:v>
                </c:pt>
                <c:pt idx="3">
                  <c:v>1.824304585354386E-2</c:v>
                </c:pt>
                <c:pt idx="4">
                  <c:v>1.6353317861314099E-2</c:v>
                </c:pt>
                <c:pt idx="5">
                  <c:v>0.15429394476155753</c:v>
                </c:pt>
                <c:pt idx="6">
                  <c:v>2.3541724678146039E-2</c:v>
                </c:pt>
              </c:numCache>
            </c:numRef>
          </c:val>
          <c:extLst>
            <c:ext xmlns:c16="http://schemas.microsoft.com/office/drawing/2014/chart" uri="{C3380CC4-5D6E-409C-BE32-E72D297353CC}">
              <c16:uniqueId val="{00000001-2F0C-4CD4-8E0E-610B059D27E6}"/>
            </c:ext>
          </c:extLst>
        </c:ser>
        <c:ser>
          <c:idx val="2"/>
          <c:order val="2"/>
          <c:tx>
            <c:strRef>
              <c:f>'EDC CLI'!$L$2</c:f>
              <c:strCache>
                <c:ptCount val="1"/>
                <c:pt idx="0">
                  <c:v>2014</c:v>
                </c:pt>
              </c:strCache>
            </c:strRef>
          </c:tx>
          <c:spPr>
            <a:solidFill>
              <a:schemeClr val="accent3"/>
            </a:solidFill>
            <a:ln>
              <a:noFill/>
            </a:ln>
            <a:effectLst/>
          </c:spPr>
          <c:invertIfNegative val="0"/>
          <c:cat>
            <c:strRef>
              <c:f>'EDC CLI'!$I$3:$I$9</c:f>
              <c:strCache>
                <c:ptCount val="7"/>
                <c:pt idx="0">
                  <c:v>Duquesne</c:v>
                </c:pt>
                <c:pt idx="1">
                  <c:v>Met Ed</c:v>
                </c:pt>
                <c:pt idx="2">
                  <c:v>PECO Electric</c:v>
                </c:pt>
                <c:pt idx="3">
                  <c:v>Penelec</c:v>
                </c:pt>
                <c:pt idx="4">
                  <c:v>Penn Power</c:v>
                </c:pt>
                <c:pt idx="5">
                  <c:v>PPL</c:v>
                </c:pt>
                <c:pt idx="6">
                  <c:v>West Penn</c:v>
                </c:pt>
              </c:strCache>
            </c:strRef>
          </c:cat>
          <c:val>
            <c:numRef>
              <c:f>'EDC CLI'!$L$3:$L$9</c:f>
              <c:numCache>
                <c:formatCode>0.00%</c:formatCode>
                <c:ptCount val="7"/>
                <c:pt idx="0">
                  <c:v>8.704339874643291E-2</c:v>
                </c:pt>
                <c:pt idx="1">
                  <c:v>2.3678811528216902E-2</c:v>
                </c:pt>
                <c:pt idx="2">
                  <c:v>4.8729087101192281E-2</c:v>
                </c:pt>
                <c:pt idx="3">
                  <c:v>2.2753648366109044E-2</c:v>
                </c:pt>
                <c:pt idx="4">
                  <c:v>2.0436755133566797E-2</c:v>
                </c:pt>
                <c:pt idx="5">
                  <c:v>0.13753720014591023</c:v>
                </c:pt>
                <c:pt idx="6">
                  <c:v>2.2420250129861503E-2</c:v>
                </c:pt>
              </c:numCache>
            </c:numRef>
          </c:val>
          <c:extLst>
            <c:ext xmlns:c16="http://schemas.microsoft.com/office/drawing/2014/chart" uri="{C3380CC4-5D6E-409C-BE32-E72D297353CC}">
              <c16:uniqueId val="{00000002-2F0C-4CD4-8E0E-610B059D27E6}"/>
            </c:ext>
          </c:extLst>
        </c:ser>
        <c:ser>
          <c:idx val="3"/>
          <c:order val="3"/>
          <c:tx>
            <c:strRef>
              <c:f>'EDC CLI'!$M$2</c:f>
              <c:strCache>
                <c:ptCount val="1"/>
                <c:pt idx="0">
                  <c:v>2015</c:v>
                </c:pt>
              </c:strCache>
            </c:strRef>
          </c:tx>
          <c:spPr>
            <a:solidFill>
              <a:schemeClr val="accent4"/>
            </a:solidFill>
            <a:ln>
              <a:noFill/>
            </a:ln>
            <a:effectLst/>
          </c:spPr>
          <c:invertIfNegative val="0"/>
          <c:cat>
            <c:strRef>
              <c:f>'EDC CLI'!$I$3:$I$9</c:f>
              <c:strCache>
                <c:ptCount val="7"/>
                <c:pt idx="0">
                  <c:v>Duquesne</c:v>
                </c:pt>
                <c:pt idx="1">
                  <c:v>Met Ed</c:v>
                </c:pt>
                <c:pt idx="2">
                  <c:v>PECO Electric</c:v>
                </c:pt>
                <c:pt idx="3">
                  <c:v>Penelec</c:v>
                </c:pt>
                <c:pt idx="4">
                  <c:v>Penn Power</c:v>
                </c:pt>
                <c:pt idx="5">
                  <c:v>PPL</c:v>
                </c:pt>
                <c:pt idx="6">
                  <c:v>West Penn</c:v>
                </c:pt>
              </c:strCache>
            </c:strRef>
          </c:cat>
          <c:val>
            <c:numRef>
              <c:f>'EDC CLI'!$M$3:$M$9</c:f>
              <c:numCache>
                <c:formatCode>0.00%</c:formatCode>
                <c:ptCount val="7"/>
                <c:pt idx="0">
                  <c:v>4.9600641131507896E-2</c:v>
                </c:pt>
                <c:pt idx="1">
                  <c:v>2.1926788019919423E-2</c:v>
                </c:pt>
                <c:pt idx="2">
                  <c:v>3.9101154930568281E-2</c:v>
                </c:pt>
                <c:pt idx="3">
                  <c:v>2.0727660809407609E-2</c:v>
                </c:pt>
                <c:pt idx="4">
                  <c:v>2.0777572578857945E-2</c:v>
                </c:pt>
                <c:pt idx="5">
                  <c:v>0.12435929005564036</c:v>
                </c:pt>
                <c:pt idx="6">
                  <c:v>2.1209370043410721E-2</c:v>
                </c:pt>
              </c:numCache>
            </c:numRef>
          </c:val>
          <c:extLst>
            <c:ext xmlns:c16="http://schemas.microsoft.com/office/drawing/2014/chart" uri="{C3380CC4-5D6E-409C-BE32-E72D297353CC}">
              <c16:uniqueId val="{00000003-2F0C-4CD4-8E0E-610B059D27E6}"/>
            </c:ext>
          </c:extLst>
        </c:ser>
        <c:ser>
          <c:idx val="4"/>
          <c:order val="4"/>
          <c:tx>
            <c:strRef>
              <c:f>'EDC CLI'!$N$2</c:f>
              <c:strCache>
                <c:ptCount val="1"/>
                <c:pt idx="0">
                  <c:v>2016</c:v>
                </c:pt>
              </c:strCache>
            </c:strRef>
          </c:tx>
          <c:spPr>
            <a:solidFill>
              <a:schemeClr val="accent5"/>
            </a:solidFill>
            <a:ln>
              <a:noFill/>
            </a:ln>
            <a:effectLst/>
          </c:spPr>
          <c:invertIfNegative val="0"/>
          <c:cat>
            <c:strRef>
              <c:f>'EDC CLI'!$I$3:$I$9</c:f>
              <c:strCache>
                <c:ptCount val="7"/>
                <c:pt idx="0">
                  <c:v>Duquesne</c:v>
                </c:pt>
                <c:pt idx="1">
                  <c:v>Met Ed</c:v>
                </c:pt>
                <c:pt idx="2">
                  <c:v>PECO Electric</c:v>
                </c:pt>
                <c:pt idx="3">
                  <c:v>Penelec</c:v>
                </c:pt>
                <c:pt idx="4">
                  <c:v>Penn Power</c:v>
                </c:pt>
                <c:pt idx="5">
                  <c:v>PPL</c:v>
                </c:pt>
                <c:pt idx="6">
                  <c:v>West Penn</c:v>
                </c:pt>
              </c:strCache>
            </c:strRef>
          </c:cat>
          <c:val>
            <c:numRef>
              <c:f>'EDC CLI'!$N$3:$N$9</c:f>
              <c:numCache>
                <c:formatCode>0.00%</c:formatCode>
                <c:ptCount val="7"/>
                <c:pt idx="0">
                  <c:v>4.6277400935335423E-2</c:v>
                </c:pt>
                <c:pt idx="1">
                  <c:v>3.0927045795606414E-2</c:v>
                </c:pt>
                <c:pt idx="2">
                  <c:v>3.0196739761460516E-2</c:v>
                </c:pt>
                <c:pt idx="3">
                  <c:v>3.0601250027882783E-2</c:v>
                </c:pt>
                <c:pt idx="4">
                  <c:v>3.0081412137375398E-2</c:v>
                </c:pt>
                <c:pt idx="5">
                  <c:v>0.10230514545358933</c:v>
                </c:pt>
                <c:pt idx="6">
                  <c:v>3.1456185947787554E-2</c:v>
                </c:pt>
              </c:numCache>
            </c:numRef>
          </c:val>
          <c:extLst>
            <c:ext xmlns:c16="http://schemas.microsoft.com/office/drawing/2014/chart" uri="{C3380CC4-5D6E-409C-BE32-E72D297353CC}">
              <c16:uniqueId val="{00000004-2F0C-4CD4-8E0E-610B059D27E6}"/>
            </c:ext>
          </c:extLst>
        </c:ser>
        <c:dLbls>
          <c:showLegendKey val="0"/>
          <c:showVal val="0"/>
          <c:showCatName val="0"/>
          <c:showSerName val="0"/>
          <c:showPercent val="0"/>
          <c:showBubbleSize val="0"/>
        </c:dLbls>
        <c:gapWidth val="219"/>
        <c:overlap val="-27"/>
        <c:axId val="468814904"/>
        <c:axId val="468813264"/>
        <c:extLst>
          <c:ext xmlns:c15="http://schemas.microsoft.com/office/drawing/2012/chart" uri="{02D57815-91ED-43cb-92C2-25804820EDAC}">
            <c15:filteredBarSeries>
              <c15:ser>
                <c:idx val="5"/>
                <c:order val="5"/>
                <c:tx>
                  <c:strRef>
                    <c:extLst>
                      <c:ext uri="{02D57815-91ED-43cb-92C2-25804820EDAC}">
                        <c15:formulaRef>
                          <c15:sqref>'EDC CLI'!$O$2</c15:sqref>
                        </c15:formulaRef>
                      </c:ext>
                    </c:extLst>
                    <c:strCache>
                      <c:ptCount val="1"/>
                    </c:strCache>
                  </c:strRef>
                </c:tx>
                <c:spPr>
                  <a:solidFill>
                    <a:schemeClr val="accent6"/>
                  </a:solidFill>
                  <a:ln>
                    <a:noFill/>
                  </a:ln>
                  <a:effectLst/>
                </c:spPr>
                <c:invertIfNegative val="0"/>
                <c:cat>
                  <c:strRef>
                    <c:extLst>
                      <c:ext uri="{02D57815-91ED-43cb-92C2-25804820EDAC}">
                        <c15:formulaRef>
                          <c15:sqref>'EDC CLI'!$I$3:$I$9</c15:sqref>
                        </c15:formulaRef>
                      </c:ext>
                    </c:extLst>
                    <c:strCache>
                      <c:ptCount val="7"/>
                      <c:pt idx="0">
                        <c:v>Duquesne</c:v>
                      </c:pt>
                      <c:pt idx="1">
                        <c:v>Met Ed</c:v>
                      </c:pt>
                      <c:pt idx="2">
                        <c:v>PECO Electric</c:v>
                      </c:pt>
                      <c:pt idx="3">
                        <c:v>Penelec</c:v>
                      </c:pt>
                      <c:pt idx="4">
                        <c:v>Penn Power</c:v>
                      </c:pt>
                      <c:pt idx="5">
                        <c:v>PPL</c:v>
                      </c:pt>
                      <c:pt idx="6">
                        <c:v>West Penn</c:v>
                      </c:pt>
                    </c:strCache>
                  </c:strRef>
                </c:cat>
                <c:val>
                  <c:numRef>
                    <c:extLst>
                      <c:ext uri="{02D57815-91ED-43cb-92C2-25804820EDAC}">
                        <c15:formulaRef>
                          <c15:sqref>'EDC CLI'!$O$3:$O$9</c15:sqref>
                        </c15:formulaRef>
                      </c:ext>
                    </c:extLst>
                    <c:numCache>
                      <c:formatCode>General</c:formatCode>
                      <c:ptCount val="7"/>
                    </c:numCache>
                  </c:numRef>
                </c:val>
                <c:extLst>
                  <c:ext xmlns:c16="http://schemas.microsoft.com/office/drawing/2014/chart" uri="{C3380CC4-5D6E-409C-BE32-E72D297353CC}">
                    <c16:uniqueId val="{00000005-2F0C-4CD4-8E0E-610B059D27E6}"/>
                  </c:ext>
                </c:extLst>
              </c15:ser>
            </c15:filteredBarSeries>
          </c:ext>
        </c:extLst>
      </c:barChart>
      <c:catAx>
        <c:axId val="46881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813264"/>
        <c:crosses val="autoZero"/>
        <c:auto val="1"/>
        <c:lblAlgn val="ctr"/>
        <c:lblOffset val="100"/>
        <c:noMultiLvlLbl val="0"/>
      </c:catAx>
      <c:valAx>
        <c:axId val="468813264"/>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81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i="1"/>
              <a:t>Green shaded area reflects CAP Policy Statement</a:t>
            </a:r>
          </a:p>
          <a:p>
            <a:pPr>
              <a:defRPr/>
            </a:pPr>
            <a:r>
              <a:rPr lang="en-US" sz="1000" i="1"/>
              <a:t>Max Energy Burden Level Range (9-10%)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CAP!$B$85</c:f>
              <c:strCache>
                <c:ptCount val="1"/>
                <c:pt idx="0">
                  <c:v>2012</c:v>
                </c:pt>
              </c:strCache>
            </c:strRef>
          </c:tx>
          <c:spPr>
            <a:solidFill>
              <a:schemeClr val="accent1"/>
            </a:solidFill>
            <a:ln>
              <a:noFill/>
            </a:ln>
            <a:effectLst/>
          </c:spPr>
          <c:invertIfNegative val="0"/>
          <c:cat>
            <c:strRef>
              <c:f>CAP!$A$86:$A$94</c:f>
              <c:strCache>
                <c:ptCount val="7"/>
                <c:pt idx="0">
                  <c:v>Columbia</c:v>
                </c:pt>
                <c:pt idx="1">
                  <c:v>PECO Gas</c:v>
                </c:pt>
                <c:pt idx="2">
                  <c:v>Peoples</c:v>
                </c:pt>
                <c:pt idx="3">
                  <c:v>EQT</c:v>
                </c:pt>
                <c:pt idx="4">
                  <c:v>PGW</c:v>
                </c:pt>
                <c:pt idx="5">
                  <c:v>UGI Gas</c:v>
                </c:pt>
                <c:pt idx="6">
                  <c:v>UGI PNG</c:v>
                </c:pt>
              </c:strCache>
              <c:extLst/>
            </c:strRef>
          </c:cat>
          <c:val>
            <c:numRef>
              <c:f>CAP!$B$86:$B$94</c:f>
              <c:numCache>
                <c:formatCode>0.00</c:formatCode>
                <c:ptCount val="7"/>
                <c:pt idx="0">
                  <c:v>3.27</c:v>
                </c:pt>
                <c:pt idx="1">
                  <c:v>9.51</c:v>
                </c:pt>
                <c:pt idx="2">
                  <c:v>5.64</c:v>
                </c:pt>
                <c:pt idx="3">
                  <c:v>8.75</c:v>
                </c:pt>
                <c:pt idx="4">
                  <c:v>10.38</c:v>
                </c:pt>
                <c:pt idx="5">
                  <c:v>8.15</c:v>
                </c:pt>
                <c:pt idx="6">
                  <c:v>8.35</c:v>
                </c:pt>
              </c:numCache>
              <c:extLst/>
            </c:numRef>
          </c:val>
          <c:extLst>
            <c:ext xmlns:c16="http://schemas.microsoft.com/office/drawing/2014/chart" uri="{C3380CC4-5D6E-409C-BE32-E72D297353CC}">
              <c16:uniqueId val="{00000000-6B14-4A3B-8F79-BC2A9A34531C}"/>
            </c:ext>
          </c:extLst>
        </c:ser>
        <c:ser>
          <c:idx val="1"/>
          <c:order val="1"/>
          <c:tx>
            <c:strRef>
              <c:f>CAP!$C$85</c:f>
              <c:strCache>
                <c:ptCount val="1"/>
                <c:pt idx="0">
                  <c:v>2013</c:v>
                </c:pt>
              </c:strCache>
            </c:strRef>
          </c:tx>
          <c:spPr>
            <a:solidFill>
              <a:schemeClr val="accent2"/>
            </a:solidFill>
            <a:ln>
              <a:noFill/>
            </a:ln>
            <a:effectLst/>
          </c:spPr>
          <c:invertIfNegative val="0"/>
          <c:cat>
            <c:strRef>
              <c:f>CAP!$A$86:$A$94</c:f>
              <c:strCache>
                <c:ptCount val="7"/>
                <c:pt idx="0">
                  <c:v>Columbia</c:v>
                </c:pt>
                <c:pt idx="1">
                  <c:v>PECO Gas</c:v>
                </c:pt>
                <c:pt idx="2">
                  <c:v>Peoples</c:v>
                </c:pt>
                <c:pt idx="3">
                  <c:v>EQT</c:v>
                </c:pt>
                <c:pt idx="4">
                  <c:v>PGW</c:v>
                </c:pt>
                <c:pt idx="5">
                  <c:v>UGI Gas</c:v>
                </c:pt>
                <c:pt idx="6">
                  <c:v>UGI PNG</c:v>
                </c:pt>
              </c:strCache>
              <c:extLst/>
            </c:strRef>
          </c:cat>
          <c:val>
            <c:numRef>
              <c:f>CAP!$C$86:$C$94</c:f>
              <c:numCache>
                <c:formatCode>0.00</c:formatCode>
                <c:ptCount val="7"/>
                <c:pt idx="0">
                  <c:v>3.27</c:v>
                </c:pt>
                <c:pt idx="1">
                  <c:v>9.4600000000000009</c:v>
                </c:pt>
                <c:pt idx="2">
                  <c:v>5.15</c:v>
                </c:pt>
                <c:pt idx="3">
                  <c:v>7.6</c:v>
                </c:pt>
                <c:pt idx="4">
                  <c:v>10.35</c:v>
                </c:pt>
                <c:pt idx="5">
                  <c:v>7.69</c:v>
                </c:pt>
                <c:pt idx="6">
                  <c:v>8.0500000000000007</c:v>
                </c:pt>
              </c:numCache>
              <c:extLst/>
            </c:numRef>
          </c:val>
          <c:extLst>
            <c:ext xmlns:c16="http://schemas.microsoft.com/office/drawing/2014/chart" uri="{C3380CC4-5D6E-409C-BE32-E72D297353CC}">
              <c16:uniqueId val="{00000001-6B14-4A3B-8F79-BC2A9A34531C}"/>
            </c:ext>
          </c:extLst>
        </c:ser>
        <c:ser>
          <c:idx val="2"/>
          <c:order val="2"/>
          <c:tx>
            <c:strRef>
              <c:f>CAP!$D$85</c:f>
              <c:strCache>
                <c:ptCount val="1"/>
                <c:pt idx="0">
                  <c:v>2014</c:v>
                </c:pt>
              </c:strCache>
            </c:strRef>
          </c:tx>
          <c:spPr>
            <a:solidFill>
              <a:schemeClr val="accent3"/>
            </a:solidFill>
            <a:ln>
              <a:noFill/>
            </a:ln>
            <a:effectLst/>
          </c:spPr>
          <c:invertIfNegative val="0"/>
          <c:cat>
            <c:strRef>
              <c:f>CAP!$A$86:$A$94</c:f>
              <c:strCache>
                <c:ptCount val="7"/>
                <c:pt idx="0">
                  <c:v>Columbia</c:v>
                </c:pt>
                <c:pt idx="1">
                  <c:v>PECO Gas</c:v>
                </c:pt>
                <c:pt idx="2">
                  <c:v>Peoples</c:v>
                </c:pt>
                <c:pt idx="3">
                  <c:v>EQT</c:v>
                </c:pt>
                <c:pt idx="4">
                  <c:v>PGW</c:v>
                </c:pt>
                <c:pt idx="5">
                  <c:v>UGI Gas</c:v>
                </c:pt>
                <c:pt idx="6">
                  <c:v>UGI PNG</c:v>
                </c:pt>
              </c:strCache>
              <c:extLst/>
            </c:strRef>
          </c:cat>
          <c:val>
            <c:numRef>
              <c:f>CAP!$D$86:$D$94</c:f>
              <c:numCache>
                <c:formatCode>0.00</c:formatCode>
                <c:ptCount val="7"/>
                <c:pt idx="0">
                  <c:v>3.35</c:v>
                </c:pt>
                <c:pt idx="1">
                  <c:v>9.3699999999999992</c:v>
                </c:pt>
                <c:pt idx="2">
                  <c:v>5.26</c:v>
                </c:pt>
                <c:pt idx="3">
                  <c:v>6.54</c:v>
                </c:pt>
                <c:pt idx="4">
                  <c:v>10.52</c:v>
                </c:pt>
                <c:pt idx="5">
                  <c:v>5.09</c:v>
                </c:pt>
                <c:pt idx="6">
                  <c:v>5.81</c:v>
                </c:pt>
              </c:numCache>
              <c:extLst/>
            </c:numRef>
          </c:val>
          <c:extLst>
            <c:ext xmlns:c16="http://schemas.microsoft.com/office/drawing/2014/chart" uri="{C3380CC4-5D6E-409C-BE32-E72D297353CC}">
              <c16:uniqueId val="{00000002-6B14-4A3B-8F79-BC2A9A34531C}"/>
            </c:ext>
          </c:extLst>
        </c:ser>
        <c:ser>
          <c:idx val="3"/>
          <c:order val="3"/>
          <c:tx>
            <c:strRef>
              <c:f>CAP!$E$85</c:f>
              <c:strCache>
                <c:ptCount val="1"/>
                <c:pt idx="0">
                  <c:v>2015</c:v>
                </c:pt>
              </c:strCache>
            </c:strRef>
          </c:tx>
          <c:spPr>
            <a:solidFill>
              <a:schemeClr val="accent4"/>
            </a:solidFill>
            <a:ln>
              <a:noFill/>
            </a:ln>
            <a:effectLst/>
          </c:spPr>
          <c:invertIfNegative val="0"/>
          <c:cat>
            <c:strRef>
              <c:f>CAP!$A$86:$A$94</c:f>
              <c:strCache>
                <c:ptCount val="7"/>
                <c:pt idx="0">
                  <c:v>Columbia</c:v>
                </c:pt>
                <c:pt idx="1">
                  <c:v>PECO Gas</c:v>
                </c:pt>
                <c:pt idx="2">
                  <c:v>Peoples</c:v>
                </c:pt>
                <c:pt idx="3">
                  <c:v>EQT</c:v>
                </c:pt>
                <c:pt idx="4">
                  <c:v>PGW</c:v>
                </c:pt>
                <c:pt idx="5">
                  <c:v>UGI Gas</c:v>
                </c:pt>
                <c:pt idx="6">
                  <c:v>UGI PNG</c:v>
                </c:pt>
              </c:strCache>
              <c:extLst/>
            </c:strRef>
          </c:cat>
          <c:val>
            <c:numRef>
              <c:f>CAP!$E$86:$E$94</c:f>
              <c:numCache>
                <c:formatCode>0.00</c:formatCode>
                <c:ptCount val="7"/>
                <c:pt idx="0">
                  <c:v>3.27</c:v>
                </c:pt>
                <c:pt idx="1">
                  <c:v>8.64</c:v>
                </c:pt>
                <c:pt idx="2">
                  <c:v>5.61</c:v>
                </c:pt>
                <c:pt idx="3">
                  <c:v>4.5199999999999996</c:v>
                </c:pt>
                <c:pt idx="4">
                  <c:v>10.58</c:v>
                </c:pt>
                <c:pt idx="5">
                  <c:v>4.82</c:v>
                </c:pt>
                <c:pt idx="6">
                  <c:v>5.99</c:v>
                </c:pt>
              </c:numCache>
              <c:extLst/>
            </c:numRef>
          </c:val>
          <c:extLst>
            <c:ext xmlns:c16="http://schemas.microsoft.com/office/drawing/2014/chart" uri="{C3380CC4-5D6E-409C-BE32-E72D297353CC}">
              <c16:uniqueId val="{00000003-6B14-4A3B-8F79-BC2A9A34531C}"/>
            </c:ext>
          </c:extLst>
        </c:ser>
        <c:ser>
          <c:idx val="4"/>
          <c:order val="4"/>
          <c:tx>
            <c:strRef>
              <c:f>CAP!$F$85</c:f>
              <c:strCache>
                <c:ptCount val="1"/>
                <c:pt idx="0">
                  <c:v>2016</c:v>
                </c:pt>
              </c:strCache>
            </c:strRef>
          </c:tx>
          <c:spPr>
            <a:solidFill>
              <a:schemeClr val="accent5"/>
            </a:solidFill>
            <a:ln>
              <a:noFill/>
            </a:ln>
            <a:effectLst/>
          </c:spPr>
          <c:invertIfNegative val="0"/>
          <c:cat>
            <c:strRef>
              <c:f>CAP!$A$86:$A$94</c:f>
              <c:strCache>
                <c:ptCount val="7"/>
                <c:pt idx="0">
                  <c:v>Columbia</c:v>
                </c:pt>
                <c:pt idx="1">
                  <c:v>PECO Gas</c:v>
                </c:pt>
                <c:pt idx="2">
                  <c:v>Peoples</c:v>
                </c:pt>
                <c:pt idx="3">
                  <c:v>EQT</c:v>
                </c:pt>
                <c:pt idx="4">
                  <c:v>PGW</c:v>
                </c:pt>
                <c:pt idx="5">
                  <c:v>UGI Gas</c:v>
                </c:pt>
                <c:pt idx="6">
                  <c:v>UGI PNG</c:v>
                </c:pt>
              </c:strCache>
              <c:extLst/>
            </c:strRef>
          </c:cat>
          <c:val>
            <c:numRef>
              <c:f>CAP!$F$86:$F$94</c:f>
              <c:numCache>
                <c:formatCode>0.00</c:formatCode>
                <c:ptCount val="7"/>
                <c:pt idx="0">
                  <c:v>3.06</c:v>
                </c:pt>
                <c:pt idx="1">
                  <c:v>7.23</c:v>
                </c:pt>
                <c:pt idx="2">
                  <c:v>4.76</c:v>
                </c:pt>
                <c:pt idx="3">
                  <c:v>5.7</c:v>
                </c:pt>
                <c:pt idx="4">
                  <c:v>10.48</c:v>
                </c:pt>
                <c:pt idx="5">
                  <c:v>4.07</c:v>
                </c:pt>
                <c:pt idx="6">
                  <c:v>5.0999999999999996</c:v>
                </c:pt>
              </c:numCache>
              <c:extLst/>
            </c:numRef>
          </c:val>
          <c:extLst>
            <c:ext xmlns:c16="http://schemas.microsoft.com/office/drawing/2014/chart" uri="{C3380CC4-5D6E-409C-BE32-E72D297353CC}">
              <c16:uniqueId val="{00000004-6B14-4A3B-8F79-BC2A9A34531C}"/>
            </c:ext>
          </c:extLst>
        </c:ser>
        <c:dLbls>
          <c:showLegendKey val="0"/>
          <c:showVal val="0"/>
          <c:showCatName val="0"/>
          <c:showSerName val="0"/>
          <c:showPercent val="0"/>
          <c:showBubbleSize val="0"/>
        </c:dLbls>
        <c:gapWidth val="219"/>
        <c:overlap val="-27"/>
        <c:axId val="617412792"/>
        <c:axId val="617414760"/>
      </c:barChart>
      <c:catAx>
        <c:axId val="61741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414760"/>
        <c:crosses val="autoZero"/>
        <c:auto val="1"/>
        <c:lblAlgn val="ctr"/>
        <c:lblOffset val="100"/>
        <c:noMultiLvlLbl val="0"/>
      </c:catAx>
      <c:valAx>
        <c:axId val="617414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 Burden Level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412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CAP Costs'!$K$40</c:f>
              <c:strCache>
                <c:ptCount val="1"/>
                <c:pt idx="0">
                  <c:v>Columbia</c:v>
                </c:pt>
              </c:strCache>
            </c:strRef>
          </c:tx>
          <c:spPr>
            <a:solidFill>
              <a:schemeClr val="accent1"/>
            </a:solidFill>
            <a:ln>
              <a:noFill/>
            </a:ln>
            <a:effectLst/>
          </c:spPr>
          <c:invertIfNegative val="0"/>
          <c:cat>
            <c:multiLvlStrRef>
              <c:f>'Total CAP Costs'!$L$38:$U$39</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Costs'!$L$40:$U$40</c:f>
              <c:numCache>
                <c:formatCode>"$"#,##0</c:formatCode>
                <c:ptCount val="10"/>
                <c:pt idx="0">
                  <c:v>8167972</c:v>
                </c:pt>
                <c:pt idx="1">
                  <c:v>13272158</c:v>
                </c:pt>
                <c:pt idx="2">
                  <c:v>18237407</c:v>
                </c:pt>
                <c:pt idx="3">
                  <c:v>18204869</c:v>
                </c:pt>
                <c:pt idx="4">
                  <c:v>13544667</c:v>
                </c:pt>
                <c:pt idx="5" formatCode="&quot;$&quot;#,##0_);[Red]\(&quot;$&quot;#,##0\)">
                  <c:v>19668704</c:v>
                </c:pt>
                <c:pt idx="6" formatCode="&quot;$&quot;#,##0_);[Red]\(&quot;$&quot;#,##0\)">
                  <c:v>13650000</c:v>
                </c:pt>
                <c:pt idx="7" formatCode="&quot;$&quot;#,##0_);[Red]\(&quot;$&quot;#,##0\)">
                  <c:v>22718175</c:v>
                </c:pt>
                <c:pt idx="8" formatCode="&quot;$&quot;#,##0_);[Red]\(&quot;$&quot;#,##0\)">
                  <c:v>22718175</c:v>
                </c:pt>
                <c:pt idx="9" formatCode="&quot;$&quot;#,##0_);[Red]\(&quot;$&quot;#,##0\)">
                  <c:v>22718175</c:v>
                </c:pt>
              </c:numCache>
            </c:numRef>
          </c:val>
          <c:extLst>
            <c:ext xmlns:c16="http://schemas.microsoft.com/office/drawing/2014/chart" uri="{C3380CC4-5D6E-409C-BE32-E72D297353CC}">
              <c16:uniqueId val="{00000000-A717-4F0E-A3DE-7CABC5D93FF1}"/>
            </c:ext>
          </c:extLst>
        </c:ser>
        <c:ser>
          <c:idx val="1"/>
          <c:order val="1"/>
          <c:tx>
            <c:strRef>
              <c:f>'Total CAP Costs'!$K$41</c:f>
              <c:strCache>
                <c:ptCount val="1"/>
                <c:pt idx="0">
                  <c:v>NFG</c:v>
                </c:pt>
              </c:strCache>
            </c:strRef>
          </c:tx>
          <c:spPr>
            <a:solidFill>
              <a:schemeClr val="accent2"/>
            </a:solidFill>
            <a:ln>
              <a:noFill/>
            </a:ln>
            <a:effectLst/>
          </c:spPr>
          <c:invertIfNegative val="0"/>
          <c:cat>
            <c:multiLvlStrRef>
              <c:f>'Total CAP Costs'!$L$38:$U$39</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Costs'!$L$41:$U$41</c:f>
              <c:numCache>
                <c:formatCode>"$"#,##0</c:formatCode>
                <c:ptCount val="10"/>
                <c:pt idx="0">
                  <c:v>1958376</c:v>
                </c:pt>
                <c:pt idx="1">
                  <c:v>1838472</c:v>
                </c:pt>
                <c:pt idx="2">
                  <c:v>1934109</c:v>
                </c:pt>
                <c:pt idx="3">
                  <c:v>1489477</c:v>
                </c:pt>
                <c:pt idx="4">
                  <c:v>1169595</c:v>
                </c:pt>
                <c:pt idx="5" formatCode="&quot;$&quot;#,##0_);[Red]\(&quot;$&quot;#,##0\)">
                  <c:v>1199650</c:v>
                </c:pt>
                <c:pt idx="6" formatCode="&quot;$&quot;#,##0_);[Red]\(&quot;$&quot;#,##0\)">
                  <c:v>2323457</c:v>
                </c:pt>
                <c:pt idx="7" formatCode="&quot;$&quot;#,##0_);[Red]\(&quot;$&quot;#,##0\)">
                  <c:v>2434767</c:v>
                </c:pt>
                <c:pt idx="8" formatCode="&quot;$&quot;#,##0_);[Red]\(&quot;$&quot;#,##0\)">
                  <c:v>2535559</c:v>
                </c:pt>
                <c:pt idx="9" formatCode="&quot;$&quot;#,##0.00">
                  <c:v>3011407.89768661</c:v>
                </c:pt>
              </c:numCache>
            </c:numRef>
          </c:val>
          <c:extLst>
            <c:ext xmlns:c16="http://schemas.microsoft.com/office/drawing/2014/chart" uri="{C3380CC4-5D6E-409C-BE32-E72D297353CC}">
              <c16:uniqueId val="{00000001-A717-4F0E-A3DE-7CABC5D93FF1}"/>
            </c:ext>
          </c:extLst>
        </c:ser>
        <c:ser>
          <c:idx val="2"/>
          <c:order val="2"/>
          <c:tx>
            <c:strRef>
              <c:f>'Total CAP Costs'!$K$42</c:f>
              <c:strCache>
                <c:ptCount val="1"/>
                <c:pt idx="0">
                  <c:v>PECO Gas</c:v>
                </c:pt>
              </c:strCache>
            </c:strRef>
          </c:tx>
          <c:spPr>
            <a:solidFill>
              <a:schemeClr val="accent3"/>
            </a:solidFill>
            <a:ln>
              <a:noFill/>
            </a:ln>
            <a:effectLst/>
          </c:spPr>
          <c:invertIfNegative val="0"/>
          <c:cat>
            <c:multiLvlStrRef>
              <c:f>'Total CAP Costs'!$L$38:$U$39</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Costs'!$L$42:$U$42</c:f>
              <c:numCache>
                <c:formatCode>"$"#,##0</c:formatCode>
                <c:ptCount val="10"/>
                <c:pt idx="0">
                  <c:v>4555567</c:v>
                </c:pt>
                <c:pt idx="1">
                  <c:v>5219029</c:v>
                </c:pt>
                <c:pt idx="2">
                  <c:v>5294959</c:v>
                </c:pt>
                <c:pt idx="3">
                  <c:v>4905156</c:v>
                </c:pt>
                <c:pt idx="4">
                  <c:v>2857660</c:v>
                </c:pt>
                <c:pt idx="5" formatCode="&quot;$&quot;#,##0_);[Red]\(&quot;$&quot;#,##0\)">
                  <c:v>2357836</c:v>
                </c:pt>
                <c:pt idx="6">
                  <c:v>3154191.28</c:v>
                </c:pt>
                <c:pt idx="7">
                  <c:v>2435981.42</c:v>
                </c:pt>
                <c:pt idx="8">
                  <c:v>2439918.13</c:v>
                </c:pt>
                <c:pt idx="9">
                  <c:v>2564741.66</c:v>
                </c:pt>
              </c:numCache>
            </c:numRef>
          </c:val>
          <c:extLst>
            <c:ext xmlns:c16="http://schemas.microsoft.com/office/drawing/2014/chart" uri="{C3380CC4-5D6E-409C-BE32-E72D297353CC}">
              <c16:uniqueId val="{00000002-A717-4F0E-A3DE-7CABC5D93FF1}"/>
            </c:ext>
          </c:extLst>
        </c:ser>
        <c:ser>
          <c:idx val="3"/>
          <c:order val="3"/>
          <c:tx>
            <c:strRef>
              <c:f>'Total CAP Costs'!$K$43</c:f>
              <c:strCache>
                <c:ptCount val="1"/>
                <c:pt idx="0">
                  <c:v>Peoples</c:v>
                </c:pt>
              </c:strCache>
            </c:strRef>
          </c:tx>
          <c:spPr>
            <a:solidFill>
              <a:schemeClr val="accent4"/>
            </a:solidFill>
            <a:ln>
              <a:noFill/>
            </a:ln>
            <a:effectLst/>
          </c:spPr>
          <c:invertIfNegative val="0"/>
          <c:cat>
            <c:multiLvlStrRef>
              <c:f>'Total CAP Costs'!$L$38:$U$39</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Costs'!$L$43:$U$43</c:f>
              <c:numCache>
                <c:formatCode>"$"#,##0</c:formatCode>
                <c:ptCount val="10"/>
                <c:pt idx="0">
                  <c:v>6022673</c:v>
                </c:pt>
                <c:pt idx="1">
                  <c:v>8227588</c:v>
                </c:pt>
                <c:pt idx="2">
                  <c:v>11270401</c:v>
                </c:pt>
                <c:pt idx="3">
                  <c:v>12607004</c:v>
                </c:pt>
                <c:pt idx="4">
                  <c:v>6606963</c:v>
                </c:pt>
                <c:pt idx="5" formatCode="&quot;$&quot;#,##0_);[Red]\(&quot;$&quot;#,##0\)">
                  <c:v>8102420</c:v>
                </c:pt>
                <c:pt idx="6" formatCode="&quot;$&quot;#,##0_);[Red]\(&quot;$&quot;#,##0\)">
                  <c:v>5897531</c:v>
                </c:pt>
                <c:pt idx="7" formatCode="&quot;$&quot;#,##0_);[Red]\(&quot;$&quot;#,##0\)">
                  <c:v>7064231</c:v>
                </c:pt>
                <c:pt idx="8" formatCode="&quot;$&quot;#,##0_);[Red]\(&quot;$&quot;#,##0\)">
                  <c:v>7065818</c:v>
                </c:pt>
                <c:pt idx="9" formatCode="&quot;$&quot;#,##0_);[Red]\(&quot;$&quot;#,##0\)">
                  <c:v>7067452</c:v>
                </c:pt>
              </c:numCache>
            </c:numRef>
          </c:val>
          <c:extLst>
            <c:ext xmlns:c16="http://schemas.microsoft.com/office/drawing/2014/chart" uri="{C3380CC4-5D6E-409C-BE32-E72D297353CC}">
              <c16:uniqueId val="{00000003-A717-4F0E-A3DE-7CABC5D93FF1}"/>
            </c:ext>
          </c:extLst>
        </c:ser>
        <c:ser>
          <c:idx val="4"/>
          <c:order val="4"/>
          <c:tx>
            <c:strRef>
              <c:f>'Total CAP Costs'!$K$44</c:f>
              <c:strCache>
                <c:ptCount val="1"/>
                <c:pt idx="0">
                  <c:v>EQT</c:v>
                </c:pt>
              </c:strCache>
            </c:strRef>
          </c:tx>
          <c:spPr>
            <a:solidFill>
              <a:schemeClr val="accent5"/>
            </a:solidFill>
            <a:ln>
              <a:noFill/>
            </a:ln>
            <a:effectLst/>
          </c:spPr>
          <c:invertIfNegative val="0"/>
          <c:cat>
            <c:multiLvlStrRef>
              <c:f>'Total CAP Costs'!$L$38:$U$39</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Costs'!$L$44:$U$44</c:f>
              <c:numCache>
                <c:formatCode>"$"#,##0</c:formatCode>
                <c:ptCount val="10"/>
                <c:pt idx="0">
                  <c:v>6055041</c:v>
                </c:pt>
                <c:pt idx="1">
                  <c:v>7090722</c:v>
                </c:pt>
                <c:pt idx="2">
                  <c:v>9988104</c:v>
                </c:pt>
                <c:pt idx="3">
                  <c:v>8614710</c:v>
                </c:pt>
                <c:pt idx="4">
                  <c:v>3826459</c:v>
                </c:pt>
                <c:pt idx="5" formatCode="&quot;$&quot;#,##0_);[Red]\(&quot;$&quot;#,##0\)">
                  <c:v>5328722</c:v>
                </c:pt>
                <c:pt idx="6" formatCode="&quot;$&quot;#,##0_);[Red]\(&quot;$&quot;#,##0\)">
                  <c:v>3907618</c:v>
                </c:pt>
                <c:pt idx="7" formatCode="&quot;$&quot;#,##0_);[Red]\(&quot;$&quot;#,##0\)">
                  <c:v>4531268</c:v>
                </c:pt>
                <c:pt idx="8" formatCode="&quot;$&quot;#,##0_);[Red]\(&quot;$&quot;#,##0\)">
                  <c:v>4532356</c:v>
                </c:pt>
                <c:pt idx="9" formatCode="&quot;$&quot;#,##0_);[Red]\(&quot;$&quot;#,##0\)">
                  <c:v>4533476</c:v>
                </c:pt>
              </c:numCache>
            </c:numRef>
          </c:val>
          <c:extLst>
            <c:ext xmlns:c16="http://schemas.microsoft.com/office/drawing/2014/chart" uri="{C3380CC4-5D6E-409C-BE32-E72D297353CC}">
              <c16:uniqueId val="{00000004-A717-4F0E-A3DE-7CABC5D93FF1}"/>
            </c:ext>
          </c:extLst>
        </c:ser>
        <c:ser>
          <c:idx val="5"/>
          <c:order val="5"/>
          <c:tx>
            <c:strRef>
              <c:f>'Total CAP Costs'!$K$45</c:f>
              <c:strCache>
                <c:ptCount val="1"/>
                <c:pt idx="0">
                  <c:v>PGW</c:v>
                </c:pt>
              </c:strCache>
            </c:strRef>
          </c:tx>
          <c:spPr>
            <a:solidFill>
              <a:schemeClr val="accent6"/>
            </a:solidFill>
            <a:ln>
              <a:noFill/>
            </a:ln>
            <a:effectLst/>
          </c:spPr>
          <c:invertIfNegative val="0"/>
          <c:cat>
            <c:multiLvlStrRef>
              <c:f>'Total CAP Costs'!$L$38:$U$39</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Costs'!$L$45:$U$45</c:f>
              <c:numCache>
                <c:formatCode>"$"#,##0</c:formatCode>
                <c:ptCount val="10"/>
                <c:pt idx="0">
                  <c:v>73059396</c:v>
                </c:pt>
                <c:pt idx="1">
                  <c:v>77281237</c:v>
                </c:pt>
                <c:pt idx="2">
                  <c:v>71187450</c:v>
                </c:pt>
                <c:pt idx="3">
                  <c:v>56502542</c:v>
                </c:pt>
                <c:pt idx="4">
                  <c:v>47310248</c:v>
                </c:pt>
                <c:pt idx="5" formatCode="&quot;$&quot;#,##0_);[Red]\(&quot;$&quot;#,##0\)">
                  <c:v>49005928</c:v>
                </c:pt>
                <c:pt idx="6" formatCode="&quot;$&quot;#,##0_);[Red]\(&quot;$&quot;#,##0\)">
                  <c:v>56071383</c:v>
                </c:pt>
                <c:pt idx="7" formatCode="&quot;$&quot;#,##0_);[Red]\(&quot;$&quot;#,##0\)">
                  <c:v>58428965</c:v>
                </c:pt>
                <c:pt idx="8" formatCode="&quot;$&quot;#,##0_);[Red]\(&quot;$&quot;#,##0\)">
                  <c:v>59694816</c:v>
                </c:pt>
                <c:pt idx="9" formatCode="&quot;$&quot;#,##0_);[Red]\(&quot;$&quot;#,##0\)">
                  <c:v>63614523.753148563</c:v>
                </c:pt>
              </c:numCache>
            </c:numRef>
          </c:val>
          <c:extLst>
            <c:ext xmlns:c16="http://schemas.microsoft.com/office/drawing/2014/chart" uri="{C3380CC4-5D6E-409C-BE32-E72D297353CC}">
              <c16:uniqueId val="{00000005-A717-4F0E-A3DE-7CABC5D93FF1}"/>
            </c:ext>
          </c:extLst>
        </c:ser>
        <c:ser>
          <c:idx val="6"/>
          <c:order val="6"/>
          <c:tx>
            <c:strRef>
              <c:f>'Total CAP Costs'!$K$46</c:f>
              <c:strCache>
                <c:ptCount val="1"/>
                <c:pt idx="0">
                  <c:v>UGI Gas</c:v>
                </c:pt>
              </c:strCache>
            </c:strRef>
          </c:tx>
          <c:spPr>
            <a:solidFill>
              <a:schemeClr val="accent1">
                <a:lumMod val="60000"/>
              </a:schemeClr>
            </a:solidFill>
            <a:ln>
              <a:noFill/>
            </a:ln>
            <a:effectLst/>
          </c:spPr>
          <c:invertIfNegative val="0"/>
          <c:cat>
            <c:multiLvlStrRef>
              <c:f>'Total CAP Costs'!$L$38:$U$39</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Costs'!$L$46:$U$46</c:f>
              <c:numCache>
                <c:formatCode>"$"#,##0</c:formatCode>
                <c:ptCount val="10"/>
                <c:pt idx="0">
                  <c:v>2662779</c:v>
                </c:pt>
                <c:pt idx="1">
                  <c:v>3176112</c:v>
                </c:pt>
                <c:pt idx="2">
                  <c:v>2482458</c:v>
                </c:pt>
                <c:pt idx="3">
                  <c:v>4145889</c:v>
                </c:pt>
                <c:pt idx="4">
                  <c:v>2470474</c:v>
                </c:pt>
                <c:pt idx="5" formatCode="&quot;$&quot;#,##0_);[Red]\(&quot;$&quot;#,##0\)">
                  <c:v>3187005</c:v>
                </c:pt>
                <c:pt idx="6" formatCode="&quot;$&quot;#,##0_);[Red]\(&quot;$&quot;#,##0\)">
                  <c:v>3970000</c:v>
                </c:pt>
                <c:pt idx="7" formatCode="&quot;$&quot;#,##0_);[Red]\(&quot;$&quot;#,##0\)">
                  <c:v>4135000</c:v>
                </c:pt>
                <c:pt idx="8" formatCode="&quot;$&quot;#,##0_);[Red]\(&quot;$&quot;#,##0\)">
                  <c:v>4341750</c:v>
                </c:pt>
                <c:pt idx="9">
                  <c:v>4735391.2191404169</c:v>
                </c:pt>
              </c:numCache>
            </c:numRef>
          </c:val>
          <c:extLst>
            <c:ext xmlns:c16="http://schemas.microsoft.com/office/drawing/2014/chart" uri="{C3380CC4-5D6E-409C-BE32-E72D297353CC}">
              <c16:uniqueId val="{00000006-A717-4F0E-A3DE-7CABC5D93FF1}"/>
            </c:ext>
          </c:extLst>
        </c:ser>
        <c:ser>
          <c:idx val="7"/>
          <c:order val="7"/>
          <c:tx>
            <c:strRef>
              <c:f>'Total CAP Costs'!$K$47</c:f>
              <c:strCache>
                <c:ptCount val="1"/>
                <c:pt idx="0">
                  <c:v>UGI PNG</c:v>
                </c:pt>
              </c:strCache>
            </c:strRef>
          </c:tx>
          <c:spPr>
            <a:solidFill>
              <a:schemeClr val="accent2">
                <a:lumMod val="60000"/>
              </a:schemeClr>
            </a:solidFill>
            <a:ln>
              <a:noFill/>
            </a:ln>
            <a:effectLst/>
          </c:spPr>
          <c:invertIfNegative val="0"/>
          <c:cat>
            <c:multiLvlStrRef>
              <c:f>'Total CAP Costs'!$L$38:$U$39</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Costs'!$L$47:$U$47</c:f>
              <c:numCache>
                <c:formatCode>"$"#,##0</c:formatCode>
                <c:ptCount val="10"/>
                <c:pt idx="0">
                  <c:v>2782805</c:v>
                </c:pt>
                <c:pt idx="1">
                  <c:v>2852339</c:v>
                </c:pt>
                <c:pt idx="2">
                  <c:v>2299074</c:v>
                </c:pt>
                <c:pt idx="3">
                  <c:v>3747453</c:v>
                </c:pt>
                <c:pt idx="4">
                  <c:v>2137095</c:v>
                </c:pt>
                <c:pt idx="5" formatCode="&quot;$&quot;#,##0_);[Red]\(&quot;$&quot;#,##0\)">
                  <c:v>2088411</c:v>
                </c:pt>
                <c:pt idx="6" formatCode="&quot;$&quot;#,##0_);[Red]\(&quot;$&quot;#,##0\)">
                  <c:v>3025000</c:v>
                </c:pt>
                <c:pt idx="7" formatCode="&quot;$&quot;#,##0_);[Red]\(&quot;$&quot;#,##0\)">
                  <c:v>3235000</c:v>
                </c:pt>
                <c:pt idx="8" formatCode="&quot;$&quot;#,##0_);[Red]\(&quot;$&quot;#,##0\)">
                  <c:v>3396750</c:v>
                </c:pt>
                <c:pt idx="9">
                  <c:v>3863163.7817919832</c:v>
                </c:pt>
              </c:numCache>
            </c:numRef>
          </c:val>
          <c:extLst>
            <c:ext xmlns:c16="http://schemas.microsoft.com/office/drawing/2014/chart" uri="{C3380CC4-5D6E-409C-BE32-E72D297353CC}">
              <c16:uniqueId val="{00000007-A717-4F0E-A3DE-7CABC5D93FF1}"/>
            </c:ext>
          </c:extLst>
        </c:ser>
        <c:dLbls>
          <c:showLegendKey val="0"/>
          <c:showVal val="0"/>
          <c:showCatName val="0"/>
          <c:showSerName val="0"/>
          <c:showPercent val="0"/>
          <c:showBubbleSize val="0"/>
        </c:dLbls>
        <c:gapWidth val="150"/>
        <c:axId val="351120584"/>
        <c:axId val="351124520"/>
        <c:extLst>
          <c:ext xmlns:c15="http://schemas.microsoft.com/office/drawing/2012/chart" uri="{02D57815-91ED-43cb-92C2-25804820EDAC}">
            <c15:filteredBarSeries>
              <c15:ser>
                <c:idx val="8"/>
                <c:order val="8"/>
                <c:tx>
                  <c:strRef>
                    <c:extLst>
                      <c:ext uri="{02D57815-91ED-43cb-92C2-25804820EDAC}">
                        <c15:formulaRef>
                          <c15:sqref>'Total CAP Costs'!$K$48</c15:sqref>
                        </c15:formulaRef>
                      </c:ext>
                    </c:extLst>
                    <c:strCache>
                      <c:ptCount val="1"/>
                    </c:strCache>
                  </c:strRef>
                </c:tx>
                <c:spPr>
                  <a:solidFill>
                    <a:schemeClr val="accent3">
                      <a:lumMod val="60000"/>
                    </a:schemeClr>
                  </a:solidFill>
                  <a:ln>
                    <a:noFill/>
                  </a:ln>
                  <a:effectLst/>
                </c:spPr>
                <c:invertIfNegative val="0"/>
                <c:cat>
                  <c:multiLvlStrRef>
                    <c:extLst>
                      <c:ext uri="{02D57815-91ED-43cb-92C2-25804820EDAC}">
                        <c15:formulaRef>
                          <c15:sqref>'Total CAP Costs'!$L$38:$U$39</c15:sqref>
                        </c15:formulaRef>
                      </c:ext>
                    </c:extLst>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extLst>
                      <c:ext uri="{02D57815-91ED-43cb-92C2-25804820EDAC}">
                        <c15:formulaRef>
                          <c15:sqref>'Total CAP Costs'!$L$48:$U$48</c15:sqref>
                        </c15:formulaRef>
                      </c:ext>
                    </c:extLst>
                    <c:numCache>
                      <c:formatCode>General</c:formatCode>
                      <c:ptCount val="10"/>
                    </c:numCache>
                  </c:numRef>
                </c:val>
                <c:extLst>
                  <c:ext xmlns:c16="http://schemas.microsoft.com/office/drawing/2014/chart" uri="{C3380CC4-5D6E-409C-BE32-E72D297353CC}">
                    <c16:uniqueId val="{00000009-A717-4F0E-A3DE-7CABC5D93FF1}"/>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'Total CAP Costs'!$K$49</c15:sqref>
                        </c15:formulaRef>
                      </c:ext>
                    </c:extLst>
                    <c:strCache>
                      <c:ptCount val="1"/>
                    </c:strCache>
                  </c:strRef>
                </c:tx>
                <c:spPr>
                  <a:solidFill>
                    <a:schemeClr val="accent4">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'Total CAP Costs'!$L$38:$U$39</c15:sqref>
                        </c15:formulaRef>
                      </c:ext>
                    </c:extLst>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extLst xmlns:c15="http://schemas.microsoft.com/office/drawing/2012/chart">
                      <c:ext xmlns:c15="http://schemas.microsoft.com/office/drawing/2012/chart" uri="{02D57815-91ED-43cb-92C2-25804820EDAC}">
                        <c15:formulaRef>
                          <c15:sqref>'Total CAP Costs'!$L$49:$U$49</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A-A717-4F0E-A3DE-7CABC5D93FF1}"/>
                  </c:ext>
                </c:extLst>
              </c15:ser>
            </c15:filteredBarSeries>
          </c:ext>
        </c:extLst>
      </c:barChart>
      <c:lineChart>
        <c:grouping val="standard"/>
        <c:varyColors val="0"/>
        <c:ser>
          <c:idx val="10"/>
          <c:order val="10"/>
          <c:tx>
            <c:strRef>
              <c:f>'Total CAP Costs'!$K$50</c:f>
              <c:strCache>
                <c:ptCount val="1"/>
                <c:pt idx="0">
                  <c:v>Industry Average</c:v>
                </c:pt>
              </c:strCache>
            </c:strRef>
          </c:tx>
          <c:spPr>
            <a:ln w="28575" cap="rnd">
              <a:solidFill>
                <a:schemeClr val="accent4">
                  <a:lumMod val="50000"/>
                </a:schemeClr>
              </a:solidFill>
              <a:round/>
            </a:ln>
            <a:effectLst/>
          </c:spPr>
          <c:marker>
            <c:symbol val="none"/>
          </c:marker>
          <c:cat>
            <c:multiLvlStrRef>
              <c:f>'Total CAP Costs'!$L$38:$U$39</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Costs'!$L$50:$U$50</c:f>
              <c:numCache>
                <c:formatCode>"$"#,##0.00</c:formatCode>
                <c:ptCount val="10"/>
                <c:pt idx="0">
                  <c:v>13158076.125</c:v>
                </c:pt>
                <c:pt idx="1">
                  <c:v>14869707.125</c:v>
                </c:pt>
                <c:pt idx="2">
                  <c:v>15336745.25</c:v>
                </c:pt>
                <c:pt idx="3">
                  <c:v>13777137.5</c:v>
                </c:pt>
                <c:pt idx="4">
                  <c:v>9990395.125</c:v>
                </c:pt>
                <c:pt idx="5">
                  <c:v>11367334.5</c:v>
                </c:pt>
                <c:pt idx="6">
                  <c:v>11499897.535</c:v>
                </c:pt>
                <c:pt idx="7">
                  <c:v>13122923.4275</c:v>
                </c:pt>
                <c:pt idx="8">
                  <c:v>13340642.766249999</c:v>
                </c:pt>
                <c:pt idx="9">
                  <c:v>14013541.413970947</c:v>
                </c:pt>
              </c:numCache>
            </c:numRef>
          </c:val>
          <c:smooth val="0"/>
          <c:extLst>
            <c:ext xmlns:c16="http://schemas.microsoft.com/office/drawing/2014/chart" uri="{C3380CC4-5D6E-409C-BE32-E72D297353CC}">
              <c16:uniqueId val="{00000008-A717-4F0E-A3DE-7CABC5D93FF1}"/>
            </c:ext>
          </c:extLst>
        </c:ser>
        <c:dLbls>
          <c:showLegendKey val="0"/>
          <c:showVal val="0"/>
          <c:showCatName val="0"/>
          <c:showSerName val="0"/>
          <c:showPercent val="0"/>
          <c:showBubbleSize val="0"/>
        </c:dLbls>
        <c:marker val="1"/>
        <c:smooth val="0"/>
        <c:axId val="351120584"/>
        <c:axId val="351124520"/>
      </c:lineChart>
      <c:catAx>
        <c:axId val="351120584"/>
        <c:scaling>
          <c:orientation val="minMax"/>
        </c:scaling>
        <c:delete val="0"/>
        <c:axPos val="b"/>
        <c:majorGridlines>
          <c:spPr>
            <a:ln w="9525" cap="flat" cmpd="sng" algn="ctr">
              <a:solidFill>
                <a:srgbClr val="B686DA"/>
              </a:solidFill>
              <a:prstDash val="sysDash"/>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124520"/>
        <c:crosses val="autoZero"/>
        <c:auto val="1"/>
        <c:lblAlgn val="ctr"/>
        <c:lblOffset val="100"/>
        <c:noMultiLvlLbl val="0"/>
      </c:catAx>
      <c:valAx>
        <c:axId val="351124520"/>
        <c:scaling>
          <c:orientation val="minMax"/>
          <c:max val="800000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120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CAP Costs'!$K$3</c:f>
              <c:strCache>
                <c:ptCount val="1"/>
                <c:pt idx="0">
                  <c:v>Duquesne</c:v>
                </c:pt>
              </c:strCache>
            </c:strRef>
          </c:tx>
          <c:spPr>
            <a:solidFill>
              <a:schemeClr val="accent1"/>
            </a:solidFill>
            <a:ln>
              <a:noFill/>
            </a:ln>
            <a:effectLst/>
          </c:spPr>
          <c:invertIfNegative val="0"/>
          <c:cat>
            <c:multiLvlStrRef>
              <c:f>'Total CAP Costs'!$L$1:$U$2</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Costs'!$L$3:$U$3</c:f>
              <c:numCache>
                <c:formatCode>"$"#,##0</c:formatCode>
                <c:ptCount val="10"/>
                <c:pt idx="0">
                  <c:v>16680684</c:v>
                </c:pt>
                <c:pt idx="1">
                  <c:v>16549705</c:v>
                </c:pt>
                <c:pt idx="2">
                  <c:v>15888626</c:v>
                </c:pt>
                <c:pt idx="3">
                  <c:v>18984666</c:v>
                </c:pt>
                <c:pt idx="4">
                  <c:v>21244454</c:v>
                </c:pt>
                <c:pt idx="5" formatCode="&quot;$&quot;#,##0_);[Red]\(&quot;$&quot;#,##0\)">
                  <c:v>23083236</c:v>
                </c:pt>
                <c:pt idx="6" formatCode="&quot;$&quot;#,##0_);[Red]\(&quot;$&quot;#,##0\)">
                  <c:v>26652524</c:v>
                </c:pt>
                <c:pt idx="7" formatCode="&quot;$&quot;#,##0_);[Red]\(&quot;$&quot;#,##0\)">
                  <c:v>27434572</c:v>
                </c:pt>
                <c:pt idx="8">
                  <c:v>29970350.014380001</c:v>
                </c:pt>
                <c:pt idx="9">
                  <c:v>32256530.686760001</c:v>
                </c:pt>
              </c:numCache>
            </c:numRef>
          </c:val>
          <c:extLst>
            <c:ext xmlns:c16="http://schemas.microsoft.com/office/drawing/2014/chart" uri="{C3380CC4-5D6E-409C-BE32-E72D297353CC}">
              <c16:uniqueId val="{00000000-E644-4478-8E0E-DA66790DF299}"/>
            </c:ext>
          </c:extLst>
        </c:ser>
        <c:ser>
          <c:idx val="1"/>
          <c:order val="1"/>
          <c:tx>
            <c:strRef>
              <c:f>'Total CAP Costs'!$K$4</c:f>
              <c:strCache>
                <c:ptCount val="1"/>
                <c:pt idx="0">
                  <c:v>Met Ed</c:v>
                </c:pt>
              </c:strCache>
            </c:strRef>
          </c:tx>
          <c:spPr>
            <a:solidFill>
              <a:schemeClr val="accent2"/>
            </a:solidFill>
            <a:ln>
              <a:noFill/>
            </a:ln>
            <a:effectLst/>
          </c:spPr>
          <c:invertIfNegative val="0"/>
          <c:cat>
            <c:multiLvlStrRef>
              <c:f>'Total CAP Costs'!$L$1:$U$2</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Costs'!$L$4:$U$4</c:f>
              <c:numCache>
                <c:formatCode>"$"#,##0</c:formatCode>
                <c:ptCount val="10"/>
                <c:pt idx="0">
                  <c:v>28356979</c:v>
                </c:pt>
                <c:pt idx="1">
                  <c:v>22984906</c:v>
                </c:pt>
                <c:pt idx="2">
                  <c:v>17525198</c:v>
                </c:pt>
                <c:pt idx="3">
                  <c:v>15113962</c:v>
                </c:pt>
                <c:pt idx="4">
                  <c:v>14313820</c:v>
                </c:pt>
                <c:pt idx="5" formatCode="&quot;$&quot;#,##0_);[Red]\(&quot;$&quot;#,##0\)">
                  <c:v>14758527</c:v>
                </c:pt>
                <c:pt idx="6" formatCode="&quot;$&quot;#,##0_);[Red]\(&quot;$&quot;#,##0\)">
                  <c:v>16652500</c:v>
                </c:pt>
                <c:pt idx="7" formatCode="&quot;$&quot;#,##0_);[Red]\(&quot;$&quot;#,##0\)">
                  <c:v>17818900</c:v>
                </c:pt>
                <c:pt idx="8" formatCode="&quot;$&quot;#,##0_);[Red]\(&quot;$&quot;#,##0\)">
                  <c:v>17791600</c:v>
                </c:pt>
                <c:pt idx="9" formatCode="&quot;$&quot;#,##0_);[Red]\(&quot;$&quot;#,##0\)">
                  <c:v>17791600</c:v>
                </c:pt>
              </c:numCache>
            </c:numRef>
          </c:val>
          <c:extLst>
            <c:ext xmlns:c16="http://schemas.microsoft.com/office/drawing/2014/chart" uri="{C3380CC4-5D6E-409C-BE32-E72D297353CC}">
              <c16:uniqueId val="{00000001-E644-4478-8E0E-DA66790DF299}"/>
            </c:ext>
          </c:extLst>
        </c:ser>
        <c:ser>
          <c:idx val="2"/>
          <c:order val="2"/>
          <c:tx>
            <c:strRef>
              <c:f>'Total CAP Costs'!$K$5</c:f>
              <c:strCache>
                <c:ptCount val="1"/>
                <c:pt idx="0">
                  <c:v>PECO Elec</c:v>
                </c:pt>
              </c:strCache>
            </c:strRef>
          </c:tx>
          <c:spPr>
            <a:solidFill>
              <a:schemeClr val="accent3"/>
            </a:solidFill>
            <a:ln>
              <a:noFill/>
            </a:ln>
            <a:effectLst/>
          </c:spPr>
          <c:invertIfNegative val="0"/>
          <c:cat>
            <c:multiLvlStrRef>
              <c:f>'Total CAP Costs'!$L$1:$U$2</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Costs'!$L$5:$U$5</c:f>
              <c:numCache>
                <c:formatCode>"$"#,##0</c:formatCode>
                <c:ptCount val="10"/>
                <c:pt idx="0">
                  <c:v>94760602</c:v>
                </c:pt>
                <c:pt idx="1">
                  <c:v>91508724</c:v>
                </c:pt>
                <c:pt idx="2">
                  <c:v>94812522</c:v>
                </c:pt>
                <c:pt idx="3">
                  <c:v>96675303</c:v>
                </c:pt>
                <c:pt idx="4">
                  <c:v>92369577</c:v>
                </c:pt>
                <c:pt idx="5" formatCode="&quot;$&quot;#,##0_);[Red]\(&quot;$&quot;#,##0\)">
                  <c:v>70653278</c:v>
                </c:pt>
                <c:pt idx="6">
                  <c:v>94802059.719999999</c:v>
                </c:pt>
                <c:pt idx="7">
                  <c:v>73215615.579999998</c:v>
                </c:pt>
                <c:pt idx="8">
                  <c:v>73333936.870000005</c:v>
                </c:pt>
                <c:pt idx="9">
                  <c:v>77085620.340000004</c:v>
                </c:pt>
              </c:numCache>
            </c:numRef>
          </c:val>
          <c:extLst>
            <c:ext xmlns:c16="http://schemas.microsoft.com/office/drawing/2014/chart" uri="{C3380CC4-5D6E-409C-BE32-E72D297353CC}">
              <c16:uniqueId val="{00000002-E644-4478-8E0E-DA66790DF299}"/>
            </c:ext>
          </c:extLst>
        </c:ser>
        <c:ser>
          <c:idx val="3"/>
          <c:order val="3"/>
          <c:tx>
            <c:strRef>
              <c:f>'Total CAP Costs'!$K$6</c:f>
              <c:strCache>
                <c:ptCount val="1"/>
                <c:pt idx="0">
                  <c:v>Penelec</c:v>
                </c:pt>
              </c:strCache>
            </c:strRef>
          </c:tx>
          <c:spPr>
            <a:solidFill>
              <a:schemeClr val="accent4"/>
            </a:solidFill>
            <a:ln>
              <a:noFill/>
            </a:ln>
            <a:effectLst/>
          </c:spPr>
          <c:invertIfNegative val="0"/>
          <c:cat>
            <c:multiLvlStrRef>
              <c:f>'Total CAP Costs'!$L$1:$U$2</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Costs'!$L$6:$U$6</c:f>
              <c:numCache>
                <c:formatCode>"$"#,##0</c:formatCode>
                <c:ptCount val="10"/>
                <c:pt idx="0">
                  <c:v>30152302</c:v>
                </c:pt>
                <c:pt idx="1">
                  <c:v>25303288</c:v>
                </c:pt>
                <c:pt idx="2">
                  <c:v>20236493</c:v>
                </c:pt>
                <c:pt idx="3">
                  <c:v>18127221</c:v>
                </c:pt>
                <c:pt idx="4">
                  <c:v>18254884</c:v>
                </c:pt>
                <c:pt idx="5" formatCode="&quot;$&quot;#,##0_);[Red]\(&quot;$&quot;#,##0\)">
                  <c:v>18852006</c:v>
                </c:pt>
                <c:pt idx="6" formatCode="&quot;$&quot;#,##0_);[Red]\(&quot;$&quot;#,##0\)">
                  <c:v>22202500</c:v>
                </c:pt>
                <c:pt idx="7" formatCode="&quot;$&quot;#,##0_);[Red]\(&quot;$&quot;#,##0\)">
                  <c:v>23556250</c:v>
                </c:pt>
                <c:pt idx="8" formatCode="&quot;$&quot;#,##0_);[Red]\(&quot;$&quot;#,##0\)">
                  <c:v>23874650</c:v>
                </c:pt>
                <c:pt idx="9" formatCode="&quot;$&quot;#,##0_);[Red]\(&quot;$&quot;#,##0\)">
                  <c:v>24228000</c:v>
                </c:pt>
              </c:numCache>
            </c:numRef>
          </c:val>
          <c:extLst>
            <c:ext xmlns:c16="http://schemas.microsoft.com/office/drawing/2014/chart" uri="{C3380CC4-5D6E-409C-BE32-E72D297353CC}">
              <c16:uniqueId val="{00000003-E644-4478-8E0E-DA66790DF299}"/>
            </c:ext>
          </c:extLst>
        </c:ser>
        <c:ser>
          <c:idx val="4"/>
          <c:order val="4"/>
          <c:tx>
            <c:strRef>
              <c:f>'Total CAP Costs'!$K$7</c:f>
              <c:strCache>
                <c:ptCount val="1"/>
                <c:pt idx="0">
                  <c:v>Penn Power</c:v>
                </c:pt>
              </c:strCache>
            </c:strRef>
          </c:tx>
          <c:spPr>
            <a:solidFill>
              <a:schemeClr val="accent5"/>
            </a:solidFill>
            <a:ln>
              <a:noFill/>
            </a:ln>
            <a:effectLst/>
          </c:spPr>
          <c:invertIfNegative val="0"/>
          <c:cat>
            <c:multiLvlStrRef>
              <c:f>'Total CAP Costs'!$L$1:$U$2</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Costs'!$L$7:$U$7</c:f>
              <c:numCache>
                <c:formatCode>"$"#,##0</c:formatCode>
                <c:ptCount val="10"/>
                <c:pt idx="0">
                  <c:v>8861651</c:v>
                </c:pt>
                <c:pt idx="1">
                  <c:v>6116965</c:v>
                </c:pt>
                <c:pt idx="2">
                  <c:v>4287789</c:v>
                </c:pt>
                <c:pt idx="3">
                  <c:v>3970526</c:v>
                </c:pt>
                <c:pt idx="4">
                  <c:v>4275287</c:v>
                </c:pt>
                <c:pt idx="5" formatCode="&quot;$&quot;#,##0_);[Red]\(&quot;$&quot;#,##0\)">
                  <c:v>4435519</c:v>
                </c:pt>
                <c:pt idx="6" formatCode="&quot;$&quot;#,##0_);[Red]\(&quot;$&quot;#,##0\)">
                  <c:v>5068000</c:v>
                </c:pt>
                <c:pt idx="7" formatCode="&quot;$&quot;#,##0_);[Red]\(&quot;$&quot;#,##0\)">
                  <c:v>5681250</c:v>
                </c:pt>
                <c:pt idx="8" formatCode="&quot;$&quot;#,##0_);[Red]\(&quot;$&quot;#,##0\)">
                  <c:v>5773800</c:v>
                </c:pt>
                <c:pt idx="9" formatCode="&quot;$&quot;#,##0_);[Red]\(&quot;$&quot;#,##0\)">
                  <c:v>5879000</c:v>
                </c:pt>
              </c:numCache>
            </c:numRef>
          </c:val>
          <c:extLst>
            <c:ext xmlns:c16="http://schemas.microsoft.com/office/drawing/2014/chart" uri="{C3380CC4-5D6E-409C-BE32-E72D297353CC}">
              <c16:uniqueId val="{00000004-E644-4478-8E0E-DA66790DF299}"/>
            </c:ext>
          </c:extLst>
        </c:ser>
        <c:ser>
          <c:idx val="5"/>
          <c:order val="5"/>
          <c:tx>
            <c:strRef>
              <c:f>'Total CAP Costs'!$K$8</c:f>
              <c:strCache>
                <c:ptCount val="1"/>
                <c:pt idx="0">
                  <c:v>PPL</c:v>
                </c:pt>
              </c:strCache>
            </c:strRef>
          </c:tx>
          <c:spPr>
            <a:solidFill>
              <a:schemeClr val="accent6"/>
            </a:solidFill>
            <a:ln>
              <a:noFill/>
            </a:ln>
            <a:effectLst/>
          </c:spPr>
          <c:invertIfNegative val="0"/>
          <c:cat>
            <c:multiLvlStrRef>
              <c:f>'Total CAP Costs'!$L$1:$U$2</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Costs'!$L$8:$U$8</c:f>
              <c:numCache>
                <c:formatCode>"$"#,##0</c:formatCode>
                <c:ptCount val="10"/>
                <c:pt idx="0">
                  <c:v>49106215</c:v>
                </c:pt>
                <c:pt idx="1">
                  <c:v>55223019</c:v>
                </c:pt>
                <c:pt idx="2">
                  <c:v>72016857</c:v>
                </c:pt>
                <c:pt idx="3">
                  <c:v>83614471</c:v>
                </c:pt>
                <c:pt idx="4">
                  <c:v>86446411</c:v>
                </c:pt>
                <c:pt idx="5" formatCode="&quot;$&quot;#,##0_);[Red]\(&quot;$&quot;#,##0\)">
                  <c:v>80923575</c:v>
                </c:pt>
                <c:pt idx="6" formatCode="&quot;$&quot;#,##0_);[Red]\(&quot;$&quot;#,##0\)">
                  <c:v>118000000</c:v>
                </c:pt>
                <c:pt idx="7" formatCode="&quot;$&quot;#,##0_);[Red]\(&quot;$&quot;#,##0\)">
                  <c:v>129000000</c:v>
                </c:pt>
                <c:pt idx="8">
                  <c:v>156407273.57178751</c:v>
                </c:pt>
                <c:pt idx="9">
                  <c:v>181479403.284825</c:v>
                </c:pt>
              </c:numCache>
            </c:numRef>
          </c:val>
          <c:extLst>
            <c:ext xmlns:c16="http://schemas.microsoft.com/office/drawing/2014/chart" uri="{C3380CC4-5D6E-409C-BE32-E72D297353CC}">
              <c16:uniqueId val="{00000005-E644-4478-8E0E-DA66790DF299}"/>
            </c:ext>
          </c:extLst>
        </c:ser>
        <c:ser>
          <c:idx val="6"/>
          <c:order val="6"/>
          <c:tx>
            <c:strRef>
              <c:f>'Total CAP Costs'!$K$9</c:f>
              <c:strCache>
                <c:ptCount val="1"/>
                <c:pt idx="0">
                  <c:v>West Penn</c:v>
                </c:pt>
              </c:strCache>
            </c:strRef>
          </c:tx>
          <c:spPr>
            <a:solidFill>
              <a:schemeClr val="accent1">
                <a:lumMod val="60000"/>
              </a:schemeClr>
            </a:solidFill>
            <a:ln>
              <a:noFill/>
            </a:ln>
            <a:effectLst/>
          </c:spPr>
          <c:invertIfNegative val="0"/>
          <c:cat>
            <c:multiLvlStrRef>
              <c:f>'Total CAP Costs'!$L$1:$U$2</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Costs'!$L$9:$U$9</c:f>
              <c:numCache>
                <c:formatCode>"$"#,##0</c:formatCode>
                <c:ptCount val="10"/>
                <c:pt idx="0">
                  <c:v>8495135</c:v>
                </c:pt>
                <c:pt idx="1">
                  <c:v>10768235</c:v>
                </c:pt>
                <c:pt idx="2">
                  <c:v>13385035</c:v>
                </c:pt>
                <c:pt idx="3">
                  <c:v>16540073</c:v>
                </c:pt>
                <c:pt idx="4">
                  <c:v>24609316</c:v>
                </c:pt>
                <c:pt idx="5" formatCode="&quot;$&quot;#,##0_);[Red]\(&quot;$&quot;#,##0\)">
                  <c:v>27280111</c:v>
                </c:pt>
                <c:pt idx="6" formatCode="&quot;$&quot;#,##0_);[Red]\(&quot;$&quot;#,##0\)">
                  <c:v>31855500</c:v>
                </c:pt>
                <c:pt idx="7" formatCode="&quot;$&quot;#,##0_);[Red]\(&quot;$&quot;#,##0\)">
                  <c:v>38511900</c:v>
                </c:pt>
                <c:pt idx="8" formatCode="&quot;$&quot;#,##0_);[Red]\(&quot;$&quot;#,##0\)">
                  <c:v>38916350</c:v>
                </c:pt>
                <c:pt idx="9" formatCode="&quot;$&quot;#,##0_);[Red]\(&quot;$&quot;#,##0\)">
                  <c:v>39465800</c:v>
                </c:pt>
              </c:numCache>
            </c:numRef>
          </c:val>
          <c:extLst>
            <c:ext xmlns:c16="http://schemas.microsoft.com/office/drawing/2014/chart" uri="{C3380CC4-5D6E-409C-BE32-E72D297353CC}">
              <c16:uniqueId val="{00000006-E644-4478-8E0E-DA66790DF299}"/>
            </c:ext>
          </c:extLst>
        </c:ser>
        <c:dLbls>
          <c:showLegendKey val="0"/>
          <c:showVal val="0"/>
          <c:showCatName val="0"/>
          <c:showSerName val="0"/>
          <c:showPercent val="0"/>
          <c:showBubbleSize val="0"/>
        </c:dLbls>
        <c:gapWidth val="150"/>
        <c:axId val="698837872"/>
        <c:axId val="698838200"/>
        <c:extLst>
          <c:ext xmlns:c15="http://schemas.microsoft.com/office/drawing/2012/chart" uri="{02D57815-91ED-43cb-92C2-25804820EDAC}">
            <c15:filteredBarSeries>
              <c15:ser>
                <c:idx val="7"/>
                <c:order val="7"/>
                <c:tx>
                  <c:strRef>
                    <c:extLst>
                      <c:ext uri="{02D57815-91ED-43cb-92C2-25804820EDAC}">
                        <c15:formulaRef>
                          <c15:sqref>'Total CAP Costs'!$K$10</c15:sqref>
                        </c15:formulaRef>
                      </c:ext>
                    </c:extLst>
                    <c:strCache>
                      <c:ptCount val="1"/>
                    </c:strCache>
                  </c:strRef>
                </c:tx>
                <c:spPr>
                  <a:solidFill>
                    <a:schemeClr val="accent2">
                      <a:lumMod val="60000"/>
                    </a:schemeClr>
                  </a:solidFill>
                  <a:ln>
                    <a:noFill/>
                  </a:ln>
                  <a:effectLst/>
                </c:spPr>
                <c:invertIfNegative val="0"/>
                <c:cat>
                  <c:multiLvlStrRef>
                    <c:extLst>
                      <c:ext uri="{02D57815-91ED-43cb-92C2-25804820EDAC}">
                        <c15:formulaRef>
                          <c15:sqref>'Total CAP Costs'!$L$1:$U$2</c15:sqref>
                        </c15:formulaRef>
                      </c:ext>
                    </c:extLst>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extLst>
                      <c:ext uri="{02D57815-91ED-43cb-92C2-25804820EDAC}">
                        <c15:formulaRef>
                          <c15:sqref>'Total CAP Costs'!$L$10:$U$10</c15:sqref>
                        </c15:formulaRef>
                      </c:ext>
                    </c:extLst>
                    <c:numCache>
                      <c:formatCode>General</c:formatCode>
                      <c:ptCount val="10"/>
                    </c:numCache>
                  </c:numRef>
                </c:val>
                <c:extLst>
                  <c:ext xmlns:c16="http://schemas.microsoft.com/office/drawing/2014/chart" uri="{C3380CC4-5D6E-409C-BE32-E72D297353CC}">
                    <c16:uniqueId val="{00000008-E644-4478-8E0E-DA66790DF299}"/>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'Total CAP Costs'!$K$11</c15:sqref>
                        </c15:formulaRef>
                      </c:ext>
                    </c:extLst>
                    <c:strCache>
                      <c:ptCount val="1"/>
                    </c:strCache>
                  </c:strRef>
                </c:tx>
                <c:spPr>
                  <a:solidFill>
                    <a:schemeClr val="accent3">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'Total CAP Costs'!$L$1:$U$2</c15:sqref>
                        </c15:formulaRef>
                      </c:ext>
                    </c:extLst>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extLst xmlns:c15="http://schemas.microsoft.com/office/drawing/2012/chart">
                      <c:ext xmlns:c15="http://schemas.microsoft.com/office/drawing/2012/chart" uri="{02D57815-91ED-43cb-92C2-25804820EDAC}">
                        <c15:formulaRef>
                          <c15:sqref>'Total CAP Costs'!$L$11:$U$11</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9-E644-4478-8E0E-DA66790DF299}"/>
                  </c:ext>
                </c:extLst>
              </c15:ser>
            </c15:filteredBarSeries>
          </c:ext>
        </c:extLst>
      </c:barChart>
      <c:lineChart>
        <c:grouping val="standard"/>
        <c:varyColors val="0"/>
        <c:ser>
          <c:idx val="9"/>
          <c:order val="9"/>
          <c:tx>
            <c:strRef>
              <c:f>'Total CAP Costs'!$K$12</c:f>
              <c:strCache>
                <c:ptCount val="1"/>
                <c:pt idx="0">
                  <c:v>Industry Average</c:v>
                </c:pt>
              </c:strCache>
            </c:strRef>
          </c:tx>
          <c:spPr>
            <a:ln w="28575" cap="rnd">
              <a:solidFill>
                <a:schemeClr val="accent4">
                  <a:lumMod val="60000"/>
                </a:schemeClr>
              </a:solidFill>
              <a:round/>
            </a:ln>
            <a:effectLst/>
          </c:spPr>
          <c:marker>
            <c:symbol val="none"/>
          </c:marker>
          <c:cat>
            <c:multiLvlStrRef>
              <c:f>'Total CAP Costs'!$L$1:$U$2</c:f>
              <c:multiLvlStrCache>
                <c:ptCount val="10"/>
                <c:lvl>
                  <c:pt idx="0">
                    <c:v>2012</c:v>
                  </c:pt>
                  <c:pt idx="1">
                    <c:v>2013</c:v>
                  </c:pt>
                  <c:pt idx="2">
                    <c:v>2014</c:v>
                  </c:pt>
                  <c:pt idx="3">
                    <c:v>2015</c:v>
                  </c:pt>
                  <c:pt idx="4">
                    <c:v>2016</c:v>
                  </c:pt>
                  <c:pt idx="5">
                    <c:v>2017</c:v>
                  </c:pt>
                  <c:pt idx="6">
                    <c:v>2018</c:v>
                  </c:pt>
                  <c:pt idx="7">
                    <c:v>2019</c:v>
                  </c:pt>
                  <c:pt idx="8">
                    <c:v>2020</c:v>
                  </c:pt>
                  <c:pt idx="9">
                    <c:v>2021</c:v>
                  </c:pt>
                </c:lvl>
                <c:lvl>
                  <c:pt idx="0">
                    <c:v>Actual</c:v>
                  </c:pt>
                  <c:pt idx="6">
                    <c:v>Forecasted</c:v>
                  </c:pt>
                </c:lvl>
              </c:multiLvlStrCache>
            </c:multiLvlStrRef>
          </c:cat>
          <c:val>
            <c:numRef>
              <c:f>'Total CAP Costs'!$L$12:$U$12</c:f>
              <c:numCache>
                <c:formatCode>"$"#,##0.00</c:formatCode>
                <c:ptCount val="10"/>
                <c:pt idx="0">
                  <c:v>33773366.857142858</c:v>
                </c:pt>
                <c:pt idx="1">
                  <c:v>32636406</c:v>
                </c:pt>
                <c:pt idx="2">
                  <c:v>34021788.571428575</c:v>
                </c:pt>
                <c:pt idx="3">
                  <c:v>36146603.142857142</c:v>
                </c:pt>
                <c:pt idx="4">
                  <c:v>37359107</c:v>
                </c:pt>
                <c:pt idx="5">
                  <c:v>34283750.285714284</c:v>
                </c:pt>
                <c:pt idx="6">
                  <c:v>45033297.674285717</c:v>
                </c:pt>
                <c:pt idx="7">
                  <c:v>45031212.511428572</c:v>
                </c:pt>
                <c:pt idx="8">
                  <c:v>49438280.065166786</c:v>
                </c:pt>
                <c:pt idx="9">
                  <c:v>54026564.901655003</c:v>
                </c:pt>
              </c:numCache>
            </c:numRef>
          </c:val>
          <c:smooth val="0"/>
          <c:extLst>
            <c:ext xmlns:c16="http://schemas.microsoft.com/office/drawing/2014/chart" uri="{C3380CC4-5D6E-409C-BE32-E72D297353CC}">
              <c16:uniqueId val="{00000007-E644-4478-8E0E-DA66790DF299}"/>
            </c:ext>
          </c:extLst>
        </c:ser>
        <c:dLbls>
          <c:showLegendKey val="0"/>
          <c:showVal val="0"/>
          <c:showCatName val="0"/>
          <c:showSerName val="0"/>
          <c:showPercent val="0"/>
          <c:showBubbleSize val="0"/>
        </c:dLbls>
        <c:marker val="1"/>
        <c:smooth val="0"/>
        <c:axId val="698837872"/>
        <c:axId val="698838200"/>
      </c:lineChart>
      <c:catAx>
        <c:axId val="698837872"/>
        <c:scaling>
          <c:orientation val="minMax"/>
        </c:scaling>
        <c:delete val="0"/>
        <c:axPos val="b"/>
        <c:majorGridlines>
          <c:spPr>
            <a:ln w="9525" cap="flat" cmpd="sng" algn="ctr">
              <a:solidFill>
                <a:srgbClr val="B686DA"/>
              </a:solidFill>
              <a:prstDash val="sysDash"/>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838200"/>
        <c:crosses val="autoZero"/>
        <c:auto val="1"/>
        <c:lblAlgn val="ctr"/>
        <c:lblOffset val="100"/>
        <c:noMultiLvlLbl val="0"/>
      </c:catAx>
      <c:valAx>
        <c:axId val="69883820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837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'NGDC Avg Annual CAP Costs'!$B$6</c:f>
              <c:strCache>
                <c:ptCount val="1"/>
                <c:pt idx="0">
                  <c:v>Columbia</c:v>
                </c:pt>
              </c:strCache>
              <c:extLst xmlns:c15="http://schemas.microsoft.com/office/drawing/2012/chart"/>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0E2C-49FA-8917-72B30AF4F52C}"/>
              </c:ext>
            </c:extLst>
          </c:dPt>
          <c:cat>
            <c:numRef>
              <c:f>'NGDC Avg Annual CAP Costs'!$A$7:$A$11</c:f>
              <c:numCache>
                <c:formatCode>General</c:formatCode>
                <c:ptCount val="5"/>
                <c:pt idx="0">
                  <c:v>2012</c:v>
                </c:pt>
                <c:pt idx="1">
                  <c:v>2013</c:v>
                </c:pt>
                <c:pt idx="2">
                  <c:v>2014</c:v>
                </c:pt>
                <c:pt idx="3">
                  <c:v>2015</c:v>
                </c:pt>
                <c:pt idx="4">
                  <c:v>2016</c:v>
                </c:pt>
              </c:numCache>
              <c:extLst xmlns:c15="http://schemas.microsoft.com/office/drawing/2012/chart"/>
            </c:numRef>
          </c:cat>
          <c:val>
            <c:numRef>
              <c:f>'NGDC Avg Annual CAP Costs'!$B$7:$B$11</c:f>
              <c:numCache>
                <c:formatCode>"$"#,##0.00</c:formatCode>
                <c:ptCount val="5"/>
                <c:pt idx="0">
                  <c:v>22.592161842747835</c:v>
                </c:pt>
                <c:pt idx="1">
                  <c:v>36.420948931148978</c:v>
                </c:pt>
                <c:pt idx="2">
                  <c:v>50.002212583485957</c:v>
                </c:pt>
                <c:pt idx="3">
                  <c:v>49.759520796376727</c:v>
                </c:pt>
                <c:pt idx="4">
                  <c:v>36.717857868983558</c:v>
                </c:pt>
              </c:numCache>
              <c:extLst xmlns:c15="http://schemas.microsoft.com/office/drawing/2012/chart"/>
            </c:numRef>
          </c:val>
          <c:extLst xmlns:c15="http://schemas.microsoft.com/office/drawing/2012/chart">
            <c:ext xmlns:c16="http://schemas.microsoft.com/office/drawing/2014/chart" uri="{C3380CC4-5D6E-409C-BE32-E72D297353CC}">
              <c16:uniqueId val="{00000002-0E2C-49FA-8917-72B30AF4F52C}"/>
            </c:ext>
          </c:extLst>
        </c:ser>
        <c:ser>
          <c:idx val="3"/>
          <c:order val="1"/>
          <c:tx>
            <c:strRef>
              <c:f>'NGDC Avg Annual CAP Costs'!$C$6</c:f>
              <c:strCache>
                <c:ptCount val="1"/>
                <c:pt idx="0">
                  <c:v>NFG</c:v>
                </c:pt>
              </c:strCache>
            </c:strRef>
          </c:tx>
          <c:spPr>
            <a:solidFill>
              <a:schemeClr val="accent2"/>
            </a:solidFill>
            <a:ln>
              <a:noFill/>
            </a:ln>
            <a:effectLst/>
          </c:spPr>
          <c:invertIfNegative val="0"/>
          <c:cat>
            <c:numRef>
              <c:f>'NGDC Avg Annual CAP Costs'!$A$7:$A$11</c:f>
              <c:numCache>
                <c:formatCode>General</c:formatCode>
                <c:ptCount val="5"/>
                <c:pt idx="0">
                  <c:v>2012</c:v>
                </c:pt>
                <c:pt idx="1">
                  <c:v>2013</c:v>
                </c:pt>
                <c:pt idx="2">
                  <c:v>2014</c:v>
                </c:pt>
                <c:pt idx="3">
                  <c:v>2015</c:v>
                </c:pt>
                <c:pt idx="4">
                  <c:v>2016</c:v>
                </c:pt>
              </c:numCache>
            </c:numRef>
          </c:cat>
          <c:val>
            <c:numRef>
              <c:f>'NGDC Avg Annual CAP Costs'!$C$7:$C$11</c:f>
              <c:numCache>
                <c:formatCode>"$"#,##0.00</c:formatCode>
                <c:ptCount val="5"/>
                <c:pt idx="0">
                  <c:v>10.447169848663016</c:v>
                </c:pt>
                <c:pt idx="1">
                  <c:v>9.7375663393396259</c:v>
                </c:pt>
                <c:pt idx="2">
                  <c:v>10.239665614874738</c:v>
                </c:pt>
                <c:pt idx="3">
                  <c:v>7.8607006396318422</c:v>
                </c:pt>
                <c:pt idx="4">
                  <c:v>6.1760139826906117</c:v>
                </c:pt>
              </c:numCache>
            </c:numRef>
          </c:val>
          <c:extLst>
            <c:ext xmlns:c16="http://schemas.microsoft.com/office/drawing/2014/chart" uri="{C3380CC4-5D6E-409C-BE32-E72D297353CC}">
              <c16:uniqueId val="{00000003-0E2C-49FA-8917-72B30AF4F52C}"/>
            </c:ext>
          </c:extLst>
        </c:ser>
        <c:ser>
          <c:idx val="4"/>
          <c:order val="2"/>
          <c:tx>
            <c:strRef>
              <c:f>'NGDC Avg Annual CAP Costs'!$D$6</c:f>
              <c:strCache>
                <c:ptCount val="1"/>
                <c:pt idx="0">
                  <c:v>PECO-Gas</c:v>
                </c:pt>
              </c:strCache>
            </c:strRef>
          </c:tx>
          <c:spPr>
            <a:solidFill>
              <a:schemeClr val="accent3"/>
            </a:solidFill>
            <a:ln>
              <a:noFill/>
            </a:ln>
            <a:effectLst/>
          </c:spPr>
          <c:invertIfNegative val="0"/>
          <c:cat>
            <c:numRef>
              <c:f>'NGDC Avg Annual CAP Costs'!$A$7:$A$11</c:f>
              <c:numCache>
                <c:formatCode>General</c:formatCode>
                <c:ptCount val="5"/>
                <c:pt idx="0">
                  <c:v>2012</c:v>
                </c:pt>
                <c:pt idx="1">
                  <c:v>2013</c:v>
                </c:pt>
                <c:pt idx="2">
                  <c:v>2014</c:v>
                </c:pt>
                <c:pt idx="3">
                  <c:v>2015</c:v>
                </c:pt>
                <c:pt idx="4">
                  <c:v>2016</c:v>
                </c:pt>
              </c:numCache>
            </c:numRef>
          </c:cat>
          <c:val>
            <c:numRef>
              <c:f>'NGDC Avg Annual CAP Costs'!$D$7:$D$11</c:f>
              <c:numCache>
                <c:formatCode>"$"#,##0.00</c:formatCode>
                <c:ptCount val="5"/>
                <c:pt idx="0">
                  <c:v>10.576233135706595</c:v>
                </c:pt>
                <c:pt idx="1">
                  <c:v>12.064692189085664</c:v>
                </c:pt>
                <c:pt idx="2">
                  <c:v>12.130323523617086</c:v>
                </c:pt>
                <c:pt idx="3">
                  <c:v>11.133128003068606</c:v>
                </c:pt>
                <c:pt idx="4">
                  <c:v>6.4041791232088352</c:v>
                </c:pt>
              </c:numCache>
            </c:numRef>
          </c:val>
          <c:extLst>
            <c:ext xmlns:c16="http://schemas.microsoft.com/office/drawing/2014/chart" uri="{C3380CC4-5D6E-409C-BE32-E72D297353CC}">
              <c16:uniqueId val="{00000004-0E2C-49FA-8917-72B30AF4F52C}"/>
            </c:ext>
          </c:extLst>
        </c:ser>
        <c:ser>
          <c:idx val="5"/>
          <c:order val="3"/>
          <c:tx>
            <c:strRef>
              <c:f>'NGDC Avg Annual CAP Costs'!$E$6</c:f>
              <c:strCache>
                <c:ptCount val="1"/>
                <c:pt idx="0">
                  <c:v>Peoples</c:v>
                </c:pt>
              </c:strCache>
            </c:strRef>
          </c:tx>
          <c:spPr>
            <a:solidFill>
              <a:schemeClr val="accent4"/>
            </a:solidFill>
            <a:ln>
              <a:noFill/>
            </a:ln>
            <a:effectLst/>
          </c:spPr>
          <c:invertIfNegative val="0"/>
          <c:cat>
            <c:numRef>
              <c:f>'NGDC Avg Annual CAP Costs'!$A$7:$A$11</c:f>
              <c:numCache>
                <c:formatCode>General</c:formatCode>
                <c:ptCount val="5"/>
                <c:pt idx="0">
                  <c:v>2012</c:v>
                </c:pt>
                <c:pt idx="1">
                  <c:v>2013</c:v>
                </c:pt>
                <c:pt idx="2">
                  <c:v>2014</c:v>
                </c:pt>
                <c:pt idx="3">
                  <c:v>2015</c:v>
                </c:pt>
                <c:pt idx="4">
                  <c:v>2016</c:v>
                </c:pt>
              </c:numCache>
            </c:numRef>
          </c:cat>
          <c:val>
            <c:numRef>
              <c:f>'NGDC Avg Annual CAP Costs'!$E$7:$E$11</c:f>
              <c:numCache>
                <c:formatCode>"$"#,##0.00</c:formatCode>
                <c:ptCount val="5"/>
                <c:pt idx="0">
                  <c:v>19.131754296055369</c:v>
                </c:pt>
                <c:pt idx="1">
                  <c:v>26.374447432786351</c:v>
                </c:pt>
                <c:pt idx="2">
                  <c:v>36.274572976243739</c:v>
                </c:pt>
                <c:pt idx="3">
                  <c:v>40.516797094695569</c:v>
                </c:pt>
                <c:pt idx="4">
                  <c:v>21.175688365966149</c:v>
                </c:pt>
              </c:numCache>
            </c:numRef>
          </c:val>
          <c:extLst>
            <c:ext xmlns:c16="http://schemas.microsoft.com/office/drawing/2014/chart" uri="{C3380CC4-5D6E-409C-BE32-E72D297353CC}">
              <c16:uniqueId val="{00000005-0E2C-49FA-8917-72B30AF4F52C}"/>
            </c:ext>
          </c:extLst>
        </c:ser>
        <c:ser>
          <c:idx val="6"/>
          <c:order val="4"/>
          <c:tx>
            <c:strRef>
              <c:f>'NGDC Avg Annual CAP Costs'!$F$6</c:f>
              <c:strCache>
                <c:ptCount val="1"/>
                <c:pt idx="0">
                  <c:v>Peoples-Equitable</c:v>
                </c:pt>
              </c:strCache>
            </c:strRef>
          </c:tx>
          <c:spPr>
            <a:solidFill>
              <a:schemeClr val="accent5"/>
            </a:solidFill>
            <a:ln>
              <a:noFill/>
            </a:ln>
            <a:effectLst/>
          </c:spPr>
          <c:invertIfNegative val="0"/>
          <c:cat>
            <c:numRef>
              <c:f>'NGDC Avg Annual CAP Costs'!$A$7:$A$11</c:f>
              <c:numCache>
                <c:formatCode>General</c:formatCode>
                <c:ptCount val="5"/>
                <c:pt idx="0">
                  <c:v>2012</c:v>
                </c:pt>
                <c:pt idx="1">
                  <c:v>2013</c:v>
                </c:pt>
                <c:pt idx="2">
                  <c:v>2014</c:v>
                </c:pt>
                <c:pt idx="3">
                  <c:v>2015</c:v>
                </c:pt>
                <c:pt idx="4">
                  <c:v>2016</c:v>
                </c:pt>
              </c:numCache>
            </c:numRef>
          </c:cat>
          <c:val>
            <c:numRef>
              <c:f>'NGDC Avg Annual CAP Costs'!$F$7:$F$11</c:f>
              <c:numCache>
                <c:formatCode>"$"#,##0.00</c:formatCode>
                <c:ptCount val="5"/>
                <c:pt idx="0">
                  <c:v>26.481006402631028</c:v>
                </c:pt>
                <c:pt idx="1">
                  <c:v>30.649062899823644</c:v>
                </c:pt>
                <c:pt idx="2">
                  <c:v>43.374489742743492</c:v>
                </c:pt>
                <c:pt idx="3">
                  <c:v>37.196984416896591</c:v>
                </c:pt>
                <c:pt idx="4">
                  <c:v>16.650750412302497</c:v>
                </c:pt>
              </c:numCache>
            </c:numRef>
          </c:val>
          <c:extLst>
            <c:ext xmlns:c16="http://schemas.microsoft.com/office/drawing/2014/chart" uri="{C3380CC4-5D6E-409C-BE32-E72D297353CC}">
              <c16:uniqueId val="{00000006-0E2C-49FA-8917-72B30AF4F52C}"/>
            </c:ext>
          </c:extLst>
        </c:ser>
        <c:ser>
          <c:idx val="0"/>
          <c:order val="5"/>
          <c:tx>
            <c:strRef>
              <c:f>'NGDC Avg Annual CAP Costs'!$G$6</c:f>
              <c:strCache>
                <c:ptCount val="1"/>
                <c:pt idx="0">
                  <c:v>PGW</c:v>
                </c:pt>
              </c:strCache>
            </c:strRef>
          </c:tx>
          <c:spPr>
            <a:solidFill>
              <a:schemeClr val="accent6"/>
            </a:solidFill>
            <a:ln>
              <a:noFill/>
            </a:ln>
            <a:effectLst/>
          </c:spPr>
          <c:invertIfNegative val="0"/>
          <c:cat>
            <c:numRef>
              <c:f>'NGDC Avg Annual CAP Costs'!$A$7:$A$11</c:f>
              <c:numCache>
                <c:formatCode>General</c:formatCode>
                <c:ptCount val="5"/>
                <c:pt idx="0">
                  <c:v>2012</c:v>
                </c:pt>
                <c:pt idx="1">
                  <c:v>2013</c:v>
                </c:pt>
                <c:pt idx="2">
                  <c:v>2014</c:v>
                </c:pt>
                <c:pt idx="3">
                  <c:v>2015</c:v>
                </c:pt>
                <c:pt idx="4">
                  <c:v>2016</c:v>
                </c:pt>
              </c:numCache>
            </c:numRef>
          </c:cat>
          <c:val>
            <c:numRef>
              <c:f>'NGDC Avg Annual CAP Costs'!$G$7:$G$11</c:f>
              <c:numCache>
                <c:formatCode>"$"#,##0.00</c:formatCode>
                <c:ptCount val="5"/>
                <c:pt idx="0">
                  <c:v>137.13999999999999</c:v>
                </c:pt>
                <c:pt idx="1">
                  <c:v>144.99</c:v>
                </c:pt>
                <c:pt idx="2">
                  <c:v>130.9</c:v>
                </c:pt>
                <c:pt idx="3">
                  <c:v>101.63</c:v>
                </c:pt>
                <c:pt idx="4">
                  <c:v>79.03</c:v>
                </c:pt>
              </c:numCache>
            </c:numRef>
          </c:val>
          <c:extLst>
            <c:ext xmlns:c16="http://schemas.microsoft.com/office/drawing/2014/chart" uri="{C3380CC4-5D6E-409C-BE32-E72D297353CC}">
              <c16:uniqueId val="{00000007-0E2C-49FA-8917-72B30AF4F52C}"/>
            </c:ext>
          </c:extLst>
        </c:ser>
        <c:ser>
          <c:idx val="7"/>
          <c:order val="6"/>
          <c:tx>
            <c:strRef>
              <c:f>'NGDC Avg Annual CAP Costs'!$H$6</c:f>
              <c:strCache>
                <c:ptCount val="1"/>
                <c:pt idx="0">
                  <c:v>UGI-Gas</c:v>
                </c:pt>
              </c:strCache>
            </c:strRef>
          </c:tx>
          <c:spPr>
            <a:solidFill>
              <a:srgbClr val="002060"/>
            </a:solidFill>
            <a:ln>
              <a:noFill/>
            </a:ln>
            <a:effectLst/>
          </c:spPr>
          <c:invertIfNegative val="0"/>
          <c:dPt>
            <c:idx val="0"/>
            <c:invertIfNegative val="0"/>
            <c:bubble3D val="0"/>
            <c:extLst>
              <c:ext xmlns:c16="http://schemas.microsoft.com/office/drawing/2014/chart" uri="{C3380CC4-5D6E-409C-BE32-E72D297353CC}">
                <c16:uniqueId val="{00000008-0E2C-49FA-8917-72B30AF4F52C}"/>
              </c:ext>
            </c:extLst>
          </c:dPt>
          <c:cat>
            <c:numRef>
              <c:f>'NGDC Avg Annual CAP Costs'!$A$7:$A$11</c:f>
              <c:numCache>
                <c:formatCode>General</c:formatCode>
                <c:ptCount val="5"/>
                <c:pt idx="0">
                  <c:v>2012</c:v>
                </c:pt>
                <c:pt idx="1">
                  <c:v>2013</c:v>
                </c:pt>
                <c:pt idx="2">
                  <c:v>2014</c:v>
                </c:pt>
                <c:pt idx="3">
                  <c:v>2015</c:v>
                </c:pt>
                <c:pt idx="4">
                  <c:v>2016</c:v>
                </c:pt>
              </c:numCache>
            </c:numRef>
          </c:cat>
          <c:val>
            <c:numRef>
              <c:f>'NGDC Avg Annual CAP Costs'!$H$7:$H$11</c:f>
              <c:numCache>
                <c:formatCode>"$"#,##0.00</c:formatCode>
                <c:ptCount val="5"/>
                <c:pt idx="0">
                  <c:v>8.561035977114706</c:v>
                </c:pt>
                <c:pt idx="1">
                  <c:v>9.9341355010837713</c:v>
                </c:pt>
                <c:pt idx="2">
                  <c:v>7.6412947788988959</c:v>
                </c:pt>
                <c:pt idx="3">
                  <c:v>12.554321757773229</c:v>
                </c:pt>
                <c:pt idx="4">
                  <c:v>7.3163027479735954</c:v>
                </c:pt>
              </c:numCache>
            </c:numRef>
          </c:val>
          <c:extLst>
            <c:ext xmlns:c16="http://schemas.microsoft.com/office/drawing/2014/chart" uri="{C3380CC4-5D6E-409C-BE32-E72D297353CC}">
              <c16:uniqueId val="{00000009-0E2C-49FA-8917-72B30AF4F52C}"/>
            </c:ext>
          </c:extLst>
        </c:ser>
        <c:ser>
          <c:idx val="8"/>
          <c:order val="7"/>
          <c:tx>
            <c:strRef>
              <c:f>'NGDC Avg Annual CAP Costs'!$I$6</c:f>
              <c:strCache>
                <c:ptCount val="1"/>
                <c:pt idx="0">
                  <c:v>UGI Penn Natural</c:v>
                </c:pt>
              </c:strCache>
            </c:strRef>
          </c:tx>
          <c:spPr>
            <a:solidFill>
              <a:srgbClr val="9E480E"/>
            </a:solidFill>
            <a:ln>
              <a:noFill/>
            </a:ln>
            <a:effectLst/>
          </c:spPr>
          <c:invertIfNegative val="0"/>
          <c:cat>
            <c:numRef>
              <c:f>'NGDC Avg Annual CAP Costs'!$A$7:$A$11</c:f>
              <c:numCache>
                <c:formatCode>General</c:formatCode>
                <c:ptCount val="5"/>
                <c:pt idx="0">
                  <c:v>2012</c:v>
                </c:pt>
                <c:pt idx="1">
                  <c:v>2013</c:v>
                </c:pt>
                <c:pt idx="2">
                  <c:v>2014</c:v>
                </c:pt>
                <c:pt idx="3">
                  <c:v>2015</c:v>
                </c:pt>
                <c:pt idx="4">
                  <c:v>2016</c:v>
                </c:pt>
              </c:numCache>
            </c:numRef>
          </c:cat>
          <c:val>
            <c:numRef>
              <c:f>'NGDC Avg Annual CAP Costs'!$I$7:$I$11</c:f>
              <c:numCache>
                <c:formatCode>"$"#,##0.00</c:formatCode>
                <c:ptCount val="5"/>
                <c:pt idx="0">
                  <c:v>19.483121309727164</c:v>
                </c:pt>
                <c:pt idx="1">
                  <c:v>19.625690636245416</c:v>
                </c:pt>
                <c:pt idx="2">
                  <c:v>15.832098391361834</c:v>
                </c:pt>
                <c:pt idx="3">
                  <c:v>25.856807722295436</c:v>
                </c:pt>
                <c:pt idx="4">
                  <c:v>14.573255139963859</c:v>
                </c:pt>
              </c:numCache>
            </c:numRef>
          </c:val>
          <c:extLst>
            <c:ext xmlns:c16="http://schemas.microsoft.com/office/drawing/2014/chart" uri="{C3380CC4-5D6E-409C-BE32-E72D297353CC}">
              <c16:uniqueId val="{0000000A-0E2C-49FA-8917-72B30AF4F52C}"/>
            </c:ext>
          </c:extLst>
        </c:ser>
        <c:dLbls>
          <c:showLegendKey val="0"/>
          <c:showVal val="0"/>
          <c:showCatName val="0"/>
          <c:showSerName val="0"/>
          <c:showPercent val="0"/>
          <c:showBubbleSize val="0"/>
        </c:dLbls>
        <c:gapWidth val="219"/>
        <c:overlap val="-27"/>
        <c:axId val="658395864"/>
        <c:axId val="658395208"/>
        <c:extLst/>
      </c:barChart>
      <c:catAx>
        <c:axId val="65839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395208"/>
        <c:crosses val="autoZero"/>
        <c:auto val="1"/>
        <c:lblAlgn val="ctr"/>
        <c:lblOffset val="100"/>
        <c:noMultiLvlLbl val="0"/>
      </c:catAx>
      <c:valAx>
        <c:axId val="658395208"/>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3958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legendEntry>
      <c:legendEntry>
        <c:idx val="6"/>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'EDC Avg Annual CAP Costs'!$B$6</c:f>
              <c:strCache>
                <c:ptCount val="1"/>
                <c:pt idx="0">
                  <c:v>Duquensne</c:v>
                </c:pt>
              </c:strCache>
            </c:strRef>
          </c:tx>
          <c:spPr>
            <a:solidFill>
              <a:schemeClr val="accent5">
                <a:lumMod val="75000"/>
              </a:schemeClr>
            </a:solidFill>
            <a:ln>
              <a:noFill/>
            </a:ln>
            <a:effectLst/>
          </c:spPr>
          <c:invertIfNegative val="0"/>
          <c:cat>
            <c:numRef>
              <c:f>'EDC Avg Annual CAP Costs'!$A$7:$A$11</c:f>
              <c:numCache>
                <c:formatCode>General</c:formatCode>
                <c:ptCount val="5"/>
                <c:pt idx="0">
                  <c:v>2012</c:v>
                </c:pt>
                <c:pt idx="1">
                  <c:v>2013</c:v>
                </c:pt>
                <c:pt idx="2">
                  <c:v>2014</c:v>
                </c:pt>
                <c:pt idx="3">
                  <c:v>2015</c:v>
                </c:pt>
                <c:pt idx="4">
                  <c:v>2016</c:v>
                </c:pt>
              </c:numCache>
            </c:numRef>
          </c:cat>
          <c:val>
            <c:numRef>
              <c:f>'EDC Avg Annual CAP Costs'!$B$7:$B$11</c:f>
              <c:numCache>
                <c:formatCode>"$"#,##0.00</c:formatCode>
                <c:ptCount val="5"/>
                <c:pt idx="0">
                  <c:v>34.070169252353033</c:v>
                </c:pt>
                <c:pt idx="1">
                  <c:v>33.756101192600859</c:v>
                </c:pt>
                <c:pt idx="2">
                  <c:v>32.291461228604298</c:v>
                </c:pt>
                <c:pt idx="3">
                  <c:v>38.735362529381042</c:v>
                </c:pt>
                <c:pt idx="4">
                  <c:v>43.572646873025903</c:v>
                </c:pt>
              </c:numCache>
            </c:numRef>
          </c:val>
          <c:extLst>
            <c:ext xmlns:c16="http://schemas.microsoft.com/office/drawing/2014/chart" uri="{C3380CC4-5D6E-409C-BE32-E72D297353CC}">
              <c16:uniqueId val="{00000000-4AE9-4E72-8E9F-036A76E8D828}"/>
            </c:ext>
          </c:extLst>
        </c:ser>
        <c:ser>
          <c:idx val="3"/>
          <c:order val="1"/>
          <c:tx>
            <c:strRef>
              <c:f>'EDC Avg Annual CAP Costs'!$C$6</c:f>
              <c:strCache>
                <c:ptCount val="1"/>
                <c:pt idx="0">
                  <c:v>Met-Ed</c:v>
                </c:pt>
              </c:strCache>
            </c:strRef>
          </c:tx>
          <c:spPr>
            <a:solidFill>
              <a:schemeClr val="accent2"/>
            </a:solidFill>
            <a:ln>
              <a:noFill/>
            </a:ln>
            <a:effectLst/>
          </c:spPr>
          <c:invertIfNegative val="0"/>
          <c:cat>
            <c:numRef>
              <c:f>'EDC Avg Annual CAP Costs'!$A$7:$A$11</c:f>
              <c:numCache>
                <c:formatCode>General</c:formatCode>
                <c:ptCount val="5"/>
                <c:pt idx="0">
                  <c:v>2012</c:v>
                </c:pt>
                <c:pt idx="1">
                  <c:v>2013</c:v>
                </c:pt>
                <c:pt idx="2">
                  <c:v>2014</c:v>
                </c:pt>
                <c:pt idx="3">
                  <c:v>2015</c:v>
                </c:pt>
                <c:pt idx="4">
                  <c:v>2016</c:v>
                </c:pt>
              </c:numCache>
            </c:numRef>
          </c:cat>
          <c:val>
            <c:numRef>
              <c:f>'EDC Avg Annual CAP Costs'!$C$7:$C$11</c:f>
              <c:numCache>
                <c:formatCode>"$"#,##0.00</c:formatCode>
                <c:ptCount val="5"/>
                <c:pt idx="0">
                  <c:v>61.9502509208763</c:v>
                </c:pt>
                <c:pt idx="1">
                  <c:v>49.420871453605258</c:v>
                </c:pt>
                <c:pt idx="2">
                  <c:v>37.055232287693364</c:v>
                </c:pt>
                <c:pt idx="3">
                  <c:v>31.694624440613847</c:v>
                </c:pt>
                <c:pt idx="4">
                  <c:v>29.761679017274218</c:v>
                </c:pt>
              </c:numCache>
            </c:numRef>
          </c:val>
          <c:extLst>
            <c:ext xmlns:c16="http://schemas.microsoft.com/office/drawing/2014/chart" uri="{C3380CC4-5D6E-409C-BE32-E72D297353CC}">
              <c16:uniqueId val="{00000001-4AE9-4E72-8E9F-036A76E8D828}"/>
            </c:ext>
          </c:extLst>
        </c:ser>
        <c:ser>
          <c:idx val="4"/>
          <c:order val="2"/>
          <c:tx>
            <c:strRef>
              <c:f>'EDC Avg Annual CAP Costs'!$D$6</c:f>
              <c:strCache>
                <c:ptCount val="1"/>
                <c:pt idx="0">
                  <c:v>PECO Electric</c:v>
                </c:pt>
              </c:strCache>
            </c:strRef>
          </c:tx>
          <c:spPr>
            <a:solidFill>
              <a:schemeClr val="bg1">
                <a:lumMod val="65000"/>
              </a:schemeClr>
            </a:solidFill>
            <a:ln>
              <a:noFill/>
            </a:ln>
            <a:effectLst/>
          </c:spPr>
          <c:invertIfNegative val="0"/>
          <c:cat>
            <c:numRef>
              <c:f>'EDC Avg Annual CAP Costs'!$A$7:$A$11</c:f>
              <c:numCache>
                <c:formatCode>General</c:formatCode>
                <c:ptCount val="5"/>
                <c:pt idx="0">
                  <c:v>2012</c:v>
                </c:pt>
                <c:pt idx="1">
                  <c:v>2013</c:v>
                </c:pt>
                <c:pt idx="2">
                  <c:v>2014</c:v>
                </c:pt>
                <c:pt idx="3">
                  <c:v>2015</c:v>
                </c:pt>
                <c:pt idx="4">
                  <c:v>2016</c:v>
                </c:pt>
              </c:numCache>
            </c:numRef>
          </c:cat>
          <c:val>
            <c:numRef>
              <c:f>'EDC Avg Annual CAP Costs'!$D$7:$D$11</c:f>
              <c:numCache>
                <c:formatCode>"$"#,##0.00</c:formatCode>
                <c:ptCount val="5"/>
                <c:pt idx="0">
                  <c:v>74.030322411802587</c:v>
                </c:pt>
                <c:pt idx="1">
                  <c:v>71.305128804525694</c:v>
                </c:pt>
                <c:pt idx="2">
                  <c:v>73.549392599488016</c:v>
                </c:pt>
                <c:pt idx="3">
                  <c:v>74.381695581891165</c:v>
                </c:pt>
                <c:pt idx="4">
                  <c:v>70.2910788440158</c:v>
                </c:pt>
              </c:numCache>
            </c:numRef>
          </c:val>
          <c:extLst>
            <c:ext xmlns:c16="http://schemas.microsoft.com/office/drawing/2014/chart" uri="{C3380CC4-5D6E-409C-BE32-E72D297353CC}">
              <c16:uniqueId val="{00000002-4AE9-4E72-8E9F-036A76E8D828}"/>
            </c:ext>
          </c:extLst>
        </c:ser>
        <c:ser>
          <c:idx val="5"/>
          <c:order val="3"/>
          <c:tx>
            <c:strRef>
              <c:f>'EDC Avg Annual CAP Costs'!$E$6</c:f>
              <c:strCache>
                <c:ptCount val="1"/>
                <c:pt idx="0">
                  <c:v>Penelec</c:v>
                </c:pt>
              </c:strCache>
            </c:strRef>
          </c:tx>
          <c:spPr>
            <a:solidFill>
              <a:schemeClr val="accent4"/>
            </a:solidFill>
            <a:ln>
              <a:noFill/>
            </a:ln>
            <a:effectLst/>
          </c:spPr>
          <c:invertIfNegative val="0"/>
          <c:cat>
            <c:numRef>
              <c:f>'EDC Avg Annual CAP Costs'!$A$7:$A$11</c:f>
              <c:numCache>
                <c:formatCode>General</c:formatCode>
                <c:ptCount val="5"/>
                <c:pt idx="0">
                  <c:v>2012</c:v>
                </c:pt>
                <c:pt idx="1">
                  <c:v>2013</c:v>
                </c:pt>
                <c:pt idx="2">
                  <c:v>2014</c:v>
                </c:pt>
                <c:pt idx="3">
                  <c:v>2015</c:v>
                </c:pt>
                <c:pt idx="4">
                  <c:v>2016</c:v>
                </c:pt>
              </c:numCache>
            </c:numRef>
          </c:cat>
          <c:val>
            <c:numRef>
              <c:f>'EDC Avg Annual CAP Costs'!$E$7:$E$11</c:f>
              <c:numCache>
                <c:formatCode>"$"#,##0.00</c:formatCode>
                <c:ptCount val="5"/>
                <c:pt idx="0">
                  <c:v>64.697499519901811</c:v>
                </c:pt>
                <c:pt idx="1">
                  <c:v>53.398686520799565</c:v>
                </c:pt>
                <c:pt idx="2">
                  <c:v>42.145663076166912</c:v>
                </c:pt>
                <c:pt idx="3">
                  <c:v>37.721820830298618</c:v>
                </c:pt>
                <c:pt idx="4">
                  <c:v>37.989141134041859</c:v>
                </c:pt>
              </c:numCache>
            </c:numRef>
          </c:val>
          <c:extLst>
            <c:ext xmlns:c16="http://schemas.microsoft.com/office/drawing/2014/chart" uri="{C3380CC4-5D6E-409C-BE32-E72D297353CC}">
              <c16:uniqueId val="{00000003-4AE9-4E72-8E9F-036A76E8D828}"/>
            </c:ext>
          </c:extLst>
        </c:ser>
        <c:ser>
          <c:idx val="6"/>
          <c:order val="4"/>
          <c:tx>
            <c:strRef>
              <c:f>'EDC Avg Annual CAP Costs'!$F$6</c:f>
              <c:strCache>
                <c:ptCount val="1"/>
                <c:pt idx="0">
                  <c:v>Penn Power</c:v>
                </c:pt>
              </c:strCache>
            </c:strRef>
          </c:tx>
          <c:spPr>
            <a:solidFill>
              <a:schemeClr val="accent5"/>
            </a:solidFill>
            <a:ln>
              <a:noFill/>
            </a:ln>
            <a:effectLst/>
          </c:spPr>
          <c:invertIfNegative val="0"/>
          <c:cat>
            <c:numRef>
              <c:f>'EDC Avg Annual CAP Costs'!$A$7:$A$11</c:f>
              <c:numCache>
                <c:formatCode>General</c:formatCode>
                <c:ptCount val="5"/>
                <c:pt idx="0">
                  <c:v>2012</c:v>
                </c:pt>
                <c:pt idx="1">
                  <c:v>2013</c:v>
                </c:pt>
                <c:pt idx="2">
                  <c:v>2014</c:v>
                </c:pt>
                <c:pt idx="3">
                  <c:v>2015</c:v>
                </c:pt>
                <c:pt idx="4">
                  <c:v>2016</c:v>
                </c:pt>
              </c:numCache>
            </c:numRef>
          </c:cat>
          <c:val>
            <c:numRef>
              <c:f>'EDC Avg Annual CAP Costs'!$F$7:$F$11</c:f>
              <c:numCache>
                <c:formatCode>"$"#,##0.00</c:formatCode>
                <c:ptCount val="5"/>
                <c:pt idx="0">
                  <c:v>67.731201252747923</c:v>
                </c:pt>
                <c:pt idx="1">
                  <c:v>45.688202561900141</c:v>
                </c:pt>
                <c:pt idx="2">
                  <c:v>31.419739426092566</c:v>
                </c:pt>
                <c:pt idx="3">
                  <c:v>28.790077802672698</c:v>
                </c:pt>
                <c:pt idx="4">
                  <c:v>30.770742766661868</c:v>
                </c:pt>
              </c:numCache>
            </c:numRef>
          </c:val>
          <c:extLst>
            <c:ext xmlns:c16="http://schemas.microsoft.com/office/drawing/2014/chart" uri="{C3380CC4-5D6E-409C-BE32-E72D297353CC}">
              <c16:uniqueId val="{00000004-4AE9-4E72-8E9F-036A76E8D828}"/>
            </c:ext>
          </c:extLst>
        </c:ser>
        <c:ser>
          <c:idx val="0"/>
          <c:order val="5"/>
          <c:tx>
            <c:strRef>
              <c:f>'EDC Avg Annual CAP Costs'!$G$6</c:f>
              <c:strCache>
                <c:ptCount val="1"/>
                <c:pt idx="0">
                  <c:v>PPL</c:v>
                </c:pt>
              </c:strCache>
            </c:strRef>
          </c:tx>
          <c:spPr>
            <a:solidFill>
              <a:schemeClr val="accent6"/>
            </a:solidFill>
            <a:ln>
              <a:noFill/>
            </a:ln>
            <a:effectLst/>
          </c:spPr>
          <c:invertIfNegative val="0"/>
          <c:cat>
            <c:numRef>
              <c:f>'EDC Avg Annual CAP Costs'!$A$7:$A$11</c:f>
              <c:numCache>
                <c:formatCode>General</c:formatCode>
                <c:ptCount val="5"/>
                <c:pt idx="0">
                  <c:v>2012</c:v>
                </c:pt>
                <c:pt idx="1">
                  <c:v>2013</c:v>
                </c:pt>
                <c:pt idx="2">
                  <c:v>2014</c:v>
                </c:pt>
                <c:pt idx="3">
                  <c:v>2015</c:v>
                </c:pt>
                <c:pt idx="4">
                  <c:v>2016</c:v>
                </c:pt>
              </c:numCache>
            </c:numRef>
          </c:cat>
          <c:val>
            <c:numRef>
              <c:f>'EDC Avg Annual CAP Costs'!$G$7:$G$11</c:f>
              <c:numCache>
                <c:formatCode>"$"#,##0.00</c:formatCode>
                <c:ptCount val="5"/>
                <c:pt idx="0">
                  <c:v>41.563024761995045</c:v>
                </c:pt>
                <c:pt idx="1">
                  <c:v>46.659309341406313</c:v>
                </c:pt>
                <c:pt idx="2">
                  <c:v>60.846272390622744</c:v>
                </c:pt>
                <c:pt idx="3">
                  <c:v>70.812792708560934</c:v>
                </c:pt>
                <c:pt idx="4">
                  <c:v>73.434856033673555</c:v>
                </c:pt>
              </c:numCache>
            </c:numRef>
          </c:val>
          <c:extLst>
            <c:ext xmlns:c16="http://schemas.microsoft.com/office/drawing/2014/chart" uri="{C3380CC4-5D6E-409C-BE32-E72D297353CC}">
              <c16:uniqueId val="{00000005-4AE9-4E72-8E9F-036A76E8D828}"/>
            </c:ext>
          </c:extLst>
        </c:ser>
        <c:ser>
          <c:idx val="7"/>
          <c:order val="6"/>
          <c:tx>
            <c:strRef>
              <c:f>'EDC Avg Annual CAP Costs'!$H$6</c:f>
              <c:strCache>
                <c:ptCount val="1"/>
                <c:pt idx="0">
                  <c:v>West Penn</c:v>
                </c:pt>
              </c:strCache>
            </c:strRef>
          </c:tx>
          <c:spPr>
            <a:solidFill>
              <a:schemeClr val="accent1">
                <a:lumMod val="50000"/>
              </a:schemeClr>
            </a:solidFill>
            <a:ln>
              <a:noFill/>
            </a:ln>
            <a:effectLst/>
          </c:spPr>
          <c:invertIfNegative val="0"/>
          <c:cat>
            <c:numRef>
              <c:f>'EDC Avg Annual CAP Costs'!$A$7:$A$11</c:f>
              <c:numCache>
                <c:formatCode>General</c:formatCode>
                <c:ptCount val="5"/>
                <c:pt idx="0">
                  <c:v>2012</c:v>
                </c:pt>
                <c:pt idx="1">
                  <c:v>2013</c:v>
                </c:pt>
                <c:pt idx="2">
                  <c:v>2014</c:v>
                </c:pt>
                <c:pt idx="3">
                  <c:v>2015</c:v>
                </c:pt>
                <c:pt idx="4">
                  <c:v>2016</c:v>
                </c:pt>
              </c:numCache>
            </c:numRef>
          </c:cat>
          <c:val>
            <c:numRef>
              <c:f>'EDC Avg Annual CAP Costs'!$H$7:$H$11</c:f>
              <c:numCache>
                <c:formatCode>"$"#,##0.00</c:formatCode>
                <c:ptCount val="5"/>
                <c:pt idx="0">
                  <c:v>14.251956152653724</c:v>
                </c:pt>
                <c:pt idx="1">
                  <c:v>17.97990162029307</c:v>
                </c:pt>
                <c:pt idx="2">
                  <c:v>22.338175901201602</c:v>
                </c:pt>
                <c:pt idx="3">
                  <c:v>27.597467518057574</c:v>
                </c:pt>
                <c:pt idx="4">
                  <c:v>41.019765375755497</c:v>
                </c:pt>
              </c:numCache>
            </c:numRef>
          </c:val>
          <c:extLst>
            <c:ext xmlns:c16="http://schemas.microsoft.com/office/drawing/2014/chart" uri="{C3380CC4-5D6E-409C-BE32-E72D297353CC}">
              <c16:uniqueId val="{00000006-4AE9-4E72-8E9F-036A76E8D828}"/>
            </c:ext>
          </c:extLst>
        </c:ser>
        <c:dLbls>
          <c:showLegendKey val="0"/>
          <c:showVal val="0"/>
          <c:showCatName val="0"/>
          <c:showSerName val="0"/>
          <c:showPercent val="0"/>
          <c:showBubbleSize val="0"/>
        </c:dLbls>
        <c:gapWidth val="219"/>
        <c:overlap val="-27"/>
        <c:axId val="658395864"/>
        <c:axId val="658395208"/>
      </c:barChart>
      <c:catAx>
        <c:axId val="65839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395208"/>
        <c:crosses val="autoZero"/>
        <c:auto val="1"/>
        <c:lblAlgn val="ctr"/>
        <c:lblOffset val="100"/>
        <c:noMultiLvlLbl val="0"/>
      </c:catAx>
      <c:valAx>
        <c:axId val="65839520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395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'NGDC Predictions by %'!$Q$96</c:f>
              <c:strCache>
                <c:ptCount val="1"/>
                <c:pt idx="0">
                  <c:v>10%</c:v>
                </c:pt>
              </c:strCache>
            </c:strRef>
          </c:tx>
          <c:spPr>
            <a:solidFill>
              <a:schemeClr val="accent1"/>
            </a:solidFill>
            <a:ln>
              <a:noFill/>
            </a:ln>
            <a:effectLst/>
          </c:spPr>
          <c:invertIfNegative val="0"/>
          <c:cat>
            <c:numRef>
              <c:f>'NGDC Predictions by %'!$R$95:$V$95</c:f>
              <c:numCache>
                <c:formatCode>General</c:formatCode>
                <c:ptCount val="5"/>
                <c:pt idx="0">
                  <c:v>2017</c:v>
                </c:pt>
                <c:pt idx="1">
                  <c:v>2018</c:v>
                </c:pt>
                <c:pt idx="2">
                  <c:v>2019</c:v>
                </c:pt>
                <c:pt idx="3">
                  <c:v>2020</c:v>
                </c:pt>
                <c:pt idx="4">
                  <c:v>2021</c:v>
                </c:pt>
              </c:numCache>
            </c:numRef>
          </c:cat>
          <c:val>
            <c:numRef>
              <c:f>'NGDC Predictions by %'!$R$96:$V$96</c:f>
              <c:numCache>
                <c:formatCode>"$"#,##0.00</c:formatCode>
                <c:ptCount val="5"/>
                <c:pt idx="0">
                  <c:v>29.887004459705963</c:v>
                </c:pt>
                <c:pt idx="1">
                  <c:v>29.266875000000002</c:v>
                </c:pt>
                <c:pt idx="2">
                  <c:v>33.884125000000004</c:v>
                </c:pt>
                <c:pt idx="3">
                  <c:v>33.919325000000001</c:v>
                </c:pt>
                <c:pt idx="4">
                  <c:v>33.847137500000002</c:v>
                </c:pt>
              </c:numCache>
            </c:numRef>
          </c:val>
          <c:extLst>
            <c:ext xmlns:c16="http://schemas.microsoft.com/office/drawing/2014/chart" uri="{C3380CC4-5D6E-409C-BE32-E72D297353CC}">
              <c16:uniqueId val="{00000000-A80F-470B-AE8D-A49342644E88}"/>
            </c:ext>
          </c:extLst>
        </c:ser>
        <c:ser>
          <c:idx val="1"/>
          <c:order val="1"/>
          <c:tx>
            <c:strRef>
              <c:f>'NGDC Predictions by %'!$Q$97</c:f>
              <c:strCache>
                <c:ptCount val="1"/>
                <c:pt idx="0">
                  <c:v>5%</c:v>
                </c:pt>
              </c:strCache>
            </c:strRef>
          </c:tx>
          <c:spPr>
            <a:solidFill>
              <a:schemeClr val="accent2"/>
            </a:solidFill>
            <a:ln>
              <a:noFill/>
            </a:ln>
            <a:effectLst/>
          </c:spPr>
          <c:invertIfNegative val="0"/>
          <c:cat>
            <c:numRef>
              <c:f>'NGDC Predictions by %'!$R$95:$V$95</c:f>
              <c:numCache>
                <c:formatCode>General</c:formatCode>
                <c:ptCount val="5"/>
                <c:pt idx="0">
                  <c:v>2017</c:v>
                </c:pt>
                <c:pt idx="1">
                  <c:v>2018</c:v>
                </c:pt>
                <c:pt idx="2">
                  <c:v>2019</c:v>
                </c:pt>
                <c:pt idx="3">
                  <c:v>2020</c:v>
                </c:pt>
                <c:pt idx="4">
                  <c:v>2021</c:v>
                </c:pt>
              </c:numCache>
            </c:numRef>
          </c:cat>
          <c:val>
            <c:numRef>
              <c:f>'NGDC Predictions by %'!$R$97:$V$97</c:f>
              <c:numCache>
                <c:formatCode>"$"#,##0.00</c:formatCode>
                <c:ptCount val="5"/>
                <c:pt idx="0">
                  <c:v>28.921297939676808</c:v>
                </c:pt>
                <c:pt idx="1">
                  <c:v>28.188562499999996</c:v>
                </c:pt>
                <c:pt idx="2">
                  <c:v>32.749499999999998</c:v>
                </c:pt>
                <c:pt idx="3">
                  <c:v>32.782687500000002</c:v>
                </c:pt>
                <c:pt idx="4">
                  <c:v>32.734000000000002</c:v>
                </c:pt>
              </c:numCache>
            </c:numRef>
          </c:val>
          <c:extLst>
            <c:ext xmlns:c16="http://schemas.microsoft.com/office/drawing/2014/chart" uri="{C3380CC4-5D6E-409C-BE32-E72D297353CC}">
              <c16:uniqueId val="{00000001-A80F-470B-AE8D-A49342644E88}"/>
            </c:ext>
          </c:extLst>
        </c:ser>
        <c:ser>
          <c:idx val="2"/>
          <c:order val="2"/>
          <c:tx>
            <c:strRef>
              <c:f>'NGDC Predictions by %'!$Q$98</c:f>
              <c:strCache>
                <c:ptCount val="1"/>
                <c:pt idx="0">
                  <c:v>1%</c:v>
                </c:pt>
              </c:strCache>
            </c:strRef>
          </c:tx>
          <c:spPr>
            <a:solidFill>
              <a:schemeClr val="accent3"/>
            </a:solidFill>
            <a:ln>
              <a:noFill/>
            </a:ln>
            <a:effectLst/>
          </c:spPr>
          <c:invertIfNegative val="0"/>
          <c:cat>
            <c:numRef>
              <c:f>'NGDC Predictions by %'!$R$95:$V$95</c:f>
              <c:numCache>
                <c:formatCode>General</c:formatCode>
                <c:ptCount val="5"/>
                <c:pt idx="0">
                  <c:v>2017</c:v>
                </c:pt>
                <c:pt idx="1">
                  <c:v>2018</c:v>
                </c:pt>
                <c:pt idx="2">
                  <c:v>2019</c:v>
                </c:pt>
                <c:pt idx="3">
                  <c:v>2020</c:v>
                </c:pt>
                <c:pt idx="4">
                  <c:v>2021</c:v>
                </c:pt>
              </c:numCache>
            </c:numRef>
          </c:cat>
          <c:val>
            <c:numRef>
              <c:f>'NGDC Predictions by %'!$R$98:$V$98</c:f>
              <c:numCache>
                <c:formatCode>"$"#,##0.00</c:formatCode>
                <c:ptCount val="5"/>
                <c:pt idx="0">
                  <c:v>27.819534208641503</c:v>
                </c:pt>
                <c:pt idx="1">
                  <c:v>27.1147125</c:v>
                </c:pt>
                <c:pt idx="2">
                  <c:v>31.501899999999999</c:v>
                </c:pt>
                <c:pt idx="3">
                  <c:v>31.513212500000005</c:v>
                </c:pt>
                <c:pt idx="4">
                  <c:v>31.464912499999997</c:v>
                </c:pt>
              </c:numCache>
            </c:numRef>
          </c:val>
          <c:extLst>
            <c:ext xmlns:c16="http://schemas.microsoft.com/office/drawing/2014/chart" uri="{C3380CC4-5D6E-409C-BE32-E72D297353CC}">
              <c16:uniqueId val="{00000002-A80F-470B-AE8D-A49342644E88}"/>
            </c:ext>
          </c:extLst>
        </c:ser>
        <c:ser>
          <c:idx val="3"/>
          <c:order val="3"/>
          <c:tx>
            <c:strRef>
              <c:f>'NGDC Predictions by %'!$Q$99</c:f>
              <c:strCache>
                <c:ptCount val="1"/>
                <c:pt idx="0">
                  <c:v>-1%</c:v>
                </c:pt>
              </c:strCache>
            </c:strRef>
          </c:tx>
          <c:spPr>
            <a:solidFill>
              <a:schemeClr val="accent4"/>
            </a:solidFill>
            <a:ln>
              <a:noFill/>
            </a:ln>
            <a:effectLst/>
          </c:spPr>
          <c:invertIfNegative val="0"/>
          <c:cat>
            <c:numRef>
              <c:f>'NGDC Predictions by %'!$R$95:$V$95</c:f>
              <c:numCache>
                <c:formatCode>General</c:formatCode>
                <c:ptCount val="5"/>
                <c:pt idx="0">
                  <c:v>2017</c:v>
                </c:pt>
                <c:pt idx="1">
                  <c:v>2018</c:v>
                </c:pt>
                <c:pt idx="2">
                  <c:v>2019</c:v>
                </c:pt>
                <c:pt idx="3">
                  <c:v>2020</c:v>
                </c:pt>
                <c:pt idx="4">
                  <c:v>2021</c:v>
                </c:pt>
              </c:numCache>
            </c:numRef>
          </c:cat>
          <c:val>
            <c:numRef>
              <c:f>'NGDC Predictions by %'!$R$99:$V$99</c:f>
              <c:numCache>
                <c:formatCode>"$"#,##0.00</c:formatCode>
                <c:ptCount val="5"/>
                <c:pt idx="0">
                  <c:v>27.268652343123847</c:v>
                </c:pt>
                <c:pt idx="1">
                  <c:v>26.577787499999999</c:v>
                </c:pt>
                <c:pt idx="2">
                  <c:v>30.878100000000003</c:v>
                </c:pt>
                <c:pt idx="3">
                  <c:v>31.050112500000001</c:v>
                </c:pt>
                <c:pt idx="4">
                  <c:v>31.014225000000003</c:v>
                </c:pt>
              </c:numCache>
            </c:numRef>
          </c:val>
          <c:extLst>
            <c:ext xmlns:c16="http://schemas.microsoft.com/office/drawing/2014/chart" uri="{C3380CC4-5D6E-409C-BE32-E72D297353CC}">
              <c16:uniqueId val="{00000003-A80F-470B-AE8D-A49342644E88}"/>
            </c:ext>
          </c:extLst>
        </c:ser>
        <c:ser>
          <c:idx val="4"/>
          <c:order val="4"/>
          <c:tx>
            <c:strRef>
              <c:f>'NGDC Predictions by %'!$Q$100</c:f>
              <c:strCache>
                <c:ptCount val="1"/>
                <c:pt idx="0">
                  <c:v>-5%</c:v>
                </c:pt>
              </c:strCache>
            </c:strRef>
          </c:tx>
          <c:spPr>
            <a:solidFill>
              <a:schemeClr val="accent5"/>
            </a:solidFill>
            <a:ln>
              <a:noFill/>
            </a:ln>
            <a:effectLst/>
          </c:spPr>
          <c:invertIfNegative val="0"/>
          <c:cat>
            <c:numRef>
              <c:f>'NGDC Predictions by %'!$R$95:$V$95</c:f>
              <c:numCache>
                <c:formatCode>General</c:formatCode>
                <c:ptCount val="5"/>
                <c:pt idx="0">
                  <c:v>2017</c:v>
                </c:pt>
                <c:pt idx="1">
                  <c:v>2018</c:v>
                </c:pt>
                <c:pt idx="2">
                  <c:v>2019</c:v>
                </c:pt>
                <c:pt idx="3">
                  <c:v>2020</c:v>
                </c:pt>
                <c:pt idx="4">
                  <c:v>2021</c:v>
                </c:pt>
              </c:numCache>
            </c:numRef>
          </c:cat>
          <c:val>
            <c:numRef>
              <c:f>'NGDC Predictions by %'!$R$100:$V$100</c:f>
              <c:numCache>
                <c:formatCode>"$"#,##0.00</c:formatCode>
                <c:ptCount val="5"/>
                <c:pt idx="0">
                  <c:v>26.166888612088542</c:v>
                </c:pt>
                <c:pt idx="1">
                  <c:v>25.503937499999999</c:v>
                </c:pt>
                <c:pt idx="2">
                  <c:v>29.630499999999998</c:v>
                </c:pt>
                <c:pt idx="3">
                  <c:v>29.795562499999996</c:v>
                </c:pt>
                <c:pt idx="4">
                  <c:v>29.761125</c:v>
                </c:pt>
              </c:numCache>
            </c:numRef>
          </c:val>
          <c:extLst>
            <c:ext xmlns:c16="http://schemas.microsoft.com/office/drawing/2014/chart" uri="{C3380CC4-5D6E-409C-BE32-E72D297353CC}">
              <c16:uniqueId val="{00000004-A80F-470B-AE8D-A49342644E88}"/>
            </c:ext>
          </c:extLst>
        </c:ser>
        <c:ser>
          <c:idx val="5"/>
          <c:order val="5"/>
          <c:tx>
            <c:strRef>
              <c:f>'NGDC Predictions by %'!$Q$101</c:f>
              <c:strCache>
                <c:ptCount val="1"/>
                <c:pt idx="0">
                  <c:v>-10%</c:v>
                </c:pt>
              </c:strCache>
            </c:strRef>
          </c:tx>
          <c:spPr>
            <a:solidFill>
              <a:schemeClr val="accent6"/>
            </a:solidFill>
            <a:ln>
              <a:noFill/>
            </a:ln>
            <a:effectLst/>
          </c:spPr>
          <c:invertIfNegative val="0"/>
          <c:cat>
            <c:numRef>
              <c:f>'NGDC Predictions by %'!$R$95:$V$95</c:f>
              <c:numCache>
                <c:formatCode>General</c:formatCode>
                <c:ptCount val="5"/>
                <c:pt idx="0">
                  <c:v>2017</c:v>
                </c:pt>
                <c:pt idx="1">
                  <c:v>2018</c:v>
                </c:pt>
                <c:pt idx="2">
                  <c:v>2019</c:v>
                </c:pt>
                <c:pt idx="3">
                  <c:v>2020</c:v>
                </c:pt>
                <c:pt idx="4">
                  <c:v>2021</c:v>
                </c:pt>
              </c:numCache>
            </c:numRef>
          </c:cat>
          <c:val>
            <c:numRef>
              <c:f>'NGDC Predictions by %'!$R$101:$V$101</c:f>
              <c:numCache>
                <c:formatCode>"$"#,##0.00</c:formatCode>
                <c:ptCount val="5"/>
                <c:pt idx="0">
                  <c:v>24.78968394829441</c:v>
                </c:pt>
                <c:pt idx="1">
                  <c:v>24.161625000000001</c:v>
                </c:pt>
                <c:pt idx="2">
                  <c:v>28.071000000000005</c:v>
                </c:pt>
                <c:pt idx="3">
                  <c:v>28.227375000000002</c:v>
                </c:pt>
                <c:pt idx="4">
                  <c:v>28.194749999999999</c:v>
                </c:pt>
              </c:numCache>
            </c:numRef>
          </c:val>
          <c:extLst>
            <c:ext xmlns:c16="http://schemas.microsoft.com/office/drawing/2014/chart" uri="{C3380CC4-5D6E-409C-BE32-E72D297353CC}">
              <c16:uniqueId val="{00000005-A80F-470B-AE8D-A49342644E88}"/>
            </c:ext>
          </c:extLst>
        </c:ser>
        <c:dLbls>
          <c:showLegendKey val="0"/>
          <c:showVal val="0"/>
          <c:showCatName val="0"/>
          <c:showSerName val="0"/>
          <c:showPercent val="0"/>
          <c:showBubbleSize val="0"/>
        </c:dLbls>
        <c:gapWidth val="219"/>
        <c:overlap val="-27"/>
        <c:axId val="351072696"/>
        <c:axId val="351066792"/>
      </c:barChart>
      <c:catAx>
        <c:axId val="35107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066792"/>
        <c:crosses val="autoZero"/>
        <c:auto val="1"/>
        <c:lblAlgn val="ctr"/>
        <c:lblOffset val="100"/>
        <c:noMultiLvlLbl val="0"/>
      </c:catAx>
      <c:valAx>
        <c:axId val="351066792"/>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072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'EDC Predictions by %'!$J$103</c:f>
              <c:strCache>
                <c:ptCount val="1"/>
                <c:pt idx="0">
                  <c:v>10%</c:v>
                </c:pt>
              </c:strCache>
            </c:strRef>
          </c:tx>
          <c:spPr>
            <a:solidFill>
              <a:schemeClr val="accent1"/>
            </a:solidFill>
            <a:ln>
              <a:noFill/>
            </a:ln>
            <a:effectLst/>
          </c:spPr>
          <c:invertIfNegative val="0"/>
          <c:cat>
            <c:numRef>
              <c:f>'EDC Predictions by %'!$K$102:$O$102</c:f>
              <c:numCache>
                <c:formatCode>General</c:formatCode>
                <c:ptCount val="5"/>
                <c:pt idx="0">
                  <c:v>2017</c:v>
                </c:pt>
                <c:pt idx="1">
                  <c:v>2018</c:v>
                </c:pt>
                <c:pt idx="2">
                  <c:v>2019</c:v>
                </c:pt>
                <c:pt idx="3">
                  <c:v>2020</c:v>
                </c:pt>
                <c:pt idx="4">
                  <c:v>2021</c:v>
                </c:pt>
              </c:numCache>
            </c:numRef>
          </c:cat>
          <c:val>
            <c:numRef>
              <c:f>'EDC Predictions by %'!$K$103:$O$103</c:f>
              <c:numCache>
                <c:formatCode>"$"#,##0.00</c:formatCode>
                <c:ptCount val="5"/>
                <c:pt idx="0">
                  <c:v>49.604749340344924</c:v>
                </c:pt>
                <c:pt idx="1">
                  <c:v>61.837285714285727</c:v>
                </c:pt>
                <c:pt idx="2">
                  <c:v>64.059285714285721</c:v>
                </c:pt>
                <c:pt idx="3">
                  <c:v>68.633714285714291</c:v>
                </c:pt>
                <c:pt idx="4">
                  <c:v>73.310285714285712</c:v>
                </c:pt>
              </c:numCache>
            </c:numRef>
          </c:val>
          <c:extLst>
            <c:ext xmlns:c16="http://schemas.microsoft.com/office/drawing/2014/chart" uri="{C3380CC4-5D6E-409C-BE32-E72D297353CC}">
              <c16:uniqueId val="{00000000-742B-4B18-A636-5293FC221140}"/>
            </c:ext>
          </c:extLst>
        </c:ser>
        <c:ser>
          <c:idx val="1"/>
          <c:order val="1"/>
          <c:tx>
            <c:strRef>
              <c:f>'EDC Predictions by %'!$J$104</c:f>
              <c:strCache>
                <c:ptCount val="1"/>
                <c:pt idx="0">
                  <c:v>5%</c:v>
                </c:pt>
              </c:strCache>
            </c:strRef>
          </c:tx>
          <c:spPr>
            <a:solidFill>
              <a:schemeClr val="accent2"/>
            </a:solidFill>
            <a:ln>
              <a:noFill/>
            </a:ln>
            <a:effectLst/>
          </c:spPr>
          <c:invertIfNegative val="0"/>
          <c:cat>
            <c:numRef>
              <c:f>'EDC Predictions by %'!$K$102:$O$102</c:f>
              <c:numCache>
                <c:formatCode>General</c:formatCode>
                <c:ptCount val="5"/>
                <c:pt idx="0">
                  <c:v>2017</c:v>
                </c:pt>
                <c:pt idx="1">
                  <c:v>2018</c:v>
                </c:pt>
                <c:pt idx="2">
                  <c:v>2019</c:v>
                </c:pt>
                <c:pt idx="3">
                  <c:v>2020</c:v>
                </c:pt>
                <c:pt idx="4">
                  <c:v>2021</c:v>
                </c:pt>
              </c:numCache>
            </c:numRef>
          </c:cat>
          <c:val>
            <c:numRef>
              <c:f>'EDC Predictions by %'!$K$104:$O$104</c:f>
              <c:numCache>
                <c:formatCode>"$"#,##0.00</c:formatCode>
                <c:ptCount val="5"/>
                <c:pt idx="0">
                  <c:v>47.349988006692875</c:v>
                </c:pt>
                <c:pt idx="1">
                  <c:v>59.026500000000006</c:v>
                </c:pt>
                <c:pt idx="2">
                  <c:v>61.147499999999994</c:v>
                </c:pt>
                <c:pt idx="3">
                  <c:v>65.513999999999996</c:v>
                </c:pt>
                <c:pt idx="4">
                  <c:v>69.977999999999994</c:v>
                </c:pt>
              </c:numCache>
            </c:numRef>
          </c:val>
          <c:extLst>
            <c:ext xmlns:c16="http://schemas.microsoft.com/office/drawing/2014/chart" uri="{C3380CC4-5D6E-409C-BE32-E72D297353CC}">
              <c16:uniqueId val="{00000001-742B-4B18-A636-5293FC221140}"/>
            </c:ext>
          </c:extLst>
        </c:ser>
        <c:ser>
          <c:idx val="2"/>
          <c:order val="2"/>
          <c:tx>
            <c:strRef>
              <c:f>'EDC Predictions by %'!$J$105</c:f>
              <c:strCache>
                <c:ptCount val="1"/>
                <c:pt idx="0">
                  <c:v>1%</c:v>
                </c:pt>
              </c:strCache>
            </c:strRef>
          </c:tx>
          <c:spPr>
            <a:solidFill>
              <a:schemeClr val="accent3"/>
            </a:solidFill>
            <a:ln>
              <a:noFill/>
            </a:ln>
            <a:effectLst/>
          </c:spPr>
          <c:invertIfNegative val="0"/>
          <c:cat>
            <c:numRef>
              <c:f>'EDC Predictions by %'!$K$102:$O$102</c:f>
              <c:numCache>
                <c:formatCode>General</c:formatCode>
                <c:ptCount val="5"/>
                <c:pt idx="0">
                  <c:v>2017</c:v>
                </c:pt>
                <c:pt idx="1">
                  <c:v>2018</c:v>
                </c:pt>
                <c:pt idx="2">
                  <c:v>2019</c:v>
                </c:pt>
                <c:pt idx="3">
                  <c:v>2020</c:v>
                </c:pt>
                <c:pt idx="4">
                  <c:v>2021</c:v>
                </c:pt>
              </c:numCache>
            </c:numRef>
          </c:cat>
          <c:val>
            <c:numRef>
              <c:f>'EDC Predictions by %'!$K$105:$O$105</c:f>
              <c:numCache>
                <c:formatCode>"$"#,##0.00</c:formatCode>
                <c:ptCount val="5"/>
                <c:pt idx="0">
                  <c:v>45.546178939771245</c:v>
                </c:pt>
                <c:pt idx="1">
                  <c:v>56.77787142857143</c:v>
                </c:pt>
                <c:pt idx="2">
                  <c:v>58.818071428571429</c:v>
                </c:pt>
                <c:pt idx="3">
                  <c:v>63.018228571428565</c:v>
                </c:pt>
                <c:pt idx="4">
                  <c:v>67.312171428571432</c:v>
                </c:pt>
              </c:numCache>
            </c:numRef>
          </c:val>
          <c:extLst>
            <c:ext xmlns:c16="http://schemas.microsoft.com/office/drawing/2014/chart" uri="{C3380CC4-5D6E-409C-BE32-E72D297353CC}">
              <c16:uniqueId val="{00000002-742B-4B18-A636-5293FC221140}"/>
            </c:ext>
          </c:extLst>
        </c:ser>
        <c:ser>
          <c:idx val="3"/>
          <c:order val="3"/>
          <c:tx>
            <c:strRef>
              <c:f>'EDC Predictions by %'!$J$106</c:f>
              <c:strCache>
                <c:ptCount val="1"/>
                <c:pt idx="0">
                  <c:v>-1%</c:v>
                </c:pt>
              </c:strCache>
            </c:strRef>
          </c:tx>
          <c:spPr>
            <a:solidFill>
              <a:schemeClr val="accent4"/>
            </a:solidFill>
            <a:ln>
              <a:noFill/>
            </a:ln>
            <a:effectLst/>
          </c:spPr>
          <c:invertIfNegative val="0"/>
          <c:cat>
            <c:numRef>
              <c:f>'EDC Predictions by %'!$K$102:$O$102</c:f>
              <c:numCache>
                <c:formatCode>General</c:formatCode>
                <c:ptCount val="5"/>
                <c:pt idx="0">
                  <c:v>2017</c:v>
                </c:pt>
                <c:pt idx="1">
                  <c:v>2018</c:v>
                </c:pt>
                <c:pt idx="2">
                  <c:v>2019</c:v>
                </c:pt>
                <c:pt idx="3">
                  <c:v>2020</c:v>
                </c:pt>
                <c:pt idx="4">
                  <c:v>2021</c:v>
                </c:pt>
              </c:numCache>
            </c:numRef>
          </c:cat>
          <c:val>
            <c:numRef>
              <c:f>'EDC Predictions by %'!$K$106:$O$106</c:f>
              <c:numCache>
                <c:formatCode>"$"#,##0.00</c:formatCode>
                <c:ptCount val="5"/>
                <c:pt idx="0">
                  <c:v>44.64427440631043</c:v>
                </c:pt>
                <c:pt idx="1">
                  <c:v>55.653557142857146</c:v>
                </c:pt>
                <c:pt idx="2">
                  <c:v>57.653357142857146</c:v>
                </c:pt>
                <c:pt idx="3">
                  <c:v>61.770342857142857</c:v>
                </c:pt>
                <c:pt idx="4">
                  <c:v>65.979257142857151</c:v>
                </c:pt>
              </c:numCache>
            </c:numRef>
          </c:val>
          <c:extLst>
            <c:ext xmlns:c16="http://schemas.microsoft.com/office/drawing/2014/chart" uri="{C3380CC4-5D6E-409C-BE32-E72D297353CC}">
              <c16:uniqueId val="{00000003-742B-4B18-A636-5293FC221140}"/>
            </c:ext>
          </c:extLst>
        </c:ser>
        <c:ser>
          <c:idx val="4"/>
          <c:order val="4"/>
          <c:tx>
            <c:strRef>
              <c:f>'EDC Predictions by %'!$J$107</c:f>
              <c:strCache>
                <c:ptCount val="1"/>
                <c:pt idx="0">
                  <c:v>-5%</c:v>
                </c:pt>
              </c:strCache>
            </c:strRef>
          </c:tx>
          <c:spPr>
            <a:solidFill>
              <a:schemeClr val="accent5"/>
            </a:solidFill>
            <a:ln>
              <a:noFill/>
            </a:ln>
            <a:effectLst/>
          </c:spPr>
          <c:invertIfNegative val="0"/>
          <c:cat>
            <c:numRef>
              <c:f>'EDC Predictions by %'!$K$102:$O$102</c:f>
              <c:numCache>
                <c:formatCode>General</c:formatCode>
                <c:ptCount val="5"/>
                <c:pt idx="0">
                  <c:v>2017</c:v>
                </c:pt>
                <c:pt idx="1">
                  <c:v>2018</c:v>
                </c:pt>
                <c:pt idx="2">
                  <c:v>2019</c:v>
                </c:pt>
                <c:pt idx="3">
                  <c:v>2020</c:v>
                </c:pt>
                <c:pt idx="4">
                  <c:v>2021</c:v>
                </c:pt>
              </c:numCache>
            </c:numRef>
          </c:cat>
          <c:val>
            <c:numRef>
              <c:f>'EDC Predictions by %'!$K$107:$O$107</c:f>
              <c:numCache>
                <c:formatCode>"$"#,##0.00</c:formatCode>
                <c:ptCount val="5"/>
                <c:pt idx="0">
                  <c:v>42.840465339388793</c:v>
                </c:pt>
                <c:pt idx="1">
                  <c:v>53.40492857142857</c:v>
                </c:pt>
                <c:pt idx="2">
                  <c:v>55.323928571428567</c:v>
                </c:pt>
                <c:pt idx="3">
                  <c:v>59.274571428571427</c:v>
                </c:pt>
                <c:pt idx="4">
                  <c:v>63.313428571428567</c:v>
                </c:pt>
              </c:numCache>
            </c:numRef>
          </c:val>
          <c:extLst>
            <c:ext xmlns:c16="http://schemas.microsoft.com/office/drawing/2014/chart" uri="{C3380CC4-5D6E-409C-BE32-E72D297353CC}">
              <c16:uniqueId val="{00000004-742B-4B18-A636-5293FC221140}"/>
            </c:ext>
          </c:extLst>
        </c:ser>
        <c:ser>
          <c:idx val="5"/>
          <c:order val="5"/>
          <c:tx>
            <c:strRef>
              <c:f>'EDC Predictions by %'!$J$108</c:f>
              <c:strCache>
                <c:ptCount val="1"/>
                <c:pt idx="0">
                  <c:v>-10%</c:v>
                </c:pt>
              </c:strCache>
            </c:strRef>
          </c:tx>
          <c:spPr>
            <a:solidFill>
              <a:schemeClr val="accent6"/>
            </a:solidFill>
            <a:ln>
              <a:noFill/>
            </a:ln>
            <a:effectLst/>
          </c:spPr>
          <c:invertIfNegative val="0"/>
          <c:cat>
            <c:numRef>
              <c:f>'EDC Predictions by %'!$K$102:$O$102</c:f>
              <c:numCache>
                <c:formatCode>General</c:formatCode>
                <c:ptCount val="5"/>
                <c:pt idx="0">
                  <c:v>2017</c:v>
                </c:pt>
                <c:pt idx="1">
                  <c:v>2018</c:v>
                </c:pt>
                <c:pt idx="2">
                  <c:v>2019</c:v>
                </c:pt>
                <c:pt idx="3">
                  <c:v>2020</c:v>
                </c:pt>
                <c:pt idx="4">
                  <c:v>2021</c:v>
                </c:pt>
              </c:numCache>
            </c:numRef>
          </c:cat>
          <c:val>
            <c:numRef>
              <c:f>'EDC Predictions by %'!$K$108:$O$108</c:f>
              <c:numCache>
                <c:formatCode>"$"#,##0.00</c:formatCode>
                <c:ptCount val="5"/>
                <c:pt idx="0">
                  <c:v>40.585704005736758</c:v>
                </c:pt>
                <c:pt idx="1">
                  <c:v>50.594142857142863</c:v>
                </c:pt>
                <c:pt idx="2">
                  <c:v>52.412142857142854</c:v>
                </c:pt>
                <c:pt idx="3">
                  <c:v>56.154857142857146</c:v>
                </c:pt>
                <c:pt idx="4">
                  <c:v>59.981142857142864</c:v>
                </c:pt>
              </c:numCache>
            </c:numRef>
          </c:val>
          <c:extLst>
            <c:ext xmlns:c16="http://schemas.microsoft.com/office/drawing/2014/chart" uri="{C3380CC4-5D6E-409C-BE32-E72D297353CC}">
              <c16:uniqueId val="{00000005-742B-4B18-A636-5293FC221140}"/>
            </c:ext>
          </c:extLst>
        </c:ser>
        <c:dLbls>
          <c:showLegendKey val="0"/>
          <c:showVal val="0"/>
          <c:showCatName val="0"/>
          <c:showSerName val="0"/>
          <c:showPercent val="0"/>
          <c:showBubbleSize val="0"/>
        </c:dLbls>
        <c:gapWidth val="219"/>
        <c:overlap val="-27"/>
        <c:axId val="432763864"/>
        <c:axId val="432771736"/>
      </c:barChart>
      <c:catAx>
        <c:axId val="432763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71736"/>
        <c:crosses val="autoZero"/>
        <c:auto val="1"/>
        <c:lblAlgn val="ctr"/>
        <c:lblOffset val="100"/>
        <c:noMultiLvlLbl val="0"/>
      </c:catAx>
      <c:valAx>
        <c:axId val="432771736"/>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Costs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63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Graphs!$B$35:$B$36</c:f>
              <c:strCache>
                <c:ptCount val="2"/>
                <c:pt idx="0">
                  <c:v>Poverty Level</c:v>
                </c:pt>
                <c:pt idx="1">
                  <c:v>0-50%</c:v>
                </c:pt>
              </c:strCache>
            </c:strRef>
          </c:tx>
          <c:spPr>
            <a:solidFill>
              <a:schemeClr val="accent1"/>
            </a:solidFill>
            <a:ln>
              <a:noFill/>
            </a:ln>
            <a:effectLst/>
          </c:spPr>
          <c:invertIfNegative val="0"/>
          <c:cat>
            <c:strRef>
              <c:f>Graphs!$A$37:$A$43</c:f>
              <c:strCache>
                <c:ptCount val="7"/>
                <c:pt idx="0">
                  <c:v>Columbia</c:v>
                </c:pt>
                <c:pt idx="1">
                  <c:v>PECO Gas</c:v>
                </c:pt>
                <c:pt idx="2">
                  <c:v>Peoples</c:v>
                </c:pt>
                <c:pt idx="3">
                  <c:v>EQT</c:v>
                </c:pt>
                <c:pt idx="4">
                  <c:v>PGW</c:v>
                </c:pt>
                <c:pt idx="5">
                  <c:v>UGI Gas</c:v>
                </c:pt>
                <c:pt idx="6">
                  <c:v>UGI PNG</c:v>
                </c:pt>
              </c:strCache>
            </c:strRef>
          </c:cat>
          <c:val>
            <c:numRef>
              <c:f>Graphs!$B$37:$B$43</c:f>
              <c:numCache>
                <c:formatCode>"$"#,##0</c:formatCode>
                <c:ptCount val="7"/>
                <c:pt idx="0">
                  <c:v>-1141670.7142</c:v>
                </c:pt>
                <c:pt idx="1">
                  <c:v>-949471.82573333348</c:v>
                </c:pt>
                <c:pt idx="2">
                  <c:v>-482898.01933333342</c:v>
                </c:pt>
                <c:pt idx="3">
                  <c:v>-644601.76266666688</c:v>
                </c:pt>
                <c:pt idx="4">
                  <c:v>-1070906.652</c:v>
                </c:pt>
                <c:pt idx="5">
                  <c:v>-495780.42453333328</c:v>
                </c:pt>
                <c:pt idx="6">
                  <c:v>-340480.73946666665</c:v>
                </c:pt>
              </c:numCache>
            </c:numRef>
          </c:val>
          <c:extLst>
            <c:ext xmlns:c16="http://schemas.microsoft.com/office/drawing/2014/chart" uri="{C3380CC4-5D6E-409C-BE32-E72D297353CC}">
              <c16:uniqueId val="{00000000-15F7-48DA-8ABB-5A2BDD51334F}"/>
            </c:ext>
          </c:extLst>
        </c:ser>
        <c:ser>
          <c:idx val="1"/>
          <c:order val="1"/>
          <c:tx>
            <c:strRef>
              <c:f>Graphs!$C$35:$C$36</c:f>
              <c:strCache>
                <c:ptCount val="2"/>
                <c:pt idx="0">
                  <c:v>Poverty Level</c:v>
                </c:pt>
                <c:pt idx="1">
                  <c:v>51-100%</c:v>
                </c:pt>
              </c:strCache>
            </c:strRef>
          </c:tx>
          <c:spPr>
            <a:solidFill>
              <a:schemeClr val="accent2"/>
            </a:solidFill>
            <a:ln>
              <a:noFill/>
            </a:ln>
            <a:effectLst/>
          </c:spPr>
          <c:invertIfNegative val="0"/>
          <c:cat>
            <c:strRef>
              <c:f>Graphs!$A$37:$A$43</c:f>
              <c:strCache>
                <c:ptCount val="7"/>
                <c:pt idx="0">
                  <c:v>Columbia</c:v>
                </c:pt>
                <c:pt idx="1">
                  <c:v>PECO Gas</c:v>
                </c:pt>
                <c:pt idx="2">
                  <c:v>Peoples</c:v>
                </c:pt>
                <c:pt idx="3">
                  <c:v>EQT</c:v>
                </c:pt>
                <c:pt idx="4">
                  <c:v>PGW</c:v>
                </c:pt>
                <c:pt idx="5">
                  <c:v>UGI Gas</c:v>
                </c:pt>
                <c:pt idx="6">
                  <c:v>UGI PNG</c:v>
                </c:pt>
              </c:strCache>
            </c:strRef>
          </c:cat>
          <c:val>
            <c:numRef>
              <c:f>Graphs!$C$37:$C$43</c:f>
              <c:numCache>
                <c:formatCode>"$"#,##0</c:formatCode>
                <c:ptCount val="7"/>
                <c:pt idx="0">
                  <c:v>0</c:v>
                </c:pt>
                <c:pt idx="1">
                  <c:v>-1455171.3106666666</c:v>
                </c:pt>
                <c:pt idx="2">
                  <c:v>-988893.33173333365</c:v>
                </c:pt>
                <c:pt idx="3">
                  <c:v>-1571349.6432000003</c:v>
                </c:pt>
                <c:pt idx="4">
                  <c:v>-12030427.088000005</c:v>
                </c:pt>
                <c:pt idx="5">
                  <c:v>-473414.00480000005</c:v>
                </c:pt>
                <c:pt idx="6">
                  <c:v>-576602.56359999999</c:v>
                </c:pt>
              </c:numCache>
            </c:numRef>
          </c:val>
          <c:extLst>
            <c:ext xmlns:c16="http://schemas.microsoft.com/office/drawing/2014/chart" uri="{C3380CC4-5D6E-409C-BE32-E72D297353CC}">
              <c16:uniqueId val="{00000001-15F7-48DA-8ABB-5A2BDD51334F}"/>
            </c:ext>
          </c:extLst>
        </c:ser>
        <c:ser>
          <c:idx val="2"/>
          <c:order val="2"/>
          <c:tx>
            <c:strRef>
              <c:f>Graphs!$D$35:$D$36</c:f>
              <c:strCache>
                <c:ptCount val="2"/>
                <c:pt idx="0">
                  <c:v>Poverty Level</c:v>
                </c:pt>
                <c:pt idx="1">
                  <c:v>101-150%</c:v>
                </c:pt>
              </c:strCache>
            </c:strRef>
          </c:tx>
          <c:spPr>
            <a:solidFill>
              <a:schemeClr val="accent3"/>
            </a:solidFill>
            <a:ln>
              <a:noFill/>
            </a:ln>
            <a:effectLst/>
          </c:spPr>
          <c:invertIfNegative val="0"/>
          <c:cat>
            <c:strRef>
              <c:f>Graphs!$A$37:$A$43</c:f>
              <c:strCache>
                <c:ptCount val="7"/>
                <c:pt idx="0">
                  <c:v>Columbia</c:v>
                </c:pt>
                <c:pt idx="1">
                  <c:v>PECO Gas</c:v>
                </c:pt>
                <c:pt idx="2">
                  <c:v>Peoples</c:v>
                </c:pt>
                <c:pt idx="3">
                  <c:v>EQT</c:v>
                </c:pt>
                <c:pt idx="4">
                  <c:v>PGW</c:v>
                </c:pt>
                <c:pt idx="5">
                  <c:v>UGI Gas</c:v>
                </c:pt>
                <c:pt idx="6">
                  <c:v>UGI PNG</c:v>
                </c:pt>
              </c:strCache>
            </c:strRef>
          </c:cat>
          <c:val>
            <c:numRef>
              <c:f>Graphs!$D$37:$D$43</c:f>
              <c:numCache>
                <c:formatCode>"$"#,##0</c:formatCode>
                <c:ptCount val="7"/>
                <c:pt idx="0">
                  <c:v>0</c:v>
                </c:pt>
                <c:pt idx="1">
                  <c:v>-1071488.4191333335</c:v>
                </c:pt>
                <c:pt idx="2">
                  <c:v>0</c:v>
                </c:pt>
                <c:pt idx="3">
                  <c:v>-338626.89466666663</c:v>
                </c:pt>
                <c:pt idx="4">
                  <c:v>-7526890.8322666679</c:v>
                </c:pt>
                <c:pt idx="5">
                  <c:v>-156750.82160000002</c:v>
                </c:pt>
                <c:pt idx="6">
                  <c:v>-191031.98546666669</c:v>
                </c:pt>
              </c:numCache>
            </c:numRef>
          </c:val>
          <c:extLst>
            <c:ext xmlns:c16="http://schemas.microsoft.com/office/drawing/2014/chart" uri="{C3380CC4-5D6E-409C-BE32-E72D297353CC}">
              <c16:uniqueId val="{00000002-15F7-48DA-8ABB-5A2BDD51334F}"/>
            </c:ext>
          </c:extLst>
        </c:ser>
        <c:dLbls>
          <c:showLegendKey val="0"/>
          <c:showVal val="0"/>
          <c:showCatName val="0"/>
          <c:showSerName val="0"/>
          <c:showPercent val="0"/>
          <c:showBubbleSize val="0"/>
        </c:dLbls>
        <c:gapWidth val="150"/>
        <c:axId val="314032344"/>
        <c:axId val="314038904"/>
      </c:barChart>
      <c:catAx>
        <c:axId val="31403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038904"/>
        <c:crosses val="autoZero"/>
        <c:auto val="1"/>
        <c:lblAlgn val="ctr"/>
        <c:lblOffset val="100"/>
        <c:noMultiLvlLbl val="0"/>
      </c:catAx>
      <c:valAx>
        <c:axId val="314038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Dollars</a:t>
                </a:r>
              </a:p>
            </c:rich>
          </c:tx>
          <c:layout>
            <c:manualLayout>
              <c:xMode val="edge"/>
              <c:yMode val="edge"/>
              <c:x val="6.743294476660977E-2"/>
              <c:y val="0.3602153196956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032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Graphs!$B$3:$B$4</c:f>
              <c:strCache>
                <c:ptCount val="2"/>
                <c:pt idx="0">
                  <c:v>Poverty Level</c:v>
                </c:pt>
                <c:pt idx="1">
                  <c:v>0-50%</c:v>
                </c:pt>
              </c:strCache>
            </c:strRef>
          </c:tx>
          <c:spPr>
            <a:solidFill>
              <a:schemeClr val="accent1"/>
            </a:solidFill>
            <a:ln>
              <a:noFill/>
            </a:ln>
            <a:effectLst/>
          </c:spPr>
          <c:invertIfNegative val="0"/>
          <c:cat>
            <c:strRef>
              <c:f>Graphs!$A$5:$A$11</c:f>
              <c:strCache>
                <c:ptCount val="7"/>
                <c:pt idx="0">
                  <c:v>Duquesne</c:v>
                </c:pt>
                <c:pt idx="1">
                  <c:v>Met Ed</c:v>
                </c:pt>
                <c:pt idx="2">
                  <c:v>PECO Electric</c:v>
                </c:pt>
                <c:pt idx="3">
                  <c:v>Penelec</c:v>
                </c:pt>
                <c:pt idx="4">
                  <c:v>Penn Power</c:v>
                </c:pt>
                <c:pt idx="5">
                  <c:v>PPL</c:v>
                </c:pt>
                <c:pt idx="6">
                  <c:v>West Penn</c:v>
                </c:pt>
              </c:strCache>
            </c:strRef>
          </c:cat>
          <c:val>
            <c:numRef>
              <c:f>Graphs!$B$5:$B$11</c:f>
              <c:numCache>
                <c:formatCode>"$"#,##0</c:formatCode>
                <c:ptCount val="7"/>
                <c:pt idx="0">
                  <c:v>-508935.79799999995</c:v>
                </c:pt>
                <c:pt idx="1">
                  <c:v>-94059.208333333314</c:v>
                </c:pt>
                <c:pt idx="2">
                  <c:v>-2704923.1736666667</c:v>
                </c:pt>
                <c:pt idx="3">
                  <c:v>-145120.02399999998</c:v>
                </c:pt>
                <c:pt idx="4">
                  <c:v>-173337.02833333329</c:v>
                </c:pt>
                <c:pt idx="5">
                  <c:v>-931181.50299999979</c:v>
                </c:pt>
                <c:pt idx="6">
                  <c:v>-617331.17466666666</c:v>
                </c:pt>
              </c:numCache>
            </c:numRef>
          </c:val>
          <c:extLst>
            <c:ext xmlns:c16="http://schemas.microsoft.com/office/drawing/2014/chart" uri="{C3380CC4-5D6E-409C-BE32-E72D297353CC}">
              <c16:uniqueId val="{00000000-C670-48DE-AF78-7E64841ED00F}"/>
            </c:ext>
          </c:extLst>
        </c:ser>
        <c:ser>
          <c:idx val="1"/>
          <c:order val="1"/>
          <c:tx>
            <c:strRef>
              <c:f>Graphs!$C$3:$C$4</c:f>
              <c:strCache>
                <c:ptCount val="2"/>
                <c:pt idx="0">
                  <c:v>Poverty Level</c:v>
                </c:pt>
                <c:pt idx="1">
                  <c:v>51-100%</c:v>
                </c:pt>
              </c:strCache>
            </c:strRef>
          </c:tx>
          <c:spPr>
            <a:solidFill>
              <a:schemeClr val="accent2"/>
            </a:solidFill>
            <a:ln>
              <a:noFill/>
            </a:ln>
            <a:effectLst/>
          </c:spPr>
          <c:invertIfNegative val="0"/>
          <c:cat>
            <c:strRef>
              <c:f>Graphs!$A$5:$A$11</c:f>
              <c:strCache>
                <c:ptCount val="7"/>
                <c:pt idx="0">
                  <c:v>Duquesne</c:v>
                </c:pt>
                <c:pt idx="1">
                  <c:v>Met Ed</c:v>
                </c:pt>
                <c:pt idx="2">
                  <c:v>PECO Electric</c:v>
                </c:pt>
                <c:pt idx="3">
                  <c:v>Penelec</c:v>
                </c:pt>
                <c:pt idx="4">
                  <c:v>Penn Power</c:v>
                </c:pt>
                <c:pt idx="5">
                  <c:v>PPL</c:v>
                </c:pt>
                <c:pt idx="6">
                  <c:v>West Penn</c:v>
                </c:pt>
              </c:strCache>
            </c:strRef>
          </c:cat>
          <c:val>
            <c:numRef>
              <c:f>Graphs!$C$5:$C$11</c:f>
              <c:numCache>
                <c:formatCode>"$"#,##0</c:formatCode>
                <c:ptCount val="7"/>
                <c:pt idx="0">
                  <c:v>-314354.0876666666</c:v>
                </c:pt>
                <c:pt idx="1">
                  <c:v>0</c:v>
                </c:pt>
                <c:pt idx="2">
                  <c:v>-3027842.4313333328</c:v>
                </c:pt>
                <c:pt idx="3">
                  <c:v>0</c:v>
                </c:pt>
                <c:pt idx="4">
                  <c:v>-17529.576999999983</c:v>
                </c:pt>
                <c:pt idx="5">
                  <c:v>0</c:v>
                </c:pt>
                <c:pt idx="6">
                  <c:v>-60350.92499999985</c:v>
                </c:pt>
              </c:numCache>
            </c:numRef>
          </c:val>
          <c:extLst>
            <c:ext xmlns:c16="http://schemas.microsoft.com/office/drawing/2014/chart" uri="{C3380CC4-5D6E-409C-BE32-E72D297353CC}">
              <c16:uniqueId val="{00000001-C670-48DE-AF78-7E64841ED00F}"/>
            </c:ext>
          </c:extLst>
        </c:ser>
        <c:ser>
          <c:idx val="2"/>
          <c:order val="2"/>
          <c:tx>
            <c:strRef>
              <c:f>Graphs!$D$3:$D$4</c:f>
              <c:strCache>
                <c:ptCount val="2"/>
                <c:pt idx="0">
                  <c:v>Poverty Level</c:v>
                </c:pt>
                <c:pt idx="1">
                  <c:v>101-150%</c:v>
                </c:pt>
              </c:strCache>
            </c:strRef>
          </c:tx>
          <c:spPr>
            <a:solidFill>
              <a:schemeClr val="accent3"/>
            </a:solidFill>
            <a:ln>
              <a:noFill/>
            </a:ln>
            <a:effectLst/>
          </c:spPr>
          <c:invertIfNegative val="0"/>
          <c:cat>
            <c:strRef>
              <c:f>Graphs!$A$5:$A$11</c:f>
              <c:strCache>
                <c:ptCount val="7"/>
                <c:pt idx="0">
                  <c:v>Duquesne</c:v>
                </c:pt>
                <c:pt idx="1">
                  <c:v>Met Ed</c:v>
                </c:pt>
                <c:pt idx="2">
                  <c:v>PECO Electric</c:v>
                </c:pt>
                <c:pt idx="3">
                  <c:v>Penelec</c:v>
                </c:pt>
                <c:pt idx="4">
                  <c:v>Penn Power</c:v>
                </c:pt>
                <c:pt idx="5">
                  <c:v>PPL</c:v>
                </c:pt>
                <c:pt idx="6">
                  <c:v>West Penn</c:v>
                </c:pt>
              </c:strCache>
            </c:strRef>
          </c:cat>
          <c:val>
            <c:numRef>
              <c:f>Graphs!$D$5:$D$11</c:f>
              <c:numCache>
                <c:formatCode>"$"#,##0</c:formatCode>
                <c:ptCount val="7"/>
                <c:pt idx="0">
                  <c:v>0</c:v>
                </c:pt>
                <c:pt idx="1">
                  <c:v>0</c:v>
                </c:pt>
                <c:pt idx="2">
                  <c:v>-680775.82666666608</c:v>
                </c:pt>
                <c:pt idx="3">
                  <c:v>0</c:v>
                </c:pt>
                <c:pt idx="4">
                  <c:v>0</c:v>
                </c:pt>
                <c:pt idx="5">
                  <c:v>0</c:v>
                </c:pt>
                <c:pt idx="6">
                  <c:v>0</c:v>
                </c:pt>
              </c:numCache>
            </c:numRef>
          </c:val>
          <c:extLst>
            <c:ext xmlns:c16="http://schemas.microsoft.com/office/drawing/2014/chart" uri="{C3380CC4-5D6E-409C-BE32-E72D297353CC}">
              <c16:uniqueId val="{00000002-C670-48DE-AF78-7E64841ED00F}"/>
            </c:ext>
          </c:extLst>
        </c:ser>
        <c:dLbls>
          <c:showLegendKey val="0"/>
          <c:showVal val="0"/>
          <c:showCatName val="0"/>
          <c:showSerName val="0"/>
          <c:showPercent val="0"/>
          <c:showBubbleSize val="0"/>
        </c:dLbls>
        <c:gapWidth val="150"/>
        <c:axId val="937848840"/>
        <c:axId val="937849168"/>
      </c:barChart>
      <c:catAx>
        <c:axId val="93784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937849168"/>
        <c:crosses val="autoZero"/>
        <c:auto val="1"/>
        <c:lblAlgn val="ctr"/>
        <c:lblOffset val="100"/>
        <c:noMultiLvlLbl val="0"/>
      </c:catAx>
      <c:valAx>
        <c:axId val="937849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Dollars</a:t>
                </a:r>
              </a:p>
            </c:rich>
          </c:tx>
          <c:layout>
            <c:manualLayout>
              <c:xMode val="edge"/>
              <c:yMode val="edge"/>
              <c:x val="7.5565492468268672E-2"/>
              <c:y val="0.363953581204009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7848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Graphs!$B$20:$B$21</c:f>
              <c:strCache>
                <c:ptCount val="2"/>
                <c:pt idx="0">
                  <c:v>Poverty Level</c:v>
                </c:pt>
                <c:pt idx="1">
                  <c:v>0-50%</c:v>
                </c:pt>
              </c:strCache>
            </c:strRef>
          </c:tx>
          <c:spPr>
            <a:solidFill>
              <a:schemeClr val="accent1"/>
            </a:solidFill>
            <a:ln>
              <a:noFill/>
            </a:ln>
            <a:effectLst/>
          </c:spPr>
          <c:invertIfNegative val="0"/>
          <c:cat>
            <c:strRef>
              <c:f>Graphs!$A$22:$A$28</c:f>
              <c:strCache>
                <c:ptCount val="7"/>
                <c:pt idx="0">
                  <c:v>Duquesne</c:v>
                </c:pt>
                <c:pt idx="1">
                  <c:v>Met Ed</c:v>
                </c:pt>
                <c:pt idx="2">
                  <c:v>PECO Electric</c:v>
                </c:pt>
                <c:pt idx="3">
                  <c:v>Penelec</c:v>
                </c:pt>
                <c:pt idx="4">
                  <c:v>Penn Power</c:v>
                </c:pt>
                <c:pt idx="5">
                  <c:v>PPL</c:v>
                </c:pt>
                <c:pt idx="6">
                  <c:v>West Penn</c:v>
                </c:pt>
              </c:strCache>
            </c:strRef>
          </c:cat>
          <c:val>
            <c:numRef>
              <c:f>Graphs!$B$22:$B$28</c:f>
              <c:numCache>
                <c:formatCode>"$"#,##0</c:formatCode>
                <c:ptCount val="7"/>
                <c:pt idx="0">
                  <c:v>-4912741.2733333334</c:v>
                </c:pt>
                <c:pt idx="1">
                  <c:v>-952976.74086666666</c:v>
                </c:pt>
                <c:pt idx="2">
                  <c:v>-10837681.353600001</c:v>
                </c:pt>
                <c:pt idx="3">
                  <c:v>-1381508.1455999999</c:v>
                </c:pt>
                <c:pt idx="4">
                  <c:v>-542032.80093333335</c:v>
                </c:pt>
                <c:pt idx="5">
                  <c:v>-2676214.4640000002</c:v>
                </c:pt>
                <c:pt idx="6">
                  <c:v>-1979613.2999999998</c:v>
                </c:pt>
              </c:numCache>
            </c:numRef>
          </c:val>
          <c:extLst>
            <c:ext xmlns:c16="http://schemas.microsoft.com/office/drawing/2014/chart" uri="{C3380CC4-5D6E-409C-BE32-E72D297353CC}">
              <c16:uniqueId val="{00000000-4819-4C62-A612-7946F0976C4F}"/>
            </c:ext>
          </c:extLst>
        </c:ser>
        <c:ser>
          <c:idx val="1"/>
          <c:order val="1"/>
          <c:tx>
            <c:strRef>
              <c:f>Graphs!$C$20:$C$21</c:f>
              <c:strCache>
                <c:ptCount val="2"/>
                <c:pt idx="0">
                  <c:v>Poverty Level</c:v>
                </c:pt>
                <c:pt idx="1">
                  <c:v>51-100%</c:v>
                </c:pt>
              </c:strCache>
            </c:strRef>
          </c:tx>
          <c:spPr>
            <a:solidFill>
              <a:schemeClr val="accent2"/>
            </a:solidFill>
            <a:ln>
              <a:noFill/>
            </a:ln>
            <a:effectLst/>
          </c:spPr>
          <c:invertIfNegative val="0"/>
          <c:cat>
            <c:strRef>
              <c:f>Graphs!$A$22:$A$28</c:f>
              <c:strCache>
                <c:ptCount val="7"/>
                <c:pt idx="0">
                  <c:v>Duquesne</c:v>
                </c:pt>
                <c:pt idx="1">
                  <c:v>Met Ed</c:v>
                </c:pt>
                <c:pt idx="2">
                  <c:v>PECO Electric</c:v>
                </c:pt>
                <c:pt idx="3">
                  <c:v>Penelec</c:v>
                </c:pt>
                <c:pt idx="4">
                  <c:v>Penn Power</c:v>
                </c:pt>
                <c:pt idx="5">
                  <c:v>PPL</c:v>
                </c:pt>
                <c:pt idx="6">
                  <c:v>West Penn</c:v>
                </c:pt>
              </c:strCache>
            </c:strRef>
          </c:cat>
          <c:val>
            <c:numRef>
              <c:f>Graphs!$C$22:$C$28</c:f>
              <c:numCache>
                <c:formatCode>"$"#,##0</c:formatCode>
                <c:ptCount val="7"/>
                <c:pt idx="0">
                  <c:v>-6543037.8599999994</c:v>
                </c:pt>
                <c:pt idx="1">
                  <c:v>-414068.30800000014</c:v>
                </c:pt>
                <c:pt idx="2">
                  <c:v>-15107488.622666666</c:v>
                </c:pt>
                <c:pt idx="3">
                  <c:v>0</c:v>
                </c:pt>
                <c:pt idx="4">
                  <c:v>-187417.98599999998</c:v>
                </c:pt>
                <c:pt idx="5">
                  <c:v>-4442828.7378666662</c:v>
                </c:pt>
                <c:pt idx="6">
                  <c:v>-2430374.1927999994</c:v>
                </c:pt>
              </c:numCache>
            </c:numRef>
          </c:val>
          <c:extLst>
            <c:ext xmlns:c16="http://schemas.microsoft.com/office/drawing/2014/chart" uri="{C3380CC4-5D6E-409C-BE32-E72D297353CC}">
              <c16:uniqueId val="{00000001-4819-4C62-A612-7946F0976C4F}"/>
            </c:ext>
          </c:extLst>
        </c:ser>
        <c:ser>
          <c:idx val="2"/>
          <c:order val="2"/>
          <c:tx>
            <c:strRef>
              <c:f>Graphs!$D$20:$D$21</c:f>
              <c:strCache>
                <c:ptCount val="2"/>
                <c:pt idx="0">
                  <c:v>Poverty Level</c:v>
                </c:pt>
                <c:pt idx="1">
                  <c:v>101-150%</c:v>
                </c:pt>
              </c:strCache>
            </c:strRef>
          </c:tx>
          <c:spPr>
            <a:solidFill>
              <a:schemeClr val="accent3"/>
            </a:solidFill>
            <a:ln>
              <a:noFill/>
            </a:ln>
            <a:effectLst/>
          </c:spPr>
          <c:invertIfNegative val="0"/>
          <c:cat>
            <c:strRef>
              <c:f>Graphs!$A$22:$A$28</c:f>
              <c:strCache>
                <c:ptCount val="7"/>
                <c:pt idx="0">
                  <c:v>Duquesne</c:v>
                </c:pt>
                <c:pt idx="1">
                  <c:v>Met Ed</c:v>
                </c:pt>
                <c:pt idx="2">
                  <c:v>PECO Electric</c:v>
                </c:pt>
                <c:pt idx="3">
                  <c:v>Penelec</c:v>
                </c:pt>
                <c:pt idx="4">
                  <c:v>Penn Power</c:v>
                </c:pt>
                <c:pt idx="5">
                  <c:v>PPL</c:v>
                </c:pt>
                <c:pt idx="6">
                  <c:v>West Penn</c:v>
                </c:pt>
              </c:strCache>
            </c:strRef>
          </c:cat>
          <c:val>
            <c:numRef>
              <c:f>Graphs!$D$22:$D$28</c:f>
              <c:numCache>
                <c:formatCode>"$"#,##0</c:formatCode>
                <c:ptCount val="7"/>
                <c:pt idx="0">
                  <c:v>-1872303.3943999999</c:v>
                </c:pt>
                <c:pt idx="1">
                  <c:v>0</c:v>
                </c:pt>
                <c:pt idx="2">
                  <c:v>-5708105.4407999991</c:v>
                </c:pt>
                <c:pt idx="3">
                  <c:v>0</c:v>
                </c:pt>
                <c:pt idx="4">
                  <c:v>-108075.1477333333</c:v>
                </c:pt>
                <c:pt idx="5">
                  <c:v>-402887.02079999994</c:v>
                </c:pt>
                <c:pt idx="6">
                  <c:v>-1158215.4095999999</c:v>
                </c:pt>
              </c:numCache>
            </c:numRef>
          </c:val>
          <c:extLst>
            <c:ext xmlns:c16="http://schemas.microsoft.com/office/drawing/2014/chart" uri="{C3380CC4-5D6E-409C-BE32-E72D297353CC}">
              <c16:uniqueId val="{00000002-4819-4C62-A612-7946F0976C4F}"/>
            </c:ext>
          </c:extLst>
        </c:ser>
        <c:dLbls>
          <c:showLegendKey val="0"/>
          <c:showVal val="0"/>
          <c:showCatName val="0"/>
          <c:showSerName val="0"/>
          <c:showPercent val="0"/>
          <c:showBubbleSize val="0"/>
        </c:dLbls>
        <c:gapWidth val="150"/>
        <c:axId val="927225480"/>
        <c:axId val="927227776"/>
      </c:barChart>
      <c:catAx>
        <c:axId val="927225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7227776"/>
        <c:crosses val="autoZero"/>
        <c:auto val="1"/>
        <c:lblAlgn val="ctr"/>
        <c:lblOffset val="100"/>
        <c:noMultiLvlLbl val="0"/>
      </c:catAx>
      <c:valAx>
        <c:axId val="92722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Dollars</a:t>
                </a:r>
              </a:p>
            </c:rich>
          </c:tx>
          <c:layout>
            <c:manualLayout>
              <c:xMode val="edge"/>
              <c:yMode val="edge"/>
              <c:x val="7.1519778396489556E-2"/>
              <c:y val="0.388338092195065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7225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'CAP Cost Change Tables'!$O$44</c:f>
              <c:strCache>
                <c:ptCount val="1"/>
                <c:pt idx="0">
                  <c:v>Amount</c:v>
                </c:pt>
              </c:strCache>
            </c:strRef>
          </c:tx>
          <c:spPr>
            <a:solidFill>
              <a:schemeClr val="accent1"/>
            </a:solidFill>
            <a:ln>
              <a:noFill/>
            </a:ln>
            <a:effectLst/>
          </c:spPr>
          <c:invertIfNegative val="0"/>
          <c:cat>
            <c:strRef>
              <c:f>'CAP Cost Change Tables'!$N$45:$N$51</c:f>
              <c:strCache>
                <c:ptCount val="7"/>
                <c:pt idx="0">
                  <c:v>Columbia</c:v>
                </c:pt>
                <c:pt idx="1">
                  <c:v>PECO Gas</c:v>
                </c:pt>
                <c:pt idx="2">
                  <c:v>Peoples</c:v>
                </c:pt>
                <c:pt idx="3">
                  <c:v>EQT</c:v>
                </c:pt>
                <c:pt idx="4">
                  <c:v>PGW</c:v>
                </c:pt>
                <c:pt idx="5">
                  <c:v>UGI Gas</c:v>
                </c:pt>
                <c:pt idx="6">
                  <c:v>UGI PNG</c:v>
                </c:pt>
              </c:strCache>
            </c:strRef>
          </c:cat>
          <c:val>
            <c:numRef>
              <c:f>'CAP Cost Change Tables'!$O$45:$O$51</c:f>
              <c:numCache>
                <c:formatCode>"$"#,##0</c:formatCode>
                <c:ptCount val="7"/>
                <c:pt idx="0">
                  <c:v>-1141670.7142</c:v>
                </c:pt>
                <c:pt idx="1">
                  <c:v>-3476131.5555333337</c:v>
                </c:pt>
                <c:pt idx="2">
                  <c:v>-1471791.3510666671</c:v>
                </c:pt>
                <c:pt idx="3">
                  <c:v>-2554578.3005333338</c:v>
                </c:pt>
                <c:pt idx="4">
                  <c:v>-20628224.572266676</c:v>
                </c:pt>
                <c:pt idx="5">
                  <c:v>-1125945.2509333333</c:v>
                </c:pt>
                <c:pt idx="6">
                  <c:v>-1108115.2885333335</c:v>
                </c:pt>
              </c:numCache>
            </c:numRef>
          </c:val>
          <c:extLst>
            <c:ext xmlns:c16="http://schemas.microsoft.com/office/drawing/2014/chart" uri="{C3380CC4-5D6E-409C-BE32-E72D297353CC}">
              <c16:uniqueId val="{00000000-642B-4D2A-AF6C-6C079CACE1A4}"/>
            </c:ext>
          </c:extLst>
        </c:ser>
        <c:dLbls>
          <c:showLegendKey val="0"/>
          <c:showVal val="0"/>
          <c:showCatName val="0"/>
          <c:showSerName val="0"/>
          <c:showPercent val="0"/>
          <c:showBubbleSize val="0"/>
        </c:dLbls>
        <c:gapWidth val="150"/>
        <c:axId val="853354600"/>
        <c:axId val="853352960"/>
      </c:barChart>
      <c:catAx>
        <c:axId val="85335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352960"/>
        <c:crosses val="autoZero"/>
        <c:auto val="1"/>
        <c:lblAlgn val="ctr"/>
        <c:lblOffset val="100"/>
        <c:noMultiLvlLbl val="0"/>
      </c:catAx>
      <c:valAx>
        <c:axId val="85335296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354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i="1"/>
              <a:t>Green shaded area reflects CAP Policy Statement</a:t>
            </a:r>
          </a:p>
          <a:p>
            <a:pPr>
              <a:defRPr/>
            </a:pPr>
            <a:r>
              <a:rPr lang="en-US" sz="1000" i="1"/>
              <a:t>Max Energy Burden Level Range (7-13%)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 (HEAT STATUS-POVERTY LEVEL)'!$B$77</c:f>
              <c:strCache>
                <c:ptCount val="1"/>
                <c:pt idx="0">
                  <c:v>2012</c:v>
                </c:pt>
              </c:strCache>
            </c:strRef>
          </c:tx>
          <c:spPr>
            <a:solidFill>
              <a:schemeClr val="accent1"/>
            </a:solidFill>
            <a:ln>
              <a:noFill/>
            </a:ln>
            <a:effectLst/>
          </c:spPr>
          <c:invertIfNegative val="0"/>
          <c:cat>
            <c:strRef>
              <c:f>'CAP (HEAT STATUS-POVERTY LEVEL)'!$A$78:$A$84</c:f>
              <c:strCache>
                <c:ptCount val="7"/>
                <c:pt idx="0">
                  <c:v>Duquesne</c:v>
                </c:pt>
                <c:pt idx="1">
                  <c:v>Met Ed</c:v>
                </c:pt>
                <c:pt idx="2">
                  <c:v>PECO Electric</c:v>
                </c:pt>
                <c:pt idx="3">
                  <c:v>Penelec</c:v>
                </c:pt>
                <c:pt idx="4">
                  <c:v>Penn Power</c:v>
                </c:pt>
                <c:pt idx="5">
                  <c:v>PPL</c:v>
                </c:pt>
                <c:pt idx="6">
                  <c:v>West Penn</c:v>
                </c:pt>
              </c:strCache>
            </c:strRef>
          </c:cat>
          <c:val>
            <c:numRef>
              <c:f>'CAP (HEAT STATUS-POVERTY LEVEL)'!$B$78:$B$84</c:f>
              <c:numCache>
                <c:formatCode>0.00</c:formatCode>
                <c:ptCount val="7"/>
                <c:pt idx="0">
                  <c:v>25.9</c:v>
                </c:pt>
                <c:pt idx="1">
                  <c:v>4.8</c:v>
                </c:pt>
                <c:pt idx="2">
                  <c:v>24.39</c:v>
                </c:pt>
                <c:pt idx="3">
                  <c:v>10.62</c:v>
                </c:pt>
                <c:pt idx="4">
                  <c:v>41.75</c:v>
                </c:pt>
                <c:pt idx="5">
                  <c:v>13.96</c:v>
                </c:pt>
                <c:pt idx="6">
                  <c:v>30.51</c:v>
                </c:pt>
              </c:numCache>
            </c:numRef>
          </c:val>
          <c:extLst>
            <c:ext xmlns:c16="http://schemas.microsoft.com/office/drawing/2014/chart" uri="{C3380CC4-5D6E-409C-BE32-E72D297353CC}">
              <c16:uniqueId val="{00000000-AB77-4368-AE07-4CC3C06D0596}"/>
            </c:ext>
          </c:extLst>
        </c:ser>
        <c:ser>
          <c:idx val="1"/>
          <c:order val="1"/>
          <c:tx>
            <c:strRef>
              <c:f>'CAP (HEAT STATUS-POVERTY LEVEL)'!$C$77</c:f>
              <c:strCache>
                <c:ptCount val="1"/>
                <c:pt idx="0">
                  <c:v>2013</c:v>
                </c:pt>
              </c:strCache>
            </c:strRef>
          </c:tx>
          <c:spPr>
            <a:solidFill>
              <a:schemeClr val="accent2"/>
            </a:solidFill>
            <a:ln>
              <a:noFill/>
            </a:ln>
            <a:effectLst/>
          </c:spPr>
          <c:invertIfNegative val="0"/>
          <c:cat>
            <c:strRef>
              <c:f>'CAP (HEAT STATUS-POVERTY LEVEL)'!$A$78:$A$84</c:f>
              <c:strCache>
                <c:ptCount val="7"/>
                <c:pt idx="0">
                  <c:v>Duquesne</c:v>
                </c:pt>
                <c:pt idx="1">
                  <c:v>Met Ed</c:v>
                </c:pt>
                <c:pt idx="2">
                  <c:v>PECO Electric</c:v>
                </c:pt>
                <c:pt idx="3">
                  <c:v>Penelec</c:v>
                </c:pt>
                <c:pt idx="4">
                  <c:v>Penn Power</c:v>
                </c:pt>
                <c:pt idx="5">
                  <c:v>PPL</c:v>
                </c:pt>
                <c:pt idx="6">
                  <c:v>West Penn</c:v>
                </c:pt>
              </c:strCache>
            </c:strRef>
          </c:cat>
          <c:val>
            <c:numRef>
              <c:f>'CAP (HEAT STATUS-POVERTY LEVEL)'!$C$78:$C$84</c:f>
              <c:numCache>
                <c:formatCode>0.00</c:formatCode>
                <c:ptCount val="7"/>
                <c:pt idx="0">
                  <c:v>24.87</c:v>
                </c:pt>
                <c:pt idx="1">
                  <c:v>5.48</c:v>
                </c:pt>
                <c:pt idx="2">
                  <c:v>23.61</c:v>
                </c:pt>
                <c:pt idx="3">
                  <c:v>9.1300000000000008</c:v>
                </c:pt>
                <c:pt idx="4">
                  <c:v>31.29</c:v>
                </c:pt>
                <c:pt idx="5">
                  <c:v>13.36</c:v>
                </c:pt>
                <c:pt idx="6">
                  <c:v>20.27</c:v>
                </c:pt>
              </c:numCache>
            </c:numRef>
          </c:val>
          <c:extLst>
            <c:ext xmlns:c16="http://schemas.microsoft.com/office/drawing/2014/chart" uri="{C3380CC4-5D6E-409C-BE32-E72D297353CC}">
              <c16:uniqueId val="{00000001-AB77-4368-AE07-4CC3C06D0596}"/>
            </c:ext>
          </c:extLst>
        </c:ser>
        <c:ser>
          <c:idx val="2"/>
          <c:order val="2"/>
          <c:tx>
            <c:strRef>
              <c:f>'CAP (HEAT STATUS-POVERTY LEVEL)'!$D$77</c:f>
              <c:strCache>
                <c:ptCount val="1"/>
                <c:pt idx="0">
                  <c:v>2014</c:v>
                </c:pt>
              </c:strCache>
            </c:strRef>
          </c:tx>
          <c:spPr>
            <a:solidFill>
              <a:schemeClr val="accent3"/>
            </a:solidFill>
            <a:ln>
              <a:noFill/>
            </a:ln>
            <a:effectLst/>
          </c:spPr>
          <c:invertIfNegative val="0"/>
          <c:cat>
            <c:strRef>
              <c:f>'CAP (HEAT STATUS-POVERTY LEVEL)'!$A$78:$A$84</c:f>
              <c:strCache>
                <c:ptCount val="7"/>
                <c:pt idx="0">
                  <c:v>Duquesne</c:v>
                </c:pt>
                <c:pt idx="1">
                  <c:v>Met Ed</c:v>
                </c:pt>
                <c:pt idx="2">
                  <c:v>PECO Electric</c:v>
                </c:pt>
                <c:pt idx="3">
                  <c:v>Penelec</c:v>
                </c:pt>
                <c:pt idx="4">
                  <c:v>Penn Power</c:v>
                </c:pt>
                <c:pt idx="5">
                  <c:v>PPL</c:v>
                </c:pt>
                <c:pt idx="6">
                  <c:v>West Penn</c:v>
                </c:pt>
              </c:strCache>
            </c:strRef>
          </c:cat>
          <c:val>
            <c:numRef>
              <c:f>'CAP (HEAT STATUS-POVERTY LEVEL)'!$D$78:$D$84</c:f>
              <c:numCache>
                <c:formatCode>0.00</c:formatCode>
                <c:ptCount val="7"/>
                <c:pt idx="0">
                  <c:v>14.08</c:v>
                </c:pt>
                <c:pt idx="1">
                  <c:v>11.92</c:v>
                </c:pt>
                <c:pt idx="2">
                  <c:v>24.8</c:v>
                </c:pt>
                <c:pt idx="3">
                  <c:v>17.61</c:v>
                </c:pt>
                <c:pt idx="4">
                  <c:v>23.15</c:v>
                </c:pt>
                <c:pt idx="5">
                  <c:v>14.06</c:v>
                </c:pt>
                <c:pt idx="6">
                  <c:v>24.28</c:v>
                </c:pt>
              </c:numCache>
            </c:numRef>
          </c:val>
          <c:extLst>
            <c:ext xmlns:c16="http://schemas.microsoft.com/office/drawing/2014/chart" uri="{C3380CC4-5D6E-409C-BE32-E72D297353CC}">
              <c16:uniqueId val="{00000002-AB77-4368-AE07-4CC3C06D0596}"/>
            </c:ext>
          </c:extLst>
        </c:ser>
        <c:ser>
          <c:idx val="3"/>
          <c:order val="3"/>
          <c:tx>
            <c:strRef>
              <c:f>'CAP (HEAT STATUS-POVERTY LEVEL)'!$E$77</c:f>
              <c:strCache>
                <c:ptCount val="1"/>
                <c:pt idx="0">
                  <c:v>2015</c:v>
                </c:pt>
              </c:strCache>
            </c:strRef>
          </c:tx>
          <c:spPr>
            <a:solidFill>
              <a:schemeClr val="accent4"/>
            </a:solidFill>
            <a:ln>
              <a:noFill/>
            </a:ln>
            <a:effectLst/>
          </c:spPr>
          <c:invertIfNegative val="0"/>
          <c:cat>
            <c:strRef>
              <c:f>'CAP (HEAT STATUS-POVERTY LEVEL)'!$A$78:$A$84</c:f>
              <c:strCache>
                <c:ptCount val="7"/>
                <c:pt idx="0">
                  <c:v>Duquesne</c:v>
                </c:pt>
                <c:pt idx="1">
                  <c:v>Met Ed</c:v>
                </c:pt>
                <c:pt idx="2">
                  <c:v>PECO Electric</c:v>
                </c:pt>
                <c:pt idx="3">
                  <c:v>Penelec</c:v>
                </c:pt>
                <c:pt idx="4">
                  <c:v>Penn Power</c:v>
                </c:pt>
                <c:pt idx="5">
                  <c:v>PPL</c:v>
                </c:pt>
                <c:pt idx="6">
                  <c:v>West Penn</c:v>
                </c:pt>
              </c:strCache>
            </c:strRef>
          </c:cat>
          <c:val>
            <c:numRef>
              <c:f>'CAP (HEAT STATUS-POVERTY LEVEL)'!$E$78:$E$84</c:f>
              <c:numCache>
                <c:formatCode>0.00</c:formatCode>
                <c:ptCount val="7"/>
                <c:pt idx="0">
                  <c:v>40.36</c:v>
                </c:pt>
                <c:pt idx="1">
                  <c:v>12.27</c:v>
                </c:pt>
                <c:pt idx="2">
                  <c:v>22.71</c:v>
                </c:pt>
                <c:pt idx="3">
                  <c:v>16.64</c:v>
                </c:pt>
                <c:pt idx="4">
                  <c:v>24.51</c:v>
                </c:pt>
                <c:pt idx="5">
                  <c:v>14.09</c:v>
                </c:pt>
                <c:pt idx="6">
                  <c:v>28.33</c:v>
                </c:pt>
              </c:numCache>
            </c:numRef>
          </c:val>
          <c:extLst>
            <c:ext xmlns:c16="http://schemas.microsoft.com/office/drawing/2014/chart" uri="{C3380CC4-5D6E-409C-BE32-E72D297353CC}">
              <c16:uniqueId val="{00000003-AB77-4368-AE07-4CC3C06D0596}"/>
            </c:ext>
          </c:extLst>
        </c:ser>
        <c:ser>
          <c:idx val="4"/>
          <c:order val="4"/>
          <c:tx>
            <c:strRef>
              <c:f>'CAP (HEAT STATUS-POVERTY LEVEL)'!$F$77</c:f>
              <c:strCache>
                <c:ptCount val="1"/>
                <c:pt idx="0">
                  <c:v>2016</c:v>
                </c:pt>
              </c:strCache>
            </c:strRef>
          </c:tx>
          <c:spPr>
            <a:solidFill>
              <a:schemeClr val="accent5"/>
            </a:solidFill>
            <a:ln>
              <a:noFill/>
            </a:ln>
            <a:effectLst/>
          </c:spPr>
          <c:invertIfNegative val="0"/>
          <c:cat>
            <c:strRef>
              <c:f>'CAP (HEAT STATUS-POVERTY LEVEL)'!$A$78:$A$84</c:f>
              <c:strCache>
                <c:ptCount val="7"/>
                <c:pt idx="0">
                  <c:v>Duquesne</c:v>
                </c:pt>
                <c:pt idx="1">
                  <c:v>Met Ed</c:v>
                </c:pt>
                <c:pt idx="2">
                  <c:v>PECO Electric</c:v>
                </c:pt>
                <c:pt idx="3">
                  <c:v>Penelec</c:v>
                </c:pt>
                <c:pt idx="4">
                  <c:v>Penn Power</c:v>
                </c:pt>
                <c:pt idx="5">
                  <c:v>PPL</c:v>
                </c:pt>
                <c:pt idx="6">
                  <c:v>West Penn</c:v>
                </c:pt>
              </c:strCache>
            </c:strRef>
          </c:cat>
          <c:val>
            <c:numRef>
              <c:f>'CAP (HEAT STATUS-POVERTY LEVEL)'!$F$78:$F$84</c:f>
              <c:numCache>
                <c:formatCode>0.00</c:formatCode>
                <c:ptCount val="7"/>
                <c:pt idx="0">
                  <c:v>36</c:v>
                </c:pt>
                <c:pt idx="1">
                  <c:v>12.52</c:v>
                </c:pt>
                <c:pt idx="2">
                  <c:v>20.13</c:v>
                </c:pt>
                <c:pt idx="3">
                  <c:v>18.440000000000001</c:v>
                </c:pt>
                <c:pt idx="4">
                  <c:v>23.69</c:v>
                </c:pt>
                <c:pt idx="5">
                  <c:v>14.82</c:v>
                </c:pt>
                <c:pt idx="6">
                  <c:v>27.23</c:v>
                </c:pt>
              </c:numCache>
            </c:numRef>
          </c:val>
          <c:extLst>
            <c:ext xmlns:c16="http://schemas.microsoft.com/office/drawing/2014/chart" uri="{C3380CC4-5D6E-409C-BE32-E72D297353CC}">
              <c16:uniqueId val="{00000004-AB77-4368-AE07-4CC3C06D0596}"/>
            </c:ext>
          </c:extLst>
        </c:ser>
        <c:dLbls>
          <c:showLegendKey val="0"/>
          <c:showVal val="0"/>
          <c:showCatName val="0"/>
          <c:showSerName val="0"/>
          <c:showPercent val="0"/>
          <c:showBubbleSize val="0"/>
        </c:dLbls>
        <c:gapWidth val="219"/>
        <c:overlap val="-27"/>
        <c:axId val="829881352"/>
        <c:axId val="829882008"/>
      </c:barChart>
      <c:catAx>
        <c:axId val="82988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882008"/>
        <c:crosses val="autoZero"/>
        <c:auto val="1"/>
        <c:lblAlgn val="ctr"/>
        <c:lblOffset val="100"/>
        <c:noMultiLvlLbl val="0"/>
      </c:catAx>
      <c:valAx>
        <c:axId val="829882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 Burden Level</a:t>
                </a:r>
              </a:p>
            </c:rich>
          </c:tx>
          <c:layout>
            <c:manualLayout>
              <c:xMode val="edge"/>
              <c:yMode val="edge"/>
              <c:x val="1.577908850116231E-2"/>
              <c:y val="0.347594159182325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881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74062857527426"/>
          <c:y val="6.3897763578274758E-2"/>
          <c:w val="0.84934484151019585"/>
          <c:h val="0.7982584445314943"/>
        </c:manualLayout>
      </c:layout>
      <c:barChart>
        <c:barDir val="col"/>
        <c:grouping val="clustered"/>
        <c:varyColors val="0"/>
        <c:ser>
          <c:idx val="0"/>
          <c:order val="0"/>
          <c:tx>
            <c:strRef>
              <c:f>'CAP Cost Change Tables'!$O$4</c:f>
              <c:strCache>
                <c:ptCount val="1"/>
                <c:pt idx="0">
                  <c:v>Amount</c:v>
                </c:pt>
              </c:strCache>
            </c:strRef>
          </c:tx>
          <c:spPr>
            <a:solidFill>
              <a:schemeClr val="accent1"/>
            </a:solidFill>
            <a:ln>
              <a:noFill/>
            </a:ln>
            <a:effectLst/>
          </c:spPr>
          <c:invertIfNegative val="0"/>
          <c:cat>
            <c:strRef>
              <c:f>'CAP Cost Change Tables'!$N$5:$N$11</c:f>
              <c:strCache>
                <c:ptCount val="7"/>
                <c:pt idx="0">
                  <c:v>Duquesne</c:v>
                </c:pt>
                <c:pt idx="1">
                  <c:v>Met Ed</c:v>
                </c:pt>
                <c:pt idx="2">
                  <c:v>PECO Electric</c:v>
                </c:pt>
                <c:pt idx="3">
                  <c:v>Penelec</c:v>
                </c:pt>
                <c:pt idx="4">
                  <c:v>Penn Power</c:v>
                </c:pt>
                <c:pt idx="5">
                  <c:v>PPL</c:v>
                </c:pt>
                <c:pt idx="6">
                  <c:v>West Penn</c:v>
                </c:pt>
              </c:strCache>
            </c:strRef>
          </c:cat>
          <c:val>
            <c:numRef>
              <c:f>'CAP Cost Change Tables'!$O$5:$O$11</c:f>
              <c:numCache>
                <c:formatCode>"$"#,##0</c:formatCode>
                <c:ptCount val="7"/>
                <c:pt idx="0">
                  <c:v>-823289.88566666655</c:v>
                </c:pt>
                <c:pt idx="1">
                  <c:v>-94059.208333333314</c:v>
                </c:pt>
                <c:pt idx="2">
                  <c:v>-6413541.4316666657</c:v>
                </c:pt>
                <c:pt idx="3">
                  <c:v>-145120.02399999998</c:v>
                </c:pt>
                <c:pt idx="4">
                  <c:v>-190866.60533333328</c:v>
                </c:pt>
                <c:pt idx="5">
                  <c:v>-931181.50299999979</c:v>
                </c:pt>
                <c:pt idx="6">
                  <c:v>-677682.09966666647</c:v>
                </c:pt>
              </c:numCache>
            </c:numRef>
          </c:val>
          <c:extLst>
            <c:ext xmlns:c16="http://schemas.microsoft.com/office/drawing/2014/chart" uri="{C3380CC4-5D6E-409C-BE32-E72D297353CC}">
              <c16:uniqueId val="{00000000-7CC1-4076-9EAF-FC68384DF67C}"/>
            </c:ext>
          </c:extLst>
        </c:ser>
        <c:dLbls>
          <c:showLegendKey val="0"/>
          <c:showVal val="0"/>
          <c:showCatName val="0"/>
          <c:showSerName val="0"/>
          <c:showPercent val="0"/>
          <c:showBubbleSize val="0"/>
        </c:dLbls>
        <c:gapWidth val="150"/>
        <c:axId val="636933992"/>
        <c:axId val="636936944"/>
      </c:barChart>
      <c:catAx>
        <c:axId val="63693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936944"/>
        <c:crosses val="autoZero"/>
        <c:auto val="1"/>
        <c:lblAlgn val="ctr"/>
        <c:lblOffset val="100"/>
        <c:noMultiLvlLbl val="0"/>
      </c:catAx>
      <c:valAx>
        <c:axId val="63693694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933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'CAP Cost Change Tables'!$O$24</c:f>
              <c:strCache>
                <c:ptCount val="1"/>
                <c:pt idx="0">
                  <c:v>Amount</c:v>
                </c:pt>
              </c:strCache>
            </c:strRef>
          </c:tx>
          <c:spPr>
            <a:solidFill>
              <a:schemeClr val="accent1"/>
            </a:solidFill>
            <a:ln>
              <a:noFill/>
            </a:ln>
            <a:effectLst/>
          </c:spPr>
          <c:invertIfNegative val="0"/>
          <c:cat>
            <c:strRef>
              <c:f>'CAP Cost Change Tables'!$N$25:$N$31</c:f>
              <c:strCache>
                <c:ptCount val="7"/>
                <c:pt idx="0">
                  <c:v>Duquesne</c:v>
                </c:pt>
                <c:pt idx="1">
                  <c:v>Met Ed</c:v>
                </c:pt>
                <c:pt idx="2">
                  <c:v>PECO Electric</c:v>
                </c:pt>
                <c:pt idx="3">
                  <c:v>Penelec</c:v>
                </c:pt>
                <c:pt idx="4">
                  <c:v>Penn Power</c:v>
                </c:pt>
                <c:pt idx="5">
                  <c:v>PPL</c:v>
                </c:pt>
                <c:pt idx="6">
                  <c:v>West Penn</c:v>
                </c:pt>
              </c:strCache>
            </c:strRef>
          </c:cat>
          <c:val>
            <c:numRef>
              <c:f>'CAP Cost Change Tables'!$O$25:$O$31</c:f>
              <c:numCache>
                <c:formatCode>"$"#,##0</c:formatCode>
                <c:ptCount val="7"/>
                <c:pt idx="0">
                  <c:v>-13328082.527733333</c:v>
                </c:pt>
                <c:pt idx="1">
                  <c:v>-1367045.0488666669</c:v>
                </c:pt>
                <c:pt idx="2">
                  <c:v>-31653275.417066667</c:v>
                </c:pt>
                <c:pt idx="3">
                  <c:v>-1381508.1455999999</c:v>
                </c:pt>
                <c:pt idx="4">
                  <c:v>-837525.93466666667</c:v>
                </c:pt>
                <c:pt idx="5">
                  <c:v>-7521930.2226666659</c:v>
                </c:pt>
                <c:pt idx="6">
                  <c:v>-5568202.9023999991</c:v>
                </c:pt>
              </c:numCache>
            </c:numRef>
          </c:val>
          <c:extLst>
            <c:ext xmlns:c16="http://schemas.microsoft.com/office/drawing/2014/chart" uri="{C3380CC4-5D6E-409C-BE32-E72D297353CC}">
              <c16:uniqueId val="{00000000-3AB2-4978-9D52-109829839454}"/>
            </c:ext>
          </c:extLst>
        </c:ser>
        <c:dLbls>
          <c:showLegendKey val="0"/>
          <c:showVal val="0"/>
          <c:showCatName val="0"/>
          <c:showSerName val="0"/>
          <c:showPercent val="0"/>
          <c:showBubbleSize val="0"/>
        </c:dLbls>
        <c:gapWidth val="150"/>
        <c:axId val="853363128"/>
        <c:axId val="853369688"/>
      </c:barChart>
      <c:catAx>
        <c:axId val="85336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369688"/>
        <c:crosses val="autoZero"/>
        <c:auto val="1"/>
        <c:lblAlgn val="ctr"/>
        <c:lblOffset val="100"/>
        <c:noMultiLvlLbl val="0"/>
      </c:catAx>
      <c:valAx>
        <c:axId val="85336968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363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i="1"/>
              <a:t>Green shaded area reflects CAP Policy Statement
Max Energy Burden Level Range (11-16%)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 (HEAT STATUS-POVERTY LEVEL)'!$B$87</c:f>
              <c:strCache>
                <c:ptCount val="1"/>
                <c:pt idx="0">
                  <c:v>2012</c:v>
                </c:pt>
              </c:strCache>
            </c:strRef>
          </c:tx>
          <c:spPr>
            <a:solidFill>
              <a:schemeClr val="accent1"/>
            </a:solidFill>
            <a:ln>
              <a:noFill/>
            </a:ln>
            <a:effectLst/>
          </c:spPr>
          <c:invertIfNegative val="0"/>
          <c:cat>
            <c:strRef>
              <c:f>'CAP (HEAT STATUS-POVERTY LEVEL)'!$A$88:$A$94</c:f>
              <c:strCache>
                <c:ptCount val="7"/>
                <c:pt idx="0">
                  <c:v>Duquesne</c:v>
                </c:pt>
                <c:pt idx="1">
                  <c:v>Met Ed</c:v>
                </c:pt>
                <c:pt idx="2">
                  <c:v>PECO Electric</c:v>
                </c:pt>
                <c:pt idx="3">
                  <c:v>Penelec</c:v>
                </c:pt>
                <c:pt idx="4">
                  <c:v>Penn Power</c:v>
                </c:pt>
                <c:pt idx="5">
                  <c:v>PPL</c:v>
                </c:pt>
                <c:pt idx="6">
                  <c:v>West Penn</c:v>
                </c:pt>
              </c:strCache>
            </c:strRef>
          </c:cat>
          <c:val>
            <c:numRef>
              <c:f>'CAP (HEAT STATUS-POVERTY LEVEL)'!$B$88:$B$94</c:f>
              <c:numCache>
                <c:formatCode>0.00</c:formatCode>
                <c:ptCount val="7"/>
                <c:pt idx="0">
                  <c:v>11</c:v>
                </c:pt>
                <c:pt idx="1">
                  <c:v>3.42</c:v>
                </c:pt>
                <c:pt idx="2">
                  <c:v>13.99</c:v>
                </c:pt>
                <c:pt idx="3">
                  <c:v>3.35</c:v>
                </c:pt>
                <c:pt idx="4">
                  <c:v>11.01</c:v>
                </c:pt>
                <c:pt idx="5">
                  <c:v>7.07</c:v>
                </c:pt>
                <c:pt idx="6">
                  <c:v>10.37</c:v>
                </c:pt>
              </c:numCache>
            </c:numRef>
          </c:val>
          <c:extLst>
            <c:ext xmlns:c16="http://schemas.microsoft.com/office/drawing/2014/chart" uri="{C3380CC4-5D6E-409C-BE32-E72D297353CC}">
              <c16:uniqueId val="{00000000-A764-4AE1-B029-DCF20324E765}"/>
            </c:ext>
          </c:extLst>
        </c:ser>
        <c:ser>
          <c:idx val="1"/>
          <c:order val="1"/>
          <c:tx>
            <c:strRef>
              <c:f>'CAP (HEAT STATUS-POVERTY LEVEL)'!$C$87</c:f>
              <c:strCache>
                <c:ptCount val="1"/>
                <c:pt idx="0">
                  <c:v>2013</c:v>
                </c:pt>
              </c:strCache>
            </c:strRef>
          </c:tx>
          <c:spPr>
            <a:solidFill>
              <a:schemeClr val="accent2"/>
            </a:solidFill>
            <a:ln>
              <a:noFill/>
            </a:ln>
            <a:effectLst/>
          </c:spPr>
          <c:invertIfNegative val="0"/>
          <c:cat>
            <c:strRef>
              <c:f>'CAP (HEAT STATUS-POVERTY LEVEL)'!$A$88:$A$94</c:f>
              <c:strCache>
                <c:ptCount val="7"/>
                <c:pt idx="0">
                  <c:v>Duquesne</c:v>
                </c:pt>
                <c:pt idx="1">
                  <c:v>Met Ed</c:v>
                </c:pt>
                <c:pt idx="2">
                  <c:v>PECO Electric</c:v>
                </c:pt>
                <c:pt idx="3">
                  <c:v>Penelec</c:v>
                </c:pt>
                <c:pt idx="4">
                  <c:v>Penn Power</c:v>
                </c:pt>
                <c:pt idx="5">
                  <c:v>PPL</c:v>
                </c:pt>
                <c:pt idx="6">
                  <c:v>West Penn</c:v>
                </c:pt>
              </c:strCache>
            </c:strRef>
          </c:cat>
          <c:val>
            <c:numRef>
              <c:f>'CAP (HEAT STATUS-POVERTY LEVEL)'!$C$88:$C$94</c:f>
              <c:numCache>
                <c:formatCode>0.00</c:formatCode>
                <c:ptCount val="7"/>
                <c:pt idx="0">
                  <c:v>11.27</c:v>
                </c:pt>
                <c:pt idx="1">
                  <c:v>3.85</c:v>
                </c:pt>
                <c:pt idx="2">
                  <c:v>14.09</c:v>
                </c:pt>
                <c:pt idx="3">
                  <c:v>3.52</c:v>
                </c:pt>
                <c:pt idx="4">
                  <c:v>8.94</c:v>
                </c:pt>
                <c:pt idx="5">
                  <c:v>6.8</c:v>
                </c:pt>
                <c:pt idx="6">
                  <c:v>9.9700000000000006</c:v>
                </c:pt>
              </c:numCache>
            </c:numRef>
          </c:val>
          <c:extLst>
            <c:ext xmlns:c16="http://schemas.microsoft.com/office/drawing/2014/chart" uri="{C3380CC4-5D6E-409C-BE32-E72D297353CC}">
              <c16:uniqueId val="{00000001-A764-4AE1-B029-DCF20324E765}"/>
            </c:ext>
          </c:extLst>
        </c:ser>
        <c:ser>
          <c:idx val="2"/>
          <c:order val="2"/>
          <c:tx>
            <c:strRef>
              <c:f>'CAP (HEAT STATUS-POVERTY LEVEL)'!$D$87</c:f>
              <c:strCache>
                <c:ptCount val="1"/>
                <c:pt idx="0">
                  <c:v>2014</c:v>
                </c:pt>
              </c:strCache>
            </c:strRef>
          </c:tx>
          <c:spPr>
            <a:solidFill>
              <a:schemeClr val="accent3"/>
            </a:solidFill>
            <a:ln>
              <a:noFill/>
            </a:ln>
            <a:effectLst/>
          </c:spPr>
          <c:invertIfNegative val="0"/>
          <c:cat>
            <c:strRef>
              <c:f>'CAP (HEAT STATUS-POVERTY LEVEL)'!$A$88:$A$94</c:f>
              <c:strCache>
                <c:ptCount val="7"/>
                <c:pt idx="0">
                  <c:v>Duquesne</c:v>
                </c:pt>
                <c:pt idx="1">
                  <c:v>Met Ed</c:v>
                </c:pt>
                <c:pt idx="2">
                  <c:v>PECO Electric</c:v>
                </c:pt>
                <c:pt idx="3">
                  <c:v>Penelec</c:v>
                </c:pt>
                <c:pt idx="4">
                  <c:v>Penn Power</c:v>
                </c:pt>
                <c:pt idx="5">
                  <c:v>PPL</c:v>
                </c:pt>
                <c:pt idx="6">
                  <c:v>West Penn</c:v>
                </c:pt>
              </c:strCache>
            </c:strRef>
          </c:cat>
          <c:val>
            <c:numRef>
              <c:f>'CAP (HEAT STATUS-POVERTY LEVEL)'!$D$88:$D$94</c:f>
              <c:numCache>
                <c:formatCode>0.00</c:formatCode>
                <c:ptCount val="7"/>
                <c:pt idx="0">
                  <c:v>7.78</c:v>
                </c:pt>
                <c:pt idx="1">
                  <c:v>9.06</c:v>
                </c:pt>
                <c:pt idx="2">
                  <c:v>14.14</c:v>
                </c:pt>
                <c:pt idx="3">
                  <c:v>6.73</c:v>
                </c:pt>
                <c:pt idx="4">
                  <c:v>7.58</c:v>
                </c:pt>
                <c:pt idx="5">
                  <c:v>7.11</c:v>
                </c:pt>
                <c:pt idx="6">
                  <c:v>10.45</c:v>
                </c:pt>
              </c:numCache>
            </c:numRef>
          </c:val>
          <c:extLst>
            <c:ext xmlns:c16="http://schemas.microsoft.com/office/drawing/2014/chart" uri="{C3380CC4-5D6E-409C-BE32-E72D297353CC}">
              <c16:uniqueId val="{00000002-A764-4AE1-B029-DCF20324E765}"/>
            </c:ext>
          </c:extLst>
        </c:ser>
        <c:ser>
          <c:idx val="3"/>
          <c:order val="3"/>
          <c:tx>
            <c:strRef>
              <c:f>'CAP (HEAT STATUS-POVERTY LEVEL)'!$E$87</c:f>
              <c:strCache>
                <c:ptCount val="1"/>
                <c:pt idx="0">
                  <c:v>2015</c:v>
                </c:pt>
              </c:strCache>
            </c:strRef>
          </c:tx>
          <c:spPr>
            <a:solidFill>
              <a:schemeClr val="accent4"/>
            </a:solidFill>
            <a:ln>
              <a:noFill/>
            </a:ln>
            <a:effectLst/>
          </c:spPr>
          <c:invertIfNegative val="0"/>
          <c:cat>
            <c:strRef>
              <c:f>'CAP (HEAT STATUS-POVERTY LEVEL)'!$A$88:$A$94</c:f>
              <c:strCache>
                <c:ptCount val="7"/>
                <c:pt idx="0">
                  <c:v>Duquesne</c:v>
                </c:pt>
                <c:pt idx="1">
                  <c:v>Met Ed</c:v>
                </c:pt>
                <c:pt idx="2">
                  <c:v>PECO Electric</c:v>
                </c:pt>
                <c:pt idx="3">
                  <c:v>Penelec</c:v>
                </c:pt>
                <c:pt idx="4">
                  <c:v>Penn Power</c:v>
                </c:pt>
                <c:pt idx="5">
                  <c:v>PPL</c:v>
                </c:pt>
                <c:pt idx="6">
                  <c:v>West Penn</c:v>
                </c:pt>
              </c:strCache>
            </c:strRef>
          </c:cat>
          <c:val>
            <c:numRef>
              <c:f>'CAP (HEAT STATUS-POVERTY LEVEL)'!$E$88:$E$94</c:f>
              <c:numCache>
                <c:formatCode>0.00</c:formatCode>
                <c:ptCount val="7"/>
                <c:pt idx="0">
                  <c:v>13.41</c:v>
                </c:pt>
                <c:pt idx="1">
                  <c:v>8.8000000000000007</c:v>
                </c:pt>
                <c:pt idx="2">
                  <c:v>12.84</c:v>
                </c:pt>
                <c:pt idx="3">
                  <c:v>6.42</c:v>
                </c:pt>
                <c:pt idx="4">
                  <c:v>7.47</c:v>
                </c:pt>
                <c:pt idx="5">
                  <c:v>7.18</c:v>
                </c:pt>
                <c:pt idx="6">
                  <c:v>10.119999999999999</c:v>
                </c:pt>
              </c:numCache>
            </c:numRef>
          </c:val>
          <c:extLst>
            <c:ext xmlns:c16="http://schemas.microsoft.com/office/drawing/2014/chart" uri="{C3380CC4-5D6E-409C-BE32-E72D297353CC}">
              <c16:uniqueId val="{00000003-A764-4AE1-B029-DCF20324E765}"/>
            </c:ext>
          </c:extLst>
        </c:ser>
        <c:ser>
          <c:idx val="4"/>
          <c:order val="4"/>
          <c:tx>
            <c:strRef>
              <c:f>'CAP (HEAT STATUS-POVERTY LEVEL)'!$F$87</c:f>
              <c:strCache>
                <c:ptCount val="1"/>
                <c:pt idx="0">
                  <c:v>2016</c:v>
                </c:pt>
              </c:strCache>
            </c:strRef>
          </c:tx>
          <c:spPr>
            <a:solidFill>
              <a:schemeClr val="accent5"/>
            </a:solidFill>
            <a:ln>
              <a:noFill/>
            </a:ln>
            <a:effectLst/>
          </c:spPr>
          <c:invertIfNegative val="0"/>
          <c:cat>
            <c:strRef>
              <c:f>'CAP (HEAT STATUS-POVERTY LEVEL)'!$A$88:$A$94</c:f>
              <c:strCache>
                <c:ptCount val="7"/>
                <c:pt idx="0">
                  <c:v>Duquesne</c:v>
                </c:pt>
                <c:pt idx="1">
                  <c:v>Met Ed</c:v>
                </c:pt>
                <c:pt idx="2">
                  <c:v>PECO Electric</c:v>
                </c:pt>
                <c:pt idx="3">
                  <c:v>Penelec</c:v>
                </c:pt>
                <c:pt idx="4">
                  <c:v>Penn Power</c:v>
                </c:pt>
                <c:pt idx="5">
                  <c:v>PPL</c:v>
                </c:pt>
                <c:pt idx="6">
                  <c:v>West Penn</c:v>
                </c:pt>
              </c:strCache>
            </c:strRef>
          </c:cat>
          <c:val>
            <c:numRef>
              <c:f>'CAP (HEAT STATUS-POVERTY LEVEL)'!$F$88:$F$94</c:f>
              <c:numCache>
                <c:formatCode>0.00</c:formatCode>
                <c:ptCount val="7"/>
                <c:pt idx="0">
                  <c:v>11.91</c:v>
                </c:pt>
                <c:pt idx="1">
                  <c:v>5.16</c:v>
                </c:pt>
                <c:pt idx="2">
                  <c:v>11.38</c:v>
                </c:pt>
                <c:pt idx="3">
                  <c:v>7.18</c:v>
                </c:pt>
                <c:pt idx="4">
                  <c:v>8.6199999999999992</c:v>
                </c:pt>
                <c:pt idx="5">
                  <c:v>7.55</c:v>
                </c:pt>
                <c:pt idx="6">
                  <c:v>8.24</c:v>
                </c:pt>
              </c:numCache>
            </c:numRef>
          </c:val>
          <c:extLst>
            <c:ext xmlns:c16="http://schemas.microsoft.com/office/drawing/2014/chart" uri="{C3380CC4-5D6E-409C-BE32-E72D297353CC}">
              <c16:uniqueId val="{00000004-A764-4AE1-B029-DCF20324E765}"/>
            </c:ext>
          </c:extLst>
        </c:ser>
        <c:dLbls>
          <c:showLegendKey val="0"/>
          <c:showVal val="0"/>
          <c:showCatName val="0"/>
          <c:showSerName val="0"/>
          <c:showPercent val="0"/>
          <c:showBubbleSize val="0"/>
        </c:dLbls>
        <c:gapWidth val="219"/>
        <c:overlap val="-27"/>
        <c:axId val="943682440"/>
        <c:axId val="943677520"/>
      </c:barChart>
      <c:catAx>
        <c:axId val="943682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677520"/>
        <c:crosses val="autoZero"/>
        <c:auto val="1"/>
        <c:lblAlgn val="ctr"/>
        <c:lblOffset val="100"/>
        <c:noMultiLvlLbl val="0"/>
      </c:catAx>
      <c:valAx>
        <c:axId val="943677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 Burden Level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682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i="1"/>
              <a:t>Green shaded area reflects CAP Policy Statement
Max Energy Burden Level Range (15-17%)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 (HEAT STATUS-POVERTY LEVEL)'!$B$97</c:f>
              <c:strCache>
                <c:ptCount val="1"/>
                <c:pt idx="0">
                  <c:v>2012</c:v>
                </c:pt>
              </c:strCache>
            </c:strRef>
          </c:tx>
          <c:spPr>
            <a:solidFill>
              <a:schemeClr val="accent1"/>
            </a:solidFill>
            <a:ln>
              <a:noFill/>
            </a:ln>
            <a:effectLst/>
          </c:spPr>
          <c:invertIfNegative val="0"/>
          <c:cat>
            <c:strRef>
              <c:f>'CAP (HEAT STATUS-POVERTY LEVEL)'!$A$98:$A$104</c:f>
              <c:strCache>
                <c:ptCount val="7"/>
                <c:pt idx="0">
                  <c:v>Duquesne</c:v>
                </c:pt>
                <c:pt idx="1">
                  <c:v>Met Ed</c:v>
                </c:pt>
                <c:pt idx="2">
                  <c:v>PECO Electric</c:v>
                </c:pt>
                <c:pt idx="3">
                  <c:v>Penelec</c:v>
                </c:pt>
                <c:pt idx="4">
                  <c:v>Penn Power</c:v>
                </c:pt>
                <c:pt idx="5">
                  <c:v>PPL</c:v>
                </c:pt>
                <c:pt idx="6">
                  <c:v>West Penn</c:v>
                </c:pt>
              </c:strCache>
            </c:strRef>
          </c:cat>
          <c:val>
            <c:numRef>
              <c:f>'CAP (HEAT STATUS-POVERTY LEVEL)'!$B$98:$B$104</c:f>
              <c:numCache>
                <c:formatCode>0.00</c:formatCode>
                <c:ptCount val="7"/>
                <c:pt idx="0">
                  <c:v>7.29</c:v>
                </c:pt>
                <c:pt idx="1">
                  <c:v>3.25</c:v>
                </c:pt>
                <c:pt idx="2">
                  <c:v>10.99</c:v>
                </c:pt>
                <c:pt idx="3">
                  <c:v>3.37</c:v>
                </c:pt>
                <c:pt idx="4">
                  <c:v>7.97</c:v>
                </c:pt>
                <c:pt idx="5">
                  <c:v>4.26</c:v>
                </c:pt>
                <c:pt idx="6">
                  <c:v>7.84</c:v>
                </c:pt>
              </c:numCache>
            </c:numRef>
          </c:val>
          <c:extLst>
            <c:ext xmlns:c16="http://schemas.microsoft.com/office/drawing/2014/chart" uri="{C3380CC4-5D6E-409C-BE32-E72D297353CC}">
              <c16:uniqueId val="{00000000-66B3-4C93-BBDC-CFC2F87C3387}"/>
            </c:ext>
          </c:extLst>
        </c:ser>
        <c:ser>
          <c:idx val="1"/>
          <c:order val="1"/>
          <c:tx>
            <c:strRef>
              <c:f>'CAP (HEAT STATUS-POVERTY LEVEL)'!$C$97</c:f>
              <c:strCache>
                <c:ptCount val="1"/>
                <c:pt idx="0">
                  <c:v>2013</c:v>
                </c:pt>
              </c:strCache>
            </c:strRef>
          </c:tx>
          <c:spPr>
            <a:solidFill>
              <a:schemeClr val="accent2"/>
            </a:solidFill>
            <a:ln>
              <a:noFill/>
            </a:ln>
            <a:effectLst/>
          </c:spPr>
          <c:invertIfNegative val="0"/>
          <c:cat>
            <c:strRef>
              <c:f>'CAP (HEAT STATUS-POVERTY LEVEL)'!$A$98:$A$104</c:f>
              <c:strCache>
                <c:ptCount val="7"/>
                <c:pt idx="0">
                  <c:v>Duquesne</c:v>
                </c:pt>
                <c:pt idx="1">
                  <c:v>Met Ed</c:v>
                </c:pt>
                <c:pt idx="2">
                  <c:v>PECO Electric</c:v>
                </c:pt>
                <c:pt idx="3">
                  <c:v>Penelec</c:v>
                </c:pt>
                <c:pt idx="4">
                  <c:v>Penn Power</c:v>
                </c:pt>
                <c:pt idx="5">
                  <c:v>PPL</c:v>
                </c:pt>
                <c:pt idx="6">
                  <c:v>West Penn</c:v>
                </c:pt>
              </c:strCache>
            </c:strRef>
          </c:cat>
          <c:val>
            <c:numRef>
              <c:f>'CAP (HEAT STATUS-POVERTY LEVEL)'!$C$98:$C$104</c:f>
              <c:numCache>
                <c:formatCode>0.00</c:formatCode>
                <c:ptCount val="7"/>
                <c:pt idx="0">
                  <c:v>7.17</c:v>
                </c:pt>
                <c:pt idx="1">
                  <c:v>3.19</c:v>
                </c:pt>
                <c:pt idx="2">
                  <c:v>10.92</c:v>
                </c:pt>
                <c:pt idx="3">
                  <c:v>3.17</c:v>
                </c:pt>
                <c:pt idx="4">
                  <c:v>6.36</c:v>
                </c:pt>
                <c:pt idx="5">
                  <c:v>4.0999999999999996</c:v>
                </c:pt>
                <c:pt idx="6">
                  <c:v>7.31</c:v>
                </c:pt>
              </c:numCache>
            </c:numRef>
          </c:val>
          <c:extLst>
            <c:ext xmlns:c16="http://schemas.microsoft.com/office/drawing/2014/chart" uri="{C3380CC4-5D6E-409C-BE32-E72D297353CC}">
              <c16:uniqueId val="{00000001-66B3-4C93-BBDC-CFC2F87C3387}"/>
            </c:ext>
          </c:extLst>
        </c:ser>
        <c:ser>
          <c:idx val="2"/>
          <c:order val="2"/>
          <c:tx>
            <c:strRef>
              <c:f>'CAP (HEAT STATUS-POVERTY LEVEL)'!$D$97</c:f>
              <c:strCache>
                <c:ptCount val="1"/>
                <c:pt idx="0">
                  <c:v>2014</c:v>
                </c:pt>
              </c:strCache>
            </c:strRef>
          </c:tx>
          <c:spPr>
            <a:solidFill>
              <a:schemeClr val="accent3"/>
            </a:solidFill>
            <a:ln>
              <a:noFill/>
            </a:ln>
            <a:effectLst/>
          </c:spPr>
          <c:invertIfNegative val="0"/>
          <c:cat>
            <c:strRef>
              <c:f>'CAP (HEAT STATUS-POVERTY LEVEL)'!$A$98:$A$104</c:f>
              <c:strCache>
                <c:ptCount val="7"/>
                <c:pt idx="0">
                  <c:v>Duquesne</c:v>
                </c:pt>
                <c:pt idx="1">
                  <c:v>Met Ed</c:v>
                </c:pt>
                <c:pt idx="2">
                  <c:v>PECO Electric</c:v>
                </c:pt>
                <c:pt idx="3">
                  <c:v>Penelec</c:v>
                </c:pt>
                <c:pt idx="4">
                  <c:v>Penn Power</c:v>
                </c:pt>
                <c:pt idx="5">
                  <c:v>PPL</c:v>
                </c:pt>
                <c:pt idx="6">
                  <c:v>West Penn</c:v>
                </c:pt>
              </c:strCache>
            </c:strRef>
          </c:cat>
          <c:val>
            <c:numRef>
              <c:f>'CAP (HEAT STATUS-POVERTY LEVEL)'!$D$98:$D$104</c:f>
              <c:numCache>
                <c:formatCode>0.00</c:formatCode>
                <c:ptCount val="7"/>
                <c:pt idx="0">
                  <c:v>4.8</c:v>
                </c:pt>
                <c:pt idx="1">
                  <c:v>7.68</c:v>
                </c:pt>
                <c:pt idx="2">
                  <c:v>10.81</c:v>
                </c:pt>
                <c:pt idx="3">
                  <c:v>6.51</c:v>
                </c:pt>
                <c:pt idx="4">
                  <c:v>7.22</c:v>
                </c:pt>
                <c:pt idx="5">
                  <c:v>4.29</c:v>
                </c:pt>
                <c:pt idx="6">
                  <c:v>8.0299999999999994</c:v>
                </c:pt>
              </c:numCache>
            </c:numRef>
          </c:val>
          <c:extLst>
            <c:ext xmlns:c16="http://schemas.microsoft.com/office/drawing/2014/chart" uri="{C3380CC4-5D6E-409C-BE32-E72D297353CC}">
              <c16:uniqueId val="{00000002-66B3-4C93-BBDC-CFC2F87C3387}"/>
            </c:ext>
          </c:extLst>
        </c:ser>
        <c:ser>
          <c:idx val="3"/>
          <c:order val="3"/>
          <c:tx>
            <c:strRef>
              <c:f>'CAP (HEAT STATUS-POVERTY LEVEL)'!$E$97</c:f>
              <c:strCache>
                <c:ptCount val="1"/>
                <c:pt idx="0">
                  <c:v>2015</c:v>
                </c:pt>
              </c:strCache>
            </c:strRef>
          </c:tx>
          <c:spPr>
            <a:solidFill>
              <a:schemeClr val="accent4"/>
            </a:solidFill>
            <a:ln>
              <a:noFill/>
            </a:ln>
            <a:effectLst/>
          </c:spPr>
          <c:invertIfNegative val="0"/>
          <c:cat>
            <c:strRef>
              <c:f>'CAP (HEAT STATUS-POVERTY LEVEL)'!$A$98:$A$104</c:f>
              <c:strCache>
                <c:ptCount val="7"/>
                <c:pt idx="0">
                  <c:v>Duquesne</c:v>
                </c:pt>
                <c:pt idx="1">
                  <c:v>Met Ed</c:v>
                </c:pt>
                <c:pt idx="2">
                  <c:v>PECO Electric</c:v>
                </c:pt>
                <c:pt idx="3">
                  <c:v>Penelec</c:v>
                </c:pt>
                <c:pt idx="4">
                  <c:v>Penn Power</c:v>
                </c:pt>
                <c:pt idx="5">
                  <c:v>PPL</c:v>
                </c:pt>
                <c:pt idx="6">
                  <c:v>West Penn</c:v>
                </c:pt>
              </c:strCache>
            </c:strRef>
          </c:cat>
          <c:val>
            <c:numRef>
              <c:f>'CAP (HEAT STATUS-POVERTY LEVEL)'!$E$98:$E$104</c:f>
              <c:numCache>
                <c:formatCode>0.00</c:formatCode>
                <c:ptCount val="7"/>
                <c:pt idx="0">
                  <c:v>9.99</c:v>
                </c:pt>
                <c:pt idx="1">
                  <c:v>7.58</c:v>
                </c:pt>
                <c:pt idx="2">
                  <c:v>9.98</c:v>
                </c:pt>
                <c:pt idx="3">
                  <c:v>6.19</c:v>
                </c:pt>
                <c:pt idx="4">
                  <c:v>6.79</c:v>
                </c:pt>
                <c:pt idx="5">
                  <c:v>4.3499999999999996</c:v>
                </c:pt>
                <c:pt idx="6">
                  <c:v>8.02</c:v>
                </c:pt>
              </c:numCache>
            </c:numRef>
          </c:val>
          <c:extLst>
            <c:ext xmlns:c16="http://schemas.microsoft.com/office/drawing/2014/chart" uri="{C3380CC4-5D6E-409C-BE32-E72D297353CC}">
              <c16:uniqueId val="{00000003-66B3-4C93-BBDC-CFC2F87C3387}"/>
            </c:ext>
          </c:extLst>
        </c:ser>
        <c:ser>
          <c:idx val="4"/>
          <c:order val="4"/>
          <c:tx>
            <c:strRef>
              <c:f>'CAP (HEAT STATUS-POVERTY LEVEL)'!$F$97</c:f>
              <c:strCache>
                <c:ptCount val="1"/>
                <c:pt idx="0">
                  <c:v>2016</c:v>
                </c:pt>
              </c:strCache>
            </c:strRef>
          </c:tx>
          <c:spPr>
            <a:solidFill>
              <a:schemeClr val="accent5"/>
            </a:solidFill>
            <a:ln>
              <a:noFill/>
            </a:ln>
            <a:effectLst/>
          </c:spPr>
          <c:invertIfNegative val="0"/>
          <c:cat>
            <c:strRef>
              <c:f>'CAP (HEAT STATUS-POVERTY LEVEL)'!$A$98:$A$104</c:f>
              <c:strCache>
                <c:ptCount val="7"/>
                <c:pt idx="0">
                  <c:v>Duquesne</c:v>
                </c:pt>
                <c:pt idx="1">
                  <c:v>Met Ed</c:v>
                </c:pt>
                <c:pt idx="2">
                  <c:v>PECO Electric</c:v>
                </c:pt>
                <c:pt idx="3">
                  <c:v>Penelec</c:v>
                </c:pt>
                <c:pt idx="4">
                  <c:v>Penn Power</c:v>
                </c:pt>
                <c:pt idx="5">
                  <c:v>PPL</c:v>
                </c:pt>
                <c:pt idx="6">
                  <c:v>West Penn</c:v>
                </c:pt>
              </c:strCache>
            </c:strRef>
          </c:cat>
          <c:val>
            <c:numRef>
              <c:f>'CAP (HEAT STATUS-POVERTY LEVEL)'!$F$98:$F$104</c:f>
              <c:numCache>
                <c:formatCode>0.00</c:formatCode>
                <c:ptCount val="7"/>
                <c:pt idx="0">
                  <c:v>8.5299999999999994</c:v>
                </c:pt>
                <c:pt idx="1">
                  <c:v>4.42</c:v>
                </c:pt>
                <c:pt idx="2">
                  <c:v>8.4700000000000006</c:v>
                </c:pt>
                <c:pt idx="3">
                  <c:v>6.68</c:v>
                </c:pt>
                <c:pt idx="4">
                  <c:v>7.61</c:v>
                </c:pt>
                <c:pt idx="5">
                  <c:v>4.58</c:v>
                </c:pt>
                <c:pt idx="6">
                  <c:v>7.16</c:v>
                </c:pt>
              </c:numCache>
            </c:numRef>
          </c:val>
          <c:extLst>
            <c:ext xmlns:c16="http://schemas.microsoft.com/office/drawing/2014/chart" uri="{C3380CC4-5D6E-409C-BE32-E72D297353CC}">
              <c16:uniqueId val="{00000004-66B3-4C93-BBDC-CFC2F87C3387}"/>
            </c:ext>
          </c:extLst>
        </c:ser>
        <c:dLbls>
          <c:showLegendKey val="0"/>
          <c:showVal val="0"/>
          <c:showCatName val="0"/>
          <c:showSerName val="0"/>
          <c:showPercent val="0"/>
          <c:showBubbleSize val="0"/>
        </c:dLbls>
        <c:gapWidth val="219"/>
        <c:overlap val="-27"/>
        <c:axId val="897711928"/>
        <c:axId val="565777680"/>
      </c:barChart>
      <c:catAx>
        <c:axId val="897711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777680"/>
        <c:crosses val="autoZero"/>
        <c:auto val="1"/>
        <c:lblAlgn val="ctr"/>
        <c:lblOffset val="100"/>
        <c:noMultiLvlLbl val="0"/>
      </c:catAx>
      <c:valAx>
        <c:axId val="565777680"/>
        <c:scaling>
          <c:orientation val="minMax"/>
          <c:max val="17"/>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 Burden Level</a:t>
                </a:r>
              </a:p>
            </c:rich>
          </c:tx>
          <c:layout>
            <c:manualLayout>
              <c:xMode val="edge"/>
              <c:yMode val="edge"/>
              <c:x val="1.8033247202095547E-2"/>
              <c:y val="0.348549062946079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7711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i="1"/>
              <a:t>Green shaded area reflects CAP Policy Statement
Max Energy Burden Level Range (2-5%)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 (HEAT STATUS-POVERTY LEVEL)'!$B$107</c:f>
              <c:strCache>
                <c:ptCount val="1"/>
                <c:pt idx="0">
                  <c:v>2012</c:v>
                </c:pt>
              </c:strCache>
            </c:strRef>
          </c:tx>
          <c:spPr>
            <a:solidFill>
              <a:schemeClr val="accent1"/>
            </a:solidFill>
            <a:ln>
              <a:noFill/>
            </a:ln>
            <a:effectLst/>
          </c:spPr>
          <c:invertIfNegative val="0"/>
          <c:cat>
            <c:strRef>
              <c:f>'CAP (HEAT STATUS-POVERTY LEVEL)'!$A$108:$A$114</c:f>
              <c:strCache>
                <c:ptCount val="7"/>
                <c:pt idx="0">
                  <c:v>Duquesne</c:v>
                </c:pt>
                <c:pt idx="1">
                  <c:v>Met Ed</c:v>
                </c:pt>
                <c:pt idx="2">
                  <c:v>PECO Electric</c:v>
                </c:pt>
                <c:pt idx="3">
                  <c:v>Penelec</c:v>
                </c:pt>
                <c:pt idx="4">
                  <c:v>Penn Power</c:v>
                </c:pt>
                <c:pt idx="5">
                  <c:v>PPL</c:v>
                </c:pt>
                <c:pt idx="6">
                  <c:v>West Penn</c:v>
                </c:pt>
              </c:strCache>
            </c:strRef>
          </c:cat>
          <c:val>
            <c:numRef>
              <c:f>'CAP (HEAT STATUS-POVERTY LEVEL)'!$B$108:$B$114</c:f>
              <c:numCache>
                <c:formatCode>0.00</c:formatCode>
                <c:ptCount val="7"/>
                <c:pt idx="0">
                  <c:v>15.36</c:v>
                </c:pt>
                <c:pt idx="1">
                  <c:v>5.16</c:v>
                </c:pt>
                <c:pt idx="2">
                  <c:v>11.64</c:v>
                </c:pt>
                <c:pt idx="3">
                  <c:v>8.76</c:v>
                </c:pt>
                <c:pt idx="4">
                  <c:v>22.38</c:v>
                </c:pt>
                <c:pt idx="5">
                  <c:v>13.57</c:v>
                </c:pt>
                <c:pt idx="6">
                  <c:v>19.850000000000001</c:v>
                </c:pt>
              </c:numCache>
            </c:numRef>
          </c:val>
          <c:extLst>
            <c:ext xmlns:c16="http://schemas.microsoft.com/office/drawing/2014/chart" uri="{C3380CC4-5D6E-409C-BE32-E72D297353CC}">
              <c16:uniqueId val="{00000000-CD22-4B9F-9202-76C25A3D669B}"/>
            </c:ext>
          </c:extLst>
        </c:ser>
        <c:ser>
          <c:idx val="1"/>
          <c:order val="1"/>
          <c:tx>
            <c:strRef>
              <c:f>'CAP (HEAT STATUS-POVERTY LEVEL)'!$C$107</c:f>
              <c:strCache>
                <c:ptCount val="1"/>
                <c:pt idx="0">
                  <c:v>2013</c:v>
                </c:pt>
              </c:strCache>
            </c:strRef>
          </c:tx>
          <c:spPr>
            <a:solidFill>
              <a:schemeClr val="accent2"/>
            </a:solidFill>
            <a:ln>
              <a:noFill/>
            </a:ln>
            <a:effectLst/>
          </c:spPr>
          <c:invertIfNegative val="0"/>
          <c:cat>
            <c:strRef>
              <c:f>'CAP (HEAT STATUS-POVERTY LEVEL)'!$A$108:$A$114</c:f>
              <c:strCache>
                <c:ptCount val="7"/>
                <c:pt idx="0">
                  <c:v>Duquesne</c:v>
                </c:pt>
                <c:pt idx="1">
                  <c:v>Met Ed</c:v>
                </c:pt>
                <c:pt idx="2">
                  <c:v>PECO Electric</c:v>
                </c:pt>
                <c:pt idx="3">
                  <c:v>Penelec</c:v>
                </c:pt>
                <c:pt idx="4">
                  <c:v>Penn Power</c:v>
                </c:pt>
                <c:pt idx="5">
                  <c:v>PPL</c:v>
                </c:pt>
                <c:pt idx="6">
                  <c:v>West Penn</c:v>
                </c:pt>
              </c:strCache>
            </c:strRef>
          </c:cat>
          <c:val>
            <c:numRef>
              <c:f>'CAP (HEAT STATUS-POVERTY LEVEL)'!$C$108:$C$114</c:f>
              <c:numCache>
                <c:formatCode>0.00</c:formatCode>
                <c:ptCount val="7"/>
                <c:pt idx="0">
                  <c:v>14.67</c:v>
                </c:pt>
                <c:pt idx="1">
                  <c:v>4.1399999999999997</c:v>
                </c:pt>
                <c:pt idx="2">
                  <c:v>12.08</c:v>
                </c:pt>
                <c:pt idx="3">
                  <c:v>5.81</c:v>
                </c:pt>
                <c:pt idx="4">
                  <c:v>16.2</c:v>
                </c:pt>
                <c:pt idx="5">
                  <c:v>12.7</c:v>
                </c:pt>
                <c:pt idx="6">
                  <c:v>12.47</c:v>
                </c:pt>
              </c:numCache>
            </c:numRef>
          </c:val>
          <c:extLst>
            <c:ext xmlns:c16="http://schemas.microsoft.com/office/drawing/2014/chart" uri="{C3380CC4-5D6E-409C-BE32-E72D297353CC}">
              <c16:uniqueId val="{00000001-CD22-4B9F-9202-76C25A3D669B}"/>
            </c:ext>
          </c:extLst>
        </c:ser>
        <c:ser>
          <c:idx val="2"/>
          <c:order val="2"/>
          <c:tx>
            <c:strRef>
              <c:f>'CAP (HEAT STATUS-POVERTY LEVEL)'!$D$107</c:f>
              <c:strCache>
                <c:ptCount val="1"/>
                <c:pt idx="0">
                  <c:v>2014</c:v>
                </c:pt>
              </c:strCache>
            </c:strRef>
          </c:tx>
          <c:spPr>
            <a:solidFill>
              <a:schemeClr val="accent3"/>
            </a:solidFill>
            <a:ln>
              <a:noFill/>
            </a:ln>
            <a:effectLst/>
          </c:spPr>
          <c:invertIfNegative val="0"/>
          <c:cat>
            <c:strRef>
              <c:f>'CAP (HEAT STATUS-POVERTY LEVEL)'!$A$108:$A$114</c:f>
              <c:strCache>
                <c:ptCount val="7"/>
                <c:pt idx="0">
                  <c:v>Duquesne</c:v>
                </c:pt>
                <c:pt idx="1">
                  <c:v>Met Ed</c:v>
                </c:pt>
                <c:pt idx="2">
                  <c:v>PECO Electric</c:v>
                </c:pt>
                <c:pt idx="3">
                  <c:v>Penelec</c:v>
                </c:pt>
                <c:pt idx="4">
                  <c:v>Penn Power</c:v>
                </c:pt>
                <c:pt idx="5">
                  <c:v>PPL</c:v>
                </c:pt>
                <c:pt idx="6">
                  <c:v>West Penn</c:v>
                </c:pt>
              </c:strCache>
            </c:strRef>
          </c:cat>
          <c:val>
            <c:numRef>
              <c:f>'CAP (HEAT STATUS-POVERTY LEVEL)'!$D$108:$D$114</c:f>
              <c:numCache>
                <c:formatCode>0.00</c:formatCode>
                <c:ptCount val="7"/>
                <c:pt idx="0">
                  <c:v>9.92</c:v>
                </c:pt>
                <c:pt idx="1">
                  <c:v>9.34</c:v>
                </c:pt>
                <c:pt idx="2">
                  <c:v>12.95</c:v>
                </c:pt>
                <c:pt idx="3">
                  <c:v>10.039999999999999</c:v>
                </c:pt>
                <c:pt idx="4">
                  <c:v>9.9499999999999993</c:v>
                </c:pt>
                <c:pt idx="5">
                  <c:v>13.18</c:v>
                </c:pt>
                <c:pt idx="6">
                  <c:v>13.15</c:v>
                </c:pt>
              </c:numCache>
            </c:numRef>
          </c:val>
          <c:extLst>
            <c:ext xmlns:c16="http://schemas.microsoft.com/office/drawing/2014/chart" uri="{C3380CC4-5D6E-409C-BE32-E72D297353CC}">
              <c16:uniqueId val="{00000002-CD22-4B9F-9202-76C25A3D669B}"/>
            </c:ext>
          </c:extLst>
        </c:ser>
        <c:ser>
          <c:idx val="3"/>
          <c:order val="3"/>
          <c:tx>
            <c:strRef>
              <c:f>'CAP (HEAT STATUS-POVERTY LEVEL)'!$E$107</c:f>
              <c:strCache>
                <c:ptCount val="1"/>
                <c:pt idx="0">
                  <c:v>2015</c:v>
                </c:pt>
              </c:strCache>
            </c:strRef>
          </c:tx>
          <c:spPr>
            <a:solidFill>
              <a:schemeClr val="accent4"/>
            </a:solidFill>
            <a:ln>
              <a:noFill/>
            </a:ln>
            <a:effectLst/>
          </c:spPr>
          <c:invertIfNegative val="0"/>
          <c:cat>
            <c:strRef>
              <c:f>'CAP (HEAT STATUS-POVERTY LEVEL)'!$A$108:$A$114</c:f>
              <c:strCache>
                <c:ptCount val="7"/>
                <c:pt idx="0">
                  <c:v>Duquesne</c:v>
                </c:pt>
                <c:pt idx="1">
                  <c:v>Met Ed</c:v>
                </c:pt>
                <c:pt idx="2">
                  <c:v>PECO Electric</c:v>
                </c:pt>
                <c:pt idx="3">
                  <c:v>Penelec</c:v>
                </c:pt>
                <c:pt idx="4">
                  <c:v>Penn Power</c:v>
                </c:pt>
                <c:pt idx="5">
                  <c:v>PPL</c:v>
                </c:pt>
                <c:pt idx="6">
                  <c:v>West Penn</c:v>
                </c:pt>
              </c:strCache>
            </c:strRef>
          </c:cat>
          <c:val>
            <c:numRef>
              <c:f>'CAP (HEAT STATUS-POVERTY LEVEL)'!$E$108:$E$114</c:f>
              <c:numCache>
                <c:formatCode>0.00</c:formatCode>
                <c:ptCount val="7"/>
                <c:pt idx="0">
                  <c:v>16.52</c:v>
                </c:pt>
                <c:pt idx="1">
                  <c:v>9.9700000000000006</c:v>
                </c:pt>
                <c:pt idx="2">
                  <c:v>13.11</c:v>
                </c:pt>
                <c:pt idx="3">
                  <c:v>10.72</c:v>
                </c:pt>
                <c:pt idx="4">
                  <c:v>11.63</c:v>
                </c:pt>
                <c:pt idx="5">
                  <c:v>13.32</c:v>
                </c:pt>
                <c:pt idx="6">
                  <c:v>14.65</c:v>
                </c:pt>
              </c:numCache>
            </c:numRef>
          </c:val>
          <c:extLst>
            <c:ext xmlns:c16="http://schemas.microsoft.com/office/drawing/2014/chart" uri="{C3380CC4-5D6E-409C-BE32-E72D297353CC}">
              <c16:uniqueId val="{00000003-CD22-4B9F-9202-76C25A3D669B}"/>
            </c:ext>
          </c:extLst>
        </c:ser>
        <c:ser>
          <c:idx val="4"/>
          <c:order val="4"/>
          <c:tx>
            <c:strRef>
              <c:f>'CAP (HEAT STATUS-POVERTY LEVEL)'!$F$107</c:f>
              <c:strCache>
                <c:ptCount val="1"/>
                <c:pt idx="0">
                  <c:v>2016</c:v>
                </c:pt>
              </c:strCache>
            </c:strRef>
          </c:tx>
          <c:spPr>
            <a:solidFill>
              <a:schemeClr val="accent5"/>
            </a:solidFill>
            <a:ln>
              <a:noFill/>
            </a:ln>
            <a:effectLst/>
          </c:spPr>
          <c:invertIfNegative val="0"/>
          <c:cat>
            <c:strRef>
              <c:f>'CAP (HEAT STATUS-POVERTY LEVEL)'!$A$108:$A$114</c:f>
              <c:strCache>
                <c:ptCount val="7"/>
                <c:pt idx="0">
                  <c:v>Duquesne</c:v>
                </c:pt>
                <c:pt idx="1">
                  <c:v>Met Ed</c:v>
                </c:pt>
                <c:pt idx="2">
                  <c:v>PECO Electric</c:v>
                </c:pt>
                <c:pt idx="3">
                  <c:v>Penelec</c:v>
                </c:pt>
                <c:pt idx="4">
                  <c:v>Penn Power</c:v>
                </c:pt>
                <c:pt idx="5">
                  <c:v>PPL</c:v>
                </c:pt>
                <c:pt idx="6">
                  <c:v>West Penn</c:v>
                </c:pt>
              </c:strCache>
            </c:strRef>
          </c:cat>
          <c:val>
            <c:numRef>
              <c:f>'CAP (HEAT STATUS-POVERTY LEVEL)'!$F$108:$F$114</c:f>
              <c:numCache>
                <c:formatCode>0.00</c:formatCode>
                <c:ptCount val="7"/>
                <c:pt idx="0">
                  <c:v>22.41</c:v>
                </c:pt>
                <c:pt idx="1">
                  <c:v>15.43</c:v>
                </c:pt>
                <c:pt idx="2">
                  <c:v>11.5</c:v>
                </c:pt>
                <c:pt idx="3">
                  <c:v>10.28</c:v>
                </c:pt>
                <c:pt idx="4">
                  <c:v>12.46</c:v>
                </c:pt>
                <c:pt idx="5">
                  <c:v>14.08</c:v>
                </c:pt>
                <c:pt idx="6">
                  <c:v>17.190000000000001</c:v>
                </c:pt>
              </c:numCache>
            </c:numRef>
          </c:val>
          <c:extLst>
            <c:ext xmlns:c16="http://schemas.microsoft.com/office/drawing/2014/chart" uri="{C3380CC4-5D6E-409C-BE32-E72D297353CC}">
              <c16:uniqueId val="{00000004-CD22-4B9F-9202-76C25A3D669B}"/>
            </c:ext>
          </c:extLst>
        </c:ser>
        <c:dLbls>
          <c:showLegendKey val="0"/>
          <c:showVal val="0"/>
          <c:showCatName val="0"/>
          <c:showSerName val="0"/>
          <c:showPercent val="0"/>
          <c:showBubbleSize val="0"/>
        </c:dLbls>
        <c:gapWidth val="219"/>
        <c:overlap val="-27"/>
        <c:axId val="885266528"/>
        <c:axId val="235432528"/>
      </c:barChart>
      <c:catAx>
        <c:axId val="88526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2528"/>
        <c:crosses val="autoZero"/>
        <c:auto val="1"/>
        <c:lblAlgn val="ctr"/>
        <c:lblOffset val="100"/>
        <c:noMultiLvlLbl val="0"/>
      </c:catAx>
      <c:valAx>
        <c:axId val="23543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 Burden Level</a:t>
                </a:r>
              </a:p>
            </c:rich>
          </c:tx>
          <c:layout>
            <c:manualLayout>
              <c:xMode val="edge"/>
              <c:yMode val="edge"/>
              <c:x val="1.7957351290684626E-2"/>
              <c:y val="0.349116314696352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26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i="1"/>
              <a:t>Green shaded area reflects CAP Policy Statement
Max Energy Burden Level Range (4-6%)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 (HEAT STATUS-POVERTY LEVEL)'!$B$117</c:f>
              <c:strCache>
                <c:ptCount val="1"/>
                <c:pt idx="0">
                  <c:v>2012</c:v>
                </c:pt>
              </c:strCache>
            </c:strRef>
          </c:tx>
          <c:spPr>
            <a:solidFill>
              <a:schemeClr val="accent1"/>
            </a:solidFill>
            <a:ln>
              <a:noFill/>
            </a:ln>
            <a:effectLst/>
          </c:spPr>
          <c:invertIfNegative val="0"/>
          <c:cat>
            <c:strRef>
              <c:f>'CAP (HEAT STATUS-POVERTY LEVEL)'!$A$118:$A$124</c:f>
              <c:strCache>
                <c:ptCount val="7"/>
                <c:pt idx="0">
                  <c:v>Duquesne</c:v>
                </c:pt>
                <c:pt idx="1">
                  <c:v>Met Ed</c:v>
                </c:pt>
                <c:pt idx="2">
                  <c:v>PECO Electric</c:v>
                </c:pt>
                <c:pt idx="3">
                  <c:v>Penelec</c:v>
                </c:pt>
                <c:pt idx="4">
                  <c:v>Penn Power</c:v>
                </c:pt>
                <c:pt idx="5">
                  <c:v>PPL</c:v>
                </c:pt>
                <c:pt idx="6">
                  <c:v>West Penn</c:v>
                </c:pt>
              </c:strCache>
            </c:strRef>
          </c:cat>
          <c:val>
            <c:numRef>
              <c:f>'CAP (HEAT STATUS-POVERTY LEVEL)'!$B$118:$B$124</c:f>
              <c:numCache>
                <c:formatCode>0.00</c:formatCode>
                <c:ptCount val="7"/>
                <c:pt idx="0">
                  <c:v>7.81</c:v>
                </c:pt>
                <c:pt idx="1">
                  <c:v>2.75</c:v>
                </c:pt>
                <c:pt idx="2">
                  <c:v>6.81</c:v>
                </c:pt>
                <c:pt idx="3">
                  <c:v>2.86</c:v>
                </c:pt>
                <c:pt idx="4">
                  <c:v>6.28</c:v>
                </c:pt>
                <c:pt idx="5">
                  <c:v>6.75</c:v>
                </c:pt>
                <c:pt idx="6">
                  <c:v>6.59</c:v>
                </c:pt>
              </c:numCache>
            </c:numRef>
          </c:val>
          <c:extLst>
            <c:ext xmlns:c16="http://schemas.microsoft.com/office/drawing/2014/chart" uri="{C3380CC4-5D6E-409C-BE32-E72D297353CC}">
              <c16:uniqueId val="{00000000-E418-431B-8031-26FD9F0A614A}"/>
            </c:ext>
          </c:extLst>
        </c:ser>
        <c:ser>
          <c:idx val="1"/>
          <c:order val="1"/>
          <c:tx>
            <c:strRef>
              <c:f>'CAP (HEAT STATUS-POVERTY LEVEL)'!$C$117</c:f>
              <c:strCache>
                <c:ptCount val="1"/>
                <c:pt idx="0">
                  <c:v>2013</c:v>
                </c:pt>
              </c:strCache>
            </c:strRef>
          </c:tx>
          <c:spPr>
            <a:solidFill>
              <a:schemeClr val="accent2"/>
            </a:solidFill>
            <a:ln>
              <a:noFill/>
            </a:ln>
            <a:effectLst/>
          </c:spPr>
          <c:invertIfNegative val="0"/>
          <c:cat>
            <c:strRef>
              <c:f>'CAP (HEAT STATUS-POVERTY LEVEL)'!$A$118:$A$124</c:f>
              <c:strCache>
                <c:ptCount val="7"/>
                <c:pt idx="0">
                  <c:v>Duquesne</c:v>
                </c:pt>
                <c:pt idx="1">
                  <c:v>Met Ed</c:v>
                </c:pt>
                <c:pt idx="2">
                  <c:v>PECO Electric</c:v>
                </c:pt>
                <c:pt idx="3">
                  <c:v>Penelec</c:v>
                </c:pt>
                <c:pt idx="4">
                  <c:v>Penn Power</c:v>
                </c:pt>
                <c:pt idx="5">
                  <c:v>PPL</c:v>
                </c:pt>
                <c:pt idx="6">
                  <c:v>West Penn</c:v>
                </c:pt>
              </c:strCache>
            </c:strRef>
          </c:cat>
          <c:val>
            <c:numRef>
              <c:f>'CAP (HEAT STATUS-POVERTY LEVEL)'!$C$118:$C$124</c:f>
              <c:numCache>
                <c:formatCode>0.00</c:formatCode>
                <c:ptCount val="7"/>
                <c:pt idx="0">
                  <c:v>7.14</c:v>
                </c:pt>
                <c:pt idx="1">
                  <c:v>2.2799999999999998</c:v>
                </c:pt>
                <c:pt idx="2">
                  <c:v>6.86</c:v>
                </c:pt>
                <c:pt idx="3">
                  <c:v>2.1800000000000002</c:v>
                </c:pt>
                <c:pt idx="4">
                  <c:v>3.13</c:v>
                </c:pt>
                <c:pt idx="5">
                  <c:v>6.49</c:v>
                </c:pt>
                <c:pt idx="6">
                  <c:v>6.28</c:v>
                </c:pt>
              </c:numCache>
            </c:numRef>
          </c:val>
          <c:extLst>
            <c:ext xmlns:c16="http://schemas.microsoft.com/office/drawing/2014/chart" uri="{C3380CC4-5D6E-409C-BE32-E72D297353CC}">
              <c16:uniqueId val="{00000001-E418-431B-8031-26FD9F0A614A}"/>
            </c:ext>
          </c:extLst>
        </c:ser>
        <c:ser>
          <c:idx val="2"/>
          <c:order val="2"/>
          <c:tx>
            <c:strRef>
              <c:f>'CAP (HEAT STATUS-POVERTY LEVEL)'!$D$117</c:f>
              <c:strCache>
                <c:ptCount val="1"/>
                <c:pt idx="0">
                  <c:v>2014</c:v>
                </c:pt>
              </c:strCache>
            </c:strRef>
          </c:tx>
          <c:spPr>
            <a:solidFill>
              <a:schemeClr val="accent3"/>
            </a:solidFill>
            <a:ln>
              <a:noFill/>
            </a:ln>
            <a:effectLst/>
          </c:spPr>
          <c:invertIfNegative val="0"/>
          <c:cat>
            <c:strRef>
              <c:f>'CAP (HEAT STATUS-POVERTY LEVEL)'!$A$118:$A$124</c:f>
              <c:strCache>
                <c:ptCount val="7"/>
                <c:pt idx="0">
                  <c:v>Duquesne</c:v>
                </c:pt>
                <c:pt idx="1">
                  <c:v>Met Ed</c:v>
                </c:pt>
                <c:pt idx="2">
                  <c:v>PECO Electric</c:v>
                </c:pt>
                <c:pt idx="3">
                  <c:v>Penelec</c:v>
                </c:pt>
                <c:pt idx="4">
                  <c:v>Penn Power</c:v>
                </c:pt>
                <c:pt idx="5">
                  <c:v>PPL</c:v>
                </c:pt>
                <c:pt idx="6">
                  <c:v>West Penn</c:v>
                </c:pt>
              </c:strCache>
            </c:strRef>
          </c:cat>
          <c:val>
            <c:numRef>
              <c:f>'CAP (HEAT STATUS-POVERTY LEVEL)'!$D$118:$D$124</c:f>
              <c:numCache>
                <c:formatCode>0.00</c:formatCode>
                <c:ptCount val="7"/>
                <c:pt idx="0">
                  <c:v>4.8899999999999997</c:v>
                </c:pt>
                <c:pt idx="1">
                  <c:v>4.75</c:v>
                </c:pt>
                <c:pt idx="2">
                  <c:v>6.94</c:v>
                </c:pt>
                <c:pt idx="3">
                  <c:v>3.48</c:v>
                </c:pt>
                <c:pt idx="4">
                  <c:v>3.37</c:v>
                </c:pt>
                <c:pt idx="5">
                  <c:v>6.75</c:v>
                </c:pt>
                <c:pt idx="6">
                  <c:v>6.72</c:v>
                </c:pt>
              </c:numCache>
            </c:numRef>
          </c:val>
          <c:extLst>
            <c:ext xmlns:c16="http://schemas.microsoft.com/office/drawing/2014/chart" uri="{C3380CC4-5D6E-409C-BE32-E72D297353CC}">
              <c16:uniqueId val="{00000002-E418-431B-8031-26FD9F0A614A}"/>
            </c:ext>
          </c:extLst>
        </c:ser>
        <c:ser>
          <c:idx val="3"/>
          <c:order val="3"/>
          <c:tx>
            <c:strRef>
              <c:f>'CAP (HEAT STATUS-POVERTY LEVEL)'!$E$117</c:f>
              <c:strCache>
                <c:ptCount val="1"/>
                <c:pt idx="0">
                  <c:v>2015</c:v>
                </c:pt>
              </c:strCache>
            </c:strRef>
          </c:tx>
          <c:spPr>
            <a:solidFill>
              <a:schemeClr val="accent4"/>
            </a:solidFill>
            <a:ln>
              <a:noFill/>
            </a:ln>
            <a:effectLst/>
          </c:spPr>
          <c:invertIfNegative val="0"/>
          <c:cat>
            <c:strRef>
              <c:f>'CAP (HEAT STATUS-POVERTY LEVEL)'!$A$118:$A$124</c:f>
              <c:strCache>
                <c:ptCount val="7"/>
                <c:pt idx="0">
                  <c:v>Duquesne</c:v>
                </c:pt>
                <c:pt idx="1">
                  <c:v>Met Ed</c:v>
                </c:pt>
                <c:pt idx="2">
                  <c:v>PECO Electric</c:v>
                </c:pt>
                <c:pt idx="3">
                  <c:v>Penelec</c:v>
                </c:pt>
                <c:pt idx="4">
                  <c:v>Penn Power</c:v>
                </c:pt>
                <c:pt idx="5">
                  <c:v>PPL</c:v>
                </c:pt>
                <c:pt idx="6">
                  <c:v>West Penn</c:v>
                </c:pt>
              </c:strCache>
            </c:strRef>
          </c:cat>
          <c:val>
            <c:numRef>
              <c:f>'CAP (HEAT STATUS-POVERTY LEVEL)'!$E$118:$E$124</c:f>
              <c:numCache>
                <c:formatCode>0.00</c:formatCode>
                <c:ptCount val="7"/>
                <c:pt idx="0">
                  <c:v>6.88</c:v>
                </c:pt>
                <c:pt idx="1">
                  <c:v>4.9000000000000004</c:v>
                </c:pt>
                <c:pt idx="2">
                  <c:v>6.86</c:v>
                </c:pt>
                <c:pt idx="3">
                  <c:v>3.59</c:v>
                </c:pt>
                <c:pt idx="4">
                  <c:v>3.61</c:v>
                </c:pt>
                <c:pt idx="5">
                  <c:v>6.86</c:v>
                </c:pt>
                <c:pt idx="6">
                  <c:v>6.53</c:v>
                </c:pt>
              </c:numCache>
            </c:numRef>
          </c:val>
          <c:extLst>
            <c:ext xmlns:c16="http://schemas.microsoft.com/office/drawing/2014/chart" uri="{C3380CC4-5D6E-409C-BE32-E72D297353CC}">
              <c16:uniqueId val="{00000003-E418-431B-8031-26FD9F0A614A}"/>
            </c:ext>
          </c:extLst>
        </c:ser>
        <c:ser>
          <c:idx val="4"/>
          <c:order val="4"/>
          <c:tx>
            <c:strRef>
              <c:f>'CAP (HEAT STATUS-POVERTY LEVEL)'!$F$117</c:f>
              <c:strCache>
                <c:ptCount val="1"/>
                <c:pt idx="0">
                  <c:v>2016</c:v>
                </c:pt>
              </c:strCache>
            </c:strRef>
          </c:tx>
          <c:spPr>
            <a:solidFill>
              <a:schemeClr val="accent5"/>
            </a:solidFill>
            <a:ln>
              <a:noFill/>
            </a:ln>
            <a:effectLst/>
          </c:spPr>
          <c:invertIfNegative val="0"/>
          <c:cat>
            <c:strRef>
              <c:f>'CAP (HEAT STATUS-POVERTY LEVEL)'!$A$118:$A$124</c:f>
              <c:strCache>
                <c:ptCount val="7"/>
                <c:pt idx="0">
                  <c:v>Duquesne</c:v>
                </c:pt>
                <c:pt idx="1">
                  <c:v>Met Ed</c:v>
                </c:pt>
                <c:pt idx="2">
                  <c:v>PECO Electric</c:v>
                </c:pt>
                <c:pt idx="3">
                  <c:v>Penelec</c:v>
                </c:pt>
                <c:pt idx="4">
                  <c:v>Penn Power</c:v>
                </c:pt>
                <c:pt idx="5">
                  <c:v>PPL</c:v>
                </c:pt>
                <c:pt idx="6">
                  <c:v>West Penn</c:v>
                </c:pt>
              </c:strCache>
            </c:strRef>
          </c:cat>
          <c:val>
            <c:numRef>
              <c:f>'CAP (HEAT STATUS-POVERTY LEVEL)'!$F$118:$F$124</c:f>
              <c:numCache>
                <c:formatCode>0.00</c:formatCode>
                <c:ptCount val="7"/>
                <c:pt idx="0">
                  <c:v>8.4700000000000006</c:v>
                </c:pt>
                <c:pt idx="1">
                  <c:v>4.1100000000000003</c:v>
                </c:pt>
                <c:pt idx="2">
                  <c:v>7.12</c:v>
                </c:pt>
                <c:pt idx="3">
                  <c:v>3.29</c:v>
                </c:pt>
                <c:pt idx="4">
                  <c:v>3.57</c:v>
                </c:pt>
                <c:pt idx="5">
                  <c:v>7.23</c:v>
                </c:pt>
                <c:pt idx="6">
                  <c:v>4.74</c:v>
                </c:pt>
              </c:numCache>
            </c:numRef>
          </c:val>
          <c:extLst>
            <c:ext xmlns:c16="http://schemas.microsoft.com/office/drawing/2014/chart" uri="{C3380CC4-5D6E-409C-BE32-E72D297353CC}">
              <c16:uniqueId val="{00000004-E418-431B-8031-26FD9F0A614A}"/>
            </c:ext>
          </c:extLst>
        </c:ser>
        <c:dLbls>
          <c:showLegendKey val="0"/>
          <c:showVal val="0"/>
          <c:showCatName val="0"/>
          <c:showSerName val="0"/>
          <c:showPercent val="0"/>
          <c:showBubbleSize val="0"/>
        </c:dLbls>
        <c:gapWidth val="219"/>
        <c:overlap val="-27"/>
        <c:axId val="956881816"/>
        <c:axId val="956882472"/>
      </c:barChart>
      <c:catAx>
        <c:axId val="95688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6882472"/>
        <c:crosses val="autoZero"/>
        <c:auto val="1"/>
        <c:lblAlgn val="ctr"/>
        <c:lblOffset val="100"/>
        <c:noMultiLvlLbl val="0"/>
      </c:catAx>
      <c:valAx>
        <c:axId val="956882472"/>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 Burden Level</a:t>
                </a:r>
              </a:p>
            </c:rich>
          </c:tx>
          <c:layout>
            <c:manualLayout>
              <c:xMode val="edge"/>
              <c:yMode val="edge"/>
              <c:x val="1.7942246803728242E-2"/>
              <c:y val="0.348359056651543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688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0.10078</cdr:x>
      <cdr:y>0.6124</cdr:y>
    </cdr:from>
    <cdr:to>
      <cdr:x>0.97592</cdr:x>
      <cdr:y>0.70742</cdr:y>
    </cdr:to>
    <cdr:sp macro="" textlink="">
      <cdr:nvSpPr>
        <cdr:cNvPr id="2" name="Rectangle 1">
          <a:extLst xmlns:a="http://schemas.openxmlformats.org/drawingml/2006/main">
            <a:ext uri="{FF2B5EF4-FFF2-40B4-BE49-F238E27FC236}">
              <a16:creationId xmlns:a16="http://schemas.microsoft.com/office/drawing/2014/main" id="{960E416D-DEFE-4138-9B13-01C899420C72}"/>
            </a:ext>
          </a:extLst>
        </cdr:cNvPr>
        <cdr:cNvSpPr/>
      </cdr:nvSpPr>
      <cdr:spPr>
        <a:xfrm xmlns:a="http://schemas.openxmlformats.org/drawingml/2006/main">
          <a:off x="571478" y="2333625"/>
          <a:ext cx="4962525" cy="362094"/>
        </a:xfrm>
        <a:prstGeom xmlns:a="http://schemas.openxmlformats.org/drawingml/2006/main" prst="rect">
          <a:avLst/>
        </a:prstGeom>
        <a:solidFill xmlns:a="http://schemas.openxmlformats.org/drawingml/2006/main">
          <a:srgbClr val="70AD47">
            <a:alpha val="30196"/>
          </a:srgbClr>
        </a:solidFill>
        <a:ln xmlns:a="http://schemas.openxmlformats.org/drawingml/2006/main">
          <a:noFill/>
        </a:l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0.09898</cdr:x>
      <cdr:y>0.26123</cdr:y>
    </cdr:from>
    <cdr:to>
      <cdr:x>0.97484</cdr:x>
      <cdr:y>0.43704</cdr:y>
    </cdr:to>
    <cdr:sp macro="" textlink="">
      <cdr:nvSpPr>
        <cdr:cNvPr id="2" name="Rectangle 1">
          <a:extLst xmlns:a="http://schemas.openxmlformats.org/drawingml/2006/main">
            <a:ext uri="{FF2B5EF4-FFF2-40B4-BE49-F238E27FC236}">
              <a16:creationId xmlns:a16="http://schemas.microsoft.com/office/drawing/2014/main" id="{F12DF51F-8DD1-4421-BA7E-46B5449D7365}"/>
            </a:ext>
          </a:extLst>
        </cdr:cNvPr>
        <cdr:cNvSpPr/>
      </cdr:nvSpPr>
      <cdr:spPr>
        <a:xfrm xmlns:a="http://schemas.openxmlformats.org/drawingml/2006/main">
          <a:off x="561975" y="1000760"/>
          <a:ext cx="4972713" cy="673521"/>
        </a:xfrm>
        <a:prstGeom xmlns:a="http://schemas.openxmlformats.org/drawingml/2006/main" prst="rect">
          <a:avLst/>
        </a:prstGeom>
        <a:solidFill xmlns:a="http://schemas.openxmlformats.org/drawingml/2006/main">
          <a:srgbClr val="70AD47">
            <a:alpha val="30196"/>
          </a:srgbClr>
        </a:solidFill>
        <a:ln xmlns:a="http://schemas.openxmlformats.org/drawingml/2006/main">
          <a:noFill/>
        </a:l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0.09994</cdr:x>
      <cdr:y>0.26335</cdr:y>
    </cdr:from>
    <cdr:to>
      <cdr:x>0.97739</cdr:x>
      <cdr:y>0.32885</cdr:y>
    </cdr:to>
    <cdr:sp macro="" textlink="">
      <cdr:nvSpPr>
        <cdr:cNvPr id="2" name="Rectangle 1">
          <a:extLst xmlns:a="http://schemas.openxmlformats.org/drawingml/2006/main">
            <a:ext uri="{FF2B5EF4-FFF2-40B4-BE49-F238E27FC236}">
              <a16:creationId xmlns:a16="http://schemas.microsoft.com/office/drawing/2014/main" id="{28A5E151-9D8C-4D89-906B-1520E0EC427B}"/>
            </a:ext>
          </a:extLst>
        </cdr:cNvPr>
        <cdr:cNvSpPr/>
      </cdr:nvSpPr>
      <cdr:spPr>
        <a:xfrm xmlns:a="http://schemas.openxmlformats.org/drawingml/2006/main">
          <a:off x="571499" y="1006874"/>
          <a:ext cx="5017387" cy="250425"/>
        </a:xfrm>
        <a:prstGeom xmlns:a="http://schemas.openxmlformats.org/drawingml/2006/main" prst="rect">
          <a:avLst/>
        </a:prstGeom>
        <a:solidFill xmlns:a="http://schemas.openxmlformats.org/drawingml/2006/main">
          <a:srgbClr val="70AD47">
            <a:alpha val="30196"/>
          </a:srgbClr>
        </a:solidFill>
        <a:ln xmlns:a="http://schemas.openxmlformats.org/drawingml/2006/main">
          <a:noFill/>
        </a:l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0.10059</cdr:x>
      <cdr:y>0.63934</cdr:y>
    </cdr:from>
    <cdr:to>
      <cdr:x>0.97971</cdr:x>
      <cdr:y>0.73686</cdr:y>
    </cdr:to>
    <cdr:sp macro="" textlink="">
      <cdr:nvSpPr>
        <cdr:cNvPr id="2" name="Rectangle 1">
          <a:extLst xmlns:a="http://schemas.openxmlformats.org/drawingml/2006/main">
            <a:ext uri="{FF2B5EF4-FFF2-40B4-BE49-F238E27FC236}">
              <a16:creationId xmlns:a16="http://schemas.microsoft.com/office/drawing/2014/main" id="{03C5F36A-85F0-4607-BB57-9B2960FF5480}"/>
            </a:ext>
          </a:extLst>
        </cdr:cNvPr>
        <cdr:cNvSpPr/>
      </cdr:nvSpPr>
      <cdr:spPr>
        <a:xfrm xmlns:a="http://schemas.openxmlformats.org/drawingml/2006/main">
          <a:off x="566739" y="2414582"/>
          <a:ext cx="4953000" cy="368300"/>
        </a:xfrm>
        <a:prstGeom xmlns:a="http://schemas.openxmlformats.org/drawingml/2006/main" prst="rect">
          <a:avLst/>
        </a:prstGeom>
        <a:solidFill xmlns:a="http://schemas.openxmlformats.org/drawingml/2006/main">
          <a:srgbClr val="70AD47">
            <a:alpha val="30196"/>
          </a:srgbClr>
        </a:solidFill>
        <a:ln xmlns:a="http://schemas.openxmlformats.org/drawingml/2006/main">
          <a:noFill/>
        </a:l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0.09997</cdr:x>
      <cdr:y>0.14908</cdr:y>
    </cdr:from>
    <cdr:to>
      <cdr:x>0.97641</cdr:x>
      <cdr:y>0.36829</cdr:y>
    </cdr:to>
    <cdr:sp macro="" textlink="">
      <cdr:nvSpPr>
        <cdr:cNvPr id="2" name="Rectangle 1">
          <a:extLst xmlns:a="http://schemas.openxmlformats.org/drawingml/2006/main">
            <a:ext uri="{FF2B5EF4-FFF2-40B4-BE49-F238E27FC236}">
              <a16:creationId xmlns:a16="http://schemas.microsoft.com/office/drawing/2014/main" id="{DD2868C6-E71D-4D54-8C2F-67D7A8895992}"/>
            </a:ext>
          </a:extLst>
        </cdr:cNvPr>
        <cdr:cNvSpPr/>
      </cdr:nvSpPr>
      <cdr:spPr>
        <a:xfrm xmlns:a="http://schemas.openxmlformats.org/drawingml/2006/main">
          <a:off x="565162" y="568701"/>
          <a:ext cx="4954576" cy="836238"/>
        </a:xfrm>
        <a:prstGeom xmlns:a="http://schemas.openxmlformats.org/drawingml/2006/main" prst="rect">
          <a:avLst/>
        </a:prstGeom>
        <a:solidFill xmlns:a="http://schemas.openxmlformats.org/drawingml/2006/main">
          <a:srgbClr val="70AD47">
            <a:alpha val="30196"/>
          </a:srgbClr>
        </a:solidFill>
        <a:ln xmlns:a="http://schemas.openxmlformats.org/drawingml/2006/main">
          <a:noFill/>
        </a:l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0.102</cdr:x>
      <cdr:y>0.14286</cdr:y>
    </cdr:from>
    <cdr:to>
      <cdr:x>0.97802</cdr:x>
      <cdr:y>0.23165</cdr:y>
    </cdr:to>
    <cdr:sp macro="" textlink="">
      <cdr:nvSpPr>
        <cdr:cNvPr id="2" name="Rectangle 1">
          <a:extLst xmlns:a="http://schemas.openxmlformats.org/drawingml/2006/main">
            <a:ext uri="{FF2B5EF4-FFF2-40B4-BE49-F238E27FC236}">
              <a16:creationId xmlns:a16="http://schemas.microsoft.com/office/drawing/2014/main" id="{754CEB75-EE60-4711-BA1E-D55A0499F313}"/>
            </a:ext>
          </a:extLst>
        </cdr:cNvPr>
        <cdr:cNvSpPr/>
      </cdr:nvSpPr>
      <cdr:spPr>
        <a:xfrm xmlns:a="http://schemas.openxmlformats.org/drawingml/2006/main">
          <a:off x="574668" y="542925"/>
          <a:ext cx="4935545" cy="337449"/>
        </a:xfrm>
        <a:prstGeom xmlns:a="http://schemas.openxmlformats.org/drawingml/2006/main" prst="rect">
          <a:avLst/>
        </a:prstGeom>
        <a:solidFill xmlns:a="http://schemas.openxmlformats.org/drawingml/2006/main">
          <a:srgbClr val="70AD47">
            <a:alpha val="30196"/>
          </a:srgbClr>
        </a:solidFill>
        <a:ln xmlns:a="http://schemas.openxmlformats.org/drawingml/2006/main">
          <a:noFill/>
        </a:l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0.09812</cdr:x>
      <cdr:y>0.42785</cdr:y>
    </cdr:from>
    <cdr:to>
      <cdr:x>0.97982</cdr:x>
      <cdr:y>0.56587</cdr:y>
    </cdr:to>
    <cdr:sp macro="" textlink="">
      <cdr:nvSpPr>
        <cdr:cNvPr id="2" name="Rectangle 1">
          <a:extLst xmlns:a="http://schemas.openxmlformats.org/drawingml/2006/main">
            <a:ext uri="{FF2B5EF4-FFF2-40B4-BE49-F238E27FC236}">
              <a16:creationId xmlns:a16="http://schemas.microsoft.com/office/drawing/2014/main" id="{18760BF4-4627-4517-9E18-B3A886D41DCE}"/>
            </a:ext>
          </a:extLst>
        </cdr:cNvPr>
        <cdr:cNvSpPr/>
      </cdr:nvSpPr>
      <cdr:spPr>
        <a:xfrm xmlns:a="http://schemas.openxmlformats.org/drawingml/2006/main">
          <a:off x="555632" y="1624014"/>
          <a:ext cx="4992682" cy="523875"/>
        </a:xfrm>
        <a:prstGeom xmlns:a="http://schemas.openxmlformats.org/drawingml/2006/main" prst="rect">
          <a:avLst/>
        </a:prstGeom>
        <a:solidFill xmlns:a="http://schemas.openxmlformats.org/drawingml/2006/main">
          <a:srgbClr val="70AD47">
            <a:alpha val="30196"/>
          </a:srgbClr>
        </a:solidFill>
        <a:ln xmlns:a="http://schemas.openxmlformats.org/drawingml/2006/main">
          <a:noFill/>
        </a:l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wrap="square"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0.09154</cdr:x>
      <cdr:y>0.23722</cdr:y>
    </cdr:from>
    <cdr:to>
      <cdr:x>0.97978</cdr:x>
      <cdr:y>0.32333</cdr:y>
    </cdr:to>
    <cdr:sp macro="" textlink="">
      <cdr:nvSpPr>
        <cdr:cNvPr id="2" name="Rectangle 1">
          <a:extLst xmlns:a="http://schemas.openxmlformats.org/drawingml/2006/main">
            <a:ext uri="{FF2B5EF4-FFF2-40B4-BE49-F238E27FC236}">
              <a16:creationId xmlns:a16="http://schemas.microsoft.com/office/drawing/2014/main" id="{4E5C47AC-60CD-4CBB-8B86-BB5FDB26AFAD}"/>
            </a:ext>
          </a:extLst>
        </cdr:cNvPr>
        <cdr:cNvSpPr/>
      </cdr:nvSpPr>
      <cdr:spPr>
        <a:xfrm xmlns:a="http://schemas.openxmlformats.org/drawingml/2006/main">
          <a:off x="517455" y="904874"/>
          <a:ext cx="5021016" cy="328437"/>
        </a:xfrm>
        <a:prstGeom xmlns:a="http://schemas.openxmlformats.org/drawingml/2006/main" prst="rect">
          <a:avLst/>
        </a:prstGeom>
        <a:solidFill xmlns:a="http://schemas.openxmlformats.org/drawingml/2006/main">
          <a:srgbClr val="70AD47">
            <a:alpha val="30196"/>
          </a:srgbClr>
        </a:solidFill>
        <a:ln xmlns:a="http://schemas.openxmlformats.org/drawingml/2006/main">
          <a:noFill/>
        </a:l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wrap="square"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CAA764-FF55-4F3F-8655-6AC687D0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182</Pages>
  <Words>41629</Words>
  <Characters>237286</Characters>
  <Application>Microsoft Office Word</Application>
  <DocSecurity>8</DocSecurity>
  <Lines>1977</Lines>
  <Paragraphs>556</Paragraphs>
  <ScaleCrop>false</ScaleCrop>
  <HeadingPairs>
    <vt:vector size="2" baseType="variant">
      <vt:variant>
        <vt:lpstr>Title</vt:lpstr>
      </vt:variant>
      <vt:variant>
        <vt:i4>1</vt:i4>
      </vt:variant>
    </vt:vector>
  </HeadingPairs>
  <TitlesOfParts>
    <vt:vector size="1" baseType="lpstr">
      <vt:lpstr>Home Energy Affordability for Low-Income Customers
in Pennsylvania</vt:lpstr>
    </vt:vector>
  </TitlesOfParts>
  <Company/>
  <LinksUpToDate>false</LinksUpToDate>
  <CharactersWithSpaces>278359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Energy Affordability for Low-Income Customers
in Pennsylvania</dc:title>
  <dc:subject/>
  <dc:creator>Fink Smith, Louise</dc:creator>
  <cp:keywords/>
  <dc:description/>
  <cp:lastModifiedBy>Magee, Joseph</cp:lastModifiedBy>
  <cp:revision>16</cp:revision>
  <cp:lastPrinted>2019-01-07T18:02:00Z</cp:lastPrinted>
  <dcterms:created xsi:type="dcterms:W3CDTF">2019-03-06T17:50:00Z</dcterms:created>
  <dcterms:modified xsi:type="dcterms:W3CDTF">2019-03-06T18:24:00Z</dcterms:modified>
</cp:coreProperties>
</file>